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734201" w14:textId="77777777" w:rsidR="002A21AE" w:rsidRDefault="00057948" w:rsidP="00D84B16">
      <w:pPr>
        <w:pStyle w:val="StyleTitlePageCentered"/>
      </w:pPr>
      <w:r>
        <w:rPr>
          <w:noProof/>
        </w:rPr>
        <w:drawing>
          <wp:inline distT="0" distB="0" distL="0" distR="0" wp14:anchorId="79423332" wp14:editId="7BB2F0FC">
            <wp:extent cx="3399155" cy="1209675"/>
            <wp:effectExtent l="0" t="0" r="0" b="9525"/>
            <wp:docPr id="2" name="Picture 2" descr="P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1#yIS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9155" cy="1209675"/>
                    </a:xfrm>
                    <a:prstGeom prst="rect">
                      <a:avLst/>
                    </a:prstGeom>
                    <a:noFill/>
                    <a:ln>
                      <a:noFill/>
                    </a:ln>
                  </pic:spPr>
                </pic:pic>
              </a:graphicData>
            </a:graphic>
          </wp:inline>
        </w:drawing>
      </w:r>
    </w:p>
    <w:p w14:paraId="78B81540" w14:textId="77777777" w:rsidR="002A21AE" w:rsidRDefault="002A21AE">
      <w:pPr>
        <w:pStyle w:val="TitlePage"/>
      </w:pPr>
    </w:p>
    <w:p w14:paraId="49141FE0" w14:textId="77777777" w:rsidR="002A21AE" w:rsidRDefault="002A21AE">
      <w:pPr>
        <w:pStyle w:val="StyleTitlePageCentered"/>
      </w:pPr>
    </w:p>
    <w:p w14:paraId="2417B64F" w14:textId="77777777" w:rsidR="002A21AE" w:rsidRDefault="002A21AE">
      <w:pPr>
        <w:pStyle w:val="StyleTitlePageCentered"/>
      </w:pPr>
    </w:p>
    <w:p w14:paraId="3CB9B7B0" w14:textId="77777777" w:rsidR="002A21AE" w:rsidRDefault="002A21AE">
      <w:pPr>
        <w:pStyle w:val="StyleTitlePageCentered"/>
      </w:pPr>
    </w:p>
    <w:p w14:paraId="3BC89D40" w14:textId="77777777" w:rsidR="002A21AE" w:rsidRDefault="002A21AE">
      <w:pPr>
        <w:pStyle w:val="StyleTitlePageCentered"/>
      </w:pPr>
    </w:p>
    <w:p w14:paraId="1A457093" w14:textId="7374414A" w:rsidR="002A21AE" w:rsidRDefault="00D41F17">
      <w:pPr>
        <w:pStyle w:val="StyleTitlePageCentered"/>
      </w:pPr>
      <w:r>
        <w:t>V</w:t>
      </w:r>
      <w:r w:rsidR="000C7684">
        <w:t>ist</w:t>
      </w:r>
      <w:r w:rsidR="00EB26A1">
        <w:t>A</w:t>
      </w:r>
      <w:r w:rsidR="000C7684">
        <w:t xml:space="preserve"> </w:t>
      </w:r>
      <w:r w:rsidR="002A21AE">
        <w:t xml:space="preserve">Blood Establishment Computer Software (VBECS) </w:t>
      </w:r>
      <w:r w:rsidR="00662F2F">
        <w:t>Version</w:t>
      </w:r>
      <w:r w:rsidR="002A21AE">
        <w:t xml:space="preserve"> </w:t>
      </w:r>
      <w:r w:rsidR="00C94A42">
        <w:t>2.3.1</w:t>
      </w:r>
    </w:p>
    <w:p w14:paraId="74FC8673" w14:textId="77777777" w:rsidR="00D10407" w:rsidRDefault="00D10407">
      <w:pPr>
        <w:pStyle w:val="StyleTitlePageCentered"/>
      </w:pPr>
    </w:p>
    <w:p w14:paraId="16BEDBD2" w14:textId="77777777" w:rsidR="00D10407" w:rsidRDefault="00D10407">
      <w:pPr>
        <w:pStyle w:val="StyleTitlePageCentered"/>
      </w:pPr>
    </w:p>
    <w:p w14:paraId="3303CC73" w14:textId="77777777" w:rsidR="002A21AE" w:rsidRDefault="002A21AE">
      <w:pPr>
        <w:pStyle w:val="StyleTitlePageCentered"/>
      </w:pPr>
      <w:r>
        <w:t>User Guide</w:t>
      </w:r>
    </w:p>
    <w:p w14:paraId="33C7245B" w14:textId="77777777" w:rsidR="008B7F48" w:rsidRDefault="008B7F48">
      <w:pPr>
        <w:pStyle w:val="StyleTitlePageCentered"/>
      </w:pPr>
    </w:p>
    <w:p w14:paraId="79CA82F5" w14:textId="77F06D0B" w:rsidR="002A21AE" w:rsidRPr="006E05B3" w:rsidRDefault="00B00E73">
      <w:pPr>
        <w:pStyle w:val="StyleTitlePageCentered"/>
      </w:pPr>
      <w:r>
        <w:t>June</w:t>
      </w:r>
      <w:r w:rsidR="00B30206">
        <w:t xml:space="preserve"> 2019</w:t>
      </w:r>
    </w:p>
    <w:p w14:paraId="690EF147" w14:textId="77777777" w:rsidR="002A21AE" w:rsidRDefault="002A21AE">
      <w:pPr>
        <w:pStyle w:val="StyleTitlePageCentered"/>
      </w:pPr>
    </w:p>
    <w:p w14:paraId="7D4B2FCB" w14:textId="77777777" w:rsidR="002A21AE" w:rsidRDefault="002A21AE">
      <w:pPr>
        <w:pStyle w:val="StyleTitlePageCentered"/>
      </w:pPr>
    </w:p>
    <w:p w14:paraId="48757A61" w14:textId="77777777" w:rsidR="002A21AE" w:rsidRDefault="002A21AE">
      <w:pPr>
        <w:pStyle w:val="StyleTitlePageCentered"/>
      </w:pPr>
    </w:p>
    <w:p w14:paraId="5DE4A9FD" w14:textId="77777777" w:rsidR="002A21AE" w:rsidRDefault="002A21AE">
      <w:pPr>
        <w:pStyle w:val="StyleTitlePageCentered"/>
      </w:pPr>
    </w:p>
    <w:p w14:paraId="285A2514" w14:textId="77777777" w:rsidR="002A21AE" w:rsidRPr="00E6048C" w:rsidRDefault="002A21AE">
      <w:pPr>
        <w:pStyle w:val="StyleTitlePageCentered"/>
        <w:rPr>
          <w:b/>
        </w:rPr>
      </w:pPr>
    </w:p>
    <w:p w14:paraId="254D45C3" w14:textId="77777777" w:rsidR="002A21AE" w:rsidRDefault="002A21AE">
      <w:pPr>
        <w:pStyle w:val="StyleTitlePageCentered"/>
      </w:pPr>
    </w:p>
    <w:p w14:paraId="207A06FC" w14:textId="77777777" w:rsidR="002A21AE" w:rsidRDefault="002A21AE">
      <w:pPr>
        <w:pStyle w:val="StyleTitlePageCentered"/>
      </w:pPr>
    </w:p>
    <w:p w14:paraId="046AAD6B" w14:textId="77777777" w:rsidR="002A21AE" w:rsidRDefault="002A21AE">
      <w:pPr>
        <w:pStyle w:val="StyleTitlePageBottom"/>
      </w:pPr>
      <w:r>
        <w:t>Department of Veterans Affairs</w:t>
      </w:r>
    </w:p>
    <w:p w14:paraId="0B8B9A5F" w14:textId="77777777" w:rsidR="002A21AE" w:rsidRDefault="00B27B40">
      <w:pPr>
        <w:pStyle w:val="StyleTitlePageBottom"/>
        <w:sectPr w:rsidR="002A21AE" w:rsidSect="00EE771C">
          <w:headerReference w:type="default" r:id="rId10"/>
          <w:footerReference w:type="even" r:id="rId11"/>
          <w:footerReference w:type="default" r:id="rId12"/>
          <w:type w:val="nextColumn"/>
          <w:pgSz w:w="12240" w:h="15840" w:code="1"/>
          <w:pgMar w:top="1440" w:right="1440" w:bottom="1440" w:left="1440" w:header="720" w:footer="720" w:gutter="0"/>
          <w:cols w:space="720"/>
          <w:docGrid w:linePitch="360"/>
        </w:sectPr>
      </w:pPr>
      <w:r>
        <w:t>Enterprise Project Management</w:t>
      </w:r>
      <w:r w:rsidR="000D79B6">
        <w:t xml:space="preserve"> </w:t>
      </w:r>
      <w:r>
        <w:t>Office</w:t>
      </w:r>
    </w:p>
    <w:p w14:paraId="05ADE058" w14:textId="77777777" w:rsidR="002A21AE" w:rsidRDefault="002249FA" w:rsidP="002249FA">
      <w:pPr>
        <w:pStyle w:val="BodyText"/>
        <w:jc w:val="center"/>
        <w:sectPr w:rsidR="002A21AE" w:rsidSect="00EE771C">
          <w:footerReference w:type="default" r:id="rId13"/>
          <w:type w:val="nextColumn"/>
          <w:pgSz w:w="12240" w:h="15840" w:code="1"/>
          <w:pgMar w:top="1440" w:right="1440" w:bottom="1440" w:left="1440" w:header="720" w:footer="720" w:gutter="0"/>
          <w:cols w:space="720"/>
          <w:docGrid w:linePitch="360"/>
        </w:sectPr>
      </w:pPr>
      <w:r>
        <w:lastRenderedPageBreak/>
        <w:t>This page intentionally left</w:t>
      </w:r>
      <w:r w:rsidR="000014DD">
        <w:t xml:space="preserve"> </w:t>
      </w:r>
      <w:r>
        <w:t>blank.</w:t>
      </w:r>
    </w:p>
    <w:p w14:paraId="298F35F8" w14:textId="5B186905" w:rsidR="00062D0F" w:rsidRPr="00672710" w:rsidRDefault="00062D0F" w:rsidP="00D67527">
      <w:pPr>
        <w:pStyle w:val="TableofContents"/>
        <w:jc w:val="center"/>
      </w:pPr>
      <w:bookmarkStart w:id="0" w:name="_Toc63137949"/>
      <w:r w:rsidRPr="00D67527">
        <w:rPr>
          <w:rFonts w:ascii="Times New Roman" w:hAnsi="Times New Roman" w:cs="Times New Roman"/>
        </w:rPr>
        <w:lastRenderedPageBreak/>
        <w:t>Table of Contents</w:t>
      </w:r>
    </w:p>
    <w:p w14:paraId="76163964" w14:textId="77777777" w:rsidR="00D207B7" w:rsidRDefault="00D207B7" w:rsidP="00B116A6">
      <w:pPr>
        <w:pStyle w:val="BodyText"/>
        <w:jc w:val="center"/>
      </w:pPr>
    </w:p>
    <w:bookmarkEnd w:id="0"/>
    <w:p w14:paraId="49C77271" w14:textId="0FFF165C" w:rsidR="001B0B0C" w:rsidRDefault="002A21AE">
      <w:pPr>
        <w:pStyle w:val="TOC1"/>
        <w:tabs>
          <w:tab w:val="right" w:leader="dot" w:pos="9350"/>
        </w:tabs>
        <w:rPr>
          <w:rFonts w:asciiTheme="minorHAnsi" w:eastAsiaTheme="minorEastAsia" w:hAnsiTheme="minorHAnsi" w:cstheme="minorBidi"/>
          <w:b w:val="0"/>
          <w:caps w:val="0"/>
          <w:noProof/>
        </w:rPr>
      </w:pPr>
      <w:r>
        <w:fldChar w:fldCharType="begin"/>
      </w:r>
      <w:r>
        <w:instrText xml:space="preserve"> TOC \o "2-3" \h \z \t "Heading 1,1" </w:instrText>
      </w:r>
      <w:r>
        <w:fldChar w:fldCharType="separate"/>
      </w:r>
      <w:hyperlink w:anchor="_Toc4588689" w:history="1">
        <w:r w:rsidR="001B0B0C" w:rsidRPr="00CD618B">
          <w:rPr>
            <w:rStyle w:val="Hyperlink"/>
            <w:noProof/>
          </w:rPr>
          <w:t>Introduction</w:t>
        </w:r>
        <w:r w:rsidR="001B0B0C">
          <w:rPr>
            <w:noProof/>
            <w:webHidden/>
          </w:rPr>
          <w:tab/>
        </w:r>
        <w:r w:rsidR="001B0B0C">
          <w:rPr>
            <w:noProof/>
            <w:webHidden/>
          </w:rPr>
          <w:fldChar w:fldCharType="begin"/>
        </w:r>
        <w:r w:rsidR="001B0B0C">
          <w:rPr>
            <w:noProof/>
            <w:webHidden/>
          </w:rPr>
          <w:instrText xml:space="preserve"> PAGEREF _Toc4588689 \h </w:instrText>
        </w:r>
        <w:r w:rsidR="001B0B0C">
          <w:rPr>
            <w:noProof/>
            <w:webHidden/>
          </w:rPr>
        </w:r>
        <w:r w:rsidR="001B0B0C">
          <w:rPr>
            <w:noProof/>
            <w:webHidden/>
          </w:rPr>
          <w:fldChar w:fldCharType="separate"/>
        </w:r>
        <w:r w:rsidR="00647F4E">
          <w:rPr>
            <w:noProof/>
            <w:webHidden/>
          </w:rPr>
          <w:t>1</w:t>
        </w:r>
        <w:r w:rsidR="001B0B0C">
          <w:rPr>
            <w:noProof/>
            <w:webHidden/>
          </w:rPr>
          <w:fldChar w:fldCharType="end"/>
        </w:r>
      </w:hyperlink>
    </w:p>
    <w:p w14:paraId="037E3B49" w14:textId="12386C31" w:rsidR="001B0B0C" w:rsidRDefault="00647F4E">
      <w:pPr>
        <w:pStyle w:val="TOC2"/>
        <w:tabs>
          <w:tab w:val="right" w:leader="dot" w:pos="9350"/>
        </w:tabs>
        <w:rPr>
          <w:rFonts w:asciiTheme="minorHAnsi" w:eastAsiaTheme="minorEastAsia" w:hAnsiTheme="minorHAnsi" w:cstheme="minorBidi"/>
          <w:smallCaps w:val="0"/>
          <w:noProof/>
        </w:rPr>
      </w:pPr>
      <w:hyperlink w:anchor="_Toc4588690" w:history="1">
        <w:r w:rsidR="001B0B0C" w:rsidRPr="00CD618B">
          <w:rPr>
            <w:rStyle w:val="Hyperlink"/>
            <w:noProof/>
          </w:rPr>
          <w:t>Freeware Disclaimer</w:t>
        </w:r>
        <w:r w:rsidR="001B0B0C">
          <w:rPr>
            <w:noProof/>
            <w:webHidden/>
          </w:rPr>
          <w:tab/>
        </w:r>
        <w:r w:rsidR="001B0B0C">
          <w:rPr>
            <w:noProof/>
            <w:webHidden/>
          </w:rPr>
          <w:fldChar w:fldCharType="begin"/>
        </w:r>
        <w:r w:rsidR="001B0B0C">
          <w:rPr>
            <w:noProof/>
            <w:webHidden/>
          </w:rPr>
          <w:instrText xml:space="preserve"> PAGEREF _Toc4588690 \h </w:instrText>
        </w:r>
        <w:r w:rsidR="001B0B0C">
          <w:rPr>
            <w:noProof/>
            <w:webHidden/>
          </w:rPr>
        </w:r>
        <w:r w:rsidR="001B0B0C">
          <w:rPr>
            <w:noProof/>
            <w:webHidden/>
          </w:rPr>
          <w:fldChar w:fldCharType="separate"/>
        </w:r>
        <w:r>
          <w:rPr>
            <w:noProof/>
            <w:webHidden/>
          </w:rPr>
          <w:t>2</w:t>
        </w:r>
        <w:r w:rsidR="001B0B0C">
          <w:rPr>
            <w:noProof/>
            <w:webHidden/>
          </w:rPr>
          <w:fldChar w:fldCharType="end"/>
        </w:r>
      </w:hyperlink>
    </w:p>
    <w:p w14:paraId="1CB51805" w14:textId="749A2581" w:rsidR="001B0B0C" w:rsidRDefault="00647F4E">
      <w:pPr>
        <w:pStyle w:val="TOC2"/>
        <w:tabs>
          <w:tab w:val="right" w:leader="dot" w:pos="9350"/>
        </w:tabs>
        <w:rPr>
          <w:rFonts w:asciiTheme="minorHAnsi" w:eastAsiaTheme="minorEastAsia" w:hAnsiTheme="minorHAnsi" w:cstheme="minorBidi"/>
          <w:smallCaps w:val="0"/>
          <w:noProof/>
        </w:rPr>
      </w:pPr>
      <w:hyperlink w:anchor="_Toc4588691" w:history="1">
        <w:r w:rsidR="001B0B0C" w:rsidRPr="00CD618B">
          <w:rPr>
            <w:rStyle w:val="Hyperlink"/>
            <w:noProof/>
          </w:rPr>
          <w:t>Related Manuals and Materials</w:t>
        </w:r>
        <w:r w:rsidR="001B0B0C">
          <w:rPr>
            <w:noProof/>
            <w:webHidden/>
          </w:rPr>
          <w:tab/>
        </w:r>
        <w:r w:rsidR="001B0B0C">
          <w:rPr>
            <w:noProof/>
            <w:webHidden/>
          </w:rPr>
          <w:fldChar w:fldCharType="begin"/>
        </w:r>
        <w:r w:rsidR="001B0B0C">
          <w:rPr>
            <w:noProof/>
            <w:webHidden/>
          </w:rPr>
          <w:instrText xml:space="preserve"> PAGEREF _Toc4588691 \h </w:instrText>
        </w:r>
        <w:r w:rsidR="001B0B0C">
          <w:rPr>
            <w:noProof/>
            <w:webHidden/>
          </w:rPr>
        </w:r>
        <w:r w:rsidR="001B0B0C">
          <w:rPr>
            <w:noProof/>
            <w:webHidden/>
          </w:rPr>
          <w:fldChar w:fldCharType="separate"/>
        </w:r>
        <w:r>
          <w:rPr>
            <w:noProof/>
            <w:webHidden/>
          </w:rPr>
          <w:t>2</w:t>
        </w:r>
        <w:r w:rsidR="001B0B0C">
          <w:rPr>
            <w:noProof/>
            <w:webHidden/>
          </w:rPr>
          <w:fldChar w:fldCharType="end"/>
        </w:r>
      </w:hyperlink>
    </w:p>
    <w:p w14:paraId="6A6729A4" w14:textId="38C9E03B" w:rsidR="001B0B0C" w:rsidRDefault="00647F4E">
      <w:pPr>
        <w:pStyle w:val="TOC1"/>
        <w:tabs>
          <w:tab w:val="right" w:leader="dot" w:pos="9350"/>
        </w:tabs>
        <w:rPr>
          <w:rFonts w:asciiTheme="minorHAnsi" w:eastAsiaTheme="minorEastAsia" w:hAnsiTheme="minorHAnsi" w:cstheme="minorBidi"/>
          <w:b w:val="0"/>
          <w:caps w:val="0"/>
          <w:noProof/>
        </w:rPr>
      </w:pPr>
      <w:hyperlink w:anchor="_Toc4588692" w:history="1">
        <w:r w:rsidR="001B0B0C" w:rsidRPr="00CD618B">
          <w:rPr>
            <w:rStyle w:val="Hyperlink"/>
            <w:noProof/>
          </w:rPr>
          <w:t>Orientation</w:t>
        </w:r>
        <w:r w:rsidR="001B0B0C">
          <w:rPr>
            <w:noProof/>
            <w:webHidden/>
          </w:rPr>
          <w:tab/>
        </w:r>
        <w:r w:rsidR="001B0B0C">
          <w:rPr>
            <w:noProof/>
            <w:webHidden/>
          </w:rPr>
          <w:fldChar w:fldCharType="begin"/>
        </w:r>
        <w:r w:rsidR="001B0B0C">
          <w:rPr>
            <w:noProof/>
            <w:webHidden/>
          </w:rPr>
          <w:instrText xml:space="preserve"> PAGEREF _Toc4588692 \h </w:instrText>
        </w:r>
        <w:r w:rsidR="001B0B0C">
          <w:rPr>
            <w:noProof/>
            <w:webHidden/>
          </w:rPr>
        </w:r>
        <w:r w:rsidR="001B0B0C">
          <w:rPr>
            <w:noProof/>
            <w:webHidden/>
          </w:rPr>
          <w:fldChar w:fldCharType="separate"/>
        </w:r>
        <w:r>
          <w:rPr>
            <w:noProof/>
            <w:webHidden/>
          </w:rPr>
          <w:t>3</w:t>
        </w:r>
        <w:r w:rsidR="001B0B0C">
          <w:rPr>
            <w:noProof/>
            <w:webHidden/>
          </w:rPr>
          <w:fldChar w:fldCharType="end"/>
        </w:r>
      </w:hyperlink>
    </w:p>
    <w:p w14:paraId="12B570C4" w14:textId="68AFB82A" w:rsidR="001B0B0C" w:rsidRDefault="00647F4E">
      <w:pPr>
        <w:pStyle w:val="TOC2"/>
        <w:tabs>
          <w:tab w:val="right" w:leader="dot" w:pos="9350"/>
        </w:tabs>
        <w:rPr>
          <w:rFonts w:asciiTheme="minorHAnsi" w:eastAsiaTheme="minorEastAsia" w:hAnsiTheme="minorHAnsi" w:cstheme="minorBidi"/>
          <w:smallCaps w:val="0"/>
          <w:noProof/>
        </w:rPr>
      </w:pPr>
      <w:hyperlink w:anchor="_Toc4588693" w:history="1">
        <w:r w:rsidR="001B0B0C" w:rsidRPr="00CD618B">
          <w:rPr>
            <w:rStyle w:val="Hyperlink"/>
            <w:noProof/>
          </w:rPr>
          <w:t>How This User Guide Is Organized</w:t>
        </w:r>
        <w:r w:rsidR="001B0B0C">
          <w:rPr>
            <w:noProof/>
            <w:webHidden/>
          </w:rPr>
          <w:tab/>
        </w:r>
        <w:r w:rsidR="001B0B0C">
          <w:rPr>
            <w:noProof/>
            <w:webHidden/>
          </w:rPr>
          <w:fldChar w:fldCharType="begin"/>
        </w:r>
        <w:r w:rsidR="001B0B0C">
          <w:rPr>
            <w:noProof/>
            <w:webHidden/>
          </w:rPr>
          <w:instrText xml:space="preserve"> PAGEREF _Toc4588693 \h </w:instrText>
        </w:r>
        <w:r w:rsidR="001B0B0C">
          <w:rPr>
            <w:noProof/>
            <w:webHidden/>
          </w:rPr>
        </w:r>
        <w:r w:rsidR="001B0B0C">
          <w:rPr>
            <w:noProof/>
            <w:webHidden/>
          </w:rPr>
          <w:fldChar w:fldCharType="separate"/>
        </w:r>
        <w:r>
          <w:rPr>
            <w:noProof/>
            <w:webHidden/>
          </w:rPr>
          <w:t>3</w:t>
        </w:r>
        <w:r w:rsidR="001B0B0C">
          <w:rPr>
            <w:noProof/>
            <w:webHidden/>
          </w:rPr>
          <w:fldChar w:fldCharType="end"/>
        </w:r>
      </w:hyperlink>
    </w:p>
    <w:p w14:paraId="55B3D02A" w14:textId="7F0A45F7" w:rsidR="001B0B0C" w:rsidRDefault="00647F4E">
      <w:pPr>
        <w:pStyle w:val="TOC3"/>
        <w:tabs>
          <w:tab w:val="right" w:leader="dot" w:pos="9350"/>
        </w:tabs>
        <w:rPr>
          <w:rFonts w:asciiTheme="minorHAnsi" w:eastAsiaTheme="minorEastAsia" w:hAnsiTheme="minorHAnsi" w:cstheme="minorBidi"/>
          <w:noProof/>
        </w:rPr>
      </w:pPr>
      <w:hyperlink w:anchor="_Toc4588694" w:history="1">
        <w:r w:rsidR="001B0B0C" w:rsidRPr="00CD618B">
          <w:rPr>
            <w:rStyle w:val="Hyperlink"/>
            <w:noProof/>
          </w:rPr>
          <w:t>Terms</w:t>
        </w:r>
        <w:r w:rsidR="001B0B0C">
          <w:rPr>
            <w:noProof/>
            <w:webHidden/>
          </w:rPr>
          <w:tab/>
        </w:r>
        <w:r w:rsidR="001B0B0C">
          <w:rPr>
            <w:noProof/>
            <w:webHidden/>
          </w:rPr>
          <w:fldChar w:fldCharType="begin"/>
        </w:r>
        <w:r w:rsidR="001B0B0C">
          <w:rPr>
            <w:noProof/>
            <w:webHidden/>
          </w:rPr>
          <w:instrText xml:space="preserve"> PAGEREF _Toc4588694 \h </w:instrText>
        </w:r>
        <w:r w:rsidR="001B0B0C">
          <w:rPr>
            <w:noProof/>
            <w:webHidden/>
          </w:rPr>
        </w:r>
        <w:r w:rsidR="001B0B0C">
          <w:rPr>
            <w:noProof/>
            <w:webHidden/>
          </w:rPr>
          <w:fldChar w:fldCharType="separate"/>
        </w:r>
        <w:r>
          <w:rPr>
            <w:noProof/>
            <w:webHidden/>
          </w:rPr>
          <w:t>3</w:t>
        </w:r>
        <w:r w:rsidR="001B0B0C">
          <w:rPr>
            <w:noProof/>
            <w:webHidden/>
          </w:rPr>
          <w:fldChar w:fldCharType="end"/>
        </w:r>
      </w:hyperlink>
    </w:p>
    <w:p w14:paraId="6E45C79A" w14:textId="353CA443" w:rsidR="001B0B0C" w:rsidRDefault="00647F4E">
      <w:pPr>
        <w:pStyle w:val="TOC3"/>
        <w:tabs>
          <w:tab w:val="right" w:leader="dot" w:pos="9350"/>
        </w:tabs>
        <w:rPr>
          <w:rFonts w:asciiTheme="minorHAnsi" w:eastAsiaTheme="minorEastAsia" w:hAnsiTheme="minorHAnsi" w:cstheme="minorBidi"/>
          <w:noProof/>
        </w:rPr>
      </w:pPr>
      <w:hyperlink w:anchor="_Toc4588695" w:history="1">
        <w:r w:rsidR="001B0B0C" w:rsidRPr="00CD618B">
          <w:rPr>
            <w:rStyle w:val="Hyperlink"/>
            <w:noProof/>
          </w:rPr>
          <w:t>Background and Basic Knowledge</w:t>
        </w:r>
        <w:r w:rsidR="001B0B0C">
          <w:rPr>
            <w:noProof/>
            <w:webHidden/>
          </w:rPr>
          <w:tab/>
        </w:r>
        <w:r w:rsidR="001B0B0C">
          <w:rPr>
            <w:noProof/>
            <w:webHidden/>
          </w:rPr>
          <w:fldChar w:fldCharType="begin"/>
        </w:r>
        <w:r w:rsidR="001B0B0C">
          <w:rPr>
            <w:noProof/>
            <w:webHidden/>
          </w:rPr>
          <w:instrText xml:space="preserve"> PAGEREF _Toc4588695 \h </w:instrText>
        </w:r>
        <w:r w:rsidR="001B0B0C">
          <w:rPr>
            <w:noProof/>
            <w:webHidden/>
          </w:rPr>
        </w:r>
        <w:r w:rsidR="001B0B0C">
          <w:rPr>
            <w:noProof/>
            <w:webHidden/>
          </w:rPr>
          <w:fldChar w:fldCharType="separate"/>
        </w:r>
        <w:r>
          <w:rPr>
            <w:noProof/>
            <w:webHidden/>
          </w:rPr>
          <w:t>3</w:t>
        </w:r>
        <w:r w:rsidR="001B0B0C">
          <w:rPr>
            <w:noProof/>
            <w:webHidden/>
          </w:rPr>
          <w:fldChar w:fldCharType="end"/>
        </w:r>
      </w:hyperlink>
    </w:p>
    <w:p w14:paraId="060751D0" w14:textId="45A5719E" w:rsidR="001B0B0C" w:rsidRDefault="00647F4E">
      <w:pPr>
        <w:pStyle w:val="TOC3"/>
        <w:tabs>
          <w:tab w:val="right" w:leader="dot" w:pos="9350"/>
        </w:tabs>
        <w:rPr>
          <w:rFonts w:asciiTheme="minorHAnsi" w:eastAsiaTheme="minorEastAsia" w:hAnsiTheme="minorHAnsi" w:cstheme="minorBidi"/>
          <w:noProof/>
        </w:rPr>
      </w:pPr>
      <w:hyperlink w:anchor="_Toc4588696" w:history="1">
        <w:r w:rsidR="001B0B0C" w:rsidRPr="00CD618B">
          <w:rPr>
            <w:rStyle w:val="Hyperlink"/>
            <w:noProof/>
          </w:rPr>
          <w:t>Figures and Tables</w:t>
        </w:r>
        <w:r w:rsidR="001B0B0C">
          <w:rPr>
            <w:noProof/>
            <w:webHidden/>
          </w:rPr>
          <w:tab/>
        </w:r>
        <w:r w:rsidR="001B0B0C">
          <w:rPr>
            <w:noProof/>
            <w:webHidden/>
          </w:rPr>
          <w:fldChar w:fldCharType="begin"/>
        </w:r>
        <w:r w:rsidR="001B0B0C">
          <w:rPr>
            <w:noProof/>
            <w:webHidden/>
          </w:rPr>
          <w:instrText xml:space="preserve"> PAGEREF _Toc4588696 \h </w:instrText>
        </w:r>
        <w:r w:rsidR="001B0B0C">
          <w:rPr>
            <w:noProof/>
            <w:webHidden/>
          </w:rPr>
        </w:r>
        <w:r w:rsidR="001B0B0C">
          <w:rPr>
            <w:noProof/>
            <w:webHidden/>
          </w:rPr>
          <w:fldChar w:fldCharType="separate"/>
        </w:r>
        <w:r>
          <w:rPr>
            <w:noProof/>
            <w:webHidden/>
          </w:rPr>
          <w:t>3</w:t>
        </w:r>
        <w:r w:rsidR="001B0B0C">
          <w:rPr>
            <w:noProof/>
            <w:webHidden/>
          </w:rPr>
          <w:fldChar w:fldCharType="end"/>
        </w:r>
      </w:hyperlink>
    </w:p>
    <w:p w14:paraId="61DA5D92" w14:textId="03DA8F4E" w:rsidR="001B0B0C" w:rsidRDefault="00647F4E">
      <w:pPr>
        <w:pStyle w:val="TOC3"/>
        <w:tabs>
          <w:tab w:val="right" w:leader="dot" w:pos="9350"/>
        </w:tabs>
        <w:rPr>
          <w:rFonts w:asciiTheme="minorHAnsi" w:eastAsiaTheme="minorEastAsia" w:hAnsiTheme="minorHAnsi" w:cstheme="minorBidi"/>
          <w:noProof/>
        </w:rPr>
      </w:pPr>
      <w:hyperlink w:anchor="_Toc4588697" w:history="1">
        <w:r w:rsidR="001B0B0C" w:rsidRPr="00CD618B">
          <w:rPr>
            <w:rStyle w:val="Hyperlink"/>
            <w:noProof/>
          </w:rPr>
          <w:t>Options</w:t>
        </w:r>
        <w:r w:rsidR="001B0B0C">
          <w:rPr>
            <w:noProof/>
            <w:webHidden/>
          </w:rPr>
          <w:tab/>
        </w:r>
        <w:r w:rsidR="001B0B0C">
          <w:rPr>
            <w:noProof/>
            <w:webHidden/>
          </w:rPr>
          <w:fldChar w:fldCharType="begin"/>
        </w:r>
        <w:r w:rsidR="001B0B0C">
          <w:rPr>
            <w:noProof/>
            <w:webHidden/>
          </w:rPr>
          <w:instrText xml:space="preserve"> PAGEREF _Toc4588697 \h </w:instrText>
        </w:r>
        <w:r w:rsidR="001B0B0C">
          <w:rPr>
            <w:noProof/>
            <w:webHidden/>
          </w:rPr>
        </w:r>
        <w:r w:rsidR="001B0B0C">
          <w:rPr>
            <w:noProof/>
            <w:webHidden/>
          </w:rPr>
          <w:fldChar w:fldCharType="separate"/>
        </w:r>
        <w:r>
          <w:rPr>
            <w:noProof/>
            <w:webHidden/>
          </w:rPr>
          <w:t>3</w:t>
        </w:r>
        <w:r w:rsidR="001B0B0C">
          <w:rPr>
            <w:noProof/>
            <w:webHidden/>
          </w:rPr>
          <w:fldChar w:fldCharType="end"/>
        </w:r>
      </w:hyperlink>
    </w:p>
    <w:p w14:paraId="11448F0C" w14:textId="23DEC722" w:rsidR="001B0B0C" w:rsidRDefault="00647F4E">
      <w:pPr>
        <w:pStyle w:val="TOC3"/>
        <w:tabs>
          <w:tab w:val="right" w:leader="dot" w:pos="9350"/>
        </w:tabs>
        <w:rPr>
          <w:rFonts w:asciiTheme="minorHAnsi" w:eastAsiaTheme="minorEastAsia" w:hAnsiTheme="minorHAnsi" w:cstheme="minorBidi"/>
          <w:noProof/>
        </w:rPr>
      </w:pPr>
      <w:hyperlink w:anchor="_Toc4588698" w:history="1">
        <w:r w:rsidR="001B0B0C" w:rsidRPr="00CD618B">
          <w:rPr>
            <w:rStyle w:val="Hyperlink"/>
            <w:noProof/>
          </w:rPr>
          <w:t>Supplemental Information</w:t>
        </w:r>
        <w:r w:rsidR="001B0B0C">
          <w:rPr>
            <w:noProof/>
            <w:webHidden/>
          </w:rPr>
          <w:tab/>
        </w:r>
        <w:r w:rsidR="001B0B0C">
          <w:rPr>
            <w:noProof/>
            <w:webHidden/>
          </w:rPr>
          <w:fldChar w:fldCharType="begin"/>
        </w:r>
        <w:r w:rsidR="001B0B0C">
          <w:rPr>
            <w:noProof/>
            <w:webHidden/>
          </w:rPr>
          <w:instrText xml:space="preserve"> PAGEREF _Toc4588698 \h </w:instrText>
        </w:r>
        <w:r w:rsidR="001B0B0C">
          <w:rPr>
            <w:noProof/>
            <w:webHidden/>
          </w:rPr>
        </w:r>
        <w:r w:rsidR="001B0B0C">
          <w:rPr>
            <w:noProof/>
            <w:webHidden/>
          </w:rPr>
          <w:fldChar w:fldCharType="separate"/>
        </w:r>
        <w:r>
          <w:rPr>
            <w:noProof/>
            <w:webHidden/>
          </w:rPr>
          <w:t>4</w:t>
        </w:r>
        <w:r w:rsidR="001B0B0C">
          <w:rPr>
            <w:noProof/>
            <w:webHidden/>
          </w:rPr>
          <w:fldChar w:fldCharType="end"/>
        </w:r>
      </w:hyperlink>
    </w:p>
    <w:p w14:paraId="0E306D25" w14:textId="35A25AC0" w:rsidR="001B0B0C" w:rsidRDefault="00647F4E">
      <w:pPr>
        <w:pStyle w:val="TOC3"/>
        <w:tabs>
          <w:tab w:val="right" w:leader="dot" w:pos="9350"/>
        </w:tabs>
        <w:rPr>
          <w:rFonts w:asciiTheme="minorHAnsi" w:eastAsiaTheme="minorEastAsia" w:hAnsiTheme="minorHAnsi" w:cstheme="minorBidi"/>
          <w:noProof/>
        </w:rPr>
      </w:pPr>
      <w:hyperlink w:anchor="_Toc4588699" w:history="1">
        <w:r w:rsidR="001B0B0C" w:rsidRPr="00CD618B">
          <w:rPr>
            <w:rStyle w:val="Hyperlink"/>
            <w:noProof/>
          </w:rPr>
          <w:t>Appendices</w:t>
        </w:r>
        <w:r w:rsidR="001B0B0C">
          <w:rPr>
            <w:noProof/>
            <w:webHidden/>
          </w:rPr>
          <w:tab/>
        </w:r>
        <w:r w:rsidR="001B0B0C">
          <w:rPr>
            <w:noProof/>
            <w:webHidden/>
          </w:rPr>
          <w:fldChar w:fldCharType="begin"/>
        </w:r>
        <w:r w:rsidR="001B0B0C">
          <w:rPr>
            <w:noProof/>
            <w:webHidden/>
          </w:rPr>
          <w:instrText xml:space="preserve"> PAGEREF _Toc4588699 \h </w:instrText>
        </w:r>
        <w:r w:rsidR="001B0B0C">
          <w:rPr>
            <w:noProof/>
            <w:webHidden/>
          </w:rPr>
        </w:r>
        <w:r w:rsidR="001B0B0C">
          <w:rPr>
            <w:noProof/>
            <w:webHidden/>
          </w:rPr>
          <w:fldChar w:fldCharType="separate"/>
        </w:r>
        <w:r>
          <w:rPr>
            <w:noProof/>
            <w:webHidden/>
          </w:rPr>
          <w:t>4</w:t>
        </w:r>
        <w:r w:rsidR="001B0B0C">
          <w:rPr>
            <w:noProof/>
            <w:webHidden/>
          </w:rPr>
          <w:fldChar w:fldCharType="end"/>
        </w:r>
      </w:hyperlink>
    </w:p>
    <w:p w14:paraId="72D7D73D" w14:textId="44FDA895" w:rsidR="001B0B0C" w:rsidRDefault="00647F4E">
      <w:pPr>
        <w:pStyle w:val="TOC2"/>
        <w:tabs>
          <w:tab w:val="right" w:leader="dot" w:pos="9350"/>
        </w:tabs>
        <w:rPr>
          <w:rFonts w:asciiTheme="minorHAnsi" w:eastAsiaTheme="minorEastAsia" w:hAnsiTheme="minorHAnsi" w:cstheme="minorBidi"/>
          <w:smallCaps w:val="0"/>
          <w:noProof/>
        </w:rPr>
      </w:pPr>
      <w:hyperlink w:anchor="_Toc4588700" w:history="1">
        <w:r w:rsidR="001B0B0C" w:rsidRPr="00CD618B">
          <w:rPr>
            <w:rStyle w:val="Hyperlink"/>
            <w:noProof/>
          </w:rPr>
          <w:t>Security</w:t>
        </w:r>
        <w:r w:rsidR="001B0B0C">
          <w:rPr>
            <w:noProof/>
            <w:webHidden/>
          </w:rPr>
          <w:tab/>
        </w:r>
        <w:r w:rsidR="001B0B0C">
          <w:rPr>
            <w:noProof/>
            <w:webHidden/>
          </w:rPr>
          <w:fldChar w:fldCharType="begin"/>
        </w:r>
        <w:r w:rsidR="001B0B0C">
          <w:rPr>
            <w:noProof/>
            <w:webHidden/>
          </w:rPr>
          <w:instrText xml:space="preserve"> PAGEREF _Toc4588700 \h </w:instrText>
        </w:r>
        <w:r w:rsidR="001B0B0C">
          <w:rPr>
            <w:noProof/>
            <w:webHidden/>
          </w:rPr>
        </w:r>
        <w:r w:rsidR="001B0B0C">
          <w:rPr>
            <w:noProof/>
            <w:webHidden/>
          </w:rPr>
          <w:fldChar w:fldCharType="separate"/>
        </w:r>
        <w:r>
          <w:rPr>
            <w:noProof/>
            <w:webHidden/>
          </w:rPr>
          <w:t>4</w:t>
        </w:r>
        <w:r w:rsidR="001B0B0C">
          <w:rPr>
            <w:noProof/>
            <w:webHidden/>
          </w:rPr>
          <w:fldChar w:fldCharType="end"/>
        </w:r>
      </w:hyperlink>
    </w:p>
    <w:p w14:paraId="5D694535" w14:textId="7503DD5A" w:rsidR="001B0B0C" w:rsidRDefault="00647F4E">
      <w:pPr>
        <w:pStyle w:val="TOC2"/>
        <w:tabs>
          <w:tab w:val="right" w:leader="dot" w:pos="9350"/>
        </w:tabs>
        <w:rPr>
          <w:rFonts w:asciiTheme="minorHAnsi" w:eastAsiaTheme="minorEastAsia" w:hAnsiTheme="minorHAnsi" w:cstheme="minorBidi"/>
          <w:smallCaps w:val="0"/>
          <w:noProof/>
        </w:rPr>
      </w:pPr>
      <w:hyperlink w:anchor="_Toc4588701" w:history="1">
        <w:r w:rsidR="001B0B0C" w:rsidRPr="00CD618B">
          <w:rPr>
            <w:rStyle w:val="Hyperlink"/>
            <w:noProof/>
          </w:rPr>
          <w:t>Application Architecture</w:t>
        </w:r>
        <w:r w:rsidR="001B0B0C">
          <w:rPr>
            <w:noProof/>
            <w:webHidden/>
          </w:rPr>
          <w:tab/>
        </w:r>
        <w:r w:rsidR="001B0B0C">
          <w:rPr>
            <w:noProof/>
            <w:webHidden/>
          </w:rPr>
          <w:fldChar w:fldCharType="begin"/>
        </w:r>
        <w:r w:rsidR="001B0B0C">
          <w:rPr>
            <w:noProof/>
            <w:webHidden/>
          </w:rPr>
          <w:instrText xml:space="preserve"> PAGEREF _Toc4588701 \h </w:instrText>
        </w:r>
        <w:r w:rsidR="001B0B0C">
          <w:rPr>
            <w:noProof/>
            <w:webHidden/>
          </w:rPr>
        </w:r>
        <w:r w:rsidR="001B0B0C">
          <w:rPr>
            <w:noProof/>
            <w:webHidden/>
          </w:rPr>
          <w:fldChar w:fldCharType="separate"/>
        </w:r>
        <w:r>
          <w:rPr>
            <w:noProof/>
            <w:webHidden/>
          </w:rPr>
          <w:t>6</w:t>
        </w:r>
        <w:r w:rsidR="001B0B0C">
          <w:rPr>
            <w:noProof/>
            <w:webHidden/>
          </w:rPr>
          <w:fldChar w:fldCharType="end"/>
        </w:r>
      </w:hyperlink>
    </w:p>
    <w:p w14:paraId="2A90DA72" w14:textId="7FBE166B" w:rsidR="001B0B0C" w:rsidRDefault="00647F4E">
      <w:pPr>
        <w:pStyle w:val="TOC2"/>
        <w:tabs>
          <w:tab w:val="right" w:leader="dot" w:pos="9350"/>
        </w:tabs>
        <w:rPr>
          <w:rFonts w:asciiTheme="minorHAnsi" w:eastAsiaTheme="minorEastAsia" w:hAnsiTheme="minorHAnsi" w:cstheme="minorBidi"/>
          <w:smallCaps w:val="0"/>
          <w:noProof/>
        </w:rPr>
      </w:pPr>
      <w:hyperlink w:anchor="_Toc4588702" w:history="1">
        <w:r w:rsidR="001B0B0C" w:rsidRPr="00CD618B">
          <w:rPr>
            <w:rStyle w:val="Hyperlink"/>
            <w:noProof/>
          </w:rPr>
          <w:t>Hardware and Infrastructure Architecture</w:t>
        </w:r>
        <w:r w:rsidR="001B0B0C">
          <w:rPr>
            <w:noProof/>
            <w:webHidden/>
          </w:rPr>
          <w:tab/>
        </w:r>
        <w:r w:rsidR="001B0B0C">
          <w:rPr>
            <w:noProof/>
            <w:webHidden/>
          </w:rPr>
          <w:fldChar w:fldCharType="begin"/>
        </w:r>
        <w:r w:rsidR="001B0B0C">
          <w:rPr>
            <w:noProof/>
            <w:webHidden/>
          </w:rPr>
          <w:instrText xml:space="preserve"> PAGEREF _Toc4588702 \h </w:instrText>
        </w:r>
        <w:r w:rsidR="001B0B0C">
          <w:rPr>
            <w:noProof/>
            <w:webHidden/>
          </w:rPr>
        </w:r>
        <w:r w:rsidR="001B0B0C">
          <w:rPr>
            <w:noProof/>
            <w:webHidden/>
          </w:rPr>
          <w:fldChar w:fldCharType="separate"/>
        </w:r>
        <w:r>
          <w:rPr>
            <w:noProof/>
            <w:webHidden/>
          </w:rPr>
          <w:t>7</w:t>
        </w:r>
        <w:r w:rsidR="001B0B0C">
          <w:rPr>
            <w:noProof/>
            <w:webHidden/>
          </w:rPr>
          <w:fldChar w:fldCharType="end"/>
        </w:r>
      </w:hyperlink>
    </w:p>
    <w:p w14:paraId="1219193D" w14:textId="50219911" w:rsidR="001B0B0C" w:rsidRDefault="00647F4E">
      <w:pPr>
        <w:pStyle w:val="TOC3"/>
        <w:tabs>
          <w:tab w:val="right" w:leader="dot" w:pos="9350"/>
        </w:tabs>
        <w:rPr>
          <w:rFonts w:asciiTheme="minorHAnsi" w:eastAsiaTheme="minorEastAsia" w:hAnsiTheme="minorHAnsi" w:cstheme="minorBidi"/>
          <w:noProof/>
        </w:rPr>
      </w:pPr>
      <w:hyperlink w:anchor="_Toc4588703" w:history="1">
        <w:r w:rsidR="001B0B0C" w:rsidRPr="00CD618B">
          <w:rPr>
            <w:rStyle w:val="Hyperlink"/>
            <w:noProof/>
          </w:rPr>
          <w:t>Options That Require VistALink</w:t>
        </w:r>
        <w:r w:rsidR="001B0B0C">
          <w:rPr>
            <w:noProof/>
            <w:webHidden/>
          </w:rPr>
          <w:tab/>
        </w:r>
        <w:r w:rsidR="001B0B0C">
          <w:rPr>
            <w:noProof/>
            <w:webHidden/>
          </w:rPr>
          <w:fldChar w:fldCharType="begin"/>
        </w:r>
        <w:r w:rsidR="001B0B0C">
          <w:rPr>
            <w:noProof/>
            <w:webHidden/>
          </w:rPr>
          <w:instrText xml:space="preserve"> PAGEREF _Toc4588703 \h </w:instrText>
        </w:r>
        <w:r w:rsidR="001B0B0C">
          <w:rPr>
            <w:noProof/>
            <w:webHidden/>
          </w:rPr>
        </w:r>
        <w:r w:rsidR="001B0B0C">
          <w:rPr>
            <w:noProof/>
            <w:webHidden/>
          </w:rPr>
          <w:fldChar w:fldCharType="separate"/>
        </w:r>
        <w:r>
          <w:rPr>
            <w:noProof/>
            <w:webHidden/>
          </w:rPr>
          <w:t>8</w:t>
        </w:r>
        <w:r w:rsidR="001B0B0C">
          <w:rPr>
            <w:noProof/>
            <w:webHidden/>
          </w:rPr>
          <w:fldChar w:fldCharType="end"/>
        </w:r>
      </w:hyperlink>
    </w:p>
    <w:p w14:paraId="67E9FA1F" w14:textId="177BC180" w:rsidR="001B0B0C" w:rsidRDefault="00647F4E">
      <w:pPr>
        <w:pStyle w:val="TOC3"/>
        <w:tabs>
          <w:tab w:val="right" w:leader="dot" w:pos="9350"/>
        </w:tabs>
        <w:rPr>
          <w:rFonts w:asciiTheme="minorHAnsi" w:eastAsiaTheme="minorEastAsia" w:hAnsiTheme="minorHAnsi" w:cstheme="minorBidi"/>
          <w:noProof/>
        </w:rPr>
      </w:pPr>
      <w:hyperlink w:anchor="_Toc4588704" w:history="1">
        <w:r w:rsidR="001B0B0C" w:rsidRPr="00CD618B">
          <w:rPr>
            <w:rStyle w:val="Hyperlink"/>
            <w:noProof/>
          </w:rPr>
          <w:t>VBECS Patching</w:t>
        </w:r>
        <w:r w:rsidR="001B0B0C">
          <w:rPr>
            <w:noProof/>
            <w:webHidden/>
          </w:rPr>
          <w:tab/>
        </w:r>
        <w:r w:rsidR="001B0B0C">
          <w:rPr>
            <w:noProof/>
            <w:webHidden/>
          </w:rPr>
          <w:fldChar w:fldCharType="begin"/>
        </w:r>
        <w:r w:rsidR="001B0B0C">
          <w:rPr>
            <w:noProof/>
            <w:webHidden/>
          </w:rPr>
          <w:instrText xml:space="preserve"> PAGEREF _Toc4588704 \h </w:instrText>
        </w:r>
        <w:r w:rsidR="001B0B0C">
          <w:rPr>
            <w:noProof/>
            <w:webHidden/>
          </w:rPr>
        </w:r>
        <w:r w:rsidR="001B0B0C">
          <w:rPr>
            <w:noProof/>
            <w:webHidden/>
          </w:rPr>
          <w:fldChar w:fldCharType="separate"/>
        </w:r>
        <w:r>
          <w:rPr>
            <w:noProof/>
            <w:webHidden/>
          </w:rPr>
          <w:t>10</w:t>
        </w:r>
        <w:r w:rsidR="001B0B0C">
          <w:rPr>
            <w:noProof/>
            <w:webHidden/>
          </w:rPr>
          <w:fldChar w:fldCharType="end"/>
        </w:r>
      </w:hyperlink>
    </w:p>
    <w:p w14:paraId="162D639C" w14:textId="7E78671E" w:rsidR="001B0B0C" w:rsidRDefault="00647F4E">
      <w:pPr>
        <w:pStyle w:val="TOC1"/>
        <w:tabs>
          <w:tab w:val="right" w:leader="dot" w:pos="9350"/>
        </w:tabs>
        <w:rPr>
          <w:rFonts w:asciiTheme="minorHAnsi" w:eastAsiaTheme="minorEastAsia" w:hAnsiTheme="minorHAnsi" w:cstheme="minorBidi"/>
          <w:b w:val="0"/>
          <w:caps w:val="0"/>
          <w:noProof/>
        </w:rPr>
      </w:pPr>
      <w:hyperlink w:anchor="_Toc4588705" w:history="1">
        <w:r w:rsidR="001B0B0C" w:rsidRPr="00CD618B">
          <w:rPr>
            <w:rStyle w:val="Hyperlink"/>
            <w:noProof/>
          </w:rPr>
          <w:t>Customer Support</w:t>
        </w:r>
        <w:r w:rsidR="001B0B0C">
          <w:rPr>
            <w:noProof/>
            <w:webHidden/>
          </w:rPr>
          <w:tab/>
        </w:r>
        <w:r w:rsidR="001B0B0C">
          <w:rPr>
            <w:noProof/>
            <w:webHidden/>
          </w:rPr>
          <w:fldChar w:fldCharType="begin"/>
        </w:r>
        <w:r w:rsidR="001B0B0C">
          <w:rPr>
            <w:noProof/>
            <w:webHidden/>
          </w:rPr>
          <w:instrText xml:space="preserve"> PAGEREF _Toc4588705 \h </w:instrText>
        </w:r>
        <w:r w:rsidR="001B0B0C">
          <w:rPr>
            <w:noProof/>
            <w:webHidden/>
          </w:rPr>
        </w:r>
        <w:r w:rsidR="001B0B0C">
          <w:rPr>
            <w:noProof/>
            <w:webHidden/>
          </w:rPr>
          <w:fldChar w:fldCharType="separate"/>
        </w:r>
        <w:r>
          <w:rPr>
            <w:noProof/>
            <w:webHidden/>
          </w:rPr>
          <w:t>11</w:t>
        </w:r>
        <w:r w:rsidR="001B0B0C">
          <w:rPr>
            <w:noProof/>
            <w:webHidden/>
          </w:rPr>
          <w:fldChar w:fldCharType="end"/>
        </w:r>
      </w:hyperlink>
    </w:p>
    <w:p w14:paraId="6653242C" w14:textId="1213791F" w:rsidR="001B0B0C" w:rsidRDefault="00647F4E">
      <w:pPr>
        <w:pStyle w:val="TOC2"/>
        <w:tabs>
          <w:tab w:val="right" w:leader="dot" w:pos="9350"/>
        </w:tabs>
        <w:rPr>
          <w:rFonts w:asciiTheme="minorHAnsi" w:eastAsiaTheme="minorEastAsia" w:hAnsiTheme="minorHAnsi" w:cstheme="minorBidi"/>
          <w:smallCaps w:val="0"/>
          <w:noProof/>
        </w:rPr>
      </w:pPr>
      <w:hyperlink w:anchor="_Toc4588706" w:history="1">
        <w:r w:rsidR="001B0B0C" w:rsidRPr="00CD618B">
          <w:rPr>
            <w:rStyle w:val="Hyperlink"/>
            <w:noProof/>
          </w:rPr>
          <w:t>Problems?</w:t>
        </w:r>
        <w:r w:rsidR="001B0B0C">
          <w:rPr>
            <w:noProof/>
            <w:webHidden/>
          </w:rPr>
          <w:tab/>
        </w:r>
        <w:r w:rsidR="001B0B0C">
          <w:rPr>
            <w:noProof/>
            <w:webHidden/>
          </w:rPr>
          <w:fldChar w:fldCharType="begin"/>
        </w:r>
        <w:r w:rsidR="001B0B0C">
          <w:rPr>
            <w:noProof/>
            <w:webHidden/>
          </w:rPr>
          <w:instrText xml:space="preserve"> PAGEREF _Toc4588706 \h </w:instrText>
        </w:r>
        <w:r w:rsidR="001B0B0C">
          <w:rPr>
            <w:noProof/>
            <w:webHidden/>
          </w:rPr>
        </w:r>
        <w:r w:rsidR="001B0B0C">
          <w:rPr>
            <w:noProof/>
            <w:webHidden/>
          </w:rPr>
          <w:fldChar w:fldCharType="separate"/>
        </w:r>
        <w:r>
          <w:rPr>
            <w:noProof/>
            <w:webHidden/>
          </w:rPr>
          <w:t>11</w:t>
        </w:r>
        <w:r w:rsidR="001B0B0C">
          <w:rPr>
            <w:noProof/>
            <w:webHidden/>
          </w:rPr>
          <w:fldChar w:fldCharType="end"/>
        </w:r>
      </w:hyperlink>
    </w:p>
    <w:p w14:paraId="1E9F9749" w14:textId="5E24C64F" w:rsidR="001B0B0C" w:rsidRDefault="00647F4E">
      <w:pPr>
        <w:pStyle w:val="TOC1"/>
        <w:tabs>
          <w:tab w:val="right" w:leader="dot" w:pos="9350"/>
        </w:tabs>
        <w:rPr>
          <w:rFonts w:asciiTheme="minorHAnsi" w:eastAsiaTheme="minorEastAsia" w:hAnsiTheme="minorHAnsi" w:cstheme="minorBidi"/>
          <w:b w:val="0"/>
          <w:caps w:val="0"/>
          <w:noProof/>
        </w:rPr>
      </w:pPr>
      <w:hyperlink w:anchor="_Toc4588707" w:history="1">
        <w:r w:rsidR="001B0B0C" w:rsidRPr="00CD618B">
          <w:rPr>
            <w:rStyle w:val="Hyperlink"/>
            <w:noProof/>
          </w:rPr>
          <w:t>Using the Software</w:t>
        </w:r>
        <w:r w:rsidR="001B0B0C">
          <w:rPr>
            <w:noProof/>
            <w:webHidden/>
          </w:rPr>
          <w:tab/>
        </w:r>
        <w:r w:rsidR="001B0B0C">
          <w:rPr>
            <w:noProof/>
            <w:webHidden/>
          </w:rPr>
          <w:fldChar w:fldCharType="begin"/>
        </w:r>
        <w:r w:rsidR="001B0B0C">
          <w:rPr>
            <w:noProof/>
            <w:webHidden/>
          </w:rPr>
          <w:instrText xml:space="preserve"> PAGEREF _Toc4588707 \h </w:instrText>
        </w:r>
        <w:r w:rsidR="001B0B0C">
          <w:rPr>
            <w:noProof/>
            <w:webHidden/>
          </w:rPr>
        </w:r>
        <w:r w:rsidR="001B0B0C">
          <w:rPr>
            <w:noProof/>
            <w:webHidden/>
          </w:rPr>
          <w:fldChar w:fldCharType="separate"/>
        </w:r>
        <w:r>
          <w:rPr>
            <w:noProof/>
            <w:webHidden/>
          </w:rPr>
          <w:t>13</w:t>
        </w:r>
        <w:r w:rsidR="001B0B0C">
          <w:rPr>
            <w:noProof/>
            <w:webHidden/>
          </w:rPr>
          <w:fldChar w:fldCharType="end"/>
        </w:r>
      </w:hyperlink>
    </w:p>
    <w:p w14:paraId="6B7B8330" w14:textId="6D432C62" w:rsidR="001B0B0C" w:rsidRDefault="00647F4E">
      <w:pPr>
        <w:pStyle w:val="TOC2"/>
        <w:tabs>
          <w:tab w:val="right" w:leader="dot" w:pos="9350"/>
        </w:tabs>
        <w:rPr>
          <w:rFonts w:asciiTheme="minorHAnsi" w:eastAsiaTheme="minorEastAsia" w:hAnsiTheme="minorHAnsi" w:cstheme="minorBidi"/>
          <w:smallCaps w:val="0"/>
          <w:noProof/>
        </w:rPr>
      </w:pPr>
      <w:hyperlink w:anchor="_Toc4588708" w:history="1">
        <w:r w:rsidR="001B0B0C" w:rsidRPr="00CD618B">
          <w:rPr>
            <w:rStyle w:val="Hyperlink"/>
            <w:noProof/>
          </w:rPr>
          <w:t>Software Basics</w:t>
        </w:r>
        <w:r w:rsidR="001B0B0C">
          <w:rPr>
            <w:noProof/>
            <w:webHidden/>
          </w:rPr>
          <w:tab/>
        </w:r>
        <w:r w:rsidR="001B0B0C">
          <w:rPr>
            <w:noProof/>
            <w:webHidden/>
          </w:rPr>
          <w:fldChar w:fldCharType="begin"/>
        </w:r>
        <w:r w:rsidR="001B0B0C">
          <w:rPr>
            <w:noProof/>
            <w:webHidden/>
          </w:rPr>
          <w:instrText xml:space="preserve"> PAGEREF _Toc4588708 \h </w:instrText>
        </w:r>
        <w:r w:rsidR="001B0B0C">
          <w:rPr>
            <w:noProof/>
            <w:webHidden/>
          </w:rPr>
        </w:r>
        <w:r w:rsidR="001B0B0C">
          <w:rPr>
            <w:noProof/>
            <w:webHidden/>
          </w:rPr>
          <w:fldChar w:fldCharType="separate"/>
        </w:r>
        <w:r>
          <w:rPr>
            <w:noProof/>
            <w:webHidden/>
          </w:rPr>
          <w:t>13</w:t>
        </w:r>
        <w:r w:rsidR="001B0B0C">
          <w:rPr>
            <w:noProof/>
            <w:webHidden/>
          </w:rPr>
          <w:fldChar w:fldCharType="end"/>
        </w:r>
      </w:hyperlink>
    </w:p>
    <w:p w14:paraId="7C64C710" w14:textId="415D3E66" w:rsidR="001B0B0C" w:rsidRDefault="00647F4E">
      <w:pPr>
        <w:pStyle w:val="TOC2"/>
        <w:tabs>
          <w:tab w:val="right" w:leader="dot" w:pos="9350"/>
        </w:tabs>
        <w:rPr>
          <w:rFonts w:asciiTheme="minorHAnsi" w:eastAsiaTheme="minorEastAsia" w:hAnsiTheme="minorHAnsi" w:cstheme="minorBidi"/>
          <w:smallCaps w:val="0"/>
          <w:noProof/>
        </w:rPr>
      </w:pPr>
      <w:hyperlink w:anchor="_Toc4588709" w:history="1">
        <w:r w:rsidR="001B0B0C" w:rsidRPr="00CD618B">
          <w:rPr>
            <w:rStyle w:val="Hyperlink"/>
            <w:noProof/>
          </w:rPr>
          <w:t>Commonly Used System Rules</w:t>
        </w:r>
        <w:r w:rsidR="001B0B0C">
          <w:rPr>
            <w:noProof/>
            <w:webHidden/>
          </w:rPr>
          <w:tab/>
        </w:r>
        <w:r w:rsidR="001B0B0C">
          <w:rPr>
            <w:noProof/>
            <w:webHidden/>
          </w:rPr>
          <w:fldChar w:fldCharType="begin"/>
        </w:r>
        <w:r w:rsidR="001B0B0C">
          <w:rPr>
            <w:noProof/>
            <w:webHidden/>
          </w:rPr>
          <w:instrText xml:space="preserve"> PAGEREF _Toc4588709 \h </w:instrText>
        </w:r>
        <w:r w:rsidR="001B0B0C">
          <w:rPr>
            <w:noProof/>
            <w:webHidden/>
          </w:rPr>
        </w:r>
        <w:r w:rsidR="001B0B0C">
          <w:rPr>
            <w:noProof/>
            <w:webHidden/>
          </w:rPr>
          <w:fldChar w:fldCharType="separate"/>
        </w:r>
        <w:r>
          <w:rPr>
            <w:noProof/>
            <w:webHidden/>
          </w:rPr>
          <w:t>15</w:t>
        </w:r>
        <w:r w:rsidR="001B0B0C">
          <w:rPr>
            <w:noProof/>
            <w:webHidden/>
          </w:rPr>
          <w:fldChar w:fldCharType="end"/>
        </w:r>
      </w:hyperlink>
    </w:p>
    <w:p w14:paraId="4135B01E" w14:textId="0CC2871E" w:rsidR="001B0B0C" w:rsidRDefault="00647F4E">
      <w:pPr>
        <w:pStyle w:val="TOC3"/>
        <w:tabs>
          <w:tab w:val="right" w:leader="dot" w:pos="9350"/>
        </w:tabs>
        <w:rPr>
          <w:rFonts w:asciiTheme="minorHAnsi" w:eastAsiaTheme="minorEastAsia" w:hAnsiTheme="minorHAnsi" w:cstheme="minorBidi"/>
          <w:noProof/>
        </w:rPr>
      </w:pPr>
      <w:hyperlink w:anchor="_Toc4588710" w:history="1">
        <w:r w:rsidR="001B0B0C" w:rsidRPr="00CD618B">
          <w:rPr>
            <w:rStyle w:val="Hyperlink"/>
            <w:noProof/>
          </w:rPr>
          <w:t>Date and Time</w:t>
        </w:r>
        <w:r w:rsidR="001B0B0C">
          <w:rPr>
            <w:noProof/>
            <w:webHidden/>
          </w:rPr>
          <w:tab/>
        </w:r>
        <w:r w:rsidR="001B0B0C">
          <w:rPr>
            <w:noProof/>
            <w:webHidden/>
          </w:rPr>
          <w:fldChar w:fldCharType="begin"/>
        </w:r>
        <w:r w:rsidR="001B0B0C">
          <w:rPr>
            <w:noProof/>
            <w:webHidden/>
          </w:rPr>
          <w:instrText xml:space="preserve"> PAGEREF _Toc4588710 \h </w:instrText>
        </w:r>
        <w:r w:rsidR="001B0B0C">
          <w:rPr>
            <w:noProof/>
            <w:webHidden/>
          </w:rPr>
        </w:r>
        <w:r w:rsidR="001B0B0C">
          <w:rPr>
            <w:noProof/>
            <w:webHidden/>
          </w:rPr>
          <w:fldChar w:fldCharType="separate"/>
        </w:r>
        <w:r>
          <w:rPr>
            <w:noProof/>
            <w:webHidden/>
          </w:rPr>
          <w:t>15</w:t>
        </w:r>
        <w:r w:rsidR="001B0B0C">
          <w:rPr>
            <w:noProof/>
            <w:webHidden/>
          </w:rPr>
          <w:fldChar w:fldCharType="end"/>
        </w:r>
      </w:hyperlink>
    </w:p>
    <w:p w14:paraId="43B239C0" w14:textId="587285F4" w:rsidR="001B0B0C" w:rsidRDefault="00647F4E">
      <w:pPr>
        <w:pStyle w:val="TOC3"/>
        <w:tabs>
          <w:tab w:val="right" w:leader="dot" w:pos="9350"/>
        </w:tabs>
        <w:rPr>
          <w:rFonts w:asciiTheme="minorHAnsi" w:eastAsiaTheme="minorEastAsia" w:hAnsiTheme="minorHAnsi" w:cstheme="minorBidi"/>
          <w:noProof/>
        </w:rPr>
      </w:pPr>
      <w:hyperlink w:anchor="_Toc4588711" w:history="1">
        <w:r w:rsidR="001B0B0C" w:rsidRPr="00CD618B">
          <w:rPr>
            <w:rStyle w:val="Hyperlink"/>
            <w:noProof/>
          </w:rPr>
          <w:t>Locking and Time-Outs</w:t>
        </w:r>
        <w:r w:rsidR="001B0B0C">
          <w:rPr>
            <w:noProof/>
            <w:webHidden/>
          </w:rPr>
          <w:tab/>
        </w:r>
        <w:r w:rsidR="001B0B0C">
          <w:rPr>
            <w:noProof/>
            <w:webHidden/>
          </w:rPr>
          <w:fldChar w:fldCharType="begin"/>
        </w:r>
        <w:r w:rsidR="001B0B0C">
          <w:rPr>
            <w:noProof/>
            <w:webHidden/>
          </w:rPr>
          <w:instrText xml:space="preserve"> PAGEREF _Toc4588711 \h </w:instrText>
        </w:r>
        <w:r w:rsidR="001B0B0C">
          <w:rPr>
            <w:noProof/>
            <w:webHidden/>
          </w:rPr>
        </w:r>
        <w:r w:rsidR="001B0B0C">
          <w:rPr>
            <w:noProof/>
            <w:webHidden/>
          </w:rPr>
          <w:fldChar w:fldCharType="separate"/>
        </w:r>
        <w:r>
          <w:rPr>
            <w:noProof/>
            <w:webHidden/>
          </w:rPr>
          <w:t>15</w:t>
        </w:r>
        <w:r w:rsidR="001B0B0C">
          <w:rPr>
            <w:noProof/>
            <w:webHidden/>
          </w:rPr>
          <w:fldChar w:fldCharType="end"/>
        </w:r>
      </w:hyperlink>
    </w:p>
    <w:p w14:paraId="275E6633" w14:textId="0ABF114D" w:rsidR="001B0B0C" w:rsidRDefault="00647F4E">
      <w:pPr>
        <w:pStyle w:val="TOC3"/>
        <w:tabs>
          <w:tab w:val="right" w:leader="dot" w:pos="9350"/>
        </w:tabs>
        <w:rPr>
          <w:rFonts w:asciiTheme="minorHAnsi" w:eastAsiaTheme="minorEastAsia" w:hAnsiTheme="minorHAnsi" w:cstheme="minorBidi"/>
          <w:noProof/>
        </w:rPr>
      </w:pPr>
      <w:hyperlink w:anchor="_Toc4588712" w:history="1">
        <w:r w:rsidR="001B0B0C" w:rsidRPr="00CD618B">
          <w:rPr>
            <w:rStyle w:val="Hyperlink"/>
            <w:noProof/>
          </w:rPr>
          <w:t>Working with Data</w:t>
        </w:r>
        <w:r w:rsidR="001B0B0C">
          <w:rPr>
            <w:noProof/>
            <w:webHidden/>
          </w:rPr>
          <w:tab/>
        </w:r>
        <w:r w:rsidR="001B0B0C">
          <w:rPr>
            <w:noProof/>
            <w:webHidden/>
          </w:rPr>
          <w:fldChar w:fldCharType="begin"/>
        </w:r>
        <w:r w:rsidR="001B0B0C">
          <w:rPr>
            <w:noProof/>
            <w:webHidden/>
          </w:rPr>
          <w:instrText xml:space="preserve"> PAGEREF _Toc4588712 \h </w:instrText>
        </w:r>
        <w:r w:rsidR="001B0B0C">
          <w:rPr>
            <w:noProof/>
            <w:webHidden/>
          </w:rPr>
        </w:r>
        <w:r w:rsidR="001B0B0C">
          <w:rPr>
            <w:noProof/>
            <w:webHidden/>
          </w:rPr>
          <w:fldChar w:fldCharType="separate"/>
        </w:r>
        <w:r>
          <w:rPr>
            <w:noProof/>
            <w:webHidden/>
          </w:rPr>
          <w:t>15</w:t>
        </w:r>
        <w:r w:rsidR="001B0B0C">
          <w:rPr>
            <w:noProof/>
            <w:webHidden/>
          </w:rPr>
          <w:fldChar w:fldCharType="end"/>
        </w:r>
      </w:hyperlink>
    </w:p>
    <w:p w14:paraId="6B837822" w14:textId="383E49F6" w:rsidR="001B0B0C" w:rsidRDefault="00647F4E">
      <w:pPr>
        <w:pStyle w:val="TOC3"/>
        <w:tabs>
          <w:tab w:val="right" w:leader="dot" w:pos="9350"/>
        </w:tabs>
        <w:rPr>
          <w:rFonts w:asciiTheme="minorHAnsi" w:eastAsiaTheme="minorEastAsia" w:hAnsiTheme="minorHAnsi" w:cstheme="minorBidi"/>
          <w:noProof/>
        </w:rPr>
      </w:pPr>
      <w:hyperlink w:anchor="_Toc4588713" w:history="1">
        <w:r w:rsidR="001B0B0C" w:rsidRPr="00CD618B">
          <w:rPr>
            <w:rStyle w:val="Hyperlink"/>
            <w:noProof/>
          </w:rPr>
          <w:t>Searching the Database</w:t>
        </w:r>
        <w:r w:rsidR="001B0B0C">
          <w:rPr>
            <w:noProof/>
            <w:webHidden/>
          </w:rPr>
          <w:tab/>
        </w:r>
        <w:r w:rsidR="001B0B0C">
          <w:rPr>
            <w:noProof/>
            <w:webHidden/>
          </w:rPr>
          <w:fldChar w:fldCharType="begin"/>
        </w:r>
        <w:r w:rsidR="001B0B0C">
          <w:rPr>
            <w:noProof/>
            <w:webHidden/>
          </w:rPr>
          <w:instrText xml:space="preserve"> PAGEREF _Toc4588713 \h </w:instrText>
        </w:r>
        <w:r w:rsidR="001B0B0C">
          <w:rPr>
            <w:noProof/>
            <w:webHidden/>
          </w:rPr>
        </w:r>
        <w:r w:rsidR="001B0B0C">
          <w:rPr>
            <w:noProof/>
            <w:webHidden/>
          </w:rPr>
          <w:fldChar w:fldCharType="separate"/>
        </w:r>
        <w:r>
          <w:rPr>
            <w:noProof/>
            <w:webHidden/>
          </w:rPr>
          <w:t>16</w:t>
        </w:r>
        <w:r w:rsidR="001B0B0C">
          <w:rPr>
            <w:noProof/>
            <w:webHidden/>
          </w:rPr>
          <w:fldChar w:fldCharType="end"/>
        </w:r>
      </w:hyperlink>
    </w:p>
    <w:p w14:paraId="2DA4A6BD" w14:textId="7928EE47" w:rsidR="001B0B0C" w:rsidRDefault="00647F4E">
      <w:pPr>
        <w:pStyle w:val="TOC3"/>
        <w:tabs>
          <w:tab w:val="right" w:leader="dot" w:pos="9350"/>
        </w:tabs>
        <w:rPr>
          <w:rFonts w:asciiTheme="minorHAnsi" w:eastAsiaTheme="minorEastAsia" w:hAnsiTheme="minorHAnsi" w:cstheme="minorBidi"/>
          <w:noProof/>
        </w:rPr>
      </w:pPr>
      <w:hyperlink w:anchor="_Toc4588714" w:history="1">
        <w:r w:rsidR="001B0B0C" w:rsidRPr="00CD618B">
          <w:rPr>
            <w:rStyle w:val="Hyperlink"/>
            <w:noProof/>
          </w:rPr>
          <w:t>Testing</w:t>
        </w:r>
        <w:r w:rsidR="001B0B0C">
          <w:rPr>
            <w:noProof/>
            <w:webHidden/>
          </w:rPr>
          <w:tab/>
        </w:r>
        <w:r w:rsidR="001B0B0C">
          <w:rPr>
            <w:noProof/>
            <w:webHidden/>
          </w:rPr>
          <w:fldChar w:fldCharType="begin"/>
        </w:r>
        <w:r w:rsidR="001B0B0C">
          <w:rPr>
            <w:noProof/>
            <w:webHidden/>
          </w:rPr>
          <w:instrText xml:space="preserve"> PAGEREF _Toc4588714 \h </w:instrText>
        </w:r>
        <w:r w:rsidR="001B0B0C">
          <w:rPr>
            <w:noProof/>
            <w:webHidden/>
          </w:rPr>
        </w:r>
        <w:r w:rsidR="001B0B0C">
          <w:rPr>
            <w:noProof/>
            <w:webHidden/>
          </w:rPr>
          <w:fldChar w:fldCharType="separate"/>
        </w:r>
        <w:r>
          <w:rPr>
            <w:noProof/>
            <w:webHidden/>
          </w:rPr>
          <w:t>17</w:t>
        </w:r>
        <w:r w:rsidR="001B0B0C">
          <w:rPr>
            <w:noProof/>
            <w:webHidden/>
          </w:rPr>
          <w:fldChar w:fldCharType="end"/>
        </w:r>
      </w:hyperlink>
    </w:p>
    <w:p w14:paraId="209D7A34" w14:textId="5CAC61CC" w:rsidR="001B0B0C" w:rsidRDefault="00647F4E">
      <w:pPr>
        <w:pStyle w:val="TOC3"/>
        <w:tabs>
          <w:tab w:val="right" w:leader="dot" w:pos="9350"/>
        </w:tabs>
        <w:rPr>
          <w:rFonts w:asciiTheme="minorHAnsi" w:eastAsiaTheme="minorEastAsia" w:hAnsiTheme="minorHAnsi" w:cstheme="minorBidi"/>
          <w:noProof/>
        </w:rPr>
      </w:pPr>
      <w:hyperlink w:anchor="_Toc4588715" w:history="1">
        <w:r w:rsidR="001B0B0C" w:rsidRPr="00CD618B">
          <w:rPr>
            <w:rStyle w:val="Hyperlink"/>
            <w:noProof/>
          </w:rPr>
          <w:t>Creating and Viewing Reports</w:t>
        </w:r>
        <w:r w:rsidR="001B0B0C">
          <w:rPr>
            <w:noProof/>
            <w:webHidden/>
          </w:rPr>
          <w:tab/>
        </w:r>
        <w:r w:rsidR="001B0B0C">
          <w:rPr>
            <w:noProof/>
            <w:webHidden/>
          </w:rPr>
          <w:fldChar w:fldCharType="begin"/>
        </w:r>
        <w:r w:rsidR="001B0B0C">
          <w:rPr>
            <w:noProof/>
            <w:webHidden/>
          </w:rPr>
          <w:instrText xml:space="preserve"> PAGEREF _Toc4588715 \h </w:instrText>
        </w:r>
        <w:r w:rsidR="001B0B0C">
          <w:rPr>
            <w:noProof/>
            <w:webHidden/>
          </w:rPr>
        </w:r>
        <w:r w:rsidR="001B0B0C">
          <w:rPr>
            <w:noProof/>
            <w:webHidden/>
          </w:rPr>
          <w:fldChar w:fldCharType="separate"/>
        </w:r>
        <w:r>
          <w:rPr>
            <w:noProof/>
            <w:webHidden/>
          </w:rPr>
          <w:t>21</w:t>
        </w:r>
        <w:r w:rsidR="001B0B0C">
          <w:rPr>
            <w:noProof/>
            <w:webHidden/>
          </w:rPr>
          <w:fldChar w:fldCharType="end"/>
        </w:r>
      </w:hyperlink>
    </w:p>
    <w:p w14:paraId="5465D2B0" w14:textId="54E4C062" w:rsidR="001B0B0C" w:rsidRDefault="00647F4E">
      <w:pPr>
        <w:pStyle w:val="TOC2"/>
        <w:tabs>
          <w:tab w:val="right" w:leader="dot" w:pos="9350"/>
        </w:tabs>
        <w:rPr>
          <w:rFonts w:asciiTheme="minorHAnsi" w:eastAsiaTheme="minorEastAsia" w:hAnsiTheme="minorHAnsi" w:cstheme="minorBidi"/>
          <w:smallCaps w:val="0"/>
          <w:noProof/>
        </w:rPr>
      </w:pPr>
      <w:hyperlink w:anchor="_Toc4588716" w:history="1">
        <w:r w:rsidR="001B0B0C" w:rsidRPr="00CD618B">
          <w:rPr>
            <w:rStyle w:val="Hyperlink"/>
            <w:noProof/>
          </w:rPr>
          <w:t>Report Toolbar</w:t>
        </w:r>
        <w:r w:rsidR="001B0B0C">
          <w:rPr>
            <w:noProof/>
            <w:webHidden/>
          </w:rPr>
          <w:tab/>
        </w:r>
        <w:r w:rsidR="001B0B0C">
          <w:rPr>
            <w:noProof/>
            <w:webHidden/>
          </w:rPr>
          <w:fldChar w:fldCharType="begin"/>
        </w:r>
        <w:r w:rsidR="001B0B0C">
          <w:rPr>
            <w:noProof/>
            <w:webHidden/>
          </w:rPr>
          <w:instrText xml:space="preserve"> PAGEREF _Toc4588716 \h </w:instrText>
        </w:r>
        <w:r w:rsidR="001B0B0C">
          <w:rPr>
            <w:noProof/>
            <w:webHidden/>
          </w:rPr>
        </w:r>
        <w:r w:rsidR="001B0B0C">
          <w:rPr>
            <w:noProof/>
            <w:webHidden/>
          </w:rPr>
          <w:fldChar w:fldCharType="separate"/>
        </w:r>
        <w:r>
          <w:rPr>
            <w:noProof/>
            <w:webHidden/>
          </w:rPr>
          <w:t>18</w:t>
        </w:r>
        <w:r w:rsidR="001B0B0C">
          <w:rPr>
            <w:noProof/>
            <w:webHidden/>
          </w:rPr>
          <w:fldChar w:fldCharType="end"/>
        </w:r>
      </w:hyperlink>
    </w:p>
    <w:p w14:paraId="615093CF" w14:textId="5661881B" w:rsidR="001B0B0C" w:rsidRDefault="00647F4E">
      <w:pPr>
        <w:pStyle w:val="TOC3"/>
        <w:tabs>
          <w:tab w:val="right" w:leader="dot" w:pos="9350"/>
        </w:tabs>
        <w:rPr>
          <w:rFonts w:asciiTheme="minorHAnsi" w:eastAsiaTheme="minorEastAsia" w:hAnsiTheme="minorHAnsi" w:cstheme="minorBidi"/>
          <w:noProof/>
        </w:rPr>
      </w:pPr>
      <w:hyperlink w:anchor="_Toc4588717" w:history="1">
        <w:r w:rsidR="001B0B0C" w:rsidRPr="00CD618B">
          <w:rPr>
            <w:rStyle w:val="Hyperlink"/>
            <w:noProof/>
          </w:rPr>
          <w:t>Navigation Arrows and Report Pages</w:t>
        </w:r>
        <w:r w:rsidR="001B0B0C">
          <w:rPr>
            <w:noProof/>
            <w:webHidden/>
          </w:rPr>
          <w:tab/>
        </w:r>
        <w:r w:rsidR="001B0B0C">
          <w:rPr>
            <w:noProof/>
            <w:webHidden/>
          </w:rPr>
          <w:fldChar w:fldCharType="begin"/>
        </w:r>
        <w:r w:rsidR="001B0B0C">
          <w:rPr>
            <w:noProof/>
            <w:webHidden/>
          </w:rPr>
          <w:instrText xml:space="preserve"> PAGEREF _Toc4588717 \h </w:instrText>
        </w:r>
        <w:r w:rsidR="001B0B0C">
          <w:rPr>
            <w:noProof/>
            <w:webHidden/>
          </w:rPr>
        </w:r>
        <w:r w:rsidR="001B0B0C">
          <w:rPr>
            <w:noProof/>
            <w:webHidden/>
          </w:rPr>
          <w:fldChar w:fldCharType="separate"/>
        </w:r>
        <w:r>
          <w:rPr>
            <w:noProof/>
            <w:webHidden/>
          </w:rPr>
          <w:t>18</w:t>
        </w:r>
        <w:r w:rsidR="001B0B0C">
          <w:rPr>
            <w:noProof/>
            <w:webHidden/>
          </w:rPr>
          <w:fldChar w:fldCharType="end"/>
        </w:r>
      </w:hyperlink>
    </w:p>
    <w:p w14:paraId="6B435F49" w14:textId="407EB13E" w:rsidR="001B0B0C" w:rsidRDefault="00647F4E">
      <w:pPr>
        <w:pStyle w:val="TOC3"/>
        <w:tabs>
          <w:tab w:val="right" w:leader="dot" w:pos="9350"/>
        </w:tabs>
        <w:rPr>
          <w:rFonts w:asciiTheme="minorHAnsi" w:eastAsiaTheme="minorEastAsia" w:hAnsiTheme="minorHAnsi" w:cstheme="minorBidi"/>
          <w:noProof/>
        </w:rPr>
      </w:pPr>
      <w:hyperlink w:anchor="_Toc4588718" w:history="1">
        <w:r w:rsidR="001B0B0C" w:rsidRPr="00CD618B">
          <w:rPr>
            <w:rStyle w:val="Hyperlink"/>
            <w:noProof/>
          </w:rPr>
          <w:t>Report Layout</w:t>
        </w:r>
        <w:r w:rsidR="001B0B0C">
          <w:rPr>
            <w:noProof/>
            <w:webHidden/>
          </w:rPr>
          <w:tab/>
        </w:r>
        <w:r w:rsidR="001B0B0C">
          <w:rPr>
            <w:noProof/>
            <w:webHidden/>
          </w:rPr>
          <w:fldChar w:fldCharType="begin"/>
        </w:r>
        <w:r w:rsidR="001B0B0C">
          <w:rPr>
            <w:noProof/>
            <w:webHidden/>
          </w:rPr>
          <w:instrText xml:space="preserve"> PAGEREF _Toc4588718 \h </w:instrText>
        </w:r>
        <w:r w:rsidR="001B0B0C">
          <w:rPr>
            <w:noProof/>
            <w:webHidden/>
          </w:rPr>
        </w:r>
        <w:r w:rsidR="001B0B0C">
          <w:rPr>
            <w:noProof/>
            <w:webHidden/>
          </w:rPr>
          <w:fldChar w:fldCharType="separate"/>
        </w:r>
        <w:r>
          <w:rPr>
            <w:noProof/>
            <w:webHidden/>
          </w:rPr>
          <w:t>18</w:t>
        </w:r>
        <w:r w:rsidR="001B0B0C">
          <w:rPr>
            <w:noProof/>
            <w:webHidden/>
          </w:rPr>
          <w:fldChar w:fldCharType="end"/>
        </w:r>
      </w:hyperlink>
    </w:p>
    <w:p w14:paraId="12AB73BA" w14:textId="746AA810" w:rsidR="001B0B0C" w:rsidRDefault="00647F4E">
      <w:pPr>
        <w:pStyle w:val="TOC3"/>
        <w:tabs>
          <w:tab w:val="right" w:leader="dot" w:pos="9350"/>
        </w:tabs>
        <w:rPr>
          <w:rFonts w:asciiTheme="minorHAnsi" w:eastAsiaTheme="minorEastAsia" w:hAnsiTheme="minorHAnsi" w:cstheme="minorBidi"/>
          <w:noProof/>
        </w:rPr>
      </w:pPr>
      <w:hyperlink w:anchor="_Toc4588719" w:history="1">
        <w:r w:rsidR="001B0B0C" w:rsidRPr="00CD618B">
          <w:rPr>
            <w:rStyle w:val="Hyperlink"/>
            <w:noProof/>
          </w:rPr>
          <w:t>Report Zoom-in/Zoom-out</w:t>
        </w:r>
        <w:r w:rsidR="001B0B0C">
          <w:rPr>
            <w:noProof/>
            <w:webHidden/>
          </w:rPr>
          <w:tab/>
        </w:r>
        <w:r w:rsidR="001B0B0C">
          <w:rPr>
            <w:noProof/>
            <w:webHidden/>
          </w:rPr>
          <w:fldChar w:fldCharType="begin"/>
        </w:r>
        <w:r w:rsidR="001B0B0C">
          <w:rPr>
            <w:noProof/>
            <w:webHidden/>
          </w:rPr>
          <w:instrText xml:space="preserve"> PAGEREF _Toc4588719 \h </w:instrText>
        </w:r>
        <w:r w:rsidR="001B0B0C">
          <w:rPr>
            <w:noProof/>
            <w:webHidden/>
          </w:rPr>
        </w:r>
        <w:r w:rsidR="001B0B0C">
          <w:rPr>
            <w:noProof/>
            <w:webHidden/>
          </w:rPr>
          <w:fldChar w:fldCharType="separate"/>
        </w:r>
        <w:r>
          <w:rPr>
            <w:noProof/>
            <w:webHidden/>
          </w:rPr>
          <w:t>19</w:t>
        </w:r>
        <w:r w:rsidR="001B0B0C">
          <w:rPr>
            <w:noProof/>
            <w:webHidden/>
          </w:rPr>
          <w:fldChar w:fldCharType="end"/>
        </w:r>
      </w:hyperlink>
    </w:p>
    <w:p w14:paraId="568351F4" w14:textId="324B1258" w:rsidR="001B0B0C" w:rsidRDefault="00647F4E">
      <w:pPr>
        <w:pStyle w:val="TOC3"/>
        <w:tabs>
          <w:tab w:val="right" w:leader="dot" w:pos="9350"/>
        </w:tabs>
        <w:rPr>
          <w:rFonts w:asciiTheme="minorHAnsi" w:eastAsiaTheme="minorEastAsia" w:hAnsiTheme="minorHAnsi" w:cstheme="minorBidi"/>
          <w:noProof/>
        </w:rPr>
      </w:pPr>
      <w:hyperlink w:anchor="_Toc4588720" w:history="1">
        <w:r w:rsidR="001B0B0C" w:rsidRPr="00CD618B">
          <w:rPr>
            <w:rStyle w:val="Hyperlink"/>
            <w:noProof/>
          </w:rPr>
          <w:t>Report Search</w:t>
        </w:r>
        <w:r w:rsidR="001B0B0C">
          <w:rPr>
            <w:noProof/>
            <w:webHidden/>
          </w:rPr>
          <w:tab/>
        </w:r>
        <w:r w:rsidR="001B0B0C">
          <w:rPr>
            <w:noProof/>
            <w:webHidden/>
          </w:rPr>
          <w:fldChar w:fldCharType="begin"/>
        </w:r>
        <w:r w:rsidR="001B0B0C">
          <w:rPr>
            <w:noProof/>
            <w:webHidden/>
          </w:rPr>
          <w:instrText xml:space="preserve"> PAGEREF _Toc4588720 \h </w:instrText>
        </w:r>
        <w:r w:rsidR="001B0B0C">
          <w:rPr>
            <w:noProof/>
            <w:webHidden/>
          </w:rPr>
        </w:r>
        <w:r w:rsidR="001B0B0C">
          <w:rPr>
            <w:noProof/>
            <w:webHidden/>
          </w:rPr>
          <w:fldChar w:fldCharType="separate"/>
        </w:r>
        <w:r>
          <w:rPr>
            <w:noProof/>
            <w:webHidden/>
          </w:rPr>
          <w:t>19</w:t>
        </w:r>
        <w:r w:rsidR="001B0B0C">
          <w:rPr>
            <w:noProof/>
            <w:webHidden/>
          </w:rPr>
          <w:fldChar w:fldCharType="end"/>
        </w:r>
      </w:hyperlink>
    </w:p>
    <w:p w14:paraId="06EBDE01" w14:textId="2823DE85" w:rsidR="001B0B0C" w:rsidRDefault="00647F4E">
      <w:pPr>
        <w:pStyle w:val="TOC3"/>
        <w:tabs>
          <w:tab w:val="right" w:leader="dot" w:pos="9350"/>
        </w:tabs>
        <w:rPr>
          <w:rFonts w:asciiTheme="minorHAnsi" w:eastAsiaTheme="minorEastAsia" w:hAnsiTheme="minorHAnsi" w:cstheme="minorBidi"/>
          <w:noProof/>
        </w:rPr>
      </w:pPr>
      <w:hyperlink w:anchor="_Toc4588721" w:history="1">
        <w:r w:rsidR="001B0B0C" w:rsidRPr="00CD618B">
          <w:rPr>
            <w:rStyle w:val="Hyperlink"/>
            <w:noProof/>
          </w:rPr>
          <w:t>Report Export</w:t>
        </w:r>
        <w:r w:rsidR="001B0B0C">
          <w:rPr>
            <w:noProof/>
            <w:webHidden/>
          </w:rPr>
          <w:tab/>
        </w:r>
        <w:r w:rsidR="001B0B0C">
          <w:rPr>
            <w:noProof/>
            <w:webHidden/>
          </w:rPr>
          <w:fldChar w:fldCharType="begin"/>
        </w:r>
        <w:r w:rsidR="001B0B0C">
          <w:rPr>
            <w:noProof/>
            <w:webHidden/>
          </w:rPr>
          <w:instrText xml:space="preserve"> PAGEREF _Toc4588721 \h </w:instrText>
        </w:r>
        <w:r w:rsidR="001B0B0C">
          <w:rPr>
            <w:noProof/>
            <w:webHidden/>
          </w:rPr>
        </w:r>
        <w:r w:rsidR="001B0B0C">
          <w:rPr>
            <w:noProof/>
            <w:webHidden/>
          </w:rPr>
          <w:fldChar w:fldCharType="separate"/>
        </w:r>
        <w:r>
          <w:rPr>
            <w:noProof/>
            <w:webHidden/>
          </w:rPr>
          <w:t>20</w:t>
        </w:r>
        <w:r w:rsidR="001B0B0C">
          <w:rPr>
            <w:noProof/>
            <w:webHidden/>
          </w:rPr>
          <w:fldChar w:fldCharType="end"/>
        </w:r>
      </w:hyperlink>
    </w:p>
    <w:p w14:paraId="21B0701B" w14:textId="720045A0" w:rsidR="001B0B0C" w:rsidRDefault="00647F4E">
      <w:pPr>
        <w:pStyle w:val="TOC3"/>
        <w:tabs>
          <w:tab w:val="right" w:leader="dot" w:pos="9350"/>
        </w:tabs>
        <w:rPr>
          <w:rFonts w:asciiTheme="minorHAnsi" w:eastAsiaTheme="minorEastAsia" w:hAnsiTheme="minorHAnsi" w:cstheme="minorBidi"/>
          <w:noProof/>
        </w:rPr>
      </w:pPr>
      <w:hyperlink w:anchor="_Toc4588722" w:history="1">
        <w:r w:rsidR="001B0B0C" w:rsidRPr="00CD618B">
          <w:rPr>
            <w:rStyle w:val="Hyperlink"/>
            <w:noProof/>
          </w:rPr>
          <w:t>Copying an Exported Report</w:t>
        </w:r>
        <w:r w:rsidR="001B0B0C">
          <w:rPr>
            <w:noProof/>
            <w:webHidden/>
          </w:rPr>
          <w:tab/>
        </w:r>
        <w:r w:rsidR="001B0B0C">
          <w:rPr>
            <w:noProof/>
            <w:webHidden/>
          </w:rPr>
          <w:fldChar w:fldCharType="begin"/>
        </w:r>
        <w:r w:rsidR="001B0B0C">
          <w:rPr>
            <w:noProof/>
            <w:webHidden/>
          </w:rPr>
          <w:instrText xml:space="preserve"> PAGEREF _Toc4588722 \h </w:instrText>
        </w:r>
        <w:r w:rsidR="001B0B0C">
          <w:rPr>
            <w:noProof/>
            <w:webHidden/>
          </w:rPr>
        </w:r>
        <w:r w:rsidR="001B0B0C">
          <w:rPr>
            <w:noProof/>
            <w:webHidden/>
          </w:rPr>
          <w:fldChar w:fldCharType="separate"/>
        </w:r>
        <w:r>
          <w:rPr>
            <w:noProof/>
            <w:webHidden/>
          </w:rPr>
          <w:t>23</w:t>
        </w:r>
        <w:r w:rsidR="001B0B0C">
          <w:rPr>
            <w:noProof/>
            <w:webHidden/>
          </w:rPr>
          <w:fldChar w:fldCharType="end"/>
        </w:r>
      </w:hyperlink>
    </w:p>
    <w:p w14:paraId="08C987F0" w14:textId="25529830" w:rsidR="001B0B0C" w:rsidRDefault="00647F4E">
      <w:pPr>
        <w:pStyle w:val="TOC2"/>
        <w:tabs>
          <w:tab w:val="right" w:leader="dot" w:pos="9350"/>
        </w:tabs>
        <w:rPr>
          <w:rFonts w:asciiTheme="minorHAnsi" w:eastAsiaTheme="minorEastAsia" w:hAnsiTheme="minorHAnsi" w:cstheme="minorBidi"/>
          <w:smallCaps w:val="0"/>
          <w:noProof/>
        </w:rPr>
      </w:pPr>
      <w:hyperlink w:anchor="_Toc4588723" w:history="1">
        <w:r w:rsidR="001B0B0C" w:rsidRPr="00CD618B">
          <w:rPr>
            <w:rStyle w:val="Hyperlink"/>
            <w:noProof/>
          </w:rPr>
          <w:t>Using VBECS</w:t>
        </w:r>
        <w:r w:rsidR="001B0B0C">
          <w:rPr>
            <w:noProof/>
            <w:webHidden/>
          </w:rPr>
          <w:tab/>
        </w:r>
        <w:r w:rsidR="001B0B0C">
          <w:rPr>
            <w:noProof/>
            <w:webHidden/>
          </w:rPr>
          <w:fldChar w:fldCharType="begin"/>
        </w:r>
        <w:r w:rsidR="001B0B0C">
          <w:rPr>
            <w:noProof/>
            <w:webHidden/>
          </w:rPr>
          <w:instrText xml:space="preserve"> PAGEREF _Toc4588723 \h </w:instrText>
        </w:r>
        <w:r w:rsidR="001B0B0C">
          <w:rPr>
            <w:noProof/>
            <w:webHidden/>
          </w:rPr>
        </w:r>
        <w:r w:rsidR="001B0B0C">
          <w:rPr>
            <w:noProof/>
            <w:webHidden/>
          </w:rPr>
          <w:fldChar w:fldCharType="separate"/>
        </w:r>
        <w:r>
          <w:rPr>
            <w:noProof/>
            <w:webHidden/>
          </w:rPr>
          <w:t>25</w:t>
        </w:r>
        <w:r w:rsidR="001B0B0C">
          <w:rPr>
            <w:noProof/>
            <w:webHidden/>
          </w:rPr>
          <w:fldChar w:fldCharType="end"/>
        </w:r>
      </w:hyperlink>
    </w:p>
    <w:p w14:paraId="3670CAA5" w14:textId="1A693419" w:rsidR="001B0B0C" w:rsidRDefault="00647F4E">
      <w:pPr>
        <w:pStyle w:val="TOC2"/>
        <w:tabs>
          <w:tab w:val="right" w:leader="dot" w:pos="9350"/>
        </w:tabs>
        <w:rPr>
          <w:rFonts w:asciiTheme="minorHAnsi" w:eastAsiaTheme="minorEastAsia" w:hAnsiTheme="minorHAnsi" w:cstheme="minorBidi"/>
          <w:smallCaps w:val="0"/>
          <w:noProof/>
        </w:rPr>
      </w:pPr>
      <w:hyperlink w:anchor="_Toc4588724" w:history="1">
        <w:r w:rsidR="001B0B0C" w:rsidRPr="00CD618B">
          <w:rPr>
            <w:rStyle w:val="Hyperlink"/>
            <w:noProof/>
          </w:rPr>
          <w:t>Using Online Help</w:t>
        </w:r>
        <w:r w:rsidR="001B0B0C">
          <w:rPr>
            <w:noProof/>
            <w:webHidden/>
          </w:rPr>
          <w:tab/>
        </w:r>
        <w:r w:rsidR="001B0B0C">
          <w:rPr>
            <w:noProof/>
            <w:webHidden/>
          </w:rPr>
          <w:fldChar w:fldCharType="begin"/>
        </w:r>
        <w:r w:rsidR="001B0B0C">
          <w:rPr>
            <w:noProof/>
            <w:webHidden/>
          </w:rPr>
          <w:instrText xml:space="preserve"> PAGEREF _Toc4588724 \h </w:instrText>
        </w:r>
        <w:r w:rsidR="001B0B0C">
          <w:rPr>
            <w:noProof/>
            <w:webHidden/>
          </w:rPr>
        </w:r>
        <w:r w:rsidR="001B0B0C">
          <w:rPr>
            <w:noProof/>
            <w:webHidden/>
          </w:rPr>
          <w:fldChar w:fldCharType="separate"/>
        </w:r>
        <w:r>
          <w:rPr>
            <w:noProof/>
            <w:webHidden/>
          </w:rPr>
          <w:t>25</w:t>
        </w:r>
        <w:r w:rsidR="001B0B0C">
          <w:rPr>
            <w:noProof/>
            <w:webHidden/>
          </w:rPr>
          <w:fldChar w:fldCharType="end"/>
        </w:r>
      </w:hyperlink>
    </w:p>
    <w:p w14:paraId="201AE838" w14:textId="16E867E6" w:rsidR="001B0B0C" w:rsidRDefault="00647F4E">
      <w:pPr>
        <w:pStyle w:val="TOC3"/>
        <w:tabs>
          <w:tab w:val="right" w:leader="dot" w:pos="9350"/>
        </w:tabs>
        <w:rPr>
          <w:rFonts w:asciiTheme="minorHAnsi" w:eastAsiaTheme="minorEastAsia" w:hAnsiTheme="minorHAnsi" w:cstheme="minorBidi"/>
          <w:noProof/>
        </w:rPr>
      </w:pPr>
      <w:hyperlink w:anchor="_Toc4588725" w:history="1">
        <w:r w:rsidR="001B0B0C" w:rsidRPr="00CD618B">
          <w:rPr>
            <w:rStyle w:val="Hyperlink"/>
            <w:noProof/>
          </w:rPr>
          <w:t>Searching Using the Table of Contents</w:t>
        </w:r>
        <w:r w:rsidR="001B0B0C">
          <w:rPr>
            <w:noProof/>
            <w:webHidden/>
          </w:rPr>
          <w:tab/>
        </w:r>
        <w:r w:rsidR="001B0B0C">
          <w:rPr>
            <w:noProof/>
            <w:webHidden/>
          </w:rPr>
          <w:fldChar w:fldCharType="begin"/>
        </w:r>
        <w:r w:rsidR="001B0B0C">
          <w:rPr>
            <w:noProof/>
            <w:webHidden/>
          </w:rPr>
          <w:instrText xml:space="preserve"> PAGEREF _Toc4588725 \h </w:instrText>
        </w:r>
        <w:r w:rsidR="001B0B0C">
          <w:rPr>
            <w:noProof/>
            <w:webHidden/>
          </w:rPr>
        </w:r>
        <w:r w:rsidR="001B0B0C">
          <w:rPr>
            <w:noProof/>
            <w:webHidden/>
          </w:rPr>
          <w:fldChar w:fldCharType="separate"/>
        </w:r>
        <w:r>
          <w:rPr>
            <w:noProof/>
            <w:webHidden/>
          </w:rPr>
          <w:t>28</w:t>
        </w:r>
        <w:r w:rsidR="001B0B0C">
          <w:rPr>
            <w:noProof/>
            <w:webHidden/>
          </w:rPr>
          <w:fldChar w:fldCharType="end"/>
        </w:r>
      </w:hyperlink>
    </w:p>
    <w:p w14:paraId="434B82BC" w14:textId="64C04675" w:rsidR="001B0B0C" w:rsidRDefault="00647F4E">
      <w:pPr>
        <w:pStyle w:val="TOC3"/>
        <w:tabs>
          <w:tab w:val="right" w:leader="dot" w:pos="9350"/>
        </w:tabs>
        <w:rPr>
          <w:rFonts w:asciiTheme="minorHAnsi" w:eastAsiaTheme="minorEastAsia" w:hAnsiTheme="minorHAnsi" w:cstheme="minorBidi"/>
          <w:noProof/>
        </w:rPr>
      </w:pPr>
      <w:hyperlink w:anchor="_Toc4588726" w:history="1">
        <w:r w:rsidR="001B0B0C" w:rsidRPr="00CD618B">
          <w:rPr>
            <w:rStyle w:val="Hyperlink"/>
            <w:noProof/>
          </w:rPr>
          <w:t>Viewing the VBECS Version Number</w:t>
        </w:r>
        <w:r w:rsidR="001B0B0C">
          <w:rPr>
            <w:noProof/>
            <w:webHidden/>
          </w:rPr>
          <w:tab/>
        </w:r>
        <w:r w:rsidR="001B0B0C">
          <w:rPr>
            <w:noProof/>
            <w:webHidden/>
          </w:rPr>
          <w:fldChar w:fldCharType="begin"/>
        </w:r>
        <w:r w:rsidR="001B0B0C">
          <w:rPr>
            <w:noProof/>
            <w:webHidden/>
          </w:rPr>
          <w:instrText xml:space="preserve"> PAGEREF _Toc4588726 \h </w:instrText>
        </w:r>
        <w:r w:rsidR="001B0B0C">
          <w:rPr>
            <w:noProof/>
            <w:webHidden/>
          </w:rPr>
        </w:r>
        <w:r w:rsidR="001B0B0C">
          <w:rPr>
            <w:noProof/>
            <w:webHidden/>
          </w:rPr>
          <w:fldChar w:fldCharType="separate"/>
        </w:r>
        <w:r>
          <w:rPr>
            <w:noProof/>
            <w:webHidden/>
          </w:rPr>
          <w:t>28</w:t>
        </w:r>
        <w:r w:rsidR="001B0B0C">
          <w:rPr>
            <w:noProof/>
            <w:webHidden/>
          </w:rPr>
          <w:fldChar w:fldCharType="end"/>
        </w:r>
      </w:hyperlink>
    </w:p>
    <w:p w14:paraId="42E350B2" w14:textId="418B03AC" w:rsidR="001B0B0C" w:rsidRDefault="00647F4E">
      <w:pPr>
        <w:pStyle w:val="TOC2"/>
        <w:tabs>
          <w:tab w:val="right" w:leader="dot" w:pos="9350"/>
        </w:tabs>
        <w:rPr>
          <w:rFonts w:asciiTheme="minorHAnsi" w:eastAsiaTheme="minorEastAsia" w:hAnsiTheme="minorHAnsi" w:cstheme="minorBidi"/>
          <w:smallCaps w:val="0"/>
          <w:noProof/>
        </w:rPr>
      </w:pPr>
      <w:hyperlink w:anchor="_Toc4588727" w:history="1">
        <w:r w:rsidR="001B0B0C" w:rsidRPr="00CD618B">
          <w:rPr>
            <w:rStyle w:val="Hyperlink"/>
            <w:noProof/>
          </w:rPr>
          <w:t>VistA Records in VBECS</w:t>
        </w:r>
        <w:r w:rsidR="001B0B0C">
          <w:rPr>
            <w:noProof/>
            <w:webHidden/>
          </w:rPr>
          <w:tab/>
        </w:r>
        <w:r w:rsidR="001B0B0C">
          <w:rPr>
            <w:noProof/>
            <w:webHidden/>
          </w:rPr>
          <w:fldChar w:fldCharType="begin"/>
        </w:r>
        <w:r w:rsidR="001B0B0C">
          <w:rPr>
            <w:noProof/>
            <w:webHidden/>
          </w:rPr>
          <w:instrText xml:space="preserve"> PAGEREF _Toc4588727 \h </w:instrText>
        </w:r>
        <w:r w:rsidR="001B0B0C">
          <w:rPr>
            <w:noProof/>
            <w:webHidden/>
          </w:rPr>
        </w:r>
        <w:r w:rsidR="001B0B0C">
          <w:rPr>
            <w:noProof/>
            <w:webHidden/>
          </w:rPr>
          <w:fldChar w:fldCharType="separate"/>
        </w:r>
        <w:r>
          <w:rPr>
            <w:noProof/>
            <w:webHidden/>
          </w:rPr>
          <w:t>31</w:t>
        </w:r>
        <w:r w:rsidR="001B0B0C">
          <w:rPr>
            <w:noProof/>
            <w:webHidden/>
          </w:rPr>
          <w:fldChar w:fldCharType="end"/>
        </w:r>
      </w:hyperlink>
    </w:p>
    <w:p w14:paraId="259B93CF" w14:textId="0A76E339" w:rsidR="001B0B0C" w:rsidRDefault="00647F4E">
      <w:pPr>
        <w:pStyle w:val="TOC2"/>
        <w:tabs>
          <w:tab w:val="right" w:leader="dot" w:pos="9350"/>
        </w:tabs>
        <w:rPr>
          <w:rFonts w:asciiTheme="minorHAnsi" w:eastAsiaTheme="minorEastAsia" w:hAnsiTheme="minorHAnsi" w:cstheme="minorBidi"/>
          <w:smallCaps w:val="0"/>
          <w:noProof/>
        </w:rPr>
      </w:pPr>
      <w:hyperlink w:anchor="_Toc4588728" w:history="1">
        <w:r w:rsidR="001B0B0C" w:rsidRPr="00CD618B">
          <w:rPr>
            <w:rStyle w:val="Hyperlink"/>
            <w:noProof/>
          </w:rPr>
          <w:t>Accessing the System</w:t>
        </w:r>
        <w:r w:rsidR="001B0B0C">
          <w:rPr>
            <w:noProof/>
            <w:webHidden/>
          </w:rPr>
          <w:tab/>
        </w:r>
        <w:r w:rsidR="001B0B0C">
          <w:rPr>
            <w:noProof/>
            <w:webHidden/>
          </w:rPr>
          <w:fldChar w:fldCharType="begin"/>
        </w:r>
        <w:r w:rsidR="001B0B0C">
          <w:rPr>
            <w:noProof/>
            <w:webHidden/>
          </w:rPr>
          <w:instrText xml:space="preserve"> PAGEREF _Toc4588728 \h </w:instrText>
        </w:r>
        <w:r w:rsidR="001B0B0C">
          <w:rPr>
            <w:noProof/>
            <w:webHidden/>
          </w:rPr>
        </w:r>
        <w:r w:rsidR="001B0B0C">
          <w:rPr>
            <w:noProof/>
            <w:webHidden/>
          </w:rPr>
          <w:fldChar w:fldCharType="separate"/>
        </w:r>
        <w:r>
          <w:rPr>
            <w:noProof/>
            <w:webHidden/>
          </w:rPr>
          <w:t>32</w:t>
        </w:r>
        <w:r w:rsidR="001B0B0C">
          <w:rPr>
            <w:noProof/>
            <w:webHidden/>
          </w:rPr>
          <w:fldChar w:fldCharType="end"/>
        </w:r>
      </w:hyperlink>
    </w:p>
    <w:p w14:paraId="5C822930" w14:textId="7150B05E" w:rsidR="001B0B0C" w:rsidRDefault="00647F4E">
      <w:pPr>
        <w:pStyle w:val="TOC3"/>
        <w:tabs>
          <w:tab w:val="right" w:leader="dot" w:pos="9350"/>
        </w:tabs>
        <w:rPr>
          <w:rFonts w:asciiTheme="minorHAnsi" w:eastAsiaTheme="minorEastAsia" w:hAnsiTheme="minorHAnsi" w:cstheme="minorBidi"/>
          <w:noProof/>
        </w:rPr>
      </w:pPr>
      <w:hyperlink w:anchor="_Toc4588729" w:history="1">
        <w:r w:rsidR="001B0B0C" w:rsidRPr="00CD618B">
          <w:rPr>
            <w:rStyle w:val="Hyperlink"/>
            <w:noProof/>
          </w:rPr>
          <w:t>Log into VBECS and VistA</w:t>
        </w:r>
        <w:r w:rsidR="001B0B0C">
          <w:rPr>
            <w:noProof/>
            <w:webHidden/>
          </w:rPr>
          <w:tab/>
        </w:r>
        <w:r w:rsidR="001B0B0C">
          <w:rPr>
            <w:noProof/>
            <w:webHidden/>
          </w:rPr>
          <w:fldChar w:fldCharType="begin"/>
        </w:r>
        <w:r w:rsidR="001B0B0C">
          <w:rPr>
            <w:noProof/>
            <w:webHidden/>
          </w:rPr>
          <w:instrText xml:space="preserve"> PAGEREF _Toc4588729 \h </w:instrText>
        </w:r>
        <w:r w:rsidR="001B0B0C">
          <w:rPr>
            <w:noProof/>
            <w:webHidden/>
          </w:rPr>
        </w:r>
        <w:r w:rsidR="001B0B0C">
          <w:rPr>
            <w:noProof/>
            <w:webHidden/>
          </w:rPr>
          <w:fldChar w:fldCharType="separate"/>
        </w:r>
        <w:r>
          <w:rPr>
            <w:noProof/>
            <w:webHidden/>
          </w:rPr>
          <w:t>32</w:t>
        </w:r>
        <w:r w:rsidR="001B0B0C">
          <w:rPr>
            <w:noProof/>
            <w:webHidden/>
          </w:rPr>
          <w:fldChar w:fldCharType="end"/>
        </w:r>
      </w:hyperlink>
    </w:p>
    <w:p w14:paraId="08731119" w14:textId="50606065" w:rsidR="001B0B0C" w:rsidRDefault="00647F4E">
      <w:pPr>
        <w:pStyle w:val="TOC3"/>
        <w:tabs>
          <w:tab w:val="right" w:leader="dot" w:pos="9350"/>
        </w:tabs>
        <w:rPr>
          <w:rFonts w:asciiTheme="minorHAnsi" w:eastAsiaTheme="minorEastAsia" w:hAnsiTheme="minorHAnsi" w:cstheme="minorBidi"/>
          <w:noProof/>
        </w:rPr>
      </w:pPr>
      <w:hyperlink w:anchor="_Toc4588730" w:history="1">
        <w:r w:rsidR="001B0B0C" w:rsidRPr="00CD618B">
          <w:rPr>
            <w:rStyle w:val="Hyperlink"/>
            <w:noProof/>
          </w:rPr>
          <w:t>Exit VBECS</w:t>
        </w:r>
        <w:r w:rsidR="001B0B0C">
          <w:rPr>
            <w:noProof/>
            <w:webHidden/>
          </w:rPr>
          <w:tab/>
        </w:r>
        <w:r w:rsidR="001B0B0C">
          <w:rPr>
            <w:noProof/>
            <w:webHidden/>
          </w:rPr>
          <w:fldChar w:fldCharType="begin"/>
        </w:r>
        <w:r w:rsidR="001B0B0C">
          <w:rPr>
            <w:noProof/>
            <w:webHidden/>
          </w:rPr>
          <w:instrText xml:space="preserve"> PAGEREF _Toc4588730 \h </w:instrText>
        </w:r>
        <w:r w:rsidR="001B0B0C">
          <w:rPr>
            <w:noProof/>
            <w:webHidden/>
          </w:rPr>
        </w:r>
        <w:r w:rsidR="001B0B0C">
          <w:rPr>
            <w:noProof/>
            <w:webHidden/>
          </w:rPr>
          <w:fldChar w:fldCharType="separate"/>
        </w:r>
        <w:r>
          <w:rPr>
            <w:noProof/>
            <w:webHidden/>
          </w:rPr>
          <w:t>39</w:t>
        </w:r>
        <w:r w:rsidR="001B0B0C">
          <w:rPr>
            <w:noProof/>
            <w:webHidden/>
          </w:rPr>
          <w:fldChar w:fldCharType="end"/>
        </w:r>
      </w:hyperlink>
    </w:p>
    <w:p w14:paraId="4163ACD2" w14:textId="7E6FFCE0" w:rsidR="001B0B0C" w:rsidRDefault="00647F4E">
      <w:pPr>
        <w:pStyle w:val="TOC3"/>
        <w:tabs>
          <w:tab w:val="right" w:leader="dot" w:pos="9350"/>
        </w:tabs>
        <w:rPr>
          <w:rFonts w:asciiTheme="minorHAnsi" w:eastAsiaTheme="minorEastAsia" w:hAnsiTheme="minorHAnsi" w:cstheme="minorBidi"/>
          <w:noProof/>
        </w:rPr>
      </w:pPr>
      <w:hyperlink w:anchor="_Toc4588731" w:history="1">
        <w:r w:rsidR="001B0B0C" w:rsidRPr="00CD618B">
          <w:rPr>
            <w:rStyle w:val="Hyperlink"/>
            <w:noProof/>
          </w:rPr>
          <w:t>Screen Settings</w:t>
        </w:r>
        <w:r w:rsidR="001B0B0C">
          <w:rPr>
            <w:noProof/>
            <w:webHidden/>
          </w:rPr>
          <w:tab/>
        </w:r>
        <w:r w:rsidR="001B0B0C">
          <w:rPr>
            <w:noProof/>
            <w:webHidden/>
          </w:rPr>
          <w:fldChar w:fldCharType="begin"/>
        </w:r>
        <w:r w:rsidR="001B0B0C">
          <w:rPr>
            <w:noProof/>
            <w:webHidden/>
          </w:rPr>
          <w:instrText xml:space="preserve"> PAGEREF _Toc4588731 \h </w:instrText>
        </w:r>
        <w:r w:rsidR="001B0B0C">
          <w:rPr>
            <w:noProof/>
            <w:webHidden/>
          </w:rPr>
        </w:r>
        <w:r w:rsidR="001B0B0C">
          <w:rPr>
            <w:noProof/>
            <w:webHidden/>
          </w:rPr>
          <w:fldChar w:fldCharType="separate"/>
        </w:r>
        <w:r>
          <w:rPr>
            <w:noProof/>
            <w:webHidden/>
          </w:rPr>
          <w:t>40</w:t>
        </w:r>
        <w:r w:rsidR="001B0B0C">
          <w:rPr>
            <w:noProof/>
            <w:webHidden/>
          </w:rPr>
          <w:fldChar w:fldCharType="end"/>
        </w:r>
      </w:hyperlink>
    </w:p>
    <w:p w14:paraId="27E9CBBB" w14:textId="5C7B1DDA" w:rsidR="001B0B0C" w:rsidRDefault="00647F4E">
      <w:pPr>
        <w:pStyle w:val="TOC3"/>
        <w:tabs>
          <w:tab w:val="right" w:leader="dot" w:pos="9350"/>
        </w:tabs>
        <w:rPr>
          <w:rFonts w:asciiTheme="minorHAnsi" w:eastAsiaTheme="minorEastAsia" w:hAnsiTheme="minorHAnsi" w:cstheme="minorBidi"/>
          <w:noProof/>
        </w:rPr>
      </w:pPr>
      <w:hyperlink w:anchor="_Toc4588732" w:history="1">
        <w:r w:rsidR="001B0B0C" w:rsidRPr="00CD618B">
          <w:rPr>
            <w:rStyle w:val="Hyperlink"/>
            <w:noProof/>
          </w:rPr>
          <w:t>Screen Display</w:t>
        </w:r>
        <w:r w:rsidR="001B0B0C">
          <w:rPr>
            <w:noProof/>
            <w:webHidden/>
          </w:rPr>
          <w:tab/>
        </w:r>
        <w:r w:rsidR="001B0B0C">
          <w:rPr>
            <w:noProof/>
            <w:webHidden/>
          </w:rPr>
          <w:fldChar w:fldCharType="begin"/>
        </w:r>
        <w:r w:rsidR="001B0B0C">
          <w:rPr>
            <w:noProof/>
            <w:webHidden/>
          </w:rPr>
          <w:instrText xml:space="preserve"> PAGEREF _Toc4588732 \h </w:instrText>
        </w:r>
        <w:r w:rsidR="001B0B0C">
          <w:rPr>
            <w:noProof/>
            <w:webHidden/>
          </w:rPr>
        </w:r>
        <w:r w:rsidR="001B0B0C">
          <w:rPr>
            <w:noProof/>
            <w:webHidden/>
          </w:rPr>
          <w:fldChar w:fldCharType="separate"/>
        </w:r>
        <w:r>
          <w:rPr>
            <w:noProof/>
            <w:webHidden/>
          </w:rPr>
          <w:t>44</w:t>
        </w:r>
        <w:r w:rsidR="001B0B0C">
          <w:rPr>
            <w:noProof/>
            <w:webHidden/>
          </w:rPr>
          <w:fldChar w:fldCharType="end"/>
        </w:r>
      </w:hyperlink>
    </w:p>
    <w:p w14:paraId="4F399DCC" w14:textId="62E9441A" w:rsidR="001B0B0C" w:rsidRDefault="00647F4E">
      <w:pPr>
        <w:pStyle w:val="TOC3"/>
        <w:tabs>
          <w:tab w:val="right" w:leader="dot" w:pos="9350"/>
        </w:tabs>
        <w:rPr>
          <w:rFonts w:asciiTheme="minorHAnsi" w:eastAsiaTheme="minorEastAsia" w:hAnsiTheme="minorHAnsi" w:cstheme="minorBidi"/>
          <w:noProof/>
        </w:rPr>
      </w:pPr>
      <w:hyperlink w:anchor="_Toc4588733" w:history="1">
        <w:r w:rsidR="001B0B0C" w:rsidRPr="00CD618B">
          <w:rPr>
            <w:rStyle w:val="Hyperlink"/>
            <w:noProof/>
          </w:rPr>
          <w:t>Sound</w:t>
        </w:r>
        <w:r w:rsidR="001B0B0C">
          <w:rPr>
            <w:noProof/>
            <w:webHidden/>
          </w:rPr>
          <w:tab/>
        </w:r>
        <w:r w:rsidR="001B0B0C">
          <w:rPr>
            <w:noProof/>
            <w:webHidden/>
          </w:rPr>
          <w:fldChar w:fldCharType="begin"/>
        </w:r>
        <w:r w:rsidR="001B0B0C">
          <w:rPr>
            <w:noProof/>
            <w:webHidden/>
          </w:rPr>
          <w:instrText xml:space="preserve"> PAGEREF _Toc4588733 \h </w:instrText>
        </w:r>
        <w:r w:rsidR="001B0B0C">
          <w:rPr>
            <w:noProof/>
            <w:webHidden/>
          </w:rPr>
        </w:r>
        <w:r w:rsidR="001B0B0C">
          <w:rPr>
            <w:noProof/>
            <w:webHidden/>
          </w:rPr>
          <w:fldChar w:fldCharType="separate"/>
        </w:r>
        <w:r>
          <w:rPr>
            <w:noProof/>
            <w:webHidden/>
          </w:rPr>
          <w:t>45</w:t>
        </w:r>
        <w:r w:rsidR="001B0B0C">
          <w:rPr>
            <w:noProof/>
            <w:webHidden/>
          </w:rPr>
          <w:fldChar w:fldCharType="end"/>
        </w:r>
      </w:hyperlink>
    </w:p>
    <w:p w14:paraId="70678548" w14:textId="091546DE" w:rsidR="001B0B0C" w:rsidRDefault="00647F4E">
      <w:pPr>
        <w:pStyle w:val="TOC3"/>
        <w:tabs>
          <w:tab w:val="right" w:leader="dot" w:pos="9350"/>
        </w:tabs>
        <w:rPr>
          <w:rFonts w:asciiTheme="minorHAnsi" w:eastAsiaTheme="minorEastAsia" w:hAnsiTheme="minorHAnsi" w:cstheme="minorBidi"/>
          <w:noProof/>
        </w:rPr>
      </w:pPr>
      <w:hyperlink w:anchor="_Toc4588734" w:history="1">
        <w:r w:rsidR="001B0B0C" w:rsidRPr="00CD618B">
          <w:rPr>
            <w:rStyle w:val="Hyperlink"/>
            <w:noProof/>
          </w:rPr>
          <w:t>Volume</w:t>
        </w:r>
        <w:r w:rsidR="001B0B0C">
          <w:rPr>
            <w:noProof/>
            <w:webHidden/>
          </w:rPr>
          <w:tab/>
        </w:r>
        <w:r w:rsidR="001B0B0C">
          <w:rPr>
            <w:noProof/>
            <w:webHidden/>
          </w:rPr>
          <w:fldChar w:fldCharType="begin"/>
        </w:r>
        <w:r w:rsidR="001B0B0C">
          <w:rPr>
            <w:noProof/>
            <w:webHidden/>
          </w:rPr>
          <w:instrText xml:space="preserve"> PAGEREF _Toc4588734 \h </w:instrText>
        </w:r>
        <w:r w:rsidR="001B0B0C">
          <w:rPr>
            <w:noProof/>
            <w:webHidden/>
          </w:rPr>
        </w:r>
        <w:r w:rsidR="001B0B0C">
          <w:rPr>
            <w:noProof/>
            <w:webHidden/>
          </w:rPr>
          <w:fldChar w:fldCharType="separate"/>
        </w:r>
        <w:r>
          <w:rPr>
            <w:noProof/>
            <w:webHidden/>
          </w:rPr>
          <w:t>51</w:t>
        </w:r>
        <w:r w:rsidR="001B0B0C">
          <w:rPr>
            <w:noProof/>
            <w:webHidden/>
          </w:rPr>
          <w:fldChar w:fldCharType="end"/>
        </w:r>
      </w:hyperlink>
    </w:p>
    <w:p w14:paraId="4E7103C1" w14:textId="5E4727AD" w:rsidR="001B0B0C" w:rsidRDefault="00647F4E">
      <w:pPr>
        <w:pStyle w:val="TOC3"/>
        <w:tabs>
          <w:tab w:val="right" w:leader="dot" w:pos="9350"/>
        </w:tabs>
        <w:rPr>
          <w:rFonts w:asciiTheme="minorHAnsi" w:eastAsiaTheme="minorEastAsia" w:hAnsiTheme="minorHAnsi" w:cstheme="minorBidi"/>
          <w:noProof/>
        </w:rPr>
      </w:pPr>
      <w:hyperlink w:anchor="_Toc4588735" w:history="1">
        <w:r w:rsidR="001B0B0C" w:rsidRPr="00CD618B">
          <w:rPr>
            <w:rStyle w:val="Hyperlink"/>
            <w:noProof/>
          </w:rPr>
          <w:t>Keyboard Shortcuts for Windows</w:t>
        </w:r>
        <w:r w:rsidR="001B0B0C">
          <w:rPr>
            <w:noProof/>
            <w:webHidden/>
          </w:rPr>
          <w:tab/>
        </w:r>
        <w:r w:rsidR="001B0B0C">
          <w:rPr>
            <w:noProof/>
            <w:webHidden/>
          </w:rPr>
          <w:fldChar w:fldCharType="begin"/>
        </w:r>
        <w:r w:rsidR="001B0B0C">
          <w:rPr>
            <w:noProof/>
            <w:webHidden/>
          </w:rPr>
          <w:instrText xml:space="preserve"> PAGEREF _Toc4588735 \h </w:instrText>
        </w:r>
        <w:r w:rsidR="001B0B0C">
          <w:rPr>
            <w:noProof/>
            <w:webHidden/>
          </w:rPr>
        </w:r>
        <w:r w:rsidR="001B0B0C">
          <w:rPr>
            <w:noProof/>
            <w:webHidden/>
          </w:rPr>
          <w:fldChar w:fldCharType="separate"/>
        </w:r>
        <w:r>
          <w:rPr>
            <w:noProof/>
            <w:webHidden/>
          </w:rPr>
          <w:t>52</w:t>
        </w:r>
        <w:r w:rsidR="001B0B0C">
          <w:rPr>
            <w:noProof/>
            <w:webHidden/>
          </w:rPr>
          <w:fldChar w:fldCharType="end"/>
        </w:r>
      </w:hyperlink>
    </w:p>
    <w:p w14:paraId="60A9F2D4" w14:textId="602CFFE7" w:rsidR="001B0B0C" w:rsidRDefault="00647F4E">
      <w:pPr>
        <w:pStyle w:val="TOC3"/>
        <w:tabs>
          <w:tab w:val="right" w:leader="dot" w:pos="9350"/>
        </w:tabs>
        <w:rPr>
          <w:rFonts w:asciiTheme="minorHAnsi" w:eastAsiaTheme="minorEastAsia" w:hAnsiTheme="minorHAnsi" w:cstheme="minorBidi"/>
          <w:noProof/>
        </w:rPr>
      </w:pPr>
      <w:hyperlink w:anchor="_Toc4588736" w:history="1">
        <w:r w:rsidR="001B0B0C" w:rsidRPr="00CD618B">
          <w:rPr>
            <w:rStyle w:val="Hyperlink"/>
            <w:noProof/>
          </w:rPr>
          <w:t>Drop-Down Menus</w:t>
        </w:r>
        <w:r w:rsidR="001B0B0C">
          <w:rPr>
            <w:noProof/>
            <w:webHidden/>
          </w:rPr>
          <w:tab/>
        </w:r>
        <w:r w:rsidR="001B0B0C">
          <w:rPr>
            <w:noProof/>
            <w:webHidden/>
          </w:rPr>
          <w:fldChar w:fldCharType="begin"/>
        </w:r>
        <w:r w:rsidR="001B0B0C">
          <w:rPr>
            <w:noProof/>
            <w:webHidden/>
          </w:rPr>
          <w:instrText xml:space="preserve"> PAGEREF _Toc4588736 \h </w:instrText>
        </w:r>
        <w:r w:rsidR="001B0B0C">
          <w:rPr>
            <w:noProof/>
            <w:webHidden/>
          </w:rPr>
        </w:r>
        <w:r w:rsidR="001B0B0C">
          <w:rPr>
            <w:noProof/>
            <w:webHidden/>
          </w:rPr>
          <w:fldChar w:fldCharType="separate"/>
        </w:r>
        <w:r>
          <w:rPr>
            <w:noProof/>
            <w:webHidden/>
          </w:rPr>
          <w:t>53</w:t>
        </w:r>
        <w:r w:rsidR="001B0B0C">
          <w:rPr>
            <w:noProof/>
            <w:webHidden/>
          </w:rPr>
          <w:fldChar w:fldCharType="end"/>
        </w:r>
      </w:hyperlink>
    </w:p>
    <w:p w14:paraId="72D5A88C" w14:textId="04055204" w:rsidR="001B0B0C" w:rsidRDefault="00647F4E">
      <w:pPr>
        <w:pStyle w:val="TOC3"/>
        <w:tabs>
          <w:tab w:val="right" w:leader="dot" w:pos="9350"/>
        </w:tabs>
        <w:rPr>
          <w:rFonts w:asciiTheme="minorHAnsi" w:eastAsiaTheme="minorEastAsia" w:hAnsiTheme="minorHAnsi" w:cstheme="minorBidi"/>
          <w:noProof/>
        </w:rPr>
      </w:pPr>
      <w:hyperlink w:anchor="_Toc4588737" w:history="1">
        <w:r w:rsidR="001B0B0C" w:rsidRPr="00CD618B">
          <w:rPr>
            <w:rStyle w:val="Hyperlink"/>
            <w:noProof/>
          </w:rPr>
          <w:t>Tool Tips</w:t>
        </w:r>
        <w:r w:rsidR="001B0B0C">
          <w:rPr>
            <w:noProof/>
            <w:webHidden/>
          </w:rPr>
          <w:tab/>
        </w:r>
        <w:r w:rsidR="001B0B0C">
          <w:rPr>
            <w:noProof/>
            <w:webHidden/>
          </w:rPr>
          <w:fldChar w:fldCharType="begin"/>
        </w:r>
        <w:r w:rsidR="001B0B0C">
          <w:rPr>
            <w:noProof/>
            <w:webHidden/>
          </w:rPr>
          <w:instrText xml:space="preserve"> PAGEREF _Toc4588737 \h </w:instrText>
        </w:r>
        <w:r w:rsidR="001B0B0C">
          <w:rPr>
            <w:noProof/>
            <w:webHidden/>
          </w:rPr>
        </w:r>
        <w:r w:rsidR="001B0B0C">
          <w:rPr>
            <w:noProof/>
            <w:webHidden/>
          </w:rPr>
          <w:fldChar w:fldCharType="separate"/>
        </w:r>
        <w:r>
          <w:rPr>
            <w:noProof/>
            <w:webHidden/>
          </w:rPr>
          <w:t>53</w:t>
        </w:r>
        <w:r w:rsidR="001B0B0C">
          <w:rPr>
            <w:noProof/>
            <w:webHidden/>
          </w:rPr>
          <w:fldChar w:fldCharType="end"/>
        </w:r>
      </w:hyperlink>
    </w:p>
    <w:p w14:paraId="09AFF487" w14:textId="296F57E1" w:rsidR="001B0B0C" w:rsidRDefault="00647F4E">
      <w:pPr>
        <w:pStyle w:val="TOC3"/>
        <w:tabs>
          <w:tab w:val="right" w:leader="dot" w:pos="9350"/>
        </w:tabs>
        <w:rPr>
          <w:rFonts w:asciiTheme="minorHAnsi" w:eastAsiaTheme="minorEastAsia" w:hAnsiTheme="minorHAnsi" w:cstheme="minorBidi"/>
          <w:noProof/>
        </w:rPr>
      </w:pPr>
      <w:hyperlink w:anchor="_Toc4588738" w:history="1">
        <w:r w:rsidR="001B0B0C" w:rsidRPr="00CD618B">
          <w:rPr>
            <w:rStyle w:val="Hyperlink"/>
            <w:noProof/>
          </w:rPr>
          <w:t>Icons and Buttons</w:t>
        </w:r>
        <w:r w:rsidR="001B0B0C">
          <w:rPr>
            <w:noProof/>
            <w:webHidden/>
          </w:rPr>
          <w:tab/>
        </w:r>
        <w:r w:rsidR="001B0B0C">
          <w:rPr>
            <w:noProof/>
            <w:webHidden/>
          </w:rPr>
          <w:fldChar w:fldCharType="begin"/>
        </w:r>
        <w:r w:rsidR="001B0B0C">
          <w:rPr>
            <w:noProof/>
            <w:webHidden/>
          </w:rPr>
          <w:instrText xml:space="preserve"> PAGEREF _Toc4588738 \h </w:instrText>
        </w:r>
        <w:r w:rsidR="001B0B0C">
          <w:rPr>
            <w:noProof/>
            <w:webHidden/>
          </w:rPr>
        </w:r>
        <w:r w:rsidR="001B0B0C">
          <w:rPr>
            <w:noProof/>
            <w:webHidden/>
          </w:rPr>
          <w:fldChar w:fldCharType="separate"/>
        </w:r>
        <w:r>
          <w:rPr>
            <w:noProof/>
            <w:webHidden/>
          </w:rPr>
          <w:t>53</w:t>
        </w:r>
        <w:r w:rsidR="001B0B0C">
          <w:rPr>
            <w:noProof/>
            <w:webHidden/>
          </w:rPr>
          <w:fldChar w:fldCharType="end"/>
        </w:r>
      </w:hyperlink>
    </w:p>
    <w:p w14:paraId="3E44A7A6" w14:textId="07798F9E" w:rsidR="001B0B0C" w:rsidRDefault="00647F4E">
      <w:pPr>
        <w:pStyle w:val="TOC3"/>
        <w:tabs>
          <w:tab w:val="right" w:leader="dot" w:pos="9350"/>
        </w:tabs>
        <w:rPr>
          <w:rFonts w:asciiTheme="minorHAnsi" w:eastAsiaTheme="minorEastAsia" w:hAnsiTheme="minorHAnsi" w:cstheme="minorBidi"/>
          <w:noProof/>
        </w:rPr>
      </w:pPr>
      <w:hyperlink w:anchor="_Toc4588739" w:history="1">
        <w:r w:rsidR="001B0B0C" w:rsidRPr="00CD618B">
          <w:rPr>
            <w:rStyle w:val="Hyperlink"/>
            <w:noProof/>
          </w:rPr>
          <w:t>Toolbars</w:t>
        </w:r>
        <w:r w:rsidR="001B0B0C">
          <w:rPr>
            <w:noProof/>
            <w:webHidden/>
          </w:rPr>
          <w:tab/>
        </w:r>
        <w:r w:rsidR="001B0B0C">
          <w:rPr>
            <w:noProof/>
            <w:webHidden/>
          </w:rPr>
          <w:fldChar w:fldCharType="begin"/>
        </w:r>
        <w:r w:rsidR="001B0B0C">
          <w:rPr>
            <w:noProof/>
            <w:webHidden/>
          </w:rPr>
          <w:instrText xml:space="preserve"> PAGEREF _Toc4588739 \h </w:instrText>
        </w:r>
        <w:r w:rsidR="001B0B0C">
          <w:rPr>
            <w:noProof/>
            <w:webHidden/>
          </w:rPr>
        </w:r>
        <w:r w:rsidR="001B0B0C">
          <w:rPr>
            <w:noProof/>
            <w:webHidden/>
          </w:rPr>
          <w:fldChar w:fldCharType="separate"/>
        </w:r>
        <w:r>
          <w:rPr>
            <w:noProof/>
            <w:webHidden/>
          </w:rPr>
          <w:t>53</w:t>
        </w:r>
        <w:r w:rsidR="001B0B0C">
          <w:rPr>
            <w:noProof/>
            <w:webHidden/>
          </w:rPr>
          <w:fldChar w:fldCharType="end"/>
        </w:r>
      </w:hyperlink>
    </w:p>
    <w:p w14:paraId="6AE06584" w14:textId="2A33DADC" w:rsidR="001B0B0C" w:rsidRDefault="00647F4E">
      <w:pPr>
        <w:pStyle w:val="TOC2"/>
        <w:tabs>
          <w:tab w:val="right" w:leader="dot" w:pos="9350"/>
        </w:tabs>
        <w:rPr>
          <w:rFonts w:asciiTheme="minorHAnsi" w:eastAsiaTheme="minorEastAsia" w:hAnsiTheme="minorHAnsi" w:cstheme="minorBidi"/>
          <w:smallCaps w:val="0"/>
          <w:noProof/>
        </w:rPr>
      </w:pPr>
      <w:hyperlink w:anchor="_Toc4588740" w:history="1">
        <w:r w:rsidR="001B0B0C" w:rsidRPr="00CD618B">
          <w:rPr>
            <w:rStyle w:val="Hyperlink"/>
            <w:noProof/>
          </w:rPr>
          <w:t>Patient Information Toolbar</w:t>
        </w:r>
        <w:r w:rsidR="001B0B0C">
          <w:rPr>
            <w:noProof/>
            <w:webHidden/>
          </w:rPr>
          <w:tab/>
        </w:r>
        <w:r w:rsidR="001B0B0C">
          <w:rPr>
            <w:noProof/>
            <w:webHidden/>
          </w:rPr>
          <w:fldChar w:fldCharType="begin"/>
        </w:r>
        <w:r w:rsidR="001B0B0C">
          <w:rPr>
            <w:noProof/>
            <w:webHidden/>
          </w:rPr>
          <w:instrText xml:space="preserve"> PAGEREF _Toc4588740 \h </w:instrText>
        </w:r>
        <w:r w:rsidR="001B0B0C">
          <w:rPr>
            <w:noProof/>
            <w:webHidden/>
          </w:rPr>
        </w:r>
        <w:r w:rsidR="001B0B0C">
          <w:rPr>
            <w:noProof/>
            <w:webHidden/>
          </w:rPr>
          <w:fldChar w:fldCharType="separate"/>
        </w:r>
        <w:r>
          <w:rPr>
            <w:noProof/>
            <w:webHidden/>
          </w:rPr>
          <w:t>54</w:t>
        </w:r>
        <w:r w:rsidR="001B0B0C">
          <w:rPr>
            <w:noProof/>
            <w:webHidden/>
          </w:rPr>
          <w:fldChar w:fldCharType="end"/>
        </w:r>
      </w:hyperlink>
    </w:p>
    <w:p w14:paraId="3DA36D78" w14:textId="5838249D" w:rsidR="001B0B0C" w:rsidRDefault="00647F4E">
      <w:pPr>
        <w:pStyle w:val="TOC3"/>
        <w:tabs>
          <w:tab w:val="right" w:leader="dot" w:pos="9350"/>
        </w:tabs>
        <w:rPr>
          <w:rFonts w:asciiTheme="minorHAnsi" w:eastAsiaTheme="minorEastAsia" w:hAnsiTheme="minorHAnsi" w:cstheme="minorBidi"/>
          <w:noProof/>
        </w:rPr>
      </w:pPr>
      <w:hyperlink w:anchor="_Toc4588741" w:history="1">
        <w:r w:rsidR="001B0B0C" w:rsidRPr="00CD618B">
          <w:rPr>
            <w:rStyle w:val="Hyperlink"/>
            <w:noProof/>
          </w:rPr>
          <w:t>Patient Blood Availability</w:t>
        </w:r>
        <w:r w:rsidR="001B0B0C">
          <w:rPr>
            <w:noProof/>
            <w:webHidden/>
          </w:rPr>
          <w:tab/>
        </w:r>
        <w:r w:rsidR="001B0B0C">
          <w:rPr>
            <w:noProof/>
            <w:webHidden/>
          </w:rPr>
          <w:fldChar w:fldCharType="begin"/>
        </w:r>
        <w:r w:rsidR="001B0B0C">
          <w:rPr>
            <w:noProof/>
            <w:webHidden/>
          </w:rPr>
          <w:instrText xml:space="preserve"> PAGEREF _Toc4588741 \h </w:instrText>
        </w:r>
        <w:r w:rsidR="001B0B0C">
          <w:rPr>
            <w:noProof/>
            <w:webHidden/>
          </w:rPr>
        </w:r>
        <w:r w:rsidR="001B0B0C">
          <w:rPr>
            <w:noProof/>
            <w:webHidden/>
          </w:rPr>
          <w:fldChar w:fldCharType="separate"/>
        </w:r>
        <w:r>
          <w:rPr>
            <w:noProof/>
            <w:webHidden/>
          </w:rPr>
          <w:t>55</w:t>
        </w:r>
        <w:r w:rsidR="001B0B0C">
          <w:rPr>
            <w:noProof/>
            <w:webHidden/>
          </w:rPr>
          <w:fldChar w:fldCharType="end"/>
        </w:r>
      </w:hyperlink>
    </w:p>
    <w:p w14:paraId="41AB5974" w14:textId="738F218A" w:rsidR="001B0B0C" w:rsidRDefault="00647F4E">
      <w:pPr>
        <w:pStyle w:val="TOC3"/>
        <w:tabs>
          <w:tab w:val="right" w:leader="dot" w:pos="9350"/>
        </w:tabs>
        <w:rPr>
          <w:rFonts w:asciiTheme="minorHAnsi" w:eastAsiaTheme="minorEastAsia" w:hAnsiTheme="minorHAnsi" w:cstheme="minorBidi"/>
          <w:noProof/>
        </w:rPr>
      </w:pPr>
      <w:hyperlink w:anchor="_Toc4588742" w:history="1">
        <w:r w:rsidR="001B0B0C" w:rsidRPr="00CD618B">
          <w:rPr>
            <w:rStyle w:val="Hyperlink"/>
            <w:noProof/>
          </w:rPr>
          <w:drawing>
            <wp:inline distT="0" distB="0" distL="0" distR="0" wp14:anchorId="28DD21A9" wp14:editId="46610811">
              <wp:extent cx="156845" cy="193675"/>
              <wp:effectExtent l="0" t="0" r="0" b="0"/>
              <wp:docPr id="601" name="Picture 601" descr="P7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Picture 601" descr="P78#yIS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845" cy="193675"/>
                      </a:xfrm>
                      <a:prstGeom prst="rect">
                        <a:avLst/>
                      </a:prstGeom>
                      <a:noFill/>
                      <a:ln>
                        <a:noFill/>
                      </a:ln>
                    </pic:spPr>
                  </pic:pic>
                </a:graphicData>
              </a:graphic>
            </wp:inline>
          </w:drawing>
        </w:r>
        <w:r w:rsidR="001B0B0C" w:rsidRPr="00CD618B">
          <w:rPr>
            <w:rStyle w:val="Hyperlink"/>
            <w:noProof/>
          </w:rPr>
          <w:t xml:space="preserve"> Medication Profile</w:t>
        </w:r>
        <w:r w:rsidR="001B0B0C">
          <w:rPr>
            <w:noProof/>
            <w:webHidden/>
          </w:rPr>
          <w:tab/>
        </w:r>
        <w:r w:rsidR="001B0B0C">
          <w:rPr>
            <w:noProof/>
            <w:webHidden/>
          </w:rPr>
          <w:fldChar w:fldCharType="begin"/>
        </w:r>
        <w:r w:rsidR="001B0B0C">
          <w:rPr>
            <w:noProof/>
            <w:webHidden/>
          </w:rPr>
          <w:instrText xml:space="preserve"> PAGEREF _Toc4588742 \h </w:instrText>
        </w:r>
        <w:r w:rsidR="001B0B0C">
          <w:rPr>
            <w:noProof/>
            <w:webHidden/>
          </w:rPr>
        </w:r>
        <w:r w:rsidR="001B0B0C">
          <w:rPr>
            <w:noProof/>
            <w:webHidden/>
          </w:rPr>
          <w:fldChar w:fldCharType="separate"/>
        </w:r>
        <w:r>
          <w:rPr>
            <w:noProof/>
            <w:webHidden/>
          </w:rPr>
          <w:t>56</w:t>
        </w:r>
        <w:r w:rsidR="001B0B0C">
          <w:rPr>
            <w:noProof/>
            <w:webHidden/>
          </w:rPr>
          <w:fldChar w:fldCharType="end"/>
        </w:r>
      </w:hyperlink>
    </w:p>
    <w:p w14:paraId="65938E35" w14:textId="7AF65ED9" w:rsidR="001B0B0C" w:rsidRDefault="00647F4E">
      <w:pPr>
        <w:pStyle w:val="TOC3"/>
        <w:tabs>
          <w:tab w:val="right" w:leader="dot" w:pos="9350"/>
        </w:tabs>
        <w:rPr>
          <w:rFonts w:asciiTheme="minorHAnsi" w:eastAsiaTheme="minorEastAsia" w:hAnsiTheme="minorHAnsi" w:cstheme="minorBidi"/>
          <w:noProof/>
        </w:rPr>
      </w:pPr>
      <w:hyperlink w:anchor="_Toc4588743" w:history="1">
        <w:r w:rsidR="001B0B0C" w:rsidRPr="00CD618B">
          <w:rPr>
            <w:rStyle w:val="Hyperlink"/>
            <w:noProof/>
          </w:rPr>
          <w:drawing>
            <wp:inline distT="0" distB="0" distL="0" distR="0" wp14:anchorId="137F4C72" wp14:editId="15A463D8">
              <wp:extent cx="156845" cy="156845"/>
              <wp:effectExtent l="0" t="0" r="0" b="0"/>
              <wp:docPr id="602" name="Picture 602" descr="P7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Picture 602" descr="P79#yIS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1B0B0C" w:rsidRPr="00CD618B">
          <w:rPr>
            <w:rStyle w:val="Hyperlink"/>
            <w:noProof/>
          </w:rPr>
          <w:t xml:space="preserve"> View Special Instructions and Transfusion Requirements</w:t>
        </w:r>
        <w:r w:rsidR="001B0B0C">
          <w:rPr>
            <w:noProof/>
            <w:webHidden/>
          </w:rPr>
          <w:tab/>
        </w:r>
        <w:r w:rsidR="001B0B0C">
          <w:rPr>
            <w:noProof/>
            <w:webHidden/>
          </w:rPr>
          <w:fldChar w:fldCharType="begin"/>
        </w:r>
        <w:r w:rsidR="001B0B0C">
          <w:rPr>
            <w:noProof/>
            <w:webHidden/>
          </w:rPr>
          <w:instrText xml:space="preserve"> PAGEREF _Toc4588743 \h </w:instrText>
        </w:r>
        <w:r w:rsidR="001B0B0C">
          <w:rPr>
            <w:noProof/>
            <w:webHidden/>
          </w:rPr>
        </w:r>
        <w:r w:rsidR="001B0B0C">
          <w:rPr>
            <w:noProof/>
            <w:webHidden/>
          </w:rPr>
          <w:fldChar w:fldCharType="separate"/>
        </w:r>
        <w:r>
          <w:rPr>
            <w:noProof/>
            <w:webHidden/>
          </w:rPr>
          <w:t>57</w:t>
        </w:r>
        <w:r w:rsidR="001B0B0C">
          <w:rPr>
            <w:noProof/>
            <w:webHidden/>
          </w:rPr>
          <w:fldChar w:fldCharType="end"/>
        </w:r>
      </w:hyperlink>
    </w:p>
    <w:p w14:paraId="68C363A3" w14:textId="4E47DD4A" w:rsidR="001B0B0C" w:rsidRDefault="00647F4E">
      <w:pPr>
        <w:pStyle w:val="TOC3"/>
        <w:tabs>
          <w:tab w:val="right" w:leader="dot" w:pos="9350"/>
        </w:tabs>
        <w:rPr>
          <w:rFonts w:asciiTheme="minorHAnsi" w:eastAsiaTheme="minorEastAsia" w:hAnsiTheme="minorHAnsi" w:cstheme="minorBidi"/>
          <w:noProof/>
        </w:rPr>
      </w:pPr>
      <w:hyperlink w:anchor="_Toc4588744" w:history="1">
        <w:r w:rsidR="001B0B0C" w:rsidRPr="00CD618B">
          <w:rPr>
            <w:rStyle w:val="Hyperlink"/>
            <w:noProof/>
          </w:rPr>
          <w:t>View Recent Orders, Recent Transfusions/Issued Units, and Transfusion Reaction History</w:t>
        </w:r>
        <w:r w:rsidR="001B0B0C">
          <w:rPr>
            <w:noProof/>
            <w:webHidden/>
          </w:rPr>
          <w:tab/>
        </w:r>
        <w:r w:rsidR="001B0B0C">
          <w:rPr>
            <w:noProof/>
            <w:webHidden/>
          </w:rPr>
          <w:fldChar w:fldCharType="begin"/>
        </w:r>
        <w:r w:rsidR="001B0B0C">
          <w:rPr>
            <w:noProof/>
            <w:webHidden/>
          </w:rPr>
          <w:instrText xml:space="preserve"> PAGEREF _Toc4588744 \h </w:instrText>
        </w:r>
        <w:r w:rsidR="001B0B0C">
          <w:rPr>
            <w:noProof/>
            <w:webHidden/>
          </w:rPr>
        </w:r>
        <w:r w:rsidR="001B0B0C">
          <w:rPr>
            <w:noProof/>
            <w:webHidden/>
          </w:rPr>
          <w:fldChar w:fldCharType="separate"/>
        </w:r>
        <w:r>
          <w:rPr>
            <w:noProof/>
            <w:webHidden/>
          </w:rPr>
          <w:t>59</w:t>
        </w:r>
        <w:r w:rsidR="001B0B0C">
          <w:rPr>
            <w:noProof/>
            <w:webHidden/>
          </w:rPr>
          <w:fldChar w:fldCharType="end"/>
        </w:r>
      </w:hyperlink>
    </w:p>
    <w:p w14:paraId="2AD262FF" w14:textId="666F72A1" w:rsidR="001B0B0C" w:rsidRDefault="00647F4E">
      <w:pPr>
        <w:pStyle w:val="TOC3"/>
        <w:tabs>
          <w:tab w:val="right" w:leader="dot" w:pos="9350"/>
        </w:tabs>
        <w:rPr>
          <w:rFonts w:asciiTheme="minorHAnsi" w:eastAsiaTheme="minorEastAsia" w:hAnsiTheme="minorHAnsi" w:cstheme="minorBidi"/>
          <w:noProof/>
        </w:rPr>
      </w:pPr>
      <w:hyperlink w:anchor="_Toc4588745" w:history="1">
        <w:r w:rsidR="001B0B0C" w:rsidRPr="00CD618B">
          <w:rPr>
            <w:rStyle w:val="Hyperlink"/>
            <w:noProof/>
          </w:rPr>
          <w:drawing>
            <wp:inline distT="0" distB="0" distL="0" distR="0" wp14:anchorId="5E97124F" wp14:editId="64A64D6B">
              <wp:extent cx="156845" cy="156845"/>
              <wp:effectExtent l="0" t="0" r="0" b="0"/>
              <wp:docPr id="603" name="Picture 603" descr="P8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Picture 603" descr="P81#yI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1B0B0C" w:rsidRPr="00CD618B">
          <w:rPr>
            <w:rStyle w:val="Hyperlink"/>
            <w:noProof/>
          </w:rPr>
          <w:t xml:space="preserve"> Patient Information Toolbar: Recent Orders</w:t>
        </w:r>
        <w:r w:rsidR="001B0B0C">
          <w:rPr>
            <w:noProof/>
            <w:webHidden/>
          </w:rPr>
          <w:tab/>
        </w:r>
        <w:r w:rsidR="001B0B0C">
          <w:rPr>
            <w:noProof/>
            <w:webHidden/>
          </w:rPr>
          <w:fldChar w:fldCharType="begin"/>
        </w:r>
        <w:r w:rsidR="001B0B0C">
          <w:rPr>
            <w:noProof/>
            <w:webHidden/>
          </w:rPr>
          <w:instrText xml:space="preserve"> PAGEREF _Toc4588745 \h </w:instrText>
        </w:r>
        <w:r w:rsidR="001B0B0C">
          <w:rPr>
            <w:noProof/>
            <w:webHidden/>
          </w:rPr>
        </w:r>
        <w:r w:rsidR="001B0B0C">
          <w:rPr>
            <w:noProof/>
            <w:webHidden/>
          </w:rPr>
          <w:fldChar w:fldCharType="separate"/>
        </w:r>
        <w:r>
          <w:rPr>
            <w:noProof/>
            <w:webHidden/>
          </w:rPr>
          <w:t>59</w:t>
        </w:r>
        <w:r w:rsidR="001B0B0C">
          <w:rPr>
            <w:noProof/>
            <w:webHidden/>
          </w:rPr>
          <w:fldChar w:fldCharType="end"/>
        </w:r>
      </w:hyperlink>
    </w:p>
    <w:p w14:paraId="642C9100" w14:textId="3A8D76D0" w:rsidR="001B0B0C" w:rsidRDefault="00647F4E">
      <w:pPr>
        <w:pStyle w:val="TOC3"/>
        <w:tabs>
          <w:tab w:val="right" w:leader="dot" w:pos="9350"/>
        </w:tabs>
        <w:rPr>
          <w:rFonts w:asciiTheme="minorHAnsi" w:eastAsiaTheme="minorEastAsia" w:hAnsiTheme="minorHAnsi" w:cstheme="minorBidi"/>
          <w:noProof/>
        </w:rPr>
      </w:pPr>
      <w:hyperlink w:anchor="_Toc4588746" w:history="1">
        <w:r w:rsidR="001B0B0C" w:rsidRPr="00CD618B">
          <w:rPr>
            <w:rStyle w:val="Hyperlink"/>
            <w:noProof/>
          </w:rPr>
          <w:drawing>
            <wp:inline distT="0" distB="0" distL="0" distR="0" wp14:anchorId="5AF4F137" wp14:editId="01D6A1AD">
              <wp:extent cx="156845" cy="156845"/>
              <wp:effectExtent l="0" t="0" r="0" b="0"/>
              <wp:docPr id="604" name="Picture 604" descr="P8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Picture 604" descr="P82#yIS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1B0B0C" w:rsidRPr="00CD618B">
          <w:rPr>
            <w:rStyle w:val="Hyperlink"/>
            <w:noProof/>
          </w:rPr>
          <w:t xml:space="preserve"> Patient Information Toolbar: Recent Transfusions/Issued Units</w:t>
        </w:r>
        <w:r w:rsidR="001B0B0C">
          <w:rPr>
            <w:noProof/>
            <w:webHidden/>
          </w:rPr>
          <w:tab/>
        </w:r>
        <w:r w:rsidR="001B0B0C">
          <w:rPr>
            <w:noProof/>
            <w:webHidden/>
          </w:rPr>
          <w:fldChar w:fldCharType="begin"/>
        </w:r>
        <w:r w:rsidR="001B0B0C">
          <w:rPr>
            <w:noProof/>
            <w:webHidden/>
          </w:rPr>
          <w:instrText xml:space="preserve"> PAGEREF _Toc4588746 \h </w:instrText>
        </w:r>
        <w:r w:rsidR="001B0B0C">
          <w:rPr>
            <w:noProof/>
            <w:webHidden/>
          </w:rPr>
        </w:r>
        <w:r w:rsidR="001B0B0C">
          <w:rPr>
            <w:noProof/>
            <w:webHidden/>
          </w:rPr>
          <w:fldChar w:fldCharType="separate"/>
        </w:r>
        <w:r>
          <w:rPr>
            <w:noProof/>
            <w:webHidden/>
          </w:rPr>
          <w:t>60</w:t>
        </w:r>
        <w:r w:rsidR="001B0B0C">
          <w:rPr>
            <w:noProof/>
            <w:webHidden/>
          </w:rPr>
          <w:fldChar w:fldCharType="end"/>
        </w:r>
      </w:hyperlink>
    </w:p>
    <w:p w14:paraId="1CC387F7" w14:textId="75B45BD6" w:rsidR="001B0B0C" w:rsidRDefault="00647F4E">
      <w:pPr>
        <w:pStyle w:val="TOC3"/>
        <w:tabs>
          <w:tab w:val="right" w:leader="dot" w:pos="9350"/>
        </w:tabs>
        <w:rPr>
          <w:rFonts w:asciiTheme="minorHAnsi" w:eastAsiaTheme="minorEastAsia" w:hAnsiTheme="minorHAnsi" w:cstheme="minorBidi"/>
          <w:noProof/>
        </w:rPr>
      </w:pPr>
      <w:hyperlink w:anchor="_Toc4588747" w:history="1">
        <w:r w:rsidR="001B0B0C" w:rsidRPr="00CD618B">
          <w:rPr>
            <w:rStyle w:val="Hyperlink"/>
            <w:noProof/>
          </w:rPr>
          <w:drawing>
            <wp:inline distT="0" distB="0" distL="0" distR="0" wp14:anchorId="22052365" wp14:editId="3A2BA05A">
              <wp:extent cx="156845" cy="156845"/>
              <wp:effectExtent l="0" t="0" r="0" b="0"/>
              <wp:docPr id="605" name="Picture 605" descr="P8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Picture 605" descr="P83#yIS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1B0B0C" w:rsidRPr="00CD618B">
          <w:rPr>
            <w:rStyle w:val="Hyperlink"/>
            <w:noProof/>
          </w:rPr>
          <w:t xml:space="preserve"> Patient Information Toolbar: Transfusion Reaction History</w:t>
        </w:r>
        <w:r w:rsidR="001B0B0C">
          <w:rPr>
            <w:noProof/>
            <w:webHidden/>
          </w:rPr>
          <w:tab/>
        </w:r>
        <w:r w:rsidR="001B0B0C">
          <w:rPr>
            <w:noProof/>
            <w:webHidden/>
          </w:rPr>
          <w:fldChar w:fldCharType="begin"/>
        </w:r>
        <w:r w:rsidR="001B0B0C">
          <w:rPr>
            <w:noProof/>
            <w:webHidden/>
          </w:rPr>
          <w:instrText xml:space="preserve"> PAGEREF _Toc4588747 \h </w:instrText>
        </w:r>
        <w:r w:rsidR="001B0B0C">
          <w:rPr>
            <w:noProof/>
            <w:webHidden/>
          </w:rPr>
        </w:r>
        <w:r w:rsidR="001B0B0C">
          <w:rPr>
            <w:noProof/>
            <w:webHidden/>
          </w:rPr>
          <w:fldChar w:fldCharType="separate"/>
        </w:r>
        <w:r>
          <w:rPr>
            <w:noProof/>
            <w:webHidden/>
          </w:rPr>
          <w:t>60</w:t>
        </w:r>
        <w:r w:rsidR="001B0B0C">
          <w:rPr>
            <w:noProof/>
            <w:webHidden/>
          </w:rPr>
          <w:fldChar w:fldCharType="end"/>
        </w:r>
      </w:hyperlink>
    </w:p>
    <w:p w14:paraId="1443D5D7" w14:textId="22790EBC" w:rsidR="001B0B0C" w:rsidRDefault="00647F4E">
      <w:pPr>
        <w:pStyle w:val="TOC2"/>
        <w:tabs>
          <w:tab w:val="right" w:leader="dot" w:pos="9350"/>
        </w:tabs>
        <w:rPr>
          <w:rFonts w:asciiTheme="minorHAnsi" w:eastAsiaTheme="minorEastAsia" w:hAnsiTheme="minorHAnsi" w:cstheme="minorBidi"/>
          <w:smallCaps w:val="0"/>
          <w:noProof/>
        </w:rPr>
      </w:pPr>
      <w:hyperlink w:anchor="_Toc4588748" w:history="1">
        <w:r w:rsidR="001B0B0C" w:rsidRPr="00CD618B">
          <w:rPr>
            <w:rStyle w:val="Hyperlink"/>
            <w:noProof/>
          </w:rPr>
          <w:t>Other VBECS Functions</w:t>
        </w:r>
        <w:r w:rsidR="001B0B0C">
          <w:rPr>
            <w:noProof/>
            <w:webHidden/>
          </w:rPr>
          <w:tab/>
        </w:r>
        <w:r w:rsidR="001B0B0C">
          <w:rPr>
            <w:noProof/>
            <w:webHidden/>
          </w:rPr>
          <w:fldChar w:fldCharType="begin"/>
        </w:r>
        <w:r w:rsidR="001B0B0C">
          <w:rPr>
            <w:noProof/>
            <w:webHidden/>
          </w:rPr>
          <w:instrText xml:space="preserve"> PAGEREF _Toc4588748 \h </w:instrText>
        </w:r>
        <w:r w:rsidR="001B0B0C">
          <w:rPr>
            <w:noProof/>
            <w:webHidden/>
          </w:rPr>
        </w:r>
        <w:r w:rsidR="001B0B0C">
          <w:rPr>
            <w:noProof/>
            <w:webHidden/>
          </w:rPr>
          <w:fldChar w:fldCharType="separate"/>
        </w:r>
        <w:r>
          <w:rPr>
            <w:noProof/>
            <w:webHidden/>
          </w:rPr>
          <w:t>62</w:t>
        </w:r>
        <w:r w:rsidR="001B0B0C">
          <w:rPr>
            <w:noProof/>
            <w:webHidden/>
          </w:rPr>
          <w:fldChar w:fldCharType="end"/>
        </w:r>
      </w:hyperlink>
    </w:p>
    <w:p w14:paraId="096F5B0C" w14:textId="6E318B12" w:rsidR="001B0B0C" w:rsidRDefault="00647F4E">
      <w:pPr>
        <w:pStyle w:val="TOC3"/>
        <w:tabs>
          <w:tab w:val="right" w:leader="dot" w:pos="9350"/>
        </w:tabs>
        <w:rPr>
          <w:rFonts w:asciiTheme="minorHAnsi" w:eastAsiaTheme="minorEastAsia" w:hAnsiTheme="minorHAnsi" w:cstheme="minorBidi"/>
          <w:noProof/>
        </w:rPr>
      </w:pPr>
      <w:hyperlink w:anchor="_Toc4588749" w:history="1">
        <w:r w:rsidR="001B0B0C" w:rsidRPr="00CD618B">
          <w:rPr>
            <w:rStyle w:val="Hyperlink"/>
            <w:noProof/>
          </w:rPr>
          <w:t>Collecting Workload</w:t>
        </w:r>
        <w:r w:rsidR="001B0B0C">
          <w:rPr>
            <w:noProof/>
            <w:webHidden/>
          </w:rPr>
          <w:tab/>
        </w:r>
        <w:r w:rsidR="001B0B0C">
          <w:rPr>
            <w:noProof/>
            <w:webHidden/>
          </w:rPr>
          <w:fldChar w:fldCharType="begin"/>
        </w:r>
        <w:r w:rsidR="001B0B0C">
          <w:rPr>
            <w:noProof/>
            <w:webHidden/>
          </w:rPr>
          <w:instrText xml:space="preserve"> PAGEREF _Toc4588749 \h </w:instrText>
        </w:r>
        <w:r w:rsidR="001B0B0C">
          <w:rPr>
            <w:noProof/>
            <w:webHidden/>
          </w:rPr>
        </w:r>
        <w:r w:rsidR="001B0B0C">
          <w:rPr>
            <w:noProof/>
            <w:webHidden/>
          </w:rPr>
          <w:fldChar w:fldCharType="separate"/>
        </w:r>
        <w:r>
          <w:rPr>
            <w:noProof/>
            <w:webHidden/>
          </w:rPr>
          <w:t>62</w:t>
        </w:r>
        <w:r w:rsidR="001B0B0C">
          <w:rPr>
            <w:noProof/>
            <w:webHidden/>
          </w:rPr>
          <w:fldChar w:fldCharType="end"/>
        </w:r>
      </w:hyperlink>
    </w:p>
    <w:p w14:paraId="100488D8" w14:textId="10780717" w:rsidR="001B0B0C" w:rsidRDefault="00647F4E">
      <w:pPr>
        <w:pStyle w:val="TOC1"/>
        <w:tabs>
          <w:tab w:val="right" w:leader="dot" w:pos="9350"/>
        </w:tabs>
        <w:rPr>
          <w:rFonts w:asciiTheme="minorHAnsi" w:eastAsiaTheme="minorEastAsia" w:hAnsiTheme="minorHAnsi" w:cstheme="minorBidi"/>
          <w:b w:val="0"/>
          <w:caps w:val="0"/>
          <w:noProof/>
        </w:rPr>
      </w:pPr>
      <w:hyperlink w:anchor="_Toc4588750" w:history="1">
        <w:r w:rsidR="001B0B0C" w:rsidRPr="00CD618B">
          <w:rPr>
            <w:rStyle w:val="Hyperlink"/>
            <w:noProof/>
          </w:rPr>
          <w:t>Configuring Site Parameters</w:t>
        </w:r>
        <w:r w:rsidR="001B0B0C">
          <w:rPr>
            <w:noProof/>
            <w:webHidden/>
          </w:rPr>
          <w:tab/>
        </w:r>
        <w:r w:rsidR="001B0B0C">
          <w:rPr>
            <w:noProof/>
            <w:webHidden/>
          </w:rPr>
          <w:fldChar w:fldCharType="begin"/>
        </w:r>
        <w:r w:rsidR="001B0B0C">
          <w:rPr>
            <w:noProof/>
            <w:webHidden/>
          </w:rPr>
          <w:instrText xml:space="preserve"> PAGEREF _Toc4588750 \h </w:instrText>
        </w:r>
        <w:r w:rsidR="001B0B0C">
          <w:rPr>
            <w:noProof/>
            <w:webHidden/>
          </w:rPr>
        </w:r>
        <w:r w:rsidR="001B0B0C">
          <w:rPr>
            <w:noProof/>
            <w:webHidden/>
          </w:rPr>
          <w:fldChar w:fldCharType="separate"/>
        </w:r>
        <w:r>
          <w:rPr>
            <w:noProof/>
            <w:webHidden/>
          </w:rPr>
          <w:t>64</w:t>
        </w:r>
        <w:r w:rsidR="001B0B0C">
          <w:rPr>
            <w:noProof/>
            <w:webHidden/>
          </w:rPr>
          <w:fldChar w:fldCharType="end"/>
        </w:r>
      </w:hyperlink>
    </w:p>
    <w:p w14:paraId="190283C3" w14:textId="18A33C0E" w:rsidR="001B0B0C" w:rsidRDefault="00647F4E">
      <w:pPr>
        <w:pStyle w:val="TOC2"/>
        <w:tabs>
          <w:tab w:val="right" w:leader="dot" w:pos="9350"/>
        </w:tabs>
        <w:rPr>
          <w:rFonts w:asciiTheme="minorHAnsi" w:eastAsiaTheme="minorEastAsia" w:hAnsiTheme="minorHAnsi" w:cstheme="minorBidi"/>
          <w:smallCaps w:val="0"/>
          <w:noProof/>
        </w:rPr>
      </w:pPr>
      <w:hyperlink w:anchor="_Toc4588751" w:history="1">
        <w:r w:rsidR="001B0B0C" w:rsidRPr="00CD618B">
          <w:rPr>
            <w:rStyle w:val="Hyperlink"/>
            <w:noProof/>
          </w:rPr>
          <w:t>Update User Roles</w:t>
        </w:r>
        <w:r w:rsidR="001B0B0C">
          <w:rPr>
            <w:noProof/>
            <w:webHidden/>
          </w:rPr>
          <w:tab/>
        </w:r>
        <w:r w:rsidR="001B0B0C">
          <w:rPr>
            <w:noProof/>
            <w:webHidden/>
          </w:rPr>
          <w:fldChar w:fldCharType="begin"/>
        </w:r>
        <w:r w:rsidR="001B0B0C">
          <w:rPr>
            <w:noProof/>
            <w:webHidden/>
          </w:rPr>
          <w:instrText xml:space="preserve"> PAGEREF _Toc4588751 \h </w:instrText>
        </w:r>
        <w:r w:rsidR="001B0B0C">
          <w:rPr>
            <w:noProof/>
            <w:webHidden/>
          </w:rPr>
        </w:r>
        <w:r w:rsidR="001B0B0C">
          <w:rPr>
            <w:noProof/>
            <w:webHidden/>
          </w:rPr>
          <w:fldChar w:fldCharType="separate"/>
        </w:r>
        <w:r>
          <w:rPr>
            <w:noProof/>
            <w:webHidden/>
          </w:rPr>
          <w:t>64</w:t>
        </w:r>
        <w:r w:rsidR="001B0B0C">
          <w:rPr>
            <w:noProof/>
            <w:webHidden/>
          </w:rPr>
          <w:fldChar w:fldCharType="end"/>
        </w:r>
      </w:hyperlink>
    </w:p>
    <w:p w14:paraId="108599A6" w14:textId="43D5C03D" w:rsidR="001B0B0C" w:rsidRDefault="00647F4E">
      <w:pPr>
        <w:pStyle w:val="TOC2"/>
        <w:tabs>
          <w:tab w:val="right" w:leader="dot" w:pos="9350"/>
        </w:tabs>
        <w:rPr>
          <w:rFonts w:asciiTheme="minorHAnsi" w:eastAsiaTheme="minorEastAsia" w:hAnsiTheme="minorHAnsi" w:cstheme="minorBidi"/>
          <w:smallCaps w:val="0"/>
          <w:noProof/>
        </w:rPr>
      </w:pPr>
      <w:hyperlink w:anchor="_Toc4588752" w:history="1">
        <w:r w:rsidR="001B0B0C" w:rsidRPr="00CD618B">
          <w:rPr>
            <w:rStyle w:val="Hyperlink"/>
            <w:noProof/>
          </w:rPr>
          <w:t>Component Classes</w:t>
        </w:r>
        <w:r w:rsidR="001B0B0C">
          <w:rPr>
            <w:noProof/>
            <w:webHidden/>
          </w:rPr>
          <w:tab/>
        </w:r>
        <w:r w:rsidR="001B0B0C">
          <w:rPr>
            <w:noProof/>
            <w:webHidden/>
          </w:rPr>
          <w:fldChar w:fldCharType="begin"/>
        </w:r>
        <w:r w:rsidR="001B0B0C">
          <w:rPr>
            <w:noProof/>
            <w:webHidden/>
          </w:rPr>
          <w:instrText xml:space="preserve"> PAGEREF _Toc4588752 \h </w:instrText>
        </w:r>
        <w:r w:rsidR="001B0B0C">
          <w:rPr>
            <w:noProof/>
            <w:webHidden/>
          </w:rPr>
        </w:r>
        <w:r w:rsidR="001B0B0C">
          <w:rPr>
            <w:noProof/>
            <w:webHidden/>
          </w:rPr>
          <w:fldChar w:fldCharType="separate"/>
        </w:r>
        <w:r>
          <w:rPr>
            <w:noProof/>
            <w:webHidden/>
          </w:rPr>
          <w:t>67</w:t>
        </w:r>
        <w:r w:rsidR="001B0B0C">
          <w:rPr>
            <w:noProof/>
            <w:webHidden/>
          </w:rPr>
          <w:fldChar w:fldCharType="end"/>
        </w:r>
      </w:hyperlink>
    </w:p>
    <w:p w14:paraId="7064258E" w14:textId="08EFC50D" w:rsidR="001B0B0C" w:rsidRDefault="00647F4E">
      <w:pPr>
        <w:pStyle w:val="TOC2"/>
        <w:tabs>
          <w:tab w:val="right" w:leader="dot" w:pos="9350"/>
        </w:tabs>
        <w:rPr>
          <w:rFonts w:asciiTheme="minorHAnsi" w:eastAsiaTheme="minorEastAsia" w:hAnsiTheme="minorHAnsi" w:cstheme="minorBidi"/>
          <w:smallCaps w:val="0"/>
          <w:noProof/>
        </w:rPr>
      </w:pPr>
      <w:hyperlink w:anchor="_Toc4588753" w:history="1">
        <w:r w:rsidR="001B0B0C" w:rsidRPr="00CD618B">
          <w:rPr>
            <w:rStyle w:val="Hyperlink"/>
            <w:noProof/>
          </w:rPr>
          <w:t>Configure Daily QC</w:t>
        </w:r>
        <w:r w:rsidR="001B0B0C">
          <w:rPr>
            <w:noProof/>
            <w:webHidden/>
          </w:rPr>
          <w:tab/>
        </w:r>
        <w:r w:rsidR="001B0B0C">
          <w:rPr>
            <w:noProof/>
            <w:webHidden/>
          </w:rPr>
          <w:fldChar w:fldCharType="begin"/>
        </w:r>
        <w:r w:rsidR="001B0B0C">
          <w:rPr>
            <w:noProof/>
            <w:webHidden/>
          </w:rPr>
          <w:instrText xml:space="preserve"> PAGEREF _Toc4588753 \h </w:instrText>
        </w:r>
        <w:r w:rsidR="001B0B0C">
          <w:rPr>
            <w:noProof/>
            <w:webHidden/>
          </w:rPr>
        </w:r>
        <w:r w:rsidR="001B0B0C">
          <w:rPr>
            <w:noProof/>
            <w:webHidden/>
          </w:rPr>
          <w:fldChar w:fldCharType="separate"/>
        </w:r>
        <w:r>
          <w:rPr>
            <w:noProof/>
            <w:webHidden/>
          </w:rPr>
          <w:t>70</w:t>
        </w:r>
        <w:r w:rsidR="001B0B0C">
          <w:rPr>
            <w:noProof/>
            <w:webHidden/>
          </w:rPr>
          <w:fldChar w:fldCharType="end"/>
        </w:r>
      </w:hyperlink>
    </w:p>
    <w:p w14:paraId="4D01B7E3" w14:textId="22BFCE8B" w:rsidR="001B0B0C" w:rsidRDefault="00647F4E">
      <w:pPr>
        <w:pStyle w:val="TOC2"/>
        <w:tabs>
          <w:tab w:val="right" w:leader="dot" w:pos="9350"/>
        </w:tabs>
        <w:rPr>
          <w:rFonts w:asciiTheme="minorHAnsi" w:eastAsiaTheme="minorEastAsia" w:hAnsiTheme="minorHAnsi" w:cstheme="minorBidi"/>
          <w:smallCaps w:val="0"/>
          <w:noProof/>
        </w:rPr>
      </w:pPr>
      <w:hyperlink w:anchor="_Toc4588754" w:history="1">
        <w:r w:rsidR="001B0B0C" w:rsidRPr="00CD618B">
          <w:rPr>
            <w:rStyle w:val="Hyperlink"/>
            <w:noProof/>
          </w:rPr>
          <w:t>Configure Division</w:t>
        </w:r>
        <w:r w:rsidR="001B0B0C">
          <w:rPr>
            <w:noProof/>
            <w:webHidden/>
          </w:rPr>
          <w:tab/>
        </w:r>
        <w:r w:rsidR="001B0B0C">
          <w:rPr>
            <w:noProof/>
            <w:webHidden/>
          </w:rPr>
          <w:fldChar w:fldCharType="begin"/>
        </w:r>
        <w:r w:rsidR="001B0B0C">
          <w:rPr>
            <w:noProof/>
            <w:webHidden/>
          </w:rPr>
          <w:instrText xml:space="preserve"> PAGEREF _Toc4588754 \h </w:instrText>
        </w:r>
        <w:r w:rsidR="001B0B0C">
          <w:rPr>
            <w:noProof/>
            <w:webHidden/>
          </w:rPr>
        </w:r>
        <w:r w:rsidR="001B0B0C">
          <w:rPr>
            <w:noProof/>
            <w:webHidden/>
          </w:rPr>
          <w:fldChar w:fldCharType="separate"/>
        </w:r>
        <w:r>
          <w:rPr>
            <w:noProof/>
            <w:webHidden/>
          </w:rPr>
          <w:t>73</w:t>
        </w:r>
        <w:r w:rsidR="001B0B0C">
          <w:rPr>
            <w:noProof/>
            <w:webHidden/>
          </w:rPr>
          <w:fldChar w:fldCharType="end"/>
        </w:r>
      </w:hyperlink>
    </w:p>
    <w:p w14:paraId="55F870AE" w14:textId="0743DDAF" w:rsidR="001B0B0C" w:rsidRDefault="00647F4E">
      <w:pPr>
        <w:pStyle w:val="TOC3"/>
        <w:tabs>
          <w:tab w:val="right" w:leader="dot" w:pos="9350"/>
        </w:tabs>
        <w:rPr>
          <w:rFonts w:asciiTheme="minorHAnsi" w:eastAsiaTheme="minorEastAsia" w:hAnsiTheme="minorHAnsi" w:cstheme="minorBidi"/>
          <w:noProof/>
        </w:rPr>
      </w:pPr>
      <w:hyperlink w:anchor="_Toc4588755" w:history="1">
        <w:r w:rsidR="001B0B0C" w:rsidRPr="00CD618B">
          <w:rPr>
            <w:rStyle w:val="Hyperlink"/>
            <w:noProof/>
          </w:rPr>
          <w:t>Configure Division</w:t>
        </w:r>
        <w:r w:rsidR="001B0B0C">
          <w:rPr>
            <w:noProof/>
            <w:webHidden/>
          </w:rPr>
          <w:tab/>
        </w:r>
        <w:r w:rsidR="001B0B0C">
          <w:rPr>
            <w:noProof/>
            <w:webHidden/>
          </w:rPr>
          <w:fldChar w:fldCharType="begin"/>
        </w:r>
        <w:r w:rsidR="001B0B0C">
          <w:rPr>
            <w:noProof/>
            <w:webHidden/>
          </w:rPr>
          <w:instrText xml:space="preserve"> PAGEREF _Toc4588755 \h </w:instrText>
        </w:r>
        <w:r w:rsidR="001B0B0C">
          <w:rPr>
            <w:noProof/>
            <w:webHidden/>
          </w:rPr>
        </w:r>
        <w:r w:rsidR="001B0B0C">
          <w:rPr>
            <w:noProof/>
            <w:webHidden/>
          </w:rPr>
          <w:fldChar w:fldCharType="separate"/>
        </w:r>
        <w:r>
          <w:rPr>
            <w:noProof/>
            <w:webHidden/>
          </w:rPr>
          <w:t>73</w:t>
        </w:r>
        <w:r w:rsidR="001B0B0C">
          <w:rPr>
            <w:noProof/>
            <w:webHidden/>
          </w:rPr>
          <w:fldChar w:fldCharType="end"/>
        </w:r>
      </w:hyperlink>
    </w:p>
    <w:p w14:paraId="3707AEA9" w14:textId="6FC42E8C" w:rsidR="001B0B0C" w:rsidRDefault="00647F4E">
      <w:pPr>
        <w:pStyle w:val="TOC3"/>
        <w:tabs>
          <w:tab w:val="right" w:leader="dot" w:pos="9350"/>
        </w:tabs>
        <w:rPr>
          <w:rFonts w:asciiTheme="minorHAnsi" w:eastAsiaTheme="minorEastAsia" w:hAnsiTheme="minorHAnsi" w:cstheme="minorBidi"/>
          <w:noProof/>
        </w:rPr>
      </w:pPr>
      <w:hyperlink w:anchor="_Toc4588756" w:history="1">
        <w:r w:rsidR="001B0B0C" w:rsidRPr="00CD618B">
          <w:rPr>
            <w:rStyle w:val="Hyperlink"/>
            <w:noProof/>
          </w:rPr>
          <w:t>Configure Testing</w:t>
        </w:r>
        <w:r w:rsidR="001B0B0C">
          <w:rPr>
            <w:noProof/>
            <w:webHidden/>
          </w:rPr>
          <w:tab/>
        </w:r>
        <w:r w:rsidR="001B0B0C">
          <w:rPr>
            <w:noProof/>
            <w:webHidden/>
          </w:rPr>
          <w:fldChar w:fldCharType="begin"/>
        </w:r>
        <w:r w:rsidR="001B0B0C">
          <w:rPr>
            <w:noProof/>
            <w:webHidden/>
          </w:rPr>
          <w:instrText xml:space="preserve"> PAGEREF _Toc4588756 \h </w:instrText>
        </w:r>
        <w:r w:rsidR="001B0B0C">
          <w:rPr>
            <w:noProof/>
            <w:webHidden/>
          </w:rPr>
        </w:r>
        <w:r w:rsidR="001B0B0C">
          <w:rPr>
            <w:noProof/>
            <w:webHidden/>
          </w:rPr>
          <w:fldChar w:fldCharType="separate"/>
        </w:r>
        <w:r>
          <w:rPr>
            <w:noProof/>
            <w:webHidden/>
          </w:rPr>
          <w:t>75</w:t>
        </w:r>
        <w:r w:rsidR="001B0B0C">
          <w:rPr>
            <w:noProof/>
            <w:webHidden/>
          </w:rPr>
          <w:fldChar w:fldCharType="end"/>
        </w:r>
      </w:hyperlink>
    </w:p>
    <w:p w14:paraId="3CC44F01" w14:textId="6B25FEDE" w:rsidR="001B0B0C" w:rsidRDefault="00647F4E">
      <w:pPr>
        <w:pStyle w:val="TOC3"/>
        <w:tabs>
          <w:tab w:val="right" w:leader="dot" w:pos="9350"/>
        </w:tabs>
        <w:rPr>
          <w:rFonts w:asciiTheme="minorHAnsi" w:eastAsiaTheme="minorEastAsia" w:hAnsiTheme="minorHAnsi" w:cstheme="minorBidi"/>
          <w:noProof/>
        </w:rPr>
      </w:pPr>
      <w:hyperlink w:anchor="_Toc4588757" w:history="1">
        <w:r w:rsidR="001B0B0C" w:rsidRPr="00CD618B">
          <w:rPr>
            <w:rStyle w:val="Hyperlink"/>
            <w:noProof/>
          </w:rPr>
          <w:t>Product Modifications</w:t>
        </w:r>
        <w:r w:rsidR="001B0B0C">
          <w:rPr>
            <w:noProof/>
            <w:webHidden/>
          </w:rPr>
          <w:tab/>
        </w:r>
        <w:r w:rsidR="001B0B0C">
          <w:rPr>
            <w:noProof/>
            <w:webHidden/>
          </w:rPr>
          <w:fldChar w:fldCharType="begin"/>
        </w:r>
        <w:r w:rsidR="001B0B0C">
          <w:rPr>
            <w:noProof/>
            <w:webHidden/>
          </w:rPr>
          <w:instrText xml:space="preserve"> PAGEREF _Toc4588757 \h </w:instrText>
        </w:r>
        <w:r w:rsidR="001B0B0C">
          <w:rPr>
            <w:noProof/>
            <w:webHidden/>
          </w:rPr>
        </w:r>
        <w:r w:rsidR="001B0B0C">
          <w:rPr>
            <w:noProof/>
            <w:webHidden/>
          </w:rPr>
          <w:fldChar w:fldCharType="separate"/>
        </w:r>
        <w:r>
          <w:rPr>
            <w:noProof/>
            <w:webHidden/>
          </w:rPr>
          <w:t>77</w:t>
        </w:r>
        <w:r w:rsidR="001B0B0C">
          <w:rPr>
            <w:noProof/>
            <w:webHidden/>
          </w:rPr>
          <w:fldChar w:fldCharType="end"/>
        </w:r>
      </w:hyperlink>
    </w:p>
    <w:p w14:paraId="5217A963" w14:textId="053B63E1" w:rsidR="001B0B0C" w:rsidRDefault="00647F4E">
      <w:pPr>
        <w:pStyle w:val="TOC3"/>
        <w:tabs>
          <w:tab w:val="right" w:leader="dot" w:pos="9350"/>
        </w:tabs>
        <w:rPr>
          <w:rFonts w:asciiTheme="minorHAnsi" w:eastAsiaTheme="minorEastAsia" w:hAnsiTheme="minorHAnsi" w:cstheme="minorBidi"/>
          <w:noProof/>
        </w:rPr>
      </w:pPr>
      <w:hyperlink w:anchor="_Toc4588758" w:history="1">
        <w:r w:rsidR="001B0B0C" w:rsidRPr="00CD618B">
          <w:rPr>
            <w:rStyle w:val="Hyperlink"/>
            <w:noProof/>
          </w:rPr>
          <w:t>Order Alerts</w:t>
        </w:r>
        <w:r w:rsidR="001B0B0C">
          <w:rPr>
            <w:noProof/>
            <w:webHidden/>
          </w:rPr>
          <w:tab/>
        </w:r>
        <w:r w:rsidR="001B0B0C">
          <w:rPr>
            <w:noProof/>
            <w:webHidden/>
          </w:rPr>
          <w:fldChar w:fldCharType="begin"/>
        </w:r>
        <w:r w:rsidR="001B0B0C">
          <w:rPr>
            <w:noProof/>
            <w:webHidden/>
          </w:rPr>
          <w:instrText xml:space="preserve"> PAGEREF _Toc4588758 \h </w:instrText>
        </w:r>
        <w:r w:rsidR="001B0B0C">
          <w:rPr>
            <w:noProof/>
            <w:webHidden/>
          </w:rPr>
        </w:r>
        <w:r w:rsidR="001B0B0C">
          <w:rPr>
            <w:noProof/>
            <w:webHidden/>
          </w:rPr>
          <w:fldChar w:fldCharType="separate"/>
        </w:r>
        <w:r>
          <w:rPr>
            <w:noProof/>
            <w:webHidden/>
          </w:rPr>
          <w:t>79</w:t>
        </w:r>
        <w:r w:rsidR="001B0B0C">
          <w:rPr>
            <w:noProof/>
            <w:webHidden/>
          </w:rPr>
          <w:fldChar w:fldCharType="end"/>
        </w:r>
      </w:hyperlink>
    </w:p>
    <w:p w14:paraId="70CA1480" w14:textId="2F5ACBDA" w:rsidR="001B0B0C" w:rsidRDefault="00647F4E">
      <w:pPr>
        <w:pStyle w:val="TOC3"/>
        <w:tabs>
          <w:tab w:val="right" w:leader="dot" w:pos="9350"/>
        </w:tabs>
        <w:rPr>
          <w:rFonts w:asciiTheme="minorHAnsi" w:eastAsiaTheme="minorEastAsia" w:hAnsiTheme="minorHAnsi" w:cstheme="minorBidi"/>
          <w:noProof/>
        </w:rPr>
      </w:pPr>
      <w:hyperlink w:anchor="_Toc4588759" w:history="1">
        <w:r w:rsidR="001B0B0C" w:rsidRPr="00CD618B">
          <w:rPr>
            <w:rStyle w:val="Hyperlink"/>
            <w:noProof/>
          </w:rPr>
          <w:t>Login Message</w:t>
        </w:r>
        <w:r w:rsidR="001B0B0C">
          <w:rPr>
            <w:noProof/>
            <w:webHidden/>
          </w:rPr>
          <w:tab/>
        </w:r>
        <w:r w:rsidR="001B0B0C">
          <w:rPr>
            <w:noProof/>
            <w:webHidden/>
          </w:rPr>
          <w:fldChar w:fldCharType="begin"/>
        </w:r>
        <w:r w:rsidR="001B0B0C">
          <w:rPr>
            <w:noProof/>
            <w:webHidden/>
          </w:rPr>
          <w:instrText xml:space="preserve"> PAGEREF _Toc4588759 \h </w:instrText>
        </w:r>
        <w:r w:rsidR="001B0B0C">
          <w:rPr>
            <w:noProof/>
            <w:webHidden/>
          </w:rPr>
        </w:r>
        <w:r w:rsidR="001B0B0C">
          <w:rPr>
            <w:noProof/>
            <w:webHidden/>
          </w:rPr>
          <w:fldChar w:fldCharType="separate"/>
        </w:r>
        <w:r>
          <w:rPr>
            <w:noProof/>
            <w:webHidden/>
          </w:rPr>
          <w:t>81</w:t>
        </w:r>
        <w:r w:rsidR="001B0B0C">
          <w:rPr>
            <w:noProof/>
            <w:webHidden/>
          </w:rPr>
          <w:fldChar w:fldCharType="end"/>
        </w:r>
      </w:hyperlink>
    </w:p>
    <w:p w14:paraId="13817507" w14:textId="666CCB3A" w:rsidR="001B0B0C" w:rsidRDefault="00647F4E">
      <w:pPr>
        <w:pStyle w:val="TOC2"/>
        <w:tabs>
          <w:tab w:val="right" w:leader="dot" w:pos="9350"/>
        </w:tabs>
        <w:rPr>
          <w:rFonts w:asciiTheme="minorHAnsi" w:eastAsiaTheme="minorEastAsia" w:hAnsiTheme="minorHAnsi" w:cstheme="minorBidi"/>
          <w:smallCaps w:val="0"/>
          <w:noProof/>
        </w:rPr>
      </w:pPr>
      <w:hyperlink w:anchor="_Toc4588760" w:history="1">
        <w:r w:rsidR="001B0B0C" w:rsidRPr="00CD618B">
          <w:rPr>
            <w:rStyle w:val="Hyperlink"/>
            <w:noProof/>
          </w:rPr>
          <w:t>Local Facilities</w:t>
        </w:r>
        <w:r w:rsidR="001B0B0C">
          <w:rPr>
            <w:noProof/>
            <w:webHidden/>
          </w:rPr>
          <w:tab/>
        </w:r>
        <w:r w:rsidR="001B0B0C">
          <w:rPr>
            <w:noProof/>
            <w:webHidden/>
          </w:rPr>
          <w:fldChar w:fldCharType="begin"/>
        </w:r>
        <w:r w:rsidR="001B0B0C">
          <w:rPr>
            <w:noProof/>
            <w:webHidden/>
          </w:rPr>
          <w:instrText xml:space="preserve"> PAGEREF _Toc4588760 \h </w:instrText>
        </w:r>
        <w:r w:rsidR="001B0B0C">
          <w:rPr>
            <w:noProof/>
            <w:webHidden/>
          </w:rPr>
        </w:r>
        <w:r w:rsidR="001B0B0C">
          <w:rPr>
            <w:noProof/>
            <w:webHidden/>
          </w:rPr>
          <w:fldChar w:fldCharType="separate"/>
        </w:r>
        <w:r>
          <w:rPr>
            <w:noProof/>
            <w:webHidden/>
          </w:rPr>
          <w:t>83</w:t>
        </w:r>
        <w:r w:rsidR="001B0B0C">
          <w:rPr>
            <w:noProof/>
            <w:webHidden/>
          </w:rPr>
          <w:fldChar w:fldCharType="end"/>
        </w:r>
      </w:hyperlink>
    </w:p>
    <w:p w14:paraId="68735133" w14:textId="57E5D483" w:rsidR="001B0B0C" w:rsidRDefault="00647F4E">
      <w:pPr>
        <w:pStyle w:val="TOC3"/>
        <w:tabs>
          <w:tab w:val="right" w:leader="dot" w:pos="9350"/>
        </w:tabs>
        <w:rPr>
          <w:rFonts w:asciiTheme="minorHAnsi" w:eastAsiaTheme="minorEastAsia" w:hAnsiTheme="minorHAnsi" w:cstheme="minorBidi"/>
          <w:noProof/>
        </w:rPr>
      </w:pPr>
      <w:hyperlink w:anchor="_Toc4588761" w:history="1">
        <w:r w:rsidR="001B0B0C" w:rsidRPr="00CD618B">
          <w:rPr>
            <w:rStyle w:val="Hyperlink"/>
            <w:noProof/>
          </w:rPr>
          <w:t>Blood Products</w:t>
        </w:r>
        <w:r w:rsidR="001B0B0C">
          <w:rPr>
            <w:noProof/>
            <w:webHidden/>
          </w:rPr>
          <w:tab/>
        </w:r>
        <w:r w:rsidR="001B0B0C">
          <w:rPr>
            <w:noProof/>
            <w:webHidden/>
          </w:rPr>
          <w:fldChar w:fldCharType="begin"/>
        </w:r>
        <w:r w:rsidR="001B0B0C">
          <w:rPr>
            <w:noProof/>
            <w:webHidden/>
          </w:rPr>
          <w:instrText xml:space="preserve"> PAGEREF _Toc4588761 \h </w:instrText>
        </w:r>
        <w:r w:rsidR="001B0B0C">
          <w:rPr>
            <w:noProof/>
            <w:webHidden/>
          </w:rPr>
        </w:r>
        <w:r w:rsidR="001B0B0C">
          <w:rPr>
            <w:noProof/>
            <w:webHidden/>
          </w:rPr>
          <w:fldChar w:fldCharType="separate"/>
        </w:r>
        <w:r>
          <w:rPr>
            <w:noProof/>
            <w:webHidden/>
          </w:rPr>
          <w:t>86</w:t>
        </w:r>
        <w:r w:rsidR="001B0B0C">
          <w:rPr>
            <w:noProof/>
            <w:webHidden/>
          </w:rPr>
          <w:fldChar w:fldCharType="end"/>
        </w:r>
      </w:hyperlink>
    </w:p>
    <w:p w14:paraId="2AFF128E" w14:textId="272E9919" w:rsidR="001B0B0C" w:rsidRDefault="00647F4E">
      <w:pPr>
        <w:pStyle w:val="TOC3"/>
        <w:tabs>
          <w:tab w:val="right" w:leader="dot" w:pos="9350"/>
        </w:tabs>
        <w:rPr>
          <w:rFonts w:asciiTheme="minorHAnsi" w:eastAsiaTheme="minorEastAsia" w:hAnsiTheme="minorHAnsi" w:cstheme="minorBidi"/>
          <w:noProof/>
        </w:rPr>
      </w:pPr>
      <w:hyperlink w:anchor="_Toc4588762" w:history="1">
        <w:r w:rsidR="001B0B0C" w:rsidRPr="00CD618B">
          <w:rPr>
            <w:rStyle w:val="Hyperlink"/>
            <w:noProof/>
          </w:rPr>
          <w:t>Antibodies</w:t>
        </w:r>
        <w:r w:rsidR="001B0B0C">
          <w:rPr>
            <w:noProof/>
            <w:webHidden/>
          </w:rPr>
          <w:tab/>
        </w:r>
        <w:r w:rsidR="001B0B0C">
          <w:rPr>
            <w:noProof/>
            <w:webHidden/>
          </w:rPr>
          <w:fldChar w:fldCharType="begin"/>
        </w:r>
        <w:r w:rsidR="001B0B0C">
          <w:rPr>
            <w:noProof/>
            <w:webHidden/>
          </w:rPr>
          <w:instrText xml:space="preserve"> PAGEREF _Toc4588762 \h </w:instrText>
        </w:r>
        <w:r w:rsidR="001B0B0C">
          <w:rPr>
            <w:noProof/>
            <w:webHidden/>
          </w:rPr>
        </w:r>
        <w:r w:rsidR="001B0B0C">
          <w:rPr>
            <w:noProof/>
            <w:webHidden/>
          </w:rPr>
          <w:fldChar w:fldCharType="separate"/>
        </w:r>
        <w:r>
          <w:rPr>
            <w:noProof/>
            <w:webHidden/>
          </w:rPr>
          <w:t>89</w:t>
        </w:r>
        <w:r w:rsidR="001B0B0C">
          <w:rPr>
            <w:noProof/>
            <w:webHidden/>
          </w:rPr>
          <w:fldChar w:fldCharType="end"/>
        </w:r>
      </w:hyperlink>
    </w:p>
    <w:p w14:paraId="1677A330" w14:textId="3516ADA7" w:rsidR="001B0B0C" w:rsidRDefault="00647F4E">
      <w:pPr>
        <w:pStyle w:val="TOC3"/>
        <w:tabs>
          <w:tab w:val="right" w:leader="dot" w:pos="9350"/>
        </w:tabs>
        <w:rPr>
          <w:rFonts w:asciiTheme="minorHAnsi" w:eastAsiaTheme="minorEastAsia" w:hAnsiTheme="minorHAnsi" w:cstheme="minorBidi"/>
          <w:noProof/>
        </w:rPr>
      </w:pPr>
      <w:hyperlink w:anchor="_Toc4588763" w:history="1">
        <w:r w:rsidR="001B0B0C" w:rsidRPr="00CD618B">
          <w:rPr>
            <w:rStyle w:val="Hyperlink"/>
            <w:noProof/>
          </w:rPr>
          <w:t>Canned Comments</w:t>
        </w:r>
        <w:r w:rsidR="001B0B0C">
          <w:rPr>
            <w:noProof/>
            <w:webHidden/>
          </w:rPr>
          <w:tab/>
        </w:r>
        <w:r w:rsidR="001B0B0C">
          <w:rPr>
            <w:noProof/>
            <w:webHidden/>
          </w:rPr>
          <w:fldChar w:fldCharType="begin"/>
        </w:r>
        <w:r w:rsidR="001B0B0C">
          <w:rPr>
            <w:noProof/>
            <w:webHidden/>
          </w:rPr>
          <w:instrText xml:space="preserve"> PAGEREF _Toc4588763 \h </w:instrText>
        </w:r>
        <w:r w:rsidR="001B0B0C">
          <w:rPr>
            <w:noProof/>
            <w:webHidden/>
          </w:rPr>
        </w:r>
        <w:r w:rsidR="001B0B0C">
          <w:rPr>
            <w:noProof/>
            <w:webHidden/>
          </w:rPr>
          <w:fldChar w:fldCharType="separate"/>
        </w:r>
        <w:r>
          <w:rPr>
            <w:noProof/>
            <w:webHidden/>
          </w:rPr>
          <w:t>91</w:t>
        </w:r>
        <w:r w:rsidR="001B0B0C">
          <w:rPr>
            <w:noProof/>
            <w:webHidden/>
          </w:rPr>
          <w:fldChar w:fldCharType="end"/>
        </w:r>
      </w:hyperlink>
    </w:p>
    <w:p w14:paraId="06BC1480" w14:textId="163C46D1" w:rsidR="001B0B0C" w:rsidRDefault="00647F4E">
      <w:pPr>
        <w:pStyle w:val="TOC2"/>
        <w:tabs>
          <w:tab w:val="right" w:leader="dot" w:pos="9350"/>
        </w:tabs>
        <w:rPr>
          <w:rFonts w:asciiTheme="minorHAnsi" w:eastAsiaTheme="minorEastAsia" w:hAnsiTheme="minorHAnsi" w:cstheme="minorBidi"/>
          <w:smallCaps w:val="0"/>
          <w:noProof/>
        </w:rPr>
      </w:pPr>
      <w:hyperlink w:anchor="_Toc4588764" w:history="1">
        <w:r w:rsidR="001B0B0C" w:rsidRPr="00CD618B">
          <w:rPr>
            <w:rStyle w:val="Hyperlink"/>
            <w:noProof/>
          </w:rPr>
          <w:t>Setting Transfusion Parameters</w:t>
        </w:r>
        <w:r w:rsidR="001B0B0C">
          <w:rPr>
            <w:noProof/>
            <w:webHidden/>
          </w:rPr>
          <w:tab/>
        </w:r>
        <w:r w:rsidR="001B0B0C">
          <w:rPr>
            <w:noProof/>
            <w:webHidden/>
          </w:rPr>
          <w:fldChar w:fldCharType="begin"/>
        </w:r>
        <w:r w:rsidR="001B0B0C">
          <w:rPr>
            <w:noProof/>
            <w:webHidden/>
          </w:rPr>
          <w:instrText xml:space="preserve"> PAGEREF _Toc4588764 \h </w:instrText>
        </w:r>
        <w:r w:rsidR="001B0B0C">
          <w:rPr>
            <w:noProof/>
            <w:webHidden/>
          </w:rPr>
        </w:r>
        <w:r w:rsidR="001B0B0C">
          <w:rPr>
            <w:noProof/>
            <w:webHidden/>
          </w:rPr>
          <w:fldChar w:fldCharType="separate"/>
        </w:r>
        <w:r>
          <w:rPr>
            <w:noProof/>
            <w:webHidden/>
          </w:rPr>
          <w:t>93</w:t>
        </w:r>
        <w:r w:rsidR="001B0B0C">
          <w:rPr>
            <w:noProof/>
            <w:webHidden/>
          </w:rPr>
          <w:fldChar w:fldCharType="end"/>
        </w:r>
      </w:hyperlink>
    </w:p>
    <w:p w14:paraId="786B1E7B" w14:textId="3240836F" w:rsidR="001B0B0C" w:rsidRDefault="00647F4E">
      <w:pPr>
        <w:pStyle w:val="TOC3"/>
        <w:tabs>
          <w:tab w:val="right" w:leader="dot" w:pos="9350"/>
        </w:tabs>
        <w:rPr>
          <w:rFonts w:asciiTheme="minorHAnsi" w:eastAsiaTheme="minorEastAsia" w:hAnsiTheme="minorHAnsi" w:cstheme="minorBidi"/>
          <w:noProof/>
        </w:rPr>
      </w:pPr>
      <w:hyperlink w:anchor="_Toc4588765" w:history="1">
        <w:r w:rsidR="001B0B0C" w:rsidRPr="00CD618B">
          <w:rPr>
            <w:rStyle w:val="Hyperlink"/>
            <w:noProof/>
          </w:rPr>
          <w:t>Transfusion Complications</w:t>
        </w:r>
        <w:r w:rsidR="001B0B0C">
          <w:rPr>
            <w:noProof/>
            <w:webHidden/>
          </w:rPr>
          <w:tab/>
        </w:r>
        <w:r w:rsidR="001B0B0C">
          <w:rPr>
            <w:noProof/>
            <w:webHidden/>
          </w:rPr>
          <w:fldChar w:fldCharType="begin"/>
        </w:r>
        <w:r w:rsidR="001B0B0C">
          <w:rPr>
            <w:noProof/>
            <w:webHidden/>
          </w:rPr>
          <w:instrText xml:space="preserve"> PAGEREF _Toc4588765 \h </w:instrText>
        </w:r>
        <w:r w:rsidR="001B0B0C">
          <w:rPr>
            <w:noProof/>
            <w:webHidden/>
          </w:rPr>
        </w:r>
        <w:r w:rsidR="001B0B0C">
          <w:rPr>
            <w:noProof/>
            <w:webHidden/>
          </w:rPr>
          <w:fldChar w:fldCharType="separate"/>
        </w:r>
        <w:r>
          <w:rPr>
            <w:noProof/>
            <w:webHidden/>
          </w:rPr>
          <w:t>93</w:t>
        </w:r>
        <w:r w:rsidR="001B0B0C">
          <w:rPr>
            <w:noProof/>
            <w:webHidden/>
          </w:rPr>
          <w:fldChar w:fldCharType="end"/>
        </w:r>
      </w:hyperlink>
    </w:p>
    <w:p w14:paraId="407D466D" w14:textId="28413BEA" w:rsidR="001B0B0C" w:rsidRDefault="00647F4E">
      <w:pPr>
        <w:pStyle w:val="TOC3"/>
        <w:tabs>
          <w:tab w:val="right" w:leader="dot" w:pos="9350"/>
        </w:tabs>
        <w:rPr>
          <w:rFonts w:asciiTheme="minorHAnsi" w:eastAsiaTheme="minorEastAsia" w:hAnsiTheme="minorHAnsi" w:cstheme="minorBidi"/>
          <w:noProof/>
        </w:rPr>
      </w:pPr>
      <w:hyperlink w:anchor="_Toc4588766" w:history="1">
        <w:r w:rsidR="001B0B0C" w:rsidRPr="00CD618B">
          <w:rPr>
            <w:rStyle w:val="Hyperlink"/>
            <w:noProof/>
          </w:rPr>
          <w:t>Transfusion Effectiveness</w:t>
        </w:r>
        <w:r w:rsidR="001B0B0C">
          <w:rPr>
            <w:noProof/>
            <w:webHidden/>
          </w:rPr>
          <w:tab/>
        </w:r>
        <w:r w:rsidR="001B0B0C">
          <w:rPr>
            <w:noProof/>
            <w:webHidden/>
          </w:rPr>
          <w:fldChar w:fldCharType="begin"/>
        </w:r>
        <w:r w:rsidR="001B0B0C">
          <w:rPr>
            <w:noProof/>
            <w:webHidden/>
          </w:rPr>
          <w:instrText xml:space="preserve"> PAGEREF _Toc4588766 \h </w:instrText>
        </w:r>
        <w:r w:rsidR="001B0B0C">
          <w:rPr>
            <w:noProof/>
            <w:webHidden/>
          </w:rPr>
        </w:r>
        <w:r w:rsidR="001B0B0C">
          <w:rPr>
            <w:noProof/>
            <w:webHidden/>
          </w:rPr>
          <w:fldChar w:fldCharType="separate"/>
        </w:r>
        <w:r>
          <w:rPr>
            <w:noProof/>
            <w:webHidden/>
          </w:rPr>
          <w:t>95</w:t>
        </w:r>
        <w:r w:rsidR="001B0B0C">
          <w:rPr>
            <w:noProof/>
            <w:webHidden/>
          </w:rPr>
          <w:fldChar w:fldCharType="end"/>
        </w:r>
      </w:hyperlink>
    </w:p>
    <w:p w14:paraId="21039340" w14:textId="5D3AD7FE" w:rsidR="001B0B0C" w:rsidRDefault="00647F4E">
      <w:pPr>
        <w:pStyle w:val="TOC3"/>
        <w:tabs>
          <w:tab w:val="right" w:leader="dot" w:pos="9350"/>
        </w:tabs>
        <w:rPr>
          <w:rFonts w:asciiTheme="minorHAnsi" w:eastAsiaTheme="minorEastAsia" w:hAnsiTheme="minorHAnsi" w:cstheme="minorBidi"/>
          <w:noProof/>
        </w:rPr>
      </w:pPr>
      <w:hyperlink w:anchor="_Toc4588767" w:history="1">
        <w:r w:rsidR="001B0B0C" w:rsidRPr="00CD618B">
          <w:rPr>
            <w:rStyle w:val="Hyperlink"/>
            <w:noProof/>
          </w:rPr>
          <w:t>MSBOS</w:t>
        </w:r>
        <w:r w:rsidR="001B0B0C">
          <w:rPr>
            <w:noProof/>
            <w:webHidden/>
          </w:rPr>
          <w:tab/>
        </w:r>
        <w:r w:rsidR="001B0B0C">
          <w:rPr>
            <w:noProof/>
            <w:webHidden/>
          </w:rPr>
          <w:fldChar w:fldCharType="begin"/>
        </w:r>
        <w:r w:rsidR="001B0B0C">
          <w:rPr>
            <w:noProof/>
            <w:webHidden/>
          </w:rPr>
          <w:instrText xml:space="preserve"> PAGEREF _Toc4588767 \h </w:instrText>
        </w:r>
        <w:r w:rsidR="001B0B0C">
          <w:rPr>
            <w:noProof/>
            <w:webHidden/>
          </w:rPr>
        </w:r>
        <w:r w:rsidR="001B0B0C">
          <w:rPr>
            <w:noProof/>
            <w:webHidden/>
          </w:rPr>
          <w:fldChar w:fldCharType="separate"/>
        </w:r>
        <w:r>
          <w:rPr>
            <w:noProof/>
            <w:webHidden/>
          </w:rPr>
          <w:t>97</w:t>
        </w:r>
        <w:r w:rsidR="001B0B0C">
          <w:rPr>
            <w:noProof/>
            <w:webHidden/>
          </w:rPr>
          <w:fldChar w:fldCharType="end"/>
        </w:r>
      </w:hyperlink>
    </w:p>
    <w:p w14:paraId="2134B4F3" w14:textId="17E3BF17" w:rsidR="001B0B0C" w:rsidRDefault="00647F4E">
      <w:pPr>
        <w:pStyle w:val="TOC3"/>
        <w:tabs>
          <w:tab w:val="right" w:leader="dot" w:pos="9350"/>
        </w:tabs>
        <w:rPr>
          <w:rFonts w:asciiTheme="minorHAnsi" w:eastAsiaTheme="minorEastAsia" w:hAnsiTheme="minorHAnsi" w:cstheme="minorBidi"/>
          <w:noProof/>
        </w:rPr>
      </w:pPr>
      <w:hyperlink w:anchor="_Toc4588768" w:history="1">
        <w:r w:rsidR="001B0B0C" w:rsidRPr="00CD618B">
          <w:rPr>
            <w:rStyle w:val="Hyperlink"/>
            <w:noProof/>
          </w:rPr>
          <w:t>Workload Codes</w:t>
        </w:r>
        <w:r w:rsidR="001B0B0C">
          <w:rPr>
            <w:noProof/>
            <w:webHidden/>
          </w:rPr>
          <w:tab/>
        </w:r>
        <w:r w:rsidR="001B0B0C">
          <w:rPr>
            <w:noProof/>
            <w:webHidden/>
          </w:rPr>
          <w:fldChar w:fldCharType="begin"/>
        </w:r>
        <w:r w:rsidR="001B0B0C">
          <w:rPr>
            <w:noProof/>
            <w:webHidden/>
          </w:rPr>
          <w:instrText xml:space="preserve"> PAGEREF _Toc4588768 \h </w:instrText>
        </w:r>
        <w:r w:rsidR="001B0B0C">
          <w:rPr>
            <w:noProof/>
            <w:webHidden/>
          </w:rPr>
        </w:r>
        <w:r w:rsidR="001B0B0C">
          <w:rPr>
            <w:noProof/>
            <w:webHidden/>
          </w:rPr>
          <w:fldChar w:fldCharType="separate"/>
        </w:r>
        <w:r>
          <w:rPr>
            <w:noProof/>
            <w:webHidden/>
          </w:rPr>
          <w:t>99</w:t>
        </w:r>
        <w:r w:rsidR="001B0B0C">
          <w:rPr>
            <w:noProof/>
            <w:webHidden/>
          </w:rPr>
          <w:fldChar w:fldCharType="end"/>
        </w:r>
      </w:hyperlink>
    </w:p>
    <w:p w14:paraId="7E0E98AD" w14:textId="3D929716" w:rsidR="001B0B0C" w:rsidRDefault="00647F4E">
      <w:pPr>
        <w:pStyle w:val="TOC2"/>
        <w:tabs>
          <w:tab w:val="right" w:leader="dot" w:pos="9350"/>
        </w:tabs>
        <w:rPr>
          <w:rFonts w:asciiTheme="minorHAnsi" w:eastAsiaTheme="minorEastAsia" w:hAnsiTheme="minorHAnsi" w:cstheme="minorBidi"/>
          <w:smallCaps w:val="0"/>
          <w:noProof/>
        </w:rPr>
      </w:pPr>
      <w:hyperlink w:anchor="_Toc4588769" w:history="1">
        <w:r w:rsidR="001B0B0C" w:rsidRPr="00CD618B">
          <w:rPr>
            <w:rStyle w:val="Hyperlink"/>
            <w:noProof/>
          </w:rPr>
          <w:t>Reagents and Supplies</w:t>
        </w:r>
        <w:r w:rsidR="001B0B0C">
          <w:rPr>
            <w:noProof/>
            <w:webHidden/>
          </w:rPr>
          <w:tab/>
        </w:r>
        <w:r w:rsidR="001B0B0C">
          <w:rPr>
            <w:noProof/>
            <w:webHidden/>
          </w:rPr>
          <w:fldChar w:fldCharType="begin"/>
        </w:r>
        <w:r w:rsidR="001B0B0C">
          <w:rPr>
            <w:noProof/>
            <w:webHidden/>
          </w:rPr>
          <w:instrText xml:space="preserve"> PAGEREF _Toc4588769 \h </w:instrText>
        </w:r>
        <w:r w:rsidR="001B0B0C">
          <w:rPr>
            <w:noProof/>
            <w:webHidden/>
          </w:rPr>
        </w:r>
        <w:r w:rsidR="001B0B0C">
          <w:rPr>
            <w:noProof/>
            <w:webHidden/>
          </w:rPr>
          <w:fldChar w:fldCharType="separate"/>
        </w:r>
        <w:r>
          <w:rPr>
            <w:noProof/>
            <w:webHidden/>
          </w:rPr>
          <w:t>103</w:t>
        </w:r>
        <w:r w:rsidR="001B0B0C">
          <w:rPr>
            <w:noProof/>
            <w:webHidden/>
          </w:rPr>
          <w:fldChar w:fldCharType="end"/>
        </w:r>
      </w:hyperlink>
    </w:p>
    <w:p w14:paraId="11043337" w14:textId="0C9525AA" w:rsidR="001B0B0C" w:rsidRDefault="00647F4E">
      <w:pPr>
        <w:pStyle w:val="TOC3"/>
        <w:tabs>
          <w:tab w:val="right" w:leader="dot" w:pos="9350"/>
        </w:tabs>
        <w:rPr>
          <w:rFonts w:asciiTheme="minorHAnsi" w:eastAsiaTheme="minorEastAsia" w:hAnsiTheme="minorHAnsi" w:cstheme="minorBidi"/>
          <w:noProof/>
        </w:rPr>
      </w:pPr>
      <w:hyperlink w:anchor="_Toc4588770" w:history="1">
        <w:r w:rsidR="001B0B0C" w:rsidRPr="00CD618B">
          <w:rPr>
            <w:rStyle w:val="Hyperlink"/>
            <w:noProof/>
          </w:rPr>
          <w:t>Enter Daily QC Results</w:t>
        </w:r>
        <w:r w:rsidR="001B0B0C">
          <w:rPr>
            <w:noProof/>
            <w:webHidden/>
          </w:rPr>
          <w:tab/>
        </w:r>
        <w:r w:rsidR="001B0B0C">
          <w:rPr>
            <w:noProof/>
            <w:webHidden/>
          </w:rPr>
          <w:fldChar w:fldCharType="begin"/>
        </w:r>
        <w:r w:rsidR="001B0B0C">
          <w:rPr>
            <w:noProof/>
            <w:webHidden/>
          </w:rPr>
          <w:instrText xml:space="preserve"> PAGEREF _Toc4588770 \h </w:instrText>
        </w:r>
        <w:r w:rsidR="001B0B0C">
          <w:rPr>
            <w:noProof/>
            <w:webHidden/>
          </w:rPr>
        </w:r>
        <w:r w:rsidR="001B0B0C">
          <w:rPr>
            <w:noProof/>
            <w:webHidden/>
          </w:rPr>
          <w:fldChar w:fldCharType="separate"/>
        </w:r>
        <w:r>
          <w:rPr>
            <w:noProof/>
            <w:webHidden/>
          </w:rPr>
          <w:t>103</w:t>
        </w:r>
        <w:r w:rsidR="001B0B0C">
          <w:rPr>
            <w:noProof/>
            <w:webHidden/>
          </w:rPr>
          <w:fldChar w:fldCharType="end"/>
        </w:r>
      </w:hyperlink>
    </w:p>
    <w:p w14:paraId="692D7CF3" w14:textId="396F4818" w:rsidR="001B0B0C" w:rsidRDefault="00647F4E">
      <w:pPr>
        <w:pStyle w:val="TOC2"/>
        <w:tabs>
          <w:tab w:val="right" w:leader="dot" w:pos="9350"/>
        </w:tabs>
        <w:rPr>
          <w:rFonts w:asciiTheme="minorHAnsi" w:eastAsiaTheme="minorEastAsia" w:hAnsiTheme="minorHAnsi" w:cstheme="minorBidi"/>
          <w:smallCaps w:val="0"/>
          <w:noProof/>
        </w:rPr>
      </w:pPr>
      <w:hyperlink w:anchor="_Toc4588771" w:history="1">
        <w:r w:rsidR="001B0B0C" w:rsidRPr="00CD618B">
          <w:rPr>
            <w:rStyle w:val="Hyperlink"/>
            <w:noProof/>
          </w:rPr>
          <w:t>Reagents</w:t>
        </w:r>
        <w:r w:rsidR="001B0B0C">
          <w:rPr>
            <w:noProof/>
            <w:webHidden/>
          </w:rPr>
          <w:tab/>
        </w:r>
        <w:r w:rsidR="001B0B0C">
          <w:rPr>
            <w:noProof/>
            <w:webHidden/>
          </w:rPr>
          <w:fldChar w:fldCharType="begin"/>
        </w:r>
        <w:r w:rsidR="001B0B0C">
          <w:rPr>
            <w:noProof/>
            <w:webHidden/>
          </w:rPr>
          <w:instrText xml:space="preserve"> PAGEREF _Toc4588771 \h </w:instrText>
        </w:r>
        <w:r w:rsidR="001B0B0C">
          <w:rPr>
            <w:noProof/>
            <w:webHidden/>
          </w:rPr>
        </w:r>
        <w:r w:rsidR="001B0B0C">
          <w:rPr>
            <w:noProof/>
            <w:webHidden/>
          </w:rPr>
          <w:fldChar w:fldCharType="separate"/>
        </w:r>
        <w:r>
          <w:rPr>
            <w:noProof/>
            <w:webHidden/>
          </w:rPr>
          <w:t>111</w:t>
        </w:r>
        <w:r w:rsidR="001B0B0C">
          <w:rPr>
            <w:noProof/>
            <w:webHidden/>
          </w:rPr>
          <w:fldChar w:fldCharType="end"/>
        </w:r>
      </w:hyperlink>
    </w:p>
    <w:p w14:paraId="111F6A6B" w14:textId="56701593" w:rsidR="001B0B0C" w:rsidRDefault="00647F4E">
      <w:pPr>
        <w:pStyle w:val="TOC3"/>
        <w:tabs>
          <w:tab w:val="right" w:leader="dot" w:pos="9350"/>
        </w:tabs>
        <w:rPr>
          <w:rFonts w:asciiTheme="minorHAnsi" w:eastAsiaTheme="minorEastAsia" w:hAnsiTheme="minorHAnsi" w:cstheme="minorBidi"/>
          <w:noProof/>
        </w:rPr>
      </w:pPr>
      <w:hyperlink w:anchor="_Toc4588772" w:history="1">
        <w:r w:rsidR="001B0B0C" w:rsidRPr="00CD618B">
          <w:rPr>
            <w:rStyle w:val="Hyperlink"/>
            <w:noProof/>
          </w:rPr>
          <w:t>Supplies</w:t>
        </w:r>
        <w:r w:rsidR="001B0B0C">
          <w:rPr>
            <w:noProof/>
            <w:webHidden/>
          </w:rPr>
          <w:tab/>
        </w:r>
        <w:r w:rsidR="001B0B0C">
          <w:rPr>
            <w:noProof/>
            <w:webHidden/>
          </w:rPr>
          <w:fldChar w:fldCharType="begin"/>
        </w:r>
        <w:r w:rsidR="001B0B0C">
          <w:rPr>
            <w:noProof/>
            <w:webHidden/>
          </w:rPr>
          <w:instrText xml:space="preserve"> PAGEREF _Toc4588772 \h </w:instrText>
        </w:r>
        <w:r w:rsidR="001B0B0C">
          <w:rPr>
            <w:noProof/>
            <w:webHidden/>
          </w:rPr>
        </w:r>
        <w:r w:rsidR="001B0B0C">
          <w:rPr>
            <w:noProof/>
            <w:webHidden/>
          </w:rPr>
          <w:fldChar w:fldCharType="separate"/>
        </w:r>
        <w:r>
          <w:rPr>
            <w:noProof/>
            <w:webHidden/>
          </w:rPr>
          <w:t>120</w:t>
        </w:r>
        <w:r w:rsidR="001B0B0C">
          <w:rPr>
            <w:noProof/>
            <w:webHidden/>
          </w:rPr>
          <w:fldChar w:fldCharType="end"/>
        </w:r>
      </w:hyperlink>
    </w:p>
    <w:p w14:paraId="7D42532C" w14:textId="6BCEE006" w:rsidR="001B0B0C" w:rsidRDefault="00647F4E">
      <w:pPr>
        <w:pStyle w:val="TOC3"/>
        <w:tabs>
          <w:tab w:val="right" w:leader="dot" w:pos="9350"/>
        </w:tabs>
        <w:rPr>
          <w:rFonts w:asciiTheme="minorHAnsi" w:eastAsiaTheme="minorEastAsia" w:hAnsiTheme="minorHAnsi" w:cstheme="minorBidi"/>
          <w:noProof/>
        </w:rPr>
      </w:pPr>
      <w:hyperlink w:anchor="_Toc4588773" w:history="1">
        <w:r w:rsidR="001B0B0C" w:rsidRPr="00CD618B">
          <w:rPr>
            <w:rStyle w:val="Hyperlink"/>
            <w:noProof/>
          </w:rPr>
          <w:t>Equipment</w:t>
        </w:r>
        <w:r w:rsidR="001B0B0C">
          <w:rPr>
            <w:noProof/>
            <w:webHidden/>
          </w:rPr>
          <w:tab/>
        </w:r>
        <w:r w:rsidR="001B0B0C">
          <w:rPr>
            <w:noProof/>
            <w:webHidden/>
          </w:rPr>
          <w:fldChar w:fldCharType="begin"/>
        </w:r>
        <w:r w:rsidR="001B0B0C">
          <w:rPr>
            <w:noProof/>
            <w:webHidden/>
          </w:rPr>
          <w:instrText xml:space="preserve"> PAGEREF _Toc4588773 \h </w:instrText>
        </w:r>
        <w:r w:rsidR="001B0B0C">
          <w:rPr>
            <w:noProof/>
            <w:webHidden/>
          </w:rPr>
        </w:r>
        <w:r w:rsidR="001B0B0C">
          <w:rPr>
            <w:noProof/>
            <w:webHidden/>
          </w:rPr>
          <w:fldChar w:fldCharType="separate"/>
        </w:r>
        <w:r>
          <w:rPr>
            <w:noProof/>
            <w:webHidden/>
          </w:rPr>
          <w:t>125</w:t>
        </w:r>
        <w:r w:rsidR="001B0B0C">
          <w:rPr>
            <w:noProof/>
            <w:webHidden/>
          </w:rPr>
          <w:fldChar w:fldCharType="end"/>
        </w:r>
      </w:hyperlink>
    </w:p>
    <w:p w14:paraId="747DCA0C" w14:textId="7B3A6779" w:rsidR="001B0B0C" w:rsidRDefault="00647F4E">
      <w:pPr>
        <w:pStyle w:val="TOC1"/>
        <w:tabs>
          <w:tab w:val="right" w:leader="dot" w:pos="9350"/>
        </w:tabs>
        <w:rPr>
          <w:rFonts w:asciiTheme="minorHAnsi" w:eastAsiaTheme="minorEastAsia" w:hAnsiTheme="minorHAnsi" w:cstheme="minorBidi"/>
          <w:b w:val="0"/>
          <w:caps w:val="0"/>
          <w:noProof/>
        </w:rPr>
      </w:pPr>
      <w:hyperlink w:anchor="_Toc4588774" w:history="1">
        <w:r w:rsidR="001B0B0C" w:rsidRPr="00CD618B">
          <w:rPr>
            <w:rStyle w:val="Hyperlink"/>
            <w:noProof/>
          </w:rPr>
          <w:t>Component Processing</w:t>
        </w:r>
        <w:r w:rsidR="001B0B0C">
          <w:rPr>
            <w:noProof/>
            <w:webHidden/>
          </w:rPr>
          <w:tab/>
        </w:r>
        <w:r w:rsidR="001B0B0C">
          <w:rPr>
            <w:noProof/>
            <w:webHidden/>
          </w:rPr>
          <w:fldChar w:fldCharType="begin"/>
        </w:r>
        <w:r w:rsidR="001B0B0C">
          <w:rPr>
            <w:noProof/>
            <w:webHidden/>
          </w:rPr>
          <w:instrText xml:space="preserve"> PAGEREF _Toc4588774 \h </w:instrText>
        </w:r>
        <w:r w:rsidR="001B0B0C">
          <w:rPr>
            <w:noProof/>
            <w:webHidden/>
          </w:rPr>
        </w:r>
        <w:r w:rsidR="001B0B0C">
          <w:rPr>
            <w:noProof/>
            <w:webHidden/>
          </w:rPr>
          <w:fldChar w:fldCharType="separate"/>
        </w:r>
        <w:r>
          <w:rPr>
            <w:noProof/>
            <w:webHidden/>
          </w:rPr>
          <w:t>130</w:t>
        </w:r>
        <w:r w:rsidR="001B0B0C">
          <w:rPr>
            <w:noProof/>
            <w:webHidden/>
          </w:rPr>
          <w:fldChar w:fldCharType="end"/>
        </w:r>
      </w:hyperlink>
    </w:p>
    <w:p w14:paraId="18BD335C" w14:textId="4B237D59" w:rsidR="001B0B0C" w:rsidRDefault="00647F4E">
      <w:pPr>
        <w:pStyle w:val="TOC2"/>
        <w:tabs>
          <w:tab w:val="right" w:leader="dot" w:pos="9350"/>
        </w:tabs>
        <w:rPr>
          <w:rFonts w:asciiTheme="minorHAnsi" w:eastAsiaTheme="minorEastAsia" w:hAnsiTheme="minorHAnsi" w:cstheme="minorBidi"/>
          <w:smallCaps w:val="0"/>
          <w:noProof/>
        </w:rPr>
      </w:pPr>
      <w:hyperlink w:anchor="_Toc4588775" w:history="1">
        <w:r w:rsidR="001B0B0C" w:rsidRPr="00CD618B">
          <w:rPr>
            <w:rStyle w:val="Hyperlink"/>
            <w:noProof/>
          </w:rPr>
          <w:t>Shipments</w:t>
        </w:r>
        <w:r w:rsidR="001B0B0C">
          <w:rPr>
            <w:noProof/>
            <w:webHidden/>
          </w:rPr>
          <w:tab/>
        </w:r>
        <w:r w:rsidR="001B0B0C">
          <w:rPr>
            <w:noProof/>
            <w:webHidden/>
          </w:rPr>
          <w:fldChar w:fldCharType="begin"/>
        </w:r>
        <w:r w:rsidR="001B0B0C">
          <w:rPr>
            <w:noProof/>
            <w:webHidden/>
          </w:rPr>
          <w:instrText xml:space="preserve"> PAGEREF _Toc4588775 \h </w:instrText>
        </w:r>
        <w:r w:rsidR="001B0B0C">
          <w:rPr>
            <w:noProof/>
            <w:webHidden/>
          </w:rPr>
        </w:r>
        <w:r w:rsidR="001B0B0C">
          <w:rPr>
            <w:noProof/>
            <w:webHidden/>
          </w:rPr>
          <w:fldChar w:fldCharType="separate"/>
        </w:r>
        <w:r>
          <w:rPr>
            <w:noProof/>
            <w:webHidden/>
          </w:rPr>
          <w:t>130</w:t>
        </w:r>
        <w:r w:rsidR="001B0B0C">
          <w:rPr>
            <w:noProof/>
            <w:webHidden/>
          </w:rPr>
          <w:fldChar w:fldCharType="end"/>
        </w:r>
      </w:hyperlink>
    </w:p>
    <w:p w14:paraId="2D6813C9" w14:textId="4F1039CC" w:rsidR="001B0B0C" w:rsidRDefault="00647F4E">
      <w:pPr>
        <w:pStyle w:val="TOC3"/>
        <w:tabs>
          <w:tab w:val="right" w:leader="dot" w:pos="9350"/>
        </w:tabs>
        <w:rPr>
          <w:rFonts w:asciiTheme="minorHAnsi" w:eastAsiaTheme="minorEastAsia" w:hAnsiTheme="minorHAnsi" w:cstheme="minorBidi"/>
          <w:noProof/>
        </w:rPr>
      </w:pPr>
      <w:hyperlink w:anchor="_Toc4588776" w:history="1">
        <w:r w:rsidR="001B0B0C" w:rsidRPr="00CD618B">
          <w:rPr>
            <w:rStyle w:val="Hyperlink"/>
            <w:noProof/>
          </w:rPr>
          <w:t>Incoming Shipment</w:t>
        </w:r>
        <w:r w:rsidR="001B0B0C">
          <w:rPr>
            <w:noProof/>
            <w:webHidden/>
          </w:rPr>
          <w:tab/>
        </w:r>
        <w:r w:rsidR="001B0B0C">
          <w:rPr>
            <w:noProof/>
            <w:webHidden/>
          </w:rPr>
          <w:fldChar w:fldCharType="begin"/>
        </w:r>
        <w:r w:rsidR="001B0B0C">
          <w:rPr>
            <w:noProof/>
            <w:webHidden/>
          </w:rPr>
          <w:instrText xml:space="preserve"> PAGEREF _Toc4588776 \h </w:instrText>
        </w:r>
        <w:r w:rsidR="001B0B0C">
          <w:rPr>
            <w:noProof/>
            <w:webHidden/>
          </w:rPr>
        </w:r>
        <w:r w:rsidR="001B0B0C">
          <w:rPr>
            <w:noProof/>
            <w:webHidden/>
          </w:rPr>
          <w:fldChar w:fldCharType="separate"/>
        </w:r>
        <w:r>
          <w:rPr>
            <w:noProof/>
            <w:webHidden/>
          </w:rPr>
          <w:t>130</w:t>
        </w:r>
        <w:r w:rsidR="001B0B0C">
          <w:rPr>
            <w:noProof/>
            <w:webHidden/>
          </w:rPr>
          <w:fldChar w:fldCharType="end"/>
        </w:r>
      </w:hyperlink>
    </w:p>
    <w:p w14:paraId="0CCBC4D0" w14:textId="02CFE341" w:rsidR="001B0B0C" w:rsidRDefault="00647F4E">
      <w:pPr>
        <w:pStyle w:val="TOC3"/>
        <w:tabs>
          <w:tab w:val="right" w:leader="dot" w:pos="9350"/>
        </w:tabs>
        <w:rPr>
          <w:rFonts w:asciiTheme="minorHAnsi" w:eastAsiaTheme="minorEastAsia" w:hAnsiTheme="minorHAnsi" w:cstheme="minorBidi"/>
          <w:noProof/>
        </w:rPr>
      </w:pPr>
      <w:hyperlink w:anchor="_Toc4588777" w:history="1">
        <w:r w:rsidR="001B0B0C" w:rsidRPr="00CD618B">
          <w:rPr>
            <w:rStyle w:val="Hyperlink"/>
            <w:noProof/>
          </w:rPr>
          <w:t>Edit Invoice Text</w:t>
        </w:r>
        <w:r w:rsidR="001B0B0C">
          <w:rPr>
            <w:noProof/>
            <w:webHidden/>
          </w:rPr>
          <w:tab/>
        </w:r>
        <w:r w:rsidR="001B0B0C">
          <w:rPr>
            <w:noProof/>
            <w:webHidden/>
          </w:rPr>
          <w:fldChar w:fldCharType="begin"/>
        </w:r>
        <w:r w:rsidR="001B0B0C">
          <w:rPr>
            <w:noProof/>
            <w:webHidden/>
          </w:rPr>
          <w:instrText xml:space="preserve"> PAGEREF _Toc4588777 \h </w:instrText>
        </w:r>
        <w:r w:rsidR="001B0B0C">
          <w:rPr>
            <w:noProof/>
            <w:webHidden/>
          </w:rPr>
        </w:r>
        <w:r w:rsidR="001B0B0C">
          <w:rPr>
            <w:noProof/>
            <w:webHidden/>
          </w:rPr>
          <w:fldChar w:fldCharType="separate"/>
        </w:r>
        <w:r>
          <w:rPr>
            <w:noProof/>
            <w:webHidden/>
          </w:rPr>
          <w:t>151</w:t>
        </w:r>
        <w:r w:rsidR="001B0B0C">
          <w:rPr>
            <w:noProof/>
            <w:webHidden/>
          </w:rPr>
          <w:fldChar w:fldCharType="end"/>
        </w:r>
      </w:hyperlink>
    </w:p>
    <w:p w14:paraId="004A1B49" w14:textId="50C28F14" w:rsidR="001B0B0C" w:rsidRDefault="00647F4E">
      <w:pPr>
        <w:pStyle w:val="TOC2"/>
        <w:tabs>
          <w:tab w:val="right" w:leader="dot" w:pos="9350"/>
        </w:tabs>
        <w:rPr>
          <w:rFonts w:asciiTheme="minorHAnsi" w:eastAsiaTheme="minorEastAsia" w:hAnsiTheme="minorHAnsi" w:cstheme="minorBidi"/>
          <w:smallCaps w:val="0"/>
          <w:noProof/>
        </w:rPr>
      </w:pPr>
      <w:hyperlink w:anchor="_Toc4588778" w:history="1">
        <w:r w:rsidR="001B0B0C" w:rsidRPr="00CD618B">
          <w:rPr>
            <w:rStyle w:val="Hyperlink"/>
            <w:noProof/>
          </w:rPr>
          <w:t>Unit Search Screen</w:t>
        </w:r>
        <w:r w:rsidR="001B0B0C">
          <w:rPr>
            <w:noProof/>
            <w:webHidden/>
          </w:rPr>
          <w:tab/>
        </w:r>
        <w:r w:rsidR="001B0B0C">
          <w:rPr>
            <w:noProof/>
            <w:webHidden/>
          </w:rPr>
          <w:fldChar w:fldCharType="begin"/>
        </w:r>
        <w:r w:rsidR="001B0B0C">
          <w:rPr>
            <w:noProof/>
            <w:webHidden/>
          </w:rPr>
          <w:instrText xml:space="preserve"> PAGEREF _Toc4588778 \h </w:instrText>
        </w:r>
        <w:r w:rsidR="001B0B0C">
          <w:rPr>
            <w:noProof/>
            <w:webHidden/>
          </w:rPr>
        </w:r>
        <w:r w:rsidR="001B0B0C">
          <w:rPr>
            <w:noProof/>
            <w:webHidden/>
          </w:rPr>
          <w:fldChar w:fldCharType="separate"/>
        </w:r>
        <w:r>
          <w:rPr>
            <w:noProof/>
            <w:webHidden/>
          </w:rPr>
          <w:t>152</w:t>
        </w:r>
        <w:r w:rsidR="001B0B0C">
          <w:rPr>
            <w:noProof/>
            <w:webHidden/>
          </w:rPr>
          <w:fldChar w:fldCharType="end"/>
        </w:r>
      </w:hyperlink>
    </w:p>
    <w:p w14:paraId="36056A14" w14:textId="05A34D67" w:rsidR="001B0B0C" w:rsidRDefault="00647F4E">
      <w:pPr>
        <w:pStyle w:val="TOC2"/>
        <w:tabs>
          <w:tab w:val="right" w:leader="dot" w:pos="9350"/>
        </w:tabs>
        <w:rPr>
          <w:rFonts w:asciiTheme="minorHAnsi" w:eastAsiaTheme="minorEastAsia" w:hAnsiTheme="minorHAnsi" w:cstheme="minorBidi"/>
          <w:smallCaps w:val="0"/>
          <w:noProof/>
        </w:rPr>
      </w:pPr>
      <w:hyperlink w:anchor="_Toc4588779" w:history="1">
        <w:r w:rsidR="001B0B0C" w:rsidRPr="00CD618B">
          <w:rPr>
            <w:rStyle w:val="Hyperlink"/>
            <w:noProof/>
          </w:rPr>
          <w:t>Test Units</w:t>
        </w:r>
        <w:r w:rsidR="001B0B0C">
          <w:rPr>
            <w:noProof/>
            <w:webHidden/>
          </w:rPr>
          <w:tab/>
        </w:r>
        <w:r w:rsidR="001B0B0C">
          <w:rPr>
            <w:noProof/>
            <w:webHidden/>
          </w:rPr>
          <w:fldChar w:fldCharType="begin"/>
        </w:r>
        <w:r w:rsidR="001B0B0C">
          <w:rPr>
            <w:noProof/>
            <w:webHidden/>
          </w:rPr>
          <w:instrText xml:space="preserve"> PAGEREF _Toc4588779 \h </w:instrText>
        </w:r>
        <w:r w:rsidR="001B0B0C">
          <w:rPr>
            <w:noProof/>
            <w:webHidden/>
          </w:rPr>
        </w:r>
        <w:r w:rsidR="001B0B0C">
          <w:rPr>
            <w:noProof/>
            <w:webHidden/>
          </w:rPr>
          <w:fldChar w:fldCharType="separate"/>
        </w:r>
        <w:r>
          <w:rPr>
            <w:noProof/>
            <w:webHidden/>
          </w:rPr>
          <w:t>154</w:t>
        </w:r>
        <w:r w:rsidR="001B0B0C">
          <w:rPr>
            <w:noProof/>
            <w:webHidden/>
          </w:rPr>
          <w:fldChar w:fldCharType="end"/>
        </w:r>
      </w:hyperlink>
    </w:p>
    <w:p w14:paraId="08C361B4" w14:textId="0ED210E8" w:rsidR="001B0B0C" w:rsidRDefault="00647F4E">
      <w:pPr>
        <w:pStyle w:val="TOC3"/>
        <w:tabs>
          <w:tab w:val="right" w:leader="dot" w:pos="9350"/>
        </w:tabs>
        <w:rPr>
          <w:rFonts w:asciiTheme="minorHAnsi" w:eastAsiaTheme="minorEastAsia" w:hAnsiTheme="minorHAnsi" w:cstheme="minorBidi"/>
          <w:noProof/>
        </w:rPr>
      </w:pPr>
      <w:hyperlink w:anchor="_Toc4588780" w:history="1">
        <w:r w:rsidR="001B0B0C" w:rsidRPr="00CD618B">
          <w:rPr>
            <w:rStyle w:val="Hyperlink"/>
            <w:noProof/>
          </w:rPr>
          <w:t>ABO/Rh Confirmation</w:t>
        </w:r>
        <w:r w:rsidR="001B0B0C">
          <w:rPr>
            <w:noProof/>
            <w:webHidden/>
          </w:rPr>
          <w:tab/>
        </w:r>
        <w:r w:rsidR="001B0B0C">
          <w:rPr>
            <w:noProof/>
            <w:webHidden/>
          </w:rPr>
          <w:fldChar w:fldCharType="begin"/>
        </w:r>
        <w:r w:rsidR="001B0B0C">
          <w:rPr>
            <w:noProof/>
            <w:webHidden/>
          </w:rPr>
          <w:instrText xml:space="preserve"> PAGEREF _Toc4588780 \h </w:instrText>
        </w:r>
        <w:r w:rsidR="001B0B0C">
          <w:rPr>
            <w:noProof/>
            <w:webHidden/>
          </w:rPr>
        </w:r>
        <w:r w:rsidR="001B0B0C">
          <w:rPr>
            <w:noProof/>
            <w:webHidden/>
          </w:rPr>
          <w:fldChar w:fldCharType="separate"/>
        </w:r>
        <w:r>
          <w:rPr>
            <w:noProof/>
            <w:webHidden/>
          </w:rPr>
          <w:t>154</w:t>
        </w:r>
        <w:r w:rsidR="001B0B0C">
          <w:rPr>
            <w:noProof/>
            <w:webHidden/>
          </w:rPr>
          <w:fldChar w:fldCharType="end"/>
        </w:r>
      </w:hyperlink>
    </w:p>
    <w:p w14:paraId="4A87EF7C" w14:textId="2E7D7E69" w:rsidR="001B0B0C" w:rsidRDefault="00647F4E">
      <w:pPr>
        <w:pStyle w:val="TOC3"/>
        <w:tabs>
          <w:tab w:val="right" w:leader="dot" w:pos="9350"/>
        </w:tabs>
        <w:rPr>
          <w:rFonts w:asciiTheme="minorHAnsi" w:eastAsiaTheme="minorEastAsia" w:hAnsiTheme="minorHAnsi" w:cstheme="minorBidi"/>
          <w:noProof/>
        </w:rPr>
      </w:pPr>
      <w:hyperlink w:anchor="_Toc4588781" w:history="1">
        <w:r w:rsidR="001B0B0C" w:rsidRPr="00CD618B">
          <w:rPr>
            <w:rStyle w:val="Hyperlink"/>
            <w:noProof/>
          </w:rPr>
          <w:t>Unit Antigen Typing</w:t>
        </w:r>
        <w:r w:rsidR="001B0B0C">
          <w:rPr>
            <w:noProof/>
            <w:webHidden/>
          </w:rPr>
          <w:tab/>
        </w:r>
        <w:r w:rsidR="001B0B0C">
          <w:rPr>
            <w:noProof/>
            <w:webHidden/>
          </w:rPr>
          <w:fldChar w:fldCharType="begin"/>
        </w:r>
        <w:r w:rsidR="001B0B0C">
          <w:rPr>
            <w:noProof/>
            <w:webHidden/>
          </w:rPr>
          <w:instrText xml:space="preserve"> PAGEREF _Toc4588781 \h </w:instrText>
        </w:r>
        <w:r w:rsidR="001B0B0C">
          <w:rPr>
            <w:noProof/>
            <w:webHidden/>
          </w:rPr>
        </w:r>
        <w:r w:rsidR="001B0B0C">
          <w:rPr>
            <w:noProof/>
            <w:webHidden/>
          </w:rPr>
          <w:fldChar w:fldCharType="separate"/>
        </w:r>
        <w:r>
          <w:rPr>
            <w:noProof/>
            <w:webHidden/>
          </w:rPr>
          <w:t>158</w:t>
        </w:r>
        <w:r w:rsidR="001B0B0C">
          <w:rPr>
            <w:noProof/>
            <w:webHidden/>
          </w:rPr>
          <w:fldChar w:fldCharType="end"/>
        </w:r>
      </w:hyperlink>
    </w:p>
    <w:p w14:paraId="5BFB519F" w14:textId="59523A76" w:rsidR="001B0B0C" w:rsidRDefault="00647F4E">
      <w:pPr>
        <w:pStyle w:val="TOC2"/>
        <w:tabs>
          <w:tab w:val="right" w:leader="dot" w:pos="9350"/>
        </w:tabs>
        <w:rPr>
          <w:rFonts w:asciiTheme="minorHAnsi" w:eastAsiaTheme="minorEastAsia" w:hAnsiTheme="minorHAnsi" w:cstheme="minorBidi"/>
          <w:smallCaps w:val="0"/>
          <w:noProof/>
        </w:rPr>
      </w:pPr>
      <w:hyperlink w:anchor="_Toc4588782" w:history="1">
        <w:r w:rsidR="001B0B0C" w:rsidRPr="00CD618B">
          <w:rPr>
            <w:rStyle w:val="Hyperlink"/>
            <w:noProof/>
          </w:rPr>
          <w:t>Modify Components</w:t>
        </w:r>
        <w:r w:rsidR="001B0B0C">
          <w:rPr>
            <w:noProof/>
            <w:webHidden/>
          </w:rPr>
          <w:tab/>
        </w:r>
        <w:r w:rsidR="001B0B0C">
          <w:rPr>
            <w:noProof/>
            <w:webHidden/>
          </w:rPr>
          <w:fldChar w:fldCharType="begin"/>
        </w:r>
        <w:r w:rsidR="001B0B0C">
          <w:rPr>
            <w:noProof/>
            <w:webHidden/>
          </w:rPr>
          <w:instrText xml:space="preserve"> PAGEREF _Toc4588782 \h </w:instrText>
        </w:r>
        <w:r w:rsidR="001B0B0C">
          <w:rPr>
            <w:noProof/>
            <w:webHidden/>
          </w:rPr>
        </w:r>
        <w:r w:rsidR="001B0B0C">
          <w:rPr>
            <w:noProof/>
            <w:webHidden/>
          </w:rPr>
          <w:fldChar w:fldCharType="separate"/>
        </w:r>
        <w:r>
          <w:rPr>
            <w:noProof/>
            <w:webHidden/>
          </w:rPr>
          <w:t>169</w:t>
        </w:r>
        <w:r w:rsidR="001B0B0C">
          <w:rPr>
            <w:noProof/>
            <w:webHidden/>
          </w:rPr>
          <w:fldChar w:fldCharType="end"/>
        </w:r>
      </w:hyperlink>
    </w:p>
    <w:p w14:paraId="537717FA" w14:textId="1C7D04A6" w:rsidR="001B0B0C" w:rsidRDefault="00647F4E">
      <w:pPr>
        <w:pStyle w:val="TOC3"/>
        <w:tabs>
          <w:tab w:val="right" w:leader="dot" w:pos="9350"/>
        </w:tabs>
        <w:rPr>
          <w:rFonts w:asciiTheme="minorHAnsi" w:eastAsiaTheme="minorEastAsia" w:hAnsiTheme="minorHAnsi" w:cstheme="minorBidi"/>
          <w:noProof/>
        </w:rPr>
      </w:pPr>
      <w:hyperlink w:anchor="_Toc4588783" w:history="1">
        <w:r w:rsidR="001B0B0C" w:rsidRPr="00CD618B">
          <w:rPr>
            <w:rStyle w:val="Hyperlink"/>
            <w:noProof/>
          </w:rPr>
          <w:t>Modify Units</w:t>
        </w:r>
        <w:r w:rsidR="001B0B0C">
          <w:rPr>
            <w:noProof/>
            <w:webHidden/>
          </w:rPr>
          <w:tab/>
        </w:r>
        <w:r w:rsidR="001B0B0C">
          <w:rPr>
            <w:noProof/>
            <w:webHidden/>
          </w:rPr>
          <w:fldChar w:fldCharType="begin"/>
        </w:r>
        <w:r w:rsidR="001B0B0C">
          <w:rPr>
            <w:noProof/>
            <w:webHidden/>
          </w:rPr>
          <w:instrText xml:space="preserve"> PAGEREF _Toc4588783 \h </w:instrText>
        </w:r>
        <w:r w:rsidR="001B0B0C">
          <w:rPr>
            <w:noProof/>
            <w:webHidden/>
          </w:rPr>
        </w:r>
        <w:r w:rsidR="001B0B0C">
          <w:rPr>
            <w:noProof/>
            <w:webHidden/>
          </w:rPr>
          <w:fldChar w:fldCharType="separate"/>
        </w:r>
        <w:r>
          <w:rPr>
            <w:noProof/>
            <w:webHidden/>
          </w:rPr>
          <w:t>169</w:t>
        </w:r>
        <w:r w:rsidR="001B0B0C">
          <w:rPr>
            <w:noProof/>
            <w:webHidden/>
          </w:rPr>
          <w:fldChar w:fldCharType="end"/>
        </w:r>
      </w:hyperlink>
    </w:p>
    <w:p w14:paraId="1ADFBC25" w14:textId="342C3965" w:rsidR="001B0B0C" w:rsidRDefault="00647F4E">
      <w:pPr>
        <w:pStyle w:val="TOC3"/>
        <w:tabs>
          <w:tab w:val="right" w:leader="dot" w:pos="9350"/>
        </w:tabs>
        <w:rPr>
          <w:rFonts w:asciiTheme="minorHAnsi" w:eastAsiaTheme="minorEastAsia" w:hAnsiTheme="minorHAnsi" w:cstheme="minorBidi"/>
          <w:noProof/>
        </w:rPr>
      </w:pPr>
      <w:hyperlink w:anchor="_Toc4588784" w:history="1">
        <w:r w:rsidR="001B0B0C" w:rsidRPr="00CD618B">
          <w:rPr>
            <w:rStyle w:val="Hyperlink"/>
            <w:noProof/>
          </w:rPr>
          <w:t>Modify Units: Split a Unit</w:t>
        </w:r>
        <w:r w:rsidR="001B0B0C">
          <w:rPr>
            <w:noProof/>
            <w:webHidden/>
          </w:rPr>
          <w:tab/>
        </w:r>
        <w:r w:rsidR="001B0B0C">
          <w:rPr>
            <w:noProof/>
            <w:webHidden/>
          </w:rPr>
          <w:fldChar w:fldCharType="begin"/>
        </w:r>
        <w:r w:rsidR="001B0B0C">
          <w:rPr>
            <w:noProof/>
            <w:webHidden/>
          </w:rPr>
          <w:instrText xml:space="preserve"> PAGEREF _Toc4588784 \h </w:instrText>
        </w:r>
        <w:r w:rsidR="001B0B0C">
          <w:rPr>
            <w:noProof/>
            <w:webHidden/>
          </w:rPr>
        </w:r>
        <w:r w:rsidR="001B0B0C">
          <w:rPr>
            <w:noProof/>
            <w:webHidden/>
          </w:rPr>
          <w:fldChar w:fldCharType="separate"/>
        </w:r>
        <w:r>
          <w:rPr>
            <w:noProof/>
            <w:webHidden/>
          </w:rPr>
          <w:t>181</w:t>
        </w:r>
        <w:r w:rsidR="001B0B0C">
          <w:rPr>
            <w:noProof/>
            <w:webHidden/>
          </w:rPr>
          <w:fldChar w:fldCharType="end"/>
        </w:r>
      </w:hyperlink>
    </w:p>
    <w:p w14:paraId="1441A79E" w14:textId="3E45654F" w:rsidR="001B0B0C" w:rsidRDefault="00647F4E">
      <w:pPr>
        <w:pStyle w:val="TOC3"/>
        <w:tabs>
          <w:tab w:val="right" w:leader="dot" w:pos="9350"/>
        </w:tabs>
        <w:rPr>
          <w:rFonts w:asciiTheme="minorHAnsi" w:eastAsiaTheme="minorEastAsia" w:hAnsiTheme="minorHAnsi" w:cstheme="minorBidi"/>
          <w:noProof/>
        </w:rPr>
      </w:pPr>
      <w:hyperlink w:anchor="_Toc4588785" w:history="1">
        <w:r w:rsidR="001B0B0C" w:rsidRPr="00CD618B">
          <w:rPr>
            <w:rStyle w:val="Hyperlink"/>
            <w:noProof/>
          </w:rPr>
          <w:t>Modify Units: Pool Units</w:t>
        </w:r>
        <w:r w:rsidR="001B0B0C">
          <w:rPr>
            <w:noProof/>
            <w:webHidden/>
          </w:rPr>
          <w:tab/>
        </w:r>
        <w:r w:rsidR="001B0B0C">
          <w:rPr>
            <w:noProof/>
            <w:webHidden/>
          </w:rPr>
          <w:fldChar w:fldCharType="begin"/>
        </w:r>
        <w:r w:rsidR="001B0B0C">
          <w:rPr>
            <w:noProof/>
            <w:webHidden/>
          </w:rPr>
          <w:instrText xml:space="preserve"> PAGEREF _Toc4588785 \h </w:instrText>
        </w:r>
        <w:r w:rsidR="001B0B0C">
          <w:rPr>
            <w:noProof/>
            <w:webHidden/>
          </w:rPr>
        </w:r>
        <w:r w:rsidR="001B0B0C">
          <w:rPr>
            <w:noProof/>
            <w:webHidden/>
          </w:rPr>
          <w:fldChar w:fldCharType="separate"/>
        </w:r>
        <w:r>
          <w:rPr>
            <w:noProof/>
            <w:webHidden/>
          </w:rPr>
          <w:t>184</w:t>
        </w:r>
        <w:r w:rsidR="001B0B0C">
          <w:rPr>
            <w:noProof/>
            <w:webHidden/>
          </w:rPr>
          <w:fldChar w:fldCharType="end"/>
        </w:r>
      </w:hyperlink>
    </w:p>
    <w:p w14:paraId="35C81983" w14:textId="15CB7963" w:rsidR="001B0B0C" w:rsidRDefault="00647F4E">
      <w:pPr>
        <w:pStyle w:val="TOC3"/>
        <w:tabs>
          <w:tab w:val="right" w:leader="dot" w:pos="9350"/>
        </w:tabs>
        <w:rPr>
          <w:rFonts w:asciiTheme="minorHAnsi" w:eastAsiaTheme="minorEastAsia" w:hAnsiTheme="minorHAnsi" w:cstheme="minorBidi"/>
          <w:noProof/>
        </w:rPr>
      </w:pPr>
      <w:hyperlink w:anchor="_Toc4588786" w:history="1">
        <w:r w:rsidR="001B0B0C" w:rsidRPr="00CD618B">
          <w:rPr>
            <w:rStyle w:val="Hyperlink"/>
            <w:noProof/>
          </w:rPr>
          <w:t>Add and/or Remove Units from a Pool</w:t>
        </w:r>
        <w:r w:rsidR="001B0B0C">
          <w:rPr>
            <w:noProof/>
            <w:webHidden/>
          </w:rPr>
          <w:tab/>
        </w:r>
        <w:r w:rsidR="001B0B0C">
          <w:rPr>
            <w:noProof/>
            <w:webHidden/>
          </w:rPr>
          <w:fldChar w:fldCharType="begin"/>
        </w:r>
        <w:r w:rsidR="001B0B0C">
          <w:rPr>
            <w:noProof/>
            <w:webHidden/>
          </w:rPr>
          <w:instrText xml:space="preserve"> PAGEREF _Toc4588786 \h </w:instrText>
        </w:r>
        <w:r w:rsidR="001B0B0C">
          <w:rPr>
            <w:noProof/>
            <w:webHidden/>
          </w:rPr>
        </w:r>
        <w:r w:rsidR="001B0B0C">
          <w:rPr>
            <w:noProof/>
            <w:webHidden/>
          </w:rPr>
          <w:fldChar w:fldCharType="separate"/>
        </w:r>
        <w:r>
          <w:rPr>
            <w:noProof/>
            <w:webHidden/>
          </w:rPr>
          <w:t>189</w:t>
        </w:r>
        <w:r w:rsidR="001B0B0C">
          <w:rPr>
            <w:noProof/>
            <w:webHidden/>
          </w:rPr>
          <w:fldChar w:fldCharType="end"/>
        </w:r>
      </w:hyperlink>
    </w:p>
    <w:p w14:paraId="58878A82" w14:textId="2ABBB67C" w:rsidR="001B0B0C" w:rsidRDefault="00647F4E">
      <w:pPr>
        <w:pStyle w:val="TOC2"/>
        <w:tabs>
          <w:tab w:val="right" w:leader="dot" w:pos="9350"/>
        </w:tabs>
        <w:rPr>
          <w:rFonts w:asciiTheme="minorHAnsi" w:eastAsiaTheme="minorEastAsia" w:hAnsiTheme="minorHAnsi" w:cstheme="minorBidi"/>
          <w:smallCaps w:val="0"/>
          <w:noProof/>
        </w:rPr>
      </w:pPr>
      <w:hyperlink w:anchor="_Toc4588787" w:history="1">
        <w:r w:rsidR="001B0B0C" w:rsidRPr="00CD618B">
          <w:rPr>
            <w:rStyle w:val="Hyperlink"/>
            <w:noProof/>
          </w:rPr>
          <w:t>Maintain Unit Records</w:t>
        </w:r>
        <w:r w:rsidR="001B0B0C">
          <w:rPr>
            <w:noProof/>
            <w:webHidden/>
          </w:rPr>
          <w:tab/>
        </w:r>
        <w:r w:rsidR="001B0B0C">
          <w:rPr>
            <w:noProof/>
            <w:webHidden/>
          </w:rPr>
          <w:fldChar w:fldCharType="begin"/>
        </w:r>
        <w:r w:rsidR="001B0B0C">
          <w:rPr>
            <w:noProof/>
            <w:webHidden/>
          </w:rPr>
          <w:instrText xml:space="preserve"> PAGEREF _Toc4588787 \h </w:instrText>
        </w:r>
        <w:r w:rsidR="001B0B0C">
          <w:rPr>
            <w:noProof/>
            <w:webHidden/>
          </w:rPr>
        </w:r>
        <w:r w:rsidR="001B0B0C">
          <w:rPr>
            <w:noProof/>
            <w:webHidden/>
          </w:rPr>
          <w:fldChar w:fldCharType="separate"/>
        </w:r>
        <w:r>
          <w:rPr>
            <w:noProof/>
            <w:webHidden/>
          </w:rPr>
          <w:t>192</w:t>
        </w:r>
        <w:r w:rsidR="001B0B0C">
          <w:rPr>
            <w:noProof/>
            <w:webHidden/>
          </w:rPr>
          <w:fldChar w:fldCharType="end"/>
        </w:r>
      </w:hyperlink>
    </w:p>
    <w:p w14:paraId="62D987D9" w14:textId="0C37D771" w:rsidR="001B0B0C" w:rsidRDefault="00647F4E">
      <w:pPr>
        <w:pStyle w:val="TOC3"/>
        <w:tabs>
          <w:tab w:val="right" w:leader="dot" w:pos="9350"/>
        </w:tabs>
        <w:rPr>
          <w:rFonts w:asciiTheme="minorHAnsi" w:eastAsiaTheme="minorEastAsia" w:hAnsiTheme="minorHAnsi" w:cstheme="minorBidi"/>
          <w:noProof/>
        </w:rPr>
      </w:pPr>
      <w:hyperlink w:anchor="_Toc4588788" w:history="1">
        <w:r w:rsidR="001B0B0C" w:rsidRPr="00CD618B">
          <w:rPr>
            <w:rStyle w:val="Hyperlink"/>
            <w:noProof/>
          </w:rPr>
          <w:t>Edit Unit Information</w:t>
        </w:r>
        <w:r w:rsidR="001B0B0C">
          <w:rPr>
            <w:noProof/>
            <w:webHidden/>
          </w:rPr>
          <w:tab/>
        </w:r>
        <w:r w:rsidR="001B0B0C">
          <w:rPr>
            <w:noProof/>
            <w:webHidden/>
          </w:rPr>
          <w:fldChar w:fldCharType="begin"/>
        </w:r>
        <w:r w:rsidR="001B0B0C">
          <w:rPr>
            <w:noProof/>
            <w:webHidden/>
          </w:rPr>
          <w:instrText xml:space="preserve"> PAGEREF _Toc4588788 \h </w:instrText>
        </w:r>
        <w:r w:rsidR="001B0B0C">
          <w:rPr>
            <w:noProof/>
            <w:webHidden/>
          </w:rPr>
        </w:r>
        <w:r w:rsidR="001B0B0C">
          <w:rPr>
            <w:noProof/>
            <w:webHidden/>
          </w:rPr>
          <w:fldChar w:fldCharType="separate"/>
        </w:r>
        <w:r>
          <w:rPr>
            <w:noProof/>
            <w:webHidden/>
          </w:rPr>
          <w:t>192</w:t>
        </w:r>
        <w:r w:rsidR="001B0B0C">
          <w:rPr>
            <w:noProof/>
            <w:webHidden/>
          </w:rPr>
          <w:fldChar w:fldCharType="end"/>
        </w:r>
      </w:hyperlink>
    </w:p>
    <w:p w14:paraId="4E3D7BE1" w14:textId="17C85B98" w:rsidR="001B0B0C" w:rsidRDefault="00647F4E">
      <w:pPr>
        <w:pStyle w:val="TOC3"/>
        <w:tabs>
          <w:tab w:val="right" w:leader="dot" w:pos="9350"/>
        </w:tabs>
        <w:rPr>
          <w:rFonts w:asciiTheme="minorHAnsi" w:eastAsiaTheme="minorEastAsia" w:hAnsiTheme="minorHAnsi" w:cstheme="minorBidi"/>
          <w:noProof/>
        </w:rPr>
      </w:pPr>
      <w:hyperlink w:anchor="_Toc4588789" w:history="1">
        <w:r w:rsidR="001B0B0C" w:rsidRPr="00CD618B">
          <w:rPr>
            <w:rStyle w:val="Hyperlink"/>
            <w:noProof/>
          </w:rPr>
          <w:t>Edit Financial Data</w:t>
        </w:r>
        <w:r w:rsidR="001B0B0C">
          <w:rPr>
            <w:noProof/>
            <w:webHidden/>
          </w:rPr>
          <w:tab/>
        </w:r>
        <w:r w:rsidR="001B0B0C">
          <w:rPr>
            <w:noProof/>
            <w:webHidden/>
          </w:rPr>
          <w:fldChar w:fldCharType="begin"/>
        </w:r>
        <w:r w:rsidR="001B0B0C">
          <w:rPr>
            <w:noProof/>
            <w:webHidden/>
          </w:rPr>
          <w:instrText xml:space="preserve"> PAGEREF _Toc4588789 \h </w:instrText>
        </w:r>
        <w:r w:rsidR="001B0B0C">
          <w:rPr>
            <w:noProof/>
            <w:webHidden/>
          </w:rPr>
        </w:r>
        <w:r w:rsidR="001B0B0C">
          <w:rPr>
            <w:noProof/>
            <w:webHidden/>
          </w:rPr>
          <w:fldChar w:fldCharType="separate"/>
        </w:r>
        <w:r>
          <w:rPr>
            <w:noProof/>
            <w:webHidden/>
          </w:rPr>
          <w:t>198</w:t>
        </w:r>
        <w:r w:rsidR="001B0B0C">
          <w:rPr>
            <w:noProof/>
            <w:webHidden/>
          </w:rPr>
          <w:fldChar w:fldCharType="end"/>
        </w:r>
      </w:hyperlink>
    </w:p>
    <w:p w14:paraId="27C63DBB" w14:textId="394EB032" w:rsidR="001B0B0C" w:rsidRDefault="00647F4E">
      <w:pPr>
        <w:pStyle w:val="TOC3"/>
        <w:tabs>
          <w:tab w:val="right" w:leader="dot" w:pos="9350"/>
        </w:tabs>
        <w:rPr>
          <w:rFonts w:asciiTheme="minorHAnsi" w:eastAsiaTheme="minorEastAsia" w:hAnsiTheme="minorHAnsi" w:cstheme="minorBidi"/>
          <w:noProof/>
        </w:rPr>
      </w:pPr>
      <w:hyperlink w:anchor="_Toc4588790" w:history="1">
        <w:r w:rsidR="001B0B0C" w:rsidRPr="00CD618B">
          <w:rPr>
            <w:rStyle w:val="Hyperlink"/>
            <w:noProof/>
          </w:rPr>
          <w:t>Free Directed Unit For Crossover</w:t>
        </w:r>
        <w:r w:rsidR="001B0B0C">
          <w:rPr>
            <w:noProof/>
            <w:webHidden/>
          </w:rPr>
          <w:tab/>
        </w:r>
        <w:r w:rsidR="001B0B0C">
          <w:rPr>
            <w:noProof/>
            <w:webHidden/>
          </w:rPr>
          <w:fldChar w:fldCharType="begin"/>
        </w:r>
        <w:r w:rsidR="001B0B0C">
          <w:rPr>
            <w:noProof/>
            <w:webHidden/>
          </w:rPr>
          <w:instrText xml:space="preserve"> PAGEREF _Toc4588790 \h </w:instrText>
        </w:r>
        <w:r w:rsidR="001B0B0C">
          <w:rPr>
            <w:noProof/>
            <w:webHidden/>
          </w:rPr>
        </w:r>
        <w:r w:rsidR="001B0B0C">
          <w:rPr>
            <w:noProof/>
            <w:webHidden/>
          </w:rPr>
          <w:fldChar w:fldCharType="separate"/>
        </w:r>
        <w:r>
          <w:rPr>
            <w:noProof/>
            <w:webHidden/>
          </w:rPr>
          <w:t>200</w:t>
        </w:r>
        <w:r w:rsidR="001B0B0C">
          <w:rPr>
            <w:noProof/>
            <w:webHidden/>
          </w:rPr>
          <w:fldChar w:fldCharType="end"/>
        </w:r>
      </w:hyperlink>
    </w:p>
    <w:p w14:paraId="7B3B0459" w14:textId="5DC319D3" w:rsidR="001B0B0C" w:rsidRDefault="00647F4E">
      <w:pPr>
        <w:pStyle w:val="TOC3"/>
        <w:tabs>
          <w:tab w:val="right" w:leader="dot" w:pos="9350"/>
        </w:tabs>
        <w:rPr>
          <w:rFonts w:asciiTheme="minorHAnsi" w:eastAsiaTheme="minorEastAsia" w:hAnsiTheme="minorHAnsi" w:cstheme="minorBidi"/>
          <w:noProof/>
        </w:rPr>
      </w:pPr>
      <w:hyperlink w:anchor="_Toc4588791" w:history="1">
        <w:r w:rsidR="001B0B0C" w:rsidRPr="00CD618B">
          <w:rPr>
            <w:rStyle w:val="Hyperlink"/>
            <w:noProof/>
          </w:rPr>
          <w:t>Discard or Quarantine</w:t>
        </w:r>
        <w:r w:rsidR="001B0B0C">
          <w:rPr>
            <w:noProof/>
            <w:webHidden/>
          </w:rPr>
          <w:tab/>
        </w:r>
        <w:r w:rsidR="001B0B0C">
          <w:rPr>
            <w:noProof/>
            <w:webHidden/>
          </w:rPr>
          <w:fldChar w:fldCharType="begin"/>
        </w:r>
        <w:r w:rsidR="001B0B0C">
          <w:rPr>
            <w:noProof/>
            <w:webHidden/>
          </w:rPr>
          <w:instrText xml:space="preserve"> PAGEREF _Toc4588791 \h </w:instrText>
        </w:r>
        <w:r w:rsidR="001B0B0C">
          <w:rPr>
            <w:noProof/>
            <w:webHidden/>
          </w:rPr>
        </w:r>
        <w:r w:rsidR="001B0B0C">
          <w:rPr>
            <w:noProof/>
            <w:webHidden/>
          </w:rPr>
          <w:fldChar w:fldCharType="separate"/>
        </w:r>
        <w:r>
          <w:rPr>
            <w:noProof/>
            <w:webHidden/>
          </w:rPr>
          <w:t>202</w:t>
        </w:r>
        <w:r w:rsidR="001B0B0C">
          <w:rPr>
            <w:noProof/>
            <w:webHidden/>
          </w:rPr>
          <w:fldChar w:fldCharType="end"/>
        </w:r>
      </w:hyperlink>
    </w:p>
    <w:p w14:paraId="2222CD3C" w14:textId="6783755A" w:rsidR="001B0B0C" w:rsidRDefault="00647F4E">
      <w:pPr>
        <w:pStyle w:val="TOC2"/>
        <w:tabs>
          <w:tab w:val="right" w:leader="dot" w:pos="9350"/>
        </w:tabs>
        <w:rPr>
          <w:rFonts w:asciiTheme="minorHAnsi" w:eastAsiaTheme="minorEastAsia" w:hAnsiTheme="minorHAnsi" w:cstheme="minorBidi"/>
          <w:smallCaps w:val="0"/>
          <w:noProof/>
        </w:rPr>
      </w:pPr>
      <w:hyperlink w:anchor="_Toc4588792" w:history="1">
        <w:r w:rsidR="001B0B0C" w:rsidRPr="00CD618B">
          <w:rPr>
            <w:rStyle w:val="Hyperlink"/>
            <w:noProof/>
          </w:rPr>
          <w:t>Select Units</w:t>
        </w:r>
        <w:r w:rsidR="001B0B0C">
          <w:rPr>
            <w:noProof/>
            <w:webHidden/>
          </w:rPr>
          <w:tab/>
        </w:r>
        <w:r w:rsidR="001B0B0C">
          <w:rPr>
            <w:noProof/>
            <w:webHidden/>
          </w:rPr>
          <w:fldChar w:fldCharType="begin"/>
        </w:r>
        <w:r w:rsidR="001B0B0C">
          <w:rPr>
            <w:noProof/>
            <w:webHidden/>
          </w:rPr>
          <w:instrText xml:space="preserve"> PAGEREF _Toc4588792 \h </w:instrText>
        </w:r>
        <w:r w:rsidR="001B0B0C">
          <w:rPr>
            <w:noProof/>
            <w:webHidden/>
          </w:rPr>
        </w:r>
        <w:r w:rsidR="001B0B0C">
          <w:rPr>
            <w:noProof/>
            <w:webHidden/>
          </w:rPr>
          <w:fldChar w:fldCharType="separate"/>
        </w:r>
        <w:r>
          <w:rPr>
            <w:noProof/>
            <w:webHidden/>
          </w:rPr>
          <w:t>208</w:t>
        </w:r>
        <w:r w:rsidR="001B0B0C">
          <w:rPr>
            <w:noProof/>
            <w:webHidden/>
          </w:rPr>
          <w:fldChar w:fldCharType="end"/>
        </w:r>
      </w:hyperlink>
    </w:p>
    <w:p w14:paraId="2C2836DD" w14:textId="7C5BE570" w:rsidR="001B0B0C" w:rsidRDefault="00647F4E">
      <w:pPr>
        <w:pStyle w:val="TOC2"/>
        <w:tabs>
          <w:tab w:val="right" w:leader="dot" w:pos="9350"/>
        </w:tabs>
        <w:rPr>
          <w:rFonts w:asciiTheme="minorHAnsi" w:eastAsiaTheme="minorEastAsia" w:hAnsiTheme="minorHAnsi" w:cstheme="minorBidi"/>
          <w:smallCaps w:val="0"/>
          <w:noProof/>
        </w:rPr>
      </w:pPr>
      <w:hyperlink w:anchor="_Toc4588793" w:history="1">
        <w:r w:rsidR="001B0B0C" w:rsidRPr="00CD618B">
          <w:rPr>
            <w:rStyle w:val="Hyperlink"/>
            <w:noProof/>
          </w:rPr>
          <w:t>Issue Blood Components</w:t>
        </w:r>
        <w:r w:rsidR="001B0B0C">
          <w:rPr>
            <w:noProof/>
            <w:webHidden/>
          </w:rPr>
          <w:tab/>
        </w:r>
        <w:r w:rsidR="001B0B0C">
          <w:rPr>
            <w:noProof/>
            <w:webHidden/>
          </w:rPr>
          <w:fldChar w:fldCharType="begin"/>
        </w:r>
        <w:r w:rsidR="001B0B0C">
          <w:rPr>
            <w:noProof/>
            <w:webHidden/>
          </w:rPr>
          <w:instrText xml:space="preserve"> PAGEREF _Toc4588793 \h </w:instrText>
        </w:r>
        <w:r w:rsidR="001B0B0C">
          <w:rPr>
            <w:noProof/>
            <w:webHidden/>
          </w:rPr>
        </w:r>
        <w:r w:rsidR="001B0B0C">
          <w:rPr>
            <w:noProof/>
            <w:webHidden/>
          </w:rPr>
          <w:fldChar w:fldCharType="separate"/>
        </w:r>
        <w:r>
          <w:rPr>
            <w:noProof/>
            <w:webHidden/>
          </w:rPr>
          <w:t>220</w:t>
        </w:r>
        <w:r w:rsidR="001B0B0C">
          <w:rPr>
            <w:noProof/>
            <w:webHidden/>
          </w:rPr>
          <w:fldChar w:fldCharType="end"/>
        </w:r>
      </w:hyperlink>
    </w:p>
    <w:p w14:paraId="1DCD7B61" w14:textId="3530D0DF" w:rsidR="001B0B0C" w:rsidRDefault="00647F4E">
      <w:pPr>
        <w:pStyle w:val="TOC2"/>
        <w:tabs>
          <w:tab w:val="right" w:leader="dot" w:pos="9350"/>
        </w:tabs>
        <w:rPr>
          <w:rFonts w:asciiTheme="minorHAnsi" w:eastAsiaTheme="minorEastAsia" w:hAnsiTheme="minorHAnsi" w:cstheme="minorBidi"/>
          <w:smallCaps w:val="0"/>
          <w:noProof/>
        </w:rPr>
      </w:pPr>
      <w:hyperlink w:anchor="_Toc4588794" w:history="1">
        <w:r w:rsidR="001B0B0C" w:rsidRPr="00CD618B">
          <w:rPr>
            <w:rStyle w:val="Hyperlink"/>
            <w:noProof/>
          </w:rPr>
          <w:t>Return Issued Units To Blood Bank</w:t>
        </w:r>
        <w:r w:rsidR="001B0B0C">
          <w:rPr>
            <w:noProof/>
            <w:webHidden/>
          </w:rPr>
          <w:tab/>
        </w:r>
        <w:r w:rsidR="001B0B0C">
          <w:rPr>
            <w:noProof/>
            <w:webHidden/>
          </w:rPr>
          <w:fldChar w:fldCharType="begin"/>
        </w:r>
        <w:r w:rsidR="001B0B0C">
          <w:rPr>
            <w:noProof/>
            <w:webHidden/>
          </w:rPr>
          <w:instrText xml:space="preserve"> PAGEREF _Toc4588794 \h </w:instrText>
        </w:r>
        <w:r w:rsidR="001B0B0C">
          <w:rPr>
            <w:noProof/>
            <w:webHidden/>
          </w:rPr>
        </w:r>
        <w:r w:rsidR="001B0B0C">
          <w:rPr>
            <w:noProof/>
            <w:webHidden/>
          </w:rPr>
          <w:fldChar w:fldCharType="separate"/>
        </w:r>
        <w:r>
          <w:rPr>
            <w:noProof/>
            <w:webHidden/>
          </w:rPr>
          <w:t>233</w:t>
        </w:r>
        <w:r w:rsidR="001B0B0C">
          <w:rPr>
            <w:noProof/>
            <w:webHidden/>
          </w:rPr>
          <w:fldChar w:fldCharType="end"/>
        </w:r>
      </w:hyperlink>
    </w:p>
    <w:p w14:paraId="6F02E977" w14:textId="56EEB5BE" w:rsidR="001B0B0C" w:rsidRDefault="00647F4E">
      <w:pPr>
        <w:pStyle w:val="TOC2"/>
        <w:tabs>
          <w:tab w:val="right" w:leader="dot" w:pos="9350"/>
        </w:tabs>
        <w:rPr>
          <w:rFonts w:asciiTheme="minorHAnsi" w:eastAsiaTheme="minorEastAsia" w:hAnsiTheme="minorHAnsi" w:cstheme="minorBidi"/>
          <w:smallCaps w:val="0"/>
          <w:noProof/>
        </w:rPr>
      </w:pPr>
      <w:hyperlink w:anchor="_Toc4588795" w:history="1">
        <w:r w:rsidR="001B0B0C" w:rsidRPr="00CD618B">
          <w:rPr>
            <w:rStyle w:val="Hyperlink"/>
            <w:noProof/>
          </w:rPr>
          <w:t>Release Units From Patient Assignment</w:t>
        </w:r>
        <w:r w:rsidR="001B0B0C">
          <w:rPr>
            <w:noProof/>
            <w:webHidden/>
          </w:rPr>
          <w:tab/>
        </w:r>
        <w:r w:rsidR="001B0B0C">
          <w:rPr>
            <w:noProof/>
            <w:webHidden/>
          </w:rPr>
          <w:fldChar w:fldCharType="begin"/>
        </w:r>
        <w:r w:rsidR="001B0B0C">
          <w:rPr>
            <w:noProof/>
            <w:webHidden/>
          </w:rPr>
          <w:instrText xml:space="preserve"> PAGEREF _Toc4588795 \h </w:instrText>
        </w:r>
        <w:r w:rsidR="001B0B0C">
          <w:rPr>
            <w:noProof/>
            <w:webHidden/>
          </w:rPr>
        </w:r>
        <w:r w:rsidR="001B0B0C">
          <w:rPr>
            <w:noProof/>
            <w:webHidden/>
          </w:rPr>
          <w:fldChar w:fldCharType="separate"/>
        </w:r>
        <w:r>
          <w:rPr>
            <w:noProof/>
            <w:webHidden/>
          </w:rPr>
          <w:t>237</w:t>
        </w:r>
        <w:r w:rsidR="001B0B0C">
          <w:rPr>
            <w:noProof/>
            <w:webHidden/>
          </w:rPr>
          <w:fldChar w:fldCharType="end"/>
        </w:r>
      </w:hyperlink>
    </w:p>
    <w:p w14:paraId="5DC36108" w14:textId="27B9A54C" w:rsidR="001B0B0C" w:rsidRDefault="00647F4E">
      <w:pPr>
        <w:pStyle w:val="TOC2"/>
        <w:tabs>
          <w:tab w:val="right" w:leader="dot" w:pos="9350"/>
        </w:tabs>
        <w:rPr>
          <w:rFonts w:asciiTheme="minorHAnsi" w:eastAsiaTheme="minorEastAsia" w:hAnsiTheme="minorHAnsi" w:cstheme="minorBidi"/>
          <w:smallCaps w:val="0"/>
          <w:noProof/>
        </w:rPr>
      </w:pPr>
      <w:hyperlink w:anchor="_Toc4588796" w:history="1">
        <w:r w:rsidR="001B0B0C" w:rsidRPr="00CD618B">
          <w:rPr>
            <w:rStyle w:val="Hyperlink"/>
            <w:noProof/>
          </w:rPr>
          <w:t>Print Unit Caution Tag &amp; Transfusion Record Form</w:t>
        </w:r>
        <w:r w:rsidR="001B0B0C">
          <w:rPr>
            <w:noProof/>
            <w:webHidden/>
          </w:rPr>
          <w:tab/>
        </w:r>
        <w:r w:rsidR="001B0B0C">
          <w:rPr>
            <w:noProof/>
            <w:webHidden/>
          </w:rPr>
          <w:fldChar w:fldCharType="begin"/>
        </w:r>
        <w:r w:rsidR="001B0B0C">
          <w:rPr>
            <w:noProof/>
            <w:webHidden/>
          </w:rPr>
          <w:instrText xml:space="preserve"> PAGEREF _Toc4588796 \h </w:instrText>
        </w:r>
        <w:r w:rsidR="001B0B0C">
          <w:rPr>
            <w:noProof/>
            <w:webHidden/>
          </w:rPr>
        </w:r>
        <w:r w:rsidR="001B0B0C">
          <w:rPr>
            <w:noProof/>
            <w:webHidden/>
          </w:rPr>
          <w:fldChar w:fldCharType="separate"/>
        </w:r>
        <w:r>
          <w:rPr>
            <w:noProof/>
            <w:webHidden/>
          </w:rPr>
          <w:t>240</w:t>
        </w:r>
        <w:r w:rsidR="001B0B0C">
          <w:rPr>
            <w:noProof/>
            <w:webHidden/>
          </w:rPr>
          <w:fldChar w:fldCharType="end"/>
        </w:r>
      </w:hyperlink>
    </w:p>
    <w:p w14:paraId="2B6E51D7" w14:textId="650C94C7" w:rsidR="001B0B0C" w:rsidRDefault="00647F4E">
      <w:pPr>
        <w:pStyle w:val="TOC2"/>
        <w:tabs>
          <w:tab w:val="right" w:leader="dot" w:pos="9350"/>
        </w:tabs>
        <w:rPr>
          <w:rFonts w:asciiTheme="minorHAnsi" w:eastAsiaTheme="minorEastAsia" w:hAnsiTheme="minorHAnsi" w:cstheme="minorBidi"/>
          <w:smallCaps w:val="0"/>
          <w:noProof/>
        </w:rPr>
      </w:pPr>
      <w:hyperlink w:anchor="_Toc4588797" w:history="1">
        <w:r w:rsidR="001B0B0C" w:rsidRPr="00CD618B">
          <w:rPr>
            <w:rStyle w:val="Hyperlink"/>
            <w:noProof/>
          </w:rPr>
          <w:t>Invalidate Test Results</w:t>
        </w:r>
        <w:r w:rsidR="001B0B0C">
          <w:rPr>
            <w:noProof/>
            <w:webHidden/>
          </w:rPr>
          <w:tab/>
        </w:r>
        <w:r w:rsidR="001B0B0C">
          <w:rPr>
            <w:noProof/>
            <w:webHidden/>
          </w:rPr>
          <w:fldChar w:fldCharType="begin"/>
        </w:r>
        <w:r w:rsidR="001B0B0C">
          <w:rPr>
            <w:noProof/>
            <w:webHidden/>
          </w:rPr>
          <w:instrText xml:space="preserve"> PAGEREF _Toc4588797 \h </w:instrText>
        </w:r>
        <w:r w:rsidR="001B0B0C">
          <w:rPr>
            <w:noProof/>
            <w:webHidden/>
          </w:rPr>
        </w:r>
        <w:r w:rsidR="001B0B0C">
          <w:rPr>
            <w:noProof/>
            <w:webHidden/>
          </w:rPr>
          <w:fldChar w:fldCharType="separate"/>
        </w:r>
        <w:r>
          <w:rPr>
            <w:noProof/>
            <w:webHidden/>
          </w:rPr>
          <w:t>250</w:t>
        </w:r>
        <w:r w:rsidR="001B0B0C">
          <w:rPr>
            <w:noProof/>
            <w:webHidden/>
          </w:rPr>
          <w:fldChar w:fldCharType="end"/>
        </w:r>
      </w:hyperlink>
    </w:p>
    <w:p w14:paraId="42466817" w14:textId="5D7200AD" w:rsidR="001B0B0C" w:rsidRDefault="00647F4E">
      <w:pPr>
        <w:pStyle w:val="TOC2"/>
        <w:tabs>
          <w:tab w:val="right" w:leader="dot" w:pos="9350"/>
        </w:tabs>
        <w:rPr>
          <w:rFonts w:asciiTheme="minorHAnsi" w:eastAsiaTheme="minorEastAsia" w:hAnsiTheme="minorHAnsi" w:cstheme="minorBidi"/>
          <w:smallCaps w:val="0"/>
          <w:noProof/>
        </w:rPr>
      </w:pPr>
      <w:hyperlink w:anchor="_Toc4588798" w:history="1">
        <w:r w:rsidR="001B0B0C" w:rsidRPr="00CD618B">
          <w:rPr>
            <w:rStyle w:val="Hyperlink"/>
            <w:noProof/>
          </w:rPr>
          <w:t>Remove Final Status</w:t>
        </w:r>
        <w:r w:rsidR="001B0B0C">
          <w:rPr>
            <w:noProof/>
            <w:webHidden/>
          </w:rPr>
          <w:tab/>
        </w:r>
        <w:r w:rsidR="001B0B0C">
          <w:rPr>
            <w:noProof/>
            <w:webHidden/>
          </w:rPr>
          <w:fldChar w:fldCharType="begin"/>
        </w:r>
        <w:r w:rsidR="001B0B0C">
          <w:rPr>
            <w:noProof/>
            <w:webHidden/>
          </w:rPr>
          <w:instrText xml:space="preserve"> PAGEREF _Toc4588798 \h </w:instrText>
        </w:r>
        <w:r w:rsidR="001B0B0C">
          <w:rPr>
            <w:noProof/>
            <w:webHidden/>
          </w:rPr>
        </w:r>
        <w:r w:rsidR="001B0B0C">
          <w:rPr>
            <w:noProof/>
            <w:webHidden/>
          </w:rPr>
          <w:fldChar w:fldCharType="separate"/>
        </w:r>
        <w:r>
          <w:rPr>
            <w:noProof/>
            <w:webHidden/>
          </w:rPr>
          <w:t>254</w:t>
        </w:r>
        <w:r w:rsidR="001B0B0C">
          <w:rPr>
            <w:noProof/>
            <w:webHidden/>
          </w:rPr>
          <w:fldChar w:fldCharType="end"/>
        </w:r>
      </w:hyperlink>
    </w:p>
    <w:p w14:paraId="22142308" w14:textId="41C16402" w:rsidR="001B0B0C" w:rsidRDefault="00647F4E">
      <w:pPr>
        <w:pStyle w:val="TOC1"/>
        <w:tabs>
          <w:tab w:val="right" w:leader="dot" w:pos="9350"/>
        </w:tabs>
        <w:rPr>
          <w:rFonts w:asciiTheme="minorHAnsi" w:eastAsiaTheme="minorEastAsia" w:hAnsiTheme="minorHAnsi" w:cstheme="minorBidi"/>
          <w:b w:val="0"/>
          <w:caps w:val="0"/>
          <w:noProof/>
        </w:rPr>
      </w:pPr>
      <w:hyperlink w:anchor="_Toc4588799" w:history="1">
        <w:r w:rsidR="001B0B0C" w:rsidRPr="00CD618B">
          <w:rPr>
            <w:rStyle w:val="Hyperlink"/>
            <w:noProof/>
          </w:rPr>
          <w:t>Processing Orders</w:t>
        </w:r>
        <w:r w:rsidR="001B0B0C">
          <w:rPr>
            <w:noProof/>
            <w:webHidden/>
          </w:rPr>
          <w:tab/>
        </w:r>
        <w:r w:rsidR="001B0B0C">
          <w:rPr>
            <w:noProof/>
            <w:webHidden/>
          </w:rPr>
          <w:fldChar w:fldCharType="begin"/>
        </w:r>
        <w:r w:rsidR="001B0B0C">
          <w:rPr>
            <w:noProof/>
            <w:webHidden/>
          </w:rPr>
          <w:instrText xml:space="preserve"> PAGEREF _Toc4588799 \h </w:instrText>
        </w:r>
        <w:r w:rsidR="001B0B0C">
          <w:rPr>
            <w:noProof/>
            <w:webHidden/>
          </w:rPr>
        </w:r>
        <w:r w:rsidR="001B0B0C">
          <w:rPr>
            <w:noProof/>
            <w:webHidden/>
          </w:rPr>
          <w:fldChar w:fldCharType="separate"/>
        </w:r>
        <w:r>
          <w:rPr>
            <w:noProof/>
            <w:webHidden/>
          </w:rPr>
          <w:t>258</w:t>
        </w:r>
        <w:r w:rsidR="001B0B0C">
          <w:rPr>
            <w:noProof/>
            <w:webHidden/>
          </w:rPr>
          <w:fldChar w:fldCharType="end"/>
        </w:r>
      </w:hyperlink>
    </w:p>
    <w:p w14:paraId="7990BA3A" w14:textId="6427F624" w:rsidR="001B0B0C" w:rsidRDefault="00647F4E">
      <w:pPr>
        <w:pStyle w:val="TOC2"/>
        <w:tabs>
          <w:tab w:val="right" w:leader="dot" w:pos="9350"/>
        </w:tabs>
        <w:rPr>
          <w:rFonts w:asciiTheme="minorHAnsi" w:eastAsiaTheme="minorEastAsia" w:hAnsiTheme="minorHAnsi" w:cstheme="minorBidi"/>
          <w:smallCaps w:val="0"/>
          <w:noProof/>
        </w:rPr>
      </w:pPr>
      <w:hyperlink w:anchor="_Toc4588800" w:history="1">
        <w:r w:rsidR="001B0B0C" w:rsidRPr="00CD618B">
          <w:rPr>
            <w:rStyle w:val="Hyperlink"/>
            <w:noProof/>
          </w:rPr>
          <w:t>Accept Orders: Accept an Order</w:t>
        </w:r>
        <w:r w:rsidR="001B0B0C">
          <w:rPr>
            <w:noProof/>
            <w:webHidden/>
          </w:rPr>
          <w:tab/>
        </w:r>
        <w:r w:rsidR="001B0B0C">
          <w:rPr>
            <w:noProof/>
            <w:webHidden/>
          </w:rPr>
          <w:fldChar w:fldCharType="begin"/>
        </w:r>
        <w:r w:rsidR="001B0B0C">
          <w:rPr>
            <w:noProof/>
            <w:webHidden/>
          </w:rPr>
          <w:instrText xml:space="preserve"> PAGEREF _Toc4588800 \h </w:instrText>
        </w:r>
        <w:r w:rsidR="001B0B0C">
          <w:rPr>
            <w:noProof/>
            <w:webHidden/>
          </w:rPr>
        </w:r>
        <w:r w:rsidR="001B0B0C">
          <w:rPr>
            <w:noProof/>
            <w:webHidden/>
          </w:rPr>
          <w:fldChar w:fldCharType="separate"/>
        </w:r>
        <w:r>
          <w:rPr>
            <w:noProof/>
            <w:webHidden/>
          </w:rPr>
          <w:t>258</w:t>
        </w:r>
        <w:r w:rsidR="001B0B0C">
          <w:rPr>
            <w:noProof/>
            <w:webHidden/>
          </w:rPr>
          <w:fldChar w:fldCharType="end"/>
        </w:r>
      </w:hyperlink>
    </w:p>
    <w:p w14:paraId="4045387C" w14:textId="5858431F" w:rsidR="001B0B0C" w:rsidRDefault="00647F4E">
      <w:pPr>
        <w:pStyle w:val="TOC3"/>
        <w:tabs>
          <w:tab w:val="right" w:leader="dot" w:pos="9350"/>
        </w:tabs>
        <w:rPr>
          <w:rFonts w:asciiTheme="minorHAnsi" w:eastAsiaTheme="minorEastAsia" w:hAnsiTheme="minorHAnsi" w:cstheme="minorBidi"/>
          <w:noProof/>
        </w:rPr>
      </w:pPr>
      <w:hyperlink w:anchor="_Toc4588801" w:history="1">
        <w:r w:rsidR="001B0B0C" w:rsidRPr="00CD618B">
          <w:rPr>
            <w:rStyle w:val="Hyperlink"/>
            <w:noProof/>
          </w:rPr>
          <w:t>Accept Orders: Pending Order List</w:t>
        </w:r>
        <w:r w:rsidR="001B0B0C">
          <w:rPr>
            <w:noProof/>
            <w:webHidden/>
          </w:rPr>
          <w:tab/>
        </w:r>
        <w:r w:rsidR="001B0B0C">
          <w:rPr>
            <w:noProof/>
            <w:webHidden/>
          </w:rPr>
          <w:fldChar w:fldCharType="begin"/>
        </w:r>
        <w:r w:rsidR="001B0B0C">
          <w:rPr>
            <w:noProof/>
            <w:webHidden/>
          </w:rPr>
          <w:instrText xml:space="preserve"> PAGEREF _Toc4588801 \h </w:instrText>
        </w:r>
        <w:r w:rsidR="001B0B0C">
          <w:rPr>
            <w:noProof/>
            <w:webHidden/>
          </w:rPr>
        </w:r>
        <w:r w:rsidR="001B0B0C">
          <w:rPr>
            <w:noProof/>
            <w:webHidden/>
          </w:rPr>
          <w:fldChar w:fldCharType="separate"/>
        </w:r>
        <w:r>
          <w:rPr>
            <w:noProof/>
            <w:webHidden/>
          </w:rPr>
          <w:t>264</w:t>
        </w:r>
        <w:r w:rsidR="001B0B0C">
          <w:rPr>
            <w:noProof/>
            <w:webHidden/>
          </w:rPr>
          <w:fldChar w:fldCharType="end"/>
        </w:r>
      </w:hyperlink>
    </w:p>
    <w:p w14:paraId="3A94B8CD" w14:textId="100BD276" w:rsidR="001B0B0C" w:rsidRDefault="00647F4E">
      <w:pPr>
        <w:pStyle w:val="TOC3"/>
        <w:tabs>
          <w:tab w:val="right" w:leader="dot" w:pos="9350"/>
        </w:tabs>
        <w:rPr>
          <w:rFonts w:asciiTheme="minorHAnsi" w:eastAsiaTheme="minorEastAsia" w:hAnsiTheme="minorHAnsi" w:cstheme="minorBidi"/>
          <w:noProof/>
        </w:rPr>
      </w:pPr>
      <w:hyperlink w:anchor="_Toc4588802" w:history="1">
        <w:r w:rsidR="001B0B0C" w:rsidRPr="00CD618B">
          <w:rPr>
            <w:rStyle w:val="Hyperlink"/>
            <w:noProof/>
          </w:rPr>
          <w:drawing>
            <wp:inline distT="0" distB="0" distL="0" distR="0" wp14:anchorId="36B37230" wp14:editId="1D307EF2">
              <wp:extent cx="166370" cy="156845"/>
              <wp:effectExtent l="0" t="0" r="5080" b="0"/>
              <wp:docPr id="606" name="Picture 606" descr="P13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Picture 606" descr="P138#yIS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rsidR="001B0B0C" w:rsidRPr="00CD618B">
          <w:rPr>
            <w:rStyle w:val="Hyperlink"/>
            <w:noProof/>
          </w:rPr>
          <w:t xml:space="preserve"> Display Patient Update Alerts</w:t>
        </w:r>
        <w:r w:rsidR="001B0B0C">
          <w:rPr>
            <w:noProof/>
            <w:webHidden/>
          </w:rPr>
          <w:tab/>
        </w:r>
        <w:r w:rsidR="001B0B0C">
          <w:rPr>
            <w:noProof/>
            <w:webHidden/>
          </w:rPr>
          <w:fldChar w:fldCharType="begin"/>
        </w:r>
        <w:r w:rsidR="001B0B0C">
          <w:rPr>
            <w:noProof/>
            <w:webHidden/>
          </w:rPr>
          <w:instrText xml:space="preserve"> PAGEREF _Toc4588802 \h </w:instrText>
        </w:r>
        <w:r w:rsidR="001B0B0C">
          <w:rPr>
            <w:noProof/>
            <w:webHidden/>
          </w:rPr>
        </w:r>
        <w:r w:rsidR="001B0B0C">
          <w:rPr>
            <w:noProof/>
            <w:webHidden/>
          </w:rPr>
          <w:fldChar w:fldCharType="separate"/>
        </w:r>
        <w:r>
          <w:rPr>
            <w:noProof/>
            <w:webHidden/>
          </w:rPr>
          <w:t>268</w:t>
        </w:r>
        <w:r w:rsidR="001B0B0C">
          <w:rPr>
            <w:noProof/>
            <w:webHidden/>
          </w:rPr>
          <w:fldChar w:fldCharType="end"/>
        </w:r>
      </w:hyperlink>
    </w:p>
    <w:p w14:paraId="76825C72" w14:textId="7A26B072" w:rsidR="001B0B0C" w:rsidRDefault="00647F4E">
      <w:pPr>
        <w:pStyle w:val="TOC3"/>
        <w:tabs>
          <w:tab w:val="right" w:leader="dot" w:pos="9350"/>
        </w:tabs>
        <w:rPr>
          <w:rFonts w:asciiTheme="minorHAnsi" w:eastAsiaTheme="minorEastAsia" w:hAnsiTheme="minorHAnsi" w:cstheme="minorBidi"/>
          <w:noProof/>
        </w:rPr>
      </w:pPr>
      <w:hyperlink w:anchor="_Toc4588803" w:history="1">
        <w:r w:rsidR="001B0B0C" w:rsidRPr="00CD618B">
          <w:rPr>
            <w:rStyle w:val="Hyperlink"/>
            <w:noProof/>
          </w:rPr>
          <w:drawing>
            <wp:inline distT="0" distB="0" distL="0" distR="0" wp14:anchorId="6882C5C8" wp14:editId="7BEA6883">
              <wp:extent cx="166370" cy="156845"/>
              <wp:effectExtent l="0" t="0" r="5080" b="0"/>
              <wp:docPr id="607" name="Picture 607" descr="P13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Picture 607" descr="P139#yIS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rsidR="001B0B0C" w:rsidRPr="00CD618B">
          <w:rPr>
            <w:rStyle w:val="Hyperlink"/>
            <w:noProof/>
          </w:rPr>
          <w:t xml:space="preserve"> Display Patient Merge Alerts</w:t>
        </w:r>
        <w:r w:rsidR="001B0B0C">
          <w:rPr>
            <w:noProof/>
            <w:webHidden/>
          </w:rPr>
          <w:tab/>
        </w:r>
        <w:r w:rsidR="001B0B0C">
          <w:rPr>
            <w:noProof/>
            <w:webHidden/>
          </w:rPr>
          <w:fldChar w:fldCharType="begin"/>
        </w:r>
        <w:r w:rsidR="001B0B0C">
          <w:rPr>
            <w:noProof/>
            <w:webHidden/>
          </w:rPr>
          <w:instrText xml:space="preserve"> PAGEREF _Toc4588803 \h </w:instrText>
        </w:r>
        <w:r w:rsidR="001B0B0C">
          <w:rPr>
            <w:noProof/>
            <w:webHidden/>
          </w:rPr>
        </w:r>
        <w:r w:rsidR="001B0B0C">
          <w:rPr>
            <w:noProof/>
            <w:webHidden/>
          </w:rPr>
          <w:fldChar w:fldCharType="separate"/>
        </w:r>
        <w:r>
          <w:rPr>
            <w:noProof/>
            <w:webHidden/>
          </w:rPr>
          <w:t>270</w:t>
        </w:r>
        <w:r w:rsidR="001B0B0C">
          <w:rPr>
            <w:noProof/>
            <w:webHidden/>
          </w:rPr>
          <w:fldChar w:fldCharType="end"/>
        </w:r>
      </w:hyperlink>
    </w:p>
    <w:p w14:paraId="022188AA" w14:textId="34AE4E14" w:rsidR="001B0B0C" w:rsidRDefault="00647F4E">
      <w:pPr>
        <w:pStyle w:val="TOC2"/>
        <w:tabs>
          <w:tab w:val="right" w:leader="dot" w:pos="9350"/>
        </w:tabs>
        <w:rPr>
          <w:rFonts w:asciiTheme="minorHAnsi" w:eastAsiaTheme="minorEastAsia" w:hAnsiTheme="minorHAnsi" w:cstheme="minorBidi"/>
          <w:smallCaps w:val="0"/>
          <w:noProof/>
        </w:rPr>
      </w:pPr>
      <w:hyperlink w:anchor="_Toc4588804" w:history="1">
        <w:r w:rsidR="001B0B0C" w:rsidRPr="00CD618B">
          <w:rPr>
            <w:rStyle w:val="Hyperlink"/>
            <w:noProof/>
          </w:rPr>
          <w:t>Emergency Transfusion Order Processing</w:t>
        </w:r>
        <w:r w:rsidR="001B0B0C">
          <w:rPr>
            <w:noProof/>
            <w:webHidden/>
          </w:rPr>
          <w:tab/>
        </w:r>
        <w:r w:rsidR="001B0B0C">
          <w:rPr>
            <w:noProof/>
            <w:webHidden/>
          </w:rPr>
          <w:fldChar w:fldCharType="begin"/>
        </w:r>
        <w:r w:rsidR="001B0B0C">
          <w:rPr>
            <w:noProof/>
            <w:webHidden/>
          </w:rPr>
          <w:instrText xml:space="preserve"> PAGEREF _Toc4588804 \h </w:instrText>
        </w:r>
        <w:r w:rsidR="001B0B0C">
          <w:rPr>
            <w:noProof/>
            <w:webHidden/>
          </w:rPr>
        </w:r>
        <w:r w:rsidR="001B0B0C">
          <w:rPr>
            <w:noProof/>
            <w:webHidden/>
          </w:rPr>
          <w:fldChar w:fldCharType="separate"/>
        </w:r>
        <w:r>
          <w:rPr>
            <w:noProof/>
            <w:webHidden/>
          </w:rPr>
          <w:t>271</w:t>
        </w:r>
        <w:r w:rsidR="001B0B0C">
          <w:rPr>
            <w:noProof/>
            <w:webHidden/>
          </w:rPr>
          <w:fldChar w:fldCharType="end"/>
        </w:r>
      </w:hyperlink>
    </w:p>
    <w:p w14:paraId="5B848FFD" w14:textId="055234D3" w:rsidR="001B0B0C" w:rsidRDefault="00647F4E">
      <w:pPr>
        <w:pStyle w:val="TOC2"/>
        <w:tabs>
          <w:tab w:val="right" w:leader="dot" w:pos="9350"/>
        </w:tabs>
        <w:rPr>
          <w:rFonts w:asciiTheme="minorHAnsi" w:eastAsiaTheme="minorEastAsia" w:hAnsiTheme="minorHAnsi" w:cstheme="minorBidi"/>
          <w:smallCaps w:val="0"/>
          <w:noProof/>
        </w:rPr>
      </w:pPr>
      <w:hyperlink w:anchor="_Toc4588805" w:history="1">
        <w:r w:rsidR="001B0B0C" w:rsidRPr="00CD618B">
          <w:rPr>
            <w:rStyle w:val="Hyperlink"/>
            <w:noProof/>
          </w:rPr>
          <w:t>Maintain Specimen</w:t>
        </w:r>
        <w:r w:rsidR="001B0B0C">
          <w:rPr>
            <w:noProof/>
            <w:webHidden/>
          </w:rPr>
          <w:tab/>
        </w:r>
        <w:r w:rsidR="001B0B0C">
          <w:rPr>
            <w:noProof/>
            <w:webHidden/>
          </w:rPr>
          <w:fldChar w:fldCharType="begin"/>
        </w:r>
        <w:r w:rsidR="001B0B0C">
          <w:rPr>
            <w:noProof/>
            <w:webHidden/>
          </w:rPr>
          <w:instrText xml:space="preserve"> PAGEREF _Toc4588805 \h </w:instrText>
        </w:r>
        <w:r w:rsidR="001B0B0C">
          <w:rPr>
            <w:noProof/>
            <w:webHidden/>
          </w:rPr>
        </w:r>
        <w:r w:rsidR="001B0B0C">
          <w:rPr>
            <w:noProof/>
            <w:webHidden/>
          </w:rPr>
          <w:fldChar w:fldCharType="separate"/>
        </w:r>
        <w:r>
          <w:rPr>
            <w:noProof/>
            <w:webHidden/>
          </w:rPr>
          <w:t>274</w:t>
        </w:r>
        <w:r w:rsidR="001B0B0C">
          <w:rPr>
            <w:noProof/>
            <w:webHidden/>
          </w:rPr>
          <w:fldChar w:fldCharType="end"/>
        </w:r>
      </w:hyperlink>
    </w:p>
    <w:p w14:paraId="0794B987" w14:textId="39463627" w:rsidR="001B0B0C" w:rsidRDefault="00647F4E">
      <w:pPr>
        <w:pStyle w:val="TOC2"/>
        <w:tabs>
          <w:tab w:val="right" w:leader="dot" w:pos="9350"/>
        </w:tabs>
        <w:rPr>
          <w:rFonts w:asciiTheme="minorHAnsi" w:eastAsiaTheme="minorEastAsia" w:hAnsiTheme="minorHAnsi" w:cstheme="minorBidi"/>
          <w:smallCaps w:val="0"/>
          <w:noProof/>
        </w:rPr>
      </w:pPr>
      <w:hyperlink w:anchor="_Toc4588806" w:history="1">
        <w:r w:rsidR="001B0B0C" w:rsidRPr="00CD618B">
          <w:rPr>
            <w:rStyle w:val="Hyperlink"/>
            <w:noProof/>
          </w:rPr>
          <w:t>Patient Testing: Cancel an Active Order</w:t>
        </w:r>
        <w:r w:rsidR="001B0B0C">
          <w:rPr>
            <w:noProof/>
            <w:webHidden/>
          </w:rPr>
          <w:tab/>
        </w:r>
        <w:r w:rsidR="001B0B0C">
          <w:rPr>
            <w:noProof/>
            <w:webHidden/>
          </w:rPr>
          <w:fldChar w:fldCharType="begin"/>
        </w:r>
        <w:r w:rsidR="001B0B0C">
          <w:rPr>
            <w:noProof/>
            <w:webHidden/>
          </w:rPr>
          <w:instrText xml:space="preserve"> PAGEREF _Toc4588806 \h </w:instrText>
        </w:r>
        <w:r w:rsidR="001B0B0C">
          <w:rPr>
            <w:noProof/>
            <w:webHidden/>
          </w:rPr>
        </w:r>
        <w:r w:rsidR="001B0B0C">
          <w:rPr>
            <w:noProof/>
            <w:webHidden/>
          </w:rPr>
          <w:fldChar w:fldCharType="separate"/>
        </w:r>
        <w:r>
          <w:rPr>
            <w:noProof/>
            <w:webHidden/>
          </w:rPr>
          <w:t>278</w:t>
        </w:r>
        <w:r w:rsidR="001B0B0C">
          <w:rPr>
            <w:noProof/>
            <w:webHidden/>
          </w:rPr>
          <w:fldChar w:fldCharType="end"/>
        </w:r>
      </w:hyperlink>
    </w:p>
    <w:p w14:paraId="6F9E27A3" w14:textId="4BF7F44A" w:rsidR="001B0B0C" w:rsidRDefault="00647F4E">
      <w:pPr>
        <w:pStyle w:val="TOC2"/>
        <w:tabs>
          <w:tab w:val="right" w:leader="dot" w:pos="9350"/>
        </w:tabs>
        <w:rPr>
          <w:rFonts w:asciiTheme="minorHAnsi" w:eastAsiaTheme="minorEastAsia" w:hAnsiTheme="minorHAnsi" w:cstheme="minorBidi"/>
          <w:smallCaps w:val="0"/>
          <w:noProof/>
        </w:rPr>
      </w:pPr>
      <w:hyperlink w:anchor="_Toc4588807" w:history="1">
        <w:r w:rsidR="001B0B0C" w:rsidRPr="00CD618B">
          <w:rPr>
            <w:rStyle w:val="Hyperlink"/>
            <w:noProof/>
          </w:rPr>
          <w:t>Patient Testing: Pending Task List</w:t>
        </w:r>
        <w:r w:rsidR="001B0B0C">
          <w:rPr>
            <w:noProof/>
            <w:webHidden/>
          </w:rPr>
          <w:tab/>
        </w:r>
        <w:r w:rsidR="001B0B0C">
          <w:rPr>
            <w:noProof/>
            <w:webHidden/>
          </w:rPr>
          <w:fldChar w:fldCharType="begin"/>
        </w:r>
        <w:r w:rsidR="001B0B0C">
          <w:rPr>
            <w:noProof/>
            <w:webHidden/>
          </w:rPr>
          <w:instrText xml:space="preserve"> PAGEREF _Toc4588807 \h </w:instrText>
        </w:r>
        <w:r w:rsidR="001B0B0C">
          <w:rPr>
            <w:noProof/>
            <w:webHidden/>
          </w:rPr>
        </w:r>
        <w:r w:rsidR="001B0B0C">
          <w:rPr>
            <w:noProof/>
            <w:webHidden/>
          </w:rPr>
          <w:fldChar w:fldCharType="separate"/>
        </w:r>
        <w:r>
          <w:rPr>
            <w:noProof/>
            <w:webHidden/>
          </w:rPr>
          <w:t>280</w:t>
        </w:r>
        <w:r w:rsidR="001B0B0C">
          <w:rPr>
            <w:noProof/>
            <w:webHidden/>
          </w:rPr>
          <w:fldChar w:fldCharType="end"/>
        </w:r>
      </w:hyperlink>
    </w:p>
    <w:p w14:paraId="21638FE1" w14:textId="43F6903B" w:rsidR="001B0B0C" w:rsidRDefault="00647F4E">
      <w:pPr>
        <w:pStyle w:val="TOC3"/>
        <w:tabs>
          <w:tab w:val="right" w:leader="dot" w:pos="9350"/>
        </w:tabs>
        <w:rPr>
          <w:rFonts w:asciiTheme="minorHAnsi" w:eastAsiaTheme="minorEastAsia" w:hAnsiTheme="minorHAnsi" w:cstheme="minorBidi"/>
          <w:noProof/>
        </w:rPr>
      </w:pPr>
      <w:hyperlink w:anchor="_Toc4588808" w:history="1">
        <w:r w:rsidR="001B0B0C" w:rsidRPr="00CD618B">
          <w:rPr>
            <w:rStyle w:val="Hyperlink"/>
            <w:noProof/>
          </w:rPr>
          <w:t>Accept Orders: Cancel a Pending Order</w:t>
        </w:r>
        <w:r w:rsidR="001B0B0C">
          <w:rPr>
            <w:noProof/>
            <w:webHidden/>
          </w:rPr>
          <w:tab/>
        </w:r>
        <w:r w:rsidR="001B0B0C">
          <w:rPr>
            <w:noProof/>
            <w:webHidden/>
          </w:rPr>
          <w:fldChar w:fldCharType="begin"/>
        </w:r>
        <w:r w:rsidR="001B0B0C">
          <w:rPr>
            <w:noProof/>
            <w:webHidden/>
          </w:rPr>
          <w:instrText xml:space="preserve"> PAGEREF _Toc4588808 \h </w:instrText>
        </w:r>
        <w:r w:rsidR="001B0B0C">
          <w:rPr>
            <w:noProof/>
            <w:webHidden/>
          </w:rPr>
        </w:r>
        <w:r w:rsidR="001B0B0C">
          <w:rPr>
            <w:noProof/>
            <w:webHidden/>
          </w:rPr>
          <w:fldChar w:fldCharType="separate"/>
        </w:r>
        <w:r>
          <w:rPr>
            <w:noProof/>
            <w:webHidden/>
          </w:rPr>
          <w:t>282</w:t>
        </w:r>
        <w:r w:rsidR="001B0B0C">
          <w:rPr>
            <w:noProof/>
            <w:webHidden/>
          </w:rPr>
          <w:fldChar w:fldCharType="end"/>
        </w:r>
      </w:hyperlink>
    </w:p>
    <w:p w14:paraId="0393615D" w14:textId="7C710245" w:rsidR="001B0B0C" w:rsidRDefault="00647F4E">
      <w:pPr>
        <w:pStyle w:val="TOC2"/>
        <w:tabs>
          <w:tab w:val="right" w:leader="dot" w:pos="9350"/>
        </w:tabs>
        <w:rPr>
          <w:rFonts w:asciiTheme="minorHAnsi" w:eastAsiaTheme="minorEastAsia" w:hAnsiTheme="minorHAnsi" w:cstheme="minorBidi"/>
          <w:smallCaps w:val="0"/>
          <w:noProof/>
        </w:rPr>
      </w:pPr>
      <w:hyperlink w:anchor="_Toc4588809" w:history="1">
        <w:r w:rsidR="001B0B0C" w:rsidRPr="00CD618B">
          <w:rPr>
            <w:rStyle w:val="Hyperlink"/>
            <w:noProof/>
          </w:rPr>
          <w:t>Order Reflex Tests</w:t>
        </w:r>
        <w:r w:rsidR="001B0B0C">
          <w:rPr>
            <w:noProof/>
            <w:webHidden/>
          </w:rPr>
          <w:tab/>
        </w:r>
        <w:r w:rsidR="001B0B0C">
          <w:rPr>
            <w:noProof/>
            <w:webHidden/>
          </w:rPr>
          <w:fldChar w:fldCharType="begin"/>
        </w:r>
        <w:r w:rsidR="001B0B0C">
          <w:rPr>
            <w:noProof/>
            <w:webHidden/>
          </w:rPr>
          <w:instrText xml:space="preserve"> PAGEREF _Toc4588809 \h </w:instrText>
        </w:r>
        <w:r w:rsidR="001B0B0C">
          <w:rPr>
            <w:noProof/>
            <w:webHidden/>
          </w:rPr>
        </w:r>
        <w:r w:rsidR="001B0B0C">
          <w:rPr>
            <w:noProof/>
            <w:webHidden/>
          </w:rPr>
          <w:fldChar w:fldCharType="separate"/>
        </w:r>
        <w:r>
          <w:rPr>
            <w:noProof/>
            <w:webHidden/>
          </w:rPr>
          <w:t>284</w:t>
        </w:r>
        <w:r w:rsidR="001B0B0C">
          <w:rPr>
            <w:noProof/>
            <w:webHidden/>
          </w:rPr>
          <w:fldChar w:fldCharType="end"/>
        </w:r>
      </w:hyperlink>
    </w:p>
    <w:p w14:paraId="480AF038" w14:textId="089F6D9D" w:rsidR="001B0B0C" w:rsidRDefault="00647F4E">
      <w:pPr>
        <w:pStyle w:val="TOC1"/>
        <w:tabs>
          <w:tab w:val="right" w:leader="dot" w:pos="9350"/>
        </w:tabs>
        <w:rPr>
          <w:rFonts w:asciiTheme="minorHAnsi" w:eastAsiaTheme="minorEastAsia" w:hAnsiTheme="minorHAnsi" w:cstheme="minorBidi"/>
          <w:b w:val="0"/>
          <w:caps w:val="0"/>
          <w:noProof/>
        </w:rPr>
      </w:pPr>
      <w:hyperlink w:anchor="_Toc4588810" w:history="1">
        <w:r w:rsidR="001B0B0C" w:rsidRPr="00CD618B">
          <w:rPr>
            <w:rStyle w:val="Hyperlink"/>
            <w:noProof/>
          </w:rPr>
          <w:t>Patient Services</w:t>
        </w:r>
        <w:r w:rsidR="001B0B0C">
          <w:rPr>
            <w:noProof/>
            <w:webHidden/>
          </w:rPr>
          <w:tab/>
        </w:r>
        <w:r w:rsidR="001B0B0C">
          <w:rPr>
            <w:noProof/>
            <w:webHidden/>
          </w:rPr>
          <w:fldChar w:fldCharType="begin"/>
        </w:r>
        <w:r w:rsidR="001B0B0C">
          <w:rPr>
            <w:noProof/>
            <w:webHidden/>
          </w:rPr>
          <w:instrText xml:space="preserve"> PAGEREF _Toc4588810 \h </w:instrText>
        </w:r>
        <w:r w:rsidR="001B0B0C">
          <w:rPr>
            <w:noProof/>
            <w:webHidden/>
          </w:rPr>
        </w:r>
        <w:r w:rsidR="001B0B0C">
          <w:rPr>
            <w:noProof/>
            <w:webHidden/>
          </w:rPr>
          <w:fldChar w:fldCharType="separate"/>
        </w:r>
        <w:r>
          <w:rPr>
            <w:noProof/>
            <w:webHidden/>
          </w:rPr>
          <w:t>288</w:t>
        </w:r>
        <w:r w:rsidR="001B0B0C">
          <w:rPr>
            <w:noProof/>
            <w:webHidden/>
          </w:rPr>
          <w:fldChar w:fldCharType="end"/>
        </w:r>
      </w:hyperlink>
    </w:p>
    <w:p w14:paraId="66AE8077" w14:textId="232C3E88" w:rsidR="001B0B0C" w:rsidRDefault="00647F4E">
      <w:pPr>
        <w:pStyle w:val="TOC2"/>
        <w:tabs>
          <w:tab w:val="right" w:leader="dot" w:pos="9350"/>
        </w:tabs>
        <w:rPr>
          <w:rFonts w:asciiTheme="minorHAnsi" w:eastAsiaTheme="minorEastAsia" w:hAnsiTheme="minorHAnsi" w:cstheme="minorBidi"/>
          <w:smallCaps w:val="0"/>
          <w:noProof/>
        </w:rPr>
      </w:pPr>
      <w:hyperlink w:anchor="_Toc4588811" w:history="1">
        <w:r w:rsidR="001B0B0C" w:rsidRPr="00CD618B">
          <w:rPr>
            <w:rStyle w:val="Hyperlink"/>
            <w:noProof/>
          </w:rPr>
          <w:t>Patient Search Screen</w:t>
        </w:r>
        <w:r w:rsidR="001B0B0C">
          <w:rPr>
            <w:noProof/>
            <w:webHidden/>
          </w:rPr>
          <w:tab/>
        </w:r>
        <w:r w:rsidR="001B0B0C">
          <w:rPr>
            <w:noProof/>
            <w:webHidden/>
          </w:rPr>
          <w:fldChar w:fldCharType="begin"/>
        </w:r>
        <w:r w:rsidR="001B0B0C">
          <w:rPr>
            <w:noProof/>
            <w:webHidden/>
          </w:rPr>
          <w:instrText xml:space="preserve"> PAGEREF _Toc4588811 \h </w:instrText>
        </w:r>
        <w:r w:rsidR="001B0B0C">
          <w:rPr>
            <w:noProof/>
            <w:webHidden/>
          </w:rPr>
        </w:r>
        <w:r w:rsidR="001B0B0C">
          <w:rPr>
            <w:noProof/>
            <w:webHidden/>
          </w:rPr>
          <w:fldChar w:fldCharType="separate"/>
        </w:r>
        <w:r>
          <w:rPr>
            <w:noProof/>
            <w:webHidden/>
          </w:rPr>
          <w:t>288</w:t>
        </w:r>
        <w:r w:rsidR="001B0B0C">
          <w:rPr>
            <w:noProof/>
            <w:webHidden/>
          </w:rPr>
          <w:fldChar w:fldCharType="end"/>
        </w:r>
      </w:hyperlink>
    </w:p>
    <w:p w14:paraId="4F833331" w14:textId="6BBE5E77" w:rsidR="001B0B0C" w:rsidRDefault="00647F4E">
      <w:pPr>
        <w:pStyle w:val="TOC3"/>
        <w:tabs>
          <w:tab w:val="right" w:leader="dot" w:pos="9350"/>
        </w:tabs>
        <w:rPr>
          <w:rFonts w:asciiTheme="minorHAnsi" w:eastAsiaTheme="minorEastAsia" w:hAnsiTheme="minorHAnsi" w:cstheme="minorBidi"/>
          <w:noProof/>
        </w:rPr>
      </w:pPr>
      <w:hyperlink w:anchor="_Toc4588812" w:history="1">
        <w:r w:rsidR="001B0B0C" w:rsidRPr="00CD618B">
          <w:rPr>
            <w:rStyle w:val="Hyperlink"/>
            <w:noProof/>
          </w:rPr>
          <w:t>Patient Merge</w:t>
        </w:r>
        <w:r w:rsidR="001B0B0C">
          <w:rPr>
            <w:noProof/>
            <w:webHidden/>
          </w:rPr>
          <w:tab/>
        </w:r>
        <w:r w:rsidR="001B0B0C">
          <w:rPr>
            <w:noProof/>
            <w:webHidden/>
          </w:rPr>
          <w:fldChar w:fldCharType="begin"/>
        </w:r>
        <w:r w:rsidR="001B0B0C">
          <w:rPr>
            <w:noProof/>
            <w:webHidden/>
          </w:rPr>
          <w:instrText xml:space="preserve"> PAGEREF _Toc4588812 \h </w:instrText>
        </w:r>
        <w:r w:rsidR="001B0B0C">
          <w:rPr>
            <w:noProof/>
            <w:webHidden/>
          </w:rPr>
        </w:r>
        <w:r w:rsidR="001B0B0C">
          <w:rPr>
            <w:noProof/>
            <w:webHidden/>
          </w:rPr>
          <w:fldChar w:fldCharType="separate"/>
        </w:r>
        <w:r>
          <w:rPr>
            <w:noProof/>
            <w:webHidden/>
          </w:rPr>
          <w:t>290</w:t>
        </w:r>
        <w:r w:rsidR="001B0B0C">
          <w:rPr>
            <w:noProof/>
            <w:webHidden/>
          </w:rPr>
          <w:fldChar w:fldCharType="end"/>
        </w:r>
      </w:hyperlink>
    </w:p>
    <w:p w14:paraId="774FB018" w14:textId="4CDE3951" w:rsidR="001B0B0C" w:rsidRDefault="00647F4E">
      <w:pPr>
        <w:pStyle w:val="TOC3"/>
        <w:tabs>
          <w:tab w:val="right" w:leader="dot" w:pos="9350"/>
        </w:tabs>
        <w:rPr>
          <w:rFonts w:asciiTheme="minorHAnsi" w:eastAsiaTheme="minorEastAsia" w:hAnsiTheme="minorHAnsi" w:cstheme="minorBidi"/>
          <w:noProof/>
        </w:rPr>
      </w:pPr>
      <w:hyperlink w:anchor="_Toc4588813" w:history="1">
        <w:r w:rsidR="001B0B0C" w:rsidRPr="00CD618B">
          <w:rPr>
            <w:rStyle w:val="Hyperlink"/>
            <w:noProof/>
          </w:rPr>
          <w:t>Updated Patients and Deceased Patients</w:t>
        </w:r>
        <w:r w:rsidR="001B0B0C">
          <w:rPr>
            <w:noProof/>
            <w:webHidden/>
          </w:rPr>
          <w:tab/>
        </w:r>
        <w:r w:rsidR="001B0B0C">
          <w:rPr>
            <w:noProof/>
            <w:webHidden/>
          </w:rPr>
          <w:fldChar w:fldCharType="begin"/>
        </w:r>
        <w:r w:rsidR="001B0B0C">
          <w:rPr>
            <w:noProof/>
            <w:webHidden/>
          </w:rPr>
          <w:instrText xml:space="preserve"> PAGEREF _Toc4588813 \h </w:instrText>
        </w:r>
        <w:r w:rsidR="001B0B0C">
          <w:rPr>
            <w:noProof/>
            <w:webHidden/>
          </w:rPr>
        </w:r>
        <w:r w:rsidR="001B0B0C">
          <w:rPr>
            <w:noProof/>
            <w:webHidden/>
          </w:rPr>
          <w:fldChar w:fldCharType="separate"/>
        </w:r>
        <w:r>
          <w:rPr>
            <w:noProof/>
            <w:webHidden/>
          </w:rPr>
          <w:t>294</w:t>
        </w:r>
        <w:r w:rsidR="001B0B0C">
          <w:rPr>
            <w:noProof/>
            <w:webHidden/>
          </w:rPr>
          <w:fldChar w:fldCharType="end"/>
        </w:r>
      </w:hyperlink>
    </w:p>
    <w:p w14:paraId="47238BFE" w14:textId="18406F40" w:rsidR="001B0B0C" w:rsidRDefault="00647F4E">
      <w:pPr>
        <w:pStyle w:val="TOC3"/>
        <w:tabs>
          <w:tab w:val="right" w:leader="dot" w:pos="9350"/>
        </w:tabs>
        <w:rPr>
          <w:rFonts w:asciiTheme="minorHAnsi" w:eastAsiaTheme="minorEastAsia" w:hAnsiTheme="minorHAnsi" w:cstheme="minorBidi"/>
          <w:noProof/>
        </w:rPr>
      </w:pPr>
      <w:hyperlink w:anchor="_Toc4588814" w:history="1">
        <w:r w:rsidR="001B0B0C" w:rsidRPr="00CD618B">
          <w:rPr>
            <w:rStyle w:val="Hyperlink"/>
            <w:noProof/>
          </w:rPr>
          <w:t>Patient Testing: General Instructions</w:t>
        </w:r>
        <w:r w:rsidR="001B0B0C">
          <w:rPr>
            <w:noProof/>
            <w:webHidden/>
          </w:rPr>
          <w:tab/>
        </w:r>
        <w:r w:rsidR="001B0B0C">
          <w:rPr>
            <w:noProof/>
            <w:webHidden/>
          </w:rPr>
          <w:fldChar w:fldCharType="begin"/>
        </w:r>
        <w:r w:rsidR="001B0B0C">
          <w:rPr>
            <w:noProof/>
            <w:webHidden/>
          </w:rPr>
          <w:instrText xml:space="preserve"> PAGEREF _Toc4588814 \h </w:instrText>
        </w:r>
        <w:r w:rsidR="001B0B0C">
          <w:rPr>
            <w:noProof/>
            <w:webHidden/>
          </w:rPr>
        </w:r>
        <w:r w:rsidR="001B0B0C">
          <w:rPr>
            <w:noProof/>
            <w:webHidden/>
          </w:rPr>
          <w:fldChar w:fldCharType="separate"/>
        </w:r>
        <w:r>
          <w:rPr>
            <w:noProof/>
            <w:webHidden/>
          </w:rPr>
          <w:t>296</w:t>
        </w:r>
        <w:r w:rsidR="001B0B0C">
          <w:rPr>
            <w:noProof/>
            <w:webHidden/>
          </w:rPr>
          <w:fldChar w:fldCharType="end"/>
        </w:r>
      </w:hyperlink>
    </w:p>
    <w:p w14:paraId="39BE721B" w14:textId="300F6B80" w:rsidR="001B0B0C" w:rsidRDefault="00647F4E">
      <w:pPr>
        <w:pStyle w:val="TOC3"/>
        <w:tabs>
          <w:tab w:val="right" w:leader="dot" w:pos="9350"/>
        </w:tabs>
        <w:rPr>
          <w:rFonts w:asciiTheme="minorHAnsi" w:eastAsiaTheme="minorEastAsia" w:hAnsiTheme="minorHAnsi" w:cstheme="minorBidi"/>
          <w:noProof/>
        </w:rPr>
      </w:pPr>
      <w:hyperlink w:anchor="_Toc4588815" w:history="1">
        <w:r w:rsidR="001B0B0C" w:rsidRPr="00CD618B">
          <w:rPr>
            <w:rStyle w:val="Hyperlink"/>
            <w:noProof/>
          </w:rPr>
          <w:t>Patient Testing: Record a Patient ABO/Rh</w:t>
        </w:r>
        <w:r w:rsidR="001B0B0C">
          <w:rPr>
            <w:noProof/>
            <w:webHidden/>
          </w:rPr>
          <w:tab/>
        </w:r>
        <w:r w:rsidR="001B0B0C">
          <w:rPr>
            <w:noProof/>
            <w:webHidden/>
          </w:rPr>
          <w:fldChar w:fldCharType="begin"/>
        </w:r>
        <w:r w:rsidR="001B0B0C">
          <w:rPr>
            <w:noProof/>
            <w:webHidden/>
          </w:rPr>
          <w:instrText xml:space="preserve"> PAGEREF _Toc4588815 \h </w:instrText>
        </w:r>
        <w:r w:rsidR="001B0B0C">
          <w:rPr>
            <w:noProof/>
            <w:webHidden/>
          </w:rPr>
        </w:r>
        <w:r w:rsidR="001B0B0C">
          <w:rPr>
            <w:noProof/>
            <w:webHidden/>
          </w:rPr>
          <w:fldChar w:fldCharType="separate"/>
        </w:r>
        <w:r>
          <w:rPr>
            <w:noProof/>
            <w:webHidden/>
          </w:rPr>
          <w:t>302</w:t>
        </w:r>
        <w:r w:rsidR="001B0B0C">
          <w:rPr>
            <w:noProof/>
            <w:webHidden/>
          </w:rPr>
          <w:fldChar w:fldCharType="end"/>
        </w:r>
      </w:hyperlink>
    </w:p>
    <w:p w14:paraId="5A2C3FB0" w14:textId="288B575A" w:rsidR="001B0B0C" w:rsidRDefault="00647F4E">
      <w:pPr>
        <w:pStyle w:val="TOC3"/>
        <w:tabs>
          <w:tab w:val="right" w:leader="dot" w:pos="9350"/>
        </w:tabs>
        <w:rPr>
          <w:rFonts w:asciiTheme="minorHAnsi" w:eastAsiaTheme="minorEastAsia" w:hAnsiTheme="minorHAnsi" w:cstheme="minorBidi"/>
          <w:noProof/>
        </w:rPr>
      </w:pPr>
      <w:hyperlink w:anchor="_Toc4588816" w:history="1">
        <w:r w:rsidR="001B0B0C" w:rsidRPr="00CD618B">
          <w:rPr>
            <w:rStyle w:val="Hyperlink"/>
            <w:noProof/>
          </w:rPr>
          <w:t>Patient Testing: Record a Patient Antibody Screen</w:t>
        </w:r>
        <w:r w:rsidR="001B0B0C">
          <w:rPr>
            <w:noProof/>
            <w:webHidden/>
          </w:rPr>
          <w:tab/>
        </w:r>
        <w:r w:rsidR="001B0B0C">
          <w:rPr>
            <w:noProof/>
            <w:webHidden/>
          </w:rPr>
          <w:fldChar w:fldCharType="begin"/>
        </w:r>
        <w:r w:rsidR="001B0B0C">
          <w:rPr>
            <w:noProof/>
            <w:webHidden/>
          </w:rPr>
          <w:instrText xml:space="preserve"> PAGEREF _Toc4588816 \h </w:instrText>
        </w:r>
        <w:r w:rsidR="001B0B0C">
          <w:rPr>
            <w:noProof/>
            <w:webHidden/>
          </w:rPr>
        </w:r>
        <w:r w:rsidR="001B0B0C">
          <w:rPr>
            <w:noProof/>
            <w:webHidden/>
          </w:rPr>
          <w:fldChar w:fldCharType="separate"/>
        </w:r>
        <w:r>
          <w:rPr>
            <w:noProof/>
            <w:webHidden/>
          </w:rPr>
          <w:t>305</w:t>
        </w:r>
        <w:r w:rsidR="001B0B0C">
          <w:rPr>
            <w:noProof/>
            <w:webHidden/>
          </w:rPr>
          <w:fldChar w:fldCharType="end"/>
        </w:r>
      </w:hyperlink>
    </w:p>
    <w:p w14:paraId="6E942085" w14:textId="75505D88" w:rsidR="001B0B0C" w:rsidRDefault="00647F4E">
      <w:pPr>
        <w:pStyle w:val="TOC3"/>
        <w:tabs>
          <w:tab w:val="right" w:leader="dot" w:pos="9350"/>
        </w:tabs>
        <w:rPr>
          <w:rFonts w:asciiTheme="minorHAnsi" w:eastAsiaTheme="minorEastAsia" w:hAnsiTheme="minorHAnsi" w:cstheme="minorBidi"/>
          <w:noProof/>
        </w:rPr>
      </w:pPr>
      <w:hyperlink w:anchor="_Toc4588817" w:history="1">
        <w:r w:rsidR="001B0B0C" w:rsidRPr="00CD618B">
          <w:rPr>
            <w:rStyle w:val="Hyperlink"/>
            <w:noProof/>
          </w:rPr>
          <w:t>Patient Testing: Record a Direct Antiglobulin Test</w:t>
        </w:r>
        <w:r w:rsidR="001B0B0C">
          <w:rPr>
            <w:noProof/>
            <w:webHidden/>
          </w:rPr>
          <w:tab/>
        </w:r>
        <w:r w:rsidR="001B0B0C">
          <w:rPr>
            <w:noProof/>
            <w:webHidden/>
          </w:rPr>
          <w:fldChar w:fldCharType="begin"/>
        </w:r>
        <w:r w:rsidR="001B0B0C">
          <w:rPr>
            <w:noProof/>
            <w:webHidden/>
          </w:rPr>
          <w:instrText xml:space="preserve"> PAGEREF _Toc4588817 \h </w:instrText>
        </w:r>
        <w:r w:rsidR="001B0B0C">
          <w:rPr>
            <w:noProof/>
            <w:webHidden/>
          </w:rPr>
        </w:r>
        <w:r w:rsidR="001B0B0C">
          <w:rPr>
            <w:noProof/>
            <w:webHidden/>
          </w:rPr>
          <w:fldChar w:fldCharType="separate"/>
        </w:r>
        <w:r>
          <w:rPr>
            <w:noProof/>
            <w:webHidden/>
          </w:rPr>
          <w:t>307</w:t>
        </w:r>
        <w:r w:rsidR="001B0B0C">
          <w:rPr>
            <w:noProof/>
            <w:webHidden/>
          </w:rPr>
          <w:fldChar w:fldCharType="end"/>
        </w:r>
      </w:hyperlink>
    </w:p>
    <w:p w14:paraId="43B08980" w14:textId="3CFC84F9" w:rsidR="001B0B0C" w:rsidRDefault="00647F4E">
      <w:pPr>
        <w:pStyle w:val="TOC3"/>
        <w:tabs>
          <w:tab w:val="right" w:leader="dot" w:pos="9350"/>
        </w:tabs>
        <w:rPr>
          <w:rFonts w:asciiTheme="minorHAnsi" w:eastAsiaTheme="minorEastAsia" w:hAnsiTheme="minorHAnsi" w:cstheme="minorBidi"/>
          <w:noProof/>
        </w:rPr>
      </w:pPr>
      <w:hyperlink w:anchor="_Toc4588818" w:history="1">
        <w:r w:rsidR="001B0B0C" w:rsidRPr="00CD618B">
          <w:rPr>
            <w:rStyle w:val="Hyperlink"/>
            <w:noProof/>
          </w:rPr>
          <w:t>Patient Testing: Record a Crossmatch</w:t>
        </w:r>
        <w:r w:rsidR="001B0B0C">
          <w:rPr>
            <w:noProof/>
            <w:webHidden/>
          </w:rPr>
          <w:tab/>
        </w:r>
        <w:r w:rsidR="001B0B0C">
          <w:rPr>
            <w:noProof/>
            <w:webHidden/>
          </w:rPr>
          <w:fldChar w:fldCharType="begin"/>
        </w:r>
        <w:r w:rsidR="001B0B0C">
          <w:rPr>
            <w:noProof/>
            <w:webHidden/>
          </w:rPr>
          <w:instrText xml:space="preserve"> PAGEREF _Toc4588818 \h </w:instrText>
        </w:r>
        <w:r w:rsidR="001B0B0C">
          <w:rPr>
            <w:noProof/>
            <w:webHidden/>
          </w:rPr>
        </w:r>
        <w:r w:rsidR="001B0B0C">
          <w:rPr>
            <w:noProof/>
            <w:webHidden/>
          </w:rPr>
          <w:fldChar w:fldCharType="separate"/>
        </w:r>
        <w:r>
          <w:rPr>
            <w:noProof/>
            <w:webHidden/>
          </w:rPr>
          <w:t>310</w:t>
        </w:r>
        <w:r w:rsidR="001B0B0C">
          <w:rPr>
            <w:noProof/>
            <w:webHidden/>
          </w:rPr>
          <w:fldChar w:fldCharType="end"/>
        </w:r>
      </w:hyperlink>
    </w:p>
    <w:p w14:paraId="6697BEA7" w14:textId="39CF4096" w:rsidR="001B0B0C" w:rsidRDefault="00647F4E">
      <w:pPr>
        <w:pStyle w:val="TOC3"/>
        <w:tabs>
          <w:tab w:val="right" w:leader="dot" w:pos="9350"/>
        </w:tabs>
        <w:rPr>
          <w:rFonts w:asciiTheme="minorHAnsi" w:eastAsiaTheme="minorEastAsia" w:hAnsiTheme="minorHAnsi" w:cstheme="minorBidi"/>
          <w:noProof/>
        </w:rPr>
      </w:pPr>
      <w:hyperlink w:anchor="_Toc4588819" w:history="1">
        <w:r w:rsidR="001B0B0C" w:rsidRPr="00CD618B">
          <w:rPr>
            <w:rStyle w:val="Hyperlink"/>
            <w:noProof/>
          </w:rPr>
          <w:t>Patient Testing: Record a Patient Antigen Typing</w:t>
        </w:r>
        <w:r w:rsidR="001B0B0C">
          <w:rPr>
            <w:noProof/>
            <w:webHidden/>
          </w:rPr>
          <w:tab/>
        </w:r>
        <w:r w:rsidR="001B0B0C">
          <w:rPr>
            <w:noProof/>
            <w:webHidden/>
          </w:rPr>
          <w:fldChar w:fldCharType="begin"/>
        </w:r>
        <w:r w:rsidR="001B0B0C">
          <w:rPr>
            <w:noProof/>
            <w:webHidden/>
          </w:rPr>
          <w:instrText xml:space="preserve"> PAGEREF _Toc4588819 \h </w:instrText>
        </w:r>
        <w:r w:rsidR="001B0B0C">
          <w:rPr>
            <w:noProof/>
            <w:webHidden/>
          </w:rPr>
        </w:r>
        <w:r w:rsidR="001B0B0C">
          <w:rPr>
            <w:noProof/>
            <w:webHidden/>
          </w:rPr>
          <w:fldChar w:fldCharType="separate"/>
        </w:r>
        <w:r>
          <w:rPr>
            <w:noProof/>
            <w:webHidden/>
          </w:rPr>
          <w:t>316</w:t>
        </w:r>
        <w:r w:rsidR="001B0B0C">
          <w:rPr>
            <w:noProof/>
            <w:webHidden/>
          </w:rPr>
          <w:fldChar w:fldCharType="end"/>
        </w:r>
      </w:hyperlink>
    </w:p>
    <w:p w14:paraId="6679EDA0" w14:textId="57E25AC5" w:rsidR="001B0B0C" w:rsidRDefault="00647F4E">
      <w:pPr>
        <w:pStyle w:val="TOC3"/>
        <w:tabs>
          <w:tab w:val="right" w:leader="dot" w:pos="9350"/>
        </w:tabs>
        <w:rPr>
          <w:rFonts w:asciiTheme="minorHAnsi" w:eastAsiaTheme="minorEastAsia" w:hAnsiTheme="minorHAnsi" w:cstheme="minorBidi"/>
          <w:noProof/>
        </w:rPr>
      </w:pPr>
      <w:hyperlink w:anchor="_Toc4588820" w:history="1">
        <w:r w:rsidR="001B0B0C" w:rsidRPr="00CD618B">
          <w:rPr>
            <w:rStyle w:val="Hyperlink"/>
            <w:noProof/>
          </w:rPr>
          <w:t>Patient Testing: Enter Antibody Identification Results</w:t>
        </w:r>
        <w:r w:rsidR="001B0B0C">
          <w:rPr>
            <w:noProof/>
            <w:webHidden/>
          </w:rPr>
          <w:tab/>
        </w:r>
        <w:r w:rsidR="001B0B0C">
          <w:rPr>
            <w:noProof/>
            <w:webHidden/>
          </w:rPr>
          <w:fldChar w:fldCharType="begin"/>
        </w:r>
        <w:r w:rsidR="001B0B0C">
          <w:rPr>
            <w:noProof/>
            <w:webHidden/>
          </w:rPr>
          <w:instrText xml:space="preserve"> PAGEREF _Toc4588820 \h </w:instrText>
        </w:r>
        <w:r w:rsidR="001B0B0C">
          <w:rPr>
            <w:noProof/>
            <w:webHidden/>
          </w:rPr>
        </w:r>
        <w:r w:rsidR="001B0B0C">
          <w:rPr>
            <w:noProof/>
            <w:webHidden/>
          </w:rPr>
          <w:fldChar w:fldCharType="separate"/>
        </w:r>
        <w:r>
          <w:rPr>
            <w:noProof/>
            <w:webHidden/>
          </w:rPr>
          <w:t>322</w:t>
        </w:r>
        <w:r w:rsidR="001B0B0C">
          <w:rPr>
            <w:noProof/>
            <w:webHidden/>
          </w:rPr>
          <w:fldChar w:fldCharType="end"/>
        </w:r>
      </w:hyperlink>
    </w:p>
    <w:p w14:paraId="6E9DEE9C" w14:textId="090D1A34" w:rsidR="001B0B0C" w:rsidRDefault="00647F4E">
      <w:pPr>
        <w:pStyle w:val="TOC3"/>
        <w:tabs>
          <w:tab w:val="right" w:leader="dot" w:pos="9350"/>
        </w:tabs>
        <w:rPr>
          <w:rFonts w:asciiTheme="minorHAnsi" w:eastAsiaTheme="minorEastAsia" w:hAnsiTheme="minorHAnsi" w:cstheme="minorBidi"/>
          <w:noProof/>
        </w:rPr>
      </w:pPr>
      <w:hyperlink w:anchor="_Toc4588821" w:history="1">
        <w:r w:rsidR="001B0B0C" w:rsidRPr="00CD618B">
          <w:rPr>
            <w:rStyle w:val="Hyperlink"/>
            <w:noProof/>
          </w:rPr>
          <w:t>Patient Testing: Record a Transfusion Reaction Workup</w:t>
        </w:r>
        <w:r w:rsidR="001B0B0C">
          <w:rPr>
            <w:noProof/>
            <w:webHidden/>
          </w:rPr>
          <w:tab/>
        </w:r>
        <w:r w:rsidR="001B0B0C">
          <w:rPr>
            <w:noProof/>
            <w:webHidden/>
          </w:rPr>
          <w:fldChar w:fldCharType="begin"/>
        </w:r>
        <w:r w:rsidR="001B0B0C">
          <w:rPr>
            <w:noProof/>
            <w:webHidden/>
          </w:rPr>
          <w:instrText xml:space="preserve"> PAGEREF _Toc4588821 \h </w:instrText>
        </w:r>
        <w:r w:rsidR="001B0B0C">
          <w:rPr>
            <w:noProof/>
            <w:webHidden/>
          </w:rPr>
        </w:r>
        <w:r w:rsidR="001B0B0C">
          <w:rPr>
            <w:noProof/>
            <w:webHidden/>
          </w:rPr>
          <w:fldChar w:fldCharType="separate"/>
        </w:r>
        <w:r>
          <w:rPr>
            <w:noProof/>
            <w:webHidden/>
          </w:rPr>
          <w:t>325</w:t>
        </w:r>
        <w:r w:rsidR="001B0B0C">
          <w:rPr>
            <w:noProof/>
            <w:webHidden/>
          </w:rPr>
          <w:fldChar w:fldCharType="end"/>
        </w:r>
      </w:hyperlink>
    </w:p>
    <w:p w14:paraId="3BD7CE8F" w14:textId="2AC76BCB" w:rsidR="001B0B0C" w:rsidRDefault="00647F4E">
      <w:pPr>
        <w:pStyle w:val="TOC3"/>
        <w:tabs>
          <w:tab w:val="right" w:leader="dot" w:pos="9350"/>
        </w:tabs>
        <w:rPr>
          <w:rFonts w:asciiTheme="minorHAnsi" w:eastAsiaTheme="minorEastAsia" w:hAnsiTheme="minorHAnsi" w:cstheme="minorBidi"/>
          <w:noProof/>
        </w:rPr>
      </w:pPr>
      <w:hyperlink w:anchor="_Toc4588822" w:history="1">
        <w:r w:rsidR="001B0B0C" w:rsidRPr="00CD618B">
          <w:rPr>
            <w:rStyle w:val="Hyperlink"/>
            <w:noProof/>
          </w:rPr>
          <w:t>Finalize/Print TRW</w:t>
        </w:r>
        <w:r w:rsidR="001B0B0C">
          <w:rPr>
            <w:noProof/>
            <w:webHidden/>
          </w:rPr>
          <w:tab/>
        </w:r>
        <w:r w:rsidR="001B0B0C">
          <w:rPr>
            <w:noProof/>
            <w:webHidden/>
          </w:rPr>
          <w:fldChar w:fldCharType="begin"/>
        </w:r>
        <w:r w:rsidR="001B0B0C">
          <w:rPr>
            <w:noProof/>
            <w:webHidden/>
          </w:rPr>
          <w:instrText xml:space="preserve"> PAGEREF _Toc4588822 \h </w:instrText>
        </w:r>
        <w:r w:rsidR="001B0B0C">
          <w:rPr>
            <w:noProof/>
            <w:webHidden/>
          </w:rPr>
        </w:r>
        <w:r w:rsidR="001B0B0C">
          <w:rPr>
            <w:noProof/>
            <w:webHidden/>
          </w:rPr>
          <w:fldChar w:fldCharType="separate"/>
        </w:r>
        <w:r>
          <w:rPr>
            <w:noProof/>
            <w:webHidden/>
          </w:rPr>
          <w:t>333</w:t>
        </w:r>
        <w:r w:rsidR="001B0B0C">
          <w:rPr>
            <w:noProof/>
            <w:webHidden/>
          </w:rPr>
          <w:fldChar w:fldCharType="end"/>
        </w:r>
      </w:hyperlink>
    </w:p>
    <w:p w14:paraId="611C0F66" w14:textId="0BA8804C" w:rsidR="001B0B0C" w:rsidRDefault="00647F4E">
      <w:pPr>
        <w:pStyle w:val="TOC2"/>
        <w:tabs>
          <w:tab w:val="right" w:leader="dot" w:pos="9350"/>
        </w:tabs>
        <w:rPr>
          <w:rFonts w:asciiTheme="minorHAnsi" w:eastAsiaTheme="minorEastAsia" w:hAnsiTheme="minorHAnsi" w:cstheme="minorBidi"/>
          <w:smallCaps w:val="0"/>
          <w:noProof/>
        </w:rPr>
      </w:pPr>
      <w:hyperlink w:anchor="_Toc4588823" w:history="1">
        <w:r w:rsidR="001B0B0C" w:rsidRPr="00CD618B">
          <w:rPr>
            <w:rStyle w:val="Hyperlink"/>
            <w:noProof/>
          </w:rPr>
          <w:t>Maintain Patient Records</w:t>
        </w:r>
        <w:r w:rsidR="001B0B0C">
          <w:rPr>
            <w:noProof/>
            <w:webHidden/>
          </w:rPr>
          <w:tab/>
        </w:r>
        <w:r w:rsidR="001B0B0C">
          <w:rPr>
            <w:noProof/>
            <w:webHidden/>
          </w:rPr>
          <w:fldChar w:fldCharType="begin"/>
        </w:r>
        <w:r w:rsidR="001B0B0C">
          <w:rPr>
            <w:noProof/>
            <w:webHidden/>
          </w:rPr>
          <w:instrText xml:space="preserve"> PAGEREF _Toc4588823 \h </w:instrText>
        </w:r>
        <w:r w:rsidR="001B0B0C">
          <w:rPr>
            <w:noProof/>
            <w:webHidden/>
          </w:rPr>
        </w:r>
        <w:r w:rsidR="001B0B0C">
          <w:rPr>
            <w:noProof/>
            <w:webHidden/>
          </w:rPr>
          <w:fldChar w:fldCharType="separate"/>
        </w:r>
        <w:r>
          <w:rPr>
            <w:noProof/>
            <w:webHidden/>
          </w:rPr>
          <w:t>338</w:t>
        </w:r>
        <w:r w:rsidR="001B0B0C">
          <w:rPr>
            <w:noProof/>
            <w:webHidden/>
          </w:rPr>
          <w:fldChar w:fldCharType="end"/>
        </w:r>
      </w:hyperlink>
    </w:p>
    <w:p w14:paraId="0C87B8E4" w14:textId="1493D254" w:rsidR="001B0B0C" w:rsidRDefault="00647F4E">
      <w:pPr>
        <w:pStyle w:val="TOC3"/>
        <w:tabs>
          <w:tab w:val="right" w:leader="dot" w:pos="9350"/>
        </w:tabs>
        <w:rPr>
          <w:rFonts w:asciiTheme="minorHAnsi" w:eastAsiaTheme="minorEastAsia" w:hAnsiTheme="minorHAnsi" w:cstheme="minorBidi"/>
          <w:noProof/>
        </w:rPr>
      </w:pPr>
      <w:hyperlink w:anchor="_Toc4588824" w:history="1">
        <w:r w:rsidR="001B0B0C" w:rsidRPr="00CD618B">
          <w:rPr>
            <w:rStyle w:val="Hyperlink"/>
            <w:noProof/>
          </w:rPr>
          <w:t>Special Instructions &amp; Transfusion Requirements: Enter a Transfusion Requirement</w:t>
        </w:r>
        <w:r w:rsidR="001B0B0C">
          <w:rPr>
            <w:noProof/>
            <w:webHidden/>
          </w:rPr>
          <w:tab/>
        </w:r>
        <w:r w:rsidR="001B0B0C">
          <w:rPr>
            <w:noProof/>
            <w:webHidden/>
          </w:rPr>
          <w:fldChar w:fldCharType="begin"/>
        </w:r>
        <w:r w:rsidR="001B0B0C">
          <w:rPr>
            <w:noProof/>
            <w:webHidden/>
          </w:rPr>
          <w:instrText xml:space="preserve"> PAGEREF _Toc4588824 \h </w:instrText>
        </w:r>
        <w:r w:rsidR="001B0B0C">
          <w:rPr>
            <w:noProof/>
            <w:webHidden/>
          </w:rPr>
        </w:r>
        <w:r w:rsidR="001B0B0C">
          <w:rPr>
            <w:noProof/>
            <w:webHidden/>
          </w:rPr>
          <w:fldChar w:fldCharType="separate"/>
        </w:r>
        <w:r>
          <w:rPr>
            <w:noProof/>
            <w:webHidden/>
          </w:rPr>
          <w:t>338</w:t>
        </w:r>
        <w:r w:rsidR="001B0B0C">
          <w:rPr>
            <w:noProof/>
            <w:webHidden/>
          </w:rPr>
          <w:fldChar w:fldCharType="end"/>
        </w:r>
      </w:hyperlink>
    </w:p>
    <w:p w14:paraId="4DCCA778" w14:textId="307CB8F7" w:rsidR="001B0B0C" w:rsidRDefault="00647F4E">
      <w:pPr>
        <w:pStyle w:val="TOC3"/>
        <w:tabs>
          <w:tab w:val="right" w:leader="dot" w:pos="9350"/>
        </w:tabs>
        <w:rPr>
          <w:rFonts w:asciiTheme="minorHAnsi" w:eastAsiaTheme="minorEastAsia" w:hAnsiTheme="minorHAnsi" w:cstheme="minorBidi"/>
          <w:noProof/>
        </w:rPr>
      </w:pPr>
      <w:hyperlink w:anchor="_Toc4588825" w:history="1">
        <w:r w:rsidR="001B0B0C" w:rsidRPr="00CD618B">
          <w:rPr>
            <w:rStyle w:val="Hyperlink"/>
            <w:noProof/>
          </w:rPr>
          <w:t>Special Instructions &amp; Transfusion Requirements: Enter and Remove Special Instructions</w:t>
        </w:r>
        <w:r w:rsidR="001B0B0C">
          <w:rPr>
            <w:noProof/>
            <w:webHidden/>
          </w:rPr>
          <w:tab/>
        </w:r>
        <w:r w:rsidR="001B0B0C">
          <w:rPr>
            <w:noProof/>
            <w:webHidden/>
          </w:rPr>
          <w:fldChar w:fldCharType="begin"/>
        </w:r>
        <w:r w:rsidR="001B0B0C">
          <w:rPr>
            <w:noProof/>
            <w:webHidden/>
          </w:rPr>
          <w:instrText xml:space="preserve"> PAGEREF _Toc4588825 \h </w:instrText>
        </w:r>
        <w:r w:rsidR="001B0B0C">
          <w:rPr>
            <w:noProof/>
            <w:webHidden/>
          </w:rPr>
        </w:r>
        <w:r w:rsidR="001B0B0C">
          <w:rPr>
            <w:noProof/>
            <w:webHidden/>
          </w:rPr>
          <w:fldChar w:fldCharType="separate"/>
        </w:r>
        <w:r>
          <w:rPr>
            <w:noProof/>
            <w:webHidden/>
          </w:rPr>
          <w:t>343</w:t>
        </w:r>
        <w:r w:rsidR="001B0B0C">
          <w:rPr>
            <w:noProof/>
            <w:webHidden/>
          </w:rPr>
          <w:fldChar w:fldCharType="end"/>
        </w:r>
      </w:hyperlink>
    </w:p>
    <w:p w14:paraId="3F41799D" w14:textId="5198CAC9" w:rsidR="001B0B0C" w:rsidRDefault="00647F4E">
      <w:pPr>
        <w:pStyle w:val="TOC2"/>
        <w:tabs>
          <w:tab w:val="right" w:leader="dot" w:pos="9350"/>
        </w:tabs>
        <w:rPr>
          <w:rFonts w:asciiTheme="minorHAnsi" w:eastAsiaTheme="minorEastAsia" w:hAnsiTheme="minorHAnsi" w:cstheme="minorBidi"/>
          <w:smallCaps w:val="0"/>
          <w:noProof/>
        </w:rPr>
      </w:pPr>
      <w:hyperlink w:anchor="_Toc4588826" w:history="1">
        <w:r w:rsidR="001B0B0C" w:rsidRPr="00CD618B">
          <w:rPr>
            <w:rStyle w:val="Hyperlink"/>
            <w:noProof/>
          </w:rPr>
          <w:t>Post-Transfusion Information</w:t>
        </w:r>
        <w:r w:rsidR="001B0B0C">
          <w:rPr>
            <w:noProof/>
            <w:webHidden/>
          </w:rPr>
          <w:tab/>
        </w:r>
        <w:r w:rsidR="001B0B0C">
          <w:rPr>
            <w:noProof/>
            <w:webHidden/>
          </w:rPr>
          <w:fldChar w:fldCharType="begin"/>
        </w:r>
        <w:r w:rsidR="001B0B0C">
          <w:rPr>
            <w:noProof/>
            <w:webHidden/>
          </w:rPr>
          <w:instrText xml:space="preserve"> PAGEREF _Toc4588826 \h </w:instrText>
        </w:r>
        <w:r w:rsidR="001B0B0C">
          <w:rPr>
            <w:noProof/>
            <w:webHidden/>
          </w:rPr>
        </w:r>
        <w:r w:rsidR="001B0B0C">
          <w:rPr>
            <w:noProof/>
            <w:webHidden/>
          </w:rPr>
          <w:fldChar w:fldCharType="separate"/>
        </w:r>
        <w:r>
          <w:rPr>
            <w:noProof/>
            <w:webHidden/>
          </w:rPr>
          <w:t>346</w:t>
        </w:r>
        <w:r w:rsidR="001B0B0C">
          <w:rPr>
            <w:noProof/>
            <w:webHidden/>
          </w:rPr>
          <w:fldChar w:fldCharType="end"/>
        </w:r>
      </w:hyperlink>
    </w:p>
    <w:p w14:paraId="4DE35FC4" w14:textId="72027571" w:rsidR="001B0B0C" w:rsidRDefault="00647F4E">
      <w:pPr>
        <w:pStyle w:val="TOC2"/>
        <w:tabs>
          <w:tab w:val="right" w:leader="dot" w:pos="9350"/>
        </w:tabs>
        <w:rPr>
          <w:rFonts w:asciiTheme="minorHAnsi" w:eastAsiaTheme="minorEastAsia" w:hAnsiTheme="minorHAnsi" w:cstheme="minorBidi"/>
          <w:smallCaps w:val="0"/>
          <w:noProof/>
        </w:rPr>
      </w:pPr>
      <w:hyperlink w:anchor="_Toc4588827" w:history="1">
        <w:r w:rsidR="001B0B0C" w:rsidRPr="00CD618B">
          <w:rPr>
            <w:rStyle w:val="Hyperlink"/>
            <w:noProof/>
            <w:snapToGrid w:val="0"/>
          </w:rPr>
          <w:t>Document ABO Incompatible Transfusions</w:t>
        </w:r>
        <w:r w:rsidR="001B0B0C">
          <w:rPr>
            <w:noProof/>
            <w:webHidden/>
          </w:rPr>
          <w:tab/>
        </w:r>
        <w:r w:rsidR="001B0B0C">
          <w:rPr>
            <w:noProof/>
            <w:webHidden/>
          </w:rPr>
          <w:fldChar w:fldCharType="begin"/>
        </w:r>
        <w:r w:rsidR="001B0B0C">
          <w:rPr>
            <w:noProof/>
            <w:webHidden/>
          </w:rPr>
          <w:instrText xml:space="preserve"> PAGEREF _Toc4588827 \h </w:instrText>
        </w:r>
        <w:r w:rsidR="001B0B0C">
          <w:rPr>
            <w:noProof/>
            <w:webHidden/>
          </w:rPr>
        </w:r>
        <w:r w:rsidR="001B0B0C">
          <w:rPr>
            <w:noProof/>
            <w:webHidden/>
          </w:rPr>
          <w:fldChar w:fldCharType="separate"/>
        </w:r>
        <w:r>
          <w:rPr>
            <w:noProof/>
            <w:webHidden/>
          </w:rPr>
          <w:t>352</w:t>
        </w:r>
        <w:r w:rsidR="001B0B0C">
          <w:rPr>
            <w:noProof/>
            <w:webHidden/>
          </w:rPr>
          <w:fldChar w:fldCharType="end"/>
        </w:r>
      </w:hyperlink>
    </w:p>
    <w:p w14:paraId="26DDB2FA" w14:textId="01BA2DAA" w:rsidR="001B0B0C" w:rsidRDefault="00647F4E">
      <w:pPr>
        <w:pStyle w:val="TOC3"/>
        <w:tabs>
          <w:tab w:val="right" w:leader="dot" w:pos="9350"/>
        </w:tabs>
        <w:rPr>
          <w:rFonts w:asciiTheme="minorHAnsi" w:eastAsiaTheme="minorEastAsia" w:hAnsiTheme="minorHAnsi" w:cstheme="minorBidi"/>
          <w:noProof/>
        </w:rPr>
      </w:pPr>
      <w:hyperlink w:anchor="_Toc4588828" w:history="1">
        <w:r w:rsidR="001B0B0C" w:rsidRPr="00CD618B">
          <w:rPr>
            <w:rStyle w:val="Hyperlink"/>
            <w:noProof/>
          </w:rPr>
          <w:t>Justify ABO/Rh Change</w:t>
        </w:r>
        <w:r w:rsidR="001B0B0C">
          <w:rPr>
            <w:noProof/>
            <w:webHidden/>
          </w:rPr>
          <w:tab/>
        </w:r>
        <w:r w:rsidR="001B0B0C">
          <w:rPr>
            <w:noProof/>
            <w:webHidden/>
          </w:rPr>
          <w:fldChar w:fldCharType="begin"/>
        </w:r>
        <w:r w:rsidR="001B0B0C">
          <w:rPr>
            <w:noProof/>
            <w:webHidden/>
          </w:rPr>
          <w:instrText xml:space="preserve"> PAGEREF _Toc4588828 \h </w:instrText>
        </w:r>
        <w:r w:rsidR="001B0B0C">
          <w:rPr>
            <w:noProof/>
            <w:webHidden/>
          </w:rPr>
        </w:r>
        <w:r w:rsidR="001B0B0C">
          <w:rPr>
            <w:noProof/>
            <w:webHidden/>
          </w:rPr>
          <w:fldChar w:fldCharType="separate"/>
        </w:r>
        <w:r>
          <w:rPr>
            <w:noProof/>
            <w:webHidden/>
          </w:rPr>
          <w:t>354</w:t>
        </w:r>
        <w:r w:rsidR="001B0B0C">
          <w:rPr>
            <w:noProof/>
            <w:webHidden/>
          </w:rPr>
          <w:fldChar w:fldCharType="end"/>
        </w:r>
      </w:hyperlink>
    </w:p>
    <w:p w14:paraId="2227F352" w14:textId="01E3762D" w:rsidR="001B0B0C" w:rsidRDefault="00647F4E">
      <w:pPr>
        <w:pStyle w:val="TOC1"/>
        <w:tabs>
          <w:tab w:val="right" w:leader="dot" w:pos="9350"/>
        </w:tabs>
        <w:rPr>
          <w:rFonts w:asciiTheme="minorHAnsi" w:eastAsiaTheme="minorEastAsia" w:hAnsiTheme="minorHAnsi" w:cstheme="minorBidi"/>
          <w:b w:val="0"/>
          <w:caps w:val="0"/>
          <w:noProof/>
        </w:rPr>
      </w:pPr>
      <w:hyperlink w:anchor="_Toc4588829" w:history="1">
        <w:r w:rsidR="001B0B0C" w:rsidRPr="00CD618B">
          <w:rPr>
            <w:rStyle w:val="Hyperlink"/>
            <w:noProof/>
          </w:rPr>
          <w:t>Automated Testing</w:t>
        </w:r>
        <w:r w:rsidR="001B0B0C">
          <w:rPr>
            <w:noProof/>
            <w:webHidden/>
          </w:rPr>
          <w:tab/>
        </w:r>
        <w:r w:rsidR="001B0B0C">
          <w:rPr>
            <w:noProof/>
            <w:webHidden/>
          </w:rPr>
          <w:fldChar w:fldCharType="begin"/>
        </w:r>
        <w:r w:rsidR="001B0B0C">
          <w:rPr>
            <w:noProof/>
            <w:webHidden/>
          </w:rPr>
          <w:instrText xml:space="preserve"> PAGEREF _Toc4588829 \h </w:instrText>
        </w:r>
        <w:r w:rsidR="001B0B0C">
          <w:rPr>
            <w:noProof/>
            <w:webHidden/>
          </w:rPr>
        </w:r>
        <w:r w:rsidR="001B0B0C">
          <w:rPr>
            <w:noProof/>
            <w:webHidden/>
          </w:rPr>
          <w:fldChar w:fldCharType="separate"/>
        </w:r>
        <w:r>
          <w:rPr>
            <w:noProof/>
            <w:webHidden/>
          </w:rPr>
          <w:t>358</w:t>
        </w:r>
        <w:r w:rsidR="001B0B0C">
          <w:rPr>
            <w:noProof/>
            <w:webHidden/>
          </w:rPr>
          <w:fldChar w:fldCharType="end"/>
        </w:r>
      </w:hyperlink>
    </w:p>
    <w:p w14:paraId="71AE43BD" w14:textId="48535C58" w:rsidR="001B0B0C" w:rsidRDefault="00647F4E">
      <w:pPr>
        <w:pStyle w:val="TOC2"/>
        <w:tabs>
          <w:tab w:val="right" w:leader="dot" w:pos="9350"/>
        </w:tabs>
        <w:rPr>
          <w:rFonts w:asciiTheme="minorHAnsi" w:eastAsiaTheme="minorEastAsia" w:hAnsiTheme="minorHAnsi" w:cstheme="minorBidi"/>
          <w:smallCaps w:val="0"/>
          <w:noProof/>
        </w:rPr>
      </w:pPr>
      <w:hyperlink w:anchor="_Toc4588830" w:history="1">
        <w:r w:rsidR="001B0B0C" w:rsidRPr="00CD618B">
          <w:rPr>
            <w:rStyle w:val="Hyperlink"/>
            <w:noProof/>
          </w:rPr>
          <w:t>Automated Testing Interface</w:t>
        </w:r>
        <w:r w:rsidR="001B0B0C">
          <w:rPr>
            <w:noProof/>
            <w:webHidden/>
          </w:rPr>
          <w:tab/>
        </w:r>
        <w:r w:rsidR="001B0B0C">
          <w:rPr>
            <w:noProof/>
            <w:webHidden/>
          </w:rPr>
          <w:fldChar w:fldCharType="begin"/>
        </w:r>
        <w:r w:rsidR="001B0B0C">
          <w:rPr>
            <w:noProof/>
            <w:webHidden/>
          </w:rPr>
          <w:instrText xml:space="preserve"> PAGEREF _Toc4588830 \h </w:instrText>
        </w:r>
        <w:r w:rsidR="001B0B0C">
          <w:rPr>
            <w:noProof/>
            <w:webHidden/>
          </w:rPr>
        </w:r>
        <w:r w:rsidR="001B0B0C">
          <w:rPr>
            <w:noProof/>
            <w:webHidden/>
          </w:rPr>
          <w:fldChar w:fldCharType="separate"/>
        </w:r>
        <w:r>
          <w:rPr>
            <w:noProof/>
            <w:webHidden/>
          </w:rPr>
          <w:t>358</w:t>
        </w:r>
        <w:r w:rsidR="001B0B0C">
          <w:rPr>
            <w:noProof/>
            <w:webHidden/>
          </w:rPr>
          <w:fldChar w:fldCharType="end"/>
        </w:r>
      </w:hyperlink>
    </w:p>
    <w:p w14:paraId="45699748" w14:textId="481D05F8" w:rsidR="001B0B0C" w:rsidRDefault="00647F4E">
      <w:pPr>
        <w:pStyle w:val="TOC2"/>
        <w:tabs>
          <w:tab w:val="right" w:leader="dot" w:pos="9350"/>
        </w:tabs>
        <w:rPr>
          <w:rFonts w:asciiTheme="minorHAnsi" w:eastAsiaTheme="minorEastAsia" w:hAnsiTheme="minorHAnsi" w:cstheme="minorBidi"/>
          <w:smallCaps w:val="0"/>
          <w:noProof/>
        </w:rPr>
      </w:pPr>
      <w:hyperlink w:anchor="_Toc4588831" w:history="1">
        <w:r w:rsidR="001B0B0C" w:rsidRPr="00CD618B">
          <w:rPr>
            <w:rStyle w:val="Hyperlink"/>
            <w:noProof/>
          </w:rPr>
          <w:t>Automated Testing Review for Blood Units</w:t>
        </w:r>
        <w:r w:rsidR="001B0B0C">
          <w:rPr>
            <w:noProof/>
            <w:webHidden/>
          </w:rPr>
          <w:tab/>
        </w:r>
        <w:r w:rsidR="001B0B0C">
          <w:rPr>
            <w:noProof/>
            <w:webHidden/>
          </w:rPr>
          <w:fldChar w:fldCharType="begin"/>
        </w:r>
        <w:r w:rsidR="001B0B0C">
          <w:rPr>
            <w:noProof/>
            <w:webHidden/>
          </w:rPr>
          <w:instrText xml:space="preserve"> PAGEREF _Toc4588831 \h </w:instrText>
        </w:r>
        <w:r w:rsidR="001B0B0C">
          <w:rPr>
            <w:noProof/>
            <w:webHidden/>
          </w:rPr>
        </w:r>
        <w:r w:rsidR="001B0B0C">
          <w:rPr>
            <w:noProof/>
            <w:webHidden/>
          </w:rPr>
          <w:fldChar w:fldCharType="separate"/>
        </w:r>
        <w:r>
          <w:rPr>
            <w:noProof/>
            <w:webHidden/>
          </w:rPr>
          <w:t>362</w:t>
        </w:r>
        <w:r w:rsidR="001B0B0C">
          <w:rPr>
            <w:noProof/>
            <w:webHidden/>
          </w:rPr>
          <w:fldChar w:fldCharType="end"/>
        </w:r>
      </w:hyperlink>
    </w:p>
    <w:p w14:paraId="7EDD751A" w14:textId="2D8A1A8B" w:rsidR="001B0B0C" w:rsidRDefault="00647F4E">
      <w:pPr>
        <w:pStyle w:val="TOC2"/>
        <w:tabs>
          <w:tab w:val="right" w:leader="dot" w:pos="9350"/>
        </w:tabs>
        <w:rPr>
          <w:rFonts w:asciiTheme="minorHAnsi" w:eastAsiaTheme="minorEastAsia" w:hAnsiTheme="minorHAnsi" w:cstheme="minorBidi"/>
          <w:smallCaps w:val="0"/>
          <w:noProof/>
        </w:rPr>
      </w:pPr>
      <w:hyperlink w:anchor="_Toc4588832" w:history="1">
        <w:r w:rsidR="001B0B0C" w:rsidRPr="00CD618B">
          <w:rPr>
            <w:rStyle w:val="Hyperlink"/>
            <w:noProof/>
          </w:rPr>
          <w:t>Automated Testing Review for Patients</w:t>
        </w:r>
        <w:r w:rsidR="001B0B0C">
          <w:rPr>
            <w:noProof/>
            <w:webHidden/>
          </w:rPr>
          <w:tab/>
        </w:r>
        <w:r w:rsidR="001B0B0C">
          <w:rPr>
            <w:noProof/>
            <w:webHidden/>
          </w:rPr>
          <w:fldChar w:fldCharType="begin"/>
        </w:r>
        <w:r w:rsidR="001B0B0C">
          <w:rPr>
            <w:noProof/>
            <w:webHidden/>
          </w:rPr>
          <w:instrText xml:space="preserve"> PAGEREF _Toc4588832 \h </w:instrText>
        </w:r>
        <w:r w:rsidR="001B0B0C">
          <w:rPr>
            <w:noProof/>
            <w:webHidden/>
          </w:rPr>
        </w:r>
        <w:r w:rsidR="001B0B0C">
          <w:rPr>
            <w:noProof/>
            <w:webHidden/>
          </w:rPr>
          <w:fldChar w:fldCharType="separate"/>
        </w:r>
        <w:r>
          <w:rPr>
            <w:noProof/>
            <w:webHidden/>
          </w:rPr>
          <w:t>366</w:t>
        </w:r>
        <w:r w:rsidR="001B0B0C">
          <w:rPr>
            <w:noProof/>
            <w:webHidden/>
          </w:rPr>
          <w:fldChar w:fldCharType="end"/>
        </w:r>
      </w:hyperlink>
    </w:p>
    <w:p w14:paraId="10E25F62" w14:textId="10B68CD8" w:rsidR="001B0B0C" w:rsidRDefault="00647F4E">
      <w:pPr>
        <w:pStyle w:val="TOC1"/>
        <w:tabs>
          <w:tab w:val="right" w:leader="dot" w:pos="9350"/>
        </w:tabs>
        <w:rPr>
          <w:rFonts w:asciiTheme="minorHAnsi" w:eastAsiaTheme="minorEastAsia" w:hAnsiTheme="minorHAnsi" w:cstheme="minorBidi"/>
          <w:b w:val="0"/>
          <w:caps w:val="0"/>
          <w:noProof/>
        </w:rPr>
      </w:pPr>
      <w:hyperlink w:anchor="_Toc4588833" w:history="1">
        <w:r w:rsidR="001B0B0C" w:rsidRPr="00CD618B">
          <w:rPr>
            <w:rStyle w:val="Hyperlink"/>
            <w:noProof/>
          </w:rPr>
          <w:t>Reports</w:t>
        </w:r>
        <w:r w:rsidR="001B0B0C">
          <w:rPr>
            <w:noProof/>
            <w:webHidden/>
          </w:rPr>
          <w:tab/>
        </w:r>
        <w:r w:rsidR="001B0B0C">
          <w:rPr>
            <w:noProof/>
            <w:webHidden/>
          </w:rPr>
          <w:fldChar w:fldCharType="begin"/>
        </w:r>
        <w:r w:rsidR="001B0B0C">
          <w:rPr>
            <w:noProof/>
            <w:webHidden/>
          </w:rPr>
          <w:instrText xml:space="preserve"> PAGEREF _Toc4588833 \h </w:instrText>
        </w:r>
        <w:r w:rsidR="001B0B0C">
          <w:rPr>
            <w:noProof/>
            <w:webHidden/>
          </w:rPr>
        </w:r>
        <w:r w:rsidR="001B0B0C">
          <w:rPr>
            <w:noProof/>
            <w:webHidden/>
          </w:rPr>
          <w:fldChar w:fldCharType="separate"/>
        </w:r>
        <w:r>
          <w:rPr>
            <w:noProof/>
            <w:webHidden/>
          </w:rPr>
          <w:t>372</w:t>
        </w:r>
        <w:r w:rsidR="001B0B0C">
          <w:rPr>
            <w:noProof/>
            <w:webHidden/>
          </w:rPr>
          <w:fldChar w:fldCharType="end"/>
        </w:r>
      </w:hyperlink>
    </w:p>
    <w:p w14:paraId="5771ECAB" w14:textId="02FA17C6" w:rsidR="001B0B0C" w:rsidRDefault="00647F4E">
      <w:pPr>
        <w:pStyle w:val="TOC2"/>
        <w:tabs>
          <w:tab w:val="right" w:leader="dot" w:pos="9350"/>
        </w:tabs>
        <w:rPr>
          <w:rFonts w:asciiTheme="minorHAnsi" w:eastAsiaTheme="minorEastAsia" w:hAnsiTheme="minorHAnsi" w:cstheme="minorBidi"/>
          <w:smallCaps w:val="0"/>
          <w:noProof/>
        </w:rPr>
      </w:pPr>
      <w:hyperlink w:anchor="_Toc4588834" w:history="1">
        <w:r w:rsidR="001B0B0C" w:rsidRPr="00CD618B">
          <w:rPr>
            <w:rStyle w:val="Hyperlink"/>
            <w:noProof/>
          </w:rPr>
          <w:t>Administrative Data Report</w:t>
        </w:r>
        <w:r w:rsidR="001B0B0C">
          <w:rPr>
            <w:noProof/>
            <w:webHidden/>
          </w:rPr>
          <w:tab/>
        </w:r>
        <w:r w:rsidR="001B0B0C">
          <w:rPr>
            <w:noProof/>
            <w:webHidden/>
          </w:rPr>
          <w:fldChar w:fldCharType="begin"/>
        </w:r>
        <w:r w:rsidR="001B0B0C">
          <w:rPr>
            <w:noProof/>
            <w:webHidden/>
          </w:rPr>
          <w:instrText xml:space="preserve"> PAGEREF _Toc4588834 \h </w:instrText>
        </w:r>
        <w:r w:rsidR="001B0B0C">
          <w:rPr>
            <w:noProof/>
            <w:webHidden/>
          </w:rPr>
        </w:r>
        <w:r w:rsidR="001B0B0C">
          <w:rPr>
            <w:noProof/>
            <w:webHidden/>
          </w:rPr>
          <w:fldChar w:fldCharType="separate"/>
        </w:r>
        <w:r>
          <w:rPr>
            <w:noProof/>
            <w:webHidden/>
          </w:rPr>
          <w:t>372</w:t>
        </w:r>
        <w:r w:rsidR="001B0B0C">
          <w:rPr>
            <w:noProof/>
            <w:webHidden/>
          </w:rPr>
          <w:fldChar w:fldCharType="end"/>
        </w:r>
      </w:hyperlink>
    </w:p>
    <w:p w14:paraId="4891538E" w14:textId="63BBB2EE" w:rsidR="001B0B0C" w:rsidRDefault="00647F4E">
      <w:pPr>
        <w:pStyle w:val="TOC2"/>
        <w:tabs>
          <w:tab w:val="right" w:leader="dot" w:pos="9350"/>
        </w:tabs>
        <w:rPr>
          <w:rFonts w:asciiTheme="minorHAnsi" w:eastAsiaTheme="minorEastAsia" w:hAnsiTheme="minorHAnsi" w:cstheme="minorBidi"/>
          <w:smallCaps w:val="0"/>
          <w:noProof/>
        </w:rPr>
      </w:pPr>
      <w:hyperlink w:anchor="_Toc4588835" w:history="1">
        <w:r w:rsidR="001B0B0C" w:rsidRPr="00CD618B">
          <w:rPr>
            <w:rStyle w:val="Hyperlink"/>
            <w:noProof/>
          </w:rPr>
          <w:t>Audit Trail</w:t>
        </w:r>
        <w:r w:rsidR="001B0B0C">
          <w:rPr>
            <w:noProof/>
            <w:webHidden/>
          </w:rPr>
          <w:tab/>
        </w:r>
        <w:r w:rsidR="001B0B0C">
          <w:rPr>
            <w:noProof/>
            <w:webHidden/>
          </w:rPr>
          <w:fldChar w:fldCharType="begin"/>
        </w:r>
        <w:r w:rsidR="001B0B0C">
          <w:rPr>
            <w:noProof/>
            <w:webHidden/>
          </w:rPr>
          <w:instrText xml:space="preserve"> PAGEREF _Toc4588835 \h </w:instrText>
        </w:r>
        <w:r w:rsidR="001B0B0C">
          <w:rPr>
            <w:noProof/>
            <w:webHidden/>
          </w:rPr>
        </w:r>
        <w:r w:rsidR="001B0B0C">
          <w:rPr>
            <w:noProof/>
            <w:webHidden/>
          </w:rPr>
          <w:fldChar w:fldCharType="separate"/>
        </w:r>
        <w:r>
          <w:rPr>
            <w:noProof/>
            <w:webHidden/>
          </w:rPr>
          <w:t>375</w:t>
        </w:r>
        <w:r w:rsidR="001B0B0C">
          <w:rPr>
            <w:noProof/>
            <w:webHidden/>
          </w:rPr>
          <w:fldChar w:fldCharType="end"/>
        </w:r>
      </w:hyperlink>
    </w:p>
    <w:p w14:paraId="0A3F5CF5" w14:textId="6268DFFB" w:rsidR="001B0B0C" w:rsidRDefault="00647F4E">
      <w:pPr>
        <w:pStyle w:val="TOC2"/>
        <w:tabs>
          <w:tab w:val="right" w:leader="dot" w:pos="9350"/>
        </w:tabs>
        <w:rPr>
          <w:rFonts w:asciiTheme="minorHAnsi" w:eastAsiaTheme="minorEastAsia" w:hAnsiTheme="minorHAnsi" w:cstheme="minorBidi"/>
          <w:smallCaps w:val="0"/>
          <w:noProof/>
        </w:rPr>
      </w:pPr>
      <w:hyperlink w:anchor="_Toc4588836" w:history="1">
        <w:r w:rsidR="001B0B0C" w:rsidRPr="00CD618B">
          <w:rPr>
            <w:rStyle w:val="Hyperlink"/>
            <w:noProof/>
          </w:rPr>
          <w:t>Blood Availability</w:t>
        </w:r>
        <w:r w:rsidR="001B0B0C">
          <w:rPr>
            <w:noProof/>
            <w:webHidden/>
          </w:rPr>
          <w:tab/>
        </w:r>
        <w:r w:rsidR="001B0B0C">
          <w:rPr>
            <w:noProof/>
            <w:webHidden/>
          </w:rPr>
          <w:fldChar w:fldCharType="begin"/>
        </w:r>
        <w:r w:rsidR="001B0B0C">
          <w:rPr>
            <w:noProof/>
            <w:webHidden/>
          </w:rPr>
          <w:instrText xml:space="preserve"> PAGEREF _Toc4588836 \h </w:instrText>
        </w:r>
        <w:r w:rsidR="001B0B0C">
          <w:rPr>
            <w:noProof/>
            <w:webHidden/>
          </w:rPr>
        </w:r>
        <w:r w:rsidR="001B0B0C">
          <w:rPr>
            <w:noProof/>
            <w:webHidden/>
          </w:rPr>
          <w:fldChar w:fldCharType="separate"/>
        </w:r>
        <w:r>
          <w:rPr>
            <w:noProof/>
            <w:webHidden/>
          </w:rPr>
          <w:t>377</w:t>
        </w:r>
        <w:r w:rsidR="001B0B0C">
          <w:rPr>
            <w:noProof/>
            <w:webHidden/>
          </w:rPr>
          <w:fldChar w:fldCharType="end"/>
        </w:r>
      </w:hyperlink>
    </w:p>
    <w:p w14:paraId="3BDDEBD6" w14:textId="104598F8" w:rsidR="001B0B0C" w:rsidRDefault="00647F4E">
      <w:pPr>
        <w:pStyle w:val="TOC2"/>
        <w:tabs>
          <w:tab w:val="right" w:leader="dot" w:pos="9350"/>
        </w:tabs>
        <w:rPr>
          <w:rFonts w:asciiTheme="minorHAnsi" w:eastAsiaTheme="minorEastAsia" w:hAnsiTheme="minorHAnsi" w:cstheme="minorBidi"/>
          <w:smallCaps w:val="0"/>
          <w:noProof/>
        </w:rPr>
      </w:pPr>
      <w:hyperlink w:anchor="_Toc4588837" w:history="1">
        <w:r w:rsidR="001B0B0C" w:rsidRPr="00CD618B">
          <w:rPr>
            <w:rStyle w:val="Hyperlink"/>
            <w:noProof/>
          </w:rPr>
          <w:t>Cost Accounting Report</w:t>
        </w:r>
        <w:r w:rsidR="001B0B0C">
          <w:rPr>
            <w:noProof/>
            <w:webHidden/>
          </w:rPr>
          <w:tab/>
        </w:r>
        <w:r w:rsidR="001B0B0C">
          <w:rPr>
            <w:noProof/>
            <w:webHidden/>
          </w:rPr>
          <w:fldChar w:fldCharType="begin"/>
        </w:r>
        <w:r w:rsidR="001B0B0C">
          <w:rPr>
            <w:noProof/>
            <w:webHidden/>
          </w:rPr>
          <w:instrText xml:space="preserve"> PAGEREF _Toc4588837 \h </w:instrText>
        </w:r>
        <w:r w:rsidR="001B0B0C">
          <w:rPr>
            <w:noProof/>
            <w:webHidden/>
          </w:rPr>
        </w:r>
        <w:r w:rsidR="001B0B0C">
          <w:rPr>
            <w:noProof/>
            <w:webHidden/>
          </w:rPr>
          <w:fldChar w:fldCharType="separate"/>
        </w:r>
        <w:r>
          <w:rPr>
            <w:noProof/>
            <w:webHidden/>
          </w:rPr>
          <w:t>379</w:t>
        </w:r>
        <w:r w:rsidR="001B0B0C">
          <w:rPr>
            <w:noProof/>
            <w:webHidden/>
          </w:rPr>
          <w:fldChar w:fldCharType="end"/>
        </w:r>
      </w:hyperlink>
    </w:p>
    <w:p w14:paraId="4BAD397F" w14:textId="751DBA5C" w:rsidR="001B0B0C" w:rsidRDefault="00647F4E">
      <w:pPr>
        <w:pStyle w:val="TOC2"/>
        <w:tabs>
          <w:tab w:val="right" w:leader="dot" w:pos="9350"/>
        </w:tabs>
        <w:rPr>
          <w:rFonts w:asciiTheme="minorHAnsi" w:eastAsiaTheme="minorEastAsia" w:hAnsiTheme="minorHAnsi" w:cstheme="minorBidi"/>
          <w:smallCaps w:val="0"/>
          <w:noProof/>
        </w:rPr>
      </w:pPr>
      <w:hyperlink w:anchor="_Toc4588838" w:history="1">
        <w:r w:rsidR="001B0B0C" w:rsidRPr="00CD618B">
          <w:rPr>
            <w:rStyle w:val="Hyperlink"/>
            <w:noProof/>
          </w:rPr>
          <w:t>C:T Ratio Report</w:t>
        </w:r>
        <w:r w:rsidR="001B0B0C">
          <w:rPr>
            <w:noProof/>
            <w:webHidden/>
          </w:rPr>
          <w:tab/>
        </w:r>
        <w:r w:rsidR="001B0B0C">
          <w:rPr>
            <w:noProof/>
            <w:webHidden/>
          </w:rPr>
          <w:fldChar w:fldCharType="begin"/>
        </w:r>
        <w:r w:rsidR="001B0B0C">
          <w:rPr>
            <w:noProof/>
            <w:webHidden/>
          </w:rPr>
          <w:instrText xml:space="preserve"> PAGEREF _Toc4588838 \h </w:instrText>
        </w:r>
        <w:r w:rsidR="001B0B0C">
          <w:rPr>
            <w:noProof/>
            <w:webHidden/>
          </w:rPr>
        </w:r>
        <w:r w:rsidR="001B0B0C">
          <w:rPr>
            <w:noProof/>
            <w:webHidden/>
          </w:rPr>
          <w:fldChar w:fldCharType="separate"/>
        </w:r>
        <w:r>
          <w:rPr>
            <w:noProof/>
            <w:webHidden/>
          </w:rPr>
          <w:t>381</w:t>
        </w:r>
        <w:r w:rsidR="001B0B0C">
          <w:rPr>
            <w:noProof/>
            <w:webHidden/>
          </w:rPr>
          <w:fldChar w:fldCharType="end"/>
        </w:r>
      </w:hyperlink>
    </w:p>
    <w:p w14:paraId="4F83A549" w14:textId="19FD1F46" w:rsidR="001B0B0C" w:rsidRDefault="00647F4E">
      <w:pPr>
        <w:pStyle w:val="TOC2"/>
        <w:tabs>
          <w:tab w:val="right" w:leader="dot" w:pos="9350"/>
        </w:tabs>
        <w:rPr>
          <w:rFonts w:asciiTheme="minorHAnsi" w:eastAsiaTheme="minorEastAsia" w:hAnsiTheme="minorHAnsi" w:cstheme="minorBidi"/>
          <w:smallCaps w:val="0"/>
          <w:noProof/>
        </w:rPr>
      </w:pPr>
      <w:hyperlink w:anchor="_Toc4588839" w:history="1">
        <w:r w:rsidR="001B0B0C" w:rsidRPr="00CD618B">
          <w:rPr>
            <w:rStyle w:val="Hyperlink"/>
            <w:noProof/>
          </w:rPr>
          <w:t>Division Transfusion Report</w:t>
        </w:r>
        <w:r w:rsidR="001B0B0C">
          <w:rPr>
            <w:noProof/>
            <w:webHidden/>
          </w:rPr>
          <w:tab/>
        </w:r>
        <w:r w:rsidR="001B0B0C">
          <w:rPr>
            <w:noProof/>
            <w:webHidden/>
          </w:rPr>
          <w:fldChar w:fldCharType="begin"/>
        </w:r>
        <w:r w:rsidR="001B0B0C">
          <w:rPr>
            <w:noProof/>
            <w:webHidden/>
          </w:rPr>
          <w:instrText xml:space="preserve"> PAGEREF _Toc4588839 \h </w:instrText>
        </w:r>
        <w:r w:rsidR="001B0B0C">
          <w:rPr>
            <w:noProof/>
            <w:webHidden/>
          </w:rPr>
        </w:r>
        <w:r w:rsidR="001B0B0C">
          <w:rPr>
            <w:noProof/>
            <w:webHidden/>
          </w:rPr>
          <w:fldChar w:fldCharType="separate"/>
        </w:r>
        <w:r>
          <w:rPr>
            <w:noProof/>
            <w:webHidden/>
          </w:rPr>
          <w:t>383</w:t>
        </w:r>
        <w:r w:rsidR="001B0B0C">
          <w:rPr>
            <w:noProof/>
            <w:webHidden/>
          </w:rPr>
          <w:fldChar w:fldCharType="end"/>
        </w:r>
      </w:hyperlink>
    </w:p>
    <w:p w14:paraId="0868CDCB" w14:textId="4B56C8B9" w:rsidR="001B0B0C" w:rsidRDefault="00647F4E">
      <w:pPr>
        <w:pStyle w:val="TOC2"/>
        <w:tabs>
          <w:tab w:val="right" w:leader="dot" w:pos="9350"/>
        </w:tabs>
        <w:rPr>
          <w:rFonts w:asciiTheme="minorHAnsi" w:eastAsiaTheme="minorEastAsia" w:hAnsiTheme="minorHAnsi" w:cstheme="minorBidi"/>
          <w:smallCaps w:val="0"/>
          <w:noProof/>
        </w:rPr>
      </w:pPr>
      <w:hyperlink w:anchor="_Toc4588840" w:history="1">
        <w:r w:rsidR="001B0B0C" w:rsidRPr="00CD618B">
          <w:rPr>
            <w:rStyle w:val="Hyperlink"/>
            <w:noProof/>
          </w:rPr>
          <w:t>Division Workload Report</w:t>
        </w:r>
        <w:r w:rsidR="001B0B0C">
          <w:rPr>
            <w:noProof/>
            <w:webHidden/>
          </w:rPr>
          <w:tab/>
        </w:r>
        <w:r w:rsidR="001B0B0C">
          <w:rPr>
            <w:noProof/>
            <w:webHidden/>
          </w:rPr>
          <w:fldChar w:fldCharType="begin"/>
        </w:r>
        <w:r w:rsidR="001B0B0C">
          <w:rPr>
            <w:noProof/>
            <w:webHidden/>
          </w:rPr>
          <w:instrText xml:space="preserve"> PAGEREF _Toc4588840 \h </w:instrText>
        </w:r>
        <w:r w:rsidR="001B0B0C">
          <w:rPr>
            <w:noProof/>
            <w:webHidden/>
          </w:rPr>
        </w:r>
        <w:r w:rsidR="001B0B0C">
          <w:rPr>
            <w:noProof/>
            <w:webHidden/>
          </w:rPr>
          <w:fldChar w:fldCharType="separate"/>
        </w:r>
        <w:r>
          <w:rPr>
            <w:noProof/>
            <w:webHidden/>
          </w:rPr>
          <w:t>385</w:t>
        </w:r>
        <w:r w:rsidR="001B0B0C">
          <w:rPr>
            <w:noProof/>
            <w:webHidden/>
          </w:rPr>
          <w:fldChar w:fldCharType="end"/>
        </w:r>
      </w:hyperlink>
    </w:p>
    <w:p w14:paraId="37ABAA48" w14:textId="6E0D3CAD" w:rsidR="001B0B0C" w:rsidRDefault="00647F4E">
      <w:pPr>
        <w:pStyle w:val="TOC2"/>
        <w:tabs>
          <w:tab w:val="right" w:leader="dot" w:pos="9350"/>
        </w:tabs>
        <w:rPr>
          <w:rFonts w:asciiTheme="minorHAnsi" w:eastAsiaTheme="minorEastAsia" w:hAnsiTheme="minorHAnsi" w:cstheme="minorBidi"/>
          <w:smallCaps w:val="0"/>
          <w:noProof/>
        </w:rPr>
      </w:pPr>
      <w:hyperlink w:anchor="_Toc4588841" w:history="1">
        <w:r w:rsidR="001B0B0C" w:rsidRPr="00CD618B">
          <w:rPr>
            <w:rStyle w:val="Hyperlink"/>
            <w:noProof/>
          </w:rPr>
          <w:t>Exception Report</w:t>
        </w:r>
        <w:r w:rsidR="001B0B0C">
          <w:rPr>
            <w:noProof/>
            <w:webHidden/>
          </w:rPr>
          <w:tab/>
        </w:r>
        <w:r w:rsidR="001B0B0C">
          <w:rPr>
            <w:noProof/>
            <w:webHidden/>
          </w:rPr>
          <w:fldChar w:fldCharType="begin"/>
        </w:r>
        <w:r w:rsidR="001B0B0C">
          <w:rPr>
            <w:noProof/>
            <w:webHidden/>
          </w:rPr>
          <w:instrText xml:space="preserve"> PAGEREF _Toc4588841 \h </w:instrText>
        </w:r>
        <w:r w:rsidR="001B0B0C">
          <w:rPr>
            <w:noProof/>
            <w:webHidden/>
          </w:rPr>
        </w:r>
        <w:r w:rsidR="001B0B0C">
          <w:rPr>
            <w:noProof/>
            <w:webHidden/>
          </w:rPr>
          <w:fldChar w:fldCharType="separate"/>
        </w:r>
        <w:r>
          <w:rPr>
            <w:noProof/>
            <w:webHidden/>
          </w:rPr>
          <w:t>387</w:t>
        </w:r>
        <w:r w:rsidR="001B0B0C">
          <w:rPr>
            <w:noProof/>
            <w:webHidden/>
          </w:rPr>
          <w:fldChar w:fldCharType="end"/>
        </w:r>
      </w:hyperlink>
    </w:p>
    <w:p w14:paraId="4FB05536" w14:textId="30FCDA4D" w:rsidR="001B0B0C" w:rsidRDefault="00647F4E">
      <w:pPr>
        <w:pStyle w:val="TOC2"/>
        <w:tabs>
          <w:tab w:val="right" w:leader="dot" w:pos="9350"/>
        </w:tabs>
        <w:rPr>
          <w:rFonts w:asciiTheme="minorHAnsi" w:eastAsiaTheme="minorEastAsia" w:hAnsiTheme="minorHAnsi" w:cstheme="minorBidi"/>
          <w:smallCaps w:val="0"/>
          <w:noProof/>
        </w:rPr>
      </w:pPr>
      <w:hyperlink w:anchor="_Toc4588842" w:history="1">
        <w:r w:rsidR="001B0B0C" w:rsidRPr="00CD618B">
          <w:rPr>
            <w:rStyle w:val="Hyperlink"/>
            <w:noProof/>
          </w:rPr>
          <w:t>Finalize/Print TRW (See Patient Services, Finalize/Print TRW)</w:t>
        </w:r>
        <w:r w:rsidR="001B0B0C">
          <w:rPr>
            <w:noProof/>
            <w:webHidden/>
          </w:rPr>
          <w:tab/>
        </w:r>
        <w:r w:rsidR="001B0B0C">
          <w:rPr>
            <w:noProof/>
            <w:webHidden/>
          </w:rPr>
          <w:fldChar w:fldCharType="begin"/>
        </w:r>
        <w:r w:rsidR="001B0B0C">
          <w:rPr>
            <w:noProof/>
            <w:webHidden/>
          </w:rPr>
          <w:instrText xml:space="preserve"> PAGEREF _Toc4588842 \h </w:instrText>
        </w:r>
        <w:r w:rsidR="001B0B0C">
          <w:rPr>
            <w:noProof/>
            <w:webHidden/>
          </w:rPr>
        </w:r>
        <w:r w:rsidR="001B0B0C">
          <w:rPr>
            <w:noProof/>
            <w:webHidden/>
          </w:rPr>
          <w:fldChar w:fldCharType="separate"/>
        </w:r>
        <w:r>
          <w:rPr>
            <w:noProof/>
            <w:webHidden/>
          </w:rPr>
          <w:t>389</w:t>
        </w:r>
        <w:r w:rsidR="001B0B0C">
          <w:rPr>
            <w:noProof/>
            <w:webHidden/>
          </w:rPr>
          <w:fldChar w:fldCharType="end"/>
        </w:r>
      </w:hyperlink>
    </w:p>
    <w:p w14:paraId="3AC1D647" w14:textId="59B4CF6F" w:rsidR="001B0B0C" w:rsidRDefault="00647F4E">
      <w:pPr>
        <w:pStyle w:val="TOC2"/>
        <w:tabs>
          <w:tab w:val="right" w:leader="dot" w:pos="9350"/>
        </w:tabs>
        <w:rPr>
          <w:rFonts w:asciiTheme="minorHAnsi" w:eastAsiaTheme="minorEastAsia" w:hAnsiTheme="minorHAnsi" w:cstheme="minorBidi"/>
          <w:smallCaps w:val="0"/>
          <w:noProof/>
        </w:rPr>
      </w:pPr>
      <w:hyperlink w:anchor="_Toc4588843" w:history="1">
        <w:r w:rsidR="001B0B0C" w:rsidRPr="00CD618B">
          <w:rPr>
            <w:rStyle w:val="Hyperlink"/>
            <w:noProof/>
          </w:rPr>
          <w:t>Inappropriate Transfusion Request Report</w:t>
        </w:r>
        <w:r w:rsidR="001B0B0C">
          <w:rPr>
            <w:noProof/>
            <w:webHidden/>
          </w:rPr>
          <w:tab/>
        </w:r>
        <w:r w:rsidR="001B0B0C">
          <w:rPr>
            <w:noProof/>
            <w:webHidden/>
          </w:rPr>
          <w:fldChar w:fldCharType="begin"/>
        </w:r>
        <w:r w:rsidR="001B0B0C">
          <w:rPr>
            <w:noProof/>
            <w:webHidden/>
          </w:rPr>
          <w:instrText xml:space="preserve"> PAGEREF _Toc4588843 \h </w:instrText>
        </w:r>
        <w:r w:rsidR="001B0B0C">
          <w:rPr>
            <w:noProof/>
            <w:webHidden/>
          </w:rPr>
        </w:r>
        <w:r w:rsidR="001B0B0C">
          <w:rPr>
            <w:noProof/>
            <w:webHidden/>
          </w:rPr>
          <w:fldChar w:fldCharType="separate"/>
        </w:r>
        <w:r>
          <w:rPr>
            <w:noProof/>
            <w:webHidden/>
          </w:rPr>
          <w:t>389</w:t>
        </w:r>
        <w:r w:rsidR="001B0B0C">
          <w:rPr>
            <w:noProof/>
            <w:webHidden/>
          </w:rPr>
          <w:fldChar w:fldCharType="end"/>
        </w:r>
      </w:hyperlink>
    </w:p>
    <w:p w14:paraId="39463D95" w14:textId="3392DD91" w:rsidR="001B0B0C" w:rsidRDefault="00647F4E">
      <w:pPr>
        <w:pStyle w:val="TOC2"/>
        <w:tabs>
          <w:tab w:val="right" w:leader="dot" w:pos="9350"/>
        </w:tabs>
        <w:rPr>
          <w:rFonts w:asciiTheme="minorHAnsi" w:eastAsiaTheme="minorEastAsia" w:hAnsiTheme="minorHAnsi" w:cstheme="minorBidi"/>
          <w:smallCaps w:val="0"/>
          <w:noProof/>
        </w:rPr>
      </w:pPr>
      <w:hyperlink w:anchor="_Toc4588844" w:history="1">
        <w:r w:rsidR="001B0B0C" w:rsidRPr="00CD618B">
          <w:rPr>
            <w:rStyle w:val="Hyperlink"/>
            <w:noProof/>
          </w:rPr>
          <w:t>Issued/Returned Unit Report</w:t>
        </w:r>
        <w:r w:rsidR="001B0B0C">
          <w:rPr>
            <w:noProof/>
            <w:webHidden/>
          </w:rPr>
          <w:tab/>
        </w:r>
        <w:r w:rsidR="001B0B0C">
          <w:rPr>
            <w:noProof/>
            <w:webHidden/>
          </w:rPr>
          <w:fldChar w:fldCharType="begin"/>
        </w:r>
        <w:r w:rsidR="001B0B0C">
          <w:rPr>
            <w:noProof/>
            <w:webHidden/>
          </w:rPr>
          <w:instrText xml:space="preserve"> PAGEREF _Toc4588844 \h </w:instrText>
        </w:r>
        <w:r w:rsidR="001B0B0C">
          <w:rPr>
            <w:noProof/>
            <w:webHidden/>
          </w:rPr>
        </w:r>
        <w:r w:rsidR="001B0B0C">
          <w:rPr>
            <w:noProof/>
            <w:webHidden/>
          </w:rPr>
          <w:fldChar w:fldCharType="separate"/>
        </w:r>
        <w:r>
          <w:rPr>
            <w:noProof/>
            <w:webHidden/>
          </w:rPr>
          <w:t>390</w:t>
        </w:r>
        <w:r w:rsidR="001B0B0C">
          <w:rPr>
            <w:noProof/>
            <w:webHidden/>
          </w:rPr>
          <w:fldChar w:fldCharType="end"/>
        </w:r>
      </w:hyperlink>
    </w:p>
    <w:p w14:paraId="56B54429" w14:textId="6599F436" w:rsidR="001B0B0C" w:rsidRDefault="00647F4E">
      <w:pPr>
        <w:pStyle w:val="TOC2"/>
        <w:tabs>
          <w:tab w:val="right" w:leader="dot" w:pos="9350"/>
        </w:tabs>
        <w:rPr>
          <w:rFonts w:asciiTheme="minorHAnsi" w:eastAsiaTheme="minorEastAsia" w:hAnsiTheme="minorHAnsi" w:cstheme="minorBidi"/>
          <w:smallCaps w:val="0"/>
          <w:noProof/>
        </w:rPr>
      </w:pPr>
      <w:hyperlink w:anchor="_Toc4588845" w:history="1">
        <w:r w:rsidR="001B0B0C" w:rsidRPr="00CD618B">
          <w:rPr>
            <w:rStyle w:val="Hyperlink"/>
            <w:noProof/>
          </w:rPr>
          <w:t>Medication Profile (See Patient Information Toolbar)</w:t>
        </w:r>
        <w:r w:rsidR="001B0B0C">
          <w:rPr>
            <w:noProof/>
            <w:webHidden/>
          </w:rPr>
          <w:tab/>
        </w:r>
        <w:r w:rsidR="001B0B0C">
          <w:rPr>
            <w:noProof/>
            <w:webHidden/>
          </w:rPr>
          <w:fldChar w:fldCharType="begin"/>
        </w:r>
        <w:r w:rsidR="001B0B0C">
          <w:rPr>
            <w:noProof/>
            <w:webHidden/>
          </w:rPr>
          <w:instrText xml:space="preserve"> PAGEREF _Toc4588845 \h </w:instrText>
        </w:r>
        <w:r w:rsidR="001B0B0C">
          <w:rPr>
            <w:noProof/>
            <w:webHidden/>
          </w:rPr>
        </w:r>
        <w:r w:rsidR="001B0B0C">
          <w:rPr>
            <w:noProof/>
            <w:webHidden/>
          </w:rPr>
          <w:fldChar w:fldCharType="separate"/>
        </w:r>
        <w:r>
          <w:rPr>
            <w:noProof/>
            <w:webHidden/>
          </w:rPr>
          <w:t>392</w:t>
        </w:r>
        <w:r w:rsidR="001B0B0C">
          <w:rPr>
            <w:noProof/>
            <w:webHidden/>
          </w:rPr>
          <w:fldChar w:fldCharType="end"/>
        </w:r>
      </w:hyperlink>
    </w:p>
    <w:p w14:paraId="0304BA3B" w14:textId="0BF4139B" w:rsidR="001B0B0C" w:rsidRDefault="00647F4E">
      <w:pPr>
        <w:pStyle w:val="TOC2"/>
        <w:tabs>
          <w:tab w:val="right" w:leader="dot" w:pos="9350"/>
        </w:tabs>
        <w:rPr>
          <w:rFonts w:asciiTheme="minorHAnsi" w:eastAsiaTheme="minorEastAsia" w:hAnsiTheme="minorHAnsi" w:cstheme="minorBidi"/>
          <w:smallCaps w:val="0"/>
          <w:noProof/>
        </w:rPr>
      </w:pPr>
      <w:hyperlink w:anchor="_Toc4588846" w:history="1">
        <w:r w:rsidR="001B0B0C" w:rsidRPr="00CD618B">
          <w:rPr>
            <w:rStyle w:val="Hyperlink"/>
            <w:noProof/>
          </w:rPr>
          <w:t>Order History Report</w:t>
        </w:r>
        <w:r w:rsidR="001B0B0C">
          <w:rPr>
            <w:noProof/>
            <w:webHidden/>
          </w:rPr>
          <w:tab/>
        </w:r>
        <w:r w:rsidR="001B0B0C">
          <w:rPr>
            <w:noProof/>
            <w:webHidden/>
          </w:rPr>
          <w:fldChar w:fldCharType="begin"/>
        </w:r>
        <w:r w:rsidR="001B0B0C">
          <w:rPr>
            <w:noProof/>
            <w:webHidden/>
          </w:rPr>
          <w:instrText xml:space="preserve"> PAGEREF _Toc4588846 \h </w:instrText>
        </w:r>
        <w:r w:rsidR="001B0B0C">
          <w:rPr>
            <w:noProof/>
            <w:webHidden/>
          </w:rPr>
        </w:r>
        <w:r w:rsidR="001B0B0C">
          <w:rPr>
            <w:noProof/>
            <w:webHidden/>
          </w:rPr>
          <w:fldChar w:fldCharType="separate"/>
        </w:r>
        <w:r>
          <w:rPr>
            <w:noProof/>
            <w:webHidden/>
          </w:rPr>
          <w:t>392</w:t>
        </w:r>
        <w:r w:rsidR="001B0B0C">
          <w:rPr>
            <w:noProof/>
            <w:webHidden/>
          </w:rPr>
          <w:fldChar w:fldCharType="end"/>
        </w:r>
      </w:hyperlink>
    </w:p>
    <w:p w14:paraId="67691B09" w14:textId="0EBC6CEF" w:rsidR="001B0B0C" w:rsidRDefault="00647F4E">
      <w:pPr>
        <w:pStyle w:val="TOC2"/>
        <w:tabs>
          <w:tab w:val="right" w:leader="dot" w:pos="9350"/>
        </w:tabs>
        <w:rPr>
          <w:rFonts w:asciiTheme="minorHAnsi" w:eastAsiaTheme="minorEastAsia" w:hAnsiTheme="minorHAnsi" w:cstheme="minorBidi"/>
          <w:smallCaps w:val="0"/>
          <w:noProof/>
        </w:rPr>
      </w:pPr>
      <w:hyperlink w:anchor="_Toc4588847" w:history="1">
        <w:r w:rsidR="001B0B0C" w:rsidRPr="00CD618B">
          <w:rPr>
            <w:rStyle w:val="Hyperlink"/>
            <w:noProof/>
          </w:rPr>
          <w:t>Patient History Report</w:t>
        </w:r>
        <w:r w:rsidR="001B0B0C">
          <w:rPr>
            <w:noProof/>
            <w:webHidden/>
          </w:rPr>
          <w:tab/>
        </w:r>
        <w:r w:rsidR="001B0B0C">
          <w:rPr>
            <w:noProof/>
            <w:webHidden/>
          </w:rPr>
          <w:fldChar w:fldCharType="begin"/>
        </w:r>
        <w:r w:rsidR="001B0B0C">
          <w:rPr>
            <w:noProof/>
            <w:webHidden/>
          </w:rPr>
          <w:instrText xml:space="preserve"> PAGEREF _Toc4588847 \h </w:instrText>
        </w:r>
        <w:r w:rsidR="001B0B0C">
          <w:rPr>
            <w:noProof/>
            <w:webHidden/>
          </w:rPr>
        </w:r>
        <w:r w:rsidR="001B0B0C">
          <w:rPr>
            <w:noProof/>
            <w:webHidden/>
          </w:rPr>
          <w:fldChar w:fldCharType="separate"/>
        </w:r>
        <w:r>
          <w:rPr>
            <w:noProof/>
            <w:webHidden/>
          </w:rPr>
          <w:t>395</w:t>
        </w:r>
        <w:r w:rsidR="001B0B0C">
          <w:rPr>
            <w:noProof/>
            <w:webHidden/>
          </w:rPr>
          <w:fldChar w:fldCharType="end"/>
        </w:r>
      </w:hyperlink>
    </w:p>
    <w:p w14:paraId="463F0B8D" w14:textId="741C37B0" w:rsidR="001B0B0C" w:rsidRDefault="00647F4E">
      <w:pPr>
        <w:pStyle w:val="TOC2"/>
        <w:tabs>
          <w:tab w:val="right" w:leader="dot" w:pos="9350"/>
        </w:tabs>
        <w:rPr>
          <w:rFonts w:asciiTheme="minorHAnsi" w:eastAsiaTheme="minorEastAsia" w:hAnsiTheme="minorHAnsi" w:cstheme="minorBidi"/>
          <w:smallCaps w:val="0"/>
          <w:noProof/>
        </w:rPr>
      </w:pPr>
      <w:hyperlink w:anchor="_Toc4588848" w:history="1">
        <w:r w:rsidR="001B0B0C" w:rsidRPr="00CD618B">
          <w:rPr>
            <w:rStyle w:val="Hyperlink"/>
            <w:noProof/>
          </w:rPr>
          <w:t>Prolonged Transfusion Time Report</w:t>
        </w:r>
        <w:r w:rsidR="001B0B0C">
          <w:rPr>
            <w:noProof/>
            <w:webHidden/>
          </w:rPr>
          <w:tab/>
        </w:r>
        <w:r w:rsidR="001B0B0C">
          <w:rPr>
            <w:noProof/>
            <w:webHidden/>
          </w:rPr>
          <w:fldChar w:fldCharType="begin"/>
        </w:r>
        <w:r w:rsidR="001B0B0C">
          <w:rPr>
            <w:noProof/>
            <w:webHidden/>
          </w:rPr>
          <w:instrText xml:space="preserve"> PAGEREF _Toc4588848 \h </w:instrText>
        </w:r>
        <w:r w:rsidR="001B0B0C">
          <w:rPr>
            <w:noProof/>
            <w:webHidden/>
          </w:rPr>
        </w:r>
        <w:r w:rsidR="001B0B0C">
          <w:rPr>
            <w:noProof/>
            <w:webHidden/>
          </w:rPr>
          <w:fldChar w:fldCharType="separate"/>
        </w:r>
        <w:r>
          <w:rPr>
            <w:noProof/>
            <w:webHidden/>
          </w:rPr>
          <w:t>397</w:t>
        </w:r>
        <w:r w:rsidR="001B0B0C">
          <w:rPr>
            <w:noProof/>
            <w:webHidden/>
          </w:rPr>
          <w:fldChar w:fldCharType="end"/>
        </w:r>
      </w:hyperlink>
    </w:p>
    <w:p w14:paraId="7BAB048C" w14:textId="591A3D8C" w:rsidR="001B0B0C" w:rsidRDefault="00647F4E">
      <w:pPr>
        <w:pStyle w:val="TOC2"/>
        <w:tabs>
          <w:tab w:val="right" w:leader="dot" w:pos="9350"/>
        </w:tabs>
        <w:rPr>
          <w:rFonts w:asciiTheme="minorHAnsi" w:eastAsiaTheme="minorEastAsia" w:hAnsiTheme="minorHAnsi" w:cstheme="minorBidi"/>
          <w:smallCaps w:val="0"/>
          <w:noProof/>
        </w:rPr>
      </w:pPr>
      <w:hyperlink w:anchor="_Toc4588849" w:history="1">
        <w:r w:rsidR="001B0B0C" w:rsidRPr="00CD618B">
          <w:rPr>
            <w:rStyle w:val="Hyperlink"/>
            <w:noProof/>
          </w:rPr>
          <w:t>Patient Testing Worklist and Testing Worklist Reports</w:t>
        </w:r>
        <w:r w:rsidR="001B0B0C">
          <w:rPr>
            <w:noProof/>
            <w:webHidden/>
          </w:rPr>
          <w:tab/>
        </w:r>
        <w:r w:rsidR="001B0B0C">
          <w:rPr>
            <w:noProof/>
            <w:webHidden/>
          </w:rPr>
          <w:fldChar w:fldCharType="begin"/>
        </w:r>
        <w:r w:rsidR="001B0B0C">
          <w:rPr>
            <w:noProof/>
            <w:webHidden/>
          </w:rPr>
          <w:instrText xml:space="preserve"> PAGEREF _Toc4588849 \h </w:instrText>
        </w:r>
        <w:r w:rsidR="001B0B0C">
          <w:rPr>
            <w:noProof/>
            <w:webHidden/>
          </w:rPr>
        </w:r>
        <w:r w:rsidR="001B0B0C">
          <w:rPr>
            <w:noProof/>
            <w:webHidden/>
          </w:rPr>
          <w:fldChar w:fldCharType="separate"/>
        </w:r>
        <w:r>
          <w:rPr>
            <w:noProof/>
            <w:webHidden/>
          </w:rPr>
          <w:t>400</w:t>
        </w:r>
        <w:r w:rsidR="001B0B0C">
          <w:rPr>
            <w:noProof/>
            <w:webHidden/>
          </w:rPr>
          <w:fldChar w:fldCharType="end"/>
        </w:r>
      </w:hyperlink>
    </w:p>
    <w:p w14:paraId="6ADA7760" w14:textId="55417A0A" w:rsidR="001B0B0C" w:rsidRDefault="00647F4E">
      <w:pPr>
        <w:pStyle w:val="TOC2"/>
        <w:tabs>
          <w:tab w:val="right" w:leader="dot" w:pos="9350"/>
        </w:tabs>
        <w:rPr>
          <w:rFonts w:asciiTheme="minorHAnsi" w:eastAsiaTheme="minorEastAsia" w:hAnsiTheme="minorHAnsi" w:cstheme="minorBidi"/>
          <w:smallCaps w:val="0"/>
          <w:noProof/>
        </w:rPr>
      </w:pPr>
      <w:hyperlink w:anchor="_Toc4588850" w:history="1">
        <w:r w:rsidR="001B0B0C" w:rsidRPr="00CD618B">
          <w:rPr>
            <w:rStyle w:val="Hyperlink"/>
            <w:noProof/>
          </w:rPr>
          <w:t>Transfusion Complications Report</w:t>
        </w:r>
        <w:r w:rsidR="001B0B0C">
          <w:rPr>
            <w:noProof/>
            <w:webHidden/>
          </w:rPr>
          <w:tab/>
        </w:r>
        <w:r w:rsidR="001B0B0C">
          <w:rPr>
            <w:noProof/>
            <w:webHidden/>
          </w:rPr>
          <w:fldChar w:fldCharType="begin"/>
        </w:r>
        <w:r w:rsidR="001B0B0C">
          <w:rPr>
            <w:noProof/>
            <w:webHidden/>
          </w:rPr>
          <w:instrText xml:space="preserve"> PAGEREF _Toc4588850 \h </w:instrText>
        </w:r>
        <w:r w:rsidR="001B0B0C">
          <w:rPr>
            <w:noProof/>
            <w:webHidden/>
          </w:rPr>
        </w:r>
        <w:r w:rsidR="001B0B0C">
          <w:rPr>
            <w:noProof/>
            <w:webHidden/>
          </w:rPr>
          <w:fldChar w:fldCharType="separate"/>
        </w:r>
        <w:r>
          <w:rPr>
            <w:noProof/>
            <w:webHidden/>
          </w:rPr>
          <w:t>403</w:t>
        </w:r>
        <w:r w:rsidR="001B0B0C">
          <w:rPr>
            <w:noProof/>
            <w:webHidden/>
          </w:rPr>
          <w:fldChar w:fldCharType="end"/>
        </w:r>
      </w:hyperlink>
    </w:p>
    <w:p w14:paraId="5A229C47" w14:textId="61D1A6EA" w:rsidR="001B0B0C" w:rsidRDefault="00647F4E">
      <w:pPr>
        <w:pStyle w:val="TOC2"/>
        <w:tabs>
          <w:tab w:val="right" w:leader="dot" w:pos="9350"/>
        </w:tabs>
        <w:rPr>
          <w:rFonts w:asciiTheme="minorHAnsi" w:eastAsiaTheme="minorEastAsia" w:hAnsiTheme="minorHAnsi" w:cstheme="minorBidi"/>
          <w:smallCaps w:val="0"/>
          <w:noProof/>
        </w:rPr>
      </w:pPr>
      <w:hyperlink w:anchor="_Toc4588851" w:history="1">
        <w:r w:rsidR="001B0B0C" w:rsidRPr="00CD618B">
          <w:rPr>
            <w:rStyle w:val="Hyperlink"/>
            <w:noProof/>
          </w:rPr>
          <w:t>Transfusion Effectiveness Report</w:t>
        </w:r>
        <w:r w:rsidR="001B0B0C">
          <w:rPr>
            <w:noProof/>
            <w:webHidden/>
          </w:rPr>
          <w:tab/>
        </w:r>
        <w:r w:rsidR="001B0B0C">
          <w:rPr>
            <w:noProof/>
            <w:webHidden/>
          </w:rPr>
          <w:fldChar w:fldCharType="begin"/>
        </w:r>
        <w:r w:rsidR="001B0B0C">
          <w:rPr>
            <w:noProof/>
            <w:webHidden/>
          </w:rPr>
          <w:instrText xml:space="preserve"> PAGEREF _Toc4588851 \h </w:instrText>
        </w:r>
        <w:r w:rsidR="001B0B0C">
          <w:rPr>
            <w:noProof/>
            <w:webHidden/>
          </w:rPr>
        </w:r>
        <w:r w:rsidR="001B0B0C">
          <w:rPr>
            <w:noProof/>
            <w:webHidden/>
          </w:rPr>
          <w:fldChar w:fldCharType="separate"/>
        </w:r>
        <w:r>
          <w:rPr>
            <w:noProof/>
            <w:webHidden/>
          </w:rPr>
          <w:t>405</w:t>
        </w:r>
        <w:r w:rsidR="001B0B0C">
          <w:rPr>
            <w:noProof/>
            <w:webHidden/>
          </w:rPr>
          <w:fldChar w:fldCharType="end"/>
        </w:r>
      </w:hyperlink>
    </w:p>
    <w:p w14:paraId="7CD23A1D" w14:textId="0B630181" w:rsidR="001B0B0C" w:rsidRDefault="00647F4E">
      <w:pPr>
        <w:pStyle w:val="TOC2"/>
        <w:tabs>
          <w:tab w:val="right" w:leader="dot" w:pos="9350"/>
        </w:tabs>
        <w:rPr>
          <w:rFonts w:asciiTheme="minorHAnsi" w:eastAsiaTheme="minorEastAsia" w:hAnsiTheme="minorHAnsi" w:cstheme="minorBidi"/>
          <w:smallCaps w:val="0"/>
          <w:noProof/>
        </w:rPr>
      </w:pPr>
      <w:hyperlink w:anchor="_Toc4588852" w:history="1">
        <w:r w:rsidR="001B0B0C" w:rsidRPr="00CD618B">
          <w:rPr>
            <w:rStyle w:val="Hyperlink"/>
            <w:noProof/>
          </w:rPr>
          <w:t>Transfusion Reaction Count Report</w:t>
        </w:r>
        <w:r w:rsidR="001B0B0C">
          <w:rPr>
            <w:noProof/>
            <w:webHidden/>
          </w:rPr>
          <w:tab/>
        </w:r>
        <w:r w:rsidR="001B0B0C">
          <w:rPr>
            <w:noProof/>
            <w:webHidden/>
          </w:rPr>
          <w:fldChar w:fldCharType="begin"/>
        </w:r>
        <w:r w:rsidR="001B0B0C">
          <w:rPr>
            <w:noProof/>
            <w:webHidden/>
          </w:rPr>
          <w:instrText xml:space="preserve"> PAGEREF _Toc4588852 \h </w:instrText>
        </w:r>
        <w:r w:rsidR="001B0B0C">
          <w:rPr>
            <w:noProof/>
            <w:webHidden/>
          </w:rPr>
        </w:r>
        <w:r w:rsidR="001B0B0C">
          <w:rPr>
            <w:noProof/>
            <w:webHidden/>
          </w:rPr>
          <w:fldChar w:fldCharType="separate"/>
        </w:r>
        <w:r>
          <w:rPr>
            <w:noProof/>
            <w:webHidden/>
          </w:rPr>
          <w:t>407</w:t>
        </w:r>
        <w:r w:rsidR="001B0B0C">
          <w:rPr>
            <w:noProof/>
            <w:webHidden/>
          </w:rPr>
          <w:fldChar w:fldCharType="end"/>
        </w:r>
      </w:hyperlink>
    </w:p>
    <w:p w14:paraId="280C6113" w14:textId="7C20E666" w:rsidR="001B0B0C" w:rsidRDefault="00647F4E">
      <w:pPr>
        <w:pStyle w:val="TOC2"/>
        <w:tabs>
          <w:tab w:val="right" w:leader="dot" w:pos="9350"/>
        </w:tabs>
        <w:rPr>
          <w:rFonts w:asciiTheme="minorHAnsi" w:eastAsiaTheme="minorEastAsia" w:hAnsiTheme="minorHAnsi" w:cstheme="minorBidi"/>
          <w:smallCaps w:val="0"/>
          <w:noProof/>
        </w:rPr>
      </w:pPr>
      <w:hyperlink w:anchor="_Toc4588853" w:history="1">
        <w:r w:rsidR="001B0B0C" w:rsidRPr="00CD618B">
          <w:rPr>
            <w:rStyle w:val="Hyperlink"/>
            <w:noProof/>
          </w:rPr>
          <w:t>Transfusion Requirements Report</w:t>
        </w:r>
        <w:r w:rsidR="001B0B0C">
          <w:rPr>
            <w:noProof/>
            <w:webHidden/>
          </w:rPr>
          <w:tab/>
        </w:r>
        <w:r w:rsidR="001B0B0C">
          <w:rPr>
            <w:noProof/>
            <w:webHidden/>
          </w:rPr>
          <w:fldChar w:fldCharType="begin"/>
        </w:r>
        <w:r w:rsidR="001B0B0C">
          <w:rPr>
            <w:noProof/>
            <w:webHidden/>
          </w:rPr>
          <w:instrText xml:space="preserve"> PAGEREF _Toc4588853 \h </w:instrText>
        </w:r>
        <w:r w:rsidR="001B0B0C">
          <w:rPr>
            <w:noProof/>
            <w:webHidden/>
          </w:rPr>
        </w:r>
        <w:r w:rsidR="001B0B0C">
          <w:rPr>
            <w:noProof/>
            <w:webHidden/>
          </w:rPr>
          <w:fldChar w:fldCharType="separate"/>
        </w:r>
        <w:r>
          <w:rPr>
            <w:noProof/>
            <w:webHidden/>
          </w:rPr>
          <w:t>409</w:t>
        </w:r>
        <w:r w:rsidR="001B0B0C">
          <w:rPr>
            <w:noProof/>
            <w:webHidden/>
          </w:rPr>
          <w:fldChar w:fldCharType="end"/>
        </w:r>
      </w:hyperlink>
    </w:p>
    <w:p w14:paraId="7DF4D729" w14:textId="7F09E569" w:rsidR="001B0B0C" w:rsidRDefault="00647F4E">
      <w:pPr>
        <w:pStyle w:val="TOC2"/>
        <w:tabs>
          <w:tab w:val="right" w:leader="dot" w:pos="9350"/>
        </w:tabs>
        <w:rPr>
          <w:rFonts w:asciiTheme="minorHAnsi" w:eastAsiaTheme="minorEastAsia" w:hAnsiTheme="minorHAnsi" w:cstheme="minorBidi"/>
          <w:smallCaps w:val="0"/>
          <w:noProof/>
        </w:rPr>
      </w:pPr>
      <w:hyperlink w:anchor="_Toc4588854" w:history="1">
        <w:r w:rsidR="001B0B0C" w:rsidRPr="00CD618B">
          <w:rPr>
            <w:rStyle w:val="Hyperlink"/>
            <w:noProof/>
          </w:rPr>
          <w:t>Unit History Report</w:t>
        </w:r>
        <w:r w:rsidR="001B0B0C">
          <w:rPr>
            <w:noProof/>
            <w:webHidden/>
          </w:rPr>
          <w:tab/>
        </w:r>
        <w:r w:rsidR="001B0B0C">
          <w:rPr>
            <w:noProof/>
            <w:webHidden/>
          </w:rPr>
          <w:fldChar w:fldCharType="begin"/>
        </w:r>
        <w:r w:rsidR="001B0B0C">
          <w:rPr>
            <w:noProof/>
            <w:webHidden/>
          </w:rPr>
          <w:instrText xml:space="preserve"> PAGEREF _Toc4588854 \h </w:instrText>
        </w:r>
        <w:r w:rsidR="001B0B0C">
          <w:rPr>
            <w:noProof/>
            <w:webHidden/>
          </w:rPr>
        </w:r>
        <w:r w:rsidR="001B0B0C">
          <w:rPr>
            <w:noProof/>
            <w:webHidden/>
          </w:rPr>
          <w:fldChar w:fldCharType="separate"/>
        </w:r>
        <w:r>
          <w:rPr>
            <w:noProof/>
            <w:webHidden/>
          </w:rPr>
          <w:t>411</w:t>
        </w:r>
        <w:r w:rsidR="001B0B0C">
          <w:rPr>
            <w:noProof/>
            <w:webHidden/>
          </w:rPr>
          <w:fldChar w:fldCharType="end"/>
        </w:r>
      </w:hyperlink>
    </w:p>
    <w:p w14:paraId="34EF481D" w14:textId="2256497D" w:rsidR="001B0B0C" w:rsidRDefault="00647F4E">
      <w:pPr>
        <w:pStyle w:val="TOC1"/>
        <w:tabs>
          <w:tab w:val="right" w:leader="dot" w:pos="9350"/>
        </w:tabs>
        <w:rPr>
          <w:rFonts w:asciiTheme="minorHAnsi" w:eastAsiaTheme="minorEastAsia" w:hAnsiTheme="minorHAnsi" w:cstheme="minorBidi"/>
          <w:b w:val="0"/>
          <w:caps w:val="0"/>
          <w:noProof/>
        </w:rPr>
      </w:pPr>
      <w:hyperlink w:anchor="_Toc4588855" w:history="1">
        <w:r w:rsidR="001B0B0C" w:rsidRPr="00CD618B">
          <w:rPr>
            <w:rStyle w:val="Hyperlink"/>
            <w:noProof/>
          </w:rPr>
          <w:t>References</w:t>
        </w:r>
        <w:r w:rsidR="001B0B0C">
          <w:rPr>
            <w:noProof/>
            <w:webHidden/>
          </w:rPr>
          <w:tab/>
        </w:r>
        <w:r w:rsidR="001B0B0C">
          <w:rPr>
            <w:noProof/>
            <w:webHidden/>
          </w:rPr>
          <w:fldChar w:fldCharType="begin"/>
        </w:r>
        <w:r w:rsidR="001B0B0C">
          <w:rPr>
            <w:noProof/>
            <w:webHidden/>
          </w:rPr>
          <w:instrText xml:space="preserve"> PAGEREF _Toc4588855 \h </w:instrText>
        </w:r>
        <w:r w:rsidR="001B0B0C">
          <w:rPr>
            <w:noProof/>
            <w:webHidden/>
          </w:rPr>
        </w:r>
        <w:r w:rsidR="001B0B0C">
          <w:rPr>
            <w:noProof/>
            <w:webHidden/>
          </w:rPr>
          <w:fldChar w:fldCharType="separate"/>
        </w:r>
        <w:r>
          <w:rPr>
            <w:noProof/>
            <w:webHidden/>
          </w:rPr>
          <w:t>414</w:t>
        </w:r>
        <w:r w:rsidR="001B0B0C">
          <w:rPr>
            <w:noProof/>
            <w:webHidden/>
          </w:rPr>
          <w:fldChar w:fldCharType="end"/>
        </w:r>
      </w:hyperlink>
    </w:p>
    <w:p w14:paraId="5AAE6311" w14:textId="448E8F3A" w:rsidR="001B0B0C" w:rsidRDefault="00647F4E">
      <w:pPr>
        <w:pStyle w:val="TOC1"/>
        <w:tabs>
          <w:tab w:val="right" w:leader="dot" w:pos="9350"/>
        </w:tabs>
        <w:rPr>
          <w:rFonts w:asciiTheme="minorHAnsi" w:eastAsiaTheme="minorEastAsia" w:hAnsiTheme="minorHAnsi" w:cstheme="minorBidi"/>
          <w:b w:val="0"/>
          <w:caps w:val="0"/>
          <w:noProof/>
        </w:rPr>
      </w:pPr>
      <w:hyperlink w:anchor="_Toc4588856" w:history="1">
        <w:r w:rsidR="001B0B0C" w:rsidRPr="00CD618B">
          <w:rPr>
            <w:rStyle w:val="Hyperlink"/>
            <w:noProof/>
          </w:rPr>
          <w:t>Glossary</w:t>
        </w:r>
        <w:r w:rsidR="001B0B0C">
          <w:rPr>
            <w:noProof/>
            <w:webHidden/>
          </w:rPr>
          <w:tab/>
        </w:r>
        <w:r w:rsidR="001B0B0C">
          <w:rPr>
            <w:noProof/>
            <w:webHidden/>
          </w:rPr>
          <w:fldChar w:fldCharType="begin"/>
        </w:r>
        <w:r w:rsidR="001B0B0C">
          <w:rPr>
            <w:noProof/>
            <w:webHidden/>
          </w:rPr>
          <w:instrText xml:space="preserve"> PAGEREF _Toc4588856 \h </w:instrText>
        </w:r>
        <w:r w:rsidR="001B0B0C">
          <w:rPr>
            <w:noProof/>
            <w:webHidden/>
          </w:rPr>
        </w:r>
        <w:r w:rsidR="001B0B0C">
          <w:rPr>
            <w:noProof/>
            <w:webHidden/>
          </w:rPr>
          <w:fldChar w:fldCharType="separate"/>
        </w:r>
        <w:r>
          <w:rPr>
            <w:noProof/>
            <w:webHidden/>
          </w:rPr>
          <w:t>418</w:t>
        </w:r>
        <w:r w:rsidR="001B0B0C">
          <w:rPr>
            <w:noProof/>
            <w:webHidden/>
          </w:rPr>
          <w:fldChar w:fldCharType="end"/>
        </w:r>
      </w:hyperlink>
    </w:p>
    <w:p w14:paraId="6F1B578B" w14:textId="68288F04" w:rsidR="001B0B0C" w:rsidRDefault="00647F4E">
      <w:pPr>
        <w:pStyle w:val="TOC1"/>
        <w:tabs>
          <w:tab w:val="right" w:leader="dot" w:pos="9350"/>
        </w:tabs>
        <w:rPr>
          <w:rFonts w:asciiTheme="minorHAnsi" w:eastAsiaTheme="minorEastAsia" w:hAnsiTheme="minorHAnsi" w:cstheme="minorBidi"/>
          <w:b w:val="0"/>
          <w:caps w:val="0"/>
          <w:noProof/>
        </w:rPr>
      </w:pPr>
      <w:hyperlink w:anchor="_Toc4588857" w:history="1">
        <w:r w:rsidR="001B0B0C" w:rsidRPr="00CD618B">
          <w:rPr>
            <w:rStyle w:val="Hyperlink"/>
            <w:noProof/>
          </w:rPr>
          <w:t>Appendices</w:t>
        </w:r>
        <w:r w:rsidR="001B0B0C">
          <w:rPr>
            <w:noProof/>
            <w:webHidden/>
          </w:rPr>
          <w:tab/>
        </w:r>
        <w:r w:rsidR="001B0B0C">
          <w:rPr>
            <w:noProof/>
            <w:webHidden/>
          </w:rPr>
          <w:fldChar w:fldCharType="begin"/>
        </w:r>
        <w:r w:rsidR="001B0B0C">
          <w:rPr>
            <w:noProof/>
            <w:webHidden/>
          </w:rPr>
          <w:instrText xml:space="preserve"> PAGEREF _Toc4588857 \h </w:instrText>
        </w:r>
        <w:r w:rsidR="001B0B0C">
          <w:rPr>
            <w:noProof/>
            <w:webHidden/>
          </w:rPr>
        </w:r>
        <w:r w:rsidR="001B0B0C">
          <w:rPr>
            <w:noProof/>
            <w:webHidden/>
          </w:rPr>
          <w:fldChar w:fldCharType="separate"/>
        </w:r>
        <w:r>
          <w:rPr>
            <w:noProof/>
            <w:webHidden/>
          </w:rPr>
          <w:t>428</w:t>
        </w:r>
        <w:r w:rsidR="001B0B0C">
          <w:rPr>
            <w:noProof/>
            <w:webHidden/>
          </w:rPr>
          <w:fldChar w:fldCharType="end"/>
        </w:r>
      </w:hyperlink>
    </w:p>
    <w:p w14:paraId="06FA5D92" w14:textId="58BA39F1" w:rsidR="001B0B0C" w:rsidRDefault="00647F4E">
      <w:pPr>
        <w:pStyle w:val="TOC2"/>
        <w:tabs>
          <w:tab w:val="right" w:leader="dot" w:pos="9350"/>
        </w:tabs>
        <w:rPr>
          <w:rFonts w:asciiTheme="minorHAnsi" w:eastAsiaTheme="minorEastAsia" w:hAnsiTheme="minorHAnsi" w:cstheme="minorBidi"/>
          <w:smallCaps w:val="0"/>
          <w:noProof/>
        </w:rPr>
      </w:pPr>
      <w:hyperlink w:anchor="_Toc4588858" w:history="1">
        <w:r w:rsidR="001B0B0C" w:rsidRPr="00CD618B">
          <w:rPr>
            <w:rStyle w:val="Hyperlink"/>
            <w:noProof/>
          </w:rPr>
          <w:t>Appendix A: Downtime Forms and Instructions</w:t>
        </w:r>
        <w:r w:rsidR="001B0B0C">
          <w:rPr>
            <w:noProof/>
            <w:webHidden/>
          </w:rPr>
          <w:tab/>
        </w:r>
        <w:r w:rsidR="001B0B0C">
          <w:rPr>
            <w:noProof/>
            <w:webHidden/>
          </w:rPr>
          <w:fldChar w:fldCharType="begin"/>
        </w:r>
        <w:r w:rsidR="001B0B0C">
          <w:rPr>
            <w:noProof/>
            <w:webHidden/>
          </w:rPr>
          <w:instrText xml:space="preserve"> PAGEREF _Toc4588858 \h </w:instrText>
        </w:r>
        <w:r w:rsidR="001B0B0C">
          <w:rPr>
            <w:noProof/>
            <w:webHidden/>
          </w:rPr>
        </w:r>
        <w:r w:rsidR="001B0B0C">
          <w:rPr>
            <w:noProof/>
            <w:webHidden/>
          </w:rPr>
          <w:fldChar w:fldCharType="separate"/>
        </w:r>
        <w:r>
          <w:rPr>
            <w:noProof/>
            <w:webHidden/>
          </w:rPr>
          <w:t>428</w:t>
        </w:r>
        <w:r w:rsidR="001B0B0C">
          <w:rPr>
            <w:noProof/>
            <w:webHidden/>
          </w:rPr>
          <w:fldChar w:fldCharType="end"/>
        </w:r>
      </w:hyperlink>
    </w:p>
    <w:p w14:paraId="4DE45712" w14:textId="70D7E799" w:rsidR="001B0B0C" w:rsidRDefault="00647F4E">
      <w:pPr>
        <w:pStyle w:val="TOC3"/>
        <w:tabs>
          <w:tab w:val="right" w:leader="dot" w:pos="9350"/>
        </w:tabs>
        <w:rPr>
          <w:rFonts w:asciiTheme="minorHAnsi" w:eastAsiaTheme="minorEastAsia" w:hAnsiTheme="minorHAnsi" w:cstheme="minorBidi"/>
          <w:noProof/>
        </w:rPr>
      </w:pPr>
      <w:hyperlink w:anchor="_Toc4588859" w:history="1">
        <w:r w:rsidR="001B0B0C" w:rsidRPr="00CD618B">
          <w:rPr>
            <w:rStyle w:val="Hyperlink"/>
            <w:noProof/>
          </w:rPr>
          <w:t>Patient Testing Form</w:t>
        </w:r>
        <w:r w:rsidR="001B0B0C">
          <w:rPr>
            <w:noProof/>
            <w:webHidden/>
          </w:rPr>
          <w:tab/>
        </w:r>
        <w:r w:rsidR="001B0B0C">
          <w:rPr>
            <w:noProof/>
            <w:webHidden/>
          </w:rPr>
          <w:fldChar w:fldCharType="begin"/>
        </w:r>
        <w:r w:rsidR="001B0B0C">
          <w:rPr>
            <w:noProof/>
            <w:webHidden/>
          </w:rPr>
          <w:instrText xml:space="preserve"> PAGEREF _Toc4588859 \h </w:instrText>
        </w:r>
        <w:r w:rsidR="001B0B0C">
          <w:rPr>
            <w:noProof/>
            <w:webHidden/>
          </w:rPr>
        </w:r>
        <w:r w:rsidR="001B0B0C">
          <w:rPr>
            <w:noProof/>
            <w:webHidden/>
          </w:rPr>
          <w:fldChar w:fldCharType="separate"/>
        </w:r>
        <w:r>
          <w:rPr>
            <w:noProof/>
            <w:webHidden/>
          </w:rPr>
          <w:t>430</w:t>
        </w:r>
        <w:r w:rsidR="001B0B0C">
          <w:rPr>
            <w:noProof/>
            <w:webHidden/>
          </w:rPr>
          <w:fldChar w:fldCharType="end"/>
        </w:r>
      </w:hyperlink>
    </w:p>
    <w:p w14:paraId="4BED2DBF" w14:textId="21170F91" w:rsidR="001B0B0C" w:rsidRDefault="00647F4E">
      <w:pPr>
        <w:pStyle w:val="TOC3"/>
        <w:tabs>
          <w:tab w:val="right" w:leader="dot" w:pos="9350"/>
        </w:tabs>
        <w:rPr>
          <w:rFonts w:asciiTheme="minorHAnsi" w:eastAsiaTheme="minorEastAsia" w:hAnsiTheme="minorHAnsi" w:cstheme="minorBidi"/>
          <w:noProof/>
        </w:rPr>
      </w:pPr>
      <w:hyperlink w:anchor="_Toc4588860" w:history="1">
        <w:r w:rsidR="001B0B0C" w:rsidRPr="00CD618B">
          <w:rPr>
            <w:rStyle w:val="Hyperlink"/>
            <w:noProof/>
          </w:rPr>
          <w:t>Unit ABO/Rh Confirmation Form</w:t>
        </w:r>
        <w:r w:rsidR="001B0B0C">
          <w:rPr>
            <w:noProof/>
            <w:webHidden/>
          </w:rPr>
          <w:tab/>
        </w:r>
        <w:r w:rsidR="001B0B0C">
          <w:rPr>
            <w:noProof/>
            <w:webHidden/>
          </w:rPr>
          <w:fldChar w:fldCharType="begin"/>
        </w:r>
        <w:r w:rsidR="001B0B0C">
          <w:rPr>
            <w:noProof/>
            <w:webHidden/>
          </w:rPr>
          <w:instrText xml:space="preserve"> PAGEREF _Toc4588860 \h </w:instrText>
        </w:r>
        <w:r w:rsidR="001B0B0C">
          <w:rPr>
            <w:noProof/>
            <w:webHidden/>
          </w:rPr>
        </w:r>
        <w:r w:rsidR="001B0B0C">
          <w:rPr>
            <w:noProof/>
            <w:webHidden/>
          </w:rPr>
          <w:fldChar w:fldCharType="separate"/>
        </w:r>
        <w:r>
          <w:rPr>
            <w:noProof/>
            <w:webHidden/>
          </w:rPr>
          <w:t>433</w:t>
        </w:r>
        <w:r w:rsidR="001B0B0C">
          <w:rPr>
            <w:noProof/>
            <w:webHidden/>
          </w:rPr>
          <w:fldChar w:fldCharType="end"/>
        </w:r>
      </w:hyperlink>
    </w:p>
    <w:p w14:paraId="6500DAEA" w14:textId="475DEC96" w:rsidR="001B0B0C" w:rsidRDefault="00647F4E">
      <w:pPr>
        <w:pStyle w:val="TOC3"/>
        <w:tabs>
          <w:tab w:val="right" w:leader="dot" w:pos="9350"/>
        </w:tabs>
        <w:rPr>
          <w:rFonts w:asciiTheme="minorHAnsi" w:eastAsiaTheme="minorEastAsia" w:hAnsiTheme="minorHAnsi" w:cstheme="minorBidi"/>
          <w:noProof/>
        </w:rPr>
      </w:pPr>
      <w:hyperlink w:anchor="_Toc4588861" w:history="1">
        <w:r w:rsidR="001B0B0C" w:rsidRPr="00CD618B">
          <w:rPr>
            <w:rStyle w:val="Hyperlink"/>
            <w:noProof/>
          </w:rPr>
          <w:t>Unit Issue and Inspection Log</w:t>
        </w:r>
        <w:r w:rsidR="001B0B0C">
          <w:rPr>
            <w:noProof/>
            <w:webHidden/>
          </w:rPr>
          <w:tab/>
        </w:r>
        <w:r w:rsidR="001B0B0C">
          <w:rPr>
            <w:noProof/>
            <w:webHidden/>
          </w:rPr>
          <w:fldChar w:fldCharType="begin"/>
        </w:r>
        <w:r w:rsidR="001B0B0C">
          <w:rPr>
            <w:noProof/>
            <w:webHidden/>
          </w:rPr>
          <w:instrText xml:space="preserve"> PAGEREF _Toc4588861 \h </w:instrText>
        </w:r>
        <w:r w:rsidR="001B0B0C">
          <w:rPr>
            <w:noProof/>
            <w:webHidden/>
          </w:rPr>
        </w:r>
        <w:r w:rsidR="001B0B0C">
          <w:rPr>
            <w:noProof/>
            <w:webHidden/>
          </w:rPr>
          <w:fldChar w:fldCharType="separate"/>
        </w:r>
        <w:r>
          <w:rPr>
            <w:noProof/>
            <w:webHidden/>
          </w:rPr>
          <w:t>434</w:t>
        </w:r>
        <w:r w:rsidR="001B0B0C">
          <w:rPr>
            <w:noProof/>
            <w:webHidden/>
          </w:rPr>
          <w:fldChar w:fldCharType="end"/>
        </w:r>
      </w:hyperlink>
    </w:p>
    <w:p w14:paraId="6CDB3DBD" w14:textId="2A6CB286" w:rsidR="001B0B0C" w:rsidRDefault="00647F4E">
      <w:pPr>
        <w:pStyle w:val="TOC3"/>
        <w:tabs>
          <w:tab w:val="right" w:leader="dot" w:pos="9350"/>
        </w:tabs>
        <w:rPr>
          <w:rFonts w:asciiTheme="minorHAnsi" w:eastAsiaTheme="minorEastAsia" w:hAnsiTheme="minorHAnsi" w:cstheme="minorBidi"/>
          <w:noProof/>
        </w:rPr>
      </w:pPr>
      <w:hyperlink w:anchor="_Toc4588862" w:history="1">
        <w:r w:rsidR="001B0B0C" w:rsidRPr="00CD618B">
          <w:rPr>
            <w:rStyle w:val="Hyperlink"/>
            <w:noProof/>
          </w:rPr>
          <w:t>Unit Modification Form</w:t>
        </w:r>
        <w:r w:rsidR="001B0B0C">
          <w:rPr>
            <w:noProof/>
            <w:webHidden/>
          </w:rPr>
          <w:tab/>
        </w:r>
        <w:r w:rsidR="001B0B0C">
          <w:rPr>
            <w:noProof/>
            <w:webHidden/>
          </w:rPr>
          <w:fldChar w:fldCharType="begin"/>
        </w:r>
        <w:r w:rsidR="001B0B0C">
          <w:rPr>
            <w:noProof/>
            <w:webHidden/>
          </w:rPr>
          <w:instrText xml:space="preserve"> PAGEREF _Toc4588862 \h </w:instrText>
        </w:r>
        <w:r w:rsidR="001B0B0C">
          <w:rPr>
            <w:noProof/>
            <w:webHidden/>
          </w:rPr>
        </w:r>
        <w:r w:rsidR="001B0B0C">
          <w:rPr>
            <w:noProof/>
            <w:webHidden/>
          </w:rPr>
          <w:fldChar w:fldCharType="separate"/>
        </w:r>
        <w:r>
          <w:rPr>
            <w:noProof/>
            <w:webHidden/>
          </w:rPr>
          <w:t>435</w:t>
        </w:r>
        <w:r w:rsidR="001B0B0C">
          <w:rPr>
            <w:noProof/>
            <w:webHidden/>
          </w:rPr>
          <w:fldChar w:fldCharType="end"/>
        </w:r>
      </w:hyperlink>
    </w:p>
    <w:p w14:paraId="31DC69BB" w14:textId="362CF7FD" w:rsidR="001B0B0C" w:rsidRDefault="00647F4E">
      <w:pPr>
        <w:pStyle w:val="TOC2"/>
        <w:tabs>
          <w:tab w:val="right" w:leader="dot" w:pos="9350"/>
        </w:tabs>
        <w:rPr>
          <w:rFonts w:asciiTheme="minorHAnsi" w:eastAsiaTheme="minorEastAsia" w:hAnsiTheme="minorHAnsi" w:cstheme="minorBidi"/>
          <w:smallCaps w:val="0"/>
          <w:noProof/>
        </w:rPr>
      </w:pPr>
      <w:hyperlink w:anchor="_Toc4588863" w:history="1">
        <w:r w:rsidR="001B0B0C" w:rsidRPr="00CD618B">
          <w:rPr>
            <w:rStyle w:val="Hyperlink"/>
            <w:noProof/>
          </w:rPr>
          <w:t>Appendix B: Database Table Information</w:t>
        </w:r>
        <w:r w:rsidR="001B0B0C">
          <w:rPr>
            <w:noProof/>
            <w:webHidden/>
          </w:rPr>
          <w:tab/>
        </w:r>
        <w:r w:rsidR="001B0B0C">
          <w:rPr>
            <w:noProof/>
            <w:webHidden/>
          </w:rPr>
          <w:fldChar w:fldCharType="begin"/>
        </w:r>
        <w:r w:rsidR="001B0B0C">
          <w:rPr>
            <w:noProof/>
            <w:webHidden/>
          </w:rPr>
          <w:instrText xml:space="preserve"> PAGEREF _Toc4588863 \h </w:instrText>
        </w:r>
        <w:r w:rsidR="001B0B0C">
          <w:rPr>
            <w:noProof/>
            <w:webHidden/>
          </w:rPr>
        </w:r>
        <w:r w:rsidR="001B0B0C">
          <w:rPr>
            <w:noProof/>
            <w:webHidden/>
          </w:rPr>
          <w:fldChar w:fldCharType="separate"/>
        </w:r>
        <w:r>
          <w:rPr>
            <w:noProof/>
            <w:webHidden/>
          </w:rPr>
          <w:t>438</w:t>
        </w:r>
        <w:r w:rsidR="001B0B0C">
          <w:rPr>
            <w:noProof/>
            <w:webHidden/>
          </w:rPr>
          <w:fldChar w:fldCharType="end"/>
        </w:r>
      </w:hyperlink>
    </w:p>
    <w:p w14:paraId="6FD0FE54" w14:textId="0A241E34" w:rsidR="001B0B0C" w:rsidRDefault="00647F4E">
      <w:pPr>
        <w:pStyle w:val="TOC3"/>
        <w:tabs>
          <w:tab w:val="right" w:leader="dot" w:pos="9350"/>
        </w:tabs>
        <w:rPr>
          <w:rFonts w:asciiTheme="minorHAnsi" w:eastAsiaTheme="minorEastAsia" w:hAnsiTheme="minorHAnsi" w:cstheme="minorBidi"/>
          <w:noProof/>
        </w:rPr>
      </w:pPr>
      <w:hyperlink w:anchor="_Toc4588864" w:history="1">
        <w:r w:rsidR="001B0B0C" w:rsidRPr="00CD618B">
          <w:rPr>
            <w:rStyle w:val="Hyperlink"/>
            <w:noProof/>
          </w:rPr>
          <w:t>Antibody and Antigen Tables</w:t>
        </w:r>
        <w:r w:rsidR="001B0B0C">
          <w:rPr>
            <w:noProof/>
            <w:webHidden/>
          </w:rPr>
          <w:tab/>
        </w:r>
        <w:r w:rsidR="001B0B0C">
          <w:rPr>
            <w:noProof/>
            <w:webHidden/>
          </w:rPr>
          <w:fldChar w:fldCharType="begin"/>
        </w:r>
        <w:r w:rsidR="001B0B0C">
          <w:rPr>
            <w:noProof/>
            <w:webHidden/>
          </w:rPr>
          <w:instrText xml:space="preserve"> PAGEREF _Toc4588864 \h </w:instrText>
        </w:r>
        <w:r w:rsidR="001B0B0C">
          <w:rPr>
            <w:noProof/>
            <w:webHidden/>
          </w:rPr>
        </w:r>
        <w:r w:rsidR="001B0B0C">
          <w:rPr>
            <w:noProof/>
            <w:webHidden/>
          </w:rPr>
          <w:fldChar w:fldCharType="separate"/>
        </w:r>
        <w:r>
          <w:rPr>
            <w:noProof/>
            <w:webHidden/>
          </w:rPr>
          <w:t>438</w:t>
        </w:r>
        <w:r w:rsidR="001B0B0C">
          <w:rPr>
            <w:noProof/>
            <w:webHidden/>
          </w:rPr>
          <w:fldChar w:fldCharType="end"/>
        </w:r>
      </w:hyperlink>
    </w:p>
    <w:p w14:paraId="3FB9BCB9" w14:textId="7CA5D421" w:rsidR="001B0B0C" w:rsidRDefault="00647F4E">
      <w:pPr>
        <w:pStyle w:val="TOC3"/>
        <w:tabs>
          <w:tab w:val="right" w:leader="dot" w:pos="9350"/>
        </w:tabs>
        <w:rPr>
          <w:rFonts w:asciiTheme="minorHAnsi" w:eastAsiaTheme="minorEastAsia" w:hAnsiTheme="minorHAnsi" w:cstheme="minorBidi"/>
          <w:noProof/>
        </w:rPr>
      </w:pPr>
      <w:hyperlink w:anchor="_Toc4588865" w:history="1">
        <w:r w:rsidR="001B0B0C" w:rsidRPr="00CD618B">
          <w:rPr>
            <w:rStyle w:val="Hyperlink"/>
            <w:noProof/>
          </w:rPr>
          <w:t>Antibody and Antigen Table: Irregular Antibodies</w:t>
        </w:r>
        <w:r w:rsidR="001B0B0C">
          <w:rPr>
            <w:noProof/>
            <w:webHidden/>
          </w:rPr>
          <w:tab/>
        </w:r>
        <w:r w:rsidR="001B0B0C">
          <w:rPr>
            <w:noProof/>
            <w:webHidden/>
          </w:rPr>
          <w:fldChar w:fldCharType="begin"/>
        </w:r>
        <w:r w:rsidR="001B0B0C">
          <w:rPr>
            <w:noProof/>
            <w:webHidden/>
          </w:rPr>
          <w:instrText xml:space="preserve"> PAGEREF _Toc4588865 \h </w:instrText>
        </w:r>
        <w:r w:rsidR="001B0B0C">
          <w:rPr>
            <w:noProof/>
            <w:webHidden/>
          </w:rPr>
        </w:r>
        <w:r w:rsidR="001B0B0C">
          <w:rPr>
            <w:noProof/>
            <w:webHidden/>
          </w:rPr>
          <w:fldChar w:fldCharType="separate"/>
        </w:r>
        <w:r>
          <w:rPr>
            <w:noProof/>
            <w:webHidden/>
          </w:rPr>
          <w:t>438</w:t>
        </w:r>
        <w:r w:rsidR="001B0B0C">
          <w:rPr>
            <w:noProof/>
            <w:webHidden/>
          </w:rPr>
          <w:fldChar w:fldCharType="end"/>
        </w:r>
      </w:hyperlink>
    </w:p>
    <w:p w14:paraId="5389E7BD" w14:textId="134ABB65" w:rsidR="001B0B0C" w:rsidRDefault="00647F4E">
      <w:pPr>
        <w:pStyle w:val="TOC3"/>
        <w:tabs>
          <w:tab w:val="right" w:leader="dot" w:pos="9350"/>
        </w:tabs>
        <w:rPr>
          <w:rFonts w:asciiTheme="minorHAnsi" w:eastAsiaTheme="minorEastAsia" w:hAnsiTheme="minorHAnsi" w:cstheme="minorBidi"/>
          <w:noProof/>
        </w:rPr>
      </w:pPr>
      <w:hyperlink w:anchor="_Toc4588866" w:history="1">
        <w:r w:rsidR="001B0B0C" w:rsidRPr="00CD618B">
          <w:rPr>
            <w:rStyle w:val="Hyperlink"/>
            <w:noProof/>
          </w:rPr>
          <w:t>Antibody and Antigen Table: Database Conversion</w:t>
        </w:r>
        <w:r w:rsidR="001B0B0C">
          <w:rPr>
            <w:noProof/>
            <w:webHidden/>
          </w:rPr>
          <w:tab/>
        </w:r>
        <w:r w:rsidR="001B0B0C">
          <w:rPr>
            <w:noProof/>
            <w:webHidden/>
          </w:rPr>
          <w:fldChar w:fldCharType="begin"/>
        </w:r>
        <w:r w:rsidR="001B0B0C">
          <w:rPr>
            <w:noProof/>
            <w:webHidden/>
          </w:rPr>
          <w:instrText xml:space="preserve"> PAGEREF _Toc4588866 \h </w:instrText>
        </w:r>
        <w:r w:rsidR="001B0B0C">
          <w:rPr>
            <w:noProof/>
            <w:webHidden/>
          </w:rPr>
        </w:r>
        <w:r w:rsidR="001B0B0C">
          <w:rPr>
            <w:noProof/>
            <w:webHidden/>
          </w:rPr>
          <w:fldChar w:fldCharType="separate"/>
        </w:r>
        <w:r>
          <w:rPr>
            <w:noProof/>
            <w:webHidden/>
          </w:rPr>
          <w:t>441</w:t>
        </w:r>
        <w:r w:rsidR="001B0B0C">
          <w:rPr>
            <w:noProof/>
            <w:webHidden/>
          </w:rPr>
          <w:fldChar w:fldCharType="end"/>
        </w:r>
      </w:hyperlink>
    </w:p>
    <w:p w14:paraId="6C8C1207" w14:textId="6D1A3B02" w:rsidR="001B0B0C" w:rsidRDefault="00647F4E">
      <w:pPr>
        <w:pStyle w:val="TOC3"/>
        <w:tabs>
          <w:tab w:val="right" w:leader="dot" w:pos="9350"/>
        </w:tabs>
        <w:rPr>
          <w:rFonts w:asciiTheme="minorHAnsi" w:eastAsiaTheme="minorEastAsia" w:hAnsiTheme="minorHAnsi" w:cstheme="minorBidi"/>
          <w:noProof/>
        </w:rPr>
      </w:pPr>
      <w:hyperlink w:anchor="_Toc4588867" w:history="1">
        <w:r w:rsidR="001B0B0C" w:rsidRPr="00CD618B">
          <w:rPr>
            <w:rStyle w:val="Hyperlink"/>
            <w:noProof/>
          </w:rPr>
          <w:t>Antibody Screen Test Interpretation</w:t>
        </w:r>
        <w:r w:rsidR="001B0B0C">
          <w:rPr>
            <w:noProof/>
            <w:webHidden/>
          </w:rPr>
          <w:tab/>
        </w:r>
        <w:r w:rsidR="001B0B0C">
          <w:rPr>
            <w:noProof/>
            <w:webHidden/>
          </w:rPr>
          <w:fldChar w:fldCharType="begin"/>
        </w:r>
        <w:r w:rsidR="001B0B0C">
          <w:rPr>
            <w:noProof/>
            <w:webHidden/>
          </w:rPr>
          <w:instrText xml:space="preserve"> PAGEREF _Toc4588867 \h </w:instrText>
        </w:r>
        <w:r w:rsidR="001B0B0C">
          <w:rPr>
            <w:noProof/>
            <w:webHidden/>
          </w:rPr>
        </w:r>
        <w:r w:rsidR="001B0B0C">
          <w:rPr>
            <w:noProof/>
            <w:webHidden/>
          </w:rPr>
          <w:fldChar w:fldCharType="separate"/>
        </w:r>
        <w:r>
          <w:rPr>
            <w:noProof/>
            <w:webHidden/>
          </w:rPr>
          <w:t>442</w:t>
        </w:r>
        <w:r w:rsidR="001B0B0C">
          <w:rPr>
            <w:noProof/>
            <w:webHidden/>
          </w:rPr>
          <w:fldChar w:fldCharType="end"/>
        </w:r>
      </w:hyperlink>
    </w:p>
    <w:p w14:paraId="549C849D" w14:textId="70FAC332" w:rsidR="001B0B0C" w:rsidRDefault="00647F4E">
      <w:pPr>
        <w:pStyle w:val="TOC3"/>
        <w:tabs>
          <w:tab w:val="right" w:leader="dot" w:pos="9350"/>
        </w:tabs>
        <w:rPr>
          <w:rFonts w:asciiTheme="minorHAnsi" w:eastAsiaTheme="minorEastAsia" w:hAnsiTheme="minorHAnsi" w:cstheme="minorBidi"/>
          <w:noProof/>
        </w:rPr>
      </w:pPr>
      <w:hyperlink w:anchor="_Toc4588868" w:history="1">
        <w:r w:rsidR="001B0B0C" w:rsidRPr="00CD618B">
          <w:rPr>
            <w:rStyle w:val="Hyperlink"/>
            <w:noProof/>
          </w:rPr>
          <w:t>Canned Comment Category Types and Text</w:t>
        </w:r>
        <w:r w:rsidR="001B0B0C">
          <w:rPr>
            <w:noProof/>
            <w:webHidden/>
          </w:rPr>
          <w:tab/>
        </w:r>
        <w:r w:rsidR="001B0B0C">
          <w:rPr>
            <w:noProof/>
            <w:webHidden/>
          </w:rPr>
          <w:fldChar w:fldCharType="begin"/>
        </w:r>
        <w:r w:rsidR="001B0B0C">
          <w:rPr>
            <w:noProof/>
            <w:webHidden/>
          </w:rPr>
          <w:instrText xml:space="preserve"> PAGEREF _Toc4588868 \h </w:instrText>
        </w:r>
        <w:r w:rsidR="001B0B0C">
          <w:rPr>
            <w:noProof/>
            <w:webHidden/>
          </w:rPr>
        </w:r>
        <w:r w:rsidR="001B0B0C">
          <w:rPr>
            <w:noProof/>
            <w:webHidden/>
          </w:rPr>
          <w:fldChar w:fldCharType="separate"/>
        </w:r>
        <w:r>
          <w:rPr>
            <w:noProof/>
            <w:webHidden/>
          </w:rPr>
          <w:t>443</w:t>
        </w:r>
        <w:r w:rsidR="001B0B0C">
          <w:rPr>
            <w:noProof/>
            <w:webHidden/>
          </w:rPr>
          <w:fldChar w:fldCharType="end"/>
        </w:r>
      </w:hyperlink>
    </w:p>
    <w:p w14:paraId="13984E6F" w14:textId="4C3B1596" w:rsidR="001B0B0C" w:rsidRDefault="00647F4E">
      <w:pPr>
        <w:pStyle w:val="TOC3"/>
        <w:tabs>
          <w:tab w:val="right" w:leader="dot" w:pos="9350"/>
        </w:tabs>
        <w:rPr>
          <w:rFonts w:asciiTheme="minorHAnsi" w:eastAsiaTheme="minorEastAsia" w:hAnsiTheme="minorHAnsi" w:cstheme="minorBidi"/>
          <w:noProof/>
        </w:rPr>
      </w:pPr>
      <w:hyperlink w:anchor="_Toc4588869" w:history="1">
        <w:r w:rsidR="001B0B0C" w:rsidRPr="00CD618B">
          <w:rPr>
            <w:rStyle w:val="Hyperlink"/>
            <w:noProof/>
          </w:rPr>
          <w:t>CPRS Orderable Blood Components (Component Classes) Mapped to ICCBBA Component Classes</w:t>
        </w:r>
        <w:r w:rsidR="001B0B0C">
          <w:rPr>
            <w:noProof/>
            <w:webHidden/>
          </w:rPr>
          <w:tab/>
        </w:r>
        <w:r w:rsidR="001B0B0C">
          <w:rPr>
            <w:noProof/>
            <w:webHidden/>
          </w:rPr>
          <w:fldChar w:fldCharType="begin"/>
        </w:r>
        <w:r w:rsidR="001B0B0C">
          <w:rPr>
            <w:noProof/>
            <w:webHidden/>
          </w:rPr>
          <w:instrText xml:space="preserve"> PAGEREF _Toc4588869 \h </w:instrText>
        </w:r>
        <w:r w:rsidR="001B0B0C">
          <w:rPr>
            <w:noProof/>
            <w:webHidden/>
          </w:rPr>
        </w:r>
        <w:r w:rsidR="001B0B0C">
          <w:rPr>
            <w:noProof/>
            <w:webHidden/>
          </w:rPr>
          <w:fldChar w:fldCharType="separate"/>
        </w:r>
        <w:r>
          <w:rPr>
            <w:noProof/>
            <w:webHidden/>
          </w:rPr>
          <w:t>448</w:t>
        </w:r>
        <w:r w:rsidR="001B0B0C">
          <w:rPr>
            <w:noProof/>
            <w:webHidden/>
          </w:rPr>
          <w:fldChar w:fldCharType="end"/>
        </w:r>
      </w:hyperlink>
    </w:p>
    <w:p w14:paraId="5505B22B" w14:textId="5BAA1443" w:rsidR="001B0B0C" w:rsidRDefault="00647F4E">
      <w:pPr>
        <w:pStyle w:val="TOC3"/>
        <w:tabs>
          <w:tab w:val="right" w:leader="dot" w:pos="9350"/>
        </w:tabs>
        <w:rPr>
          <w:rFonts w:asciiTheme="minorHAnsi" w:eastAsiaTheme="minorEastAsia" w:hAnsiTheme="minorHAnsi" w:cstheme="minorBidi"/>
          <w:noProof/>
        </w:rPr>
      </w:pPr>
      <w:hyperlink w:anchor="_Toc4588870" w:history="1">
        <w:r w:rsidR="001B0B0C" w:rsidRPr="00CD618B">
          <w:rPr>
            <w:rStyle w:val="Hyperlink"/>
            <w:noProof/>
          </w:rPr>
          <w:t>Details in Audit Trail Report</w:t>
        </w:r>
        <w:r w:rsidR="001B0B0C">
          <w:rPr>
            <w:noProof/>
            <w:webHidden/>
          </w:rPr>
          <w:tab/>
        </w:r>
        <w:r w:rsidR="001B0B0C">
          <w:rPr>
            <w:noProof/>
            <w:webHidden/>
          </w:rPr>
          <w:fldChar w:fldCharType="begin"/>
        </w:r>
        <w:r w:rsidR="001B0B0C">
          <w:rPr>
            <w:noProof/>
            <w:webHidden/>
          </w:rPr>
          <w:instrText xml:space="preserve"> PAGEREF _Toc4588870 \h </w:instrText>
        </w:r>
        <w:r w:rsidR="001B0B0C">
          <w:rPr>
            <w:noProof/>
            <w:webHidden/>
          </w:rPr>
        </w:r>
        <w:r w:rsidR="001B0B0C">
          <w:rPr>
            <w:noProof/>
            <w:webHidden/>
          </w:rPr>
          <w:fldChar w:fldCharType="separate"/>
        </w:r>
        <w:r>
          <w:rPr>
            <w:noProof/>
            <w:webHidden/>
          </w:rPr>
          <w:t>448</w:t>
        </w:r>
        <w:r w:rsidR="001B0B0C">
          <w:rPr>
            <w:noProof/>
            <w:webHidden/>
          </w:rPr>
          <w:fldChar w:fldCharType="end"/>
        </w:r>
      </w:hyperlink>
    </w:p>
    <w:p w14:paraId="5690FE27" w14:textId="4F64890B" w:rsidR="001B0B0C" w:rsidRDefault="00647F4E">
      <w:pPr>
        <w:pStyle w:val="TOC3"/>
        <w:tabs>
          <w:tab w:val="right" w:leader="dot" w:pos="9350"/>
        </w:tabs>
        <w:rPr>
          <w:rFonts w:asciiTheme="minorHAnsi" w:eastAsiaTheme="minorEastAsia" w:hAnsiTheme="minorHAnsi" w:cstheme="minorBidi"/>
          <w:noProof/>
        </w:rPr>
      </w:pPr>
      <w:hyperlink w:anchor="_Toc4588871" w:history="1">
        <w:r w:rsidR="001B0B0C" w:rsidRPr="00CD618B">
          <w:rPr>
            <w:rStyle w:val="Hyperlink"/>
            <w:noProof/>
          </w:rPr>
          <w:t>Details in Exception Report</w:t>
        </w:r>
        <w:r w:rsidR="001B0B0C">
          <w:rPr>
            <w:noProof/>
            <w:webHidden/>
          </w:rPr>
          <w:tab/>
        </w:r>
        <w:r w:rsidR="001B0B0C">
          <w:rPr>
            <w:noProof/>
            <w:webHidden/>
          </w:rPr>
          <w:fldChar w:fldCharType="begin"/>
        </w:r>
        <w:r w:rsidR="001B0B0C">
          <w:rPr>
            <w:noProof/>
            <w:webHidden/>
          </w:rPr>
          <w:instrText xml:space="preserve"> PAGEREF _Toc4588871 \h </w:instrText>
        </w:r>
        <w:r w:rsidR="001B0B0C">
          <w:rPr>
            <w:noProof/>
            <w:webHidden/>
          </w:rPr>
        </w:r>
        <w:r w:rsidR="001B0B0C">
          <w:rPr>
            <w:noProof/>
            <w:webHidden/>
          </w:rPr>
          <w:fldChar w:fldCharType="separate"/>
        </w:r>
        <w:r>
          <w:rPr>
            <w:noProof/>
            <w:webHidden/>
          </w:rPr>
          <w:t>453</w:t>
        </w:r>
        <w:r w:rsidR="001B0B0C">
          <w:rPr>
            <w:noProof/>
            <w:webHidden/>
          </w:rPr>
          <w:fldChar w:fldCharType="end"/>
        </w:r>
      </w:hyperlink>
    </w:p>
    <w:p w14:paraId="1372F28A" w14:textId="5DE3A5F4" w:rsidR="001B0B0C" w:rsidRDefault="00647F4E">
      <w:pPr>
        <w:pStyle w:val="TOC3"/>
        <w:tabs>
          <w:tab w:val="right" w:leader="dot" w:pos="9350"/>
        </w:tabs>
        <w:rPr>
          <w:rFonts w:asciiTheme="minorHAnsi" w:eastAsiaTheme="minorEastAsia" w:hAnsiTheme="minorHAnsi" w:cstheme="minorBidi"/>
          <w:noProof/>
        </w:rPr>
      </w:pPr>
      <w:hyperlink w:anchor="_Toc4588872" w:history="1">
        <w:r w:rsidR="001B0B0C" w:rsidRPr="00CD618B">
          <w:rPr>
            <w:rStyle w:val="Hyperlink"/>
            <w:noProof/>
          </w:rPr>
          <w:t>Allowable Product Modifications by Original Product Type</w:t>
        </w:r>
        <w:r w:rsidR="001B0B0C">
          <w:rPr>
            <w:noProof/>
            <w:webHidden/>
          </w:rPr>
          <w:tab/>
        </w:r>
        <w:r w:rsidR="001B0B0C">
          <w:rPr>
            <w:noProof/>
            <w:webHidden/>
          </w:rPr>
          <w:fldChar w:fldCharType="begin"/>
        </w:r>
        <w:r w:rsidR="001B0B0C">
          <w:rPr>
            <w:noProof/>
            <w:webHidden/>
          </w:rPr>
          <w:instrText xml:space="preserve"> PAGEREF _Toc4588872 \h </w:instrText>
        </w:r>
        <w:r w:rsidR="001B0B0C">
          <w:rPr>
            <w:noProof/>
            <w:webHidden/>
          </w:rPr>
        </w:r>
        <w:r w:rsidR="001B0B0C">
          <w:rPr>
            <w:noProof/>
            <w:webHidden/>
          </w:rPr>
          <w:fldChar w:fldCharType="separate"/>
        </w:r>
        <w:r>
          <w:rPr>
            <w:noProof/>
            <w:webHidden/>
          </w:rPr>
          <w:t>456</w:t>
        </w:r>
        <w:r w:rsidR="001B0B0C">
          <w:rPr>
            <w:noProof/>
            <w:webHidden/>
          </w:rPr>
          <w:fldChar w:fldCharType="end"/>
        </w:r>
      </w:hyperlink>
    </w:p>
    <w:p w14:paraId="3BCF5FD7" w14:textId="38280F27" w:rsidR="001B0B0C" w:rsidRDefault="00647F4E">
      <w:pPr>
        <w:pStyle w:val="TOC3"/>
        <w:tabs>
          <w:tab w:val="right" w:leader="dot" w:pos="9350"/>
        </w:tabs>
        <w:rPr>
          <w:rFonts w:asciiTheme="minorHAnsi" w:eastAsiaTheme="minorEastAsia" w:hAnsiTheme="minorHAnsi" w:cstheme="minorBidi"/>
          <w:noProof/>
        </w:rPr>
      </w:pPr>
      <w:hyperlink w:anchor="_Toc4588873" w:history="1">
        <w:r w:rsidR="001B0B0C" w:rsidRPr="00CD618B">
          <w:rPr>
            <w:rStyle w:val="Hyperlink"/>
            <w:noProof/>
          </w:rPr>
          <w:t>Order Status Flowchart</w:t>
        </w:r>
        <w:r w:rsidR="001B0B0C">
          <w:rPr>
            <w:noProof/>
            <w:webHidden/>
          </w:rPr>
          <w:tab/>
        </w:r>
        <w:r w:rsidR="001B0B0C">
          <w:rPr>
            <w:noProof/>
            <w:webHidden/>
          </w:rPr>
          <w:fldChar w:fldCharType="begin"/>
        </w:r>
        <w:r w:rsidR="001B0B0C">
          <w:rPr>
            <w:noProof/>
            <w:webHidden/>
          </w:rPr>
          <w:instrText xml:space="preserve"> PAGEREF _Toc4588873 \h </w:instrText>
        </w:r>
        <w:r w:rsidR="001B0B0C">
          <w:rPr>
            <w:noProof/>
            <w:webHidden/>
          </w:rPr>
        </w:r>
        <w:r w:rsidR="001B0B0C">
          <w:rPr>
            <w:noProof/>
            <w:webHidden/>
          </w:rPr>
          <w:fldChar w:fldCharType="separate"/>
        </w:r>
        <w:r>
          <w:rPr>
            <w:noProof/>
            <w:webHidden/>
          </w:rPr>
          <w:t>462</w:t>
        </w:r>
        <w:r w:rsidR="001B0B0C">
          <w:rPr>
            <w:noProof/>
            <w:webHidden/>
          </w:rPr>
          <w:fldChar w:fldCharType="end"/>
        </w:r>
      </w:hyperlink>
    </w:p>
    <w:p w14:paraId="1D9C8E6E" w14:textId="142C2AF5" w:rsidR="001B0B0C" w:rsidRDefault="00647F4E">
      <w:pPr>
        <w:pStyle w:val="TOC3"/>
        <w:tabs>
          <w:tab w:val="right" w:leader="dot" w:pos="9350"/>
        </w:tabs>
        <w:rPr>
          <w:rFonts w:asciiTheme="minorHAnsi" w:eastAsiaTheme="minorEastAsia" w:hAnsiTheme="minorHAnsi" w:cstheme="minorBidi"/>
          <w:noProof/>
        </w:rPr>
      </w:pPr>
      <w:hyperlink w:anchor="_Toc4588874" w:history="1">
        <w:r w:rsidR="001B0B0C" w:rsidRPr="00CD618B">
          <w:rPr>
            <w:rStyle w:val="Hyperlink"/>
            <w:noProof/>
          </w:rPr>
          <w:t>Rules for Electronic and Serologic Crossmatch</w:t>
        </w:r>
        <w:r w:rsidR="001B0B0C">
          <w:rPr>
            <w:noProof/>
            <w:webHidden/>
          </w:rPr>
          <w:tab/>
        </w:r>
        <w:r w:rsidR="001B0B0C">
          <w:rPr>
            <w:noProof/>
            <w:webHidden/>
          </w:rPr>
          <w:fldChar w:fldCharType="begin"/>
        </w:r>
        <w:r w:rsidR="001B0B0C">
          <w:rPr>
            <w:noProof/>
            <w:webHidden/>
          </w:rPr>
          <w:instrText xml:space="preserve"> PAGEREF _Toc4588874 \h </w:instrText>
        </w:r>
        <w:r w:rsidR="001B0B0C">
          <w:rPr>
            <w:noProof/>
            <w:webHidden/>
          </w:rPr>
        </w:r>
        <w:r w:rsidR="001B0B0C">
          <w:rPr>
            <w:noProof/>
            <w:webHidden/>
          </w:rPr>
          <w:fldChar w:fldCharType="separate"/>
        </w:r>
        <w:r>
          <w:rPr>
            <w:noProof/>
            <w:webHidden/>
          </w:rPr>
          <w:t>463</w:t>
        </w:r>
        <w:r w:rsidR="001B0B0C">
          <w:rPr>
            <w:noProof/>
            <w:webHidden/>
          </w:rPr>
          <w:fldChar w:fldCharType="end"/>
        </w:r>
      </w:hyperlink>
    </w:p>
    <w:p w14:paraId="1A10C4D7" w14:textId="1CC51698" w:rsidR="001B0B0C" w:rsidRDefault="00647F4E">
      <w:pPr>
        <w:pStyle w:val="TOC3"/>
        <w:tabs>
          <w:tab w:val="right" w:leader="dot" w:pos="9350"/>
        </w:tabs>
        <w:rPr>
          <w:rFonts w:asciiTheme="minorHAnsi" w:eastAsiaTheme="minorEastAsia" w:hAnsiTheme="minorHAnsi" w:cstheme="minorBidi"/>
          <w:noProof/>
        </w:rPr>
      </w:pPr>
      <w:hyperlink w:anchor="_Toc4588875" w:history="1">
        <w:r w:rsidR="001B0B0C" w:rsidRPr="00CD618B">
          <w:rPr>
            <w:rStyle w:val="Hyperlink"/>
            <w:noProof/>
          </w:rPr>
          <w:t>Unit Status Flowchart</w:t>
        </w:r>
        <w:r w:rsidR="001B0B0C">
          <w:rPr>
            <w:noProof/>
            <w:webHidden/>
          </w:rPr>
          <w:tab/>
        </w:r>
        <w:r w:rsidR="001B0B0C">
          <w:rPr>
            <w:noProof/>
            <w:webHidden/>
          </w:rPr>
          <w:fldChar w:fldCharType="begin"/>
        </w:r>
        <w:r w:rsidR="001B0B0C">
          <w:rPr>
            <w:noProof/>
            <w:webHidden/>
          </w:rPr>
          <w:instrText xml:space="preserve"> PAGEREF _Toc4588875 \h </w:instrText>
        </w:r>
        <w:r w:rsidR="001B0B0C">
          <w:rPr>
            <w:noProof/>
            <w:webHidden/>
          </w:rPr>
        </w:r>
        <w:r w:rsidR="001B0B0C">
          <w:rPr>
            <w:noProof/>
            <w:webHidden/>
          </w:rPr>
          <w:fldChar w:fldCharType="separate"/>
        </w:r>
        <w:r>
          <w:rPr>
            <w:noProof/>
            <w:webHidden/>
          </w:rPr>
          <w:t>464</w:t>
        </w:r>
        <w:r w:rsidR="001B0B0C">
          <w:rPr>
            <w:noProof/>
            <w:webHidden/>
          </w:rPr>
          <w:fldChar w:fldCharType="end"/>
        </w:r>
      </w:hyperlink>
    </w:p>
    <w:p w14:paraId="105C2C66" w14:textId="40BAECF4" w:rsidR="001B0B0C" w:rsidRDefault="00647F4E">
      <w:pPr>
        <w:pStyle w:val="TOC3"/>
        <w:tabs>
          <w:tab w:val="right" w:leader="dot" w:pos="9350"/>
        </w:tabs>
        <w:rPr>
          <w:rFonts w:asciiTheme="minorHAnsi" w:eastAsiaTheme="minorEastAsia" w:hAnsiTheme="minorHAnsi" w:cstheme="minorBidi"/>
          <w:noProof/>
        </w:rPr>
      </w:pPr>
      <w:hyperlink w:anchor="_Toc4588876" w:history="1">
        <w:r w:rsidR="001B0B0C" w:rsidRPr="00CD618B">
          <w:rPr>
            <w:rStyle w:val="Hyperlink"/>
            <w:noProof/>
          </w:rPr>
          <w:t>VBECS Maximum Surgical Blood Order Schedule</w:t>
        </w:r>
        <w:r w:rsidR="001B0B0C">
          <w:rPr>
            <w:noProof/>
            <w:webHidden/>
          </w:rPr>
          <w:tab/>
        </w:r>
        <w:r w:rsidR="001B0B0C">
          <w:rPr>
            <w:noProof/>
            <w:webHidden/>
          </w:rPr>
          <w:fldChar w:fldCharType="begin"/>
        </w:r>
        <w:r w:rsidR="001B0B0C">
          <w:rPr>
            <w:noProof/>
            <w:webHidden/>
          </w:rPr>
          <w:instrText xml:space="preserve"> PAGEREF _Toc4588876 \h </w:instrText>
        </w:r>
        <w:r w:rsidR="001B0B0C">
          <w:rPr>
            <w:noProof/>
            <w:webHidden/>
          </w:rPr>
        </w:r>
        <w:r w:rsidR="001B0B0C">
          <w:rPr>
            <w:noProof/>
            <w:webHidden/>
          </w:rPr>
          <w:fldChar w:fldCharType="separate"/>
        </w:r>
        <w:r>
          <w:rPr>
            <w:noProof/>
            <w:webHidden/>
          </w:rPr>
          <w:t>466</w:t>
        </w:r>
        <w:r w:rsidR="001B0B0C">
          <w:rPr>
            <w:noProof/>
            <w:webHidden/>
          </w:rPr>
          <w:fldChar w:fldCharType="end"/>
        </w:r>
      </w:hyperlink>
    </w:p>
    <w:p w14:paraId="3B1FF2B0" w14:textId="3694E7F6" w:rsidR="001B0B0C" w:rsidRDefault="00647F4E">
      <w:pPr>
        <w:pStyle w:val="TOC3"/>
        <w:tabs>
          <w:tab w:val="right" w:leader="dot" w:pos="9350"/>
        </w:tabs>
        <w:rPr>
          <w:rFonts w:asciiTheme="minorHAnsi" w:eastAsiaTheme="minorEastAsia" w:hAnsiTheme="minorHAnsi" w:cstheme="minorBidi"/>
          <w:noProof/>
        </w:rPr>
      </w:pPr>
      <w:hyperlink w:anchor="_Toc4588877" w:history="1">
        <w:r w:rsidR="001B0B0C" w:rsidRPr="00CD618B">
          <w:rPr>
            <w:rStyle w:val="Hyperlink"/>
            <w:noProof/>
          </w:rPr>
          <w:t>BCE COTS Message Updates</w:t>
        </w:r>
        <w:r w:rsidR="001B0B0C">
          <w:rPr>
            <w:noProof/>
            <w:webHidden/>
          </w:rPr>
          <w:tab/>
        </w:r>
        <w:r w:rsidR="001B0B0C">
          <w:rPr>
            <w:noProof/>
            <w:webHidden/>
          </w:rPr>
          <w:fldChar w:fldCharType="begin"/>
        </w:r>
        <w:r w:rsidR="001B0B0C">
          <w:rPr>
            <w:noProof/>
            <w:webHidden/>
          </w:rPr>
          <w:instrText xml:space="preserve"> PAGEREF _Toc4588877 \h </w:instrText>
        </w:r>
        <w:r w:rsidR="001B0B0C">
          <w:rPr>
            <w:noProof/>
            <w:webHidden/>
          </w:rPr>
        </w:r>
        <w:r w:rsidR="001B0B0C">
          <w:rPr>
            <w:noProof/>
            <w:webHidden/>
          </w:rPr>
          <w:fldChar w:fldCharType="separate"/>
        </w:r>
        <w:r>
          <w:rPr>
            <w:noProof/>
            <w:webHidden/>
          </w:rPr>
          <w:t>467</w:t>
        </w:r>
        <w:r w:rsidR="001B0B0C">
          <w:rPr>
            <w:noProof/>
            <w:webHidden/>
          </w:rPr>
          <w:fldChar w:fldCharType="end"/>
        </w:r>
      </w:hyperlink>
    </w:p>
    <w:p w14:paraId="53AE152A" w14:textId="013E0BDC" w:rsidR="001B0B0C" w:rsidRDefault="00647F4E">
      <w:pPr>
        <w:pStyle w:val="TOC3"/>
        <w:tabs>
          <w:tab w:val="right" w:leader="dot" w:pos="9350"/>
        </w:tabs>
        <w:rPr>
          <w:rFonts w:asciiTheme="minorHAnsi" w:eastAsiaTheme="minorEastAsia" w:hAnsiTheme="minorHAnsi" w:cstheme="minorBidi"/>
          <w:noProof/>
        </w:rPr>
      </w:pPr>
      <w:hyperlink w:anchor="_Toc4588878" w:history="1">
        <w:r w:rsidR="001B0B0C" w:rsidRPr="00CD618B">
          <w:rPr>
            <w:rStyle w:val="Hyperlink"/>
            <w:noProof/>
          </w:rPr>
          <w:t>Workload Process to Use Case Mapping Table</w:t>
        </w:r>
        <w:r w:rsidR="001B0B0C">
          <w:rPr>
            <w:noProof/>
            <w:webHidden/>
          </w:rPr>
          <w:tab/>
        </w:r>
        <w:r w:rsidR="001B0B0C">
          <w:rPr>
            <w:noProof/>
            <w:webHidden/>
          </w:rPr>
          <w:fldChar w:fldCharType="begin"/>
        </w:r>
        <w:r w:rsidR="001B0B0C">
          <w:rPr>
            <w:noProof/>
            <w:webHidden/>
          </w:rPr>
          <w:instrText xml:space="preserve"> PAGEREF _Toc4588878 \h </w:instrText>
        </w:r>
        <w:r w:rsidR="001B0B0C">
          <w:rPr>
            <w:noProof/>
            <w:webHidden/>
          </w:rPr>
        </w:r>
        <w:r w:rsidR="001B0B0C">
          <w:rPr>
            <w:noProof/>
            <w:webHidden/>
          </w:rPr>
          <w:fldChar w:fldCharType="separate"/>
        </w:r>
        <w:r>
          <w:rPr>
            <w:noProof/>
            <w:webHidden/>
          </w:rPr>
          <w:t>471</w:t>
        </w:r>
        <w:r w:rsidR="001B0B0C">
          <w:rPr>
            <w:noProof/>
            <w:webHidden/>
          </w:rPr>
          <w:fldChar w:fldCharType="end"/>
        </w:r>
      </w:hyperlink>
    </w:p>
    <w:p w14:paraId="586ED42F" w14:textId="3DD12967" w:rsidR="001B0B0C" w:rsidRDefault="00647F4E">
      <w:pPr>
        <w:pStyle w:val="TOC2"/>
        <w:tabs>
          <w:tab w:val="right" w:leader="dot" w:pos="9350"/>
        </w:tabs>
        <w:rPr>
          <w:rFonts w:asciiTheme="minorHAnsi" w:eastAsiaTheme="minorEastAsia" w:hAnsiTheme="minorHAnsi" w:cstheme="minorBidi"/>
          <w:smallCaps w:val="0"/>
          <w:noProof/>
        </w:rPr>
      </w:pPr>
      <w:hyperlink w:anchor="_Toc4588879" w:history="1">
        <w:r w:rsidR="001B0B0C" w:rsidRPr="00CD618B">
          <w:rPr>
            <w:rStyle w:val="Hyperlink"/>
            <w:noProof/>
          </w:rPr>
          <w:t>Appendix C: VBECS Work Flow</w:t>
        </w:r>
        <w:r w:rsidR="001B0B0C">
          <w:rPr>
            <w:noProof/>
            <w:webHidden/>
          </w:rPr>
          <w:tab/>
        </w:r>
        <w:r w:rsidR="001B0B0C">
          <w:rPr>
            <w:noProof/>
            <w:webHidden/>
          </w:rPr>
          <w:fldChar w:fldCharType="begin"/>
        </w:r>
        <w:r w:rsidR="001B0B0C">
          <w:rPr>
            <w:noProof/>
            <w:webHidden/>
          </w:rPr>
          <w:instrText xml:space="preserve"> PAGEREF _Toc4588879 \h </w:instrText>
        </w:r>
        <w:r w:rsidR="001B0B0C">
          <w:rPr>
            <w:noProof/>
            <w:webHidden/>
          </w:rPr>
        </w:r>
        <w:r w:rsidR="001B0B0C">
          <w:rPr>
            <w:noProof/>
            <w:webHidden/>
          </w:rPr>
          <w:fldChar w:fldCharType="separate"/>
        </w:r>
        <w:r>
          <w:rPr>
            <w:noProof/>
            <w:webHidden/>
          </w:rPr>
          <w:t>484</w:t>
        </w:r>
        <w:r w:rsidR="001B0B0C">
          <w:rPr>
            <w:noProof/>
            <w:webHidden/>
          </w:rPr>
          <w:fldChar w:fldCharType="end"/>
        </w:r>
      </w:hyperlink>
    </w:p>
    <w:p w14:paraId="2ECEE671" w14:textId="31A057F0" w:rsidR="001B0B0C" w:rsidRDefault="00647F4E">
      <w:pPr>
        <w:pStyle w:val="TOC2"/>
        <w:tabs>
          <w:tab w:val="right" w:leader="dot" w:pos="9350"/>
        </w:tabs>
        <w:rPr>
          <w:rFonts w:asciiTheme="minorHAnsi" w:eastAsiaTheme="minorEastAsia" w:hAnsiTheme="minorHAnsi" w:cstheme="minorBidi"/>
          <w:smallCaps w:val="0"/>
          <w:noProof/>
        </w:rPr>
      </w:pPr>
      <w:hyperlink w:anchor="_Toc4588880" w:history="1">
        <w:r w:rsidR="001B0B0C" w:rsidRPr="00CD618B">
          <w:rPr>
            <w:rStyle w:val="Hyperlink"/>
            <w:noProof/>
          </w:rPr>
          <w:t>Appendix D: Limitations and Restrictions</w:t>
        </w:r>
        <w:r w:rsidR="001B0B0C">
          <w:rPr>
            <w:noProof/>
            <w:webHidden/>
          </w:rPr>
          <w:tab/>
        </w:r>
        <w:r w:rsidR="001B0B0C">
          <w:rPr>
            <w:noProof/>
            <w:webHidden/>
          </w:rPr>
          <w:fldChar w:fldCharType="begin"/>
        </w:r>
        <w:r w:rsidR="001B0B0C">
          <w:rPr>
            <w:noProof/>
            <w:webHidden/>
          </w:rPr>
          <w:instrText xml:space="preserve"> PAGEREF _Toc4588880 \h </w:instrText>
        </w:r>
        <w:r w:rsidR="001B0B0C">
          <w:rPr>
            <w:noProof/>
            <w:webHidden/>
          </w:rPr>
        </w:r>
        <w:r w:rsidR="001B0B0C">
          <w:rPr>
            <w:noProof/>
            <w:webHidden/>
          </w:rPr>
          <w:fldChar w:fldCharType="separate"/>
        </w:r>
        <w:r>
          <w:rPr>
            <w:noProof/>
            <w:webHidden/>
          </w:rPr>
          <w:t>488</w:t>
        </w:r>
        <w:r w:rsidR="001B0B0C">
          <w:rPr>
            <w:noProof/>
            <w:webHidden/>
          </w:rPr>
          <w:fldChar w:fldCharType="end"/>
        </w:r>
      </w:hyperlink>
    </w:p>
    <w:p w14:paraId="526B4EF2" w14:textId="764BEFA0" w:rsidR="001B0B0C" w:rsidRDefault="00647F4E">
      <w:pPr>
        <w:pStyle w:val="TOC2"/>
        <w:tabs>
          <w:tab w:val="right" w:leader="dot" w:pos="9350"/>
        </w:tabs>
        <w:rPr>
          <w:rFonts w:asciiTheme="minorHAnsi" w:eastAsiaTheme="minorEastAsia" w:hAnsiTheme="minorHAnsi" w:cstheme="minorBidi"/>
          <w:smallCaps w:val="0"/>
          <w:noProof/>
        </w:rPr>
      </w:pPr>
      <w:hyperlink w:anchor="_Toc4588881" w:history="1">
        <w:r w:rsidR="001B0B0C" w:rsidRPr="00CD618B">
          <w:rPr>
            <w:rStyle w:val="Hyperlink"/>
            <w:noProof/>
          </w:rPr>
          <w:t>Appendix E: Known Defects and Anomalies</w:t>
        </w:r>
        <w:r w:rsidR="001B0B0C">
          <w:rPr>
            <w:noProof/>
            <w:webHidden/>
          </w:rPr>
          <w:tab/>
        </w:r>
        <w:r w:rsidR="001B0B0C">
          <w:rPr>
            <w:noProof/>
            <w:webHidden/>
          </w:rPr>
          <w:fldChar w:fldCharType="begin"/>
        </w:r>
        <w:r w:rsidR="001B0B0C">
          <w:rPr>
            <w:noProof/>
            <w:webHidden/>
          </w:rPr>
          <w:instrText xml:space="preserve"> PAGEREF _Toc4588881 \h </w:instrText>
        </w:r>
        <w:r w:rsidR="001B0B0C">
          <w:rPr>
            <w:noProof/>
            <w:webHidden/>
          </w:rPr>
        </w:r>
        <w:r w:rsidR="001B0B0C">
          <w:rPr>
            <w:noProof/>
            <w:webHidden/>
          </w:rPr>
          <w:fldChar w:fldCharType="separate"/>
        </w:r>
        <w:r>
          <w:rPr>
            <w:noProof/>
            <w:webHidden/>
          </w:rPr>
          <w:t>508</w:t>
        </w:r>
        <w:r w:rsidR="001B0B0C">
          <w:rPr>
            <w:noProof/>
            <w:webHidden/>
          </w:rPr>
          <w:fldChar w:fldCharType="end"/>
        </w:r>
      </w:hyperlink>
    </w:p>
    <w:p w14:paraId="79C08835" w14:textId="33014BF1" w:rsidR="001B0B0C" w:rsidRDefault="00647F4E">
      <w:pPr>
        <w:pStyle w:val="TOC2"/>
        <w:tabs>
          <w:tab w:val="right" w:leader="dot" w:pos="9350"/>
        </w:tabs>
        <w:rPr>
          <w:rFonts w:asciiTheme="minorHAnsi" w:eastAsiaTheme="minorEastAsia" w:hAnsiTheme="minorHAnsi" w:cstheme="minorBidi"/>
          <w:smallCaps w:val="0"/>
          <w:noProof/>
        </w:rPr>
      </w:pPr>
      <w:hyperlink w:anchor="_Toc4588882" w:history="1">
        <w:r w:rsidR="001B0B0C" w:rsidRPr="00CD618B">
          <w:rPr>
            <w:rStyle w:val="Hyperlink"/>
            <w:noProof/>
          </w:rPr>
          <w:t>Appendix F: System Validation</w:t>
        </w:r>
        <w:r w:rsidR="001B0B0C">
          <w:rPr>
            <w:noProof/>
            <w:webHidden/>
          </w:rPr>
          <w:tab/>
        </w:r>
        <w:r w:rsidR="001B0B0C">
          <w:rPr>
            <w:noProof/>
            <w:webHidden/>
          </w:rPr>
          <w:fldChar w:fldCharType="begin"/>
        </w:r>
        <w:r w:rsidR="001B0B0C">
          <w:rPr>
            <w:noProof/>
            <w:webHidden/>
          </w:rPr>
          <w:instrText xml:space="preserve"> PAGEREF _Toc4588882 \h </w:instrText>
        </w:r>
        <w:r w:rsidR="001B0B0C">
          <w:rPr>
            <w:noProof/>
            <w:webHidden/>
          </w:rPr>
        </w:r>
        <w:r w:rsidR="001B0B0C">
          <w:rPr>
            <w:noProof/>
            <w:webHidden/>
          </w:rPr>
          <w:fldChar w:fldCharType="separate"/>
        </w:r>
        <w:r>
          <w:rPr>
            <w:noProof/>
            <w:webHidden/>
          </w:rPr>
          <w:t>510</w:t>
        </w:r>
        <w:r w:rsidR="001B0B0C">
          <w:rPr>
            <w:noProof/>
            <w:webHidden/>
          </w:rPr>
          <w:fldChar w:fldCharType="end"/>
        </w:r>
      </w:hyperlink>
    </w:p>
    <w:p w14:paraId="6A36417A" w14:textId="33C1E538" w:rsidR="001B0B0C" w:rsidRDefault="00647F4E">
      <w:pPr>
        <w:pStyle w:val="TOC3"/>
        <w:tabs>
          <w:tab w:val="right" w:leader="dot" w:pos="9350"/>
        </w:tabs>
        <w:rPr>
          <w:rFonts w:asciiTheme="minorHAnsi" w:eastAsiaTheme="minorEastAsia" w:hAnsiTheme="minorHAnsi" w:cstheme="minorBidi"/>
          <w:noProof/>
        </w:rPr>
      </w:pPr>
      <w:hyperlink w:anchor="_Toc4588883" w:history="1">
        <w:r w:rsidR="001B0B0C" w:rsidRPr="00CD618B">
          <w:rPr>
            <w:rStyle w:val="Hyperlink"/>
            <w:noProof/>
          </w:rPr>
          <w:t>Introduction</w:t>
        </w:r>
        <w:r w:rsidR="001B0B0C">
          <w:rPr>
            <w:noProof/>
            <w:webHidden/>
          </w:rPr>
          <w:tab/>
        </w:r>
        <w:r w:rsidR="001B0B0C">
          <w:rPr>
            <w:noProof/>
            <w:webHidden/>
          </w:rPr>
          <w:fldChar w:fldCharType="begin"/>
        </w:r>
        <w:r w:rsidR="001B0B0C">
          <w:rPr>
            <w:noProof/>
            <w:webHidden/>
          </w:rPr>
          <w:instrText xml:space="preserve"> PAGEREF _Toc4588883 \h </w:instrText>
        </w:r>
        <w:r w:rsidR="001B0B0C">
          <w:rPr>
            <w:noProof/>
            <w:webHidden/>
          </w:rPr>
        </w:r>
        <w:r w:rsidR="001B0B0C">
          <w:rPr>
            <w:noProof/>
            <w:webHidden/>
          </w:rPr>
          <w:fldChar w:fldCharType="separate"/>
        </w:r>
        <w:r>
          <w:rPr>
            <w:noProof/>
            <w:webHidden/>
          </w:rPr>
          <w:t>510</w:t>
        </w:r>
        <w:r w:rsidR="001B0B0C">
          <w:rPr>
            <w:noProof/>
            <w:webHidden/>
          </w:rPr>
          <w:fldChar w:fldCharType="end"/>
        </w:r>
      </w:hyperlink>
    </w:p>
    <w:p w14:paraId="3E7AD8A3" w14:textId="3CEE5404" w:rsidR="001B0B0C" w:rsidRDefault="00647F4E">
      <w:pPr>
        <w:pStyle w:val="TOC3"/>
        <w:tabs>
          <w:tab w:val="right" w:leader="dot" w:pos="9350"/>
        </w:tabs>
        <w:rPr>
          <w:rFonts w:asciiTheme="minorHAnsi" w:eastAsiaTheme="minorEastAsia" w:hAnsiTheme="minorHAnsi" w:cstheme="minorBidi"/>
          <w:noProof/>
        </w:rPr>
      </w:pPr>
      <w:hyperlink w:anchor="_Toc4588884" w:history="1">
        <w:r w:rsidR="001B0B0C" w:rsidRPr="00CD618B">
          <w:rPr>
            <w:rStyle w:val="Hyperlink"/>
            <w:noProof/>
          </w:rPr>
          <w:t>Validation Plan</w:t>
        </w:r>
        <w:r w:rsidR="001B0B0C">
          <w:rPr>
            <w:noProof/>
            <w:webHidden/>
          </w:rPr>
          <w:tab/>
        </w:r>
        <w:r w:rsidR="001B0B0C">
          <w:rPr>
            <w:noProof/>
            <w:webHidden/>
          </w:rPr>
          <w:fldChar w:fldCharType="begin"/>
        </w:r>
        <w:r w:rsidR="001B0B0C">
          <w:rPr>
            <w:noProof/>
            <w:webHidden/>
          </w:rPr>
          <w:instrText xml:space="preserve"> PAGEREF _Toc4588884 \h </w:instrText>
        </w:r>
        <w:r w:rsidR="001B0B0C">
          <w:rPr>
            <w:noProof/>
            <w:webHidden/>
          </w:rPr>
        </w:r>
        <w:r w:rsidR="001B0B0C">
          <w:rPr>
            <w:noProof/>
            <w:webHidden/>
          </w:rPr>
          <w:fldChar w:fldCharType="separate"/>
        </w:r>
        <w:r>
          <w:rPr>
            <w:noProof/>
            <w:webHidden/>
          </w:rPr>
          <w:t>510</w:t>
        </w:r>
        <w:r w:rsidR="001B0B0C">
          <w:rPr>
            <w:noProof/>
            <w:webHidden/>
          </w:rPr>
          <w:fldChar w:fldCharType="end"/>
        </w:r>
      </w:hyperlink>
    </w:p>
    <w:p w14:paraId="09D5AD99" w14:textId="6281C8D3" w:rsidR="001B0B0C" w:rsidRDefault="00647F4E">
      <w:pPr>
        <w:pStyle w:val="TOC3"/>
        <w:tabs>
          <w:tab w:val="right" w:leader="dot" w:pos="9350"/>
        </w:tabs>
        <w:rPr>
          <w:rFonts w:asciiTheme="minorHAnsi" w:eastAsiaTheme="minorEastAsia" w:hAnsiTheme="minorHAnsi" w:cstheme="minorBidi"/>
          <w:noProof/>
        </w:rPr>
      </w:pPr>
      <w:hyperlink w:anchor="_Toc4588885" w:history="1">
        <w:r w:rsidR="001B0B0C" w:rsidRPr="00CD618B">
          <w:rPr>
            <w:rStyle w:val="Hyperlink"/>
            <w:noProof/>
          </w:rPr>
          <w:t>Prerequisites</w:t>
        </w:r>
        <w:r w:rsidR="001B0B0C">
          <w:rPr>
            <w:noProof/>
            <w:webHidden/>
          </w:rPr>
          <w:tab/>
        </w:r>
        <w:r w:rsidR="001B0B0C">
          <w:rPr>
            <w:noProof/>
            <w:webHidden/>
          </w:rPr>
          <w:fldChar w:fldCharType="begin"/>
        </w:r>
        <w:r w:rsidR="001B0B0C">
          <w:rPr>
            <w:noProof/>
            <w:webHidden/>
          </w:rPr>
          <w:instrText xml:space="preserve"> PAGEREF _Toc4588885 \h </w:instrText>
        </w:r>
        <w:r w:rsidR="001B0B0C">
          <w:rPr>
            <w:noProof/>
            <w:webHidden/>
          </w:rPr>
        </w:r>
        <w:r w:rsidR="001B0B0C">
          <w:rPr>
            <w:noProof/>
            <w:webHidden/>
          </w:rPr>
          <w:fldChar w:fldCharType="separate"/>
        </w:r>
        <w:r>
          <w:rPr>
            <w:noProof/>
            <w:webHidden/>
          </w:rPr>
          <w:t>511</w:t>
        </w:r>
        <w:r w:rsidR="001B0B0C">
          <w:rPr>
            <w:noProof/>
            <w:webHidden/>
          </w:rPr>
          <w:fldChar w:fldCharType="end"/>
        </w:r>
      </w:hyperlink>
    </w:p>
    <w:p w14:paraId="65718BE4" w14:textId="7873C79A" w:rsidR="001B0B0C" w:rsidRDefault="00647F4E">
      <w:pPr>
        <w:pStyle w:val="TOC3"/>
        <w:tabs>
          <w:tab w:val="right" w:leader="dot" w:pos="9350"/>
        </w:tabs>
        <w:rPr>
          <w:rFonts w:asciiTheme="minorHAnsi" w:eastAsiaTheme="minorEastAsia" w:hAnsiTheme="minorHAnsi" w:cstheme="minorBidi"/>
          <w:noProof/>
        </w:rPr>
      </w:pPr>
      <w:hyperlink w:anchor="_Toc4588886" w:history="1">
        <w:r w:rsidR="001B0B0C" w:rsidRPr="00CD618B">
          <w:rPr>
            <w:rStyle w:val="Hyperlink"/>
            <w:noProof/>
          </w:rPr>
          <w:t>Record System Settings</w:t>
        </w:r>
        <w:r w:rsidR="001B0B0C">
          <w:rPr>
            <w:noProof/>
            <w:webHidden/>
          </w:rPr>
          <w:tab/>
        </w:r>
        <w:r w:rsidR="001B0B0C">
          <w:rPr>
            <w:noProof/>
            <w:webHidden/>
          </w:rPr>
          <w:fldChar w:fldCharType="begin"/>
        </w:r>
        <w:r w:rsidR="001B0B0C">
          <w:rPr>
            <w:noProof/>
            <w:webHidden/>
          </w:rPr>
          <w:instrText xml:space="preserve"> PAGEREF _Toc4588886 \h </w:instrText>
        </w:r>
        <w:r w:rsidR="001B0B0C">
          <w:rPr>
            <w:noProof/>
            <w:webHidden/>
          </w:rPr>
        </w:r>
        <w:r w:rsidR="001B0B0C">
          <w:rPr>
            <w:noProof/>
            <w:webHidden/>
          </w:rPr>
          <w:fldChar w:fldCharType="separate"/>
        </w:r>
        <w:r>
          <w:rPr>
            <w:noProof/>
            <w:webHidden/>
          </w:rPr>
          <w:t>512</w:t>
        </w:r>
        <w:r w:rsidR="001B0B0C">
          <w:rPr>
            <w:noProof/>
            <w:webHidden/>
          </w:rPr>
          <w:fldChar w:fldCharType="end"/>
        </w:r>
      </w:hyperlink>
    </w:p>
    <w:p w14:paraId="50108457" w14:textId="558282CC" w:rsidR="001B0B0C" w:rsidRDefault="00647F4E">
      <w:pPr>
        <w:pStyle w:val="TOC3"/>
        <w:tabs>
          <w:tab w:val="right" w:leader="dot" w:pos="9350"/>
        </w:tabs>
        <w:rPr>
          <w:rFonts w:asciiTheme="minorHAnsi" w:eastAsiaTheme="minorEastAsia" w:hAnsiTheme="minorHAnsi" w:cstheme="minorBidi"/>
          <w:noProof/>
        </w:rPr>
      </w:pPr>
      <w:hyperlink w:anchor="_Toc4588887" w:history="1">
        <w:r w:rsidR="001B0B0C" w:rsidRPr="00CD618B">
          <w:rPr>
            <w:rStyle w:val="Hyperlink"/>
            <w:noProof/>
          </w:rPr>
          <w:t>Configure Division</w:t>
        </w:r>
        <w:r w:rsidR="001B0B0C">
          <w:rPr>
            <w:noProof/>
            <w:webHidden/>
          </w:rPr>
          <w:tab/>
        </w:r>
        <w:r w:rsidR="001B0B0C">
          <w:rPr>
            <w:noProof/>
            <w:webHidden/>
          </w:rPr>
          <w:fldChar w:fldCharType="begin"/>
        </w:r>
        <w:r w:rsidR="001B0B0C">
          <w:rPr>
            <w:noProof/>
            <w:webHidden/>
          </w:rPr>
          <w:instrText xml:space="preserve"> PAGEREF _Toc4588887 \h </w:instrText>
        </w:r>
        <w:r w:rsidR="001B0B0C">
          <w:rPr>
            <w:noProof/>
            <w:webHidden/>
          </w:rPr>
        </w:r>
        <w:r w:rsidR="001B0B0C">
          <w:rPr>
            <w:noProof/>
            <w:webHidden/>
          </w:rPr>
          <w:fldChar w:fldCharType="separate"/>
        </w:r>
        <w:r>
          <w:rPr>
            <w:noProof/>
            <w:webHidden/>
          </w:rPr>
          <w:t>512</w:t>
        </w:r>
        <w:r w:rsidR="001B0B0C">
          <w:rPr>
            <w:noProof/>
            <w:webHidden/>
          </w:rPr>
          <w:fldChar w:fldCharType="end"/>
        </w:r>
      </w:hyperlink>
    </w:p>
    <w:p w14:paraId="24B1E7A2" w14:textId="6A3F2AEF" w:rsidR="001B0B0C" w:rsidRDefault="00647F4E">
      <w:pPr>
        <w:pStyle w:val="TOC3"/>
        <w:tabs>
          <w:tab w:val="right" w:leader="dot" w:pos="9350"/>
        </w:tabs>
        <w:rPr>
          <w:rFonts w:asciiTheme="minorHAnsi" w:eastAsiaTheme="minorEastAsia" w:hAnsiTheme="minorHAnsi" w:cstheme="minorBidi"/>
          <w:noProof/>
        </w:rPr>
      </w:pPr>
      <w:hyperlink w:anchor="_Toc4588888" w:history="1">
        <w:r w:rsidR="001B0B0C" w:rsidRPr="00CD618B">
          <w:rPr>
            <w:rStyle w:val="Hyperlink"/>
            <w:noProof/>
          </w:rPr>
          <w:t>Configure Testing: Full Service</w:t>
        </w:r>
        <w:r w:rsidR="001B0B0C">
          <w:rPr>
            <w:noProof/>
            <w:webHidden/>
          </w:rPr>
          <w:tab/>
        </w:r>
        <w:r w:rsidR="001B0B0C">
          <w:rPr>
            <w:noProof/>
            <w:webHidden/>
          </w:rPr>
          <w:fldChar w:fldCharType="begin"/>
        </w:r>
        <w:r w:rsidR="001B0B0C">
          <w:rPr>
            <w:noProof/>
            <w:webHidden/>
          </w:rPr>
          <w:instrText xml:space="preserve"> PAGEREF _Toc4588888 \h </w:instrText>
        </w:r>
        <w:r w:rsidR="001B0B0C">
          <w:rPr>
            <w:noProof/>
            <w:webHidden/>
          </w:rPr>
        </w:r>
        <w:r w:rsidR="001B0B0C">
          <w:rPr>
            <w:noProof/>
            <w:webHidden/>
          </w:rPr>
          <w:fldChar w:fldCharType="separate"/>
        </w:r>
        <w:r>
          <w:rPr>
            <w:noProof/>
            <w:webHidden/>
          </w:rPr>
          <w:t>512</w:t>
        </w:r>
        <w:r w:rsidR="001B0B0C">
          <w:rPr>
            <w:noProof/>
            <w:webHidden/>
          </w:rPr>
          <w:fldChar w:fldCharType="end"/>
        </w:r>
      </w:hyperlink>
    </w:p>
    <w:p w14:paraId="580FE626" w14:textId="1CE5B6AD" w:rsidR="001B0B0C" w:rsidRDefault="00647F4E">
      <w:pPr>
        <w:pStyle w:val="TOC3"/>
        <w:tabs>
          <w:tab w:val="right" w:leader="dot" w:pos="9350"/>
        </w:tabs>
        <w:rPr>
          <w:rFonts w:asciiTheme="minorHAnsi" w:eastAsiaTheme="minorEastAsia" w:hAnsiTheme="minorHAnsi" w:cstheme="minorBidi"/>
          <w:noProof/>
        </w:rPr>
      </w:pPr>
      <w:hyperlink w:anchor="_Toc4588889" w:history="1">
        <w:r w:rsidR="001B0B0C" w:rsidRPr="00CD618B">
          <w:rPr>
            <w:rStyle w:val="Hyperlink"/>
            <w:noProof/>
          </w:rPr>
          <w:t>Product Modifications: Full Service</w:t>
        </w:r>
        <w:r w:rsidR="001B0B0C">
          <w:rPr>
            <w:noProof/>
            <w:webHidden/>
          </w:rPr>
          <w:tab/>
        </w:r>
        <w:r w:rsidR="001B0B0C">
          <w:rPr>
            <w:noProof/>
            <w:webHidden/>
          </w:rPr>
          <w:fldChar w:fldCharType="begin"/>
        </w:r>
        <w:r w:rsidR="001B0B0C">
          <w:rPr>
            <w:noProof/>
            <w:webHidden/>
          </w:rPr>
          <w:instrText xml:space="preserve"> PAGEREF _Toc4588889 \h </w:instrText>
        </w:r>
        <w:r w:rsidR="001B0B0C">
          <w:rPr>
            <w:noProof/>
            <w:webHidden/>
          </w:rPr>
        </w:r>
        <w:r w:rsidR="001B0B0C">
          <w:rPr>
            <w:noProof/>
            <w:webHidden/>
          </w:rPr>
          <w:fldChar w:fldCharType="separate"/>
        </w:r>
        <w:r>
          <w:rPr>
            <w:noProof/>
            <w:webHidden/>
          </w:rPr>
          <w:t>513</w:t>
        </w:r>
        <w:r w:rsidR="001B0B0C">
          <w:rPr>
            <w:noProof/>
            <w:webHidden/>
          </w:rPr>
          <w:fldChar w:fldCharType="end"/>
        </w:r>
      </w:hyperlink>
    </w:p>
    <w:p w14:paraId="74FD37C3" w14:textId="486CC75D" w:rsidR="001B0B0C" w:rsidRDefault="00647F4E">
      <w:pPr>
        <w:pStyle w:val="TOC3"/>
        <w:tabs>
          <w:tab w:val="right" w:leader="dot" w:pos="9350"/>
        </w:tabs>
        <w:rPr>
          <w:rFonts w:asciiTheme="minorHAnsi" w:eastAsiaTheme="minorEastAsia" w:hAnsiTheme="minorHAnsi" w:cstheme="minorBidi"/>
          <w:noProof/>
        </w:rPr>
      </w:pPr>
      <w:hyperlink w:anchor="_Toc4588890" w:history="1">
        <w:r w:rsidR="001B0B0C" w:rsidRPr="00CD618B">
          <w:rPr>
            <w:rStyle w:val="Hyperlink"/>
            <w:noProof/>
          </w:rPr>
          <w:t>Order Alerts</w:t>
        </w:r>
        <w:r w:rsidR="001B0B0C">
          <w:rPr>
            <w:noProof/>
            <w:webHidden/>
          </w:rPr>
          <w:tab/>
        </w:r>
        <w:r w:rsidR="001B0B0C">
          <w:rPr>
            <w:noProof/>
            <w:webHidden/>
          </w:rPr>
          <w:fldChar w:fldCharType="begin"/>
        </w:r>
        <w:r w:rsidR="001B0B0C">
          <w:rPr>
            <w:noProof/>
            <w:webHidden/>
          </w:rPr>
          <w:instrText xml:space="preserve"> PAGEREF _Toc4588890 \h </w:instrText>
        </w:r>
        <w:r w:rsidR="001B0B0C">
          <w:rPr>
            <w:noProof/>
            <w:webHidden/>
          </w:rPr>
        </w:r>
        <w:r w:rsidR="001B0B0C">
          <w:rPr>
            <w:noProof/>
            <w:webHidden/>
          </w:rPr>
          <w:fldChar w:fldCharType="separate"/>
        </w:r>
        <w:r>
          <w:rPr>
            <w:noProof/>
            <w:webHidden/>
          </w:rPr>
          <w:t>514</w:t>
        </w:r>
        <w:r w:rsidR="001B0B0C">
          <w:rPr>
            <w:noProof/>
            <w:webHidden/>
          </w:rPr>
          <w:fldChar w:fldCharType="end"/>
        </w:r>
      </w:hyperlink>
    </w:p>
    <w:p w14:paraId="31512CA0" w14:textId="132E6E1E" w:rsidR="001B0B0C" w:rsidRDefault="00647F4E">
      <w:pPr>
        <w:pStyle w:val="TOC3"/>
        <w:tabs>
          <w:tab w:val="right" w:leader="dot" w:pos="9350"/>
        </w:tabs>
        <w:rPr>
          <w:rFonts w:asciiTheme="minorHAnsi" w:eastAsiaTheme="minorEastAsia" w:hAnsiTheme="minorHAnsi" w:cstheme="minorBidi"/>
          <w:noProof/>
        </w:rPr>
      </w:pPr>
      <w:hyperlink w:anchor="_Toc4588891" w:history="1">
        <w:r w:rsidR="001B0B0C" w:rsidRPr="00CD618B">
          <w:rPr>
            <w:rStyle w:val="Hyperlink"/>
            <w:noProof/>
          </w:rPr>
          <w:t>Configure Daily QC: Full Service</w:t>
        </w:r>
        <w:r w:rsidR="001B0B0C">
          <w:rPr>
            <w:noProof/>
            <w:webHidden/>
          </w:rPr>
          <w:tab/>
        </w:r>
        <w:r w:rsidR="001B0B0C">
          <w:rPr>
            <w:noProof/>
            <w:webHidden/>
          </w:rPr>
          <w:fldChar w:fldCharType="begin"/>
        </w:r>
        <w:r w:rsidR="001B0B0C">
          <w:rPr>
            <w:noProof/>
            <w:webHidden/>
          </w:rPr>
          <w:instrText xml:space="preserve"> PAGEREF _Toc4588891 \h </w:instrText>
        </w:r>
        <w:r w:rsidR="001B0B0C">
          <w:rPr>
            <w:noProof/>
            <w:webHidden/>
          </w:rPr>
        </w:r>
        <w:r w:rsidR="001B0B0C">
          <w:rPr>
            <w:noProof/>
            <w:webHidden/>
          </w:rPr>
          <w:fldChar w:fldCharType="separate"/>
        </w:r>
        <w:r>
          <w:rPr>
            <w:noProof/>
            <w:webHidden/>
          </w:rPr>
          <w:t>515</w:t>
        </w:r>
        <w:r w:rsidR="001B0B0C">
          <w:rPr>
            <w:noProof/>
            <w:webHidden/>
          </w:rPr>
          <w:fldChar w:fldCharType="end"/>
        </w:r>
      </w:hyperlink>
    </w:p>
    <w:p w14:paraId="1229C879" w14:textId="69D7B55C" w:rsidR="001B0B0C" w:rsidRDefault="00647F4E">
      <w:pPr>
        <w:pStyle w:val="TOC3"/>
        <w:tabs>
          <w:tab w:val="right" w:leader="dot" w:pos="9350"/>
        </w:tabs>
        <w:rPr>
          <w:rFonts w:asciiTheme="minorHAnsi" w:eastAsiaTheme="minorEastAsia" w:hAnsiTheme="minorHAnsi" w:cstheme="minorBidi"/>
          <w:noProof/>
        </w:rPr>
      </w:pPr>
      <w:hyperlink w:anchor="_Toc4588892" w:history="1">
        <w:r w:rsidR="001B0B0C" w:rsidRPr="00CD618B">
          <w:rPr>
            <w:rStyle w:val="Hyperlink"/>
            <w:noProof/>
          </w:rPr>
          <w:t>Maintain Minimum Levels: Full Service</w:t>
        </w:r>
        <w:r w:rsidR="001B0B0C">
          <w:rPr>
            <w:noProof/>
            <w:webHidden/>
          </w:rPr>
          <w:tab/>
        </w:r>
        <w:r w:rsidR="001B0B0C">
          <w:rPr>
            <w:noProof/>
            <w:webHidden/>
          </w:rPr>
          <w:fldChar w:fldCharType="begin"/>
        </w:r>
        <w:r w:rsidR="001B0B0C">
          <w:rPr>
            <w:noProof/>
            <w:webHidden/>
          </w:rPr>
          <w:instrText xml:space="preserve"> PAGEREF _Toc4588892 \h </w:instrText>
        </w:r>
        <w:r w:rsidR="001B0B0C">
          <w:rPr>
            <w:noProof/>
            <w:webHidden/>
          </w:rPr>
        </w:r>
        <w:r w:rsidR="001B0B0C">
          <w:rPr>
            <w:noProof/>
            <w:webHidden/>
          </w:rPr>
          <w:fldChar w:fldCharType="separate"/>
        </w:r>
        <w:r>
          <w:rPr>
            <w:noProof/>
            <w:webHidden/>
          </w:rPr>
          <w:t>516</w:t>
        </w:r>
        <w:r w:rsidR="001B0B0C">
          <w:rPr>
            <w:noProof/>
            <w:webHidden/>
          </w:rPr>
          <w:fldChar w:fldCharType="end"/>
        </w:r>
      </w:hyperlink>
    </w:p>
    <w:p w14:paraId="67FC9555" w14:textId="507DD2C9" w:rsidR="001B0B0C" w:rsidRDefault="00647F4E">
      <w:pPr>
        <w:pStyle w:val="TOC3"/>
        <w:tabs>
          <w:tab w:val="right" w:leader="dot" w:pos="9350"/>
        </w:tabs>
        <w:rPr>
          <w:rFonts w:asciiTheme="minorHAnsi" w:eastAsiaTheme="minorEastAsia" w:hAnsiTheme="minorHAnsi" w:cstheme="minorBidi"/>
          <w:noProof/>
        </w:rPr>
      </w:pPr>
      <w:hyperlink w:anchor="_Toc4588893" w:history="1">
        <w:r w:rsidR="001B0B0C" w:rsidRPr="00CD618B">
          <w:rPr>
            <w:rStyle w:val="Hyperlink"/>
            <w:noProof/>
          </w:rPr>
          <w:t>Log In Reagents: Full Service</w:t>
        </w:r>
        <w:r w:rsidR="001B0B0C">
          <w:rPr>
            <w:noProof/>
            <w:webHidden/>
          </w:rPr>
          <w:tab/>
        </w:r>
        <w:r w:rsidR="001B0B0C">
          <w:rPr>
            <w:noProof/>
            <w:webHidden/>
          </w:rPr>
          <w:fldChar w:fldCharType="begin"/>
        </w:r>
        <w:r w:rsidR="001B0B0C">
          <w:rPr>
            <w:noProof/>
            <w:webHidden/>
          </w:rPr>
          <w:instrText xml:space="preserve"> PAGEREF _Toc4588893 \h </w:instrText>
        </w:r>
        <w:r w:rsidR="001B0B0C">
          <w:rPr>
            <w:noProof/>
            <w:webHidden/>
          </w:rPr>
        </w:r>
        <w:r w:rsidR="001B0B0C">
          <w:rPr>
            <w:noProof/>
            <w:webHidden/>
          </w:rPr>
          <w:fldChar w:fldCharType="separate"/>
        </w:r>
        <w:r>
          <w:rPr>
            <w:noProof/>
            <w:webHidden/>
          </w:rPr>
          <w:t>517</w:t>
        </w:r>
        <w:r w:rsidR="001B0B0C">
          <w:rPr>
            <w:noProof/>
            <w:webHidden/>
          </w:rPr>
          <w:fldChar w:fldCharType="end"/>
        </w:r>
      </w:hyperlink>
    </w:p>
    <w:p w14:paraId="5FF9D3BD" w14:textId="1DC456BD" w:rsidR="001B0B0C" w:rsidRDefault="00647F4E">
      <w:pPr>
        <w:pStyle w:val="TOC3"/>
        <w:tabs>
          <w:tab w:val="right" w:leader="dot" w:pos="9350"/>
        </w:tabs>
        <w:rPr>
          <w:rFonts w:asciiTheme="minorHAnsi" w:eastAsiaTheme="minorEastAsia" w:hAnsiTheme="minorHAnsi" w:cstheme="minorBidi"/>
          <w:noProof/>
        </w:rPr>
      </w:pPr>
      <w:hyperlink w:anchor="_Toc4588894" w:history="1">
        <w:r w:rsidR="001B0B0C" w:rsidRPr="00CD618B">
          <w:rPr>
            <w:rStyle w:val="Hyperlink"/>
            <w:noProof/>
          </w:rPr>
          <w:t>Blood Products</w:t>
        </w:r>
        <w:r w:rsidR="001B0B0C">
          <w:rPr>
            <w:noProof/>
            <w:webHidden/>
          </w:rPr>
          <w:tab/>
        </w:r>
        <w:r w:rsidR="001B0B0C">
          <w:rPr>
            <w:noProof/>
            <w:webHidden/>
          </w:rPr>
          <w:fldChar w:fldCharType="begin"/>
        </w:r>
        <w:r w:rsidR="001B0B0C">
          <w:rPr>
            <w:noProof/>
            <w:webHidden/>
          </w:rPr>
          <w:instrText xml:space="preserve"> PAGEREF _Toc4588894 \h </w:instrText>
        </w:r>
        <w:r w:rsidR="001B0B0C">
          <w:rPr>
            <w:noProof/>
            <w:webHidden/>
          </w:rPr>
        </w:r>
        <w:r w:rsidR="001B0B0C">
          <w:rPr>
            <w:noProof/>
            <w:webHidden/>
          </w:rPr>
          <w:fldChar w:fldCharType="separate"/>
        </w:r>
        <w:r>
          <w:rPr>
            <w:noProof/>
            <w:webHidden/>
          </w:rPr>
          <w:t>518</w:t>
        </w:r>
        <w:r w:rsidR="001B0B0C">
          <w:rPr>
            <w:noProof/>
            <w:webHidden/>
          </w:rPr>
          <w:fldChar w:fldCharType="end"/>
        </w:r>
      </w:hyperlink>
    </w:p>
    <w:p w14:paraId="0E3CEF27" w14:textId="0BDC0BE4" w:rsidR="001B0B0C" w:rsidRDefault="00647F4E">
      <w:pPr>
        <w:pStyle w:val="TOC3"/>
        <w:tabs>
          <w:tab w:val="right" w:leader="dot" w:pos="9350"/>
        </w:tabs>
        <w:rPr>
          <w:rFonts w:asciiTheme="minorHAnsi" w:eastAsiaTheme="minorEastAsia" w:hAnsiTheme="minorHAnsi" w:cstheme="minorBidi"/>
          <w:noProof/>
        </w:rPr>
      </w:pPr>
      <w:hyperlink w:anchor="_Toc4588895" w:history="1">
        <w:r w:rsidR="001B0B0C" w:rsidRPr="00CD618B">
          <w:rPr>
            <w:rStyle w:val="Hyperlink"/>
            <w:noProof/>
          </w:rPr>
          <w:t>Local Facilities</w:t>
        </w:r>
        <w:r w:rsidR="001B0B0C">
          <w:rPr>
            <w:noProof/>
            <w:webHidden/>
          </w:rPr>
          <w:tab/>
        </w:r>
        <w:r w:rsidR="001B0B0C">
          <w:rPr>
            <w:noProof/>
            <w:webHidden/>
          </w:rPr>
          <w:fldChar w:fldCharType="begin"/>
        </w:r>
        <w:r w:rsidR="001B0B0C">
          <w:rPr>
            <w:noProof/>
            <w:webHidden/>
          </w:rPr>
          <w:instrText xml:space="preserve"> PAGEREF _Toc4588895 \h </w:instrText>
        </w:r>
        <w:r w:rsidR="001B0B0C">
          <w:rPr>
            <w:noProof/>
            <w:webHidden/>
          </w:rPr>
        </w:r>
        <w:r w:rsidR="001B0B0C">
          <w:rPr>
            <w:noProof/>
            <w:webHidden/>
          </w:rPr>
          <w:fldChar w:fldCharType="separate"/>
        </w:r>
        <w:r>
          <w:rPr>
            <w:noProof/>
            <w:webHidden/>
          </w:rPr>
          <w:t>519</w:t>
        </w:r>
        <w:r w:rsidR="001B0B0C">
          <w:rPr>
            <w:noProof/>
            <w:webHidden/>
          </w:rPr>
          <w:fldChar w:fldCharType="end"/>
        </w:r>
      </w:hyperlink>
    </w:p>
    <w:p w14:paraId="52AF5773" w14:textId="6A38BC85" w:rsidR="001B0B0C" w:rsidRDefault="00647F4E">
      <w:pPr>
        <w:pStyle w:val="TOC3"/>
        <w:tabs>
          <w:tab w:val="right" w:leader="dot" w:pos="9350"/>
        </w:tabs>
        <w:rPr>
          <w:rFonts w:asciiTheme="minorHAnsi" w:eastAsiaTheme="minorEastAsia" w:hAnsiTheme="minorHAnsi" w:cstheme="minorBidi"/>
          <w:noProof/>
        </w:rPr>
      </w:pPr>
      <w:hyperlink w:anchor="_Toc4588896" w:history="1">
        <w:r w:rsidR="001B0B0C" w:rsidRPr="00CD618B">
          <w:rPr>
            <w:rStyle w:val="Hyperlink"/>
            <w:noProof/>
          </w:rPr>
          <w:t>Component Classes</w:t>
        </w:r>
        <w:r w:rsidR="001B0B0C">
          <w:rPr>
            <w:noProof/>
            <w:webHidden/>
          </w:rPr>
          <w:tab/>
        </w:r>
        <w:r w:rsidR="001B0B0C">
          <w:rPr>
            <w:noProof/>
            <w:webHidden/>
          </w:rPr>
          <w:fldChar w:fldCharType="begin"/>
        </w:r>
        <w:r w:rsidR="001B0B0C">
          <w:rPr>
            <w:noProof/>
            <w:webHidden/>
          </w:rPr>
          <w:instrText xml:space="preserve"> PAGEREF _Toc4588896 \h </w:instrText>
        </w:r>
        <w:r w:rsidR="001B0B0C">
          <w:rPr>
            <w:noProof/>
            <w:webHidden/>
          </w:rPr>
        </w:r>
        <w:r w:rsidR="001B0B0C">
          <w:rPr>
            <w:noProof/>
            <w:webHidden/>
          </w:rPr>
          <w:fldChar w:fldCharType="separate"/>
        </w:r>
        <w:r>
          <w:rPr>
            <w:noProof/>
            <w:webHidden/>
          </w:rPr>
          <w:t>520</w:t>
        </w:r>
        <w:r w:rsidR="001B0B0C">
          <w:rPr>
            <w:noProof/>
            <w:webHidden/>
          </w:rPr>
          <w:fldChar w:fldCharType="end"/>
        </w:r>
      </w:hyperlink>
    </w:p>
    <w:p w14:paraId="2BBABE08" w14:textId="668394D5" w:rsidR="001B0B0C" w:rsidRDefault="00647F4E">
      <w:pPr>
        <w:pStyle w:val="TOC3"/>
        <w:tabs>
          <w:tab w:val="right" w:leader="dot" w:pos="9350"/>
        </w:tabs>
        <w:rPr>
          <w:rFonts w:asciiTheme="minorHAnsi" w:eastAsiaTheme="minorEastAsia" w:hAnsiTheme="minorHAnsi" w:cstheme="minorBidi"/>
          <w:noProof/>
        </w:rPr>
      </w:pPr>
      <w:hyperlink w:anchor="_Toc4588897" w:history="1">
        <w:r w:rsidR="001B0B0C" w:rsidRPr="00CD618B">
          <w:rPr>
            <w:rStyle w:val="Hyperlink"/>
            <w:noProof/>
          </w:rPr>
          <w:t>Transfusion Complications</w:t>
        </w:r>
        <w:r w:rsidR="001B0B0C">
          <w:rPr>
            <w:noProof/>
            <w:webHidden/>
          </w:rPr>
          <w:tab/>
        </w:r>
        <w:r w:rsidR="001B0B0C">
          <w:rPr>
            <w:noProof/>
            <w:webHidden/>
          </w:rPr>
          <w:fldChar w:fldCharType="begin"/>
        </w:r>
        <w:r w:rsidR="001B0B0C">
          <w:rPr>
            <w:noProof/>
            <w:webHidden/>
          </w:rPr>
          <w:instrText xml:space="preserve"> PAGEREF _Toc4588897 \h </w:instrText>
        </w:r>
        <w:r w:rsidR="001B0B0C">
          <w:rPr>
            <w:noProof/>
            <w:webHidden/>
          </w:rPr>
        </w:r>
        <w:r w:rsidR="001B0B0C">
          <w:rPr>
            <w:noProof/>
            <w:webHidden/>
          </w:rPr>
          <w:fldChar w:fldCharType="separate"/>
        </w:r>
        <w:r>
          <w:rPr>
            <w:noProof/>
            <w:webHidden/>
          </w:rPr>
          <w:t>521</w:t>
        </w:r>
        <w:r w:rsidR="001B0B0C">
          <w:rPr>
            <w:noProof/>
            <w:webHidden/>
          </w:rPr>
          <w:fldChar w:fldCharType="end"/>
        </w:r>
      </w:hyperlink>
    </w:p>
    <w:p w14:paraId="3618F7EC" w14:textId="2F2F63BD" w:rsidR="001B0B0C" w:rsidRDefault="00647F4E">
      <w:pPr>
        <w:pStyle w:val="TOC3"/>
        <w:tabs>
          <w:tab w:val="right" w:leader="dot" w:pos="9350"/>
        </w:tabs>
        <w:rPr>
          <w:rFonts w:asciiTheme="minorHAnsi" w:eastAsiaTheme="minorEastAsia" w:hAnsiTheme="minorHAnsi" w:cstheme="minorBidi"/>
          <w:noProof/>
        </w:rPr>
      </w:pPr>
      <w:hyperlink w:anchor="_Toc4588898" w:history="1">
        <w:r w:rsidR="001B0B0C" w:rsidRPr="00CD618B">
          <w:rPr>
            <w:rStyle w:val="Hyperlink"/>
            <w:noProof/>
          </w:rPr>
          <w:t>Transfusion Effectiveness</w:t>
        </w:r>
        <w:r w:rsidR="001B0B0C">
          <w:rPr>
            <w:noProof/>
            <w:webHidden/>
          </w:rPr>
          <w:tab/>
        </w:r>
        <w:r w:rsidR="001B0B0C">
          <w:rPr>
            <w:noProof/>
            <w:webHidden/>
          </w:rPr>
          <w:fldChar w:fldCharType="begin"/>
        </w:r>
        <w:r w:rsidR="001B0B0C">
          <w:rPr>
            <w:noProof/>
            <w:webHidden/>
          </w:rPr>
          <w:instrText xml:space="preserve"> PAGEREF _Toc4588898 \h </w:instrText>
        </w:r>
        <w:r w:rsidR="001B0B0C">
          <w:rPr>
            <w:noProof/>
            <w:webHidden/>
          </w:rPr>
        </w:r>
        <w:r w:rsidR="001B0B0C">
          <w:rPr>
            <w:noProof/>
            <w:webHidden/>
          </w:rPr>
          <w:fldChar w:fldCharType="separate"/>
        </w:r>
        <w:r>
          <w:rPr>
            <w:noProof/>
            <w:webHidden/>
          </w:rPr>
          <w:t>522</w:t>
        </w:r>
        <w:r w:rsidR="001B0B0C">
          <w:rPr>
            <w:noProof/>
            <w:webHidden/>
          </w:rPr>
          <w:fldChar w:fldCharType="end"/>
        </w:r>
      </w:hyperlink>
    </w:p>
    <w:p w14:paraId="76EBE95B" w14:textId="78E90E30" w:rsidR="001B0B0C" w:rsidRDefault="00647F4E">
      <w:pPr>
        <w:pStyle w:val="TOC3"/>
        <w:tabs>
          <w:tab w:val="right" w:leader="dot" w:pos="9350"/>
        </w:tabs>
        <w:rPr>
          <w:rFonts w:asciiTheme="minorHAnsi" w:eastAsiaTheme="minorEastAsia" w:hAnsiTheme="minorHAnsi" w:cstheme="minorBidi"/>
          <w:noProof/>
        </w:rPr>
      </w:pPr>
      <w:hyperlink w:anchor="_Toc4588899" w:history="1">
        <w:r w:rsidR="001B0B0C" w:rsidRPr="00CD618B">
          <w:rPr>
            <w:rStyle w:val="Hyperlink"/>
            <w:noProof/>
            <w:snapToGrid w:val="0"/>
          </w:rPr>
          <w:t>Workload Codes</w:t>
        </w:r>
        <w:r w:rsidR="001B0B0C">
          <w:rPr>
            <w:noProof/>
            <w:webHidden/>
          </w:rPr>
          <w:tab/>
        </w:r>
        <w:r w:rsidR="001B0B0C">
          <w:rPr>
            <w:noProof/>
            <w:webHidden/>
          </w:rPr>
          <w:fldChar w:fldCharType="begin"/>
        </w:r>
        <w:r w:rsidR="001B0B0C">
          <w:rPr>
            <w:noProof/>
            <w:webHidden/>
          </w:rPr>
          <w:instrText xml:space="preserve"> PAGEREF _Toc4588899 \h </w:instrText>
        </w:r>
        <w:r w:rsidR="001B0B0C">
          <w:rPr>
            <w:noProof/>
            <w:webHidden/>
          </w:rPr>
        </w:r>
        <w:r w:rsidR="001B0B0C">
          <w:rPr>
            <w:noProof/>
            <w:webHidden/>
          </w:rPr>
          <w:fldChar w:fldCharType="separate"/>
        </w:r>
        <w:r>
          <w:rPr>
            <w:noProof/>
            <w:webHidden/>
          </w:rPr>
          <w:t>523</w:t>
        </w:r>
        <w:r w:rsidR="001B0B0C">
          <w:rPr>
            <w:noProof/>
            <w:webHidden/>
          </w:rPr>
          <w:fldChar w:fldCharType="end"/>
        </w:r>
      </w:hyperlink>
    </w:p>
    <w:p w14:paraId="536432FB" w14:textId="61B42915" w:rsidR="001B0B0C" w:rsidRDefault="00647F4E">
      <w:pPr>
        <w:pStyle w:val="TOC3"/>
        <w:tabs>
          <w:tab w:val="right" w:leader="dot" w:pos="9350"/>
        </w:tabs>
        <w:rPr>
          <w:rFonts w:asciiTheme="minorHAnsi" w:eastAsiaTheme="minorEastAsia" w:hAnsiTheme="minorHAnsi" w:cstheme="minorBidi"/>
          <w:noProof/>
        </w:rPr>
      </w:pPr>
      <w:hyperlink w:anchor="_Toc4588900" w:history="1">
        <w:r w:rsidR="001B0B0C" w:rsidRPr="00CD618B">
          <w:rPr>
            <w:rStyle w:val="Hyperlink"/>
            <w:noProof/>
            <w:snapToGrid w:val="0"/>
          </w:rPr>
          <w:t xml:space="preserve">Canned </w:t>
        </w:r>
        <w:r w:rsidR="001B0B0C" w:rsidRPr="00CD618B">
          <w:rPr>
            <w:rStyle w:val="Hyperlink"/>
            <w:noProof/>
          </w:rPr>
          <w:t>Comments</w:t>
        </w:r>
        <w:r w:rsidR="001B0B0C">
          <w:rPr>
            <w:noProof/>
            <w:webHidden/>
          </w:rPr>
          <w:tab/>
        </w:r>
        <w:r w:rsidR="001B0B0C">
          <w:rPr>
            <w:noProof/>
            <w:webHidden/>
          </w:rPr>
          <w:fldChar w:fldCharType="begin"/>
        </w:r>
        <w:r w:rsidR="001B0B0C">
          <w:rPr>
            <w:noProof/>
            <w:webHidden/>
          </w:rPr>
          <w:instrText xml:space="preserve"> PAGEREF _Toc4588900 \h </w:instrText>
        </w:r>
        <w:r w:rsidR="001B0B0C">
          <w:rPr>
            <w:noProof/>
            <w:webHidden/>
          </w:rPr>
        </w:r>
        <w:r w:rsidR="001B0B0C">
          <w:rPr>
            <w:noProof/>
            <w:webHidden/>
          </w:rPr>
          <w:fldChar w:fldCharType="separate"/>
        </w:r>
        <w:r>
          <w:rPr>
            <w:noProof/>
            <w:webHidden/>
          </w:rPr>
          <w:t>523</w:t>
        </w:r>
        <w:r w:rsidR="001B0B0C">
          <w:rPr>
            <w:noProof/>
            <w:webHidden/>
          </w:rPr>
          <w:fldChar w:fldCharType="end"/>
        </w:r>
      </w:hyperlink>
    </w:p>
    <w:p w14:paraId="4604A8D1" w14:textId="2064B70D" w:rsidR="001B0B0C" w:rsidRDefault="00647F4E">
      <w:pPr>
        <w:pStyle w:val="TOC3"/>
        <w:tabs>
          <w:tab w:val="right" w:leader="dot" w:pos="9350"/>
        </w:tabs>
        <w:rPr>
          <w:rFonts w:asciiTheme="minorHAnsi" w:eastAsiaTheme="minorEastAsia" w:hAnsiTheme="minorHAnsi" w:cstheme="minorBidi"/>
          <w:noProof/>
        </w:rPr>
      </w:pPr>
      <w:hyperlink w:anchor="_Toc4588901" w:history="1">
        <w:r w:rsidR="001B0B0C" w:rsidRPr="00CD618B">
          <w:rPr>
            <w:rStyle w:val="Hyperlink"/>
            <w:noProof/>
          </w:rPr>
          <w:t>MSBOS</w:t>
        </w:r>
        <w:r w:rsidR="001B0B0C">
          <w:rPr>
            <w:noProof/>
            <w:webHidden/>
          </w:rPr>
          <w:tab/>
        </w:r>
        <w:r w:rsidR="001B0B0C">
          <w:rPr>
            <w:noProof/>
            <w:webHidden/>
          </w:rPr>
          <w:fldChar w:fldCharType="begin"/>
        </w:r>
        <w:r w:rsidR="001B0B0C">
          <w:rPr>
            <w:noProof/>
            <w:webHidden/>
          </w:rPr>
          <w:instrText xml:space="preserve"> PAGEREF _Toc4588901 \h </w:instrText>
        </w:r>
        <w:r w:rsidR="001B0B0C">
          <w:rPr>
            <w:noProof/>
            <w:webHidden/>
          </w:rPr>
        </w:r>
        <w:r w:rsidR="001B0B0C">
          <w:rPr>
            <w:noProof/>
            <w:webHidden/>
          </w:rPr>
          <w:fldChar w:fldCharType="separate"/>
        </w:r>
        <w:r>
          <w:rPr>
            <w:noProof/>
            <w:webHidden/>
          </w:rPr>
          <w:t>523</w:t>
        </w:r>
        <w:r w:rsidR="001B0B0C">
          <w:rPr>
            <w:noProof/>
            <w:webHidden/>
          </w:rPr>
          <w:fldChar w:fldCharType="end"/>
        </w:r>
      </w:hyperlink>
    </w:p>
    <w:p w14:paraId="3BCD2767" w14:textId="721C31F6" w:rsidR="001B0B0C" w:rsidRDefault="00647F4E">
      <w:pPr>
        <w:pStyle w:val="TOC3"/>
        <w:tabs>
          <w:tab w:val="right" w:leader="dot" w:pos="9350"/>
        </w:tabs>
        <w:rPr>
          <w:rFonts w:asciiTheme="minorHAnsi" w:eastAsiaTheme="minorEastAsia" w:hAnsiTheme="minorHAnsi" w:cstheme="minorBidi"/>
          <w:noProof/>
        </w:rPr>
      </w:pPr>
      <w:hyperlink w:anchor="_Toc4588902" w:history="1">
        <w:r w:rsidR="001B0B0C" w:rsidRPr="00CD618B">
          <w:rPr>
            <w:rStyle w:val="Hyperlink"/>
            <w:noProof/>
            <w:snapToGrid w:val="0"/>
          </w:rPr>
          <w:t>Edit Invoice Text</w:t>
        </w:r>
        <w:r w:rsidR="001B0B0C">
          <w:rPr>
            <w:noProof/>
            <w:webHidden/>
          </w:rPr>
          <w:tab/>
        </w:r>
        <w:r w:rsidR="001B0B0C">
          <w:rPr>
            <w:noProof/>
            <w:webHidden/>
          </w:rPr>
          <w:fldChar w:fldCharType="begin"/>
        </w:r>
        <w:r w:rsidR="001B0B0C">
          <w:rPr>
            <w:noProof/>
            <w:webHidden/>
          </w:rPr>
          <w:instrText xml:space="preserve"> PAGEREF _Toc4588902 \h </w:instrText>
        </w:r>
        <w:r w:rsidR="001B0B0C">
          <w:rPr>
            <w:noProof/>
            <w:webHidden/>
          </w:rPr>
        </w:r>
        <w:r w:rsidR="001B0B0C">
          <w:rPr>
            <w:noProof/>
            <w:webHidden/>
          </w:rPr>
          <w:fldChar w:fldCharType="separate"/>
        </w:r>
        <w:r>
          <w:rPr>
            <w:noProof/>
            <w:webHidden/>
          </w:rPr>
          <w:t>523</w:t>
        </w:r>
        <w:r w:rsidR="001B0B0C">
          <w:rPr>
            <w:noProof/>
            <w:webHidden/>
          </w:rPr>
          <w:fldChar w:fldCharType="end"/>
        </w:r>
      </w:hyperlink>
    </w:p>
    <w:p w14:paraId="486D6D37" w14:textId="56CE3DDB" w:rsidR="001B0B0C" w:rsidRDefault="00647F4E">
      <w:pPr>
        <w:pStyle w:val="TOC3"/>
        <w:tabs>
          <w:tab w:val="right" w:leader="dot" w:pos="9350"/>
        </w:tabs>
        <w:rPr>
          <w:rFonts w:asciiTheme="minorHAnsi" w:eastAsiaTheme="minorEastAsia" w:hAnsiTheme="minorHAnsi" w:cstheme="minorBidi"/>
          <w:noProof/>
        </w:rPr>
      </w:pPr>
      <w:hyperlink w:anchor="_Toc4588903" w:history="1">
        <w:r w:rsidR="001B0B0C" w:rsidRPr="00CD618B">
          <w:rPr>
            <w:rStyle w:val="Hyperlink"/>
            <w:noProof/>
            <w:snapToGrid w:val="0"/>
          </w:rPr>
          <w:t>Antibodies</w:t>
        </w:r>
        <w:r w:rsidR="001B0B0C">
          <w:rPr>
            <w:noProof/>
            <w:webHidden/>
          </w:rPr>
          <w:tab/>
        </w:r>
        <w:r w:rsidR="001B0B0C">
          <w:rPr>
            <w:noProof/>
            <w:webHidden/>
          </w:rPr>
          <w:fldChar w:fldCharType="begin"/>
        </w:r>
        <w:r w:rsidR="001B0B0C">
          <w:rPr>
            <w:noProof/>
            <w:webHidden/>
          </w:rPr>
          <w:instrText xml:space="preserve"> PAGEREF _Toc4588903 \h </w:instrText>
        </w:r>
        <w:r w:rsidR="001B0B0C">
          <w:rPr>
            <w:noProof/>
            <w:webHidden/>
          </w:rPr>
        </w:r>
        <w:r w:rsidR="001B0B0C">
          <w:rPr>
            <w:noProof/>
            <w:webHidden/>
          </w:rPr>
          <w:fldChar w:fldCharType="separate"/>
        </w:r>
        <w:r>
          <w:rPr>
            <w:noProof/>
            <w:webHidden/>
          </w:rPr>
          <w:t>524</w:t>
        </w:r>
        <w:r w:rsidR="001B0B0C">
          <w:rPr>
            <w:noProof/>
            <w:webHidden/>
          </w:rPr>
          <w:fldChar w:fldCharType="end"/>
        </w:r>
      </w:hyperlink>
    </w:p>
    <w:p w14:paraId="2903A5CF" w14:textId="325F23F5" w:rsidR="001B0B0C" w:rsidRDefault="00647F4E">
      <w:pPr>
        <w:pStyle w:val="TOC3"/>
        <w:tabs>
          <w:tab w:val="right" w:leader="dot" w:pos="9350"/>
        </w:tabs>
        <w:rPr>
          <w:rFonts w:asciiTheme="minorHAnsi" w:eastAsiaTheme="minorEastAsia" w:hAnsiTheme="minorHAnsi" w:cstheme="minorBidi"/>
          <w:noProof/>
        </w:rPr>
      </w:pPr>
      <w:hyperlink w:anchor="_Toc4588904" w:history="1">
        <w:r w:rsidR="001B0B0C" w:rsidRPr="00CD618B">
          <w:rPr>
            <w:rStyle w:val="Hyperlink"/>
            <w:noProof/>
          </w:rPr>
          <w:t>Update User Roles</w:t>
        </w:r>
        <w:r w:rsidR="001B0B0C">
          <w:rPr>
            <w:noProof/>
            <w:webHidden/>
          </w:rPr>
          <w:tab/>
        </w:r>
        <w:r w:rsidR="001B0B0C">
          <w:rPr>
            <w:noProof/>
            <w:webHidden/>
          </w:rPr>
          <w:fldChar w:fldCharType="begin"/>
        </w:r>
        <w:r w:rsidR="001B0B0C">
          <w:rPr>
            <w:noProof/>
            <w:webHidden/>
          </w:rPr>
          <w:instrText xml:space="preserve"> PAGEREF _Toc4588904 \h </w:instrText>
        </w:r>
        <w:r w:rsidR="001B0B0C">
          <w:rPr>
            <w:noProof/>
            <w:webHidden/>
          </w:rPr>
        </w:r>
        <w:r w:rsidR="001B0B0C">
          <w:rPr>
            <w:noProof/>
            <w:webHidden/>
          </w:rPr>
          <w:fldChar w:fldCharType="separate"/>
        </w:r>
        <w:r>
          <w:rPr>
            <w:noProof/>
            <w:webHidden/>
          </w:rPr>
          <w:t>525</w:t>
        </w:r>
        <w:r w:rsidR="001B0B0C">
          <w:rPr>
            <w:noProof/>
            <w:webHidden/>
          </w:rPr>
          <w:fldChar w:fldCharType="end"/>
        </w:r>
      </w:hyperlink>
    </w:p>
    <w:p w14:paraId="0BFCACFA" w14:textId="3CAAEB91" w:rsidR="001B0B0C" w:rsidRDefault="00647F4E">
      <w:pPr>
        <w:pStyle w:val="TOC3"/>
        <w:tabs>
          <w:tab w:val="right" w:leader="dot" w:pos="9350"/>
        </w:tabs>
        <w:rPr>
          <w:rFonts w:asciiTheme="minorHAnsi" w:eastAsiaTheme="minorEastAsia" w:hAnsiTheme="minorHAnsi" w:cstheme="minorBidi"/>
          <w:noProof/>
        </w:rPr>
      </w:pPr>
      <w:hyperlink w:anchor="_Toc4588905" w:history="1">
        <w:r w:rsidR="001B0B0C" w:rsidRPr="00CD618B">
          <w:rPr>
            <w:rStyle w:val="Hyperlink"/>
            <w:noProof/>
            <w:snapToGrid w:val="0"/>
          </w:rPr>
          <w:t>Testing</w:t>
        </w:r>
        <w:r w:rsidR="001B0B0C">
          <w:rPr>
            <w:noProof/>
            <w:webHidden/>
          </w:rPr>
          <w:tab/>
        </w:r>
        <w:r w:rsidR="001B0B0C">
          <w:rPr>
            <w:noProof/>
            <w:webHidden/>
          </w:rPr>
          <w:fldChar w:fldCharType="begin"/>
        </w:r>
        <w:r w:rsidR="001B0B0C">
          <w:rPr>
            <w:noProof/>
            <w:webHidden/>
          </w:rPr>
          <w:instrText xml:space="preserve"> PAGEREF _Toc4588905 \h </w:instrText>
        </w:r>
        <w:r w:rsidR="001B0B0C">
          <w:rPr>
            <w:noProof/>
            <w:webHidden/>
          </w:rPr>
        </w:r>
        <w:r w:rsidR="001B0B0C">
          <w:rPr>
            <w:noProof/>
            <w:webHidden/>
          </w:rPr>
          <w:fldChar w:fldCharType="separate"/>
        </w:r>
        <w:r>
          <w:rPr>
            <w:noProof/>
            <w:webHidden/>
          </w:rPr>
          <w:t>525</w:t>
        </w:r>
        <w:r w:rsidR="001B0B0C">
          <w:rPr>
            <w:noProof/>
            <w:webHidden/>
          </w:rPr>
          <w:fldChar w:fldCharType="end"/>
        </w:r>
      </w:hyperlink>
    </w:p>
    <w:p w14:paraId="77849DD3" w14:textId="3D3A9911" w:rsidR="001B0B0C" w:rsidRDefault="00647F4E">
      <w:pPr>
        <w:pStyle w:val="TOC3"/>
        <w:tabs>
          <w:tab w:val="right" w:leader="dot" w:pos="9350"/>
        </w:tabs>
        <w:rPr>
          <w:rFonts w:asciiTheme="minorHAnsi" w:eastAsiaTheme="minorEastAsia" w:hAnsiTheme="minorHAnsi" w:cstheme="minorBidi"/>
          <w:noProof/>
        </w:rPr>
      </w:pPr>
      <w:hyperlink w:anchor="_Toc4588906" w:history="1">
        <w:r w:rsidR="001B0B0C" w:rsidRPr="00CD618B">
          <w:rPr>
            <w:rStyle w:val="Hyperlink"/>
            <w:noProof/>
          </w:rPr>
          <w:t>VBECS Forms and Reports</w:t>
        </w:r>
        <w:r w:rsidR="001B0B0C">
          <w:rPr>
            <w:noProof/>
            <w:webHidden/>
          </w:rPr>
          <w:tab/>
        </w:r>
        <w:r w:rsidR="001B0B0C">
          <w:rPr>
            <w:noProof/>
            <w:webHidden/>
          </w:rPr>
          <w:fldChar w:fldCharType="begin"/>
        </w:r>
        <w:r w:rsidR="001B0B0C">
          <w:rPr>
            <w:noProof/>
            <w:webHidden/>
          </w:rPr>
          <w:instrText xml:space="preserve"> PAGEREF _Toc4588906 \h </w:instrText>
        </w:r>
        <w:r w:rsidR="001B0B0C">
          <w:rPr>
            <w:noProof/>
            <w:webHidden/>
          </w:rPr>
        </w:r>
        <w:r w:rsidR="001B0B0C">
          <w:rPr>
            <w:noProof/>
            <w:webHidden/>
          </w:rPr>
          <w:fldChar w:fldCharType="separate"/>
        </w:r>
        <w:r>
          <w:rPr>
            <w:noProof/>
            <w:webHidden/>
          </w:rPr>
          <w:t>526</w:t>
        </w:r>
        <w:r w:rsidR="001B0B0C">
          <w:rPr>
            <w:noProof/>
            <w:webHidden/>
          </w:rPr>
          <w:fldChar w:fldCharType="end"/>
        </w:r>
      </w:hyperlink>
    </w:p>
    <w:p w14:paraId="35A7B1E5" w14:textId="376CE6DB" w:rsidR="001B0B0C" w:rsidRDefault="00647F4E">
      <w:pPr>
        <w:pStyle w:val="TOC2"/>
        <w:tabs>
          <w:tab w:val="right" w:leader="dot" w:pos="9350"/>
        </w:tabs>
        <w:rPr>
          <w:rFonts w:asciiTheme="minorHAnsi" w:eastAsiaTheme="minorEastAsia" w:hAnsiTheme="minorHAnsi" w:cstheme="minorBidi"/>
          <w:smallCaps w:val="0"/>
          <w:noProof/>
        </w:rPr>
      </w:pPr>
      <w:hyperlink w:anchor="_Toc4588907" w:history="1">
        <w:r w:rsidR="001B0B0C" w:rsidRPr="00CD618B">
          <w:rPr>
            <w:rStyle w:val="Hyperlink"/>
            <w:noProof/>
          </w:rPr>
          <w:t>Appendix G: Work Process Flowcharts</w:t>
        </w:r>
        <w:r w:rsidR="001B0B0C">
          <w:rPr>
            <w:noProof/>
            <w:webHidden/>
          </w:rPr>
          <w:tab/>
        </w:r>
        <w:r w:rsidR="001B0B0C">
          <w:rPr>
            <w:noProof/>
            <w:webHidden/>
          </w:rPr>
          <w:fldChar w:fldCharType="begin"/>
        </w:r>
        <w:r w:rsidR="001B0B0C">
          <w:rPr>
            <w:noProof/>
            <w:webHidden/>
          </w:rPr>
          <w:instrText xml:space="preserve"> PAGEREF _Toc4588907 \h </w:instrText>
        </w:r>
        <w:r w:rsidR="001B0B0C">
          <w:rPr>
            <w:noProof/>
            <w:webHidden/>
          </w:rPr>
        </w:r>
        <w:r w:rsidR="001B0B0C">
          <w:rPr>
            <w:noProof/>
            <w:webHidden/>
          </w:rPr>
          <w:fldChar w:fldCharType="separate"/>
        </w:r>
        <w:r>
          <w:rPr>
            <w:noProof/>
            <w:webHidden/>
          </w:rPr>
          <w:t>528</w:t>
        </w:r>
        <w:r w:rsidR="001B0B0C">
          <w:rPr>
            <w:noProof/>
            <w:webHidden/>
          </w:rPr>
          <w:fldChar w:fldCharType="end"/>
        </w:r>
      </w:hyperlink>
    </w:p>
    <w:p w14:paraId="7D607CF9" w14:textId="4649F0E4" w:rsidR="001B0B0C" w:rsidRDefault="00647F4E">
      <w:pPr>
        <w:pStyle w:val="TOC2"/>
        <w:tabs>
          <w:tab w:val="right" w:leader="dot" w:pos="9350"/>
        </w:tabs>
        <w:rPr>
          <w:rFonts w:asciiTheme="minorHAnsi" w:eastAsiaTheme="minorEastAsia" w:hAnsiTheme="minorHAnsi" w:cstheme="minorBidi"/>
          <w:smallCaps w:val="0"/>
          <w:noProof/>
        </w:rPr>
      </w:pPr>
      <w:hyperlink w:anchor="_Toc4588908" w:history="1">
        <w:r w:rsidR="001B0B0C" w:rsidRPr="00CD618B">
          <w:rPr>
            <w:rStyle w:val="Hyperlink"/>
            <w:noProof/>
          </w:rPr>
          <w:t>Appendix H: Frequently Asked Questions</w:t>
        </w:r>
        <w:r w:rsidR="001B0B0C">
          <w:rPr>
            <w:noProof/>
            <w:webHidden/>
          </w:rPr>
          <w:tab/>
        </w:r>
        <w:r w:rsidR="001B0B0C">
          <w:rPr>
            <w:noProof/>
            <w:webHidden/>
          </w:rPr>
          <w:fldChar w:fldCharType="begin"/>
        </w:r>
        <w:r w:rsidR="001B0B0C">
          <w:rPr>
            <w:noProof/>
            <w:webHidden/>
          </w:rPr>
          <w:instrText xml:space="preserve"> PAGEREF _Toc4588908 \h </w:instrText>
        </w:r>
        <w:r w:rsidR="001B0B0C">
          <w:rPr>
            <w:noProof/>
            <w:webHidden/>
          </w:rPr>
        </w:r>
        <w:r w:rsidR="001B0B0C">
          <w:rPr>
            <w:noProof/>
            <w:webHidden/>
          </w:rPr>
          <w:fldChar w:fldCharType="separate"/>
        </w:r>
        <w:r>
          <w:rPr>
            <w:noProof/>
            <w:webHidden/>
          </w:rPr>
          <w:t>538</w:t>
        </w:r>
        <w:r w:rsidR="001B0B0C">
          <w:rPr>
            <w:noProof/>
            <w:webHidden/>
          </w:rPr>
          <w:fldChar w:fldCharType="end"/>
        </w:r>
      </w:hyperlink>
    </w:p>
    <w:p w14:paraId="79A7540A" w14:textId="4BCE38C4" w:rsidR="001B0B0C" w:rsidRDefault="00647F4E">
      <w:pPr>
        <w:pStyle w:val="TOC2"/>
        <w:tabs>
          <w:tab w:val="right" w:leader="dot" w:pos="9350"/>
        </w:tabs>
        <w:rPr>
          <w:rFonts w:asciiTheme="minorHAnsi" w:eastAsiaTheme="minorEastAsia" w:hAnsiTheme="minorHAnsi" w:cstheme="minorBidi"/>
          <w:smallCaps w:val="0"/>
          <w:noProof/>
        </w:rPr>
      </w:pPr>
      <w:hyperlink w:anchor="_Toc4588909" w:history="1">
        <w:r w:rsidR="001B0B0C" w:rsidRPr="00CD618B">
          <w:rPr>
            <w:rStyle w:val="Hyperlink"/>
            <w:noProof/>
          </w:rPr>
          <w:t>Appendix I: Common Error Corrections</w:t>
        </w:r>
        <w:r w:rsidR="001B0B0C">
          <w:rPr>
            <w:noProof/>
            <w:webHidden/>
          </w:rPr>
          <w:tab/>
        </w:r>
        <w:r w:rsidR="001B0B0C">
          <w:rPr>
            <w:noProof/>
            <w:webHidden/>
          </w:rPr>
          <w:fldChar w:fldCharType="begin"/>
        </w:r>
        <w:r w:rsidR="001B0B0C">
          <w:rPr>
            <w:noProof/>
            <w:webHidden/>
          </w:rPr>
          <w:instrText xml:space="preserve"> PAGEREF _Toc4588909 \h </w:instrText>
        </w:r>
        <w:r w:rsidR="001B0B0C">
          <w:rPr>
            <w:noProof/>
            <w:webHidden/>
          </w:rPr>
        </w:r>
        <w:r w:rsidR="001B0B0C">
          <w:rPr>
            <w:noProof/>
            <w:webHidden/>
          </w:rPr>
          <w:fldChar w:fldCharType="separate"/>
        </w:r>
        <w:r>
          <w:rPr>
            <w:noProof/>
            <w:webHidden/>
          </w:rPr>
          <w:t>540</w:t>
        </w:r>
        <w:r w:rsidR="001B0B0C">
          <w:rPr>
            <w:noProof/>
            <w:webHidden/>
          </w:rPr>
          <w:fldChar w:fldCharType="end"/>
        </w:r>
      </w:hyperlink>
    </w:p>
    <w:p w14:paraId="234FFFF1" w14:textId="4CC0A647" w:rsidR="001B0B0C" w:rsidRDefault="00647F4E">
      <w:pPr>
        <w:pStyle w:val="TOC3"/>
        <w:tabs>
          <w:tab w:val="right" w:leader="dot" w:pos="9350"/>
        </w:tabs>
        <w:rPr>
          <w:rFonts w:asciiTheme="minorHAnsi" w:eastAsiaTheme="minorEastAsia" w:hAnsiTheme="minorHAnsi" w:cstheme="minorBidi"/>
          <w:noProof/>
        </w:rPr>
      </w:pPr>
      <w:hyperlink w:anchor="_Toc4588910" w:history="1">
        <w:r w:rsidR="001B0B0C" w:rsidRPr="00CD618B">
          <w:rPr>
            <w:rStyle w:val="Hyperlink"/>
            <w:noProof/>
          </w:rPr>
          <w:t>Correct Patient Test Results</w:t>
        </w:r>
        <w:r w:rsidR="001B0B0C">
          <w:rPr>
            <w:noProof/>
            <w:webHidden/>
          </w:rPr>
          <w:tab/>
        </w:r>
        <w:r w:rsidR="001B0B0C">
          <w:rPr>
            <w:noProof/>
            <w:webHidden/>
          </w:rPr>
          <w:fldChar w:fldCharType="begin"/>
        </w:r>
        <w:r w:rsidR="001B0B0C">
          <w:rPr>
            <w:noProof/>
            <w:webHidden/>
          </w:rPr>
          <w:instrText xml:space="preserve"> PAGEREF _Toc4588910 \h </w:instrText>
        </w:r>
        <w:r w:rsidR="001B0B0C">
          <w:rPr>
            <w:noProof/>
            <w:webHidden/>
          </w:rPr>
        </w:r>
        <w:r w:rsidR="001B0B0C">
          <w:rPr>
            <w:noProof/>
            <w:webHidden/>
          </w:rPr>
          <w:fldChar w:fldCharType="separate"/>
        </w:r>
        <w:r>
          <w:rPr>
            <w:noProof/>
            <w:webHidden/>
          </w:rPr>
          <w:t>540</w:t>
        </w:r>
        <w:r w:rsidR="001B0B0C">
          <w:rPr>
            <w:noProof/>
            <w:webHidden/>
          </w:rPr>
          <w:fldChar w:fldCharType="end"/>
        </w:r>
      </w:hyperlink>
    </w:p>
    <w:p w14:paraId="4F1A8137" w14:textId="45934877" w:rsidR="001B0B0C" w:rsidRDefault="00647F4E">
      <w:pPr>
        <w:pStyle w:val="TOC3"/>
        <w:tabs>
          <w:tab w:val="right" w:leader="dot" w:pos="9350"/>
        </w:tabs>
        <w:rPr>
          <w:rFonts w:asciiTheme="minorHAnsi" w:eastAsiaTheme="minorEastAsia" w:hAnsiTheme="minorHAnsi" w:cstheme="minorBidi"/>
          <w:noProof/>
        </w:rPr>
      </w:pPr>
      <w:hyperlink w:anchor="_Toc4588911" w:history="1">
        <w:r w:rsidR="001B0B0C" w:rsidRPr="00CD618B">
          <w:rPr>
            <w:rStyle w:val="Hyperlink"/>
            <w:noProof/>
          </w:rPr>
          <w:t>Invalidate Test Results</w:t>
        </w:r>
        <w:r w:rsidR="001B0B0C">
          <w:rPr>
            <w:noProof/>
            <w:webHidden/>
          </w:rPr>
          <w:tab/>
        </w:r>
        <w:r w:rsidR="001B0B0C">
          <w:rPr>
            <w:noProof/>
            <w:webHidden/>
          </w:rPr>
          <w:fldChar w:fldCharType="begin"/>
        </w:r>
        <w:r w:rsidR="001B0B0C">
          <w:rPr>
            <w:noProof/>
            <w:webHidden/>
          </w:rPr>
          <w:instrText xml:space="preserve"> PAGEREF _Toc4588911 \h </w:instrText>
        </w:r>
        <w:r w:rsidR="001B0B0C">
          <w:rPr>
            <w:noProof/>
            <w:webHidden/>
          </w:rPr>
        </w:r>
        <w:r w:rsidR="001B0B0C">
          <w:rPr>
            <w:noProof/>
            <w:webHidden/>
          </w:rPr>
          <w:fldChar w:fldCharType="separate"/>
        </w:r>
        <w:r>
          <w:rPr>
            <w:noProof/>
            <w:webHidden/>
          </w:rPr>
          <w:t>540</w:t>
        </w:r>
        <w:r w:rsidR="001B0B0C">
          <w:rPr>
            <w:noProof/>
            <w:webHidden/>
          </w:rPr>
          <w:fldChar w:fldCharType="end"/>
        </w:r>
      </w:hyperlink>
    </w:p>
    <w:p w14:paraId="46DBEB74" w14:textId="1853BB34" w:rsidR="001B0B0C" w:rsidRDefault="00647F4E">
      <w:pPr>
        <w:pStyle w:val="TOC3"/>
        <w:tabs>
          <w:tab w:val="right" w:leader="dot" w:pos="9350"/>
        </w:tabs>
        <w:rPr>
          <w:rFonts w:asciiTheme="minorHAnsi" w:eastAsiaTheme="minorEastAsia" w:hAnsiTheme="minorHAnsi" w:cstheme="minorBidi"/>
          <w:noProof/>
        </w:rPr>
      </w:pPr>
      <w:hyperlink w:anchor="_Toc4588912" w:history="1">
        <w:r w:rsidR="001B0B0C" w:rsidRPr="00CD618B">
          <w:rPr>
            <w:rStyle w:val="Hyperlink"/>
            <w:noProof/>
          </w:rPr>
          <w:t>UN-Pooling a Pooled Unit (in the computer only)</w:t>
        </w:r>
        <w:r w:rsidR="001B0B0C">
          <w:rPr>
            <w:noProof/>
            <w:webHidden/>
          </w:rPr>
          <w:tab/>
        </w:r>
        <w:r w:rsidR="001B0B0C">
          <w:rPr>
            <w:noProof/>
            <w:webHidden/>
          </w:rPr>
          <w:fldChar w:fldCharType="begin"/>
        </w:r>
        <w:r w:rsidR="001B0B0C">
          <w:rPr>
            <w:noProof/>
            <w:webHidden/>
          </w:rPr>
          <w:instrText xml:space="preserve"> PAGEREF _Toc4588912 \h </w:instrText>
        </w:r>
        <w:r w:rsidR="001B0B0C">
          <w:rPr>
            <w:noProof/>
            <w:webHidden/>
          </w:rPr>
        </w:r>
        <w:r w:rsidR="001B0B0C">
          <w:rPr>
            <w:noProof/>
            <w:webHidden/>
          </w:rPr>
          <w:fldChar w:fldCharType="separate"/>
        </w:r>
        <w:r>
          <w:rPr>
            <w:noProof/>
            <w:webHidden/>
          </w:rPr>
          <w:t>541</w:t>
        </w:r>
        <w:r w:rsidR="001B0B0C">
          <w:rPr>
            <w:noProof/>
            <w:webHidden/>
          </w:rPr>
          <w:fldChar w:fldCharType="end"/>
        </w:r>
      </w:hyperlink>
    </w:p>
    <w:p w14:paraId="7DE49E20" w14:textId="6FD6353C" w:rsidR="001B0B0C" w:rsidRDefault="00647F4E">
      <w:pPr>
        <w:pStyle w:val="TOC3"/>
        <w:tabs>
          <w:tab w:val="right" w:leader="dot" w:pos="9350"/>
        </w:tabs>
        <w:rPr>
          <w:rFonts w:asciiTheme="minorHAnsi" w:eastAsiaTheme="minorEastAsia" w:hAnsiTheme="minorHAnsi" w:cstheme="minorBidi"/>
          <w:noProof/>
        </w:rPr>
      </w:pPr>
      <w:hyperlink w:anchor="_Toc4588913" w:history="1">
        <w:r w:rsidR="001B0B0C" w:rsidRPr="00CD618B">
          <w:rPr>
            <w:rStyle w:val="Hyperlink"/>
            <w:noProof/>
          </w:rPr>
          <w:t>UN-Modifying a Unit</w:t>
        </w:r>
        <w:r w:rsidR="001B0B0C">
          <w:rPr>
            <w:noProof/>
            <w:webHidden/>
          </w:rPr>
          <w:tab/>
        </w:r>
        <w:r w:rsidR="001B0B0C">
          <w:rPr>
            <w:noProof/>
            <w:webHidden/>
          </w:rPr>
          <w:fldChar w:fldCharType="begin"/>
        </w:r>
        <w:r w:rsidR="001B0B0C">
          <w:rPr>
            <w:noProof/>
            <w:webHidden/>
          </w:rPr>
          <w:instrText xml:space="preserve"> PAGEREF _Toc4588913 \h </w:instrText>
        </w:r>
        <w:r w:rsidR="001B0B0C">
          <w:rPr>
            <w:noProof/>
            <w:webHidden/>
          </w:rPr>
        </w:r>
        <w:r w:rsidR="001B0B0C">
          <w:rPr>
            <w:noProof/>
            <w:webHidden/>
          </w:rPr>
          <w:fldChar w:fldCharType="separate"/>
        </w:r>
        <w:r>
          <w:rPr>
            <w:noProof/>
            <w:webHidden/>
          </w:rPr>
          <w:t>541</w:t>
        </w:r>
        <w:r w:rsidR="001B0B0C">
          <w:rPr>
            <w:noProof/>
            <w:webHidden/>
          </w:rPr>
          <w:fldChar w:fldCharType="end"/>
        </w:r>
      </w:hyperlink>
    </w:p>
    <w:p w14:paraId="46931B6C" w14:textId="33D562EB" w:rsidR="001B0B0C" w:rsidRDefault="00647F4E">
      <w:pPr>
        <w:pStyle w:val="TOC2"/>
        <w:tabs>
          <w:tab w:val="right" w:leader="dot" w:pos="9350"/>
        </w:tabs>
        <w:rPr>
          <w:rFonts w:asciiTheme="minorHAnsi" w:eastAsiaTheme="minorEastAsia" w:hAnsiTheme="minorHAnsi" w:cstheme="minorBidi"/>
          <w:smallCaps w:val="0"/>
          <w:noProof/>
        </w:rPr>
      </w:pPr>
      <w:hyperlink w:anchor="_Toc4588914" w:history="1">
        <w:r w:rsidR="001B0B0C" w:rsidRPr="00CD618B">
          <w:rPr>
            <w:rStyle w:val="Hyperlink"/>
            <w:noProof/>
          </w:rPr>
          <w:t>Appendix J: Recommended Report Usage</w:t>
        </w:r>
        <w:r w:rsidR="001B0B0C">
          <w:rPr>
            <w:noProof/>
            <w:webHidden/>
          </w:rPr>
          <w:tab/>
        </w:r>
        <w:r w:rsidR="001B0B0C">
          <w:rPr>
            <w:noProof/>
            <w:webHidden/>
          </w:rPr>
          <w:fldChar w:fldCharType="begin"/>
        </w:r>
        <w:r w:rsidR="001B0B0C">
          <w:rPr>
            <w:noProof/>
            <w:webHidden/>
          </w:rPr>
          <w:instrText xml:space="preserve"> PAGEREF _Toc4588914 \h </w:instrText>
        </w:r>
        <w:r w:rsidR="001B0B0C">
          <w:rPr>
            <w:noProof/>
            <w:webHidden/>
          </w:rPr>
        </w:r>
        <w:r w:rsidR="001B0B0C">
          <w:rPr>
            <w:noProof/>
            <w:webHidden/>
          </w:rPr>
          <w:fldChar w:fldCharType="separate"/>
        </w:r>
        <w:r>
          <w:rPr>
            <w:noProof/>
            <w:webHidden/>
          </w:rPr>
          <w:t>542</w:t>
        </w:r>
        <w:r w:rsidR="001B0B0C">
          <w:rPr>
            <w:noProof/>
            <w:webHidden/>
          </w:rPr>
          <w:fldChar w:fldCharType="end"/>
        </w:r>
      </w:hyperlink>
    </w:p>
    <w:p w14:paraId="148FEA5C" w14:textId="784E2447" w:rsidR="001B0B0C" w:rsidRDefault="00647F4E">
      <w:pPr>
        <w:pStyle w:val="TOC2"/>
        <w:tabs>
          <w:tab w:val="right" w:leader="dot" w:pos="9350"/>
        </w:tabs>
        <w:rPr>
          <w:rFonts w:asciiTheme="minorHAnsi" w:eastAsiaTheme="minorEastAsia" w:hAnsiTheme="minorHAnsi" w:cstheme="minorBidi"/>
          <w:smallCaps w:val="0"/>
          <w:noProof/>
        </w:rPr>
      </w:pPr>
      <w:hyperlink w:anchor="_Toc4588915" w:history="1">
        <w:r w:rsidR="001B0B0C" w:rsidRPr="00CD618B">
          <w:rPr>
            <w:rStyle w:val="Hyperlink"/>
            <w:noProof/>
          </w:rPr>
          <w:t>Appendix K: Barcode Scanner Configuration and Troubleshooting</w:t>
        </w:r>
        <w:r w:rsidR="001B0B0C">
          <w:rPr>
            <w:noProof/>
            <w:webHidden/>
          </w:rPr>
          <w:tab/>
        </w:r>
        <w:r w:rsidR="001B0B0C">
          <w:rPr>
            <w:noProof/>
            <w:webHidden/>
          </w:rPr>
          <w:fldChar w:fldCharType="begin"/>
        </w:r>
        <w:r w:rsidR="001B0B0C">
          <w:rPr>
            <w:noProof/>
            <w:webHidden/>
          </w:rPr>
          <w:instrText xml:space="preserve"> PAGEREF _Toc4588915 \h </w:instrText>
        </w:r>
        <w:r w:rsidR="001B0B0C">
          <w:rPr>
            <w:noProof/>
            <w:webHidden/>
          </w:rPr>
        </w:r>
        <w:r w:rsidR="001B0B0C">
          <w:rPr>
            <w:noProof/>
            <w:webHidden/>
          </w:rPr>
          <w:fldChar w:fldCharType="separate"/>
        </w:r>
        <w:r>
          <w:rPr>
            <w:noProof/>
            <w:webHidden/>
          </w:rPr>
          <w:t>544</w:t>
        </w:r>
        <w:r w:rsidR="001B0B0C">
          <w:rPr>
            <w:noProof/>
            <w:webHidden/>
          </w:rPr>
          <w:fldChar w:fldCharType="end"/>
        </w:r>
      </w:hyperlink>
    </w:p>
    <w:p w14:paraId="701E8304" w14:textId="74F279F0" w:rsidR="001B0B0C" w:rsidRDefault="00647F4E">
      <w:pPr>
        <w:pStyle w:val="TOC2"/>
        <w:tabs>
          <w:tab w:val="right" w:leader="dot" w:pos="9350"/>
        </w:tabs>
        <w:rPr>
          <w:rFonts w:asciiTheme="minorHAnsi" w:eastAsiaTheme="minorEastAsia" w:hAnsiTheme="minorHAnsi" w:cstheme="minorBidi"/>
          <w:smallCaps w:val="0"/>
          <w:noProof/>
        </w:rPr>
      </w:pPr>
      <w:hyperlink w:anchor="_Toc4588916" w:history="1">
        <w:r w:rsidR="001B0B0C" w:rsidRPr="00CD618B">
          <w:rPr>
            <w:rStyle w:val="Hyperlink"/>
            <w:noProof/>
          </w:rPr>
          <w:t>Appendix L: System Responses to Active Transfusion Requirements in Select Unit and Issue Blood Component</w:t>
        </w:r>
        <w:r w:rsidR="001B0B0C">
          <w:rPr>
            <w:noProof/>
            <w:webHidden/>
          </w:rPr>
          <w:tab/>
        </w:r>
        <w:r w:rsidR="001B0B0C">
          <w:rPr>
            <w:noProof/>
            <w:webHidden/>
          </w:rPr>
          <w:fldChar w:fldCharType="begin"/>
        </w:r>
        <w:r w:rsidR="001B0B0C">
          <w:rPr>
            <w:noProof/>
            <w:webHidden/>
          </w:rPr>
          <w:instrText xml:space="preserve"> PAGEREF _Toc4588916 \h </w:instrText>
        </w:r>
        <w:r w:rsidR="001B0B0C">
          <w:rPr>
            <w:noProof/>
            <w:webHidden/>
          </w:rPr>
        </w:r>
        <w:r w:rsidR="001B0B0C">
          <w:rPr>
            <w:noProof/>
            <w:webHidden/>
          </w:rPr>
          <w:fldChar w:fldCharType="separate"/>
        </w:r>
        <w:r>
          <w:rPr>
            <w:noProof/>
            <w:webHidden/>
          </w:rPr>
          <w:t>546</w:t>
        </w:r>
        <w:r w:rsidR="001B0B0C">
          <w:rPr>
            <w:noProof/>
            <w:webHidden/>
          </w:rPr>
          <w:fldChar w:fldCharType="end"/>
        </w:r>
      </w:hyperlink>
    </w:p>
    <w:p w14:paraId="5D95281D" w14:textId="5C0C383F" w:rsidR="001B0B0C" w:rsidRDefault="00647F4E">
      <w:pPr>
        <w:pStyle w:val="TOC2"/>
        <w:tabs>
          <w:tab w:val="right" w:leader="dot" w:pos="9350"/>
        </w:tabs>
        <w:rPr>
          <w:rFonts w:asciiTheme="minorHAnsi" w:eastAsiaTheme="minorEastAsia" w:hAnsiTheme="minorHAnsi" w:cstheme="minorBidi"/>
          <w:smallCaps w:val="0"/>
          <w:noProof/>
        </w:rPr>
      </w:pPr>
      <w:hyperlink w:anchor="_Toc4588917" w:history="1">
        <w:r w:rsidR="001B0B0C" w:rsidRPr="00CD618B">
          <w:rPr>
            <w:rStyle w:val="Hyperlink"/>
            <w:noProof/>
          </w:rPr>
          <w:t>Appendix M: Workload Process Mapping to Application Option Table</w:t>
        </w:r>
        <w:r w:rsidR="001B0B0C">
          <w:rPr>
            <w:noProof/>
            <w:webHidden/>
          </w:rPr>
          <w:tab/>
        </w:r>
        <w:r w:rsidR="001B0B0C">
          <w:rPr>
            <w:noProof/>
            <w:webHidden/>
          </w:rPr>
          <w:fldChar w:fldCharType="begin"/>
        </w:r>
        <w:r w:rsidR="001B0B0C">
          <w:rPr>
            <w:noProof/>
            <w:webHidden/>
          </w:rPr>
          <w:instrText xml:space="preserve"> PAGEREF _Toc4588917 \h </w:instrText>
        </w:r>
        <w:r w:rsidR="001B0B0C">
          <w:rPr>
            <w:noProof/>
            <w:webHidden/>
          </w:rPr>
        </w:r>
        <w:r w:rsidR="001B0B0C">
          <w:rPr>
            <w:noProof/>
            <w:webHidden/>
          </w:rPr>
          <w:fldChar w:fldCharType="separate"/>
        </w:r>
        <w:r>
          <w:rPr>
            <w:noProof/>
            <w:webHidden/>
          </w:rPr>
          <w:t>556</w:t>
        </w:r>
        <w:r w:rsidR="001B0B0C">
          <w:rPr>
            <w:noProof/>
            <w:webHidden/>
          </w:rPr>
          <w:fldChar w:fldCharType="end"/>
        </w:r>
      </w:hyperlink>
    </w:p>
    <w:p w14:paraId="3E30BD86" w14:textId="5486A73B" w:rsidR="001B0B0C" w:rsidRDefault="00647F4E">
      <w:pPr>
        <w:pStyle w:val="TOC1"/>
        <w:tabs>
          <w:tab w:val="right" w:leader="dot" w:pos="9350"/>
        </w:tabs>
        <w:rPr>
          <w:rFonts w:asciiTheme="minorHAnsi" w:eastAsiaTheme="minorEastAsia" w:hAnsiTheme="minorHAnsi" w:cstheme="minorBidi"/>
          <w:b w:val="0"/>
          <w:caps w:val="0"/>
          <w:noProof/>
        </w:rPr>
      </w:pPr>
      <w:hyperlink w:anchor="_Toc4588918" w:history="1">
        <w:r w:rsidR="001B0B0C" w:rsidRPr="00CD618B">
          <w:rPr>
            <w:rStyle w:val="Hyperlink"/>
            <w:noProof/>
          </w:rPr>
          <w:t>Index</w:t>
        </w:r>
        <w:r w:rsidR="001B0B0C">
          <w:rPr>
            <w:noProof/>
            <w:webHidden/>
          </w:rPr>
          <w:tab/>
        </w:r>
        <w:r w:rsidR="001B0B0C">
          <w:rPr>
            <w:noProof/>
            <w:webHidden/>
          </w:rPr>
          <w:fldChar w:fldCharType="begin"/>
        </w:r>
        <w:r w:rsidR="001B0B0C">
          <w:rPr>
            <w:noProof/>
            <w:webHidden/>
          </w:rPr>
          <w:instrText xml:space="preserve"> PAGEREF _Toc4588918 \h </w:instrText>
        </w:r>
        <w:r w:rsidR="001B0B0C">
          <w:rPr>
            <w:noProof/>
            <w:webHidden/>
          </w:rPr>
        </w:r>
        <w:r w:rsidR="001B0B0C">
          <w:rPr>
            <w:noProof/>
            <w:webHidden/>
          </w:rPr>
          <w:fldChar w:fldCharType="separate"/>
        </w:r>
        <w:r>
          <w:rPr>
            <w:noProof/>
            <w:webHidden/>
          </w:rPr>
          <w:t>564</w:t>
        </w:r>
        <w:r w:rsidR="001B0B0C">
          <w:rPr>
            <w:noProof/>
            <w:webHidden/>
          </w:rPr>
          <w:fldChar w:fldCharType="end"/>
        </w:r>
      </w:hyperlink>
    </w:p>
    <w:p w14:paraId="6EE3811D" w14:textId="0E0B6F86" w:rsidR="001B0B0C" w:rsidRDefault="00647F4E">
      <w:pPr>
        <w:pStyle w:val="TOC1"/>
        <w:tabs>
          <w:tab w:val="right" w:leader="dot" w:pos="9350"/>
        </w:tabs>
        <w:rPr>
          <w:rFonts w:asciiTheme="minorHAnsi" w:eastAsiaTheme="minorEastAsia" w:hAnsiTheme="minorHAnsi" w:cstheme="minorBidi"/>
          <w:b w:val="0"/>
          <w:caps w:val="0"/>
          <w:noProof/>
        </w:rPr>
      </w:pPr>
      <w:hyperlink w:anchor="_Toc4588919" w:history="1">
        <w:r w:rsidR="001B0B0C" w:rsidRPr="00CD618B">
          <w:rPr>
            <w:rStyle w:val="Hyperlink"/>
            <w:noProof/>
          </w:rPr>
          <w:t>Revision History</w:t>
        </w:r>
        <w:r w:rsidR="001B0B0C">
          <w:rPr>
            <w:noProof/>
            <w:webHidden/>
          </w:rPr>
          <w:tab/>
        </w:r>
        <w:r w:rsidR="001B0B0C">
          <w:rPr>
            <w:noProof/>
            <w:webHidden/>
          </w:rPr>
          <w:fldChar w:fldCharType="begin"/>
        </w:r>
        <w:r w:rsidR="001B0B0C">
          <w:rPr>
            <w:noProof/>
            <w:webHidden/>
          </w:rPr>
          <w:instrText xml:space="preserve"> PAGEREF _Toc4588919 \h </w:instrText>
        </w:r>
        <w:r w:rsidR="001B0B0C">
          <w:rPr>
            <w:noProof/>
            <w:webHidden/>
          </w:rPr>
        </w:r>
        <w:r w:rsidR="001B0B0C">
          <w:rPr>
            <w:noProof/>
            <w:webHidden/>
          </w:rPr>
          <w:fldChar w:fldCharType="separate"/>
        </w:r>
        <w:r>
          <w:rPr>
            <w:noProof/>
            <w:webHidden/>
          </w:rPr>
          <w:t>570</w:t>
        </w:r>
        <w:r w:rsidR="001B0B0C">
          <w:rPr>
            <w:noProof/>
            <w:webHidden/>
          </w:rPr>
          <w:fldChar w:fldCharType="end"/>
        </w:r>
      </w:hyperlink>
    </w:p>
    <w:p w14:paraId="1085FCAA" w14:textId="36DFFBB0" w:rsidR="00220380" w:rsidRDefault="002A21AE">
      <w:pPr>
        <w:pStyle w:val="Heading1"/>
        <w:rPr>
          <w:rFonts w:ascii="Times New Roman" w:hAnsi="Times New Roman" w:cs="Times New Roman"/>
          <w:kern w:val="0"/>
          <w:sz w:val="22"/>
          <w:szCs w:val="22"/>
        </w:rPr>
      </w:pPr>
      <w:r>
        <w:rPr>
          <w:rFonts w:ascii="Times New Roman" w:hAnsi="Times New Roman" w:cs="Times New Roman"/>
          <w:kern w:val="0"/>
          <w:sz w:val="22"/>
          <w:szCs w:val="22"/>
        </w:rPr>
        <w:fldChar w:fldCharType="end"/>
      </w:r>
    </w:p>
    <w:p w14:paraId="7F3AAE5E" w14:textId="77777777" w:rsidR="002A21AE" w:rsidRPr="004E21D6" w:rsidRDefault="002A21AE" w:rsidP="00EF233F">
      <w:pPr>
        <w:rPr>
          <w:sz w:val="22"/>
          <w:szCs w:val="22"/>
        </w:rPr>
        <w:sectPr w:rsidR="002A21AE" w:rsidRPr="004E21D6" w:rsidSect="00EE771C">
          <w:footerReference w:type="default" r:id="rId20"/>
          <w:type w:val="nextColumn"/>
          <w:pgSz w:w="12240" w:h="15840" w:code="1"/>
          <w:pgMar w:top="1440" w:right="1440" w:bottom="1440" w:left="1440" w:header="720" w:footer="720" w:gutter="0"/>
          <w:pgNumType w:fmt="lowerRoman" w:start="1"/>
          <w:cols w:space="720"/>
          <w:docGrid w:linePitch="360"/>
        </w:sectPr>
      </w:pPr>
    </w:p>
    <w:p w14:paraId="0940373A" w14:textId="4B92BB74" w:rsidR="002A21AE" w:rsidRPr="00BF677A" w:rsidRDefault="002A21AE" w:rsidP="00061AEC">
      <w:pPr>
        <w:pStyle w:val="Heading1"/>
        <w:rPr>
          <w:rFonts w:ascii="Arial Bold" w:hAnsi="Arial Bold"/>
        </w:rPr>
      </w:pPr>
      <w:bookmarkStart w:id="1" w:name="_Toc4588689"/>
      <w:r>
        <w:lastRenderedPageBreak/>
        <w:t>Introduction</w:t>
      </w:r>
      <w:bookmarkEnd w:id="1"/>
      <w:r>
        <w:fldChar w:fldCharType="begin"/>
      </w:r>
      <w:r>
        <w:instrText xml:space="preserve"> XE </w:instrText>
      </w:r>
      <w:r w:rsidR="00FA7E65">
        <w:instrText>“</w:instrText>
      </w:r>
      <w:r>
        <w:instrText>Introduction</w:instrText>
      </w:r>
      <w:r w:rsidR="00FA7E65">
        <w:instrText>”</w:instrText>
      </w:r>
      <w:r w:rsidR="00DE2677">
        <w:instrText xml:space="preserve"> </w:instrText>
      </w:r>
      <w:r>
        <w:fldChar w:fldCharType="end"/>
      </w:r>
    </w:p>
    <w:p w14:paraId="7F934EE9" w14:textId="77777777" w:rsidR="004F6DF9" w:rsidRDefault="004F6DF9" w:rsidP="004F6DF9">
      <w:pPr>
        <w:pStyle w:val="BodyText"/>
      </w:pPr>
      <w:bookmarkStart w:id="2" w:name="OLE_LINK41"/>
      <w:bookmarkStart w:id="3" w:name="OLE_LINK42"/>
      <w:bookmarkStart w:id="4" w:name="OLE_LINK7"/>
      <w:bookmarkStart w:id="5" w:name="OLE_LINK8"/>
      <w:r>
        <w:t>VistA Blood Establishment Computer Software (VBECS) is a computer software application that manages transfusion service activities. The purpose of VBECS is to automate the documentation and record keeping of selected daily activities of the transfusion service.</w:t>
      </w:r>
    </w:p>
    <w:p w14:paraId="51472C3E" w14:textId="77777777" w:rsidR="004F6DF9" w:rsidRDefault="004F6DF9" w:rsidP="004F6DF9">
      <w:pPr>
        <w:pStyle w:val="BodyText"/>
      </w:pPr>
      <w:r>
        <w:t>VBECS accommodates:</w:t>
      </w:r>
    </w:p>
    <w:p w14:paraId="32791A12" w14:textId="77777777" w:rsidR="004F6DF9" w:rsidRDefault="004F6DF9" w:rsidP="004F6DF9">
      <w:pPr>
        <w:pStyle w:val="ListBullet"/>
      </w:pPr>
      <w:r>
        <w:t>The processing of blood component shipments.</w:t>
      </w:r>
    </w:p>
    <w:p w14:paraId="6AE9EC51" w14:textId="77777777" w:rsidR="004F6DF9" w:rsidRDefault="004F6DF9" w:rsidP="004F6DF9">
      <w:pPr>
        <w:pStyle w:val="ListBullet"/>
      </w:pPr>
      <w:r>
        <w:t>The modification of blood units.</w:t>
      </w:r>
    </w:p>
    <w:p w14:paraId="2B1BE014" w14:textId="77777777" w:rsidR="004F6DF9" w:rsidRDefault="004F6DF9" w:rsidP="004F6DF9">
      <w:pPr>
        <w:pStyle w:val="ListBullet"/>
      </w:pPr>
      <w:r>
        <w:t>Electronic receipt of orders from the Department of Veterans Affairs VistA computer system.</w:t>
      </w:r>
    </w:p>
    <w:p w14:paraId="67703475" w14:textId="77777777" w:rsidR="004F6DF9" w:rsidRDefault="004F6DF9" w:rsidP="004F6DF9">
      <w:pPr>
        <w:pStyle w:val="ListBullet"/>
      </w:pPr>
      <w:r>
        <w:t>The recording of patient compatibility testing, transfusions, transfusion processing requirements, and special instructions.</w:t>
      </w:r>
    </w:p>
    <w:p w14:paraId="56995A7F" w14:textId="77777777" w:rsidR="004F6DF9" w:rsidRDefault="004F6DF9" w:rsidP="004F6DF9">
      <w:pPr>
        <w:pStyle w:val="BodyText"/>
      </w:pPr>
      <w:r>
        <w:t>VBECS does not support the collection of blood products (donor module).</w:t>
      </w:r>
    </w:p>
    <w:p w14:paraId="5431ACDA" w14:textId="77777777" w:rsidR="00473130" w:rsidRDefault="00473130" w:rsidP="00473130">
      <w:pPr>
        <w:pStyle w:val="BodyText"/>
      </w:pPr>
      <w:r>
        <w:t>VBECS is an improved Blood Bank application that facilitates ongoing compliance with Food and Drug Administration (FDA) standards for m</w:t>
      </w:r>
      <w:r w:rsidR="009E2D49">
        <w:t>edical devices and</w:t>
      </w:r>
      <w:r w:rsidR="00A83DCA">
        <w:t xml:space="preserve"> enhances the Department of Veterans Affairs (VA</w:t>
      </w:r>
      <w:r>
        <w:t>s</w:t>
      </w:r>
      <w:r w:rsidR="00A83DCA">
        <w:t>)</w:t>
      </w:r>
      <w:r>
        <w:t xml:space="preserve"> ability to produce high-quality blood products and services to veterans. The system follows blood bank standards, standards of national accrediting agencies, FDA regulations, and VA policies.</w:t>
      </w:r>
    </w:p>
    <w:p w14:paraId="10C1048F" w14:textId="77777777" w:rsidR="0045199A" w:rsidRDefault="0045199A" w:rsidP="0045199A">
      <w:pPr>
        <w:pStyle w:val="Heading4"/>
      </w:pPr>
      <w:r>
        <w:t xml:space="preserve">Limitations and Restrictions </w:t>
      </w:r>
    </w:p>
    <w:p w14:paraId="57D8A1DD" w14:textId="77777777" w:rsidR="0045199A" w:rsidRPr="0045199A" w:rsidRDefault="0045199A" w:rsidP="0045199A">
      <w:pPr>
        <w:pStyle w:val="Heading4"/>
        <w:rPr>
          <w:rFonts w:ascii="Times New Roman" w:hAnsi="Times New Roman"/>
          <w:b w:val="0"/>
          <w:spacing w:val="-5"/>
          <w:szCs w:val="22"/>
        </w:rPr>
      </w:pPr>
      <w:r w:rsidRPr="0045199A">
        <w:rPr>
          <w:rFonts w:ascii="Times New Roman" w:hAnsi="Times New Roman"/>
        </w:rPr>
        <w:t>VBECS does not support:</w:t>
      </w:r>
      <w:r w:rsidRPr="0045199A">
        <w:rPr>
          <w:rFonts w:ascii="Times New Roman" w:hAnsi="Times New Roman"/>
          <w:vanish/>
        </w:rPr>
        <w:t>DR 5105</w:t>
      </w:r>
    </w:p>
    <w:p w14:paraId="2CC672CE" w14:textId="77777777" w:rsidR="0045199A" w:rsidRPr="005E26A6" w:rsidRDefault="0045199A" w:rsidP="0045199A">
      <w:pPr>
        <w:pStyle w:val="ListBullet"/>
      </w:pPr>
      <w:r>
        <w:t>Blood dono</w:t>
      </w:r>
      <w:r w:rsidRPr="005E26A6">
        <w:t>r collection activities</w:t>
      </w:r>
      <w:r>
        <w:t xml:space="preserve"> (donor module)</w:t>
      </w:r>
    </w:p>
    <w:p w14:paraId="542F024E" w14:textId="77777777" w:rsidR="0045199A" w:rsidRPr="005E26A6" w:rsidRDefault="0045199A" w:rsidP="0045199A">
      <w:pPr>
        <w:pStyle w:val="ListBullet"/>
      </w:pPr>
      <w:r w:rsidRPr="005E26A6">
        <w:t>Direct data entry of antibody identification</w:t>
      </w:r>
    </w:p>
    <w:p w14:paraId="2A785064" w14:textId="77777777" w:rsidR="0045199A" w:rsidRPr="005E26A6" w:rsidRDefault="0045199A" w:rsidP="0045199A">
      <w:pPr>
        <w:pStyle w:val="ListBullet"/>
      </w:pPr>
      <w:r w:rsidRPr="005E26A6">
        <w:t xml:space="preserve">Direct data entry of transfusion reaction workups </w:t>
      </w:r>
    </w:p>
    <w:p w14:paraId="64B0CEF0" w14:textId="77777777" w:rsidR="0045199A" w:rsidRPr="005E26A6" w:rsidRDefault="0045199A" w:rsidP="0045199A">
      <w:pPr>
        <w:pStyle w:val="ListBullet"/>
      </w:pPr>
      <w:r w:rsidRPr="005E26A6">
        <w:t>Patient testing, transfusions, and blood components recorded in Legacy VistA are not available in VBECS</w:t>
      </w:r>
    </w:p>
    <w:p w14:paraId="6DFFB962" w14:textId="77777777" w:rsidR="0045199A" w:rsidRDefault="0045199A" w:rsidP="0045199A">
      <w:pPr>
        <w:pStyle w:val="ListBullet"/>
      </w:pPr>
      <w:r w:rsidRPr="005E26A6">
        <w:t>Pediatric blood product preparation</w:t>
      </w:r>
    </w:p>
    <w:p w14:paraId="0677C989" w14:textId="77777777" w:rsidR="0045199A" w:rsidRPr="005E26A6" w:rsidRDefault="0045199A" w:rsidP="0045199A">
      <w:pPr>
        <w:pStyle w:val="ListBullet"/>
      </w:pPr>
      <w:r>
        <w:t>Printing of blood product labels</w:t>
      </w:r>
    </w:p>
    <w:p w14:paraId="3C7B33A8" w14:textId="77777777" w:rsidR="0045199A" w:rsidRPr="005E26A6" w:rsidRDefault="0045199A" w:rsidP="0045199A">
      <w:pPr>
        <w:pStyle w:val="ListBullet"/>
      </w:pPr>
      <w:r w:rsidRPr="005E26A6">
        <w:t>User defined customized queries or reports</w:t>
      </w:r>
    </w:p>
    <w:p w14:paraId="5D799849" w14:textId="77777777" w:rsidR="0045199A" w:rsidRPr="005E26A6" w:rsidRDefault="0045199A" w:rsidP="0045199A">
      <w:pPr>
        <w:pStyle w:val="ListBullet"/>
      </w:pPr>
      <w:r w:rsidRPr="005E26A6">
        <w:t>User editing blood product, antigen, antibody, or transfusion reaction tables</w:t>
      </w:r>
    </w:p>
    <w:p w14:paraId="1CD403B6" w14:textId="77777777" w:rsidR="0045199A" w:rsidRDefault="0045199A" w:rsidP="0045199A">
      <w:pPr>
        <w:pStyle w:val="ListBullet"/>
      </w:pPr>
      <w:r w:rsidRPr="005E26A6">
        <w:t>Validation record storage</w:t>
      </w:r>
    </w:p>
    <w:p w14:paraId="0C9F12C5" w14:textId="77777777" w:rsidR="0045199A" w:rsidRDefault="0045199A" w:rsidP="0045199A">
      <w:pPr>
        <w:rPr>
          <w:sz w:val="22"/>
          <w:szCs w:val="22"/>
        </w:rPr>
      </w:pPr>
    </w:p>
    <w:p w14:paraId="64D71DAD" w14:textId="3BBAC927" w:rsidR="001B0B0C" w:rsidRPr="00F77D81" w:rsidRDefault="0045199A" w:rsidP="001B0B0C">
      <w:pPr>
        <w:rPr>
          <w:sz w:val="22"/>
          <w:szCs w:val="22"/>
        </w:rPr>
      </w:pPr>
      <w:r w:rsidRPr="00F77D81">
        <w:rPr>
          <w:sz w:val="22"/>
          <w:szCs w:val="22"/>
        </w:rPr>
        <w:t>Limitations and Restrictions are listed in</w:t>
      </w:r>
      <w:r w:rsidR="001B0B0C" w:rsidRPr="00F77D81">
        <w:rPr>
          <w:sz w:val="22"/>
          <w:szCs w:val="22"/>
        </w:rPr>
        <w:t xml:space="preserve">  </w:t>
      </w:r>
      <w:r w:rsidR="00F77D81" w:rsidRPr="00F77D81">
        <w:rPr>
          <w:sz w:val="22"/>
          <w:szCs w:val="22"/>
        </w:rPr>
        <w:fldChar w:fldCharType="begin" w:fldLock="1"/>
      </w:r>
      <w:r w:rsidR="00F77D81" w:rsidRPr="00F77D81">
        <w:rPr>
          <w:sz w:val="22"/>
          <w:szCs w:val="22"/>
        </w:rPr>
        <w:instrText xml:space="preserve"> REF _Ref4588935 \h </w:instrText>
      </w:r>
      <w:r w:rsidR="00F77D81" w:rsidRPr="00F77D81">
        <w:rPr>
          <w:sz w:val="22"/>
          <w:szCs w:val="22"/>
        </w:rPr>
      </w:r>
      <w:r w:rsidR="00F77D81" w:rsidRPr="00F77D81">
        <w:rPr>
          <w:sz w:val="22"/>
          <w:szCs w:val="22"/>
        </w:rPr>
        <w:fldChar w:fldCharType="separate"/>
      </w:r>
      <w:r w:rsidR="00F77D81" w:rsidRPr="00F77D81">
        <w:rPr>
          <w:sz w:val="22"/>
          <w:szCs w:val="22"/>
        </w:rPr>
        <w:t>Appendix D: Limitations and Restrictions</w:t>
      </w:r>
      <w:r w:rsidR="00F77D81" w:rsidRPr="00F77D81">
        <w:rPr>
          <w:sz w:val="22"/>
          <w:szCs w:val="22"/>
        </w:rPr>
        <w:fldChar w:fldCharType="end"/>
      </w:r>
    </w:p>
    <w:p w14:paraId="4D9FC524" w14:textId="3B566FAF" w:rsidR="00451DCA" w:rsidRPr="00F77D81" w:rsidRDefault="00451DCA" w:rsidP="00451DCA">
      <w:pPr>
        <w:rPr>
          <w:sz w:val="22"/>
          <w:szCs w:val="22"/>
        </w:rPr>
      </w:pPr>
    </w:p>
    <w:p w14:paraId="30C8F1B7" w14:textId="77777777" w:rsidR="00B82DFE" w:rsidRDefault="0045199A" w:rsidP="0045199A">
      <w:pPr>
        <w:rPr>
          <w:sz w:val="22"/>
          <w:szCs w:val="22"/>
        </w:rPr>
      </w:pPr>
      <w:r w:rsidRPr="00F77D81">
        <w:rPr>
          <w:sz w:val="22"/>
          <w:szCs w:val="22"/>
        </w:rPr>
        <w:t xml:space="preserve">by option as well as throughout this document as part of the detailed information associated with the functionality. </w:t>
      </w:r>
    </w:p>
    <w:p w14:paraId="6580F41F" w14:textId="77777777" w:rsidR="00B82DFE" w:rsidRDefault="00B82DFE">
      <w:pPr>
        <w:rPr>
          <w:sz w:val="22"/>
          <w:szCs w:val="22"/>
        </w:rPr>
      </w:pPr>
      <w:r>
        <w:rPr>
          <w:sz w:val="22"/>
          <w:szCs w:val="22"/>
        </w:rPr>
        <w:br w:type="page"/>
      </w:r>
    </w:p>
    <w:p w14:paraId="055ACB0D" w14:textId="27EDB68C" w:rsidR="0045199A" w:rsidRPr="00F77D81" w:rsidRDefault="0045199A" w:rsidP="0045199A">
      <w:pPr>
        <w:rPr>
          <w:sz w:val="22"/>
          <w:szCs w:val="22"/>
        </w:rPr>
      </w:pPr>
      <w:r w:rsidRPr="00F77D81">
        <w:rPr>
          <w:vanish/>
          <w:sz w:val="22"/>
          <w:szCs w:val="22"/>
        </w:rPr>
        <w:lastRenderedPageBreak/>
        <w:t>DR 5105</w:t>
      </w:r>
    </w:p>
    <w:bookmarkEnd w:id="2"/>
    <w:bookmarkEnd w:id="3"/>
    <w:bookmarkEnd w:id="4"/>
    <w:bookmarkEnd w:id="5"/>
    <w:p w14:paraId="072C6474" w14:textId="77777777" w:rsidR="002A21AE" w:rsidRPr="00AB3B2D" w:rsidRDefault="00057948">
      <w:pPr>
        <w:pStyle w:val="Caution"/>
        <w:rPr>
          <w:i w:val="0"/>
        </w:rPr>
      </w:pPr>
      <w:r>
        <w:rPr>
          <w:noProof/>
        </w:rPr>
        <w:drawing>
          <wp:inline distT="0" distB="0" distL="0" distR="0" wp14:anchorId="4105AF37" wp14:editId="435724F3">
            <wp:extent cx="267970" cy="221615"/>
            <wp:effectExtent l="0" t="0" r="0" b="6985"/>
            <wp:docPr id="10" name="Picture 10" descr="P284L1#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284L1#yIS1">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2A21AE">
        <w:t xml:space="preserve">Unauthorized access or misuse of this system and/or its data is </w:t>
      </w:r>
      <w:r w:rsidR="000A6837">
        <w:t>a federal crime. Use of all data, printed or electronic, must</w:t>
      </w:r>
      <w:r w:rsidR="002A21AE">
        <w:t xml:space="preserve"> be in accordance with VA policy on security and privacy.</w:t>
      </w:r>
      <w:r w:rsidR="00AB3B2D">
        <w:rPr>
          <w:i w:val="0"/>
          <w:vanish/>
        </w:rPr>
        <w:t xml:space="preserve"> DR 3513</w:t>
      </w:r>
    </w:p>
    <w:p w14:paraId="4D16687E" w14:textId="77777777" w:rsidR="002A21AE" w:rsidRDefault="00057948">
      <w:pPr>
        <w:pStyle w:val="Caution"/>
      </w:pPr>
      <w:r>
        <w:rPr>
          <w:noProof/>
        </w:rPr>
        <w:drawing>
          <wp:inline distT="0" distB="0" distL="0" distR="0" wp14:anchorId="6250DE53" wp14:editId="0131648F">
            <wp:extent cx="267970" cy="221615"/>
            <wp:effectExtent l="0" t="0" r="0" b="6985"/>
            <wp:docPr id="11" name="Picture 11" descr="P285L1#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285L1#yIS1">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2A21AE">
        <w:t>The U.S. Food and Drug Administration classifies this software as a medical device. Unauthorized modifications will render this device an adulterated medical device under Section 501 of the Medical Device Amendments to the Federal Food, Drug, and Cosmetic Act. Acquiring and implementing this software through the Freedom of Information Act require the implementer to assume total responsibility for the software and become a registered manufacturer of a medical device, subject to FDA regulations.</w:t>
      </w:r>
    </w:p>
    <w:p w14:paraId="6FB38602" w14:textId="77777777" w:rsidR="002A21AE" w:rsidRDefault="002A21AE">
      <w:pPr>
        <w:pStyle w:val="Heading2"/>
      </w:pPr>
      <w:bookmarkStart w:id="6" w:name="_Toc4588690"/>
      <w:r>
        <w:t>Freeware Disclaimer</w:t>
      </w:r>
      <w:bookmarkEnd w:id="6"/>
      <w:r>
        <w:fldChar w:fldCharType="begin"/>
      </w:r>
      <w:r>
        <w:instrText xml:space="preserve"> XE </w:instrText>
      </w:r>
      <w:r w:rsidR="00FA7E65">
        <w:instrText>“</w:instrText>
      </w:r>
      <w:r>
        <w:instrText>Freeware Disclaimer</w:instrText>
      </w:r>
      <w:r w:rsidR="00FA7E65">
        <w:instrText>”</w:instrText>
      </w:r>
      <w:r>
        <w:instrText xml:space="preserve"> </w:instrText>
      </w:r>
      <w:r>
        <w:fldChar w:fldCharType="end"/>
      </w:r>
    </w:p>
    <w:p w14:paraId="5528EB91" w14:textId="77777777" w:rsidR="004C7D98" w:rsidRPr="004C7D98" w:rsidRDefault="00091DC8" w:rsidP="004C7D98">
      <w:pPr>
        <w:pStyle w:val="BodyText"/>
      </w:pPr>
      <w:r w:rsidRPr="004C7D98">
        <w:t xml:space="preserve">Requests for VBECS may be submitted </w:t>
      </w:r>
      <w:r w:rsidR="003B64FF" w:rsidRPr="004C7D98">
        <w:t xml:space="preserve">through the Freedom of Information Act (FOIA). </w:t>
      </w:r>
      <w:r w:rsidR="004C7D98" w:rsidRPr="004C7D98">
        <w:t>Effective on September 19, 2011, the Department of Veterans Affairs will accept</w:t>
      </w:r>
      <w:r w:rsidR="00AF37FE">
        <w:t xml:space="preserve"> FOIA requests electronically. </w:t>
      </w:r>
      <w:r w:rsidR="004C7D98" w:rsidRPr="004C7D98">
        <w:t>Most VA Central Off</w:t>
      </w:r>
      <w:r w:rsidR="004C7D98">
        <w:t xml:space="preserve">ice (VACO) Offices </w:t>
      </w:r>
      <w:r w:rsidR="004C7D98" w:rsidRPr="004C7D98">
        <w:t>are in the process of establ</w:t>
      </w:r>
      <w:r w:rsidR="004C7D98">
        <w:t xml:space="preserve">ishing an electronic mailbox. </w:t>
      </w:r>
      <w:r w:rsidR="004C7D98" w:rsidRPr="004C7D98">
        <w:t>In the meantime, the FOIA Service will accept electronic FOIA requests for any VACO FOIA Office that does not yet have a mailbox in place, and will forward your request to the appropriate office for processing.  </w:t>
      </w:r>
    </w:p>
    <w:p w14:paraId="1DE208CC" w14:textId="048F391D" w:rsidR="003B64FF" w:rsidRPr="00234D60" w:rsidRDefault="00CD5D6A" w:rsidP="00234D60">
      <w:pPr>
        <w:pStyle w:val="BodyText"/>
      </w:pPr>
      <w:r>
        <w:t>Submit requests</w:t>
      </w:r>
      <w:r w:rsidR="003B64FF">
        <w:t xml:space="preserve"> to</w:t>
      </w:r>
      <w:r w:rsidR="007C6538">
        <w:t xml:space="preserve"> </w:t>
      </w:r>
      <w:hyperlink r:id="rId22" w:history="1">
        <w:r w:rsidR="007C6538" w:rsidRPr="00892D12">
          <w:rPr>
            <w:rStyle w:val="Hyperlink"/>
          </w:rPr>
          <w:t>http://www.foia.va.gov/FOIA_Offices.asp</w:t>
        </w:r>
      </w:hyperlink>
      <w:r w:rsidR="00234D60">
        <w:rPr>
          <w:vanish/>
        </w:rPr>
        <w:t>DR</w:t>
      </w:r>
    </w:p>
    <w:p w14:paraId="03783BE7" w14:textId="0DC08152" w:rsidR="002A21AE" w:rsidRDefault="002A21AE" w:rsidP="00634FC7">
      <w:pPr>
        <w:pStyle w:val="Heading2"/>
      </w:pPr>
      <w:bookmarkStart w:id="7" w:name="_Toc4588691"/>
      <w:r>
        <w:t>Related Manuals and Materials</w:t>
      </w:r>
      <w:bookmarkEnd w:id="7"/>
      <w:r>
        <w:fldChar w:fldCharType="begin"/>
      </w:r>
      <w:r>
        <w:instrText xml:space="preserve"> XE </w:instrText>
      </w:r>
      <w:r w:rsidR="00FA7E65">
        <w:instrText>“</w:instrText>
      </w:r>
      <w:r>
        <w:instrText>Related Manuals and Materials</w:instrText>
      </w:r>
      <w:r w:rsidR="00FA7E65">
        <w:instrText>”</w:instrText>
      </w:r>
      <w:r>
        <w:instrText xml:space="preserve"> </w:instrText>
      </w:r>
      <w:r>
        <w:fldChar w:fldCharType="end"/>
      </w:r>
    </w:p>
    <w:p w14:paraId="369EAC77" w14:textId="32FC1BA9" w:rsidR="002A21AE" w:rsidRPr="004F1322" w:rsidRDefault="000C7684">
      <w:pPr>
        <w:pStyle w:val="ListBullet"/>
      </w:pPr>
      <w:r w:rsidRPr="000C7684">
        <w:rPr>
          <w:bCs/>
          <w:i/>
        </w:rPr>
        <w:t>VistA</w:t>
      </w:r>
      <w:r w:rsidR="002A21AE" w:rsidRPr="000C7684">
        <w:rPr>
          <w:i/>
        </w:rPr>
        <w:t xml:space="preserve"> </w:t>
      </w:r>
      <w:r w:rsidR="002A21AE">
        <w:rPr>
          <w:i/>
        </w:rPr>
        <w:t xml:space="preserve">Blood Establishment Computer Software (VBECS) </w:t>
      </w:r>
      <w:r w:rsidR="00C94A42">
        <w:rPr>
          <w:i/>
        </w:rPr>
        <w:t>2.3.1</w:t>
      </w:r>
      <w:r w:rsidR="008C75A6">
        <w:rPr>
          <w:i/>
        </w:rPr>
        <w:t xml:space="preserve"> </w:t>
      </w:r>
      <w:r w:rsidR="002A21AE">
        <w:rPr>
          <w:i/>
        </w:rPr>
        <w:t>Technical Manual-Security Guide</w:t>
      </w:r>
    </w:p>
    <w:p w14:paraId="004B16C5" w14:textId="6B2B29E3" w:rsidR="004F1322" w:rsidRPr="00151456" w:rsidRDefault="004F1322" w:rsidP="004F1322">
      <w:pPr>
        <w:pStyle w:val="ListBullet"/>
      </w:pPr>
      <w:r w:rsidRPr="000C7684">
        <w:rPr>
          <w:bCs/>
          <w:i/>
        </w:rPr>
        <w:t>VistA</w:t>
      </w:r>
      <w:r w:rsidRPr="000C7684">
        <w:rPr>
          <w:i/>
        </w:rPr>
        <w:t xml:space="preserve"> </w:t>
      </w:r>
      <w:r>
        <w:rPr>
          <w:i/>
        </w:rPr>
        <w:t>Blood Establishment Computer Software (VBECS) 2.3.</w:t>
      </w:r>
      <w:r w:rsidR="00C94A42">
        <w:rPr>
          <w:i/>
        </w:rPr>
        <w:t>1</w:t>
      </w:r>
      <w:r>
        <w:rPr>
          <w:i/>
        </w:rPr>
        <w:t xml:space="preserve"> Admin</w:t>
      </w:r>
      <w:r w:rsidR="00C74185">
        <w:rPr>
          <w:i/>
        </w:rPr>
        <w:t>istrator</w:t>
      </w:r>
      <w:r>
        <w:rPr>
          <w:i/>
        </w:rPr>
        <w:t xml:space="preserve"> User Guide</w:t>
      </w:r>
    </w:p>
    <w:p w14:paraId="5BB52642" w14:textId="23B4312D" w:rsidR="00151456" w:rsidRDefault="00151456">
      <w:pPr>
        <w:pStyle w:val="ListBullet"/>
      </w:pPr>
      <w:r>
        <w:rPr>
          <w:i/>
        </w:rPr>
        <w:t xml:space="preserve">VistA Blood Establishment Computer Software (VBECS) </w:t>
      </w:r>
      <w:r w:rsidR="00C94A42">
        <w:rPr>
          <w:i/>
        </w:rPr>
        <w:t>2.3.1</w:t>
      </w:r>
      <w:r w:rsidR="004F3C1E">
        <w:rPr>
          <w:i/>
        </w:rPr>
        <w:t xml:space="preserve"> </w:t>
      </w:r>
      <w:r>
        <w:rPr>
          <w:i/>
        </w:rPr>
        <w:t>Release Notes</w:t>
      </w:r>
    </w:p>
    <w:p w14:paraId="4F898FA3" w14:textId="77777777" w:rsidR="008E35BF" w:rsidRDefault="00091DC8" w:rsidP="008A734B">
      <w:pPr>
        <w:pStyle w:val="BodyText"/>
      </w:pPr>
      <w:r>
        <w:t xml:space="preserve">Copies of </w:t>
      </w:r>
      <w:r w:rsidRPr="00FC6E3B">
        <w:rPr>
          <w:i/>
        </w:rPr>
        <w:t>VistA Blood Establishment</w:t>
      </w:r>
      <w:r w:rsidR="00FC6E3B" w:rsidRPr="00FC6E3B">
        <w:rPr>
          <w:i/>
        </w:rPr>
        <w:t xml:space="preserve"> Computer Software (VBECS) User Guide</w:t>
      </w:r>
      <w:r w:rsidR="00FC6E3B">
        <w:t xml:space="preserve"> </w:t>
      </w:r>
      <w:r>
        <w:t>may be obtained from</w:t>
      </w:r>
      <w:r w:rsidR="00FC6E3B">
        <w:t xml:space="preserve"> </w:t>
      </w:r>
      <w:r w:rsidR="00905466">
        <w:t xml:space="preserve">the </w:t>
      </w:r>
      <w:r w:rsidR="002A21AE">
        <w:t xml:space="preserve">VDL: </w:t>
      </w:r>
      <w:r w:rsidR="000C7684" w:rsidRPr="000C7684">
        <w:rPr>
          <w:bCs/>
        </w:rPr>
        <w:t>VistA</w:t>
      </w:r>
      <w:r w:rsidR="002A21AE">
        <w:t xml:space="preserve"> Documenta</w:t>
      </w:r>
      <w:r w:rsidR="0000544A">
        <w:t xml:space="preserve">tion Library (VDL), Clinical Section, Laboratory: VistA </w:t>
      </w:r>
      <w:r w:rsidR="00922AD8">
        <w:t>Blood Establishment</w:t>
      </w:r>
      <w:r w:rsidR="0000544A">
        <w:t xml:space="preserve"> Computer Software (VBECS)</w:t>
      </w:r>
      <w:r w:rsidR="002A21AE">
        <w:t xml:space="preserve"> Web </w:t>
      </w:r>
      <w:r w:rsidR="0000544A">
        <w:t>site</w:t>
      </w:r>
      <w:r>
        <w:t>.</w:t>
      </w:r>
    </w:p>
    <w:p w14:paraId="6B584A63" w14:textId="77777777" w:rsidR="002A21AE" w:rsidRDefault="002A21AE" w:rsidP="008A734B">
      <w:pPr>
        <w:pStyle w:val="BodyText"/>
      </w:pPr>
    </w:p>
    <w:p w14:paraId="3F5EA408" w14:textId="77777777" w:rsidR="00B94CCD" w:rsidRDefault="00B94CCD">
      <w:pPr>
        <w:rPr>
          <w:rFonts w:ascii="Arial" w:hAnsi="Arial" w:cs="Arial"/>
          <w:b/>
          <w:bCs/>
          <w:kern w:val="32"/>
          <w:sz w:val="36"/>
          <w:szCs w:val="32"/>
        </w:rPr>
      </w:pPr>
      <w:r>
        <w:br w:type="page"/>
      </w:r>
    </w:p>
    <w:p w14:paraId="2CC79A14" w14:textId="77777777" w:rsidR="002A21AE" w:rsidRDefault="002A21AE" w:rsidP="000D4810">
      <w:pPr>
        <w:pStyle w:val="Heading1"/>
      </w:pPr>
      <w:bookmarkStart w:id="8" w:name="_Toc4588692"/>
      <w:r>
        <w:lastRenderedPageBreak/>
        <w:t>Orientation</w:t>
      </w:r>
      <w:bookmarkEnd w:id="8"/>
      <w:r>
        <w:fldChar w:fldCharType="begin"/>
      </w:r>
      <w:r>
        <w:instrText xml:space="preserve"> XE </w:instrText>
      </w:r>
      <w:r w:rsidR="00FA7E65">
        <w:instrText>“</w:instrText>
      </w:r>
      <w:r>
        <w:instrText>Orientation</w:instrText>
      </w:r>
      <w:r w:rsidR="00FA7E65">
        <w:instrText>”</w:instrText>
      </w:r>
      <w:r>
        <w:instrText xml:space="preserve"> </w:instrText>
      </w:r>
      <w:r>
        <w:fldChar w:fldCharType="end"/>
      </w:r>
    </w:p>
    <w:p w14:paraId="006EBC93" w14:textId="77777777" w:rsidR="002A21AE" w:rsidRDefault="002A21AE" w:rsidP="00FA7E65">
      <w:pPr>
        <w:pStyle w:val="BodyText"/>
      </w:pPr>
      <w:r>
        <w:t>This section covers:</w:t>
      </w:r>
    </w:p>
    <w:p w14:paraId="3344F592" w14:textId="77777777" w:rsidR="009F591F" w:rsidRDefault="009F591F" w:rsidP="009F591F">
      <w:pPr>
        <w:pStyle w:val="ListBullet"/>
      </w:pPr>
      <w:r>
        <w:t>How This User Guide Is Organized</w:t>
      </w:r>
    </w:p>
    <w:p w14:paraId="778DB548" w14:textId="77777777" w:rsidR="002A21AE" w:rsidRDefault="002A21AE">
      <w:pPr>
        <w:pStyle w:val="ListBullet"/>
      </w:pPr>
      <w:r>
        <w:t>Security: who can use VBECS</w:t>
      </w:r>
    </w:p>
    <w:p w14:paraId="12708F4C" w14:textId="77777777" w:rsidR="005E6F80" w:rsidRDefault="005E6F80" w:rsidP="005E6F80">
      <w:pPr>
        <w:pStyle w:val="ListBullet"/>
      </w:pPr>
      <w:r>
        <w:t>Application Architecture: the architectural requirements for VBECS</w:t>
      </w:r>
    </w:p>
    <w:p w14:paraId="03360358" w14:textId="77777777" w:rsidR="002A21AE" w:rsidRDefault="002A21AE">
      <w:pPr>
        <w:pStyle w:val="ListBullet"/>
      </w:pPr>
      <w:r>
        <w:t xml:space="preserve">Hardware and Infrastructure Architecture: the system environment for installation and operation of VBECS </w:t>
      </w:r>
    </w:p>
    <w:p w14:paraId="4A2B0B4E" w14:textId="77777777" w:rsidR="002A21AE" w:rsidRDefault="000C7684">
      <w:pPr>
        <w:pStyle w:val="ListBullet"/>
      </w:pPr>
      <w:r w:rsidRPr="000C7684">
        <w:rPr>
          <w:bCs/>
        </w:rPr>
        <w:t>VistA</w:t>
      </w:r>
      <w:r w:rsidR="002A21AE">
        <w:t xml:space="preserve"> and VBECS: how VBECS compares to </w:t>
      </w:r>
      <w:r w:rsidRPr="000C7684">
        <w:rPr>
          <w:bCs/>
        </w:rPr>
        <w:t>VistA</w:t>
      </w:r>
      <w:r w:rsidR="002A21AE">
        <w:t xml:space="preserve"> </w:t>
      </w:r>
    </w:p>
    <w:p w14:paraId="705D7BFD" w14:textId="77777777" w:rsidR="002A21AE" w:rsidRDefault="002A21AE">
      <w:pPr>
        <w:pStyle w:val="ListBullet"/>
      </w:pPr>
      <w:r>
        <w:t>Customer Support: how to get help</w:t>
      </w:r>
    </w:p>
    <w:p w14:paraId="4D6A82C9" w14:textId="2EE8F26B" w:rsidR="00361EC2" w:rsidRDefault="009A5D90">
      <w:pPr>
        <w:pStyle w:val="ListBullet"/>
      </w:pPr>
      <w:r>
        <w:t>VBECS Patching</w:t>
      </w:r>
      <w:r w:rsidR="00BD12FB">
        <w:t xml:space="preserve"> </w:t>
      </w:r>
      <w:r w:rsidR="00BD12FB" w:rsidRPr="00BD12FB">
        <w:rPr>
          <w:vanish/>
        </w:rPr>
        <w:t>UC_84</w:t>
      </w:r>
    </w:p>
    <w:p w14:paraId="0A2825D3" w14:textId="77777777" w:rsidR="009F591F" w:rsidRDefault="009F591F" w:rsidP="009F591F">
      <w:pPr>
        <w:pStyle w:val="Heading2"/>
      </w:pPr>
      <w:bookmarkStart w:id="9" w:name="_Toc4588693"/>
      <w:r>
        <w:t>How This User Guide Is Organized</w:t>
      </w:r>
      <w:bookmarkEnd w:id="9"/>
      <w:r>
        <w:fldChar w:fldCharType="begin"/>
      </w:r>
      <w:r>
        <w:instrText xml:space="preserve"> XE “How This User Guide Is Organized” </w:instrText>
      </w:r>
      <w:r>
        <w:fldChar w:fldCharType="end"/>
      </w:r>
    </w:p>
    <w:p w14:paraId="413FCA19" w14:textId="77777777" w:rsidR="009F591F" w:rsidRDefault="009F591F" w:rsidP="009F591F">
      <w:pPr>
        <w:pStyle w:val="Heading3"/>
        <w:ind w:left="720" w:hanging="720"/>
      </w:pPr>
      <w:bookmarkStart w:id="10" w:name="_Toc4588694"/>
      <w:r>
        <w:t>Terms</w:t>
      </w:r>
      <w:bookmarkEnd w:id="10"/>
      <w:r>
        <w:fldChar w:fldCharType="begin"/>
      </w:r>
      <w:r>
        <w:instrText xml:space="preserve"> XE “Terms” </w:instrText>
      </w:r>
      <w:r>
        <w:fldChar w:fldCharType="end"/>
      </w:r>
    </w:p>
    <w:p w14:paraId="4738EEA2" w14:textId="77777777" w:rsidR="009F591F" w:rsidRPr="001B3283" w:rsidRDefault="009F591F" w:rsidP="009F591F">
      <w:pPr>
        <w:pStyle w:val="BodyText"/>
      </w:pPr>
      <w:r w:rsidRPr="001B3283">
        <w:t>For consistency and space considerations, the pronouns “he,” “him,” and “his” are used as pronouns of indeterminate gender equally applicable to males and females.</w:t>
      </w:r>
    </w:p>
    <w:p w14:paraId="6E27969D" w14:textId="77777777" w:rsidR="009F591F" w:rsidRDefault="009F591F" w:rsidP="009F591F">
      <w:pPr>
        <w:pStyle w:val="BodyText"/>
      </w:pPr>
      <w:r>
        <w:t xml:space="preserve">In many instances, a user may scan a barcode or enter data manually (by typing). The term “enter” is used throughout this guide to mean “enter manually.” </w:t>
      </w:r>
    </w:p>
    <w:p w14:paraId="7FC9F619" w14:textId="77777777" w:rsidR="009F591F" w:rsidRDefault="009F591F" w:rsidP="009F591F">
      <w:pPr>
        <w:pStyle w:val="BodyText"/>
      </w:pPr>
      <w:r>
        <w:t>See the Glossary for definitions of other terms and acronyms used in this guide.</w:t>
      </w:r>
    </w:p>
    <w:p w14:paraId="01F32109" w14:textId="77777777" w:rsidR="009F591F" w:rsidRDefault="009F591F" w:rsidP="009F591F">
      <w:pPr>
        <w:pStyle w:val="Heading3"/>
      </w:pPr>
      <w:bookmarkStart w:id="11" w:name="_Toc4588695"/>
      <w:r>
        <w:t>Background and Basic Knowledge</w:t>
      </w:r>
      <w:bookmarkEnd w:id="11"/>
      <w:r>
        <w:fldChar w:fldCharType="begin"/>
      </w:r>
      <w:r>
        <w:instrText xml:space="preserve"> XE “Background and Basic Knowledge” </w:instrText>
      </w:r>
      <w:r>
        <w:fldChar w:fldCharType="end"/>
      </w:r>
    </w:p>
    <w:p w14:paraId="674704CC" w14:textId="77777777" w:rsidR="009F591F" w:rsidRDefault="009F591F" w:rsidP="009F591F">
      <w:pPr>
        <w:pStyle w:val="BodyText"/>
      </w:pPr>
      <w:r>
        <w:t>The Introduction, Orientation, and Using the Software sections provide the background and basic knowledge VBECS users need.</w:t>
      </w:r>
    </w:p>
    <w:p w14:paraId="2A8FFE99" w14:textId="77777777" w:rsidR="009F591F" w:rsidRDefault="009F591F" w:rsidP="009F591F">
      <w:pPr>
        <w:pStyle w:val="Heading3"/>
      </w:pPr>
      <w:bookmarkStart w:id="12" w:name="_Toc4588696"/>
      <w:r>
        <w:t>Figures and Tables</w:t>
      </w:r>
      <w:bookmarkEnd w:id="12"/>
      <w:r w:rsidR="00AB6531">
        <w:fldChar w:fldCharType="begin"/>
      </w:r>
      <w:r w:rsidR="00AB6531">
        <w:instrText xml:space="preserve"> XE "</w:instrText>
      </w:r>
      <w:r w:rsidR="00AB6531" w:rsidRPr="00686ED1">
        <w:instrText>Figures and Tables</w:instrText>
      </w:r>
      <w:r w:rsidR="00AB6531">
        <w:instrText xml:space="preserve">" </w:instrText>
      </w:r>
      <w:r w:rsidR="00AB6531">
        <w:fldChar w:fldCharType="end"/>
      </w:r>
    </w:p>
    <w:p w14:paraId="7127010E" w14:textId="77777777" w:rsidR="009F591F" w:rsidRDefault="009F591F" w:rsidP="009F591F">
      <w:pPr>
        <w:pStyle w:val="BodyText"/>
      </w:pPr>
      <w:r>
        <w:rPr>
          <w:rFonts w:eastAsia="Arial Unicode MS"/>
        </w:rPr>
        <w:t>If you refer to figures and tables from the user guide in your local policy and procedure documents, you may wish to use their titles only, without figure or table numbers: as the user guide is updated, those numbers may change.</w:t>
      </w:r>
    </w:p>
    <w:p w14:paraId="00606F40" w14:textId="77777777" w:rsidR="009F591F" w:rsidRDefault="009F591F" w:rsidP="009F591F">
      <w:pPr>
        <w:pStyle w:val="Heading3"/>
      </w:pPr>
      <w:bookmarkStart w:id="13" w:name="_Toc4588697"/>
      <w:r>
        <w:t>Options</w:t>
      </w:r>
      <w:bookmarkEnd w:id="13"/>
      <w:r>
        <w:fldChar w:fldCharType="begin"/>
      </w:r>
      <w:r>
        <w:instrText xml:space="preserve"> XE “Options” </w:instrText>
      </w:r>
      <w:r>
        <w:fldChar w:fldCharType="end"/>
      </w:r>
    </w:p>
    <w:p w14:paraId="0E9892CA" w14:textId="77777777" w:rsidR="009F591F" w:rsidRDefault="009F591F" w:rsidP="009F591F">
      <w:pPr>
        <w:pStyle w:val="BodyText"/>
      </w:pPr>
      <w:r>
        <w:t>The Configuring Site Parameters, Component Processing, Processing Orders, Patient Services, and Reports sections cover VBECS options.</w:t>
      </w:r>
    </w:p>
    <w:p w14:paraId="0E440D21" w14:textId="77777777" w:rsidR="009F591F" w:rsidRDefault="009F591F" w:rsidP="009F591F">
      <w:pPr>
        <w:pStyle w:val="BodyText"/>
      </w:pPr>
      <w:r>
        <w:t>Each option section starts with an introduction, a short paragraph that explains what a function allows a user to do, followed by:</w:t>
      </w:r>
    </w:p>
    <w:p w14:paraId="63B8603E" w14:textId="77777777" w:rsidR="009F591F" w:rsidRDefault="009F591F" w:rsidP="009F591F">
      <w:pPr>
        <w:pStyle w:val="ListBullet"/>
      </w:pPr>
      <w:r>
        <w:t>Assumptions: tasks that must be completed before performing a function.</w:t>
      </w:r>
    </w:p>
    <w:p w14:paraId="335111D5" w14:textId="77777777" w:rsidR="009F591F" w:rsidRDefault="009F591F" w:rsidP="009F591F">
      <w:pPr>
        <w:pStyle w:val="ListBullet"/>
      </w:pPr>
      <w:r>
        <w:t>Outcome: results of performing a function.</w:t>
      </w:r>
    </w:p>
    <w:p w14:paraId="4825E63B" w14:textId="77777777" w:rsidR="009F591F" w:rsidRDefault="009F591F" w:rsidP="009F591F">
      <w:pPr>
        <w:pStyle w:val="ListBullet"/>
      </w:pPr>
      <w:r>
        <w:t>Limitations and Restrictions: features of the system that are restricted by and exist within this function.</w:t>
      </w:r>
    </w:p>
    <w:p w14:paraId="70FE34B4" w14:textId="77777777" w:rsidR="009F591F" w:rsidRDefault="009F591F" w:rsidP="009F591F">
      <w:pPr>
        <w:pStyle w:val="ListBullet"/>
      </w:pPr>
      <w:r>
        <w:t>Additional Information: information that helps the user perform a function.</w:t>
      </w:r>
    </w:p>
    <w:p w14:paraId="6338E456" w14:textId="77777777" w:rsidR="009F591F" w:rsidRDefault="009F591F" w:rsidP="009F591F">
      <w:pPr>
        <w:pStyle w:val="ListBullet"/>
      </w:pPr>
      <w:bookmarkStart w:id="14" w:name="OLE_LINK21"/>
      <w:bookmarkStart w:id="15" w:name="OLE_LINK22"/>
      <w:r>
        <w:t>User Roles with Access to This Option: which users may perform this option in whole or in part.</w:t>
      </w:r>
    </w:p>
    <w:p w14:paraId="189C9654" w14:textId="77777777" w:rsidR="009F591F" w:rsidRDefault="009F591F" w:rsidP="009F591F">
      <w:pPr>
        <w:pStyle w:val="ListBullet"/>
      </w:pPr>
      <w:r>
        <w:t>A detailed description of what the function allows each user to do. Two or more arrows (</w:t>
      </w:r>
      <w:r w:rsidRPr="00EC7489">
        <w:rPr>
          <w:rFonts w:ascii="Wingdings 3" w:hAnsi="Wingdings 3" w:cs="Wingdings"/>
        </w:rPr>
        <w:t></w:t>
      </w:r>
      <w:r>
        <w:t>) indicate functions limited to a specific role.</w:t>
      </w:r>
    </w:p>
    <w:bookmarkEnd w:id="14"/>
    <w:bookmarkEnd w:id="15"/>
    <w:p w14:paraId="4A3FDB3F" w14:textId="77777777" w:rsidR="009F591F" w:rsidRDefault="009F591F" w:rsidP="009F591F">
      <w:pPr>
        <w:pStyle w:val="ListBullet"/>
      </w:pPr>
      <w:r>
        <w:t>Table of steps for the basic path (user and VBECS actions).</w:t>
      </w:r>
    </w:p>
    <w:p w14:paraId="0ECAEBB6" w14:textId="77777777" w:rsidR="009F591F" w:rsidRDefault="009F591F" w:rsidP="009F591F">
      <w:pPr>
        <w:pStyle w:val="ListBullet"/>
      </w:pPr>
      <w:r>
        <w:t>Tables of steps for alternate paths (user and VBECS actions).</w:t>
      </w:r>
    </w:p>
    <w:p w14:paraId="19C16735" w14:textId="77777777" w:rsidR="009F591F" w:rsidRDefault="009F591F" w:rsidP="009F591F">
      <w:pPr>
        <w:pStyle w:val="ListBullet"/>
      </w:pPr>
      <w:r>
        <w:lastRenderedPageBreak/>
        <w:t>Figures (examples of reports, screen shots, etc.).</w:t>
      </w:r>
    </w:p>
    <w:p w14:paraId="2BA117AC" w14:textId="77777777" w:rsidR="009F591F" w:rsidRDefault="009F591F" w:rsidP="009F591F">
      <w:pPr>
        <w:pStyle w:val="ListBullet"/>
      </w:pPr>
      <w:r>
        <w:t>Table of alerts that may occur during an option.</w:t>
      </w:r>
    </w:p>
    <w:p w14:paraId="5E15FCE5" w14:textId="77777777" w:rsidR="009F591F" w:rsidRDefault="009F591F" w:rsidP="009F591F">
      <w:pPr>
        <w:pStyle w:val="Caution"/>
      </w:pPr>
      <w:r>
        <w:t xml:space="preserve">A </w:t>
      </w:r>
      <w:r w:rsidRPr="008B6F70">
        <w:rPr>
          <w:rStyle w:val="BullhornChar"/>
          <w:i w:val="0"/>
        </w:rPr>
        <w:t></w:t>
      </w:r>
      <w:r w:rsidRPr="00D62E87">
        <w:rPr>
          <w:rFonts w:ascii="Webdings" w:hAnsi="Webdings"/>
        </w:rPr>
        <w:t></w:t>
      </w:r>
      <w:r>
        <w:t>(bullhorn) indicates that VBECS emits an audible alert. Keep the sound on to hear the alerts (see Volume for instructions on adjusting the volume).</w:t>
      </w:r>
    </w:p>
    <w:p w14:paraId="0C93CE1D" w14:textId="77777777" w:rsidR="009F591F" w:rsidRDefault="009F591F" w:rsidP="009F591F">
      <w:pPr>
        <w:pStyle w:val="ListBullet"/>
      </w:pPr>
      <w:r>
        <w:t>Outlined, italicized text highlights tips, warnings, and cautions, for example:</w:t>
      </w:r>
    </w:p>
    <w:p w14:paraId="1D56D7C0" w14:textId="77777777" w:rsidR="009F591F" w:rsidRDefault="009F591F" w:rsidP="009F591F">
      <w:pPr>
        <w:pStyle w:val="Caution"/>
      </w:pPr>
      <w:r>
        <w:t xml:space="preserve">A </w:t>
      </w:r>
      <w:r w:rsidR="00057948">
        <w:rPr>
          <w:noProof/>
        </w:rPr>
        <w:drawing>
          <wp:inline distT="0" distB="0" distL="0" distR="0" wp14:anchorId="3D0124E9" wp14:editId="5EEB731A">
            <wp:extent cx="267970" cy="221615"/>
            <wp:effectExtent l="0" t="0" r="0" b="6985"/>
            <wp:docPr id="12" name="Picture 12" descr="P329L1#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329L1#yIS1">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t xml:space="preserve"> signals potential hazards throughout this guide as they occur. </w:t>
      </w:r>
    </w:p>
    <w:p w14:paraId="279F907B" w14:textId="77777777" w:rsidR="009F591F" w:rsidRDefault="009F591F" w:rsidP="009F591F">
      <w:pPr>
        <w:pStyle w:val="Heading3"/>
      </w:pPr>
      <w:bookmarkStart w:id="16" w:name="_Toc4588698"/>
      <w:r>
        <w:t>Supplemental Information</w:t>
      </w:r>
      <w:bookmarkEnd w:id="16"/>
      <w:r>
        <w:fldChar w:fldCharType="begin"/>
      </w:r>
      <w:r>
        <w:instrText xml:space="preserve"> XE “Supplemental Information” </w:instrText>
      </w:r>
      <w:r>
        <w:fldChar w:fldCharType="end"/>
      </w:r>
    </w:p>
    <w:p w14:paraId="2F768D36" w14:textId="77777777" w:rsidR="009F591F" w:rsidRDefault="009F591F" w:rsidP="009F591F">
      <w:pPr>
        <w:pStyle w:val="BodyText"/>
      </w:pPr>
      <w:r>
        <w:t>The third group of sections (References, Glossary) provides knowledge that may be needed beyond the standard, daily use of VBECS.</w:t>
      </w:r>
    </w:p>
    <w:p w14:paraId="721411E1" w14:textId="77777777" w:rsidR="009F591F" w:rsidRDefault="009F591F" w:rsidP="009F591F">
      <w:pPr>
        <w:pStyle w:val="Heading3"/>
      </w:pPr>
      <w:bookmarkStart w:id="17" w:name="_Toc4588699"/>
      <w:r>
        <w:t>Appendices</w:t>
      </w:r>
      <w:bookmarkEnd w:id="17"/>
      <w:r>
        <w:fldChar w:fldCharType="begin"/>
      </w:r>
      <w:r>
        <w:instrText xml:space="preserve"> XE “Appendices” </w:instrText>
      </w:r>
      <w:r>
        <w:fldChar w:fldCharType="end"/>
      </w:r>
    </w:p>
    <w:p w14:paraId="06FEC699" w14:textId="77777777" w:rsidR="009F591F" w:rsidRDefault="009F591F" w:rsidP="009F591F">
      <w:pPr>
        <w:pStyle w:val="BodyText"/>
      </w:pPr>
      <w:r>
        <w:t>The appendices contain truth tables, diagrams, and other materials for reference.</w:t>
      </w:r>
    </w:p>
    <w:p w14:paraId="771597BF" w14:textId="77777777" w:rsidR="009F591F" w:rsidRDefault="009F591F" w:rsidP="009F591F">
      <w:pPr>
        <w:pStyle w:val="BodyText"/>
      </w:pPr>
      <w:r>
        <w:t>Click a section name or page number in the table of contents to move to a section. The index does not incorporate this feature.</w:t>
      </w:r>
    </w:p>
    <w:p w14:paraId="126B751F" w14:textId="77777777" w:rsidR="002A21AE" w:rsidRDefault="002A21AE" w:rsidP="009F591F">
      <w:pPr>
        <w:pStyle w:val="Heading2"/>
      </w:pPr>
      <w:bookmarkStart w:id="18" w:name="_Toc4588700"/>
      <w:r>
        <w:t>Security</w:t>
      </w:r>
      <w:bookmarkEnd w:id="18"/>
      <w:r>
        <w:fldChar w:fldCharType="begin"/>
      </w:r>
      <w:r>
        <w:instrText xml:space="preserve"> XE </w:instrText>
      </w:r>
      <w:r w:rsidR="00FA7E65">
        <w:instrText>“</w:instrText>
      </w:r>
      <w:r>
        <w:instrText>Security</w:instrText>
      </w:r>
      <w:r w:rsidR="00FA7E65">
        <w:instrText>”</w:instrText>
      </w:r>
      <w:r>
        <w:instrText xml:space="preserve"> </w:instrText>
      </w:r>
      <w:r>
        <w:fldChar w:fldCharType="end"/>
      </w:r>
    </w:p>
    <w:p w14:paraId="3F78EE1E" w14:textId="77777777" w:rsidR="002A21AE" w:rsidRDefault="002A21AE" w:rsidP="00FA7E65">
      <w:pPr>
        <w:pStyle w:val="BodyText"/>
      </w:pPr>
      <w:r>
        <w:rPr>
          <w:i/>
        </w:rPr>
        <w:t>User roles</w:t>
      </w:r>
      <w:r>
        <w:t xml:space="preserve"> identify who can access which functions. Not every VBECS user has access to all VBECS options or functions within options. Two or more arrows (</w:t>
      </w:r>
      <w:r w:rsidRPr="00EC7489">
        <w:rPr>
          <w:rFonts w:ascii="Wingdings 3" w:hAnsi="Wingdings 3" w:cs="Wingdings"/>
        </w:rPr>
        <w:t></w:t>
      </w:r>
      <w:r>
        <w:t>) indicate functions limited to a specific role.</w:t>
      </w:r>
    </w:p>
    <w:p w14:paraId="1D53D628" w14:textId="77777777" w:rsidR="00D93651" w:rsidRPr="00D93651" w:rsidRDefault="00057948" w:rsidP="00D93651">
      <w:pPr>
        <w:pStyle w:val="Caution"/>
      </w:pPr>
      <w:r>
        <w:rPr>
          <w:noProof/>
        </w:rPr>
        <w:drawing>
          <wp:inline distT="0" distB="0" distL="0" distR="0" wp14:anchorId="2A2234B5" wp14:editId="09AB8C49">
            <wp:extent cx="267970" cy="221615"/>
            <wp:effectExtent l="0" t="0" r="0" b="6985"/>
            <wp:docPr id="13" name="Picture 13" descr="P337L1#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337L1#yIS1">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903FB7">
        <w:t>It is critical that e</w:t>
      </w:r>
      <w:r w:rsidR="00D93651">
        <w:t xml:space="preserve">ach </w:t>
      </w:r>
      <w:r w:rsidR="003C244C">
        <w:t>site</w:t>
      </w:r>
      <w:r w:rsidR="00D93651" w:rsidRPr="00D93651">
        <w:t xml:space="preserve"> </w:t>
      </w:r>
      <w:r w:rsidR="00D93651">
        <w:t xml:space="preserve">evaluate its staff and </w:t>
      </w:r>
      <w:r w:rsidR="00D93651" w:rsidRPr="00D93651">
        <w:t xml:space="preserve">determine </w:t>
      </w:r>
      <w:r w:rsidR="00D93651">
        <w:t xml:space="preserve">appropriate </w:t>
      </w:r>
      <w:r w:rsidR="00D93651" w:rsidRPr="00D93651">
        <w:t>secu</w:t>
      </w:r>
      <w:r w:rsidR="00D93651">
        <w:t>r</w:t>
      </w:r>
      <w:r w:rsidR="00D93651" w:rsidRPr="00D93651">
        <w:t xml:space="preserve">ity </w:t>
      </w:r>
      <w:r w:rsidR="00D93651">
        <w:t>levels</w:t>
      </w:r>
      <w:r w:rsidR="00903FB7">
        <w:t xml:space="preserve"> based on training and qualifications</w:t>
      </w:r>
      <w:r w:rsidR="00D93651" w:rsidRPr="00D93651">
        <w:t>.</w:t>
      </w:r>
    </w:p>
    <w:p w14:paraId="344B8D88" w14:textId="77777777" w:rsidR="002A21AE" w:rsidRDefault="002A21AE" w:rsidP="00FA7E65">
      <w:pPr>
        <w:pStyle w:val="BodyText"/>
      </w:pPr>
      <w:r>
        <w:t xml:space="preserve">User roles also govern which options are available and which warnings can be overridden. </w:t>
      </w:r>
      <w:r>
        <w:rPr>
          <w:vanish/>
        </w:rPr>
        <w:t xml:space="preserve">BR_6.02 </w:t>
      </w:r>
      <w:r>
        <w:t>VBECS displays options that are not available to a user</w:t>
      </w:r>
      <w:r w:rsidR="00494EC6">
        <w:t xml:space="preserve"> in gray text</w:t>
      </w:r>
      <w:r>
        <w:t>.</w:t>
      </w:r>
    </w:p>
    <w:p w14:paraId="51815B71" w14:textId="1C8E8935" w:rsidR="00827C1C" w:rsidRDefault="00827C1C" w:rsidP="00827C1C">
      <w:pPr>
        <w:pStyle w:val="BodyText"/>
        <w:rPr>
          <w:snapToGrid w:val="0"/>
        </w:rPr>
      </w:pPr>
      <w:r>
        <w:t>Each of the six user roles is associated with a</w:t>
      </w:r>
      <w:r>
        <w:rPr>
          <w:snapToGrid w:val="0"/>
        </w:rPr>
        <w:t xml:space="preserve"> security level (see </w:t>
      </w:r>
      <w:r w:rsidR="00BD76D0">
        <w:rPr>
          <w:snapToGrid w:val="0"/>
        </w:rPr>
        <w:fldChar w:fldCharType="begin" w:fldLock="1"/>
      </w:r>
      <w:r w:rsidR="00BD76D0">
        <w:rPr>
          <w:snapToGrid w:val="0"/>
        </w:rPr>
        <w:instrText xml:space="preserve"> REF _Ref126468477 \h </w:instrText>
      </w:r>
      <w:r w:rsidR="00BD76D0">
        <w:rPr>
          <w:snapToGrid w:val="0"/>
        </w:rPr>
      </w:r>
      <w:r w:rsidR="00BD76D0">
        <w:rPr>
          <w:snapToGrid w:val="0"/>
        </w:rPr>
        <w:fldChar w:fldCharType="separate"/>
      </w:r>
      <w:r w:rsidR="00AB304C">
        <w:t xml:space="preserve">Table </w:t>
      </w:r>
      <w:r w:rsidR="00AB304C">
        <w:rPr>
          <w:noProof/>
        </w:rPr>
        <w:t>1</w:t>
      </w:r>
      <w:r w:rsidR="00BD76D0">
        <w:rPr>
          <w:snapToGrid w:val="0"/>
        </w:rPr>
        <w:fldChar w:fldCharType="end"/>
      </w:r>
      <w:r>
        <w:rPr>
          <w:snapToGrid w:val="0"/>
        </w:rPr>
        <w:t xml:space="preserve">). Privileges accumulate as the security level increases. For example, a Lead Technologist’s privileges include those of a Blood Bank Technologist and Enhanced Technologist. </w:t>
      </w:r>
    </w:p>
    <w:p w14:paraId="6A9DF15D" w14:textId="44274763" w:rsidR="00D24746" w:rsidRDefault="00413ECA" w:rsidP="00D24746">
      <w:pPr>
        <w:pStyle w:val="Caption"/>
        <w:tabs>
          <w:tab w:val="left" w:pos="4740"/>
        </w:tabs>
      </w:pPr>
      <w:bookmarkStart w:id="19" w:name="_Ref126468477"/>
      <w:bookmarkStart w:id="20" w:name="_Ref126484343"/>
      <w:r>
        <w:lastRenderedPageBreak/>
        <w:t xml:space="preserve">Table </w:t>
      </w:r>
      <w:r w:rsidR="004E20BD">
        <w:rPr>
          <w:noProof/>
        </w:rPr>
        <w:fldChar w:fldCharType="begin"/>
      </w:r>
      <w:r w:rsidR="004E20BD">
        <w:rPr>
          <w:noProof/>
        </w:rPr>
        <w:instrText xml:space="preserve"> SEQ Table \* ARABIC </w:instrText>
      </w:r>
      <w:r w:rsidR="004E20BD">
        <w:rPr>
          <w:noProof/>
        </w:rPr>
        <w:fldChar w:fldCharType="separate"/>
      </w:r>
      <w:r w:rsidR="00647F4E">
        <w:rPr>
          <w:noProof/>
        </w:rPr>
        <w:t>1</w:t>
      </w:r>
      <w:r w:rsidR="004E20BD">
        <w:rPr>
          <w:noProof/>
        </w:rPr>
        <w:fldChar w:fldCharType="end"/>
      </w:r>
      <w:bookmarkEnd w:id="19"/>
      <w:r>
        <w:t xml:space="preserve">: </w:t>
      </w:r>
      <w:r>
        <w:rPr>
          <w:vanish/>
        </w:rPr>
        <w:t xml:space="preserve">PT_19.01 </w:t>
      </w:r>
      <w:r>
        <w:t>User Roles and Functions</w:t>
      </w:r>
      <w:bookmarkEnd w:id="20"/>
      <w:r w:rsidR="00321988">
        <w:fldChar w:fldCharType="begin"/>
      </w:r>
      <w:r w:rsidR="00321988">
        <w:instrText xml:space="preserve"> XE "Tables:</w:instrText>
      </w:r>
      <w:r w:rsidR="00321988" w:rsidRPr="00B97AF3">
        <w:instrText>User Roles and Functions</w:instrText>
      </w:r>
      <w:r w:rsidR="00321988">
        <w:instrText xml:space="preserve">" </w:instrText>
      </w:r>
      <w:r w:rsidR="00321988">
        <w:fldChar w:fldCharType="end"/>
      </w:r>
    </w:p>
    <w:tbl>
      <w:tblPr>
        <w:tblW w:w="93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958"/>
        <w:gridCol w:w="4080"/>
        <w:gridCol w:w="2322"/>
      </w:tblGrid>
      <w:tr w:rsidR="0028759D" w:rsidRPr="00D25382" w14:paraId="0285F8D3" w14:textId="77777777" w:rsidTr="0005347A">
        <w:trPr>
          <w:cantSplit/>
          <w:tblHeader/>
        </w:trPr>
        <w:tc>
          <w:tcPr>
            <w:tcW w:w="2958" w:type="dxa"/>
            <w:shd w:val="clear" w:color="auto" w:fill="B3B3B3"/>
            <w:vAlign w:val="bottom"/>
          </w:tcPr>
          <w:p w14:paraId="350DBF5E" w14:textId="77777777" w:rsidR="0028759D" w:rsidRDefault="0028759D" w:rsidP="0005347A">
            <w:pPr>
              <w:pStyle w:val="TableText"/>
              <w:rPr>
                <w:b/>
              </w:rPr>
            </w:pPr>
            <w:r>
              <w:rPr>
                <w:b/>
              </w:rPr>
              <w:t>Security Levels and User Roles</w:t>
            </w:r>
          </w:p>
        </w:tc>
        <w:tc>
          <w:tcPr>
            <w:tcW w:w="4080" w:type="dxa"/>
            <w:shd w:val="clear" w:color="auto" w:fill="B3B3B3"/>
            <w:vAlign w:val="bottom"/>
          </w:tcPr>
          <w:p w14:paraId="6B734520" w14:textId="77777777" w:rsidR="0028759D" w:rsidRDefault="0028759D" w:rsidP="0005347A">
            <w:pPr>
              <w:pStyle w:val="TableText"/>
              <w:rPr>
                <w:b/>
              </w:rPr>
            </w:pPr>
            <w:r>
              <w:rPr>
                <w:b/>
              </w:rPr>
              <w:t>Accessible Functions</w:t>
            </w:r>
          </w:p>
        </w:tc>
        <w:tc>
          <w:tcPr>
            <w:tcW w:w="2322" w:type="dxa"/>
            <w:shd w:val="clear" w:color="auto" w:fill="B3B3B3"/>
            <w:vAlign w:val="bottom"/>
          </w:tcPr>
          <w:p w14:paraId="402FBD82" w14:textId="77777777" w:rsidR="0028759D" w:rsidRPr="00D25382" w:rsidRDefault="0028759D" w:rsidP="0005347A">
            <w:pPr>
              <w:pStyle w:val="TableText"/>
              <w:rPr>
                <w:b/>
              </w:rPr>
            </w:pPr>
            <w:r w:rsidRPr="00D25382">
              <w:rPr>
                <w:b/>
              </w:rPr>
              <w:t>Who Should Fill These Roles?</w:t>
            </w:r>
          </w:p>
        </w:tc>
      </w:tr>
      <w:tr w:rsidR="0028759D" w14:paraId="0681040E" w14:textId="77777777" w:rsidTr="0005347A">
        <w:trPr>
          <w:cantSplit/>
        </w:trPr>
        <w:tc>
          <w:tcPr>
            <w:tcW w:w="2958" w:type="dxa"/>
            <w:vAlign w:val="center"/>
          </w:tcPr>
          <w:p w14:paraId="68A76CE6" w14:textId="77777777" w:rsidR="0028759D" w:rsidRDefault="0028759D" w:rsidP="0005347A">
            <w:pPr>
              <w:pStyle w:val="TableText"/>
            </w:pPr>
            <w:r>
              <w:t>Level 1: Blood Bank Technologist (all users)</w:t>
            </w:r>
          </w:p>
        </w:tc>
        <w:tc>
          <w:tcPr>
            <w:tcW w:w="4080" w:type="dxa"/>
          </w:tcPr>
          <w:p w14:paraId="7A09A0E0" w14:textId="77777777" w:rsidR="0028759D" w:rsidRDefault="0028759D" w:rsidP="0005347A">
            <w:pPr>
              <w:pStyle w:val="TableTextBullet"/>
            </w:pPr>
            <w:r>
              <w:t>Standard access:</w:t>
            </w:r>
          </w:p>
          <w:p w14:paraId="5E6DA2BD" w14:textId="77777777" w:rsidR="0028759D" w:rsidRDefault="0028759D" w:rsidP="0028759D">
            <w:pPr>
              <w:pStyle w:val="TableTextBullet"/>
              <w:numPr>
                <w:ilvl w:val="1"/>
                <w:numId w:val="12"/>
              </w:numPr>
            </w:pPr>
            <w:r>
              <w:t>patient and donor testing</w:t>
            </w:r>
          </w:p>
          <w:p w14:paraId="2F09261F" w14:textId="77777777" w:rsidR="0028759D" w:rsidRDefault="0028759D" w:rsidP="0028759D">
            <w:pPr>
              <w:pStyle w:val="TableTextBullet"/>
              <w:numPr>
                <w:ilvl w:val="1"/>
                <w:numId w:val="12"/>
              </w:numPr>
            </w:pPr>
            <w:r>
              <w:t>accepting and canceling orders</w:t>
            </w:r>
          </w:p>
          <w:p w14:paraId="0D08379A" w14:textId="77777777" w:rsidR="0028759D" w:rsidRDefault="0028759D" w:rsidP="0028759D">
            <w:pPr>
              <w:pStyle w:val="TableTextBullet"/>
              <w:numPr>
                <w:ilvl w:val="1"/>
                <w:numId w:val="12"/>
              </w:numPr>
            </w:pPr>
            <w:r>
              <w:t>modifying units</w:t>
            </w:r>
          </w:p>
          <w:p w14:paraId="0F49B53D" w14:textId="77777777" w:rsidR="0028759D" w:rsidRDefault="0028759D" w:rsidP="0028759D">
            <w:pPr>
              <w:pStyle w:val="TableTextBullet"/>
              <w:numPr>
                <w:ilvl w:val="1"/>
                <w:numId w:val="12"/>
              </w:numPr>
            </w:pPr>
            <w:r>
              <w:t>processing shipments</w:t>
            </w:r>
          </w:p>
          <w:p w14:paraId="19BA91AC" w14:textId="77777777" w:rsidR="0028759D" w:rsidRDefault="0028759D" w:rsidP="0028759D">
            <w:pPr>
              <w:pStyle w:val="TableTextBullet"/>
              <w:numPr>
                <w:ilvl w:val="1"/>
                <w:numId w:val="12"/>
              </w:numPr>
            </w:pPr>
            <w:r>
              <w:t>selecting and issuing blood that does not require higher level overrides</w:t>
            </w:r>
          </w:p>
          <w:p w14:paraId="257322EA" w14:textId="77777777" w:rsidR="0028759D" w:rsidRDefault="0028759D" w:rsidP="0028759D">
            <w:pPr>
              <w:pStyle w:val="TableTextBullet"/>
              <w:numPr>
                <w:ilvl w:val="1"/>
                <w:numId w:val="12"/>
              </w:numPr>
            </w:pPr>
            <w:r>
              <w:t>processing transfusion reaction workups</w:t>
            </w:r>
          </w:p>
          <w:p w14:paraId="4D0F4406" w14:textId="77777777" w:rsidR="0028759D" w:rsidRDefault="0028759D" w:rsidP="0028759D">
            <w:pPr>
              <w:pStyle w:val="TableTextBullet"/>
              <w:numPr>
                <w:ilvl w:val="1"/>
                <w:numId w:val="12"/>
              </w:numPr>
            </w:pPr>
            <w:r>
              <w:t>add patient’s transfusion requirements</w:t>
            </w:r>
          </w:p>
          <w:p w14:paraId="5DB16BED" w14:textId="77777777" w:rsidR="0028759D" w:rsidRDefault="0028759D" w:rsidP="0028759D">
            <w:pPr>
              <w:pStyle w:val="TableTextBullet"/>
              <w:numPr>
                <w:ilvl w:val="1"/>
                <w:numId w:val="12"/>
              </w:numPr>
            </w:pPr>
            <w:r>
              <w:t>accessing report functions</w:t>
            </w:r>
          </w:p>
          <w:p w14:paraId="7A864374" w14:textId="77777777" w:rsidR="0028759D" w:rsidRDefault="0028759D" w:rsidP="0028759D">
            <w:pPr>
              <w:pStyle w:val="TableTextBullet"/>
              <w:numPr>
                <w:ilvl w:val="1"/>
                <w:numId w:val="12"/>
              </w:numPr>
            </w:pPr>
            <w:r>
              <w:t>enter daily QC results</w:t>
            </w:r>
          </w:p>
          <w:p w14:paraId="0BD6A99D" w14:textId="77777777" w:rsidR="0028759D" w:rsidRDefault="0028759D" w:rsidP="0028759D">
            <w:pPr>
              <w:pStyle w:val="TableTextBullet"/>
              <w:numPr>
                <w:ilvl w:val="1"/>
                <w:numId w:val="12"/>
              </w:numPr>
            </w:pPr>
            <w:r>
              <w:t>discard/quarantine blood units</w:t>
            </w:r>
          </w:p>
          <w:p w14:paraId="453591E0" w14:textId="77777777" w:rsidR="0028759D" w:rsidRDefault="0028759D" w:rsidP="0028759D">
            <w:pPr>
              <w:pStyle w:val="TableTextBullet"/>
              <w:numPr>
                <w:ilvl w:val="1"/>
                <w:numId w:val="12"/>
              </w:numPr>
            </w:pPr>
            <w:r>
              <w:t>release units from patient assignment</w:t>
            </w:r>
          </w:p>
          <w:p w14:paraId="332A0DCD" w14:textId="77777777" w:rsidR="0028759D" w:rsidRDefault="0028759D" w:rsidP="0028759D">
            <w:pPr>
              <w:pStyle w:val="TableTextBullet"/>
              <w:numPr>
                <w:ilvl w:val="1"/>
                <w:numId w:val="12"/>
              </w:numPr>
            </w:pPr>
            <w:r>
              <w:t>return issued units to blood bank</w:t>
            </w:r>
          </w:p>
          <w:p w14:paraId="6F6039A0" w14:textId="77777777" w:rsidR="0028759D" w:rsidRDefault="0028759D" w:rsidP="0005347A">
            <w:pPr>
              <w:pStyle w:val="TableTextBullet"/>
            </w:pPr>
            <w:r>
              <w:t>Activate/edit some shipper information.</w:t>
            </w:r>
          </w:p>
          <w:p w14:paraId="598FAC41" w14:textId="77777777" w:rsidR="0028759D" w:rsidRDefault="0028759D" w:rsidP="0005347A">
            <w:pPr>
              <w:pStyle w:val="TableTextBullet"/>
            </w:pPr>
            <w:r>
              <w:t>Activate/edit some blood product information.</w:t>
            </w:r>
          </w:p>
        </w:tc>
        <w:tc>
          <w:tcPr>
            <w:tcW w:w="2322" w:type="dxa"/>
            <w:vAlign w:val="center"/>
          </w:tcPr>
          <w:p w14:paraId="77D020A3" w14:textId="77777777" w:rsidR="0028759D" w:rsidRDefault="0028759D" w:rsidP="0005347A">
            <w:pPr>
              <w:pStyle w:val="TableText"/>
            </w:pPr>
            <w:r>
              <w:t>Rotating technologists, n</w:t>
            </w:r>
            <w:r w:rsidRPr="003738EE">
              <w:t>ew employees</w:t>
            </w:r>
            <w:r>
              <w:t>,</w:t>
            </w:r>
            <w:r w:rsidRPr="003738EE">
              <w:t xml:space="preserve"> and </w:t>
            </w:r>
            <w:r>
              <w:t>s</w:t>
            </w:r>
            <w:r w:rsidRPr="003738EE">
              <w:t xml:space="preserve">tudents </w:t>
            </w:r>
            <w:r>
              <w:t>trained</w:t>
            </w:r>
            <w:r w:rsidRPr="003738EE">
              <w:t xml:space="preserve"> to perform </w:t>
            </w:r>
            <w:r>
              <w:t xml:space="preserve">associated tasks and </w:t>
            </w:r>
            <w:r w:rsidRPr="003738EE">
              <w:t>overrides</w:t>
            </w:r>
            <w:r>
              <w:t>.</w:t>
            </w:r>
          </w:p>
        </w:tc>
      </w:tr>
      <w:tr w:rsidR="0028759D" w14:paraId="1A904010" w14:textId="77777777" w:rsidTr="0005347A">
        <w:trPr>
          <w:cantSplit/>
        </w:trPr>
        <w:tc>
          <w:tcPr>
            <w:tcW w:w="2958" w:type="dxa"/>
            <w:vAlign w:val="center"/>
          </w:tcPr>
          <w:p w14:paraId="1E8543DC" w14:textId="77777777" w:rsidR="0028759D" w:rsidRDefault="0028759D" w:rsidP="0005347A">
            <w:pPr>
              <w:pStyle w:val="TableText"/>
            </w:pPr>
            <w:bookmarkStart w:id="21" w:name="OLE_LINK1"/>
            <w:bookmarkStart w:id="22" w:name="OLE_LINK2"/>
            <w:r w:rsidRPr="00EC7489">
              <w:rPr>
                <w:rFonts w:ascii="Wingdings 3" w:hAnsi="Wingdings 3" w:cs="Wingdings"/>
              </w:rPr>
              <w:t></w:t>
            </w:r>
            <w:r w:rsidRPr="00EC7489">
              <w:rPr>
                <w:rFonts w:ascii="Wingdings 3" w:hAnsi="Wingdings 3" w:cs="Wingdings"/>
              </w:rPr>
              <w:t></w:t>
            </w:r>
            <w:r>
              <w:t xml:space="preserve"> </w:t>
            </w:r>
            <w:bookmarkEnd w:id="21"/>
            <w:bookmarkEnd w:id="22"/>
            <w:r>
              <w:t>Level 2: Enhanced Technologist</w:t>
            </w:r>
          </w:p>
        </w:tc>
        <w:tc>
          <w:tcPr>
            <w:tcW w:w="4080" w:type="dxa"/>
          </w:tcPr>
          <w:p w14:paraId="7989204A" w14:textId="77777777" w:rsidR="0028759D" w:rsidRDefault="0028759D" w:rsidP="0005347A">
            <w:pPr>
              <w:pStyle w:val="TableTextBullet"/>
            </w:pPr>
            <w:r>
              <w:t>Edit unit cost.</w:t>
            </w:r>
          </w:p>
          <w:p w14:paraId="1CA8C121" w14:textId="77777777" w:rsidR="0028759D" w:rsidRDefault="0028759D" w:rsidP="0005347A">
            <w:pPr>
              <w:pStyle w:val="TableTextBullet"/>
            </w:pPr>
            <w:r>
              <w:t>Modify/issue expired blood products.</w:t>
            </w:r>
          </w:p>
          <w:p w14:paraId="1105C76A" w14:textId="77777777" w:rsidR="0028759D" w:rsidRDefault="0028759D" w:rsidP="0005347A">
            <w:pPr>
              <w:pStyle w:val="TableTextBullet"/>
            </w:pPr>
            <w:r>
              <w:t>Release blood products from quarantine.</w:t>
            </w:r>
          </w:p>
          <w:p w14:paraId="25BFD85E" w14:textId="77777777" w:rsidR="0028759D" w:rsidRDefault="0028759D" w:rsidP="0005347A">
            <w:pPr>
              <w:pStyle w:val="TableTextBullet"/>
            </w:pPr>
            <w:r>
              <w:t xml:space="preserve">Edit unit information prior to defining patient associations. </w:t>
            </w:r>
          </w:p>
          <w:p w14:paraId="4BDC6417" w14:textId="77777777" w:rsidR="0028759D" w:rsidRDefault="0028759D" w:rsidP="0005347A">
            <w:pPr>
              <w:pStyle w:val="TableTextBullet"/>
            </w:pPr>
            <w:r>
              <w:t>Edit verified unit confirmation testing.</w:t>
            </w:r>
          </w:p>
          <w:p w14:paraId="60F8AD4E" w14:textId="77777777" w:rsidR="0028759D" w:rsidRDefault="0028759D" w:rsidP="0005347A">
            <w:pPr>
              <w:pStyle w:val="TableTextBullet"/>
            </w:pPr>
            <w:r>
              <w:t xml:space="preserve">Edit patient record/verified data and test results (except the ABO/Rh for historic record and the antibody field, which results in an antigen negative requirement). </w:t>
            </w:r>
          </w:p>
          <w:p w14:paraId="3F1D7934" w14:textId="77777777" w:rsidR="0028759D" w:rsidRDefault="0028759D" w:rsidP="0005347A">
            <w:pPr>
              <w:pStyle w:val="TableTextBullet"/>
            </w:pPr>
            <w:r>
              <w:t>Release directed units to the main blood supply.</w:t>
            </w:r>
          </w:p>
        </w:tc>
        <w:tc>
          <w:tcPr>
            <w:tcW w:w="2322" w:type="dxa"/>
            <w:vAlign w:val="center"/>
          </w:tcPr>
          <w:p w14:paraId="68BFA0FF" w14:textId="77777777" w:rsidR="0028759D" w:rsidRDefault="0028759D" w:rsidP="0005347A">
            <w:pPr>
              <w:pStyle w:val="TableText"/>
            </w:pPr>
            <w:r>
              <w:rPr>
                <w:szCs w:val="20"/>
              </w:rPr>
              <w:t>Experienced t</w:t>
            </w:r>
            <w:r>
              <w:t>echnologists trained to process associated overrides and options.</w:t>
            </w:r>
          </w:p>
        </w:tc>
      </w:tr>
      <w:tr w:rsidR="0028759D" w:rsidRPr="005D0D6B" w14:paraId="53890470" w14:textId="77777777" w:rsidTr="0005347A">
        <w:trPr>
          <w:cantSplit/>
        </w:trPr>
        <w:tc>
          <w:tcPr>
            <w:tcW w:w="2958" w:type="dxa"/>
            <w:vAlign w:val="center"/>
          </w:tcPr>
          <w:p w14:paraId="2AF66F18" w14:textId="77777777" w:rsidR="0028759D" w:rsidRDefault="0028759D" w:rsidP="0005347A">
            <w:pPr>
              <w:pStyle w:val="Table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Level 3: Lead Technologist</w:t>
            </w:r>
          </w:p>
        </w:tc>
        <w:tc>
          <w:tcPr>
            <w:tcW w:w="4080" w:type="dxa"/>
          </w:tcPr>
          <w:p w14:paraId="4B10B7EC" w14:textId="77777777" w:rsidR="0028759D" w:rsidRDefault="0028759D" w:rsidP="0005347A">
            <w:pPr>
              <w:pStyle w:val="TableTextBullet"/>
              <w:rPr>
                <w:rFonts w:cs="Arial"/>
                <w:szCs w:val="16"/>
              </w:rPr>
            </w:pPr>
            <w:r>
              <w:rPr>
                <w:rFonts w:cs="Arial"/>
                <w:szCs w:val="16"/>
              </w:rPr>
              <w:t>Select/issue ABO incompatible blood.</w:t>
            </w:r>
          </w:p>
          <w:p w14:paraId="5B6CA828" w14:textId="77777777" w:rsidR="0028759D" w:rsidRDefault="0028759D" w:rsidP="0005347A">
            <w:pPr>
              <w:pStyle w:val="TableTextBullet"/>
              <w:rPr>
                <w:rFonts w:cs="Arial"/>
                <w:szCs w:val="16"/>
              </w:rPr>
            </w:pPr>
            <w:r>
              <w:t>Select/issue antigen positive or untyped red blood cells (for the clinically significant antibodies in the table).</w:t>
            </w:r>
          </w:p>
          <w:p w14:paraId="727BF50C" w14:textId="77777777" w:rsidR="0028759D" w:rsidRDefault="0028759D" w:rsidP="0005347A">
            <w:pPr>
              <w:pStyle w:val="TableTextBullet"/>
              <w:rPr>
                <w:rFonts w:cs="Arial"/>
                <w:szCs w:val="16"/>
              </w:rPr>
            </w:pPr>
            <w:r>
              <w:rPr>
                <w:rFonts w:cs="Arial"/>
                <w:szCs w:val="16"/>
              </w:rPr>
              <w:t>Maintain login message.</w:t>
            </w:r>
          </w:p>
        </w:tc>
        <w:tc>
          <w:tcPr>
            <w:tcW w:w="2322" w:type="dxa"/>
            <w:vAlign w:val="center"/>
          </w:tcPr>
          <w:p w14:paraId="1874CA7E" w14:textId="77777777" w:rsidR="0028759D" w:rsidRPr="005D0D6B" w:rsidRDefault="0028759D" w:rsidP="0005347A">
            <w:pPr>
              <w:pStyle w:val="TableText"/>
            </w:pPr>
            <w:r>
              <w:t>Experienced technologists trained to process associated overrides and options (e.g., evening- or night-shift supervisors).</w:t>
            </w:r>
          </w:p>
        </w:tc>
      </w:tr>
      <w:tr w:rsidR="0028759D" w:rsidRPr="005D0D6B" w14:paraId="23D2851D" w14:textId="77777777" w:rsidTr="0005347A">
        <w:trPr>
          <w:cantSplit/>
        </w:trPr>
        <w:tc>
          <w:tcPr>
            <w:tcW w:w="2958" w:type="dxa"/>
            <w:vAlign w:val="center"/>
          </w:tcPr>
          <w:p w14:paraId="4A7C0D29" w14:textId="77777777" w:rsidR="0028759D" w:rsidRDefault="0028759D" w:rsidP="0005347A">
            <w:pPr>
              <w:pStyle w:val="Table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Level 4: Traditional Supervisor</w:t>
            </w:r>
          </w:p>
        </w:tc>
        <w:tc>
          <w:tcPr>
            <w:tcW w:w="4080" w:type="dxa"/>
            <w:vAlign w:val="bottom"/>
          </w:tcPr>
          <w:p w14:paraId="1411BAE2" w14:textId="77777777" w:rsidR="0028759D" w:rsidRDefault="0028759D" w:rsidP="0005347A">
            <w:pPr>
              <w:pStyle w:val="TableTextBullet"/>
              <w:rPr>
                <w:rFonts w:cs="Arial"/>
              </w:rPr>
            </w:pPr>
            <w:r>
              <w:rPr>
                <w:rFonts w:cs="Arial"/>
                <w:szCs w:val="16"/>
              </w:rPr>
              <w:t>Maintain reagent minimum levels.</w:t>
            </w:r>
          </w:p>
          <w:p w14:paraId="073B338A" w14:textId="77777777" w:rsidR="0028759D" w:rsidRDefault="0028759D" w:rsidP="0005347A">
            <w:pPr>
              <w:pStyle w:val="TableTextBullet"/>
              <w:rPr>
                <w:rFonts w:cs="Arial"/>
                <w:szCs w:val="16"/>
              </w:rPr>
            </w:pPr>
            <w:r>
              <w:rPr>
                <w:rFonts w:cs="Arial"/>
                <w:szCs w:val="16"/>
              </w:rPr>
              <w:t>Edit permanent record of the patient’s historic ABO/Rh.</w:t>
            </w:r>
          </w:p>
          <w:p w14:paraId="0534FAE5" w14:textId="77777777" w:rsidR="0028759D" w:rsidRDefault="0028759D" w:rsidP="0005347A">
            <w:pPr>
              <w:pStyle w:val="TableTextBullet"/>
              <w:rPr>
                <w:rFonts w:cs="Arial"/>
                <w:szCs w:val="16"/>
              </w:rPr>
            </w:pPr>
            <w:r>
              <w:rPr>
                <w:rFonts w:cs="Arial"/>
                <w:szCs w:val="16"/>
              </w:rPr>
              <w:t>Edit Transfusion Requirements (TRs) and Special Instructions (SIs).</w:t>
            </w:r>
          </w:p>
          <w:p w14:paraId="5C89DAC9" w14:textId="77777777" w:rsidR="0028759D" w:rsidRDefault="0028759D" w:rsidP="0005347A">
            <w:pPr>
              <w:pStyle w:val="TableTextBullet"/>
              <w:rPr>
                <w:rFonts w:cs="Arial"/>
                <w:szCs w:val="16"/>
              </w:rPr>
            </w:pPr>
            <w:r>
              <w:rPr>
                <w:rFonts w:cs="Arial"/>
                <w:szCs w:val="16"/>
              </w:rPr>
              <w:t>Edit patient record red cell antibody permanent fields (match antigens in the antigen table).</w:t>
            </w:r>
          </w:p>
          <w:p w14:paraId="2F9B48AE" w14:textId="77777777" w:rsidR="0028759D" w:rsidRDefault="0028759D" w:rsidP="0005347A">
            <w:pPr>
              <w:pStyle w:val="TableTextBullet"/>
              <w:rPr>
                <w:rFonts w:cs="Arial"/>
                <w:szCs w:val="16"/>
              </w:rPr>
            </w:pPr>
            <w:r>
              <w:rPr>
                <w:rFonts w:cs="Arial"/>
                <w:szCs w:val="16"/>
              </w:rPr>
              <w:t>Edit a blood unit’s record (</w:t>
            </w:r>
            <w:r>
              <w:t>verified unit data when unit has any previous patient associations</w:t>
            </w:r>
            <w:r>
              <w:rPr>
                <w:rFonts w:cs="Arial"/>
                <w:szCs w:val="16"/>
              </w:rPr>
              <w:t>).</w:t>
            </w:r>
          </w:p>
          <w:p w14:paraId="7340181F" w14:textId="77777777" w:rsidR="0028759D" w:rsidRDefault="0028759D" w:rsidP="0005347A">
            <w:pPr>
              <w:pStyle w:val="TableTextBullet"/>
              <w:rPr>
                <w:rFonts w:cs="Arial"/>
                <w:szCs w:val="16"/>
              </w:rPr>
            </w:pPr>
            <w:r>
              <w:rPr>
                <w:rFonts w:cs="Arial"/>
                <w:szCs w:val="16"/>
              </w:rPr>
              <w:t>Edit a Patient’s Transfusion Record.</w:t>
            </w:r>
          </w:p>
          <w:p w14:paraId="7CEA4017" w14:textId="77777777" w:rsidR="0028759D" w:rsidRDefault="0028759D" w:rsidP="0005347A">
            <w:pPr>
              <w:pStyle w:val="TableTextBullet"/>
              <w:rPr>
                <w:rFonts w:cs="Arial"/>
                <w:szCs w:val="16"/>
              </w:rPr>
            </w:pPr>
            <w:r>
              <w:rPr>
                <w:rFonts w:cs="Arial"/>
                <w:szCs w:val="16"/>
              </w:rPr>
              <w:t>Remove a Blood Unit’s Final Status.</w:t>
            </w:r>
          </w:p>
        </w:tc>
        <w:tc>
          <w:tcPr>
            <w:tcW w:w="2322" w:type="dxa"/>
            <w:vAlign w:val="center"/>
          </w:tcPr>
          <w:p w14:paraId="41A9A2AC" w14:textId="77777777" w:rsidR="0028759D" w:rsidRPr="005D0D6B" w:rsidRDefault="0028759D" w:rsidP="0005347A">
            <w:pPr>
              <w:pStyle w:val="TableText"/>
            </w:pPr>
            <w:r>
              <w:rPr>
                <w:szCs w:val="20"/>
              </w:rPr>
              <w:t>Experienced b</w:t>
            </w:r>
            <w:r>
              <w:t>lood bank supervisors trained to process associated overrides and options</w:t>
            </w:r>
          </w:p>
        </w:tc>
      </w:tr>
      <w:tr w:rsidR="0028759D" w14:paraId="6B451824" w14:textId="77777777" w:rsidTr="0005347A">
        <w:trPr>
          <w:cantSplit/>
        </w:trPr>
        <w:tc>
          <w:tcPr>
            <w:tcW w:w="2958" w:type="dxa"/>
            <w:vAlign w:val="center"/>
          </w:tcPr>
          <w:p w14:paraId="5E498133" w14:textId="77777777" w:rsidR="0028759D" w:rsidRDefault="0028759D" w:rsidP="0005347A">
            <w:pPr>
              <w:pStyle w:val="TableText"/>
            </w:pPr>
            <w:r w:rsidRPr="00EC7489">
              <w:rPr>
                <w:rFonts w:ascii="Wingdings 3" w:hAnsi="Wingdings 3" w:cs="Wingdings"/>
              </w:rPr>
              <w:lastRenderedPageBreak/>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Level 5: Enhanced Supervisor</w:t>
            </w:r>
          </w:p>
        </w:tc>
        <w:tc>
          <w:tcPr>
            <w:tcW w:w="4080" w:type="dxa"/>
            <w:vAlign w:val="bottom"/>
          </w:tcPr>
          <w:p w14:paraId="44EE6F4C" w14:textId="77777777" w:rsidR="0028759D" w:rsidRDefault="0028759D" w:rsidP="0005347A">
            <w:pPr>
              <w:pStyle w:val="TableTextBullet"/>
            </w:pPr>
            <w:r>
              <w:t>Edit antigen frequency table to reflect local population.</w:t>
            </w:r>
          </w:p>
          <w:p w14:paraId="0A30946C" w14:textId="77777777" w:rsidR="0028759D" w:rsidRDefault="0028759D" w:rsidP="0005347A">
            <w:pPr>
              <w:pStyle w:val="TableTextBullet"/>
            </w:pPr>
            <w:r>
              <w:t>Add new local shipper, not already on the table issued with VBECS.</w:t>
            </w:r>
          </w:p>
          <w:p w14:paraId="04BAB699" w14:textId="77777777" w:rsidR="0028759D" w:rsidRDefault="0028759D" w:rsidP="0005347A">
            <w:pPr>
              <w:pStyle w:val="TableTextBullet"/>
              <w:rPr>
                <w:rFonts w:cs="Arial"/>
              </w:rPr>
            </w:pPr>
            <w:r>
              <w:t>Edit and create canned comments for the division.</w:t>
            </w:r>
          </w:p>
          <w:p w14:paraId="09FBCA60" w14:textId="77777777" w:rsidR="0028759D" w:rsidRDefault="0028759D" w:rsidP="0005347A">
            <w:pPr>
              <w:pStyle w:val="TableTextBullet"/>
              <w:rPr>
                <w:rFonts w:cs="Arial"/>
              </w:rPr>
            </w:pPr>
            <w:r>
              <w:t>Edit and create consultative reports, templates, MSBOS, reagents, and equipment maintenance logs for the division.</w:t>
            </w:r>
          </w:p>
        </w:tc>
        <w:tc>
          <w:tcPr>
            <w:tcW w:w="2322" w:type="dxa"/>
            <w:vAlign w:val="center"/>
          </w:tcPr>
          <w:p w14:paraId="1B8F8098" w14:textId="77777777" w:rsidR="0028759D" w:rsidRDefault="0028759D" w:rsidP="0005347A">
            <w:pPr>
              <w:pStyle w:val="TableText"/>
            </w:pPr>
            <w:r>
              <w:rPr>
                <w:szCs w:val="20"/>
              </w:rPr>
              <w:t>Experienced b</w:t>
            </w:r>
            <w:r>
              <w:t>lood bank supervisors or VBECS administrators trained to process associated overrides and options</w:t>
            </w:r>
          </w:p>
        </w:tc>
      </w:tr>
      <w:tr w:rsidR="0028759D" w14:paraId="55C9C872" w14:textId="77777777" w:rsidTr="0005347A">
        <w:trPr>
          <w:cantSplit/>
        </w:trPr>
        <w:tc>
          <w:tcPr>
            <w:tcW w:w="2958" w:type="dxa"/>
            <w:vAlign w:val="center"/>
          </w:tcPr>
          <w:p w14:paraId="54BBFD83" w14:textId="77777777" w:rsidR="0028759D" w:rsidRDefault="0028759D" w:rsidP="0005347A">
            <w:pPr>
              <w:pStyle w:val="Table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Level 6: Administrator/Supervisor </w:t>
            </w:r>
          </w:p>
        </w:tc>
        <w:tc>
          <w:tcPr>
            <w:tcW w:w="4080" w:type="dxa"/>
            <w:vAlign w:val="bottom"/>
          </w:tcPr>
          <w:p w14:paraId="4AF95BBD" w14:textId="77777777" w:rsidR="0028759D" w:rsidRDefault="0028759D" w:rsidP="0005347A">
            <w:pPr>
              <w:pStyle w:val="TableTextBullet"/>
            </w:pPr>
            <w:r>
              <w:t xml:space="preserve">Define VBECS users’ security settings. </w:t>
            </w:r>
          </w:p>
          <w:p w14:paraId="5B4130A2" w14:textId="77777777" w:rsidR="0028759D" w:rsidRDefault="0028759D" w:rsidP="0005347A">
            <w:pPr>
              <w:pStyle w:val="TableTextBullet"/>
            </w:pPr>
            <w:r>
              <w:t>Define the division as full service or transfusion only.</w:t>
            </w:r>
          </w:p>
          <w:p w14:paraId="6EF3A1EC" w14:textId="77777777" w:rsidR="0028759D" w:rsidRDefault="0028759D" w:rsidP="0005347A">
            <w:pPr>
              <w:pStyle w:val="TableTextBullet"/>
            </w:pPr>
            <w:r>
              <w:t xml:space="preserve">Enable electronic crossmatch at the division. </w:t>
            </w:r>
          </w:p>
          <w:p w14:paraId="1397CA3B" w14:textId="77777777" w:rsidR="0028759D" w:rsidRDefault="0028759D" w:rsidP="0005347A">
            <w:pPr>
              <w:pStyle w:val="TableTextBullet"/>
            </w:pPr>
            <w:r>
              <w:t>Populate International Council for Commonality in Blood Banking Automation, Inc. (ICCBBA) number for the division.</w:t>
            </w:r>
          </w:p>
          <w:p w14:paraId="4135F7B3" w14:textId="77777777" w:rsidR="0028759D" w:rsidRDefault="0028759D" w:rsidP="0005347A">
            <w:pPr>
              <w:pStyle w:val="TableTextBullet"/>
            </w:pPr>
            <w:r>
              <w:t>Define valid unit modifications for the division.</w:t>
            </w:r>
          </w:p>
          <w:p w14:paraId="4E6C65B1" w14:textId="77777777" w:rsidR="0028759D" w:rsidRDefault="0028759D" w:rsidP="0005347A">
            <w:pPr>
              <w:pStyle w:val="TableTextBullet"/>
            </w:pPr>
            <w:r>
              <w:t>Assign workload codes for the division.</w:t>
            </w:r>
          </w:p>
          <w:p w14:paraId="2F862512" w14:textId="77777777" w:rsidR="0028759D" w:rsidRDefault="0028759D" w:rsidP="0005347A">
            <w:pPr>
              <w:pStyle w:val="TableTextBullet"/>
            </w:pPr>
            <w:r>
              <w:t>Configure testing.</w:t>
            </w:r>
          </w:p>
          <w:p w14:paraId="48490159" w14:textId="77777777" w:rsidR="0028759D" w:rsidRDefault="0028759D" w:rsidP="0005347A">
            <w:pPr>
              <w:pStyle w:val="TableTextBullet"/>
              <w:rPr>
                <w:rFonts w:cs="Arial"/>
                <w:color w:val="000000"/>
              </w:rPr>
            </w:pPr>
            <w:r>
              <w:t>Configure division.</w:t>
            </w:r>
          </w:p>
        </w:tc>
        <w:tc>
          <w:tcPr>
            <w:tcW w:w="2322" w:type="dxa"/>
            <w:vAlign w:val="center"/>
          </w:tcPr>
          <w:p w14:paraId="33C59D0F" w14:textId="77777777" w:rsidR="0028759D" w:rsidRDefault="0028759D" w:rsidP="0005347A">
            <w:pPr>
              <w:pStyle w:val="TableText"/>
            </w:pPr>
            <w:r>
              <w:t>VBECS administrators trained to process all overrides and options</w:t>
            </w:r>
            <w:r>
              <w:rPr>
                <w:szCs w:val="20"/>
              </w:rPr>
              <w:t xml:space="preserve"> not designed to change frequently</w:t>
            </w:r>
            <w:r>
              <w:t xml:space="preserve">. This role may be assigned temporarily to a blood bank supervisor at setup to configure the division. </w:t>
            </w:r>
          </w:p>
          <w:p w14:paraId="3F27073D" w14:textId="77777777" w:rsidR="0028759D" w:rsidRDefault="0028759D" w:rsidP="0005347A">
            <w:pPr>
              <w:pStyle w:val="TableText"/>
            </w:pPr>
          </w:p>
          <w:p w14:paraId="574D913D" w14:textId="77777777" w:rsidR="0028759D" w:rsidRDefault="0028759D" w:rsidP="0005347A">
            <w:pPr>
              <w:pStyle w:val="TableText"/>
            </w:pPr>
          </w:p>
        </w:tc>
      </w:tr>
    </w:tbl>
    <w:p w14:paraId="3CAE0026" w14:textId="77777777" w:rsidR="004A2D6F" w:rsidRDefault="002A21AE" w:rsidP="004A2D6F">
      <w:pPr>
        <w:pStyle w:val="BodyText"/>
      </w:pPr>
      <w:r>
        <w:t>The VA Wide Area Network (WAN) is protected from unauthorized access.</w:t>
      </w:r>
      <w:r w:rsidR="00467CDF">
        <w:t xml:space="preserve"> </w:t>
      </w:r>
      <w:r>
        <w:t xml:space="preserve"> The hardware running the VBECS application and its database will be installed</w:t>
      </w:r>
      <w:r w:rsidR="00D52853">
        <w:t xml:space="preserve"> at the Austin Information Technology Center [AITC (primary site)] and the </w:t>
      </w:r>
      <w:r w:rsidR="00C663F2">
        <w:t>Philadelphia</w:t>
      </w:r>
      <w:r w:rsidR="00D52853">
        <w:t xml:space="preserve"> Information Technology Center [PITC (disaster recovery site)]. Both sites are </w:t>
      </w:r>
      <w:r>
        <w:t xml:space="preserve">secure </w:t>
      </w:r>
      <w:r w:rsidR="00D52853">
        <w:t>data centers where they are protected against</w:t>
      </w:r>
      <w:r>
        <w:t xml:space="preserve"> unauthorized modifications and accidental damage.</w:t>
      </w:r>
    </w:p>
    <w:p w14:paraId="7A4889D8" w14:textId="77777777" w:rsidR="002A21AE" w:rsidRDefault="002A21AE" w:rsidP="0031313E">
      <w:pPr>
        <w:pStyle w:val="Heading2"/>
      </w:pPr>
      <w:bookmarkStart w:id="23" w:name="_Toc4588701"/>
      <w:r>
        <w:t>Application Architecture</w:t>
      </w:r>
      <w:bookmarkEnd w:id="23"/>
      <w:r>
        <w:fldChar w:fldCharType="begin"/>
      </w:r>
      <w:r>
        <w:instrText xml:space="preserve"> XE </w:instrText>
      </w:r>
      <w:r w:rsidR="00FA7E65">
        <w:instrText>“</w:instrText>
      </w:r>
      <w:r>
        <w:instrText>Application Architecture</w:instrText>
      </w:r>
      <w:r w:rsidR="00FA7E65">
        <w:instrText>”</w:instrText>
      </w:r>
      <w:r>
        <w:instrText xml:space="preserve"> </w:instrText>
      </w:r>
      <w:r>
        <w:fldChar w:fldCharType="end"/>
      </w:r>
    </w:p>
    <w:p w14:paraId="4BDD0DB7" w14:textId="77777777" w:rsidR="004F6DF9" w:rsidRDefault="004F6DF9" w:rsidP="004F6DF9">
      <w:pPr>
        <w:pStyle w:val="BodyText"/>
      </w:pPr>
      <w:r>
        <w:t>VBECS operates as a discrete application and interfaces with other VA systems using Health Level 7 (HL7) and VistALink.</w:t>
      </w:r>
    </w:p>
    <w:p w14:paraId="7A641532" w14:textId="77777777" w:rsidR="004F6DF9" w:rsidRDefault="004F6DF9" w:rsidP="004F6DF9">
      <w:pPr>
        <w:pStyle w:val="BodyText"/>
      </w:pPr>
      <w:r>
        <w:t>VBECS is a Windows-based application hosted on a server.  Users access VBECS through a graphical user interface and other VA systems interface with VBECS through Health Level 7 (HL7) and VistALink.</w:t>
      </w:r>
    </w:p>
    <w:p w14:paraId="6C8E18B2" w14:textId="77777777" w:rsidR="004F6DF9" w:rsidRDefault="004F6DF9" w:rsidP="004F6DF9">
      <w:pPr>
        <w:pStyle w:val="BodyText"/>
      </w:pPr>
      <w:r>
        <w:t>The major goals of the application are:</w:t>
      </w:r>
    </w:p>
    <w:p w14:paraId="2256567B" w14:textId="77777777" w:rsidR="004F6DF9" w:rsidRDefault="004F6DF9" w:rsidP="004F6DF9">
      <w:pPr>
        <w:pStyle w:val="ListBullet"/>
      </w:pPr>
      <w:r>
        <w:t xml:space="preserve">Improve the safety of blood/blood component transfusions by decreasing the risk of errors through effective use of current technology such as barcode scanning, retrieval of previous records to be used for comparison, and detection of inconsistencies in data input </w:t>
      </w:r>
    </w:p>
    <w:p w14:paraId="65408339" w14:textId="77777777" w:rsidR="004F6DF9" w:rsidRDefault="004F6DF9" w:rsidP="004F6DF9">
      <w:pPr>
        <w:pStyle w:val="ListBullet"/>
      </w:pPr>
      <w:r>
        <w:t>Improve the quality of patient care through evaluation of transfusion appropriateness and follow-up on the effectiveness of transfusions</w:t>
      </w:r>
    </w:p>
    <w:p w14:paraId="76F71A0A" w14:textId="77777777" w:rsidR="004F6DF9" w:rsidRDefault="004F6DF9" w:rsidP="004F6DF9">
      <w:pPr>
        <w:pStyle w:val="ListBullet"/>
      </w:pPr>
      <w:r>
        <w:t>Provide comprehensive reporting capabilities for quality monitoring within the transfusion service and for clinicians</w:t>
      </w:r>
    </w:p>
    <w:p w14:paraId="00AEE6E6" w14:textId="77777777" w:rsidR="004F6DF9" w:rsidRDefault="004F6DF9" w:rsidP="004F6DF9">
      <w:pPr>
        <w:pStyle w:val="BodyText"/>
      </w:pPr>
      <w:r>
        <w:t xml:space="preserve">VBECS operates in accordance with FDA regulations regarding change to a medical device. Areas of operation that are part of the VistA Blood Bank v5.2 software medical device (except for the donor module) are contained in this encapsulated VBECS package. Patient orders originate and are received from the Computerized Patient Record System (CPRS) and Laboratory applications. </w:t>
      </w:r>
    </w:p>
    <w:p w14:paraId="50DCC35F" w14:textId="77777777" w:rsidR="002A21AE" w:rsidRDefault="002A21AE">
      <w:pPr>
        <w:pStyle w:val="Heading2"/>
      </w:pPr>
      <w:bookmarkStart w:id="24" w:name="_Toc4588702"/>
      <w:r>
        <w:lastRenderedPageBreak/>
        <w:t>Hardware and Infrastructure Architecture</w:t>
      </w:r>
      <w:bookmarkEnd w:id="24"/>
      <w:r>
        <w:fldChar w:fldCharType="begin"/>
      </w:r>
      <w:r>
        <w:instrText xml:space="preserve"> XE </w:instrText>
      </w:r>
      <w:r w:rsidR="00FA7E65">
        <w:instrText>“</w:instrText>
      </w:r>
      <w:r>
        <w:instrText>Hardware and Infrastructure Architecture</w:instrText>
      </w:r>
      <w:r w:rsidR="00FA7E65">
        <w:instrText>”</w:instrText>
      </w:r>
      <w:r>
        <w:instrText xml:space="preserve"> </w:instrText>
      </w:r>
      <w:r>
        <w:fldChar w:fldCharType="end"/>
      </w:r>
    </w:p>
    <w:p w14:paraId="403FE7BC" w14:textId="62FFCF8A" w:rsidR="003D487D" w:rsidRDefault="002A21AE" w:rsidP="0093421C">
      <w:pPr>
        <w:pStyle w:val="BodyText"/>
      </w:pPr>
      <w:r>
        <w:t xml:space="preserve">The VBECS application requires </w:t>
      </w:r>
      <w:r w:rsidR="00467CDF">
        <w:t xml:space="preserve">that </w:t>
      </w:r>
      <w:r>
        <w:t>hardware and system software serve five users in a sta</w:t>
      </w:r>
      <w:r w:rsidR="00467CDF">
        <w:t>ndard configuration and up to twenty-five</w:t>
      </w:r>
      <w:r>
        <w:t xml:space="preserve"> users in an integrated Veterans Integrated Service Netw</w:t>
      </w:r>
      <w:r w:rsidR="00295FAE">
        <w:t xml:space="preserve">ork (VISN) environment. </w:t>
      </w:r>
      <w:r w:rsidR="00742B82">
        <w:fldChar w:fldCharType="begin" w:fldLock="1"/>
      </w:r>
      <w:r w:rsidR="00742B82">
        <w:instrText xml:space="preserve"> REF _Ref4511719 \h </w:instrText>
      </w:r>
      <w:r w:rsidR="00742B82">
        <w:fldChar w:fldCharType="separate"/>
      </w:r>
      <w:r w:rsidR="00AB304C">
        <w:t xml:space="preserve">Figure </w:t>
      </w:r>
      <w:r w:rsidR="00AB304C">
        <w:rPr>
          <w:noProof/>
        </w:rPr>
        <w:t>1</w:t>
      </w:r>
      <w:r w:rsidR="00AB304C">
        <w:t>: System Schematic</w:t>
      </w:r>
      <w:r w:rsidR="00742B82">
        <w:fldChar w:fldCharType="end"/>
      </w:r>
      <w:r w:rsidR="00742B82">
        <w:t xml:space="preserve"> </w:t>
      </w:r>
      <w:r>
        <w:t>describes the major s</w:t>
      </w:r>
      <w:r w:rsidR="0025233A">
        <w:t>ystem components: a Windows 2008</w:t>
      </w:r>
      <w:r>
        <w:t xml:space="preserve"> Server system (the execution environment for the VB</w:t>
      </w:r>
      <w:r w:rsidR="009F2628">
        <w:t xml:space="preserve">ECS application) and </w:t>
      </w:r>
      <w:r w:rsidR="00ED264B">
        <w:t xml:space="preserve">Windows </w:t>
      </w:r>
      <w:r>
        <w:t xml:space="preserve">workstations for access to VBECS through Windows Remote Desktop Connection. The VBECS server communicates with and exchanges information with </w:t>
      </w:r>
      <w:r w:rsidR="000C7684" w:rsidRPr="0093421C">
        <w:t>VistA</w:t>
      </w:r>
      <w:r>
        <w:t xml:space="preserve"> applications through Extensible Markup Language (XML) and Health Level 7 (HL7) messages over Transmission Control Protocol/Internet Protocol (TCP/IP) networking.</w:t>
      </w:r>
    </w:p>
    <w:p w14:paraId="6EA9DC87" w14:textId="77777777" w:rsidR="002A249F" w:rsidRDefault="00ED264B" w:rsidP="0093421C">
      <w:pPr>
        <w:pStyle w:val="BodyText"/>
      </w:pPr>
      <w:r>
        <w:t xml:space="preserve">VBECS </w:t>
      </w:r>
      <w:r w:rsidR="003D487D">
        <w:t>is installed in a virtualized network</w:t>
      </w:r>
      <w:r w:rsidR="00CF5ACD">
        <w:t xml:space="preserve"> using </w:t>
      </w:r>
      <w:r w:rsidR="0043543A">
        <w:t>the vSphere platform</w:t>
      </w:r>
      <w:r w:rsidR="00CF5ACD">
        <w:t xml:space="preserve"> as the virtualization platform.</w:t>
      </w:r>
    </w:p>
    <w:p w14:paraId="057E20F5" w14:textId="77777777" w:rsidR="00985C6D" w:rsidRDefault="00985C6D" w:rsidP="00985C6D">
      <w:pPr>
        <w:pStyle w:val="BodyText"/>
      </w:pPr>
      <w:r>
        <w:t xml:space="preserve">SQL Servers exist in </w:t>
      </w:r>
      <w:r w:rsidR="00FC0845" w:rsidRPr="00B80D79">
        <w:rPr>
          <w:color w:val="000000"/>
        </w:rPr>
        <w:t>Windows Server Failover Clustering with AlwaysOn cluster</w:t>
      </w:r>
      <w:r w:rsidR="00FC0845">
        <w:rPr>
          <w:color w:val="000000"/>
        </w:rPr>
        <w:t xml:space="preserve"> </w:t>
      </w:r>
      <w:r>
        <w:t>which consists of three nodes. The Primary and High Availability server reside at the primary site while a Disaster Recovery server resides at an alternate location:</w:t>
      </w:r>
    </w:p>
    <w:p w14:paraId="52C2F87F" w14:textId="77777777" w:rsidR="00985C6D" w:rsidRDefault="00985C6D" w:rsidP="000409B1">
      <w:pPr>
        <w:pStyle w:val="BodyText"/>
        <w:numPr>
          <w:ilvl w:val="0"/>
          <w:numId w:val="43"/>
        </w:numPr>
        <w:spacing w:before="0"/>
      </w:pPr>
      <w:r>
        <w:t xml:space="preserve">Primary server: This server </w:t>
      </w:r>
      <w:r w:rsidR="00473EA6">
        <w:t>fields all requests. Its data are</w:t>
      </w:r>
      <w:r>
        <w:t xml:space="preserve"> replicated to the High Availability and Disaster Recovery servers.</w:t>
      </w:r>
    </w:p>
    <w:p w14:paraId="1CC40165" w14:textId="77777777" w:rsidR="00473EA6" w:rsidRDefault="00985C6D" w:rsidP="000409B1">
      <w:pPr>
        <w:pStyle w:val="BodyText"/>
        <w:numPr>
          <w:ilvl w:val="0"/>
          <w:numId w:val="43"/>
        </w:numPr>
        <w:spacing w:before="0"/>
      </w:pPr>
      <w:r>
        <w:t xml:space="preserve">High Availability (HA) </w:t>
      </w:r>
      <w:r w:rsidR="00473EA6">
        <w:t xml:space="preserve">SQL </w:t>
      </w:r>
      <w:r>
        <w:t xml:space="preserve">server: </w:t>
      </w:r>
      <w:r w:rsidR="00473EA6">
        <w:t>This server provides database backup services through synchronous replication. Its data are guaranteed to be consistent with the Primary. It becomes the Primary should the original Primary server fail or become unreachable. Failover to this server is automatic.</w:t>
      </w:r>
    </w:p>
    <w:p w14:paraId="267650B1" w14:textId="7E9199D9" w:rsidR="00985C6D" w:rsidRDefault="00985C6D" w:rsidP="000409B1">
      <w:pPr>
        <w:pStyle w:val="BodyText"/>
        <w:numPr>
          <w:ilvl w:val="0"/>
          <w:numId w:val="43"/>
        </w:numPr>
        <w:spacing w:before="0"/>
      </w:pPr>
      <w:r>
        <w:t xml:space="preserve">Disaster Recovery (DR) </w:t>
      </w:r>
      <w:r w:rsidR="00473EA6">
        <w:t xml:space="preserve">SQL </w:t>
      </w:r>
      <w:r>
        <w:t>server: This server resides at a remote site and provides backup database services through asynchronous replication. It become</w:t>
      </w:r>
      <w:r w:rsidR="00473EA6">
        <w:t>s</w:t>
      </w:r>
      <w:r>
        <w:t xml:space="preserve"> the Primary server should both</w:t>
      </w:r>
      <w:r w:rsidR="000668C0">
        <w:t xml:space="preserve"> the Primary and HA server fail or become unreachable. Failover to this server is a manual process.</w:t>
      </w:r>
    </w:p>
    <w:p w14:paraId="32C8158A" w14:textId="284FC5EF" w:rsidR="00742B82" w:rsidRDefault="00742B82" w:rsidP="00742B82">
      <w:pPr>
        <w:pStyle w:val="Caption"/>
      </w:pPr>
      <w:bookmarkStart w:id="25" w:name="_Ref4511719"/>
      <w:r>
        <w:lastRenderedPageBreak/>
        <w:t xml:space="preserve">Figure </w:t>
      </w:r>
      <w:r w:rsidR="009D0CAA">
        <w:rPr>
          <w:noProof/>
        </w:rPr>
        <w:fldChar w:fldCharType="begin"/>
      </w:r>
      <w:r w:rsidR="009D0CAA">
        <w:rPr>
          <w:noProof/>
        </w:rPr>
        <w:instrText xml:space="preserve"> SEQ Figure \* ARABIC </w:instrText>
      </w:r>
      <w:r w:rsidR="009D0CAA">
        <w:rPr>
          <w:noProof/>
        </w:rPr>
        <w:fldChar w:fldCharType="separate"/>
      </w:r>
      <w:r w:rsidR="00647F4E">
        <w:rPr>
          <w:noProof/>
        </w:rPr>
        <w:t>1</w:t>
      </w:r>
      <w:r w:rsidR="009D0CAA">
        <w:rPr>
          <w:noProof/>
        </w:rPr>
        <w:fldChar w:fldCharType="end"/>
      </w:r>
      <w:r>
        <w:t>: System Schematic</w:t>
      </w:r>
      <w:bookmarkEnd w:id="25"/>
    </w:p>
    <w:p w14:paraId="3AB4A9BB" w14:textId="23CD0E06" w:rsidR="00742B82" w:rsidRPr="00742B82" w:rsidRDefault="00D57E04" w:rsidP="00742B82">
      <w:pPr>
        <w:pStyle w:val="BodyText"/>
      </w:pPr>
      <w:r>
        <w:object w:dxaOrig="12910" w:dyaOrig="11366" w14:anchorId="3FE03DA8">
          <v:shape id="_x0000_i1028" type="#_x0000_t75" alt="P426L2#yIS1" style="width:467.7pt;height:410.1pt" o:ole="">
            <v:imagedata r:id="rId24" o:title=""/>
          </v:shape>
          <o:OLEObject Type="Embed" ProgID="Visio.Drawing.11" ShapeID="_x0000_i1028" DrawAspect="Content" ObjectID="_1693288309" r:id="rId25"/>
        </w:object>
      </w:r>
    </w:p>
    <w:p w14:paraId="24025757" w14:textId="77777777" w:rsidR="00190420" w:rsidRDefault="00CF5ACD" w:rsidP="002A249F">
      <w:pPr>
        <w:pStyle w:val="Heading3"/>
      </w:pPr>
      <w:r>
        <w:t xml:space="preserve"> </w:t>
      </w:r>
      <w:bookmarkStart w:id="26" w:name="_Toc4588703"/>
      <w:r w:rsidR="00D3324B">
        <w:t>O</w:t>
      </w:r>
      <w:r w:rsidR="00190420">
        <w:t>ptions That Require VistALink</w:t>
      </w:r>
      <w:bookmarkEnd w:id="26"/>
    </w:p>
    <w:p w14:paraId="08DD718F" w14:textId="77777777" w:rsidR="00D3324B" w:rsidRDefault="00D3324B" w:rsidP="00D3324B">
      <w:pPr>
        <w:pStyle w:val="BodyText"/>
      </w:pPr>
      <w:r>
        <w:t>These options require a connection through VistALink. When VistALink is not active and VBECS requires access to VistA</w:t>
      </w:r>
      <w:r w:rsidR="008452BB">
        <w:t xml:space="preserve"> data</w:t>
      </w:r>
      <w:r>
        <w:t xml:space="preserve">, VBECS </w:t>
      </w:r>
      <w:r w:rsidR="004E13DE">
        <w:t>prompts</w:t>
      </w:r>
      <w:r>
        <w:t xml:space="preserve"> the user to activate VistALink.</w:t>
      </w:r>
      <w:r w:rsidR="00423948">
        <w:t xml:space="preserve"> When VistALink is not available, VBECS </w:t>
      </w:r>
      <w:r w:rsidR="00714365">
        <w:t>warns the user and asks him to</w:t>
      </w:r>
      <w:r w:rsidR="00423948" w:rsidRPr="009F4E8F">
        <w:t xml:space="preserve"> try again later.</w:t>
      </w:r>
    </w:p>
    <w:p w14:paraId="325A4355" w14:textId="77777777" w:rsidR="00C46850" w:rsidRPr="00D93651" w:rsidRDefault="00057948" w:rsidP="00C46850">
      <w:pPr>
        <w:pStyle w:val="Caution"/>
      </w:pPr>
      <w:r>
        <w:rPr>
          <w:noProof/>
        </w:rPr>
        <w:drawing>
          <wp:inline distT="0" distB="0" distL="0" distR="0" wp14:anchorId="048E138E" wp14:editId="0C9FC371">
            <wp:extent cx="267970" cy="221615"/>
            <wp:effectExtent l="0" t="0" r="0" b="6985"/>
            <wp:docPr id="14" name="Picture 14" descr="P429L2#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429L2#yIS1">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bookmarkStart w:id="27" w:name="OLE_LINK57"/>
      <w:bookmarkStart w:id="28" w:name="OLE_LINK58"/>
      <w:r w:rsidR="00C46850">
        <w:t xml:space="preserve">Contact your local support </w:t>
      </w:r>
      <w:r w:rsidR="00E055FF">
        <w:t>staff immediately when VistALink is not available. VBECS, VistA and CPRS all depend on VistALink to exchange information</w:t>
      </w:r>
      <w:r w:rsidR="00C46850" w:rsidRPr="00D93651">
        <w:t>.</w:t>
      </w:r>
      <w:bookmarkEnd w:id="27"/>
      <w:bookmarkEnd w:id="28"/>
    </w:p>
    <w:p w14:paraId="4BD5D930" w14:textId="77777777" w:rsidR="00956F9E" w:rsidRPr="00D612CA" w:rsidRDefault="00956F9E" w:rsidP="00956F9E">
      <w:pPr>
        <w:pStyle w:val="ListBullet"/>
        <w:numPr>
          <w:ilvl w:val="0"/>
          <w:numId w:val="0"/>
        </w:numPr>
        <w:ind w:left="288" w:hanging="288"/>
      </w:pPr>
      <w:r w:rsidRPr="00956F9E">
        <w:rPr>
          <w:vanish/>
        </w:rPr>
        <w:t>UC</w:t>
      </w:r>
      <w:bookmarkStart w:id="29" w:name="_Ref126467435"/>
      <w:bookmarkStart w:id="30" w:name="_Toc97523611"/>
      <w:bookmarkStart w:id="31" w:name="_Toc97527581"/>
      <w:bookmarkStart w:id="32" w:name="_Ref126467267"/>
      <w:bookmarkStart w:id="33" w:name="_Ref126722632"/>
      <w:r w:rsidRPr="00956F9E">
        <w:t xml:space="preserve"> </w:t>
      </w:r>
      <w:r>
        <w:t xml:space="preserve">Main </w:t>
      </w:r>
      <w:r w:rsidRPr="00D612CA">
        <w:t>Menu: Orders</w:t>
      </w:r>
    </w:p>
    <w:p w14:paraId="65F9E0F3" w14:textId="77777777" w:rsidR="00956F9E" w:rsidRDefault="00956F9E" w:rsidP="00956F9E">
      <w:pPr>
        <w:pStyle w:val="ListBullet"/>
        <w:tabs>
          <w:tab w:val="num" w:pos="720"/>
        </w:tabs>
        <w:spacing w:after="120"/>
        <w:ind w:left="720"/>
      </w:pPr>
      <w:r>
        <w:t>Accept Orders: Pending Order List</w:t>
      </w:r>
      <w:r w:rsidRPr="00953FEE">
        <w:t xml:space="preserve"> </w:t>
      </w:r>
      <w:r w:rsidRPr="00722837">
        <w:rPr>
          <w:vanish/>
        </w:rPr>
        <w:t>UC_88</w:t>
      </w:r>
    </w:p>
    <w:p w14:paraId="3E37B44D" w14:textId="77777777" w:rsidR="00956F9E" w:rsidRDefault="00956F9E" w:rsidP="00956F9E">
      <w:pPr>
        <w:pStyle w:val="ListBullet"/>
        <w:numPr>
          <w:ilvl w:val="0"/>
          <w:numId w:val="0"/>
        </w:numPr>
      </w:pPr>
      <w:r>
        <w:t xml:space="preserve">Main </w:t>
      </w:r>
      <w:r w:rsidRPr="00D612CA">
        <w:t xml:space="preserve">Menu: </w:t>
      </w:r>
      <w:r>
        <w:t>Blood Units</w:t>
      </w:r>
    </w:p>
    <w:p w14:paraId="7A0CC8A2" w14:textId="77777777" w:rsidR="00956F9E" w:rsidRDefault="00956F9E" w:rsidP="00956F9E">
      <w:pPr>
        <w:pStyle w:val="ListBullet"/>
        <w:tabs>
          <w:tab w:val="num" w:pos="720"/>
        </w:tabs>
        <w:ind w:left="720"/>
      </w:pPr>
      <w:r>
        <w:t>Edit Unit Information (used when editing patient restrictions)</w:t>
      </w:r>
    </w:p>
    <w:p w14:paraId="5779E6D0" w14:textId="77777777" w:rsidR="00956F9E" w:rsidRPr="00953FEE" w:rsidRDefault="00956F9E" w:rsidP="00956F9E">
      <w:pPr>
        <w:pStyle w:val="ListBullet"/>
        <w:tabs>
          <w:tab w:val="num" w:pos="720"/>
        </w:tabs>
        <w:spacing w:after="120"/>
        <w:ind w:left="720"/>
      </w:pPr>
      <w:r w:rsidRPr="00953FEE">
        <w:lastRenderedPageBreak/>
        <w:t xml:space="preserve">Return Issued Units To Blood Bank </w:t>
      </w:r>
      <w:r w:rsidRPr="00953FEE">
        <w:rPr>
          <w:vanish/>
        </w:rPr>
        <w:t>UC_59</w:t>
      </w:r>
    </w:p>
    <w:p w14:paraId="7A988C0E" w14:textId="77777777" w:rsidR="00956F9E" w:rsidRPr="00D612CA" w:rsidRDefault="00956F9E" w:rsidP="00956F9E">
      <w:pPr>
        <w:pStyle w:val="ListBullet"/>
        <w:numPr>
          <w:ilvl w:val="0"/>
          <w:numId w:val="0"/>
        </w:numPr>
      </w:pPr>
      <w:r>
        <w:t xml:space="preserve">Main </w:t>
      </w:r>
      <w:r w:rsidRPr="00D612CA">
        <w:t>Menu: Patients</w:t>
      </w:r>
    </w:p>
    <w:p w14:paraId="4941F4C3" w14:textId="77777777" w:rsidR="00956F9E" w:rsidRPr="00D612CA" w:rsidRDefault="00956F9E" w:rsidP="00956F9E">
      <w:pPr>
        <w:pStyle w:val="ListBullet"/>
        <w:tabs>
          <w:tab w:val="num" w:pos="720"/>
        </w:tabs>
        <w:ind w:left="720"/>
      </w:pPr>
      <w:r w:rsidRPr="00D612CA">
        <w:t xml:space="preserve">Post-Transfusion Information </w:t>
      </w:r>
      <w:r w:rsidRPr="00D612CA">
        <w:rPr>
          <w:vanish/>
        </w:rPr>
        <w:t>UC_70</w:t>
      </w:r>
      <w:r w:rsidRPr="00D612CA">
        <w:t xml:space="preserve"> </w:t>
      </w:r>
      <w:r w:rsidRPr="00D612CA">
        <w:rPr>
          <w:vanish/>
        </w:rPr>
        <w:t>DR 4354</w:t>
      </w:r>
    </w:p>
    <w:p w14:paraId="0257CA77" w14:textId="77777777" w:rsidR="00956F9E" w:rsidRPr="00953FEE" w:rsidRDefault="00956F9E" w:rsidP="00956F9E">
      <w:pPr>
        <w:pStyle w:val="ListBullet"/>
        <w:tabs>
          <w:tab w:val="num" w:pos="720"/>
        </w:tabs>
        <w:ind w:left="720"/>
      </w:pPr>
      <w:r w:rsidRPr="00D612CA">
        <w:t>Return</w:t>
      </w:r>
      <w:r w:rsidRPr="00953FEE">
        <w:t xml:space="preserve"> Issued Units To Blood Bank </w:t>
      </w:r>
      <w:r w:rsidRPr="00953FEE">
        <w:rPr>
          <w:vanish/>
        </w:rPr>
        <w:t>UC_59</w:t>
      </w:r>
    </w:p>
    <w:p w14:paraId="7CFEE0BD" w14:textId="77777777" w:rsidR="00956F9E" w:rsidRPr="00D612CA" w:rsidRDefault="00956F9E" w:rsidP="00956F9E">
      <w:pPr>
        <w:pStyle w:val="ListBullet"/>
        <w:tabs>
          <w:tab w:val="num" w:pos="720"/>
        </w:tabs>
        <w:spacing w:after="120"/>
        <w:ind w:left="720"/>
      </w:pPr>
      <w:r w:rsidRPr="00D612CA">
        <w:t>Issue Blood Components</w:t>
      </w:r>
      <w:r w:rsidR="009C7B46">
        <w:t xml:space="preserve"> (to include a hospital location)</w:t>
      </w:r>
      <w:r w:rsidRPr="00D612CA">
        <w:t xml:space="preserve"> </w:t>
      </w:r>
      <w:r w:rsidRPr="00D612CA">
        <w:rPr>
          <w:vanish/>
        </w:rPr>
        <w:t>UC_73</w:t>
      </w:r>
      <w:r w:rsidR="009C7B46">
        <w:rPr>
          <w:vanish/>
        </w:rPr>
        <w:t xml:space="preserve"> </w:t>
      </w:r>
      <w:r w:rsidR="009C7B46" w:rsidRPr="009C7B46">
        <w:rPr>
          <w:vanish/>
        </w:rPr>
        <w:t xml:space="preserve">DR 5073 </w:t>
      </w:r>
    </w:p>
    <w:p w14:paraId="5900A4A1" w14:textId="77777777" w:rsidR="00956F9E" w:rsidRPr="00D612CA" w:rsidRDefault="00956F9E" w:rsidP="00956F9E">
      <w:pPr>
        <w:pStyle w:val="ListBullet"/>
        <w:numPr>
          <w:ilvl w:val="0"/>
          <w:numId w:val="0"/>
        </w:numPr>
        <w:ind w:left="288" w:hanging="288"/>
      </w:pPr>
      <w:r>
        <w:t xml:space="preserve">Main </w:t>
      </w:r>
      <w:r w:rsidRPr="00D612CA">
        <w:t>Menu: Shipments</w:t>
      </w:r>
    </w:p>
    <w:p w14:paraId="08B88989" w14:textId="77777777" w:rsidR="00956F9E" w:rsidRPr="00D612CA" w:rsidRDefault="00956F9E" w:rsidP="00956F9E">
      <w:pPr>
        <w:pStyle w:val="ListBullet"/>
        <w:tabs>
          <w:tab w:val="num" w:pos="720"/>
        </w:tabs>
        <w:spacing w:after="120"/>
        <w:ind w:left="720"/>
      </w:pPr>
      <w:r w:rsidRPr="00D612CA">
        <w:t xml:space="preserve">Incoming Shipment (used when restricting units to patients) </w:t>
      </w:r>
      <w:r w:rsidRPr="00D612CA">
        <w:rPr>
          <w:vanish/>
        </w:rPr>
        <w:t>UC_01</w:t>
      </w:r>
    </w:p>
    <w:p w14:paraId="2A810677" w14:textId="77777777" w:rsidR="00956F9E" w:rsidRPr="00D612CA" w:rsidRDefault="00956F9E" w:rsidP="00956F9E">
      <w:pPr>
        <w:pStyle w:val="ListBullet"/>
        <w:numPr>
          <w:ilvl w:val="0"/>
          <w:numId w:val="0"/>
        </w:numPr>
        <w:ind w:left="288" w:hanging="288"/>
      </w:pPr>
      <w:r>
        <w:t xml:space="preserve">Main </w:t>
      </w:r>
      <w:r w:rsidRPr="00D612CA">
        <w:t>Menu: Tools</w:t>
      </w:r>
    </w:p>
    <w:p w14:paraId="32E1D7D3" w14:textId="05AD2988" w:rsidR="00956F9E" w:rsidRPr="00D612CA" w:rsidRDefault="00956F9E" w:rsidP="00956F9E">
      <w:pPr>
        <w:pStyle w:val="ListBullet"/>
        <w:tabs>
          <w:tab w:val="num" w:pos="720"/>
        </w:tabs>
        <w:ind w:left="720"/>
      </w:pPr>
      <w:r w:rsidRPr="00D612CA">
        <w:t xml:space="preserve">Blood Products </w:t>
      </w:r>
      <w:r w:rsidRPr="00D612CA">
        <w:rPr>
          <w:vanish/>
        </w:rPr>
        <w:t>UC_08</w:t>
      </w:r>
    </w:p>
    <w:p w14:paraId="1D219644" w14:textId="5F1EE799" w:rsidR="00956F9E" w:rsidRPr="00D612CA" w:rsidRDefault="00956F9E" w:rsidP="00956F9E">
      <w:pPr>
        <w:pStyle w:val="ListBullet"/>
        <w:tabs>
          <w:tab w:val="num" w:pos="720"/>
        </w:tabs>
        <w:ind w:left="720"/>
      </w:pPr>
      <w:r w:rsidRPr="00D612CA">
        <w:t xml:space="preserve">Component Classes </w:t>
      </w:r>
      <w:r w:rsidRPr="00D612CA">
        <w:rPr>
          <w:vanish/>
        </w:rPr>
        <w:t>UC_5</w:t>
      </w:r>
      <w:r w:rsidR="00C15955">
        <w:rPr>
          <w:vanish/>
        </w:rPr>
        <w:t>0</w:t>
      </w:r>
    </w:p>
    <w:p w14:paraId="2C8E75A9" w14:textId="3FA7C454" w:rsidR="00956F9E" w:rsidRPr="00D612CA" w:rsidRDefault="00956F9E" w:rsidP="00956F9E">
      <w:pPr>
        <w:pStyle w:val="ListBullet"/>
        <w:tabs>
          <w:tab w:val="num" w:pos="720"/>
        </w:tabs>
        <w:ind w:left="720"/>
      </w:pPr>
      <w:r w:rsidRPr="00D612CA">
        <w:t xml:space="preserve">Transfusion Complications </w:t>
      </w:r>
      <w:r w:rsidRPr="00D612CA">
        <w:rPr>
          <w:vanish/>
        </w:rPr>
        <w:t>UC_3</w:t>
      </w:r>
      <w:r w:rsidR="00C15955">
        <w:rPr>
          <w:vanish/>
        </w:rPr>
        <w:t>4</w:t>
      </w:r>
    </w:p>
    <w:p w14:paraId="7044AEC1" w14:textId="2223AC00" w:rsidR="00956F9E" w:rsidRPr="00D612CA" w:rsidRDefault="00956F9E" w:rsidP="00956F9E">
      <w:pPr>
        <w:pStyle w:val="ListBullet"/>
        <w:tabs>
          <w:tab w:val="num" w:pos="720"/>
        </w:tabs>
        <w:ind w:left="720"/>
      </w:pPr>
      <w:r w:rsidRPr="00D612CA">
        <w:t xml:space="preserve">Transfusion Effectiveness </w:t>
      </w:r>
      <w:r w:rsidRPr="00D612CA">
        <w:rPr>
          <w:vanish/>
        </w:rPr>
        <w:t>UC_3</w:t>
      </w:r>
      <w:r w:rsidR="00C15955">
        <w:rPr>
          <w:vanish/>
        </w:rPr>
        <w:t>3</w:t>
      </w:r>
    </w:p>
    <w:p w14:paraId="15F12491" w14:textId="4D8A3B8A" w:rsidR="00956F9E" w:rsidRPr="00D612CA" w:rsidRDefault="00956F9E" w:rsidP="00956F9E">
      <w:pPr>
        <w:pStyle w:val="ListBullet"/>
        <w:tabs>
          <w:tab w:val="num" w:pos="720"/>
        </w:tabs>
        <w:spacing w:after="120"/>
        <w:ind w:left="720"/>
      </w:pPr>
      <w:r w:rsidRPr="00D612CA">
        <w:t xml:space="preserve"> Workload Codes </w:t>
      </w:r>
      <w:r w:rsidRPr="00D612CA">
        <w:rPr>
          <w:vanish/>
        </w:rPr>
        <w:t>UC_2</w:t>
      </w:r>
      <w:r w:rsidR="00C15955">
        <w:rPr>
          <w:vanish/>
        </w:rPr>
        <w:t>9</w:t>
      </w:r>
    </w:p>
    <w:p w14:paraId="5F148B4B" w14:textId="77777777" w:rsidR="00956F9E" w:rsidRPr="00D612CA" w:rsidRDefault="00956F9E" w:rsidP="00956F9E">
      <w:pPr>
        <w:pStyle w:val="ListBullet"/>
        <w:numPr>
          <w:ilvl w:val="0"/>
          <w:numId w:val="0"/>
        </w:numPr>
        <w:ind w:left="288" w:hanging="288"/>
      </w:pPr>
      <w:r>
        <w:t xml:space="preserve">Main </w:t>
      </w:r>
      <w:r w:rsidRPr="00D612CA">
        <w:t>Menu: Supervisor</w:t>
      </w:r>
    </w:p>
    <w:p w14:paraId="32309410" w14:textId="77777777" w:rsidR="00956F9E" w:rsidRDefault="00956F9E" w:rsidP="00956F9E">
      <w:pPr>
        <w:pStyle w:val="ListBullet"/>
        <w:tabs>
          <w:tab w:val="num" w:pos="720"/>
        </w:tabs>
        <w:spacing w:after="120"/>
        <w:ind w:left="720"/>
        <w:rPr>
          <w:lang w:val="fr-FR"/>
        </w:rPr>
      </w:pPr>
      <w:r w:rsidRPr="00D612CA">
        <w:rPr>
          <w:snapToGrid w:val="0"/>
          <w:lang w:val="fr-FR"/>
        </w:rPr>
        <w:t>Document ABO</w:t>
      </w:r>
      <w:r w:rsidRPr="006E05B3">
        <w:rPr>
          <w:snapToGrid w:val="0"/>
          <w:lang w:val="fr-FR"/>
        </w:rPr>
        <w:t xml:space="preserve"> Incompatible </w:t>
      </w:r>
      <w:r w:rsidRPr="00F3392A">
        <w:rPr>
          <w:snapToGrid w:val="0"/>
          <w:lang w:val="fr-FR"/>
        </w:rPr>
        <w:t>Transfusion</w:t>
      </w:r>
      <w:r w:rsidRPr="00F3392A">
        <w:rPr>
          <w:lang w:val="fr-FR"/>
        </w:rPr>
        <w:t xml:space="preserve"> </w:t>
      </w:r>
      <w:r w:rsidRPr="00F3392A">
        <w:rPr>
          <w:vanish/>
          <w:lang w:val="fr-FR"/>
        </w:rPr>
        <w:t>U</w:t>
      </w:r>
      <w:r w:rsidR="00F3392A" w:rsidRPr="00F3392A">
        <w:rPr>
          <w:vanish/>
          <w:lang w:val="fr-FR"/>
        </w:rPr>
        <w:t>C</w:t>
      </w:r>
      <w:r w:rsidR="00F3392A">
        <w:rPr>
          <w:vanish/>
          <w:lang w:val="fr-FR"/>
        </w:rPr>
        <w:t>_69</w:t>
      </w:r>
    </w:p>
    <w:p w14:paraId="0CACFF29" w14:textId="77777777" w:rsidR="00956F9E" w:rsidRPr="00D612CA" w:rsidRDefault="00956F9E" w:rsidP="00956F9E">
      <w:pPr>
        <w:pStyle w:val="ListBullet"/>
        <w:numPr>
          <w:ilvl w:val="0"/>
          <w:numId w:val="0"/>
        </w:numPr>
      </w:pPr>
      <w:r>
        <w:t xml:space="preserve">Main </w:t>
      </w:r>
      <w:r w:rsidRPr="00D612CA">
        <w:t xml:space="preserve">Menu: </w:t>
      </w:r>
      <w:r>
        <w:t>Reports</w:t>
      </w:r>
    </w:p>
    <w:p w14:paraId="63C57719" w14:textId="77777777" w:rsidR="00956F9E" w:rsidRPr="00953FEE" w:rsidRDefault="00956F9E" w:rsidP="00956F9E">
      <w:pPr>
        <w:pStyle w:val="ListBullet"/>
        <w:tabs>
          <w:tab w:val="num" w:pos="720"/>
        </w:tabs>
        <w:ind w:left="720"/>
      </w:pPr>
      <w:r w:rsidRPr="00953FEE">
        <w:t xml:space="preserve">Transfusion Complications Report </w:t>
      </w:r>
      <w:r w:rsidRPr="00953FEE">
        <w:rPr>
          <w:vanish/>
        </w:rPr>
        <w:t>UC_90</w:t>
      </w:r>
    </w:p>
    <w:p w14:paraId="2976E48F" w14:textId="77777777" w:rsidR="00956F9E" w:rsidRPr="00953FEE" w:rsidRDefault="00956F9E" w:rsidP="00956F9E">
      <w:pPr>
        <w:pStyle w:val="ListBullet"/>
        <w:tabs>
          <w:tab w:val="num" w:pos="720"/>
        </w:tabs>
        <w:ind w:left="720"/>
      </w:pPr>
      <w:r w:rsidRPr="00953FEE">
        <w:t xml:space="preserve">Transfusion Effectiveness Report </w:t>
      </w:r>
      <w:r w:rsidRPr="00953FEE">
        <w:rPr>
          <w:vanish/>
        </w:rPr>
        <w:t>UC_91</w:t>
      </w:r>
    </w:p>
    <w:p w14:paraId="512AF9B2" w14:textId="77777777" w:rsidR="00956F9E" w:rsidRDefault="00956F9E" w:rsidP="00956F9E">
      <w:pPr>
        <w:pStyle w:val="ListBullet"/>
        <w:tabs>
          <w:tab w:val="num" w:pos="720"/>
        </w:tabs>
        <w:ind w:left="720"/>
      </w:pPr>
      <w:r w:rsidRPr="00953FEE">
        <w:t xml:space="preserve">Transfusion Requirements Report </w:t>
      </w:r>
      <w:r w:rsidRPr="00953FEE">
        <w:rPr>
          <w:vanish/>
        </w:rPr>
        <w:t>UC_89</w:t>
      </w:r>
      <w:r w:rsidRPr="00D612CA">
        <w:t xml:space="preserve"> </w:t>
      </w:r>
    </w:p>
    <w:p w14:paraId="78BA00E5" w14:textId="77777777" w:rsidR="00956F9E" w:rsidRPr="00953FEE" w:rsidRDefault="00956F9E" w:rsidP="00956F9E">
      <w:pPr>
        <w:pStyle w:val="ListBullet"/>
        <w:tabs>
          <w:tab w:val="num" w:pos="720"/>
        </w:tabs>
        <w:spacing w:after="120"/>
        <w:ind w:left="720"/>
      </w:pPr>
      <w:r w:rsidRPr="00953FEE">
        <w:t xml:space="preserve">Medication Profile </w:t>
      </w:r>
      <w:r w:rsidRPr="00953FEE">
        <w:rPr>
          <w:vanish/>
        </w:rPr>
        <w:t>UC_46</w:t>
      </w:r>
      <w:r>
        <w:t>(Reports or from the Patient Tool Bar icon)</w:t>
      </w:r>
    </w:p>
    <w:p w14:paraId="12C14C3A" w14:textId="77777777" w:rsidR="00956F9E" w:rsidRPr="006E05B3" w:rsidRDefault="00956F9E" w:rsidP="00956F9E">
      <w:pPr>
        <w:pStyle w:val="ListBullet"/>
        <w:numPr>
          <w:ilvl w:val="0"/>
          <w:numId w:val="0"/>
        </w:numPr>
        <w:rPr>
          <w:lang w:val="fr-FR"/>
        </w:rPr>
      </w:pPr>
      <w:r>
        <w:rPr>
          <w:lang w:val="fr-FR"/>
        </w:rPr>
        <w:t>Main menu window, icon in the bottom of the window:</w:t>
      </w:r>
    </w:p>
    <w:p w14:paraId="1C960A70" w14:textId="68464528" w:rsidR="00956F9E" w:rsidRPr="00953FEE" w:rsidRDefault="00956F9E" w:rsidP="00956F9E">
      <w:pPr>
        <w:pStyle w:val="ListBullet"/>
        <w:tabs>
          <w:tab w:val="num" w:pos="720"/>
        </w:tabs>
        <w:ind w:left="720"/>
      </w:pPr>
      <w:r>
        <w:t>Display Order Alerts</w:t>
      </w:r>
      <w:r w:rsidR="00C15955">
        <w:t xml:space="preserve"> </w:t>
      </w:r>
      <w:r w:rsidR="00C15955" w:rsidRPr="00C15955">
        <w:rPr>
          <w:vanish/>
        </w:rPr>
        <w:t>UC_84</w:t>
      </w:r>
    </w:p>
    <w:p w14:paraId="21AA0B88" w14:textId="77777777" w:rsidR="00742B82" w:rsidRDefault="00742B82">
      <w:pPr>
        <w:rPr>
          <w:rFonts w:ascii="Arial" w:hAnsi="Arial" w:cs="Arial"/>
          <w:b/>
          <w:bCs/>
          <w:sz w:val="26"/>
          <w:szCs w:val="26"/>
        </w:rPr>
      </w:pPr>
      <w:r>
        <w:br w:type="page"/>
      </w:r>
    </w:p>
    <w:p w14:paraId="431B3B76" w14:textId="19425B02" w:rsidR="004B200B" w:rsidRDefault="004B200B" w:rsidP="004B200B">
      <w:pPr>
        <w:pStyle w:val="Heading3"/>
      </w:pPr>
      <w:bookmarkStart w:id="34" w:name="_Toc4588704"/>
      <w:r>
        <w:lastRenderedPageBreak/>
        <w:t>VBECS Patching</w:t>
      </w:r>
      <w:bookmarkEnd w:id="34"/>
    </w:p>
    <w:p w14:paraId="06C4F05E" w14:textId="2D688E6A" w:rsidR="004B200B" w:rsidRDefault="004B200B" w:rsidP="004B200B">
      <w:pPr>
        <w:pStyle w:val="BodyText"/>
        <w:rPr>
          <w:rFonts w:eastAsia="Arial Unicode MS"/>
        </w:rPr>
      </w:pPr>
      <w:r>
        <w:rPr>
          <w:rFonts w:eastAsia="Arial Unicode MS"/>
        </w:rPr>
        <w:t>During the time a VBECS patch</w:t>
      </w:r>
      <w:r w:rsidR="0088177A">
        <w:rPr>
          <w:rFonts w:eastAsia="Arial Unicode MS"/>
        </w:rPr>
        <w:t>/upgrade</w:t>
      </w:r>
      <w:r w:rsidR="00AE4EE4">
        <w:rPr>
          <w:rFonts w:eastAsia="Arial Unicode MS"/>
        </w:rPr>
        <w:t xml:space="preserve"> is being applied, u</w:t>
      </w:r>
      <w:r w:rsidR="00AE4EE4">
        <w:t xml:space="preserve">sers connected to a VBECS </w:t>
      </w:r>
      <w:r w:rsidR="0088177A">
        <w:t xml:space="preserve">server will see the </w:t>
      </w:r>
      <w:r w:rsidR="00AE4EE4">
        <w:t xml:space="preserve">VBECS </w:t>
      </w:r>
      <w:r w:rsidR="006B2037">
        <w:t>shortcuts</w:t>
      </w:r>
      <w:r w:rsidR="001C6B1F">
        <w:t xml:space="preserve"> for that environment</w:t>
      </w:r>
      <w:r w:rsidR="006B2037">
        <w:t xml:space="preserve"> change to stoplight icons</w:t>
      </w:r>
      <w:r w:rsidR="001C6B1F">
        <w:t>.</w:t>
      </w:r>
      <w:r w:rsidR="0088177A">
        <w:t xml:space="preserve"> If the user clicks on either shortcut, the message</w:t>
      </w:r>
      <w:r w:rsidR="00AE4EE4">
        <w:t xml:space="preserve"> shown in </w:t>
      </w:r>
      <w:r w:rsidR="00AE4EE4">
        <w:fldChar w:fldCharType="begin" w:fldLock="1"/>
      </w:r>
      <w:r w:rsidR="00AE4EE4">
        <w:instrText xml:space="preserve"> REF _Ref474322678 \h </w:instrText>
      </w:r>
      <w:r w:rsidR="00AE4EE4">
        <w:fldChar w:fldCharType="separate"/>
      </w:r>
      <w:r w:rsidR="00AB304C">
        <w:t xml:space="preserve">Figure </w:t>
      </w:r>
      <w:r w:rsidR="00AB304C">
        <w:rPr>
          <w:noProof/>
        </w:rPr>
        <w:t>2</w:t>
      </w:r>
      <w:r w:rsidR="00AE4EE4">
        <w:fldChar w:fldCharType="end"/>
      </w:r>
      <w:r w:rsidR="0088177A">
        <w:t xml:space="preserve"> is displayed. </w:t>
      </w:r>
      <w:r w:rsidR="006B2037">
        <w:t xml:space="preserve">This message can be closed by clicking </w:t>
      </w:r>
      <w:r w:rsidR="006B2037" w:rsidRPr="006B2037">
        <w:rPr>
          <w:b/>
        </w:rPr>
        <w:t>Close</w:t>
      </w:r>
      <w:r w:rsidR="006B2037">
        <w:t xml:space="preserve">, or it will automatically </w:t>
      </w:r>
      <w:r w:rsidR="00FF5E92">
        <w:t>disappear</w:t>
      </w:r>
      <w:r w:rsidR="006B2037">
        <w:t xml:space="preserve"> after </w:t>
      </w:r>
      <w:r w:rsidR="001C6B1F">
        <w:t>3</w:t>
      </w:r>
      <w:r w:rsidR="006B2037">
        <w:t xml:space="preserve">0 seconds. </w:t>
      </w:r>
      <w:r w:rsidR="0088177A">
        <w:t xml:space="preserve">The shortcuts </w:t>
      </w:r>
      <w:r w:rsidR="00AE4EE4">
        <w:t>will</w:t>
      </w:r>
      <w:r w:rsidR="006B2037">
        <w:t xml:space="preserve"> </w:t>
      </w:r>
      <w:r w:rsidR="004641B8">
        <w:t>revert</w:t>
      </w:r>
      <w:r w:rsidR="00AE4EE4">
        <w:t xml:space="preserve"> </w:t>
      </w:r>
      <w:r w:rsidR="00596BEB">
        <w:t xml:space="preserve">back </w:t>
      </w:r>
      <w:r w:rsidR="00AE4EE4">
        <w:t xml:space="preserve">to VBECS shortcuts </w:t>
      </w:r>
      <w:r w:rsidR="006B2037">
        <w:t>once</w:t>
      </w:r>
      <w:r w:rsidR="0088177A">
        <w:t xml:space="preserve"> the patch </w:t>
      </w:r>
      <w:r w:rsidR="006B2037">
        <w:t xml:space="preserve">completes </w:t>
      </w:r>
      <w:r w:rsidR="0088177A">
        <w:t>successfully</w:t>
      </w:r>
      <w:r w:rsidR="001C6B1F">
        <w:t>. The environment is not ready for use until the VBECS shortcuts have been restored on the desktop.</w:t>
      </w:r>
    </w:p>
    <w:p w14:paraId="4C45F919" w14:textId="40818AFC" w:rsidR="0088177A" w:rsidRDefault="0088177A" w:rsidP="0088177A">
      <w:pPr>
        <w:pStyle w:val="Caption"/>
      </w:pPr>
      <w:bookmarkStart w:id="35" w:name="_Ref474322678"/>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2</w:t>
      </w:r>
      <w:r w:rsidR="004E20BD">
        <w:rPr>
          <w:noProof/>
        </w:rPr>
        <w:fldChar w:fldCharType="end"/>
      </w:r>
      <w:bookmarkEnd w:id="35"/>
      <w:r>
        <w:t xml:space="preserve">: </w:t>
      </w:r>
      <w:r w:rsidR="00812458">
        <w:t xml:space="preserve">Example of </w:t>
      </w:r>
      <w:r>
        <w:t>VBECS Patching</w:t>
      </w:r>
    </w:p>
    <w:p w14:paraId="337221B4" w14:textId="77777777" w:rsidR="0088177A" w:rsidRPr="0088177A" w:rsidRDefault="00057948" w:rsidP="00350017">
      <w:pPr>
        <w:pStyle w:val="BodyText"/>
      </w:pPr>
      <w:r>
        <w:rPr>
          <w:noProof/>
        </w:rPr>
        <w:drawing>
          <wp:inline distT="0" distB="0" distL="0" distR="0" wp14:anchorId="27A1C173" wp14:editId="038725E2">
            <wp:extent cx="5994400" cy="3851275"/>
            <wp:effectExtent l="0" t="0" r="6350" b="0"/>
            <wp:docPr id="15" name="Picture 15" descr="P460L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460L2#yIS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4400" cy="3851275"/>
                    </a:xfrm>
                    <a:prstGeom prst="rect">
                      <a:avLst/>
                    </a:prstGeom>
                    <a:noFill/>
                    <a:ln>
                      <a:noFill/>
                    </a:ln>
                  </pic:spPr>
                </pic:pic>
              </a:graphicData>
            </a:graphic>
          </wp:inline>
        </w:drawing>
      </w:r>
    </w:p>
    <w:p w14:paraId="4C0927CA" w14:textId="09298035" w:rsidR="00B94CCD" w:rsidRDefault="00B94CCD">
      <w:pPr>
        <w:rPr>
          <w:rFonts w:ascii="Arial" w:hAnsi="Arial" w:cs="Arial"/>
          <w:b/>
          <w:bCs/>
          <w:kern w:val="32"/>
          <w:sz w:val="36"/>
          <w:szCs w:val="32"/>
        </w:rPr>
      </w:pPr>
      <w:bookmarkStart w:id="36" w:name="_Toc513719373"/>
      <w:bookmarkEnd w:id="29"/>
      <w:bookmarkEnd w:id="30"/>
      <w:bookmarkEnd w:id="31"/>
      <w:bookmarkEnd w:id="32"/>
      <w:bookmarkEnd w:id="33"/>
    </w:p>
    <w:p w14:paraId="591E3432" w14:textId="77777777" w:rsidR="00742B82" w:rsidRDefault="00742B82">
      <w:pPr>
        <w:rPr>
          <w:rFonts w:ascii="Arial" w:hAnsi="Arial" w:cs="Arial"/>
          <w:b/>
          <w:bCs/>
          <w:kern w:val="32"/>
          <w:sz w:val="36"/>
          <w:szCs w:val="32"/>
        </w:rPr>
      </w:pPr>
      <w:r>
        <w:br w:type="page"/>
      </w:r>
    </w:p>
    <w:p w14:paraId="16484D12" w14:textId="1828324B" w:rsidR="003D5E36" w:rsidRPr="00C47A3F" w:rsidRDefault="003D5E36" w:rsidP="003D5E36">
      <w:pPr>
        <w:pStyle w:val="Heading1"/>
      </w:pPr>
      <w:bookmarkStart w:id="37" w:name="_Toc4588705"/>
      <w:r w:rsidRPr="00C47A3F">
        <w:lastRenderedPageBreak/>
        <w:t>Customer Support</w:t>
      </w:r>
      <w:bookmarkEnd w:id="36"/>
      <w:bookmarkEnd w:id="37"/>
      <w:r w:rsidRPr="00C47A3F">
        <w:fldChar w:fldCharType="begin"/>
      </w:r>
      <w:r w:rsidRPr="00C47A3F">
        <w:instrText xml:space="preserve"> XE “Customer Support” </w:instrText>
      </w:r>
      <w:r w:rsidRPr="00C47A3F">
        <w:fldChar w:fldCharType="end"/>
      </w:r>
    </w:p>
    <w:p w14:paraId="6EC17976" w14:textId="77777777" w:rsidR="003D5E36" w:rsidRPr="00C47A3F" w:rsidRDefault="003D5E36" w:rsidP="003D5E36">
      <w:pPr>
        <w:pStyle w:val="Heading2"/>
        <w:spacing w:before="120"/>
      </w:pPr>
      <w:bookmarkStart w:id="38" w:name="_Toc370808848"/>
      <w:bookmarkStart w:id="39" w:name="_Toc513719374"/>
      <w:bookmarkStart w:id="40" w:name="_Toc4588706"/>
      <w:r w:rsidRPr="00C47A3F">
        <w:t>Problems?</w:t>
      </w:r>
      <w:bookmarkEnd w:id="38"/>
      <w:bookmarkEnd w:id="39"/>
      <w:bookmarkEnd w:id="40"/>
      <w:r w:rsidRPr="00C47A3F">
        <w:fldChar w:fldCharType="begin"/>
      </w:r>
      <w:r w:rsidRPr="00C47A3F">
        <w:instrText xml:space="preserve"> XE “Problems?” </w:instrText>
      </w:r>
      <w:r w:rsidRPr="00C47A3F">
        <w:fldChar w:fldCharType="end"/>
      </w:r>
    </w:p>
    <w:p w14:paraId="0F5DA07A" w14:textId="427E41A7" w:rsidR="00D53760" w:rsidRPr="005D4706" w:rsidRDefault="00D53760" w:rsidP="00D53760">
      <w:pPr>
        <w:keepNext/>
        <w:spacing w:before="240" w:after="60"/>
        <w:rPr>
          <w:sz w:val="22"/>
          <w:szCs w:val="22"/>
        </w:rPr>
      </w:pPr>
      <w:r w:rsidRPr="005D4706">
        <w:rPr>
          <w:sz w:val="22"/>
          <w:szCs w:val="22"/>
        </w:rPr>
        <w:t xml:space="preserve">Contact your </w:t>
      </w:r>
      <w:r w:rsidRPr="00D53760">
        <w:rPr>
          <w:b/>
          <w:sz w:val="22"/>
          <w:szCs w:val="22"/>
        </w:rPr>
        <w:t>Local</w:t>
      </w:r>
      <w:r w:rsidRPr="005D4706">
        <w:rPr>
          <w:sz w:val="22"/>
          <w:szCs w:val="22"/>
        </w:rPr>
        <w:t xml:space="preserve"> Office of Information Technology (OIT) or Laboratory Information Manager (LIM) if you encounter VistA or CPRS connection problems and for training support </w:t>
      </w:r>
      <w:r w:rsidRPr="005D4706">
        <w:rPr>
          <w:b/>
          <w:bCs/>
          <w:sz w:val="22"/>
          <w:szCs w:val="22"/>
          <w:u w:val="single"/>
        </w:rPr>
        <w:t>before</w:t>
      </w:r>
      <w:r>
        <w:rPr>
          <w:b/>
          <w:bCs/>
          <w:u w:val="single"/>
        </w:rPr>
        <w:t xml:space="preserve"> </w:t>
      </w:r>
      <w:r w:rsidR="00256A0C">
        <w:rPr>
          <w:sz w:val="22"/>
          <w:szCs w:val="22"/>
        </w:rPr>
        <w:t xml:space="preserve">contacting the </w:t>
      </w:r>
      <w:r w:rsidRPr="005D4706">
        <w:rPr>
          <w:sz w:val="22"/>
          <w:szCs w:val="22"/>
        </w:rPr>
        <w:t>Service Desk (SD).</w:t>
      </w:r>
    </w:p>
    <w:p w14:paraId="15E21E7F" w14:textId="6BFB68E8" w:rsidR="00B868F1" w:rsidRPr="00491D80" w:rsidRDefault="00B868F1" w:rsidP="00B868F1">
      <w:pPr>
        <w:keepNext/>
        <w:pBdr>
          <w:top w:val="single" w:sz="4" w:space="1" w:color="auto"/>
          <w:left w:val="single" w:sz="4" w:space="4" w:color="auto"/>
          <w:bottom w:val="single" w:sz="4" w:space="1" w:color="auto"/>
          <w:right w:val="single" w:sz="4" w:space="4" w:color="auto"/>
        </w:pBdr>
        <w:spacing w:before="240" w:after="60"/>
        <w:rPr>
          <w:b/>
          <w:bCs/>
          <w:sz w:val="22"/>
          <w:szCs w:val="22"/>
        </w:rPr>
      </w:pPr>
      <w:r w:rsidRPr="00491D80">
        <w:rPr>
          <w:b/>
          <w:noProof/>
          <w:sz w:val="22"/>
          <w:szCs w:val="22"/>
        </w:rPr>
        <w:drawing>
          <wp:inline distT="0" distB="0" distL="0" distR="0" wp14:anchorId="73060ED4" wp14:editId="4A73D539">
            <wp:extent cx="266700" cy="219075"/>
            <wp:effectExtent l="0" t="0" r="0" b="9525"/>
            <wp:docPr id="1152" name="Picture 1152" descr="P466L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Picture 1152" descr="P466L2#yIS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491D80">
        <w:rPr>
          <w:b/>
          <w:bCs/>
          <w:sz w:val="22"/>
          <w:szCs w:val="22"/>
        </w:rPr>
        <w:t xml:space="preserve">Please ensure local VistA Support contact information is available at all times. National Support will engage </w:t>
      </w:r>
      <w:r w:rsidR="005A1402">
        <w:rPr>
          <w:b/>
          <w:bCs/>
          <w:sz w:val="22"/>
          <w:szCs w:val="22"/>
        </w:rPr>
        <w:t>Data Center</w:t>
      </w:r>
      <w:r w:rsidRPr="00491D80">
        <w:rPr>
          <w:b/>
          <w:bCs/>
          <w:sz w:val="22"/>
          <w:szCs w:val="22"/>
        </w:rPr>
        <w:t xml:space="preserve"> (</w:t>
      </w:r>
      <w:r w:rsidR="005A1402">
        <w:rPr>
          <w:b/>
          <w:bCs/>
          <w:sz w:val="22"/>
          <w:szCs w:val="22"/>
        </w:rPr>
        <w:t>DC</w:t>
      </w:r>
      <w:r w:rsidRPr="00491D80">
        <w:rPr>
          <w:b/>
          <w:bCs/>
          <w:sz w:val="22"/>
          <w:szCs w:val="22"/>
        </w:rPr>
        <w:t>) personnel as needed.</w:t>
      </w:r>
    </w:p>
    <w:p w14:paraId="1EB8AE21" w14:textId="7FBE0689" w:rsidR="00B868F1" w:rsidRPr="00491D80" w:rsidRDefault="00B868F1" w:rsidP="00B868F1">
      <w:pPr>
        <w:keepNext/>
        <w:pBdr>
          <w:top w:val="single" w:sz="4" w:space="1" w:color="auto"/>
          <w:left w:val="single" w:sz="4" w:space="4" w:color="auto"/>
          <w:bottom w:val="single" w:sz="4" w:space="1" w:color="auto"/>
          <w:right w:val="single" w:sz="4" w:space="4" w:color="auto"/>
        </w:pBdr>
        <w:spacing w:before="240" w:after="60"/>
        <w:rPr>
          <w:b/>
          <w:bCs/>
          <w:sz w:val="22"/>
          <w:szCs w:val="22"/>
        </w:rPr>
      </w:pPr>
      <w:r w:rsidRPr="00491D80">
        <w:rPr>
          <w:b/>
          <w:bCs/>
          <w:sz w:val="22"/>
          <w:szCs w:val="22"/>
        </w:rPr>
        <w:t xml:space="preserve">Problems with connectivity to VistA and CPRS may require personnel from </w:t>
      </w:r>
      <w:r w:rsidR="005A1402">
        <w:rPr>
          <w:b/>
          <w:bCs/>
          <w:sz w:val="22"/>
          <w:szCs w:val="22"/>
        </w:rPr>
        <w:t>DC</w:t>
      </w:r>
      <w:r w:rsidRPr="00491D80">
        <w:rPr>
          <w:b/>
          <w:bCs/>
          <w:sz w:val="22"/>
          <w:szCs w:val="22"/>
        </w:rPr>
        <w:t xml:space="preserve"> with VBECS server administrator access and VistA IT support access.</w:t>
      </w:r>
    </w:p>
    <w:p w14:paraId="2DFCE01C" w14:textId="193DAD68" w:rsidR="00B868F1" w:rsidRPr="00491D80" w:rsidRDefault="00B868F1" w:rsidP="00B868F1">
      <w:pPr>
        <w:keepNext/>
        <w:pBdr>
          <w:top w:val="single" w:sz="4" w:space="1" w:color="auto"/>
          <w:left w:val="single" w:sz="4" w:space="4" w:color="auto"/>
          <w:bottom w:val="single" w:sz="4" w:space="1" w:color="auto"/>
          <w:right w:val="single" w:sz="4" w:space="4" w:color="auto"/>
        </w:pBdr>
        <w:spacing w:before="240" w:after="60"/>
        <w:rPr>
          <w:b/>
          <w:bCs/>
          <w:sz w:val="22"/>
          <w:szCs w:val="22"/>
        </w:rPr>
      </w:pPr>
      <w:r w:rsidRPr="00491D80">
        <w:rPr>
          <w:b/>
          <w:bCs/>
          <w:sz w:val="22"/>
          <w:szCs w:val="22"/>
        </w:rPr>
        <w:t>If you experience an FDA reportable adverse event (patient death or serious injury) that VBECS may have caused or contributed to, contact the Service Desk directly to enter a ticket for Blood Bank software support.</w:t>
      </w:r>
      <w:r w:rsidRPr="00491D80">
        <w:rPr>
          <w:b/>
          <w:bCs/>
          <w:vanish/>
          <w:sz w:val="22"/>
          <w:szCs w:val="22"/>
        </w:rPr>
        <w:t xml:space="preserve"> </w:t>
      </w:r>
      <w:r w:rsidRPr="00491D80">
        <w:rPr>
          <w:bCs/>
          <w:vanish/>
          <w:sz w:val="22"/>
          <w:szCs w:val="22"/>
        </w:rPr>
        <w:t>Task 605697</w:t>
      </w:r>
    </w:p>
    <w:p w14:paraId="592E6DE2" w14:textId="77777777" w:rsidR="00491D80" w:rsidRDefault="00491D80" w:rsidP="00B868F1">
      <w:pPr>
        <w:pStyle w:val="BodyText"/>
        <w:rPr>
          <w:b/>
          <w:noProof/>
        </w:rPr>
      </w:pPr>
    </w:p>
    <w:p w14:paraId="653A5D87" w14:textId="23C16E29" w:rsidR="00B868F1" w:rsidRPr="0094684A" w:rsidRDefault="00B868F1" w:rsidP="00B868F1">
      <w:pPr>
        <w:pStyle w:val="BodyText"/>
        <w:rPr>
          <w:b/>
          <w:noProof/>
        </w:rPr>
      </w:pPr>
      <w:r w:rsidRPr="0094684A">
        <w:rPr>
          <w:b/>
          <w:noProof/>
        </w:rPr>
        <w:t>Service Desk</w:t>
      </w:r>
      <w:r w:rsidRPr="0094684A">
        <w:rPr>
          <w:b/>
        </w:rPr>
        <w:fldChar w:fldCharType="begin"/>
      </w:r>
      <w:r w:rsidRPr="0094684A">
        <w:rPr>
          <w:b/>
          <w:noProof/>
        </w:rPr>
        <w:instrText xml:space="preserve"> XE "Service Desk" </w:instrText>
      </w:r>
      <w:r w:rsidRPr="0094684A">
        <w:rPr>
          <w:b/>
        </w:rPr>
        <w:fldChar w:fldCharType="end"/>
      </w:r>
      <w:r w:rsidRPr="0094684A">
        <w:rPr>
          <w:b/>
          <w:noProof/>
        </w:rPr>
        <w:t xml:space="preserve"> Contact</w:t>
      </w:r>
    </w:p>
    <w:p w14:paraId="0B22E980" w14:textId="4102F8E8" w:rsidR="00B868F1" w:rsidRPr="00AE384C" w:rsidRDefault="00B868F1" w:rsidP="00B868F1">
      <w:pPr>
        <w:pStyle w:val="BodyText"/>
      </w:pPr>
      <w:r>
        <w:t xml:space="preserve">See </w:t>
      </w:r>
      <w:r w:rsidRPr="0094684A">
        <w:rPr>
          <w:b/>
        </w:rPr>
        <w:t>Customer Support</w:t>
      </w:r>
      <w:r>
        <w:t xml:space="preserve"> section of the </w:t>
      </w:r>
      <w:r>
        <w:rPr>
          <w:i/>
        </w:rPr>
        <w:t>VBECS</w:t>
      </w:r>
      <w:r w:rsidRPr="00D04B1B">
        <w:rPr>
          <w:i/>
        </w:rPr>
        <w:t xml:space="preserve"> </w:t>
      </w:r>
      <w:r w:rsidR="00C94A42">
        <w:rPr>
          <w:i/>
        </w:rPr>
        <w:t>2.3.1</w:t>
      </w:r>
      <w:r>
        <w:rPr>
          <w:i/>
        </w:rPr>
        <w:t xml:space="preserve"> </w:t>
      </w:r>
      <w:r w:rsidRPr="00D04B1B">
        <w:rPr>
          <w:i/>
        </w:rPr>
        <w:t>Release Note</w:t>
      </w:r>
      <w:r w:rsidR="00531617">
        <w:rPr>
          <w:i/>
        </w:rPr>
        <w:t>s</w:t>
      </w:r>
      <w:r w:rsidRPr="007D4D78">
        <w:t>.</w:t>
      </w:r>
      <w:r w:rsidRPr="002C3458">
        <w:rPr>
          <w:vanish/>
        </w:rPr>
        <w:t xml:space="preserve"> Task </w:t>
      </w:r>
      <w:r w:rsidRPr="002C3458">
        <w:rPr>
          <w:noProof/>
          <w:vanish/>
        </w:rPr>
        <w:t>581023</w:t>
      </w:r>
    </w:p>
    <w:p w14:paraId="0C44BA60" w14:textId="571C4490" w:rsidR="00B868F1" w:rsidRPr="00AE384C" w:rsidRDefault="00920237" w:rsidP="00B868F1">
      <w:pPr>
        <w:pStyle w:val="BodyText"/>
        <w:rPr>
          <w:noProof/>
        </w:rPr>
      </w:pPr>
      <w:r>
        <w:t>For troubleshooting e</w:t>
      </w:r>
      <w:r w:rsidRPr="00920237">
        <w:t xml:space="preserve">rror messages in VBECS </w:t>
      </w:r>
      <w:r>
        <w:t xml:space="preserve">that </w:t>
      </w:r>
      <w:r w:rsidRPr="00920237">
        <w:t xml:space="preserve">read </w:t>
      </w:r>
      <w:r w:rsidR="00903CE9">
        <w:t>"C</w:t>
      </w:r>
      <w:r w:rsidRPr="00920237">
        <w:t>ontact</w:t>
      </w:r>
      <w:r w:rsidR="00903CE9">
        <w:t xml:space="preserve"> Your System A</w:t>
      </w:r>
      <w:r>
        <w:t>dministrator"</w:t>
      </w:r>
      <w:r w:rsidRPr="00920237">
        <w:t xml:space="preserve">, contact </w:t>
      </w:r>
      <w:r w:rsidR="00C230C9">
        <w:t xml:space="preserve">the </w:t>
      </w:r>
      <w:r w:rsidRPr="00920237">
        <w:t>Service Desk for VBECS Server support.</w:t>
      </w:r>
      <w:r w:rsidR="008F75F6" w:rsidRPr="008F75F6">
        <w:rPr>
          <w:vanish/>
        </w:rPr>
        <w:t>Defect 210517</w:t>
      </w:r>
      <w:r w:rsidR="00B868F1" w:rsidRPr="002C3458">
        <w:rPr>
          <w:vanish/>
        </w:rPr>
        <w:t xml:space="preserve"> Task </w:t>
      </w:r>
      <w:r w:rsidR="00B868F1" w:rsidRPr="002C3458">
        <w:rPr>
          <w:noProof/>
          <w:vanish/>
        </w:rPr>
        <w:t>581023</w:t>
      </w:r>
    </w:p>
    <w:p w14:paraId="032373C6" w14:textId="7163AD3D" w:rsidR="00742B82" w:rsidRPr="00AB304C" w:rsidRDefault="00742B82" w:rsidP="00AB304C">
      <w:pPr>
        <w:jc w:val="center"/>
        <w:rPr>
          <w:sz w:val="22"/>
          <w:szCs w:val="22"/>
        </w:rPr>
      </w:pPr>
      <w:r>
        <w:br w:type="page"/>
      </w:r>
      <w:r w:rsidR="00AB304C" w:rsidRPr="00AB304C">
        <w:rPr>
          <w:sz w:val="22"/>
          <w:szCs w:val="22"/>
        </w:rPr>
        <w:lastRenderedPageBreak/>
        <w:t>This page intentionally left blank.</w:t>
      </w:r>
    </w:p>
    <w:p w14:paraId="6699DA82" w14:textId="77777777" w:rsidR="00AB304C" w:rsidRDefault="00AB304C">
      <w:pPr>
        <w:rPr>
          <w:rFonts w:ascii="Arial" w:hAnsi="Arial" w:cs="Arial"/>
          <w:b/>
          <w:bCs/>
          <w:kern w:val="32"/>
          <w:sz w:val="36"/>
          <w:szCs w:val="32"/>
        </w:rPr>
      </w:pPr>
      <w:r>
        <w:br w:type="page"/>
      </w:r>
    </w:p>
    <w:p w14:paraId="43AEB071" w14:textId="7EB7A74B" w:rsidR="002A21AE" w:rsidRDefault="002A21AE" w:rsidP="00826461">
      <w:pPr>
        <w:pStyle w:val="Heading1"/>
      </w:pPr>
      <w:bookmarkStart w:id="41" w:name="_Toc4588707"/>
      <w:r>
        <w:lastRenderedPageBreak/>
        <w:t>Using the Software</w:t>
      </w:r>
      <w:bookmarkEnd w:id="41"/>
      <w:r>
        <w:fldChar w:fldCharType="begin"/>
      </w:r>
      <w:r>
        <w:instrText xml:space="preserve"> XE </w:instrText>
      </w:r>
      <w:r w:rsidR="00FA7E65">
        <w:instrText>“</w:instrText>
      </w:r>
      <w:r>
        <w:instrText>Using the Software</w:instrText>
      </w:r>
      <w:r w:rsidR="00FA7E65">
        <w:instrText>”</w:instrText>
      </w:r>
      <w:r>
        <w:instrText xml:space="preserve"> </w:instrText>
      </w:r>
      <w:r>
        <w:fldChar w:fldCharType="end"/>
      </w:r>
    </w:p>
    <w:p w14:paraId="1FB3C867" w14:textId="77777777" w:rsidR="002A21AE" w:rsidRDefault="002A21AE" w:rsidP="00FA7E65">
      <w:pPr>
        <w:pStyle w:val="BodyText"/>
      </w:pPr>
      <w:r>
        <w:t>Using the Software explains:</w:t>
      </w:r>
    </w:p>
    <w:p w14:paraId="4F1BD9BB" w14:textId="77777777" w:rsidR="002A21AE" w:rsidRDefault="002A21AE">
      <w:pPr>
        <w:pStyle w:val="ListBullet"/>
      </w:pPr>
      <w:r>
        <w:t xml:space="preserve">How to access VBECS and </w:t>
      </w:r>
      <w:r w:rsidR="000C7684" w:rsidRPr="000C7684">
        <w:rPr>
          <w:bCs/>
        </w:rPr>
        <w:t>VistA</w:t>
      </w:r>
    </w:p>
    <w:p w14:paraId="7A7CAB41" w14:textId="77777777" w:rsidR="002A21AE" w:rsidRDefault="002A21AE">
      <w:pPr>
        <w:pStyle w:val="ListBullet"/>
      </w:pPr>
      <w:r>
        <w:t>What users will see on the screen</w:t>
      </w:r>
    </w:p>
    <w:p w14:paraId="1BC2D207" w14:textId="77777777" w:rsidR="002A21AE" w:rsidRDefault="002A21AE">
      <w:pPr>
        <w:pStyle w:val="ListBullet"/>
      </w:pPr>
      <w:r>
        <w:t>What the icons and other symbols mean</w:t>
      </w:r>
    </w:p>
    <w:p w14:paraId="1C00224C" w14:textId="77777777" w:rsidR="002A21AE" w:rsidRDefault="002A21AE">
      <w:pPr>
        <w:pStyle w:val="ListBullet"/>
      </w:pPr>
      <w:r>
        <w:t>Which conventions are used in this guide</w:t>
      </w:r>
    </w:p>
    <w:p w14:paraId="4C308996" w14:textId="77777777" w:rsidR="002A21AE" w:rsidRDefault="002A21AE">
      <w:pPr>
        <w:pStyle w:val="ListBullet"/>
      </w:pPr>
      <w:r>
        <w:t xml:space="preserve">How to exit VBECS </w:t>
      </w:r>
    </w:p>
    <w:p w14:paraId="7D1B205F" w14:textId="77777777" w:rsidR="002A21AE" w:rsidRDefault="002A21AE">
      <w:pPr>
        <w:pStyle w:val="Heading2"/>
      </w:pPr>
      <w:bookmarkStart w:id="42" w:name="_Toc78678591"/>
      <w:bookmarkStart w:id="43" w:name="_Toc4588708"/>
      <w:r>
        <w:t>Software Basics</w:t>
      </w:r>
      <w:bookmarkEnd w:id="42"/>
      <w:bookmarkEnd w:id="43"/>
      <w:r>
        <w:fldChar w:fldCharType="begin"/>
      </w:r>
      <w:r>
        <w:instrText xml:space="preserve"> XE </w:instrText>
      </w:r>
      <w:r w:rsidR="00FA7E65">
        <w:instrText>“</w:instrText>
      </w:r>
      <w:r>
        <w:instrText>Software Basics</w:instrText>
      </w:r>
      <w:r w:rsidR="00FA7E65">
        <w:instrText>”</w:instrText>
      </w:r>
      <w:r>
        <w:instrText xml:space="preserve"> </w:instrText>
      </w:r>
      <w:r>
        <w:fldChar w:fldCharType="end"/>
      </w:r>
    </w:p>
    <w:p w14:paraId="14B5D766" w14:textId="77777777" w:rsidR="00045762" w:rsidRDefault="00045762" w:rsidP="00045762">
      <w:pPr>
        <w:pStyle w:val="ListBullet"/>
      </w:pPr>
      <w:r>
        <w:t xml:space="preserve">When a message window requires a user response and VBECS displays it </w:t>
      </w:r>
      <w:r w:rsidRPr="00BA627C">
        <w:t xml:space="preserve">behind the active window, the user must minimize the active window </w:t>
      </w:r>
      <w:r>
        <w:t xml:space="preserve">or </w:t>
      </w:r>
      <w:r w:rsidRPr="00BA627C">
        <w:t xml:space="preserve">click and drag dialog boxes to expose the </w:t>
      </w:r>
      <w:r>
        <w:t>message window</w:t>
      </w:r>
      <w:r w:rsidR="00A4315F">
        <w:t>.</w:t>
      </w:r>
    </w:p>
    <w:p w14:paraId="1F151356" w14:textId="77777777" w:rsidR="00795493" w:rsidRDefault="00795493">
      <w:pPr>
        <w:pStyle w:val="ListBullet"/>
      </w:pPr>
      <w:r>
        <w:t xml:space="preserve">Press the </w:t>
      </w:r>
      <w:r w:rsidRPr="00795493">
        <w:rPr>
          <w:b/>
        </w:rPr>
        <w:t>F1 key</w:t>
      </w:r>
      <w:r>
        <w:t xml:space="preserve"> to view screen-specific online help.</w:t>
      </w:r>
    </w:p>
    <w:p w14:paraId="06939553" w14:textId="77777777" w:rsidR="002A21AE" w:rsidRDefault="002A21AE">
      <w:pPr>
        <w:pStyle w:val="ListBullet"/>
      </w:pPr>
      <w:r>
        <w:t xml:space="preserve">A user may click </w:t>
      </w:r>
      <w:r>
        <w:rPr>
          <w:b/>
        </w:rPr>
        <w:t>Cancel</w:t>
      </w:r>
      <w:r>
        <w:t xml:space="preserve">, </w:t>
      </w:r>
      <w:r>
        <w:rPr>
          <w:b/>
        </w:rPr>
        <w:t>Close</w:t>
      </w:r>
      <w:r>
        <w:t xml:space="preserve">, or </w:t>
      </w:r>
      <w:r w:rsidRPr="00D1343E">
        <w:rPr>
          <w:rStyle w:val="BodyTextChar"/>
          <w:rFonts w:ascii="Wingdings 2" w:hAnsi="Wingdings 2"/>
          <w:b/>
        </w:rPr>
        <w:t></w:t>
      </w:r>
      <w:r>
        <w:t xml:space="preserve"> in the upper right corner at any time to exit without saving.</w:t>
      </w:r>
    </w:p>
    <w:p w14:paraId="66D444C7" w14:textId="77777777" w:rsidR="002A21AE" w:rsidRDefault="002A21AE">
      <w:pPr>
        <w:pStyle w:val="ListBullet"/>
      </w:pPr>
      <w:r>
        <w:t>All operations depend on the user being logged into the appropriate division.</w:t>
      </w:r>
    </w:p>
    <w:p w14:paraId="785F65E6" w14:textId="6224E0B5" w:rsidR="002A21AE" w:rsidRDefault="002A21AE">
      <w:pPr>
        <w:pStyle w:val="ListBullet"/>
      </w:pPr>
      <w:r>
        <w:t>A user may click a column heading to resort the items in that column</w:t>
      </w:r>
      <w:r w:rsidR="00A76428">
        <w:t xml:space="preserve"> (</w:t>
      </w:r>
      <w:r w:rsidR="00FE0C0C">
        <w:fldChar w:fldCharType="begin" w:fldLock="1"/>
      </w:r>
      <w:r w:rsidR="00FE0C0C">
        <w:instrText xml:space="preserve"> REF _Ref126482360 \h </w:instrText>
      </w:r>
      <w:r w:rsidR="00FE0C0C">
        <w:fldChar w:fldCharType="separate"/>
      </w:r>
      <w:r w:rsidR="00AB304C">
        <w:t xml:space="preserve">Figure </w:t>
      </w:r>
      <w:r w:rsidR="00AB304C">
        <w:rPr>
          <w:noProof/>
        </w:rPr>
        <w:t>3</w:t>
      </w:r>
      <w:r w:rsidR="00FE0C0C">
        <w:fldChar w:fldCharType="end"/>
      </w:r>
      <w:r w:rsidR="00A76428">
        <w:t xml:space="preserve"> and </w:t>
      </w:r>
      <w:r w:rsidR="00FE0C0C">
        <w:fldChar w:fldCharType="begin" w:fldLock="1"/>
      </w:r>
      <w:r w:rsidR="00FE0C0C">
        <w:instrText xml:space="preserve"> REF _Ref126482369 \h </w:instrText>
      </w:r>
      <w:r w:rsidR="00FE0C0C">
        <w:fldChar w:fldCharType="separate"/>
      </w:r>
      <w:r w:rsidR="00AB304C">
        <w:t xml:space="preserve">Figure </w:t>
      </w:r>
      <w:r w:rsidR="00AB304C">
        <w:rPr>
          <w:noProof/>
        </w:rPr>
        <w:t>4</w:t>
      </w:r>
      <w:r w:rsidR="00FE0C0C">
        <w:fldChar w:fldCharType="end"/>
      </w:r>
      <w:r w:rsidR="00A76428">
        <w:t>)</w:t>
      </w:r>
      <w:r>
        <w:t>.</w:t>
      </w:r>
    </w:p>
    <w:p w14:paraId="7ED52010" w14:textId="77777777" w:rsidR="00163C35" w:rsidRDefault="002A21AE" w:rsidP="00163C35">
      <w:pPr>
        <w:pStyle w:val="ListBullet"/>
      </w:pPr>
      <w:r>
        <w:rPr>
          <w:vanish/>
          <w:spacing w:val="0"/>
        </w:rPr>
        <w:t xml:space="preserve">BR_2.48 </w:t>
      </w:r>
      <w:r>
        <w:t>Reaction results entries are allowed for only those reagents defined as part of the reagent rack</w:t>
      </w:r>
      <w:r w:rsidR="00F53A23">
        <w:t>.</w:t>
      </w:r>
    </w:p>
    <w:p w14:paraId="513BFB39" w14:textId="16BAC088" w:rsidR="002A21AE" w:rsidRDefault="002A21AE">
      <w:pPr>
        <w:pStyle w:val="ListBullet"/>
      </w:pPr>
      <w:r>
        <w:t>Select a date from the calendar in the drop-down list to edit a date, or click each part of the date to edit the date and time</w:t>
      </w:r>
      <w:r w:rsidR="00F2615F">
        <w:t xml:space="preserve"> (</w:t>
      </w:r>
      <w:r w:rsidR="00622085">
        <w:fldChar w:fldCharType="begin" w:fldLock="1"/>
      </w:r>
      <w:r w:rsidR="00622085">
        <w:instrText xml:space="preserve"> REF _Ref126483157 \h </w:instrText>
      </w:r>
      <w:r w:rsidR="00622085">
        <w:fldChar w:fldCharType="separate"/>
      </w:r>
      <w:r w:rsidR="00AB304C">
        <w:t xml:space="preserve">Figure </w:t>
      </w:r>
      <w:r w:rsidR="00AB304C">
        <w:rPr>
          <w:noProof/>
        </w:rPr>
        <w:t>5</w:t>
      </w:r>
      <w:r w:rsidR="00622085">
        <w:fldChar w:fldCharType="end"/>
      </w:r>
      <w:r w:rsidR="00622085">
        <w:t xml:space="preserve"> and</w:t>
      </w:r>
      <w:r w:rsidR="00DB4AE0">
        <w:rPr>
          <w:b/>
        </w:rPr>
        <w:t xml:space="preserve"> </w:t>
      </w:r>
      <w:r w:rsidR="00DB4AE0">
        <w:rPr>
          <w:b/>
        </w:rPr>
        <w:fldChar w:fldCharType="begin" w:fldLock="1"/>
      </w:r>
      <w:r w:rsidR="00DB4AE0">
        <w:rPr>
          <w:b/>
        </w:rPr>
        <w:instrText xml:space="preserve"> REF _Ref524523891 \h </w:instrText>
      </w:r>
      <w:r w:rsidR="00DB4AE0">
        <w:rPr>
          <w:b/>
        </w:rPr>
      </w:r>
      <w:r w:rsidR="00DB4AE0">
        <w:rPr>
          <w:b/>
        </w:rPr>
        <w:fldChar w:fldCharType="separate"/>
      </w:r>
      <w:r w:rsidR="00AB304C">
        <w:t xml:space="preserve">Figure </w:t>
      </w:r>
      <w:r w:rsidR="00AB304C">
        <w:rPr>
          <w:noProof/>
        </w:rPr>
        <w:t>6</w:t>
      </w:r>
      <w:r w:rsidR="00DB4AE0">
        <w:rPr>
          <w:b/>
        </w:rPr>
        <w:fldChar w:fldCharType="end"/>
      </w:r>
      <w:r w:rsidR="00622085">
        <w:t>).</w:t>
      </w:r>
    </w:p>
    <w:p w14:paraId="0521ABD4" w14:textId="77777777" w:rsidR="000C156B" w:rsidRPr="00AA4AB6" w:rsidRDefault="007F6441" w:rsidP="000C156B">
      <w:pPr>
        <w:pStyle w:val="ListBullet"/>
      </w:pPr>
      <w:r>
        <w:rPr>
          <w:rFonts w:eastAsia="Arial Unicode MS"/>
        </w:rPr>
        <w:t>Labels shown in figures</w:t>
      </w:r>
      <w:r w:rsidR="000C156B">
        <w:rPr>
          <w:rFonts w:eastAsia="Arial Unicode MS"/>
        </w:rPr>
        <w:t xml:space="preserve"> are visual aids only and do not represent actual labels</w:t>
      </w:r>
      <w:r>
        <w:rPr>
          <w:rFonts w:eastAsia="Arial Unicode MS"/>
        </w:rPr>
        <w:t>.</w:t>
      </w:r>
    </w:p>
    <w:p w14:paraId="77C989A0" w14:textId="77777777" w:rsidR="00AA4AB6" w:rsidRDefault="00AA4AB6" w:rsidP="00AA4AB6">
      <w:pPr>
        <w:pStyle w:val="ListBullet"/>
      </w:pPr>
      <w:r>
        <w:t>VBECS does not offer a spell-check feature. (The user may write text in Microsoft Word, spell check the text, and then copy and paste the text into VBECS.)</w:t>
      </w:r>
    </w:p>
    <w:p w14:paraId="09B1C660" w14:textId="77777777" w:rsidR="00023520" w:rsidRPr="002B06B2" w:rsidRDefault="00057948" w:rsidP="002B06B2">
      <w:pPr>
        <w:pStyle w:val="Caution"/>
      </w:pPr>
      <w:r>
        <w:rPr>
          <w:noProof/>
        </w:rPr>
        <w:drawing>
          <wp:inline distT="0" distB="0" distL="0" distR="0" wp14:anchorId="58C7CF6F" wp14:editId="68196F8F">
            <wp:extent cx="267970" cy="221615"/>
            <wp:effectExtent l="0" t="0" r="0" b="6985"/>
            <wp:docPr id="18" name="Picture 18" descr="P492L2#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492L2#yIS1">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3640CD">
        <w:t xml:space="preserve"> </w:t>
      </w:r>
      <w:r w:rsidR="002B06B2">
        <w:t>Although t</w:t>
      </w:r>
      <w:r w:rsidR="00023520" w:rsidRPr="002B06B2">
        <w:t>he copy-and-paste function is enabled</w:t>
      </w:r>
      <w:r w:rsidR="002B06B2">
        <w:t>, do</w:t>
      </w:r>
      <w:r w:rsidR="00023520" w:rsidRPr="002B06B2">
        <w:t xml:space="preserve"> not use it to enter patient identification information. </w:t>
      </w:r>
      <w:r w:rsidR="005A68C1">
        <w:t>It is highly</w:t>
      </w:r>
      <w:r w:rsidR="00023520" w:rsidRPr="002B06B2">
        <w:t xml:space="preserve"> recommend</w:t>
      </w:r>
      <w:r w:rsidR="005A68C1">
        <w:t>ed</w:t>
      </w:r>
      <w:r w:rsidR="00023520" w:rsidRPr="002B06B2">
        <w:t xml:space="preserve"> that the user scan this information when possible</w:t>
      </w:r>
      <w:r w:rsidR="002B06B2">
        <w:t>;</w:t>
      </w:r>
      <w:r w:rsidR="00023520" w:rsidRPr="002B06B2">
        <w:t xml:space="preserve"> otherwise</w:t>
      </w:r>
      <w:r w:rsidR="002B06B2">
        <w:t>,</w:t>
      </w:r>
      <w:r w:rsidR="00A137C8">
        <w:t xml:space="preserve"> enter it</w:t>
      </w:r>
      <w:r w:rsidR="00A137C8" w:rsidRPr="00703B36">
        <w:rPr>
          <w:vanish/>
        </w:rPr>
        <w:t xml:space="preserve"> </w:t>
      </w:r>
      <w:r w:rsidR="00C83CF0" w:rsidRPr="002B06B2">
        <w:rPr>
          <w:vanish/>
        </w:rPr>
        <w:t>(DR 2,519)</w:t>
      </w:r>
      <w:r w:rsidR="00C83CF0" w:rsidRPr="002B06B2">
        <w:t>.</w:t>
      </w:r>
    </w:p>
    <w:p w14:paraId="0413FF1C" w14:textId="7A879AAE" w:rsidR="001A234F" w:rsidRDefault="001A234F" w:rsidP="00A76428">
      <w:pPr>
        <w:pStyle w:val="Caption"/>
        <w:tabs>
          <w:tab w:val="left" w:pos="4860"/>
        </w:tabs>
      </w:pPr>
      <w:bookmarkStart w:id="44" w:name="_Ref126482360"/>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3</w:t>
      </w:r>
      <w:r w:rsidR="004E20BD">
        <w:rPr>
          <w:noProof/>
        </w:rPr>
        <w:fldChar w:fldCharType="end"/>
      </w:r>
      <w:bookmarkEnd w:id="44"/>
      <w:r w:rsidR="002418C9">
        <w:t>: Click to Sort by Patient Name</w:t>
      </w:r>
    </w:p>
    <w:p w14:paraId="0E2E8B6C" w14:textId="77777777" w:rsidR="000A2260" w:rsidRDefault="00057948" w:rsidP="000A2260">
      <w:pPr>
        <w:pStyle w:val="BodyText"/>
      </w:pPr>
      <w:r>
        <w:rPr>
          <w:noProof/>
        </w:rPr>
        <w:drawing>
          <wp:inline distT="0" distB="0" distL="0" distR="0" wp14:anchorId="03499D5E" wp14:editId="32D9B2EB">
            <wp:extent cx="5486400" cy="1597660"/>
            <wp:effectExtent l="0" t="0" r="0" b="2540"/>
            <wp:docPr id="19" name="Picture 19" descr="P494L2#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494L2#yIS1">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1597660"/>
                    </a:xfrm>
                    <a:prstGeom prst="rect">
                      <a:avLst/>
                    </a:prstGeom>
                    <a:noFill/>
                    <a:ln>
                      <a:noFill/>
                    </a:ln>
                  </pic:spPr>
                </pic:pic>
              </a:graphicData>
            </a:graphic>
          </wp:inline>
        </w:drawing>
      </w:r>
    </w:p>
    <w:p w14:paraId="2AA77531" w14:textId="1F89DD8D" w:rsidR="00730FE6" w:rsidRDefault="0086195D" w:rsidP="00AA6FFB">
      <w:pPr>
        <w:pStyle w:val="Caption"/>
        <w:tabs>
          <w:tab w:val="left" w:pos="4860"/>
        </w:tabs>
      </w:pPr>
      <w:bookmarkStart w:id="45" w:name="_Ref126482369"/>
      <w:bookmarkStart w:id="46" w:name="_Ref126467446"/>
      <w:bookmarkStart w:id="47" w:name="_Ref126467503"/>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4</w:t>
      </w:r>
      <w:r w:rsidR="004E20BD">
        <w:rPr>
          <w:noProof/>
        </w:rPr>
        <w:fldChar w:fldCharType="end"/>
      </w:r>
      <w:bookmarkEnd w:id="45"/>
      <w:r>
        <w:t>: Click to Sort by Request</w:t>
      </w:r>
    </w:p>
    <w:p w14:paraId="7547B329" w14:textId="77777777" w:rsidR="0086195D" w:rsidRDefault="00057948" w:rsidP="00A542EE">
      <w:pPr>
        <w:pStyle w:val="BodyText"/>
      </w:pPr>
      <w:r>
        <w:rPr>
          <w:b/>
          <w:noProof/>
        </w:rPr>
        <w:drawing>
          <wp:inline distT="0" distB="0" distL="0" distR="0" wp14:anchorId="7E56F6B3" wp14:editId="64B19F69">
            <wp:extent cx="5486400" cy="1597660"/>
            <wp:effectExtent l="0" t="0" r="0" b="2540"/>
            <wp:docPr id="20" name="Picture 20" descr="P496L2#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496L2#yIS1">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1597660"/>
                    </a:xfrm>
                    <a:prstGeom prst="rect">
                      <a:avLst/>
                    </a:prstGeom>
                    <a:noFill/>
                    <a:ln>
                      <a:noFill/>
                    </a:ln>
                  </pic:spPr>
                </pic:pic>
              </a:graphicData>
            </a:graphic>
          </wp:inline>
        </w:drawing>
      </w:r>
    </w:p>
    <w:p w14:paraId="5AB12E58" w14:textId="77777777" w:rsidR="00A542EE" w:rsidRDefault="00A542EE" w:rsidP="00AA6FFB">
      <w:pPr>
        <w:pStyle w:val="Caption"/>
        <w:tabs>
          <w:tab w:val="left" w:pos="4860"/>
        </w:tabs>
        <w:sectPr w:rsidR="00A542EE" w:rsidSect="00EE771C">
          <w:footerReference w:type="default" r:id="rId30"/>
          <w:pgSz w:w="12240" w:h="15840" w:code="1"/>
          <w:pgMar w:top="1440" w:right="1440" w:bottom="1440" w:left="1440" w:header="720" w:footer="720" w:gutter="0"/>
          <w:pgNumType w:start="1"/>
          <w:cols w:space="720"/>
          <w:docGrid w:linePitch="360"/>
        </w:sectPr>
      </w:pPr>
    </w:p>
    <w:p w14:paraId="5A4BC8F3" w14:textId="7346D197" w:rsidR="00A542EE" w:rsidRDefault="008F3522" w:rsidP="00EE11ED">
      <w:pPr>
        <w:pStyle w:val="Caption"/>
      </w:pPr>
      <w:bookmarkStart w:id="48" w:name="_Ref126483157"/>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5</w:t>
      </w:r>
      <w:r w:rsidR="004E20BD">
        <w:rPr>
          <w:noProof/>
        </w:rPr>
        <w:fldChar w:fldCharType="end"/>
      </w:r>
      <w:bookmarkEnd w:id="46"/>
      <w:bookmarkEnd w:id="48"/>
      <w:r>
        <w:t>: Select a Date from the Calendar</w:t>
      </w:r>
    </w:p>
    <w:p w14:paraId="2868EA18" w14:textId="77777777" w:rsidR="004D098F" w:rsidRDefault="00057948" w:rsidP="007C191F">
      <w:pPr>
        <w:pStyle w:val="BodyText"/>
      </w:pPr>
      <w:bookmarkStart w:id="49" w:name="_Ref126483168"/>
      <w:r>
        <w:rPr>
          <w:noProof/>
        </w:rPr>
        <w:drawing>
          <wp:inline distT="0" distB="0" distL="0" distR="0" wp14:anchorId="53B89FAD" wp14:editId="0D3D6846">
            <wp:extent cx="1939925" cy="1958340"/>
            <wp:effectExtent l="0" t="0" r="3175" b="3810"/>
            <wp:docPr id="21" name="Picture 21" descr="P499L2#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499L2#yIS1">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39925" cy="1958340"/>
                    </a:xfrm>
                    <a:prstGeom prst="rect">
                      <a:avLst/>
                    </a:prstGeom>
                    <a:noFill/>
                    <a:ln>
                      <a:noFill/>
                    </a:ln>
                  </pic:spPr>
                </pic:pic>
              </a:graphicData>
            </a:graphic>
          </wp:inline>
        </w:drawing>
      </w:r>
    </w:p>
    <w:p w14:paraId="5BE97010" w14:textId="77777777" w:rsidR="00250F92" w:rsidRDefault="00250F92" w:rsidP="007C191F">
      <w:pPr>
        <w:pStyle w:val="BodyText"/>
      </w:pPr>
    </w:p>
    <w:bookmarkEnd w:id="47"/>
    <w:bookmarkEnd w:id="49"/>
    <w:p w14:paraId="445ED2B6" w14:textId="1AEA5F78" w:rsidR="00A542EE" w:rsidRPr="00A542EE" w:rsidRDefault="00A542EE" w:rsidP="007C191F">
      <w:pPr>
        <w:pStyle w:val="BodyText"/>
      </w:pPr>
    </w:p>
    <w:p w14:paraId="04C66E3B" w14:textId="77777777" w:rsidR="00544CE2" w:rsidRPr="00544CE2" w:rsidRDefault="00544CE2" w:rsidP="00FF4766">
      <w:pPr>
        <w:pStyle w:val="Heading2"/>
        <w:sectPr w:rsidR="00544CE2" w:rsidRPr="00544CE2" w:rsidSect="00EE771C">
          <w:type w:val="continuous"/>
          <w:pgSz w:w="12240" w:h="15840" w:code="1"/>
          <w:pgMar w:top="1440" w:right="1440" w:bottom="1440" w:left="1440" w:header="720" w:footer="720" w:gutter="0"/>
          <w:cols w:num="2" w:space="720"/>
          <w:docGrid w:linePitch="360"/>
        </w:sectPr>
      </w:pPr>
    </w:p>
    <w:p w14:paraId="20F4A196" w14:textId="5921920F" w:rsidR="00207521" w:rsidRDefault="00207521" w:rsidP="00207521">
      <w:pPr>
        <w:pStyle w:val="Caption"/>
      </w:pPr>
      <w:bookmarkStart w:id="50" w:name="_Ref524523891"/>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6</w:t>
      </w:r>
      <w:r w:rsidR="004E20BD">
        <w:rPr>
          <w:noProof/>
        </w:rPr>
        <w:fldChar w:fldCharType="end"/>
      </w:r>
      <w:bookmarkEnd w:id="50"/>
      <w:r>
        <w:t>: Edit the Date and Time</w:t>
      </w:r>
    </w:p>
    <w:p w14:paraId="74B6DCF2" w14:textId="1EBE8710" w:rsidR="00207521" w:rsidRPr="00207521" w:rsidRDefault="00207521" w:rsidP="00207521">
      <w:pPr>
        <w:pStyle w:val="BodyText"/>
      </w:pPr>
      <w:r>
        <w:rPr>
          <w:noProof/>
        </w:rPr>
        <w:drawing>
          <wp:inline distT="0" distB="0" distL="0" distR="0" wp14:anchorId="0E504662" wp14:editId="07D5F2D7">
            <wp:extent cx="1450340" cy="563245"/>
            <wp:effectExtent l="0" t="0" r="0" b="8255"/>
            <wp:docPr id="6" name="Picture 6" descr="P504L2#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504L2#yIS1">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50340" cy="563245"/>
                    </a:xfrm>
                    <a:prstGeom prst="rect">
                      <a:avLst/>
                    </a:prstGeom>
                    <a:noFill/>
                    <a:ln>
                      <a:noFill/>
                    </a:ln>
                  </pic:spPr>
                </pic:pic>
              </a:graphicData>
            </a:graphic>
          </wp:inline>
        </w:drawing>
      </w:r>
    </w:p>
    <w:p w14:paraId="4B7F864E" w14:textId="569B5ABB" w:rsidR="00C47F9D" w:rsidRDefault="00C47F9D" w:rsidP="00C47F9D">
      <w:pPr>
        <w:pStyle w:val="Heading2"/>
      </w:pPr>
      <w:bookmarkStart w:id="51" w:name="_Toc4588709"/>
      <w:r>
        <w:t>Commonly Used System Rules</w:t>
      </w:r>
      <w:bookmarkEnd w:id="51"/>
      <w:r>
        <w:fldChar w:fldCharType="begin"/>
      </w:r>
      <w:r>
        <w:instrText xml:space="preserve"> XE "</w:instrText>
      </w:r>
      <w:r w:rsidRPr="003536AD">
        <w:instrText>Commonly Used System Rules</w:instrText>
      </w:r>
      <w:r>
        <w:instrText xml:space="preserve">" </w:instrText>
      </w:r>
      <w:r>
        <w:fldChar w:fldCharType="end"/>
      </w:r>
    </w:p>
    <w:p w14:paraId="76503300" w14:textId="77777777" w:rsidR="00C47F9D" w:rsidRDefault="00C47F9D" w:rsidP="00C47F9D">
      <w:pPr>
        <w:pStyle w:val="BodyText"/>
      </w:pPr>
      <w:r>
        <w:t>This section includes system rules that apply to several or all options.</w:t>
      </w:r>
    </w:p>
    <w:p w14:paraId="7DC190F1" w14:textId="77777777" w:rsidR="00995145" w:rsidRDefault="00995145" w:rsidP="00C47F9D">
      <w:pPr>
        <w:pStyle w:val="Heading3"/>
      </w:pPr>
      <w:bookmarkStart w:id="52" w:name="_Toc4588710"/>
      <w:r>
        <w:t>Date and Time</w:t>
      </w:r>
      <w:bookmarkEnd w:id="52"/>
      <w:r w:rsidR="00A51F68">
        <w:fldChar w:fldCharType="begin"/>
      </w:r>
      <w:r w:rsidR="00A51F68">
        <w:instrText xml:space="preserve"> XE "</w:instrText>
      </w:r>
      <w:r w:rsidR="00A51F68" w:rsidRPr="00FA7A9D">
        <w:instrText>Date and Time</w:instrText>
      </w:r>
      <w:r w:rsidR="00A51F68">
        <w:instrText xml:space="preserve">" </w:instrText>
      </w:r>
      <w:r w:rsidR="00A51F68">
        <w:fldChar w:fldCharType="end"/>
      </w:r>
    </w:p>
    <w:p w14:paraId="05E256D4" w14:textId="24FCF763" w:rsidR="00995145" w:rsidRDefault="009204CC" w:rsidP="00995145">
      <w:pPr>
        <w:pStyle w:val="ListBullet"/>
      </w:pPr>
      <w:r>
        <w:t xml:space="preserve">Users must contact the </w:t>
      </w:r>
      <w:r w:rsidR="005364D9">
        <w:t>Service</w:t>
      </w:r>
      <w:r>
        <w:t xml:space="preserve"> Desk </w:t>
      </w:r>
      <w:r w:rsidR="00995145">
        <w:t>when the date or time is incorrect.</w:t>
      </w:r>
    </w:p>
    <w:p w14:paraId="5729BE6F" w14:textId="77777777" w:rsidR="0038414C" w:rsidRDefault="0038414C" w:rsidP="0038414C">
      <w:pPr>
        <w:pStyle w:val="ListBullet"/>
      </w:pPr>
      <w:r>
        <w:t xml:space="preserve">The date, time, and time zone </w:t>
      </w:r>
      <w:r w:rsidRPr="0038414C">
        <w:t xml:space="preserve">in VBECS is defined where the blood bank is located. </w:t>
      </w:r>
      <w:r>
        <w:t>Any requests for</w:t>
      </w:r>
      <w:r w:rsidRPr="0038414C">
        <w:t xml:space="preserve"> data from </w:t>
      </w:r>
      <w:r>
        <w:t>a particul</w:t>
      </w:r>
      <w:r w:rsidR="008B2A87">
        <w:t>ar blood b</w:t>
      </w:r>
      <w:r>
        <w:t xml:space="preserve">ank </w:t>
      </w:r>
      <w:r w:rsidRPr="0038414C">
        <w:t>database will reflect the time zone where the data was created and not the time zone where the report is generated.</w:t>
      </w:r>
      <w:r>
        <w:t xml:space="preserve"> </w:t>
      </w:r>
      <w:r>
        <w:rPr>
          <w:vanish/>
        </w:rPr>
        <w:t>DR 3838</w:t>
      </w:r>
    </w:p>
    <w:p w14:paraId="777B83BC" w14:textId="2D0E67EE" w:rsidR="00A51F68" w:rsidRPr="00995145" w:rsidRDefault="00063AED" w:rsidP="00995145">
      <w:pPr>
        <w:pStyle w:val="ListBullet"/>
      </w:pPr>
      <w:r>
        <w:t>Refer to</w:t>
      </w:r>
      <w:r w:rsidR="00A51F68">
        <w:t xml:space="preserve"> </w:t>
      </w:r>
      <w:r w:rsidRPr="00063AED">
        <w:rPr>
          <w:i/>
        </w:rPr>
        <w:t xml:space="preserve">VistA Blood Establishment Computer Software (VBECS) </w:t>
      </w:r>
      <w:r w:rsidR="00B03BDD">
        <w:rPr>
          <w:i/>
        </w:rPr>
        <w:t>2.3.1</w:t>
      </w:r>
      <w:r w:rsidR="00531617">
        <w:rPr>
          <w:i/>
        </w:rPr>
        <w:t xml:space="preserve"> </w:t>
      </w:r>
      <w:r w:rsidRPr="00063AED">
        <w:rPr>
          <w:i/>
        </w:rPr>
        <w:t>Technical Manual-Security Guide</w:t>
      </w:r>
      <w:r w:rsidRPr="00063AED">
        <w:t xml:space="preserve"> </w:t>
      </w:r>
      <w:r w:rsidR="00A51F68">
        <w:t>to change the time zone.</w:t>
      </w:r>
    </w:p>
    <w:p w14:paraId="5879B436" w14:textId="77777777" w:rsidR="00C47F9D" w:rsidRPr="00C47F9D" w:rsidRDefault="00C47F9D" w:rsidP="00C47F9D">
      <w:pPr>
        <w:pStyle w:val="Heading3"/>
      </w:pPr>
      <w:bookmarkStart w:id="53" w:name="_Toc4588711"/>
      <w:r>
        <w:t>Locking and Time-Outs</w:t>
      </w:r>
      <w:bookmarkEnd w:id="53"/>
      <w:r>
        <w:fldChar w:fldCharType="begin"/>
      </w:r>
      <w:r>
        <w:instrText xml:space="preserve"> XE "</w:instrText>
      </w:r>
      <w:r w:rsidRPr="001935CB">
        <w:instrText>Locking and Time-Outs</w:instrText>
      </w:r>
      <w:r>
        <w:instrText xml:space="preserve">" </w:instrText>
      </w:r>
      <w:r>
        <w:fldChar w:fldCharType="end"/>
      </w:r>
    </w:p>
    <w:p w14:paraId="500371A1" w14:textId="77777777" w:rsidR="00A62384" w:rsidRDefault="00422274" w:rsidP="00422274">
      <w:pPr>
        <w:pStyle w:val="ListBullet"/>
      </w:pPr>
      <w:r w:rsidRPr="00ED2F18">
        <w:t xml:space="preserve">In </w:t>
      </w:r>
      <w:r w:rsidRPr="00422274">
        <w:t>many</w:t>
      </w:r>
      <w:r w:rsidRPr="00ED2F18">
        <w:t xml:space="preserve"> cases, VBECS’s locking feature prevents more than one user from accessing data. </w:t>
      </w:r>
      <w:r>
        <w:t>When</w:t>
      </w:r>
      <w:r w:rsidRPr="00ED2F18">
        <w:t xml:space="preserve"> a user attempts to access locked data, </w:t>
      </w:r>
      <w:r>
        <w:t xml:space="preserve">VBECS displays </w:t>
      </w:r>
      <w:r w:rsidRPr="00ED2F18">
        <w:t xml:space="preserve">a message indicating </w:t>
      </w:r>
      <w:r w:rsidR="0067601B">
        <w:t>which user</w:t>
      </w:r>
      <w:r w:rsidRPr="00ED2F18">
        <w:t xml:space="preserve"> has </w:t>
      </w:r>
      <w:r w:rsidR="0067601B">
        <w:t xml:space="preserve">the </w:t>
      </w:r>
      <w:r w:rsidRPr="00ED2F18">
        <w:t>locked</w:t>
      </w:r>
      <w:r w:rsidR="0067601B">
        <w:t xml:space="preserve"> data</w:t>
      </w:r>
      <w:r w:rsidRPr="00ED2F18">
        <w:t>.</w:t>
      </w:r>
    </w:p>
    <w:p w14:paraId="2F2B0A8D" w14:textId="77777777" w:rsidR="00847A1C" w:rsidRDefault="00847A1C" w:rsidP="00847A1C">
      <w:pPr>
        <w:pStyle w:val="ListBullet"/>
      </w:pPr>
      <w:r>
        <w:t>A local configurable setting (Lock Inactivity Timeout field) specifies how long a user can be idle and in control of data being edited.</w:t>
      </w:r>
      <w:r w:rsidRPr="00847A1C">
        <w:t xml:space="preserve"> </w:t>
      </w:r>
      <w:r>
        <w:rPr>
          <w:vanish/>
          <w:szCs w:val="18"/>
        </w:rPr>
        <w:t>MBR_2.13</w:t>
      </w:r>
      <w:r>
        <w:t>VBECS warns the user 60 seconds before the lock inactivity period expires that he will lose priority for the data. When he responds within 60 seconds, VBECS clears the warning and resets the lock activity timer. Otherwise, VBECS informs him that his lock was released and he must reenter his changes.</w:t>
      </w:r>
    </w:p>
    <w:p w14:paraId="21408DA1" w14:textId="77777777" w:rsidR="00A62384" w:rsidRDefault="00A62384" w:rsidP="00A62384">
      <w:pPr>
        <w:pStyle w:val="Heading3"/>
      </w:pPr>
      <w:bookmarkStart w:id="54" w:name="_Toc4588712"/>
      <w:r>
        <w:t>Working with Data</w:t>
      </w:r>
      <w:bookmarkEnd w:id="54"/>
      <w:r>
        <w:fldChar w:fldCharType="begin"/>
      </w:r>
      <w:r>
        <w:instrText xml:space="preserve"> XE </w:instrText>
      </w:r>
      <w:r w:rsidR="00FA7E65">
        <w:instrText>“</w:instrText>
      </w:r>
      <w:r>
        <w:instrText>Working with Data</w:instrText>
      </w:r>
      <w:r w:rsidR="00FA7E65">
        <w:instrText>”</w:instrText>
      </w:r>
      <w:r>
        <w:instrText xml:space="preserve"> </w:instrText>
      </w:r>
      <w:r>
        <w:fldChar w:fldCharType="end"/>
      </w:r>
    </w:p>
    <w:p w14:paraId="44861B20" w14:textId="7687B012" w:rsidR="009C003E" w:rsidRDefault="009C003E" w:rsidP="00AD73C0">
      <w:pPr>
        <w:pStyle w:val="ListBullet"/>
      </w:pPr>
      <w:r>
        <w:t>VBECS will emit an audible alert when a user exceeds the maximum character limit for a field.</w:t>
      </w:r>
      <w:r>
        <w:rPr>
          <w:vanish/>
        </w:rPr>
        <w:t xml:space="preserve"> DR 3825</w:t>
      </w:r>
    </w:p>
    <w:p w14:paraId="67CB78F5" w14:textId="77777777" w:rsidR="002B6B38" w:rsidRDefault="002B6B38" w:rsidP="002B6B38">
      <w:pPr>
        <w:pStyle w:val="ListBullet"/>
      </w:pPr>
      <w:r>
        <w:t xml:space="preserve">The user may enter interpretations and reactions in full-service facilities. The user may enter only interpretations in transfusion-only facilities. </w:t>
      </w:r>
    </w:p>
    <w:p w14:paraId="03EC4326" w14:textId="77777777" w:rsidR="0067711F" w:rsidRDefault="0067711F" w:rsidP="003B2567">
      <w:pPr>
        <w:pStyle w:val="ListBullet"/>
      </w:pPr>
      <w:r>
        <w:t>Information displayed on a</w:t>
      </w:r>
      <w:r w:rsidR="00AC7D83">
        <w:t>n active</w:t>
      </w:r>
      <w:r>
        <w:t xml:space="preserve"> window is updated with information</w:t>
      </w:r>
      <w:r w:rsidR="00AC7D83">
        <w:t xml:space="preserve"> from other options only when</w:t>
      </w:r>
      <w:r w:rsidR="00C242AA">
        <w:t xml:space="preserve"> it is refreshed (i.e., closed and reopened</w:t>
      </w:r>
      <w:r w:rsidR="00AC7D83">
        <w:t>)</w:t>
      </w:r>
      <w:r w:rsidR="00F569CC">
        <w:t xml:space="preserve"> in </w:t>
      </w:r>
      <w:r>
        <w:t xml:space="preserve">the </w:t>
      </w:r>
      <w:r w:rsidR="00AC7D83">
        <w:t>active window</w:t>
      </w:r>
      <w:r>
        <w:t>.</w:t>
      </w:r>
    </w:p>
    <w:p w14:paraId="19D8AAC0" w14:textId="77777777" w:rsidR="00A62384" w:rsidRDefault="00A62384" w:rsidP="00A62384">
      <w:pPr>
        <w:pStyle w:val="ListBullet"/>
      </w:pPr>
      <w:r>
        <w:rPr>
          <w:vanish/>
          <w:spacing w:val="0"/>
        </w:rPr>
        <w:t xml:space="preserve">BR_1.03 </w:t>
      </w:r>
      <w:r>
        <w:t>When VBECS displays a scanner icon next to a data entry field, a user may enter or scan the data.</w:t>
      </w:r>
      <w:r w:rsidR="00340676">
        <w:t xml:space="preserve"> The Caps Lock key must not be engaged.</w:t>
      </w:r>
      <w:r w:rsidR="00340676" w:rsidRPr="00340676">
        <w:rPr>
          <w:vanish/>
        </w:rPr>
        <w:t xml:space="preserve"> (DR 2,733)</w:t>
      </w:r>
      <w:r w:rsidR="00340676">
        <w:t xml:space="preserve"> </w:t>
      </w:r>
    </w:p>
    <w:p w14:paraId="281B4618" w14:textId="77777777" w:rsidR="00E83D83" w:rsidRPr="00E83D83" w:rsidRDefault="00E83D83" w:rsidP="00E83D83">
      <w:pPr>
        <w:pStyle w:val="ListBullet"/>
        <w:rPr>
          <w:spacing w:val="0"/>
        </w:rPr>
      </w:pPr>
      <w:r w:rsidRPr="00E83D83">
        <w:rPr>
          <w:vanish/>
          <w:spacing w:val="0"/>
        </w:rPr>
        <w:t xml:space="preserve">BR_1.71 </w:t>
      </w:r>
      <w:r w:rsidRPr="00E83D83">
        <w:rPr>
          <w:spacing w:val="0"/>
        </w:rPr>
        <w:t>Entry of Codabar labeled blood units is disabled.</w:t>
      </w:r>
    </w:p>
    <w:p w14:paraId="395CBEFE" w14:textId="77777777" w:rsidR="00413ECA" w:rsidRDefault="00413ECA" w:rsidP="00413ECA">
      <w:pPr>
        <w:pStyle w:val="ListBullet"/>
      </w:pPr>
      <w:r>
        <w:rPr>
          <w:vanish/>
          <w:spacing w:val="0"/>
        </w:rPr>
        <w:t xml:space="preserve">BR_28.26 </w:t>
      </w:r>
      <w:r>
        <w:t>VBECS captures all technologist IDs and the name of the technologist who displays and/or prints testing information on reports associated with entering test results on a worksheet.</w:t>
      </w:r>
    </w:p>
    <w:p w14:paraId="3617D98F" w14:textId="7D68720E" w:rsidR="00413ECA" w:rsidRDefault="00413ECA" w:rsidP="00413ECA">
      <w:pPr>
        <w:pStyle w:val="ListBullet"/>
      </w:pPr>
      <w:r>
        <w:rPr>
          <w:vanish/>
          <w:spacing w:val="0"/>
        </w:rPr>
        <w:t>BR_40.06</w:t>
      </w:r>
      <w:r w:rsidR="00D415FB">
        <w:rPr>
          <w:vanish/>
          <w:spacing w:val="0"/>
        </w:rPr>
        <w:t xml:space="preserve"> </w:t>
      </w:r>
      <w:r w:rsidR="004E0817">
        <w:rPr>
          <w:spacing w:val="0"/>
        </w:rPr>
        <w:t>With each valid keystroke entry in</w:t>
      </w:r>
      <w:r w:rsidR="003937C6" w:rsidRPr="004E0817">
        <w:rPr>
          <w:spacing w:val="0"/>
        </w:rPr>
        <w:t xml:space="preserve"> the antibody screen </w:t>
      </w:r>
      <w:r w:rsidR="004E0817">
        <w:rPr>
          <w:spacing w:val="0"/>
        </w:rPr>
        <w:t>and</w:t>
      </w:r>
      <w:r w:rsidR="003937C6" w:rsidRPr="004E0817">
        <w:rPr>
          <w:spacing w:val="0"/>
        </w:rPr>
        <w:t xml:space="preserve"> crossmatch test grids, VBECS moves </w:t>
      </w:r>
      <w:r>
        <w:t xml:space="preserve">the cursor from top to bottom in the </w:t>
      </w:r>
      <w:r w:rsidR="00AB4BD9">
        <w:t>far-left</w:t>
      </w:r>
      <w:r>
        <w:t xml:space="preserve"> column within the cells in which results are being entered. The cursor returns to the top cell in the next column to the right and so on across the worksheet grid. The cursor stays in the reaction results cells by default (the technologist may navigate independently) until the last entry is made in the reaction result portion of the grid</w:t>
      </w:r>
      <w:r w:rsidR="00D415FB">
        <w:t>, t</w:t>
      </w:r>
      <w:r>
        <w:t>hen the cursor moves to the first (top) interpretation cell.</w:t>
      </w:r>
    </w:p>
    <w:p w14:paraId="4C022122" w14:textId="77777777" w:rsidR="00E73E6C" w:rsidRDefault="00A32CB7" w:rsidP="00A32CB7">
      <w:pPr>
        <w:pStyle w:val="ListBullet"/>
      </w:pPr>
      <w:bookmarkStart w:id="55" w:name="OLE_LINK35"/>
      <w:bookmarkStart w:id="56" w:name="OLE_LINK36"/>
      <w:r>
        <w:t>To clear an entry in a test grid cell, press</w:t>
      </w:r>
      <w:r w:rsidR="004F3C85">
        <w:t xml:space="preserve"> the</w:t>
      </w:r>
      <w:r>
        <w:t xml:space="preserve"> </w:t>
      </w:r>
      <w:r w:rsidRPr="00A32CB7">
        <w:rPr>
          <w:b/>
        </w:rPr>
        <w:t>Backspace</w:t>
      </w:r>
      <w:r w:rsidR="004F3C85">
        <w:t xml:space="preserve"> key.</w:t>
      </w:r>
    </w:p>
    <w:p w14:paraId="08BDFB8F" w14:textId="77777777" w:rsidR="00A32CB7" w:rsidRDefault="00E73E6C" w:rsidP="00E73E6C">
      <w:pPr>
        <w:pStyle w:val="ListBullet"/>
      </w:pPr>
      <w:r>
        <w:lastRenderedPageBreak/>
        <w:t xml:space="preserve">VBECS allows selection of deceased patients without a warning message presented when VBECS has not received a patient death update message from VistA. </w:t>
      </w:r>
      <w:r>
        <w:rPr>
          <w:vanish/>
        </w:rPr>
        <w:t>DR 3064</w:t>
      </w:r>
    </w:p>
    <w:bookmarkEnd w:id="55"/>
    <w:bookmarkEnd w:id="56"/>
    <w:p w14:paraId="7B684721" w14:textId="77777777" w:rsidR="00413ECA" w:rsidRDefault="00413ECA" w:rsidP="00413ECA">
      <w:pPr>
        <w:pStyle w:val="ListBullet"/>
      </w:pPr>
      <w:r w:rsidRPr="009174D5">
        <w:rPr>
          <w:vanish/>
          <w:spacing w:val="0"/>
        </w:rPr>
        <w:t>BR_2.18</w:t>
      </w:r>
      <w:r>
        <w:rPr>
          <w:vanish/>
          <w:spacing w:val="0"/>
        </w:rPr>
        <w:t xml:space="preserve"> </w:t>
      </w:r>
      <w:r>
        <w:t xml:space="preserve">VBECS displays the data that a user enters in a session. The user may edit the data and </w:t>
      </w:r>
      <w:r w:rsidR="008A7BDA">
        <w:t xml:space="preserve">save them. </w:t>
      </w:r>
      <w:r>
        <w:t xml:space="preserve">VBECS warns </w:t>
      </w:r>
      <w:r w:rsidR="008A7BDA">
        <w:t>the user that if he chooses to cancel using the cancel or “X” button or by leaving/refreshing the current page, VBECS will not save any data changes entered during the session</w:t>
      </w:r>
      <w:r>
        <w:t xml:space="preserve">. VBECS </w:t>
      </w:r>
      <w:r w:rsidR="00A62384" w:rsidRPr="00CF619F">
        <w:t>closes the form and</w:t>
      </w:r>
      <w:r w:rsidR="005A3214">
        <w:t xml:space="preserve"> </w:t>
      </w:r>
      <w:r w:rsidRPr="00CF619F">
        <w:t>returns the user to the main menu screen that may include unrelated open windows</w:t>
      </w:r>
      <w:r>
        <w:t>.</w:t>
      </w:r>
    </w:p>
    <w:p w14:paraId="6A7DC74E" w14:textId="77777777" w:rsidR="00413ECA" w:rsidRDefault="00413ECA" w:rsidP="00413ECA">
      <w:pPr>
        <w:pStyle w:val="ListBullet"/>
      </w:pPr>
      <w:r>
        <w:rPr>
          <w:vanish/>
          <w:spacing w:val="0"/>
        </w:rPr>
        <w:t xml:space="preserve">BR_38.08 </w:t>
      </w:r>
      <w:r>
        <w:t xml:space="preserve">VBECS displays </w:t>
      </w:r>
      <w:r w:rsidR="00941683">
        <w:t xml:space="preserve">and enforces active </w:t>
      </w:r>
      <w:r w:rsidR="003937C6">
        <w:t>Transfusion R</w:t>
      </w:r>
      <w:r>
        <w:t xml:space="preserve">equirements </w:t>
      </w:r>
      <w:r w:rsidR="003937C6">
        <w:t xml:space="preserve">(TRs) </w:t>
      </w:r>
      <w:r>
        <w:t>to all divisions in a multi</w:t>
      </w:r>
      <w:r w:rsidR="00941683">
        <w:t>divisional database.</w:t>
      </w:r>
    </w:p>
    <w:p w14:paraId="7653E129" w14:textId="77777777" w:rsidR="00413ECA" w:rsidRDefault="00413ECA" w:rsidP="00413ECA">
      <w:pPr>
        <w:pStyle w:val="ListBullet"/>
      </w:pPr>
      <w:r>
        <w:rPr>
          <w:vanish/>
          <w:spacing w:val="0"/>
        </w:rPr>
        <w:t xml:space="preserve">BR_52.04 </w:t>
      </w:r>
      <w:r>
        <w:t>The user may not edit the title column of the data grid that specifies the reagent used in the test with a patient specimen.</w:t>
      </w:r>
    </w:p>
    <w:p w14:paraId="0AF1DC55" w14:textId="77777777" w:rsidR="00413ECA" w:rsidRDefault="00413ECA" w:rsidP="00413ECA">
      <w:pPr>
        <w:pStyle w:val="ListBullet"/>
      </w:pPr>
      <w:r>
        <w:rPr>
          <w:vanish/>
          <w:spacing w:val="0"/>
        </w:rPr>
        <w:t xml:space="preserve">BR_2.01 </w:t>
      </w:r>
      <w:r>
        <w:t>Unless otherwise indicated, data entry and retrieval are restricted to the division logged into.</w:t>
      </w:r>
    </w:p>
    <w:p w14:paraId="7B9E54DC" w14:textId="77777777" w:rsidR="00413ECA" w:rsidRDefault="00413ECA" w:rsidP="00413ECA">
      <w:pPr>
        <w:pStyle w:val="ListBullet"/>
      </w:pPr>
      <w:r>
        <w:rPr>
          <w:vanish/>
          <w:spacing w:val="0"/>
        </w:rPr>
        <w:t xml:space="preserve">BR_56.08 </w:t>
      </w:r>
      <w:r w:rsidR="00AD6662" w:rsidRPr="00AD6662">
        <w:rPr>
          <w:spacing w:val="0"/>
        </w:rPr>
        <w:t>To enter data after VBECS has been unavailable, a</w:t>
      </w:r>
      <w:r w:rsidRPr="00AD6662">
        <w:t xml:space="preserve"> u</w:t>
      </w:r>
      <w:r>
        <w:t xml:space="preserve">ser may </w:t>
      </w:r>
      <w:r w:rsidR="00AD6662">
        <w:t>enter</w:t>
      </w:r>
      <w:r>
        <w:t xml:space="preserve"> a past date, time, and the technologist who performed the work.</w:t>
      </w:r>
    </w:p>
    <w:p w14:paraId="042A6DAB" w14:textId="77777777" w:rsidR="00413ECA" w:rsidRDefault="00413ECA" w:rsidP="00413ECA">
      <w:pPr>
        <w:pStyle w:val="ListBullet"/>
      </w:pPr>
      <w:r>
        <w:rPr>
          <w:vanish/>
          <w:spacing w:val="0"/>
        </w:rPr>
        <w:t xml:space="preserve">BR_77.10 </w:t>
      </w:r>
      <w:r>
        <w:t>VBECS displays changes in reverse chronological order.</w:t>
      </w:r>
    </w:p>
    <w:p w14:paraId="6ABDE268" w14:textId="77777777" w:rsidR="00A62384" w:rsidRDefault="00413ECA" w:rsidP="00413ECA">
      <w:pPr>
        <w:pStyle w:val="ListBullet"/>
      </w:pPr>
      <w:r>
        <w:rPr>
          <w:vanish/>
          <w:spacing w:val="0"/>
        </w:rPr>
        <w:t xml:space="preserve">BR_3.22 </w:t>
      </w:r>
      <w:r>
        <w:t>VBECS calculates and displays the days (hours, if less than one day) remaining until a unit’s expiration based on the date and time of unit selection entered during modification.</w:t>
      </w:r>
    </w:p>
    <w:p w14:paraId="11A38CD8" w14:textId="77777777" w:rsidR="00E83D83" w:rsidRPr="00E83D83" w:rsidRDefault="00A62384" w:rsidP="00E83D83">
      <w:pPr>
        <w:pStyle w:val="ListBullet"/>
      </w:pPr>
      <w:r w:rsidRPr="00E83D83">
        <w:rPr>
          <w:vanish/>
        </w:rPr>
        <w:t xml:space="preserve">BR_1.23 </w:t>
      </w:r>
      <w:r w:rsidR="00E83D83" w:rsidRPr="00E83D83">
        <w:t>A scanned ISBT 128 expiration date barcode is identified by the presence of ‘"=</w:t>
      </w:r>
      <w:r w:rsidR="00452A6C">
        <w:t xml:space="preserve"> </w:t>
      </w:r>
      <w:r w:rsidR="00E83D83" w:rsidRPr="00E83D83">
        <w:t xml:space="preserve">&gt;’ or ‘&amp;&gt;’ as the hidden identifier. Once the hidden identifier is removed, there are two possible formats of the barcode, one involving the date only and another involving date and time. If no time in the barcode, then 23:59 is assumed. </w:t>
      </w:r>
    </w:p>
    <w:p w14:paraId="4A5F04DF" w14:textId="77777777" w:rsidR="00A62384" w:rsidRDefault="00A62384" w:rsidP="00A62384">
      <w:pPr>
        <w:pStyle w:val="ListBullet"/>
      </w:pPr>
      <w:r>
        <w:t>Data are never deleted: they are saved indefinitely.</w:t>
      </w:r>
    </w:p>
    <w:p w14:paraId="3A4AC703" w14:textId="77777777" w:rsidR="00EF6BBD" w:rsidRDefault="00EF6BBD" w:rsidP="00A62384">
      <w:pPr>
        <w:pStyle w:val="ListBullet"/>
      </w:pPr>
      <w:r>
        <w:t xml:space="preserve">Although a user may </w:t>
      </w:r>
      <w:r w:rsidR="00C71503">
        <w:t xml:space="preserve">appear to </w:t>
      </w:r>
      <w:r>
        <w:t>select and delete data in gray fields, VBECS does not save such edits.</w:t>
      </w:r>
    </w:p>
    <w:p w14:paraId="61C19C6C" w14:textId="77777777" w:rsidR="00993A74" w:rsidRDefault="00993A74" w:rsidP="00A62384">
      <w:pPr>
        <w:pStyle w:val="ListBullet"/>
      </w:pPr>
      <w:r>
        <w:t xml:space="preserve">A column’s width may be adjusted or hidden for a session. This view returns to the default presentation when the view is opened again. </w:t>
      </w:r>
      <w:r w:rsidRPr="00C242AA">
        <w:rPr>
          <w:vanish/>
        </w:rPr>
        <w:t>DR 2218</w:t>
      </w:r>
    </w:p>
    <w:p w14:paraId="5B9ACF5F" w14:textId="77777777" w:rsidR="003128E0" w:rsidRDefault="003128E0" w:rsidP="003128E0">
      <w:pPr>
        <w:pStyle w:val="ListBullet"/>
      </w:pPr>
      <w:r w:rsidRPr="003128E0">
        <w:rPr>
          <w:vanish/>
        </w:rPr>
        <w:t xml:space="preserve">BR_2.19 </w:t>
      </w:r>
      <w:r>
        <w:t>The ABO/Rh confirmation worklist may be sorted by Unit ID, ABO/Rh, Product Type, Component Type, or Date/Time Received. When displaying the Date/Time Received, seconds are not displayed, but are used to sort the worklist when selecting Date/Time Received for the worklist sort criteria.</w:t>
      </w:r>
    </w:p>
    <w:p w14:paraId="5D125E2E" w14:textId="77777777" w:rsidR="00A62384" w:rsidRDefault="00A62384" w:rsidP="00A62384">
      <w:pPr>
        <w:pStyle w:val="Heading3"/>
      </w:pPr>
      <w:bookmarkStart w:id="57" w:name="_Toc4588713"/>
      <w:r>
        <w:t>Searching the Database</w:t>
      </w:r>
      <w:bookmarkEnd w:id="57"/>
      <w:r>
        <w:fldChar w:fldCharType="begin"/>
      </w:r>
      <w:r>
        <w:instrText xml:space="preserve"> XE </w:instrText>
      </w:r>
      <w:r w:rsidR="00FA7E65">
        <w:instrText>“</w:instrText>
      </w:r>
      <w:r>
        <w:instrText>Searching the Database</w:instrText>
      </w:r>
      <w:r w:rsidR="00FA7E65">
        <w:instrText>”</w:instrText>
      </w:r>
      <w:r>
        <w:instrText xml:space="preserve"> </w:instrText>
      </w:r>
      <w:r>
        <w:fldChar w:fldCharType="end"/>
      </w:r>
    </w:p>
    <w:p w14:paraId="24B3EF6B" w14:textId="77777777" w:rsidR="00A62384" w:rsidRDefault="00A62384" w:rsidP="00A62384">
      <w:pPr>
        <w:pStyle w:val="ListBullet"/>
      </w:pPr>
      <w:r>
        <w:rPr>
          <w:vanish/>
          <w:spacing w:val="0"/>
        </w:rPr>
        <w:t xml:space="preserve">BR_3.20 </w:t>
      </w:r>
      <w:r>
        <w:rPr>
          <w:rFonts w:cs="Arial"/>
        </w:rPr>
        <w:t>A user may</w:t>
      </w:r>
      <w:r>
        <w:t xml:space="preserve"> search for a patient by:</w:t>
      </w:r>
    </w:p>
    <w:p w14:paraId="25F49425" w14:textId="278DB675" w:rsidR="00A62384" w:rsidRDefault="005D2D3B" w:rsidP="00A12E97">
      <w:pPr>
        <w:pStyle w:val="ListBullet2"/>
      </w:pPr>
      <w:r>
        <w:t>Patient’s l</w:t>
      </w:r>
      <w:r w:rsidR="00A62384">
        <w:t>ast name</w:t>
      </w:r>
      <w:r w:rsidR="00141237">
        <w:t xml:space="preserve"> (symbols such as</w:t>
      </w:r>
      <w:r>
        <w:t xml:space="preserve"> an apostrophe and/or dash are not allowed)</w:t>
      </w:r>
    </w:p>
    <w:p w14:paraId="32E412BA" w14:textId="1E2B9A51" w:rsidR="00A62384" w:rsidRDefault="005D2D3B" w:rsidP="00A12E97">
      <w:pPr>
        <w:pStyle w:val="ListBullet2"/>
      </w:pPr>
      <w:r>
        <w:t xml:space="preserve">Patient’s </w:t>
      </w:r>
      <w:r w:rsidR="00A62384">
        <w:t>ID</w:t>
      </w:r>
      <w:r w:rsidR="00882CF0">
        <w:t xml:space="preserve"> </w:t>
      </w:r>
      <w:r w:rsidR="00EB26C9">
        <w:t>(omit hyphens)</w:t>
      </w:r>
      <w:r w:rsidR="006F2228">
        <w:t xml:space="preserve"> (“Full”)</w:t>
      </w:r>
    </w:p>
    <w:p w14:paraId="72AF47C1" w14:textId="2E223C52" w:rsidR="00A62384" w:rsidRDefault="005D2D3B" w:rsidP="00A12E97">
      <w:pPr>
        <w:pStyle w:val="ListBullet2"/>
      </w:pPr>
      <w:r>
        <w:t>Patient’s last i</w:t>
      </w:r>
      <w:r w:rsidR="00A62384">
        <w:t xml:space="preserve">nitial and last four </w:t>
      </w:r>
      <w:r>
        <w:t>digits</w:t>
      </w:r>
      <w:r w:rsidR="00A62384">
        <w:t xml:space="preserve"> of the ID</w:t>
      </w:r>
      <w:r w:rsidR="006F2228">
        <w:t xml:space="preserve"> (“Last </w:t>
      </w:r>
      <w:r>
        <w:t>4</w:t>
      </w:r>
      <w:r w:rsidR="006F2228">
        <w:t>”)</w:t>
      </w:r>
    </w:p>
    <w:p w14:paraId="49609D51" w14:textId="32C0E268" w:rsidR="00A62384" w:rsidRDefault="005D2D3B" w:rsidP="00A12E97">
      <w:pPr>
        <w:pStyle w:val="ListBullet2"/>
      </w:pPr>
      <w:r>
        <w:t>Patient’s l</w:t>
      </w:r>
      <w:r w:rsidR="00A62384">
        <w:t xml:space="preserve">ast four </w:t>
      </w:r>
      <w:r>
        <w:t>digits</w:t>
      </w:r>
      <w:r w:rsidR="00A62384">
        <w:t xml:space="preserve"> of the ID</w:t>
      </w:r>
      <w:r w:rsidR="006F2228">
        <w:t xml:space="preserve"> (“Last 4”)</w:t>
      </w:r>
    </w:p>
    <w:p w14:paraId="1E773F79" w14:textId="5FCAC625" w:rsidR="005D2D3B" w:rsidRDefault="005D2D3B" w:rsidP="005D2D3B">
      <w:pPr>
        <w:pStyle w:val="ListBullet2"/>
        <w:numPr>
          <w:ilvl w:val="0"/>
          <w:numId w:val="0"/>
        </w:numPr>
        <w:ind w:left="648"/>
      </w:pPr>
    </w:p>
    <w:p w14:paraId="3736A7AF" w14:textId="77777777" w:rsidR="005D2D3B" w:rsidRPr="005D2D3B" w:rsidRDefault="005D2D3B" w:rsidP="005D2D3B">
      <w:pPr>
        <w:pStyle w:val="ListBullet"/>
        <w:rPr>
          <w:rFonts w:cs="Arial"/>
        </w:rPr>
      </w:pPr>
      <w:r w:rsidRPr="005D2D3B">
        <w:rPr>
          <w:rFonts w:cs="Arial"/>
        </w:rPr>
        <w:t>For example, for a patient whose last name is TEST with an ID of 000-11-2222:</w:t>
      </w:r>
    </w:p>
    <w:p w14:paraId="46CBBCEA" w14:textId="7BF7FBAC" w:rsidR="005D2D3B" w:rsidRPr="00374A4B" w:rsidRDefault="005D2D3B" w:rsidP="005D2D3B">
      <w:pPr>
        <w:pStyle w:val="ListBullet2"/>
      </w:pPr>
      <w:r w:rsidRPr="00374A4B">
        <w:t xml:space="preserve">Patient's last name: user enters "TEST" </w:t>
      </w:r>
    </w:p>
    <w:p w14:paraId="111B3CC5" w14:textId="0ED23BA3" w:rsidR="005D2D3B" w:rsidRPr="00374A4B" w:rsidRDefault="005D2D3B" w:rsidP="005D2D3B">
      <w:pPr>
        <w:pStyle w:val="ListBullet2"/>
      </w:pPr>
      <w:r w:rsidRPr="00374A4B">
        <w:t>Patient's ID: user enters "000112</w:t>
      </w:r>
      <w:r w:rsidR="00326905">
        <w:t>2</w:t>
      </w:r>
      <w:r w:rsidRPr="00374A4B">
        <w:t>22" (no dashes or spaces)</w:t>
      </w:r>
    </w:p>
    <w:p w14:paraId="5CF70A49" w14:textId="74294097" w:rsidR="005D2D3B" w:rsidRPr="00374A4B" w:rsidRDefault="005D2D3B" w:rsidP="005D2D3B">
      <w:pPr>
        <w:pStyle w:val="ListBullet2"/>
      </w:pPr>
      <w:r w:rsidRPr="00374A4B">
        <w:t>Patient's last initial and last four digits of the patient ID: user enters "T2222" (no dashes or spaces)</w:t>
      </w:r>
    </w:p>
    <w:p w14:paraId="0C527F9E" w14:textId="7E6E7210" w:rsidR="005D2D3B" w:rsidRPr="00374A4B" w:rsidRDefault="005D2D3B" w:rsidP="005D2D3B">
      <w:pPr>
        <w:pStyle w:val="ListBullet2"/>
      </w:pPr>
      <w:r w:rsidRPr="00374A4B">
        <w:t xml:space="preserve">Patient's last four digits of the patient ID: user enters "2222" </w:t>
      </w:r>
    </w:p>
    <w:p w14:paraId="53F695DB" w14:textId="77777777" w:rsidR="005D2D3B" w:rsidRPr="00374A4B" w:rsidRDefault="005D2D3B" w:rsidP="005D2D3B">
      <w:pPr>
        <w:pStyle w:val="TableText"/>
      </w:pPr>
      <w:r w:rsidRPr="00374A4B">
        <w:t xml:space="preserve"> </w:t>
      </w:r>
    </w:p>
    <w:p w14:paraId="35DFDB02" w14:textId="77777777" w:rsidR="005D2D3B" w:rsidRPr="000A23ED" w:rsidRDefault="005D2D3B" w:rsidP="000A23ED">
      <w:pPr>
        <w:pStyle w:val="TableText"/>
        <w:ind w:left="648"/>
        <w:rPr>
          <w:rFonts w:ascii="Times New Roman" w:hAnsi="Times New Roman"/>
          <w:sz w:val="22"/>
          <w:szCs w:val="22"/>
        </w:rPr>
      </w:pPr>
      <w:r w:rsidRPr="000A23ED">
        <w:rPr>
          <w:rFonts w:ascii="Times New Roman" w:hAnsi="Times New Roman"/>
          <w:sz w:val="22"/>
          <w:szCs w:val="22"/>
        </w:rPr>
        <w:t>The system displays all patients that fit the search criteria, allowing the user to select a patient from a pick list.</w:t>
      </w:r>
    </w:p>
    <w:p w14:paraId="67E1BD82" w14:textId="77777777" w:rsidR="005D2D3B" w:rsidRPr="000A23ED" w:rsidRDefault="005D2D3B" w:rsidP="000A23ED">
      <w:pPr>
        <w:pStyle w:val="TableText"/>
        <w:ind w:left="648"/>
        <w:rPr>
          <w:rFonts w:ascii="Times New Roman" w:hAnsi="Times New Roman"/>
          <w:sz w:val="22"/>
          <w:szCs w:val="22"/>
        </w:rPr>
      </w:pPr>
    </w:p>
    <w:p w14:paraId="5A2FFFA3" w14:textId="6555E42D" w:rsidR="005D2D3B" w:rsidRPr="000A23ED" w:rsidRDefault="005D2D3B" w:rsidP="000A23ED">
      <w:pPr>
        <w:pStyle w:val="TableText"/>
        <w:ind w:left="648"/>
        <w:rPr>
          <w:rFonts w:ascii="Times New Roman" w:hAnsi="Times New Roman"/>
          <w:sz w:val="22"/>
          <w:szCs w:val="22"/>
        </w:rPr>
      </w:pPr>
      <w:r w:rsidRPr="00BF4EC3">
        <w:rPr>
          <w:rFonts w:ascii="Times New Roman" w:hAnsi="Times New Roman"/>
          <w:b/>
          <w:sz w:val="22"/>
          <w:szCs w:val="22"/>
        </w:rPr>
        <w:t>Note:</w:t>
      </w:r>
      <w:r w:rsidRPr="000A23ED">
        <w:rPr>
          <w:rFonts w:ascii="Times New Roman" w:hAnsi="Times New Roman"/>
          <w:sz w:val="22"/>
          <w:szCs w:val="22"/>
        </w:rPr>
        <w:t xml:space="preserve"> Searching by last four digits on the patient ID in VBECS against the VistA database will return matches on the last four digits or the first four digits.</w:t>
      </w:r>
      <w:r w:rsidR="00A113B2">
        <w:rPr>
          <w:rFonts w:ascii="Times New Roman" w:hAnsi="Times New Roman"/>
          <w:sz w:val="22"/>
          <w:szCs w:val="22"/>
        </w:rPr>
        <w:t xml:space="preserve"> </w:t>
      </w:r>
      <w:r w:rsidRPr="000A23ED">
        <w:rPr>
          <w:rFonts w:ascii="Times New Roman" w:hAnsi="Times New Roman"/>
          <w:sz w:val="22"/>
          <w:szCs w:val="22"/>
        </w:rPr>
        <w:t>The following search formats in VistA are not allowed in VBECS:</w:t>
      </w:r>
    </w:p>
    <w:p w14:paraId="7E6F0121" w14:textId="77777777" w:rsidR="005D2D3B" w:rsidRPr="000A23ED" w:rsidRDefault="005D2D3B" w:rsidP="005D2D3B">
      <w:pPr>
        <w:pStyle w:val="TableText"/>
        <w:numPr>
          <w:ilvl w:val="0"/>
          <w:numId w:val="87"/>
        </w:numPr>
        <w:rPr>
          <w:rFonts w:ascii="Times New Roman" w:hAnsi="Times New Roman"/>
          <w:sz w:val="22"/>
          <w:szCs w:val="22"/>
        </w:rPr>
      </w:pPr>
      <w:r w:rsidRPr="000A23ED">
        <w:rPr>
          <w:rFonts w:ascii="Times New Roman" w:hAnsi="Times New Roman"/>
          <w:sz w:val="22"/>
          <w:szCs w:val="22"/>
        </w:rPr>
        <w:t>Last name, first name</w:t>
      </w:r>
    </w:p>
    <w:p w14:paraId="038B44EE" w14:textId="6E1ABF14" w:rsidR="005D2D3B" w:rsidRPr="000A23ED" w:rsidRDefault="005D2D3B" w:rsidP="005D2D3B">
      <w:pPr>
        <w:pStyle w:val="TableText"/>
        <w:numPr>
          <w:ilvl w:val="0"/>
          <w:numId w:val="87"/>
        </w:numPr>
        <w:rPr>
          <w:rFonts w:ascii="Times New Roman" w:hAnsi="Times New Roman"/>
          <w:sz w:val="22"/>
          <w:szCs w:val="22"/>
        </w:rPr>
      </w:pPr>
      <w:r w:rsidRPr="000A23ED">
        <w:rPr>
          <w:rFonts w:ascii="Times New Roman" w:hAnsi="Times New Roman"/>
          <w:sz w:val="22"/>
          <w:szCs w:val="22"/>
        </w:rPr>
        <w:t>Various patient ID lengths other than 4 or 9 digits</w:t>
      </w:r>
    </w:p>
    <w:p w14:paraId="01205455" w14:textId="57506883" w:rsidR="005D2D3B" w:rsidRPr="000A23ED" w:rsidRDefault="003E2E8A" w:rsidP="003E2E8A">
      <w:pPr>
        <w:pStyle w:val="TableText"/>
        <w:numPr>
          <w:ilvl w:val="0"/>
          <w:numId w:val="87"/>
        </w:numPr>
        <w:rPr>
          <w:rFonts w:ascii="Times New Roman" w:hAnsi="Times New Roman"/>
          <w:sz w:val="22"/>
          <w:szCs w:val="22"/>
        </w:rPr>
      </w:pPr>
      <w:r w:rsidRPr="000A23ED">
        <w:rPr>
          <w:rFonts w:ascii="Times New Roman" w:hAnsi="Times New Roman"/>
          <w:sz w:val="22"/>
          <w:szCs w:val="22"/>
        </w:rPr>
        <w:t>VistA Patient ID</w:t>
      </w:r>
    </w:p>
    <w:p w14:paraId="1A7FFCFA" w14:textId="77777777" w:rsidR="00A62384" w:rsidRDefault="00A62384" w:rsidP="00A62384">
      <w:pPr>
        <w:pStyle w:val="ListBullet"/>
      </w:pPr>
      <w:r>
        <w:rPr>
          <w:vanish/>
          <w:spacing w:val="0"/>
        </w:rPr>
        <w:t xml:space="preserve">BR_4.01 </w:t>
      </w:r>
      <w:r>
        <w:t xml:space="preserve">A user must scan or enter a unit ID and a product code to select a unit from inventory. </w:t>
      </w:r>
    </w:p>
    <w:p w14:paraId="3B18C069" w14:textId="77777777" w:rsidR="00A62384" w:rsidRDefault="00A62384" w:rsidP="00A62384">
      <w:pPr>
        <w:pStyle w:val="ListBullet"/>
        <w:rPr>
          <w:vanish/>
          <w:spacing w:val="0"/>
        </w:rPr>
      </w:pPr>
      <w:r>
        <w:rPr>
          <w:vanish/>
          <w:spacing w:val="0"/>
        </w:rPr>
        <w:t>BR_6.02 This rule is included in the Security section.)</w:t>
      </w:r>
    </w:p>
    <w:p w14:paraId="3F9A61D3" w14:textId="77777777" w:rsidR="00413ECA" w:rsidRDefault="00A62384" w:rsidP="00413ECA">
      <w:pPr>
        <w:pStyle w:val="ListBullet"/>
      </w:pPr>
      <w:r w:rsidRPr="00B36B12">
        <w:rPr>
          <w:vanish/>
          <w:spacing w:val="0"/>
        </w:rPr>
        <w:t>BR_27.13</w:t>
      </w:r>
      <w:r>
        <w:rPr>
          <w:vanish/>
          <w:spacing w:val="0"/>
        </w:rPr>
        <w:t xml:space="preserve"> </w:t>
      </w:r>
      <w:r>
        <w:t>When VBECS does not find a unit record, it displays an error message stating that the unit wa</w:t>
      </w:r>
      <w:r w:rsidR="00413ECA">
        <w:t>s not found and instructing the user to reenter unit information. A user may close this message</w:t>
      </w:r>
      <w:r w:rsidR="0049278C">
        <w:t xml:space="preserve">, click </w:t>
      </w:r>
      <w:r w:rsidR="0049278C" w:rsidRPr="0049278C">
        <w:rPr>
          <w:b/>
        </w:rPr>
        <w:t>Clear</w:t>
      </w:r>
      <w:r w:rsidR="0049278C">
        <w:t>,</w:t>
      </w:r>
      <w:r w:rsidR="00413ECA">
        <w:t xml:space="preserve"> and enter </w:t>
      </w:r>
      <w:r w:rsidR="0049278C">
        <w:t>another</w:t>
      </w:r>
      <w:r w:rsidR="00413ECA">
        <w:t xml:space="preserve"> unit ID and product code.</w:t>
      </w:r>
      <w:r w:rsidR="0049278C">
        <w:t xml:space="preserve"> </w:t>
      </w:r>
    </w:p>
    <w:p w14:paraId="20A7A1CA" w14:textId="77777777" w:rsidR="00D776D1" w:rsidRDefault="00413ECA" w:rsidP="00D776D1">
      <w:pPr>
        <w:pStyle w:val="ListBullet"/>
      </w:pPr>
      <w:r>
        <w:rPr>
          <w:vanish/>
          <w:spacing w:val="0"/>
        </w:rPr>
        <w:t xml:space="preserve">BR_5.02 </w:t>
      </w:r>
      <w:r>
        <w:t>VBECS lists all or part of a division</w:t>
      </w:r>
      <w:r w:rsidR="00FA7E65">
        <w:t>’</w:t>
      </w:r>
      <w:r w:rsidR="00A62384">
        <w:t>s blood component inventory, based on system rules. A user may enter a varied co</w:t>
      </w:r>
      <w:r w:rsidR="00D776D1">
        <w:t>mbination of unit information to create a customized list of selectable units, including:</w:t>
      </w:r>
    </w:p>
    <w:p w14:paraId="59F67675" w14:textId="77777777" w:rsidR="00D776D1" w:rsidRDefault="00D776D1" w:rsidP="00D776D1">
      <w:pPr>
        <w:pStyle w:val="ListBullet2"/>
      </w:pPr>
      <w:r>
        <w:t>Unit ID</w:t>
      </w:r>
    </w:p>
    <w:p w14:paraId="5F2B498F" w14:textId="77777777" w:rsidR="00D776D1" w:rsidRDefault="00D776D1" w:rsidP="00D776D1">
      <w:pPr>
        <w:pStyle w:val="ListBullet2"/>
      </w:pPr>
      <w:r>
        <w:t>Product type</w:t>
      </w:r>
    </w:p>
    <w:p w14:paraId="1AB1D1BC" w14:textId="77777777" w:rsidR="00D776D1" w:rsidRDefault="00D776D1" w:rsidP="00D776D1">
      <w:pPr>
        <w:pStyle w:val="ListBullet2"/>
      </w:pPr>
      <w:r>
        <w:t>ABO/Rh</w:t>
      </w:r>
    </w:p>
    <w:p w14:paraId="32C7EA85" w14:textId="77777777" w:rsidR="00D776D1" w:rsidRDefault="00D776D1" w:rsidP="005E43F0">
      <w:pPr>
        <w:pStyle w:val="ListBullet2"/>
        <w:tabs>
          <w:tab w:val="clear" w:pos="648"/>
        </w:tabs>
        <w:ind w:left="1440" w:hanging="792"/>
      </w:pPr>
      <w:r>
        <w:t>Special testing</w:t>
      </w:r>
      <w:r w:rsidR="00C233B7">
        <w:t xml:space="preserve"> (CMV Neg, SC Neg, or equal to or greater than (= &gt;)</w:t>
      </w:r>
      <w:r w:rsidR="002D3BEC">
        <w:t xml:space="preserve"> 2 </w:t>
      </w:r>
      <w:r w:rsidR="00823261">
        <w:t xml:space="preserve">mL RBC </w:t>
      </w:r>
      <w:r w:rsidR="005E43F0">
        <w:t xml:space="preserve">  </w:t>
      </w:r>
      <w:r w:rsidR="00823261">
        <w:t>Contamination)</w:t>
      </w:r>
    </w:p>
    <w:p w14:paraId="3A7CC643" w14:textId="77777777" w:rsidR="00D776D1" w:rsidRDefault="00D776D1" w:rsidP="00D776D1">
      <w:pPr>
        <w:pStyle w:val="ListBullet2"/>
      </w:pPr>
      <w:r>
        <w:t>RBC antigens (available only for the RED BLOOD CELLS component class)</w:t>
      </w:r>
    </w:p>
    <w:p w14:paraId="5FCEB8ED" w14:textId="77777777" w:rsidR="00A62384" w:rsidRDefault="00D776D1" w:rsidP="00D776D1">
      <w:pPr>
        <w:pStyle w:val="ListBullet2"/>
      </w:pPr>
      <w:r>
        <w:t>Received date range</w:t>
      </w:r>
    </w:p>
    <w:p w14:paraId="18994BF8" w14:textId="77777777" w:rsidR="00A62384" w:rsidRDefault="00A62384" w:rsidP="00A62384">
      <w:pPr>
        <w:pStyle w:val="ListBullet2"/>
      </w:pPr>
      <w:r>
        <w:t>Expiration date range</w:t>
      </w:r>
    </w:p>
    <w:p w14:paraId="4C0423D6" w14:textId="77777777" w:rsidR="00A62384" w:rsidRDefault="00A62384" w:rsidP="00A62384">
      <w:pPr>
        <w:pStyle w:val="TableText"/>
      </w:pPr>
    </w:p>
    <w:p w14:paraId="55DFB22A" w14:textId="77777777" w:rsidR="00A62384" w:rsidRDefault="00A62384" w:rsidP="00A62384">
      <w:pPr>
        <w:pStyle w:val="ListBullet"/>
        <w:numPr>
          <w:ilvl w:val="0"/>
          <w:numId w:val="0"/>
        </w:numPr>
        <w:ind w:left="576"/>
      </w:pPr>
      <w:r>
        <w:t xml:space="preserve">VBECS displays this unit information in the selection list whether full inventory, subset, or filtered subset: </w:t>
      </w:r>
    </w:p>
    <w:p w14:paraId="01C2E4E8" w14:textId="77777777" w:rsidR="00A62384" w:rsidRDefault="00A62384" w:rsidP="00A62384">
      <w:pPr>
        <w:pStyle w:val="ListBullet2"/>
      </w:pPr>
      <w:r>
        <w:t>Unit ID</w:t>
      </w:r>
    </w:p>
    <w:p w14:paraId="2CD43E1F" w14:textId="77777777" w:rsidR="00A62384" w:rsidRDefault="00A62384" w:rsidP="00A62384">
      <w:pPr>
        <w:pStyle w:val="ListBullet2"/>
      </w:pPr>
      <w:r>
        <w:t>Unit ABO/Rh</w:t>
      </w:r>
    </w:p>
    <w:p w14:paraId="655FFAB0" w14:textId="77777777" w:rsidR="00A62384" w:rsidRDefault="00A62384" w:rsidP="00A62384">
      <w:pPr>
        <w:pStyle w:val="ListBullet2"/>
      </w:pPr>
      <w:r>
        <w:t>Product short name</w:t>
      </w:r>
    </w:p>
    <w:p w14:paraId="2E211119" w14:textId="77777777" w:rsidR="00A62384" w:rsidRDefault="00A62384" w:rsidP="00A62384">
      <w:pPr>
        <w:pStyle w:val="ListBullet2"/>
      </w:pPr>
      <w:r>
        <w:t>Product code</w:t>
      </w:r>
    </w:p>
    <w:p w14:paraId="4599B9C8" w14:textId="77777777" w:rsidR="00A62384" w:rsidRDefault="00A62384" w:rsidP="00A62384">
      <w:pPr>
        <w:pStyle w:val="ListBullet2"/>
      </w:pPr>
      <w:r>
        <w:t>Unit status</w:t>
      </w:r>
    </w:p>
    <w:p w14:paraId="3579155C" w14:textId="77777777" w:rsidR="00A62384" w:rsidRDefault="00A62384" w:rsidP="00A62384">
      <w:pPr>
        <w:pStyle w:val="ListBullet2"/>
      </w:pPr>
      <w:r>
        <w:t>Unit expiration date</w:t>
      </w:r>
    </w:p>
    <w:p w14:paraId="01352CE3" w14:textId="77777777" w:rsidR="00A62384" w:rsidRDefault="00A62384" w:rsidP="00A62384">
      <w:pPr>
        <w:pStyle w:val="ListBullet2"/>
      </w:pPr>
      <w:r>
        <w:t>Donation type</w:t>
      </w:r>
    </w:p>
    <w:p w14:paraId="7007B85C" w14:textId="77777777" w:rsidR="00176C67" w:rsidRDefault="00176C67" w:rsidP="00A62384">
      <w:pPr>
        <w:pStyle w:val="ListBullet2"/>
      </w:pPr>
      <w:r>
        <w:t>Restricted f</w:t>
      </w:r>
      <w:r w:rsidR="00823261">
        <w:t>or patient name, when available</w:t>
      </w:r>
    </w:p>
    <w:p w14:paraId="73388E97" w14:textId="77777777" w:rsidR="00A62384" w:rsidRDefault="00A62384" w:rsidP="00A62384">
      <w:pPr>
        <w:pStyle w:val="ListBullet2"/>
      </w:pPr>
      <w:r>
        <w:t>Date and time received (standard format)</w:t>
      </w:r>
    </w:p>
    <w:p w14:paraId="5BC33542" w14:textId="77777777" w:rsidR="00A62384" w:rsidRDefault="00A62384" w:rsidP="00A62384">
      <w:pPr>
        <w:pStyle w:val="Heading3"/>
      </w:pPr>
      <w:bookmarkStart w:id="58" w:name="_Toc4588714"/>
      <w:r>
        <w:t>Testing</w:t>
      </w:r>
      <w:bookmarkEnd w:id="58"/>
      <w:r>
        <w:fldChar w:fldCharType="begin"/>
      </w:r>
      <w:r>
        <w:instrText xml:space="preserve"> XE </w:instrText>
      </w:r>
      <w:r w:rsidR="00FA7E65">
        <w:instrText>“</w:instrText>
      </w:r>
      <w:r>
        <w:instrText>Testing</w:instrText>
      </w:r>
      <w:r w:rsidR="00FA7E65">
        <w:instrText>”</w:instrText>
      </w:r>
      <w:r>
        <w:instrText xml:space="preserve"> </w:instrText>
      </w:r>
      <w:r>
        <w:fldChar w:fldCharType="end"/>
      </w:r>
    </w:p>
    <w:p w14:paraId="6ADF0F4C" w14:textId="77777777" w:rsidR="00FB5C42" w:rsidRDefault="00154095" w:rsidP="00A62384">
      <w:pPr>
        <w:pStyle w:val="ListBulle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sidR="00377EE1">
        <w:t xml:space="preserve">Administrator/Supervisors may configure reagent racks to use </w:t>
      </w:r>
      <w:r w:rsidR="002C1235">
        <w:t xml:space="preserve">a </w:t>
      </w:r>
      <w:r w:rsidR="00377EE1">
        <w:t>tube</w:t>
      </w:r>
      <w:r w:rsidR="003937C6">
        <w:t xml:space="preserve">, solid phase, </w:t>
      </w:r>
      <w:r w:rsidR="00377EE1">
        <w:t xml:space="preserve">or gel </w:t>
      </w:r>
      <w:r w:rsidR="002C1235">
        <w:t>method</w:t>
      </w:r>
      <w:r w:rsidR="00377EE1">
        <w:t xml:space="preserve">. </w:t>
      </w:r>
    </w:p>
    <w:p w14:paraId="0A5ACD26" w14:textId="77777777" w:rsidR="004B7774" w:rsidRDefault="000873D0" w:rsidP="004B7774">
      <w:pPr>
        <w:pStyle w:val="ListBullet2"/>
        <w:ind w:left="900" w:hanging="252"/>
      </w:pPr>
      <w:r>
        <w:t xml:space="preserve">VBECS allows a user to </w:t>
      </w:r>
      <w:r w:rsidR="001F33D5">
        <w:t>perform QC testing at AHG and later perform patient testing at all phases using a rack configured for AHG only</w:t>
      </w:r>
      <w:r>
        <w:t xml:space="preserve">. </w:t>
      </w:r>
    </w:p>
    <w:p w14:paraId="587CEC11" w14:textId="77777777" w:rsidR="004B7774" w:rsidRDefault="00FF4225" w:rsidP="004B7774">
      <w:pPr>
        <w:pStyle w:val="ListBullet2"/>
        <w:ind w:left="900" w:hanging="252"/>
      </w:pPr>
      <w:r>
        <w:t xml:space="preserve">VBECS does not verify that the phase of testing matches the reagents used for testing. </w:t>
      </w:r>
    </w:p>
    <w:p w14:paraId="4B792A08" w14:textId="77777777" w:rsidR="00FB5C42" w:rsidRDefault="000F57D8" w:rsidP="004B7774">
      <w:pPr>
        <w:pStyle w:val="ListBullet2"/>
        <w:ind w:left="900" w:hanging="252"/>
      </w:pPr>
      <w:r>
        <w:t xml:space="preserve">Users </w:t>
      </w:r>
      <w:r w:rsidR="00B3507E">
        <w:t>working with</w:t>
      </w:r>
      <w:r w:rsidR="00D47277">
        <w:t xml:space="preserve"> reagent racks </w:t>
      </w:r>
      <w:r w:rsidR="00B3507E">
        <w:t>containing</w:t>
      </w:r>
      <w:r w:rsidR="00D47277">
        <w:t xml:space="preserve"> different reagents must </w:t>
      </w:r>
      <w:r w:rsidR="001911CF">
        <w:t>do so in accordance with</w:t>
      </w:r>
      <w:r w:rsidR="00D47277">
        <w:t xml:space="preserve"> local policy and procedure</w:t>
      </w:r>
      <w:r w:rsidR="00440BE1">
        <w:t>s</w:t>
      </w:r>
      <w:r w:rsidR="00D47277">
        <w:t xml:space="preserve">. </w:t>
      </w:r>
    </w:p>
    <w:p w14:paraId="024E574B" w14:textId="77777777" w:rsidR="0048460C" w:rsidRDefault="00A62384" w:rsidP="00A62384">
      <w:pPr>
        <w:pStyle w:val="ListBullet"/>
      </w:pPr>
      <w:r>
        <w:t>Reaction result cells in the data grid contain only symbols. A legend of the symbols and their meanings, specific to the data grid and its truth tables, is located in the bottom left corner of the form and is available to the user throughout data entry.</w:t>
      </w:r>
      <w:r w:rsidR="0048460C" w:rsidRPr="0048460C">
        <w:t xml:space="preserve"> </w:t>
      </w:r>
    </w:p>
    <w:p w14:paraId="51CE13A8" w14:textId="50E09B37" w:rsidR="00D05436" w:rsidRDefault="0048460C" w:rsidP="00D05436">
      <w:pPr>
        <w:pStyle w:val="ListBullet"/>
      </w:pPr>
      <w:r>
        <w:lastRenderedPageBreak/>
        <w:t xml:space="preserve">Entry of a symbol (not a number or letter) </w:t>
      </w:r>
      <w:r w:rsidRPr="0048460C">
        <w:t xml:space="preserve">into a test grid reaction result cell or interpretation </w:t>
      </w:r>
      <w:r>
        <w:t>field</w:t>
      </w:r>
      <w:r w:rsidRPr="0048460C">
        <w:t xml:space="preserve"> </w:t>
      </w:r>
      <w:r>
        <w:t>will not elicit a sy</w:t>
      </w:r>
      <w:r w:rsidRPr="0048460C">
        <w:t>stem response. The entry of the symbol is not allowed and does not overwrite the previous entry, if any</w:t>
      </w:r>
      <w:r w:rsidR="002106D5">
        <w:t xml:space="preserve">. </w:t>
      </w:r>
      <w:r w:rsidR="002106D5" w:rsidRPr="00331163">
        <w:t xml:space="preserve">See </w:t>
      </w:r>
      <w:r w:rsidR="00D05436">
        <w:fldChar w:fldCharType="begin" w:fldLock="1"/>
      </w:r>
      <w:r w:rsidR="00D05436">
        <w:instrText xml:space="preserve"> REF _Ref524524574 \h </w:instrText>
      </w:r>
      <w:r w:rsidR="00D05436">
        <w:fldChar w:fldCharType="separate"/>
      </w:r>
      <w:r w:rsidR="00AB304C">
        <w:t xml:space="preserve">Table </w:t>
      </w:r>
      <w:r w:rsidR="00AB304C">
        <w:rPr>
          <w:noProof/>
        </w:rPr>
        <w:t>2</w:t>
      </w:r>
      <w:r w:rsidR="00D05436">
        <w:fldChar w:fldCharType="end"/>
      </w:r>
      <w:r w:rsidR="00D05436">
        <w:t xml:space="preserve"> for valid observed test result entries.</w:t>
      </w:r>
    </w:p>
    <w:p w14:paraId="0C4F8B61" w14:textId="6DC5A168" w:rsidR="00E755C0" w:rsidRDefault="00E755C0" w:rsidP="00D05436">
      <w:pPr>
        <w:pStyle w:val="ListBullet"/>
      </w:pPr>
      <w:r>
        <w:t xml:space="preserve">After entering a canned or free-text comment in the testing comment field of the testing grid, the user must press </w:t>
      </w:r>
      <w:r w:rsidRPr="00E755C0">
        <w:rPr>
          <w:b/>
        </w:rPr>
        <w:t>Enter</w:t>
      </w:r>
      <w:r>
        <w:t xml:space="preserve"> to store the comment.</w:t>
      </w:r>
    </w:p>
    <w:p w14:paraId="62A2CB72" w14:textId="77777777" w:rsidR="00B071D4" w:rsidRDefault="00A62384" w:rsidP="00B071D4">
      <w:pPr>
        <w:pStyle w:val="ListBullet"/>
      </w:pPr>
      <w:r>
        <w:t>The user may enter canned comments in comment cells by selecting from a pick list, or enter free-text</w:t>
      </w:r>
      <w:r w:rsidR="005A3214">
        <w:t xml:space="preserve"> </w:t>
      </w:r>
      <w:r w:rsidR="00B071D4">
        <w:t>comments by selecting “Other.”</w:t>
      </w:r>
    </w:p>
    <w:p w14:paraId="0BE48AE7" w14:textId="77777777" w:rsidR="00207521" w:rsidRDefault="00207521">
      <w:pPr>
        <w:rPr>
          <w:b/>
          <w:sz w:val="22"/>
          <w:szCs w:val="22"/>
        </w:rPr>
      </w:pPr>
      <w:bookmarkStart w:id="59" w:name="_Ref256686283"/>
      <w:r>
        <w:br w:type="page"/>
      </w:r>
    </w:p>
    <w:p w14:paraId="1A63D1FF" w14:textId="436F3A6E" w:rsidR="00A62384" w:rsidRDefault="00B071D4" w:rsidP="00D05436">
      <w:pPr>
        <w:pStyle w:val="Caption"/>
        <w:ind w:firstLine="648"/>
      </w:pPr>
      <w:bookmarkStart w:id="60" w:name="_Ref524524574"/>
      <w:bookmarkStart w:id="61" w:name="_Ref524524567"/>
      <w:r>
        <w:lastRenderedPageBreak/>
        <w:t xml:space="preserve">Table </w:t>
      </w:r>
      <w:r w:rsidR="004E20BD">
        <w:rPr>
          <w:noProof/>
        </w:rPr>
        <w:fldChar w:fldCharType="begin"/>
      </w:r>
      <w:r w:rsidR="004E20BD">
        <w:rPr>
          <w:noProof/>
        </w:rPr>
        <w:instrText xml:space="preserve"> SEQ Table \* ARABIC </w:instrText>
      </w:r>
      <w:r w:rsidR="004E20BD">
        <w:rPr>
          <w:noProof/>
        </w:rPr>
        <w:fldChar w:fldCharType="separate"/>
      </w:r>
      <w:r w:rsidR="00647F4E">
        <w:rPr>
          <w:noProof/>
        </w:rPr>
        <w:t>2</w:t>
      </w:r>
      <w:r w:rsidR="004E20BD">
        <w:rPr>
          <w:noProof/>
        </w:rPr>
        <w:fldChar w:fldCharType="end"/>
      </w:r>
      <w:bookmarkEnd w:id="59"/>
      <w:bookmarkEnd w:id="60"/>
      <w:r>
        <w:t>: Valid Observed Test Result Entries</w:t>
      </w:r>
      <w:bookmarkEnd w:id="61"/>
      <w:r>
        <w:fldChar w:fldCharType="begin"/>
      </w:r>
      <w:r>
        <w:instrText xml:space="preserve"> XE “Tables:Valid Observed Test Results Entries” </w:instrText>
      </w:r>
      <w:r>
        <w:fldChar w:fldCharType="end"/>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520"/>
        <w:gridCol w:w="1260"/>
      </w:tblGrid>
      <w:tr w:rsidR="00F77F81" w14:paraId="0B06DB98" w14:textId="77777777">
        <w:trPr>
          <w:tblHeader/>
        </w:trPr>
        <w:tc>
          <w:tcPr>
            <w:tcW w:w="720" w:type="dxa"/>
            <w:shd w:val="clear" w:color="auto" w:fill="B3B3B3"/>
            <w:vAlign w:val="bottom"/>
          </w:tcPr>
          <w:p w14:paraId="027BE79A" w14:textId="77777777" w:rsidR="00F77F81" w:rsidRDefault="00F77F81" w:rsidP="008E68C8">
            <w:pPr>
              <w:pStyle w:val="TableText"/>
              <w:jc w:val="center"/>
              <w:rPr>
                <w:b/>
              </w:rPr>
            </w:pPr>
            <w:r>
              <w:rPr>
                <w:b/>
              </w:rPr>
              <w:t>Entry</w:t>
            </w:r>
          </w:p>
        </w:tc>
        <w:tc>
          <w:tcPr>
            <w:tcW w:w="3780" w:type="dxa"/>
            <w:gridSpan w:val="2"/>
            <w:shd w:val="clear" w:color="auto" w:fill="B3B3B3"/>
            <w:vAlign w:val="bottom"/>
          </w:tcPr>
          <w:p w14:paraId="6670A8C1" w14:textId="77777777" w:rsidR="00F77F81" w:rsidRDefault="00F77F81" w:rsidP="008E68C8">
            <w:pPr>
              <w:pStyle w:val="TableText"/>
              <w:jc w:val="center"/>
              <w:rPr>
                <w:b/>
              </w:rPr>
            </w:pPr>
            <w:r>
              <w:rPr>
                <w:b/>
              </w:rPr>
              <w:t>VBECS Translation</w:t>
            </w:r>
          </w:p>
        </w:tc>
      </w:tr>
      <w:tr w:rsidR="00F77F81" w14:paraId="211CEA4F" w14:textId="77777777">
        <w:tc>
          <w:tcPr>
            <w:tcW w:w="720" w:type="dxa"/>
            <w:vAlign w:val="bottom"/>
          </w:tcPr>
          <w:p w14:paraId="21231AC8" w14:textId="77777777" w:rsidR="00F77F81" w:rsidRDefault="00F77F81" w:rsidP="008E68C8">
            <w:pPr>
              <w:pStyle w:val="TableText"/>
              <w:jc w:val="center"/>
            </w:pPr>
            <w:r>
              <w:t>H</w:t>
            </w:r>
          </w:p>
        </w:tc>
        <w:tc>
          <w:tcPr>
            <w:tcW w:w="2520" w:type="dxa"/>
            <w:vAlign w:val="bottom"/>
          </w:tcPr>
          <w:p w14:paraId="5AC725D9" w14:textId="77777777" w:rsidR="00F77F81" w:rsidRDefault="00F77F81" w:rsidP="008E68C8">
            <w:pPr>
              <w:pStyle w:val="TableText"/>
            </w:pPr>
            <w:r>
              <w:t>Hemolysis</w:t>
            </w:r>
          </w:p>
        </w:tc>
        <w:tc>
          <w:tcPr>
            <w:tcW w:w="1260" w:type="dxa"/>
            <w:vAlign w:val="bottom"/>
          </w:tcPr>
          <w:p w14:paraId="2503E2B4" w14:textId="77777777" w:rsidR="00F77F81" w:rsidRDefault="00F77F81" w:rsidP="008E68C8">
            <w:pPr>
              <w:pStyle w:val="TableText"/>
            </w:pPr>
            <w:r>
              <w:t>Positive</w:t>
            </w:r>
          </w:p>
        </w:tc>
      </w:tr>
      <w:tr w:rsidR="00F77F81" w14:paraId="16C9A938" w14:textId="77777777">
        <w:tc>
          <w:tcPr>
            <w:tcW w:w="720" w:type="dxa"/>
            <w:vAlign w:val="bottom"/>
          </w:tcPr>
          <w:p w14:paraId="6D55A726" w14:textId="77777777" w:rsidR="00F77F81" w:rsidRDefault="00F77F81" w:rsidP="008E68C8">
            <w:pPr>
              <w:pStyle w:val="TableText"/>
              <w:jc w:val="center"/>
            </w:pPr>
            <w:r>
              <w:t>W</w:t>
            </w:r>
          </w:p>
        </w:tc>
        <w:tc>
          <w:tcPr>
            <w:tcW w:w="2520" w:type="dxa"/>
            <w:vAlign w:val="bottom"/>
          </w:tcPr>
          <w:p w14:paraId="09FA3D77" w14:textId="77777777" w:rsidR="00F77F81" w:rsidRDefault="00F77F81" w:rsidP="008E68C8">
            <w:pPr>
              <w:pStyle w:val="TableText"/>
            </w:pPr>
            <w:r>
              <w:t>Weak</w:t>
            </w:r>
          </w:p>
        </w:tc>
        <w:tc>
          <w:tcPr>
            <w:tcW w:w="1260" w:type="dxa"/>
            <w:vAlign w:val="bottom"/>
          </w:tcPr>
          <w:p w14:paraId="6014BDFE" w14:textId="77777777" w:rsidR="00F77F81" w:rsidRDefault="00F77F81" w:rsidP="008E68C8">
            <w:pPr>
              <w:pStyle w:val="TableText"/>
            </w:pPr>
            <w:r>
              <w:t>Positive</w:t>
            </w:r>
          </w:p>
        </w:tc>
      </w:tr>
      <w:tr w:rsidR="00F77F81" w14:paraId="228E424E" w14:textId="77777777">
        <w:tc>
          <w:tcPr>
            <w:tcW w:w="720" w:type="dxa"/>
            <w:vAlign w:val="bottom"/>
          </w:tcPr>
          <w:p w14:paraId="516D8B0E" w14:textId="77777777" w:rsidR="00F77F81" w:rsidRDefault="00F77F81" w:rsidP="008E68C8">
            <w:pPr>
              <w:pStyle w:val="TableText"/>
              <w:jc w:val="center"/>
            </w:pPr>
            <w:r>
              <w:t>F</w:t>
            </w:r>
          </w:p>
        </w:tc>
        <w:tc>
          <w:tcPr>
            <w:tcW w:w="2520" w:type="dxa"/>
            <w:vAlign w:val="bottom"/>
          </w:tcPr>
          <w:p w14:paraId="727C7D63" w14:textId="77777777" w:rsidR="00F77F81" w:rsidRDefault="00F77F81" w:rsidP="008E68C8">
            <w:pPr>
              <w:pStyle w:val="TableText"/>
            </w:pPr>
            <w:r>
              <w:t>Mixed Field</w:t>
            </w:r>
          </w:p>
        </w:tc>
        <w:tc>
          <w:tcPr>
            <w:tcW w:w="1260" w:type="dxa"/>
            <w:vAlign w:val="bottom"/>
          </w:tcPr>
          <w:p w14:paraId="2CE32EFC" w14:textId="77777777" w:rsidR="00F77F81" w:rsidRDefault="00F77F81" w:rsidP="008E68C8">
            <w:pPr>
              <w:pStyle w:val="TableText"/>
            </w:pPr>
            <w:r>
              <w:t>Positive</w:t>
            </w:r>
          </w:p>
        </w:tc>
      </w:tr>
      <w:tr w:rsidR="00F77F81" w14:paraId="18B36765" w14:textId="77777777">
        <w:tc>
          <w:tcPr>
            <w:tcW w:w="720" w:type="dxa"/>
            <w:vAlign w:val="bottom"/>
          </w:tcPr>
          <w:p w14:paraId="46926C1F" w14:textId="77777777" w:rsidR="00F77F81" w:rsidRDefault="00F77F81" w:rsidP="008E68C8">
            <w:pPr>
              <w:pStyle w:val="TableText"/>
              <w:jc w:val="center"/>
            </w:pPr>
            <w:r>
              <w:t>M</w:t>
            </w:r>
          </w:p>
        </w:tc>
        <w:tc>
          <w:tcPr>
            <w:tcW w:w="2520" w:type="dxa"/>
            <w:vAlign w:val="bottom"/>
          </w:tcPr>
          <w:p w14:paraId="7A4ACD88" w14:textId="77777777" w:rsidR="00F77F81" w:rsidRDefault="00F77F81" w:rsidP="008E68C8">
            <w:pPr>
              <w:pStyle w:val="TableText"/>
            </w:pPr>
            <w:r>
              <w:t>Microscopic</w:t>
            </w:r>
          </w:p>
        </w:tc>
        <w:tc>
          <w:tcPr>
            <w:tcW w:w="1260" w:type="dxa"/>
            <w:vAlign w:val="bottom"/>
          </w:tcPr>
          <w:p w14:paraId="22BBC64E" w14:textId="77777777" w:rsidR="00F77F81" w:rsidRDefault="00F77F81" w:rsidP="008E68C8">
            <w:pPr>
              <w:pStyle w:val="TableText"/>
            </w:pPr>
            <w:r>
              <w:t>Positive</w:t>
            </w:r>
          </w:p>
        </w:tc>
      </w:tr>
      <w:tr w:rsidR="00F77F81" w14:paraId="079713C9" w14:textId="77777777">
        <w:tc>
          <w:tcPr>
            <w:tcW w:w="720" w:type="dxa"/>
            <w:vAlign w:val="bottom"/>
          </w:tcPr>
          <w:p w14:paraId="359244FD" w14:textId="77777777" w:rsidR="00F77F81" w:rsidRDefault="00F77F81" w:rsidP="008E68C8">
            <w:pPr>
              <w:pStyle w:val="TableText"/>
              <w:jc w:val="center"/>
            </w:pPr>
            <w:r>
              <w:t>1</w:t>
            </w:r>
          </w:p>
        </w:tc>
        <w:tc>
          <w:tcPr>
            <w:tcW w:w="2520" w:type="dxa"/>
            <w:vAlign w:val="bottom"/>
          </w:tcPr>
          <w:p w14:paraId="476D79B2" w14:textId="77777777" w:rsidR="00F77F81" w:rsidRDefault="00F77F81" w:rsidP="008E68C8">
            <w:pPr>
              <w:pStyle w:val="TableText"/>
            </w:pPr>
            <w:r>
              <w:t>1+</w:t>
            </w:r>
          </w:p>
        </w:tc>
        <w:tc>
          <w:tcPr>
            <w:tcW w:w="1260" w:type="dxa"/>
            <w:vAlign w:val="bottom"/>
          </w:tcPr>
          <w:p w14:paraId="4DE28F0F" w14:textId="77777777" w:rsidR="00F77F81" w:rsidRDefault="00F77F81" w:rsidP="008E68C8">
            <w:pPr>
              <w:pStyle w:val="TableText"/>
            </w:pPr>
            <w:r>
              <w:t>Positive</w:t>
            </w:r>
          </w:p>
        </w:tc>
      </w:tr>
      <w:tr w:rsidR="00F77F81" w14:paraId="4DAB3E03" w14:textId="77777777">
        <w:tc>
          <w:tcPr>
            <w:tcW w:w="720" w:type="dxa"/>
            <w:vAlign w:val="bottom"/>
          </w:tcPr>
          <w:p w14:paraId="49DEB79F" w14:textId="77777777" w:rsidR="00F77F81" w:rsidRDefault="00F77F81" w:rsidP="008E68C8">
            <w:pPr>
              <w:pStyle w:val="TableText"/>
              <w:jc w:val="center"/>
            </w:pPr>
            <w:r>
              <w:t>2</w:t>
            </w:r>
          </w:p>
        </w:tc>
        <w:tc>
          <w:tcPr>
            <w:tcW w:w="2520" w:type="dxa"/>
            <w:vAlign w:val="bottom"/>
          </w:tcPr>
          <w:p w14:paraId="0037320C" w14:textId="77777777" w:rsidR="00F77F81" w:rsidRDefault="00F77F81" w:rsidP="008E68C8">
            <w:pPr>
              <w:pStyle w:val="TableText"/>
            </w:pPr>
            <w:r>
              <w:t>2+</w:t>
            </w:r>
          </w:p>
        </w:tc>
        <w:tc>
          <w:tcPr>
            <w:tcW w:w="1260" w:type="dxa"/>
            <w:vAlign w:val="bottom"/>
          </w:tcPr>
          <w:p w14:paraId="60879D52" w14:textId="77777777" w:rsidR="00F77F81" w:rsidRDefault="00F77F81" w:rsidP="008E68C8">
            <w:pPr>
              <w:pStyle w:val="TableText"/>
            </w:pPr>
            <w:r>
              <w:t>Positive</w:t>
            </w:r>
          </w:p>
        </w:tc>
      </w:tr>
      <w:tr w:rsidR="00F77F81" w14:paraId="5FA7D9AD" w14:textId="77777777">
        <w:tc>
          <w:tcPr>
            <w:tcW w:w="720" w:type="dxa"/>
            <w:vAlign w:val="bottom"/>
          </w:tcPr>
          <w:p w14:paraId="3D76DE8B" w14:textId="77777777" w:rsidR="00F77F81" w:rsidRDefault="00F77F81" w:rsidP="008E68C8">
            <w:pPr>
              <w:pStyle w:val="TableText"/>
              <w:jc w:val="center"/>
            </w:pPr>
            <w:r>
              <w:t>3</w:t>
            </w:r>
          </w:p>
        </w:tc>
        <w:tc>
          <w:tcPr>
            <w:tcW w:w="2520" w:type="dxa"/>
            <w:vAlign w:val="bottom"/>
          </w:tcPr>
          <w:p w14:paraId="14445217" w14:textId="77777777" w:rsidR="00F77F81" w:rsidRDefault="00F77F81" w:rsidP="008E68C8">
            <w:pPr>
              <w:pStyle w:val="TableText"/>
            </w:pPr>
            <w:r>
              <w:t>3+</w:t>
            </w:r>
          </w:p>
        </w:tc>
        <w:tc>
          <w:tcPr>
            <w:tcW w:w="1260" w:type="dxa"/>
            <w:vAlign w:val="bottom"/>
          </w:tcPr>
          <w:p w14:paraId="1C0DFCCC" w14:textId="77777777" w:rsidR="00F77F81" w:rsidRDefault="00F77F81" w:rsidP="008E68C8">
            <w:pPr>
              <w:pStyle w:val="TableText"/>
            </w:pPr>
            <w:r>
              <w:t>Positive</w:t>
            </w:r>
          </w:p>
        </w:tc>
      </w:tr>
      <w:tr w:rsidR="00F77F81" w14:paraId="1744A003" w14:textId="77777777">
        <w:tc>
          <w:tcPr>
            <w:tcW w:w="720" w:type="dxa"/>
            <w:vAlign w:val="bottom"/>
          </w:tcPr>
          <w:p w14:paraId="4556AB32" w14:textId="77777777" w:rsidR="00F77F81" w:rsidRDefault="00F77F81" w:rsidP="008E68C8">
            <w:pPr>
              <w:pStyle w:val="TableText"/>
              <w:jc w:val="center"/>
            </w:pPr>
            <w:r>
              <w:t>4</w:t>
            </w:r>
          </w:p>
        </w:tc>
        <w:tc>
          <w:tcPr>
            <w:tcW w:w="2520" w:type="dxa"/>
            <w:vAlign w:val="bottom"/>
          </w:tcPr>
          <w:p w14:paraId="28F285D7" w14:textId="77777777" w:rsidR="00F77F81" w:rsidRDefault="00F77F81" w:rsidP="008E68C8">
            <w:pPr>
              <w:pStyle w:val="TableText"/>
            </w:pPr>
            <w:r>
              <w:t>4+</w:t>
            </w:r>
          </w:p>
        </w:tc>
        <w:tc>
          <w:tcPr>
            <w:tcW w:w="1260" w:type="dxa"/>
            <w:vAlign w:val="bottom"/>
          </w:tcPr>
          <w:p w14:paraId="7B05596D" w14:textId="77777777" w:rsidR="00F77F81" w:rsidRDefault="00F77F81" w:rsidP="008E68C8">
            <w:pPr>
              <w:pStyle w:val="TableText"/>
            </w:pPr>
            <w:r>
              <w:t>Positive</w:t>
            </w:r>
          </w:p>
        </w:tc>
      </w:tr>
      <w:tr w:rsidR="00F77F81" w14:paraId="010F6622" w14:textId="77777777">
        <w:tc>
          <w:tcPr>
            <w:tcW w:w="720" w:type="dxa"/>
            <w:vAlign w:val="bottom"/>
          </w:tcPr>
          <w:p w14:paraId="3EBB5ED8" w14:textId="77777777" w:rsidR="00F77F81" w:rsidRDefault="00F77F81" w:rsidP="008E68C8">
            <w:pPr>
              <w:pStyle w:val="TableText"/>
              <w:jc w:val="center"/>
            </w:pPr>
            <w:r>
              <w:t>X</w:t>
            </w:r>
          </w:p>
        </w:tc>
        <w:tc>
          <w:tcPr>
            <w:tcW w:w="2520" w:type="dxa"/>
            <w:vAlign w:val="bottom"/>
          </w:tcPr>
          <w:p w14:paraId="35325072" w14:textId="77777777" w:rsidR="00F77F81" w:rsidRDefault="00F77F81" w:rsidP="008E68C8">
            <w:pPr>
              <w:pStyle w:val="TableText"/>
            </w:pPr>
            <w:r>
              <w:t>Not Tested</w:t>
            </w:r>
          </w:p>
        </w:tc>
        <w:tc>
          <w:tcPr>
            <w:tcW w:w="1260" w:type="dxa"/>
            <w:vAlign w:val="bottom"/>
          </w:tcPr>
          <w:p w14:paraId="6645064B" w14:textId="77777777" w:rsidR="00F77F81" w:rsidRDefault="00F77F81" w:rsidP="008E68C8">
            <w:pPr>
              <w:pStyle w:val="TableText"/>
            </w:pPr>
            <w:r>
              <w:t>Not Tested</w:t>
            </w:r>
          </w:p>
        </w:tc>
      </w:tr>
      <w:tr w:rsidR="00F77F81" w14:paraId="4D225D99" w14:textId="77777777">
        <w:tc>
          <w:tcPr>
            <w:tcW w:w="720" w:type="dxa"/>
            <w:vAlign w:val="bottom"/>
          </w:tcPr>
          <w:p w14:paraId="46CDD5A2" w14:textId="77777777" w:rsidR="00F77F81" w:rsidRDefault="00F77F81" w:rsidP="008E68C8">
            <w:pPr>
              <w:pStyle w:val="TableText"/>
              <w:jc w:val="center"/>
            </w:pPr>
            <w:r>
              <w:t>0</w:t>
            </w:r>
          </w:p>
        </w:tc>
        <w:tc>
          <w:tcPr>
            <w:tcW w:w="2520" w:type="dxa"/>
            <w:vAlign w:val="bottom"/>
          </w:tcPr>
          <w:p w14:paraId="618972EE" w14:textId="77777777" w:rsidR="00F77F81" w:rsidRDefault="00F77F81" w:rsidP="008E68C8">
            <w:pPr>
              <w:pStyle w:val="TableText"/>
            </w:pPr>
            <w:r>
              <w:t>No Agglutination</w:t>
            </w:r>
          </w:p>
        </w:tc>
        <w:tc>
          <w:tcPr>
            <w:tcW w:w="1260" w:type="dxa"/>
            <w:vAlign w:val="bottom"/>
          </w:tcPr>
          <w:p w14:paraId="710AF9E9" w14:textId="77777777" w:rsidR="00F77F81" w:rsidRDefault="00F77F81" w:rsidP="008E68C8">
            <w:pPr>
              <w:pStyle w:val="TableText"/>
            </w:pPr>
            <w:r>
              <w:t>Negative</w:t>
            </w:r>
          </w:p>
        </w:tc>
      </w:tr>
      <w:tr w:rsidR="00F77F81" w14:paraId="6A07F0FD" w14:textId="77777777">
        <w:tc>
          <w:tcPr>
            <w:tcW w:w="720" w:type="dxa"/>
            <w:vAlign w:val="bottom"/>
          </w:tcPr>
          <w:p w14:paraId="3A6D9D76" w14:textId="77777777" w:rsidR="00F77F81" w:rsidRDefault="00F77F81" w:rsidP="008E68C8">
            <w:pPr>
              <w:pStyle w:val="TableText"/>
              <w:jc w:val="center"/>
            </w:pPr>
            <w:r>
              <w:t>R</w:t>
            </w:r>
          </w:p>
        </w:tc>
        <w:tc>
          <w:tcPr>
            <w:tcW w:w="2520" w:type="dxa"/>
            <w:vAlign w:val="bottom"/>
          </w:tcPr>
          <w:p w14:paraId="1A3E7A68" w14:textId="77777777" w:rsidR="00F77F81" w:rsidRDefault="00F77F81" w:rsidP="008E68C8">
            <w:pPr>
              <w:pStyle w:val="TableText"/>
            </w:pPr>
            <w:r>
              <w:t>Rouleaux, No Agglutination</w:t>
            </w:r>
          </w:p>
        </w:tc>
        <w:tc>
          <w:tcPr>
            <w:tcW w:w="1260" w:type="dxa"/>
            <w:vAlign w:val="bottom"/>
          </w:tcPr>
          <w:p w14:paraId="69EAA6A5" w14:textId="77777777" w:rsidR="00F77F81" w:rsidRDefault="00F77F81" w:rsidP="008E68C8">
            <w:pPr>
              <w:pStyle w:val="TableText"/>
            </w:pPr>
            <w:r>
              <w:t>Negative</w:t>
            </w:r>
          </w:p>
        </w:tc>
      </w:tr>
    </w:tbl>
    <w:p w14:paraId="4DB50D13" w14:textId="77777777" w:rsidR="00F77F81" w:rsidRDefault="00F77F81" w:rsidP="00F77F81">
      <w:pPr>
        <w:pStyle w:val="ListBullet"/>
      </w:pPr>
      <w:r>
        <w:t>When recording test results:</w:t>
      </w:r>
    </w:p>
    <w:p w14:paraId="35C372B6" w14:textId="77777777" w:rsidR="00CF5E49" w:rsidRDefault="00F77F81" w:rsidP="000349A0">
      <w:pPr>
        <w:pStyle w:val="ListBullet2"/>
      </w:pPr>
      <w:r>
        <w:t>In the Test Details window, click a check box to select a rack.</w:t>
      </w:r>
    </w:p>
    <w:p w14:paraId="26147DAB" w14:textId="77777777" w:rsidR="00CF5E49" w:rsidRDefault="00F77F81" w:rsidP="0021580D">
      <w:pPr>
        <w:pStyle w:val="ListBullet2"/>
        <w:ind w:left="1440" w:hanging="792"/>
      </w:pPr>
      <w:r>
        <w:t>In the Date Tested field, select the default date and time (current date and time) for testing performed, which the user may edit to a past date and time.</w:t>
      </w:r>
    </w:p>
    <w:p w14:paraId="7B25E2E2" w14:textId="77777777" w:rsidR="00CF5E49" w:rsidRDefault="00F77F81" w:rsidP="0021580D">
      <w:pPr>
        <w:pStyle w:val="ListBullet2"/>
        <w:ind w:left="1440" w:hanging="792"/>
      </w:pPr>
      <w:r>
        <w:t>In the Tested By field, select the default identification (current user) for the testing technologist or another user from the drop-down menu.</w:t>
      </w:r>
    </w:p>
    <w:p w14:paraId="777DE92A" w14:textId="77777777" w:rsidR="00CF5E49" w:rsidRPr="00D0406D" w:rsidRDefault="00F77F81" w:rsidP="0021580D">
      <w:pPr>
        <w:pStyle w:val="ListBullet2"/>
        <w:ind w:left="1440" w:hanging="792"/>
      </w:pPr>
      <w:r w:rsidRPr="00D0406D">
        <w:t>Click the appropriate radio button to determine the grid configuration for antibody screen and crossma</w:t>
      </w:r>
      <w:r w:rsidR="006F2884" w:rsidRPr="00D0406D">
        <w:t xml:space="preserve">tch grids [All phases </w:t>
      </w:r>
      <w:r w:rsidRPr="00D0406D">
        <w:t xml:space="preserve">or </w:t>
      </w:r>
      <w:r w:rsidR="00594F8A" w:rsidRPr="00D0406D">
        <w:t>Anti-Human Globulin (</w:t>
      </w:r>
      <w:r w:rsidRPr="00D0406D">
        <w:t>AHG</w:t>
      </w:r>
      <w:r w:rsidR="00594F8A" w:rsidRPr="00D0406D">
        <w:t>)</w:t>
      </w:r>
      <w:r w:rsidRPr="00D0406D">
        <w:t xml:space="preserve"> only</w:t>
      </w:r>
      <w:r w:rsidR="006F2884" w:rsidRPr="00D0406D">
        <w:t xml:space="preserve"> (pre-checked default varies with local configuration)</w:t>
      </w:r>
      <w:r w:rsidRPr="00D0406D">
        <w:t>].</w:t>
      </w:r>
      <w:r w:rsidR="00F15743" w:rsidRPr="00D0406D">
        <w:t xml:space="preserve"> </w:t>
      </w:r>
      <w:r w:rsidR="00F15743" w:rsidRPr="00D0406D">
        <w:rPr>
          <w:vanish/>
        </w:rPr>
        <w:t>DR 4345</w:t>
      </w:r>
    </w:p>
    <w:p w14:paraId="3466F435" w14:textId="77777777" w:rsidR="00F77F81" w:rsidRDefault="00F77F81" w:rsidP="0021580D">
      <w:pPr>
        <w:pStyle w:val="ListBullet2"/>
        <w:ind w:left="1440" w:hanging="792"/>
      </w:pPr>
      <w:r>
        <w:t xml:space="preserve">When an automated instrument is used, click the </w:t>
      </w:r>
      <w:r>
        <w:rPr>
          <w:b/>
          <w:bCs/>
        </w:rPr>
        <w:t>Using Automated Instrument</w:t>
      </w:r>
      <w:r>
        <w:t xml:space="preserve"> check box, enter the instrument name in the Instrument Name field, and click the</w:t>
      </w:r>
      <w:r w:rsidR="00F77C01">
        <w:rPr>
          <w:b/>
        </w:rPr>
        <w:t xml:space="preserve"> Instrument QC’d</w:t>
      </w:r>
      <w:r>
        <w:rPr>
          <w:b/>
        </w:rPr>
        <w:t>?</w:t>
      </w:r>
      <w:r>
        <w:t xml:space="preserve"> check box, as appropriate.</w:t>
      </w:r>
    </w:p>
    <w:p w14:paraId="6CB36A25" w14:textId="77777777" w:rsidR="00F77F81" w:rsidRDefault="00F77F81" w:rsidP="00577E43">
      <w:pPr>
        <w:pStyle w:val="ListBullet"/>
      </w:pPr>
      <w:r w:rsidRPr="009174D5">
        <w:rPr>
          <w:vanish/>
          <w:spacing w:val="0"/>
        </w:rPr>
        <w:t>BR_2.07</w:t>
      </w:r>
      <w:r w:rsidRPr="00D8503C">
        <w:rPr>
          <w:vanish/>
          <w:color w:val="0000FF"/>
          <w:spacing w:val="0"/>
        </w:rPr>
        <w:t xml:space="preserve"> </w:t>
      </w:r>
      <w:r w:rsidR="00577E43">
        <w:t>VBECS requires units in ICCBBA component classes Red Blood Cells, Whole Blood, Granulocytes and Leukocytes to have ABO confirmation testing (forward typing), and Rh confirmation testing for units labeled as Rh negative</w:t>
      </w:r>
      <w:r>
        <w:t xml:space="preserve">. </w:t>
      </w:r>
    </w:p>
    <w:p w14:paraId="39FC05ED" w14:textId="77777777" w:rsidR="00F77F81" w:rsidRDefault="00F77F81" w:rsidP="00F77F81">
      <w:pPr>
        <w:pStyle w:val="ListBullet"/>
      </w:pPr>
      <w:r>
        <w:rPr>
          <w:vanish/>
          <w:spacing w:val="0"/>
        </w:rPr>
        <w:t xml:space="preserve">BR_2.22 </w:t>
      </w:r>
      <w:r>
        <w:t>The user may not edit VBECS-populated grid worksheet fields that contain unit or patient data.</w:t>
      </w:r>
    </w:p>
    <w:p w14:paraId="147C31F0" w14:textId="77777777" w:rsidR="00F77F81" w:rsidRDefault="00F77F81" w:rsidP="00F77F81">
      <w:pPr>
        <w:pStyle w:val="ListBullet"/>
      </w:pPr>
      <w:r>
        <w:rPr>
          <w:vanish/>
        </w:rPr>
        <w:t xml:space="preserve">BR_2.23 </w:t>
      </w:r>
      <w:r>
        <w:t>The user may sort worksheet entries only before beginning data entry, preferably during unit selection. When the user wishes to sort a worksheet after entering the first reaction result, he must exit without saving the work and begin again.</w:t>
      </w:r>
    </w:p>
    <w:p w14:paraId="7B9479AF" w14:textId="77777777" w:rsidR="00F77F81" w:rsidRDefault="00C549FA" w:rsidP="00F77F81">
      <w:pPr>
        <w:pStyle w:val="ListBullet"/>
      </w:pPr>
      <w:r w:rsidRPr="00896F17">
        <w:rPr>
          <w:rStyle w:val="BullhornChar"/>
        </w:rPr>
        <w:t></w:t>
      </w:r>
      <w:r>
        <w:rPr>
          <w:rFonts w:ascii="Webdings" w:hAnsi="Webdings"/>
        </w:rPr>
        <w:t></w:t>
      </w:r>
      <w:r w:rsidRPr="00263B24">
        <w:t>Wh</w:t>
      </w:r>
      <w:r>
        <w:t>en</w:t>
      </w:r>
      <w:r w:rsidR="00A62384">
        <w:t xml:space="preserve"> a user enters an invalid symbol in a cell, VBECS emits an audible alert and prevents the cursor from moving to th</w:t>
      </w:r>
      <w:r w:rsidR="00F77F81">
        <w:t>e next cell.</w:t>
      </w:r>
    </w:p>
    <w:p w14:paraId="0A0D22F1" w14:textId="77777777" w:rsidR="00F77F81" w:rsidRDefault="00F77F81" w:rsidP="00F77F81">
      <w:pPr>
        <w:pStyle w:val="ListBullet"/>
      </w:pPr>
      <w:r>
        <w:rPr>
          <w:vanish/>
          <w:spacing w:val="0"/>
        </w:rPr>
        <w:t xml:space="preserve">BR_2.29 </w:t>
      </w:r>
      <w:r>
        <w:t>VBECS moves the cursor to the comment cell automatically, when applicable; the user may also use the mouse to move to another cell.</w:t>
      </w:r>
    </w:p>
    <w:p w14:paraId="35022E79" w14:textId="3BC9173B" w:rsidR="00F77F81" w:rsidRDefault="00F77F81" w:rsidP="00F77F81">
      <w:pPr>
        <w:pStyle w:val="ListBullet"/>
      </w:pPr>
      <w:r>
        <w:rPr>
          <w:vanish/>
          <w:spacing w:val="0"/>
        </w:rPr>
        <w:t xml:space="preserve">BR_2.36, BR_2.37, BR_2.38 </w:t>
      </w:r>
      <w:r>
        <w:t>VBECS displays</w:t>
      </w:r>
      <w:r>
        <w:rPr>
          <w:highlight w:val="red"/>
        </w:rPr>
        <w:fldChar w:fldCharType="begin">
          <w:ffData>
            <w:name w:val="Text1"/>
            <w:enabled/>
            <w:calcOnExit w:val="0"/>
            <w:textInput>
              <w:default w:val=" E "/>
              <w:maxLength w:val="3"/>
            </w:textInput>
          </w:ffData>
        </w:fldChar>
      </w:r>
      <w:r>
        <w:rPr>
          <w:highlight w:val="red"/>
        </w:rPr>
        <w:instrText xml:space="preserve"> FORMTEXT </w:instrText>
      </w:r>
      <w:r>
        <w:rPr>
          <w:highlight w:val="red"/>
        </w:rPr>
      </w:r>
      <w:r>
        <w:rPr>
          <w:highlight w:val="red"/>
        </w:rPr>
        <w:fldChar w:fldCharType="separate"/>
      </w:r>
      <w:r w:rsidR="00AB304C">
        <w:rPr>
          <w:noProof/>
          <w:highlight w:val="red"/>
        </w:rPr>
        <w:t xml:space="preserve"> E </w:t>
      </w:r>
      <w:r>
        <w:rPr>
          <w:highlight w:val="red"/>
        </w:rPr>
        <w:fldChar w:fldCharType="end"/>
      </w:r>
      <w:r>
        <w:t>(error) at the beginning of invalid rows and</w:t>
      </w:r>
      <w:r>
        <w:rPr>
          <w:highlight w:val="green"/>
        </w:rPr>
        <w:fldChar w:fldCharType="begin">
          <w:ffData>
            <w:name w:val=""/>
            <w:enabled/>
            <w:calcOnExit w:val="0"/>
            <w:textInput>
              <w:default w:val=" V "/>
              <w:maxLength w:val="3"/>
            </w:textInput>
          </w:ffData>
        </w:fldChar>
      </w:r>
      <w:r>
        <w:rPr>
          <w:highlight w:val="green"/>
        </w:rPr>
        <w:instrText xml:space="preserve"> FORMTEXT </w:instrText>
      </w:r>
      <w:r>
        <w:rPr>
          <w:highlight w:val="green"/>
        </w:rPr>
      </w:r>
      <w:r>
        <w:rPr>
          <w:highlight w:val="green"/>
        </w:rPr>
        <w:fldChar w:fldCharType="separate"/>
      </w:r>
      <w:r w:rsidR="00AB304C">
        <w:rPr>
          <w:noProof/>
          <w:highlight w:val="green"/>
        </w:rPr>
        <w:t xml:space="preserve"> V </w:t>
      </w:r>
      <w:r>
        <w:rPr>
          <w:highlight w:val="green"/>
        </w:rPr>
        <w:fldChar w:fldCharType="end"/>
      </w:r>
      <w:r>
        <w:t>(valid reagent) or</w:t>
      </w:r>
      <w:r w:rsidRPr="0025233A">
        <w:rPr>
          <w:highlight w:val="yellow"/>
        </w:rPr>
        <w:fldChar w:fldCharType="begin">
          <w:ffData>
            <w:name w:val=""/>
            <w:enabled/>
            <w:calcOnExit w:val="0"/>
            <w:textInput>
              <w:default w:val=" W  "/>
              <w:maxLength w:val="4"/>
            </w:textInput>
          </w:ffData>
        </w:fldChar>
      </w:r>
      <w:r w:rsidRPr="0025233A">
        <w:rPr>
          <w:highlight w:val="yellow"/>
        </w:rPr>
        <w:instrText xml:space="preserve"> FORMTEXT </w:instrText>
      </w:r>
      <w:r w:rsidRPr="0025233A">
        <w:rPr>
          <w:highlight w:val="yellow"/>
        </w:rPr>
      </w:r>
      <w:r w:rsidRPr="0025233A">
        <w:rPr>
          <w:highlight w:val="yellow"/>
        </w:rPr>
        <w:fldChar w:fldCharType="separate"/>
      </w:r>
      <w:r w:rsidR="00AB304C">
        <w:rPr>
          <w:noProof/>
          <w:highlight w:val="yellow"/>
        </w:rPr>
        <w:t xml:space="preserve"> W  </w:t>
      </w:r>
      <w:r w:rsidRPr="0025233A">
        <w:rPr>
          <w:highlight w:val="yellow"/>
        </w:rPr>
        <w:fldChar w:fldCharType="end"/>
      </w:r>
      <w:r>
        <w:t xml:space="preserve">(reagent will expire within 24 hours) at the beginning of valid rows. These warning icons change as the user updates information. When the user holds the mouse over an icon, VBECS displays the message associated with the truth table interpretation (as with a tool tip). </w:t>
      </w:r>
    </w:p>
    <w:p w14:paraId="2FBDB744" w14:textId="77777777" w:rsidR="00F77F81" w:rsidRDefault="00F77F81" w:rsidP="00F77F81">
      <w:pPr>
        <w:pStyle w:val="ListBullet"/>
      </w:pPr>
      <w:r>
        <w:rPr>
          <w:vanish/>
          <w:spacing w:val="0"/>
        </w:rPr>
        <w:t xml:space="preserve">BR_2.39 </w:t>
      </w:r>
      <w:r>
        <w:t>VBECS compares user-entered interpretations with truth table data.</w:t>
      </w:r>
    </w:p>
    <w:p w14:paraId="1C2C8758" w14:textId="77777777" w:rsidR="00F77F81" w:rsidRDefault="00F77F81" w:rsidP="00F77F81">
      <w:pPr>
        <w:pStyle w:val="ListBullet"/>
      </w:pPr>
      <w:r>
        <w:t xml:space="preserve">The user performs tests and enters data simultaneously. </w:t>
      </w:r>
    </w:p>
    <w:p w14:paraId="7350F410" w14:textId="77777777" w:rsidR="00F77F81" w:rsidRDefault="00F77F81" w:rsidP="00F77F81">
      <w:pPr>
        <w:pStyle w:val="ListBullet"/>
      </w:pPr>
      <w:r>
        <w:t>Throughout this option, the user may view the patient’s VBECS demographics, including the information entered in the patient Special Instructions (SIs), Transfusion Requirements (TRs), and other clinical lab results related to the transfusion through CPRS.</w:t>
      </w:r>
    </w:p>
    <w:p w14:paraId="03AFF364" w14:textId="77777777" w:rsidR="00A62384" w:rsidRDefault="00F77F81" w:rsidP="00F77F81">
      <w:pPr>
        <w:pStyle w:val="ListBullet"/>
      </w:pPr>
      <w:r>
        <w:t>The historical ABO/Rh display includes the date and division of creation or indicates that the record is from the</w:t>
      </w:r>
      <w:r w:rsidR="00A62384">
        <w:t xml:space="preserve"> </w:t>
      </w:r>
      <w:r w:rsidR="000C7684" w:rsidRPr="000C7684">
        <w:t>VistA</w:t>
      </w:r>
      <w:r w:rsidR="00A62384">
        <w:t xml:space="preserve"> database conversion.</w:t>
      </w:r>
    </w:p>
    <w:p w14:paraId="1018F442" w14:textId="77777777" w:rsidR="006C0002" w:rsidRDefault="00A62384" w:rsidP="006C0002">
      <w:pPr>
        <w:pStyle w:val="ListBullet"/>
      </w:pPr>
      <w:r>
        <w:rPr>
          <w:vanish/>
          <w:spacing w:val="0"/>
        </w:rPr>
        <w:lastRenderedPageBreak/>
        <w:t xml:space="preserve">BR_56.06 </w:t>
      </w:r>
      <w:r>
        <w:t>The test record captures the ente</w:t>
      </w:r>
      <w:r w:rsidR="006C0002">
        <w:t>ring and testing technologists’ ID and the display/print technologists’ name, the division, date, and time of the save, the content (details of the verified testing), QC rack ID (if not by automated instrument), test method, automated test instrument information, if indicated, data entries, interpretations, and comments. (When the configuration changes in Configure Testing after the test data are entered, the record is retrievable as originally configured.)</w:t>
      </w:r>
    </w:p>
    <w:p w14:paraId="285F52E8" w14:textId="77777777" w:rsidR="002317C3" w:rsidRDefault="00C549FA" w:rsidP="002317C3">
      <w:pPr>
        <w:pStyle w:val="ListBullet"/>
      </w:pPr>
      <w:r w:rsidRPr="00896F17">
        <w:rPr>
          <w:rStyle w:val="BullhornChar"/>
        </w:rPr>
        <w:t></w:t>
      </w:r>
      <w:r>
        <w:rPr>
          <w:rFonts w:ascii="Webdings" w:hAnsi="Webdings"/>
        </w:rPr>
        <w:t></w:t>
      </w:r>
      <w:r w:rsidR="0073350C" w:rsidRPr="0073350C">
        <w:rPr>
          <w:rStyle w:val="BodyTextChar"/>
          <w:vanish/>
        </w:rPr>
        <w:t xml:space="preserve">BR_56.07 </w:t>
      </w:r>
      <w:r w:rsidRPr="00263B24">
        <w:t>Wh</w:t>
      </w:r>
      <w:r>
        <w:t>en</w:t>
      </w:r>
      <w:r w:rsidR="00A62384">
        <w:t xml:space="preserve"> a </w:t>
      </w:r>
      <w:r w:rsidR="003C244C">
        <w:t>site</w:t>
      </w:r>
      <w:r w:rsidR="00A62384">
        <w:t xml:space="preserve"> is defin</w:t>
      </w:r>
      <w:r w:rsidR="002317C3">
        <w:t xml:space="preserve">ed as “full service” and daily QC was not performed on the selected rack or the Not in Use Today check box was checked for the current 24-hour period (beginning with the time set for the alert defined in Configure Daily QC), VBECS emits an audible alert, warns the user, and asks whether he wishes to continue. </w:t>
      </w:r>
      <w:r w:rsidR="002317C3">
        <w:rPr>
          <w:b/>
        </w:rPr>
        <w:t>Yes</w:t>
      </w:r>
      <w:r w:rsidR="002317C3">
        <w:t xml:space="preserve"> requires a comment and captures details for inclusion in the Exception Report (exception type: QC not performed on rack used for testing). </w:t>
      </w:r>
      <w:r w:rsidR="002317C3">
        <w:rPr>
          <w:b/>
        </w:rPr>
        <w:t>No</w:t>
      </w:r>
      <w:r w:rsidR="002317C3">
        <w:t xml:space="preserve"> allows the user to select a different rack or cancel and return to the main menu.</w:t>
      </w:r>
    </w:p>
    <w:p w14:paraId="6BFC5A55" w14:textId="77777777" w:rsidR="002317C3" w:rsidRDefault="002317C3" w:rsidP="002317C3">
      <w:pPr>
        <w:pStyle w:val="ListBullet"/>
      </w:pPr>
      <w:r>
        <w:rPr>
          <w:vanish/>
          <w:spacing w:val="0"/>
        </w:rPr>
        <w:t xml:space="preserve">BR_56.09 </w:t>
      </w:r>
      <w:r>
        <w:t>Repeat tests</w:t>
      </w:r>
      <w:r w:rsidR="00280EE5">
        <w:t xml:space="preserve"> </w:t>
      </w:r>
      <w:r>
        <w:t>are not billable. Repeat tests are not available to the patient chart unless they are part of a corrected report test.</w:t>
      </w:r>
    </w:p>
    <w:p w14:paraId="4B2256BB" w14:textId="77777777" w:rsidR="002317C3" w:rsidRPr="001F4C96" w:rsidRDefault="002317C3" w:rsidP="002317C3">
      <w:pPr>
        <w:pStyle w:val="ListBullet"/>
      </w:pPr>
      <w:r w:rsidRPr="001F4C96">
        <w:rPr>
          <w:vanish/>
          <w:spacing w:val="0"/>
        </w:rPr>
        <w:t xml:space="preserve">BR_28.09 </w:t>
      </w:r>
      <w:r w:rsidRPr="001F4C96">
        <w:t>When reagent</w:t>
      </w:r>
      <w:r w:rsidR="00F93F8F" w:rsidRPr="001F4C96">
        <w:t>s or antisera are</w:t>
      </w:r>
      <w:r w:rsidRPr="001F4C96">
        <w:t xml:space="preserve"> within 24 hours of expiration (23:59 on th</w:t>
      </w:r>
      <w:r w:rsidR="001F4C96" w:rsidRPr="001F4C96">
        <w:t xml:space="preserve">e expiration date), VBECS warns the user when the </w:t>
      </w:r>
      <w:r w:rsidRPr="001F4C96">
        <w:t xml:space="preserve">reagent will expire and asks whether the user wishes to continue. </w:t>
      </w:r>
      <w:r w:rsidRPr="001F4C96">
        <w:rPr>
          <w:b/>
        </w:rPr>
        <w:t>Yes</w:t>
      </w:r>
      <w:r w:rsidRPr="001F4C96">
        <w:t xml:space="preserve"> allows the user to continue testing. </w:t>
      </w:r>
      <w:r w:rsidRPr="001F4C96">
        <w:rPr>
          <w:b/>
        </w:rPr>
        <w:t xml:space="preserve">No </w:t>
      </w:r>
      <w:r w:rsidRPr="001F4C96">
        <w:t>moves the cursor to a cleared lot number cell, which is ready for the user to enter a new lot number.</w:t>
      </w:r>
    </w:p>
    <w:p w14:paraId="7F66147A" w14:textId="77777777" w:rsidR="002317C3" w:rsidRDefault="002317C3" w:rsidP="002317C3">
      <w:pPr>
        <w:pStyle w:val="ListBullet"/>
      </w:pPr>
      <w:r>
        <w:rPr>
          <w:vanish/>
          <w:spacing w:val="0"/>
        </w:rPr>
        <w:t xml:space="preserve">BR_3.56 </w:t>
      </w:r>
      <w:r>
        <w:t>The unit record will capture the entering tech ID, and display and/or print the entering tech name; the selecting tech ID, and display and/or print the selecting tech name; division, date, and time of the save; and the content (details of the unit selection), if indicated, data entries, interpretations, and comments.</w:t>
      </w:r>
    </w:p>
    <w:p w14:paraId="0A2C96A4" w14:textId="77777777" w:rsidR="002317C3" w:rsidRDefault="002317C3" w:rsidP="002317C3">
      <w:pPr>
        <w:pStyle w:val="ListBullet"/>
      </w:pPr>
      <w:r>
        <w:rPr>
          <w:vanish/>
          <w:spacing w:val="0"/>
        </w:rPr>
        <w:t xml:space="preserve">BR_56.02 </w:t>
      </w:r>
      <w:r>
        <w:t>VBECS allows a user to save partially completed tests and allows the same or different user to complete the tests later. A first or second user may enter only new results and may not edit prior entries. VBECS allows the user to save partially completed testing. The user may return to complete the pending tasks, but may not edit saved interpretations.</w:t>
      </w:r>
    </w:p>
    <w:p w14:paraId="7D081E56" w14:textId="77777777" w:rsidR="00B82DFE" w:rsidRDefault="00B82DFE">
      <w:pPr>
        <w:rPr>
          <w:rFonts w:ascii="Arial" w:hAnsi="Arial" w:cs="Arial"/>
          <w:b/>
          <w:bCs/>
          <w:sz w:val="26"/>
          <w:szCs w:val="26"/>
        </w:rPr>
      </w:pPr>
      <w:bookmarkStart w:id="62" w:name="_Toc4588715"/>
      <w:r>
        <w:br w:type="page"/>
      </w:r>
    </w:p>
    <w:p w14:paraId="33306362" w14:textId="1F222C3F" w:rsidR="00D05436" w:rsidRDefault="002317C3" w:rsidP="00D05436">
      <w:pPr>
        <w:pStyle w:val="Heading3"/>
      </w:pPr>
      <w:r>
        <w:lastRenderedPageBreak/>
        <w:t>Creating and Viewing Reports</w:t>
      </w:r>
      <w:bookmarkEnd w:id="62"/>
      <w:r w:rsidRPr="00D05436">
        <w:fldChar w:fldCharType="begin"/>
      </w:r>
      <w:r>
        <w:instrText xml:space="preserve"> XE “Creating and Viewing Reports” </w:instrText>
      </w:r>
      <w:r w:rsidRPr="00D05436">
        <w:fldChar w:fldCharType="end"/>
      </w:r>
    </w:p>
    <w:p w14:paraId="0B11C987" w14:textId="6CFFB6FA" w:rsidR="002317C3" w:rsidRDefault="002317C3" w:rsidP="002317C3">
      <w:pPr>
        <w:pStyle w:val="ListBullet"/>
      </w:pPr>
      <w:r>
        <w:t xml:space="preserve">Click </w:t>
      </w:r>
      <w:r w:rsidRPr="002D4435">
        <w:rPr>
          <w:rFonts w:ascii="Wingdings" w:hAnsi="Wingdings"/>
        </w:rPr>
        <w:t></w:t>
      </w:r>
      <w:r>
        <w:t xml:space="preserve"> in the Include Report Sections area to select all report sections</w:t>
      </w:r>
      <w:r w:rsidR="00E365A8">
        <w:t xml:space="preserve"> (</w:t>
      </w:r>
      <w:r w:rsidR="00E365A8">
        <w:fldChar w:fldCharType="begin" w:fldLock="1"/>
      </w:r>
      <w:r w:rsidR="00E365A8">
        <w:instrText xml:space="preserve"> REF _Ref127154331 \h </w:instrText>
      </w:r>
      <w:r w:rsidR="00E365A8">
        <w:fldChar w:fldCharType="separate"/>
      </w:r>
      <w:r w:rsidR="00AB304C">
        <w:t xml:space="preserve">Figure </w:t>
      </w:r>
      <w:r w:rsidR="00AB304C">
        <w:rPr>
          <w:noProof/>
        </w:rPr>
        <w:t>7</w:t>
      </w:r>
      <w:r w:rsidR="00E365A8">
        <w:fldChar w:fldCharType="end"/>
      </w:r>
      <w:r w:rsidR="00E365A8">
        <w:t>)</w:t>
      </w:r>
      <w:r>
        <w:t>.</w:t>
      </w:r>
    </w:p>
    <w:p w14:paraId="446CE50F" w14:textId="09C15F2F" w:rsidR="005B6E37" w:rsidRDefault="002317C3" w:rsidP="002317C3">
      <w:pPr>
        <w:pStyle w:val="ListBullet"/>
        <w:sectPr w:rsidR="005B6E37" w:rsidSect="0003045D">
          <w:headerReference w:type="default" r:id="rId33"/>
          <w:footerReference w:type="default" r:id="rId34"/>
          <w:type w:val="nextColumn"/>
          <w:pgSz w:w="12240" w:h="15840" w:code="1"/>
          <w:pgMar w:top="1440" w:right="1440" w:bottom="1440" w:left="1440" w:header="720" w:footer="720" w:gutter="0"/>
          <w:cols w:space="720"/>
          <w:docGrid w:linePitch="360"/>
        </w:sectPr>
      </w:pPr>
      <w:r>
        <w:t xml:space="preserve">Click </w:t>
      </w:r>
      <w:r w:rsidRPr="00D1343E">
        <w:rPr>
          <w:rFonts w:ascii="Wingdings 2" w:hAnsi="Wingdings 2" w:cs="Geneva"/>
          <w:b/>
        </w:rPr>
        <w:t></w:t>
      </w:r>
      <w:r>
        <w:t xml:space="preserve"> in the Include Report Sections area to clear all report sections</w:t>
      </w:r>
      <w:r w:rsidR="00931AD5">
        <w:t xml:space="preserve"> (</w:t>
      </w:r>
      <w:r w:rsidR="00931AD5">
        <w:fldChar w:fldCharType="begin" w:fldLock="1"/>
      </w:r>
      <w:r w:rsidR="00931AD5">
        <w:instrText xml:space="preserve"> REF _Ref127154367 \h </w:instrText>
      </w:r>
      <w:r w:rsidR="00931AD5">
        <w:fldChar w:fldCharType="separate"/>
      </w:r>
      <w:r w:rsidR="00AB304C">
        <w:t xml:space="preserve">Figure </w:t>
      </w:r>
      <w:r w:rsidR="00AB304C">
        <w:rPr>
          <w:noProof/>
        </w:rPr>
        <w:t>8</w:t>
      </w:r>
      <w:r w:rsidR="00931AD5">
        <w:fldChar w:fldCharType="end"/>
      </w:r>
      <w:r w:rsidR="00931AD5">
        <w:t>)</w:t>
      </w:r>
      <w:r>
        <w:t>.</w:t>
      </w:r>
    </w:p>
    <w:p w14:paraId="209C3FF3" w14:textId="391A09B9" w:rsidR="005B6E37" w:rsidRDefault="005B6E37" w:rsidP="005B6E37">
      <w:pPr>
        <w:pStyle w:val="Caption"/>
      </w:pPr>
      <w:bookmarkStart w:id="63" w:name="_Ref127154331"/>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7</w:t>
      </w:r>
      <w:r w:rsidR="004E20BD">
        <w:rPr>
          <w:noProof/>
        </w:rPr>
        <w:fldChar w:fldCharType="end"/>
      </w:r>
      <w:bookmarkEnd w:id="63"/>
      <w:r>
        <w:t>: Click to Select All Report Sections</w:t>
      </w:r>
    </w:p>
    <w:p w14:paraId="254E1C67" w14:textId="36792A98" w:rsidR="00814342" w:rsidRPr="00814342" w:rsidRDefault="0003045D" w:rsidP="00814342">
      <w:r>
        <w:rPr>
          <w:noProof/>
        </w:rPr>
        <w:drawing>
          <wp:inline distT="0" distB="0" distL="0" distR="0" wp14:anchorId="6163CBC1" wp14:editId="35D1D86E">
            <wp:extent cx="2971800" cy="3381375"/>
            <wp:effectExtent l="0" t="0" r="0" b="9525"/>
            <wp:docPr id="9" name="Picture 9" descr="P661L2#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661L2#yIS1">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1800" cy="3381375"/>
                    </a:xfrm>
                    <a:prstGeom prst="rect">
                      <a:avLst/>
                    </a:prstGeom>
                    <a:noFill/>
                    <a:ln>
                      <a:noFill/>
                    </a:ln>
                  </pic:spPr>
                </pic:pic>
              </a:graphicData>
            </a:graphic>
          </wp:inline>
        </w:drawing>
      </w:r>
    </w:p>
    <w:p w14:paraId="40A46E10" w14:textId="31FA4531" w:rsidR="005B6E37" w:rsidRDefault="005B6E37" w:rsidP="005B6E37">
      <w:pPr>
        <w:pStyle w:val="Caption"/>
      </w:pPr>
      <w:bookmarkStart w:id="64" w:name="_Ref127154367"/>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8</w:t>
      </w:r>
      <w:r w:rsidR="004E20BD">
        <w:rPr>
          <w:noProof/>
        </w:rPr>
        <w:fldChar w:fldCharType="end"/>
      </w:r>
      <w:bookmarkEnd w:id="64"/>
      <w:r>
        <w:t xml:space="preserve">: Click to Clear All Report Sections </w:t>
      </w:r>
    </w:p>
    <w:p w14:paraId="7F1F430F" w14:textId="5C594E32" w:rsidR="005B6E37" w:rsidRDefault="00057948" w:rsidP="00814342">
      <w:pPr>
        <w:pStyle w:val="BodyText"/>
        <w:sectPr w:rsidR="005B6E37" w:rsidSect="00E57AC5">
          <w:type w:val="continuous"/>
          <w:pgSz w:w="12240" w:h="15840" w:code="1"/>
          <w:pgMar w:top="1440" w:right="1440" w:bottom="1440" w:left="1440" w:header="720" w:footer="720" w:gutter="0"/>
          <w:cols w:num="2" w:space="720"/>
          <w:docGrid w:linePitch="360"/>
        </w:sectPr>
      </w:pPr>
      <w:r>
        <w:rPr>
          <w:noProof/>
        </w:rPr>
        <w:drawing>
          <wp:inline distT="0" distB="0" distL="0" distR="0" wp14:anchorId="4C2D0539" wp14:editId="4E68C1E3">
            <wp:extent cx="2974340" cy="3399155"/>
            <wp:effectExtent l="0" t="0" r="0" b="0"/>
            <wp:docPr id="23" name="Picture 23" descr="P663L2#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663L2#yIS1">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4340" cy="3399155"/>
                    </a:xfrm>
                    <a:prstGeom prst="rect">
                      <a:avLst/>
                    </a:prstGeom>
                    <a:noFill/>
                    <a:ln>
                      <a:noFill/>
                    </a:ln>
                  </pic:spPr>
                </pic:pic>
              </a:graphicData>
            </a:graphic>
          </wp:inline>
        </w:drawing>
      </w:r>
    </w:p>
    <w:p w14:paraId="6D5CA230" w14:textId="0205486D" w:rsidR="004E67E9" w:rsidRPr="004E67E9" w:rsidRDefault="004E67E9" w:rsidP="004E67E9">
      <w:pPr>
        <w:pStyle w:val="ListBullet"/>
        <w:numPr>
          <w:ilvl w:val="0"/>
          <w:numId w:val="0"/>
        </w:numPr>
      </w:pPr>
    </w:p>
    <w:p w14:paraId="15C70280" w14:textId="0BA04DD5" w:rsidR="002317C3" w:rsidRDefault="002317C3" w:rsidP="005B6E37">
      <w:pPr>
        <w:pStyle w:val="ListBullet"/>
      </w:pPr>
      <w:r>
        <w:rPr>
          <w:vanish/>
        </w:rPr>
        <w:t xml:space="preserve">BR_20.17 </w:t>
      </w:r>
      <w:r>
        <w:t xml:space="preserve">In the Report Compilation area, click the </w:t>
      </w:r>
      <w:r>
        <w:rPr>
          <w:b/>
        </w:rPr>
        <w:t>Create Report Now</w:t>
      </w:r>
      <w:r>
        <w:t xml:space="preserve"> </w:t>
      </w:r>
      <w:r w:rsidRPr="00BF2E41">
        <w:t>radio button</w:t>
      </w:r>
      <w:r>
        <w:t xml:space="preserve"> and </w:t>
      </w:r>
      <w:r>
        <w:rPr>
          <w:b/>
        </w:rPr>
        <w:t>OK</w:t>
      </w:r>
      <w:r>
        <w:t xml:space="preserve"> to view the report, or click the </w:t>
      </w:r>
      <w:r>
        <w:rPr>
          <w:b/>
        </w:rPr>
        <w:t>Schedule Print Job</w:t>
      </w:r>
      <w:r>
        <w:t xml:space="preserve"> </w:t>
      </w:r>
      <w:r w:rsidRPr="00BF2E41">
        <w:t>radio button</w:t>
      </w:r>
      <w:r>
        <w:rPr>
          <w:b/>
        </w:rPr>
        <w:t xml:space="preserve"> </w:t>
      </w:r>
      <w:r>
        <w:t xml:space="preserve">and </w:t>
      </w:r>
      <w:r>
        <w:rPr>
          <w:b/>
        </w:rPr>
        <w:t>OK</w:t>
      </w:r>
      <w:r>
        <w:t xml:space="preserve">, then enter or select a print date and printer name, then click </w:t>
      </w:r>
      <w:r>
        <w:rPr>
          <w:b/>
        </w:rPr>
        <w:t>OK</w:t>
      </w:r>
      <w:r>
        <w:t xml:space="preserve"> to view and print the report.</w:t>
      </w:r>
    </w:p>
    <w:p w14:paraId="0EB7B41B" w14:textId="77777777" w:rsidR="00855A2D" w:rsidRPr="00855A2D" w:rsidRDefault="00855A2D" w:rsidP="002317C3">
      <w:pPr>
        <w:pStyle w:val="ListBullet"/>
      </w:pPr>
      <w:r w:rsidRPr="00855A2D">
        <w:rPr>
          <w:spacing w:val="0"/>
        </w:rPr>
        <w:t>Reports are printed only in their entirety.</w:t>
      </w:r>
    </w:p>
    <w:p w14:paraId="38852DDA" w14:textId="77777777" w:rsidR="002317C3" w:rsidRDefault="002317C3" w:rsidP="002317C3">
      <w:pPr>
        <w:pStyle w:val="ListBullet"/>
      </w:pPr>
      <w:r>
        <w:rPr>
          <w:vanish/>
          <w:spacing w:val="0"/>
        </w:rPr>
        <w:t xml:space="preserve">BR_77.02 </w:t>
      </w:r>
      <w:r>
        <w:t xml:space="preserve">A single-division report includes information from one division. </w:t>
      </w:r>
    </w:p>
    <w:p w14:paraId="683CC6F4" w14:textId="77777777" w:rsidR="002317C3" w:rsidRDefault="002317C3" w:rsidP="002317C3">
      <w:pPr>
        <w:pStyle w:val="ListBullet"/>
      </w:pPr>
      <w:r>
        <w:rPr>
          <w:vanish/>
          <w:spacing w:val="0"/>
        </w:rPr>
        <w:t xml:space="preserve">BR_104.02 </w:t>
      </w:r>
      <w:r>
        <w:t>When a site is a single division or a user does not have multidivisional access and a report has a multiple-division option, the user may not select a multidivisional report.</w:t>
      </w:r>
    </w:p>
    <w:p w14:paraId="7EA978C5" w14:textId="77777777" w:rsidR="002317C3" w:rsidRDefault="002317C3" w:rsidP="002317C3">
      <w:pPr>
        <w:pStyle w:val="ListBullet"/>
      </w:pPr>
      <w:r>
        <w:rPr>
          <w:vanish/>
          <w:spacing w:val="0"/>
        </w:rPr>
        <w:t xml:space="preserve">BR_27.10 </w:t>
      </w:r>
      <w:r>
        <w:t>VBECS maintains a cumulative history of all transactions, including testing and status changes, for every blood unit entered in the database (Unit History Report).</w:t>
      </w:r>
    </w:p>
    <w:p w14:paraId="468B209E" w14:textId="77777777" w:rsidR="002317C3" w:rsidRDefault="002317C3" w:rsidP="002317C3">
      <w:pPr>
        <w:pStyle w:val="ListBullet"/>
      </w:pPr>
      <w:r>
        <w:rPr>
          <w:vanish/>
          <w:spacing w:val="0"/>
        </w:rPr>
        <w:t xml:space="preserve">BR_12.02 </w:t>
      </w:r>
      <w:r>
        <w:t>VBECS captures changes to verified data for inclusion in an audit trail report (Audit Trail Report, Unit History Report, Patient History Report, and Order History Report).</w:t>
      </w:r>
    </w:p>
    <w:p w14:paraId="626F1B66" w14:textId="77777777" w:rsidR="002317C3" w:rsidRDefault="002317C3" w:rsidP="002317C3">
      <w:pPr>
        <w:pStyle w:val="ListBullet"/>
      </w:pPr>
      <w:r>
        <w:rPr>
          <w:vanish/>
          <w:spacing w:val="0"/>
        </w:rPr>
        <w:t xml:space="preserve">BR_56.10 </w:t>
      </w:r>
      <w:r>
        <w:t>VBECS displays patient ABO/Rh results in reverse chronological order, regardless of division, then from the</w:t>
      </w:r>
      <w:r w:rsidR="00A62384">
        <w:t xml:space="preserve"> </w:t>
      </w:r>
      <w:r w:rsidR="000C7684" w:rsidRPr="000C7684">
        <w:rPr>
          <w:bCs/>
        </w:rPr>
        <w:t>VistA</w:t>
      </w:r>
      <w:r w:rsidR="00A62384">
        <w:t xml:space="preserve"> database conversion. When no ABO/Rh records exist, VBECS displays “NR” (no records). When there are discrep</w:t>
      </w:r>
      <w:r>
        <w:t xml:space="preserve">ant ABO/Rh results from the same </w:t>
      </w:r>
      <w:r w:rsidR="00AE2C2C">
        <w:t>universal ID (UID)</w:t>
      </w:r>
      <w:r>
        <w:t xml:space="preserve"> or from two specimen UIDs, VBECS displays the results recorded just prior to the latest result that created the discrepancy and warns the user.</w:t>
      </w:r>
    </w:p>
    <w:p w14:paraId="5B7AF544" w14:textId="77777777" w:rsidR="002317C3" w:rsidRDefault="002317C3" w:rsidP="002317C3">
      <w:pPr>
        <w:pStyle w:val="ListBullet"/>
      </w:pPr>
      <w:r>
        <w:rPr>
          <w:vanish/>
          <w:spacing w:val="0"/>
        </w:rPr>
        <w:t xml:space="preserve">BR_49.05 </w:t>
      </w:r>
      <w:r>
        <w:t xml:space="preserve">When a search will return a large number of items on the report, VBECS notifies the user that the report will be longer than 50 pages and asks whether he wants to display and perhaps print the report. </w:t>
      </w:r>
      <w:r>
        <w:rPr>
          <w:b/>
        </w:rPr>
        <w:t>Y</w:t>
      </w:r>
      <w:r w:rsidRPr="002317C3">
        <w:rPr>
          <w:b/>
        </w:rPr>
        <w:t>es</w:t>
      </w:r>
      <w:r>
        <w:t xml:space="preserve"> </w:t>
      </w:r>
      <w:r>
        <w:lastRenderedPageBreak/>
        <w:t xml:space="preserve">notifies the user that the process will take a few minutes. </w:t>
      </w:r>
      <w:r>
        <w:rPr>
          <w:b/>
        </w:rPr>
        <w:t>No</w:t>
      </w:r>
      <w:r>
        <w:t xml:space="preserve"> clears the screen and returns to the option’s main menu.</w:t>
      </w:r>
    </w:p>
    <w:p w14:paraId="17200A0C" w14:textId="77777777" w:rsidR="002317C3" w:rsidRDefault="002317C3" w:rsidP="002317C3">
      <w:pPr>
        <w:pStyle w:val="ListBullet"/>
      </w:pPr>
      <w:r>
        <w:rPr>
          <w:vanish/>
          <w:spacing w:val="0"/>
        </w:rPr>
        <w:t xml:space="preserve">BR_49.07 </w:t>
      </w:r>
      <w:r>
        <w:rPr>
          <w:noProof/>
        </w:rPr>
        <w:t>When no information that fulfills search criteria is available, VBECS notifies the user that no information is available, per entered search criteria.</w:t>
      </w:r>
    </w:p>
    <w:p w14:paraId="432E27C1" w14:textId="77777777" w:rsidR="002317C3" w:rsidRDefault="002317C3" w:rsidP="002317C3">
      <w:pPr>
        <w:pStyle w:val="ListBullet"/>
      </w:pPr>
      <w:r>
        <w:rPr>
          <w:noProof/>
          <w:vanish/>
          <w:spacing w:val="0"/>
        </w:rPr>
        <w:t>BR_77.01</w:t>
      </w:r>
      <w:r w:rsidR="00F33FC0">
        <w:rPr>
          <w:noProof/>
          <w:vanish/>
          <w:spacing w:val="0"/>
        </w:rPr>
        <w:t>,</w:t>
      </w:r>
      <w:r>
        <w:rPr>
          <w:noProof/>
          <w:vanish/>
          <w:spacing w:val="0"/>
        </w:rPr>
        <w:t xml:space="preserve"> </w:t>
      </w:r>
      <w:r w:rsidR="00F33FC0">
        <w:rPr>
          <w:vanish/>
          <w:spacing w:val="0"/>
        </w:rPr>
        <w:t xml:space="preserve">BR_77.03, </w:t>
      </w:r>
      <w:r w:rsidR="00F33FC0">
        <w:rPr>
          <w:noProof/>
          <w:vanish/>
          <w:spacing w:val="0"/>
        </w:rPr>
        <w:t>BR_77.05</w:t>
      </w:r>
      <w:r>
        <w:t>The user may change the default start and end dates</w:t>
      </w:r>
      <w:r w:rsidR="00E43586">
        <w:t xml:space="preserve"> (the previous day). The end date</w:t>
      </w:r>
      <w:r>
        <w:t xml:space="preserve"> </w:t>
      </w:r>
      <w:r w:rsidR="00E43586">
        <w:t xml:space="preserve">and time </w:t>
      </w:r>
      <w:r>
        <w:t>must be later than</w:t>
      </w:r>
      <w:r w:rsidR="00F33FC0">
        <w:t xml:space="preserve"> or the same as</w:t>
      </w:r>
      <w:r>
        <w:t xml:space="preserve"> the start date and time</w:t>
      </w:r>
      <w:r w:rsidR="00F33FC0">
        <w:t>. Report activity begins at and includes midnight on the start date, and ends at and includes midnight on the end date. When the date range includes the current date and time, VBECS displays “Preliminary” in the header on each page of the report.</w:t>
      </w:r>
    </w:p>
    <w:p w14:paraId="5CB7F632" w14:textId="77777777" w:rsidR="002317C3" w:rsidRDefault="002317C3" w:rsidP="002317C3">
      <w:pPr>
        <w:pStyle w:val="ListBullet"/>
      </w:pPr>
      <w:r>
        <w:rPr>
          <w:vanish/>
          <w:spacing w:val="0"/>
        </w:rPr>
        <w:t xml:space="preserve">BR_77.07 </w:t>
      </w:r>
      <w:r>
        <w:t>VBECS displays headers on every page of a report; it displays search and sort criteria and date ranges at the end of the report. VBECS identifies whether reports are generated from a test environment or from a production environment.</w:t>
      </w:r>
    </w:p>
    <w:p w14:paraId="186CC943" w14:textId="35988941" w:rsidR="002317C3" w:rsidRDefault="002317C3" w:rsidP="002317C3">
      <w:pPr>
        <w:pStyle w:val="ListBullet"/>
      </w:pPr>
      <w:r>
        <w:rPr>
          <w:vanish/>
          <w:spacing w:val="0"/>
        </w:rPr>
        <w:t xml:space="preserve">BR_77.11 </w:t>
      </w:r>
      <w:r>
        <w:t>A user may schedule a report to run and print in the future. When the activity date range includes a date that precedes the date and time of printing, VBECS processes the data on the date and time the report is scheduled to print. When a date range is greater than 30 days, VBECS warns the user and asks whether he wishes to continue.</w:t>
      </w:r>
    </w:p>
    <w:p w14:paraId="37D64EBE" w14:textId="5FC6654E" w:rsidR="00BA3336" w:rsidRDefault="00BA3336" w:rsidP="00706312">
      <w:pPr>
        <w:pStyle w:val="ListBullet"/>
      </w:pPr>
      <w:r w:rsidRPr="00BA3336">
        <w:t>A report requested to print in the futu</w:t>
      </w:r>
      <w:r w:rsidR="00706312">
        <w:t>re prints per Central Time (CT).</w:t>
      </w:r>
      <w:r w:rsidR="00AB4BD9">
        <w:t xml:space="preserve"> </w:t>
      </w:r>
      <w:r w:rsidR="00AB4BD9" w:rsidRPr="00AB4BD9">
        <w:rPr>
          <w:vanish/>
        </w:rPr>
        <w:t>Defect 210518</w:t>
      </w:r>
    </w:p>
    <w:p w14:paraId="04D617E6" w14:textId="421599F9" w:rsidR="00D9320F" w:rsidRDefault="00D9320F" w:rsidP="00D9320F">
      <w:pPr>
        <w:pStyle w:val="ListBullet"/>
      </w:pPr>
      <w:r>
        <w:t>When printing reports exceeding 20 pages, allow the report to load in the preview window before selecting “print”. This prevents the VBECS sessio</w:t>
      </w:r>
      <w:r w:rsidR="00A922BB">
        <w:t xml:space="preserve">n from </w:t>
      </w:r>
      <w:r w:rsidR="00AB4BD9">
        <w:t>freezing, and</w:t>
      </w:r>
      <w:r w:rsidR="00A922BB">
        <w:t xml:space="preserve"> </w:t>
      </w:r>
      <w:r>
        <w:t>causing issues with printing future documents.</w:t>
      </w:r>
      <w:r w:rsidR="00AB4BD9">
        <w:t xml:space="preserve"> </w:t>
      </w:r>
      <w:r w:rsidR="00AB4BD9" w:rsidRPr="00AB4BD9">
        <w:rPr>
          <w:vanish/>
        </w:rPr>
        <w:t>Defect 210516</w:t>
      </w:r>
    </w:p>
    <w:p w14:paraId="2071D4CD" w14:textId="77777777" w:rsidR="00A62384" w:rsidRDefault="002317C3" w:rsidP="002317C3">
      <w:pPr>
        <w:pStyle w:val="ListBullet"/>
      </w:pPr>
      <w:r>
        <w:t xml:space="preserve">Local record retention policy instructs users to print, review, document, and save the </w:t>
      </w:r>
      <w:r w:rsidR="002D2971">
        <w:rPr>
          <w:rFonts w:eastAsia="Arial Unicode MS"/>
        </w:rPr>
        <w:t>Audit Trail, Exception, and Testing Worklist Reports</w:t>
      </w:r>
      <w:r>
        <w:t xml:space="preserve">. The reports contain only data entries generated in the user’s login division. </w:t>
      </w:r>
      <w:r>
        <w:rPr>
          <w:vanish/>
          <w:spacing w:val="0"/>
        </w:rPr>
        <w:t xml:space="preserve">BR_77.08 </w:t>
      </w:r>
      <w:r>
        <w:t>Each entry includes an area for supervisor acknowledgement (signature or initials and date of</w:t>
      </w:r>
      <w:r w:rsidR="00A62384">
        <w:t xml:space="preserve"> review) and comment.</w:t>
      </w:r>
    </w:p>
    <w:p w14:paraId="49FD7E8F" w14:textId="77777777" w:rsidR="002C0B9B" w:rsidRPr="002C0B9B" w:rsidRDefault="002C0B9B" w:rsidP="002C0B9B">
      <w:pPr>
        <w:pStyle w:val="ListBullet"/>
      </w:pPr>
      <w:r>
        <w:t xml:space="preserve">The search functionality (binoculars icon) may not </w:t>
      </w:r>
      <w:r w:rsidR="0045199A">
        <w:t>work</w:t>
      </w:r>
      <w:r>
        <w:t xml:space="preserve"> in a displayed report. </w:t>
      </w:r>
      <w:r w:rsidRPr="002C0B9B">
        <w:rPr>
          <w:vanish/>
        </w:rPr>
        <w:t>DR 2538</w:t>
      </w:r>
    </w:p>
    <w:p w14:paraId="1CED15BC" w14:textId="77777777" w:rsidR="00413ECA" w:rsidRDefault="00A62384" w:rsidP="00413ECA">
      <w:pPr>
        <w:pStyle w:val="ListBullet"/>
      </w:pPr>
      <w:r w:rsidRPr="00BC74C6">
        <w:rPr>
          <w:vanish/>
          <w:spacing w:val="0"/>
        </w:rPr>
        <w:t xml:space="preserve">BR_65.01 </w:t>
      </w:r>
      <w:r>
        <w:t>VBECS displays the patient historical ABO/Rh</w:t>
      </w:r>
      <w:r w:rsidR="000A0BE8">
        <w:t>, antibodies identified, antigen negative requirements, and</w:t>
      </w:r>
      <w:r>
        <w:t xml:space="preserve"> </w:t>
      </w:r>
      <w:r w:rsidR="000A0BE8">
        <w:t xml:space="preserve">transfusion reaction history </w:t>
      </w:r>
      <w:r>
        <w:t xml:space="preserve">(date, division of testing, whether from the </w:t>
      </w:r>
      <w:r w:rsidR="000C7684" w:rsidRPr="00BC74C6">
        <w:rPr>
          <w:bCs/>
        </w:rPr>
        <w:t>VistA</w:t>
      </w:r>
      <w:r w:rsidR="00413ECA">
        <w:t xml:space="preserve"> database conversion)</w:t>
      </w:r>
      <w:r w:rsidR="00F53A23">
        <w:t>,</w:t>
      </w:r>
      <w:r w:rsidR="00413ECA">
        <w:t xml:space="preserve"> </w:t>
      </w:r>
      <w:r w:rsidR="000A0BE8">
        <w:t xml:space="preserve">and </w:t>
      </w:r>
      <w:r w:rsidR="00413ECA">
        <w:t>whether the historical ABO/Rh was changed.</w:t>
      </w:r>
    </w:p>
    <w:p w14:paraId="4E678258" w14:textId="77777777" w:rsidR="0092694F" w:rsidRPr="002F1554" w:rsidRDefault="00413ECA" w:rsidP="003D6B91">
      <w:pPr>
        <w:pStyle w:val="ListBullet"/>
      </w:pPr>
      <w:r>
        <w:rPr>
          <w:vanish/>
          <w:spacing w:val="0"/>
        </w:rPr>
        <w:t xml:space="preserve">BR_65.02 </w:t>
      </w:r>
      <w:r>
        <w:t>When a patient has a history of an ABO/Rh change justified through Justify ABO/Rh Change, VBECS displays “History of justified ABO/Rh change” next to the</w:t>
      </w:r>
      <w:r>
        <w:rPr>
          <w:rStyle w:val="CommentReference"/>
          <w:sz w:val="22"/>
        </w:rPr>
        <w:t xml:space="preserve"> historical ABO/Rh information</w:t>
      </w:r>
      <w:r w:rsidR="008925E8">
        <w:rPr>
          <w:rStyle w:val="CommentReference"/>
          <w:sz w:val="22"/>
        </w:rPr>
        <w:t>.</w:t>
      </w:r>
    </w:p>
    <w:p w14:paraId="74005AE2" w14:textId="77777777" w:rsidR="002F1554" w:rsidRPr="002F1554" w:rsidRDefault="002F1554" w:rsidP="002F1554">
      <w:pPr>
        <w:pStyle w:val="ListBullet"/>
        <w:numPr>
          <w:ilvl w:val="0"/>
          <w:numId w:val="0"/>
        </w:numPr>
        <w:ind w:left="648" w:hanging="360"/>
      </w:pPr>
    </w:p>
    <w:p w14:paraId="4CAB860A" w14:textId="77777777" w:rsidR="002F1554" w:rsidRPr="00037A18" w:rsidRDefault="00B54E55" w:rsidP="002F1554">
      <w:pPr>
        <w:rPr>
          <w:sz w:val="22"/>
          <w:szCs w:val="22"/>
        </w:rPr>
      </w:pPr>
      <w:r>
        <w:rPr>
          <w:sz w:val="22"/>
          <w:szCs w:val="22"/>
        </w:rPr>
        <w:br w:type="page"/>
      </w:r>
      <w:r w:rsidR="002F1554" w:rsidRPr="00037A18">
        <w:rPr>
          <w:sz w:val="22"/>
          <w:szCs w:val="22"/>
        </w:rPr>
        <w:lastRenderedPageBreak/>
        <w:t>Reports in VBECS are created using a Microsoft technology called SQL Server Reporting Services (SSRS). Reports are rendered on screen using ReportViewer control. Reports are not deployed on the reporting server but as a part of the main application. All reports can be exported. The user has the option to export reports</w:t>
      </w:r>
      <w:r w:rsidR="002F1554">
        <w:rPr>
          <w:sz w:val="22"/>
          <w:szCs w:val="22"/>
        </w:rPr>
        <w:t xml:space="preserve"> in three different formats (PDF</w:t>
      </w:r>
      <w:r w:rsidR="002F1554" w:rsidRPr="00037A18">
        <w:rPr>
          <w:sz w:val="22"/>
          <w:szCs w:val="22"/>
        </w:rPr>
        <w:t>, Excel and/or Word).</w:t>
      </w:r>
    </w:p>
    <w:p w14:paraId="6B4203DF" w14:textId="77777777" w:rsidR="002F1554" w:rsidRPr="00037A18" w:rsidRDefault="002F1554" w:rsidP="002F1554">
      <w:pPr>
        <w:pStyle w:val="Heading2"/>
      </w:pPr>
      <w:bookmarkStart w:id="65" w:name="_Toc4588716"/>
      <w:r w:rsidRPr="00037A18">
        <w:t>Report Toolbar</w:t>
      </w:r>
      <w:bookmarkEnd w:id="65"/>
      <w:r w:rsidR="002B5CD5">
        <w:t xml:space="preserve"> </w:t>
      </w:r>
      <w:r w:rsidR="002B5CD5" w:rsidRPr="002B5CD5">
        <w:rPr>
          <w:rFonts w:ascii="Arial Bold" w:hAnsi="Arial Bold"/>
          <w:vanish/>
        </w:rPr>
        <w:t>DR 4581</w:t>
      </w:r>
    </w:p>
    <w:p w14:paraId="5E9B84D6" w14:textId="137BD0D4" w:rsidR="002F1554" w:rsidRPr="00037A18" w:rsidRDefault="002F1554" w:rsidP="002F1554">
      <w:pPr>
        <w:rPr>
          <w:sz w:val="22"/>
          <w:szCs w:val="22"/>
        </w:rPr>
      </w:pPr>
      <w:r w:rsidRPr="00037A18">
        <w:rPr>
          <w:sz w:val="22"/>
          <w:szCs w:val="22"/>
        </w:rPr>
        <w:t>Each report in VBECS will have a toolbar on top that allows the user to interact with the report (</w:t>
      </w:r>
      <w:r w:rsidR="00430868">
        <w:rPr>
          <w:sz w:val="22"/>
          <w:szCs w:val="22"/>
        </w:rPr>
        <w:fldChar w:fldCharType="begin" w:fldLock="1"/>
      </w:r>
      <w:r w:rsidR="00430868">
        <w:rPr>
          <w:sz w:val="22"/>
          <w:szCs w:val="22"/>
        </w:rPr>
        <w:instrText xml:space="preserve"> REF _Ref353374018 \h </w:instrText>
      </w:r>
      <w:r w:rsidR="00430868">
        <w:rPr>
          <w:sz w:val="22"/>
          <w:szCs w:val="22"/>
        </w:rPr>
      </w:r>
      <w:r w:rsidR="00430868">
        <w:rPr>
          <w:sz w:val="22"/>
          <w:szCs w:val="22"/>
        </w:rPr>
        <w:fldChar w:fldCharType="separate"/>
      </w:r>
      <w:r w:rsidR="00AB304C" w:rsidRPr="00037A18">
        <w:t xml:space="preserve">Figure </w:t>
      </w:r>
      <w:r w:rsidR="00AB304C">
        <w:rPr>
          <w:noProof/>
        </w:rPr>
        <w:t>9</w:t>
      </w:r>
      <w:r w:rsidR="00430868">
        <w:rPr>
          <w:sz w:val="22"/>
          <w:szCs w:val="22"/>
        </w:rPr>
        <w:fldChar w:fldCharType="end"/>
      </w:r>
      <w:r w:rsidRPr="00037A18">
        <w:rPr>
          <w:sz w:val="22"/>
          <w:szCs w:val="22"/>
        </w:rPr>
        <w:t>).</w:t>
      </w:r>
      <w:r w:rsidR="009A5050">
        <w:rPr>
          <w:sz w:val="22"/>
          <w:szCs w:val="22"/>
        </w:rPr>
        <w:t xml:space="preserve"> The following sub-sections elaborate on the controls found on the Report Toolbar. It is suggested that users create a local directory for exporting their reports (see the </w:t>
      </w:r>
      <w:r w:rsidR="009A5050" w:rsidRPr="009A5050">
        <w:rPr>
          <w:i/>
          <w:sz w:val="22"/>
          <w:szCs w:val="22"/>
        </w:rPr>
        <w:t>VistA Blood Establishme</w:t>
      </w:r>
      <w:r w:rsidR="008343A9">
        <w:rPr>
          <w:i/>
          <w:sz w:val="22"/>
          <w:szCs w:val="22"/>
        </w:rPr>
        <w:t>nt Computer Software (VBECS)</w:t>
      </w:r>
      <w:r w:rsidR="00B03BDD">
        <w:rPr>
          <w:i/>
          <w:sz w:val="22"/>
          <w:szCs w:val="22"/>
        </w:rPr>
        <w:t>2.3.1</w:t>
      </w:r>
      <w:r w:rsidR="008343A9">
        <w:rPr>
          <w:i/>
          <w:sz w:val="22"/>
          <w:szCs w:val="22"/>
        </w:rPr>
        <w:t xml:space="preserve"> </w:t>
      </w:r>
      <w:r w:rsidR="009A5050" w:rsidRPr="009A5050">
        <w:rPr>
          <w:i/>
          <w:sz w:val="22"/>
          <w:szCs w:val="22"/>
        </w:rPr>
        <w:t>Technical Manual-Security Guide</w:t>
      </w:r>
      <w:r w:rsidR="009A5050">
        <w:rPr>
          <w:sz w:val="22"/>
          <w:szCs w:val="22"/>
        </w:rPr>
        <w:t xml:space="preserve">, Configure the Report Share and the Configure a Shortcut to the Report Share sections for </w:t>
      </w:r>
      <w:r w:rsidR="00E90A01">
        <w:rPr>
          <w:sz w:val="22"/>
          <w:szCs w:val="22"/>
        </w:rPr>
        <w:t>additional</w:t>
      </w:r>
      <w:r w:rsidR="009A5050">
        <w:rPr>
          <w:sz w:val="22"/>
          <w:szCs w:val="22"/>
        </w:rPr>
        <w:t xml:space="preserve"> information).</w:t>
      </w:r>
    </w:p>
    <w:p w14:paraId="0F43E547" w14:textId="36B6A902" w:rsidR="002F1554" w:rsidRPr="00037A18" w:rsidRDefault="002F1554" w:rsidP="002F1554">
      <w:pPr>
        <w:pStyle w:val="Caption"/>
      </w:pPr>
      <w:bookmarkStart w:id="66" w:name="_Ref353374018"/>
      <w:r w:rsidRPr="00037A18">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9</w:t>
      </w:r>
      <w:r w:rsidR="004E20BD">
        <w:rPr>
          <w:noProof/>
        </w:rPr>
        <w:fldChar w:fldCharType="end"/>
      </w:r>
      <w:bookmarkEnd w:id="66"/>
      <w:r w:rsidRPr="00037A18">
        <w:t>: Report Toolbar</w:t>
      </w:r>
      <w:r w:rsidR="00BC7F26">
        <w:t xml:space="preserve"> </w:t>
      </w:r>
      <w:r w:rsidR="00BC7F26" w:rsidRPr="00BC7F26">
        <w:rPr>
          <w:vanish/>
        </w:rPr>
        <w:t>DR 4835</w:t>
      </w:r>
    </w:p>
    <w:p w14:paraId="3ABF9EF9" w14:textId="77777777" w:rsidR="002F1554" w:rsidRPr="00A777D2" w:rsidRDefault="00057948" w:rsidP="002F1554">
      <w:pPr>
        <w:pStyle w:val="BodyText"/>
        <w:rPr>
          <w:highlight w:val="yellow"/>
        </w:rPr>
      </w:pPr>
      <w:r>
        <w:rPr>
          <w:noProof/>
        </w:rPr>
        <w:drawing>
          <wp:inline distT="0" distB="0" distL="0" distR="0" wp14:anchorId="6619A0E9" wp14:editId="23E2F7B6">
            <wp:extent cx="4996815" cy="267970"/>
            <wp:effectExtent l="0" t="0" r="0" b="0"/>
            <wp:docPr id="24" name="Picture 24" descr="P688L2#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688L2#yIS1">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96815" cy="267970"/>
                    </a:xfrm>
                    <a:prstGeom prst="rect">
                      <a:avLst/>
                    </a:prstGeom>
                    <a:noFill/>
                    <a:ln>
                      <a:noFill/>
                    </a:ln>
                  </pic:spPr>
                </pic:pic>
              </a:graphicData>
            </a:graphic>
          </wp:inline>
        </w:drawing>
      </w:r>
    </w:p>
    <w:p w14:paraId="6442898D" w14:textId="77777777" w:rsidR="002F1554" w:rsidRPr="00037A18" w:rsidRDefault="002F1554" w:rsidP="002F1554">
      <w:pPr>
        <w:pStyle w:val="Heading3"/>
      </w:pPr>
      <w:bookmarkStart w:id="67" w:name="_Toc4588717"/>
      <w:r w:rsidRPr="00037A18">
        <w:t>Navigation Arrows and Report Pages</w:t>
      </w:r>
      <w:bookmarkEnd w:id="67"/>
      <w:r w:rsidR="00270083">
        <w:t xml:space="preserve"> </w:t>
      </w:r>
      <w:r w:rsidR="00270083" w:rsidRPr="00270083">
        <w:rPr>
          <w:rFonts w:ascii="Arial Bold" w:hAnsi="Arial Bold"/>
          <w:vanish/>
        </w:rPr>
        <w:t>DR 4761</w:t>
      </w:r>
      <w:r w:rsidRPr="00FC73FB">
        <w:rPr>
          <w:rFonts w:ascii="Arial Bold" w:hAnsi="Arial Bold"/>
          <w:vanish/>
        </w:rPr>
        <w:t xml:space="preserve"> DR 4589</w:t>
      </w:r>
    </w:p>
    <w:p w14:paraId="67A3D0EB" w14:textId="77777777" w:rsidR="002F1554" w:rsidRPr="00037A18" w:rsidRDefault="002F1554" w:rsidP="002F1554">
      <w:pPr>
        <w:rPr>
          <w:sz w:val="22"/>
          <w:szCs w:val="22"/>
        </w:rPr>
      </w:pPr>
      <w:r w:rsidRPr="00037A18">
        <w:rPr>
          <w:sz w:val="22"/>
          <w:szCs w:val="22"/>
        </w:rPr>
        <w:t xml:space="preserve">Navigation arrows allow the user to move to the next or previous page of the report. If the user is on the first page of the report, the arrows pointing to the left will be disabled. If the user is on the last page of the report, the arrows pointing to the right will be disabled. </w:t>
      </w:r>
    </w:p>
    <w:p w14:paraId="1292BA64" w14:textId="4DF59186" w:rsidR="00540EB1" w:rsidRDefault="002F1554" w:rsidP="0066150B">
      <w:pPr>
        <w:spacing w:after="100" w:afterAutospacing="1"/>
        <w:rPr>
          <w:sz w:val="22"/>
          <w:szCs w:val="22"/>
        </w:rPr>
      </w:pPr>
      <w:r w:rsidRPr="00037A18">
        <w:rPr>
          <w:sz w:val="22"/>
          <w:szCs w:val="22"/>
        </w:rPr>
        <w:t xml:space="preserve">The first arrow button </w:t>
      </w:r>
      <w:r w:rsidR="00057948">
        <w:rPr>
          <w:noProof/>
          <w:sz w:val="22"/>
          <w:szCs w:val="22"/>
        </w:rPr>
        <w:drawing>
          <wp:inline distT="0" distB="0" distL="0" distR="0" wp14:anchorId="0C1A4952" wp14:editId="5545B737">
            <wp:extent cx="221615" cy="249555"/>
            <wp:effectExtent l="0" t="0" r="6985" b="0"/>
            <wp:docPr id="25" name="Picture 25" descr="P691L2#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691L2#yIS1">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615" cy="249555"/>
                    </a:xfrm>
                    <a:prstGeom prst="rect">
                      <a:avLst/>
                    </a:prstGeom>
                    <a:noFill/>
                    <a:ln>
                      <a:noFill/>
                    </a:ln>
                  </pic:spPr>
                </pic:pic>
              </a:graphicData>
            </a:graphic>
          </wp:inline>
        </w:drawing>
      </w:r>
      <w:r w:rsidRPr="00037A18">
        <w:rPr>
          <w:sz w:val="22"/>
          <w:szCs w:val="22"/>
        </w:rPr>
        <w:t xml:space="preserve"> moves the report by one page forward (or backward for left facing arrow). The second </w:t>
      </w:r>
      <w:r w:rsidR="00057948">
        <w:rPr>
          <w:noProof/>
          <w:sz w:val="22"/>
          <w:szCs w:val="22"/>
        </w:rPr>
        <w:drawing>
          <wp:inline distT="0" distB="0" distL="0" distR="0" wp14:anchorId="07FC4DDC" wp14:editId="6E92985D">
            <wp:extent cx="249555" cy="240030"/>
            <wp:effectExtent l="0" t="0" r="0" b="7620"/>
            <wp:docPr id="26" name="Picture 26" descr="P691L2#yIS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691L2#yIS2">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55" cy="240030"/>
                    </a:xfrm>
                    <a:prstGeom prst="rect">
                      <a:avLst/>
                    </a:prstGeom>
                    <a:noFill/>
                    <a:ln>
                      <a:noFill/>
                    </a:ln>
                  </pic:spPr>
                </pic:pic>
              </a:graphicData>
            </a:graphic>
          </wp:inline>
        </w:drawing>
      </w:r>
      <w:r w:rsidRPr="00037A18">
        <w:rPr>
          <w:sz w:val="22"/>
          <w:szCs w:val="22"/>
        </w:rPr>
        <w:t xml:space="preserve"> moves the report to either the last or first page (in case of the left facing arrow). The number X of Y tells user which page is currently being viewed (X) and what is the total number of pages (Y).</w:t>
      </w:r>
    </w:p>
    <w:p w14:paraId="60DC91DA" w14:textId="4F2C1CFB" w:rsidR="00B413D4" w:rsidRDefault="00B413D4" w:rsidP="0066150B">
      <w:pPr>
        <w:spacing w:after="100" w:afterAutospacing="1"/>
        <w:rPr>
          <w:sz w:val="22"/>
          <w:szCs w:val="22"/>
        </w:rPr>
      </w:pPr>
      <w:r>
        <w:rPr>
          <w:sz w:val="22"/>
          <w:szCs w:val="22"/>
        </w:rPr>
        <w:t xml:space="preserve">Using arrow keys may cause erroneous “Invalid Key Pressed” messages or swap values while entering control results. Use the mouse to move between cells instead of using the arrow keys. Verify the control cell entries are correct before saving. </w:t>
      </w:r>
      <w:r w:rsidRPr="00B413D4">
        <w:rPr>
          <w:vanish/>
          <w:sz w:val="22"/>
          <w:szCs w:val="22"/>
        </w:rPr>
        <w:t>Defect 209946</w:t>
      </w:r>
    </w:p>
    <w:p w14:paraId="22053AD6" w14:textId="77777777" w:rsidR="00BC7F26" w:rsidRDefault="00D611E5" w:rsidP="00D611E5">
      <w:pPr>
        <w:pStyle w:val="Heading3"/>
      </w:pPr>
      <w:bookmarkStart w:id="68" w:name="_Toc369769739"/>
      <w:bookmarkStart w:id="69" w:name="_Ref370117404"/>
      <w:bookmarkStart w:id="70" w:name="_Ref370803698"/>
      <w:bookmarkStart w:id="71" w:name="_Ref370807571"/>
      <w:bookmarkStart w:id="72" w:name="_Toc4588718"/>
      <w:r>
        <w:t>Report Layout</w:t>
      </w:r>
      <w:bookmarkEnd w:id="68"/>
      <w:bookmarkEnd w:id="69"/>
      <w:bookmarkEnd w:id="70"/>
      <w:bookmarkEnd w:id="71"/>
      <w:bookmarkEnd w:id="72"/>
    </w:p>
    <w:p w14:paraId="3DAEF989" w14:textId="77777777" w:rsidR="00D611E5" w:rsidRPr="00BC7F26" w:rsidRDefault="00BC7F26" w:rsidP="00D611E5">
      <w:pPr>
        <w:pStyle w:val="Heading3"/>
        <w:rPr>
          <w:rFonts w:ascii="Arial Bold" w:hAnsi="Arial Bold"/>
          <w:vanish/>
        </w:rPr>
      </w:pPr>
      <w:r w:rsidRPr="00BC7F26">
        <w:rPr>
          <w:rFonts w:ascii="Arial Bold" w:hAnsi="Arial Bold"/>
          <w:vanish/>
        </w:rPr>
        <w:t>DR 4835</w:t>
      </w:r>
    </w:p>
    <w:p w14:paraId="7CA7D5C8" w14:textId="7A6E9D65" w:rsidR="00D611E5" w:rsidRDefault="00D611E5" w:rsidP="00004139">
      <w:pPr>
        <w:spacing w:before="100" w:beforeAutospacing="1" w:after="100" w:afterAutospacing="1"/>
        <w:rPr>
          <w:sz w:val="22"/>
          <w:szCs w:val="22"/>
        </w:rPr>
      </w:pPr>
      <w:r w:rsidRPr="00D611E5">
        <w:rPr>
          <w:sz w:val="22"/>
          <w:szCs w:val="22"/>
        </w:rPr>
        <w:t xml:space="preserve">There are two ways (layouts) in which reports can be displayed. By default, reports are displayed in Print Layout. It allows reports to appear on the screen exactly how they will look when printed. </w:t>
      </w:r>
      <w:r w:rsidR="00525D98" w:rsidRPr="00D611E5">
        <w:rPr>
          <w:sz w:val="22"/>
          <w:szCs w:val="22"/>
        </w:rPr>
        <w:t>However,</w:t>
      </w:r>
      <w:r w:rsidRPr="00D611E5">
        <w:rPr>
          <w:sz w:val="22"/>
          <w:szCs w:val="22"/>
        </w:rPr>
        <w:t xml:space="preserve"> when reports are displayed in Print Layout mode, the Report Search function (see </w:t>
      </w:r>
      <w:r w:rsidRPr="00D611E5">
        <w:rPr>
          <w:sz w:val="22"/>
          <w:szCs w:val="22"/>
        </w:rPr>
        <w:fldChar w:fldCharType="begin" w:fldLock="1"/>
      </w:r>
      <w:r w:rsidRPr="00D611E5">
        <w:rPr>
          <w:sz w:val="22"/>
          <w:szCs w:val="22"/>
        </w:rPr>
        <w:instrText xml:space="preserve"> REF _Ref370803220 \h </w:instrText>
      </w:r>
      <w:r>
        <w:rPr>
          <w:sz w:val="22"/>
          <w:szCs w:val="22"/>
        </w:rPr>
        <w:instrText xml:space="preserve"> \* MERGEFORMAT </w:instrText>
      </w:r>
      <w:r w:rsidRPr="00D611E5">
        <w:rPr>
          <w:sz w:val="22"/>
          <w:szCs w:val="22"/>
        </w:rPr>
      </w:r>
      <w:r w:rsidRPr="00D611E5">
        <w:rPr>
          <w:sz w:val="22"/>
          <w:szCs w:val="22"/>
        </w:rPr>
        <w:fldChar w:fldCharType="separate"/>
      </w:r>
      <w:r w:rsidR="00AB304C" w:rsidRPr="00AB304C">
        <w:rPr>
          <w:sz w:val="22"/>
          <w:szCs w:val="22"/>
        </w:rPr>
        <w:t>Report Search</w:t>
      </w:r>
      <w:r w:rsidRPr="00D611E5">
        <w:rPr>
          <w:sz w:val="22"/>
          <w:szCs w:val="22"/>
        </w:rPr>
        <w:fldChar w:fldCharType="end"/>
      </w:r>
      <w:r w:rsidRPr="00D611E5">
        <w:rPr>
          <w:sz w:val="22"/>
          <w:szCs w:val="22"/>
        </w:rPr>
        <w:t xml:space="preserve">) is disabled. In order to be able to use Report Search, the user has to turn off Print Layout mode by pressing this icon: </w:t>
      </w:r>
      <w:r w:rsidR="00057948">
        <w:rPr>
          <w:noProof/>
          <w:sz w:val="22"/>
          <w:szCs w:val="22"/>
        </w:rPr>
        <w:drawing>
          <wp:inline distT="0" distB="0" distL="0" distR="0" wp14:anchorId="3F45EBE2" wp14:editId="08EC0A65">
            <wp:extent cx="276860" cy="276860"/>
            <wp:effectExtent l="0" t="0" r="8890" b="8890"/>
            <wp:docPr id="27" name="Picture 27" descr="P694L2#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694L2#yIS1">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6860" cy="276860"/>
                    </a:xfrm>
                    <a:prstGeom prst="rect">
                      <a:avLst/>
                    </a:prstGeom>
                    <a:noFill/>
                    <a:ln>
                      <a:noFill/>
                    </a:ln>
                  </pic:spPr>
                </pic:pic>
              </a:graphicData>
            </a:graphic>
          </wp:inline>
        </w:drawing>
      </w:r>
      <w:r w:rsidRPr="00D611E5">
        <w:rPr>
          <w:sz w:val="22"/>
          <w:szCs w:val="22"/>
        </w:rPr>
        <w:t xml:space="preserve">. When Print Layout is disabled, the icon will look like this: </w:t>
      </w:r>
      <w:r w:rsidR="00057948">
        <w:rPr>
          <w:noProof/>
          <w:sz w:val="22"/>
          <w:szCs w:val="22"/>
        </w:rPr>
        <w:drawing>
          <wp:inline distT="0" distB="0" distL="0" distR="0" wp14:anchorId="0990060F" wp14:editId="625779AA">
            <wp:extent cx="221615" cy="249555"/>
            <wp:effectExtent l="0" t="0" r="6985" b="0"/>
            <wp:docPr id="28" name="Picture 28" descr="P694L2#yIS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694L2#yIS2">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1615" cy="249555"/>
                    </a:xfrm>
                    <a:prstGeom prst="rect">
                      <a:avLst/>
                    </a:prstGeom>
                    <a:noFill/>
                    <a:ln>
                      <a:noFill/>
                    </a:ln>
                  </pic:spPr>
                </pic:pic>
              </a:graphicData>
            </a:graphic>
          </wp:inline>
        </w:drawing>
      </w:r>
      <w:r w:rsidRPr="00D611E5">
        <w:rPr>
          <w:sz w:val="22"/>
          <w:szCs w:val="22"/>
        </w:rPr>
        <w:t>. It can be pressed again to return to Print Layout mode.</w:t>
      </w:r>
    </w:p>
    <w:p w14:paraId="4DC151C4" w14:textId="77777777" w:rsidR="00D611E5" w:rsidRPr="00D611E5" w:rsidRDefault="00D611E5" w:rsidP="00D611E5">
      <w:pPr>
        <w:rPr>
          <w:sz w:val="22"/>
          <w:szCs w:val="22"/>
        </w:rPr>
      </w:pPr>
      <w:r w:rsidRPr="00D611E5">
        <w:rPr>
          <w:sz w:val="22"/>
          <w:szCs w:val="22"/>
        </w:rPr>
        <w:t>Page size of reports not displayed in Print Layout mode differs from the regular letter size (8.5in. x 11in.) and that is why the total number of pages for the same report displayed in different layouts may differ.</w:t>
      </w:r>
    </w:p>
    <w:p w14:paraId="0C6AACA4" w14:textId="77777777" w:rsidR="00BF56F1" w:rsidRPr="00037A18" w:rsidRDefault="00004139" w:rsidP="00BF56F1">
      <w:pPr>
        <w:pStyle w:val="Heading3"/>
      </w:pPr>
      <w:r>
        <w:br w:type="page"/>
      </w:r>
      <w:bookmarkStart w:id="73" w:name="_Toc4588719"/>
      <w:r w:rsidR="00BF56F1" w:rsidRPr="00037A18">
        <w:lastRenderedPageBreak/>
        <w:t>Report Zoom-in/Zoom-out</w:t>
      </w:r>
      <w:bookmarkEnd w:id="73"/>
    </w:p>
    <w:p w14:paraId="736DBA49" w14:textId="2BECEA71" w:rsidR="00BF56F1" w:rsidRPr="00671EA6" w:rsidRDefault="00BF56F1" w:rsidP="00BF56F1">
      <w:pPr>
        <w:rPr>
          <w:sz w:val="22"/>
          <w:szCs w:val="22"/>
        </w:rPr>
      </w:pPr>
      <w:r w:rsidRPr="00671EA6">
        <w:rPr>
          <w:sz w:val="22"/>
          <w:szCs w:val="22"/>
        </w:rPr>
        <w:t>Clicking the drop-down menu showing 100% will give the user a choice of the report display size (</w:t>
      </w:r>
      <w:r w:rsidR="00430868" w:rsidRPr="00671EA6">
        <w:rPr>
          <w:sz w:val="22"/>
          <w:szCs w:val="22"/>
        </w:rPr>
        <w:fldChar w:fldCharType="begin" w:fldLock="1"/>
      </w:r>
      <w:r w:rsidR="00430868" w:rsidRPr="00671EA6">
        <w:rPr>
          <w:sz w:val="22"/>
          <w:szCs w:val="22"/>
        </w:rPr>
        <w:instrText xml:space="preserve"> REF _Ref353985437 \h </w:instrText>
      </w:r>
      <w:r w:rsidR="00671EA6">
        <w:rPr>
          <w:sz w:val="22"/>
          <w:szCs w:val="22"/>
        </w:rPr>
        <w:instrText xml:space="preserve"> \* MERGEFORMAT </w:instrText>
      </w:r>
      <w:r w:rsidR="00430868" w:rsidRPr="00671EA6">
        <w:rPr>
          <w:sz w:val="22"/>
          <w:szCs w:val="22"/>
        </w:rPr>
      </w:r>
      <w:r w:rsidR="00430868" w:rsidRPr="00671EA6">
        <w:rPr>
          <w:sz w:val="22"/>
          <w:szCs w:val="22"/>
        </w:rPr>
        <w:fldChar w:fldCharType="separate"/>
      </w:r>
      <w:r w:rsidR="00AB304C" w:rsidRPr="00AB304C">
        <w:rPr>
          <w:sz w:val="22"/>
          <w:szCs w:val="22"/>
        </w:rPr>
        <w:t xml:space="preserve">Figure </w:t>
      </w:r>
      <w:r w:rsidR="00AB304C" w:rsidRPr="00AB304C">
        <w:rPr>
          <w:noProof/>
          <w:sz w:val="22"/>
          <w:szCs w:val="22"/>
        </w:rPr>
        <w:t>10</w:t>
      </w:r>
      <w:r w:rsidR="00430868" w:rsidRPr="00671EA6">
        <w:rPr>
          <w:sz w:val="22"/>
          <w:szCs w:val="22"/>
        </w:rPr>
        <w:fldChar w:fldCharType="end"/>
      </w:r>
      <w:r w:rsidRPr="00671EA6">
        <w:rPr>
          <w:sz w:val="22"/>
          <w:szCs w:val="22"/>
        </w:rPr>
        <w:t>).</w:t>
      </w:r>
    </w:p>
    <w:p w14:paraId="539070E3" w14:textId="27FAA78B" w:rsidR="00BF56F1" w:rsidRPr="00037A18" w:rsidRDefault="00BF56F1" w:rsidP="00BF56F1">
      <w:pPr>
        <w:pStyle w:val="Caption"/>
      </w:pPr>
      <w:bookmarkStart w:id="74" w:name="_Ref353985437"/>
      <w:r w:rsidRPr="00037A18">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10</w:t>
      </w:r>
      <w:r w:rsidR="004E20BD">
        <w:rPr>
          <w:noProof/>
        </w:rPr>
        <w:fldChar w:fldCharType="end"/>
      </w:r>
      <w:bookmarkEnd w:id="74"/>
      <w:r w:rsidRPr="00037A18">
        <w:t>: Report Zoom-in/Zoom-out Control</w:t>
      </w:r>
    </w:p>
    <w:p w14:paraId="6747A3BB" w14:textId="77777777" w:rsidR="00BF56F1" w:rsidRPr="00A777D2" w:rsidRDefault="00057948" w:rsidP="00BF56F1">
      <w:pPr>
        <w:pStyle w:val="BodyText"/>
        <w:rPr>
          <w:highlight w:val="yellow"/>
        </w:rPr>
      </w:pPr>
      <w:r>
        <w:rPr>
          <w:noProof/>
        </w:rPr>
        <w:drawing>
          <wp:inline distT="0" distB="0" distL="0" distR="0" wp14:anchorId="75D98F1D" wp14:editId="50E358B5">
            <wp:extent cx="1089660" cy="1412875"/>
            <wp:effectExtent l="19050" t="19050" r="15240" b="15875"/>
            <wp:docPr id="29" name="Picture 29" descr="P699L2#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699L2#yIS1">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89660" cy="1412875"/>
                    </a:xfrm>
                    <a:prstGeom prst="rect">
                      <a:avLst/>
                    </a:prstGeom>
                    <a:noFill/>
                    <a:ln w="6350" cmpd="sng">
                      <a:solidFill>
                        <a:srgbClr val="000000"/>
                      </a:solidFill>
                      <a:miter lim="800000"/>
                      <a:headEnd/>
                      <a:tailEnd/>
                    </a:ln>
                    <a:effectLst/>
                  </pic:spPr>
                </pic:pic>
              </a:graphicData>
            </a:graphic>
          </wp:inline>
        </w:drawing>
      </w:r>
    </w:p>
    <w:p w14:paraId="42613305" w14:textId="77777777" w:rsidR="00BF56F1" w:rsidRDefault="00BF56F1" w:rsidP="002F1554">
      <w:pPr>
        <w:rPr>
          <w:sz w:val="22"/>
          <w:szCs w:val="22"/>
        </w:rPr>
      </w:pPr>
      <w:r w:rsidRPr="00037A18">
        <w:rPr>
          <w:sz w:val="22"/>
          <w:szCs w:val="22"/>
        </w:rPr>
        <w:t>The default value is 100%. The option Page Width will resize the report to fit the screen horizontal size. The option Whole Page will display the entire page on the screen. Selecting an option less than 100% will zoom out the report making the font smaller and allowing more data to fit on the screen. Selecting an option higher than 100% will zoom in the report making the font bigger. If the report does not fit on the screen, the user will be able to use scroll bars to scroll up or down and left or r</w:t>
      </w:r>
      <w:r>
        <w:rPr>
          <w:sz w:val="22"/>
          <w:szCs w:val="22"/>
        </w:rPr>
        <w:t>ight to view the entire report.</w:t>
      </w:r>
    </w:p>
    <w:p w14:paraId="25EF2AD9" w14:textId="77777777" w:rsidR="00540EB1" w:rsidRPr="00037A18" w:rsidRDefault="00540EB1" w:rsidP="00540EB1">
      <w:pPr>
        <w:pStyle w:val="Heading3"/>
      </w:pPr>
      <w:bookmarkStart w:id="75" w:name="_Ref370803220"/>
      <w:bookmarkStart w:id="76" w:name="_Toc4588720"/>
      <w:r w:rsidRPr="00037A18">
        <w:t>Report Search</w:t>
      </w:r>
      <w:bookmarkEnd w:id="75"/>
      <w:bookmarkEnd w:id="76"/>
      <w:r w:rsidR="00BC7F26">
        <w:t xml:space="preserve"> </w:t>
      </w:r>
      <w:r w:rsidR="00BC7F26" w:rsidRPr="00BC7F26">
        <w:rPr>
          <w:rFonts w:ascii="Arial Bold" w:hAnsi="Arial Bold"/>
          <w:vanish/>
        </w:rPr>
        <w:t>DR 4835</w:t>
      </w:r>
    </w:p>
    <w:p w14:paraId="634B8D1D" w14:textId="64B22300" w:rsidR="00540EB1" w:rsidRPr="00A510F2" w:rsidRDefault="00540EB1" w:rsidP="00540EB1">
      <w:pPr>
        <w:rPr>
          <w:sz w:val="22"/>
          <w:szCs w:val="22"/>
        </w:rPr>
      </w:pPr>
      <w:r w:rsidRPr="00A510F2">
        <w:rPr>
          <w:sz w:val="22"/>
          <w:szCs w:val="22"/>
        </w:rPr>
        <w:t>This option allows the user to searc</w:t>
      </w:r>
      <w:r w:rsidR="006B122E" w:rsidRPr="00A510F2">
        <w:rPr>
          <w:sz w:val="22"/>
          <w:szCs w:val="22"/>
        </w:rPr>
        <w:t>h for specific text in a report and is only enabled if Print Layout is disabled</w:t>
      </w:r>
      <w:r w:rsidR="00A510F2" w:rsidRPr="00A510F2">
        <w:rPr>
          <w:sz w:val="22"/>
          <w:szCs w:val="22"/>
        </w:rPr>
        <w:t xml:space="preserve"> (see </w:t>
      </w:r>
      <w:r w:rsidR="00A510F2" w:rsidRPr="00A510F2">
        <w:rPr>
          <w:sz w:val="22"/>
          <w:szCs w:val="22"/>
        </w:rPr>
        <w:fldChar w:fldCharType="begin" w:fldLock="1"/>
      </w:r>
      <w:r w:rsidR="00A510F2" w:rsidRPr="00A510F2">
        <w:rPr>
          <w:sz w:val="22"/>
          <w:szCs w:val="22"/>
        </w:rPr>
        <w:instrText xml:space="preserve"> REF _Ref370807571 \h </w:instrText>
      </w:r>
      <w:r w:rsidR="00A510F2">
        <w:rPr>
          <w:sz w:val="22"/>
          <w:szCs w:val="22"/>
        </w:rPr>
        <w:instrText xml:space="preserve"> \* MERGEFORMAT </w:instrText>
      </w:r>
      <w:r w:rsidR="00A510F2" w:rsidRPr="00A510F2">
        <w:rPr>
          <w:sz w:val="22"/>
          <w:szCs w:val="22"/>
        </w:rPr>
      </w:r>
      <w:r w:rsidR="00A510F2" w:rsidRPr="00A510F2">
        <w:rPr>
          <w:sz w:val="22"/>
          <w:szCs w:val="22"/>
        </w:rPr>
        <w:fldChar w:fldCharType="separate"/>
      </w:r>
      <w:r w:rsidR="00AB304C" w:rsidRPr="00AB304C">
        <w:rPr>
          <w:sz w:val="22"/>
          <w:szCs w:val="22"/>
        </w:rPr>
        <w:t>Report Layout</w:t>
      </w:r>
      <w:r w:rsidR="00A510F2" w:rsidRPr="00A510F2">
        <w:rPr>
          <w:sz w:val="22"/>
          <w:szCs w:val="22"/>
        </w:rPr>
        <w:fldChar w:fldCharType="end"/>
      </w:r>
      <w:r w:rsidR="00A510F2" w:rsidRPr="00A510F2">
        <w:rPr>
          <w:sz w:val="22"/>
          <w:szCs w:val="22"/>
        </w:rPr>
        <w:t>)</w:t>
      </w:r>
      <w:r w:rsidR="006B122E" w:rsidRPr="00A510F2">
        <w:rPr>
          <w:sz w:val="22"/>
          <w:szCs w:val="22"/>
        </w:rPr>
        <w:t>.</w:t>
      </w:r>
      <w:r w:rsidRPr="00A510F2">
        <w:rPr>
          <w:sz w:val="22"/>
          <w:szCs w:val="22"/>
        </w:rPr>
        <w:t xml:space="preserve"> By default, the </w:t>
      </w:r>
      <w:r w:rsidRPr="00A510F2">
        <w:rPr>
          <w:b/>
          <w:sz w:val="22"/>
          <w:szCs w:val="22"/>
        </w:rPr>
        <w:t>Find</w:t>
      </w:r>
      <w:r w:rsidRPr="00A510F2">
        <w:rPr>
          <w:sz w:val="22"/>
          <w:szCs w:val="22"/>
        </w:rPr>
        <w:t xml:space="preserve"> and </w:t>
      </w:r>
      <w:r w:rsidRPr="00A510F2">
        <w:rPr>
          <w:b/>
          <w:sz w:val="22"/>
          <w:szCs w:val="22"/>
        </w:rPr>
        <w:t>Next</w:t>
      </w:r>
      <w:r w:rsidRPr="00A510F2">
        <w:rPr>
          <w:sz w:val="22"/>
          <w:szCs w:val="22"/>
        </w:rPr>
        <w:t xml:space="preserve"> buttons are disabled. Once the user enters text in the search box, the </w:t>
      </w:r>
      <w:r w:rsidRPr="00A510F2">
        <w:rPr>
          <w:b/>
          <w:sz w:val="22"/>
          <w:szCs w:val="22"/>
        </w:rPr>
        <w:t>Find</w:t>
      </w:r>
      <w:r w:rsidRPr="00A510F2">
        <w:rPr>
          <w:sz w:val="22"/>
          <w:szCs w:val="22"/>
        </w:rPr>
        <w:t xml:space="preserve"> button becomes enabled (</w:t>
      </w:r>
      <w:r w:rsidR="00430868" w:rsidRPr="00A510F2">
        <w:rPr>
          <w:sz w:val="22"/>
          <w:szCs w:val="22"/>
        </w:rPr>
        <w:fldChar w:fldCharType="begin" w:fldLock="1"/>
      </w:r>
      <w:r w:rsidR="00430868" w:rsidRPr="00A510F2">
        <w:rPr>
          <w:sz w:val="22"/>
          <w:szCs w:val="22"/>
        </w:rPr>
        <w:instrText xml:space="preserve"> REF _Ref353985455 \h </w:instrText>
      </w:r>
      <w:r w:rsidR="00A510F2">
        <w:rPr>
          <w:sz w:val="22"/>
          <w:szCs w:val="22"/>
        </w:rPr>
        <w:instrText xml:space="preserve"> \* MERGEFORMAT </w:instrText>
      </w:r>
      <w:r w:rsidR="00430868" w:rsidRPr="00A510F2">
        <w:rPr>
          <w:sz w:val="22"/>
          <w:szCs w:val="22"/>
        </w:rPr>
      </w:r>
      <w:r w:rsidR="00430868" w:rsidRPr="00A510F2">
        <w:rPr>
          <w:sz w:val="22"/>
          <w:szCs w:val="22"/>
        </w:rPr>
        <w:fldChar w:fldCharType="separate"/>
      </w:r>
      <w:r w:rsidR="00AB304C" w:rsidRPr="00AB304C">
        <w:rPr>
          <w:sz w:val="22"/>
          <w:szCs w:val="22"/>
        </w:rPr>
        <w:t xml:space="preserve">Figure </w:t>
      </w:r>
      <w:r w:rsidR="00AB304C" w:rsidRPr="00AB304C">
        <w:rPr>
          <w:noProof/>
          <w:sz w:val="22"/>
          <w:szCs w:val="22"/>
        </w:rPr>
        <w:t>11</w:t>
      </w:r>
      <w:r w:rsidR="00430868" w:rsidRPr="00A510F2">
        <w:rPr>
          <w:sz w:val="22"/>
          <w:szCs w:val="22"/>
        </w:rPr>
        <w:fldChar w:fldCharType="end"/>
      </w:r>
      <w:r w:rsidRPr="00A510F2">
        <w:rPr>
          <w:sz w:val="22"/>
          <w:szCs w:val="22"/>
        </w:rPr>
        <w:t>).</w:t>
      </w:r>
    </w:p>
    <w:p w14:paraId="647179E9" w14:textId="5D6FD9D9" w:rsidR="00540EB1" w:rsidRPr="00037A18" w:rsidRDefault="00540EB1" w:rsidP="00540EB1">
      <w:pPr>
        <w:pStyle w:val="Caption"/>
      </w:pPr>
      <w:bookmarkStart w:id="77" w:name="_Ref353985455"/>
      <w:r w:rsidRPr="00037A18">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11</w:t>
      </w:r>
      <w:r w:rsidR="004E20BD">
        <w:rPr>
          <w:noProof/>
        </w:rPr>
        <w:fldChar w:fldCharType="end"/>
      </w:r>
      <w:bookmarkEnd w:id="77"/>
      <w:r w:rsidRPr="00037A18">
        <w:t>: Report Search Control</w:t>
      </w:r>
    </w:p>
    <w:p w14:paraId="705EBA74" w14:textId="77777777" w:rsidR="00540EB1" w:rsidRDefault="00057948" w:rsidP="00540EB1">
      <w:pPr>
        <w:pStyle w:val="BodyText"/>
        <w:rPr>
          <w:highlight w:val="yellow"/>
        </w:rPr>
      </w:pPr>
      <w:r>
        <w:rPr>
          <w:noProof/>
        </w:rPr>
        <w:drawing>
          <wp:inline distT="0" distB="0" distL="0" distR="0" wp14:anchorId="5B2F604D" wp14:editId="3CCEEB73">
            <wp:extent cx="1514475" cy="240030"/>
            <wp:effectExtent l="19050" t="19050" r="28575" b="26670"/>
            <wp:docPr id="30" name="Picture 30" descr="P704L2#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704L2#yIS1">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14475" cy="240030"/>
                    </a:xfrm>
                    <a:prstGeom prst="rect">
                      <a:avLst/>
                    </a:prstGeom>
                    <a:noFill/>
                    <a:ln w="6350" cmpd="sng">
                      <a:solidFill>
                        <a:srgbClr val="000000"/>
                      </a:solidFill>
                      <a:miter lim="800000"/>
                      <a:headEnd/>
                      <a:tailEnd/>
                    </a:ln>
                    <a:effectLst/>
                  </pic:spPr>
                </pic:pic>
              </a:graphicData>
            </a:graphic>
          </wp:inline>
        </w:drawing>
      </w:r>
    </w:p>
    <w:p w14:paraId="7D23FA09" w14:textId="41CB42D6" w:rsidR="00540EB1" w:rsidRPr="00037A18" w:rsidRDefault="00540EB1" w:rsidP="00540EB1">
      <w:pPr>
        <w:pStyle w:val="BodyText"/>
      </w:pPr>
      <w:r w:rsidRPr="00037A18">
        <w:t xml:space="preserve">Clicking the </w:t>
      </w:r>
      <w:r w:rsidRPr="00634DAB">
        <w:rPr>
          <w:b/>
        </w:rPr>
        <w:t>Find</w:t>
      </w:r>
      <w:r w:rsidRPr="00037A18">
        <w:t xml:space="preserve"> button will search the entire report. If the searched text is found, the report will display the page where it was found. The </w:t>
      </w:r>
      <w:r w:rsidRPr="00634DAB">
        <w:rPr>
          <w:b/>
        </w:rPr>
        <w:t>Next</w:t>
      </w:r>
      <w:r w:rsidRPr="00037A18">
        <w:t xml:space="preserve"> button will then become enabled allowing the user to search for subsequent instances of the search string. If the searched text cannot be found, the user will be presented with the message shown in</w:t>
      </w:r>
      <w:r w:rsidR="00430868">
        <w:t xml:space="preserve"> </w:t>
      </w:r>
      <w:r w:rsidR="00430868">
        <w:fldChar w:fldCharType="begin" w:fldLock="1"/>
      </w:r>
      <w:r w:rsidR="00430868">
        <w:instrText xml:space="preserve"> REF _Ref353985470 \h </w:instrText>
      </w:r>
      <w:r w:rsidR="00430868">
        <w:fldChar w:fldCharType="separate"/>
      </w:r>
      <w:r w:rsidR="00AB304C" w:rsidRPr="00037A18">
        <w:t xml:space="preserve">Figure </w:t>
      </w:r>
      <w:r w:rsidR="00AB304C">
        <w:rPr>
          <w:noProof/>
        </w:rPr>
        <w:t>12</w:t>
      </w:r>
      <w:r w:rsidR="00430868">
        <w:fldChar w:fldCharType="end"/>
      </w:r>
      <w:r w:rsidRPr="00037A18">
        <w:t>.</w:t>
      </w:r>
    </w:p>
    <w:p w14:paraId="683C1BE2" w14:textId="50831F6E" w:rsidR="00540EB1" w:rsidRPr="00037A18" w:rsidRDefault="00540EB1" w:rsidP="00540EB1">
      <w:pPr>
        <w:pStyle w:val="Caption"/>
      </w:pPr>
      <w:bookmarkStart w:id="78" w:name="_Ref353985470"/>
      <w:r w:rsidRPr="00037A18">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12</w:t>
      </w:r>
      <w:r w:rsidR="004E20BD">
        <w:rPr>
          <w:noProof/>
        </w:rPr>
        <w:fldChar w:fldCharType="end"/>
      </w:r>
      <w:bookmarkEnd w:id="78"/>
      <w:r w:rsidRPr="00037A18">
        <w:t>: Report Search Warning Message</w:t>
      </w:r>
    </w:p>
    <w:p w14:paraId="6506AD9A" w14:textId="77777777" w:rsidR="002F1554" w:rsidRPr="00D611E5" w:rsidRDefault="00057948" w:rsidP="00BF56F1">
      <w:pPr>
        <w:pStyle w:val="BodyText"/>
      </w:pPr>
      <w:r>
        <w:rPr>
          <w:noProof/>
        </w:rPr>
        <w:drawing>
          <wp:inline distT="0" distB="0" distL="0" distR="0" wp14:anchorId="47334D0C" wp14:editId="692B707E">
            <wp:extent cx="3417570" cy="1385570"/>
            <wp:effectExtent l="19050" t="19050" r="11430" b="24130"/>
            <wp:docPr id="31" name="Picture 31" descr="P707L2#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707L2#yIS1">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17570" cy="1385570"/>
                    </a:xfrm>
                    <a:prstGeom prst="rect">
                      <a:avLst/>
                    </a:prstGeom>
                    <a:noFill/>
                    <a:ln w="6350" cmpd="sng">
                      <a:solidFill>
                        <a:srgbClr val="000000"/>
                      </a:solidFill>
                      <a:miter lim="800000"/>
                      <a:headEnd/>
                      <a:tailEnd/>
                    </a:ln>
                    <a:effectLst/>
                  </pic:spPr>
                </pic:pic>
              </a:graphicData>
            </a:graphic>
          </wp:inline>
        </w:drawing>
      </w:r>
      <w:r w:rsidR="002F1554" w:rsidRPr="00E4667F">
        <w:rPr>
          <w:vanish/>
        </w:rPr>
        <w:t>DR 4589</w:t>
      </w:r>
    </w:p>
    <w:p w14:paraId="4C3EDA7D" w14:textId="77777777" w:rsidR="002F1554" w:rsidRPr="00037A18" w:rsidRDefault="002F1554" w:rsidP="00416BB3">
      <w:pPr>
        <w:pStyle w:val="Heading3"/>
      </w:pPr>
      <w:bookmarkStart w:id="79" w:name="_Ref2774509"/>
      <w:bookmarkStart w:id="80" w:name="_Toc4588721"/>
      <w:r w:rsidRPr="00037A18">
        <w:lastRenderedPageBreak/>
        <w:t>Report Export</w:t>
      </w:r>
      <w:bookmarkEnd w:id="79"/>
      <w:bookmarkEnd w:id="80"/>
    </w:p>
    <w:p w14:paraId="2250DCAE" w14:textId="1178E4BD" w:rsidR="0095742F" w:rsidRDefault="0095742F" w:rsidP="009D47C1">
      <w:pPr>
        <w:rPr>
          <w:sz w:val="22"/>
          <w:szCs w:val="22"/>
        </w:rPr>
      </w:pPr>
      <w:bookmarkStart w:id="81" w:name="_Ref353374027"/>
      <w:r>
        <w:rPr>
          <w:sz w:val="22"/>
          <w:szCs w:val="22"/>
        </w:rPr>
        <w:t>For all sites, rep</w:t>
      </w:r>
      <w:r w:rsidR="00FE6F61">
        <w:rPr>
          <w:sz w:val="22"/>
          <w:szCs w:val="22"/>
        </w:rPr>
        <w:t>orts will be saved</w:t>
      </w:r>
      <w:r>
        <w:rPr>
          <w:sz w:val="22"/>
          <w:szCs w:val="22"/>
        </w:rPr>
        <w:t xml:space="preserve"> in subfolders nam</w:t>
      </w:r>
      <w:r w:rsidR="00150D5C">
        <w:rPr>
          <w:sz w:val="22"/>
          <w:szCs w:val="22"/>
        </w:rPr>
        <w:t>ed after Division Code. VBECS</w:t>
      </w:r>
      <w:r>
        <w:rPr>
          <w:sz w:val="22"/>
          <w:szCs w:val="22"/>
        </w:rPr>
        <w:t xml:space="preserve"> will check </w:t>
      </w:r>
      <w:r w:rsidR="00AD1DDD">
        <w:rPr>
          <w:sz w:val="22"/>
          <w:szCs w:val="22"/>
        </w:rPr>
        <w:t xml:space="preserve">to see </w:t>
      </w:r>
      <w:r>
        <w:rPr>
          <w:sz w:val="22"/>
          <w:szCs w:val="22"/>
        </w:rPr>
        <w:t>if the subfolder exists. If the subfolder does not exist, it will attempt to create it. If the creation fails, it will attempt to save the report to the default re</w:t>
      </w:r>
      <w:r w:rsidR="00150D5C">
        <w:rPr>
          <w:sz w:val="22"/>
          <w:szCs w:val="22"/>
        </w:rPr>
        <w:t>port director</w:t>
      </w:r>
      <w:r w:rsidR="00150D5C" w:rsidRPr="00671EA6">
        <w:rPr>
          <w:sz w:val="22"/>
          <w:szCs w:val="22"/>
        </w:rPr>
        <w:t>y</w:t>
      </w:r>
      <w:r w:rsidR="00671EA6" w:rsidRPr="00671EA6">
        <w:rPr>
          <w:sz w:val="22"/>
          <w:szCs w:val="22"/>
        </w:rPr>
        <w:t xml:space="preserve"> (</w:t>
      </w:r>
      <w:r w:rsidR="00671EA6" w:rsidRPr="00671EA6">
        <w:rPr>
          <w:sz w:val="22"/>
          <w:szCs w:val="22"/>
        </w:rPr>
        <w:fldChar w:fldCharType="begin" w:fldLock="1"/>
      </w:r>
      <w:r w:rsidR="00671EA6" w:rsidRPr="00671EA6">
        <w:rPr>
          <w:sz w:val="22"/>
          <w:szCs w:val="22"/>
        </w:rPr>
        <w:instrText xml:space="preserve"> REF _Ref353374029 \h </w:instrText>
      </w:r>
      <w:r w:rsidR="00671EA6">
        <w:rPr>
          <w:sz w:val="22"/>
          <w:szCs w:val="22"/>
        </w:rPr>
        <w:instrText xml:space="preserve"> \* MERGEFORMAT </w:instrText>
      </w:r>
      <w:r w:rsidR="00671EA6" w:rsidRPr="00671EA6">
        <w:rPr>
          <w:sz w:val="22"/>
          <w:szCs w:val="22"/>
        </w:rPr>
      </w:r>
      <w:r w:rsidR="00671EA6" w:rsidRPr="00671EA6">
        <w:rPr>
          <w:sz w:val="22"/>
          <w:szCs w:val="22"/>
        </w:rPr>
        <w:fldChar w:fldCharType="separate"/>
      </w:r>
      <w:r w:rsidR="00AB304C" w:rsidRPr="00AB304C">
        <w:rPr>
          <w:sz w:val="22"/>
          <w:szCs w:val="22"/>
        </w:rPr>
        <w:t xml:space="preserve">Figure </w:t>
      </w:r>
      <w:r w:rsidR="00AB304C" w:rsidRPr="00AB304C">
        <w:rPr>
          <w:noProof/>
          <w:sz w:val="22"/>
          <w:szCs w:val="22"/>
        </w:rPr>
        <w:t>14</w:t>
      </w:r>
      <w:r w:rsidR="00671EA6" w:rsidRPr="00671EA6">
        <w:rPr>
          <w:sz w:val="22"/>
          <w:szCs w:val="22"/>
        </w:rPr>
        <w:fldChar w:fldCharType="end"/>
      </w:r>
      <w:r w:rsidR="00671EA6" w:rsidRPr="00671EA6">
        <w:rPr>
          <w:sz w:val="22"/>
          <w:szCs w:val="22"/>
        </w:rPr>
        <w:t>).</w:t>
      </w:r>
      <w:r w:rsidRPr="00E63726">
        <w:rPr>
          <w:vanish/>
          <w:sz w:val="22"/>
          <w:szCs w:val="22"/>
        </w:rPr>
        <w:t xml:space="preserve"> Task 502479</w:t>
      </w:r>
    </w:p>
    <w:p w14:paraId="132ECEF0" w14:textId="77777777" w:rsidR="0095742F" w:rsidRDefault="0095742F" w:rsidP="009D47C1">
      <w:pPr>
        <w:rPr>
          <w:sz w:val="22"/>
          <w:szCs w:val="22"/>
        </w:rPr>
      </w:pPr>
    </w:p>
    <w:p w14:paraId="05C58ADB" w14:textId="77777777" w:rsidR="009D47C1" w:rsidRDefault="009D47C1" w:rsidP="009D47C1">
      <w:pPr>
        <w:rPr>
          <w:b/>
          <w:sz w:val="22"/>
          <w:szCs w:val="22"/>
        </w:rPr>
      </w:pPr>
      <w:r w:rsidRPr="00037A18">
        <w:rPr>
          <w:sz w:val="22"/>
          <w:szCs w:val="22"/>
        </w:rPr>
        <w:t>The user has an option to export the re</w:t>
      </w:r>
      <w:r>
        <w:rPr>
          <w:sz w:val="22"/>
          <w:szCs w:val="22"/>
        </w:rPr>
        <w:t xml:space="preserve">port in three different formats: PDF, Excel and Word. The export to PDF creates a report that is Read-Only (may not be modified) and will match the report that users can see directly in VBECS in terms of data and format. The export to Excel and Word creates a report that may be modified. </w:t>
      </w:r>
      <w:r>
        <w:rPr>
          <w:b/>
          <w:sz w:val="22"/>
          <w:szCs w:val="22"/>
        </w:rPr>
        <w:t xml:space="preserve">VBECS reports </w:t>
      </w:r>
      <w:r w:rsidRPr="007839DA">
        <w:rPr>
          <w:b/>
          <w:sz w:val="22"/>
          <w:szCs w:val="22"/>
        </w:rPr>
        <w:t xml:space="preserve">exported </w:t>
      </w:r>
      <w:r>
        <w:rPr>
          <w:b/>
          <w:sz w:val="22"/>
          <w:szCs w:val="22"/>
        </w:rPr>
        <w:t>to Excel or Word can be altered by a user. O</w:t>
      </w:r>
      <w:r w:rsidRPr="007839DA">
        <w:rPr>
          <w:b/>
          <w:sz w:val="22"/>
          <w:szCs w:val="22"/>
        </w:rPr>
        <w:t xml:space="preserve">nly copies printed directly from VBECS should be shared with clinicians to ensure data integrity. </w:t>
      </w:r>
    </w:p>
    <w:p w14:paraId="066CB9D8" w14:textId="77777777" w:rsidR="009D47C1" w:rsidRDefault="00057948" w:rsidP="009D47C1">
      <w:pPr>
        <w:rPr>
          <w:b/>
          <w:sz w:val="22"/>
          <w:szCs w:val="22"/>
        </w:rPr>
      </w:pPr>
      <w:r>
        <w:rPr>
          <w:noProof/>
        </w:rPr>
        <mc:AlternateContent>
          <mc:Choice Requires="wps">
            <w:drawing>
              <wp:anchor distT="0" distB="0" distL="114300" distR="114300" simplePos="0" relativeHeight="251672576" behindDoc="0" locked="0" layoutInCell="1" allowOverlap="1" wp14:anchorId="58B1FC1A" wp14:editId="1CFBC609">
                <wp:simplePos x="0" y="0"/>
                <wp:positionH relativeFrom="column">
                  <wp:posOffset>-24130</wp:posOffset>
                </wp:positionH>
                <wp:positionV relativeFrom="paragraph">
                  <wp:posOffset>111760</wp:posOffset>
                </wp:positionV>
                <wp:extent cx="5949950" cy="809625"/>
                <wp:effectExtent l="13970" t="16510" r="17780" b="21590"/>
                <wp:wrapNone/>
                <wp:docPr id="599" name="Text Box 2" descr="P712L2TB16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809625"/>
                        </a:xfrm>
                        <a:prstGeom prst="rect">
                          <a:avLst/>
                        </a:prstGeom>
                        <a:solidFill>
                          <a:srgbClr val="FFFFFF"/>
                        </a:solidFill>
                        <a:ln w="25400">
                          <a:solidFill>
                            <a:srgbClr val="FF0000"/>
                          </a:solidFill>
                          <a:miter lim="800000"/>
                          <a:headEnd/>
                          <a:tailEnd/>
                        </a:ln>
                      </wps:spPr>
                      <wps:txbx>
                        <w:txbxContent>
                          <w:p w14:paraId="1C56B0D4" w14:textId="77777777" w:rsidR="004261EB" w:rsidRDefault="004261EB" w:rsidP="009D47C1">
                            <w:pPr>
                              <w:rPr>
                                <w:sz w:val="22"/>
                                <w:szCs w:val="22"/>
                              </w:rPr>
                            </w:pPr>
                            <w:r w:rsidRPr="007839DA">
                              <w:rPr>
                                <w:b/>
                                <w:sz w:val="22"/>
                                <w:szCs w:val="22"/>
                              </w:rPr>
                              <w:t>The data output from VBECS is not controlled by the medical device and must be strictly regulated by local facility personnel. Many of the reports contain patient sensitive information and must be treated as such. Use of the exported reports, including alteration of data, is the responsibility of the user.</w:t>
                            </w:r>
                            <w:r w:rsidRPr="007839DA">
                              <w:rPr>
                                <w:sz w:val="22"/>
                                <w:szCs w:val="22"/>
                              </w:rPr>
                              <w:t xml:space="preserve"> </w:t>
                            </w:r>
                          </w:p>
                          <w:p w14:paraId="44CA6891" w14:textId="77777777" w:rsidR="004261EB" w:rsidRDefault="004261EB" w:rsidP="009D47C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B1FC1A" id="_x0000_t202" coordsize="21600,21600" o:spt="202" path="m,l,21600r21600,l21600,xe">
                <v:stroke joinstyle="miter"/>
                <v:path gradientshapeok="t" o:connecttype="rect"/>
              </v:shapetype>
              <v:shape id="Text Box 2" o:spid="_x0000_s1026" type="#_x0000_t202" alt="P712L2TB167#y1" style="position:absolute;margin-left:-1.9pt;margin-top:8.8pt;width:468.5pt;height:6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" strokecolor="red" strokeweight="2pt">
                <v:textbox>
                  <w:txbxContent>
                    <w:p w14:paraId="1C56B0D4" w14:textId="77777777" w:rsidR="004261EB" w:rsidRDefault="004261EB" w:rsidP="009D47C1">
                      <w:pPr>
                        <w:rPr>
                          <w:sz w:val="22"/>
                          <w:szCs w:val="22"/>
                        </w:rPr>
                      </w:pPr>
                      <w:r w:rsidRPr="007839DA">
                        <w:rPr>
                          <w:b/>
                          <w:sz w:val="22"/>
                          <w:szCs w:val="22"/>
                        </w:rPr>
                        <w:t>The data output from VBECS is not controlled by the medical device and must be strictly regulated by local facility personnel. Many of the reports contain patient sensitive information and must be treated as such. Use of the exported reports, including alteration of data, is the responsibility of the user.</w:t>
                      </w:r>
                      <w:r w:rsidRPr="007839DA">
                        <w:rPr>
                          <w:sz w:val="22"/>
                          <w:szCs w:val="22"/>
                        </w:rPr>
                        <w:t xml:space="preserve"> </w:t>
                      </w:r>
                    </w:p>
                    <w:p w14:paraId="44CA6891" w14:textId="77777777" w:rsidR="004261EB" w:rsidRDefault="004261EB" w:rsidP="009D47C1"/>
                  </w:txbxContent>
                </v:textbox>
              </v:shape>
            </w:pict>
          </mc:Fallback>
        </mc:AlternateContent>
      </w:r>
    </w:p>
    <w:p w14:paraId="1422557C" w14:textId="77777777" w:rsidR="009D47C1" w:rsidRDefault="009D47C1" w:rsidP="009D47C1">
      <w:pPr>
        <w:rPr>
          <w:b/>
          <w:sz w:val="22"/>
          <w:szCs w:val="22"/>
        </w:rPr>
      </w:pPr>
    </w:p>
    <w:p w14:paraId="04362A80" w14:textId="77777777" w:rsidR="009D47C1" w:rsidRDefault="009D47C1" w:rsidP="009D47C1">
      <w:pPr>
        <w:rPr>
          <w:b/>
          <w:sz w:val="22"/>
          <w:szCs w:val="22"/>
        </w:rPr>
      </w:pPr>
    </w:p>
    <w:p w14:paraId="2D0929AC" w14:textId="77777777" w:rsidR="009D47C1" w:rsidRDefault="009D47C1" w:rsidP="009D47C1">
      <w:pPr>
        <w:rPr>
          <w:b/>
          <w:sz w:val="22"/>
          <w:szCs w:val="22"/>
        </w:rPr>
      </w:pPr>
    </w:p>
    <w:p w14:paraId="539075AA" w14:textId="77777777" w:rsidR="009D47C1" w:rsidRDefault="009D47C1" w:rsidP="009D47C1">
      <w:pPr>
        <w:rPr>
          <w:b/>
          <w:sz w:val="22"/>
          <w:szCs w:val="22"/>
        </w:rPr>
      </w:pPr>
    </w:p>
    <w:p w14:paraId="67FECDDA" w14:textId="77777777" w:rsidR="009D47C1" w:rsidRDefault="009D47C1" w:rsidP="009D47C1">
      <w:pPr>
        <w:rPr>
          <w:b/>
          <w:sz w:val="22"/>
          <w:szCs w:val="22"/>
        </w:rPr>
      </w:pPr>
    </w:p>
    <w:p w14:paraId="352C0EE5" w14:textId="77777777" w:rsidR="009D47C1" w:rsidRDefault="009D47C1" w:rsidP="009D47C1">
      <w:pPr>
        <w:rPr>
          <w:sz w:val="22"/>
          <w:szCs w:val="22"/>
        </w:rPr>
      </w:pPr>
      <w:r w:rsidRPr="005956D0">
        <w:rPr>
          <w:vanish/>
          <w:sz w:val="22"/>
          <w:szCs w:val="22"/>
        </w:rPr>
        <w:t>DR 4627</w:t>
      </w:r>
    </w:p>
    <w:p w14:paraId="764433D7" w14:textId="27239C86" w:rsidR="009D47C1" w:rsidRPr="009D47C1" w:rsidRDefault="009D47C1" w:rsidP="009D47C1">
      <w:pPr>
        <w:rPr>
          <w:sz w:val="22"/>
          <w:szCs w:val="22"/>
        </w:rPr>
      </w:pPr>
      <w:r w:rsidRPr="009D47C1">
        <w:rPr>
          <w:sz w:val="22"/>
          <w:szCs w:val="22"/>
        </w:rPr>
        <w:t xml:space="preserve">Export of the reports to Excel and Word comes with known problems. Reports exported to Excel or Word contain the same data as reports that can be seen directly in VBECS; however, their formatting may differ from the original report. Not all reports can be exported to all the identified formats. </w:t>
      </w:r>
      <w:r w:rsidRPr="009D47C1">
        <w:rPr>
          <w:sz w:val="22"/>
          <w:szCs w:val="22"/>
        </w:rPr>
        <w:fldChar w:fldCharType="begin" w:fldLock="1"/>
      </w:r>
      <w:r w:rsidRPr="009D47C1">
        <w:rPr>
          <w:sz w:val="22"/>
          <w:szCs w:val="22"/>
        </w:rPr>
        <w:instrText xml:space="preserve"> REF _Ref416093445 \h </w:instrText>
      </w:r>
      <w:r>
        <w:rPr>
          <w:sz w:val="22"/>
          <w:szCs w:val="22"/>
        </w:rPr>
        <w:instrText xml:space="preserve"> \* MERGEFORMAT </w:instrText>
      </w:r>
      <w:r w:rsidRPr="009D47C1">
        <w:rPr>
          <w:sz w:val="22"/>
          <w:szCs w:val="22"/>
        </w:rPr>
      </w:r>
      <w:r w:rsidRPr="009D47C1">
        <w:rPr>
          <w:sz w:val="22"/>
          <w:szCs w:val="22"/>
        </w:rPr>
        <w:fldChar w:fldCharType="separate"/>
      </w:r>
      <w:r w:rsidR="00AB304C" w:rsidRPr="00AB304C">
        <w:rPr>
          <w:sz w:val="22"/>
          <w:szCs w:val="22"/>
        </w:rPr>
        <w:t xml:space="preserve">Table </w:t>
      </w:r>
      <w:r w:rsidR="00AB304C" w:rsidRPr="00AB304C">
        <w:rPr>
          <w:noProof/>
          <w:sz w:val="22"/>
          <w:szCs w:val="22"/>
        </w:rPr>
        <w:t>3</w:t>
      </w:r>
      <w:r w:rsidRPr="009D47C1">
        <w:rPr>
          <w:sz w:val="22"/>
          <w:szCs w:val="22"/>
        </w:rPr>
        <w:fldChar w:fldCharType="end"/>
      </w:r>
      <w:r w:rsidRPr="009D47C1">
        <w:rPr>
          <w:sz w:val="22"/>
          <w:szCs w:val="22"/>
        </w:rPr>
        <w:t xml:space="preserve"> lists the reports and their exportable formats.</w:t>
      </w:r>
    </w:p>
    <w:p w14:paraId="3185B857" w14:textId="4C9B8602" w:rsidR="009D47C1" w:rsidRPr="009454C1" w:rsidRDefault="009D47C1" w:rsidP="009D47C1">
      <w:pPr>
        <w:pStyle w:val="Caption"/>
        <w:rPr>
          <w:b w:val="0"/>
        </w:rPr>
      </w:pPr>
      <w:bookmarkStart w:id="82" w:name="_Ref416093445"/>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647F4E">
        <w:rPr>
          <w:noProof/>
        </w:rPr>
        <w:t>3</w:t>
      </w:r>
      <w:r w:rsidR="004E20BD">
        <w:rPr>
          <w:noProof/>
        </w:rPr>
        <w:fldChar w:fldCharType="end"/>
      </w:r>
      <w:bookmarkEnd w:id="82"/>
      <w:r>
        <w:t xml:space="preserve">: </w:t>
      </w:r>
      <w:r w:rsidR="00671EA6">
        <w:t xml:space="preserve">Recommended </w:t>
      </w:r>
      <w:r>
        <w:t>Exportable Formats for Reports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6"/>
        <w:gridCol w:w="1064"/>
        <w:gridCol w:w="982"/>
        <w:gridCol w:w="998"/>
      </w:tblGrid>
      <w:tr w:rsidR="009D47C1" w:rsidRPr="00245D96" w14:paraId="2206495D" w14:textId="77777777" w:rsidTr="006462CD">
        <w:tc>
          <w:tcPr>
            <w:tcW w:w="6498" w:type="dxa"/>
            <w:shd w:val="clear" w:color="auto" w:fill="auto"/>
          </w:tcPr>
          <w:p w14:paraId="71FDB78C" w14:textId="77777777" w:rsidR="009D47C1" w:rsidRPr="00245D96" w:rsidRDefault="009D47C1" w:rsidP="006462CD">
            <w:pPr>
              <w:rPr>
                <w:b/>
                <w:sz w:val="22"/>
                <w:szCs w:val="22"/>
              </w:rPr>
            </w:pPr>
            <w:r w:rsidRPr="00245D96">
              <w:rPr>
                <w:b/>
                <w:sz w:val="22"/>
                <w:szCs w:val="22"/>
              </w:rPr>
              <w:t>Report Name</w:t>
            </w:r>
          </w:p>
        </w:tc>
        <w:tc>
          <w:tcPr>
            <w:tcW w:w="1080" w:type="dxa"/>
            <w:shd w:val="clear" w:color="auto" w:fill="auto"/>
          </w:tcPr>
          <w:p w14:paraId="2D775CD0" w14:textId="77777777" w:rsidR="009D47C1" w:rsidRPr="00245D96" w:rsidRDefault="009D47C1" w:rsidP="006462CD">
            <w:pPr>
              <w:rPr>
                <w:b/>
                <w:sz w:val="22"/>
                <w:szCs w:val="22"/>
              </w:rPr>
            </w:pPr>
            <w:r w:rsidRPr="00245D96">
              <w:rPr>
                <w:b/>
                <w:sz w:val="22"/>
                <w:szCs w:val="22"/>
              </w:rPr>
              <w:t>PDF</w:t>
            </w:r>
          </w:p>
        </w:tc>
        <w:tc>
          <w:tcPr>
            <w:tcW w:w="990" w:type="dxa"/>
            <w:shd w:val="clear" w:color="auto" w:fill="auto"/>
          </w:tcPr>
          <w:p w14:paraId="57306137" w14:textId="77777777" w:rsidR="009D47C1" w:rsidRPr="00245D96" w:rsidRDefault="009D47C1" w:rsidP="006462CD">
            <w:pPr>
              <w:rPr>
                <w:b/>
                <w:sz w:val="22"/>
                <w:szCs w:val="22"/>
              </w:rPr>
            </w:pPr>
            <w:r w:rsidRPr="00245D96">
              <w:rPr>
                <w:b/>
                <w:sz w:val="22"/>
                <w:szCs w:val="22"/>
              </w:rPr>
              <w:t>Word</w:t>
            </w:r>
          </w:p>
        </w:tc>
        <w:tc>
          <w:tcPr>
            <w:tcW w:w="1008" w:type="dxa"/>
            <w:shd w:val="clear" w:color="auto" w:fill="auto"/>
          </w:tcPr>
          <w:p w14:paraId="760E6A05" w14:textId="77777777" w:rsidR="009D47C1" w:rsidRPr="00245D96" w:rsidRDefault="009D47C1" w:rsidP="006462CD">
            <w:pPr>
              <w:rPr>
                <w:b/>
                <w:sz w:val="22"/>
                <w:szCs w:val="22"/>
              </w:rPr>
            </w:pPr>
            <w:r w:rsidRPr="00245D96">
              <w:rPr>
                <w:b/>
                <w:sz w:val="22"/>
                <w:szCs w:val="22"/>
              </w:rPr>
              <w:t>Excel</w:t>
            </w:r>
          </w:p>
        </w:tc>
      </w:tr>
      <w:tr w:rsidR="009D47C1" w:rsidRPr="00245D96" w14:paraId="57CF33D5" w14:textId="77777777" w:rsidTr="006462CD">
        <w:tc>
          <w:tcPr>
            <w:tcW w:w="6498" w:type="dxa"/>
            <w:shd w:val="clear" w:color="auto" w:fill="auto"/>
          </w:tcPr>
          <w:p w14:paraId="66393EE3" w14:textId="77777777" w:rsidR="009D47C1" w:rsidRPr="00245D96" w:rsidRDefault="009D47C1" w:rsidP="006462CD">
            <w:pPr>
              <w:rPr>
                <w:sz w:val="22"/>
                <w:szCs w:val="22"/>
              </w:rPr>
            </w:pPr>
            <w:r w:rsidRPr="00245D96">
              <w:rPr>
                <w:sz w:val="22"/>
                <w:szCs w:val="22"/>
              </w:rPr>
              <w:t>Maintain Reagent Inventory</w:t>
            </w:r>
          </w:p>
        </w:tc>
        <w:tc>
          <w:tcPr>
            <w:tcW w:w="1080" w:type="dxa"/>
            <w:shd w:val="clear" w:color="auto" w:fill="auto"/>
          </w:tcPr>
          <w:p w14:paraId="3D2E7CF5" w14:textId="77777777" w:rsidR="009D47C1" w:rsidRPr="00245D96" w:rsidRDefault="009D47C1" w:rsidP="006462CD">
            <w:pPr>
              <w:rPr>
                <w:sz w:val="22"/>
                <w:szCs w:val="22"/>
              </w:rPr>
            </w:pPr>
            <w:r w:rsidRPr="00245D96">
              <w:rPr>
                <w:sz w:val="22"/>
                <w:szCs w:val="22"/>
              </w:rPr>
              <w:t>Yes</w:t>
            </w:r>
          </w:p>
        </w:tc>
        <w:tc>
          <w:tcPr>
            <w:tcW w:w="990" w:type="dxa"/>
            <w:shd w:val="clear" w:color="auto" w:fill="auto"/>
          </w:tcPr>
          <w:p w14:paraId="3B7C8B76" w14:textId="77777777" w:rsidR="009D47C1" w:rsidRPr="00245D96" w:rsidRDefault="009D47C1" w:rsidP="006462CD">
            <w:pPr>
              <w:rPr>
                <w:sz w:val="22"/>
                <w:szCs w:val="22"/>
              </w:rPr>
            </w:pPr>
            <w:r w:rsidRPr="00245D96">
              <w:rPr>
                <w:sz w:val="22"/>
                <w:szCs w:val="22"/>
              </w:rPr>
              <w:t>Yes</w:t>
            </w:r>
          </w:p>
        </w:tc>
        <w:tc>
          <w:tcPr>
            <w:tcW w:w="1008" w:type="dxa"/>
            <w:shd w:val="clear" w:color="auto" w:fill="auto"/>
          </w:tcPr>
          <w:p w14:paraId="33FEFA25" w14:textId="77777777" w:rsidR="009D47C1" w:rsidRPr="00245D96" w:rsidRDefault="009D47C1" w:rsidP="006462CD">
            <w:pPr>
              <w:rPr>
                <w:sz w:val="22"/>
                <w:szCs w:val="22"/>
              </w:rPr>
            </w:pPr>
            <w:r w:rsidRPr="00245D96">
              <w:rPr>
                <w:sz w:val="22"/>
                <w:szCs w:val="22"/>
              </w:rPr>
              <w:t>No</w:t>
            </w:r>
          </w:p>
        </w:tc>
      </w:tr>
      <w:tr w:rsidR="009D47C1" w:rsidRPr="00245D96" w14:paraId="2D5AFCF7" w14:textId="77777777" w:rsidTr="006462CD">
        <w:tc>
          <w:tcPr>
            <w:tcW w:w="6498" w:type="dxa"/>
            <w:shd w:val="clear" w:color="auto" w:fill="auto"/>
          </w:tcPr>
          <w:p w14:paraId="43045CC7" w14:textId="77777777" w:rsidR="009D47C1" w:rsidRPr="00245D96" w:rsidRDefault="009D47C1" w:rsidP="006462CD">
            <w:pPr>
              <w:rPr>
                <w:sz w:val="22"/>
                <w:szCs w:val="22"/>
              </w:rPr>
            </w:pPr>
            <w:r w:rsidRPr="00245D96">
              <w:rPr>
                <w:sz w:val="22"/>
                <w:szCs w:val="22"/>
              </w:rPr>
              <w:t>Testing Worklist Report</w:t>
            </w:r>
          </w:p>
        </w:tc>
        <w:tc>
          <w:tcPr>
            <w:tcW w:w="1080" w:type="dxa"/>
            <w:shd w:val="clear" w:color="auto" w:fill="auto"/>
          </w:tcPr>
          <w:p w14:paraId="19681570" w14:textId="77777777" w:rsidR="009D47C1" w:rsidRPr="00245D96" w:rsidRDefault="009D47C1" w:rsidP="006462CD">
            <w:pPr>
              <w:rPr>
                <w:sz w:val="22"/>
                <w:szCs w:val="22"/>
              </w:rPr>
            </w:pPr>
            <w:r w:rsidRPr="00245D96">
              <w:rPr>
                <w:sz w:val="22"/>
                <w:szCs w:val="22"/>
              </w:rPr>
              <w:t>Yes</w:t>
            </w:r>
          </w:p>
        </w:tc>
        <w:tc>
          <w:tcPr>
            <w:tcW w:w="990" w:type="dxa"/>
            <w:shd w:val="clear" w:color="auto" w:fill="auto"/>
          </w:tcPr>
          <w:p w14:paraId="490B26AE" w14:textId="77777777" w:rsidR="009D47C1" w:rsidRPr="00245D96" w:rsidRDefault="009D47C1" w:rsidP="006462CD">
            <w:pPr>
              <w:rPr>
                <w:sz w:val="22"/>
                <w:szCs w:val="22"/>
              </w:rPr>
            </w:pPr>
            <w:r w:rsidRPr="00245D96">
              <w:rPr>
                <w:sz w:val="22"/>
                <w:szCs w:val="22"/>
              </w:rPr>
              <w:t>Yes</w:t>
            </w:r>
          </w:p>
        </w:tc>
        <w:tc>
          <w:tcPr>
            <w:tcW w:w="1008" w:type="dxa"/>
            <w:shd w:val="clear" w:color="auto" w:fill="auto"/>
          </w:tcPr>
          <w:p w14:paraId="4BD7B581" w14:textId="77777777" w:rsidR="009D47C1" w:rsidRPr="00245D96" w:rsidRDefault="009D47C1" w:rsidP="006462CD">
            <w:pPr>
              <w:rPr>
                <w:sz w:val="22"/>
                <w:szCs w:val="22"/>
              </w:rPr>
            </w:pPr>
            <w:r w:rsidRPr="00245D96">
              <w:rPr>
                <w:sz w:val="22"/>
                <w:szCs w:val="22"/>
              </w:rPr>
              <w:t>No</w:t>
            </w:r>
          </w:p>
        </w:tc>
      </w:tr>
      <w:tr w:rsidR="009D47C1" w:rsidRPr="00245D96" w14:paraId="51A05116" w14:textId="77777777" w:rsidTr="006462CD">
        <w:tc>
          <w:tcPr>
            <w:tcW w:w="6498" w:type="dxa"/>
            <w:shd w:val="clear" w:color="auto" w:fill="auto"/>
          </w:tcPr>
          <w:p w14:paraId="16A7672D" w14:textId="77777777" w:rsidR="009D47C1" w:rsidRPr="00245D96" w:rsidRDefault="009D47C1" w:rsidP="006462CD">
            <w:pPr>
              <w:rPr>
                <w:sz w:val="22"/>
                <w:szCs w:val="22"/>
              </w:rPr>
            </w:pPr>
            <w:r w:rsidRPr="00245D96">
              <w:rPr>
                <w:sz w:val="22"/>
                <w:szCs w:val="22"/>
              </w:rPr>
              <w:t>Blood Availability Report</w:t>
            </w:r>
          </w:p>
        </w:tc>
        <w:tc>
          <w:tcPr>
            <w:tcW w:w="1080" w:type="dxa"/>
            <w:shd w:val="clear" w:color="auto" w:fill="auto"/>
          </w:tcPr>
          <w:p w14:paraId="2F2DDBDA" w14:textId="77777777" w:rsidR="009D47C1" w:rsidRPr="00245D96" w:rsidRDefault="009D47C1" w:rsidP="006462CD">
            <w:pPr>
              <w:rPr>
                <w:sz w:val="22"/>
                <w:szCs w:val="22"/>
              </w:rPr>
            </w:pPr>
            <w:r w:rsidRPr="00245D96">
              <w:rPr>
                <w:sz w:val="22"/>
                <w:szCs w:val="22"/>
              </w:rPr>
              <w:t>Yes</w:t>
            </w:r>
          </w:p>
        </w:tc>
        <w:tc>
          <w:tcPr>
            <w:tcW w:w="990" w:type="dxa"/>
            <w:shd w:val="clear" w:color="auto" w:fill="auto"/>
          </w:tcPr>
          <w:p w14:paraId="0D57FE02" w14:textId="77777777" w:rsidR="009D47C1" w:rsidRPr="00245D96" w:rsidRDefault="009D47C1" w:rsidP="006462CD">
            <w:pPr>
              <w:rPr>
                <w:sz w:val="22"/>
                <w:szCs w:val="22"/>
              </w:rPr>
            </w:pPr>
            <w:r w:rsidRPr="00245D96">
              <w:rPr>
                <w:sz w:val="22"/>
                <w:szCs w:val="22"/>
              </w:rPr>
              <w:t>Yes</w:t>
            </w:r>
          </w:p>
        </w:tc>
        <w:tc>
          <w:tcPr>
            <w:tcW w:w="1008" w:type="dxa"/>
            <w:shd w:val="clear" w:color="auto" w:fill="auto"/>
          </w:tcPr>
          <w:p w14:paraId="03B854F8" w14:textId="77777777" w:rsidR="009D47C1" w:rsidRPr="00245D96" w:rsidRDefault="009D47C1" w:rsidP="006462CD">
            <w:pPr>
              <w:rPr>
                <w:sz w:val="22"/>
                <w:szCs w:val="22"/>
              </w:rPr>
            </w:pPr>
            <w:r w:rsidRPr="00245D96">
              <w:rPr>
                <w:sz w:val="22"/>
                <w:szCs w:val="22"/>
              </w:rPr>
              <w:t>No</w:t>
            </w:r>
          </w:p>
        </w:tc>
      </w:tr>
      <w:tr w:rsidR="009D47C1" w:rsidRPr="00245D96" w14:paraId="61D801C0" w14:textId="77777777" w:rsidTr="006462CD">
        <w:tc>
          <w:tcPr>
            <w:tcW w:w="6498" w:type="dxa"/>
            <w:shd w:val="clear" w:color="auto" w:fill="auto"/>
          </w:tcPr>
          <w:p w14:paraId="0E538C2A" w14:textId="77777777" w:rsidR="009D47C1" w:rsidRPr="00245D96" w:rsidRDefault="009D47C1" w:rsidP="006462CD">
            <w:pPr>
              <w:rPr>
                <w:sz w:val="22"/>
                <w:szCs w:val="22"/>
              </w:rPr>
            </w:pPr>
            <w:r w:rsidRPr="00245D96">
              <w:rPr>
                <w:sz w:val="22"/>
                <w:szCs w:val="22"/>
              </w:rPr>
              <w:t>Division Transfusion Report</w:t>
            </w:r>
          </w:p>
        </w:tc>
        <w:tc>
          <w:tcPr>
            <w:tcW w:w="1080" w:type="dxa"/>
            <w:shd w:val="clear" w:color="auto" w:fill="auto"/>
          </w:tcPr>
          <w:p w14:paraId="3634F290" w14:textId="77777777" w:rsidR="009D47C1" w:rsidRPr="00245D96" w:rsidRDefault="009D47C1" w:rsidP="006462CD">
            <w:pPr>
              <w:rPr>
                <w:sz w:val="22"/>
                <w:szCs w:val="22"/>
              </w:rPr>
            </w:pPr>
            <w:r w:rsidRPr="00245D96">
              <w:rPr>
                <w:sz w:val="22"/>
                <w:szCs w:val="22"/>
              </w:rPr>
              <w:t>Yes</w:t>
            </w:r>
          </w:p>
        </w:tc>
        <w:tc>
          <w:tcPr>
            <w:tcW w:w="990" w:type="dxa"/>
            <w:shd w:val="clear" w:color="auto" w:fill="auto"/>
          </w:tcPr>
          <w:p w14:paraId="284A46D8" w14:textId="77777777" w:rsidR="009D47C1" w:rsidRPr="00245D96" w:rsidRDefault="009D47C1" w:rsidP="006462CD">
            <w:pPr>
              <w:rPr>
                <w:sz w:val="22"/>
                <w:szCs w:val="22"/>
              </w:rPr>
            </w:pPr>
            <w:r w:rsidRPr="00245D96">
              <w:rPr>
                <w:sz w:val="22"/>
                <w:szCs w:val="22"/>
              </w:rPr>
              <w:t>Yes</w:t>
            </w:r>
          </w:p>
        </w:tc>
        <w:tc>
          <w:tcPr>
            <w:tcW w:w="1008" w:type="dxa"/>
            <w:shd w:val="clear" w:color="auto" w:fill="auto"/>
          </w:tcPr>
          <w:p w14:paraId="448C9FB7" w14:textId="77777777" w:rsidR="009D47C1" w:rsidRPr="00245D96" w:rsidRDefault="009D47C1" w:rsidP="006462CD">
            <w:pPr>
              <w:rPr>
                <w:sz w:val="22"/>
                <w:szCs w:val="22"/>
              </w:rPr>
            </w:pPr>
            <w:r w:rsidRPr="00245D96">
              <w:rPr>
                <w:sz w:val="22"/>
                <w:szCs w:val="22"/>
              </w:rPr>
              <w:t>No</w:t>
            </w:r>
          </w:p>
        </w:tc>
      </w:tr>
      <w:tr w:rsidR="009D47C1" w:rsidRPr="00245D96" w14:paraId="3098685F" w14:textId="77777777" w:rsidTr="006462CD">
        <w:tc>
          <w:tcPr>
            <w:tcW w:w="6498" w:type="dxa"/>
            <w:shd w:val="clear" w:color="auto" w:fill="auto"/>
          </w:tcPr>
          <w:p w14:paraId="36C80D86" w14:textId="77777777" w:rsidR="009D47C1" w:rsidRPr="00245D96" w:rsidRDefault="009D47C1" w:rsidP="006462CD">
            <w:pPr>
              <w:rPr>
                <w:sz w:val="22"/>
                <w:szCs w:val="22"/>
              </w:rPr>
            </w:pPr>
            <w:r w:rsidRPr="00245D96">
              <w:rPr>
                <w:sz w:val="22"/>
                <w:szCs w:val="22"/>
              </w:rPr>
              <w:t>Blood Bank Supplies Report</w:t>
            </w:r>
          </w:p>
        </w:tc>
        <w:tc>
          <w:tcPr>
            <w:tcW w:w="1080" w:type="dxa"/>
            <w:shd w:val="clear" w:color="auto" w:fill="auto"/>
          </w:tcPr>
          <w:p w14:paraId="33BBA14D" w14:textId="77777777" w:rsidR="009D47C1" w:rsidRPr="00245D96" w:rsidRDefault="009D47C1" w:rsidP="006462CD">
            <w:pPr>
              <w:rPr>
                <w:sz w:val="22"/>
                <w:szCs w:val="22"/>
              </w:rPr>
            </w:pPr>
            <w:r w:rsidRPr="00245D96">
              <w:rPr>
                <w:sz w:val="22"/>
                <w:szCs w:val="22"/>
              </w:rPr>
              <w:t>Yes</w:t>
            </w:r>
          </w:p>
        </w:tc>
        <w:tc>
          <w:tcPr>
            <w:tcW w:w="990" w:type="dxa"/>
            <w:shd w:val="clear" w:color="auto" w:fill="auto"/>
          </w:tcPr>
          <w:p w14:paraId="4027D5B9" w14:textId="77777777" w:rsidR="009D47C1" w:rsidRPr="00245D96" w:rsidRDefault="009D47C1" w:rsidP="006462CD">
            <w:pPr>
              <w:rPr>
                <w:sz w:val="22"/>
                <w:szCs w:val="22"/>
              </w:rPr>
            </w:pPr>
            <w:r w:rsidRPr="00245D96">
              <w:rPr>
                <w:sz w:val="22"/>
                <w:szCs w:val="22"/>
              </w:rPr>
              <w:t>Yes</w:t>
            </w:r>
          </w:p>
        </w:tc>
        <w:tc>
          <w:tcPr>
            <w:tcW w:w="1008" w:type="dxa"/>
            <w:shd w:val="clear" w:color="auto" w:fill="auto"/>
          </w:tcPr>
          <w:p w14:paraId="533EF060" w14:textId="77777777" w:rsidR="009D47C1" w:rsidRPr="00245D96" w:rsidRDefault="009D47C1" w:rsidP="006462CD">
            <w:pPr>
              <w:rPr>
                <w:sz w:val="22"/>
                <w:szCs w:val="22"/>
              </w:rPr>
            </w:pPr>
            <w:r w:rsidRPr="00245D96">
              <w:rPr>
                <w:sz w:val="22"/>
                <w:szCs w:val="22"/>
              </w:rPr>
              <w:t>No</w:t>
            </w:r>
          </w:p>
        </w:tc>
      </w:tr>
      <w:tr w:rsidR="009D47C1" w:rsidRPr="00245D96" w14:paraId="3E85D5D9" w14:textId="77777777" w:rsidTr="006462CD">
        <w:tc>
          <w:tcPr>
            <w:tcW w:w="6498" w:type="dxa"/>
            <w:shd w:val="clear" w:color="auto" w:fill="auto"/>
          </w:tcPr>
          <w:p w14:paraId="61E8C1A7" w14:textId="77777777" w:rsidR="009D47C1" w:rsidRPr="00245D96" w:rsidRDefault="009D47C1" w:rsidP="006462CD">
            <w:pPr>
              <w:rPr>
                <w:sz w:val="22"/>
                <w:szCs w:val="22"/>
              </w:rPr>
            </w:pPr>
            <w:r w:rsidRPr="00245D96">
              <w:rPr>
                <w:sz w:val="22"/>
                <w:szCs w:val="22"/>
              </w:rPr>
              <w:t>Unit History Report</w:t>
            </w:r>
          </w:p>
        </w:tc>
        <w:tc>
          <w:tcPr>
            <w:tcW w:w="1080" w:type="dxa"/>
            <w:shd w:val="clear" w:color="auto" w:fill="auto"/>
          </w:tcPr>
          <w:p w14:paraId="395A05E6" w14:textId="77777777" w:rsidR="009D47C1" w:rsidRPr="00245D96" w:rsidRDefault="009D47C1" w:rsidP="006462CD">
            <w:pPr>
              <w:rPr>
                <w:sz w:val="22"/>
                <w:szCs w:val="22"/>
              </w:rPr>
            </w:pPr>
            <w:r w:rsidRPr="00245D96">
              <w:rPr>
                <w:sz w:val="22"/>
                <w:szCs w:val="22"/>
              </w:rPr>
              <w:t>Yes</w:t>
            </w:r>
          </w:p>
        </w:tc>
        <w:tc>
          <w:tcPr>
            <w:tcW w:w="990" w:type="dxa"/>
            <w:shd w:val="clear" w:color="auto" w:fill="auto"/>
          </w:tcPr>
          <w:p w14:paraId="4DA1276A" w14:textId="77777777" w:rsidR="009D47C1" w:rsidRPr="00245D96" w:rsidRDefault="009D47C1" w:rsidP="006462CD">
            <w:pPr>
              <w:rPr>
                <w:sz w:val="22"/>
                <w:szCs w:val="22"/>
              </w:rPr>
            </w:pPr>
            <w:r w:rsidRPr="00245D96">
              <w:rPr>
                <w:sz w:val="22"/>
                <w:szCs w:val="22"/>
              </w:rPr>
              <w:t>Yes</w:t>
            </w:r>
          </w:p>
        </w:tc>
        <w:tc>
          <w:tcPr>
            <w:tcW w:w="1008" w:type="dxa"/>
            <w:shd w:val="clear" w:color="auto" w:fill="auto"/>
          </w:tcPr>
          <w:p w14:paraId="3A71E5B3" w14:textId="77777777" w:rsidR="009D47C1" w:rsidRPr="00245D96" w:rsidRDefault="009D47C1" w:rsidP="006462CD">
            <w:pPr>
              <w:rPr>
                <w:sz w:val="22"/>
                <w:szCs w:val="22"/>
              </w:rPr>
            </w:pPr>
            <w:r w:rsidRPr="00245D96">
              <w:rPr>
                <w:sz w:val="22"/>
                <w:szCs w:val="22"/>
              </w:rPr>
              <w:t>No</w:t>
            </w:r>
          </w:p>
        </w:tc>
      </w:tr>
      <w:tr w:rsidR="009D47C1" w:rsidRPr="00245D96" w14:paraId="765F6C89" w14:textId="77777777" w:rsidTr="006462CD">
        <w:tc>
          <w:tcPr>
            <w:tcW w:w="6498" w:type="dxa"/>
            <w:shd w:val="clear" w:color="auto" w:fill="auto"/>
          </w:tcPr>
          <w:p w14:paraId="2F69CD29" w14:textId="77777777" w:rsidR="009D47C1" w:rsidRPr="00245D96" w:rsidRDefault="009D47C1" w:rsidP="006462CD">
            <w:pPr>
              <w:rPr>
                <w:sz w:val="22"/>
                <w:szCs w:val="22"/>
              </w:rPr>
            </w:pPr>
            <w:r w:rsidRPr="00245D96">
              <w:rPr>
                <w:sz w:val="22"/>
                <w:szCs w:val="22"/>
              </w:rPr>
              <w:t>Patient History Report</w:t>
            </w:r>
          </w:p>
        </w:tc>
        <w:tc>
          <w:tcPr>
            <w:tcW w:w="1080" w:type="dxa"/>
            <w:shd w:val="clear" w:color="auto" w:fill="auto"/>
          </w:tcPr>
          <w:p w14:paraId="08F063E2" w14:textId="77777777" w:rsidR="009D47C1" w:rsidRPr="00245D96" w:rsidRDefault="009D47C1" w:rsidP="006462CD">
            <w:pPr>
              <w:rPr>
                <w:sz w:val="22"/>
                <w:szCs w:val="22"/>
              </w:rPr>
            </w:pPr>
            <w:r w:rsidRPr="00245D96">
              <w:rPr>
                <w:sz w:val="22"/>
                <w:szCs w:val="22"/>
              </w:rPr>
              <w:t>Yes</w:t>
            </w:r>
          </w:p>
        </w:tc>
        <w:tc>
          <w:tcPr>
            <w:tcW w:w="990" w:type="dxa"/>
            <w:shd w:val="clear" w:color="auto" w:fill="auto"/>
          </w:tcPr>
          <w:p w14:paraId="09347B3E" w14:textId="77777777" w:rsidR="009D47C1" w:rsidRPr="00245D96" w:rsidRDefault="009D47C1" w:rsidP="006462CD">
            <w:pPr>
              <w:rPr>
                <w:sz w:val="22"/>
                <w:szCs w:val="22"/>
              </w:rPr>
            </w:pPr>
            <w:r w:rsidRPr="00245D96">
              <w:rPr>
                <w:sz w:val="22"/>
                <w:szCs w:val="22"/>
              </w:rPr>
              <w:t>Yes</w:t>
            </w:r>
          </w:p>
        </w:tc>
        <w:tc>
          <w:tcPr>
            <w:tcW w:w="1008" w:type="dxa"/>
            <w:shd w:val="clear" w:color="auto" w:fill="auto"/>
          </w:tcPr>
          <w:p w14:paraId="3D68BE75" w14:textId="77777777" w:rsidR="009D47C1" w:rsidRPr="00245D96" w:rsidRDefault="009D47C1" w:rsidP="006462CD">
            <w:pPr>
              <w:rPr>
                <w:sz w:val="22"/>
                <w:szCs w:val="22"/>
              </w:rPr>
            </w:pPr>
            <w:r w:rsidRPr="00245D96">
              <w:rPr>
                <w:sz w:val="22"/>
                <w:szCs w:val="22"/>
              </w:rPr>
              <w:t>No</w:t>
            </w:r>
          </w:p>
        </w:tc>
      </w:tr>
      <w:tr w:rsidR="009D47C1" w:rsidRPr="00245D96" w14:paraId="251771A4" w14:textId="77777777" w:rsidTr="006462CD">
        <w:tc>
          <w:tcPr>
            <w:tcW w:w="6498" w:type="dxa"/>
            <w:shd w:val="clear" w:color="auto" w:fill="auto"/>
          </w:tcPr>
          <w:p w14:paraId="45D3C266" w14:textId="77777777" w:rsidR="009D47C1" w:rsidRPr="00245D96" w:rsidRDefault="009D47C1" w:rsidP="006462CD">
            <w:pPr>
              <w:rPr>
                <w:sz w:val="22"/>
                <w:szCs w:val="22"/>
              </w:rPr>
            </w:pPr>
            <w:r w:rsidRPr="00245D96">
              <w:rPr>
                <w:sz w:val="22"/>
                <w:szCs w:val="22"/>
              </w:rPr>
              <w:t>Other VBECS reports</w:t>
            </w:r>
          </w:p>
        </w:tc>
        <w:tc>
          <w:tcPr>
            <w:tcW w:w="1080" w:type="dxa"/>
            <w:shd w:val="clear" w:color="auto" w:fill="auto"/>
          </w:tcPr>
          <w:p w14:paraId="67D59BFE" w14:textId="77777777" w:rsidR="009D47C1" w:rsidRPr="00245D96" w:rsidRDefault="009D47C1" w:rsidP="006462CD">
            <w:pPr>
              <w:rPr>
                <w:sz w:val="22"/>
                <w:szCs w:val="22"/>
              </w:rPr>
            </w:pPr>
            <w:r w:rsidRPr="00245D96">
              <w:rPr>
                <w:sz w:val="22"/>
                <w:szCs w:val="22"/>
              </w:rPr>
              <w:t>Yes</w:t>
            </w:r>
          </w:p>
        </w:tc>
        <w:tc>
          <w:tcPr>
            <w:tcW w:w="990" w:type="dxa"/>
            <w:shd w:val="clear" w:color="auto" w:fill="auto"/>
          </w:tcPr>
          <w:p w14:paraId="08CE506B" w14:textId="77777777" w:rsidR="009D47C1" w:rsidRPr="00245D96" w:rsidRDefault="009D47C1" w:rsidP="006462CD">
            <w:pPr>
              <w:rPr>
                <w:sz w:val="22"/>
                <w:szCs w:val="22"/>
              </w:rPr>
            </w:pPr>
            <w:r w:rsidRPr="00245D96">
              <w:rPr>
                <w:sz w:val="22"/>
                <w:szCs w:val="22"/>
              </w:rPr>
              <w:t>Yes</w:t>
            </w:r>
          </w:p>
        </w:tc>
        <w:tc>
          <w:tcPr>
            <w:tcW w:w="1008" w:type="dxa"/>
            <w:shd w:val="clear" w:color="auto" w:fill="auto"/>
          </w:tcPr>
          <w:p w14:paraId="6DEFD6FC" w14:textId="77777777" w:rsidR="009D47C1" w:rsidRPr="00245D96" w:rsidRDefault="009D47C1" w:rsidP="006462CD">
            <w:pPr>
              <w:rPr>
                <w:sz w:val="22"/>
                <w:szCs w:val="22"/>
              </w:rPr>
            </w:pPr>
            <w:r w:rsidRPr="00245D96">
              <w:rPr>
                <w:sz w:val="22"/>
                <w:szCs w:val="22"/>
              </w:rPr>
              <w:t>Yes</w:t>
            </w:r>
          </w:p>
        </w:tc>
      </w:tr>
    </w:tbl>
    <w:p w14:paraId="0F6F703B" w14:textId="77777777" w:rsidR="009D47C1" w:rsidRDefault="009D47C1" w:rsidP="009D47C1">
      <w:pPr>
        <w:rPr>
          <w:sz w:val="22"/>
          <w:szCs w:val="22"/>
        </w:rPr>
      </w:pPr>
    </w:p>
    <w:p w14:paraId="41313E22" w14:textId="4E056167" w:rsidR="009D47C1" w:rsidRPr="009D47C1" w:rsidRDefault="00A66B66" w:rsidP="009D47C1">
      <w:pPr>
        <w:pStyle w:val="BodyText"/>
      </w:pPr>
      <w:r>
        <w:br w:type="page"/>
      </w:r>
      <w:r w:rsidR="009D47C1" w:rsidRPr="009D47C1">
        <w:lastRenderedPageBreak/>
        <w:t xml:space="preserve">By clicking on </w:t>
      </w:r>
      <w:r w:rsidR="00057948">
        <w:rPr>
          <w:noProof/>
        </w:rPr>
        <w:drawing>
          <wp:inline distT="0" distB="0" distL="0" distR="0" wp14:anchorId="7A46AD37" wp14:editId="42878A2F">
            <wp:extent cx="323215" cy="240030"/>
            <wp:effectExtent l="0" t="0" r="635" b="7620"/>
            <wp:docPr id="32" name="Picture 6" descr="P767L2#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6" descr="P767L2#yIS1">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215" cy="240030"/>
                    </a:xfrm>
                    <a:prstGeom prst="rect">
                      <a:avLst/>
                    </a:prstGeom>
                    <a:noFill/>
                    <a:ln>
                      <a:noFill/>
                    </a:ln>
                  </pic:spPr>
                </pic:pic>
              </a:graphicData>
            </a:graphic>
          </wp:inline>
        </w:drawing>
      </w:r>
      <w:r w:rsidR="009D47C1" w:rsidRPr="009D47C1">
        <w:t xml:space="preserve"> , the user has the option to select and export to an Excel, PDF or Word file (</w:t>
      </w:r>
      <w:r w:rsidR="0095211D">
        <w:fldChar w:fldCharType="begin" w:fldLock="1"/>
      </w:r>
      <w:r w:rsidR="0095211D">
        <w:instrText xml:space="preserve"> REF _Ref416093779 \h </w:instrText>
      </w:r>
      <w:r w:rsidR="0095211D">
        <w:fldChar w:fldCharType="separate"/>
      </w:r>
      <w:r w:rsidR="00AB304C">
        <w:t xml:space="preserve">Figure </w:t>
      </w:r>
      <w:r w:rsidR="00AB304C">
        <w:rPr>
          <w:noProof/>
        </w:rPr>
        <w:t>13</w:t>
      </w:r>
      <w:r w:rsidR="0095211D">
        <w:fldChar w:fldCharType="end"/>
      </w:r>
      <w:r w:rsidR="009D47C1" w:rsidRPr="009D47C1">
        <w:t>). Choosing any of these options will open the dialog shown in</w:t>
      </w:r>
      <w:r w:rsidR="0095211D">
        <w:t xml:space="preserve"> </w:t>
      </w:r>
      <w:r w:rsidR="0095211D">
        <w:fldChar w:fldCharType="begin" w:fldLock="1"/>
      </w:r>
      <w:r w:rsidR="0095211D">
        <w:instrText xml:space="preserve"> REF _Ref353374029 \h </w:instrText>
      </w:r>
      <w:r w:rsidR="0095211D">
        <w:fldChar w:fldCharType="separate"/>
      </w:r>
      <w:r w:rsidR="00AB304C" w:rsidRPr="00037A18">
        <w:t xml:space="preserve">Figure </w:t>
      </w:r>
      <w:r w:rsidR="00AB304C">
        <w:rPr>
          <w:noProof/>
        </w:rPr>
        <w:t>14</w:t>
      </w:r>
      <w:r w:rsidR="0095211D">
        <w:fldChar w:fldCharType="end"/>
      </w:r>
      <w:r w:rsidR="009D47C1" w:rsidRPr="009D47C1">
        <w:t xml:space="preserve">. </w:t>
      </w:r>
      <w:r w:rsidR="009D47C1" w:rsidRPr="009D47C1">
        <w:rPr>
          <w:vanish/>
        </w:rPr>
        <w:t>DR 4607</w:t>
      </w:r>
    </w:p>
    <w:p w14:paraId="192968C2" w14:textId="54D42DB6" w:rsidR="002F1554" w:rsidRDefault="002F1554" w:rsidP="002F1554">
      <w:pPr>
        <w:pStyle w:val="Caption"/>
      </w:pPr>
      <w:bookmarkStart w:id="83" w:name="_Ref416093779"/>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13</w:t>
      </w:r>
      <w:r w:rsidR="004E20BD">
        <w:rPr>
          <w:noProof/>
        </w:rPr>
        <w:fldChar w:fldCharType="end"/>
      </w:r>
      <w:bookmarkEnd w:id="81"/>
      <w:bookmarkEnd w:id="83"/>
      <w:r>
        <w:t>: Report Export Toolbar</w:t>
      </w:r>
    </w:p>
    <w:p w14:paraId="64A49C1D" w14:textId="77777777" w:rsidR="002F1554" w:rsidRPr="00FC73FB" w:rsidRDefault="00057948" w:rsidP="002F1554">
      <w:pPr>
        <w:pStyle w:val="BodyText"/>
      </w:pPr>
      <w:r>
        <w:rPr>
          <w:noProof/>
        </w:rPr>
        <w:drawing>
          <wp:inline distT="0" distB="0" distL="0" distR="0" wp14:anchorId="5B16992B" wp14:editId="64CD02F1">
            <wp:extent cx="923925" cy="868045"/>
            <wp:effectExtent l="19050" t="19050" r="28575" b="27305"/>
            <wp:docPr id="33" name="Picture 33" descr="P769L2#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769L2#yIS1">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23925" cy="868045"/>
                    </a:xfrm>
                    <a:prstGeom prst="rect">
                      <a:avLst/>
                    </a:prstGeom>
                    <a:noFill/>
                    <a:ln w="6350" cmpd="sng">
                      <a:solidFill>
                        <a:srgbClr val="000000"/>
                      </a:solidFill>
                      <a:miter lim="800000"/>
                      <a:headEnd/>
                      <a:tailEnd/>
                    </a:ln>
                    <a:effectLst/>
                  </pic:spPr>
                </pic:pic>
              </a:graphicData>
            </a:graphic>
          </wp:inline>
        </w:drawing>
      </w:r>
    </w:p>
    <w:p w14:paraId="1A05E2DF" w14:textId="69E7D4FE" w:rsidR="002F1554" w:rsidRPr="00037A18" w:rsidRDefault="002F1554" w:rsidP="002F1554">
      <w:pPr>
        <w:pStyle w:val="Caption"/>
      </w:pPr>
      <w:bookmarkStart w:id="84" w:name="_Ref353374029"/>
      <w:r w:rsidRPr="00037A18">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14</w:t>
      </w:r>
      <w:r w:rsidR="004E20BD">
        <w:rPr>
          <w:noProof/>
        </w:rPr>
        <w:fldChar w:fldCharType="end"/>
      </w:r>
      <w:bookmarkEnd w:id="84"/>
      <w:r w:rsidRPr="00037A18">
        <w:t xml:space="preserve">: Example of Report Export Dialog </w:t>
      </w:r>
      <w:r w:rsidR="008E79E8">
        <w:t xml:space="preserve">for Blood Bank </w:t>
      </w:r>
      <w:r w:rsidRPr="00037A18">
        <w:t xml:space="preserve">with </w:t>
      </w:r>
      <w:r w:rsidR="008E79E8">
        <w:t>Division Code 589</w:t>
      </w:r>
    </w:p>
    <w:p w14:paraId="6EDD52C9" w14:textId="71C30589" w:rsidR="002F1554" w:rsidRPr="00A777D2" w:rsidRDefault="008B508B" w:rsidP="002F1554">
      <w:pPr>
        <w:pStyle w:val="BodyText"/>
        <w:rPr>
          <w:highlight w:val="yellow"/>
        </w:rPr>
      </w:pPr>
      <w:r>
        <w:rPr>
          <w:noProof/>
        </w:rPr>
        <w:drawing>
          <wp:inline distT="0" distB="0" distL="0" distR="0" wp14:anchorId="291F494B" wp14:editId="27F6B789">
            <wp:extent cx="5943600" cy="1641828"/>
            <wp:effectExtent l="0" t="0" r="0" b="0"/>
            <wp:docPr id="7" name="Picture 7" descr="P771L2#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771L2#yIS1">
                      <a:extLs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1641828"/>
                    </a:xfrm>
                    <a:prstGeom prst="rect">
                      <a:avLst/>
                    </a:prstGeom>
                    <a:noFill/>
                    <a:ln>
                      <a:noFill/>
                    </a:ln>
                  </pic:spPr>
                </pic:pic>
              </a:graphicData>
            </a:graphic>
          </wp:inline>
        </w:drawing>
      </w:r>
    </w:p>
    <w:p w14:paraId="3BBDD7B0" w14:textId="77777777" w:rsidR="002F1554" w:rsidRDefault="002F1554" w:rsidP="002F1554">
      <w:pPr>
        <w:rPr>
          <w:sz w:val="22"/>
          <w:szCs w:val="22"/>
        </w:rPr>
      </w:pPr>
      <w:r w:rsidRPr="00037A18">
        <w:rPr>
          <w:sz w:val="22"/>
          <w:szCs w:val="22"/>
        </w:rPr>
        <w:t>This dialog allows the user to specify the name of the file to which the report will be exported. The extension of the file is pre-filled for the user and depends on which export option was selected (.xls for Excel, .</w:t>
      </w:r>
      <w:r>
        <w:rPr>
          <w:sz w:val="22"/>
          <w:szCs w:val="22"/>
        </w:rPr>
        <w:t xml:space="preserve">pdf for PDF or .doc for Word). The </w:t>
      </w:r>
      <w:r w:rsidRPr="00037A18">
        <w:rPr>
          <w:sz w:val="22"/>
          <w:szCs w:val="22"/>
        </w:rPr>
        <w:t>file name</w:t>
      </w:r>
      <w:r>
        <w:rPr>
          <w:sz w:val="22"/>
          <w:szCs w:val="22"/>
        </w:rPr>
        <w:t xml:space="preserve"> length is limited to</w:t>
      </w:r>
      <w:r w:rsidRPr="00037A18">
        <w:rPr>
          <w:sz w:val="22"/>
          <w:szCs w:val="22"/>
        </w:rPr>
        <w:t xml:space="preserve"> </w:t>
      </w:r>
      <w:r>
        <w:rPr>
          <w:sz w:val="22"/>
          <w:szCs w:val="22"/>
        </w:rPr>
        <w:t>200</w:t>
      </w:r>
      <w:r w:rsidRPr="00037A18">
        <w:rPr>
          <w:sz w:val="22"/>
          <w:szCs w:val="22"/>
        </w:rPr>
        <w:t xml:space="preserve"> characters</w:t>
      </w:r>
      <w:r>
        <w:rPr>
          <w:sz w:val="22"/>
          <w:szCs w:val="22"/>
        </w:rPr>
        <w:t xml:space="preserve"> and will not accept special characters as part of the name (e.g., \ / ? % * | : ’ ” &lt; &gt;).</w:t>
      </w:r>
    </w:p>
    <w:p w14:paraId="7D085FB6" w14:textId="77777777" w:rsidR="002F1554" w:rsidRPr="00037A18" w:rsidRDefault="002F1554" w:rsidP="002F1554">
      <w:pPr>
        <w:spacing w:before="120"/>
        <w:rPr>
          <w:sz w:val="22"/>
          <w:szCs w:val="22"/>
        </w:rPr>
      </w:pPr>
      <w:r w:rsidRPr="00037A18">
        <w:rPr>
          <w:sz w:val="22"/>
          <w:szCs w:val="22"/>
        </w:rPr>
        <w:t xml:space="preserve">If the user attempts to </w:t>
      </w:r>
      <w:r>
        <w:rPr>
          <w:sz w:val="22"/>
          <w:szCs w:val="22"/>
        </w:rPr>
        <w:t>use a special character in the file name, it will be ignored and not appear on the screen.</w:t>
      </w:r>
    </w:p>
    <w:p w14:paraId="454CD515" w14:textId="2ACCE309" w:rsidR="002F1554" w:rsidRPr="00037A18" w:rsidRDefault="002F1554" w:rsidP="002F1554">
      <w:pPr>
        <w:pStyle w:val="BodyText"/>
      </w:pPr>
      <w:r w:rsidRPr="00037A18">
        <w:t xml:space="preserve">Once the user enters a proper file name, the </w:t>
      </w:r>
      <w:r w:rsidRPr="00037A18">
        <w:rPr>
          <w:b/>
        </w:rPr>
        <w:t>OK</w:t>
      </w:r>
      <w:r w:rsidRPr="00037A18">
        <w:t xml:space="preserve"> button will become enabled. Clicking the </w:t>
      </w:r>
      <w:r w:rsidRPr="00037A18">
        <w:rPr>
          <w:b/>
        </w:rPr>
        <w:t>OK</w:t>
      </w:r>
      <w:r w:rsidRPr="00037A18">
        <w:t xml:space="preserve"> button will present the user with the message shown in</w:t>
      </w:r>
      <w:r w:rsidR="00430868">
        <w:t xml:space="preserve"> </w:t>
      </w:r>
      <w:r w:rsidR="00430868">
        <w:fldChar w:fldCharType="begin" w:fldLock="1"/>
      </w:r>
      <w:r w:rsidR="00430868">
        <w:instrText xml:space="preserve"> REF _Ref353374032 \h </w:instrText>
      </w:r>
      <w:r w:rsidR="00430868">
        <w:fldChar w:fldCharType="separate"/>
      </w:r>
      <w:r w:rsidR="00AB304C" w:rsidRPr="00037A18">
        <w:t xml:space="preserve">Figure </w:t>
      </w:r>
      <w:r w:rsidR="00AB304C">
        <w:rPr>
          <w:noProof/>
        </w:rPr>
        <w:t>15</w:t>
      </w:r>
      <w:r w:rsidR="00430868">
        <w:fldChar w:fldCharType="end"/>
      </w:r>
      <w:r w:rsidRPr="00037A18">
        <w:t>.</w:t>
      </w:r>
    </w:p>
    <w:p w14:paraId="2F976C28" w14:textId="383B28A6" w:rsidR="002F1554" w:rsidRPr="00037A18" w:rsidRDefault="002F1554" w:rsidP="002F1554">
      <w:pPr>
        <w:pStyle w:val="Caption"/>
      </w:pPr>
      <w:bookmarkStart w:id="85" w:name="_Ref353374032"/>
      <w:r w:rsidRPr="00037A18">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15</w:t>
      </w:r>
      <w:r w:rsidR="004E20BD">
        <w:rPr>
          <w:noProof/>
        </w:rPr>
        <w:fldChar w:fldCharType="end"/>
      </w:r>
      <w:bookmarkEnd w:id="85"/>
      <w:r w:rsidRPr="00037A18">
        <w:t>: Report Exporting in Progress</w:t>
      </w:r>
    </w:p>
    <w:p w14:paraId="5F1D1917" w14:textId="77777777" w:rsidR="002F1554" w:rsidRPr="00A777D2" w:rsidRDefault="00057948" w:rsidP="002F1554">
      <w:pPr>
        <w:pStyle w:val="BodyText"/>
        <w:rPr>
          <w:highlight w:val="yellow"/>
        </w:rPr>
      </w:pPr>
      <w:r>
        <w:rPr>
          <w:noProof/>
        </w:rPr>
        <w:drawing>
          <wp:inline distT="0" distB="0" distL="0" distR="0" wp14:anchorId="5EB50F8B" wp14:editId="448FA8BD">
            <wp:extent cx="2641600" cy="1200785"/>
            <wp:effectExtent l="19050" t="19050" r="25400" b="18415"/>
            <wp:docPr id="35" name="Picture 35" descr="P776L2#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776L2#yIS1">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41600" cy="1200785"/>
                    </a:xfrm>
                    <a:prstGeom prst="rect">
                      <a:avLst/>
                    </a:prstGeom>
                    <a:noFill/>
                    <a:ln w="6350" cmpd="sng">
                      <a:solidFill>
                        <a:srgbClr val="000000"/>
                      </a:solidFill>
                      <a:miter lim="800000"/>
                      <a:headEnd/>
                      <a:tailEnd/>
                    </a:ln>
                    <a:effectLst/>
                  </pic:spPr>
                </pic:pic>
              </a:graphicData>
            </a:graphic>
          </wp:inline>
        </w:drawing>
      </w:r>
    </w:p>
    <w:p w14:paraId="7A586A08" w14:textId="2FA24F01" w:rsidR="002F1554" w:rsidRPr="00037A18" w:rsidRDefault="00A66B66" w:rsidP="002F1554">
      <w:pPr>
        <w:pStyle w:val="BodyText"/>
      </w:pPr>
      <w:r>
        <w:br w:type="page"/>
      </w:r>
      <w:r w:rsidR="002F1554" w:rsidRPr="00037A18">
        <w:lastRenderedPageBreak/>
        <w:t xml:space="preserve">Clicking the </w:t>
      </w:r>
      <w:r w:rsidR="002F1554" w:rsidRPr="00037A18">
        <w:rPr>
          <w:b/>
        </w:rPr>
        <w:t>Cancel</w:t>
      </w:r>
      <w:r w:rsidR="002F1554" w:rsidRPr="00037A18">
        <w:t xml:space="preserve"> button will stop the e</w:t>
      </w:r>
      <w:r w:rsidR="009144AE">
        <w:t>xport and</w:t>
      </w:r>
      <w:r w:rsidR="005B08F5">
        <w:t xml:space="preserve"> the user will be reverted back to viewing the report</w:t>
      </w:r>
      <w:r w:rsidR="002F1554" w:rsidRPr="00037A18">
        <w:t xml:space="preserve">. If the export </w:t>
      </w:r>
      <w:r w:rsidR="005B08F5">
        <w:t>is</w:t>
      </w:r>
      <w:r w:rsidR="002F1554" w:rsidRPr="00037A18">
        <w:t xml:space="preserve"> successful, the user will be presented with the message shown in</w:t>
      </w:r>
      <w:r w:rsidR="00B2123B">
        <w:t xml:space="preserve"> </w:t>
      </w:r>
      <w:r w:rsidR="00430868">
        <w:fldChar w:fldCharType="begin" w:fldLock="1"/>
      </w:r>
      <w:r w:rsidR="00430868">
        <w:instrText xml:space="preserve"> REF _Ref353374155 \h </w:instrText>
      </w:r>
      <w:r w:rsidR="00430868">
        <w:fldChar w:fldCharType="separate"/>
      </w:r>
      <w:r w:rsidR="00AB304C" w:rsidRPr="00037A18">
        <w:t xml:space="preserve">Figure </w:t>
      </w:r>
      <w:r w:rsidR="00AB304C">
        <w:rPr>
          <w:noProof/>
        </w:rPr>
        <w:t>16</w:t>
      </w:r>
      <w:r w:rsidR="00430868">
        <w:fldChar w:fldCharType="end"/>
      </w:r>
      <w:r w:rsidR="002F1554" w:rsidRPr="00037A18">
        <w:t>.</w:t>
      </w:r>
    </w:p>
    <w:p w14:paraId="2CE8BD94" w14:textId="3C5A20B6" w:rsidR="002F1554" w:rsidRPr="00037A18" w:rsidRDefault="002F1554" w:rsidP="002F1554">
      <w:pPr>
        <w:pStyle w:val="Caption"/>
      </w:pPr>
      <w:bookmarkStart w:id="86" w:name="_Ref353374155"/>
      <w:r w:rsidRPr="00037A18">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16</w:t>
      </w:r>
      <w:r w:rsidR="004E20BD">
        <w:rPr>
          <w:noProof/>
        </w:rPr>
        <w:fldChar w:fldCharType="end"/>
      </w:r>
      <w:bookmarkEnd w:id="86"/>
      <w:r w:rsidRPr="00037A18">
        <w:t>: Example of Report Exporting Success</w:t>
      </w:r>
    </w:p>
    <w:p w14:paraId="77BD963A" w14:textId="06D50B7C" w:rsidR="002F1554" w:rsidRPr="00A777D2" w:rsidRDefault="008B508B" w:rsidP="002F1554">
      <w:pPr>
        <w:pStyle w:val="BodyText"/>
        <w:rPr>
          <w:highlight w:val="yellow"/>
        </w:rPr>
      </w:pPr>
      <w:r>
        <w:rPr>
          <w:noProof/>
        </w:rPr>
        <w:drawing>
          <wp:inline distT="0" distB="0" distL="0" distR="0" wp14:anchorId="07956D68" wp14:editId="564924C3">
            <wp:extent cx="3829050" cy="1362075"/>
            <wp:effectExtent l="19050" t="19050" r="19050" b="28575"/>
            <wp:docPr id="8" name="Picture 8" descr="P779L2#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779L2#yIS1">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29050" cy="1362075"/>
                    </a:xfrm>
                    <a:prstGeom prst="rect">
                      <a:avLst/>
                    </a:prstGeom>
                    <a:noFill/>
                    <a:ln w="6350" cmpd="sng">
                      <a:solidFill>
                        <a:srgbClr val="000000"/>
                      </a:solidFill>
                      <a:miter lim="800000"/>
                      <a:headEnd/>
                      <a:tailEnd/>
                    </a:ln>
                    <a:effectLst/>
                  </pic:spPr>
                </pic:pic>
              </a:graphicData>
            </a:graphic>
          </wp:inline>
        </w:drawing>
      </w:r>
    </w:p>
    <w:p w14:paraId="3F392981" w14:textId="77777777" w:rsidR="002F1554" w:rsidRPr="00037A18" w:rsidRDefault="002F1554" w:rsidP="002F1554">
      <w:pPr>
        <w:pStyle w:val="BodyText"/>
      </w:pPr>
      <w:r w:rsidRPr="00037A18">
        <w:t>This dialog shows the full path to the report and its name allowing the user to find it quickly using Windows Explorer.</w:t>
      </w:r>
    </w:p>
    <w:p w14:paraId="0EFA0C36" w14:textId="5DA4F7FB" w:rsidR="002F1554" w:rsidRPr="00037A18" w:rsidRDefault="002F1554" w:rsidP="002F1554">
      <w:pPr>
        <w:pStyle w:val="BodyText"/>
      </w:pPr>
      <w:r w:rsidRPr="00037A18">
        <w:t>If the user enters the name of a report that already exists, the system will present the message shown in</w:t>
      </w:r>
      <w:r w:rsidR="00430868">
        <w:t xml:space="preserve"> </w:t>
      </w:r>
      <w:r w:rsidR="00430868">
        <w:fldChar w:fldCharType="begin" w:fldLock="1"/>
      </w:r>
      <w:r w:rsidR="00430868">
        <w:instrText xml:space="preserve"> REF _Ref353374172 \h </w:instrText>
      </w:r>
      <w:r w:rsidR="00430868">
        <w:fldChar w:fldCharType="separate"/>
      </w:r>
      <w:r w:rsidR="00AB304C" w:rsidRPr="00037A18">
        <w:t xml:space="preserve">Figure </w:t>
      </w:r>
      <w:r w:rsidR="00AB304C">
        <w:rPr>
          <w:noProof/>
        </w:rPr>
        <w:t>17</w:t>
      </w:r>
      <w:r w:rsidR="00430868">
        <w:fldChar w:fldCharType="end"/>
      </w:r>
      <w:r w:rsidRPr="00037A18">
        <w:t>.</w:t>
      </w:r>
    </w:p>
    <w:p w14:paraId="29B33EFF" w14:textId="07E6B5B6" w:rsidR="002F1554" w:rsidRPr="00037A18" w:rsidRDefault="002F1554" w:rsidP="002F1554">
      <w:pPr>
        <w:pStyle w:val="Caption"/>
      </w:pPr>
      <w:bookmarkStart w:id="87" w:name="_Ref353374172"/>
      <w:r w:rsidRPr="00037A18">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17</w:t>
      </w:r>
      <w:r w:rsidR="004E20BD">
        <w:rPr>
          <w:noProof/>
        </w:rPr>
        <w:fldChar w:fldCharType="end"/>
      </w:r>
      <w:bookmarkEnd w:id="87"/>
      <w:r w:rsidRPr="00037A18">
        <w:t>: Report File Already Exists</w:t>
      </w:r>
    </w:p>
    <w:p w14:paraId="5C848C22" w14:textId="77777777" w:rsidR="002F1554" w:rsidRPr="00A777D2" w:rsidRDefault="00057948" w:rsidP="002F1554">
      <w:pPr>
        <w:pStyle w:val="BodyText"/>
        <w:rPr>
          <w:noProof/>
          <w:highlight w:val="yellow"/>
        </w:rPr>
      </w:pPr>
      <w:r>
        <w:rPr>
          <w:noProof/>
        </w:rPr>
        <w:drawing>
          <wp:inline distT="0" distB="0" distL="0" distR="0" wp14:anchorId="38BD1599" wp14:editId="2DC2CCA7">
            <wp:extent cx="3823970" cy="1385570"/>
            <wp:effectExtent l="19050" t="19050" r="24130" b="24130"/>
            <wp:docPr id="37" name="Picture 1" descr="P783L2#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P783L2#yIS1">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23970" cy="1385570"/>
                    </a:xfrm>
                    <a:prstGeom prst="rect">
                      <a:avLst/>
                    </a:prstGeom>
                    <a:noFill/>
                    <a:ln w="6350" cmpd="sng">
                      <a:solidFill>
                        <a:srgbClr val="000000"/>
                      </a:solidFill>
                      <a:miter lim="800000"/>
                      <a:headEnd/>
                      <a:tailEnd/>
                    </a:ln>
                    <a:effectLst/>
                  </pic:spPr>
                </pic:pic>
              </a:graphicData>
            </a:graphic>
          </wp:inline>
        </w:drawing>
      </w:r>
    </w:p>
    <w:p w14:paraId="6400E9D6" w14:textId="77777777" w:rsidR="002F1554" w:rsidRDefault="002F1554" w:rsidP="002F1554">
      <w:pPr>
        <w:pStyle w:val="BodyText"/>
      </w:pPr>
      <w:r w:rsidRPr="00037A18">
        <w:t xml:space="preserve">Clicking </w:t>
      </w:r>
      <w:r w:rsidRPr="00037A18">
        <w:rPr>
          <w:b/>
        </w:rPr>
        <w:t>Yes</w:t>
      </w:r>
      <w:r w:rsidRPr="00037A18">
        <w:t xml:space="preserve"> will overwrite the existing file. Clicking </w:t>
      </w:r>
      <w:r w:rsidRPr="00037A18">
        <w:rPr>
          <w:b/>
        </w:rPr>
        <w:t>No</w:t>
      </w:r>
      <w:r w:rsidRPr="00037A18">
        <w:t xml:space="preserve"> will allow the user to specify a new name.</w:t>
      </w:r>
    </w:p>
    <w:p w14:paraId="1217AFC1" w14:textId="77777777" w:rsidR="00DC40FC" w:rsidRPr="00037A18" w:rsidRDefault="00A66B66" w:rsidP="00DC40FC">
      <w:pPr>
        <w:pStyle w:val="Heading3"/>
      </w:pPr>
      <w:r>
        <w:br w:type="page"/>
      </w:r>
      <w:bookmarkStart w:id="88" w:name="_Toc4588722"/>
      <w:r w:rsidR="00186E73">
        <w:lastRenderedPageBreak/>
        <w:t>Copying</w:t>
      </w:r>
      <w:r w:rsidR="00DC40FC">
        <w:t xml:space="preserve"> an Exported Report</w:t>
      </w:r>
      <w:bookmarkEnd w:id="88"/>
    </w:p>
    <w:p w14:paraId="31BE4001" w14:textId="77777777" w:rsidR="00DC40FC" w:rsidRDefault="00DC40FC" w:rsidP="002F1554">
      <w:pPr>
        <w:pStyle w:val="BodyText"/>
      </w:pPr>
      <w:r>
        <w:t xml:space="preserve">Here are some tips for </w:t>
      </w:r>
      <w:r w:rsidR="00186E73">
        <w:t>copying</w:t>
      </w:r>
      <w:r>
        <w:t xml:space="preserve"> a file or folder of files from </w:t>
      </w:r>
      <w:r w:rsidR="00EF230F">
        <w:t>one location to another</w:t>
      </w:r>
      <w:r>
        <w:t>.</w:t>
      </w:r>
    </w:p>
    <w:p w14:paraId="6AAA2560" w14:textId="77777777" w:rsidR="005F536B" w:rsidRPr="005F536B" w:rsidRDefault="005F536B" w:rsidP="002F1554">
      <w:pPr>
        <w:pStyle w:val="BodyText"/>
        <w:rPr>
          <w:b/>
        </w:rPr>
      </w:pPr>
      <w:r w:rsidRPr="005F536B">
        <w:rPr>
          <w:b/>
        </w:rPr>
        <w:t>Before you begin:</w:t>
      </w:r>
    </w:p>
    <w:p w14:paraId="1C68CADD" w14:textId="77777777" w:rsidR="005F536B" w:rsidRDefault="005F536B" w:rsidP="000409B1">
      <w:pPr>
        <w:pStyle w:val="BodyText"/>
        <w:numPr>
          <w:ilvl w:val="0"/>
          <w:numId w:val="44"/>
        </w:numPr>
      </w:pPr>
      <w:r>
        <w:t xml:space="preserve">Verify that you or the person </w:t>
      </w:r>
      <w:r w:rsidR="00186E73">
        <w:t>copying</w:t>
      </w:r>
      <w:r>
        <w:t xml:space="preserve"> the file has pe</w:t>
      </w:r>
      <w:r w:rsidR="003C4FA9">
        <w:t xml:space="preserve">rmissions to access both the folder you are </w:t>
      </w:r>
      <w:r w:rsidR="00186E73">
        <w:t>copying</w:t>
      </w:r>
      <w:r w:rsidR="003C4FA9">
        <w:t xml:space="preserve"> files from and the folder you are </w:t>
      </w:r>
      <w:r w:rsidR="00186E73">
        <w:t>copying</w:t>
      </w:r>
      <w:r w:rsidR="003C4FA9">
        <w:t xml:space="preserve"> the files to</w:t>
      </w:r>
      <w:r>
        <w:t>.</w:t>
      </w:r>
    </w:p>
    <w:p w14:paraId="7B3B44D7" w14:textId="77777777" w:rsidR="005F536B" w:rsidRDefault="005F536B" w:rsidP="000409B1">
      <w:pPr>
        <w:pStyle w:val="BodyText"/>
        <w:numPr>
          <w:ilvl w:val="0"/>
          <w:numId w:val="44"/>
        </w:numPr>
      </w:pPr>
      <w:r>
        <w:t>Determine the type of file (i.e., PDF, Word or Excel) you want to use for you</w:t>
      </w:r>
      <w:r w:rsidR="003C4FA9">
        <w:t>r</w:t>
      </w:r>
      <w:r>
        <w:t xml:space="preserve"> local document before you export. Do not change the file type during this process.</w:t>
      </w:r>
    </w:p>
    <w:p w14:paraId="2BCCF407" w14:textId="5403795C" w:rsidR="005F536B" w:rsidRDefault="005F536B" w:rsidP="005F536B">
      <w:pPr>
        <w:pStyle w:val="BodyText"/>
      </w:pPr>
      <w:r>
        <w:t>You may have a shortcut defined on your desktop that opens the report export folder on the server (</w:t>
      </w:r>
      <w:r w:rsidR="00EF230F">
        <w:fldChar w:fldCharType="begin" w:fldLock="1"/>
      </w:r>
      <w:r w:rsidR="00EF230F">
        <w:instrText xml:space="preserve"> REF _Ref414957542 \h </w:instrText>
      </w:r>
      <w:r w:rsidR="00EF230F">
        <w:fldChar w:fldCharType="separate"/>
      </w:r>
      <w:r w:rsidR="00AB304C">
        <w:t xml:space="preserve">Figure </w:t>
      </w:r>
      <w:r w:rsidR="00AB304C">
        <w:rPr>
          <w:noProof/>
        </w:rPr>
        <w:t>18</w:t>
      </w:r>
      <w:r w:rsidR="00EF230F">
        <w:fldChar w:fldCharType="end"/>
      </w:r>
      <w:r>
        <w:t>). This allows you to open files on the server on your loca</w:t>
      </w:r>
      <w:r w:rsidR="008E79E8">
        <w:t xml:space="preserve">l PC (see the </w:t>
      </w:r>
      <w:r w:rsidR="008E79E8" w:rsidRPr="008E79E8">
        <w:rPr>
          <w:i/>
        </w:rPr>
        <w:t xml:space="preserve">VBECS </w:t>
      </w:r>
      <w:r w:rsidR="00531617">
        <w:rPr>
          <w:i/>
        </w:rPr>
        <w:t>2.3.</w:t>
      </w:r>
      <w:r w:rsidR="00B03BDD">
        <w:rPr>
          <w:i/>
        </w:rPr>
        <w:t>1</w:t>
      </w:r>
      <w:r w:rsidR="00531617">
        <w:rPr>
          <w:i/>
        </w:rPr>
        <w:t xml:space="preserve"> </w:t>
      </w:r>
      <w:r w:rsidR="008E79E8" w:rsidRPr="008E79E8">
        <w:rPr>
          <w:i/>
        </w:rPr>
        <w:t>Technical Manual-Security Guide</w:t>
      </w:r>
      <w:r w:rsidR="008E79E8">
        <w:t xml:space="preserve"> for </w:t>
      </w:r>
      <w:r w:rsidR="00E90A01">
        <w:t>additional</w:t>
      </w:r>
      <w:r w:rsidR="008E79E8">
        <w:t xml:space="preserve"> information).</w:t>
      </w:r>
    </w:p>
    <w:p w14:paraId="70BA7733" w14:textId="405C0E78" w:rsidR="005F536B" w:rsidRDefault="005F536B" w:rsidP="005F536B">
      <w:pPr>
        <w:pStyle w:val="Caption"/>
      </w:pPr>
      <w:bookmarkStart w:id="89" w:name="_Ref414957542"/>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18</w:t>
      </w:r>
      <w:r w:rsidR="004E20BD">
        <w:rPr>
          <w:noProof/>
        </w:rPr>
        <w:fldChar w:fldCharType="end"/>
      </w:r>
      <w:bookmarkEnd w:id="89"/>
      <w:r>
        <w:t>: Example of D: Drive</w:t>
      </w:r>
    </w:p>
    <w:p w14:paraId="3C7BC462" w14:textId="77777777" w:rsidR="005F536B" w:rsidRDefault="00057948" w:rsidP="005F536B">
      <w:pPr>
        <w:pStyle w:val="BodyText"/>
      </w:pPr>
      <w:r>
        <w:rPr>
          <w:noProof/>
        </w:rPr>
        <w:drawing>
          <wp:inline distT="0" distB="0" distL="0" distR="0" wp14:anchorId="1782BE90" wp14:editId="2531FB76">
            <wp:extent cx="628015" cy="637540"/>
            <wp:effectExtent l="19050" t="19050" r="19685" b="10160"/>
            <wp:docPr id="38" name="Picture 38" descr="P792L2#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P792L2#yIS1">
                      <a:extLst>
                        <a:ext uri="{C183D7F6-B498-43B3-948B-1728B52AA6E4}">
                          <adec:decorative xmlns:adec="http://schemas.microsoft.com/office/drawing/2017/decorative"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8015" cy="637540"/>
                    </a:xfrm>
                    <a:prstGeom prst="rect">
                      <a:avLst/>
                    </a:prstGeom>
                    <a:noFill/>
                    <a:ln w="12700" cmpd="sng">
                      <a:solidFill>
                        <a:srgbClr val="000000"/>
                      </a:solidFill>
                      <a:miter lim="800000"/>
                      <a:headEnd/>
                      <a:tailEnd/>
                    </a:ln>
                    <a:effectLst/>
                  </pic:spPr>
                </pic:pic>
              </a:graphicData>
            </a:graphic>
          </wp:inline>
        </w:drawing>
      </w:r>
    </w:p>
    <w:p w14:paraId="7329A9F5" w14:textId="77777777" w:rsidR="00A66B66" w:rsidRDefault="00A66B66" w:rsidP="005F536B">
      <w:pPr>
        <w:pStyle w:val="BodyText"/>
        <w:rPr>
          <w:b/>
        </w:rPr>
      </w:pPr>
    </w:p>
    <w:p w14:paraId="206A0B5A" w14:textId="77777777" w:rsidR="005F536B" w:rsidRPr="006E65B3" w:rsidRDefault="005F536B" w:rsidP="005F536B">
      <w:pPr>
        <w:pStyle w:val="BodyText"/>
      </w:pPr>
      <w:r w:rsidRPr="006E65B3">
        <w:rPr>
          <w:b/>
        </w:rPr>
        <w:t>Option One</w:t>
      </w:r>
      <w:r w:rsidR="0044329E" w:rsidRPr="006E65B3">
        <w:rPr>
          <w:b/>
        </w:rPr>
        <w:t xml:space="preserve">: </w:t>
      </w:r>
      <w:r w:rsidR="0044329E" w:rsidRPr="006E65B3">
        <w:t xml:space="preserve">Drag and drop a copy of the file in </w:t>
      </w:r>
      <w:r w:rsidR="00EB17AC" w:rsidRPr="006E65B3">
        <w:t>“</w:t>
      </w:r>
      <w:r w:rsidR="0044329E" w:rsidRPr="006E65B3">
        <w:t>MY LOCAL FOLDER</w:t>
      </w:r>
      <w:r w:rsidR="00EB17AC" w:rsidRPr="006E65B3">
        <w:t>”</w:t>
      </w:r>
      <w:r w:rsidR="0044329E" w:rsidRPr="006E65B3">
        <w:t>.</w:t>
      </w:r>
    </w:p>
    <w:p w14:paraId="1F422C2D" w14:textId="77777777" w:rsidR="0044329E" w:rsidRPr="006E65B3" w:rsidRDefault="0044329E" w:rsidP="005F536B">
      <w:pPr>
        <w:pStyle w:val="BodyText"/>
      </w:pPr>
      <w:r w:rsidRPr="006E65B3">
        <w:t xml:space="preserve">This works well when you do not need to change the file name when </w:t>
      </w:r>
      <w:r w:rsidR="00EF230F" w:rsidRPr="006E65B3">
        <w:t>placing</w:t>
      </w:r>
      <w:r w:rsidRPr="006E65B3">
        <w:t xml:space="preserve"> it in your local folder.</w:t>
      </w:r>
    </w:p>
    <w:p w14:paraId="48A581D4" w14:textId="77777777" w:rsidR="0044329E" w:rsidRPr="006E65B3" w:rsidRDefault="0044329E" w:rsidP="0044329E">
      <w:pPr>
        <w:pStyle w:val="ListNumber2"/>
        <w:rPr>
          <w:sz w:val="22"/>
          <w:szCs w:val="22"/>
        </w:rPr>
      </w:pPr>
      <w:r w:rsidRPr="006E65B3">
        <w:rPr>
          <w:sz w:val="22"/>
          <w:szCs w:val="22"/>
        </w:rPr>
        <w:t xml:space="preserve">When in ‘Windows Explorer’ (not Internet Explorer), left-click on the file and </w:t>
      </w:r>
      <w:r w:rsidR="00EF230F" w:rsidRPr="006E65B3">
        <w:rPr>
          <w:sz w:val="22"/>
          <w:szCs w:val="22"/>
        </w:rPr>
        <w:t>while</w:t>
      </w:r>
      <w:r w:rsidRPr="006E65B3">
        <w:rPr>
          <w:sz w:val="22"/>
          <w:szCs w:val="22"/>
        </w:rPr>
        <w:t xml:space="preserve"> </w:t>
      </w:r>
      <w:r w:rsidR="00EF230F" w:rsidRPr="006E65B3">
        <w:rPr>
          <w:sz w:val="22"/>
          <w:szCs w:val="22"/>
        </w:rPr>
        <w:t>holding down</w:t>
      </w:r>
      <w:r w:rsidRPr="006E65B3">
        <w:rPr>
          <w:sz w:val="22"/>
          <w:szCs w:val="22"/>
        </w:rPr>
        <w:t xml:space="preserve"> the mouse button, drag the file to </w:t>
      </w:r>
      <w:r w:rsidR="003C4FA9">
        <w:rPr>
          <w:sz w:val="22"/>
          <w:szCs w:val="22"/>
        </w:rPr>
        <w:t>the destination</w:t>
      </w:r>
      <w:r w:rsidRPr="006E65B3">
        <w:rPr>
          <w:sz w:val="22"/>
          <w:szCs w:val="22"/>
        </w:rPr>
        <w:t xml:space="preserve"> folder.</w:t>
      </w:r>
    </w:p>
    <w:p w14:paraId="107286CC" w14:textId="77777777" w:rsidR="0044329E" w:rsidRPr="006E65B3" w:rsidRDefault="0044329E" w:rsidP="0044329E">
      <w:pPr>
        <w:pStyle w:val="ListNumber2"/>
        <w:rPr>
          <w:sz w:val="22"/>
          <w:szCs w:val="22"/>
        </w:rPr>
      </w:pPr>
      <w:r w:rsidRPr="006E65B3">
        <w:rPr>
          <w:sz w:val="22"/>
          <w:szCs w:val="22"/>
        </w:rPr>
        <w:t xml:space="preserve">Release the left mouse button when hovering over </w:t>
      </w:r>
      <w:r w:rsidR="00EB17AC" w:rsidRPr="006E65B3">
        <w:rPr>
          <w:sz w:val="22"/>
          <w:szCs w:val="22"/>
        </w:rPr>
        <w:t>“</w:t>
      </w:r>
      <w:r w:rsidRPr="006E65B3">
        <w:rPr>
          <w:sz w:val="22"/>
          <w:szCs w:val="22"/>
        </w:rPr>
        <w:t>MY LOCAL FOLDER</w:t>
      </w:r>
      <w:r w:rsidR="00EB17AC" w:rsidRPr="006E65B3">
        <w:rPr>
          <w:sz w:val="22"/>
          <w:szCs w:val="22"/>
        </w:rPr>
        <w:t>”</w:t>
      </w:r>
      <w:r w:rsidRPr="006E65B3">
        <w:rPr>
          <w:sz w:val="22"/>
          <w:szCs w:val="22"/>
        </w:rPr>
        <w:t xml:space="preserve">. The file may </w:t>
      </w:r>
      <w:r w:rsidR="00186E73">
        <w:rPr>
          <w:sz w:val="22"/>
          <w:szCs w:val="22"/>
        </w:rPr>
        <w:t>copy</w:t>
      </w:r>
      <w:r w:rsidRPr="006E65B3">
        <w:rPr>
          <w:sz w:val="22"/>
          <w:szCs w:val="22"/>
        </w:rPr>
        <w:t xml:space="preserve"> without any notification or may have a copying window appear if it is a large file.</w:t>
      </w:r>
    </w:p>
    <w:p w14:paraId="14A9FF5A" w14:textId="77777777" w:rsidR="0044329E" w:rsidRPr="006E65B3" w:rsidRDefault="00EB17AC" w:rsidP="0044329E">
      <w:pPr>
        <w:pStyle w:val="ListNumber2"/>
        <w:rPr>
          <w:sz w:val="22"/>
          <w:szCs w:val="22"/>
        </w:rPr>
      </w:pPr>
      <w:r w:rsidRPr="006E65B3">
        <w:rPr>
          <w:sz w:val="22"/>
          <w:szCs w:val="22"/>
        </w:rPr>
        <w:t>Skip to Step 3 of Option Two.</w:t>
      </w:r>
    </w:p>
    <w:p w14:paraId="58B5DEDC" w14:textId="77777777" w:rsidR="00186E73" w:rsidRDefault="00186E73" w:rsidP="00EB17AC">
      <w:pPr>
        <w:pStyle w:val="BodyText"/>
        <w:rPr>
          <w:b/>
        </w:rPr>
      </w:pPr>
    </w:p>
    <w:p w14:paraId="54337C7B" w14:textId="77777777" w:rsidR="00EB17AC" w:rsidRDefault="00A66B66" w:rsidP="00EB17AC">
      <w:pPr>
        <w:pStyle w:val="BodyText"/>
      </w:pPr>
      <w:r>
        <w:rPr>
          <w:b/>
        </w:rPr>
        <w:br w:type="page"/>
      </w:r>
      <w:r w:rsidR="00EB17AC" w:rsidRPr="0044329E">
        <w:rPr>
          <w:b/>
        </w:rPr>
        <w:lastRenderedPageBreak/>
        <w:t xml:space="preserve">Option </w:t>
      </w:r>
      <w:r w:rsidR="00EB17AC">
        <w:rPr>
          <w:b/>
        </w:rPr>
        <w:t xml:space="preserve">Two: </w:t>
      </w:r>
      <w:r w:rsidR="00EB17AC">
        <w:t>Open the document and save a copy to another file.</w:t>
      </w:r>
    </w:p>
    <w:p w14:paraId="563B5D5D" w14:textId="77777777" w:rsidR="00EB17AC" w:rsidRPr="00A66B66" w:rsidRDefault="00EB17AC" w:rsidP="000409B1">
      <w:pPr>
        <w:pStyle w:val="ListNumber2"/>
        <w:numPr>
          <w:ilvl w:val="0"/>
          <w:numId w:val="46"/>
        </w:numPr>
        <w:rPr>
          <w:sz w:val="22"/>
          <w:szCs w:val="22"/>
        </w:rPr>
      </w:pPr>
      <w:r w:rsidRPr="00A66B66">
        <w:rPr>
          <w:sz w:val="22"/>
          <w:szCs w:val="22"/>
        </w:rPr>
        <w:t>Open the document from the server folder.</w:t>
      </w:r>
    </w:p>
    <w:p w14:paraId="3E799B17" w14:textId="77777777" w:rsidR="00EB17AC" w:rsidRPr="00A66B66" w:rsidRDefault="00EB17AC" w:rsidP="000409B1">
      <w:pPr>
        <w:pStyle w:val="ListNumber2"/>
        <w:numPr>
          <w:ilvl w:val="0"/>
          <w:numId w:val="46"/>
        </w:numPr>
        <w:rPr>
          <w:sz w:val="22"/>
          <w:szCs w:val="22"/>
        </w:rPr>
      </w:pPr>
      <w:r w:rsidRPr="00A66B66">
        <w:rPr>
          <w:sz w:val="22"/>
          <w:szCs w:val="22"/>
        </w:rPr>
        <w:t xml:space="preserve">Select the </w:t>
      </w:r>
      <w:r w:rsidRPr="00A66B66">
        <w:rPr>
          <w:b/>
          <w:sz w:val="22"/>
          <w:szCs w:val="22"/>
        </w:rPr>
        <w:t>Save As</w:t>
      </w:r>
      <w:r w:rsidRPr="00A66B66">
        <w:rPr>
          <w:sz w:val="22"/>
          <w:szCs w:val="22"/>
        </w:rPr>
        <w:t xml:space="preserve"> option and then the local folder, which in this example is called MY LOCAL FOLDER.</w:t>
      </w:r>
    </w:p>
    <w:p w14:paraId="5A3FA72F" w14:textId="77777777" w:rsidR="00CB1989" w:rsidRPr="00A66B66" w:rsidRDefault="00CB1989" w:rsidP="00CB1989">
      <w:pPr>
        <w:pStyle w:val="ListNumber2"/>
        <w:numPr>
          <w:ilvl w:val="0"/>
          <w:numId w:val="0"/>
        </w:numPr>
        <w:ind w:left="720"/>
        <w:rPr>
          <w:sz w:val="22"/>
          <w:szCs w:val="22"/>
        </w:rPr>
      </w:pPr>
    </w:p>
    <w:p w14:paraId="56FD8A25" w14:textId="62CDFB86" w:rsidR="00CB1989" w:rsidRPr="00A66B66" w:rsidRDefault="00CB1989" w:rsidP="00CB1989">
      <w:pPr>
        <w:pStyle w:val="ListNumber2"/>
        <w:numPr>
          <w:ilvl w:val="0"/>
          <w:numId w:val="0"/>
        </w:numPr>
        <w:ind w:left="720"/>
        <w:rPr>
          <w:sz w:val="22"/>
          <w:szCs w:val="22"/>
        </w:rPr>
      </w:pPr>
      <w:r w:rsidRPr="00A66B66">
        <w:rPr>
          <w:sz w:val="22"/>
          <w:szCs w:val="22"/>
        </w:rPr>
        <w:t>You may edit the file name at this point. The name you use for the file in your local folder should be something that allows you to manage those files as you use them. You can name the exported file accordingly or edit the file name in your local folder. A generic file name allows you to save and refresh the information. It may be appropriate for something like the Cumulative Transfusion Requirements report (</w:t>
      </w:r>
      <w:r w:rsidR="00186E73" w:rsidRPr="00A66B66">
        <w:rPr>
          <w:sz w:val="22"/>
          <w:szCs w:val="22"/>
        </w:rPr>
        <w:fldChar w:fldCharType="begin" w:fldLock="1"/>
      </w:r>
      <w:r w:rsidR="00186E73" w:rsidRPr="00A66B66">
        <w:rPr>
          <w:sz w:val="22"/>
          <w:szCs w:val="22"/>
        </w:rPr>
        <w:instrText xml:space="preserve"> REF _Ref414957839 \h </w:instrText>
      </w:r>
      <w:r w:rsidR="00A66B66">
        <w:rPr>
          <w:sz w:val="22"/>
          <w:szCs w:val="22"/>
        </w:rPr>
        <w:instrText xml:space="preserve"> \* MERGEFORMAT </w:instrText>
      </w:r>
      <w:r w:rsidR="00186E73" w:rsidRPr="00A66B66">
        <w:rPr>
          <w:sz w:val="22"/>
          <w:szCs w:val="22"/>
        </w:rPr>
      </w:r>
      <w:r w:rsidR="00186E73" w:rsidRPr="00A66B66">
        <w:rPr>
          <w:sz w:val="22"/>
          <w:szCs w:val="22"/>
        </w:rPr>
        <w:fldChar w:fldCharType="separate"/>
      </w:r>
      <w:r w:rsidR="00AB304C" w:rsidRPr="00AB304C">
        <w:rPr>
          <w:sz w:val="22"/>
          <w:szCs w:val="22"/>
        </w:rPr>
        <w:t xml:space="preserve">Figure </w:t>
      </w:r>
      <w:r w:rsidR="00AB304C" w:rsidRPr="00AB304C">
        <w:rPr>
          <w:noProof/>
          <w:sz w:val="22"/>
          <w:szCs w:val="22"/>
        </w:rPr>
        <w:t>19</w:t>
      </w:r>
      <w:r w:rsidR="00186E73" w:rsidRPr="00A66B66">
        <w:rPr>
          <w:sz w:val="22"/>
          <w:szCs w:val="22"/>
        </w:rPr>
        <w:fldChar w:fldCharType="end"/>
      </w:r>
      <w:r w:rsidRPr="00A66B66">
        <w:rPr>
          <w:sz w:val="22"/>
          <w:szCs w:val="22"/>
        </w:rPr>
        <w:t>).</w:t>
      </w:r>
    </w:p>
    <w:p w14:paraId="57A97FA3" w14:textId="2B7DCE54" w:rsidR="00CB1989" w:rsidRPr="00A66B66" w:rsidRDefault="00CB1989" w:rsidP="00CB1989">
      <w:pPr>
        <w:pStyle w:val="Caption"/>
      </w:pPr>
      <w:bookmarkStart w:id="90" w:name="_Ref414957839"/>
      <w:r w:rsidRPr="00A66B66">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19</w:t>
      </w:r>
      <w:r w:rsidR="004E20BD">
        <w:rPr>
          <w:noProof/>
        </w:rPr>
        <w:fldChar w:fldCharType="end"/>
      </w:r>
      <w:bookmarkEnd w:id="90"/>
      <w:r w:rsidRPr="00A66B66">
        <w:t>: Example of File Name</w:t>
      </w:r>
    </w:p>
    <w:p w14:paraId="1C927406" w14:textId="77777777" w:rsidR="00CB1989" w:rsidRPr="00CB1989" w:rsidRDefault="00057948" w:rsidP="00CB1989">
      <w:pPr>
        <w:pStyle w:val="BodyText"/>
      </w:pPr>
      <w:r>
        <w:rPr>
          <w:noProof/>
          <w:sz w:val="24"/>
          <w:szCs w:val="24"/>
        </w:rPr>
        <w:drawing>
          <wp:inline distT="0" distB="0" distL="0" distR="0" wp14:anchorId="4D5AB5EE" wp14:editId="09889AB6">
            <wp:extent cx="3565525" cy="332740"/>
            <wp:effectExtent l="19050" t="19050" r="15875" b="10160"/>
            <wp:docPr id="39" name="Picture 39" descr="P806L2#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P806L2#yIS1">
                      <a:extLst>
                        <a:ext uri="{C183D7F6-B498-43B3-948B-1728B52AA6E4}">
                          <adec:decorative xmlns:adec="http://schemas.microsoft.com/office/drawing/2017/decorative" val="1"/>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65525" cy="332740"/>
                    </a:xfrm>
                    <a:prstGeom prst="rect">
                      <a:avLst/>
                    </a:prstGeom>
                    <a:solidFill>
                      <a:srgbClr val="000000"/>
                    </a:solidFill>
                    <a:ln w="12700" cmpd="sng">
                      <a:solidFill>
                        <a:srgbClr val="000000"/>
                      </a:solidFill>
                      <a:miter lim="800000"/>
                      <a:headEnd/>
                      <a:tailEnd/>
                    </a:ln>
                    <a:effectLst/>
                  </pic:spPr>
                </pic:pic>
              </a:graphicData>
            </a:graphic>
          </wp:inline>
        </w:drawing>
      </w:r>
    </w:p>
    <w:p w14:paraId="3979BB8F" w14:textId="5ABB340B" w:rsidR="00CB1989" w:rsidRPr="006E65B3" w:rsidRDefault="00CB1989" w:rsidP="00CB1989">
      <w:pPr>
        <w:pStyle w:val="ListNumber2"/>
        <w:numPr>
          <w:ilvl w:val="0"/>
          <w:numId w:val="0"/>
        </w:numPr>
        <w:ind w:left="720"/>
        <w:rPr>
          <w:sz w:val="22"/>
          <w:szCs w:val="22"/>
        </w:rPr>
      </w:pPr>
      <w:r w:rsidRPr="006E65B3">
        <w:rPr>
          <w:sz w:val="22"/>
          <w:szCs w:val="22"/>
        </w:rPr>
        <w:t>You may also opt to save with a date in the file name to allow a snapshot report for historic purposes (</w:t>
      </w:r>
      <w:r w:rsidR="00EF230F" w:rsidRPr="006E65B3">
        <w:rPr>
          <w:sz w:val="22"/>
          <w:szCs w:val="22"/>
        </w:rPr>
        <w:fldChar w:fldCharType="begin" w:fldLock="1"/>
      </w:r>
      <w:r w:rsidR="00EF230F" w:rsidRPr="006E65B3">
        <w:rPr>
          <w:sz w:val="22"/>
          <w:szCs w:val="22"/>
        </w:rPr>
        <w:instrText xml:space="preserve"> REF _Ref414957853 \h </w:instrText>
      </w:r>
      <w:r w:rsidR="006E65B3">
        <w:rPr>
          <w:sz w:val="22"/>
          <w:szCs w:val="22"/>
        </w:rPr>
        <w:instrText xml:space="preserve"> \* MERGEFORMAT </w:instrText>
      </w:r>
      <w:r w:rsidR="00EF230F" w:rsidRPr="006E65B3">
        <w:rPr>
          <w:sz w:val="22"/>
          <w:szCs w:val="22"/>
        </w:rPr>
      </w:r>
      <w:r w:rsidR="00EF230F" w:rsidRPr="006E65B3">
        <w:rPr>
          <w:sz w:val="22"/>
          <w:szCs w:val="22"/>
        </w:rPr>
        <w:fldChar w:fldCharType="separate"/>
      </w:r>
      <w:r w:rsidR="00AB304C" w:rsidRPr="00AB304C">
        <w:rPr>
          <w:sz w:val="22"/>
          <w:szCs w:val="22"/>
        </w:rPr>
        <w:t xml:space="preserve">Figure </w:t>
      </w:r>
      <w:r w:rsidR="00AB304C" w:rsidRPr="00AB304C">
        <w:rPr>
          <w:noProof/>
          <w:sz w:val="22"/>
          <w:szCs w:val="22"/>
        </w:rPr>
        <w:t>20</w:t>
      </w:r>
      <w:r w:rsidR="00EF230F" w:rsidRPr="006E65B3">
        <w:rPr>
          <w:sz w:val="22"/>
          <w:szCs w:val="22"/>
        </w:rPr>
        <w:fldChar w:fldCharType="end"/>
      </w:r>
      <w:r w:rsidRPr="006E65B3">
        <w:rPr>
          <w:sz w:val="22"/>
          <w:szCs w:val="22"/>
        </w:rPr>
        <w:t>).</w:t>
      </w:r>
    </w:p>
    <w:p w14:paraId="0E1D2B54" w14:textId="1B9E9935" w:rsidR="00CB1989" w:rsidRPr="006E65B3" w:rsidRDefault="00CB1989" w:rsidP="00CB1989">
      <w:pPr>
        <w:pStyle w:val="Caption"/>
      </w:pPr>
      <w:bookmarkStart w:id="91" w:name="_Ref414957853"/>
      <w:r w:rsidRPr="006E65B3">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20</w:t>
      </w:r>
      <w:r w:rsidR="004E20BD">
        <w:rPr>
          <w:noProof/>
        </w:rPr>
        <w:fldChar w:fldCharType="end"/>
      </w:r>
      <w:bookmarkEnd w:id="91"/>
      <w:r w:rsidRPr="006E65B3">
        <w:t>: Example of Dated File Name</w:t>
      </w:r>
    </w:p>
    <w:p w14:paraId="1013E8D8" w14:textId="77777777" w:rsidR="00CB1989" w:rsidRPr="00CB1989" w:rsidRDefault="00057948" w:rsidP="00CB1989">
      <w:pPr>
        <w:pStyle w:val="BodyText"/>
      </w:pPr>
      <w:r>
        <w:rPr>
          <w:noProof/>
        </w:rPr>
        <w:drawing>
          <wp:inline distT="0" distB="0" distL="0" distR="0" wp14:anchorId="6FD2D980" wp14:editId="58A3FE79">
            <wp:extent cx="4036060" cy="304800"/>
            <wp:effectExtent l="19050" t="19050" r="21590" b="19050"/>
            <wp:docPr id="40" name="Picture 40" descr="P809L2#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P809L2#yIS1">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36060" cy="304800"/>
                    </a:xfrm>
                    <a:prstGeom prst="rect">
                      <a:avLst/>
                    </a:prstGeom>
                    <a:noFill/>
                    <a:ln w="12700" cmpd="sng">
                      <a:solidFill>
                        <a:srgbClr val="000000"/>
                      </a:solidFill>
                      <a:miter lim="800000"/>
                      <a:headEnd/>
                      <a:tailEnd/>
                    </a:ln>
                    <a:effectLst/>
                  </pic:spPr>
                </pic:pic>
              </a:graphicData>
            </a:graphic>
          </wp:inline>
        </w:drawing>
      </w:r>
    </w:p>
    <w:p w14:paraId="66D86A34" w14:textId="1B411B7C" w:rsidR="00CB1989" w:rsidRPr="006E65B3" w:rsidRDefault="00CB1989" w:rsidP="000409B1">
      <w:pPr>
        <w:pStyle w:val="ListNumber2"/>
        <w:numPr>
          <w:ilvl w:val="0"/>
          <w:numId w:val="46"/>
        </w:numPr>
        <w:rPr>
          <w:sz w:val="22"/>
          <w:szCs w:val="22"/>
        </w:rPr>
      </w:pPr>
      <w:r w:rsidRPr="006E65B3">
        <w:rPr>
          <w:sz w:val="22"/>
          <w:szCs w:val="22"/>
        </w:rPr>
        <w:t>Verify that “MY LOCAL FOLD</w:t>
      </w:r>
      <w:r w:rsidR="005E0472">
        <w:rPr>
          <w:sz w:val="22"/>
          <w:szCs w:val="22"/>
        </w:rPr>
        <w:t>E</w:t>
      </w:r>
      <w:r w:rsidRPr="006E65B3">
        <w:rPr>
          <w:sz w:val="22"/>
          <w:szCs w:val="22"/>
        </w:rPr>
        <w:t>R” contains the saved file. You can edit and save to this folder with those changes (</w:t>
      </w:r>
      <w:r w:rsidR="006E65B3" w:rsidRPr="006E65B3">
        <w:rPr>
          <w:sz w:val="22"/>
          <w:szCs w:val="22"/>
        </w:rPr>
        <w:fldChar w:fldCharType="begin" w:fldLock="1"/>
      </w:r>
      <w:r w:rsidR="006E65B3" w:rsidRPr="006E65B3">
        <w:rPr>
          <w:sz w:val="22"/>
          <w:szCs w:val="22"/>
        </w:rPr>
        <w:instrText xml:space="preserve"> REF _Ref414957903 \h </w:instrText>
      </w:r>
      <w:r w:rsidR="006E65B3">
        <w:rPr>
          <w:sz w:val="22"/>
          <w:szCs w:val="22"/>
        </w:rPr>
        <w:instrText xml:space="preserve"> \* MERGEFORMAT </w:instrText>
      </w:r>
      <w:r w:rsidR="006E65B3" w:rsidRPr="006E65B3">
        <w:rPr>
          <w:sz w:val="22"/>
          <w:szCs w:val="22"/>
        </w:rPr>
      </w:r>
      <w:r w:rsidR="006E65B3" w:rsidRPr="006E65B3">
        <w:rPr>
          <w:sz w:val="22"/>
          <w:szCs w:val="22"/>
        </w:rPr>
        <w:fldChar w:fldCharType="separate"/>
      </w:r>
      <w:r w:rsidR="00AB304C" w:rsidRPr="00AB304C">
        <w:rPr>
          <w:sz w:val="22"/>
          <w:szCs w:val="22"/>
        </w:rPr>
        <w:t xml:space="preserve">Figure </w:t>
      </w:r>
      <w:r w:rsidR="00AB304C" w:rsidRPr="00AB304C">
        <w:rPr>
          <w:noProof/>
          <w:sz w:val="22"/>
          <w:szCs w:val="22"/>
        </w:rPr>
        <w:t>21</w:t>
      </w:r>
      <w:r w:rsidR="006E65B3" w:rsidRPr="006E65B3">
        <w:rPr>
          <w:sz w:val="22"/>
          <w:szCs w:val="22"/>
        </w:rPr>
        <w:fldChar w:fldCharType="end"/>
      </w:r>
      <w:r w:rsidRPr="006E65B3">
        <w:rPr>
          <w:sz w:val="22"/>
          <w:szCs w:val="22"/>
        </w:rPr>
        <w:t>). Unlike the server file, you may also delete this file.</w:t>
      </w:r>
    </w:p>
    <w:p w14:paraId="176F2E86" w14:textId="3CCC07F0" w:rsidR="00CB1989" w:rsidRPr="006E65B3" w:rsidRDefault="00CB1989" w:rsidP="00CB1989">
      <w:pPr>
        <w:pStyle w:val="Caption"/>
      </w:pPr>
      <w:bookmarkStart w:id="92" w:name="_Ref414957903"/>
      <w:r w:rsidRPr="006E65B3">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21</w:t>
      </w:r>
      <w:r w:rsidR="004E20BD">
        <w:rPr>
          <w:noProof/>
        </w:rPr>
        <w:fldChar w:fldCharType="end"/>
      </w:r>
      <w:bookmarkEnd w:id="92"/>
      <w:r w:rsidRPr="006E65B3">
        <w:t>: Example of Saved File</w:t>
      </w:r>
    </w:p>
    <w:p w14:paraId="1F589828" w14:textId="77777777" w:rsidR="00DC40FC" w:rsidRDefault="00057948" w:rsidP="002F1554">
      <w:pPr>
        <w:pStyle w:val="BodyText"/>
      </w:pPr>
      <w:r>
        <w:rPr>
          <w:noProof/>
        </w:rPr>
        <w:drawing>
          <wp:inline distT="0" distB="0" distL="0" distR="0" wp14:anchorId="1AF21C31" wp14:editId="2666574D">
            <wp:extent cx="4876800" cy="739140"/>
            <wp:effectExtent l="19050" t="19050" r="19050" b="22860"/>
            <wp:docPr id="41" name="Picture 41" descr="P812L2#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812L2#yIS1">
                      <a:extLst>
                        <a:ext uri="{C183D7F6-B498-43B3-948B-1728B52AA6E4}">
                          <adec:decorative xmlns:adec="http://schemas.microsoft.com/office/drawing/2017/decorative"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76800" cy="739140"/>
                    </a:xfrm>
                    <a:prstGeom prst="rect">
                      <a:avLst/>
                    </a:prstGeom>
                    <a:noFill/>
                    <a:ln w="12700" cmpd="sng">
                      <a:solidFill>
                        <a:srgbClr val="000000"/>
                      </a:solidFill>
                      <a:miter lim="800000"/>
                      <a:headEnd/>
                      <a:tailEnd/>
                    </a:ln>
                    <a:effectLst/>
                  </pic:spPr>
                </pic:pic>
              </a:graphicData>
            </a:graphic>
          </wp:inline>
        </w:drawing>
      </w:r>
    </w:p>
    <w:p w14:paraId="24D20954" w14:textId="77777777" w:rsidR="006A5B6D" w:rsidRPr="00382DF2" w:rsidRDefault="006A5B6D" w:rsidP="002F1554">
      <w:pPr>
        <w:pStyle w:val="BodyText"/>
      </w:pPr>
      <w:r w:rsidRPr="006A5B6D">
        <w:rPr>
          <w:b/>
        </w:rPr>
        <w:t>Note:</w:t>
      </w:r>
      <w:r>
        <w:t xml:space="preserve"> The copy of the file you save to your local folder is separate and does not update the file in the server folder.</w:t>
      </w:r>
    </w:p>
    <w:p w14:paraId="28BCAA58" w14:textId="77777777" w:rsidR="002A21AE" w:rsidRDefault="00A66B66">
      <w:pPr>
        <w:pStyle w:val="Heading2"/>
      </w:pPr>
      <w:bookmarkStart w:id="93" w:name="OLE_LINK45"/>
      <w:bookmarkStart w:id="94" w:name="OLE_LINK46"/>
      <w:r>
        <w:br w:type="page"/>
      </w:r>
      <w:bookmarkStart w:id="95" w:name="_Toc4588723"/>
      <w:bookmarkStart w:id="96" w:name="_Hlk4563316"/>
      <w:r w:rsidR="002A21AE">
        <w:lastRenderedPageBreak/>
        <w:t>Using VBECS</w:t>
      </w:r>
      <w:bookmarkEnd w:id="95"/>
      <w:r w:rsidR="002A21AE">
        <w:fldChar w:fldCharType="begin"/>
      </w:r>
      <w:r w:rsidR="002A21AE">
        <w:instrText xml:space="preserve"> XE </w:instrText>
      </w:r>
      <w:r w:rsidR="00FA7E65">
        <w:instrText>“</w:instrText>
      </w:r>
      <w:r w:rsidR="002A21AE">
        <w:instrText>Using VBECS</w:instrText>
      </w:r>
      <w:r w:rsidR="00FA7E65">
        <w:instrText>”</w:instrText>
      </w:r>
      <w:r w:rsidR="002A21AE">
        <w:instrText xml:space="preserve"> </w:instrText>
      </w:r>
      <w:r w:rsidR="002A21AE">
        <w:fldChar w:fldCharType="end"/>
      </w:r>
    </w:p>
    <w:p w14:paraId="68DFA8BD" w14:textId="77777777" w:rsidR="002A21AE" w:rsidRDefault="002A21AE" w:rsidP="00FA7E65">
      <w:pPr>
        <w:pStyle w:val="BodyText"/>
      </w:pPr>
      <w:bookmarkStart w:id="97" w:name="OLE_LINK37"/>
      <w:bookmarkStart w:id="98" w:name="OLE_LINK38"/>
      <w:r>
        <w:t xml:space="preserve">VBECS is a Windows-based application. </w:t>
      </w:r>
    </w:p>
    <w:p w14:paraId="67595265" w14:textId="77777777" w:rsidR="002A21AE" w:rsidRDefault="002A21AE" w:rsidP="00FA7E65">
      <w:pPr>
        <w:pStyle w:val="BodyText"/>
      </w:pPr>
      <w:r>
        <w:t>One VBEC</w:t>
      </w:r>
      <w:r w:rsidR="00434529">
        <w:t>S system</w:t>
      </w:r>
      <w:r>
        <w:t xml:space="preserve"> is implemented for each </w:t>
      </w:r>
      <w:r w:rsidR="000C7684" w:rsidRPr="000C7684">
        <w:rPr>
          <w:bCs/>
        </w:rPr>
        <w:t>VistA</w:t>
      </w:r>
      <w:r>
        <w:t xml:space="preserve"> database.</w:t>
      </w:r>
    </w:p>
    <w:p w14:paraId="68BAD092" w14:textId="77777777" w:rsidR="00F07C4D" w:rsidRDefault="00F07C4D" w:rsidP="00F05B26">
      <w:pPr>
        <w:pStyle w:val="BodyText"/>
      </w:pPr>
      <w:r>
        <w:t xml:space="preserve">Subject matter experts (SMEs) at user sites will help implement VBECS and train blood bank staff and </w:t>
      </w:r>
      <w:r w:rsidR="00443802" w:rsidRPr="00F05B26">
        <w:t xml:space="preserve">other </w:t>
      </w:r>
      <w:r w:rsidRPr="00F05B26">
        <w:t>authorized users.</w:t>
      </w:r>
    </w:p>
    <w:p w14:paraId="61E04FBF" w14:textId="6E0B54CA" w:rsidR="002A21AE" w:rsidRPr="00F05B26" w:rsidRDefault="00200CB8" w:rsidP="00F05B26">
      <w:pPr>
        <w:pStyle w:val="BodyText"/>
      </w:pPr>
      <w:r w:rsidRPr="00791497">
        <w:t xml:space="preserve">The VBECS </w:t>
      </w:r>
      <w:r w:rsidR="002A4CB4" w:rsidRPr="00791497">
        <w:t>SharePoint</w:t>
      </w:r>
      <w:r w:rsidRPr="00791497">
        <w:t xml:space="preserve"> site contains training, Frequently Asked Questions (FAQs)</w:t>
      </w:r>
      <w:r w:rsidR="00791497" w:rsidRPr="00791497">
        <w:t xml:space="preserve">, Technical Bulletins, </w:t>
      </w:r>
      <w:r w:rsidRPr="00791497">
        <w:t xml:space="preserve">ListServ </w:t>
      </w:r>
      <w:r w:rsidR="00F94855">
        <w:t>messages and sign up</w:t>
      </w:r>
      <w:r w:rsidR="00D00E0D">
        <w:t>, etc.</w:t>
      </w:r>
      <w:r w:rsidRPr="00791497">
        <w:t xml:space="preserve"> to support the implementation and use of VBECS</w:t>
      </w:r>
      <w:r w:rsidR="00434529">
        <w:t xml:space="preserve"> </w:t>
      </w:r>
      <w:r w:rsidR="00906BF1">
        <w:rPr>
          <w:highlight w:val="yellow"/>
        </w:rPr>
        <w:t>REDACTED</w:t>
      </w:r>
      <w:r w:rsidRPr="00791497">
        <w:t>.</w:t>
      </w:r>
      <w:r w:rsidR="00F94855">
        <w:t xml:space="preserve"> </w:t>
      </w:r>
      <w:r w:rsidR="00C84BC5" w:rsidRPr="00F05B26">
        <w:t xml:space="preserve">Users may access links to </w:t>
      </w:r>
      <w:r w:rsidR="00F05B26" w:rsidRPr="00F05B26">
        <w:t xml:space="preserve">VBECS </w:t>
      </w:r>
      <w:r w:rsidR="00C84BC5" w:rsidRPr="00F05B26">
        <w:t xml:space="preserve">training </w:t>
      </w:r>
      <w:r w:rsidR="00FF50AC" w:rsidRPr="00F05B26">
        <w:t>modules</w:t>
      </w:r>
      <w:r w:rsidR="00F05B26" w:rsidRPr="00F05B26">
        <w:t xml:space="preserve"> and frequently asked questions, and join a ListServ (an email distribution list to manage discussion groups) for announcements and updates</w:t>
      </w:r>
      <w:r w:rsidR="00520684">
        <w:t xml:space="preserve"> on the VBECS </w:t>
      </w:r>
      <w:r w:rsidR="002A4CB4">
        <w:t>SharePoint</w:t>
      </w:r>
      <w:r w:rsidR="00520684">
        <w:t xml:space="preserve"> site</w:t>
      </w:r>
      <w:r w:rsidR="00F05B26" w:rsidRPr="00F05B26">
        <w:t>.</w:t>
      </w:r>
      <w:r w:rsidR="00C84BC5" w:rsidRPr="00F05B26">
        <w:t> Contact information is provided for comments and questions</w:t>
      </w:r>
      <w:bookmarkEnd w:id="93"/>
      <w:bookmarkEnd w:id="94"/>
      <w:r w:rsidR="00F05B26" w:rsidRPr="00F05B26">
        <w:t>.</w:t>
      </w:r>
    </w:p>
    <w:bookmarkEnd w:id="97"/>
    <w:bookmarkEnd w:id="98"/>
    <w:p w14:paraId="75604300" w14:textId="77777777" w:rsidR="00FF50AC" w:rsidRDefault="00FF50AC" w:rsidP="00FF50AC">
      <w:pPr>
        <w:pStyle w:val="Heading4"/>
      </w:pPr>
      <w:r>
        <w:t>Documentation</w:t>
      </w:r>
    </w:p>
    <w:p w14:paraId="6BD8CB11" w14:textId="77777777" w:rsidR="00906BF1" w:rsidRDefault="00FF50AC" w:rsidP="00906BF1">
      <w:pPr>
        <w:pStyle w:val="BodyText"/>
      </w:pPr>
      <w:r>
        <w:t>Users may retrieve VistA documentation from the VistA Documentation Library (VDL) Web page</w:t>
      </w:r>
      <w:r w:rsidR="005C277F">
        <w:t xml:space="preserve"> </w:t>
      </w:r>
      <w:bookmarkStart w:id="99" w:name="_Options_at_a_Glance:_VBECS_and_Vist"/>
      <w:bookmarkStart w:id="100" w:name="_Toc4588724"/>
      <w:bookmarkEnd w:id="96"/>
      <w:bookmarkEnd w:id="99"/>
      <w:r w:rsidR="00906BF1">
        <w:rPr>
          <w:highlight w:val="yellow"/>
        </w:rPr>
        <w:t>REDACTED</w:t>
      </w:r>
    </w:p>
    <w:p w14:paraId="13E1D754" w14:textId="50551A25" w:rsidR="00524D66" w:rsidRDefault="00524D66" w:rsidP="00906BF1">
      <w:pPr>
        <w:pStyle w:val="BodyText"/>
      </w:pPr>
      <w:r>
        <w:t>Using Online Help</w:t>
      </w:r>
      <w:bookmarkEnd w:id="100"/>
      <w:r>
        <w:fldChar w:fldCharType="begin"/>
      </w:r>
      <w:r>
        <w:instrText xml:space="preserve"> XE "</w:instrText>
      </w:r>
      <w:r w:rsidRPr="00D0500B">
        <w:instrText>Using Online Help</w:instrText>
      </w:r>
      <w:r>
        <w:instrText xml:space="preserve">" </w:instrText>
      </w:r>
      <w:r>
        <w:fldChar w:fldCharType="end"/>
      </w:r>
    </w:p>
    <w:p w14:paraId="5A0E661D" w14:textId="68FFD4C7" w:rsidR="006C04E6" w:rsidRDefault="00C57E2F" w:rsidP="009C0BE9">
      <w:pPr>
        <w:pStyle w:val="BodyText"/>
      </w:pPr>
      <w:r>
        <w:t xml:space="preserve">Select </w:t>
      </w:r>
      <w:r w:rsidR="00957F1C" w:rsidRPr="00C57E2F">
        <w:rPr>
          <w:b/>
        </w:rPr>
        <w:t>VBECS Help</w:t>
      </w:r>
      <w:r>
        <w:t xml:space="preserve"> from the Help menu</w:t>
      </w:r>
      <w:r w:rsidR="002118B0">
        <w:t xml:space="preserve"> (</w:t>
      </w:r>
      <w:r w:rsidR="006C04E6">
        <w:fldChar w:fldCharType="begin" w:fldLock="1"/>
      </w:r>
      <w:r w:rsidR="006C04E6">
        <w:instrText xml:space="preserve"> REF _Ref138165913 \h </w:instrText>
      </w:r>
      <w:r w:rsidR="006C04E6">
        <w:fldChar w:fldCharType="separate"/>
      </w:r>
      <w:r w:rsidR="00AB304C">
        <w:t xml:space="preserve">Figure </w:t>
      </w:r>
      <w:r w:rsidR="00AB304C">
        <w:rPr>
          <w:noProof/>
        </w:rPr>
        <w:t>22</w:t>
      </w:r>
      <w:r w:rsidR="006C04E6">
        <w:fldChar w:fldCharType="end"/>
      </w:r>
      <w:r w:rsidR="002118B0">
        <w:t>)</w:t>
      </w:r>
      <w:r w:rsidR="003A6D5C">
        <w:t xml:space="preserve"> </w:t>
      </w:r>
      <w:r w:rsidR="00650F0B">
        <w:t>a</w:t>
      </w:r>
      <w:r w:rsidR="00B03BDD">
        <w:t>nd a PDF file of the VBECS 2.3.1</w:t>
      </w:r>
      <w:r w:rsidR="00650F0B">
        <w:t xml:space="preserve"> User Guide opens</w:t>
      </w:r>
      <w:r w:rsidR="006C04E6">
        <w:t xml:space="preserve"> (</w:t>
      </w:r>
      <w:r w:rsidR="006C04E6">
        <w:fldChar w:fldCharType="begin" w:fldLock="1"/>
      </w:r>
      <w:r w:rsidR="006C04E6">
        <w:instrText xml:space="preserve"> REF _Ref126467708 \h </w:instrText>
      </w:r>
      <w:r w:rsidR="006C04E6">
        <w:fldChar w:fldCharType="separate"/>
      </w:r>
      <w:r w:rsidR="00AB304C">
        <w:t xml:space="preserve">Figure </w:t>
      </w:r>
      <w:r w:rsidR="00AB304C">
        <w:rPr>
          <w:noProof/>
        </w:rPr>
        <w:t>23</w:t>
      </w:r>
      <w:r w:rsidR="006C04E6">
        <w:fldChar w:fldCharType="end"/>
      </w:r>
      <w:r w:rsidR="006C04E6">
        <w:t>).</w:t>
      </w:r>
      <w:r w:rsidR="009C0BE9">
        <w:t xml:space="preserve"> </w:t>
      </w:r>
    </w:p>
    <w:p w14:paraId="75705401" w14:textId="70872753" w:rsidR="00C17F7C" w:rsidRDefault="00C17F7C" w:rsidP="00C17F7C">
      <w:pPr>
        <w:pStyle w:val="Caption"/>
      </w:pPr>
      <w:bookmarkStart w:id="101" w:name="_Ref138165913"/>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22</w:t>
      </w:r>
      <w:r w:rsidR="004E20BD">
        <w:rPr>
          <w:noProof/>
        </w:rPr>
        <w:fldChar w:fldCharType="end"/>
      </w:r>
      <w:bookmarkEnd w:id="101"/>
      <w:r>
        <w:t>: VBECS Help</w:t>
      </w:r>
    </w:p>
    <w:p w14:paraId="715392A9" w14:textId="77777777" w:rsidR="00C17F7C" w:rsidRDefault="00057948" w:rsidP="006128A6">
      <w:pPr>
        <w:pStyle w:val="BodyText"/>
      </w:pPr>
      <w:r>
        <w:rPr>
          <w:noProof/>
        </w:rPr>
        <w:drawing>
          <wp:inline distT="0" distB="0" distL="0" distR="0" wp14:anchorId="3715C156" wp14:editId="58A6C3D4">
            <wp:extent cx="6049645" cy="831215"/>
            <wp:effectExtent l="0" t="0" r="8255" b="6985"/>
            <wp:docPr id="42" name="Picture 42" descr="P824L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824L2#yIS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49645" cy="831215"/>
                    </a:xfrm>
                    <a:prstGeom prst="rect">
                      <a:avLst/>
                    </a:prstGeom>
                    <a:noFill/>
                    <a:ln>
                      <a:noFill/>
                    </a:ln>
                  </pic:spPr>
                </pic:pic>
              </a:graphicData>
            </a:graphic>
          </wp:inline>
        </w:drawing>
      </w:r>
    </w:p>
    <w:p w14:paraId="2E2E579B" w14:textId="1460CB04" w:rsidR="009C0BE9" w:rsidRDefault="009C0BE9" w:rsidP="009C0BE9">
      <w:pPr>
        <w:pStyle w:val="Caption"/>
      </w:pPr>
      <w:bookmarkStart w:id="102" w:name="_Ref126467708"/>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23</w:t>
      </w:r>
      <w:r w:rsidR="004E20BD">
        <w:rPr>
          <w:noProof/>
        </w:rPr>
        <w:fldChar w:fldCharType="end"/>
      </w:r>
      <w:bookmarkEnd w:id="102"/>
      <w:r>
        <w:t xml:space="preserve">: </w:t>
      </w:r>
      <w:r w:rsidR="007E1B6B">
        <w:t xml:space="preserve">Example </w:t>
      </w:r>
      <w:r w:rsidR="009174D5">
        <w:t xml:space="preserve">of </w:t>
      </w:r>
      <w:r w:rsidR="00C13900">
        <w:t xml:space="preserve">Opening </w:t>
      </w:r>
      <w:r w:rsidR="00650F0B">
        <w:t>VBECS User Guide PDF File</w:t>
      </w:r>
    </w:p>
    <w:p w14:paraId="42E392AD" w14:textId="77777777" w:rsidR="009C0BE9" w:rsidRDefault="00057948" w:rsidP="006128A6">
      <w:pPr>
        <w:pStyle w:val="BodyText"/>
        <w:rPr>
          <w:rFonts w:ascii="Arial" w:hAnsi="Arial" w:cs="Arial"/>
          <w:sz w:val="20"/>
          <w:szCs w:val="20"/>
        </w:rPr>
      </w:pPr>
      <w:r>
        <w:rPr>
          <w:noProof/>
        </w:rPr>
        <w:drawing>
          <wp:inline distT="0" distB="0" distL="0" distR="0" wp14:anchorId="10B36FB7" wp14:editId="3F2FFBAA">
            <wp:extent cx="5939155" cy="5699125"/>
            <wp:effectExtent l="0" t="0" r="4445" b="0"/>
            <wp:docPr id="43" name="Picture 1" descr="P826L2#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 descr="P826L2#yIS1">
                      <a:extLst>
                        <a:ext uri="{C183D7F6-B498-43B3-948B-1728B52AA6E4}">
                          <adec:decorative xmlns:adec="http://schemas.microsoft.com/office/drawing/2017/decorative" val="1"/>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9155" cy="5699125"/>
                    </a:xfrm>
                    <a:prstGeom prst="rect">
                      <a:avLst/>
                    </a:prstGeom>
                    <a:noFill/>
                    <a:ln>
                      <a:noFill/>
                    </a:ln>
                  </pic:spPr>
                </pic:pic>
              </a:graphicData>
            </a:graphic>
          </wp:inline>
        </w:drawing>
      </w:r>
    </w:p>
    <w:p w14:paraId="2F7EC79F" w14:textId="599E1A29" w:rsidR="009C0BE9" w:rsidRDefault="00DC5B95" w:rsidP="009C0BE9">
      <w:pPr>
        <w:pStyle w:val="BodyText"/>
      </w:pPr>
      <w:bookmarkStart w:id="103" w:name="_Ref138154110"/>
      <w:r>
        <w:br w:type="page"/>
      </w:r>
      <w:r w:rsidR="006C04E6">
        <w:lastRenderedPageBreak/>
        <w:t xml:space="preserve">Press the </w:t>
      </w:r>
      <w:r w:rsidR="006C04E6" w:rsidRPr="006C04E6">
        <w:rPr>
          <w:b/>
        </w:rPr>
        <w:t>F1 key</w:t>
      </w:r>
      <w:r w:rsidR="003F3892">
        <w:t xml:space="preserve"> to open</w:t>
      </w:r>
      <w:r w:rsidR="006C04E6">
        <w:t xml:space="preserve"> help </w:t>
      </w:r>
      <w:r w:rsidR="003F3892">
        <w:t xml:space="preserve">file </w:t>
      </w:r>
      <w:r w:rsidR="006C04E6">
        <w:t>(</w:t>
      </w:r>
      <w:r w:rsidR="006C04E6">
        <w:fldChar w:fldCharType="begin" w:fldLock="1"/>
      </w:r>
      <w:r w:rsidR="006C04E6">
        <w:instrText xml:space="preserve"> REF _Ref138166056 \h </w:instrText>
      </w:r>
      <w:r w:rsidR="006C04E6">
        <w:fldChar w:fldCharType="separate"/>
      </w:r>
      <w:r w:rsidR="00AB304C">
        <w:t xml:space="preserve">Figure </w:t>
      </w:r>
      <w:r w:rsidR="00AB304C">
        <w:rPr>
          <w:noProof/>
        </w:rPr>
        <w:t>24</w:t>
      </w:r>
      <w:r w:rsidR="006C04E6">
        <w:fldChar w:fldCharType="end"/>
      </w:r>
      <w:r w:rsidR="003F3892">
        <w:t>).</w:t>
      </w:r>
    </w:p>
    <w:p w14:paraId="2DBCF142" w14:textId="235CC04E" w:rsidR="009C0BE9" w:rsidRDefault="009C0BE9" w:rsidP="009C0BE9">
      <w:pPr>
        <w:pStyle w:val="Caption"/>
      </w:pPr>
      <w:bookmarkStart w:id="104" w:name="_Ref138166056"/>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24</w:t>
      </w:r>
      <w:r w:rsidR="004E20BD">
        <w:rPr>
          <w:noProof/>
        </w:rPr>
        <w:fldChar w:fldCharType="end"/>
      </w:r>
      <w:bookmarkEnd w:id="103"/>
      <w:bookmarkEnd w:id="104"/>
      <w:r w:rsidR="00650F0B">
        <w:t>: Example of Pressing F1 Key From A Specific Option</w:t>
      </w:r>
    </w:p>
    <w:p w14:paraId="168A7E25" w14:textId="0B14D71D" w:rsidR="00532542" w:rsidRPr="00532542" w:rsidRDefault="00AB304C" w:rsidP="00532542">
      <w:pPr>
        <w:pStyle w:val="BodyText"/>
      </w:pPr>
      <w:r>
        <w:rPr>
          <w:noProof/>
        </w:rPr>
        <w:drawing>
          <wp:inline distT="0" distB="0" distL="0" distR="0" wp14:anchorId="30151C6F" wp14:editId="34F08B18">
            <wp:extent cx="5929630" cy="3186430"/>
            <wp:effectExtent l="0" t="0" r="0" b="0"/>
            <wp:docPr id="1178" name="Picture 2" descr="P829L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Picture 2" descr="P829L2#yIS1"/>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5929630" cy="3186430"/>
                    </a:xfrm>
                    <a:prstGeom prst="rect">
                      <a:avLst/>
                    </a:prstGeom>
                    <a:noFill/>
                    <a:ln>
                      <a:noFill/>
                    </a:ln>
                  </pic:spPr>
                </pic:pic>
              </a:graphicData>
            </a:graphic>
          </wp:inline>
        </w:drawing>
      </w:r>
    </w:p>
    <w:p w14:paraId="44804A4B" w14:textId="0DCF7385" w:rsidR="00AB0325" w:rsidRDefault="00AB0325" w:rsidP="00A815F7">
      <w:pPr>
        <w:pStyle w:val="BodyText"/>
      </w:pPr>
    </w:p>
    <w:p w14:paraId="08AEE682" w14:textId="77777777" w:rsidR="00E3453A" w:rsidRDefault="0079794A" w:rsidP="00615BD6">
      <w:pPr>
        <w:pStyle w:val="Heading3"/>
      </w:pPr>
      <w:r>
        <w:br w:type="page"/>
      </w:r>
    </w:p>
    <w:p w14:paraId="38CDB2BD" w14:textId="77777777" w:rsidR="00AB0325" w:rsidRDefault="00AB0325" w:rsidP="00352790">
      <w:pPr>
        <w:pStyle w:val="Heading3"/>
      </w:pPr>
      <w:bookmarkStart w:id="105" w:name="_Toc4588725"/>
      <w:r>
        <w:lastRenderedPageBreak/>
        <w:t>Search</w:t>
      </w:r>
      <w:r w:rsidR="00615BD6">
        <w:t>ing Using the Table of Contents</w:t>
      </w:r>
      <w:bookmarkEnd w:id="105"/>
      <w:r w:rsidR="006C04E6">
        <w:fldChar w:fldCharType="begin"/>
      </w:r>
      <w:r w:rsidR="006C04E6">
        <w:instrText xml:space="preserve"> XE "</w:instrText>
      </w:r>
      <w:r w:rsidR="006C04E6" w:rsidRPr="001246FE">
        <w:instrText>Search Tab</w:instrText>
      </w:r>
      <w:r w:rsidR="006C04E6">
        <w:instrText xml:space="preserve">" </w:instrText>
      </w:r>
      <w:r w:rsidR="006C04E6">
        <w:fldChar w:fldCharType="end"/>
      </w:r>
    </w:p>
    <w:p w14:paraId="6F54E025" w14:textId="0CF69DE2" w:rsidR="002C3957" w:rsidRPr="009D0CAA" w:rsidRDefault="009870B1" w:rsidP="009D0CAA">
      <w:pPr>
        <w:rPr>
          <w:sz w:val="22"/>
          <w:szCs w:val="22"/>
        </w:rPr>
      </w:pPr>
      <w:r>
        <w:rPr>
          <w:sz w:val="22"/>
          <w:szCs w:val="22"/>
        </w:rPr>
        <w:t>Scroll through the Table of Contents and p</w:t>
      </w:r>
      <w:r w:rsidR="00615BD6">
        <w:rPr>
          <w:sz w:val="22"/>
          <w:szCs w:val="22"/>
        </w:rPr>
        <w:t>ress</w:t>
      </w:r>
      <w:r w:rsidR="00615BD6" w:rsidRPr="00615BD6">
        <w:rPr>
          <w:sz w:val="22"/>
          <w:szCs w:val="22"/>
        </w:rPr>
        <w:t xml:space="preserve"> </w:t>
      </w:r>
      <w:r w:rsidR="00615BD6" w:rsidRPr="00615BD6">
        <w:rPr>
          <w:b/>
          <w:sz w:val="22"/>
          <w:szCs w:val="22"/>
        </w:rPr>
        <w:t>Control</w:t>
      </w:r>
      <w:r w:rsidR="00615BD6">
        <w:rPr>
          <w:sz w:val="22"/>
          <w:szCs w:val="22"/>
        </w:rPr>
        <w:t xml:space="preserve"> and click</w:t>
      </w:r>
      <w:r w:rsidR="00615BD6" w:rsidRPr="00615BD6">
        <w:rPr>
          <w:sz w:val="22"/>
          <w:szCs w:val="22"/>
        </w:rPr>
        <w:t xml:space="preserve"> any Table of Contents </w:t>
      </w:r>
      <w:r>
        <w:rPr>
          <w:sz w:val="22"/>
          <w:szCs w:val="22"/>
        </w:rPr>
        <w:t xml:space="preserve">topic to go </w:t>
      </w:r>
      <w:r w:rsidR="00615BD6">
        <w:rPr>
          <w:sz w:val="22"/>
          <w:szCs w:val="22"/>
        </w:rPr>
        <w:t xml:space="preserve">to the </w:t>
      </w:r>
      <w:r w:rsidR="00DE5A90">
        <w:rPr>
          <w:sz w:val="22"/>
          <w:szCs w:val="22"/>
        </w:rPr>
        <w:t>desired</w:t>
      </w:r>
      <w:r w:rsidR="00615BD6">
        <w:rPr>
          <w:sz w:val="22"/>
          <w:szCs w:val="22"/>
        </w:rPr>
        <w:t xml:space="preserve"> page. Alternatively, click</w:t>
      </w:r>
      <w:r w:rsidR="00615BD6" w:rsidRPr="00615BD6">
        <w:rPr>
          <w:sz w:val="22"/>
          <w:szCs w:val="22"/>
        </w:rPr>
        <w:t xml:space="preserve"> </w:t>
      </w:r>
      <w:r w:rsidR="00615BD6" w:rsidRPr="00615BD6">
        <w:rPr>
          <w:b/>
          <w:sz w:val="22"/>
          <w:szCs w:val="22"/>
        </w:rPr>
        <w:t>Ctrl + F</w:t>
      </w:r>
      <w:r w:rsidR="00615BD6" w:rsidRPr="00615BD6">
        <w:rPr>
          <w:sz w:val="22"/>
          <w:szCs w:val="22"/>
        </w:rPr>
        <w:t xml:space="preserve"> and </w:t>
      </w:r>
      <w:r w:rsidR="00615BD6">
        <w:rPr>
          <w:sz w:val="22"/>
          <w:szCs w:val="22"/>
        </w:rPr>
        <w:t>search for desired content</w:t>
      </w:r>
      <w:r w:rsidR="00615BD6" w:rsidRPr="00615BD6">
        <w:rPr>
          <w:sz w:val="22"/>
          <w:szCs w:val="22"/>
        </w:rPr>
        <w:t>.</w:t>
      </w:r>
    </w:p>
    <w:p w14:paraId="2627E594" w14:textId="6C13A5F7" w:rsidR="00877F00" w:rsidRPr="00D23470" w:rsidRDefault="00877F00" w:rsidP="00292BA5">
      <w:pPr>
        <w:pStyle w:val="Heading3"/>
        <w:rPr>
          <w:b w:val="0"/>
          <w:bCs w:val="0"/>
          <w:i/>
          <w:iCs/>
          <w:sz w:val="18"/>
        </w:rPr>
      </w:pPr>
      <w:bookmarkStart w:id="106" w:name="_Toc4588726"/>
      <w:bookmarkStart w:id="107" w:name="OLE_LINK39"/>
      <w:bookmarkStart w:id="108" w:name="OLE_LINK40"/>
      <w:r>
        <w:t>Viewing the VBECS Version Number</w:t>
      </w:r>
      <w:bookmarkEnd w:id="106"/>
      <w:r>
        <w:fldChar w:fldCharType="begin"/>
      </w:r>
      <w:r>
        <w:instrText xml:space="preserve"> XE “Viewing the VBECS Version Number” </w:instrText>
      </w:r>
      <w:r>
        <w:fldChar w:fldCharType="end"/>
      </w:r>
      <w:r w:rsidR="00263B38">
        <w:t xml:space="preserve"> </w:t>
      </w:r>
      <w:r w:rsidR="00637E48" w:rsidRPr="00637E48">
        <w:rPr>
          <w:rFonts w:ascii="Times New Roman" w:hAnsi="Times New Roman" w:cs="Times New Roman"/>
          <w:b w:val="0"/>
          <w:i/>
          <w:vanish/>
          <w:sz w:val="22"/>
          <w:szCs w:val="22"/>
        </w:rPr>
        <w:t>DR 4991</w:t>
      </w:r>
      <w:r w:rsidR="00637E48">
        <w:rPr>
          <w:rFonts w:ascii="Arial Bold" w:hAnsi="Arial Bold"/>
          <w:vanish/>
        </w:rPr>
        <w:t xml:space="preserve"> </w:t>
      </w:r>
      <w:r w:rsidR="00263B38" w:rsidRPr="00263B38">
        <w:rPr>
          <w:rFonts w:ascii="Times New Roman" w:hAnsi="Times New Roman" w:cs="Times New Roman"/>
          <w:b w:val="0"/>
          <w:i/>
          <w:vanish/>
          <w:sz w:val="22"/>
          <w:szCs w:val="22"/>
        </w:rPr>
        <w:t>Task 1297</w:t>
      </w:r>
    </w:p>
    <w:p w14:paraId="639F153D" w14:textId="77777777" w:rsidR="00D23470" w:rsidRPr="00D23470" w:rsidRDefault="00D23470" w:rsidP="00D23470">
      <w:pPr>
        <w:pStyle w:val="BodyText"/>
      </w:pPr>
      <w:r w:rsidRPr="00D23470">
        <w:t>In earlier VBECS patch releases, the user documentation referred to the VBECS versio</w:t>
      </w:r>
      <w:r w:rsidR="00BD658A">
        <w:t>n in a 4-digit format (e.g., 2.1.0.2 – where 2.1</w:t>
      </w:r>
      <w:r w:rsidRPr="00D23470">
        <w:t xml:space="preserve">.0 represents the patch version and </w:t>
      </w:r>
      <w:r w:rsidR="0055788D">
        <w:t xml:space="preserve">the last </w:t>
      </w:r>
      <w:r w:rsidR="00BD658A">
        <w:t>digit (</w:t>
      </w:r>
      <w:r w:rsidRPr="00D23470">
        <w:t>2</w:t>
      </w:r>
      <w:r w:rsidR="00BD658A">
        <w:t>)</w:t>
      </w:r>
      <w:r w:rsidRPr="00D23470">
        <w:t xml:space="preserve"> is the patch build number). The build number is used by VBECS Product Support for diagnostic and troubleshooting purposes.</w:t>
      </w:r>
    </w:p>
    <w:p w14:paraId="68FEA105" w14:textId="77777777" w:rsidR="00E51319" w:rsidRPr="00E51319" w:rsidRDefault="00E51319" w:rsidP="00E51319">
      <w:pPr>
        <w:pStyle w:val="BodyText"/>
        <w:rPr>
          <w:lang w:val="en"/>
        </w:rPr>
      </w:pPr>
      <w:bookmarkStart w:id="109" w:name="_Ref300821896"/>
      <w:bookmarkStart w:id="110" w:name="_Ref300821872"/>
      <w:r w:rsidRPr="00E51319">
        <w:t xml:space="preserve">The VBECS build number was changed starting with the VBECS 2.2.0 patch release. The new patch release number is now </w:t>
      </w:r>
      <w:r w:rsidRPr="00E51319">
        <w:rPr>
          <w:lang w:val="en"/>
        </w:rPr>
        <w:t>composed of four sets of numbers (a.k.a., elements), separated by periods in this format: “majorminor.patchcontent.days.time” (e.g., 0202.0001.5746.31276). The elements are defined in this manner:</w:t>
      </w:r>
    </w:p>
    <w:p w14:paraId="0B74312F" w14:textId="77777777" w:rsidR="00E51319" w:rsidRPr="00E51319" w:rsidRDefault="00E51319" w:rsidP="000409B1">
      <w:pPr>
        <w:numPr>
          <w:ilvl w:val="0"/>
          <w:numId w:val="57"/>
        </w:numPr>
        <w:rPr>
          <w:sz w:val="22"/>
          <w:szCs w:val="22"/>
          <w:lang w:val="en"/>
        </w:rPr>
      </w:pPr>
      <w:r w:rsidRPr="00E51319">
        <w:rPr>
          <w:sz w:val="22"/>
          <w:szCs w:val="22"/>
          <w:lang w:val="en"/>
        </w:rPr>
        <w:t xml:space="preserve">The </w:t>
      </w:r>
      <w:r w:rsidRPr="00E51319">
        <w:rPr>
          <w:i/>
          <w:sz w:val="22"/>
          <w:szCs w:val="22"/>
          <w:lang w:val="en"/>
        </w:rPr>
        <w:t>major</w:t>
      </w:r>
      <w:r w:rsidRPr="00E51319">
        <w:rPr>
          <w:sz w:val="22"/>
          <w:szCs w:val="22"/>
          <w:lang w:val="en"/>
        </w:rPr>
        <w:t xml:space="preserve"> element is a two-digit number that is incremented when the functionality is significantly altered. </w:t>
      </w:r>
    </w:p>
    <w:p w14:paraId="038F8EED" w14:textId="77777777" w:rsidR="00E51319" w:rsidRPr="00E51319" w:rsidRDefault="00E51319" w:rsidP="000409B1">
      <w:pPr>
        <w:numPr>
          <w:ilvl w:val="0"/>
          <w:numId w:val="57"/>
        </w:numPr>
        <w:rPr>
          <w:sz w:val="22"/>
          <w:szCs w:val="22"/>
          <w:lang w:val="en"/>
        </w:rPr>
      </w:pPr>
      <w:r w:rsidRPr="00E51319">
        <w:rPr>
          <w:sz w:val="22"/>
          <w:szCs w:val="22"/>
          <w:lang w:val="en"/>
        </w:rPr>
        <w:t xml:space="preserve">The </w:t>
      </w:r>
      <w:r w:rsidRPr="00E51319">
        <w:rPr>
          <w:i/>
          <w:sz w:val="22"/>
          <w:szCs w:val="22"/>
          <w:lang w:val="en"/>
        </w:rPr>
        <w:t>minor</w:t>
      </w:r>
      <w:r w:rsidRPr="00E51319">
        <w:rPr>
          <w:sz w:val="22"/>
          <w:szCs w:val="22"/>
          <w:lang w:val="en"/>
        </w:rPr>
        <w:t xml:space="preserve"> element is a two-digit number that is incremented for all other fixes or maintenance. </w:t>
      </w:r>
    </w:p>
    <w:p w14:paraId="356ACC13" w14:textId="77777777" w:rsidR="00E51319" w:rsidRPr="00E51319" w:rsidRDefault="00E51319" w:rsidP="000409B1">
      <w:pPr>
        <w:numPr>
          <w:ilvl w:val="0"/>
          <w:numId w:val="57"/>
        </w:numPr>
        <w:rPr>
          <w:sz w:val="22"/>
          <w:szCs w:val="22"/>
          <w:lang w:val="en"/>
        </w:rPr>
      </w:pPr>
      <w:r w:rsidRPr="00E51319">
        <w:rPr>
          <w:sz w:val="22"/>
          <w:szCs w:val="22"/>
          <w:lang w:val="en"/>
        </w:rPr>
        <w:t xml:space="preserve">The </w:t>
      </w:r>
      <w:r w:rsidRPr="00E51319">
        <w:rPr>
          <w:i/>
          <w:sz w:val="22"/>
          <w:szCs w:val="22"/>
          <w:lang w:val="en"/>
        </w:rPr>
        <w:t>patch</w:t>
      </w:r>
      <w:r w:rsidRPr="00E51319">
        <w:rPr>
          <w:sz w:val="22"/>
          <w:szCs w:val="22"/>
          <w:lang w:val="en"/>
        </w:rPr>
        <w:t xml:space="preserve"> element is a two-digit number that is for emergency cases of a high priority that may impact the application’s production environment execution or processing capabilities. These changes are usually time sensitive and cannot be postponed to the next planned release.</w:t>
      </w:r>
    </w:p>
    <w:p w14:paraId="5D23D4A9" w14:textId="77777777" w:rsidR="00E51319" w:rsidRPr="00E51319" w:rsidRDefault="00E51319" w:rsidP="000409B1">
      <w:pPr>
        <w:numPr>
          <w:ilvl w:val="0"/>
          <w:numId w:val="57"/>
        </w:numPr>
        <w:rPr>
          <w:sz w:val="22"/>
          <w:szCs w:val="22"/>
          <w:lang w:val="en"/>
        </w:rPr>
      </w:pPr>
      <w:r w:rsidRPr="00E51319">
        <w:rPr>
          <w:sz w:val="22"/>
          <w:szCs w:val="22"/>
          <w:lang w:val="en"/>
        </w:rPr>
        <w:t xml:space="preserve">The </w:t>
      </w:r>
      <w:r w:rsidRPr="00E51319">
        <w:rPr>
          <w:i/>
          <w:sz w:val="22"/>
          <w:szCs w:val="22"/>
          <w:lang w:val="en"/>
        </w:rPr>
        <w:t>content</w:t>
      </w:r>
      <w:r w:rsidRPr="00E51319">
        <w:rPr>
          <w:sz w:val="22"/>
          <w:szCs w:val="22"/>
          <w:lang w:val="en"/>
        </w:rPr>
        <w:t xml:space="preserve"> element is a two-digit number used to identify the need for a new build (e.g., scope increases, defect discovered, etc.).</w:t>
      </w:r>
    </w:p>
    <w:p w14:paraId="42A2367B" w14:textId="77777777" w:rsidR="00E51319" w:rsidRPr="00E51319" w:rsidRDefault="00E51319" w:rsidP="000409B1">
      <w:pPr>
        <w:numPr>
          <w:ilvl w:val="0"/>
          <w:numId w:val="57"/>
        </w:numPr>
        <w:rPr>
          <w:sz w:val="22"/>
          <w:szCs w:val="22"/>
          <w:lang w:val="en"/>
        </w:rPr>
      </w:pPr>
      <w:r w:rsidRPr="00E51319">
        <w:rPr>
          <w:sz w:val="22"/>
          <w:szCs w:val="22"/>
          <w:lang w:val="en"/>
        </w:rPr>
        <w:t xml:space="preserve">The </w:t>
      </w:r>
      <w:r w:rsidRPr="00E51319">
        <w:rPr>
          <w:i/>
          <w:sz w:val="22"/>
          <w:szCs w:val="22"/>
          <w:lang w:val="en"/>
        </w:rPr>
        <w:t>days</w:t>
      </w:r>
      <w:r w:rsidRPr="00E51319">
        <w:rPr>
          <w:sz w:val="22"/>
          <w:szCs w:val="22"/>
          <w:lang w:val="en"/>
        </w:rPr>
        <w:t xml:space="preserve"> element is a four-digit number that is incremented daily and represents the number of days since January 1st 2000.</w:t>
      </w:r>
    </w:p>
    <w:p w14:paraId="6410D36A" w14:textId="77777777" w:rsidR="00E51319" w:rsidRPr="00E51319" w:rsidRDefault="00E51319" w:rsidP="000409B1">
      <w:pPr>
        <w:numPr>
          <w:ilvl w:val="0"/>
          <w:numId w:val="57"/>
        </w:numPr>
        <w:rPr>
          <w:sz w:val="22"/>
          <w:szCs w:val="22"/>
          <w:lang w:val="en"/>
        </w:rPr>
      </w:pPr>
      <w:r w:rsidRPr="00E51319">
        <w:rPr>
          <w:sz w:val="22"/>
          <w:szCs w:val="22"/>
          <w:lang w:val="en"/>
        </w:rPr>
        <w:t xml:space="preserve">The </w:t>
      </w:r>
      <w:r w:rsidRPr="00E51319">
        <w:rPr>
          <w:i/>
          <w:sz w:val="22"/>
          <w:szCs w:val="22"/>
          <w:lang w:val="en"/>
        </w:rPr>
        <w:t>time</w:t>
      </w:r>
      <w:r w:rsidRPr="00E51319">
        <w:rPr>
          <w:sz w:val="22"/>
          <w:szCs w:val="22"/>
          <w:lang w:val="en"/>
        </w:rPr>
        <w:t xml:space="preserve"> element is a five-digit number that is calculated by taking the number of seconds since midnight local time (without taking into account time zone adjustments for daylight saving time), divided by 2.</w:t>
      </w:r>
    </w:p>
    <w:p w14:paraId="748B7554" w14:textId="77777777" w:rsidR="00E51319" w:rsidRPr="00E51319" w:rsidRDefault="00E51319" w:rsidP="00E51319">
      <w:pPr>
        <w:rPr>
          <w:sz w:val="22"/>
          <w:szCs w:val="22"/>
        </w:rPr>
      </w:pPr>
    </w:p>
    <w:p w14:paraId="2520FFF8" w14:textId="77777777" w:rsidR="00E51319" w:rsidRPr="00E51319" w:rsidRDefault="00E51319" w:rsidP="00E51319">
      <w:pPr>
        <w:rPr>
          <w:sz w:val="22"/>
          <w:szCs w:val="22"/>
        </w:rPr>
      </w:pPr>
      <w:r w:rsidRPr="00E51319">
        <w:rPr>
          <w:sz w:val="22"/>
          <w:szCs w:val="22"/>
        </w:rPr>
        <w:t>The first two numbers [&lt;MajorMinor&gt; and &lt;PatchContent&gt;] tell us the content/scope that we are building to (e.g., 0202.0001 which can be also referred to as 2.2.0.1).</w:t>
      </w:r>
    </w:p>
    <w:p w14:paraId="7E0888A9" w14:textId="77777777" w:rsidR="00E51319" w:rsidRPr="00E51319" w:rsidRDefault="00E51319" w:rsidP="00E51319">
      <w:pPr>
        <w:rPr>
          <w:sz w:val="22"/>
          <w:szCs w:val="22"/>
        </w:rPr>
      </w:pPr>
    </w:p>
    <w:p w14:paraId="286FA4BF" w14:textId="77777777" w:rsidR="00E51319" w:rsidRPr="00E51319" w:rsidRDefault="00E51319" w:rsidP="00E51319">
      <w:pPr>
        <w:rPr>
          <w:sz w:val="22"/>
          <w:szCs w:val="22"/>
        </w:rPr>
      </w:pPr>
      <w:r w:rsidRPr="00E51319">
        <w:rPr>
          <w:sz w:val="22"/>
          <w:szCs w:val="22"/>
        </w:rPr>
        <w:t>The last two numbers &lt;</w:t>
      </w:r>
      <w:r w:rsidRPr="00E51319">
        <w:rPr>
          <w:i/>
          <w:sz w:val="22"/>
          <w:szCs w:val="22"/>
        </w:rPr>
        <w:t>days</w:t>
      </w:r>
      <w:r w:rsidRPr="00E51319">
        <w:rPr>
          <w:sz w:val="22"/>
          <w:szCs w:val="22"/>
        </w:rPr>
        <w:t>&gt; and &lt;</w:t>
      </w:r>
      <w:r w:rsidRPr="00E51319">
        <w:rPr>
          <w:i/>
          <w:sz w:val="22"/>
          <w:szCs w:val="22"/>
        </w:rPr>
        <w:t>time&gt;</w:t>
      </w:r>
      <w:r w:rsidRPr="00E51319">
        <w:rPr>
          <w:sz w:val="22"/>
          <w:szCs w:val="22"/>
        </w:rPr>
        <w:t xml:space="preserve"> are automatically generated by the software used to perform the code builds and are unique for each build. These last 2 numbers along with the first two numbers formally identify the latest official build (e.g., 0202.0001.</w:t>
      </w:r>
      <w:r w:rsidRPr="00E51319">
        <w:rPr>
          <w:sz w:val="22"/>
          <w:szCs w:val="22"/>
          <w:lang w:val="en"/>
        </w:rPr>
        <w:t>5746.31276</w:t>
      </w:r>
      <w:r w:rsidRPr="00E51319">
        <w:rPr>
          <w:sz w:val="22"/>
          <w:szCs w:val="22"/>
        </w:rPr>
        <w:t>).</w:t>
      </w:r>
    </w:p>
    <w:p w14:paraId="5E0FF5D9" w14:textId="77777777" w:rsidR="00E51319" w:rsidRPr="00E51319" w:rsidRDefault="00E51319" w:rsidP="00E51319">
      <w:pPr>
        <w:rPr>
          <w:sz w:val="22"/>
          <w:szCs w:val="22"/>
        </w:rPr>
      </w:pPr>
    </w:p>
    <w:p w14:paraId="25576418" w14:textId="77777777" w:rsidR="00E51319" w:rsidRPr="00E51319" w:rsidRDefault="00E51319" w:rsidP="00E51319">
      <w:pPr>
        <w:rPr>
          <w:sz w:val="22"/>
          <w:szCs w:val="22"/>
        </w:rPr>
      </w:pPr>
      <w:r w:rsidRPr="00E51319">
        <w:rPr>
          <w:sz w:val="22"/>
          <w:szCs w:val="22"/>
        </w:rPr>
        <w:t>When it comes time to assign a new version number, the first four elements (major, minor, patch, content) are dependent on each other which means that when any of these four elements is incremented, all subsequent elements are reset as follows:</w:t>
      </w:r>
    </w:p>
    <w:p w14:paraId="24A7B387" w14:textId="77777777" w:rsidR="00E51319" w:rsidRPr="00E51319" w:rsidRDefault="00E51319" w:rsidP="000409B1">
      <w:pPr>
        <w:numPr>
          <w:ilvl w:val="0"/>
          <w:numId w:val="57"/>
        </w:numPr>
        <w:rPr>
          <w:sz w:val="22"/>
          <w:szCs w:val="22"/>
          <w:lang w:val="en"/>
        </w:rPr>
      </w:pPr>
      <w:r w:rsidRPr="00E51319">
        <w:rPr>
          <w:sz w:val="22"/>
          <w:szCs w:val="22"/>
          <w:lang w:val="en"/>
        </w:rPr>
        <w:t xml:space="preserve">At a major release start, the major number is incremented by one, the minor and patch numbers return to zero, the content number always returns to one, and the </w:t>
      </w:r>
      <w:r w:rsidRPr="00E51319">
        <w:rPr>
          <w:i/>
          <w:sz w:val="22"/>
          <w:szCs w:val="22"/>
          <w:lang w:val="en"/>
        </w:rPr>
        <w:t xml:space="preserve">days </w:t>
      </w:r>
      <w:r w:rsidRPr="00E51319">
        <w:rPr>
          <w:sz w:val="22"/>
          <w:szCs w:val="22"/>
          <w:lang w:val="en"/>
        </w:rPr>
        <w:t xml:space="preserve">and </w:t>
      </w:r>
      <w:r w:rsidRPr="00E51319">
        <w:rPr>
          <w:i/>
          <w:sz w:val="22"/>
          <w:szCs w:val="22"/>
          <w:lang w:val="en"/>
        </w:rPr>
        <w:t xml:space="preserve">time </w:t>
      </w:r>
      <w:r w:rsidRPr="00E51319">
        <w:rPr>
          <w:sz w:val="22"/>
          <w:szCs w:val="22"/>
          <w:lang w:val="en"/>
        </w:rPr>
        <w:t>numbers are regenerated using the build time (e.g., 0203.0303.</w:t>
      </w:r>
      <w:r w:rsidRPr="00E51319">
        <w:rPr>
          <w:i/>
          <w:sz w:val="22"/>
          <w:szCs w:val="22"/>
          <w:lang w:val="en"/>
        </w:rPr>
        <w:t>days</w:t>
      </w:r>
      <w:r w:rsidRPr="00E51319">
        <w:rPr>
          <w:sz w:val="22"/>
          <w:szCs w:val="22"/>
          <w:lang w:val="en"/>
        </w:rPr>
        <w:t>.</w:t>
      </w:r>
      <w:r w:rsidRPr="00E51319">
        <w:rPr>
          <w:i/>
          <w:sz w:val="22"/>
          <w:szCs w:val="22"/>
          <w:lang w:val="en"/>
        </w:rPr>
        <w:t xml:space="preserve">time </w:t>
      </w:r>
      <w:r w:rsidRPr="00E51319">
        <w:rPr>
          <w:sz w:val="22"/>
          <w:szCs w:val="22"/>
          <w:lang w:val="en"/>
        </w:rPr>
        <w:sym w:font="Wingdings" w:char="F0E0"/>
      </w:r>
      <w:r w:rsidRPr="00E51319">
        <w:rPr>
          <w:sz w:val="22"/>
          <w:szCs w:val="22"/>
          <w:lang w:val="en"/>
        </w:rPr>
        <w:t xml:space="preserve"> 0300.0001.</w:t>
      </w:r>
      <w:r w:rsidRPr="00E51319">
        <w:rPr>
          <w:i/>
          <w:sz w:val="22"/>
          <w:szCs w:val="22"/>
          <w:lang w:val="en"/>
        </w:rPr>
        <w:t>days</w:t>
      </w:r>
      <w:r w:rsidRPr="00E51319">
        <w:rPr>
          <w:sz w:val="22"/>
          <w:szCs w:val="22"/>
          <w:lang w:val="en"/>
        </w:rPr>
        <w:t>.</w:t>
      </w:r>
      <w:r w:rsidRPr="00E51319">
        <w:rPr>
          <w:i/>
          <w:sz w:val="22"/>
          <w:szCs w:val="22"/>
          <w:lang w:val="en"/>
        </w:rPr>
        <w:t>time</w:t>
      </w:r>
      <w:r w:rsidRPr="00E51319">
        <w:rPr>
          <w:sz w:val="22"/>
          <w:szCs w:val="22"/>
          <w:lang w:val="en"/>
        </w:rPr>
        <w:t xml:space="preserve">). </w:t>
      </w:r>
    </w:p>
    <w:p w14:paraId="509F0E78" w14:textId="77777777" w:rsidR="00E51319" w:rsidRPr="00E51319" w:rsidRDefault="00E51319" w:rsidP="000409B1">
      <w:pPr>
        <w:numPr>
          <w:ilvl w:val="0"/>
          <w:numId w:val="57"/>
        </w:numPr>
        <w:rPr>
          <w:sz w:val="22"/>
          <w:szCs w:val="22"/>
          <w:lang w:val="en"/>
        </w:rPr>
      </w:pPr>
      <w:r w:rsidRPr="00E51319">
        <w:rPr>
          <w:sz w:val="22"/>
          <w:szCs w:val="22"/>
          <w:lang w:val="en"/>
        </w:rPr>
        <w:t xml:space="preserve">At a minor release start, the major number remains the same, the minor number is incremented by one, the patch number returns to zero and the content number returns to one, and the </w:t>
      </w:r>
      <w:r w:rsidRPr="00E51319">
        <w:rPr>
          <w:i/>
          <w:sz w:val="22"/>
          <w:szCs w:val="22"/>
          <w:lang w:val="en"/>
        </w:rPr>
        <w:t xml:space="preserve">days </w:t>
      </w:r>
      <w:r w:rsidRPr="00E51319">
        <w:rPr>
          <w:sz w:val="22"/>
          <w:szCs w:val="22"/>
          <w:lang w:val="en"/>
        </w:rPr>
        <w:t xml:space="preserve">and </w:t>
      </w:r>
      <w:r w:rsidRPr="00E51319">
        <w:rPr>
          <w:i/>
          <w:sz w:val="22"/>
          <w:szCs w:val="22"/>
          <w:lang w:val="en"/>
        </w:rPr>
        <w:t xml:space="preserve">time </w:t>
      </w:r>
      <w:r w:rsidRPr="00E51319">
        <w:rPr>
          <w:sz w:val="22"/>
          <w:szCs w:val="22"/>
          <w:lang w:val="en"/>
        </w:rPr>
        <w:t>numbers are regenerated using the build time (e.g., 0203.002.</w:t>
      </w:r>
      <w:r w:rsidRPr="00E51319">
        <w:rPr>
          <w:i/>
          <w:sz w:val="22"/>
          <w:szCs w:val="22"/>
          <w:lang w:val="en"/>
        </w:rPr>
        <w:t>days</w:t>
      </w:r>
      <w:r w:rsidRPr="00E51319">
        <w:rPr>
          <w:sz w:val="22"/>
          <w:szCs w:val="22"/>
          <w:lang w:val="en"/>
        </w:rPr>
        <w:t>.</w:t>
      </w:r>
      <w:r w:rsidRPr="00E51319">
        <w:rPr>
          <w:i/>
          <w:sz w:val="22"/>
          <w:szCs w:val="22"/>
          <w:lang w:val="en"/>
        </w:rPr>
        <w:t>time</w:t>
      </w:r>
      <w:r w:rsidRPr="00E51319">
        <w:rPr>
          <w:sz w:val="22"/>
          <w:szCs w:val="22"/>
          <w:lang w:val="en"/>
        </w:rPr>
        <w:t xml:space="preserve"> </w:t>
      </w:r>
      <w:r w:rsidRPr="00E51319">
        <w:rPr>
          <w:sz w:val="22"/>
          <w:szCs w:val="22"/>
          <w:lang w:val="en"/>
        </w:rPr>
        <w:sym w:font="Wingdings" w:char="F0E0"/>
      </w:r>
      <w:r w:rsidRPr="00E51319">
        <w:rPr>
          <w:sz w:val="22"/>
          <w:szCs w:val="22"/>
          <w:lang w:val="en"/>
        </w:rPr>
        <w:t>0204.0001.</w:t>
      </w:r>
      <w:r w:rsidRPr="00E51319">
        <w:rPr>
          <w:i/>
          <w:sz w:val="22"/>
          <w:szCs w:val="22"/>
          <w:lang w:val="en"/>
        </w:rPr>
        <w:t>days</w:t>
      </w:r>
      <w:r w:rsidRPr="00E51319">
        <w:rPr>
          <w:sz w:val="22"/>
          <w:szCs w:val="22"/>
          <w:lang w:val="en"/>
        </w:rPr>
        <w:t>.</w:t>
      </w:r>
      <w:r w:rsidRPr="00E51319">
        <w:rPr>
          <w:i/>
          <w:sz w:val="22"/>
          <w:szCs w:val="22"/>
          <w:lang w:val="en"/>
        </w:rPr>
        <w:t>time</w:t>
      </w:r>
      <w:r w:rsidRPr="00E51319">
        <w:rPr>
          <w:sz w:val="22"/>
          <w:szCs w:val="22"/>
          <w:lang w:val="en"/>
        </w:rPr>
        <w:t xml:space="preserve">). </w:t>
      </w:r>
    </w:p>
    <w:p w14:paraId="00FAF5ED" w14:textId="77777777" w:rsidR="00E51319" w:rsidRPr="00E51319" w:rsidRDefault="00E51319" w:rsidP="000409B1">
      <w:pPr>
        <w:numPr>
          <w:ilvl w:val="0"/>
          <w:numId w:val="57"/>
        </w:numPr>
        <w:rPr>
          <w:sz w:val="22"/>
          <w:szCs w:val="22"/>
          <w:lang w:val="en"/>
        </w:rPr>
      </w:pPr>
      <w:r w:rsidRPr="00E51319">
        <w:rPr>
          <w:sz w:val="22"/>
          <w:szCs w:val="22"/>
          <w:lang w:val="en"/>
        </w:rPr>
        <w:lastRenderedPageBreak/>
        <w:t xml:space="preserve">At a patch release start, the major and minor numbers remain the same, the patch number is incremented by one, the content number returns to one, and the </w:t>
      </w:r>
      <w:r w:rsidRPr="00E51319">
        <w:rPr>
          <w:i/>
          <w:sz w:val="22"/>
          <w:szCs w:val="22"/>
          <w:lang w:val="en"/>
        </w:rPr>
        <w:t xml:space="preserve">days </w:t>
      </w:r>
      <w:r w:rsidRPr="00E51319">
        <w:rPr>
          <w:sz w:val="22"/>
          <w:szCs w:val="22"/>
          <w:lang w:val="en"/>
        </w:rPr>
        <w:t xml:space="preserve">and </w:t>
      </w:r>
      <w:r w:rsidRPr="00E51319">
        <w:rPr>
          <w:i/>
          <w:sz w:val="22"/>
          <w:szCs w:val="22"/>
          <w:lang w:val="en"/>
        </w:rPr>
        <w:t xml:space="preserve">time </w:t>
      </w:r>
      <w:r w:rsidRPr="00E51319">
        <w:rPr>
          <w:sz w:val="22"/>
          <w:szCs w:val="22"/>
          <w:lang w:val="en"/>
        </w:rPr>
        <w:t>numbers are regenerated using the build time (e.g., 0204.0003.</w:t>
      </w:r>
      <w:r w:rsidRPr="00E51319">
        <w:rPr>
          <w:i/>
          <w:sz w:val="22"/>
          <w:szCs w:val="22"/>
          <w:lang w:val="en"/>
        </w:rPr>
        <w:t>days</w:t>
      </w:r>
      <w:r w:rsidRPr="00E51319">
        <w:rPr>
          <w:sz w:val="22"/>
          <w:szCs w:val="22"/>
          <w:lang w:val="en"/>
        </w:rPr>
        <w:t>.</w:t>
      </w:r>
      <w:r w:rsidRPr="00E51319">
        <w:rPr>
          <w:i/>
          <w:sz w:val="22"/>
          <w:szCs w:val="22"/>
          <w:lang w:val="en"/>
        </w:rPr>
        <w:t>time</w:t>
      </w:r>
      <w:r w:rsidRPr="00E51319">
        <w:rPr>
          <w:sz w:val="22"/>
          <w:szCs w:val="22"/>
          <w:lang w:val="en"/>
        </w:rPr>
        <w:t xml:space="preserve"> </w:t>
      </w:r>
      <w:r w:rsidRPr="00E51319">
        <w:rPr>
          <w:sz w:val="22"/>
          <w:szCs w:val="22"/>
          <w:lang w:val="en"/>
        </w:rPr>
        <w:sym w:font="Wingdings" w:char="F0E0"/>
      </w:r>
      <w:r w:rsidRPr="00E51319">
        <w:rPr>
          <w:sz w:val="22"/>
          <w:szCs w:val="22"/>
          <w:lang w:val="en"/>
        </w:rPr>
        <w:t>0204.0101.</w:t>
      </w:r>
      <w:r w:rsidRPr="00E51319">
        <w:rPr>
          <w:i/>
          <w:sz w:val="22"/>
          <w:szCs w:val="22"/>
          <w:lang w:val="en"/>
        </w:rPr>
        <w:t>days</w:t>
      </w:r>
      <w:r w:rsidRPr="00E51319">
        <w:rPr>
          <w:sz w:val="22"/>
          <w:szCs w:val="22"/>
          <w:lang w:val="en"/>
        </w:rPr>
        <w:t>.</w:t>
      </w:r>
      <w:r w:rsidRPr="00E51319">
        <w:rPr>
          <w:i/>
          <w:sz w:val="22"/>
          <w:szCs w:val="22"/>
          <w:lang w:val="en"/>
        </w:rPr>
        <w:t>time</w:t>
      </w:r>
      <w:r w:rsidRPr="00E51319">
        <w:rPr>
          <w:sz w:val="22"/>
          <w:szCs w:val="22"/>
          <w:lang w:val="en"/>
        </w:rPr>
        <w:t>).</w:t>
      </w:r>
    </w:p>
    <w:p w14:paraId="36B940E4" w14:textId="77777777" w:rsidR="00E51319" w:rsidRPr="00E51319" w:rsidRDefault="00E51319" w:rsidP="000409B1">
      <w:pPr>
        <w:numPr>
          <w:ilvl w:val="0"/>
          <w:numId w:val="57"/>
        </w:numPr>
        <w:rPr>
          <w:sz w:val="22"/>
          <w:szCs w:val="22"/>
          <w:lang w:val="en"/>
        </w:rPr>
      </w:pPr>
      <w:r w:rsidRPr="00E51319">
        <w:rPr>
          <w:sz w:val="22"/>
          <w:szCs w:val="22"/>
          <w:lang w:val="en"/>
        </w:rPr>
        <w:t xml:space="preserve">When new content/scope is being added, the content number is incremented by one (e.g., 0204.0003.days.time </w:t>
      </w:r>
      <w:r w:rsidRPr="00E51319">
        <w:rPr>
          <w:sz w:val="22"/>
          <w:szCs w:val="22"/>
          <w:lang w:val="en"/>
        </w:rPr>
        <w:sym w:font="Wingdings" w:char="F0E0"/>
      </w:r>
      <w:r w:rsidRPr="00E51319">
        <w:rPr>
          <w:sz w:val="22"/>
          <w:szCs w:val="22"/>
          <w:lang w:val="en"/>
        </w:rPr>
        <w:t>0204.0004.days.time).</w:t>
      </w:r>
    </w:p>
    <w:p w14:paraId="7BFB42B8" w14:textId="77777777" w:rsidR="00E51319" w:rsidRPr="00E51319" w:rsidRDefault="00E51319" w:rsidP="00E51319">
      <w:pPr>
        <w:rPr>
          <w:sz w:val="22"/>
          <w:szCs w:val="22"/>
          <w:lang w:val="en"/>
        </w:rPr>
      </w:pPr>
    </w:p>
    <w:p w14:paraId="713B749E" w14:textId="77777777" w:rsidR="00E51319" w:rsidRPr="00E51319" w:rsidRDefault="00E51319" w:rsidP="00E51319">
      <w:pPr>
        <w:rPr>
          <w:sz w:val="22"/>
          <w:szCs w:val="22"/>
        </w:rPr>
      </w:pPr>
      <w:r w:rsidRPr="00E51319">
        <w:rPr>
          <w:sz w:val="22"/>
          <w:szCs w:val="22"/>
        </w:rPr>
        <w:t>This patch release number methodology is specifically used for software identification while VBECS document titles use various elements of the software version number.</w:t>
      </w:r>
    </w:p>
    <w:p w14:paraId="10F5C145" w14:textId="77777777" w:rsidR="00E51319" w:rsidRPr="00E51319" w:rsidRDefault="00E51319" w:rsidP="00E51319">
      <w:pPr>
        <w:pStyle w:val="ListBullet"/>
        <w:numPr>
          <w:ilvl w:val="0"/>
          <w:numId w:val="0"/>
        </w:numPr>
        <w:ind w:left="360"/>
      </w:pPr>
    </w:p>
    <w:p w14:paraId="3F042EE3" w14:textId="77777777" w:rsidR="00E51319" w:rsidRPr="00E51319" w:rsidRDefault="00E51319" w:rsidP="00E51319">
      <w:pPr>
        <w:pStyle w:val="ListBullet"/>
        <w:numPr>
          <w:ilvl w:val="0"/>
          <w:numId w:val="0"/>
        </w:numPr>
      </w:pPr>
      <w:r w:rsidRPr="00E51319">
        <w:t xml:space="preserve">The revision letter tracks database-only updates (e.g., blood product table and canned comment updates). The revision letter is normally a single alpha character (e.g., C), but can be two characters (e.g., AA, AB, AC) in the unlikely event that more than 25 database updates are made before a code change is implemented. The revision letter starts at A with each new code change and is incremented to B when the first database-only update is made. The revision letter is then updated by one alpha character for every successive database-only update until a new code change is implemented at which time the revision letter reverts back to A. The version submitted for system testing will be revision A, but the version customers receive can be revision A, B or higher. </w:t>
      </w:r>
    </w:p>
    <w:p w14:paraId="1E87847F" w14:textId="77777777" w:rsidR="00E51319" w:rsidRPr="00E51319" w:rsidRDefault="00E51319" w:rsidP="00E51319">
      <w:pPr>
        <w:pStyle w:val="ListBullet"/>
        <w:numPr>
          <w:ilvl w:val="0"/>
          <w:numId w:val="0"/>
        </w:numPr>
      </w:pPr>
    </w:p>
    <w:p w14:paraId="4FF2C14B" w14:textId="27AC828B" w:rsidR="00E51319" w:rsidRPr="00E51319" w:rsidRDefault="00E51319" w:rsidP="00E51319">
      <w:pPr>
        <w:pStyle w:val="ListBullet"/>
        <w:numPr>
          <w:ilvl w:val="0"/>
          <w:numId w:val="0"/>
        </w:numPr>
      </w:pPr>
      <w:r w:rsidRPr="00E51319">
        <w:t xml:space="preserve">The VBECS </w:t>
      </w:r>
      <w:r w:rsidRPr="00E51319">
        <w:rPr>
          <w:b/>
        </w:rPr>
        <w:t>Help</w:t>
      </w:r>
      <w:r w:rsidRPr="00E51319">
        <w:t>,</w:t>
      </w:r>
      <w:r w:rsidRPr="00E51319">
        <w:rPr>
          <w:b/>
        </w:rPr>
        <w:t xml:space="preserve"> About VBECS</w:t>
      </w:r>
      <w:r w:rsidRPr="00E51319">
        <w:t xml:space="preserve"> window (</w:t>
      </w:r>
      <w:r w:rsidR="00FE67D6">
        <w:fldChar w:fldCharType="begin" w:fldLock="1"/>
      </w:r>
      <w:r w:rsidR="00FE67D6">
        <w:instrText xml:space="preserve"> REF _Ref447112729 \h </w:instrText>
      </w:r>
      <w:r w:rsidR="00FE67D6">
        <w:fldChar w:fldCharType="separate"/>
      </w:r>
      <w:r w:rsidR="00AB304C" w:rsidRPr="00E51319">
        <w:t xml:space="preserve">Figure </w:t>
      </w:r>
      <w:r w:rsidR="00AB304C">
        <w:rPr>
          <w:noProof/>
        </w:rPr>
        <w:t>25</w:t>
      </w:r>
      <w:r w:rsidR="00FE67D6">
        <w:fldChar w:fldCharType="end"/>
      </w:r>
      <w:r w:rsidR="00FE67D6">
        <w:t xml:space="preserve"> </w:t>
      </w:r>
      <w:r w:rsidRPr="00E51319">
        <w:t>and</w:t>
      </w:r>
      <w:r w:rsidR="00FE67D6">
        <w:t xml:space="preserve"> </w:t>
      </w:r>
      <w:r w:rsidR="00FE67D6">
        <w:fldChar w:fldCharType="begin" w:fldLock="1"/>
      </w:r>
      <w:r w:rsidR="00FE67D6">
        <w:instrText xml:space="preserve"> REF _Ref2316751 \h </w:instrText>
      </w:r>
      <w:r w:rsidR="00FE67D6">
        <w:fldChar w:fldCharType="separate"/>
      </w:r>
      <w:r w:rsidR="00AB304C">
        <w:t xml:space="preserve">Figure </w:t>
      </w:r>
      <w:r w:rsidR="00AB304C">
        <w:rPr>
          <w:noProof/>
        </w:rPr>
        <w:t>26</w:t>
      </w:r>
      <w:r w:rsidR="00FE67D6">
        <w:fldChar w:fldCharType="end"/>
      </w:r>
      <w:r w:rsidRPr="00E51319">
        <w:t>) display the release number (e.g., 2.</w:t>
      </w:r>
      <w:r w:rsidR="004E20BD">
        <w:t>3.</w:t>
      </w:r>
      <w:r w:rsidR="00FE67D6">
        <w:t>1</w:t>
      </w:r>
      <w:r w:rsidRPr="00E51319">
        <w:t>), the formal build number (e.g., 020</w:t>
      </w:r>
      <w:r w:rsidR="004E20BD">
        <w:t>3</w:t>
      </w:r>
      <w:r w:rsidRPr="00E51319">
        <w:t>.0</w:t>
      </w:r>
      <w:r w:rsidR="004E20BD">
        <w:t>101</w:t>
      </w:r>
      <w:r w:rsidRPr="00E51319">
        <w:t>.</w:t>
      </w:r>
      <w:r w:rsidR="004E20BD">
        <w:t>6956</w:t>
      </w:r>
      <w:r w:rsidRPr="00E51319">
        <w:t>.</w:t>
      </w:r>
      <w:r w:rsidR="004E20BD">
        <w:t>24</w:t>
      </w:r>
      <w:r w:rsidR="00FE67D6">
        <w:t>14</w:t>
      </w:r>
      <w:r w:rsidRPr="00E51319">
        <w:t>) and the revision letter (e.g., A).</w:t>
      </w:r>
    </w:p>
    <w:p w14:paraId="2EEE4D30" w14:textId="4C9AB919" w:rsidR="00877F00" w:rsidRPr="00E51319" w:rsidRDefault="00877F00" w:rsidP="00877F00">
      <w:pPr>
        <w:pStyle w:val="Caption"/>
      </w:pPr>
      <w:bookmarkStart w:id="111" w:name="_Ref447112729"/>
      <w:r w:rsidRPr="00E51319">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25</w:t>
      </w:r>
      <w:r w:rsidR="004E20BD">
        <w:rPr>
          <w:noProof/>
        </w:rPr>
        <w:fldChar w:fldCharType="end"/>
      </w:r>
      <w:bookmarkEnd w:id="109"/>
      <w:bookmarkEnd w:id="111"/>
      <w:r w:rsidRPr="00E51319">
        <w:t>: About VBECS</w:t>
      </w:r>
      <w:bookmarkEnd w:id="110"/>
    </w:p>
    <w:p w14:paraId="0713F658" w14:textId="77777777" w:rsidR="00877F00" w:rsidRDefault="00057948" w:rsidP="00C00C0D">
      <w:pPr>
        <w:pStyle w:val="BodyText"/>
      </w:pPr>
      <w:r>
        <w:rPr>
          <w:noProof/>
        </w:rPr>
        <w:drawing>
          <wp:inline distT="0" distB="0" distL="0" distR="0" wp14:anchorId="6F3CEDF7" wp14:editId="0F8209AE">
            <wp:extent cx="6372860" cy="932815"/>
            <wp:effectExtent l="0" t="0" r="8890" b="635"/>
            <wp:docPr id="46" name="Picture 46" descr="P860L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860L2#yIS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72860" cy="932815"/>
                    </a:xfrm>
                    <a:prstGeom prst="rect">
                      <a:avLst/>
                    </a:prstGeom>
                    <a:noFill/>
                    <a:ln>
                      <a:noFill/>
                    </a:ln>
                  </pic:spPr>
                </pic:pic>
              </a:graphicData>
            </a:graphic>
          </wp:inline>
        </w:drawing>
      </w:r>
    </w:p>
    <w:p w14:paraId="3CDE633C" w14:textId="77777777" w:rsidR="001C39A0" w:rsidRDefault="001C39A0">
      <w:pPr>
        <w:rPr>
          <w:b/>
          <w:sz w:val="22"/>
          <w:szCs w:val="22"/>
        </w:rPr>
      </w:pPr>
      <w:bookmarkStart w:id="112" w:name="_Ref300821912"/>
      <w:bookmarkStart w:id="113" w:name="_Ref301523957"/>
      <w:r>
        <w:br w:type="page"/>
      </w:r>
    </w:p>
    <w:p w14:paraId="36E0CE69" w14:textId="0547EC83" w:rsidR="001C39A0" w:rsidRDefault="00877F00" w:rsidP="008926C4">
      <w:pPr>
        <w:pStyle w:val="Caption"/>
        <w:spacing w:after="0"/>
      </w:pPr>
      <w:bookmarkStart w:id="114" w:name="_Ref2316751"/>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26</w:t>
      </w:r>
      <w:r w:rsidR="004E20BD">
        <w:rPr>
          <w:noProof/>
        </w:rPr>
        <w:fldChar w:fldCharType="end"/>
      </w:r>
      <w:bookmarkEnd w:id="112"/>
      <w:bookmarkEnd w:id="113"/>
      <w:bookmarkEnd w:id="114"/>
      <w:r>
        <w:t>:</w:t>
      </w:r>
      <w:r w:rsidR="001D2967">
        <w:t xml:space="preserve"> Example of</w:t>
      </w:r>
      <w:r>
        <w:t xml:space="preserve"> VBECS Version </w:t>
      </w:r>
      <w:r w:rsidR="001D2967">
        <w:t xml:space="preserve">and Build </w:t>
      </w:r>
      <w:r>
        <w:t>Number</w:t>
      </w:r>
      <w:r w:rsidR="001D2967">
        <w:t>s</w:t>
      </w:r>
      <w:r w:rsidR="00EE771C">
        <w:t xml:space="preserve"> </w:t>
      </w:r>
    </w:p>
    <w:p w14:paraId="2C7890E9" w14:textId="285BFD7B" w:rsidR="001C39A0" w:rsidRPr="001C39A0" w:rsidRDefault="001C39A0" w:rsidP="001C39A0">
      <w:pPr>
        <w:pStyle w:val="BodyText"/>
      </w:pPr>
      <w:r>
        <w:rPr>
          <w:noProof/>
        </w:rPr>
        <w:drawing>
          <wp:inline distT="0" distB="0" distL="0" distR="0" wp14:anchorId="6C18326B" wp14:editId="2ED688AB">
            <wp:extent cx="5486400" cy="4974336"/>
            <wp:effectExtent l="0" t="0" r="0" b="0"/>
            <wp:docPr id="1161" name="Picture 1161" descr="P863L2#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Picture 1161" descr="P863L2#yIS1">
                      <a:extLst>
                        <a:ext uri="{C183D7F6-B498-43B3-948B-1728B52AA6E4}">
                          <adec:decorative xmlns:adec="http://schemas.microsoft.com/office/drawing/2017/decorative" val="1"/>
                        </a:ext>
                      </a:extLst>
                    </pic:cNvPr>
                    <pic:cNvPicPr>
                      <a:picLocks noChangeAspect="1" noChangeArrowheads="1"/>
                    </pic:cNvPicPr>
                  </pic:nvPicPr>
                  <pic:blipFill rotWithShape="1">
                    <a:blip r:embed="rId60">
                      <a:extLst>
                        <a:ext uri="{28A0092B-C50C-407E-A947-70E740481C1C}">
                          <a14:useLocalDpi xmlns:a14="http://schemas.microsoft.com/office/drawing/2010/main" val="0"/>
                        </a:ext>
                      </a:extLst>
                    </a:blip>
                    <a:srcRect r="54423" b="15666"/>
                    <a:stretch/>
                  </pic:blipFill>
                  <pic:spPr bwMode="auto">
                    <a:xfrm>
                      <a:off x="0" y="0"/>
                      <a:ext cx="5486400" cy="4974336"/>
                    </a:xfrm>
                    <a:prstGeom prst="rect">
                      <a:avLst/>
                    </a:prstGeom>
                    <a:noFill/>
                    <a:ln>
                      <a:noFill/>
                    </a:ln>
                    <a:extLst>
                      <a:ext uri="{53640926-AAD7-44D8-BBD7-CCE9431645EC}">
                        <a14:shadowObscured xmlns:a14="http://schemas.microsoft.com/office/drawing/2010/main"/>
                      </a:ext>
                    </a:extLst>
                  </pic:spPr>
                </pic:pic>
              </a:graphicData>
            </a:graphic>
          </wp:inline>
        </w:drawing>
      </w:r>
    </w:p>
    <w:p w14:paraId="208463F5" w14:textId="278B827D" w:rsidR="00877F00" w:rsidRDefault="00EE771C" w:rsidP="00532542">
      <w:pPr>
        <w:pStyle w:val="Caption"/>
      </w:pPr>
      <w:r w:rsidRPr="00EE771C">
        <w:rPr>
          <w:vanish/>
        </w:rPr>
        <w:t>DR 4991</w:t>
      </w:r>
    </w:p>
    <w:p w14:paraId="11FB8347" w14:textId="77777777" w:rsidR="00EE771C" w:rsidRDefault="00EE771C" w:rsidP="00877F00"/>
    <w:p w14:paraId="78E7E307" w14:textId="77777777" w:rsidR="00BB6AB5" w:rsidRDefault="00F05A35" w:rsidP="007E27AF">
      <w:pPr>
        <w:pStyle w:val="Heading2"/>
      </w:pPr>
      <w:r>
        <w:br w:type="page"/>
      </w:r>
      <w:bookmarkStart w:id="115" w:name="_Toc4588727"/>
      <w:r w:rsidR="00BB6AB5">
        <w:lastRenderedPageBreak/>
        <w:t xml:space="preserve">VistA </w:t>
      </w:r>
      <w:r w:rsidR="001A5555">
        <w:t>Records</w:t>
      </w:r>
      <w:r w:rsidR="00BB6AB5">
        <w:t xml:space="preserve"> in VBECS</w:t>
      </w:r>
      <w:bookmarkEnd w:id="115"/>
      <w:r w:rsidR="007E27AF">
        <w:fldChar w:fldCharType="begin"/>
      </w:r>
      <w:r w:rsidR="007E27AF">
        <w:instrText xml:space="preserve"> XE "</w:instrText>
      </w:r>
      <w:r w:rsidR="007E27AF" w:rsidRPr="00C85A38">
        <w:instrText>VistA Records in VBECS</w:instrText>
      </w:r>
      <w:r w:rsidR="007E27AF">
        <w:instrText xml:space="preserve">" </w:instrText>
      </w:r>
      <w:r w:rsidR="007E27AF">
        <w:fldChar w:fldCharType="end"/>
      </w:r>
    </w:p>
    <w:p w14:paraId="72FD7222" w14:textId="77777777" w:rsidR="00C97C16" w:rsidRDefault="000F37DC" w:rsidP="00C97C16">
      <w:pPr>
        <w:pStyle w:val="BodyText"/>
      </w:pPr>
      <w:r>
        <w:t>Historic</w:t>
      </w:r>
      <w:r w:rsidR="00550B93">
        <w:t xml:space="preserve"> </w:t>
      </w:r>
      <w:r w:rsidR="00BB6AB5">
        <w:t xml:space="preserve">VistA blood bank </w:t>
      </w:r>
      <w:r w:rsidR="001A5555">
        <w:t>records were</w:t>
      </w:r>
      <w:r w:rsidR="00BB6AB5">
        <w:t xml:space="preserve"> transferred to VBECS</w:t>
      </w:r>
      <w:r w:rsidR="000C18F8">
        <w:t xml:space="preserve"> </w:t>
      </w:r>
      <w:r w:rsidR="004C470C">
        <w:t xml:space="preserve">and validated </w:t>
      </w:r>
      <w:r w:rsidR="000C18F8">
        <w:t>during the database conversion</w:t>
      </w:r>
      <w:r w:rsidR="00550B93">
        <w:t xml:space="preserve">. </w:t>
      </w:r>
      <w:r w:rsidR="007E27AF">
        <w:t>VBECS handles these records in accordance with system rules:</w:t>
      </w:r>
      <w:r w:rsidR="004C470C" w:rsidRPr="004C470C">
        <w:t xml:space="preserve"> </w:t>
      </w:r>
    </w:p>
    <w:p w14:paraId="00108674" w14:textId="77777777" w:rsidR="002A11A1" w:rsidRDefault="00057948" w:rsidP="004C470C">
      <w:pPr>
        <w:pStyle w:val="Caution"/>
      </w:pPr>
      <w:r>
        <w:rPr>
          <w:noProof/>
        </w:rPr>
        <w:drawing>
          <wp:inline distT="0" distB="0" distL="0" distR="0" wp14:anchorId="643FD3F0" wp14:editId="7745CEC7">
            <wp:extent cx="267970" cy="221615"/>
            <wp:effectExtent l="0" t="0" r="0" b="6985"/>
            <wp:docPr id="48" name="Picture 48" descr="P868L2#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868L2#yIS1">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C97C16">
        <w:t xml:space="preserve">Patient names in VistA that exceed the database standard for File </w:t>
      </w:r>
      <w:r w:rsidR="00531232">
        <w:t>#2 (</w:t>
      </w:r>
      <w:r w:rsidR="00C97C16">
        <w:t>30 characters</w:t>
      </w:r>
      <w:r w:rsidR="004E57F7">
        <w:t xml:space="preserve">) </w:t>
      </w:r>
      <w:r w:rsidR="004B00E6">
        <w:t>or do not have a last name</w:t>
      </w:r>
      <w:r w:rsidR="00531232">
        <w:t xml:space="preserve"> </w:t>
      </w:r>
      <w:r w:rsidR="005A7EE0">
        <w:t>do not convert to V</w:t>
      </w:r>
      <w:r w:rsidR="00551EF1">
        <w:t>BECS</w:t>
      </w:r>
      <w:r w:rsidR="002A11A1">
        <w:t>.</w:t>
      </w:r>
    </w:p>
    <w:p w14:paraId="1502CC9C" w14:textId="77777777" w:rsidR="00BB6AB5" w:rsidRDefault="001A5555" w:rsidP="004305BC">
      <w:pPr>
        <w:pStyle w:val="ListBullet"/>
      </w:pPr>
      <w:r>
        <w:t xml:space="preserve">VBECS may display patient information differently from VistA. For example, </w:t>
      </w:r>
      <w:r w:rsidR="00550B93">
        <w:t xml:space="preserve">VBECS displays patient </w:t>
      </w:r>
      <w:r w:rsidR="00810930">
        <w:t>name</w:t>
      </w:r>
      <w:r w:rsidR="0080180A">
        <w:t>s</w:t>
      </w:r>
      <w:r w:rsidR="00550B93">
        <w:t xml:space="preserve"> as “</w:t>
      </w:r>
      <w:r w:rsidR="00BE05CD">
        <w:t xml:space="preserve">LAST NAME, FIRST NAME, MIDDLE NAME </w:t>
      </w:r>
      <w:r w:rsidR="00E12A85">
        <w:t xml:space="preserve">or </w:t>
      </w:r>
      <w:r w:rsidR="00BE05CD">
        <w:t>INITIAL</w:t>
      </w:r>
      <w:r w:rsidR="00102E3E">
        <w:t>, SUFFIX</w:t>
      </w:r>
      <w:r w:rsidR="00550B93">
        <w:t>.”</w:t>
      </w:r>
    </w:p>
    <w:p w14:paraId="2770468E" w14:textId="4E5CF63D" w:rsidR="00506EE2" w:rsidRPr="00B26970" w:rsidRDefault="00506EE2" w:rsidP="00506EE2">
      <w:pPr>
        <w:pStyle w:val="ListBullet"/>
        <w:rPr>
          <w:rFonts w:cs="Arial"/>
          <w:szCs w:val="18"/>
        </w:rPr>
      </w:pPr>
      <w:r w:rsidRPr="00B26970">
        <w:rPr>
          <w:rFonts w:cs="Arial"/>
          <w:szCs w:val="18"/>
        </w:rPr>
        <w:t xml:space="preserve">A patient name will be truncated in </w:t>
      </w:r>
      <w:r>
        <w:rPr>
          <w:rFonts w:cs="Arial"/>
          <w:szCs w:val="18"/>
        </w:rPr>
        <w:t>the following</w:t>
      </w:r>
      <w:r w:rsidRPr="00B26970">
        <w:rPr>
          <w:rFonts w:cs="Arial"/>
          <w:szCs w:val="18"/>
        </w:rPr>
        <w:t xml:space="preserve"> screens when one of the name fields (Last, First, </w:t>
      </w:r>
      <w:r w:rsidR="00C02E65">
        <w:rPr>
          <w:rFonts w:cs="Arial"/>
          <w:szCs w:val="18"/>
        </w:rPr>
        <w:t>or Middle) exceed</w:t>
      </w:r>
      <w:r w:rsidR="00D05436">
        <w:rPr>
          <w:rFonts w:cs="Arial"/>
          <w:szCs w:val="18"/>
        </w:rPr>
        <w:t>s</w:t>
      </w:r>
      <w:r w:rsidR="00C02E65">
        <w:rPr>
          <w:rFonts w:cs="Arial"/>
          <w:szCs w:val="18"/>
        </w:rPr>
        <w:t xml:space="preserve"> 22 characters. </w:t>
      </w:r>
      <w:r w:rsidR="00C02E65" w:rsidRPr="00B26970">
        <w:rPr>
          <w:rFonts w:cs="Arial"/>
          <w:szCs w:val="18"/>
        </w:rPr>
        <w:t>The full name is displayed elsewhere on the screens ident</w:t>
      </w:r>
      <w:r w:rsidR="00C02E65">
        <w:rPr>
          <w:rFonts w:cs="Arial"/>
          <w:szCs w:val="18"/>
        </w:rPr>
        <w:t>ified or it is provided as read-</w:t>
      </w:r>
      <w:r w:rsidR="00C02E65" w:rsidRPr="00B26970">
        <w:rPr>
          <w:rFonts w:cs="Arial"/>
          <w:szCs w:val="18"/>
        </w:rPr>
        <w:t>only information and is not used to make decisions for the selected patient.</w:t>
      </w:r>
      <w:r w:rsidR="00C02E65">
        <w:rPr>
          <w:rFonts w:cs="Arial"/>
          <w:szCs w:val="18"/>
        </w:rPr>
        <w:t xml:space="preserve"> </w:t>
      </w:r>
      <w:r w:rsidR="00C02E65" w:rsidRPr="00C02E65">
        <w:rPr>
          <w:rFonts w:cs="Arial"/>
          <w:vanish/>
          <w:szCs w:val="18"/>
        </w:rPr>
        <w:t>Task 209590</w:t>
      </w:r>
    </w:p>
    <w:p w14:paraId="194F7A77" w14:textId="77777777" w:rsidR="00506EE2" w:rsidRPr="00B26970" w:rsidRDefault="00506EE2" w:rsidP="00506EE2">
      <w:pPr>
        <w:pStyle w:val="ListBullet"/>
        <w:numPr>
          <w:ilvl w:val="1"/>
          <w:numId w:val="15"/>
        </w:numPr>
        <w:rPr>
          <w:rFonts w:cs="Arial"/>
          <w:szCs w:val="18"/>
        </w:rPr>
      </w:pPr>
      <w:r w:rsidRPr="00B26970">
        <w:rPr>
          <w:rFonts w:cs="Arial"/>
          <w:szCs w:val="18"/>
        </w:rPr>
        <w:t>Blood Unit Details tab</w:t>
      </w:r>
    </w:p>
    <w:p w14:paraId="1919F66F" w14:textId="77777777" w:rsidR="00506EE2" w:rsidRPr="00B26970" w:rsidRDefault="00506EE2" w:rsidP="00506EE2">
      <w:pPr>
        <w:pStyle w:val="ListBullet"/>
        <w:numPr>
          <w:ilvl w:val="1"/>
          <w:numId w:val="15"/>
        </w:numPr>
        <w:rPr>
          <w:rFonts w:cs="Arial"/>
          <w:szCs w:val="18"/>
        </w:rPr>
      </w:pPr>
      <w:r w:rsidRPr="00B26970">
        <w:rPr>
          <w:rFonts w:cs="Arial"/>
          <w:szCs w:val="18"/>
        </w:rPr>
        <w:t>Patient Specimen Selector control</w:t>
      </w:r>
    </w:p>
    <w:p w14:paraId="140FB394" w14:textId="77777777" w:rsidR="00506EE2" w:rsidRPr="00B26970" w:rsidRDefault="00506EE2" w:rsidP="00506EE2">
      <w:pPr>
        <w:pStyle w:val="ListBullet"/>
        <w:numPr>
          <w:ilvl w:val="1"/>
          <w:numId w:val="15"/>
        </w:numPr>
        <w:rPr>
          <w:rFonts w:cs="Arial"/>
          <w:szCs w:val="18"/>
        </w:rPr>
      </w:pPr>
      <w:r w:rsidRPr="00B26970">
        <w:rPr>
          <w:rFonts w:cs="Arial"/>
          <w:szCs w:val="18"/>
        </w:rPr>
        <w:t>Patient Order Selector control</w:t>
      </w:r>
    </w:p>
    <w:p w14:paraId="3968F188" w14:textId="77777777" w:rsidR="00506EE2" w:rsidRPr="00B26970" w:rsidRDefault="00506EE2" w:rsidP="00506EE2">
      <w:pPr>
        <w:pStyle w:val="ListBullet"/>
        <w:numPr>
          <w:ilvl w:val="1"/>
          <w:numId w:val="15"/>
        </w:numPr>
        <w:rPr>
          <w:rFonts w:cs="Arial"/>
          <w:szCs w:val="18"/>
        </w:rPr>
      </w:pPr>
      <w:r w:rsidRPr="00B26970">
        <w:rPr>
          <w:rFonts w:cs="Arial"/>
          <w:szCs w:val="18"/>
        </w:rPr>
        <w:t>Patient Order Selector for Report control</w:t>
      </w:r>
    </w:p>
    <w:p w14:paraId="0A06D42A" w14:textId="77777777" w:rsidR="00506EE2" w:rsidRPr="00B26970" w:rsidRDefault="00506EE2" w:rsidP="00506EE2">
      <w:pPr>
        <w:pStyle w:val="TableText"/>
        <w:rPr>
          <w:rFonts w:cs="Arial"/>
          <w:szCs w:val="18"/>
        </w:rPr>
      </w:pPr>
    </w:p>
    <w:p w14:paraId="73A94216" w14:textId="3A5747CC" w:rsidR="005562DA" w:rsidRPr="005562DA" w:rsidRDefault="005562DA" w:rsidP="005562DA">
      <w:pPr>
        <w:pStyle w:val="ListBullet"/>
      </w:pPr>
      <w:r w:rsidRPr="00B26970">
        <w:rPr>
          <w:rFonts w:cs="Arial"/>
          <w:szCs w:val="18"/>
        </w:rPr>
        <w:t>When only a few non-specific characters are entered in the patient search field, no matches are found and the option times out without displaying a message to the user.</w:t>
      </w:r>
      <w:r>
        <w:rPr>
          <w:rFonts w:cs="Arial"/>
          <w:szCs w:val="18"/>
        </w:rPr>
        <w:t xml:space="preserve"> </w:t>
      </w:r>
      <w:r w:rsidRPr="00B26970">
        <w:rPr>
          <w:rFonts w:cs="Arial"/>
          <w:szCs w:val="18"/>
        </w:rPr>
        <w:t xml:space="preserve">Enter the full last name, or the full patient ID, last name, last name initial, and last four digits of the patient ID (SSN), or </w:t>
      </w:r>
      <w:r>
        <w:rPr>
          <w:rFonts w:cs="Arial"/>
          <w:szCs w:val="18"/>
        </w:rPr>
        <w:t>the full patient ID. Entering</w:t>
      </w:r>
      <w:r w:rsidRPr="00750211">
        <w:rPr>
          <w:rFonts w:cs="Arial"/>
          <w:szCs w:val="18"/>
        </w:rPr>
        <w:t xml:space="preserve"> </w:t>
      </w:r>
      <w:r>
        <w:rPr>
          <w:rFonts w:cs="Arial"/>
          <w:szCs w:val="18"/>
        </w:rPr>
        <w:t xml:space="preserve">the </w:t>
      </w:r>
      <w:r w:rsidRPr="00750211">
        <w:rPr>
          <w:rFonts w:cs="Arial"/>
          <w:szCs w:val="18"/>
        </w:rPr>
        <w:t xml:space="preserve">standard patient search </w:t>
      </w:r>
      <w:r>
        <w:rPr>
          <w:rFonts w:cs="Arial"/>
          <w:szCs w:val="18"/>
        </w:rPr>
        <w:t>criteria (full SSN</w:t>
      </w:r>
      <w:r w:rsidRPr="00750211">
        <w:rPr>
          <w:rFonts w:cs="Arial"/>
          <w:szCs w:val="18"/>
        </w:rPr>
        <w:t xml:space="preserve">) avoids </w:t>
      </w:r>
      <w:r>
        <w:rPr>
          <w:rFonts w:cs="Arial"/>
          <w:szCs w:val="18"/>
        </w:rPr>
        <w:t xml:space="preserve">the </w:t>
      </w:r>
      <w:r w:rsidRPr="00750211">
        <w:rPr>
          <w:rFonts w:cs="Arial"/>
          <w:szCs w:val="18"/>
        </w:rPr>
        <w:t xml:space="preserve">potential </w:t>
      </w:r>
      <w:r>
        <w:rPr>
          <w:rFonts w:cs="Arial"/>
          <w:szCs w:val="18"/>
        </w:rPr>
        <w:t xml:space="preserve">for </w:t>
      </w:r>
      <w:r w:rsidRPr="00750211">
        <w:rPr>
          <w:rFonts w:cs="Arial"/>
          <w:szCs w:val="18"/>
        </w:rPr>
        <w:t>confusion.</w:t>
      </w:r>
      <w:r>
        <w:rPr>
          <w:rFonts w:cs="Arial"/>
          <w:szCs w:val="18"/>
        </w:rPr>
        <w:t xml:space="preserve"> </w:t>
      </w:r>
      <w:r w:rsidRPr="00B00806">
        <w:rPr>
          <w:rFonts w:cs="Arial"/>
          <w:vanish/>
          <w:szCs w:val="18"/>
        </w:rPr>
        <w:t>Tasks 208833, 209859</w:t>
      </w:r>
    </w:p>
    <w:p w14:paraId="4305F5FF" w14:textId="7D3EF77C" w:rsidR="00506EE2" w:rsidRDefault="00506EE2" w:rsidP="00506EE2">
      <w:pPr>
        <w:pStyle w:val="ListBullet"/>
      </w:pPr>
      <w:r w:rsidRPr="00B26970">
        <w:rPr>
          <w:rFonts w:cs="Arial"/>
          <w:szCs w:val="18"/>
        </w:rPr>
        <w:t>VBECS will only display the first 25 characters of the name.</w:t>
      </w:r>
    </w:p>
    <w:p w14:paraId="56BB0DF4" w14:textId="77777777" w:rsidR="00CF225C" w:rsidRDefault="00524EDF" w:rsidP="004305BC">
      <w:pPr>
        <w:pStyle w:val="ListBullet"/>
      </w:pPr>
      <w:r w:rsidRPr="00524EDF">
        <w:rPr>
          <w:vanish/>
        </w:rPr>
        <w:t xml:space="preserve">BR_3.05 </w:t>
      </w:r>
      <w:r w:rsidR="00CF225C">
        <w:t xml:space="preserve">VBECS displays historic ABO/Rh types from the database conversion, </w:t>
      </w:r>
      <w:r w:rsidR="00C14A0B">
        <w:t>but</w:t>
      </w:r>
      <w:r w:rsidR="00CF225C">
        <w:t xml:space="preserve"> doesn’t use </w:t>
      </w:r>
      <w:r w:rsidR="005F34AE">
        <w:t>them</w:t>
      </w:r>
      <w:r w:rsidR="00CF225C">
        <w:t xml:space="preserve"> for issuing blood or for comparing test results. </w:t>
      </w:r>
    </w:p>
    <w:p w14:paraId="61132D12" w14:textId="77777777" w:rsidR="00B814B4" w:rsidRDefault="00B814B4" w:rsidP="00B814B4">
      <w:pPr>
        <w:pStyle w:val="ListBullet"/>
      </w:pPr>
      <w:r>
        <w:t>VBECS truncates Special Instructions (SIs) text from the VistA database conversion.</w:t>
      </w:r>
    </w:p>
    <w:p w14:paraId="37B4E6CD" w14:textId="77777777" w:rsidR="00524EDF" w:rsidRDefault="00524EDF" w:rsidP="00524EDF">
      <w:pPr>
        <w:pStyle w:val="ListBullet"/>
      </w:pPr>
      <w:r>
        <w:rPr>
          <w:vanish/>
        </w:rPr>
        <w:t xml:space="preserve">BR_37.05 </w:t>
      </w:r>
      <w:r w:rsidR="00150930" w:rsidRPr="00150930">
        <w:t>SIs from d</w:t>
      </w:r>
      <w:r>
        <w:t>ata</w:t>
      </w:r>
      <w:r w:rsidR="00150930">
        <w:t>base</w:t>
      </w:r>
      <w:r>
        <w:t xml:space="preserve"> conversion entries are labeled as such.</w:t>
      </w:r>
    </w:p>
    <w:p w14:paraId="32072974" w14:textId="77777777" w:rsidR="00150930" w:rsidRDefault="00150930" w:rsidP="00150930">
      <w:pPr>
        <w:pStyle w:val="ListBullet"/>
      </w:pPr>
      <w:r w:rsidRPr="00CA6E27">
        <w:rPr>
          <w:bCs/>
        </w:rPr>
        <w:t>VistA</w:t>
      </w:r>
      <w:r>
        <w:t xml:space="preserve"> SIs from the database conversion </w:t>
      </w:r>
      <w:r w:rsidR="00216287">
        <w:t>may include component or antigen negative requirements. The</w:t>
      </w:r>
      <w:r w:rsidR="00D40EB2">
        <w:t xml:space="preserve"> VistA SIs</w:t>
      </w:r>
      <w:r>
        <w:t xml:space="preserve"> remain SIs and are not enforced unless </w:t>
      </w:r>
      <w:r w:rsidR="00646F65">
        <w:t xml:space="preserve">they are </w:t>
      </w:r>
      <w:r>
        <w:t xml:space="preserve">entered in </w:t>
      </w:r>
      <w:r w:rsidR="00646F65">
        <w:t xml:space="preserve">the </w:t>
      </w:r>
      <w:r>
        <w:t>T</w:t>
      </w:r>
      <w:r w:rsidR="00646F65">
        <w:t xml:space="preserve">ransfusion </w:t>
      </w:r>
      <w:r>
        <w:t>R</w:t>
      </w:r>
      <w:r w:rsidR="00646F65">
        <w:t>equirement</w:t>
      </w:r>
      <w:r>
        <w:t>s</w:t>
      </w:r>
      <w:r w:rsidR="00646F65">
        <w:t xml:space="preserve"> tab in Special Instructions &amp; Transfusion Requirements</w:t>
      </w:r>
      <w:r>
        <w:t>.</w:t>
      </w:r>
    </w:p>
    <w:p w14:paraId="57CE1EF5" w14:textId="77777777" w:rsidR="001F561F" w:rsidRDefault="001F561F" w:rsidP="001F561F">
      <w:pPr>
        <w:pStyle w:val="ListBullet"/>
      </w:pPr>
      <w:r>
        <w:t xml:space="preserve">Patient antibody identifications from </w:t>
      </w:r>
      <w:r w:rsidRPr="00CA6E27">
        <w:rPr>
          <w:bCs/>
        </w:rPr>
        <w:t>VistA</w:t>
      </w:r>
      <w:r>
        <w:t xml:space="preserve"> </w:t>
      </w:r>
      <w:r w:rsidR="00B814B4">
        <w:t>were</w:t>
      </w:r>
      <w:r>
        <w:t xml:space="preserve"> included in the database conversion. </w:t>
      </w:r>
    </w:p>
    <w:p w14:paraId="1986725A" w14:textId="77777777" w:rsidR="005F34AE" w:rsidRDefault="005F34AE" w:rsidP="001F561F">
      <w:pPr>
        <w:pStyle w:val="ListBullet"/>
      </w:pPr>
      <w:r>
        <w:t>Antigen negative requirements properly set in VistA w</w:t>
      </w:r>
      <w:r w:rsidR="00B814B4">
        <w:t>ere</w:t>
      </w:r>
      <w:r>
        <w:t xml:space="preserve"> transferred to antigen negative requirements in VBECS.</w:t>
      </w:r>
    </w:p>
    <w:p w14:paraId="154062E1" w14:textId="3E4CD1E1" w:rsidR="00D05436" w:rsidRPr="00875F0A" w:rsidRDefault="00181ECD" w:rsidP="00875F0A">
      <w:pPr>
        <w:pStyle w:val="ListBullet"/>
        <w:rPr>
          <w:vanish/>
        </w:rPr>
      </w:pPr>
      <w:r w:rsidRPr="00181ECD">
        <w:rPr>
          <w:vanish/>
        </w:rPr>
        <w:t xml:space="preserve">BR_65.03 </w:t>
      </w:r>
      <w:r w:rsidRPr="00181ECD">
        <w:t>VBECS informs the user when the displayed historical ABO/Rh, transfusion reaction history, and/or antigen typing result from the database conversion</w:t>
      </w:r>
      <w:r>
        <w:t>.</w:t>
      </w:r>
      <w:bookmarkEnd w:id="107"/>
      <w:bookmarkEnd w:id="108"/>
    </w:p>
    <w:p w14:paraId="556A2291" w14:textId="77777777" w:rsidR="00875F0A" w:rsidRDefault="00875F0A" w:rsidP="00D05436">
      <w:pPr>
        <w:pStyle w:val="ListBullet"/>
      </w:pPr>
    </w:p>
    <w:p w14:paraId="634F085F" w14:textId="18C840C9" w:rsidR="00875F0A" w:rsidRDefault="00875F0A" w:rsidP="00D05436">
      <w:pPr>
        <w:pStyle w:val="ListBullet"/>
      </w:pPr>
      <w:r>
        <w:t>Transfusion reaction types without their associated units were transferred to VBECS.</w:t>
      </w:r>
    </w:p>
    <w:p w14:paraId="30CB81A7" w14:textId="417E5B2E" w:rsidR="002A21AE" w:rsidRDefault="008F1BF3" w:rsidP="00D05436">
      <w:pPr>
        <w:pStyle w:val="Heading2"/>
      </w:pPr>
      <w:r>
        <w:br w:type="page"/>
      </w:r>
      <w:bookmarkStart w:id="116" w:name="_Toc4588728"/>
      <w:r w:rsidR="002A21AE">
        <w:lastRenderedPageBreak/>
        <w:t>Accessing the System</w:t>
      </w:r>
      <w:bookmarkEnd w:id="116"/>
      <w:r w:rsidR="002A21AE">
        <w:fldChar w:fldCharType="begin"/>
      </w:r>
      <w:r w:rsidR="002A21AE">
        <w:instrText xml:space="preserve"> XE </w:instrText>
      </w:r>
      <w:r w:rsidR="00FA7E65">
        <w:instrText>“</w:instrText>
      </w:r>
      <w:r w:rsidR="002A21AE">
        <w:instrText>Accessing the System</w:instrText>
      </w:r>
      <w:r w:rsidR="00FA7E65">
        <w:instrText>”</w:instrText>
      </w:r>
      <w:r w:rsidR="002A21AE">
        <w:instrText xml:space="preserve"> </w:instrText>
      </w:r>
      <w:r w:rsidR="002A21AE">
        <w:fldChar w:fldCharType="end"/>
      </w:r>
    </w:p>
    <w:p w14:paraId="0A39C2E8" w14:textId="77777777" w:rsidR="002A21AE" w:rsidRDefault="009B4BF9">
      <w:pPr>
        <w:pStyle w:val="Heading3"/>
      </w:pPr>
      <w:bookmarkStart w:id="117" w:name="_Toc86743614"/>
      <w:bookmarkStart w:id="118" w:name="OLE_LINK19"/>
      <w:bookmarkStart w:id="119" w:name="_Toc4588729"/>
      <w:r>
        <w:t>Log i</w:t>
      </w:r>
      <w:r w:rsidR="002A21AE">
        <w:t>nto VBECS</w:t>
      </w:r>
      <w:bookmarkEnd w:id="117"/>
      <w:r w:rsidR="002A21AE">
        <w:t xml:space="preserve"> and</w:t>
      </w:r>
      <w:r w:rsidR="00CA0045">
        <w:t xml:space="preserve"> VistA</w:t>
      </w:r>
      <w:bookmarkEnd w:id="118"/>
      <w:bookmarkEnd w:id="119"/>
      <w:r w:rsidR="002A21AE">
        <w:rPr>
          <w:b w:val="0"/>
          <w:vanish/>
        </w:rPr>
        <w:fldChar w:fldCharType="begin"/>
      </w:r>
      <w:r w:rsidR="002A21AE">
        <w:rPr>
          <w:vanish/>
        </w:rPr>
        <w:instrText xml:space="preserve"> XE </w:instrText>
      </w:r>
      <w:r w:rsidR="00FA7E65">
        <w:rPr>
          <w:vanish/>
        </w:rPr>
        <w:instrText>“</w:instrText>
      </w:r>
      <w:r w:rsidR="002A21AE">
        <w:rPr>
          <w:vanish/>
        </w:rPr>
        <w:instrText>Log Into VBECS and</w:instrText>
      </w:r>
      <w:r w:rsidR="00CA0045">
        <w:rPr>
          <w:vanish/>
        </w:rPr>
        <w:instrText xml:space="preserve"> VistA</w:instrText>
      </w:r>
      <w:r w:rsidR="00FA7E65">
        <w:rPr>
          <w:vanish/>
        </w:rPr>
        <w:instrText>”</w:instrText>
      </w:r>
      <w:r w:rsidR="002A21AE">
        <w:rPr>
          <w:vanish/>
        </w:rPr>
        <w:instrText xml:space="preserve"> </w:instrText>
      </w:r>
      <w:r w:rsidR="002A21AE">
        <w:rPr>
          <w:b w:val="0"/>
          <w:vanish/>
        </w:rPr>
        <w:fldChar w:fldCharType="end"/>
      </w:r>
      <w:r w:rsidR="002A21AE">
        <w:rPr>
          <w:b w:val="0"/>
          <w:vanish/>
        </w:rPr>
        <w:t xml:space="preserve"> </w:t>
      </w:r>
      <w:r w:rsidR="002A21AE">
        <w:rPr>
          <w:vanish/>
        </w:rPr>
        <w:t>UC_18, UC_102</w:t>
      </w:r>
    </w:p>
    <w:p w14:paraId="64F6EC96" w14:textId="251C3469" w:rsidR="002A21AE" w:rsidRDefault="002A21AE" w:rsidP="00FA7E65">
      <w:pPr>
        <w:pStyle w:val="BodyText"/>
      </w:pPr>
      <w:r>
        <w:t>A user may work in only one division at a time. After login</w:t>
      </w:r>
      <w:r w:rsidR="00647F4E">
        <w:rPr>
          <w:rFonts w:ascii="ZWAdobeF" w:hAnsi="ZWAdobeF" w:cs="ZWAdobeF"/>
          <w:sz w:val="2"/>
          <w:szCs w:val="2"/>
        </w:rPr>
        <w:t>0F</w:t>
      </w:r>
      <w:r w:rsidR="00670304">
        <w:rPr>
          <w:rStyle w:val="FootnoteReference"/>
        </w:rPr>
        <w:footnoteReference w:id="1"/>
      </w:r>
      <w:r>
        <w:t xml:space="preserve">, a user with access privileges in several divisions may change divisions. </w:t>
      </w:r>
      <w:r w:rsidR="00191AFE">
        <w:t xml:space="preserve">For users with access to a single division, an option to change divisions will not be available. </w:t>
      </w:r>
      <w:r w:rsidR="009E1728">
        <w:t>VBECS allows access only to valid divisions associated with the user.</w:t>
      </w:r>
    </w:p>
    <w:p w14:paraId="6FDF1A12" w14:textId="77777777" w:rsidR="002A21AE" w:rsidRDefault="002A21AE">
      <w:pPr>
        <w:pStyle w:val="Heading4"/>
      </w:pPr>
      <w:r>
        <w:t>Assumptions</w:t>
      </w:r>
    </w:p>
    <w:p w14:paraId="5CF80DBD" w14:textId="77777777" w:rsidR="009E1728" w:rsidRDefault="009E1728" w:rsidP="009E1728">
      <w:pPr>
        <w:pStyle w:val="ListBullet"/>
      </w:pPr>
      <w:r w:rsidRPr="009E1728">
        <w:t>There is not an active VistALink c</w:t>
      </w:r>
      <w:r>
        <w:t>onnection in VBECS/Administrator.</w:t>
      </w:r>
    </w:p>
    <w:p w14:paraId="3333E666" w14:textId="77777777" w:rsidR="009E1728" w:rsidRDefault="009E1728" w:rsidP="009E1728">
      <w:pPr>
        <w:pStyle w:val="ListBullet"/>
      </w:pPr>
      <w:r w:rsidRPr="009E1728">
        <w:t xml:space="preserve">VistA is set up, operating normally </w:t>
      </w:r>
      <w:r>
        <w:t>and accessible via the network.</w:t>
      </w:r>
    </w:p>
    <w:p w14:paraId="691AAF9E" w14:textId="77777777" w:rsidR="00A333E5" w:rsidRPr="009E1728" w:rsidRDefault="00A333E5">
      <w:pPr>
        <w:pStyle w:val="ListBullet"/>
      </w:pPr>
      <w:r w:rsidRPr="009E1728">
        <w:t>The user is defined in VistA, has a DUZ, and connectivity to VistA can be established.</w:t>
      </w:r>
    </w:p>
    <w:p w14:paraId="3FD03510" w14:textId="77777777" w:rsidR="0080715E" w:rsidRPr="009E1728" w:rsidRDefault="0080715E">
      <w:pPr>
        <w:pStyle w:val="ListBullet"/>
      </w:pPr>
      <w:r w:rsidRPr="009E1728">
        <w:t>The user must be defined in the VistA new person file and have valid Access and Verify Codes.</w:t>
      </w:r>
    </w:p>
    <w:p w14:paraId="31907989" w14:textId="77777777" w:rsidR="002A21AE" w:rsidRDefault="00272139" w:rsidP="00BF32E5">
      <w:pPr>
        <w:pStyle w:val="ListBullet"/>
      </w:pPr>
      <w:r>
        <w:t xml:space="preserve">The user’s </w:t>
      </w:r>
      <w:r w:rsidR="00BF32E5">
        <w:t>division</w:t>
      </w:r>
      <w:r>
        <w:t xml:space="preserve"> is configure</w:t>
      </w:r>
      <w:r w:rsidR="00373CB1">
        <w:t>d</w:t>
      </w:r>
      <w:r>
        <w:t xml:space="preserve"> in both</w:t>
      </w:r>
      <w:r w:rsidR="002A21AE">
        <w:t xml:space="preserve"> </w:t>
      </w:r>
      <w:r w:rsidR="00CA0045" w:rsidRPr="00CA0045">
        <w:t>VistA</w:t>
      </w:r>
      <w:r>
        <w:t xml:space="preserve"> and VBECS. </w:t>
      </w:r>
      <w:r w:rsidR="00C00476">
        <w:t>(</w:t>
      </w:r>
      <w:r w:rsidR="009E1728">
        <w:t>See Update User Roles</w:t>
      </w:r>
      <w:r w:rsidR="00C00476">
        <w:t>)</w:t>
      </w:r>
    </w:p>
    <w:p w14:paraId="0E9344A1" w14:textId="77777777" w:rsidR="002A21AE" w:rsidRDefault="002A21AE">
      <w:pPr>
        <w:pStyle w:val="Heading4"/>
        <w:rPr>
          <w:i/>
        </w:rPr>
      </w:pPr>
      <w:r>
        <w:t>Outcome</w:t>
      </w:r>
      <w:r>
        <w:rPr>
          <w:i/>
        </w:rPr>
        <w:t xml:space="preserve"> </w:t>
      </w:r>
    </w:p>
    <w:p w14:paraId="42BC8F62" w14:textId="77777777" w:rsidR="002A21AE" w:rsidRDefault="009E1728">
      <w:pPr>
        <w:pStyle w:val="ListBullet"/>
      </w:pPr>
      <w:r>
        <w:t>The</w:t>
      </w:r>
      <w:r w:rsidR="002A21AE">
        <w:t xml:space="preserve"> user is logged into the selected division.</w:t>
      </w:r>
    </w:p>
    <w:p w14:paraId="56D57399" w14:textId="77777777" w:rsidR="0080715E" w:rsidRPr="009E1728" w:rsidRDefault="0080715E">
      <w:pPr>
        <w:pStyle w:val="ListBullet"/>
      </w:pPr>
      <w:r w:rsidRPr="009E1728">
        <w:t>A VistALink connection is established or restored and the user is logged onto VistA.</w:t>
      </w:r>
    </w:p>
    <w:p w14:paraId="55C09BFB" w14:textId="77777777" w:rsidR="005A15F5" w:rsidRPr="009E1728" w:rsidRDefault="005A15F5">
      <w:pPr>
        <w:pStyle w:val="ListBullet"/>
      </w:pPr>
      <w:r w:rsidRPr="009E1728">
        <w:t>VBECS is available for use wheth</w:t>
      </w:r>
      <w:r w:rsidR="00121EB7" w:rsidRPr="009E1728">
        <w:t>er or not VistALink is connected</w:t>
      </w:r>
      <w:r w:rsidR="00F3226E" w:rsidRPr="009E1728">
        <w:t>, depending on the option</w:t>
      </w:r>
      <w:r w:rsidRPr="009E1728">
        <w:t>.</w:t>
      </w:r>
    </w:p>
    <w:p w14:paraId="592CDF7F" w14:textId="77777777" w:rsidR="002A21AE" w:rsidRDefault="002A21AE">
      <w:pPr>
        <w:pStyle w:val="Heading4"/>
      </w:pPr>
      <w:r>
        <w:t>Limitations and Restrictions</w:t>
      </w:r>
    </w:p>
    <w:p w14:paraId="2986F9E2" w14:textId="77777777" w:rsidR="002A21AE" w:rsidRDefault="00E27D9F">
      <w:pPr>
        <w:pStyle w:val="ListBullet"/>
      </w:pPr>
      <w:r>
        <w:rPr>
          <w:vanish/>
          <w:spacing w:val="0"/>
        </w:rPr>
        <w:t>BR_18.05</w:t>
      </w:r>
      <w:r w:rsidR="009B4BF9">
        <w:rPr>
          <w:vanish/>
          <w:spacing w:val="0"/>
        </w:rPr>
        <w:t xml:space="preserve"> </w:t>
      </w:r>
      <w:r w:rsidR="002A21AE">
        <w:t>VBECS automatically logs a</w:t>
      </w:r>
      <w:r w:rsidR="002A21AE" w:rsidRPr="00BF7321">
        <w:rPr>
          <w:spacing w:val="0"/>
        </w:rPr>
        <w:t xml:space="preserve"> </w:t>
      </w:r>
      <w:r w:rsidR="002A21AE">
        <w:t>user with access to only o</w:t>
      </w:r>
      <w:r w:rsidR="00D2565B">
        <w:t>ne division into that division.</w:t>
      </w:r>
    </w:p>
    <w:p w14:paraId="3A2D1869" w14:textId="77777777" w:rsidR="00FB121F" w:rsidRDefault="00FB121F" w:rsidP="00FB121F">
      <w:pPr>
        <w:pStyle w:val="ListBullet"/>
      </w:pPr>
      <w:r w:rsidRPr="009E1728">
        <w:t>Connectivity by IAM services access approval (PIV Card) is not possible when IAM services are not available.</w:t>
      </w:r>
    </w:p>
    <w:p w14:paraId="6F0E4EA8" w14:textId="77777777" w:rsidR="00101C69" w:rsidRPr="009E1728" w:rsidRDefault="00101C69" w:rsidP="00101C69">
      <w:pPr>
        <w:pStyle w:val="ListBullet"/>
      </w:pPr>
      <w:r w:rsidRPr="009E1728">
        <w:t xml:space="preserve">Connectivity by IAM services access approval (PIV Card) is not </w:t>
      </w:r>
      <w:r>
        <w:t>required</w:t>
      </w:r>
      <w:r w:rsidRPr="009E1728">
        <w:t xml:space="preserve"> when </w:t>
      </w:r>
      <w:r w:rsidR="00C85A03">
        <w:t>a site has a PIV ex</w:t>
      </w:r>
      <w:r>
        <w:t>emption or when IAM services are not available.</w:t>
      </w:r>
    </w:p>
    <w:p w14:paraId="12EC6D0F" w14:textId="77777777" w:rsidR="00FB121F" w:rsidRDefault="00FB121F" w:rsidP="00FB121F">
      <w:pPr>
        <w:pStyle w:val="ListBullet"/>
      </w:pPr>
      <w:r>
        <w:rPr>
          <w:spacing w:val="0"/>
        </w:rPr>
        <w:t>An Access and Verify code is required to connect to VistA when the IAM services are not available.</w:t>
      </w:r>
    </w:p>
    <w:p w14:paraId="13208CD4" w14:textId="77777777" w:rsidR="007A2FC3" w:rsidRDefault="009E1728">
      <w:pPr>
        <w:pStyle w:val="ListBullet"/>
      </w:pPr>
      <w:r w:rsidRPr="009E1728">
        <w:rPr>
          <w:vanish/>
        </w:rPr>
        <w:t xml:space="preserve">BR_102.12 </w:t>
      </w:r>
      <w:r w:rsidR="007A2FC3" w:rsidRPr="009E1728">
        <w:t>Connectivity is not possible when VistA is not available.</w:t>
      </w:r>
    </w:p>
    <w:p w14:paraId="62C75337" w14:textId="77777777" w:rsidR="006F1029" w:rsidRPr="006F1029" w:rsidRDefault="00BF32E5" w:rsidP="006F1029">
      <w:pPr>
        <w:pStyle w:val="ListBullet"/>
      </w:pPr>
      <w:r>
        <w:t>The user may log into multiple terminals s</w:t>
      </w:r>
      <w:r w:rsidR="00CA1BD2">
        <w:t>imulta</w:t>
      </w:r>
      <w:r>
        <w:t>n</w:t>
      </w:r>
      <w:r w:rsidR="00CA1BD2">
        <w:t>e</w:t>
      </w:r>
      <w:r>
        <w:t>ously, but accessing VBECS in multiple sessions is no longer possible due to the way the PIV card works.</w:t>
      </w:r>
    </w:p>
    <w:p w14:paraId="13D059A6" w14:textId="30DBD241" w:rsidR="006F1029" w:rsidRDefault="006F1029" w:rsidP="00CD4DBB">
      <w:pPr>
        <w:pStyle w:val="ListBullet"/>
        <w:rPr>
          <w:szCs w:val="20"/>
        </w:rPr>
      </w:pPr>
      <w:r>
        <w:rPr>
          <w:szCs w:val="24"/>
        </w:rPr>
        <w:t xml:space="preserve">The </w:t>
      </w:r>
      <w:r w:rsidRPr="00CD4DBB">
        <w:rPr>
          <w:szCs w:val="24"/>
        </w:rPr>
        <w:t xml:space="preserve">Windows Security screen </w:t>
      </w:r>
      <w:r>
        <w:t>may be hidden when a user attempts to restore a VistALink connection</w:t>
      </w:r>
      <w:r w:rsidRPr="00CD4DBB">
        <w:rPr>
          <w:szCs w:val="24"/>
        </w:rPr>
        <w:t>. For the Windows Security screen</w:t>
      </w:r>
      <w:r>
        <w:t xml:space="preserve"> to appear, the user must </w:t>
      </w:r>
      <w:r w:rsidR="00525D98">
        <w:t xml:space="preserve">drag </w:t>
      </w:r>
      <w:r w:rsidR="00525D98" w:rsidRPr="00CD4DBB">
        <w:rPr>
          <w:szCs w:val="24"/>
        </w:rPr>
        <w:t>it</w:t>
      </w:r>
      <w:r w:rsidRPr="00CD4DBB">
        <w:rPr>
          <w:szCs w:val="24"/>
        </w:rPr>
        <w:t xml:space="preserve"> from behind another </w:t>
      </w:r>
      <w:r>
        <w:t>window</w:t>
      </w:r>
      <w:r w:rsidRPr="00CD4DBB">
        <w:rPr>
          <w:szCs w:val="24"/>
        </w:rPr>
        <w:t xml:space="preserve"> in order to select a certificate and log in</w:t>
      </w:r>
      <w:r>
        <w:rPr>
          <w:szCs w:val="24"/>
        </w:rPr>
        <w:t xml:space="preserve">. </w:t>
      </w:r>
      <w:r w:rsidRPr="006F1029">
        <w:rPr>
          <w:vanish/>
          <w:szCs w:val="24"/>
        </w:rPr>
        <w:t>Defect 501388</w:t>
      </w:r>
    </w:p>
    <w:p w14:paraId="3B0BE1AA" w14:textId="77777777" w:rsidR="002A21AE" w:rsidRDefault="002A21AE">
      <w:pPr>
        <w:pStyle w:val="Heading4"/>
      </w:pPr>
      <w:r>
        <w:t>Additional Information</w:t>
      </w:r>
    </w:p>
    <w:p w14:paraId="51DCFE9D" w14:textId="77777777" w:rsidR="00530298" w:rsidRDefault="00530298" w:rsidP="00530298">
      <w:pPr>
        <w:pStyle w:val="ListBullet"/>
        <w:rPr>
          <w:szCs w:val="20"/>
        </w:rPr>
      </w:pPr>
      <w:r>
        <w:rPr>
          <w:szCs w:val="20"/>
        </w:rPr>
        <w:t>The initial entry into VBECS will require a VistA Access and Verify Code in order to initiate the IAM PIV sign on process. This is only required for the first use of the system for each user.</w:t>
      </w:r>
    </w:p>
    <w:p w14:paraId="2620AE4B" w14:textId="77777777" w:rsidR="002115C7" w:rsidRDefault="00723A11" w:rsidP="004B6116">
      <w:pPr>
        <w:pStyle w:val="ListBullet"/>
        <w:rPr>
          <w:szCs w:val="20"/>
        </w:rPr>
      </w:pPr>
      <w:r w:rsidRPr="002115C7">
        <w:rPr>
          <w:szCs w:val="20"/>
        </w:rPr>
        <w:t xml:space="preserve">Users will see </w:t>
      </w:r>
      <w:r w:rsidR="005364D9" w:rsidRPr="002115C7">
        <w:rPr>
          <w:szCs w:val="20"/>
        </w:rPr>
        <w:t>several</w:t>
      </w:r>
      <w:r w:rsidRPr="002115C7">
        <w:rPr>
          <w:szCs w:val="20"/>
        </w:rPr>
        <w:t xml:space="preserve"> certificates listed during the sign on process. User should select the last certificate with their name from the list of certificates.</w:t>
      </w:r>
      <w:r w:rsidRPr="002115C7">
        <w:rPr>
          <w:vanish/>
          <w:szCs w:val="20"/>
        </w:rPr>
        <w:t xml:space="preserve"> </w:t>
      </w:r>
      <w:r w:rsidR="004874F2" w:rsidRPr="002115C7">
        <w:rPr>
          <w:vanish/>
          <w:szCs w:val="20"/>
        </w:rPr>
        <w:t>Defect</w:t>
      </w:r>
      <w:r w:rsidRPr="002115C7">
        <w:rPr>
          <w:vanish/>
          <w:szCs w:val="20"/>
        </w:rPr>
        <w:t xml:space="preserve"> 481387</w:t>
      </w:r>
    </w:p>
    <w:p w14:paraId="4ECB443E" w14:textId="77777777" w:rsidR="009B4BF9" w:rsidRPr="002115C7" w:rsidRDefault="009B4BF9" w:rsidP="004B6116">
      <w:pPr>
        <w:pStyle w:val="ListBullet"/>
        <w:rPr>
          <w:szCs w:val="20"/>
        </w:rPr>
      </w:pPr>
      <w:r w:rsidRPr="002115C7">
        <w:rPr>
          <w:vanish/>
          <w:szCs w:val="20"/>
        </w:rPr>
        <w:lastRenderedPageBreak/>
        <w:t xml:space="preserve">BR_102.03 </w:t>
      </w:r>
      <w:r w:rsidRPr="002115C7">
        <w:rPr>
          <w:szCs w:val="20"/>
        </w:rPr>
        <w:t>VBECS provides an interface (VistALink) with VistA to allow the user to log onto VistA (not required for most options; see the list of options that use VistALink in Hardware and Infrastructure Architecture).</w:t>
      </w:r>
    </w:p>
    <w:p w14:paraId="6705E5EC" w14:textId="77777777" w:rsidR="00530298" w:rsidRDefault="001F56CA" w:rsidP="004B6116">
      <w:pPr>
        <w:pStyle w:val="ListBullet"/>
        <w:rPr>
          <w:szCs w:val="20"/>
        </w:rPr>
      </w:pPr>
      <w:r w:rsidRPr="001F56CA">
        <w:rPr>
          <w:vanish/>
          <w:szCs w:val="20"/>
        </w:rPr>
        <w:t xml:space="preserve">BR_102.13 </w:t>
      </w:r>
      <w:r w:rsidR="00530298">
        <w:rPr>
          <w:szCs w:val="20"/>
        </w:rPr>
        <w:t>The system attempts to reuse the security credentials initially entered in the user’s session to perform VistA logoff and logon without user interaction.</w:t>
      </w:r>
    </w:p>
    <w:p w14:paraId="6852820C" w14:textId="77777777" w:rsidR="00530298" w:rsidRPr="00530298" w:rsidRDefault="00530298" w:rsidP="00530298">
      <w:pPr>
        <w:pStyle w:val="ListBullet"/>
      </w:pPr>
      <w:r w:rsidRPr="00530298">
        <w:t>The VistA security credentials may be saved for the user’s session and may not</w:t>
      </w:r>
      <w:r>
        <w:t xml:space="preserve"> be stored for future sessions.</w:t>
      </w:r>
    </w:p>
    <w:p w14:paraId="4053F51B" w14:textId="77777777" w:rsidR="002A21AE" w:rsidRPr="00F462A4" w:rsidRDefault="001F56CA" w:rsidP="00F462A4">
      <w:pPr>
        <w:pStyle w:val="ListBullet"/>
        <w:rPr>
          <w:szCs w:val="20"/>
        </w:rPr>
      </w:pPr>
      <w:r w:rsidRPr="001F56CA">
        <w:rPr>
          <w:vanish/>
        </w:rPr>
        <w:t xml:space="preserve">BR_102.03 </w:t>
      </w:r>
      <w:r w:rsidR="00F462A4">
        <w:t xml:space="preserve">If the user is required to enter a VistA Access and Verify Code, VBECS checks the characters in the Access and Verify Codes and warns when there are fewer than six characters or when a semicolon (;), colon (:), or caret (^) is entered. VBECS sends the entered Access and Verify Codes to </w:t>
      </w:r>
      <w:r w:rsidR="00F462A4" w:rsidRPr="00CA0045">
        <w:t>VistA</w:t>
      </w:r>
      <w:r w:rsidR="00F462A4">
        <w:t xml:space="preserve">. </w:t>
      </w:r>
      <w:r w:rsidR="00F462A4" w:rsidRPr="00CA0045">
        <w:t>VistA</w:t>
      </w:r>
      <w:r w:rsidR="00F462A4">
        <w:t xml:space="preserve"> checks the codes and responds to VBECS with a message stating whether the entered Access and Verify Codes are invalid or valid for the user attempting to log on. VBECS warns when </w:t>
      </w:r>
      <w:r w:rsidR="00F462A4" w:rsidRPr="00CA0045">
        <w:t>VistA</w:t>
      </w:r>
      <w:r w:rsidR="00F462A4">
        <w:t xml:space="preserve"> does not accept the Access and Verify Codes entered.</w:t>
      </w:r>
      <w:r w:rsidR="002A21AE" w:rsidRPr="00F462A4">
        <w:rPr>
          <w:szCs w:val="20"/>
        </w:rPr>
        <w:t> </w:t>
      </w:r>
    </w:p>
    <w:p w14:paraId="6FEED21D" w14:textId="77777777" w:rsidR="002A21AE" w:rsidRDefault="002A21AE">
      <w:pPr>
        <w:pStyle w:val="ListBullet"/>
      </w:pPr>
      <w:r>
        <w:rPr>
          <w:vanish/>
          <w:spacing w:val="0"/>
        </w:rPr>
        <w:t xml:space="preserve">BR_102.05 </w:t>
      </w:r>
      <w:r>
        <w:t xml:space="preserve">After </w:t>
      </w:r>
      <w:r w:rsidR="001A1C71">
        <w:t>a number of</w:t>
      </w:r>
      <w:r w:rsidR="00EB6924">
        <w:t xml:space="preserve"> </w:t>
      </w:r>
      <w:r w:rsidR="001A1C71">
        <w:t xml:space="preserve">unsuccessful attempts </w:t>
      </w:r>
      <w:r>
        <w:t xml:space="preserve">to log onto </w:t>
      </w:r>
      <w:r w:rsidR="00CA0045" w:rsidRPr="00CA0045">
        <w:t>VistA</w:t>
      </w:r>
      <w:r w:rsidR="001A1C71" w:rsidRPr="001A1C71">
        <w:t xml:space="preserve"> </w:t>
      </w:r>
      <w:r w:rsidR="001A1C71">
        <w:t>(defined in VistA server settings)</w:t>
      </w:r>
      <w:r>
        <w:t xml:space="preserve">, the </w:t>
      </w:r>
      <w:r w:rsidR="00CA0045" w:rsidRPr="00CA0045">
        <w:t>VistA</w:t>
      </w:r>
      <w:r>
        <w:t xml:space="preserve"> server terminates the logon session and displays a message prompting the user to log onto </w:t>
      </w:r>
      <w:r w:rsidR="00CA0045" w:rsidRPr="00CA0045">
        <w:t>VistA</w:t>
      </w:r>
      <w:r>
        <w:t xml:space="preserve"> again. </w:t>
      </w:r>
    </w:p>
    <w:p w14:paraId="37FFA36A" w14:textId="77777777" w:rsidR="00F462A4" w:rsidRDefault="00F462A4" w:rsidP="00F462A4">
      <w:pPr>
        <w:pStyle w:val="ListBullet"/>
      </w:pPr>
      <w:r>
        <w:t>After 15 minutes of inactivity, VBECS disconnects the user from the server. When the user logs back in, he will see the last screen he worked on. After 30 minutes of inactivity, work done after the last save will be lost. The user must log in and start over.</w:t>
      </w:r>
    </w:p>
    <w:p w14:paraId="652CDD2B" w14:textId="77777777" w:rsidR="003F4C26" w:rsidRDefault="003F4C26" w:rsidP="003F4C26">
      <w:pPr>
        <w:pStyle w:val="ListBullet"/>
      </w:pPr>
      <w:r>
        <w:t xml:space="preserve">Removing PIV card is similar to locking your computer in that it does not close active </w:t>
      </w:r>
      <w:r w:rsidR="00980C38">
        <w:t>programs. The</w:t>
      </w:r>
      <w:r>
        <w:t xml:space="preserve"> VBECS </w:t>
      </w:r>
      <w:r w:rsidR="00980C38">
        <w:t xml:space="preserve">session will </w:t>
      </w:r>
      <w:r>
        <w:t>remain</w:t>
      </w:r>
      <w:r w:rsidR="00980C38">
        <w:t xml:space="preserve"> active</w:t>
      </w:r>
      <w:r>
        <w:t xml:space="preserve"> </w:t>
      </w:r>
      <w:r w:rsidR="003A3484">
        <w:t xml:space="preserve">but disconnected </w:t>
      </w:r>
      <w:r>
        <w:t xml:space="preserve">as </w:t>
      </w:r>
      <w:r w:rsidR="00980C38">
        <w:t xml:space="preserve">long as you log back in within </w:t>
      </w:r>
      <w:r w:rsidR="008C75A6">
        <w:t>15</w:t>
      </w:r>
      <w:r>
        <w:t xml:space="preserve"> minutes.</w:t>
      </w:r>
    </w:p>
    <w:p w14:paraId="052D954A" w14:textId="46136AB3" w:rsidR="00F462A4" w:rsidRPr="006D284D" w:rsidRDefault="00F462A4" w:rsidP="00F462A4">
      <w:pPr>
        <w:pStyle w:val="ListBullet"/>
        <w:rPr>
          <w:szCs w:val="20"/>
        </w:rPr>
      </w:pPr>
      <w:r>
        <w:t>The</w:t>
      </w:r>
      <w:r w:rsidRPr="008F72F4">
        <w:t xml:space="preserve"> user may log into multiple terminals simultaneously</w:t>
      </w:r>
      <w:r w:rsidR="00980C38">
        <w:t>, but accessing VBECS in multiple sessions is no longer possible due to the way the PIV card works</w:t>
      </w:r>
      <w:r w:rsidR="00647F4E">
        <w:rPr>
          <w:rFonts w:ascii="ZWAdobeF" w:hAnsi="ZWAdobeF" w:cs="ZWAdobeF"/>
          <w:spacing w:val="0"/>
          <w:sz w:val="2"/>
          <w:szCs w:val="2"/>
        </w:rPr>
        <w:t>1F</w:t>
      </w:r>
      <w:r>
        <w:rPr>
          <w:rStyle w:val="FootnoteReference"/>
        </w:rPr>
        <w:footnoteReference w:id="2"/>
      </w:r>
      <w:r w:rsidRPr="008F72F4">
        <w:t>.</w:t>
      </w:r>
      <w:r>
        <w:t xml:space="preserve"> </w:t>
      </w:r>
    </w:p>
    <w:p w14:paraId="40C4E31E" w14:textId="2C117FEC" w:rsidR="00F462A4" w:rsidRDefault="00F462A4" w:rsidP="00F462A4">
      <w:pPr>
        <w:pStyle w:val="ListBullet"/>
      </w:pPr>
      <w:r>
        <w:t>A user with multidivisional access privileges may change divisions during a VBECS session.</w:t>
      </w:r>
    </w:p>
    <w:p w14:paraId="36653E40" w14:textId="7D5D78F2" w:rsidR="004B7F19" w:rsidRDefault="004B7F19" w:rsidP="00211DCA">
      <w:pPr>
        <w:pStyle w:val="ListBullet"/>
      </w:pPr>
      <w:r>
        <w:t xml:space="preserve">Infrequently, </w:t>
      </w:r>
      <w:r w:rsidR="00211DCA">
        <w:t>when a user c</w:t>
      </w:r>
      <w:r w:rsidR="00211DCA" w:rsidRPr="00211DCA">
        <w:t>ancel</w:t>
      </w:r>
      <w:r w:rsidR="00211DCA">
        <w:t>s</w:t>
      </w:r>
      <w:r w:rsidR="00211DCA" w:rsidRPr="00211DCA">
        <w:t xml:space="preserve"> the Vis</w:t>
      </w:r>
      <w:r w:rsidR="00211DCA">
        <w:t>tA Logon - Authorization window after logging into VistA and selecting a division, t</w:t>
      </w:r>
      <w:r w:rsidR="00211DCA" w:rsidRPr="00211DCA">
        <w:t>he window closes a</w:t>
      </w:r>
      <w:r w:rsidR="00211DCA">
        <w:t>nd then automatically re-opens, requi</w:t>
      </w:r>
      <w:r w:rsidR="00875F0A">
        <w:t>ring the user to cancel again. In this case, t</w:t>
      </w:r>
      <w:r w:rsidR="00211DCA">
        <w:t>he user must c</w:t>
      </w:r>
      <w:r w:rsidR="00211DCA" w:rsidRPr="00211DCA">
        <w:t>ancel the VistA Logon - Authorization window four times before the window ceases to automatically re-open.</w:t>
      </w:r>
      <w:r w:rsidR="00AB4BD9">
        <w:t xml:space="preserve"> </w:t>
      </w:r>
      <w:r w:rsidR="00AB4BD9" w:rsidRPr="00AB4BD9">
        <w:rPr>
          <w:vanish/>
        </w:rPr>
        <w:t>Defect 208769</w:t>
      </w:r>
    </w:p>
    <w:p w14:paraId="5C49C851" w14:textId="77777777" w:rsidR="002C7ECA" w:rsidRDefault="001F56CA" w:rsidP="00F462A4">
      <w:pPr>
        <w:pStyle w:val="ListBullet"/>
      </w:pPr>
      <w:r w:rsidRPr="001F56CA">
        <w:rPr>
          <w:vanish/>
        </w:rPr>
        <w:t xml:space="preserve">BR_102.09 </w:t>
      </w:r>
      <w:r>
        <w:t>VBECS will attempt to resend queued DSS information when VistALink is available after any user logs in.</w:t>
      </w:r>
    </w:p>
    <w:p w14:paraId="1596C423" w14:textId="77777777" w:rsidR="002A21AE" w:rsidRDefault="002A21AE">
      <w:pPr>
        <w:pStyle w:val="Heading4"/>
        <w:rPr>
          <w:b w:val="0"/>
        </w:rPr>
      </w:pPr>
      <w:r>
        <w:t>User Roles with Access to This Option</w:t>
      </w:r>
      <w:r>
        <w:rPr>
          <w:b w:val="0"/>
        </w:rPr>
        <w:t xml:space="preserve"> </w:t>
      </w:r>
    </w:p>
    <w:p w14:paraId="53EF3E18" w14:textId="77777777" w:rsidR="002A21AE" w:rsidRDefault="00237C52">
      <w:pPr>
        <w:pStyle w:val="Roles"/>
      </w:pPr>
      <w:r>
        <w:t>All users</w:t>
      </w:r>
    </w:p>
    <w:p w14:paraId="1C2DEE38" w14:textId="77777777" w:rsidR="002A21AE" w:rsidRDefault="005A630C">
      <w:pPr>
        <w:pStyle w:val="Heading4"/>
      </w:pPr>
      <w:r>
        <w:t>Log i</w:t>
      </w:r>
      <w:r w:rsidR="002A21AE">
        <w:t>nto VBECS</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6138"/>
      </w:tblGrid>
      <w:tr w:rsidR="002A21AE" w14:paraId="17FC926A" w14:textId="77777777">
        <w:trPr>
          <w:tblHeader/>
        </w:trPr>
        <w:tc>
          <w:tcPr>
            <w:tcW w:w="3330" w:type="dxa"/>
            <w:shd w:val="pct30" w:color="auto" w:fill="FFFFFF"/>
            <w:vAlign w:val="bottom"/>
          </w:tcPr>
          <w:p w14:paraId="2918A978" w14:textId="77777777" w:rsidR="002A21AE" w:rsidRDefault="002A21AE">
            <w:pPr>
              <w:pStyle w:val="TableText"/>
              <w:rPr>
                <w:b/>
              </w:rPr>
            </w:pPr>
            <w:r>
              <w:rPr>
                <w:b/>
              </w:rPr>
              <w:t>User Action</w:t>
            </w:r>
          </w:p>
        </w:tc>
        <w:tc>
          <w:tcPr>
            <w:tcW w:w="6138" w:type="dxa"/>
            <w:shd w:val="pct30" w:color="auto" w:fill="FFFFFF"/>
            <w:vAlign w:val="bottom"/>
          </w:tcPr>
          <w:p w14:paraId="322A333E" w14:textId="77777777" w:rsidR="002A21AE" w:rsidRDefault="002A21AE">
            <w:pPr>
              <w:pStyle w:val="TableText"/>
              <w:rPr>
                <w:b/>
              </w:rPr>
            </w:pPr>
            <w:r>
              <w:rPr>
                <w:b/>
              </w:rPr>
              <w:t>VBECS</w:t>
            </w:r>
          </w:p>
        </w:tc>
      </w:tr>
      <w:tr w:rsidR="002A21AE" w14:paraId="11767AD3" w14:textId="77777777">
        <w:trPr>
          <w:trHeight w:val="782"/>
        </w:trPr>
        <w:tc>
          <w:tcPr>
            <w:tcW w:w="3330" w:type="dxa"/>
          </w:tcPr>
          <w:p w14:paraId="4F89AB86" w14:textId="77777777" w:rsidR="00ED7401" w:rsidRDefault="002A21AE" w:rsidP="006B6C5C">
            <w:pPr>
              <w:pStyle w:val="TableTextNumbers"/>
            </w:pPr>
            <w:r>
              <w:t xml:space="preserve">To log into VBECS, </w:t>
            </w:r>
            <w:r w:rsidR="003814BF">
              <w:t>double-</w:t>
            </w:r>
            <w:r w:rsidR="00C81E8B">
              <w:t>click</w:t>
            </w:r>
            <w:r w:rsidR="00EB6924">
              <w:t xml:space="preserve"> </w:t>
            </w:r>
            <w:r w:rsidR="00C81E8B">
              <w:t>the</w:t>
            </w:r>
            <w:r>
              <w:t xml:space="preserve"> </w:t>
            </w:r>
            <w:r w:rsidRPr="00C81E8B">
              <w:rPr>
                <w:b/>
              </w:rPr>
              <w:t>Remote Desktop Connectio</w:t>
            </w:r>
            <w:r w:rsidR="00C81E8B" w:rsidRPr="00C81E8B">
              <w:rPr>
                <w:b/>
              </w:rPr>
              <w:t>n</w:t>
            </w:r>
            <w:r w:rsidR="00C81E8B">
              <w:t xml:space="preserve"> </w:t>
            </w:r>
            <w:r>
              <w:rPr>
                <w:b/>
              </w:rPr>
              <w:t>icon</w:t>
            </w:r>
            <w:r w:rsidR="006C04EE">
              <w:rPr>
                <w:b/>
              </w:rPr>
              <w:t xml:space="preserve"> </w:t>
            </w:r>
            <w:r w:rsidR="00182C38">
              <w:t>on the Windows desktop</w:t>
            </w:r>
            <w:r>
              <w:t>.</w:t>
            </w:r>
            <w:r w:rsidR="00775C2B">
              <w:t xml:space="preserve"> </w:t>
            </w:r>
          </w:p>
          <w:p w14:paraId="6F86044D" w14:textId="77777777" w:rsidR="00775C2B" w:rsidRDefault="00775C2B" w:rsidP="00182C38">
            <w:pPr>
              <w:pStyle w:val="TableTextNumbersContinued"/>
            </w:pPr>
          </w:p>
        </w:tc>
        <w:tc>
          <w:tcPr>
            <w:tcW w:w="6138" w:type="dxa"/>
          </w:tcPr>
          <w:p w14:paraId="035FE8E6" w14:textId="77777777" w:rsidR="00ED7401" w:rsidRDefault="006B6C5C" w:rsidP="006B6C5C">
            <w:pPr>
              <w:pStyle w:val="TableTextBullet"/>
            </w:pPr>
            <w:r>
              <w:t>Displays the Remote Desktop Connection screen.</w:t>
            </w:r>
          </w:p>
        </w:tc>
      </w:tr>
      <w:tr w:rsidR="00182C38" w14:paraId="3DF44FD8" w14:textId="77777777">
        <w:tc>
          <w:tcPr>
            <w:tcW w:w="3330" w:type="dxa"/>
          </w:tcPr>
          <w:p w14:paraId="0952BE22" w14:textId="4B60B681" w:rsidR="00182C38" w:rsidRDefault="00182C38">
            <w:pPr>
              <w:pStyle w:val="TableTextNumbers"/>
            </w:pPr>
            <w:r>
              <w:t xml:space="preserve">Enter or select the name of the VBECS server on the </w:t>
            </w:r>
            <w:r w:rsidRPr="00C81E8B">
              <w:rPr>
                <w:b/>
              </w:rPr>
              <w:t>Remote Desktop Connection</w:t>
            </w:r>
            <w:r>
              <w:rPr>
                <w:b/>
              </w:rPr>
              <w:t xml:space="preserve"> </w:t>
            </w:r>
            <w:r w:rsidR="00675961" w:rsidRPr="006C04EE">
              <w:t>(</w:t>
            </w:r>
            <w:r w:rsidR="00675961">
              <w:fldChar w:fldCharType="begin" w:fldLock="1"/>
            </w:r>
            <w:r w:rsidR="00675961">
              <w:instrText xml:space="preserve"> REF _Ref136339357 \h </w:instrText>
            </w:r>
            <w:r w:rsidR="006B6C5C">
              <w:instrText xml:space="preserve"> \* MERGEFORMAT </w:instrText>
            </w:r>
            <w:r w:rsidR="00675961">
              <w:fldChar w:fldCharType="separate"/>
            </w:r>
            <w:r w:rsidR="00AB304C">
              <w:t xml:space="preserve">Figure </w:t>
            </w:r>
            <w:r w:rsidR="00AB304C">
              <w:rPr>
                <w:noProof/>
              </w:rPr>
              <w:t>27</w:t>
            </w:r>
            <w:r w:rsidR="00675961">
              <w:fldChar w:fldCharType="end"/>
            </w:r>
            <w:r w:rsidR="00675961" w:rsidRPr="006C04EE">
              <w:t>)</w:t>
            </w:r>
            <w:r w:rsidR="00675961">
              <w:t xml:space="preserve"> screen</w:t>
            </w:r>
            <w:r>
              <w:t xml:space="preserve"> and click </w:t>
            </w:r>
            <w:r>
              <w:rPr>
                <w:b/>
              </w:rPr>
              <w:t>Connect</w:t>
            </w:r>
            <w:r>
              <w:t>.</w:t>
            </w:r>
          </w:p>
        </w:tc>
        <w:tc>
          <w:tcPr>
            <w:tcW w:w="6138" w:type="dxa"/>
          </w:tcPr>
          <w:p w14:paraId="4654CAC9" w14:textId="77777777" w:rsidR="00182C38" w:rsidRDefault="00675961">
            <w:pPr>
              <w:pStyle w:val="TableTextBullet"/>
            </w:pPr>
            <w:r>
              <w:t>Displays Security Warning screen.</w:t>
            </w:r>
          </w:p>
        </w:tc>
      </w:tr>
      <w:tr w:rsidR="00675961" w14:paraId="4170D417" w14:textId="77777777">
        <w:tc>
          <w:tcPr>
            <w:tcW w:w="3330" w:type="dxa"/>
          </w:tcPr>
          <w:p w14:paraId="60A7EE9A" w14:textId="77777777" w:rsidR="00675961" w:rsidRDefault="00675961">
            <w:pPr>
              <w:pStyle w:val="TableTextNumbers"/>
            </w:pPr>
            <w:r>
              <w:t xml:space="preserve">Click </w:t>
            </w:r>
            <w:r>
              <w:rPr>
                <w:b/>
              </w:rPr>
              <w:t>OK</w:t>
            </w:r>
            <w:r>
              <w:t xml:space="preserve"> on the Security Warning screen.</w:t>
            </w:r>
          </w:p>
        </w:tc>
        <w:tc>
          <w:tcPr>
            <w:tcW w:w="6138" w:type="dxa"/>
          </w:tcPr>
          <w:p w14:paraId="257981AF" w14:textId="77777777" w:rsidR="00675961" w:rsidRDefault="00675961">
            <w:pPr>
              <w:pStyle w:val="TableTextBullet"/>
            </w:pPr>
            <w:r>
              <w:t>Displays Log On to Windows screen.</w:t>
            </w:r>
          </w:p>
        </w:tc>
      </w:tr>
      <w:tr w:rsidR="00675961" w14:paraId="6C3F472A" w14:textId="77777777">
        <w:tc>
          <w:tcPr>
            <w:tcW w:w="3330" w:type="dxa"/>
          </w:tcPr>
          <w:p w14:paraId="20855511" w14:textId="06EF81E4" w:rsidR="00675961" w:rsidRDefault="00F40ED2" w:rsidP="00F617D1">
            <w:pPr>
              <w:pStyle w:val="TableTextNumbers"/>
            </w:pPr>
            <w:r>
              <w:t>If site is not PIV exempt, u</w:t>
            </w:r>
            <w:r w:rsidR="00F617D1">
              <w:t>se PIV and PIN to enter the R</w:t>
            </w:r>
            <w:r w:rsidR="002F5BFE">
              <w:t xml:space="preserve">emote </w:t>
            </w:r>
            <w:r w:rsidR="002F5BFE">
              <w:lastRenderedPageBreak/>
              <w:t>Desktop Session (</w:t>
            </w:r>
            <w:r w:rsidR="002F5BFE">
              <w:fldChar w:fldCharType="begin" w:fldLock="1"/>
            </w:r>
            <w:r w:rsidR="002F5BFE">
              <w:instrText xml:space="preserve"> REF _Ref136339358 \h </w:instrText>
            </w:r>
            <w:r w:rsidR="002F5BFE">
              <w:fldChar w:fldCharType="separate"/>
            </w:r>
            <w:r w:rsidR="00AB304C">
              <w:t xml:space="preserve">Figure </w:t>
            </w:r>
            <w:r w:rsidR="00AB304C">
              <w:rPr>
                <w:noProof/>
              </w:rPr>
              <w:t>28</w:t>
            </w:r>
            <w:r w:rsidR="002F5BFE">
              <w:fldChar w:fldCharType="end"/>
            </w:r>
            <w:r w:rsidR="002F5BFE">
              <w:t xml:space="preserve"> and </w:t>
            </w:r>
            <w:r w:rsidR="002F5BFE">
              <w:fldChar w:fldCharType="begin" w:fldLock="1"/>
            </w:r>
            <w:r w:rsidR="002F5BFE">
              <w:instrText xml:space="preserve"> REF _Ref470094328 \h </w:instrText>
            </w:r>
            <w:r w:rsidR="002F5BFE">
              <w:fldChar w:fldCharType="separate"/>
            </w:r>
            <w:r w:rsidR="00AB304C">
              <w:t xml:space="preserve">Figure </w:t>
            </w:r>
            <w:r w:rsidR="00AB304C">
              <w:rPr>
                <w:noProof/>
              </w:rPr>
              <w:t>29</w:t>
            </w:r>
            <w:r w:rsidR="002F5BFE">
              <w:fldChar w:fldCharType="end"/>
            </w:r>
            <w:r w:rsidR="00F617D1">
              <w:t>)</w:t>
            </w:r>
            <w:r w:rsidR="00372AA3">
              <w:t>.</w:t>
            </w:r>
            <w:r w:rsidRPr="00812458">
              <w:rPr>
                <w:vanish/>
              </w:rPr>
              <w:t xml:space="preserve"> Task 561381</w:t>
            </w:r>
          </w:p>
        </w:tc>
        <w:tc>
          <w:tcPr>
            <w:tcW w:w="6138" w:type="dxa"/>
          </w:tcPr>
          <w:p w14:paraId="361D376E" w14:textId="77777777" w:rsidR="005B1DF4" w:rsidRDefault="006B6C5C" w:rsidP="002A5604">
            <w:pPr>
              <w:pStyle w:val="TableTextBullet"/>
            </w:pPr>
            <w:r>
              <w:lastRenderedPageBreak/>
              <w:t>Displays VBE</w:t>
            </w:r>
            <w:r w:rsidR="00F617D1">
              <w:t>CS server desktop with VBECS Prod, VBECS Test, VBECS Admin Prod</w:t>
            </w:r>
            <w:r>
              <w:t xml:space="preserve"> a</w:t>
            </w:r>
            <w:r w:rsidR="00F617D1">
              <w:t xml:space="preserve">nd VBECS Admin Test </w:t>
            </w:r>
            <w:r>
              <w:t>icons.</w:t>
            </w:r>
          </w:p>
          <w:p w14:paraId="19E45107" w14:textId="77777777" w:rsidR="005B1DF4" w:rsidRDefault="005B1DF4" w:rsidP="005B1DF4">
            <w:pPr>
              <w:pStyle w:val="TableTextBullet"/>
              <w:numPr>
                <w:ilvl w:val="0"/>
                <w:numId w:val="0"/>
              </w:numPr>
            </w:pPr>
          </w:p>
          <w:p w14:paraId="670539C1" w14:textId="77777777" w:rsidR="005B1DF4" w:rsidRPr="005B1DF4" w:rsidRDefault="00057948" w:rsidP="005B1DF4">
            <w:pPr>
              <w:pStyle w:val="TableText"/>
              <w:rPr>
                <w:b/>
                <w:bCs/>
              </w:rPr>
            </w:pPr>
            <w:r>
              <w:rPr>
                <w:noProof/>
              </w:rPr>
              <mc:AlternateContent>
                <mc:Choice Requires="wps">
                  <w:drawing>
                    <wp:anchor distT="0" distB="0" distL="114300" distR="114300" simplePos="0" relativeHeight="251664384" behindDoc="0" locked="0" layoutInCell="1" allowOverlap="1" wp14:anchorId="7E1AC60C" wp14:editId="4C1A8D25">
                      <wp:simplePos x="0" y="0"/>
                      <wp:positionH relativeFrom="column">
                        <wp:posOffset>457200</wp:posOffset>
                      </wp:positionH>
                      <wp:positionV relativeFrom="paragraph">
                        <wp:posOffset>65405</wp:posOffset>
                      </wp:positionV>
                      <wp:extent cx="3200400" cy="0"/>
                      <wp:effectExtent l="9525" t="17780" r="9525" b="10795"/>
                      <wp:wrapNone/>
                      <wp:docPr id="598" name="Line 1204" descr="P940L10C10T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2A1C7" id="Line 1204" o:spid="_x0000_s1026" alt="&quot;&quot;"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un/iT8MBAABvAwAADgAAAAAAAAAAAAAAAAAu&#10;AgAAZHJzL2Uyb0RvYy54bWxQSwECLQAUAAYACAAAACEAF08wEtsAAAAIAQAADwAAAAAAAAAAAAAA&#10;AAAdBAAAZHJzL2Rvd25yZXYueG1sUEsFBgAAAAAEAAQA8wAAACUFAAAAAA==&#10;" strokeweight="1.5pt"/>
                  </w:pict>
                </mc:Fallback>
              </mc:AlternateContent>
            </w:r>
            <w:r w:rsidR="005B1DF4">
              <w:rPr>
                <w:b/>
                <w:bCs/>
              </w:rPr>
              <w:t>NOTES</w:t>
            </w:r>
          </w:p>
          <w:p w14:paraId="4E859481" w14:textId="77777777" w:rsidR="005B1DF4" w:rsidRDefault="005B1DF4" w:rsidP="005B1DF4">
            <w:pPr>
              <w:pStyle w:val="NotesText"/>
            </w:pPr>
            <w:r>
              <w:t>Users with VBECS Administrator access can select to start VBECS administrator or VBECS.</w:t>
            </w:r>
          </w:p>
          <w:p w14:paraId="759EE836" w14:textId="77777777" w:rsidR="002A5604" w:rsidRPr="005B1DF4" w:rsidRDefault="002A5604" w:rsidP="005B1DF4">
            <w:pPr>
              <w:pStyle w:val="TableText"/>
              <w:rPr>
                <w:b/>
                <w:bCs/>
              </w:rPr>
            </w:pPr>
          </w:p>
        </w:tc>
      </w:tr>
      <w:tr w:rsidR="006B6C5C" w14:paraId="22B8168F" w14:textId="77777777">
        <w:tc>
          <w:tcPr>
            <w:tcW w:w="3330" w:type="dxa"/>
          </w:tcPr>
          <w:p w14:paraId="529A17A8" w14:textId="77777777" w:rsidR="006B6C5C" w:rsidRDefault="006B6C5C" w:rsidP="002A5604">
            <w:pPr>
              <w:pStyle w:val="TableTextNumbers"/>
            </w:pPr>
            <w:r>
              <w:lastRenderedPageBreak/>
              <w:t xml:space="preserve">Click on the </w:t>
            </w:r>
            <w:r w:rsidRPr="006B6C5C">
              <w:rPr>
                <w:b/>
              </w:rPr>
              <w:t>VBECS</w:t>
            </w:r>
            <w:r w:rsidR="00F617D1">
              <w:rPr>
                <w:b/>
              </w:rPr>
              <w:t xml:space="preserve"> Prod</w:t>
            </w:r>
            <w:r>
              <w:t xml:space="preserve"> or </w:t>
            </w:r>
            <w:r w:rsidRPr="006B6C5C">
              <w:rPr>
                <w:b/>
              </w:rPr>
              <w:t>VBECS Test</w:t>
            </w:r>
            <w:r>
              <w:t xml:space="preserve"> icon to access VBECS.</w:t>
            </w:r>
          </w:p>
        </w:tc>
        <w:tc>
          <w:tcPr>
            <w:tcW w:w="6138" w:type="dxa"/>
          </w:tcPr>
          <w:p w14:paraId="7C8A7C8B" w14:textId="77777777" w:rsidR="006B6C5C" w:rsidRDefault="006B6C5C" w:rsidP="006B6C5C">
            <w:pPr>
              <w:pStyle w:val="TableTextBullet"/>
            </w:pPr>
            <w:r>
              <w:t>Displays the Select Division screen when the user has access privileges to multiple divisions in a single VBECS installation.</w:t>
            </w:r>
          </w:p>
          <w:p w14:paraId="67D8CBA4" w14:textId="77777777" w:rsidR="006B6C5C" w:rsidRDefault="006B6C5C" w:rsidP="006B6C5C">
            <w:pPr>
              <w:pStyle w:val="TableText"/>
            </w:pPr>
          </w:p>
          <w:p w14:paraId="03094932" w14:textId="77777777" w:rsidR="006B6C5C" w:rsidRDefault="00057948" w:rsidP="006B6C5C">
            <w:pPr>
              <w:pStyle w:val="TableText"/>
              <w:rPr>
                <w:b/>
                <w:bCs/>
                <w:szCs w:val="18"/>
              </w:rPr>
            </w:pPr>
            <w:r>
              <w:rPr>
                <w:b/>
                <w:bCs/>
                <w:noProof/>
              </w:rPr>
              <mc:AlternateContent>
                <mc:Choice Requires="wps">
                  <w:drawing>
                    <wp:anchor distT="0" distB="0" distL="114300" distR="114300" simplePos="0" relativeHeight="251668480" behindDoc="0" locked="0" layoutInCell="1" allowOverlap="1" wp14:anchorId="207A1508" wp14:editId="31A5B12A">
                      <wp:simplePos x="0" y="0"/>
                      <wp:positionH relativeFrom="column">
                        <wp:posOffset>457200</wp:posOffset>
                      </wp:positionH>
                      <wp:positionV relativeFrom="paragraph">
                        <wp:posOffset>65405</wp:posOffset>
                      </wp:positionV>
                      <wp:extent cx="3200400" cy="0"/>
                      <wp:effectExtent l="9525" t="17780" r="9525" b="10795"/>
                      <wp:wrapNone/>
                      <wp:docPr id="597" name="Line 1205" descr="P947L10C12T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A9AE4" id="Line 1205" o:spid="_x0000_s1026" alt="&quot;&quot;"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8hV1hsMBAABvAwAADgAAAAAAAAAAAAAAAAAu&#10;AgAAZHJzL2Uyb0RvYy54bWxQSwECLQAUAAYACAAAACEAF08wEtsAAAAIAQAADwAAAAAAAAAAAAAA&#10;AAAdBAAAZHJzL2Rvd25yZXYueG1sUEsFBgAAAAAEAAQA8wAAACUFAAAAAA==&#10;" strokeweight="1.5pt"/>
                  </w:pict>
                </mc:Fallback>
              </mc:AlternateContent>
            </w:r>
            <w:r w:rsidR="006B6C5C">
              <w:rPr>
                <w:b/>
                <w:bCs/>
                <w:szCs w:val="18"/>
              </w:rPr>
              <w:t>NOTES</w:t>
            </w:r>
          </w:p>
          <w:p w14:paraId="1649A4E2" w14:textId="77777777" w:rsidR="006B6C5C" w:rsidRDefault="006B6C5C" w:rsidP="006B6C5C">
            <w:pPr>
              <w:pStyle w:val="NotesText"/>
            </w:pPr>
          </w:p>
          <w:p w14:paraId="224741E8" w14:textId="77777777" w:rsidR="006B6C5C" w:rsidRDefault="006B6C5C" w:rsidP="006B6C5C">
            <w:pPr>
              <w:pStyle w:val="NotesText"/>
            </w:pPr>
            <w:r w:rsidRPr="00E274BF">
              <w:rPr>
                <w:rFonts w:cs="Arial"/>
                <w:vanish/>
                <w:szCs w:val="18"/>
              </w:rPr>
              <w:t>BR_18.08</w:t>
            </w:r>
            <w:r>
              <w:rPr>
                <w:rFonts w:ascii="Times New Roman" w:hAnsi="Times New Roman"/>
                <w:vanish/>
                <w:sz w:val="22"/>
              </w:rPr>
              <w:t xml:space="preserve"> </w:t>
            </w:r>
            <w:r>
              <w:t>A user may exit without logging into a division.</w:t>
            </w:r>
          </w:p>
        </w:tc>
      </w:tr>
      <w:tr w:rsidR="002A21AE" w14:paraId="03DB2C6E" w14:textId="77777777">
        <w:tc>
          <w:tcPr>
            <w:tcW w:w="3330" w:type="dxa"/>
          </w:tcPr>
          <w:p w14:paraId="0B46250C" w14:textId="2C568E6B" w:rsidR="002A5604" w:rsidRDefault="002A5604" w:rsidP="002F5BFE">
            <w:pPr>
              <w:pStyle w:val="TableTextNumbers"/>
            </w:pPr>
            <w:r>
              <w:t>Multidivision users will be prompted to s</w:t>
            </w:r>
            <w:r w:rsidR="002A21AE">
              <w:t xml:space="preserve">elect a division from the </w:t>
            </w:r>
            <w:r w:rsidR="002A21AE">
              <w:rPr>
                <w:b/>
              </w:rPr>
              <w:t>Select Division</w:t>
            </w:r>
            <w:r w:rsidR="002A21AE">
              <w:t xml:space="preserve"> list and click </w:t>
            </w:r>
            <w:r w:rsidR="002A21AE">
              <w:rPr>
                <w:b/>
              </w:rPr>
              <w:t>OK</w:t>
            </w:r>
            <w:r w:rsidR="003814BF">
              <w:rPr>
                <w:bCs/>
              </w:rPr>
              <w:t>, or double-</w:t>
            </w:r>
            <w:r w:rsidR="002A21AE">
              <w:rPr>
                <w:bCs/>
              </w:rPr>
              <w:t>click the division</w:t>
            </w:r>
            <w:r w:rsidR="002F5BFE">
              <w:rPr>
                <w:bCs/>
              </w:rPr>
              <w:t xml:space="preserve"> (</w:t>
            </w:r>
            <w:r w:rsidR="002F5BFE">
              <w:rPr>
                <w:bCs/>
              </w:rPr>
              <w:fldChar w:fldCharType="begin" w:fldLock="1"/>
            </w:r>
            <w:r w:rsidR="002F5BFE">
              <w:rPr>
                <w:bCs/>
              </w:rPr>
              <w:instrText xml:space="preserve"> REF _Ref470094631 \h </w:instrText>
            </w:r>
            <w:r w:rsidR="002F5BFE">
              <w:rPr>
                <w:bCs/>
              </w:rPr>
            </w:r>
            <w:r w:rsidR="002F5BFE">
              <w:rPr>
                <w:bCs/>
              </w:rPr>
              <w:fldChar w:fldCharType="separate"/>
            </w:r>
            <w:r w:rsidR="00AB304C">
              <w:t xml:space="preserve">Figure </w:t>
            </w:r>
            <w:r w:rsidR="00AB304C">
              <w:rPr>
                <w:noProof/>
              </w:rPr>
              <w:t>30</w:t>
            </w:r>
            <w:r w:rsidR="002F5BFE">
              <w:rPr>
                <w:bCs/>
              </w:rPr>
              <w:fldChar w:fldCharType="end"/>
            </w:r>
            <w:r w:rsidR="002F5BFE">
              <w:rPr>
                <w:bCs/>
              </w:rPr>
              <w:t>)</w:t>
            </w:r>
            <w:r w:rsidR="007710C5">
              <w:rPr>
                <w:bCs/>
              </w:rPr>
              <w:t>.</w:t>
            </w:r>
          </w:p>
        </w:tc>
        <w:tc>
          <w:tcPr>
            <w:tcW w:w="6138" w:type="dxa"/>
          </w:tcPr>
          <w:p w14:paraId="1D080093" w14:textId="77777777" w:rsidR="007710C5" w:rsidRDefault="000925E5" w:rsidP="007710C5">
            <w:pPr>
              <w:pStyle w:val="TableTextBullet"/>
            </w:pPr>
            <w:r w:rsidRPr="000925E5">
              <w:rPr>
                <w:vanish/>
              </w:rPr>
              <w:t xml:space="preserve">BR_18.10 </w:t>
            </w:r>
            <w:r w:rsidRPr="006B6C5C">
              <w:t xml:space="preserve">Displays an </w:t>
            </w:r>
            <w:r w:rsidRPr="00A942EB">
              <w:t xml:space="preserve">error message to the user when </w:t>
            </w:r>
            <w:r>
              <w:t>logging</w:t>
            </w:r>
            <w:r w:rsidRPr="00A942EB">
              <w:t xml:space="preserve"> into </w:t>
            </w:r>
            <w:r w:rsidR="006B6C5C">
              <w:t>VBECS</w:t>
            </w:r>
            <w:r w:rsidRPr="00A942EB">
              <w:t>, or switch</w:t>
            </w:r>
            <w:r>
              <w:t>ing</w:t>
            </w:r>
            <w:r w:rsidRPr="00A942EB">
              <w:t xml:space="preserve"> divisions, </w:t>
            </w:r>
            <w:r>
              <w:t xml:space="preserve">if the default printer </w:t>
            </w:r>
            <w:r w:rsidR="00842346">
              <w:t xml:space="preserve">for the division </w:t>
            </w:r>
            <w:r>
              <w:t>was removed.</w:t>
            </w:r>
            <w:r w:rsidR="009D459D" w:rsidRPr="009D459D">
              <w:rPr>
                <w:vanish/>
              </w:rPr>
              <w:t>DR 2,884</w:t>
            </w:r>
          </w:p>
          <w:p w14:paraId="570AB841" w14:textId="77777777" w:rsidR="007710C5" w:rsidRDefault="007710C5" w:rsidP="007710C5">
            <w:pPr>
              <w:pStyle w:val="TableTextBullet"/>
            </w:pPr>
            <w:r>
              <w:t>Displays a division login message.</w:t>
            </w:r>
          </w:p>
          <w:p w14:paraId="514B7FF0" w14:textId="77777777" w:rsidR="000925E5" w:rsidRDefault="000925E5" w:rsidP="000925E5">
            <w:pPr>
              <w:pStyle w:val="TableTextBullet"/>
              <w:numPr>
                <w:ilvl w:val="0"/>
                <w:numId w:val="0"/>
              </w:numPr>
            </w:pPr>
          </w:p>
          <w:p w14:paraId="5877EA5C" w14:textId="77777777" w:rsidR="002A21AE" w:rsidRDefault="00057948">
            <w:pPr>
              <w:pStyle w:val="TableText"/>
              <w:rPr>
                <w:b/>
                <w:bCs/>
                <w:szCs w:val="18"/>
              </w:rPr>
            </w:pPr>
            <w:r>
              <w:rPr>
                <w:b/>
                <w:bCs/>
                <w:noProof/>
              </w:rPr>
              <mc:AlternateContent>
                <mc:Choice Requires="wps">
                  <w:drawing>
                    <wp:anchor distT="0" distB="0" distL="114300" distR="114300" simplePos="0" relativeHeight="251656192" behindDoc="0" locked="0" layoutInCell="1" allowOverlap="1" wp14:anchorId="4CFD9CE2" wp14:editId="3C8A613D">
                      <wp:simplePos x="0" y="0"/>
                      <wp:positionH relativeFrom="column">
                        <wp:posOffset>457200</wp:posOffset>
                      </wp:positionH>
                      <wp:positionV relativeFrom="paragraph">
                        <wp:posOffset>65405</wp:posOffset>
                      </wp:positionV>
                      <wp:extent cx="3200400" cy="0"/>
                      <wp:effectExtent l="9525" t="17780" r="9525" b="10795"/>
                      <wp:wrapNone/>
                      <wp:docPr id="596" name="Line 629" descr="P955L10C14T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E46BA" id="Line 629" o:spid="_x0000_s1026" alt="&quot;&quot;"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Xun9j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0B66B2E7" w14:textId="77777777" w:rsidR="002A21AE" w:rsidRDefault="002A21AE">
            <w:pPr>
              <w:pStyle w:val="NotesText"/>
            </w:pPr>
          </w:p>
          <w:p w14:paraId="7DE9F579" w14:textId="77777777" w:rsidR="002A21AE" w:rsidRDefault="002A21AE">
            <w:pPr>
              <w:pStyle w:val="NotesText"/>
            </w:pPr>
            <w:r>
              <w:t>When VBECS is started, the user may have access to more than one division.</w:t>
            </w:r>
          </w:p>
          <w:p w14:paraId="137B0D95" w14:textId="77777777" w:rsidR="007710C5" w:rsidRDefault="007710C5">
            <w:pPr>
              <w:pStyle w:val="NotesText"/>
            </w:pPr>
          </w:p>
          <w:p w14:paraId="72C4D2E2" w14:textId="77777777" w:rsidR="007710C5" w:rsidRDefault="007710C5">
            <w:pPr>
              <w:pStyle w:val="NotesText"/>
            </w:pPr>
            <w:r>
              <w:t>The division login message allows the display of data as each user logs into his division. When no login message text is entered, VBECS does not display a login message.</w:t>
            </w:r>
          </w:p>
        </w:tc>
      </w:tr>
      <w:tr w:rsidR="002A21AE" w14:paraId="036BE9C8" w14:textId="77777777">
        <w:tc>
          <w:tcPr>
            <w:tcW w:w="3330" w:type="dxa"/>
          </w:tcPr>
          <w:p w14:paraId="0A44230C" w14:textId="3526B02B" w:rsidR="00080078" w:rsidRDefault="00F40ED2" w:rsidP="00080078">
            <w:pPr>
              <w:pStyle w:val="TableTextNumbers"/>
            </w:pPr>
            <w:r>
              <w:t>If site is not PIV exempt, u</w:t>
            </w:r>
            <w:r w:rsidR="00080078">
              <w:t xml:space="preserve">se PIV and PIN to connect to </w:t>
            </w:r>
            <w:r w:rsidR="00D2565B">
              <w:t>VistALink</w:t>
            </w:r>
            <w:r w:rsidR="00080078">
              <w:t xml:space="preserve"> (</w:t>
            </w:r>
            <w:r w:rsidR="002F5BFE">
              <w:fldChar w:fldCharType="begin" w:fldLock="1"/>
            </w:r>
            <w:r w:rsidR="002F5BFE">
              <w:instrText xml:space="preserve"> REF _Ref136339358 \h </w:instrText>
            </w:r>
            <w:r w:rsidR="002F5BFE">
              <w:fldChar w:fldCharType="separate"/>
            </w:r>
            <w:r w:rsidR="00AB304C">
              <w:t xml:space="preserve">Figure </w:t>
            </w:r>
            <w:r w:rsidR="00AB304C">
              <w:rPr>
                <w:noProof/>
              </w:rPr>
              <w:t>28</w:t>
            </w:r>
            <w:r w:rsidR="002F5BFE">
              <w:fldChar w:fldCharType="end"/>
            </w:r>
            <w:r w:rsidR="002F5BFE">
              <w:t xml:space="preserve"> and </w:t>
            </w:r>
            <w:r w:rsidR="002F5BFE">
              <w:fldChar w:fldCharType="begin" w:fldLock="1"/>
            </w:r>
            <w:r w:rsidR="002F5BFE">
              <w:instrText xml:space="preserve"> REF _Ref470094328 \h </w:instrText>
            </w:r>
            <w:r w:rsidR="002F5BFE">
              <w:fldChar w:fldCharType="separate"/>
            </w:r>
            <w:r w:rsidR="00AB304C">
              <w:t xml:space="preserve">Figure </w:t>
            </w:r>
            <w:r w:rsidR="00AB304C">
              <w:rPr>
                <w:noProof/>
              </w:rPr>
              <w:t>29</w:t>
            </w:r>
            <w:r w:rsidR="002F5BFE">
              <w:fldChar w:fldCharType="end"/>
            </w:r>
            <w:r w:rsidR="00D2565B">
              <w:t>).</w:t>
            </w:r>
            <w:r w:rsidR="00080078" w:rsidRPr="00812458">
              <w:rPr>
                <w:vanish/>
              </w:rPr>
              <w:t xml:space="preserve"> </w:t>
            </w:r>
            <w:r w:rsidRPr="00812458">
              <w:rPr>
                <w:vanish/>
              </w:rPr>
              <w:t>Task 561381</w:t>
            </w:r>
          </w:p>
          <w:p w14:paraId="730147D7" w14:textId="77777777" w:rsidR="00080078" w:rsidRDefault="00080078" w:rsidP="00080078">
            <w:pPr>
              <w:pStyle w:val="TableTextNumbers"/>
              <w:numPr>
                <w:ilvl w:val="0"/>
                <w:numId w:val="0"/>
              </w:numPr>
              <w:ind w:left="288"/>
            </w:pPr>
          </w:p>
          <w:p w14:paraId="132E040F" w14:textId="77777777" w:rsidR="00F876CD" w:rsidRDefault="00F876CD" w:rsidP="00080078">
            <w:pPr>
              <w:pStyle w:val="TableTextNumbers"/>
              <w:numPr>
                <w:ilvl w:val="0"/>
                <w:numId w:val="0"/>
              </w:numPr>
              <w:ind w:left="288"/>
            </w:pPr>
            <w:r>
              <w:t>If the IAM PIV sign on process succeeds, continue at Step 9.</w:t>
            </w:r>
          </w:p>
          <w:p w14:paraId="675E7E27" w14:textId="77777777" w:rsidR="00F876CD" w:rsidRDefault="00F876CD" w:rsidP="00080078">
            <w:pPr>
              <w:pStyle w:val="TableTextNumbers"/>
              <w:numPr>
                <w:ilvl w:val="0"/>
                <w:numId w:val="0"/>
              </w:numPr>
              <w:ind w:left="288"/>
            </w:pPr>
          </w:p>
          <w:p w14:paraId="2F1A7BAE" w14:textId="77777777" w:rsidR="002A21AE" w:rsidRDefault="00080078" w:rsidP="00F876CD">
            <w:pPr>
              <w:pStyle w:val="TableTextNumbers"/>
              <w:numPr>
                <w:ilvl w:val="0"/>
                <w:numId w:val="0"/>
              </w:numPr>
              <w:ind w:left="288"/>
            </w:pPr>
            <w:r>
              <w:t>If the IAM PIV sign on p</w:t>
            </w:r>
            <w:r w:rsidR="00980C38">
              <w:t xml:space="preserve">rocess fails, continue </w:t>
            </w:r>
            <w:r w:rsidR="00F876CD">
              <w:t>at next step</w:t>
            </w:r>
            <w:r>
              <w:t>.</w:t>
            </w:r>
          </w:p>
        </w:tc>
        <w:tc>
          <w:tcPr>
            <w:tcW w:w="6138" w:type="dxa"/>
          </w:tcPr>
          <w:p w14:paraId="26079010" w14:textId="77777777" w:rsidR="002A21AE" w:rsidRDefault="00080078">
            <w:pPr>
              <w:pStyle w:val="TableTextBullet"/>
            </w:pPr>
            <w:r>
              <w:t xml:space="preserve">Directs user to the IAM service interface to select PIV certificate and </w:t>
            </w:r>
            <w:r w:rsidR="00FB7B1E">
              <w:t>possibly to re-</w:t>
            </w:r>
            <w:r>
              <w:t>enter PIN</w:t>
            </w:r>
            <w:r w:rsidR="002A21AE">
              <w:t>.</w:t>
            </w:r>
          </w:p>
          <w:p w14:paraId="0B2E8517" w14:textId="77777777" w:rsidR="002A21AE" w:rsidRDefault="00080078">
            <w:pPr>
              <w:pStyle w:val="TableTextBullet"/>
            </w:pPr>
            <w:r>
              <w:t xml:space="preserve">It the IAM PIV sign on process fails, VBECS continues to the next step and prompts user for VistA Access and </w:t>
            </w:r>
            <w:r w:rsidR="00F876CD">
              <w:t>Verify</w:t>
            </w:r>
            <w:r>
              <w:t xml:space="preserve"> Code. The user may log onto VistA or continue and log on as needed.</w:t>
            </w:r>
          </w:p>
          <w:p w14:paraId="12B47D94" w14:textId="77777777" w:rsidR="002A21AE" w:rsidRDefault="002A21AE">
            <w:pPr>
              <w:pStyle w:val="TableText"/>
              <w:rPr>
                <w:b/>
                <w:bCs/>
                <w:szCs w:val="18"/>
              </w:rPr>
            </w:pPr>
          </w:p>
          <w:p w14:paraId="31424F6A" w14:textId="77777777" w:rsidR="002A21AE" w:rsidRDefault="00057948">
            <w:pPr>
              <w:pStyle w:val="TableText"/>
              <w:rPr>
                <w:b/>
                <w:bCs/>
                <w:szCs w:val="18"/>
              </w:rPr>
            </w:pPr>
            <w:r>
              <w:rPr>
                <w:b/>
                <w:bCs/>
                <w:noProof/>
              </w:rPr>
              <mc:AlternateContent>
                <mc:Choice Requires="wps">
                  <w:drawing>
                    <wp:anchor distT="0" distB="0" distL="114300" distR="114300" simplePos="0" relativeHeight="251648000" behindDoc="0" locked="0" layoutInCell="1" allowOverlap="1" wp14:anchorId="7ECCB8A4" wp14:editId="23C137DB">
                      <wp:simplePos x="0" y="0"/>
                      <wp:positionH relativeFrom="column">
                        <wp:posOffset>457200</wp:posOffset>
                      </wp:positionH>
                      <wp:positionV relativeFrom="paragraph">
                        <wp:posOffset>65405</wp:posOffset>
                      </wp:positionV>
                      <wp:extent cx="3200400" cy="0"/>
                      <wp:effectExtent l="9525" t="17780" r="9525" b="10795"/>
                      <wp:wrapNone/>
                      <wp:docPr id="595" name="Line 625" descr="P969L10C16T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D18CF" id="Line 625" o:spid="_x0000_s1026" alt="&quot;&quot;"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wyVbF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57ED5545" w14:textId="77777777" w:rsidR="0078056E" w:rsidRDefault="0078056E" w:rsidP="0078056E">
            <w:pPr>
              <w:pStyle w:val="NotesText"/>
            </w:pPr>
            <w:r w:rsidRPr="00E274BF">
              <w:rPr>
                <w:rFonts w:cs="Arial"/>
                <w:vanish/>
                <w:szCs w:val="18"/>
              </w:rPr>
              <w:t>BR_10</w:t>
            </w:r>
            <w:r w:rsidR="00DE61D9">
              <w:rPr>
                <w:rFonts w:cs="Arial"/>
                <w:vanish/>
                <w:szCs w:val="18"/>
              </w:rPr>
              <w:t>2.10</w:t>
            </w:r>
            <w:r>
              <w:rPr>
                <w:rFonts w:ascii="Times New Roman" w:hAnsi="Times New Roman"/>
                <w:vanish/>
                <w:sz w:val="22"/>
              </w:rPr>
              <w:t xml:space="preserve"> </w:t>
            </w:r>
            <w:r w:rsidR="00080078">
              <w:t>The system prompts the user for their access and verify code when there is no active IAM service certification</w:t>
            </w:r>
            <w:r>
              <w:t>.</w:t>
            </w:r>
          </w:p>
          <w:p w14:paraId="46ED2802" w14:textId="77777777" w:rsidR="0078056E" w:rsidRDefault="0078056E" w:rsidP="0078056E">
            <w:pPr>
              <w:pStyle w:val="NotesText"/>
            </w:pPr>
          </w:p>
          <w:p w14:paraId="1324BCCE" w14:textId="77777777" w:rsidR="00080078" w:rsidRPr="00DE61D9" w:rsidRDefault="00DE61D9" w:rsidP="00DE61D9">
            <w:pPr>
              <w:pStyle w:val="NotesText"/>
            </w:pPr>
            <w:r w:rsidRPr="00DE61D9">
              <w:rPr>
                <w:vanish/>
              </w:rPr>
              <w:t xml:space="preserve">DR 1,116 </w:t>
            </w:r>
            <w:r w:rsidR="00080078">
              <w:t>When a user logs into VBECS, the connection to VistA is established and the data in the cache tables are out of date. VBECS retrieves the current data from VistA and saves them</w:t>
            </w:r>
            <w:r>
              <w:t xml:space="preserve">. </w:t>
            </w:r>
            <w:r w:rsidR="00080078">
              <w:t>This update process may delay user login.</w:t>
            </w:r>
          </w:p>
        </w:tc>
      </w:tr>
      <w:tr w:rsidR="002A21AE" w14:paraId="2796BCA8" w14:textId="77777777" w:rsidTr="007E500E">
        <w:trPr>
          <w:cantSplit/>
        </w:trPr>
        <w:tc>
          <w:tcPr>
            <w:tcW w:w="3330" w:type="dxa"/>
          </w:tcPr>
          <w:p w14:paraId="5DF440F2" w14:textId="32885354" w:rsidR="002A21AE" w:rsidRDefault="007B7F36" w:rsidP="00D00478">
            <w:pPr>
              <w:pStyle w:val="TableTextNumbers"/>
            </w:pPr>
            <w:r>
              <w:lastRenderedPageBreak/>
              <w:t>Enter the VistA Ac</w:t>
            </w:r>
            <w:r w:rsidR="002F5BFE">
              <w:t>cess and Verify Codes (</w:t>
            </w:r>
            <w:r w:rsidR="00D00478">
              <w:fldChar w:fldCharType="begin" w:fldLock="1"/>
            </w:r>
            <w:r w:rsidR="00D00478">
              <w:instrText xml:space="preserve"> REF _Ref470094882 \h </w:instrText>
            </w:r>
            <w:r w:rsidR="00D00478">
              <w:fldChar w:fldCharType="separate"/>
            </w:r>
            <w:r w:rsidR="00AB304C">
              <w:t xml:space="preserve">Figure </w:t>
            </w:r>
            <w:r w:rsidR="00AB304C">
              <w:rPr>
                <w:noProof/>
              </w:rPr>
              <w:t>31</w:t>
            </w:r>
            <w:r w:rsidR="00D00478">
              <w:fldChar w:fldCharType="end"/>
            </w:r>
            <w:r>
              <w:t>)</w:t>
            </w:r>
            <w:r w:rsidR="002A21AE">
              <w:t>.</w:t>
            </w:r>
          </w:p>
        </w:tc>
        <w:tc>
          <w:tcPr>
            <w:tcW w:w="6138" w:type="dxa"/>
          </w:tcPr>
          <w:p w14:paraId="7E6C72F4" w14:textId="77777777" w:rsidR="007B7F36" w:rsidRDefault="002A21AE" w:rsidP="007B7F36">
            <w:pPr>
              <w:pStyle w:val="TableTextBullet"/>
            </w:pPr>
            <w:r w:rsidRPr="00E274BF">
              <w:rPr>
                <w:rFonts w:cs="Arial"/>
                <w:vanish/>
                <w:szCs w:val="18"/>
              </w:rPr>
              <w:t>BR_102.06</w:t>
            </w:r>
            <w:r>
              <w:rPr>
                <w:rFonts w:ascii="Times New Roman" w:hAnsi="Times New Roman"/>
                <w:vanish/>
                <w:sz w:val="22"/>
              </w:rPr>
              <w:t xml:space="preserve"> </w:t>
            </w:r>
            <w:r w:rsidR="007B7F36">
              <w:t xml:space="preserve">Allows a user to log on by entering </w:t>
            </w:r>
            <w:r w:rsidR="007B7F36" w:rsidRPr="00CA0045">
              <w:rPr>
                <w:bCs/>
              </w:rPr>
              <w:t>VistA</w:t>
            </w:r>
            <w:r w:rsidR="007B7F36">
              <w:t xml:space="preserve"> Access and Verify Codes, separated by a semicolon (;), in the Access Code data entry field.</w:t>
            </w:r>
          </w:p>
          <w:p w14:paraId="21830230" w14:textId="77777777" w:rsidR="007B7F36" w:rsidRPr="001F5982" w:rsidRDefault="007B7F36" w:rsidP="007B7F36">
            <w:pPr>
              <w:pStyle w:val="TableTextBullet"/>
              <w:rPr>
                <w:szCs w:val="20"/>
              </w:rPr>
            </w:pPr>
            <w:r w:rsidRPr="00E274BF">
              <w:rPr>
                <w:rFonts w:cs="Arial"/>
                <w:vanish/>
                <w:szCs w:val="18"/>
              </w:rPr>
              <w:t>BR_102.02</w:t>
            </w:r>
            <w:r>
              <w:rPr>
                <w:rFonts w:ascii="Times New Roman" w:hAnsi="Times New Roman"/>
                <w:vanish/>
                <w:sz w:val="22"/>
              </w:rPr>
              <w:t xml:space="preserve"> </w:t>
            </w:r>
            <w:r>
              <w:t xml:space="preserve">Verifies that the user credentials for the VBECS and </w:t>
            </w:r>
            <w:r w:rsidRPr="00CA0045">
              <w:rPr>
                <w:bCs/>
              </w:rPr>
              <w:t>VistA</w:t>
            </w:r>
            <w:r>
              <w:t xml:space="preserve"> Access and Verify Codes belong to the same user.</w:t>
            </w:r>
          </w:p>
          <w:p w14:paraId="39F7B58B" w14:textId="77777777" w:rsidR="002A21AE" w:rsidRDefault="007B7F36" w:rsidP="00FB7B1E">
            <w:pPr>
              <w:pStyle w:val="TableTextBullet"/>
            </w:pPr>
            <w:r w:rsidRPr="007B7F36">
              <w:t>Emits a tone to verify that the workstation’s sound works.</w:t>
            </w:r>
          </w:p>
          <w:p w14:paraId="6EFC619F" w14:textId="77777777" w:rsidR="002E5493" w:rsidRDefault="002E5493" w:rsidP="002E5493">
            <w:pPr>
              <w:pStyle w:val="TableTextBullet"/>
              <w:numPr>
                <w:ilvl w:val="0"/>
                <w:numId w:val="0"/>
              </w:numPr>
              <w:ind w:left="288" w:hanging="288"/>
            </w:pPr>
          </w:p>
          <w:p w14:paraId="6339FF94" w14:textId="77777777" w:rsidR="002E5493" w:rsidRDefault="00057948" w:rsidP="002E5493">
            <w:pPr>
              <w:pStyle w:val="TableText"/>
              <w:rPr>
                <w:b/>
                <w:bCs/>
                <w:szCs w:val="18"/>
              </w:rPr>
            </w:pPr>
            <w:r>
              <w:rPr>
                <w:b/>
                <w:bCs/>
                <w:noProof/>
              </w:rPr>
              <mc:AlternateContent>
                <mc:Choice Requires="wps">
                  <w:drawing>
                    <wp:anchor distT="0" distB="0" distL="114300" distR="114300" simplePos="0" relativeHeight="251680768" behindDoc="0" locked="0" layoutInCell="1" allowOverlap="1" wp14:anchorId="048B5CC0" wp14:editId="4688861A">
                      <wp:simplePos x="0" y="0"/>
                      <wp:positionH relativeFrom="column">
                        <wp:posOffset>457200</wp:posOffset>
                      </wp:positionH>
                      <wp:positionV relativeFrom="paragraph">
                        <wp:posOffset>65405</wp:posOffset>
                      </wp:positionV>
                      <wp:extent cx="3200400" cy="0"/>
                      <wp:effectExtent l="9525" t="17780" r="9525" b="10795"/>
                      <wp:wrapNone/>
                      <wp:docPr id="594" name="Line 1311" descr="P979L10C18T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25748" id="Line 1311" o:spid="_x0000_s1026" alt="&quot;&quot;"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G7VuM7EAQAAbwMAAA4AAAAAAAAAAAAAAAAA&#10;LgIAAGRycy9lMm9Eb2MueG1sUEsBAi0AFAAGAAgAAAAhABdPMBLbAAAACAEAAA8AAAAAAAAAAAAA&#10;AAAAHgQAAGRycy9kb3ducmV2LnhtbFBLBQYAAAAABAAEAPMAAAAmBQAAAAA=&#10;" strokeweight="1.5pt"/>
                  </w:pict>
                </mc:Fallback>
              </mc:AlternateContent>
            </w:r>
            <w:r w:rsidR="002E5493">
              <w:rPr>
                <w:b/>
                <w:bCs/>
                <w:szCs w:val="18"/>
              </w:rPr>
              <w:t>NOTES</w:t>
            </w:r>
          </w:p>
          <w:p w14:paraId="430EC37B" w14:textId="77777777" w:rsidR="002E5493" w:rsidRDefault="002E5493" w:rsidP="002E5493">
            <w:pPr>
              <w:pStyle w:val="TableTextBullet"/>
              <w:numPr>
                <w:ilvl w:val="0"/>
                <w:numId w:val="0"/>
              </w:numPr>
              <w:ind w:left="288" w:hanging="288"/>
            </w:pPr>
          </w:p>
          <w:p w14:paraId="286E230C" w14:textId="77777777" w:rsidR="002E5493" w:rsidRDefault="004A7A55" w:rsidP="002E5493">
            <w:pPr>
              <w:pStyle w:val="NotesText"/>
            </w:pPr>
            <w:r w:rsidRPr="004A7A55">
              <w:rPr>
                <w:vanish/>
              </w:rPr>
              <w:t xml:space="preserve">BR_102.02 </w:t>
            </w:r>
            <w:r w:rsidR="002E5493">
              <w:t>The VBECS user must have his own VistA Access and Verify Codes when accessing VistA. The system will not allow the user to log onto VistA if his DUZ in the VBECS database does not match the user’s DUZ in VistA.</w:t>
            </w:r>
          </w:p>
          <w:p w14:paraId="24434346" w14:textId="77777777" w:rsidR="002E5493" w:rsidRDefault="002E5493" w:rsidP="002E5493">
            <w:pPr>
              <w:pStyle w:val="NotesText"/>
            </w:pPr>
          </w:p>
          <w:p w14:paraId="4378ABF2" w14:textId="77777777" w:rsidR="002E5493" w:rsidRDefault="004A7A55" w:rsidP="004A7A55">
            <w:pPr>
              <w:pStyle w:val="NotesText"/>
            </w:pPr>
            <w:r w:rsidRPr="004A7A55">
              <w:rPr>
                <w:vanish/>
              </w:rPr>
              <w:t xml:space="preserve">BR_102.01 </w:t>
            </w:r>
            <w:r w:rsidR="002E5493">
              <w:t>The user will log onto VistA by entering VistA Access and Verify Codes if the system is reconfigured during this session (for example: VistALink dropout and recovery, division change) and subsequently requires a logoff or logon to VistA</w:t>
            </w:r>
            <w:r>
              <w:t>.</w:t>
            </w:r>
          </w:p>
          <w:p w14:paraId="076942C0" w14:textId="77777777" w:rsidR="00606853" w:rsidRDefault="00606853" w:rsidP="004A7A55">
            <w:pPr>
              <w:pStyle w:val="NotesText"/>
            </w:pPr>
          </w:p>
          <w:p w14:paraId="6C327F70" w14:textId="77777777" w:rsidR="00606853" w:rsidRDefault="00606853" w:rsidP="004A7A55">
            <w:pPr>
              <w:pStyle w:val="NotesText"/>
            </w:pPr>
            <w:r w:rsidRPr="00606853">
              <w:rPr>
                <w:vanish/>
              </w:rPr>
              <w:t xml:space="preserve">BR_102.14 </w:t>
            </w:r>
            <w:r>
              <w:t>The system will</w:t>
            </w:r>
            <w:r w:rsidRPr="00EC1CAE">
              <w:t xml:space="preserve"> </w:t>
            </w:r>
            <w:r>
              <w:t>prompt user to enter current Verify Code, the new Verify Code, and a confirmation for a new Verify Code.</w:t>
            </w:r>
          </w:p>
          <w:p w14:paraId="684FD4A9" w14:textId="77777777" w:rsidR="001B2CBA" w:rsidRDefault="001B2CBA" w:rsidP="004A7A55">
            <w:pPr>
              <w:pStyle w:val="NotesText"/>
            </w:pPr>
          </w:p>
          <w:p w14:paraId="599E43AA" w14:textId="77777777" w:rsidR="001B2CBA" w:rsidRDefault="001B2CBA" w:rsidP="004A7A55">
            <w:pPr>
              <w:pStyle w:val="NotesText"/>
            </w:pPr>
            <w:r w:rsidRPr="001B2CBA">
              <w:rPr>
                <w:vanish/>
              </w:rPr>
              <w:t xml:space="preserve">BR_102.07 </w:t>
            </w:r>
            <w:r>
              <w:t>When a Verify Code is changed, the system must check that the new code is different from the currently used Verify Code.</w:t>
            </w:r>
          </w:p>
        </w:tc>
      </w:tr>
      <w:tr w:rsidR="002A21AE" w14:paraId="34589975" w14:textId="77777777">
        <w:tc>
          <w:tcPr>
            <w:tcW w:w="3330" w:type="dxa"/>
          </w:tcPr>
          <w:p w14:paraId="5CD04216" w14:textId="77777777" w:rsidR="002A21AE" w:rsidRDefault="002A21AE">
            <w:pPr>
              <w:pStyle w:val="TableTextNumbers"/>
            </w:pPr>
            <w:r>
              <w:t>Continue working in VBECS in the selected division.</w:t>
            </w:r>
          </w:p>
        </w:tc>
        <w:tc>
          <w:tcPr>
            <w:tcW w:w="6138" w:type="dxa"/>
          </w:tcPr>
          <w:p w14:paraId="3C8423A7" w14:textId="77777777" w:rsidR="002A21AE" w:rsidRDefault="002A21AE">
            <w:pPr>
              <w:pStyle w:val="TableTextBullet"/>
            </w:pPr>
            <w:r>
              <w:t>Displays the main menu.</w:t>
            </w:r>
          </w:p>
        </w:tc>
      </w:tr>
      <w:tr w:rsidR="002A21AE" w14:paraId="596F5105" w14:textId="77777777">
        <w:tc>
          <w:tcPr>
            <w:tcW w:w="3330" w:type="dxa"/>
          </w:tcPr>
          <w:p w14:paraId="4603E489" w14:textId="77777777" w:rsidR="002A21AE" w:rsidRDefault="00CA4C8E">
            <w:pPr>
              <w:pStyle w:val="TableTextNumbers"/>
            </w:pPr>
            <w:r>
              <w:t>Users with multidivisional access: t</w:t>
            </w:r>
            <w:r w:rsidR="002A21AE">
              <w:t xml:space="preserve">o change division, select </w:t>
            </w:r>
            <w:r w:rsidR="002A21AE">
              <w:rPr>
                <w:b/>
              </w:rPr>
              <w:t>File</w:t>
            </w:r>
            <w:r w:rsidR="002A21AE">
              <w:t xml:space="preserve">. </w:t>
            </w:r>
          </w:p>
          <w:p w14:paraId="1E633D1B" w14:textId="77777777" w:rsidR="002A21AE" w:rsidRDefault="002A21AE">
            <w:pPr>
              <w:pStyle w:val="TableTextNumbersContinued"/>
            </w:pPr>
          </w:p>
          <w:p w14:paraId="602BE669" w14:textId="77777777" w:rsidR="002A21AE" w:rsidRDefault="002A21AE">
            <w:pPr>
              <w:pStyle w:val="TableTextNumbersContinued"/>
            </w:pPr>
            <w:r>
              <w:t xml:space="preserve">Select </w:t>
            </w:r>
            <w:r>
              <w:rPr>
                <w:b/>
              </w:rPr>
              <w:t>Change Division</w:t>
            </w:r>
            <w:r>
              <w:t>.</w:t>
            </w:r>
          </w:p>
          <w:p w14:paraId="0F332D6E" w14:textId="77777777" w:rsidR="002A21AE" w:rsidRDefault="002A21AE">
            <w:pPr>
              <w:pStyle w:val="TableTextNumbersContinued"/>
            </w:pPr>
          </w:p>
          <w:p w14:paraId="39627BED" w14:textId="77777777" w:rsidR="002A21AE" w:rsidRDefault="00F876CD">
            <w:pPr>
              <w:pStyle w:val="TableTextNumbersContinued"/>
            </w:pPr>
            <w:r>
              <w:t>Continue at Step 6</w:t>
            </w:r>
            <w:r w:rsidR="002A21AE">
              <w:t>.</w:t>
            </w:r>
            <w:r w:rsidR="00282A20">
              <w:rPr>
                <w:vanish/>
                <w:color w:val="FFFFFF"/>
                <w:szCs w:val="18"/>
              </w:rPr>
              <w:fldChar w:fldCharType="begin"/>
            </w:r>
            <w:r w:rsidR="00282A20">
              <w:rPr>
                <w:vanish/>
                <w:color w:val="FFFFFF"/>
                <w:szCs w:val="18"/>
              </w:rPr>
              <w:instrText xml:space="preserve"> LISTNUM \l 1 \s 0 </w:instrText>
            </w:r>
            <w:r w:rsidR="00282A20">
              <w:rPr>
                <w:vanish/>
                <w:color w:val="FFFFFF"/>
                <w:szCs w:val="18"/>
              </w:rPr>
              <w:fldChar w:fldCharType="end"/>
            </w:r>
          </w:p>
        </w:tc>
        <w:tc>
          <w:tcPr>
            <w:tcW w:w="6138" w:type="dxa"/>
          </w:tcPr>
          <w:p w14:paraId="1238F7F6" w14:textId="77777777" w:rsidR="002A21AE" w:rsidRDefault="002A21AE">
            <w:pPr>
              <w:pStyle w:val="TableTextBullet"/>
              <w:ind w:left="0" w:firstLine="0"/>
            </w:pPr>
            <w:r>
              <w:t>Ensures that there are no incomplete activities for the user’s session.</w:t>
            </w:r>
          </w:p>
          <w:p w14:paraId="2E8D4912" w14:textId="77777777" w:rsidR="002A21AE" w:rsidRDefault="002A21AE">
            <w:pPr>
              <w:pStyle w:val="TableTextBullet"/>
              <w:ind w:left="0" w:firstLine="0"/>
            </w:pPr>
            <w:r>
              <w:t>Displays a division login message.</w:t>
            </w:r>
          </w:p>
          <w:p w14:paraId="7D3913EC" w14:textId="77777777" w:rsidR="002A21AE" w:rsidRDefault="002A21AE">
            <w:pPr>
              <w:pStyle w:val="TableTextBullet"/>
              <w:ind w:left="0" w:firstLine="0"/>
            </w:pPr>
            <w:r>
              <w:t>Opens the selected division.</w:t>
            </w:r>
          </w:p>
          <w:p w14:paraId="11BE4384" w14:textId="77777777" w:rsidR="002A21AE" w:rsidRDefault="002A21AE">
            <w:pPr>
              <w:pStyle w:val="TableText"/>
            </w:pPr>
          </w:p>
          <w:p w14:paraId="4B30DF51" w14:textId="77777777" w:rsidR="002A21AE" w:rsidRDefault="00057948">
            <w:pPr>
              <w:pStyle w:val="TableText"/>
              <w:rPr>
                <w:b/>
                <w:bCs/>
                <w:szCs w:val="18"/>
              </w:rPr>
            </w:pPr>
            <w:r>
              <w:rPr>
                <w:b/>
                <w:bCs/>
                <w:noProof/>
              </w:rPr>
              <mc:AlternateContent>
                <mc:Choice Requires="wps">
                  <w:drawing>
                    <wp:anchor distT="0" distB="0" distL="114300" distR="114300" simplePos="0" relativeHeight="251652096" behindDoc="0" locked="0" layoutInCell="1" allowOverlap="1" wp14:anchorId="3B81BC13" wp14:editId="7E8D8076">
                      <wp:simplePos x="0" y="0"/>
                      <wp:positionH relativeFrom="column">
                        <wp:posOffset>457200</wp:posOffset>
                      </wp:positionH>
                      <wp:positionV relativeFrom="paragraph">
                        <wp:posOffset>65405</wp:posOffset>
                      </wp:positionV>
                      <wp:extent cx="3200400" cy="0"/>
                      <wp:effectExtent l="9525" t="17780" r="9525" b="10795"/>
                      <wp:wrapNone/>
                      <wp:docPr id="593" name="Line 627" descr="P1001L10C22T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A5F02" id="Line 627" o:spid="_x0000_s1026" alt="&quot;&quot;"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0oYnp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2CF40164" w14:textId="77777777" w:rsidR="002A21AE" w:rsidRDefault="002A21AE">
            <w:pPr>
              <w:pStyle w:val="NotesText"/>
            </w:pPr>
          </w:p>
          <w:p w14:paraId="27E62070" w14:textId="77777777" w:rsidR="002A21AE" w:rsidRDefault="002A21AE">
            <w:pPr>
              <w:pStyle w:val="NotesText"/>
            </w:pPr>
            <w:r w:rsidRPr="00E274BF">
              <w:rPr>
                <w:rFonts w:cs="Arial"/>
                <w:vanish/>
                <w:szCs w:val="18"/>
              </w:rPr>
              <w:t>BR_18.06</w:t>
            </w:r>
            <w:r w:rsidRPr="009660C3">
              <w:rPr>
                <w:vanish/>
                <w:szCs w:val="18"/>
              </w:rPr>
              <w:t xml:space="preserve"> </w:t>
            </w:r>
            <w:r>
              <w:t xml:space="preserve">A user may log into or change divisions without being logged onto </w:t>
            </w:r>
            <w:r w:rsidR="00CA0045" w:rsidRPr="00CA0045">
              <w:rPr>
                <w:bCs/>
              </w:rPr>
              <w:t>VistA</w:t>
            </w:r>
            <w:r>
              <w:t>.</w:t>
            </w:r>
          </w:p>
          <w:p w14:paraId="42772AA0" w14:textId="77777777" w:rsidR="002A21AE" w:rsidRDefault="002A21AE">
            <w:pPr>
              <w:pStyle w:val="TableText"/>
            </w:pPr>
          </w:p>
          <w:p w14:paraId="70AB0FF8" w14:textId="77777777" w:rsidR="002A21AE" w:rsidRDefault="002A21AE">
            <w:pPr>
              <w:pStyle w:val="NotesText"/>
            </w:pPr>
            <w:r w:rsidRPr="00E274BF">
              <w:rPr>
                <w:rFonts w:cs="Arial"/>
                <w:vanish/>
                <w:szCs w:val="18"/>
              </w:rPr>
              <w:t>BR_18.02</w:t>
            </w:r>
            <w:r w:rsidR="00E274BF">
              <w:rPr>
                <w:rFonts w:cs="Arial"/>
                <w:vanish/>
                <w:szCs w:val="18"/>
              </w:rPr>
              <w:t>,</w:t>
            </w:r>
            <w:r w:rsidRPr="00E274BF">
              <w:rPr>
                <w:rFonts w:cs="Arial"/>
                <w:vanish/>
                <w:szCs w:val="18"/>
              </w:rPr>
              <w:t xml:space="preserve"> BR_18.09</w:t>
            </w:r>
            <w:r w:rsidRPr="009660C3">
              <w:rPr>
                <w:vanish/>
                <w:szCs w:val="18"/>
              </w:rPr>
              <w:t xml:space="preserve"> </w:t>
            </w:r>
            <w:r>
              <w:t>VBECS displays a message advising the user to close dialogs and transactions with pending data changes, and closes open dialogs with no pending data changes before the user changes division.</w:t>
            </w:r>
          </w:p>
          <w:p w14:paraId="6D9080BF" w14:textId="77777777" w:rsidR="002A21AE" w:rsidRDefault="002A21AE">
            <w:pPr>
              <w:pStyle w:val="NotesText"/>
              <w:ind w:left="0"/>
            </w:pPr>
          </w:p>
          <w:p w14:paraId="5BA80FB4" w14:textId="77777777" w:rsidR="002A21AE" w:rsidRDefault="002A21AE">
            <w:pPr>
              <w:pStyle w:val="NotesText"/>
            </w:pPr>
            <w:r w:rsidRPr="00E274BF">
              <w:rPr>
                <w:rFonts w:cs="Arial"/>
                <w:vanish/>
                <w:szCs w:val="18"/>
              </w:rPr>
              <w:t>BR_102.04</w:t>
            </w:r>
            <w:r w:rsidRPr="009660C3">
              <w:rPr>
                <w:vanish/>
                <w:szCs w:val="18"/>
              </w:rPr>
              <w:t xml:space="preserve"> </w:t>
            </w:r>
            <w:r>
              <w:t xml:space="preserve">VBECS automatically logs onto </w:t>
            </w:r>
            <w:r w:rsidR="00CA0045" w:rsidRPr="00CA0045">
              <w:rPr>
                <w:bCs/>
              </w:rPr>
              <w:t>VistA</w:t>
            </w:r>
            <w:r>
              <w:t xml:space="preserve"> for the selected division.</w:t>
            </w:r>
          </w:p>
        </w:tc>
      </w:tr>
    </w:tbl>
    <w:p w14:paraId="1E84047C" w14:textId="4DDE9057" w:rsidR="00725947" w:rsidRDefault="00725947" w:rsidP="00725947">
      <w:pPr>
        <w:pStyle w:val="Caption"/>
      </w:pPr>
      <w:bookmarkStart w:id="120" w:name="_Ref136339357"/>
      <w:bookmarkStart w:id="121" w:name="_Ref126467828"/>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27</w:t>
      </w:r>
      <w:r w:rsidR="004E20BD">
        <w:rPr>
          <w:noProof/>
        </w:rPr>
        <w:fldChar w:fldCharType="end"/>
      </w:r>
      <w:bookmarkEnd w:id="120"/>
      <w:r>
        <w:t>: Remote Desktop Connection Options</w:t>
      </w:r>
    </w:p>
    <w:p w14:paraId="49ACD074" w14:textId="77777777" w:rsidR="00725947" w:rsidRDefault="00057948" w:rsidP="00725947">
      <w:pPr>
        <w:pStyle w:val="BodyText"/>
      </w:pPr>
      <w:r>
        <w:rPr>
          <w:noProof/>
        </w:rPr>
        <w:drawing>
          <wp:inline distT="0" distB="0" distL="0" distR="0" wp14:anchorId="0ADA3AB7" wp14:editId="15863A16">
            <wp:extent cx="4008755" cy="2466340"/>
            <wp:effectExtent l="0" t="0" r="0" b="0"/>
            <wp:docPr id="49" name="Picture 1" descr="P1010L10#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 descr="P1010L10#yIS1">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08755" cy="2466340"/>
                    </a:xfrm>
                    <a:prstGeom prst="rect">
                      <a:avLst/>
                    </a:prstGeom>
                    <a:noFill/>
                    <a:ln>
                      <a:noFill/>
                    </a:ln>
                  </pic:spPr>
                </pic:pic>
              </a:graphicData>
            </a:graphic>
          </wp:inline>
        </w:drawing>
      </w:r>
    </w:p>
    <w:p w14:paraId="10C78701" w14:textId="4CEAD940" w:rsidR="00E35400" w:rsidRDefault="0073377E" w:rsidP="00532542">
      <w:pPr>
        <w:pStyle w:val="Caption"/>
      </w:pPr>
      <w:bookmarkStart w:id="122" w:name="_Ref136339358"/>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28</w:t>
      </w:r>
      <w:r w:rsidR="004E20BD">
        <w:rPr>
          <w:noProof/>
        </w:rPr>
        <w:fldChar w:fldCharType="end"/>
      </w:r>
      <w:bookmarkEnd w:id="121"/>
      <w:bookmarkEnd w:id="122"/>
      <w:r w:rsidR="00314470">
        <w:t>: IAM – PIV Certificate</w:t>
      </w:r>
    </w:p>
    <w:p w14:paraId="4C9E6DDA" w14:textId="0910C629" w:rsidR="00532542" w:rsidRPr="00532542" w:rsidRDefault="00AB304C" w:rsidP="00532542">
      <w:pPr>
        <w:pStyle w:val="BodyText"/>
      </w:pPr>
      <w:r>
        <w:rPr>
          <w:noProof/>
          <w:color w:val="1F497D"/>
        </w:rPr>
        <w:drawing>
          <wp:inline distT="0" distB="0" distL="0" distR="0" wp14:anchorId="1306C202" wp14:editId="054D7F14">
            <wp:extent cx="4128770" cy="4091940"/>
            <wp:effectExtent l="0" t="0" r="5080" b="3810"/>
            <wp:docPr id="1179" name="Picture 1179" descr="P1012L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Picture 1179" descr="P1012L10#yIS1"/>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4128770" cy="4091940"/>
                    </a:xfrm>
                    <a:prstGeom prst="rect">
                      <a:avLst/>
                    </a:prstGeom>
                    <a:noFill/>
                    <a:ln>
                      <a:noFill/>
                    </a:ln>
                  </pic:spPr>
                </pic:pic>
              </a:graphicData>
            </a:graphic>
          </wp:inline>
        </w:drawing>
      </w:r>
    </w:p>
    <w:p w14:paraId="0D13EA41" w14:textId="3C1C3D73" w:rsidR="00632002" w:rsidRDefault="00632002" w:rsidP="00532542">
      <w:pPr>
        <w:pStyle w:val="Caption"/>
      </w:pPr>
      <w:bookmarkStart w:id="123" w:name="_Ref470094328"/>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29</w:t>
      </w:r>
      <w:r w:rsidR="004E20BD">
        <w:rPr>
          <w:noProof/>
        </w:rPr>
        <w:fldChar w:fldCharType="end"/>
      </w:r>
      <w:bookmarkEnd w:id="123"/>
      <w:r>
        <w:t>: ActivClient Login</w:t>
      </w:r>
    </w:p>
    <w:p w14:paraId="7BBF02C6" w14:textId="72FF9A45" w:rsidR="00532542" w:rsidRPr="00532542" w:rsidRDefault="00AB304C" w:rsidP="00532542">
      <w:pPr>
        <w:pStyle w:val="BodyText"/>
      </w:pPr>
      <w:r>
        <w:rPr>
          <w:noProof/>
          <w:color w:val="1F497D"/>
        </w:rPr>
        <w:drawing>
          <wp:inline distT="0" distB="0" distL="0" distR="0" wp14:anchorId="42E55910" wp14:editId="739695D9">
            <wp:extent cx="4082415" cy="2115185"/>
            <wp:effectExtent l="0" t="0" r="0" b="0"/>
            <wp:docPr id="1180" name="Picture 1180" descr="P1014L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Picture 1180" descr="P1014L10#yIS1"/>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4082415" cy="2115185"/>
                    </a:xfrm>
                    <a:prstGeom prst="rect">
                      <a:avLst/>
                    </a:prstGeom>
                    <a:noFill/>
                    <a:ln>
                      <a:noFill/>
                    </a:ln>
                  </pic:spPr>
                </pic:pic>
              </a:graphicData>
            </a:graphic>
          </wp:inline>
        </w:drawing>
      </w:r>
    </w:p>
    <w:p w14:paraId="500E6A2C" w14:textId="76CECBA6" w:rsidR="00632002" w:rsidRDefault="00632002" w:rsidP="00632002">
      <w:pPr>
        <w:pStyle w:val="Caption"/>
      </w:pPr>
      <w:bookmarkStart w:id="124" w:name="_Ref470094631"/>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30</w:t>
      </w:r>
      <w:r w:rsidR="004E20BD">
        <w:rPr>
          <w:noProof/>
        </w:rPr>
        <w:fldChar w:fldCharType="end"/>
      </w:r>
      <w:bookmarkEnd w:id="124"/>
      <w:r>
        <w:t>: Division Logon</w:t>
      </w:r>
    </w:p>
    <w:p w14:paraId="540BFA6B" w14:textId="77777777" w:rsidR="00632002" w:rsidRDefault="00057948" w:rsidP="00632002">
      <w:pPr>
        <w:pStyle w:val="BodyText"/>
        <w:rPr>
          <w:noProof/>
        </w:rPr>
      </w:pPr>
      <w:r>
        <w:rPr>
          <w:noProof/>
        </w:rPr>
        <w:drawing>
          <wp:inline distT="0" distB="0" distL="0" distR="0" wp14:anchorId="559B2A53" wp14:editId="3CB39249">
            <wp:extent cx="2900045" cy="1893570"/>
            <wp:effectExtent l="0" t="0" r="0" b="0"/>
            <wp:docPr id="52" name="Picture 15" descr="P1016L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5" descr="P1016L10#yIS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00045" cy="1893570"/>
                    </a:xfrm>
                    <a:prstGeom prst="rect">
                      <a:avLst/>
                    </a:prstGeom>
                    <a:noFill/>
                    <a:ln>
                      <a:noFill/>
                    </a:ln>
                  </pic:spPr>
                </pic:pic>
              </a:graphicData>
            </a:graphic>
          </wp:inline>
        </w:drawing>
      </w:r>
    </w:p>
    <w:p w14:paraId="6A92ABF1" w14:textId="6C1C5FDB" w:rsidR="00632002" w:rsidRDefault="00632002" w:rsidP="00632002">
      <w:pPr>
        <w:pStyle w:val="Caption"/>
      </w:pPr>
      <w:bookmarkStart w:id="125" w:name="_Ref470094882"/>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31</w:t>
      </w:r>
      <w:r w:rsidR="004E20BD">
        <w:rPr>
          <w:noProof/>
        </w:rPr>
        <w:fldChar w:fldCharType="end"/>
      </w:r>
      <w:bookmarkEnd w:id="125"/>
      <w:r>
        <w:t>: VistA Access and Verify Code Logon</w:t>
      </w:r>
    </w:p>
    <w:p w14:paraId="17DB2AEC" w14:textId="77777777" w:rsidR="00632002" w:rsidRPr="00632002" w:rsidRDefault="00057948" w:rsidP="00632002">
      <w:pPr>
        <w:pStyle w:val="BodyText"/>
      </w:pPr>
      <w:r>
        <w:rPr>
          <w:noProof/>
        </w:rPr>
        <w:drawing>
          <wp:inline distT="0" distB="0" distL="0" distR="0" wp14:anchorId="4FFFD615" wp14:editId="596F2459">
            <wp:extent cx="3195955" cy="2383155"/>
            <wp:effectExtent l="0" t="0" r="4445" b="0"/>
            <wp:docPr id="53" name="Picture 1" descr="P1018L10#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 descr="P1018L10#yIS1">
                      <a:extLst>
                        <a:ext uri="{C183D7F6-B498-43B3-948B-1728B52AA6E4}">
                          <adec:decorative xmlns:adec="http://schemas.microsoft.com/office/drawing/2017/decorative" val="1"/>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95955" cy="2383155"/>
                    </a:xfrm>
                    <a:prstGeom prst="rect">
                      <a:avLst/>
                    </a:prstGeom>
                    <a:noFill/>
                    <a:ln>
                      <a:noFill/>
                    </a:ln>
                  </pic:spPr>
                </pic:pic>
              </a:graphicData>
            </a:graphic>
          </wp:inline>
        </w:drawing>
      </w:r>
    </w:p>
    <w:p w14:paraId="4E0A6890" w14:textId="668B08CE" w:rsidR="002A21AE" w:rsidRDefault="002A21AE">
      <w:pPr>
        <w:pStyle w:val="Heading4"/>
      </w:pPr>
      <w:r>
        <w:lastRenderedPageBreak/>
        <w:t>Restore</w:t>
      </w:r>
      <w:r w:rsidR="00CA0045">
        <w:t xml:space="preserve"> VistA</w:t>
      </w:r>
      <w:r w:rsidR="00FB7B1E">
        <w:t>Link</w:t>
      </w:r>
      <w:r>
        <w:t xml:space="preserve"> Connection</w:t>
      </w:r>
      <w:r>
        <w:fldChar w:fldCharType="begin"/>
      </w:r>
      <w:r>
        <w:instrText xml:space="preserve"> XE </w:instrText>
      </w:r>
      <w:r w:rsidR="00FA7E65">
        <w:instrText>“</w:instrText>
      </w:r>
      <w:r>
        <w:instrText>Restore VistA Connection</w:instrText>
      </w:r>
      <w:r w:rsidR="00FA7E65">
        <w:instrText>”</w:instrText>
      </w:r>
      <w:r>
        <w:instrText xml:space="preserve"> </w:instrText>
      </w:r>
      <w:r>
        <w:fldChar w:fldCharType="end"/>
      </w:r>
      <w:r>
        <w:t xml:space="preserve"> </w:t>
      </w:r>
      <w:r>
        <w:rPr>
          <w:rFonts w:ascii="Times New Roman" w:hAnsi="Times New Roman"/>
          <w:b w:val="0"/>
          <w:vanish/>
        </w:rPr>
        <w:t>UC_10</w:t>
      </w:r>
      <w:r w:rsidR="004E5EEE">
        <w:rPr>
          <w:rFonts w:ascii="Times New Roman" w:hAnsi="Times New Roman"/>
          <w:b w:val="0"/>
          <w:vanish/>
        </w:rPr>
        <w:t>2</w:t>
      </w:r>
    </w:p>
    <w:p w14:paraId="005A4B6F" w14:textId="77777777" w:rsidR="00FB7B1E" w:rsidRDefault="00FB7B1E" w:rsidP="00FB7B1E">
      <w:pPr>
        <w:pStyle w:val="BodyText"/>
      </w:pPr>
      <w:r>
        <w:t>Before any option requiring VistALink is started, the system validates VistALink availability. When the server does not respond or there is no active connection, the system br</w:t>
      </w:r>
      <w:r w:rsidR="00D86E6D">
        <w:t xml:space="preserve">ings up the dialog informing </w:t>
      </w:r>
      <w:r>
        <w:t xml:space="preserve">the user </w:t>
      </w:r>
      <w:r w:rsidR="00D86E6D">
        <w:t>of</w:t>
      </w:r>
      <w:r>
        <w:t xml:space="preserve"> the VistALink connection’s unavailability and offering the option to restore the connection. </w:t>
      </w:r>
    </w:p>
    <w:p w14:paraId="230CA31D" w14:textId="77777777" w:rsidR="002A21AE" w:rsidRDefault="002A21AE">
      <w:pPr>
        <w:pStyle w:val="Heading4"/>
      </w:pPr>
      <w:r>
        <w:t>Restore</w:t>
      </w:r>
      <w:r w:rsidR="00CA0045">
        <w:t xml:space="preserve"> VistA</w:t>
      </w:r>
      <w:r w:rsidR="00D86E6D">
        <w:t>Link</w:t>
      </w:r>
      <w:r>
        <w:t xml:space="preserve"> Connection</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6138"/>
      </w:tblGrid>
      <w:tr w:rsidR="002A21AE" w14:paraId="12BB0981" w14:textId="77777777">
        <w:trPr>
          <w:tblHeader/>
        </w:trPr>
        <w:tc>
          <w:tcPr>
            <w:tcW w:w="3330" w:type="dxa"/>
            <w:shd w:val="pct30" w:color="auto" w:fill="FFFFFF"/>
            <w:vAlign w:val="bottom"/>
          </w:tcPr>
          <w:p w14:paraId="36DA5572" w14:textId="77777777" w:rsidR="002A21AE" w:rsidRDefault="002A21AE">
            <w:pPr>
              <w:pStyle w:val="TableText"/>
              <w:rPr>
                <w:b/>
              </w:rPr>
            </w:pPr>
            <w:r>
              <w:rPr>
                <w:b/>
              </w:rPr>
              <w:t>User Action</w:t>
            </w:r>
          </w:p>
        </w:tc>
        <w:tc>
          <w:tcPr>
            <w:tcW w:w="6138" w:type="dxa"/>
            <w:shd w:val="pct30" w:color="auto" w:fill="FFFFFF"/>
            <w:vAlign w:val="bottom"/>
          </w:tcPr>
          <w:p w14:paraId="710CCA55" w14:textId="77777777" w:rsidR="002A21AE" w:rsidRDefault="002A21AE">
            <w:pPr>
              <w:pStyle w:val="TableText"/>
              <w:rPr>
                <w:b/>
              </w:rPr>
            </w:pPr>
            <w:r>
              <w:rPr>
                <w:b/>
              </w:rPr>
              <w:t>VBECS</w:t>
            </w:r>
          </w:p>
        </w:tc>
      </w:tr>
      <w:tr w:rsidR="002A21AE" w14:paraId="2846B9C3" w14:textId="77777777">
        <w:tc>
          <w:tcPr>
            <w:tcW w:w="3330" w:type="dxa"/>
          </w:tcPr>
          <w:p w14:paraId="2C685F9F" w14:textId="75E5CCB0" w:rsidR="002A21AE" w:rsidRDefault="00D86E6D">
            <w:pPr>
              <w:pStyle w:val="TableTextNumbers"/>
            </w:pPr>
            <w:r>
              <w:t>The</w:t>
            </w:r>
            <w:r w:rsidR="008A2E47">
              <w:t xml:space="preserve"> </w:t>
            </w:r>
            <w:r w:rsidR="008A2E47" w:rsidRPr="008A2E47">
              <w:rPr>
                <w:b/>
              </w:rPr>
              <w:t>Restore</w:t>
            </w:r>
            <w:r w:rsidR="008A2E47">
              <w:t xml:space="preserve"> </w:t>
            </w:r>
            <w:r>
              <w:t>option is presented. C</w:t>
            </w:r>
            <w:r w:rsidR="008A2E47">
              <w:t xml:space="preserve">hoose to </w:t>
            </w:r>
            <w:r>
              <w:t xml:space="preserve">restore or </w:t>
            </w:r>
            <w:r w:rsidR="008A2E47">
              <w:t>cancel</w:t>
            </w:r>
            <w:r w:rsidR="00D00478">
              <w:t xml:space="preserve"> (</w:t>
            </w:r>
            <w:r w:rsidR="00D00478">
              <w:fldChar w:fldCharType="begin" w:fldLock="1"/>
            </w:r>
            <w:r w:rsidR="00D00478">
              <w:instrText xml:space="preserve"> REF _Ref470094912 \h </w:instrText>
            </w:r>
            <w:r w:rsidR="00D00478">
              <w:fldChar w:fldCharType="separate"/>
            </w:r>
            <w:r w:rsidR="00AB304C">
              <w:t xml:space="preserve">Figure </w:t>
            </w:r>
            <w:r w:rsidR="00AB304C">
              <w:rPr>
                <w:noProof/>
              </w:rPr>
              <w:t>32</w:t>
            </w:r>
            <w:r w:rsidR="00D00478">
              <w:fldChar w:fldCharType="end"/>
            </w:r>
            <w:r w:rsidR="008A2E47">
              <w:t>)</w:t>
            </w:r>
            <w:r w:rsidR="002A21AE">
              <w:t>.</w:t>
            </w:r>
          </w:p>
        </w:tc>
        <w:tc>
          <w:tcPr>
            <w:tcW w:w="6138" w:type="dxa"/>
          </w:tcPr>
          <w:p w14:paraId="3B2934B9" w14:textId="77777777" w:rsidR="002A21AE" w:rsidRDefault="002A21AE">
            <w:pPr>
              <w:pStyle w:val="TableTextBullet"/>
            </w:pPr>
            <w:r>
              <w:t>Attempts to connect using the user’s</w:t>
            </w:r>
            <w:r w:rsidR="00D86E6D">
              <w:t xml:space="preserve"> previously entered PIV/PIN</w:t>
            </w:r>
            <w:r>
              <w:t xml:space="preserve"> information when logon information is entered. </w:t>
            </w:r>
          </w:p>
          <w:p w14:paraId="36D86E81" w14:textId="77777777" w:rsidR="002A21AE" w:rsidRDefault="00D86E6D">
            <w:pPr>
              <w:pStyle w:val="TableTextBullet"/>
            </w:pPr>
            <w:r w:rsidRPr="00D86E6D">
              <w:rPr>
                <w:vanish/>
              </w:rPr>
              <w:t xml:space="preserve">BR_102.11 </w:t>
            </w:r>
            <w:r w:rsidR="002A21AE">
              <w:t xml:space="preserve">When </w:t>
            </w:r>
            <w:r>
              <w:t>VBECS/Administrator is up and running and user attempts to access a VistALink dependent option when VistALink is not connected, the system will prompt a reconnection dialog where user will have two options: to reconnect or to cancel. When the reconnect process fails or when the user cancels, the system shows an error dialog</w:t>
            </w:r>
            <w:r w:rsidR="008A2E47">
              <w:t>.</w:t>
            </w:r>
          </w:p>
          <w:p w14:paraId="281427C7" w14:textId="77777777" w:rsidR="002A21AE" w:rsidRDefault="00DE61D9">
            <w:pPr>
              <w:pStyle w:val="TableTextBullet"/>
            </w:pPr>
            <w:r w:rsidRPr="00DE61D9">
              <w:rPr>
                <w:vanish/>
              </w:rPr>
              <w:t xml:space="preserve">BR_103.03 </w:t>
            </w:r>
            <w:r w:rsidR="002A21AE">
              <w:t xml:space="preserve">Closes the pop-up when the user clicks </w:t>
            </w:r>
            <w:r w:rsidR="002A21AE">
              <w:rPr>
                <w:b/>
              </w:rPr>
              <w:t>Cancel</w:t>
            </w:r>
            <w:r w:rsidR="002A21AE">
              <w:t>.</w:t>
            </w:r>
          </w:p>
        </w:tc>
      </w:tr>
      <w:tr w:rsidR="00D86E6D" w14:paraId="1484CD75" w14:textId="77777777">
        <w:tc>
          <w:tcPr>
            <w:tcW w:w="3330" w:type="dxa"/>
          </w:tcPr>
          <w:p w14:paraId="3C5137B8" w14:textId="513CF885" w:rsidR="00D86E6D" w:rsidRDefault="00F40ED2" w:rsidP="00CC1BC3">
            <w:pPr>
              <w:pStyle w:val="TableTextNumbers"/>
            </w:pPr>
            <w:r>
              <w:t>If site is not PIV exempt, u</w:t>
            </w:r>
            <w:r w:rsidR="00D86E6D">
              <w:t>se PIV and PIN to connect to VistALink</w:t>
            </w:r>
            <w:r w:rsidR="00B437AD">
              <w:t xml:space="preserve"> (</w:t>
            </w:r>
            <w:r w:rsidR="00B437AD">
              <w:fldChar w:fldCharType="begin" w:fldLock="1"/>
            </w:r>
            <w:r w:rsidR="00B437AD">
              <w:instrText xml:space="preserve"> REF _Ref136339358 \h </w:instrText>
            </w:r>
            <w:r w:rsidR="00B437AD">
              <w:fldChar w:fldCharType="separate"/>
            </w:r>
            <w:r w:rsidR="00AB304C">
              <w:t xml:space="preserve">Figure </w:t>
            </w:r>
            <w:r w:rsidR="00AB304C">
              <w:rPr>
                <w:noProof/>
              </w:rPr>
              <w:t>28</w:t>
            </w:r>
            <w:r w:rsidR="00B437AD">
              <w:fldChar w:fldCharType="end"/>
            </w:r>
            <w:r w:rsidR="00B437AD">
              <w:t xml:space="preserve"> and </w:t>
            </w:r>
            <w:r w:rsidR="00B437AD">
              <w:fldChar w:fldCharType="begin" w:fldLock="1"/>
            </w:r>
            <w:r w:rsidR="00B437AD">
              <w:instrText xml:space="preserve"> REF _Ref470094328 \h </w:instrText>
            </w:r>
            <w:r w:rsidR="00B437AD">
              <w:fldChar w:fldCharType="separate"/>
            </w:r>
            <w:r w:rsidR="00AB304C">
              <w:t xml:space="preserve">Figure </w:t>
            </w:r>
            <w:r w:rsidR="00AB304C">
              <w:rPr>
                <w:noProof/>
              </w:rPr>
              <w:t>29</w:t>
            </w:r>
            <w:r w:rsidR="00B437AD">
              <w:fldChar w:fldCharType="end"/>
            </w:r>
            <w:r w:rsidR="00D86E6D">
              <w:t>).</w:t>
            </w:r>
            <w:r w:rsidRPr="00812458">
              <w:rPr>
                <w:vanish/>
              </w:rPr>
              <w:t xml:space="preserve"> Task 561381</w:t>
            </w:r>
          </w:p>
          <w:p w14:paraId="12D36B6F" w14:textId="77777777" w:rsidR="00D86E6D" w:rsidRDefault="00D86E6D" w:rsidP="00D86E6D">
            <w:pPr>
              <w:pStyle w:val="TableTextNumbers"/>
              <w:numPr>
                <w:ilvl w:val="0"/>
                <w:numId w:val="0"/>
              </w:numPr>
              <w:ind w:left="288" w:hanging="288"/>
            </w:pPr>
          </w:p>
          <w:p w14:paraId="53CD2FC7" w14:textId="77777777" w:rsidR="00F876CD" w:rsidRDefault="00F876CD" w:rsidP="00F876CD">
            <w:pPr>
              <w:pStyle w:val="TableTextNumbers"/>
              <w:numPr>
                <w:ilvl w:val="0"/>
                <w:numId w:val="0"/>
              </w:numPr>
              <w:ind w:left="288"/>
            </w:pPr>
            <w:r>
              <w:t>If the IAM PIV sign on process succeeds, continue at Step 4.</w:t>
            </w:r>
          </w:p>
          <w:p w14:paraId="01AED6D0" w14:textId="77777777" w:rsidR="00F876CD" w:rsidRDefault="00F876CD" w:rsidP="00F876CD">
            <w:pPr>
              <w:pStyle w:val="TableTextNumbers"/>
              <w:numPr>
                <w:ilvl w:val="0"/>
                <w:numId w:val="0"/>
              </w:numPr>
              <w:ind w:left="288" w:hanging="288"/>
            </w:pPr>
          </w:p>
          <w:p w14:paraId="2B73A428" w14:textId="77777777" w:rsidR="00F876CD" w:rsidRDefault="00F876CD" w:rsidP="00D86E6D">
            <w:pPr>
              <w:pStyle w:val="TableTextNumbers"/>
              <w:numPr>
                <w:ilvl w:val="0"/>
                <w:numId w:val="0"/>
              </w:numPr>
              <w:ind w:left="288" w:hanging="288"/>
            </w:pPr>
          </w:p>
          <w:p w14:paraId="0E6D6E06" w14:textId="77777777" w:rsidR="00D86E6D" w:rsidRDefault="00650B86" w:rsidP="00F876CD">
            <w:pPr>
              <w:pStyle w:val="TableTextNumbers"/>
              <w:numPr>
                <w:ilvl w:val="0"/>
                <w:numId w:val="0"/>
              </w:numPr>
              <w:ind w:left="288"/>
            </w:pPr>
            <w:r>
              <w:t xml:space="preserve"> </w:t>
            </w:r>
            <w:r w:rsidR="00D86E6D">
              <w:t>If the IAM PIV sign on process fails</w:t>
            </w:r>
            <w:r>
              <w:t>, continue to next step.</w:t>
            </w:r>
          </w:p>
        </w:tc>
        <w:tc>
          <w:tcPr>
            <w:tcW w:w="6138" w:type="dxa"/>
          </w:tcPr>
          <w:p w14:paraId="17229E58" w14:textId="77777777" w:rsidR="00650B86" w:rsidRPr="00650B86" w:rsidRDefault="00650B86" w:rsidP="00CC1BC3">
            <w:pPr>
              <w:pStyle w:val="TableTextBullet"/>
            </w:pPr>
            <w:r w:rsidRPr="00650B86">
              <w:t>Directs user to the IAM service interface to select PIV certificate and possibly to re-enter PIN</w:t>
            </w:r>
          </w:p>
          <w:p w14:paraId="2621585B" w14:textId="77777777" w:rsidR="00D86E6D" w:rsidRPr="00650B86" w:rsidRDefault="00650B86" w:rsidP="00CC1BC3">
            <w:pPr>
              <w:pStyle w:val="TableTextBullet"/>
            </w:pPr>
            <w:r w:rsidRPr="00650B86">
              <w:t>If the IAM PIV sign on process fails, VBECS continues to the next step and prompts user for VistA Access and Verify Code. The user may log onto VistA or continue and log on as needed</w:t>
            </w:r>
            <w:r w:rsidR="00D86E6D" w:rsidRPr="00650B86">
              <w:t>.</w:t>
            </w:r>
          </w:p>
          <w:p w14:paraId="68477259" w14:textId="77777777" w:rsidR="00D86E6D" w:rsidRDefault="00D86E6D" w:rsidP="00CC1BC3">
            <w:pPr>
              <w:pStyle w:val="TableTextBullet"/>
              <w:numPr>
                <w:ilvl w:val="0"/>
                <w:numId w:val="0"/>
              </w:numPr>
              <w:ind w:left="288"/>
            </w:pPr>
          </w:p>
          <w:p w14:paraId="17FAB1A0" w14:textId="77777777" w:rsidR="00D86E6D" w:rsidRDefault="00057948" w:rsidP="00CC1BC3">
            <w:pPr>
              <w:pStyle w:val="TableText"/>
              <w:rPr>
                <w:b/>
                <w:bCs/>
                <w:szCs w:val="18"/>
              </w:rPr>
            </w:pPr>
            <w:r>
              <w:rPr>
                <w:b/>
                <w:bCs/>
                <w:noProof/>
              </w:rPr>
              <mc:AlternateContent>
                <mc:Choice Requires="wps">
                  <w:drawing>
                    <wp:anchor distT="0" distB="0" distL="114300" distR="114300" simplePos="0" relativeHeight="251676672" behindDoc="0" locked="0" layoutInCell="1" allowOverlap="1" wp14:anchorId="2A71B898" wp14:editId="17D259AE">
                      <wp:simplePos x="0" y="0"/>
                      <wp:positionH relativeFrom="column">
                        <wp:posOffset>457200</wp:posOffset>
                      </wp:positionH>
                      <wp:positionV relativeFrom="paragraph">
                        <wp:posOffset>65405</wp:posOffset>
                      </wp:positionV>
                      <wp:extent cx="3200400" cy="0"/>
                      <wp:effectExtent l="9525" t="17780" r="9525" b="10795"/>
                      <wp:wrapNone/>
                      <wp:docPr id="592" name="Line 1306" descr="P1039L10C6T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F9F61" id="Line 1306" o:spid="_x0000_s1026" alt="&quot;&quot;"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NkfBffEAQAAbwMAAA4AAAAAAAAAAAAAAAAA&#10;LgIAAGRycy9lMm9Eb2MueG1sUEsBAi0AFAAGAAgAAAAhABdPMBLbAAAACAEAAA8AAAAAAAAAAAAA&#10;AAAAHgQAAGRycy9kb3ducmV2LnhtbFBLBQYAAAAABAAEAPMAAAAmBQAAAAA=&#10;" strokeweight="1.5pt"/>
                  </w:pict>
                </mc:Fallback>
              </mc:AlternateContent>
            </w:r>
            <w:r w:rsidR="00D86E6D">
              <w:rPr>
                <w:b/>
                <w:bCs/>
                <w:szCs w:val="18"/>
              </w:rPr>
              <w:t>NOTES</w:t>
            </w:r>
          </w:p>
          <w:p w14:paraId="077D132E" w14:textId="77777777" w:rsidR="00D86E6D" w:rsidRDefault="00D86E6D" w:rsidP="00CC1BC3">
            <w:pPr>
              <w:pStyle w:val="NotesText"/>
            </w:pPr>
          </w:p>
          <w:p w14:paraId="64558D32" w14:textId="77777777" w:rsidR="00D86E6D" w:rsidRDefault="00650B86" w:rsidP="00CC1BC3">
            <w:pPr>
              <w:pStyle w:val="NotesText"/>
            </w:pPr>
            <w:r w:rsidRPr="00650B86">
              <w:rPr>
                <w:vanish/>
              </w:rPr>
              <w:t xml:space="preserve">BR_102.10 </w:t>
            </w:r>
            <w:r>
              <w:t>The system prompts the user for their access and verify code when there is no active IAM service certification</w:t>
            </w:r>
            <w:r w:rsidR="00D86E6D">
              <w:t>.</w:t>
            </w:r>
          </w:p>
          <w:p w14:paraId="4116ADED" w14:textId="77777777" w:rsidR="00650B86" w:rsidRDefault="00650B86" w:rsidP="00CC1BC3">
            <w:pPr>
              <w:pStyle w:val="NotesText"/>
            </w:pPr>
          </w:p>
          <w:p w14:paraId="1E1B331E" w14:textId="77777777" w:rsidR="00650B86" w:rsidRDefault="00650B86" w:rsidP="00CC1BC3">
            <w:pPr>
              <w:pStyle w:val="NotesText"/>
            </w:pPr>
            <w:r w:rsidRPr="00650B86">
              <w:rPr>
                <w:vanish/>
              </w:rPr>
              <w:t xml:space="preserve">DR 1,116 </w:t>
            </w:r>
            <w:r>
              <w:t>When a user logs into VBECS, the connection to VistA is established and the data in the cache tables are out-of-date. VBECS retrieves the current data from VistA and saves them. This update process may delay user login.</w:t>
            </w:r>
          </w:p>
        </w:tc>
      </w:tr>
      <w:tr w:rsidR="00650B86" w14:paraId="2C004C04" w14:textId="77777777">
        <w:tc>
          <w:tcPr>
            <w:tcW w:w="3330" w:type="dxa"/>
          </w:tcPr>
          <w:p w14:paraId="45CAC6E3" w14:textId="0190D902" w:rsidR="00650B86" w:rsidRDefault="00650B86" w:rsidP="00CC1BC3">
            <w:pPr>
              <w:pStyle w:val="TableTextNumbers"/>
            </w:pPr>
            <w:r>
              <w:t>Enter the VistA Access and Verify Code</w:t>
            </w:r>
            <w:r w:rsidR="00B437AD">
              <w:t>s (</w:t>
            </w:r>
            <w:r w:rsidR="00B437AD">
              <w:fldChar w:fldCharType="begin" w:fldLock="1"/>
            </w:r>
            <w:r w:rsidR="00B437AD">
              <w:instrText xml:space="preserve"> REF _Ref470094882 \h </w:instrText>
            </w:r>
            <w:r w:rsidR="00B437AD">
              <w:fldChar w:fldCharType="separate"/>
            </w:r>
            <w:r w:rsidR="00AB304C">
              <w:t xml:space="preserve">Figure </w:t>
            </w:r>
            <w:r w:rsidR="00AB304C">
              <w:rPr>
                <w:noProof/>
              </w:rPr>
              <w:t>31</w:t>
            </w:r>
            <w:r w:rsidR="00B437AD">
              <w:fldChar w:fldCharType="end"/>
            </w:r>
            <w:r>
              <w:t>).</w:t>
            </w:r>
          </w:p>
        </w:tc>
        <w:tc>
          <w:tcPr>
            <w:tcW w:w="6138" w:type="dxa"/>
          </w:tcPr>
          <w:p w14:paraId="0F3CD3F3" w14:textId="77777777" w:rsidR="00650B86" w:rsidRPr="00EB7907" w:rsidRDefault="00E8576E" w:rsidP="00650B86">
            <w:pPr>
              <w:pStyle w:val="TableTextBullet"/>
              <w:rPr>
                <w:rFonts w:cs="Arial"/>
                <w:szCs w:val="18"/>
              </w:rPr>
            </w:pPr>
            <w:r w:rsidRPr="00E8576E">
              <w:rPr>
                <w:rFonts w:cs="Arial"/>
                <w:vanish/>
                <w:szCs w:val="18"/>
              </w:rPr>
              <w:t xml:space="preserve">BR_102.13 </w:t>
            </w:r>
            <w:r w:rsidR="00650B86" w:rsidRPr="00EB7907">
              <w:rPr>
                <w:rFonts w:cs="Arial"/>
                <w:szCs w:val="18"/>
              </w:rPr>
              <w:t>The system will reuse the security credentials initially entered in this user’s session (VistA Access and Verify Codes) to perform VistA logoff and logon without user interaction.</w:t>
            </w:r>
          </w:p>
          <w:p w14:paraId="2B9BD0D1" w14:textId="77777777" w:rsidR="00650B86" w:rsidRDefault="00650B86" w:rsidP="00650B86">
            <w:pPr>
              <w:pStyle w:val="TableTextBullet"/>
            </w:pPr>
            <w:r w:rsidRPr="00EB7907">
              <w:rPr>
                <w:vanish/>
              </w:rPr>
              <w:t xml:space="preserve">BR_102.06 </w:t>
            </w:r>
            <w:r>
              <w:t xml:space="preserve">Allows a user to log on by entering </w:t>
            </w:r>
            <w:r w:rsidRPr="00CA0045">
              <w:rPr>
                <w:bCs/>
              </w:rPr>
              <w:t>VistA</w:t>
            </w:r>
            <w:r>
              <w:t xml:space="preserve"> Access and Verify Codes, separated by a semicolon (;), in the Access Code data entry field.</w:t>
            </w:r>
          </w:p>
          <w:p w14:paraId="13A6BCF7" w14:textId="77777777" w:rsidR="00650B86" w:rsidRPr="001F5982" w:rsidRDefault="00650B86" w:rsidP="00650B86">
            <w:pPr>
              <w:pStyle w:val="TableTextBullet"/>
              <w:rPr>
                <w:szCs w:val="20"/>
              </w:rPr>
            </w:pPr>
            <w:r w:rsidRPr="00E274BF">
              <w:rPr>
                <w:rFonts w:cs="Arial"/>
                <w:vanish/>
                <w:szCs w:val="18"/>
              </w:rPr>
              <w:t>BR_102.02</w:t>
            </w:r>
            <w:r>
              <w:rPr>
                <w:rFonts w:ascii="Times New Roman" w:hAnsi="Times New Roman"/>
                <w:vanish/>
                <w:sz w:val="22"/>
              </w:rPr>
              <w:t xml:space="preserve"> </w:t>
            </w:r>
            <w:r>
              <w:t xml:space="preserve">Verifies that the user credentials for the VBECS and </w:t>
            </w:r>
            <w:r w:rsidRPr="00CA0045">
              <w:rPr>
                <w:bCs/>
              </w:rPr>
              <w:t>VistA</w:t>
            </w:r>
            <w:r>
              <w:t xml:space="preserve"> Access and Verify Codes belong to the same user.</w:t>
            </w:r>
          </w:p>
          <w:p w14:paraId="7EAC1DCD" w14:textId="77777777" w:rsidR="00650B86" w:rsidRPr="00650B86" w:rsidRDefault="00650B86" w:rsidP="00650B86">
            <w:pPr>
              <w:pStyle w:val="TableTextBullet"/>
            </w:pPr>
            <w:r w:rsidRPr="007B7F36">
              <w:t>Emits a tone to verify that the workstation’s sound works.</w:t>
            </w:r>
          </w:p>
        </w:tc>
      </w:tr>
      <w:tr w:rsidR="00650B86" w14:paraId="587E51DA" w14:textId="77777777">
        <w:tc>
          <w:tcPr>
            <w:tcW w:w="3330" w:type="dxa"/>
          </w:tcPr>
          <w:p w14:paraId="227109C0" w14:textId="77777777" w:rsidR="00650B86" w:rsidRDefault="00650B86">
            <w:pPr>
              <w:pStyle w:val="TableTextNumbers"/>
            </w:pPr>
            <w:r>
              <w:t xml:space="preserve">Continue working in the VistALink dependent option. </w:t>
            </w:r>
            <w:r w:rsidRPr="00912F51">
              <w:rPr>
                <w:color w:val="FFFFFF"/>
              </w:rPr>
              <w:fldChar w:fldCharType="begin"/>
            </w:r>
            <w:r w:rsidRPr="00912F51">
              <w:rPr>
                <w:color w:val="FFFFFF"/>
              </w:rPr>
              <w:instrText xml:space="preserve"> LISTNUM \l 1 \s 0 </w:instrText>
            </w:r>
            <w:r w:rsidRPr="00912F51">
              <w:rPr>
                <w:color w:val="FFFFFF"/>
              </w:rPr>
              <w:fldChar w:fldCharType="end"/>
            </w:r>
            <w:r>
              <w:rPr>
                <w:vanish/>
                <w:szCs w:val="18"/>
              </w:rPr>
              <w:t xml:space="preserve"> </w:t>
            </w:r>
          </w:p>
        </w:tc>
        <w:tc>
          <w:tcPr>
            <w:tcW w:w="6138" w:type="dxa"/>
          </w:tcPr>
          <w:p w14:paraId="658FCB7C" w14:textId="77777777" w:rsidR="00650B86" w:rsidRDefault="00650B86" w:rsidP="00CC1BC3">
            <w:pPr>
              <w:pStyle w:val="TableTextBullet"/>
            </w:pPr>
            <w:r>
              <w:t>Displays the VistALink dependent option.</w:t>
            </w:r>
          </w:p>
        </w:tc>
      </w:tr>
    </w:tbl>
    <w:p w14:paraId="0116F110" w14:textId="4534D543" w:rsidR="008C616F" w:rsidRDefault="008C616F" w:rsidP="008C616F">
      <w:pPr>
        <w:pStyle w:val="Caption"/>
      </w:pPr>
      <w:bookmarkStart w:id="126" w:name="_Ref470094912"/>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32</w:t>
      </w:r>
      <w:r w:rsidR="004E20BD">
        <w:rPr>
          <w:noProof/>
        </w:rPr>
        <w:fldChar w:fldCharType="end"/>
      </w:r>
      <w:bookmarkEnd w:id="126"/>
      <w:r>
        <w:t>: Restore VistA Connection</w:t>
      </w:r>
    </w:p>
    <w:p w14:paraId="682AB69F" w14:textId="77777777" w:rsidR="008C616F" w:rsidRPr="008C616F" w:rsidRDefault="00057948" w:rsidP="008C616F">
      <w:pPr>
        <w:pStyle w:val="BodyText"/>
      </w:pPr>
      <w:r>
        <w:rPr>
          <w:noProof/>
        </w:rPr>
        <w:drawing>
          <wp:inline distT="0" distB="0" distL="0" distR="0" wp14:anchorId="50950B4B" wp14:editId="00DF2107">
            <wp:extent cx="4137660" cy="1995170"/>
            <wp:effectExtent l="0" t="0" r="0" b="5080"/>
            <wp:docPr id="54" name="Picture 16" descr="P1055L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6" descr="P1055L10#yIS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37660" cy="1995170"/>
                    </a:xfrm>
                    <a:prstGeom prst="rect">
                      <a:avLst/>
                    </a:prstGeom>
                    <a:noFill/>
                    <a:ln>
                      <a:noFill/>
                    </a:ln>
                  </pic:spPr>
                </pic:pic>
              </a:graphicData>
            </a:graphic>
          </wp:inline>
        </w:drawing>
      </w:r>
    </w:p>
    <w:p w14:paraId="49ACDA5D" w14:textId="77777777" w:rsidR="00A63649" w:rsidRDefault="00A63649" w:rsidP="00A63649">
      <w:pPr>
        <w:pStyle w:val="Heading3"/>
      </w:pPr>
      <w:bookmarkStart w:id="127" w:name="_Toc4588730"/>
      <w:r>
        <w:t>Exit VBECS</w:t>
      </w:r>
      <w:bookmarkEnd w:id="127"/>
    </w:p>
    <w:p w14:paraId="0741F69C" w14:textId="77777777" w:rsidR="00440657" w:rsidRDefault="0066150B" w:rsidP="0066150B">
      <w:pPr>
        <w:pStyle w:val="BodyText"/>
      </w:pPr>
      <w:r>
        <w:t xml:space="preserve">A user may </w:t>
      </w:r>
      <w:r w:rsidR="00A56A63">
        <w:t>log off</w:t>
      </w:r>
      <w:r w:rsidR="00A63649">
        <w:t xml:space="preserve"> the </w:t>
      </w:r>
      <w:r w:rsidR="00FB0351">
        <w:t>VBECS se</w:t>
      </w:r>
      <w:r w:rsidR="00A63649">
        <w:t xml:space="preserve">ssion. </w:t>
      </w:r>
    </w:p>
    <w:p w14:paraId="32C194C8" w14:textId="77777777" w:rsidR="0003045D" w:rsidRDefault="0003045D">
      <w:pPr>
        <w:rPr>
          <w:rFonts w:ascii="Arial" w:hAnsi="Arial"/>
          <w:b/>
          <w:sz w:val="22"/>
        </w:rPr>
      </w:pPr>
      <w:r>
        <w:br w:type="page"/>
      </w:r>
    </w:p>
    <w:p w14:paraId="089E6377" w14:textId="34155DF0" w:rsidR="001615A5" w:rsidRDefault="00A56A63" w:rsidP="001615A5">
      <w:pPr>
        <w:pStyle w:val="Heading4"/>
      </w:pPr>
      <w:r>
        <w:lastRenderedPageBreak/>
        <w:t>Log Off</w:t>
      </w:r>
      <w:r w:rsidR="001615A5">
        <w:t xml:space="preserve"> </w:t>
      </w:r>
      <w:r w:rsidR="00A55BC7">
        <w:t xml:space="preserve">VBECS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6138"/>
      </w:tblGrid>
      <w:tr w:rsidR="001615A5" w14:paraId="2157BE9A" w14:textId="77777777">
        <w:trPr>
          <w:tblHeader/>
        </w:trPr>
        <w:tc>
          <w:tcPr>
            <w:tcW w:w="3330" w:type="dxa"/>
            <w:shd w:val="pct30" w:color="auto" w:fill="FFFFFF"/>
            <w:vAlign w:val="bottom"/>
          </w:tcPr>
          <w:p w14:paraId="3F5A86D3" w14:textId="77777777" w:rsidR="001615A5" w:rsidRDefault="001615A5" w:rsidP="0065349F">
            <w:pPr>
              <w:pStyle w:val="TableText"/>
              <w:rPr>
                <w:b/>
              </w:rPr>
            </w:pPr>
            <w:r>
              <w:rPr>
                <w:b/>
              </w:rPr>
              <w:t>User Action</w:t>
            </w:r>
          </w:p>
        </w:tc>
        <w:tc>
          <w:tcPr>
            <w:tcW w:w="6138" w:type="dxa"/>
            <w:shd w:val="pct30" w:color="auto" w:fill="FFFFFF"/>
            <w:vAlign w:val="bottom"/>
          </w:tcPr>
          <w:p w14:paraId="0EF32825" w14:textId="77777777" w:rsidR="001615A5" w:rsidRDefault="001615A5" w:rsidP="0065349F">
            <w:pPr>
              <w:pStyle w:val="TableText"/>
              <w:rPr>
                <w:b/>
              </w:rPr>
            </w:pPr>
            <w:r>
              <w:rPr>
                <w:b/>
              </w:rPr>
              <w:t>VBECS</w:t>
            </w:r>
          </w:p>
        </w:tc>
      </w:tr>
      <w:tr w:rsidR="001615A5" w14:paraId="7ED55032" w14:textId="77777777">
        <w:tc>
          <w:tcPr>
            <w:tcW w:w="3330" w:type="dxa"/>
          </w:tcPr>
          <w:p w14:paraId="3E37E566" w14:textId="77777777" w:rsidR="001615A5" w:rsidRDefault="00A56A63" w:rsidP="0065349F">
            <w:pPr>
              <w:pStyle w:val="TableTextNumbers"/>
            </w:pPr>
            <w:r>
              <w:t>To log off</w:t>
            </w:r>
            <w:r w:rsidR="001615A5">
              <w:t xml:space="preserve"> </w:t>
            </w:r>
            <w:r w:rsidR="00A55BC7">
              <w:t>VBECS</w:t>
            </w:r>
            <w:r w:rsidR="001615A5">
              <w:t xml:space="preserve">, select </w:t>
            </w:r>
            <w:r w:rsidR="001615A5" w:rsidRPr="001615A5">
              <w:rPr>
                <w:b/>
              </w:rPr>
              <w:t>File</w:t>
            </w:r>
            <w:r w:rsidR="001615A5">
              <w:t xml:space="preserve">, </w:t>
            </w:r>
            <w:r w:rsidR="001615A5" w:rsidRPr="001615A5">
              <w:rPr>
                <w:b/>
              </w:rPr>
              <w:t>Exit VBECS</w:t>
            </w:r>
            <w:r w:rsidR="001615A5">
              <w:t>.</w:t>
            </w:r>
          </w:p>
          <w:p w14:paraId="01685087" w14:textId="77777777" w:rsidR="001615A5" w:rsidRDefault="001615A5" w:rsidP="001615A5">
            <w:pPr>
              <w:pStyle w:val="TableTextNumbers"/>
              <w:numPr>
                <w:ilvl w:val="0"/>
                <w:numId w:val="0"/>
              </w:numPr>
              <w:ind w:left="288" w:hanging="288"/>
            </w:pPr>
          </w:p>
          <w:p w14:paraId="19E5EFB0" w14:textId="77777777" w:rsidR="001615A5" w:rsidRDefault="001615A5" w:rsidP="001615A5">
            <w:pPr>
              <w:pStyle w:val="TableTextNumbersContinued"/>
            </w:pPr>
            <w:r>
              <w:t xml:space="preserve">Click </w:t>
            </w:r>
            <w:r w:rsidRPr="001615A5">
              <w:rPr>
                <w:b/>
              </w:rPr>
              <w:t>Yes</w:t>
            </w:r>
            <w:r>
              <w:t xml:space="preserve"> at the prompt.</w:t>
            </w:r>
          </w:p>
        </w:tc>
        <w:tc>
          <w:tcPr>
            <w:tcW w:w="6138" w:type="dxa"/>
          </w:tcPr>
          <w:p w14:paraId="2528DF99" w14:textId="77777777" w:rsidR="001615A5" w:rsidRPr="002E1917" w:rsidRDefault="001615A5" w:rsidP="0065349F">
            <w:pPr>
              <w:pStyle w:val="TableTextBullet"/>
              <w:rPr>
                <w:b/>
                <w:bCs/>
                <w:szCs w:val="18"/>
              </w:rPr>
            </w:pPr>
            <w:r>
              <w:t>Exposes the server desktop.</w:t>
            </w:r>
          </w:p>
          <w:p w14:paraId="2C16B974" w14:textId="77777777" w:rsidR="002E1917" w:rsidRPr="00440657" w:rsidRDefault="002E1917" w:rsidP="002E1917">
            <w:pPr>
              <w:pStyle w:val="NotesText"/>
              <w:rPr>
                <w:b/>
                <w:bCs/>
                <w:szCs w:val="18"/>
              </w:rPr>
            </w:pPr>
          </w:p>
        </w:tc>
      </w:tr>
      <w:tr w:rsidR="001615A5" w14:paraId="62D8E03C" w14:textId="77777777">
        <w:tc>
          <w:tcPr>
            <w:tcW w:w="3330" w:type="dxa"/>
          </w:tcPr>
          <w:p w14:paraId="5872876F" w14:textId="77777777" w:rsidR="001615A5" w:rsidRDefault="001615A5" w:rsidP="0065349F">
            <w:pPr>
              <w:pStyle w:val="TableTextNumbers"/>
            </w:pPr>
            <w:r>
              <w:t xml:space="preserve">Select </w:t>
            </w:r>
            <w:r>
              <w:rPr>
                <w:b/>
              </w:rPr>
              <w:t>Start</w:t>
            </w:r>
            <w:r>
              <w:t xml:space="preserve">, </w:t>
            </w:r>
            <w:r w:rsidRPr="00440657">
              <w:rPr>
                <w:b/>
              </w:rPr>
              <w:t xml:space="preserve">Log </w:t>
            </w:r>
            <w:r w:rsidR="00192E38">
              <w:rPr>
                <w:b/>
              </w:rPr>
              <w:t>O</w:t>
            </w:r>
            <w:r w:rsidRPr="00440657">
              <w:rPr>
                <w:b/>
              </w:rPr>
              <w:t>ff</w:t>
            </w:r>
            <w:r>
              <w:t xml:space="preserve">. </w:t>
            </w:r>
          </w:p>
          <w:p w14:paraId="3CC299E5" w14:textId="77777777" w:rsidR="001615A5" w:rsidRDefault="001615A5" w:rsidP="0065349F">
            <w:pPr>
              <w:pStyle w:val="TableTextNumbers"/>
              <w:numPr>
                <w:ilvl w:val="0"/>
                <w:numId w:val="0"/>
              </w:numPr>
              <w:ind w:left="288" w:hanging="288"/>
            </w:pPr>
          </w:p>
          <w:p w14:paraId="1096C79A" w14:textId="77777777" w:rsidR="001615A5" w:rsidRDefault="001615A5" w:rsidP="0065349F">
            <w:pPr>
              <w:pStyle w:val="TableTextNumbersContinued"/>
            </w:pPr>
            <w:r>
              <w:t xml:space="preserve">At the prompt, select </w:t>
            </w:r>
            <w:r w:rsidRPr="00440657">
              <w:rPr>
                <w:b/>
              </w:rPr>
              <w:t xml:space="preserve">Log </w:t>
            </w:r>
            <w:r w:rsidR="00192E38">
              <w:rPr>
                <w:b/>
              </w:rPr>
              <w:t>O</w:t>
            </w:r>
            <w:r w:rsidRPr="00440657">
              <w:rPr>
                <w:b/>
              </w:rPr>
              <w:t>ff</w:t>
            </w:r>
            <w:r>
              <w:t xml:space="preserve"> or </w:t>
            </w:r>
            <w:r w:rsidRPr="00440657">
              <w:rPr>
                <w:b/>
              </w:rPr>
              <w:t>Cancel</w:t>
            </w:r>
            <w:r>
              <w:t xml:space="preserve">. </w:t>
            </w:r>
            <w:r w:rsidRPr="00912F51">
              <w:rPr>
                <w:color w:val="FFFFFF"/>
              </w:rPr>
              <w:fldChar w:fldCharType="begin"/>
            </w:r>
            <w:r w:rsidRPr="00912F51">
              <w:rPr>
                <w:color w:val="FFFFFF"/>
              </w:rPr>
              <w:instrText xml:space="preserve"> LISTNUM \l 1 \s 0 </w:instrText>
            </w:r>
            <w:r w:rsidRPr="00912F51">
              <w:rPr>
                <w:color w:val="FFFFFF"/>
              </w:rPr>
              <w:fldChar w:fldCharType="end"/>
            </w:r>
          </w:p>
        </w:tc>
        <w:tc>
          <w:tcPr>
            <w:tcW w:w="6138" w:type="dxa"/>
          </w:tcPr>
          <w:p w14:paraId="03741785" w14:textId="77777777" w:rsidR="001615A5" w:rsidRDefault="00A56A63" w:rsidP="0065349F">
            <w:pPr>
              <w:pStyle w:val="TableTextBullet"/>
              <w:ind w:left="0" w:firstLine="0"/>
            </w:pPr>
            <w:r>
              <w:t>Logs off</w:t>
            </w:r>
            <w:r w:rsidR="001615A5">
              <w:t xml:space="preserve"> the session.</w:t>
            </w:r>
          </w:p>
          <w:p w14:paraId="17B7021D" w14:textId="77777777" w:rsidR="001615A5" w:rsidRDefault="001615A5" w:rsidP="00B52C54">
            <w:pPr>
              <w:pStyle w:val="TableTextBullet"/>
              <w:ind w:left="0" w:firstLine="0"/>
            </w:pPr>
            <w:r>
              <w:t>Terminates open applications.</w:t>
            </w:r>
          </w:p>
        </w:tc>
      </w:tr>
    </w:tbl>
    <w:p w14:paraId="351F4580" w14:textId="77777777" w:rsidR="00BF1B17" w:rsidRDefault="00BF1B17" w:rsidP="00BF1B17">
      <w:pPr>
        <w:pStyle w:val="Heading3"/>
      </w:pPr>
      <w:bookmarkStart w:id="128" w:name="_Toc4588731"/>
      <w:r>
        <w:t>Screen Settings</w:t>
      </w:r>
      <w:bookmarkEnd w:id="128"/>
      <w:r>
        <w:fldChar w:fldCharType="begin"/>
      </w:r>
      <w:r>
        <w:instrText xml:space="preserve"> XE "</w:instrText>
      </w:r>
      <w:r w:rsidRPr="00775368">
        <w:instrText xml:space="preserve">Screen </w:instrText>
      </w:r>
      <w:r>
        <w:instrText xml:space="preserve">Settings" </w:instrText>
      </w:r>
      <w:r>
        <w:fldChar w:fldCharType="end"/>
      </w:r>
    </w:p>
    <w:p w14:paraId="0BBA01F7" w14:textId="77777777" w:rsidR="00DF4846" w:rsidRDefault="00057948" w:rsidP="00794E90">
      <w:pPr>
        <w:pStyle w:val="Caution"/>
      </w:pPr>
      <w:r>
        <w:rPr>
          <w:noProof/>
        </w:rPr>
        <w:drawing>
          <wp:inline distT="0" distB="0" distL="0" distR="0" wp14:anchorId="0B02C8C9" wp14:editId="7BC71889">
            <wp:extent cx="267970" cy="221615"/>
            <wp:effectExtent l="0" t="0" r="0" b="6985"/>
            <wp:docPr id="55" name="Picture 55" descr="P1076L10#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P1076L10#yIS1">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794E90">
        <w:t xml:space="preserve"> VBECS was designed to operate with the settings described in this section</w:t>
      </w:r>
      <w:r w:rsidR="00003AD8">
        <w:t xml:space="preserve"> to display </w:t>
      </w:r>
      <w:r w:rsidR="009B0422">
        <w:t>complete</w:t>
      </w:r>
      <w:r w:rsidR="00003AD8">
        <w:t xml:space="preserve"> screens</w:t>
      </w:r>
      <w:r w:rsidR="00794E90">
        <w:t xml:space="preserve">. </w:t>
      </w:r>
      <w:r w:rsidR="00003AD8">
        <w:t>Failure to maintain t</w:t>
      </w:r>
      <w:r w:rsidR="00794E90">
        <w:t>hese settings</w:t>
      </w:r>
      <w:r w:rsidR="00003AD8">
        <w:t xml:space="preserve"> may result in partial display of safety-critical informatio</w:t>
      </w:r>
      <w:r w:rsidR="009B0422">
        <w:t>n.</w:t>
      </w:r>
      <w:r w:rsidR="00DF4846" w:rsidRPr="00DF4846">
        <w:t xml:space="preserve"> </w:t>
      </w:r>
    </w:p>
    <w:p w14:paraId="79EA18A0" w14:textId="77777777" w:rsidR="009B4546" w:rsidRDefault="009B4546" w:rsidP="00BF1B17">
      <w:pPr>
        <w:pStyle w:val="Heading4"/>
      </w:pPr>
      <w:r>
        <w:t xml:space="preserve">Local Machine Screen </w:t>
      </w:r>
      <w:r w:rsidR="00BF4B65">
        <w:t>Resolution</w:t>
      </w:r>
      <w:r>
        <w:fldChar w:fldCharType="begin"/>
      </w:r>
      <w:r>
        <w:instrText xml:space="preserve"> XE "Local Machine </w:instrText>
      </w:r>
      <w:r w:rsidRPr="00775368">
        <w:instrText xml:space="preserve">Screen </w:instrText>
      </w:r>
      <w:r w:rsidR="00BF4B65">
        <w:instrText>Resolution</w:instrText>
      </w:r>
      <w:r>
        <w:instrText xml:space="preserve">" </w:instrText>
      </w:r>
      <w:r>
        <w:fldChar w:fldCharType="end"/>
      </w:r>
    </w:p>
    <w:p w14:paraId="24BF9F4C" w14:textId="77777777" w:rsidR="009B4546" w:rsidRPr="00AB3B2D" w:rsidRDefault="00057948" w:rsidP="009B4546">
      <w:pPr>
        <w:pStyle w:val="Caution"/>
        <w:rPr>
          <w:i w:val="0"/>
        </w:rPr>
      </w:pPr>
      <w:bookmarkStart w:id="129" w:name="OLE_LINK47"/>
      <w:bookmarkStart w:id="130" w:name="OLE_LINK48"/>
      <w:r>
        <w:rPr>
          <w:noProof/>
        </w:rPr>
        <w:drawing>
          <wp:inline distT="0" distB="0" distL="0" distR="0" wp14:anchorId="4171A323" wp14:editId="2005460B">
            <wp:extent cx="267970" cy="221615"/>
            <wp:effectExtent l="0" t="0" r="0" b="6985"/>
            <wp:docPr id="56" name="Picture 56" descr="P1078L10#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1078L10#yIS1">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9B4546">
        <w:t xml:space="preserve"> </w:t>
      </w:r>
      <w:bookmarkEnd w:id="129"/>
      <w:bookmarkEnd w:id="130"/>
      <w:r w:rsidR="0078056E">
        <w:t>Set t</w:t>
      </w:r>
      <w:r w:rsidR="009B4546">
        <w:t xml:space="preserve">he local machine’s desktop </w:t>
      </w:r>
      <w:r w:rsidR="00BF4B65">
        <w:t>resolution</w:t>
      </w:r>
      <w:r w:rsidR="009B4546">
        <w:t xml:space="preserve"> to 1</w:t>
      </w:r>
      <w:r w:rsidR="00BF4B65">
        <w:t>02</w:t>
      </w:r>
      <w:r w:rsidR="009B4546">
        <w:t xml:space="preserve">4 </w:t>
      </w:r>
      <w:r w:rsidR="00176587">
        <w:t>by</w:t>
      </w:r>
      <w:r w:rsidR="009B4546">
        <w:t xml:space="preserve"> 768 pixels</w:t>
      </w:r>
      <w:r w:rsidR="006E036F">
        <w:t xml:space="preserve"> </w:t>
      </w:r>
      <w:r w:rsidR="006E036F" w:rsidRPr="00624D16">
        <w:t>or higher</w:t>
      </w:r>
      <w:r w:rsidR="0078056E" w:rsidRPr="00624D16">
        <w:t xml:space="preserve"> for</w:t>
      </w:r>
      <w:r w:rsidR="0078056E">
        <w:t xml:space="preserve"> optimal display</w:t>
      </w:r>
      <w:r w:rsidR="009B4546">
        <w:t>.</w:t>
      </w:r>
      <w:r w:rsidR="00AB3B2D">
        <w:rPr>
          <w:i w:val="0"/>
          <w:vanish/>
        </w:rPr>
        <w:t xml:space="preserve"> DR 3738</w:t>
      </w:r>
    </w:p>
    <w:p w14:paraId="664EF31C" w14:textId="77777777" w:rsidR="009B4546" w:rsidRDefault="009B4546" w:rsidP="009B4546">
      <w:pPr>
        <w:pStyle w:val="BodyText"/>
      </w:pPr>
      <w:r>
        <w:t xml:space="preserve">To adjust the </w:t>
      </w:r>
      <w:r w:rsidR="00BF4B65">
        <w:t>resolution</w:t>
      </w:r>
      <w:r>
        <w:t xml:space="preserve"> of the screens that you view:</w:t>
      </w:r>
    </w:p>
    <w:p w14:paraId="7DD16477" w14:textId="77777777" w:rsidR="009B4546" w:rsidRPr="00035F16" w:rsidRDefault="009B4546" w:rsidP="007539DF">
      <w:pPr>
        <w:pStyle w:val="ListNumber"/>
        <w:numPr>
          <w:ilvl w:val="0"/>
          <w:numId w:val="16"/>
        </w:numPr>
      </w:pPr>
      <w:r w:rsidRPr="00035F16">
        <w:t xml:space="preserve">Click </w:t>
      </w:r>
      <w:r w:rsidRPr="007539DF">
        <w:t>Start</w:t>
      </w:r>
      <w:r w:rsidRPr="00035F16">
        <w:t>,</w:t>
      </w:r>
      <w:r w:rsidRPr="008F1B39">
        <w:t xml:space="preserve"> </w:t>
      </w:r>
      <w:r w:rsidRPr="007539DF">
        <w:t>Control Panel</w:t>
      </w:r>
      <w:r w:rsidRPr="00035F16">
        <w:t>.</w:t>
      </w:r>
    </w:p>
    <w:p w14:paraId="65082DA0" w14:textId="77777777" w:rsidR="009B4546" w:rsidRPr="00035F16" w:rsidRDefault="009B4546" w:rsidP="007539DF">
      <w:pPr>
        <w:pStyle w:val="ListNumber"/>
        <w:numPr>
          <w:ilvl w:val="0"/>
          <w:numId w:val="16"/>
        </w:numPr>
      </w:pPr>
      <w:r>
        <w:t>C</w:t>
      </w:r>
      <w:r w:rsidRPr="00035F16">
        <w:t xml:space="preserve">lick </w:t>
      </w:r>
      <w:r w:rsidR="00A24AD6" w:rsidRPr="007539DF">
        <w:t>Display</w:t>
      </w:r>
      <w:r w:rsidRPr="00035F16">
        <w:t>.</w:t>
      </w:r>
    </w:p>
    <w:p w14:paraId="5C908068" w14:textId="77777777" w:rsidR="0003045D" w:rsidRDefault="0003045D">
      <w:pPr>
        <w:rPr>
          <w:sz w:val="22"/>
          <w:szCs w:val="22"/>
        </w:rPr>
      </w:pPr>
      <w:r>
        <w:br w:type="page"/>
      </w:r>
    </w:p>
    <w:p w14:paraId="05CB51D5" w14:textId="260BFAB0" w:rsidR="009B4546" w:rsidRPr="00035F16" w:rsidRDefault="009B4546" w:rsidP="007539DF">
      <w:pPr>
        <w:pStyle w:val="ListNumber"/>
        <w:numPr>
          <w:ilvl w:val="0"/>
          <w:numId w:val="16"/>
        </w:numPr>
      </w:pPr>
      <w:r>
        <w:lastRenderedPageBreak/>
        <w:t>C</w:t>
      </w:r>
      <w:r w:rsidRPr="00035F16">
        <w:t xml:space="preserve">lick </w:t>
      </w:r>
      <w:r w:rsidR="00A24AD6" w:rsidRPr="007539DF">
        <w:t>Adjust</w:t>
      </w:r>
      <w:r w:rsidR="003964D7" w:rsidRPr="007539DF">
        <w:t xml:space="preserve"> resolution</w:t>
      </w:r>
      <w:r w:rsidR="00A56A63">
        <w:t xml:space="preserve"> (</w:t>
      </w:r>
      <w:r w:rsidR="00A56A63">
        <w:fldChar w:fldCharType="begin" w:fldLock="1"/>
      </w:r>
      <w:r w:rsidR="00A56A63">
        <w:instrText xml:space="preserve"> REF _Ref133622881 \h </w:instrText>
      </w:r>
      <w:r w:rsidR="00A56A63">
        <w:fldChar w:fldCharType="separate"/>
      </w:r>
      <w:r w:rsidR="00AB304C">
        <w:t xml:space="preserve">Figure </w:t>
      </w:r>
      <w:r w:rsidR="00AB304C">
        <w:rPr>
          <w:noProof/>
        </w:rPr>
        <w:t>33</w:t>
      </w:r>
      <w:r w:rsidR="00A56A63">
        <w:fldChar w:fldCharType="end"/>
      </w:r>
      <w:r w:rsidR="00A56A63">
        <w:t>)</w:t>
      </w:r>
      <w:r w:rsidRPr="00035F16">
        <w:t>.</w:t>
      </w:r>
    </w:p>
    <w:p w14:paraId="640F11C6" w14:textId="77777777" w:rsidR="009B4546" w:rsidRDefault="009B4546" w:rsidP="007539DF">
      <w:pPr>
        <w:pStyle w:val="ListNumber"/>
        <w:numPr>
          <w:ilvl w:val="0"/>
          <w:numId w:val="16"/>
        </w:numPr>
      </w:pPr>
      <w:r>
        <w:t>C</w:t>
      </w:r>
      <w:r w:rsidRPr="00035F16">
        <w:t xml:space="preserve">lick, hold, and slide the pointer to </w:t>
      </w:r>
      <w:r w:rsidR="006751FA">
        <w:t xml:space="preserve">a </w:t>
      </w:r>
      <w:r w:rsidR="00BF4B65">
        <w:t xml:space="preserve">screen resolution </w:t>
      </w:r>
      <w:r w:rsidR="006751FA">
        <w:t>of</w:t>
      </w:r>
      <w:r w:rsidR="00BF4B65">
        <w:t xml:space="preserve"> </w:t>
      </w:r>
      <w:r w:rsidR="00A56A63">
        <w:t xml:space="preserve">at least </w:t>
      </w:r>
      <w:r w:rsidR="00BF4B65">
        <w:t xml:space="preserve">1024 </w:t>
      </w:r>
      <w:r w:rsidR="00176587">
        <w:t>by</w:t>
      </w:r>
      <w:r w:rsidR="00BF4B65">
        <w:t xml:space="preserve"> 768 pixels</w:t>
      </w:r>
      <w:r w:rsidRPr="00035F16">
        <w:t>.</w:t>
      </w:r>
    </w:p>
    <w:p w14:paraId="3129B804" w14:textId="77777777" w:rsidR="00BF4B65" w:rsidRDefault="00BF4B65" w:rsidP="007539DF">
      <w:pPr>
        <w:pStyle w:val="ListNumber"/>
        <w:numPr>
          <w:ilvl w:val="0"/>
          <w:numId w:val="16"/>
        </w:numPr>
      </w:pPr>
      <w:r>
        <w:t xml:space="preserve">Click </w:t>
      </w:r>
      <w:r w:rsidRPr="007539DF">
        <w:t>Apply</w:t>
      </w:r>
      <w:r>
        <w:t>.</w:t>
      </w:r>
    </w:p>
    <w:p w14:paraId="28853830" w14:textId="610F5E56" w:rsidR="00BF4B65" w:rsidRDefault="00BF4B65" w:rsidP="00BF4B65">
      <w:pPr>
        <w:pStyle w:val="Caption"/>
      </w:pPr>
      <w:bookmarkStart w:id="131" w:name="_Ref133622881"/>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33</w:t>
      </w:r>
      <w:r w:rsidR="004E20BD">
        <w:rPr>
          <w:noProof/>
        </w:rPr>
        <w:fldChar w:fldCharType="end"/>
      </w:r>
      <w:bookmarkEnd w:id="131"/>
      <w:r>
        <w:t xml:space="preserve">: </w:t>
      </w:r>
      <w:r w:rsidR="00FF5AF5">
        <w:t>Local Machine Screen Resolution</w:t>
      </w:r>
    </w:p>
    <w:p w14:paraId="19C94EE6" w14:textId="77777777" w:rsidR="00BF4B65" w:rsidRDefault="00057948" w:rsidP="00BF4B65">
      <w:pPr>
        <w:pStyle w:val="BodyText"/>
      </w:pPr>
      <w:r>
        <w:rPr>
          <w:noProof/>
        </w:rPr>
        <w:drawing>
          <wp:inline distT="0" distB="0" distL="0" distR="0" wp14:anchorId="029A35F8" wp14:editId="055CDAA8">
            <wp:extent cx="5948045" cy="4460875"/>
            <wp:effectExtent l="0" t="0" r="0" b="0"/>
            <wp:docPr id="57" name="Picture 1" descr="P1087L10#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 descr="P1087L10#yIS1">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8045" cy="4460875"/>
                    </a:xfrm>
                    <a:prstGeom prst="rect">
                      <a:avLst/>
                    </a:prstGeom>
                    <a:noFill/>
                    <a:ln>
                      <a:noFill/>
                    </a:ln>
                  </pic:spPr>
                </pic:pic>
              </a:graphicData>
            </a:graphic>
          </wp:inline>
        </w:drawing>
      </w:r>
    </w:p>
    <w:p w14:paraId="0A423CE4" w14:textId="77777777" w:rsidR="0003045D" w:rsidRDefault="0003045D">
      <w:pPr>
        <w:rPr>
          <w:rFonts w:ascii="Arial" w:hAnsi="Arial"/>
          <w:b/>
          <w:sz w:val="22"/>
        </w:rPr>
      </w:pPr>
      <w:r>
        <w:br w:type="page"/>
      </w:r>
    </w:p>
    <w:p w14:paraId="5AE48FA4" w14:textId="74CA26DF" w:rsidR="00BF1B17" w:rsidRDefault="00BF1B17" w:rsidP="00BF1B17">
      <w:pPr>
        <w:pStyle w:val="Heading4"/>
      </w:pPr>
      <w:r>
        <w:lastRenderedPageBreak/>
        <w:t>Remote Desktop Connection Screen Size</w:t>
      </w:r>
      <w:r>
        <w:fldChar w:fldCharType="begin"/>
      </w:r>
      <w:r>
        <w:instrText xml:space="preserve"> XE "</w:instrText>
      </w:r>
      <w:r w:rsidRPr="00775368">
        <w:instrText xml:space="preserve">Remote Desktop </w:instrText>
      </w:r>
      <w:r>
        <w:instrText xml:space="preserve">Connections </w:instrText>
      </w:r>
      <w:r w:rsidRPr="00775368">
        <w:instrText>Screen Size</w:instrText>
      </w:r>
      <w:r>
        <w:instrText xml:space="preserve">" </w:instrText>
      </w:r>
      <w:r>
        <w:fldChar w:fldCharType="end"/>
      </w:r>
    </w:p>
    <w:p w14:paraId="0D67685D" w14:textId="77777777" w:rsidR="00BF1B17" w:rsidRDefault="00057948" w:rsidP="00BF1B17">
      <w:pPr>
        <w:pStyle w:val="Caution"/>
      </w:pPr>
      <w:r>
        <w:rPr>
          <w:noProof/>
        </w:rPr>
        <w:drawing>
          <wp:inline distT="0" distB="0" distL="0" distR="0" wp14:anchorId="5492BE12" wp14:editId="563D1D85">
            <wp:extent cx="267970" cy="221615"/>
            <wp:effectExtent l="0" t="0" r="0" b="6985"/>
            <wp:docPr id="58" name="Picture 58" descr="P1090L10#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P1090L10#yIS1">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BF1B17">
        <w:t xml:space="preserve"> The Remote Desktop Connection desktop size must be set to “Full Screen.”</w:t>
      </w:r>
    </w:p>
    <w:p w14:paraId="531B6CD5" w14:textId="77777777" w:rsidR="00BF1B17" w:rsidRDefault="00BF1B17" w:rsidP="00DD75E5">
      <w:pPr>
        <w:pStyle w:val="BodyText"/>
      </w:pPr>
      <w:r>
        <w:t>To adjust the dimension of the screens that you view:</w:t>
      </w:r>
    </w:p>
    <w:p w14:paraId="5E2B184B" w14:textId="0444E29E" w:rsidR="00BF1B17" w:rsidRPr="00624D16" w:rsidRDefault="00430868" w:rsidP="00041E00">
      <w:pPr>
        <w:pStyle w:val="ListNumber"/>
        <w:numPr>
          <w:ilvl w:val="0"/>
          <w:numId w:val="79"/>
        </w:numPr>
      </w:pPr>
      <w:r>
        <w:t>Double-</w:t>
      </w:r>
      <w:r w:rsidR="00BF1B17" w:rsidRPr="00624D16">
        <w:t xml:space="preserve">click </w:t>
      </w:r>
      <w:r w:rsidR="00D57E04" w:rsidRPr="00624D16">
        <w:object w:dxaOrig="495" w:dyaOrig="525" w14:anchorId="40ACC664">
          <v:shape id="_x0000_i1029" type="#_x0000_t75" alt="P1092L12#yIS1" style="width:14.4pt;height:14.4pt" o:ole="">
            <v:imagedata r:id="rId70" o:title=""/>
          </v:shape>
          <o:OLEObject Type="Embed" ProgID="PBrush" ShapeID="_x0000_i1029" DrawAspect="Content" ObjectID="_1693288310" r:id="rId71"/>
        </w:object>
      </w:r>
      <w:r w:rsidR="00BF1B17" w:rsidRPr="00624D16">
        <w:t xml:space="preserve"> </w:t>
      </w:r>
      <w:r w:rsidR="006E036F" w:rsidRPr="00624D16">
        <w:t>the VBECS (</w:t>
      </w:r>
      <w:r w:rsidR="00BF1B17" w:rsidRPr="00624D16">
        <w:rPr>
          <w:b/>
        </w:rPr>
        <w:t>Remote Desktop Connection icon</w:t>
      </w:r>
      <w:r w:rsidR="00BF1B17" w:rsidRPr="00624D16">
        <w:t>)</w:t>
      </w:r>
      <w:r w:rsidR="006E036F" w:rsidRPr="00624D16">
        <w:t xml:space="preserve"> located on the local workstation desktop</w:t>
      </w:r>
      <w:r w:rsidR="00BF1B17" w:rsidRPr="00624D16">
        <w:t>.</w:t>
      </w:r>
      <w:r w:rsidR="00AB3B2D">
        <w:rPr>
          <w:vanish/>
        </w:rPr>
        <w:t xml:space="preserve"> DR 3738</w:t>
      </w:r>
    </w:p>
    <w:p w14:paraId="364FEB2F" w14:textId="21F009BB" w:rsidR="00BF1B17" w:rsidRDefault="00BF1B17" w:rsidP="00041E00">
      <w:pPr>
        <w:pStyle w:val="ListNumber"/>
        <w:numPr>
          <w:ilvl w:val="0"/>
          <w:numId w:val="79"/>
        </w:numPr>
      </w:pPr>
      <w:r>
        <w:t xml:space="preserve">Click </w:t>
      </w:r>
      <w:r w:rsidR="007C119D" w:rsidRPr="00190BEC">
        <w:t>Show</w:t>
      </w:r>
      <w:r w:rsidR="007C119D">
        <w:t xml:space="preserve"> </w:t>
      </w:r>
      <w:r w:rsidRPr="00190BEC">
        <w:t xml:space="preserve">Options </w:t>
      </w:r>
      <w:r>
        <w:t>(</w:t>
      </w:r>
      <w:r w:rsidR="00155F6F">
        <w:fldChar w:fldCharType="begin" w:fldLock="1"/>
      </w:r>
      <w:r w:rsidR="00155F6F">
        <w:instrText xml:space="preserve"> REF _Ref133623493 \h </w:instrText>
      </w:r>
      <w:r w:rsidR="00190BEC">
        <w:instrText xml:space="preserve"> \* MERGEFORMAT </w:instrText>
      </w:r>
      <w:r w:rsidR="00155F6F">
        <w:fldChar w:fldCharType="separate"/>
      </w:r>
      <w:r w:rsidR="00AB304C">
        <w:t>Figure 34</w:t>
      </w:r>
      <w:r w:rsidR="00155F6F">
        <w:fldChar w:fldCharType="end"/>
      </w:r>
      <w:r>
        <w:t>).</w:t>
      </w:r>
    </w:p>
    <w:p w14:paraId="32FE402B" w14:textId="20CCDA41" w:rsidR="00BF1B17" w:rsidRDefault="00BF1B17" w:rsidP="00BF1B17">
      <w:pPr>
        <w:pStyle w:val="Caption"/>
      </w:pPr>
      <w:bookmarkStart w:id="132" w:name="_Ref133623493"/>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34</w:t>
      </w:r>
      <w:r w:rsidR="004E20BD">
        <w:rPr>
          <w:noProof/>
        </w:rPr>
        <w:fldChar w:fldCharType="end"/>
      </w:r>
      <w:bookmarkEnd w:id="132"/>
      <w:r>
        <w:t>: Remote Desktop Connection Options</w:t>
      </w:r>
    </w:p>
    <w:p w14:paraId="5EF08025" w14:textId="77777777" w:rsidR="00BF1B17" w:rsidRDefault="00057948" w:rsidP="00BF1B17">
      <w:pPr>
        <w:pStyle w:val="BodyText"/>
      </w:pPr>
      <w:r>
        <w:rPr>
          <w:noProof/>
        </w:rPr>
        <w:drawing>
          <wp:inline distT="0" distB="0" distL="0" distR="0" wp14:anchorId="3F43B63B" wp14:editId="61B67866">
            <wp:extent cx="4008755" cy="2466340"/>
            <wp:effectExtent l="0" t="0" r="0" b="0"/>
            <wp:docPr id="60" name="Picture 1" descr="P1095L12#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 descr="P1095L12#yIS1">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08755" cy="2466340"/>
                    </a:xfrm>
                    <a:prstGeom prst="rect">
                      <a:avLst/>
                    </a:prstGeom>
                    <a:noFill/>
                    <a:ln>
                      <a:noFill/>
                    </a:ln>
                  </pic:spPr>
                </pic:pic>
              </a:graphicData>
            </a:graphic>
          </wp:inline>
        </w:drawing>
      </w:r>
    </w:p>
    <w:p w14:paraId="4B70F311" w14:textId="46CAE872" w:rsidR="00BF1B17" w:rsidRDefault="003C25CC" w:rsidP="00041E00">
      <w:pPr>
        <w:pStyle w:val="ListNumber"/>
        <w:numPr>
          <w:ilvl w:val="0"/>
          <w:numId w:val="79"/>
        </w:numPr>
      </w:pPr>
      <w:r>
        <w:br w:type="page"/>
      </w:r>
      <w:r w:rsidR="00BF1B17">
        <w:lastRenderedPageBreak/>
        <w:t xml:space="preserve">Click the </w:t>
      </w:r>
      <w:r w:rsidR="00BF1B17" w:rsidRPr="00190BEC">
        <w:t xml:space="preserve">Display </w:t>
      </w:r>
      <w:r w:rsidR="00BF1B17" w:rsidRPr="00CC3C89">
        <w:t xml:space="preserve">tab </w:t>
      </w:r>
      <w:r w:rsidR="00BF1B17" w:rsidRPr="00CF76AE">
        <w:t>(</w:t>
      </w:r>
      <w:r w:rsidR="00A058F9">
        <w:fldChar w:fldCharType="begin" w:fldLock="1"/>
      </w:r>
      <w:r w:rsidR="00A058F9">
        <w:instrText xml:space="preserve"> REF _Ref133623604 \h </w:instrText>
      </w:r>
      <w:r w:rsidR="00190BEC">
        <w:instrText xml:space="preserve"> \* MERGEFORMAT </w:instrText>
      </w:r>
      <w:r w:rsidR="00A058F9">
        <w:fldChar w:fldCharType="separate"/>
      </w:r>
      <w:r w:rsidR="00AB304C">
        <w:t>Figure 35</w:t>
      </w:r>
      <w:r w:rsidR="00A058F9">
        <w:fldChar w:fldCharType="end"/>
      </w:r>
      <w:r w:rsidR="00BF1B17" w:rsidRPr="009A2B4C">
        <w:t>)</w:t>
      </w:r>
      <w:r w:rsidR="00BF1B17">
        <w:t>.</w:t>
      </w:r>
    </w:p>
    <w:p w14:paraId="4729B508" w14:textId="786DB873" w:rsidR="00BF1B17" w:rsidRDefault="00BF1B17" w:rsidP="00BF1B17">
      <w:pPr>
        <w:pStyle w:val="Caption"/>
      </w:pPr>
      <w:bookmarkStart w:id="133" w:name="_Ref133623604"/>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35</w:t>
      </w:r>
      <w:r w:rsidR="004E20BD">
        <w:rPr>
          <w:noProof/>
        </w:rPr>
        <w:fldChar w:fldCharType="end"/>
      </w:r>
      <w:bookmarkEnd w:id="133"/>
      <w:r>
        <w:t xml:space="preserve">: </w:t>
      </w:r>
      <w:r w:rsidRPr="009E7F89">
        <w:t xml:space="preserve">Remote Desktop Connection Remote </w:t>
      </w:r>
      <w:r>
        <w:t>Desktop Size</w:t>
      </w:r>
    </w:p>
    <w:p w14:paraId="2612D64A" w14:textId="77777777" w:rsidR="00BF1B17" w:rsidRDefault="00057948" w:rsidP="00BF1B17">
      <w:pPr>
        <w:pStyle w:val="BodyText"/>
      </w:pPr>
      <w:r>
        <w:rPr>
          <w:noProof/>
        </w:rPr>
        <w:drawing>
          <wp:inline distT="0" distB="0" distL="0" distR="0" wp14:anchorId="1DC961FA" wp14:editId="3035D951">
            <wp:extent cx="3722370" cy="4248785"/>
            <wp:effectExtent l="0" t="0" r="0" b="0"/>
            <wp:docPr id="61" name="Picture 1" descr="P1098L10#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 descr="P1098L10#yIS1">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22370" cy="4248785"/>
                    </a:xfrm>
                    <a:prstGeom prst="rect">
                      <a:avLst/>
                    </a:prstGeom>
                    <a:noFill/>
                    <a:ln>
                      <a:noFill/>
                    </a:ln>
                  </pic:spPr>
                </pic:pic>
              </a:graphicData>
            </a:graphic>
          </wp:inline>
        </w:drawing>
      </w:r>
    </w:p>
    <w:p w14:paraId="3BB39B51" w14:textId="77777777" w:rsidR="00BF1B17" w:rsidRDefault="00BF1B17" w:rsidP="00041E00">
      <w:pPr>
        <w:pStyle w:val="ListNumber"/>
        <w:numPr>
          <w:ilvl w:val="0"/>
          <w:numId w:val="79"/>
        </w:numPr>
      </w:pPr>
      <w:r>
        <w:t>C</w:t>
      </w:r>
      <w:r w:rsidRPr="00035F16">
        <w:t xml:space="preserve">lick, hold, and slide the pointer to </w:t>
      </w:r>
      <w:r>
        <w:t>the right until “Full Screen” appears</w:t>
      </w:r>
      <w:r w:rsidRPr="00035F16">
        <w:t>.</w:t>
      </w:r>
    </w:p>
    <w:p w14:paraId="745A425F" w14:textId="77777777" w:rsidR="006E036F" w:rsidRPr="00624D16" w:rsidRDefault="006E036F" w:rsidP="00041E00">
      <w:pPr>
        <w:pStyle w:val="ListNumber"/>
        <w:numPr>
          <w:ilvl w:val="0"/>
          <w:numId w:val="79"/>
        </w:numPr>
      </w:pPr>
      <w:r w:rsidRPr="00624D16">
        <w:t xml:space="preserve">Click on the </w:t>
      </w:r>
      <w:r w:rsidRPr="00190BEC">
        <w:t>General</w:t>
      </w:r>
      <w:r w:rsidRPr="00624D16">
        <w:t xml:space="preserve"> tab.</w:t>
      </w:r>
      <w:r w:rsidR="00522BC8" w:rsidRPr="00A56A63">
        <w:rPr>
          <w:vanish/>
        </w:rPr>
        <w:t xml:space="preserve"> DR 3738</w:t>
      </w:r>
    </w:p>
    <w:p w14:paraId="45B12F72" w14:textId="77777777" w:rsidR="00BF1B17" w:rsidRDefault="00BF1B17" w:rsidP="00041E00">
      <w:pPr>
        <w:pStyle w:val="ListNumber"/>
        <w:numPr>
          <w:ilvl w:val="0"/>
          <w:numId w:val="79"/>
        </w:numPr>
      </w:pPr>
      <w:r w:rsidRPr="00035F16">
        <w:t>Cl</w:t>
      </w:r>
      <w:r>
        <w:t xml:space="preserve">ick </w:t>
      </w:r>
      <w:r w:rsidR="006E036F" w:rsidRPr="00190BEC">
        <w:t>SAVE</w:t>
      </w:r>
      <w:r>
        <w:t xml:space="preserve"> to save the setting.</w:t>
      </w:r>
    </w:p>
    <w:p w14:paraId="397608D9" w14:textId="77777777" w:rsidR="00727879" w:rsidRDefault="003C25CC">
      <w:pPr>
        <w:pStyle w:val="Heading3"/>
      </w:pPr>
      <w:r>
        <w:br w:type="page"/>
      </w:r>
      <w:bookmarkStart w:id="134" w:name="_Toc4588732"/>
      <w:r w:rsidR="002A21AE">
        <w:lastRenderedPageBreak/>
        <w:t>Screen Display</w:t>
      </w:r>
      <w:bookmarkEnd w:id="134"/>
      <w:r w:rsidR="00D07403">
        <w:fldChar w:fldCharType="begin"/>
      </w:r>
      <w:r w:rsidR="00D07403">
        <w:instrText xml:space="preserve"> XE "</w:instrText>
      </w:r>
      <w:r w:rsidR="00D07403" w:rsidRPr="00775368">
        <w:instrText>Screen Display</w:instrText>
      </w:r>
      <w:r w:rsidR="00D07403">
        <w:instrText xml:space="preserve">" </w:instrText>
      </w:r>
      <w:r w:rsidR="00D07403">
        <w:fldChar w:fldCharType="end"/>
      </w:r>
    </w:p>
    <w:p w14:paraId="003E3DE9" w14:textId="77777777" w:rsidR="002A21AE" w:rsidRDefault="002A21AE" w:rsidP="00FA7E65">
      <w:pPr>
        <w:pStyle w:val="BodyText"/>
      </w:pPr>
      <w:r>
        <w:t xml:space="preserve">A </w:t>
      </w:r>
      <w:r>
        <w:rPr>
          <w:i/>
        </w:rPr>
        <w:t>window</w:t>
      </w:r>
      <w:r>
        <w:t xml:space="preserve"> is the section of the screen that displays the active application or file. </w:t>
      </w:r>
    </w:p>
    <w:p w14:paraId="6ED9B549" w14:textId="24868D83" w:rsidR="002A21AE" w:rsidRDefault="002A21AE" w:rsidP="00FA7E65">
      <w:pPr>
        <w:pStyle w:val="BodyText"/>
      </w:pPr>
      <w:r>
        <w:t>Click t</w:t>
      </w:r>
      <w:r w:rsidR="00634DAB">
        <w:t>he control buttons in the upper-</w:t>
      </w:r>
      <w:r>
        <w:t xml:space="preserve">right corner </w:t>
      </w:r>
      <w:r w:rsidR="00E627F1">
        <w:t>(</w:t>
      </w:r>
      <w:r w:rsidR="00E627F1">
        <w:fldChar w:fldCharType="begin" w:fldLock="1"/>
      </w:r>
      <w:r w:rsidR="00E627F1">
        <w:instrText xml:space="preserve"> REF _Ref393444039 \h </w:instrText>
      </w:r>
      <w:r w:rsidR="00E627F1">
        <w:fldChar w:fldCharType="separate"/>
      </w:r>
      <w:r w:rsidR="00AB304C">
        <w:t xml:space="preserve">Figure </w:t>
      </w:r>
      <w:r w:rsidR="00AB304C">
        <w:rPr>
          <w:noProof/>
        </w:rPr>
        <w:t>36</w:t>
      </w:r>
      <w:r w:rsidR="00E627F1">
        <w:fldChar w:fldCharType="end"/>
      </w:r>
      <w:r w:rsidR="00E627F1">
        <w:t xml:space="preserve">) </w:t>
      </w:r>
      <w:r>
        <w:t xml:space="preserve">of an open file or application window to: </w:t>
      </w:r>
    </w:p>
    <w:p w14:paraId="310CA0B7" w14:textId="77777777" w:rsidR="002A21AE" w:rsidRDefault="002A21AE">
      <w:pPr>
        <w:pStyle w:val="ListBullet"/>
      </w:pPr>
      <w:r>
        <w:t xml:space="preserve">Minimize: reduce the window </w:t>
      </w:r>
      <w:r>
        <w:rPr>
          <w:szCs w:val="24"/>
        </w:rPr>
        <w:t>to appear as a button (rectangle) at the bottom of the screen. Click the button to enlarge the window to its original size.</w:t>
      </w:r>
    </w:p>
    <w:p w14:paraId="4C7E639F" w14:textId="77777777" w:rsidR="002A21AE" w:rsidRDefault="002A21AE">
      <w:pPr>
        <w:pStyle w:val="ListBullet"/>
      </w:pPr>
      <w:r>
        <w:t>Maximize: enlarge a window to fill the entire screen</w:t>
      </w:r>
    </w:p>
    <w:p w14:paraId="27C0AE1E" w14:textId="17D37B79" w:rsidR="002A21AE" w:rsidRDefault="002A21AE">
      <w:pPr>
        <w:pStyle w:val="ListBullet"/>
      </w:pPr>
      <w:r>
        <w:t>Restore: return a window to a smaller size that can be adjusted</w:t>
      </w:r>
      <w:r w:rsidR="00486D34">
        <w:t xml:space="preserve"> (Figure 38</w:t>
      </w:r>
      <w:r w:rsidR="00E627F1">
        <w:t>)</w:t>
      </w:r>
    </w:p>
    <w:p w14:paraId="25E48932" w14:textId="77777777" w:rsidR="002A21AE" w:rsidRDefault="002A21AE">
      <w:pPr>
        <w:pStyle w:val="ListBullet"/>
      </w:pPr>
      <w:r>
        <w:t xml:space="preserve">Close: shut down a document or application quickly </w:t>
      </w:r>
    </w:p>
    <w:p w14:paraId="4B7003E7" w14:textId="77777777" w:rsidR="00DF4846" w:rsidRPr="00DF4846" w:rsidRDefault="00057948" w:rsidP="00DF4846">
      <w:pPr>
        <w:pStyle w:val="Caution"/>
      </w:pPr>
      <w:r>
        <w:rPr>
          <w:noProof/>
        </w:rPr>
        <w:drawing>
          <wp:inline distT="0" distB="0" distL="0" distR="0" wp14:anchorId="5C98482B" wp14:editId="1CDEC05C">
            <wp:extent cx="267970" cy="221615"/>
            <wp:effectExtent l="0" t="0" r="0" b="6985"/>
            <wp:docPr id="62" name="Picture 62" descr="P1109L10#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P1109L10#yIS1">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DF4846">
        <w:t xml:space="preserve"> Maximize option windows</w:t>
      </w:r>
      <w:r w:rsidR="00DF4846" w:rsidRPr="00DF4846">
        <w:t xml:space="preserve"> to display safety-critical information</w:t>
      </w:r>
      <w:r w:rsidR="00DF4846">
        <w:t xml:space="preserve"> in full.</w:t>
      </w:r>
      <w:r w:rsidR="00DF4846" w:rsidRPr="00DF4846">
        <w:rPr>
          <w:vanish/>
        </w:rPr>
        <w:t xml:space="preserve"> UserDoc Task 1124.</w:t>
      </w:r>
    </w:p>
    <w:p w14:paraId="23528C5D" w14:textId="5FA04EC9" w:rsidR="007E150C" w:rsidRDefault="007E150C" w:rsidP="007E150C">
      <w:pPr>
        <w:pStyle w:val="Caption"/>
        <w:tabs>
          <w:tab w:val="left" w:pos="6120"/>
        </w:tabs>
      </w:pPr>
      <w:bookmarkStart w:id="135" w:name="_Ref393444039"/>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36</w:t>
      </w:r>
      <w:r w:rsidR="004E20BD">
        <w:rPr>
          <w:noProof/>
        </w:rPr>
        <w:fldChar w:fldCharType="end"/>
      </w:r>
      <w:bookmarkEnd w:id="135"/>
      <w:r>
        <w:t>: Resize or Close a Window</w:t>
      </w:r>
      <w:r>
        <w:tab/>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37</w:t>
      </w:r>
      <w:r w:rsidR="004E20BD">
        <w:rPr>
          <w:noProof/>
        </w:rPr>
        <w:fldChar w:fldCharType="end"/>
      </w:r>
      <w:r>
        <w:t>: Restore a Window</w:t>
      </w:r>
    </w:p>
    <w:p w14:paraId="30DF7E4A" w14:textId="77777777" w:rsidR="002A21AE" w:rsidRDefault="00057948">
      <w:pPr>
        <w:pStyle w:val="BodyText"/>
      </w:pPr>
      <w:r>
        <w:rPr>
          <w:noProof/>
        </w:rPr>
        <mc:AlternateContent>
          <mc:Choice Requires="wpc">
            <w:drawing>
              <wp:anchor distT="0" distB="0" distL="114300" distR="114300" simplePos="0" relativeHeight="251643904" behindDoc="0" locked="0" layoutInCell="1" allowOverlap="1" wp14:anchorId="2A1783B8" wp14:editId="28864B49">
                <wp:simplePos x="0" y="0"/>
                <wp:positionH relativeFrom="character">
                  <wp:posOffset>0</wp:posOffset>
                </wp:positionH>
                <wp:positionV relativeFrom="line">
                  <wp:posOffset>0</wp:posOffset>
                </wp:positionV>
                <wp:extent cx="3848100" cy="1009650"/>
                <wp:effectExtent l="0" t="0" r="0" b="0"/>
                <wp:wrapNone/>
                <wp:docPr id="591" name="Canvas 2" descr="P1111L10#y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84"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0160" y="494665"/>
                            <a:ext cx="344360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5" name="Line 5"/>
                        <wps:cNvCnPr/>
                        <wps:spPr bwMode="auto">
                          <a:xfrm flipH="1">
                            <a:off x="3299460" y="349250"/>
                            <a:ext cx="208280" cy="229235"/>
                          </a:xfrm>
                          <a:prstGeom prst="line">
                            <a:avLst/>
                          </a:prstGeom>
                          <a:noFill/>
                          <a:ln w="2540" cap="rnd">
                            <a:solidFill>
                              <a:srgbClr val="000000"/>
                            </a:solidFill>
                            <a:round/>
                            <a:headEnd/>
                            <a:tailEnd/>
                          </a:ln>
                          <a:extLst>
                            <a:ext uri="{909E8E84-426E-40DD-AFC4-6F175D3DCCD1}">
                              <a14:hiddenFill xmlns:a14="http://schemas.microsoft.com/office/drawing/2010/main">
                                <a:noFill/>
                              </a14:hiddenFill>
                            </a:ext>
                          </a:extLst>
                        </wps:spPr>
                        <wps:bodyPr/>
                      </wps:wsp>
                      <wps:wsp>
                        <wps:cNvPr id="586" name="Rectangle 6"/>
                        <wps:cNvSpPr>
                          <a:spLocks noChangeArrowheads="1"/>
                        </wps:cNvSpPr>
                        <wps:spPr bwMode="auto">
                          <a:xfrm>
                            <a:off x="3597910" y="298450"/>
                            <a:ext cx="22733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E07B2" w14:textId="77777777" w:rsidR="004261EB" w:rsidRDefault="004261EB">
                              <w:r>
                                <w:rPr>
                                  <w:rFonts w:ascii="Arial" w:hAnsi="Arial" w:cs="Arial"/>
                                  <w:color w:val="000000"/>
                                  <w:sz w:val="14"/>
                                  <w:szCs w:val="14"/>
                                </w:rPr>
                                <w:t>Close</w:t>
                              </w:r>
                            </w:p>
                          </w:txbxContent>
                        </wps:txbx>
                        <wps:bodyPr rot="0" vert="horz" wrap="square" lIns="0" tIns="0" rIns="0" bIns="0" anchor="t" anchorCtr="0" upright="1">
                          <a:noAutofit/>
                        </wps:bodyPr>
                      </wps:wsp>
                      <wps:wsp>
                        <wps:cNvPr id="587" name="Line 7"/>
                        <wps:cNvCnPr/>
                        <wps:spPr bwMode="auto">
                          <a:xfrm>
                            <a:off x="2880995" y="421005"/>
                            <a:ext cx="104775" cy="157480"/>
                          </a:xfrm>
                          <a:prstGeom prst="line">
                            <a:avLst/>
                          </a:prstGeom>
                          <a:noFill/>
                          <a:ln w="2540" cap="rnd">
                            <a:solidFill>
                              <a:srgbClr val="000000"/>
                            </a:solidFill>
                            <a:round/>
                            <a:headEnd/>
                            <a:tailEnd/>
                          </a:ln>
                          <a:extLst>
                            <a:ext uri="{909E8E84-426E-40DD-AFC4-6F175D3DCCD1}">
                              <a14:hiddenFill xmlns:a14="http://schemas.microsoft.com/office/drawing/2010/main">
                                <a:noFill/>
                              </a14:hiddenFill>
                            </a:ext>
                          </a:extLst>
                        </wps:spPr>
                        <wps:bodyPr/>
                      </wps:wsp>
                      <wps:wsp>
                        <wps:cNvPr id="588" name="Rectangle 8"/>
                        <wps:cNvSpPr>
                          <a:spLocks noChangeArrowheads="1"/>
                        </wps:cNvSpPr>
                        <wps:spPr bwMode="auto">
                          <a:xfrm>
                            <a:off x="2693035" y="267970"/>
                            <a:ext cx="3511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F26EF" w14:textId="77777777" w:rsidR="004261EB" w:rsidRDefault="004261EB">
                              <w:r>
                                <w:rPr>
                                  <w:rFonts w:ascii="Arial" w:hAnsi="Arial" w:cs="Arial"/>
                                  <w:color w:val="000000"/>
                                  <w:sz w:val="14"/>
                                  <w:szCs w:val="14"/>
                                </w:rPr>
                                <w:t>Minimize</w:t>
                              </w:r>
                            </w:p>
                          </w:txbxContent>
                        </wps:txbx>
                        <wps:bodyPr rot="0" vert="horz" wrap="square" lIns="0" tIns="0" rIns="0" bIns="0" anchor="t" anchorCtr="0" upright="1">
                          <a:noAutofit/>
                        </wps:bodyPr>
                      </wps:wsp>
                      <wps:wsp>
                        <wps:cNvPr id="589" name="Line 9"/>
                        <wps:cNvCnPr/>
                        <wps:spPr bwMode="auto">
                          <a:xfrm flipH="1">
                            <a:off x="3142615" y="185420"/>
                            <a:ext cx="52070" cy="366395"/>
                          </a:xfrm>
                          <a:prstGeom prst="line">
                            <a:avLst/>
                          </a:prstGeom>
                          <a:noFill/>
                          <a:ln w="2540" cap="rnd">
                            <a:solidFill>
                              <a:srgbClr val="000000"/>
                            </a:solidFill>
                            <a:round/>
                            <a:headEnd/>
                            <a:tailEnd/>
                          </a:ln>
                          <a:extLst>
                            <a:ext uri="{909E8E84-426E-40DD-AFC4-6F175D3DCCD1}">
                              <a14:hiddenFill xmlns:a14="http://schemas.microsoft.com/office/drawing/2010/main">
                                <a:noFill/>
                              </a14:hiddenFill>
                            </a:ext>
                          </a:extLst>
                        </wps:spPr>
                        <wps:bodyPr/>
                      </wps:wsp>
                      <wps:wsp>
                        <wps:cNvPr id="590" name="Rectangle 10"/>
                        <wps:cNvSpPr>
                          <a:spLocks noChangeArrowheads="1"/>
                        </wps:cNvSpPr>
                        <wps:spPr bwMode="auto">
                          <a:xfrm>
                            <a:off x="3011805" y="30480"/>
                            <a:ext cx="3759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85CB5" w14:textId="77777777" w:rsidR="004261EB" w:rsidRDefault="004261EB">
                              <w:r>
                                <w:rPr>
                                  <w:rFonts w:ascii="Arial" w:hAnsi="Arial" w:cs="Arial"/>
                                  <w:color w:val="000000"/>
                                  <w:sz w:val="14"/>
                                  <w:szCs w:val="14"/>
                                </w:rPr>
                                <w:t xml:space="preserve">Maximize </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A1783B8" id="Canvas 2" o:spid="_x0000_s1027" editas="canvas" alt="&quot;&quot;" style="position:absolute;margin-left:0;margin-top:0;width:303pt;height:79.5pt;z-index:251643904;mso-position-horizontal-relative:char;mso-position-vertical-relative:line" coordsize="38481,100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">
                <v:shape id="_x0000_s1028" type="#_x0000_t75" alt="&quot;&quot;" style="position:absolute;width:38481;height:10096;visibility:visible;mso-wrap-style:square">
                  <v:fill o:detectmouseclick="t"/>
                  <v:path o:connecttype="none"/>
                </v:shape>
                <v:shape id="Picture 4" o:spid="_x0000_s1029" type="#_x0000_t75" style="position:absolute;left:101;top:4946;width:34436;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">
                  <v:imagedata r:id="rId74" o:title=""/>
                </v:shape>
                <v:line id="Line 5" o:spid="_x0000_s1030" style="position:absolute;flip:x;visibility:visible;mso-wrap-style:square" from="32994,3492" to="35077,5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" strokeweight=".2pt">
                  <v:stroke endcap="round"/>
                </v:line>
                <v:rect id="Rectangle 6" o:spid="_x0000_s1031" style="position:absolute;left:35979;top:2984;width:2273;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7mxQAAANwAAAAPAAAAZHJzL2Rvd25yZXYueG1sRI9Pi8Iw&#10;FMTvwn6H8Ba8aaqg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BZwn7mxQAAANwAAAAP&#10;AAAAAAAAAAAAAAAAAAcCAABkcnMvZG93bnJldi54bWxQSwUGAAAAAAMAAwC3AAAA+QIAAAAA&#10;" filled="f" stroked="f">
                  <v:textbox inset="0,0,0,0">
                    <w:txbxContent>
                      <w:p w14:paraId="222E07B2" w14:textId="77777777" w:rsidR="004261EB" w:rsidRDefault="004261EB">
                        <w:r>
                          <w:rPr>
                            <w:rFonts w:ascii="Arial" w:hAnsi="Arial" w:cs="Arial"/>
                            <w:color w:val="000000"/>
                            <w:sz w:val="14"/>
                            <w:szCs w:val="14"/>
                          </w:rPr>
                          <w:t>Close</w:t>
                        </w:r>
                      </w:p>
                    </w:txbxContent>
                  </v:textbox>
                </v:rect>
                <v:line id="Line 7" o:spid="_x0000_s1032" style="position:absolute;visibility:visible;mso-wrap-style:square" from="28809,4210" to="29857,5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" strokeweight=".2pt">
                  <v:stroke endcap="round"/>
                </v:line>
                <v:rect id="Rectangle 8" o:spid="_x0000_s1033" style="position:absolute;left:26930;top:2679;width:3511;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U8PwQAAANwAAAAPAAAAZHJzL2Rvd25yZXYueG1sRE/LisIw&#10;FN0L/kO4gjtNFZT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EcRTw/BAAAA3AAAAA8AAAAA&#10;AAAAAAAAAAAABwIAAGRycy9kb3ducmV2LnhtbFBLBQYAAAAAAwADALcAAAD1AgAAAAA=&#10;" filled="f" stroked="f">
                  <v:textbox inset="0,0,0,0">
                    <w:txbxContent>
                      <w:p w14:paraId="5EFF26EF" w14:textId="77777777" w:rsidR="004261EB" w:rsidRDefault="004261EB">
                        <w:r>
                          <w:rPr>
                            <w:rFonts w:ascii="Arial" w:hAnsi="Arial" w:cs="Arial"/>
                            <w:color w:val="000000"/>
                            <w:sz w:val="14"/>
                            <w:szCs w:val="14"/>
                          </w:rPr>
                          <w:t>Minimize</w:t>
                        </w:r>
                      </w:p>
                    </w:txbxContent>
                  </v:textbox>
                </v:rect>
                <v:line id="Line 9" o:spid="_x0000_s1034" style="position:absolute;flip:x;visibility:visible;mso-wrap-style:square" from="31426,1854" to="31946,5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" strokeweight=".2pt">
                  <v:stroke endcap="round"/>
                </v:line>
                <v:rect id="Rectangle 10" o:spid="_x0000_s1035" style="position:absolute;left:30118;top:304;width:3759;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tXUwQAAANwAAAAPAAAAZHJzL2Rvd25yZXYueG1sRE/LisIw&#10;FN0L/kO4gjtNFRT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Dy+1dTBAAAA3AAAAA8AAAAA&#10;AAAAAAAAAAAABwIAAGRycy9kb3ducmV2LnhtbFBLBQYAAAAAAwADALcAAAD1AgAAAAA=&#10;" filled="f" stroked="f">
                  <v:textbox inset="0,0,0,0">
                    <w:txbxContent>
                      <w:p w14:paraId="05085CB5" w14:textId="77777777" w:rsidR="004261EB" w:rsidRDefault="004261EB">
                        <w:r>
                          <w:rPr>
                            <w:rFonts w:ascii="Arial" w:hAnsi="Arial" w:cs="Arial"/>
                            <w:color w:val="000000"/>
                            <w:sz w:val="14"/>
                            <w:szCs w:val="14"/>
                          </w:rPr>
                          <w:t xml:space="preserve">Maximize </w:t>
                        </w:r>
                      </w:p>
                    </w:txbxContent>
                  </v:textbox>
                </v:rect>
                <w10:wrap anchory="line"/>
              </v:group>
            </w:pict>
          </mc:Fallback>
        </mc:AlternateContent>
      </w:r>
      <w:r>
        <w:rPr>
          <w:noProof/>
        </w:rPr>
        <mc:AlternateContent>
          <mc:Choice Requires="wps">
            <w:drawing>
              <wp:inline distT="0" distB="0" distL="0" distR="0" wp14:anchorId="19A17513" wp14:editId="4302FC65">
                <wp:extent cx="3851275" cy="1006475"/>
                <wp:effectExtent l="0" t="0" r="0" b="0"/>
                <wp:docPr id="1" name="AutoShape 1" descr="P1111L1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51275" cy="100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0DB801" id="AutoShape 1" o:spid="_x0000_s1026" alt="&quot;&quot;" style="width:303.25pt;height:7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" filled="f" stroked="f">
                <o:lock v:ext="edit" aspectratio="t"/>
                <w10:anchorlock/>
              </v:rect>
            </w:pict>
          </mc:Fallback>
        </mc:AlternateContent>
      </w:r>
      <w:r>
        <w:rPr>
          <w:noProof/>
        </w:rPr>
        <w:drawing>
          <wp:inline distT="0" distB="0" distL="0" distR="0" wp14:anchorId="5DDCE654" wp14:editId="64999677">
            <wp:extent cx="1597660" cy="591185"/>
            <wp:effectExtent l="0" t="0" r="2540" b="0"/>
            <wp:docPr id="63" name="Picture 63" descr="P1111L10#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P1111L10#yIS1">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97660" cy="591185"/>
                    </a:xfrm>
                    <a:prstGeom prst="rect">
                      <a:avLst/>
                    </a:prstGeom>
                    <a:noFill/>
                    <a:ln>
                      <a:noFill/>
                    </a:ln>
                  </pic:spPr>
                </pic:pic>
              </a:graphicData>
            </a:graphic>
          </wp:inline>
        </w:drawing>
      </w:r>
    </w:p>
    <w:p w14:paraId="08FCA0B2" w14:textId="77777777" w:rsidR="002A21AE" w:rsidRPr="00762A84" w:rsidRDefault="00EF41C4" w:rsidP="00EF41C4">
      <w:pPr>
        <w:pStyle w:val="Caution"/>
      </w:pPr>
      <w:bookmarkStart w:id="136" w:name="OLE_LINK43"/>
      <w:bookmarkStart w:id="137" w:name="OLE_LINK44"/>
      <w:r>
        <w:t>When</w:t>
      </w:r>
      <w:r w:rsidR="00762A84">
        <w:t xml:space="preserve"> a</w:t>
      </w:r>
      <w:r>
        <w:t xml:space="preserve"> </w:t>
      </w:r>
      <w:r w:rsidR="00947497">
        <w:t xml:space="preserve">window is partially displayed or </w:t>
      </w:r>
      <w:r>
        <w:t>freezes</w:t>
      </w:r>
      <w:r w:rsidR="00762A84">
        <w:t>;</w:t>
      </w:r>
      <w:r>
        <w:t xml:space="preserve"> </w:t>
      </w:r>
      <w:r w:rsidR="00762A84">
        <w:t xml:space="preserve">or when you move from one window to another, enter information, return to the original window, and the entered information is not available, minimize then maximize the window to refresh it. </w:t>
      </w:r>
      <w:bookmarkEnd w:id="136"/>
      <w:bookmarkEnd w:id="137"/>
    </w:p>
    <w:p w14:paraId="5EAD8EE6" w14:textId="77777777" w:rsidR="002A21AE" w:rsidRDefault="002A21AE" w:rsidP="00FA7E65">
      <w:pPr>
        <w:pStyle w:val="BodyText"/>
      </w:pPr>
      <w:r>
        <w:t xml:space="preserve">To resize an open window: </w:t>
      </w:r>
    </w:p>
    <w:p w14:paraId="434FFD46" w14:textId="77777777" w:rsidR="002A21AE" w:rsidRDefault="002A21AE">
      <w:pPr>
        <w:pStyle w:val="ListBullet"/>
      </w:pPr>
      <w:r>
        <w:t>Make sure the Maximize symbol is visible.</w:t>
      </w:r>
    </w:p>
    <w:p w14:paraId="6EB43999" w14:textId="77777777" w:rsidR="002A21AE" w:rsidRDefault="002A21AE">
      <w:pPr>
        <w:pStyle w:val="ListBullet"/>
      </w:pPr>
      <w:r>
        <w:t xml:space="preserve">Change the width: move the mouse cursor to the left or right window border until the pointer changes into a horizontal double-headed arrow, then drag the border to the right or left. </w:t>
      </w:r>
    </w:p>
    <w:p w14:paraId="13129440" w14:textId="77777777" w:rsidR="002A21AE" w:rsidRDefault="002A21AE">
      <w:pPr>
        <w:pStyle w:val="ListBullet"/>
      </w:pPr>
      <w:r>
        <w:t xml:space="preserve">Change the height: move the mouse cursor to the top or bottom window border until the pointer changes into a vertical double-headed arrow, then drag the border up or down. </w:t>
      </w:r>
    </w:p>
    <w:p w14:paraId="4ACE23DB" w14:textId="77777777" w:rsidR="002A21AE" w:rsidRDefault="002A21AE">
      <w:pPr>
        <w:pStyle w:val="ListBullet"/>
      </w:pPr>
      <w:r>
        <w:t xml:space="preserve">Change the height and width together: move the mouse cursor to any window corner until the pointer changes into a diagonal double-headed arrow, and then drag the border in any direction. </w:t>
      </w:r>
    </w:p>
    <w:p w14:paraId="614262C5" w14:textId="77777777" w:rsidR="002A21AE" w:rsidRDefault="002A21AE">
      <w:pPr>
        <w:pStyle w:val="Caution"/>
      </w:pPr>
      <w:r>
        <w:t>A maximized window cannot be resized or moved.</w:t>
      </w:r>
    </w:p>
    <w:p w14:paraId="4AD41414" w14:textId="77777777" w:rsidR="003802FB" w:rsidRDefault="002A21AE" w:rsidP="003802FB">
      <w:pPr>
        <w:pStyle w:val="BodyText"/>
      </w:pPr>
      <w:r>
        <w:t xml:space="preserve">To move a window, click the dark blue bar at the top of the window. While </w:t>
      </w:r>
      <w:r w:rsidR="00DA43CD">
        <w:t>depressing</w:t>
      </w:r>
      <w:r>
        <w:t xml:space="preserve"> the mouse button, drag the </w:t>
      </w:r>
      <w:r w:rsidR="00B917A8">
        <w:t>window to the desired position.</w:t>
      </w:r>
    </w:p>
    <w:p w14:paraId="45132E6A" w14:textId="77777777" w:rsidR="002755DA" w:rsidRDefault="00EB27C1" w:rsidP="003802FB">
      <w:pPr>
        <w:pStyle w:val="BodyText"/>
      </w:pPr>
      <w:r>
        <w:t xml:space="preserve">Select </w:t>
      </w:r>
      <w:r w:rsidRPr="00EB27C1">
        <w:rPr>
          <w:b/>
        </w:rPr>
        <w:t>Help</w:t>
      </w:r>
      <w:r>
        <w:t xml:space="preserve">, </w:t>
      </w:r>
      <w:r w:rsidRPr="00EB27C1">
        <w:rPr>
          <w:b/>
        </w:rPr>
        <w:t>VBECS Help</w:t>
      </w:r>
      <w:r w:rsidRPr="00EB27C1">
        <w:t>,</w:t>
      </w:r>
      <w:r>
        <w:t xml:space="preserve"> or p</w:t>
      </w:r>
      <w:r w:rsidR="002755DA">
        <w:t>ress F1 at any time for screen-specific online help</w:t>
      </w:r>
      <w:r w:rsidR="00BA2D0A">
        <w:fldChar w:fldCharType="begin"/>
      </w:r>
      <w:r w:rsidR="00BA2D0A">
        <w:instrText xml:space="preserve"> XE </w:instrText>
      </w:r>
      <w:r w:rsidR="00FA7E65">
        <w:instrText>“</w:instrText>
      </w:r>
      <w:r w:rsidR="00BA2D0A">
        <w:instrText>O</w:instrText>
      </w:r>
      <w:r w:rsidR="00BA2D0A" w:rsidRPr="00C1058E">
        <w:instrText xml:space="preserve">nline </w:instrText>
      </w:r>
      <w:r w:rsidR="00BA2D0A">
        <w:instrText>H</w:instrText>
      </w:r>
      <w:r w:rsidR="00BA2D0A" w:rsidRPr="00C1058E">
        <w:instrText>elp</w:instrText>
      </w:r>
      <w:r w:rsidR="00BA2D0A">
        <w:instrText xml:space="preserve"> F1</w:instrText>
      </w:r>
      <w:r w:rsidR="00FA7E65">
        <w:instrText>”</w:instrText>
      </w:r>
      <w:r w:rsidR="00BA2D0A">
        <w:instrText xml:space="preserve"> </w:instrText>
      </w:r>
      <w:r w:rsidR="00BA2D0A">
        <w:fldChar w:fldCharType="end"/>
      </w:r>
      <w:r w:rsidR="002755DA">
        <w:t>.</w:t>
      </w:r>
    </w:p>
    <w:p w14:paraId="0BE8689C" w14:textId="77777777" w:rsidR="002A21AE" w:rsidRDefault="002A21AE" w:rsidP="00FA7E65">
      <w:pPr>
        <w:pStyle w:val="BodyText"/>
      </w:pPr>
      <w:r>
        <w:t xml:space="preserve">The </w:t>
      </w:r>
      <w:r w:rsidR="00794B04">
        <w:t>first time a user opens a form [</w:t>
      </w:r>
      <w:r>
        <w:t>such as the Blood Transfusion Record Form</w:t>
      </w:r>
      <w:r w:rsidR="00794B04">
        <w:t xml:space="preserve"> (BTRF</w:t>
      </w:r>
      <w:r>
        <w:t>)</w:t>
      </w:r>
      <w:r w:rsidR="00794B04">
        <w:t>]</w:t>
      </w:r>
      <w:r>
        <w:t>, VBECS displays it in cascade style. When a user opens the form again, VBECS displays it in the size and position last selected.</w:t>
      </w:r>
    </w:p>
    <w:p w14:paraId="6E01E2D0" w14:textId="77777777" w:rsidR="002A21AE" w:rsidRDefault="002A21AE">
      <w:pPr>
        <w:pStyle w:val="Caution"/>
      </w:pPr>
      <w:r>
        <w:t>Forms can be resized and moved in the same way that windows are resized and moved.</w:t>
      </w:r>
    </w:p>
    <w:p w14:paraId="596743F7" w14:textId="77777777" w:rsidR="009521D3" w:rsidRDefault="009521D3" w:rsidP="009521D3">
      <w:pPr>
        <w:pStyle w:val="Heading3"/>
      </w:pPr>
      <w:bookmarkStart w:id="138" w:name="_Toc4588733"/>
      <w:r>
        <w:lastRenderedPageBreak/>
        <w:t>Sound</w:t>
      </w:r>
      <w:bookmarkEnd w:id="138"/>
      <w:r>
        <w:fldChar w:fldCharType="begin"/>
      </w:r>
      <w:r>
        <w:instrText xml:space="preserve"> XE "</w:instrText>
      </w:r>
      <w:r w:rsidRPr="0052484B">
        <w:instrText>Sound</w:instrText>
      </w:r>
      <w:r>
        <w:instrText xml:space="preserve">" </w:instrText>
      </w:r>
      <w:r>
        <w:fldChar w:fldCharType="end"/>
      </w:r>
    </w:p>
    <w:p w14:paraId="69A7450D" w14:textId="77777777" w:rsidR="009521D3" w:rsidRDefault="009521D3" w:rsidP="009521D3">
      <w:pPr>
        <w:pStyle w:val="BodyText"/>
      </w:pPr>
      <w:r>
        <w:t xml:space="preserve">To enable sound on Remote Desktop Connection: </w:t>
      </w:r>
    </w:p>
    <w:p w14:paraId="5110FA42" w14:textId="1ABA6B8B" w:rsidR="009521D3" w:rsidRDefault="00430868" w:rsidP="002F6D7B">
      <w:pPr>
        <w:pStyle w:val="ListNumber"/>
        <w:numPr>
          <w:ilvl w:val="0"/>
          <w:numId w:val="17"/>
        </w:numPr>
      </w:pPr>
      <w:r>
        <w:t>Double-</w:t>
      </w:r>
      <w:r w:rsidR="009521D3">
        <w:t xml:space="preserve">click </w:t>
      </w:r>
      <w:r w:rsidR="00D57E04">
        <w:object w:dxaOrig="495" w:dyaOrig="525" w14:anchorId="204A2BCA">
          <v:shape id="_x0000_i1030" type="#_x0000_t75" alt="P1125L13#yIS1" style="width:14.4pt;height:14.4pt" o:ole="">
            <v:imagedata r:id="rId70" o:title=""/>
          </v:shape>
          <o:OLEObject Type="Embed" ProgID="PBrush" ShapeID="_x0000_i1030" DrawAspect="Content" ObjectID="_1693288311" r:id="rId76"/>
        </w:object>
      </w:r>
      <w:r w:rsidR="00440D46">
        <w:t xml:space="preserve"> </w:t>
      </w:r>
      <w:r w:rsidR="009521D3">
        <w:t xml:space="preserve">(the </w:t>
      </w:r>
      <w:r w:rsidR="009521D3" w:rsidRPr="00D75808">
        <w:rPr>
          <w:b/>
        </w:rPr>
        <w:t xml:space="preserve">Remote Desktop Connection </w:t>
      </w:r>
      <w:r w:rsidR="009521D3" w:rsidRPr="000E5904">
        <w:t>icon</w:t>
      </w:r>
      <w:r w:rsidR="009521D3" w:rsidRPr="006B174A">
        <w:t>).</w:t>
      </w:r>
    </w:p>
    <w:p w14:paraId="135D9D75" w14:textId="62B728A4" w:rsidR="009521D3" w:rsidRDefault="009521D3" w:rsidP="00190BEC">
      <w:pPr>
        <w:pStyle w:val="ListNumber"/>
        <w:numPr>
          <w:ilvl w:val="0"/>
          <w:numId w:val="17"/>
        </w:numPr>
      </w:pPr>
      <w:r>
        <w:t xml:space="preserve">Click </w:t>
      </w:r>
      <w:r w:rsidR="00536B57" w:rsidRPr="00F973D1">
        <w:rPr>
          <w:b/>
        </w:rPr>
        <w:t xml:space="preserve">Show </w:t>
      </w:r>
      <w:r w:rsidRPr="00F973D1">
        <w:rPr>
          <w:b/>
        </w:rPr>
        <w:t>Options</w:t>
      </w:r>
      <w:r w:rsidR="00AA5C48" w:rsidRPr="00190BEC">
        <w:t xml:space="preserve"> </w:t>
      </w:r>
      <w:r w:rsidR="00AA5C48" w:rsidRPr="00AA5C48">
        <w:t>(</w:t>
      </w:r>
      <w:r w:rsidR="00AA5C48">
        <w:fldChar w:fldCharType="begin" w:fldLock="1"/>
      </w:r>
      <w:r w:rsidR="00AA5C48">
        <w:instrText xml:space="preserve"> REF _Ref506971874 \h </w:instrText>
      </w:r>
      <w:r w:rsidR="00190BEC">
        <w:instrText xml:space="preserve"> \* MERGEFORMAT </w:instrText>
      </w:r>
      <w:r w:rsidR="00AA5C48">
        <w:fldChar w:fldCharType="separate"/>
      </w:r>
      <w:r w:rsidR="00AB304C">
        <w:t>Figure 38</w:t>
      </w:r>
      <w:r w:rsidR="00AA5C48">
        <w:fldChar w:fldCharType="end"/>
      </w:r>
      <w:r w:rsidR="00AA5C48" w:rsidRPr="00AA5C48">
        <w:t>)</w:t>
      </w:r>
      <w:r>
        <w:t>.</w:t>
      </w:r>
    </w:p>
    <w:p w14:paraId="096E3F10" w14:textId="6DF96054" w:rsidR="000E5904" w:rsidRDefault="000E5904" w:rsidP="000E5904">
      <w:pPr>
        <w:pStyle w:val="Caption"/>
      </w:pPr>
      <w:bookmarkStart w:id="139" w:name="_Ref506971874"/>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38</w:t>
      </w:r>
      <w:r w:rsidR="004E20BD">
        <w:rPr>
          <w:noProof/>
        </w:rPr>
        <w:fldChar w:fldCharType="end"/>
      </w:r>
      <w:bookmarkEnd w:id="139"/>
      <w:r>
        <w:t xml:space="preserve">: Remote Desktop </w:t>
      </w:r>
      <w:r w:rsidR="00486D34">
        <w:t>Connection</w:t>
      </w:r>
      <w:r>
        <w:t xml:space="preserve"> Options</w:t>
      </w:r>
    </w:p>
    <w:p w14:paraId="65760D12" w14:textId="77777777" w:rsidR="000E5904" w:rsidRPr="000E5904" w:rsidRDefault="00057948" w:rsidP="000E5904">
      <w:pPr>
        <w:pStyle w:val="BodyText"/>
      </w:pPr>
      <w:r>
        <w:rPr>
          <w:noProof/>
        </w:rPr>
        <w:drawing>
          <wp:inline distT="0" distB="0" distL="0" distR="0" wp14:anchorId="587E97B5" wp14:editId="7CBC8145">
            <wp:extent cx="4008755" cy="2466340"/>
            <wp:effectExtent l="0" t="0" r="0" b="0"/>
            <wp:docPr id="65" name="Picture 1" descr="P1128L1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 descr="P1128L13#yIS1">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08755" cy="2466340"/>
                    </a:xfrm>
                    <a:prstGeom prst="rect">
                      <a:avLst/>
                    </a:prstGeom>
                    <a:noFill/>
                    <a:ln>
                      <a:noFill/>
                    </a:ln>
                  </pic:spPr>
                </pic:pic>
              </a:graphicData>
            </a:graphic>
          </wp:inline>
        </w:drawing>
      </w:r>
    </w:p>
    <w:p w14:paraId="7CE05795" w14:textId="3DE2AEC0" w:rsidR="000E5904" w:rsidRDefault="00AA5C48" w:rsidP="00190BEC">
      <w:pPr>
        <w:pStyle w:val="ListNumber"/>
        <w:numPr>
          <w:ilvl w:val="0"/>
          <w:numId w:val="17"/>
        </w:numPr>
      </w:pPr>
      <w:r>
        <w:br w:type="page"/>
      </w:r>
      <w:r w:rsidR="009521D3" w:rsidRPr="000E5904">
        <w:lastRenderedPageBreak/>
        <w:t>Click the</w:t>
      </w:r>
      <w:r w:rsidR="009521D3">
        <w:t xml:space="preserve"> </w:t>
      </w:r>
      <w:r w:rsidR="009521D3" w:rsidRPr="00F973D1">
        <w:rPr>
          <w:b/>
        </w:rPr>
        <w:t>Local Resources</w:t>
      </w:r>
      <w:r w:rsidR="009521D3" w:rsidRPr="00190BEC">
        <w:t xml:space="preserve"> </w:t>
      </w:r>
      <w:r w:rsidR="009521D3" w:rsidRPr="000E5904">
        <w:t>ta</w:t>
      </w:r>
      <w:r w:rsidR="000E5904">
        <w:t>b (</w:t>
      </w:r>
      <w:r>
        <w:fldChar w:fldCharType="begin" w:fldLock="1"/>
      </w:r>
      <w:r>
        <w:instrText xml:space="preserve"> REF _Ref506972009 \h </w:instrText>
      </w:r>
      <w:r w:rsidR="00190BEC">
        <w:instrText xml:space="preserve"> \* MERGEFORMAT </w:instrText>
      </w:r>
      <w:r>
        <w:fldChar w:fldCharType="separate"/>
      </w:r>
      <w:r w:rsidR="00AB304C">
        <w:t>Figure 39</w:t>
      </w:r>
      <w:r>
        <w:fldChar w:fldCharType="end"/>
      </w:r>
      <w:r w:rsidR="000E5904">
        <w:t>).</w:t>
      </w:r>
    </w:p>
    <w:p w14:paraId="458CEC7C" w14:textId="3ED58136" w:rsidR="00B95014" w:rsidRDefault="00B95014" w:rsidP="00B95014">
      <w:pPr>
        <w:pStyle w:val="Caption"/>
      </w:pPr>
      <w:bookmarkStart w:id="140" w:name="_Ref506972009"/>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39</w:t>
      </w:r>
      <w:r w:rsidR="004E20BD">
        <w:rPr>
          <w:noProof/>
        </w:rPr>
        <w:fldChar w:fldCharType="end"/>
      </w:r>
      <w:bookmarkEnd w:id="140"/>
      <w:r w:rsidR="00AA5C48">
        <w:t>: Remote Desktop Connection Remote Computer Sound</w:t>
      </w:r>
    </w:p>
    <w:p w14:paraId="4A59268A" w14:textId="77777777" w:rsidR="00B95014" w:rsidRPr="00B95014" w:rsidRDefault="00057948" w:rsidP="00B95014">
      <w:pPr>
        <w:pStyle w:val="BodyText"/>
      </w:pPr>
      <w:r>
        <w:rPr>
          <w:noProof/>
        </w:rPr>
        <w:drawing>
          <wp:inline distT="0" distB="0" distL="0" distR="0" wp14:anchorId="03EE60D5" wp14:editId="66B822BC">
            <wp:extent cx="4008755" cy="4572000"/>
            <wp:effectExtent l="0" t="0" r="0" b="0"/>
            <wp:docPr id="66" name="Picture 1" descr="P1131L1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 descr="P1131L13#yIS1">
                      <a:extLst>
                        <a:ext uri="{C183D7F6-B498-43B3-948B-1728B52AA6E4}">
                          <adec:decorative xmlns:adec="http://schemas.microsoft.com/office/drawing/2017/decorative" val="1"/>
                        </a:ext>
                      </a:extLs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08755" cy="4572000"/>
                    </a:xfrm>
                    <a:prstGeom prst="rect">
                      <a:avLst/>
                    </a:prstGeom>
                    <a:noFill/>
                    <a:ln>
                      <a:noFill/>
                    </a:ln>
                  </pic:spPr>
                </pic:pic>
              </a:graphicData>
            </a:graphic>
          </wp:inline>
        </w:drawing>
      </w:r>
    </w:p>
    <w:p w14:paraId="59285FA3" w14:textId="1A206D3E" w:rsidR="00536B57" w:rsidRDefault="00527340" w:rsidP="00190BEC">
      <w:pPr>
        <w:pStyle w:val="ListNumber"/>
        <w:numPr>
          <w:ilvl w:val="0"/>
          <w:numId w:val="17"/>
        </w:numPr>
      </w:pPr>
      <w:r>
        <w:br w:type="page"/>
      </w:r>
      <w:r w:rsidR="00536B57">
        <w:lastRenderedPageBreak/>
        <w:t xml:space="preserve">Click </w:t>
      </w:r>
      <w:r w:rsidR="00536B57" w:rsidRPr="00F973D1">
        <w:rPr>
          <w:b/>
        </w:rPr>
        <w:t>Settings</w:t>
      </w:r>
      <w:r w:rsidR="003052D6" w:rsidRPr="00190BEC">
        <w:t xml:space="preserve"> </w:t>
      </w:r>
      <w:r w:rsidR="003052D6" w:rsidRPr="003052D6">
        <w:t>(</w:t>
      </w:r>
      <w:r>
        <w:fldChar w:fldCharType="begin" w:fldLock="1"/>
      </w:r>
      <w:r>
        <w:instrText xml:space="preserve"> REF _Ref506975297 \h </w:instrText>
      </w:r>
      <w:r w:rsidR="00190BEC">
        <w:instrText xml:space="preserve"> \* MERGEFORMAT </w:instrText>
      </w:r>
      <w:r>
        <w:fldChar w:fldCharType="separate"/>
      </w:r>
      <w:r w:rsidR="00AB304C">
        <w:t>Figure 40</w:t>
      </w:r>
      <w:r>
        <w:fldChar w:fldCharType="end"/>
      </w:r>
      <w:r w:rsidR="003052D6" w:rsidRPr="003052D6">
        <w:t>)</w:t>
      </w:r>
      <w:r w:rsidR="00536B57">
        <w:t>.</w:t>
      </w:r>
    </w:p>
    <w:p w14:paraId="7CE9D271" w14:textId="71E730A5" w:rsidR="004E1E95" w:rsidRDefault="004E1E95" w:rsidP="004E1E95">
      <w:pPr>
        <w:pStyle w:val="Caption"/>
      </w:pPr>
      <w:bookmarkStart w:id="141" w:name="_Ref506975297"/>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40</w:t>
      </w:r>
      <w:r w:rsidR="004E20BD">
        <w:rPr>
          <w:noProof/>
        </w:rPr>
        <w:fldChar w:fldCharType="end"/>
      </w:r>
      <w:bookmarkEnd w:id="141"/>
      <w:r>
        <w:t>: Remote Desktop Connection Settings</w:t>
      </w:r>
    </w:p>
    <w:p w14:paraId="313B3E46" w14:textId="77777777" w:rsidR="004E1E95" w:rsidRPr="004E1E95" w:rsidRDefault="00057948" w:rsidP="004E1E95">
      <w:pPr>
        <w:pStyle w:val="BodyText"/>
      </w:pPr>
      <w:r>
        <w:rPr>
          <w:noProof/>
        </w:rPr>
        <w:drawing>
          <wp:inline distT="0" distB="0" distL="0" distR="0" wp14:anchorId="4B061E92" wp14:editId="41196B13">
            <wp:extent cx="4008755" cy="4572000"/>
            <wp:effectExtent l="0" t="0" r="0" b="0"/>
            <wp:docPr id="67" name="Picture 1" descr="P1134L1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 descr="P1134L13#yIS1">
                      <a:extLst>
                        <a:ext uri="{C183D7F6-B498-43B3-948B-1728B52AA6E4}">
                          <adec:decorative xmlns:adec="http://schemas.microsoft.com/office/drawing/2017/decorative" val="1"/>
                        </a:ext>
                      </a:extLs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08755" cy="4572000"/>
                    </a:xfrm>
                    <a:prstGeom prst="rect">
                      <a:avLst/>
                    </a:prstGeom>
                    <a:noFill/>
                    <a:ln>
                      <a:noFill/>
                    </a:ln>
                  </pic:spPr>
                </pic:pic>
              </a:graphicData>
            </a:graphic>
          </wp:inline>
        </w:drawing>
      </w:r>
    </w:p>
    <w:p w14:paraId="48D0DBC5" w14:textId="449B4D72" w:rsidR="009521D3" w:rsidRDefault="00527340" w:rsidP="00190BEC">
      <w:pPr>
        <w:pStyle w:val="ListNumber"/>
        <w:numPr>
          <w:ilvl w:val="0"/>
          <w:numId w:val="17"/>
        </w:numPr>
      </w:pPr>
      <w:r>
        <w:br w:type="page"/>
      </w:r>
      <w:r w:rsidR="009521D3">
        <w:lastRenderedPageBreak/>
        <w:t xml:space="preserve">Select </w:t>
      </w:r>
      <w:r w:rsidR="00536B57" w:rsidRPr="00F973D1">
        <w:rPr>
          <w:b/>
        </w:rPr>
        <w:t>Play on</w:t>
      </w:r>
      <w:r w:rsidR="009521D3" w:rsidRPr="00F973D1">
        <w:rPr>
          <w:b/>
        </w:rPr>
        <w:t xml:space="preserve"> this computer</w:t>
      </w:r>
      <w:r w:rsidR="009521D3" w:rsidRPr="00190BEC">
        <w:t xml:space="preserve"> </w:t>
      </w:r>
      <w:r w:rsidR="009521D3">
        <w:t>from the Remote computer sound drop-down list</w:t>
      </w:r>
      <w:r>
        <w:t xml:space="preserve"> (</w:t>
      </w:r>
      <w:r>
        <w:fldChar w:fldCharType="begin" w:fldLock="1"/>
      </w:r>
      <w:r>
        <w:instrText xml:space="preserve"> REF _Ref506975324 \h </w:instrText>
      </w:r>
      <w:r w:rsidR="00190BEC">
        <w:instrText xml:space="preserve"> \* MERGEFORMAT </w:instrText>
      </w:r>
      <w:r>
        <w:fldChar w:fldCharType="separate"/>
      </w:r>
      <w:r w:rsidR="00AB304C">
        <w:t>Figure 41</w:t>
      </w:r>
      <w:r>
        <w:fldChar w:fldCharType="end"/>
      </w:r>
      <w:r>
        <w:t>)</w:t>
      </w:r>
      <w:r w:rsidR="009521D3">
        <w:t>.</w:t>
      </w:r>
    </w:p>
    <w:p w14:paraId="0F8BF454" w14:textId="6EFB8B93" w:rsidR="004E1E95" w:rsidRDefault="004E1E95" w:rsidP="004E1E95">
      <w:pPr>
        <w:pStyle w:val="Caption"/>
      </w:pPr>
      <w:bookmarkStart w:id="142" w:name="_Ref506975324"/>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41</w:t>
      </w:r>
      <w:r w:rsidR="004E20BD">
        <w:rPr>
          <w:noProof/>
        </w:rPr>
        <w:fldChar w:fldCharType="end"/>
      </w:r>
      <w:bookmarkEnd w:id="142"/>
      <w:r>
        <w:t>: Remote Desktop Connection Play on this computer</w:t>
      </w:r>
    </w:p>
    <w:p w14:paraId="0728F33D" w14:textId="77777777" w:rsidR="004E1E95" w:rsidRPr="004E1E95" w:rsidRDefault="00057948" w:rsidP="004E1E95">
      <w:pPr>
        <w:pStyle w:val="BodyText"/>
      </w:pPr>
      <w:r>
        <w:rPr>
          <w:noProof/>
        </w:rPr>
        <w:drawing>
          <wp:inline distT="0" distB="0" distL="0" distR="0" wp14:anchorId="6AB7FC4A" wp14:editId="072D9D82">
            <wp:extent cx="4008755" cy="3232785"/>
            <wp:effectExtent l="0" t="0" r="0" b="5715"/>
            <wp:docPr id="68" name="Picture 1" descr="P1137L10#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 descr="P1137L10#yIS1">
                      <a:extLst>
                        <a:ext uri="{C183D7F6-B498-43B3-948B-1728B52AA6E4}">
                          <adec:decorative xmlns:adec="http://schemas.microsoft.com/office/drawing/2017/decorative" val="1"/>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08755" cy="3232785"/>
                    </a:xfrm>
                    <a:prstGeom prst="rect">
                      <a:avLst/>
                    </a:prstGeom>
                    <a:noFill/>
                    <a:ln>
                      <a:noFill/>
                    </a:ln>
                  </pic:spPr>
                </pic:pic>
              </a:graphicData>
            </a:graphic>
          </wp:inline>
        </w:drawing>
      </w:r>
    </w:p>
    <w:p w14:paraId="490831E4" w14:textId="77777777" w:rsidR="00536B57" w:rsidRDefault="00536B57" w:rsidP="00190BEC">
      <w:pPr>
        <w:pStyle w:val="ListNumber"/>
        <w:numPr>
          <w:ilvl w:val="0"/>
          <w:numId w:val="17"/>
        </w:numPr>
      </w:pPr>
      <w:r>
        <w:t xml:space="preserve">Click </w:t>
      </w:r>
      <w:r w:rsidRPr="00F973D1">
        <w:rPr>
          <w:b/>
        </w:rPr>
        <w:t>OK</w:t>
      </w:r>
      <w:r>
        <w:t>.</w:t>
      </w:r>
    </w:p>
    <w:p w14:paraId="5A6EE3A6" w14:textId="44B17943" w:rsidR="009521D3" w:rsidRDefault="00527340" w:rsidP="00190BEC">
      <w:pPr>
        <w:pStyle w:val="ListNumber"/>
        <w:numPr>
          <w:ilvl w:val="0"/>
          <w:numId w:val="17"/>
        </w:numPr>
      </w:pPr>
      <w:r>
        <w:br w:type="page"/>
      </w:r>
      <w:r w:rsidR="009521D3">
        <w:lastRenderedPageBreak/>
        <w:t xml:space="preserve">Click the </w:t>
      </w:r>
      <w:r w:rsidR="009521D3" w:rsidRPr="00F973D1">
        <w:rPr>
          <w:b/>
        </w:rPr>
        <w:t>Experience</w:t>
      </w:r>
      <w:r w:rsidR="009521D3" w:rsidRPr="00190BEC">
        <w:t xml:space="preserve"> </w:t>
      </w:r>
      <w:r w:rsidR="009521D3" w:rsidRPr="00430868">
        <w:t>tab</w:t>
      </w:r>
      <w:r>
        <w:t xml:space="preserve"> (</w:t>
      </w:r>
      <w:r>
        <w:fldChar w:fldCharType="begin" w:fldLock="1"/>
      </w:r>
      <w:r>
        <w:instrText xml:space="preserve"> REF _Ref506975351 \h </w:instrText>
      </w:r>
      <w:r w:rsidR="00190BEC">
        <w:instrText xml:space="preserve"> \* MERGEFORMAT </w:instrText>
      </w:r>
      <w:r>
        <w:fldChar w:fldCharType="separate"/>
      </w:r>
      <w:r w:rsidR="00AB304C">
        <w:t>Figure 42</w:t>
      </w:r>
      <w:r>
        <w:fldChar w:fldCharType="end"/>
      </w:r>
      <w:r>
        <w:t>)</w:t>
      </w:r>
      <w:r w:rsidR="009521D3">
        <w:t>.</w:t>
      </w:r>
    </w:p>
    <w:p w14:paraId="6B203FC1" w14:textId="22982078" w:rsidR="004E1E95" w:rsidRDefault="004E1E95" w:rsidP="004E1E95">
      <w:pPr>
        <w:pStyle w:val="Caption"/>
      </w:pPr>
      <w:bookmarkStart w:id="143" w:name="_Ref506975351"/>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42</w:t>
      </w:r>
      <w:r w:rsidR="004E20BD">
        <w:rPr>
          <w:noProof/>
        </w:rPr>
        <w:fldChar w:fldCharType="end"/>
      </w:r>
      <w:bookmarkEnd w:id="143"/>
      <w:r>
        <w:t xml:space="preserve">: </w:t>
      </w:r>
      <w:r w:rsidRPr="005404F9">
        <w:t>Remote Desktop Connection Choose Connection Speed</w:t>
      </w:r>
    </w:p>
    <w:p w14:paraId="4F3AB0E5" w14:textId="77777777" w:rsidR="004E1E95" w:rsidRDefault="00057948" w:rsidP="00527340">
      <w:pPr>
        <w:pStyle w:val="BodyText"/>
      </w:pPr>
      <w:r>
        <w:rPr>
          <w:noProof/>
        </w:rPr>
        <w:drawing>
          <wp:inline distT="0" distB="0" distL="0" distR="0" wp14:anchorId="27D86A64" wp14:editId="7C004363">
            <wp:extent cx="4008755" cy="4572000"/>
            <wp:effectExtent l="0" t="0" r="0" b="0"/>
            <wp:docPr id="69" name="Picture 1" descr="P1141L10#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 descr="P1141L10#yIS1">
                      <a:extLst>
                        <a:ext uri="{C183D7F6-B498-43B3-948B-1728B52AA6E4}">
                          <adec:decorative xmlns:adec="http://schemas.microsoft.com/office/drawing/2017/decorative" val="1"/>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08755" cy="4572000"/>
                    </a:xfrm>
                    <a:prstGeom prst="rect">
                      <a:avLst/>
                    </a:prstGeom>
                    <a:noFill/>
                    <a:ln>
                      <a:noFill/>
                    </a:ln>
                  </pic:spPr>
                </pic:pic>
              </a:graphicData>
            </a:graphic>
          </wp:inline>
        </w:drawing>
      </w:r>
    </w:p>
    <w:p w14:paraId="19A11CAE" w14:textId="3D5BBDEE" w:rsidR="009521D3" w:rsidRDefault="00527340" w:rsidP="00190BEC">
      <w:pPr>
        <w:pStyle w:val="ListNumber"/>
        <w:numPr>
          <w:ilvl w:val="0"/>
          <w:numId w:val="17"/>
        </w:numPr>
      </w:pPr>
      <w:r>
        <w:br w:type="page"/>
      </w:r>
      <w:r w:rsidR="009521D3">
        <w:lastRenderedPageBreak/>
        <w:t xml:space="preserve">Select </w:t>
      </w:r>
      <w:r w:rsidR="009521D3" w:rsidRPr="00F973D1">
        <w:rPr>
          <w:b/>
        </w:rPr>
        <w:t>LAN</w:t>
      </w:r>
      <w:r w:rsidR="009521D3">
        <w:t xml:space="preserve"> from the </w:t>
      </w:r>
      <w:r w:rsidR="009521D3" w:rsidRPr="00F973D1">
        <w:rPr>
          <w:b/>
        </w:rPr>
        <w:t>Choose your connect</w:t>
      </w:r>
      <w:r w:rsidR="00D051B7" w:rsidRPr="00F973D1">
        <w:rPr>
          <w:b/>
        </w:rPr>
        <w:t>i</w:t>
      </w:r>
      <w:r w:rsidR="009521D3" w:rsidRPr="00F973D1">
        <w:rPr>
          <w:b/>
        </w:rPr>
        <w:t>on speed to optimize performance</w:t>
      </w:r>
      <w:r w:rsidR="009521D3">
        <w:t xml:space="preserve"> drop-down list</w:t>
      </w:r>
      <w:r w:rsidR="0059143B">
        <w:t xml:space="preserve"> (</w:t>
      </w:r>
      <w:r>
        <w:fldChar w:fldCharType="begin" w:fldLock="1"/>
      </w:r>
      <w:r>
        <w:instrText xml:space="preserve"> REF _Ref506975377 \h </w:instrText>
      </w:r>
      <w:r w:rsidR="00190BEC">
        <w:instrText xml:space="preserve"> \* MERGEFORMAT </w:instrText>
      </w:r>
      <w:r>
        <w:fldChar w:fldCharType="separate"/>
      </w:r>
      <w:r w:rsidR="00AB304C">
        <w:t>Figure 43</w:t>
      </w:r>
      <w:r>
        <w:fldChar w:fldCharType="end"/>
      </w:r>
      <w:r w:rsidR="0059143B">
        <w:t>).</w:t>
      </w:r>
    </w:p>
    <w:p w14:paraId="54D610BB" w14:textId="28F2F4B8" w:rsidR="004E1E95" w:rsidRDefault="004E1E95" w:rsidP="004E1E95">
      <w:pPr>
        <w:pStyle w:val="Caption"/>
      </w:pPr>
      <w:bookmarkStart w:id="144" w:name="_Ref506975377"/>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43</w:t>
      </w:r>
      <w:r w:rsidR="004E20BD">
        <w:rPr>
          <w:noProof/>
        </w:rPr>
        <w:fldChar w:fldCharType="end"/>
      </w:r>
      <w:bookmarkEnd w:id="144"/>
      <w:r>
        <w:t>: Remote Desktop Connection Choose Connection Speed</w:t>
      </w:r>
    </w:p>
    <w:p w14:paraId="334CC7C0" w14:textId="77777777" w:rsidR="004E1E95" w:rsidRPr="004E1E95" w:rsidRDefault="00057948" w:rsidP="004E1E95">
      <w:pPr>
        <w:pStyle w:val="BodyText"/>
      </w:pPr>
      <w:r>
        <w:rPr>
          <w:noProof/>
        </w:rPr>
        <w:drawing>
          <wp:inline distT="0" distB="0" distL="0" distR="0" wp14:anchorId="3B54F8F7" wp14:editId="312631E4">
            <wp:extent cx="4008755" cy="4572000"/>
            <wp:effectExtent l="0" t="0" r="0" b="0"/>
            <wp:docPr id="70" name="Picture 1" descr="P1144L10#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 descr="P1144L10#yIS1">
                      <a:extLst>
                        <a:ext uri="{C183D7F6-B498-43B3-948B-1728B52AA6E4}">
                          <adec:decorative xmlns:adec="http://schemas.microsoft.com/office/drawing/2017/decorative" val="1"/>
                        </a:ext>
                      </a:extLs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08755" cy="4572000"/>
                    </a:xfrm>
                    <a:prstGeom prst="rect">
                      <a:avLst/>
                    </a:prstGeom>
                    <a:noFill/>
                    <a:ln>
                      <a:noFill/>
                    </a:ln>
                  </pic:spPr>
                </pic:pic>
              </a:graphicData>
            </a:graphic>
          </wp:inline>
        </w:drawing>
      </w:r>
    </w:p>
    <w:p w14:paraId="2397E738" w14:textId="77777777" w:rsidR="00F973D1" w:rsidRDefault="00F973D1" w:rsidP="00190BEC">
      <w:pPr>
        <w:pStyle w:val="ListNumber"/>
        <w:numPr>
          <w:ilvl w:val="0"/>
          <w:numId w:val="17"/>
        </w:numPr>
      </w:pPr>
      <w:r>
        <w:t xml:space="preserve">Click the </w:t>
      </w:r>
      <w:r w:rsidRPr="00F973D1">
        <w:rPr>
          <w:b/>
        </w:rPr>
        <w:t>General</w:t>
      </w:r>
      <w:r>
        <w:t xml:space="preserve"> tab and click </w:t>
      </w:r>
      <w:r w:rsidRPr="00F973D1">
        <w:rPr>
          <w:b/>
        </w:rPr>
        <w:t>Save</w:t>
      </w:r>
      <w:r>
        <w:t>.</w:t>
      </w:r>
    </w:p>
    <w:p w14:paraId="158E1A5A" w14:textId="2654D74F" w:rsidR="009521D3" w:rsidRDefault="009521D3" w:rsidP="00190BEC">
      <w:pPr>
        <w:pStyle w:val="ListNumber"/>
        <w:numPr>
          <w:ilvl w:val="0"/>
          <w:numId w:val="17"/>
        </w:numPr>
      </w:pPr>
      <w:r>
        <w:t xml:space="preserve">Click </w:t>
      </w:r>
      <w:r w:rsidRPr="00F973D1">
        <w:rPr>
          <w:b/>
        </w:rPr>
        <w:t>Connect</w:t>
      </w:r>
      <w:r w:rsidR="003C1391" w:rsidRPr="00190BEC">
        <w:t xml:space="preserve"> </w:t>
      </w:r>
      <w:r w:rsidR="003C1391" w:rsidRPr="003C1391">
        <w:t>(</w:t>
      </w:r>
      <w:r w:rsidR="00527340">
        <w:fldChar w:fldCharType="begin" w:fldLock="1"/>
      </w:r>
      <w:r w:rsidR="00527340">
        <w:instrText xml:space="preserve"> REF _Ref506975377 \h </w:instrText>
      </w:r>
      <w:r w:rsidR="00190BEC">
        <w:instrText xml:space="preserve"> \* MERGEFORMAT </w:instrText>
      </w:r>
      <w:r w:rsidR="00527340">
        <w:fldChar w:fldCharType="separate"/>
      </w:r>
      <w:r w:rsidR="00AB304C">
        <w:t>Figure 43</w:t>
      </w:r>
      <w:r w:rsidR="00527340">
        <w:fldChar w:fldCharType="end"/>
      </w:r>
      <w:r w:rsidR="003C1391" w:rsidRPr="003C1391">
        <w:t>)</w:t>
      </w:r>
      <w:r>
        <w:t>.</w:t>
      </w:r>
    </w:p>
    <w:p w14:paraId="07959B5B" w14:textId="77777777" w:rsidR="009521D3" w:rsidRDefault="003221AE" w:rsidP="009521D3">
      <w:pPr>
        <w:pStyle w:val="Heading3"/>
      </w:pPr>
      <w:r>
        <w:br w:type="page"/>
      </w:r>
      <w:bookmarkStart w:id="145" w:name="_Toc4588734"/>
      <w:r w:rsidR="009521D3">
        <w:lastRenderedPageBreak/>
        <w:t>Volume</w:t>
      </w:r>
      <w:bookmarkEnd w:id="145"/>
      <w:r w:rsidR="009521D3">
        <w:fldChar w:fldCharType="begin"/>
      </w:r>
      <w:r w:rsidR="009521D3">
        <w:instrText xml:space="preserve"> XE "</w:instrText>
      </w:r>
      <w:r w:rsidR="009521D3" w:rsidRPr="001226D8">
        <w:instrText xml:space="preserve"> Volume</w:instrText>
      </w:r>
      <w:r w:rsidR="009521D3">
        <w:instrText xml:space="preserve">" </w:instrText>
      </w:r>
      <w:r w:rsidR="009521D3">
        <w:fldChar w:fldCharType="end"/>
      </w:r>
    </w:p>
    <w:p w14:paraId="1175AF6E" w14:textId="77777777" w:rsidR="009521D3" w:rsidRDefault="00057948" w:rsidP="009521D3">
      <w:pPr>
        <w:pStyle w:val="Caution"/>
      </w:pPr>
      <w:r>
        <w:rPr>
          <w:noProof/>
        </w:rPr>
        <w:drawing>
          <wp:inline distT="0" distB="0" distL="0" distR="0" wp14:anchorId="3C2D3017" wp14:editId="2154B44C">
            <wp:extent cx="267970" cy="221615"/>
            <wp:effectExtent l="0" t="0" r="0" b="6985"/>
            <wp:docPr id="71" name="Picture 71" descr="P1148L10#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P1148L10#yIS1">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9521D3">
        <w:t>Do not change volume settings unless alerts are inaudible (muted) or low.</w:t>
      </w:r>
    </w:p>
    <w:p w14:paraId="6AD7B95E" w14:textId="77777777" w:rsidR="009521D3" w:rsidRDefault="009521D3" w:rsidP="009521D3">
      <w:pPr>
        <w:pStyle w:val="BodyText"/>
      </w:pPr>
      <w:r>
        <w:t xml:space="preserve">VBECS uses sound </w:t>
      </w:r>
      <w:r w:rsidR="00DF3323">
        <w:t xml:space="preserve">as one way </w:t>
      </w:r>
      <w:r>
        <w:t>to alert users. To restore the volume setting on your workstation so that alerts are audible:</w:t>
      </w:r>
    </w:p>
    <w:p w14:paraId="70EF4401" w14:textId="77777777" w:rsidR="00190939" w:rsidRDefault="00190939" w:rsidP="002F6D7B">
      <w:pPr>
        <w:pStyle w:val="ListNumber"/>
        <w:numPr>
          <w:ilvl w:val="0"/>
          <w:numId w:val="18"/>
        </w:numPr>
      </w:pPr>
      <w:r>
        <w:t xml:space="preserve">Click </w:t>
      </w:r>
      <w:r w:rsidRPr="00F8408D">
        <w:rPr>
          <w:b/>
        </w:rPr>
        <w:t>Start</w:t>
      </w:r>
      <w:r>
        <w:t xml:space="preserve">, </w:t>
      </w:r>
      <w:r w:rsidRPr="00F8408D">
        <w:rPr>
          <w:b/>
        </w:rPr>
        <w:t>Control Panel</w:t>
      </w:r>
      <w:r>
        <w:t>.</w:t>
      </w:r>
    </w:p>
    <w:p w14:paraId="2610DA1E" w14:textId="77777777" w:rsidR="00190939" w:rsidRPr="00F8408D" w:rsidRDefault="00190939" w:rsidP="00190BEC">
      <w:pPr>
        <w:pStyle w:val="ListNumber"/>
        <w:numPr>
          <w:ilvl w:val="0"/>
          <w:numId w:val="17"/>
        </w:numPr>
      </w:pPr>
      <w:r w:rsidRPr="00190939">
        <w:t xml:space="preserve">Click </w:t>
      </w:r>
      <w:r w:rsidRPr="00F973D1">
        <w:rPr>
          <w:b/>
        </w:rPr>
        <w:t>Sound</w:t>
      </w:r>
      <w:r w:rsidRPr="00F8408D">
        <w:t>.</w:t>
      </w:r>
    </w:p>
    <w:p w14:paraId="6F8C7F32" w14:textId="77777777" w:rsidR="00190939" w:rsidRPr="00F8408D" w:rsidRDefault="00190939" w:rsidP="00190BEC">
      <w:pPr>
        <w:pStyle w:val="ListNumber"/>
        <w:numPr>
          <w:ilvl w:val="0"/>
          <w:numId w:val="17"/>
        </w:numPr>
      </w:pPr>
      <w:r w:rsidRPr="00F8408D">
        <w:t xml:space="preserve">Click </w:t>
      </w:r>
      <w:r w:rsidR="00D72664" w:rsidRPr="00F973D1">
        <w:rPr>
          <w:b/>
        </w:rPr>
        <w:t>Properties</w:t>
      </w:r>
      <w:r w:rsidRPr="00F8408D">
        <w:t>.</w:t>
      </w:r>
    </w:p>
    <w:p w14:paraId="7BF89A3F" w14:textId="73152CF2" w:rsidR="00190939" w:rsidRPr="00F8408D" w:rsidRDefault="00190939" w:rsidP="00190BEC">
      <w:pPr>
        <w:pStyle w:val="ListNumber"/>
        <w:numPr>
          <w:ilvl w:val="0"/>
          <w:numId w:val="17"/>
        </w:numPr>
      </w:pPr>
      <w:r w:rsidRPr="00F8408D">
        <w:t xml:space="preserve">Select the </w:t>
      </w:r>
      <w:r w:rsidR="00D72664" w:rsidRPr="00F973D1">
        <w:rPr>
          <w:b/>
        </w:rPr>
        <w:t>Levels</w:t>
      </w:r>
      <w:r w:rsidRPr="00190BEC">
        <w:t xml:space="preserve"> </w:t>
      </w:r>
      <w:r w:rsidRPr="003814BF">
        <w:t>tab</w:t>
      </w:r>
      <w:r w:rsidR="007F06CA" w:rsidRPr="00190BEC">
        <w:t xml:space="preserve"> </w:t>
      </w:r>
      <w:r w:rsidR="007F06CA" w:rsidRPr="007F06CA">
        <w:t>(</w:t>
      </w:r>
      <w:r w:rsidR="007F06CA">
        <w:fldChar w:fldCharType="begin" w:fldLock="1"/>
      </w:r>
      <w:r w:rsidR="007F06CA">
        <w:instrText xml:space="preserve"> REF _Ref220808182 \h </w:instrText>
      </w:r>
      <w:r w:rsidR="00190BEC">
        <w:instrText xml:space="preserve"> \* MERGEFORMAT </w:instrText>
      </w:r>
      <w:r w:rsidR="007F06CA">
        <w:fldChar w:fldCharType="separate"/>
      </w:r>
      <w:r w:rsidR="00AB304C">
        <w:t>Figure 44</w:t>
      </w:r>
      <w:r w:rsidR="007F06CA">
        <w:fldChar w:fldCharType="end"/>
      </w:r>
      <w:r w:rsidR="007F06CA" w:rsidRPr="007F06CA">
        <w:t>)</w:t>
      </w:r>
      <w:r w:rsidRPr="007F06CA">
        <w:t>.</w:t>
      </w:r>
    </w:p>
    <w:p w14:paraId="0B42511C" w14:textId="77777777" w:rsidR="00190939" w:rsidRPr="00F8408D" w:rsidRDefault="00190939" w:rsidP="00190BEC">
      <w:pPr>
        <w:pStyle w:val="ListNumber"/>
        <w:numPr>
          <w:ilvl w:val="0"/>
          <w:numId w:val="17"/>
        </w:numPr>
      </w:pPr>
      <w:r w:rsidRPr="00F8408D">
        <w:t>Click, hold, and slide the pointer to adjust the volume.</w:t>
      </w:r>
    </w:p>
    <w:p w14:paraId="0A2E5A25" w14:textId="77777777" w:rsidR="00190939" w:rsidRPr="00F8408D" w:rsidRDefault="00190939" w:rsidP="00190BEC">
      <w:pPr>
        <w:pStyle w:val="ListNumber"/>
        <w:numPr>
          <w:ilvl w:val="0"/>
          <w:numId w:val="17"/>
        </w:numPr>
      </w:pPr>
      <w:r w:rsidRPr="00F8408D">
        <w:t xml:space="preserve">Click </w:t>
      </w:r>
      <w:r w:rsidRPr="00F973D1">
        <w:rPr>
          <w:b/>
        </w:rPr>
        <w:t>OK</w:t>
      </w:r>
      <w:r w:rsidRPr="00F8408D">
        <w:t xml:space="preserve"> to save the setting.</w:t>
      </w:r>
    </w:p>
    <w:p w14:paraId="2F44EF0C" w14:textId="29A65CB6" w:rsidR="009521D3" w:rsidRDefault="009521D3" w:rsidP="009521D3">
      <w:pPr>
        <w:pStyle w:val="Caption"/>
      </w:pPr>
      <w:bookmarkStart w:id="146" w:name="_Ref220808182"/>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44</w:t>
      </w:r>
      <w:r w:rsidR="004E20BD">
        <w:rPr>
          <w:noProof/>
        </w:rPr>
        <w:fldChar w:fldCharType="end"/>
      </w:r>
      <w:bookmarkEnd w:id="146"/>
      <w:r>
        <w:t>: Sounds and Audio Devices: Volume</w:t>
      </w:r>
    </w:p>
    <w:p w14:paraId="02935C48" w14:textId="77777777" w:rsidR="009521D3" w:rsidRDefault="00057948" w:rsidP="009521D3">
      <w:pPr>
        <w:pStyle w:val="BodyText"/>
      </w:pPr>
      <w:r>
        <w:rPr>
          <w:noProof/>
        </w:rPr>
        <w:drawing>
          <wp:inline distT="0" distB="0" distL="0" distR="0" wp14:anchorId="4715DD21" wp14:editId="4995917D">
            <wp:extent cx="3943985" cy="4387215"/>
            <wp:effectExtent l="0" t="0" r="0" b="0"/>
            <wp:docPr id="72" name="Picture 1" descr="P1157L10#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 descr="P1157L10#yIS1">
                      <a:extLst>
                        <a:ext uri="{C183D7F6-B498-43B3-948B-1728B52AA6E4}">
                          <adec:decorative xmlns:adec="http://schemas.microsoft.com/office/drawing/2017/decorative" val="1"/>
                        </a:ext>
                      </a:extLs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43985" cy="4387215"/>
                    </a:xfrm>
                    <a:prstGeom prst="rect">
                      <a:avLst/>
                    </a:prstGeom>
                    <a:noFill/>
                    <a:ln>
                      <a:noFill/>
                    </a:ln>
                  </pic:spPr>
                </pic:pic>
              </a:graphicData>
            </a:graphic>
          </wp:inline>
        </w:drawing>
      </w:r>
    </w:p>
    <w:p w14:paraId="6A47DD1E" w14:textId="77777777" w:rsidR="00963F12" w:rsidRDefault="003221AE" w:rsidP="00963F12">
      <w:pPr>
        <w:pStyle w:val="Heading3"/>
      </w:pPr>
      <w:r>
        <w:br w:type="page"/>
      </w:r>
      <w:bookmarkStart w:id="147" w:name="_Toc4588735"/>
      <w:r w:rsidR="00963F12">
        <w:lastRenderedPageBreak/>
        <w:t>Keyboard Shortcuts for Windows</w:t>
      </w:r>
      <w:bookmarkEnd w:id="147"/>
      <w:r w:rsidR="00963F12">
        <w:fldChar w:fldCharType="begin"/>
      </w:r>
      <w:r w:rsidR="00963F12">
        <w:instrText xml:space="preserve"> XE </w:instrText>
      </w:r>
      <w:r w:rsidR="00FA7E65">
        <w:instrText>“</w:instrText>
      </w:r>
      <w:r w:rsidR="00963F12" w:rsidRPr="00DB2C0F">
        <w:instrText>Keyboard Shortcuts for Windows</w:instrText>
      </w:r>
      <w:r w:rsidR="00FA7E65">
        <w:instrText>”</w:instrText>
      </w:r>
      <w:r w:rsidR="00963F12">
        <w:instrText xml:space="preserve"> </w:instrText>
      </w:r>
      <w:r w:rsidR="00963F12">
        <w:fldChar w:fldCharType="end"/>
      </w:r>
    </w:p>
    <w:p w14:paraId="61FAB31F" w14:textId="77777777" w:rsidR="00963F12" w:rsidRDefault="00963F12" w:rsidP="00FA7E65">
      <w:pPr>
        <w:pStyle w:val="BodyText"/>
      </w:pPr>
      <w:r w:rsidRPr="00FA7E65">
        <w:t>Using a mouse to navigate VBECS requires fewer steps than using the keyboard. A user who prefers using the keyboard may refer to these keyboard shortcuts</w:t>
      </w:r>
      <w:r w:rsidR="00327BDD" w:rsidRPr="00FA7E65">
        <w:t>. Keys precede</w:t>
      </w:r>
      <w:r w:rsidR="00031138" w:rsidRPr="00FA7E65">
        <w:t>d</w:t>
      </w:r>
      <w:r w:rsidR="00327BDD" w:rsidRPr="00FA7E65">
        <w:t xml:space="preserve"> </w:t>
      </w:r>
      <w:r w:rsidR="009A316C" w:rsidRPr="00FA7E65">
        <w:t>and/</w:t>
      </w:r>
      <w:r w:rsidR="00686D70">
        <w:t>or followed by “+” indicate</w:t>
      </w:r>
      <w:r w:rsidR="00327BDD" w:rsidRPr="00FA7E65">
        <w:t xml:space="preserve"> that they must be pressed simultaneously</w:t>
      </w:r>
      <w:r w:rsidRPr="00FA7E65">
        <w:t>:</w:t>
      </w:r>
    </w:p>
    <w:p w14:paraId="69B69A54" w14:textId="77777777" w:rsidR="00BC58B1" w:rsidRPr="008D0D9B" w:rsidRDefault="00BC58B1" w:rsidP="00BC58B1">
      <w:pPr>
        <w:pStyle w:val="Caution"/>
        <w:rPr>
          <w:i w:val="0"/>
        </w:rPr>
      </w:pPr>
      <w:r>
        <w:t>Keyboard navigation of VBECS does not accommodate the presentation of error providers or tool tips. A mouse is required to reveal this information as needed.</w:t>
      </w:r>
      <w:r>
        <w:rPr>
          <w:vanish/>
        </w:rPr>
        <w:t xml:space="preserve"> DR 3590</w:t>
      </w:r>
    </w:p>
    <w:p w14:paraId="1D4B8234" w14:textId="77777777" w:rsidR="00CD612D" w:rsidRDefault="00CD612D" w:rsidP="00CD612D">
      <w:pPr>
        <w:pStyle w:val="Heading4"/>
      </w:pPr>
      <w:r>
        <w:t>CPRS and VBECS</w:t>
      </w:r>
    </w:p>
    <w:p w14:paraId="74CEB7C4" w14:textId="77777777" w:rsidR="00CD612D" w:rsidRDefault="00CD612D" w:rsidP="00CD612D">
      <w:pPr>
        <w:pStyle w:val="ListBullet"/>
      </w:pPr>
      <w:r>
        <w:t xml:space="preserve">Toggle between </w:t>
      </w:r>
      <w:r w:rsidRPr="00634DAB">
        <w:rPr>
          <w:b/>
        </w:rPr>
        <w:t>VBECS</w:t>
      </w:r>
      <w:r>
        <w:t xml:space="preserve"> and </w:t>
      </w:r>
      <w:r w:rsidRPr="00634DAB">
        <w:rPr>
          <w:b/>
        </w:rPr>
        <w:t>CPRS</w:t>
      </w:r>
      <w:r>
        <w:t xml:space="preserve"> or another application: </w:t>
      </w:r>
      <w:r w:rsidRPr="00634DAB">
        <w:rPr>
          <w:b/>
        </w:rPr>
        <w:t>Alt</w:t>
      </w:r>
      <w:r w:rsidRPr="00823F58">
        <w:t xml:space="preserve"> + </w:t>
      </w:r>
      <w:r w:rsidRPr="00634DAB">
        <w:rPr>
          <w:b/>
        </w:rPr>
        <w:t>Tab</w:t>
      </w:r>
    </w:p>
    <w:p w14:paraId="396CC0DB" w14:textId="77777777" w:rsidR="00031138" w:rsidRDefault="00031138" w:rsidP="00031138">
      <w:pPr>
        <w:pStyle w:val="Heading4"/>
      </w:pPr>
      <w:r>
        <w:t>Menus</w:t>
      </w:r>
    </w:p>
    <w:p w14:paraId="1C2F65B5" w14:textId="77777777" w:rsidR="00CA479B" w:rsidRPr="007E7887" w:rsidRDefault="00CA479B" w:rsidP="00CA479B">
      <w:pPr>
        <w:pStyle w:val="ListBullet"/>
      </w:pPr>
      <w:r>
        <w:t>Display</w:t>
      </w:r>
      <w:r w:rsidRPr="007E7887">
        <w:t xml:space="preserve"> the </w:t>
      </w:r>
      <w:r w:rsidRPr="00634DAB">
        <w:rPr>
          <w:b/>
        </w:rPr>
        <w:t>Start</w:t>
      </w:r>
      <w:r w:rsidRPr="007E7887">
        <w:t xml:space="preserve"> menu (use the </w:t>
      </w:r>
      <w:r>
        <w:t>arrow</w:t>
      </w:r>
      <w:r w:rsidRPr="007E7887">
        <w:t xml:space="preserve"> keys to select an item)</w:t>
      </w:r>
      <w:r>
        <w:t xml:space="preserve">: </w:t>
      </w:r>
      <w:r w:rsidRPr="00634DAB">
        <w:rPr>
          <w:b/>
        </w:rPr>
        <w:t>Alt</w:t>
      </w:r>
      <w:r>
        <w:t xml:space="preserve"> + </w:t>
      </w:r>
      <w:r w:rsidRPr="00634DAB">
        <w:rPr>
          <w:b/>
        </w:rPr>
        <w:t>Home</w:t>
      </w:r>
    </w:p>
    <w:p w14:paraId="615D838E" w14:textId="77777777" w:rsidR="00CA479B" w:rsidRPr="007E7887" w:rsidRDefault="00CA479B" w:rsidP="00CA479B">
      <w:pPr>
        <w:pStyle w:val="ListBullet"/>
      </w:pPr>
      <w:r w:rsidRPr="007E7887">
        <w:t xml:space="preserve">Start </w:t>
      </w:r>
      <w:r>
        <w:t xml:space="preserve">VBECS </w:t>
      </w:r>
      <w:r w:rsidRPr="007E7887">
        <w:t>online help</w:t>
      </w:r>
      <w:r>
        <w:t>:</w:t>
      </w:r>
      <w:r w:rsidRPr="00634DAB">
        <w:rPr>
          <w:b/>
        </w:rPr>
        <w:t xml:space="preserve"> F1</w:t>
      </w:r>
    </w:p>
    <w:p w14:paraId="5B8CBE45" w14:textId="77777777" w:rsidR="00CA479B" w:rsidRPr="007E7887" w:rsidRDefault="00CA479B" w:rsidP="00CA479B">
      <w:pPr>
        <w:pStyle w:val="ListBullet"/>
      </w:pPr>
      <w:r w:rsidRPr="007E7887">
        <w:t xml:space="preserve">Activate </w:t>
      </w:r>
      <w:r>
        <w:t xml:space="preserve">a </w:t>
      </w:r>
      <w:r w:rsidRPr="007E7887">
        <w:t>menu bar option</w:t>
      </w:r>
      <w:r>
        <w:t xml:space="preserve">: </w:t>
      </w:r>
      <w:r w:rsidRPr="00634DAB">
        <w:rPr>
          <w:b/>
        </w:rPr>
        <w:t>F10</w:t>
      </w:r>
    </w:p>
    <w:p w14:paraId="416C352F" w14:textId="77777777" w:rsidR="00CA479B" w:rsidRPr="007E7887" w:rsidRDefault="00CA479B" w:rsidP="00CA479B">
      <w:pPr>
        <w:pStyle w:val="ListBullet"/>
      </w:pPr>
      <w:r w:rsidRPr="007E7887">
        <w:t>Open a menu</w:t>
      </w:r>
      <w:r>
        <w:t xml:space="preserve">: </w:t>
      </w:r>
      <w:r w:rsidRPr="00634DAB">
        <w:rPr>
          <w:b/>
        </w:rPr>
        <w:t>Alt</w:t>
      </w:r>
      <w:r w:rsidRPr="007E7887">
        <w:t xml:space="preserve"> + underscored letter</w:t>
      </w:r>
    </w:p>
    <w:p w14:paraId="6F4116ED" w14:textId="77777777" w:rsidR="00CA479B" w:rsidRPr="007E7887" w:rsidRDefault="00CA479B" w:rsidP="00CA479B">
      <w:pPr>
        <w:pStyle w:val="ListBullet"/>
      </w:pPr>
      <w:r>
        <w:t xml:space="preserve">Move to and select a menu item: Arrow key + </w:t>
      </w:r>
      <w:r w:rsidRPr="00634DAB">
        <w:rPr>
          <w:b/>
        </w:rPr>
        <w:t>Enter</w:t>
      </w:r>
    </w:p>
    <w:p w14:paraId="2F196D8C" w14:textId="77777777" w:rsidR="00CA479B" w:rsidRPr="007E7887" w:rsidRDefault="00CA479B" w:rsidP="00CA479B">
      <w:pPr>
        <w:pStyle w:val="ListBullet"/>
      </w:pPr>
      <w:r>
        <w:t xml:space="preserve">Open a submenu item: </w:t>
      </w:r>
      <w:r w:rsidRPr="00634DAB">
        <w:rPr>
          <w:b/>
        </w:rPr>
        <w:t>Shift</w:t>
      </w:r>
      <w:r>
        <w:t xml:space="preserve"> + letter (case insensitive)</w:t>
      </w:r>
    </w:p>
    <w:p w14:paraId="7D8C599D" w14:textId="77777777" w:rsidR="00CA479B" w:rsidRPr="007E7887" w:rsidRDefault="00CA479B" w:rsidP="00CA479B">
      <w:pPr>
        <w:pStyle w:val="ListBullet"/>
      </w:pPr>
      <w:r w:rsidRPr="007E7887">
        <w:t>Open a drop-down menu</w:t>
      </w:r>
      <w:r>
        <w:t xml:space="preserve">: </w:t>
      </w:r>
      <w:r w:rsidRPr="00634DAB">
        <w:rPr>
          <w:b/>
        </w:rPr>
        <w:t>Alt</w:t>
      </w:r>
      <w:r w:rsidRPr="007E7887">
        <w:t xml:space="preserve"> + </w:t>
      </w:r>
      <w:r>
        <w:t>down arrow key</w:t>
      </w:r>
    </w:p>
    <w:p w14:paraId="0C56E05D" w14:textId="77777777" w:rsidR="00CA479B" w:rsidRPr="007E7887" w:rsidRDefault="00CA479B" w:rsidP="00CA479B">
      <w:pPr>
        <w:pStyle w:val="ListBullet"/>
      </w:pPr>
      <w:r w:rsidRPr="007E7887">
        <w:t>Close a drop-down menu</w:t>
      </w:r>
      <w:r>
        <w:t xml:space="preserve">: </w:t>
      </w:r>
      <w:r w:rsidRPr="00634DAB">
        <w:rPr>
          <w:b/>
        </w:rPr>
        <w:t>Alt</w:t>
      </w:r>
      <w:r w:rsidRPr="007E7887">
        <w:t xml:space="preserve"> + </w:t>
      </w:r>
      <w:r>
        <w:t>up arrow key</w:t>
      </w:r>
    </w:p>
    <w:p w14:paraId="7BE9FADE" w14:textId="77777777" w:rsidR="00CA479B" w:rsidRPr="00031138" w:rsidRDefault="00CA479B" w:rsidP="00CA479B">
      <w:pPr>
        <w:pStyle w:val="ListBullet"/>
      </w:pPr>
      <w:r>
        <w:t>Display</w:t>
      </w:r>
      <w:r w:rsidRPr="007E7887">
        <w:t xml:space="preserve"> a shortcut menu for the selected item</w:t>
      </w:r>
      <w:r>
        <w:t xml:space="preserve">: </w:t>
      </w:r>
      <w:r w:rsidRPr="007E7887">
        <w:t>Application key</w:t>
      </w:r>
      <w:r>
        <w:t xml:space="preserve"> </w:t>
      </w:r>
      <w:r>
        <w:rPr>
          <w:rFonts w:ascii="Arial" w:hAnsi="Arial"/>
          <w:sz w:val="16"/>
          <w:szCs w:val="16"/>
        </w:rPr>
        <w:t>(</w:t>
      </w:r>
      <w:r w:rsidR="00057948">
        <w:rPr>
          <w:rFonts w:ascii="Arial" w:hAnsi="Arial"/>
          <w:noProof/>
          <w:sz w:val="16"/>
          <w:szCs w:val="16"/>
        </w:rPr>
        <w:drawing>
          <wp:inline distT="0" distB="0" distL="0" distR="0" wp14:anchorId="6C74D68C" wp14:editId="09FB4600">
            <wp:extent cx="156845" cy="166370"/>
            <wp:effectExtent l="0" t="0" r="0" b="5080"/>
            <wp:docPr id="73" name="Picture 73" descr="P1172L10#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P1172L10#yIS1">
                      <a:extLst>
                        <a:ext uri="{C183D7F6-B498-43B3-948B-1728B52AA6E4}">
                          <adec:decorative xmlns:adec="http://schemas.microsoft.com/office/drawing/2017/decorative" val="1"/>
                        </a:ext>
                      </a:extLst>
                    </pic:cNvPr>
                    <pic:cNvPicPr>
                      <a:picLocks noChangeAspect="1" noChangeArrowheads="1"/>
                    </pic:cNvPicPr>
                  </pic:nvPicPr>
                  <pic:blipFill>
                    <a:blip r:link="rId82">
                      <a:extLst>
                        <a:ext uri="{28A0092B-C50C-407E-A947-70E740481C1C}">
                          <a14:useLocalDpi xmlns:a14="http://schemas.microsoft.com/office/drawing/2010/main" val="0"/>
                        </a:ext>
                      </a:extLst>
                    </a:blip>
                    <a:srcRect/>
                    <a:stretch>
                      <a:fillRect/>
                    </a:stretch>
                  </pic:blipFill>
                  <pic:spPr bwMode="auto">
                    <a:xfrm>
                      <a:off x="0" y="0"/>
                      <a:ext cx="156845" cy="166370"/>
                    </a:xfrm>
                    <a:prstGeom prst="rect">
                      <a:avLst/>
                    </a:prstGeom>
                    <a:noFill/>
                    <a:ln>
                      <a:noFill/>
                    </a:ln>
                  </pic:spPr>
                </pic:pic>
              </a:graphicData>
            </a:graphic>
          </wp:inline>
        </w:drawing>
      </w:r>
      <w:r>
        <w:rPr>
          <w:rFonts w:ascii="Arial" w:hAnsi="Arial"/>
          <w:sz w:val="16"/>
          <w:szCs w:val="16"/>
        </w:rPr>
        <w:t>)</w:t>
      </w:r>
    </w:p>
    <w:p w14:paraId="5A4A017F" w14:textId="77777777" w:rsidR="00957EE4" w:rsidRDefault="00C52F72" w:rsidP="00957EE4">
      <w:pPr>
        <w:pStyle w:val="Heading4"/>
      </w:pPr>
      <w:r>
        <w:t>Buttons, Check Boxes, and Fields</w:t>
      </w:r>
    </w:p>
    <w:p w14:paraId="64283FDF" w14:textId="77777777" w:rsidR="00CA479B" w:rsidRPr="007E7887" w:rsidRDefault="00CA479B" w:rsidP="00CA479B">
      <w:pPr>
        <w:pStyle w:val="ListBullet"/>
      </w:pPr>
      <w:r>
        <w:t xml:space="preserve">Move to and select fields and buttons: </w:t>
      </w:r>
      <w:r w:rsidRPr="00634DAB">
        <w:rPr>
          <w:b/>
        </w:rPr>
        <w:t>Tab</w:t>
      </w:r>
      <w:r>
        <w:t xml:space="preserve"> + </w:t>
      </w:r>
      <w:r w:rsidRPr="00634DAB">
        <w:rPr>
          <w:b/>
        </w:rPr>
        <w:t>Enter</w:t>
      </w:r>
    </w:p>
    <w:p w14:paraId="77274CF0" w14:textId="77777777" w:rsidR="00CA479B" w:rsidRDefault="00CA479B" w:rsidP="00CA479B">
      <w:pPr>
        <w:pStyle w:val="ListBullet"/>
      </w:pPr>
      <w:r>
        <w:t xml:space="preserve">Select or clear a check box: </w:t>
      </w:r>
      <w:r w:rsidRPr="00634DAB">
        <w:rPr>
          <w:b/>
        </w:rPr>
        <w:t>Tab</w:t>
      </w:r>
      <w:r>
        <w:t xml:space="preserve">, arrow key (or </w:t>
      </w:r>
      <w:r w:rsidRPr="00634DAB">
        <w:rPr>
          <w:b/>
        </w:rPr>
        <w:t>Alt</w:t>
      </w:r>
      <w:r>
        <w:t xml:space="preserve"> + underscored letter), spacebar</w:t>
      </w:r>
    </w:p>
    <w:p w14:paraId="39BF87DA" w14:textId="77777777" w:rsidR="00CA479B" w:rsidRDefault="00CA479B" w:rsidP="00CA479B">
      <w:pPr>
        <w:pStyle w:val="ListBullet"/>
      </w:pPr>
      <w:r>
        <w:t xml:space="preserve">Select or clear a radio button: </w:t>
      </w:r>
      <w:r w:rsidRPr="00634DAB">
        <w:rPr>
          <w:b/>
        </w:rPr>
        <w:t>Tab</w:t>
      </w:r>
      <w:r>
        <w:t xml:space="preserve">, arrow key (or </w:t>
      </w:r>
      <w:r w:rsidRPr="00634DAB">
        <w:rPr>
          <w:b/>
        </w:rPr>
        <w:t>Alt</w:t>
      </w:r>
      <w:r>
        <w:t xml:space="preserve"> + underscored letter)</w:t>
      </w:r>
    </w:p>
    <w:p w14:paraId="03CB88FF" w14:textId="77777777" w:rsidR="00623CD2" w:rsidRDefault="00623CD2" w:rsidP="00623CD2">
      <w:pPr>
        <w:pStyle w:val="Heading4"/>
      </w:pPr>
      <w:r>
        <w:t>Windows</w:t>
      </w:r>
    </w:p>
    <w:p w14:paraId="32534719" w14:textId="77777777" w:rsidR="00623CD2" w:rsidRDefault="00623CD2" w:rsidP="00623CD2">
      <w:pPr>
        <w:pStyle w:val="ListBullet"/>
      </w:pPr>
      <w:r w:rsidRPr="007E7887">
        <w:t xml:space="preserve">Display the </w:t>
      </w:r>
      <w:r w:rsidRPr="00634DAB">
        <w:rPr>
          <w:b/>
        </w:rPr>
        <w:t>Control</w:t>
      </w:r>
      <w:r>
        <w:t xml:space="preserve"> window</w:t>
      </w:r>
      <w:r w:rsidRPr="007E7887">
        <w:t xml:space="preserve"> </w:t>
      </w:r>
      <w:r>
        <w:t>to</w:t>
      </w:r>
      <w:r w:rsidRPr="007E7887">
        <w:t xml:space="preserve"> restore, move, resize, minimize, maximize, or close the window</w:t>
      </w:r>
      <w:r>
        <w:t xml:space="preserve">: </w:t>
      </w:r>
      <w:r w:rsidRPr="00634DAB">
        <w:rPr>
          <w:b/>
        </w:rPr>
        <w:t>Alt</w:t>
      </w:r>
      <w:r>
        <w:t xml:space="preserve"> + </w:t>
      </w:r>
      <w:r w:rsidRPr="00634DAB">
        <w:rPr>
          <w:b/>
        </w:rPr>
        <w:t>Delete</w:t>
      </w:r>
    </w:p>
    <w:p w14:paraId="3FDB6738" w14:textId="77777777" w:rsidR="00623CD2" w:rsidRDefault="00623CD2" w:rsidP="00623CD2">
      <w:pPr>
        <w:pStyle w:val="ListBullet"/>
      </w:pPr>
      <w:r>
        <w:t xml:space="preserve">Switch between a window and a full screen: </w:t>
      </w:r>
      <w:r w:rsidRPr="00634DAB">
        <w:rPr>
          <w:b/>
        </w:rPr>
        <w:t>Ctrl</w:t>
      </w:r>
      <w:r>
        <w:t xml:space="preserve"> + </w:t>
      </w:r>
      <w:r w:rsidRPr="00634DAB">
        <w:rPr>
          <w:b/>
        </w:rPr>
        <w:t>Alt</w:t>
      </w:r>
      <w:r>
        <w:t xml:space="preserve"> + </w:t>
      </w:r>
      <w:r w:rsidRPr="00634DAB">
        <w:rPr>
          <w:b/>
        </w:rPr>
        <w:t>Break</w:t>
      </w:r>
    </w:p>
    <w:p w14:paraId="5F13A0B7" w14:textId="77777777" w:rsidR="00623CD2" w:rsidRPr="007E7887" w:rsidRDefault="00623CD2" w:rsidP="00623CD2">
      <w:pPr>
        <w:pStyle w:val="ListBullet"/>
      </w:pPr>
      <w:r w:rsidRPr="007E7887">
        <w:t>Close the current window</w:t>
      </w:r>
      <w:r>
        <w:t xml:space="preserve">: </w:t>
      </w:r>
      <w:r w:rsidRPr="00634DAB">
        <w:rPr>
          <w:b/>
        </w:rPr>
        <w:t>Alt</w:t>
      </w:r>
      <w:r w:rsidRPr="007E7887">
        <w:t xml:space="preserve"> + </w:t>
      </w:r>
      <w:r w:rsidRPr="00634DAB">
        <w:rPr>
          <w:b/>
        </w:rPr>
        <w:t>F4</w:t>
      </w:r>
    </w:p>
    <w:p w14:paraId="0F09705D" w14:textId="77777777" w:rsidR="00623CD2" w:rsidRDefault="00623CD2" w:rsidP="00623CD2">
      <w:pPr>
        <w:pStyle w:val="ListBullet"/>
      </w:pPr>
      <w:r>
        <w:t xml:space="preserve">Display the </w:t>
      </w:r>
      <w:r w:rsidRPr="00634DAB">
        <w:rPr>
          <w:b/>
        </w:rPr>
        <w:t>Windows Security</w:t>
      </w:r>
      <w:r>
        <w:t xml:space="preserve"> dialog box to lock the computer, log off, shut down, change a password, and access </w:t>
      </w:r>
      <w:r w:rsidRPr="00634DAB">
        <w:rPr>
          <w:b/>
        </w:rPr>
        <w:t>Task Manager</w:t>
      </w:r>
      <w:r>
        <w:t xml:space="preserve">: </w:t>
      </w:r>
      <w:r w:rsidRPr="00634DAB">
        <w:rPr>
          <w:b/>
        </w:rPr>
        <w:t>Ctrl</w:t>
      </w:r>
      <w:r>
        <w:t xml:space="preserve"> + </w:t>
      </w:r>
      <w:r w:rsidRPr="00634DAB">
        <w:rPr>
          <w:b/>
        </w:rPr>
        <w:t>Alt</w:t>
      </w:r>
      <w:r>
        <w:t xml:space="preserve"> + </w:t>
      </w:r>
      <w:r w:rsidRPr="00634DAB">
        <w:rPr>
          <w:b/>
        </w:rPr>
        <w:t>End</w:t>
      </w:r>
    </w:p>
    <w:p w14:paraId="78285821" w14:textId="77777777" w:rsidR="00CD612D" w:rsidRDefault="00CD612D" w:rsidP="00CD612D">
      <w:pPr>
        <w:pStyle w:val="Heading4"/>
      </w:pPr>
      <w:r>
        <w:t>Screen Prints</w:t>
      </w:r>
    </w:p>
    <w:p w14:paraId="3EC9DA9B" w14:textId="77777777" w:rsidR="00CD612D" w:rsidRDefault="00CD612D" w:rsidP="00CD612D">
      <w:pPr>
        <w:pStyle w:val="ListBullet"/>
      </w:pPr>
      <w:r>
        <w:t xml:space="preserve">Place a snapshot of the desktop on the local clipboard and paste it in another application: </w:t>
      </w:r>
      <w:r w:rsidRPr="00634DAB">
        <w:rPr>
          <w:b/>
        </w:rPr>
        <w:t>Ctrl</w:t>
      </w:r>
      <w:r>
        <w:t xml:space="preserve"> + </w:t>
      </w:r>
      <w:r w:rsidRPr="00634DAB">
        <w:rPr>
          <w:b/>
        </w:rPr>
        <w:t>Alt</w:t>
      </w:r>
      <w:r>
        <w:t xml:space="preserve"> + Plus (+ on the numeric keypad; </w:t>
      </w:r>
      <w:r w:rsidRPr="00634DAB">
        <w:rPr>
          <w:b/>
        </w:rPr>
        <w:t>Ctrl</w:t>
      </w:r>
      <w:r>
        <w:t xml:space="preserve"> + </w:t>
      </w:r>
      <w:r w:rsidRPr="00634DAB">
        <w:rPr>
          <w:b/>
        </w:rPr>
        <w:t>V</w:t>
      </w:r>
      <w:r>
        <w:t xml:space="preserve"> to paste)</w:t>
      </w:r>
    </w:p>
    <w:p w14:paraId="60D44672" w14:textId="77777777" w:rsidR="00CD612D" w:rsidRDefault="00CD612D" w:rsidP="00CD612D">
      <w:pPr>
        <w:pStyle w:val="ListBullet"/>
      </w:pPr>
      <w:r>
        <w:t xml:space="preserve">Place a snapshot of the active window on the local clipboard and paste it in another application: </w:t>
      </w:r>
      <w:r w:rsidRPr="00634DAB">
        <w:rPr>
          <w:b/>
        </w:rPr>
        <w:t>Ctrl</w:t>
      </w:r>
      <w:r>
        <w:t xml:space="preserve"> + </w:t>
      </w:r>
      <w:r w:rsidRPr="00634DAB">
        <w:rPr>
          <w:b/>
        </w:rPr>
        <w:t>Alt</w:t>
      </w:r>
      <w:r>
        <w:t xml:space="preserve"> + Minus (</w:t>
      </w:r>
      <w:r w:rsidRPr="00634DAB">
        <w:rPr>
          <w:b/>
        </w:rPr>
        <w:t>–</w:t>
      </w:r>
      <w:r>
        <w:t xml:space="preserve"> on the numeric keypad; </w:t>
      </w:r>
      <w:r w:rsidRPr="00634DAB">
        <w:rPr>
          <w:b/>
        </w:rPr>
        <w:t>Ctrl</w:t>
      </w:r>
      <w:r>
        <w:t xml:space="preserve"> + </w:t>
      </w:r>
      <w:r w:rsidRPr="00634DAB">
        <w:rPr>
          <w:b/>
        </w:rPr>
        <w:t>V</w:t>
      </w:r>
      <w:r>
        <w:t xml:space="preserve"> to paste)</w:t>
      </w:r>
    </w:p>
    <w:p w14:paraId="4A9F70F5" w14:textId="77777777" w:rsidR="002A21AE" w:rsidRDefault="003221AE" w:rsidP="00963F12">
      <w:pPr>
        <w:pStyle w:val="Heading3"/>
      </w:pPr>
      <w:r>
        <w:br w:type="page"/>
      </w:r>
      <w:bookmarkStart w:id="148" w:name="_Toc4588736"/>
      <w:r w:rsidR="002A21AE">
        <w:lastRenderedPageBreak/>
        <w:t>Drop-Down Menus</w:t>
      </w:r>
      <w:bookmarkEnd w:id="148"/>
      <w:r w:rsidR="002A21AE">
        <w:fldChar w:fldCharType="begin"/>
      </w:r>
      <w:r w:rsidR="002A21AE">
        <w:instrText xml:space="preserve"> XE </w:instrText>
      </w:r>
      <w:r w:rsidR="00FA7E65">
        <w:instrText>“</w:instrText>
      </w:r>
      <w:r w:rsidR="002A21AE">
        <w:instrText>Drop-Down Menus</w:instrText>
      </w:r>
      <w:r w:rsidR="00FA7E65">
        <w:instrText>”</w:instrText>
      </w:r>
      <w:r w:rsidR="002A21AE">
        <w:instrText xml:space="preserve"> </w:instrText>
      </w:r>
      <w:r w:rsidR="002A21AE">
        <w:fldChar w:fldCharType="end"/>
      </w:r>
      <w:r w:rsidR="002A21AE">
        <w:t xml:space="preserve"> </w:t>
      </w:r>
    </w:p>
    <w:p w14:paraId="61BD5645" w14:textId="77777777" w:rsidR="002A21AE" w:rsidRDefault="002A21AE" w:rsidP="00FA7E65">
      <w:pPr>
        <w:pStyle w:val="BodyText"/>
      </w:pPr>
      <w:r>
        <w:t xml:space="preserve">A </w:t>
      </w:r>
      <w:r>
        <w:rPr>
          <w:i/>
        </w:rPr>
        <w:t>drop-down menu</w:t>
      </w:r>
      <w:r>
        <w:t xml:space="preserve"> may appear when a button is clicked or text is selected. Click or hold the mouse pointer over an item in a drop-down menu to reveal other items and submenus. Press an underscored letter (mnemonic) to select a menu it</w:t>
      </w:r>
      <w:r w:rsidR="000F5C7E">
        <w:t xml:space="preserve">em. To view underscored letters, press the </w:t>
      </w:r>
      <w:r w:rsidR="000F5C7E" w:rsidRPr="000F5C7E">
        <w:rPr>
          <w:b/>
        </w:rPr>
        <w:t>Alt</w:t>
      </w:r>
      <w:r w:rsidR="000F5C7E">
        <w:t xml:space="preserve"> key once.</w:t>
      </w:r>
    </w:p>
    <w:p w14:paraId="37A38B27" w14:textId="77777777" w:rsidR="002A21AE" w:rsidRDefault="002A21AE">
      <w:pPr>
        <w:pStyle w:val="Caution"/>
      </w:pPr>
      <w:r>
        <w:t xml:space="preserve">A </w:t>
      </w:r>
      <w:r w:rsidRPr="00092254">
        <w:rPr>
          <w:rFonts w:ascii="Webdings" w:hAnsi="Webdings"/>
          <w:i w:val="0"/>
        </w:rPr>
        <w:t></w:t>
      </w:r>
      <w:r w:rsidRPr="00092254">
        <w:rPr>
          <w:rFonts w:ascii="Webdings" w:hAnsi="Webdings"/>
        </w:rPr>
        <w:t></w:t>
      </w:r>
      <w:r>
        <w:t xml:space="preserve">(submenu arrow) next to a menu item indicates that a submenu is </w:t>
      </w:r>
      <w:r w:rsidR="00541DC0">
        <w:t>available. An</w:t>
      </w:r>
      <w:r>
        <w:t xml:space="preserve"> option that is not available to a user is visible but grayed out.</w:t>
      </w:r>
    </w:p>
    <w:p w14:paraId="181E3B33" w14:textId="77777777" w:rsidR="002A21AE" w:rsidRDefault="002A21AE">
      <w:pPr>
        <w:pStyle w:val="Heading3"/>
      </w:pPr>
      <w:bookmarkStart w:id="149" w:name="_Toc4588737"/>
      <w:r>
        <w:t>Tool Tips</w:t>
      </w:r>
      <w:bookmarkEnd w:id="149"/>
      <w:r>
        <w:fldChar w:fldCharType="begin"/>
      </w:r>
      <w:r>
        <w:instrText xml:space="preserve"> XE </w:instrText>
      </w:r>
      <w:r w:rsidR="00FA7E65">
        <w:instrText>“</w:instrText>
      </w:r>
      <w:r>
        <w:instrText>Tool Tips</w:instrText>
      </w:r>
      <w:r w:rsidR="00FA7E65">
        <w:instrText>”</w:instrText>
      </w:r>
      <w:r>
        <w:instrText xml:space="preserve"> </w:instrText>
      </w:r>
      <w:r>
        <w:fldChar w:fldCharType="end"/>
      </w:r>
    </w:p>
    <w:p w14:paraId="5AD1D9CF" w14:textId="77777777" w:rsidR="002A21AE" w:rsidRDefault="002A21AE" w:rsidP="00FA7E65">
      <w:pPr>
        <w:pStyle w:val="BodyText"/>
      </w:pPr>
      <w:bookmarkStart w:id="150" w:name="OLE_LINK49"/>
      <w:bookmarkStart w:id="151" w:name="OLE_LINK50"/>
      <w:r>
        <w:t xml:space="preserve">A </w:t>
      </w:r>
      <w:r>
        <w:rPr>
          <w:i/>
          <w:iCs/>
        </w:rPr>
        <w:t>tool tip</w:t>
      </w:r>
      <w:r>
        <w:t xml:space="preserve"> is a description or explanation that appears when the mouse pointer is held over </w:t>
      </w:r>
      <w:r w:rsidR="00DB268C">
        <w:t xml:space="preserve">(not selected or highlighted) </w:t>
      </w:r>
      <w:r>
        <w:t>a tool, button, or other object (without clicking a mouse button).</w:t>
      </w:r>
      <w:bookmarkEnd w:id="150"/>
      <w:bookmarkEnd w:id="151"/>
      <w:r>
        <w:t xml:space="preserve"> </w:t>
      </w:r>
    </w:p>
    <w:p w14:paraId="3F9DC293" w14:textId="77777777" w:rsidR="002A21AE" w:rsidRDefault="002A21AE">
      <w:pPr>
        <w:pStyle w:val="Caution"/>
      </w:pPr>
      <w:r>
        <w:t xml:space="preserve">When a tool tip does not </w:t>
      </w:r>
      <w:r w:rsidR="00643C9A">
        <w:t>appear</w:t>
      </w:r>
      <w:r>
        <w:t>, wait a few moments, then reposition the mouse pointer over the tool, button, or other object. If necessary, exit and reenter the window.</w:t>
      </w:r>
    </w:p>
    <w:p w14:paraId="223E5C38" w14:textId="77777777" w:rsidR="002A21AE" w:rsidRDefault="002A21AE" w:rsidP="00FA7E65">
      <w:pPr>
        <w:pStyle w:val="BodyText"/>
      </w:pPr>
      <w:r>
        <w:t>Tool tips appear with:</w:t>
      </w:r>
    </w:p>
    <w:p w14:paraId="4D648983" w14:textId="77777777" w:rsidR="002A21AE" w:rsidRDefault="002A21AE">
      <w:pPr>
        <w:pStyle w:val="ListBullet"/>
      </w:pPr>
      <w:r>
        <w:t>Some control buttons</w:t>
      </w:r>
    </w:p>
    <w:p w14:paraId="24FC5722" w14:textId="77777777" w:rsidR="002A21AE" w:rsidRDefault="002A21AE">
      <w:pPr>
        <w:pStyle w:val="ListBullet"/>
      </w:pPr>
      <w:r>
        <w:t>Icons in the Patient Information Toolbar</w:t>
      </w:r>
    </w:p>
    <w:p w14:paraId="7FA78672" w14:textId="77777777" w:rsidR="002A21AE" w:rsidRDefault="002A21AE">
      <w:pPr>
        <w:pStyle w:val="Caution"/>
      </w:pPr>
      <w:r>
        <w:t xml:space="preserve">Text enclosed in angle brackets (&lt; &gt;) in tool tips and messages </w:t>
      </w:r>
      <w:r w:rsidR="00443024">
        <w:t>will change</w:t>
      </w:r>
      <w:r>
        <w:t xml:space="preserve"> to reflect the current activity. </w:t>
      </w:r>
    </w:p>
    <w:p w14:paraId="58DDAE1C" w14:textId="77777777" w:rsidR="002A21AE" w:rsidRDefault="00040E3B" w:rsidP="00832E21">
      <w:pPr>
        <w:pStyle w:val="Caution"/>
        <w:pBdr>
          <w:top w:val="single" w:sz="4" w:space="3" w:color="auto"/>
        </w:pBdr>
      </w:pPr>
      <w:r>
        <w:t xml:space="preserve">The user may click column headings in some data displays, such as the Pending Task List, Pending Order List, and Select Units, to sort the information in those columns. </w:t>
      </w:r>
    </w:p>
    <w:p w14:paraId="4B6D5B30" w14:textId="613B55EE" w:rsidR="002A21AE" w:rsidRDefault="002A21AE">
      <w:pPr>
        <w:pStyle w:val="Heading3"/>
      </w:pPr>
      <w:bookmarkStart w:id="152" w:name="_Toc4588738"/>
      <w:r>
        <w:t>Icons and Buttons</w:t>
      </w:r>
      <w:bookmarkEnd w:id="152"/>
      <w:r>
        <w:fldChar w:fldCharType="begin"/>
      </w:r>
      <w:r>
        <w:instrText xml:space="preserve"> XE </w:instrText>
      </w:r>
      <w:r w:rsidR="00FA7E65">
        <w:instrText>“</w:instrText>
      </w:r>
      <w:r>
        <w:instrText>Icons and Buttons</w:instrText>
      </w:r>
      <w:r w:rsidR="00FA7E65">
        <w:instrText>”</w:instrText>
      </w:r>
      <w:r>
        <w:instrText xml:space="preserve"> </w:instrText>
      </w:r>
      <w:r>
        <w:fldChar w:fldCharType="end"/>
      </w:r>
    </w:p>
    <w:p w14:paraId="3D50134F" w14:textId="77777777" w:rsidR="002A21AE" w:rsidRDefault="002A21AE" w:rsidP="00FA7E65">
      <w:pPr>
        <w:pStyle w:val="BodyText"/>
      </w:pPr>
      <w:r>
        <w:t xml:space="preserve">VBECS uses several types of images to help you move through the system: </w:t>
      </w:r>
    </w:p>
    <w:p w14:paraId="4401937E" w14:textId="77777777" w:rsidR="002A21AE" w:rsidRDefault="002A21AE">
      <w:pPr>
        <w:pStyle w:val="ListBullet"/>
      </w:pPr>
      <w:r>
        <w:rPr>
          <w:i/>
          <w:iCs/>
        </w:rPr>
        <w:t>Icons</w:t>
      </w:r>
      <w:r>
        <w:t xml:space="preserve"> represent objects (information used in an application). The rectangular area in the lower right corner of the screen (system tray) contains icons of programs that always run in the background, such as the clock.</w:t>
      </w:r>
    </w:p>
    <w:p w14:paraId="0B8421CB" w14:textId="77777777" w:rsidR="002A21AE" w:rsidRDefault="002A21AE">
      <w:pPr>
        <w:pStyle w:val="ListBullet"/>
      </w:pPr>
      <w:r>
        <w:rPr>
          <w:i/>
          <w:iCs/>
        </w:rPr>
        <w:t>Buttons</w:t>
      </w:r>
      <w:r>
        <w:t xml:space="preserve"> are icons that represent tools or commands. </w:t>
      </w:r>
    </w:p>
    <w:p w14:paraId="67111421" w14:textId="77777777" w:rsidR="002A21AE" w:rsidRDefault="002A21AE">
      <w:pPr>
        <w:pStyle w:val="ListBullet"/>
      </w:pPr>
      <w:r>
        <w:rPr>
          <w:i/>
          <w:iCs/>
        </w:rPr>
        <w:t xml:space="preserve">Radio buttons </w:t>
      </w:r>
      <w:r>
        <w:t>are small circles preceding text. Related radio buttons are grouped together. Only one button in a group may be selected: clicking a button turns the other radio buttons off.</w:t>
      </w:r>
    </w:p>
    <w:p w14:paraId="153E1659" w14:textId="77777777" w:rsidR="002A21AE" w:rsidRDefault="002A21AE">
      <w:pPr>
        <w:pStyle w:val="Heading3"/>
      </w:pPr>
      <w:bookmarkStart w:id="153" w:name="_Toc4588739"/>
      <w:r>
        <w:t>Toolbars</w:t>
      </w:r>
      <w:bookmarkEnd w:id="153"/>
      <w:r>
        <w:fldChar w:fldCharType="begin"/>
      </w:r>
      <w:r>
        <w:instrText xml:space="preserve"> XE </w:instrText>
      </w:r>
      <w:r w:rsidR="00FA7E65">
        <w:instrText>“</w:instrText>
      </w:r>
      <w:r>
        <w:instrText>Toolbars</w:instrText>
      </w:r>
      <w:r w:rsidR="00FA7E65">
        <w:instrText>”</w:instrText>
      </w:r>
      <w:r>
        <w:instrText xml:space="preserve"> </w:instrText>
      </w:r>
      <w:r>
        <w:fldChar w:fldCharType="end"/>
      </w:r>
      <w:r>
        <w:t xml:space="preserve"> </w:t>
      </w:r>
    </w:p>
    <w:p w14:paraId="09EC1E71" w14:textId="77777777" w:rsidR="002A21AE" w:rsidRDefault="002A21AE" w:rsidP="00FA7E65">
      <w:pPr>
        <w:pStyle w:val="BodyText"/>
      </w:pPr>
      <w:r>
        <w:t xml:space="preserve">A </w:t>
      </w:r>
      <w:r>
        <w:rPr>
          <w:i/>
        </w:rPr>
        <w:t>tool</w:t>
      </w:r>
      <w:r>
        <w:t xml:space="preserve"> is a shortcut button, usually shown on a bar near the top of a window. Tools provide quick access to commonly used functions. A </w:t>
      </w:r>
      <w:r>
        <w:rPr>
          <w:i/>
        </w:rPr>
        <w:t>toolbar</w:t>
      </w:r>
      <w:r>
        <w:t xml:space="preserve"> displays groups of tools. Toolbars may contain buttons, menus, or combinations of both. (See also Patient Information Toolbar.)</w:t>
      </w:r>
    </w:p>
    <w:p w14:paraId="42587AD1" w14:textId="77777777" w:rsidR="002A21AE" w:rsidRDefault="002A21AE">
      <w:pPr>
        <w:pStyle w:val="Caution"/>
      </w:pPr>
      <w:r>
        <w:t>A toolbar with tools for several options (Main Toolbar) appears near the top of the screen.</w:t>
      </w:r>
    </w:p>
    <w:p w14:paraId="576C6C61" w14:textId="77777777" w:rsidR="002A21AE" w:rsidRDefault="002A21AE" w:rsidP="00FA7E65">
      <w:pPr>
        <w:pStyle w:val="BodyText"/>
      </w:pPr>
      <w:r>
        <w:t>Click a tool to open a function</w:t>
      </w:r>
      <w:r w:rsidR="00541DC0">
        <w:t xml:space="preserve"> quickly</w:t>
      </w:r>
      <w:r>
        <w:t>.</w:t>
      </w:r>
    </w:p>
    <w:p w14:paraId="7586B7E0" w14:textId="77777777" w:rsidR="002A21AE" w:rsidRDefault="002A21AE">
      <w:pPr>
        <w:pStyle w:val="Caution"/>
      </w:pPr>
      <w:r>
        <w:lastRenderedPageBreak/>
        <w:t xml:space="preserve">A function may also be opened by pressing </w:t>
      </w:r>
      <w:r>
        <w:rPr>
          <w:b/>
        </w:rPr>
        <w:t>Alt</w:t>
      </w:r>
      <w:r>
        <w:t xml:space="preserve"> and the </w:t>
      </w:r>
      <w:r w:rsidRPr="00443024">
        <w:rPr>
          <w:b/>
        </w:rPr>
        <w:t xml:space="preserve">key for the </w:t>
      </w:r>
      <w:r>
        <w:rPr>
          <w:b/>
        </w:rPr>
        <w:t xml:space="preserve">underscored letter </w:t>
      </w:r>
      <w:r>
        <w:t>in the tool name.</w:t>
      </w:r>
    </w:p>
    <w:p w14:paraId="4C490921" w14:textId="77777777" w:rsidR="002A21AE" w:rsidRDefault="002A21AE">
      <w:pPr>
        <w:pStyle w:val="Heading4"/>
      </w:pPr>
      <w:r>
        <w:t>Main Toolbar</w:t>
      </w:r>
      <w:r>
        <w:fldChar w:fldCharType="begin"/>
      </w:r>
      <w:r>
        <w:instrText xml:space="preserve"> XE </w:instrText>
      </w:r>
      <w:r w:rsidR="00FA7E65">
        <w:instrText>“</w:instrText>
      </w:r>
      <w:r>
        <w:instrText>Main Toolbar</w:instrText>
      </w:r>
      <w:r w:rsidR="00FA7E65">
        <w:instrText>”</w:instrText>
      </w:r>
      <w:r>
        <w:instrText xml:space="preserve"> </w:instrText>
      </w:r>
      <w:r>
        <w:fldChar w:fldCharType="end"/>
      </w:r>
    </w:p>
    <w:p w14:paraId="28F02177" w14:textId="71F12499" w:rsidR="002A21AE" w:rsidRDefault="002A21AE" w:rsidP="00FA7E65">
      <w:pPr>
        <w:pStyle w:val="BodyText"/>
      </w:pPr>
      <w:r>
        <w:t xml:space="preserve">The </w:t>
      </w:r>
      <w:r>
        <w:rPr>
          <w:i/>
          <w:iCs/>
        </w:rPr>
        <w:t>Main Toolbar</w:t>
      </w:r>
      <w:r>
        <w:t xml:space="preserve"> appears at the top of the screen. Click the icons in the Main Toolbar to access</w:t>
      </w:r>
      <w:r w:rsidR="00647F4E">
        <w:rPr>
          <w:rFonts w:ascii="ZWAdobeF" w:hAnsi="ZWAdobeF" w:cs="ZWAdobeF"/>
          <w:sz w:val="2"/>
          <w:szCs w:val="2"/>
        </w:rPr>
        <w:t>2F</w:t>
      </w:r>
      <w:r>
        <w:rPr>
          <w:rStyle w:val="FootnoteReference"/>
        </w:rPr>
        <w:footnoteReference w:id="3"/>
      </w:r>
      <w:r>
        <w:t>:</w:t>
      </w:r>
    </w:p>
    <w:p w14:paraId="1F4089FB" w14:textId="77777777" w:rsidR="002A21AE" w:rsidRDefault="00057948" w:rsidP="00246EC0">
      <w:pPr>
        <w:pStyle w:val="BodyText"/>
        <w:spacing w:after="60"/>
        <w:ind w:left="360" w:hanging="360"/>
      </w:pPr>
      <w:r>
        <w:rPr>
          <w:noProof/>
        </w:rPr>
        <w:drawing>
          <wp:inline distT="0" distB="0" distL="0" distR="0" wp14:anchorId="12CE4A4F" wp14:editId="454D09C0">
            <wp:extent cx="156845" cy="156845"/>
            <wp:effectExtent l="0" t="0" r="0" b="0"/>
            <wp:docPr id="74" name="Picture 74" descr="P1208L10#yIS1">
              <a:hlinkClick xmlns:a="http://schemas.openxmlformats.org/drawingml/2006/main" r:id="rId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P1208L10#yIS1">
                      <a:hlinkClick r:id="rId83"/>
                      <a:extLst>
                        <a:ext uri="{C183D7F6-B498-43B3-948B-1728B52AA6E4}">
                          <adec:decorative xmlns:adec="http://schemas.microsoft.com/office/drawing/2017/decorative" val="1"/>
                        </a:ext>
                      </a:extLs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Log In Reagents</w:t>
      </w:r>
    </w:p>
    <w:p w14:paraId="09FA1B0F" w14:textId="77777777" w:rsidR="002A21AE" w:rsidRDefault="00057948" w:rsidP="00246EC0">
      <w:pPr>
        <w:pStyle w:val="BodyText"/>
        <w:spacing w:after="60"/>
        <w:ind w:left="360" w:hanging="360"/>
      </w:pPr>
      <w:r>
        <w:rPr>
          <w:noProof/>
        </w:rPr>
        <w:drawing>
          <wp:inline distT="0" distB="0" distL="0" distR="0" wp14:anchorId="5D5EB42A" wp14:editId="377BE4D1">
            <wp:extent cx="156845" cy="156845"/>
            <wp:effectExtent l="0" t="0" r="0" b="0"/>
            <wp:docPr id="75" name="Picture 75" descr="P1209L10#yIS1">
              <a:hlinkClick xmlns:a="http://schemas.openxmlformats.org/drawingml/2006/main" r:id="rId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P1209L10#yIS1">
                      <a:hlinkClick r:id="rId85"/>
                      <a:extLst>
                        <a:ext uri="{C183D7F6-B498-43B3-948B-1728B52AA6E4}">
                          <adec:decorative xmlns:adec="http://schemas.microsoft.com/office/drawing/2017/decorative" val="1"/>
                        </a:ext>
                      </a:extLs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Enter Daily QC Results</w:t>
      </w:r>
    </w:p>
    <w:p w14:paraId="5AECBCC1" w14:textId="77777777" w:rsidR="002A21AE" w:rsidRDefault="00057948" w:rsidP="00246EC0">
      <w:pPr>
        <w:pStyle w:val="BodyText"/>
        <w:spacing w:after="60"/>
        <w:ind w:left="360" w:hanging="360"/>
      </w:pPr>
      <w:r>
        <w:rPr>
          <w:noProof/>
        </w:rPr>
        <w:drawing>
          <wp:inline distT="0" distB="0" distL="0" distR="0" wp14:anchorId="531AC3B4" wp14:editId="2705E624">
            <wp:extent cx="156845" cy="156845"/>
            <wp:effectExtent l="0" t="0" r="0" b="0"/>
            <wp:docPr id="76" name="Picture 76" descr="P1210L10#yIS1">
              <a:hlinkClick xmlns:a="http://schemas.openxmlformats.org/drawingml/2006/main" r:id="rId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P1210L10#yIS1">
                      <a:hlinkClick r:id="rId87"/>
                      <a:extLst>
                        <a:ext uri="{C183D7F6-B498-43B3-948B-1728B52AA6E4}">
                          <adec:decorative xmlns:adec="http://schemas.microsoft.com/office/drawing/2017/decorative" val="1"/>
                        </a:ext>
                      </a:extLs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Incoming Shipment</w:t>
      </w:r>
    </w:p>
    <w:p w14:paraId="47121BB1" w14:textId="77777777" w:rsidR="002A21AE" w:rsidRDefault="00057948" w:rsidP="00246EC0">
      <w:pPr>
        <w:pStyle w:val="BodyText"/>
        <w:spacing w:after="60"/>
        <w:ind w:left="360" w:hanging="360"/>
      </w:pPr>
      <w:r>
        <w:rPr>
          <w:noProof/>
        </w:rPr>
        <w:drawing>
          <wp:inline distT="0" distB="0" distL="0" distR="0" wp14:anchorId="633DAF8F" wp14:editId="285AC01B">
            <wp:extent cx="156845" cy="156845"/>
            <wp:effectExtent l="0" t="0" r="0" b="0"/>
            <wp:docPr id="77" name="Picture 77" descr="P1211L10#yIS1">
              <a:hlinkClick xmlns:a="http://schemas.openxmlformats.org/drawingml/2006/main" r:id="rId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P1211L10#yIS1">
                      <a:hlinkClick r:id="rId89"/>
                      <a:extLst>
                        <a:ext uri="{C183D7F6-B498-43B3-948B-1728B52AA6E4}">
                          <adec:decorative xmlns:adec="http://schemas.microsoft.com/office/drawing/2017/decorative" val="1"/>
                        </a:ext>
                      </a:extLs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ABO/Rh Confirmation</w:t>
      </w:r>
    </w:p>
    <w:p w14:paraId="1CBD3E81" w14:textId="77777777" w:rsidR="002A21AE" w:rsidRDefault="00057948" w:rsidP="00246EC0">
      <w:pPr>
        <w:pStyle w:val="BodyText"/>
        <w:spacing w:after="60"/>
        <w:ind w:left="360" w:hanging="360"/>
      </w:pPr>
      <w:r>
        <w:rPr>
          <w:noProof/>
        </w:rPr>
        <w:drawing>
          <wp:inline distT="0" distB="0" distL="0" distR="0" wp14:anchorId="146861F2" wp14:editId="3C889B28">
            <wp:extent cx="156845" cy="156845"/>
            <wp:effectExtent l="0" t="0" r="0" b="0"/>
            <wp:docPr id="78" name="Picture 78" descr="P1212L10#yIS1">
              <a:hlinkClick xmlns:a="http://schemas.openxmlformats.org/drawingml/2006/main" r:id="rId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P1212L10#yIS1">
                      <a:hlinkClick r:id="rId91"/>
                      <a:extLst>
                        <a:ext uri="{C183D7F6-B498-43B3-948B-1728B52AA6E4}">
                          <adec:decorative xmlns:adec="http://schemas.microsoft.com/office/drawing/2017/decorative" val="1"/>
                        </a:ext>
                      </a:extLs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Modify Units</w:t>
      </w:r>
    </w:p>
    <w:p w14:paraId="23138F3E" w14:textId="77777777" w:rsidR="002A21AE" w:rsidRDefault="00057948" w:rsidP="00246EC0">
      <w:pPr>
        <w:pStyle w:val="BodyText"/>
        <w:spacing w:after="60"/>
        <w:ind w:left="360" w:hanging="360"/>
      </w:pPr>
      <w:r>
        <w:rPr>
          <w:noProof/>
        </w:rPr>
        <w:drawing>
          <wp:inline distT="0" distB="0" distL="0" distR="0" wp14:anchorId="35968CB3" wp14:editId="5FB53515">
            <wp:extent cx="156845" cy="156845"/>
            <wp:effectExtent l="0" t="0" r="0" b="0"/>
            <wp:docPr id="79" name="Picture 79" descr="P1213L10#yIS1">
              <a:hlinkClick xmlns:a="http://schemas.openxmlformats.org/drawingml/2006/main" r:id="rId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P1213L10#yIS1">
                      <a:hlinkClick r:id="rId93"/>
                      <a:extLst>
                        <a:ext uri="{C183D7F6-B498-43B3-948B-1728B52AA6E4}">
                          <adec:decorative xmlns:adec="http://schemas.microsoft.com/office/drawing/2017/decorative" val="1"/>
                        </a:ext>
                      </a:extLs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Unit Antigen Typing</w:t>
      </w:r>
    </w:p>
    <w:p w14:paraId="406AEFBA" w14:textId="77777777" w:rsidR="002A21AE" w:rsidRDefault="00057948" w:rsidP="00246EC0">
      <w:pPr>
        <w:pStyle w:val="BodyText"/>
        <w:spacing w:after="60"/>
        <w:ind w:left="360" w:hanging="360"/>
      </w:pPr>
      <w:r>
        <w:rPr>
          <w:noProof/>
        </w:rPr>
        <w:drawing>
          <wp:inline distT="0" distB="0" distL="0" distR="0" wp14:anchorId="064B39DF" wp14:editId="45C24184">
            <wp:extent cx="156845" cy="156845"/>
            <wp:effectExtent l="0" t="0" r="0" b="0"/>
            <wp:docPr id="80" name="Picture 80" descr="P1214L10#yIS1">
              <a:hlinkClick xmlns:a="http://schemas.openxmlformats.org/drawingml/2006/main" r:id="rId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P1214L10#yIS1">
                      <a:hlinkClick r:id="rId95"/>
                      <a:extLst>
                        <a:ext uri="{C183D7F6-B498-43B3-948B-1728B52AA6E4}">
                          <adec:decorative xmlns:adec="http://schemas.microsoft.com/office/drawing/2017/decorative" val="1"/>
                        </a:ext>
                      </a:extLs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Outgoing Shipment</w:t>
      </w:r>
    </w:p>
    <w:p w14:paraId="617B80DE" w14:textId="77777777" w:rsidR="002A21AE" w:rsidRDefault="00057948" w:rsidP="00246EC0">
      <w:pPr>
        <w:pStyle w:val="BodyText"/>
        <w:spacing w:after="60"/>
        <w:ind w:left="360" w:hanging="360"/>
      </w:pPr>
      <w:r>
        <w:rPr>
          <w:noProof/>
        </w:rPr>
        <w:drawing>
          <wp:inline distT="0" distB="0" distL="0" distR="0" wp14:anchorId="53BB7C9E" wp14:editId="48584B74">
            <wp:extent cx="156845" cy="156845"/>
            <wp:effectExtent l="0" t="0" r="0" b="0"/>
            <wp:docPr id="81" name="Picture 81" descr="P1215L10#yIS1">
              <a:hlinkClick xmlns:a="http://schemas.openxmlformats.org/drawingml/2006/main" r:id="rId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P1215L10#yIS1">
                      <a:hlinkClick r:id="rId97"/>
                      <a:extLst>
                        <a:ext uri="{C183D7F6-B498-43B3-948B-1728B52AA6E4}">
                          <adec:decorative xmlns:adec="http://schemas.microsoft.com/office/drawing/2017/decorative" val="1"/>
                        </a:ext>
                      </a:extLs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Accept Orders: Accept an Order</w:t>
      </w:r>
    </w:p>
    <w:p w14:paraId="5A0BBDBB" w14:textId="77777777" w:rsidR="002A21AE" w:rsidRDefault="00057948" w:rsidP="00246EC0">
      <w:pPr>
        <w:pStyle w:val="BodyText"/>
        <w:spacing w:after="60"/>
        <w:ind w:left="360" w:hanging="360"/>
      </w:pPr>
      <w:r>
        <w:rPr>
          <w:noProof/>
        </w:rPr>
        <w:drawing>
          <wp:inline distT="0" distB="0" distL="0" distR="0" wp14:anchorId="109857AA" wp14:editId="7E538D8F">
            <wp:extent cx="156845" cy="156845"/>
            <wp:effectExtent l="0" t="0" r="0" b="0"/>
            <wp:docPr id="82" name="Picture 82" descr="P1216L10#yIS1">
              <a:hlinkClick xmlns:a="http://schemas.openxmlformats.org/drawingml/2006/main" r:id="rId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P1216L10#yIS1">
                      <a:hlinkClick r:id="rId99"/>
                      <a:extLst>
                        <a:ext uri="{C183D7F6-B498-43B3-948B-1728B52AA6E4}">
                          <adec:decorative xmlns:adec="http://schemas.microsoft.com/office/drawing/2017/decorative" val="1"/>
                        </a:ext>
                      </a:extLs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Maintain Specimen</w:t>
      </w:r>
    </w:p>
    <w:p w14:paraId="0F7A9D28" w14:textId="77777777" w:rsidR="002A21AE" w:rsidRDefault="00057948" w:rsidP="00246EC0">
      <w:pPr>
        <w:pStyle w:val="BodyText"/>
        <w:spacing w:after="60"/>
        <w:ind w:left="360" w:hanging="360"/>
      </w:pPr>
      <w:r>
        <w:rPr>
          <w:noProof/>
        </w:rPr>
        <w:drawing>
          <wp:inline distT="0" distB="0" distL="0" distR="0" wp14:anchorId="09B34BE8" wp14:editId="666AA0C8">
            <wp:extent cx="156845" cy="156845"/>
            <wp:effectExtent l="0" t="0" r="0" b="0"/>
            <wp:docPr id="83" name="Picture 83" descr="P1217L10#yIS1">
              <a:hlinkClick xmlns:a="http://schemas.openxmlformats.org/drawingml/2006/main" r:id="rId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P1217L10#yIS1">
                      <a:hlinkClick r:id="rId101"/>
                      <a:extLst>
                        <a:ext uri="{C183D7F6-B498-43B3-948B-1728B52AA6E4}">
                          <adec:decorative xmlns:adec="http://schemas.microsoft.com/office/drawing/2017/decorative" val="1"/>
                        </a:ext>
                      </a:extLs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Patient Testing</w:t>
      </w:r>
    </w:p>
    <w:p w14:paraId="6DEBC26C" w14:textId="77777777" w:rsidR="00246EC0" w:rsidRDefault="00057948" w:rsidP="00246EC0">
      <w:pPr>
        <w:pStyle w:val="BodyText"/>
        <w:spacing w:after="60"/>
        <w:ind w:left="360" w:hanging="360"/>
      </w:pPr>
      <w:r>
        <w:rPr>
          <w:noProof/>
        </w:rPr>
        <w:drawing>
          <wp:inline distT="0" distB="0" distL="0" distR="0" wp14:anchorId="77FD84BB" wp14:editId="23A6FFFC">
            <wp:extent cx="156845" cy="156845"/>
            <wp:effectExtent l="0" t="0" r="0" b="0"/>
            <wp:docPr id="84" name="Picture 84" descr="P1218L10#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P1218L10#yIS1">
                      <a:extLst>
                        <a:ext uri="{C183D7F6-B498-43B3-948B-1728B52AA6E4}">
                          <adec:decorative xmlns:adec="http://schemas.microsoft.com/office/drawing/2017/decorative" val="1"/>
                        </a:ext>
                      </a:extLs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46EC0">
        <w:t xml:space="preserve">  Automated Instrument Pending </w:t>
      </w:r>
      <w:r w:rsidR="00E57FEA">
        <w:t>Blood Unit</w:t>
      </w:r>
      <w:r w:rsidR="00246EC0">
        <w:t xml:space="preserve"> Tests</w:t>
      </w:r>
    </w:p>
    <w:p w14:paraId="088EA099" w14:textId="77777777" w:rsidR="00246EC0" w:rsidRDefault="00057948" w:rsidP="00246EC0">
      <w:pPr>
        <w:pStyle w:val="BodyText"/>
        <w:spacing w:after="60"/>
        <w:ind w:left="360" w:hanging="360"/>
      </w:pPr>
      <w:r>
        <w:rPr>
          <w:noProof/>
        </w:rPr>
        <w:drawing>
          <wp:inline distT="0" distB="0" distL="0" distR="0" wp14:anchorId="6D271968" wp14:editId="58B72C87">
            <wp:extent cx="156845" cy="156845"/>
            <wp:effectExtent l="0" t="0" r="0" b="0"/>
            <wp:docPr id="85" name="Picture 85" descr="P1219L10#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P1219L10#yIS1">
                      <a:extLst>
                        <a:ext uri="{C183D7F6-B498-43B3-948B-1728B52AA6E4}">
                          <adec:decorative xmlns:adec="http://schemas.microsoft.com/office/drawing/2017/decorative" val="1"/>
                        </a:ext>
                      </a:extLs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46EC0">
        <w:t xml:space="preserve">  Automated Inst</w:t>
      </w:r>
      <w:r w:rsidR="00E57FEA">
        <w:t>rument Pending Patient</w:t>
      </w:r>
      <w:r w:rsidR="00246EC0">
        <w:t xml:space="preserve"> Tests</w:t>
      </w:r>
    </w:p>
    <w:p w14:paraId="62B3CEB1" w14:textId="77777777" w:rsidR="002A21AE" w:rsidRDefault="00057948" w:rsidP="00246EC0">
      <w:pPr>
        <w:pStyle w:val="BodyText"/>
        <w:spacing w:after="60"/>
        <w:ind w:left="360" w:hanging="360"/>
      </w:pPr>
      <w:r>
        <w:rPr>
          <w:noProof/>
        </w:rPr>
        <w:drawing>
          <wp:inline distT="0" distB="0" distL="0" distR="0" wp14:anchorId="68D7CE5E" wp14:editId="063429E9">
            <wp:extent cx="156845" cy="156845"/>
            <wp:effectExtent l="0" t="0" r="0" b="0"/>
            <wp:docPr id="86" name="Picture 86" descr="P1220L10#yIS1">
              <a:hlinkClick xmlns:a="http://schemas.openxmlformats.org/drawingml/2006/main" r:id="rId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P1220L10#yIS1">
                      <a:hlinkClick r:id="rId105"/>
                      <a:extLst>
                        <a:ext uri="{C183D7F6-B498-43B3-948B-1728B52AA6E4}">
                          <adec:decorative xmlns:adec="http://schemas.microsoft.com/office/drawing/2017/decorative" val="1"/>
                        </a:ext>
                      </a:extLs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Select Units</w:t>
      </w:r>
    </w:p>
    <w:p w14:paraId="270D5696" w14:textId="77777777" w:rsidR="002A21AE" w:rsidRDefault="00057948" w:rsidP="00246EC0">
      <w:pPr>
        <w:pStyle w:val="BodyText"/>
        <w:spacing w:after="60"/>
        <w:ind w:left="360" w:hanging="360"/>
      </w:pPr>
      <w:r>
        <w:rPr>
          <w:noProof/>
        </w:rPr>
        <w:drawing>
          <wp:inline distT="0" distB="0" distL="0" distR="0" wp14:anchorId="4B3B5E3A" wp14:editId="1A389495">
            <wp:extent cx="156845" cy="156845"/>
            <wp:effectExtent l="0" t="0" r="0" b="0"/>
            <wp:docPr id="87" name="Picture 87" descr="P1221L10#yIS1">
              <a:hlinkClick xmlns:a="http://schemas.openxmlformats.org/drawingml/2006/main" r:id="rId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P1221L10#yIS1">
                      <a:hlinkClick r:id="rId107"/>
                      <a:extLst>
                        <a:ext uri="{C183D7F6-B498-43B3-948B-1728B52AA6E4}">
                          <adec:decorative xmlns:adec="http://schemas.microsoft.com/office/drawing/2017/decorative" val="1"/>
                        </a:ext>
                      </a:extLs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Issue Blood Components</w:t>
      </w:r>
    </w:p>
    <w:p w14:paraId="45BF7CC0" w14:textId="77777777" w:rsidR="002A21AE" w:rsidRDefault="00057948" w:rsidP="00246EC0">
      <w:pPr>
        <w:pStyle w:val="BodyText"/>
        <w:spacing w:after="60"/>
        <w:ind w:left="360" w:hanging="360"/>
      </w:pPr>
      <w:r>
        <w:rPr>
          <w:noProof/>
        </w:rPr>
        <w:drawing>
          <wp:inline distT="0" distB="0" distL="0" distR="0" wp14:anchorId="2CE0880D" wp14:editId="07A8CFCE">
            <wp:extent cx="156845" cy="156845"/>
            <wp:effectExtent l="0" t="0" r="0" b="0"/>
            <wp:docPr id="88" name="Picture 88" descr="P1222L10#yIS1">
              <a:hlinkClick xmlns:a="http://schemas.openxmlformats.org/drawingml/2006/main" r:id="rId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P1222L10#yIS1">
                      <a:hlinkClick r:id="rId109"/>
                      <a:extLst>
                        <a:ext uri="{C183D7F6-B498-43B3-948B-1728B52AA6E4}">
                          <adec:decorative xmlns:adec="http://schemas.microsoft.com/office/drawing/2017/decorative" val="1"/>
                        </a:ext>
                      </a:extLs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Post-Transfusion Information</w:t>
      </w:r>
    </w:p>
    <w:p w14:paraId="5E21BDCC" w14:textId="77777777" w:rsidR="00E15889" w:rsidRDefault="00E15889" w:rsidP="00E15889">
      <w:pPr>
        <w:pStyle w:val="BodyText"/>
        <w:ind w:left="360"/>
      </w:pPr>
    </w:p>
    <w:p w14:paraId="4F7B121A" w14:textId="77777777" w:rsidR="002A21AE" w:rsidRDefault="002A21AE">
      <w:pPr>
        <w:pStyle w:val="Caution"/>
      </w:pPr>
      <w:r>
        <w:t>Clicking an icon in the Main Toolbar saves a step: it’s the same as clicking the main menu item, and then on the option.</w:t>
      </w:r>
    </w:p>
    <w:p w14:paraId="3F7244DD" w14:textId="77777777" w:rsidR="002A21AE" w:rsidRDefault="002A21AE">
      <w:pPr>
        <w:pStyle w:val="BodyText"/>
      </w:pPr>
      <w:r>
        <w:t>VBECS uses tree views to displays list items. Click a plus sign (+) to expand a list. Click a minus sign (–) to condense a list.</w:t>
      </w:r>
    </w:p>
    <w:p w14:paraId="1DC8AED3" w14:textId="77777777" w:rsidR="002A21AE" w:rsidRDefault="002A21AE">
      <w:pPr>
        <w:pStyle w:val="Heading2"/>
      </w:pPr>
      <w:bookmarkStart w:id="154" w:name="_Toc4588740"/>
      <w:r>
        <w:t>Patient Information Toolbar</w:t>
      </w:r>
      <w:bookmarkEnd w:id="154"/>
      <w:r>
        <w:fldChar w:fldCharType="begin"/>
      </w:r>
      <w:r>
        <w:instrText xml:space="preserve"> XE </w:instrText>
      </w:r>
      <w:r w:rsidR="00FA7E65">
        <w:instrText>“</w:instrText>
      </w:r>
      <w:r>
        <w:instrText>Patient Information Toolbar</w:instrText>
      </w:r>
      <w:r w:rsidR="00FA7E65">
        <w:instrText>”</w:instrText>
      </w:r>
      <w:r>
        <w:instrText xml:space="preserve"> </w:instrText>
      </w:r>
      <w:r>
        <w:fldChar w:fldCharType="end"/>
      </w:r>
    </w:p>
    <w:p w14:paraId="36E794A4" w14:textId="77777777" w:rsidR="002A21AE" w:rsidRDefault="002A21AE" w:rsidP="00FA7E65">
      <w:pPr>
        <w:pStyle w:val="BodyText"/>
      </w:pPr>
      <w:r>
        <w:t xml:space="preserve">The </w:t>
      </w:r>
      <w:r>
        <w:rPr>
          <w:i/>
          <w:iCs/>
        </w:rPr>
        <w:t>Patient Information Toolbar</w:t>
      </w:r>
      <w:r>
        <w:t xml:space="preserve"> appears in the active window when a patient record is displayed.</w:t>
      </w:r>
      <w:r w:rsidR="00AD1B87">
        <w:t xml:space="preserve"> VBECS displays only the icons appropriate to the option. </w:t>
      </w:r>
      <w:r>
        <w:t>Click the icons in the Patient Information Toolbar to display:</w:t>
      </w:r>
    </w:p>
    <w:p w14:paraId="6D3E360F" w14:textId="77777777" w:rsidR="002A21AE" w:rsidRDefault="00057948">
      <w:pPr>
        <w:pStyle w:val="BodyText"/>
        <w:ind w:left="360" w:hanging="360"/>
      </w:pPr>
      <w:r>
        <w:rPr>
          <w:noProof/>
        </w:rPr>
        <w:drawing>
          <wp:inline distT="0" distB="0" distL="0" distR="0" wp14:anchorId="174A0ED8" wp14:editId="0F283F1A">
            <wp:extent cx="156845" cy="156845"/>
            <wp:effectExtent l="0" t="0" r="0" b="0"/>
            <wp:docPr id="89" name="Picture 89" descr="P1228L10#yIS1">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P1228L10#yIS1">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 xml:space="preserve">a Blood Availability Report (Blood Availability) </w:t>
      </w:r>
      <w:r w:rsidR="002A21AE">
        <w:rPr>
          <w:vanish/>
        </w:rPr>
        <w:t>UC_49</w:t>
      </w:r>
    </w:p>
    <w:p w14:paraId="06ACDF87" w14:textId="77777777" w:rsidR="002A21AE" w:rsidRDefault="00057948">
      <w:pPr>
        <w:pStyle w:val="BodyText"/>
        <w:ind w:left="360" w:hanging="360"/>
      </w:pPr>
      <w:r>
        <w:rPr>
          <w:noProof/>
        </w:rPr>
        <w:drawing>
          <wp:inline distT="0" distB="0" distL="0" distR="0" wp14:anchorId="160978A1" wp14:editId="0465641A">
            <wp:extent cx="156845" cy="156845"/>
            <wp:effectExtent l="0" t="0" r="0" b="0"/>
            <wp:docPr id="90" name="Picture 90" descr="P1229L10#yIS1">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P1229L10#yIS1">
                      <a:hlinkClick r:id="rId1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a patient’s current medication profile (Medication Profile)</w:t>
      </w:r>
      <w:r w:rsidR="002A21AE">
        <w:rPr>
          <w:vanish/>
        </w:rPr>
        <w:t xml:space="preserve"> UC_46</w:t>
      </w:r>
    </w:p>
    <w:p w14:paraId="3107FE1C" w14:textId="77777777" w:rsidR="002A21AE" w:rsidRDefault="00057948">
      <w:pPr>
        <w:pStyle w:val="BodyText"/>
        <w:ind w:left="360" w:hanging="360"/>
      </w:pPr>
      <w:r>
        <w:rPr>
          <w:noProof/>
        </w:rPr>
        <w:lastRenderedPageBreak/>
        <w:drawing>
          <wp:inline distT="0" distB="0" distL="0" distR="0" wp14:anchorId="40BDE1FB" wp14:editId="4F933E4A">
            <wp:extent cx="156845" cy="156845"/>
            <wp:effectExtent l="0" t="0" r="0" b="0"/>
            <wp:docPr id="91" name="Picture 91" descr="P1230L10#yIS1">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P1230L10#yIS1">
                      <a:hlinkClick r:id="rId114"/>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a patient’s recent orders (Recent Orders)</w:t>
      </w:r>
      <w:r w:rsidR="002A21AE">
        <w:rPr>
          <w:vanish/>
        </w:rPr>
        <w:t xml:space="preserve"> UC_65</w:t>
      </w:r>
    </w:p>
    <w:p w14:paraId="1AAC3744" w14:textId="77777777" w:rsidR="002A21AE" w:rsidRDefault="00057948">
      <w:pPr>
        <w:pStyle w:val="BodyText"/>
        <w:ind w:left="360" w:hanging="360"/>
      </w:pPr>
      <w:r>
        <w:rPr>
          <w:noProof/>
        </w:rPr>
        <w:drawing>
          <wp:inline distT="0" distB="0" distL="0" distR="0" wp14:anchorId="5EC96A22" wp14:editId="6FF97E9A">
            <wp:extent cx="156845" cy="156845"/>
            <wp:effectExtent l="0" t="0" r="0" b="0"/>
            <wp:docPr id="92" name="Picture 92" descr="P1231L10#yIS1">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P1231L10#yIS1">
                      <a:hlinkClick r:id="rId115"/>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 xml:space="preserve">a patient’s Special Instructions and/or Transfusion Requirements (View Special Instructions and Transfusion Requirements) </w:t>
      </w:r>
      <w:r w:rsidR="002A21AE">
        <w:rPr>
          <w:vanish/>
        </w:rPr>
        <w:t>UC_36</w:t>
      </w:r>
    </w:p>
    <w:p w14:paraId="5BD0DCEE" w14:textId="77777777" w:rsidR="002A21AE" w:rsidRDefault="00057948">
      <w:pPr>
        <w:pStyle w:val="BodyText"/>
        <w:ind w:left="360" w:hanging="360"/>
      </w:pPr>
      <w:r>
        <w:rPr>
          <w:noProof/>
        </w:rPr>
        <w:drawing>
          <wp:inline distT="0" distB="0" distL="0" distR="0" wp14:anchorId="517ADB7F" wp14:editId="71437339">
            <wp:extent cx="156845" cy="156845"/>
            <wp:effectExtent l="0" t="0" r="0" b="0"/>
            <wp:docPr id="93" name="Picture 93" descr="P1232L10#yIS1">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P1232L10#yIS1">
                      <a:hlinkClick r:id="rId1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a patient’s recent transfusion history (Recent Transfusions/Issued Units)</w:t>
      </w:r>
      <w:r w:rsidR="002A21AE">
        <w:rPr>
          <w:vanish/>
        </w:rPr>
        <w:t xml:space="preserve"> UC_65</w:t>
      </w:r>
    </w:p>
    <w:p w14:paraId="76B87D42" w14:textId="77777777" w:rsidR="00F104FA" w:rsidRDefault="00057948" w:rsidP="00C12CF8">
      <w:pPr>
        <w:pStyle w:val="BodyText"/>
        <w:ind w:left="360" w:hanging="360"/>
      </w:pPr>
      <w:r>
        <w:rPr>
          <w:noProof/>
        </w:rPr>
        <w:drawing>
          <wp:inline distT="0" distB="0" distL="0" distR="0" wp14:anchorId="43A8349D" wp14:editId="26F73BE2">
            <wp:extent cx="156845" cy="156845"/>
            <wp:effectExtent l="0" t="0" r="0" b="0"/>
            <wp:docPr id="94" name="Picture 94" descr="P1233L10#yIS1">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P1233L10#yIS1">
                      <a:hlinkClick r:id="rId1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a patient’s transfusion reaction history (Transfusion Reaction History)</w:t>
      </w:r>
      <w:r w:rsidR="00547F23" w:rsidRPr="00547F23">
        <w:rPr>
          <w:vanish/>
        </w:rPr>
        <w:t xml:space="preserve"> </w:t>
      </w:r>
      <w:r w:rsidR="00547F23">
        <w:rPr>
          <w:vanish/>
        </w:rPr>
        <w:t>UC_65</w:t>
      </w:r>
    </w:p>
    <w:p w14:paraId="1EAA5546" w14:textId="77777777" w:rsidR="00C12CF8" w:rsidRDefault="00057948" w:rsidP="00C12CF8">
      <w:pPr>
        <w:pStyle w:val="BodyText"/>
        <w:ind w:left="360" w:hanging="360"/>
        <w:rPr>
          <w:vanish/>
        </w:rPr>
      </w:pPr>
      <w:r>
        <w:rPr>
          <w:noProof/>
        </w:rPr>
        <w:drawing>
          <wp:inline distT="0" distB="0" distL="0" distR="0" wp14:anchorId="75C12690" wp14:editId="0DF15DDF">
            <wp:extent cx="156845" cy="156845"/>
            <wp:effectExtent l="0" t="0" r="0" b="0"/>
            <wp:docPr id="95" name="Picture 95" descr="P1234L10#yIS1">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P1234L10#yIS1">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5B6E47">
        <w:t xml:space="preserve"> </w:t>
      </w:r>
      <w:r w:rsidR="002A21AE">
        <w:rPr>
          <w:vanish/>
        </w:rPr>
        <w:t xml:space="preserve"> </w:t>
      </w:r>
    </w:p>
    <w:p w14:paraId="0796217F" w14:textId="77777777" w:rsidR="00577C1F" w:rsidRDefault="00577C1F" w:rsidP="00577C1F">
      <w:pPr>
        <w:pStyle w:val="Heading3"/>
      </w:pPr>
      <w:bookmarkStart w:id="155" w:name="_Medication_Profile_UC_46"/>
      <w:bookmarkStart w:id="156" w:name="_Toc4588741"/>
      <w:bookmarkEnd w:id="155"/>
      <w:r>
        <w:t>Patient Blood Availability</w:t>
      </w:r>
      <w:bookmarkEnd w:id="156"/>
      <w:r w:rsidR="00B973E2">
        <w:fldChar w:fldCharType="begin"/>
      </w:r>
      <w:r w:rsidR="00B973E2">
        <w:instrText xml:space="preserve"> XE "</w:instrText>
      </w:r>
      <w:r w:rsidR="00B973E2" w:rsidRPr="00DC29FC">
        <w:instrText>Patient Blood Availability</w:instrText>
      </w:r>
      <w:r w:rsidR="00B973E2">
        <w:instrText xml:space="preserve">" </w:instrText>
      </w:r>
      <w:r w:rsidR="00B973E2">
        <w:fldChar w:fldCharType="end"/>
      </w:r>
    </w:p>
    <w:p w14:paraId="258FA80E" w14:textId="77777777" w:rsidR="00971D59" w:rsidRPr="00971D59" w:rsidRDefault="00971D59" w:rsidP="00971D59">
      <w:pPr>
        <w:pStyle w:val="BodyText"/>
      </w:pPr>
      <w:r w:rsidRPr="00971D59">
        <w:t>The user views blood products available to a patient. The Blood Availability Report does not include unassigned, restricted blood products. To view unassigned, restricted blood products and other custom reports, see Blood Availability.</w:t>
      </w:r>
      <w:r w:rsidR="00D407D0" w:rsidRPr="00D407D0">
        <w:rPr>
          <w:vanish/>
        </w:rPr>
        <w:t>DR 1,041</w:t>
      </w:r>
    </w:p>
    <w:p w14:paraId="132EED4B" w14:textId="77777777" w:rsidR="002A21AE" w:rsidRPr="001F24A4" w:rsidRDefault="00E75E0A" w:rsidP="001F24A4">
      <w:pPr>
        <w:pStyle w:val="Heading3"/>
      </w:pPr>
      <w:r>
        <w:br w:type="page"/>
      </w:r>
      <w:bookmarkStart w:id="157" w:name="_Toc4588742"/>
      <w:r w:rsidR="00057948">
        <w:rPr>
          <w:noProof/>
        </w:rPr>
        <w:lastRenderedPageBreak/>
        <w:drawing>
          <wp:inline distT="0" distB="0" distL="0" distR="0" wp14:anchorId="7FAAFBB7" wp14:editId="5D87952A">
            <wp:extent cx="156845" cy="193675"/>
            <wp:effectExtent l="0" t="0" r="0" b="0"/>
            <wp:docPr id="96" name="Picture 96" descr="P1236L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P1236L10#yIS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845" cy="193675"/>
                    </a:xfrm>
                    <a:prstGeom prst="rect">
                      <a:avLst/>
                    </a:prstGeom>
                    <a:noFill/>
                    <a:ln>
                      <a:noFill/>
                    </a:ln>
                  </pic:spPr>
                </pic:pic>
              </a:graphicData>
            </a:graphic>
          </wp:inline>
        </w:drawing>
      </w:r>
      <w:r w:rsidR="002A21AE" w:rsidRPr="004C2A71">
        <w:t xml:space="preserve"> Medication Profile</w:t>
      </w:r>
      <w:bookmarkEnd w:id="157"/>
      <w:r w:rsidR="002A21AE" w:rsidRPr="004C2A71">
        <w:fldChar w:fldCharType="begin"/>
      </w:r>
      <w:r w:rsidR="002A21AE" w:rsidRPr="004C2A71">
        <w:instrText xml:space="preserve"> XE </w:instrText>
      </w:r>
      <w:r w:rsidR="00FA7E65" w:rsidRPr="004C2A71">
        <w:instrText>“</w:instrText>
      </w:r>
      <w:r w:rsidR="002A21AE" w:rsidRPr="004C2A71">
        <w:instrText>Medication Profile</w:instrText>
      </w:r>
      <w:r w:rsidR="00FA7E65" w:rsidRPr="004C2A71">
        <w:instrText>”</w:instrText>
      </w:r>
      <w:r w:rsidR="002A21AE" w:rsidRPr="004C2A71">
        <w:instrText xml:space="preserve"> </w:instrText>
      </w:r>
      <w:r w:rsidR="002A21AE" w:rsidRPr="004C2A71">
        <w:fldChar w:fldCharType="end"/>
      </w:r>
      <w:r w:rsidR="002A21AE">
        <w:t xml:space="preserve"> </w:t>
      </w:r>
      <w:r w:rsidR="002A21AE" w:rsidRPr="00C12CF8">
        <w:rPr>
          <w:vanish/>
        </w:rPr>
        <w:t>UC_46</w:t>
      </w:r>
      <w:r w:rsidR="002A21AE">
        <w:t xml:space="preserve"> </w:t>
      </w:r>
    </w:p>
    <w:p w14:paraId="0A51FF4F" w14:textId="77777777" w:rsidR="002A21AE" w:rsidRDefault="002A21AE" w:rsidP="004C2A71">
      <w:pPr>
        <w:pStyle w:val="BodyText"/>
      </w:pPr>
      <w:r>
        <w:t>The user views a patient’s current medication profile.</w:t>
      </w:r>
    </w:p>
    <w:p w14:paraId="06BC41DC" w14:textId="77777777" w:rsidR="002A21AE" w:rsidRDefault="002A21AE">
      <w:pPr>
        <w:pStyle w:val="Heading4"/>
      </w:pPr>
      <w:r>
        <w:t xml:space="preserve">Assumptions </w:t>
      </w:r>
    </w:p>
    <w:p w14:paraId="7F374552" w14:textId="77777777" w:rsidR="002A21AE" w:rsidRDefault="002A21AE">
      <w:pPr>
        <w:pStyle w:val="ListBullet"/>
      </w:pPr>
      <w:r>
        <w:t xml:space="preserve">The connection to </w:t>
      </w:r>
      <w:r w:rsidR="00CA0045" w:rsidRPr="00CA0045">
        <w:rPr>
          <w:bCs/>
        </w:rPr>
        <w:t>VistA</w:t>
      </w:r>
      <w:r>
        <w:t xml:space="preserve"> is active. </w:t>
      </w:r>
    </w:p>
    <w:p w14:paraId="066B6808" w14:textId="77777777" w:rsidR="00DD75E5" w:rsidRDefault="002A21AE" w:rsidP="00DD75E5">
      <w:pPr>
        <w:pStyle w:val="Heading4"/>
      </w:pPr>
      <w:r>
        <w:t>Outcome</w:t>
      </w:r>
    </w:p>
    <w:p w14:paraId="6182BD84" w14:textId="77777777" w:rsidR="002A21AE" w:rsidRDefault="002A21AE" w:rsidP="00DD75E5">
      <w:pPr>
        <w:pStyle w:val="ListBullet"/>
      </w:pPr>
      <w:r>
        <w:t>VBECS displays a patient’s current medications.</w:t>
      </w:r>
    </w:p>
    <w:p w14:paraId="6FAD5D26" w14:textId="77777777" w:rsidR="002A21AE" w:rsidRDefault="002A21AE">
      <w:pPr>
        <w:pStyle w:val="Heading4"/>
      </w:pPr>
      <w:r>
        <w:t>Limitations and Restrictions</w:t>
      </w:r>
    </w:p>
    <w:p w14:paraId="68DB5FBB" w14:textId="77777777" w:rsidR="002A21AE" w:rsidRDefault="002A21AE">
      <w:pPr>
        <w:pStyle w:val="ListBullet"/>
      </w:pPr>
      <w:r>
        <w:t>None</w:t>
      </w:r>
    </w:p>
    <w:p w14:paraId="42F47C8C" w14:textId="77777777" w:rsidR="002A21AE" w:rsidRDefault="00DD75E5">
      <w:pPr>
        <w:pStyle w:val="Heading4"/>
      </w:pPr>
      <w:r>
        <w:t>Additional Information</w:t>
      </w:r>
    </w:p>
    <w:p w14:paraId="385AEB1D" w14:textId="77777777" w:rsidR="002A21AE" w:rsidRDefault="002A21AE">
      <w:pPr>
        <w:pStyle w:val="ListBullet"/>
      </w:pPr>
      <w:r>
        <w:t xml:space="preserve">The user may access CPRS for </w:t>
      </w:r>
      <w:r w:rsidR="00E90A01">
        <w:t>additional</w:t>
      </w:r>
      <w:r>
        <w:t xml:space="preserve"> information on a patient medication order.</w:t>
      </w:r>
    </w:p>
    <w:p w14:paraId="12FA92BA" w14:textId="77777777" w:rsidR="002A21AE" w:rsidRDefault="002A21AE">
      <w:pPr>
        <w:pStyle w:val="ListBullet"/>
      </w:pPr>
      <w:r>
        <w:t>These data are accessible to the user through the Patient Information Toolbar on all patient-specific screens.</w:t>
      </w:r>
    </w:p>
    <w:p w14:paraId="31DB9F38" w14:textId="77777777" w:rsidR="002A21AE" w:rsidRDefault="002A21AE">
      <w:pPr>
        <w:pStyle w:val="Heading4"/>
        <w:rPr>
          <w:b w:val="0"/>
        </w:rPr>
      </w:pPr>
      <w:r>
        <w:t>User Roles with Access to This Option</w:t>
      </w:r>
      <w:r>
        <w:rPr>
          <w:b w:val="0"/>
        </w:rPr>
        <w:t xml:space="preserve"> </w:t>
      </w:r>
    </w:p>
    <w:p w14:paraId="51780348" w14:textId="77777777" w:rsidR="002A21AE" w:rsidRDefault="00237C52" w:rsidP="00237C52">
      <w:pPr>
        <w:pStyle w:val="Roles"/>
      </w:pPr>
      <w:r>
        <w:t>All users</w:t>
      </w:r>
    </w:p>
    <w:p w14:paraId="0422B621" w14:textId="77777777" w:rsidR="002A21AE" w:rsidRDefault="002A21AE">
      <w:pPr>
        <w:pStyle w:val="Heading4"/>
      </w:pPr>
      <w:r>
        <w:t xml:space="preserve">Medication Profile </w:t>
      </w:r>
    </w:p>
    <w:p w14:paraId="42B1C2B7" w14:textId="77777777" w:rsidR="002A21AE" w:rsidRDefault="002A21AE" w:rsidP="00FA7E65">
      <w:pPr>
        <w:pStyle w:val="BodyText"/>
      </w:pPr>
      <w:r>
        <w:rPr>
          <w:bCs/>
        </w:rPr>
        <w:t>At the user’s request, VBECS queries</w:t>
      </w:r>
      <w:r>
        <w:rPr>
          <w:b/>
          <w:bCs/>
        </w:rPr>
        <w:t xml:space="preserve"> </w:t>
      </w:r>
      <w:r w:rsidR="00CA0045" w:rsidRPr="00CA0045">
        <w:rPr>
          <w:bCs/>
        </w:rPr>
        <w:t>VistA</w:t>
      </w:r>
      <w:r>
        <w:t xml:space="preserve"> to search for active prescriptions within a user-specified time frame or a default time frame of six months, regardless of division, in a multidivisional database.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1274E2E6" w14:textId="77777777">
        <w:trPr>
          <w:tblHeader/>
        </w:trPr>
        <w:tc>
          <w:tcPr>
            <w:tcW w:w="3240" w:type="dxa"/>
            <w:shd w:val="pct30" w:color="auto" w:fill="FFFFFF"/>
            <w:vAlign w:val="bottom"/>
          </w:tcPr>
          <w:p w14:paraId="3887BF32" w14:textId="77777777" w:rsidR="002A21AE" w:rsidRDefault="002A21AE">
            <w:pPr>
              <w:pStyle w:val="TableText"/>
              <w:rPr>
                <w:b/>
              </w:rPr>
            </w:pPr>
            <w:r>
              <w:rPr>
                <w:b/>
              </w:rPr>
              <w:t>User Action</w:t>
            </w:r>
          </w:p>
        </w:tc>
        <w:tc>
          <w:tcPr>
            <w:tcW w:w="6120" w:type="dxa"/>
            <w:shd w:val="pct30" w:color="auto" w:fill="FFFFFF"/>
            <w:vAlign w:val="bottom"/>
          </w:tcPr>
          <w:p w14:paraId="4ABEBD67" w14:textId="77777777" w:rsidR="002A21AE" w:rsidRDefault="002A21AE">
            <w:pPr>
              <w:pStyle w:val="TableText"/>
              <w:rPr>
                <w:b/>
              </w:rPr>
            </w:pPr>
            <w:r>
              <w:rPr>
                <w:b/>
              </w:rPr>
              <w:t>VBECS</w:t>
            </w:r>
          </w:p>
        </w:tc>
      </w:tr>
      <w:tr w:rsidR="002A21AE" w14:paraId="4B1668CD" w14:textId="77777777">
        <w:tc>
          <w:tcPr>
            <w:tcW w:w="3240" w:type="dxa"/>
          </w:tcPr>
          <w:p w14:paraId="29315A29" w14:textId="77777777" w:rsidR="002A21AE" w:rsidRDefault="002A21AE" w:rsidP="009D60F4">
            <w:pPr>
              <w:pStyle w:val="TableTextNumbers"/>
            </w:pPr>
            <w:r>
              <w:t xml:space="preserve">Select </w:t>
            </w:r>
            <w:r>
              <w:rPr>
                <w:b/>
              </w:rPr>
              <w:t>Reports</w:t>
            </w:r>
            <w:r>
              <w:t xml:space="preserve"> from the main menu.</w:t>
            </w:r>
          </w:p>
          <w:p w14:paraId="655CB11B" w14:textId="77777777" w:rsidR="002A21AE" w:rsidRDefault="002A21AE">
            <w:pPr>
              <w:pStyle w:val="TableTextNumbersContinued"/>
              <w:rPr>
                <w:b/>
                <w:bCs/>
              </w:rPr>
            </w:pPr>
          </w:p>
          <w:p w14:paraId="30034D53" w14:textId="77777777" w:rsidR="002A21AE" w:rsidRDefault="002A21AE">
            <w:pPr>
              <w:pStyle w:val="TableTextNumbersContinued"/>
              <w:rPr>
                <w:b/>
                <w:bCs/>
              </w:rPr>
            </w:pPr>
            <w:r>
              <w:rPr>
                <w:bCs/>
              </w:rPr>
              <w:t>Select</w:t>
            </w:r>
            <w:r>
              <w:rPr>
                <w:b/>
                <w:bCs/>
              </w:rPr>
              <w:t xml:space="preserve"> Medication Profile.</w:t>
            </w:r>
          </w:p>
          <w:p w14:paraId="09BA2DF1" w14:textId="77777777" w:rsidR="002A21AE" w:rsidRDefault="002A21AE">
            <w:pPr>
              <w:pStyle w:val="TableTextNumbersContinued"/>
              <w:rPr>
                <w:b/>
                <w:bCs/>
              </w:rPr>
            </w:pPr>
          </w:p>
          <w:p w14:paraId="46812049" w14:textId="77777777" w:rsidR="002A21AE" w:rsidRDefault="002A21AE">
            <w:pPr>
              <w:pStyle w:val="TableTextNumbersContinued"/>
              <w:rPr>
                <w:bCs/>
              </w:rPr>
            </w:pPr>
            <w:r>
              <w:rPr>
                <w:bCs/>
              </w:rPr>
              <w:t>Select a patient, or</w:t>
            </w:r>
          </w:p>
          <w:p w14:paraId="62C07106" w14:textId="77777777" w:rsidR="002A21AE" w:rsidRDefault="002A21AE">
            <w:pPr>
              <w:pStyle w:val="TableTextNumbersContinued"/>
              <w:rPr>
                <w:bCs/>
              </w:rPr>
            </w:pPr>
          </w:p>
          <w:p w14:paraId="0BBCF196" w14:textId="77777777" w:rsidR="002A21AE" w:rsidRDefault="002A21AE">
            <w:pPr>
              <w:pStyle w:val="TableTextNumbersContinued"/>
              <w:rPr>
                <w:bCs/>
              </w:rPr>
            </w:pPr>
            <w:r>
              <w:rPr>
                <w:bCs/>
              </w:rPr>
              <w:t>Select an option that displays the Patient Information Toolbar.</w:t>
            </w:r>
          </w:p>
          <w:p w14:paraId="6A8CCB60" w14:textId="77777777" w:rsidR="002A21AE" w:rsidRDefault="002A21AE">
            <w:pPr>
              <w:pStyle w:val="TableTextNumbersContinued"/>
              <w:rPr>
                <w:bCs/>
              </w:rPr>
            </w:pPr>
          </w:p>
          <w:p w14:paraId="36631172" w14:textId="77777777" w:rsidR="002A21AE" w:rsidRDefault="002A21AE">
            <w:pPr>
              <w:pStyle w:val="TableTextNumbersContinued"/>
              <w:rPr>
                <w:b/>
                <w:bCs/>
              </w:rPr>
            </w:pPr>
            <w:r>
              <w:rPr>
                <w:bCs/>
              </w:rPr>
              <w:t xml:space="preserve">Click </w:t>
            </w:r>
            <w:r w:rsidR="00057948">
              <w:rPr>
                <w:bCs/>
                <w:noProof/>
              </w:rPr>
              <w:drawing>
                <wp:inline distT="0" distB="0" distL="0" distR="0" wp14:anchorId="35724580" wp14:editId="7BE0FFC9">
                  <wp:extent cx="156845" cy="193675"/>
                  <wp:effectExtent l="0" t="0" r="0" b="0"/>
                  <wp:docPr id="97" name="Picture 97" descr="P1262L10C3T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P1262L10C3T7#yIS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845" cy="193675"/>
                          </a:xfrm>
                          <a:prstGeom prst="rect">
                            <a:avLst/>
                          </a:prstGeom>
                          <a:noFill/>
                          <a:ln>
                            <a:noFill/>
                          </a:ln>
                        </pic:spPr>
                      </pic:pic>
                    </a:graphicData>
                  </a:graphic>
                </wp:inline>
              </w:drawing>
            </w:r>
            <w:r>
              <w:rPr>
                <w:bCs/>
              </w:rPr>
              <w:t xml:space="preserve"> to view a patient’s current medication list.</w:t>
            </w:r>
          </w:p>
        </w:tc>
        <w:tc>
          <w:tcPr>
            <w:tcW w:w="6120" w:type="dxa"/>
          </w:tcPr>
          <w:p w14:paraId="11A107A7" w14:textId="77777777" w:rsidR="002A21AE" w:rsidRDefault="002A21AE">
            <w:pPr>
              <w:pStyle w:val="TableTextBullet"/>
            </w:pPr>
            <w:r>
              <w:t>Lists report names.</w:t>
            </w:r>
          </w:p>
          <w:p w14:paraId="69AF3ED9" w14:textId="77777777" w:rsidR="002A21AE" w:rsidRDefault="002A21AE">
            <w:pPr>
              <w:pStyle w:val="TableTextBullet"/>
            </w:pPr>
            <w:r>
              <w:t>Displays the report date range, sections, and compilation criteria.</w:t>
            </w:r>
          </w:p>
          <w:p w14:paraId="030AF8FB" w14:textId="77777777" w:rsidR="002A21AE" w:rsidRDefault="002A21AE">
            <w:pPr>
              <w:pStyle w:val="TableTextBullet"/>
            </w:pPr>
            <w:r>
              <w:t>Displays options for processing patient-related functions.</w:t>
            </w:r>
          </w:p>
          <w:p w14:paraId="56FE691C" w14:textId="77777777" w:rsidR="002A21AE" w:rsidRDefault="002A21AE">
            <w:pPr>
              <w:pStyle w:val="TableTextBullet"/>
            </w:pPr>
            <w:r>
              <w:t>Compiles the active patient identification data.</w:t>
            </w:r>
          </w:p>
          <w:p w14:paraId="79132C4A" w14:textId="77777777" w:rsidR="002A21AE" w:rsidRDefault="002A21AE">
            <w:pPr>
              <w:pStyle w:val="TableText"/>
            </w:pPr>
          </w:p>
          <w:p w14:paraId="6F9710E9" w14:textId="77777777" w:rsidR="002A21AE" w:rsidRDefault="00057948">
            <w:pPr>
              <w:pStyle w:val="TableText"/>
              <w:rPr>
                <w:b/>
                <w:bCs/>
                <w:szCs w:val="18"/>
              </w:rPr>
            </w:pPr>
            <w:r>
              <w:rPr>
                <w:b/>
                <w:bCs/>
                <w:noProof/>
              </w:rPr>
              <mc:AlternateContent>
                <mc:Choice Requires="wps">
                  <w:drawing>
                    <wp:anchor distT="0" distB="0" distL="114300" distR="114300" simplePos="0" relativeHeight="251625472" behindDoc="0" locked="0" layoutInCell="1" allowOverlap="1" wp14:anchorId="01C1BC62" wp14:editId="7238C3BC">
                      <wp:simplePos x="0" y="0"/>
                      <wp:positionH relativeFrom="column">
                        <wp:posOffset>457200</wp:posOffset>
                      </wp:positionH>
                      <wp:positionV relativeFrom="paragraph">
                        <wp:posOffset>65405</wp:posOffset>
                      </wp:positionV>
                      <wp:extent cx="3200400" cy="0"/>
                      <wp:effectExtent l="9525" t="17780" r="9525" b="10795"/>
                      <wp:wrapNone/>
                      <wp:docPr id="583" name="Line 834" descr="P1268L10C4T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47342" id="Line 834" o:spid="_x0000_s1026" alt="&quot;&quot;"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igtzu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1170A891" w14:textId="77777777" w:rsidR="002A21AE" w:rsidRDefault="002A21AE">
            <w:pPr>
              <w:pStyle w:val="NotesText"/>
            </w:pPr>
          </w:p>
          <w:p w14:paraId="29FF8823" w14:textId="77777777" w:rsidR="002A21AE" w:rsidRDefault="002A21AE">
            <w:pPr>
              <w:pStyle w:val="NotesText"/>
            </w:pPr>
            <w:r w:rsidRPr="00E274BF">
              <w:rPr>
                <w:rFonts w:cs="Arial"/>
                <w:vanish/>
                <w:szCs w:val="18"/>
              </w:rPr>
              <w:t xml:space="preserve">BR_46.02 </w:t>
            </w:r>
            <w:r>
              <w:t>The user may edit the default start date (six months before the current date) for the patient medication search.</w:t>
            </w:r>
          </w:p>
        </w:tc>
      </w:tr>
      <w:tr w:rsidR="002A21AE" w14:paraId="6F01B4A7" w14:textId="77777777">
        <w:tc>
          <w:tcPr>
            <w:tcW w:w="3240" w:type="dxa"/>
          </w:tcPr>
          <w:p w14:paraId="35BF6241" w14:textId="77777777" w:rsidR="002A21AE" w:rsidRDefault="002A21AE">
            <w:pPr>
              <w:pStyle w:val="TableTextNumbers"/>
            </w:pPr>
            <w:r>
              <w:t>Accept or edit the default start and end dates.</w:t>
            </w:r>
          </w:p>
        </w:tc>
        <w:tc>
          <w:tcPr>
            <w:tcW w:w="6120" w:type="dxa"/>
          </w:tcPr>
          <w:p w14:paraId="0A293308" w14:textId="77777777" w:rsidR="002A21AE" w:rsidRDefault="002A21AE">
            <w:pPr>
              <w:pStyle w:val="TableTextBullet"/>
            </w:pPr>
            <w:r>
              <w:t xml:space="preserve">Displays each medication name status, order number, and issue/start date returned from the </w:t>
            </w:r>
            <w:r w:rsidR="00CA0045" w:rsidRPr="00CA0045">
              <w:rPr>
                <w:bCs/>
              </w:rPr>
              <w:t>VistA</w:t>
            </w:r>
            <w:r>
              <w:t xml:space="preserve"> query. </w:t>
            </w:r>
          </w:p>
          <w:p w14:paraId="69975E18" w14:textId="77777777" w:rsidR="002A21AE" w:rsidRDefault="002A21AE">
            <w:pPr>
              <w:pStyle w:val="TableTextBullet"/>
            </w:pPr>
            <w:r w:rsidRPr="00E274BF">
              <w:rPr>
                <w:rFonts w:cs="Arial"/>
                <w:vanish/>
                <w:szCs w:val="18"/>
              </w:rPr>
              <w:t>BR_46.04</w:t>
            </w:r>
            <w:r w:rsidRPr="009660C3">
              <w:rPr>
                <w:vanish/>
                <w:szCs w:val="18"/>
              </w:rPr>
              <w:t xml:space="preserve"> </w:t>
            </w:r>
            <w:r>
              <w:t>When a query does not return any medications, notifies the user that he may repeat the query with a different date range.</w:t>
            </w:r>
          </w:p>
        </w:tc>
      </w:tr>
      <w:tr w:rsidR="002A21AE" w14:paraId="070E4A4E" w14:textId="77777777">
        <w:tc>
          <w:tcPr>
            <w:tcW w:w="3240" w:type="dxa"/>
          </w:tcPr>
          <w:p w14:paraId="2F7C6720" w14:textId="77777777" w:rsidR="002A21AE" w:rsidRDefault="002A21AE">
            <w:pPr>
              <w:pStyle w:val="TableTextNumbers"/>
            </w:pPr>
            <w:r>
              <w:t xml:space="preserve">View the display. When desired, go to Step 1 to repeat the query, </w:t>
            </w:r>
          </w:p>
        </w:tc>
        <w:tc>
          <w:tcPr>
            <w:tcW w:w="6120" w:type="dxa"/>
          </w:tcPr>
          <w:p w14:paraId="528D0539" w14:textId="77777777" w:rsidR="002A21AE" w:rsidRDefault="002A21AE">
            <w:pPr>
              <w:pStyle w:val="TableTextBullet"/>
            </w:pPr>
            <w:r>
              <w:t>Allows the user to print the displayed patient medication profile.</w:t>
            </w:r>
          </w:p>
        </w:tc>
      </w:tr>
      <w:tr w:rsidR="002A21AE" w14:paraId="57406F80" w14:textId="77777777">
        <w:tc>
          <w:tcPr>
            <w:tcW w:w="3240" w:type="dxa"/>
          </w:tcPr>
          <w:p w14:paraId="4A4549B5" w14:textId="77777777" w:rsidR="002A21AE" w:rsidRDefault="002A21AE">
            <w:pPr>
              <w:pStyle w:val="TableTextNumbers"/>
            </w:pPr>
            <w:r>
              <w:t xml:space="preserve">Print the profile or click </w:t>
            </w:r>
            <w:r>
              <w:rPr>
                <w:b/>
              </w:rPr>
              <w:t>Cancel</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5F298782" w14:textId="77777777" w:rsidR="002A21AE" w:rsidRDefault="002A21AE">
            <w:pPr>
              <w:pStyle w:val="TableTextBullet"/>
            </w:pPr>
            <w:r>
              <w:t xml:space="preserve">Displays and prints the medication information profile. </w:t>
            </w:r>
          </w:p>
        </w:tc>
      </w:tr>
    </w:tbl>
    <w:p w14:paraId="5E026334" w14:textId="77777777" w:rsidR="002A21AE" w:rsidRDefault="002A21AE">
      <w:pPr>
        <w:pStyle w:val="Heading3"/>
        <w:sectPr w:rsidR="002A21AE" w:rsidSect="009516A4">
          <w:type w:val="continuous"/>
          <w:pgSz w:w="12240" w:h="15840" w:code="1"/>
          <w:pgMar w:top="1440" w:right="1440" w:bottom="1440" w:left="1440" w:header="720" w:footer="720" w:gutter="0"/>
          <w:pgNumType w:start="16"/>
          <w:cols w:space="720"/>
          <w:docGrid w:linePitch="360"/>
        </w:sectPr>
      </w:pPr>
    </w:p>
    <w:p w14:paraId="1CA4BCB3" w14:textId="77777777" w:rsidR="002A21AE" w:rsidRDefault="00057948">
      <w:pPr>
        <w:pStyle w:val="Heading3"/>
      </w:pPr>
      <w:bookmarkStart w:id="158" w:name="_View_Special_Instructions_and_Trans"/>
      <w:bookmarkStart w:id="159" w:name="_Toc92426411"/>
      <w:bookmarkStart w:id="160" w:name="_Toc4588743"/>
      <w:bookmarkEnd w:id="158"/>
      <w:r>
        <w:rPr>
          <w:noProof/>
        </w:rPr>
        <w:lastRenderedPageBreak/>
        <w:drawing>
          <wp:inline distT="0" distB="0" distL="0" distR="0" wp14:anchorId="2F6FBD08" wp14:editId="6CB39FC9">
            <wp:extent cx="156845" cy="156845"/>
            <wp:effectExtent l="0" t="0" r="0" b="0"/>
            <wp:docPr id="98" name="Picture 98" descr="P1283L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P1283L10#yIS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View Special Instructions and Transfusion Requirements</w:t>
      </w:r>
      <w:bookmarkEnd w:id="159"/>
      <w:bookmarkEnd w:id="160"/>
      <w:r w:rsidR="002A21AE">
        <w:rPr>
          <w:rFonts w:ascii="Times New Roman" w:hAnsi="Times New Roman" w:cs="Times New Roman"/>
          <w:b w:val="0"/>
          <w:vanish/>
          <w:sz w:val="22"/>
        </w:rPr>
        <w:fldChar w:fldCharType="begin"/>
      </w:r>
      <w:r w:rsidR="002A21AE">
        <w:rPr>
          <w:rFonts w:ascii="Times New Roman" w:hAnsi="Times New Roman" w:cs="Times New Roman"/>
          <w:b w:val="0"/>
          <w:vanish/>
          <w:sz w:val="22"/>
        </w:rPr>
        <w:instrText xml:space="preserve"> XE </w:instrText>
      </w:r>
      <w:r w:rsidR="00FA7E65">
        <w:rPr>
          <w:rFonts w:ascii="Times New Roman" w:hAnsi="Times New Roman" w:cs="Times New Roman"/>
          <w:b w:val="0"/>
          <w:vanish/>
          <w:sz w:val="22"/>
        </w:rPr>
        <w:instrText>“</w:instrText>
      </w:r>
      <w:r w:rsidR="002A21AE">
        <w:rPr>
          <w:rFonts w:ascii="Times New Roman" w:hAnsi="Times New Roman" w:cs="Times New Roman"/>
          <w:b w:val="0"/>
          <w:vanish/>
          <w:sz w:val="22"/>
        </w:rPr>
        <w:instrText>View Special Instructions and Transfusion Requirements</w:instrText>
      </w:r>
      <w:r w:rsidR="00FA7E65">
        <w:rPr>
          <w:rFonts w:ascii="Times New Roman" w:hAnsi="Times New Roman" w:cs="Times New Roman"/>
          <w:b w:val="0"/>
          <w:vanish/>
          <w:sz w:val="22"/>
        </w:rPr>
        <w:instrText>”</w:instrText>
      </w:r>
      <w:r w:rsidR="002A21AE">
        <w:rPr>
          <w:rFonts w:ascii="Times New Roman" w:hAnsi="Times New Roman" w:cs="Times New Roman"/>
          <w:b w:val="0"/>
          <w:vanish/>
          <w:sz w:val="22"/>
        </w:rPr>
        <w:instrText xml:space="preserve"> </w:instrText>
      </w:r>
      <w:r w:rsidR="002A21AE">
        <w:rPr>
          <w:rFonts w:ascii="Times New Roman" w:hAnsi="Times New Roman" w:cs="Times New Roman"/>
          <w:b w:val="0"/>
          <w:vanish/>
          <w:sz w:val="22"/>
        </w:rPr>
        <w:fldChar w:fldCharType="end"/>
      </w:r>
      <w:r w:rsidR="002A21AE">
        <w:rPr>
          <w:rFonts w:ascii="Times New Roman" w:hAnsi="Times New Roman" w:cs="Times New Roman"/>
          <w:b w:val="0"/>
          <w:vanish/>
          <w:sz w:val="22"/>
        </w:rPr>
        <w:t xml:space="preserve"> UC_36</w:t>
      </w:r>
    </w:p>
    <w:p w14:paraId="76E7EDB3" w14:textId="77777777" w:rsidR="002A21AE" w:rsidRDefault="002A21AE" w:rsidP="00FA7E65">
      <w:pPr>
        <w:pStyle w:val="BodyText"/>
      </w:pPr>
      <w:r>
        <w:t xml:space="preserve">The user views patient-specific Special Instructions (SIs) and Transfusion Requirements (TRs). </w:t>
      </w:r>
    </w:p>
    <w:p w14:paraId="3A96E197" w14:textId="77777777" w:rsidR="002A21AE" w:rsidRDefault="002A21AE">
      <w:pPr>
        <w:pStyle w:val="Heading4"/>
      </w:pPr>
      <w:r>
        <w:t>Assumptions</w:t>
      </w:r>
    </w:p>
    <w:p w14:paraId="4959378B" w14:textId="77777777" w:rsidR="002A21AE" w:rsidRDefault="002A21AE">
      <w:pPr>
        <w:pStyle w:val="ListBullet"/>
      </w:pPr>
      <w:r>
        <w:t xml:space="preserve">SI entries were created through Special Instructions &amp; Transfusion Requirements: Enter a Special Instruction or from </w:t>
      </w:r>
      <w:r w:rsidR="00150930">
        <w:t>database conversion</w:t>
      </w:r>
      <w:r>
        <w:t>.</w:t>
      </w:r>
    </w:p>
    <w:p w14:paraId="7EB4B997" w14:textId="77777777" w:rsidR="002A21AE" w:rsidRDefault="002A21AE">
      <w:pPr>
        <w:pStyle w:val="ListBullet"/>
      </w:pPr>
      <w:r>
        <w:t xml:space="preserve">TR entries were entered through Special Instructions &amp; Transfusion Requirements: Enter a Transfusion Requirement or Patient Testing: </w:t>
      </w:r>
      <w:r w:rsidR="00244FCD">
        <w:t>Enter Antibody Identification Results</w:t>
      </w:r>
      <w:r>
        <w:t>.</w:t>
      </w:r>
    </w:p>
    <w:p w14:paraId="7640DDD9" w14:textId="77777777" w:rsidR="002A21AE" w:rsidRDefault="002A21AE">
      <w:pPr>
        <w:pStyle w:val="Heading4"/>
        <w:rPr>
          <w:i/>
        </w:rPr>
      </w:pPr>
      <w:r>
        <w:t>Outcome</w:t>
      </w:r>
      <w:r>
        <w:rPr>
          <w:i/>
        </w:rPr>
        <w:t xml:space="preserve"> </w:t>
      </w:r>
    </w:p>
    <w:p w14:paraId="318BC1BF" w14:textId="77777777" w:rsidR="002A21AE" w:rsidRDefault="002A21AE">
      <w:pPr>
        <w:pStyle w:val="ListBullet"/>
      </w:pPr>
      <w:r>
        <w:t>VBECS displays a patient’s SIs and TRs.</w:t>
      </w:r>
    </w:p>
    <w:p w14:paraId="59949639" w14:textId="77777777" w:rsidR="004F7630" w:rsidRPr="004F7630" w:rsidRDefault="004F7630" w:rsidP="004F7630">
      <w:pPr>
        <w:pStyle w:val="ListBullet"/>
      </w:pPr>
      <w:r w:rsidRPr="004F7630">
        <w:t xml:space="preserve">This icon </w:t>
      </w:r>
      <w:r w:rsidR="00057948">
        <w:rPr>
          <w:noProof/>
        </w:rPr>
        <w:drawing>
          <wp:inline distT="0" distB="0" distL="0" distR="0" wp14:anchorId="4205C154" wp14:editId="06BA0274">
            <wp:extent cx="156845" cy="156845"/>
            <wp:effectExtent l="0" t="0" r="0" b="0"/>
            <wp:docPr id="99" name="Picture 99" descr="P1290L10#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P1290L10#yIS1">
                      <a:extLst>
                        <a:ext uri="{C183D7F6-B498-43B3-948B-1728B52AA6E4}">
                          <adec:decorative xmlns:adec="http://schemas.microsoft.com/office/drawing/2017/decorative" val="1"/>
                        </a:ext>
                      </a:extLs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4F7630">
        <w:t xml:space="preserve"> will be disabled if the icon is displayed within the patient </w:t>
      </w:r>
      <w:r w:rsidR="00102E3E">
        <w:t>search window</w:t>
      </w:r>
      <w:r w:rsidRPr="004F7630">
        <w:t xml:space="preserve">, because special instructions and transfusion requirements are already displayed automatically. This icon will also be disabled if the icon is displayed within the patient’s Sis and TRs dialog. This icon will always be disabled if the selected patient does not have SI’s or TR’s to display. </w:t>
      </w:r>
      <w:r w:rsidRPr="004F7630">
        <w:rPr>
          <w:vanish/>
        </w:rPr>
        <w:t>Task 606914</w:t>
      </w:r>
    </w:p>
    <w:p w14:paraId="345400BE" w14:textId="77777777" w:rsidR="002A21AE" w:rsidRDefault="002A21AE" w:rsidP="00C602D5">
      <w:pPr>
        <w:pStyle w:val="Heading4"/>
      </w:pPr>
      <w:r>
        <w:t>Limitations and Restrictions</w:t>
      </w:r>
      <w:r>
        <w:rPr>
          <w:b w:val="0"/>
        </w:rPr>
        <w:t xml:space="preserve"> </w:t>
      </w:r>
    </w:p>
    <w:p w14:paraId="15AD526A" w14:textId="77777777" w:rsidR="00C602D5" w:rsidRDefault="00C602D5" w:rsidP="00C602D5">
      <w:pPr>
        <w:pStyle w:val="ListBullet"/>
      </w:pPr>
      <w:r w:rsidRPr="00633316">
        <w:t xml:space="preserve">Changing a patient's antigen negative requirement or antibody identified after a unit is crossmatched does not provide an alert at Issue Unit regarding the type of crossmatch </w:t>
      </w:r>
      <w:r>
        <w:t xml:space="preserve">(electronic or serologic) </w:t>
      </w:r>
      <w:r w:rsidRPr="00633316">
        <w:t xml:space="preserve">performed on </w:t>
      </w:r>
      <w:r>
        <w:t xml:space="preserve">a </w:t>
      </w:r>
      <w:r w:rsidRPr="00633316">
        <w:t>unit</w:t>
      </w:r>
      <w:r>
        <w:t xml:space="preserve"> available for issue</w:t>
      </w:r>
      <w:r w:rsidRPr="00633316">
        <w:t>.</w:t>
      </w:r>
    </w:p>
    <w:p w14:paraId="353F7ABC" w14:textId="77777777" w:rsidR="0014357E" w:rsidRDefault="0083732D" w:rsidP="0083732D">
      <w:pPr>
        <w:pStyle w:val="ListBullet"/>
      </w:pPr>
      <w:r w:rsidRPr="00A2186F">
        <w:t xml:space="preserve">This icon </w:t>
      </w:r>
      <w:r w:rsidR="00057948">
        <w:rPr>
          <w:noProof/>
        </w:rPr>
        <w:drawing>
          <wp:inline distT="0" distB="0" distL="0" distR="0" wp14:anchorId="4F3EAAA0" wp14:editId="28FCD90F">
            <wp:extent cx="156845" cy="156845"/>
            <wp:effectExtent l="0" t="0" r="0" b="0"/>
            <wp:docPr id="100" name="Picture 100" descr="P1293L10#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P1293L10#yIS1">
                      <a:extLst>
                        <a:ext uri="{C183D7F6-B498-43B3-948B-1728B52AA6E4}">
                          <adec:decorative xmlns:adec="http://schemas.microsoft.com/office/drawing/2017/decorative" val="1"/>
                        </a:ext>
                      </a:extLs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A2186F">
        <w:t xml:space="preserve"> will be disabled </w:t>
      </w:r>
      <w:r w:rsidR="00B814B4">
        <w:t>when</w:t>
      </w:r>
      <w:r w:rsidRPr="00A2186F">
        <w:t xml:space="preserve"> the icon is displayed</w:t>
      </w:r>
      <w:r w:rsidR="0014357E">
        <w:t>:</w:t>
      </w:r>
    </w:p>
    <w:p w14:paraId="5F544A0C" w14:textId="77777777" w:rsidR="0014357E" w:rsidRDefault="0014357E" w:rsidP="00041E00">
      <w:pPr>
        <w:pStyle w:val="ListBullet"/>
        <w:numPr>
          <w:ilvl w:val="0"/>
          <w:numId w:val="77"/>
        </w:numPr>
      </w:pPr>
      <w:r w:rsidRPr="00A2186F">
        <w:t xml:space="preserve">within the </w:t>
      </w:r>
      <w:r w:rsidR="00102E3E" w:rsidRPr="004F7630">
        <w:t xml:space="preserve">patient </w:t>
      </w:r>
      <w:r w:rsidR="00102E3E">
        <w:t>search window</w:t>
      </w:r>
      <w:r w:rsidRPr="00A2186F">
        <w:t xml:space="preserve"> because special instructions and transfusion requirements are </w:t>
      </w:r>
      <w:r>
        <w:t>already displayed automatically within this option.</w:t>
      </w:r>
    </w:p>
    <w:p w14:paraId="3FA9A0B3" w14:textId="77777777" w:rsidR="0083732D" w:rsidRDefault="00D852DB" w:rsidP="00041E00">
      <w:pPr>
        <w:pStyle w:val="ListBullet"/>
        <w:numPr>
          <w:ilvl w:val="0"/>
          <w:numId w:val="77"/>
        </w:numPr>
      </w:pPr>
      <w:r>
        <w:t xml:space="preserve">within this option, </w:t>
      </w:r>
      <w:r w:rsidR="0083732D" w:rsidRPr="00A2186F">
        <w:t>the selected patient does no</w:t>
      </w:r>
      <w:r w:rsidR="0083732D">
        <w:t>t have SIs or TR</w:t>
      </w:r>
      <w:r w:rsidR="0083732D" w:rsidRPr="00A2186F">
        <w:t>s to display.</w:t>
      </w:r>
      <w:r w:rsidR="0083732D" w:rsidRPr="00812458">
        <w:rPr>
          <w:vanish/>
        </w:rPr>
        <w:t xml:space="preserve"> Task 606914</w:t>
      </w:r>
    </w:p>
    <w:p w14:paraId="6986D3E8" w14:textId="77777777" w:rsidR="002A21AE" w:rsidRDefault="002A21AE">
      <w:pPr>
        <w:pStyle w:val="Heading4"/>
      </w:pPr>
      <w:r>
        <w:t>Additional Information</w:t>
      </w:r>
      <w:r>
        <w:rPr>
          <w:i/>
        </w:rPr>
        <w:t xml:space="preserve"> </w:t>
      </w:r>
    </w:p>
    <w:p w14:paraId="747C6629" w14:textId="77777777" w:rsidR="002A21AE" w:rsidRDefault="002A21AE">
      <w:pPr>
        <w:pStyle w:val="ListBullet"/>
      </w:pPr>
      <w:r>
        <w:t>VBECS displays a patient’s known antibodies in all divisions in a multidivisional database. VBECS does not restrict viewing SI and TR entries by division; they are linked to the patient’s record and not to an order, a specimen, or a unit.</w:t>
      </w:r>
    </w:p>
    <w:p w14:paraId="63682EE6" w14:textId="77777777" w:rsidR="002A21AE" w:rsidRDefault="002A21AE" w:rsidP="00C602D5">
      <w:pPr>
        <w:pStyle w:val="ListBullet"/>
      </w:pPr>
      <w:r>
        <w:t>VBECS does not enforce SIs; VBECS enforces TRs and persistent antigen negative requirements throughout the database.</w:t>
      </w:r>
    </w:p>
    <w:p w14:paraId="2EDC1F13" w14:textId="77777777" w:rsidR="002A21AE" w:rsidRDefault="002A21AE">
      <w:pPr>
        <w:pStyle w:val="Heading4"/>
      </w:pPr>
      <w:r>
        <w:t>User Roles with Access to This Option</w:t>
      </w:r>
    </w:p>
    <w:p w14:paraId="4DA0D67F" w14:textId="77777777" w:rsidR="002A21AE" w:rsidRPr="00237C52" w:rsidRDefault="00237C52" w:rsidP="00237C52">
      <w:pPr>
        <w:pStyle w:val="Roles"/>
      </w:pPr>
      <w:r>
        <w:t xml:space="preserve">All users </w:t>
      </w:r>
    </w:p>
    <w:p w14:paraId="2E51A1A0" w14:textId="77777777" w:rsidR="002A21AE" w:rsidRDefault="002A21AE">
      <w:pPr>
        <w:pStyle w:val="Heading4"/>
      </w:pPr>
      <w:bookmarkStart w:id="161" w:name="_Toc90551769"/>
      <w:r>
        <w:t>View Special Instructions and Transfusion Requirements</w:t>
      </w:r>
      <w:bookmarkEnd w:id="161"/>
    </w:p>
    <w:p w14:paraId="0CB248A7" w14:textId="77777777" w:rsidR="002A21AE" w:rsidRDefault="002A21AE" w:rsidP="00FA7E65">
      <w:pPr>
        <w:pStyle w:val="BodyText"/>
      </w:pPr>
      <w:r>
        <w:t xml:space="preserve">The user views a patient record. When SIs and TRs are available for the patient, VBECS activates the Patient Information Toolbar icons. VBECS alerts the user when a patient’s record includes SIs and TRs. </w:t>
      </w:r>
    </w:p>
    <w:p w14:paraId="2E99D3C2" w14:textId="77777777" w:rsidR="002A21AE" w:rsidRDefault="00057948">
      <w:pPr>
        <w:pStyle w:val="Caution"/>
      </w:pPr>
      <w:r>
        <w:rPr>
          <w:noProof/>
        </w:rPr>
        <w:drawing>
          <wp:inline distT="0" distB="0" distL="0" distR="0" wp14:anchorId="42FB5AFC" wp14:editId="071FE1C7">
            <wp:extent cx="267970" cy="221615"/>
            <wp:effectExtent l="0" t="0" r="0" b="6985"/>
            <wp:docPr id="101" name="Picture 101" descr="P1303L10#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P1303L10#yIS1">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443024">
        <w:t xml:space="preserve"> </w:t>
      </w:r>
      <w:r w:rsidR="002A21AE">
        <w:t xml:space="preserve">It is highly recommended that the user click every active icon when reviewing patient data.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1F1E6765" w14:textId="77777777">
        <w:trPr>
          <w:tblHeader/>
        </w:trPr>
        <w:tc>
          <w:tcPr>
            <w:tcW w:w="3240" w:type="dxa"/>
            <w:shd w:val="pct30" w:color="auto" w:fill="FFFFFF"/>
            <w:vAlign w:val="bottom"/>
          </w:tcPr>
          <w:p w14:paraId="5E5D8FF1" w14:textId="77777777" w:rsidR="002A21AE" w:rsidRDefault="002A21AE">
            <w:pPr>
              <w:pStyle w:val="TableText"/>
              <w:rPr>
                <w:b/>
              </w:rPr>
            </w:pPr>
            <w:bookmarkStart w:id="162" w:name="_Toc90551770"/>
            <w:r>
              <w:rPr>
                <w:b/>
              </w:rPr>
              <w:lastRenderedPageBreak/>
              <w:t>User Action</w:t>
            </w:r>
          </w:p>
        </w:tc>
        <w:tc>
          <w:tcPr>
            <w:tcW w:w="6120" w:type="dxa"/>
            <w:shd w:val="pct30" w:color="auto" w:fill="FFFFFF"/>
            <w:vAlign w:val="bottom"/>
          </w:tcPr>
          <w:p w14:paraId="466801EB" w14:textId="77777777" w:rsidR="002A21AE" w:rsidRDefault="002A21AE">
            <w:pPr>
              <w:pStyle w:val="TableText"/>
              <w:rPr>
                <w:b/>
              </w:rPr>
            </w:pPr>
            <w:r>
              <w:rPr>
                <w:b/>
              </w:rPr>
              <w:t>VBECS</w:t>
            </w:r>
          </w:p>
        </w:tc>
      </w:tr>
      <w:tr w:rsidR="002A21AE" w14:paraId="13ACD7DC" w14:textId="77777777">
        <w:tc>
          <w:tcPr>
            <w:tcW w:w="3240" w:type="dxa"/>
          </w:tcPr>
          <w:p w14:paraId="6C714B0E" w14:textId="77777777" w:rsidR="002A21AE" w:rsidRDefault="002A21AE">
            <w:pPr>
              <w:pStyle w:val="TableTextNumbers"/>
            </w:pPr>
            <w:r>
              <w:t xml:space="preserve">Select </w:t>
            </w:r>
            <w:r>
              <w:rPr>
                <w:b/>
              </w:rPr>
              <w:t>Patients</w:t>
            </w:r>
            <w:r>
              <w:t xml:space="preserve"> from the main menu.</w:t>
            </w:r>
          </w:p>
          <w:p w14:paraId="51594F39" w14:textId="77777777" w:rsidR="002A21AE" w:rsidRDefault="002A21AE">
            <w:pPr>
              <w:pStyle w:val="TableTextNumbersContinued"/>
              <w:rPr>
                <w:b/>
                <w:bCs/>
              </w:rPr>
            </w:pPr>
          </w:p>
          <w:p w14:paraId="6A41105A" w14:textId="77777777" w:rsidR="002A21AE" w:rsidRDefault="002A21AE">
            <w:pPr>
              <w:pStyle w:val="TableTextNumbersContinued"/>
            </w:pPr>
            <w:r>
              <w:t xml:space="preserve">Select </w:t>
            </w:r>
            <w:r>
              <w:rPr>
                <w:b/>
              </w:rPr>
              <w:t>Special Instructions &amp; Transfusion Requirements</w:t>
            </w:r>
            <w:r>
              <w:t>, or</w:t>
            </w:r>
          </w:p>
          <w:p w14:paraId="5D1D33F2" w14:textId="77777777" w:rsidR="002A21AE" w:rsidRDefault="002A21AE">
            <w:pPr>
              <w:pStyle w:val="TableTextNumbersContinued"/>
            </w:pPr>
          </w:p>
          <w:p w14:paraId="445EB04B" w14:textId="77777777" w:rsidR="002A21AE" w:rsidRDefault="002A21AE">
            <w:pPr>
              <w:pStyle w:val="TableTextNumbersContinued"/>
            </w:pPr>
            <w:r>
              <w:t xml:space="preserve">Click </w:t>
            </w:r>
            <w:r w:rsidR="00057948">
              <w:rPr>
                <w:noProof/>
              </w:rPr>
              <w:drawing>
                <wp:inline distT="0" distB="0" distL="0" distR="0" wp14:anchorId="4FD48C69" wp14:editId="281B7894">
                  <wp:extent cx="156845" cy="156845"/>
                  <wp:effectExtent l="0" t="0" r="0" b="0"/>
                  <wp:docPr id="102" name="Picture 102" descr="P1311L10C3T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P1311L10C3T8#yIS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in the Patient Information Toolbar, when it is active.</w:t>
            </w:r>
          </w:p>
        </w:tc>
        <w:tc>
          <w:tcPr>
            <w:tcW w:w="6120" w:type="dxa"/>
          </w:tcPr>
          <w:p w14:paraId="7F9DFDDE" w14:textId="77777777" w:rsidR="002A21AE" w:rsidRDefault="002A21AE">
            <w:pPr>
              <w:pStyle w:val="TableTextBullet"/>
            </w:pPr>
            <w:r>
              <w:t>Displays options for processing patient-related functions.</w:t>
            </w:r>
          </w:p>
          <w:p w14:paraId="6B211892" w14:textId="77777777" w:rsidR="002A21AE" w:rsidRDefault="002A21AE">
            <w:pPr>
              <w:pStyle w:val="TableTextBullet"/>
            </w:pPr>
            <w:r>
              <w:t xml:space="preserve">Displays the option to select a patient, when one is not already selected. </w:t>
            </w:r>
          </w:p>
          <w:p w14:paraId="6FB87AAB" w14:textId="77777777" w:rsidR="002A21AE" w:rsidRDefault="002A21AE">
            <w:pPr>
              <w:pStyle w:val="TableText"/>
              <w:rPr>
                <w:b/>
                <w:bCs/>
                <w:szCs w:val="18"/>
              </w:rPr>
            </w:pPr>
          </w:p>
          <w:p w14:paraId="1346E60A" w14:textId="77777777" w:rsidR="002A21AE" w:rsidRDefault="00057948">
            <w:pPr>
              <w:pStyle w:val="TableText"/>
              <w:rPr>
                <w:b/>
                <w:bCs/>
                <w:szCs w:val="18"/>
              </w:rPr>
            </w:pPr>
            <w:r>
              <w:rPr>
                <w:b/>
                <w:bCs/>
                <w:noProof/>
              </w:rPr>
              <mc:AlternateContent>
                <mc:Choice Requires="wps">
                  <w:drawing>
                    <wp:anchor distT="0" distB="0" distL="114300" distR="114300" simplePos="0" relativeHeight="251631616" behindDoc="0" locked="0" layoutInCell="1" allowOverlap="1" wp14:anchorId="40ED96D7" wp14:editId="6D255426">
                      <wp:simplePos x="0" y="0"/>
                      <wp:positionH relativeFrom="column">
                        <wp:posOffset>457200</wp:posOffset>
                      </wp:positionH>
                      <wp:positionV relativeFrom="paragraph">
                        <wp:posOffset>65405</wp:posOffset>
                      </wp:positionV>
                      <wp:extent cx="3200400" cy="0"/>
                      <wp:effectExtent l="9525" t="17780" r="9525" b="10795"/>
                      <wp:wrapNone/>
                      <wp:docPr id="582" name="Line 836" descr="P1315L10C4T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E4D4D" id="Line 836" o:spid="_x0000_s1026" alt="&quot;&quot;"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aCFPb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21F3C11C" w14:textId="77777777" w:rsidR="002A21AE" w:rsidRDefault="002A21AE">
            <w:pPr>
              <w:pStyle w:val="NotesText"/>
            </w:pPr>
          </w:p>
          <w:p w14:paraId="1F4420D9" w14:textId="77777777" w:rsidR="002A21AE" w:rsidRDefault="00D62E87">
            <w:pPr>
              <w:pStyle w:val="NotesText"/>
            </w:pPr>
            <w:r w:rsidRPr="00896F17">
              <w:rPr>
                <w:rStyle w:val="BullhornChar"/>
              </w:rPr>
              <w:t></w:t>
            </w:r>
            <w:r w:rsidRPr="00D62E87">
              <w:rPr>
                <w:rFonts w:ascii="Webdings" w:hAnsi="Webdings"/>
                <w:szCs w:val="22"/>
              </w:rPr>
              <w:t></w:t>
            </w:r>
            <w:r w:rsidR="002A21AE">
              <w:t>When a patient’s VBECS record includes an active TR, SI, or antigen negative requirement, VBECS emits an audible alert and notifies the user by enabling the icon.</w:t>
            </w:r>
          </w:p>
        </w:tc>
      </w:tr>
      <w:tr w:rsidR="002A21AE" w14:paraId="314BFCC5" w14:textId="77777777">
        <w:tc>
          <w:tcPr>
            <w:tcW w:w="3240" w:type="dxa"/>
          </w:tcPr>
          <w:p w14:paraId="68E1E125" w14:textId="77777777" w:rsidR="002A21AE" w:rsidRDefault="002A21AE">
            <w:pPr>
              <w:pStyle w:val="TableTextNumbers"/>
            </w:pPr>
            <w:r>
              <w:t xml:space="preserve">Select a patient and click </w:t>
            </w:r>
            <w:r>
              <w:rPr>
                <w:b/>
              </w:rPr>
              <w:t>OK</w:t>
            </w:r>
            <w:r>
              <w:t>.</w:t>
            </w:r>
          </w:p>
          <w:p w14:paraId="3C873A8F" w14:textId="77777777" w:rsidR="002A21AE" w:rsidRDefault="002A21AE">
            <w:pPr>
              <w:pStyle w:val="TableTextNumbersContinued"/>
              <w:rPr>
                <w:b/>
                <w:bCs/>
              </w:rPr>
            </w:pPr>
          </w:p>
          <w:p w14:paraId="2ADE4BEE" w14:textId="77777777" w:rsidR="002A21AE" w:rsidRDefault="002A21AE">
            <w:pPr>
              <w:pStyle w:val="TableTextNumbersContinued"/>
            </w:pPr>
            <w:r>
              <w:t xml:space="preserve">View the data. </w:t>
            </w:r>
          </w:p>
          <w:p w14:paraId="2D13A3FB" w14:textId="77777777" w:rsidR="002A21AE" w:rsidRDefault="002A21AE">
            <w:pPr>
              <w:pStyle w:val="TableTextNumbersContinued"/>
            </w:pPr>
          </w:p>
          <w:p w14:paraId="6586A8B3" w14:textId="77777777" w:rsidR="002A21AE" w:rsidRDefault="002A21AE">
            <w:pPr>
              <w:pStyle w:val="TableTextNumbersContinued"/>
            </w:pPr>
            <w:r>
              <w:t xml:space="preserve">Click </w:t>
            </w:r>
            <w:r>
              <w:rPr>
                <w:b/>
              </w:rPr>
              <w:t>OK</w:t>
            </w:r>
            <w:r>
              <w:t xml:space="preserve"> to continue.</w:t>
            </w:r>
          </w:p>
        </w:tc>
        <w:tc>
          <w:tcPr>
            <w:tcW w:w="6120" w:type="dxa"/>
          </w:tcPr>
          <w:p w14:paraId="7A02D708" w14:textId="77777777" w:rsidR="002A21AE" w:rsidRDefault="002A21AE">
            <w:pPr>
              <w:pStyle w:val="TableTextBullet"/>
            </w:pPr>
            <w:r>
              <w:t xml:space="preserve">Displays the data. </w:t>
            </w:r>
          </w:p>
          <w:p w14:paraId="5A003F59" w14:textId="77777777" w:rsidR="002A21AE" w:rsidRDefault="002A21AE">
            <w:pPr>
              <w:pStyle w:val="TableText"/>
            </w:pPr>
          </w:p>
          <w:p w14:paraId="568B1378" w14:textId="77777777" w:rsidR="002A21AE" w:rsidRDefault="00057948">
            <w:pPr>
              <w:pStyle w:val="TableText"/>
              <w:rPr>
                <w:b/>
                <w:bCs/>
                <w:szCs w:val="18"/>
              </w:rPr>
            </w:pPr>
            <w:r>
              <w:rPr>
                <w:b/>
                <w:bCs/>
                <w:noProof/>
              </w:rPr>
              <mc:AlternateContent>
                <mc:Choice Requires="wps">
                  <w:drawing>
                    <wp:anchor distT="0" distB="0" distL="114300" distR="114300" simplePos="0" relativeHeight="251628544" behindDoc="0" locked="0" layoutInCell="1" allowOverlap="1" wp14:anchorId="74B2E75D" wp14:editId="4C1A333C">
                      <wp:simplePos x="0" y="0"/>
                      <wp:positionH relativeFrom="column">
                        <wp:posOffset>457200</wp:posOffset>
                      </wp:positionH>
                      <wp:positionV relativeFrom="paragraph">
                        <wp:posOffset>65405</wp:posOffset>
                      </wp:positionV>
                      <wp:extent cx="3200400" cy="0"/>
                      <wp:effectExtent l="9525" t="17780" r="9525" b="10795"/>
                      <wp:wrapNone/>
                      <wp:docPr id="581" name="Line 835" descr="P1326L10C6T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FB764" id="Line 835" o:spid="_x0000_s1026" alt="&quot;&quot;"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8oKz1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3076D024" w14:textId="77777777" w:rsidR="002A21AE" w:rsidRDefault="002A21AE">
            <w:pPr>
              <w:pStyle w:val="NotesText"/>
            </w:pPr>
          </w:p>
          <w:p w14:paraId="591BBDFB" w14:textId="77777777" w:rsidR="002A21AE" w:rsidRPr="008D574C" w:rsidRDefault="002A21AE">
            <w:pPr>
              <w:pStyle w:val="NotesText"/>
              <w:rPr>
                <w:rFonts w:cs="Arial"/>
                <w:szCs w:val="18"/>
              </w:rPr>
            </w:pPr>
            <w:r w:rsidRPr="008D574C">
              <w:rPr>
                <w:rFonts w:cs="Arial"/>
                <w:vanish/>
                <w:szCs w:val="18"/>
              </w:rPr>
              <w:t xml:space="preserve">BR_36.02 </w:t>
            </w:r>
            <w:r w:rsidR="0058054E">
              <w:rPr>
                <w:rFonts w:cs="Arial"/>
                <w:szCs w:val="18"/>
              </w:rPr>
              <w:t xml:space="preserve">VBECS displays active TRs to all divisions within a multidivisional database. </w:t>
            </w:r>
          </w:p>
          <w:p w14:paraId="18543C46" w14:textId="77777777" w:rsidR="002A21AE" w:rsidRPr="008D574C" w:rsidRDefault="002A21AE">
            <w:pPr>
              <w:pStyle w:val="NotesText"/>
              <w:rPr>
                <w:rFonts w:cs="Arial"/>
                <w:szCs w:val="18"/>
              </w:rPr>
            </w:pPr>
          </w:p>
          <w:p w14:paraId="72990718" w14:textId="77777777" w:rsidR="00201E35" w:rsidRPr="008D574C" w:rsidRDefault="00201E35">
            <w:pPr>
              <w:pStyle w:val="NotesText"/>
              <w:rPr>
                <w:rFonts w:cs="Arial"/>
                <w:szCs w:val="18"/>
              </w:rPr>
            </w:pPr>
            <w:r w:rsidRPr="008D574C">
              <w:rPr>
                <w:rFonts w:cs="Arial"/>
                <w:vanish/>
                <w:szCs w:val="18"/>
              </w:rPr>
              <w:t>BR_36.07</w:t>
            </w:r>
            <w:r w:rsidRPr="008D574C">
              <w:rPr>
                <w:rFonts w:cs="Arial"/>
                <w:szCs w:val="18"/>
              </w:rPr>
              <w:t xml:space="preserve"> VBECS alerts the user when an active TR, SI, or antigen negative requirement is in a patient’s record.</w:t>
            </w:r>
          </w:p>
          <w:p w14:paraId="73B2105D" w14:textId="77777777" w:rsidR="00201E35" w:rsidRPr="008D574C" w:rsidRDefault="00201E35">
            <w:pPr>
              <w:pStyle w:val="NotesText"/>
              <w:rPr>
                <w:rFonts w:cs="Arial"/>
                <w:szCs w:val="18"/>
              </w:rPr>
            </w:pPr>
          </w:p>
          <w:p w14:paraId="112AA850" w14:textId="77777777" w:rsidR="002A21AE" w:rsidRPr="008D574C" w:rsidRDefault="002A21AE">
            <w:pPr>
              <w:pStyle w:val="NotesText"/>
              <w:rPr>
                <w:rFonts w:cs="Arial"/>
                <w:szCs w:val="18"/>
              </w:rPr>
            </w:pPr>
            <w:r w:rsidRPr="008D574C">
              <w:rPr>
                <w:rFonts w:cs="Arial"/>
                <w:vanish/>
                <w:szCs w:val="18"/>
              </w:rPr>
              <w:t xml:space="preserve">BR_38.08 </w:t>
            </w:r>
            <w:r w:rsidRPr="008D574C">
              <w:rPr>
                <w:rFonts w:cs="Arial"/>
                <w:szCs w:val="18"/>
              </w:rPr>
              <w:t>VBECS displays component requirements to all divisions in a multidivisional database. No division allows issue until requirements are met.</w:t>
            </w:r>
          </w:p>
          <w:p w14:paraId="2C87C787" w14:textId="77777777" w:rsidR="002A21AE" w:rsidRPr="008D574C" w:rsidRDefault="002A21AE">
            <w:pPr>
              <w:pStyle w:val="NotesText"/>
              <w:rPr>
                <w:rFonts w:cs="Arial"/>
                <w:szCs w:val="18"/>
              </w:rPr>
            </w:pPr>
          </w:p>
          <w:p w14:paraId="6FFE3DF0" w14:textId="77777777" w:rsidR="002A21AE" w:rsidRDefault="002A21AE">
            <w:pPr>
              <w:pStyle w:val="NotesText"/>
            </w:pPr>
            <w:r w:rsidRPr="008D574C">
              <w:rPr>
                <w:rFonts w:cs="Arial"/>
                <w:vanish/>
                <w:szCs w:val="18"/>
              </w:rPr>
              <w:t>BR_36.05</w:t>
            </w:r>
            <w:r w:rsidR="00E274BF">
              <w:rPr>
                <w:rFonts w:cs="Arial"/>
                <w:vanish/>
                <w:szCs w:val="18"/>
              </w:rPr>
              <w:t>,</w:t>
            </w:r>
            <w:r w:rsidRPr="008D574C">
              <w:rPr>
                <w:rFonts w:cs="Arial"/>
                <w:vanish/>
                <w:szCs w:val="18"/>
              </w:rPr>
              <w:t xml:space="preserve"> BR_36.06</w:t>
            </w:r>
            <w:r w:rsidRPr="00E274BF">
              <w:rPr>
                <w:rFonts w:cs="Arial"/>
                <w:vanish/>
                <w:szCs w:val="18"/>
              </w:rPr>
              <w:t xml:space="preserve"> </w:t>
            </w:r>
            <w:r w:rsidRPr="008D574C">
              <w:rPr>
                <w:szCs w:val="18"/>
              </w:rPr>
              <w:t>When</w:t>
            </w:r>
            <w:r>
              <w:t xml:space="preserve"> VBECS displays the </w:t>
            </w:r>
            <w:r>
              <w:rPr>
                <w:rFonts w:cs="Arial"/>
                <w:snapToGrid w:val="0"/>
                <w:color w:val="000000"/>
              </w:rPr>
              <w:t>Patient Information Toolbar, it</w:t>
            </w:r>
            <w:r>
              <w:t xml:space="preserve"> calculates the overall compatibility percentage of units to be screened to find compatible units.</w:t>
            </w:r>
          </w:p>
          <w:p w14:paraId="079B0D5D" w14:textId="77777777" w:rsidR="007109BA" w:rsidRDefault="007109BA">
            <w:pPr>
              <w:pStyle w:val="NotesText"/>
            </w:pPr>
          </w:p>
          <w:p w14:paraId="625C4EEC" w14:textId="77777777" w:rsidR="007109BA" w:rsidRDefault="00115A2A">
            <w:pPr>
              <w:pStyle w:val="NotesText"/>
            </w:pPr>
            <w:r w:rsidRPr="00115A2A">
              <w:rPr>
                <w:vanish/>
              </w:rPr>
              <w:t>DR 4503</w:t>
            </w:r>
            <w:r>
              <w:rPr>
                <w:vanish/>
              </w:rPr>
              <w:t xml:space="preserve"> </w:t>
            </w:r>
            <w:r w:rsidR="007109BA">
              <w:t>The compatibility percentage displayed is based on the following calculation:</w:t>
            </w:r>
          </w:p>
          <w:p w14:paraId="0A4C9F09" w14:textId="77777777" w:rsidR="007109BA" w:rsidRDefault="007109BA">
            <w:pPr>
              <w:pStyle w:val="NotesText"/>
            </w:pPr>
          </w:p>
          <w:p w14:paraId="387DD3F1" w14:textId="77777777" w:rsidR="007109BA" w:rsidRDefault="007109BA">
            <w:pPr>
              <w:pStyle w:val="NotesText"/>
            </w:pPr>
            <w:r>
              <w:t>Type Specific ABO % x Antigen compatibility % as defined in Antibodies equals % compatible.</w:t>
            </w:r>
          </w:p>
          <w:p w14:paraId="4E389CD1" w14:textId="77777777" w:rsidR="007109BA" w:rsidRDefault="007109BA">
            <w:pPr>
              <w:pStyle w:val="NotesText"/>
            </w:pPr>
          </w:p>
          <w:p w14:paraId="6CE4D6B7" w14:textId="77777777" w:rsidR="007109BA" w:rsidRDefault="007109BA">
            <w:pPr>
              <w:pStyle w:val="NotesText"/>
            </w:pPr>
            <w:r>
              <w:t>For example, if a patient is A Positive and has both Anti-E (</w:t>
            </w:r>
            <w:r w:rsidR="00C242AA">
              <w:t>compatibility</w:t>
            </w:r>
            <w:r>
              <w:t xml:space="preserve"> percentage = 75%) and Anti-K (compatibility percentage = 91%) antigen negative requirements, the percentage of the population considered compatible for this patient would be .45 x .75 x .91 = .30 (rounded).</w:t>
            </w:r>
          </w:p>
          <w:p w14:paraId="220E0DB0" w14:textId="77777777" w:rsidR="007109BA" w:rsidRDefault="007109BA" w:rsidP="007109BA">
            <w:pPr>
              <w:pStyle w:val="NotesText"/>
            </w:pPr>
            <w:r>
              <w:t>Rh type of the patient is not used in the calculation when the patient does not have an Anti-D as Rh Pos or Rh Neg units may be screened.</w:t>
            </w:r>
          </w:p>
          <w:p w14:paraId="102FDF4C" w14:textId="77777777" w:rsidR="007109BA" w:rsidRDefault="007109BA" w:rsidP="007109BA">
            <w:pPr>
              <w:pStyle w:val="NotesText"/>
            </w:pPr>
          </w:p>
          <w:p w14:paraId="17962F98" w14:textId="77777777" w:rsidR="007109BA" w:rsidRDefault="007109BA" w:rsidP="007556BD">
            <w:pPr>
              <w:pStyle w:val="NotesText"/>
            </w:pPr>
            <w:r>
              <w:t>The blood type percentages in VBECS are as follows and are general percentages for the American population: A is 45%, B</w:t>
            </w:r>
            <w:r w:rsidR="007556BD">
              <w:t xml:space="preserve"> is 15%, AB is 6% and O is 45%.</w:t>
            </w:r>
          </w:p>
          <w:p w14:paraId="77AC8A8B" w14:textId="77777777" w:rsidR="007109BA" w:rsidRDefault="007109BA">
            <w:pPr>
              <w:pStyle w:val="NotesText"/>
            </w:pPr>
          </w:p>
        </w:tc>
      </w:tr>
      <w:tr w:rsidR="002A21AE" w14:paraId="6A134585" w14:textId="77777777">
        <w:tc>
          <w:tcPr>
            <w:tcW w:w="3240" w:type="dxa"/>
          </w:tcPr>
          <w:p w14:paraId="4B2CD839" w14:textId="77777777" w:rsidR="002A21AE" w:rsidRDefault="002A21AE">
            <w:pPr>
              <w:pStyle w:val="TableTextNumbers"/>
            </w:pPr>
            <w:r>
              <w:t>Select another patient and return to Step 2, if desired.</w:t>
            </w:r>
          </w:p>
        </w:tc>
        <w:tc>
          <w:tcPr>
            <w:tcW w:w="6120" w:type="dxa"/>
          </w:tcPr>
          <w:p w14:paraId="126FE790" w14:textId="77777777" w:rsidR="002A21AE" w:rsidRDefault="002A21AE">
            <w:pPr>
              <w:pStyle w:val="TableText"/>
            </w:pPr>
          </w:p>
        </w:tc>
      </w:tr>
      <w:tr w:rsidR="002A21AE" w14:paraId="753F5C3C" w14:textId="77777777">
        <w:tc>
          <w:tcPr>
            <w:tcW w:w="3240" w:type="dxa"/>
          </w:tcPr>
          <w:p w14:paraId="005EE0BA" w14:textId="77777777" w:rsidR="002A21AE" w:rsidRDefault="002A21AE">
            <w:pPr>
              <w:pStyle w:val="TableTextNumbers"/>
            </w:pPr>
            <w:r>
              <w:t xml:space="preserve">Click </w:t>
            </w:r>
            <w:r>
              <w:rPr>
                <w:b/>
              </w:rPr>
              <w:t>OK</w:t>
            </w:r>
            <w:r>
              <w:t xml:space="preserve"> to exit.</w:t>
            </w:r>
            <w:r w:rsidRPr="00B93B42">
              <w:rPr>
                <w:rStyle w:val="StyleTableTextNumbersWhite1Char"/>
              </w:rPr>
              <w:t xml:space="preserve"> </w:t>
            </w:r>
            <w:r w:rsidR="00816D1E" w:rsidRPr="00200B6D">
              <w:rPr>
                <w:rFonts w:cs="Arial"/>
                <w:vanish/>
                <w:szCs w:val="18"/>
              </w:rPr>
              <w:fldChar w:fldCharType="begin"/>
            </w:r>
            <w:r w:rsidR="00816D1E" w:rsidRPr="00200B6D">
              <w:rPr>
                <w:rFonts w:cs="Arial"/>
                <w:vanish/>
                <w:szCs w:val="18"/>
              </w:rPr>
              <w:instrText xml:space="preserve"> LISTNUM \l 1 \s 0 </w:instrText>
            </w:r>
            <w:r w:rsidR="00816D1E" w:rsidRPr="00200B6D">
              <w:rPr>
                <w:rFonts w:cs="Arial"/>
                <w:vanish/>
                <w:szCs w:val="18"/>
              </w:rPr>
              <w:fldChar w:fldCharType="end"/>
            </w:r>
          </w:p>
        </w:tc>
        <w:tc>
          <w:tcPr>
            <w:tcW w:w="6120" w:type="dxa"/>
          </w:tcPr>
          <w:p w14:paraId="52DFF824" w14:textId="77777777" w:rsidR="002A21AE" w:rsidRDefault="002A21AE">
            <w:pPr>
              <w:pStyle w:val="TableText"/>
            </w:pPr>
          </w:p>
        </w:tc>
      </w:tr>
      <w:bookmarkEnd w:id="162"/>
    </w:tbl>
    <w:p w14:paraId="1AC26C40" w14:textId="77777777" w:rsidR="003E1A45" w:rsidRDefault="003E1A45">
      <w:pPr>
        <w:pStyle w:val="Heading3"/>
      </w:pPr>
    </w:p>
    <w:p w14:paraId="2FBF8FDE" w14:textId="77777777" w:rsidR="002A21AE" w:rsidRDefault="003E1A45">
      <w:pPr>
        <w:pStyle w:val="Heading3"/>
      </w:pPr>
      <w:r>
        <w:br w:type="page"/>
      </w:r>
      <w:bookmarkStart w:id="163" w:name="_Toc4588744"/>
      <w:r w:rsidR="002A21AE">
        <w:lastRenderedPageBreak/>
        <w:t>View Recent Orders, Recent Transfusions/Issued Units, and Transfusion Reaction History</w:t>
      </w:r>
      <w:bookmarkEnd w:id="163"/>
    </w:p>
    <w:p w14:paraId="62FF0F76" w14:textId="77777777" w:rsidR="002A21AE" w:rsidRDefault="002A21AE" w:rsidP="00FA7E65">
      <w:pPr>
        <w:pStyle w:val="BodyText"/>
      </w:pPr>
      <w:r>
        <w:t>The user views portions of a patient’s data previously recorded in VBECS in three formats:</w:t>
      </w:r>
      <w:r w:rsidR="00573228">
        <w:t xml:space="preserve"> recent orders, recent transfusions/issued units, and transfusion reaction history.</w:t>
      </w:r>
    </w:p>
    <w:p w14:paraId="6E011D92" w14:textId="77777777" w:rsidR="002A21AE" w:rsidRDefault="002A21AE">
      <w:pPr>
        <w:pStyle w:val="Heading4"/>
      </w:pPr>
      <w:r>
        <w:t>Assumptions</w:t>
      </w:r>
    </w:p>
    <w:p w14:paraId="3BD865F9" w14:textId="77777777" w:rsidR="002A21AE" w:rsidRDefault="002A21AE" w:rsidP="00C00476">
      <w:pPr>
        <w:pStyle w:val="ListBullet"/>
        <w:rPr>
          <w:b/>
        </w:rPr>
      </w:pPr>
      <w:r>
        <w:t>A VBECS record must be established for a patient in this database in at least one division, if multidivisional.</w:t>
      </w:r>
    </w:p>
    <w:p w14:paraId="77CCC5B7" w14:textId="77777777" w:rsidR="002A21AE" w:rsidRDefault="002A21AE">
      <w:pPr>
        <w:pStyle w:val="Heading4"/>
      </w:pPr>
      <w:r>
        <w:t xml:space="preserve">Outcome </w:t>
      </w:r>
    </w:p>
    <w:p w14:paraId="05C9E988" w14:textId="77777777" w:rsidR="002A21AE" w:rsidRDefault="002A21AE" w:rsidP="00C00476">
      <w:pPr>
        <w:pStyle w:val="ListBullet"/>
      </w:pPr>
      <w:r>
        <w:t xml:space="preserve">The user </w:t>
      </w:r>
      <w:r w:rsidRPr="00C00476">
        <w:t>views</w:t>
      </w:r>
      <w:r>
        <w:t>:</w:t>
      </w:r>
    </w:p>
    <w:p w14:paraId="2E10B730" w14:textId="77777777" w:rsidR="002A21AE" w:rsidRDefault="002A21AE" w:rsidP="00716ED8">
      <w:pPr>
        <w:pStyle w:val="ListBullet2"/>
      </w:pPr>
      <w:r>
        <w:t>A patient’s active order data (recent orders).</w:t>
      </w:r>
    </w:p>
    <w:p w14:paraId="5250696E" w14:textId="77777777" w:rsidR="002A21AE" w:rsidRDefault="002A21AE" w:rsidP="00716ED8">
      <w:pPr>
        <w:pStyle w:val="ListBullet2"/>
      </w:pPr>
      <w:r>
        <w:t>A patient’s transfusions and currently issued units (recent transfusion history).</w:t>
      </w:r>
    </w:p>
    <w:p w14:paraId="71E97541" w14:textId="77777777" w:rsidR="002A21AE" w:rsidRDefault="002A21AE" w:rsidP="00716ED8">
      <w:pPr>
        <w:pStyle w:val="ListBullet2"/>
      </w:pPr>
      <w:r>
        <w:t>A snapshot of the patient’s VBECS clinical record (transfusion reaction history).</w:t>
      </w:r>
    </w:p>
    <w:p w14:paraId="244425B7" w14:textId="77777777" w:rsidR="002A21AE" w:rsidRDefault="002A21AE">
      <w:pPr>
        <w:pStyle w:val="Heading4"/>
      </w:pPr>
      <w:r>
        <w:t>Limitations and Restrictions</w:t>
      </w:r>
    </w:p>
    <w:p w14:paraId="6567B4EB" w14:textId="4B8E4879" w:rsidR="002A21AE" w:rsidRDefault="006A4AFF" w:rsidP="00C00476">
      <w:pPr>
        <w:pStyle w:val="ListBullet"/>
      </w:pPr>
      <w:r>
        <w:t>Recent Orders is showing Order Status values like “Not Started” and “Filled”, which are actually Task Statuses.</w:t>
      </w:r>
      <w:r w:rsidR="00B7221D">
        <w:t xml:space="preserve"> </w:t>
      </w:r>
      <w:r w:rsidR="00B7221D" w:rsidRPr="00B7221D">
        <w:rPr>
          <w:vanish/>
        </w:rPr>
        <w:t>Defect 214974</w:t>
      </w:r>
    </w:p>
    <w:p w14:paraId="56949A99" w14:textId="77777777" w:rsidR="002A21AE" w:rsidRDefault="002A21AE">
      <w:pPr>
        <w:pStyle w:val="Heading4"/>
      </w:pPr>
      <w:r>
        <w:t>Additional Information</w:t>
      </w:r>
    </w:p>
    <w:p w14:paraId="1DFBC9C2" w14:textId="77777777" w:rsidR="002A21AE" w:rsidRDefault="002A21AE" w:rsidP="00C00476">
      <w:pPr>
        <w:pStyle w:val="ListBullet"/>
        <w:rPr>
          <w:b/>
        </w:rPr>
      </w:pPr>
      <w:r w:rsidRPr="00C00476">
        <w:t>None</w:t>
      </w:r>
    </w:p>
    <w:p w14:paraId="5F77D9B6" w14:textId="77777777" w:rsidR="002A21AE" w:rsidRDefault="002A21AE">
      <w:pPr>
        <w:pStyle w:val="Heading4"/>
        <w:rPr>
          <w:b w:val="0"/>
        </w:rPr>
      </w:pPr>
      <w:r>
        <w:t>User Roles with Access to This Option</w:t>
      </w:r>
      <w:r>
        <w:rPr>
          <w:b w:val="0"/>
        </w:rPr>
        <w:t xml:space="preserve"> </w:t>
      </w:r>
    </w:p>
    <w:p w14:paraId="13E80AD7" w14:textId="77777777" w:rsidR="002A21AE" w:rsidRDefault="00237C52">
      <w:pPr>
        <w:pStyle w:val="Roles"/>
      </w:pPr>
      <w:r>
        <w:t>All users</w:t>
      </w:r>
    </w:p>
    <w:p w14:paraId="47F486EA" w14:textId="77777777" w:rsidR="002A21AE" w:rsidRDefault="00057948">
      <w:pPr>
        <w:pStyle w:val="Heading3"/>
      </w:pPr>
      <w:bookmarkStart w:id="164" w:name="_Patient_Information_Toolbar:_Recent"/>
      <w:bookmarkStart w:id="165" w:name="_Toc4588745"/>
      <w:bookmarkEnd w:id="164"/>
      <w:r>
        <w:rPr>
          <w:noProof/>
        </w:rPr>
        <w:drawing>
          <wp:inline distT="0" distB="0" distL="0" distR="0" wp14:anchorId="7EE88B24" wp14:editId="3A2ED752">
            <wp:extent cx="156845" cy="156845"/>
            <wp:effectExtent l="0" t="0" r="0" b="0"/>
            <wp:docPr id="103" name="Picture 103" descr="P1368L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P1368L10#yI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Patient Information Toolbar: Recent Orders</w:t>
      </w:r>
      <w:bookmarkEnd w:id="165"/>
      <w:r w:rsidR="002A21AE">
        <w:rPr>
          <w:rFonts w:ascii="Times New Roman" w:hAnsi="Times New Roman" w:cs="Times New Roman"/>
          <w:b w:val="0"/>
          <w:vanish/>
          <w:sz w:val="22"/>
        </w:rPr>
        <w:fldChar w:fldCharType="begin"/>
      </w:r>
      <w:r w:rsidR="002A21AE">
        <w:rPr>
          <w:rFonts w:ascii="Times New Roman" w:hAnsi="Times New Roman" w:cs="Times New Roman"/>
          <w:b w:val="0"/>
          <w:vanish/>
          <w:sz w:val="22"/>
        </w:rPr>
        <w:instrText xml:space="preserve"> XE </w:instrText>
      </w:r>
      <w:r w:rsidR="00FA7E65">
        <w:rPr>
          <w:rFonts w:ascii="Times New Roman" w:hAnsi="Times New Roman" w:cs="Times New Roman"/>
          <w:b w:val="0"/>
          <w:vanish/>
          <w:sz w:val="22"/>
        </w:rPr>
        <w:instrText>“</w:instrText>
      </w:r>
      <w:r w:rsidR="002A21AE">
        <w:rPr>
          <w:rFonts w:ascii="Times New Roman" w:hAnsi="Times New Roman" w:cs="Times New Roman"/>
          <w:b w:val="0"/>
          <w:vanish/>
          <w:sz w:val="22"/>
        </w:rPr>
        <w:instrText>Patient Information Toolbar\: Recent Orders</w:instrText>
      </w:r>
      <w:r w:rsidR="00FA7E65">
        <w:rPr>
          <w:rFonts w:ascii="Times New Roman" w:hAnsi="Times New Roman" w:cs="Times New Roman"/>
          <w:b w:val="0"/>
          <w:vanish/>
          <w:sz w:val="22"/>
        </w:rPr>
        <w:instrText>”</w:instrText>
      </w:r>
      <w:r w:rsidR="002A21AE">
        <w:rPr>
          <w:rFonts w:ascii="Times New Roman" w:hAnsi="Times New Roman" w:cs="Times New Roman"/>
          <w:b w:val="0"/>
          <w:vanish/>
          <w:sz w:val="22"/>
        </w:rPr>
        <w:instrText xml:space="preserve"> </w:instrText>
      </w:r>
      <w:r w:rsidR="002A21AE">
        <w:rPr>
          <w:rFonts w:ascii="Times New Roman" w:hAnsi="Times New Roman" w:cs="Times New Roman"/>
          <w:b w:val="0"/>
          <w:vanish/>
          <w:sz w:val="22"/>
        </w:rPr>
        <w:fldChar w:fldCharType="end"/>
      </w:r>
      <w:r w:rsidR="002A21AE">
        <w:rPr>
          <w:rFonts w:ascii="Times New Roman" w:hAnsi="Times New Roman" w:cs="Times New Roman"/>
          <w:b w:val="0"/>
          <w:vanish/>
          <w:sz w:val="22"/>
        </w:rPr>
        <w:t xml:space="preserve"> UC_65</w:t>
      </w:r>
    </w:p>
    <w:p w14:paraId="0AE88A50" w14:textId="77777777" w:rsidR="002A21AE" w:rsidRDefault="002A21AE" w:rsidP="00FA7E65">
      <w:pPr>
        <w:pStyle w:val="BodyText"/>
      </w:pPr>
      <w:r>
        <w:t xml:space="preserve">The user views current (pending and active) order data (including reflex tests), which include clinical data from all divisions within a multidivisional database.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B27F880" w14:textId="77777777">
        <w:trPr>
          <w:tblHeader/>
        </w:trPr>
        <w:tc>
          <w:tcPr>
            <w:tcW w:w="3240" w:type="dxa"/>
            <w:shd w:val="clear" w:color="auto" w:fill="B3B3B3"/>
          </w:tcPr>
          <w:p w14:paraId="160EE799" w14:textId="77777777" w:rsidR="002A21AE" w:rsidRDefault="002A21AE">
            <w:pPr>
              <w:pStyle w:val="TableText"/>
              <w:rPr>
                <w:b/>
              </w:rPr>
            </w:pPr>
            <w:r>
              <w:rPr>
                <w:b/>
              </w:rPr>
              <w:t>User Action</w:t>
            </w:r>
          </w:p>
        </w:tc>
        <w:tc>
          <w:tcPr>
            <w:tcW w:w="6120" w:type="dxa"/>
            <w:shd w:val="clear" w:color="auto" w:fill="B3B3B3"/>
          </w:tcPr>
          <w:p w14:paraId="54D78577" w14:textId="77777777" w:rsidR="002A21AE" w:rsidRDefault="002A21AE">
            <w:pPr>
              <w:pStyle w:val="TableText"/>
              <w:rPr>
                <w:b/>
              </w:rPr>
            </w:pPr>
            <w:r>
              <w:rPr>
                <w:b/>
              </w:rPr>
              <w:t>VBECS</w:t>
            </w:r>
          </w:p>
        </w:tc>
      </w:tr>
      <w:tr w:rsidR="002A21AE" w14:paraId="562927DD" w14:textId="77777777">
        <w:tc>
          <w:tcPr>
            <w:tcW w:w="3240" w:type="dxa"/>
          </w:tcPr>
          <w:p w14:paraId="77753145" w14:textId="77777777" w:rsidR="002A21AE" w:rsidRDefault="002A21AE">
            <w:pPr>
              <w:pStyle w:val="TableTextNumbers"/>
            </w:pPr>
            <w:r>
              <w:t xml:space="preserve">In the Patient Information Toolbar, click </w:t>
            </w:r>
            <w:r w:rsidR="00057948">
              <w:rPr>
                <w:noProof/>
              </w:rPr>
              <w:drawing>
                <wp:inline distT="0" distB="0" distL="0" distR="0" wp14:anchorId="3207265A" wp14:editId="57572210">
                  <wp:extent cx="156845" cy="156845"/>
                  <wp:effectExtent l="0" t="0" r="0" b="0"/>
                  <wp:docPr id="104" name="Picture 104" descr="P1373L10C3T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P1373L10C3T9#yI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to view the patient’s recent orders. </w:t>
            </w:r>
          </w:p>
        </w:tc>
        <w:tc>
          <w:tcPr>
            <w:tcW w:w="6120" w:type="dxa"/>
          </w:tcPr>
          <w:p w14:paraId="65F01E1F" w14:textId="77777777" w:rsidR="002A21AE" w:rsidRDefault="002A21AE">
            <w:pPr>
              <w:pStyle w:val="TableTextBullet"/>
            </w:pPr>
            <w:r>
              <w:t>Allows the user to click an icon to view a patient’s recent orders.</w:t>
            </w:r>
          </w:p>
          <w:p w14:paraId="47C0876B" w14:textId="77777777" w:rsidR="002A21AE" w:rsidRDefault="002A21AE">
            <w:pPr>
              <w:pStyle w:val="TableText"/>
            </w:pPr>
          </w:p>
          <w:p w14:paraId="4017ECE3" w14:textId="77777777" w:rsidR="002A21AE" w:rsidRDefault="00057948">
            <w:pPr>
              <w:pStyle w:val="TableText"/>
              <w:rPr>
                <w:b/>
                <w:bCs/>
                <w:szCs w:val="18"/>
              </w:rPr>
            </w:pPr>
            <w:r>
              <w:rPr>
                <w:b/>
                <w:bCs/>
                <w:noProof/>
              </w:rPr>
              <mc:AlternateContent>
                <mc:Choice Requires="wps">
                  <w:drawing>
                    <wp:anchor distT="0" distB="0" distL="114300" distR="114300" simplePos="0" relativeHeight="251633664" behindDoc="0" locked="0" layoutInCell="1" allowOverlap="1" wp14:anchorId="44C291B6" wp14:editId="242C6156">
                      <wp:simplePos x="0" y="0"/>
                      <wp:positionH relativeFrom="column">
                        <wp:posOffset>457200</wp:posOffset>
                      </wp:positionH>
                      <wp:positionV relativeFrom="paragraph">
                        <wp:posOffset>65405</wp:posOffset>
                      </wp:positionV>
                      <wp:extent cx="3200400" cy="0"/>
                      <wp:effectExtent l="9525" t="17780" r="9525" b="10795"/>
                      <wp:wrapNone/>
                      <wp:docPr id="580" name="Line 837" descr="P1376L10C4T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5DB67" id="Line 837" o:spid="_x0000_s1026" alt="&quot;&quot;"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EKiPA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70E79235" w14:textId="77777777" w:rsidR="002A21AE" w:rsidRDefault="002A21AE">
            <w:pPr>
              <w:pStyle w:val="NotesText"/>
            </w:pPr>
          </w:p>
          <w:p w14:paraId="7EE101F9" w14:textId="77777777" w:rsidR="002A21AE" w:rsidRDefault="002A21AE">
            <w:pPr>
              <w:pStyle w:val="NotesText"/>
              <w:rPr>
                <w:snapToGrid w:val="0"/>
              </w:rPr>
            </w:pPr>
            <w:r w:rsidRPr="00E274BF">
              <w:rPr>
                <w:rFonts w:cs="Arial"/>
                <w:vanish/>
                <w:szCs w:val="18"/>
              </w:rPr>
              <w:t>BR_65.08</w:t>
            </w:r>
            <w:r w:rsidRPr="009660C3">
              <w:rPr>
                <w:vanish/>
                <w:szCs w:val="18"/>
              </w:rPr>
              <w:t xml:space="preserve"> </w:t>
            </w:r>
            <w:r>
              <w:t xml:space="preserve">When the user selects </w:t>
            </w:r>
            <w:r w:rsidR="00057948">
              <w:rPr>
                <w:noProof/>
              </w:rPr>
              <w:drawing>
                <wp:inline distT="0" distB="0" distL="0" distR="0" wp14:anchorId="3B80A396" wp14:editId="51107E71">
                  <wp:extent cx="156845" cy="156845"/>
                  <wp:effectExtent l="0" t="0" r="0" b="0"/>
                  <wp:docPr id="105" name="Picture 105" descr="P1378L10C4T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P1378L10C4T9#yI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Pr>
                <w:snapToGrid w:val="0"/>
              </w:rPr>
              <w:t>, VBECS displays all orders associated with the selected patient, including open orders and orders placed and processed within the last 14 days.</w:t>
            </w:r>
          </w:p>
          <w:p w14:paraId="19159E14" w14:textId="77777777" w:rsidR="00173A2B" w:rsidRDefault="00173A2B">
            <w:pPr>
              <w:pStyle w:val="NotesText"/>
              <w:rPr>
                <w:snapToGrid w:val="0"/>
              </w:rPr>
            </w:pPr>
          </w:p>
          <w:p w14:paraId="6D5E190A" w14:textId="77777777" w:rsidR="001970AB" w:rsidRDefault="00D806A1" w:rsidP="00173A2B">
            <w:pPr>
              <w:pStyle w:val="NotesText"/>
            </w:pPr>
            <w:r>
              <w:t>Diagnostic Test</w:t>
            </w:r>
            <w:r w:rsidR="00173A2B">
              <w:t xml:space="preserve"> orders sort and display by the date the order was placed in CPRS. Component orders sort and display by the date the order was accepted in VBECS.</w:t>
            </w:r>
          </w:p>
          <w:p w14:paraId="4DF3822D" w14:textId="77777777" w:rsidR="001970AB" w:rsidRDefault="001970AB" w:rsidP="00173A2B">
            <w:pPr>
              <w:pStyle w:val="NotesText"/>
            </w:pPr>
          </w:p>
          <w:p w14:paraId="11D5E7C5" w14:textId="77777777" w:rsidR="00173A2B" w:rsidRPr="00522BC8" w:rsidRDefault="001970AB" w:rsidP="001970AB">
            <w:pPr>
              <w:pStyle w:val="NotesText"/>
              <w:rPr>
                <w:vanish/>
              </w:rPr>
            </w:pPr>
            <w:r>
              <w:t xml:space="preserve">Orders with a status of Canceled, Completed, Expired or Filled are not displayed in this view. See Order History Report. </w:t>
            </w:r>
            <w:r w:rsidRPr="004F0095">
              <w:rPr>
                <w:vanish/>
              </w:rPr>
              <w:t>DR 2218</w:t>
            </w:r>
            <w:r w:rsidR="00522BC8">
              <w:rPr>
                <w:vanish/>
              </w:rPr>
              <w:t xml:space="preserve"> DR 3727</w:t>
            </w:r>
          </w:p>
        </w:tc>
      </w:tr>
      <w:tr w:rsidR="002A21AE" w14:paraId="0A688229" w14:textId="77777777">
        <w:tc>
          <w:tcPr>
            <w:tcW w:w="3240" w:type="dxa"/>
          </w:tcPr>
          <w:p w14:paraId="03EB2514" w14:textId="77777777" w:rsidR="002A21AE" w:rsidRDefault="002A21AE">
            <w:pPr>
              <w:pStyle w:val="TableTextNumbers"/>
            </w:pPr>
            <w:r>
              <w:t xml:space="preserve">View the data and click </w:t>
            </w:r>
            <w:r>
              <w:rPr>
                <w:b/>
              </w:rPr>
              <w:t>Close</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6EFA10EF" w14:textId="77777777" w:rsidR="002A21AE" w:rsidRDefault="002A21AE">
            <w:pPr>
              <w:pStyle w:val="TableText"/>
            </w:pPr>
          </w:p>
        </w:tc>
      </w:tr>
    </w:tbl>
    <w:p w14:paraId="0EC69B4A" w14:textId="77777777" w:rsidR="002A21AE" w:rsidRDefault="003E1A45">
      <w:pPr>
        <w:pStyle w:val="Heading3"/>
      </w:pPr>
      <w:bookmarkStart w:id="166" w:name="_Patient_Information_Toolbar:_Recent_1"/>
      <w:bookmarkEnd w:id="166"/>
      <w:r>
        <w:br w:type="page"/>
      </w:r>
      <w:bookmarkStart w:id="167" w:name="_Toc4588746"/>
      <w:r w:rsidR="00057948">
        <w:rPr>
          <w:noProof/>
        </w:rPr>
        <w:lastRenderedPageBreak/>
        <w:drawing>
          <wp:inline distT="0" distB="0" distL="0" distR="0" wp14:anchorId="00CFA3CD" wp14:editId="38CB8E6B">
            <wp:extent cx="156845" cy="156845"/>
            <wp:effectExtent l="0" t="0" r="0" b="0"/>
            <wp:docPr id="106" name="Picture 106" descr="P1387L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P1387L10#yIS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Patient Information Toolbar: Recent Transfusions/Issued Units</w:t>
      </w:r>
      <w:bookmarkEnd w:id="167"/>
      <w:r w:rsidR="002A21AE">
        <w:rPr>
          <w:rFonts w:ascii="Times New Roman" w:hAnsi="Times New Roman" w:cs="Times New Roman"/>
          <w:b w:val="0"/>
          <w:vanish/>
          <w:sz w:val="22"/>
        </w:rPr>
        <w:fldChar w:fldCharType="begin"/>
      </w:r>
      <w:r w:rsidR="002A21AE">
        <w:rPr>
          <w:rFonts w:ascii="Times New Roman" w:hAnsi="Times New Roman" w:cs="Times New Roman"/>
          <w:b w:val="0"/>
          <w:vanish/>
          <w:sz w:val="22"/>
        </w:rPr>
        <w:instrText xml:space="preserve"> XE </w:instrText>
      </w:r>
      <w:r w:rsidR="00FA7E65">
        <w:rPr>
          <w:rFonts w:ascii="Times New Roman" w:hAnsi="Times New Roman" w:cs="Times New Roman"/>
          <w:b w:val="0"/>
          <w:vanish/>
          <w:sz w:val="22"/>
        </w:rPr>
        <w:instrText>“</w:instrText>
      </w:r>
      <w:r w:rsidR="002A21AE">
        <w:rPr>
          <w:rFonts w:ascii="Times New Roman" w:hAnsi="Times New Roman" w:cs="Times New Roman"/>
          <w:b w:val="0"/>
          <w:vanish/>
          <w:sz w:val="22"/>
        </w:rPr>
        <w:instrText>Patient Information Toolbar\: Recent Transfusions/Issues Units</w:instrText>
      </w:r>
      <w:r w:rsidR="00FA7E65">
        <w:rPr>
          <w:rFonts w:ascii="Times New Roman" w:hAnsi="Times New Roman" w:cs="Times New Roman"/>
          <w:b w:val="0"/>
          <w:vanish/>
          <w:sz w:val="22"/>
        </w:rPr>
        <w:instrText>”</w:instrText>
      </w:r>
      <w:r w:rsidR="002A21AE">
        <w:rPr>
          <w:rFonts w:ascii="Times New Roman" w:hAnsi="Times New Roman" w:cs="Times New Roman"/>
          <w:b w:val="0"/>
          <w:vanish/>
          <w:sz w:val="22"/>
        </w:rPr>
        <w:instrText xml:space="preserve"> </w:instrText>
      </w:r>
      <w:r w:rsidR="002A21AE">
        <w:rPr>
          <w:rFonts w:ascii="Times New Roman" w:hAnsi="Times New Roman" w:cs="Times New Roman"/>
          <w:b w:val="0"/>
          <w:vanish/>
          <w:sz w:val="22"/>
        </w:rPr>
        <w:fldChar w:fldCharType="end"/>
      </w:r>
      <w:r w:rsidR="002A21AE">
        <w:rPr>
          <w:rFonts w:ascii="Times New Roman" w:hAnsi="Times New Roman" w:cs="Times New Roman"/>
          <w:b w:val="0"/>
          <w:vanish/>
          <w:sz w:val="22"/>
        </w:rPr>
        <w:t xml:space="preserve"> UC_65</w:t>
      </w:r>
    </w:p>
    <w:p w14:paraId="74402F16" w14:textId="77777777" w:rsidR="002A21AE" w:rsidRDefault="002A21AE" w:rsidP="00FA7E65">
      <w:pPr>
        <w:pStyle w:val="BodyText"/>
      </w:pPr>
      <w:r>
        <w:t xml:space="preserve">The user views transfused and currently issued units for a patient.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2847534" w14:textId="77777777">
        <w:trPr>
          <w:tblHeader/>
        </w:trPr>
        <w:tc>
          <w:tcPr>
            <w:tcW w:w="3240" w:type="dxa"/>
            <w:shd w:val="clear" w:color="auto" w:fill="B3B3B3"/>
          </w:tcPr>
          <w:p w14:paraId="5D5B4A96" w14:textId="77777777" w:rsidR="002A21AE" w:rsidRDefault="002A21AE">
            <w:pPr>
              <w:pStyle w:val="TableText"/>
              <w:rPr>
                <w:b/>
              </w:rPr>
            </w:pPr>
            <w:r>
              <w:rPr>
                <w:b/>
              </w:rPr>
              <w:t>User Action</w:t>
            </w:r>
          </w:p>
        </w:tc>
        <w:tc>
          <w:tcPr>
            <w:tcW w:w="6120" w:type="dxa"/>
            <w:shd w:val="clear" w:color="auto" w:fill="B3B3B3"/>
          </w:tcPr>
          <w:p w14:paraId="12495667" w14:textId="77777777" w:rsidR="002A21AE" w:rsidRDefault="002A21AE">
            <w:pPr>
              <w:pStyle w:val="TableText"/>
              <w:rPr>
                <w:b/>
              </w:rPr>
            </w:pPr>
            <w:r>
              <w:rPr>
                <w:b/>
              </w:rPr>
              <w:t>VBECS</w:t>
            </w:r>
          </w:p>
        </w:tc>
      </w:tr>
      <w:tr w:rsidR="002A21AE" w14:paraId="1DCAD95B" w14:textId="77777777">
        <w:tc>
          <w:tcPr>
            <w:tcW w:w="3240" w:type="dxa"/>
          </w:tcPr>
          <w:p w14:paraId="4E90FFD1" w14:textId="77777777" w:rsidR="002A21AE" w:rsidRDefault="002A21AE">
            <w:pPr>
              <w:pStyle w:val="TableTextNumbers"/>
            </w:pPr>
            <w:r>
              <w:t>In the Patient Information Toolbar,</w:t>
            </w:r>
            <w:r w:rsidR="00716ED8">
              <w:t xml:space="preserve"> click</w:t>
            </w:r>
            <w:r>
              <w:t xml:space="preserve"> </w:t>
            </w:r>
            <w:r w:rsidR="00057948">
              <w:rPr>
                <w:noProof/>
              </w:rPr>
              <w:drawing>
                <wp:inline distT="0" distB="0" distL="0" distR="0" wp14:anchorId="74237962" wp14:editId="0FF49A18">
                  <wp:extent cx="156845" cy="156845"/>
                  <wp:effectExtent l="0" t="0" r="0" b="0"/>
                  <wp:docPr id="107" name="Picture 107" descr="P1392L10C3T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P1392L10C3T10#yIS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to view the recent transfusion history. </w:t>
            </w:r>
          </w:p>
        </w:tc>
        <w:tc>
          <w:tcPr>
            <w:tcW w:w="6120" w:type="dxa"/>
          </w:tcPr>
          <w:p w14:paraId="2BB2CA0C" w14:textId="77777777" w:rsidR="002A21AE" w:rsidRDefault="002A21AE">
            <w:pPr>
              <w:pStyle w:val="TableTextBullet"/>
            </w:pPr>
            <w:r>
              <w:t>Allows the user to click an icon to view a patient’s</w:t>
            </w:r>
            <w:r>
              <w:rPr>
                <w:snapToGrid w:val="0"/>
              </w:rPr>
              <w:t xml:space="preserve"> recent transfusion history.</w:t>
            </w:r>
          </w:p>
          <w:p w14:paraId="04FDEF07" w14:textId="77777777" w:rsidR="002A21AE" w:rsidRDefault="002A21AE">
            <w:pPr>
              <w:pStyle w:val="TableText"/>
            </w:pPr>
          </w:p>
          <w:p w14:paraId="1CC789A8" w14:textId="77777777" w:rsidR="002A21AE" w:rsidRDefault="00057948">
            <w:pPr>
              <w:pStyle w:val="TableText"/>
              <w:rPr>
                <w:b/>
                <w:bCs/>
                <w:szCs w:val="18"/>
              </w:rPr>
            </w:pPr>
            <w:r>
              <w:rPr>
                <w:b/>
                <w:bCs/>
                <w:noProof/>
              </w:rPr>
              <mc:AlternateContent>
                <mc:Choice Requires="wps">
                  <w:drawing>
                    <wp:anchor distT="0" distB="0" distL="114300" distR="114300" simplePos="0" relativeHeight="251635712" behindDoc="0" locked="0" layoutInCell="1" allowOverlap="1" wp14:anchorId="35C83701" wp14:editId="559EE03B">
                      <wp:simplePos x="0" y="0"/>
                      <wp:positionH relativeFrom="column">
                        <wp:posOffset>457200</wp:posOffset>
                      </wp:positionH>
                      <wp:positionV relativeFrom="paragraph">
                        <wp:posOffset>65405</wp:posOffset>
                      </wp:positionV>
                      <wp:extent cx="3200400" cy="0"/>
                      <wp:effectExtent l="9525" t="17780" r="9525" b="10795"/>
                      <wp:wrapNone/>
                      <wp:docPr id="579" name="Line 838" descr="P1395L10C4T1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7E267" id="Line 838" o:spid="_x0000_s1026" alt="&quot;&quot;"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0w++Q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2DF8A8A8" w14:textId="77777777" w:rsidR="002A21AE" w:rsidRDefault="002A21AE">
            <w:pPr>
              <w:pStyle w:val="NotesText"/>
            </w:pPr>
          </w:p>
          <w:p w14:paraId="376AF878" w14:textId="77777777" w:rsidR="00A8302F" w:rsidRPr="00522BC8" w:rsidRDefault="002A21AE" w:rsidP="000A3D20">
            <w:pPr>
              <w:pStyle w:val="NotesText"/>
              <w:rPr>
                <w:szCs w:val="18"/>
              </w:rPr>
            </w:pPr>
            <w:r w:rsidRPr="00E274BF">
              <w:rPr>
                <w:rFonts w:cs="Arial"/>
                <w:vanish/>
                <w:szCs w:val="18"/>
              </w:rPr>
              <w:t>BR_65.07</w:t>
            </w:r>
            <w:r w:rsidR="00E274BF" w:rsidRPr="00E274BF">
              <w:rPr>
                <w:rFonts w:cs="Arial"/>
                <w:vanish/>
                <w:szCs w:val="18"/>
              </w:rPr>
              <w:t>,</w:t>
            </w:r>
            <w:r w:rsidRPr="00E274BF">
              <w:rPr>
                <w:rFonts w:cs="Arial"/>
                <w:vanish/>
                <w:szCs w:val="18"/>
              </w:rPr>
              <w:t xml:space="preserve"> BR_65.09</w:t>
            </w:r>
            <w:r w:rsidRPr="009660C3">
              <w:rPr>
                <w:vanish/>
                <w:szCs w:val="18"/>
              </w:rPr>
              <w:t xml:space="preserve"> </w:t>
            </w:r>
            <w:r>
              <w:t xml:space="preserve">When the user selects </w:t>
            </w:r>
            <w:r w:rsidR="00057948">
              <w:rPr>
                <w:noProof/>
              </w:rPr>
              <w:drawing>
                <wp:inline distT="0" distB="0" distL="0" distR="0" wp14:anchorId="6CDE96A0" wp14:editId="32456F1D">
                  <wp:extent cx="156845" cy="156845"/>
                  <wp:effectExtent l="0" t="0" r="0" b="0"/>
                  <wp:docPr id="108" name="Picture 108" descr="P1397L10C4T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P1397L10C4T10#yIS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w:t>
            </w:r>
            <w:r w:rsidRPr="00A8302F">
              <w:rPr>
                <w:rStyle w:val="CommentReference"/>
                <w:sz w:val="18"/>
                <w:szCs w:val="18"/>
              </w:rPr>
              <w:t>VBECS displays blood units issued and transfused within the last seven days in reverse chronological order</w:t>
            </w:r>
            <w:r w:rsidR="000A3D20">
              <w:rPr>
                <w:rStyle w:val="CommentReference"/>
                <w:sz w:val="18"/>
                <w:szCs w:val="18"/>
              </w:rPr>
              <w:t>. The date and time issued or the location issued to does not display.</w:t>
            </w:r>
            <w:r w:rsidR="00522BC8">
              <w:rPr>
                <w:rStyle w:val="CommentReference"/>
                <w:vanish/>
                <w:sz w:val="18"/>
                <w:szCs w:val="18"/>
              </w:rPr>
              <w:t>DR 3666</w:t>
            </w:r>
          </w:p>
        </w:tc>
      </w:tr>
      <w:tr w:rsidR="002A21AE" w14:paraId="673BA06D" w14:textId="77777777">
        <w:tc>
          <w:tcPr>
            <w:tcW w:w="3240" w:type="dxa"/>
          </w:tcPr>
          <w:p w14:paraId="0A012FA9" w14:textId="77777777" w:rsidR="002A21AE" w:rsidRDefault="002A21AE">
            <w:pPr>
              <w:pStyle w:val="TableTextNumbers"/>
            </w:pPr>
            <w:r>
              <w:t xml:space="preserve">View the data and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6A8E1154" w14:textId="77777777" w:rsidR="002A21AE" w:rsidRDefault="002A21AE">
            <w:pPr>
              <w:pStyle w:val="TableText"/>
            </w:pPr>
          </w:p>
        </w:tc>
      </w:tr>
    </w:tbl>
    <w:p w14:paraId="7586586D" w14:textId="77777777" w:rsidR="002A21AE" w:rsidRDefault="00057948">
      <w:pPr>
        <w:pStyle w:val="Heading3"/>
      </w:pPr>
      <w:bookmarkStart w:id="168" w:name="_Patient_Information_Toolbar:_Transf"/>
      <w:bookmarkStart w:id="169" w:name="_Toc4588747"/>
      <w:bookmarkEnd w:id="168"/>
      <w:r>
        <w:rPr>
          <w:noProof/>
        </w:rPr>
        <w:drawing>
          <wp:inline distT="0" distB="0" distL="0" distR="0" wp14:anchorId="2CC47019" wp14:editId="070D2A47">
            <wp:extent cx="156845" cy="156845"/>
            <wp:effectExtent l="0" t="0" r="0" b="0"/>
            <wp:docPr id="109" name="Picture 109" descr="P1402L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P1402L10#yIS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Patient Information Toolbar: Transfusion Reaction History</w:t>
      </w:r>
      <w:bookmarkEnd w:id="169"/>
      <w:r w:rsidR="002A21AE">
        <w:rPr>
          <w:rFonts w:ascii="Times New Roman" w:hAnsi="Times New Roman" w:cs="Times New Roman"/>
          <w:b w:val="0"/>
          <w:vanish/>
          <w:sz w:val="22"/>
        </w:rPr>
        <w:fldChar w:fldCharType="begin"/>
      </w:r>
      <w:r w:rsidR="002A21AE">
        <w:rPr>
          <w:rFonts w:ascii="Times New Roman" w:hAnsi="Times New Roman" w:cs="Times New Roman"/>
          <w:b w:val="0"/>
          <w:vanish/>
          <w:sz w:val="22"/>
        </w:rPr>
        <w:instrText xml:space="preserve"> XE </w:instrText>
      </w:r>
      <w:r w:rsidR="00FA7E65">
        <w:rPr>
          <w:rFonts w:ascii="Times New Roman" w:hAnsi="Times New Roman" w:cs="Times New Roman"/>
          <w:b w:val="0"/>
          <w:vanish/>
          <w:sz w:val="22"/>
        </w:rPr>
        <w:instrText>“</w:instrText>
      </w:r>
      <w:r w:rsidR="002A21AE">
        <w:rPr>
          <w:rFonts w:ascii="Times New Roman" w:hAnsi="Times New Roman" w:cs="Times New Roman"/>
          <w:b w:val="0"/>
          <w:vanish/>
          <w:sz w:val="22"/>
        </w:rPr>
        <w:instrText>Patient Information Toolbar\: Transfusion Reaction History</w:instrText>
      </w:r>
      <w:r w:rsidR="00FA7E65">
        <w:rPr>
          <w:rFonts w:ascii="Times New Roman" w:hAnsi="Times New Roman" w:cs="Times New Roman"/>
          <w:b w:val="0"/>
          <w:vanish/>
          <w:sz w:val="22"/>
        </w:rPr>
        <w:instrText>”</w:instrText>
      </w:r>
      <w:r w:rsidR="002A21AE">
        <w:rPr>
          <w:rFonts w:ascii="Times New Roman" w:hAnsi="Times New Roman" w:cs="Times New Roman"/>
          <w:b w:val="0"/>
          <w:vanish/>
          <w:sz w:val="22"/>
        </w:rPr>
        <w:instrText xml:space="preserve"> </w:instrText>
      </w:r>
      <w:r w:rsidR="002A21AE">
        <w:rPr>
          <w:rFonts w:ascii="Times New Roman" w:hAnsi="Times New Roman" w:cs="Times New Roman"/>
          <w:b w:val="0"/>
          <w:vanish/>
          <w:sz w:val="22"/>
        </w:rPr>
        <w:fldChar w:fldCharType="end"/>
      </w:r>
      <w:r w:rsidR="002A21AE">
        <w:rPr>
          <w:rFonts w:ascii="Times New Roman" w:hAnsi="Times New Roman" w:cs="Times New Roman"/>
          <w:b w:val="0"/>
          <w:vanish/>
          <w:sz w:val="22"/>
        </w:rPr>
        <w:t xml:space="preserve"> UC_65</w:t>
      </w:r>
    </w:p>
    <w:p w14:paraId="3DFB3DD7" w14:textId="77777777" w:rsidR="002A21AE" w:rsidRDefault="002A21AE" w:rsidP="00FA7E65">
      <w:pPr>
        <w:pStyle w:val="BodyText"/>
      </w:pPr>
      <w:r>
        <w:t>The user views a snapshot of the patient’s transfusion reaction record.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AE30132" w14:textId="77777777">
        <w:trPr>
          <w:tblHeader/>
        </w:trPr>
        <w:tc>
          <w:tcPr>
            <w:tcW w:w="3240" w:type="dxa"/>
            <w:shd w:val="clear" w:color="auto" w:fill="B3B3B3"/>
          </w:tcPr>
          <w:p w14:paraId="6A803ED7" w14:textId="77777777" w:rsidR="002A21AE" w:rsidRDefault="002A21AE">
            <w:pPr>
              <w:pStyle w:val="TableText"/>
              <w:rPr>
                <w:b/>
              </w:rPr>
            </w:pPr>
            <w:r>
              <w:rPr>
                <w:b/>
              </w:rPr>
              <w:t>User Action</w:t>
            </w:r>
          </w:p>
        </w:tc>
        <w:tc>
          <w:tcPr>
            <w:tcW w:w="6120" w:type="dxa"/>
            <w:shd w:val="clear" w:color="auto" w:fill="B3B3B3"/>
          </w:tcPr>
          <w:p w14:paraId="54F7A0DC" w14:textId="77777777" w:rsidR="002A21AE" w:rsidRDefault="002A21AE">
            <w:pPr>
              <w:pStyle w:val="TableText"/>
              <w:rPr>
                <w:b/>
              </w:rPr>
            </w:pPr>
            <w:r>
              <w:rPr>
                <w:b/>
              </w:rPr>
              <w:t>VBECS</w:t>
            </w:r>
          </w:p>
        </w:tc>
      </w:tr>
      <w:tr w:rsidR="002A21AE" w14:paraId="3A465590" w14:textId="77777777">
        <w:tc>
          <w:tcPr>
            <w:tcW w:w="3240" w:type="dxa"/>
          </w:tcPr>
          <w:p w14:paraId="31B1BCDF" w14:textId="77777777" w:rsidR="002A21AE" w:rsidRDefault="002A21AE">
            <w:pPr>
              <w:pStyle w:val="TableTextNumbers"/>
            </w:pPr>
            <w:r>
              <w:t xml:space="preserve">In the Patient Information Toolbar, click </w:t>
            </w:r>
            <w:r w:rsidR="00057948">
              <w:rPr>
                <w:noProof/>
              </w:rPr>
              <w:drawing>
                <wp:inline distT="0" distB="0" distL="0" distR="0" wp14:anchorId="1F1BAC4E" wp14:editId="03ADDCE5">
                  <wp:extent cx="156845" cy="156845"/>
                  <wp:effectExtent l="0" t="0" r="0" b="0"/>
                  <wp:docPr id="110" name="Picture 110" descr="P1407L10C3T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P1407L10C3T11#yIS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to view the transfusion reaction history. </w:t>
            </w:r>
          </w:p>
        </w:tc>
        <w:tc>
          <w:tcPr>
            <w:tcW w:w="6120" w:type="dxa"/>
          </w:tcPr>
          <w:p w14:paraId="0AA78B76" w14:textId="77777777" w:rsidR="002A21AE" w:rsidRDefault="002A21AE">
            <w:pPr>
              <w:pStyle w:val="TableTextBullet"/>
            </w:pPr>
            <w:r>
              <w:t>Allows the user to click an icon to view a patient’s t</w:t>
            </w:r>
            <w:r>
              <w:rPr>
                <w:snapToGrid w:val="0"/>
              </w:rPr>
              <w:t>ransfusion reaction history.</w:t>
            </w:r>
          </w:p>
          <w:p w14:paraId="589DD62D" w14:textId="77777777" w:rsidR="002A21AE" w:rsidRDefault="002A21AE">
            <w:pPr>
              <w:pStyle w:val="TableText"/>
            </w:pPr>
          </w:p>
          <w:p w14:paraId="3A2E71E9" w14:textId="77777777" w:rsidR="002A21AE" w:rsidRDefault="00057948">
            <w:pPr>
              <w:pStyle w:val="TableText"/>
              <w:rPr>
                <w:b/>
                <w:bCs/>
                <w:szCs w:val="18"/>
              </w:rPr>
            </w:pPr>
            <w:r>
              <w:rPr>
                <w:b/>
                <w:bCs/>
                <w:noProof/>
              </w:rPr>
              <mc:AlternateContent>
                <mc:Choice Requires="wps">
                  <w:drawing>
                    <wp:anchor distT="0" distB="0" distL="114300" distR="114300" simplePos="0" relativeHeight="251637760" behindDoc="0" locked="0" layoutInCell="1" allowOverlap="1" wp14:anchorId="3FFFE547" wp14:editId="4B0D15EB">
                      <wp:simplePos x="0" y="0"/>
                      <wp:positionH relativeFrom="column">
                        <wp:posOffset>457200</wp:posOffset>
                      </wp:positionH>
                      <wp:positionV relativeFrom="paragraph">
                        <wp:posOffset>65405</wp:posOffset>
                      </wp:positionV>
                      <wp:extent cx="3200400" cy="0"/>
                      <wp:effectExtent l="9525" t="17780" r="9525" b="10795"/>
                      <wp:wrapNone/>
                      <wp:docPr id="578" name="Line 839" descr="P1410L10C4T1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1AD57" id="Line 839" o:spid="_x0000_s1026" alt="&quot;&quot;"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mmzFn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22D4D143" w14:textId="77777777" w:rsidR="002A21AE" w:rsidRDefault="002A21AE">
            <w:pPr>
              <w:pStyle w:val="NotesText"/>
            </w:pPr>
          </w:p>
          <w:p w14:paraId="596CB41B" w14:textId="43F8DDA1" w:rsidR="002A21AE" w:rsidRDefault="002A21AE">
            <w:pPr>
              <w:pStyle w:val="NotesText"/>
            </w:pPr>
            <w:r w:rsidRPr="00E274BF">
              <w:rPr>
                <w:rFonts w:cs="Arial"/>
                <w:vanish/>
                <w:szCs w:val="18"/>
              </w:rPr>
              <w:t>BR_65.03</w:t>
            </w:r>
            <w:r w:rsidR="00E274BF" w:rsidRPr="00E274BF">
              <w:rPr>
                <w:rFonts w:cs="Arial"/>
                <w:vanish/>
                <w:szCs w:val="18"/>
              </w:rPr>
              <w:t>,</w:t>
            </w:r>
            <w:r w:rsidRPr="00E274BF">
              <w:rPr>
                <w:rFonts w:cs="Arial"/>
                <w:vanish/>
                <w:szCs w:val="18"/>
              </w:rPr>
              <w:t xml:space="preserve"> BR_65.05</w:t>
            </w:r>
            <w:r w:rsidRPr="009660C3">
              <w:rPr>
                <w:vanish/>
                <w:szCs w:val="18"/>
              </w:rPr>
              <w:t xml:space="preserve"> </w:t>
            </w:r>
            <w:r>
              <w:t xml:space="preserve">When the user selects </w:t>
            </w:r>
            <w:r w:rsidR="00057948">
              <w:rPr>
                <w:noProof/>
              </w:rPr>
              <w:drawing>
                <wp:inline distT="0" distB="0" distL="0" distR="0" wp14:anchorId="773CE2C0" wp14:editId="75D3E81E">
                  <wp:extent cx="156845" cy="156845"/>
                  <wp:effectExtent l="0" t="0" r="0" b="0"/>
                  <wp:docPr id="111" name="Picture 111" descr="P1412L10C4T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P1412L10C4T11#yIS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VBECS displays all</w:t>
            </w:r>
            <w:r w:rsidR="00DE6AA7">
              <w:t xml:space="preserve"> finalized</w:t>
            </w:r>
            <w:r>
              <w:t xml:space="preserve"> transfusion reaction entries in the database.</w:t>
            </w:r>
            <w:r w:rsidR="00AB4BD9">
              <w:t xml:space="preserve"> </w:t>
            </w:r>
            <w:r w:rsidR="00AB4BD9" w:rsidRPr="00AB4BD9">
              <w:rPr>
                <w:vanish/>
              </w:rPr>
              <w:t>Defect 208590</w:t>
            </w:r>
          </w:p>
        </w:tc>
      </w:tr>
      <w:tr w:rsidR="002A21AE" w14:paraId="6B4E2C14" w14:textId="77777777">
        <w:tc>
          <w:tcPr>
            <w:tcW w:w="3240" w:type="dxa"/>
          </w:tcPr>
          <w:p w14:paraId="374D426A" w14:textId="77777777" w:rsidR="002A21AE" w:rsidRDefault="002A21AE">
            <w:pPr>
              <w:pStyle w:val="TableTextNumbers"/>
            </w:pPr>
            <w:r>
              <w:t xml:space="preserve">View the data and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29F9B2D4" w14:textId="77777777" w:rsidR="002A21AE" w:rsidRDefault="002A21AE">
            <w:pPr>
              <w:pStyle w:val="TableText"/>
            </w:pPr>
          </w:p>
        </w:tc>
      </w:tr>
    </w:tbl>
    <w:p w14:paraId="30FDFCE5" w14:textId="77777777" w:rsidR="00AF089A" w:rsidRDefault="00AF089A">
      <w:pPr>
        <w:pStyle w:val="Heading4"/>
      </w:pPr>
    </w:p>
    <w:p w14:paraId="1ADB99F6" w14:textId="77777777" w:rsidR="002A21AE" w:rsidRDefault="00AF089A">
      <w:pPr>
        <w:pStyle w:val="Heading4"/>
      </w:pPr>
      <w:r>
        <w:br w:type="page"/>
      </w:r>
      <w:r w:rsidR="002A21AE">
        <w:lastRenderedPageBreak/>
        <w:t>Main Status Bar</w:t>
      </w:r>
      <w:r w:rsidR="002A21AE">
        <w:fldChar w:fldCharType="begin"/>
      </w:r>
      <w:r w:rsidR="002A21AE">
        <w:instrText xml:space="preserve"> XE </w:instrText>
      </w:r>
      <w:r w:rsidR="00FA7E65">
        <w:instrText>“</w:instrText>
      </w:r>
      <w:r w:rsidR="002A21AE">
        <w:instrText>Main Status Bar</w:instrText>
      </w:r>
      <w:r w:rsidR="00FA7E65">
        <w:instrText>”</w:instrText>
      </w:r>
      <w:r w:rsidR="002A21AE">
        <w:instrText xml:space="preserve"> </w:instrText>
      </w:r>
      <w:r w:rsidR="002A21AE">
        <w:fldChar w:fldCharType="end"/>
      </w:r>
    </w:p>
    <w:p w14:paraId="75AE31C1" w14:textId="77777777" w:rsidR="002A21AE" w:rsidRDefault="002A21AE" w:rsidP="00FA7E65">
      <w:pPr>
        <w:pStyle w:val="BodyText"/>
      </w:pPr>
      <w:r>
        <w:t>The following icons are displayed in the main status bar:</w:t>
      </w:r>
    </w:p>
    <w:p w14:paraId="36B7AC94" w14:textId="77777777" w:rsidR="002A21AE" w:rsidRDefault="00057948">
      <w:pPr>
        <w:pStyle w:val="BodyText"/>
        <w:ind w:left="360" w:hanging="360"/>
      </w:pPr>
      <w:r>
        <w:rPr>
          <w:noProof/>
        </w:rPr>
        <w:drawing>
          <wp:inline distT="0" distB="0" distL="0" distR="0" wp14:anchorId="5D7CB737" wp14:editId="148D9D9D">
            <wp:extent cx="156845" cy="156845"/>
            <wp:effectExtent l="0" t="0" r="0" b="0"/>
            <wp:docPr id="112" name="Picture 112" descr="P1420L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P1420L10#yIS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 xml:space="preserve">The Order Alert icon </w:t>
      </w:r>
      <w:r w:rsidR="00267432">
        <w:t>blinks</w:t>
      </w:r>
      <w:r w:rsidR="002A21AE">
        <w:t xml:space="preserve"> </w:t>
      </w:r>
      <w:r w:rsidR="00716FBE">
        <w:t xml:space="preserve">three times and remains </w:t>
      </w:r>
      <w:r w:rsidR="00267432">
        <w:t>visible</w:t>
      </w:r>
      <w:r w:rsidR="00716FBE">
        <w:t xml:space="preserve"> </w:t>
      </w:r>
      <w:r w:rsidR="002A21AE">
        <w:t xml:space="preserve">when orders are added to the system. Hold the mouse pointer over the icon to see order information. Click the associated button to open the Pending Order List. </w:t>
      </w:r>
      <w:r w:rsidR="00267432" w:rsidRPr="00267432">
        <w:rPr>
          <w:vanish/>
        </w:rPr>
        <w:t>DR 4963</w:t>
      </w:r>
    </w:p>
    <w:p w14:paraId="3F648029" w14:textId="77777777" w:rsidR="002A21AE" w:rsidRDefault="00057948">
      <w:pPr>
        <w:pStyle w:val="BodyText"/>
        <w:ind w:left="360" w:hanging="360"/>
      </w:pPr>
      <w:r>
        <w:rPr>
          <w:noProof/>
        </w:rPr>
        <w:drawing>
          <wp:inline distT="0" distB="0" distL="0" distR="0" wp14:anchorId="17E44157" wp14:editId="2AAB6E04">
            <wp:extent cx="156845" cy="138430"/>
            <wp:effectExtent l="0" t="0" r="0" b="0"/>
            <wp:docPr id="113" name="Picture 113" descr="P1421L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P1421L10#yIS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56845" cy="138430"/>
                    </a:xfrm>
                    <a:prstGeom prst="rect">
                      <a:avLst/>
                    </a:prstGeom>
                    <a:noFill/>
                    <a:ln>
                      <a:noFill/>
                    </a:ln>
                  </pic:spPr>
                </pic:pic>
              </a:graphicData>
            </a:graphic>
          </wp:inline>
        </w:drawing>
      </w:r>
      <w:r w:rsidR="002A21AE">
        <w:tab/>
        <w:t xml:space="preserve">The Patient Alert icon flashes </w:t>
      </w:r>
      <w:r w:rsidR="00716FBE">
        <w:t xml:space="preserve">three times and remains displayed </w:t>
      </w:r>
      <w:r w:rsidR="002A21AE">
        <w:t>when patient information is updated. Hold the mouse pointer over the icon to see what type of patient change occu</w:t>
      </w:r>
      <w:r w:rsidR="005C271B">
        <w:t>rred. Click the Patient Alert Icon</w:t>
      </w:r>
      <w:r w:rsidR="002A21AE">
        <w:t xml:space="preserve"> to view</w:t>
      </w:r>
      <w:r w:rsidR="005C271B">
        <w:t xml:space="preserve"> the menu which allows navigation to Updated Patients, Deceased Patients, Patient Merge</w:t>
      </w:r>
      <w:r w:rsidR="002A21AE">
        <w:t>.</w:t>
      </w:r>
      <w:r w:rsidR="005C271B">
        <w:t xml:space="preserve"> These menu options enable when alerts exist in each category.</w:t>
      </w:r>
      <w:r w:rsidR="002A21AE">
        <w:t xml:space="preserve"> </w:t>
      </w:r>
    </w:p>
    <w:p w14:paraId="0D9568EF" w14:textId="77777777" w:rsidR="002A21AE" w:rsidRDefault="00057948">
      <w:pPr>
        <w:pStyle w:val="BodyText"/>
        <w:ind w:left="360" w:hanging="360"/>
      </w:pPr>
      <w:r>
        <w:rPr>
          <w:noProof/>
        </w:rPr>
        <w:drawing>
          <wp:inline distT="0" distB="0" distL="0" distR="0" wp14:anchorId="0DA846E7" wp14:editId="0BB4CF48">
            <wp:extent cx="156845" cy="156845"/>
            <wp:effectExtent l="0" t="0" r="0" b="0"/>
            <wp:docPr id="114" name="Picture 114" descr="P1422L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P1422L10#yIS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 xml:space="preserve">The VistALink icon indicates that the connection to </w:t>
      </w:r>
      <w:r w:rsidR="00CA0045" w:rsidRPr="00CA0045">
        <w:rPr>
          <w:bCs/>
        </w:rPr>
        <w:t>VistA</w:t>
      </w:r>
      <w:r w:rsidR="002A21AE">
        <w:t xml:space="preserve"> is active.</w:t>
      </w:r>
    </w:p>
    <w:p w14:paraId="37E7499A" w14:textId="77777777" w:rsidR="002A21AE" w:rsidRDefault="00057948">
      <w:pPr>
        <w:pStyle w:val="BodyText"/>
        <w:ind w:left="360" w:hanging="360"/>
      </w:pPr>
      <w:r>
        <w:rPr>
          <w:noProof/>
        </w:rPr>
        <w:drawing>
          <wp:inline distT="0" distB="0" distL="0" distR="0" wp14:anchorId="3280BBF3" wp14:editId="0FB71500">
            <wp:extent cx="156845" cy="156845"/>
            <wp:effectExtent l="0" t="0" r="0" b="0"/>
            <wp:docPr id="115" name="Picture 115" descr="P1423L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P1423L10#yIS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 xml:space="preserve">The VistALink Failure icon indicates that the connection to </w:t>
      </w:r>
      <w:r w:rsidR="00CA0045" w:rsidRPr="00CA0045">
        <w:rPr>
          <w:bCs/>
        </w:rPr>
        <w:t>VistA</w:t>
      </w:r>
      <w:r w:rsidR="002A21AE">
        <w:t xml:space="preserve"> is severed.</w:t>
      </w:r>
    </w:p>
    <w:p w14:paraId="3EFF7C4D" w14:textId="77777777" w:rsidR="002A21AE" w:rsidRDefault="002A21AE">
      <w:pPr>
        <w:pStyle w:val="Heading4"/>
      </w:pPr>
      <w:r>
        <w:t>Throughout VBECS</w:t>
      </w:r>
      <w:r>
        <w:fldChar w:fldCharType="begin"/>
      </w:r>
      <w:r>
        <w:instrText xml:space="preserve"> XE </w:instrText>
      </w:r>
      <w:r w:rsidR="00FA7E65">
        <w:instrText>“</w:instrText>
      </w:r>
      <w:r>
        <w:instrText>Throughout VBECS</w:instrText>
      </w:r>
      <w:r w:rsidR="00FA7E65">
        <w:instrText>”</w:instrText>
      </w:r>
      <w:r>
        <w:instrText xml:space="preserve"> </w:instrText>
      </w:r>
      <w:r>
        <w:fldChar w:fldCharType="end"/>
      </w:r>
    </w:p>
    <w:p w14:paraId="6A506A44" w14:textId="77777777" w:rsidR="002A21AE" w:rsidRDefault="00057948">
      <w:pPr>
        <w:pStyle w:val="BodyText"/>
        <w:ind w:left="360" w:hanging="360"/>
      </w:pPr>
      <w:r>
        <w:rPr>
          <w:noProof/>
        </w:rPr>
        <w:drawing>
          <wp:inline distT="0" distB="0" distL="0" distR="0" wp14:anchorId="7DAD4B8E" wp14:editId="7C388D61">
            <wp:extent cx="156845" cy="156845"/>
            <wp:effectExtent l="0" t="0" r="0" b="0"/>
            <wp:docPr id="116" name="Picture 116" descr="P1425L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P1425L10#yIS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The Delete/Invalidate icon appears on buttons that cause entries to be deleted or invalidated in the database.</w:t>
      </w:r>
    </w:p>
    <w:p w14:paraId="2A0999CE" w14:textId="77777777" w:rsidR="005A3214" w:rsidRDefault="005A3214" w:rsidP="000E3E6B">
      <w:pPr>
        <w:pStyle w:val="BodyText"/>
        <w:ind w:left="360" w:hangingChars="153" w:hanging="360"/>
      </w:pPr>
      <w:r w:rsidRPr="005742CF">
        <w:rPr>
          <w:rFonts w:ascii="Wingdings" w:hAnsi="Wingdings"/>
          <w:spacing w:val="-5"/>
          <w:sz w:val="24"/>
          <w:szCs w:val="24"/>
        </w:rPr>
        <w:t></w:t>
      </w:r>
      <w:r>
        <w:rPr>
          <w:rFonts w:ascii="Wingdings" w:hAnsi="Wingdings"/>
        </w:rPr>
        <w:tab/>
      </w:r>
      <w:r>
        <w:t>Click to select all items in a list.</w:t>
      </w:r>
    </w:p>
    <w:p w14:paraId="4D5E4B47" w14:textId="77777777" w:rsidR="005A3214" w:rsidRDefault="005A3214" w:rsidP="000E3E6B">
      <w:pPr>
        <w:pStyle w:val="BodyText"/>
        <w:ind w:left="359" w:hangingChars="149" w:hanging="359"/>
      </w:pPr>
      <w:r w:rsidRPr="005742CF">
        <w:rPr>
          <w:rFonts w:ascii="Wingdings 2" w:hAnsi="Wingdings 2" w:cs="Geneva"/>
          <w:b/>
          <w:sz w:val="24"/>
          <w:szCs w:val="24"/>
        </w:rPr>
        <w:t></w:t>
      </w:r>
      <w:r>
        <w:rPr>
          <w:rFonts w:ascii="Wingdings 2" w:hAnsi="Wingdings 2" w:cs="Geneva"/>
          <w:b/>
        </w:rPr>
        <w:tab/>
      </w:r>
      <w:r>
        <w:t>Click to clear all items in list.</w:t>
      </w:r>
    </w:p>
    <w:p w14:paraId="357ABBA9" w14:textId="77777777" w:rsidR="002A21AE" w:rsidRDefault="00057948" w:rsidP="00FC6604">
      <w:pPr>
        <w:pStyle w:val="BodyText"/>
      </w:pPr>
      <w:r>
        <w:rPr>
          <w:noProof/>
        </w:rPr>
        <w:drawing>
          <wp:inline distT="0" distB="0" distL="0" distR="0" wp14:anchorId="2094B9C0" wp14:editId="500EB415">
            <wp:extent cx="258445" cy="203200"/>
            <wp:effectExtent l="0" t="0" r="8255" b="6350"/>
            <wp:docPr id="117" name="Picture 117" descr="P1428L10#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P1428L10#yIS1">
                      <a:extLst>
                        <a:ext uri="{C183D7F6-B498-43B3-948B-1728B52AA6E4}">
                          <adec:decorative xmlns:adec="http://schemas.microsoft.com/office/drawing/2017/decorative" val="1"/>
                        </a:ext>
                      </a:extLs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58445" cy="203200"/>
                    </a:xfrm>
                    <a:prstGeom prst="rect">
                      <a:avLst/>
                    </a:prstGeom>
                    <a:noFill/>
                    <a:ln>
                      <a:noFill/>
                    </a:ln>
                  </pic:spPr>
                </pic:pic>
              </a:graphicData>
            </a:graphic>
          </wp:inline>
        </w:drawing>
      </w:r>
      <w:r w:rsidR="002A21AE" w:rsidRPr="00FC6604">
        <w:t xml:space="preserve">Click the </w:t>
      </w:r>
      <w:r w:rsidR="00FC6604" w:rsidRPr="00FC6604">
        <w:rPr>
          <w:b/>
        </w:rPr>
        <w:t>find</w:t>
      </w:r>
      <w:r w:rsidR="002A21AE" w:rsidRPr="00FC6604">
        <w:rPr>
          <w:b/>
        </w:rPr>
        <w:t xml:space="preserve"> </w:t>
      </w:r>
      <w:r w:rsidR="002A21AE" w:rsidRPr="00FC6604">
        <w:t>button to display a list of items for selection.</w:t>
      </w:r>
    </w:p>
    <w:p w14:paraId="407E0634" w14:textId="77777777" w:rsidR="002A21AE" w:rsidRDefault="00057948">
      <w:pPr>
        <w:pStyle w:val="BodyText"/>
        <w:ind w:left="360" w:hanging="360"/>
      </w:pPr>
      <w:r>
        <w:rPr>
          <w:noProof/>
        </w:rPr>
        <w:drawing>
          <wp:inline distT="0" distB="0" distL="0" distR="0" wp14:anchorId="0D988927" wp14:editId="2FD2622E">
            <wp:extent cx="156845" cy="156845"/>
            <wp:effectExtent l="0" t="0" r="0" b="0"/>
            <wp:docPr id="118" name="Picture 118" descr="P1429L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P1429L10#yIS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 xml:space="preserve">Click the </w:t>
      </w:r>
      <w:r w:rsidR="002A21AE">
        <w:rPr>
          <w:b/>
        </w:rPr>
        <w:t>Print</w:t>
      </w:r>
      <w:r w:rsidR="002A21AE">
        <w:t xml:space="preserve"> icon’s associated button to print a document.</w:t>
      </w:r>
    </w:p>
    <w:p w14:paraId="3DC0E17E" w14:textId="77777777" w:rsidR="002A21AE" w:rsidRDefault="00057948">
      <w:pPr>
        <w:pStyle w:val="BodyText"/>
        <w:ind w:left="360" w:hanging="360"/>
      </w:pPr>
      <w:r>
        <w:rPr>
          <w:noProof/>
        </w:rPr>
        <w:drawing>
          <wp:inline distT="0" distB="0" distL="0" distR="0" wp14:anchorId="350D3D5A" wp14:editId="57F779D7">
            <wp:extent cx="156845" cy="156845"/>
            <wp:effectExtent l="0" t="0" r="0" b="0"/>
            <wp:docPr id="119" name="Picture 119" descr="P1430L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P1430L10#yIS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 xml:space="preserve">Click the </w:t>
      </w:r>
      <w:r w:rsidR="002A21AE">
        <w:rPr>
          <w:b/>
        </w:rPr>
        <w:t>Save</w:t>
      </w:r>
      <w:r w:rsidR="002A21AE">
        <w:t xml:space="preserve"> icon’s associated button to update the database.</w:t>
      </w:r>
    </w:p>
    <w:p w14:paraId="2B976821" w14:textId="77777777" w:rsidR="002A21AE" w:rsidRDefault="00057948">
      <w:pPr>
        <w:pStyle w:val="BodyText"/>
        <w:ind w:left="360" w:hanging="360"/>
      </w:pPr>
      <w:r>
        <w:rPr>
          <w:noProof/>
        </w:rPr>
        <w:drawing>
          <wp:inline distT="0" distB="0" distL="0" distR="0" wp14:anchorId="4C0A0645" wp14:editId="379F64C0">
            <wp:extent cx="156845" cy="156845"/>
            <wp:effectExtent l="0" t="0" r="0" b="0"/>
            <wp:docPr id="120" name="Picture 120" descr="P1431L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P1431L10#yIS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The Scanner icon indicates which screen prompts permit scanned entries.</w:t>
      </w:r>
    </w:p>
    <w:p w14:paraId="6A828D28" w14:textId="77777777" w:rsidR="002A21AE" w:rsidRDefault="00057948">
      <w:pPr>
        <w:pStyle w:val="BodyText"/>
        <w:ind w:left="360" w:hanging="360"/>
      </w:pPr>
      <w:r>
        <w:rPr>
          <w:noProof/>
        </w:rPr>
        <w:drawing>
          <wp:inline distT="0" distB="0" distL="0" distR="0" wp14:anchorId="78E8F1DD" wp14:editId="1B939C81">
            <wp:extent cx="156845" cy="156845"/>
            <wp:effectExtent l="0" t="0" r="0" b="0"/>
            <wp:docPr id="121" name="Picture 121" descr="P1432L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P1432L10#yIS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 xml:space="preserve">Click the </w:t>
      </w:r>
      <w:r w:rsidR="002A21AE">
        <w:rPr>
          <w:b/>
        </w:rPr>
        <w:t>Search</w:t>
      </w:r>
      <w:r w:rsidR="002A21AE">
        <w:t xml:space="preserve"> icon’s associated button to search for entries meeting search criteria entered.</w:t>
      </w:r>
    </w:p>
    <w:p w14:paraId="2D6E2933" w14:textId="77777777" w:rsidR="002A21AE" w:rsidRDefault="00057948">
      <w:pPr>
        <w:pStyle w:val="BodyText"/>
        <w:ind w:left="360" w:hanging="360"/>
      </w:pPr>
      <w:r>
        <w:rPr>
          <w:noProof/>
        </w:rPr>
        <w:drawing>
          <wp:inline distT="0" distB="0" distL="0" distR="0" wp14:anchorId="08E7C607" wp14:editId="3EA4A0C2">
            <wp:extent cx="156845" cy="156845"/>
            <wp:effectExtent l="0" t="0" r="0" b="0"/>
            <wp:docPr id="122" name="Picture 122" descr="P1433L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P1433L10#yIS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 xml:space="preserve">Click the </w:t>
      </w:r>
      <w:r w:rsidR="002A21AE">
        <w:rPr>
          <w:b/>
        </w:rPr>
        <w:t>Order Details</w:t>
      </w:r>
      <w:r w:rsidR="002A21AE">
        <w:t xml:space="preserve"> icon’s associated button to display the full details of a selected order.</w:t>
      </w:r>
    </w:p>
    <w:p w14:paraId="762F520E" w14:textId="77777777" w:rsidR="002A21AE" w:rsidRDefault="00057948">
      <w:pPr>
        <w:pStyle w:val="BodyText"/>
        <w:ind w:left="360" w:hanging="360"/>
      </w:pPr>
      <w:r>
        <w:rPr>
          <w:noProof/>
        </w:rPr>
        <w:drawing>
          <wp:inline distT="0" distB="0" distL="0" distR="0" wp14:anchorId="4CB7FE61" wp14:editId="49A6A927">
            <wp:extent cx="156845" cy="156845"/>
            <wp:effectExtent l="0" t="0" r="0" b="0"/>
            <wp:docPr id="123" name="Picture 123" descr="P1434L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P1434L10#yIS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The Input Error icon indicates that a user made an invalid entry at a screen prompt. The icon appears and flashes next to the invalid entry. Hold the mouse pointer over the icon to see a message explaining the problem. Enter valid information to make the icon disappear.</w:t>
      </w:r>
    </w:p>
    <w:p w14:paraId="3DAAF228" w14:textId="77777777" w:rsidR="00486D34" w:rsidRDefault="00486D34">
      <w:pPr>
        <w:rPr>
          <w:rFonts w:ascii="Arial" w:hAnsi="Arial" w:cs="Arial"/>
          <w:b/>
          <w:bCs/>
          <w:i/>
          <w:iCs/>
          <w:sz w:val="28"/>
          <w:szCs w:val="28"/>
        </w:rPr>
      </w:pPr>
      <w:r>
        <w:br w:type="page"/>
      </w:r>
    </w:p>
    <w:p w14:paraId="106BDCB3" w14:textId="76E4AC17" w:rsidR="002A21AE" w:rsidRDefault="002A21AE">
      <w:pPr>
        <w:pStyle w:val="Heading2"/>
      </w:pPr>
      <w:bookmarkStart w:id="170" w:name="_Toc4588748"/>
      <w:r>
        <w:lastRenderedPageBreak/>
        <w:t>Other VBECS Functions</w:t>
      </w:r>
      <w:bookmarkEnd w:id="170"/>
      <w:r>
        <w:fldChar w:fldCharType="begin"/>
      </w:r>
      <w:r>
        <w:instrText xml:space="preserve"> XE </w:instrText>
      </w:r>
      <w:r w:rsidR="00FA7E65">
        <w:instrText>“</w:instrText>
      </w:r>
      <w:r>
        <w:instrText>Other VBECS Functions</w:instrText>
      </w:r>
      <w:r w:rsidR="00FA7E65">
        <w:instrText>”</w:instrText>
      </w:r>
      <w:r>
        <w:instrText xml:space="preserve"> </w:instrText>
      </w:r>
      <w:r>
        <w:fldChar w:fldCharType="end"/>
      </w:r>
    </w:p>
    <w:p w14:paraId="14FE6B03" w14:textId="77777777" w:rsidR="002A21AE" w:rsidRPr="006C187F" w:rsidRDefault="002A21AE">
      <w:pPr>
        <w:pStyle w:val="Heading3"/>
        <w:rPr>
          <w:rFonts w:ascii="Arial Bold" w:hAnsi="Arial Bold"/>
          <w:vanish/>
        </w:rPr>
      </w:pPr>
      <w:bookmarkStart w:id="171" w:name="_Toc4588749"/>
      <w:r>
        <w:t>Collecting Workload</w:t>
      </w:r>
      <w:bookmarkEnd w:id="171"/>
      <w:r>
        <w:fldChar w:fldCharType="begin"/>
      </w:r>
      <w:r>
        <w:instrText xml:space="preserve"> XE </w:instrText>
      </w:r>
      <w:r w:rsidR="00FA7E65">
        <w:instrText>“</w:instrText>
      </w:r>
      <w:r>
        <w:instrText>Collecting Workload</w:instrText>
      </w:r>
      <w:r w:rsidR="00FA7E65">
        <w:instrText>”</w:instrText>
      </w:r>
      <w:r>
        <w:instrText xml:space="preserve"> </w:instrText>
      </w:r>
      <w:r>
        <w:fldChar w:fldCharType="end"/>
      </w:r>
      <w:r w:rsidR="006C187F">
        <w:t xml:space="preserve"> </w:t>
      </w:r>
      <w:r w:rsidR="006C187F">
        <w:rPr>
          <w:rFonts w:ascii="Arial Bold" w:hAnsi="Arial Bold"/>
          <w:vanish/>
        </w:rPr>
        <w:t>UC_15</w:t>
      </w:r>
    </w:p>
    <w:p w14:paraId="7F5C1D77" w14:textId="77777777" w:rsidR="002A21AE" w:rsidRDefault="002A21AE" w:rsidP="00FA7E65">
      <w:pPr>
        <w:pStyle w:val="BodyText"/>
      </w:pPr>
      <w:r>
        <w:t xml:space="preserve">In some options, VBECS collects workload (statistical data used to calculate productivity) when the user saves data: </w:t>
      </w:r>
    </w:p>
    <w:p w14:paraId="0BE35419" w14:textId="77777777" w:rsidR="002A21AE" w:rsidRDefault="002A21AE" w:rsidP="007716F7">
      <w:pPr>
        <w:pStyle w:val="ListBullet"/>
      </w:pPr>
      <w:r>
        <w:t>ABO/</w:t>
      </w:r>
      <w:r w:rsidRPr="007716F7">
        <w:t>Rh Confirmation</w:t>
      </w:r>
    </w:p>
    <w:p w14:paraId="2B1DEBEB" w14:textId="77777777" w:rsidR="00645BE3" w:rsidRPr="007716F7" w:rsidRDefault="00645BE3" w:rsidP="007716F7">
      <w:pPr>
        <w:pStyle w:val="ListBullet"/>
      </w:pPr>
      <w:r>
        <w:t>Automated Testing</w:t>
      </w:r>
    </w:p>
    <w:p w14:paraId="35F06FFC" w14:textId="77777777" w:rsidR="002A21AE" w:rsidRDefault="002A21AE" w:rsidP="007716F7">
      <w:pPr>
        <w:pStyle w:val="ListBullet"/>
      </w:pPr>
      <w:r w:rsidRPr="007716F7">
        <w:t xml:space="preserve">Discard </w:t>
      </w:r>
      <w:r>
        <w:t>or Quarantine</w:t>
      </w:r>
    </w:p>
    <w:p w14:paraId="6404F9AD" w14:textId="77777777" w:rsidR="002A21AE" w:rsidRDefault="002A21AE">
      <w:pPr>
        <w:pStyle w:val="ListBullet"/>
      </w:pPr>
      <w:r>
        <w:t>Document ABO Incompatible Transfusion</w:t>
      </w:r>
    </w:p>
    <w:p w14:paraId="2DEB479A" w14:textId="77777777" w:rsidR="002A21AE" w:rsidRDefault="002A21AE">
      <w:pPr>
        <w:pStyle w:val="ListBullet"/>
      </w:pPr>
      <w:r>
        <w:t>Edit Unit Information</w:t>
      </w:r>
    </w:p>
    <w:p w14:paraId="3626AC0C" w14:textId="77777777" w:rsidR="002A21AE" w:rsidRDefault="002A21AE">
      <w:pPr>
        <w:pStyle w:val="ListBullet"/>
      </w:pPr>
      <w:r>
        <w:t>Enter Daily QC Results</w:t>
      </w:r>
    </w:p>
    <w:p w14:paraId="04A31EAE" w14:textId="77777777" w:rsidR="002A21AE" w:rsidRDefault="002A21AE">
      <w:pPr>
        <w:pStyle w:val="ListBullet"/>
      </w:pPr>
      <w:r>
        <w:t>Finalize/Print TRW</w:t>
      </w:r>
    </w:p>
    <w:p w14:paraId="00DCB648" w14:textId="77777777" w:rsidR="002A21AE" w:rsidRDefault="002A21AE">
      <w:pPr>
        <w:pStyle w:val="ListBullet"/>
      </w:pPr>
      <w:r>
        <w:rPr>
          <w:snapToGrid w:val="0"/>
        </w:rPr>
        <w:t>Free Directed Unit For Crossover</w:t>
      </w:r>
    </w:p>
    <w:p w14:paraId="2E499D0F" w14:textId="77777777" w:rsidR="002A21AE" w:rsidRDefault="002A21AE">
      <w:pPr>
        <w:pStyle w:val="ListBullet"/>
        <w:rPr>
          <w:bCs/>
        </w:rPr>
      </w:pPr>
      <w:r>
        <w:t>Invalidate Test Results</w:t>
      </w:r>
    </w:p>
    <w:p w14:paraId="591B0511" w14:textId="77777777" w:rsidR="002A21AE" w:rsidRDefault="002A21AE">
      <w:pPr>
        <w:pStyle w:val="ListBullet"/>
      </w:pPr>
      <w:r>
        <w:rPr>
          <w:snapToGrid w:val="0"/>
        </w:rPr>
        <w:t>Issue Blood Components</w:t>
      </w:r>
    </w:p>
    <w:p w14:paraId="7C9E407D" w14:textId="77777777" w:rsidR="002A21AE" w:rsidRDefault="002A21AE">
      <w:pPr>
        <w:pStyle w:val="ListBullet"/>
      </w:pPr>
      <w:r>
        <w:t>Modify Units</w:t>
      </w:r>
    </w:p>
    <w:p w14:paraId="5E1D05BA" w14:textId="77777777" w:rsidR="002A21AE" w:rsidRDefault="002A21AE">
      <w:pPr>
        <w:pStyle w:val="ListBullet"/>
      </w:pPr>
      <w:r>
        <w:t>Modify Units: Pool Units</w:t>
      </w:r>
    </w:p>
    <w:p w14:paraId="1A719667" w14:textId="77777777" w:rsidR="002A21AE" w:rsidRDefault="002A21AE">
      <w:pPr>
        <w:pStyle w:val="ListBullet"/>
      </w:pPr>
      <w:r>
        <w:t>Modify Units: Split a Unit</w:t>
      </w:r>
    </w:p>
    <w:p w14:paraId="12A39B21" w14:textId="77777777" w:rsidR="002A21AE" w:rsidRDefault="002A21AE">
      <w:pPr>
        <w:pStyle w:val="ListBullet"/>
      </w:pPr>
      <w:r>
        <w:t>Outgoing Shipment</w:t>
      </w:r>
    </w:p>
    <w:p w14:paraId="2982ECD3" w14:textId="77777777" w:rsidR="002A21AE" w:rsidRDefault="002A21AE">
      <w:pPr>
        <w:pStyle w:val="ListBullet"/>
      </w:pPr>
      <w:r>
        <w:t xml:space="preserve">Patient Testing: </w:t>
      </w:r>
      <w:r w:rsidR="00244FCD">
        <w:t>Enter Antibody Identification Results</w:t>
      </w:r>
    </w:p>
    <w:p w14:paraId="1EC41819" w14:textId="77777777" w:rsidR="002A21AE" w:rsidRDefault="002A21AE">
      <w:pPr>
        <w:pStyle w:val="ListBullet"/>
      </w:pPr>
      <w:r>
        <w:rPr>
          <w:snapToGrid w:val="0"/>
        </w:rPr>
        <w:t>Patient Testing: Record a Patient Antigen Typing</w:t>
      </w:r>
    </w:p>
    <w:p w14:paraId="63DD2875" w14:textId="77777777" w:rsidR="002A21AE" w:rsidRDefault="002A21AE">
      <w:pPr>
        <w:pStyle w:val="ListBullet"/>
      </w:pPr>
      <w:r>
        <w:t xml:space="preserve">Patient Testing: Record a Transfusion Reaction Workup </w:t>
      </w:r>
    </w:p>
    <w:p w14:paraId="3666053E" w14:textId="77777777" w:rsidR="002A21AE" w:rsidRDefault="002A21AE">
      <w:pPr>
        <w:pStyle w:val="ListBullet"/>
      </w:pPr>
      <w:r>
        <w:t>Patient Testing: Record Patient Test Results</w:t>
      </w:r>
    </w:p>
    <w:p w14:paraId="02E3F537" w14:textId="77777777" w:rsidR="002A21AE" w:rsidRDefault="002A21AE">
      <w:pPr>
        <w:pStyle w:val="ListBullet"/>
      </w:pPr>
      <w:r>
        <w:t xml:space="preserve">Post-Transfusion Information </w:t>
      </w:r>
    </w:p>
    <w:p w14:paraId="7E4302B6" w14:textId="77777777" w:rsidR="002A21AE" w:rsidRDefault="002A21AE">
      <w:pPr>
        <w:pStyle w:val="ListBullet"/>
      </w:pPr>
      <w:r>
        <w:t>Processing Incoming Shipment</w:t>
      </w:r>
    </w:p>
    <w:p w14:paraId="6BCC081D" w14:textId="77777777" w:rsidR="002A21AE" w:rsidRDefault="002A21AE">
      <w:pPr>
        <w:pStyle w:val="ListBullet"/>
      </w:pPr>
      <w:r>
        <w:t>Release Units From Patient Assignment</w:t>
      </w:r>
    </w:p>
    <w:p w14:paraId="0D602504" w14:textId="77777777" w:rsidR="002A21AE" w:rsidRDefault="002A21AE">
      <w:pPr>
        <w:pStyle w:val="ListBullet"/>
      </w:pPr>
      <w:r>
        <w:rPr>
          <w:snapToGrid w:val="0"/>
        </w:rPr>
        <w:t>Remove Final Status</w:t>
      </w:r>
    </w:p>
    <w:p w14:paraId="3C78D442" w14:textId="77777777" w:rsidR="002A21AE" w:rsidRDefault="002A21AE">
      <w:pPr>
        <w:pStyle w:val="ListBullet"/>
      </w:pPr>
      <w:r>
        <w:t>Return Issued Units To Blood Bank</w:t>
      </w:r>
    </w:p>
    <w:p w14:paraId="0273BE99" w14:textId="77777777" w:rsidR="002A21AE" w:rsidRDefault="002A21AE">
      <w:pPr>
        <w:pStyle w:val="ListBullet"/>
      </w:pPr>
      <w:r>
        <w:t>Select Units</w:t>
      </w:r>
    </w:p>
    <w:p w14:paraId="2D63A629" w14:textId="77777777" w:rsidR="002A21AE" w:rsidRDefault="002A21AE" w:rsidP="0065457E">
      <w:pPr>
        <w:pStyle w:val="ListBullet"/>
      </w:pPr>
      <w:r>
        <w:t>Unit Antigen Typing</w:t>
      </w:r>
    </w:p>
    <w:p w14:paraId="5A3AAAAB" w14:textId="77777777" w:rsidR="001E5CC3" w:rsidRDefault="001E5CC3">
      <w:pPr>
        <w:rPr>
          <w:rStyle w:val="BodyTextChar"/>
        </w:rPr>
      </w:pPr>
      <w:r>
        <w:rPr>
          <w:rStyle w:val="BodyTextChar"/>
        </w:rPr>
        <w:br w:type="page"/>
      </w:r>
    </w:p>
    <w:p w14:paraId="014A0759" w14:textId="77777777" w:rsidR="001E5CC3" w:rsidRDefault="001E5CC3" w:rsidP="001E5CC3">
      <w:pPr>
        <w:pStyle w:val="BodyText"/>
        <w:jc w:val="center"/>
        <w:rPr>
          <w:rStyle w:val="BodyTextChar"/>
        </w:rPr>
      </w:pPr>
      <w:r>
        <w:rPr>
          <w:rStyle w:val="BodyTextChar"/>
        </w:rPr>
        <w:lastRenderedPageBreak/>
        <w:t>This page intentionally left blank.</w:t>
      </w:r>
    </w:p>
    <w:p w14:paraId="34E293A2" w14:textId="77777777" w:rsidR="001E5CC3" w:rsidRDefault="001E5CC3">
      <w:pPr>
        <w:rPr>
          <w:rStyle w:val="BodyTextChar"/>
        </w:rPr>
      </w:pPr>
      <w:r>
        <w:rPr>
          <w:rStyle w:val="BodyTextChar"/>
        </w:rPr>
        <w:br w:type="page"/>
      </w:r>
    </w:p>
    <w:p w14:paraId="4F4CEAF7" w14:textId="73466BC7" w:rsidR="002A21AE" w:rsidRDefault="002A21AE" w:rsidP="001E5CC3">
      <w:pPr>
        <w:pStyle w:val="BodyText"/>
      </w:pPr>
      <w:bookmarkStart w:id="172" w:name="_Toc4588750"/>
      <w:r w:rsidRPr="005944FC">
        <w:rPr>
          <w:rStyle w:val="Heading1Char"/>
        </w:rPr>
        <w:lastRenderedPageBreak/>
        <w:t>Configuring Site Parameters</w:t>
      </w:r>
      <w:bookmarkEnd w:id="172"/>
      <w:r>
        <w:fldChar w:fldCharType="begin"/>
      </w:r>
      <w:r>
        <w:instrText xml:space="preserve"> XE </w:instrText>
      </w:r>
      <w:r w:rsidR="00FA7E65">
        <w:instrText>“</w:instrText>
      </w:r>
      <w:r>
        <w:instrText>Configuring Site Parameters</w:instrText>
      </w:r>
      <w:r w:rsidR="00FA7E65">
        <w:instrText>”</w:instrText>
      </w:r>
      <w:r>
        <w:instrText xml:space="preserve"> </w:instrText>
      </w:r>
      <w:r>
        <w:fldChar w:fldCharType="end"/>
      </w:r>
    </w:p>
    <w:p w14:paraId="54DEECC2" w14:textId="77777777" w:rsidR="002A21AE" w:rsidRPr="002A6D29" w:rsidRDefault="002A21AE" w:rsidP="002A6D29">
      <w:pPr>
        <w:rPr>
          <w:sz w:val="22"/>
          <w:szCs w:val="22"/>
        </w:rPr>
      </w:pPr>
      <w:r w:rsidRPr="002A6D29">
        <w:rPr>
          <w:sz w:val="22"/>
          <w:szCs w:val="22"/>
        </w:rPr>
        <w:t>Configuration must be done as part of the VBECS installation.</w:t>
      </w:r>
    </w:p>
    <w:p w14:paraId="072D9EF4" w14:textId="77777777" w:rsidR="00B51CFF" w:rsidRDefault="00B51CFF" w:rsidP="00B51CFF">
      <w:pPr>
        <w:pStyle w:val="Heading2"/>
      </w:pPr>
      <w:bookmarkStart w:id="173" w:name="_Toc4588751"/>
      <w:r>
        <w:t>Update User Roles</w:t>
      </w:r>
      <w:bookmarkEnd w:id="173"/>
      <w:r w:rsidRPr="00AB67A6">
        <w:rPr>
          <w:rFonts w:ascii="Arial Bold" w:hAnsi="Arial Bold"/>
          <w:vanish/>
        </w:rPr>
        <w:fldChar w:fldCharType="begin"/>
      </w:r>
      <w:r w:rsidRPr="00AB67A6">
        <w:rPr>
          <w:rFonts w:ascii="Arial Bold" w:hAnsi="Arial Bold"/>
          <w:vanish/>
        </w:rPr>
        <w:instrText xml:space="preserve"> XE “Update User Roles” </w:instrText>
      </w:r>
      <w:r w:rsidRPr="00AB67A6">
        <w:rPr>
          <w:rFonts w:ascii="Arial Bold" w:hAnsi="Arial Bold"/>
          <w:vanish/>
        </w:rPr>
        <w:fldChar w:fldCharType="end"/>
      </w:r>
      <w:r w:rsidRPr="00AB67A6">
        <w:rPr>
          <w:rFonts w:ascii="Arial Bold" w:hAnsi="Arial Bold"/>
          <w:vanish/>
        </w:rPr>
        <w:t xml:space="preserve"> UC_19</w:t>
      </w:r>
    </w:p>
    <w:p w14:paraId="7C37AD43" w14:textId="77777777" w:rsidR="00B51CFF" w:rsidRDefault="00B51CFF" w:rsidP="00B51CFF">
      <w:pPr>
        <w:pStyle w:val="BodyText"/>
      </w:pPr>
      <w:r>
        <w:t>The user reviews and changes the user roles and associated security levels that determine which options and functions are available to a user in the division.</w:t>
      </w:r>
    </w:p>
    <w:p w14:paraId="7EFECD23" w14:textId="77777777" w:rsidR="00B51CFF" w:rsidRDefault="00B51CFF" w:rsidP="00B51CFF">
      <w:pPr>
        <w:pStyle w:val="Heading4"/>
      </w:pPr>
      <w:r>
        <w:t>Assumptions</w:t>
      </w:r>
    </w:p>
    <w:p w14:paraId="1010A3D7" w14:textId="77777777" w:rsidR="00B51CFF" w:rsidRDefault="00B51CFF" w:rsidP="00B51CFF">
      <w:pPr>
        <w:pStyle w:val="ListBullet"/>
      </w:pPr>
      <w:r>
        <w:t>The user is logged into VBECS in the division of the users to be edited.</w:t>
      </w:r>
    </w:p>
    <w:p w14:paraId="696A26C6" w14:textId="77777777" w:rsidR="00B51CFF" w:rsidRDefault="00B51CFF" w:rsidP="00B51CFF">
      <w:pPr>
        <w:pStyle w:val="ListBullet"/>
      </w:pPr>
      <w:r>
        <w:t xml:space="preserve">A </w:t>
      </w:r>
      <w:r w:rsidR="0093195D">
        <w:t>VBECS Application</w:t>
      </w:r>
      <w:r>
        <w:t xml:space="preserve"> Administrator </w:t>
      </w:r>
      <w:r w:rsidR="006E4408">
        <w:t>defined</w:t>
      </w:r>
      <w:r>
        <w:t xml:space="preserve"> the users to the VBECS database and assigned </w:t>
      </w:r>
      <w:r w:rsidR="00E95395">
        <w:t>a</w:t>
      </w:r>
      <w:r>
        <w:t xml:space="preserve"> division-specific role to each user. </w:t>
      </w:r>
    </w:p>
    <w:p w14:paraId="285E788F" w14:textId="77777777" w:rsidR="00B51CFF" w:rsidRDefault="00B51CFF" w:rsidP="00B51CFF">
      <w:pPr>
        <w:pStyle w:val="Heading4"/>
      </w:pPr>
      <w:r>
        <w:t>Outcome</w:t>
      </w:r>
    </w:p>
    <w:p w14:paraId="4B43DEBD" w14:textId="77777777" w:rsidR="00B51CFF" w:rsidRDefault="00B51CFF" w:rsidP="00B51CFF">
      <w:pPr>
        <w:pStyle w:val="ListBullet"/>
      </w:pPr>
      <w:r>
        <w:t xml:space="preserve">A user’s role code changed. </w:t>
      </w:r>
    </w:p>
    <w:p w14:paraId="05C4DBDE" w14:textId="77777777" w:rsidR="00B51CFF" w:rsidRDefault="00B51CFF" w:rsidP="00B51CFF">
      <w:pPr>
        <w:pStyle w:val="Heading4"/>
      </w:pPr>
      <w:r>
        <w:t>Limitations and Restrictions</w:t>
      </w:r>
    </w:p>
    <w:p w14:paraId="6C339A01" w14:textId="77777777" w:rsidR="00B51CFF" w:rsidRDefault="00B51CFF" w:rsidP="00B51CFF">
      <w:pPr>
        <w:pStyle w:val="ListBullet"/>
      </w:pPr>
      <w:r>
        <w:rPr>
          <w:vanish/>
          <w:spacing w:val="0"/>
        </w:rPr>
        <w:t>BR_19.01</w:t>
      </w:r>
      <w:r w:rsidR="009660C3">
        <w:rPr>
          <w:vanish/>
          <w:spacing w:val="0"/>
        </w:rPr>
        <w:t>,</w:t>
      </w:r>
      <w:r>
        <w:rPr>
          <w:vanish/>
          <w:spacing w:val="0"/>
        </w:rPr>
        <w:t xml:space="preserve"> BR_19.03 </w:t>
      </w:r>
      <w:r>
        <w:t>One role at a time may be assigned to a user at a division. The role may be reset.</w:t>
      </w:r>
    </w:p>
    <w:p w14:paraId="12A807B6" w14:textId="77777777" w:rsidR="00B51CFF" w:rsidRDefault="002A7EE9" w:rsidP="00B51CFF">
      <w:pPr>
        <w:pStyle w:val="ListBullet"/>
      </w:pPr>
      <w:r>
        <w:rPr>
          <w:spacing w:val="0"/>
        </w:rPr>
        <w:t xml:space="preserve">VBECS does not allow users </w:t>
      </w:r>
      <w:r w:rsidR="00B51CFF">
        <w:rPr>
          <w:vanish/>
          <w:spacing w:val="0"/>
        </w:rPr>
        <w:t xml:space="preserve">BR_19.06 </w:t>
      </w:r>
      <w:r w:rsidR="004D224B">
        <w:t>t</w:t>
      </w:r>
      <w:r>
        <w:t>o</w:t>
      </w:r>
      <w:r w:rsidR="00B51CFF">
        <w:t xml:space="preserve"> </w:t>
      </w:r>
      <w:r w:rsidR="004D224B">
        <w:t>edit or delete</w:t>
      </w:r>
      <w:r w:rsidR="00B51CFF">
        <w:t xml:space="preserve"> the </w:t>
      </w:r>
      <w:r w:rsidR="004D5297">
        <w:t>sole</w:t>
      </w:r>
      <w:r w:rsidR="00B51CFF">
        <w:t xml:space="preserve"> Administrator/Supervisor.</w:t>
      </w:r>
    </w:p>
    <w:p w14:paraId="533C8198" w14:textId="77777777" w:rsidR="00B51CFF" w:rsidRDefault="00B51CFF" w:rsidP="00B51CFF">
      <w:pPr>
        <w:pStyle w:val="Heading4"/>
      </w:pPr>
      <w:r>
        <w:t>Additional Information</w:t>
      </w:r>
    </w:p>
    <w:p w14:paraId="53449210" w14:textId="77777777" w:rsidR="003234B3" w:rsidRDefault="003234B3" w:rsidP="003234B3">
      <w:pPr>
        <w:pStyle w:val="ListBullet"/>
      </w:pPr>
      <w:r>
        <w:t xml:space="preserve">An </w:t>
      </w:r>
      <w:r w:rsidR="006E4408">
        <w:t>undefined</w:t>
      </w:r>
      <w:r>
        <w:t xml:space="preserve"> user remains in the VBECS database.</w:t>
      </w:r>
    </w:p>
    <w:p w14:paraId="08A45498" w14:textId="77777777" w:rsidR="003234B3" w:rsidRDefault="003234B3" w:rsidP="003234B3">
      <w:pPr>
        <w:pStyle w:val="ListBullet"/>
      </w:pPr>
      <w:r>
        <w:rPr>
          <w:vanish/>
          <w:spacing w:val="0"/>
        </w:rPr>
        <w:t xml:space="preserve">BR_19.16, BR_19.11 </w:t>
      </w:r>
      <w:r w:rsidR="006F3D70">
        <w:t>There must be at least one Administrator/Supervisor in the division to maintain users.</w:t>
      </w:r>
    </w:p>
    <w:p w14:paraId="234E0A76" w14:textId="77777777" w:rsidR="00B51CFF" w:rsidRDefault="00B51CFF" w:rsidP="00B51CFF">
      <w:pPr>
        <w:pStyle w:val="ListBullet"/>
      </w:pPr>
      <w:r>
        <w:t xml:space="preserve">A VBECS user ID is the user’s </w:t>
      </w:r>
      <w:r w:rsidR="006E4408">
        <w:t>Windows</w:t>
      </w:r>
      <w:r>
        <w:t xml:space="preserve"> Logon ID. </w:t>
      </w:r>
    </w:p>
    <w:p w14:paraId="03F41009" w14:textId="77777777" w:rsidR="00B51CFF" w:rsidRDefault="00B51CFF" w:rsidP="00B51CFF">
      <w:pPr>
        <w:pStyle w:val="ListBullet"/>
      </w:pPr>
      <w:r>
        <w:t>One or more users may be selected for batch update.</w:t>
      </w:r>
    </w:p>
    <w:p w14:paraId="4517E177" w14:textId="77777777" w:rsidR="00B51CFF" w:rsidRDefault="00B51CFF" w:rsidP="00B51CFF">
      <w:pPr>
        <w:pStyle w:val="ListBullet"/>
      </w:pPr>
      <w:r>
        <w:t xml:space="preserve">A </w:t>
      </w:r>
      <w:r w:rsidR="0093195D">
        <w:t>VBECS Application</w:t>
      </w:r>
      <w:r>
        <w:t xml:space="preserve"> Administrator </w:t>
      </w:r>
      <w:r w:rsidR="006E4408">
        <w:t>defines</w:t>
      </w:r>
      <w:r>
        <w:t xml:space="preserve"> and </w:t>
      </w:r>
      <w:r w:rsidR="006E4408">
        <w:t>undefines</w:t>
      </w:r>
      <w:r>
        <w:t xml:space="preserve"> VBECS users.</w:t>
      </w:r>
    </w:p>
    <w:p w14:paraId="403174E9" w14:textId="77777777" w:rsidR="00B51CFF" w:rsidRDefault="00B51CFF" w:rsidP="00B51CFF">
      <w:pPr>
        <w:pStyle w:val="ListBullet"/>
      </w:pPr>
      <w:r>
        <w:t xml:space="preserve">A user may be defined at multiple divisions within a multidivisional database. The settings for a user may differ from division to division and are mutually exclusive. </w:t>
      </w:r>
    </w:p>
    <w:p w14:paraId="445EF0F3" w14:textId="6F95667C" w:rsidR="00AA2B2E" w:rsidRDefault="00AA2B2E" w:rsidP="00AA2B2E">
      <w:pPr>
        <w:pStyle w:val="ListBullet"/>
      </w:pPr>
      <w:r>
        <w:t xml:space="preserve">See </w:t>
      </w:r>
      <w:r w:rsidRPr="00166B86">
        <w:rPr>
          <w:i/>
        </w:rPr>
        <w:t xml:space="preserve">VistA Blood Establishment Computer Software (VBECS) </w:t>
      </w:r>
      <w:r w:rsidR="00B03BDD">
        <w:rPr>
          <w:i/>
        </w:rPr>
        <w:t xml:space="preserve">2.3.1 </w:t>
      </w:r>
      <w:r w:rsidRPr="00166B86">
        <w:rPr>
          <w:i/>
        </w:rPr>
        <w:t>Technical Manual-Security Guide</w:t>
      </w:r>
      <w:r>
        <w:t xml:space="preserve">, VBECS Maintenance Operations, </w:t>
      </w:r>
      <w:r w:rsidR="00F3514B">
        <w:t>Edit</w:t>
      </w:r>
      <w:r>
        <w:t xml:space="preserve"> Users section for Active Directory tool installation. </w:t>
      </w:r>
      <w:r w:rsidRPr="00492551">
        <w:rPr>
          <w:vanish/>
        </w:rPr>
        <w:t>DR 5204</w:t>
      </w:r>
    </w:p>
    <w:p w14:paraId="094E801C" w14:textId="4EFC9367" w:rsidR="00C0383C" w:rsidRDefault="00C0383C" w:rsidP="00C0383C">
      <w:pPr>
        <w:pStyle w:val="ListBullet"/>
      </w:pPr>
      <w:r>
        <w:t xml:space="preserve">See </w:t>
      </w:r>
      <w:r w:rsidRPr="00C0383C">
        <w:rPr>
          <w:i/>
        </w:rPr>
        <w:t xml:space="preserve">VistA Blood Establishment Computer Software (VBECS) </w:t>
      </w:r>
      <w:r w:rsidR="00B03BDD">
        <w:rPr>
          <w:i/>
        </w:rPr>
        <w:t>2.3.1</w:t>
      </w:r>
      <w:r w:rsidR="00531617">
        <w:rPr>
          <w:i/>
        </w:rPr>
        <w:t xml:space="preserve"> </w:t>
      </w:r>
      <w:r w:rsidRPr="00C0383C">
        <w:rPr>
          <w:i/>
        </w:rPr>
        <w:t>Technical Manual-Security Guide</w:t>
      </w:r>
      <w:r>
        <w:t xml:space="preserve"> to add a user to a mail group that receives messages when VistALink errors occur.</w:t>
      </w:r>
    </w:p>
    <w:p w14:paraId="23955FE1" w14:textId="1AA41D4B" w:rsidR="00605DA8" w:rsidRDefault="00605DA8" w:rsidP="00C0383C">
      <w:pPr>
        <w:pStyle w:val="ListBullet"/>
      </w:pPr>
      <w:r>
        <w:t xml:space="preserve">See </w:t>
      </w:r>
      <w:r w:rsidRPr="00C0383C">
        <w:rPr>
          <w:i/>
        </w:rPr>
        <w:t xml:space="preserve">VistA Blood Establishment Computer Software (VBECS) </w:t>
      </w:r>
      <w:r w:rsidR="00B03BDD">
        <w:rPr>
          <w:i/>
        </w:rPr>
        <w:t>2.3.1</w:t>
      </w:r>
      <w:r w:rsidR="00531617">
        <w:rPr>
          <w:i/>
        </w:rPr>
        <w:t xml:space="preserve"> </w:t>
      </w:r>
      <w:r w:rsidRPr="00C0383C">
        <w:rPr>
          <w:i/>
        </w:rPr>
        <w:t xml:space="preserve">Technical Manual-Security </w:t>
      </w:r>
      <w:r w:rsidR="003D3067" w:rsidRPr="00C0383C">
        <w:rPr>
          <w:i/>
        </w:rPr>
        <w:t>Guide</w:t>
      </w:r>
      <w:r w:rsidR="003D3067">
        <w:t xml:space="preserve"> for</w:t>
      </w:r>
      <w:r>
        <w:t xml:space="preserve"> administrator activities.</w:t>
      </w:r>
    </w:p>
    <w:p w14:paraId="348C0CF0" w14:textId="77777777" w:rsidR="00B51CFF" w:rsidRDefault="00B51CFF" w:rsidP="00B51CFF">
      <w:pPr>
        <w:pStyle w:val="Heading4"/>
      </w:pPr>
      <w:r>
        <w:t>User Roles with Access to This Option</w:t>
      </w:r>
    </w:p>
    <w:p w14:paraId="7BD910A0" w14:textId="77777777" w:rsidR="00B51CFF" w:rsidRDefault="00B51CFF" w:rsidP="00B51CFF">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r>
        <w:rPr>
          <w:snapToGrid w:val="0"/>
        </w:rPr>
        <w:t xml:space="preserve"> </w:t>
      </w:r>
    </w:p>
    <w:p w14:paraId="515FC83B" w14:textId="77777777" w:rsidR="00B51CFF" w:rsidRDefault="00B51CFF" w:rsidP="00B51CFF">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Pr>
          <w:snapToGrid w:val="0"/>
        </w:rPr>
        <w:t>Lead Technologist</w:t>
      </w:r>
    </w:p>
    <w:p w14:paraId="62914DE2" w14:textId="77777777" w:rsidR="00B51CFF" w:rsidRDefault="00B51CFF" w:rsidP="00B51CFF">
      <w:pPr>
        <w:pStyle w:val="Heading4"/>
      </w:pPr>
      <w:r>
        <w:t>Update User Roles</w:t>
      </w:r>
    </w:p>
    <w:p w14:paraId="7B65B7C1" w14:textId="77777777" w:rsidR="00B51CFF" w:rsidRDefault="00154095" w:rsidP="00B51CFF">
      <w:pPr>
        <w:pStyle w:val="Body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sidR="00B51CFF">
        <w:t xml:space="preserve">An Administrator/Supervisor maintains assigned user roles, including associated levels of system access and the ability to process system overrides. These roles determine the available </w:t>
      </w:r>
      <w:r w:rsidR="00932460">
        <w:t xml:space="preserve">options </w:t>
      </w:r>
      <w:r w:rsidR="00B51CFF">
        <w:t xml:space="preserve">and the ability to override certain warnings. </w:t>
      </w:r>
    </w:p>
    <w:p w14:paraId="08477375" w14:textId="77777777" w:rsidR="00F317E7" w:rsidRDefault="003B4BF0" w:rsidP="00E87A80">
      <w:pPr>
        <w:pStyle w:val="Caution"/>
      </w:pPr>
      <w:bookmarkStart w:id="174" w:name="OLE_LINK13"/>
      <w:bookmarkStart w:id="175" w:name="OLE_LINK14"/>
      <w:r>
        <w:lastRenderedPageBreak/>
        <w:t xml:space="preserve">It is recommended that </w:t>
      </w:r>
      <w:r w:rsidR="00A868BE">
        <w:t>more than</w:t>
      </w:r>
      <w:r>
        <w:t xml:space="preserve"> one staff member be assigned the role of Administrator/Supervisor: when more than one Administrator/Supervisor updates roles simultaneously, changes made by one user are not visible to the other.</w:t>
      </w:r>
    </w:p>
    <w:bookmarkEnd w:id="174"/>
    <w:bookmarkEnd w:id="175"/>
    <w:p w14:paraId="38250B39" w14:textId="77777777" w:rsidR="00B51CFF" w:rsidRDefault="00B51CFF" w:rsidP="00B51CFF">
      <w:pPr>
        <w:pStyle w:val="BodyText"/>
      </w:pPr>
      <w:r>
        <w:t xml:space="preserve">One of six user roles may be assigned to users, by division: </w:t>
      </w:r>
    </w:p>
    <w:p w14:paraId="002C5AA2" w14:textId="77777777" w:rsidR="00B51CFF" w:rsidRDefault="00B51CFF" w:rsidP="00491BEC">
      <w:pPr>
        <w:pStyle w:val="ListBullet"/>
      </w:pPr>
      <w:r>
        <w:t>Level 1: Technologist</w:t>
      </w:r>
      <w:r w:rsidR="00491BEC">
        <w:t xml:space="preserve"> </w:t>
      </w:r>
      <w:r w:rsidR="00491BEC" w:rsidRPr="00EC7489">
        <w:rPr>
          <w:rFonts w:ascii="Wingdings 3" w:hAnsi="Wingdings 3" w:cs="Wingdings"/>
        </w:rPr>
        <w:t></w:t>
      </w:r>
    </w:p>
    <w:p w14:paraId="409DB2EC" w14:textId="77777777" w:rsidR="00B51CFF" w:rsidRDefault="00B51CFF" w:rsidP="00B51CFF">
      <w:pPr>
        <w:pStyle w:val="ListBullet"/>
      </w:pPr>
      <w:r>
        <w:t>Level 2: Enhanced Technologist</w:t>
      </w:r>
      <w:r w:rsidR="00491BEC">
        <w:t xml:space="preserve"> </w:t>
      </w:r>
      <w:r w:rsidR="00491BEC" w:rsidRPr="00EC7489">
        <w:rPr>
          <w:rFonts w:ascii="Wingdings 3" w:hAnsi="Wingdings 3" w:cs="Wingdings"/>
        </w:rPr>
        <w:t></w:t>
      </w:r>
      <w:r w:rsidR="00491BEC" w:rsidRPr="00EC7489">
        <w:rPr>
          <w:rFonts w:ascii="Wingdings 3" w:hAnsi="Wingdings 3" w:cs="Wingdings"/>
        </w:rPr>
        <w:t></w:t>
      </w:r>
    </w:p>
    <w:p w14:paraId="7CE5D8CE" w14:textId="77777777" w:rsidR="00B51CFF" w:rsidRDefault="00B51CFF" w:rsidP="00B51CFF">
      <w:pPr>
        <w:pStyle w:val="ListBullet"/>
      </w:pPr>
      <w:r>
        <w:t>Level 3: Lead Technologist</w:t>
      </w:r>
      <w:r w:rsidR="00491BEC">
        <w:t xml:space="preserve"> </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p>
    <w:p w14:paraId="18BB5398" w14:textId="77777777" w:rsidR="00B51CFF" w:rsidRDefault="00B51CFF" w:rsidP="00B51CFF">
      <w:pPr>
        <w:pStyle w:val="ListBullet"/>
      </w:pPr>
      <w:r>
        <w:t>Level 4: Traditional Supervisor</w:t>
      </w:r>
      <w:r w:rsidR="00491BEC">
        <w:t xml:space="preserve"> </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p>
    <w:p w14:paraId="6582B254" w14:textId="77777777" w:rsidR="00B51CFF" w:rsidRDefault="00B51CFF" w:rsidP="00B51CFF">
      <w:pPr>
        <w:pStyle w:val="ListBullet"/>
      </w:pPr>
      <w:r>
        <w:t>Level 5: Enhanced Supervisor</w:t>
      </w:r>
      <w:r w:rsidR="00491BEC">
        <w:t xml:space="preserve"> </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p>
    <w:p w14:paraId="62001EA0" w14:textId="472C8522" w:rsidR="00B51CFF" w:rsidRDefault="00B51CFF" w:rsidP="00B51CFF">
      <w:pPr>
        <w:pStyle w:val="ListBullet"/>
      </w:pPr>
      <w:r>
        <w:t xml:space="preserve">Level 6: Administrator/Supervisor </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p>
    <w:p w14:paraId="39A3BF5C" w14:textId="4F46819A" w:rsidR="00B51CFF" w:rsidRDefault="00B51CFF" w:rsidP="00B51CFF">
      <w:pPr>
        <w:pStyle w:val="BodyText"/>
      </w:pPr>
      <w:r>
        <w:t>The functions associated with each user role are described in</w:t>
      </w:r>
      <w:r w:rsidR="00DA05C9">
        <w:t xml:space="preserve"> </w:t>
      </w:r>
      <w:r w:rsidR="00DA05C9">
        <w:fldChar w:fldCharType="begin" w:fldLock="1"/>
      </w:r>
      <w:r w:rsidR="00DA05C9">
        <w:instrText xml:space="preserve"> REF _Ref126484343 \h </w:instrText>
      </w:r>
      <w:r w:rsidR="00DA05C9">
        <w:fldChar w:fldCharType="separate"/>
      </w:r>
      <w:r w:rsidR="00AB304C">
        <w:t xml:space="preserve">Table </w:t>
      </w:r>
      <w:r w:rsidR="00AB304C">
        <w:rPr>
          <w:noProof/>
        </w:rPr>
        <w:t>1</w:t>
      </w:r>
      <w:r w:rsidR="00AB304C">
        <w:t xml:space="preserve">: </w:t>
      </w:r>
      <w:r w:rsidR="00AB304C">
        <w:rPr>
          <w:vanish/>
        </w:rPr>
        <w:t xml:space="preserve">PT_19.01 </w:t>
      </w:r>
      <w:r w:rsidR="00AB304C">
        <w:t>User Roles and Functions</w:t>
      </w:r>
      <w:r w:rsidR="00DA05C9">
        <w:fldChar w:fldCharType="end"/>
      </w:r>
      <w: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B51CFF" w14:paraId="27B46406" w14:textId="77777777">
        <w:trPr>
          <w:cantSplit/>
          <w:tblHeader/>
        </w:trPr>
        <w:tc>
          <w:tcPr>
            <w:tcW w:w="3240" w:type="dxa"/>
            <w:shd w:val="pct30" w:color="auto" w:fill="FFFFFF"/>
            <w:vAlign w:val="bottom"/>
          </w:tcPr>
          <w:p w14:paraId="59F10117" w14:textId="77777777" w:rsidR="00B51CFF" w:rsidRDefault="00B51CFF" w:rsidP="00DB1D38">
            <w:pPr>
              <w:pStyle w:val="TableText"/>
              <w:rPr>
                <w:b/>
              </w:rPr>
            </w:pPr>
            <w:r>
              <w:rPr>
                <w:b/>
              </w:rPr>
              <w:t>User Action</w:t>
            </w:r>
          </w:p>
        </w:tc>
        <w:tc>
          <w:tcPr>
            <w:tcW w:w="6120" w:type="dxa"/>
            <w:shd w:val="pct30" w:color="auto" w:fill="FFFFFF"/>
            <w:vAlign w:val="bottom"/>
          </w:tcPr>
          <w:p w14:paraId="0DC3B2F0" w14:textId="77777777" w:rsidR="00B51CFF" w:rsidRDefault="00B51CFF" w:rsidP="00DB1D38">
            <w:pPr>
              <w:pStyle w:val="TableText"/>
              <w:rPr>
                <w:b/>
              </w:rPr>
            </w:pPr>
            <w:r>
              <w:rPr>
                <w:b/>
              </w:rPr>
              <w:t>VBECS</w:t>
            </w:r>
          </w:p>
        </w:tc>
      </w:tr>
      <w:tr w:rsidR="00B51CFF" w14:paraId="0A8082C7" w14:textId="77777777">
        <w:trPr>
          <w:cantSplit/>
        </w:trPr>
        <w:tc>
          <w:tcPr>
            <w:tcW w:w="3240" w:type="dxa"/>
            <w:tcBorders>
              <w:top w:val="single" w:sz="4" w:space="0" w:color="auto"/>
              <w:left w:val="single" w:sz="4" w:space="0" w:color="auto"/>
              <w:bottom w:val="single" w:sz="4" w:space="0" w:color="auto"/>
              <w:right w:val="single" w:sz="4" w:space="0" w:color="auto"/>
            </w:tcBorders>
          </w:tcPr>
          <w:p w14:paraId="4E6E14EB" w14:textId="77777777" w:rsidR="00B51CFF" w:rsidRDefault="00B51CFF" w:rsidP="00DB1D38">
            <w:pPr>
              <w:pStyle w:val="TableTextNumbers"/>
            </w:pPr>
            <w:r>
              <w:t xml:space="preserve">Select </w:t>
            </w:r>
            <w:r>
              <w:rPr>
                <w:b/>
              </w:rPr>
              <w:t>Tools</w:t>
            </w:r>
            <w:r>
              <w:t xml:space="preserve"> from the main menu.</w:t>
            </w:r>
          </w:p>
          <w:p w14:paraId="702553EF" w14:textId="77777777" w:rsidR="00B51CFF" w:rsidRDefault="00B51CFF" w:rsidP="00DB1D38">
            <w:pPr>
              <w:pStyle w:val="TableTextNumbersContinued"/>
            </w:pPr>
          </w:p>
          <w:p w14:paraId="6311EC7C" w14:textId="77A4B190" w:rsidR="00B51CFF" w:rsidRDefault="00B51CFF" w:rsidP="008D26FD">
            <w:pPr>
              <w:pStyle w:val="TableTextNumbersContinued"/>
            </w:pPr>
            <w:r>
              <w:t xml:space="preserve">Select </w:t>
            </w:r>
            <w:r>
              <w:rPr>
                <w:b/>
              </w:rPr>
              <w:t>Update User Roles</w:t>
            </w:r>
            <w:r w:rsidR="007A18CD" w:rsidRPr="007A18CD">
              <w:t xml:space="preserve"> (</w:t>
            </w:r>
            <w:r w:rsidR="007A18CD">
              <w:fldChar w:fldCharType="begin" w:fldLock="1"/>
            </w:r>
            <w:r w:rsidR="007A18CD">
              <w:instrText xml:space="preserve"> REF _Ref508779548 \h </w:instrText>
            </w:r>
            <w:r w:rsidR="007A18CD">
              <w:fldChar w:fldCharType="separate"/>
            </w:r>
            <w:r w:rsidR="00AB304C">
              <w:t xml:space="preserve">Figure </w:t>
            </w:r>
            <w:r w:rsidR="00AB304C">
              <w:rPr>
                <w:noProof/>
              </w:rPr>
              <w:t>45</w:t>
            </w:r>
            <w:r w:rsidR="007A18CD">
              <w:fldChar w:fldCharType="end"/>
            </w:r>
            <w:r w:rsidR="007A18CD" w:rsidRPr="007A18CD">
              <w:t>).</w:t>
            </w:r>
          </w:p>
        </w:tc>
        <w:tc>
          <w:tcPr>
            <w:tcW w:w="6120" w:type="dxa"/>
            <w:tcBorders>
              <w:top w:val="single" w:sz="4" w:space="0" w:color="auto"/>
              <w:left w:val="single" w:sz="4" w:space="0" w:color="auto"/>
              <w:bottom w:val="single" w:sz="4" w:space="0" w:color="auto"/>
              <w:right w:val="single" w:sz="4" w:space="0" w:color="auto"/>
            </w:tcBorders>
          </w:tcPr>
          <w:p w14:paraId="41AA4A35" w14:textId="77777777" w:rsidR="00B51CFF" w:rsidRDefault="00B51CFF" w:rsidP="00DB1D38">
            <w:pPr>
              <w:pStyle w:val="TableTextBullet"/>
            </w:pPr>
            <w:r>
              <w:t>Displays options for processing administrative functions.</w:t>
            </w:r>
          </w:p>
          <w:p w14:paraId="3CEDA214" w14:textId="77777777" w:rsidR="00B51CFF" w:rsidRDefault="00B51CFF" w:rsidP="00DB1D38">
            <w:pPr>
              <w:pStyle w:val="TableTextBullet"/>
            </w:pPr>
            <w:r>
              <w:t>Lists active users and associated information, including user name, ID, role, initials and email address.</w:t>
            </w:r>
          </w:p>
          <w:p w14:paraId="036FB668" w14:textId="77777777" w:rsidR="00B51CFF" w:rsidRDefault="00B51CFF" w:rsidP="00DB1D38">
            <w:pPr>
              <w:pStyle w:val="TableTextBullet"/>
            </w:pPr>
            <w:r>
              <w:t>Displays an option to print a VBECS User Report.</w:t>
            </w:r>
          </w:p>
          <w:p w14:paraId="6FB55ECA" w14:textId="77777777" w:rsidR="00B51CFF" w:rsidRDefault="00B51CFF" w:rsidP="00DB1D38">
            <w:pPr>
              <w:pStyle w:val="TableText"/>
            </w:pPr>
          </w:p>
          <w:p w14:paraId="1C024F44" w14:textId="77777777" w:rsidR="00B51CFF" w:rsidRDefault="00057948" w:rsidP="00DB1D38">
            <w:pPr>
              <w:pStyle w:val="TableText"/>
              <w:rPr>
                <w:b/>
                <w:bCs/>
                <w:szCs w:val="18"/>
              </w:rPr>
            </w:pPr>
            <w:r>
              <w:rPr>
                <w:b/>
                <w:bCs/>
                <w:noProof/>
              </w:rPr>
              <mc:AlternateContent>
                <mc:Choice Requires="wps">
                  <w:drawing>
                    <wp:anchor distT="0" distB="0" distL="114300" distR="114300" simplePos="0" relativeHeight="251701248" behindDoc="0" locked="0" layoutInCell="1" allowOverlap="1" wp14:anchorId="19B415D0" wp14:editId="5F1F700E">
                      <wp:simplePos x="0" y="0"/>
                      <wp:positionH relativeFrom="column">
                        <wp:posOffset>457200</wp:posOffset>
                      </wp:positionH>
                      <wp:positionV relativeFrom="paragraph">
                        <wp:posOffset>65405</wp:posOffset>
                      </wp:positionV>
                      <wp:extent cx="3200400" cy="0"/>
                      <wp:effectExtent l="9525" t="17780" r="9525" b="10795"/>
                      <wp:wrapNone/>
                      <wp:docPr id="577" name="Line 1032" descr="P1512L2C4T1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485850" id="Line 1032" o:spid="_x0000_s1026" alt="&quot;&quot;"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IBHIJPEAQAAbwMAAA4AAAAAAAAAAAAAAAAA&#10;LgIAAGRycy9lMm9Eb2MueG1sUEsBAi0AFAAGAAgAAAAhABdPMBLbAAAACAEAAA8AAAAAAAAAAAAA&#10;AAAAHgQAAGRycy9kb3ducmV2LnhtbFBLBQYAAAAABAAEAPMAAAAmBQAAAAA=&#10;" strokeweight="1.5pt"/>
                  </w:pict>
                </mc:Fallback>
              </mc:AlternateContent>
            </w:r>
            <w:r w:rsidR="00B51CFF">
              <w:rPr>
                <w:b/>
                <w:bCs/>
                <w:szCs w:val="18"/>
              </w:rPr>
              <w:t>NOTES</w:t>
            </w:r>
          </w:p>
          <w:p w14:paraId="1FA79C20" w14:textId="77777777" w:rsidR="00B51CFF" w:rsidRDefault="00B51CFF" w:rsidP="00DB1D38">
            <w:pPr>
              <w:pStyle w:val="NotesText"/>
            </w:pPr>
          </w:p>
          <w:p w14:paraId="7C1D48D8" w14:textId="77777777" w:rsidR="00B51CFF" w:rsidRDefault="00B51CFF" w:rsidP="00DB1D38">
            <w:pPr>
              <w:pStyle w:val="NotesText"/>
            </w:pPr>
            <w:r w:rsidRPr="00E274BF">
              <w:rPr>
                <w:rFonts w:cs="Arial"/>
                <w:vanish/>
                <w:szCs w:val="18"/>
              </w:rPr>
              <w:t>BR_19.17</w:t>
            </w:r>
            <w:r w:rsidRPr="009660C3">
              <w:rPr>
                <w:vanish/>
                <w:szCs w:val="18"/>
              </w:rPr>
              <w:t xml:space="preserve"> </w:t>
            </w:r>
            <w:r>
              <w:t xml:space="preserve">Click </w:t>
            </w:r>
            <w:r>
              <w:rPr>
                <w:b/>
              </w:rPr>
              <w:t>Print</w:t>
            </w:r>
            <w:r>
              <w:t xml:space="preserve"> at any time in this process to print a VBECS User Report.</w:t>
            </w:r>
          </w:p>
        </w:tc>
      </w:tr>
      <w:tr w:rsidR="00B51CFF" w14:paraId="7B1DF3EA" w14:textId="77777777">
        <w:trPr>
          <w:cantSplit/>
        </w:trPr>
        <w:tc>
          <w:tcPr>
            <w:tcW w:w="3240" w:type="dxa"/>
            <w:tcBorders>
              <w:bottom w:val="single" w:sz="4" w:space="0" w:color="auto"/>
            </w:tcBorders>
          </w:tcPr>
          <w:p w14:paraId="7F25CCF4" w14:textId="77777777" w:rsidR="00B51CFF" w:rsidRDefault="00B51CFF" w:rsidP="00DB1D38">
            <w:pPr>
              <w:pStyle w:val="TableTextNumbers"/>
            </w:pPr>
            <w:r>
              <w:t>Click one or more check boxes to select users.</w:t>
            </w:r>
          </w:p>
          <w:p w14:paraId="6834A37A" w14:textId="77777777" w:rsidR="00B51CFF" w:rsidRDefault="00B51CFF" w:rsidP="00DB1D38">
            <w:pPr>
              <w:pStyle w:val="TableTextNumbersContinued"/>
            </w:pPr>
          </w:p>
          <w:p w14:paraId="46705C75" w14:textId="77777777" w:rsidR="00B51CFF" w:rsidRDefault="00B51CFF" w:rsidP="00DB1D38">
            <w:pPr>
              <w:pStyle w:val="TableTextNumbersContinued"/>
            </w:pPr>
          </w:p>
        </w:tc>
        <w:tc>
          <w:tcPr>
            <w:tcW w:w="6120" w:type="dxa"/>
            <w:tcBorders>
              <w:bottom w:val="single" w:sz="4" w:space="0" w:color="auto"/>
            </w:tcBorders>
          </w:tcPr>
          <w:p w14:paraId="5F97C5E0" w14:textId="77777777" w:rsidR="00B51CFF" w:rsidRDefault="00B51CFF" w:rsidP="00DB1D38">
            <w:pPr>
              <w:pStyle w:val="TableTextBullet"/>
            </w:pPr>
            <w:r w:rsidRPr="00E274BF">
              <w:rPr>
                <w:rFonts w:cs="Arial"/>
                <w:vanish/>
                <w:szCs w:val="18"/>
              </w:rPr>
              <w:t>BR_19.05</w:t>
            </w:r>
            <w:r w:rsidRPr="009660C3">
              <w:rPr>
                <w:vanish/>
                <w:szCs w:val="18"/>
              </w:rPr>
              <w:t xml:space="preserve"> </w:t>
            </w:r>
            <w:r>
              <w:t>Allows the assignment of a security level to one or more users at a time.</w:t>
            </w:r>
          </w:p>
          <w:p w14:paraId="5C8F0641" w14:textId="77777777" w:rsidR="00B51CFF" w:rsidRDefault="00B51CFF" w:rsidP="00DB1D38">
            <w:pPr>
              <w:pStyle w:val="TableText"/>
            </w:pPr>
          </w:p>
          <w:p w14:paraId="75EFCA52" w14:textId="77777777" w:rsidR="00B51CFF" w:rsidRDefault="00057948" w:rsidP="00DB1D38">
            <w:pPr>
              <w:pStyle w:val="TableText"/>
              <w:rPr>
                <w:b/>
                <w:bCs/>
                <w:szCs w:val="18"/>
              </w:rPr>
            </w:pPr>
            <w:r>
              <w:rPr>
                <w:b/>
                <w:bCs/>
                <w:noProof/>
              </w:rPr>
              <mc:AlternateContent>
                <mc:Choice Requires="wps">
                  <w:drawing>
                    <wp:anchor distT="0" distB="0" distL="114300" distR="114300" simplePos="0" relativeHeight="251703296" behindDoc="0" locked="0" layoutInCell="1" allowOverlap="1" wp14:anchorId="494E7931" wp14:editId="541AAE8A">
                      <wp:simplePos x="0" y="0"/>
                      <wp:positionH relativeFrom="column">
                        <wp:posOffset>457200</wp:posOffset>
                      </wp:positionH>
                      <wp:positionV relativeFrom="paragraph">
                        <wp:posOffset>65405</wp:posOffset>
                      </wp:positionV>
                      <wp:extent cx="3200400" cy="0"/>
                      <wp:effectExtent l="9525" t="17780" r="9525" b="10795"/>
                      <wp:wrapNone/>
                      <wp:docPr id="576" name="Line 1033" descr="P1521L2C6T1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9BA5E" id="Line 1033" o:spid="_x0000_s1026" alt="&quot;&quot;"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JbrFhPEAQAAbwMAAA4AAAAAAAAAAAAAAAAA&#10;LgIAAGRycy9lMm9Eb2MueG1sUEsBAi0AFAAGAAgAAAAhABdPMBLbAAAACAEAAA8AAAAAAAAAAAAA&#10;AAAAHgQAAGRycy9kb3ducmV2LnhtbFBLBQYAAAAABAAEAPMAAAAmBQAAAAA=&#10;" strokeweight="1.5pt"/>
                  </w:pict>
                </mc:Fallback>
              </mc:AlternateContent>
            </w:r>
            <w:r w:rsidR="00B51CFF">
              <w:rPr>
                <w:b/>
                <w:bCs/>
                <w:szCs w:val="18"/>
              </w:rPr>
              <w:t>NOTES</w:t>
            </w:r>
          </w:p>
          <w:p w14:paraId="0B319C69" w14:textId="77777777" w:rsidR="00B51CFF" w:rsidRDefault="00B51CFF" w:rsidP="00DB1D38">
            <w:pPr>
              <w:pStyle w:val="NotesText"/>
            </w:pPr>
          </w:p>
          <w:p w14:paraId="094A1BEC" w14:textId="77777777" w:rsidR="00B51CFF" w:rsidRDefault="00B51CFF" w:rsidP="00DB1D38">
            <w:pPr>
              <w:pStyle w:val="NotesText"/>
            </w:pPr>
            <w:r>
              <w:t>The role that a user selects is assigned to all selected users.</w:t>
            </w:r>
          </w:p>
        </w:tc>
      </w:tr>
      <w:tr w:rsidR="00B51CFF" w14:paraId="47BB3B98" w14:textId="77777777">
        <w:trPr>
          <w:cantSplit/>
        </w:trPr>
        <w:tc>
          <w:tcPr>
            <w:tcW w:w="3240" w:type="dxa"/>
            <w:tcBorders>
              <w:bottom w:val="single" w:sz="4" w:space="0" w:color="auto"/>
            </w:tcBorders>
          </w:tcPr>
          <w:p w14:paraId="47234747" w14:textId="77777777" w:rsidR="00B51CFF" w:rsidRDefault="00B51CFF" w:rsidP="00DB1D38">
            <w:pPr>
              <w:pStyle w:val="TableTextNumbersContinued"/>
            </w:pPr>
            <w:r>
              <w:t>Select a user role from the drop-down list in the Use Role field.</w:t>
            </w:r>
          </w:p>
          <w:p w14:paraId="2F723E98" w14:textId="77777777" w:rsidR="00B51CFF" w:rsidRDefault="00B51CFF" w:rsidP="00DB1D38">
            <w:pPr>
              <w:pStyle w:val="TableTextNumbersContinued"/>
            </w:pPr>
          </w:p>
          <w:p w14:paraId="4CD811DA" w14:textId="77777777" w:rsidR="00B51CFF" w:rsidRDefault="00B51CFF" w:rsidP="00DB1D38">
            <w:pPr>
              <w:pStyle w:val="TableTextNumbers"/>
            </w:pPr>
            <w:r>
              <w:t xml:space="preserve">Click </w:t>
            </w:r>
            <w:r>
              <w:rPr>
                <w:b/>
              </w:rPr>
              <w:t>OK</w:t>
            </w:r>
            <w:r>
              <w:t>.</w:t>
            </w:r>
          </w:p>
        </w:tc>
        <w:tc>
          <w:tcPr>
            <w:tcW w:w="6120" w:type="dxa"/>
            <w:tcBorders>
              <w:bottom w:val="single" w:sz="4" w:space="0" w:color="auto"/>
            </w:tcBorders>
          </w:tcPr>
          <w:p w14:paraId="1831C0B9" w14:textId="77777777" w:rsidR="00B51CFF" w:rsidRDefault="00B51CFF" w:rsidP="00DB1D38">
            <w:pPr>
              <w:pStyle w:val="TableTextBullet"/>
            </w:pPr>
            <w:r>
              <w:t>Requests confirmation of the names of users to be changed and the role to be assigned.</w:t>
            </w:r>
          </w:p>
        </w:tc>
      </w:tr>
      <w:tr w:rsidR="00B51CFF" w14:paraId="36C72455" w14:textId="77777777">
        <w:trPr>
          <w:cantSplit/>
        </w:trPr>
        <w:tc>
          <w:tcPr>
            <w:tcW w:w="3240" w:type="dxa"/>
          </w:tcPr>
          <w:p w14:paraId="74EA0D82" w14:textId="77777777" w:rsidR="00B51CFF" w:rsidRDefault="00B51CFF" w:rsidP="00DB1D38">
            <w:pPr>
              <w:pStyle w:val="TableTextNumbers"/>
            </w:pPr>
            <w:r>
              <w:t xml:space="preserve">Click </w:t>
            </w:r>
            <w:r>
              <w:rPr>
                <w:b/>
              </w:rPr>
              <w:t>Yes</w:t>
            </w:r>
            <w:r>
              <w:t xml:space="preserve"> to confirm the save or </w:t>
            </w:r>
            <w:r>
              <w:rPr>
                <w:b/>
              </w:rPr>
              <w:t>No</w:t>
            </w:r>
            <w:r>
              <w:t xml:space="preserve"> to change the users selected.</w:t>
            </w:r>
          </w:p>
        </w:tc>
        <w:tc>
          <w:tcPr>
            <w:tcW w:w="6120" w:type="dxa"/>
          </w:tcPr>
          <w:p w14:paraId="52152584" w14:textId="77777777" w:rsidR="00B51CFF" w:rsidRDefault="00B51CFF" w:rsidP="00DB1D38">
            <w:pPr>
              <w:pStyle w:val="TableTextBullet"/>
            </w:pPr>
            <w:r>
              <w:t>Creates an Audit Trail Report entry.</w:t>
            </w:r>
          </w:p>
          <w:p w14:paraId="104D2B5F" w14:textId="77777777" w:rsidR="00B51CFF" w:rsidRDefault="00B51CFF" w:rsidP="00DB1D38">
            <w:pPr>
              <w:pStyle w:val="TableText"/>
            </w:pPr>
          </w:p>
          <w:p w14:paraId="7B859CFF" w14:textId="77777777" w:rsidR="00B51CFF" w:rsidRDefault="00057948" w:rsidP="00DB1D38">
            <w:pPr>
              <w:pStyle w:val="TableText"/>
              <w:rPr>
                <w:b/>
                <w:bCs/>
                <w:szCs w:val="18"/>
              </w:rPr>
            </w:pPr>
            <w:r>
              <w:rPr>
                <w:b/>
                <w:bCs/>
                <w:noProof/>
              </w:rPr>
              <mc:AlternateContent>
                <mc:Choice Requires="wps">
                  <w:drawing>
                    <wp:anchor distT="0" distB="0" distL="114300" distR="114300" simplePos="0" relativeHeight="251699200" behindDoc="0" locked="0" layoutInCell="1" allowOverlap="1" wp14:anchorId="38CF6F6D" wp14:editId="1EA6BBBA">
                      <wp:simplePos x="0" y="0"/>
                      <wp:positionH relativeFrom="column">
                        <wp:posOffset>457200</wp:posOffset>
                      </wp:positionH>
                      <wp:positionV relativeFrom="paragraph">
                        <wp:posOffset>65405</wp:posOffset>
                      </wp:positionV>
                      <wp:extent cx="3200400" cy="0"/>
                      <wp:effectExtent l="9525" t="17780" r="9525" b="10795"/>
                      <wp:wrapNone/>
                      <wp:docPr id="575" name="Line 1031" descr="P1533L2C10T1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3CC08" id="Line 1031" o:spid="_x0000_s1026" alt="&quot;&quot;"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HQhAU7EAQAAbwMAAA4AAAAAAAAAAAAAAAAA&#10;LgIAAGRycy9lMm9Eb2MueG1sUEsBAi0AFAAGAAgAAAAhABdPMBLbAAAACAEAAA8AAAAAAAAAAAAA&#10;AAAAHgQAAGRycy9kb3ducmV2LnhtbFBLBQYAAAAABAAEAPMAAAAmBQAAAAA=&#10;" strokeweight="1.5pt"/>
                  </w:pict>
                </mc:Fallback>
              </mc:AlternateContent>
            </w:r>
            <w:r w:rsidR="00B51CFF">
              <w:rPr>
                <w:b/>
                <w:bCs/>
                <w:szCs w:val="18"/>
              </w:rPr>
              <w:t>NOTES</w:t>
            </w:r>
          </w:p>
          <w:p w14:paraId="4FE4D966" w14:textId="77777777" w:rsidR="00B51CFF" w:rsidRDefault="00B51CFF" w:rsidP="00DB1D38">
            <w:pPr>
              <w:pStyle w:val="NotesText"/>
            </w:pPr>
          </w:p>
          <w:p w14:paraId="1974F426" w14:textId="77777777" w:rsidR="00B51CFF" w:rsidRDefault="00B51CFF" w:rsidP="00DB1D38">
            <w:pPr>
              <w:pStyle w:val="NotesText"/>
            </w:pPr>
            <w:r>
              <w:t>See the sample VBECS User Report.</w:t>
            </w:r>
          </w:p>
        </w:tc>
      </w:tr>
      <w:tr w:rsidR="00B51CFF" w14:paraId="1445C335" w14:textId="77777777">
        <w:trPr>
          <w:cantSplit/>
        </w:trPr>
        <w:tc>
          <w:tcPr>
            <w:tcW w:w="3240" w:type="dxa"/>
          </w:tcPr>
          <w:p w14:paraId="10C99225" w14:textId="77777777" w:rsidR="00B51CFF" w:rsidRDefault="00B51CFF" w:rsidP="00DB1D38">
            <w:pPr>
              <w:pStyle w:val="TableTextNumbers"/>
            </w:pPr>
            <w:r>
              <w:t>Repeat Steps 2–4 to change the roles of additional users.</w:t>
            </w:r>
          </w:p>
        </w:tc>
        <w:tc>
          <w:tcPr>
            <w:tcW w:w="6120" w:type="dxa"/>
          </w:tcPr>
          <w:p w14:paraId="1FF850F0" w14:textId="77777777" w:rsidR="00B51CFF" w:rsidRDefault="00B51CFF" w:rsidP="00DB1D38">
            <w:pPr>
              <w:pStyle w:val="TableText"/>
            </w:pPr>
          </w:p>
        </w:tc>
      </w:tr>
      <w:tr w:rsidR="00B51CFF" w14:paraId="7F786808" w14:textId="77777777">
        <w:trPr>
          <w:cantSplit/>
        </w:trPr>
        <w:tc>
          <w:tcPr>
            <w:tcW w:w="3240" w:type="dxa"/>
          </w:tcPr>
          <w:p w14:paraId="535E8EB0" w14:textId="77777777" w:rsidR="00B51CFF" w:rsidRDefault="00B51CFF" w:rsidP="00DB1D38">
            <w:pPr>
              <w:pStyle w:val="TableTextNumbers"/>
            </w:pPr>
            <w:r>
              <w:t xml:space="preserve">Click </w:t>
            </w:r>
            <w:r>
              <w:rPr>
                <w:b/>
              </w:rPr>
              <w:t>Cancel</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6D94C5E2" w14:textId="77777777" w:rsidR="00B51CFF" w:rsidRDefault="00B51CFF" w:rsidP="00DB1D38">
            <w:pPr>
              <w:pStyle w:val="TableText"/>
            </w:pPr>
          </w:p>
        </w:tc>
      </w:tr>
    </w:tbl>
    <w:p w14:paraId="493C01B4" w14:textId="2CFF30C9" w:rsidR="007A18CD" w:rsidRDefault="007A18CD" w:rsidP="007A18CD">
      <w:pPr>
        <w:pStyle w:val="Caption"/>
      </w:pPr>
      <w:bookmarkStart w:id="176" w:name="_Ref508779548"/>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45</w:t>
      </w:r>
      <w:r w:rsidR="004E20BD">
        <w:rPr>
          <w:noProof/>
        </w:rPr>
        <w:fldChar w:fldCharType="end"/>
      </w:r>
      <w:bookmarkEnd w:id="176"/>
      <w:r>
        <w:t>: Update User Roles</w:t>
      </w:r>
    </w:p>
    <w:p w14:paraId="1E1A278A" w14:textId="77777777" w:rsidR="007A18CD" w:rsidRPr="007A18CD" w:rsidRDefault="00057948" w:rsidP="007A18CD">
      <w:pPr>
        <w:pStyle w:val="BodyText"/>
      </w:pPr>
      <w:r>
        <w:rPr>
          <w:noProof/>
        </w:rPr>
        <w:drawing>
          <wp:inline distT="0" distB="0" distL="0" distR="0" wp14:anchorId="5BD8E4F8" wp14:editId="2AD4DFCD">
            <wp:extent cx="5939155" cy="3269615"/>
            <wp:effectExtent l="0" t="0" r="4445" b="6985"/>
            <wp:docPr id="124" name="Picture 124" descr="P1544L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P1544L2#yIS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39155" cy="3269615"/>
                    </a:xfrm>
                    <a:prstGeom prst="rect">
                      <a:avLst/>
                    </a:prstGeom>
                    <a:noFill/>
                    <a:ln>
                      <a:noFill/>
                    </a:ln>
                  </pic:spPr>
                </pic:pic>
              </a:graphicData>
            </a:graphic>
          </wp:inline>
        </w:drawing>
      </w:r>
    </w:p>
    <w:p w14:paraId="6C6BA81B" w14:textId="77777777" w:rsidR="00B51CFF" w:rsidRDefault="00B51CFF" w:rsidP="00B51CFF">
      <w:pPr>
        <w:pStyle w:val="Heading4"/>
      </w:pPr>
      <w:r>
        <w:t>VBECS User Report</w:t>
      </w:r>
      <w:r>
        <w:fldChar w:fldCharType="begin"/>
      </w:r>
      <w:r>
        <w:instrText xml:space="preserve"> XE “VBECS User Report” </w:instrText>
      </w:r>
      <w:r>
        <w:fldChar w:fldCharType="end"/>
      </w:r>
    </w:p>
    <w:p w14:paraId="791CFEE1" w14:textId="77777777" w:rsidR="00B51CFF" w:rsidRDefault="00B51CFF" w:rsidP="00B51CFF">
      <w:pPr>
        <w:pStyle w:val="BodyText"/>
      </w:pPr>
      <w:r>
        <w:t xml:space="preserve">The user may generate a </w:t>
      </w:r>
      <w:r w:rsidR="00F55505">
        <w:t xml:space="preserve">division </w:t>
      </w:r>
      <w:r>
        <w:t xml:space="preserve">report that includes the names, VBECS user IDs, and roles of active users. </w:t>
      </w:r>
      <w:r w:rsidR="005C768D" w:rsidRPr="00EC7489">
        <w:rPr>
          <w:rFonts w:ascii="Wingdings 3" w:hAnsi="Wingdings 3" w:cs="Wingdings"/>
        </w:rPr>
        <w:t></w:t>
      </w:r>
      <w:r w:rsidR="005C768D" w:rsidRPr="00EC7489">
        <w:rPr>
          <w:rFonts w:ascii="Wingdings 3" w:hAnsi="Wingdings 3" w:cs="Wingdings"/>
        </w:rPr>
        <w:t></w:t>
      </w:r>
      <w:r w:rsidR="005C768D" w:rsidRPr="00EC7489">
        <w:rPr>
          <w:rFonts w:ascii="Wingdings 3" w:hAnsi="Wingdings 3" w:cs="Wingdings"/>
        </w:rPr>
        <w:t></w:t>
      </w:r>
      <w:r w:rsidR="005C768D">
        <w:t xml:space="preserve"> </w:t>
      </w:r>
      <w:r w:rsidR="002E7EBF">
        <w:t xml:space="preserve">A </w:t>
      </w:r>
      <w:r w:rsidR="002E7EBF">
        <w:rPr>
          <w:snapToGrid w:val="0"/>
        </w:rPr>
        <w:t>Lead Technologist</w:t>
      </w:r>
      <w:r w:rsidR="002E7EBF">
        <w:t xml:space="preserve"> may generate a report of current VBECS users, by division, that includes the users’ name, user ID, division, and role. </w:t>
      </w:r>
    </w:p>
    <w:p w14:paraId="686AED4E" w14:textId="77777777" w:rsidR="00B51CFF" w:rsidRDefault="00B51CFF" w:rsidP="00B51CFF">
      <w:pPr>
        <w:pStyle w:val="Heading2"/>
      </w:pPr>
      <w:bookmarkStart w:id="177" w:name="_Toc49233584"/>
      <w:bookmarkStart w:id="178" w:name="_Toc61845162"/>
      <w:r>
        <w:br w:type="page"/>
      </w:r>
      <w:bookmarkStart w:id="179" w:name="_Toc4588752"/>
      <w:bookmarkEnd w:id="177"/>
      <w:bookmarkEnd w:id="178"/>
      <w:r>
        <w:lastRenderedPageBreak/>
        <w:t>Component Classes</w:t>
      </w:r>
      <w:bookmarkEnd w:id="179"/>
      <w:r w:rsidRPr="00AB67A6">
        <w:rPr>
          <w:rFonts w:ascii="Arial Bold" w:hAnsi="Arial Bold"/>
          <w:vanish/>
        </w:rPr>
        <w:fldChar w:fldCharType="begin"/>
      </w:r>
      <w:r w:rsidRPr="00AB67A6">
        <w:rPr>
          <w:rFonts w:ascii="Arial Bold" w:hAnsi="Arial Bold"/>
          <w:vanish/>
        </w:rPr>
        <w:instrText xml:space="preserve"> XE “Component Classes” </w:instrText>
      </w:r>
      <w:r w:rsidRPr="00AB67A6">
        <w:rPr>
          <w:rFonts w:ascii="Arial Bold" w:hAnsi="Arial Bold"/>
          <w:vanish/>
        </w:rPr>
        <w:fldChar w:fldCharType="end"/>
      </w:r>
      <w:r w:rsidRPr="00AB67A6">
        <w:rPr>
          <w:rFonts w:ascii="Arial Bold" w:hAnsi="Arial Bold"/>
          <w:vanish/>
        </w:rPr>
        <w:t xml:space="preserve"> UC_50</w:t>
      </w:r>
    </w:p>
    <w:p w14:paraId="691EB501" w14:textId="35233ABD" w:rsidR="00B51CFF" w:rsidRDefault="00B51CFF" w:rsidP="00B51CFF">
      <w:pPr>
        <w:pStyle w:val="BodyText"/>
      </w:pPr>
      <w:r>
        <w:t>The user configures the component class parameters for the selected division.</w:t>
      </w:r>
      <w:r w:rsidR="008D2779">
        <w:t xml:space="preserve"> For more information, see </w:t>
      </w:r>
      <w:r w:rsidR="008D2779">
        <w:fldChar w:fldCharType="begin" w:fldLock="1"/>
      </w:r>
      <w:r w:rsidR="008D2779">
        <w:instrText xml:space="preserve"> REF _Ref508960075 \h </w:instrText>
      </w:r>
      <w:r w:rsidR="008D2779">
        <w:fldChar w:fldCharType="separate"/>
      </w:r>
      <w:r w:rsidR="00AB304C">
        <w:t xml:space="preserve">Appendix </w:t>
      </w:r>
      <w:r w:rsidR="00AB304C">
        <w:rPr>
          <w:noProof/>
        </w:rPr>
        <w:t>F</w:t>
      </w:r>
      <w:r w:rsidR="00AB304C">
        <w:t>: Work Process Flowcharts</w:t>
      </w:r>
      <w:r w:rsidR="008D2779">
        <w:fldChar w:fldCharType="end"/>
      </w:r>
      <w:r w:rsidR="008D2779">
        <w:t>.</w:t>
      </w:r>
    </w:p>
    <w:p w14:paraId="5A12E83D" w14:textId="77777777" w:rsidR="00B51CFF" w:rsidRDefault="00B51CFF" w:rsidP="00B51CFF">
      <w:pPr>
        <w:pStyle w:val="Heading4"/>
      </w:pPr>
      <w:r>
        <w:t>Assumptions</w:t>
      </w:r>
    </w:p>
    <w:p w14:paraId="22645630" w14:textId="77777777" w:rsidR="00B51CFF" w:rsidRDefault="00B51CFF" w:rsidP="00B51CFF">
      <w:pPr>
        <w:pStyle w:val="ListBullet"/>
      </w:pPr>
      <w:r>
        <w:t xml:space="preserve">The connection to </w:t>
      </w:r>
      <w:r w:rsidRPr="00CA0045">
        <w:rPr>
          <w:bCs/>
        </w:rPr>
        <w:t>VistA</w:t>
      </w:r>
      <w:r>
        <w:t xml:space="preserve"> is active.</w:t>
      </w:r>
    </w:p>
    <w:p w14:paraId="7E4B23BC" w14:textId="77777777" w:rsidR="00B51CFF" w:rsidRDefault="00B51CFF" w:rsidP="00B51CFF">
      <w:pPr>
        <w:pStyle w:val="ListBullet"/>
      </w:pPr>
      <w:r>
        <w:rPr>
          <w:vanish/>
          <w:spacing w:val="0"/>
        </w:rPr>
        <w:t xml:space="preserve">BR_50.03 </w:t>
      </w:r>
      <w:r>
        <w:t>The WHOLE BLOOD and RED BLOOD CELLS component classes are deployed as requiring current specimen ABO/Rh results before issue and may not be edited.</w:t>
      </w:r>
    </w:p>
    <w:p w14:paraId="23A6DB42" w14:textId="77777777" w:rsidR="00B51CFF" w:rsidRDefault="00B51CFF" w:rsidP="00B51CFF">
      <w:pPr>
        <w:pStyle w:val="ListBullet"/>
      </w:pPr>
      <w:r>
        <w:t xml:space="preserve">The FFP, PLT, CRYO and OTHER component classes do not have a specimen requirement defined at deployment. </w:t>
      </w:r>
    </w:p>
    <w:p w14:paraId="53364579" w14:textId="77777777" w:rsidR="00B51CFF" w:rsidRDefault="00B51CFF" w:rsidP="00B51CFF">
      <w:pPr>
        <w:pStyle w:val="Heading4"/>
      </w:pPr>
      <w:r>
        <w:t>Outcome</w:t>
      </w:r>
    </w:p>
    <w:p w14:paraId="64140C45" w14:textId="77777777" w:rsidR="00B51CFF" w:rsidRDefault="00B51CFF" w:rsidP="00B51CFF">
      <w:pPr>
        <w:pStyle w:val="ListBullet"/>
      </w:pPr>
      <w:r>
        <w:t>Divisions have local settings for all component classes.</w:t>
      </w:r>
    </w:p>
    <w:p w14:paraId="7027A0AF" w14:textId="77777777" w:rsidR="00B51CFF" w:rsidRDefault="00B51CFF" w:rsidP="00B51CFF">
      <w:pPr>
        <w:pStyle w:val="Heading4"/>
      </w:pPr>
      <w:r>
        <w:t>Limitations and Restrictions</w:t>
      </w:r>
    </w:p>
    <w:p w14:paraId="3B4C4FD0" w14:textId="77777777" w:rsidR="00B51CFF" w:rsidRDefault="00B51CFF" w:rsidP="00B51CFF">
      <w:pPr>
        <w:pStyle w:val="ListBullet"/>
      </w:pPr>
      <w:r>
        <w:t xml:space="preserve">The user may not change the specimen requirement for a component class when there are incomplete orders for that component class. </w:t>
      </w:r>
    </w:p>
    <w:p w14:paraId="799EAA50" w14:textId="77777777" w:rsidR="00B51CFF" w:rsidRDefault="00B51CFF" w:rsidP="00B51CFF">
      <w:pPr>
        <w:pStyle w:val="ListBullet"/>
      </w:pPr>
      <w:r>
        <w:t xml:space="preserve">There is no retrospective data entry or user selection </w:t>
      </w:r>
      <w:r w:rsidR="00F468B5">
        <w:t>for this</w:t>
      </w:r>
      <w:r>
        <w:t xml:space="preserve"> </w:t>
      </w:r>
      <w:r w:rsidR="00932460">
        <w:t>option</w:t>
      </w:r>
      <w:r>
        <w:t xml:space="preserve">. </w:t>
      </w:r>
    </w:p>
    <w:p w14:paraId="56F8B167" w14:textId="77777777" w:rsidR="00B51CFF" w:rsidRDefault="00B51CFF" w:rsidP="00B51CFF">
      <w:pPr>
        <w:pStyle w:val="Heading4"/>
      </w:pPr>
      <w:r>
        <w:t>Additional Information</w:t>
      </w:r>
    </w:p>
    <w:p w14:paraId="1DBA9D74" w14:textId="77777777" w:rsidR="00B51CFF" w:rsidRDefault="00B51CFF" w:rsidP="00B51CFF">
      <w:pPr>
        <w:pStyle w:val="ListBullet"/>
      </w:pPr>
      <w:r>
        <w:t xml:space="preserve">None </w:t>
      </w:r>
    </w:p>
    <w:p w14:paraId="1B37273C" w14:textId="77777777" w:rsidR="00B51CFF" w:rsidRDefault="00B51CFF" w:rsidP="00B51CFF">
      <w:pPr>
        <w:pStyle w:val="Heading4"/>
      </w:pPr>
      <w:r>
        <w:t>User Roles with Access to This Option</w:t>
      </w:r>
    </w:p>
    <w:p w14:paraId="2DE8F633" w14:textId="77777777" w:rsidR="00B51CFF" w:rsidRDefault="00B51CFF" w:rsidP="00B51CFF">
      <w:pPr>
        <w:pStyle w:val="Roles"/>
        <w:rPr>
          <w:i/>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14:paraId="5D39CE5A" w14:textId="77777777" w:rsidR="00B51CFF" w:rsidRDefault="00B51CFF" w:rsidP="00B51CFF">
      <w:pPr>
        <w:pStyle w:val="Heading4"/>
      </w:pPr>
      <w:r>
        <w:t>Component Classes</w:t>
      </w:r>
    </w:p>
    <w:p w14:paraId="0DAE4C02" w14:textId="77777777" w:rsidR="00B51CFF" w:rsidRDefault="00B51CFF" w:rsidP="00B51CFF">
      <w:pPr>
        <w:pStyle w:val="BodyText"/>
      </w:pPr>
      <w:r>
        <w:t>The user configures the parameters for the division’s component classes. These parameters are applied to all blood units that descend from this class. Component classes may be reset when business practices affecting the use of component classes change at a division.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B51CFF" w14:paraId="377DB783" w14:textId="77777777">
        <w:trPr>
          <w:tblHeader/>
        </w:trPr>
        <w:tc>
          <w:tcPr>
            <w:tcW w:w="3240" w:type="dxa"/>
            <w:shd w:val="pct30" w:color="auto" w:fill="FFFFFF"/>
            <w:vAlign w:val="bottom"/>
          </w:tcPr>
          <w:p w14:paraId="72A69F1F" w14:textId="77777777" w:rsidR="00B51CFF" w:rsidRDefault="00B51CFF" w:rsidP="00DB1D38">
            <w:pPr>
              <w:pStyle w:val="TableText"/>
              <w:rPr>
                <w:b/>
              </w:rPr>
            </w:pPr>
            <w:r>
              <w:rPr>
                <w:b/>
              </w:rPr>
              <w:t>User Action</w:t>
            </w:r>
          </w:p>
        </w:tc>
        <w:tc>
          <w:tcPr>
            <w:tcW w:w="6120" w:type="dxa"/>
            <w:shd w:val="pct30" w:color="auto" w:fill="FFFFFF"/>
            <w:vAlign w:val="bottom"/>
          </w:tcPr>
          <w:p w14:paraId="7D336384" w14:textId="77777777" w:rsidR="00B51CFF" w:rsidRDefault="00B51CFF" w:rsidP="00DB1D38">
            <w:pPr>
              <w:pStyle w:val="TableText"/>
              <w:rPr>
                <w:b/>
              </w:rPr>
            </w:pPr>
            <w:r>
              <w:rPr>
                <w:b/>
              </w:rPr>
              <w:t>VBECS</w:t>
            </w:r>
          </w:p>
        </w:tc>
      </w:tr>
      <w:tr w:rsidR="00B51CFF" w14:paraId="61FF3A9A" w14:textId="77777777">
        <w:tc>
          <w:tcPr>
            <w:tcW w:w="3240" w:type="dxa"/>
          </w:tcPr>
          <w:p w14:paraId="6CF60078" w14:textId="77777777" w:rsidR="00B51CFF" w:rsidRDefault="00B51CFF" w:rsidP="00DB1D38">
            <w:pPr>
              <w:pStyle w:val="TableTextNumbers"/>
            </w:pPr>
            <w:r>
              <w:t xml:space="preserve">Select </w:t>
            </w:r>
            <w:r>
              <w:rPr>
                <w:b/>
                <w:bCs/>
              </w:rPr>
              <w:t>Tools</w:t>
            </w:r>
            <w:r>
              <w:t xml:space="preserve"> from the main menu.</w:t>
            </w:r>
          </w:p>
          <w:p w14:paraId="347CDA4E" w14:textId="77777777" w:rsidR="00B51CFF" w:rsidRDefault="00B51CFF" w:rsidP="00DB1D38">
            <w:pPr>
              <w:pStyle w:val="TableTextNumbersContinued"/>
            </w:pPr>
          </w:p>
          <w:p w14:paraId="34CFAC97" w14:textId="75891F5F" w:rsidR="00B51CFF" w:rsidRDefault="00B51CFF" w:rsidP="00DB1D38">
            <w:pPr>
              <w:pStyle w:val="TableTextNumbersContinued"/>
            </w:pPr>
            <w:r>
              <w:t xml:space="preserve">Select </w:t>
            </w:r>
            <w:r>
              <w:rPr>
                <w:b/>
              </w:rPr>
              <w:t>Component Classes</w:t>
            </w:r>
            <w:r w:rsidR="00255293" w:rsidRPr="00255293">
              <w:t xml:space="preserve"> (</w:t>
            </w:r>
            <w:r w:rsidR="00255293">
              <w:fldChar w:fldCharType="begin" w:fldLock="1"/>
            </w:r>
            <w:r w:rsidR="00255293">
              <w:instrText xml:space="preserve"> REF _Ref126470219 \h </w:instrText>
            </w:r>
            <w:r w:rsidR="00255293">
              <w:fldChar w:fldCharType="separate"/>
            </w:r>
            <w:r w:rsidR="00AB304C">
              <w:t xml:space="preserve">Figure </w:t>
            </w:r>
            <w:r w:rsidR="00AB304C">
              <w:rPr>
                <w:noProof/>
              </w:rPr>
              <w:t>46</w:t>
            </w:r>
            <w:r w:rsidR="00255293">
              <w:fldChar w:fldCharType="end"/>
            </w:r>
            <w:r w:rsidR="00255293">
              <w:t>)</w:t>
            </w:r>
            <w:r>
              <w:t>.</w:t>
            </w:r>
          </w:p>
        </w:tc>
        <w:tc>
          <w:tcPr>
            <w:tcW w:w="6120" w:type="dxa"/>
          </w:tcPr>
          <w:p w14:paraId="1E1CF6EC" w14:textId="77777777" w:rsidR="00B51CFF" w:rsidRDefault="00B51CFF" w:rsidP="00DB1D38">
            <w:pPr>
              <w:pStyle w:val="TableTextBullet"/>
            </w:pPr>
            <w:r>
              <w:t>Displays options for processing administrative functions.</w:t>
            </w:r>
          </w:p>
          <w:p w14:paraId="58397BF2" w14:textId="77777777" w:rsidR="00B51CFF" w:rsidRDefault="00B51CFF" w:rsidP="00DB1D38">
            <w:pPr>
              <w:pStyle w:val="TableTextBullet"/>
            </w:pPr>
            <w:r>
              <w:t>Lists component classes.</w:t>
            </w:r>
          </w:p>
          <w:p w14:paraId="3054E64E" w14:textId="77777777" w:rsidR="00B51CFF" w:rsidRDefault="00B51CFF" w:rsidP="00DB1D38">
            <w:pPr>
              <w:pStyle w:val="TableTextBullet"/>
            </w:pPr>
            <w:r>
              <w:t>Displays options for configuring division component classes:</w:t>
            </w:r>
          </w:p>
          <w:p w14:paraId="44140DAF" w14:textId="77777777" w:rsidR="00B51CFF" w:rsidRDefault="00B51CFF" w:rsidP="00DB1D38">
            <w:pPr>
              <w:pStyle w:val="TableTextBullet1"/>
            </w:pPr>
            <w:r>
              <w:t>Require Current Specimen ABO/Rh Results?</w:t>
            </w:r>
          </w:p>
          <w:p w14:paraId="505DDA20" w14:textId="77777777" w:rsidR="00B51CFF" w:rsidRDefault="0052794C" w:rsidP="00DB1D38">
            <w:pPr>
              <w:pStyle w:val="TableTextBullet1"/>
            </w:pPr>
            <w:r>
              <w:t>Maximum Transfusion Time.</w:t>
            </w:r>
          </w:p>
          <w:p w14:paraId="3B85D883" w14:textId="77777777" w:rsidR="00B51CFF" w:rsidRDefault="00B51CFF" w:rsidP="00DB1D38">
            <w:pPr>
              <w:pStyle w:val="TableTextBullet"/>
            </w:pPr>
            <w:r>
              <w:t>Displays options for defining inappropriate request indicators.</w:t>
            </w:r>
          </w:p>
          <w:p w14:paraId="18D00018" w14:textId="77777777" w:rsidR="00B51CFF" w:rsidRDefault="00B51CFF" w:rsidP="00DB1D38">
            <w:pPr>
              <w:pStyle w:val="TableText"/>
              <w:rPr>
                <w:b/>
                <w:bCs/>
                <w:szCs w:val="18"/>
              </w:rPr>
            </w:pPr>
          </w:p>
          <w:p w14:paraId="7EA05EC6" w14:textId="77777777" w:rsidR="00B51CFF" w:rsidRDefault="00057948" w:rsidP="00DB1D38">
            <w:pPr>
              <w:pStyle w:val="TableText"/>
              <w:rPr>
                <w:b/>
                <w:bCs/>
                <w:szCs w:val="18"/>
              </w:rPr>
            </w:pPr>
            <w:r>
              <w:rPr>
                <w:b/>
                <w:bCs/>
                <w:noProof/>
              </w:rPr>
              <mc:AlternateContent>
                <mc:Choice Requires="wps">
                  <w:drawing>
                    <wp:anchor distT="0" distB="0" distL="114300" distR="114300" simplePos="0" relativeHeight="251705344" behindDoc="0" locked="0" layoutInCell="1" allowOverlap="1" wp14:anchorId="439A8FEB" wp14:editId="7D7C8F01">
                      <wp:simplePos x="0" y="0"/>
                      <wp:positionH relativeFrom="column">
                        <wp:posOffset>457200</wp:posOffset>
                      </wp:positionH>
                      <wp:positionV relativeFrom="paragraph">
                        <wp:posOffset>65405</wp:posOffset>
                      </wp:positionV>
                      <wp:extent cx="3200400" cy="0"/>
                      <wp:effectExtent l="9525" t="17780" r="9525" b="10795"/>
                      <wp:wrapNone/>
                      <wp:docPr id="574" name="Line 1034" descr="P1577L16C4T1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93706" id="Line 1034" o:spid="_x0000_s1026" alt="&quot;&quot;"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AZvw9bEAQAAbwMAAA4AAAAAAAAAAAAAAAAA&#10;LgIAAGRycy9lMm9Eb2MueG1sUEsBAi0AFAAGAAgAAAAhABdPMBLbAAAACAEAAA8AAAAAAAAAAAAA&#10;AAAAHgQAAGRycy9kb3ducmV2LnhtbFBLBQYAAAAABAAEAPMAAAAmBQAAAAA=&#10;" strokeweight="1.5pt"/>
                  </w:pict>
                </mc:Fallback>
              </mc:AlternateContent>
            </w:r>
            <w:r w:rsidR="00B51CFF">
              <w:rPr>
                <w:b/>
                <w:bCs/>
                <w:szCs w:val="18"/>
              </w:rPr>
              <w:t>NOTES</w:t>
            </w:r>
          </w:p>
          <w:p w14:paraId="6960CBC3" w14:textId="77777777" w:rsidR="00B51CFF" w:rsidRDefault="00B51CFF" w:rsidP="00DB1D38">
            <w:pPr>
              <w:pStyle w:val="NotesText"/>
            </w:pPr>
          </w:p>
          <w:p w14:paraId="4175DF2B" w14:textId="337907F2" w:rsidR="00B51CFF" w:rsidRDefault="00B51CFF" w:rsidP="006A576D">
            <w:pPr>
              <w:pStyle w:val="NotesText"/>
            </w:pPr>
            <w:r>
              <w:t xml:space="preserve">See </w:t>
            </w:r>
            <w:r w:rsidR="00543DAF">
              <w:fldChar w:fldCharType="begin" w:fldLock="1"/>
            </w:r>
            <w:r w:rsidR="00543DAF">
              <w:instrText xml:space="preserve"> REF _Ref170004931 \h </w:instrText>
            </w:r>
            <w:r w:rsidR="00543DAF">
              <w:fldChar w:fldCharType="separate"/>
            </w:r>
            <w:r w:rsidR="00AB304C">
              <w:t xml:space="preserve">Appendix </w:t>
            </w:r>
            <w:r w:rsidR="00AB304C">
              <w:rPr>
                <w:noProof/>
              </w:rPr>
              <w:t>B</w:t>
            </w:r>
            <w:r w:rsidR="00543DAF">
              <w:fldChar w:fldCharType="end"/>
            </w:r>
            <w:r>
              <w:t>:</w:t>
            </w:r>
            <w:r w:rsidR="006A576D">
              <w:t xml:space="preserve"> </w:t>
            </w:r>
            <w:r w:rsidR="006A576D">
              <w:fldChar w:fldCharType="begin" w:fldLock="1"/>
            </w:r>
            <w:r w:rsidR="006A576D">
              <w:instrText xml:space="preserve"> REF _Ref507152797 \h </w:instrText>
            </w:r>
            <w:r w:rsidR="006A576D">
              <w:fldChar w:fldCharType="separate"/>
            </w:r>
            <w:r w:rsidR="00AB304C" w:rsidRPr="00575E6D">
              <w:t xml:space="preserve">Table </w:t>
            </w:r>
            <w:r w:rsidR="00AB304C">
              <w:rPr>
                <w:noProof/>
              </w:rPr>
              <w:t>19</w:t>
            </w:r>
            <w:r w:rsidR="00AB304C" w:rsidRPr="00575E6D">
              <w:t xml:space="preserve">: </w:t>
            </w:r>
            <w:r w:rsidR="00AB304C" w:rsidRPr="00575E6D">
              <w:rPr>
                <w:vanish/>
              </w:rPr>
              <w:t xml:space="preserve">PT_1.06 </w:t>
            </w:r>
            <w:r w:rsidR="00AB304C" w:rsidRPr="00575E6D">
              <w:t>CPRS Orderable Blood Components (Component Classes) Mapped to ICCBBA Component Classes</w:t>
            </w:r>
            <w:r w:rsidR="006A576D">
              <w:fldChar w:fldCharType="end"/>
            </w:r>
            <w:r w:rsidR="006A576D">
              <w:t>.</w:t>
            </w:r>
          </w:p>
        </w:tc>
      </w:tr>
      <w:tr w:rsidR="00B51CFF" w14:paraId="0D077E49" w14:textId="77777777" w:rsidTr="007E500E">
        <w:trPr>
          <w:cantSplit/>
        </w:trPr>
        <w:tc>
          <w:tcPr>
            <w:tcW w:w="3240" w:type="dxa"/>
          </w:tcPr>
          <w:p w14:paraId="177818D0" w14:textId="77777777" w:rsidR="00B51CFF" w:rsidRDefault="00B51CFF" w:rsidP="00DB1D38">
            <w:pPr>
              <w:pStyle w:val="TableTextNumbers"/>
            </w:pPr>
            <w:r>
              <w:lastRenderedPageBreak/>
              <w:t>Select a class from the Select Component Class list.</w:t>
            </w:r>
          </w:p>
          <w:p w14:paraId="755CA87E" w14:textId="77777777" w:rsidR="00B51CFF" w:rsidRDefault="00B51CFF" w:rsidP="00DB1D38">
            <w:pPr>
              <w:pStyle w:val="TableTextNumbersContinued"/>
              <w:rPr>
                <w:b/>
                <w:bCs/>
              </w:rPr>
            </w:pPr>
          </w:p>
          <w:p w14:paraId="7EB8EE2B" w14:textId="77777777" w:rsidR="00B51CFF" w:rsidRDefault="00B51CFF" w:rsidP="00DB1D38">
            <w:pPr>
              <w:pStyle w:val="TableTextNumbersContinued"/>
            </w:pPr>
            <w:r>
              <w:t xml:space="preserve">Click </w:t>
            </w:r>
            <w:r>
              <w:rPr>
                <w:b/>
              </w:rPr>
              <w:t>OK</w:t>
            </w:r>
            <w:r>
              <w:t xml:space="preserve"> to accept the list, or click the </w:t>
            </w:r>
            <w:r>
              <w:rPr>
                <w:b/>
              </w:rPr>
              <w:t xml:space="preserve">Require Current Specimen ABO/Rh Results? </w:t>
            </w:r>
            <w:r w:rsidRPr="00D1100E">
              <w:t>check box</w:t>
            </w:r>
            <w:r>
              <w:t>, when appropriate.</w:t>
            </w:r>
          </w:p>
        </w:tc>
        <w:tc>
          <w:tcPr>
            <w:tcW w:w="6120" w:type="dxa"/>
          </w:tcPr>
          <w:p w14:paraId="1795E654" w14:textId="77777777" w:rsidR="00B51CFF" w:rsidRDefault="00B51CFF" w:rsidP="00DB1D38">
            <w:pPr>
              <w:pStyle w:val="TableTextBullet"/>
            </w:pPr>
            <w:r>
              <w:t xml:space="preserve">Requires current specimen ABO/Rh results for issue. </w:t>
            </w:r>
          </w:p>
          <w:p w14:paraId="6CB1DDFC" w14:textId="77777777" w:rsidR="00B51CFF" w:rsidRDefault="00B51CFF" w:rsidP="00DB1D38">
            <w:pPr>
              <w:pStyle w:val="TableTextBullet"/>
            </w:pPr>
            <w:r>
              <w:t xml:space="preserve">Defines the maximum transfusion times. </w:t>
            </w:r>
          </w:p>
          <w:p w14:paraId="7E9DF299" w14:textId="77777777" w:rsidR="00B51CFF" w:rsidRDefault="00B51CFF" w:rsidP="00DB1D38">
            <w:pPr>
              <w:pStyle w:val="TableTextBullet"/>
            </w:pPr>
            <w:r>
              <w:t>Defines inappropriate request indicators.</w:t>
            </w:r>
          </w:p>
          <w:p w14:paraId="0C70C0B6" w14:textId="77777777" w:rsidR="00B51CFF" w:rsidRDefault="00B51CFF" w:rsidP="00DB1D38">
            <w:pPr>
              <w:pStyle w:val="TableTextBullet"/>
            </w:pPr>
            <w:r>
              <w:t>Allows the user to edit this parameter for component classes that do not contain only red blood cells.</w:t>
            </w:r>
          </w:p>
          <w:p w14:paraId="5C9DB399" w14:textId="77777777" w:rsidR="00B51CFF" w:rsidRDefault="00B51CFF" w:rsidP="00DB1D38">
            <w:pPr>
              <w:pStyle w:val="TableTextBullet"/>
            </w:pPr>
            <w:r>
              <w:t>Saves the component to the division list.</w:t>
            </w:r>
          </w:p>
          <w:p w14:paraId="28FFD83D" w14:textId="77777777" w:rsidR="00B51CFF" w:rsidRDefault="00B51CFF" w:rsidP="00DB1D38">
            <w:pPr>
              <w:pStyle w:val="TableText"/>
            </w:pPr>
          </w:p>
          <w:p w14:paraId="7A1765F6" w14:textId="77777777" w:rsidR="00B51CFF" w:rsidRDefault="00057948" w:rsidP="00DB1D38">
            <w:pPr>
              <w:pStyle w:val="TableText"/>
              <w:rPr>
                <w:b/>
                <w:bCs/>
                <w:szCs w:val="18"/>
              </w:rPr>
            </w:pPr>
            <w:r>
              <w:rPr>
                <w:b/>
                <w:bCs/>
                <w:noProof/>
              </w:rPr>
              <mc:AlternateContent>
                <mc:Choice Requires="wps">
                  <w:drawing>
                    <wp:anchor distT="0" distB="0" distL="114300" distR="114300" simplePos="0" relativeHeight="251707392" behindDoc="0" locked="0" layoutInCell="1" allowOverlap="1" wp14:anchorId="7D52108E" wp14:editId="2E8721A9">
                      <wp:simplePos x="0" y="0"/>
                      <wp:positionH relativeFrom="column">
                        <wp:posOffset>457200</wp:posOffset>
                      </wp:positionH>
                      <wp:positionV relativeFrom="paragraph">
                        <wp:posOffset>65405</wp:posOffset>
                      </wp:positionV>
                      <wp:extent cx="3200400" cy="0"/>
                      <wp:effectExtent l="9525" t="17780" r="9525" b="10795"/>
                      <wp:wrapNone/>
                      <wp:docPr id="573" name="Line 1035" descr="P1590L16C6T1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3C4F5" id="Line 1035" o:spid="_x0000_s1026" alt="&quot;&quot;"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sLQu9MMBAABvAwAADgAAAAAAAAAAAAAAAAAu&#10;AgAAZHJzL2Uyb0RvYy54bWxQSwECLQAUAAYACAAAACEAF08wEtsAAAAIAQAADwAAAAAAAAAAAAAA&#10;AAAdBAAAZHJzL2Rvd25yZXYueG1sUEsFBgAAAAAEAAQA8wAAACUFAAAAAA==&#10;" strokeweight="1.5pt"/>
                  </w:pict>
                </mc:Fallback>
              </mc:AlternateContent>
            </w:r>
            <w:r w:rsidR="00B51CFF">
              <w:rPr>
                <w:b/>
                <w:bCs/>
                <w:szCs w:val="18"/>
              </w:rPr>
              <w:t>NOTES</w:t>
            </w:r>
          </w:p>
          <w:p w14:paraId="6EAF8B58" w14:textId="77777777" w:rsidR="00B51CFF" w:rsidRDefault="00B51CFF" w:rsidP="00DB1D38">
            <w:pPr>
              <w:pStyle w:val="NotesText"/>
            </w:pPr>
          </w:p>
          <w:p w14:paraId="5F81AE45" w14:textId="77777777" w:rsidR="00B51CFF" w:rsidRDefault="00B51CFF" w:rsidP="00DB1D38">
            <w:pPr>
              <w:pStyle w:val="NotesText"/>
            </w:pPr>
            <w:r>
              <w:t>Component class configuration is required. Component classes: RED BLOOD CELLS, FFP, CRYO, PLT, WHOLE BLOOD, and OTHER.</w:t>
            </w:r>
          </w:p>
        </w:tc>
      </w:tr>
      <w:tr w:rsidR="00B51CFF" w14:paraId="36CC9029" w14:textId="77777777">
        <w:tc>
          <w:tcPr>
            <w:tcW w:w="3240" w:type="dxa"/>
          </w:tcPr>
          <w:p w14:paraId="73847B9A" w14:textId="77777777" w:rsidR="00B51CFF" w:rsidRDefault="00B51CFF" w:rsidP="00DB1D38">
            <w:pPr>
              <w:pStyle w:val="TableTextNumbers"/>
            </w:pPr>
            <w:r>
              <w:t>Edit the maximum transfusion time.</w:t>
            </w:r>
          </w:p>
        </w:tc>
        <w:tc>
          <w:tcPr>
            <w:tcW w:w="6120" w:type="dxa"/>
          </w:tcPr>
          <w:p w14:paraId="3C86AEEB" w14:textId="77777777" w:rsidR="00B51CFF" w:rsidRDefault="00B51CFF" w:rsidP="00DB1D38">
            <w:pPr>
              <w:pStyle w:val="TableText"/>
            </w:pPr>
          </w:p>
          <w:p w14:paraId="15F13D79" w14:textId="77777777" w:rsidR="00B51CFF" w:rsidRDefault="00057948" w:rsidP="00DB1D38">
            <w:pPr>
              <w:pStyle w:val="TableText"/>
              <w:rPr>
                <w:b/>
                <w:bCs/>
                <w:szCs w:val="18"/>
              </w:rPr>
            </w:pPr>
            <w:r>
              <w:rPr>
                <w:b/>
                <w:bCs/>
                <w:noProof/>
              </w:rPr>
              <mc:AlternateContent>
                <mc:Choice Requires="wps">
                  <w:drawing>
                    <wp:anchor distT="0" distB="0" distL="114300" distR="114300" simplePos="0" relativeHeight="251709440" behindDoc="0" locked="0" layoutInCell="1" allowOverlap="1" wp14:anchorId="785ED271" wp14:editId="11231375">
                      <wp:simplePos x="0" y="0"/>
                      <wp:positionH relativeFrom="column">
                        <wp:posOffset>457200</wp:posOffset>
                      </wp:positionH>
                      <wp:positionV relativeFrom="paragraph">
                        <wp:posOffset>65405</wp:posOffset>
                      </wp:positionV>
                      <wp:extent cx="3200400" cy="0"/>
                      <wp:effectExtent l="9525" t="17780" r="9525" b="10795"/>
                      <wp:wrapNone/>
                      <wp:docPr id="572" name="Line 1036" descr="P1596L16C8T1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1158F" id="Line 1036" o:spid="_x0000_s1026" alt="&quot;&quot;"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JRpYnjEAQAAbwMAAA4AAAAAAAAAAAAAAAAA&#10;LgIAAGRycy9lMm9Eb2MueG1sUEsBAi0AFAAGAAgAAAAhABdPMBLbAAAACAEAAA8AAAAAAAAAAAAA&#10;AAAAHgQAAGRycy9kb3ducmV2LnhtbFBLBQYAAAAABAAEAPMAAAAmBQAAAAA=&#10;" strokeweight="1.5pt"/>
                  </w:pict>
                </mc:Fallback>
              </mc:AlternateContent>
            </w:r>
            <w:r w:rsidR="00B51CFF">
              <w:rPr>
                <w:b/>
                <w:bCs/>
                <w:szCs w:val="18"/>
              </w:rPr>
              <w:t>NOTES</w:t>
            </w:r>
          </w:p>
          <w:p w14:paraId="62D00519" w14:textId="77777777" w:rsidR="00B51CFF" w:rsidRDefault="00B51CFF" w:rsidP="00DB1D38">
            <w:pPr>
              <w:pStyle w:val="NotesText"/>
            </w:pPr>
          </w:p>
          <w:p w14:paraId="61608E7C" w14:textId="77777777" w:rsidR="00B51CFF" w:rsidRDefault="00B51CFF" w:rsidP="00DB1D38">
            <w:pPr>
              <w:pStyle w:val="NotesText"/>
            </w:pPr>
            <w:r w:rsidRPr="00C21893">
              <w:rPr>
                <w:rFonts w:cs="Arial"/>
                <w:vanish/>
                <w:szCs w:val="18"/>
              </w:rPr>
              <w:t xml:space="preserve">BR_50.04 </w:t>
            </w:r>
            <w:r w:rsidRPr="00C21893">
              <w:rPr>
                <w:rFonts w:cs="Arial"/>
                <w:szCs w:val="18"/>
              </w:rPr>
              <w:t>V</w:t>
            </w:r>
            <w:r>
              <w:t>BECS records the maximum transfusion time from the transfusion start to the transfusion end time in minutes with a default of 270 minutes. The user may edit the maximum transfusion time to a minimum time of 5 minutes and a maximum time of 999 minutes.</w:t>
            </w:r>
          </w:p>
          <w:p w14:paraId="5047154B" w14:textId="77777777" w:rsidR="00B51CFF" w:rsidRDefault="00B51CFF" w:rsidP="00DB1D38">
            <w:pPr>
              <w:pStyle w:val="NotesText"/>
            </w:pPr>
          </w:p>
          <w:p w14:paraId="5208CDD0" w14:textId="77777777" w:rsidR="00B51CFF" w:rsidRDefault="00B51CFF" w:rsidP="00DB1D38">
            <w:pPr>
              <w:pStyle w:val="NotesText"/>
            </w:pPr>
            <w:r>
              <w:t xml:space="preserve">VBECS uses the maximum transfusion times in minutes to determine whether the time used to transfuse a unit of blood is inappropriate for a class. </w:t>
            </w:r>
          </w:p>
        </w:tc>
      </w:tr>
      <w:tr w:rsidR="00B51CFF" w14:paraId="0BA631FE" w14:textId="77777777">
        <w:tc>
          <w:tcPr>
            <w:tcW w:w="3240" w:type="dxa"/>
          </w:tcPr>
          <w:p w14:paraId="60C34870" w14:textId="77777777" w:rsidR="00B51CFF" w:rsidRDefault="00B51CFF" w:rsidP="00DB1D38">
            <w:pPr>
              <w:pStyle w:val="TableTextNumbers"/>
            </w:pPr>
            <w:r>
              <w:t>Define the inappropriate request indicators.</w:t>
            </w:r>
          </w:p>
          <w:p w14:paraId="3EBEDED5" w14:textId="77777777" w:rsidR="00B51CFF" w:rsidRDefault="00B51CFF" w:rsidP="00DB1D38">
            <w:pPr>
              <w:pStyle w:val="TableTextNumbersContinued"/>
              <w:rPr>
                <w:b/>
                <w:bCs/>
              </w:rPr>
            </w:pPr>
          </w:p>
          <w:p w14:paraId="3B776BAB" w14:textId="77777777" w:rsidR="00B51CFF" w:rsidRDefault="00B51CFF" w:rsidP="00DB1D38">
            <w:pPr>
              <w:pStyle w:val="TableTextNumbersContinued"/>
            </w:pPr>
            <w:r>
              <w:t xml:space="preserve">Click the </w:t>
            </w:r>
            <w:r w:rsidR="00A6373D">
              <w:rPr>
                <w:b/>
              </w:rPr>
              <w:t>find</w:t>
            </w:r>
            <w:r w:rsidRPr="00BF2E41">
              <w:t xml:space="preserve"> button</w:t>
            </w:r>
            <w:r>
              <w:t xml:space="preserve"> to search for a new laboratory test name.</w:t>
            </w:r>
          </w:p>
          <w:p w14:paraId="6F6A543D" w14:textId="77777777" w:rsidR="00B51CFF" w:rsidRDefault="00B51CFF" w:rsidP="00DB1D38">
            <w:pPr>
              <w:pStyle w:val="TableTextNumbersContinued"/>
            </w:pPr>
          </w:p>
          <w:p w14:paraId="5D2E8F2F" w14:textId="77777777" w:rsidR="00B51CFF" w:rsidRDefault="00B51CFF" w:rsidP="00DB1D38">
            <w:pPr>
              <w:pStyle w:val="TableTextNumbersContinued"/>
            </w:pPr>
            <w:r>
              <w:t>Enter a partial lab</w:t>
            </w:r>
            <w:r w:rsidR="008632FE">
              <w:t>oratory</w:t>
            </w:r>
            <w:r>
              <w:t xml:space="preserve"> test name and click </w:t>
            </w:r>
            <w:r w:rsidR="00173187" w:rsidRPr="00173187">
              <w:rPr>
                <w:b/>
              </w:rPr>
              <w:t>Search</w:t>
            </w:r>
            <w:r>
              <w:t>.</w:t>
            </w:r>
          </w:p>
          <w:p w14:paraId="5E37F4FC" w14:textId="77777777" w:rsidR="00B51CFF" w:rsidRDefault="00B51CFF" w:rsidP="00DB1D38">
            <w:pPr>
              <w:pStyle w:val="TableTextNumbersContinued"/>
            </w:pPr>
          </w:p>
          <w:p w14:paraId="23BE4B81" w14:textId="77777777" w:rsidR="00B51CFF" w:rsidRDefault="00B51CFF" w:rsidP="00DB1D38">
            <w:pPr>
              <w:pStyle w:val="TableTextNumbersContinued"/>
            </w:pPr>
            <w:r>
              <w:t>Select a lab</w:t>
            </w:r>
            <w:r w:rsidR="008632FE">
              <w:t>oratory</w:t>
            </w:r>
            <w:r>
              <w:t xml:space="preserve"> test name and click </w:t>
            </w:r>
            <w:r>
              <w:rPr>
                <w:b/>
              </w:rPr>
              <w:t>OK</w:t>
            </w:r>
            <w:r>
              <w:t xml:space="preserve"> to add it.</w:t>
            </w:r>
          </w:p>
          <w:p w14:paraId="5663532D" w14:textId="77777777" w:rsidR="00B51CFF" w:rsidRDefault="00B51CFF" w:rsidP="00DB1D38">
            <w:pPr>
              <w:pStyle w:val="TableTextNumbersContinued"/>
            </w:pPr>
          </w:p>
          <w:p w14:paraId="3B7AD1D8" w14:textId="77777777" w:rsidR="00B51CFF" w:rsidRDefault="00B51CFF" w:rsidP="00DB1D38">
            <w:pPr>
              <w:pStyle w:val="TableTextNumbersContinued"/>
            </w:pPr>
            <w:r>
              <w:t xml:space="preserve">Click the </w:t>
            </w:r>
            <w:r>
              <w:rPr>
                <w:b/>
              </w:rPr>
              <w:t xml:space="preserve">Show Inactive Inappropriate Request Indicators </w:t>
            </w:r>
            <w:r w:rsidRPr="00D1100E">
              <w:t>check box</w:t>
            </w:r>
            <w:r>
              <w:t>, if desired.</w:t>
            </w:r>
          </w:p>
        </w:tc>
        <w:tc>
          <w:tcPr>
            <w:tcW w:w="6120" w:type="dxa"/>
          </w:tcPr>
          <w:p w14:paraId="71D125E8" w14:textId="77777777" w:rsidR="00B51CFF" w:rsidRDefault="00B51CFF" w:rsidP="00DB1D38">
            <w:pPr>
              <w:pStyle w:val="TableTextBullet"/>
            </w:pPr>
            <w:r>
              <w:t>Facilitates data entry of one or more inappropriate request indicators:</w:t>
            </w:r>
          </w:p>
          <w:p w14:paraId="7FA81855" w14:textId="77777777" w:rsidR="00B51CFF" w:rsidRDefault="00B51CFF" w:rsidP="00DB1D38">
            <w:pPr>
              <w:pStyle w:val="TableTextBullet1"/>
            </w:pPr>
            <w:r>
              <w:t>Laboratory Test Name</w:t>
            </w:r>
          </w:p>
          <w:p w14:paraId="6EBA7A2C" w14:textId="77777777" w:rsidR="00B51CFF" w:rsidRDefault="00B51CFF" w:rsidP="00DB1D38">
            <w:pPr>
              <w:pStyle w:val="TableTextBullet1"/>
            </w:pPr>
            <w:r>
              <w:t>Specimen Type</w:t>
            </w:r>
          </w:p>
          <w:p w14:paraId="02EDEF96" w14:textId="77777777" w:rsidR="00B51CFF" w:rsidRDefault="00B51CFF" w:rsidP="00DB1D38">
            <w:pPr>
              <w:pStyle w:val="TableTextBullet1"/>
            </w:pPr>
            <w:r>
              <w:t>Threshold Result</w:t>
            </w:r>
          </w:p>
          <w:p w14:paraId="7D0CFBDF" w14:textId="77777777" w:rsidR="00B51CFF" w:rsidRDefault="00B51CFF" w:rsidP="00DB1D38">
            <w:pPr>
              <w:pStyle w:val="TableTextBullet"/>
            </w:pPr>
            <w:r>
              <w:t>Uses VistALink to retrieve the laboratory test name and specimen type indicators. The user enters the threshold result indicator.</w:t>
            </w:r>
          </w:p>
          <w:p w14:paraId="7627848F" w14:textId="77777777" w:rsidR="00B51CFF" w:rsidRDefault="00B51CFF" w:rsidP="00DB1D38">
            <w:pPr>
              <w:pStyle w:val="TableTextBullet"/>
            </w:pPr>
            <w:r>
              <w:t>Displays the entry and allows the user to edit it.</w:t>
            </w:r>
          </w:p>
          <w:p w14:paraId="65155E1A" w14:textId="77777777" w:rsidR="008632FE" w:rsidRDefault="00595334" w:rsidP="00DB1D38">
            <w:pPr>
              <w:pStyle w:val="TableTextBullet"/>
            </w:pPr>
            <w:r>
              <w:t>Displays inactive tests and allows the user to reactivate them.</w:t>
            </w:r>
          </w:p>
          <w:p w14:paraId="7FC80AE5" w14:textId="77777777" w:rsidR="00B51CFF" w:rsidRDefault="00B51CFF" w:rsidP="00DB1D38">
            <w:pPr>
              <w:pStyle w:val="TableText"/>
            </w:pPr>
          </w:p>
          <w:p w14:paraId="3856F245" w14:textId="77777777" w:rsidR="00B51CFF" w:rsidRDefault="00057948" w:rsidP="00DB1D38">
            <w:pPr>
              <w:pStyle w:val="TableText"/>
              <w:rPr>
                <w:b/>
                <w:bCs/>
                <w:szCs w:val="18"/>
              </w:rPr>
            </w:pPr>
            <w:r>
              <w:rPr>
                <w:b/>
                <w:bCs/>
                <w:noProof/>
              </w:rPr>
              <mc:AlternateContent>
                <mc:Choice Requires="wps">
                  <w:drawing>
                    <wp:anchor distT="0" distB="0" distL="114300" distR="114300" simplePos="0" relativeHeight="251711488" behindDoc="0" locked="0" layoutInCell="1" allowOverlap="1" wp14:anchorId="13F69217" wp14:editId="09AE38CA">
                      <wp:simplePos x="0" y="0"/>
                      <wp:positionH relativeFrom="column">
                        <wp:posOffset>457200</wp:posOffset>
                      </wp:positionH>
                      <wp:positionV relativeFrom="paragraph">
                        <wp:posOffset>65405</wp:posOffset>
                      </wp:positionV>
                      <wp:extent cx="3200400" cy="0"/>
                      <wp:effectExtent l="9525" t="17780" r="9525" b="10795"/>
                      <wp:wrapNone/>
                      <wp:docPr id="571" name="Line 1037" descr="P1619L16C10T1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57270" id="Line 1037" o:spid="_x0000_s1026" alt="&quot;&quot;"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N3qMi/EAQAAbwMAAA4AAAAAAAAAAAAAAAAA&#10;LgIAAGRycy9lMm9Eb2MueG1sUEsBAi0AFAAGAAgAAAAhABdPMBLbAAAACAEAAA8AAAAAAAAAAAAA&#10;AAAAHgQAAGRycy9kb3ducmV2LnhtbFBLBQYAAAAABAAEAPMAAAAmBQAAAAA=&#10;" strokeweight="1.5pt"/>
                  </w:pict>
                </mc:Fallback>
              </mc:AlternateContent>
            </w:r>
            <w:r w:rsidR="00B51CFF">
              <w:rPr>
                <w:b/>
                <w:bCs/>
                <w:szCs w:val="18"/>
              </w:rPr>
              <w:t>NOTES</w:t>
            </w:r>
          </w:p>
          <w:p w14:paraId="7A991D4D" w14:textId="77777777" w:rsidR="00B51CFF" w:rsidRDefault="00B51CFF" w:rsidP="00DB1D38">
            <w:pPr>
              <w:pStyle w:val="NotesText"/>
            </w:pPr>
          </w:p>
          <w:p w14:paraId="5F0603D0" w14:textId="77777777" w:rsidR="00B51CFF" w:rsidRDefault="00B51CFF" w:rsidP="00DB1D38">
            <w:pPr>
              <w:pStyle w:val="NotesText"/>
            </w:pPr>
            <w:r w:rsidRPr="00E274BF">
              <w:rPr>
                <w:rFonts w:cs="Arial"/>
                <w:vanish/>
                <w:szCs w:val="18"/>
              </w:rPr>
              <w:t>BR_33.01</w:t>
            </w:r>
            <w:r w:rsidRPr="009660C3">
              <w:rPr>
                <w:vanish/>
                <w:szCs w:val="18"/>
              </w:rPr>
              <w:t xml:space="preserve"> </w:t>
            </w:r>
            <w:r>
              <w:t xml:space="preserve">VBECS uses the laboratory test name as the only input parameter to search for all possible matches and return the Laboratory Test Name, Specimen Type(s), and </w:t>
            </w:r>
            <w:r w:rsidRPr="00CA0045">
              <w:t>VistA</w:t>
            </w:r>
            <w:r>
              <w:t xml:space="preserve"> Lab Test </w:t>
            </w:r>
            <w:r w:rsidR="001A1559">
              <w:t>Internal Entry Number (</w:t>
            </w:r>
            <w:r>
              <w:t>IEN</w:t>
            </w:r>
            <w:r w:rsidR="001A1559">
              <w:t>)</w:t>
            </w:r>
            <w:r>
              <w:t>.</w:t>
            </w:r>
          </w:p>
          <w:p w14:paraId="04CD31AF" w14:textId="77777777" w:rsidR="00B51CFF" w:rsidRDefault="00B51CFF" w:rsidP="00DB1D38">
            <w:pPr>
              <w:pStyle w:val="NotesText"/>
            </w:pPr>
          </w:p>
          <w:p w14:paraId="4EF7C85C" w14:textId="77777777" w:rsidR="00B51CFF" w:rsidRDefault="00B51CFF" w:rsidP="00DB1D38">
            <w:pPr>
              <w:pStyle w:val="NotesText"/>
            </w:pPr>
            <w:r w:rsidRPr="00E274BF">
              <w:rPr>
                <w:rFonts w:cs="Arial"/>
                <w:vanish/>
                <w:szCs w:val="18"/>
              </w:rPr>
              <w:t>BR_50.05</w:t>
            </w:r>
            <w:r w:rsidRPr="009660C3">
              <w:rPr>
                <w:vanish/>
                <w:szCs w:val="18"/>
              </w:rPr>
              <w:t xml:space="preserve"> </w:t>
            </w:r>
            <w:r>
              <w:t>A numeric threshold result must include “&lt;” or “&gt;”and a numerical result, e.g., “&gt;8.0.”</w:t>
            </w:r>
          </w:p>
          <w:p w14:paraId="12CE5DB2" w14:textId="77777777" w:rsidR="00B51CFF" w:rsidRDefault="00B51CFF" w:rsidP="00DB1D38">
            <w:pPr>
              <w:pStyle w:val="NotesText"/>
            </w:pPr>
          </w:p>
          <w:p w14:paraId="11ED3B33" w14:textId="77777777" w:rsidR="00B51CFF" w:rsidRDefault="00B51CFF" w:rsidP="00DB1D38">
            <w:pPr>
              <w:pStyle w:val="NotesText"/>
            </w:pPr>
            <w:r>
              <w:t xml:space="preserve">The settings here indicate predetermined levels used to determine the appropriateness of a component order. Settings are different for each component class. The example of a “&gt;8.0” hemoglobin level is set according to local policy. </w:t>
            </w:r>
          </w:p>
          <w:p w14:paraId="5504DC95" w14:textId="77777777" w:rsidR="00B51CFF" w:rsidRDefault="00B51CFF" w:rsidP="00DB1D38">
            <w:pPr>
              <w:pStyle w:val="NotesText"/>
            </w:pPr>
          </w:p>
          <w:p w14:paraId="368F1DCA" w14:textId="77777777" w:rsidR="00B51CFF" w:rsidRDefault="00B51CFF" w:rsidP="00DB1D38">
            <w:pPr>
              <w:pStyle w:val="NotesText"/>
            </w:pPr>
            <w:r>
              <w:t>An example of an inappropriate request indicator:</w:t>
            </w:r>
          </w:p>
          <w:p w14:paraId="2B76AA2C" w14:textId="77777777" w:rsidR="00B51CFF" w:rsidRDefault="00B51CFF" w:rsidP="00DB1D38">
            <w:pPr>
              <w:pStyle w:val="NotesTextBullet"/>
              <w:rPr>
                <w:b/>
              </w:rPr>
            </w:pPr>
            <w:r>
              <w:t>The test name is “HGB.”</w:t>
            </w:r>
          </w:p>
          <w:p w14:paraId="026B2105" w14:textId="77777777" w:rsidR="00B51CFF" w:rsidRDefault="00B51CFF" w:rsidP="00DB1D38">
            <w:pPr>
              <w:pStyle w:val="NotesTextBullet"/>
            </w:pPr>
            <w:r>
              <w:t>The specimen is entered as “Blood.”</w:t>
            </w:r>
          </w:p>
          <w:p w14:paraId="62DE77C8" w14:textId="77777777" w:rsidR="00B51CFF" w:rsidRDefault="00B51CFF" w:rsidP="00DB1D38">
            <w:pPr>
              <w:pStyle w:val="NotesTextBullet"/>
              <w:rPr>
                <w:b/>
              </w:rPr>
            </w:pPr>
            <w:r>
              <w:t>The threshold result is set to “&gt;8.0.”</w:t>
            </w:r>
          </w:p>
        </w:tc>
      </w:tr>
      <w:tr w:rsidR="00B51CFF" w14:paraId="5A316669" w14:textId="77777777">
        <w:tc>
          <w:tcPr>
            <w:tcW w:w="3240" w:type="dxa"/>
          </w:tcPr>
          <w:p w14:paraId="01D88AD5" w14:textId="77777777" w:rsidR="00B51CFF" w:rsidRDefault="00B51CFF" w:rsidP="00DB1D38">
            <w:pPr>
              <w:pStyle w:val="TableTextNumbers"/>
            </w:pPr>
            <w:r>
              <w:t xml:space="preserve">Click </w:t>
            </w:r>
            <w:r>
              <w:rPr>
                <w:b/>
              </w:rPr>
              <w:t>Add</w:t>
            </w:r>
            <w:r>
              <w:t xml:space="preserve"> to add the VBECS component class site parameters to the database.</w:t>
            </w:r>
          </w:p>
        </w:tc>
        <w:tc>
          <w:tcPr>
            <w:tcW w:w="6120" w:type="dxa"/>
          </w:tcPr>
          <w:p w14:paraId="6B52D1A3" w14:textId="77777777" w:rsidR="00B51CFF" w:rsidRDefault="00B51CFF" w:rsidP="00DB1D38">
            <w:pPr>
              <w:pStyle w:val="TableTextBullet"/>
            </w:pPr>
            <w:r>
              <w:t>Displays the component class parameters and allows the user to edit them before saving.</w:t>
            </w:r>
          </w:p>
          <w:p w14:paraId="63414643" w14:textId="77777777" w:rsidR="00B51CFF" w:rsidRDefault="00B51CFF" w:rsidP="00DB1D38">
            <w:pPr>
              <w:pStyle w:val="TableText"/>
            </w:pPr>
          </w:p>
        </w:tc>
      </w:tr>
      <w:tr w:rsidR="00B51CFF" w14:paraId="7FBE5D3E" w14:textId="77777777">
        <w:tc>
          <w:tcPr>
            <w:tcW w:w="3240" w:type="dxa"/>
          </w:tcPr>
          <w:p w14:paraId="34329D77" w14:textId="77777777" w:rsidR="00B51CFF" w:rsidRDefault="00047C63" w:rsidP="00DB1D38">
            <w:pPr>
              <w:pStyle w:val="TableTextNumbers"/>
            </w:pPr>
            <w:r>
              <w:lastRenderedPageBreak/>
              <w:t>Repeat Steps 2–5</w:t>
            </w:r>
            <w:r w:rsidR="00B51CFF">
              <w:t xml:space="preserve"> for each component class to be edited.</w:t>
            </w:r>
          </w:p>
        </w:tc>
        <w:tc>
          <w:tcPr>
            <w:tcW w:w="6120" w:type="dxa"/>
          </w:tcPr>
          <w:p w14:paraId="14CFB779" w14:textId="77777777" w:rsidR="00B51CFF" w:rsidRDefault="00B51CFF" w:rsidP="00DB1D38">
            <w:pPr>
              <w:pStyle w:val="TableText"/>
            </w:pPr>
          </w:p>
        </w:tc>
      </w:tr>
      <w:tr w:rsidR="00B51CFF" w14:paraId="1DAAF0F9" w14:textId="77777777">
        <w:tc>
          <w:tcPr>
            <w:tcW w:w="3240" w:type="dxa"/>
          </w:tcPr>
          <w:p w14:paraId="450C0DE2" w14:textId="77777777" w:rsidR="00B51CFF" w:rsidRDefault="00B51CFF" w:rsidP="00DB1D38">
            <w:pPr>
              <w:pStyle w:val="TableTextNumbers"/>
            </w:pPr>
            <w:r>
              <w:t xml:space="preserve">Click </w:t>
            </w:r>
            <w:r>
              <w:rPr>
                <w:b/>
              </w:rPr>
              <w:t>OK</w:t>
            </w:r>
            <w:r>
              <w:t xml:space="preserve"> to save.</w:t>
            </w:r>
          </w:p>
          <w:p w14:paraId="7A7D6267" w14:textId="77777777" w:rsidR="00B51CFF" w:rsidRDefault="00B51CFF" w:rsidP="00DB1D38">
            <w:pPr>
              <w:pStyle w:val="TableTextNumbersContinued"/>
              <w:rPr>
                <w:b/>
                <w:bCs/>
              </w:rPr>
            </w:pPr>
          </w:p>
          <w:p w14:paraId="3734F850" w14:textId="77777777" w:rsidR="00B51CFF" w:rsidRDefault="00B51CFF" w:rsidP="00DB1D38">
            <w:pPr>
              <w:pStyle w:val="TableTextNumbersContinued"/>
              <w:rPr>
                <w:b/>
                <w:bCs/>
              </w:rPr>
            </w:pPr>
            <w:r>
              <w:rPr>
                <w:rStyle w:val="TableTextNumbersChar"/>
              </w:rPr>
              <w:t xml:space="preserve">Click </w:t>
            </w:r>
            <w:r>
              <w:rPr>
                <w:rStyle w:val="TableTextNumbersChar"/>
                <w:b/>
              </w:rPr>
              <w:t>Yes</w:t>
            </w:r>
            <w:r>
              <w:rPr>
                <w:rStyle w:val="TableTextNumbersChar"/>
              </w:rPr>
              <w:t xml:space="preserve"> to confirm changes and exit.</w:t>
            </w:r>
            <w:r>
              <w:rPr>
                <w:b/>
                <w:bCs/>
              </w:rPr>
              <w:t xml:space="preserve">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14:paraId="0626E850" w14:textId="77777777" w:rsidR="00B51CFF" w:rsidRDefault="00B51CFF" w:rsidP="00DB1D38">
            <w:pPr>
              <w:pStyle w:val="TableTextBullet"/>
            </w:pPr>
            <w:r>
              <w:t>Updates the database and captures changes to previously defined parameters for inclusion in an Audit Trail Report.</w:t>
            </w:r>
          </w:p>
        </w:tc>
      </w:tr>
    </w:tbl>
    <w:p w14:paraId="41EB44DE" w14:textId="77777777" w:rsidR="002118B0" w:rsidRDefault="002118B0" w:rsidP="00B51CFF">
      <w:pPr>
        <w:pStyle w:val="Heading2"/>
      </w:pPr>
    </w:p>
    <w:p w14:paraId="79BDCC44" w14:textId="379420F8" w:rsidR="002118B0" w:rsidRDefault="002118B0" w:rsidP="002118B0">
      <w:pPr>
        <w:pStyle w:val="Caption"/>
      </w:pPr>
      <w:bookmarkStart w:id="180" w:name="_Ref126470219"/>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46</w:t>
      </w:r>
      <w:r w:rsidR="004E20BD">
        <w:rPr>
          <w:noProof/>
        </w:rPr>
        <w:fldChar w:fldCharType="end"/>
      </w:r>
      <w:bookmarkEnd w:id="180"/>
      <w:r>
        <w:t>: Component Classes</w:t>
      </w:r>
    </w:p>
    <w:p w14:paraId="015241D2" w14:textId="77777777" w:rsidR="002118B0" w:rsidRPr="002118B0" w:rsidRDefault="00057948" w:rsidP="0066425F">
      <w:pPr>
        <w:pStyle w:val="BodyText"/>
      </w:pPr>
      <w:r>
        <w:rPr>
          <w:noProof/>
        </w:rPr>
        <w:drawing>
          <wp:inline distT="0" distB="0" distL="0" distR="0" wp14:anchorId="7B7A5E12" wp14:editId="7BC54338">
            <wp:extent cx="5356860" cy="3971925"/>
            <wp:effectExtent l="0" t="0" r="0" b="9525"/>
            <wp:docPr id="125" name="Picture 125" descr="P1646L17#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P1646L17#yIS1">
                      <a:extLst>
                        <a:ext uri="{C183D7F6-B498-43B3-948B-1728B52AA6E4}">
                          <adec:decorative xmlns:adec="http://schemas.microsoft.com/office/drawing/2017/decorative" val="1"/>
                        </a:ext>
                      </a:extLs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356860" cy="3971925"/>
                    </a:xfrm>
                    <a:prstGeom prst="rect">
                      <a:avLst/>
                    </a:prstGeom>
                    <a:noFill/>
                    <a:ln>
                      <a:noFill/>
                    </a:ln>
                  </pic:spPr>
                </pic:pic>
              </a:graphicData>
            </a:graphic>
          </wp:inline>
        </w:drawing>
      </w:r>
    </w:p>
    <w:p w14:paraId="4BB3C52B" w14:textId="77777777" w:rsidR="00B51CFF" w:rsidRDefault="00AE1227" w:rsidP="00B51CFF">
      <w:pPr>
        <w:pStyle w:val="Heading2"/>
      </w:pPr>
      <w:r>
        <w:br w:type="page"/>
      </w:r>
      <w:bookmarkStart w:id="181" w:name="_Toc4588753"/>
      <w:r w:rsidR="00B51CFF">
        <w:lastRenderedPageBreak/>
        <w:t>Configure Daily QC</w:t>
      </w:r>
      <w:bookmarkEnd w:id="181"/>
      <w:r w:rsidR="00B51CFF" w:rsidRPr="00AB67A6">
        <w:rPr>
          <w:rFonts w:ascii="Arial Bold" w:hAnsi="Arial Bold"/>
          <w:vanish/>
        </w:rPr>
        <w:fldChar w:fldCharType="begin"/>
      </w:r>
      <w:r w:rsidR="00B51CFF" w:rsidRPr="00AB67A6">
        <w:rPr>
          <w:rFonts w:ascii="Arial Bold" w:hAnsi="Arial Bold"/>
          <w:vanish/>
        </w:rPr>
        <w:instrText xml:space="preserve"> XE “Configure Daily QC” </w:instrText>
      </w:r>
      <w:r w:rsidR="00B51CFF" w:rsidRPr="00AB67A6">
        <w:rPr>
          <w:rFonts w:ascii="Arial Bold" w:hAnsi="Arial Bold"/>
          <w:vanish/>
        </w:rPr>
        <w:fldChar w:fldCharType="end"/>
      </w:r>
      <w:r w:rsidR="00B51CFF" w:rsidRPr="00AB67A6">
        <w:rPr>
          <w:rFonts w:ascii="Arial Bold" w:hAnsi="Arial Bold"/>
          <w:vanish/>
        </w:rPr>
        <w:t xml:space="preserve"> UC_51</w:t>
      </w:r>
    </w:p>
    <w:p w14:paraId="4A9FDF15" w14:textId="77777777" w:rsidR="00B51CFF" w:rsidRDefault="00B51CFF" w:rsidP="00B51CFF">
      <w:pPr>
        <w:pStyle w:val="BodyText"/>
      </w:pPr>
      <w:bookmarkStart w:id="182" w:name="_Toc63680373"/>
      <w:r>
        <w:t>The user sets up the routine reagent racks and QC template for the division before performing daily reagent QC.</w:t>
      </w:r>
    </w:p>
    <w:p w14:paraId="723E1379" w14:textId="77777777" w:rsidR="00B51CFF" w:rsidRDefault="00B51CFF" w:rsidP="00B51CFF">
      <w:pPr>
        <w:pStyle w:val="Heading4"/>
      </w:pPr>
      <w:r>
        <w:t>Assumptions</w:t>
      </w:r>
      <w:r>
        <w:rPr>
          <w:b w:val="0"/>
        </w:rPr>
        <w:t xml:space="preserve"> </w:t>
      </w:r>
    </w:p>
    <w:p w14:paraId="527E09E8" w14:textId="77777777" w:rsidR="00B51CFF" w:rsidRDefault="00B51CFF" w:rsidP="00B51CFF">
      <w:pPr>
        <w:pStyle w:val="ListBullet"/>
      </w:pPr>
      <w:r>
        <w:t xml:space="preserve">The division is “full service.” </w:t>
      </w:r>
    </w:p>
    <w:p w14:paraId="484EFA59" w14:textId="77777777" w:rsidR="00B51CFF" w:rsidRDefault="00B51CFF" w:rsidP="00B51CFF">
      <w:pPr>
        <w:pStyle w:val="ListBullet"/>
      </w:pPr>
      <w:r>
        <w:t>In the first use of this option, there are no defaults or data in place until the user selects the type of QC template (commercial or non-commercial).</w:t>
      </w:r>
    </w:p>
    <w:p w14:paraId="18E705D8" w14:textId="77777777" w:rsidR="00B51CFF" w:rsidRDefault="00DD75E5" w:rsidP="00B51CFF">
      <w:pPr>
        <w:pStyle w:val="Heading4"/>
      </w:pPr>
      <w:r>
        <w:t>Outcome</w:t>
      </w:r>
    </w:p>
    <w:p w14:paraId="71D7FD51" w14:textId="77777777" w:rsidR="00B51CFF" w:rsidRDefault="00B51CFF" w:rsidP="00B51CFF">
      <w:pPr>
        <w:pStyle w:val="ListBullet"/>
      </w:pPr>
      <w:r>
        <w:t>A testing template is available for Enter Daily QC Results; reagent racks and identifiers were created.</w:t>
      </w:r>
    </w:p>
    <w:p w14:paraId="061E0211" w14:textId="77777777" w:rsidR="00B51CFF" w:rsidRDefault="00B51CFF" w:rsidP="00B51CFF">
      <w:pPr>
        <w:pStyle w:val="ListBullet"/>
      </w:pPr>
      <w:r>
        <w:t>Minimum reaction strengths for each reagent type are defined and used by Enter Daily QC Results.</w:t>
      </w:r>
    </w:p>
    <w:p w14:paraId="4842008B" w14:textId="77777777" w:rsidR="00B51CFF" w:rsidRDefault="00B51CFF" w:rsidP="00B51CFF">
      <w:pPr>
        <w:pStyle w:val="ListBullet"/>
      </w:pPr>
      <w:r>
        <w:rPr>
          <w:rFonts w:ascii="Arial" w:hAnsi="Arial" w:cs="Arial"/>
          <w:vanish/>
          <w:spacing w:val="0"/>
          <w:sz w:val="18"/>
        </w:rPr>
        <w:t xml:space="preserve">BR_51.16 </w:t>
      </w:r>
      <w:r>
        <w:t>A historical record for each rack will be maintained.</w:t>
      </w:r>
    </w:p>
    <w:p w14:paraId="271BC172" w14:textId="77777777" w:rsidR="00B51CFF" w:rsidRDefault="00B51CFF" w:rsidP="00B51CFF">
      <w:pPr>
        <w:pStyle w:val="ListBullet"/>
      </w:pPr>
      <w:r>
        <w:rPr>
          <w:rFonts w:ascii="Arial" w:hAnsi="Arial" w:cs="Arial"/>
          <w:vanish/>
          <w:spacing w:val="0"/>
          <w:sz w:val="18"/>
        </w:rPr>
        <w:t xml:space="preserve">BR_51.11 </w:t>
      </w:r>
      <w:r>
        <w:t>Rack names created are available for use by other options.</w:t>
      </w:r>
    </w:p>
    <w:p w14:paraId="6ED8E9EF" w14:textId="77777777" w:rsidR="00B51CFF" w:rsidRDefault="00B51CFF" w:rsidP="00B51CFF">
      <w:pPr>
        <w:pStyle w:val="Heading4"/>
      </w:pPr>
      <w:r>
        <w:t>Limitations and Restrictions</w:t>
      </w:r>
      <w:r>
        <w:rPr>
          <w:b w:val="0"/>
        </w:rPr>
        <w:t xml:space="preserve"> </w:t>
      </w:r>
    </w:p>
    <w:p w14:paraId="12936685" w14:textId="77777777" w:rsidR="00B51CFF" w:rsidRDefault="00B51CFF" w:rsidP="00B51CFF">
      <w:pPr>
        <w:pStyle w:val="ListBullet"/>
      </w:pPr>
      <w:r>
        <w:t xml:space="preserve">This option pertains only to routine reagents. </w:t>
      </w:r>
    </w:p>
    <w:p w14:paraId="3BD0B6FC" w14:textId="77777777" w:rsidR="00FC35D4" w:rsidRDefault="00FC35D4" w:rsidP="00B51CFF">
      <w:pPr>
        <w:pStyle w:val="ListBullet"/>
      </w:pPr>
      <w:r>
        <w:rPr>
          <w:rFonts w:cs="Arial"/>
        </w:rPr>
        <w:t xml:space="preserve">When there are partially or currently QC’d racks in the system, the user may not change the QC template. </w:t>
      </w:r>
    </w:p>
    <w:p w14:paraId="5108C400" w14:textId="77777777" w:rsidR="00B51CFF" w:rsidRDefault="00B51CFF" w:rsidP="00B51CFF">
      <w:pPr>
        <w:pStyle w:val="Heading4"/>
      </w:pPr>
      <w:r>
        <w:t>Additional Information</w:t>
      </w:r>
    </w:p>
    <w:p w14:paraId="585427C3" w14:textId="77777777" w:rsidR="00852AC1" w:rsidRPr="00852AC1" w:rsidRDefault="00852AC1" w:rsidP="00852AC1">
      <w:pPr>
        <w:pStyle w:val="ListBullet"/>
      </w:pPr>
      <w:r w:rsidRPr="00852AC1">
        <w:rPr>
          <w:snapToGrid w:val="0"/>
          <w:vanish/>
        </w:rPr>
        <w:t>BR_41.32</w:t>
      </w:r>
      <w:r>
        <w:rPr>
          <w:snapToGrid w:val="0"/>
        </w:rPr>
        <w:t>This option is disabled for transfusion-only facilities.</w:t>
      </w:r>
      <w:r w:rsidR="003D71A3">
        <w:rPr>
          <w:snapToGrid w:val="0"/>
        </w:rPr>
        <w:t xml:space="preserve"> </w:t>
      </w:r>
    </w:p>
    <w:p w14:paraId="2F865608" w14:textId="1F55374C" w:rsidR="00B51CFF" w:rsidRPr="00AB4BD9" w:rsidRDefault="00B51CFF" w:rsidP="00384190">
      <w:pPr>
        <w:pStyle w:val="ListBullet"/>
        <w:rPr>
          <w:vanish/>
        </w:rPr>
      </w:pPr>
      <w:r>
        <w:rPr>
          <w:snapToGrid w:val="0"/>
        </w:rPr>
        <w:t>The naming convention for the active template is not editable.</w:t>
      </w:r>
      <w:r>
        <w:t xml:space="preserve"> When fewer racks are indicated, the system will inactivate existing rack names to keep the list in order without skipping a number or letter. Rack names are reusable.</w:t>
      </w:r>
      <w:r w:rsidR="00FC4E14">
        <w:t xml:space="preserve"> </w:t>
      </w:r>
      <w:r w:rsidR="00A922BB">
        <w:t>It is recommended for</w:t>
      </w:r>
      <w:r w:rsidR="00FC4E14">
        <w:t xml:space="preserve"> s</w:t>
      </w:r>
      <w:r w:rsidR="00FC4E14" w:rsidRPr="00FC4E14">
        <w:t>ites comprisi</w:t>
      </w:r>
      <w:r w:rsidR="00A922BB">
        <w:t xml:space="preserve">ng a multidivision to </w:t>
      </w:r>
      <w:r w:rsidR="00FC4E14" w:rsidRPr="00FC4E14">
        <w:t>assign different reagent rack names to prevent overlap</w:t>
      </w:r>
      <w:r w:rsidR="002B64D8">
        <w:t xml:space="preserve"> (See FAQ </w:t>
      </w:r>
      <w:r w:rsidR="00384190" w:rsidRPr="00384190">
        <w:t>Multidivisional QC Rack Workaroun</w:t>
      </w:r>
      <w:r w:rsidR="00384190">
        <w:t>d).</w:t>
      </w:r>
      <w:r w:rsidR="00AB4BD9">
        <w:t xml:space="preserve"> </w:t>
      </w:r>
      <w:r w:rsidR="00AB4BD9" w:rsidRPr="00AB4BD9">
        <w:rPr>
          <w:vanish/>
        </w:rPr>
        <w:t>Defect 209622</w:t>
      </w:r>
    </w:p>
    <w:p w14:paraId="4F9F43DA" w14:textId="77777777" w:rsidR="00B51CFF" w:rsidRDefault="00B51CFF" w:rsidP="00B51CFF">
      <w:pPr>
        <w:pStyle w:val="ListBullet"/>
      </w:pPr>
      <w:r>
        <w:rPr>
          <w:rFonts w:ascii="Arial" w:hAnsi="Arial" w:cs="Arial"/>
          <w:vanish/>
          <w:spacing w:val="0"/>
          <w:sz w:val="18"/>
        </w:rPr>
        <w:t xml:space="preserve">BR_51.09 </w:t>
      </w:r>
      <w:r>
        <w:t>The daily use field for QC Rack template entries exported as REQUIRED for Daily Use are not editable by the user. The daily use field for entries exported with the daily use as OPTIONAL may be changed to be REQUIRED and remain editable by the user at any time.</w:t>
      </w:r>
    </w:p>
    <w:p w14:paraId="2BFADEF5" w14:textId="77777777" w:rsidR="00B51CFF" w:rsidRDefault="00B51CFF" w:rsidP="00B51CFF">
      <w:pPr>
        <w:pStyle w:val="ListBullet"/>
      </w:pPr>
      <w:r>
        <w:rPr>
          <w:rFonts w:ascii="Arial" w:hAnsi="Arial" w:cs="Arial"/>
          <w:vanish/>
          <w:spacing w:val="0"/>
          <w:sz w:val="18"/>
        </w:rPr>
        <w:t xml:space="preserve">BR_51.08 </w:t>
      </w:r>
      <w:r>
        <w:t>If Screening Cell 3 (SC3) and/or (SC4) are set to “required” as part of the configuration of the antibody screening cell set they are enabled on the antibody screen data grid.</w:t>
      </w:r>
    </w:p>
    <w:p w14:paraId="524831E6" w14:textId="77777777" w:rsidR="00B51CFF" w:rsidRDefault="00B51CFF" w:rsidP="00B51CFF">
      <w:pPr>
        <w:pStyle w:val="ListBullet"/>
      </w:pPr>
      <w:r>
        <w:rPr>
          <w:rFonts w:ascii="Arial" w:hAnsi="Arial" w:cs="Arial"/>
          <w:vanish/>
          <w:spacing w:val="0"/>
          <w:sz w:val="18"/>
        </w:rPr>
        <w:t xml:space="preserve">BR_51.07 </w:t>
      </w:r>
      <w:r w:rsidR="009D7320">
        <w:t xml:space="preserve">The user must identify an enhancement media reagent type as the primary. </w:t>
      </w:r>
      <w:r w:rsidR="00256CC3">
        <w:t>I</w:t>
      </w:r>
      <w:r>
        <w:t>n addition</w:t>
      </w:r>
      <w:r w:rsidR="00256CC3">
        <w:t xml:space="preserve">, the user </w:t>
      </w:r>
      <w:r>
        <w:t xml:space="preserve">must identify </w:t>
      </w:r>
      <w:r w:rsidR="004A1342">
        <w:t>the Anti-</w:t>
      </w:r>
      <w:r>
        <w:t>Human Globulin serum used during daily quality control testing of the screening cells and primary enhancement media.</w:t>
      </w:r>
    </w:p>
    <w:p w14:paraId="36AF16AD" w14:textId="77777777" w:rsidR="00B51CFF" w:rsidRDefault="00B51CFF" w:rsidP="00B51CFF">
      <w:pPr>
        <w:pStyle w:val="ListBullet"/>
      </w:pPr>
      <w:r>
        <w:t>VBECS does not evaluate maximum strength of reaction for daily QC, as required by CAP. Local policy must define maximum strength of reaction.</w:t>
      </w:r>
    </w:p>
    <w:p w14:paraId="7605C7AE" w14:textId="77777777" w:rsidR="00B51CFF" w:rsidRDefault="00B51CFF" w:rsidP="00B51CFF">
      <w:pPr>
        <w:pStyle w:val="Heading4"/>
        <w:rPr>
          <w:b w:val="0"/>
        </w:rPr>
      </w:pPr>
      <w:r>
        <w:t>User Roles with Access to This Option</w:t>
      </w:r>
      <w:r>
        <w:rPr>
          <w:b w:val="0"/>
        </w:rPr>
        <w:t xml:space="preserve"> </w:t>
      </w:r>
    </w:p>
    <w:p w14:paraId="56CA606F" w14:textId="77777777" w:rsidR="00B51CFF" w:rsidRDefault="00B51CFF" w:rsidP="00B51CFF">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2CE276D7" w14:textId="77777777" w:rsidR="00B51CFF" w:rsidRDefault="00B51CFF" w:rsidP="00B51CFF">
      <w:pPr>
        <w:pStyle w:val="Heading4"/>
      </w:pPr>
      <w:r>
        <w:t xml:space="preserve">Configure Daily QC </w:t>
      </w:r>
    </w:p>
    <w:p w14:paraId="06F5DAE5" w14:textId="5968A6D9" w:rsidR="00B51CFF" w:rsidRDefault="00B51CFF" w:rsidP="00B51CFF">
      <w:pPr>
        <w:pStyle w:val="BodyText"/>
      </w:pPr>
      <w:r>
        <w:t xml:space="preserve">The user sets up the daily reagent QC template for reagent rack testing for the division. In the first use of this option, all fields default to blank with no template preferred. </w:t>
      </w:r>
      <w:r>
        <w:rPr>
          <w:rFonts w:ascii="Arial" w:hAnsi="Arial" w:cs="Arial"/>
          <w:vanish/>
          <w:sz w:val="18"/>
        </w:rPr>
        <w:t xml:space="preserve">BR_51.19 </w:t>
      </w:r>
      <w:r w:rsidR="00F92E73">
        <w:t xml:space="preserve">Additional tests are available and may be included in the daily QC testing template in accordance with local </w:t>
      </w:r>
      <w:r w:rsidR="00541DC0">
        <w:t>practice. When</w:t>
      </w:r>
      <w:r>
        <w:t xml:space="preserve"> a user changes the </w:t>
      </w:r>
      <w:r>
        <w:lastRenderedPageBreak/>
        <w:t>active template, there is no carryover of field settings to the new template. All are set to the default and configuration must be completed.</w:t>
      </w:r>
      <w:r w:rsidR="00F92E73" w:rsidRPr="00F92E73">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B51CFF" w14:paraId="1A21F25A" w14:textId="77777777">
        <w:trPr>
          <w:cantSplit/>
          <w:tblHeader/>
        </w:trPr>
        <w:tc>
          <w:tcPr>
            <w:tcW w:w="3240" w:type="dxa"/>
            <w:shd w:val="pct30" w:color="auto" w:fill="FFFFFF"/>
            <w:vAlign w:val="bottom"/>
          </w:tcPr>
          <w:p w14:paraId="20DB2CEE" w14:textId="77777777" w:rsidR="00B51CFF" w:rsidRDefault="00B51CFF" w:rsidP="00DB1D38">
            <w:pPr>
              <w:pStyle w:val="TableText"/>
              <w:rPr>
                <w:b/>
              </w:rPr>
            </w:pPr>
            <w:r>
              <w:rPr>
                <w:b/>
              </w:rPr>
              <w:t>User Action</w:t>
            </w:r>
          </w:p>
        </w:tc>
        <w:tc>
          <w:tcPr>
            <w:tcW w:w="6120" w:type="dxa"/>
            <w:shd w:val="pct30" w:color="auto" w:fill="FFFFFF"/>
            <w:vAlign w:val="bottom"/>
          </w:tcPr>
          <w:p w14:paraId="1357609C" w14:textId="77777777" w:rsidR="00B51CFF" w:rsidRDefault="00B51CFF" w:rsidP="00DB1D38">
            <w:pPr>
              <w:pStyle w:val="TableText"/>
              <w:rPr>
                <w:b/>
              </w:rPr>
            </w:pPr>
            <w:r>
              <w:rPr>
                <w:b/>
              </w:rPr>
              <w:t>VBECS</w:t>
            </w:r>
          </w:p>
        </w:tc>
      </w:tr>
      <w:tr w:rsidR="00B51CFF" w14:paraId="654EBC3F" w14:textId="77777777">
        <w:trPr>
          <w:cantSplit/>
        </w:trPr>
        <w:tc>
          <w:tcPr>
            <w:tcW w:w="3240" w:type="dxa"/>
          </w:tcPr>
          <w:p w14:paraId="235B2A95" w14:textId="77777777" w:rsidR="00B51CFF" w:rsidRDefault="00B51CFF" w:rsidP="00DB1D38">
            <w:pPr>
              <w:pStyle w:val="TableTextNumbers"/>
            </w:pPr>
            <w:r>
              <w:t xml:space="preserve">Select </w:t>
            </w:r>
            <w:r>
              <w:rPr>
                <w:b/>
              </w:rPr>
              <w:t>Reagents</w:t>
            </w:r>
            <w:r>
              <w:t xml:space="preserve"> from the main menu. </w:t>
            </w:r>
          </w:p>
          <w:p w14:paraId="7B7D5F55" w14:textId="77777777" w:rsidR="00B51CFF" w:rsidRDefault="00B51CFF" w:rsidP="00DB1D38">
            <w:pPr>
              <w:pStyle w:val="TableTextNumbersContinued"/>
            </w:pPr>
          </w:p>
          <w:p w14:paraId="13BF2B7B" w14:textId="77777777" w:rsidR="00B51CFF" w:rsidRDefault="00B51CFF" w:rsidP="00DB1D38">
            <w:pPr>
              <w:pStyle w:val="TableTextNumbersContinued"/>
            </w:pPr>
            <w:r>
              <w:t xml:space="preserve">Select </w:t>
            </w:r>
            <w:r>
              <w:rPr>
                <w:b/>
              </w:rPr>
              <w:t>Configure Daily QC</w:t>
            </w:r>
            <w:r>
              <w:t>.</w:t>
            </w:r>
          </w:p>
        </w:tc>
        <w:tc>
          <w:tcPr>
            <w:tcW w:w="6120" w:type="dxa"/>
          </w:tcPr>
          <w:p w14:paraId="27F3BADE" w14:textId="77777777" w:rsidR="00B51CFF" w:rsidRDefault="00B51CFF" w:rsidP="00DB1D38">
            <w:pPr>
              <w:pStyle w:val="TableTextBullet"/>
            </w:pPr>
            <w:r>
              <w:t>Displays options for processing reagents.</w:t>
            </w:r>
          </w:p>
          <w:p w14:paraId="4C549E6E" w14:textId="77777777" w:rsidR="00B51CFF" w:rsidRDefault="00B51CFF" w:rsidP="00DB1D38">
            <w:pPr>
              <w:pStyle w:val="TableTextBullet"/>
            </w:pPr>
            <w:r>
              <w:t>Displays an option to configure online Daily Reagent Rack Quality Control.</w:t>
            </w:r>
          </w:p>
        </w:tc>
      </w:tr>
      <w:tr w:rsidR="00B51CFF" w14:paraId="7337E5C2" w14:textId="77777777">
        <w:trPr>
          <w:cantSplit/>
        </w:trPr>
        <w:tc>
          <w:tcPr>
            <w:tcW w:w="3240" w:type="dxa"/>
          </w:tcPr>
          <w:p w14:paraId="1898B85F" w14:textId="0F4EA9BD" w:rsidR="00B51CFF" w:rsidRDefault="00B51CFF" w:rsidP="00DB1D38">
            <w:pPr>
              <w:pStyle w:val="TableTextNumbers"/>
            </w:pPr>
            <w:r>
              <w:t xml:space="preserve">Click the </w:t>
            </w:r>
            <w:r>
              <w:rPr>
                <w:b/>
              </w:rPr>
              <w:t>Commercial</w:t>
            </w:r>
            <w:r>
              <w:t xml:space="preserve"> or </w:t>
            </w:r>
            <w:r>
              <w:rPr>
                <w:b/>
              </w:rPr>
              <w:t>Non-Commercial</w:t>
            </w:r>
            <w:r>
              <w:t xml:space="preserve"> </w:t>
            </w:r>
            <w:r w:rsidRPr="00BF2E41">
              <w:t>radio button</w:t>
            </w:r>
            <w:r w:rsidR="00EC1B75">
              <w:t xml:space="preserve"> (</w:t>
            </w:r>
            <w:r w:rsidR="00295FAE">
              <w:fldChar w:fldCharType="begin" w:fldLock="1"/>
            </w:r>
            <w:r w:rsidR="00295FAE">
              <w:instrText xml:space="preserve"> REF _Ref126467867 \h </w:instrText>
            </w:r>
            <w:r w:rsidR="00295FAE">
              <w:fldChar w:fldCharType="separate"/>
            </w:r>
            <w:r w:rsidR="00AB304C" w:rsidRPr="00584AF9">
              <w:t xml:space="preserve">Figure </w:t>
            </w:r>
            <w:r w:rsidR="00AB304C">
              <w:rPr>
                <w:noProof/>
                <w:lang w:val="fr-CA"/>
              </w:rPr>
              <w:t>47</w:t>
            </w:r>
            <w:r w:rsidR="00295FAE">
              <w:fldChar w:fldCharType="end"/>
            </w:r>
            <w:r w:rsidR="00910AA5" w:rsidRPr="00910AA5">
              <w:t>)</w:t>
            </w:r>
            <w:r>
              <w:t>.</w:t>
            </w:r>
          </w:p>
          <w:p w14:paraId="35E5D52D" w14:textId="77777777" w:rsidR="00B51CFF" w:rsidRDefault="00B51CFF" w:rsidP="00DB1D38">
            <w:pPr>
              <w:pStyle w:val="TableText"/>
            </w:pPr>
          </w:p>
        </w:tc>
        <w:tc>
          <w:tcPr>
            <w:tcW w:w="6120" w:type="dxa"/>
          </w:tcPr>
          <w:p w14:paraId="4D2FEFD2" w14:textId="77777777" w:rsidR="00B51CFF" w:rsidRDefault="00B51CFF" w:rsidP="00DB1D38">
            <w:pPr>
              <w:pStyle w:val="TableTextBullet"/>
            </w:pPr>
            <w:r>
              <w:t>Lists the two system-supplied Daily QC templates.</w:t>
            </w:r>
          </w:p>
          <w:p w14:paraId="43102846" w14:textId="77777777" w:rsidR="00B51CFF" w:rsidRDefault="00B51CFF" w:rsidP="00DB1D38">
            <w:pPr>
              <w:pStyle w:val="TableTextBullet1"/>
            </w:pPr>
            <w:r>
              <w:t>Commercial Daily QC</w:t>
            </w:r>
          </w:p>
          <w:p w14:paraId="5DE5EF3A" w14:textId="77777777" w:rsidR="00B51CFF" w:rsidRDefault="00B51CFF" w:rsidP="00DB1D38">
            <w:pPr>
              <w:pStyle w:val="TableTextBullet1"/>
            </w:pPr>
            <w:r>
              <w:t>Non-commercial Daily QC</w:t>
            </w:r>
          </w:p>
          <w:p w14:paraId="59177031" w14:textId="77777777" w:rsidR="00545664" w:rsidRDefault="00545664" w:rsidP="00545664">
            <w:pPr>
              <w:pStyle w:val="TableTextBullet"/>
            </w:pPr>
            <w:r>
              <w:t>When there are partially or currently QC’d racks in the system, warns the user to wait until QC expires (passes the daily alert time) and then make the changes.</w:t>
            </w:r>
          </w:p>
        </w:tc>
      </w:tr>
      <w:tr w:rsidR="00B51CFF" w14:paraId="154E1D3C" w14:textId="77777777">
        <w:trPr>
          <w:cantSplit/>
        </w:trPr>
        <w:tc>
          <w:tcPr>
            <w:tcW w:w="3240" w:type="dxa"/>
          </w:tcPr>
          <w:p w14:paraId="42763B23" w14:textId="77777777" w:rsidR="00B51CFF" w:rsidRDefault="00B51CFF" w:rsidP="00DB1D38">
            <w:pPr>
              <w:pStyle w:val="TableTextNumbers"/>
            </w:pPr>
            <w:r>
              <w:t>Set the daily alert time.</w:t>
            </w:r>
          </w:p>
        </w:tc>
        <w:tc>
          <w:tcPr>
            <w:tcW w:w="6120" w:type="dxa"/>
          </w:tcPr>
          <w:p w14:paraId="4CC78AB3" w14:textId="77777777" w:rsidR="00B51CFF" w:rsidRDefault="00B51CFF" w:rsidP="00DB1D38">
            <w:pPr>
              <w:pStyle w:val="TableTextBullet"/>
            </w:pPr>
            <w:r>
              <w:t>Asks the user to set the time the daily alert to all users at the site will begin.</w:t>
            </w:r>
          </w:p>
          <w:p w14:paraId="1E20DED4" w14:textId="77777777" w:rsidR="00B51CFF" w:rsidRDefault="00B51CFF" w:rsidP="00DB1D38">
            <w:pPr>
              <w:pStyle w:val="TableText"/>
            </w:pPr>
          </w:p>
          <w:p w14:paraId="6E1130C5" w14:textId="77777777" w:rsidR="00B51CFF" w:rsidRDefault="00057948" w:rsidP="00DB1D38">
            <w:pPr>
              <w:pStyle w:val="TableText"/>
              <w:rPr>
                <w:b/>
                <w:bCs/>
                <w:szCs w:val="18"/>
              </w:rPr>
            </w:pPr>
            <w:r>
              <w:rPr>
                <w:b/>
                <w:bCs/>
                <w:noProof/>
              </w:rPr>
              <mc:AlternateContent>
                <mc:Choice Requires="wps">
                  <w:drawing>
                    <wp:anchor distT="0" distB="0" distL="114300" distR="114300" simplePos="0" relativeHeight="251713536" behindDoc="0" locked="0" layoutInCell="1" allowOverlap="1" wp14:anchorId="3118FEE4" wp14:editId="59B0B121">
                      <wp:simplePos x="0" y="0"/>
                      <wp:positionH relativeFrom="column">
                        <wp:posOffset>457200</wp:posOffset>
                      </wp:positionH>
                      <wp:positionV relativeFrom="paragraph">
                        <wp:posOffset>65405</wp:posOffset>
                      </wp:positionV>
                      <wp:extent cx="3200400" cy="0"/>
                      <wp:effectExtent l="9525" t="17780" r="9525" b="10795"/>
                      <wp:wrapNone/>
                      <wp:docPr id="570" name="Line 1038" descr="P1689L17C8T1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AC9BF" id="Line 1038" o:spid="_x0000_s1026" alt="&quot;&quot;"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FURY4rEAQAAbwMAAA4AAAAAAAAAAAAAAAAA&#10;LgIAAGRycy9lMm9Eb2MueG1sUEsBAi0AFAAGAAgAAAAhABdPMBLbAAAACAEAAA8AAAAAAAAAAAAA&#10;AAAAHgQAAGRycy9kb3ducmV2LnhtbFBLBQYAAAAABAAEAPMAAAAmBQAAAAA=&#10;" strokeweight="1.5pt"/>
                  </w:pict>
                </mc:Fallback>
              </mc:AlternateContent>
            </w:r>
            <w:r w:rsidR="00B51CFF">
              <w:rPr>
                <w:b/>
                <w:bCs/>
                <w:szCs w:val="18"/>
              </w:rPr>
              <w:t>NOTES</w:t>
            </w:r>
          </w:p>
          <w:p w14:paraId="2488F9E4" w14:textId="77777777" w:rsidR="00B51CFF" w:rsidRDefault="00B51CFF" w:rsidP="00DB1D38">
            <w:pPr>
              <w:pStyle w:val="NotesText"/>
            </w:pPr>
          </w:p>
          <w:p w14:paraId="35E77147" w14:textId="77777777" w:rsidR="00B51CFF" w:rsidRDefault="00B51CFF" w:rsidP="00DB1D38">
            <w:pPr>
              <w:pStyle w:val="NotesText"/>
            </w:pPr>
            <w:r>
              <w:rPr>
                <w:rFonts w:cs="Arial"/>
                <w:vanish/>
              </w:rPr>
              <w:t xml:space="preserve">BR_51.02 </w:t>
            </w:r>
            <w:r>
              <w:t>The user indicates the local time that defines the start of the 24-hour period (the QC day) during which a rack is considered QC’d. VBECS alerts users when a rack was not performed after this local time passed.</w:t>
            </w:r>
          </w:p>
          <w:p w14:paraId="0AF17548" w14:textId="77777777" w:rsidR="00122EF8" w:rsidRDefault="00122EF8" w:rsidP="00122EF8">
            <w:pPr>
              <w:pStyle w:val="NotesText"/>
              <w:rPr>
                <w:rFonts w:cs="Arial"/>
                <w:szCs w:val="18"/>
              </w:rPr>
            </w:pPr>
          </w:p>
          <w:p w14:paraId="6C2CFF61" w14:textId="77777777" w:rsidR="000D0722" w:rsidRPr="00122EF8" w:rsidRDefault="000D0722" w:rsidP="00122EF8">
            <w:pPr>
              <w:pStyle w:val="NotesText"/>
              <w:rPr>
                <w:rFonts w:cs="Arial"/>
                <w:szCs w:val="18"/>
              </w:rPr>
            </w:pPr>
            <w:r>
              <w:t>The user may test a rack no earlier than the alert time</w:t>
            </w:r>
            <w:r w:rsidR="00543DAF">
              <w:t xml:space="preserve"> for the next 24 hours</w:t>
            </w:r>
            <w:r>
              <w:t xml:space="preserve">. </w:t>
            </w:r>
            <w:r w:rsidR="00D94DA3" w:rsidRPr="00D94DA3">
              <w:rPr>
                <w:vanish/>
              </w:rPr>
              <w:t xml:space="preserve"> (DR 2,716)</w:t>
            </w:r>
          </w:p>
        </w:tc>
      </w:tr>
      <w:tr w:rsidR="00B51CFF" w14:paraId="78628DC8" w14:textId="77777777">
        <w:trPr>
          <w:cantSplit/>
        </w:trPr>
        <w:tc>
          <w:tcPr>
            <w:tcW w:w="3240" w:type="dxa"/>
          </w:tcPr>
          <w:p w14:paraId="70C436F9" w14:textId="77777777" w:rsidR="00B51CFF" w:rsidRDefault="00B51CFF" w:rsidP="00DB1D38">
            <w:pPr>
              <w:pStyle w:val="TableTextNumbers"/>
            </w:pPr>
            <w:r>
              <w:t>Enter the number of racks at the site.</w:t>
            </w:r>
          </w:p>
          <w:p w14:paraId="327DE6CB" w14:textId="77777777" w:rsidR="00B51CFF" w:rsidRDefault="00B51CFF" w:rsidP="00DB1D38">
            <w:pPr>
              <w:pStyle w:val="TableTextNumbersContinued"/>
            </w:pPr>
          </w:p>
          <w:p w14:paraId="230BC8CC" w14:textId="77777777" w:rsidR="00B51CFF" w:rsidRDefault="00B51CFF" w:rsidP="00DB1D38">
            <w:pPr>
              <w:pStyle w:val="TableTextNumbersContinued"/>
            </w:pPr>
            <w:r>
              <w:t>Select a naming convention.</w:t>
            </w:r>
          </w:p>
        </w:tc>
        <w:tc>
          <w:tcPr>
            <w:tcW w:w="6120" w:type="dxa"/>
          </w:tcPr>
          <w:p w14:paraId="162305CA" w14:textId="77777777" w:rsidR="00B51CFF" w:rsidRDefault="00B51CFF" w:rsidP="00DB1D38">
            <w:pPr>
              <w:pStyle w:val="TableTextBullet"/>
            </w:pPr>
            <w:r>
              <w:t>Asks the user to set the number of racks to be QC’d daily at the division.</w:t>
            </w:r>
          </w:p>
          <w:p w14:paraId="58A1DB64" w14:textId="77777777" w:rsidR="00B51CFF" w:rsidRDefault="00B51CFF" w:rsidP="00DB1D38">
            <w:pPr>
              <w:pStyle w:val="TableTextBullet"/>
            </w:pPr>
            <w:r>
              <w:t>Asks the user to set the naming convention for racks.</w:t>
            </w:r>
          </w:p>
          <w:p w14:paraId="546A7055" w14:textId="77777777" w:rsidR="00B51CFF" w:rsidRDefault="00B51CFF" w:rsidP="00DB1D38">
            <w:pPr>
              <w:pStyle w:val="TableText"/>
              <w:rPr>
                <w:b/>
                <w:bCs/>
                <w:szCs w:val="18"/>
              </w:rPr>
            </w:pPr>
          </w:p>
          <w:p w14:paraId="12644107" w14:textId="77777777" w:rsidR="00B51CFF" w:rsidRDefault="00057948" w:rsidP="00DB1D38">
            <w:pPr>
              <w:pStyle w:val="TableText"/>
              <w:rPr>
                <w:b/>
                <w:bCs/>
                <w:szCs w:val="18"/>
              </w:rPr>
            </w:pPr>
            <w:r>
              <w:rPr>
                <w:b/>
                <w:bCs/>
                <w:noProof/>
              </w:rPr>
              <mc:AlternateContent>
                <mc:Choice Requires="wps">
                  <w:drawing>
                    <wp:anchor distT="0" distB="0" distL="114300" distR="114300" simplePos="0" relativeHeight="251717632" behindDoc="0" locked="0" layoutInCell="1" allowOverlap="1" wp14:anchorId="77AAB748" wp14:editId="6A882D81">
                      <wp:simplePos x="0" y="0"/>
                      <wp:positionH relativeFrom="column">
                        <wp:posOffset>457200</wp:posOffset>
                      </wp:positionH>
                      <wp:positionV relativeFrom="paragraph">
                        <wp:posOffset>65405</wp:posOffset>
                      </wp:positionV>
                      <wp:extent cx="3200400" cy="0"/>
                      <wp:effectExtent l="9525" t="17780" r="9525" b="10795"/>
                      <wp:wrapNone/>
                      <wp:docPr id="569" name="Line 1040" descr="P1701L17C10T1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723F6" id="Line 1040" o:spid="_x0000_s1026" alt="&quot;&quot;"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EMJs6DEAQAAbwMAAA4AAAAAAAAAAAAAAAAA&#10;LgIAAGRycy9lMm9Eb2MueG1sUEsBAi0AFAAGAAgAAAAhABdPMBLbAAAACAEAAA8AAAAAAAAAAAAA&#10;AAAAHgQAAGRycy9kb3ducmV2LnhtbFBLBQYAAAAABAAEAPMAAAAmBQAAAAA=&#10;" strokeweight="1.5pt"/>
                  </w:pict>
                </mc:Fallback>
              </mc:AlternateContent>
            </w:r>
            <w:r w:rsidR="00B51CFF">
              <w:rPr>
                <w:b/>
                <w:bCs/>
                <w:szCs w:val="18"/>
              </w:rPr>
              <w:t>NOTES</w:t>
            </w:r>
          </w:p>
          <w:p w14:paraId="2B1F5C59" w14:textId="77777777" w:rsidR="00B51CFF" w:rsidRDefault="00B51CFF" w:rsidP="00DB1D38">
            <w:pPr>
              <w:pStyle w:val="NotesText"/>
              <w:ind w:left="0"/>
            </w:pPr>
          </w:p>
          <w:p w14:paraId="6D267BA6" w14:textId="77777777" w:rsidR="00B51CFF" w:rsidRDefault="00B51CFF" w:rsidP="00DB1D38">
            <w:pPr>
              <w:pStyle w:val="NotesText"/>
            </w:pPr>
            <w:r>
              <w:rPr>
                <w:rFonts w:cs="Arial"/>
                <w:vanish/>
                <w:szCs w:val="18"/>
              </w:rPr>
              <w:t>BR_51.01</w:t>
            </w:r>
            <w:r w:rsidR="00CE3961">
              <w:rPr>
                <w:rFonts w:cs="Arial"/>
                <w:vanish/>
                <w:szCs w:val="18"/>
              </w:rPr>
              <w:t>,</w:t>
            </w:r>
            <w:r>
              <w:rPr>
                <w:rFonts w:cs="Arial"/>
                <w:vanish/>
                <w:szCs w:val="18"/>
              </w:rPr>
              <w:t xml:space="preserve"> </w:t>
            </w:r>
            <w:r>
              <w:rPr>
                <w:vanish/>
                <w:szCs w:val="18"/>
              </w:rPr>
              <w:t>BR_51.13</w:t>
            </w:r>
            <w:r w:rsidR="00CE3961">
              <w:rPr>
                <w:vanish/>
                <w:szCs w:val="18"/>
              </w:rPr>
              <w:t>,</w:t>
            </w:r>
            <w:r>
              <w:rPr>
                <w:vanish/>
                <w:szCs w:val="18"/>
              </w:rPr>
              <w:t xml:space="preserve"> BR_51.14 </w:t>
            </w:r>
            <w:r>
              <w:t>A user may indicate 1–26 racks per site and names them according to the convention selected (A–Z or 1–26).</w:t>
            </w:r>
          </w:p>
        </w:tc>
      </w:tr>
      <w:tr w:rsidR="00B51CFF" w14:paraId="795CB94E" w14:textId="77777777">
        <w:trPr>
          <w:cantSplit/>
        </w:trPr>
        <w:tc>
          <w:tcPr>
            <w:tcW w:w="3240" w:type="dxa"/>
          </w:tcPr>
          <w:p w14:paraId="77E622DF" w14:textId="77777777" w:rsidR="00B51CFF" w:rsidRDefault="00B51CFF" w:rsidP="00DB1D38">
            <w:pPr>
              <w:pStyle w:val="TableTextNumbers"/>
            </w:pPr>
            <w:r>
              <w:t>Accept or edit the default settings of the template.</w:t>
            </w:r>
          </w:p>
          <w:p w14:paraId="52D4B088" w14:textId="77777777" w:rsidR="00B51CFF" w:rsidRDefault="00B51CFF" w:rsidP="00DB1D38">
            <w:pPr>
              <w:pStyle w:val="TableTextNumbersContinued"/>
            </w:pPr>
          </w:p>
          <w:p w14:paraId="4485446C" w14:textId="77777777" w:rsidR="00B51CFF" w:rsidRDefault="00B51CFF" w:rsidP="00DB1D38">
            <w:pPr>
              <w:pStyle w:val="TableTextNumbersContinued"/>
            </w:pPr>
            <w:r>
              <w:t>Select primary and secondary enhancement medium options from the drop-down menus.</w:t>
            </w:r>
          </w:p>
        </w:tc>
        <w:tc>
          <w:tcPr>
            <w:tcW w:w="6120" w:type="dxa"/>
          </w:tcPr>
          <w:p w14:paraId="479EB61B" w14:textId="77777777" w:rsidR="00B51CFF" w:rsidRDefault="00B51CFF" w:rsidP="00DB1D38">
            <w:pPr>
              <w:pStyle w:val="TableTextBullet"/>
            </w:pPr>
            <w:r>
              <w:t xml:space="preserve">Lists the default reagent types for inclusion in the daily reagent rack quality control and expected minimum reactions for each test type. </w:t>
            </w:r>
          </w:p>
          <w:p w14:paraId="2EBCFF9A" w14:textId="77777777" w:rsidR="00B51CFF" w:rsidRDefault="00B51CFF" w:rsidP="00DB1D38">
            <w:pPr>
              <w:pStyle w:val="TableTextBullet"/>
            </w:pPr>
            <w:r>
              <w:t>Displays changes and edits for review before saving.</w:t>
            </w:r>
          </w:p>
          <w:p w14:paraId="23A68FF6" w14:textId="77777777" w:rsidR="00B51CFF" w:rsidRDefault="00B51CFF" w:rsidP="00DB1D38">
            <w:pPr>
              <w:pStyle w:val="TableText"/>
            </w:pPr>
          </w:p>
          <w:p w14:paraId="47EDA21D" w14:textId="77777777" w:rsidR="00B51CFF" w:rsidRDefault="00057948" w:rsidP="00DB1D38">
            <w:pPr>
              <w:pStyle w:val="TableText"/>
              <w:rPr>
                <w:b/>
                <w:bCs/>
                <w:szCs w:val="18"/>
              </w:rPr>
            </w:pPr>
            <w:r>
              <w:rPr>
                <w:b/>
                <w:bCs/>
                <w:noProof/>
              </w:rPr>
              <mc:AlternateContent>
                <mc:Choice Requires="wps">
                  <w:drawing>
                    <wp:anchor distT="0" distB="0" distL="114300" distR="114300" simplePos="0" relativeHeight="251715584" behindDoc="0" locked="0" layoutInCell="1" allowOverlap="1" wp14:anchorId="013BD39F" wp14:editId="0546AAFF">
                      <wp:simplePos x="0" y="0"/>
                      <wp:positionH relativeFrom="column">
                        <wp:posOffset>457200</wp:posOffset>
                      </wp:positionH>
                      <wp:positionV relativeFrom="paragraph">
                        <wp:posOffset>65405</wp:posOffset>
                      </wp:positionV>
                      <wp:extent cx="3200400" cy="0"/>
                      <wp:effectExtent l="9525" t="17780" r="9525" b="10795"/>
                      <wp:wrapNone/>
                      <wp:docPr id="568" name="Line 1039" descr="P1711L17C12T1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C7D98" id="Line 1039" o:spid="_x0000_s1026" alt="&quot;&quot;"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BcNpRrEAQAAbwMAAA4AAAAAAAAAAAAAAAAA&#10;LgIAAGRycy9lMm9Eb2MueG1sUEsBAi0AFAAGAAgAAAAhABdPMBLbAAAACAEAAA8AAAAAAAAAAAAA&#10;AAAAHgQAAGRycy9kb3ducmV2LnhtbFBLBQYAAAAABAAEAPMAAAAmBQAAAAA=&#10;" strokeweight="1.5pt"/>
                  </w:pict>
                </mc:Fallback>
              </mc:AlternateContent>
            </w:r>
            <w:r w:rsidR="00B51CFF">
              <w:rPr>
                <w:b/>
                <w:bCs/>
                <w:szCs w:val="18"/>
              </w:rPr>
              <w:t>NOTES</w:t>
            </w:r>
          </w:p>
          <w:p w14:paraId="027112E6" w14:textId="77777777" w:rsidR="00B51CFF" w:rsidRDefault="00B51CFF" w:rsidP="00DB1D38">
            <w:pPr>
              <w:pStyle w:val="NotesText"/>
            </w:pPr>
          </w:p>
          <w:p w14:paraId="46EEA54C" w14:textId="77777777" w:rsidR="00B51CFF" w:rsidRDefault="00B51CFF" w:rsidP="00DB1D38">
            <w:pPr>
              <w:pStyle w:val="NotesText"/>
            </w:pPr>
            <w:r>
              <w:t xml:space="preserve">One setting covers all racks at the site. </w:t>
            </w:r>
          </w:p>
          <w:p w14:paraId="4C4820BD" w14:textId="77777777" w:rsidR="00B51CFF" w:rsidRDefault="00B51CFF" w:rsidP="00DB1D38">
            <w:pPr>
              <w:pStyle w:val="NotesText"/>
            </w:pPr>
          </w:p>
          <w:p w14:paraId="061CD21F" w14:textId="77777777" w:rsidR="00B51CFF" w:rsidRDefault="00B51CFF" w:rsidP="00DB1D38">
            <w:pPr>
              <w:pStyle w:val="NotesText"/>
            </w:pPr>
            <w:r>
              <w:rPr>
                <w:rFonts w:cs="Arial"/>
                <w:vanish/>
              </w:rPr>
              <w:t xml:space="preserve">BR_51.10 </w:t>
            </w:r>
            <w:r>
              <w:t>Reagent types selected display on the rack lot number template and the reaction result entry worksheet for each rack in Enter Daily QC Results with some exceptions: gel kit, selected AHG, and automated testing lots numbers.</w:t>
            </w:r>
          </w:p>
          <w:p w14:paraId="1AB5B27A" w14:textId="77777777" w:rsidR="00B51CFF" w:rsidRDefault="00B51CFF" w:rsidP="00DB1D38">
            <w:pPr>
              <w:pStyle w:val="NotesText"/>
            </w:pPr>
          </w:p>
          <w:p w14:paraId="478CA32C" w14:textId="77777777" w:rsidR="00B51CFF" w:rsidRDefault="00B51CFF" w:rsidP="00DB1D38">
            <w:pPr>
              <w:pStyle w:val="NotesText"/>
            </w:pPr>
            <w:r>
              <w:rPr>
                <w:rFonts w:cs="Arial"/>
                <w:vanish/>
              </w:rPr>
              <w:t xml:space="preserve">BR_51.15 </w:t>
            </w:r>
            <w:r>
              <w:t>When previously entered parameters for daily QC rack definitions are changed, VBECS requires a comment before the user saves the update.</w:t>
            </w:r>
          </w:p>
        </w:tc>
      </w:tr>
      <w:tr w:rsidR="00B51CFF" w14:paraId="78650C25" w14:textId="77777777">
        <w:trPr>
          <w:cantSplit/>
        </w:trPr>
        <w:tc>
          <w:tcPr>
            <w:tcW w:w="3240" w:type="dxa"/>
          </w:tcPr>
          <w:p w14:paraId="753DDBDF" w14:textId="77777777" w:rsidR="00B51CFF" w:rsidRDefault="00B51CFF" w:rsidP="00DB1D38">
            <w:pPr>
              <w:pStyle w:val="TableTextNumbers"/>
            </w:pPr>
            <w:r>
              <w:t xml:space="preserve">Click </w:t>
            </w:r>
            <w:r>
              <w:rPr>
                <w:b/>
              </w:rPr>
              <w:t>OK</w:t>
            </w:r>
            <w:r>
              <w:t xml:space="preserve"> to save.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6128E1A3" w14:textId="77777777" w:rsidR="00B51CFF" w:rsidRDefault="00B51CFF" w:rsidP="00DB1D38">
            <w:pPr>
              <w:pStyle w:val="TableText"/>
            </w:pPr>
          </w:p>
        </w:tc>
      </w:tr>
    </w:tbl>
    <w:p w14:paraId="578FD0CA" w14:textId="64BD2F95" w:rsidR="008F0A39" w:rsidRPr="00584AF9" w:rsidRDefault="008F0A39" w:rsidP="008F0A39">
      <w:pPr>
        <w:pStyle w:val="Caption"/>
      </w:pPr>
      <w:bookmarkStart w:id="183" w:name="_Ref126467867"/>
      <w:bookmarkEnd w:id="182"/>
      <w:r w:rsidRPr="00584AF9">
        <w:lastRenderedPageBreak/>
        <w:t xml:space="preserve">Figure </w:t>
      </w:r>
      <w:r w:rsidR="00C17F7C">
        <w:fldChar w:fldCharType="begin"/>
      </w:r>
      <w:r w:rsidR="00C17F7C" w:rsidRPr="001E3F01">
        <w:rPr>
          <w:lang w:val="fr-CA"/>
        </w:rPr>
        <w:instrText xml:space="preserve"> SEQ Figure \* ARABIC </w:instrText>
      </w:r>
      <w:r w:rsidR="00C17F7C">
        <w:fldChar w:fldCharType="separate"/>
      </w:r>
      <w:r w:rsidR="00647F4E">
        <w:rPr>
          <w:noProof/>
          <w:lang w:val="fr-CA"/>
        </w:rPr>
        <w:t>47</w:t>
      </w:r>
      <w:r w:rsidR="00C17F7C">
        <w:fldChar w:fldCharType="end"/>
      </w:r>
      <w:bookmarkEnd w:id="183"/>
      <w:r w:rsidRPr="00584AF9">
        <w:t>: Commercial and Non-Commercial Radio Buttons</w:t>
      </w:r>
    </w:p>
    <w:p w14:paraId="4349BE35" w14:textId="77777777" w:rsidR="0053799A" w:rsidRDefault="00057948" w:rsidP="00424F28">
      <w:pPr>
        <w:pStyle w:val="BodyText"/>
      </w:pPr>
      <w:r>
        <w:rPr>
          <w:noProof/>
        </w:rPr>
        <w:drawing>
          <wp:inline distT="0" distB="0" distL="0" distR="0" wp14:anchorId="70224E7D" wp14:editId="031AB927">
            <wp:extent cx="3204845" cy="2521585"/>
            <wp:effectExtent l="0" t="0" r="0" b="0"/>
            <wp:docPr id="126" name="Picture 126" descr="P1723L17#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P1723L17#yIS1">
                      <a:extLst>
                        <a:ext uri="{C183D7F6-B498-43B3-948B-1728B52AA6E4}">
                          <adec:decorative xmlns:adec="http://schemas.microsoft.com/office/drawing/2017/decorative" val="1"/>
                        </a:ext>
                      </a:extLst>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204845" cy="2521585"/>
                    </a:xfrm>
                    <a:prstGeom prst="rect">
                      <a:avLst/>
                    </a:prstGeom>
                    <a:noFill/>
                    <a:ln>
                      <a:noFill/>
                    </a:ln>
                  </pic:spPr>
                </pic:pic>
              </a:graphicData>
            </a:graphic>
          </wp:inline>
        </w:drawing>
      </w:r>
    </w:p>
    <w:p w14:paraId="7F12D583" w14:textId="77777777" w:rsidR="00733B28" w:rsidRPr="008000E5" w:rsidRDefault="00B51CFF" w:rsidP="0053799A">
      <w:pPr>
        <w:pStyle w:val="Heading2"/>
      </w:pPr>
      <w:r w:rsidRPr="008000E5">
        <w:br w:type="page"/>
      </w:r>
      <w:bookmarkStart w:id="184" w:name="_Toc4588754"/>
      <w:r w:rsidR="00733B28" w:rsidRPr="008000E5">
        <w:lastRenderedPageBreak/>
        <w:t>Configure Division</w:t>
      </w:r>
      <w:bookmarkEnd w:id="184"/>
      <w:r w:rsidR="00733B28">
        <w:fldChar w:fldCharType="begin"/>
      </w:r>
      <w:r w:rsidR="00733B28" w:rsidRPr="008000E5">
        <w:instrText xml:space="preserve"> XE "Configure Division" </w:instrText>
      </w:r>
      <w:r w:rsidR="00733B28">
        <w:fldChar w:fldCharType="end"/>
      </w:r>
    </w:p>
    <w:p w14:paraId="1095EFC3" w14:textId="77777777" w:rsidR="002A21AE" w:rsidRPr="008000E5" w:rsidRDefault="00D567C9" w:rsidP="007716F7">
      <w:pPr>
        <w:pStyle w:val="Heading3"/>
      </w:pPr>
      <w:bookmarkStart w:id="185" w:name="_Toc63680384"/>
      <w:bookmarkStart w:id="186" w:name="_Toc87166918"/>
      <w:bookmarkStart w:id="187" w:name="_Toc4588755"/>
      <w:r w:rsidRPr="008000E5">
        <w:t>Configure Division</w:t>
      </w:r>
      <w:bookmarkEnd w:id="185"/>
      <w:bookmarkEnd w:id="186"/>
      <w:bookmarkEnd w:id="187"/>
      <w:r w:rsidR="00733B28">
        <w:fldChar w:fldCharType="begin"/>
      </w:r>
      <w:r w:rsidR="00733B28" w:rsidRPr="008000E5">
        <w:instrText xml:space="preserve"> XE "Configure Division" </w:instrText>
      </w:r>
      <w:r w:rsidR="00733B28">
        <w:fldChar w:fldCharType="end"/>
      </w:r>
      <w:r w:rsidR="002A21AE" w:rsidRPr="008000E5">
        <w:rPr>
          <w:rFonts w:ascii="Arial Bold" w:hAnsi="Arial Bold"/>
          <w:vanish/>
        </w:rPr>
        <w:t xml:space="preserve"> UC_09</w:t>
      </w:r>
    </w:p>
    <w:p w14:paraId="631BD857" w14:textId="577875B4" w:rsidR="002A21AE" w:rsidRDefault="002A21AE" w:rsidP="00FA7E65">
      <w:pPr>
        <w:pStyle w:val="BodyText"/>
      </w:pPr>
      <w:r>
        <w:t>A user defines site parameters that affect how VBECS behaves at a specific division. VBECS may be configured to function differently at each division within a consolidated database. Site parameters may be redefined.</w:t>
      </w:r>
      <w:r w:rsidR="00E90A01">
        <w:t xml:space="preserve"> For additional information, see </w:t>
      </w:r>
      <w:r w:rsidR="00E90A01">
        <w:fldChar w:fldCharType="begin" w:fldLock="1"/>
      </w:r>
      <w:r w:rsidR="00E90A01">
        <w:instrText xml:space="preserve"> REF _Ref508960075 \h </w:instrText>
      </w:r>
      <w:r w:rsidR="00E90A01">
        <w:fldChar w:fldCharType="separate"/>
      </w:r>
      <w:r w:rsidR="00AB304C">
        <w:t xml:space="preserve">Appendix </w:t>
      </w:r>
      <w:r w:rsidR="00AB304C">
        <w:rPr>
          <w:noProof/>
        </w:rPr>
        <w:t>F</w:t>
      </w:r>
      <w:r w:rsidR="00AB304C">
        <w:t>: Work Process Flowcharts</w:t>
      </w:r>
      <w:r w:rsidR="00E90A01">
        <w:fldChar w:fldCharType="end"/>
      </w:r>
      <w:r w:rsidR="00E90A01">
        <w:t>.</w:t>
      </w:r>
    </w:p>
    <w:p w14:paraId="3E476CE7" w14:textId="77777777" w:rsidR="002A21AE" w:rsidRDefault="002A21AE">
      <w:pPr>
        <w:pStyle w:val="Heading4"/>
      </w:pPr>
      <w:r>
        <w:t>Assumptions</w:t>
      </w:r>
    </w:p>
    <w:p w14:paraId="5529B7F4" w14:textId="77777777" w:rsidR="002A21AE" w:rsidRDefault="002A21AE">
      <w:pPr>
        <w:pStyle w:val="ListBullet"/>
      </w:pPr>
      <w:r>
        <w:t xml:space="preserve">The site administrator defines the VBECS configuration, adds users, and assigns privileges for each division so that they mirror the associated </w:t>
      </w:r>
      <w:r w:rsidR="00CA0045" w:rsidRPr="00CA0045">
        <w:rPr>
          <w:bCs/>
        </w:rPr>
        <w:t>VistA</w:t>
      </w:r>
      <w:r>
        <w:t xml:space="preserve"> database.</w:t>
      </w:r>
    </w:p>
    <w:p w14:paraId="3C82E3E8" w14:textId="77777777" w:rsidR="002A21AE" w:rsidRDefault="002A21AE">
      <w:pPr>
        <w:pStyle w:val="Heading4"/>
      </w:pPr>
      <w:r>
        <w:t>Outcome</w:t>
      </w:r>
    </w:p>
    <w:p w14:paraId="046E1413" w14:textId="77777777" w:rsidR="002A21AE" w:rsidRDefault="002A21AE">
      <w:pPr>
        <w:pStyle w:val="ListBullet"/>
      </w:pPr>
      <w:r>
        <w:t xml:space="preserve">Functional parameters are set for divisions that use the </w:t>
      </w:r>
      <w:r w:rsidR="00CA0045" w:rsidRPr="00CA0045">
        <w:rPr>
          <w:bCs/>
        </w:rPr>
        <w:t>VistA</w:t>
      </w:r>
      <w:r>
        <w:t xml:space="preserve"> database.</w:t>
      </w:r>
    </w:p>
    <w:p w14:paraId="0E04D9BF" w14:textId="77777777" w:rsidR="002A21AE" w:rsidRDefault="002A21AE">
      <w:pPr>
        <w:pStyle w:val="Heading4"/>
      </w:pPr>
      <w:r>
        <w:t>Limitations and Restrictions</w:t>
      </w:r>
    </w:p>
    <w:p w14:paraId="6B223ABE" w14:textId="77777777" w:rsidR="002A21AE" w:rsidRDefault="0041670F">
      <w:pPr>
        <w:pStyle w:val="ListBullet"/>
      </w:pPr>
      <w:r>
        <w:t>Changes made to the division setting are not applied to a user until they re-connect to VBECS after the change is made. It is highly recommended that all users log off VBECS prior to any configuration setting change.</w:t>
      </w:r>
      <w:r>
        <w:rPr>
          <w:vanish/>
        </w:rPr>
        <w:t xml:space="preserve"> DR 4136</w:t>
      </w:r>
    </w:p>
    <w:p w14:paraId="1B347A5F" w14:textId="77777777" w:rsidR="002E7EBF" w:rsidRDefault="002E7EBF" w:rsidP="002E7EBF">
      <w:pPr>
        <w:pStyle w:val="Caution"/>
      </w:pPr>
      <w:r>
        <w:t xml:space="preserve">It is recommended that users configure a division before configuring testing (click the </w:t>
      </w:r>
      <w:r>
        <w:rPr>
          <w:b/>
        </w:rPr>
        <w:t xml:space="preserve">Configure Testing </w:t>
      </w:r>
      <w:r w:rsidRPr="007004B1">
        <w:t>tab</w:t>
      </w:r>
      <w:r>
        <w:t>).</w:t>
      </w:r>
    </w:p>
    <w:p w14:paraId="47473EFD" w14:textId="77777777" w:rsidR="002A21AE" w:rsidRDefault="002A21AE">
      <w:pPr>
        <w:pStyle w:val="Heading4"/>
      </w:pPr>
      <w:r>
        <w:t>Additional Information</w:t>
      </w:r>
    </w:p>
    <w:p w14:paraId="13485DC2" w14:textId="02E335B3" w:rsidR="002A21AE" w:rsidRPr="000C7C69" w:rsidRDefault="00C428B3" w:rsidP="004D7ECB">
      <w:pPr>
        <w:pStyle w:val="ListBullet"/>
      </w:pPr>
      <w:r>
        <w:t>To incorporate changes in division codes and names from</w:t>
      </w:r>
      <w:r w:rsidR="004D7ECB">
        <w:t xml:space="preserve"> V</w:t>
      </w:r>
      <w:r>
        <w:t>istA to VBECS,</w:t>
      </w:r>
      <w:r w:rsidR="00844E41">
        <w:t xml:space="preserve"> and to change time zones, </w:t>
      </w:r>
      <w:r w:rsidR="004D7ECB">
        <w:t xml:space="preserve">see </w:t>
      </w:r>
      <w:r w:rsidR="004D7ECB" w:rsidRPr="004D7ECB">
        <w:rPr>
          <w:i/>
        </w:rPr>
        <w:t xml:space="preserve">VistA Blood Establishment Computer Software (VBECS) </w:t>
      </w:r>
      <w:r w:rsidR="00531617">
        <w:rPr>
          <w:i/>
        </w:rPr>
        <w:t>2.3.</w:t>
      </w:r>
      <w:r w:rsidR="00B03BDD">
        <w:rPr>
          <w:i/>
        </w:rPr>
        <w:t>1</w:t>
      </w:r>
      <w:r w:rsidR="00531617">
        <w:rPr>
          <w:i/>
        </w:rPr>
        <w:t xml:space="preserve"> </w:t>
      </w:r>
      <w:r w:rsidR="004D7ECB" w:rsidRPr="004D7ECB">
        <w:rPr>
          <w:i/>
        </w:rPr>
        <w:t>Technical Manual-Security Guid</w:t>
      </w:r>
      <w:r w:rsidR="004D7ECB" w:rsidRPr="00461A0A">
        <w:rPr>
          <w:i/>
        </w:rPr>
        <w:t>e</w:t>
      </w:r>
      <w:r w:rsidR="004D7ECB" w:rsidRPr="00461A0A">
        <w:rPr>
          <w:rFonts w:ascii="Arial" w:hAnsi="Arial"/>
          <w:snapToGrid w:val="0"/>
          <w:sz w:val="18"/>
        </w:rPr>
        <w:t>.</w:t>
      </w:r>
    </w:p>
    <w:p w14:paraId="5A4199E4" w14:textId="77777777" w:rsidR="000C7C69" w:rsidRPr="00844E41" w:rsidRDefault="000C7C69" w:rsidP="004D7ECB">
      <w:pPr>
        <w:pStyle w:val="ListBullet"/>
      </w:pPr>
      <w:r>
        <w:t xml:space="preserve">VBECS records configuration changes </w:t>
      </w:r>
      <w:r w:rsidR="00D84237">
        <w:t xml:space="preserve">(such as time zone) </w:t>
      </w:r>
      <w:r>
        <w:t>on the Audit Trail Report.</w:t>
      </w:r>
    </w:p>
    <w:p w14:paraId="21B9A56F" w14:textId="77777777" w:rsidR="002A21AE" w:rsidRDefault="002A21AE" w:rsidP="00461A0A">
      <w:pPr>
        <w:pStyle w:val="Heading4"/>
        <w:tabs>
          <w:tab w:val="center" w:pos="4680"/>
        </w:tabs>
      </w:pPr>
      <w:r>
        <w:t xml:space="preserve">User Roles with Access to This Option </w:t>
      </w:r>
      <w:r w:rsidR="00461A0A">
        <w:tab/>
      </w:r>
    </w:p>
    <w:p w14:paraId="6A0C527D" w14:textId="77777777" w:rsidR="00237C52" w:rsidRDefault="00237C52" w:rsidP="00237C52">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14:paraId="75C563F7" w14:textId="77777777" w:rsidR="002A21AE" w:rsidRDefault="00D567C9">
      <w:pPr>
        <w:pStyle w:val="Heading4"/>
      </w:pPr>
      <w:r>
        <w:t>Configure Division</w:t>
      </w:r>
    </w:p>
    <w:p w14:paraId="309903C7" w14:textId="77777777" w:rsidR="002A21AE" w:rsidRDefault="002A21AE" w:rsidP="00FA7E65">
      <w:pPr>
        <w:pStyle w:val="BodyText"/>
      </w:pPr>
      <w:r>
        <w:t>Once VBECS is configured to identify all of the divisions, the user sets up critical fields required for routine use of VBECS.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47A53C16" w14:textId="77777777">
        <w:trPr>
          <w:cantSplit/>
          <w:tblHeader/>
        </w:trPr>
        <w:tc>
          <w:tcPr>
            <w:tcW w:w="3240" w:type="dxa"/>
            <w:shd w:val="pct30" w:color="auto" w:fill="FFFFFF"/>
            <w:vAlign w:val="bottom"/>
          </w:tcPr>
          <w:p w14:paraId="7932A54F" w14:textId="77777777" w:rsidR="002A21AE" w:rsidRDefault="002A21AE">
            <w:pPr>
              <w:pStyle w:val="TableText"/>
              <w:rPr>
                <w:b/>
              </w:rPr>
            </w:pPr>
            <w:r>
              <w:rPr>
                <w:b/>
              </w:rPr>
              <w:t>User Action</w:t>
            </w:r>
          </w:p>
        </w:tc>
        <w:tc>
          <w:tcPr>
            <w:tcW w:w="6120" w:type="dxa"/>
            <w:shd w:val="pct30" w:color="auto" w:fill="FFFFFF"/>
            <w:vAlign w:val="bottom"/>
          </w:tcPr>
          <w:p w14:paraId="26FCB47F" w14:textId="77777777" w:rsidR="002A21AE" w:rsidRDefault="002A21AE">
            <w:pPr>
              <w:pStyle w:val="TableText"/>
              <w:rPr>
                <w:b/>
              </w:rPr>
            </w:pPr>
            <w:r>
              <w:rPr>
                <w:b/>
              </w:rPr>
              <w:t>VBECS</w:t>
            </w:r>
          </w:p>
        </w:tc>
      </w:tr>
      <w:tr w:rsidR="002A21AE" w14:paraId="1000E946" w14:textId="77777777">
        <w:tc>
          <w:tcPr>
            <w:tcW w:w="3240" w:type="dxa"/>
          </w:tcPr>
          <w:p w14:paraId="28FEEA91" w14:textId="77777777" w:rsidR="002A21AE" w:rsidRDefault="002A21AE">
            <w:pPr>
              <w:pStyle w:val="TableTextNumbers"/>
            </w:pPr>
            <w:r>
              <w:t xml:space="preserve">Select </w:t>
            </w:r>
            <w:r>
              <w:rPr>
                <w:b/>
                <w:bCs/>
              </w:rPr>
              <w:t>Tools</w:t>
            </w:r>
            <w:r>
              <w:t xml:space="preserve"> from the main menu.</w:t>
            </w:r>
          </w:p>
          <w:p w14:paraId="56797698" w14:textId="77777777" w:rsidR="002A21AE" w:rsidRDefault="002A21AE">
            <w:pPr>
              <w:pStyle w:val="TableTextNumbersContinued"/>
              <w:rPr>
                <w:b/>
                <w:bCs/>
              </w:rPr>
            </w:pPr>
          </w:p>
          <w:p w14:paraId="0CC78EB9" w14:textId="4D14D8C3" w:rsidR="002A21AE" w:rsidRDefault="002A21AE">
            <w:pPr>
              <w:pStyle w:val="TableTextNumbersContinued"/>
              <w:rPr>
                <w:b/>
                <w:bCs/>
              </w:rPr>
            </w:pPr>
            <w:r w:rsidRPr="00090795">
              <w:rPr>
                <w:bCs/>
              </w:rPr>
              <w:t>Select</w:t>
            </w:r>
            <w:r>
              <w:rPr>
                <w:b/>
                <w:bCs/>
              </w:rPr>
              <w:t xml:space="preserve"> Configure Division</w:t>
            </w:r>
            <w:r w:rsidR="004E4889">
              <w:rPr>
                <w:b/>
                <w:bCs/>
              </w:rPr>
              <w:t xml:space="preserve"> </w:t>
            </w:r>
            <w:r w:rsidR="004E4889" w:rsidRPr="004E4889">
              <w:rPr>
                <w:bCs/>
              </w:rPr>
              <w:t>(</w:t>
            </w:r>
            <w:r w:rsidR="00295FAE">
              <w:rPr>
                <w:bCs/>
              </w:rPr>
              <w:fldChar w:fldCharType="begin" w:fldLock="1"/>
            </w:r>
            <w:r w:rsidR="00295FAE">
              <w:rPr>
                <w:bCs/>
              </w:rPr>
              <w:instrText xml:space="preserve"> REF _Ref126467884 \h </w:instrText>
            </w:r>
            <w:r w:rsidR="00295FAE">
              <w:rPr>
                <w:bCs/>
              </w:rPr>
            </w:r>
            <w:r w:rsidR="00295FAE">
              <w:rPr>
                <w:bCs/>
              </w:rPr>
              <w:fldChar w:fldCharType="separate"/>
            </w:r>
            <w:r w:rsidR="00AB304C">
              <w:t xml:space="preserve">Figure </w:t>
            </w:r>
            <w:r w:rsidR="00AB304C">
              <w:rPr>
                <w:noProof/>
              </w:rPr>
              <w:t>48</w:t>
            </w:r>
            <w:r w:rsidR="00295FAE">
              <w:rPr>
                <w:bCs/>
              </w:rPr>
              <w:fldChar w:fldCharType="end"/>
            </w:r>
            <w:r w:rsidR="004E4889" w:rsidRPr="004E4889">
              <w:rPr>
                <w:bCs/>
              </w:rPr>
              <w:t>)</w:t>
            </w:r>
            <w:r w:rsidRPr="00090795">
              <w:rPr>
                <w:bCs/>
              </w:rPr>
              <w:t>.</w:t>
            </w:r>
          </w:p>
        </w:tc>
        <w:tc>
          <w:tcPr>
            <w:tcW w:w="6120" w:type="dxa"/>
          </w:tcPr>
          <w:p w14:paraId="5EBAF917" w14:textId="77777777" w:rsidR="002A21AE" w:rsidRDefault="002A21AE">
            <w:pPr>
              <w:pStyle w:val="TableTextBullet"/>
            </w:pPr>
            <w:r>
              <w:t>Displays options for processing administrative functions.</w:t>
            </w:r>
          </w:p>
          <w:p w14:paraId="45F2D5CD" w14:textId="77777777" w:rsidR="002A21AE" w:rsidRDefault="002A21AE">
            <w:pPr>
              <w:pStyle w:val="TableTextBullet"/>
            </w:pPr>
            <w:r>
              <w:t>Displays the Configure Division tab with fields for entering division-specific blood product information.</w:t>
            </w:r>
          </w:p>
        </w:tc>
      </w:tr>
      <w:tr w:rsidR="002A21AE" w14:paraId="5551F766" w14:textId="77777777" w:rsidTr="007E500E">
        <w:trPr>
          <w:cantSplit/>
        </w:trPr>
        <w:tc>
          <w:tcPr>
            <w:tcW w:w="3240" w:type="dxa"/>
          </w:tcPr>
          <w:p w14:paraId="0E01E711" w14:textId="77777777" w:rsidR="002A21AE" w:rsidRDefault="002A21AE">
            <w:pPr>
              <w:pStyle w:val="TableTextNumbers"/>
            </w:pPr>
            <w:r>
              <w:lastRenderedPageBreak/>
              <w:t xml:space="preserve">Enter the ICCBBA </w:t>
            </w:r>
            <w:r w:rsidR="00B85812">
              <w:t>Registration Number</w:t>
            </w:r>
            <w:r>
              <w:t>, the medical director’s name (or select it from the drop-down list), and the maximum number of days until the specimen expires in their respective fields.</w:t>
            </w:r>
          </w:p>
        </w:tc>
        <w:tc>
          <w:tcPr>
            <w:tcW w:w="6120" w:type="dxa"/>
          </w:tcPr>
          <w:p w14:paraId="7A0A3956" w14:textId="77777777" w:rsidR="002A21AE" w:rsidRDefault="002A21AE">
            <w:pPr>
              <w:pStyle w:val="TableText"/>
            </w:pPr>
          </w:p>
          <w:p w14:paraId="754680FD" w14:textId="77777777" w:rsidR="002A21AE" w:rsidRDefault="00057948">
            <w:pPr>
              <w:pStyle w:val="TableText"/>
              <w:rPr>
                <w:b/>
                <w:bCs/>
                <w:szCs w:val="18"/>
              </w:rPr>
            </w:pPr>
            <w:r>
              <w:rPr>
                <w:b/>
                <w:bCs/>
                <w:noProof/>
              </w:rPr>
              <mc:AlternateContent>
                <mc:Choice Requires="wps">
                  <w:drawing>
                    <wp:anchor distT="0" distB="0" distL="114300" distR="114300" simplePos="0" relativeHeight="251604992" behindDoc="0" locked="0" layoutInCell="1" allowOverlap="1" wp14:anchorId="3C65809C" wp14:editId="333DCFB5">
                      <wp:simplePos x="0" y="0"/>
                      <wp:positionH relativeFrom="column">
                        <wp:posOffset>457200</wp:posOffset>
                      </wp:positionH>
                      <wp:positionV relativeFrom="paragraph">
                        <wp:posOffset>65405</wp:posOffset>
                      </wp:positionV>
                      <wp:extent cx="3200400" cy="0"/>
                      <wp:effectExtent l="9525" t="17780" r="9525" b="10795"/>
                      <wp:wrapNone/>
                      <wp:docPr id="567" name="Line 523" descr="P1752L17C6T1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39CED" id="Line 523" o:spid="_x0000_s1026" alt="&quot;&quot;"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9MNx5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2CCF67B7" w14:textId="77777777" w:rsidR="002A21AE" w:rsidRDefault="002A21AE">
            <w:pPr>
              <w:pStyle w:val="NotesText"/>
            </w:pPr>
          </w:p>
          <w:p w14:paraId="2BCAB06C" w14:textId="77777777" w:rsidR="002A21AE" w:rsidRDefault="002A21AE">
            <w:pPr>
              <w:pStyle w:val="NotesText"/>
            </w:pPr>
            <w:r w:rsidRPr="00E274BF">
              <w:rPr>
                <w:rFonts w:cs="Arial"/>
                <w:vanish/>
                <w:szCs w:val="18"/>
              </w:rPr>
              <w:t>BR_9.04</w:t>
            </w:r>
            <w:r w:rsidRPr="009660C3">
              <w:rPr>
                <w:vanish/>
                <w:szCs w:val="18"/>
              </w:rPr>
              <w:t xml:space="preserve"> </w:t>
            </w:r>
            <w:r>
              <w:t xml:space="preserve">An ICCBBA </w:t>
            </w:r>
            <w:r w:rsidR="00B85812">
              <w:t>Registration Number</w:t>
            </w:r>
            <w:r>
              <w:t xml:space="preserve"> contains an alphabetical character followed by four numeric characters.</w:t>
            </w:r>
          </w:p>
          <w:p w14:paraId="19DEEA04" w14:textId="77777777" w:rsidR="002A21AE" w:rsidRDefault="002A21AE">
            <w:pPr>
              <w:pStyle w:val="NotesText"/>
            </w:pPr>
          </w:p>
          <w:p w14:paraId="17C45992" w14:textId="77777777" w:rsidR="002A21AE" w:rsidRDefault="002A21AE">
            <w:pPr>
              <w:pStyle w:val="NotesText"/>
            </w:pPr>
            <w:r w:rsidRPr="00E274BF">
              <w:rPr>
                <w:rFonts w:cs="Arial"/>
                <w:vanish/>
                <w:szCs w:val="18"/>
              </w:rPr>
              <w:t>BR_9.07</w:t>
            </w:r>
            <w:r w:rsidRPr="009660C3">
              <w:rPr>
                <w:vanish/>
                <w:szCs w:val="18"/>
              </w:rPr>
              <w:t xml:space="preserve"> </w:t>
            </w:r>
            <w:r>
              <w:t>A user may enter the name of the blood bank medical director or acting medical director to appear on reports. The user may edit the name and title but may select only one name at a time for use. VBECS saves these edits for retrieval.</w:t>
            </w:r>
          </w:p>
          <w:p w14:paraId="62ACFFC4" w14:textId="77777777" w:rsidR="002A21AE" w:rsidRDefault="002A21AE">
            <w:pPr>
              <w:pStyle w:val="NotesText"/>
            </w:pPr>
          </w:p>
          <w:p w14:paraId="21DCF838" w14:textId="77777777" w:rsidR="002A21AE" w:rsidRDefault="002A21AE">
            <w:pPr>
              <w:pStyle w:val="NotesText"/>
            </w:pPr>
            <w:r w:rsidRPr="00E274BF">
              <w:rPr>
                <w:rFonts w:cs="Arial"/>
                <w:vanish/>
                <w:szCs w:val="18"/>
              </w:rPr>
              <w:t>BR_9.05</w:t>
            </w:r>
            <w:r w:rsidRPr="009660C3">
              <w:rPr>
                <w:vanish/>
                <w:szCs w:val="18"/>
              </w:rPr>
              <w:t xml:space="preserve"> </w:t>
            </w:r>
            <w:r>
              <w:t>The user may edit the default setting for the maximum number of specimen expiration days from “3” to any value from “3” to “93.”</w:t>
            </w:r>
          </w:p>
          <w:p w14:paraId="352B330B" w14:textId="77777777" w:rsidR="00B24419" w:rsidRPr="0015382B" w:rsidRDefault="00B24419">
            <w:pPr>
              <w:pStyle w:val="NotesText"/>
            </w:pPr>
            <w:r w:rsidRPr="00B24419">
              <w:t>This setting allows the user to extend the expiration date of any one specimen to the maximum date indicated.  This does not change the normal specimen expiration date of all specimens received</w:t>
            </w:r>
            <w:r>
              <w:t>.</w:t>
            </w:r>
            <w:r w:rsidR="0015382B">
              <w:rPr>
                <w:vanish/>
              </w:rPr>
              <w:t xml:space="preserve"> DR 3592</w:t>
            </w:r>
          </w:p>
        </w:tc>
      </w:tr>
      <w:tr w:rsidR="002A21AE" w14:paraId="50815A23" w14:textId="77777777">
        <w:tc>
          <w:tcPr>
            <w:tcW w:w="3240" w:type="dxa"/>
          </w:tcPr>
          <w:p w14:paraId="448CEC0E" w14:textId="77777777" w:rsidR="002A21AE" w:rsidRDefault="002A21AE">
            <w:pPr>
              <w:pStyle w:val="TableTextNumbers"/>
            </w:pPr>
            <w:r>
              <w:t xml:space="preserve">Click </w:t>
            </w:r>
            <w:r>
              <w:rPr>
                <w:b/>
              </w:rPr>
              <w:t xml:space="preserve">OK </w:t>
            </w:r>
            <w:r>
              <w:t xml:space="preserve">to save and click </w:t>
            </w:r>
            <w:r>
              <w:rPr>
                <w:b/>
              </w:rPr>
              <w:t>OK</w:t>
            </w:r>
            <w:r>
              <w:t xml:space="preserve"> again to confirm the save and exit, or click another tab.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6D48B36B" w14:textId="77777777" w:rsidR="002A21AE" w:rsidRDefault="002A21AE">
            <w:pPr>
              <w:pStyle w:val="TableTextBullet"/>
            </w:pPr>
            <w:r>
              <w:t>Displays the information entered.</w:t>
            </w:r>
          </w:p>
          <w:p w14:paraId="19180403" w14:textId="77777777" w:rsidR="002A21AE" w:rsidRDefault="002A21AE">
            <w:pPr>
              <w:pStyle w:val="TableTextBullet"/>
            </w:pPr>
            <w:r>
              <w:t>Requests confirmation to update the database.</w:t>
            </w:r>
          </w:p>
          <w:p w14:paraId="495EAF8C" w14:textId="77777777" w:rsidR="002A21AE" w:rsidRDefault="002A21AE" w:rsidP="002E7EBF">
            <w:pPr>
              <w:pStyle w:val="TableTextBullet"/>
            </w:pPr>
            <w:r>
              <w:t>Updates the database.</w:t>
            </w:r>
          </w:p>
        </w:tc>
      </w:tr>
    </w:tbl>
    <w:p w14:paraId="0D6BC71C" w14:textId="130FCF0D" w:rsidR="00D43EF7" w:rsidRDefault="00D43EF7" w:rsidP="00D43EF7">
      <w:pPr>
        <w:pStyle w:val="Caption"/>
      </w:pPr>
      <w:bookmarkStart w:id="188" w:name="_Ref126467884"/>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48</w:t>
      </w:r>
      <w:r w:rsidR="004E20BD">
        <w:rPr>
          <w:noProof/>
        </w:rPr>
        <w:fldChar w:fldCharType="end"/>
      </w:r>
      <w:bookmarkEnd w:id="188"/>
      <w:r>
        <w:t>: Configure Division Tabs</w:t>
      </w:r>
    </w:p>
    <w:p w14:paraId="7AC24134" w14:textId="77777777" w:rsidR="008D2925" w:rsidRDefault="00057948" w:rsidP="008D2925">
      <w:pPr>
        <w:pStyle w:val="BodyText"/>
      </w:pPr>
      <w:r>
        <w:rPr>
          <w:noProof/>
        </w:rPr>
        <mc:AlternateContent>
          <mc:Choice Requires="wps">
            <w:drawing>
              <wp:anchor distT="0" distB="0" distL="114300" distR="114300" simplePos="0" relativeHeight="251724800" behindDoc="0" locked="0" layoutInCell="1" allowOverlap="1" wp14:anchorId="325F0D8A" wp14:editId="6556119E">
                <wp:simplePos x="0" y="0"/>
                <wp:positionH relativeFrom="column">
                  <wp:posOffset>0</wp:posOffset>
                </wp:positionH>
                <wp:positionV relativeFrom="paragraph">
                  <wp:posOffset>478790</wp:posOffset>
                </wp:positionV>
                <wp:extent cx="3086100" cy="457200"/>
                <wp:effectExtent l="9525" t="12065" r="9525" b="6985"/>
                <wp:wrapNone/>
                <wp:docPr id="566" name="Oval 1144" descr="P1767L1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457200"/>
                        </a:xfrm>
                        <a:prstGeom prst="ellipse">
                          <a:avLst/>
                        </a:prstGeom>
                        <a:solidFill>
                          <a:srgbClr val="FFFFFF">
                            <a:alpha val="0"/>
                          </a:srgbClr>
                        </a:solidFill>
                        <a:ln w="952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8FD446" id="Oval 1144" o:spid="_x0000_s1026" alt="&quot;&quot;" style="position:absolute;margin-left:0;margin-top:37.7pt;width:243pt;height:3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" strokecolor="red">
                <v:fill opacity="0"/>
              </v:oval>
            </w:pict>
          </mc:Fallback>
        </mc:AlternateContent>
      </w:r>
      <w:r>
        <w:rPr>
          <w:noProof/>
        </w:rPr>
        <w:drawing>
          <wp:inline distT="0" distB="0" distL="0" distR="0" wp14:anchorId="5BDB2B2E" wp14:editId="31EEDA74">
            <wp:extent cx="3195955" cy="3204845"/>
            <wp:effectExtent l="0" t="0" r="4445" b="0"/>
            <wp:docPr id="127" name="Picture 127" descr="P1767L17#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P1767L17#yIS1">
                      <a:extLst>
                        <a:ext uri="{C183D7F6-B498-43B3-948B-1728B52AA6E4}">
                          <adec:decorative xmlns:adec="http://schemas.microsoft.com/office/drawing/2017/decorative" val="1"/>
                        </a:ext>
                      </a:extLst>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195955" cy="3204845"/>
                    </a:xfrm>
                    <a:prstGeom prst="rect">
                      <a:avLst/>
                    </a:prstGeom>
                    <a:noFill/>
                    <a:ln>
                      <a:noFill/>
                    </a:ln>
                  </pic:spPr>
                </pic:pic>
              </a:graphicData>
            </a:graphic>
          </wp:inline>
        </w:drawing>
      </w:r>
    </w:p>
    <w:p w14:paraId="094C6566" w14:textId="77777777" w:rsidR="002A21AE" w:rsidRDefault="00AF089A" w:rsidP="007716F7">
      <w:pPr>
        <w:pStyle w:val="Heading3"/>
      </w:pPr>
      <w:r>
        <w:br w:type="page"/>
      </w:r>
      <w:bookmarkStart w:id="189" w:name="_Toc4588756"/>
      <w:r w:rsidR="002A21AE" w:rsidRPr="007716F7">
        <w:lastRenderedPageBreak/>
        <w:t>Configure Testing</w:t>
      </w:r>
      <w:bookmarkEnd w:id="189"/>
      <w:r w:rsidR="002A21AE" w:rsidRPr="00796039">
        <w:rPr>
          <w:rFonts w:ascii="Arial Bold" w:hAnsi="Arial Bold"/>
          <w:vanish/>
        </w:rPr>
        <w:fldChar w:fldCharType="begin"/>
      </w:r>
      <w:r w:rsidR="002A21AE" w:rsidRPr="00796039">
        <w:rPr>
          <w:rFonts w:ascii="Arial Bold" w:hAnsi="Arial Bold"/>
          <w:vanish/>
        </w:rPr>
        <w:instrText xml:space="preserve"> XE </w:instrText>
      </w:r>
      <w:r w:rsidR="00FA7E65" w:rsidRPr="00796039">
        <w:rPr>
          <w:rFonts w:ascii="Arial Bold" w:hAnsi="Arial Bold"/>
          <w:vanish/>
        </w:rPr>
        <w:instrText>“</w:instrText>
      </w:r>
      <w:r w:rsidR="007716F7" w:rsidRPr="00796039">
        <w:rPr>
          <w:rFonts w:ascii="Arial Bold" w:hAnsi="Arial Bold"/>
          <w:vanish/>
        </w:rPr>
        <w:instrText xml:space="preserve">Configure </w:instrText>
      </w:r>
      <w:r w:rsidR="002A21AE" w:rsidRPr="00796039">
        <w:rPr>
          <w:rFonts w:ascii="Arial Bold" w:hAnsi="Arial Bold"/>
          <w:vanish/>
        </w:rPr>
        <w:instrText>Testing</w:instrText>
      </w:r>
      <w:r w:rsidR="00FA7E65" w:rsidRPr="00796039">
        <w:rPr>
          <w:rFonts w:ascii="Arial Bold" w:hAnsi="Arial Bold"/>
          <w:vanish/>
        </w:rPr>
        <w:instrText>”</w:instrText>
      </w:r>
      <w:r w:rsidR="002A21AE" w:rsidRPr="00796039">
        <w:rPr>
          <w:rFonts w:ascii="Arial Bold" w:hAnsi="Arial Bold"/>
          <w:vanish/>
        </w:rPr>
        <w:instrText xml:space="preserve"> </w:instrText>
      </w:r>
      <w:r w:rsidR="002A21AE" w:rsidRPr="00796039">
        <w:rPr>
          <w:rFonts w:ascii="Arial Bold" w:hAnsi="Arial Bold"/>
          <w:vanish/>
        </w:rPr>
        <w:fldChar w:fldCharType="end"/>
      </w:r>
      <w:r w:rsidR="002A21AE" w:rsidRPr="00796039">
        <w:rPr>
          <w:rFonts w:ascii="Arial Bold" w:hAnsi="Arial Bold"/>
          <w:vanish/>
        </w:rPr>
        <w:t xml:space="preserve"> UC_55</w:t>
      </w:r>
    </w:p>
    <w:p w14:paraId="52DAB71F" w14:textId="77777777" w:rsidR="002A21AE" w:rsidRDefault="002A21AE" w:rsidP="00FA7E65">
      <w:pPr>
        <w:pStyle w:val="BodyText"/>
      </w:pPr>
      <w:r>
        <w:t xml:space="preserve">The user sets testing preferences according to a division’s medical policies. </w:t>
      </w:r>
    </w:p>
    <w:p w14:paraId="2BAFFB87" w14:textId="77777777" w:rsidR="002A21AE" w:rsidRDefault="002A21AE">
      <w:pPr>
        <w:pStyle w:val="Heading4"/>
      </w:pPr>
      <w:r>
        <w:t>Assumptions</w:t>
      </w:r>
    </w:p>
    <w:p w14:paraId="195126AA" w14:textId="77777777" w:rsidR="002A21AE" w:rsidRDefault="002A21AE">
      <w:pPr>
        <w:pStyle w:val="ListBullet"/>
      </w:pPr>
      <w:r>
        <w:t>A division’s worksheets affected by the option are not open or incomplete at the time of configuration.</w:t>
      </w:r>
    </w:p>
    <w:p w14:paraId="5944F936" w14:textId="77777777" w:rsidR="002A21AE" w:rsidRDefault="002A21AE">
      <w:pPr>
        <w:pStyle w:val="Heading4"/>
      </w:pPr>
      <w:r>
        <w:t>Outcome</w:t>
      </w:r>
    </w:p>
    <w:p w14:paraId="461961F6" w14:textId="77777777" w:rsidR="002A21AE" w:rsidRDefault="002A21AE">
      <w:pPr>
        <w:pStyle w:val="ListBullet"/>
      </w:pPr>
      <w:r>
        <w:t>Division testing preferences are configured.</w:t>
      </w:r>
    </w:p>
    <w:p w14:paraId="56CFEFEF" w14:textId="77777777" w:rsidR="002A21AE" w:rsidRDefault="002A21AE">
      <w:pPr>
        <w:pStyle w:val="Heading4"/>
        <w:rPr>
          <w:b w:val="0"/>
        </w:rPr>
      </w:pPr>
      <w:r>
        <w:t>Limitations and Restrictions</w:t>
      </w:r>
      <w:r>
        <w:rPr>
          <w:b w:val="0"/>
        </w:rPr>
        <w:t xml:space="preserve"> </w:t>
      </w:r>
    </w:p>
    <w:p w14:paraId="02348E4D" w14:textId="77777777" w:rsidR="002A21AE" w:rsidRDefault="002A21AE">
      <w:pPr>
        <w:pStyle w:val="ListBullet"/>
      </w:pPr>
      <w:r>
        <w:t>None</w:t>
      </w:r>
    </w:p>
    <w:p w14:paraId="3543D7B8" w14:textId="77777777" w:rsidR="002E7EBF" w:rsidRDefault="002E7EBF" w:rsidP="002E7EBF">
      <w:pPr>
        <w:pStyle w:val="Caution"/>
      </w:pPr>
      <w:r>
        <w:t xml:space="preserve">It is recommended that users configure testing before modifying products (click the </w:t>
      </w:r>
      <w:r>
        <w:rPr>
          <w:b/>
        </w:rPr>
        <w:t xml:space="preserve">Product Modifications </w:t>
      </w:r>
      <w:r w:rsidRPr="003814BF">
        <w:t>tab</w:t>
      </w:r>
      <w:r>
        <w:t>).</w:t>
      </w:r>
    </w:p>
    <w:p w14:paraId="06B78D15" w14:textId="77777777" w:rsidR="002A21AE" w:rsidRDefault="002A21AE">
      <w:pPr>
        <w:pStyle w:val="Heading4"/>
      </w:pPr>
      <w:r>
        <w:t xml:space="preserve">Additional Information </w:t>
      </w:r>
    </w:p>
    <w:p w14:paraId="4AAC23F0" w14:textId="77777777" w:rsidR="002A21AE" w:rsidRDefault="002A21AE">
      <w:pPr>
        <w:pStyle w:val="ListBullet"/>
      </w:pPr>
      <w:r>
        <w:t>None</w:t>
      </w:r>
    </w:p>
    <w:p w14:paraId="48EB88B3" w14:textId="77777777" w:rsidR="002A21AE" w:rsidRDefault="002A21AE">
      <w:pPr>
        <w:pStyle w:val="Heading4"/>
        <w:rPr>
          <w:b w:val="0"/>
        </w:rPr>
      </w:pPr>
      <w:r>
        <w:t>User Roles with Access to This Option</w:t>
      </w:r>
      <w:r>
        <w:rPr>
          <w:b w:val="0"/>
        </w:rPr>
        <w:t xml:space="preserve"> </w:t>
      </w:r>
    </w:p>
    <w:p w14:paraId="0EE8250E" w14:textId="77777777" w:rsidR="002A21AE" w:rsidRDefault="00237C52">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14:paraId="7AE23E62" w14:textId="77777777" w:rsidR="002A21AE" w:rsidRDefault="002A21AE">
      <w:pPr>
        <w:pStyle w:val="Heading4"/>
      </w:pPr>
      <w:r>
        <w:t>Configure Testing</w:t>
      </w:r>
    </w:p>
    <w:p w14:paraId="54802D90" w14:textId="77777777" w:rsidR="002A21AE" w:rsidRDefault="002A21AE" w:rsidP="00FA7E65">
      <w:pPr>
        <w:pStyle w:val="BodyText"/>
      </w:pPr>
      <w:r>
        <w:t xml:space="preserve">The user sets the system to display testing grids to the users in their division. The user determines whether an autocontrol is used and whether a Direct Antiglobulin Test (DAT) is added as part of the routine </w:t>
      </w:r>
      <w:r w:rsidR="008E2E30">
        <w:t>A</w:t>
      </w:r>
      <w:r>
        <w:t xml:space="preserve">ntibody </w:t>
      </w:r>
      <w:r w:rsidR="008E2E30">
        <w:t>Screen T</w:t>
      </w:r>
      <w:r>
        <w:t>est (ABS) described in Patient Testing: Record a Patient Antibody Screen.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AFD2C36" w14:textId="77777777">
        <w:trPr>
          <w:tblHeader/>
        </w:trPr>
        <w:tc>
          <w:tcPr>
            <w:tcW w:w="3240" w:type="dxa"/>
            <w:shd w:val="pct30" w:color="auto" w:fill="FFFFFF"/>
            <w:vAlign w:val="bottom"/>
          </w:tcPr>
          <w:p w14:paraId="5460BFCF" w14:textId="77777777" w:rsidR="002A21AE" w:rsidRDefault="002A21AE">
            <w:pPr>
              <w:pStyle w:val="TableText"/>
              <w:rPr>
                <w:b/>
              </w:rPr>
            </w:pPr>
            <w:r>
              <w:rPr>
                <w:b/>
              </w:rPr>
              <w:t>User Action</w:t>
            </w:r>
          </w:p>
        </w:tc>
        <w:tc>
          <w:tcPr>
            <w:tcW w:w="6120" w:type="dxa"/>
            <w:shd w:val="pct30" w:color="auto" w:fill="FFFFFF"/>
            <w:vAlign w:val="bottom"/>
          </w:tcPr>
          <w:p w14:paraId="1EAB4184" w14:textId="77777777" w:rsidR="002A21AE" w:rsidRDefault="002A21AE">
            <w:pPr>
              <w:pStyle w:val="TableText"/>
              <w:rPr>
                <w:b/>
              </w:rPr>
            </w:pPr>
            <w:r>
              <w:rPr>
                <w:b/>
              </w:rPr>
              <w:t>VBECS</w:t>
            </w:r>
          </w:p>
        </w:tc>
      </w:tr>
      <w:tr w:rsidR="002A21AE" w14:paraId="48EFF3EA" w14:textId="77777777">
        <w:tc>
          <w:tcPr>
            <w:tcW w:w="3240" w:type="dxa"/>
          </w:tcPr>
          <w:p w14:paraId="4D95E37E" w14:textId="77777777" w:rsidR="002A21AE" w:rsidRDefault="002A21AE">
            <w:pPr>
              <w:pStyle w:val="TableTextNumbers"/>
            </w:pPr>
            <w:r>
              <w:t xml:space="preserve">Select </w:t>
            </w:r>
            <w:r>
              <w:rPr>
                <w:b/>
                <w:bCs/>
              </w:rPr>
              <w:t>Tools</w:t>
            </w:r>
            <w:r>
              <w:t xml:space="preserve"> from the main menu.</w:t>
            </w:r>
          </w:p>
          <w:p w14:paraId="0A452461" w14:textId="77777777" w:rsidR="002A21AE" w:rsidRDefault="002A21AE">
            <w:pPr>
              <w:pStyle w:val="TableTextNumbersContinued"/>
              <w:rPr>
                <w:b/>
                <w:bCs/>
              </w:rPr>
            </w:pPr>
          </w:p>
          <w:p w14:paraId="19915B48" w14:textId="77777777" w:rsidR="002A21AE" w:rsidRDefault="002A21AE">
            <w:pPr>
              <w:pStyle w:val="TableTextNumbersContinued"/>
            </w:pPr>
            <w:r>
              <w:t xml:space="preserve">Select </w:t>
            </w:r>
            <w:r>
              <w:rPr>
                <w:b/>
              </w:rPr>
              <w:t>Configure Division</w:t>
            </w:r>
            <w:r>
              <w:t>.</w:t>
            </w:r>
          </w:p>
        </w:tc>
        <w:tc>
          <w:tcPr>
            <w:tcW w:w="6120" w:type="dxa"/>
          </w:tcPr>
          <w:p w14:paraId="78679BEA" w14:textId="77777777" w:rsidR="002A21AE" w:rsidRDefault="002A21AE">
            <w:pPr>
              <w:pStyle w:val="TableTextBullet"/>
            </w:pPr>
            <w:r>
              <w:t>Displays options for processing administrative functions.</w:t>
            </w:r>
          </w:p>
          <w:p w14:paraId="39D55A24" w14:textId="77777777" w:rsidR="002A21AE" w:rsidRDefault="002A21AE">
            <w:pPr>
              <w:pStyle w:val="TableTextBullet"/>
            </w:pPr>
            <w:r>
              <w:t>Displays the Configure Division tab with fields for entering division-specific testing information.</w:t>
            </w:r>
          </w:p>
        </w:tc>
      </w:tr>
      <w:tr w:rsidR="002A21AE" w14:paraId="531F06D2" w14:textId="77777777">
        <w:tc>
          <w:tcPr>
            <w:tcW w:w="3240" w:type="dxa"/>
          </w:tcPr>
          <w:p w14:paraId="386D33DF" w14:textId="1597E8D2" w:rsidR="002A21AE" w:rsidRDefault="002A21AE">
            <w:pPr>
              <w:pStyle w:val="TableTextNumbers"/>
            </w:pPr>
            <w:r>
              <w:t xml:space="preserve">Click the </w:t>
            </w:r>
            <w:r>
              <w:rPr>
                <w:b/>
                <w:bCs/>
              </w:rPr>
              <w:t xml:space="preserve">Configure Testing </w:t>
            </w:r>
            <w:r w:rsidRPr="00773FF6">
              <w:rPr>
                <w:bCs/>
              </w:rPr>
              <w:t>tab</w:t>
            </w:r>
            <w:r w:rsidR="00B22EAF">
              <w:t xml:space="preserve"> </w:t>
            </w:r>
            <w:r w:rsidR="000A273B">
              <w:t>(</w:t>
            </w:r>
            <w:r w:rsidR="000A273B">
              <w:fldChar w:fldCharType="begin" w:fldLock="1"/>
            </w:r>
            <w:r w:rsidR="000A273B">
              <w:instrText xml:space="preserve"> REF _Ref300722854 \h </w:instrText>
            </w:r>
            <w:r w:rsidR="000A273B">
              <w:fldChar w:fldCharType="separate"/>
            </w:r>
            <w:r w:rsidR="00AB304C">
              <w:t xml:space="preserve">Figure </w:t>
            </w:r>
            <w:r w:rsidR="00AB304C">
              <w:rPr>
                <w:noProof/>
              </w:rPr>
              <w:t>49</w:t>
            </w:r>
            <w:r w:rsidR="000A273B">
              <w:fldChar w:fldCharType="end"/>
            </w:r>
            <w:r w:rsidR="000A273B">
              <w:t>)</w:t>
            </w:r>
            <w:r w:rsidR="00B22EAF" w:rsidRPr="00090795">
              <w:rPr>
                <w:bCs/>
              </w:rPr>
              <w:t>.</w:t>
            </w:r>
          </w:p>
          <w:p w14:paraId="506BC003" w14:textId="77777777" w:rsidR="002A21AE" w:rsidRPr="00EF0F79" w:rsidRDefault="002A21AE" w:rsidP="007270C3">
            <w:pPr>
              <w:pStyle w:val="TableTextNumbersContinued"/>
              <w:ind w:left="0"/>
              <w:rPr>
                <w:strike/>
              </w:rPr>
            </w:pPr>
          </w:p>
        </w:tc>
        <w:tc>
          <w:tcPr>
            <w:tcW w:w="6120" w:type="dxa"/>
          </w:tcPr>
          <w:p w14:paraId="50B2104D" w14:textId="77777777" w:rsidR="002A21AE" w:rsidRDefault="002A21AE">
            <w:pPr>
              <w:pStyle w:val="TableTextBullet"/>
            </w:pPr>
            <w:r>
              <w:t>Displays the Configure Testing tab with fields for entering division-specific blood product information.</w:t>
            </w:r>
          </w:p>
          <w:p w14:paraId="5A283250" w14:textId="77777777" w:rsidR="004E0061" w:rsidRPr="007270C3" w:rsidRDefault="002A21AE" w:rsidP="007270C3">
            <w:pPr>
              <w:pStyle w:val="TableTextBullet"/>
            </w:pPr>
            <w:r>
              <w:t>Displays options to set standard operating procedures for a division’s laboratory testing.</w:t>
            </w:r>
          </w:p>
        </w:tc>
      </w:tr>
      <w:tr w:rsidR="00EF0F79" w14:paraId="2576FA41" w14:textId="77777777">
        <w:tc>
          <w:tcPr>
            <w:tcW w:w="3240" w:type="dxa"/>
          </w:tcPr>
          <w:p w14:paraId="6855855F" w14:textId="77777777" w:rsidR="00C7159B" w:rsidRDefault="00EF0F79" w:rsidP="00EF0F79">
            <w:pPr>
              <w:pStyle w:val="TableTextNumbers"/>
            </w:pPr>
            <w:r>
              <w:t>Click the appropriate radio buttons to</w:t>
            </w:r>
            <w:r w:rsidR="00C7159B">
              <w:t>:</w:t>
            </w:r>
          </w:p>
          <w:p w14:paraId="33EA7A9C" w14:textId="77777777" w:rsidR="00C7159B" w:rsidRDefault="00C7159B" w:rsidP="00C7159B">
            <w:pPr>
              <w:pStyle w:val="TableTextNumbers"/>
              <w:numPr>
                <w:ilvl w:val="0"/>
                <w:numId w:val="0"/>
              </w:numPr>
              <w:ind w:left="288"/>
            </w:pPr>
          </w:p>
          <w:p w14:paraId="456E7821" w14:textId="77777777" w:rsidR="00C7159B" w:rsidRDefault="00C7159B" w:rsidP="00C7159B">
            <w:pPr>
              <w:pStyle w:val="TableTextNumbers"/>
              <w:numPr>
                <w:ilvl w:val="0"/>
                <w:numId w:val="0"/>
              </w:numPr>
              <w:ind w:left="288"/>
            </w:pPr>
            <w:r w:rsidRPr="00C7159B">
              <w:rPr>
                <w:b/>
              </w:rPr>
              <w:t>E</w:t>
            </w:r>
            <w:r w:rsidR="00EF0F79" w:rsidRPr="00C7159B">
              <w:rPr>
                <w:b/>
              </w:rPr>
              <w:t>nable</w:t>
            </w:r>
            <w:r w:rsidR="00EF0F79">
              <w:t xml:space="preserve"> Electronic Crossmatch</w:t>
            </w:r>
          </w:p>
          <w:p w14:paraId="3A037270" w14:textId="77777777" w:rsidR="00C7159B" w:rsidRDefault="00C7159B" w:rsidP="00C7159B">
            <w:pPr>
              <w:pStyle w:val="TableTextNumbers"/>
              <w:numPr>
                <w:ilvl w:val="0"/>
                <w:numId w:val="0"/>
              </w:numPr>
              <w:ind w:left="288"/>
            </w:pPr>
          </w:p>
          <w:p w14:paraId="314A1478" w14:textId="77777777" w:rsidR="00C7159B" w:rsidRDefault="00C7159B" w:rsidP="00C7159B">
            <w:pPr>
              <w:pStyle w:val="TableTextNumbers"/>
              <w:numPr>
                <w:ilvl w:val="0"/>
                <w:numId w:val="0"/>
              </w:numPr>
              <w:ind w:left="288"/>
            </w:pPr>
            <w:r>
              <w:t>D</w:t>
            </w:r>
            <w:r w:rsidR="00EF0F79">
              <w:t>etermine antibody screen (display antibody screen only, or with a DAT or Autocontrol)</w:t>
            </w:r>
          </w:p>
          <w:p w14:paraId="02001B03" w14:textId="77777777" w:rsidR="00C7159B" w:rsidRDefault="00C7159B" w:rsidP="00C7159B">
            <w:pPr>
              <w:pStyle w:val="TableTextNumbers"/>
              <w:numPr>
                <w:ilvl w:val="0"/>
                <w:numId w:val="0"/>
              </w:numPr>
              <w:ind w:left="288"/>
            </w:pPr>
          </w:p>
          <w:p w14:paraId="5918E647" w14:textId="77777777" w:rsidR="00EF0F79" w:rsidRDefault="00C7159B" w:rsidP="00C7159B">
            <w:pPr>
              <w:pStyle w:val="TableTextNumbers"/>
              <w:numPr>
                <w:ilvl w:val="0"/>
                <w:numId w:val="0"/>
              </w:numPr>
              <w:ind w:left="288"/>
            </w:pPr>
            <w:r>
              <w:t xml:space="preserve">Determine the default test grid displayed </w:t>
            </w:r>
            <w:r w:rsidR="00EF0F79">
              <w:t>for ABS and XM Testing Phases</w:t>
            </w:r>
          </w:p>
        </w:tc>
        <w:tc>
          <w:tcPr>
            <w:tcW w:w="6120" w:type="dxa"/>
          </w:tcPr>
          <w:p w14:paraId="2B4727BC" w14:textId="77777777" w:rsidR="00E77D78" w:rsidRDefault="00A4668B" w:rsidP="002E7EBF">
            <w:pPr>
              <w:pStyle w:val="TableTextBullet"/>
            </w:pPr>
            <w:r>
              <w:t>Displays default configuration settings of</w:t>
            </w:r>
            <w:r w:rsidR="00E77D78">
              <w:t>:</w:t>
            </w:r>
          </w:p>
          <w:p w14:paraId="63CC1E07" w14:textId="77777777" w:rsidR="00E77D78" w:rsidRDefault="00A4668B" w:rsidP="00E77D78">
            <w:pPr>
              <w:pStyle w:val="TableTextBullet1"/>
            </w:pPr>
            <w:r>
              <w:t>Electronic Crossmatch</w:t>
            </w:r>
            <w:r w:rsidR="00E77D78">
              <w:t>:</w:t>
            </w:r>
            <w:r>
              <w:t xml:space="preserve"> Disabled</w:t>
            </w:r>
          </w:p>
          <w:p w14:paraId="28A8DE5E" w14:textId="77777777" w:rsidR="00EF0F79" w:rsidRDefault="00E77D78" w:rsidP="00E77D78">
            <w:pPr>
              <w:pStyle w:val="TableTextBullet1"/>
            </w:pPr>
            <w:r>
              <w:t>Antibody Screen: Antibody Screen Only</w:t>
            </w:r>
          </w:p>
          <w:p w14:paraId="71677E3C" w14:textId="77777777" w:rsidR="00E77D78" w:rsidRDefault="00E77D78" w:rsidP="00E77D78">
            <w:pPr>
              <w:pStyle w:val="TableTextBullet1"/>
            </w:pPr>
            <w:r>
              <w:t>ABS and XM Testing Phases: All Phases</w:t>
            </w:r>
          </w:p>
          <w:p w14:paraId="2A62A594" w14:textId="77777777" w:rsidR="00E77D78" w:rsidRDefault="00E77D78" w:rsidP="00E77D78">
            <w:pPr>
              <w:pStyle w:val="TableTextBullet"/>
            </w:pPr>
            <w:r>
              <w:rPr>
                <w:vanish/>
              </w:rPr>
              <w:t xml:space="preserve">BR_55.04 </w:t>
            </w:r>
            <w:r>
              <w:t>Changes to the configuration settings are captured for the Audit Trail Report.</w:t>
            </w:r>
          </w:p>
        </w:tc>
      </w:tr>
      <w:tr w:rsidR="002A21AE" w14:paraId="78091316" w14:textId="77777777">
        <w:tc>
          <w:tcPr>
            <w:tcW w:w="3240" w:type="dxa"/>
          </w:tcPr>
          <w:p w14:paraId="606B6122" w14:textId="77777777" w:rsidR="002A21AE" w:rsidRDefault="002A21AE">
            <w:pPr>
              <w:pStyle w:val="TableTextNumbers"/>
            </w:pPr>
            <w:r>
              <w:t xml:space="preserve">Click </w:t>
            </w:r>
            <w:r>
              <w:rPr>
                <w:b/>
              </w:rPr>
              <w:t xml:space="preserve">OK </w:t>
            </w:r>
            <w:r>
              <w:t xml:space="preserve">to save and click </w:t>
            </w:r>
            <w:r>
              <w:rPr>
                <w:b/>
              </w:rPr>
              <w:t>OK</w:t>
            </w:r>
            <w:r>
              <w:t xml:space="preserve"> again to confirm the save and exit, or click another tab.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127A472C" w14:textId="77777777" w:rsidR="002A21AE" w:rsidRPr="002E7EBF" w:rsidRDefault="002A21AE" w:rsidP="002E7EBF">
            <w:pPr>
              <w:pStyle w:val="TableTextBullet"/>
            </w:pPr>
            <w:r>
              <w:t>Displays the appropriate testing grids for subsequent patient orders.</w:t>
            </w:r>
          </w:p>
        </w:tc>
      </w:tr>
    </w:tbl>
    <w:p w14:paraId="0F2E245D" w14:textId="72719367" w:rsidR="000A273B" w:rsidRDefault="000A273B" w:rsidP="000A273B">
      <w:pPr>
        <w:pStyle w:val="Caption"/>
      </w:pPr>
      <w:bookmarkStart w:id="190" w:name="_Ref300722854"/>
      <w:bookmarkStart w:id="191" w:name="_Ref300722837"/>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49</w:t>
      </w:r>
      <w:r w:rsidR="004E20BD">
        <w:rPr>
          <w:noProof/>
        </w:rPr>
        <w:fldChar w:fldCharType="end"/>
      </w:r>
      <w:bookmarkEnd w:id="190"/>
      <w:r>
        <w:t>: Configure Testing Tab</w:t>
      </w:r>
      <w:bookmarkEnd w:id="191"/>
    </w:p>
    <w:p w14:paraId="7835B084" w14:textId="77777777" w:rsidR="000A273B" w:rsidRPr="000A273B" w:rsidRDefault="00057948" w:rsidP="000A273B">
      <w:pPr>
        <w:pStyle w:val="BodyText"/>
      </w:pPr>
      <w:r>
        <w:rPr>
          <w:noProof/>
        </w:rPr>
        <w:drawing>
          <wp:inline distT="0" distB="0" distL="0" distR="0" wp14:anchorId="65411A45" wp14:editId="333F57E0">
            <wp:extent cx="3657600" cy="3657600"/>
            <wp:effectExtent l="0" t="0" r="0" b="0"/>
            <wp:docPr id="128" name="Picture 128" descr="P1814L17#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P1814L17#yIS1">
                      <a:extLst>
                        <a:ext uri="{C183D7F6-B498-43B3-948B-1728B52AA6E4}">
                          <adec:decorative xmlns:adec="http://schemas.microsoft.com/office/drawing/2017/decorative" val="1"/>
                        </a:ext>
                      </a:extLst>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p w14:paraId="3EC1A2A7" w14:textId="77777777" w:rsidR="00AF089A" w:rsidRDefault="00AF089A" w:rsidP="007716F7">
      <w:pPr>
        <w:pStyle w:val="Heading3"/>
      </w:pPr>
    </w:p>
    <w:p w14:paraId="2589AD52" w14:textId="77777777" w:rsidR="002A21AE" w:rsidRDefault="00AF089A" w:rsidP="007716F7">
      <w:pPr>
        <w:pStyle w:val="Heading3"/>
      </w:pPr>
      <w:r>
        <w:br w:type="page"/>
      </w:r>
      <w:bookmarkStart w:id="192" w:name="_Toc4588757"/>
      <w:r w:rsidR="00046402">
        <w:lastRenderedPageBreak/>
        <w:t>Product Modifications</w:t>
      </w:r>
      <w:bookmarkEnd w:id="192"/>
      <w:r w:rsidR="002A21AE">
        <w:fldChar w:fldCharType="begin"/>
      </w:r>
      <w:r w:rsidR="002A21AE">
        <w:instrText xml:space="preserve"> XE </w:instrText>
      </w:r>
      <w:r w:rsidR="00FA7E65">
        <w:instrText>“</w:instrText>
      </w:r>
      <w:r w:rsidR="00046402">
        <w:instrText>Product Modifications</w:instrText>
      </w:r>
      <w:r w:rsidR="00FA7E65">
        <w:instrText>”</w:instrText>
      </w:r>
      <w:r w:rsidR="002A21AE">
        <w:instrText xml:space="preserve"> </w:instrText>
      </w:r>
      <w:r w:rsidR="002A21AE">
        <w:fldChar w:fldCharType="end"/>
      </w:r>
      <w:r w:rsidR="002A21AE">
        <w:t xml:space="preserve"> </w:t>
      </w:r>
      <w:r w:rsidR="002A21AE" w:rsidRPr="00796039">
        <w:rPr>
          <w:rFonts w:ascii="Arial Bold" w:hAnsi="Arial Bold"/>
          <w:vanish/>
        </w:rPr>
        <w:t>UC_10</w:t>
      </w:r>
    </w:p>
    <w:p w14:paraId="2DCAF5A9" w14:textId="61B0B9EA" w:rsidR="002A21AE" w:rsidRDefault="002A21AE" w:rsidP="00FA7E65">
      <w:pPr>
        <w:pStyle w:val="BodyText"/>
      </w:pPr>
      <w:r>
        <w:t xml:space="preserve">The user enables the types of modifications made at a division. </w:t>
      </w:r>
      <w:r w:rsidR="0056674A">
        <w:t xml:space="preserve">For additional information, see </w:t>
      </w:r>
      <w:r w:rsidR="0056674A">
        <w:fldChar w:fldCharType="begin" w:fldLock="1"/>
      </w:r>
      <w:r w:rsidR="0056674A">
        <w:instrText xml:space="preserve"> REF _Ref508960811 \h </w:instrText>
      </w:r>
      <w:r w:rsidR="0056674A">
        <w:fldChar w:fldCharType="separate"/>
      </w:r>
      <w:r w:rsidR="00AB304C">
        <w:t xml:space="preserve">Appendix </w:t>
      </w:r>
      <w:r w:rsidR="00AB304C">
        <w:rPr>
          <w:noProof/>
        </w:rPr>
        <w:t>F</w:t>
      </w:r>
      <w:r w:rsidR="00AB304C">
        <w:t>: Work Process Flowcharts</w:t>
      </w:r>
      <w:r w:rsidR="0056674A">
        <w:fldChar w:fldCharType="end"/>
      </w:r>
      <w:r w:rsidR="0056674A">
        <w:t>.</w:t>
      </w:r>
    </w:p>
    <w:p w14:paraId="5E3F2A30" w14:textId="77777777" w:rsidR="002A21AE" w:rsidRDefault="002A21AE">
      <w:pPr>
        <w:pStyle w:val="Heading4"/>
      </w:pPr>
      <w:r>
        <w:t>Assumptions</w:t>
      </w:r>
      <w:r>
        <w:rPr>
          <w:b w:val="0"/>
        </w:rPr>
        <w:t xml:space="preserve"> </w:t>
      </w:r>
    </w:p>
    <w:p w14:paraId="38424C74" w14:textId="77777777" w:rsidR="002A21AE" w:rsidRDefault="002A21AE">
      <w:pPr>
        <w:pStyle w:val="ListBullet"/>
      </w:pPr>
      <w:r>
        <w:t>An ICCBBA number was entered for the division.</w:t>
      </w:r>
    </w:p>
    <w:p w14:paraId="627BCFE3" w14:textId="77777777" w:rsidR="002A21AE" w:rsidRDefault="002A21AE">
      <w:pPr>
        <w:pStyle w:val="ListBullet"/>
      </w:pPr>
      <w:r>
        <w:rPr>
          <w:vanish/>
          <w:spacing w:val="0"/>
        </w:rPr>
        <w:t xml:space="preserve">BR_55.02 </w:t>
      </w:r>
      <w:r>
        <w:t>VBECS locks a user out when the user attempts to change the configuration and there are open or partially completed worksheets or processes in the division.</w:t>
      </w:r>
    </w:p>
    <w:p w14:paraId="42E317D3" w14:textId="77777777" w:rsidR="002A21AE" w:rsidRDefault="002A21AE">
      <w:pPr>
        <w:pStyle w:val="Heading4"/>
      </w:pPr>
      <w:r>
        <w:t xml:space="preserve">Outcome </w:t>
      </w:r>
    </w:p>
    <w:p w14:paraId="1D15C3C2" w14:textId="77777777" w:rsidR="002A21AE" w:rsidRDefault="002A21AE">
      <w:pPr>
        <w:pStyle w:val="ListBullet"/>
      </w:pPr>
      <w:r>
        <w:t>This option dictates the available modification types displayed in Modify Units: Pool Units, Modify Units: Split a Unit, and Modify Units.</w:t>
      </w:r>
    </w:p>
    <w:p w14:paraId="6703B59A" w14:textId="77777777" w:rsidR="002A21AE" w:rsidRDefault="002A21AE">
      <w:pPr>
        <w:pStyle w:val="Heading4"/>
        <w:rPr>
          <w:b w:val="0"/>
        </w:rPr>
      </w:pPr>
      <w:r>
        <w:t>Limitations and Restrictions</w:t>
      </w:r>
      <w:r>
        <w:rPr>
          <w:b w:val="0"/>
        </w:rPr>
        <w:t xml:space="preserve"> </w:t>
      </w:r>
    </w:p>
    <w:p w14:paraId="145AC3C4" w14:textId="77777777" w:rsidR="002A21AE" w:rsidRDefault="002A21AE">
      <w:pPr>
        <w:pStyle w:val="ListBullet"/>
      </w:pPr>
      <w:r>
        <w:rPr>
          <w:snapToGrid w:val="0"/>
        </w:rPr>
        <w:t>None</w:t>
      </w:r>
    </w:p>
    <w:p w14:paraId="7915027A" w14:textId="77777777" w:rsidR="002A21AE" w:rsidRDefault="002A21AE">
      <w:pPr>
        <w:pStyle w:val="Heading4"/>
      </w:pPr>
      <w:r>
        <w:t xml:space="preserve">Additional Information </w:t>
      </w:r>
    </w:p>
    <w:p w14:paraId="360CFF14" w14:textId="77777777" w:rsidR="002A21AE" w:rsidRDefault="002A21AE">
      <w:pPr>
        <w:pStyle w:val="ListBullet"/>
      </w:pPr>
      <w:r>
        <w:rPr>
          <w:snapToGrid w:val="0"/>
        </w:rPr>
        <w:t>None</w:t>
      </w:r>
    </w:p>
    <w:p w14:paraId="2BA26661" w14:textId="77777777" w:rsidR="002A21AE" w:rsidRDefault="002A21AE">
      <w:pPr>
        <w:pStyle w:val="Heading4"/>
      </w:pPr>
      <w:r>
        <w:t xml:space="preserve">User Roles with Access to This Option </w:t>
      </w:r>
    </w:p>
    <w:p w14:paraId="103E4EFD" w14:textId="77777777" w:rsidR="002A21AE" w:rsidRDefault="00237C52">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14:paraId="4168F8C8" w14:textId="77777777" w:rsidR="002A21AE" w:rsidRDefault="00046402">
      <w:pPr>
        <w:pStyle w:val="Heading4"/>
        <w:rPr>
          <w:u w:val="single"/>
        </w:rPr>
      </w:pPr>
      <w:r>
        <w:t>Product Modifications</w:t>
      </w:r>
    </w:p>
    <w:p w14:paraId="731CE553" w14:textId="77777777" w:rsidR="002A21AE" w:rsidRDefault="002A21AE" w:rsidP="00FA7E65">
      <w:pPr>
        <w:pStyle w:val="BodyText"/>
      </w:pPr>
      <w:r>
        <w:t>The user enables specific modification type procedures performed in the blood bank in the hospital division. The user may enable one, all, or some of the modification processes. Once the types of modifications are enabled, individual blood unit modification is controlled by the rules of modification truth tables. VBECS is exported with all modification types disabled. VBECS allows for full customization upon deployment as well as changes to the enabled modifications when a division’s capabilities and procedures change.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040F49F7" w14:textId="77777777">
        <w:trPr>
          <w:tblHeader/>
        </w:trPr>
        <w:tc>
          <w:tcPr>
            <w:tcW w:w="3240" w:type="dxa"/>
            <w:shd w:val="pct30" w:color="auto" w:fill="FFFFFF"/>
            <w:vAlign w:val="bottom"/>
          </w:tcPr>
          <w:p w14:paraId="369684BC" w14:textId="77777777" w:rsidR="002A21AE" w:rsidRDefault="002A21AE">
            <w:pPr>
              <w:pStyle w:val="TableText"/>
              <w:rPr>
                <w:b/>
              </w:rPr>
            </w:pPr>
            <w:r>
              <w:rPr>
                <w:b/>
              </w:rPr>
              <w:t>User Action</w:t>
            </w:r>
          </w:p>
        </w:tc>
        <w:tc>
          <w:tcPr>
            <w:tcW w:w="6120" w:type="dxa"/>
            <w:shd w:val="pct30" w:color="auto" w:fill="FFFFFF"/>
            <w:vAlign w:val="bottom"/>
          </w:tcPr>
          <w:p w14:paraId="476EE335" w14:textId="77777777" w:rsidR="002A21AE" w:rsidRDefault="002A21AE">
            <w:pPr>
              <w:pStyle w:val="TableText"/>
              <w:rPr>
                <w:b/>
              </w:rPr>
            </w:pPr>
            <w:r>
              <w:rPr>
                <w:b/>
              </w:rPr>
              <w:t>VBECS</w:t>
            </w:r>
          </w:p>
        </w:tc>
      </w:tr>
      <w:tr w:rsidR="002A21AE" w14:paraId="68FECCCE" w14:textId="77777777">
        <w:tc>
          <w:tcPr>
            <w:tcW w:w="3240" w:type="dxa"/>
          </w:tcPr>
          <w:p w14:paraId="599536CF" w14:textId="77777777" w:rsidR="002A21AE" w:rsidRDefault="002A21AE">
            <w:pPr>
              <w:pStyle w:val="TableTextNumbers"/>
            </w:pPr>
            <w:r>
              <w:t xml:space="preserve">Select </w:t>
            </w:r>
            <w:r>
              <w:rPr>
                <w:b/>
                <w:bCs/>
              </w:rPr>
              <w:t>Tools</w:t>
            </w:r>
            <w:r>
              <w:t xml:space="preserve"> from the main menu.</w:t>
            </w:r>
          </w:p>
          <w:p w14:paraId="4C64983D" w14:textId="77777777" w:rsidR="002A21AE" w:rsidRDefault="002A21AE">
            <w:pPr>
              <w:pStyle w:val="TableTextNumbersContinued"/>
              <w:rPr>
                <w:b/>
                <w:bCs/>
              </w:rPr>
            </w:pPr>
          </w:p>
          <w:p w14:paraId="4A312B5C" w14:textId="77777777" w:rsidR="002A21AE" w:rsidRDefault="002A21AE">
            <w:pPr>
              <w:pStyle w:val="TableTextNumbersContinued"/>
            </w:pPr>
            <w:r>
              <w:t xml:space="preserve">Select </w:t>
            </w:r>
            <w:r>
              <w:rPr>
                <w:b/>
              </w:rPr>
              <w:t>Configure Division</w:t>
            </w:r>
            <w:r>
              <w:t>.</w:t>
            </w:r>
          </w:p>
        </w:tc>
        <w:tc>
          <w:tcPr>
            <w:tcW w:w="6120" w:type="dxa"/>
          </w:tcPr>
          <w:p w14:paraId="5B594209" w14:textId="77777777" w:rsidR="002A21AE" w:rsidRDefault="002A21AE">
            <w:pPr>
              <w:pStyle w:val="TableTextBullet"/>
            </w:pPr>
            <w:r>
              <w:t>Displays options for processing administrative functions.</w:t>
            </w:r>
          </w:p>
          <w:p w14:paraId="0A473667" w14:textId="77777777" w:rsidR="002A21AE" w:rsidRDefault="002A21AE">
            <w:pPr>
              <w:pStyle w:val="TableTextBullet"/>
            </w:pPr>
            <w:r>
              <w:t>Displays the Configure Division tab with fields for entering division-specific testing information.</w:t>
            </w:r>
          </w:p>
        </w:tc>
      </w:tr>
      <w:tr w:rsidR="002A21AE" w14:paraId="529BF1D6" w14:textId="77777777">
        <w:tc>
          <w:tcPr>
            <w:tcW w:w="3240" w:type="dxa"/>
          </w:tcPr>
          <w:p w14:paraId="1203EE4E" w14:textId="4E843B75" w:rsidR="002A21AE" w:rsidRDefault="002A21AE">
            <w:pPr>
              <w:pStyle w:val="TableTextNumbers"/>
            </w:pPr>
            <w:r>
              <w:t xml:space="preserve">Click the </w:t>
            </w:r>
            <w:r>
              <w:rPr>
                <w:b/>
              </w:rPr>
              <w:t xml:space="preserve">Product Modifications </w:t>
            </w:r>
            <w:r w:rsidRPr="00CC3C89">
              <w:t>tab</w:t>
            </w:r>
            <w:r w:rsidR="001266F5" w:rsidRPr="00CC3C89">
              <w:t xml:space="preserve"> </w:t>
            </w:r>
            <w:r w:rsidR="001266F5">
              <w:t>(</w:t>
            </w:r>
            <w:r w:rsidR="001266F5">
              <w:fldChar w:fldCharType="begin" w:fldLock="1"/>
            </w:r>
            <w:r w:rsidR="001266F5">
              <w:instrText xml:space="preserve"> REF _Ref126470383 \h </w:instrText>
            </w:r>
            <w:r w:rsidR="001266F5">
              <w:fldChar w:fldCharType="separate"/>
            </w:r>
            <w:r w:rsidR="00AB304C">
              <w:t xml:space="preserve">Figure </w:t>
            </w:r>
            <w:r w:rsidR="00AB304C">
              <w:rPr>
                <w:noProof/>
              </w:rPr>
              <w:t>50</w:t>
            </w:r>
            <w:r w:rsidR="001266F5">
              <w:fldChar w:fldCharType="end"/>
            </w:r>
            <w:r w:rsidR="001266F5">
              <w:t>)</w:t>
            </w:r>
            <w:r>
              <w:t>.</w:t>
            </w:r>
          </w:p>
        </w:tc>
        <w:tc>
          <w:tcPr>
            <w:tcW w:w="6120" w:type="dxa"/>
          </w:tcPr>
          <w:p w14:paraId="3BD9D64A" w14:textId="77777777" w:rsidR="002A21AE" w:rsidRDefault="002A21AE">
            <w:pPr>
              <w:pStyle w:val="TableTextBullet"/>
            </w:pPr>
            <w:r>
              <w:t xml:space="preserve">Lists valid modification procedures. </w:t>
            </w:r>
          </w:p>
          <w:p w14:paraId="2EFEB850" w14:textId="77777777" w:rsidR="002A21AE" w:rsidRDefault="002A21AE">
            <w:pPr>
              <w:pStyle w:val="TableText"/>
            </w:pPr>
          </w:p>
          <w:p w14:paraId="7CF1B052" w14:textId="77777777" w:rsidR="002A21AE" w:rsidRDefault="00057948">
            <w:pPr>
              <w:pStyle w:val="TableText"/>
              <w:rPr>
                <w:b/>
                <w:bCs/>
                <w:szCs w:val="18"/>
              </w:rPr>
            </w:pPr>
            <w:r>
              <w:rPr>
                <w:b/>
                <w:bCs/>
                <w:noProof/>
              </w:rPr>
              <mc:AlternateContent>
                <mc:Choice Requires="wps">
                  <w:drawing>
                    <wp:anchor distT="0" distB="0" distL="114300" distR="114300" simplePos="0" relativeHeight="251607040" behindDoc="0" locked="0" layoutInCell="1" allowOverlap="1" wp14:anchorId="5A61C313" wp14:editId="201B0E02">
                      <wp:simplePos x="0" y="0"/>
                      <wp:positionH relativeFrom="column">
                        <wp:posOffset>457200</wp:posOffset>
                      </wp:positionH>
                      <wp:positionV relativeFrom="paragraph">
                        <wp:posOffset>65405</wp:posOffset>
                      </wp:positionV>
                      <wp:extent cx="3200400" cy="0"/>
                      <wp:effectExtent l="9525" t="17780" r="9525" b="10795"/>
                      <wp:wrapNone/>
                      <wp:docPr id="565" name="Line 529" descr="P1843L17C6T1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7D049" id="Line 529" o:spid="_x0000_s1026" alt="&quot;&quot;"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78cfs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5F064322" w14:textId="77777777" w:rsidR="002A21AE" w:rsidRDefault="002A21AE">
            <w:pPr>
              <w:pStyle w:val="NotesText"/>
            </w:pPr>
          </w:p>
          <w:p w14:paraId="0E4A473F" w14:textId="77777777" w:rsidR="002A21AE" w:rsidRDefault="002A21AE">
            <w:pPr>
              <w:pStyle w:val="NotesText"/>
              <w:rPr>
                <w:strike/>
              </w:rPr>
            </w:pPr>
            <w:r>
              <w:t xml:space="preserve">A user may enable one, more, or all modification types. </w:t>
            </w:r>
          </w:p>
        </w:tc>
      </w:tr>
      <w:tr w:rsidR="002A21AE" w14:paraId="4A96F405" w14:textId="77777777" w:rsidTr="007E500E">
        <w:trPr>
          <w:cantSplit/>
        </w:trPr>
        <w:tc>
          <w:tcPr>
            <w:tcW w:w="3240" w:type="dxa"/>
          </w:tcPr>
          <w:p w14:paraId="43997030" w14:textId="77777777" w:rsidR="002A21AE" w:rsidRDefault="002A21AE">
            <w:pPr>
              <w:pStyle w:val="TableTextNumbers"/>
            </w:pPr>
            <w:r>
              <w:lastRenderedPageBreak/>
              <w:t>Click one or more check boxes to enable modification types.</w:t>
            </w:r>
          </w:p>
          <w:p w14:paraId="7071CC48" w14:textId="77777777" w:rsidR="002A21AE" w:rsidRDefault="002A21AE">
            <w:pPr>
              <w:pStyle w:val="TableTextNumbersContinued"/>
              <w:rPr>
                <w:b/>
                <w:bCs/>
              </w:rPr>
            </w:pPr>
          </w:p>
          <w:p w14:paraId="58B6E71B" w14:textId="77777777" w:rsidR="002A21AE" w:rsidRDefault="002A21AE">
            <w:pPr>
              <w:pStyle w:val="TableTextNumbersContinued"/>
            </w:pPr>
            <w:r>
              <w:t>Enter the</w:t>
            </w:r>
            <w:r w:rsidR="00B917A8">
              <w:t xml:space="preserve"> processing cost </w:t>
            </w:r>
            <w:r>
              <w:t xml:space="preserve">associated with each modification procedure. </w:t>
            </w:r>
          </w:p>
        </w:tc>
        <w:tc>
          <w:tcPr>
            <w:tcW w:w="6120" w:type="dxa"/>
          </w:tcPr>
          <w:p w14:paraId="7BCCE7DF" w14:textId="77777777" w:rsidR="002A21AE" w:rsidRDefault="002A21AE">
            <w:pPr>
              <w:pStyle w:val="TableTextBullet"/>
            </w:pPr>
            <w:r>
              <w:t>Lists modification procedures.</w:t>
            </w:r>
          </w:p>
          <w:p w14:paraId="7EE859E2" w14:textId="77777777" w:rsidR="002A21AE" w:rsidRDefault="002A21AE">
            <w:pPr>
              <w:pStyle w:val="TableText"/>
              <w:rPr>
                <w:b/>
                <w:bCs/>
                <w:szCs w:val="18"/>
              </w:rPr>
            </w:pPr>
          </w:p>
          <w:p w14:paraId="32CD2751" w14:textId="77777777" w:rsidR="002A21AE" w:rsidRDefault="00057948">
            <w:pPr>
              <w:pStyle w:val="TableText"/>
              <w:rPr>
                <w:b/>
                <w:bCs/>
                <w:szCs w:val="18"/>
              </w:rPr>
            </w:pPr>
            <w:r>
              <w:rPr>
                <w:b/>
                <w:bCs/>
                <w:noProof/>
              </w:rPr>
              <mc:AlternateContent>
                <mc:Choice Requires="wps">
                  <w:drawing>
                    <wp:anchor distT="0" distB="0" distL="114300" distR="114300" simplePos="0" relativeHeight="251609088" behindDoc="0" locked="0" layoutInCell="1" allowOverlap="1" wp14:anchorId="680D0CA5" wp14:editId="48F53034">
                      <wp:simplePos x="0" y="0"/>
                      <wp:positionH relativeFrom="column">
                        <wp:posOffset>457200</wp:posOffset>
                      </wp:positionH>
                      <wp:positionV relativeFrom="paragraph">
                        <wp:posOffset>65405</wp:posOffset>
                      </wp:positionV>
                      <wp:extent cx="3200400" cy="0"/>
                      <wp:effectExtent l="9525" t="17780" r="9525" b="10795"/>
                      <wp:wrapNone/>
                      <wp:docPr id="564" name="Line 530" descr="P1852L17C8T1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CC70E" id="Line 530" o:spid="_x0000_s1026" alt="&quot;&quot;"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LZ2WNfEAQAAbgMAAA4AAAAAAAAAAAAAAAAA&#10;LgIAAGRycy9lMm9Eb2MueG1sUEsBAi0AFAAGAAgAAAAhABdPMBLbAAAACAEAAA8AAAAAAAAAAAAA&#10;AAAAHgQAAGRycy9kb3ducmV2LnhtbFBLBQYAAAAABAAEAPMAAAAmBQAAAAA=&#10;" strokeweight="1.5pt"/>
                  </w:pict>
                </mc:Fallback>
              </mc:AlternateContent>
            </w:r>
            <w:r w:rsidR="002A21AE">
              <w:rPr>
                <w:b/>
                <w:bCs/>
                <w:szCs w:val="18"/>
              </w:rPr>
              <w:t>NOTES</w:t>
            </w:r>
          </w:p>
          <w:p w14:paraId="036A1DC7" w14:textId="77777777" w:rsidR="002A21AE" w:rsidRDefault="002A21AE">
            <w:pPr>
              <w:pStyle w:val="NotesText"/>
            </w:pPr>
          </w:p>
          <w:p w14:paraId="19051C7C" w14:textId="77777777" w:rsidR="002A21AE" w:rsidRDefault="002A21AE">
            <w:pPr>
              <w:pStyle w:val="NotesText"/>
            </w:pPr>
            <w:r>
              <w:t>Modification procedures:</w:t>
            </w:r>
          </w:p>
          <w:p w14:paraId="74227592" w14:textId="77777777" w:rsidR="002A21AE" w:rsidRDefault="002A21AE">
            <w:pPr>
              <w:pStyle w:val="NotesTextBullet"/>
            </w:pPr>
            <w:r>
              <w:t xml:space="preserve">Thaw </w:t>
            </w:r>
          </w:p>
          <w:p w14:paraId="6905488A" w14:textId="77777777" w:rsidR="002A21AE" w:rsidRDefault="002A21AE">
            <w:pPr>
              <w:pStyle w:val="NotesTextBullet"/>
            </w:pPr>
            <w:r>
              <w:t>Pool</w:t>
            </w:r>
          </w:p>
          <w:p w14:paraId="0ABCC28F" w14:textId="77777777" w:rsidR="002A21AE" w:rsidRDefault="002A21AE">
            <w:pPr>
              <w:pStyle w:val="NotesTextBullet"/>
            </w:pPr>
            <w:r>
              <w:t>Thaw/Pool Cryo</w:t>
            </w:r>
          </w:p>
          <w:p w14:paraId="0680950F" w14:textId="77777777" w:rsidR="002A21AE" w:rsidRDefault="002A21AE">
            <w:pPr>
              <w:pStyle w:val="NotesTextBullet"/>
            </w:pPr>
            <w:r>
              <w:t>Split/Divide</w:t>
            </w:r>
          </w:p>
          <w:p w14:paraId="0DE32144" w14:textId="77777777" w:rsidR="002A21AE" w:rsidRDefault="002A21AE">
            <w:pPr>
              <w:pStyle w:val="NotesTextBullet"/>
            </w:pPr>
            <w:r>
              <w:t>Irradiate</w:t>
            </w:r>
          </w:p>
          <w:p w14:paraId="5D7FE5BF" w14:textId="77777777" w:rsidR="002A21AE" w:rsidRDefault="002A21AE">
            <w:pPr>
              <w:pStyle w:val="NotesTextBullet"/>
            </w:pPr>
            <w:r>
              <w:t>Leukoreduce</w:t>
            </w:r>
          </w:p>
          <w:p w14:paraId="0E9DCB7F" w14:textId="77777777" w:rsidR="002A21AE" w:rsidRDefault="002A21AE">
            <w:pPr>
              <w:pStyle w:val="NotesTextBullet"/>
            </w:pPr>
            <w:r>
              <w:t>Volume reduce</w:t>
            </w:r>
          </w:p>
          <w:p w14:paraId="56948B52" w14:textId="77777777" w:rsidR="002A21AE" w:rsidRDefault="002A21AE">
            <w:pPr>
              <w:pStyle w:val="NotesTextBullet"/>
            </w:pPr>
            <w:r>
              <w:t>Wash</w:t>
            </w:r>
          </w:p>
          <w:p w14:paraId="1BB1ADDF" w14:textId="77777777" w:rsidR="002A21AE" w:rsidRDefault="002A21AE">
            <w:pPr>
              <w:pStyle w:val="NotesTextBullet"/>
            </w:pPr>
            <w:r>
              <w:t xml:space="preserve">Rejuvenate </w:t>
            </w:r>
          </w:p>
          <w:p w14:paraId="0A67F8C4" w14:textId="77777777" w:rsidR="002A21AE" w:rsidRDefault="002A21AE">
            <w:pPr>
              <w:pStyle w:val="NotesTextBullet"/>
            </w:pPr>
            <w:r>
              <w:t>Freeze</w:t>
            </w:r>
          </w:p>
          <w:p w14:paraId="51BF25E2" w14:textId="77777777" w:rsidR="002A21AE" w:rsidRDefault="002A21AE">
            <w:pPr>
              <w:pStyle w:val="NotesTextBullet"/>
            </w:pPr>
            <w:r>
              <w:t>Deglycerolize</w:t>
            </w:r>
          </w:p>
          <w:p w14:paraId="2D1D2F29" w14:textId="77777777" w:rsidR="002A21AE" w:rsidRPr="009D316D" w:rsidRDefault="002A21AE" w:rsidP="009D316D">
            <w:pPr>
              <w:pStyle w:val="NotesText"/>
            </w:pPr>
          </w:p>
          <w:p w14:paraId="53A70C7D" w14:textId="77777777" w:rsidR="000E19EE" w:rsidRDefault="002A21AE" w:rsidP="009D316D">
            <w:pPr>
              <w:pStyle w:val="NotesText"/>
            </w:pPr>
            <w:r w:rsidRPr="009D316D">
              <w:rPr>
                <w:vanish/>
                <w:szCs w:val="18"/>
              </w:rPr>
              <w:t xml:space="preserve">BR_10.03 </w:t>
            </w:r>
            <w:r w:rsidRPr="009D316D">
              <w:t xml:space="preserve">The modification process fee is added to the base unit cost </w:t>
            </w:r>
            <w:r w:rsidR="00D2265D" w:rsidRPr="009D316D">
              <w:t xml:space="preserve">of the first target unit </w:t>
            </w:r>
            <w:r w:rsidRPr="009D316D">
              <w:t>and special testing costs, creating a patient bill for a transfused blood product, not including on-site antigen typing performed. The modification process fee may be U.S. $0.00 to $9,999.99.</w:t>
            </w:r>
            <w:r w:rsidR="00A76634">
              <w:t xml:space="preserve"> VBECS will generate an audit trail report entry when this field is filled or changed.</w:t>
            </w:r>
          </w:p>
        </w:tc>
      </w:tr>
      <w:tr w:rsidR="002A21AE" w14:paraId="0961895B" w14:textId="77777777">
        <w:tc>
          <w:tcPr>
            <w:tcW w:w="3240" w:type="dxa"/>
          </w:tcPr>
          <w:p w14:paraId="1C1C5124" w14:textId="77777777" w:rsidR="002A21AE" w:rsidRDefault="002A21AE">
            <w:pPr>
              <w:pStyle w:val="TableTextNumbers"/>
            </w:pPr>
            <w:r>
              <w:t xml:space="preserve">Click </w:t>
            </w:r>
            <w:r>
              <w:rPr>
                <w:b/>
              </w:rPr>
              <w:t xml:space="preserve">OK </w:t>
            </w:r>
            <w:r>
              <w:t xml:space="preserve">to save and click </w:t>
            </w:r>
            <w:r>
              <w:rPr>
                <w:b/>
              </w:rPr>
              <w:t>OK</w:t>
            </w:r>
            <w:r>
              <w:t xml:space="preserve"> again to confirm the save and exit, or click another tab.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05618615" w14:textId="77777777" w:rsidR="002A21AE" w:rsidRDefault="002A21AE">
            <w:pPr>
              <w:pStyle w:val="TableTextBullet"/>
            </w:pPr>
            <w:r>
              <w:t>Updates the database and captures changes to any previously defined parameters for inclusion in the Audit Trail Report.</w:t>
            </w:r>
          </w:p>
        </w:tc>
      </w:tr>
    </w:tbl>
    <w:p w14:paraId="7DDF2499" w14:textId="1EA547AC" w:rsidR="001266F5" w:rsidRDefault="001266F5" w:rsidP="001266F5">
      <w:pPr>
        <w:pStyle w:val="Caption"/>
      </w:pPr>
      <w:bookmarkStart w:id="193" w:name="_Ref126470383"/>
      <w:bookmarkStart w:id="194" w:name="_Toc63680385"/>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50</w:t>
      </w:r>
      <w:r w:rsidR="004E20BD">
        <w:rPr>
          <w:noProof/>
        </w:rPr>
        <w:fldChar w:fldCharType="end"/>
      </w:r>
      <w:bookmarkEnd w:id="193"/>
      <w:r>
        <w:t>: Product Modifications Tab</w:t>
      </w:r>
    </w:p>
    <w:p w14:paraId="748BF8CA" w14:textId="77777777" w:rsidR="0066425F" w:rsidRDefault="00057948" w:rsidP="0066425F">
      <w:pPr>
        <w:pStyle w:val="BodyText"/>
      </w:pPr>
      <w:r>
        <w:rPr>
          <w:noProof/>
        </w:rPr>
        <w:drawing>
          <wp:inline distT="0" distB="0" distL="0" distR="0" wp14:anchorId="58CB2321" wp14:editId="01470DB1">
            <wp:extent cx="3195955" cy="3214370"/>
            <wp:effectExtent l="0" t="0" r="4445" b="5080"/>
            <wp:docPr id="129" name="Picture 129" descr="P1873L17#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P1873L17#yIS1">
                      <a:extLst>
                        <a:ext uri="{C183D7F6-B498-43B3-948B-1728B52AA6E4}">
                          <adec:decorative xmlns:adec="http://schemas.microsoft.com/office/drawing/2017/decorative" val="1"/>
                        </a:ext>
                      </a:extLst>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195955" cy="3214370"/>
                    </a:xfrm>
                    <a:prstGeom prst="rect">
                      <a:avLst/>
                    </a:prstGeom>
                    <a:noFill/>
                    <a:ln>
                      <a:noFill/>
                    </a:ln>
                  </pic:spPr>
                </pic:pic>
              </a:graphicData>
            </a:graphic>
          </wp:inline>
        </w:drawing>
      </w:r>
      <w:r w:rsidR="001266F5">
        <w:t xml:space="preserve"> </w:t>
      </w:r>
    </w:p>
    <w:p w14:paraId="38D45D49" w14:textId="77777777" w:rsidR="00796039" w:rsidRDefault="00AF089A" w:rsidP="0066425F">
      <w:pPr>
        <w:pStyle w:val="Heading3"/>
      </w:pPr>
      <w:r>
        <w:br w:type="page"/>
      </w:r>
      <w:bookmarkStart w:id="195" w:name="_Toc4588758"/>
      <w:r w:rsidR="006068DE">
        <w:lastRenderedPageBreak/>
        <w:t>Order Alerts</w:t>
      </w:r>
      <w:bookmarkEnd w:id="195"/>
      <w:r w:rsidR="00796039">
        <w:fldChar w:fldCharType="begin"/>
      </w:r>
      <w:r w:rsidR="00796039">
        <w:instrText xml:space="preserve"> XE “</w:instrText>
      </w:r>
      <w:r w:rsidR="006068DE">
        <w:instrText>Order Alerts</w:instrText>
      </w:r>
      <w:r w:rsidR="00796039">
        <w:instrText xml:space="preserve">” </w:instrText>
      </w:r>
      <w:r w:rsidR="00796039">
        <w:fldChar w:fldCharType="end"/>
      </w:r>
      <w:r w:rsidR="00796039">
        <w:t xml:space="preserve"> </w:t>
      </w:r>
      <w:r w:rsidR="00796039">
        <w:rPr>
          <w:vanish/>
        </w:rPr>
        <w:t>UC_95</w:t>
      </w:r>
    </w:p>
    <w:p w14:paraId="460B95C2" w14:textId="038188F8" w:rsidR="00796039" w:rsidRDefault="00796039" w:rsidP="00796039">
      <w:pPr>
        <w:pStyle w:val="BodyText"/>
      </w:pPr>
      <w:r>
        <w:t xml:space="preserve">The user configures </w:t>
      </w:r>
      <w:r w:rsidRPr="00CA0045">
        <w:rPr>
          <w:bCs/>
        </w:rPr>
        <w:t>VistA</w:t>
      </w:r>
      <w:r>
        <w:t xml:space="preserve"> alerts that appear at login. </w:t>
      </w:r>
      <w:r w:rsidR="00E90A01">
        <w:t xml:space="preserve">For additional information, see </w:t>
      </w:r>
      <w:r w:rsidR="00E90A01">
        <w:fldChar w:fldCharType="begin" w:fldLock="1"/>
      </w:r>
      <w:r w:rsidR="00E90A01">
        <w:instrText xml:space="preserve"> REF _Ref508960349 \h </w:instrText>
      </w:r>
      <w:r w:rsidR="00E90A01">
        <w:fldChar w:fldCharType="separate"/>
      </w:r>
      <w:r w:rsidR="00AB304C">
        <w:t xml:space="preserve">Appendix </w:t>
      </w:r>
      <w:r w:rsidR="00AB304C">
        <w:rPr>
          <w:noProof/>
        </w:rPr>
        <w:t>F</w:t>
      </w:r>
      <w:r w:rsidR="00AB304C">
        <w:t>: Work Process Flowcharts</w:t>
      </w:r>
      <w:r w:rsidR="00E90A01">
        <w:fldChar w:fldCharType="end"/>
      </w:r>
      <w:r w:rsidR="00E90A01">
        <w:t>.</w:t>
      </w:r>
    </w:p>
    <w:p w14:paraId="457CFDF5" w14:textId="77777777" w:rsidR="00796039" w:rsidRDefault="00796039" w:rsidP="00796039">
      <w:pPr>
        <w:pStyle w:val="Heading4"/>
      </w:pPr>
      <w:r>
        <w:t>Assumptions</w:t>
      </w:r>
      <w:r>
        <w:rPr>
          <w:b w:val="0"/>
        </w:rPr>
        <w:t xml:space="preserve"> </w:t>
      </w:r>
    </w:p>
    <w:p w14:paraId="6727689B" w14:textId="77777777" w:rsidR="00796039" w:rsidRDefault="00796039" w:rsidP="00796039">
      <w:pPr>
        <w:pStyle w:val="ListBullet"/>
      </w:pPr>
      <w:r>
        <w:t>None</w:t>
      </w:r>
    </w:p>
    <w:p w14:paraId="6DE502E2" w14:textId="77777777" w:rsidR="00796039" w:rsidRDefault="00796039" w:rsidP="00796039">
      <w:pPr>
        <w:pStyle w:val="Heading4"/>
      </w:pPr>
      <w:r>
        <w:t xml:space="preserve">Outcome </w:t>
      </w:r>
    </w:p>
    <w:p w14:paraId="05AC8C9E" w14:textId="77777777" w:rsidR="00796039" w:rsidRDefault="00796039" w:rsidP="00796039">
      <w:pPr>
        <w:pStyle w:val="ListBullet"/>
      </w:pPr>
      <w:r>
        <w:t>User alerts of physician orders for blood bank diagnostic tests and blood components are configured.</w:t>
      </w:r>
    </w:p>
    <w:p w14:paraId="479B4E42" w14:textId="77777777" w:rsidR="00796039" w:rsidRDefault="00796039" w:rsidP="00796039">
      <w:pPr>
        <w:pStyle w:val="Heading4"/>
      </w:pPr>
      <w:r>
        <w:t>Limitations and Restrictions</w:t>
      </w:r>
      <w:r>
        <w:rPr>
          <w:b w:val="0"/>
        </w:rPr>
        <w:t xml:space="preserve"> </w:t>
      </w:r>
    </w:p>
    <w:p w14:paraId="2C16110B" w14:textId="77777777" w:rsidR="000D7828" w:rsidRDefault="000D7828" w:rsidP="00796039">
      <w:pPr>
        <w:pStyle w:val="ListBullet"/>
      </w:pPr>
      <w:r>
        <w:t xml:space="preserve">This is an alert only and contains limited information from the CPRS order. </w:t>
      </w:r>
      <w:r w:rsidRPr="000D7828">
        <w:rPr>
          <w:vanish/>
        </w:rPr>
        <w:t>Defect 368207</w:t>
      </w:r>
    </w:p>
    <w:p w14:paraId="6598AF61" w14:textId="77777777" w:rsidR="00796039" w:rsidRDefault="00796039" w:rsidP="00796039">
      <w:pPr>
        <w:pStyle w:val="ListBullet"/>
      </w:pPr>
      <w:r>
        <w:t>This option does not create a mechanism to accept or reject orders or specimens or define reports for viewing orders.</w:t>
      </w:r>
    </w:p>
    <w:p w14:paraId="2D8D1B05" w14:textId="77777777" w:rsidR="00796039" w:rsidRDefault="00796039" w:rsidP="00796039">
      <w:pPr>
        <w:pStyle w:val="ListBullet"/>
      </w:pPr>
      <w:r>
        <w:t>The user may select the option to display printer alerts only when the designated printer is configured and available.</w:t>
      </w:r>
    </w:p>
    <w:p w14:paraId="19524F2F" w14:textId="77777777" w:rsidR="00796039" w:rsidRDefault="00796039" w:rsidP="00796039">
      <w:pPr>
        <w:pStyle w:val="ListBullet"/>
      </w:pPr>
      <w:r>
        <w:t>The printer</w:t>
      </w:r>
      <w:r w:rsidR="006C2ED3" w:rsidRPr="006C2ED3">
        <w:t xml:space="preserve"> </w:t>
      </w:r>
      <w:r w:rsidR="006C2ED3">
        <w:t>must be configured by the System Administrator</w:t>
      </w:r>
      <w:r>
        <w:t>.</w:t>
      </w:r>
    </w:p>
    <w:p w14:paraId="05B472AE" w14:textId="77777777" w:rsidR="00796039" w:rsidRDefault="00796039" w:rsidP="00796039">
      <w:pPr>
        <w:pStyle w:val="Heading4"/>
      </w:pPr>
      <w:r>
        <w:t xml:space="preserve">Additional Information </w:t>
      </w:r>
    </w:p>
    <w:p w14:paraId="76A01DF4" w14:textId="77777777" w:rsidR="00796039" w:rsidRDefault="00796039" w:rsidP="00796039">
      <w:pPr>
        <w:pStyle w:val="ListBullet"/>
      </w:pPr>
      <w:r>
        <w:t>A user may review current user alert configurations.</w:t>
      </w:r>
    </w:p>
    <w:p w14:paraId="77AA01F0" w14:textId="77777777" w:rsidR="00796039" w:rsidRDefault="00796039" w:rsidP="00796039">
      <w:pPr>
        <w:pStyle w:val="ListBullet"/>
      </w:pPr>
      <w:r>
        <w:t>VBECS uses other alerts (patient update alerts, VistALink status alerts) that do not require configuration.</w:t>
      </w:r>
    </w:p>
    <w:p w14:paraId="50194E65" w14:textId="77777777" w:rsidR="007004B1" w:rsidRDefault="007004B1" w:rsidP="00796039">
      <w:pPr>
        <w:pStyle w:val="ListBullet"/>
      </w:pPr>
      <w:r>
        <w:t xml:space="preserve">The user may set </w:t>
      </w:r>
      <w:r w:rsidR="00922AD8">
        <w:t>VBECS to</w:t>
      </w:r>
      <w:r>
        <w:t xml:space="preserve"> automatically print an order alert on the designated printer when VBECS ackn</w:t>
      </w:r>
      <w:r w:rsidR="000D7828">
        <w:t xml:space="preserve">owledges the order. </w:t>
      </w:r>
      <w:r>
        <w:t>The CPRS can be configured to print a copy of the order on a printer in the blood bank.</w:t>
      </w:r>
    </w:p>
    <w:p w14:paraId="75E15C6B" w14:textId="77777777" w:rsidR="00491BEC" w:rsidRDefault="00491BEC" w:rsidP="00796039">
      <w:pPr>
        <w:pStyle w:val="ListBullet"/>
      </w:pPr>
      <w:r>
        <w:t>Printed order alerts are not queued.</w:t>
      </w:r>
    </w:p>
    <w:p w14:paraId="61A36C01" w14:textId="77777777" w:rsidR="00796039" w:rsidRDefault="00796039" w:rsidP="00796039">
      <w:pPr>
        <w:pStyle w:val="Heading4"/>
        <w:rPr>
          <w:b w:val="0"/>
        </w:rPr>
      </w:pPr>
      <w:r>
        <w:t>User Roles with Access to This Option</w:t>
      </w:r>
      <w:r>
        <w:rPr>
          <w:b w:val="0"/>
        </w:rPr>
        <w:t xml:space="preserve"> </w:t>
      </w:r>
    </w:p>
    <w:p w14:paraId="55735B5F" w14:textId="77777777" w:rsidR="00237C52" w:rsidRDefault="00237C52" w:rsidP="00796039">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14:paraId="458532C3" w14:textId="77777777" w:rsidR="00796039" w:rsidRDefault="006068DE" w:rsidP="00796039">
      <w:pPr>
        <w:pStyle w:val="Heading4"/>
      </w:pPr>
      <w:r>
        <w:t>Order Alerts</w:t>
      </w:r>
    </w:p>
    <w:p w14:paraId="21F94838" w14:textId="77777777" w:rsidR="00796039" w:rsidRDefault="00796039" w:rsidP="00796039">
      <w:pPr>
        <w:pStyle w:val="BodyText"/>
      </w:pPr>
      <w:r>
        <w:t xml:space="preserve">The user configures diagnostic test or component order alerts, and turns them on or off. The alerts notify users when new orders are entered, updated, or canceled in </w:t>
      </w:r>
      <w:r w:rsidRPr="00CA0045">
        <w:rPr>
          <w:bCs/>
        </w:rPr>
        <w:t>VistA</w:t>
      </w:r>
      <w:r>
        <w:rPr>
          <w:bCs/>
        </w:rP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796039" w14:paraId="5EC59A4C" w14:textId="77777777">
        <w:trPr>
          <w:cantSplit/>
          <w:tblHeader/>
        </w:trPr>
        <w:tc>
          <w:tcPr>
            <w:tcW w:w="3240" w:type="dxa"/>
            <w:shd w:val="pct30" w:color="auto" w:fill="FFFFFF"/>
            <w:vAlign w:val="bottom"/>
          </w:tcPr>
          <w:p w14:paraId="73545CF7" w14:textId="77777777" w:rsidR="00796039" w:rsidRDefault="00796039" w:rsidP="00796039">
            <w:pPr>
              <w:pStyle w:val="TableText"/>
              <w:rPr>
                <w:b/>
              </w:rPr>
            </w:pPr>
            <w:r>
              <w:rPr>
                <w:b/>
              </w:rPr>
              <w:t>User Action</w:t>
            </w:r>
          </w:p>
        </w:tc>
        <w:tc>
          <w:tcPr>
            <w:tcW w:w="6120" w:type="dxa"/>
            <w:shd w:val="pct30" w:color="auto" w:fill="FFFFFF"/>
            <w:vAlign w:val="bottom"/>
          </w:tcPr>
          <w:p w14:paraId="067F5AA8" w14:textId="77777777" w:rsidR="00796039" w:rsidRDefault="00796039" w:rsidP="00796039">
            <w:pPr>
              <w:pStyle w:val="TableText"/>
              <w:rPr>
                <w:b/>
              </w:rPr>
            </w:pPr>
            <w:r>
              <w:rPr>
                <w:b/>
              </w:rPr>
              <w:t>VBECS</w:t>
            </w:r>
          </w:p>
        </w:tc>
      </w:tr>
      <w:tr w:rsidR="00796039" w14:paraId="2A200728" w14:textId="77777777">
        <w:tc>
          <w:tcPr>
            <w:tcW w:w="3240" w:type="dxa"/>
          </w:tcPr>
          <w:p w14:paraId="5DBD4972" w14:textId="77777777" w:rsidR="00796039" w:rsidRDefault="00796039" w:rsidP="00796039">
            <w:pPr>
              <w:pStyle w:val="TableTextNumbers"/>
            </w:pPr>
            <w:r>
              <w:t xml:space="preserve">Select </w:t>
            </w:r>
            <w:r>
              <w:rPr>
                <w:b/>
                <w:bCs/>
              </w:rPr>
              <w:t>Tools</w:t>
            </w:r>
            <w:r>
              <w:t xml:space="preserve"> from the main menu.</w:t>
            </w:r>
          </w:p>
          <w:p w14:paraId="41B79393" w14:textId="77777777" w:rsidR="00796039" w:rsidRDefault="00796039" w:rsidP="00796039">
            <w:pPr>
              <w:pStyle w:val="TableTextNumbersContinued"/>
              <w:rPr>
                <w:b/>
                <w:bCs/>
              </w:rPr>
            </w:pPr>
          </w:p>
          <w:p w14:paraId="3AA53D3A" w14:textId="77777777" w:rsidR="00796039" w:rsidRDefault="00796039" w:rsidP="00796039">
            <w:pPr>
              <w:pStyle w:val="TableTextNumbersContinued"/>
              <w:rPr>
                <w:b/>
                <w:bCs/>
              </w:rPr>
            </w:pPr>
            <w:r>
              <w:rPr>
                <w:b/>
                <w:bCs/>
              </w:rPr>
              <w:t>Select Configure Division.</w:t>
            </w:r>
          </w:p>
        </w:tc>
        <w:tc>
          <w:tcPr>
            <w:tcW w:w="6120" w:type="dxa"/>
          </w:tcPr>
          <w:p w14:paraId="702AB734" w14:textId="77777777" w:rsidR="00796039" w:rsidRDefault="00796039" w:rsidP="00796039">
            <w:pPr>
              <w:pStyle w:val="TableTextBullet"/>
            </w:pPr>
            <w:r>
              <w:t>Displays options for processing administrative functions.</w:t>
            </w:r>
          </w:p>
          <w:p w14:paraId="31C33DA1" w14:textId="77777777" w:rsidR="00796039" w:rsidRDefault="00796039" w:rsidP="00796039">
            <w:pPr>
              <w:pStyle w:val="TableTextBullet"/>
            </w:pPr>
            <w:r>
              <w:t>Displays configuration tabs.</w:t>
            </w:r>
          </w:p>
        </w:tc>
      </w:tr>
      <w:tr w:rsidR="00796039" w14:paraId="3B5D0941" w14:textId="77777777" w:rsidTr="007E500E">
        <w:trPr>
          <w:cantSplit/>
        </w:trPr>
        <w:tc>
          <w:tcPr>
            <w:tcW w:w="3240" w:type="dxa"/>
          </w:tcPr>
          <w:p w14:paraId="29BF4FD1" w14:textId="0206B332" w:rsidR="00796039" w:rsidRDefault="00796039" w:rsidP="00796039">
            <w:pPr>
              <w:pStyle w:val="TableTextNumbers"/>
            </w:pPr>
            <w:r>
              <w:lastRenderedPageBreak/>
              <w:t xml:space="preserve">Click the </w:t>
            </w:r>
            <w:r>
              <w:rPr>
                <w:b/>
                <w:bCs/>
              </w:rPr>
              <w:t xml:space="preserve">Order Alerts </w:t>
            </w:r>
            <w:r w:rsidRPr="00CC3C89">
              <w:rPr>
                <w:bCs/>
              </w:rPr>
              <w:t>tab</w:t>
            </w:r>
            <w:r w:rsidR="008A6E48" w:rsidRPr="00CC3C89">
              <w:rPr>
                <w:bCs/>
              </w:rPr>
              <w:t xml:space="preserve"> </w:t>
            </w:r>
            <w:r w:rsidR="008A6E48">
              <w:rPr>
                <w:bCs/>
              </w:rPr>
              <w:t>(</w:t>
            </w:r>
            <w:r w:rsidR="008A6E48">
              <w:rPr>
                <w:bCs/>
              </w:rPr>
              <w:fldChar w:fldCharType="begin" w:fldLock="1"/>
            </w:r>
            <w:r w:rsidR="008A6E48">
              <w:rPr>
                <w:bCs/>
              </w:rPr>
              <w:instrText xml:space="preserve"> REF _Ref126470573 \h </w:instrText>
            </w:r>
            <w:r w:rsidR="008A6E48">
              <w:rPr>
                <w:bCs/>
              </w:rPr>
            </w:r>
            <w:r w:rsidR="008A6E48">
              <w:rPr>
                <w:bCs/>
              </w:rPr>
              <w:fldChar w:fldCharType="separate"/>
            </w:r>
            <w:r w:rsidR="00AB304C">
              <w:t xml:space="preserve">Figure </w:t>
            </w:r>
            <w:r w:rsidR="00AB304C">
              <w:rPr>
                <w:noProof/>
              </w:rPr>
              <w:t>51</w:t>
            </w:r>
            <w:r w:rsidR="008A6E48">
              <w:rPr>
                <w:bCs/>
              </w:rPr>
              <w:fldChar w:fldCharType="end"/>
            </w:r>
            <w:r w:rsidR="008A6E48">
              <w:rPr>
                <w:bCs/>
              </w:rPr>
              <w:t>)</w:t>
            </w:r>
            <w:r>
              <w:t xml:space="preserve">. </w:t>
            </w:r>
          </w:p>
          <w:p w14:paraId="2B65C6F0" w14:textId="77777777" w:rsidR="00796039" w:rsidRDefault="00796039" w:rsidP="00796039">
            <w:pPr>
              <w:pStyle w:val="TableTextNumbersContinued"/>
            </w:pPr>
          </w:p>
          <w:p w14:paraId="7A8DBFFF" w14:textId="77777777" w:rsidR="00796039" w:rsidRDefault="00796039" w:rsidP="00796039">
            <w:pPr>
              <w:pStyle w:val="TableTextNumbersContinued"/>
            </w:pPr>
            <w:r>
              <w:t xml:space="preserve">Click the </w:t>
            </w:r>
            <w:r>
              <w:rPr>
                <w:b/>
              </w:rPr>
              <w:t>Printer Alerts On</w:t>
            </w:r>
            <w:r>
              <w:t xml:space="preserve"> and/or the</w:t>
            </w:r>
            <w:r>
              <w:rPr>
                <w:b/>
              </w:rPr>
              <w:t xml:space="preserve"> Icon Alerts On </w:t>
            </w:r>
            <w:r w:rsidRPr="00D1100E">
              <w:t>check box</w:t>
            </w:r>
            <w:r>
              <w:t>.</w:t>
            </w:r>
          </w:p>
          <w:p w14:paraId="2B0B9F89" w14:textId="77777777" w:rsidR="00796039" w:rsidRDefault="00796039" w:rsidP="00796039">
            <w:pPr>
              <w:pStyle w:val="TableTextNumbersContinued"/>
            </w:pPr>
          </w:p>
          <w:p w14:paraId="77F41505" w14:textId="77777777" w:rsidR="00796039" w:rsidRDefault="00796039" w:rsidP="00796039">
            <w:pPr>
              <w:pStyle w:val="TableTextNumbersContinued"/>
              <w:rPr>
                <w:b/>
                <w:bCs/>
              </w:rPr>
            </w:pPr>
            <w:r>
              <w:t>Select the order alert type from the drop-down menus in the Order Alert Type fields.</w:t>
            </w:r>
          </w:p>
        </w:tc>
        <w:tc>
          <w:tcPr>
            <w:tcW w:w="6120" w:type="dxa"/>
          </w:tcPr>
          <w:p w14:paraId="69D7613E" w14:textId="77777777" w:rsidR="00796039" w:rsidRDefault="00796039" w:rsidP="00796039">
            <w:pPr>
              <w:pStyle w:val="TableTextBullet"/>
            </w:pPr>
            <w:r>
              <w:t xml:space="preserve">Displays the existing order alert configuration and allows the user to edit it. </w:t>
            </w:r>
          </w:p>
          <w:p w14:paraId="06BA6E41" w14:textId="77777777" w:rsidR="00796039" w:rsidRDefault="00796039" w:rsidP="00796039">
            <w:pPr>
              <w:pStyle w:val="TableTextBullet"/>
            </w:pPr>
            <w:r>
              <w:rPr>
                <w:rFonts w:cs="Arial"/>
                <w:vanish/>
              </w:rPr>
              <w:t xml:space="preserve">BR_95.08 </w:t>
            </w:r>
            <w:r>
              <w:t>Requires the user to select a printer name and to define which orders to print.</w:t>
            </w:r>
          </w:p>
          <w:p w14:paraId="39246837" w14:textId="77777777" w:rsidR="00796039" w:rsidRDefault="00796039" w:rsidP="00796039">
            <w:pPr>
              <w:pStyle w:val="TableTextBullet"/>
            </w:pPr>
            <w:r>
              <w:rPr>
                <w:rFonts w:cs="Arial"/>
                <w:vanish/>
              </w:rPr>
              <w:t xml:space="preserve">BR_95.05 </w:t>
            </w:r>
            <w:r>
              <w:t>Displays the selected printer, the selected order alert type, and the number of hours (default: 48 hours) entered for review.</w:t>
            </w:r>
          </w:p>
          <w:p w14:paraId="44BECD16" w14:textId="77777777" w:rsidR="00796039" w:rsidRDefault="00796039" w:rsidP="00796039">
            <w:pPr>
              <w:pStyle w:val="TableText"/>
            </w:pPr>
          </w:p>
          <w:p w14:paraId="66CEAD4A" w14:textId="77777777" w:rsidR="00796039" w:rsidRDefault="00057948" w:rsidP="00796039">
            <w:pPr>
              <w:pStyle w:val="TableText"/>
              <w:rPr>
                <w:b/>
                <w:bCs/>
                <w:szCs w:val="18"/>
              </w:rPr>
            </w:pPr>
            <w:r>
              <w:rPr>
                <w:b/>
                <w:bCs/>
                <w:noProof/>
              </w:rPr>
              <mc:AlternateContent>
                <mc:Choice Requires="wps">
                  <w:drawing>
                    <wp:anchor distT="0" distB="0" distL="114300" distR="114300" simplePos="0" relativeHeight="251695104" behindDoc="0" locked="0" layoutInCell="1" allowOverlap="1" wp14:anchorId="65D525C0" wp14:editId="1DE4E7C4">
                      <wp:simplePos x="0" y="0"/>
                      <wp:positionH relativeFrom="column">
                        <wp:posOffset>457200</wp:posOffset>
                      </wp:positionH>
                      <wp:positionV relativeFrom="paragraph">
                        <wp:posOffset>65405</wp:posOffset>
                      </wp:positionV>
                      <wp:extent cx="3200400" cy="0"/>
                      <wp:effectExtent l="9525" t="17780" r="9525" b="10795"/>
                      <wp:wrapNone/>
                      <wp:docPr id="563" name="Line 1021" descr="P1912L17C6T1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90DE2" id="Line 1021" o:spid="_x0000_s1026" alt="&quot;&quot;"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CnVjhjEAQAAbwMAAA4AAAAAAAAAAAAAAAAA&#10;LgIAAGRycy9lMm9Eb2MueG1sUEsBAi0AFAAGAAgAAAAhABdPMBLbAAAACAEAAA8AAAAAAAAAAAAA&#10;AAAAHgQAAGRycy9kb3ducmV2LnhtbFBLBQYAAAAABAAEAPMAAAAmBQAAAAA=&#10;" strokeweight="1.5pt"/>
                  </w:pict>
                </mc:Fallback>
              </mc:AlternateContent>
            </w:r>
            <w:r w:rsidR="00796039">
              <w:rPr>
                <w:b/>
                <w:bCs/>
                <w:szCs w:val="18"/>
              </w:rPr>
              <w:t>NOTES</w:t>
            </w:r>
          </w:p>
          <w:p w14:paraId="21DAEA18" w14:textId="77777777" w:rsidR="00796039" w:rsidRDefault="00796039" w:rsidP="00796039">
            <w:pPr>
              <w:pStyle w:val="NotesText"/>
            </w:pPr>
          </w:p>
          <w:p w14:paraId="66535802" w14:textId="77777777" w:rsidR="00796039" w:rsidRDefault="002E301F" w:rsidP="00796039">
            <w:pPr>
              <w:pStyle w:val="NotesText"/>
            </w:pPr>
            <w:r w:rsidRPr="002E301F">
              <w:t>VBECS lists app</w:t>
            </w:r>
            <w:r>
              <w:t>lication</w:t>
            </w:r>
            <w:r w:rsidRPr="002E301F">
              <w:t xml:space="preserve"> server printers</w:t>
            </w:r>
            <w:r w:rsidR="00796039">
              <w:t>.</w:t>
            </w:r>
          </w:p>
          <w:p w14:paraId="266434E5" w14:textId="77777777" w:rsidR="00796039" w:rsidRDefault="00796039" w:rsidP="00796039">
            <w:pPr>
              <w:pStyle w:val="NotesText"/>
            </w:pPr>
          </w:p>
          <w:p w14:paraId="6D4E0BCE" w14:textId="77777777" w:rsidR="00796039" w:rsidRDefault="00796039" w:rsidP="00796039">
            <w:pPr>
              <w:pStyle w:val="NotesText"/>
            </w:pPr>
            <w:r>
              <w:rPr>
                <w:rFonts w:cs="Arial"/>
                <w:vanish/>
              </w:rPr>
              <w:t xml:space="preserve">BR_95.04 </w:t>
            </w:r>
            <w:r>
              <w:t>The user must select an order alert type:</w:t>
            </w:r>
          </w:p>
          <w:p w14:paraId="6627DD23" w14:textId="77777777" w:rsidR="00796039" w:rsidRDefault="00796039" w:rsidP="00796039">
            <w:pPr>
              <w:pStyle w:val="NotesTextBullet"/>
            </w:pPr>
            <w:r>
              <w:t>All orders (orders received by VBECS)</w:t>
            </w:r>
          </w:p>
          <w:p w14:paraId="225B78EF" w14:textId="77777777" w:rsidR="00796039" w:rsidRDefault="00796039" w:rsidP="00796039">
            <w:pPr>
              <w:pStyle w:val="NotesTextBullet"/>
            </w:pPr>
            <w:r>
              <w:t xml:space="preserve">Hours limit to fill </w:t>
            </w:r>
            <w:r w:rsidR="008426BA">
              <w:t>o</w:t>
            </w:r>
            <w:r>
              <w:t xml:space="preserve">rder (orders received by VBECS needed in the next </w:t>
            </w:r>
            <w:r w:rsidRPr="00A65947">
              <w:rPr>
                <w:i/>
              </w:rPr>
              <w:t>n</w:t>
            </w:r>
            <w:r>
              <w:t xml:space="preserve"> hours) </w:t>
            </w:r>
          </w:p>
          <w:p w14:paraId="2A3B2DE9" w14:textId="77777777" w:rsidR="00796039" w:rsidRDefault="00796039" w:rsidP="00796039">
            <w:pPr>
              <w:pStyle w:val="NotesTextBullet"/>
            </w:pPr>
            <w:r>
              <w:t>Spec</w:t>
            </w:r>
            <w:r w:rsidR="00802EE9">
              <w:t>imen OK or N/A (orders where</w:t>
            </w:r>
            <w:r>
              <w:t xml:space="preserve"> no specimen is require</w:t>
            </w:r>
            <w:r w:rsidR="00802EE9">
              <w:t>d</w:t>
            </w:r>
            <w:r>
              <w:t>)</w:t>
            </w:r>
          </w:p>
        </w:tc>
      </w:tr>
      <w:tr w:rsidR="00796039" w14:paraId="4CEB29F4" w14:textId="77777777">
        <w:tc>
          <w:tcPr>
            <w:tcW w:w="3240" w:type="dxa"/>
          </w:tcPr>
          <w:p w14:paraId="7B38D2A2" w14:textId="77777777" w:rsidR="00796039" w:rsidRDefault="00796039" w:rsidP="00796039">
            <w:pPr>
              <w:pStyle w:val="TableTextNumbers"/>
            </w:pPr>
            <w:r>
              <w:t>Enter or select a refresh rate</w:t>
            </w:r>
            <w:r w:rsidR="00B917A8">
              <w:t xml:space="preserve"> (the interval between searches for new orders)</w:t>
            </w:r>
            <w:r>
              <w:t xml:space="preserve"> for the order alert in the Refresh Rate field. </w:t>
            </w:r>
          </w:p>
        </w:tc>
        <w:tc>
          <w:tcPr>
            <w:tcW w:w="6120" w:type="dxa"/>
          </w:tcPr>
          <w:p w14:paraId="4DF590C1" w14:textId="77777777" w:rsidR="00796039" w:rsidRDefault="00796039" w:rsidP="00796039">
            <w:pPr>
              <w:pStyle w:val="TableTextBullet"/>
            </w:pPr>
            <w:r>
              <w:rPr>
                <w:rFonts w:cs="Arial"/>
                <w:vanish/>
              </w:rPr>
              <w:t xml:space="preserve">BR_95.07 </w:t>
            </w:r>
            <w:r>
              <w:t>Requires the user to enter a refresh rate (default: 60 seconds) (Icon Alerts On).</w:t>
            </w:r>
          </w:p>
          <w:p w14:paraId="60BF1859" w14:textId="77777777" w:rsidR="00796039" w:rsidRDefault="00796039" w:rsidP="00796039">
            <w:pPr>
              <w:pStyle w:val="TableTextBullet"/>
            </w:pPr>
            <w:r>
              <w:t>Displays the updated refresh rate.</w:t>
            </w:r>
          </w:p>
          <w:p w14:paraId="1E15FF2D" w14:textId="77777777" w:rsidR="00796039" w:rsidRDefault="00796039" w:rsidP="00796039">
            <w:pPr>
              <w:pStyle w:val="TableTextBullet"/>
            </w:pPr>
            <w:r>
              <w:t xml:space="preserve">Displays the selected order alert type. </w:t>
            </w:r>
          </w:p>
        </w:tc>
      </w:tr>
      <w:tr w:rsidR="00796039" w14:paraId="2F02D4FA" w14:textId="77777777">
        <w:tc>
          <w:tcPr>
            <w:tcW w:w="3240" w:type="dxa"/>
          </w:tcPr>
          <w:p w14:paraId="74B54FDA" w14:textId="77777777" w:rsidR="00796039" w:rsidRDefault="00796039" w:rsidP="00796039">
            <w:pPr>
              <w:pStyle w:val="TableTextNumbers"/>
            </w:pPr>
            <w:r>
              <w:t xml:space="preserve">Click </w:t>
            </w:r>
            <w:r>
              <w:rPr>
                <w:b/>
              </w:rPr>
              <w:t>OK</w:t>
            </w:r>
            <w:r>
              <w:t xml:space="preserve"> to save</w:t>
            </w:r>
          </w:p>
        </w:tc>
        <w:tc>
          <w:tcPr>
            <w:tcW w:w="6120" w:type="dxa"/>
          </w:tcPr>
          <w:p w14:paraId="6AC552B5" w14:textId="77777777" w:rsidR="00796039" w:rsidRDefault="00796039" w:rsidP="00796039">
            <w:pPr>
              <w:pStyle w:val="TableTextBullet"/>
            </w:pPr>
            <w:r>
              <w:t>Saves the user alert configuration settings.</w:t>
            </w:r>
          </w:p>
        </w:tc>
      </w:tr>
      <w:tr w:rsidR="00796039" w14:paraId="2BC0E681" w14:textId="77777777">
        <w:tc>
          <w:tcPr>
            <w:tcW w:w="3240" w:type="dxa"/>
          </w:tcPr>
          <w:p w14:paraId="1AB151F7" w14:textId="77777777" w:rsidR="00796039" w:rsidRDefault="00796039" w:rsidP="00796039">
            <w:pPr>
              <w:pStyle w:val="TableTextNumbers"/>
            </w:pPr>
            <w:r>
              <w:t xml:space="preserve">Click </w:t>
            </w:r>
            <w:r>
              <w:rPr>
                <w:b/>
              </w:rPr>
              <w:t>Yes</w:t>
            </w:r>
            <w:r>
              <w:t xml:space="preserve"> to confirm the changes and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1FA22DB9" w14:textId="77777777" w:rsidR="00796039" w:rsidRDefault="00796039" w:rsidP="00796039">
            <w:pPr>
              <w:pStyle w:val="NotesText"/>
            </w:pPr>
          </w:p>
        </w:tc>
      </w:tr>
    </w:tbl>
    <w:p w14:paraId="2257A39A" w14:textId="480B21A9" w:rsidR="008A6E48" w:rsidRDefault="008A6E48" w:rsidP="008A6E48">
      <w:pPr>
        <w:pStyle w:val="Caption"/>
      </w:pPr>
      <w:bookmarkStart w:id="196" w:name="_Ref126470573"/>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51</w:t>
      </w:r>
      <w:r w:rsidR="004E20BD">
        <w:rPr>
          <w:noProof/>
        </w:rPr>
        <w:fldChar w:fldCharType="end"/>
      </w:r>
      <w:bookmarkEnd w:id="196"/>
      <w:r>
        <w:t>: Order Alerts Tab</w:t>
      </w:r>
    </w:p>
    <w:p w14:paraId="172C2264" w14:textId="77777777" w:rsidR="00796039" w:rsidRDefault="00057948" w:rsidP="0066425F">
      <w:pPr>
        <w:pStyle w:val="BodyText"/>
      </w:pPr>
      <w:r>
        <w:rPr>
          <w:noProof/>
        </w:rPr>
        <w:drawing>
          <wp:inline distT="0" distB="0" distL="0" distR="0" wp14:anchorId="14646D10" wp14:editId="719C00F9">
            <wp:extent cx="3195955" cy="3186430"/>
            <wp:effectExtent l="0" t="0" r="4445" b="0"/>
            <wp:docPr id="130" name="Picture 130" descr="P193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P1933#yIS1">
                      <a:extLst>
                        <a:ext uri="{C183D7F6-B498-43B3-948B-1728B52AA6E4}">
                          <adec:decorative xmlns:adec="http://schemas.microsoft.com/office/drawing/2017/decorative" val="1"/>
                        </a:ext>
                      </a:extLst>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195955" cy="3186430"/>
                    </a:xfrm>
                    <a:prstGeom prst="rect">
                      <a:avLst/>
                    </a:prstGeom>
                    <a:noFill/>
                    <a:ln>
                      <a:noFill/>
                    </a:ln>
                  </pic:spPr>
                </pic:pic>
              </a:graphicData>
            </a:graphic>
          </wp:inline>
        </w:drawing>
      </w:r>
    </w:p>
    <w:p w14:paraId="133008D5" w14:textId="77777777" w:rsidR="00796039" w:rsidRDefault="00AF089A" w:rsidP="00796039">
      <w:pPr>
        <w:pStyle w:val="Heading3"/>
      </w:pPr>
      <w:r>
        <w:br w:type="page"/>
      </w:r>
      <w:bookmarkStart w:id="197" w:name="_Toc4588759"/>
      <w:r w:rsidR="006068DE">
        <w:lastRenderedPageBreak/>
        <w:t>Login Message</w:t>
      </w:r>
      <w:bookmarkEnd w:id="197"/>
      <w:r w:rsidR="00796039">
        <w:fldChar w:fldCharType="begin"/>
      </w:r>
      <w:r w:rsidR="00796039">
        <w:instrText xml:space="preserve"> XE “</w:instrText>
      </w:r>
      <w:r w:rsidR="006068DE">
        <w:instrText>Login Message</w:instrText>
      </w:r>
      <w:r w:rsidR="00796039">
        <w:instrText xml:space="preserve">” </w:instrText>
      </w:r>
      <w:r w:rsidR="00796039">
        <w:fldChar w:fldCharType="end"/>
      </w:r>
    </w:p>
    <w:p w14:paraId="34CF9731" w14:textId="77777777" w:rsidR="00796039" w:rsidRDefault="00796039" w:rsidP="00796039">
      <w:pPr>
        <w:pStyle w:val="BodyText"/>
      </w:pPr>
      <w:r>
        <w:t>The user creates a division-wide VBECS message that appears at login.</w:t>
      </w:r>
    </w:p>
    <w:p w14:paraId="1AE7F50A" w14:textId="77777777" w:rsidR="00796039" w:rsidRDefault="00796039" w:rsidP="00796039">
      <w:pPr>
        <w:pStyle w:val="Heading4"/>
      </w:pPr>
      <w:r>
        <w:t>Assumptions</w:t>
      </w:r>
      <w:r>
        <w:rPr>
          <w:b w:val="0"/>
        </w:rPr>
        <w:t xml:space="preserve"> </w:t>
      </w:r>
    </w:p>
    <w:p w14:paraId="4FB049FD" w14:textId="77777777" w:rsidR="00796039" w:rsidRDefault="00796039" w:rsidP="00796039">
      <w:pPr>
        <w:pStyle w:val="ListBullet"/>
      </w:pPr>
      <w:r>
        <w:t xml:space="preserve">None </w:t>
      </w:r>
    </w:p>
    <w:p w14:paraId="39134215" w14:textId="77777777" w:rsidR="00796039" w:rsidRDefault="00796039" w:rsidP="00796039">
      <w:pPr>
        <w:pStyle w:val="Heading4"/>
      </w:pPr>
      <w:r>
        <w:t>Outcome</w:t>
      </w:r>
      <w:r>
        <w:rPr>
          <w:i/>
          <w:color w:val="0000FF"/>
          <w:sz w:val="24"/>
        </w:rPr>
        <w:t xml:space="preserve"> </w:t>
      </w:r>
    </w:p>
    <w:p w14:paraId="32DAEAEF" w14:textId="77777777" w:rsidR="00796039" w:rsidRDefault="00796039" w:rsidP="00796039">
      <w:pPr>
        <w:pStyle w:val="ListBullet"/>
      </w:pPr>
      <w:r>
        <w:t>A message was created for display when users log into a VBECS division.</w:t>
      </w:r>
    </w:p>
    <w:p w14:paraId="13739B5C" w14:textId="77777777" w:rsidR="00796039" w:rsidRDefault="00796039" w:rsidP="00796039">
      <w:pPr>
        <w:pStyle w:val="Heading4"/>
      </w:pPr>
      <w:r>
        <w:t>Limitations and Restrictions</w:t>
      </w:r>
      <w:r>
        <w:rPr>
          <w:b w:val="0"/>
        </w:rPr>
        <w:t xml:space="preserve"> </w:t>
      </w:r>
    </w:p>
    <w:p w14:paraId="551BC54E" w14:textId="77777777" w:rsidR="00796039" w:rsidRDefault="00796039" w:rsidP="00796039">
      <w:pPr>
        <w:pStyle w:val="ListBullet"/>
      </w:pPr>
      <w:r>
        <w:t>None</w:t>
      </w:r>
    </w:p>
    <w:p w14:paraId="256D139C" w14:textId="77777777" w:rsidR="00796039" w:rsidRDefault="00796039" w:rsidP="00796039">
      <w:pPr>
        <w:pStyle w:val="Heading4"/>
      </w:pPr>
      <w:r>
        <w:t>Additional Information</w:t>
      </w:r>
    </w:p>
    <w:p w14:paraId="64960C14" w14:textId="77777777" w:rsidR="00796039" w:rsidRDefault="00796039" w:rsidP="00796039">
      <w:pPr>
        <w:pStyle w:val="ListBullet"/>
      </w:pPr>
      <w:r>
        <w:t>None</w:t>
      </w:r>
    </w:p>
    <w:p w14:paraId="6B5A553F" w14:textId="77777777" w:rsidR="00796039" w:rsidRDefault="00796039" w:rsidP="00796039">
      <w:pPr>
        <w:pStyle w:val="Heading4"/>
        <w:rPr>
          <w:b w:val="0"/>
        </w:rPr>
      </w:pPr>
      <w:r>
        <w:t>User Roles with Access to This Option</w:t>
      </w:r>
      <w:r>
        <w:rPr>
          <w:b w:val="0"/>
        </w:rPr>
        <w:t xml:space="preserve"> </w:t>
      </w:r>
    </w:p>
    <w:p w14:paraId="03854701" w14:textId="77777777" w:rsidR="00796039" w:rsidRDefault="00237C52" w:rsidP="00796039">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Lead Technologist</w:t>
      </w:r>
    </w:p>
    <w:p w14:paraId="2B01A13E" w14:textId="77777777" w:rsidR="00796039" w:rsidRDefault="006068DE" w:rsidP="00796039">
      <w:pPr>
        <w:pStyle w:val="Heading4"/>
      </w:pPr>
      <w:r>
        <w:t>Login Message</w:t>
      </w:r>
    </w:p>
    <w:p w14:paraId="7893A3FB" w14:textId="77777777" w:rsidR="00796039" w:rsidRDefault="00796039" w:rsidP="00796039">
      <w:pPr>
        <w:pStyle w:val="BodyText"/>
      </w:pPr>
      <w:r>
        <w:t>The user may add, update, or delete a message that VBECS displays to users logging into the division.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796039" w14:paraId="5638E162" w14:textId="77777777">
        <w:trPr>
          <w:cantSplit/>
          <w:tblHeader/>
        </w:trPr>
        <w:tc>
          <w:tcPr>
            <w:tcW w:w="3240" w:type="dxa"/>
            <w:shd w:val="pct30" w:color="auto" w:fill="FFFFFF"/>
            <w:vAlign w:val="bottom"/>
          </w:tcPr>
          <w:p w14:paraId="5306D9EE" w14:textId="77777777" w:rsidR="00796039" w:rsidRDefault="00796039" w:rsidP="00796039">
            <w:pPr>
              <w:pStyle w:val="TableText"/>
              <w:rPr>
                <w:b/>
              </w:rPr>
            </w:pPr>
            <w:r>
              <w:rPr>
                <w:b/>
              </w:rPr>
              <w:t>User Action</w:t>
            </w:r>
          </w:p>
        </w:tc>
        <w:tc>
          <w:tcPr>
            <w:tcW w:w="6120" w:type="dxa"/>
            <w:shd w:val="pct30" w:color="auto" w:fill="FFFFFF"/>
            <w:vAlign w:val="bottom"/>
          </w:tcPr>
          <w:p w14:paraId="48E36224" w14:textId="77777777" w:rsidR="00796039" w:rsidRDefault="00796039" w:rsidP="00796039">
            <w:pPr>
              <w:pStyle w:val="TableText"/>
              <w:rPr>
                <w:b/>
              </w:rPr>
            </w:pPr>
            <w:r>
              <w:rPr>
                <w:b/>
              </w:rPr>
              <w:t>VBECS</w:t>
            </w:r>
          </w:p>
        </w:tc>
      </w:tr>
      <w:tr w:rsidR="00796039" w14:paraId="11DEF8BA" w14:textId="77777777">
        <w:tc>
          <w:tcPr>
            <w:tcW w:w="3240" w:type="dxa"/>
          </w:tcPr>
          <w:p w14:paraId="5F2B526D" w14:textId="77777777" w:rsidR="00796039" w:rsidRDefault="00796039" w:rsidP="00796039">
            <w:pPr>
              <w:pStyle w:val="TableTextNumbers"/>
            </w:pPr>
            <w:r>
              <w:t xml:space="preserve">Select </w:t>
            </w:r>
            <w:r>
              <w:rPr>
                <w:b/>
                <w:bCs/>
              </w:rPr>
              <w:t>Tools</w:t>
            </w:r>
            <w:r>
              <w:t xml:space="preserve"> from the main menu.</w:t>
            </w:r>
          </w:p>
          <w:p w14:paraId="1C061A08" w14:textId="77777777" w:rsidR="00796039" w:rsidRDefault="00796039" w:rsidP="00796039">
            <w:pPr>
              <w:pStyle w:val="TableTextNumbersContinued"/>
            </w:pPr>
          </w:p>
          <w:p w14:paraId="3121771B" w14:textId="77777777" w:rsidR="00796039" w:rsidRDefault="00796039" w:rsidP="00796039">
            <w:pPr>
              <w:pStyle w:val="TableTextNumbersContinued"/>
            </w:pPr>
            <w:r>
              <w:t xml:space="preserve">Select </w:t>
            </w:r>
            <w:r>
              <w:rPr>
                <w:b/>
              </w:rPr>
              <w:t>Configure Division</w:t>
            </w:r>
            <w:r>
              <w:t>.</w:t>
            </w:r>
          </w:p>
        </w:tc>
        <w:tc>
          <w:tcPr>
            <w:tcW w:w="6120" w:type="dxa"/>
          </w:tcPr>
          <w:p w14:paraId="6BE3043F" w14:textId="77777777" w:rsidR="00796039" w:rsidRDefault="00796039" w:rsidP="00796039">
            <w:pPr>
              <w:pStyle w:val="TableTextBullet"/>
            </w:pPr>
            <w:r>
              <w:t>Displays options for processing administrative functions.</w:t>
            </w:r>
          </w:p>
          <w:p w14:paraId="7F26E2FD" w14:textId="77777777" w:rsidR="00796039" w:rsidRDefault="00796039" w:rsidP="00796039">
            <w:pPr>
              <w:pStyle w:val="TableTextBullet"/>
            </w:pPr>
            <w:r>
              <w:t>Displays configuration tabs.</w:t>
            </w:r>
          </w:p>
        </w:tc>
      </w:tr>
      <w:tr w:rsidR="00796039" w14:paraId="3864E959" w14:textId="77777777">
        <w:tc>
          <w:tcPr>
            <w:tcW w:w="3240" w:type="dxa"/>
            <w:tcBorders>
              <w:top w:val="single" w:sz="4" w:space="0" w:color="auto"/>
              <w:left w:val="single" w:sz="4" w:space="0" w:color="auto"/>
              <w:bottom w:val="single" w:sz="4" w:space="0" w:color="auto"/>
              <w:right w:val="single" w:sz="4" w:space="0" w:color="auto"/>
            </w:tcBorders>
          </w:tcPr>
          <w:p w14:paraId="31F8B1F1" w14:textId="5083CBF3" w:rsidR="00796039" w:rsidRDefault="00796039" w:rsidP="00796039">
            <w:pPr>
              <w:pStyle w:val="TableTextNumbers"/>
            </w:pPr>
            <w:r>
              <w:t xml:space="preserve">Click the </w:t>
            </w:r>
            <w:r>
              <w:rPr>
                <w:b/>
              </w:rPr>
              <w:t xml:space="preserve">Login Message </w:t>
            </w:r>
            <w:r w:rsidRPr="00CC3C89">
              <w:t>tab</w:t>
            </w:r>
            <w:r w:rsidR="008A6E48" w:rsidRPr="00CC3C89">
              <w:t xml:space="preserve"> </w:t>
            </w:r>
            <w:r w:rsidR="008A6E48">
              <w:t>(</w:t>
            </w:r>
            <w:r w:rsidR="008A6E48">
              <w:fldChar w:fldCharType="begin" w:fldLock="1"/>
            </w:r>
            <w:r w:rsidR="008A6E48">
              <w:instrText xml:space="preserve"> REF _Ref126470750 \h </w:instrText>
            </w:r>
            <w:r w:rsidR="008A6E48">
              <w:fldChar w:fldCharType="separate"/>
            </w:r>
            <w:r w:rsidR="00AB304C">
              <w:t xml:space="preserve">Figure </w:t>
            </w:r>
            <w:r w:rsidR="00AB304C">
              <w:rPr>
                <w:noProof/>
              </w:rPr>
              <w:t>52</w:t>
            </w:r>
            <w:r w:rsidR="008A6E48">
              <w:fldChar w:fldCharType="end"/>
            </w:r>
            <w:r w:rsidR="008A6E48">
              <w:t>)</w:t>
            </w:r>
            <w:r>
              <w:t>.</w:t>
            </w:r>
          </w:p>
          <w:p w14:paraId="2CCF3122" w14:textId="77777777" w:rsidR="00796039" w:rsidRDefault="00796039" w:rsidP="00796039">
            <w:pPr>
              <w:pStyle w:val="TableTextNumbersContinued"/>
            </w:pPr>
          </w:p>
          <w:p w14:paraId="239CC33D" w14:textId="77777777" w:rsidR="00796039" w:rsidRDefault="00796039" w:rsidP="00796039">
            <w:pPr>
              <w:pStyle w:val="TableTextNumbersContinued"/>
            </w:pPr>
            <w:r>
              <w:t>Enter a message in the message field to display at login.</w:t>
            </w:r>
          </w:p>
        </w:tc>
        <w:tc>
          <w:tcPr>
            <w:tcW w:w="6120" w:type="dxa"/>
            <w:tcBorders>
              <w:top w:val="single" w:sz="4" w:space="0" w:color="auto"/>
              <w:left w:val="single" w:sz="4" w:space="0" w:color="auto"/>
              <w:bottom w:val="single" w:sz="4" w:space="0" w:color="auto"/>
              <w:right w:val="single" w:sz="4" w:space="0" w:color="auto"/>
            </w:tcBorders>
          </w:tcPr>
          <w:p w14:paraId="4FFAC57D" w14:textId="77777777" w:rsidR="00796039" w:rsidRDefault="00796039" w:rsidP="00796039">
            <w:pPr>
              <w:pStyle w:val="TableTextBullet"/>
            </w:pPr>
            <w:r>
              <w:t>Displays the existing login message and allows the user to edit or delete it.</w:t>
            </w:r>
          </w:p>
          <w:p w14:paraId="62772D71" w14:textId="77777777" w:rsidR="00796039" w:rsidRDefault="00796039" w:rsidP="00796039">
            <w:pPr>
              <w:pStyle w:val="TableTextBullet"/>
            </w:pPr>
            <w:r>
              <w:t>Displays the updated login message.</w:t>
            </w:r>
          </w:p>
          <w:p w14:paraId="11172A82" w14:textId="77777777" w:rsidR="00796039" w:rsidRDefault="00796039" w:rsidP="00796039">
            <w:pPr>
              <w:pStyle w:val="TableText"/>
            </w:pPr>
          </w:p>
          <w:p w14:paraId="40C68AA1" w14:textId="77777777" w:rsidR="00796039" w:rsidRDefault="00057948" w:rsidP="00796039">
            <w:pPr>
              <w:pStyle w:val="TableText"/>
              <w:rPr>
                <w:b/>
              </w:rPr>
            </w:pPr>
            <w:r>
              <w:rPr>
                <w:b/>
                <w:noProof/>
              </w:rPr>
              <mc:AlternateContent>
                <mc:Choice Requires="wps">
                  <w:drawing>
                    <wp:anchor distT="0" distB="0" distL="114300" distR="114300" simplePos="0" relativeHeight="251697152" behindDoc="0" locked="0" layoutInCell="1" allowOverlap="1" wp14:anchorId="28828836" wp14:editId="08DE53B3">
                      <wp:simplePos x="0" y="0"/>
                      <wp:positionH relativeFrom="column">
                        <wp:posOffset>457200</wp:posOffset>
                      </wp:positionH>
                      <wp:positionV relativeFrom="paragraph">
                        <wp:posOffset>65405</wp:posOffset>
                      </wp:positionV>
                      <wp:extent cx="3200400" cy="0"/>
                      <wp:effectExtent l="9525" t="17780" r="9525" b="10795"/>
                      <wp:wrapNone/>
                      <wp:docPr id="562" name="Line 1022" descr="P1963C6T1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11B0F" id="Line 1022" o:spid="_x0000_s1026" alt="&quot;&quot;"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A0IwpTEAQAAbwMAAA4AAAAAAAAAAAAAAAAA&#10;LgIAAGRycy9lMm9Eb2MueG1sUEsBAi0AFAAGAAgAAAAhABdPMBLbAAAACAEAAA8AAAAAAAAAAAAA&#10;AAAAHgQAAGRycy9kb3ducmV2LnhtbFBLBQYAAAAABAAEAPMAAAAmBQAAAAA=&#10;" strokeweight="1.5pt"/>
                  </w:pict>
                </mc:Fallback>
              </mc:AlternateContent>
            </w:r>
            <w:r w:rsidR="00796039">
              <w:rPr>
                <w:b/>
              </w:rPr>
              <w:t>NOTES</w:t>
            </w:r>
          </w:p>
          <w:p w14:paraId="1BC10E51" w14:textId="77777777" w:rsidR="00796039" w:rsidRDefault="00796039" w:rsidP="00796039">
            <w:pPr>
              <w:pStyle w:val="NotesText"/>
            </w:pPr>
          </w:p>
          <w:p w14:paraId="584F0C5F" w14:textId="77777777" w:rsidR="00796039" w:rsidRDefault="00796039" w:rsidP="00796039">
            <w:pPr>
              <w:pStyle w:val="NotesText"/>
            </w:pPr>
            <w:r>
              <w:t>VBECS does not display a blank login message.</w:t>
            </w:r>
          </w:p>
          <w:p w14:paraId="6B9A7545" w14:textId="77777777" w:rsidR="00796039" w:rsidRDefault="00796039" w:rsidP="00796039">
            <w:pPr>
              <w:pStyle w:val="NotesText"/>
            </w:pPr>
          </w:p>
          <w:p w14:paraId="1F91D353" w14:textId="77777777" w:rsidR="00796039" w:rsidRDefault="00796039" w:rsidP="00796039">
            <w:pPr>
              <w:pStyle w:val="NotesText"/>
            </w:pPr>
            <w:r>
              <w:t xml:space="preserve">The user may click </w:t>
            </w:r>
            <w:r>
              <w:rPr>
                <w:b/>
              </w:rPr>
              <w:t>Clear</w:t>
            </w:r>
            <w:r>
              <w:t xml:space="preserve"> to clear the message field and enter a new login message.</w:t>
            </w:r>
          </w:p>
        </w:tc>
      </w:tr>
      <w:tr w:rsidR="00796039" w14:paraId="055E6BE2" w14:textId="77777777">
        <w:tc>
          <w:tcPr>
            <w:tcW w:w="3240" w:type="dxa"/>
          </w:tcPr>
          <w:p w14:paraId="1258DF24" w14:textId="77777777" w:rsidR="00796039" w:rsidRDefault="00796039" w:rsidP="00796039">
            <w:pPr>
              <w:pStyle w:val="TableTextNumbers"/>
            </w:pPr>
            <w:r>
              <w:t xml:space="preserve">Click </w:t>
            </w:r>
            <w:r>
              <w:rPr>
                <w:b/>
              </w:rPr>
              <w:t>OK</w:t>
            </w:r>
            <w:r>
              <w:t xml:space="preserve"> to save.</w:t>
            </w:r>
          </w:p>
        </w:tc>
        <w:tc>
          <w:tcPr>
            <w:tcW w:w="6120" w:type="dxa"/>
          </w:tcPr>
          <w:p w14:paraId="76751974" w14:textId="77777777" w:rsidR="00796039" w:rsidRDefault="00796039" w:rsidP="00796039">
            <w:pPr>
              <w:pStyle w:val="TableTextBullet"/>
            </w:pPr>
            <w:r>
              <w:t>Saves the login message changes.</w:t>
            </w:r>
          </w:p>
        </w:tc>
      </w:tr>
      <w:tr w:rsidR="00796039" w14:paraId="1FBB3514" w14:textId="77777777">
        <w:tc>
          <w:tcPr>
            <w:tcW w:w="3240" w:type="dxa"/>
          </w:tcPr>
          <w:p w14:paraId="125D7095" w14:textId="77777777" w:rsidR="00796039" w:rsidRDefault="00796039" w:rsidP="00796039">
            <w:pPr>
              <w:pStyle w:val="TableTextNumbers"/>
            </w:pPr>
            <w:r>
              <w:t xml:space="preserve">Click </w:t>
            </w:r>
            <w:r>
              <w:rPr>
                <w:b/>
              </w:rPr>
              <w:t>Yes</w:t>
            </w:r>
            <w:r>
              <w:t xml:space="preserve"> to confirm the changes and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25B4AF70" w14:textId="77777777" w:rsidR="00796039" w:rsidRDefault="00796039" w:rsidP="00796039">
            <w:pPr>
              <w:pStyle w:val="NotesText"/>
            </w:pPr>
          </w:p>
        </w:tc>
      </w:tr>
    </w:tbl>
    <w:p w14:paraId="6BF00E7D" w14:textId="73EBFB28" w:rsidR="008A6E48" w:rsidRDefault="008A6E48" w:rsidP="008A6E48">
      <w:pPr>
        <w:pStyle w:val="Caption"/>
      </w:pPr>
      <w:bookmarkStart w:id="198" w:name="_Ref126470750"/>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52</w:t>
      </w:r>
      <w:r w:rsidR="004E20BD">
        <w:rPr>
          <w:noProof/>
        </w:rPr>
        <w:fldChar w:fldCharType="end"/>
      </w:r>
      <w:bookmarkEnd w:id="198"/>
      <w:r>
        <w:t>: Login Message Tab</w:t>
      </w:r>
    </w:p>
    <w:p w14:paraId="7368C386" w14:textId="77777777" w:rsidR="0066425F" w:rsidRDefault="00057948" w:rsidP="0066425F">
      <w:pPr>
        <w:pStyle w:val="BodyText"/>
      </w:pPr>
      <w:r>
        <w:rPr>
          <w:noProof/>
        </w:rPr>
        <w:drawing>
          <wp:inline distT="0" distB="0" distL="0" distR="0" wp14:anchorId="2EEF5702" wp14:editId="543D9FDD">
            <wp:extent cx="3204845" cy="3159125"/>
            <wp:effectExtent l="0" t="0" r="0" b="3175"/>
            <wp:docPr id="131" name="Picture 131" descr="P1976#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P1976#yIS1">
                      <a:extLst>
                        <a:ext uri="{C183D7F6-B498-43B3-948B-1728B52AA6E4}">
                          <adec:decorative xmlns:adec="http://schemas.microsoft.com/office/drawing/2017/decorative" val="1"/>
                        </a:ext>
                      </a:extLst>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204845" cy="3159125"/>
                    </a:xfrm>
                    <a:prstGeom prst="rect">
                      <a:avLst/>
                    </a:prstGeom>
                    <a:noFill/>
                    <a:ln>
                      <a:noFill/>
                    </a:ln>
                  </pic:spPr>
                </pic:pic>
              </a:graphicData>
            </a:graphic>
          </wp:inline>
        </w:drawing>
      </w:r>
      <w:r w:rsidR="008A6E48">
        <w:t xml:space="preserve"> </w:t>
      </w:r>
    </w:p>
    <w:p w14:paraId="1521DE19" w14:textId="77777777" w:rsidR="002A21AE" w:rsidRDefault="00AE1227" w:rsidP="00B937AA">
      <w:pPr>
        <w:pStyle w:val="Heading2"/>
      </w:pPr>
      <w:bookmarkStart w:id="199" w:name="_Toc63680387"/>
      <w:bookmarkEnd w:id="194"/>
      <w:r>
        <w:br w:type="page"/>
      </w:r>
      <w:bookmarkStart w:id="200" w:name="_Toc4588760"/>
      <w:r w:rsidR="002A21AE">
        <w:lastRenderedPageBreak/>
        <w:t>Local Facilities</w:t>
      </w:r>
      <w:bookmarkEnd w:id="199"/>
      <w:bookmarkEnd w:id="200"/>
      <w:r w:rsidR="002A21AE">
        <w:fldChar w:fldCharType="begin"/>
      </w:r>
      <w:r w:rsidR="002A21AE">
        <w:instrText xml:space="preserve"> XE </w:instrText>
      </w:r>
      <w:r w:rsidR="00FA7E65">
        <w:instrText>“</w:instrText>
      </w:r>
      <w:r w:rsidR="002A21AE">
        <w:instrText>Local Facilities</w:instrText>
      </w:r>
      <w:r w:rsidR="00FA7E65">
        <w:instrText>”</w:instrText>
      </w:r>
      <w:r w:rsidR="002A21AE">
        <w:instrText xml:space="preserve"> </w:instrText>
      </w:r>
      <w:r w:rsidR="002A21AE">
        <w:fldChar w:fldCharType="end"/>
      </w:r>
      <w:r w:rsidR="002A21AE">
        <w:t xml:space="preserve"> </w:t>
      </w:r>
      <w:r w:rsidR="002A21AE">
        <w:rPr>
          <w:vanish/>
        </w:rPr>
        <w:t>UC_06</w:t>
      </w:r>
    </w:p>
    <w:p w14:paraId="4F5226A5" w14:textId="77777777" w:rsidR="002A21AE" w:rsidRDefault="002A21AE" w:rsidP="00FA7E65">
      <w:pPr>
        <w:pStyle w:val="BodyText"/>
      </w:pPr>
      <w:bookmarkStart w:id="201" w:name="_Toc63680388"/>
      <w:r>
        <w:t>The user customizes collection facility information.</w:t>
      </w:r>
      <w:r w:rsidR="00DD635C">
        <w:t xml:space="preserve"> (A </w:t>
      </w:r>
      <w:r w:rsidR="00F06ADF">
        <w:t>“</w:t>
      </w:r>
      <w:r w:rsidR="00DD635C">
        <w:t>collection facility</w:t>
      </w:r>
      <w:r w:rsidR="00F06ADF">
        <w:t>”</w:t>
      </w:r>
      <w:r w:rsidR="00DD635C">
        <w:t xml:space="preserve"> </w:t>
      </w:r>
      <w:r w:rsidR="00F06ADF">
        <w:t>is not</w:t>
      </w:r>
      <w:r w:rsidR="00DD635C">
        <w:t xml:space="preserve"> a facility for blood collection</w:t>
      </w:r>
      <w:r w:rsidR="00F06ADF">
        <w:t>:</w:t>
      </w:r>
      <w:r w:rsidR="00DD635C">
        <w:t xml:space="preserve"> it is </w:t>
      </w:r>
      <w:r w:rsidR="00F06ADF">
        <w:t>for</w:t>
      </w:r>
      <w:r w:rsidR="00DD635C">
        <w:t xml:space="preserve"> blood distribution </w:t>
      </w:r>
      <w:r w:rsidR="00F06ADF">
        <w:t>only</w:t>
      </w:r>
      <w:r w:rsidR="00DD635C">
        <w:t>.)</w:t>
      </w:r>
    </w:p>
    <w:p w14:paraId="1DA15F4F" w14:textId="77777777" w:rsidR="002A21AE" w:rsidRDefault="002A21AE">
      <w:pPr>
        <w:pStyle w:val="Heading4"/>
      </w:pPr>
      <w:r>
        <w:t>Assumptions</w:t>
      </w:r>
    </w:p>
    <w:p w14:paraId="52D22B98" w14:textId="77777777" w:rsidR="002A21AE" w:rsidRDefault="002A21AE">
      <w:pPr>
        <w:pStyle w:val="ListBullet"/>
      </w:pPr>
      <w:r>
        <w:t>A table of known FDA-registered facilities accompanies VBECS.</w:t>
      </w:r>
    </w:p>
    <w:p w14:paraId="63DF5483" w14:textId="77777777" w:rsidR="002A21AE" w:rsidRDefault="002A21AE">
      <w:pPr>
        <w:pStyle w:val="Heading4"/>
      </w:pPr>
      <w:r>
        <w:t>Outcome</w:t>
      </w:r>
    </w:p>
    <w:p w14:paraId="09BA0DD2" w14:textId="77777777" w:rsidR="002A21AE" w:rsidRDefault="002A21AE">
      <w:pPr>
        <w:pStyle w:val="ListBullet"/>
      </w:pPr>
      <w:r>
        <w:t>The supplier is configured for a division.</w:t>
      </w:r>
    </w:p>
    <w:p w14:paraId="41B0D7CD" w14:textId="77777777" w:rsidR="002A21AE" w:rsidRDefault="002A21AE">
      <w:pPr>
        <w:pStyle w:val="Heading4"/>
      </w:pPr>
      <w:r>
        <w:t>Limitations and Restrictions</w:t>
      </w:r>
    </w:p>
    <w:p w14:paraId="3853BB40" w14:textId="77777777" w:rsidR="002A21AE" w:rsidRDefault="002A21AE">
      <w:pPr>
        <w:pStyle w:val="ListBullet"/>
      </w:pPr>
      <w:bookmarkStart w:id="202" w:name="OLE_LINK55"/>
      <w:bookmarkStart w:id="203" w:name="OLE_LINK56"/>
      <w:r>
        <w:t>A user may:</w:t>
      </w:r>
    </w:p>
    <w:p w14:paraId="7F434FAD" w14:textId="77777777" w:rsidR="002A21AE" w:rsidRDefault="002A21AE" w:rsidP="00D31AD8">
      <w:pPr>
        <w:pStyle w:val="ListBullet2"/>
      </w:pPr>
      <w:r>
        <w:t>Activate and edit collection facility records distributed with VBECS.</w:t>
      </w:r>
    </w:p>
    <w:p w14:paraId="5454A059" w14:textId="77777777" w:rsidR="002A21AE" w:rsidRDefault="002A21AE" w:rsidP="00D31AD8">
      <w:pPr>
        <w:pStyle w:val="ListBullet2"/>
      </w:pPr>
      <w:r>
        <w:t>Add and locally edit active collection facilities.</w:t>
      </w:r>
    </w:p>
    <w:p w14:paraId="4D9863F4" w14:textId="77777777" w:rsidR="002A21AE" w:rsidRDefault="002A21AE" w:rsidP="00D31AD8">
      <w:pPr>
        <w:pStyle w:val="ListBullet2"/>
      </w:pPr>
      <w:r>
        <w:t xml:space="preserve">Activate and/or deactivate local collection facilities. </w:t>
      </w:r>
    </w:p>
    <w:p w14:paraId="6A3F5783" w14:textId="77777777" w:rsidR="004B1F58" w:rsidRPr="00742F59" w:rsidRDefault="004B1F58" w:rsidP="00D31AD8">
      <w:pPr>
        <w:pStyle w:val="ListBullet2"/>
      </w:pPr>
      <w:r>
        <w:t>Edit a division name, which may result in a mismatch between VistA and VBECS division names.</w:t>
      </w:r>
      <w:r w:rsidR="00072131" w:rsidRPr="00524280">
        <w:rPr>
          <w:vanish/>
        </w:rPr>
        <w:t xml:space="preserve"> (DR 2,113)</w:t>
      </w:r>
    </w:p>
    <w:p w14:paraId="1B0D2E8F" w14:textId="77777777" w:rsidR="00742F59" w:rsidRPr="005705B4" w:rsidRDefault="00742F59" w:rsidP="00D31AD8">
      <w:pPr>
        <w:pStyle w:val="ListBullet2"/>
      </w:pPr>
      <w:r w:rsidRPr="005705B4">
        <w:t xml:space="preserve">The </w:t>
      </w:r>
      <w:r w:rsidR="004853C7" w:rsidRPr="005705B4">
        <w:t xml:space="preserve">Local Facility Address </w:t>
      </w:r>
      <w:r w:rsidRPr="005705B4">
        <w:t xml:space="preserve">maximum length </w:t>
      </w:r>
      <w:r w:rsidR="00467976" w:rsidRPr="005705B4">
        <w:t>is 45 characters</w:t>
      </w:r>
      <w:r w:rsidR="00AE19A0">
        <w:t xml:space="preserve"> including spaces </w:t>
      </w:r>
      <w:r w:rsidR="005705B4" w:rsidRPr="005705B4">
        <w:t xml:space="preserve">to allow the address to display </w:t>
      </w:r>
      <w:r w:rsidRPr="005705B4">
        <w:t>on VBECS repo</w:t>
      </w:r>
      <w:r w:rsidR="005705B4">
        <w:t>rts. The third line of the facility address is not displayed on VBECS reports</w:t>
      </w:r>
      <w:r w:rsidRPr="005705B4">
        <w:t xml:space="preserve">. </w:t>
      </w:r>
      <w:r w:rsidRPr="005705B4">
        <w:rPr>
          <w:vanish/>
        </w:rPr>
        <w:t>DR 4980</w:t>
      </w:r>
    </w:p>
    <w:bookmarkEnd w:id="202"/>
    <w:bookmarkEnd w:id="203"/>
    <w:p w14:paraId="63BFE1FD" w14:textId="77777777" w:rsidR="002A21AE" w:rsidRDefault="002A21AE">
      <w:pPr>
        <w:pStyle w:val="Heading4"/>
      </w:pPr>
      <w:r>
        <w:t>Additional Information</w:t>
      </w:r>
    </w:p>
    <w:p w14:paraId="534D9009" w14:textId="77777777" w:rsidR="00B62541" w:rsidRDefault="00B62541">
      <w:pPr>
        <w:pStyle w:val="ListBullet"/>
      </w:pPr>
      <w:r>
        <w:t xml:space="preserve">A facility must be </w:t>
      </w:r>
      <w:r w:rsidR="009D390D">
        <w:t>activated and have</w:t>
      </w:r>
      <w:r>
        <w:t xml:space="preserve"> at least one blood product defined to be a shipper.</w:t>
      </w:r>
    </w:p>
    <w:p w14:paraId="619B7D0A" w14:textId="77777777" w:rsidR="00F17965" w:rsidRPr="00F17965" w:rsidRDefault="00F17965">
      <w:pPr>
        <w:pStyle w:val="ListBullet"/>
      </w:pPr>
      <w:r>
        <w:t xml:space="preserve">A user may </w:t>
      </w:r>
      <w:r w:rsidR="00DD635C">
        <w:t xml:space="preserve">identify </w:t>
      </w:r>
      <w:r>
        <w:t>his</w:t>
      </w:r>
      <w:r w:rsidR="00706360">
        <w:t xml:space="preserve"> site as</w:t>
      </w:r>
      <w:r>
        <w:t xml:space="preserve"> a collection facility through this option.</w:t>
      </w:r>
    </w:p>
    <w:p w14:paraId="2518C552" w14:textId="77777777" w:rsidR="002A21AE" w:rsidRDefault="002A21AE">
      <w:pPr>
        <w:pStyle w:val="ListBullet"/>
      </w:pPr>
      <w:r>
        <w:rPr>
          <w:vanish/>
          <w:spacing w:val="0"/>
        </w:rPr>
        <w:t xml:space="preserve">BR_6.11 </w:t>
      </w:r>
      <w:r>
        <w:t xml:space="preserve">An ICCBBA </w:t>
      </w:r>
      <w:r w:rsidR="00B85812">
        <w:t>Registration Number</w:t>
      </w:r>
      <w:r>
        <w:t xml:space="preserve"> has one letter, indicating the country of origin (“W” for the U.S.) and four numbers. The field is five characters long.</w:t>
      </w:r>
    </w:p>
    <w:p w14:paraId="4256A8B7" w14:textId="77777777" w:rsidR="00E507A1" w:rsidRPr="00E507A1" w:rsidRDefault="00E507A1">
      <w:pPr>
        <w:pStyle w:val="ListBullet"/>
      </w:pPr>
      <w:bookmarkStart w:id="204" w:name="OLE_LINK3"/>
      <w:bookmarkStart w:id="205" w:name="OLE_LINK4"/>
      <w:r>
        <w:rPr>
          <w:spacing w:val="0"/>
        </w:rPr>
        <w:t>The user may change facility addresses that appear on reports.</w:t>
      </w:r>
    </w:p>
    <w:bookmarkEnd w:id="204"/>
    <w:bookmarkEnd w:id="205"/>
    <w:p w14:paraId="11934ABA" w14:textId="77777777" w:rsidR="002A21AE" w:rsidRDefault="002A21AE">
      <w:pPr>
        <w:pStyle w:val="Heading4"/>
      </w:pPr>
      <w:r>
        <w:t xml:space="preserve">User Roles with Access to This Option </w:t>
      </w:r>
    </w:p>
    <w:p w14:paraId="5AA677AB" w14:textId="77777777" w:rsidR="00215931" w:rsidRDefault="00215931" w:rsidP="00215931">
      <w:pPr>
        <w:pStyle w:val="Roles"/>
      </w:pPr>
      <w:r>
        <w:rPr>
          <w:snapToGrid w:val="0"/>
        </w:rPr>
        <w:t xml:space="preserve">All users </w:t>
      </w:r>
    </w:p>
    <w:p w14:paraId="3F49BA81" w14:textId="77777777" w:rsidR="002A21AE" w:rsidRDefault="002A21AE">
      <w:pPr>
        <w:pStyle w:val="Heading4"/>
      </w:pPr>
      <w:r>
        <w:t>Local Facilities</w:t>
      </w:r>
    </w:p>
    <w:p w14:paraId="0A84C979" w14:textId="77777777" w:rsidR="002A21AE" w:rsidRDefault="002A21AE" w:rsidP="00FA7E65">
      <w:pPr>
        <w:pStyle w:val="BodyText"/>
      </w:pPr>
      <w:r>
        <w:t xml:space="preserve">This option allows a user to activate an entry from the national collection facility table, thereby adding it to a division’s local collection facility table, and add or update the facility’s information (except for the FDA </w:t>
      </w:r>
      <w:r w:rsidR="00B85812">
        <w:t>Registration Number</w:t>
      </w:r>
      <w:r>
        <w:t xml:space="preserve">). A user may select an active collection facility to associate blood products (which makes the facility a shipper). </w:t>
      </w:r>
    </w:p>
    <w:p w14:paraId="2331DBEF" w14:textId="77777777" w:rsidR="002A21AE" w:rsidRDefault="002A21AE" w:rsidP="00FA7E65">
      <w:pPr>
        <w:pStyle w:val="BodyText"/>
      </w:pPr>
      <w:r>
        <w:t>This option also allows a user to create a collection facility.</w:t>
      </w:r>
    </w:p>
    <w:p w14:paraId="4ACF2369" w14:textId="77777777" w:rsidR="00D210F0" w:rsidRDefault="00D210F0" w:rsidP="00D210F0">
      <w:pPr>
        <w:pStyle w:val="Caution"/>
      </w:pPr>
      <w:r>
        <w:t>Verify that site information entered during installation is correct prior to adding local facilities.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CDB1FB3" w14:textId="77777777">
        <w:trPr>
          <w:tblHeader/>
        </w:trPr>
        <w:tc>
          <w:tcPr>
            <w:tcW w:w="3240" w:type="dxa"/>
            <w:shd w:val="pct30" w:color="auto" w:fill="FFFFFF"/>
            <w:vAlign w:val="bottom"/>
          </w:tcPr>
          <w:p w14:paraId="078E46D8" w14:textId="77777777" w:rsidR="002A21AE" w:rsidRDefault="002A21AE">
            <w:pPr>
              <w:pStyle w:val="TableText"/>
              <w:rPr>
                <w:b/>
              </w:rPr>
            </w:pPr>
            <w:r>
              <w:rPr>
                <w:b/>
              </w:rPr>
              <w:t>User Action</w:t>
            </w:r>
          </w:p>
        </w:tc>
        <w:tc>
          <w:tcPr>
            <w:tcW w:w="6120" w:type="dxa"/>
            <w:shd w:val="pct30" w:color="auto" w:fill="FFFFFF"/>
            <w:vAlign w:val="bottom"/>
          </w:tcPr>
          <w:p w14:paraId="78407BD2" w14:textId="77777777" w:rsidR="002A21AE" w:rsidRDefault="002A21AE">
            <w:pPr>
              <w:pStyle w:val="TableText"/>
              <w:rPr>
                <w:b/>
              </w:rPr>
            </w:pPr>
            <w:r>
              <w:rPr>
                <w:b/>
              </w:rPr>
              <w:t>VBECS</w:t>
            </w:r>
          </w:p>
        </w:tc>
      </w:tr>
      <w:tr w:rsidR="002A21AE" w14:paraId="02D3ACC5" w14:textId="77777777">
        <w:tc>
          <w:tcPr>
            <w:tcW w:w="3240" w:type="dxa"/>
            <w:tcBorders>
              <w:top w:val="single" w:sz="4" w:space="0" w:color="auto"/>
              <w:left w:val="single" w:sz="4" w:space="0" w:color="auto"/>
              <w:bottom w:val="single" w:sz="4" w:space="0" w:color="auto"/>
              <w:right w:val="single" w:sz="4" w:space="0" w:color="auto"/>
            </w:tcBorders>
          </w:tcPr>
          <w:p w14:paraId="5D5BEBF8" w14:textId="77777777" w:rsidR="002A21AE" w:rsidRDefault="002A21AE">
            <w:pPr>
              <w:pStyle w:val="TableTextNumbers"/>
            </w:pPr>
            <w:r>
              <w:t xml:space="preserve">Select </w:t>
            </w:r>
            <w:r>
              <w:rPr>
                <w:b/>
              </w:rPr>
              <w:t>Tools</w:t>
            </w:r>
            <w:r>
              <w:t xml:space="preserve"> from the main menu.</w:t>
            </w:r>
          </w:p>
          <w:p w14:paraId="2A78700C" w14:textId="77777777" w:rsidR="002A21AE" w:rsidRDefault="002A21AE">
            <w:pPr>
              <w:pStyle w:val="TableTextNumbersContinued"/>
              <w:rPr>
                <w:b/>
                <w:bCs/>
              </w:rPr>
            </w:pPr>
          </w:p>
          <w:p w14:paraId="696F45DD" w14:textId="77777777" w:rsidR="002A21AE" w:rsidRDefault="002A21AE">
            <w:pPr>
              <w:pStyle w:val="TableTextNumbersContinued"/>
            </w:pPr>
            <w:r>
              <w:t xml:space="preserve">Select </w:t>
            </w:r>
            <w:r>
              <w:rPr>
                <w:b/>
              </w:rPr>
              <w:t>Local Facilities</w:t>
            </w:r>
            <w:r>
              <w:t>.</w:t>
            </w:r>
          </w:p>
        </w:tc>
        <w:tc>
          <w:tcPr>
            <w:tcW w:w="6120" w:type="dxa"/>
            <w:tcBorders>
              <w:top w:val="single" w:sz="4" w:space="0" w:color="auto"/>
              <w:left w:val="single" w:sz="4" w:space="0" w:color="auto"/>
              <w:bottom w:val="single" w:sz="4" w:space="0" w:color="auto"/>
              <w:right w:val="single" w:sz="4" w:space="0" w:color="auto"/>
            </w:tcBorders>
          </w:tcPr>
          <w:p w14:paraId="6CD81064" w14:textId="77777777" w:rsidR="002A21AE" w:rsidRDefault="002A21AE">
            <w:pPr>
              <w:pStyle w:val="TableTextBullet"/>
            </w:pPr>
            <w:r>
              <w:t>Displays options for processing administrative functions.</w:t>
            </w:r>
          </w:p>
          <w:p w14:paraId="37F9B5C1" w14:textId="77777777" w:rsidR="002A21AE" w:rsidRDefault="002A21AE">
            <w:pPr>
              <w:pStyle w:val="TableTextBullet"/>
            </w:pPr>
            <w:r>
              <w:t>Displays fields for entering facility information.</w:t>
            </w:r>
          </w:p>
          <w:p w14:paraId="01BE7679" w14:textId="77777777" w:rsidR="002A21AE" w:rsidRDefault="002A21AE">
            <w:pPr>
              <w:pStyle w:val="TableTextBullet"/>
            </w:pPr>
            <w:r>
              <w:t>Allows a user to access an existing facility record.</w:t>
            </w:r>
          </w:p>
        </w:tc>
      </w:tr>
      <w:tr w:rsidR="002A21AE" w14:paraId="3EE5DD08" w14:textId="77777777">
        <w:tc>
          <w:tcPr>
            <w:tcW w:w="3240" w:type="dxa"/>
          </w:tcPr>
          <w:p w14:paraId="0D97A683" w14:textId="77777777" w:rsidR="002A21AE" w:rsidRDefault="002A21AE">
            <w:pPr>
              <w:pStyle w:val="TableTextNumbers"/>
            </w:pPr>
            <w:r>
              <w:lastRenderedPageBreak/>
              <w:t xml:space="preserve">To find a collection facility, scan or enter an FDA </w:t>
            </w:r>
            <w:r w:rsidR="00B85812">
              <w:t>Registration Number</w:t>
            </w:r>
            <w:r>
              <w:t xml:space="preserve"> in the FDA Reg. No. field and go to Step 4 (or click the </w:t>
            </w:r>
            <w:r w:rsidR="00A6373D">
              <w:rPr>
                <w:b/>
              </w:rPr>
              <w:t>find</w:t>
            </w:r>
            <w:r w:rsidRPr="00BF2E41">
              <w:t xml:space="preserve"> button</w:t>
            </w:r>
            <w:r>
              <w:t xml:space="preserve"> to open the Facility Search window).</w:t>
            </w:r>
          </w:p>
        </w:tc>
        <w:tc>
          <w:tcPr>
            <w:tcW w:w="6120" w:type="dxa"/>
          </w:tcPr>
          <w:p w14:paraId="0DDBA8C2" w14:textId="77777777" w:rsidR="002A21AE" w:rsidRDefault="002A21AE">
            <w:pPr>
              <w:pStyle w:val="TableTextBullet"/>
            </w:pPr>
            <w:r>
              <w:t>Displays the collection facilities that match the search criteria.</w:t>
            </w:r>
          </w:p>
        </w:tc>
      </w:tr>
      <w:tr w:rsidR="002A21AE" w14:paraId="1F7E922B" w14:textId="77777777">
        <w:tc>
          <w:tcPr>
            <w:tcW w:w="3240" w:type="dxa"/>
          </w:tcPr>
          <w:p w14:paraId="135D594A" w14:textId="77777777" w:rsidR="002A21AE" w:rsidRDefault="002A21AE">
            <w:pPr>
              <w:pStyle w:val="TableTextNumbers"/>
            </w:pPr>
            <w:r>
              <w:t xml:space="preserve">In the Facility Search window, enter a full or partial facility name in the Partial Facility Name field (or enter a full or partial FDA </w:t>
            </w:r>
            <w:r w:rsidR="00B85812">
              <w:t>Registration Number</w:t>
            </w:r>
            <w:r>
              <w:t xml:space="preserve"> in the FDA Reg. No. field), and click </w:t>
            </w:r>
            <w:r w:rsidR="00173187" w:rsidRPr="00173187">
              <w:rPr>
                <w:b/>
              </w:rPr>
              <w:t>Search</w:t>
            </w:r>
            <w:r>
              <w:t xml:space="preserve"> to view a list of active facilities.</w:t>
            </w:r>
          </w:p>
          <w:p w14:paraId="7F3723ED" w14:textId="77777777" w:rsidR="002A21AE" w:rsidRDefault="002A21AE">
            <w:pPr>
              <w:pStyle w:val="TableTextNumbersContinued"/>
              <w:rPr>
                <w:b/>
                <w:bCs/>
              </w:rPr>
            </w:pPr>
          </w:p>
          <w:p w14:paraId="016A3636" w14:textId="77777777" w:rsidR="002A21AE" w:rsidRDefault="002A21AE">
            <w:pPr>
              <w:pStyle w:val="TableTextNumbersContinued"/>
            </w:pPr>
            <w:r>
              <w:t xml:space="preserve">Select a facility name from the list and click </w:t>
            </w:r>
            <w:r>
              <w:rPr>
                <w:b/>
              </w:rPr>
              <w:t>OK</w:t>
            </w:r>
            <w:r>
              <w:t>.</w:t>
            </w:r>
          </w:p>
        </w:tc>
        <w:tc>
          <w:tcPr>
            <w:tcW w:w="6120" w:type="dxa"/>
          </w:tcPr>
          <w:p w14:paraId="62AE5383" w14:textId="77777777" w:rsidR="002A21AE" w:rsidRDefault="002A21AE">
            <w:pPr>
              <w:pStyle w:val="TableTextBullet"/>
            </w:pPr>
            <w:r>
              <w:t xml:space="preserve">Displays properties of the selected collection facility. </w:t>
            </w:r>
          </w:p>
          <w:p w14:paraId="54C6B4A3" w14:textId="77777777" w:rsidR="002A21AE" w:rsidRDefault="002A21AE">
            <w:pPr>
              <w:pStyle w:val="TableText"/>
            </w:pPr>
          </w:p>
          <w:p w14:paraId="660CB3AB" w14:textId="77777777" w:rsidR="002A21AE" w:rsidRDefault="00057948">
            <w:pPr>
              <w:pStyle w:val="TableText"/>
              <w:rPr>
                <w:b/>
                <w:bCs/>
                <w:szCs w:val="18"/>
              </w:rPr>
            </w:pPr>
            <w:r>
              <w:rPr>
                <w:b/>
                <w:bCs/>
                <w:noProof/>
              </w:rPr>
              <mc:AlternateContent>
                <mc:Choice Requires="wps">
                  <w:drawing>
                    <wp:anchor distT="0" distB="0" distL="114300" distR="114300" simplePos="0" relativeHeight="251582464" behindDoc="0" locked="0" layoutInCell="1" allowOverlap="1" wp14:anchorId="5920E46F" wp14:editId="5B2AD712">
                      <wp:simplePos x="0" y="0"/>
                      <wp:positionH relativeFrom="column">
                        <wp:posOffset>457200</wp:posOffset>
                      </wp:positionH>
                      <wp:positionV relativeFrom="paragraph">
                        <wp:posOffset>65405</wp:posOffset>
                      </wp:positionV>
                      <wp:extent cx="3200400" cy="0"/>
                      <wp:effectExtent l="9525" t="17780" r="9525" b="10795"/>
                      <wp:wrapNone/>
                      <wp:docPr id="561" name="Line 28" descr="P2019C8T2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56716" id="Line 28" o:spid="_x0000_s1026" alt="&quot;&quot;"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COweTbwgEAAG0DAAAOAAAAAAAAAAAAAAAAAC4C&#10;AABkcnMvZTJvRG9jLnhtbFBLAQItABQABgAIAAAAIQAXTzAS2wAAAAgBAAAPAAAAAAAAAAAAAAAA&#10;ABwEAABkcnMvZG93bnJldi54bWxQSwUGAAAAAAQABADzAAAAJAUAAAAA&#10;" strokeweight="1.5pt"/>
                  </w:pict>
                </mc:Fallback>
              </mc:AlternateContent>
            </w:r>
            <w:r w:rsidR="002A21AE">
              <w:rPr>
                <w:b/>
                <w:bCs/>
                <w:szCs w:val="18"/>
              </w:rPr>
              <w:t>NOTES</w:t>
            </w:r>
          </w:p>
          <w:p w14:paraId="10559AE3" w14:textId="77777777" w:rsidR="002A21AE" w:rsidRDefault="002A21AE">
            <w:pPr>
              <w:pStyle w:val="NotesText"/>
            </w:pPr>
          </w:p>
          <w:p w14:paraId="3F23C24B" w14:textId="77777777" w:rsidR="002A21AE" w:rsidRDefault="002A21AE">
            <w:pPr>
              <w:pStyle w:val="NotesText"/>
            </w:pPr>
            <w:r>
              <w:t>The collection facility is tied to the user’s current login division.</w:t>
            </w:r>
          </w:p>
          <w:p w14:paraId="59E18A31" w14:textId="77777777" w:rsidR="002A21AE" w:rsidRDefault="002A21AE">
            <w:pPr>
              <w:pStyle w:val="NotesText"/>
            </w:pPr>
          </w:p>
          <w:p w14:paraId="3C7F5690" w14:textId="77777777" w:rsidR="002A21AE" w:rsidRDefault="002A21AE">
            <w:pPr>
              <w:pStyle w:val="NotesText"/>
            </w:pPr>
            <w:r w:rsidRPr="009660C3">
              <w:rPr>
                <w:vanish/>
                <w:szCs w:val="18"/>
              </w:rPr>
              <w:t xml:space="preserve">BR_6.05 </w:t>
            </w:r>
            <w:r>
              <w:t>A user may activate a facility. By default, VBECS marks active facilities as collection facilities.</w:t>
            </w:r>
          </w:p>
          <w:p w14:paraId="7C28A734" w14:textId="77777777" w:rsidR="002A21AE" w:rsidRDefault="002A21AE">
            <w:pPr>
              <w:pStyle w:val="NotesText"/>
            </w:pPr>
          </w:p>
          <w:p w14:paraId="3EA36E60" w14:textId="77777777" w:rsidR="002A21AE" w:rsidRDefault="00700CE1">
            <w:pPr>
              <w:pStyle w:val="Notes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The Enhanced Supervisor may</w:t>
            </w:r>
            <w:r w:rsidR="002A21AE">
              <w:t xml:space="preserve"> enter search criteria that do not exist in the national or the local collection facility tables to add a collection facility to the division’s local list. By default, VBECS marks such entries as a collection facility.</w:t>
            </w:r>
          </w:p>
          <w:p w14:paraId="1ECE35B7" w14:textId="77777777" w:rsidR="002A21AE" w:rsidRDefault="002A21AE">
            <w:pPr>
              <w:pStyle w:val="NotesText"/>
            </w:pPr>
          </w:p>
          <w:p w14:paraId="67EF62FA" w14:textId="77777777" w:rsidR="002A21AE" w:rsidRDefault="002A21AE">
            <w:pPr>
              <w:pStyle w:val="NotesText"/>
            </w:pPr>
            <w:r w:rsidRPr="009660C3">
              <w:rPr>
                <w:vanish/>
                <w:szCs w:val="18"/>
              </w:rPr>
              <w:t xml:space="preserve">BR_6.06 </w:t>
            </w:r>
            <w:r>
              <w:t>When a user clears the Active Facility check box for a collection facility in a division, warns the user, and asks whether he wishes to inactivate this facility and continue.</w:t>
            </w:r>
          </w:p>
          <w:p w14:paraId="65B5052F" w14:textId="77777777" w:rsidR="002A21AE" w:rsidRDefault="002A21AE">
            <w:pPr>
              <w:pStyle w:val="NotesText"/>
            </w:pPr>
          </w:p>
          <w:p w14:paraId="6C94B948" w14:textId="77777777" w:rsidR="002A21AE" w:rsidRDefault="002A21AE">
            <w:pPr>
              <w:pStyle w:val="NotesText"/>
            </w:pPr>
            <w:r>
              <w:rPr>
                <w:b/>
              </w:rPr>
              <w:t>Yes</w:t>
            </w:r>
            <w:r>
              <w:t xml:space="preserve"> allows the action to continue. </w:t>
            </w:r>
            <w:r>
              <w:rPr>
                <w:b/>
              </w:rPr>
              <w:t>No</w:t>
            </w:r>
            <w:r>
              <w:t xml:space="preserve"> leaves the collection facility marked as active for the division.</w:t>
            </w:r>
          </w:p>
          <w:p w14:paraId="2094FDDD" w14:textId="77777777" w:rsidR="002A21AE" w:rsidRDefault="002A21AE">
            <w:pPr>
              <w:pStyle w:val="NotesText"/>
            </w:pPr>
          </w:p>
          <w:p w14:paraId="0EDBC0C2" w14:textId="08268203" w:rsidR="00143160" w:rsidRDefault="00143160">
            <w:pPr>
              <w:pStyle w:val="NotesText"/>
            </w:pPr>
            <w:r w:rsidRPr="00143160">
              <w:rPr>
                <w:vanish/>
              </w:rPr>
              <w:t xml:space="preserve">BR_8.11 </w:t>
            </w:r>
            <w:r>
              <w:t>In order to inactivate a facility that has been previously configured as a product shipper, you must first inactivate all product shipper entries for that facility. To deactivate prod</w:t>
            </w:r>
            <w:r w:rsidR="005375AC">
              <w:t xml:space="preserve">uct shippers, refer to the </w:t>
            </w:r>
            <w:r w:rsidR="00761165">
              <w:fldChar w:fldCharType="begin" w:fldLock="1"/>
            </w:r>
            <w:r w:rsidR="00761165">
              <w:instrText xml:space="preserve"> REF _Ref1732323 \h </w:instrText>
            </w:r>
            <w:r w:rsidR="00761165">
              <w:fldChar w:fldCharType="separate"/>
            </w:r>
            <w:r w:rsidR="00AB304C">
              <w:t>Blood Products</w:t>
            </w:r>
            <w:r w:rsidR="00761165">
              <w:fldChar w:fldCharType="end"/>
            </w:r>
            <w:r w:rsidR="005375AC">
              <w:t xml:space="preserve"> section</w:t>
            </w:r>
            <w:r>
              <w:t>. Contact the Service Desk if you would like a list of products linked to the facility you want to inactivate.</w:t>
            </w:r>
          </w:p>
        </w:tc>
      </w:tr>
      <w:tr w:rsidR="002A21AE" w14:paraId="3986EDCF" w14:textId="77777777">
        <w:tc>
          <w:tcPr>
            <w:tcW w:w="3240" w:type="dxa"/>
          </w:tcPr>
          <w:p w14:paraId="55BA3E3B" w14:textId="6F10CDE6" w:rsidR="002A21AE" w:rsidRDefault="002A21AE">
            <w:pPr>
              <w:pStyle w:val="TableTextNumbers"/>
            </w:pPr>
            <w:r>
              <w:t xml:space="preserve">Edit or enter information in the collection facility information fields (for example, address, telephone number, whether the facility is a testing and/or collection facility) </w:t>
            </w:r>
            <w:r w:rsidR="00363757">
              <w:t>(</w:t>
            </w:r>
            <w:r w:rsidR="00363757">
              <w:fldChar w:fldCharType="begin" w:fldLock="1"/>
            </w:r>
            <w:r w:rsidR="00363757">
              <w:instrText xml:space="preserve"> REF _Ref126471029 \h </w:instrText>
            </w:r>
            <w:r w:rsidR="00363757">
              <w:fldChar w:fldCharType="separate"/>
            </w:r>
            <w:r w:rsidR="00AB304C">
              <w:t xml:space="preserve">Figure </w:t>
            </w:r>
            <w:r w:rsidR="00AB304C">
              <w:rPr>
                <w:noProof/>
              </w:rPr>
              <w:t>53</w:t>
            </w:r>
            <w:r w:rsidR="00363757">
              <w:fldChar w:fldCharType="end"/>
            </w:r>
            <w:r w:rsidR="00363757">
              <w:t xml:space="preserve">) </w:t>
            </w:r>
            <w:r>
              <w:t xml:space="preserve">and click </w:t>
            </w:r>
            <w:r>
              <w:rPr>
                <w:b/>
              </w:rPr>
              <w:t>OK</w:t>
            </w:r>
            <w:r>
              <w:t xml:space="preserve"> to save the updated information.</w:t>
            </w:r>
          </w:p>
        </w:tc>
        <w:tc>
          <w:tcPr>
            <w:tcW w:w="6120" w:type="dxa"/>
          </w:tcPr>
          <w:p w14:paraId="64F249A1" w14:textId="77777777" w:rsidR="002A21AE" w:rsidRDefault="002A21AE">
            <w:pPr>
              <w:pStyle w:val="TableTextBullet"/>
            </w:pPr>
            <w:r>
              <w:t xml:space="preserve">Displays entries for review and acceptance. </w:t>
            </w:r>
          </w:p>
          <w:p w14:paraId="3DFF8A6B" w14:textId="77777777" w:rsidR="002A21AE" w:rsidRDefault="002A21AE">
            <w:pPr>
              <w:pStyle w:val="TableTextBullet"/>
            </w:pPr>
            <w:r>
              <w:t>Prompts to save.</w:t>
            </w:r>
          </w:p>
          <w:p w14:paraId="0F6DF80D" w14:textId="77777777" w:rsidR="002A21AE" w:rsidRDefault="002A21AE">
            <w:pPr>
              <w:pStyle w:val="TableText"/>
            </w:pPr>
          </w:p>
          <w:p w14:paraId="08D1C1A6" w14:textId="77777777" w:rsidR="002A21AE" w:rsidRDefault="00057948">
            <w:pPr>
              <w:pStyle w:val="TableText"/>
              <w:rPr>
                <w:b/>
                <w:bCs/>
                <w:szCs w:val="18"/>
              </w:rPr>
            </w:pPr>
            <w:r>
              <w:rPr>
                <w:b/>
                <w:bCs/>
                <w:noProof/>
              </w:rPr>
              <mc:AlternateContent>
                <mc:Choice Requires="wps">
                  <w:drawing>
                    <wp:anchor distT="0" distB="0" distL="114300" distR="114300" simplePos="0" relativeHeight="251583488" behindDoc="0" locked="0" layoutInCell="1" allowOverlap="1" wp14:anchorId="33CE3323" wp14:editId="1589BC10">
                      <wp:simplePos x="0" y="0"/>
                      <wp:positionH relativeFrom="column">
                        <wp:posOffset>457200</wp:posOffset>
                      </wp:positionH>
                      <wp:positionV relativeFrom="paragraph">
                        <wp:posOffset>65405</wp:posOffset>
                      </wp:positionV>
                      <wp:extent cx="3200400" cy="0"/>
                      <wp:effectExtent l="9525" t="17780" r="9525" b="10795"/>
                      <wp:wrapNone/>
                      <wp:docPr id="560" name="Line 29" descr="P2037C10T2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F175F" id="Line 29" o:spid="_x0000_s1026" alt="&quot;&quot;"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C/86mWwgEAAG0DAAAOAAAAAAAAAAAAAAAAAC4C&#10;AABkcnMvZTJvRG9jLnhtbFBLAQItABQABgAIAAAAIQAXTzAS2wAAAAgBAAAPAAAAAAAAAAAAAAAA&#10;ABwEAABkcnMvZG93bnJldi54bWxQSwUGAAAAAAQABADzAAAAJAUAAAAA&#10;" strokeweight="1.5pt"/>
                  </w:pict>
                </mc:Fallback>
              </mc:AlternateContent>
            </w:r>
            <w:r w:rsidR="002A21AE">
              <w:rPr>
                <w:b/>
                <w:bCs/>
                <w:szCs w:val="18"/>
              </w:rPr>
              <w:t>NOTES</w:t>
            </w:r>
          </w:p>
          <w:p w14:paraId="71FEB63F" w14:textId="77777777" w:rsidR="002A21AE" w:rsidRDefault="002A21AE">
            <w:pPr>
              <w:pStyle w:val="NotesText"/>
            </w:pPr>
          </w:p>
          <w:p w14:paraId="714D8BAF" w14:textId="77777777" w:rsidR="002A21AE" w:rsidRDefault="002A21AE" w:rsidP="004E5EEE">
            <w:pPr>
              <w:pStyle w:val="NotesText"/>
            </w:pPr>
            <w:r>
              <w:rPr>
                <w:b/>
              </w:rPr>
              <w:t>OK</w:t>
            </w:r>
            <w:r>
              <w:t xml:space="preserve"> remains disabled until the user edits or enters information or simply clicks in a field or check box.</w:t>
            </w:r>
          </w:p>
          <w:p w14:paraId="33F18C98" w14:textId="77777777" w:rsidR="00962AB7" w:rsidRDefault="00962AB7" w:rsidP="004E5EEE">
            <w:pPr>
              <w:pStyle w:val="NotesText"/>
            </w:pPr>
          </w:p>
          <w:p w14:paraId="0FE0AE2F" w14:textId="0A8E3DF9" w:rsidR="00962AB7" w:rsidRDefault="005E0BEC" w:rsidP="004E5EEE">
            <w:pPr>
              <w:pStyle w:val="NotesText"/>
            </w:pPr>
            <w:r w:rsidRPr="005E0BEC">
              <w:rPr>
                <w:vanish/>
              </w:rPr>
              <w:t xml:space="preserve">BR_6.07 </w:t>
            </w:r>
            <w:r w:rsidR="00962AB7">
              <w:t>The eye-readable prefix (when used) is always a 2-character numeric field.</w:t>
            </w:r>
          </w:p>
        </w:tc>
      </w:tr>
      <w:tr w:rsidR="002A21AE" w14:paraId="1BC092BD" w14:textId="77777777">
        <w:tc>
          <w:tcPr>
            <w:tcW w:w="3240" w:type="dxa"/>
          </w:tcPr>
          <w:p w14:paraId="085DE28A" w14:textId="77777777" w:rsidR="002A21AE" w:rsidRDefault="002A21AE">
            <w:pPr>
              <w:pStyle w:val="TableTextNumbers"/>
            </w:pPr>
            <w:r>
              <w:t xml:space="preserve">Click </w:t>
            </w:r>
            <w:r>
              <w:rPr>
                <w:b/>
              </w:rPr>
              <w:t>Yes</w:t>
            </w:r>
            <w:r>
              <w:t xml:space="preserve"> to confirm the save.</w:t>
            </w:r>
          </w:p>
        </w:tc>
        <w:tc>
          <w:tcPr>
            <w:tcW w:w="6120" w:type="dxa"/>
          </w:tcPr>
          <w:p w14:paraId="14C86E6D" w14:textId="77777777" w:rsidR="002A21AE" w:rsidRDefault="002A21AE">
            <w:pPr>
              <w:pStyle w:val="TableTextBullet"/>
            </w:pPr>
            <w:r>
              <w:t>Saves the active collection facility record and prompts to add or edit another facility.</w:t>
            </w:r>
          </w:p>
          <w:p w14:paraId="6840F81A" w14:textId="77777777" w:rsidR="002A21AE" w:rsidRDefault="002A21AE">
            <w:pPr>
              <w:pStyle w:val="TableText"/>
            </w:pPr>
          </w:p>
          <w:p w14:paraId="1F7AF99B" w14:textId="77777777" w:rsidR="002A21AE" w:rsidRDefault="00057948">
            <w:pPr>
              <w:pStyle w:val="TableText"/>
              <w:rPr>
                <w:b/>
                <w:bCs/>
                <w:szCs w:val="18"/>
              </w:rPr>
            </w:pPr>
            <w:r>
              <w:rPr>
                <w:b/>
                <w:bCs/>
                <w:noProof/>
              </w:rPr>
              <mc:AlternateContent>
                <mc:Choice Requires="wps">
                  <w:drawing>
                    <wp:anchor distT="0" distB="0" distL="114300" distR="114300" simplePos="0" relativeHeight="251584512" behindDoc="0" locked="0" layoutInCell="1" allowOverlap="1" wp14:anchorId="16A692B1" wp14:editId="60006237">
                      <wp:simplePos x="0" y="0"/>
                      <wp:positionH relativeFrom="column">
                        <wp:posOffset>457200</wp:posOffset>
                      </wp:positionH>
                      <wp:positionV relativeFrom="paragraph">
                        <wp:posOffset>65405</wp:posOffset>
                      </wp:positionV>
                      <wp:extent cx="3200400" cy="0"/>
                      <wp:effectExtent l="9525" t="17780" r="9525" b="10795"/>
                      <wp:wrapNone/>
                      <wp:docPr id="559" name="Line 30" descr="P2046C12T2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8B01E1" id="Line 30" o:spid="_x0000_s1026" alt="&quot;&quot;"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LKZw5sMBAABt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4BC661F6" w14:textId="77777777" w:rsidR="002A21AE" w:rsidRDefault="002A21AE">
            <w:pPr>
              <w:pStyle w:val="NotesText"/>
            </w:pPr>
          </w:p>
          <w:p w14:paraId="14A8EC1E" w14:textId="77777777" w:rsidR="00B62541" w:rsidRDefault="002A21AE">
            <w:pPr>
              <w:pStyle w:val="NotesText"/>
            </w:pPr>
            <w:r w:rsidRPr="009660C3">
              <w:rPr>
                <w:vanish/>
                <w:szCs w:val="18"/>
              </w:rPr>
              <w:t xml:space="preserve">BR_6.09 </w:t>
            </w:r>
            <w:r>
              <w:t>VBECS saves an active collection facility only when it is iden</w:t>
            </w:r>
            <w:r w:rsidR="00836F52">
              <w:t>tified as a collection facility</w:t>
            </w:r>
            <w:r>
              <w:t>.</w:t>
            </w:r>
          </w:p>
          <w:p w14:paraId="2F76F4E5" w14:textId="77777777" w:rsidR="00B62541" w:rsidRDefault="00B62541">
            <w:pPr>
              <w:pStyle w:val="NotesText"/>
            </w:pPr>
          </w:p>
          <w:p w14:paraId="019DBF4D" w14:textId="77777777" w:rsidR="002A21AE" w:rsidRDefault="00B62541" w:rsidP="00E90A01">
            <w:pPr>
              <w:pStyle w:val="NotesText"/>
            </w:pPr>
            <w:r>
              <w:t xml:space="preserve">A facility must be activated and </w:t>
            </w:r>
            <w:r w:rsidR="009D390D">
              <w:t xml:space="preserve">have </w:t>
            </w:r>
            <w:r>
              <w:t xml:space="preserve">at least one blood product defined to be a shipper. Refer to Blood Products section for </w:t>
            </w:r>
            <w:r w:rsidR="00E90A01">
              <w:t>additional</w:t>
            </w:r>
            <w:r>
              <w:t xml:space="preserve"> information.</w:t>
            </w:r>
          </w:p>
        </w:tc>
      </w:tr>
      <w:tr w:rsidR="002A21AE" w14:paraId="273F1CDA" w14:textId="77777777">
        <w:tc>
          <w:tcPr>
            <w:tcW w:w="3240" w:type="dxa"/>
          </w:tcPr>
          <w:p w14:paraId="45CA251E" w14:textId="77777777" w:rsidR="002A21AE" w:rsidRDefault="002A21AE">
            <w:pPr>
              <w:pStyle w:val="TableTextNumbers"/>
            </w:pPr>
            <w:r>
              <w:lastRenderedPageBreak/>
              <w:t>Repeat these steps to process another facility.</w:t>
            </w:r>
          </w:p>
        </w:tc>
        <w:tc>
          <w:tcPr>
            <w:tcW w:w="6120" w:type="dxa"/>
          </w:tcPr>
          <w:p w14:paraId="76FEC7AD" w14:textId="77777777" w:rsidR="002A21AE" w:rsidRDefault="002A21AE">
            <w:pPr>
              <w:pStyle w:val="TableText"/>
            </w:pPr>
          </w:p>
        </w:tc>
      </w:tr>
      <w:tr w:rsidR="002A21AE" w14:paraId="748CE95D" w14:textId="77777777">
        <w:tc>
          <w:tcPr>
            <w:tcW w:w="3240" w:type="dxa"/>
          </w:tcPr>
          <w:p w14:paraId="3B42AB57" w14:textId="77777777" w:rsidR="002A21AE" w:rsidRDefault="002A21AE">
            <w:pPr>
              <w:pStyle w:val="TableTextNumbers"/>
            </w:pPr>
            <w:r>
              <w:t xml:space="preserve">Click </w:t>
            </w:r>
            <w:r>
              <w:rPr>
                <w:b/>
              </w:rPr>
              <w:t>Cancel</w:t>
            </w:r>
            <w:r>
              <w:t xml:space="preserve"> in the Maintain Facility screen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07B401C6" w14:textId="77777777" w:rsidR="002A21AE" w:rsidRDefault="002A21AE">
            <w:pPr>
              <w:pStyle w:val="TableText"/>
            </w:pPr>
          </w:p>
          <w:p w14:paraId="1FB4C241" w14:textId="77777777" w:rsidR="002A21AE" w:rsidRDefault="002A21AE">
            <w:pPr>
              <w:pStyle w:val="TableText"/>
            </w:pPr>
          </w:p>
        </w:tc>
      </w:tr>
    </w:tbl>
    <w:p w14:paraId="5CE18600" w14:textId="77777777" w:rsidR="002A21AE" w:rsidRDefault="002A21AE" w:rsidP="00FA7E65">
      <w:pPr>
        <w:pStyle w:val="BodyText"/>
      </w:pPr>
    </w:p>
    <w:p w14:paraId="52DE9985" w14:textId="52F99C9F" w:rsidR="00363757" w:rsidRDefault="00363757" w:rsidP="00363757">
      <w:pPr>
        <w:pStyle w:val="Caption"/>
      </w:pPr>
      <w:bookmarkStart w:id="206" w:name="_Ref126471029"/>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53</w:t>
      </w:r>
      <w:r w:rsidR="004E20BD">
        <w:rPr>
          <w:noProof/>
        </w:rPr>
        <w:fldChar w:fldCharType="end"/>
      </w:r>
      <w:bookmarkEnd w:id="206"/>
      <w:r>
        <w:t>: Maintain Facility</w:t>
      </w:r>
    </w:p>
    <w:p w14:paraId="40B47642" w14:textId="77777777" w:rsidR="0066425F" w:rsidRDefault="00057948" w:rsidP="0066425F">
      <w:pPr>
        <w:pStyle w:val="BodyText"/>
      </w:pPr>
      <w:r>
        <w:rPr>
          <w:noProof/>
        </w:rPr>
        <w:drawing>
          <wp:inline distT="0" distB="0" distL="0" distR="0" wp14:anchorId="7BAC7860" wp14:editId="09C4BEDC">
            <wp:extent cx="4304030" cy="5135245"/>
            <wp:effectExtent l="0" t="0" r="1270" b="8255"/>
            <wp:docPr id="132" name="Picture 132" descr="P2061#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P2061#yIS1">
                      <a:extLst>
                        <a:ext uri="{C183D7F6-B498-43B3-948B-1728B52AA6E4}">
                          <adec:decorative xmlns:adec="http://schemas.microsoft.com/office/drawing/2017/decorative" val="1"/>
                        </a:ext>
                      </a:extLst>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304030" cy="5135245"/>
                    </a:xfrm>
                    <a:prstGeom prst="rect">
                      <a:avLst/>
                    </a:prstGeom>
                    <a:noFill/>
                    <a:ln>
                      <a:noFill/>
                    </a:ln>
                  </pic:spPr>
                </pic:pic>
              </a:graphicData>
            </a:graphic>
          </wp:inline>
        </w:drawing>
      </w:r>
      <w:r w:rsidR="00363757">
        <w:t xml:space="preserve"> </w:t>
      </w:r>
    </w:p>
    <w:p w14:paraId="66298DE0" w14:textId="77777777" w:rsidR="002A21AE" w:rsidRDefault="00AF089A">
      <w:pPr>
        <w:pStyle w:val="Heading3"/>
      </w:pPr>
      <w:r>
        <w:br w:type="page"/>
      </w:r>
      <w:bookmarkStart w:id="207" w:name="_Ref1732323"/>
      <w:bookmarkStart w:id="208" w:name="_Toc4588761"/>
      <w:r w:rsidR="002A21AE">
        <w:lastRenderedPageBreak/>
        <w:t>Blood Products</w:t>
      </w:r>
      <w:bookmarkEnd w:id="201"/>
      <w:bookmarkEnd w:id="207"/>
      <w:bookmarkEnd w:id="208"/>
      <w:r w:rsidR="002A21AE" w:rsidRPr="00AB67A6">
        <w:rPr>
          <w:rFonts w:ascii="Arial Bold" w:hAnsi="Arial Bold"/>
          <w:vanish/>
        </w:rPr>
        <w:fldChar w:fldCharType="begin"/>
      </w:r>
      <w:r w:rsidR="002A21AE" w:rsidRPr="00AB67A6">
        <w:rPr>
          <w:rFonts w:ascii="Arial Bold" w:hAnsi="Arial Bold"/>
          <w:vanish/>
        </w:rPr>
        <w:instrText xml:space="preserve"> XE </w:instrText>
      </w:r>
      <w:r w:rsidR="00FA7E65" w:rsidRPr="00AB67A6">
        <w:rPr>
          <w:rFonts w:ascii="Arial Bold" w:hAnsi="Arial Bold"/>
          <w:vanish/>
        </w:rPr>
        <w:instrText>“</w:instrText>
      </w:r>
      <w:r w:rsidR="002A21AE" w:rsidRPr="00AB67A6">
        <w:rPr>
          <w:rFonts w:ascii="Arial Bold" w:hAnsi="Arial Bold"/>
          <w:vanish/>
        </w:rPr>
        <w:instrText>Blood Products</w:instrText>
      </w:r>
      <w:r w:rsidR="00FA7E65" w:rsidRPr="00AB67A6">
        <w:rPr>
          <w:rFonts w:ascii="Arial Bold" w:hAnsi="Arial Bold"/>
          <w:vanish/>
        </w:rPr>
        <w:instrText>”</w:instrText>
      </w:r>
      <w:r w:rsidR="002A21AE" w:rsidRPr="00AB67A6">
        <w:rPr>
          <w:rFonts w:ascii="Arial Bold" w:hAnsi="Arial Bold"/>
          <w:vanish/>
        </w:rPr>
        <w:instrText xml:space="preserve"> </w:instrText>
      </w:r>
      <w:r w:rsidR="002A21AE" w:rsidRPr="00AB67A6">
        <w:rPr>
          <w:rFonts w:ascii="Arial Bold" w:hAnsi="Arial Bold"/>
          <w:vanish/>
        </w:rPr>
        <w:fldChar w:fldCharType="end"/>
      </w:r>
      <w:r w:rsidR="002A21AE" w:rsidRPr="00AB67A6">
        <w:rPr>
          <w:rFonts w:ascii="Arial Bold" w:hAnsi="Arial Bold"/>
          <w:vanish/>
        </w:rPr>
        <w:t xml:space="preserve"> UC_08</w:t>
      </w:r>
    </w:p>
    <w:p w14:paraId="6334CAA7" w14:textId="5507A684" w:rsidR="002A21AE" w:rsidRDefault="002A21AE" w:rsidP="00FA7E65">
      <w:pPr>
        <w:pStyle w:val="BodyText"/>
      </w:pPr>
      <w:r>
        <w:t xml:space="preserve">The user activates, deactivates, and edits a limited number of variables for an existing blood product site parameter. VBECS </w:t>
      </w:r>
      <w:r w:rsidR="003D3067">
        <w:t>provides.</w:t>
      </w:r>
      <w:r>
        <w:t xml:space="preserve"> an ISBT 128 Blood Product reference table to facilitate these and other actions.</w:t>
      </w:r>
    </w:p>
    <w:p w14:paraId="7B4F414E" w14:textId="77777777" w:rsidR="002A21AE" w:rsidRDefault="002A21AE">
      <w:pPr>
        <w:pStyle w:val="Heading4"/>
      </w:pPr>
      <w:r>
        <w:t>Assumptions</w:t>
      </w:r>
    </w:p>
    <w:p w14:paraId="2A8948F8" w14:textId="77777777" w:rsidR="002A21AE" w:rsidRDefault="002A21AE">
      <w:pPr>
        <w:pStyle w:val="ListBullet"/>
      </w:pPr>
      <w:r>
        <w:t xml:space="preserve">The connection to </w:t>
      </w:r>
      <w:r w:rsidR="00CA0045" w:rsidRPr="00CA0045">
        <w:t>VistA</w:t>
      </w:r>
      <w:r>
        <w:t xml:space="preserve"> is active.</w:t>
      </w:r>
    </w:p>
    <w:p w14:paraId="6FC120D7" w14:textId="77777777" w:rsidR="002A21AE" w:rsidRDefault="002A21AE">
      <w:pPr>
        <w:pStyle w:val="ListBullet"/>
      </w:pPr>
      <w:r>
        <w:t xml:space="preserve">The user understands </w:t>
      </w:r>
      <w:r w:rsidR="00735532">
        <w:t>Healthcare Common Procedure Coding System (</w:t>
      </w:r>
      <w:r>
        <w:t>HCPCS</w:t>
      </w:r>
      <w:r w:rsidR="00735532">
        <w:t>)</w:t>
      </w:r>
      <w:r>
        <w:t xml:space="preserve"> codes. (See Additional Information.)</w:t>
      </w:r>
    </w:p>
    <w:p w14:paraId="5F15D4A2" w14:textId="77777777" w:rsidR="002A21AE" w:rsidRDefault="002A21AE">
      <w:pPr>
        <w:pStyle w:val="ListBullet"/>
      </w:pPr>
      <w:r>
        <w:rPr>
          <w:vanish/>
          <w:spacing w:val="0"/>
        </w:rPr>
        <w:t xml:space="preserve">BR_8.03 </w:t>
      </w:r>
      <w:r>
        <w:t>A shipper must be marked as an active collection facility for a division before a user may select it as a valid shipper for a blood product for that division. This includes marking the division facility itself as an active collection facility to accommodate the creation of new blood products through modification.</w:t>
      </w:r>
    </w:p>
    <w:p w14:paraId="638B46DB" w14:textId="77777777" w:rsidR="002A21AE" w:rsidRDefault="002A21AE">
      <w:pPr>
        <w:pStyle w:val="Heading4"/>
      </w:pPr>
      <w:r>
        <w:t>Outcome</w:t>
      </w:r>
    </w:p>
    <w:p w14:paraId="712A30FF" w14:textId="77777777" w:rsidR="002A21AE" w:rsidRDefault="002A21AE">
      <w:pPr>
        <w:pStyle w:val="ListBullet"/>
      </w:pPr>
      <w:r>
        <w:t xml:space="preserve">Blood product codes are activated in the user’s division. </w:t>
      </w:r>
    </w:p>
    <w:p w14:paraId="7AA6A6FC" w14:textId="77777777" w:rsidR="002A21AE" w:rsidRDefault="002A21AE">
      <w:pPr>
        <w:pStyle w:val="ListBullet"/>
      </w:pPr>
      <w:r>
        <w:rPr>
          <w:vanish/>
          <w:spacing w:val="0"/>
        </w:rPr>
        <w:t xml:space="preserve">BR_8.07 </w:t>
      </w:r>
      <w:r>
        <w:t xml:space="preserve">Each product’s HCPCS code and its activation and deactivation dates are maintained in a permanent historical record. </w:t>
      </w:r>
    </w:p>
    <w:p w14:paraId="66611797" w14:textId="77777777" w:rsidR="002A21AE" w:rsidRDefault="002A21AE">
      <w:pPr>
        <w:pStyle w:val="Heading4"/>
      </w:pPr>
      <w:r>
        <w:t>Limitations and Restrictions</w:t>
      </w:r>
    </w:p>
    <w:p w14:paraId="35D2FA69" w14:textId="77777777" w:rsidR="002A21AE" w:rsidRDefault="002A21AE">
      <w:pPr>
        <w:pStyle w:val="ListBullet"/>
      </w:pPr>
      <w:r>
        <w:t xml:space="preserve">Blood product records distributed through VBECS are national standards. </w:t>
      </w:r>
    </w:p>
    <w:p w14:paraId="79DD5FF7" w14:textId="77777777" w:rsidR="002A21AE" w:rsidRDefault="002A21AE">
      <w:pPr>
        <w:pStyle w:val="ListBullet"/>
      </w:pPr>
      <w:r>
        <w:t>The division must have activated the valid target blood products for modification.</w:t>
      </w:r>
    </w:p>
    <w:p w14:paraId="3CB76E0F" w14:textId="77777777" w:rsidR="002A21AE" w:rsidRDefault="002A21AE" w:rsidP="00755193">
      <w:pPr>
        <w:pStyle w:val="Heading4"/>
        <w:tabs>
          <w:tab w:val="left" w:pos="3060"/>
        </w:tabs>
      </w:pPr>
      <w:r>
        <w:t>Additional Information</w:t>
      </w:r>
      <w:r w:rsidR="00755193">
        <w:tab/>
      </w:r>
    </w:p>
    <w:p w14:paraId="6405FB81" w14:textId="77777777" w:rsidR="002A21AE" w:rsidRDefault="00735532">
      <w:pPr>
        <w:pStyle w:val="ListBullet"/>
      </w:pPr>
      <w:r>
        <w:t>HCPCS</w:t>
      </w:r>
      <w:r w:rsidR="002A21AE">
        <w:t xml:space="preserve"> codes are required for medical and surgical services and supplies for the outpatient setting under the final code set standards for the Health Insurance Portability and Accountability Act of 1996 (HIPAA). See your local </w:t>
      </w:r>
      <w:r w:rsidR="002A21AE">
        <w:rPr>
          <w:szCs w:val="24"/>
        </w:rPr>
        <w:t>Current Procedural Terminology</w:t>
      </w:r>
      <w:r w:rsidR="002A21AE">
        <w:t xml:space="preserve"> (CPT) coordinator for </w:t>
      </w:r>
      <w:r w:rsidR="00E90A01">
        <w:t>additional</w:t>
      </w:r>
      <w:r w:rsidR="002A21AE">
        <w:t xml:space="preserve"> information.</w:t>
      </w:r>
    </w:p>
    <w:p w14:paraId="548E7DB2" w14:textId="77777777" w:rsidR="002A21AE" w:rsidRDefault="002A21AE">
      <w:pPr>
        <w:pStyle w:val="ListBullet"/>
      </w:pPr>
      <w:r>
        <w:rPr>
          <w:vanish/>
          <w:spacing w:val="0"/>
        </w:rPr>
        <w:t xml:space="preserve">BR_8.04 </w:t>
      </w:r>
      <w:r>
        <w:t>At least one valid shipper and product cost must be defined for each active product code in use in the division; multiple shippers may be associated with a blood product code.</w:t>
      </w:r>
    </w:p>
    <w:p w14:paraId="7978FCD6" w14:textId="77777777" w:rsidR="002A21AE" w:rsidRDefault="002A21AE">
      <w:pPr>
        <w:pStyle w:val="Heading4"/>
      </w:pPr>
      <w:r>
        <w:t>User Roles with Access to This Option</w:t>
      </w:r>
    </w:p>
    <w:p w14:paraId="3188A284" w14:textId="77777777" w:rsidR="002A21AE" w:rsidRDefault="0007426E">
      <w:pPr>
        <w:pStyle w:val="Roles"/>
      </w:pPr>
      <w:r>
        <w:t>All users</w:t>
      </w:r>
    </w:p>
    <w:p w14:paraId="61CF76B2" w14:textId="77777777" w:rsidR="002A21AE" w:rsidRDefault="002A21AE">
      <w:pPr>
        <w:pStyle w:val="Heading4"/>
      </w:pPr>
      <w:r>
        <w:t>Blood Products</w:t>
      </w:r>
    </w:p>
    <w:p w14:paraId="6F097536" w14:textId="77777777" w:rsidR="002A21AE" w:rsidRDefault="002A21AE" w:rsidP="00FA7E65">
      <w:pPr>
        <w:pStyle w:val="BodyText"/>
      </w:pPr>
      <w:r>
        <w:t>Before processing a blood unit in an incoming shipment, or activating or creating a blood unit in-house, the user identifies the shipper(s), cost, and return credit percentage for each shipper. The user also tags each product as active for use within the division and assigns a</w:t>
      </w:r>
      <w:r w:rsidR="00C43566">
        <w:t>n</w:t>
      </w:r>
      <w:r>
        <w:t xml:space="preserve"> HCPCS code to each. These are the only fields the user may edit when maintaining an existing blood product</w:t>
      </w:r>
      <w:r w:rsidR="00C816A6">
        <w:t xml:space="preserve"> code</w:t>
      </w:r>
      <w:r>
        <w:t xml:space="preserve">. </w:t>
      </w:r>
    </w:p>
    <w:p w14:paraId="58E27DB2" w14:textId="77777777" w:rsidR="00776377" w:rsidRDefault="002A21AE" w:rsidP="00FA7E65">
      <w:pPr>
        <w:pStyle w:val="BodyText"/>
      </w:pPr>
      <w:r>
        <w:t>A “shipper” is the collection facility that delivers and bills for the blood product, regardless of the facility named on the unit’s label. The collection facility that delivers the product to the shipper is not considered a shipper nor does it have a product cost associated with it, but it needs to be activated in the division for VBECS to interpret the unit ID. When components are modified within the division, the shipper is defined as the division. The cost may be $0.00 or other U.S. dollar value assigned by the shipper.</w:t>
      </w:r>
    </w:p>
    <w:p w14:paraId="03FCF0DB" w14:textId="77777777" w:rsidR="002A21AE" w:rsidRDefault="00776377" w:rsidP="00FA7E65">
      <w:pPr>
        <w:pStyle w:val="BodyText"/>
      </w:pPr>
      <w:r>
        <w:br w:type="page"/>
      </w:r>
    </w:p>
    <w:tbl>
      <w:tblPr>
        <w:tblW w:w="92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2"/>
        <w:gridCol w:w="6120"/>
      </w:tblGrid>
      <w:tr w:rsidR="002A21AE" w14:paraId="33EB54C5" w14:textId="77777777">
        <w:trPr>
          <w:tblHeader/>
        </w:trPr>
        <w:tc>
          <w:tcPr>
            <w:tcW w:w="3132" w:type="dxa"/>
            <w:shd w:val="pct30" w:color="auto" w:fill="FFFFFF"/>
            <w:vAlign w:val="bottom"/>
          </w:tcPr>
          <w:p w14:paraId="19B0B736" w14:textId="77777777" w:rsidR="002A21AE" w:rsidRDefault="002A21AE">
            <w:pPr>
              <w:pStyle w:val="TableText"/>
              <w:rPr>
                <w:b/>
              </w:rPr>
            </w:pPr>
            <w:r>
              <w:rPr>
                <w:b/>
              </w:rPr>
              <w:lastRenderedPageBreak/>
              <w:t>User Action</w:t>
            </w:r>
          </w:p>
        </w:tc>
        <w:tc>
          <w:tcPr>
            <w:tcW w:w="6120" w:type="dxa"/>
            <w:shd w:val="pct30" w:color="auto" w:fill="FFFFFF"/>
            <w:vAlign w:val="bottom"/>
          </w:tcPr>
          <w:p w14:paraId="2B714831" w14:textId="77777777" w:rsidR="002A21AE" w:rsidRDefault="002A21AE">
            <w:pPr>
              <w:pStyle w:val="TableText"/>
              <w:rPr>
                <w:b/>
              </w:rPr>
            </w:pPr>
            <w:r>
              <w:rPr>
                <w:b/>
              </w:rPr>
              <w:t>VBECS</w:t>
            </w:r>
          </w:p>
        </w:tc>
      </w:tr>
      <w:tr w:rsidR="002A21AE" w14:paraId="66DC890E" w14:textId="77777777">
        <w:tc>
          <w:tcPr>
            <w:tcW w:w="3132" w:type="dxa"/>
          </w:tcPr>
          <w:p w14:paraId="661FE2A7" w14:textId="77777777" w:rsidR="002A21AE" w:rsidRDefault="002A21AE">
            <w:pPr>
              <w:pStyle w:val="TableTextNumbers"/>
            </w:pPr>
            <w:r>
              <w:t xml:space="preserve">Select </w:t>
            </w:r>
            <w:r>
              <w:rPr>
                <w:b/>
              </w:rPr>
              <w:t xml:space="preserve">Tools </w:t>
            </w:r>
            <w:r>
              <w:t>from the main menu.</w:t>
            </w:r>
          </w:p>
          <w:p w14:paraId="70471FBE" w14:textId="77777777" w:rsidR="002A21AE" w:rsidRDefault="002A21AE">
            <w:pPr>
              <w:pStyle w:val="TableTextNumbersContinued"/>
              <w:rPr>
                <w:b/>
                <w:bCs/>
              </w:rPr>
            </w:pPr>
          </w:p>
          <w:p w14:paraId="7399BE9F" w14:textId="77777777" w:rsidR="002A21AE" w:rsidRDefault="002A21AE">
            <w:pPr>
              <w:pStyle w:val="TableTextNumbersContinued"/>
              <w:rPr>
                <w:b/>
                <w:bCs/>
              </w:rPr>
            </w:pPr>
            <w:r w:rsidRPr="00FA0EEB">
              <w:rPr>
                <w:bCs/>
              </w:rPr>
              <w:t>Select</w:t>
            </w:r>
            <w:r>
              <w:rPr>
                <w:b/>
                <w:bCs/>
              </w:rPr>
              <w:t xml:space="preserve"> Blood Products</w:t>
            </w:r>
            <w:r w:rsidRPr="00FA0EEB">
              <w:rPr>
                <w:bCs/>
              </w:rPr>
              <w:t>.</w:t>
            </w:r>
          </w:p>
        </w:tc>
        <w:tc>
          <w:tcPr>
            <w:tcW w:w="6120" w:type="dxa"/>
          </w:tcPr>
          <w:p w14:paraId="6C32CAAD" w14:textId="77777777" w:rsidR="002A21AE" w:rsidRDefault="002A21AE">
            <w:pPr>
              <w:pStyle w:val="TableTextBullet"/>
            </w:pPr>
            <w:r>
              <w:t>Displays options for processing administrative functions.</w:t>
            </w:r>
          </w:p>
          <w:p w14:paraId="739644DB" w14:textId="77777777" w:rsidR="002A21AE" w:rsidRDefault="002A21AE">
            <w:pPr>
              <w:pStyle w:val="TableTextBullet"/>
            </w:pPr>
            <w:r>
              <w:t>Displays fields for entering blood product information.</w:t>
            </w:r>
          </w:p>
        </w:tc>
      </w:tr>
      <w:tr w:rsidR="002A21AE" w14:paraId="327AEE4C" w14:textId="77777777">
        <w:tc>
          <w:tcPr>
            <w:tcW w:w="3132" w:type="dxa"/>
          </w:tcPr>
          <w:p w14:paraId="3582D5E6" w14:textId="6F6D1238" w:rsidR="002A21AE" w:rsidRDefault="002A21AE">
            <w:pPr>
              <w:pStyle w:val="TableTextNumbers"/>
            </w:pPr>
            <w:r>
              <w:t>To identify the product, scan or enter a</w:t>
            </w:r>
            <w:r w:rsidR="0050114F">
              <w:t>.</w:t>
            </w:r>
            <w:r>
              <w:t xml:space="preserve"> ISBT product code.</w:t>
            </w:r>
          </w:p>
          <w:p w14:paraId="77549D09" w14:textId="77777777" w:rsidR="002A21AE" w:rsidRDefault="002A21AE">
            <w:pPr>
              <w:pStyle w:val="TableTextNumbersContinued"/>
            </w:pPr>
          </w:p>
          <w:p w14:paraId="0419633A" w14:textId="77777777" w:rsidR="002A21AE" w:rsidRDefault="002A21AE">
            <w:pPr>
              <w:pStyle w:val="TableTextNumbersContinued"/>
            </w:pPr>
            <w:r>
              <w:t xml:space="preserve">Click the </w:t>
            </w:r>
            <w:r w:rsidR="00A6373D">
              <w:rPr>
                <w:b/>
              </w:rPr>
              <w:t>find</w:t>
            </w:r>
            <w:r w:rsidRPr="00BF2E41">
              <w:t xml:space="preserve"> button</w:t>
            </w:r>
            <w:r>
              <w:t xml:space="preserve"> to search for a product.</w:t>
            </w:r>
          </w:p>
          <w:p w14:paraId="5D004C69" w14:textId="77777777" w:rsidR="002A21AE" w:rsidRDefault="002A21AE">
            <w:pPr>
              <w:pStyle w:val="TableTextNumbersContinued"/>
            </w:pPr>
          </w:p>
          <w:p w14:paraId="6F8035A7" w14:textId="77777777" w:rsidR="002A21AE" w:rsidRDefault="002A21AE">
            <w:pPr>
              <w:pStyle w:val="TableTextNumbersContinued"/>
            </w:pPr>
            <w:r>
              <w:t>Select a product type from the drop-down Product Type list or enter a partial product name in the Partial Product Name field.</w:t>
            </w:r>
          </w:p>
          <w:p w14:paraId="24973BE2" w14:textId="77777777" w:rsidR="002A21AE" w:rsidRDefault="002A21AE">
            <w:pPr>
              <w:pStyle w:val="TableTextNumbersContinued"/>
            </w:pPr>
          </w:p>
          <w:p w14:paraId="58E11C73" w14:textId="77777777" w:rsidR="002A21AE" w:rsidRDefault="002A21AE">
            <w:pPr>
              <w:pStyle w:val="TableTextNumbersContinued"/>
            </w:pPr>
            <w:r>
              <w:t xml:space="preserve">Click </w:t>
            </w:r>
            <w:r>
              <w:rPr>
                <w:b/>
              </w:rPr>
              <w:t>Search</w:t>
            </w:r>
            <w:r>
              <w:t>.</w:t>
            </w:r>
          </w:p>
        </w:tc>
        <w:tc>
          <w:tcPr>
            <w:tcW w:w="6120" w:type="dxa"/>
          </w:tcPr>
          <w:p w14:paraId="4F0D4F54" w14:textId="77777777" w:rsidR="002A21AE" w:rsidRDefault="002A21AE">
            <w:pPr>
              <w:pStyle w:val="TableTextBullet"/>
            </w:pPr>
            <w:r>
              <w:t>Displays current blood product information.</w:t>
            </w:r>
          </w:p>
          <w:p w14:paraId="4CA92467" w14:textId="77777777" w:rsidR="002A21AE" w:rsidRDefault="002A21AE">
            <w:pPr>
              <w:pStyle w:val="TableText"/>
            </w:pPr>
          </w:p>
          <w:p w14:paraId="0FE669EC" w14:textId="77777777" w:rsidR="002A21AE" w:rsidRDefault="00057948">
            <w:pPr>
              <w:pStyle w:val="TableText"/>
              <w:rPr>
                <w:b/>
                <w:bCs/>
                <w:szCs w:val="18"/>
              </w:rPr>
            </w:pPr>
            <w:r>
              <w:rPr>
                <w:b/>
                <w:bCs/>
                <w:noProof/>
              </w:rPr>
              <mc:AlternateContent>
                <mc:Choice Requires="wps">
                  <w:drawing>
                    <wp:anchor distT="0" distB="0" distL="114300" distR="114300" simplePos="0" relativeHeight="251600896" behindDoc="0" locked="0" layoutInCell="1" allowOverlap="1" wp14:anchorId="7ACB4A9D" wp14:editId="5BDAC075">
                      <wp:simplePos x="0" y="0"/>
                      <wp:positionH relativeFrom="column">
                        <wp:posOffset>457200</wp:posOffset>
                      </wp:positionH>
                      <wp:positionV relativeFrom="paragraph">
                        <wp:posOffset>65405</wp:posOffset>
                      </wp:positionV>
                      <wp:extent cx="3200400" cy="0"/>
                      <wp:effectExtent l="9525" t="17780" r="9525" b="10795"/>
                      <wp:wrapNone/>
                      <wp:docPr id="558" name="Line 518" descr="P2101C6T2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8FA92" id="Line 518" o:spid="_x0000_s1026" alt="&quot;&quot;"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WIB73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157A48CC" w14:textId="77777777" w:rsidR="002A21AE" w:rsidRDefault="002A21AE">
            <w:pPr>
              <w:pStyle w:val="NotesText"/>
            </w:pPr>
          </w:p>
          <w:p w14:paraId="0F476738" w14:textId="77777777" w:rsidR="002A21AE" w:rsidRDefault="002A21AE">
            <w:pPr>
              <w:pStyle w:val="NotesText"/>
            </w:pPr>
            <w:r w:rsidRPr="009660C3">
              <w:rPr>
                <w:vanish/>
                <w:szCs w:val="18"/>
              </w:rPr>
              <w:t xml:space="preserve">BR_8.12 </w:t>
            </w:r>
            <w:r>
              <w:t>When a user enters a product code</w:t>
            </w:r>
            <w:r w:rsidR="00DA09BD">
              <w:t xml:space="preserve"> that VBECS does not recognize</w:t>
            </w:r>
            <w:r>
              <w:t>, VBECS warns that the blood product was not found and that it does not support entry of new blood products.</w:t>
            </w:r>
          </w:p>
          <w:p w14:paraId="414F9028" w14:textId="77777777" w:rsidR="002A21AE" w:rsidRDefault="002A21AE">
            <w:pPr>
              <w:pStyle w:val="NotesText"/>
            </w:pPr>
          </w:p>
          <w:p w14:paraId="245A2CF1" w14:textId="77777777" w:rsidR="002A21AE" w:rsidRDefault="002A21AE">
            <w:pPr>
              <w:pStyle w:val="NotesText"/>
            </w:pPr>
            <w:r>
              <w:rPr>
                <w:b/>
                <w:bCs/>
              </w:rPr>
              <w:t>OK</w:t>
            </w:r>
            <w:r>
              <w:t xml:space="preserve"> returns the user to a blank screen to enter a different product. VBECS clears the screen. The user may enter a different product code.</w:t>
            </w:r>
            <w:r>
              <w:rPr>
                <w:rStyle w:val="CommentReference"/>
                <w:rFonts w:ascii="Times New Roman" w:hAnsi="Times New Roman"/>
                <w:vanish/>
              </w:rPr>
              <w:t xml:space="preserve"> </w:t>
            </w:r>
          </w:p>
        </w:tc>
      </w:tr>
      <w:tr w:rsidR="002A21AE" w14:paraId="00DD85F1" w14:textId="77777777">
        <w:tc>
          <w:tcPr>
            <w:tcW w:w="3132" w:type="dxa"/>
            <w:tcBorders>
              <w:bottom w:val="single" w:sz="4" w:space="0" w:color="auto"/>
            </w:tcBorders>
          </w:tcPr>
          <w:p w14:paraId="31149DCC" w14:textId="59A363FE" w:rsidR="002A21AE" w:rsidRDefault="002A21AE">
            <w:pPr>
              <w:pStyle w:val="TableTextNumbers"/>
            </w:pPr>
            <w:r>
              <w:t xml:space="preserve">Select a product from the Search Results list and click </w:t>
            </w:r>
            <w:r>
              <w:rPr>
                <w:b/>
                <w:bCs/>
              </w:rPr>
              <w:t>OK</w:t>
            </w:r>
            <w:r w:rsidR="00FF1B65">
              <w:rPr>
                <w:bCs/>
              </w:rPr>
              <w:t xml:space="preserve"> (</w:t>
            </w:r>
            <w:r w:rsidR="00FF1B65">
              <w:rPr>
                <w:bCs/>
              </w:rPr>
              <w:fldChar w:fldCharType="begin" w:fldLock="1"/>
            </w:r>
            <w:r w:rsidR="00FF1B65">
              <w:rPr>
                <w:bCs/>
              </w:rPr>
              <w:instrText xml:space="preserve"> REF _Ref126471445 \h </w:instrText>
            </w:r>
            <w:r w:rsidR="00FF1B65">
              <w:rPr>
                <w:bCs/>
              </w:rPr>
            </w:r>
            <w:r w:rsidR="00FF1B65">
              <w:rPr>
                <w:bCs/>
              </w:rPr>
              <w:fldChar w:fldCharType="separate"/>
            </w:r>
            <w:r w:rsidR="00AB304C">
              <w:t xml:space="preserve">Figure </w:t>
            </w:r>
            <w:r w:rsidR="00AB304C">
              <w:rPr>
                <w:noProof/>
              </w:rPr>
              <w:t>54</w:t>
            </w:r>
            <w:r w:rsidR="00FF1B65">
              <w:rPr>
                <w:bCs/>
              </w:rPr>
              <w:fldChar w:fldCharType="end"/>
            </w:r>
            <w:r w:rsidR="00FF1B65">
              <w:rPr>
                <w:bCs/>
              </w:rPr>
              <w:t>)</w:t>
            </w:r>
            <w:r>
              <w:t>.</w:t>
            </w:r>
          </w:p>
          <w:p w14:paraId="7EF659D2" w14:textId="77777777" w:rsidR="002A21AE" w:rsidRDefault="002A21AE">
            <w:pPr>
              <w:pStyle w:val="TableTextNumbersContinued"/>
            </w:pPr>
          </w:p>
          <w:p w14:paraId="4BE0CEC4" w14:textId="77777777" w:rsidR="002A21AE" w:rsidRDefault="002A21AE">
            <w:pPr>
              <w:pStyle w:val="TableTextNumbersContinued"/>
            </w:pPr>
            <w:r>
              <w:t>Select an HCPCS code from the drop-down HCPCS Code list or enter an HCPCS code.</w:t>
            </w:r>
          </w:p>
        </w:tc>
        <w:tc>
          <w:tcPr>
            <w:tcW w:w="6120" w:type="dxa"/>
            <w:tcBorders>
              <w:bottom w:val="single" w:sz="4" w:space="0" w:color="auto"/>
            </w:tcBorders>
          </w:tcPr>
          <w:p w14:paraId="0A690A40" w14:textId="77777777" w:rsidR="002A21AE" w:rsidRDefault="002A21AE">
            <w:pPr>
              <w:pStyle w:val="TableTextBullet"/>
            </w:pPr>
            <w:r>
              <w:t xml:space="preserve">Allows a user to enter the HCPCS code. </w:t>
            </w:r>
          </w:p>
          <w:p w14:paraId="7ABAF2F1" w14:textId="77777777" w:rsidR="002A21AE" w:rsidRDefault="002A21AE">
            <w:pPr>
              <w:pStyle w:val="TableText"/>
            </w:pPr>
          </w:p>
          <w:p w14:paraId="71070281" w14:textId="4660CEDA" w:rsidR="002A21AE" w:rsidRDefault="002A21AE">
            <w:pPr>
              <w:pStyle w:val="TableText"/>
              <w:rPr>
                <w:b/>
                <w:bCs/>
                <w:szCs w:val="18"/>
              </w:rPr>
            </w:pPr>
            <w:r>
              <w:rPr>
                <w:b/>
                <w:bCs/>
                <w:szCs w:val="18"/>
              </w:rPr>
              <w:t>NOTES</w:t>
            </w:r>
          </w:p>
          <w:p w14:paraId="34F811EA" w14:textId="77777777" w:rsidR="002A21AE" w:rsidRDefault="002A21AE">
            <w:pPr>
              <w:pStyle w:val="NotesText"/>
            </w:pPr>
          </w:p>
          <w:p w14:paraId="66A22EA8" w14:textId="77777777" w:rsidR="002A21AE" w:rsidRDefault="002A21AE">
            <w:pPr>
              <w:pStyle w:val="NotesText"/>
            </w:pPr>
            <w:r w:rsidRPr="009660C3">
              <w:rPr>
                <w:vanish/>
                <w:szCs w:val="18"/>
              </w:rPr>
              <w:t xml:space="preserve">BR_8.06 </w:t>
            </w:r>
            <w:r>
              <w:t>A blood product may have only one HCPCS code at a time.</w:t>
            </w:r>
          </w:p>
          <w:p w14:paraId="1C1201B1" w14:textId="77777777" w:rsidR="007C5D69" w:rsidRDefault="007C5D69">
            <w:pPr>
              <w:pStyle w:val="NotesText"/>
            </w:pPr>
          </w:p>
          <w:p w14:paraId="2BD40C02" w14:textId="41853D4F" w:rsidR="007C5D69" w:rsidRDefault="007C5D69">
            <w:pPr>
              <w:pStyle w:val="NotesText"/>
            </w:pPr>
            <w:r>
              <w:t xml:space="preserve">A user may also add a </w:t>
            </w:r>
            <w:r w:rsidRPr="007C5D69">
              <w:t>HCPCS code after the blood product code is activated.</w:t>
            </w:r>
            <w:r w:rsidR="00AB4BD9">
              <w:t xml:space="preserve"> </w:t>
            </w:r>
            <w:r w:rsidR="00AB4BD9" w:rsidRPr="00AB4BD9">
              <w:rPr>
                <w:vanish/>
              </w:rPr>
              <w:t>Defect 208150</w:t>
            </w:r>
          </w:p>
        </w:tc>
      </w:tr>
      <w:tr w:rsidR="002A21AE" w14:paraId="0B25FDF6" w14:textId="77777777">
        <w:tc>
          <w:tcPr>
            <w:tcW w:w="3132" w:type="dxa"/>
            <w:tcBorders>
              <w:bottom w:val="single" w:sz="4" w:space="0" w:color="auto"/>
            </w:tcBorders>
          </w:tcPr>
          <w:p w14:paraId="4D682087" w14:textId="77777777" w:rsidR="002A21AE" w:rsidRPr="007144AE" w:rsidRDefault="002A21AE" w:rsidP="007144AE">
            <w:pPr>
              <w:pStyle w:val="TableTextNumbers"/>
              <w:rPr>
                <w:bCs/>
              </w:rPr>
            </w:pPr>
            <w:r>
              <w:t xml:space="preserve">Select or enter product shipper information: shipper name, FDA </w:t>
            </w:r>
            <w:r w:rsidR="00B85812">
              <w:t>Registration Number</w:t>
            </w:r>
            <w:r>
              <w:t>, c</w:t>
            </w:r>
            <w:r>
              <w:rPr>
                <w:bCs/>
              </w:rPr>
              <w:t>ost, and return credit percentage.</w:t>
            </w:r>
          </w:p>
        </w:tc>
        <w:tc>
          <w:tcPr>
            <w:tcW w:w="6120" w:type="dxa"/>
            <w:tcBorders>
              <w:bottom w:val="single" w:sz="4" w:space="0" w:color="auto"/>
            </w:tcBorders>
          </w:tcPr>
          <w:p w14:paraId="2EB4BACE" w14:textId="77777777" w:rsidR="002A21AE" w:rsidRDefault="002A21AE">
            <w:pPr>
              <w:pStyle w:val="TableText"/>
            </w:pPr>
          </w:p>
          <w:p w14:paraId="666F3505" w14:textId="77777777" w:rsidR="002A21AE" w:rsidRDefault="00057948">
            <w:pPr>
              <w:pStyle w:val="TableText"/>
              <w:rPr>
                <w:b/>
                <w:bCs/>
                <w:szCs w:val="18"/>
              </w:rPr>
            </w:pPr>
            <w:r>
              <w:rPr>
                <w:b/>
                <w:bCs/>
                <w:noProof/>
              </w:rPr>
              <mc:AlternateContent>
                <mc:Choice Requires="wps">
                  <w:drawing>
                    <wp:anchor distT="0" distB="0" distL="114300" distR="114300" simplePos="0" relativeHeight="251602944" behindDoc="0" locked="0" layoutInCell="1" allowOverlap="1" wp14:anchorId="61487F8F" wp14:editId="72162DBB">
                      <wp:simplePos x="0" y="0"/>
                      <wp:positionH relativeFrom="column">
                        <wp:posOffset>457200</wp:posOffset>
                      </wp:positionH>
                      <wp:positionV relativeFrom="paragraph">
                        <wp:posOffset>65405</wp:posOffset>
                      </wp:positionV>
                      <wp:extent cx="3200400" cy="0"/>
                      <wp:effectExtent l="9525" t="17780" r="9525" b="10795"/>
                      <wp:wrapNone/>
                      <wp:docPr id="556" name="Line 520" descr="P2120C10T2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017E8" id="Line 520" o:spid="_x0000_s1026" alt="&quot;&quot;"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X2odZ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5351E5E5" w14:textId="77777777" w:rsidR="002A21AE" w:rsidRDefault="002A21AE">
            <w:pPr>
              <w:pStyle w:val="NotesText"/>
            </w:pPr>
          </w:p>
          <w:p w14:paraId="07ED5D4F" w14:textId="77777777" w:rsidR="002A21AE" w:rsidRDefault="002A21AE">
            <w:pPr>
              <w:pStyle w:val="NotesText"/>
              <w:rPr>
                <w:color w:val="000000"/>
                <w:szCs w:val="18"/>
              </w:rPr>
            </w:pPr>
            <w:r w:rsidRPr="009660C3">
              <w:rPr>
                <w:vanish/>
                <w:szCs w:val="18"/>
              </w:rPr>
              <w:t xml:space="preserve">BR_8.01 </w:t>
            </w:r>
            <w:r>
              <w:t xml:space="preserve">Site parameters determine which products are active for a division. Products marked as active can be received in an incoming shipment or created in-house through modification. </w:t>
            </w:r>
          </w:p>
          <w:p w14:paraId="38214E61" w14:textId="77777777" w:rsidR="002A21AE" w:rsidRDefault="002A21AE">
            <w:pPr>
              <w:pStyle w:val="NotesText"/>
            </w:pPr>
          </w:p>
          <w:p w14:paraId="70C8BF4B" w14:textId="77777777" w:rsidR="002A21AE" w:rsidRDefault="002A21AE">
            <w:pPr>
              <w:pStyle w:val="NotesText"/>
              <w:tabs>
                <w:tab w:val="center" w:pos="3312"/>
              </w:tabs>
            </w:pPr>
            <w:r w:rsidRPr="009660C3">
              <w:rPr>
                <w:vanish/>
                <w:szCs w:val="18"/>
              </w:rPr>
              <w:t xml:space="preserve">BR_8.02 </w:t>
            </w:r>
            <w:r>
              <w:t>A user with no increased security can maintain an existing blood product for use only within the user’s current division.</w:t>
            </w:r>
            <w:r>
              <w:tab/>
            </w:r>
          </w:p>
          <w:p w14:paraId="605F9B34" w14:textId="77777777" w:rsidR="002A21AE" w:rsidRDefault="002A21AE">
            <w:pPr>
              <w:pStyle w:val="NotesText"/>
            </w:pPr>
          </w:p>
          <w:p w14:paraId="4ED1F694" w14:textId="77777777" w:rsidR="002A21AE" w:rsidRDefault="002A21AE">
            <w:pPr>
              <w:pStyle w:val="NotesText"/>
            </w:pPr>
            <w:r>
              <w:t>The return credit default is “100%.”</w:t>
            </w:r>
          </w:p>
          <w:p w14:paraId="67ED59B0" w14:textId="77777777" w:rsidR="002A21AE" w:rsidRDefault="002A21AE">
            <w:pPr>
              <w:pStyle w:val="NotesText"/>
            </w:pPr>
          </w:p>
          <w:p w14:paraId="1796B18C" w14:textId="5D7A36C6" w:rsidR="002A21AE" w:rsidRDefault="002A21AE">
            <w:pPr>
              <w:pStyle w:val="NotesText"/>
            </w:pPr>
            <w:r w:rsidRPr="009660C3">
              <w:rPr>
                <w:rFonts w:cs="Arial"/>
                <w:vanish/>
                <w:color w:val="0000FF"/>
                <w:szCs w:val="18"/>
              </w:rPr>
              <w:t>BR_8.11</w:t>
            </w:r>
            <w:r w:rsidRPr="009660C3">
              <w:rPr>
                <w:vanish/>
                <w:szCs w:val="18"/>
              </w:rPr>
              <w:t xml:space="preserve"> </w:t>
            </w:r>
            <w:r w:rsidR="00CC5FE9">
              <w:t xml:space="preserve">In order to inactivate a product shipper, all units via that shipper must be in a final status (or inactivated). </w:t>
            </w:r>
            <w:r w:rsidR="00276D7F">
              <w:t>Contact the Service Desk if you would like a list of units linked to the product shipper you want to inactivate.</w:t>
            </w:r>
          </w:p>
        </w:tc>
      </w:tr>
      <w:tr w:rsidR="002A21AE" w14:paraId="2487F159" w14:textId="77777777">
        <w:tc>
          <w:tcPr>
            <w:tcW w:w="3132" w:type="dxa"/>
            <w:tcBorders>
              <w:bottom w:val="single" w:sz="4" w:space="0" w:color="auto"/>
            </w:tcBorders>
          </w:tcPr>
          <w:p w14:paraId="4B8C7F63" w14:textId="77777777" w:rsidR="002A21AE" w:rsidRDefault="002A21AE">
            <w:pPr>
              <w:pStyle w:val="TableTextNumbers"/>
            </w:pPr>
            <w:r>
              <w:t xml:space="preserve">Repeat Steps 3 and 4 for each selected product’s shipper and for other products. </w:t>
            </w:r>
          </w:p>
        </w:tc>
        <w:tc>
          <w:tcPr>
            <w:tcW w:w="6120" w:type="dxa"/>
            <w:tcBorders>
              <w:bottom w:val="single" w:sz="4" w:space="0" w:color="auto"/>
            </w:tcBorders>
          </w:tcPr>
          <w:p w14:paraId="67FFDB92" w14:textId="77777777" w:rsidR="002A21AE" w:rsidRDefault="002A21AE">
            <w:pPr>
              <w:pStyle w:val="TableTextBullet"/>
            </w:pPr>
            <w:r>
              <w:t>Displays the information entered.</w:t>
            </w:r>
          </w:p>
          <w:p w14:paraId="5D974B60" w14:textId="77777777" w:rsidR="002A21AE" w:rsidRDefault="002A21AE">
            <w:pPr>
              <w:pStyle w:val="TableTextBullet"/>
            </w:pPr>
            <w:r>
              <w:t>Requests confirmation to update the database.</w:t>
            </w:r>
          </w:p>
          <w:p w14:paraId="10338BD4" w14:textId="77777777" w:rsidR="002A21AE" w:rsidRDefault="002A21AE">
            <w:pPr>
              <w:pStyle w:val="TableTextBullet"/>
            </w:pPr>
            <w:r>
              <w:t>Updates the database or warns the user with no override for discrepancies.</w:t>
            </w:r>
          </w:p>
        </w:tc>
      </w:tr>
      <w:tr w:rsidR="002A21AE" w14:paraId="1C97D070" w14:textId="77777777">
        <w:tc>
          <w:tcPr>
            <w:tcW w:w="3132" w:type="dxa"/>
            <w:tcBorders>
              <w:bottom w:val="single" w:sz="4" w:space="0" w:color="auto"/>
            </w:tcBorders>
          </w:tcPr>
          <w:p w14:paraId="0E42B90E" w14:textId="77777777" w:rsidR="002A21AE" w:rsidRDefault="002A21AE">
            <w:pPr>
              <w:pStyle w:val="TableTextNumbers"/>
            </w:pPr>
            <w:r>
              <w:t xml:space="preserve">Click </w:t>
            </w:r>
            <w:r>
              <w:rPr>
                <w:b/>
              </w:rPr>
              <w:t xml:space="preserve">OK </w:t>
            </w:r>
            <w:r>
              <w:t xml:space="preserve">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bottom w:val="single" w:sz="4" w:space="0" w:color="auto"/>
            </w:tcBorders>
          </w:tcPr>
          <w:p w14:paraId="30C1F9C5" w14:textId="77777777" w:rsidR="002A21AE" w:rsidRDefault="002A21AE">
            <w:pPr>
              <w:pStyle w:val="NotesText"/>
            </w:pPr>
          </w:p>
        </w:tc>
      </w:tr>
    </w:tbl>
    <w:p w14:paraId="07241250" w14:textId="77777777" w:rsidR="002A21AE" w:rsidRDefault="002A21AE">
      <w:pPr>
        <w:pStyle w:val="BodyText"/>
      </w:pPr>
    </w:p>
    <w:p w14:paraId="0DDF2E54" w14:textId="1DDFAC60" w:rsidR="00FF1B65" w:rsidRDefault="00FF1B65" w:rsidP="00FF1B65">
      <w:pPr>
        <w:pStyle w:val="Caption"/>
      </w:pPr>
      <w:bookmarkStart w:id="209" w:name="_Ref126471445"/>
      <w:bookmarkStart w:id="210" w:name="_Toc63680389"/>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54</w:t>
      </w:r>
      <w:r w:rsidR="004E20BD">
        <w:rPr>
          <w:noProof/>
        </w:rPr>
        <w:fldChar w:fldCharType="end"/>
      </w:r>
      <w:bookmarkEnd w:id="209"/>
      <w:r>
        <w:t>: Maintain Blood Products</w:t>
      </w:r>
    </w:p>
    <w:p w14:paraId="460106E2" w14:textId="77777777" w:rsidR="0066425F" w:rsidRDefault="00057948" w:rsidP="0066425F">
      <w:pPr>
        <w:pStyle w:val="BodyText"/>
      </w:pPr>
      <w:r>
        <w:rPr>
          <w:noProof/>
        </w:rPr>
        <w:drawing>
          <wp:inline distT="0" distB="0" distL="0" distR="0" wp14:anchorId="39894E82" wp14:editId="57E547FB">
            <wp:extent cx="5347970" cy="3084830"/>
            <wp:effectExtent l="0" t="0" r="5080" b="1270"/>
            <wp:docPr id="133" name="Picture 133" descr="P2140#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P2140#yIS1">
                      <a:extLst>
                        <a:ext uri="{C183D7F6-B498-43B3-948B-1728B52AA6E4}">
                          <adec:decorative xmlns:adec="http://schemas.microsoft.com/office/drawing/2017/decorative" val="1"/>
                        </a:ext>
                      </a:extLst>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347970" cy="3084830"/>
                    </a:xfrm>
                    <a:prstGeom prst="rect">
                      <a:avLst/>
                    </a:prstGeom>
                    <a:noFill/>
                    <a:ln>
                      <a:noFill/>
                    </a:ln>
                  </pic:spPr>
                </pic:pic>
              </a:graphicData>
            </a:graphic>
          </wp:inline>
        </w:drawing>
      </w:r>
      <w:r w:rsidR="00FF1B65">
        <w:t xml:space="preserve"> </w:t>
      </w:r>
    </w:p>
    <w:p w14:paraId="3071F90C" w14:textId="77777777" w:rsidR="002A21AE" w:rsidRDefault="003A2D61">
      <w:pPr>
        <w:pStyle w:val="Heading3"/>
      </w:pPr>
      <w:r>
        <w:br w:type="page"/>
      </w:r>
      <w:bookmarkStart w:id="211" w:name="_Toc4588762"/>
      <w:r w:rsidR="002A21AE">
        <w:lastRenderedPageBreak/>
        <w:t>Antibodies</w:t>
      </w:r>
      <w:bookmarkEnd w:id="210"/>
      <w:bookmarkEnd w:id="211"/>
      <w:r w:rsidR="002A21AE" w:rsidRPr="00AB67A6">
        <w:rPr>
          <w:rFonts w:ascii="Arial Bold" w:hAnsi="Arial Bold"/>
          <w:vanish/>
        </w:rPr>
        <w:fldChar w:fldCharType="begin"/>
      </w:r>
      <w:r w:rsidR="002A21AE" w:rsidRPr="00AB67A6">
        <w:rPr>
          <w:rFonts w:ascii="Arial Bold" w:hAnsi="Arial Bold"/>
          <w:vanish/>
        </w:rPr>
        <w:instrText xml:space="preserve"> XE </w:instrText>
      </w:r>
      <w:r w:rsidR="00FA7E65" w:rsidRPr="00AB67A6">
        <w:rPr>
          <w:rFonts w:ascii="Arial Bold" w:hAnsi="Arial Bold"/>
          <w:vanish/>
        </w:rPr>
        <w:instrText>“</w:instrText>
      </w:r>
      <w:r w:rsidR="002A21AE" w:rsidRPr="00AB67A6">
        <w:rPr>
          <w:rFonts w:ascii="Arial Bold" w:hAnsi="Arial Bold"/>
          <w:vanish/>
        </w:rPr>
        <w:instrText>Antibodies</w:instrText>
      </w:r>
      <w:r w:rsidR="00FA7E65" w:rsidRPr="00AB67A6">
        <w:rPr>
          <w:rFonts w:ascii="Arial Bold" w:hAnsi="Arial Bold"/>
          <w:vanish/>
        </w:rPr>
        <w:instrText>”</w:instrText>
      </w:r>
      <w:r w:rsidR="002A21AE" w:rsidRPr="00AB67A6">
        <w:rPr>
          <w:rFonts w:ascii="Arial Bold" w:hAnsi="Arial Bold"/>
          <w:vanish/>
        </w:rPr>
        <w:instrText xml:space="preserve"> </w:instrText>
      </w:r>
      <w:r w:rsidR="002A21AE" w:rsidRPr="00AB67A6">
        <w:rPr>
          <w:rFonts w:ascii="Arial Bold" w:hAnsi="Arial Bold"/>
          <w:vanish/>
        </w:rPr>
        <w:fldChar w:fldCharType="end"/>
      </w:r>
      <w:r w:rsidR="002A21AE" w:rsidRPr="00AB67A6">
        <w:rPr>
          <w:rFonts w:ascii="Arial Bold" w:hAnsi="Arial Bold"/>
          <w:vanish/>
        </w:rPr>
        <w:t xml:space="preserve"> UC_23</w:t>
      </w:r>
    </w:p>
    <w:p w14:paraId="1F6C1F3F" w14:textId="77777777" w:rsidR="002A21AE" w:rsidRDefault="002A21AE" w:rsidP="00FA7E65">
      <w:pPr>
        <w:pStyle w:val="BodyText"/>
      </w:pPr>
      <w:r>
        <w:t>The user edit</w:t>
      </w:r>
      <w:r w:rsidR="00657A5C">
        <w:t xml:space="preserve">s </w:t>
      </w:r>
      <w:r>
        <w:t>certain fields in the supplied antibody table.</w:t>
      </w:r>
    </w:p>
    <w:p w14:paraId="11F77E38" w14:textId="77777777" w:rsidR="002A21AE" w:rsidRDefault="002A21AE">
      <w:pPr>
        <w:pStyle w:val="Heading4"/>
      </w:pPr>
      <w:r>
        <w:t xml:space="preserve">Assumptions </w:t>
      </w:r>
    </w:p>
    <w:p w14:paraId="5EB1E503" w14:textId="77777777" w:rsidR="002A21AE" w:rsidRDefault="002A21AE">
      <w:pPr>
        <w:pStyle w:val="ListBullet"/>
      </w:pPr>
      <w:r>
        <w:t>VBECS is configured to reflect antibody reference parameters. Only some of these parameters may be changed locally.</w:t>
      </w:r>
    </w:p>
    <w:p w14:paraId="69AB868B" w14:textId="77777777" w:rsidR="002A21AE" w:rsidRDefault="002A21AE">
      <w:pPr>
        <w:pStyle w:val="ListBullet"/>
      </w:pPr>
      <w:r>
        <w:t>The default settings are enforced without user interaction.</w:t>
      </w:r>
    </w:p>
    <w:p w14:paraId="74557642" w14:textId="77777777" w:rsidR="002A21AE" w:rsidRDefault="002A21AE">
      <w:pPr>
        <w:pStyle w:val="Heading4"/>
      </w:pPr>
      <w:r>
        <w:t>Outcome</w:t>
      </w:r>
    </w:p>
    <w:p w14:paraId="0DA6B42C" w14:textId="77777777" w:rsidR="002A21AE" w:rsidRDefault="002A21AE">
      <w:pPr>
        <w:pStyle w:val="ListBullet"/>
      </w:pPr>
      <w:r>
        <w:t xml:space="preserve">Each division has a populated antibody table whether or not the user makes any edits. </w:t>
      </w:r>
    </w:p>
    <w:p w14:paraId="4F5AA891" w14:textId="77777777" w:rsidR="002A21AE" w:rsidRDefault="002A21AE">
      <w:pPr>
        <w:pStyle w:val="Heading4"/>
      </w:pPr>
      <w:r>
        <w:t>Limitations and Restrictions</w:t>
      </w:r>
    </w:p>
    <w:p w14:paraId="64019F6F" w14:textId="77777777" w:rsidR="002A21AE" w:rsidRDefault="002A21AE">
      <w:pPr>
        <w:pStyle w:val="ListBullet"/>
      </w:pPr>
      <w:r>
        <w:t>None</w:t>
      </w:r>
    </w:p>
    <w:p w14:paraId="2D4E6095" w14:textId="77777777" w:rsidR="002A21AE" w:rsidRDefault="002A21AE">
      <w:pPr>
        <w:pStyle w:val="Heading4"/>
      </w:pPr>
      <w:r>
        <w:t>Additional Information</w:t>
      </w:r>
    </w:p>
    <w:p w14:paraId="32DC0640" w14:textId="0CAC4ADF" w:rsidR="002A21AE" w:rsidRDefault="002A21AE">
      <w:pPr>
        <w:pStyle w:val="ListBullet"/>
      </w:pPr>
      <w:r>
        <w:t xml:space="preserve">The </w:t>
      </w:r>
      <w:r w:rsidR="007F7AC7">
        <w:t>antibody table</w:t>
      </w:r>
      <w:r>
        <w:t xml:space="preserve"> define</w:t>
      </w:r>
      <w:r w:rsidR="005321B0">
        <w:t>s</w:t>
      </w:r>
      <w:r>
        <w:t xml:space="preserve"> an antigen negative requirement for all instances of the antibody for all patients in the division. When an antibody specificity does not generally require antigen negative blood but a patient has a unique appearance of that antibody </w:t>
      </w:r>
      <w:r w:rsidR="005321B0">
        <w:t xml:space="preserve">that </w:t>
      </w:r>
      <w:r>
        <w:t>require</w:t>
      </w:r>
      <w:r w:rsidR="004547A0">
        <w:t>s</w:t>
      </w:r>
      <w:r>
        <w:t xml:space="preserve"> antigen negative blood, the user may enter the antigen negative requirement for that patient in Special Instructions &amp; Transfusion Requirements: Enter a Transfusion Requirement.</w:t>
      </w:r>
    </w:p>
    <w:p w14:paraId="48C10E93" w14:textId="68366F96" w:rsidR="005B3991" w:rsidRDefault="005B3991" w:rsidP="00862F95">
      <w:pPr>
        <w:pStyle w:val="ListBullet"/>
      </w:pPr>
      <w:r w:rsidRPr="005B3991">
        <w:t>Anti-A,B is not selectable as a patient antibody.</w:t>
      </w:r>
      <w:r w:rsidR="00862F95" w:rsidRPr="00862F95">
        <w:t xml:space="preserve"> Users can enter the Anti-A,B antibody in the patient’s Special Instructions</w:t>
      </w:r>
      <w:r w:rsidR="00862F95">
        <w:t>, if necessary</w:t>
      </w:r>
      <w:r w:rsidR="00AB4BD9">
        <w:t xml:space="preserve">. </w:t>
      </w:r>
      <w:r w:rsidR="00AB4BD9" w:rsidRPr="00AB4BD9">
        <w:rPr>
          <w:vanish/>
        </w:rPr>
        <w:t>Defect 208804</w:t>
      </w:r>
    </w:p>
    <w:p w14:paraId="3DE8A216" w14:textId="77777777" w:rsidR="002A21AE" w:rsidRDefault="002A21AE">
      <w:pPr>
        <w:pStyle w:val="Heading4"/>
      </w:pPr>
      <w:r>
        <w:t>User Roles with Access to This Option</w:t>
      </w:r>
    </w:p>
    <w:p w14:paraId="209F01DB" w14:textId="77777777" w:rsidR="002A21AE" w:rsidRDefault="00A91BAF">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0F16FC90" w14:textId="77777777" w:rsidR="002A21AE" w:rsidRDefault="002A21AE">
      <w:pPr>
        <w:pStyle w:val="Heading4"/>
      </w:pPr>
      <w:r>
        <w:t>Antibodies</w:t>
      </w:r>
    </w:p>
    <w:p w14:paraId="7FE3D728" w14:textId="77777777" w:rsidR="002A21AE" w:rsidRDefault="002A21AE" w:rsidP="00FA7E65">
      <w:pPr>
        <w:pStyle w:val="BodyText"/>
      </w:pPr>
      <w:r>
        <w:t xml:space="preserve">The user chooses to edit the system-supplied blood antibody table. The Compatibility Percentage field is fully editable </w:t>
      </w:r>
      <w:r w:rsidR="00F276FF">
        <w:t xml:space="preserve">(except for ABO antibodies and anti-D) </w:t>
      </w:r>
      <w:r>
        <w:t>to allow facilities to reflect local populations. The user may edit only the Clinically Significant entries initially exported as “No.”</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F01278A" w14:textId="77777777">
        <w:trPr>
          <w:tblHeader/>
        </w:trPr>
        <w:tc>
          <w:tcPr>
            <w:tcW w:w="3240" w:type="dxa"/>
            <w:shd w:val="pct30" w:color="auto" w:fill="FFFFFF"/>
            <w:vAlign w:val="bottom"/>
          </w:tcPr>
          <w:p w14:paraId="62C2183C" w14:textId="77777777" w:rsidR="002A21AE" w:rsidRDefault="002A21AE">
            <w:pPr>
              <w:pStyle w:val="TableText"/>
              <w:rPr>
                <w:b/>
              </w:rPr>
            </w:pPr>
            <w:r>
              <w:rPr>
                <w:b/>
              </w:rPr>
              <w:t>User Action</w:t>
            </w:r>
          </w:p>
        </w:tc>
        <w:tc>
          <w:tcPr>
            <w:tcW w:w="6120" w:type="dxa"/>
            <w:shd w:val="pct30" w:color="auto" w:fill="FFFFFF"/>
            <w:vAlign w:val="bottom"/>
          </w:tcPr>
          <w:p w14:paraId="4B2895A1" w14:textId="77777777" w:rsidR="002A21AE" w:rsidRDefault="002A21AE">
            <w:pPr>
              <w:pStyle w:val="TableText"/>
              <w:rPr>
                <w:b/>
              </w:rPr>
            </w:pPr>
            <w:r>
              <w:rPr>
                <w:b/>
              </w:rPr>
              <w:t>VBECS</w:t>
            </w:r>
          </w:p>
        </w:tc>
      </w:tr>
      <w:tr w:rsidR="002A21AE" w14:paraId="4D14B97C" w14:textId="77777777">
        <w:tc>
          <w:tcPr>
            <w:tcW w:w="3240" w:type="dxa"/>
          </w:tcPr>
          <w:p w14:paraId="1A56C21C" w14:textId="77777777" w:rsidR="002A21AE" w:rsidRDefault="002A21AE">
            <w:pPr>
              <w:pStyle w:val="TableTextNumbers"/>
            </w:pPr>
            <w:r>
              <w:t xml:space="preserve">Select </w:t>
            </w:r>
            <w:r>
              <w:rPr>
                <w:b/>
              </w:rPr>
              <w:t>Tools</w:t>
            </w:r>
            <w:r>
              <w:t xml:space="preserve"> from the main menu. </w:t>
            </w:r>
          </w:p>
          <w:p w14:paraId="0D617215" w14:textId="77777777" w:rsidR="002A21AE" w:rsidRDefault="002A21AE">
            <w:pPr>
              <w:pStyle w:val="TableTextNumbersContinued"/>
            </w:pPr>
          </w:p>
          <w:p w14:paraId="6E625529" w14:textId="77777777" w:rsidR="002A21AE" w:rsidRDefault="002A21AE">
            <w:pPr>
              <w:pStyle w:val="TableTextNumbersContinued"/>
            </w:pPr>
            <w:r>
              <w:t xml:space="preserve">Select </w:t>
            </w:r>
            <w:r>
              <w:rPr>
                <w:b/>
              </w:rPr>
              <w:t>Antibodies</w:t>
            </w:r>
            <w:r>
              <w:t>.</w:t>
            </w:r>
          </w:p>
        </w:tc>
        <w:tc>
          <w:tcPr>
            <w:tcW w:w="6120" w:type="dxa"/>
          </w:tcPr>
          <w:p w14:paraId="4D69F550" w14:textId="77777777" w:rsidR="002A21AE" w:rsidRDefault="002A21AE">
            <w:pPr>
              <w:pStyle w:val="TableTextBullet"/>
            </w:pPr>
            <w:r>
              <w:t>Displays options for processing administrative functions.</w:t>
            </w:r>
          </w:p>
          <w:p w14:paraId="74F4DBCB" w14:textId="77777777" w:rsidR="002A21AE" w:rsidRDefault="002A21AE">
            <w:pPr>
              <w:pStyle w:val="TableTextBullet"/>
            </w:pPr>
            <w:r>
              <w:t>Lists available antibodies based on the system-supplied table.</w:t>
            </w:r>
          </w:p>
          <w:p w14:paraId="70A103DD" w14:textId="77777777" w:rsidR="002A21AE" w:rsidRDefault="002A21AE">
            <w:pPr>
              <w:pStyle w:val="TableText"/>
            </w:pPr>
          </w:p>
          <w:p w14:paraId="6C1E1EB5" w14:textId="77777777" w:rsidR="002A21AE" w:rsidRDefault="00057948">
            <w:pPr>
              <w:pStyle w:val="TableText"/>
              <w:rPr>
                <w:b/>
                <w:bCs/>
                <w:szCs w:val="18"/>
              </w:rPr>
            </w:pPr>
            <w:r>
              <w:rPr>
                <w:b/>
                <w:bCs/>
                <w:noProof/>
              </w:rPr>
              <mc:AlternateContent>
                <mc:Choice Requires="wps">
                  <w:drawing>
                    <wp:anchor distT="0" distB="0" distL="114300" distR="114300" simplePos="0" relativeHeight="251619328" behindDoc="0" locked="0" layoutInCell="1" allowOverlap="1" wp14:anchorId="7DC83441" wp14:editId="12075B80">
                      <wp:simplePos x="0" y="0"/>
                      <wp:positionH relativeFrom="column">
                        <wp:posOffset>457200</wp:posOffset>
                      </wp:positionH>
                      <wp:positionV relativeFrom="paragraph">
                        <wp:posOffset>65405</wp:posOffset>
                      </wp:positionV>
                      <wp:extent cx="3200400" cy="0"/>
                      <wp:effectExtent l="9525" t="17780" r="9525" b="10795"/>
                      <wp:wrapNone/>
                      <wp:docPr id="555" name="Line 690" descr="P2166C4T2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8E981" id="Line 690" o:spid="_x0000_s1026" alt="&quot;&quot;"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UIjVQ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5A8CF578" w14:textId="77777777" w:rsidR="002A21AE" w:rsidRDefault="002A21AE">
            <w:pPr>
              <w:pStyle w:val="NotesText"/>
            </w:pPr>
          </w:p>
          <w:p w14:paraId="6CB1F633" w14:textId="0423FD16" w:rsidR="002A21AE" w:rsidRDefault="002A21AE">
            <w:pPr>
              <w:pStyle w:val="NotesText"/>
            </w:pPr>
            <w:r>
              <w:t xml:space="preserve">See </w:t>
            </w:r>
            <w:r w:rsidR="00543DAF">
              <w:fldChar w:fldCharType="begin" w:fldLock="1"/>
            </w:r>
            <w:r w:rsidR="00543DAF">
              <w:instrText xml:space="preserve"> REF _Ref170004931 \h </w:instrText>
            </w:r>
            <w:r w:rsidR="00543DAF">
              <w:fldChar w:fldCharType="separate"/>
            </w:r>
            <w:r w:rsidR="00AB304C">
              <w:t xml:space="preserve">Appendix </w:t>
            </w:r>
            <w:r w:rsidR="00AB304C">
              <w:rPr>
                <w:noProof/>
              </w:rPr>
              <w:t>B</w:t>
            </w:r>
            <w:r w:rsidR="00543DAF">
              <w:fldChar w:fldCharType="end"/>
            </w:r>
            <w:r>
              <w:t xml:space="preserve">: </w:t>
            </w:r>
            <w:r w:rsidR="00DA05C9">
              <w:fldChar w:fldCharType="begin" w:fldLock="1"/>
            </w:r>
            <w:r w:rsidR="00DA05C9">
              <w:instrText xml:space="preserve"> REF _Ref126484449 \h </w:instrText>
            </w:r>
            <w:r w:rsidR="00DA05C9">
              <w:fldChar w:fldCharType="separate"/>
            </w:r>
            <w:r w:rsidR="00AB304C">
              <w:t xml:space="preserve">Table </w:t>
            </w:r>
            <w:r w:rsidR="00AB304C">
              <w:rPr>
                <w:noProof/>
              </w:rPr>
              <w:t>14</w:t>
            </w:r>
            <w:r w:rsidR="00AB304C">
              <w:t xml:space="preserve">: </w:t>
            </w:r>
            <w:r w:rsidR="00AB304C">
              <w:rPr>
                <w:vanish/>
              </w:rPr>
              <w:t xml:space="preserve">TT_23.01A </w:t>
            </w:r>
            <w:r w:rsidR="00AB304C">
              <w:t>Antibody and Antigen Table: Irregular Antibodies</w:t>
            </w:r>
            <w:r w:rsidR="00DA05C9">
              <w:fldChar w:fldCharType="end"/>
            </w:r>
            <w:r>
              <w:t>.</w:t>
            </w:r>
          </w:p>
          <w:p w14:paraId="023EFB2A" w14:textId="77777777" w:rsidR="002A21AE" w:rsidRDefault="002A21AE">
            <w:pPr>
              <w:pStyle w:val="NotesText"/>
            </w:pPr>
          </w:p>
          <w:p w14:paraId="45363ED1" w14:textId="77777777" w:rsidR="002A21AE" w:rsidRDefault="002A21AE">
            <w:pPr>
              <w:pStyle w:val="NotesText"/>
            </w:pPr>
            <w:r w:rsidRPr="009660C3">
              <w:rPr>
                <w:vanish/>
                <w:szCs w:val="18"/>
              </w:rPr>
              <w:t xml:space="preserve">BR_31.07 </w:t>
            </w:r>
            <w:r>
              <w:t>The table’s presentation order is predefined at implementation and may not be sorted.</w:t>
            </w:r>
          </w:p>
        </w:tc>
      </w:tr>
      <w:tr w:rsidR="002A21AE" w14:paraId="222B47C8" w14:textId="77777777" w:rsidTr="007E500E">
        <w:trPr>
          <w:cantSplit/>
        </w:trPr>
        <w:tc>
          <w:tcPr>
            <w:tcW w:w="3240" w:type="dxa"/>
          </w:tcPr>
          <w:p w14:paraId="2F1CA78F" w14:textId="1783D728" w:rsidR="002A21AE" w:rsidRDefault="002A21AE">
            <w:pPr>
              <w:pStyle w:val="TableTextNumbers"/>
            </w:pPr>
            <w:r>
              <w:lastRenderedPageBreak/>
              <w:t xml:space="preserve">Select the antibody, edit each field, and click </w:t>
            </w:r>
            <w:r>
              <w:rPr>
                <w:b/>
              </w:rPr>
              <w:t>Update</w:t>
            </w:r>
            <w:r w:rsidR="006E74F2" w:rsidRPr="006E74F2">
              <w:t xml:space="preserve"> </w:t>
            </w:r>
            <w:r w:rsidR="006E74F2">
              <w:t>(</w:t>
            </w:r>
            <w:r w:rsidR="006E74F2">
              <w:fldChar w:fldCharType="begin" w:fldLock="1"/>
            </w:r>
            <w:r w:rsidR="006E74F2">
              <w:instrText xml:space="preserve"> REF _Ref126471658 \h </w:instrText>
            </w:r>
            <w:r w:rsidR="006E74F2">
              <w:fldChar w:fldCharType="separate"/>
            </w:r>
            <w:r w:rsidR="00AB304C">
              <w:t xml:space="preserve">Figure </w:t>
            </w:r>
            <w:r w:rsidR="00AB304C">
              <w:rPr>
                <w:noProof/>
              </w:rPr>
              <w:t>55</w:t>
            </w:r>
            <w:r w:rsidR="006E74F2">
              <w:fldChar w:fldCharType="end"/>
            </w:r>
            <w:r w:rsidR="006E74F2">
              <w:t>)</w:t>
            </w:r>
            <w:r w:rsidRPr="00B65BA7">
              <w:t xml:space="preserve">. </w:t>
            </w:r>
          </w:p>
        </w:tc>
        <w:tc>
          <w:tcPr>
            <w:tcW w:w="6120" w:type="dxa"/>
          </w:tcPr>
          <w:p w14:paraId="7954E6CC" w14:textId="77777777" w:rsidR="002A21AE" w:rsidRDefault="002A21AE">
            <w:pPr>
              <w:pStyle w:val="TableTextBullet"/>
            </w:pPr>
            <w:r>
              <w:t>Displays data and allows the user to edit them.</w:t>
            </w:r>
          </w:p>
          <w:p w14:paraId="492715BF" w14:textId="79A7201B" w:rsidR="002A21AE" w:rsidRDefault="002A21AE" w:rsidP="005321B0">
            <w:pPr>
              <w:pStyle w:val="TableTextBullet"/>
            </w:pPr>
            <w:r>
              <w:t>Accommodates data entry</w:t>
            </w:r>
            <w:r w:rsidR="00D037D5">
              <w:t xml:space="preserve"> of whole numbers</w:t>
            </w:r>
            <w:r w:rsidR="005321B0">
              <w:t xml:space="preserve"> </w:t>
            </w:r>
            <w:r w:rsidR="000F2235">
              <w:t xml:space="preserve">(0–100) </w:t>
            </w:r>
            <w:r w:rsidR="005321B0">
              <w:t xml:space="preserve">and </w:t>
            </w:r>
            <w:r>
              <w:t>edit of the</w:t>
            </w:r>
            <w:r w:rsidR="005321B0">
              <w:t xml:space="preserve"> </w:t>
            </w:r>
            <w:r w:rsidR="000F2235">
              <w:t xml:space="preserve">Antigen Negative </w:t>
            </w:r>
            <w:r w:rsidR="005321B0">
              <w:t>C</w:t>
            </w:r>
            <w:r>
              <w:t xml:space="preserve">ompatibility </w:t>
            </w:r>
            <w:r w:rsidR="005321B0">
              <w:t>P</w:t>
            </w:r>
            <w:r>
              <w:t xml:space="preserve">ercentage </w:t>
            </w:r>
            <w:r w:rsidR="005321B0">
              <w:t xml:space="preserve">and </w:t>
            </w:r>
            <w:r w:rsidR="00435F15">
              <w:t>Higher-Level O</w:t>
            </w:r>
            <w:r>
              <w:t xml:space="preserve">verride </w:t>
            </w:r>
            <w:r w:rsidR="005321B0">
              <w:t>fields.</w:t>
            </w:r>
            <w:r w:rsidR="00EE3F5F">
              <w:t xml:space="preserve"> The user may not edit field</w:t>
            </w:r>
            <w:r w:rsidR="009363FF">
              <w:t>s</w:t>
            </w:r>
            <w:r w:rsidR="00EE3F5F">
              <w:t xml:space="preserve"> </w:t>
            </w:r>
            <w:r w:rsidR="007A3914">
              <w:t xml:space="preserve">displayed </w:t>
            </w:r>
            <w:r w:rsidR="00EE3F5F">
              <w:t>on a gray background.</w:t>
            </w:r>
            <w:r w:rsidR="00B72A6B">
              <w:t xml:space="preserve"> </w:t>
            </w:r>
            <w:r w:rsidR="00B72A6B" w:rsidRPr="00B72A6B">
              <w:rPr>
                <w:vanish/>
              </w:rPr>
              <w:t>Defect 208774</w:t>
            </w:r>
          </w:p>
          <w:p w14:paraId="7B7A211E" w14:textId="77777777" w:rsidR="002A21AE" w:rsidRDefault="002A21AE">
            <w:pPr>
              <w:pStyle w:val="TableText"/>
            </w:pPr>
          </w:p>
          <w:p w14:paraId="175568D9" w14:textId="77777777" w:rsidR="002A21AE" w:rsidRDefault="00057948">
            <w:pPr>
              <w:pStyle w:val="TableText"/>
              <w:rPr>
                <w:b/>
                <w:bCs/>
                <w:szCs w:val="18"/>
              </w:rPr>
            </w:pPr>
            <w:r>
              <w:rPr>
                <w:b/>
                <w:bCs/>
                <w:noProof/>
              </w:rPr>
              <mc:AlternateContent>
                <mc:Choice Requires="wps">
                  <w:drawing>
                    <wp:anchor distT="0" distB="0" distL="114300" distR="114300" simplePos="0" relativeHeight="251618304" behindDoc="0" locked="0" layoutInCell="1" allowOverlap="1" wp14:anchorId="2BCD263C" wp14:editId="3F4E05E2">
                      <wp:simplePos x="0" y="0"/>
                      <wp:positionH relativeFrom="column">
                        <wp:posOffset>457200</wp:posOffset>
                      </wp:positionH>
                      <wp:positionV relativeFrom="paragraph">
                        <wp:posOffset>65405</wp:posOffset>
                      </wp:positionV>
                      <wp:extent cx="3200400" cy="0"/>
                      <wp:effectExtent l="9525" t="17780" r="9525" b="10795"/>
                      <wp:wrapNone/>
                      <wp:docPr id="554" name="Line 689" descr="P2176C6T2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9081D" id="Line 689" o:spid="_x0000_s1026" alt="&quot;&quot;"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CTmSJ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42A40481" w14:textId="77777777" w:rsidR="002A21AE" w:rsidRDefault="002A21AE">
            <w:pPr>
              <w:pStyle w:val="NotesText"/>
            </w:pPr>
          </w:p>
          <w:p w14:paraId="294DA121" w14:textId="43BDD996" w:rsidR="002A21AE" w:rsidRDefault="002A21AE">
            <w:pPr>
              <w:pStyle w:val="NotesText"/>
            </w:pPr>
            <w:r>
              <w:rPr>
                <w:rFonts w:cs="Arial"/>
                <w:vanish/>
              </w:rPr>
              <w:t xml:space="preserve">BR_23.01 </w:t>
            </w:r>
            <w:r>
              <w:t xml:space="preserve">When </w:t>
            </w:r>
            <w:r w:rsidR="00DA05C9">
              <w:fldChar w:fldCharType="begin" w:fldLock="1"/>
            </w:r>
            <w:r w:rsidR="00DA05C9">
              <w:instrText xml:space="preserve"> REF _Ref126484449 \h </w:instrText>
            </w:r>
            <w:r w:rsidR="00DA05C9">
              <w:fldChar w:fldCharType="separate"/>
            </w:r>
            <w:r w:rsidR="00AB304C">
              <w:t xml:space="preserve">Table </w:t>
            </w:r>
            <w:r w:rsidR="00AB304C">
              <w:rPr>
                <w:noProof/>
              </w:rPr>
              <w:t>14</w:t>
            </w:r>
            <w:r w:rsidR="00AB304C">
              <w:t xml:space="preserve">: </w:t>
            </w:r>
            <w:r w:rsidR="00AB304C">
              <w:rPr>
                <w:vanish/>
              </w:rPr>
              <w:t xml:space="preserve">TT_23.01A </w:t>
            </w:r>
            <w:r w:rsidR="00AB304C">
              <w:t>Antibody and Antigen Table: Irregular Antibodies</w:t>
            </w:r>
            <w:r w:rsidR="00DA05C9">
              <w:fldChar w:fldCharType="end"/>
            </w:r>
            <w:r>
              <w:t xml:space="preserve"> “antibody sets an antigen negative requirement” field is defined as REQ (required) at installation, it is not editable. When the default settings is OPT (optional), the user may change the name to REQ at any time and it will remain editable. </w:t>
            </w:r>
          </w:p>
        </w:tc>
      </w:tr>
      <w:tr w:rsidR="002A21AE" w14:paraId="1A7AE4FB" w14:textId="77777777">
        <w:tc>
          <w:tcPr>
            <w:tcW w:w="3240" w:type="dxa"/>
          </w:tcPr>
          <w:p w14:paraId="716D807F" w14:textId="77777777" w:rsidR="002A21AE" w:rsidRDefault="002A21AE">
            <w:pPr>
              <w:pStyle w:val="TableTextNumbers"/>
            </w:pPr>
            <w:r>
              <w:t xml:space="preserve">Repeat for each antibody to be edited. </w:t>
            </w:r>
          </w:p>
        </w:tc>
        <w:tc>
          <w:tcPr>
            <w:tcW w:w="6120" w:type="dxa"/>
          </w:tcPr>
          <w:p w14:paraId="10E774DC" w14:textId="77777777" w:rsidR="002A21AE" w:rsidRDefault="002A21AE">
            <w:pPr>
              <w:pStyle w:val="TableText"/>
            </w:pPr>
          </w:p>
        </w:tc>
      </w:tr>
      <w:tr w:rsidR="002A21AE" w14:paraId="3B873311" w14:textId="77777777">
        <w:tc>
          <w:tcPr>
            <w:tcW w:w="3240" w:type="dxa"/>
          </w:tcPr>
          <w:p w14:paraId="77AF287A" w14:textId="77777777" w:rsidR="002A21AE" w:rsidRDefault="002A21AE">
            <w:pPr>
              <w:pStyle w:val="TableTextNumbers"/>
            </w:pPr>
            <w:r>
              <w:t xml:space="preserve">Click </w:t>
            </w:r>
            <w:r>
              <w:rPr>
                <w:b/>
              </w:rPr>
              <w:t>OK</w:t>
            </w:r>
            <w:r>
              <w:t xml:space="preserve"> and </w:t>
            </w:r>
            <w:r>
              <w:rPr>
                <w:b/>
              </w:rPr>
              <w:t>Yes</w:t>
            </w:r>
            <w:r>
              <w:t xml:space="preserve"> to confirm changes and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15B0D279" w14:textId="77777777" w:rsidR="002A21AE" w:rsidRDefault="002A21AE">
            <w:pPr>
              <w:pStyle w:val="TableText"/>
            </w:pPr>
          </w:p>
        </w:tc>
      </w:tr>
    </w:tbl>
    <w:p w14:paraId="4CBED51D" w14:textId="5326306C" w:rsidR="006E74F2" w:rsidRDefault="006E74F2" w:rsidP="006E74F2">
      <w:pPr>
        <w:pStyle w:val="Caption"/>
      </w:pPr>
      <w:bookmarkStart w:id="212" w:name="_Ref126471658"/>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55</w:t>
      </w:r>
      <w:r w:rsidR="004E20BD">
        <w:rPr>
          <w:noProof/>
        </w:rPr>
        <w:fldChar w:fldCharType="end"/>
      </w:r>
      <w:bookmarkEnd w:id="212"/>
      <w:r>
        <w:t>: Maintain Antibodies</w:t>
      </w:r>
    </w:p>
    <w:p w14:paraId="50028D61" w14:textId="77777777" w:rsidR="002A21AE" w:rsidRDefault="00057948">
      <w:pPr>
        <w:pStyle w:val="BodyText"/>
      </w:pPr>
      <w:r>
        <w:rPr>
          <w:noProof/>
        </w:rPr>
        <w:drawing>
          <wp:inline distT="0" distB="0" distL="0" distR="0" wp14:anchorId="5ECC81AD" wp14:editId="2F447469">
            <wp:extent cx="3546475" cy="2835275"/>
            <wp:effectExtent l="0" t="0" r="0" b="3175"/>
            <wp:docPr id="134" name="Picture 134" descr="P2187#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P2187#yIS1">
                      <a:extLst>
                        <a:ext uri="{C183D7F6-B498-43B3-948B-1728B52AA6E4}">
                          <adec:decorative xmlns:adec="http://schemas.microsoft.com/office/drawing/2017/decorative" val="1"/>
                        </a:ext>
                      </a:extLs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546475" cy="2835275"/>
                    </a:xfrm>
                    <a:prstGeom prst="rect">
                      <a:avLst/>
                    </a:prstGeom>
                    <a:noFill/>
                    <a:ln>
                      <a:noFill/>
                    </a:ln>
                  </pic:spPr>
                </pic:pic>
              </a:graphicData>
            </a:graphic>
          </wp:inline>
        </w:drawing>
      </w:r>
    </w:p>
    <w:p w14:paraId="0CF6A5E5" w14:textId="77777777" w:rsidR="002A21AE" w:rsidRDefault="00AF089A">
      <w:pPr>
        <w:pStyle w:val="Heading3"/>
      </w:pPr>
      <w:bookmarkStart w:id="213" w:name="_Toc63680390"/>
      <w:r>
        <w:br w:type="page"/>
      </w:r>
      <w:bookmarkStart w:id="214" w:name="_Toc4588763"/>
      <w:r w:rsidR="002A21AE">
        <w:lastRenderedPageBreak/>
        <w:t>Canned Comments</w:t>
      </w:r>
      <w:bookmarkEnd w:id="213"/>
      <w:bookmarkEnd w:id="214"/>
      <w:r w:rsidR="002A21AE" w:rsidRPr="00AB67A6">
        <w:rPr>
          <w:rFonts w:ascii="Arial Bold" w:hAnsi="Arial Bold"/>
          <w:vanish/>
        </w:rPr>
        <w:fldChar w:fldCharType="begin"/>
      </w:r>
      <w:r w:rsidR="002A21AE" w:rsidRPr="00AB67A6">
        <w:rPr>
          <w:rFonts w:ascii="Arial Bold" w:hAnsi="Arial Bold"/>
          <w:vanish/>
        </w:rPr>
        <w:instrText xml:space="preserve"> XE </w:instrText>
      </w:r>
      <w:r w:rsidR="00FA7E65" w:rsidRPr="00AB67A6">
        <w:rPr>
          <w:rFonts w:ascii="Arial Bold" w:hAnsi="Arial Bold"/>
          <w:vanish/>
        </w:rPr>
        <w:instrText>“</w:instrText>
      </w:r>
      <w:r w:rsidR="002A21AE" w:rsidRPr="00AB67A6">
        <w:rPr>
          <w:rFonts w:ascii="Arial Bold" w:hAnsi="Arial Bold"/>
          <w:vanish/>
        </w:rPr>
        <w:instrText>Canned Comments</w:instrText>
      </w:r>
      <w:r w:rsidR="00FA7E65" w:rsidRPr="00AB67A6">
        <w:rPr>
          <w:rFonts w:ascii="Arial Bold" w:hAnsi="Arial Bold"/>
          <w:vanish/>
        </w:rPr>
        <w:instrText>”</w:instrText>
      </w:r>
      <w:r w:rsidR="002A21AE" w:rsidRPr="00AB67A6">
        <w:rPr>
          <w:rFonts w:ascii="Arial Bold" w:hAnsi="Arial Bold"/>
          <w:vanish/>
        </w:rPr>
        <w:instrText xml:space="preserve"> </w:instrText>
      </w:r>
      <w:r w:rsidR="002A21AE" w:rsidRPr="00AB67A6">
        <w:rPr>
          <w:rFonts w:ascii="Arial Bold" w:hAnsi="Arial Bold"/>
          <w:vanish/>
        </w:rPr>
        <w:fldChar w:fldCharType="end"/>
      </w:r>
      <w:r w:rsidR="002A21AE" w:rsidRPr="00AB67A6">
        <w:rPr>
          <w:rFonts w:ascii="Arial Bold" w:hAnsi="Arial Bold"/>
          <w:vanish/>
        </w:rPr>
        <w:t xml:space="preserve"> UC_31</w:t>
      </w:r>
    </w:p>
    <w:p w14:paraId="6D470BFE" w14:textId="77777777" w:rsidR="002A21AE" w:rsidRDefault="002A21AE" w:rsidP="00FA7E65">
      <w:pPr>
        <w:pStyle w:val="BodyText"/>
      </w:pPr>
      <w:r>
        <w:t>The user defines canned comments for a division.</w:t>
      </w:r>
    </w:p>
    <w:p w14:paraId="59A40C41" w14:textId="77777777" w:rsidR="002A21AE" w:rsidRDefault="002A21AE">
      <w:pPr>
        <w:pStyle w:val="Heading4"/>
      </w:pPr>
      <w:r>
        <w:t>Assumptions</w:t>
      </w:r>
    </w:p>
    <w:p w14:paraId="0576F28F" w14:textId="77777777" w:rsidR="002A21AE" w:rsidRDefault="002A21AE">
      <w:pPr>
        <w:pStyle w:val="ListBullet"/>
      </w:pPr>
      <w:r>
        <w:t>None</w:t>
      </w:r>
    </w:p>
    <w:p w14:paraId="3F43FC5D" w14:textId="77777777" w:rsidR="002A21AE" w:rsidRDefault="002A21AE">
      <w:pPr>
        <w:pStyle w:val="Heading4"/>
      </w:pPr>
      <w:r>
        <w:t>Outcome</w:t>
      </w:r>
    </w:p>
    <w:p w14:paraId="2E356044" w14:textId="77777777" w:rsidR="002A21AE" w:rsidRDefault="002A21AE">
      <w:pPr>
        <w:pStyle w:val="ListBullet"/>
      </w:pPr>
      <w:r>
        <w:t>Canned comments for a division are available for selection.</w:t>
      </w:r>
    </w:p>
    <w:p w14:paraId="50BADA6F" w14:textId="77777777" w:rsidR="002A21AE" w:rsidRDefault="002A21AE">
      <w:pPr>
        <w:pStyle w:val="Heading4"/>
      </w:pPr>
      <w:r>
        <w:t>Limitations and Restrictions</w:t>
      </w:r>
    </w:p>
    <w:p w14:paraId="2B5AA3F9" w14:textId="28441C6C" w:rsidR="002F3BCC" w:rsidRDefault="002A21AE" w:rsidP="00C973F9">
      <w:pPr>
        <w:pStyle w:val="ListBullet"/>
      </w:pPr>
      <w:r>
        <w:t>The user may not edit comments</w:t>
      </w:r>
      <w:r w:rsidR="00E47F66">
        <w:t xml:space="preserve"> provided with VBECS </w:t>
      </w:r>
      <w:r>
        <w:t xml:space="preserve">but may create </w:t>
      </w:r>
      <w:r w:rsidR="00B97198">
        <w:t>additional comments</w:t>
      </w:r>
      <w:r>
        <w:t>.</w:t>
      </w:r>
      <w:r w:rsidR="0002020B">
        <w:t xml:space="preserve"> </w:t>
      </w:r>
      <w:r w:rsidR="00C973F9">
        <w:t xml:space="preserve">Although comments can </w:t>
      </w:r>
      <w:r w:rsidR="002211C7">
        <w:t xml:space="preserve">also </w:t>
      </w:r>
      <w:r w:rsidR="00C973F9">
        <w:t xml:space="preserve">be removed, there should remain at least one comment </w:t>
      </w:r>
      <w:r w:rsidR="00B72A6B">
        <w:t xml:space="preserve">per category </w:t>
      </w:r>
      <w:r w:rsidR="00C973F9">
        <w:t>available for selection, (e.g., “Other”).</w:t>
      </w:r>
      <w:r w:rsidR="0002020B">
        <w:t xml:space="preserve"> </w:t>
      </w:r>
      <w:r w:rsidR="0002020B" w:rsidRPr="0002020B">
        <w:rPr>
          <w:vanish/>
        </w:rPr>
        <w:t>Defect 209175</w:t>
      </w:r>
    </w:p>
    <w:p w14:paraId="4F516484" w14:textId="0B5237BE" w:rsidR="002C6BD1" w:rsidRDefault="002C6BD1" w:rsidP="002C6BD1">
      <w:pPr>
        <w:pStyle w:val="ListBullet"/>
      </w:pPr>
      <w:r>
        <w:t>Site personnel must enter comments in accordance with local policy and procedures.</w:t>
      </w:r>
    </w:p>
    <w:p w14:paraId="6C313CC7" w14:textId="67E1097A" w:rsidR="00B767B6" w:rsidRDefault="00B72A6B" w:rsidP="002C6BD1">
      <w:pPr>
        <w:pStyle w:val="ListBullet"/>
      </w:pPr>
      <w:r>
        <w:t>If you receive</w:t>
      </w:r>
      <w:r w:rsidR="00B767B6">
        <w:t xml:space="preserve"> a system error when entering canned comments, the user who configured the division must be added to the users list in VBECS.</w:t>
      </w:r>
      <w:r w:rsidR="00730CAA">
        <w:t xml:space="preserve"> </w:t>
      </w:r>
      <w:r w:rsidR="00730CAA" w:rsidRPr="00730CAA">
        <w:rPr>
          <w:vanish/>
        </w:rPr>
        <w:t>Defect 209173</w:t>
      </w:r>
      <w:r>
        <w:t xml:space="preserve"> File a service request if the user is not known.</w:t>
      </w:r>
    </w:p>
    <w:p w14:paraId="008A0CB9" w14:textId="77777777" w:rsidR="002A21AE" w:rsidRDefault="002A21AE">
      <w:pPr>
        <w:pStyle w:val="Heading4"/>
      </w:pPr>
      <w:r>
        <w:t>Additional Information</w:t>
      </w:r>
    </w:p>
    <w:p w14:paraId="4B16D6D8" w14:textId="3A5E2979" w:rsidR="002A21AE" w:rsidRDefault="002A21AE">
      <w:pPr>
        <w:pStyle w:val="ListBullet"/>
      </w:pPr>
      <w:r>
        <w:rPr>
          <w:rFonts w:ascii="Arial" w:hAnsi="Arial" w:cs="Arial"/>
          <w:vanish/>
          <w:spacing w:val="0"/>
          <w:sz w:val="18"/>
        </w:rPr>
        <w:t xml:space="preserve">BR_31.01 </w:t>
      </w:r>
      <w:r>
        <w:t xml:space="preserve">Canned comments are specific to each division. See </w:t>
      </w:r>
      <w:r w:rsidR="00543DAF">
        <w:fldChar w:fldCharType="begin" w:fldLock="1"/>
      </w:r>
      <w:r w:rsidR="00543DAF">
        <w:instrText xml:space="preserve"> REF _Ref170004931 \h </w:instrText>
      </w:r>
      <w:r w:rsidR="00543DAF">
        <w:fldChar w:fldCharType="separate"/>
      </w:r>
      <w:r w:rsidR="00AB304C">
        <w:t xml:space="preserve">Appendix </w:t>
      </w:r>
      <w:r w:rsidR="00AB304C">
        <w:rPr>
          <w:noProof/>
        </w:rPr>
        <w:t>B</w:t>
      </w:r>
      <w:r w:rsidR="00543DAF">
        <w:fldChar w:fldCharType="end"/>
      </w:r>
      <w:r>
        <w:t xml:space="preserve">: </w:t>
      </w:r>
      <w:r w:rsidR="00DA05C9">
        <w:fldChar w:fldCharType="begin" w:fldLock="1"/>
      </w:r>
      <w:r w:rsidR="00DA05C9">
        <w:instrText xml:space="preserve"> REF _Ref126484498 \h </w:instrText>
      </w:r>
      <w:r w:rsidR="00DA05C9">
        <w:fldChar w:fldCharType="separate"/>
      </w:r>
      <w:r w:rsidR="00AB304C">
        <w:t xml:space="preserve">Table </w:t>
      </w:r>
      <w:r w:rsidR="00AB304C">
        <w:rPr>
          <w:noProof/>
        </w:rPr>
        <w:t>17</w:t>
      </w:r>
      <w:r w:rsidR="00AB304C">
        <w:t xml:space="preserve">: </w:t>
      </w:r>
      <w:r w:rsidR="00AB304C">
        <w:rPr>
          <w:vanish/>
        </w:rPr>
        <w:t xml:space="preserve">PT_31.01 </w:t>
      </w:r>
      <w:r w:rsidR="00AB304C">
        <w:t>Canned Comment Category Types and Message Text</w:t>
      </w:r>
      <w:r w:rsidR="00DA05C9">
        <w:fldChar w:fldCharType="end"/>
      </w:r>
      <w:r w:rsidR="00DA05C9">
        <w:t xml:space="preserve"> </w:t>
      </w:r>
      <w:r>
        <w:t>defines the category types and comments.</w:t>
      </w:r>
    </w:p>
    <w:p w14:paraId="4AB251BA" w14:textId="5A81EFB4" w:rsidR="00EF0B68" w:rsidRDefault="00EF0B68" w:rsidP="00867DFC">
      <w:pPr>
        <w:pStyle w:val="ListBullet"/>
      </w:pPr>
      <w:r w:rsidRPr="00AE3748">
        <w:t xml:space="preserve">Currently, VBECS does not </w:t>
      </w:r>
      <w:r w:rsidR="00867DFC" w:rsidRPr="00AE3748">
        <w:t>identify the testing laboratory and include its address on results reports in CPRS. While this will be fixed in a later version, a workaround for the issue is to create Canned Comments for the missing information and apply them to blood bank results.</w:t>
      </w:r>
      <w:r w:rsidR="00AB4BD9">
        <w:t xml:space="preserve"> </w:t>
      </w:r>
      <w:r w:rsidR="00AB4BD9" w:rsidRPr="00AB4BD9">
        <w:rPr>
          <w:vanish/>
        </w:rPr>
        <w:t>Defect 414740</w:t>
      </w:r>
    </w:p>
    <w:p w14:paraId="463CFACE" w14:textId="77777777" w:rsidR="002A21AE" w:rsidRPr="00AE3748" w:rsidRDefault="002A21AE">
      <w:pPr>
        <w:pStyle w:val="Heading4"/>
        <w:rPr>
          <w:rFonts w:ascii="Times New Roman" w:hAnsi="Times New Roman"/>
          <w:b w:val="0"/>
          <w:spacing w:val="-5"/>
          <w:szCs w:val="22"/>
        </w:rPr>
      </w:pPr>
      <w:r w:rsidRPr="00AE3748">
        <w:rPr>
          <w:rFonts w:ascii="Times New Roman" w:hAnsi="Times New Roman"/>
          <w:b w:val="0"/>
          <w:spacing w:val="-5"/>
          <w:szCs w:val="22"/>
        </w:rPr>
        <w:t>User Roles with Access to This Option</w:t>
      </w:r>
    </w:p>
    <w:p w14:paraId="2C6E8A14" w14:textId="77777777" w:rsidR="002A21AE" w:rsidRDefault="00785DA1">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27B3E18E" w14:textId="77777777" w:rsidR="002A21AE" w:rsidRDefault="002A21AE">
      <w:pPr>
        <w:pStyle w:val="Heading4"/>
      </w:pPr>
      <w:r>
        <w:t>Canned Comments</w:t>
      </w:r>
    </w:p>
    <w:p w14:paraId="3AE0D895" w14:textId="77777777" w:rsidR="00434F15" w:rsidRPr="00A0090C" w:rsidRDefault="00434F15" w:rsidP="00434F15">
      <w:pPr>
        <w:pStyle w:val="BodyText"/>
      </w:pPr>
      <w:r>
        <w:t xml:space="preserve">It is recommended that the user </w:t>
      </w:r>
      <w:r w:rsidRPr="00A0090C">
        <w:t xml:space="preserve">review the canned comments </w:t>
      </w:r>
      <w:r w:rsidR="0011459B">
        <w:t xml:space="preserve">provided with VBECS </w:t>
      </w:r>
      <w:r w:rsidRPr="00A0090C">
        <w:t xml:space="preserve">for each </w:t>
      </w:r>
      <w:r>
        <w:t>category type</w:t>
      </w:r>
      <w:r w:rsidRPr="00A0090C">
        <w:t xml:space="preserve"> and inactivate those that </w:t>
      </w:r>
      <w:r>
        <w:t>will not be used</w:t>
      </w:r>
      <w:r w:rsidRPr="00A0090C">
        <w:t>.</w:t>
      </w:r>
      <w:r w:rsidR="0011459B">
        <w:t xml:space="preserve"> </w:t>
      </w:r>
    </w:p>
    <w:p w14:paraId="5EE1975B" w14:textId="77777777" w:rsidR="002A21AE" w:rsidRDefault="002A21AE" w:rsidP="00FA7E65">
      <w:pPr>
        <w:pStyle w:val="BodyText"/>
      </w:pPr>
      <w:r>
        <w:t xml:space="preserve">The user creates canned comments to use in lieu of entering text. Canned comments are restricted for selection based on the </w:t>
      </w:r>
      <w:r w:rsidR="0036471F">
        <w:t>category type</w:t>
      </w:r>
      <w:r>
        <w:t xml:space="preserve"> of the comment field. </w:t>
      </w:r>
    </w:p>
    <w:p w14:paraId="0F7865FD" w14:textId="77777777" w:rsidR="002A21AE" w:rsidRDefault="002A21AE" w:rsidP="00FA7E65">
      <w:pPr>
        <w:pStyle w:val="BodyText"/>
      </w:pPr>
      <w:r>
        <w:t>The user may select a comment and has the option to enter explanatory text in the details field.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4ECF8936" w14:textId="77777777">
        <w:trPr>
          <w:tblHeader/>
        </w:trPr>
        <w:tc>
          <w:tcPr>
            <w:tcW w:w="3240" w:type="dxa"/>
            <w:shd w:val="pct30" w:color="auto" w:fill="FFFFFF"/>
            <w:vAlign w:val="bottom"/>
          </w:tcPr>
          <w:p w14:paraId="18ED4BEA" w14:textId="77777777" w:rsidR="002A21AE" w:rsidRDefault="002A21AE">
            <w:pPr>
              <w:pStyle w:val="TableText"/>
              <w:rPr>
                <w:b/>
              </w:rPr>
            </w:pPr>
            <w:bookmarkStart w:id="215" w:name="_Toc63680392"/>
            <w:r>
              <w:rPr>
                <w:b/>
              </w:rPr>
              <w:t>User Action</w:t>
            </w:r>
          </w:p>
        </w:tc>
        <w:tc>
          <w:tcPr>
            <w:tcW w:w="6120" w:type="dxa"/>
            <w:shd w:val="pct30" w:color="auto" w:fill="FFFFFF"/>
            <w:vAlign w:val="bottom"/>
          </w:tcPr>
          <w:p w14:paraId="628621E7" w14:textId="77777777" w:rsidR="002A21AE" w:rsidRDefault="002A21AE">
            <w:pPr>
              <w:pStyle w:val="TableText"/>
              <w:rPr>
                <w:b/>
              </w:rPr>
            </w:pPr>
            <w:r>
              <w:rPr>
                <w:b/>
              </w:rPr>
              <w:t>VBECS</w:t>
            </w:r>
          </w:p>
        </w:tc>
      </w:tr>
      <w:tr w:rsidR="002A21AE" w14:paraId="0012DE12" w14:textId="77777777">
        <w:tc>
          <w:tcPr>
            <w:tcW w:w="3240" w:type="dxa"/>
          </w:tcPr>
          <w:p w14:paraId="0ACFC4D9" w14:textId="77777777" w:rsidR="002A21AE" w:rsidRDefault="002A21AE">
            <w:pPr>
              <w:pStyle w:val="TableTextNumbers"/>
            </w:pPr>
            <w:r>
              <w:t xml:space="preserve">Select </w:t>
            </w:r>
            <w:r>
              <w:rPr>
                <w:b/>
              </w:rPr>
              <w:t>Tools</w:t>
            </w:r>
            <w:r>
              <w:t xml:space="preserve"> from the main menu.</w:t>
            </w:r>
          </w:p>
          <w:p w14:paraId="5FBF5F58" w14:textId="77777777" w:rsidR="002A21AE" w:rsidRDefault="002A21AE">
            <w:pPr>
              <w:pStyle w:val="TableTextNumbersContinued"/>
            </w:pPr>
          </w:p>
          <w:p w14:paraId="4BB99ABE" w14:textId="77777777" w:rsidR="002A21AE" w:rsidRDefault="002A21AE">
            <w:pPr>
              <w:pStyle w:val="TableTextNumbersContinued"/>
            </w:pPr>
            <w:r>
              <w:t xml:space="preserve">Select </w:t>
            </w:r>
            <w:r>
              <w:rPr>
                <w:b/>
              </w:rPr>
              <w:t>Canned Comments</w:t>
            </w:r>
            <w:r>
              <w:t>.</w:t>
            </w:r>
          </w:p>
        </w:tc>
        <w:tc>
          <w:tcPr>
            <w:tcW w:w="6120" w:type="dxa"/>
          </w:tcPr>
          <w:p w14:paraId="2A725AD1" w14:textId="77777777" w:rsidR="002A21AE" w:rsidRDefault="002A21AE">
            <w:pPr>
              <w:pStyle w:val="TableTextBullet"/>
            </w:pPr>
            <w:r>
              <w:t>Displays options for processing administrative functions.</w:t>
            </w:r>
          </w:p>
        </w:tc>
      </w:tr>
      <w:tr w:rsidR="002A21AE" w14:paraId="5E069D85" w14:textId="77777777">
        <w:tc>
          <w:tcPr>
            <w:tcW w:w="3240" w:type="dxa"/>
          </w:tcPr>
          <w:p w14:paraId="6EDDF95B" w14:textId="6BAF0C29" w:rsidR="002A21AE" w:rsidRDefault="002A21AE">
            <w:pPr>
              <w:pStyle w:val="TableTextNumbers"/>
            </w:pPr>
            <w:r>
              <w:t>Select a comment category type from the drop-down list</w:t>
            </w:r>
            <w:r w:rsidR="00A9458F">
              <w:t xml:space="preserve"> (</w:t>
            </w:r>
            <w:r w:rsidR="00A9458F">
              <w:fldChar w:fldCharType="begin" w:fldLock="1"/>
            </w:r>
            <w:r w:rsidR="00A9458F">
              <w:instrText xml:space="preserve"> REF _Ref126471989 \h </w:instrText>
            </w:r>
            <w:r w:rsidR="00A9458F">
              <w:fldChar w:fldCharType="separate"/>
            </w:r>
            <w:r w:rsidR="00AB304C">
              <w:t xml:space="preserve">Figure </w:t>
            </w:r>
            <w:r w:rsidR="00AB304C">
              <w:rPr>
                <w:noProof/>
              </w:rPr>
              <w:t>56</w:t>
            </w:r>
            <w:r w:rsidR="00A9458F">
              <w:fldChar w:fldCharType="end"/>
            </w:r>
            <w:r w:rsidR="00A9458F">
              <w:t>)</w:t>
            </w:r>
            <w:r>
              <w:t>.</w:t>
            </w:r>
          </w:p>
        </w:tc>
        <w:tc>
          <w:tcPr>
            <w:tcW w:w="6120" w:type="dxa"/>
          </w:tcPr>
          <w:p w14:paraId="54B40754" w14:textId="77777777" w:rsidR="002A21AE" w:rsidRDefault="002A21AE">
            <w:pPr>
              <w:pStyle w:val="TableTextBullet"/>
            </w:pPr>
            <w:r>
              <w:t>Lists the category types for canned comments.</w:t>
            </w:r>
          </w:p>
          <w:p w14:paraId="1989FEF4" w14:textId="77777777" w:rsidR="002A21AE" w:rsidRDefault="002A21AE">
            <w:pPr>
              <w:pStyle w:val="TableTextBullet"/>
            </w:pPr>
            <w:r>
              <w:t>Allows the user to create a comment or inactivate an existing one.</w:t>
            </w:r>
          </w:p>
        </w:tc>
      </w:tr>
      <w:tr w:rsidR="002A21AE" w14:paraId="7FAA57A9" w14:textId="77777777" w:rsidTr="007E500E">
        <w:trPr>
          <w:cantSplit/>
        </w:trPr>
        <w:tc>
          <w:tcPr>
            <w:tcW w:w="3240" w:type="dxa"/>
          </w:tcPr>
          <w:p w14:paraId="3ED5F113" w14:textId="77777777" w:rsidR="002A21AE" w:rsidRDefault="002A21AE">
            <w:pPr>
              <w:pStyle w:val="TableTextNumbers"/>
            </w:pPr>
            <w:r>
              <w:lastRenderedPageBreak/>
              <w:t xml:space="preserve">Enter text in the Comment field and click </w:t>
            </w:r>
            <w:r>
              <w:rPr>
                <w:b/>
              </w:rPr>
              <w:t>Add</w:t>
            </w:r>
            <w:r>
              <w:t xml:space="preserve"> to add a comment.</w:t>
            </w:r>
          </w:p>
          <w:p w14:paraId="308E461D" w14:textId="77777777" w:rsidR="002A21AE" w:rsidRDefault="002A21AE">
            <w:pPr>
              <w:pStyle w:val="TableTextNumbersContinued"/>
            </w:pPr>
          </w:p>
          <w:p w14:paraId="5D2482B3" w14:textId="77777777" w:rsidR="002A21AE" w:rsidRDefault="002A21AE">
            <w:pPr>
              <w:pStyle w:val="TableTextNumbersContinued"/>
            </w:pPr>
            <w:r>
              <w:t>Click one or more check boxes to inactivate existing comments.</w:t>
            </w:r>
          </w:p>
        </w:tc>
        <w:tc>
          <w:tcPr>
            <w:tcW w:w="6120" w:type="dxa"/>
          </w:tcPr>
          <w:p w14:paraId="5CB707C2" w14:textId="77777777" w:rsidR="002A21AE" w:rsidRDefault="002A21AE">
            <w:pPr>
              <w:pStyle w:val="TableTextBullet"/>
            </w:pPr>
            <w:r>
              <w:t>Displays entered data and allows the user to edit them before saving.</w:t>
            </w:r>
          </w:p>
          <w:p w14:paraId="74B18B8B" w14:textId="77777777" w:rsidR="000144A0" w:rsidRDefault="000144A0" w:rsidP="000144A0">
            <w:pPr>
              <w:pStyle w:val="TableText"/>
            </w:pPr>
          </w:p>
          <w:p w14:paraId="5A434D2E" w14:textId="77777777" w:rsidR="000144A0" w:rsidRDefault="00057948" w:rsidP="000144A0">
            <w:pPr>
              <w:pStyle w:val="TableText"/>
              <w:rPr>
                <w:b/>
                <w:bCs/>
                <w:szCs w:val="18"/>
              </w:rPr>
            </w:pPr>
            <w:r>
              <w:rPr>
                <w:b/>
                <w:bCs/>
                <w:noProof/>
              </w:rPr>
              <mc:AlternateContent>
                <mc:Choice Requires="wps">
                  <w:drawing>
                    <wp:anchor distT="0" distB="0" distL="114300" distR="114300" simplePos="0" relativeHeight="251720704" behindDoc="0" locked="0" layoutInCell="1" allowOverlap="1" wp14:anchorId="646F1196" wp14:editId="7032BAA8">
                      <wp:simplePos x="0" y="0"/>
                      <wp:positionH relativeFrom="column">
                        <wp:posOffset>457200</wp:posOffset>
                      </wp:positionH>
                      <wp:positionV relativeFrom="paragraph">
                        <wp:posOffset>65405</wp:posOffset>
                      </wp:positionV>
                      <wp:extent cx="3200400" cy="0"/>
                      <wp:effectExtent l="9525" t="17780" r="9525" b="10795"/>
                      <wp:wrapNone/>
                      <wp:docPr id="553" name="Line 1081" descr="P2224C8T2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B84B5" id="Line 1081" o:spid="_x0000_s1026" alt="&quot;&quot;"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PHiWcPEAQAAbwMAAA4AAAAAAAAAAAAAAAAA&#10;LgIAAGRycy9lMm9Eb2MueG1sUEsBAi0AFAAGAAgAAAAhABdPMBLbAAAACAEAAA8AAAAAAAAAAAAA&#10;AAAAHgQAAGRycy9kb3ducmV2LnhtbFBLBQYAAAAABAAEAPMAAAAmBQAAAAA=&#10;" strokeweight="1.5pt"/>
                  </w:pict>
                </mc:Fallback>
              </mc:AlternateContent>
            </w:r>
            <w:r w:rsidR="000144A0">
              <w:rPr>
                <w:b/>
                <w:bCs/>
                <w:szCs w:val="18"/>
              </w:rPr>
              <w:t>NOTES</w:t>
            </w:r>
          </w:p>
          <w:p w14:paraId="62F4B6F3" w14:textId="77777777" w:rsidR="000144A0" w:rsidRDefault="000144A0" w:rsidP="000144A0">
            <w:pPr>
              <w:pStyle w:val="NotesText"/>
            </w:pPr>
          </w:p>
          <w:p w14:paraId="611B6EED" w14:textId="77777777" w:rsidR="002A21AE" w:rsidRDefault="002A21AE">
            <w:pPr>
              <w:pStyle w:val="NotesText"/>
            </w:pPr>
            <w:r>
              <w:rPr>
                <w:vanish/>
                <w:szCs w:val="18"/>
              </w:rPr>
              <w:t xml:space="preserve">BR_31.03, BR_31.04, BR_31.06, BR_31.05, BR_31.02 </w:t>
            </w:r>
            <w:r>
              <w:t>A user may:</w:t>
            </w:r>
          </w:p>
          <w:p w14:paraId="747B7474" w14:textId="77777777" w:rsidR="002A21AE" w:rsidRDefault="002A21AE">
            <w:pPr>
              <w:pStyle w:val="NotesTextBullet"/>
            </w:pPr>
            <w:r>
              <w:t>Add canned comments.</w:t>
            </w:r>
          </w:p>
          <w:p w14:paraId="3F2F77BB" w14:textId="77777777" w:rsidR="002A21AE" w:rsidRDefault="002A21AE">
            <w:pPr>
              <w:pStyle w:val="NotesTextBullet"/>
            </w:pPr>
            <w:r>
              <w:t>Inactivate canned comments.</w:t>
            </w:r>
          </w:p>
          <w:p w14:paraId="1B1128DD" w14:textId="77777777" w:rsidR="002A21AE" w:rsidRDefault="002A21AE">
            <w:pPr>
              <w:pStyle w:val="NotesTextBullet"/>
            </w:pPr>
            <w:r>
              <w:t>Reactivate inactive comments.</w:t>
            </w:r>
          </w:p>
          <w:p w14:paraId="7C595749" w14:textId="77777777" w:rsidR="002A21AE" w:rsidRDefault="002A21AE">
            <w:pPr>
              <w:pStyle w:val="NotesTextBullet"/>
            </w:pPr>
            <w:r>
              <w:t>View inactive comments and dates of inactivation.</w:t>
            </w:r>
          </w:p>
          <w:p w14:paraId="0A7683C8" w14:textId="77777777" w:rsidR="002A21AE" w:rsidRDefault="002A21AE" w:rsidP="000144A0">
            <w:pPr>
              <w:pStyle w:val="NotesTextBullet"/>
            </w:pPr>
            <w:r>
              <w:t>Control the order in which VBECS displays comments in a context.</w:t>
            </w:r>
          </w:p>
        </w:tc>
      </w:tr>
      <w:tr w:rsidR="002A21AE" w14:paraId="57D8AFD8" w14:textId="77777777">
        <w:tc>
          <w:tcPr>
            <w:tcW w:w="3240" w:type="dxa"/>
          </w:tcPr>
          <w:p w14:paraId="44F1DD97" w14:textId="77777777" w:rsidR="002A21AE" w:rsidRDefault="002A21AE">
            <w:pPr>
              <w:pStyle w:val="TableTextNumbers"/>
            </w:pPr>
            <w:r>
              <w:t xml:space="preserve">Click the </w:t>
            </w:r>
            <w:r>
              <w:rPr>
                <w:b/>
              </w:rPr>
              <w:t xml:space="preserve">Show inactive Comments </w:t>
            </w:r>
            <w:r w:rsidRPr="00D1100E">
              <w:t>check box</w:t>
            </w:r>
            <w:r>
              <w:t xml:space="preserve"> to view inactive comments.</w:t>
            </w:r>
          </w:p>
          <w:p w14:paraId="0DCEB29D" w14:textId="77777777" w:rsidR="002A21AE" w:rsidRDefault="002A21AE">
            <w:pPr>
              <w:pStyle w:val="TableTextNumbersContinued"/>
            </w:pPr>
          </w:p>
          <w:p w14:paraId="4DA6F2D2" w14:textId="77777777" w:rsidR="002A21AE" w:rsidRDefault="002A21AE">
            <w:pPr>
              <w:pStyle w:val="TableTextNumbersContinued"/>
            </w:pPr>
            <w:r>
              <w:t>Click one or more check boxes to reactivate inactive comments.</w:t>
            </w:r>
          </w:p>
        </w:tc>
        <w:tc>
          <w:tcPr>
            <w:tcW w:w="6120" w:type="dxa"/>
          </w:tcPr>
          <w:p w14:paraId="18BE4E90" w14:textId="77777777" w:rsidR="002A21AE" w:rsidRDefault="002A21AE">
            <w:pPr>
              <w:pStyle w:val="TableTextBullet"/>
            </w:pPr>
            <w:r>
              <w:t>Displays inactive comments and allows the user to reactivate them.</w:t>
            </w:r>
          </w:p>
        </w:tc>
      </w:tr>
      <w:tr w:rsidR="002A21AE" w14:paraId="76575D76" w14:textId="77777777">
        <w:tc>
          <w:tcPr>
            <w:tcW w:w="3240" w:type="dxa"/>
          </w:tcPr>
          <w:p w14:paraId="2EDEE0E3" w14:textId="77777777" w:rsidR="002A21AE" w:rsidRDefault="002A21AE">
            <w:pPr>
              <w:pStyle w:val="TableTextNumbers"/>
            </w:pPr>
            <w:r>
              <w:t xml:space="preserve">Repeat Steps 2–4, as needed. </w:t>
            </w:r>
          </w:p>
          <w:p w14:paraId="37664220" w14:textId="77777777" w:rsidR="002A21AE" w:rsidRDefault="002A21AE">
            <w:pPr>
              <w:pStyle w:val="TableTextNumbersContinued"/>
            </w:pPr>
          </w:p>
          <w:p w14:paraId="6903A169" w14:textId="77777777" w:rsidR="002A21AE" w:rsidRDefault="002A21AE">
            <w:pPr>
              <w:pStyle w:val="TableTextNumbersContinued"/>
            </w:pPr>
            <w:r>
              <w:t xml:space="preserve">Click </w:t>
            </w:r>
            <w:r>
              <w:rPr>
                <w:b/>
              </w:rPr>
              <w:t>OK</w:t>
            </w:r>
            <w:r>
              <w:t xml:space="preserve"> and </w:t>
            </w:r>
            <w:r>
              <w:rPr>
                <w:b/>
              </w:rPr>
              <w:t>Yes</w:t>
            </w:r>
            <w:r>
              <w:t xml:space="preserve"> to save and exit, or </w:t>
            </w:r>
            <w:r>
              <w:rPr>
                <w:b/>
              </w:rPr>
              <w:t>Cancel</w:t>
            </w:r>
            <w:r>
              <w:t xml:space="preserve"> to exit without saving.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4B54268A" w14:textId="77777777" w:rsidR="002A21AE" w:rsidRDefault="002A21AE">
            <w:pPr>
              <w:pStyle w:val="TableTextBullet"/>
            </w:pPr>
            <w:r>
              <w:t>Updates the database.</w:t>
            </w:r>
          </w:p>
        </w:tc>
      </w:tr>
    </w:tbl>
    <w:p w14:paraId="10A97633" w14:textId="0B9C1F73" w:rsidR="00A9458F" w:rsidRDefault="00A9458F" w:rsidP="00A9458F">
      <w:pPr>
        <w:pStyle w:val="Caption"/>
      </w:pPr>
      <w:bookmarkStart w:id="216" w:name="_Ref126471989"/>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56</w:t>
      </w:r>
      <w:r w:rsidR="004E20BD">
        <w:rPr>
          <w:noProof/>
        </w:rPr>
        <w:fldChar w:fldCharType="end"/>
      </w:r>
      <w:bookmarkEnd w:id="216"/>
      <w:r>
        <w:t>: Maintain Comments</w:t>
      </w:r>
    </w:p>
    <w:p w14:paraId="50283F98" w14:textId="77777777" w:rsidR="002A21AE" w:rsidRDefault="00057948" w:rsidP="0066425F">
      <w:pPr>
        <w:pStyle w:val="BodyText"/>
      </w:pPr>
      <w:r>
        <w:rPr>
          <w:noProof/>
        </w:rPr>
        <w:drawing>
          <wp:inline distT="0" distB="0" distL="0" distR="0" wp14:anchorId="4424B221" wp14:editId="652FA90E">
            <wp:extent cx="3657600" cy="3315970"/>
            <wp:effectExtent l="0" t="0" r="0" b="0"/>
            <wp:docPr id="135" name="Picture 135" descr="P2244#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P2244#yIS1">
                      <a:extLst>
                        <a:ext uri="{C183D7F6-B498-43B3-948B-1728B52AA6E4}">
                          <adec:decorative xmlns:adec="http://schemas.microsoft.com/office/drawing/2017/decorative" val="1"/>
                        </a:ext>
                      </a:extLst>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657600" cy="3315970"/>
                    </a:xfrm>
                    <a:prstGeom prst="rect">
                      <a:avLst/>
                    </a:prstGeom>
                    <a:noFill/>
                    <a:ln>
                      <a:noFill/>
                    </a:ln>
                  </pic:spPr>
                </pic:pic>
              </a:graphicData>
            </a:graphic>
          </wp:inline>
        </w:drawing>
      </w:r>
    </w:p>
    <w:p w14:paraId="331C857C" w14:textId="77777777" w:rsidR="002A21AE" w:rsidRDefault="00AF089A">
      <w:pPr>
        <w:pStyle w:val="Heading2"/>
      </w:pPr>
      <w:r>
        <w:br w:type="page"/>
      </w:r>
      <w:bookmarkStart w:id="217" w:name="_Toc4588764"/>
      <w:r w:rsidR="002A21AE">
        <w:lastRenderedPageBreak/>
        <w:t>Setting Transfusion Parameters</w:t>
      </w:r>
      <w:bookmarkEnd w:id="215"/>
      <w:bookmarkEnd w:id="217"/>
      <w:r w:rsidR="002A21AE">
        <w:fldChar w:fldCharType="begin"/>
      </w:r>
      <w:r w:rsidR="002A21AE">
        <w:instrText xml:space="preserve"> XE </w:instrText>
      </w:r>
      <w:r w:rsidR="00FA7E65">
        <w:instrText>“</w:instrText>
      </w:r>
      <w:r w:rsidR="002A21AE">
        <w:instrText>Setting Transfusion Parameters</w:instrText>
      </w:r>
      <w:r w:rsidR="00FA7E65">
        <w:instrText>”</w:instrText>
      </w:r>
      <w:r w:rsidR="002A21AE">
        <w:instrText xml:space="preserve"> </w:instrText>
      </w:r>
      <w:r w:rsidR="002A21AE">
        <w:fldChar w:fldCharType="end"/>
      </w:r>
    </w:p>
    <w:p w14:paraId="6839A2A9" w14:textId="77777777" w:rsidR="002A21AE" w:rsidRDefault="002A21AE">
      <w:pPr>
        <w:pStyle w:val="Heading3"/>
      </w:pPr>
      <w:bookmarkStart w:id="218" w:name="_Toc4588765"/>
      <w:r>
        <w:t>Transfusion Complications</w:t>
      </w:r>
      <w:bookmarkEnd w:id="218"/>
      <w:r w:rsidRPr="0050203A">
        <w:rPr>
          <w:rFonts w:ascii="Arial Bold" w:hAnsi="Arial Bold"/>
          <w:vanish/>
        </w:rPr>
        <w:fldChar w:fldCharType="begin"/>
      </w:r>
      <w:r w:rsidRPr="0050203A">
        <w:rPr>
          <w:rFonts w:ascii="Arial Bold" w:hAnsi="Arial Bold"/>
          <w:vanish/>
        </w:rPr>
        <w:instrText xml:space="preserve"> XE </w:instrText>
      </w:r>
      <w:r w:rsidR="00FA7E65" w:rsidRPr="0050203A">
        <w:rPr>
          <w:rFonts w:ascii="Arial Bold" w:hAnsi="Arial Bold"/>
          <w:vanish/>
        </w:rPr>
        <w:instrText>“</w:instrText>
      </w:r>
      <w:r w:rsidRPr="0050203A">
        <w:rPr>
          <w:rFonts w:ascii="Arial Bold" w:hAnsi="Arial Bold"/>
          <w:vanish/>
        </w:rPr>
        <w:instrText>Transfusion Complications</w:instrText>
      </w:r>
      <w:r w:rsidR="00FA7E65" w:rsidRPr="0050203A">
        <w:rPr>
          <w:rFonts w:ascii="Arial Bold" w:hAnsi="Arial Bold"/>
          <w:vanish/>
        </w:rPr>
        <w:instrText>”</w:instrText>
      </w:r>
      <w:r w:rsidRPr="0050203A">
        <w:rPr>
          <w:rFonts w:ascii="Arial Bold" w:hAnsi="Arial Bold"/>
          <w:vanish/>
        </w:rPr>
        <w:instrText xml:space="preserve"> </w:instrText>
      </w:r>
      <w:r w:rsidRPr="0050203A">
        <w:rPr>
          <w:rFonts w:ascii="Arial Bold" w:hAnsi="Arial Bold"/>
          <w:vanish/>
        </w:rPr>
        <w:fldChar w:fldCharType="end"/>
      </w:r>
      <w:r w:rsidRPr="0050203A">
        <w:rPr>
          <w:rFonts w:ascii="Arial Bold" w:hAnsi="Arial Bold"/>
          <w:vanish/>
        </w:rPr>
        <w:t xml:space="preserve"> UC_34</w:t>
      </w:r>
    </w:p>
    <w:p w14:paraId="06222B94" w14:textId="4AEF2548" w:rsidR="002A21AE" w:rsidRDefault="002A21AE" w:rsidP="00FA7E65">
      <w:pPr>
        <w:pStyle w:val="BodyText"/>
      </w:pPr>
      <w:r>
        <w:t xml:space="preserve">The user defines Laboratory tests and threshold values used to generate a report listing patients who were transfused within a specified period and who may have developed a transfusion-associated disease. </w:t>
      </w:r>
      <w:r w:rsidR="00E90A01">
        <w:t xml:space="preserve">For additional information, see </w:t>
      </w:r>
      <w:r w:rsidR="00E90A01">
        <w:fldChar w:fldCharType="begin" w:fldLock="1"/>
      </w:r>
      <w:r w:rsidR="00E90A01">
        <w:instrText xml:space="preserve"> REF _Ref508960299 \h </w:instrText>
      </w:r>
      <w:r w:rsidR="00E90A01">
        <w:fldChar w:fldCharType="separate"/>
      </w:r>
      <w:r w:rsidR="00AB304C">
        <w:t xml:space="preserve">Appendix </w:t>
      </w:r>
      <w:r w:rsidR="00AB304C">
        <w:rPr>
          <w:noProof/>
        </w:rPr>
        <w:t>F</w:t>
      </w:r>
      <w:r w:rsidR="00AB304C">
        <w:t>: Work Process Flowcharts</w:t>
      </w:r>
      <w:r w:rsidR="00E90A01">
        <w:fldChar w:fldCharType="end"/>
      </w:r>
      <w:r w:rsidR="00E90A01">
        <w:t>.</w:t>
      </w:r>
    </w:p>
    <w:p w14:paraId="67EE7BBE" w14:textId="77777777" w:rsidR="002A21AE" w:rsidRDefault="002A21AE">
      <w:pPr>
        <w:pStyle w:val="Heading4"/>
      </w:pPr>
      <w:r>
        <w:t>Assumptions</w:t>
      </w:r>
    </w:p>
    <w:p w14:paraId="430E23F4" w14:textId="77777777" w:rsidR="002A21AE" w:rsidRDefault="00CA0045">
      <w:pPr>
        <w:pStyle w:val="ListBullet"/>
      </w:pPr>
      <w:r w:rsidRPr="00CA0045">
        <w:rPr>
          <w:bCs/>
        </w:rPr>
        <w:t>VistA</w:t>
      </w:r>
      <w:r w:rsidR="002A21AE">
        <w:t xml:space="preserve"> tests are defined.</w:t>
      </w:r>
    </w:p>
    <w:p w14:paraId="1086321E" w14:textId="77777777" w:rsidR="002A21AE" w:rsidRDefault="002A21AE">
      <w:pPr>
        <w:pStyle w:val="ListBullet"/>
      </w:pPr>
      <w:r>
        <w:t xml:space="preserve">The connection to </w:t>
      </w:r>
      <w:r w:rsidR="00CA0045" w:rsidRPr="00CA0045">
        <w:rPr>
          <w:bCs/>
        </w:rPr>
        <w:t>VistA</w:t>
      </w:r>
      <w:r>
        <w:t xml:space="preserve"> is active.</w:t>
      </w:r>
    </w:p>
    <w:p w14:paraId="073D60A6" w14:textId="77777777" w:rsidR="002A21AE" w:rsidRDefault="002A21AE">
      <w:pPr>
        <w:pStyle w:val="Heading4"/>
      </w:pPr>
      <w:r>
        <w:t>Outcome</w:t>
      </w:r>
    </w:p>
    <w:p w14:paraId="58B1792D" w14:textId="77777777" w:rsidR="002A21AE" w:rsidRDefault="002A21AE">
      <w:pPr>
        <w:pStyle w:val="ListBullet"/>
      </w:pPr>
      <w:r>
        <w:t>Parameters are defined for future Transfusion Complication Reports.</w:t>
      </w:r>
    </w:p>
    <w:p w14:paraId="2B828805" w14:textId="77777777" w:rsidR="002A21AE" w:rsidRDefault="002A21AE">
      <w:pPr>
        <w:pStyle w:val="Heading4"/>
      </w:pPr>
      <w:r>
        <w:t>Limitations and Restrictions</w:t>
      </w:r>
    </w:p>
    <w:p w14:paraId="49A8E508" w14:textId="77777777" w:rsidR="002A21AE" w:rsidRDefault="002A21AE">
      <w:pPr>
        <w:pStyle w:val="ListBullet"/>
      </w:pPr>
      <w:r>
        <w:t>None</w:t>
      </w:r>
    </w:p>
    <w:p w14:paraId="6F674D1A" w14:textId="77777777" w:rsidR="002A21AE" w:rsidRDefault="002A21AE">
      <w:pPr>
        <w:pStyle w:val="Heading4"/>
      </w:pPr>
      <w:r>
        <w:t>Additional Information</w:t>
      </w:r>
    </w:p>
    <w:p w14:paraId="45DDC470" w14:textId="359AFC3B" w:rsidR="00156D0A" w:rsidRPr="00156D0A" w:rsidRDefault="00156D0A" w:rsidP="00156D0A">
      <w:pPr>
        <w:pStyle w:val="ListBullet"/>
      </w:pPr>
      <w:r w:rsidRPr="00156D0A">
        <w:t>The report searches for evidence of a transfusion in VBECS only. If the user enters a start date that requires a search of VistA records, the report includes a message indicating that only transfusions documented in VBECS are included in the report and that the user needs to run a supplementary report in VistA.</w:t>
      </w:r>
      <w:r w:rsidR="0045341A">
        <w:t xml:space="preserve"> </w:t>
      </w:r>
      <w:r w:rsidR="0045341A" w:rsidRPr="0045341A">
        <w:rPr>
          <w:vanish/>
        </w:rPr>
        <w:t>Defect 209187</w:t>
      </w:r>
    </w:p>
    <w:p w14:paraId="6905DF8B" w14:textId="0C5CCEFF" w:rsidR="002A21AE" w:rsidRDefault="002A21AE" w:rsidP="00156D0A">
      <w:pPr>
        <w:pStyle w:val="ListBullet"/>
        <w:numPr>
          <w:ilvl w:val="0"/>
          <w:numId w:val="0"/>
        </w:numPr>
      </w:pPr>
    </w:p>
    <w:p w14:paraId="215DD680" w14:textId="77777777" w:rsidR="002A21AE" w:rsidRDefault="002A21AE">
      <w:pPr>
        <w:pStyle w:val="Heading4"/>
      </w:pPr>
      <w:r>
        <w:t>User Roles with Access to This Option</w:t>
      </w:r>
    </w:p>
    <w:p w14:paraId="27FAC1C5" w14:textId="77777777" w:rsidR="002A21AE" w:rsidRDefault="00804DED">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59E8712A" w14:textId="77777777" w:rsidR="002A21AE" w:rsidRDefault="002A21AE">
      <w:pPr>
        <w:pStyle w:val="Heading4"/>
      </w:pPr>
      <w:r>
        <w:t>Transfusion Complications</w:t>
      </w:r>
    </w:p>
    <w:p w14:paraId="454A46DA" w14:textId="77777777" w:rsidR="002A21AE" w:rsidRDefault="002A21AE" w:rsidP="00FA7E65">
      <w:pPr>
        <w:pStyle w:val="BodyText"/>
      </w:pPr>
      <w:r>
        <w:t>The user defines Laboratory tests for use in the transfusion complication table.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FF18642" w14:textId="77777777">
        <w:trPr>
          <w:tblHeader/>
        </w:trPr>
        <w:tc>
          <w:tcPr>
            <w:tcW w:w="3240" w:type="dxa"/>
            <w:shd w:val="pct30" w:color="auto" w:fill="FFFFFF"/>
            <w:vAlign w:val="bottom"/>
          </w:tcPr>
          <w:p w14:paraId="4D8CF6EE" w14:textId="77777777" w:rsidR="002A21AE" w:rsidRDefault="002A21AE">
            <w:pPr>
              <w:pStyle w:val="TableText"/>
              <w:rPr>
                <w:b/>
              </w:rPr>
            </w:pPr>
            <w:r>
              <w:rPr>
                <w:b/>
              </w:rPr>
              <w:t>User Action</w:t>
            </w:r>
          </w:p>
        </w:tc>
        <w:tc>
          <w:tcPr>
            <w:tcW w:w="6120" w:type="dxa"/>
            <w:shd w:val="pct30" w:color="auto" w:fill="FFFFFF"/>
            <w:vAlign w:val="bottom"/>
          </w:tcPr>
          <w:p w14:paraId="33E9EB38" w14:textId="77777777" w:rsidR="002A21AE" w:rsidRDefault="002A21AE">
            <w:pPr>
              <w:pStyle w:val="TableText"/>
              <w:rPr>
                <w:b/>
              </w:rPr>
            </w:pPr>
            <w:r>
              <w:rPr>
                <w:b/>
              </w:rPr>
              <w:t>VBECS</w:t>
            </w:r>
          </w:p>
        </w:tc>
      </w:tr>
      <w:tr w:rsidR="002A21AE" w14:paraId="28BEE293" w14:textId="77777777">
        <w:tc>
          <w:tcPr>
            <w:tcW w:w="3240" w:type="dxa"/>
          </w:tcPr>
          <w:p w14:paraId="5FB84D51" w14:textId="77777777" w:rsidR="002A21AE" w:rsidRDefault="002A21AE">
            <w:pPr>
              <w:pStyle w:val="TableTextNumbers"/>
            </w:pPr>
            <w:r>
              <w:t xml:space="preserve">Select </w:t>
            </w:r>
            <w:r>
              <w:rPr>
                <w:b/>
                <w:bCs/>
              </w:rPr>
              <w:t>Tools</w:t>
            </w:r>
            <w:r>
              <w:t xml:space="preserve"> from the main menu.</w:t>
            </w:r>
          </w:p>
          <w:p w14:paraId="3C7B173C" w14:textId="77777777" w:rsidR="002A21AE" w:rsidRDefault="002A21AE">
            <w:pPr>
              <w:pStyle w:val="TableTextNumbersContinued"/>
              <w:rPr>
                <w:b/>
                <w:bCs/>
              </w:rPr>
            </w:pPr>
          </w:p>
          <w:p w14:paraId="59372778" w14:textId="77777777" w:rsidR="002A21AE" w:rsidRDefault="002A21AE">
            <w:pPr>
              <w:pStyle w:val="TableTextNumbersContinued"/>
            </w:pPr>
            <w:r>
              <w:t xml:space="preserve">Select </w:t>
            </w:r>
            <w:r>
              <w:rPr>
                <w:b/>
              </w:rPr>
              <w:t>Transfusion Complications</w:t>
            </w:r>
            <w:r>
              <w:t>.</w:t>
            </w:r>
          </w:p>
        </w:tc>
        <w:tc>
          <w:tcPr>
            <w:tcW w:w="6120" w:type="dxa"/>
          </w:tcPr>
          <w:p w14:paraId="33F21C28" w14:textId="77777777" w:rsidR="002A21AE" w:rsidRDefault="002A21AE">
            <w:pPr>
              <w:pStyle w:val="TableTextBullet"/>
            </w:pPr>
            <w:r>
              <w:t>Displays options for processing administrative functions.</w:t>
            </w:r>
          </w:p>
          <w:p w14:paraId="6A2F0425" w14:textId="77777777" w:rsidR="002A21AE" w:rsidRDefault="002A21AE">
            <w:pPr>
              <w:pStyle w:val="TableTextBullet"/>
            </w:pPr>
            <w:r>
              <w:t>Displays fields for entering transfusion complication threshold data.</w:t>
            </w:r>
          </w:p>
        </w:tc>
      </w:tr>
      <w:tr w:rsidR="002A21AE" w14:paraId="5AE838BC" w14:textId="77777777">
        <w:tc>
          <w:tcPr>
            <w:tcW w:w="3240" w:type="dxa"/>
          </w:tcPr>
          <w:p w14:paraId="3E06E0CB" w14:textId="77777777" w:rsidR="002A21AE" w:rsidRDefault="002A21AE">
            <w:pPr>
              <w:pStyle w:val="TableTextNumbers"/>
            </w:pPr>
            <w:r>
              <w:t xml:space="preserve">Click the </w:t>
            </w:r>
            <w:r w:rsidR="00A6373D">
              <w:rPr>
                <w:b/>
              </w:rPr>
              <w:t>find</w:t>
            </w:r>
            <w:r w:rsidRPr="00BF2E41">
              <w:t xml:space="preserve"> button</w:t>
            </w:r>
            <w:r>
              <w:t xml:space="preserve"> to search for a Laboratory test.</w:t>
            </w:r>
          </w:p>
          <w:p w14:paraId="28EA98D9" w14:textId="77777777" w:rsidR="002A21AE" w:rsidRDefault="002A21AE">
            <w:pPr>
              <w:pStyle w:val="TableTextNumbersContinued"/>
            </w:pPr>
          </w:p>
          <w:p w14:paraId="4AF69326" w14:textId="77777777" w:rsidR="002A21AE" w:rsidRDefault="002A21AE">
            <w:pPr>
              <w:pStyle w:val="TableTextNumbersContinued"/>
            </w:pPr>
            <w:r>
              <w:t>Select a test.</w:t>
            </w:r>
          </w:p>
          <w:p w14:paraId="7077FC3B" w14:textId="77777777" w:rsidR="002A21AE" w:rsidRDefault="002A21AE">
            <w:pPr>
              <w:pStyle w:val="TableTextNumbersContinued"/>
            </w:pPr>
          </w:p>
          <w:p w14:paraId="4614650F" w14:textId="77777777" w:rsidR="002A21AE" w:rsidRDefault="002A21AE">
            <w:pPr>
              <w:pStyle w:val="TableTextNumbersContinued"/>
            </w:pPr>
            <w:r>
              <w:t xml:space="preserve">Click </w:t>
            </w:r>
            <w:r>
              <w:rPr>
                <w:b/>
              </w:rPr>
              <w:t>OK</w:t>
            </w:r>
            <w:r>
              <w:t>.</w:t>
            </w:r>
          </w:p>
        </w:tc>
        <w:tc>
          <w:tcPr>
            <w:tcW w:w="6120" w:type="dxa"/>
          </w:tcPr>
          <w:p w14:paraId="1775D395" w14:textId="77777777" w:rsidR="0048718E" w:rsidRDefault="002A21AE">
            <w:pPr>
              <w:pStyle w:val="TableTextBullet"/>
            </w:pPr>
            <w:r>
              <w:t xml:space="preserve">Allows the user to edit or add previously defined tests for use in a Transfusion Complication Report. </w:t>
            </w:r>
          </w:p>
          <w:p w14:paraId="1E42BA85" w14:textId="77777777" w:rsidR="00CB6A89" w:rsidRDefault="00CB6A89" w:rsidP="00CB6A89">
            <w:pPr>
              <w:pStyle w:val="TableText"/>
              <w:rPr>
                <w:b/>
                <w:bCs/>
                <w:szCs w:val="18"/>
              </w:rPr>
            </w:pPr>
          </w:p>
          <w:p w14:paraId="00FA4D6C" w14:textId="77777777" w:rsidR="00CB6A89" w:rsidRDefault="00057948" w:rsidP="00CB6A89">
            <w:pPr>
              <w:pStyle w:val="TableText"/>
              <w:rPr>
                <w:b/>
                <w:bCs/>
                <w:szCs w:val="18"/>
              </w:rPr>
            </w:pPr>
            <w:r>
              <w:rPr>
                <w:b/>
                <w:bCs/>
                <w:noProof/>
              </w:rPr>
              <mc:AlternateContent>
                <mc:Choice Requires="wps">
                  <w:drawing>
                    <wp:anchor distT="0" distB="0" distL="114300" distR="114300" simplePos="0" relativeHeight="251730944" behindDoc="0" locked="0" layoutInCell="1" allowOverlap="1" wp14:anchorId="7CAE4449" wp14:editId="707558D2">
                      <wp:simplePos x="0" y="0"/>
                      <wp:positionH relativeFrom="column">
                        <wp:posOffset>457200</wp:posOffset>
                      </wp:positionH>
                      <wp:positionV relativeFrom="paragraph">
                        <wp:posOffset>65405</wp:posOffset>
                      </wp:positionV>
                      <wp:extent cx="3200400" cy="0"/>
                      <wp:effectExtent l="9525" t="17780" r="9525" b="10795"/>
                      <wp:wrapNone/>
                      <wp:docPr id="552" name="Line 1255" descr="P2278C6T2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D0B80" id="Line 1255" o:spid="_x0000_s1026" alt="&quot;&quot;"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hmlIwcMBAABvAwAADgAAAAAAAAAAAAAAAAAu&#10;AgAAZHJzL2Uyb0RvYy54bWxQSwECLQAUAAYACAAAACEAF08wEtsAAAAIAQAADwAAAAAAAAAAAAAA&#10;AAAdBAAAZHJzL2Rvd25yZXYueG1sUEsFBgAAAAAEAAQA8wAAACUFAAAAAA==&#10;" strokeweight="1.5pt"/>
                  </w:pict>
                </mc:Fallback>
              </mc:AlternateContent>
            </w:r>
            <w:r w:rsidR="00CB6A89">
              <w:rPr>
                <w:b/>
                <w:bCs/>
                <w:szCs w:val="18"/>
              </w:rPr>
              <w:t>NOTES</w:t>
            </w:r>
          </w:p>
          <w:p w14:paraId="1D78D831" w14:textId="77777777" w:rsidR="00CB6A89" w:rsidRDefault="00CB6A89" w:rsidP="00CB6A89">
            <w:pPr>
              <w:pStyle w:val="NotesText"/>
            </w:pPr>
          </w:p>
          <w:p w14:paraId="400A8CDE" w14:textId="77777777" w:rsidR="002A21AE" w:rsidRDefault="00CB6A89" w:rsidP="00CB6A89">
            <w:pPr>
              <w:pStyle w:val="TableTextBullet"/>
              <w:numPr>
                <w:ilvl w:val="0"/>
                <w:numId w:val="0"/>
              </w:numPr>
              <w:ind w:left="720" w:hanging="720"/>
              <w:rPr>
                <w:rFonts w:ascii="MS Shell Dlg 2" w:hAnsi="MS Shell Dlg 2"/>
                <w:color w:val="000000"/>
                <w:szCs w:val="18"/>
              </w:rPr>
            </w:pPr>
            <w:r w:rsidRPr="00D0406D">
              <w:rPr>
                <w:rFonts w:cs="Arial"/>
                <w:vanish/>
              </w:rPr>
              <w:t>BR_34</w:t>
            </w:r>
            <w:r w:rsidR="00E170B3" w:rsidRPr="00D0406D">
              <w:rPr>
                <w:rFonts w:cs="Arial"/>
                <w:vanish/>
              </w:rPr>
              <w:t>.03, DR 4364</w:t>
            </w:r>
            <w:r w:rsidR="0048718E" w:rsidRPr="00D0406D">
              <w:tab/>
              <w:t xml:space="preserve">VBECS displays the </w:t>
            </w:r>
            <w:r w:rsidR="0043684E">
              <w:t xml:space="preserve">entered </w:t>
            </w:r>
            <w:r w:rsidR="0048718E" w:rsidRPr="00D0406D">
              <w:t>l</w:t>
            </w:r>
            <w:r w:rsidR="009C4F04">
              <w:t xml:space="preserve">aboratory test names in all uppercase </w:t>
            </w:r>
            <w:r w:rsidR="00A403FD">
              <w:t>letters</w:t>
            </w:r>
            <w:r w:rsidR="0048718E" w:rsidRPr="00D0406D">
              <w:t xml:space="preserve">. The retrieval of lab tests </w:t>
            </w:r>
            <w:r w:rsidR="00A1211F">
              <w:t>occurs</w:t>
            </w:r>
            <w:r w:rsidR="009C4F04">
              <w:t xml:space="preserve"> in VistA </w:t>
            </w:r>
            <w:r w:rsidR="0048718E" w:rsidRPr="00D0406D">
              <w:t>and results for the Transfusion Complications Report are not case sensitive. There is a limit of 25 active entries. (If the user enters all of the available results for the test, he can get results that are not filtered by VBECS.)</w:t>
            </w:r>
          </w:p>
          <w:p w14:paraId="6FCB0769" w14:textId="77777777" w:rsidR="00CB6A89" w:rsidRPr="00CB6A89" w:rsidRDefault="00CB6A89" w:rsidP="00CB6A89">
            <w:pPr>
              <w:pStyle w:val="TableTextBullet"/>
              <w:numPr>
                <w:ilvl w:val="0"/>
                <w:numId w:val="0"/>
              </w:numPr>
              <w:ind w:left="720" w:hanging="720"/>
              <w:rPr>
                <w:rFonts w:ascii="MS Shell Dlg 2" w:hAnsi="MS Shell Dlg 2"/>
                <w:color w:val="000000"/>
                <w:szCs w:val="18"/>
              </w:rPr>
            </w:pPr>
          </w:p>
        </w:tc>
      </w:tr>
      <w:tr w:rsidR="002A21AE" w14:paraId="00F19155" w14:textId="77777777">
        <w:tc>
          <w:tcPr>
            <w:tcW w:w="3240" w:type="dxa"/>
          </w:tcPr>
          <w:p w14:paraId="19D56C3A" w14:textId="5369C625" w:rsidR="002A21AE" w:rsidRDefault="002A21AE">
            <w:pPr>
              <w:pStyle w:val="TableTextNumbers"/>
            </w:pPr>
            <w:r>
              <w:lastRenderedPageBreak/>
              <w:t xml:space="preserve">Click the </w:t>
            </w:r>
            <w:r>
              <w:rPr>
                <w:b/>
              </w:rPr>
              <w:t xml:space="preserve">Numeric Threshold </w:t>
            </w:r>
            <w:r w:rsidRPr="00BF2E41">
              <w:t>radio button</w:t>
            </w:r>
            <w:r>
              <w:t xml:space="preserve"> and enter or edit test threshold information</w:t>
            </w:r>
            <w:r w:rsidR="00E1279C">
              <w:t xml:space="preserve"> (</w:t>
            </w:r>
            <w:r w:rsidR="00E1279C">
              <w:fldChar w:fldCharType="begin" w:fldLock="1"/>
            </w:r>
            <w:r w:rsidR="00E1279C">
              <w:instrText xml:space="preserve"> REF _Ref126472169 \h </w:instrText>
            </w:r>
            <w:r w:rsidR="00E1279C">
              <w:fldChar w:fldCharType="separate"/>
            </w:r>
            <w:r w:rsidR="00AB304C">
              <w:t xml:space="preserve">Figure </w:t>
            </w:r>
            <w:r w:rsidR="00AB304C">
              <w:rPr>
                <w:noProof/>
              </w:rPr>
              <w:t>57</w:t>
            </w:r>
            <w:r w:rsidR="00E1279C">
              <w:fldChar w:fldCharType="end"/>
            </w:r>
            <w:r w:rsidR="00E1279C">
              <w:t>)</w:t>
            </w:r>
            <w:r>
              <w:t>.</w:t>
            </w:r>
          </w:p>
          <w:p w14:paraId="2BA59E13" w14:textId="77777777" w:rsidR="002A21AE" w:rsidRDefault="002A21AE">
            <w:pPr>
              <w:pStyle w:val="TableTextNumbersContinued"/>
            </w:pPr>
          </w:p>
          <w:p w14:paraId="0BAE10CD" w14:textId="77777777" w:rsidR="002A21AE" w:rsidRDefault="002A21AE">
            <w:pPr>
              <w:pStyle w:val="TableTextNumbersContinued"/>
            </w:pPr>
            <w:r>
              <w:t xml:space="preserve">Click </w:t>
            </w:r>
            <w:r>
              <w:rPr>
                <w:b/>
              </w:rPr>
              <w:t>Add</w:t>
            </w:r>
            <w:r>
              <w:t xml:space="preserve"> to add the test to the list, or</w:t>
            </w:r>
          </w:p>
          <w:p w14:paraId="2FC75068" w14:textId="77777777" w:rsidR="002A21AE" w:rsidRDefault="002A21AE">
            <w:pPr>
              <w:pStyle w:val="TableTextNumbersContinued"/>
            </w:pPr>
          </w:p>
          <w:p w14:paraId="0C6467A6" w14:textId="77777777" w:rsidR="002A21AE" w:rsidRDefault="002A21AE">
            <w:pPr>
              <w:pStyle w:val="TableTextNumbersContinued"/>
            </w:pPr>
            <w:r>
              <w:t xml:space="preserve">Click </w:t>
            </w:r>
            <w:r>
              <w:rPr>
                <w:b/>
              </w:rPr>
              <w:t>Update</w:t>
            </w:r>
            <w:r>
              <w:t xml:space="preserve"> to save changes to a previously saved test.</w:t>
            </w:r>
          </w:p>
          <w:p w14:paraId="02E8F1D2" w14:textId="77777777" w:rsidR="002A21AE" w:rsidRDefault="002A21AE">
            <w:pPr>
              <w:pStyle w:val="TableTextNumbersContinued"/>
            </w:pPr>
          </w:p>
          <w:p w14:paraId="3D91C6B4" w14:textId="77777777" w:rsidR="002A21AE" w:rsidRDefault="002A21AE">
            <w:pPr>
              <w:pStyle w:val="TableTextNumbersContinued"/>
            </w:pPr>
            <w:r>
              <w:t xml:space="preserve">Click </w:t>
            </w:r>
            <w:r>
              <w:rPr>
                <w:b/>
              </w:rPr>
              <w:t>OK</w:t>
            </w:r>
            <w:r>
              <w:t xml:space="preserve"> to save and </w:t>
            </w:r>
            <w:r>
              <w:rPr>
                <w:b/>
              </w:rPr>
              <w:t>Yes</w:t>
            </w:r>
            <w:r>
              <w:t xml:space="preserve"> to confirm the save.</w:t>
            </w:r>
          </w:p>
        </w:tc>
        <w:tc>
          <w:tcPr>
            <w:tcW w:w="6120" w:type="dxa"/>
          </w:tcPr>
          <w:p w14:paraId="1C80B0D3" w14:textId="77777777" w:rsidR="002A21AE" w:rsidRDefault="002A21AE">
            <w:pPr>
              <w:pStyle w:val="TableTextBullet"/>
            </w:pPr>
            <w:r>
              <w:t>Allows the user to enter one or more tests.</w:t>
            </w:r>
          </w:p>
          <w:p w14:paraId="100C596F" w14:textId="77777777" w:rsidR="002A21AE" w:rsidRDefault="002A21AE">
            <w:pPr>
              <w:pStyle w:val="TableTextBullet"/>
            </w:pPr>
            <w:r>
              <w:t>Uses VistALink to retrieve test data.</w:t>
            </w:r>
          </w:p>
          <w:p w14:paraId="44CFB571" w14:textId="77777777" w:rsidR="002A21AE" w:rsidRDefault="002A21AE">
            <w:pPr>
              <w:pStyle w:val="TableText"/>
            </w:pPr>
          </w:p>
          <w:p w14:paraId="6F7079C7" w14:textId="77777777" w:rsidR="002A21AE" w:rsidRDefault="00057948">
            <w:pPr>
              <w:pStyle w:val="TableText"/>
              <w:rPr>
                <w:b/>
                <w:bCs/>
                <w:szCs w:val="18"/>
              </w:rPr>
            </w:pPr>
            <w:r>
              <w:rPr>
                <w:b/>
                <w:bCs/>
                <w:noProof/>
              </w:rPr>
              <mc:AlternateContent>
                <mc:Choice Requires="wps">
                  <w:drawing>
                    <wp:anchor distT="0" distB="0" distL="114300" distR="114300" simplePos="0" relativeHeight="251585536" behindDoc="0" locked="0" layoutInCell="1" allowOverlap="1" wp14:anchorId="48CA273B" wp14:editId="60DD6F37">
                      <wp:simplePos x="0" y="0"/>
                      <wp:positionH relativeFrom="column">
                        <wp:posOffset>457200</wp:posOffset>
                      </wp:positionH>
                      <wp:positionV relativeFrom="paragraph">
                        <wp:posOffset>65405</wp:posOffset>
                      </wp:positionV>
                      <wp:extent cx="3200400" cy="0"/>
                      <wp:effectExtent l="9525" t="17780" r="9525" b="10795"/>
                      <wp:wrapNone/>
                      <wp:docPr id="551" name="Line 41" descr="P2293C8T2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14AEE" id="Line 41" o:spid="_x0000_s1026" alt="&quot;&quot;"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C8rZfdwgEAAG0DAAAOAAAAAAAAAAAAAAAAAC4C&#10;AABkcnMvZTJvRG9jLnhtbFBLAQItABQABgAIAAAAIQAXTzAS2wAAAAgBAAAPAAAAAAAAAAAAAAAA&#10;ABwEAABkcnMvZG93bnJldi54bWxQSwUGAAAAAAQABADzAAAAJAUAAAAA&#10;" strokeweight="1.5pt"/>
                  </w:pict>
                </mc:Fallback>
              </mc:AlternateContent>
            </w:r>
            <w:r w:rsidR="002A21AE">
              <w:rPr>
                <w:b/>
                <w:bCs/>
                <w:szCs w:val="18"/>
              </w:rPr>
              <w:t>NOTES</w:t>
            </w:r>
          </w:p>
          <w:p w14:paraId="48FCBD4E" w14:textId="77777777" w:rsidR="002A21AE" w:rsidRDefault="002A21AE">
            <w:pPr>
              <w:pStyle w:val="NotesText"/>
            </w:pPr>
          </w:p>
          <w:p w14:paraId="22F73679" w14:textId="77777777" w:rsidR="002A21AE" w:rsidRDefault="002A21AE">
            <w:pPr>
              <w:pStyle w:val="NotesText"/>
            </w:pPr>
            <w:r w:rsidRPr="008879B5">
              <w:rPr>
                <w:rFonts w:cs="Arial"/>
                <w:vanish/>
              </w:rPr>
              <w:t xml:space="preserve">BR_34.02 </w:t>
            </w:r>
            <w:r w:rsidRPr="008879B5">
              <w:t>When defining a test reported as a text value, VBECS accommodates the input of specific text (1–255 characters) that will be used to search for matching values.</w:t>
            </w:r>
          </w:p>
        </w:tc>
      </w:tr>
      <w:tr w:rsidR="002A21AE" w14:paraId="79814122" w14:textId="77777777">
        <w:tc>
          <w:tcPr>
            <w:tcW w:w="3240" w:type="dxa"/>
          </w:tcPr>
          <w:p w14:paraId="4E612765" w14:textId="77777777" w:rsidR="002A21AE" w:rsidRDefault="002A21AE">
            <w:pPr>
              <w:pStyle w:val="TableTextNumbers"/>
            </w:pPr>
            <w:r>
              <w:t xml:space="preserve">Click </w:t>
            </w:r>
            <w:r>
              <w:rPr>
                <w:b/>
              </w:rPr>
              <w:t>OK</w:t>
            </w:r>
            <w:r>
              <w:t xml:space="preserve"> to save and </w:t>
            </w:r>
            <w:r>
              <w:rPr>
                <w:b/>
              </w:rPr>
              <w:t>Yes</w:t>
            </w:r>
            <w:r>
              <w:t xml:space="preserve"> to confirm the save and exit.</w:t>
            </w:r>
          </w:p>
        </w:tc>
        <w:tc>
          <w:tcPr>
            <w:tcW w:w="6120" w:type="dxa"/>
          </w:tcPr>
          <w:p w14:paraId="00312C68" w14:textId="77777777" w:rsidR="002A21AE" w:rsidRDefault="002A21AE">
            <w:pPr>
              <w:pStyle w:val="TableTextBullet"/>
            </w:pPr>
            <w:r>
              <w:t>Updates the database.</w:t>
            </w:r>
          </w:p>
        </w:tc>
      </w:tr>
      <w:tr w:rsidR="002A21AE" w14:paraId="2DFAB1DB" w14:textId="77777777">
        <w:tc>
          <w:tcPr>
            <w:tcW w:w="3240" w:type="dxa"/>
          </w:tcPr>
          <w:p w14:paraId="6EACADC3" w14:textId="77777777" w:rsidR="002A21AE" w:rsidRDefault="002A21AE">
            <w:pPr>
              <w:pStyle w:val="TableTextNumbers"/>
            </w:pPr>
            <w:r>
              <w:t xml:space="preserve">Repeat Steps 2–4 for each transfusion complication test to be defined or click </w:t>
            </w:r>
            <w:r>
              <w:rPr>
                <w:b/>
              </w:rPr>
              <w:t>Cancel</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7192F62B" w14:textId="77777777" w:rsidR="002A21AE" w:rsidRDefault="002A21AE">
            <w:pPr>
              <w:pStyle w:val="TableText"/>
            </w:pPr>
          </w:p>
        </w:tc>
      </w:tr>
    </w:tbl>
    <w:p w14:paraId="0585D722" w14:textId="1316544F" w:rsidR="00E1279C" w:rsidRDefault="00E1279C" w:rsidP="00E1279C">
      <w:pPr>
        <w:pStyle w:val="Caption"/>
      </w:pPr>
      <w:bookmarkStart w:id="219" w:name="_Ref126472169"/>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57</w:t>
      </w:r>
      <w:r w:rsidR="004E20BD">
        <w:rPr>
          <w:noProof/>
        </w:rPr>
        <w:fldChar w:fldCharType="end"/>
      </w:r>
      <w:bookmarkEnd w:id="219"/>
      <w:r>
        <w:t>: Transfusion Complication Thresholds</w:t>
      </w:r>
    </w:p>
    <w:p w14:paraId="7A9AEC25" w14:textId="77777777" w:rsidR="00E1279C" w:rsidRDefault="00057948" w:rsidP="00E1279C">
      <w:pPr>
        <w:pStyle w:val="BodyText"/>
      </w:pPr>
      <w:r>
        <w:rPr>
          <w:noProof/>
        </w:rPr>
        <w:drawing>
          <wp:inline distT="0" distB="0" distL="0" distR="0" wp14:anchorId="29045821" wp14:editId="2A0085CC">
            <wp:extent cx="3888740" cy="2909570"/>
            <wp:effectExtent l="0" t="0" r="0" b="5080"/>
            <wp:docPr id="136" name="Picture 136" descr="P2304#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P2304#yIS1">
                      <a:extLst>
                        <a:ext uri="{C183D7F6-B498-43B3-948B-1728B52AA6E4}">
                          <adec:decorative xmlns:adec="http://schemas.microsoft.com/office/drawing/2017/decorative" val="1"/>
                        </a:ext>
                      </a:extLst>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888740" cy="2909570"/>
                    </a:xfrm>
                    <a:prstGeom prst="rect">
                      <a:avLst/>
                    </a:prstGeom>
                    <a:noFill/>
                    <a:ln>
                      <a:noFill/>
                    </a:ln>
                  </pic:spPr>
                </pic:pic>
              </a:graphicData>
            </a:graphic>
          </wp:inline>
        </w:drawing>
      </w:r>
    </w:p>
    <w:p w14:paraId="24623B82" w14:textId="77777777" w:rsidR="002A21AE" w:rsidRDefault="00466CF2">
      <w:pPr>
        <w:pStyle w:val="Heading3"/>
      </w:pPr>
      <w:r>
        <w:br w:type="page"/>
      </w:r>
      <w:bookmarkStart w:id="220" w:name="_Toc4588766"/>
      <w:r w:rsidR="002A21AE">
        <w:lastRenderedPageBreak/>
        <w:t>Transfusion Effectiveness</w:t>
      </w:r>
      <w:bookmarkEnd w:id="220"/>
      <w:r w:rsidR="002A21AE">
        <w:fldChar w:fldCharType="begin"/>
      </w:r>
      <w:r w:rsidR="002A21AE">
        <w:instrText xml:space="preserve"> XE </w:instrText>
      </w:r>
      <w:r w:rsidR="00FA7E65">
        <w:instrText>“</w:instrText>
      </w:r>
      <w:r w:rsidR="002A21AE">
        <w:instrText>Transfusion Effectiveness</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UC_33</w:t>
      </w:r>
    </w:p>
    <w:p w14:paraId="6791ABA3" w14:textId="77777777" w:rsidR="002A21AE" w:rsidRDefault="00095BAC" w:rsidP="00FA7E65">
      <w:pPr>
        <w:pStyle w:val="BodyText"/>
      </w:pPr>
      <w:bookmarkStart w:id="221" w:name="_Toc63680393"/>
      <w:r>
        <w:t>The user defines L</w:t>
      </w:r>
      <w:r w:rsidR="002A21AE">
        <w:t xml:space="preserve">aboratory tests to monitor the effectiveness of transfusions. </w:t>
      </w:r>
    </w:p>
    <w:p w14:paraId="5A727C02" w14:textId="77777777" w:rsidR="002A21AE" w:rsidRDefault="002A21AE">
      <w:pPr>
        <w:pStyle w:val="Heading4"/>
      </w:pPr>
      <w:r>
        <w:t>Assumptions</w:t>
      </w:r>
    </w:p>
    <w:p w14:paraId="750C32DD" w14:textId="77777777" w:rsidR="00CA0045" w:rsidRDefault="00CA0045">
      <w:pPr>
        <w:pStyle w:val="ListBullet"/>
      </w:pPr>
      <w:r w:rsidRPr="00CA0045">
        <w:rPr>
          <w:bCs/>
        </w:rPr>
        <w:t>VistA</w:t>
      </w:r>
      <w:r w:rsidR="002A21AE">
        <w:t xml:space="preserve"> lab tests are defined</w:t>
      </w:r>
      <w:r>
        <w:t>.</w:t>
      </w:r>
    </w:p>
    <w:p w14:paraId="700835D4" w14:textId="77777777" w:rsidR="002A21AE" w:rsidRDefault="00CA0045">
      <w:pPr>
        <w:pStyle w:val="ListBullet"/>
      </w:pPr>
      <w:r>
        <w:t>T</w:t>
      </w:r>
      <w:r w:rsidR="002A21AE">
        <w:t xml:space="preserve">he connection to </w:t>
      </w:r>
      <w:r w:rsidRPr="00CA0045">
        <w:rPr>
          <w:bCs/>
        </w:rPr>
        <w:t>VistA</w:t>
      </w:r>
      <w:r w:rsidR="002A21AE">
        <w:t xml:space="preserve"> is active.</w:t>
      </w:r>
    </w:p>
    <w:p w14:paraId="0605F570" w14:textId="77777777" w:rsidR="002A21AE" w:rsidRDefault="002A21AE">
      <w:pPr>
        <w:pStyle w:val="Heading4"/>
      </w:pPr>
      <w:r>
        <w:t>Outcome</w:t>
      </w:r>
    </w:p>
    <w:p w14:paraId="2DA58110" w14:textId="77777777" w:rsidR="002A21AE" w:rsidRDefault="002A21AE">
      <w:pPr>
        <w:pStyle w:val="ListBullet"/>
      </w:pPr>
      <w:r>
        <w:t>Parameters are defined for future reports.</w:t>
      </w:r>
    </w:p>
    <w:p w14:paraId="4154FF34" w14:textId="77777777" w:rsidR="002A21AE" w:rsidRDefault="002A21AE">
      <w:pPr>
        <w:pStyle w:val="Heading4"/>
      </w:pPr>
      <w:r>
        <w:t>Limitations and Restrictions</w:t>
      </w:r>
    </w:p>
    <w:p w14:paraId="74CF5729" w14:textId="77777777" w:rsidR="002A21AE" w:rsidRDefault="002A21AE">
      <w:pPr>
        <w:pStyle w:val="ListBullet"/>
      </w:pPr>
      <w:r>
        <w:t xml:space="preserve">None </w:t>
      </w:r>
    </w:p>
    <w:p w14:paraId="514FC7F7" w14:textId="77777777" w:rsidR="002A21AE" w:rsidRDefault="002A21AE">
      <w:pPr>
        <w:pStyle w:val="Heading4"/>
      </w:pPr>
      <w:r>
        <w:t>Additional Information</w:t>
      </w:r>
    </w:p>
    <w:p w14:paraId="7CB7232C" w14:textId="77777777" w:rsidR="002A21AE" w:rsidRDefault="002A21AE">
      <w:pPr>
        <w:pStyle w:val="ListBullet"/>
      </w:pPr>
      <w:r>
        <w:t xml:space="preserve">None </w:t>
      </w:r>
    </w:p>
    <w:p w14:paraId="18CD4406" w14:textId="77777777" w:rsidR="002A21AE" w:rsidRDefault="002A21AE">
      <w:pPr>
        <w:pStyle w:val="Heading4"/>
      </w:pPr>
      <w:r>
        <w:t xml:space="preserve">User Roles with Access to This Option </w:t>
      </w:r>
    </w:p>
    <w:p w14:paraId="15B76988" w14:textId="77777777" w:rsidR="002A21AE" w:rsidRDefault="002A09A9">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38584798" w14:textId="77777777" w:rsidR="002A21AE" w:rsidRDefault="002A21AE">
      <w:pPr>
        <w:pStyle w:val="Heading4"/>
      </w:pPr>
      <w:r>
        <w:t>Transfusion Effectiveness</w:t>
      </w:r>
    </w:p>
    <w:p w14:paraId="2DBF6D1C" w14:textId="77777777" w:rsidR="002A21AE" w:rsidRDefault="002A21AE" w:rsidP="00FA7E65">
      <w:pPr>
        <w:pStyle w:val="BodyText"/>
      </w:pPr>
      <w:r>
        <w:t>The user enters the tests to be included in the Transfusion Effectiveness Report.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9DF72BC" w14:textId="77777777">
        <w:trPr>
          <w:tblHeader/>
        </w:trPr>
        <w:tc>
          <w:tcPr>
            <w:tcW w:w="3240" w:type="dxa"/>
            <w:shd w:val="pct30" w:color="auto" w:fill="FFFFFF"/>
            <w:vAlign w:val="bottom"/>
          </w:tcPr>
          <w:p w14:paraId="23C98B50" w14:textId="77777777" w:rsidR="002A21AE" w:rsidRDefault="002A21AE">
            <w:pPr>
              <w:pStyle w:val="TableText"/>
              <w:rPr>
                <w:b/>
              </w:rPr>
            </w:pPr>
            <w:r>
              <w:rPr>
                <w:b/>
              </w:rPr>
              <w:t>User Action</w:t>
            </w:r>
          </w:p>
        </w:tc>
        <w:tc>
          <w:tcPr>
            <w:tcW w:w="6120" w:type="dxa"/>
            <w:shd w:val="pct30" w:color="auto" w:fill="FFFFFF"/>
            <w:vAlign w:val="bottom"/>
          </w:tcPr>
          <w:p w14:paraId="05F24220" w14:textId="77777777" w:rsidR="002A21AE" w:rsidRDefault="002A21AE">
            <w:pPr>
              <w:pStyle w:val="TableText"/>
              <w:rPr>
                <w:b/>
              </w:rPr>
            </w:pPr>
            <w:r>
              <w:rPr>
                <w:b/>
              </w:rPr>
              <w:t>VBECS</w:t>
            </w:r>
          </w:p>
        </w:tc>
      </w:tr>
      <w:tr w:rsidR="002A21AE" w14:paraId="2D1E86D3" w14:textId="77777777">
        <w:tc>
          <w:tcPr>
            <w:tcW w:w="3240" w:type="dxa"/>
          </w:tcPr>
          <w:p w14:paraId="4C41571C" w14:textId="77777777" w:rsidR="002A21AE" w:rsidRDefault="002A21AE">
            <w:pPr>
              <w:pStyle w:val="TableTextNumbers"/>
            </w:pPr>
            <w:r>
              <w:t xml:space="preserve">Select </w:t>
            </w:r>
            <w:r>
              <w:rPr>
                <w:b/>
                <w:bCs/>
              </w:rPr>
              <w:t>Tools</w:t>
            </w:r>
            <w:r>
              <w:t xml:space="preserve"> from the main menu.</w:t>
            </w:r>
          </w:p>
          <w:p w14:paraId="01B7AB96" w14:textId="77777777" w:rsidR="002A21AE" w:rsidRDefault="002A21AE">
            <w:pPr>
              <w:pStyle w:val="TableTextNumbersContinued"/>
              <w:rPr>
                <w:bCs/>
              </w:rPr>
            </w:pPr>
          </w:p>
          <w:p w14:paraId="7E3E47DF" w14:textId="77777777" w:rsidR="002A21AE" w:rsidRDefault="002A21AE">
            <w:pPr>
              <w:pStyle w:val="TableTextNumbersContinued"/>
              <w:rPr>
                <w:b/>
                <w:bCs/>
              </w:rPr>
            </w:pPr>
            <w:r>
              <w:rPr>
                <w:bCs/>
              </w:rPr>
              <w:t>Select</w:t>
            </w:r>
            <w:r>
              <w:rPr>
                <w:b/>
                <w:bCs/>
              </w:rPr>
              <w:t xml:space="preserve"> Transfusion Effectiveness</w:t>
            </w:r>
            <w:r>
              <w:rPr>
                <w:bCs/>
              </w:rPr>
              <w:t>.</w:t>
            </w:r>
          </w:p>
        </w:tc>
        <w:tc>
          <w:tcPr>
            <w:tcW w:w="6120" w:type="dxa"/>
          </w:tcPr>
          <w:p w14:paraId="36582090" w14:textId="77777777" w:rsidR="002A21AE" w:rsidRDefault="002A21AE">
            <w:pPr>
              <w:pStyle w:val="TableTextBullet"/>
            </w:pPr>
            <w:r>
              <w:t xml:space="preserve">Displays options for processing administrative functions. </w:t>
            </w:r>
          </w:p>
          <w:p w14:paraId="6DE60A1A" w14:textId="77777777" w:rsidR="002A21AE" w:rsidRDefault="002A21AE">
            <w:pPr>
              <w:pStyle w:val="TableTextBullet"/>
            </w:pPr>
            <w:r>
              <w:t>Allows the user to edit a previously defined Transfusion Effectiveness Tests or add a test.</w:t>
            </w:r>
          </w:p>
        </w:tc>
      </w:tr>
      <w:tr w:rsidR="002A21AE" w14:paraId="009083DB" w14:textId="77777777">
        <w:tc>
          <w:tcPr>
            <w:tcW w:w="3240" w:type="dxa"/>
          </w:tcPr>
          <w:p w14:paraId="07271E67" w14:textId="77777777" w:rsidR="002A21AE" w:rsidRDefault="002A21AE">
            <w:pPr>
              <w:pStyle w:val="TableTextNumbers"/>
            </w:pPr>
            <w:r>
              <w:t xml:space="preserve">Click the </w:t>
            </w:r>
            <w:r w:rsidR="00A6373D">
              <w:rPr>
                <w:b/>
              </w:rPr>
              <w:t>find</w:t>
            </w:r>
            <w:r w:rsidRPr="00BF2E41">
              <w:t xml:space="preserve"> button</w:t>
            </w:r>
            <w:r>
              <w:t xml:space="preserve"> to search for a Transfusion Effectiveness Test. </w:t>
            </w:r>
          </w:p>
          <w:p w14:paraId="02C60F6B" w14:textId="77777777" w:rsidR="002A21AE" w:rsidRDefault="002A21AE">
            <w:pPr>
              <w:pStyle w:val="TableTextNumbersContinued"/>
            </w:pPr>
          </w:p>
          <w:p w14:paraId="034A1F9E" w14:textId="77777777" w:rsidR="005E16D4" w:rsidRDefault="005E16D4">
            <w:pPr>
              <w:pStyle w:val="TableTextNumbersContinued"/>
            </w:pPr>
            <w:r>
              <w:t>Enter part or all of a laboratory test name.</w:t>
            </w:r>
          </w:p>
          <w:p w14:paraId="4DAB962A" w14:textId="77777777" w:rsidR="005E16D4" w:rsidRDefault="005E16D4">
            <w:pPr>
              <w:pStyle w:val="TableTextNumbersContinued"/>
            </w:pPr>
          </w:p>
          <w:p w14:paraId="4AACA8B6" w14:textId="77777777" w:rsidR="005E16D4" w:rsidRDefault="005E16D4">
            <w:pPr>
              <w:pStyle w:val="TableTextNumbersContinued"/>
            </w:pPr>
            <w:r>
              <w:t xml:space="preserve">Click </w:t>
            </w:r>
            <w:r w:rsidRPr="005E16D4">
              <w:rPr>
                <w:b/>
              </w:rPr>
              <w:t>Search</w:t>
            </w:r>
            <w:r>
              <w:t>.</w:t>
            </w:r>
          </w:p>
          <w:p w14:paraId="5CD1300C" w14:textId="77777777" w:rsidR="005E16D4" w:rsidRDefault="005E16D4">
            <w:pPr>
              <w:pStyle w:val="TableTextNumbersContinued"/>
            </w:pPr>
          </w:p>
          <w:p w14:paraId="602D25B5" w14:textId="77777777" w:rsidR="002A21AE" w:rsidRDefault="002A21AE">
            <w:pPr>
              <w:pStyle w:val="TableTextNumbersContinued"/>
            </w:pPr>
            <w:r>
              <w:t xml:space="preserve">Click one </w:t>
            </w:r>
            <w:r w:rsidR="005E16D4">
              <w:t>to four</w:t>
            </w:r>
            <w:r>
              <w:t xml:space="preserve"> check boxes to select tests.</w:t>
            </w:r>
          </w:p>
          <w:p w14:paraId="3F0C796E" w14:textId="77777777" w:rsidR="002A21AE" w:rsidRDefault="002A21AE">
            <w:pPr>
              <w:pStyle w:val="TableTextNumbersContinued"/>
            </w:pPr>
          </w:p>
          <w:p w14:paraId="5C9B4148" w14:textId="77777777" w:rsidR="00E959B5" w:rsidRDefault="00E959B5">
            <w:pPr>
              <w:pStyle w:val="TableTextNumbersContinued"/>
            </w:pPr>
            <w:r>
              <w:t xml:space="preserve">Click </w:t>
            </w:r>
            <w:r w:rsidRPr="00E959B5">
              <w:rPr>
                <w:b/>
              </w:rPr>
              <w:t>OK</w:t>
            </w:r>
            <w:r>
              <w:t>.</w:t>
            </w:r>
          </w:p>
          <w:p w14:paraId="4B245C92" w14:textId="77777777" w:rsidR="00E959B5" w:rsidRDefault="00E959B5">
            <w:pPr>
              <w:pStyle w:val="TableTextNumbersContinued"/>
            </w:pPr>
          </w:p>
          <w:p w14:paraId="4D0018B7" w14:textId="6FC2FB3E" w:rsidR="002A21AE" w:rsidRDefault="002A21AE">
            <w:pPr>
              <w:pStyle w:val="TableTextNumbersContinued"/>
            </w:pPr>
            <w:r>
              <w:t xml:space="preserve">Click </w:t>
            </w:r>
            <w:r>
              <w:rPr>
                <w:b/>
              </w:rPr>
              <w:t>Add</w:t>
            </w:r>
            <w:r>
              <w:t xml:space="preserve"> to add the tests</w:t>
            </w:r>
            <w:r w:rsidR="005E5594">
              <w:t xml:space="preserve"> (</w:t>
            </w:r>
            <w:r w:rsidR="005E5594">
              <w:fldChar w:fldCharType="begin" w:fldLock="1"/>
            </w:r>
            <w:r w:rsidR="005E5594">
              <w:instrText xml:space="preserve"> REF _Ref126472575 \h </w:instrText>
            </w:r>
            <w:r w:rsidR="005E5594">
              <w:fldChar w:fldCharType="separate"/>
            </w:r>
            <w:r w:rsidR="00AB304C">
              <w:t xml:space="preserve">Figure </w:t>
            </w:r>
            <w:r w:rsidR="00AB304C">
              <w:rPr>
                <w:noProof/>
              </w:rPr>
              <w:t>58</w:t>
            </w:r>
            <w:r w:rsidR="005E5594">
              <w:fldChar w:fldCharType="end"/>
            </w:r>
            <w:r w:rsidR="005E5594">
              <w:t>)</w:t>
            </w:r>
            <w:r>
              <w:t>, or</w:t>
            </w:r>
          </w:p>
          <w:p w14:paraId="17C10FDB" w14:textId="77777777" w:rsidR="002A21AE" w:rsidRDefault="002A21AE">
            <w:pPr>
              <w:pStyle w:val="TableTextNumbersContinued"/>
            </w:pPr>
          </w:p>
          <w:p w14:paraId="648A0332" w14:textId="77777777" w:rsidR="002A21AE" w:rsidRDefault="00C15633">
            <w:pPr>
              <w:pStyle w:val="TableTextNumbersContinued"/>
            </w:pPr>
            <w:r>
              <w:t xml:space="preserve">Click the </w:t>
            </w:r>
            <w:r>
              <w:rPr>
                <w:b/>
              </w:rPr>
              <w:t>Show Inactive Transfusion Effectiveness Report</w:t>
            </w:r>
            <w:r w:rsidR="008632FE">
              <w:rPr>
                <w:b/>
              </w:rPr>
              <w:t xml:space="preserve"> </w:t>
            </w:r>
            <w:r>
              <w:rPr>
                <w:b/>
              </w:rPr>
              <w:t xml:space="preserve">Tests </w:t>
            </w:r>
            <w:r w:rsidRPr="00D1100E">
              <w:t>check box</w:t>
            </w:r>
            <w:r>
              <w:t>, if desired.</w:t>
            </w:r>
            <w:r w:rsidR="002A21AE">
              <w:t xml:space="preserve"> </w:t>
            </w:r>
          </w:p>
          <w:p w14:paraId="1DA98FAD" w14:textId="77777777" w:rsidR="002A21AE" w:rsidRDefault="002A21AE">
            <w:pPr>
              <w:pStyle w:val="TableTextNumbersContinued"/>
            </w:pPr>
          </w:p>
          <w:p w14:paraId="0CF992A7" w14:textId="77777777" w:rsidR="002A21AE" w:rsidRDefault="002A21AE">
            <w:pPr>
              <w:pStyle w:val="TableTextNumbersContinued"/>
            </w:pPr>
            <w:r>
              <w:t xml:space="preserve">Click </w:t>
            </w:r>
            <w:r>
              <w:rPr>
                <w:b/>
              </w:rPr>
              <w:t>Update</w:t>
            </w:r>
            <w:r>
              <w:t xml:space="preserve"> to edit the tests.</w:t>
            </w:r>
          </w:p>
        </w:tc>
        <w:tc>
          <w:tcPr>
            <w:tcW w:w="6120" w:type="dxa"/>
          </w:tcPr>
          <w:p w14:paraId="5D7BC9FD" w14:textId="77777777" w:rsidR="002A21AE" w:rsidRDefault="002A21AE">
            <w:pPr>
              <w:pStyle w:val="TableTextBullet"/>
            </w:pPr>
            <w:r>
              <w:t xml:space="preserve">Allows the user to enter one or more Transfusion Effectiveness Tests. </w:t>
            </w:r>
          </w:p>
          <w:p w14:paraId="7100C706" w14:textId="77777777" w:rsidR="002A21AE" w:rsidRDefault="002A21AE">
            <w:pPr>
              <w:pStyle w:val="TableTextBullet"/>
            </w:pPr>
            <w:r>
              <w:t>Uses VistALink to retrieve Laboratory test data for each of these indicators:</w:t>
            </w:r>
          </w:p>
          <w:p w14:paraId="45E02265" w14:textId="77777777" w:rsidR="002A21AE" w:rsidRDefault="002A21AE">
            <w:pPr>
              <w:pStyle w:val="TableTextBullet1"/>
            </w:pPr>
            <w:r>
              <w:t>Laboratory test name</w:t>
            </w:r>
          </w:p>
          <w:p w14:paraId="42946837" w14:textId="77777777" w:rsidR="002A21AE" w:rsidRDefault="00CA0045">
            <w:pPr>
              <w:pStyle w:val="TableTextBullet1"/>
            </w:pPr>
            <w:r w:rsidRPr="00CA0045">
              <w:rPr>
                <w:bCs/>
              </w:rPr>
              <w:t>VistA</w:t>
            </w:r>
            <w:r w:rsidR="002A21AE">
              <w:t xml:space="preserve"> Laboratory test Internal Entry Number (IEN)</w:t>
            </w:r>
          </w:p>
          <w:p w14:paraId="526ED28E" w14:textId="77777777" w:rsidR="002A21AE" w:rsidRDefault="002A21AE">
            <w:pPr>
              <w:pStyle w:val="TableTextBullet1"/>
            </w:pPr>
            <w:r>
              <w:t>Specimen type</w:t>
            </w:r>
          </w:p>
        </w:tc>
      </w:tr>
      <w:tr w:rsidR="002A21AE" w14:paraId="06F1AA4C" w14:textId="77777777">
        <w:tc>
          <w:tcPr>
            <w:tcW w:w="3240" w:type="dxa"/>
          </w:tcPr>
          <w:p w14:paraId="431F1C1C" w14:textId="77777777" w:rsidR="002A21AE" w:rsidRDefault="002A21AE">
            <w:pPr>
              <w:pStyle w:val="TableTextNumbers"/>
            </w:pPr>
            <w:r>
              <w:lastRenderedPageBreak/>
              <w:t xml:space="preserve">Repeat Step 2 for each Transfusion Effectiveness Test to be defined, or click </w:t>
            </w:r>
            <w:r>
              <w:rPr>
                <w:b/>
              </w:rPr>
              <w:t>Cancel</w:t>
            </w:r>
            <w:r>
              <w:t xml:space="preserve"> to exit. </w:t>
            </w:r>
          </w:p>
        </w:tc>
        <w:tc>
          <w:tcPr>
            <w:tcW w:w="6120" w:type="dxa"/>
          </w:tcPr>
          <w:p w14:paraId="1B8636D1" w14:textId="77777777" w:rsidR="002A21AE" w:rsidRDefault="002A21AE">
            <w:pPr>
              <w:pStyle w:val="TableText"/>
            </w:pPr>
          </w:p>
        </w:tc>
      </w:tr>
      <w:tr w:rsidR="00E51B8B" w14:paraId="71DFB744" w14:textId="77777777">
        <w:tc>
          <w:tcPr>
            <w:tcW w:w="3240" w:type="dxa"/>
            <w:tcBorders>
              <w:top w:val="single" w:sz="4" w:space="0" w:color="auto"/>
              <w:left w:val="single" w:sz="4" w:space="0" w:color="auto"/>
              <w:bottom w:val="single" w:sz="4" w:space="0" w:color="auto"/>
              <w:right w:val="single" w:sz="4" w:space="0" w:color="auto"/>
            </w:tcBorders>
          </w:tcPr>
          <w:p w14:paraId="001EEC32" w14:textId="77777777" w:rsidR="00E51B8B" w:rsidRDefault="00E51B8B" w:rsidP="00E51B8B">
            <w:pPr>
              <w:pStyle w:val="TableTextNumbers"/>
            </w:pPr>
            <w:r>
              <w:t xml:space="preserve">Click </w:t>
            </w:r>
            <w:r w:rsidRPr="00E51B8B">
              <w:rPr>
                <w:b/>
              </w:rPr>
              <w:t>OK</w:t>
            </w:r>
            <w:r>
              <w:t xml:space="preserve"> to save</w:t>
            </w:r>
            <w:r w:rsidR="00F8353F">
              <w:t xml:space="preserve"> and </w:t>
            </w:r>
            <w:r w:rsidR="00F8353F" w:rsidRPr="00F8353F">
              <w:rPr>
                <w:b/>
              </w:rPr>
              <w:t>Yes</w:t>
            </w:r>
            <w:r w:rsidR="00F8353F">
              <w:t xml:space="preserve"> to confirm the save</w:t>
            </w:r>
            <w: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3D57F1B0" w14:textId="77777777" w:rsidR="00E51B8B" w:rsidRDefault="00E51B8B" w:rsidP="00EF41C4">
            <w:pPr>
              <w:pStyle w:val="TableTextBullet"/>
            </w:pPr>
            <w:r>
              <w:t>Updates the database, including the date and time and the technologist ID. Saves changes to previously defined tests for inclusion in an Audit Trail Report.</w:t>
            </w:r>
          </w:p>
        </w:tc>
      </w:tr>
    </w:tbl>
    <w:p w14:paraId="2E869B1F" w14:textId="1B81F326" w:rsidR="005E5594" w:rsidRDefault="005E5594" w:rsidP="005E5594">
      <w:pPr>
        <w:pStyle w:val="Caption"/>
      </w:pPr>
      <w:bookmarkStart w:id="222" w:name="_Ref126472575"/>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58</w:t>
      </w:r>
      <w:r w:rsidR="004E20BD">
        <w:rPr>
          <w:noProof/>
        </w:rPr>
        <w:fldChar w:fldCharType="end"/>
      </w:r>
      <w:bookmarkEnd w:id="222"/>
      <w:r>
        <w:t>: Transfusion Effectiveness Report Tests</w:t>
      </w:r>
    </w:p>
    <w:p w14:paraId="7CF9D1FE" w14:textId="77777777" w:rsidR="005E5594" w:rsidRDefault="00057948" w:rsidP="005E5594">
      <w:pPr>
        <w:pStyle w:val="BodyText"/>
      </w:pPr>
      <w:r>
        <w:rPr>
          <w:noProof/>
        </w:rPr>
        <w:drawing>
          <wp:inline distT="0" distB="0" distL="0" distR="0" wp14:anchorId="23606DA2" wp14:editId="71199D67">
            <wp:extent cx="3454400" cy="2891155"/>
            <wp:effectExtent l="0" t="0" r="0" b="4445"/>
            <wp:docPr id="137" name="Picture 137" descr="P2357#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P2357#yIS1">
                      <a:extLst>
                        <a:ext uri="{C183D7F6-B498-43B3-948B-1728B52AA6E4}">
                          <adec:decorative xmlns:adec="http://schemas.microsoft.com/office/drawing/2017/decorative" val="1"/>
                        </a:ext>
                      </a:extLst>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454400" cy="2891155"/>
                    </a:xfrm>
                    <a:prstGeom prst="rect">
                      <a:avLst/>
                    </a:prstGeom>
                    <a:noFill/>
                    <a:ln>
                      <a:noFill/>
                    </a:ln>
                  </pic:spPr>
                </pic:pic>
              </a:graphicData>
            </a:graphic>
          </wp:inline>
        </w:drawing>
      </w:r>
    </w:p>
    <w:bookmarkEnd w:id="221"/>
    <w:p w14:paraId="16FA0665" w14:textId="77777777" w:rsidR="00D75EF6" w:rsidRDefault="00466CF2" w:rsidP="005E5594">
      <w:pPr>
        <w:pStyle w:val="Heading3"/>
      </w:pPr>
      <w:r>
        <w:br w:type="page"/>
      </w:r>
      <w:bookmarkStart w:id="223" w:name="_Toc4588767"/>
      <w:r w:rsidR="00D75EF6">
        <w:lastRenderedPageBreak/>
        <w:t>MSBOS</w:t>
      </w:r>
      <w:bookmarkEnd w:id="223"/>
      <w:r w:rsidR="00D75EF6">
        <w:fldChar w:fldCharType="begin"/>
      </w:r>
      <w:r w:rsidR="00D75EF6">
        <w:instrText xml:space="preserve"> XE “MSBOS” </w:instrText>
      </w:r>
      <w:r w:rsidR="00D75EF6">
        <w:fldChar w:fldCharType="end"/>
      </w:r>
      <w:r w:rsidR="00D75EF6">
        <w:t xml:space="preserve"> </w:t>
      </w:r>
      <w:r w:rsidR="00D75EF6">
        <w:rPr>
          <w:rFonts w:ascii="Times New Roman" w:hAnsi="Times New Roman" w:cs="Times New Roman"/>
          <w:vanish/>
          <w:sz w:val="22"/>
        </w:rPr>
        <w:t>UC_32</w:t>
      </w:r>
    </w:p>
    <w:p w14:paraId="10D413C1" w14:textId="77777777" w:rsidR="00D75EF6" w:rsidRDefault="00D75EF6" w:rsidP="00D75EF6">
      <w:pPr>
        <w:pStyle w:val="BodyText"/>
      </w:pPr>
      <w:r>
        <w:t xml:space="preserve">The user defines parameters for comparing blood component orders placed by a clinician with the Maximum Surgical Blood Ordering Schedule (MSBOS). </w:t>
      </w:r>
    </w:p>
    <w:p w14:paraId="33069C65" w14:textId="77777777" w:rsidR="00D75EF6" w:rsidRDefault="00D75EF6" w:rsidP="00D75EF6">
      <w:pPr>
        <w:pStyle w:val="Heading4"/>
      </w:pPr>
      <w:r>
        <w:t>Assumptions</w:t>
      </w:r>
    </w:p>
    <w:p w14:paraId="1FAA9AE5" w14:textId="77777777" w:rsidR="00D75EF6" w:rsidRDefault="00D75EF6" w:rsidP="00D75EF6">
      <w:pPr>
        <w:pStyle w:val="ListBullet"/>
      </w:pPr>
      <w:r>
        <w:t>A table of generic surgery names is available for MSBOS activation.</w:t>
      </w:r>
      <w:r>
        <w:rPr>
          <w:noProof/>
        </w:rPr>
        <w:t xml:space="preserve"> </w:t>
      </w:r>
    </w:p>
    <w:p w14:paraId="6F05129D" w14:textId="77777777" w:rsidR="00D75EF6" w:rsidRDefault="00D75EF6" w:rsidP="00D75EF6">
      <w:pPr>
        <w:pStyle w:val="Heading4"/>
      </w:pPr>
      <w:r>
        <w:t>Outcome</w:t>
      </w:r>
    </w:p>
    <w:p w14:paraId="30A7FF8E" w14:textId="77777777" w:rsidR="00D75EF6" w:rsidRDefault="00D75EF6" w:rsidP="00D75EF6">
      <w:pPr>
        <w:pStyle w:val="ListBullet"/>
      </w:pPr>
      <w:r>
        <w:t xml:space="preserve">CPRS users will see only active surgery names when placing a blood bank order. </w:t>
      </w:r>
    </w:p>
    <w:p w14:paraId="3803C16E" w14:textId="77777777" w:rsidR="00D75EF6" w:rsidRDefault="00D75EF6" w:rsidP="00D75EF6">
      <w:pPr>
        <w:pStyle w:val="ListBullet"/>
      </w:pPr>
      <w:r>
        <w:t xml:space="preserve">MSBOS will be available to VBECS users to evaluate the appropriateness of </w:t>
      </w:r>
      <w:r w:rsidR="00200425">
        <w:t xml:space="preserve">pre-op </w:t>
      </w:r>
      <w:r>
        <w:t>orders.</w:t>
      </w:r>
    </w:p>
    <w:p w14:paraId="03206072" w14:textId="77777777" w:rsidR="00D75EF6" w:rsidRDefault="00D75EF6" w:rsidP="00D75EF6">
      <w:pPr>
        <w:pStyle w:val="Heading4"/>
      </w:pPr>
      <w:r>
        <w:t>Limitations and Restrictions</w:t>
      </w:r>
    </w:p>
    <w:p w14:paraId="0C20B3D5" w14:textId="77777777" w:rsidR="00D75EF6" w:rsidRDefault="00D75EF6" w:rsidP="00D75EF6">
      <w:pPr>
        <w:pStyle w:val="ListBullet"/>
      </w:pPr>
      <w:r>
        <w:t>None</w:t>
      </w:r>
    </w:p>
    <w:p w14:paraId="5D9FB19F" w14:textId="77777777" w:rsidR="00D75EF6" w:rsidRDefault="00D75EF6" w:rsidP="00D75EF6">
      <w:pPr>
        <w:pStyle w:val="Heading4"/>
      </w:pPr>
      <w:r>
        <w:t>Additional Information</w:t>
      </w:r>
    </w:p>
    <w:p w14:paraId="526DF6EB" w14:textId="77777777" w:rsidR="00D75EF6" w:rsidRDefault="00D75EF6" w:rsidP="00D75EF6">
      <w:pPr>
        <w:pStyle w:val="ListBullet"/>
      </w:pPr>
      <w:r>
        <w:t>The maximum number of blood products serves as a guideline. Orders in excess of the MSBOS are not prohibited.</w:t>
      </w:r>
    </w:p>
    <w:p w14:paraId="5FA681F1" w14:textId="77777777" w:rsidR="00D75EF6" w:rsidRDefault="00D75EF6" w:rsidP="00D75EF6">
      <w:pPr>
        <w:pStyle w:val="ListBullet"/>
      </w:pPr>
      <w:r>
        <w:t>The VBECS user may view active and inactive surgery names.</w:t>
      </w:r>
    </w:p>
    <w:p w14:paraId="11D3DBF6" w14:textId="77777777" w:rsidR="00D75EF6" w:rsidRDefault="00D75EF6" w:rsidP="00D75EF6">
      <w:pPr>
        <w:pStyle w:val="Heading4"/>
      </w:pPr>
      <w:r>
        <w:t>User Roles with Access to This Option</w:t>
      </w:r>
    </w:p>
    <w:p w14:paraId="07AA24F1" w14:textId="77777777" w:rsidR="00D75EF6" w:rsidRDefault="00D75EF6" w:rsidP="00D75EF6">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2557EA59" w14:textId="77777777" w:rsidR="00D75EF6" w:rsidRDefault="00D75EF6" w:rsidP="00D75EF6">
      <w:pPr>
        <w:pStyle w:val="Heading4"/>
      </w:pPr>
      <w:r>
        <w:t>MSBOS</w:t>
      </w:r>
    </w:p>
    <w:p w14:paraId="38C62609" w14:textId="77777777" w:rsidR="00D75EF6" w:rsidRDefault="00D75EF6" w:rsidP="00D75EF6">
      <w:pPr>
        <w:pStyle w:val="BodyText"/>
      </w:pPr>
      <w:r>
        <w:t xml:space="preserve">The user selects a surgery name from the generic surgery list or creates a new surgery name, then defines the associated MSBOS recommendation. MSBOS is used when VBECS acknowledges orders from </w:t>
      </w:r>
      <w:r w:rsidRPr="00CA0045">
        <w:rPr>
          <w:bCs/>
        </w:rPr>
        <w:t>VistA</w:t>
      </w:r>
      <w:r>
        <w:t xml:space="preserve"> that are written for preoperative patients.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D75EF6" w14:paraId="1D37D59D" w14:textId="77777777">
        <w:trPr>
          <w:tblHeader/>
        </w:trPr>
        <w:tc>
          <w:tcPr>
            <w:tcW w:w="3240" w:type="dxa"/>
            <w:shd w:val="pct30" w:color="auto" w:fill="FFFFFF"/>
            <w:vAlign w:val="bottom"/>
          </w:tcPr>
          <w:p w14:paraId="24ADE89C" w14:textId="77777777" w:rsidR="00D75EF6" w:rsidRDefault="00D75EF6" w:rsidP="00DB1D38">
            <w:pPr>
              <w:pStyle w:val="TableText"/>
              <w:rPr>
                <w:b/>
              </w:rPr>
            </w:pPr>
            <w:r>
              <w:rPr>
                <w:b/>
              </w:rPr>
              <w:t>User Action</w:t>
            </w:r>
          </w:p>
        </w:tc>
        <w:tc>
          <w:tcPr>
            <w:tcW w:w="6120" w:type="dxa"/>
            <w:shd w:val="pct30" w:color="auto" w:fill="FFFFFF"/>
            <w:vAlign w:val="bottom"/>
          </w:tcPr>
          <w:p w14:paraId="3EC16B22" w14:textId="77777777" w:rsidR="00D75EF6" w:rsidRDefault="00D75EF6" w:rsidP="00DB1D38">
            <w:pPr>
              <w:pStyle w:val="TableText"/>
              <w:rPr>
                <w:b/>
              </w:rPr>
            </w:pPr>
            <w:r>
              <w:rPr>
                <w:b/>
              </w:rPr>
              <w:t>VBECS</w:t>
            </w:r>
          </w:p>
        </w:tc>
      </w:tr>
      <w:tr w:rsidR="00D75EF6" w14:paraId="36EF6B73" w14:textId="77777777">
        <w:tc>
          <w:tcPr>
            <w:tcW w:w="3240" w:type="dxa"/>
          </w:tcPr>
          <w:p w14:paraId="020AAED9" w14:textId="77777777" w:rsidR="00D75EF6" w:rsidRDefault="00D75EF6" w:rsidP="00DB1D38">
            <w:pPr>
              <w:pStyle w:val="TableTextNumbers"/>
            </w:pPr>
            <w:r>
              <w:t xml:space="preserve">Select </w:t>
            </w:r>
            <w:r>
              <w:rPr>
                <w:b/>
                <w:bCs/>
              </w:rPr>
              <w:t>Tools</w:t>
            </w:r>
            <w:r>
              <w:t xml:space="preserve"> from the main menu.</w:t>
            </w:r>
          </w:p>
          <w:p w14:paraId="6EE260E5" w14:textId="77777777" w:rsidR="00D75EF6" w:rsidRDefault="00D75EF6" w:rsidP="00DB1D38">
            <w:pPr>
              <w:pStyle w:val="TableTextNumbersContinued"/>
            </w:pPr>
          </w:p>
          <w:p w14:paraId="7DAC1585" w14:textId="77777777" w:rsidR="00D75EF6" w:rsidRDefault="00D75EF6" w:rsidP="00DB1D38">
            <w:pPr>
              <w:pStyle w:val="TableTextNumbersContinued"/>
            </w:pPr>
            <w:r>
              <w:t xml:space="preserve">Select </w:t>
            </w:r>
            <w:r>
              <w:rPr>
                <w:b/>
              </w:rPr>
              <w:t>MSBOS</w:t>
            </w:r>
            <w:r>
              <w:t>.</w:t>
            </w:r>
          </w:p>
        </w:tc>
        <w:tc>
          <w:tcPr>
            <w:tcW w:w="6120" w:type="dxa"/>
          </w:tcPr>
          <w:p w14:paraId="4DC2887A" w14:textId="77777777" w:rsidR="00D75EF6" w:rsidRDefault="00D75EF6" w:rsidP="00DB1D38">
            <w:pPr>
              <w:pStyle w:val="TableTextBullet"/>
            </w:pPr>
            <w:r>
              <w:t>Displays options for processing administrative functions.</w:t>
            </w:r>
          </w:p>
          <w:p w14:paraId="3AFA7F38" w14:textId="77777777" w:rsidR="00D75EF6" w:rsidRDefault="00D75EF6" w:rsidP="00DB1D38">
            <w:pPr>
              <w:pStyle w:val="TableTextBullet"/>
            </w:pPr>
            <w:r>
              <w:t xml:space="preserve">Displays the schedule and component recommendation options. </w:t>
            </w:r>
          </w:p>
        </w:tc>
      </w:tr>
      <w:tr w:rsidR="00D75EF6" w14:paraId="3A051B4E" w14:textId="77777777" w:rsidTr="007E500E">
        <w:trPr>
          <w:cantSplit/>
        </w:trPr>
        <w:tc>
          <w:tcPr>
            <w:tcW w:w="3240" w:type="dxa"/>
          </w:tcPr>
          <w:p w14:paraId="19F9E808" w14:textId="47076F55" w:rsidR="00D75EF6" w:rsidRDefault="00D75EF6" w:rsidP="00DB1D38">
            <w:pPr>
              <w:pStyle w:val="TableTextNumbers"/>
            </w:pPr>
            <w:r>
              <w:lastRenderedPageBreak/>
              <w:t xml:space="preserve">To activate an existing surgery name, click the </w:t>
            </w:r>
            <w:r>
              <w:rPr>
                <w:b/>
                <w:bCs/>
              </w:rPr>
              <w:t xml:space="preserve">Show Inactive MSBOS entries </w:t>
            </w:r>
            <w:r w:rsidRPr="00D1100E">
              <w:rPr>
                <w:bCs/>
              </w:rPr>
              <w:t>check box</w:t>
            </w:r>
            <w:r w:rsidR="00070D1C">
              <w:rPr>
                <w:bCs/>
              </w:rPr>
              <w:t xml:space="preserve"> (</w:t>
            </w:r>
            <w:r w:rsidR="00070D1C">
              <w:rPr>
                <w:bCs/>
              </w:rPr>
              <w:fldChar w:fldCharType="begin" w:fldLock="1"/>
            </w:r>
            <w:r w:rsidR="00070D1C">
              <w:rPr>
                <w:bCs/>
              </w:rPr>
              <w:instrText xml:space="preserve"> REF _Ref126472861 \h </w:instrText>
            </w:r>
            <w:r w:rsidR="00070D1C">
              <w:rPr>
                <w:bCs/>
              </w:rPr>
            </w:r>
            <w:r w:rsidR="00070D1C">
              <w:rPr>
                <w:bCs/>
              </w:rPr>
              <w:fldChar w:fldCharType="separate"/>
            </w:r>
            <w:r w:rsidR="00AB304C">
              <w:t xml:space="preserve">Figure </w:t>
            </w:r>
            <w:r w:rsidR="00AB304C">
              <w:rPr>
                <w:noProof/>
              </w:rPr>
              <w:t>59</w:t>
            </w:r>
            <w:r w:rsidR="00070D1C">
              <w:rPr>
                <w:bCs/>
              </w:rPr>
              <w:fldChar w:fldCharType="end"/>
            </w:r>
            <w:r w:rsidR="00070D1C">
              <w:rPr>
                <w:bCs/>
              </w:rPr>
              <w:t>)</w:t>
            </w:r>
            <w:r>
              <w:t>.</w:t>
            </w:r>
          </w:p>
          <w:p w14:paraId="234738CD" w14:textId="77777777" w:rsidR="00D75EF6" w:rsidRDefault="00D75EF6" w:rsidP="00DB1D38">
            <w:pPr>
              <w:pStyle w:val="TableTextNumbersContinued"/>
            </w:pPr>
          </w:p>
          <w:p w14:paraId="7E5AC54B" w14:textId="77777777" w:rsidR="00D75EF6" w:rsidRDefault="00D75EF6" w:rsidP="00DB1D38">
            <w:pPr>
              <w:pStyle w:val="TableTextNumbersContinued"/>
            </w:pPr>
            <w:r>
              <w:t>Select a surgery name.</w:t>
            </w:r>
          </w:p>
          <w:p w14:paraId="7B4FD09E" w14:textId="77777777" w:rsidR="00D75EF6" w:rsidRDefault="00D75EF6" w:rsidP="00DB1D38">
            <w:pPr>
              <w:pStyle w:val="TableTextNumbersContinued"/>
            </w:pPr>
          </w:p>
          <w:p w14:paraId="40033FB3" w14:textId="77777777" w:rsidR="00D75EF6" w:rsidRDefault="00D75EF6" w:rsidP="00DB1D38">
            <w:pPr>
              <w:pStyle w:val="TableTextNumbersContinued"/>
            </w:pPr>
            <w:r>
              <w:t xml:space="preserve">Click the </w:t>
            </w:r>
            <w:r>
              <w:rPr>
                <w:b/>
                <w:bCs/>
              </w:rPr>
              <w:t xml:space="preserve">Active MSBOS Entry? </w:t>
            </w:r>
            <w:r w:rsidRPr="00D1100E">
              <w:rPr>
                <w:bCs/>
              </w:rPr>
              <w:t>check box</w:t>
            </w:r>
            <w:r>
              <w:t>, or</w:t>
            </w:r>
          </w:p>
          <w:p w14:paraId="57AF8B12" w14:textId="77777777" w:rsidR="00D75EF6" w:rsidRDefault="00D75EF6" w:rsidP="00DB1D38">
            <w:pPr>
              <w:pStyle w:val="TableTextNumbersContinued"/>
            </w:pPr>
          </w:p>
          <w:p w14:paraId="0477119A" w14:textId="77777777" w:rsidR="00D75EF6" w:rsidRDefault="00D75EF6" w:rsidP="00DB1D38">
            <w:pPr>
              <w:pStyle w:val="TableTextNumbersContinued"/>
            </w:pPr>
            <w:r>
              <w:t xml:space="preserve">To add and activate a surgery name, click </w:t>
            </w:r>
            <w:r>
              <w:rPr>
                <w:b/>
                <w:bCs/>
              </w:rPr>
              <w:t xml:space="preserve">New Surgery </w:t>
            </w:r>
            <w:r>
              <w:t xml:space="preserve">and enter a surgery name in the Surgery Name field. Click </w:t>
            </w:r>
            <w:r>
              <w:rPr>
                <w:b/>
                <w:bCs/>
              </w:rPr>
              <w:t>Add</w:t>
            </w:r>
            <w:r>
              <w:t xml:space="preserve">, or </w:t>
            </w:r>
          </w:p>
          <w:p w14:paraId="66EAEF2D" w14:textId="77777777" w:rsidR="00D75EF6" w:rsidRDefault="00D75EF6" w:rsidP="00DB1D38">
            <w:pPr>
              <w:pStyle w:val="TableTextNumbersContinued"/>
            </w:pPr>
          </w:p>
          <w:p w14:paraId="5DE66DF5" w14:textId="77777777" w:rsidR="00D75EF6" w:rsidRDefault="00D75EF6" w:rsidP="00DB1D38">
            <w:pPr>
              <w:pStyle w:val="TableTextNumbersContinued"/>
            </w:pPr>
            <w:r>
              <w:t xml:space="preserve">To edit and/or inactivate an existing surgery name, click the appropriate options in the MSBOS Component Recommendation area of the screen edit. Click </w:t>
            </w:r>
            <w:r>
              <w:rPr>
                <w:b/>
                <w:bCs/>
              </w:rPr>
              <w:t>Update</w:t>
            </w:r>
            <w:r>
              <w:t>.</w:t>
            </w:r>
          </w:p>
        </w:tc>
        <w:tc>
          <w:tcPr>
            <w:tcW w:w="6120" w:type="dxa"/>
          </w:tcPr>
          <w:p w14:paraId="6C153D52" w14:textId="77777777" w:rsidR="00D75EF6" w:rsidRDefault="00D75EF6" w:rsidP="00DB1D38">
            <w:pPr>
              <w:pStyle w:val="TableTextBullet"/>
            </w:pPr>
            <w:r>
              <w:t>Lists active surgery names or allows the user to create an entry.</w:t>
            </w:r>
          </w:p>
          <w:p w14:paraId="05DE7385" w14:textId="77777777" w:rsidR="00D75EF6" w:rsidRDefault="00D75EF6" w:rsidP="00DB1D38">
            <w:pPr>
              <w:pStyle w:val="TableTextBullet"/>
            </w:pPr>
            <w:r>
              <w:t>Activate, add, or edit a MSBOS entry and its associated data.</w:t>
            </w:r>
          </w:p>
          <w:p w14:paraId="42026B31" w14:textId="77777777" w:rsidR="00D75EF6" w:rsidRDefault="00D75EF6" w:rsidP="00DB1D38">
            <w:pPr>
              <w:pStyle w:val="TableTextBullet"/>
            </w:pPr>
            <w:r>
              <w:t>Displays surgery names available for activation.</w:t>
            </w:r>
          </w:p>
          <w:p w14:paraId="71D70147" w14:textId="77777777" w:rsidR="00D75EF6" w:rsidRDefault="00D75EF6" w:rsidP="00DB1D38">
            <w:pPr>
              <w:pStyle w:val="TableTextBullet"/>
            </w:pPr>
            <w:r>
              <w:t>Displays entries for review and acceptance.</w:t>
            </w:r>
          </w:p>
          <w:p w14:paraId="6058EFC3" w14:textId="77777777" w:rsidR="00D75EF6" w:rsidRDefault="00D75EF6" w:rsidP="00DB1D38">
            <w:pPr>
              <w:pStyle w:val="TableText"/>
            </w:pPr>
          </w:p>
          <w:p w14:paraId="4EF2E621" w14:textId="77777777" w:rsidR="00D75EF6" w:rsidRDefault="00057948" w:rsidP="00DB1D38">
            <w:pPr>
              <w:pStyle w:val="TableText"/>
              <w:rPr>
                <w:b/>
                <w:bCs/>
                <w:szCs w:val="18"/>
              </w:rPr>
            </w:pPr>
            <w:r>
              <w:rPr>
                <w:b/>
                <w:bCs/>
                <w:noProof/>
              </w:rPr>
              <mc:AlternateContent>
                <mc:Choice Requires="wps">
                  <w:drawing>
                    <wp:anchor distT="0" distB="0" distL="114300" distR="114300" simplePos="0" relativeHeight="251718656" behindDoc="0" locked="0" layoutInCell="1" allowOverlap="1" wp14:anchorId="41D24CA8" wp14:editId="7EB85E64">
                      <wp:simplePos x="0" y="0"/>
                      <wp:positionH relativeFrom="column">
                        <wp:posOffset>457200</wp:posOffset>
                      </wp:positionH>
                      <wp:positionV relativeFrom="paragraph">
                        <wp:posOffset>65405</wp:posOffset>
                      </wp:positionV>
                      <wp:extent cx="3200400" cy="0"/>
                      <wp:effectExtent l="9525" t="17780" r="9525" b="10795"/>
                      <wp:wrapNone/>
                      <wp:docPr id="550" name="Line 1041" descr="P2397C6T2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3A4539" id="Line 1041" o:spid="_x0000_s1026" alt="&quot;&quot;"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DEq31NwgEAAG8DAAAOAAAAAAAAAAAAAAAAAC4C&#10;AABkcnMvZTJvRG9jLnhtbFBLAQItABQABgAIAAAAIQAXTzAS2wAAAAgBAAAPAAAAAAAAAAAAAAAA&#10;ABwEAABkcnMvZG93bnJldi54bWxQSwUGAAAAAAQABADzAAAAJAUAAAAA&#10;" strokeweight="1.5pt"/>
                  </w:pict>
                </mc:Fallback>
              </mc:AlternateContent>
            </w:r>
            <w:r w:rsidR="00D75EF6">
              <w:rPr>
                <w:b/>
                <w:bCs/>
                <w:szCs w:val="18"/>
              </w:rPr>
              <w:t>NOTES</w:t>
            </w:r>
          </w:p>
          <w:p w14:paraId="5773551B" w14:textId="77777777" w:rsidR="00D75EF6" w:rsidRDefault="00D75EF6" w:rsidP="00DB1D38">
            <w:pPr>
              <w:pStyle w:val="NotesText"/>
            </w:pPr>
          </w:p>
          <w:p w14:paraId="7E94D3D5" w14:textId="77777777" w:rsidR="00D75EF6" w:rsidRDefault="00D75EF6" w:rsidP="00DB1D38">
            <w:pPr>
              <w:pStyle w:val="NotesText"/>
            </w:pPr>
            <w:r w:rsidRPr="009660C3">
              <w:rPr>
                <w:vanish/>
                <w:szCs w:val="18"/>
              </w:rPr>
              <w:t xml:space="preserve">BR_32.01 </w:t>
            </w:r>
            <w:r>
              <w:t>MSBOS is specific to the division.</w:t>
            </w:r>
          </w:p>
          <w:p w14:paraId="2E8F8937" w14:textId="77777777" w:rsidR="00D75EF6" w:rsidRDefault="00D75EF6" w:rsidP="00DB1D38">
            <w:pPr>
              <w:pStyle w:val="NotesText"/>
            </w:pPr>
          </w:p>
          <w:p w14:paraId="538FE01E" w14:textId="2EB43903" w:rsidR="00D75EF6" w:rsidRDefault="00D75EF6" w:rsidP="00DB1D38">
            <w:pPr>
              <w:pStyle w:val="NotesText"/>
            </w:pPr>
            <w:r>
              <w:t xml:space="preserve">See </w:t>
            </w:r>
            <w:r w:rsidR="00543DAF">
              <w:fldChar w:fldCharType="begin" w:fldLock="1"/>
            </w:r>
            <w:r w:rsidR="00543DAF">
              <w:instrText xml:space="preserve"> REF _Ref170004931 \h </w:instrText>
            </w:r>
            <w:r w:rsidR="00543DAF">
              <w:fldChar w:fldCharType="separate"/>
            </w:r>
            <w:r w:rsidR="00AB304C">
              <w:t xml:space="preserve">Appendix </w:t>
            </w:r>
            <w:r w:rsidR="00AB304C">
              <w:rPr>
                <w:noProof/>
              </w:rPr>
              <w:t>B</w:t>
            </w:r>
            <w:r w:rsidR="00543DAF">
              <w:fldChar w:fldCharType="end"/>
            </w:r>
            <w:r w:rsidR="00DB529D">
              <w:t xml:space="preserve">: </w:t>
            </w:r>
            <w:r w:rsidR="00DA05C9">
              <w:fldChar w:fldCharType="begin" w:fldLock="1"/>
            </w:r>
            <w:r w:rsidR="00DA05C9">
              <w:instrText xml:space="preserve"> REF _Ref126484549 \h </w:instrText>
            </w:r>
            <w:r w:rsidR="00DA05C9">
              <w:fldChar w:fldCharType="separate"/>
            </w:r>
            <w:r w:rsidR="00AB304C">
              <w:t xml:space="preserve">Table </w:t>
            </w:r>
            <w:r w:rsidR="00AB304C">
              <w:rPr>
                <w:noProof/>
              </w:rPr>
              <w:t>24</w:t>
            </w:r>
            <w:r w:rsidR="00AB304C">
              <w:t xml:space="preserve">: </w:t>
            </w:r>
            <w:r w:rsidR="00AB304C">
              <w:rPr>
                <w:vanish/>
              </w:rPr>
              <w:t>PT_32.01</w:t>
            </w:r>
            <w:r w:rsidR="00AB304C">
              <w:rPr>
                <w:vanish/>
                <w:sz w:val="16"/>
              </w:rPr>
              <w:t xml:space="preserve"> </w:t>
            </w:r>
            <w:r w:rsidR="00AB304C">
              <w:t>VBECS Maximum Surgical Blood Order Schedule (MSBOS)</w:t>
            </w:r>
            <w:r w:rsidR="00DA05C9">
              <w:fldChar w:fldCharType="end"/>
            </w:r>
            <w:r>
              <w:t>.</w:t>
            </w:r>
          </w:p>
          <w:p w14:paraId="5195B045" w14:textId="77777777" w:rsidR="00D75EF6" w:rsidRDefault="00D75EF6" w:rsidP="00DB1D38">
            <w:pPr>
              <w:pStyle w:val="NotesText"/>
            </w:pPr>
          </w:p>
          <w:p w14:paraId="76982AF1" w14:textId="77777777" w:rsidR="00D75EF6" w:rsidRDefault="00D75EF6" w:rsidP="00DB1D38">
            <w:pPr>
              <w:pStyle w:val="NotesText"/>
            </w:pPr>
            <w:r w:rsidRPr="009660C3">
              <w:rPr>
                <w:vanish/>
                <w:szCs w:val="18"/>
              </w:rPr>
              <w:t xml:space="preserve">BR_32.04 </w:t>
            </w:r>
            <w:r>
              <w:t>Each surgery name has a Type &amp; Screen (TAS) (no blood order recommended) or one or more component classes defined as recommended orders.</w:t>
            </w:r>
          </w:p>
          <w:p w14:paraId="46B464A0" w14:textId="77777777" w:rsidR="00D75EF6" w:rsidRDefault="00D75EF6" w:rsidP="00DB1D38">
            <w:pPr>
              <w:pStyle w:val="NotesText"/>
            </w:pPr>
          </w:p>
          <w:p w14:paraId="11851862" w14:textId="77777777" w:rsidR="00D75EF6" w:rsidRDefault="00D75EF6" w:rsidP="00DB1D38">
            <w:pPr>
              <w:pStyle w:val="NotesText"/>
            </w:pPr>
            <w:r w:rsidRPr="009660C3">
              <w:rPr>
                <w:vanish/>
                <w:szCs w:val="18"/>
              </w:rPr>
              <w:t>BR_32.02</w:t>
            </w:r>
            <w:r w:rsidR="009660C3" w:rsidRPr="009660C3">
              <w:rPr>
                <w:vanish/>
                <w:szCs w:val="18"/>
              </w:rPr>
              <w:t>,</w:t>
            </w:r>
            <w:r w:rsidRPr="009660C3">
              <w:rPr>
                <w:vanish/>
                <w:szCs w:val="18"/>
              </w:rPr>
              <w:t xml:space="preserve"> BR_32.03 </w:t>
            </w:r>
            <w:r>
              <w:t>The user may select one or more component classes for MSBOS recommendation. Each defined component class must have an associated maximum number recommended. The user may inactivate previously activated component classes for an MSBOS recommendation. The OTHER component class is not available for selection.</w:t>
            </w:r>
          </w:p>
        </w:tc>
      </w:tr>
      <w:tr w:rsidR="00D75EF6" w14:paraId="476AC749" w14:textId="77777777">
        <w:tc>
          <w:tcPr>
            <w:tcW w:w="3240" w:type="dxa"/>
          </w:tcPr>
          <w:p w14:paraId="70F53F8C" w14:textId="77777777" w:rsidR="00D75EF6" w:rsidRDefault="00D75EF6" w:rsidP="00DB1D38">
            <w:pPr>
              <w:pStyle w:val="TableTextNumbers"/>
            </w:pPr>
            <w:r>
              <w:t>Repeat Step 2 until all new entries are created or existing entries are edited.</w:t>
            </w:r>
          </w:p>
          <w:p w14:paraId="0B93D141" w14:textId="77777777" w:rsidR="00D75EF6" w:rsidRDefault="00D75EF6" w:rsidP="00DB1D38">
            <w:pPr>
              <w:pStyle w:val="TableTextNumbersContinued"/>
            </w:pPr>
          </w:p>
          <w:p w14:paraId="40CF5399" w14:textId="77777777" w:rsidR="00D75EF6" w:rsidRDefault="00D75EF6" w:rsidP="00DB1D38">
            <w:pPr>
              <w:pStyle w:val="TableTextNumbersContinued"/>
            </w:pPr>
            <w:r>
              <w:t xml:space="preserve">Click </w:t>
            </w:r>
            <w:r>
              <w:rPr>
                <w:b/>
              </w:rPr>
              <w:t>OK</w:t>
            </w:r>
            <w:r>
              <w:t xml:space="preserve"> to save the updated data.</w:t>
            </w:r>
          </w:p>
        </w:tc>
        <w:tc>
          <w:tcPr>
            <w:tcW w:w="6120" w:type="dxa"/>
          </w:tcPr>
          <w:p w14:paraId="6CC6FC21" w14:textId="77777777" w:rsidR="00D75EF6" w:rsidRDefault="00D75EF6" w:rsidP="00DB1D38">
            <w:pPr>
              <w:pStyle w:val="TableText"/>
              <w:rPr>
                <w:b/>
                <w:bCs/>
                <w:szCs w:val="18"/>
              </w:rPr>
            </w:pPr>
          </w:p>
          <w:p w14:paraId="28C37F3E" w14:textId="77777777" w:rsidR="00D75EF6" w:rsidRDefault="00057948" w:rsidP="00DB1D38">
            <w:pPr>
              <w:pStyle w:val="TableText"/>
              <w:rPr>
                <w:b/>
                <w:bCs/>
                <w:szCs w:val="18"/>
              </w:rPr>
            </w:pPr>
            <w:r>
              <w:rPr>
                <w:b/>
                <w:bCs/>
                <w:noProof/>
              </w:rPr>
              <mc:AlternateContent>
                <mc:Choice Requires="wps">
                  <w:drawing>
                    <wp:anchor distT="0" distB="0" distL="114300" distR="114300" simplePos="0" relativeHeight="251719680" behindDoc="0" locked="0" layoutInCell="1" allowOverlap="1" wp14:anchorId="42DF6261" wp14:editId="020A2AC7">
                      <wp:simplePos x="0" y="0"/>
                      <wp:positionH relativeFrom="column">
                        <wp:posOffset>457200</wp:posOffset>
                      </wp:positionH>
                      <wp:positionV relativeFrom="paragraph">
                        <wp:posOffset>65405</wp:posOffset>
                      </wp:positionV>
                      <wp:extent cx="3200400" cy="0"/>
                      <wp:effectExtent l="9525" t="17780" r="9525" b="10795"/>
                      <wp:wrapNone/>
                      <wp:docPr id="549" name="Line 1042" descr="P2411C8T2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CDDD9" id="Line 1042" o:spid="_x0000_s1026" alt="&quot;&quot;"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O1LKV8MBAABvAwAADgAAAAAAAAAAAAAAAAAu&#10;AgAAZHJzL2Uyb0RvYy54bWxQSwECLQAUAAYACAAAACEAF08wEtsAAAAIAQAADwAAAAAAAAAAAAAA&#10;AAAdBAAAZHJzL2Rvd25yZXYueG1sUEsFBgAAAAAEAAQA8wAAACUFAAAAAA==&#10;" strokeweight="1.5pt"/>
                  </w:pict>
                </mc:Fallback>
              </mc:AlternateContent>
            </w:r>
            <w:r w:rsidR="00D75EF6">
              <w:rPr>
                <w:b/>
                <w:bCs/>
                <w:szCs w:val="18"/>
              </w:rPr>
              <w:t>NOTES</w:t>
            </w:r>
          </w:p>
          <w:p w14:paraId="6EF52DBC" w14:textId="77777777" w:rsidR="00D75EF6" w:rsidRDefault="00D75EF6" w:rsidP="00DB1D38">
            <w:pPr>
              <w:pStyle w:val="NotesText"/>
            </w:pPr>
          </w:p>
          <w:p w14:paraId="4EE878B0" w14:textId="77777777" w:rsidR="00D75EF6" w:rsidRDefault="00D75EF6" w:rsidP="00DB1D38">
            <w:pPr>
              <w:pStyle w:val="NotesText"/>
            </w:pPr>
            <w:r>
              <w:t xml:space="preserve">VBECS does not save changes to the database when the user clicks </w:t>
            </w:r>
            <w:r>
              <w:rPr>
                <w:b/>
                <w:bCs/>
              </w:rPr>
              <w:t>Cancel</w:t>
            </w:r>
            <w:r>
              <w:t xml:space="preserve"> without clicking </w:t>
            </w:r>
            <w:r>
              <w:rPr>
                <w:b/>
                <w:bCs/>
              </w:rPr>
              <w:t>OK</w:t>
            </w:r>
            <w:r>
              <w:t>.</w:t>
            </w:r>
          </w:p>
        </w:tc>
      </w:tr>
      <w:tr w:rsidR="00D75EF6" w14:paraId="1C6FF01A" w14:textId="77777777">
        <w:tc>
          <w:tcPr>
            <w:tcW w:w="3240" w:type="dxa"/>
          </w:tcPr>
          <w:p w14:paraId="666C2312" w14:textId="77777777" w:rsidR="00D75EF6" w:rsidRDefault="00D75EF6" w:rsidP="00DB1D38">
            <w:pPr>
              <w:pStyle w:val="TableTextNumbers"/>
            </w:pPr>
            <w:r>
              <w:t xml:space="preserve">Click </w:t>
            </w:r>
            <w:r>
              <w:rPr>
                <w:b/>
              </w:rPr>
              <w:t>Cancel</w:t>
            </w:r>
            <w:r>
              <w:rPr>
                <w:bCs/>
              </w:rPr>
              <w:t xml:space="preserve"> to exit</w:t>
            </w:r>
            <w:r>
              <w:t xml:space="preserve">.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14:paraId="5D8A446D" w14:textId="77777777" w:rsidR="00D75EF6" w:rsidRDefault="00D75EF6" w:rsidP="00DB1D38">
            <w:pPr>
              <w:pStyle w:val="TableText"/>
            </w:pPr>
          </w:p>
        </w:tc>
      </w:tr>
    </w:tbl>
    <w:p w14:paraId="0D5ADB82" w14:textId="7119CE9B" w:rsidR="00070D1C" w:rsidRDefault="00070D1C" w:rsidP="00070D1C">
      <w:pPr>
        <w:pStyle w:val="Caption"/>
      </w:pPr>
      <w:bookmarkStart w:id="224" w:name="_Ref126472861"/>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59</w:t>
      </w:r>
      <w:r w:rsidR="004E20BD">
        <w:rPr>
          <w:noProof/>
        </w:rPr>
        <w:fldChar w:fldCharType="end"/>
      </w:r>
      <w:bookmarkEnd w:id="224"/>
      <w:r>
        <w:t>: Maintain MSBOS</w:t>
      </w:r>
    </w:p>
    <w:p w14:paraId="71A3B755" w14:textId="77777777" w:rsidR="00D75EF6" w:rsidRDefault="00057948" w:rsidP="00070D1C">
      <w:pPr>
        <w:pStyle w:val="BodyText"/>
      </w:pPr>
      <w:r>
        <w:rPr>
          <w:noProof/>
        </w:rPr>
        <w:drawing>
          <wp:inline distT="0" distB="0" distL="0" distR="0" wp14:anchorId="1027D1CB" wp14:editId="5B17BEED">
            <wp:extent cx="3546475" cy="2936875"/>
            <wp:effectExtent l="0" t="0" r="0" b="0"/>
            <wp:docPr id="138" name="Picture 138" descr="P2419#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P2419#yIS1">
                      <a:extLst>
                        <a:ext uri="{C183D7F6-B498-43B3-948B-1728B52AA6E4}">
                          <adec:decorative xmlns:adec="http://schemas.microsoft.com/office/drawing/2017/decorative" val="1"/>
                        </a:ext>
                      </a:extLst>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546475" cy="2936875"/>
                    </a:xfrm>
                    <a:prstGeom prst="rect">
                      <a:avLst/>
                    </a:prstGeom>
                    <a:noFill/>
                    <a:ln>
                      <a:noFill/>
                    </a:ln>
                  </pic:spPr>
                </pic:pic>
              </a:graphicData>
            </a:graphic>
          </wp:inline>
        </w:drawing>
      </w:r>
    </w:p>
    <w:p w14:paraId="30BD1F0E" w14:textId="77777777" w:rsidR="002A21AE" w:rsidRDefault="00466CF2" w:rsidP="00D75EF6">
      <w:pPr>
        <w:pStyle w:val="Heading3"/>
      </w:pPr>
      <w:r>
        <w:br w:type="page"/>
      </w:r>
      <w:bookmarkStart w:id="225" w:name="_Toc4588768"/>
      <w:r w:rsidR="002A21AE">
        <w:lastRenderedPageBreak/>
        <w:t>Workload Codes</w:t>
      </w:r>
      <w:bookmarkEnd w:id="225"/>
      <w:r w:rsidR="002A21AE">
        <w:fldChar w:fldCharType="begin"/>
      </w:r>
      <w:r w:rsidR="002A21AE">
        <w:instrText xml:space="preserve"> XE </w:instrText>
      </w:r>
      <w:r w:rsidR="00FA7E65">
        <w:instrText>“</w:instrText>
      </w:r>
      <w:r w:rsidR="002A21AE">
        <w:instrText>Workload Codes</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UC_29</w:t>
      </w:r>
    </w:p>
    <w:p w14:paraId="625D3A92" w14:textId="3E76F024" w:rsidR="009D7052" w:rsidRDefault="009D7052" w:rsidP="009D7052">
      <w:pPr>
        <w:pStyle w:val="BodyText"/>
      </w:pPr>
      <w:r>
        <w:t xml:space="preserve">The user assigns workload Laboratory Management Index Program/National Laboratory Test (LMIP/NLT) tests to processes performed through VBECS. VBECS test names are associated with </w:t>
      </w:r>
      <w:r w:rsidRPr="00CA0045">
        <w:rPr>
          <w:bCs/>
        </w:rPr>
        <w:t>VistA</w:t>
      </w:r>
      <w:r>
        <w:t xml:space="preserve"> workload codes, which VBECS uses when compiling and storing data to provide workload-related reports to </w:t>
      </w:r>
      <w:r w:rsidRPr="00CA0045">
        <w:rPr>
          <w:bCs/>
        </w:rPr>
        <w:t>VistA</w:t>
      </w:r>
      <w:r>
        <w:t>.</w:t>
      </w:r>
      <w:r w:rsidR="00E90A01">
        <w:t xml:space="preserve"> For additional information, see </w:t>
      </w:r>
      <w:r w:rsidR="00E90A01">
        <w:fldChar w:fldCharType="begin" w:fldLock="1"/>
      </w:r>
      <w:r w:rsidR="00E90A01">
        <w:instrText xml:space="preserve"> REF _Ref508960255 \h </w:instrText>
      </w:r>
      <w:r w:rsidR="00E90A01">
        <w:fldChar w:fldCharType="separate"/>
      </w:r>
      <w:r w:rsidR="00AB304C">
        <w:t xml:space="preserve">Appendix </w:t>
      </w:r>
      <w:r w:rsidR="00AB304C">
        <w:rPr>
          <w:noProof/>
        </w:rPr>
        <w:t>F</w:t>
      </w:r>
      <w:r w:rsidR="00AB304C">
        <w:t>: Work Process Flowcharts</w:t>
      </w:r>
      <w:r w:rsidR="00E90A01">
        <w:fldChar w:fldCharType="end"/>
      </w:r>
      <w:r w:rsidR="00E90A01">
        <w:t>.</w:t>
      </w:r>
    </w:p>
    <w:p w14:paraId="2D9CCEC1" w14:textId="77777777" w:rsidR="002A21AE" w:rsidRDefault="002A21AE">
      <w:pPr>
        <w:pStyle w:val="Heading4"/>
      </w:pPr>
      <w:r>
        <w:t>Assumptions</w:t>
      </w:r>
    </w:p>
    <w:p w14:paraId="73B4822D" w14:textId="77777777" w:rsidR="002A21AE" w:rsidRDefault="002A21AE">
      <w:pPr>
        <w:pStyle w:val="ListBullet"/>
      </w:pPr>
      <w:r>
        <w:t xml:space="preserve">The </w:t>
      </w:r>
      <w:r w:rsidR="00CA0045" w:rsidRPr="00CA0045">
        <w:rPr>
          <w:bCs/>
        </w:rPr>
        <w:t>VistA</w:t>
      </w:r>
      <w:r>
        <w:t xml:space="preserve"> database was updated to include all required workload codes for the VBECS process.</w:t>
      </w:r>
    </w:p>
    <w:p w14:paraId="6EF2DDCC" w14:textId="77777777" w:rsidR="002A21AE" w:rsidRDefault="002A21AE">
      <w:pPr>
        <w:pStyle w:val="ListBullet"/>
      </w:pPr>
      <w:r>
        <w:t xml:space="preserve">The </w:t>
      </w:r>
      <w:r w:rsidR="00CA0045" w:rsidRPr="00CA0045">
        <w:rPr>
          <w:bCs/>
        </w:rPr>
        <w:t>VistA</w:t>
      </w:r>
      <w:r>
        <w:t xml:space="preserve"> database was updated to associate CPT codes and costs with the workload codes to be used by VBECS.</w:t>
      </w:r>
    </w:p>
    <w:p w14:paraId="7633D936" w14:textId="77777777" w:rsidR="002A21AE" w:rsidRDefault="002A21AE">
      <w:pPr>
        <w:pStyle w:val="ListBullet"/>
      </w:pPr>
      <w:r>
        <w:t xml:space="preserve">The connection to </w:t>
      </w:r>
      <w:r w:rsidR="00CA0045" w:rsidRPr="00CA0045">
        <w:rPr>
          <w:bCs/>
        </w:rPr>
        <w:t>VistA</w:t>
      </w:r>
      <w:r>
        <w:t xml:space="preserve"> is active.</w:t>
      </w:r>
    </w:p>
    <w:p w14:paraId="3E20E16E" w14:textId="77777777" w:rsidR="002A21AE" w:rsidRDefault="002A21AE">
      <w:pPr>
        <w:pStyle w:val="Heading4"/>
      </w:pPr>
      <w:r>
        <w:t>Outcome</w:t>
      </w:r>
    </w:p>
    <w:p w14:paraId="0E7519B2" w14:textId="77777777" w:rsidR="002A21AE" w:rsidRDefault="002A21AE">
      <w:pPr>
        <w:pStyle w:val="ListBullet"/>
      </w:pPr>
      <w:r>
        <w:t xml:space="preserve">Data are available to the </w:t>
      </w:r>
      <w:r w:rsidR="00CA0045" w:rsidRPr="00CA0045">
        <w:rPr>
          <w:bCs/>
        </w:rPr>
        <w:t>VistA</w:t>
      </w:r>
      <w:r>
        <w:t xml:space="preserve"> workload package.</w:t>
      </w:r>
    </w:p>
    <w:p w14:paraId="3D67883F" w14:textId="77777777" w:rsidR="002A21AE" w:rsidRDefault="002A21AE">
      <w:pPr>
        <w:pStyle w:val="Heading4"/>
      </w:pPr>
      <w:r>
        <w:t>Limitations and Restrictions</w:t>
      </w:r>
    </w:p>
    <w:p w14:paraId="47E2B6C6" w14:textId="77777777" w:rsidR="002A21AE" w:rsidRDefault="001016A5">
      <w:pPr>
        <w:pStyle w:val="ListBullet"/>
      </w:pPr>
      <w:r>
        <w:t>Transfusion-only sites must not map workload codes to processes</w:t>
      </w:r>
      <w:r w:rsidR="009D4700">
        <w:t xml:space="preserve">, such as ABO/Rh testing, </w:t>
      </w:r>
      <w:r>
        <w:t>not performed on site.</w:t>
      </w:r>
    </w:p>
    <w:p w14:paraId="5F8A9442" w14:textId="5C992680" w:rsidR="0024008D" w:rsidRDefault="0024008D">
      <w:pPr>
        <w:pStyle w:val="ListBullet"/>
      </w:pPr>
      <w:r>
        <w:t xml:space="preserve">Retrieved </w:t>
      </w:r>
      <w:r w:rsidR="00D34F22">
        <w:t xml:space="preserve">LMIP/NLT </w:t>
      </w:r>
      <w:r>
        <w:t>codes from VistA may have multiple CPT codes. Inactivating any of the associated CPT codes in VBECS will inactivate the LMIP</w:t>
      </w:r>
      <w:r w:rsidR="00D34F22">
        <w:t>/NLT</w:t>
      </w:r>
      <w:r>
        <w:t xml:space="preserve"> code. Editing of the LMIP/NLT code associations </w:t>
      </w:r>
      <w:r w:rsidR="00D34F22">
        <w:t xml:space="preserve">must be done in </w:t>
      </w:r>
      <w:r w:rsidR="00D34F22" w:rsidRPr="00D34F22">
        <w:t>VistA</w:t>
      </w:r>
      <w:r w:rsidR="00D34F22">
        <w:t>.</w:t>
      </w:r>
      <w:r w:rsidR="00395ABB">
        <w:rPr>
          <w:vanish/>
        </w:rPr>
        <w:t xml:space="preserve"> DR 3090</w:t>
      </w:r>
      <w:r w:rsidR="00377878">
        <w:t xml:space="preserve"> </w:t>
      </w:r>
      <w:r w:rsidR="00377878" w:rsidRPr="00377878">
        <w:rPr>
          <w:vanish/>
        </w:rPr>
        <w:t>Defect 209370</w:t>
      </w:r>
    </w:p>
    <w:p w14:paraId="7A66F236" w14:textId="5687C1D7" w:rsidR="002C4355" w:rsidRDefault="002C4355">
      <w:pPr>
        <w:pStyle w:val="ListBullet"/>
      </w:pPr>
      <w:r>
        <w:t xml:space="preserve">Invalidating split units will result in extra workload equal to the number of splits created applied to the total number of units logged in. This occurs when split units are incorrectly processed in VBECS. </w:t>
      </w:r>
      <w:r w:rsidRPr="002C4355">
        <w:rPr>
          <w:vanish/>
        </w:rPr>
        <w:t>Defect 209156</w:t>
      </w:r>
    </w:p>
    <w:p w14:paraId="62668902" w14:textId="77777777" w:rsidR="002A21AE" w:rsidRDefault="002A21AE">
      <w:pPr>
        <w:pStyle w:val="Heading4"/>
      </w:pPr>
      <w:r>
        <w:t>Additional Information</w:t>
      </w:r>
    </w:p>
    <w:p w14:paraId="12A2F42F" w14:textId="77777777" w:rsidR="002A21AE" w:rsidRDefault="002A21AE">
      <w:pPr>
        <w:pStyle w:val="ListBullet"/>
      </w:pPr>
      <w:r>
        <w:t xml:space="preserve">VistALink is required to query </w:t>
      </w:r>
      <w:r w:rsidR="00CA0045" w:rsidRPr="00CA0045">
        <w:rPr>
          <w:bCs/>
        </w:rPr>
        <w:t>VistA</w:t>
      </w:r>
      <w:r>
        <w:t xml:space="preserve"> files 64 (NLT/LMIP) and 81 (CPT) for appropriate entries.</w:t>
      </w:r>
    </w:p>
    <w:p w14:paraId="107E7C7A" w14:textId="77777777" w:rsidR="001B4207" w:rsidRDefault="003605E3" w:rsidP="001B4207">
      <w:pPr>
        <w:pStyle w:val="ListBullet"/>
      </w:pPr>
      <w:r>
        <w:t>The division provides CPT codes and costs associated with the workload codes when they need updating.</w:t>
      </w:r>
    </w:p>
    <w:p w14:paraId="5F7A2025" w14:textId="77777777" w:rsidR="003605E3" w:rsidRDefault="001B4207" w:rsidP="001B4207">
      <w:pPr>
        <w:pStyle w:val="ListBullet"/>
      </w:pPr>
      <w:r w:rsidRPr="001B4207">
        <w:t>Each</w:t>
      </w:r>
      <w:r>
        <w:t xml:space="preserve"> site is responsible for notifying users when incorrect CPT codes are used.</w:t>
      </w:r>
    </w:p>
    <w:p w14:paraId="6B3024BF" w14:textId="77777777" w:rsidR="00B32F1A" w:rsidRDefault="00B32F1A" w:rsidP="00B32F1A">
      <w:pPr>
        <w:pStyle w:val="ListBullet"/>
      </w:pPr>
      <w:r w:rsidRPr="009F086D">
        <w:rPr>
          <w:vanish/>
        </w:rPr>
        <w:t xml:space="preserve">BR_15.09 </w:t>
      </w:r>
      <w:r>
        <w:t xml:space="preserve">Workload events are placed in a queue for transmission via </w:t>
      </w:r>
      <w:r w:rsidR="00922AD8">
        <w:t>VistALink</w:t>
      </w:r>
      <w:r>
        <w:t>.</w:t>
      </w:r>
    </w:p>
    <w:p w14:paraId="30FEB683" w14:textId="77777777" w:rsidR="002A21AE" w:rsidRDefault="002A21AE">
      <w:pPr>
        <w:pStyle w:val="Heading4"/>
      </w:pPr>
      <w:r>
        <w:t>User Roles with Access to This Option</w:t>
      </w:r>
    </w:p>
    <w:p w14:paraId="36AC94A2" w14:textId="77777777" w:rsidR="002A21AE" w:rsidRDefault="00230841">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14:paraId="15CEEAEA" w14:textId="77777777" w:rsidR="002A21AE" w:rsidRDefault="002A21AE">
      <w:pPr>
        <w:pStyle w:val="Heading4"/>
      </w:pPr>
      <w:r>
        <w:t>Workload Codes</w:t>
      </w:r>
    </w:p>
    <w:p w14:paraId="3E16C13D" w14:textId="77777777" w:rsidR="002A21AE" w:rsidRDefault="002A21AE" w:rsidP="00FA7E65">
      <w:pPr>
        <w:pStyle w:val="BodyText"/>
      </w:pPr>
      <w:r>
        <w:t xml:space="preserve">As part of record-keeping activity, VBECS allows the user to account for workload units associated with each activity and to assign costs incurred by the blood bank due to these activities. Data gathered because of this workload collection are available to </w:t>
      </w:r>
      <w:r w:rsidR="00CA0045" w:rsidRPr="00CA0045">
        <w:rPr>
          <w:bCs/>
        </w:rPr>
        <w:t>VistA</w:t>
      </w:r>
      <w:r>
        <w:t>, as needed, for various reports.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9060DD4" w14:textId="77777777">
        <w:trPr>
          <w:tblHeader/>
        </w:trPr>
        <w:tc>
          <w:tcPr>
            <w:tcW w:w="3240" w:type="dxa"/>
            <w:shd w:val="pct30" w:color="auto" w:fill="FFFFFF"/>
            <w:vAlign w:val="bottom"/>
          </w:tcPr>
          <w:p w14:paraId="0A001DC6" w14:textId="77777777" w:rsidR="002A21AE" w:rsidRDefault="002A21AE">
            <w:pPr>
              <w:pStyle w:val="TableText"/>
              <w:rPr>
                <w:b/>
              </w:rPr>
            </w:pPr>
            <w:r>
              <w:rPr>
                <w:b/>
              </w:rPr>
              <w:t>User Action</w:t>
            </w:r>
          </w:p>
        </w:tc>
        <w:tc>
          <w:tcPr>
            <w:tcW w:w="6120" w:type="dxa"/>
            <w:shd w:val="pct30" w:color="auto" w:fill="FFFFFF"/>
            <w:vAlign w:val="bottom"/>
          </w:tcPr>
          <w:p w14:paraId="4182FBE3" w14:textId="77777777" w:rsidR="002A21AE" w:rsidRDefault="002A21AE">
            <w:pPr>
              <w:pStyle w:val="TableText"/>
              <w:rPr>
                <w:b/>
              </w:rPr>
            </w:pPr>
            <w:r>
              <w:rPr>
                <w:b/>
              </w:rPr>
              <w:t>VBECS</w:t>
            </w:r>
          </w:p>
        </w:tc>
      </w:tr>
      <w:tr w:rsidR="002A21AE" w14:paraId="37F81144" w14:textId="77777777">
        <w:tc>
          <w:tcPr>
            <w:tcW w:w="3240" w:type="dxa"/>
          </w:tcPr>
          <w:p w14:paraId="584D5A1A" w14:textId="77777777" w:rsidR="002A21AE" w:rsidRDefault="002A21AE">
            <w:pPr>
              <w:pStyle w:val="TableTextNumbers"/>
            </w:pPr>
            <w:r>
              <w:t xml:space="preserve">Select </w:t>
            </w:r>
            <w:r>
              <w:rPr>
                <w:b/>
              </w:rPr>
              <w:t>Tools</w:t>
            </w:r>
            <w:r>
              <w:t xml:space="preserve"> from the main menu.</w:t>
            </w:r>
          </w:p>
          <w:p w14:paraId="2A867A5A" w14:textId="77777777" w:rsidR="002A21AE" w:rsidRDefault="002A21AE">
            <w:pPr>
              <w:pStyle w:val="TableTextNumbersContinued"/>
              <w:rPr>
                <w:b/>
                <w:bCs/>
              </w:rPr>
            </w:pPr>
          </w:p>
          <w:p w14:paraId="04109F8C" w14:textId="77777777" w:rsidR="002A21AE" w:rsidRDefault="002A21AE">
            <w:pPr>
              <w:pStyle w:val="TableTextNumbersContinued"/>
            </w:pPr>
            <w:r>
              <w:t xml:space="preserve">Select </w:t>
            </w:r>
            <w:r>
              <w:rPr>
                <w:b/>
              </w:rPr>
              <w:t>Workload Codes</w:t>
            </w:r>
            <w:r>
              <w:t>.</w:t>
            </w:r>
          </w:p>
        </w:tc>
        <w:tc>
          <w:tcPr>
            <w:tcW w:w="6120" w:type="dxa"/>
          </w:tcPr>
          <w:p w14:paraId="0CC570F7" w14:textId="77777777" w:rsidR="002A21AE" w:rsidRDefault="002A21AE">
            <w:pPr>
              <w:pStyle w:val="TableTextBullet"/>
            </w:pPr>
            <w:r>
              <w:t>Displays options for processing administrative functions.</w:t>
            </w:r>
          </w:p>
          <w:p w14:paraId="0D8B6290" w14:textId="77777777" w:rsidR="002A21AE" w:rsidRDefault="002A21AE">
            <w:pPr>
              <w:pStyle w:val="TableTextBullet"/>
            </w:pPr>
            <w:r>
              <w:t>Displays fields for entering workload-related data.</w:t>
            </w:r>
          </w:p>
          <w:p w14:paraId="3750F5F2" w14:textId="77777777" w:rsidR="002A21AE" w:rsidRDefault="002A21AE" w:rsidP="00FE130E">
            <w:pPr>
              <w:pStyle w:val="TableTextBullet"/>
            </w:pPr>
            <w:r>
              <w:t xml:space="preserve">Lists and retrieves processes that may involve workload. </w:t>
            </w:r>
          </w:p>
        </w:tc>
      </w:tr>
      <w:tr w:rsidR="002A21AE" w14:paraId="7A072B56" w14:textId="77777777" w:rsidTr="007E500E">
        <w:trPr>
          <w:cantSplit/>
        </w:trPr>
        <w:tc>
          <w:tcPr>
            <w:tcW w:w="3240" w:type="dxa"/>
          </w:tcPr>
          <w:p w14:paraId="42BB3B10" w14:textId="77777777" w:rsidR="002A21AE" w:rsidRDefault="002A21AE">
            <w:pPr>
              <w:pStyle w:val="TableTextNumbers"/>
            </w:pPr>
            <w:r>
              <w:lastRenderedPageBreak/>
              <w:t>Select a process for which to define workload codes.</w:t>
            </w:r>
          </w:p>
        </w:tc>
        <w:tc>
          <w:tcPr>
            <w:tcW w:w="6120" w:type="dxa"/>
          </w:tcPr>
          <w:p w14:paraId="23D5BB17" w14:textId="77777777" w:rsidR="002A21AE" w:rsidRDefault="002A21AE">
            <w:pPr>
              <w:pStyle w:val="TableTextBullet"/>
            </w:pPr>
            <w:r>
              <w:t>Allows the user to edit existing data or add data.</w:t>
            </w:r>
          </w:p>
          <w:p w14:paraId="597738DF" w14:textId="77777777" w:rsidR="002A21AE" w:rsidRDefault="002A21AE">
            <w:pPr>
              <w:pStyle w:val="TableText"/>
            </w:pPr>
          </w:p>
          <w:p w14:paraId="4DCDA2D8" w14:textId="77777777" w:rsidR="002A21AE" w:rsidRDefault="00057948">
            <w:pPr>
              <w:pStyle w:val="TableText"/>
              <w:rPr>
                <w:b/>
                <w:bCs/>
                <w:szCs w:val="18"/>
              </w:rPr>
            </w:pPr>
            <w:r>
              <w:rPr>
                <w:b/>
                <w:bCs/>
                <w:noProof/>
              </w:rPr>
              <mc:AlternateContent>
                <mc:Choice Requires="wps">
                  <w:drawing>
                    <wp:anchor distT="0" distB="0" distL="114300" distR="114300" simplePos="0" relativeHeight="251638784" behindDoc="0" locked="0" layoutInCell="1" allowOverlap="1" wp14:anchorId="652E89C3" wp14:editId="39047180">
                      <wp:simplePos x="0" y="0"/>
                      <wp:positionH relativeFrom="column">
                        <wp:posOffset>457200</wp:posOffset>
                      </wp:positionH>
                      <wp:positionV relativeFrom="paragraph">
                        <wp:posOffset>65405</wp:posOffset>
                      </wp:positionV>
                      <wp:extent cx="3200400" cy="0"/>
                      <wp:effectExtent l="9525" t="17780" r="9525" b="10795"/>
                      <wp:wrapNone/>
                      <wp:docPr id="548" name="Line 840" descr="P2454C6T2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52636" id="Line 840" o:spid="_x0000_s1026" alt="&quot;&quot;"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kUe18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64ED1E85" w14:textId="77777777" w:rsidR="002A21AE" w:rsidRDefault="002A21AE">
            <w:pPr>
              <w:pStyle w:val="NotesText"/>
            </w:pPr>
          </w:p>
          <w:p w14:paraId="77B8BD4A" w14:textId="77777777" w:rsidR="002A21AE" w:rsidRDefault="002A21AE">
            <w:pPr>
              <w:pStyle w:val="NotesText"/>
            </w:pPr>
            <w:r>
              <w:rPr>
                <w:rFonts w:cs="Arial"/>
                <w:vanish/>
              </w:rPr>
              <w:t xml:space="preserve">BR_29.02 </w:t>
            </w:r>
            <w:r>
              <w:t>The user may assign multiple LMIP and CPT workload codes to a process.</w:t>
            </w:r>
          </w:p>
          <w:p w14:paraId="0542AC15" w14:textId="77777777" w:rsidR="002A21AE" w:rsidRDefault="002A21AE">
            <w:pPr>
              <w:pStyle w:val="NotesText"/>
            </w:pPr>
          </w:p>
          <w:p w14:paraId="69D06031" w14:textId="77777777" w:rsidR="0024008D" w:rsidRDefault="002A21AE" w:rsidP="0024008D">
            <w:pPr>
              <w:pStyle w:val="NotesText"/>
            </w:pPr>
            <w:r>
              <w:rPr>
                <w:rFonts w:cs="Arial"/>
                <w:vanish/>
              </w:rPr>
              <w:t xml:space="preserve">BR_29.08 </w:t>
            </w:r>
            <w:r>
              <w:t xml:space="preserve">VBECS checks for active and </w:t>
            </w:r>
            <w:r w:rsidR="00F1401D">
              <w:t>inactivated</w:t>
            </w:r>
            <w:r>
              <w:t xml:space="preserve"> workload associations and does not allow the user to enter a duplicate association. VBECS allows the user to reactivate previously inactivate entries and add workload associations.</w:t>
            </w:r>
          </w:p>
        </w:tc>
      </w:tr>
      <w:tr w:rsidR="002A21AE" w14:paraId="0484A684" w14:textId="77777777">
        <w:tc>
          <w:tcPr>
            <w:tcW w:w="3240" w:type="dxa"/>
          </w:tcPr>
          <w:p w14:paraId="001685E5" w14:textId="77777777" w:rsidR="002A21AE" w:rsidRDefault="002A21AE">
            <w:pPr>
              <w:pStyle w:val="TableTextNumbers"/>
            </w:pPr>
            <w:r>
              <w:t>Select an LMIP/NLT code.</w:t>
            </w:r>
          </w:p>
          <w:p w14:paraId="7B1B5B35" w14:textId="77777777" w:rsidR="002A21AE" w:rsidRDefault="002A21AE">
            <w:pPr>
              <w:pStyle w:val="TableTextNumbersContinued"/>
              <w:rPr>
                <w:b/>
                <w:bCs/>
              </w:rPr>
            </w:pPr>
          </w:p>
          <w:p w14:paraId="63870939" w14:textId="77777777" w:rsidR="002A21AE" w:rsidRDefault="002A21AE">
            <w:pPr>
              <w:pStyle w:val="TableTextNumbersContinued"/>
            </w:pPr>
            <w:r>
              <w:t xml:space="preserve">Click </w:t>
            </w:r>
            <w:r>
              <w:rPr>
                <w:b/>
              </w:rPr>
              <w:t>Add</w:t>
            </w:r>
            <w:r>
              <w:t xml:space="preserve"> to add the code, or click </w:t>
            </w:r>
            <w:r>
              <w:rPr>
                <w:b/>
              </w:rPr>
              <w:t>Update</w:t>
            </w:r>
            <w:r>
              <w:t xml:space="preserve"> to select a current association to edit.</w:t>
            </w:r>
          </w:p>
          <w:p w14:paraId="4E79B8D5" w14:textId="77777777" w:rsidR="002A21AE" w:rsidRDefault="002A21AE">
            <w:pPr>
              <w:pStyle w:val="TableTextNumbersContinued"/>
            </w:pPr>
          </w:p>
          <w:p w14:paraId="2EB49726" w14:textId="77777777" w:rsidR="002A21AE" w:rsidRDefault="002A21AE">
            <w:pPr>
              <w:pStyle w:val="TableTextNumbersContinued"/>
            </w:pPr>
          </w:p>
        </w:tc>
        <w:tc>
          <w:tcPr>
            <w:tcW w:w="6120" w:type="dxa"/>
          </w:tcPr>
          <w:p w14:paraId="6117697D" w14:textId="77777777" w:rsidR="002A21AE" w:rsidRDefault="002A21AE">
            <w:pPr>
              <w:pStyle w:val="TableTextBullet"/>
            </w:pPr>
            <w:r>
              <w:t>Lists previously assigned LMIP/NLT codes for the selected process.</w:t>
            </w:r>
          </w:p>
          <w:p w14:paraId="5A36D4B3" w14:textId="77777777" w:rsidR="002A21AE" w:rsidRDefault="002A21AE">
            <w:pPr>
              <w:pStyle w:val="TableTextBullet"/>
            </w:pPr>
            <w:r>
              <w:t>Allows the user to select an LIMP/NLT code.</w:t>
            </w:r>
          </w:p>
          <w:p w14:paraId="048AAD46" w14:textId="77777777" w:rsidR="002A21AE" w:rsidRDefault="002A21AE">
            <w:pPr>
              <w:pStyle w:val="TableText"/>
            </w:pPr>
          </w:p>
          <w:p w14:paraId="57260C87" w14:textId="77777777" w:rsidR="002A21AE" w:rsidRDefault="00057948">
            <w:pPr>
              <w:pStyle w:val="TableText"/>
              <w:rPr>
                <w:b/>
                <w:bCs/>
                <w:szCs w:val="18"/>
              </w:rPr>
            </w:pPr>
            <w:r>
              <w:rPr>
                <w:b/>
                <w:bCs/>
                <w:noProof/>
              </w:rPr>
              <mc:AlternateContent>
                <mc:Choice Requires="wps">
                  <w:drawing>
                    <wp:anchor distT="0" distB="0" distL="114300" distR="114300" simplePos="0" relativeHeight="251639808" behindDoc="0" locked="0" layoutInCell="1" allowOverlap="1" wp14:anchorId="40AC67A0" wp14:editId="7A831F73">
                      <wp:simplePos x="0" y="0"/>
                      <wp:positionH relativeFrom="column">
                        <wp:posOffset>457200</wp:posOffset>
                      </wp:positionH>
                      <wp:positionV relativeFrom="paragraph">
                        <wp:posOffset>65405</wp:posOffset>
                      </wp:positionV>
                      <wp:extent cx="3200400" cy="0"/>
                      <wp:effectExtent l="9525" t="17780" r="9525" b="10795"/>
                      <wp:wrapNone/>
                      <wp:docPr id="547" name="Line 841" descr="P2468C8T2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6CA65" id="Line 841" o:spid="_x0000_s1026" alt="&quot;&quot;"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PjdP5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69BB766D" w14:textId="77777777" w:rsidR="002A21AE" w:rsidRDefault="002A21AE">
            <w:pPr>
              <w:pStyle w:val="NotesText"/>
            </w:pPr>
          </w:p>
          <w:p w14:paraId="57BB1634" w14:textId="77777777" w:rsidR="002A21AE" w:rsidRDefault="002A21AE">
            <w:pPr>
              <w:pStyle w:val="NotesText"/>
            </w:pPr>
            <w:r>
              <w:t xml:space="preserve">VBECS uses VistALink to query the </w:t>
            </w:r>
            <w:r w:rsidR="00CA0045" w:rsidRPr="00CA0045">
              <w:rPr>
                <w:bCs/>
              </w:rPr>
              <w:t>VistA</w:t>
            </w:r>
            <w:r>
              <w:t xml:space="preserve"> WKLD CODE File (#64) for valid LMIP/NLT codes. </w:t>
            </w:r>
          </w:p>
          <w:p w14:paraId="3F4FA43B" w14:textId="77777777" w:rsidR="002A21AE" w:rsidRDefault="002A21AE">
            <w:pPr>
              <w:pStyle w:val="NotesText"/>
            </w:pPr>
          </w:p>
          <w:p w14:paraId="6D5C2F04" w14:textId="77777777" w:rsidR="002A21AE" w:rsidRDefault="00CA0045">
            <w:pPr>
              <w:pStyle w:val="NotesText"/>
            </w:pPr>
            <w:r w:rsidRPr="00CA0045">
              <w:rPr>
                <w:bCs/>
              </w:rPr>
              <w:t>VistA</w:t>
            </w:r>
            <w:r w:rsidR="002A21AE">
              <w:t xml:space="preserve"> uses the LMIP/NLT code to create workload reports as well as reports to </w:t>
            </w:r>
            <w:r w:rsidR="009B5B80">
              <w:t>patient care encounter (</w:t>
            </w:r>
            <w:r w:rsidR="002A21AE">
              <w:t>PCE</w:t>
            </w:r>
            <w:r w:rsidR="009B5B80">
              <w:t>)</w:t>
            </w:r>
            <w:r w:rsidR="002A21AE">
              <w:t xml:space="preserve"> and the</w:t>
            </w:r>
            <w:r w:rsidR="00A814C4">
              <w:t xml:space="preserve"> decision support system (</w:t>
            </w:r>
            <w:r w:rsidR="002A21AE">
              <w:t>DSS</w:t>
            </w:r>
            <w:r w:rsidR="00A814C4">
              <w:t>)</w:t>
            </w:r>
            <w:r w:rsidR="002A21AE">
              <w:t xml:space="preserve"> database.</w:t>
            </w:r>
          </w:p>
        </w:tc>
      </w:tr>
      <w:tr w:rsidR="002A21AE" w14:paraId="1697C986" w14:textId="77777777">
        <w:tc>
          <w:tcPr>
            <w:tcW w:w="3240" w:type="dxa"/>
          </w:tcPr>
          <w:p w14:paraId="6FF4C561" w14:textId="06A3F943" w:rsidR="002A21AE" w:rsidRDefault="007E004C">
            <w:pPr>
              <w:pStyle w:val="TableTextNumbers"/>
            </w:pPr>
            <w:r>
              <w:t>Enter</w:t>
            </w:r>
            <w:r w:rsidR="002A21AE">
              <w:t xml:space="preserve"> the </w:t>
            </w:r>
            <w:r w:rsidR="000144A0">
              <w:t>start</w:t>
            </w:r>
            <w:r w:rsidR="002A21AE">
              <w:t xml:space="preserve"> or </w:t>
            </w:r>
            <w:r w:rsidR="000144A0">
              <w:t>stop</w:t>
            </w:r>
            <w:r w:rsidR="002A21AE">
              <w:t xml:space="preserve"> date (whichever is appropriate) of the workload code association with the VBECS process</w:t>
            </w:r>
            <w:r w:rsidR="006A1989">
              <w:t xml:space="preserve"> (</w:t>
            </w:r>
            <w:r w:rsidR="006A1989">
              <w:fldChar w:fldCharType="begin" w:fldLock="1"/>
            </w:r>
            <w:r w:rsidR="006A1989">
              <w:instrText xml:space="preserve"> REF _Ref126473082 \h </w:instrText>
            </w:r>
            <w:r w:rsidR="006A1989">
              <w:fldChar w:fldCharType="separate"/>
            </w:r>
            <w:r w:rsidR="00AB304C">
              <w:t xml:space="preserve">Figure </w:t>
            </w:r>
            <w:r w:rsidR="00AB304C">
              <w:rPr>
                <w:noProof/>
              </w:rPr>
              <w:t>60</w:t>
            </w:r>
            <w:r w:rsidR="006A1989">
              <w:fldChar w:fldCharType="end"/>
            </w:r>
            <w:r w:rsidR="006A1989">
              <w:t>)</w:t>
            </w:r>
            <w:r w:rsidR="002A21AE">
              <w:t>.</w:t>
            </w:r>
          </w:p>
        </w:tc>
        <w:tc>
          <w:tcPr>
            <w:tcW w:w="6120" w:type="dxa"/>
          </w:tcPr>
          <w:p w14:paraId="1C45199E" w14:textId="77777777" w:rsidR="002A21AE" w:rsidRDefault="002A21AE">
            <w:pPr>
              <w:pStyle w:val="TableTextBullet"/>
            </w:pPr>
            <w:r>
              <w:t xml:space="preserve">Allows the user to enter a date. </w:t>
            </w:r>
          </w:p>
          <w:p w14:paraId="21F49426" w14:textId="77777777" w:rsidR="002A21AE" w:rsidRDefault="002A21AE">
            <w:pPr>
              <w:pStyle w:val="TableText"/>
            </w:pPr>
          </w:p>
          <w:p w14:paraId="3EE42FCD" w14:textId="77777777" w:rsidR="002A21AE" w:rsidRDefault="00057948">
            <w:pPr>
              <w:pStyle w:val="TableText"/>
              <w:rPr>
                <w:b/>
                <w:bCs/>
                <w:szCs w:val="18"/>
              </w:rPr>
            </w:pPr>
            <w:r>
              <w:rPr>
                <w:b/>
                <w:bCs/>
                <w:noProof/>
              </w:rPr>
              <mc:AlternateContent>
                <mc:Choice Requires="wps">
                  <w:drawing>
                    <wp:anchor distT="0" distB="0" distL="114300" distR="114300" simplePos="0" relativeHeight="251640832" behindDoc="0" locked="0" layoutInCell="1" allowOverlap="1" wp14:anchorId="58CAAA33" wp14:editId="135A8AD2">
                      <wp:simplePos x="0" y="0"/>
                      <wp:positionH relativeFrom="column">
                        <wp:posOffset>457200</wp:posOffset>
                      </wp:positionH>
                      <wp:positionV relativeFrom="paragraph">
                        <wp:posOffset>65405</wp:posOffset>
                      </wp:positionV>
                      <wp:extent cx="3200400" cy="0"/>
                      <wp:effectExtent l="9525" t="17780" r="9525" b="10795"/>
                      <wp:wrapNone/>
                      <wp:docPr id="546" name="Line 842" descr="P2477C10T2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E4851" id="Line 842" o:spid="_x0000_s1026" alt="&quot;&quot;"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RSVON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530A9593" w14:textId="77777777" w:rsidR="002A21AE" w:rsidRDefault="002A21AE">
            <w:pPr>
              <w:pStyle w:val="NotesText"/>
            </w:pPr>
          </w:p>
          <w:p w14:paraId="58191AE4" w14:textId="77777777" w:rsidR="002A21AE" w:rsidRDefault="002A21AE">
            <w:pPr>
              <w:pStyle w:val="NotesText"/>
            </w:pPr>
            <w:r>
              <w:rPr>
                <w:rFonts w:cs="Arial"/>
                <w:vanish/>
              </w:rPr>
              <w:t xml:space="preserve">BR_29.05 </w:t>
            </w:r>
            <w:r>
              <w:t>The user may enter an inactivation date only when an activation date was previously entered (default start date and time: current date and time).</w:t>
            </w:r>
          </w:p>
          <w:p w14:paraId="56298BA5" w14:textId="77777777" w:rsidR="002A21AE" w:rsidRDefault="002A21AE">
            <w:pPr>
              <w:pStyle w:val="NotesText"/>
            </w:pPr>
          </w:p>
          <w:p w14:paraId="12DF2B96" w14:textId="77777777" w:rsidR="002A21AE" w:rsidRDefault="002A21AE">
            <w:pPr>
              <w:pStyle w:val="NotesText"/>
            </w:pPr>
            <w:r>
              <w:rPr>
                <w:rFonts w:cs="Arial"/>
                <w:vanish/>
              </w:rPr>
              <w:t xml:space="preserve">BR_29.06 </w:t>
            </w:r>
            <w:r>
              <w:t>The inactivation date must be later than or the same as the activation date. When the user attempts to enter an inactivation date that is earlier than the activation date, VBECS warns the user. There is no override.</w:t>
            </w:r>
          </w:p>
        </w:tc>
      </w:tr>
      <w:tr w:rsidR="002A21AE" w14:paraId="57F7931E" w14:textId="77777777">
        <w:tc>
          <w:tcPr>
            <w:tcW w:w="3240" w:type="dxa"/>
          </w:tcPr>
          <w:p w14:paraId="581ADDB7" w14:textId="77777777" w:rsidR="002A21AE" w:rsidRDefault="00047C63">
            <w:pPr>
              <w:pStyle w:val="TableTextNumbers"/>
            </w:pPr>
            <w:r>
              <w:t>Repeat Steps 3–4</w:t>
            </w:r>
            <w:r w:rsidR="002A21AE">
              <w:t xml:space="preserve"> for each LMIP/NLT code to be associated with the selected process.</w:t>
            </w:r>
          </w:p>
        </w:tc>
        <w:tc>
          <w:tcPr>
            <w:tcW w:w="6120" w:type="dxa"/>
          </w:tcPr>
          <w:p w14:paraId="19B88CA0" w14:textId="77777777" w:rsidR="002A21AE" w:rsidRDefault="002A21AE" w:rsidP="0037534D">
            <w:pPr>
              <w:pStyle w:val="TableText"/>
            </w:pPr>
          </w:p>
        </w:tc>
      </w:tr>
      <w:tr w:rsidR="002A21AE" w14:paraId="364D055C" w14:textId="77777777">
        <w:tc>
          <w:tcPr>
            <w:tcW w:w="3240" w:type="dxa"/>
          </w:tcPr>
          <w:p w14:paraId="4FD3BA31" w14:textId="77777777" w:rsidR="002A21AE" w:rsidRDefault="002A21AE">
            <w:pPr>
              <w:pStyle w:val="TableTextNumbers"/>
            </w:pPr>
            <w:r>
              <w:t>Add the selected parameters to the selected process.</w:t>
            </w:r>
          </w:p>
        </w:tc>
        <w:tc>
          <w:tcPr>
            <w:tcW w:w="6120" w:type="dxa"/>
          </w:tcPr>
          <w:p w14:paraId="089AD0E8" w14:textId="77777777" w:rsidR="002A21AE" w:rsidRDefault="002A21AE">
            <w:pPr>
              <w:pStyle w:val="TableTextBullet"/>
            </w:pPr>
            <w:r>
              <w:t xml:space="preserve">Allows the user to add the selected parameters. </w:t>
            </w:r>
          </w:p>
        </w:tc>
      </w:tr>
      <w:tr w:rsidR="002A21AE" w14:paraId="2719EBE7" w14:textId="77777777">
        <w:tc>
          <w:tcPr>
            <w:tcW w:w="3240" w:type="dxa"/>
          </w:tcPr>
          <w:p w14:paraId="43D37349" w14:textId="77777777" w:rsidR="002A21AE" w:rsidRDefault="002A21AE" w:rsidP="00047C63">
            <w:pPr>
              <w:pStyle w:val="TableTextNumbers"/>
            </w:pPr>
            <w:r>
              <w:t>Repeat Steps 1–</w:t>
            </w:r>
            <w:r w:rsidR="00047C63">
              <w:t>6</w:t>
            </w:r>
            <w:r>
              <w:t xml:space="preserve"> for to define workload parameters for another process, or exit. </w:t>
            </w:r>
            <w:r w:rsidRPr="0079067D">
              <w:rPr>
                <w:vanish/>
                <w:color w:val="FFFFFF"/>
                <w:szCs w:val="18"/>
              </w:rPr>
              <w:fldChar w:fldCharType="begin"/>
            </w:r>
            <w:r w:rsidRPr="0079067D">
              <w:rPr>
                <w:vanish/>
                <w:color w:val="FFFFFF"/>
                <w:szCs w:val="18"/>
              </w:rPr>
              <w:instrText xml:space="preserve"> LISTNUM \l 1 \s 0 </w:instrText>
            </w:r>
            <w:r w:rsidRPr="0079067D">
              <w:rPr>
                <w:vanish/>
                <w:color w:val="FFFFFF"/>
                <w:szCs w:val="18"/>
              </w:rPr>
              <w:fldChar w:fldCharType="end"/>
            </w:r>
          </w:p>
        </w:tc>
        <w:tc>
          <w:tcPr>
            <w:tcW w:w="6120" w:type="dxa"/>
          </w:tcPr>
          <w:p w14:paraId="21FAA1B2" w14:textId="77777777" w:rsidR="002A21AE" w:rsidRDefault="002A21AE">
            <w:pPr>
              <w:pStyle w:val="TableText"/>
            </w:pPr>
          </w:p>
        </w:tc>
      </w:tr>
    </w:tbl>
    <w:p w14:paraId="287BC646" w14:textId="649C93EF" w:rsidR="006A1989" w:rsidRDefault="006A1989" w:rsidP="006A1989">
      <w:pPr>
        <w:pStyle w:val="Caption"/>
      </w:pPr>
      <w:bookmarkStart w:id="226" w:name="_Ref126473082"/>
      <w:bookmarkStart w:id="227" w:name="_Toc63680394"/>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60</w:t>
      </w:r>
      <w:r w:rsidR="004E20BD">
        <w:rPr>
          <w:noProof/>
        </w:rPr>
        <w:fldChar w:fldCharType="end"/>
      </w:r>
      <w:bookmarkEnd w:id="226"/>
      <w:r>
        <w:t>: Assign Workload Codes</w:t>
      </w:r>
    </w:p>
    <w:p w14:paraId="2F723E9A" w14:textId="77777777" w:rsidR="00AA3950" w:rsidRDefault="00057948" w:rsidP="006A1989">
      <w:pPr>
        <w:pStyle w:val="BodyText"/>
      </w:pPr>
      <w:r>
        <w:rPr>
          <w:noProof/>
        </w:rPr>
        <w:drawing>
          <wp:inline distT="0" distB="0" distL="0" distR="0" wp14:anchorId="2CEA1965" wp14:editId="138C6080">
            <wp:extent cx="3657600" cy="2484755"/>
            <wp:effectExtent l="0" t="0" r="0" b="0"/>
            <wp:docPr id="139" name="Picture 139" descr="P249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P2493#yIS1">
                      <a:extLst>
                        <a:ext uri="{C183D7F6-B498-43B3-948B-1728B52AA6E4}">
                          <adec:decorative xmlns:adec="http://schemas.microsoft.com/office/drawing/2017/decorative" val="1"/>
                        </a:ext>
                      </a:extLst>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657600" cy="2484755"/>
                    </a:xfrm>
                    <a:prstGeom prst="rect">
                      <a:avLst/>
                    </a:prstGeom>
                    <a:noFill/>
                    <a:ln>
                      <a:noFill/>
                    </a:ln>
                  </pic:spPr>
                </pic:pic>
              </a:graphicData>
            </a:graphic>
          </wp:inline>
        </w:drawing>
      </w:r>
    </w:p>
    <w:p w14:paraId="4CD8653F" w14:textId="77777777" w:rsidR="00F46B5A" w:rsidRDefault="00F46B5A" w:rsidP="00F46B5A">
      <w:pPr>
        <w:pStyle w:val="Heading4"/>
        <w:rPr>
          <w:rFonts w:ascii="Arial Bold" w:hAnsi="Arial Bold"/>
          <w:vanish/>
        </w:rPr>
      </w:pPr>
      <w:bookmarkStart w:id="228" w:name="_Toc91651289"/>
      <w:bookmarkStart w:id="229" w:name="_Toc91651290"/>
      <w:bookmarkStart w:id="230" w:name="_Toc63680374"/>
      <w:bookmarkStart w:id="231" w:name="_Toc63680383"/>
      <w:bookmarkEnd w:id="227"/>
      <w:r>
        <w:t>Remapping Workload Codes</w:t>
      </w:r>
      <w:r w:rsidR="00F067E0">
        <w:rPr>
          <w:rFonts w:ascii="Arial Bold" w:hAnsi="Arial Bold"/>
          <w:vanish/>
        </w:rPr>
        <w:t xml:space="preserve"> DR 3762</w:t>
      </w:r>
    </w:p>
    <w:p w14:paraId="24B110C8" w14:textId="77777777" w:rsidR="00D77997" w:rsidRPr="00D77997" w:rsidRDefault="00D77997" w:rsidP="00D77997"/>
    <w:p w14:paraId="37DD9BE7" w14:textId="77777777" w:rsidR="00F46B5A" w:rsidRDefault="00F46B5A" w:rsidP="00F46B5A">
      <w:pPr>
        <w:pStyle w:val="BodyText"/>
      </w:pPr>
      <w:r>
        <w:t xml:space="preserve">When workload codes or a workload code multiplier is </w:t>
      </w:r>
      <w:r w:rsidR="004641B8">
        <w:t>changed,</w:t>
      </w:r>
      <w:r>
        <w:t xml:space="preserve"> VBECS must be updated. The active workload process to LMIP/NLT Code association must be inactivated and remapped for VBECS to track workload correctly.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F46B5A" w14:paraId="54E60E3C" w14:textId="77777777" w:rsidTr="00F46B5A">
        <w:trPr>
          <w:tblHeader/>
        </w:trPr>
        <w:tc>
          <w:tcPr>
            <w:tcW w:w="3240" w:type="dxa"/>
            <w:shd w:val="pct30" w:color="auto" w:fill="FFFFFF"/>
            <w:vAlign w:val="bottom"/>
          </w:tcPr>
          <w:p w14:paraId="4BB2BF30" w14:textId="77777777" w:rsidR="00F46B5A" w:rsidRDefault="00F46B5A" w:rsidP="00F46B5A">
            <w:pPr>
              <w:pStyle w:val="TableText"/>
              <w:rPr>
                <w:b/>
              </w:rPr>
            </w:pPr>
            <w:r>
              <w:rPr>
                <w:b/>
              </w:rPr>
              <w:t>User Action</w:t>
            </w:r>
          </w:p>
        </w:tc>
        <w:tc>
          <w:tcPr>
            <w:tcW w:w="6120" w:type="dxa"/>
            <w:shd w:val="pct30" w:color="auto" w:fill="FFFFFF"/>
            <w:vAlign w:val="bottom"/>
          </w:tcPr>
          <w:p w14:paraId="235D7F36" w14:textId="77777777" w:rsidR="00F46B5A" w:rsidRDefault="00F46B5A" w:rsidP="00F46B5A">
            <w:pPr>
              <w:pStyle w:val="TableText"/>
              <w:rPr>
                <w:b/>
              </w:rPr>
            </w:pPr>
            <w:r>
              <w:rPr>
                <w:b/>
              </w:rPr>
              <w:t>VBECS</w:t>
            </w:r>
          </w:p>
        </w:tc>
      </w:tr>
      <w:tr w:rsidR="00F46B5A" w14:paraId="728AE562" w14:textId="77777777" w:rsidTr="00F46B5A">
        <w:tc>
          <w:tcPr>
            <w:tcW w:w="3240" w:type="dxa"/>
          </w:tcPr>
          <w:p w14:paraId="18BD08EA" w14:textId="77777777" w:rsidR="00F46B5A" w:rsidRDefault="00F46B5A" w:rsidP="00F46B5A">
            <w:pPr>
              <w:pStyle w:val="TableTextNumbers"/>
            </w:pPr>
            <w:r>
              <w:t xml:space="preserve">Select </w:t>
            </w:r>
            <w:r>
              <w:rPr>
                <w:b/>
              </w:rPr>
              <w:t>Tools</w:t>
            </w:r>
            <w:r>
              <w:t xml:space="preserve"> from the main menu.</w:t>
            </w:r>
          </w:p>
          <w:p w14:paraId="270BA8D0" w14:textId="77777777" w:rsidR="00F46B5A" w:rsidRDefault="00F46B5A" w:rsidP="00F46B5A">
            <w:pPr>
              <w:pStyle w:val="TableTextNumbersContinued"/>
              <w:rPr>
                <w:b/>
                <w:bCs/>
              </w:rPr>
            </w:pPr>
          </w:p>
          <w:p w14:paraId="0558090F" w14:textId="77777777" w:rsidR="00F46B5A" w:rsidRDefault="00F46B5A" w:rsidP="00F46B5A">
            <w:pPr>
              <w:pStyle w:val="TableTextNumbersContinued"/>
            </w:pPr>
            <w:r>
              <w:t xml:space="preserve">Select </w:t>
            </w:r>
            <w:r>
              <w:rPr>
                <w:b/>
              </w:rPr>
              <w:t>Workload Codes</w:t>
            </w:r>
            <w:r>
              <w:t>.</w:t>
            </w:r>
          </w:p>
        </w:tc>
        <w:tc>
          <w:tcPr>
            <w:tcW w:w="6120" w:type="dxa"/>
          </w:tcPr>
          <w:p w14:paraId="1D604198" w14:textId="77777777" w:rsidR="00F46B5A" w:rsidRDefault="00F46B5A" w:rsidP="00F46B5A">
            <w:pPr>
              <w:pStyle w:val="TableTextBullet"/>
            </w:pPr>
            <w:r>
              <w:t>Displays options for processing administrative functions.</w:t>
            </w:r>
          </w:p>
          <w:p w14:paraId="10C12017" w14:textId="77777777" w:rsidR="00F46B5A" w:rsidRDefault="00F46B5A" w:rsidP="00F46B5A">
            <w:pPr>
              <w:pStyle w:val="TableTextBullet"/>
            </w:pPr>
            <w:r>
              <w:t>Displays fields for entering workload-related data.</w:t>
            </w:r>
          </w:p>
          <w:p w14:paraId="5BF8CADA" w14:textId="77777777" w:rsidR="00F46B5A" w:rsidRDefault="00F46B5A" w:rsidP="00F46B5A">
            <w:pPr>
              <w:pStyle w:val="TableTextBullet"/>
            </w:pPr>
            <w:r>
              <w:t xml:space="preserve">Lists and retrieves processes that may involve workload. </w:t>
            </w:r>
          </w:p>
        </w:tc>
      </w:tr>
      <w:tr w:rsidR="00F46B5A" w14:paraId="273EE251" w14:textId="77777777" w:rsidTr="00F46B5A">
        <w:tc>
          <w:tcPr>
            <w:tcW w:w="3240" w:type="dxa"/>
          </w:tcPr>
          <w:p w14:paraId="558ED8C9" w14:textId="77777777" w:rsidR="00F46B5A" w:rsidRDefault="00F46B5A" w:rsidP="00F46B5A">
            <w:pPr>
              <w:pStyle w:val="TableTextNumbers"/>
            </w:pPr>
            <w:r>
              <w:t xml:space="preserve">Select a process to </w:t>
            </w:r>
            <w:r w:rsidR="008B6D25">
              <w:t>edit</w:t>
            </w:r>
            <w:r>
              <w:t xml:space="preserve"> workload codes.</w:t>
            </w:r>
          </w:p>
        </w:tc>
        <w:tc>
          <w:tcPr>
            <w:tcW w:w="6120" w:type="dxa"/>
          </w:tcPr>
          <w:p w14:paraId="641F7E58" w14:textId="77777777" w:rsidR="00F46B5A" w:rsidRDefault="00F46B5A" w:rsidP="00F46B5A">
            <w:pPr>
              <w:pStyle w:val="TableTextBullet"/>
            </w:pPr>
            <w:r>
              <w:t>Allows the user to edit existing data or add data.</w:t>
            </w:r>
          </w:p>
        </w:tc>
      </w:tr>
      <w:tr w:rsidR="00F46B5A" w14:paraId="190970BD" w14:textId="77777777" w:rsidTr="00F46B5A">
        <w:tc>
          <w:tcPr>
            <w:tcW w:w="3240" w:type="dxa"/>
          </w:tcPr>
          <w:p w14:paraId="327D09EE" w14:textId="77777777" w:rsidR="00F46B5A" w:rsidRDefault="00F46B5A" w:rsidP="00F46B5A">
            <w:pPr>
              <w:pStyle w:val="TableTextNumbers"/>
            </w:pPr>
            <w:r>
              <w:t>Click one or more check boxes to inactivate LMIP/NLT Code.</w:t>
            </w:r>
          </w:p>
          <w:p w14:paraId="01F2B466" w14:textId="77777777" w:rsidR="00202ACF" w:rsidRDefault="00202ACF" w:rsidP="00202ACF">
            <w:pPr>
              <w:pStyle w:val="TableTextNumbers"/>
              <w:numPr>
                <w:ilvl w:val="0"/>
                <w:numId w:val="0"/>
              </w:numPr>
              <w:ind w:left="288"/>
            </w:pPr>
          </w:p>
          <w:p w14:paraId="56FF64BA" w14:textId="77777777" w:rsidR="00202ACF" w:rsidRDefault="00202ACF" w:rsidP="00202ACF">
            <w:pPr>
              <w:pStyle w:val="TableTextNumbers"/>
              <w:numPr>
                <w:ilvl w:val="0"/>
                <w:numId w:val="0"/>
              </w:numPr>
              <w:ind w:left="288"/>
            </w:pPr>
            <w:r>
              <w:t xml:space="preserve">Click </w:t>
            </w:r>
            <w:r>
              <w:rPr>
                <w:b/>
              </w:rPr>
              <w:t>OK</w:t>
            </w:r>
            <w:r>
              <w:t xml:space="preserve"> and </w:t>
            </w:r>
            <w:r>
              <w:rPr>
                <w:b/>
              </w:rPr>
              <w:t xml:space="preserve">Yes </w:t>
            </w:r>
            <w:r>
              <w:t>to save and exit.</w:t>
            </w:r>
          </w:p>
        </w:tc>
        <w:tc>
          <w:tcPr>
            <w:tcW w:w="6120" w:type="dxa"/>
          </w:tcPr>
          <w:p w14:paraId="1EC80BD7" w14:textId="77777777" w:rsidR="00F46B5A" w:rsidRDefault="00F46B5A" w:rsidP="00202ACF">
            <w:pPr>
              <w:pStyle w:val="TableTextBullet"/>
            </w:pPr>
            <w:r>
              <w:t>Removes the code from the Current Associations window.</w:t>
            </w:r>
          </w:p>
          <w:p w14:paraId="7B7B0088" w14:textId="77777777" w:rsidR="00202ACF" w:rsidRDefault="00202ACF" w:rsidP="00202ACF">
            <w:pPr>
              <w:pStyle w:val="TableText"/>
            </w:pPr>
          </w:p>
          <w:p w14:paraId="38D061E9" w14:textId="77777777" w:rsidR="00202ACF" w:rsidRDefault="00057948" w:rsidP="00202ACF">
            <w:pPr>
              <w:pStyle w:val="TableText"/>
              <w:rPr>
                <w:b/>
                <w:bCs/>
                <w:szCs w:val="18"/>
              </w:rPr>
            </w:pPr>
            <w:r>
              <w:rPr>
                <w:b/>
                <w:bCs/>
                <w:noProof/>
              </w:rPr>
              <mc:AlternateContent>
                <mc:Choice Requires="wps">
                  <w:drawing>
                    <wp:anchor distT="0" distB="0" distL="114300" distR="114300" simplePos="0" relativeHeight="251728896" behindDoc="0" locked="0" layoutInCell="1" allowOverlap="1" wp14:anchorId="57A94619" wp14:editId="0B5EC98C">
                      <wp:simplePos x="0" y="0"/>
                      <wp:positionH relativeFrom="column">
                        <wp:posOffset>457200</wp:posOffset>
                      </wp:positionH>
                      <wp:positionV relativeFrom="paragraph">
                        <wp:posOffset>65405</wp:posOffset>
                      </wp:positionV>
                      <wp:extent cx="3200400" cy="0"/>
                      <wp:effectExtent l="9525" t="17780" r="9525" b="10795"/>
                      <wp:wrapNone/>
                      <wp:docPr id="545" name="Line 1227" descr="P2514C8T2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0E04C" id="Line 1227" o:spid="_x0000_s1026" alt="&quot;&quot;"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DQCqp/EAQAAbwMAAA4AAAAAAAAAAAAAAAAA&#10;LgIAAGRycy9lMm9Eb2MueG1sUEsBAi0AFAAGAAgAAAAhABdPMBLbAAAACAEAAA8AAAAAAAAAAAAA&#10;AAAAHgQAAGRycy9kb3ducmV2LnhtbFBLBQYAAAAABAAEAPMAAAAmBQAAAAA=&#10;" strokeweight="1.5pt"/>
                  </w:pict>
                </mc:Fallback>
              </mc:AlternateContent>
            </w:r>
            <w:r w:rsidR="00202ACF">
              <w:rPr>
                <w:b/>
                <w:bCs/>
                <w:szCs w:val="18"/>
              </w:rPr>
              <w:t>NOTES</w:t>
            </w:r>
          </w:p>
          <w:p w14:paraId="2D48EEE7" w14:textId="77777777" w:rsidR="00202ACF" w:rsidRDefault="00202ACF" w:rsidP="00202ACF">
            <w:pPr>
              <w:pStyle w:val="NotesText"/>
            </w:pPr>
          </w:p>
          <w:p w14:paraId="6201E3CA" w14:textId="77777777" w:rsidR="00344E38" w:rsidRDefault="00344E38" w:rsidP="00202ACF">
            <w:pPr>
              <w:pStyle w:val="NotesText"/>
            </w:pPr>
            <w:r>
              <w:t>Inactive codes can be viewed by clicking the Show Inactive Workload Codes checkbox.</w:t>
            </w:r>
          </w:p>
          <w:p w14:paraId="7D8CAE58" w14:textId="77777777" w:rsidR="00202ACF" w:rsidRDefault="00202ACF" w:rsidP="00202ACF">
            <w:pPr>
              <w:pStyle w:val="TableTextBullet"/>
              <w:numPr>
                <w:ilvl w:val="0"/>
                <w:numId w:val="0"/>
              </w:numPr>
              <w:ind w:left="288"/>
            </w:pPr>
          </w:p>
        </w:tc>
      </w:tr>
      <w:tr w:rsidR="00F46B5A" w14:paraId="427AC70D" w14:textId="77777777" w:rsidTr="00F46B5A">
        <w:tc>
          <w:tcPr>
            <w:tcW w:w="3240" w:type="dxa"/>
          </w:tcPr>
          <w:p w14:paraId="1A36C56D" w14:textId="77777777" w:rsidR="00F46B5A" w:rsidRDefault="00202ACF" w:rsidP="00F46B5A">
            <w:pPr>
              <w:pStyle w:val="TableTextNumbers"/>
            </w:pPr>
            <w:r>
              <w:t xml:space="preserve">Click </w:t>
            </w:r>
            <w:r>
              <w:rPr>
                <w:b/>
              </w:rPr>
              <w:t>OK</w:t>
            </w:r>
            <w:r>
              <w:t xml:space="preserve"> and </w:t>
            </w:r>
            <w:r>
              <w:rPr>
                <w:b/>
              </w:rPr>
              <w:t xml:space="preserve">Yes </w:t>
            </w:r>
            <w:r>
              <w:t>to save and exit.</w:t>
            </w:r>
          </w:p>
        </w:tc>
        <w:tc>
          <w:tcPr>
            <w:tcW w:w="6120" w:type="dxa"/>
          </w:tcPr>
          <w:p w14:paraId="42409401" w14:textId="77777777" w:rsidR="00F46B5A" w:rsidRDefault="00202ACF" w:rsidP="00F46B5A">
            <w:pPr>
              <w:pStyle w:val="TableTextBullet"/>
            </w:pPr>
            <w:r>
              <w:t>Saves the changes to the workload code mapping.</w:t>
            </w:r>
          </w:p>
        </w:tc>
      </w:tr>
      <w:tr w:rsidR="00202ACF" w14:paraId="4CCF2452" w14:textId="77777777" w:rsidTr="00F46B5A">
        <w:tc>
          <w:tcPr>
            <w:tcW w:w="3240" w:type="dxa"/>
          </w:tcPr>
          <w:p w14:paraId="7B330BA5" w14:textId="77777777" w:rsidR="00202ACF" w:rsidRDefault="00202ACF" w:rsidP="00202ACF">
            <w:pPr>
              <w:pStyle w:val="TableTextNumbers"/>
            </w:pPr>
            <w:r>
              <w:t xml:space="preserve">Select </w:t>
            </w:r>
            <w:r>
              <w:rPr>
                <w:b/>
              </w:rPr>
              <w:t>Tools</w:t>
            </w:r>
            <w:r>
              <w:t xml:space="preserve"> from the main menu.</w:t>
            </w:r>
          </w:p>
          <w:p w14:paraId="7052B58B" w14:textId="77777777" w:rsidR="00202ACF" w:rsidRDefault="00202ACF" w:rsidP="00202ACF">
            <w:pPr>
              <w:pStyle w:val="TableTextNumbersContinued"/>
              <w:rPr>
                <w:b/>
                <w:bCs/>
              </w:rPr>
            </w:pPr>
          </w:p>
          <w:p w14:paraId="300B9866" w14:textId="77777777" w:rsidR="00202ACF" w:rsidRDefault="00202ACF" w:rsidP="00202ACF">
            <w:pPr>
              <w:pStyle w:val="TableTextNumbers"/>
              <w:numPr>
                <w:ilvl w:val="0"/>
                <w:numId w:val="0"/>
              </w:numPr>
              <w:ind w:left="288"/>
            </w:pPr>
            <w:r>
              <w:t xml:space="preserve">Select </w:t>
            </w:r>
            <w:r>
              <w:rPr>
                <w:b/>
              </w:rPr>
              <w:t>Workload Codes</w:t>
            </w:r>
          </w:p>
        </w:tc>
        <w:tc>
          <w:tcPr>
            <w:tcW w:w="6120" w:type="dxa"/>
          </w:tcPr>
          <w:p w14:paraId="47E2411E" w14:textId="77777777" w:rsidR="008D0D9B" w:rsidRDefault="008D0D9B" w:rsidP="008D0D9B">
            <w:pPr>
              <w:pStyle w:val="TableTextBullet"/>
            </w:pPr>
            <w:r>
              <w:t>Displays options for processing administrative functions.</w:t>
            </w:r>
          </w:p>
          <w:p w14:paraId="4DE9015A" w14:textId="77777777" w:rsidR="008D0D9B" w:rsidRDefault="008D0D9B" w:rsidP="008D0D9B">
            <w:pPr>
              <w:pStyle w:val="TableTextBullet"/>
            </w:pPr>
            <w:r>
              <w:t>Displays fields for entering workload-related data.</w:t>
            </w:r>
          </w:p>
          <w:p w14:paraId="7EE5B148" w14:textId="77777777" w:rsidR="00202ACF" w:rsidRDefault="00857128" w:rsidP="00857128">
            <w:pPr>
              <w:pStyle w:val="TableTextBullet"/>
            </w:pPr>
            <w:r>
              <w:t>Lists and retrieves processes that may involve workload.</w:t>
            </w:r>
          </w:p>
        </w:tc>
      </w:tr>
      <w:tr w:rsidR="00202ACF" w14:paraId="6BDEC379" w14:textId="77777777" w:rsidTr="00F46B5A">
        <w:tc>
          <w:tcPr>
            <w:tcW w:w="3240" w:type="dxa"/>
          </w:tcPr>
          <w:p w14:paraId="41B13FB8" w14:textId="77777777" w:rsidR="00202ACF" w:rsidRDefault="00202ACF" w:rsidP="00202ACF">
            <w:pPr>
              <w:pStyle w:val="TableTextNumbers"/>
            </w:pPr>
            <w:r>
              <w:t xml:space="preserve">Select a process to </w:t>
            </w:r>
            <w:r w:rsidR="008B6D25">
              <w:t>edit</w:t>
            </w:r>
            <w:r>
              <w:t xml:space="preserve"> workload codes.</w:t>
            </w:r>
          </w:p>
        </w:tc>
        <w:tc>
          <w:tcPr>
            <w:tcW w:w="6120" w:type="dxa"/>
          </w:tcPr>
          <w:p w14:paraId="47E65F31" w14:textId="77777777" w:rsidR="00202ACF" w:rsidRDefault="00344E38" w:rsidP="00F46B5A">
            <w:pPr>
              <w:pStyle w:val="TableTextBullet"/>
            </w:pPr>
            <w:r>
              <w:t>Allows the user to edit existing data or add data.</w:t>
            </w:r>
          </w:p>
        </w:tc>
      </w:tr>
      <w:tr w:rsidR="00202ACF" w14:paraId="782F3FDF" w14:textId="77777777" w:rsidTr="007E500E">
        <w:trPr>
          <w:cantSplit/>
        </w:trPr>
        <w:tc>
          <w:tcPr>
            <w:tcW w:w="3240" w:type="dxa"/>
          </w:tcPr>
          <w:p w14:paraId="5BFDEFA4" w14:textId="77777777" w:rsidR="00202ACF" w:rsidRDefault="00202ACF" w:rsidP="00202ACF">
            <w:pPr>
              <w:pStyle w:val="TableTextNumbers"/>
            </w:pPr>
            <w:r>
              <w:lastRenderedPageBreak/>
              <w:t>Select an LMIP/NLT code.</w:t>
            </w:r>
          </w:p>
          <w:p w14:paraId="37DF5BFE" w14:textId="77777777" w:rsidR="00202ACF" w:rsidRDefault="00202ACF" w:rsidP="00202ACF">
            <w:pPr>
              <w:pStyle w:val="TableTextNumbersContinued"/>
            </w:pPr>
          </w:p>
          <w:p w14:paraId="0ED8EAF4" w14:textId="77777777" w:rsidR="00202ACF" w:rsidRPr="00202ACF" w:rsidRDefault="00202ACF" w:rsidP="00202ACF">
            <w:pPr>
              <w:pStyle w:val="TableTextNumbersContinued"/>
              <w:rPr>
                <w:b/>
                <w:bCs/>
              </w:rPr>
            </w:pPr>
            <w:r>
              <w:t xml:space="preserve">Click </w:t>
            </w:r>
            <w:r>
              <w:rPr>
                <w:b/>
              </w:rPr>
              <w:t>Add</w:t>
            </w:r>
            <w:r>
              <w:t xml:space="preserve"> to add the code.</w:t>
            </w:r>
          </w:p>
        </w:tc>
        <w:tc>
          <w:tcPr>
            <w:tcW w:w="6120" w:type="dxa"/>
          </w:tcPr>
          <w:p w14:paraId="32BA57A7" w14:textId="77777777" w:rsidR="00344E38" w:rsidRDefault="00344E38" w:rsidP="00344E38">
            <w:pPr>
              <w:pStyle w:val="TableTextBullet"/>
            </w:pPr>
            <w:r>
              <w:t>Allows the user to select an LIMP/NLT code.</w:t>
            </w:r>
          </w:p>
          <w:p w14:paraId="31C1604F" w14:textId="77777777" w:rsidR="00202ACF" w:rsidRDefault="00202ACF" w:rsidP="00344E38">
            <w:pPr>
              <w:pStyle w:val="TableTextBullet"/>
              <w:numPr>
                <w:ilvl w:val="0"/>
                <w:numId w:val="0"/>
              </w:numPr>
            </w:pPr>
          </w:p>
          <w:p w14:paraId="62988AD8" w14:textId="77777777" w:rsidR="00344E38" w:rsidRPr="00344E38" w:rsidRDefault="00057948" w:rsidP="00344E38">
            <w:pPr>
              <w:pStyle w:val="TableText"/>
              <w:rPr>
                <w:b/>
                <w:bCs/>
              </w:rPr>
            </w:pPr>
            <w:r>
              <w:rPr>
                <w:b/>
                <w:bCs/>
                <w:noProof/>
              </w:rPr>
              <mc:AlternateContent>
                <mc:Choice Requires="wps">
                  <w:drawing>
                    <wp:anchor distT="0" distB="0" distL="114300" distR="114300" simplePos="0" relativeHeight="251729920" behindDoc="0" locked="0" layoutInCell="1" allowOverlap="1" wp14:anchorId="70A4B7A4" wp14:editId="4E66B86E">
                      <wp:simplePos x="0" y="0"/>
                      <wp:positionH relativeFrom="column">
                        <wp:posOffset>457200</wp:posOffset>
                      </wp:positionH>
                      <wp:positionV relativeFrom="paragraph">
                        <wp:posOffset>65405</wp:posOffset>
                      </wp:positionV>
                      <wp:extent cx="3200400" cy="0"/>
                      <wp:effectExtent l="9525" t="17780" r="9525" b="10795"/>
                      <wp:wrapNone/>
                      <wp:docPr id="544" name="Line 1228" descr="P2537C16T2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0237A" id="Line 1228" o:spid="_x0000_s1026" alt="&quot;&quot;"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Lz5+zrEAQAAbwMAAA4AAAAAAAAAAAAAAAAA&#10;LgIAAGRycy9lMm9Eb2MueG1sUEsBAi0AFAAGAAgAAAAhABdPMBLbAAAACAEAAA8AAAAAAAAAAAAA&#10;AAAAHgQAAGRycy9kb3ducmV2LnhtbFBLBQYAAAAABAAEAPMAAAAmBQAAAAA=&#10;" strokeweight="1.5pt"/>
                  </w:pict>
                </mc:Fallback>
              </mc:AlternateContent>
            </w:r>
            <w:r w:rsidR="00344E38" w:rsidRPr="00344E38">
              <w:rPr>
                <w:b/>
                <w:bCs/>
              </w:rPr>
              <w:t>NOTES</w:t>
            </w:r>
          </w:p>
          <w:p w14:paraId="111359A3" w14:textId="77777777" w:rsidR="00344E38" w:rsidRDefault="00344E38" w:rsidP="00344E38">
            <w:pPr>
              <w:pStyle w:val="TableText"/>
            </w:pPr>
          </w:p>
          <w:p w14:paraId="2E627B89" w14:textId="77777777" w:rsidR="00F067E0" w:rsidRDefault="00F067E0" w:rsidP="00F067E0">
            <w:pPr>
              <w:pStyle w:val="NotesText"/>
            </w:pPr>
            <w:r>
              <w:t>LMIP/NLT weight multipliers values are set in VistA and that value is imported into VBECS.</w:t>
            </w:r>
          </w:p>
          <w:p w14:paraId="132A0EE3" w14:textId="77777777" w:rsidR="00F067E0" w:rsidRDefault="00F067E0" w:rsidP="00F067E0">
            <w:pPr>
              <w:pStyle w:val="NotesText"/>
            </w:pPr>
          </w:p>
          <w:p w14:paraId="4F89E551" w14:textId="561ACE92" w:rsidR="00F067E0" w:rsidRDefault="00344E38" w:rsidP="00F067E0">
            <w:pPr>
              <w:pStyle w:val="NotesText"/>
            </w:pPr>
            <w:r>
              <w:t xml:space="preserve">Changes made to </w:t>
            </w:r>
            <w:r w:rsidRPr="00CA0045">
              <w:rPr>
                <w:bCs/>
              </w:rPr>
              <w:t>VistA</w:t>
            </w:r>
            <w:r>
              <w:t xml:space="preserve"> files 64 (NLT/LMIP) and 81 (CPT) are updated in VBECS </w:t>
            </w:r>
            <w:r w:rsidR="00F067E0">
              <w:t xml:space="preserve">on a rolling </w:t>
            </w:r>
            <w:r w:rsidR="002E5AC8">
              <w:t>24-hour</w:t>
            </w:r>
            <w:r w:rsidR="00F067E0">
              <w:t xml:space="preserve"> clock. The first user to log in 24 hours after the last update will trigger the next update.</w:t>
            </w:r>
          </w:p>
        </w:tc>
      </w:tr>
      <w:tr w:rsidR="00202ACF" w14:paraId="645AC272" w14:textId="77777777" w:rsidTr="00F46B5A">
        <w:tc>
          <w:tcPr>
            <w:tcW w:w="3240" w:type="dxa"/>
          </w:tcPr>
          <w:p w14:paraId="47B239FC" w14:textId="77777777" w:rsidR="00202ACF" w:rsidRDefault="00202ACF" w:rsidP="00722DBF">
            <w:pPr>
              <w:pStyle w:val="TableTextNumbers"/>
            </w:pPr>
            <w:r>
              <w:t>Repeat Steps 1–7 for to edit workload parameters for another process</w:t>
            </w:r>
            <w:r w:rsidR="00722DBF">
              <w:t xml:space="preserve">. </w:t>
            </w:r>
            <w:r w:rsidR="00722DBF" w:rsidRPr="0079067D">
              <w:rPr>
                <w:vanish/>
                <w:color w:val="FFFFFF"/>
                <w:szCs w:val="18"/>
              </w:rPr>
              <w:fldChar w:fldCharType="begin"/>
            </w:r>
            <w:r w:rsidR="00722DBF" w:rsidRPr="0079067D">
              <w:rPr>
                <w:vanish/>
                <w:color w:val="FFFFFF"/>
                <w:szCs w:val="18"/>
              </w:rPr>
              <w:instrText xml:space="preserve"> LISTNUM \l 1 \s 0 </w:instrText>
            </w:r>
            <w:r w:rsidR="00722DBF" w:rsidRPr="0079067D">
              <w:rPr>
                <w:vanish/>
                <w:color w:val="FFFFFF"/>
                <w:szCs w:val="18"/>
              </w:rPr>
              <w:fldChar w:fldCharType="end"/>
            </w:r>
          </w:p>
        </w:tc>
        <w:tc>
          <w:tcPr>
            <w:tcW w:w="6120" w:type="dxa"/>
          </w:tcPr>
          <w:p w14:paraId="1B6748A6" w14:textId="77777777" w:rsidR="00202ACF" w:rsidRDefault="00202ACF" w:rsidP="00F067E0">
            <w:pPr>
              <w:pStyle w:val="TableTextBullet"/>
              <w:numPr>
                <w:ilvl w:val="0"/>
                <w:numId w:val="0"/>
              </w:numPr>
            </w:pPr>
          </w:p>
        </w:tc>
      </w:tr>
    </w:tbl>
    <w:p w14:paraId="08E28DD2" w14:textId="77777777" w:rsidR="00466CF2" w:rsidRDefault="00466CF2" w:rsidP="00597EEA">
      <w:pPr>
        <w:pStyle w:val="Heading2"/>
      </w:pPr>
    </w:p>
    <w:p w14:paraId="7667752C" w14:textId="77777777" w:rsidR="002A21AE" w:rsidRDefault="00466CF2" w:rsidP="00597EEA">
      <w:pPr>
        <w:pStyle w:val="Heading2"/>
      </w:pPr>
      <w:r>
        <w:br w:type="page"/>
      </w:r>
      <w:bookmarkStart w:id="232" w:name="_Toc4588769"/>
      <w:r w:rsidR="002A21AE">
        <w:lastRenderedPageBreak/>
        <w:t>Reagents and Supplies</w:t>
      </w:r>
      <w:bookmarkEnd w:id="228"/>
      <w:bookmarkEnd w:id="229"/>
      <w:bookmarkEnd w:id="232"/>
      <w:r w:rsidR="002A21AE">
        <w:fldChar w:fldCharType="begin"/>
      </w:r>
      <w:r w:rsidR="002A21AE">
        <w:instrText xml:space="preserve"> XE </w:instrText>
      </w:r>
      <w:r w:rsidR="00FA7E65">
        <w:instrText>“</w:instrText>
      </w:r>
      <w:r w:rsidR="002A21AE">
        <w:instrText>Reagents and Supplies</w:instrText>
      </w:r>
      <w:r w:rsidR="00FA7E65">
        <w:instrText>”</w:instrText>
      </w:r>
      <w:r w:rsidR="002A21AE">
        <w:instrText xml:space="preserve"> </w:instrText>
      </w:r>
      <w:r w:rsidR="002A21AE">
        <w:fldChar w:fldCharType="end"/>
      </w:r>
    </w:p>
    <w:p w14:paraId="7A07088D" w14:textId="77777777" w:rsidR="002A21AE" w:rsidRDefault="002A21AE">
      <w:pPr>
        <w:pStyle w:val="Heading3"/>
      </w:pPr>
      <w:bookmarkStart w:id="233" w:name="_Enter_Daily_QC_Results"/>
      <w:bookmarkStart w:id="234" w:name="_Toc4588770"/>
      <w:bookmarkEnd w:id="233"/>
      <w:r>
        <w:t>Enter Daily QC Results</w:t>
      </w:r>
      <w:bookmarkEnd w:id="234"/>
      <w:r>
        <w:fldChar w:fldCharType="begin"/>
      </w:r>
      <w:r>
        <w:instrText xml:space="preserve"> XE </w:instrText>
      </w:r>
      <w:r w:rsidR="00FA7E65">
        <w:instrText>“</w:instrText>
      </w:r>
      <w:r>
        <w:instrText>Enter Daily QC Results</w:instrText>
      </w:r>
      <w:r w:rsidR="00FA7E65">
        <w:instrText>”</w:instrText>
      </w:r>
      <w:r>
        <w:instrText xml:space="preserve"> </w:instrText>
      </w:r>
      <w:r>
        <w:fldChar w:fldCharType="end"/>
      </w:r>
      <w:r>
        <w:t xml:space="preserve"> </w:t>
      </w:r>
      <w:r>
        <w:rPr>
          <w:rFonts w:ascii="Times New Roman" w:hAnsi="Times New Roman" w:cs="Times New Roman"/>
          <w:b w:val="0"/>
          <w:vanish/>
          <w:sz w:val="22"/>
        </w:rPr>
        <w:t>UC_28</w:t>
      </w:r>
    </w:p>
    <w:p w14:paraId="7ADFF4E4" w14:textId="77777777" w:rsidR="002A21AE" w:rsidRDefault="002A21AE" w:rsidP="00FA7E65">
      <w:pPr>
        <w:pStyle w:val="BodyText"/>
      </w:pPr>
      <w:r>
        <w:t>The user enters observed serological reactions for all phases of testing and interpretations of the various routine reagents.</w:t>
      </w:r>
    </w:p>
    <w:p w14:paraId="7CC2CFC7" w14:textId="77777777" w:rsidR="002A21AE" w:rsidRDefault="002A21AE">
      <w:pPr>
        <w:pStyle w:val="Heading4"/>
      </w:pPr>
      <w:r>
        <w:t>Assumptions</w:t>
      </w:r>
      <w:r>
        <w:rPr>
          <w:b w:val="0"/>
        </w:rPr>
        <w:t xml:space="preserve"> </w:t>
      </w:r>
    </w:p>
    <w:p w14:paraId="58A9F65C" w14:textId="77777777" w:rsidR="002A21AE" w:rsidRDefault="002A21AE">
      <w:pPr>
        <w:pStyle w:val="ListBullet"/>
      </w:pPr>
      <w:r>
        <w:t>The division is “full service.”</w:t>
      </w:r>
    </w:p>
    <w:p w14:paraId="0B5D0503" w14:textId="77777777" w:rsidR="002A21AE" w:rsidRDefault="002A21AE">
      <w:pPr>
        <w:pStyle w:val="ListBullet"/>
      </w:pPr>
      <w:r>
        <w:t>Site parameters regarding reagent quality control are set up.</w:t>
      </w:r>
    </w:p>
    <w:p w14:paraId="0A95F28D" w14:textId="77777777" w:rsidR="002A21AE" w:rsidRDefault="002A21AE">
      <w:pPr>
        <w:pStyle w:val="ListBullet"/>
      </w:pPr>
      <w:r>
        <w:t xml:space="preserve">Minimum inventory levels for reagent types are defined. </w:t>
      </w:r>
    </w:p>
    <w:p w14:paraId="3586B003" w14:textId="77777777" w:rsidR="002A21AE" w:rsidRDefault="002A21AE">
      <w:pPr>
        <w:pStyle w:val="ListBullet"/>
      </w:pPr>
      <w:r>
        <w:t xml:space="preserve">Inventory control functionality is in use and reagents are in the inventory of the user’s division. </w:t>
      </w:r>
    </w:p>
    <w:p w14:paraId="0B1B440D" w14:textId="77777777" w:rsidR="002A21AE" w:rsidRDefault="002A21AE">
      <w:pPr>
        <w:pStyle w:val="ListBullet"/>
      </w:pPr>
      <w:r>
        <w:t>Daily QC testing does not include reagents used in special antigen typing.</w:t>
      </w:r>
    </w:p>
    <w:p w14:paraId="300E5BD9" w14:textId="77777777" w:rsidR="002A21AE" w:rsidRDefault="002A21AE">
      <w:pPr>
        <w:pStyle w:val="Heading4"/>
      </w:pPr>
      <w:r>
        <w:t xml:space="preserve">Outcome </w:t>
      </w:r>
    </w:p>
    <w:p w14:paraId="31E6655B" w14:textId="77777777" w:rsidR="002A21AE" w:rsidRDefault="002A21AE">
      <w:pPr>
        <w:pStyle w:val="ListBullet"/>
      </w:pPr>
      <w:r>
        <w:t>Routine reagents are available for use, shutting down the alert for the day associated with the rack.</w:t>
      </w:r>
    </w:p>
    <w:p w14:paraId="6ECB1F82" w14:textId="77777777" w:rsidR="002A21AE" w:rsidRDefault="002A21AE">
      <w:pPr>
        <w:pStyle w:val="ListBullet"/>
      </w:pPr>
      <w:r>
        <w:t>The user may enter and save reaction results below the minimum expected reaction; an Exception Report may be generated for supervisory review; the rack may or may not be used by the site for routine testing throughout that day.</w:t>
      </w:r>
    </w:p>
    <w:p w14:paraId="0184BB10" w14:textId="77777777" w:rsidR="002A21AE" w:rsidRDefault="002A21AE">
      <w:pPr>
        <w:pStyle w:val="Heading4"/>
      </w:pPr>
      <w:r>
        <w:t>Limitations and Restrictions</w:t>
      </w:r>
      <w:r>
        <w:rPr>
          <w:b w:val="0"/>
        </w:rPr>
        <w:t xml:space="preserve"> </w:t>
      </w:r>
    </w:p>
    <w:p w14:paraId="5C08F99A" w14:textId="77777777" w:rsidR="002A21AE" w:rsidRDefault="002A21AE">
      <w:pPr>
        <w:pStyle w:val="ListBullet"/>
      </w:pPr>
      <w:r>
        <w:t xml:space="preserve">Additional user-defined reagent types not available in Configure Daily QC or Enter Daily QC Results are not part of a reagent rack’s daily QC testing. </w:t>
      </w:r>
    </w:p>
    <w:p w14:paraId="5F5C69E7" w14:textId="77777777" w:rsidR="002A21AE" w:rsidRDefault="002A21AE">
      <w:pPr>
        <w:pStyle w:val="Heading4"/>
      </w:pPr>
      <w:r>
        <w:t xml:space="preserve">Additional Information </w:t>
      </w:r>
    </w:p>
    <w:p w14:paraId="7757A9DE" w14:textId="77777777" w:rsidR="002A21AE" w:rsidRDefault="002A21AE">
      <w:pPr>
        <w:pStyle w:val="ListBullet"/>
      </w:pPr>
      <w:r>
        <w:rPr>
          <w:rFonts w:ascii="Arial" w:hAnsi="Arial" w:cs="Arial"/>
          <w:vanish/>
          <w:spacing w:val="0"/>
          <w:sz w:val="18"/>
        </w:rPr>
        <w:t xml:space="preserve">BR_28.19 </w:t>
      </w:r>
      <w:r>
        <w:t>VBECS allows the user to save a partially filled worksheet for a specific QC rack ID and allows the same or a different user to redisplay the form for the entry of remaining test results at a later time. The user, first or second, may enter new results but may not edit prior entries. VBECS records the ID of each user who enters test observations on a worksheet.</w:t>
      </w:r>
    </w:p>
    <w:p w14:paraId="791C9983" w14:textId="77777777" w:rsidR="002A21AE" w:rsidRDefault="002A21AE">
      <w:pPr>
        <w:pStyle w:val="ListBullet"/>
      </w:pPr>
      <w:r>
        <w:t>VBECS issues warnings when they are defined in Maintain Minimum Levels.</w:t>
      </w:r>
    </w:p>
    <w:p w14:paraId="593A3E22" w14:textId="77777777" w:rsidR="002A21AE" w:rsidRDefault="002A21AE">
      <w:pPr>
        <w:pStyle w:val="ListBullet"/>
      </w:pPr>
      <w:r>
        <w:t xml:space="preserve">VistALink does not need to be active when a user enters </w:t>
      </w:r>
      <w:r>
        <w:rPr>
          <w:bCs/>
        </w:rPr>
        <w:t>daily quality control results</w:t>
      </w:r>
      <w:r>
        <w:t>.</w:t>
      </w:r>
    </w:p>
    <w:p w14:paraId="2A6E8ED2" w14:textId="77777777" w:rsidR="002A21AE" w:rsidRDefault="002A21AE">
      <w:pPr>
        <w:pStyle w:val="ListBullet"/>
      </w:pPr>
      <w:r>
        <w:t>A testing template is generated for daily quality control testing of routine reagents for each rack in a division. (Multiple templates may be used on a given day.)</w:t>
      </w:r>
    </w:p>
    <w:p w14:paraId="6E69DA6A" w14:textId="77777777" w:rsidR="002A21AE" w:rsidRDefault="002A21AE">
      <w:pPr>
        <w:pStyle w:val="ListBullet"/>
      </w:pPr>
      <w:r>
        <w:t>System rules</w:t>
      </w:r>
      <w:r w:rsidR="00AA6C54">
        <w:t xml:space="preserve"> </w:t>
      </w:r>
      <w:r>
        <w:t>determine the validity of the test interpretations and determine if all phases of testing were recorded for both scenarios.</w:t>
      </w:r>
    </w:p>
    <w:p w14:paraId="6DED0353" w14:textId="77777777" w:rsidR="002A21AE" w:rsidRDefault="002A21AE">
      <w:pPr>
        <w:pStyle w:val="ListBullet"/>
      </w:pPr>
      <w:r>
        <w:t>A user must enter and may view one day’s QC data at a time. The supervisor or administrator must review these entries and the reagent information daily.</w:t>
      </w:r>
    </w:p>
    <w:p w14:paraId="38A579DE" w14:textId="77777777" w:rsidR="002A21AE" w:rsidRDefault="002A21AE">
      <w:pPr>
        <w:pStyle w:val="ListBullet"/>
      </w:pPr>
      <w:r>
        <w:t xml:space="preserve">VBECS compares the current rack QC results with the prior day’s QC results. </w:t>
      </w:r>
    </w:p>
    <w:p w14:paraId="3F411716" w14:textId="77777777" w:rsidR="002A21AE" w:rsidRDefault="002A21AE">
      <w:pPr>
        <w:pStyle w:val="ListBullet"/>
      </w:pPr>
      <w:r>
        <w:t xml:space="preserve">Multiple technologists may use the same rack. </w:t>
      </w:r>
    </w:p>
    <w:p w14:paraId="3F1F6DE0" w14:textId="77777777" w:rsidR="002A21AE" w:rsidRDefault="002A21AE">
      <w:pPr>
        <w:pStyle w:val="ListBullet"/>
      </w:pPr>
      <w:r>
        <w:t>Rack number and reagents used to test a specimen are linked to the lot number, manufacturer, and expiration date of the reagent type as well as the rack identifier.</w:t>
      </w:r>
    </w:p>
    <w:p w14:paraId="33C6FDC5" w14:textId="77777777" w:rsidR="00254E7B" w:rsidRDefault="00254E7B">
      <w:pPr>
        <w:pStyle w:val="ListBullet"/>
      </w:pPr>
      <w:r>
        <w:t>A user may use more than one testing method in accordance with local policies and procedures.</w:t>
      </w:r>
    </w:p>
    <w:p w14:paraId="74024EC5" w14:textId="15F691AC" w:rsidR="00F62041" w:rsidRDefault="00F62041" w:rsidP="00F62041">
      <w:pPr>
        <w:pStyle w:val="ListBullet"/>
      </w:pPr>
      <w:r w:rsidRPr="00622C54">
        <w:t xml:space="preserve">If a rack has never been used with reagents prior to using the QC Documentation Offline option and the rack is not so checked when the user attempts to use this untested rack, the message appears that this </w:t>
      </w:r>
      <w:r w:rsidRPr="00622C54">
        <w:lastRenderedPageBreak/>
        <w:t xml:space="preserve">rack has never been tested and cannot be used. The user may not proceed. To use this rack on this date, the QC Offline check needs to be indicated or testing performed. </w:t>
      </w:r>
      <w:r w:rsidRPr="00622C54">
        <w:rPr>
          <w:vanish/>
        </w:rPr>
        <w:t>DR 4317</w:t>
      </w:r>
    </w:p>
    <w:p w14:paraId="2F3F2BE8" w14:textId="0A800A12" w:rsidR="00A03C1C" w:rsidRDefault="00A03C1C" w:rsidP="00A03C1C">
      <w:pPr>
        <w:pStyle w:val="ListBullet"/>
      </w:pPr>
      <w:r w:rsidRPr="00A03C1C">
        <w:t>A rack can be set as pa</w:t>
      </w:r>
      <w:r w:rsidR="00AE3748">
        <w:t>rtially tested and marked as "QC</w:t>
      </w:r>
      <w:r w:rsidRPr="00A03C1C">
        <w:t xml:space="preserve">’ed Offline" at the same time. </w:t>
      </w:r>
      <w:r>
        <w:t>The r</w:t>
      </w:r>
      <w:r w:rsidRPr="00A03C1C">
        <w:t>ack wi</w:t>
      </w:r>
      <w:r>
        <w:t>ll be listed as "Tested = No", S</w:t>
      </w:r>
      <w:r w:rsidRPr="00A03C1C">
        <w:t>electing it will prompt for the "Rack QC not performed" override</w:t>
      </w:r>
      <w:r>
        <w:t>,</w:t>
      </w:r>
      <w:r w:rsidRPr="00A03C1C">
        <w:t xml:space="preserve"> as the partially tested rack setting is enforced.</w:t>
      </w:r>
      <w:r w:rsidR="00AB4BD9">
        <w:t xml:space="preserve"> </w:t>
      </w:r>
      <w:r w:rsidR="00AB4BD9" w:rsidRPr="00AB4BD9">
        <w:rPr>
          <w:vanish/>
        </w:rPr>
        <w:t>Defect 210297</w:t>
      </w:r>
    </w:p>
    <w:p w14:paraId="66D9AC81" w14:textId="725EBE85" w:rsidR="003A7501" w:rsidRDefault="003A7501" w:rsidP="003A7501">
      <w:pPr>
        <w:pStyle w:val="ListBullet"/>
      </w:pPr>
      <w:r>
        <w:t xml:space="preserve">The </w:t>
      </w:r>
      <w:r w:rsidRPr="003A7501">
        <w:t>antiglobulin testing grids for QC have a title of IAT. The same grid for patient testing is titled AHG.</w:t>
      </w:r>
      <w:r w:rsidR="00AB4BD9">
        <w:t xml:space="preserve"> </w:t>
      </w:r>
      <w:r w:rsidR="00AB4BD9" w:rsidRPr="00AB4BD9">
        <w:rPr>
          <w:vanish/>
        </w:rPr>
        <w:t>Defect 211747</w:t>
      </w:r>
    </w:p>
    <w:p w14:paraId="1794E477" w14:textId="14ABD771" w:rsidR="00E86766" w:rsidRPr="00622C54" w:rsidRDefault="009A1817" w:rsidP="00F62041">
      <w:pPr>
        <w:pStyle w:val="ListBullet"/>
      </w:pPr>
      <w:r>
        <w:t>If two instances of Enter Daily QC are opened, the second instance will not recognize testing performed in the first instance, and will accept retesting of the rack.</w:t>
      </w:r>
      <w:r w:rsidR="00AB4BD9">
        <w:t xml:space="preserve"> </w:t>
      </w:r>
      <w:r w:rsidR="004C63BA">
        <w:t>See</w:t>
      </w:r>
      <w:r w:rsidR="00AC093B">
        <w:t xml:space="preserve"> </w:t>
      </w:r>
      <w:r w:rsidR="00E86766">
        <w:t>FAQ QC Setup</w:t>
      </w:r>
      <w:r w:rsidR="00AB4BD9">
        <w:t xml:space="preserve"> </w:t>
      </w:r>
      <w:r w:rsidR="00AC093B">
        <w:t>and FAQ Re</w:t>
      </w:r>
      <w:r w:rsidR="004C63BA">
        <w:t xml:space="preserve">testing QC for </w:t>
      </w:r>
      <w:r w:rsidR="00E90A01">
        <w:t>additional</w:t>
      </w:r>
      <w:r w:rsidR="004C63BA">
        <w:t xml:space="preserve"> information.</w:t>
      </w:r>
      <w:r w:rsidR="00A868BE" w:rsidRPr="00A868BE">
        <w:rPr>
          <w:vanish/>
        </w:rPr>
        <w:t xml:space="preserve"> Task 628088</w:t>
      </w:r>
      <w:r w:rsidR="0002020B">
        <w:t xml:space="preserve"> </w:t>
      </w:r>
      <w:r w:rsidR="0002020B" w:rsidRPr="0002020B">
        <w:rPr>
          <w:vanish/>
        </w:rPr>
        <w:t>Defect 210503</w:t>
      </w:r>
    </w:p>
    <w:p w14:paraId="460D5750" w14:textId="77777777" w:rsidR="002A21AE" w:rsidRDefault="002A21AE">
      <w:pPr>
        <w:pStyle w:val="Heading4"/>
        <w:rPr>
          <w:b w:val="0"/>
        </w:rPr>
      </w:pPr>
      <w:r>
        <w:t>User Roles with Access to This Option</w:t>
      </w:r>
      <w:r>
        <w:rPr>
          <w:b w:val="0"/>
        </w:rPr>
        <w:t xml:space="preserve"> </w:t>
      </w:r>
    </w:p>
    <w:p w14:paraId="08DB66BE" w14:textId="77777777" w:rsidR="002A21AE" w:rsidRDefault="00046C55">
      <w:pPr>
        <w:pStyle w:val="Roles"/>
        <w:rPr>
          <w:snapToGrid w:val="0"/>
        </w:rPr>
      </w:pPr>
      <w:r>
        <w:t>All users</w:t>
      </w:r>
    </w:p>
    <w:p w14:paraId="64012FDC" w14:textId="77777777" w:rsidR="002A21AE" w:rsidRDefault="002A21AE">
      <w:pPr>
        <w:pStyle w:val="Heading4"/>
      </w:pPr>
      <w:r>
        <w:t xml:space="preserve">Enter Daily QC Results </w:t>
      </w:r>
    </w:p>
    <w:p w14:paraId="1C95E48A" w14:textId="77777777" w:rsidR="002A21AE" w:rsidRDefault="002A21AE" w:rsidP="00FA7E65">
      <w:pPr>
        <w:pStyle w:val="BodyText"/>
      </w:pPr>
      <w:r>
        <w:t xml:space="preserve">The American Association of Blood Banks’ </w:t>
      </w:r>
      <w:r>
        <w:rPr>
          <w:i/>
        </w:rPr>
        <w:t>Standards for Blood Banks and Transfusion Services</w:t>
      </w:r>
      <w:r>
        <w:t xml:space="preserve"> requires that commercial reagents in the blood bank—antisera and routinely-used red cell reagents—must be tested for performance “on the day of use.” As routine reagents are always used, they are tested daily. Records of these reagents, their lot numbers, and their testing results must be stored for reference. VBECS verifies and indicates whether the reagent is satisfactory for use. </w:t>
      </w:r>
    </w:p>
    <w:p w14:paraId="3D6D3EE6" w14:textId="77777777" w:rsidR="002A21AE" w:rsidRDefault="002A21AE" w:rsidP="00FA7E65">
      <w:pPr>
        <w:pStyle w:val="BodyText"/>
      </w:pPr>
      <w:r>
        <w:t xml:space="preserve">This option facilitates the direct entry of reaction results and interpretations, constituting daily reagent quality control testing for a rack of reagents. </w:t>
      </w:r>
    </w:p>
    <w:p w14:paraId="2312E34F" w14:textId="77777777" w:rsidR="002A21AE" w:rsidRDefault="002A21AE" w:rsidP="00FA7E65">
      <w:pPr>
        <w:pStyle w:val="BodyText"/>
      </w:pPr>
      <w:r>
        <w:t>VBECS allows the user to change individual reagents without repeating the QC for the full rack during the day.</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356"/>
      </w:tblGrid>
      <w:tr w:rsidR="002A21AE" w14:paraId="0E7728D1" w14:textId="77777777">
        <w:trPr>
          <w:tblHeader/>
        </w:trPr>
        <w:tc>
          <w:tcPr>
            <w:tcW w:w="3240" w:type="dxa"/>
            <w:shd w:val="pct30" w:color="auto" w:fill="FFFFFF"/>
            <w:vAlign w:val="bottom"/>
          </w:tcPr>
          <w:p w14:paraId="26A71ACD" w14:textId="77777777" w:rsidR="002A21AE" w:rsidRDefault="002A21AE">
            <w:pPr>
              <w:pStyle w:val="TableText"/>
              <w:rPr>
                <w:b/>
              </w:rPr>
            </w:pPr>
            <w:bookmarkStart w:id="235" w:name="_Toc30304250"/>
            <w:bookmarkStart w:id="236" w:name="_Toc30912571"/>
            <w:bookmarkStart w:id="237" w:name="_Toc49251208"/>
            <w:bookmarkStart w:id="238" w:name="_Toc49251692"/>
            <w:bookmarkStart w:id="239" w:name="_Toc68448916"/>
            <w:r>
              <w:rPr>
                <w:b/>
              </w:rPr>
              <w:t>User Action</w:t>
            </w:r>
          </w:p>
        </w:tc>
        <w:tc>
          <w:tcPr>
            <w:tcW w:w="6356" w:type="dxa"/>
            <w:shd w:val="pct30" w:color="auto" w:fill="FFFFFF"/>
            <w:vAlign w:val="bottom"/>
          </w:tcPr>
          <w:p w14:paraId="73BC00CA" w14:textId="77777777" w:rsidR="002A21AE" w:rsidRDefault="002A21AE">
            <w:pPr>
              <w:pStyle w:val="TableText"/>
              <w:rPr>
                <w:b/>
              </w:rPr>
            </w:pPr>
            <w:r>
              <w:rPr>
                <w:b/>
              </w:rPr>
              <w:t>VBECS</w:t>
            </w:r>
          </w:p>
        </w:tc>
      </w:tr>
      <w:tr w:rsidR="002A21AE" w14:paraId="2812042B" w14:textId="77777777">
        <w:tc>
          <w:tcPr>
            <w:tcW w:w="3240" w:type="dxa"/>
          </w:tcPr>
          <w:p w14:paraId="0C658EE7" w14:textId="77777777" w:rsidR="002A21AE" w:rsidRDefault="002A21AE">
            <w:pPr>
              <w:pStyle w:val="TableTextNumbers"/>
            </w:pPr>
            <w:r>
              <w:t xml:space="preserve">Select </w:t>
            </w:r>
            <w:r>
              <w:rPr>
                <w:b/>
              </w:rPr>
              <w:t>Reagents</w:t>
            </w:r>
            <w:r>
              <w:t xml:space="preserve"> from the main menu.</w:t>
            </w:r>
          </w:p>
          <w:p w14:paraId="2F27F781" w14:textId="77777777" w:rsidR="002A21AE" w:rsidRDefault="002A21AE">
            <w:pPr>
              <w:pStyle w:val="TableTextNumbersContinued"/>
              <w:rPr>
                <w:b/>
                <w:bCs/>
              </w:rPr>
            </w:pPr>
          </w:p>
          <w:p w14:paraId="2B4EE38F" w14:textId="77777777" w:rsidR="002A21AE" w:rsidRDefault="002A21AE">
            <w:pPr>
              <w:pStyle w:val="TableTextNumbersContinued"/>
            </w:pPr>
            <w:r>
              <w:t xml:space="preserve">Select </w:t>
            </w:r>
            <w:r>
              <w:rPr>
                <w:b/>
              </w:rPr>
              <w:t>Enter Daily QC Results</w:t>
            </w:r>
            <w:r>
              <w:t>.</w:t>
            </w:r>
          </w:p>
        </w:tc>
        <w:tc>
          <w:tcPr>
            <w:tcW w:w="6356" w:type="dxa"/>
          </w:tcPr>
          <w:p w14:paraId="0C7CBAAC" w14:textId="77777777" w:rsidR="002A21AE" w:rsidRDefault="002A21AE" w:rsidP="003356B8">
            <w:pPr>
              <w:pStyle w:val="TableTextBullet"/>
            </w:pPr>
            <w:r>
              <w:t>Displays options to perform daily reagent rack QC</w:t>
            </w:r>
            <w:r w:rsidR="000D380C">
              <w:t>.</w:t>
            </w:r>
          </w:p>
        </w:tc>
      </w:tr>
      <w:tr w:rsidR="000B5EBA" w14:paraId="2D6D8A80" w14:textId="77777777">
        <w:tc>
          <w:tcPr>
            <w:tcW w:w="3240" w:type="dxa"/>
          </w:tcPr>
          <w:p w14:paraId="5636BB7D" w14:textId="77777777" w:rsidR="000B5EBA" w:rsidRDefault="00003AD3" w:rsidP="00D148D7">
            <w:pPr>
              <w:pStyle w:val="TableTextNumbers"/>
            </w:pPr>
            <w:r>
              <w:t>Verify</w:t>
            </w:r>
            <w:r w:rsidR="000B5EBA">
              <w:t xml:space="preserve"> the default date tested and tester</w:t>
            </w:r>
            <w:r>
              <w:t xml:space="preserve">, </w:t>
            </w:r>
            <w:r w:rsidR="00686785">
              <w:t>and</w:t>
            </w:r>
            <w:r>
              <w:t xml:space="preserve"> edit them</w:t>
            </w:r>
            <w:r w:rsidR="000B5EBA">
              <w:t>, if needed.</w:t>
            </w:r>
          </w:p>
        </w:tc>
        <w:tc>
          <w:tcPr>
            <w:tcW w:w="6356" w:type="dxa"/>
          </w:tcPr>
          <w:p w14:paraId="0CC38A66" w14:textId="77777777" w:rsidR="000B5EBA" w:rsidRDefault="000B5EBA" w:rsidP="00D148D7">
            <w:pPr>
              <w:pStyle w:val="TableTextBullet"/>
            </w:pPr>
            <w:r>
              <w:t>Displays the date and time the testing was performed; the default is the current date and time, which are editable to allow retrospective entry.</w:t>
            </w:r>
          </w:p>
          <w:p w14:paraId="44A11251" w14:textId="77777777" w:rsidR="000B5EBA" w:rsidRDefault="000B5EBA" w:rsidP="00D148D7">
            <w:pPr>
              <w:pStyle w:val="TableTextBullet"/>
            </w:pPr>
            <w:r>
              <w:t>Displays the testing technologist’s identification; the default is the current user. Lists valid division users for selection.</w:t>
            </w:r>
          </w:p>
          <w:p w14:paraId="72488E28" w14:textId="77777777" w:rsidR="000B5EBA" w:rsidRDefault="000B5EBA" w:rsidP="00D148D7">
            <w:pPr>
              <w:pStyle w:val="TableTextBullet"/>
            </w:pPr>
            <w:r>
              <w:t>Displays the option to indicate the rack number of the reagents to test, a list of racks to be tested for the current date, and a retest option for the racks with testing completed for the date.</w:t>
            </w:r>
          </w:p>
          <w:p w14:paraId="6482817A" w14:textId="77777777" w:rsidR="000B5EBA" w:rsidRDefault="000B5EBA" w:rsidP="00D148D7">
            <w:pPr>
              <w:pStyle w:val="TableText"/>
            </w:pPr>
          </w:p>
          <w:p w14:paraId="7DAE035A" w14:textId="77777777" w:rsidR="000B5EBA" w:rsidRDefault="00057948" w:rsidP="00D148D7">
            <w:pPr>
              <w:pStyle w:val="TableText"/>
              <w:rPr>
                <w:b/>
                <w:bCs/>
                <w:szCs w:val="18"/>
              </w:rPr>
            </w:pPr>
            <w:r>
              <w:rPr>
                <w:b/>
                <w:bCs/>
                <w:noProof/>
              </w:rPr>
              <mc:AlternateContent>
                <mc:Choice Requires="wps">
                  <w:drawing>
                    <wp:anchor distT="0" distB="0" distL="114300" distR="114300" simplePos="0" relativeHeight="251721728" behindDoc="0" locked="0" layoutInCell="1" allowOverlap="1" wp14:anchorId="1EE4397F" wp14:editId="55BE331E">
                      <wp:simplePos x="0" y="0"/>
                      <wp:positionH relativeFrom="column">
                        <wp:posOffset>457200</wp:posOffset>
                      </wp:positionH>
                      <wp:positionV relativeFrom="paragraph">
                        <wp:posOffset>65405</wp:posOffset>
                      </wp:positionV>
                      <wp:extent cx="3200400" cy="0"/>
                      <wp:effectExtent l="9525" t="17780" r="9525" b="10795"/>
                      <wp:wrapNone/>
                      <wp:docPr id="543" name="Line 1088" descr="P2595C6T2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4F927" id="Line 1088" o:spid="_x0000_s1026" alt="&quot;&quot;"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hYsMicMBAABvAwAADgAAAAAAAAAAAAAAAAAu&#10;AgAAZHJzL2Uyb0RvYy54bWxQSwECLQAUAAYACAAAACEAF08wEtsAAAAIAQAADwAAAAAAAAAAAAAA&#10;AAAdBAAAZHJzL2Rvd25yZXYueG1sUEsFBgAAAAAEAAQA8wAAACUFAAAAAA==&#10;" strokeweight="1.5pt"/>
                  </w:pict>
                </mc:Fallback>
              </mc:AlternateContent>
            </w:r>
            <w:r w:rsidR="000B5EBA">
              <w:rPr>
                <w:b/>
                <w:bCs/>
                <w:szCs w:val="18"/>
              </w:rPr>
              <w:t>NOTES</w:t>
            </w:r>
          </w:p>
          <w:p w14:paraId="17C39254" w14:textId="77777777" w:rsidR="000B5EBA" w:rsidRDefault="000B5EBA" w:rsidP="00D148D7">
            <w:pPr>
              <w:pStyle w:val="NotesText"/>
            </w:pPr>
          </w:p>
          <w:p w14:paraId="44D15318" w14:textId="77777777" w:rsidR="000B5EBA" w:rsidRDefault="000B5EBA" w:rsidP="001272CA">
            <w:pPr>
              <w:pStyle w:val="NotesText"/>
            </w:pPr>
            <w:r>
              <w:t>Daily QC testing does not include reagents used in special antigen typing.</w:t>
            </w:r>
          </w:p>
        </w:tc>
      </w:tr>
      <w:tr w:rsidR="002A21AE" w14:paraId="37D8DEBB" w14:textId="77777777" w:rsidTr="007E500E">
        <w:trPr>
          <w:cantSplit/>
        </w:trPr>
        <w:tc>
          <w:tcPr>
            <w:tcW w:w="3240" w:type="dxa"/>
            <w:tcBorders>
              <w:top w:val="single" w:sz="4" w:space="0" w:color="auto"/>
              <w:left w:val="single" w:sz="4" w:space="0" w:color="auto"/>
              <w:bottom w:val="single" w:sz="4" w:space="0" w:color="auto"/>
              <w:right w:val="single" w:sz="4" w:space="0" w:color="auto"/>
            </w:tcBorders>
          </w:tcPr>
          <w:p w14:paraId="5E670E9D" w14:textId="1DD50AD4" w:rsidR="000D380C" w:rsidRDefault="000D380C">
            <w:pPr>
              <w:pStyle w:val="TableTextNumbers"/>
            </w:pPr>
            <w:r>
              <w:lastRenderedPageBreak/>
              <w:t xml:space="preserve">Select the </w:t>
            </w:r>
            <w:r w:rsidRPr="000D380C">
              <w:rPr>
                <w:b/>
              </w:rPr>
              <w:t>Test Rack(s)</w:t>
            </w:r>
            <w:r w:rsidRPr="000D380C">
              <w:t>,</w:t>
            </w:r>
            <w:r w:rsidRPr="000D380C">
              <w:rPr>
                <w:b/>
              </w:rPr>
              <w:t xml:space="preserve"> </w:t>
            </w:r>
            <w:r>
              <w:rPr>
                <w:b/>
              </w:rPr>
              <w:t>P</w:t>
            </w:r>
            <w:r w:rsidRPr="000D380C">
              <w:rPr>
                <w:b/>
              </w:rPr>
              <w:t>artially Tested Rack(s)</w:t>
            </w:r>
            <w:r w:rsidRPr="00F62D64">
              <w:t>, or</w:t>
            </w:r>
            <w:r w:rsidRPr="000D380C">
              <w:rPr>
                <w:b/>
              </w:rPr>
              <w:t xml:space="preserve"> Retest Rack(s</w:t>
            </w:r>
            <w:r w:rsidRPr="00F62D64">
              <w:rPr>
                <w:b/>
              </w:rPr>
              <w:t xml:space="preserve">) </w:t>
            </w:r>
            <w:r w:rsidRPr="00CC3C89">
              <w:t>tab</w:t>
            </w:r>
            <w:r w:rsidR="00957095" w:rsidRPr="00CC3C89">
              <w:t xml:space="preserve"> </w:t>
            </w:r>
            <w:r w:rsidR="00957095">
              <w:t>(</w:t>
            </w:r>
            <w:r w:rsidR="00957095">
              <w:fldChar w:fldCharType="begin" w:fldLock="1"/>
            </w:r>
            <w:r w:rsidR="00957095">
              <w:instrText xml:space="preserve"> REF _Ref126641381 \h </w:instrText>
            </w:r>
            <w:r w:rsidR="00957095">
              <w:fldChar w:fldCharType="separate"/>
            </w:r>
            <w:r w:rsidR="00AB304C">
              <w:t xml:space="preserve">Figure </w:t>
            </w:r>
            <w:r w:rsidR="00AB304C">
              <w:rPr>
                <w:noProof/>
              </w:rPr>
              <w:t>61</w:t>
            </w:r>
            <w:r w:rsidR="00957095">
              <w:fldChar w:fldCharType="end"/>
            </w:r>
            <w:r w:rsidR="00957095">
              <w:t>)</w:t>
            </w:r>
            <w:r>
              <w:t>.</w:t>
            </w:r>
          </w:p>
          <w:p w14:paraId="32A88D21" w14:textId="77777777" w:rsidR="000D380C" w:rsidRDefault="000D380C" w:rsidP="000D380C">
            <w:pPr>
              <w:pStyle w:val="TableTextNumbersContinued"/>
            </w:pPr>
          </w:p>
          <w:p w14:paraId="073AFAA4" w14:textId="77777777" w:rsidR="002A21AE" w:rsidRDefault="00922EBC" w:rsidP="000D380C">
            <w:pPr>
              <w:pStyle w:val="TableTextNumbersContinued"/>
            </w:pPr>
            <w:r>
              <w:t>Click one or more check boxes to select</w:t>
            </w:r>
            <w:r w:rsidR="002A21AE">
              <w:t xml:space="preserve"> rack numbers.</w:t>
            </w:r>
          </w:p>
          <w:p w14:paraId="7CAE1C46" w14:textId="77777777" w:rsidR="00C36763" w:rsidRDefault="00C36763" w:rsidP="000D380C">
            <w:pPr>
              <w:pStyle w:val="TableTextNumbersContinued"/>
            </w:pPr>
          </w:p>
          <w:p w14:paraId="3E7F9A32" w14:textId="77777777" w:rsidR="00C36763" w:rsidRDefault="00C36763" w:rsidP="000D380C">
            <w:pPr>
              <w:pStyle w:val="TableTextNumbersContinued"/>
            </w:pPr>
            <w:r>
              <w:t xml:space="preserve">Click </w:t>
            </w:r>
            <w:r w:rsidRPr="00C36763">
              <w:rPr>
                <w:b/>
              </w:rPr>
              <w:t>OK</w:t>
            </w:r>
            <w:r>
              <w:t>.</w:t>
            </w:r>
          </w:p>
          <w:p w14:paraId="404B583D" w14:textId="77777777" w:rsidR="002A21AE" w:rsidRDefault="002A21AE" w:rsidP="00107CEB">
            <w:pPr>
              <w:pStyle w:val="TableTextNumbersContinued"/>
            </w:pPr>
          </w:p>
        </w:tc>
        <w:tc>
          <w:tcPr>
            <w:tcW w:w="6356" w:type="dxa"/>
            <w:tcBorders>
              <w:top w:val="single" w:sz="4" w:space="0" w:color="auto"/>
              <w:left w:val="single" w:sz="4" w:space="0" w:color="auto"/>
              <w:bottom w:val="single" w:sz="4" w:space="0" w:color="auto"/>
              <w:right w:val="single" w:sz="4" w:space="0" w:color="auto"/>
            </w:tcBorders>
          </w:tcPr>
          <w:p w14:paraId="25850177" w14:textId="77777777" w:rsidR="002A21AE" w:rsidRDefault="002A21AE">
            <w:pPr>
              <w:pStyle w:val="TableTextBullet"/>
            </w:pPr>
            <w:r>
              <w:t>Displays the lot number verification template for each rack selected.</w:t>
            </w:r>
          </w:p>
          <w:p w14:paraId="7A95FBE2" w14:textId="77777777" w:rsidR="002A21AE" w:rsidRDefault="002A21AE">
            <w:pPr>
              <w:pStyle w:val="TableText"/>
            </w:pPr>
          </w:p>
          <w:p w14:paraId="66ECFC25" w14:textId="77777777" w:rsidR="002A21AE" w:rsidRDefault="00057948">
            <w:pPr>
              <w:pStyle w:val="TableText"/>
              <w:rPr>
                <w:b/>
                <w:bCs/>
                <w:szCs w:val="18"/>
              </w:rPr>
            </w:pPr>
            <w:r>
              <w:rPr>
                <w:b/>
                <w:bCs/>
                <w:noProof/>
              </w:rPr>
              <mc:AlternateContent>
                <mc:Choice Requires="wps">
                  <w:drawing>
                    <wp:anchor distT="0" distB="0" distL="114300" distR="114300" simplePos="0" relativeHeight="251622400" behindDoc="0" locked="0" layoutInCell="1" allowOverlap="1" wp14:anchorId="71C447EE" wp14:editId="7CBBF9F5">
                      <wp:simplePos x="0" y="0"/>
                      <wp:positionH relativeFrom="column">
                        <wp:posOffset>457200</wp:posOffset>
                      </wp:positionH>
                      <wp:positionV relativeFrom="paragraph">
                        <wp:posOffset>65405</wp:posOffset>
                      </wp:positionV>
                      <wp:extent cx="3200400" cy="0"/>
                      <wp:effectExtent l="9525" t="17780" r="9525" b="10795"/>
                      <wp:wrapNone/>
                      <wp:docPr id="542" name="Line 703" descr="P2607C8T2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45D52" id="Line 703" o:spid="_x0000_s1026" alt="&quot;&quot;"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6eYDP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2C91F8C6" w14:textId="77777777" w:rsidR="00A013ED" w:rsidRDefault="00A013ED" w:rsidP="00A013ED">
            <w:pPr>
              <w:pStyle w:val="NotesText"/>
            </w:pPr>
          </w:p>
          <w:p w14:paraId="77019BE4" w14:textId="77777777" w:rsidR="00F233CC" w:rsidRDefault="005C1490" w:rsidP="00F233CC">
            <w:pPr>
              <w:pStyle w:val="NotesText"/>
            </w:pPr>
            <w:r>
              <w:rPr>
                <w:vanish/>
              </w:rPr>
              <w:t>BR_</w:t>
            </w:r>
            <w:r w:rsidRPr="00707B78">
              <w:rPr>
                <w:vanish/>
              </w:rPr>
              <w:t>28.3</w:t>
            </w:r>
            <w:r w:rsidR="00324E04" w:rsidRPr="00707B78">
              <w:rPr>
                <w:vanish/>
              </w:rPr>
              <w:t xml:space="preserve">3 </w:t>
            </w:r>
            <w:r w:rsidRPr="005C1490">
              <w:t>A</w:t>
            </w:r>
            <w:r w:rsidR="00F233CC" w:rsidRPr="005C1490">
              <w:t xml:space="preserve"> </w:t>
            </w:r>
            <w:r>
              <w:t xml:space="preserve">reagent </w:t>
            </w:r>
            <w:r w:rsidR="00F233CC">
              <w:t xml:space="preserve">rack </w:t>
            </w:r>
            <w:r>
              <w:t>is</w:t>
            </w:r>
            <w:r w:rsidR="00F233CC">
              <w:t xml:space="preserve"> displayed on one of three tabs based on its testing status and the daily alert time setting:</w:t>
            </w:r>
          </w:p>
          <w:p w14:paraId="13C68379" w14:textId="77777777" w:rsidR="00F233CC" w:rsidRDefault="00F233CC" w:rsidP="00F233CC">
            <w:pPr>
              <w:pStyle w:val="NotesTextBullet"/>
            </w:pPr>
            <w:r>
              <w:t>Test Rack(s): the current alert time has passed and is/are considered “untested”</w:t>
            </w:r>
          </w:p>
          <w:p w14:paraId="41AE865C" w14:textId="3880B745" w:rsidR="00F233CC" w:rsidRDefault="00F233CC" w:rsidP="00F233CC">
            <w:pPr>
              <w:pStyle w:val="NotesTextBullet"/>
            </w:pPr>
            <w:r>
              <w:t xml:space="preserve">Partially tested: racks that have incomplete test results for the current </w:t>
            </w:r>
            <w:r w:rsidR="002E5AC8">
              <w:t>24-hour</w:t>
            </w:r>
            <w:r>
              <w:t xml:space="preserve"> time clock and are considered “untested”</w:t>
            </w:r>
          </w:p>
          <w:p w14:paraId="5F65433F" w14:textId="77777777" w:rsidR="00F233CC" w:rsidRDefault="00F233CC" w:rsidP="00F233CC">
            <w:pPr>
              <w:pStyle w:val="NotesTextBullet"/>
            </w:pPr>
            <w:r>
              <w:t>Retest Racks: racks that are fully tested within the current alert time and are available for new lot number selection and its testing.</w:t>
            </w:r>
          </w:p>
          <w:p w14:paraId="4AD1C132" w14:textId="77777777" w:rsidR="00503F5E" w:rsidRDefault="00503F5E" w:rsidP="00A013ED">
            <w:pPr>
              <w:pStyle w:val="NotesText"/>
            </w:pPr>
          </w:p>
          <w:p w14:paraId="6BED77EC" w14:textId="77777777" w:rsidR="00F233CC" w:rsidRPr="00503F5E" w:rsidRDefault="00503F5E" w:rsidP="00A013ED">
            <w:pPr>
              <w:pStyle w:val="NotesText"/>
            </w:pPr>
            <w:r w:rsidRPr="00503F5E">
              <w:t>The user may test a rack no earlier than the alert time for the next 24 hours</w:t>
            </w:r>
            <w:r>
              <w:t>.</w:t>
            </w:r>
            <w:r>
              <w:rPr>
                <w:vanish/>
              </w:rPr>
              <w:t xml:space="preserve"> DR 4014</w:t>
            </w:r>
          </w:p>
          <w:p w14:paraId="101E93FF" w14:textId="77777777" w:rsidR="00503F5E" w:rsidRDefault="00503F5E" w:rsidP="00A013ED">
            <w:pPr>
              <w:pStyle w:val="NotesText"/>
            </w:pPr>
          </w:p>
          <w:p w14:paraId="00204979" w14:textId="77777777" w:rsidR="00A013ED" w:rsidRDefault="00A013ED" w:rsidP="00A013ED">
            <w:pPr>
              <w:pStyle w:val="NotesText"/>
            </w:pPr>
            <w:r>
              <w:t>On occasion, a user may save a partially completed QC worksheet and finish it later. The same user or a different user may complete the testing.</w:t>
            </w:r>
          </w:p>
          <w:p w14:paraId="71AF6465" w14:textId="77777777" w:rsidR="00A013ED" w:rsidRDefault="00A013ED" w:rsidP="00A013ED">
            <w:pPr>
              <w:pStyle w:val="NotesText"/>
            </w:pPr>
          </w:p>
          <w:p w14:paraId="70AB74CB" w14:textId="77777777" w:rsidR="00A013ED" w:rsidRDefault="00A013ED" w:rsidP="00A013ED">
            <w:pPr>
              <w:pStyle w:val="NotesText"/>
            </w:pPr>
            <w:r>
              <w:t>The user may retest a rack when a reagent lot number changes after initial testing. VBECS does not allow the user to retest saved valid results.</w:t>
            </w:r>
          </w:p>
          <w:p w14:paraId="7CAC92F1" w14:textId="77777777" w:rsidR="00A013ED" w:rsidRDefault="00A013ED" w:rsidP="00A013ED">
            <w:pPr>
              <w:pStyle w:val="NotesText"/>
              <w:rPr>
                <w:vanish/>
                <w:szCs w:val="18"/>
              </w:rPr>
            </w:pPr>
          </w:p>
          <w:p w14:paraId="038E29DB" w14:textId="77777777" w:rsidR="002A21AE" w:rsidRDefault="002A21AE">
            <w:pPr>
              <w:pStyle w:val="NotesText"/>
            </w:pPr>
            <w:r>
              <w:rPr>
                <w:vanish/>
                <w:szCs w:val="18"/>
              </w:rPr>
              <w:t xml:space="preserve">PT_28.01 </w:t>
            </w:r>
            <w:r>
              <w:t xml:space="preserve">VBECS requires the user to indicate the rack identifier to provide a testing template for each daily reagent rack QC. </w:t>
            </w:r>
          </w:p>
          <w:p w14:paraId="7FE8653C" w14:textId="77777777" w:rsidR="002A21AE" w:rsidRDefault="002A21AE" w:rsidP="00995EAA">
            <w:pPr>
              <w:pStyle w:val="NotesText"/>
            </w:pPr>
          </w:p>
          <w:p w14:paraId="1180B539" w14:textId="77777777" w:rsidR="002A21AE" w:rsidRDefault="002A21AE">
            <w:pPr>
              <w:pStyle w:val="NotesText"/>
            </w:pPr>
            <w:r>
              <w:rPr>
                <w:rFonts w:cs="Arial"/>
                <w:vanish/>
                <w:szCs w:val="18"/>
              </w:rPr>
              <w:t>BR_28.11</w:t>
            </w:r>
            <w:r w:rsidR="00CE3961">
              <w:rPr>
                <w:rFonts w:cs="Arial"/>
                <w:vanish/>
                <w:szCs w:val="18"/>
              </w:rPr>
              <w:t>,</w:t>
            </w:r>
            <w:r>
              <w:rPr>
                <w:rFonts w:cs="Arial"/>
                <w:vanish/>
                <w:szCs w:val="18"/>
              </w:rPr>
              <w:t xml:space="preserve"> </w:t>
            </w:r>
            <w:r>
              <w:rPr>
                <w:vanish/>
                <w:szCs w:val="18"/>
              </w:rPr>
              <w:t xml:space="preserve">BR_28.23 </w:t>
            </w:r>
            <w:r>
              <w:t>Site settings determine reagent types and lot numbers present. VBECS displays only reagent types previously entered for the division using the reagent inventory function. VBECS allows entry of lot numbers only. When VBECS displays lot numbers for selection, it checks the inventory system for the reagent name and lot numbers in use in a rack. VBECS does not offer a reagent with an unsatisfactory value in the “Inspection” field or with a quantity of zero as a selectable reagent. The user cannot force the entry of a lot number that VBECS disallowed on the selection list. The user must choose a different reagent.</w:t>
            </w:r>
          </w:p>
          <w:p w14:paraId="11B4FA17" w14:textId="77777777" w:rsidR="002A21AE" w:rsidRDefault="002A21AE">
            <w:pPr>
              <w:pStyle w:val="NotesText"/>
            </w:pPr>
          </w:p>
          <w:p w14:paraId="66EB088A" w14:textId="77777777" w:rsidR="002A21AE" w:rsidRDefault="002A21AE">
            <w:pPr>
              <w:pStyle w:val="NotesText"/>
            </w:pPr>
            <w:r>
              <w:rPr>
                <w:rFonts w:cs="Arial"/>
                <w:vanish/>
              </w:rPr>
              <w:t xml:space="preserve">BR_28.24 </w:t>
            </w:r>
            <w:r w:rsidR="00D62E87" w:rsidRPr="00896F17">
              <w:rPr>
                <w:rStyle w:val="BullhornChar"/>
              </w:rPr>
              <w:t></w:t>
            </w:r>
            <w:r w:rsidR="00D62E87" w:rsidRPr="00D62E87">
              <w:rPr>
                <w:rFonts w:ascii="Webdings" w:hAnsi="Webdings"/>
              </w:rPr>
              <w:t></w:t>
            </w:r>
            <w:r w:rsidR="00D62E87" w:rsidRPr="00D62E87">
              <w:t>V</w:t>
            </w:r>
            <w:r>
              <w:t>BECS compares the expiration date of each reagent on the selected rack to the testing date, emits an audible alert, and warns when the reagent is expired.</w:t>
            </w:r>
          </w:p>
          <w:p w14:paraId="61B37B36" w14:textId="77777777" w:rsidR="002A21AE" w:rsidRDefault="002A21AE">
            <w:pPr>
              <w:pStyle w:val="NotesText"/>
            </w:pPr>
          </w:p>
          <w:p w14:paraId="3D8AA1BB" w14:textId="77777777" w:rsidR="002A21AE" w:rsidRDefault="002A21AE">
            <w:pPr>
              <w:pStyle w:val="NotesText"/>
            </w:pPr>
            <w:r>
              <w:rPr>
                <w:b/>
              </w:rPr>
              <w:t>Yes</w:t>
            </w:r>
            <w:r>
              <w:t xml:space="preserve"> requires a comment and VBECS captures details for inclusion in an Exception Report (exception type: expired reagent QC’d).</w:t>
            </w:r>
          </w:p>
          <w:p w14:paraId="0A6B57FB" w14:textId="77777777" w:rsidR="002A21AE" w:rsidRDefault="002A21AE">
            <w:pPr>
              <w:pStyle w:val="NotesText"/>
            </w:pPr>
          </w:p>
          <w:p w14:paraId="531AF1E1" w14:textId="77777777" w:rsidR="002A21AE" w:rsidRDefault="002A21AE">
            <w:pPr>
              <w:pStyle w:val="NotesText"/>
            </w:pPr>
            <w:r>
              <w:rPr>
                <w:b/>
              </w:rPr>
              <w:t>No</w:t>
            </w:r>
            <w:r>
              <w:t xml:space="preserve"> removes the unsatisfactory reagent from the daily QC rack. The user must select a new one. VBECS does not display unsatisfactory lot numbers.</w:t>
            </w:r>
          </w:p>
          <w:p w14:paraId="4BBE1955" w14:textId="77777777" w:rsidR="002A21AE" w:rsidRDefault="002A21AE">
            <w:pPr>
              <w:pStyle w:val="NotesText"/>
            </w:pPr>
          </w:p>
          <w:p w14:paraId="56DEAE7D" w14:textId="77777777" w:rsidR="002A21AE" w:rsidRDefault="002A21AE">
            <w:pPr>
              <w:pStyle w:val="NotesText"/>
            </w:pPr>
            <w:r>
              <w:rPr>
                <w:rFonts w:cs="Arial"/>
                <w:vanish/>
              </w:rPr>
              <w:t xml:space="preserve">BR_28.32 </w:t>
            </w:r>
            <w:r>
              <w:t>The user may enter the lot numbers of the reagents used for the daily QC rack and the lot numbers of the enhancement media reagents defined in Configure Daily QC. VBECS does not display these reagents on the reaction results grid for a rack.</w:t>
            </w:r>
          </w:p>
        </w:tc>
      </w:tr>
      <w:tr w:rsidR="002A21AE" w14:paraId="260979B4" w14:textId="77777777" w:rsidTr="007E500E">
        <w:trPr>
          <w:cantSplit/>
        </w:trPr>
        <w:tc>
          <w:tcPr>
            <w:tcW w:w="3240" w:type="dxa"/>
            <w:tcBorders>
              <w:top w:val="single" w:sz="4" w:space="0" w:color="auto"/>
              <w:left w:val="single" w:sz="4" w:space="0" w:color="auto"/>
              <w:bottom w:val="single" w:sz="4" w:space="0" w:color="auto"/>
              <w:right w:val="single" w:sz="4" w:space="0" w:color="auto"/>
            </w:tcBorders>
          </w:tcPr>
          <w:p w14:paraId="15E5864D" w14:textId="03DE28E4" w:rsidR="002A21AE" w:rsidRDefault="002A21AE">
            <w:pPr>
              <w:pStyle w:val="TableTextNumbers"/>
            </w:pPr>
            <w:r>
              <w:lastRenderedPageBreak/>
              <w:t>Select a wo</w:t>
            </w:r>
            <w:r w:rsidR="0086218A">
              <w:t>rksheet to complete the testing</w:t>
            </w:r>
            <w:r w:rsidR="00F20BC5">
              <w:t xml:space="preserve"> (</w:t>
            </w:r>
            <w:r w:rsidR="00957095">
              <w:fldChar w:fldCharType="begin" w:fldLock="1"/>
            </w:r>
            <w:r w:rsidR="00957095">
              <w:instrText xml:space="preserve"> REF _Ref126641476 \h </w:instrText>
            </w:r>
            <w:r w:rsidR="00957095">
              <w:fldChar w:fldCharType="separate"/>
            </w:r>
            <w:r w:rsidR="00AB304C">
              <w:t xml:space="preserve">Figure </w:t>
            </w:r>
            <w:r w:rsidR="00AB304C">
              <w:rPr>
                <w:noProof/>
              </w:rPr>
              <w:t>62</w:t>
            </w:r>
            <w:r w:rsidR="00957095">
              <w:fldChar w:fldCharType="end"/>
            </w:r>
            <w:r w:rsidR="00F20BC5">
              <w:t>)</w:t>
            </w:r>
            <w:r w:rsidR="0086218A">
              <w:t>, or</w:t>
            </w:r>
          </w:p>
          <w:p w14:paraId="215DEDB3" w14:textId="77777777" w:rsidR="0086218A" w:rsidRDefault="0086218A" w:rsidP="0086218A">
            <w:pPr>
              <w:pStyle w:val="TableTextNumbersContinued"/>
            </w:pPr>
          </w:p>
          <w:p w14:paraId="2B74A892" w14:textId="77777777" w:rsidR="002A21AE" w:rsidRDefault="0086218A" w:rsidP="001D6DF1">
            <w:pPr>
              <w:pStyle w:val="TableTextNumbersContinued"/>
            </w:pPr>
            <w:r>
              <w:rPr>
                <w:rFonts w:cs="Arial"/>
                <w:vanish/>
              </w:rPr>
              <w:t xml:space="preserve">BR_28.05 </w:t>
            </w:r>
            <w:r>
              <w:t xml:space="preserve">Click the </w:t>
            </w:r>
            <w:r w:rsidRPr="0086218A">
              <w:rPr>
                <w:b/>
              </w:rPr>
              <w:t xml:space="preserve">Rack not in use today </w:t>
            </w:r>
            <w:r w:rsidRPr="00D1100E">
              <w:t>check box</w:t>
            </w:r>
            <w:r>
              <w:t xml:space="preserve"> to indicate that testing of a rack will not be performed.</w:t>
            </w:r>
          </w:p>
          <w:p w14:paraId="3573B9E3" w14:textId="77777777" w:rsidR="006D3D24" w:rsidRDefault="006D3D24" w:rsidP="001D6DF1">
            <w:pPr>
              <w:pStyle w:val="TableTextNumbersContinued"/>
            </w:pPr>
          </w:p>
          <w:p w14:paraId="33AF12EE" w14:textId="77777777" w:rsidR="006D3D24" w:rsidRPr="006D3D24" w:rsidRDefault="006D3D24" w:rsidP="006D3D24">
            <w:pPr>
              <w:pStyle w:val="TableTextNumbersContinued"/>
            </w:pPr>
            <w:r>
              <w:rPr>
                <w:vanish/>
              </w:rPr>
              <w:t xml:space="preserve">BR_28.34 </w:t>
            </w:r>
            <w:r>
              <w:t xml:space="preserve">Click the </w:t>
            </w:r>
            <w:r>
              <w:rPr>
                <w:b/>
              </w:rPr>
              <w:t>QC Testing Documentation Offline</w:t>
            </w:r>
            <w:r>
              <w:t xml:space="preserve"> check box to acknowledge QC is not performed in VBECS but has been properly documented.</w:t>
            </w:r>
            <w:r w:rsidR="00D827B9">
              <w:t xml:space="preserve"> Click </w:t>
            </w:r>
            <w:r w:rsidR="00D827B9" w:rsidRPr="00D827B9">
              <w:rPr>
                <w:b/>
              </w:rPr>
              <w:t>Yes</w:t>
            </w:r>
            <w:r w:rsidR="00D827B9">
              <w:t xml:space="preserve"> to save changes. Close the window.</w:t>
            </w:r>
          </w:p>
        </w:tc>
        <w:tc>
          <w:tcPr>
            <w:tcW w:w="6356" w:type="dxa"/>
            <w:tcBorders>
              <w:top w:val="single" w:sz="4" w:space="0" w:color="auto"/>
              <w:left w:val="single" w:sz="4" w:space="0" w:color="auto"/>
              <w:bottom w:val="single" w:sz="4" w:space="0" w:color="auto"/>
              <w:right w:val="single" w:sz="4" w:space="0" w:color="auto"/>
            </w:tcBorders>
          </w:tcPr>
          <w:p w14:paraId="5E7609A7" w14:textId="77777777" w:rsidR="002A21AE" w:rsidRDefault="002A21AE">
            <w:pPr>
              <w:pStyle w:val="TableTextBullet"/>
            </w:pPr>
            <w:r>
              <w:t>Displays the selected worksheet.</w:t>
            </w:r>
          </w:p>
          <w:p w14:paraId="715D39A9" w14:textId="77777777" w:rsidR="002A21AE" w:rsidRDefault="002A21AE">
            <w:pPr>
              <w:pStyle w:val="TableTextBullet"/>
            </w:pPr>
            <w:r>
              <w:t>Displays the selected partially completed worksheet with the option to cancel the worksheet or continue to enter more testing information.</w:t>
            </w:r>
          </w:p>
          <w:p w14:paraId="2079FB1D" w14:textId="77777777" w:rsidR="002A21AE" w:rsidRDefault="002A21AE">
            <w:pPr>
              <w:pStyle w:val="TableText"/>
            </w:pPr>
          </w:p>
          <w:p w14:paraId="02A33E9D" w14:textId="77777777" w:rsidR="002A21AE" w:rsidRDefault="00057948">
            <w:pPr>
              <w:pStyle w:val="TableText"/>
              <w:rPr>
                <w:b/>
                <w:bCs/>
                <w:szCs w:val="18"/>
              </w:rPr>
            </w:pPr>
            <w:r>
              <w:rPr>
                <w:b/>
                <w:bCs/>
                <w:noProof/>
              </w:rPr>
              <mc:AlternateContent>
                <mc:Choice Requires="wps">
                  <w:drawing>
                    <wp:anchor distT="0" distB="0" distL="114300" distR="114300" simplePos="0" relativeHeight="251621376" behindDoc="0" locked="0" layoutInCell="1" allowOverlap="1" wp14:anchorId="65D0F7F5" wp14:editId="52713A11">
                      <wp:simplePos x="0" y="0"/>
                      <wp:positionH relativeFrom="column">
                        <wp:posOffset>457200</wp:posOffset>
                      </wp:positionH>
                      <wp:positionV relativeFrom="paragraph">
                        <wp:posOffset>65405</wp:posOffset>
                      </wp:positionV>
                      <wp:extent cx="3200400" cy="0"/>
                      <wp:effectExtent l="9525" t="17780" r="9525" b="10795"/>
                      <wp:wrapNone/>
                      <wp:docPr id="541" name="Line 701" descr="P2639C10T2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A6A7F" id="Line 701" o:spid="_x0000_s1026" alt="&quot;&quot;"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6n3Cg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4BA5AD8E" w14:textId="77777777" w:rsidR="002A21AE" w:rsidRDefault="002A21AE">
            <w:pPr>
              <w:pStyle w:val="NotesText"/>
            </w:pPr>
          </w:p>
          <w:p w14:paraId="2DFFF3FC" w14:textId="77777777" w:rsidR="00CF0BDB" w:rsidRDefault="006D3D24">
            <w:pPr>
              <w:pStyle w:val="NotesText"/>
              <w:rPr>
                <w:rFonts w:cs="Arial"/>
              </w:rPr>
            </w:pPr>
            <w:r>
              <w:rPr>
                <w:rFonts w:cs="Arial"/>
              </w:rPr>
              <w:t xml:space="preserve">When the QC Testing Documentation Offline check box is checked </w:t>
            </w:r>
            <w:r w:rsidR="00CF0BDB">
              <w:rPr>
                <w:rFonts w:cs="Arial"/>
              </w:rPr>
              <w:t>for a reagent rack</w:t>
            </w:r>
            <w:r w:rsidR="00FE130E">
              <w:rPr>
                <w:rFonts w:cs="Arial"/>
              </w:rPr>
              <w:t>,</w:t>
            </w:r>
            <w:r w:rsidR="00CF0BDB">
              <w:rPr>
                <w:rFonts w:cs="Arial"/>
              </w:rPr>
              <w:t xml:space="preserve"> VBECS allows the rack to be used for patient testing until the next daily alert time.</w:t>
            </w:r>
          </w:p>
          <w:p w14:paraId="4F3FDB65" w14:textId="77777777" w:rsidR="006D3D24" w:rsidRPr="006D3D24" w:rsidRDefault="006D3D24">
            <w:pPr>
              <w:pStyle w:val="NotesText"/>
              <w:rPr>
                <w:rFonts w:cs="Arial"/>
              </w:rPr>
            </w:pPr>
            <w:r>
              <w:rPr>
                <w:rFonts w:cs="Arial"/>
              </w:rPr>
              <w:t xml:space="preserve"> </w:t>
            </w:r>
          </w:p>
          <w:p w14:paraId="5FD08B27" w14:textId="77777777" w:rsidR="002A21AE" w:rsidRDefault="00E10815">
            <w:pPr>
              <w:pStyle w:val="NotesText"/>
            </w:pPr>
            <w:r>
              <w:t>The primary lot number can be tested and changed and the results for both will display on the Testing Worklist Report.</w:t>
            </w:r>
          </w:p>
          <w:p w14:paraId="5E7752B9" w14:textId="77777777" w:rsidR="002A21AE" w:rsidRDefault="002A21AE">
            <w:pPr>
              <w:pStyle w:val="NotesText"/>
            </w:pPr>
          </w:p>
          <w:p w14:paraId="22AD7134" w14:textId="77777777" w:rsidR="002A21AE" w:rsidRDefault="00D62E87">
            <w:pPr>
              <w:pStyle w:val="NotesText"/>
            </w:pPr>
            <w:r w:rsidRPr="00896F17">
              <w:rPr>
                <w:rStyle w:val="BullhornChar"/>
              </w:rPr>
              <w:t></w:t>
            </w:r>
            <w:r w:rsidRPr="00D62E87">
              <w:rPr>
                <w:rFonts w:ascii="Webdings" w:hAnsi="Webdings"/>
              </w:rPr>
              <w:t></w:t>
            </w:r>
            <w:r w:rsidR="002A21AE">
              <w:t>A user may cancel or invalidate a partially completed QC rack worksheet when it is available. VBECS emits an audible alert and warns that invalidating this worksheet will necessitate starting over and asks whether the user wishes to continue.</w:t>
            </w:r>
          </w:p>
          <w:p w14:paraId="72DCA43D" w14:textId="77777777" w:rsidR="002A21AE" w:rsidRDefault="002A21AE">
            <w:pPr>
              <w:pStyle w:val="NotesText"/>
            </w:pPr>
          </w:p>
          <w:p w14:paraId="1595BBE3" w14:textId="77777777" w:rsidR="002A21AE" w:rsidRDefault="002A21AE">
            <w:pPr>
              <w:pStyle w:val="NotesText"/>
            </w:pPr>
            <w:r>
              <w:rPr>
                <w:b/>
              </w:rPr>
              <w:t>No</w:t>
            </w:r>
            <w:r>
              <w:t xml:space="preserve"> returns the user to the partially partially-completed worksheet. </w:t>
            </w:r>
          </w:p>
          <w:p w14:paraId="2C55B388" w14:textId="77777777" w:rsidR="002A21AE" w:rsidRDefault="002A21AE">
            <w:pPr>
              <w:pStyle w:val="NotesText"/>
            </w:pPr>
            <w:r>
              <w:rPr>
                <w:b/>
              </w:rPr>
              <w:t>Yes</w:t>
            </w:r>
            <w:r>
              <w:t xml:space="preserve"> invalidates the worksheet. VBECS does not delete reaction results from the database. </w:t>
            </w:r>
          </w:p>
          <w:p w14:paraId="6ED5277E" w14:textId="77777777" w:rsidR="002A21AE" w:rsidRDefault="002A21AE">
            <w:pPr>
              <w:pStyle w:val="NotesText"/>
            </w:pPr>
          </w:p>
          <w:p w14:paraId="02590ABB" w14:textId="77777777" w:rsidR="002A21AE" w:rsidRDefault="002A21AE">
            <w:pPr>
              <w:pStyle w:val="NotesText"/>
            </w:pPr>
            <w:r>
              <w:t>An Exception Report comment documents the invalidation of the rack’s worksheet. VBECS does not record workload calculation for invalidated testing. The invalidated reaction results and associated testing information remain in the database for future retrieval (exception type: deletion of partially completed QC).</w:t>
            </w:r>
          </w:p>
          <w:p w14:paraId="2CFD6873" w14:textId="77777777" w:rsidR="002A21AE" w:rsidRDefault="002A21AE">
            <w:pPr>
              <w:pStyle w:val="NotesText"/>
            </w:pPr>
          </w:p>
          <w:p w14:paraId="109CC652" w14:textId="77777777" w:rsidR="002A21AE" w:rsidRDefault="002A21AE">
            <w:pPr>
              <w:pStyle w:val="NotesText"/>
            </w:pPr>
            <w:r>
              <w:rPr>
                <w:rFonts w:cs="Arial"/>
                <w:vanish/>
              </w:rPr>
              <w:t xml:space="preserve">BR_28.12 </w:t>
            </w:r>
            <w:r w:rsidR="00D62E87" w:rsidRPr="00896F17">
              <w:rPr>
                <w:rStyle w:val="BullhornChar"/>
              </w:rPr>
              <w:t></w:t>
            </w:r>
            <w:r w:rsidR="00D62E87" w:rsidRPr="00D62E87">
              <w:rPr>
                <w:rFonts w:ascii="Webdings" w:hAnsi="Webdings"/>
              </w:rPr>
              <w:t></w:t>
            </w:r>
            <w:r w:rsidR="00D62E87" w:rsidRPr="00D62E87">
              <w:t>V</w:t>
            </w:r>
            <w:r>
              <w:t xml:space="preserve">BECS compares the results entered to those of the previous day for the same rack number and alerts the user when there is a </w:t>
            </w:r>
            <w:r w:rsidR="001F4C96">
              <w:t>change</w:t>
            </w:r>
            <w:r>
              <w:t xml:space="preserve"> in reactivity of two or more </w:t>
            </w:r>
            <w:r w:rsidR="001F4C96">
              <w:t>or when the result is changed from positive to negative</w:t>
            </w:r>
            <w:r>
              <w:t xml:space="preserve"> for each reagent type by lot number. VBECS </w:t>
            </w:r>
            <w:r>
              <w:rPr>
                <w:noProof/>
              </w:rPr>
              <w:t>emits an audible a</w:t>
            </w:r>
            <w:r w:rsidR="000C0766">
              <w:rPr>
                <w:noProof/>
              </w:rPr>
              <w:t xml:space="preserve">lert and warns that there is a </w:t>
            </w:r>
            <w:r w:rsidR="000C0766">
              <w:t>decrease</w:t>
            </w:r>
            <w:r>
              <w:t xml:space="preserve"> in reagent reactivity of two or more and asks whether the user wishes to continue to use this vial.</w:t>
            </w:r>
          </w:p>
          <w:p w14:paraId="6970E74B" w14:textId="77777777" w:rsidR="002A21AE" w:rsidRDefault="002A21AE">
            <w:pPr>
              <w:pStyle w:val="NotesText"/>
            </w:pPr>
          </w:p>
          <w:p w14:paraId="2B66083B" w14:textId="77777777" w:rsidR="002A21AE" w:rsidRDefault="002A21AE">
            <w:pPr>
              <w:pStyle w:val="NotesText"/>
            </w:pPr>
            <w:r>
              <w:rPr>
                <w:b/>
              </w:rPr>
              <w:t>Yes</w:t>
            </w:r>
            <w:r>
              <w:t xml:space="preserve"> allows the user to continue and requires a comment. VBECS captures details for inclusion in an Exception Report and allows this reagent to be used with the change (within acceptable limits) (exception type: QC decrease reagent reactivity </w:t>
            </w:r>
            <w:r w:rsidR="00DE5EF3" w:rsidRPr="00DE5EF3">
              <w:rPr>
                <w:rStyle w:val="Char"/>
                <w:rFonts w:cs="Arial"/>
                <w:sz w:val="18"/>
                <w:szCs w:val="18"/>
              </w:rPr>
              <w:t>≥</w:t>
            </w:r>
            <w:r>
              <w:t>2).</w:t>
            </w:r>
            <w:r w:rsidR="00DE5EF3">
              <w:t xml:space="preserve"> </w:t>
            </w:r>
          </w:p>
          <w:p w14:paraId="04568D10" w14:textId="77777777" w:rsidR="002A21AE" w:rsidRDefault="002A21AE">
            <w:pPr>
              <w:pStyle w:val="NotesText"/>
            </w:pPr>
          </w:p>
          <w:p w14:paraId="076E592F" w14:textId="77777777" w:rsidR="002A21AE" w:rsidRDefault="002A21AE">
            <w:pPr>
              <w:pStyle w:val="NotesText"/>
            </w:pPr>
            <w:r>
              <w:rPr>
                <w:b/>
              </w:rPr>
              <w:t>No</w:t>
            </w:r>
            <w:r>
              <w:t xml:space="preserve"> allows the user to return to the lot number entry for this reagent type and approve this lot number (different vial) or enter a new lot number. VBECS returns to the testing worksheet where the user left off. (An individual vial of the same lot number may replace the one losing its reactivity.)</w:t>
            </w:r>
          </w:p>
          <w:p w14:paraId="2F6026A8" w14:textId="77777777" w:rsidR="002A21AE" w:rsidRDefault="002A21AE">
            <w:pPr>
              <w:pStyle w:val="NotesText"/>
            </w:pPr>
          </w:p>
          <w:p w14:paraId="16B7D8EB" w14:textId="77777777" w:rsidR="002A21AE" w:rsidRDefault="002A21AE">
            <w:pPr>
              <w:pStyle w:val="NotesText"/>
            </w:pPr>
            <w:r>
              <w:rPr>
                <w:rFonts w:cs="Arial"/>
                <w:vanish/>
              </w:rPr>
              <w:t>BR_28.30</w:t>
            </w:r>
            <w:r w:rsidR="00C852BF">
              <w:rPr>
                <w:rFonts w:cs="Arial"/>
                <w:vanish/>
              </w:rPr>
              <w:t>,</w:t>
            </w:r>
            <w:r>
              <w:rPr>
                <w:rFonts w:cs="Arial"/>
                <w:vanish/>
              </w:rPr>
              <w:t xml:space="preserve"> </w:t>
            </w:r>
            <w:r w:rsidR="00C852BF">
              <w:rPr>
                <w:rFonts w:cs="Arial"/>
                <w:vanish/>
              </w:rPr>
              <w:t>BR_28.31</w:t>
            </w:r>
            <w:r>
              <w:t xml:space="preserve">The </w:t>
            </w:r>
            <w:r w:rsidR="00C377F3">
              <w:t>s</w:t>
            </w:r>
            <w:r>
              <w:t xml:space="preserve">creening </w:t>
            </w:r>
            <w:r w:rsidR="00C377F3">
              <w:t>c</w:t>
            </w:r>
            <w:r w:rsidR="00F20BC5">
              <w:t>ell</w:t>
            </w:r>
            <w:r w:rsidR="00462FB1">
              <w:t xml:space="preserve"> and reverse typing</w:t>
            </w:r>
            <w:r>
              <w:t xml:space="preserve"> reagents are delivered in set</w:t>
            </w:r>
            <w:r w:rsidR="00462FB1">
              <w:t>s</w:t>
            </w:r>
            <w:r>
              <w:t xml:space="preserve"> and share the same lot number; therefore, VBECS displays only one reagent type on the lot number template.</w:t>
            </w:r>
          </w:p>
        </w:tc>
      </w:tr>
      <w:tr w:rsidR="002A21AE" w14:paraId="7C6BD218" w14:textId="77777777" w:rsidTr="007E500E">
        <w:trPr>
          <w:cantSplit/>
        </w:trPr>
        <w:tc>
          <w:tcPr>
            <w:tcW w:w="3240" w:type="dxa"/>
          </w:tcPr>
          <w:p w14:paraId="548EA90F" w14:textId="77777777" w:rsidR="00A83F42" w:rsidRDefault="00A83F42" w:rsidP="00A83F42">
            <w:pPr>
              <w:pStyle w:val="TableTextNumbers"/>
            </w:pPr>
            <w:r>
              <w:lastRenderedPageBreak/>
              <w:t>Verify or select from the drop-down menu the reagent type lot number and test method for each rack chosen for processing.</w:t>
            </w:r>
          </w:p>
          <w:p w14:paraId="7FF886E7" w14:textId="77777777" w:rsidR="00107CEB" w:rsidRDefault="00107CEB" w:rsidP="00107CEB">
            <w:pPr>
              <w:pStyle w:val="TableTextNumbersContinued"/>
            </w:pPr>
          </w:p>
          <w:p w14:paraId="7C5C3FAE" w14:textId="77777777" w:rsidR="00107CEB" w:rsidRDefault="00A83F42" w:rsidP="00107CEB">
            <w:pPr>
              <w:pStyle w:val="TableTextNumbersContinued"/>
            </w:pPr>
            <w:r>
              <w:t xml:space="preserve">Click </w:t>
            </w:r>
            <w:r w:rsidRPr="001272CA">
              <w:rPr>
                <w:b/>
              </w:rPr>
              <w:t>OK</w:t>
            </w:r>
            <w:r>
              <w:t>.</w:t>
            </w:r>
          </w:p>
          <w:p w14:paraId="7A03E879" w14:textId="77777777" w:rsidR="00107CEB" w:rsidRDefault="00107CEB" w:rsidP="00A83F42">
            <w:pPr>
              <w:pStyle w:val="TableTextNumbersContinued"/>
            </w:pPr>
          </w:p>
        </w:tc>
        <w:tc>
          <w:tcPr>
            <w:tcW w:w="6356" w:type="dxa"/>
          </w:tcPr>
          <w:p w14:paraId="02FA6A50" w14:textId="77777777" w:rsidR="00A83F42" w:rsidRDefault="00A83F42" w:rsidP="00A83F42">
            <w:pPr>
              <w:pStyle w:val="TableTextBullet"/>
            </w:pPr>
            <w:r>
              <w:t xml:space="preserve">Displays the lot numbers and expiration dates for verification, if any. </w:t>
            </w:r>
          </w:p>
          <w:p w14:paraId="5BCD3862" w14:textId="77777777" w:rsidR="00687D72" w:rsidRDefault="00687D72" w:rsidP="00A83F42">
            <w:pPr>
              <w:pStyle w:val="TableTextBullet"/>
            </w:pPr>
            <w:r>
              <w:t>Displays each rack in its own tab.</w:t>
            </w:r>
          </w:p>
          <w:p w14:paraId="6AF8DFB8" w14:textId="77777777" w:rsidR="00A83F42" w:rsidRDefault="00A83F42" w:rsidP="00A83F42">
            <w:pPr>
              <w:pStyle w:val="TableText"/>
            </w:pPr>
          </w:p>
          <w:p w14:paraId="68AB77B3" w14:textId="77777777" w:rsidR="00A83F42" w:rsidRDefault="00057948" w:rsidP="00A83F42">
            <w:pPr>
              <w:pStyle w:val="TableText"/>
              <w:rPr>
                <w:b/>
                <w:bCs/>
                <w:szCs w:val="18"/>
              </w:rPr>
            </w:pPr>
            <w:r>
              <w:rPr>
                <w:b/>
                <w:bCs/>
                <w:noProof/>
              </w:rPr>
              <mc:AlternateContent>
                <mc:Choice Requires="wps">
                  <w:drawing>
                    <wp:anchor distT="0" distB="0" distL="114300" distR="114300" simplePos="0" relativeHeight="251722752" behindDoc="0" locked="0" layoutInCell="1" allowOverlap="1" wp14:anchorId="597F7DAE" wp14:editId="5CCD8700">
                      <wp:simplePos x="0" y="0"/>
                      <wp:positionH relativeFrom="column">
                        <wp:posOffset>457200</wp:posOffset>
                      </wp:positionH>
                      <wp:positionV relativeFrom="paragraph">
                        <wp:posOffset>65405</wp:posOffset>
                      </wp:positionV>
                      <wp:extent cx="3200400" cy="0"/>
                      <wp:effectExtent l="9525" t="17780" r="9525" b="10795"/>
                      <wp:wrapNone/>
                      <wp:docPr id="540" name="Line 1089" descr="P2667C12T2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639C2" id="Line 1089" o:spid="_x0000_s1026" alt="&quot;&quot;"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zAhc3sMBAABvAwAADgAAAAAAAAAAAAAAAAAu&#10;AgAAZHJzL2Uyb0RvYy54bWxQSwECLQAUAAYACAAAACEAF08wEtsAAAAIAQAADwAAAAAAAAAAAAAA&#10;AAAdBAAAZHJzL2Rvd25yZXYueG1sUEsFBgAAAAAEAAQA8wAAACUFAAAAAA==&#10;" strokeweight="1.5pt"/>
                  </w:pict>
                </mc:Fallback>
              </mc:AlternateContent>
            </w:r>
            <w:r w:rsidR="00A83F42">
              <w:rPr>
                <w:b/>
                <w:bCs/>
                <w:szCs w:val="18"/>
              </w:rPr>
              <w:t>NOTES</w:t>
            </w:r>
          </w:p>
          <w:p w14:paraId="151BF090" w14:textId="77777777" w:rsidR="00A83F42" w:rsidRDefault="00A83F42" w:rsidP="00A83F42">
            <w:pPr>
              <w:pStyle w:val="NotesText"/>
            </w:pPr>
          </w:p>
          <w:p w14:paraId="6BE87251" w14:textId="77777777" w:rsidR="00A83F42" w:rsidRDefault="00A83F42" w:rsidP="00A83F42">
            <w:pPr>
              <w:pStyle w:val="NotesText"/>
            </w:pPr>
            <w:r>
              <w:rPr>
                <w:vanish/>
                <w:szCs w:val="18"/>
              </w:rPr>
              <w:t>BR_28.02</w:t>
            </w:r>
            <w:r w:rsidR="00CE3961">
              <w:rPr>
                <w:vanish/>
                <w:szCs w:val="18"/>
              </w:rPr>
              <w:t>,</w:t>
            </w:r>
            <w:r>
              <w:rPr>
                <w:vanish/>
                <w:szCs w:val="18"/>
              </w:rPr>
              <w:t xml:space="preserve"> BR_28.03 </w:t>
            </w:r>
            <w:r>
              <w:t xml:space="preserve">VBECS allows for one lot number entry per reagent type per rack template. </w:t>
            </w:r>
          </w:p>
          <w:p w14:paraId="4F767B7F" w14:textId="77777777" w:rsidR="00A83F42" w:rsidRDefault="00A83F42" w:rsidP="00A83F42">
            <w:pPr>
              <w:pStyle w:val="NotesText"/>
              <w:rPr>
                <w:rFonts w:cs="Arial"/>
                <w:vanish/>
              </w:rPr>
            </w:pPr>
          </w:p>
          <w:p w14:paraId="0F6C8A89" w14:textId="77777777" w:rsidR="002A21AE" w:rsidRDefault="00A83F42" w:rsidP="00A83F42">
            <w:pPr>
              <w:pStyle w:val="NotesText"/>
            </w:pPr>
            <w:r>
              <w:rPr>
                <w:rFonts w:cs="Arial"/>
                <w:vanish/>
              </w:rPr>
              <w:t xml:space="preserve">BR_28.13 </w:t>
            </w:r>
            <w:r>
              <w:t xml:space="preserve">When an entry was made, VBECS fills in the reagent type lot number, the expiration date of that lot number, and the manufacturer. The user may edit the lot number. </w:t>
            </w:r>
            <w:r w:rsidR="002A21AE">
              <w:t>The user must verify the lot numbers of racks in the selected batch before VBECS allows the user to move to the reaction results grids.</w:t>
            </w:r>
          </w:p>
          <w:p w14:paraId="520B639D" w14:textId="77777777" w:rsidR="002A21AE" w:rsidRDefault="002A21AE">
            <w:pPr>
              <w:pStyle w:val="NotesText"/>
            </w:pPr>
          </w:p>
          <w:p w14:paraId="19F96092" w14:textId="77777777" w:rsidR="002A21AE" w:rsidRDefault="002A21AE">
            <w:pPr>
              <w:pStyle w:val="NotesText"/>
            </w:pPr>
            <w:r>
              <w:rPr>
                <w:rFonts w:cs="Arial"/>
                <w:vanish/>
              </w:rPr>
              <w:t xml:space="preserve">BR_28.15 </w:t>
            </w:r>
            <w:r>
              <w:t xml:space="preserve">Each reagent rack has a separate reaction results grid to collect the user’s direct observations. </w:t>
            </w:r>
            <w:r>
              <w:rPr>
                <w:vanish/>
                <w:szCs w:val="18"/>
              </w:rPr>
              <w:t>See PT_28.02 Commercial QC Kit in Use and PT_28.03 Non-Commercial Daily QC Template.</w:t>
            </w:r>
          </w:p>
          <w:p w14:paraId="0EFA6F0C" w14:textId="77777777" w:rsidR="002A21AE" w:rsidRDefault="002A21AE">
            <w:pPr>
              <w:pStyle w:val="NotesText"/>
            </w:pPr>
          </w:p>
          <w:p w14:paraId="3882E711" w14:textId="77777777" w:rsidR="002A21AE" w:rsidRDefault="002A21AE">
            <w:pPr>
              <w:pStyle w:val="NotesText"/>
              <w:rPr>
                <w:vanish/>
                <w:szCs w:val="18"/>
              </w:rPr>
            </w:pPr>
            <w:r>
              <w:rPr>
                <w:rFonts w:cs="Arial"/>
                <w:vanish/>
              </w:rPr>
              <w:t xml:space="preserve">BR_51.10 </w:t>
            </w:r>
            <w:r>
              <w:t>VBECS displays reagent types (except for the gel and the instrument lot numbers) listed as REQUIRED (by VBECS or by the user) in the daily use field on the rack lot number template and the reaction result entry worksheet for each rack in Enter Daily QC Results.</w:t>
            </w:r>
          </w:p>
          <w:p w14:paraId="10E74A80" w14:textId="77777777" w:rsidR="00DF355E" w:rsidRDefault="00DF355E" w:rsidP="00DF355E">
            <w:pPr>
              <w:pStyle w:val="NotesText"/>
            </w:pPr>
          </w:p>
          <w:p w14:paraId="1421C361" w14:textId="77777777" w:rsidR="00DF355E" w:rsidRDefault="00DF355E" w:rsidP="00DF355E">
            <w:pPr>
              <w:pStyle w:val="NotesText"/>
            </w:pPr>
            <w:r>
              <w:rPr>
                <w:vanish/>
                <w:szCs w:val="18"/>
              </w:rPr>
              <w:t>BR_28.06</w:t>
            </w:r>
            <w:r w:rsidR="00CE3961">
              <w:rPr>
                <w:vanish/>
                <w:szCs w:val="18"/>
              </w:rPr>
              <w:t>,</w:t>
            </w:r>
            <w:r>
              <w:rPr>
                <w:vanish/>
                <w:szCs w:val="18"/>
              </w:rPr>
              <w:t xml:space="preserve"> BR_28.07 </w:t>
            </w:r>
            <w:r>
              <w:t xml:space="preserve">When a rack is tested, VBECS displays a retest option at the daily reagent QC prompt with the untested rack numbers. When a user requests to retest a rack on a given date, VBECS displays the option to reenter a lot number for reagent types for all or part of the daily QC with a comment. All other reagent type results previously entered are locked and may not be edited. VBECS saves the new information and the original data, then generates a report entry. </w:t>
            </w:r>
          </w:p>
          <w:p w14:paraId="6E512086" w14:textId="77777777" w:rsidR="00DF355E" w:rsidRDefault="00DF355E" w:rsidP="00DF355E">
            <w:pPr>
              <w:pStyle w:val="NotesText"/>
            </w:pPr>
          </w:p>
          <w:p w14:paraId="3959AF0A" w14:textId="77777777" w:rsidR="00DF355E" w:rsidRDefault="00DF355E" w:rsidP="00DF355E">
            <w:pPr>
              <w:pStyle w:val="NotesText"/>
            </w:pPr>
            <w:r>
              <w:t>When a user changes a reagent lot number, VBECS clears the testing template for that reagent type and allows the user to enter new results.</w:t>
            </w:r>
          </w:p>
          <w:p w14:paraId="409CDDF0" w14:textId="77777777" w:rsidR="00DF355E" w:rsidRDefault="00DF355E">
            <w:pPr>
              <w:pStyle w:val="NotesText"/>
              <w:rPr>
                <w:vanish/>
                <w:szCs w:val="18"/>
              </w:rPr>
            </w:pPr>
          </w:p>
          <w:p w14:paraId="5CFB08B7" w14:textId="77777777" w:rsidR="002A21AE" w:rsidRDefault="002A21AE">
            <w:pPr>
              <w:pStyle w:val="NotesText"/>
              <w:rPr>
                <w:vanish/>
                <w:szCs w:val="18"/>
              </w:rPr>
            </w:pPr>
            <w:r>
              <w:rPr>
                <w:vanish/>
                <w:szCs w:val="18"/>
              </w:rPr>
              <w:t xml:space="preserve">TT_28.01 Daily QC Using a Commercial QC Template or PT_28.02 Commercial QC Kit </w:t>
            </w:r>
          </w:p>
          <w:p w14:paraId="258A4E17" w14:textId="77777777" w:rsidR="002A21AE" w:rsidRDefault="002A21AE">
            <w:pPr>
              <w:pStyle w:val="NotesText"/>
              <w:rPr>
                <w:vanish/>
                <w:szCs w:val="18"/>
              </w:rPr>
            </w:pPr>
          </w:p>
          <w:p w14:paraId="45E29AA0" w14:textId="77777777" w:rsidR="002A21AE" w:rsidRDefault="002A21AE">
            <w:pPr>
              <w:pStyle w:val="NotesText"/>
              <w:rPr>
                <w:vanish/>
                <w:szCs w:val="18"/>
              </w:rPr>
            </w:pPr>
            <w:r>
              <w:rPr>
                <w:vanish/>
                <w:szCs w:val="18"/>
              </w:rPr>
              <w:t>TT_28.02 Daily QC Using Non-Commercial QC Template</w:t>
            </w:r>
          </w:p>
          <w:p w14:paraId="2152D6E6" w14:textId="77777777" w:rsidR="002A21AE" w:rsidRDefault="002A21AE">
            <w:pPr>
              <w:pStyle w:val="NotesText"/>
              <w:rPr>
                <w:vanish/>
                <w:szCs w:val="18"/>
              </w:rPr>
            </w:pPr>
          </w:p>
          <w:p w14:paraId="020B092E" w14:textId="77777777" w:rsidR="002A21AE" w:rsidRDefault="002A21AE">
            <w:pPr>
              <w:pStyle w:val="NotesText"/>
            </w:pPr>
            <w:r>
              <w:rPr>
                <w:vanish/>
                <w:szCs w:val="18"/>
              </w:rPr>
              <w:t>PT_28.03 Non-Commercial Daily QC Template</w:t>
            </w:r>
          </w:p>
        </w:tc>
      </w:tr>
      <w:tr w:rsidR="002A21AE" w14:paraId="2B4763C8" w14:textId="77777777" w:rsidTr="007E500E">
        <w:trPr>
          <w:cantSplit/>
        </w:trPr>
        <w:tc>
          <w:tcPr>
            <w:tcW w:w="3240" w:type="dxa"/>
          </w:tcPr>
          <w:p w14:paraId="4F67DF40" w14:textId="65B1F711" w:rsidR="002A21AE" w:rsidRDefault="002A21AE">
            <w:pPr>
              <w:pStyle w:val="TableTextNumbers"/>
            </w:pPr>
            <w:r>
              <w:lastRenderedPageBreak/>
              <w:t>Enter the observed serologic reacti</w:t>
            </w:r>
            <w:r w:rsidR="009C1A31">
              <w:t>ons</w:t>
            </w:r>
            <w:r w:rsidR="00462FB1">
              <w:t xml:space="preserve"> (</w:t>
            </w:r>
            <w:r w:rsidR="00462FB1">
              <w:fldChar w:fldCharType="begin" w:fldLock="1"/>
            </w:r>
            <w:r w:rsidR="00462FB1">
              <w:instrText xml:space="preserve"> REF _Ref126642061 \h </w:instrText>
            </w:r>
            <w:r w:rsidR="00462FB1">
              <w:fldChar w:fldCharType="separate"/>
            </w:r>
            <w:r w:rsidR="00AB304C">
              <w:t xml:space="preserve">Figure </w:t>
            </w:r>
            <w:r w:rsidR="00AB304C">
              <w:rPr>
                <w:noProof/>
              </w:rPr>
              <w:t>63</w:t>
            </w:r>
            <w:r w:rsidR="00462FB1">
              <w:fldChar w:fldCharType="end"/>
            </w:r>
            <w:r w:rsidR="00462FB1">
              <w:t>)</w:t>
            </w:r>
            <w:r>
              <w:t>.</w:t>
            </w:r>
          </w:p>
          <w:p w14:paraId="5EEC86D2" w14:textId="77777777" w:rsidR="007D23B5" w:rsidRDefault="007D23B5" w:rsidP="007D23B5">
            <w:pPr>
              <w:pStyle w:val="TableTextNumbersContinued"/>
            </w:pPr>
          </w:p>
          <w:p w14:paraId="32FD07B2" w14:textId="77777777" w:rsidR="007D23B5" w:rsidRDefault="007D23B5" w:rsidP="007D23B5">
            <w:pPr>
              <w:pStyle w:val="TableTextNumbersContinued"/>
            </w:pPr>
            <w:r>
              <w:t xml:space="preserve">Click </w:t>
            </w:r>
            <w:r w:rsidRPr="007D23B5">
              <w:rPr>
                <w:b/>
              </w:rPr>
              <w:t>OK</w:t>
            </w:r>
            <w:r>
              <w:t xml:space="preserve"> and </w:t>
            </w:r>
            <w:r w:rsidRPr="007D23B5">
              <w:rPr>
                <w:b/>
              </w:rPr>
              <w:t>Yes</w:t>
            </w:r>
            <w:r>
              <w:t xml:space="preserve"> to save</w:t>
            </w:r>
            <w:r w:rsidR="00281172">
              <w:t xml:space="preserve"> and exit</w:t>
            </w:r>
            <w:r>
              <w:t>.</w:t>
            </w:r>
          </w:p>
          <w:p w14:paraId="301D1699" w14:textId="77777777" w:rsidR="00881170" w:rsidRDefault="00881170" w:rsidP="00881170">
            <w:pPr>
              <w:pStyle w:val="TableTextNumbersContinued"/>
            </w:pPr>
          </w:p>
          <w:p w14:paraId="66F8CABD" w14:textId="77777777" w:rsidR="00881170" w:rsidRDefault="00881170" w:rsidP="00881170">
            <w:pPr>
              <w:pStyle w:val="TableTextNumbersContinued"/>
            </w:pPr>
            <w:r>
              <w:t xml:space="preserve">Repeat for </w:t>
            </w:r>
            <w:r w:rsidR="00281172">
              <w:t>each rack</w:t>
            </w:r>
            <w:r>
              <w:t xml:space="preserve"> selected in Step 3. </w:t>
            </w:r>
            <w:r w:rsidR="005F23AD">
              <w:rPr>
                <w:rStyle w:val="TableTextNumbersChar"/>
                <w:vanish/>
                <w:color w:val="FFFFFF"/>
                <w:szCs w:val="18"/>
              </w:rPr>
              <w:fldChar w:fldCharType="begin"/>
            </w:r>
            <w:r w:rsidR="005F23AD">
              <w:rPr>
                <w:rStyle w:val="TableTextNumbersChar"/>
                <w:vanish/>
                <w:color w:val="FFFFFF"/>
                <w:szCs w:val="18"/>
              </w:rPr>
              <w:instrText xml:space="preserve"> LISTNUM \l 1 \s 0 </w:instrText>
            </w:r>
            <w:r w:rsidR="005F23AD">
              <w:rPr>
                <w:rStyle w:val="TableTextNumbersChar"/>
                <w:vanish/>
                <w:color w:val="FFFFFF"/>
                <w:szCs w:val="18"/>
              </w:rPr>
              <w:fldChar w:fldCharType="end"/>
            </w:r>
          </w:p>
        </w:tc>
        <w:tc>
          <w:tcPr>
            <w:tcW w:w="6356" w:type="dxa"/>
          </w:tcPr>
          <w:p w14:paraId="7186A8B9" w14:textId="77777777" w:rsidR="000F2E95" w:rsidRDefault="000F2E95" w:rsidP="000F2E95">
            <w:pPr>
              <w:pStyle w:val="TableTextBullet"/>
            </w:pPr>
            <w:r>
              <w:t>Displays the testing template reaction results grid for each rack selected, when</w:t>
            </w:r>
            <w:r>
              <w:rPr>
                <w:i/>
              </w:rPr>
              <w:t xml:space="preserve"> </w:t>
            </w:r>
            <w:r>
              <w:t>no lot number changes were made.</w:t>
            </w:r>
          </w:p>
          <w:p w14:paraId="5603A8E8" w14:textId="77777777" w:rsidR="002A21AE" w:rsidRDefault="002A21AE">
            <w:pPr>
              <w:pStyle w:val="TableTextBullet"/>
            </w:pPr>
            <w:r>
              <w:t>Determines whether the entered results are acceptable and indicates acceptability of the lot number for the reagent type.</w:t>
            </w:r>
          </w:p>
          <w:p w14:paraId="6573B51B" w14:textId="77777777" w:rsidR="00881170" w:rsidRDefault="002A21AE" w:rsidP="00881170">
            <w:pPr>
              <w:pStyle w:val="TableTextBullet"/>
            </w:pPr>
            <w:r>
              <w:t>Verifies (by type and lot number) that the reagent is satisfactory or unsatisfactory for use.</w:t>
            </w:r>
            <w:r w:rsidR="00881170">
              <w:t xml:space="preserve"> </w:t>
            </w:r>
          </w:p>
          <w:p w14:paraId="22F7AB12" w14:textId="77777777" w:rsidR="002A21AE" w:rsidRDefault="00881170" w:rsidP="00881170">
            <w:pPr>
              <w:pStyle w:val="TableTextBullet"/>
            </w:pPr>
            <w:r>
              <w:t xml:space="preserve">Saves the partially or fully completed data. </w:t>
            </w:r>
          </w:p>
          <w:p w14:paraId="126A9859" w14:textId="77777777" w:rsidR="002A21AE" w:rsidRDefault="002A21AE">
            <w:pPr>
              <w:pStyle w:val="TableText"/>
            </w:pPr>
          </w:p>
          <w:p w14:paraId="1E635AC3" w14:textId="77777777" w:rsidR="002A21AE" w:rsidRDefault="00057948">
            <w:pPr>
              <w:pStyle w:val="TableText"/>
              <w:rPr>
                <w:b/>
                <w:bCs/>
                <w:szCs w:val="18"/>
              </w:rPr>
            </w:pPr>
            <w:r>
              <w:rPr>
                <w:b/>
                <w:bCs/>
                <w:noProof/>
              </w:rPr>
              <mc:AlternateContent>
                <mc:Choice Requires="wps">
                  <w:drawing>
                    <wp:anchor distT="0" distB="0" distL="114300" distR="114300" simplePos="0" relativeHeight="251620352" behindDoc="0" locked="0" layoutInCell="1" allowOverlap="1" wp14:anchorId="698EC231" wp14:editId="53C0E942">
                      <wp:simplePos x="0" y="0"/>
                      <wp:positionH relativeFrom="column">
                        <wp:posOffset>457200</wp:posOffset>
                      </wp:positionH>
                      <wp:positionV relativeFrom="paragraph">
                        <wp:posOffset>65405</wp:posOffset>
                      </wp:positionV>
                      <wp:extent cx="3200400" cy="0"/>
                      <wp:effectExtent l="9525" t="17780" r="9525" b="10795"/>
                      <wp:wrapNone/>
                      <wp:docPr id="539" name="Line 699" descr="P2690C14T2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49DF1" id="Line 699" o:spid="_x0000_s1026" alt="&quot;&quot;"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pqGmd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649DA8CE" w14:textId="77777777" w:rsidR="002A21AE" w:rsidRDefault="002A21AE">
            <w:pPr>
              <w:pStyle w:val="NotesText"/>
            </w:pPr>
          </w:p>
          <w:p w14:paraId="0F61C8FF" w14:textId="77777777" w:rsidR="002A21AE" w:rsidRDefault="002A21AE">
            <w:pPr>
              <w:pStyle w:val="NotesText"/>
            </w:pPr>
            <w:r>
              <w:t xml:space="preserve">The user may enter results on multiple reagent racks. VBECS displays each rack in its own tab. </w:t>
            </w:r>
          </w:p>
          <w:p w14:paraId="3568902A" w14:textId="77777777" w:rsidR="00881170" w:rsidRDefault="00881170">
            <w:pPr>
              <w:pStyle w:val="NotesText"/>
            </w:pPr>
          </w:p>
          <w:p w14:paraId="076F7793" w14:textId="77777777" w:rsidR="00881170" w:rsidRDefault="00881170" w:rsidP="00881170">
            <w:pPr>
              <w:pStyle w:val="NotesText"/>
            </w:pPr>
            <w:r>
              <w:rPr>
                <w:rFonts w:cs="Arial"/>
                <w:vanish/>
              </w:rPr>
              <w:t xml:space="preserve">BR_28.20 </w:t>
            </w:r>
            <w:r>
              <w:t>VBECS verifies satisfactory and unsatisfactory QC testing based on site parameters and user data entry. If the user-entered test results indicate a satisfactory interpretation, VBECS displays “Satisfactory.” VBECS saves results that are satisfactory only when the testing for a row is complete and the worksheet is saved. VBECS clears results associated with an unsatisfactory interpretation from the screen/worksheet and the testing for the affected QC rack is considered incomplete until the rack is retested with satisfactory results for the affected row. (Warnings generated by other options when QC testing is incomplete apply).</w:t>
            </w:r>
          </w:p>
          <w:p w14:paraId="5A4AED7C" w14:textId="77777777" w:rsidR="00881170" w:rsidRDefault="00881170" w:rsidP="00881170">
            <w:pPr>
              <w:pStyle w:val="NotesText"/>
            </w:pPr>
          </w:p>
          <w:p w14:paraId="078598E6" w14:textId="77777777" w:rsidR="00881170" w:rsidRDefault="00881170" w:rsidP="00881170">
            <w:pPr>
              <w:pStyle w:val="NotesText"/>
            </w:pPr>
            <w:r>
              <w:rPr>
                <w:rFonts w:cs="Arial"/>
                <w:vanish/>
              </w:rPr>
              <w:t xml:space="preserve">BR_28.14 </w:t>
            </w:r>
            <w:r>
              <w:t>The daily reagent QC for a date requires a valid entry for each reagent displayed on the worksheet. VBECS considers a rack ready and available for patient testing on that date when all reagents on a rack have valid test results.</w:t>
            </w:r>
          </w:p>
        </w:tc>
      </w:tr>
    </w:tbl>
    <w:p w14:paraId="6CCBBA48" w14:textId="117AAB5F" w:rsidR="00957095" w:rsidRDefault="00957095" w:rsidP="00957095">
      <w:pPr>
        <w:pStyle w:val="Caption"/>
      </w:pPr>
      <w:bookmarkStart w:id="240" w:name="_Ref126641381"/>
      <w:bookmarkStart w:id="241" w:name="_Ref126548442"/>
      <w:bookmarkEnd w:id="235"/>
      <w:bookmarkEnd w:id="236"/>
      <w:bookmarkEnd w:id="237"/>
      <w:bookmarkEnd w:id="238"/>
      <w:bookmarkEnd w:id="239"/>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61</w:t>
      </w:r>
      <w:r w:rsidR="004E20BD">
        <w:rPr>
          <w:noProof/>
        </w:rPr>
        <w:fldChar w:fldCharType="end"/>
      </w:r>
      <w:bookmarkEnd w:id="240"/>
      <w:r>
        <w:t>: Enter Daily QC Results</w:t>
      </w:r>
    </w:p>
    <w:p w14:paraId="5EB6590F" w14:textId="77777777" w:rsidR="00957095" w:rsidRDefault="00057948" w:rsidP="00957095">
      <w:pPr>
        <w:pStyle w:val="BodyText"/>
      </w:pPr>
      <w:r>
        <w:rPr>
          <w:noProof/>
        </w:rPr>
        <w:drawing>
          <wp:inline distT="0" distB="0" distL="0" distR="0" wp14:anchorId="76731457" wp14:editId="2AC17626">
            <wp:extent cx="4460875" cy="4220845"/>
            <wp:effectExtent l="0" t="0" r="0" b="8255"/>
            <wp:docPr id="140" name="Picture 140" descr="P2699#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P2699#yIS1">
                      <a:extLst>
                        <a:ext uri="{C183D7F6-B498-43B3-948B-1728B52AA6E4}">
                          <adec:decorative xmlns:adec="http://schemas.microsoft.com/office/drawing/2017/decorative" val="1"/>
                        </a:ext>
                      </a:extLst>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460875" cy="4220845"/>
                    </a:xfrm>
                    <a:prstGeom prst="rect">
                      <a:avLst/>
                    </a:prstGeom>
                    <a:noFill/>
                    <a:ln>
                      <a:noFill/>
                    </a:ln>
                  </pic:spPr>
                </pic:pic>
              </a:graphicData>
            </a:graphic>
          </wp:inline>
        </w:drawing>
      </w:r>
    </w:p>
    <w:p w14:paraId="14838CDD" w14:textId="6247B2A7" w:rsidR="002118B0" w:rsidRDefault="002118B0" w:rsidP="002118B0">
      <w:pPr>
        <w:pStyle w:val="Caption"/>
      </w:pPr>
      <w:bookmarkStart w:id="242" w:name="_Ref126641476"/>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62</w:t>
      </w:r>
      <w:r w:rsidR="004E20BD">
        <w:rPr>
          <w:noProof/>
        </w:rPr>
        <w:fldChar w:fldCharType="end"/>
      </w:r>
      <w:bookmarkEnd w:id="241"/>
      <w:bookmarkEnd w:id="242"/>
      <w:r>
        <w:t>:</w:t>
      </w:r>
      <w:r w:rsidR="00F20BC5">
        <w:t xml:space="preserve"> </w:t>
      </w:r>
      <w:r w:rsidR="00957095">
        <w:t>Record Lot Numbers for</w:t>
      </w:r>
      <w:r w:rsidR="00F20BC5">
        <w:t xml:space="preserve"> Daily QC </w:t>
      </w:r>
      <w:r w:rsidR="00957095">
        <w:t>Testing</w:t>
      </w:r>
    </w:p>
    <w:p w14:paraId="15BFA9CB" w14:textId="77777777" w:rsidR="00F20BC5" w:rsidRPr="00F20BC5" w:rsidRDefault="00057948" w:rsidP="00580E36">
      <w:pPr>
        <w:pStyle w:val="BodyText"/>
      </w:pPr>
      <w:r>
        <w:rPr>
          <w:noProof/>
        </w:rPr>
        <w:drawing>
          <wp:inline distT="0" distB="0" distL="0" distR="0" wp14:anchorId="31CB3EBF" wp14:editId="53181D16">
            <wp:extent cx="4728845" cy="3444875"/>
            <wp:effectExtent l="0" t="0" r="0" b="3175"/>
            <wp:docPr id="141" name="Picture 141" descr="P2701#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P2701#yIS1">
                      <a:extLst>
                        <a:ext uri="{C183D7F6-B498-43B3-948B-1728B52AA6E4}">
                          <adec:decorative xmlns:adec="http://schemas.microsoft.com/office/drawing/2017/decorative" val="1"/>
                        </a:ext>
                      </a:extLst>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28845" cy="3444875"/>
                    </a:xfrm>
                    <a:prstGeom prst="rect">
                      <a:avLst/>
                    </a:prstGeom>
                    <a:noFill/>
                    <a:ln>
                      <a:noFill/>
                    </a:ln>
                  </pic:spPr>
                </pic:pic>
              </a:graphicData>
            </a:graphic>
          </wp:inline>
        </w:drawing>
      </w:r>
    </w:p>
    <w:p w14:paraId="74E18A5D" w14:textId="32E1F458" w:rsidR="00462FB1" w:rsidRDefault="00462FB1" w:rsidP="00462FB1">
      <w:pPr>
        <w:pStyle w:val="Caption"/>
      </w:pPr>
      <w:bookmarkStart w:id="243" w:name="_Ref126642061"/>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63</w:t>
      </w:r>
      <w:r w:rsidR="004E20BD">
        <w:rPr>
          <w:noProof/>
        </w:rPr>
        <w:fldChar w:fldCharType="end"/>
      </w:r>
      <w:bookmarkEnd w:id="243"/>
      <w:r>
        <w:t>: Enter Daily QC Results with Serologic Reactions</w:t>
      </w:r>
    </w:p>
    <w:p w14:paraId="0B8605C7" w14:textId="77777777" w:rsidR="00F759ED" w:rsidRDefault="00057948" w:rsidP="00462FB1">
      <w:pPr>
        <w:pStyle w:val="BodyText"/>
      </w:pPr>
      <w:r>
        <w:rPr>
          <w:noProof/>
        </w:rPr>
        <w:drawing>
          <wp:inline distT="0" distB="0" distL="0" distR="0" wp14:anchorId="04AD7154" wp14:editId="5F20AD8E">
            <wp:extent cx="4803140" cy="3509645"/>
            <wp:effectExtent l="0" t="0" r="0" b="0"/>
            <wp:docPr id="142" name="Picture 142" descr="P270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P2703#yIS1">
                      <a:extLst>
                        <a:ext uri="{C183D7F6-B498-43B3-948B-1728B52AA6E4}">
                          <adec:decorative xmlns:adec="http://schemas.microsoft.com/office/drawing/2017/decorative" val="1"/>
                        </a:ext>
                      </a:extLst>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803140" cy="3509645"/>
                    </a:xfrm>
                    <a:prstGeom prst="rect">
                      <a:avLst/>
                    </a:prstGeom>
                    <a:noFill/>
                    <a:ln>
                      <a:noFill/>
                    </a:ln>
                  </pic:spPr>
                </pic:pic>
              </a:graphicData>
            </a:graphic>
          </wp:inline>
        </w:drawing>
      </w:r>
    </w:p>
    <w:p w14:paraId="2F985DAA" w14:textId="77777777" w:rsidR="002A21AE" w:rsidRDefault="00E645A6" w:rsidP="00F759ED">
      <w:pPr>
        <w:pStyle w:val="Heading2"/>
      </w:pPr>
      <w:bookmarkStart w:id="244" w:name="_Toc4588771"/>
      <w:r>
        <w:lastRenderedPageBreak/>
        <w:t>Reagents</w:t>
      </w:r>
      <w:bookmarkEnd w:id="244"/>
      <w:r w:rsidR="00C4437D">
        <w:fldChar w:fldCharType="begin"/>
      </w:r>
      <w:r w:rsidR="00C4437D">
        <w:instrText xml:space="preserve"> XE "</w:instrText>
      </w:r>
      <w:r w:rsidR="00C4437D" w:rsidRPr="00BC2841">
        <w:instrText>Reagents</w:instrText>
      </w:r>
      <w:r w:rsidR="00C4437D">
        <w:instrText xml:space="preserve">" </w:instrText>
      </w:r>
      <w:r w:rsidR="00C4437D">
        <w:fldChar w:fldCharType="end"/>
      </w:r>
      <w:r w:rsidR="002A21AE">
        <w:t xml:space="preserve"> </w:t>
      </w:r>
      <w:r w:rsidR="002A21AE">
        <w:rPr>
          <w:vanish/>
        </w:rPr>
        <w:t>UC_20</w:t>
      </w:r>
    </w:p>
    <w:p w14:paraId="034E0958" w14:textId="77777777" w:rsidR="002A21AE" w:rsidRDefault="002A21AE" w:rsidP="00FA7E65">
      <w:pPr>
        <w:pStyle w:val="BodyText"/>
      </w:pPr>
      <w:r>
        <w:t>The options related to reagent inventory control record the receipt of specific reagents by reagent type for each division.</w:t>
      </w:r>
    </w:p>
    <w:p w14:paraId="63C92C7D" w14:textId="77777777" w:rsidR="002A21AE" w:rsidRDefault="002A21AE">
      <w:pPr>
        <w:pStyle w:val="Heading4"/>
      </w:pPr>
      <w:bookmarkStart w:id="245" w:name="_Log_In_Reagents,_Update_Inventory,_"/>
      <w:bookmarkEnd w:id="230"/>
      <w:bookmarkEnd w:id="245"/>
      <w:r>
        <w:t>Log In Reagents, Update Inventory,</w:t>
      </w:r>
      <w:bookmarkStart w:id="246" w:name="_Toc63680376"/>
      <w:r>
        <w:t xml:space="preserve"> View/Print Inventory</w:t>
      </w:r>
      <w:bookmarkEnd w:id="246"/>
      <w:r w:rsidR="00771C65">
        <w:t xml:space="preserve">, Maintain </w:t>
      </w:r>
      <w:r w:rsidR="005F6016">
        <w:t>Minimum Levels</w:t>
      </w:r>
    </w:p>
    <w:p w14:paraId="37BCA81B" w14:textId="77777777" w:rsidR="002A21AE" w:rsidRDefault="002A21AE" w:rsidP="00FA7E65">
      <w:pPr>
        <w:pStyle w:val="BodyText"/>
      </w:pPr>
      <w:r>
        <w:t>The reagent log is maintained by individual division even in a multidivisional database. Update Inventory allows the user to update reagent inventory by changing the number of vials available. The user may view inventory online using various search criteria and prin</w:t>
      </w:r>
      <w:r w:rsidR="00447051">
        <w:t>t a copy of the search results.</w:t>
      </w:r>
    </w:p>
    <w:p w14:paraId="5B89E57B" w14:textId="77777777" w:rsidR="002A21AE" w:rsidRDefault="002A21AE">
      <w:pPr>
        <w:pStyle w:val="Heading4"/>
      </w:pPr>
      <w:r>
        <w:t>Assumptions</w:t>
      </w:r>
      <w:r>
        <w:rPr>
          <w:b w:val="0"/>
        </w:rPr>
        <w:t xml:space="preserve"> </w:t>
      </w:r>
    </w:p>
    <w:p w14:paraId="54357912" w14:textId="77777777" w:rsidR="00852AC1" w:rsidRDefault="00852AC1" w:rsidP="00852AC1">
      <w:pPr>
        <w:pStyle w:val="ListBullet"/>
      </w:pPr>
      <w:r>
        <w:t>The division is “full service.”</w:t>
      </w:r>
    </w:p>
    <w:p w14:paraId="22729C21" w14:textId="77777777" w:rsidR="002A21AE" w:rsidRDefault="002A21AE">
      <w:pPr>
        <w:pStyle w:val="ListBullet"/>
      </w:pPr>
      <w:r>
        <w:t>Reagents are in the inventory of the user’s division.</w:t>
      </w:r>
    </w:p>
    <w:p w14:paraId="21DC69BE" w14:textId="77777777" w:rsidR="002A21AE" w:rsidRDefault="002A21AE">
      <w:pPr>
        <w:pStyle w:val="Heading4"/>
      </w:pPr>
      <w:r>
        <w:t xml:space="preserve">Outcome </w:t>
      </w:r>
    </w:p>
    <w:p w14:paraId="1FD16A01" w14:textId="77777777" w:rsidR="002A21AE" w:rsidRDefault="002A21AE">
      <w:pPr>
        <w:pStyle w:val="ListBullet"/>
      </w:pPr>
      <w:r>
        <w:t>A user may select previously logged-in reagents through Enter Daily QC Results, Patient Testing: Record a Patient Antigen Typing, and Unit Antigen Typing.</w:t>
      </w:r>
    </w:p>
    <w:p w14:paraId="3FDC62E2" w14:textId="77777777" w:rsidR="002A21AE" w:rsidRDefault="002A21AE">
      <w:pPr>
        <w:pStyle w:val="ListBullet"/>
      </w:pPr>
      <w:r>
        <w:t>Reagents entered are accessible only within the division in which they were entered.</w:t>
      </w:r>
    </w:p>
    <w:p w14:paraId="04CA4CA0" w14:textId="77777777" w:rsidR="002A21AE" w:rsidRDefault="002A21AE">
      <w:pPr>
        <w:pStyle w:val="Heading4"/>
      </w:pPr>
      <w:r>
        <w:t>Limitations and Restrictions</w:t>
      </w:r>
      <w:r>
        <w:rPr>
          <w:b w:val="0"/>
        </w:rPr>
        <w:t xml:space="preserve"> </w:t>
      </w:r>
    </w:p>
    <w:p w14:paraId="5FEA4567" w14:textId="77777777" w:rsidR="002A21AE" w:rsidRDefault="002A21AE">
      <w:pPr>
        <w:pStyle w:val="ListBullet"/>
      </w:pPr>
      <w:r>
        <w:t>VBECS does not display a reagent report by invoice number.</w:t>
      </w:r>
    </w:p>
    <w:p w14:paraId="397571DC" w14:textId="77777777" w:rsidR="0029147B" w:rsidRDefault="0029147B">
      <w:pPr>
        <w:pStyle w:val="ListBullet"/>
      </w:pPr>
      <w:r>
        <w:t>The unsatisfactory portion of a shipment must be recorded individually.</w:t>
      </w:r>
    </w:p>
    <w:p w14:paraId="699DDEE9" w14:textId="77777777" w:rsidR="00BE53DD" w:rsidRDefault="00BE53DD" w:rsidP="00BE53DD">
      <w:pPr>
        <w:pStyle w:val="ListBullet"/>
      </w:pPr>
      <w:r>
        <w:t>There is no retrospective data entry or user selection for th</w:t>
      </w:r>
      <w:r w:rsidR="0061702F">
        <w:t>ese</w:t>
      </w:r>
      <w:r>
        <w:t xml:space="preserve"> </w:t>
      </w:r>
      <w:r w:rsidR="0061702F">
        <w:t>options</w:t>
      </w:r>
      <w:r>
        <w:t>.</w:t>
      </w:r>
    </w:p>
    <w:p w14:paraId="687D7040" w14:textId="77777777" w:rsidR="00053349" w:rsidRDefault="00053349" w:rsidP="00053349">
      <w:pPr>
        <w:pStyle w:val="ListBullet"/>
      </w:pPr>
      <w:r>
        <w:t xml:space="preserve">Each site must set a standard for recording quantity: it may use the number of cases or the number of units within the cases. </w:t>
      </w:r>
    </w:p>
    <w:p w14:paraId="2F483EC3" w14:textId="77777777" w:rsidR="00F759ED" w:rsidRPr="00993A74" w:rsidRDefault="00F759ED" w:rsidP="00053349">
      <w:pPr>
        <w:pStyle w:val="ListBullet"/>
      </w:pPr>
      <w:r>
        <w:t xml:space="preserve">When a user enters a lot number in the Lot # field and clicks the </w:t>
      </w:r>
      <w:r>
        <w:rPr>
          <w:b/>
        </w:rPr>
        <w:t>magnifying glass</w:t>
      </w:r>
      <w:r>
        <w:t xml:space="preserve">, VBECS displays only the first instance of a duplicate lot number. </w:t>
      </w:r>
      <w:r w:rsidRPr="00F759ED">
        <w:rPr>
          <w:vanish/>
        </w:rPr>
        <w:t>(UserDoc Task 1083)</w:t>
      </w:r>
    </w:p>
    <w:p w14:paraId="019C8DD2" w14:textId="526FBA72" w:rsidR="00993A74" w:rsidRDefault="00993A74" w:rsidP="00053349">
      <w:pPr>
        <w:pStyle w:val="ListBullet"/>
      </w:pPr>
      <w:r>
        <w:t xml:space="preserve">Free text details can be added only when “Other” is selected as the canned comment. </w:t>
      </w:r>
      <w:r w:rsidRPr="004F0095">
        <w:rPr>
          <w:vanish/>
        </w:rPr>
        <w:t>DR 2218</w:t>
      </w:r>
    </w:p>
    <w:p w14:paraId="23508AFF" w14:textId="7D31D4E0" w:rsidR="004F5DF6" w:rsidRDefault="004F5DF6" w:rsidP="00053349">
      <w:pPr>
        <w:pStyle w:val="ListBullet"/>
      </w:pPr>
      <w:r>
        <w:t>When reagents with the same Manufacturer Reagent Name and Lot Number are entered from multiple invoices, only one of the reagents is visible for update.</w:t>
      </w:r>
      <w:r w:rsidR="005E3B7C">
        <w:t xml:space="preserve"> </w:t>
      </w:r>
      <w:r w:rsidR="005E3B7C" w:rsidRPr="005E3B7C">
        <w:rPr>
          <w:vanish/>
        </w:rPr>
        <w:t>Defect 209141</w:t>
      </w:r>
    </w:p>
    <w:p w14:paraId="7BC088B0" w14:textId="14B9F091" w:rsidR="00917168" w:rsidRDefault="00917168" w:rsidP="00053349">
      <w:pPr>
        <w:pStyle w:val="ListBullet"/>
      </w:pPr>
      <w:r>
        <w:t>Reagents that have had their Number of Vials Available set to zero (0) are no longer visible on the Update Reagent Inventory screen o</w:t>
      </w:r>
      <w:r w:rsidR="00A11CA3">
        <w:t>r</w:t>
      </w:r>
      <w:r>
        <w:t xml:space="preserve"> the Reagent Inventory Report. Print a copy of the Reagent Inventory Report prior to setting the Number of Vials Available to zero (0). </w:t>
      </w:r>
      <w:r w:rsidRPr="00917168">
        <w:rPr>
          <w:vanish/>
        </w:rPr>
        <w:t>Defects 208863, 208890, 210063</w:t>
      </w:r>
    </w:p>
    <w:p w14:paraId="6DF94FA2" w14:textId="77777777" w:rsidR="002A21AE" w:rsidRDefault="002A21AE">
      <w:pPr>
        <w:pStyle w:val="Heading4"/>
      </w:pPr>
      <w:r>
        <w:t>Additional Information</w:t>
      </w:r>
    </w:p>
    <w:p w14:paraId="1070E959" w14:textId="77777777" w:rsidR="00852AC1" w:rsidRPr="00852AC1" w:rsidRDefault="00852AC1" w:rsidP="00852AC1">
      <w:pPr>
        <w:pStyle w:val="ListBullet"/>
      </w:pPr>
      <w:r w:rsidRPr="00852AC1">
        <w:rPr>
          <w:snapToGrid w:val="0"/>
          <w:vanish/>
        </w:rPr>
        <w:t>BR_41.32</w:t>
      </w:r>
      <w:r>
        <w:rPr>
          <w:snapToGrid w:val="0"/>
        </w:rPr>
        <w:t xml:space="preserve">This option is disabled for transfusion-only facilities. </w:t>
      </w:r>
    </w:p>
    <w:p w14:paraId="56B4C523" w14:textId="77777777" w:rsidR="002A21AE" w:rsidRDefault="002A21AE">
      <w:pPr>
        <w:pStyle w:val="ListBullet"/>
      </w:pPr>
      <w:r>
        <w:t>VBECS displays alerts, as appropriate, during execution of Enter Daily QC Results to notify the user when reagent inventory levels fall below minimum inventory levels, as defined in Maintain Minimum Levels.</w:t>
      </w:r>
    </w:p>
    <w:p w14:paraId="6FFBA654" w14:textId="77777777" w:rsidR="00CA67F2" w:rsidRDefault="00CA67F2">
      <w:pPr>
        <w:pStyle w:val="ListBullet"/>
      </w:pPr>
      <w:r>
        <w:t>Local policies and procedures must define the use of patient antisera as reagents.</w:t>
      </w:r>
    </w:p>
    <w:p w14:paraId="2428E3D2" w14:textId="77777777" w:rsidR="002A21AE" w:rsidRDefault="002A21AE">
      <w:pPr>
        <w:pStyle w:val="Heading4"/>
        <w:rPr>
          <w:b w:val="0"/>
        </w:rPr>
      </w:pPr>
      <w:r>
        <w:t>User Roles with Access to This Option</w:t>
      </w:r>
      <w:r>
        <w:rPr>
          <w:b w:val="0"/>
        </w:rPr>
        <w:t xml:space="preserve"> </w:t>
      </w:r>
    </w:p>
    <w:p w14:paraId="4FB8BA24" w14:textId="77777777" w:rsidR="002A21AE" w:rsidRDefault="00560BC1">
      <w:pPr>
        <w:pStyle w:val="Roles"/>
        <w:rPr>
          <w:snapToGrid w:val="0"/>
        </w:rPr>
      </w:pPr>
      <w:r>
        <w:t>All users</w:t>
      </w:r>
    </w:p>
    <w:p w14:paraId="7CC9E286" w14:textId="77777777" w:rsidR="00D34814" w:rsidRDefault="00D34814" w:rsidP="00D34814">
      <w:pPr>
        <w:pStyle w:val="Heading4"/>
      </w:pPr>
      <w:r>
        <w:lastRenderedPageBreak/>
        <w:t>Log in Reagents</w:t>
      </w:r>
      <w:r>
        <w:fldChar w:fldCharType="begin"/>
      </w:r>
      <w:r>
        <w:instrText xml:space="preserve"> XE </w:instrText>
      </w:r>
      <w:r w:rsidR="00FA7E65">
        <w:instrText>“</w:instrText>
      </w:r>
      <w:r>
        <w:instrText>Log in Reagents</w:instrText>
      </w:r>
      <w:r w:rsidR="00FA7E65">
        <w:instrText>”</w:instrText>
      </w:r>
      <w:r>
        <w:instrText xml:space="preserve"> </w:instrText>
      </w:r>
      <w:r>
        <w:fldChar w:fldCharType="end"/>
      </w:r>
      <w:r>
        <w:t xml:space="preserve"> </w:t>
      </w:r>
    </w:p>
    <w:p w14:paraId="68041AA6" w14:textId="77777777" w:rsidR="009C34E7" w:rsidRDefault="00D34814" w:rsidP="00FA7E65">
      <w:pPr>
        <w:pStyle w:val="BodyText"/>
      </w:pPr>
      <w:r w:rsidRPr="00FA7E65">
        <w:t>A user records the receipt of specific reagents by type. The reagent record includes the date the shipment was received, reagent name, lot number, expiration date, manufacturer, and number of vials received in a shipment.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FB4E58" w14:paraId="52F28929" w14:textId="77777777">
        <w:trPr>
          <w:cantSplit/>
          <w:tblHeader/>
        </w:trPr>
        <w:tc>
          <w:tcPr>
            <w:tcW w:w="3240" w:type="dxa"/>
            <w:shd w:val="pct30" w:color="auto" w:fill="FFFFFF"/>
            <w:vAlign w:val="bottom"/>
          </w:tcPr>
          <w:p w14:paraId="007F48C5" w14:textId="77777777" w:rsidR="00FB4E58" w:rsidRDefault="009C34E7" w:rsidP="00A65805">
            <w:pPr>
              <w:pStyle w:val="TableText"/>
              <w:rPr>
                <w:b/>
              </w:rPr>
            </w:pPr>
            <w:r>
              <w:br w:type="page"/>
            </w:r>
            <w:r w:rsidR="00FB4E58">
              <w:rPr>
                <w:b/>
              </w:rPr>
              <w:t>User Action</w:t>
            </w:r>
          </w:p>
        </w:tc>
        <w:tc>
          <w:tcPr>
            <w:tcW w:w="6120" w:type="dxa"/>
            <w:shd w:val="pct30" w:color="auto" w:fill="FFFFFF"/>
            <w:vAlign w:val="bottom"/>
          </w:tcPr>
          <w:p w14:paraId="2E1767B6" w14:textId="77777777" w:rsidR="00FB4E58" w:rsidRDefault="00FB4E58" w:rsidP="00A65805">
            <w:pPr>
              <w:pStyle w:val="TableText"/>
              <w:rPr>
                <w:b/>
              </w:rPr>
            </w:pPr>
            <w:r>
              <w:rPr>
                <w:b/>
              </w:rPr>
              <w:t>VBECS</w:t>
            </w:r>
          </w:p>
        </w:tc>
      </w:tr>
      <w:tr w:rsidR="00FB4E58" w14:paraId="236B050B" w14:textId="77777777">
        <w:tc>
          <w:tcPr>
            <w:tcW w:w="3240" w:type="dxa"/>
            <w:tcBorders>
              <w:top w:val="single" w:sz="4" w:space="0" w:color="auto"/>
              <w:left w:val="single" w:sz="4" w:space="0" w:color="auto"/>
              <w:bottom w:val="single" w:sz="4" w:space="0" w:color="auto"/>
              <w:right w:val="single" w:sz="4" w:space="0" w:color="auto"/>
            </w:tcBorders>
          </w:tcPr>
          <w:p w14:paraId="3D84B948" w14:textId="77777777" w:rsidR="00FB4E58" w:rsidRDefault="00FB4E58" w:rsidP="00FB4E58">
            <w:pPr>
              <w:pStyle w:val="TableTextNumbers"/>
            </w:pPr>
            <w:r>
              <w:t xml:space="preserve">Select </w:t>
            </w:r>
            <w:r>
              <w:rPr>
                <w:b/>
              </w:rPr>
              <w:t>Reagents</w:t>
            </w:r>
            <w:r>
              <w:t xml:space="preserve"> from the main menu.</w:t>
            </w:r>
          </w:p>
        </w:tc>
        <w:tc>
          <w:tcPr>
            <w:tcW w:w="6120" w:type="dxa"/>
            <w:tcBorders>
              <w:top w:val="single" w:sz="4" w:space="0" w:color="auto"/>
              <w:left w:val="single" w:sz="4" w:space="0" w:color="auto"/>
              <w:bottom w:val="single" w:sz="4" w:space="0" w:color="auto"/>
              <w:right w:val="single" w:sz="4" w:space="0" w:color="auto"/>
            </w:tcBorders>
          </w:tcPr>
          <w:p w14:paraId="27C4D6F9" w14:textId="77777777" w:rsidR="00FB4E58" w:rsidRDefault="00FB4E58" w:rsidP="00A65805">
            <w:pPr>
              <w:pStyle w:val="TableTextBullet"/>
            </w:pPr>
            <w:r>
              <w:t xml:space="preserve">Displays options for Quality Control functions. </w:t>
            </w:r>
          </w:p>
          <w:p w14:paraId="4577E3CD" w14:textId="77777777" w:rsidR="00FB4E58" w:rsidRDefault="00FB4E58" w:rsidP="00A65805">
            <w:pPr>
              <w:pStyle w:val="TableTextBullet"/>
            </w:pPr>
            <w:r>
              <w:t>Displays options for processing reagents.</w:t>
            </w:r>
          </w:p>
        </w:tc>
      </w:tr>
      <w:tr w:rsidR="00FB4E58" w14:paraId="577D0E9B" w14:textId="77777777">
        <w:tc>
          <w:tcPr>
            <w:tcW w:w="3240" w:type="dxa"/>
          </w:tcPr>
          <w:p w14:paraId="5BAD3B1B" w14:textId="77777777" w:rsidR="00FB4E58" w:rsidRDefault="00FB4E58" w:rsidP="00A65805">
            <w:pPr>
              <w:pStyle w:val="TableTextNumbers"/>
            </w:pPr>
            <w:r>
              <w:t xml:space="preserve">Select </w:t>
            </w:r>
            <w:r>
              <w:rPr>
                <w:b/>
              </w:rPr>
              <w:t>Log In Reagents</w:t>
            </w:r>
            <w:r w:rsidRPr="00FB4E58">
              <w:t>.</w:t>
            </w:r>
          </w:p>
        </w:tc>
        <w:tc>
          <w:tcPr>
            <w:tcW w:w="6120" w:type="dxa"/>
          </w:tcPr>
          <w:p w14:paraId="1FC158EC" w14:textId="77777777" w:rsidR="00FB4E58" w:rsidRDefault="00FB4E58" w:rsidP="00A65805">
            <w:pPr>
              <w:pStyle w:val="TableTextBullet"/>
            </w:pPr>
            <w:r>
              <w:t>Displays fields for entering invoice and reagent information.</w:t>
            </w:r>
          </w:p>
        </w:tc>
      </w:tr>
      <w:tr w:rsidR="00FB4E58" w14:paraId="55B29153" w14:textId="77777777">
        <w:tc>
          <w:tcPr>
            <w:tcW w:w="3240" w:type="dxa"/>
            <w:tcBorders>
              <w:top w:val="single" w:sz="4" w:space="0" w:color="auto"/>
              <w:left w:val="single" w:sz="4" w:space="0" w:color="auto"/>
              <w:bottom w:val="single" w:sz="4" w:space="0" w:color="auto"/>
              <w:right w:val="single" w:sz="4" w:space="0" w:color="auto"/>
            </w:tcBorders>
          </w:tcPr>
          <w:p w14:paraId="73A624FA" w14:textId="77777777" w:rsidR="00FB4E58" w:rsidRDefault="00FB4E58" w:rsidP="00A65805">
            <w:pPr>
              <w:pStyle w:val="TableTextNumbers"/>
            </w:pPr>
            <w:r>
              <w:t>Invoice Information:</w:t>
            </w:r>
          </w:p>
          <w:p w14:paraId="47E56E66" w14:textId="77777777" w:rsidR="00FB4E58" w:rsidRDefault="00FB4E58" w:rsidP="00A65805">
            <w:pPr>
              <w:pStyle w:val="TableTextNumbersContinued"/>
              <w:rPr>
                <w:b/>
                <w:bCs/>
              </w:rPr>
            </w:pPr>
          </w:p>
          <w:p w14:paraId="47C92854" w14:textId="77777777" w:rsidR="00FB4E58" w:rsidRDefault="00FB4E58" w:rsidP="00A65805">
            <w:pPr>
              <w:pStyle w:val="TableTextNumbersContinued"/>
            </w:pPr>
            <w:r>
              <w:t>Select or edit the date and time in the Date Received field.</w:t>
            </w:r>
          </w:p>
          <w:p w14:paraId="0B1D003A" w14:textId="77777777" w:rsidR="00FB4E58" w:rsidRDefault="00FB4E58" w:rsidP="00A65805">
            <w:pPr>
              <w:pStyle w:val="TableTextNumbersContinued"/>
            </w:pPr>
          </w:p>
          <w:p w14:paraId="729E5F26" w14:textId="77777777" w:rsidR="00FB4E58" w:rsidRDefault="00FB4E58" w:rsidP="00A65805">
            <w:pPr>
              <w:pStyle w:val="TableTextNumbersContinued"/>
            </w:pPr>
            <w:r>
              <w:t>Enter the invoice number in the Invoice Number field.</w:t>
            </w:r>
          </w:p>
          <w:p w14:paraId="40B529D8" w14:textId="77777777" w:rsidR="00FB4E58" w:rsidRDefault="00FB4E58" w:rsidP="00A65805">
            <w:pPr>
              <w:pStyle w:val="TableTextNumbersContinued"/>
            </w:pPr>
          </w:p>
          <w:p w14:paraId="011312D2" w14:textId="77777777" w:rsidR="00FB4E58" w:rsidRDefault="00FB4E58" w:rsidP="00A65805">
            <w:pPr>
              <w:pStyle w:val="TableTextNumbersContinued"/>
            </w:pPr>
            <w:r>
              <w:t>Enter the name of the manufacturer in the Manufacturer field, or select a name from the drop-down list.</w:t>
            </w:r>
          </w:p>
        </w:tc>
        <w:tc>
          <w:tcPr>
            <w:tcW w:w="6120" w:type="dxa"/>
            <w:tcBorders>
              <w:top w:val="single" w:sz="4" w:space="0" w:color="auto"/>
              <w:left w:val="single" w:sz="4" w:space="0" w:color="auto"/>
              <w:bottom w:val="single" w:sz="4" w:space="0" w:color="auto"/>
              <w:right w:val="single" w:sz="4" w:space="0" w:color="auto"/>
            </w:tcBorders>
          </w:tcPr>
          <w:p w14:paraId="53C5C37A" w14:textId="77777777" w:rsidR="00FB4E58" w:rsidRDefault="00FB4E58" w:rsidP="00A65805">
            <w:pPr>
              <w:pStyle w:val="TableText"/>
            </w:pPr>
          </w:p>
          <w:p w14:paraId="64E8FA35" w14:textId="77777777" w:rsidR="00FB4E58" w:rsidRDefault="00057948" w:rsidP="00A65805">
            <w:pPr>
              <w:pStyle w:val="TableText"/>
              <w:rPr>
                <w:b/>
                <w:bCs/>
                <w:szCs w:val="18"/>
              </w:rPr>
            </w:pPr>
            <w:r>
              <w:rPr>
                <w:b/>
                <w:bCs/>
                <w:noProof/>
              </w:rPr>
              <mc:AlternateContent>
                <mc:Choice Requires="wps">
                  <w:drawing>
                    <wp:anchor distT="0" distB="0" distL="114300" distR="114300" simplePos="0" relativeHeight="251681792" behindDoc="0" locked="0" layoutInCell="1" allowOverlap="1" wp14:anchorId="3CE9F367" wp14:editId="03AF1541">
                      <wp:simplePos x="0" y="0"/>
                      <wp:positionH relativeFrom="column">
                        <wp:posOffset>457200</wp:posOffset>
                      </wp:positionH>
                      <wp:positionV relativeFrom="paragraph">
                        <wp:posOffset>65405</wp:posOffset>
                      </wp:positionV>
                      <wp:extent cx="3200400" cy="0"/>
                      <wp:effectExtent l="9525" t="17780" r="9525" b="10795"/>
                      <wp:wrapNone/>
                      <wp:docPr id="538" name="Line 988" descr="P2749C8T3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2680C" id="Line 988" o:spid="_x0000_s1026" alt="&quot;&quot;"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Yx1EssMBAABuAwAADgAAAAAAAAAAAAAAAAAu&#10;AgAAZHJzL2Uyb0RvYy54bWxQSwECLQAUAAYACAAAACEAF08wEtsAAAAIAQAADwAAAAAAAAAAAAAA&#10;AAAdBAAAZHJzL2Rvd25yZXYueG1sUEsFBgAAAAAEAAQA8wAAACUFAAAAAA==&#10;" strokeweight="1.5pt"/>
                  </w:pict>
                </mc:Fallback>
              </mc:AlternateContent>
            </w:r>
            <w:r w:rsidR="00FB4E58">
              <w:rPr>
                <w:b/>
                <w:bCs/>
                <w:szCs w:val="18"/>
              </w:rPr>
              <w:t>NOTES</w:t>
            </w:r>
          </w:p>
          <w:p w14:paraId="58D3B538" w14:textId="77777777" w:rsidR="00FB4E58" w:rsidRDefault="00FB4E58" w:rsidP="00A65805">
            <w:pPr>
              <w:pStyle w:val="NotesText"/>
            </w:pPr>
          </w:p>
          <w:p w14:paraId="4CDC09BF" w14:textId="77777777" w:rsidR="00FB4E58" w:rsidRDefault="00FB4E58" w:rsidP="00A65805">
            <w:pPr>
              <w:pStyle w:val="NotesText"/>
            </w:pPr>
            <w:r w:rsidRPr="00FB4E58">
              <w:rPr>
                <w:rFonts w:cs="Arial"/>
                <w:vanish/>
                <w:szCs w:val="18"/>
              </w:rPr>
              <w:t xml:space="preserve">BR_81.10 </w:t>
            </w:r>
            <w:r>
              <w:t xml:space="preserve">More than one technologist at a time may process a large shipment of reagents; only one technologist at a time may process individual reagents in the shipment. </w:t>
            </w:r>
          </w:p>
          <w:p w14:paraId="306ECD83" w14:textId="77777777" w:rsidR="00FB4E58" w:rsidRDefault="00FB4E58" w:rsidP="00A65805">
            <w:pPr>
              <w:pStyle w:val="NotesText"/>
            </w:pPr>
          </w:p>
          <w:p w14:paraId="25CEEE5D" w14:textId="77777777" w:rsidR="00FB4E58" w:rsidRDefault="00FB4E58" w:rsidP="00A65805">
            <w:pPr>
              <w:pStyle w:val="NotesText"/>
            </w:pPr>
            <w:r w:rsidRPr="00FB4E58">
              <w:rPr>
                <w:rFonts w:cs="Arial"/>
                <w:vanish/>
                <w:szCs w:val="18"/>
              </w:rPr>
              <w:t xml:space="preserve">BR_20.01 </w:t>
            </w:r>
            <w:r>
              <w:t>The default date received is the current date and time. The user may edit it to a past date and time only.</w:t>
            </w:r>
          </w:p>
          <w:p w14:paraId="0E9B1C1D" w14:textId="77777777" w:rsidR="00FB4E58" w:rsidRDefault="00FB4E58" w:rsidP="00A65805">
            <w:pPr>
              <w:pStyle w:val="NotesText"/>
            </w:pPr>
          </w:p>
          <w:p w14:paraId="6F922C18" w14:textId="77777777" w:rsidR="00FB4E58" w:rsidRDefault="00FB4E58" w:rsidP="00A65805">
            <w:pPr>
              <w:pStyle w:val="NotesText"/>
            </w:pPr>
            <w:r w:rsidRPr="001017A2">
              <w:rPr>
                <w:rFonts w:cs="Arial"/>
                <w:vanish/>
                <w:szCs w:val="18"/>
              </w:rPr>
              <w:t xml:space="preserve">BR_81.07 </w:t>
            </w:r>
            <w:r>
              <w:t xml:space="preserve">When the reagent type and lot number were already entered for this invoice, VBECS </w:t>
            </w:r>
            <w:r>
              <w:rPr>
                <w:noProof/>
              </w:rPr>
              <w:t>warns that the user is</w:t>
            </w:r>
            <w:r>
              <w:t xml:space="preserve"> trying to enter </w:t>
            </w:r>
            <w:r w:rsidR="001017A2">
              <w:t xml:space="preserve">a </w:t>
            </w:r>
            <w:r>
              <w:t xml:space="preserve">reagent that was already logged into the system for this invoice. </w:t>
            </w:r>
            <w:r>
              <w:rPr>
                <w:b/>
              </w:rPr>
              <w:t>Yes</w:t>
            </w:r>
            <w:r>
              <w:t xml:space="preserve"> takes the user to the </w:t>
            </w:r>
            <w:r w:rsidR="00FA7E65">
              <w:t>“</w:t>
            </w:r>
            <w:r>
              <w:t>Update Reagent Inventory</w:t>
            </w:r>
            <w:r w:rsidR="00FA7E65">
              <w:t>”</w:t>
            </w:r>
            <w:r>
              <w:t xml:space="preserve"> screen where VBECS displays the reagent type and lot number for update. </w:t>
            </w:r>
            <w:r>
              <w:rPr>
                <w:b/>
              </w:rPr>
              <w:t>No</w:t>
            </w:r>
            <w:r>
              <w:t xml:space="preserve"> clears all fields on the screen, allowing the user to log in another reagent. </w:t>
            </w:r>
          </w:p>
        </w:tc>
      </w:tr>
      <w:tr w:rsidR="00FB4E58" w14:paraId="78DAC8C7" w14:textId="77777777">
        <w:tc>
          <w:tcPr>
            <w:tcW w:w="3240" w:type="dxa"/>
            <w:tcBorders>
              <w:top w:val="single" w:sz="4" w:space="0" w:color="auto"/>
              <w:left w:val="single" w:sz="4" w:space="0" w:color="auto"/>
              <w:bottom w:val="single" w:sz="4" w:space="0" w:color="auto"/>
              <w:right w:val="single" w:sz="4" w:space="0" w:color="auto"/>
            </w:tcBorders>
          </w:tcPr>
          <w:p w14:paraId="3E7DF9B0" w14:textId="77777777" w:rsidR="00FB4E58" w:rsidRDefault="00FB4E58" w:rsidP="00A65805">
            <w:pPr>
              <w:pStyle w:val="TableTextNumbers"/>
            </w:pPr>
            <w:r>
              <w:t>Reagent Information:</w:t>
            </w:r>
          </w:p>
          <w:p w14:paraId="01E0BB4B" w14:textId="77777777" w:rsidR="00FB4E58" w:rsidRDefault="00FB4E58" w:rsidP="00A65805">
            <w:pPr>
              <w:pStyle w:val="TableTextNumbersContinued"/>
              <w:rPr>
                <w:b/>
                <w:bCs/>
              </w:rPr>
            </w:pPr>
          </w:p>
          <w:p w14:paraId="257DE45F" w14:textId="77777777" w:rsidR="00FB4E58" w:rsidRDefault="00FB4E58" w:rsidP="00A65805">
            <w:pPr>
              <w:pStyle w:val="TableTextNumbersContinued"/>
            </w:pPr>
            <w:r>
              <w:t>Enter the reagent name and reagent type in the Manufacturer Reagent Name and Reagent Type fields, or select from the drop-down lists.</w:t>
            </w:r>
          </w:p>
          <w:p w14:paraId="69AEC5DC" w14:textId="77777777" w:rsidR="00FB4E58" w:rsidRDefault="00FB4E58" w:rsidP="00A65805">
            <w:pPr>
              <w:pStyle w:val="TableTextNumbersContinued"/>
            </w:pPr>
          </w:p>
          <w:p w14:paraId="70E98659" w14:textId="77777777" w:rsidR="00FB4E58" w:rsidRDefault="00FB4E58" w:rsidP="00A65805">
            <w:pPr>
              <w:pStyle w:val="TableTextNumbersContinued"/>
            </w:pPr>
            <w:r>
              <w:t>Enter the lot number in the Lot Number field.</w:t>
            </w:r>
          </w:p>
          <w:p w14:paraId="49D40715" w14:textId="77777777" w:rsidR="00FB4E58" w:rsidRDefault="00FB4E58" w:rsidP="00A65805">
            <w:pPr>
              <w:pStyle w:val="TableTextNumbersContinued"/>
            </w:pPr>
          </w:p>
          <w:p w14:paraId="6620891E" w14:textId="77777777" w:rsidR="00FB4E58" w:rsidRDefault="00FB4E58" w:rsidP="00A65805">
            <w:pPr>
              <w:pStyle w:val="TableTextNumbersContinued"/>
            </w:pPr>
            <w:r>
              <w:t>Select or edit the date and time in the Lot Expiration Date field.</w:t>
            </w:r>
          </w:p>
          <w:p w14:paraId="09393199" w14:textId="77777777" w:rsidR="00FB4E58" w:rsidRDefault="00FB4E58" w:rsidP="00A65805">
            <w:pPr>
              <w:pStyle w:val="TableTextNumbersContinued"/>
            </w:pPr>
          </w:p>
          <w:p w14:paraId="72306B0F" w14:textId="77777777" w:rsidR="00FB4E58" w:rsidRDefault="00FB4E58" w:rsidP="00A65805">
            <w:pPr>
              <w:pStyle w:val="TableTextNumbersContinued"/>
            </w:pPr>
            <w:r>
              <w:t>Enter (or select) a quantity (1–999) in the Vials Received per Lot Number field.</w:t>
            </w:r>
          </w:p>
        </w:tc>
        <w:tc>
          <w:tcPr>
            <w:tcW w:w="6120" w:type="dxa"/>
            <w:tcBorders>
              <w:top w:val="single" w:sz="4" w:space="0" w:color="auto"/>
              <w:left w:val="single" w:sz="4" w:space="0" w:color="auto"/>
              <w:bottom w:val="single" w:sz="4" w:space="0" w:color="auto"/>
              <w:right w:val="single" w:sz="4" w:space="0" w:color="auto"/>
            </w:tcBorders>
          </w:tcPr>
          <w:p w14:paraId="46880C4B" w14:textId="77777777" w:rsidR="00FB4E58" w:rsidRDefault="00FB4E58" w:rsidP="00A65805">
            <w:pPr>
              <w:pStyle w:val="TableText"/>
              <w:rPr>
                <w:b/>
                <w:bCs/>
                <w:szCs w:val="18"/>
              </w:rPr>
            </w:pPr>
          </w:p>
          <w:p w14:paraId="6C4C7E2C" w14:textId="77777777" w:rsidR="00FB4E58" w:rsidRDefault="00057948" w:rsidP="00A65805">
            <w:pPr>
              <w:pStyle w:val="TableText"/>
              <w:rPr>
                <w:b/>
                <w:bCs/>
                <w:szCs w:val="18"/>
              </w:rPr>
            </w:pPr>
            <w:r>
              <w:rPr>
                <w:b/>
                <w:bCs/>
                <w:noProof/>
              </w:rPr>
              <mc:AlternateContent>
                <mc:Choice Requires="wps">
                  <w:drawing>
                    <wp:anchor distT="0" distB="0" distL="114300" distR="114300" simplePos="0" relativeHeight="251683840" behindDoc="0" locked="0" layoutInCell="1" allowOverlap="1" wp14:anchorId="7DCEC23A" wp14:editId="6ECF0AF8">
                      <wp:simplePos x="0" y="0"/>
                      <wp:positionH relativeFrom="column">
                        <wp:posOffset>457200</wp:posOffset>
                      </wp:positionH>
                      <wp:positionV relativeFrom="paragraph">
                        <wp:posOffset>65405</wp:posOffset>
                      </wp:positionV>
                      <wp:extent cx="3200400" cy="0"/>
                      <wp:effectExtent l="9525" t="17780" r="9525" b="10795"/>
                      <wp:wrapNone/>
                      <wp:docPr id="537" name="Line 990" descr="P2767C10T3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96BB6" id="Line 990" o:spid="_x0000_s1026" alt="&quot;&quot;"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EWHvxrEAQAAbgMAAA4AAAAAAAAAAAAAAAAA&#10;LgIAAGRycy9lMm9Eb2MueG1sUEsBAi0AFAAGAAgAAAAhABdPMBLbAAAACAEAAA8AAAAAAAAAAAAA&#10;AAAAHgQAAGRycy9kb3ducmV2LnhtbFBLBQYAAAAABAAEAPMAAAAmBQAAAAA=&#10;" strokeweight="1.5pt"/>
                  </w:pict>
                </mc:Fallback>
              </mc:AlternateContent>
            </w:r>
            <w:r w:rsidR="00FB4E58">
              <w:rPr>
                <w:b/>
                <w:bCs/>
                <w:szCs w:val="18"/>
              </w:rPr>
              <w:t>NOTES</w:t>
            </w:r>
          </w:p>
          <w:p w14:paraId="4D915186" w14:textId="77777777" w:rsidR="00FB4E58" w:rsidRDefault="00FB4E58" w:rsidP="00A65805">
            <w:pPr>
              <w:pStyle w:val="NotesText"/>
            </w:pPr>
          </w:p>
          <w:p w14:paraId="5AF15F1D" w14:textId="77777777" w:rsidR="00FB4E58" w:rsidRDefault="00FB4E58" w:rsidP="00F95BCA">
            <w:pPr>
              <w:pStyle w:val="NotesText"/>
            </w:pPr>
            <w:r>
              <w:t>The default lot expiration date is one minute before midnig</w:t>
            </w:r>
            <w:r w:rsidR="00F95BCA">
              <w:t>ht (23:59) of the current date.</w:t>
            </w:r>
          </w:p>
        </w:tc>
      </w:tr>
      <w:tr w:rsidR="00FB4E58" w14:paraId="6F903EB3" w14:textId="77777777">
        <w:tc>
          <w:tcPr>
            <w:tcW w:w="3240" w:type="dxa"/>
            <w:tcBorders>
              <w:top w:val="single" w:sz="4" w:space="0" w:color="auto"/>
              <w:left w:val="single" w:sz="4" w:space="0" w:color="auto"/>
              <w:bottom w:val="single" w:sz="4" w:space="0" w:color="auto"/>
              <w:right w:val="single" w:sz="4" w:space="0" w:color="auto"/>
            </w:tcBorders>
          </w:tcPr>
          <w:p w14:paraId="7C55740C" w14:textId="77777777" w:rsidR="00FB4E58" w:rsidRDefault="00FB4E58" w:rsidP="00A65805">
            <w:pPr>
              <w:pStyle w:val="TableTextNumbers"/>
            </w:pPr>
            <w:r>
              <w:t>Visual Inspection Information:</w:t>
            </w:r>
          </w:p>
          <w:p w14:paraId="7551F701" w14:textId="77777777" w:rsidR="00FB4E58" w:rsidRDefault="00FB4E58" w:rsidP="00A65805">
            <w:pPr>
              <w:pStyle w:val="TableTextNumbersContinued"/>
              <w:rPr>
                <w:b/>
                <w:bCs/>
              </w:rPr>
            </w:pPr>
          </w:p>
          <w:p w14:paraId="647DCAEF" w14:textId="77777777" w:rsidR="00FB4E58" w:rsidRDefault="00FB4E58" w:rsidP="00A65805">
            <w:pPr>
              <w:pStyle w:val="TableTextNumbersContinued"/>
            </w:pPr>
            <w:r>
              <w:t xml:space="preserve">Click the </w:t>
            </w:r>
            <w:r>
              <w:rPr>
                <w:b/>
              </w:rPr>
              <w:t xml:space="preserve">Satisfactory </w:t>
            </w:r>
            <w:r w:rsidRPr="00BF2E41">
              <w:t>radio button</w:t>
            </w:r>
            <w:r>
              <w:t xml:space="preserve">, or click the </w:t>
            </w:r>
            <w:r>
              <w:rPr>
                <w:b/>
              </w:rPr>
              <w:t xml:space="preserve">Unsatisfactory </w:t>
            </w:r>
            <w:r w:rsidRPr="00BF2E41">
              <w:t>radio button</w:t>
            </w:r>
            <w:r>
              <w:t xml:space="preserve"> and select a comment from the drop-down list in the Comment field.</w:t>
            </w:r>
          </w:p>
          <w:p w14:paraId="48DF307B" w14:textId="77777777" w:rsidR="00FB4E58" w:rsidRDefault="00FB4E58" w:rsidP="00A65805">
            <w:pPr>
              <w:pStyle w:val="TableTextNumbersContinued"/>
            </w:pPr>
          </w:p>
          <w:p w14:paraId="3553A99D" w14:textId="77777777" w:rsidR="00FB4E58" w:rsidRDefault="00FB4E58" w:rsidP="00A65805">
            <w:pPr>
              <w:pStyle w:val="TableTextNumbersContinued"/>
            </w:pPr>
            <w:r>
              <w:t xml:space="preserve">Click </w:t>
            </w:r>
            <w:r>
              <w:rPr>
                <w:b/>
              </w:rPr>
              <w:t>Add</w:t>
            </w:r>
            <w:r>
              <w:t xml:space="preserve"> to add the reagents to the inventory list.</w:t>
            </w:r>
          </w:p>
        </w:tc>
        <w:tc>
          <w:tcPr>
            <w:tcW w:w="6120" w:type="dxa"/>
            <w:tcBorders>
              <w:top w:val="single" w:sz="4" w:space="0" w:color="auto"/>
              <w:left w:val="single" w:sz="4" w:space="0" w:color="auto"/>
              <w:bottom w:val="single" w:sz="4" w:space="0" w:color="auto"/>
              <w:right w:val="single" w:sz="4" w:space="0" w:color="auto"/>
            </w:tcBorders>
          </w:tcPr>
          <w:p w14:paraId="659EB816" w14:textId="77777777" w:rsidR="00FB4E58" w:rsidRDefault="00FB4E58" w:rsidP="00A65805">
            <w:pPr>
              <w:pStyle w:val="TableText"/>
              <w:rPr>
                <w:b/>
                <w:bCs/>
                <w:szCs w:val="18"/>
              </w:rPr>
            </w:pPr>
          </w:p>
          <w:p w14:paraId="15090BD9" w14:textId="77777777" w:rsidR="00FB4E58" w:rsidRDefault="00057948" w:rsidP="00A65805">
            <w:pPr>
              <w:pStyle w:val="TableText"/>
              <w:rPr>
                <w:b/>
                <w:bCs/>
                <w:szCs w:val="18"/>
              </w:rPr>
            </w:pPr>
            <w:r>
              <w:rPr>
                <w:b/>
                <w:bCs/>
                <w:noProof/>
              </w:rPr>
              <mc:AlternateContent>
                <mc:Choice Requires="wps">
                  <w:drawing>
                    <wp:anchor distT="0" distB="0" distL="114300" distR="114300" simplePos="0" relativeHeight="251682816" behindDoc="0" locked="0" layoutInCell="1" allowOverlap="1" wp14:anchorId="53424006" wp14:editId="17E4BA51">
                      <wp:simplePos x="0" y="0"/>
                      <wp:positionH relativeFrom="column">
                        <wp:posOffset>457200</wp:posOffset>
                      </wp:positionH>
                      <wp:positionV relativeFrom="paragraph">
                        <wp:posOffset>65405</wp:posOffset>
                      </wp:positionV>
                      <wp:extent cx="3200400" cy="0"/>
                      <wp:effectExtent l="9525" t="17780" r="9525" b="10795"/>
                      <wp:wrapNone/>
                      <wp:docPr id="536" name="Line 989" descr="P2777C12T3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E88FE" id="Line 989" o:spid="_x0000_s1026" alt="&quot;&quot;"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HDb4fMMBAABuAwAADgAAAAAAAAAAAAAAAAAu&#10;AgAAZHJzL2Uyb0RvYy54bWxQSwECLQAUAAYACAAAACEAF08wEtsAAAAIAQAADwAAAAAAAAAAAAAA&#10;AAAdBAAAZHJzL2Rvd25yZXYueG1sUEsFBgAAAAAEAAQA8wAAACUFAAAAAA==&#10;" strokeweight="1.5pt"/>
                  </w:pict>
                </mc:Fallback>
              </mc:AlternateContent>
            </w:r>
            <w:r w:rsidR="00FB4E58">
              <w:rPr>
                <w:b/>
                <w:bCs/>
                <w:szCs w:val="18"/>
              </w:rPr>
              <w:t>NOTES</w:t>
            </w:r>
          </w:p>
          <w:p w14:paraId="17182DDF" w14:textId="77777777" w:rsidR="00FB4E58" w:rsidRDefault="00FB4E58" w:rsidP="00A65805">
            <w:pPr>
              <w:pStyle w:val="NotesText"/>
            </w:pPr>
          </w:p>
          <w:p w14:paraId="15A473AB" w14:textId="77777777" w:rsidR="00FB4E58" w:rsidRDefault="00FB4E58" w:rsidP="00A65805">
            <w:pPr>
              <w:pStyle w:val="NotesText"/>
            </w:pPr>
            <w:r>
              <w:t>Satisfactory reagent</w:t>
            </w:r>
            <w:r w:rsidR="001017A2">
              <w:t>s are</w:t>
            </w:r>
            <w:r>
              <w:t xml:space="preserve"> available for later selection, unsatisfactory reagent</w:t>
            </w:r>
            <w:r w:rsidR="001017A2">
              <w:t>s</w:t>
            </w:r>
            <w:r>
              <w:t xml:space="preserve"> are not.</w:t>
            </w:r>
          </w:p>
          <w:p w14:paraId="60F62EAD" w14:textId="77777777" w:rsidR="00FB4E58" w:rsidRDefault="00FB4E58" w:rsidP="00A65805">
            <w:pPr>
              <w:pStyle w:val="NotesText"/>
            </w:pPr>
          </w:p>
          <w:p w14:paraId="5F698E98" w14:textId="77777777" w:rsidR="00FB4E58" w:rsidRDefault="00FB4E58" w:rsidP="00A65805">
            <w:pPr>
              <w:pStyle w:val="NotesText"/>
            </w:pPr>
            <w:r>
              <w:t>When a user selects Other from the drop-down list in the Comment field, entry of additional text in the Details field is required.</w:t>
            </w:r>
          </w:p>
        </w:tc>
      </w:tr>
      <w:tr w:rsidR="00FB4E58" w14:paraId="56B42877" w14:textId="77777777" w:rsidTr="007E500E">
        <w:trPr>
          <w:cantSplit/>
        </w:trPr>
        <w:tc>
          <w:tcPr>
            <w:tcW w:w="3240" w:type="dxa"/>
            <w:tcBorders>
              <w:top w:val="single" w:sz="4" w:space="0" w:color="auto"/>
              <w:left w:val="single" w:sz="4" w:space="0" w:color="auto"/>
              <w:bottom w:val="single" w:sz="4" w:space="0" w:color="auto"/>
              <w:right w:val="single" w:sz="4" w:space="0" w:color="auto"/>
            </w:tcBorders>
          </w:tcPr>
          <w:p w14:paraId="0BC23EEF" w14:textId="77777777" w:rsidR="00FB4E58" w:rsidRDefault="00FB4E58" w:rsidP="00A65805">
            <w:pPr>
              <w:pStyle w:val="TableTextNumbers"/>
            </w:pPr>
            <w:r>
              <w:lastRenderedPageBreak/>
              <w:t>Repeat Steps 3–5 to log in more supplies, as desired.</w:t>
            </w:r>
          </w:p>
        </w:tc>
        <w:tc>
          <w:tcPr>
            <w:tcW w:w="6120" w:type="dxa"/>
            <w:tcBorders>
              <w:top w:val="single" w:sz="4" w:space="0" w:color="auto"/>
              <w:left w:val="single" w:sz="4" w:space="0" w:color="auto"/>
              <w:bottom w:val="single" w:sz="4" w:space="0" w:color="auto"/>
              <w:right w:val="single" w:sz="4" w:space="0" w:color="auto"/>
            </w:tcBorders>
          </w:tcPr>
          <w:p w14:paraId="35F50B80" w14:textId="77777777" w:rsidR="00FB4E58" w:rsidRDefault="00FB4E58" w:rsidP="00A65805">
            <w:pPr>
              <w:pStyle w:val="TableText"/>
              <w:rPr>
                <w:b/>
                <w:bCs/>
                <w:szCs w:val="18"/>
              </w:rPr>
            </w:pPr>
          </w:p>
          <w:p w14:paraId="14C6FB94" w14:textId="77777777" w:rsidR="00FB4E58" w:rsidRDefault="00057948" w:rsidP="00A65805">
            <w:pPr>
              <w:pStyle w:val="TableText"/>
              <w:rPr>
                <w:b/>
                <w:bCs/>
                <w:szCs w:val="18"/>
              </w:rPr>
            </w:pPr>
            <w:r>
              <w:rPr>
                <w:b/>
                <w:bCs/>
                <w:noProof/>
              </w:rPr>
              <mc:AlternateContent>
                <mc:Choice Requires="wps">
                  <w:drawing>
                    <wp:anchor distT="0" distB="0" distL="114300" distR="114300" simplePos="0" relativeHeight="251684864" behindDoc="0" locked="0" layoutInCell="1" allowOverlap="1" wp14:anchorId="01CAD1C0" wp14:editId="3CCC7065">
                      <wp:simplePos x="0" y="0"/>
                      <wp:positionH relativeFrom="column">
                        <wp:posOffset>457200</wp:posOffset>
                      </wp:positionH>
                      <wp:positionV relativeFrom="paragraph">
                        <wp:posOffset>65405</wp:posOffset>
                      </wp:positionV>
                      <wp:extent cx="3200400" cy="0"/>
                      <wp:effectExtent l="9525" t="17780" r="9525" b="10795"/>
                      <wp:wrapNone/>
                      <wp:docPr id="535" name="Line 991" descr="P2785C14T3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2A3CD" id="Line 991" o:spid="_x0000_s1026" alt="&quot;&quot;"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A9Dn93wgEAAG4DAAAOAAAAAAAAAAAAAAAAAC4C&#10;AABkcnMvZTJvRG9jLnhtbFBLAQItABQABgAIAAAAIQAXTzAS2wAAAAgBAAAPAAAAAAAAAAAAAAAA&#10;ABwEAABkcnMvZG93bnJldi54bWxQSwUGAAAAAAQABADzAAAAJAUAAAAA&#10;" strokeweight="1.5pt"/>
                  </w:pict>
                </mc:Fallback>
              </mc:AlternateContent>
            </w:r>
            <w:r w:rsidR="00FB4E58">
              <w:rPr>
                <w:b/>
                <w:bCs/>
                <w:szCs w:val="18"/>
              </w:rPr>
              <w:t>NOTES</w:t>
            </w:r>
          </w:p>
          <w:p w14:paraId="30AE1A95" w14:textId="77777777" w:rsidR="00FB4E58" w:rsidRDefault="00FB4E58" w:rsidP="00A65805">
            <w:pPr>
              <w:pStyle w:val="NotesText"/>
            </w:pPr>
          </w:p>
          <w:p w14:paraId="223E9A5A" w14:textId="77777777" w:rsidR="00FB4E58" w:rsidRDefault="00FB4E58" w:rsidP="00A65805">
            <w:pPr>
              <w:pStyle w:val="NotesText"/>
            </w:pPr>
            <w:r>
              <w:rPr>
                <w:rFonts w:cs="Arial"/>
                <w:vanish/>
              </w:rPr>
              <w:t xml:space="preserve">BR_81.03 </w:t>
            </w:r>
            <w:r>
              <w:t xml:space="preserve">Click </w:t>
            </w:r>
            <w:r>
              <w:rPr>
                <w:b/>
              </w:rPr>
              <w:t>Clear</w:t>
            </w:r>
            <w:r>
              <w:t xml:space="preserve"> to clear all but the Invoice Number, Date Received, Manufacturer, and Lot Expiration Date fields.</w:t>
            </w:r>
          </w:p>
        </w:tc>
      </w:tr>
      <w:tr w:rsidR="00FB4E58" w14:paraId="12ADDBE2" w14:textId="77777777">
        <w:tc>
          <w:tcPr>
            <w:tcW w:w="3240" w:type="dxa"/>
            <w:tcBorders>
              <w:top w:val="single" w:sz="4" w:space="0" w:color="auto"/>
              <w:left w:val="single" w:sz="4" w:space="0" w:color="auto"/>
              <w:bottom w:val="single" w:sz="4" w:space="0" w:color="auto"/>
              <w:right w:val="single" w:sz="4" w:space="0" w:color="auto"/>
            </w:tcBorders>
          </w:tcPr>
          <w:p w14:paraId="588138CB" w14:textId="77777777" w:rsidR="00FB4E58" w:rsidRDefault="00FB4E58" w:rsidP="00A65805">
            <w:pPr>
              <w:pStyle w:val="TableTextNumbers"/>
            </w:pPr>
            <w:r>
              <w:t xml:space="preserve">Click </w:t>
            </w:r>
            <w:r>
              <w:rPr>
                <w:b/>
              </w:rPr>
              <w:t>OK</w:t>
            </w:r>
            <w:r>
              <w:t xml:space="preserve"> to save.</w:t>
            </w:r>
          </w:p>
          <w:p w14:paraId="706C9C3C" w14:textId="77777777" w:rsidR="00FB4E58" w:rsidRDefault="00FB4E58" w:rsidP="00A65805">
            <w:pPr>
              <w:pStyle w:val="TableTextNumbersContinued"/>
              <w:rPr>
                <w:b/>
                <w:bCs/>
              </w:rPr>
            </w:pPr>
          </w:p>
          <w:p w14:paraId="11B2977F" w14:textId="77777777" w:rsidR="00FB4E58" w:rsidRDefault="00FB4E58" w:rsidP="00A65805">
            <w:pPr>
              <w:pStyle w:val="TableTextNumbersContinued"/>
              <w:rPr>
                <w:b/>
                <w:bCs/>
              </w:rPr>
            </w:pPr>
            <w:r>
              <w:rPr>
                <w:bCs/>
              </w:rPr>
              <w:t>Clic</w:t>
            </w:r>
            <w:r>
              <w:t xml:space="preserve">k </w:t>
            </w:r>
            <w:r>
              <w:rPr>
                <w:b/>
              </w:rPr>
              <w:t>Yes</w:t>
            </w:r>
            <w:r>
              <w:t xml:space="preserve"> to confirm the save and exit</w:t>
            </w:r>
            <w:r>
              <w:rPr>
                <w:bCs/>
              </w:rPr>
              <w:t>.</w:t>
            </w:r>
            <w:r>
              <w:rPr>
                <w:b/>
                <w:bCs/>
              </w:rPr>
              <w:t xml:space="preserve">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0B6A939E" w14:textId="77777777" w:rsidR="00FB4E58" w:rsidRDefault="00FB4E58" w:rsidP="00A65805">
            <w:pPr>
              <w:pStyle w:val="TableTextBullet"/>
            </w:pPr>
            <w:r>
              <w:t>Requests confirmation to update the database.</w:t>
            </w:r>
          </w:p>
        </w:tc>
      </w:tr>
    </w:tbl>
    <w:p w14:paraId="32D92B85" w14:textId="77777777" w:rsidR="00466CF2" w:rsidRDefault="00466CF2" w:rsidP="00613D46">
      <w:pPr>
        <w:pStyle w:val="Heading4"/>
      </w:pPr>
    </w:p>
    <w:p w14:paraId="50674C8E" w14:textId="77777777" w:rsidR="00613D46" w:rsidRDefault="00466CF2" w:rsidP="00613D46">
      <w:pPr>
        <w:pStyle w:val="Heading4"/>
      </w:pPr>
      <w:r>
        <w:br w:type="page"/>
      </w:r>
      <w:r w:rsidR="00613D46">
        <w:lastRenderedPageBreak/>
        <w:t>Update Reagent Inventory</w:t>
      </w:r>
      <w:r w:rsidR="00613D46">
        <w:fldChar w:fldCharType="begin"/>
      </w:r>
      <w:r w:rsidR="00613D46">
        <w:instrText xml:space="preserve"> XE </w:instrText>
      </w:r>
      <w:r w:rsidR="00FA7E65">
        <w:instrText>“</w:instrText>
      </w:r>
      <w:r w:rsidR="00613D46">
        <w:instrText>Update Reagent Inventory</w:instrText>
      </w:r>
      <w:r w:rsidR="00FA7E65">
        <w:instrText>”</w:instrText>
      </w:r>
      <w:r w:rsidR="00613D46">
        <w:instrText xml:space="preserve"> </w:instrText>
      </w:r>
      <w:r w:rsidR="00613D46">
        <w:fldChar w:fldCharType="end"/>
      </w:r>
      <w:r w:rsidR="00613D46">
        <w:t xml:space="preserve"> </w:t>
      </w:r>
    </w:p>
    <w:p w14:paraId="25F0C91E" w14:textId="77777777" w:rsidR="002A21AE" w:rsidRDefault="00C461C7" w:rsidP="007F12F1">
      <w:pPr>
        <w:pStyle w:val="BodyText"/>
      </w:pPr>
      <w:r>
        <w:t>The</w:t>
      </w:r>
      <w:r w:rsidR="00613D46">
        <w:t xml:space="preserve"> user change</w:t>
      </w:r>
      <w:r w:rsidR="003B2E74">
        <w:t>s</w:t>
      </w:r>
      <w:r w:rsidR="00613D46">
        <w:t xml:space="preserve"> the number of available items in the reagent inventory.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613D46" w14:paraId="6735F65C" w14:textId="77777777">
        <w:trPr>
          <w:cantSplit/>
          <w:tblHeader/>
        </w:trPr>
        <w:tc>
          <w:tcPr>
            <w:tcW w:w="3240" w:type="dxa"/>
            <w:shd w:val="pct30" w:color="auto" w:fill="FFFFFF"/>
            <w:vAlign w:val="bottom"/>
          </w:tcPr>
          <w:p w14:paraId="21603C19" w14:textId="77777777" w:rsidR="00613D46" w:rsidRDefault="00613D46" w:rsidP="00A65805">
            <w:pPr>
              <w:pStyle w:val="TableText"/>
              <w:rPr>
                <w:b/>
              </w:rPr>
            </w:pPr>
            <w:r>
              <w:rPr>
                <w:b/>
              </w:rPr>
              <w:t>User Action</w:t>
            </w:r>
          </w:p>
        </w:tc>
        <w:tc>
          <w:tcPr>
            <w:tcW w:w="6120" w:type="dxa"/>
            <w:shd w:val="pct30" w:color="auto" w:fill="FFFFFF"/>
            <w:vAlign w:val="bottom"/>
          </w:tcPr>
          <w:p w14:paraId="03EE4767" w14:textId="77777777" w:rsidR="00613D46" w:rsidRDefault="00613D46" w:rsidP="00A65805">
            <w:pPr>
              <w:pStyle w:val="TableText"/>
              <w:rPr>
                <w:b/>
              </w:rPr>
            </w:pPr>
            <w:r>
              <w:rPr>
                <w:b/>
              </w:rPr>
              <w:t>VBECS</w:t>
            </w:r>
          </w:p>
        </w:tc>
      </w:tr>
      <w:tr w:rsidR="00613D46" w14:paraId="2A31BA5A" w14:textId="77777777">
        <w:tc>
          <w:tcPr>
            <w:tcW w:w="3240" w:type="dxa"/>
            <w:tcBorders>
              <w:top w:val="single" w:sz="4" w:space="0" w:color="auto"/>
              <w:left w:val="single" w:sz="4" w:space="0" w:color="auto"/>
              <w:bottom w:val="single" w:sz="4" w:space="0" w:color="auto"/>
              <w:right w:val="single" w:sz="4" w:space="0" w:color="auto"/>
            </w:tcBorders>
          </w:tcPr>
          <w:p w14:paraId="1C390D40" w14:textId="77777777" w:rsidR="00613D46" w:rsidRDefault="00613D46" w:rsidP="002244F1">
            <w:pPr>
              <w:pStyle w:val="TableTextNumbers"/>
            </w:pPr>
            <w:r>
              <w:t xml:space="preserve">Select </w:t>
            </w:r>
            <w:r>
              <w:rPr>
                <w:b/>
              </w:rPr>
              <w:t>Reagents</w:t>
            </w:r>
            <w:r>
              <w:t xml:space="preserve"> from the main menu.</w:t>
            </w:r>
          </w:p>
        </w:tc>
        <w:tc>
          <w:tcPr>
            <w:tcW w:w="6120" w:type="dxa"/>
            <w:tcBorders>
              <w:top w:val="single" w:sz="4" w:space="0" w:color="auto"/>
              <w:left w:val="single" w:sz="4" w:space="0" w:color="auto"/>
              <w:bottom w:val="single" w:sz="4" w:space="0" w:color="auto"/>
              <w:right w:val="single" w:sz="4" w:space="0" w:color="auto"/>
            </w:tcBorders>
          </w:tcPr>
          <w:p w14:paraId="53BE2452" w14:textId="77777777" w:rsidR="00613D46" w:rsidRDefault="00613D46" w:rsidP="00A65805">
            <w:pPr>
              <w:pStyle w:val="TableTextBullet"/>
            </w:pPr>
            <w:r>
              <w:t xml:space="preserve">Displays options for Quality Control functions. </w:t>
            </w:r>
          </w:p>
          <w:p w14:paraId="40842FFC" w14:textId="77777777" w:rsidR="00613D46" w:rsidRDefault="00613D46" w:rsidP="00A65805">
            <w:pPr>
              <w:pStyle w:val="TableTextBullet"/>
            </w:pPr>
            <w:r>
              <w:t>Displays options for processing reagents.</w:t>
            </w:r>
          </w:p>
        </w:tc>
      </w:tr>
      <w:tr w:rsidR="00613D46" w14:paraId="3731B081" w14:textId="77777777">
        <w:tc>
          <w:tcPr>
            <w:tcW w:w="3240" w:type="dxa"/>
          </w:tcPr>
          <w:p w14:paraId="50C6E670" w14:textId="77777777" w:rsidR="00613D46" w:rsidRDefault="00613D46" w:rsidP="00AB00F0">
            <w:pPr>
              <w:pStyle w:val="TableTextNumbers"/>
            </w:pPr>
            <w:r>
              <w:t xml:space="preserve">Select </w:t>
            </w:r>
            <w:r>
              <w:rPr>
                <w:b/>
              </w:rPr>
              <w:t>Update Inventory</w:t>
            </w:r>
            <w:r>
              <w:t>.</w:t>
            </w:r>
          </w:p>
        </w:tc>
        <w:tc>
          <w:tcPr>
            <w:tcW w:w="6120" w:type="dxa"/>
          </w:tcPr>
          <w:p w14:paraId="7983250F" w14:textId="77777777" w:rsidR="00613D46" w:rsidRDefault="00613D46" w:rsidP="00A65805">
            <w:pPr>
              <w:pStyle w:val="TableTextBullet"/>
            </w:pPr>
            <w:r>
              <w:t>Lists existing satisfactory reagents by default.</w:t>
            </w:r>
          </w:p>
        </w:tc>
      </w:tr>
      <w:tr w:rsidR="00613D46" w14:paraId="4EBCA6C7" w14:textId="77777777">
        <w:tc>
          <w:tcPr>
            <w:tcW w:w="3240" w:type="dxa"/>
            <w:tcBorders>
              <w:top w:val="single" w:sz="4" w:space="0" w:color="auto"/>
              <w:left w:val="single" w:sz="4" w:space="0" w:color="auto"/>
              <w:bottom w:val="single" w:sz="4" w:space="0" w:color="auto"/>
              <w:right w:val="single" w:sz="4" w:space="0" w:color="auto"/>
            </w:tcBorders>
          </w:tcPr>
          <w:p w14:paraId="084D08AD" w14:textId="77777777" w:rsidR="00613D46" w:rsidRDefault="00613D46" w:rsidP="00A65805">
            <w:pPr>
              <w:pStyle w:val="TableTextNumbers"/>
            </w:pPr>
            <w:r>
              <w:t>Select a reagent to edit.</w:t>
            </w:r>
          </w:p>
          <w:p w14:paraId="0E529716" w14:textId="77777777" w:rsidR="00613D46" w:rsidRDefault="00613D46" w:rsidP="00A65805">
            <w:pPr>
              <w:pStyle w:val="TableTextNumbersContinued"/>
            </w:pPr>
          </w:p>
          <w:p w14:paraId="117AF05A" w14:textId="77777777" w:rsidR="00613D46" w:rsidRDefault="00613D46" w:rsidP="00A65805">
            <w:pPr>
              <w:pStyle w:val="TableTextNumbersContinued"/>
            </w:pPr>
            <w:r>
              <w:t xml:space="preserve">To view </w:t>
            </w:r>
            <w:r w:rsidR="00E516F6">
              <w:t>reagents</w:t>
            </w:r>
            <w:r>
              <w:t xml:space="preserve"> with a specific lot number, enter the lot number in the Lot # field and click the </w:t>
            </w:r>
            <w:r>
              <w:rPr>
                <w:b/>
              </w:rPr>
              <w:t>magnifying glass</w:t>
            </w:r>
            <w:r>
              <w:t>.</w:t>
            </w:r>
          </w:p>
        </w:tc>
        <w:tc>
          <w:tcPr>
            <w:tcW w:w="6120" w:type="dxa"/>
            <w:tcBorders>
              <w:top w:val="single" w:sz="4" w:space="0" w:color="auto"/>
              <w:left w:val="single" w:sz="4" w:space="0" w:color="auto"/>
              <w:bottom w:val="single" w:sz="4" w:space="0" w:color="auto"/>
              <w:right w:val="single" w:sz="4" w:space="0" w:color="auto"/>
            </w:tcBorders>
          </w:tcPr>
          <w:p w14:paraId="34635981" w14:textId="77777777" w:rsidR="00613D46" w:rsidRDefault="00613D46" w:rsidP="00A65805">
            <w:pPr>
              <w:pStyle w:val="TableText"/>
            </w:pPr>
          </w:p>
          <w:p w14:paraId="626D752A" w14:textId="77777777" w:rsidR="00613D46" w:rsidRDefault="00057948" w:rsidP="00A65805">
            <w:pPr>
              <w:pStyle w:val="TableText"/>
              <w:rPr>
                <w:b/>
                <w:bCs/>
                <w:szCs w:val="18"/>
              </w:rPr>
            </w:pPr>
            <w:r>
              <w:rPr>
                <w:b/>
                <w:bCs/>
                <w:noProof/>
              </w:rPr>
              <mc:AlternateContent>
                <mc:Choice Requires="wps">
                  <w:drawing>
                    <wp:anchor distT="0" distB="0" distL="114300" distR="114300" simplePos="0" relativeHeight="251686912" behindDoc="0" locked="0" layoutInCell="1" allowOverlap="1" wp14:anchorId="35D2834C" wp14:editId="0A00AAA9">
                      <wp:simplePos x="0" y="0"/>
                      <wp:positionH relativeFrom="column">
                        <wp:posOffset>457200</wp:posOffset>
                      </wp:positionH>
                      <wp:positionV relativeFrom="paragraph">
                        <wp:posOffset>65405</wp:posOffset>
                      </wp:positionV>
                      <wp:extent cx="3200400" cy="0"/>
                      <wp:effectExtent l="9525" t="17780" r="9525" b="10795"/>
                      <wp:wrapNone/>
                      <wp:docPr id="534" name="Line 993" descr="P2811C8T3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074AD" id="Line 993" o:spid="_x0000_s1026" alt="&quot;&quot;"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3yRDo8MBAABuAwAADgAAAAAAAAAAAAAAAAAu&#10;AgAAZHJzL2Uyb0RvYy54bWxQSwECLQAUAAYACAAAACEAF08wEtsAAAAIAQAADwAAAAAAAAAAAAAA&#10;AAAdBAAAZHJzL2Rvd25yZXYueG1sUEsFBgAAAAAEAAQA8wAAACUFAAAAAA==&#10;" strokeweight="1.5pt"/>
                  </w:pict>
                </mc:Fallback>
              </mc:AlternateContent>
            </w:r>
            <w:r w:rsidR="00613D46">
              <w:rPr>
                <w:b/>
                <w:bCs/>
                <w:szCs w:val="18"/>
              </w:rPr>
              <w:t>NOTES</w:t>
            </w:r>
          </w:p>
          <w:p w14:paraId="1C34BB27" w14:textId="77777777" w:rsidR="00613D46" w:rsidRDefault="00613D46" w:rsidP="00A65805">
            <w:pPr>
              <w:pStyle w:val="NotesText"/>
            </w:pPr>
          </w:p>
          <w:p w14:paraId="2DFC9A6A" w14:textId="77777777" w:rsidR="00613D46" w:rsidRDefault="00613D46" w:rsidP="00A65805">
            <w:pPr>
              <w:pStyle w:val="NotesText"/>
            </w:pPr>
            <w:r>
              <w:t>Click a reagent type to reveal manufacturer names. Click a manufacturer name to reveal lot numbers.</w:t>
            </w:r>
          </w:p>
        </w:tc>
      </w:tr>
      <w:tr w:rsidR="00613D46" w14:paraId="257998E3" w14:textId="77777777">
        <w:tc>
          <w:tcPr>
            <w:tcW w:w="3240" w:type="dxa"/>
            <w:tcBorders>
              <w:top w:val="single" w:sz="4" w:space="0" w:color="auto"/>
              <w:left w:val="single" w:sz="4" w:space="0" w:color="auto"/>
              <w:bottom w:val="single" w:sz="4" w:space="0" w:color="auto"/>
              <w:right w:val="single" w:sz="4" w:space="0" w:color="auto"/>
            </w:tcBorders>
          </w:tcPr>
          <w:p w14:paraId="36570B11" w14:textId="77777777" w:rsidR="00613D46" w:rsidRDefault="00613D46" w:rsidP="00A65805">
            <w:pPr>
              <w:pStyle w:val="TableTextNumbers"/>
            </w:pPr>
            <w:r>
              <w:t>Click a lot number to enable the Number of Vials Available field.</w:t>
            </w:r>
          </w:p>
          <w:p w14:paraId="44505ECC" w14:textId="77777777" w:rsidR="00613D46" w:rsidRDefault="00613D46" w:rsidP="00A65805">
            <w:pPr>
              <w:pStyle w:val="TableTextNumbersContinued"/>
            </w:pPr>
          </w:p>
          <w:p w14:paraId="5A5186DC" w14:textId="77777777" w:rsidR="00613D46" w:rsidRDefault="00613D46" w:rsidP="00A65805">
            <w:pPr>
              <w:pStyle w:val="TableTextNumbersContinued"/>
            </w:pPr>
            <w:r>
              <w:t>Enter (or select) a quantity that is less than or equal to the current entry in the Quantity Available field.</w:t>
            </w:r>
          </w:p>
          <w:p w14:paraId="04AF7C18" w14:textId="77777777" w:rsidR="00613D46" w:rsidRDefault="00613D46" w:rsidP="00A65805">
            <w:pPr>
              <w:pStyle w:val="TableTextNumbersContinued"/>
            </w:pPr>
          </w:p>
          <w:p w14:paraId="5B3853D9" w14:textId="08DFCB3A" w:rsidR="00613D46" w:rsidRDefault="00613D46" w:rsidP="00A65805">
            <w:pPr>
              <w:pStyle w:val="TableTextNumbersContinued"/>
            </w:pPr>
            <w:r>
              <w:t>Select or edit the date and time in the Date Changed field</w:t>
            </w:r>
            <w:r w:rsidR="00580E36">
              <w:t xml:space="preserve"> (</w:t>
            </w:r>
            <w:r w:rsidR="00580E36">
              <w:fldChar w:fldCharType="begin" w:fldLock="1"/>
            </w:r>
            <w:r w:rsidR="00580E36">
              <w:instrText xml:space="preserve"> REF _Ref126549074 \h </w:instrText>
            </w:r>
            <w:r w:rsidR="00580E36">
              <w:fldChar w:fldCharType="separate"/>
            </w:r>
            <w:r w:rsidR="00AB304C">
              <w:t xml:space="preserve">Figure </w:t>
            </w:r>
            <w:r w:rsidR="00AB304C">
              <w:rPr>
                <w:noProof/>
              </w:rPr>
              <w:t>64</w:t>
            </w:r>
            <w:r w:rsidR="00580E36">
              <w:fldChar w:fldCharType="end"/>
            </w:r>
            <w:r w:rsidR="00580E36">
              <w:t>)</w:t>
            </w:r>
            <w:r>
              <w:t>.</w:t>
            </w:r>
          </w:p>
        </w:tc>
        <w:tc>
          <w:tcPr>
            <w:tcW w:w="6120" w:type="dxa"/>
            <w:tcBorders>
              <w:top w:val="single" w:sz="4" w:space="0" w:color="auto"/>
              <w:left w:val="single" w:sz="4" w:space="0" w:color="auto"/>
              <w:bottom w:val="single" w:sz="4" w:space="0" w:color="auto"/>
              <w:right w:val="single" w:sz="4" w:space="0" w:color="auto"/>
            </w:tcBorders>
          </w:tcPr>
          <w:p w14:paraId="1AF58F57" w14:textId="77777777" w:rsidR="00613D46" w:rsidRDefault="00613D46" w:rsidP="00A65805">
            <w:pPr>
              <w:pStyle w:val="TableText"/>
            </w:pPr>
          </w:p>
          <w:p w14:paraId="5988B879" w14:textId="77777777" w:rsidR="00613D46" w:rsidRDefault="00057948" w:rsidP="00A65805">
            <w:pPr>
              <w:pStyle w:val="TableText"/>
              <w:rPr>
                <w:b/>
                <w:bCs/>
                <w:szCs w:val="18"/>
              </w:rPr>
            </w:pPr>
            <w:r>
              <w:rPr>
                <w:b/>
                <w:bCs/>
                <w:noProof/>
              </w:rPr>
              <mc:AlternateContent>
                <mc:Choice Requires="wps">
                  <w:drawing>
                    <wp:anchor distT="0" distB="0" distL="114300" distR="114300" simplePos="0" relativeHeight="251685888" behindDoc="0" locked="0" layoutInCell="1" allowOverlap="1" wp14:anchorId="729E981D" wp14:editId="569FD24F">
                      <wp:simplePos x="0" y="0"/>
                      <wp:positionH relativeFrom="column">
                        <wp:posOffset>457200</wp:posOffset>
                      </wp:positionH>
                      <wp:positionV relativeFrom="paragraph">
                        <wp:posOffset>65405</wp:posOffset>
                      </wp:positionV>
                      <wp:extent cx="3200400" cy="0"/>
                      <wp:effectExtent l="9525" t="17780" r="9525" b="10795"/>
                      <wp:wrapNone/>
                      <wp:docPr id="533" name="Line 992" descr="P2821C10T3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05CB3" id="Line 992" o:spid="_x0000_s1026" alt="&quot;&quot;"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tZU+wcMBAABuAwAADgAAAAAAAAAAAAAAAAAu&#10;AgAAZHJzL2Uyb0RvYy54bWxQSwECLQAUAAYACAAAACEAF08wEtsAAAAIAQAADwAAAAAAAAAAAAAA&#10;AAAdBAAAZHJzL2Rvd25yZXYueG1sUEsFBgAAAAAEAAQA8wAAACUFAAAAAA==&#10;" strokeweight="1.5pt"/>
                  </w:pict>
                </mc:Fallback>
              </mc:AlternateContent>
            </w:r>
            <w:r w:rsidR="00613D46">
              <w:rPr>
                <w:b/>
                <w:bCs/>
                <w:szCs w:val="18"/>
              </w:rPr>
              <w:t>NOTES</w:t>
            </w:r>
          </w:p>
          <w:p w14:paraId="6D19D8D0" w14:textId="77777777" w:rsidR="00613D46" w:rsidRDefault="00613D46" w:rsidP="00A65805">
            <w:pPr>
              <w:pStyle w:val="NotesText"/>
            </w:pPr>
          </w:p>
          <w:p w14:paraId="139FA21F" w14:textId="77777777" w:rsidR="00613D46" w:rsidRDefault="00613D46" w:rsidP="00A65805">
            <w:pPr>
              <w:pStyle w:val="NotesText"/>
            </w:pPr>
            <w:r>
              <w:t>The default change date is the current date and time. The user may edit it to a past date and time only.</w:t>
            </w:r>
          </w:p>
          <w:p w14:paraId="6E1B2ACB" w14:textId="77777777" w:rsidR="00613D46" w:rsidRDefault="00613D46" w:rsidP="00A65805">
            <w:pPr>
              <w:pStyle w:val="NotesText"/>
            </w:pPr>
          </w:p>
          <w:p w14:paraId="23459C0B" w14:textId="5E12FEB6" w:rsidR="00613D46" w:rsidRDefault="00AC4234" w:rsidP="00A65805">
            <w:pPr>
              <w:pStyle w:val="NotesText"/>
            </w:pPr>
            <w:r w:rsidRPr="00AC4234">
              <w:t xml:space="preserve">The list of selectable comments in Reason for Change field is not associated with a canned comment category. </w:t>
            </w:r>
            <w:r w:rsidR="00613D46">
              <w:t>When a user selects Other from the drop-down list in the Reason for Change field, he may enter additional text in the Comments field.</w:t>
            </w:r>
          </w:p>
          <w:p w14:paraId="408013DC" w14:textId="67AEB418" w:rsidR="006B451C" w:rsidRDefault="006B451C" w:rsidP="00A65805">
            <w:pPr>
              <w:pStyle w:val="NotesText"/>
            </w:pPr>
            <w:r>
              <w:t>To avoid a system error, d</w:t>
            </w:r>
            <w:r w:rsidRPr="006B451C">
              <w:t>o not remove the reason for change before saving.</w:t>
            </w:r>
            <w:r w:rsidR="0002020B">
              <w:t xml:space="preserve"> </w:t>
            </w:r>
            <w:r w:rsidR="0002020B" w:rsidRPr="0002020B">
              <w:rPr>
                <w:vanish/>
              </w:rPr>
              <w:t>Defect 209684</w:t>
            </w:r>
            <w:r w:rsidR="0002020B">
              <w:rPr>
                <w:vanish/>
              </w:rPr>
              <w:t>, 210320</w:t>
            </w:r>
          </w:p>
          <w:p w14:paraId="0C86ABCD" w14:textId="77777777" w:rsidR="00613D46" w:rsidRDefault="00613D46" w:rsidP="00A65805">
            <w:pPr>
              <w:pStyle w:val="NotesText"/>
            </w:pPr>
          </w:p>
        </w:tc>
      </w:tr>
      <w:tr w:rsidR="00613D46" w14:paraId="55D6100F" w14:textId="77777777">
        <w:tc>
          <w:tcPr>
            <w:tcW w:w="3240" w:type="dxa"/>
            <w:tcBorders>
              <w:top w:val="single" w:sz="4" w:space="0" w:color="auto"/>
              <w:left w:val="single" w:sz="4" w:space="0" w:color="auto"/>
              <w:bottom w:val="single" w:sz="4" w:space="0" w:color="auto"/>
              <w:right w:val="single" w:sz="4" w:space="0" w:color="auto"/>
            </w:tcBorders>
          </w:tcPr>
          <w:p w14:paraId="44EB05E5" w14:textId="77777777" w:rsidR="00613D46" w:rsidRDefault="00613D46" w:rsidP="00A65805">
            <w:pPr>
              <w:pStyle w:val="TableTextNumbers"/>
            </w:pPr>
            <w:r>
              <w:t>Repeat Steps 3 and 4 to edit more reagents</w:t>
            </w:r>
            <w:r w:rsidR="00E516F6">
              <w:t>,</w:t>
            </w:r>
            <w:r>
              <w:t xml:space="preserve"> as desired.</w:t>
            </w:r>
          </w:p>
        </w:tc>
        <w:tc>
          <w:tcPr>
            <w:tcW w:w="6120" w:type="dxa"/>
            <w:tcBorders>
              <w:top w:val="single" w:sz="4" w:space="0" w:color="auto"/>
              <w:left w:val="single" w:sz="4" w:space="0" w:color="auto"/>
              <w:bottom w:val="single" w:sz="4" w:space="0" w:color="auto"/>
              <w:right w:val="single" w:sz="4" w:space="0" w:color="auto"/>
            </w:tcBorders>
          </w:tcPr>
          <w:p w14:paraId="074DFC55" w14:textId="77777777" w:rsidR="00613D46" w:rsidRDefault="00613D46" w:rsidP="00A65805">
            <w:pPr>
              <w:pStyle w:val="TableText"/>
            </w:pPr>
          </w:p>
        </w:tc>
      </w:tr>
      <w:tr w:rsidR="00613D46" w14:paraId="3E9E568F" w14:textId="77777777">
        <w:tc>
          <w:tcPr>
            <w:tcW w:w="3240" w:type="dxa"/>
            <w:tcBorders>
              <w:top w:val="single" w:sz="4" w:space="0" w:color="auto"/>
              <w:left w:val="single" w:sz="4" w:space="0" w:color="auto"/>
              <w:bottom w:val="single" w:sz="4" w:space="0" w:color="auto"/>
              <w:right w:val="single" w:sz="4" w:space="0" w:color="auto"/>
            </w:tcBorders>
          </w:tcPr>
          <w:p w14:paraId="1032FEB9" w14:textId="77777777" w:rsidR="00613D46" w:rsidRDefault="00613D46" w:rsidP="00A65805">
            <w:pPr>
              <w:pStyle w:val="TableTextNumbers"/>
            </w:pPr>
            <w:r>
              <w:t xml:space="preserve">Click </w:t>
            </w:r>
            <w:r>
              <w:rPr>
                <w:b/>
              </w:rPr>
              <w:t>OK</w:t>
            </w:r>
            <w:r>
              <w:t xml:space="preserve"> to save.</w:t>
            </w:r>
          </w:p>
          <w:p w14:paraId="0F62A892" w14:textId="77777777" w:rsidR="00613D46" w:rsidRDefault="00613D46" w:rsidP="00A65805">
            <w:pPr>
              <w:pStyle w:val="TableTextNumbersContinued"/>
            </w:pPr>
          </w:p>
          <w:p w14:paraId="56E9A6B4" w14:textId="77777777" w:rsidR="00613D46" w:rsidRDefault="00613D46" w:rsidP="00A65805">
            <w:pPr>
              <w:pStyle w:val="TableTextNumbersContinued"/>
            </w:pPr>
            <w:r>
              <w:t xml:space="preserve">Click </w:t>
            </w:r>
            <w:r>
              <w:rPr>
                <w:b/>
              </w:rPr>
              <w:t>Yes</w:t>
            </w:r>
            <w:r>
              <w:t xml:space="preserve"> to confirm the save and view the updated list.</w:t>
            </w:r>
          </w:p>
        </w:tc>
        <w:tc>
          <w:tcPr>
            <w:tcW w:w="6120" w:type="dxa"/>
            <w:tcBorders>
              <w:top w:val="single" w:sz="4" w:space="0" w:color="auto"/>
              <w:left w:val="single" w:sz="4" w:space="0" w:color="auto"/>
              <w:bottom w:val="single" w:sz="4" w:space="0" w:color="auto"/>
              <w:right w:val="single" w:sz="4" w:space="0" w:color="auto"/>
            </w:tcBorders>
          </w:tcPr>
          <w:p w14:paraId="5CAD3409" w14:textId="77777777" w:rsidR="00613D46" w:rsidRDefault="00613D46" w:rsidP="00A65805">
            <w:pPr>
              <w:pStyle w:val="TableTextBullet"/>
            </w:pPr>
            <w:r>
              <w:t xml:space="preserve">Prompts </w:t>
            </w:r>
            <w:r w:rsidR="00E516F6">
              <w:t>the user to confirm</w:t>
            </w:r>
            <w:r>
              <w:t xml:space="preserve"> the save.</w:t>
            </w:r>
          </w:p>
          <w:p w14:paraId="7BB225A4" w14:textId="77777777" w:rsidR="00613D46" w:rsidRDefault="00613D46" w:rsidP="00A65805">
            <w:pPr>
              <w:pStyle w:val="TableTextBullet"/>
            </w:pPr>
            <w:r>
              <w:t xml:space="preserve">Saves the record and redisplays current inventory, as in Step 3. </w:t>
            </w:r>
          </w:p>
          <w:p w14:paraId="7C5B05C0" w14:textId="77777777" w:rsidR="00613D46" w:rsidRDefault="00613D46" w:rsidP="00A65805">
            <w:pPr>
              <w:pStyle w:val="TableTextBullet"/>
            </w:pPr>
            <w:r>
              <w:t>Displays an option to exit.</w:t>
            </w:r>
          </w:p>
          <w:p w14:paraId="4AF89CA6" w14:textId="68C39AB3" w:rsidR="0050266C" w:rsidRDefault="0050266C" w:rsidP="0050266C">
            <w:pPr>
              <w:pStyle w:val="TableTextBullet"/>
            </w:pPr>
            <w:r w:rsidRPr="0050266C">
              <w:t>Click the Clear button to continue</w:t>
            </w:r>
            <w:r>
              <w:t xml:space="preserve"> if a warning message displays after selecting “No” to the entry confirmation message.</w:t>
            </w:r>
            <w:r w:rsidR="0002020B">
              <w:t xml:space="preserve"> </w:t>
            </w:r>
            <w:r w:rsidR="0002020B" w:rsidRPr="0002020B">
              <w:rPr>
                <w:vanish/>
              </w:rPr>
              <w:t>Defect 208884</w:t>
            </w:r>
          </w:p>
        </w:tc>
      </w:tr>
      <w:tr w:rsidR="00613D46" w14:paraId="0D8FF827" w14:textId="77777777">
        <w:tc>
          <w:tcPr>
            <w:tcW w:w="3240" w:type="dxa"/>
            <w:tcBorders>
              <w:top w:val="single" w:sz="4" w:space="0" w:color="auto"/>
              <w:left w:val="single" w:sz="4" w:space="0" w:color="auto"/>
              <w:bottom w:val="single" w:sz="4" w:space="0" w:color="auto"/>
              <w:right w:val="single" w:sz="4" w:space="0" w:color="auto"/>
            </w:tcBorders>
          </w:tcPr>
          <w:p w14:paraId="5B6B8603" w14:textId="77777777" w:rsidR="00613D46" w:rsidRDefault="00613D46" w:rsidP="00A65805">
            <w:pPr>
              <w:pStyle w:val="TableTextNumbers"/>
            </w:pPr>
            <w:r>
              <w:t xml:space="preserve">Click </w:t>
            </w:r>
            <w:r>
              <w:rPr>
                <w:b/>
              </w:rPr>
              <w:t>Close</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470107AB" w14:textId="77777777" w:rsidR="00613D46" w:rsidRDefault="00613D46" w:rsidP="00A65805">
            <w:pPr>
              <w:pStyle w:val="NotesText"/>
              <w:ind w:left="0"/>
            </w:pPr>
          </w:p>
        </w:tc>
      </w:tr>
    </w:tbl>
    <w:p w14:paraId="672F9927" w14:textId="7DEAF1BA" w:rsidR="00580E36" w:rsidRDefault="00580E36" w:rsidP="00580E36">
      <w:pPr>
        <w:pStyle w:val="Caption"/>
      </w:pPr>
      <w:bookmarkStart w:id="247" w:name="_Ref126549074"/>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64</w:t>
      </w:r>
      <w:r w:rsidR="004E20BD">
        <w:rPr>
          <w:noProof/>
        </w:rPr>
        <w:fldChar w:fldCharType="end"/>
      </w:r>
      <w:bookmarkEnd w:id="247"/>
      <w:r>
        <w:t>: Update Reagent Inventory</w:t>
      </w:r>
    </w:p>
    <w:p w14:paraId="281354B8" w14:textId="77777777" w:rsidR="00580E36" w:rsidRDefault="00057948" w:rsidP="00580E36">
      <w:pPr>
        <w:pStyle w:val="BodyText"/>
      </w:pPr>
      <w:r>
        <w:rPr>
          <w:noProof/>
        </w:rPr>
        <w:drawing>
          <wp:inline distT="0" distB="0" distL="0" distR="0" wp14:anchorId="00E18D60" wp14:editId="4C541463">
            <wp:extent cx="4460875" cy="3667125"/>
            <wp:effectExtent l="0" t="0" r="0" b="9525"/>
            <wp:docPr id="143" name="Picture 143" descr="P2844#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P2844#yIS1">
                      <a:extLst>
                        <a:ext uri="{C183D7F6-B498-43B3-948B-1728B52AA6E4}">
                          <adec:decorative xmlns:adec="http://schemas.microsoft.com/office/drawing/2017/decorative" val="1"/>
                        </a:ext>
                      </a:extLst>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460875" cy="3667125"/>
                    </a:xfrm>
                    <a:prstGeom prst="rect">
                      <a:avLst/>
                    </a:prstGeom>
                    <a:noFill/>
                    <a:ln>
                      <a:noFill/>
                    </a:ln>
                  </pic:spPr>
                </pic:pic>
              </a:graphicData>
            </a:graphic>
          </wp:inline>
        </w:drawing>
      </w:r>
    </w:p>
    <w:p w14:paraId="08A5F1BC" w14:textId="77777777" w:rsidR="00FE6B9A" w:rsidRDefault="00466CF2" w:rsidP="00FE6B9A">
      <w:pPr>
        <w:pStyle w:val="Heading4"/>
      </w:pPr>
      <w:r>
        <w:br w:type="page"/>
      </w:r>
      <w:r w:rsidR="00FE6B9A">
        <w:lastRenderedPageBreak/>
        <w:t>View/Print Reagent Inventory</w:t>
      </w:r>
      <w:r w:rsidR="00FE6B9A">
        <w:fldChar w:fldCharType="begin"/>
      </w:r>
      <w:r w:rsidR="00FE6B9A">
        <w:instrText xml:space="preserve"> XE </w:instrText>
      </w:r>
      <w:r w:rsidR="00FA7E65">
        <w:instrText>“</w:instrText>
      </w:r>
      <w:r w:rsidR="00FE6B9A">
        <w:instrText>View/Print Reagent Inventory</w:instrText>
      </w:r>
      <w:r w:rsidR="00FA7E65">
        <w:instrText>”</w:instrText>
      </w:r>
      <w:r w:rsidR="00FE6B9A">
        <w:instrText xml:space="preserve"> </w:instrText>
      </w:r>
      <w:r w:rsidR="00FE6B9A">
        <w:fldChar w:fldCharType="end"/>
      </w:r>
      <w:r w:rsidR="00FE6B9A">
        <w:t xml:space="preserve"> </w:t>
      </w:r>
    </w:p>
    <w:p w14:paraId="6137796F" w14:textId="77777777" w:rsidR="002A21AE" w:rsidRDefault="00C461C7" w:rsidP="007F12F1">
      <w:pPr>
        <w:pStyle w:val="BodyText"/>
      </w:pPr>
      <w:r>
        <w:t>The</w:t>
      </w:r>
      <w:r w:rsidR="00FE6B9A">
        <w:t xml:space="preserve"> user view</w:t>
      </w:r>
      <w:r w:rsidR="00F859D5">
        <w:t>s</w:t>
      </w:r>
      <w:r w:rsidR="00FE6B9A">
        <w:t xml:space="preserve"> inventory online based on various search criteria and print</w:t>
      </w:r>
      <w:r w:rsidR="00F859D5">
        <w:t>s</w:t>
      </w:r>
      <w:r w:rsidR="00FE6B9A">
        <w:t xml:space="preserve"> the search results.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FE6B9A" w14:paraId="25CFFDBD" w14:textId="77777777">
        <w:trPr>
          <w:cantSplit/>
          <w:tblHeader/>
        </w:trPr>
        <w:tc>
          <w:tcPr>
            <w:tcW w:w="3240" w:type="dxa"/>
            <w:shd w:val="pct30" w:color="auto" w:fill="FFFFFF"/>
            <w:vAlign w:val="bottom"/>
          </w:tcPr>
          <w:p w14:paraId="283A83BF" w14:textId="77777777" w:rsidR="00FE6B9A" w:rsidRDefault="00FE6B9A" w:rsidP="00A65805">
            <w:pPr>
              <w:pStyle w:val="TableText"/>
              <w:rPr>
                <w:b/>
              </w:rPr>
            </w:pPr>
            <w:r>
              <w:rPr>
                <w:b/>
              </w:rPr>
              <w:t>User Action</w:t>
            </w:r>
          </w:p>
        </w:tc>
        <w:tc>
          <w:tcPr>
            <w:tcW w:w="6120" w:type="dxa"/>
            <w:shd w:val="pct30" w:color="auto" w:fill="FFFFFF"/>
            <w:vAlign w:val="bottom"/>
          </w:tcPr>
          <w:p w14:paraId="67DD09DB" w14:textId="77777777" w:rsidR="00FE6B9A" w:rsidRDefault="00FE6B9A" w:rsidP="00A65805">
            <w:pPr>
              <w:pStyle w:val="TableText"/>
              <w:rPr>
                <w:b/>
              </w:rPr>
            </w:pPr>
            <w:r>
              <w:rPr>
                <w:b/>
              </w:rPr>
              <w:t>VBECS</w:t>
            </w:r>
          </w:p>
        </w:tc>
      </w:tr>
      <w:tr w:rsidR="00FE6B9A" w14:paraId="35D6F0C8" w14:textId="77777777">
        <w:tc>
          <w:tcPr>
            <w:tcW w:w="3240" w:type="dxa"/>
            <w:tcBorders>
              <w:top w:val="single" w:sz="4" w:space="0" w:color="auto"/>
              <w:left w:val="single" w:sz="4" w:space="0" w:color="auto"/>
              <w:bottom w:val="single" w:sz="4" w:space="0" w:color="auto"/>
              <w:right w:val="single" w:sz="4" w:space="0" w:color="auto"/>
            </w:tcBorders>
          </w:tcPr>
          <w:p w14:paraId="3745F3B5" w14:textId="77777777" w:rsidR="00FE6B9A" w:rsidRDefault="00FE6B9A" w:rsidP="00A65805">
            <w:pPr>
              <w:pStyle w:val="TableTextNumbers"/>
            </w:pPr>
            <w:r>
              <w:t xml:space="preserve">Select </w:t>
            </w:r>
            <w:r>
              <w:rPr>
                <w:b/>
              </w:rPr>
              <w:t>Reagents</w:t>
            </w:r>
            <w:r>
              <w:t xml:space="preserve"> from the main menu.</w:t>
            </w:r>
          </w:p>
          <w:p w14:paraId="11A33B80" w14:textId="77777777" w:rsidR="00FE6B9A" w:rsidRDefault="00FE6B9A" w:rsidP="00A65805">
            <w:pPr>
              <w:pStyle w:val="TableTextNumbersContinued"/>
            </w:pPr>
          </w:p>
        </w:tc>
        <w:tc>
          <w:tcPr>
            <w:tcW w:w="6120" w:type="dxa"/>
            <w:tcBorders>
              <w:top w:val="single" w:sz="4" w:space="0" w:color="auto"/>
              <w:left w:val="single" w:sz="4" w:space="0" w:color="auto"/>
              <w:bottom w:val="single" w:sz="4" w:space="0" w:color="auto"/>
              <w:right w:val="single" w:sz="4" w:space="0" w:color="auto"/>
            </w:tcBorders>
          </w:tcPr>
          <w:p w14:paraId="3E2E61AF" w14:textId="77777777" w:rsidR="00FE6B9A" w:rsidRDefault="00FE6B9A" w:rsidP="00A65805">
            <w:pPr>
              <w:pStyle w:val="TableTextBullet"/>
            </w:pPr>
            <w:r>
              <w:t xml:space="preserve">Displays options for Quality Control functions. </w:t>
            </w:r>
          </w:p>
          <w:p w14:paraId="14665BA8" w14:textId="77777777" w:rsidR="00FE6B9A" w:rsidRDefault="00FE6B9A" w:rsidP="00A65805">
            <w:pPr>
              <w:pStyle w:val="TableTextBullet"/>
            </w:pPr>
            <w:r>
              <w:t>Displays options for processing reagents.</w:t>
            </w:r>
          </w:p>
        </w:tc>
      </w:tr>
      <w:tr w:rsidR="00FE6B9A" w14:paraId="06B4CC97" w14:textId="77777777">
        <w:tc>
          <w:tcPr>
            <w:tcW w:w="3240" w:type="dxa"/>
          </w:tcPr>
          <w:p w14:paraId="11DFFDB4" w14:textId="77777777" w:rsidR="00FE6B9A" w:rsidRDefault="00FE6B9A" w:rsidP="00A65805">
            <w:pPr>
              <w:pStyle w:val="TableTextNumbers"/>
            </w:pPr>
            <w:r>
              <w:t xml:space="preserve">Select </w:t>
            </w:r>
            <w:r>
              <w:rPr>
                <w:b/>
              </w:rPr>
              <w:t>View/Print Inventory</w:t>
            </w:r>
            <w:r>
              <w:t>.</w:t>
            </w:r>
          </w:p>
        </w:tc>
        <w:tc>
          <w:tcPr>
            <w:tcW w:w="6120" w:type="dxa"/>
          </w:tcPr>
          <w:p w14:paraId="59149C16" w14:textId="77777777" w:rsidR="00FE6B9A" w:rsidRDefault="00FE6B9A" w:rsidP="00A65805">
            <w:pPr>
              <w:pStyle w:val="TableTextBullet"/>
            </w:pPr>
            <w:r>
              <w:t xml:space="preserve">Lists </w:t>
            </w:r>
            <w:r w:rsidR="006B2239">
              <w:t>r</w:t>
            </w:r>
            <w:r>
              <w:t xml:space="preserve">eagent </w:t>
            </w:r>
            <w:r w:rsidR="006B2239">
              <w:t>t</w:t>
            </w:r>
            <w:r>
              <w:t>ypes.</w:t>
            </w:r>
          </w:p>
        </w:tc>
      </w:tr>
      <w:tr w:rsidR="00FE6B9A" w14:paraId="3FEFAD77" w14:textId="77777777">
        <w:tc>
          <w:tcPr>
            <w:tcW w:w="3240" w:type="dxa"/>
            <w:tcBorders>
              <w:top w:val="single" w:sz="4" w:space="0" w:color="auto"/>
              <w:left w:val="single" w:sz="4" w:space="0" w:color="auto"/>
              <w:bottom w:val="single" w:sz="4" w:space="0" w:color="auto"/>
              <w:right w:val="single" w:sz="4" w:space="0" w:color="auto"/>
            </w:tcBorders>
          </w:tcPr>
          <w:p w14:paraId="6119731A" w14:textId="77777777" w:rsidR="00FE6B9A" w:rsidRDefault="00FE6B9A" w:rsidP="00A65805">
            <w:pPr>
              <w:pStyle w:val="TableTextNumbers"/>
            </w:pPr>
            <w:r>
              <w:t>Click one or more check boxes in the Reagent Type list to select reagent types.</w:t>
            </w:r>
          </w:p>
        </w:tc>
        <w:tc>
          <w:tcPr>
            <w:tcW w:w="6120" w:type="dxa"/>
            <w:tcBorders>
              <w:top w:val="single" w:sz="4" w:space="0" w:color="auto"/>
              <w:left w:val="single" w:sz="4" w:space="0" w:color="auto"/>
              <w:bottom w:val="single" w:sz="4" w:space="0" w:color="auto"/>
              <w:right w:val="single" w:sz="4" w:space="0" w:color="auto"/>
            </w:tcBorders>
          </w:tcPr>
          <w:p w14:paraId="286199C4" w14:textId="77777777" w:rsidR="00FE6B9A" w:rsidRDefault="00FE6B9A" w:rsidP="00A65805">
            <w:pPr>
              <w:pStyle w:val="TableTextBullet"/>
            </w:pPr>
            <w:r>
              <w:t xml:space="preserve">Displays or allows </w:t>
            </w:r>
            <w:r w:rsidR="006B2239">
              <w:t xml:space="preserve">the </w:t>
            </w:r>
            <w:r>
              <w:t>user to print a report of all current in-date, unsatisfactory, expired reagent inventory and minimum stock levels as a read-only display based on the selection criteria entered:</w:t>
            </w:r>
          </w:p>
          <w:p w14:paraId="4354CE91" w14:textId="77777777" w:rsidR="00FE6B9A" w:rsidRDefault="00FE6B9A" w:rsidP="00A65805">
            <w:pPr>
              <w:pStyle w:val="TableTextBullet1"/>
            </w:pPr>
            <w:r>
              <w:t xml:space="preserve">Reagent </w:t>
            </w:r>
            <w:r w:rsidR="006B2239">
              <w:t>t</w:t>
            </w:r>
            <w:r>
              <w:t>ype</w:t>
            </w:r>
          </w:p>
          <w:p w14:paraId="27856CC4" w14:textId="77777777" w:rsidR="00FE6B9A" w:rsidRDefault="00FE6B9A" w:rsidP="00A65805">
            <w:pPr>
              <w:pStyle w:val="TableTextBullet1"/>
            </w:pPr>
            <w:r>
              <w:t xml:space="preserve">In-date (active) </w:t>
            </w:r>
            <w:r w:rsidR="006B2239">
              <w:t>r</w:t>
            </w:r>
            <w:r>
              <w:t>eagents</w:t>
            </w:r>
          </w:p>
          <w:p w14:paraId="44AA57BF" w14:textId="77777777" w:rsidR="00FE6B9A" w:rsidRDefault="00FE6B9A" w:rsidP="00A65805">
            <w:pPr>
              <w:pStyle w:val="TableTextBullet1"/>
            </w:pPr>
            <w:r>
              <w:t xml:space="preserve">Unsatisfactory </w:t>
            </w:r>
            <w:r w:rsidR="006B2239">
              <w:t>r</w:t>
            </w:r>
            <w:r>
              <w:t>eagents</w:t>
            </w:r>
          </w:p>
          <w:p w14:paraId="55F50B3C" w14:textId="77777777" w:rsidR="00FE6B9A" w:rsidRDefault="00FE6B9A" w:rsidP="00A65805">
            <w:pPr>
              <w:pStyle w:val="TableTextBullet1"/>
            </w:pPr>
            <w:r>
              <w:t xml:space="preserve">Expired (inactive) </w:t>
            </w:r>
            <w:r w:rsidR="006B2239">
              <w:t>r</w:t>
            </w:r>
            <w:r>
              <w:t>eagents</w:t>
            </w:r>
          </w:p>
          <w:p w14:paraId="34BCD643" w14:textId="77777777" w:rsidR="00FE6B9A" w:rsidRDefault="00FE6B9A" w:rsidP="00A65805">
            <w:pPr>
              <w:pStyle w:val="TableTextBullet1"/>
            </w:pPr>
            <w:r>
              <w:t xml:space="preserve">Expiration </w:t>
            </w:r>
            <w:r w:rsidR="006B2239">
              <w:t>d</w:t>
            </w:r>
            <w:r>
              <w:t xml:space="preserve">ate </w:t>
            </w:r>
            <w:r w:rsidR="006B2239">
              <w:t>r</w:t>
            </w:r>
            <w:r>
              <w:t>ange (</w:t>
            </w:r>
            <w:r w:rsidR="006B2239">
              <w:t xml:space="preserve">the </w:t>
            </w:r>
            <w:r>
              <w:t>user enters a date to begin and end the search)</w:t>
            </w:r>
          </w:p>
          <w:p w14:paraId="4B749D88" w14:textId="77777777" w:rsidR="00FE6B9A" w:rsidRDefault="00A517D3" w:rsidP="00A65805">
            <w:pPr>
              <w:pStyle w:val="TableTextBullet1"/>
            </w:pPr>
            <w:r>
              <w:t>Date received</w:t>
            </w:r>
            <w:r w:rsidR="00FE6B9A">
              <w:t xml:space="preserve"> (</w:t>
            </w:r>
            <w:r w:rsidR="006B2239">
              <w:t xml:space="preserve">the </w:t>
            </w:r>
            <w:r w:rsidR="00FE6B9A">
              <w:t>user enters a date to begin and end the search)</w:t>
            </w:r>
          </w:p>
          <w:p w14:paraId="53CC5866" w14:textId="77777777" w:rsidR="00FE6B9A" w:rsidRDefault="00FE6B9A" w:rsidP="00A65805">
            <w:pPr>
              <w:pStyle w:val="TableText"/>
            </w:pPr>
          </w:p>
          <w:p w14:paraId="616833C5" w14:textId="77777777" w:rsidR="00FE6B9A" w:rsidRDefault="00057948" w:rsidP="00A65805">
            <w:pPr>
              <w:pStyle w:val="TableText"/>
              <w:rPr>
                <w:b/>
                <w:bCs/>
                <w:szCs w:val="18"/>
              </w:rPr>
            </w:pPr>
            <w:r>
              <w:rPr>
                <w:b/>
                <w:bCs/>
                <w:noProof/>
              </w:rPr>
              <mc:AlternateContent>
                <mc:Choice Requires="wps">
                  <w:drawing>
                    <wp:anchor distT="0" distB="0" distL="114300" distR="114300" simplePos="0" relativeHeight="251687936" behindDoc="0" locked="0" layoutInCell="1" allowOverlap="1" wp14:anchorId="5F32C63A" wp14:editId="509F0530">
                      <wp:simplePos x="0" y="0"/>
                      <wp:positionH relativeFrom="column">
                        <wp:posOffset>457200</wp:posOffset>
                      </wp:positionH>
                      <wp:positionV relativeFrom="paragraph">
                        <wp:posOffset>65405</wp:posOffset>
                      </wp:positionV>
                      <wp:extent cx="3200400" cy="0"/>
                      <wp:effectExtent l="9525" t="17780" r="9525" b="10795"/>
                      <wp:wrapNone/>
                      <wp:docPr id="532" name="Line 994" descr="P2867C8T3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2C837" id="Line 994" o:spid="_x0000_s1026" alt="&quot;&quot;"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M132DcMBAABuAwAADgAAAAAAAAAAAAAAAAAu&#10;AgAAZHJzL2Uyb0RvYy54bWxQSwECLQAUAAYACAAAACEAF08wEtsAAAAIAQAADwAAAAAAAAAAAAAA&#10;AAAdBAAAZHJzL2Rvd25yZXYueG1sUEsFBgAAAAAEAAQA8wAAACUFAAAAAA==&#10;" strokeweight="1.5pt"/>
                  </w:pict>
                </mc:Fallback>
              </mc:AlternateContent>
            </w:r>
            <w:r w:rsidR="00FE6B9A">
              <w:rPr>
                <w:b/>
                <w:bCs/>
                <w:szCs w:val="18"/>
              </w:rPr>
              <w:t>NOTES</w:t>
            </w:r>
          </w:p>
          <w:p w14:paraId="7596E9ED" w14:textId="77777777" w:rsidR="00FE6B9A" w:rsidRDefault="00FE6B9A" w:rsidP="00A65805">
            <w:pPr>
              <w:pStyle w:val="NotesText"/>
            </w:pPr>
          </w:p>
          <w:p w14:paraId="6944DAF5" w14:textId="31970020" w:rsidR="00FE6B9A" w:rsidRDefault="00FE6B9A" w:rsidP="00165119">
            <w:pPr>
              <w:pStyle w:val="NotesText"/>
            </w:pPr>
            <w:r>
              <w:rPr>
                <w:rFonts w:cs="Arial"/>
                <w:vanish/>
              </w:rPr>
              <w:t>BR_</w:t>
            </w:r>
            <w:r w:rsidR="00C8315E">
              <w:rPr>
                <w:rFonts w:cs="Arial"/>
                <w:vanish/>
              </w:rPr>
              <w:t>20.16</w:t>
            </w:r>
            <w:r>
              <w:rPr>
                <w:rFonts w:cs="Arial"/>
                <w:vanish/>
              </w:rPr>
              <w:t xml:space="preserve"> </w:t>
            </w:r>
            <w:bookmarkStart w:id="248" w:name="OLE_LINK11"/>
            <w:bookmarkStart w:id="249" w:name="OLE_LINK12"/>
            <w:r w:rsidR="00C8315E">
              <w:t>VBECS display</w:t>
            </w:r>
            <w:r w:rsidR="005E01BC">
              <w:t>s</w:t>
            </w:r>
            <w:r w:rsidR="00C8315E">
              <w:t xml:space="preserve"> only reagents selected based on search criteria.</w:t>
            </w:r>
            <w:bookmarkEnd w:id="248"/>
            <w:bookmarkEnd w:id="249"/>
          </w:p>
          <w:p w14:paraId="6A6822B8" w14:textId="77777777" w:rsidR="005E01BC" w:rsidRDefault="005E01BC" w:rsidP="00165119">
            <w:pPr>
              <w:pStyle w:val="NotesText"/>
            </w:pPr>
          </w:p>
          <w:p w14:paraId="1AFABB26" w14:textId="0C0BFCC5" w:rsidR="005E01BC" w:rsidRDefault="0055690F" w:rsidP="00165119">
            <w:pPr>
              <w:pStyle w:val="NotesText"/>
              <w:rPr>
                <w:szCs w:val="18"/>
              </w:rPr>
            </w:pPr>
            <w:r w:rsidRPr="0055690F">
              <w:rPr>
                <w:szCs w:val="18"/>
              </w:rPr>
              <w:t>In a multidivi</w:t>
            </w:r>
            <w:r>
              <w:rPr>
                <w:szCs w:val="18"/>
              </w:rPr>
              <w:t xml:space="preserve">sional environment, the </w:t>
            </w:r>
            <w:r w:rsidRPr="0055690F">
              <w:rPr>
                <w:szCs w:val="18"/>
              </w:rPr>
              <w:t>repor</w:t>
            </w:r>
            <w:r w:rsidR="002C71AF">
              <w:rPr>
                <w:szCs w:val="18"/>
              </w:rPr>
              <w:t xml:space="preserve">t for a division will print one </w:t>
            </w:r>
            <w:r w:rsidR="00AE3748">
              <w:rPr>
                <w:szCs w:val="18"/>
              </w:rPr>
              <w:t>line-</w:t>
            </w:r>
            <w:r w:rsidRPr="0055690F">
              <w:rPr>
                <w:szCs w:val="18"/>
              </w:rPr>
              <w:t>item for each division that has set minimum levels for that reagent type.</w:t>
            </w:r>
            <w:r w:rsidR="0002020B">
              <w:rPr>
                <w:szCs w:val="18"/>
              </w:rPr>
              <w:t xml:space="preserve"> </w:t>
            </w:r>
            <w:r w:rsidR="0002020B" w:rsidRPr="0002020B">
              <w:rPr>
                <w:vanish/>
                <w:szCs w:val="18"/>
              </w:rPr>
              <w:t>Defect 209165</w:t>
            </w:r>
          </w:p>
          <w:p w14:paraId="69396FBC" w14:textId="77777777" w:rsidR="00817083" w:rsidRDefault="00817083" w:rsidP="00165119">
            <w:pPr>
              <w:pStyle w:val="NotesText"/>
              <w:rPr>
                <w:szCs w:val="18"/>
              </w:rPr>
            </w:pPr>
          </w:p>
          <w:p w14:paraId="39990F60" w14:textId="16B11285" w:rsidR="00817083" w:rsidRPr="00165119" w:rsidRDefault="00817083" w:rsidP="00165119">
            <w:pPr>
              <w:pStyle w:val="NotesText"/>
              <w:rPr>
                <w:vanish/>
                <w:szCs w:val="18"/>
              </w:rPr>
            </w:pPr>
            <w:r w:rsidRPr="00817083">
              <w:rPr>
                <w:szCs w:val="18"/>
              </w:rPr>
              <w:t>Multiple shipments of the same lot number of a reagent type can cause a discrepancy in the total number available displayed on the</w:t>
            </w:r>
            <w:r w:rsidR="00D14259">
              <w:rPr>
                <w:szCs w:val="18"/>
              </w:rPr>
              <w:t xml:space="preserve"> report. Always r</w:t>
            </w:r>
            <w:r w:rsidR="00D14259" w:rsidRPr="00D14259">
              <w:rPr>
                <w:szCs w:val="18"/>
              </w:rPr>
              <w:t>efer to the most recent entry of a reagent for the number of vials available when the shipment was received.</w:t>
            </w:r>
            <w:r w:rsidR="0002020B">
              <w:rPr>
                <w:szCs w:val="18"/>
              </w:rPr>
              <w:t xml:space="preserve"> </w:t>
            </w:r>
            <w:r w:rsidR="0002020B" w:rsidRPr="0002020B">
              <w:rPr>
                <w:vanish/>
                <w:szCs w:val="18"/>
              </w:rPr>
              <w:t>Defect 209</w:t>
            </w:r>
            <w:r w:rsidR="00963554">
              <w:rPr>
                <w:vanish/>
                <w:szCs w:val="18"/>
              </w:rPr>
              <w:t>531</w:t>
            </w:r>
          </w:p>
        </w:tc>
      </w:tr>
      <w:tr w:rsidR="00FE6B9A" w14:paraId="763C2707" w14:textId="77777777">
        <w:tc>
          <w:tcPr>
            <w:tcW w:w="3240" w:type="dxa"/>
            <w:tcBorders>
              <w:top w:val="single" w:sz="4" w:space="0" w:color="auto"/>
              <w:left w:val="single" w:sz="4" w:space="0" w:color="auto"/>
              <w:bottom w:val="single" w:sz="4" w:space="0" w:color="auto"/>
              <w:right w:val="single" w:sz="4" w:space="0" w:color="auto"/>
            </w:tcBorders>
          </w:tcPr>
          <w:p w14:paraId="68DE9508" w14:textId="05F22D49" w:rsidR="00FE6B9A" w:rsidRDefault="000D70D6" w:rsidP="00A65805">
            <w:pPr>
              <w:pStyle w:val="TableTextNumbers"/>
            </w:pPr>
            <w:r>
              <w:t xml:space="preserve">Click </w:t>
            </w:r>
            <w:r w:rsidRPr="000D70D6">
              <w:rPr>
                <w:b/>
              </w:rPr>
              <w:t>OK</w:t>
            </w:r>
            <w:r>
              <w:t xml:space="preserve"> to a</w:t>
            </w:r>
            <w:r w:rsidR="00FE6B9A">
              <w:t>ccept the displayed selection criteria</w:t>
            </w:r>
            <w:r w:rsidR="00686D38">
              <w:t xml:space="preserve"> (</w:t>
            </w:r>
            <w:r w:rsidR="00686D38">
              <w:fldChar w:fldCharType="begin" w:fldLock="1"/>
            </w:r>
            <w:r w:rsidR="00686D38">
              <w:instrText xml:space="preserve"> REF _Ref126550016 \h </w:instrText>
            </w:r>
            <w:r w:rsidR="00686D38">
              <w:fldChar w:fldCharType="separate"/>
            </w:r>
            <w:r w:rsidR="00AB304C">
              <w:t xml:space="preserve">Figure </w:t>
            </w:r>
            <w:r w:rsidR="00AB304C">
              <w:rPr>
                <w:noProof/>
              </w:rPr>
              <w:t>65</w:t>
            </w:r>
            <w:r w:rsidR="00686D38">
              <w:fldChar w:fldCharType="end"/>
            </w:r>
            <w:r w:rsidR="00686D38">
              <w:t>)</w:t>
            </w:r>
            <w:r w:rsidR="00FE6B9A">
              <w:t>.</w:t>
            </w:r>
          </w:p>
          <w:p w14:paraId="3E0835D7" w14:textId="77777777" w:rsidR="00FE6B9A" w:rsidRDefault="00FE6B9A" w:rsidP="00A65805">
            <w:pPr>
              <w:pStyle w:val="TableTextNumbers"/>
              <w:numPr>
                <w:ilvl w:val="0"/>
                <w:numId w:val="0"/>
              </w:numPr>
            </w:pPr>
          </w:p>
        </w:tc>
        <w:tc>
          <w:tcPr>
            <w:tcW w:w="6120" w:type="dxa"/>
            <w:tcBorders>
              <w:top w:val="single" w:sz="4" w:space="0" w:color="auto"/>
              <w:left w:val="single" w:sz="4" w:space="0" w:color="auto"/>
              <w:bottom w:val="single" w:sz="4" w:space="0" w:color="auto"/>
              <w:right w:val="single" w:sz="4" w:space="0" w:color="auto"/>
            </w:tcBorders>
          </w:tcPr>
          <w:p w14:paraId="5C063C17" w14:textId="77777777" w:rsidR="00FE6B9A" w:rsidRDefault="00FE6B9A" w:rsidP="00A65805">
            <w:pPr>
              <w:pStyle w:val="TableTextBullet"/>
            </w:pPr>
            <w:r>
              <w:t>Compiles the report and displays an option to print or exit the report.</w:t>
            </w:r>
          </w:p>
        </w:tc>
      </w:tr>
      <w:tr w:rsidR="00FE6B9A" w14:paraId="6E7CCCCC" w14:textId="77777777">
        <w:tc>
          <w:tcPr>
            <w:tcW w:w="3240" w:type="dxa"/>
            <w:tcBorders>
              <w:top w:val="single" w:sz="4" w:space="0" w:color="auto"/>
              <w:left w:val="single" w:sz="4" w:space="0" w:color="auto"/>
              <w:bottom w:val="single" w:sz="4" w:space="0" w:color="auto"/>
              <w:right w:val="single" w:sz="4" w:space="0" w:color="auto"/>
            </w:tcBorders>
          </w:tcPr>
          <w:p w14:paraId="7CB22E3A" w14:textId="77777777" w:rsidR="00FE6B9A" w:rsidRDefault="00FE6B9A" w:rsidP="00A65805">
            <w:pPr>
              <w:pStyle w:val="TableTextNumbers"/>
            </w:pPr>
            <w:r>
              <w:t xml:space="preserve">Click </w:t>
            </w:r>
            <w:r>
              <w:rPr>
                <w:b/>
              </w:rPr>
              <w:t xml:space="preserve">Print </w:t>
            </w:r>
            <w:r>
              <w:t>to print the list of reagents.</w:t>
            </w:r>
          </w:p>
        </w:tc>
        <w:tc>
          <w:tcPr>
            <w:tcW w:w="6120" w:type="dxa"/>
            <w:tcBorders>
              <w:top w:val="single" w:sz="4" w:space="0" w:color="auto"/>
              <w:left w:val="single" w:sz="4" w:space="0" w:color="auto"/>
              <w:bottom w:val="single" w:sz="4" w:space="0" w:color="auto"/>
              <w:right w:val="single" w:sz="4" w:space="0" w:color="auto"/>
            </w:tcBorders>
          </w:tcPr>
          <w:p w14:paraId="5AA45C7B" w14:textId="77777777" w:rsidR="00FE6B9A" w:rsidRDefault="00FE6B9A" w:rsidP="009710F9">
            <w:pPr>
              <w:pStyle w:val="TableTextBullet"/>
            </w:pPr>
            <w:r>
              <w:t>Sends the report to print on the printer selected by the user.</w:t>
            </w:r>
          </w:p>
        </w:tc>
      </w:tr>
      <w:tr w:rsidR="00FE6B9A" w14:paraId="2AB2B3A8" w14:textId="77777777">
        <w:tc>
          <w:tcPr>
            <w:tcW w:w="3240" w:type="dxa"/>
            <w:tcBorders>
              <w:top w:val="single" w:sz="4" w:space="0" w:color="auto"/>
              <w:left w:val="single" w:sz="4" w:space="0" w:color="auto"/>
              <w:bottom w:val="single" w:sz="4" w:space="0" w:color="auto"/>
              <w:right w:val="single" w:sz="4" w:space="0" w:color="auto"/>
            </w:tcBorders>
          </w:tcPr>
          <w:p w14:paraId="44C9A073" w14:textId="77777777" w:rsidR="00FE6B9A" w:rsidRDefault="00FE6B9A" w:rsidP="00A65805">
            <w:pPr>
              <w:pStyle w:val="TableTextNumbers"/>
            </w:pPr>
            <w:r>
              <w:t xml:space="preserve">Print another report or </w:t>
            </w:r>
            <w:r w:rsidR="000D70D6">
              <w:t xml:space="preserve">click </w:t>
            </w:r>
            <w:r w:rsidR="000D70D6" w:rsidRPr="000D70D6">
              <w:rPr>
                <w:b/>
              </w:rPr>
              <w:t>Close</w:t>
            </w:r>
            <w:r w:rsidR="000D70D6">
              <w:t xml:space="preserve"> </w:t>
            </w:r>
            <w:r w:rsidR="005D7E72">
              <w:t xml:space="preserve">to </w:t>
            </w:r>
            <w:r>
              <w:t xml:space="preserve">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061D3CD0" w14:textId="77777777" w:rsidR="00FE6B9A" w:rsidRDefault="00FE6B9A" w:rsidP="00A65805">
            <w:pPr>
              <w:pStyle w:val="TableText"/>
            </w:pPr>
          </w:p>
        </w:tc>
      </w:tr>
    </w:tbl>
    <w:p w14:paraId="24A3016F" w14:textId="5F35CFDB" w:rsidR="00686D38" w:rsidRDefault="00686D38" w:rsidP="00686D38">
      <w:pPr>
        <w:pStyle w:val="Caption"/>
      </w:pPr>
      <w:bookmarkStart w:id="250" w:name="_Ref126550016"/>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65</w:t>
      </w:r>
      <w:r w:rsidR="004E20BD">
        <w:rPr>
          <w:noProof/>
        </w:rPr>
        <w:fldChar w:fldCharType="end"/>
      </w:r>
      <w:bookmarkEnd w:id="250"/>
      <w:r>
        <w:t xml:space="preserve">: Reagent </w:t>
      </w:r>
      <w:r w:rsidR="006406D8">
        <w:t>Search</w:t>
      </w:r>
    </w:p>
    <w:p w14:paraId="1C7ACB27" w14:textId="77777777" w:rsidR="00307D76" w:rsidRDefault="00057948" w:rsidP="00307D76">
      <w:pPr>
        <w:pStyle w:val="BodyText"/>
      </w:pPr>
      <w:r>
        <w:rPr>
          <w:noProof/>
        </w:rPr>
        <w:drawing>
          <wp:inline distT="0" distB="0" distL="0" distR="0" wp14:anchorId="18FA9AC9" wp14:editId="7F96D980">
            <wp:extent cx="4017645" cy="2872740"/>
            <wp:effectExtent l="0" t="0" r="1905" b="3810"/>
            <wp:docPr id="144" name="Picture 144" descr="P2886#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P2886#yIS1">
                      <a:extLst>
                        <a:ext uri="{C183D7F6-B498-43B3-948B-1728B52AA6E4}">
                          <adec:decorative xmlns:adec="http://schemas.microsoft.com/office/drawing/2017/decorative" val="1"/>
                        </a:ext>
                      </a:extLst>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017645" cy="2872740"/>
                    </a:xfrm>
                    <a:prstGeom prst="rect">
                      <a:avLst/>
                    </a:prstGeom>
                    <a:noFill/>
                    <a:ln>
                      <a:noFill/>
                    </a:ln>
                  </pic:spPr>
                </pic:pic>
              </a:graphicData>
            </a:graphic>
          </wp:inline>
        </w:drawing>
      </w:r>
    </w:p>
    <w:p w14:paraId="2DD06A1D" w14:textId="77777777" w:rsidR="00771C65" w:rsidRDefault="00B06E01" w:rsidP="00FD24BA">
      <w:pPr>
        <w:pStyle w:val="Heading4"/>
      </w:pPr>
      <w:r>
        <w:br w:type="page"/>
      </w:r>
      <w:r w:rsidR="005F6016">
        <w:lastRenderedPageBreak/>
        <w:t xml:space="preserve">Maintain Minimum Levels </w:t>
      </w:r>
      <w:r w:rsidR="00771C65">
        <w:fldChar w:fldCharType="begin"/>
      </w:r>
      <w:r w:rsidR="00771C65">
        <w:instrText xml:space="preserve"> XE </w:instrText>
      </w:r>
      <w:r w:rsidR="00FA7E65">
        <w:instrText>“</w:instrText>
      </w:r>
      <w:r w:rsidR="005F6016">
        <w:instrText xml:space="preserve">Maintain Minimum Levels </w:instrText>
      </w:r>
      <w:r w:rsidR="00FA7E65">
        <w:instrText>”</w:instrText>
      </w:r>
      <w:r w:rsidR="00771C65">
        <w:instrText xml:space="preserve"> </w:instrText>
      </w:r>
      <w:r w:rsidR="00771C65">
        <w:fldChar w:fldCharType="end"/>
      </w:r>
      <w:r w:rsidR="00771C65">
        <w:t xml:space="preserve"> </w:t>
      </w:r>
    </w:p>
    <w:p w14:paraId="2F83B74C" w14:textId="77777777" w:rsidR="002A21AE" w:rsidRPr="00CF3293" w:rsidRDefault="00CF3293" w:rsidP="00CF3293">
      <w:pPr>
        <w:pStyle w:val="BodyText"/>
        <w:rPr>
          <w:rFonts w:cs="Arial"/>
          <w:snapToGrid w:val="0"/>
          <w:color w:val="000000"/>
          <w:szCs w:val="18"/>
        </w:rPr>
      </w:pPr>
      <w:r>
        <w:t>The user sets minimum stock levels for reagent types used in the division.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1B61D3" w14:paraId="546AF962" w14:textId="77777777">
        <w:trPr>
          <w:cantSplit/>
          <w:tblHeader/>
        </w:trPr>
        <w:tc>
          <w:tcPr>
            <w:tcW w:w="3240" w:type="dxa"/>
            <w:shd w:val="pct30" w:color="auto" w:fill="FFFFFF"/>
            <w:vAlign w:val="bottom"/>
          </w:tcPr>
          <w:p w14:paraId="6B1BB380" w14:textId="77777777" w:rsidR="001B61D3" w:rsidRDefault="001B61D3" w:rsidP="00A65805">
            <w:pPr>
              <w:pStyle w:val="TableText"/>
              <w:rPr>
                <w:b/>
              </w:rPr>
            </w:pPr>
            <w:r>
              <w:rPr>
                <w:b/>
              </w:rPr>
              <w:t>User Action</w:t>
            </w:r>
          </w:p>
        </w:tc>
        <w:tc>
          <w:tcPr>
            <w:tcW w:w="6120" w:type="dxa"/>
            <w:shd w:val="pct30" w:color="auto" w:fill="FFFFFF"/>
            <w:vAlign w:val="bottom"/>
          </w:tcPr>
          <w:p w14:paraId="20C22DFD" w14:textId="77777777" w:rsidR="001B61D3" w:rsidRDefault="001B61D3" w:rsidP="00A65805">
            <w:pPr>
              <w:pStyle w:val="TableText"/>
              <w:rPr>
                <w:b/>
              </w:rPr>
            </w:pPr>
            <w:r>
              <w:rPr>
                <w:b/>
              </w:rPr>
              <w:t>VBECS</w:t>
            </w:r>
          </w:p>
        </w:tc>
      </w:tr>
      <w:tr w:rsidR="001B61D3" w14:paraId="63CAF148" w14:textId="77777777">
        <w:tc>
          <w:tcPr>
            <w:tcW w:w="3240" w:type="dxa"/>
          </w:tcPr>
          <w:p w14:paraId="26EE0077" w14:textId="77777777" w:rsidR="001B61D3" w:rsidRDefault="001B61D3" w:rsidP="006D628A">
            <w:pPr>
              <w:pStyle w:val="TableTextNumbers"/>
            </w:pPr>
            <w:r>
              <w:t xml:space="preserve">Select </w:t>
            </w:r>
            <w:r>
              <w:rPr>
                <w:b/>
              </w:rPr>
              <w:t>Reagents</w:t>
            </w:r>
            <w:r w:rsidR="006D628A">
              <w:t xml:space="preserve"> from the main menu.</w:t>
            </w:r>
          </w:p>
        </w:tc>
        <w:tc>
          <w:tcPr>
            <w:tcW w:w="6120" w:type="dxa"/>
          </w:tcPr>
          <w:p w14:paraId="1394A33C" w14:textId="77777777" w:rsidR="001B61D3" w:rsidRDefault="001B61D3" w:rsidP="006D628A">
            <w:pPr>
              <w:pStyle w:val="TableTextBullet"/>
            </w:pPr>
            <w:r>
              <w:t>Displays o</w:t>
            </w:r>
            <w:r w:rsidR="006D628A">
              <w:t>ptions for processing reagents.</w:t>
            </w:r>
          </w:p>
          <w:p w14:paraId="4846EBA5" w14:textId="77777777" w:rsidR="001B61D3" w:rsidRDefault="001B61D3" w:rsidP="00A65805">
            <w:pPr>
              <w:pStyle w:val="NotesText"/>
            </w:pPr>
          </w:p>
        </w:tc>
      </w:tr>
      <w:tr w:rsidR="001B61D3" w14:paraId="0FB1F587" w14:textId="77777777">
        <w:tc>
          <w:tcPr>
            <w:tcW w:w="3240" w:type="dxa"/>
            <w:tcBorders>
              <w:top w:val="single" w:sz="4" w:space="0" w:color="auto"/>
              <w:left w:val="single" w:sz="4" w:space="0" w:color="auto"/>
              <w:bottom w:val="single" w:sz="4" w:space="0" w:color="auto"/>
              <w:right w:val="single" w:sz="4" w:space="0" w:color="auto"/>
            </w:tcBorders>
          </w:tcPr>
          <w:p w14:paraId="7B9736E9" w14:textId="77777777" w:rsidR="001B61D3" w:rsidRDefault="001B61D3" w:rsidP="00A65805">
            <w:pPr>
              <w:pStyle w:val="TableTextNumbers"/>
            </w:pPr>
            <w:r>
              <w:t xml:space="preserve">Select </w:t>
            </w:r>
            <w:r>
              <w:rPr>
                <w:b/>
              </w:rPr>
              <w:t>Maintain Minimum Levels</w:t>
            </w:r>
            <w:r>
              <w:rPr>
                <w:rStyle w:val="TableTextNumbersContinuedChar"/>
              </w:rPr>
              <w:t>.</w:t>
            </w:r>
          </w:p>
        </w:tc>
        <w:tc>
          <w:tcPr>
            <w:tcW w:w="6120" w:type="dxa"/>
            <w:tcBorders>
              <w:top w:val="single" w:sz="4" w:space="0" w:color="auto"/>
              <w:left w:val="single" w:sz="4" w:space="0" w:color="auto"/>
              <w:bottom w:val="single" w:sz="4" w:space="0" w:color="auto"/>
              <w:right w:val="single" w:sz="4" w:space="0" w:color="auto"/>
            </w:tcBorders>
          </w:tcPr>
          <w:p w14:paraId="73228E17" w14:textId="77777777" w:rsidR="001B61D3" w:rsidRDefault="001B61D3" w:rsidP="00A65805">
            <w:pPr>
              <w:pStyle w:val="TableTextBullet"/>
            </w:pPr>
            <w:r>
              <w:t>Lists available reagent types and their associated minimum stock levels.</w:t>
            </w:r>
          </w:p>
        </w:tc>
      </w:tr>
      <w:tr w:rsidR="001B61D3" w14:paraId="44362FD3" w14:textId="77777777">
        <w:tc>
          <w:tcPr>
            <w:tcW w:w="3240" w:type="dxa"/>
            <w:tcBorders>
              <w:top w:val="single" w:sz="4" w:space="0" w:color="auto"/>
              <w:left w:val="single" w:sz="4" w:space="0" w:color="auto"/>
              <w:bottom w:val="single" w:sz="4" w:space="0" w:color="auto"/>
              <w:right w:val="single" w:sz="4" w:space="0" w:color="auto"/>
            </w:tcBorders>
          </w:tcPr>
          <w:p w14:paraId="3925088C" w14:textId="77777777" w:rsidR="001B61D3" w:rsidRDefault="001B61D3" w:rsidP="00A65805">
            <w:pPr>
              <w:pStyle w:val="TableTextNumbers"/>
            </w:pPr>
            <w:r>
              <w:t xml:space="preserve">Select a </w:t>
            </w:r>
            <w:r w:rsidRPr="00A96756">
              <w:rPr>
                <w:b/>
              </w:rPr>
              <w:t>Reagent Type</w:t>
            </w:r>
            <w:r>
              <w:t xml:space="preserve"> to edit the minimum level threshold. </w:t>
            </w:r>
          </w:p>
        </w:tc>
        <w:tc>
          <w:tcPr>
            <w:tcW w:w="6120" w:type="dxa"/>
            <w:tcBorders>
              <w:top w:val="single" w:sz="4" w:space="0" w:color="auto"/>
              <w:left w:val="single" w:sz="4" w:space="0" w:color="auto"/>
              <w:bottom w:val="single" w:sz="4" w:space="0" w:color="auto"/>
              <w:right w:val="single" w:sz="4" w:space="0" w:color="auto"/>
            </w:tcBorders>
          </w:tcPr>
          <w:p w14:paraId="5CC5A7CB" w14:textId="77777777" w:rsidR="001B61D3" w:rsidRDefault="006D628A" w:rsidP="00A65805">
            <w:pPr>
              <w:pStyle w:val="TableTextBullet"/>
            </w:pPr>
            <w:r>
              <w:t>Displays the r</w:t>
            </w:r>
            <w:r w:rsidR="001B61D3">
              <w:t xml:space="preserve">eagent </w:t>
            </w:r>
            <w:r>
              <w:t>t</w:t>
            </w:r>
            <w:r w:rsidR="001B61D3">
              <w:t xml:space="preserve">ype selected and allows the user to edit the Minimum Stock Level field or select </w:t>
            </w:r>
            <w:r>
              <w:t>another</w:t>
            </w:r>
            <w:r w:rsidR="001B61D3">
              <w:t xml:space="preserve"> reagent.</w:t>
            </w:r>
          </w:p>
          <w:p w14:paraId="25C2F4C8" w14:textId="77777777" w:rsidR="001B61D3" w:rsidRDefault="001B61D3" w:rsidP="006D628A">
            <w:pPr>
              <w:pStyle w:val="TableText"/>
            </w:pPr>
          </w:p>
          <w:p w14:paraId="433574EC" w14:textId="77777777" w:rsidR="001B61D3" w:rsidRDefault="00057948" w:rsidP="00A65805">
            <w:pPr>
              <w:pStyle w:val="TableText"/>
              <w:rPr>
                <w:b/>
                <w:bCs/>
                <w:szCs w:val="18"/>
              </w:rPr>
            </w:pPr>
            <w:r>
              <w:rPr>
                <w:b/>
                <w:bCs/>
                <w:noProof/>
              </w:rPr>
              <mc:AlternateContent>
                <mc:Choice Requires="wps">
                  <w:drawing>
                    <wp:anchor distT="0" distB="0" distL="114300" distR="114300" simplePos="0" relativeHeight="251688960" behindDoc="0" locked="0" layoutInCell="1" allowOverlap="1" wp14:anchorId="5D5FF603" wp14:editId="2FB39DBE">
                      <wp:simplePos x="0" y="0"/>
                      <wp:positionH relativeFrom="column">
                        <wp:posOffset>457200</wp:posOffset>
                      </wp:positionH>
                      <wp:positionV relativeFrom="paragraph">
                        <wp:posOffset>65405</wp:posOffset>
                      </wp:positionV>
                      <wp:extent cx="3200400" cy="0"/>
                      <wp:effectExtent l="9525" t="17780" r="9525" b="10795"/>
                      <wp:wrapNone/>
                      <wp:docPr id="531" name="Line 996" descr="P2902C8T3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7B3AE" id="Line 996" o:spid="_x0000_s1026" alt="&quot;&quot;"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MMY3ssMBAABuAwAADgAAAAAAAAAAAAAAAAAu&#10;AgAAZHJzL2Uyb0RvYy54bWxQSwECLQAUAAYACAAAACEAF08wEtsAAAAIAQAADwAAAAAAAAAAAAAA&#10;AAAdBAAAZHJzL2Rvd25yZXYueG1sUEsFBgAAAAAEAAQA8wAAACUFAAAAAA==&#10;" strokeweight="1.5pt"/>
                  </w:pict>
                </mc:Fallback>
              </mc:AlternateContent>
            </w:r>
            <w:r w:rsidR="001B61D3">
              <w:rPr>
                <w:b/>
                <w:bCs/>
                <w:szCs w:val="18"/>
              </w:rPr>
              <w:t>NOTES</w:t>
            </w:r>
          </w:p>
          <w:p w14:paraId="74D35A86" w14:textId="77777777" w:rsidR="001B61D3" w:rsidRDefault="001B61D3" w:rsidP="00A65805">
            <w:pPr>
              <w:pStyle w:val="NotesText"/>
            </w:pPr>
          </w:p>
          <w:p w14:paraId="6B44A9E2" w14:textId="77777777" w:rsidR="001B61D3" w:rsidRDefault="001B61D3" w:rsidP="006D628A">
            <w:pPr>
              <w:pStyle w:val="NotesText"/>
            </w:pPr>
            <w:r w:rsidRPr="00A96756">
              <w:rPr>
                <w:rFonts w:cs="Arial"/>
              </w:rPr>
              <w:t xml:space="preserve">A minimum inventory level (a whole number from 0 to 999) is set for each reagent type. This is related to the reagent type, independent of manufacturer name and lot numbers. </w:t>
            </w:r>
          </w:p>
        </w:tc>
      </w:tr>
      <w:tr w:rsidR="001B61D3" w14:paraId="653E05BC" w14:textId="77777777">
        <w:tc>
          <w:tcPr>
            <w:tcW w:w="3240" w:type="dxa"/>
            <w:tcBorders>
              <w:top w:val="single" w:sz="4" w:space="0" w:color="auto"/>
              <w:left w:val="single" w:sz="4" w:space="0" w:color="auto"/>
              <w:bottom w:val="single" w:sz="4" w:space="0" w:color="auto"/>
              <w:right w:val="single" w:sz="4" w:space="0" w:color="auto"/>
            </w:tcBorders>
          </w:tcPr>
          <w:p w14:paraId="6DD57AB4" w14:textId="77777777" w:rsidR="001B61D3" w:rsidRDefault="001B61D3" w:rsidP="00A65805">
            <w:pPr>
              <w:pStyle w:val="TableTextNumbers"/>
            </w:pPr>
            <w:r>
              <w:t xml:space="preserve">Enter (or select) a minimum number of vials in the </w:t>
            </w:r>
            <w:r w:rsidRPr="00A96756">
              <w:rPr>
                <w:b/>
              </w:rPr>
              <w:t xml:space="preserve">Minimum Stock </w:t>
            </w:r>
            <w:r>
              <w:rPr>
                <w:b/>
              </w:rPr>
              <w:t>L</w:t>
            </w:r>
            <w:r w:rsidRPr="00A96756">
              <w:rPr>
                <w:b/>
              </w:rPr>
              <w:t>evel</w:t>
            </w:r>
            <w:r>
              <w:t xml:space="preserve"> field.</w:t>
            </w:r>
          </w:p>
        </w:tc>
        <w:tc>
          <w:tcPr>
            <w:tcW w:w="6120" w:type="dxa"/>
            <w:tcBorders>
              <w:top w:val="single" w:sz="4" w:space="0" w:color="auto"/>
              <w:left w:val="single" w:sz="4" w:space="0" w:color="auto"/>
              <w:bottom w:val="single" w:sz="4" w:space="0" w:color="auto"/>
              <w:right w:val="single" w:sz="4" w:space="0" w:color="auto"/>
            </w:tcBorders>
          </w:tcPr>
          <w:p w14:paraId="31D14F6A" w14:textId="77777777" w:rsidR="001B61D3" w:rsidRDefault="001B61D3" w:rsidP="00A65805">
            <w:pPr>
              <w:pStyle w:val="TableTextBullet"/>
            </w:pPr>
            <w:r>
              <w:t>Displays the changes and allows the user to</w:t>
            </w:r>
            <w:r w:rsidR="00BC0E81">
              <w:t xml:space="preserve"> select another reagent to edit.</w:t>
            </w:r>
          </w:p>
          <w:p w14:paraId="45E07172" w14:textId="77777777" w:rsidR="001B61D3" w:rsidRDefault="001B61D3" w:rsidP="00A65805">
            <w:pPr>
              <w:pStyle w:val="TableText"/>
            </w:pPr>
          </w:p>
          <w:p w14:paraId="4E6CF762" w14:textId="77777777" w:rsidR="001B61D3" w:rsidRDefault="00057948" w:rsidP="00A65805">
            <w:pPr>
              <w:pStyle w:val="TableText"/>
              <w:rPr>
                <w:b/>
                <w:bCs/>
                <w:szCs w:val="18"/>
              </w:rPr>
            </w:pPr>
            <w:r>
              <w:rPr>
                <w:b/>
                <w:bCs/>
                <w:noProof/>
              </w:rPr>
              <mc:AlternateContent>
                <mc:Choice Requires="wps">
                  <w:drawing>
                    <wp:anchor distT="0" distB="0" distL="114300" distR="114300" simplePos="0" relativeHeight="251689984" behindDoc="0" locked="0" layoutInCell="1" allowOverlap="1" wp14:anchorId="1C8AEF64" wp14:editId="59230640">
                      <wp:simplePos x="0" y="0"/>
                      <wp:positionH relativeFrom="column">
                        <wp:posOffset>457200</wp:posOffset>
                      </wp:positionH>
                      <wp:positionV relativeFrom="paragraph">
                        <wp:posOffset>65405</wp:posOffset>
                      </wp:positionV>
                      <wp:extent cx="3200400" cy="0"/>
                      <wp:effectExtent l="9525" t="17780" r="9525" b="10795"/>
                      <wp:wrapNone/>
                      <wp:docPr id="530" name="Line 997" descr="P2909C10T3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D79F5" id="Line 997" o:spid="_x0000_s1026" alt="&quot;&quot;"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eaVMbMMBAABuAwAADgAAAAAAAAAAAAAAAAAu&#10;AgAAZHJzL2Uyb0RvYy54bWxQSwECLQAUAAYACAAAACEAF08wEtsAAAAIAQAADwAAAAAAAAAAAAAA&#10;AAAdBAAAZHJzL2Rvd25yZXYueG1sUEsFBgAAAAAEAAQA8wAAACUFAAAAAA==&#10;" strokeweight="1.5pt"/>
                  </w:pict>
                </mc:Fallback>
              </mc:AlternateContent>
            </w:r>
            <w:r w:rsidR="001B61D3">
              <w:rPr>
                <w:b/>
                <w:bCs/>
                <w:szCs w:val="18"/>
              </w:rPr>
              <w:t>NOTES</w:t>
            </w:r>
          </w:p>
          <w:p w14:paraId="455B43B1" w14:textId="77777777" w:rsidR="001B61D3" w:rsidRDefault="001B61D3" w:rsidP="00A65805">
            <w:pPr>
              <w:pStyle w:val="NotesText"/>
            </w:pPr>
          </w:p>
          <w:p w14:paraId="5940B604" w14:textId="77777777" w:rsidR="001B61D3" w:rsidRDefault="001B61D3" w:rsidP="00A65805">
            <w:pPr>
              <w:pStyle w:val="NotesText"/>
            </w:pPr>
            <w:r>
              <w:rPr>
                <w:rFonts w:cs="Arial"/>
                <w:vanish/>
              </w:rPr>
              <w:t xml:space="preserve">BR_20.09 </w:t>
            </w:r>
            <w:r>
              <w:t xml:space="preserve">When the number of vials in stock is at or is less than the stock minimum, VBECS notifies the user and instructs him to check the inventory. </w:t>
            </w:r>
          </w:p>
          <w:p w14:paraId="229393B1" w14:textId="77777777" w:rsidR="001B61D3" w:rsidRDefault="001B61D3" w:rsidP="00A65805">
            <w:pPr>
              <w:pStyle w:val="NotesText"/>
            </w:pPr>
          </w:p>
          <w:p w14:paraId="1295B7C8" w14:textId="77777777" w:rsidR="001B61D3" w:rsidRDefault="001B61D3" w:rsidP="00A65805">
            <w:pPr>
              <w:pStyle w:val="NotesText"/>
            </w:pPr>
            <w:r>
              <w:t>Inventory levels are tied to the reagent type, not to the manufacturer reagent name or the lot number. A particular type may have multiple manufacturer reagent names and multiple lot numbers associated with that manufacturer reagent name, all of which are summed to create the inventory of that reagent type. VBECS tracks the total number of vials in the system for a particular reagent type.</w:t>
            </w:r>
          </w:p>
          <w:p w14:paraId="14B83C44" w14:textId="77777777" w:rsidR="0079067D" w:rsidRDefault="0079067D" w:rsidP="00A65805">
            <w:pPr>
              <w:pStyle w:val="NotesText"/>
            </w:pPr>
          </w:p>
          <w:p w14:paraId="7AECB08D" w14:textId="77777777" w:rsidR="0079067D" w:rsidRDefault="0079067D" w:rsidP="00A65805">
            <w:pPr>
              <w:pStyle w:val="NotesText"/>
            </w:pPr>
            <w:r>
              <w:rPr>
                <w:rFonts w:cs="Arial"/>
                <w:vanish/>
              </w:rPr>
              <w:t xml:space="preserve">BR_58.02 </w:t>
            </w:r>
            <w:r>
              <w:t xml:space="preserve">Each reagent type has one minimum inventory level established regardless of manufacturer name and lot numbers. Valid entries are whole numbers from </w:t>
            </w:r>
            <w:r w:rsidR="00133C70">
              <w:t>0</w:t>
            </w:r>
            <w:r>
              <w:t xml:space="preserve"> to 999.</w:t>
            </w:r>
          </w:p>
        </w:tc>
      </w:tr>
      <w:tr w:rsidR="001B61D3" w14:paraId="566C7653" w14:textId="77777777">
        <w:tc>
          <w:tcPr>
            <w:tcW w:w="3240" w:type="dxa"/>
            <w:tcBorders>
              <w:top w:val="single" w:sz="4" w:space="0" w:color="auto"/>
              <w:left w:val="single" w:sz="4" w:space="0" w:color="auto"/>
              <w:bottom w:val="single" w:sz="4" w:space="0" w:color="auto"/>
              <w:right w:val="single" w:sz="4" w:space="0" w:color="auto"/>
            </w:tcBorders>
          </w:tcPr>
          <w:p w14:paraId="176EE886" w14:textId="5EACCAA2" w:rsidR="001B61D3" w:rsidRDefault="001B61D3" w:rsidP="00A65805">
            <w:pPr>
              <w:pStyle w:val="TableTextNumbers"/>
            </w:pPr>
            <w:r>
              <w:t xml:space="preserve">Review the displayed information and click </w:t>
            </w:r>
            <w:r>
              <w:rPr>
                <w:b/>
              </w:rPr>
              <w:t>U</w:t>
            </w:r>
            <w:r w:rsidR="00B31DEA">
              <w:rPr>
                <w:b/>
              </w:rPr>
              <w:t>pdate</w:t>
            </w:r>
            <w:r w:rsidR="00307D76" w:rsidRPr="00307D76">
              <w:t xml:space="preserve"> (</w:t>
            </w:r>
            <w:r w:rsidR="00307D76">
              <w:fldChar w:fldCharType="begin" w:fldLock="1"/>
            </w:r>
            <w:r w:rsidR="00307D76">
              <w:instrText xml:space="preserve"> REF _Ref126550654 \h </w:instrText>
            </w:r>
            <w:r w:rsidR="00307D76">
              <w:fldChar w:fldCharType="separate"/>
            </w:r>
            <w:r w:rsidR="00AB304C">
              <w:t xml:space="preserve">Figure </w:t>
            </w:r>
            <w:r w:rsidR="00AB304C">
              <w:rPr>
                <w:noProof/>
              </w:rPr>
              <w:t>66</w:t>
            </w:r>
            <w:r w:rsidR="00307D76">
              <w:fldChar w:fldCharType="end"/>
            </w:r>
            <w:r w:rsidR="00307D76" w:rsidRPr="00307D76">
              <w:t>)</w:t>
            </w:r>
            <w:r>
              <w:t>.</w:t>
            </w:r>
          </w:p>
        </w:tc>
        <w:tc>
          <w:tcPr>
            <w:tcW w:w="6120" w:type="dxa"/>
            <w:tcBorders>
              <w:top w:val="single" w:sz="4" w:space="0" w:color="auto"/>
              <w:left w:val="single" w:sz="4" w:space="0" w:color="auto"/>
              <w:bottom w:val="single" w:sz="4" w:space="0" w:color="auto"/>
              <w:right w:val="single" w:sz="4" w:space="0" w:color="auto"/>
            </w:tcBorders>
          </w:tcPr>
          <w:p w14:paraId="14DB0D63" w14:textId="77777777" w:rsidR="001B61D3" w:rsidRDefault="001B61D3" w:rsidP="00A65805">
            <w:pPr>
              <w:pStyle w:val="TableTextBullet"/>
            </w:pPr>
            <w:r>
              <w:t>Displays the changes and allows the user to select another reagent to edit</w:t>
            </w:r>
            <w:r w:rsidR="002F1731">
              <w:t>.</w:t>
            </w:r>
          </w:p>
          <w:p w14:paraId="329D44FD" w14:textId="77777777" w:rsidR="001B61D3" w:rsidRDefault="001B61D3" w:rsidP="00A65805">
            <w:pPr>
              <w:pStyle w:val="TableTextBullet"/>
            </w:pPr>
            <w:r>
              <w:t xml:space="preserve">Prompts </w:t>
            </w:r>
            <w:r w:rsidR="00B31DEA">
              <w:t>the user to confirm</w:t>
            </w:r>
            <w:r>
              <w:t xml:space="preserve"> the save. </w:t>
            </w:r>
          </w:p>
        </w:tc>
      </w:tr>
      <w:tr w:rsidR="00BE3C21" w14:paraId="386F9E80" w14:textId="77777777">
        <w:tc>
          <w:tcPr>
            <w:tcW w:w="3240" w:type="dxa"/>
            <w:tcBorders>
              <w:top w:val="single" w:sz="4" w:space="0" w:color="auto"/>
              <w:left w:val="single" w:sz="4" w:space="0" w:color="auto"/>
              <w:bottom w:val="single" w:sz="4" w:space="0" w:color="auto"/>
              <w:right w:val="single" w:sz="4" w:space="0" w:color="auto"/>
            </w:tcBorders>
          </w:tcPr>
          <w:p w14:paraId="1A0434E2" w14:textId="77777777" w:rsidR="00BE3C21" w:rsidRDefault="00BE3C21" w:rsidP="004A7373">
            <w:pPr>
              <w:pStyle w:val="TableTextNumbers"/>
            </w:pPr>
            <w:r>
              <w:t>Repeat Steps 3–5 until all minimum reagent levels are set.</w:t>
            </w:r>
          </w:p>
        </w:tc>
        <w:tc>
          <w:tcPr>
            <w:tcW w:w="6120" w:type="dxa"/>
            <w:tcBorders>
              <w:top w:val="single" w:sz="4" w:space="0" w:color="auto"/>
              <w:left w:val="single" w:sz="4" w:space="0" w:color="auto"/>
              <w:bottom w:val="single" w:sz="4" w:space="0" w:color="auto"/>
              <w:right w:val="single" w:sz="4" w:space="0" w:color="auto"/>
            </w:tcBorders>
          </w:tcPr>
          <w:p w14:paraId="2E6D76B4" w14:textId="77777777" w:rsidR="00BE3C21" w:rsidRDefault="00BE3C21" w:rsidP="00BE3C21">
            <w:pPr>
              <w:pStyle w:val="TableText"/>
            </w:pPr>
          </w:p>
        </w:tc>
      </w:tr>
      <w:tr w:rsidR="001B61D3" w14:paraId="51EC770F" w14:textId="77777777">
        <w:tc>
          <w:tcPr>
            <w:tcW w:w="3240" w:type="dxa"/>
            <w:tcBorders>
              <w:top w:val="single" w:sz="4" w:space="0" w:color="auto"/>
              <w:left w:val="single" w:sz="4" w:space="0" w:color="auto"/>
              <w:bottom w:val="single" w:sz="4" w:space="0" w:color="auto"/>
              <w:right w:val="single" w:sz="4" w:space="0" w:color="auto"/>
            </w:tcBorders>
          </w:tcPr>
          <w:p w14:paraId="2D205670" w14:textId="77777777" w:rsidR="001B61D3" w:rsidRDefault="001B61D3" w:rsidP="004A7373">
            <w:pPr>
              <w:pStyle w:val="TableTextNumbers"/>
            </w:pPr>
            <w:r>
              <w:t xml:space="preserve">Click </w:t>
            </w:r>
            <w:r>
              <w:rPr>
                <w:b/>
              </w:rPr>
              <w:t>OK</w:t>
            </w:r>
            <w:r>
              <w:t xml:space="preserve"> to save</w:t>
            </w:r>
            <w:r w:rsidR="004A7373">
              <w:t>,</w:t>
            </w:r>
            <w:r w:rsidR="00B31DEA">
              <w:t xml:space="preserve"> and </w:t>
            </w:r>
            <w:r>
              <w:rPr>
                <w:b/>
              </w:rPr>
              <w:t>Yes</w:t>
            </w:r>
            <w:r>
              <w:t xml:space="preserve"> to confirm the save.</w:t>
            </w:r>
            <w:r w:rsidR="005D6F0D">
              <w:rPr>
                <w:vanish/>
                <w:color w:val="FFFFFF"/>
                <w:szCs w:val="18"/>
              </w:rPr>
              <w:t xml:space="preserve"> </w:t>
            </w:r>
            <w:r w:rsidR="005D6F0D">
              <w:rPr>
                <w:vanish/>
                <w:color w:val="FFFFFF"/>
                <w:szCs w:val="18"/>
              </w:rPr>
              <w:fldChar w:fldCharType="begin"/>
            </w:r>
            <w:r w:rsidR="005D6F0D">
              <w:rPr>
                <w:vanish/>
                <w:color w:val="FFFFFF"/>
                <w:szCs w:val="18"/>
              </w:rPr>
              <w:instrText xml:space="preserve"> LISTNUM \l 1 \s 0 </w:instrText>
            </w:r>
            <w:r w:rsidR="005D6F0D">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4CA0DA88" w14:textId="77777777" w:rsidR="001B61D3" w:rsidRDefault="001B61D3" w:rsidP="00A65805">
            <w:pPr>
              <w:pStyle w:val="TableTextBullet"/>
            </w:pPr>
            <w:r>
              <w:t>Saves the record and exits.</w:t>
            </w:r>
          </w:p>
        </w:tc>
      </w:tr>
    </w:tbl>
    <w:p w14:paraId="77A06A9D" w14:textId="56CABABA" w:rsidR="00307D76" w:rsidRDefault="00307D76" w:rsidP="00307D76">
      <w:pPr>
        <w:pStyle w:val="Caption"/>
      </w:pPr>
      <w:bookmarkStart w:id="251" w:name="_Ref126550654"/>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66</w:t>
      </w:r>
      <w:r w:rsidR="004E20BD">
        <w:rPr>
          <w:noProof/>
        </w:rPr>
        <w:fldChar w:fldCharType="end"/>
      </w:r>
      <w:bookmarkEnd w:id="251"/>
      <w:r>
        <w:t>: Maintain Minimum Reagent Levels</w:t>
      </w:r>
    </w:p>
    <w:p w14:paraId="60270604" w14:textId="77777777" w:rsidR="00771C65" w:rsidRDefault="00057948" w:rsidP="00771C65">
      <w:pPr>
        <w:pStyle w:val="BodyText"/>
      </w:pPr>
      <w:r>
        <w:rPr>
          <w:noProof/>
        </w:rPr>
        <w:drawing>
          <wp:inline distT="0" distB="0" distL="0" distR="0" wp14:anchorId="6101395D" wp14:editId="18B7495C">
            <wp:extent cx="3417570" cy="3519170"/>
            <wp:effectExtent l="0" t="0" r="0" b="5080"/>
            <wp:docPr id="145" name="Picture 145" descr="P2928#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P2928#yIS1">
                      <a:extLst>
                        <a:ext uri="{C183D7F6-B498-43B3-948B-1728B52AA6E4}">
                          <adec:decorative xmlns:adec="http://schemas.microsoft.com/office/drawing/2017/decorative" val="1"/>
                        </a:ext>
                      </a:extLst>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417570" cy="3519170"/>
                    </a:xfrm>
                    <a:prstGeom prst="rect">
                      <a:avLst/>
                    </a:prstGeom>
                    <a:noFill/>
                    <a:ln>
                      <a:noFill/>
                    </a:ln>
                  </pic:spPr>
                </pic:pic>
              </a:graphicData>
            </a:graphic>
          </wp:inline>
        </w:drawing>
      </w:r>
    </w:p>
    <w:p w14:paraId="541EA064" w14:textId="77777777" w:rsidR="002A21AE" w:rsidRDefault="00864906">
      <w:pPr>
        <w:pStyle w:val="Heading3"/>
      </w:pPr>
      <w:r>
        <w:br w:type="page"/>
      </w:r>
      <w:bookmarkStart w:id="252" w:name="_Toc4588772"/>
      <w:r w:rsidR="00FF225E">
        <w:lastRenderedPageBreak/>
        <w:t>Supplies</w:t>
      </w:r>
      <w:bookmarkEnd w:id="252"/>
      <w:r w:rsidR="002A21AE">
        <w:fldChar w:fldCharType="begin"/>
      </w:r>
      <w:r w:rsidR="002A21AE">
        <w:instrText xml:space="preserve"> XE </w:instrText>
      </w:r>
      <w:r w:rsidR="00FA7E65">
        <w:instrText>“</w:instrText>
      </w:r>
      <w:r w:rsidR="00FF225E">
        <w:instrText>Supplies</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UC_81</w:t>
      </w:r>
    </w:p>
    <w:p w14:paraId="35FC0D79" w14:textId="77777777" w:rsidR="002A21AE" w:rsidRDefault="002A21AE" w:rsidP="00FA7E65">
      <w:pPr>
        <w:pStyle w:val="BodyText"/>
      </w:pPr>
      <w:r>
        <w:t xml:space="preserve">The user documents the receipt of supplies, and updates and views the supply inventory. </w:t>
      </w:r>
    </w:p>
    <w:p w14:paraId="219D9913" w14:textId="77777777" w:rsidR="002A21AE" w:rsidRDefault="002A21AE">
      <w:pPr>
        <w:pStyle w:val="Heading4"/>
      </w:pPr>
      <w:r>
        <w:t>Assumptions</w:t>
      </w:r>
      <w:r>
        <w:rPr>
          <w:b w:val="0"/>
        </w:rPr>
        <w:t xml:space="preserve"> </w:t>
      </w:r>
    </w:p>
    <w:p w14:paraId="360637A2" w14:textId="77777777" w:rsidR="002A21AE" w:rsidRDefault="002A21AE">
      <w:pPr>
        <w:pStyle w:val="ListBullet"/>
      </w:pPr>
      <w:r>
        <w:rPr>
          <w:rFonts w:ascii="Arial" w:hAnsi="Arial" w:cs="Arial"/>
          <w:vanish/>
          <w:spacing w:val="0"/>
          <w:sz w:val="18"/>
        </w:rPr>
        <w:t xml:space="preserve">BR_81.01 </w:t>
      </w:r>
      <w:r>
        <w:t>A user may maintain supply inventory only in the division logged into.</w:t>
      </w:r>
    </w:p>
    <w:p w14:paraId="27911181" w14:textId="77777777" w:rsidR="002A21AE" w:rsidRDefault="002A21AE">
      <w:pPr>
        <w:pStyle w:val="Heading4"/>
      </w:pPr>
      <w:r>
        <w:t xml:space="preserve">Outcome </w:t>
      </w:r>
    </w:p>
    <w:p w14:paraId="03593891" w14:textId="77777777" w:rsidR="002A21AE" w:rsidRDefault="002A21AE">
      <w:pPr>
        <w:pStyle w:val="ListBullet"/>
      </w:pPr>
      <w:r>
        <w:t>A supply inventory that is accessible only within the division of entry was established.</w:t>
      </w:r>
    </w:p>
    <w:p w14:paraId="10DBB6B8" w14:textId="77777777" w:rsidR="002A21AE" w:rsidRDefault="002A21AE">
      <w:pPr>
        <w:pStyle w:val="Heading4"/>
      </w:pPr>
      <w:r>
        <w:t>Limitations and Restrictions</w:t>
      </w:r>
      <w:r>
        <w:rPr>
          <w:b w:val="0"/>
        </w:rPr>
        <w:t xml:space="preserve"> </w:t>
      </w:r>
    </w:p>
    <w:p w14:paraId="57FD727B" w14:textId="77777777" w:rsidR="002A21AE" w:rsidRDefault="002A21AE">
      <w:pPr>
        <w:pStyle w:val="ListBullet"/>
      </w:pPr>
      <w:r>
        <w:t xml:space="preserve">The division’s modification processes may allow or require the user to select previously entered supplies for association with a blood unit’s modification. An inventory of containers (transfer bags) and sterile </w:t>
      </w:r>
      <w:r w:rsidR="00AD29E0">
        <w:t>connection</w:t>
      </w:r>
      <w:r>
        <w:t xml:space="preserve"> device (SCD) wafers is </w:t>
      </w:r>
      <w:r>
        <w:rPr>
          <w:i/>
        </w:rPr>
        <w:t>required</w:t>
      </w:r>
      <w:r>
        <w:t xml:space="preserve"> for various modification processes. </w:t>
      </w:r>
    </w:p>
    <w:p w14:paraId="311DB705" w14:textId="77777777" w:rsidR="002A21AE" w:rsidRDefault="002A21AE">
      <w:pPr>
        <w:pStyle w:val="ListBullet"/>
      </w:pPr>
      <w:r>
        <w:t>There is no retrospective data entry or user selection for th</w:t>
      </w:r>
      <w:r w:rsidR="00932460">
        <w:t>is</w:t>
      </w:r>
      <w:r>
        <w:t xml:space="preserve"> </w:t>
      </w:r>
      <w:r w:rsidR="00932460">
        <w:t>option</w:t>
      </w:r>
      <w:r>
        <w:t>.</w:t>
      </w:r>
    </w:p>
    <w:p w14:paraId="5C030897" w14:textId="77777777" w:rsidR="0007472F" w:rsidRDefault="0007472F" w:rsidP="0007472F">
      <w:pPr>
        <w:pStyle w:val="ListBullet"/>
      </w:pPr>
      <w:r>
        <w:t>The unsatisfactory portion of a shipment must be recorded individually.</w:t>
      </w:r>
    </w:p>
    <w:p w14:paraId="7B6D7785" w14:textId="77777777" w:rsidR="00A90872" w:rsidRDefault="007F4949">
      <w:pPr>
        <w:pStyle w:val="ListBullet"/>
      </w:pPr>
      <w:r>
        <w:t>Each site must set a standard for recording quantity: it may</w:t>
      </w:r>
      <w:r w:rsidR="00A90872">
        <w:t xml:space="preserve"> </w:t>
      </w:r>
      <w:r>
        <w:t>use</w:t>
      </w:r>
      <w:r w:rsidR="00A90872">
        <w:t xml:space="preserve"> </w:t>
      </w:r>
      <w:r>
        <w:t xml:space="preserve">the number of </w:t>
      </w:r>
      <w:r w:rsidR="009335DA">
        <w:t>case</w:t>
      </w:r>
      <w:r>
        <w:t>s</w:t>
      </w:r>
      <w:r w:rsidR="00A90872">
        <w:t xml:space="preserve"> or the number of units </w:t>
      </w:r>
      <w:r>
        <w:t>within the cases</w:t>
      </w:r>
      <w:r w:rsidR="00A90872">
        <w:t>.</w:t>
      </w:r>
      <w:r>
        <w:t xml:space="preserve"> </w:t>
      </w:r>
    </w:p>
    <w:p w14:paraId="318F3462" w14:textId="77777777" w:rsidR="002A21AE" w:rsidRDefault="002A21AE">
      <w:pPr>
        <w:pStyle w:val="Heading4"/>
      </w:pPr>
      <w:r>
        <w:t xml:space="preserve">Additional Information </w:t>
      </w:r>
    </w:p>
    <w:p w14:paraId="5DD9723C" w14:textId="77777777" w:rsidR="002A21AE" w:rsidRDefault="002A21AE">
      <w:pPr>
        <w:pStyle w:val="ListBullet"/>
      </w:pPr>
      <w:r>
        <w:t xml:space="preserve">Maintaining Blood Bank Equipment (Equipment: Log In Equipment, Equipment: Maintain Equipment) and </w:t>
      </w:r>
      <w:r w:rsidR="005F6016">
        <w:t>Reagents</w:t>
      </w:r>
      <w:r>
        <w:t xml:space="preserve"> (Log In Reagents, Update Inventory, View/Print Inventory</w:t>
      </w:r>
      <w:r w:rsidR="005F6016">
        <w:t>, Maintain Minimum Levels</w:t>
      </w:r>
      <w:r>
        <w:t xml:space="preserve">) accommodate the maintenance of reagents and equipment, respectively. </w:t>
      </w:r>
    </w:p>
    <w:p w14:paraId="7A005171" w14:textId="77777777" w:rsidR="002A21AE" w:rsidRDefault="002A21AE">
      <w:pPr>
        <w:pStyle w:val="ListBullet"/>
      </w:pPr>
      <w:r>
        <w:t xml:space="preserve">VBECS saves the lot number, manufacturer name, and expiration date of supplies used in a unit’s modification process as part of a unit’s modification record when associated during the modification transaction. </w:t>
      </w:r>
    </w:p>
    <w:p w14:paraId="79416099" w14:textId="77777777" w:rsidR="002A21AE" w:rsidRDefault="002A21AE">
      <w:pPr>
        <w:pStyle w:val="ListBullet"/>
      </w:pPr>
      <w:r>
        <w:t>VBECS creates a list of manufacturers as they are entered and makes the list available for selection. Users may not edit entries.</w:t>
      </w:r>
    </w:p>
    <w:p w14:paraId="5C23B3DC" w14:textId="77777777" w:rsidR="002A21AE" w:rsidRDefault="002A21AE">
      <w:pPr>
        <w:pStyle w:val="Heading4"/>
        <w:rPr>
          <w:b w:val="0"/>
        </w:rPr>
      </w:pPr>
      <w:r>
        <w:t>User Roles with Access to This Option</w:t>
      </w:r>
      <w:r>
        <w:rPr>
          <w:b w:val="0"/>
        </w:rPr>
        <w:t xml:space="preserve"> </w:t>
      </w:r>
    </w:p>
    <w:p w14:paraId="60B7D683" w14:textId="77777777" w:rsidR="002A21AE" w:rsidRDefault="00BB1B50">
      <w:pPr>
        <w:pStyle w:val="Roles"/>
        <w:rPr>
          <w:snapToGrid w:val="0"/>
        </w:rPr>
      </w:pPr>
      <w:r>
        <w:t>All users</w:t>
      </w:r>
    </w:p>
    <w:p w14:paraId="07AD4665" w14:textId="77777777" w:rsidR="002A21AE" w:rsidRDefault="002A21AE">
      <w:pPr>
        <w:pStyle w:val="Heading4"/>
      </w:pPr>
      <w:r>
        <w:t>Log in Supplies</w:t>
      </w:r>
      <w:r>
        <w:fldChar w:fldCharType="begin"/>
      </w:r>
      <w:r>
        <w:instrText xml:space="preserve"> XE </w:instrText>
      </w:r>
      <w:r w:rsidR="00FA7E65">
        <w:instrText>“</w:instrText>
      </w:r>
      <w:r>
        <w:instrText>Log in Supplies</w:instrText>
      </w:r>
      <w:r w:rsidR="00FA7E65">
        <w:instrText>”</w:instrText>
      </w:r>
      <w:r>
        <w:instrText xml:space="preserve"> </w:instrText>
      </w:r>
      <w:r>
        <w:fldChar w:fldCharType="end"/>
      </w:r>
      <w:r>
        <w:t xml:space="preserve"> </w:t>
      </w:r>
    </w:p>
    <w:p w14:paraId="1D724C43" w14:textId="77777777" w:rsidR="002A21AE" w:rsidRDefault="00153A27" w:rsidP="00FA7E65">
      <w:pPr>
        <w:pStyle w:val="BodyText"/>
      </w:pPr>
      <w:r>
        <w:t>The</w:t>
      </w:r>
      <w:r w:rsidR="002A21AE">
        <w:t xml:space="preserve"> user records the receipt of specific supplies by type. The supply record includes the date the shipment was received, supply name, lot number, expiration date, manufacturer, and number of items received in a shipment.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464CFE57" w14:textId="77777777">
        <w:trPr>
          <w:cantSplit/>
          <w:tblHeader/>
        </w:trPr>
        <w:tc>
          <w:tcPr>
            <w:tcW w:w="3240" w:type="dxa"/>
            <w:shd w:val="pct30" w:color="auto" w:fill="FFFFFF"/>
            <w:vAlign w:val="bottom"/>
          </w:tcPr>
          <w:p w14:paraId="44E46953" w14:textId="77777777" w:rsidR="002A21AE" w:rsidRDefault="002A21AE">
            <w:pPr>
              <w:pStyle w:val="TableText"/>
              <w:rPr>
                <w:b/>
              </w:rPr>
            </w:pPr>
            <w:r>
              <w:rPr>
                <w:b/>
              </w:rPr>
              <w:t>User Action</w:t>
            </w:r>
          </w:p>
        </w:tc>
        <w:tc>
          <w:tcPr>
            <w:tcW w:w="6120" w:type="dxa"/>
            <w:shd w:val="pct30" w:color="auto" w:fill="FFFFFF"/>
            <w:vAlign w:val="bottom"/>
          </w:tcPr>
          <w:p w14:paraId="09A97DD5" w14:textId="77777777" w:rsidR="002A21AE" w:rsidRDefault="002A21AE">
            <w:pPr>
              <w:pStyle w:val="TableText"/>
              <w:rPr>
                <w:b/>
              </w:rPr>
            </w:pPr>
            <w:r>
              <w:rPr>
                <w:b/>
              </w:rPr>
              <w:t>VBECS</w:t>
            </w:r>
          </w:p>
        </w:tc>
      </w:tr>
      <w:tr w:rsidR="002A21AE" w14:paraId="29366905" w14:textId="77777777">
        <w:tc>
          <w:tcPr>
            <w:tcW w:w="3240" w:type="dxa"/>
            <w:tcBorders>
              <w:top w:val="single" w:sz="4" w:space="0" w:color="auto"/>
              <w:left w:val="single" w:sz="4" w:space="0" w:color="auto"/>
              <w:bottom w:val="single" w:sz="4" w:space="0" w:color="auto"/>
              <w:right w:val="single" w:sz="4" w:space="0" w:color="auto"/>
            </w:tcBorders>
          </w:tcPr>
          <w:p w14:paraId="12C61EA8" w14:textId="77777777" w:rsidR="002A21AE" w:rsidRDefault="002A21AE">
            <w:pPr>
              <w:pStyle w:val="TableTextNumbers"/>
            </w:pPr>
            <w:r>
              <w:t xml:space="preserve">Select </w:t>
            </w:r>
            <w:r>
              <w:rPr>
                <w:b/>
              </w:rPr>
              <w:t>Tools</w:t>
            </w:r>
            <w:r>
              <w:t xml:space="preserve"> from the main menu.</w:t>
            </w:r>
          </w:p>
          <w:p w14:paraId="5592DEB5" w14:textId="77777777" w:rsidR="002A21AE" w:rsidRDefault="002A21AE">
            <w:pPr>
              <w:pStyle w:val="TableTextNumbersContinued"/>
            </w:pPr>
          </w:p>
          <w:p w14:paraId="7E76B11F" w14:textId="77777777" w:rsidR="002A21AE" w:rsidRDefault="002A21AE">
            <w:pPr>
              <w:pStyle w:val="TableTextNumbersContinued"/>
            </w:pPr>
            <w:r>
              <w:t xml:space="preserve">Select </w:t>
            </w:r>
            <w:r>
              <w:rPr>
                <w:b/>
              </w:rPr>
              <w:t>Supplies</w:t>
            </w:r>
            <w:r>
              <w:t>.</w:t>
            </w:r>
          </w:p>
        </w:tc>
        <w:tc>
          <w:tcPr>
            <w:tcW w:w="6120" w:type="dxa"/>
            <w:tcBorders>
              <w:top w:val="single" w:sz="4" w:space="0" w:color="auto"/>
              <w:left w:val="single" w:sz="4" w:space="0" w:color="auto"/>
              <w:bottom w:val="single" w:sz="4" w:space="0" w:color="auto"/>
              <w:right w:val="single" w:sz="4" w:space="0" w:color="auto"/>
            </w:tcBorders>
          </w:tcPr>
          <w:p w14:paraId="2A75FDA1" w14:textId="77777777" w:rsidR="002A21AE" w:rsidRDefault="002A21AE">
            <w:pPr>
              <w:pStyle w:val="TableTextBullet"/>
            </w:pPr>
            <w:r>
              <w:t xml:space="preserve">Displays options for processing administrative functions. </w:t>
            </w:r>
          </w:p>
          <w:p w14:paraId="0B8FDDA3" w14:textId="77777777" w:rsidR="002A21AE" w:rsidRDefault="002A21AE">
            <w:pPr>
              <w:pStyle w:val="TableTextBullet"/>
            </w:pPr>
            <w:r>
              <w:t>Displays options for processing supplies.</w:t>
            </w:r>
          </w:p>
        </w:tc>
      </w:tr>
      <w:tr w:rsidR="002A21AE" w14:paraId="7203C23B" w14:textId="77777777">
        <w:tc>
          <w:tcPr>
            <w:tcW w:w="3240" w:type="dxa"/>
          </w:tcPr>
          <w:p w14:paraId="27679E23" w14:textId="77777777" w:rsidR="002A21AE" w:rsidRDefault="002A21AE">
            <w:pPr>
              <w:pStyle w:val="TableTextNumbers"/>
            </w:pPr>
            <w:r>
              <w:t xml:space="preserve">Select </w:t>
            </w:r>
            <w:r>
              <w:rPr>
                <w:b/>
              </w:rPr>
              <w:t>Log In Supplies</w:t>
            </w:r>
            <w:r>
              <w:t>.</w:t>
            </w:r>
          </w:p>
        </w:tc>
        <w:tc>
          <w:tcPr>
            <w:tcW w:w="6120" w:type="dxa"/>
          </w:tcPr>
          <w:p w14:paraId="4D2A7CD4" w14:textId="77777777" w:rsidR="002A21AE" w:rsidRDefault="002A21AE">
            <w:pPr>
              <w:pStyle w:val="TableTextBullet"/>
            </w:pPr>
            <w:r>
              <w:t>Displays fields for entering invoice and supply information.</w:t>
            </w:r>
          </w:p>
        </w:tc>
      </w:tr>
      <w:tr w:rsidR="002A21AE" w14:paraId="42D51A75" w14:textId="77777777" w:rsidTr="007E500E">
        <w:trPr>
          <w:cantSplit/>
        </w:trPr>
        <w:tc>
          <w:tcPr>
            <w:tcW w:w="3240" w:type="dxa"/>
            <w:tcBorders>
              <w:top w:val="single" w:sz="4" w:space="0" w:color="auto"/>
              <w:left w:val="single" w:sz="4" w:space="0" w:color="auto"/>
              <w:bottom w:val="single" w:sz="4" w:space="0" w:color="auto"/>
              <w:right w:val="single" w:sz="4" w:space="0" w:color="auto"/>
            </w:tcBorders>
          </w:tcPr>
          <w:p w14:paraId="153F3CE2" w14:textId="77777777" w:rsidR="002A21AE" w:rsidRDefault="002A21AE">
            <w:pPr>
              <w:pStyle w:val="TableTextNumbers"/>
            </w:pPr>
            <w:r>
              <w:lastRenderedPageBreak/>
              <w:t>Invoice Information:</w:t>
            </w:r>
          </w:p>
          <w:p w14:paraId="360F6FDC" w14:textId="77777777" w:rsidR="002A21AE" w:rsidRDefault="002A21AE">
            <w:pPr>
              <w:pStyle w:val="TableTextNumbersContinued"/>
              <w:rPr>
                <w:b/>
                <w:bCs/>
              </w:rPr>
            </w:pPr>
          </w:p>
          <w:p w14:paraId="094328E3" w14:textId="77777777" w:rsidR="002A21AE" w:rsidRDefault="002A21AE">
            <w:pPr>
              <w:pStyle w:val="TableTextNumbersContinued"/>
            </w:pPr>
            <w:r>
              <w:t>Enter the invoice number in the Invoice Number field.</w:t>
            </w:r>
          </w:p>
          <w:p w14:paraId="70843765" w14:textId="77777777" w:rsidR="002A21AE" w:rsidRDefault="002A21AE">
            <w:pPr>
              <w:pStyle w:val="TableTextNumbersContinued"/>
            </w:pPr>
          </w:p>
          <w:p w14:paraId="1B4E20F8" w14:textId="77777777" w:rsidR="002A21AE" w:rsidRDefault="002A21AE">
            <w:pPr>
              <w:pStyle w:val="TableTextNumbersContinued"/>
            </w:pPr>
            <w:r>
              <w:t>Select or edit the date and time in the Date Received field</w:t>
            </w:r>
            <w:r w:rsidR="00FB4E58">
              <w:t>.</w:t>
            </w:r>
          </w:p>
          <w:p w14:paraId="1F538690" w14:textId="77777777" w:rsidR="002A21AE" w:rsidRDefault="002A21AE">
            <w:pPr>
              <w:pStyle w:val="TableTextNumbersContinued"/>
            </w:pPr>
          </w:p>
          <w:p w14:paraId="625E0C31" w14:textId="77777777" w:rsidR="002A21AE" w:rsidRDefault="002A21AE">
            <w:pPr>
              <w:pStyle w:val="TableTextNumbersContinued"/>
            </w:pPr>
            <w:r>
              <w:t>Enter the name of the manufacturer in the Manufacturer field, or select a name from the drop-down list.</w:t>
            </w:r>
          </w:p>
        </w:tc>
        <w:tc>
          <w:tcPr>
            <w:tcW w:w="6120" w:type="dxa"/>
            <w:tcBorders>
              <w:top w:val="single" w:sz="4" w:space="0" w:color="auto"/>
              <w:left w:val="single" w:sz="4" w:space="0" w:color="auto"/>
              <w:bottom w:val="single" w:sz="4" w:space="0" w:color="auto"/>
              <w:right w:val="single" w:sz="4" w:space="0" w:color="auto"/>
            </w:tcBorders>
          </w:tcPr>
          <w:p w14:paraId="4D069163" w14:textId="77777777" w:rsidR="002A21AE" w:rsidRDefault="002A21AE">
            <w:pPr>
              <w:pStyle w:val="TableText"/>
            </w:pPr>
          </w:p>
          <w:p w14:paraId="100457C9" w14:textId="77777777" w:rsidR="002A21AE" w:rsidRDefault="00057948">
            <w:pPr>
              <w:pStyle w:val="TableText"/>
              <w:rPr>
                <w:b/>
                <w:bCs/>
                <w:szCs w:val="18"/>
              </w:rPr>
            </w:pPr>
            <w:r>
              <w:rPr>
                <w:b/>
                <w:bCs/>
                <w:noProof/>
              </w:rPr>
              <mc:AlternateContent>
                <mc:Choice Requires="wps">
                  <w:drawing>
                    <wp:anchor distT="0" distB="0" distL="114300" distR="114300" simplePos="0" relativeHeight="251610112" behindDoc="0" locked="0" layoutInCell="1" allowOverlap="1" wp14:anchorId="06B7C6AE" wp14:editId="4A85FEE6">
                      <wp:simplePos x="0" y="0"/>
                      <wp:positionH relativeFrom="column">
                        <wp:posOffset>457200</wp:posOffset>
                      </wp:positionH>
                      <wp:positionV relativeFrom="paragraph">
                        <wp:posOffset>65405</wp:posOffset>
                      </wp:positionV>
                      <wp:extent cx="3200400" cy="0"/>
                      <wp:effectExtent l="9525" t="17780" r="9525" b="10795"/>
                      <wp:wrapNone/>
                      <wp:docPr id="529" name="Line 670" descr="P2968C8T3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7CB83" id="Line 670" o:spid="_x0000_s1026" alt="&quot;&quot;"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GwQ69HEAQAAbgMAAA4AAAAAAAAAAAAAAAAA&#10;LgIAAGRycy9lMm9Eb2MueG1sUEsBAi0AFAAGAAgAAAAhABdPMBLbAAAACAEAAA8AAAAAAAAAAAAA&#10;AAAAHgQAAGRycy9kb3ducmV2LnhtbFBLBQYAAAAABAAEAPMAAAAmBQAAAAA=&#10;" strokeweight="1.5pt"/>
                  </w:pict>
                </mc:Fallback>
              </mc:AlternateContent>
            </w:r>
            <w:r w:rsidR="002A21AE">
              <w:rPr>
                <w:b/>
                <w:bCs/>
                <w:szCs w:val="18"/>
              </w:rPr>
              <w:t>NOTES</w:t>
            </w:r>
          </w:p>
          <w:p w14:paraId="11A8852D" w14:textId="77777777" w:rsidR="002A21AE" w:rsidRDefault="002A21AE">
            <w:pPr>
              <w:pStyle w:val="NotesText"/>
            </w:pPr>
          </w:p>
          <w:p w14:paraId="0909C9F2" w14:textId="77777777" w:rsidR="002A21AE" w:rsidRDefault="002A21AE">
            <w:pPr>
              <w:pStyle w:val="NotesText"/>
            </w:pPr>
            <w:r>
              <w:rPr>
                <w:rFonts w:cs="Arial"/>
                <w:vanish/>
              </w:rPr>
              <w:t xml:space="preserve">BR_81.10 </w:t>
            </w:r>
            <w:r>
              <w:t xml:space="preserve">More than one technologist at a time may process a large shipment of supplies; only one technologist at a time may process individual supplies in the shipment. </w:t>
            </w:r>
          </w:p>
          <w:p w14:paraId="5794FE0A" w14:textId="77777777" w:rsidR="002A21AE" w:rsidRDefault="002A21AE">
            <w:pPr>
              <w:pStyle w:val="NotesText"/>
            </w:pPr>
          </w:p>
          <w:p w14:paraId="09E29729" w14:textId="77777777" w:rsidR="002A21AE" w:rsidRDefault="002A21AE">
            <w:pPr>
              <w:pStyle w:val="NotesText"/>
            </w:pPr>
            <w:r>
              <w:rPr>
                <w:rFonts w:cs="Arial"/>
                <w:vanish/>
              </w:rPr>
              <w:t xml:space="preserve">BR_20.01 </w:t>
            </w:r>
            <w:r>
              <w:t>The default date received is the current date and time. The user may edit it to a past date and time only.</w:t>
            </w:r>
          </w:p>
          <w:p w14:paraId="54CDA4FC" w14:textId="77777777" w:rsidR="002A21AE" w:rsidRDefault="002A21AE">
            <w:pPr>
              <w:pStyle w:val="NotesText"/>
            </w:pPr>
          </w:p>
          <w:p w14:paraId="703F2E03" w14:textId="77777777" w:rsidR="002A21AE" w:rsidRDefault="002A21AE">
            <w:pPr>
              <w:pStyle w:val="NotesText"/>
            </w:pPr>
            <w:r>
              <w:rPr>
                <w:rFonts w:cs="Arial"/>
                <w:vanish/>
              </w:rPr>
              <w:t xml:space="preserve">BR_81.07 </w:t>
            </w:r>
            <w:r>
              <w:t xml:space="preserve">When the supply type and lot number were already entered for this invoice, VBECS </w:t>
            </w:r>
            <w:r>
              <w:rPr>
                <w:noProof/>
              </w:rPr>
              <w:t>warns that the user is</w:t>
            </w:r>
            <w:r>
              <w:t xml:space="preserve"> trying to enter </w:t>
            </w:r>
            <w:r w:rsidR="001017A2">
              <w:t xml:space="preserve">a </w:t>
            </w:r>
            <w:r>
              <w:t xml:space="preserve">supply that was already logged into the system for this invoice. </w:t>
            </w:r>
            <w:r>
              <w:rPr>
                <w:b/>
              </w:rPr>
              <w:t>Yes</w:t>
            </w:r>
            <w:r>
              <w:t xml:space="preserve"> takes the user to the </w:t>
            </w:r>
            <w:r w:rsidR="00FA7E65">
              <w:t>“</w:t>
            </w:r>
            <w:r>
              <w:t>Update Supply Inventory</w:t>
            </w:r>
            <w:r w:rsidR="00FA7E65">
              <w:t>”</w:t>
            </w:r>
            <w:r>
              <w:t xml:space="preserve"> screen where VBECS displays the supply type and lot number for update. </w:t>
            </w:r>
            <w:r>
              <w:rPr>
                <w:b/>
              </w:rPr>
              <w:t>No</w:t>
            </w:r>
            <w:r>
              <w:t xml:space="preserve"> clears all fields on the screen, allowing the user to log in another supply. </w:t>
            </w:r>
          </w:p>
        </w:tc>
      </w:tr>
      <w:tr w:rsidR="002A21AE" w14:paraId="2847B64B" w14:textId="77777777">
        <w:tc>
          <w:tcPr>
            <w:tcW w:w="3240" w:type="dxa"/>
            <w:tcBorders>
              <w:top w:val="single" w:sz="4" w:space="0" w:color="auto"/>
              <w:left w:val="single" w:sz="4" w:space="0" w:color="auto"/>
              <w:bottom w:val="single" w:sz="4" w:space="0" w:color="auto"/>
              <w:right w:val="single" w:sz="4" w:space="0" w:color="auto"/>
            </w:tcBorders>
          </w:tcPr>
          <w:p w14:paraId="0464CD9A" w14:textId="77777777" w:rsidR="002A21AE" w:rsidRDefault="002A21AE">
            <w:pPr>
              <w:pStyle w:val="TableTextNumbers"/>
            </w:pPr>
            <w:r>
              <w:t>Supply Information:</w:t>
            </w:r>
          </w:p>
          <w:p w14:paraId="2A305148" w14:textId="77777777" w:rsidR="002A21AE" w:rsidRDefault="002A21AE">
            <w:pPr>
              <w:pStyle w:val="TableTextNumbersContinued"/>
              <w:rPr>
                <w:b/>
                <w:bCs/>
              </w:rPr>
            </w:pPr>
          </w:p>
          <w:p w14:paraId="1AAB03CF" w14:textId="77777777" w:rsidR="002A21AE" w:rsidRDefault="002A21AE">
            <w:pPr>
              <w:pStyle w:val="TableTextNumbersContinued"/>
            </w:pPr>
            <w:r>
              <w:t>Enter the name of the manufacturer and supply type in the Manufacturer and Supply Type fields, or select from the drop-down lists.</w:t>
            </w:r>
          </w:p>
          <w:p w14:paraId="2DBDEF12" w14:textId="77777777" w:rsidR="002A21AE" w:rsidRDefault="002A21AE">
            <w:pPr>
              <w:pStyle w:val="TableTextNumbersContinued"/>
            </w:pPr>
          </w:p>
          <w:p w14:paraId="6A895B54" w14:textId="77777777" w:rsidR="002A21AE" w:rsidRDefault="002A21AE">
            <w:pPr>
              <w:pStyle w:val="TableTextNumbersContinued"/>
            </w:pPr>
            <w:r>
              <w:t>Enter the lot number in the Lot Number field.</w:t>
            </w:r>
          </w:p>
          <w:p w14:paraId="3281A4E5" w14:textId="77777777" w:rsidR="002A21AE" w:rsidRDefault="002A21AE">
            <w:pPr>
              <w:pStyle w:val="TableTextNumbersContinued"/>
            </w:pPr>
          </w:p>
          <w:p w14:paraId="329FB6F0" w14:textId="77777777" w:rsidR="002A21AE" w:rsidRDefault="002A21AE">
            <w:pPr>
              <w:pStyle w:val="TableTextNumbersContinued"/>
            </w:pPr>
            <w:r>
              <w:t>Select or edit the date and time in the Lot Expiration Date field.</w:t>
            </w:r>
          </w:p>
          <w:p w14:paraId="3439F58C" w14:textId="77777777" w:rsidR="002A21AE" w:rsidRDefault="002A21AE">
            <w:pPr>
              <w:pStyle w:val="TableTextNumbersContinued"/>
            </w:pPr>
          </w:p>
          <w:p w14:paraId="2E8DC5F7" w14:textId="77777777" w:rsidR="002A21AE" w:rsidRDefault="002A21AE">
            <w:pPr>
              <w:pStyle w:val="TableTextNumbersContinued"/>
            </w:pPr>
            <w:r>
              <w:t>Enter (or select) a quantity (1–999) in the Quantity Received field.</w:t>
            </w:r>
          </w:p>
        </w:tc>
        <w:tc>
          <w:tcPr>
            <w:tcW w:w="6120" w:type="dxa"/>
            <w:tcBorders>
              <w:top w:val="single" w:sz="4" w:space="0" w:color="auto"/>
              <w:left w:val="single" w:sz="4" w:space="0" w:color="auto"/>
              <w:bottom w:val="single" w:sz="4" w:space="0" w:color="auto"/>
              <w:right w:val="single" w:sz="4" w:space="0" w:color="auto"/>
            </w:tcBorders>
          </w:tcPr>
          <w:p w14:paraId="0FF060DC" w14:textId="77777777" w:rsidR="002A21AE" w:rsidRDefault="002A21AE">
            <w:pPr>
              <w:pStyle w:val="TableText"/>
              <w:rPr>
                <w:b/>
                <w:bCs/>
                <w:szCs w:val="18"/>
              </w:rPr>
            </w:pPr>
          </w:p>
          <w:p w14:paraId="13C0A061" w14:textId="77777777" w:rsidR="002A21AE" w:rsidRDefault="00057948">
            <w:pPr>
              <w:pStyle w:val="TableText"/>
              <w:rPr>
                <w:b/>
                <w:bCs/>
                <w:szCs w:val="18"/>
              </w:rPr>
            </w:pPr>
            <w:r>
              <w:rPr>
                <w:b/>
                <w:bCs/>
                <w:noProof/>
              </w:rPr>
              <mc:AlternateContent>
                <mc:Choice Requires="wps">
                  <w:drawing>
                    <wp:anchor distT="0" distB="0" distL="114300" distR="114300" simplePos="0" relativeHeight="251612160" behindDoc="0" locked="0" layoutInCell="1" allowOverlap="1" wp14:anchorId="65A9A629" wp14:editId="1190AB67">
                      <wp:simplePos x="0" y="0"/>
                      <wp:positionH relativeFrom="column">
                        <wp:posOffset>457200</wp:posOffset>
                      </wp:positionH>
                      <wp:positionV relativeFrom="paragraph">
                        <wp:posOffset>65405</wp:posOffset>
                      </wp:positionV>
                      <wp:extent cx="3200400" cy="0"/>
                      <wp:effectExtent l="9525" t="17780" r="9525" b="10795"/>
                      <wp:wrapNone/>
                      <wp:docPr id="528" name="Line 672" descr="P2986C10T3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A095D" id="Line 672" o:spid="_x0000_s1026" alt="&quot;&quot;"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jjrXB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5FD57583" w14:textId="77777777" w:rsidR="002A21AE" w:rsidRDefault="002A21AE">
            <w:pPr>
              <w:pStyle w:val="NotesText"/>
            </w:pPr>
          </w:p>
          <w:p w14:paraId="1B0A1F59" w14:textId="77777777" w:rsidR="002A21AE" w:rsidRDefault="002A21AE">
            <w:pPr>
              <w:pStyle w:val="NotesText"/>
            </w:pPr>
            <w:r>
              <w:t>The default lot expiration date is one minute before midnight (23:59) of the current date.</w:t>
            </w:r>
          </w:p>
          <w:p w14:paraId="6E615D5D" w14:textId="77777777" w:rsidR="002A21AE" w:rsidRDefault="002A21AE">
            <w:pPr>
              <w:pStyle w:val="TableText"/>
            </w:pPr>
          </w:p>
        </w:tc>
      </w:tr>
      <w:tr w:rsidR="002A21AE" w14:paraId="0C00DEB5" w14:textId="77777777">
        <w:tc>
          <w:tcPr>
            <w:tcW w:w="3240" w:type="dxa"/>
            <w:tcBorders>
              <w:top w:val="single" w:sz="4" w:space="0" w:color="auto"/>
              <w:left w:val="single" w:sz="4" w:space="0" w:color="auto"/>
              <w:bottom w:val="single" w:sz="4" w:space="0" w:color="auto"/>
              <w:right w:val="single" w:sz="4" w:space="0" w:color="auto"/>
            </w:tcBorders>
          </w:tcPr>
          <w:p w14:paraId="62291850" w14:textId="77777777" w:rsidR="002A21AE" w:rsidRDefault="002A21AE">
            <w:pPr>
              <w:pStyle w:val="TableTextNumbers"/>
            </w:pPr>
            <w:r>
              <w:t>Visual Inspection Information:</w:t>
            </w:r>
          </w:p>
          <w:p w14:paraId="5D969053" w14:textId="77777777" w:rsidR="002A21AE" w:rsidRDefault="002A21AE">
            <w:pPr>
              <w:pStyle w:val="TableTextNumbersContinued"/>
              <w:rPr>
                <w:b/>
                <w:bCs/>
              </w:rPr>
            </w:pPr>
          </w:p>
          <w:p w14:paraId="742BA321" w14:textId="77777777" w:rsidR="002A21AE" w:rsidRDefault="002A21AE">
            <w:pPr>
              <w:pStyle w:val="TableTextNumbersContinued"/>
            </w:pPr>
            <w:r>
              <w:t xml:space="preserve">Click the </w:t>
            </w:r>
            <w:r>
              <w:rPr>
                <w:b/>
              </w:rPr>
              <w:t xml:space="preserve">Satisfactory </w:t>
            </w:r>
            <w:r w:rsidRPr="00BF2E41">
              <w:t>radio button</w:t>
            </w:r>
            <w:r>
              <w:t xml:space="preserve">, or click the </w:t>
            </w:r>
            <w:r>
              <w:rPr>
                <w:b/>
              </w:rPr>
              <w:t xml:space="preserve">Unsatisfactory </w:t>
            </w:r>
            <w:r w:rsidRPr="00BF2E41">
              <w:t>radio button</w:t>
            </w:r>
            <w:r>
              <w:t xml:space="preserve"> and select a comment from the drop-down list in the Comment field.</w:t>
            </w:r>
          </w:p>
          <w:p w14:paraId="491E272B" w14:textId="77777777" w:rsidR="002A21AE" w:rsidRDefault="002A21AE">
            <w:pPr>
              <w:pStyle w:val="TableTextNumbersContinued"/>
            </w:pPr>
          </w:p>
          <w:p w14:paraId="24D171F7" w14:textId="4B9381A9" w:rsidR="002A21AE" w:rsidRDefault="002A21AE">
            <w:pPr>
              <w:pStyle w:val="TableTextNumbersContinued"/>
            </w:pPr>
            <w:r>
              <w:t xml:space="preserve">Click </w:t>
            </w:r>
            <w:r>
              <w:rPr>
                <w:b/>
              </w:rPr>
              <w:t>Add</w:t>
            </w:r>
            <w:r>
              <w:t xml:space="preserve"> to add the supplies to the inventory list</w:t>
            </w:r>
            <w:r w:rsidR="00FD24BA">
              <w:t xml:space="preserve"> (</w:t>
            </w:r>
            <w:r w:rsidR="00FD24BA">
              <w:fldChar w:fldCharType="begin" w:fldLock="1"/>
            </w:r>
            <w:r w:rsidR="00FD24BA">
              <w:instrText xml:space="preserve"> REF _Ref126551514 \h </w:instrText>
            </w:r>
            <w:r w:rsidR="00FD24BA">
              <w:fldChar w:fldCharType="separate"/>
            </w:r>
            <w:r w:rsidR="00AB304C">
              <w:t xml:space="preserve">Figure </w:t>
            </w:r>
            <w:r w:rsidR="00AB304C">
              <w:rPr>
                <w:noProof/>
              </w:rPr>
              <w:t>67</w:t>
            </w:r>
            <w:r w:rsidR="00FD24BA">
              <w:fldChar w:fldCharType="end"/>
            </w:r>
            <w:r w:rsidR="00FD24BA">
              <w:t>)</w:t>
            </w:r>
            <w:r>
              <w:t>.</w:t>
            </w:r>
          </w:p>
        </w:tc>
        <w:tc>
          <w:tcPr>
            <w:tcW w:w="6120" w:type="dxa"/>
            <w:tcBorders>
              <w:top w:val="single" w:sz="4" w:space="0" w:color="auto"/>
              <w:left w:val="single" w:sz="4" w:space="0" w:color="auto"/>
              <w:bottom w:val="single" w:sz="4" w:space="0" w:color="auto"/>
              <w:right w:val="single" w:sz="4" w:space="0" w:color="auto"/>
            </w:tcBorders>
          </w:tcPr>
          <w:p w14:paraId="120DE64D" w14:textId="77777777" w:rsidR="002A21AE" w:rsidRDefault="002A21AE">
            <w:pPr>
              <w:pStyle w:val="TableText"/>
              <w:rPr>
                <w:b/>
                <w:bCs/>
                <w:szCs w:val="18"/>
              </w:rPr>
            </w:pPr>
          </w:p>
          <w:p w14:paraId="3A48DC15" w14:textId="77777777" w:rsidR="002A21AE" w:rsidRDefault="00057948">
            <w:pPr>
              <w:pStyle w:val="TableText"/>
              <w:rPr>
                <w:b/>
                <w:bCs/>
                <w:szCs w:val="18"/>
              </w:rPr>
            </w:pPr>
            <w:r>
              <w:rPr>
                <w:b/>
                <w:bCs/>
                <w:noProof/>
              </w:rPr>
              <mc:AlternateContent>
                <mc:Choice Requires="wps">
                  <w:drawing>
                    <wp:anchor distT="0" distB="0" distL="114300" distR="114300" simplePos="0" relativeHeight="251611136" behindDoc="0" locked="0" layoutInCell="1" allowOverlap="1" wp14:anchorId="32C32916" wp14:editId="760C4CD5">
                      <wp:simplePos x="0" y="0"/>
                      <wp:positionH relativeFrom="column">
                        <wp:posOffset>457200</wp:posOffset>
                      </wp:positionH>
                      <wp:positionV relativeFrom="paragraph">
                        <wp:posOffset>65405</wp:posOffset>
                      </wp:positionV>
                      <wp:extent cx="3200400" cy="0"/>
                      <wp:effectExtent l="9525" t="17780" r="9525" b="10795"/>
                      <wp:wrapNone/>
                      <wp:docPr id="527" name="Line 671" descr="P2997C12T3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B7EE9" id="Line 671" o:spid="_x0000_s1026" alt="&quot;&quot;"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EztXH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182FEFBE" w14:textId="77777777" w:rsidR="002A21AE" w:rsidRDefault="002A21AE">
            <w:pPr>
              <w:pStyle w:val="NotesText"/>
            </w:pPr>
          </w:p>
          <w:p w14:paraId="020D04E6" w14:textId="77777777" w:rsidR="002A21AE" w:rsidRDefault="002A21AE">
            <w:pPr>
              <w:pStyle w:val="NotesText"/>
            </w:pPr>
            <w:r>
              <w:t xml:space="preserve">Satisfactory inventory is available for later selection, unsatisfactory inventory </w:t>
            </w:r>
            <w:r w:rsidR="001017A2">
              <w:t xml:space="preserve">is </w:t>
            </w:r>
            <w:r>
              <w:t>not.</w:t>
            </w:r>
          </w:p>
          <w:p w14:paraId="488199DC" w14:textId="77777777" w:rsidR="002A21AE" w:rsidRDefault="002A21AE">
            <w:pPr>
              <w:pStyle w:val="NotesText"/>
            </w:pPr>
          </w:p>
          <w:p w14:paraId="2EF87081" w14:textId="77777777" w:rsidR="002A21AE" w:rsidRDefault="002A21AE">
            <w:pPr>
              <w:pStyle w:val="NotesText"/>
            </w:pPr>
            <w:r>
              <w:t>When a user selects Other from the drop-down list in the Comment field, entry of additional text in the Details field is required.</w:t>
            </w:r>
          </w:p>
        </w:tc>
      </w:tr>
      <w:tr w:rsidR="002A21AE" w14:paraId="305F07D3" w14:textId="77777777">
        <w:tc>
          <w:tcPr>
            <w:tcW w:w="3240" w:type="dxa"/>
            <w:tcBorders>
              <w:top w:val="single" w:sz="4" w:space="0" w:color="auto"/>
              <w:left w:val="single" w:sz="4" w:space="0" w:color="auto"/>
              <w:bottom w:val="single" w:sz="4" w:space="0" w:color="auto"/>
              <w:right w:val="single" w:sz="4" w:space="0" w:color="auto"/>
            </w:tcBorders>
          </w:tcPr>
          <w:p w14:paraId="186C7111" w14:textId="77777777" w:rsidR="002A21AE" w:rsidRDefault="002A21AE">
            <w:pPr>
              <w:pStyle w:val="TableTextNumbers"/>
            </w:pPr>
            <w:r>
              <w:t>Repeat Steps 3–5 to log in more supplies, as desired.</w:t>
            </w:r>
          </w:p>
        </w:tc>
        <w:tc>
          <w:tcPr>
            <w:tcW w:w="6120" w:type="dxa"/>
            <w:tcBorders>
              <w:top w:val="single" w:sz="4" w:space="0" w:color="auto"/>
              <w:left w:val="single" w:sz="4" w:space="0" w:color="auto"/>
              <w:bottom w:val="single" w:sz="4" w:space="0" w:color="auto"/>
              <w:right w:val="single" w:sz="4" w:space="0" w:color="auto"/>
            </w:tcBorders>
          </w:tcPr>
          <w:p w14:paraId="133A4C34" w14:textId="77777777" w:rsidR="002A21AE" w:rsidRDefault="002A21AE">
            <w:pPr>
              <w:pStyle w:val="TableText"/>
              <w:rPr>
                <w:b/>
                <w:bCs/>
                <w:szCs w:val="18"/>
              </w:rPr>
            </w:pPr>
          </w:p>
          <w:p w14:paraId="3E8A351E" w14:textId="77777777" w:rsidR="002A21AE" w:rsidRDefault="00057948">
            <w:pPr>
              <w:pStyle w:val="TableText"/>
              <w:rPr>
                <w:b/>
                <w:bCs/>
                <w:szCs w:val="18"/>
              </w:rPr>
            </w:pPr>
            <w:r>
              <w:rPr>
                <w:b/>
                <w:bCs/>
                <w:noProof/>
              </w:rPr>
              <mc:AlternateContent>
                <mc:Choice Requires="wps">
                  <w:drawing>
                    <wp:anchor distT="0" distB="0" distL="114300" distR="114300" simplePos="0" relativeHeight="251613184" behindDoc="0" locked="0" layoutInCell="1" allowOverlap="1" wp14:anchorId="597C07EB" wp14:editId="50EC6CFB">
                      <wp:simplePos x="0" y="0"/>
                      <wp:positionH relativeFrom="column">
                        <wp:posOffset>457200</wp:posOffset>
                      </wp:positionH>
                      <wp:positionV relativeFrom="paragraph">
                        <wp:posOffset>65405</wp:posOffset>
                      </wp:positionV>
                      <wp:extent cx="3200400" cy="0"/>
                      <wp:effectExtent l="9525" t="17780" r="9525" b="10795"/>
                      <wp:wrapNone/>
                      <wp:docPr id="526" name="Line 673" descr="P3005C14T3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1C3AE" id="Line 673" o:spid="_x0000_s1026" alt="&quot;&quot;"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8RFry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57248BA6" w14:textId="77777777" w:rsidR="002A21AE" w:rsidRDefault="002A21AE">
            <w:pPr>
              <w:pStyle w:val="NotesText"/>
            </w:pPr>
          </w:p>
          <w:p w14:paraId="300E51A6" w14:textId="77777777" w:rsidR="002A21AE" w:rsidRDefault="002A21AE">
            <w:pPr>
              <w:pStyle w:val="NotesText"/>
            </w:pPr>
            <w:r>
              <w:rPr>
                <w:rFonts w:cs="Arial"/>
                <w:vanish/>
              </w:rPr>
              <w:t xml:space="preserve">BR_81.03 </w:t>
            </w:r>
            <w:r>
              <w:t xml:space="preserve">Click </w:t>
            </w:r>
            <w:r>
              <w:rPr>
                <w:b/>
              </w:rPr>
              <w:t>Clear</w:t>
            </w:r>
            <w:r>
              <w:t xml:space="preserve"> to clear all but the Invoice Number, Date Received, Manufacturer, and Lot Expiration Date fields.</w:t>
            </w:r>
          </w:p>
        </w:tc>
      </w:tr>
      <w:tr w:rsidR="002A21AE" w14:paraId="4F64DF1B" w14:textId="77777777">
        <w:tc>
          <w:tcPr>
            <w:tcW w:w="3240" w:type="dxa"/>
            <w:tcBorders>
              <w:top w:val="single" w:sz="4" w:space="0" w:color="auto"/>
              <w:left w:val="single" w:sz="4" w:space="0" w:color="auto"/>
              <w:bottom w:val="single" w:sz="4" w:space="0" w:color="auto"/>
              <w:right w:val="single" w:sz="4" w:space="0" w:color="auto"/>
            </w:tcBorders>
          </w:tcPr>
          <w:p w14:paraId="48BBFE2C" w14:textId="77777777" w:rsidR="002A21AE" w:rsidRDefault="002A21AE">
            <w:pPr>
              <w:pStyle w:val="TableTextNumbers"/>
            </w:pPr>
            <w:r>
              <w:t xml:space="preserve">Click </w:t>
            </w:r>
            <w:r>
              <w:rPr>
                <w:b/>
              </w:rPr>
              <w:t>OK</w:t>
            </w:r>
            <w:r>
              <w:t xml:space="preserve"> to save.</w:t>
            </w:r>
          </w:p>
          <w:p w14:paraId="6F12B3A0" w14:textId="77777777" w:rsidR="002A21AE" w:rsidRDefault="002A21AE">
            <w:pPr>
              <w:pStyle w:val="TableTextNumbersContinued"/>
              <w:rPr>
                <w:b/>
                <w:bCs/>
              </w:rPr>
            </w:pPr>
          </w:p>
          <w:p w14:paraId="3B81F291" w14:textId="77777777" w:rsidR="002A21AE" w:rsidRDefault="002A21AE">
            <w:pPr>
              <w:pStyle w:val="TableTextNumbersContinued"/>
              <w:rPr>
                <w:b/>
                <w:bCs/>
              </w:rPr>
            </w:pPr>
            <w:r>
              <w:rPr>
                <w:bCs/>
              </w:rPr>
              <w:t>Clic</w:t>
            </w:r>
            <w:r>
              <w:t xml:space="preserve">k </w:t>
            </w:r>
            <w:r>
              <w:rPr>
                <w:b/>
              </w:rPr>
              <w:t>Yes</w:t>
            </w:r>
            <w:r>
              <w:t xml:space="preserve"> to confirm the save and exit</w:t>
            </w:r>
            <w:r>
              <w:rPr>
                <w:bCs/>
              </w:rPr>
              <w:t>.</w:t>
            </w:r>
            <w:r>
              <w:rPr>
                <w:b/>
                <w:bCs/>
              </w:rPr>
              <w:t xml:space="preserve">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03437ED2" w14:textId="77777777" w:rsidR="002A21AE" w:rsidRDefault="002A21AE">
            <w:pPr>
              <w:pStyle w:val="TableTextBullet"/>
            </w:pPr>
            <w:r>
              <w:t>Requests confirmation to update the database.</w:t>
            </w:r>
          </w:p>
        </w:tc>
      </w:tr>
    </w:tbl>
    <w:p w14:paraId="6BCFFE14" w14:textId="0AE443EF" w:rsidR="00FD24BA" w:rsidRDefault="00FD24BA" w:rsidP="00FD24BA">
      <w:pPr>
        <w:pStyle w:val="Caption"/>
      </w:pPr>
      <w:bookmarkStart w:id="253" w:name="_Ref126551514"/>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67</w:t>
      </w:r>
      <w:r w:rsidR="004E20BD">
        <w:rPr>
          <w:noProof/>
        </w:rPr>
        <w:fldChar w:fldCharType="end"/>
      </w:r>
      <w:bookmarkEnd w:id="253"/>
      <w:r>
        <w:t>: Log In Supplies</w:t>
      </w:r>
    </w:p>
    <w:p w14:paraId="25532BFF" w14:textId="77777777" w:rsidR="00FD24BA" w:rsidRDefault="00057948" w:rsidP="00FD24BA">
      <w:pPr>
        <w:pStyle w:val="BodyText"/>
      </w:pPr>
      <w:r>
        <w:rPr>
          <w:noProof/>
        </w:rPr>
        <w:drawing>
          <wp:inline distT="0" distB="0" distL="0" distR="0" wp14:anchorId="2A3BD9B0" wp14:editId="191DBEB7">
            <wp:extent cx="5144770" cy="3444875"/>
            <wp:effectExtent l="0" t="0" r="0" b="3175"/>
            <wp:docPr id="146" name="Picture 146" descr="P3015#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P3015#yIS1">
                      <a:extLst>
                        <a:ext uri="{C183D7F6-B498-43B3-948B-1728B52AA6E4}">
                          <adec:decorative xmlns:adec="http://schemas.microsoft.com/office/drawing/2017/decorative" val="1"/>
                        </a:ext>
                      </a:extLst>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144770" cy="3444875"/>
                    </a:xfrm>
                    <a:prstGeom prst="rect">
                      <a:avLst/>
                    </a:prstGeom>
                    <a:noFill/>
                    <a:ln>
                      <a:noFill/>
                    </a:ln>
                  </pic:spPr>
                </pic:pic>
              </a:graphicData>
            </a:graphic>
          </wp:inline>
        </w:drawing>
      </w:r>
    </w:p>
    <w:p w14:paraId="02CB8A51" w14:textId="77777777" w:rsidR="002A21AE" w:rsidRDefault="002A21AE">
      <w:pPr>
        <w:pStyle w:val="Heading4"/>
      </w:pPr>
      <w:r>
        <w:t>Update Supply Inventory</w:t>
      </w:r>
      <w:r>
        <w:fldChar w:fldCharType="begin"/>
      </w:r>
      <w:r>
        <w:instrText xml:space="preserve"> XE </w:instrText>
      </w:r>
      <w:r w:rsidR="00FA7E65">
        <w:instrText>“</w:instrText>
      </w:r>
      <w:r>
        <w:instrText>Update Supply Inventory</w:instrText>
      </w:r>
      <w:r w:rsidR="00FA7E65">
        <w:instrText>”</w:instrText>
      </w:r>
      <w:r>
        <w:instrText xml:space="preserve"> </w:instrText>
      </w:r>
      <w:r>
        <w:fldChar w:fldCharType="end"/>
      </w:r>
      <w:r>
        <w:t xml:space="preserve"> </w:t>
      </w:r>
    </w:p>
    <w:p w14:paraId="5585ED23" w14:textId="77777777" w:rsidR="002A21AE" w:rsidRDefault="00153A27" w:rsidP="00FA7E65">
      <w:pPr>
        <w:pStyle w:val="BodyText"/>
      </w:pPr>
      <w:r>
        <w:t>The</w:t>
      </w:r>
      <w:r w:rsidR="002A21AE">
        <w:t xml:space="preserve"> user change</w:t>
      </w:r>
      <w:r w:rsidR="00CE6B22">
        <w:t>s</w:t>
      </w:r>
      <w:r w:rsidR="002A21AE">
        <w:t xml:space="preserve"> the number of available items in the supply inventory.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449D894" w14:textId="77777777">
        <w:trPr>
          <w:cantSplit/>
          <w:tblHeader/>
        </w:trPr>
        <w:tc>
          <w:tcPr>
            <w:tcW w:w="3240" w:type="dxa"/>
            <w:shd w:val="pct30" w:color="auto" w:fill="FFFFFF"/>
            <w:vAlign w:val="bottom"/>
          </w:tcPr>
          <w:p w14:paraId="0DE73BE6" w14:textId="77777777" w:rsidR="002A21AE" w:rsidRDefault="002A21AE">
            <w:pPr>
              <w:pStyle w:val="TableText"/>
              <w:rPr>
                <w:b/>
              </w:rPr>
            </w:pPr>
            <w:r>
              <w:rPr>
                <w:b/>
              </w:rPr>
              <w:t>User Action</w:t>
            </w:r>
          </w:p>
        </w:tc>
        <w:tc>
          <w:tcPr>
            <w:tcW w:w="6120" w:type="dxa"/>
            <w:shd w:val="pct30" w:color="auto" w:fill="FFFFFF"/>
            <w:vAlign w:val="bottom"/>
          </w:tcPr>
          <w:p w14:paraId="7AF1AB69" w14:textId="77777777" w:rsidR="002A21AE" w:rsidRDefault="002A21AE">
            <w:pPr>
              <w:pStyle w:val="TableText"/>
              <w:rPr>
                <w:b/>
              </w:rPr>
            </w:pPr>
            <w:r>
              <w:rPr>
                <w:b/>
              </w:rPr>
              <w:t>VBECS</w:t>
            </w:r>
          </w:p>
        </w:tc>
      </w:tr>
      <w:tr w:rsidR="002A21AE" w14:paraId="614B841C" w14:textId="77777777">
        <w:tc>
          <w:tcPr>
            <w:tcW w:w="3240" w:type="dxa"/>
            <w:tcBorders>
              <w:top w:val="single" w:sz="4" w:space="0" w:color="auto"/>
              <w:left w:val="single" w:sz="4" w:space="0" w:color="auto"/>
              <w:bottom w:val="single" w:sz="4" w:space="0" w:color="auto"/>
              <w:right w:val="single" w:sz="4" w:space="0" w:color="auto"/>
            </w:tcBorders>
          </w:tcPr>
          <w:p w14:paraId="40065BF0" w14:textId="77777777" w:rsidR="002A21AE" w:rsidRDefault="002A21AE">
            <w:pPr>
              <w:pStyle w:val="TableTextNumbers"/>
            </w:pPr>
            <w:r>
              <w:t xml:space="preserve">Select </w:t>
            </w:r>
            <w:r>
              <w:rPr>
                <w:b/>
              </w:rPr>
              <w:t>Tools</w:t>
            </w:r>
            <w:r>
              <w:t xml:space="preserve"> from the main menu.</w:t>
            </w:r>
          </w:p>
          <w:p w14:paraId="4F01EC8A" w14:textId="77777777" w:rsidR="002A21AE" w:rsidRDefault="002A21AE">
            <w:pPr>
              <w:pStyle w:val="TableTextNumbersContinued"/>
            </w:pPr>
          </w:p>
          <w:p w14:paraId="17DC489F" w14:textId="77777777" w:rsidR="002A21AE" w:rsidRDefault="002A21AE">
            <w:pPr>
              <w:pStyle w:val="TableTextNumbersContinued"/>
            </w:pPr>
            <w:r>
              <w:t xml:space="preserve">Select </w:t>
            </w:r>
            <w:r>
              <w:rPr>
                <w:b/>
              </w:rPr>
              <w:t>Supplies</w:t>
            </w:r>
            <w:r>
              <w:t>.</w:t>
            </w:r>
          </w:p>
        </w:tc>
        <w:tc>
          <w:tcPr>
            <w:tcW w:w="6120" w:type="dxa"/>
            <w:tcBorders>
              <w:top w:val="single" w:sz="4" w:space="0" w:color="auto"/>
              <w:left w:val="single" w:sz="4" w:space="0" w:color="auto"/>
              <w:bottom w:val="single" w:sz="4" w:space="0" w:color="auto"/>
              <w:right w:val="single" w:sz="4" w:space="0" w:color="auto"/>
            </w:tcBorders>
          </w:tcPr>
          <w:p w14:paraId="78DAB11C" w14:textId="77777777" w:rsidR="002A21AE" w:rsidRDefault="002A21AE">
            <w:pPr>
              <w:pStyle w:val="TableTextBullet"/>
            </w:pPr>
            <w:r>
              <w:t xml:space="preserve">Displays options for processing administrative functions. </w:t>
            </w:r>
          </w:p>
          <w:p w14:paraId="78C96599" w14:textId="77777777" w:rsidR="002A21AE" w:rsidRDefault="002A21AE">
            <w:pPr>
              <w:pStyle w:val="TableTextBullet"/>
            </w:pPr>
            <w:r>
              <w:t>Displays options for processing supplies.</w:t>
            </w:r>
          </w:p>
        </w:tc>
      </w:tr>
      <w:tr w:rsidR="002A21AE" w14:paraId="47035DC3" w14:textId="77777777">
        <w:tc>
          <w:tcPr>
            <w:tcW w:w="3240" w:type="dxa"/>
          </w:tcPr>
          <w:p w14:paraId="291804CF" w14:textId="77777777" w:rsidR="002A21AE" w:rsidRDefault="002A21AE">
            <w:pPr>
              <w:pStyle w:val="TableTextNumbers"/>
            </w:pPr>
            <w:r>
              <w:t xml:space="preserve">Select </w:t>
            </w:r>
            <w:r>
              <w:rPr>
                <w:b/>
              </w:rPr>
              <w:t>Update Supply Inventory</w:t>
            </w:r>
            <w:r>
              <w:t>.</w:t>
            </w:r>
          </w:p>
          <w:p w14:paraId="197D3C7D" w14:textId="77777777" w:rsidR="002A21AE" w:rsidRDefault="002A21AE">
            <w:pPr>
              <w:pStyle w:val="TableTextNumbersContinued"/>
            </w:pPr>
          </w:p>
          <w:p w14:paraId="74863F3B" w14:textId="77777777" w:rsidR="002A21AE" w:rsidRDefault="002A21AE">
            <w:pPr>
              <w:pStyle w:val="TableTextNumbersContinued"/>
            </w:pPr>
            <w:r>
              <w:rPr>
                <w:rFonts w:cs="Arial"/>
                <w:vanish/>
              </w:rPr>
              <w:t xml:space="preserve">BR_81.12 </w:t>
            </w:r>
            <w:r>
              <w:t xml:space="preserve">Click the </w:t>
            </w:r>
            <w:r>
              <w:rPr>
                <w:b/>
              </w:rPr>
              <w:t xml:space="preserve">Include Expired Supplies </w:t>
            </w:r>
            <w:r w:rsidRPr="00D1100E">
              <w:t>check box</w:t>
            </w:r>
            <w:r>
              <w:t xml:space="preserve"> to include expired supplies in the list.</w:t>
            </w:r>
          </w:p>
        </w:tc>
        <w:tc>
          <w:tcPr>
            <w:tcW w:w="6120" w:type="dxa"/>
          </w:tcPr>
          <w:p w14:paraId="5D34A0A2" w14:textId="77777777" w:rsidR="002A21AE" w:rsidRDefault="002A21AE">
            <w:pPr>
              <w:pStyle w:val="TableTextBullet"/>
            </w:pPr>
            <w:r>
              <w:t>Lists existing satisfactory supplies by default.</w:t>
            </w:r>
          </w:p>
        </w:tc>
      </w:tr>
      <w:tr w:rsidR="002A21AE" w14:paraId="0B8DE93C" w14:textId="77777777">
        <w:tc>
          <w:tcPr>
            <w:tcW w:w="3240" w:type="dxa"/>
            <w:tcBorders>
              <w:top w:val="single" w:sz="4" w:space="0" w:color="auto"/>
              <w:left w:val="single" w:sz="4" w:space="0" w:color="auto"/>
              <w:bottom w:val="single" w:sz="4" w:space="0" w:color="auto"/>
              <w:right w:val="single" w:sz="4" w:space="0" w:color="auto"/>
            </w:tcBorders>
          </w:tcPr>
          <w:p w14:paraId="6730E5CB" w14:textId="77777777" w:rsidR="002A21AE" w:rsidRDefault="002A21AE">
            <w:pPr>
              <w:pStyle w:val="TableTextNumbers"/>
            </w:pPr>
            <w:r>
              <w:t>Select a supply to edit.</w:t>
            </w:r>
          </w:p>
          <w:p w14:paraId="59EC826C" w14:textId="77777777" w:rsidR="002A21AE" w:rsidRDefault="002A21AE">
            <w:pPr>
              <w:pStyle w:val="TableTextNumbersContinued"/>
            </w:pPr>
          </w:p>
          <w:p w14:paraId="615455BB" w14:textId="77777777" w:rsidR="002A21AE" w:rsidRDefault="002A21AE">
            <w:pPr>
              <w:pStyle w:val="TableTextNumbersContinued"/>
            </w:pPr>
            <w:r>
              <w:t xml:space="preserve">To view supplies with a specific lot number, enter the lot number in the Lot # field and click the </w:t>
            </w:r>
            <w:r>
              <w:rPr>
                <w:b/>
              </w:rPr>
              <w:t>magnifying glass</w:t>
            </w:r>
            <w:r>
              <w:t>.</w:t>
            </w:r>
          </w:p>
        </w:tc>
        <w:tc>
          <w:tcPr>
            <w:tcW w:w="6120" w:type="dxa"/>
            <w:tcBorders>
              <w:top w:val="single" w:sz="4" w:space="0" w:color="auto"/>
              <w:left w:val="single" w:sz="4" w:space="0" w:color="auto"/>
              <w:bottom w:val="single" w:sz="4" w:space="0" w:color="auto"/>
              <w:right w:val="single" w:sz="4" w:space="0" w:color="auto"/>
            </w:tcBorders>
          </w:tcPr>
          <w:p w14:paraId="7B69C15E" w14:textId="77777777" w:rsidR="002A21AE" w:rsidRDefault="002A21AE">
            <w:pPr>
              <w:pStyle w:val="TableText"/>
            </w:pPr>
          </w:p>
          <w:p w14:paraId="232C3C92" w14:textId="77777777" w:rsidR="002A21AE" w:rsidRDefault="00057948">
            <w:pPr>
              <w:pStyle w:val="TableText"/>
              <w:rPr>
                <w:b/>
                <w:bCs/>
                <w:szCs w:val="18"/>
              </w:rPr>
            </w:pPr>
            <w:r>
              <w:rPr>
                <w:b/>
                <w:bCs/>
                <w:noProof/>
              </w:rPr>
              <mc:AlternateContent>
                <mc:Choice Requires="wps">
                  <w:drawing>
                    <wp:anchor distT="0" distB="0" distL="114300" distR="114300" simplePos="0" relativeHeight="251615232" behindDoc="0" locked="0" layoutInCell="1" allowOverlap="1" wp14:anchorId="0801D1C4" wp14:editId="252A2AAE">
                      <wp:simplePos x="0" y="0"/>
                      <wp:positionH relativeFrom="column">
                        <wp:posOffset>457200</wp:posOffset>
                      </wp:positionH>
                      <wp:positionV relativeFrom="paragraph">
                        <wp:posOffset>65405</wp:posOffset>
                      </wp:positionV>
                      <wp:extent cx="3200400" cy="0"/>
                      <wp:effectExtent l="9525" t="17780" r="9525" b="10795"/>
                      <wp:wrapNone/>
                      <wp:docPr id="525" name="Line 675" descr="P3036C8T3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D896A" id="Line 675" o:spid="_x0000_s1026" alt="&quot;&quot;"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lmheb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731C659B" w14:textId="77777777" w:rsidR="002A21AE" w:rsidRDefault="002A21AE">
            <w:pPr>
              <w:pStyle w:val="NotesText"/>
            </w:pPr>
          </w:p>
          <w:p w14:paraId="2372F0D5" w14:textId="77777777" w:rsidR="002A21AE" w:rsidRDefault="002A21AE">
            <w:pPr>
              <w:pStyle w:val="NotesText"/>
            </w:pPr>
            <w:r>
              <w:t>Click a supply type to reveal manufacturer supply names. Click a manufacturer supply name to reveal lot numbers.</w:t>
            </w:r>
          </w:p>
        </w:tc>
      </w:tr>
      <w:tr w:rsidR="002A21AE" w14:paraId="6F9B7FE5" w14:textId="77777777" w:rsidTr="007E500E">
        <w:trPr>
          <w:cantSplit/>
        </w:trPr>
        <w:tc>
          <w:tcPr>
            <w:tcW w:w="3240" w:type="dxa"/>
            <w:tcBorders>
              <w:top w:val="single" w:sz="4" w:space="0" w:color="auto"/>
              <w:left w:val="single" w:sz="4" w:space="0" w:color="auto"/>
              <w:bottom w:val="single" w:sz="4" w:space="0" w:color="auto"/>
              <w:right w:val="single" w:sz="4" w:space="0" w:color="auto"/>
            </w:tcBorders>
          </w:tcPr>
          <w:p w14:paraId="5E394BB5" w14:textId="77777777" w:rsidR="002A21AE" w:rsidRDefault="002A21AE">
            <w:pPr>
              <w:pStyle w:val="TableTextNumbers"/>
            </w:pPr>
            <w:r>
              <w:lastRenderedPageBreak/>
              <w:t>Click a lot number to enable the Quantity Available field.</w:t>
            </w:r>
          </w:p>
          <w:p w14:paraId="571A3F56" w14:textId="77777777" w:rsidR="002A21AE" w:rsidRDefault="002A21AE">
            <w:pPr>
              <w:pStyle w:val="TableTextNumbersContinued"/>
            </w:pPr>
          </w:p>
          <w:p w14:paraId="24FCA541" w14:textId="77777777" w:rsidR="002A21AE" w:rsidRDefault="002A21AE">
            <w:pPr>
              <w:pStyle w:val="TableTextNumbersContinued"/>
            </w:pPr>
            <w:r>
              <w:t>Enter (or select) a quantity that is less than or equal to the current entry in the Quantity Available field.</w:t>
            </w:r>
          </w:p>
          <w:p w14:paraId="0B5C6E61" w14:textId="77777777" w:rsidR="002A21AE" w:rsidRDefault="002A21AE">
            <w:pPr>
              <w:pStyle w:val="TableTextNumbersContinued"/>
            </w:pPr>
          </w:p>
          <w:p w14:paraId="740348D1" w14:textId="797FAD29" w:rsidR="002A21AE" w:rsidRDefault="002A21AE">
            <w:pPr>
              <w:pStyle w:val="TableTextNumbersContinued"/>
            </w:pPr>
            <w:r>
              <w:t>Select or edit the date and time in the Date Changed field</w:t>
            </w:r>
            <w:r w:rsidR="001556AE">
              <w:t xml:space="preserve"> (</w:t>
            </w:r>
            <w:r w:rsidR="001556AE">
              <w:fldChar w:fldCharType="begin" w:fldLock="1"/>
            </w:r>
            <w:r w:rsidR="001556AE">
              <w:instrText xml:space="preserve"> REF _Ref126552250 \h </w:instrText>
            </w:r>
            <w:r w:rsidR="001556AE">
              <w:fldChar w:fldCharType="separate"/>
            </w:r>
            <w:r w:rsidR="00AB304C">
              <w:t xml:space="preserve">Figure </w:t>
            </w:r>
            <w:r w:rsidR="00AB304C">
              <w:rPr>
                <w:noProof/>
              </w:rPr>
              <w:t>68</w:t>
            </w:r>
            <w:r w:rsidR="001556AE">
              <w:fldChar w:fldCharType="end"/>
            </w:r>
            <w:r w:rsidR="001556AE">
              <w:t>)</w:t>
            </w:r>
            <w:r>
              <w:t>.</w:t>
            </w:r>
          </w:p>
        </w:tc>
        <w:tc>
          <w:tcPr>
            <w:tcW w:w="6120" w:type="dxa"/>
            <w:tcBorders>
              <w:top w:val="single" w:sz="4" w:space="0" w:color="auto"/>
              <w:left w:val="single" w:sz="4" w:space="0" w:color="auto"/>
              <w:bottom w:val="single" w:sz="4" w:space="0" w:color="auto"/>
              <w:right w:val="single" w:sz="4" w:space="0" w:color="auto"/>
            </w:tcBorders>
          </w:tcPr>
          <w:p w14:paraId="3D0D6200" w14:textId="77777777" w:rsidR="002A21AE" w:rsidRDefault="002A21AE">
            <w:pPr>
              <w:pStyle w:val="TableText"/>
            </w:pPr>
          </w:p>
          <w:p w14:paraId="45757F61" w14:textId="77777777" w:rsidR="002A21AE" w:rsidRDefault="00057948">
            <w:pPr>
              <w:pStyle w:val="TableText"/>
              <w:rPr>
                <w:b/>
                <w:bCs/>
                <w:szCs w:val="18"/>
              </w:rPr>
            </w:pPr>
            <w:r>
              <w:rPr>
                <w:b/>
                <w:bCs/>
                <w:noProof/>
              </w:rPr>
              <mc:AlternateContent>
                <mc:Choice Requires="wps">
                  <w:drawing>
                    <wp:anchor distT="0" distB="0" distL="114300" distR="114300" simplePos="0" relativeHeight="251614208" behindDoc="0" locked="0" layoutInCell="1" allowOverlap="1" wp14:anchorId="466B582E" wp14:editId="5DB41187">
                      <wp:simplePos x="0" y="0"/>
                      <wp:positionH relativeFrom="column">
                        <wp:posOffset>457200</wp:posOffset>
                      </wp:positionH>
                      <wp:positionV relativeFrom="paragraph">
                        <wp:posOffset>65405</wp:posOffset>
                      </wp:positionV>
                      <wp:extent cx="3200400" cy="0"/>
                      <wp:effectExtent l="9525" t="17780" r="9525" b="10795"/>
                      <wp:wrapNone/>
                      <wp:docPr id="524" name="Line 674" descr="P3046C10T3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91DF3" id="Line 674" o:spid="_x0000_s1026" alt="&quot;&quot;"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3wsls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47A47CDC" w14:textId="77777777" w:rsidR="002A21AE" w:rsidRDefault="002A21AE">
            <w:pPr>
              <w:pStyle w:val="NotesText"/>
            </w:pPr>
          </w:p>
          <w:p w14:paraId="0C56EED9" w14:textId="77777777" w:rsidR="002A21AE" w:rsidRDefault="002A21AE">
            <w:pPr>
              <w:pStyle w:val="NotesText"/>
            </w:pPr>
            <w:r>
              <w:t>The default change date is the current date and time. The user may edit it to a past date and time only.</w:t>
            </w:r>
          </w:p>
          <w:p w14:paraId="7E15B606" w14:textId="77777777" w:rsidR="002A21AE" w:rsidRDefault="002A21AE">
            <w:pPr>
              <w:pStyle w:val="NotesText"/>
            </w:pPr>
          </w:p>
          <w:p w14:paraId="21F4F10D" w14:textId="77777777" w:rsidR="002A21AE" w:rsidRDefault="002A21AE">
            <w:pPr>
              <w:pStyle w:val="NotesText"/>
            </w:pPr>
            <w:r>
              <w:t>When a user selects Other from the drop-down list in the Reason for Change field, he may enter additional text in the Comments field.</w:t>
            </w:r>
          </w:p>
          <w:p w14:paraId="4CD056B7" w14:textId="77777777" w:rsidR="002A21AE" w:rsidRDefault="002A21AE">
            <w:pPr>
              <w:pStyle w:val="NotesText"/>
            </w:pPr>
          </w:p>
        </w:tc>
      </w:tr>
      <w:tr w:rsidR="002A21AE" w14:paraId="2899451C" w14:textId="77777777">
        <w:tc>
          <w:tcPr>
            <w:tcW w:w="3240" w:type="dxa"/>
            <w:tcBorders>
              <w:top w:val="single" w:sz="4" w:space="0" w:color="auto"/>
              <w:left w:val="single" w:sz="4" w:space="0" w:color="auto"/>
              <w:bottom w:val="single" w:sz="4" w:space="0" w:color="auto"/>
              <w:right w:val="single" w:sz="4" w:space="0" w:color="auto"/>
            </w:tcBorders>
          </w:tcPr>
          <w:p w14:paraId="3B867717" w14:textId="77777777" w:rsidR="002A21AE" w:rsidRDefault="002A21AE">
            <w:pPr>
              <w:pStyle w:val="TableTextNumbers"/>
            </w:pPr>
            <w:r>
              <w:t>Repeat Steps 3 and 4 to edit more supplies, as desired.</w:t>
            </w:r>
          </w:p>
        </w:tc>
        <w:tc>
          <w:tcPr>
            <w:tcW w:w="6120" w:type="dxa"/>
            <w:tcBorders>
              <w:top w:val="single" w:sz="4" w:space="0" w:color="auto"/>
              <w:left w:val="single" w:sz="4" w:space="0" w:color="auto"/>
              <w:bottom w:val="single" w:sz="4" w:space="0" w:color="auto"/>
              <w:right w:val="single" w:sz="4" w:space="0" w:color="auto"/>
            </w:tcBorders>
          </w:tcPr>
          <w:p w14:paraId="309393C9" w14:textId="77777777" w:rsidR="002A21AE" w:rsidRDefault="002A21AE">
            <w:pPr>
              <w:pStyle w:val="TableText"/>
            </w:pPr>
          </w:p>
        </w:tc>
      </w:tr>
      <w:tr w:rsidR="002A21AE" w14:paraId="22AED5F3" w14:textId="77777777">
        <w:tc>
          <w:tcPr>
            <w:tcW w:w="3240" w:type="dxa"/>
            <w:tcBorders>
              <w:top w:val="single" w:sz="4" w:space="0" w:color="auto"/>
              <w:left w:val="single" w:sz="4" w:space="0" w:color="auto"/>
              <w:bottom w:val="single" w:sz="4" w:space="0" w:color="auto"/>
              <w:right w:val="single" w:sz="4" w:space="0" w:color="auto"/>
            </w:tcBorders>
          </w:tcPr>
          <w:p w14:paraId="1AFD1AC4" w14:textId="77777777" w:rsidR="002A21AE" w:rsidRDefault="002A21AE">
            <w:pPr>
              <w:pStyle w:val="TableTextNumbers"/>
            </w:pPr>
            <w:r>
              <w:t xml:space="preserve">Click </w:t>
            </w:r>
            <w:r>
              <w:rPr>
                <w:b/>
              </w:rPr>
              <w:t>OK</w:t>
            </w:r>
            <w:r>
              <w:t xml:space="preserve"> to save.</w:t>
            </w:r>
          </w:p>
          <w:p w14:paraId="7AF891A3" w14:textId="77777777" w:rsidR="002A21AE" w:rsidRDefault="002A21AE">
            <w:pPr>
              <w:pStyle w:val="TableTextNumbersContinued"/>
            </w:pPr>
          </w:p>
          <w:p w14:paraId="2CF82283" w14:textId="77777777" w:rsidR="002A21AE" w:rsidRDefault="002A21AE">
            <w:pPr>
              <w:pStyle w:val="TableTextNumbersContinued"/>
            </w:pPr>
            <w:r>
              <w:t xml:space="preserve">Click </w:t>
            </w:r>
            <w:r>
              <w:rPr>
                <w:b/>
              </w:rPr>
              <w:t>Yes</w:t>
            </w:r>
            <w:r>
              <w:t xml:space="preserve"> to confirm the save and view the updated list.</w:t>
            </w:r>
          </w:p>
        </w:tc>
        <w:tc>
          <w:tcPr>
            <w:tcW w:w="6120" w:type="dxa"/>
            <w:tcBorders>
              <w:top w:val="single" w:sz="4" w:space="0" w:color="auto"/>
              <w:left w:val="single" w:sz="4" w:space="0" w:color="auto"/>
              <w:bottom w:val="single" w:sz="4" w:space="0" w:color="auto"/>
              <w:right w:val="single" w:sz="4" w:space="0" w:color="auto"/>
            </w:tcBorders>
          </w:tcPr>
          <w:p w14:paraId="4650BEA7" w14:textId="77777777" w:rsidR="002A21AE" w:rsidRDefault="002A21AE">
            <w:pPr>
              <w:pStyle w:val="TableText"/>
            </w:pPr>
          </w:p>
        </w:tc>
      </w:tr>
      <w:tr w:rsidR="002A21AE" w14:paraId="63F20F53" w14:textId="77777777">
        <w:tc>
          <w:tcPr>
            <w:tcW w:w="3240" w:type="dxa"/>
            <w:tcBorders>
              <w:top w:val="single" w:sz="4" w:space="0" w:color="auto"/>
              <w:left w:val="single" w:sz="4" w:space="0" w:color="auto"/>
              <w:bottom w:val="single" w:sz="4" w:space="0" w:color="auto"/>
              <w:right w:val="single" w:sz="4" w:space="0" w:color="auto"/>
            </w:tcBorders>
          </w:tcPr>
          <w:p w14:paraId="2852977B" w14:textId="77777777" w:rsidR="002A21AE" w:rsidRDefault="002A21AE">
            <w:pPr>
              <w:pStyle w:val="TableTextNumbers"/>
            </w:pPr>
            <w:r>
              <w:t xml:space="preserve">Click </w:t>
            </w:r>
            <w:r>
              <w:rPr>
                <w:b/>
              </w:rPr>
              <w:t>Print Supply Inventory</w:t>
            </w:r>
            <w:r>
              <w:t xml:space="preserve"> to print the list of supplies.</w:t>
            </w:r>
          </w:p>
        </w:tc>
        <w:tc>
          <w:tcPr>
            <w:tcW w:w="6120" w:type="dxa"/>
            <w:tcBorders>
              <w:top w:val="single" w:sz="4" w:space="0" w:color="auto"/>
              <w:left w:val="single" w:sz="4" w:space="0" w:color="auto"/>
              <w:bottom w:val="single" w:sz="4" w:space="0" w:color="auto"/>
              <w:right w:val="single" w:sz="4" w:space="0" w:color="auto"/>
            </w:tcBorders>
          </w:tcPr>
          <w:p w14:paraId="038A191D" w14:textId="77777777" w:rsidR="002A21AE" w:rsidRDefault="002A21AE">
            <w:pPr>
              <w:pStyle w:val="TableTextBullet"/>
            </w:pPr>
            <w:r>
              <w:t>Displays the Supply Inventory window (see View/Print Supply Inventory).</w:t>
            </w:r>
          </w:p>
        </w:tc>
      </w:tr>
      <w:tr w:rsidR="002A21AE" w14:paraId="42D148CE" w14:textId="77777777">
        <w:tc>
          <w:tcPr>
            <w:tcW w:w="3240" w:type="dxa"/>
            <w:tcBorders>
              <w:top w:val="single" w:sz="4" w:space="0" w:color="auto"/>
              <w:left w:val="single" w:sz="4" w:space="0" w:color="auto"/>
              <w:bottom w:val="single" w:sz="4" w:space="0" w:color="auto"/>
              <w:right w:val="single" w:sz="4" w:space="0" w:color="auto"/>
            </w:tcBorders>
          </w:tcPr>
          <w:p w14:paraId="5842E048" w14:textId="77777777" w:rsidR="002A21AE" w:rsidRDefault="002A21AE">
            <w:pPr>
              <w:pStyle w:val="TableTextNumbers"/>
            </w:pPr>
            <w:r>
              <w:t xml:space="preserve">Click </w:t>
            </w:r>
            <w:r>
              <w:rPr>
                <w:b/>
              </w:rPr>
              <w:t>Cancel</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18A31109" w14:textId="77777777" w:rsidR="002A21AE" w:rsidRDefault="002A21AE">
            <w:pPr>
              <w:pStyle w:val="NotesText"/>
              <w:ind w:left="0"/>
            </w:pPr>
          </w:p>
        </w:tc>
      </w:tr>
    </w:tbl>
    <w:p w14:paraId="71E2EC10" w14:textId="5F180887" w:rsidR="001556AE" w:rsidRDefault="001556AE" w:rsidP="001556AE">
      <w:pPr>
        <w:pStyle w:val="Caption"/>
      </w:pPr>
      <w:bookmarkStart w:id="254" w:name="_Ref126552250"/>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68</w:t>
      </w:r>
      <w:r w:rsidR="004E20BD">
        <w:rPr>
          <w:noProof/>
        </w:rPr>
        <w:fldChar w:fldCharType="end"/>
      </w:r>
      <w:bookmarkEnd w:id="254"/>
      <w:r>
        <w:t>: Update Supplies</w:t>
      </w:r>
    </w:p>
    <w:p w14:paraId="29870ADD" w14:textId="77777777" w:rsidR="001556AE" w:rsidRDefault="00057948" w:rsidP="001556AE">
      <w:pPr>
        <w:pStyle w:val="BodyText"/>
      </w:pPr>
      <w:r>
        <w:rPr>
          <w:noProof/>
        </w:rPr>
        <w:drawing>
          <wp:inline distT="0" distB="0" distL="0" distR="0" wp14:anchorId="0F04B074" wp14:editId="60114A59">
            <wp:extent cx="5144770" cy="3888740"/>
            <wp:effectExtent l="0" t="0" r="0" b="0"/>
            <wp:docPr id="147" name="Picture 147" descr="P3068#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P3068#yIS1">
                      <a:extLst>
                        <a:ext uri="{C183D7F6-B498-43B3-948B-1728B52AA6E4}">
                          <adec:decorative xmlns:adec="http://schemas.microsoft.com/office/drawing/2017/decorative" val="1"/>
                        </a:ext>
                      </a:extLs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144770" cy="3888740"/>
                    </a:xfrm>
                    <a:prstGeom prst="rect">
                      <a:avLst/>
                    </a:prstGeom>
                    <a:noFill/>
                    <a:ln>
                      <a:noFill/>
                    </a:ln>
                  </pic:spPr>
                </pic:pic>
              </a:graphicData>
            </a:graphic>
          </wp:inline>
        </w:drawing>
      </w:r>
    </w:p>
    <w:p w14:paraId="2F5B271B" w14:textId="77777777" w:rsidR="007E500E" w:rsidRDefault="007E500E">
      <w:pPr>
        <w:rPr>
          <w:rFonts w:ascii="Arial" w:hAnsi="Arial"/>
          <w:b/>
          <w:sz w:val="22"/>
        </w:rPr>
      </w:pPr>
      <w:r>
        <w:br w:type="page"/>
      </w:r>
    </w:p>
    <w:p w14:paraId="3CB88D3D" w14:textId="37CC3006" w:rsidR="002A21AE" w:rsidRDefault="002A21AE">
      <w:pPr>
        <w:pStyle w:val="Heading4"/>
      </w:pPr>
      <w:r>
        <w:lastRenderedPageBreak/>
        <w:t>View/Print Supply Inventory</w:t>
      </w:r>
      <w:r>
        <w:fldChar w:fldCharType="begin"/>
      </w:r>
      <w:r>
        <w:instrText xml:space="preserve"> XE </w:instrText>
      </w:r>
      <w:r w:rsidR="00FA7E65">
        <w:instrText>“</w:instrText>
      </w:r>
      <w:r>
        <w:instrText>View/Print Supply Inventory</w:instrText>
      </w:r>
      <w:r w:rsidR="00FA7E65">
        <w:instrText>”</w:instrText>
      </w:r>
      <w:r>
        <w:instrText xml:space="preserve"> </w:instrText>
      </w:r>
      <w:r>
        <w:fldChar w:fldCharType="end"/>
      </w:r>
      <w:r>
        <w:t xml:space="preserve"> </w:t>
      </w:r>
    </w:p>
    <w:p w14:paraId="0F0F258B" w14:textId="77777777" w:rsidR="002A21AE" w:rsidRDefault="00153A27" w:rsidP="00FA7E65">
      <w:pPr>
        <w:pStyle w:val="BodyText"/>
      </w:pPr>
      <w:r>
        <w:t>The</w:t>
      </w:r>
      <w:r w:rsidR="002A21AE">
        <w:t xml:space="preserve"> user view</w:t>
      </w:r>
      <w:r w:rsidR="00A91655">
        <w:t>s</w:t>
      </w:r>
      <w:r w:rsidR="002A21AE">
        <w:t xml:space="preserve"> inventory online based on various search criteria and print</w:t>
      </w:r>
      <w:r w:rsidR="00A91655">
        <w:t>s</w:t>
      </w:r>
      <w:r w:rsidR="002A21AE">
        <w:t xml:space="preserve"> the search results.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8FC4F5B" w14:textId="77777777">
        <w:trPr>
          <w:cantSplit/>
          <w:tblHeader/>
        </w:trPr>
        <w:tc>
          <w:tcPr>
            <w:tcW w:w="3240" w:type="dxa"/>
            <w:shd w:val="pct30" w:color="auto" w:fill="FFFFFF"/>
            <w:vAlign w:val="bottom"/>
          </w:tcPr>
          <w:p w14:paraId="53200ACE" w14:textId="77777777" w:rsidR="002A21AE" w:rsidRDefault="002A21AE">
            <w:pPr>
              <w:pStyle w:val="TableText"/>
              <w:rPr>
                <w:b/>
              </w:rPr>
            </w:pPr>
            <w:bookmarkStart w:id="255" w:name="_Toc73176862"/>
            <w:r>
              <w:rPr>
                <w:b/>
              </w:rPr>
              <w:t>User Action</w:t>
            </w:r>
          </w:p>
        </w:tc>
        <w:tc>
          <w:tcPr>
            <w:tcW w:w="6120" w:type="dxa"/>
            <w:shd w:val="pct30" w:color="auto" w:fill="FFFFFF"/>
            <w:vAlign w:val="bottom"/>
          </w:tcPr>
          <w:p w14:paraId="0F4B5B5A" w14:textId="77777777" w:rsidR="002A21AE" w:rsidRDefault="002A21AE">
            <w:pPr>
              <w:pStyle w:val="TableText"/>
              <w:rPr>
                <w:b/>
              </w:rPr>
            </w:pPr>
            <w:r>
              <w:rPr>
                <w:b/>
              </w:rPr>
              <w:t>VBECS</w:t>
            </w:r>
          </w:p>
        </w:tc>
      </w:tr>
      <w:tr w:rsidR="002A21AE" w14:paraId="0B27150F" w14:textId="77777777">
        <w:tc>
          <w:tcPr>
            <w:tcW w:w="3240" w:type="dxa"/>
            <w:tcBorders>
              <w:top w:val="single" w:sz="4" w:space="0" w:color="auto"/>
              <w:left w:val="single" w:sz="4" w:space="0" w:color="auto"/>
              <w:bottom w:val="single" w:sz="4" w:space="0" w:color="auto"/>
              <w:right w:val="single" w:sz="4" w:space="0" w:color="auto"/>
            </w:tcBorders>
          </w:tcPr>
          <w:p w14:paraId="627D30B8" w14:textId="77777777" w:rsidR="002A21AE" w:rsidRDefault="002A21AE">
            <w:pPr>
              <w:pStyle w:val="TableTextNumbers"/>
            </w:pPr>
            <w:r>
              <w:t xml:space="preserve">Select </w:t>
            </w:r>
            <w:r>
              <w:rPr>
                <w:b/>
              </w:rPr>
              <w:t>Tools</w:t>
            </w:r>
            <w:r>
              <w:t xml:space="preserve"> from the main menu.</w:t>
            </w:r>
          </w:p>
          <w:p w14:paraId="77C2FACD" w14:textId="77777777" w:rsidR="002A21AE" w:rsidRDefault="002A21AE">
            <w:pPr>
              <w:pStyle w:val="TableTextNumbersContinued"/>
            </w:pPr>
          </w:p>
          <w:p w14:paraId="0E1C8343" w14:textId="77777777" w:rsidR="002A21AE" w:rsidRDefault="002A21AE">
            <w:pPr>
              <w:pStyle w:val="TableTextNumbersContinued"/>
            </w:pPr>
            <w:r>
              <w:t xml:space="preserve">Select </w:t>
            </w:r>
            <w:r>
              <w:rPr>
                <w:b/>
              </w:rPr>
              <w:t>Supplies</w:t>
            </w:r>
            <w:r>
              <w:t>.</w:t>
            </w:r>
          </w:p>
        </w:tc>
        <w:tc>
          <w:tcPr>
            <w:tcW w:w="6120" w:type="dxa"/>
            <w:tcBorders>
              <w:top w:val="single" w:sz="4" w:space="0" w:color="auto"/>
              <w:left w:val="single" w:sz="4" w:space="0" w:color="auto"/>
              <w:bottom w:val="single" w:sz="4" w:space="0" w:color="auto"/>
              <w:right w:val="single" w:sz="4" w:space="0" w:color="auto"/>
            </w:tcBorders>
          </w:tcPr>
          <w:p w14:paraId="76E44D52" w14:textId="77777777" w:rsidR="002A21AE" w:rsidRDefault="002A21AE">
            <w:pPr>
              <w:pStyle w:val="TableTextBullet"/>
            </w:pPr>
            <w:r>
              <w:t xml:space="preserve">Displays options for processing administrative functions. </w:t>
            </w:r>
          </w:p>
          <w:p w14:paraId="2F773488" w14:textId="77777777" w:rsidR="002A21AE" w:rsidRDefault="002A21AE">
            <w:pPr>
              <w:pStyle w:val="TableTextBullet"/>
            </w:pPr>
            <w:r>
              <w:t>Displays options for processing supplies.</w:t>
            </w:r>
          </w:p>
        </w:tc>
      </w:tr>
      <w:tr w:rsidR="002A21AE" w14:paraId="12BC7455" w14:textId="77777777">
        <w:tc>
          <w:tcPr>
            <w:tcW w:w="3240" w:type="dxa"/>
          </w:tcPr>
          <w:p w14:paraId="755F9725" w14:textId="77777777" w:rsidR="002A21AE" w:rsidRDefault="002A21AE">
            <w:pPr>
              <w:pStyle w:val="TableTextNumbers"/>
            </w:pPr>
            <w:r>
              <w:t xml:space="preserve">Select </w:t>
            </w:r>
            <w:r>
              <w:rPr>
                <w:b/>
              </w:rPr>
              <w:t>View/Print Supply Inventory</w:t>
            </w:r>
            <w:r>
              <w:t>.</w:t>
            </w:r>
          </w:p>
        </w:tc>
        <w:tc>
          <w:tcPr>
            <w:tcW w:w="6120" w:type="dxa"/>
          </w:tcPr>
          <w:p w14:paraId="6F365735" w14:textId="77777777" w:rsidR="002A21AE" w:rsidRDefault="002A21AE">
            <w:pPr>
              <w:pStyle w:val="TableTextBullet"/>
            </w:pPr>
            <w:r>
              <w:t>Lists supply types.</w:t>
            </w:r>
          </w:p>
        </w:tc>
      </w:tr>
      <w:tr w:rsidR="002A21AE" w14:paraId="2E0E87BF" w14:textId="77777777">
        <w:tc>
          <w:tcPr>
            <w:tcW w:w="3240" w:type="dxa"/>
            <w:tcBorders>
              <w:top w:val="single" w:sz="4" w:space="0" w:color="auto"/>
              <w:left w:val="single" w:sz="4" w:space="0" w:color="auto"/>
              <w:bottom w:val="single" w:sz="4" w:space="0" w:color="auto"/>
              <w:right w:val="single" w:sz="4" w:space="0" w:color="auto"/>
            </w:tcBorders>
          </w:tcPr>
          <w:p w14:paraId="62C79FE4" w14:textId="77777777" w:rsidR="002A21AE" w:rsidRDefault="002A21AE">
            <w:pPr>
              <w:pStyle w:val="TableTextNumbers"/>
            </w:pPr>
            <w:r>
              <w:t>Click one or more check boxes in the Supply Type list to select supply types.</w:t>
            </w:r>
          </w:p>
        </w:tc>
        <w:tc>
          <w:tcPr>
            <w:tcW w:w="6120" w:type="dxa"/>
            <w:tcBorders>
              <w:top w:val="single" w:sz="4" w:space="0" w:color="auto"/>
              <w:left w:val="single" w:sz="4" w:space="0" w:color="auto"/>
              <w:bottom w:val="single" w:sz="4" w:space="0" w:color="auto"/>
              <w:right w:val="single" w:sz="4" w:space="0" w:color="auto"/>
            </w:tcBorders>
          </w:tcPr>
          <w:p w14:paraId="1F4DE4D1" w14:textId="77777777" w:rsidR="002A21AE" w:rsidRDefault="002A21AE">
            <w:pPr>
              <w:pStyle w:val="TableTextBullet"/>
            </w:pPr>
            <w:r>
              <w:t>Displays or allows</w:t>
            </w:r>
            <w:r w:rsidR="006B2239">
              <w:t xml:space="preserve"> the</w:t>
            </w:r>
            <w:r>
              <w:t xml:space="preserve"> user to print a report of all current in-date, expired, and unsatisfactory supply inventory and minimum stock levels as a read-only display based on the selection criteria entered:</w:t>
            </w:r>
          </w:p>
          <w:p w14:paraId="0A4FEA7D" w14:textId="77777777" w:rsidR="002A21AE" w:rsidRDefault="002A21AE">
            <w:pPr>
              <w:pStyle w:val="TableTextBullet1"/>
            </w:pPr>
            <w:r>
              <w:t>Date range (</w:t>
            </w:r>
            <w:r w:rsidR="006B2239">
              <w:t xml:space="preserve">the </w:t>
            </w:r>
            <w:r>
              <w:t>user enter</w:t>
            </w:r>
            <w:r w:rsidR="006B2239">
              <w:t>s</w:t>
            </w:r>
            <w:r>
              <w:t xml:space="preserve"> a date to begin and end the search)</w:t>
            </w:r>
          </w:p>
          <w:p w14:paraId="36E3789B" w14:textId="77777777" w:rsidR="002A21AE" w:rsidRDefault="002A21AE">
            <w:pPr>
              <w:pStyle w:val="TableTextBullet1"/>
            </w:pPr>
            <w:r>
              <w:t>Supply type</w:t>
            </w:r>
          </w:p>
          <w:p w14:paraId="4F9698D1" w14:textId="77777777" w:rsidR="002A21AE" w:rsidRDefault="002A21AE">
            <w:pPr>
              <w:pStyle w:val="TableTextBullet1"/>
            </w:pPr>
            <w:r>
              <w:t>In-date (active) Supplies</w:t>
            </w:r>
          </w:p>
          <w:p w14:paraId="5F7160D7" w14:textId="77777777" w:rsidR="002A21AE" w:rsidRDefault="002A21AE">
            <w:pPr>
              <w:pStyle w:val="TableTextBullet1"/>
            </w:pPr>
            <w:r>
              <w:t>Expired (inactive) Supplies</w:t>
            </w:r>
          </w:p>
          <w:p w14:paraId="1B9D0CEC" w14:textId="77777777" w:rsidR="002A21AE" w:rsidRDefault="002A21AE">
            <w:pPr>
              <w:pStyle w:val="TableTextBullet1"/>
            </w:pPr>
            <w:r>
              <w:t>Expiration date of the supply</w:t>
            </w:r>
          </w:p>
          <w:p w14:paraId="73057407" w14:textId="77777777" w:rsidR="002A21AE" w:rsidRDefault="002A21AE">
            <w:pPr>
              <w:pStyle w:val="TableTextBullet1"/>
            </w:pPr>
            <w:r>
              <w:t>Date received</w:t>
            </w:r>
          </w:p>
          <w:p w14:paraId="33411685" w14:textId="77777777" w:rsidR="002A21AE" w:rsidRDefault="002A21AE">
            <w:pPr>
              <w:pStyle w:val="TableText"/>
            </w:pPr>
          </w:p>
          <w:p w14:paraId="6309CE65" w14:textId="77777777" w:rsidR="002A21AE" w:rsidRDefault="00057948">
            <w:pPr>
              <w:pStyle w:val="TableText"/>
              <w:rPr>
                <w:b/>
                <w:bCs/>
                <w:szCs w:val="18"/>
              </w:rPr>
            </w:pPr>
            <w:r>
              <w:rPr>
                <w:b/>
                <w:bCs/>
                <w:noProof/>
              </w:rPr>
              <mc:AlternateContent>
                <mc:Choice Requires="wps">
                  <w:drawing>
                    <wp:anchor distT="0" distB="0" distL="114300" distR="114300" simplePos="0" relativeHeight="251616256" behindDoc="0" locked="0" layoutInCell="1" allowOverlap="1" wp14:anchorId="7DF382E0" wp14:editId="125E1E2A">
                      <wp:simplePos x="0" y="0"/>
                      <wp:positionH relativeFrom="column">
                        <wp:posOffset>457200</wp:posOffset>
                      </wp:positionH>
                      <wp:positionV relativeFrom="paragraph">
                        <wp:posOffset>65405</wp:posOffset>
                      </wp:positionV>
                      <wp:extent cx="3200400" cy="0"/>
                      <wp:effectExtent l="9525" t="17780" r="9525" b="10795"/>
                      <wp:wrapNone/>
                      <wp:docPr id="523" name="Line 677" descr="P3093C8T3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E626A" id="Line 677" o:spid="_x0000_s1026" alt="&quot;&quot;"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h8si3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0A3FEFFB" w14:textId="77777777" w:rsidR="002A21AE" w:rsidRDefault="002A21AE">
            <w:pPr>
              <w:pStyle w:val="NotesText"/>
            </w:pPr>
          </w:p>
          <w:p w14:paraId="51E62A41" w14:textId="77777777" w:rsidR="002A21AE" w:rsidRDefault="002A21AE">
            <w:pPr>
              <w:pStyle w:val="NotesText"/>
              <w:rPr>
                <w:vanish/>
                <w:szCs w:val="18"/>
              </w:rPr>
            </w:pPr>
            <w:r>
              <w:rPr>
                <w:rFonts w:cs="Arial"/>
                <w:vanish/>
              </w:rPr>
              <w:t xml:space="preserve">BR_81.08 </w:t>
            </w:r>
            <w:r>
              <w:t>A user may view the supply inventory by one, some, or all of the selection criteria.</w:t>
            </w:r>
          </w:p>
          <w:p w14:paraId="05EFD0B1" w14:textId="77777777" w:rsidR="002A21AE" w:rsidRDefault="002A21AE">
            <w:pPr>
              <w:pStyle w:val="NotesText"/>
              <w:rPr>
                <w:vanish/>
                <w:szCs w:val="18"/>
              </w:rPr>
            </w:pPr>
          </w:p>
          <w:p w14:paraId="5C25B7F1" w14:textId="77777777" w:rsidR="002A21AE" w:rsidRDefault="002A21AE">
            <w:pPr>
              <w:pStyle w:val="NotesText"/>
            </w:pPr>
            <w:r>
              <w:rPr>
                <w:vanish/>
                <w:szCs w:val="18"/>
              </w:rPr>
              <w:t>PT_81.01 Supply Types</w:t>
            </w:r>
          </w:p>
        </w:tc>
      </w:tr>
      <w:tr w:rsidR="002A21AE" w14:paraId="2A34E17E" w14:textId="77777777">
        <w:tc>
          <w:tcPr>
            <w:tcW w:w="3240" w:type="dxa"/>
            <w:tcBorders>
              <w:top w:val="single" w:sz="4" w:space="0" w:color="auto"/>
              <w:left w:val="single" w:sz="4" w:space="0" w:color="auto"/>
              <w:bottom w:val="single" w:sz="4" w:space="0" w:color="auto"/>
              <w:right w:val="single" w:sz="4" w:space="0" w:color="auto"/>
            </w:tcBorders>
          </w:tcPr>
          <w:p w14:paraId="7E7A7323" w14:textId="77777777" w:rsidR="002A21AE" w:rsidRDefault="00165119">
            <w:pPr>
              <w:pStyle w:val="TableTextNumbers"/>
            </w:pPr>
            <w:r>
              <w:t xml:space="preserve">Click </w:t>
            </w:r>
            <w:r w:rsidRPr="00165119">
              <w:rPr>
                <w:b/>
              </w:rPr>
              <w:t>OK</w:t>
            </w:r>
            <w:r>
              <w:t xml:space="preserve"> to a</w:t>
            </w:r>
            <w:r w:rsidR="002A21AE">
              <w:t>ccept the displayed selection criteria.</w:t>
            </w:r>
          </w:p>
        </w:tc>
        <w:tc>
          <w:tcPr>
            <w:tcW w:w="6120" w:type="dxa"/>
            <w:tcBorders>
              <w:top w:val="single" w:sz="4" w:space="0" w:color="auto"/>
              <w:left w:val="single" w:sz="4" w:space="0" w:color="auto"/>
              <w:bottom w:val="single" w:sz="4" w:space="0" w:color="auto"/>
              <w:right w:val="single" w:sz="4" w:space="0" w:color="auto"/>
            </w:tcBorders>
          </w:tcPr>
          <w:p w14:paraId="3AA0143B" w14:textId="77777777" w:rsidR="002A21AE" w:rsidRDefault="002A21AE">
            <w:pPr>
              <w:pStyle w:val="TableTextBullet"/>
            </w:pPr>
            <w:r>
              <w:t>Compiles the report and displays an option to print or exit the report.</w:t>
            </w:r>
          </w:p>
        </w:tc>
      </w:tr>
      <w:tr w:rsidR="002A21AE" w14:paraId="184BAAFD" w14:textId="77777777">
        <w:tc>
          <w:tcPr>
            <w:tcW w:w="3240" w:type="dxa"/>
            <w:tcBorders>
              <w:top w:val="single" w:sz="4" w:space="0" w:color="auto"/>
              <w:left w:val="single" w:sz="4" w:space="0" w:color="auto"/>
              <w:bottom w:val="single" w:sz="4" w:space="0" w:color="auto"/>
              <w:right w:val="single" w:sz="4" w:space="0" w:color="auto"/>
            </w:tcBorders>
          </w:tcPr>
          <w:p w14:paraId="49BB723E" w14:textId="77777777" w:rsidR="002A21AE" w:rsidRDefault="002A21AE">
            <w:pPr>
              <w:pStyle w:val="TableTextNumbers"/>
            </w:pPr>
            <w:r>
              <w:t xml:space="preserve">Click </w:t>
            </w:r>
            <w:r>
              <w:rPr>
                <w:b/>
              </w:rPr>
              <w:t>Print Supply Inventory</w:t>
            </w:r>
            <w:r>
              <w:t xml:space="preserve"> to print the list of supplies.</w:t>
            </w:r>
          </w:p>
        </w:tc>
        <w:tc>
          <w:tcPr>
            <w:tcW w:w="6120" w:type="dxa"/>
            <w:tcBorders>
              <w:top w:val="single" w:sz="4" w:space="0" w:color="auto"/>
              <w:left w:val="single" w:sz="4" w:space="0" w:color="auto"/>
              <w:bottom w:val="single" w:sz="4" w:space="0" w:color="auto"/>
              <w:right w:val="single" w:sz="4" w:space="0" w:color="auto"/>
            </w:tcBorders>
          </w:tcPr>
          <w:p w14:paraId="371A9BB3" w14:textId="77777777" w:rsidR="002A21AE" w:rsidRDefault="002A21AE">
            <w:pPr>
              <w:pStyle w:val="TableTextBullet"/>
            </w:pPr>
            <w:r>
              <w:t>Sends the report to print on the printer selected by the user.</w:t>
            </w:r>
          </w:p>
          <w:p w14:paraId="12D40071" w14:textId="77777777" w:rsidR="002A21AE" w:rsidRDefault="002A21AE">
            <w:pPr>
              <w:pStyle w:val="TableText"/>
            </w:pPr>
          </w:p>
          <w:p w14:paraId="6A219D6E" w14:textId="77777777" w:rsidR="002A21AE" w:rsidRDefault="00057948">
            <w:pPr>
              <w:pStyle w:val="TableText"/>
              <w:rPr>
                <w:b/>
                <w:bCs/>
                <w:szCs w:val="18"/>
              </w:rPr>
            </w:pPr>
            <w:r>
              <w:rPr>
                <w:b/>
                <w:bCs/>
                <w:noProof/>
              </w:rPr>
              <mc:AlternateContent>
                <mc:Choice Requires="wps">
                  <w:drawing>
                    <wp:anchor distT="0" distB="0" distL="114300" distR="114300" simplePos="0" relativeHeight="251617280" behindDoc="0" locked="0" layoutInCell="1" allowOverlap="1" wp14:anchorId="0DECBC72" wp14:editId="3FB7DEF7">
                      <wp:simplePos x="0" y="0"/>
                      <wp:positionH relativeFrom="column">
                        <wp:posOffset>457200</wp:posOffset>
                      </wp:positionH>
                      <wp:positionV relativeFrom="paragraph">
                        <wp:posOffset>65405</wp:posOffset>
                      </wp:positionV>
                      <wp:extent cx="3200400" cy="0"/>
                      <wp:effectExtent l="9525" t="17780" r="9525" b="10795"/>
                      <wp:wrapNone/>
                      <wp:docPr id="522" name="Line 678" descr="P3103C12T3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4F91B" id="Line 678" o:spid="_x0000_s1026" alt="&quot;&quot;"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UP8+J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26A16F83" w14:textId="77777777" w:rsidR="002A21AE" w:rsidRDefault="002A21AE">
            <w:pPr>
              <w:pStyle w:val="NotesText"/>
            </w:pPr>
          </w:p>
          <w:p w14:paraId="1A3FB34F" w14:textId="77777777" w:rsidR="002A21AE" w:rsidRDefault="002A21AE">
            <w:pPr>
              <w:pStyle w:val="NotesText"/>
            </w:pPr>
            <w:r>
              <w:rPr>
                <w:rFonts w:cs="Arial"/>
                <w:vanish/>
              </w:rPr>
              <w:t xml:space="preserve">BR_81.09 </w:t>
            </w:r>
            <w:r>
              <w:t>VBECS displays and prints the report in the supply type order</w:t>
            </w:r>
            <w:r w:rsidR="00F85F11">
              <w:t xml:space="preserve"> </w:t>
            </w:r>
            <w:r>
              <w:rPr>
                <w:vanish/>
                <w:szCs w:val="18"/>
              </w:rPr>
              <w:t>(as defined in PT_81.01)</w:t>
            </w:r>
            <w:r>
              <w:t>: in-date by lot number in reverse chronological order of expiration date, followed by expired and unsatisfactory supplies. Details included in the report:</w:t>
            </w:r>
          </w:p>
          <w:p w14:paraId="18CE9274" w14:textId="77777777" w:rsidR="002A21AE" w:rsidRDefault="002A21AE">
            <w:pPr>
              <w:pStyle w:val="NotesTextBullet"/>
            </w:pPr>
            <w:r>
              <w:t xml:space="preserve">Supply Type (Unit of Measure) </w:t>
            </w:r>
          </w:p>
          <w:p w14:paraId="47D51AD2" w14:textId="77777777" w:rsidR="002A21AE" w:rsidRDefault="002A21AE">
            <w:pPr>
              <w:pStyle w:val="NotesTextBullet"/>
            </w:pPr>
            <w:r>
              <w:t>Manufacturer</w:t>
            </w:r>
          </w:p>
          <w:p w14:paraId="5572CA59" w14:textId="77777777" w:rsidR="002A21AE" w:rsidRDefault="002A21AE">
            <w:pPr>
              <w:pStyle w:val="NotesTextBullet"/>
            </w:pPr>
            <w:r>
              <w:t>Manufacturer’s Supply Name</w:t>
            </w:r>
          </w:p>
          <w:p w14:paraId="2FC98CED" w14:textId="77777777" w:rsidR="002A21AE" w:rsidRDefault="002A21AE">
            <w:pPr>
              <w:pStyle w:val="NotesTextBullet"/>
            </w:pPr>
            <w:r>
              <w:t>Lot Number</w:t>
            </w:r>
          </w:p>
          <w:p w14:paraId="62303CB5" w14:textId="77777777" w:rsidR="002A21AE" w:rsidRDefault="002A21AE">
            <w:pPr>
              <w:pStyle w:val="NotesTextBullet"/>
            </w:pPr>
            <w:r>
              <w:t>Expiration Date</w:t>
            </w:r>
          </w:p>
          <w:p w14:paraId="6F95D912" w14:textId="77777777" w:rsidR="002A21AE" w:rsidRDefault="002A21AE">
            <w:pPr>
              <w:pStyle w:val="NotesTextBullet"/>
            </w:pPr>
            <w:r>
              <w:t>Number Available</w:t>
            </w:r>
          </w:p>
          <w:p w14:paraId="62B58844" w14:textId="77777777" w:rsidR="002A21AE" w:rsidRDefault="002A21AE">
            <w:pPr>
              <w:pStyle w:val="NotesTextBullet"/>
            </w:pPr>
            <w:r>
              <w:t>Inspection upon receipt</w:t>
            </w:r>
          </w:p>
          <w:p w14:paraId="693974F0" w14:textId="77777777" w:rsidR="002A21AE" w:rsidRDefault="002A21AE">
            <w:pPr>
              <w:pStyle w:val="NotesTextBullet"/>
            </w:pPr>
            <w:r>
              <w:t>Invoice Number</w:t>
            </w:r>
          </w:p>
          <w:p w14:paraId="5C480C07" w14:textId="77777777" w:rsidR="002A21AE" w:rsidRDefault="002A21AE">
            <w:pPr>
              <w:pStyle w:val="NotesTextBullet"/>
            </w:pPr>
            <w:r>
              <w:t xml:space="preserve">Received Date/Time </w:t>
            </w:r>
          </w:p>
          <w:p w14:paraId="53025783" w14:textId="77777777" w:rsidR="002A21AE" w:rsidRDefault="002A21AE">
            <w:pPr>
              <w:pStyle w:val="NotesTextBullet"/>
            </w:pPr>
            <w:r>
              <w:t>Received by Tech Name</w:t>
            </w:r>
          </w:p>
          <w:p w14:paraId="1BE416CE" w14:textId="77777777" w:rsidR="002A21AE" w:rsidRDefault="002A21AE" w:rsidP="000C4324">
            <w:pPr>
              <w:pStyle w:val="NotesTextBullet"/>
            </w:pPr>
            <w:r>
              <w:t>Comments</w:t>
            </w:r>
          </w:p>
        </w:tc>
      </w:tr>
      <w:tr w:rsidR="002A21AE" w14:paraId="2075155A" w14:textId="77777777">
        <w:tc>
          <w:tcPr>
            <w:tcW w:w="3240" w:type="dxa"/>
            <w:tcBorders>
              <w:top w:val="single" w:sz="4" w:space="0" w:color="auto"/>
              <w:left w:val="single" w:sz="4" w:space="0" w:color="auto"/>
              <w:bottom w:val="single" w:sz="4" w:space="0" w:color="auto"/>
              <w:right w:val="single" w:sz="4" w:space="0" w:color="auto"/>
            </w:tcBorders>
          </w:tcPr>
          <w:p w14:paraId="29EB70B2" w14:textId="77777777" w:rsidR="002A21AE" w:rsidRDefault="002A21AE">
            <w:pPr>
              <w:pStyle w:val="TableTextNumbers"/>
            </w:pPr>
            <w:r>
              <w:t>Print another report or</w:t>
            </w:r>
            <w:r w:rsidR="00165119">
              <w:t xml:space="preserve"> click </w:t>
            </w:r>
            <w:r w:rsidR="00165119" w:rsidRPr="00165119">
              <w:rPr>
                <w:b/>
              </w:rPr>
              <w:t>Cancel</w:t>
            </w:r>
            <w:r w:rsidR="00165119">
              <w:t xml:space="preserve"> to</w:t>
            </w:r>
            <w:r>
              <w:t xml:space="preserve">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484F2CC3" w14:textId="77777777" w:rsidR="002A21AE" w:rsidRDefault="002A21AE">
            <w:pPr>
              <w:pStyle w:val="TableText"/>
            </w:pPr>
          </w:p>
        </w:tc>
      </w:tr>
      <w:bookmarkEnd w:id="255"/>
    </w:tbl>
    <w:p w14:paraId="46C0CF5F" w14:textId="77777777" w:rsidR="00DC6F96" w:rsidRDefault="00DC6F96">
      <w:pPr>
        <w:pStyle w:val="Heading3"/>
      </w:pPr>
    </w:p>
    <w:p w14:paraId="6DE059C2" w14:textId="77777777" w:rsidR="002A21AE" w:rsidRDefault="00DC6F96">
      <w:pPr>
        <w:pStyle w:val="Heading3"/>
      </w:pPr>
      <w:r>
        <w:br w:type="page"/>
      </w:r>
      <w:bookmarkStart w:id="256" w:name="_Toc4588773"/>
      <w:r w:rsidR="002A21AE">
        <w:lastRenderedPageBreak/>
        <w:t>Equipment</w:t>
      </w:r>
      <w:bookmarkEnd w:id="256"/>
      <w:r w:rsidR="002A21AE">
        <w:fldChar w:fldCharType="begin"/>
      </w:r>
      <w:r w:rsidR="002A21AE">
        <w:instrText xml:space="preserve"> XE </w:instrText>
      </w:r>
      <w:r w:rsidR="00FA7E65">
        <w:instrText>“</w:instrText>
      </w:r>
      <w:r w:rsidR="002A21AE">
        <w:instrText>Equipment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UC_22</w:t>
      </w:r>
    </w:p>
    <w:p w14:paraId="52E0570B" w14:textId="77777777" w:rsidR="002A21AE" w:rsidRDefault="002A21AE" w:rsidP="00FA7E65">
      <w:pPr>
        <w:pStyle w:val="BodyText"/>
      </w:pPr>
      <w:r>
        <w:t>The user registers blood bank instruments and other equipment (refrigerators, freezers, thawing bath, incubators, centrifuges, etc.) and records associated maintenance activities.</w:t>
      </w:r>
    </w:p>
    <w:p w14:paraId="03782CAC" w14:textId="77777777" w:rsidR="002A21AE" w:rsidRDefault="002A21AE">
      <w:pPr>
        <w:pStyle w:val="Heading4"/>
        <w:rPr>
          <w:b w:val="0"/>
        </w:rPr>
      </w:pPr>
      <w:r>
        <w:t>Assumptions</w:t>
      </w:r>
    </w:p>
    <w:p w14:paraId="345676A3" w14:textId="77777777" w:rsidR="002A21AE" w:rsidRDefault="002A21AE">
      <w:pPr>
        <w:pStyle w:val="ListBullet"/>
      </w:pPr>
      <w:r>
        <w:rPr>
          <w:rFonts w:ascii="Arial" w:hAnsi="Arial" w:cs="Arial"/>
          <w:vanish/>
          <w:spacing w:val="0"/>
          <w:sz w:val="18"/>
        </w:rPr>
        <w:t xml:space="preserve">BR_22.01 </w:t>
      </w:r>
      <w:r>
        <w:t>A user may maintain equipment inventory only in the division currently logged into.</w:t>
      </w:r>
    </w:p>
    <w:p w14:paraId="74120EDF" w14:textId="77777777" w:rsidR="002A21AE" w:rsidRDefault="002A21AE">
      <w:pPr>
        <w:pStyle w:val="Heading4"/>
      </w:pPr>
      <w:r>
        <w:t xml:space="preserve">Outcome </w:t>
      </w:r>
    </w:p>
    <w:p w14:paraId="73D18209" w14:textId="77777777" w:rsidR="002A21AE" w:rsidRDefault="002A21AE">
      <w:pPr>
        <w:pStyle w:val="ListBullet"/>
        <w:rPr>
          <w:b/>
        </w:rPr>
      </w:pPr>
      <w:r>
        <w:t>An equipment maintenance record, accessible within the division of entry, was established.</w:t>
      </w:r>
    </w:p>
    <w:p w14:paraId="47768B61" w14:textId="77777777" w:rsidR="002A21AE" w:rsidRDefault="002A21AE">
      <w:pPr>
        <w:pStyle w:val="Heading4"/>
      </w:pPr>
      <w:r>
        <w:t xml:space="preserve">Limitations and Restrictions </w:t>
      </w:r>
    </w:p>
    <w:p w14:paraId="29CDE8AC" w14:textId="77777777" w:rsidR="002A21AE" w:rsidRDefault="002A21AE">
      <w:pPr>
        <w:pStyle w:val="ListBullet"/>
      </w:pPr>
      <w:r>
        <w:t>VBECS does not check for duplicate entries of equipment names and identifiers.</w:t>
      </w:r>
    </w:p>
    <w:p w14:paraId="5B63DF8E" w14:textId="77777777" w:rsidR="002A21AE" w:rsidRDefault="002A21AE">
      <w:pPr>
        <w:pStyle w:val="ListBullet"/>
      </w:pPr>
      <w:r>
        <w:t xml:space="preserve">There is no retrospective data entry or user selection for </w:t>
      </w:r>
      <w:r w:rsidR="00932460">
        <w:t>this option</w:t>
      </w:r>
      <w:r>
        <w:t>.</w:t>
      </w:r>
    </w:p>
    <w:p w14:paraId="218438F5" w14:textId="77777777" w:rsidR="002A21AE" w:rsidRDefault="002A21AE">
      <w:pPr>
        <w:pStyle w:val="Heading4"/>
      </w:pPr>
      <w:r>
        <w:t xml:space="preserve">Additional Information </w:t>
      </w:r>
    </w:p>
    <w:p w14:paraId="6889D7D5" w14:textId="77777777" w:rsidR="002A21AE" w:rsidRDefault="002A21AE">
      <w:pPr>
        <w:pStyle w:val="ListBullet"/>
      </w:pPr>
      <w:r>
        <w:t>VBECS does not calculate inventory levels for supplies or equipment.</w:t>
      </w:r>
    </w:p>
    <w:p w14:paraId="0B29F580" w14:textId="77777777" w:rsidR="002A21AE" w:rsidRDefault="002A21AE">
      <w:pPr>
        <w:pStyle w:val="Heading4"/>
        <w:rPr>
          <w:b w:val="0"/>
        </w:rPr>
      </w:pPr>
      <w:r>
        <w:t>User Roles with Access to This Option</w:t>
      </w:r>
      <w:r>
        <w:rPr>
          <w:b w:val="0"/>
        </w:rPr>
        <w:t xml:space="preserve"> </w:t>
      </w:r>
    </w:p>
    <w:p w14:paraId="63BBF149" w14:textId="77777777" w:rsidR="002A21AE" w:rsidRDefault="00410B0E">
      <w:pPr>
        <w:pStyle w:val="Roles"/>
        <w:rPr>
          <w:snapToGrid w:val="0"/>
        </w:rPr>
      </w:pPr>
      <w:r>
        <w:t>All users</w:t>
      </w:r>
    </w:p>
    <w:p w14:paraId="3C2469CB" w14:textId="77777777" w:rsidR="002A21AE" w:rsidRDefault="002A21AE">
      <w:pPr>
        <w:pStyle w:val="Heading4"/>
      </w:pPr>
      <w:r>
        <w:t>Equipment: Log In Equipment</w:t>
      </w:r>
      <w:r>
        <w:fldChar w:fldCharType="begin"/>
      </w:r>
      <w:r>
        <w:instrText xml:space="preserve"> XE </w:instrText>
      </w:r>
      <w:r w:rsidR="00FA7E65">
        <w:instrText>“</w:instrText>
      </w:r>
      <w:r>
        <w:instrText>Equipment\: Log In Equipment</w:instrText>
      </w:r>
      <w:r w:rsidR="00FA7E65">
        <w:instrText>”</w:instrText>
      </w:r>
      <w:r>
        <w:instrText xml:space="preserve"> </w:instrText>
      </w:r>
      <w:r>
        <w:fldChar w:fldCharType="end"/>
      </w:r>
    </w:p>
    <w:p w14:paraId="5BFB5647" w14:textId="77777777" w:rsidR="002A21AE" w:rsidRDefault="002A21AE" w:rsidP="00FA7E65">
      <w:pPr>
        <w:pStyle w:val="BodyText"/>
      </w:pPr>
      <w:r>
        <w:t>A user add</w:t>
      </w:r>
      <w:r w:rsidR="0000095B">
        <w:t>s</w:t>
      </w:r>
      <w:r>
        <w:t xml:space="preserve"> new equipment or maintain</w:t>
      </w:r>
      <w:r w:rsidR="0000095B">
        <w:t>s</w:t>
      </w:r>
      <w:r>
        <w:t xml:space="preserve"> existing equipment. After equipment is registered, the user must record periodic maintenance. The equipment records are updated and retained according to local procedure and policy. Once an equipment record is established, it may be selected as equipment used during a blood product modification.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71349994" w14:textId="77777777">
        <w:trPr>
          <w:cantSplit/>
          <w:tblHeader/>
        </w:trPr>
        <w:tc>
          <w:tcPr>
            <w:tcW w:w="3240" w:type="dxa"/>
            <w:shd w:val="pct30" w:color="auto" w:fill="FFFFFF"/>
            <w:vAlign w:val="bottom"/>
          </w:tcPr>
          <w:p w14:paraId="5429D136" w14:textId="77777777" w:rsidR="002A21AE" w:rsidRDefault="002A21AE">
            <w:pPr>
              <w:pStyle w:val="TableText"/>
              <w:rPr>
                <w:b/>
              </w:rPr>
            </w:pPr>
            <w:r>
              <w:rPr>
                <w:b/>
              </w:rPr>
              <w:t>User Action</w:t>
            </w:r>
          </w:p>
        </w:tc>
        <w:tc>
          <w:tcPr>
            <w:tcW w:w="6120" w:type="dxa"/>
            <w:shd w:val="pct30" w:color="auto" w:fill="FFFFFF"/>
            <w:vAlign w:val="bottom"/>
          </w:tcPr>
          <w:p w14:paraId="634BE247" w14:textId="77777777" w:rsidR="002A21AE" w:rsidRDefault="002A21AE">
            <w:pPr>
              <w:pStyle w:val="TableText"/>
              <w:rPr>
                <w:b/>
              </w:rPr>
            </w:pPr>
            <w:r>
              <w:rPr>
                <w:b/>
              </w:rPr>
              <w:t>VBECS</w:t>
            </w:r>
          </w:p>
        </w:tc>
      </w:tr>
      <w:tr w:rsidR="002A21AE" w14:paraId="546EFB15" w14:textId="77777777">
        <w:tc>
          <w:tcPr>
            <w:tcW w:w="3240" w:type="dxa"/>
          </w:tcPr>
          <w:p w14:paraId="09F4B02A" w14:textId="77777777" w:rsidR="002A21AE" w:rsidRDefault="002A21AE">
            <w:pPr>
              <w:pStyle w:val="TableTextNumbers"/>
            </w:pPr>
            <w:r>
              <w:t xml:space="preserve">To add new equipment, select </w:t>
            </w:r>
            <w:r>
              <w:rPr>
                <w:b/>
              </w:rPr>
              <w:t>Tools</w:t>
            </w:r>
            <w:r>
              <w:t xml:space="preserve"> from the main menu.</w:t>
            </w:r>
          </w:p>
          <w:p w14:paraId="0B16F63B" w14:textId="77777777" w:rsidR="002A21AE" w:rsidRDefault="002A21AE">
            <w:pPr>
              <w:pStyle w:val="TableTextNumbersContinued"/>
            </w:pPr>
          </w:p>
          <w:p w14:paraId="0AF0E70A" w14:textId="77777777" w:rsidR="002A21AE" w:rsidRDefault="002A21AE">
            <w:pPr>
              <w:pStyle w:val="TableTextNumbersContinued"/>
            </w:pPr>
            <w:r>
              <w:t xml:space="preserve">Select </w:t>
            </w:r>
            <w:r>
              <w:rPr>
                <w:b/>
              </w:rPr>
              <w:t>Equipment</w:t>
            </w:r>
            <w:r>
              <w:t>.</w:t>
            </w:r>
          </w:p>
        </w:tc>
        <w:tc>
          <w:tcPr>
            <w:tcW w:w="6120" w:type="dxa"/>
          </w:tcPr>
          <w:p w14:paraId="56DC278C" w14:textId="77777777" w:rsidR="002A21AE" w:rsidRDefault="002A21AE">
            <w:pPr>
              <w:pStyle w:val="TableTextBullet"/>
            </w:pPr>
            <w:r>
              <w:t>Displays options to maintain equipment maintenance.</w:t>
            </w:r>
          </w:p>
          <w:p w14:paraId="56E6198C" w14:textId="77777777" w:rsidR="002A21AE" w:rsidRDefault="002A21AE">
            <w:pPr>
              <w:pStyle w:val="NotesText"/>
            </w:pPr>
          </w:p>
        </w:tc>
      </w:tr>
      <w:tr w:rsidR="002A21AE" w14:paraId="088B4C72" w14:textId="77777777">
        <w:tc>
          <w:tcPr>
            <w:tcW w:w="3240" w:type="dxa"/>
            <w:tcBorders>
              <w:top w:val="single" w:sz="4" w:space="0" w:color="auto"/>
              <w:left w:val="single" w:sz="4" w:space="0" w:color="auto"/>
              <w:bottom w:val="single" w:sz="4" w:space="0" w:color="auto"/>
              <w:right w:val="single" w:sz="4" w:space="0" w:color="auto"/>
            </w:tcBorders>
          </w:tcPr>
          <w:p w14:paraId="40A32BB2" w14:textId="77777777" w:rsidR="002A21AE" w:rsidRDefault="002A21AE">
            <w:pPr>
              <w:pStyle w:val="TableTextNumbers"/>
            </w:pPr>
            <w:r>
              <w:t xml:space="preserve">Select </w:t>
            </w:r>
            <w:r>
              <w:rPr>
                <w:b/>
              </w:rPr>
              <w:t>Log In Equipment</w:t>
            </w:r>
            <w:r>
              <w:t xml:space="preserve"> to create an equipment record or </w:t>
            </w:r>
            <w:r>
              <w:rPr>
                <w:b/>
              </w:rPr>
              <w:t>Maintain Equipment</w:t>
            </w:r>
            <w:r>
              <w:t xml:space="preserve"> to record maintenance (see Equipment: Maintain Equipment).</w:t>
            </w:r>
          </w:p>
        </w:tc>
        <w:tc>
          <w:tcPr>
            <w:tcW w:w="6120" w:type="dxa"/>
            <w:tcBorders>
              <w:top w:val="single" w:sz="4" w:space="0" w:color="auto"/>
              <w:left w:val="single" w:sz="4" w:space="0" w:color="auto"/>
              <w:bottom w:val="single" w:sz="4" w:space="0" w:color="auto"/>
              <w:right w:val="single" w:sz="4" w:space="0" w:color="auto"/>
            </w:tcBorders>
          </w:tcPr>
          <w:p w14:paraId="4ED0280D" w14:textId="77777777" w:rsidR="002A21AE" w:rsidRDefault="002A21AE">
            <w:pPr>
              <w:pStyle w:val="TableTextBullet"/>
            </w:pPr>
            <w:r>
              <w:rPr>
                <w:rFonts w:cs="Arial"/>
                <w:vanish/>
              </w:rPr>
              <w:t xml:space="preserve">BR_22.05 </w:t>
            </w:r>
            <w:r>
              <w:t>Displays an empty equipment property template.</w:t>
            </w:r>
          </w:p>
          <w:p w14:paraId="229D5324" w14:textId="77777777" w:rsidR="002A21AE" w:rsidRDefault="002A21AE">
            <w:pPr>
              <w:pStyle w:val="TableTextBullet"/>
            </w:pPr>
            <w:r>
              <w:t>Displays all in-service equipment items for the blood bank associated with the user’s division and offers the option to display out-of-service equipment.</w:t>
            </w:r>
          </w:p>
        </w:tc>
      </w:tr>
      <w:tr w:rsidR="002A21AE" w14:paraId="10E5BC00" w14:textId="77777777" w:rsidTr="007E500E">
        <w:trPr>
          <w:cantSplit/>
        </w:trPr>
        <w:tc>
          <w:tcPr>
            <w:tcW w:w="3240" w:type="dxa"/>
            <w:tcBorders>
              <w:top w:val="single" w:sz="4" w:space="0" w:color="auto"/>
              <w:left w:val="single" w:sz="4" w:space="0" w:color="auto"/>
              <w:bottom w:val="single" w:sz="4" w:space="0" w:color="auto"/>
              <w:right w:val="single" w:sz="4" w:space="0" w:color="auto"/>
            </w:tcBorders>
          </w:tcPr>
          <w:p w14:paraId="63006603" w14:textId="77777777" w:rsidR="002A21AE" w:rsidRDefault="002A21AE">
            <w:pPr>
              <w:pStyle w:val="TableTextNumbers"/>
            </w:pPr>
            <w:r>
              <w:lastRenderedPageBreak/>
              <w:t>Equipment Info area: Enter the equipment information in the appropriate fields. Enter or select an equipment type from the drop-down menu.</w:t>
            </w:r>
          </w:p>
          <w:p w14:paraId="21566E90" w14:textId="77777777" w:rsidR="002A21AE" w:rsidRDefault="002A21AE">
            <w:pPr>
              <w:pStyle w:val="TableTextNumbersContinued"/>
              <w:rPr>
                <w:b/>
                <w:bCs/>
              </w:rPr>
            </w:pPr>
          </w:p>
          <w:p w14:paraId="0BDC4C41" w14:textId="77777777" w:rsidR="002A21AE" w:rsidRDefault="002A21AE">
            <w:pPr>
              <w:pStyle w:val="TableTextNumbersContinued"/>
            </w:pPr>
            <w:r>
              <w:t>Installation Info area: Select or edit the date and time in the Date Received/Installed field.</w:t>
            </w:r>
          </w:p>
          <w:p w14:paraId="1D660719" w14:textId="77777777" w:rsidR="002A21AE" w:rsidRDefault="002A21AE">
            <w:pPr>
              <w:pStyle w:val="TableTextNumbersContinued"/>
            </w:pPr>
          </w:p>
          <w:p w14:paraId="6E2B075F" w14:textId="77777777" w:rsidR="002A21AE" w:rsidRDefault="002A21AE">
            <w:pPr>
              <w:pStyle w:val="TableTextNumbersContinued"/>
            </w:pPr>
            <w:r>
              <w:t xml:space="preserve">Click the </w:t>
            </w:r>
            <w:r>
              <w:rPr>
                <w:b/>
              </w:rPr>
              <w:t xml:space="preserve">Expiration/Renewal Date </w:t>
            </w:r>
            <w:r w:rsidRPr="00D1100E">
              <w:t>check box</w:t>
            </w:r>
            <w:r>
              <w:rPr>
                <w:b/>
              </w:rPr>
              <w:t xml:space="preserve"> </w:t>
            </w:r>
            <w:r>
              <w:t xml:space="preserve">when there’s an expiration or renewal date, and edit the date as above. </w:t>
            </w:r>
          </w:p>
          <w:p w14:paraId="03C6B7AF" w14:textId="77777777" w:rsidR="002A21AE" w:rsidRDefault="002A21AE">
            <w:pPr>
              <w:pStyle w:val="TableTextNumbersContinued"/>
            </w:pPr>
          </w:p>
          <w:p w14:paraId="798164E6" w14:textId="77777777" w:rsidR="002A21AE" w:rsidRDefault="002A21AE">
            <w:pPr>
              <w:pStyle w:val="TableTextNumbersContinued"/>
            </w:pPr>
            <w:r>
              <w:t>Manufacturer Info area: Enter the manufacturer name or select a manufacturer from the drop-down list.</w:t>
            </w:r>
          </w:p>
          <w:p w14:paraId="7408D1D3" w14:textId="77777777" w:rsidR="002A21AE" w:rsidRDefault="002A21AE">
            <w:pPr>
              <w:pStyle w:val="TableTextNumbersContinued"/>
            </w:pPr>
          </w:p>
          <w:p w14:paraId="116678AD" w14:textId="77777777" w:rsidR="002A21AE" w:rsidRDefault="002A21AE">
            <w:pPr>
              <w:pStyle w:val="TableTextNumbersContinued"/>
            </w:pPr>
            <w:r>
              <w:t xml:space="preserve">Enter the manufacturer’s contact information in the appropriate fields or click the </w:t>
            </w:r>
            <w:r w:rsidR="00A6373D">
              <w:rPr>
                <w:b/>
              </w:rPr>
              <w:t>find</w:t>
            </w:r>
            <w:r w:rsidRPr="00BF2E41">
              <w:t xml:space="preserve"> button</w:t>
            </w:r>
            <w:r>
              <w:t xml:space="preserve"> to select the manufacturer’s address.</w:t>
            </w:r>
          </w:p>
          <w:p w14:paraId="2330436A" w14:textId="77777777" w:rsidR="002A21AE" w:rsidRDefault="002A21AE">
            <w:pPr>
              <w:pStyle w:val="TableTextNumbersContinued"/>
            </w:pPr>
          </w:p>
          <w:p w14:paraId="0D9706B0" w14:textId="14722F13" w:rsidR="002A21AE" w:rsidRDefault="002A21AE">
            <w:pPr>
              <w:pStyle w:val="TableTextNumbersContinued"/>
            </w:pPr>
            <w:r>
              <w:t xml:space="preserve">Click </w:t>
            </w:r>
            <w:r>
              <w:rPr>
                <w:b/>
              </w:rPr>
              <w:t>Add</w:t>
            </w:r>
            <w:r>
              <w:t xml:space="preserve"> to add the equipment to inventory</w:t>
            </w:r>
            <w:r w:rsidR="00D33C56">
              <w:t xml:space="preserve"> (</w:t>
            </w:r>
            <w:r w:rsidR="00D33C56">
              <w:fldChar w:fldCharType="begin" w:fldLock="1"/>
            </w:r>
            <w:r w:rsidR="00D33C56">
              <w:instrText xml:space="preserve"> REF _Ref126556319 \h </w:instrText>
            </w:r>
            <w:r w:rsidR="00D33C56">
              <w:fldChar w:fldCharType="separate"/>
            </w:r>
            <w:r w:rsidR="00AB304C">
              <w:t xml:space="preserve">Figure </w:t>
            </w:r>
            <w:r w:rsidR="00AB304C">
              <w:rPr>
                <w:noProof/>
              </w:rPr>
              <w:t>69</w:t>
            </w:r>
            <w:r w:rsidR="00D33C56">
              <w:fldChar w:fldCharType="end"/>
            </w:r>
            <w:r w:rsidR="00D33C56">
              <w:t>)</w:t>
            </w:r>
            <w:r>
              <w:t>.</w:t>
            </w:r>
          </w:p>
        </w:tc>
        <w:tc>
          <w:tcPr>
            <w:tcW w:w="6120" w:type="dxa"/>
            <w:tcBorders>
              <w:top w:val="single" w:sz="4" w:space="0" w:color="auto"/>
              <w:left w:val="single" w:sz="4" w:space="0" w:color="auto"/>
              <w:bottom w:val="single" w:sz="4" w:space="0" w:color="auto"/>
              <w:right w:val="single" w:sz="4" w:space="0" w:color="auto"/>
            </w:tcBorders>
          </w:tcPr>
          <w:p w14:paraId="75E844DB" w14:textId="77777777" w:rsidR="002A21AE" w:rsidRDefault="002A21AE">
            <w:pPr>
              <w:pStyle w:val="TableTextBullet"/>
            </w:pPr>
            <w:r>
              <w:t>Displays fields for entering equipment name, ID, serial number, and type in the Equipment Info area.</w:t>
            </w:r>
          </w:p>
          <w:p w14:paraId="6AA68B3A" w14:textId="77777777" w:rsidR="002A21AE" w:rsidRDefault="002A21AE">
            <w:pPr>
              <w:pStyle w:val="TableTextBullet"/>
            </w:pPr>
            <w:r>
              <w:t>Displays fields for entering the date the equipment was received or installed, warranty or service contract number, and expiration or renewal service contract date in the Installation Info area.</w:t>
            </w:r>
          </w:p>
          <w:p w14:paraId="12383213" w14:textId="77777777" w:rsidR="002A21AE" w:rsidRDefault="002A21AE">
            <w:pPr>
              <w:pStyle w:val="TableTextBullet"/>
            </w:pPr>
            <w:r>
              <w:t>Displays fields for entering the manufacturer name, address, and phone in the Manufacturer Info area.</w:t>
            </w:r>
          </w:p>
        </w:tc>
      </w:tr>
      <w:tr w:rsidR="002A21AE" w14:paraId="00DB82BD" w14:textId="77777777">
        <w:tc>
          <w:tcPr>
            <w:tcW w:w="3240" w:type="dxa"/>
            <w:tcBorders>
              <w:top w:val="single" w:sz="4" w:space="0" w:color="auto"/>
              <w:left w:val="single" w:sz="4" w:space="0" w:color="auto"/>
              <w:bottom w:val="single" w:sz="4" w:space="0" w:color="auto"/>
              <w:right w:val="single" w:sz="4" w:space="0" w:color="auto"/>
            </w:tcBorders>
          </w:tcPr>
          <w:p w14:paraId="586A0F36" w14:textId="77777777" w:rsidR="002A21AE" w:rsidRDefault="002A21AE">
            <w:pPr>
              <w:pStyle w:val="TableTextNumbers"/>
            </w:pPr>
            <w:r>
              <w:t>Repeat Step 3 to add new items to the equipment list.</w:t>
            </w:r>
          </w:p>
          <w:p w14:paraId="77D661D5" w14:textId="77777777" w:rsidR="002A21AE" w:rsidRDefault="002A21AE">
            <w:pPr>
              <w:pStyle w:val="TableTextNumbersContinued"/>
            </w:pPr>
          </w:p>
          <w:p w14:paraId="767412B3" w14:textId="77777777" w:rsidR="002A21AE" w:rsidRDefault="002A21AE">
            <w:pPr>
              <w:pStyle w:val="TableTextNumbersContinued"/>
            </w:pPr>
            <w:r>
              <w:t xml:space="preserve">Click </w:t>
            </w:r>
            <w:r>
              <w:rPr>
                <w:b/>
              </w:rPr>
              <w:t>OK</w:t>
            </w:r>
            <w:r>
              <w:t xml:space="preserve"> to save.</w:t>
            </w:r>
          </w:p>
        </w:tc>
        <w:tc>
          <w:tcPr>
            <w:tcW w:w="6120" w:type="dxa"/>
            <w:tcBorders>
              <w:top w:val="single" w:sz="4" w:space="0" w:color="auto"/>
              <w:left w:val="single" w:sz="4" w:space="0" w:color="auto"/>
              <w:bottom w:val="single" w:sz="4" w:space="0" w:color="auto"/>
              <w:right w:val="single" w:sz="4" w:space="0" w:color="auto"/>
            </w:tcBorders>
          </w:tcPr>
          <w:p w14:paraId="5DFE53A3" w14:textId="77777777" w:rsidR="002A21AE" w:rsidRDefault="002A21AE">
            <w:pPr>
              <w:pStyle w:val="TableTextBullet"/>
            </w:pPr>
            <w:r>
              <w:rPr>
                <w:rFonts w:cs="Arial"/>
                <w:vanish/>
              </w:rPr>
              <w:t xml:space="preserve">BR_22.02 </w:t>
            </w:r>
            <w:r>
              <w:t>VBECS maintains a historical record for each piece of equipment entered.</w:t>
            </w:r>
          </w:p>
        </w:tc>
      </w:tr>
      <w:tr w:rsidR="002A21AE" w14:paraId="3441D556" w14:textId="77777777">
        <w:tc>
          <w:tcPr>
            <w:tcW w:w="3240" w:type="dxa"/>
            <w:tcBorders>
              <w:top w:val="single" w:sz="4" w:space="0" w:color="auto"/>
              <w:left w:val="single" w:sz="4" w:space="0" w:color="auto"/>
              <w:bottom w:val="single" w:sz="4" w:space="0" w:color="auto"/>
              <w:right w:val="single" w:sz="4" w:space="0" w:color="auto"/>
            </w:tcBorders>
          </w:tcPr>
          <w:p w14:paraId="00333D11" w14:textId="77777777" w:rsidR="002A21AE" w:rsidRDefault="002A21AE">
            <w:pPr>
              <w:pStyle w:val="TableTextNumbers"/>
            </w:pPr>
            <w:r>
              <w:t xml:space="preserve">Click </w:t>
            </w:r>
            <w:r>
              <w:rPr>
                <w:b/>
              </w:rPr>
              <w:t>Yes</w:t>
            </w:r>
            <w:r>
              <w:t xml:space="preserve"> to confirm and exit.</w:t>
            </w:r>
            <w:r>
              <w:rPr>
                <w:vanish/>
                <w:szCs w:val="18"/>
              </w:rP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48BA75B1" w14:textId="77777777" w:rsidR="002A21AE" w:rsidRDefault="002A21AE">
            <w:pPr>
              <w:pStyle w:val="TableText"/>
            </w:pPr>
          </w:p>
        </w:tc>
      </w:tr>
    </w:tbl>
    <w:p w14:paraId="5CA22400" w14:textId="269438CF" w:rsidR="00D33C56" w:rsidRDefault="00D33C56" w:rsidP="00D33C56">
      <w:pPr>
        <w:pStyle w:val="Caption"/>
      </w:pPr>
      <w:bookmarkStart w:id="257" w:name="_Toc67109534"/>
      <w:bookmarkStart w:id="258" w:name="_Ref126556319"/>
      <w:bookmarkEnd w:id="257"/>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69</w:t>
      </w:r>
      <w:r w:rsidR="004E20BD">
        <w:rPr>
          <w:noProof/>
        </w:rPr>
        <w:fldChar w:fldCharType="end"/>
      </w:r>
      <w:bookmarkEnd w:id="258"/>
      <w:r>
        <w:t>: Log In Equipment</w:t>
      </w:r>
    </w:p>
    <w:p w14:paraId="534BF315" w14:textId="77777777" w:rsidR="00F00E49" w:rsidRDefault="00057948" w:rsidP="00F00E49">
      <w:pPr>
        <w:pStyle w:val="BodyText"/>
      </w:pPr>
      <w:r>
        <w:rPr>
          <w:noProof/>
        </w:rPr>
        <w:drawing>
          <wp:inline distT="0" distB="0" distL="0" distR="0" wp14:anchorId="5CF459A1" wp14:editId="0BF17BEE">
            <wp:extent cx="5939155" cy="3814445"/>
            <wp:effectExtent l="0" t="0" r="4445" b="0"/>
            <wp:docPr id="148" name="Picture 148" descr="P3174#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P3174#yIS1">
                      <a:extLst>
                        <a:ext uri="{C183D7F6-B498-43B3-948B-1728B52AA6E4}">
                          <adec:decorative xmlns:adec="http://schemas.microsoft.com/office/drawing/2017/decorative" val="1"/>
                        </a:ext>
                      </a:extLst>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39155" cy="3814445"/>
                    </a:xfrm>
                    <a:prstGeom prst="rect">
                      <a:avLst/>
                    </a:prstGeom>
                    <a:noFill/>
                    <a:ln>
                      <a:noFill/>
                    </a:ln>
                  </pic:spPr>
                </pic:pic>
              </a:graphicData>
            </a:graphic>
          </wp:inline>
        </w:drawing>
      </w:r>
    </w:p>
    <w:p w14:paraId="23B959BA" w14:textId="77777777" w:rsidR="002A21AE" w:rsidRDefault="00DC6F96">
      <w:pPr>
        <w:pStyle w:val="Heading4"/>
      </w:pPr>
      <w:r>
        <w:br w:type="page"/>
      </w:r>
      <w:r w:rsidR="002A21AE">
        <w:lastRenderedPageBreak/>
        <w:t>Equipment: Maintain Equipment</w:t>
      </w:r>
      <w:r w:rsidR="002A21AE">
        <w:fldChar w:fldCharType="begin"/>
      </w:r>
      <w:r w:rsidR="002A21AE">
        <w:instrText xml:space="preserve"> XE </w:instrText>
      </w:r>
      <w:r w:rsidR="00FA7E65">
        <w:instrText>“</w:instrText>
      </w:r>
      <w:r w:rsidR="002A21AE">
        <w:instrText>Equipment\: Maintain Equipment</w:instrText>
      </w:r>
      <w:r w:rsidR="00FA7E65">
        <w:instrText>”</w:instrText>
      </w:r>
      <w:r w:rsidR="002A21AE">
        <w:instrText xml:space="preserve"> </w:instrText>
      </w:r>
      <w:r w:rsidR="002A21AE">
        <w:fldChar w:fldCharType="end"/>
      </w:r>
      <w:r w:rsidR="002A21AE">
        <w:t xml:space="preserve"> </w:t>
      </w:r>
    </w:p>
    <w:p w14:paraId="18B3FA08" w14:textId="77777777" w:rsidR="002A21AE" w:rsidRDefault="002A21AE" w:rsidP="00FA7E65">
      <w:pPr>
        <w:pStyle w:val="BodyText"/>
      </w:pPr>
      <w:r>
        <w:t>The user maintain</w:t>
      </w:r>
      <w:r w:rsidR="00D268A9">
        <w:t>s</w:t>
      </w:r>
      <w:r>
        <w:t xml:space="preserve"> an online equipment record to record periodic maintenance. Equipment records are updated and retained according to local procedure and policy.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48695480" w14:textId="77777777">
        <w:trPr>
          <w:tblHeader/>
        </w:trPr>
        <w:tc>
          <w:tcPr>
            <w:tcW w:w="3240" w:type="dxa"/>
            <w:shd w:val="clear" w:color="auto" w:fill="B3B3B3"/>
            <w:vAlign w:val="bottom"/>
          </w:tcPr>
          <w:p w14:paraId="4B8BC6FE" w14:textId="77777777" w:rsidR="002A21AE" w:rsidRDefault="002A21AE">
            <w:pPr>
              <w:pStyle w:val="TableText"/>
              <w:rPr>
                <w:b/>
              </w:rPr>
            </w:pPr>
            <w:r>
              <w:rPr>
                <w:b/>
              </w:rPr>
              <w:t>User Action</w:t>
            </w:r>
          </w:p>
        </w:tc>
        <w:tc>
          <w:tcPr>
            <w:tcW w:w="6120" w:type="dxa"/>
            <w:shd w:val="clear" w:color="auto" w:fill="B3B3B3"/>
            <w:vAlign w:val="bottom"/>
          </w:tcPr>
          <w:p w14:paraId="4C5DE00E" w14:textId="77777777" w:rsidR="002A21AE" w:rsidRDefault="002A21AE">
            <w:pPr>
              <w:pStyle w:val="TableText"/>
              <w:rPr>
                <w:b/>
              </w:rPr>
            </w:pPr>
            <w:r>
              <w:rPr>
                <w:b/>
              </w:rPr>
              <w:t>VBECS</w:t>
            </w:r>
          </w:p>
        </w:tc>
      </w:tr>
      <w:tr w:rsidR="002A21AE" w14:paraId="4997DE86" w14:textId="77777777">
        <w:tc>
          <w:tcPr>
            <w:tcW w:w="3240" w:type="dxa"/>
          </w:tcPr>
          <w:p w14:paraId="0BDB7D0F" w14:textId="77777777" w:rsidR="002A21AE" w:rsidRDefault="002A21AE">
            <w:pPr>
              <w:pStyle w:val="TableTextNumbers"/>
            </w:pPr>
            <w:r>
              <w:t xml:space="preserve">To maintain equipment, select </w:t>
            </w:r>
            <w:r>
              <w:rPr>
                <w:b/>
              </w:rPr>
              <w:t>Tools</w:t>
            </w:r>
            <w:r>
              <w:t xml:space="preserve"> from the main menu.</w:t>
            </w:r>
          </w:p>
          <w:p w14:paraId="7E5951A8" w14:textId="77777777" w:rsidR="002A21AE" w:rsidRDefault="002A21AE">
            <w:pPr>
              <w:pStyle w:val="TableTextNumbersContinued"/>
              <w:rPr>
                <w:b/>
                <w:bCs/>
              </w:rPr>
            </w:pPr>
          </w:p>
          <w:p w14:paraId="439E967D" w14:textId="77777777" w:rsidR="002A21AE" w:rsidRDefault="002A21AE">
            <w:pPr>
              <w:pStyle w:val="TableTextNumbersContinued"/>
            </w:pPr>
            <w:r>
              <w:t xml:space="preserve">Select </w:t>
            </w:r>
            <w:r>
              <w:rPr>
                <w:b/>
              </w:rPr>
              <w:t>Equipment</w:t>
            </w:r>
            <w:r>
              <w:t>.</w:t>
            </w:r>
          </w:p>
        </w:tc>
        <w:tc>
          <w:tcPr>
            <w:tcW w:w="6120" w:type="dxa"/>
          </w:tcPr>
          <w:p w14:paraId="36000803" w14:textId="77777777" w:rsidR="002A21AE" w:rsidRDefault="002A21AE">
            <w:pPr>
              <w:pStyle w:val="TableTextBullet"/>
            </w:pPr>
            <w:r>
              <w:t>Displays options to maintain equipment maintenance.</w:t>
            </w:r>
          </w:p>
          <w:p w14:paraId="3A402352" w14:textId="77777777" w:rsidR="002A21AE" w:rsidRDefault="002A21AE">
            <w:pPr>
              <w:pStyle w:val="NotesText"/>
            </w:pPr>
          </w:p>
        </w:tc>
      </w:tr>
      <w:tr w:rsidR="002A21AE" w14:paraId="5325934A" w14:textId="77777777">
        <w:tc>
          <w:tcPr>
            <w:tcW w:w="3240" w:type="dxa"/>
            <w:tcBorders>
              <w:top w:val="single" w:sz="4" w:space="0" w:color="auto"/>
              <w:left w:val="single" w:sz="4" w:space="0" w:color="auto"/>
              <w:bottom w:val="single" w:sz="4" w:space="0" w:color="auto"/>
              <w:right w:val="single" w:sz="4" w:space="0" w:color="auto"/>
            </w:tcBorders>
          </w:tcPr>
          <w:p w14:paraId="62409D6F" w14:textId="77777777" w:rsidR="002A21AE" w:rsidRDefault="002A21AE">
            <w:pPr>
              <w:pStyle w:val="TableTextNumbers"/>
            </w:pPr>
            <w:r>
              <w:t xml:space="preserve">Select </w:t>
            </w:r>
            <w:r>
              <w:rPr>
                <w:b/>
              </w:rPr>
              <w:t>Maintain Equipment</w:t>
            </w:r>
            <w:r>
              <w:t xml:space="preserve"> to record maintenance or </w:t>
            </w:r>
            <w:r>
              <w:rPr>
                <w:b/>
              </w:rPr>
              <w:t>Log In Equipment</w:t>
            </w:r>
            <w:r>
              <w:t xml:space="preserve"> to create an equipment record (see Equipment: Log In Equipment).</w:t>
            </w:r>
            <w:r>
              <w:rPr>
                <w:b/>
              </w:rPr>
              <w:t xml:space="preserve"> </w:t>
            </w:r>
          </w:p>
        </w:tc>
        <w:tc>
          <w:tcPr>
            <w:tcW w:w="6120" w:type="dxa"/>
            <w:tcBorders>
              <w:top w:val="single" w:sz="4" w:space="0" w:color="auto"/>
              <w:left w:val="single" w:sz="4" w:space="0" w:color="auto"/>
              <w:bottom w:val="single" w:sz="4" w:space="0" w:color="auto"/>
              <w:right w:val="single" w:sz="4" w:space="0" w:color="auto"/>
            </w:tcBorders>
          </w:tcPr>
          <w:p w14:paraId="63E49499" w14:textId="77777777" w:rsidR="002A21AE" w:rsidRDefault="002A21AE">
            <w:pPr>
              <w:pStyle w:val="TableTextBullet"/>
            </w:pPr>
            <w:r>
              <w:t>Displays entered in-service equipment items for the blood bank associated with the user’s division and offers the option to display out-of-service equipment.</w:t>
            </w:r>
          </w:p>
        </w:tc>
      </w:tr>
      <w:tr w:rsidR="002A21AE" w14:paraId="70F0D41E" w14:textId="77777777">
        <w:tc>
          <w:tcPr>
            <w:tcW w:w="3240" w:type="dxa"/>
          </w:tcPr>
          <w:p w14:paraId="63905253" w14:textId="288A2D6E" w:rsidR="002A21AE" w:rsidRDefault="002A21AE">
            <w:pPr>
              <w:pStyle w:val="TableTextNumbers"/>
            </w:pPr>
            <w:r>
              <w:t>In the Equipment tab, enter the equipment serial number</w:t>
            </w:r>
            <w:r w:rsidR="005B4E11">
              <w:t xml:space="preserve"> (or </w:t>
            </w:r>
            <w:r>
              <w:t xml:space="preserve">enter part of the serial number and click the </w:t>
            </w:r>
            <w:r>
              <w:rPr>
                <w:b/>
              </w:rPr>
              <w:t>magnifying glass</w:t>
            </w:r>
            <w:r>
              <w:t xml:space="preserve"> to view serial numbers</w:t>
            </w:r>
            <w:r w:rsidR="005B4E11">
              <w:t>)</w:t>
            </w:r>
            <w:r>
              <w:t xml:space="preserve">, or click </w:t>
            </w:r>
            <w:r>
              <w:rPr>
                <w:bdr w:val="single" w:sz="4" w:space="0" w:color="auto"/>
              </w:rPr>
              <w:fldChar w:fldCharType="begin">
                <w:ffData>
                  <w:name w:val=""/>
                  <w:enabled w:val="0"/>
                  <w:calcOnExit w:val="0"/>
                  <w:textInput>
                    <w:default w:val=" + "/>
                  </w:textInput>
                </w:ffData>
              </w:fldChar>
            </w:r>
            <w:r>
              <w:rPr>
                <w:bdr w:val="single" w:sz="4" w:space="0" w:color="auto"/>
              </w:rPr>
              <w:instrText xml:space="preserve"> FORMTEXT </w:instrText>
            </w:r>
            <w:r>
              <w:rPr>
                <w:bdr w:val="single" w:sz="4" w:space="0" w:color="auto"/>
              </w:rPr>
            </w:r>
            <w:r>
              <w:rPr>
                <w:bdr w:val="single" w:sz="4" w:space="0" w:color="auto"/>
              </w:rPr>
              <w:fldChar w:fldCharType="separate"/>
            </w:r>
            <w:r w:rsidR="00AB304C">
              <w:rPr>
                <w:noProof/>
                <w:bdr w:val="single" w:sz="4" w:space="0" w:color="auto"/>
              </w:rPr>
              <w:t xml:space="preserve"> + </w:t>
            </w:r>
            <w:r>
              <w:rPr>
                <w:bdr w:val="single" w:sz="4" w:space="0" w:color="auto"/>
              </w:rPr>
              <w:fldChar w:fldCharType="end"/>
            </w:r>
            <w:r>
              <w:t xml:space="preserve"> in front of each equipment type and name to view equipment items.</w:t>
            </w:r>
          </w:p>
          <w:p w14:paraId="32B32F31" w14:textId="77777777" w:rsidR="002A21AE" w:rsidRDefault="002A21AE">
            <w:pPr>
              <w:pStyle w:val="TableTextNumbersContinued"/>
            </w:pPr>
          </w:p>
          <w:p w14:paraId="1F263A01" w14:textId="77777777" w:rsidR="002A21AE" w:rsidRDefault="002A21AE">
            <w:pPr>
              <w:pStyle w:val="TableTextNumbersContinued"/>
            </w:pPr>
            <w:r>
              <w:t>Select the serial number of the item whose record will be maintained.</w:t>
            </w:r>
          </w:p>
          <w:p w14:paraId="188BEB9E" w14:textId="77777777" w:rsidR="002A21AE" w:rsidRDefault="002A21AE">
            <w:pPr>
              <w:pStyle w:val="TableTextNumbersContinued"/>
            </w:pPr>
          </w:p>
          <w:p w14:paraId="4ADAC92A" w14:textId="77777777" w:rsidR="002A21AE" w:rsidRDefault="002A21AE">
            <w:pPr>
              <w:pStyle w:val="TableTextNumbersContinued"/>
            </w:pPr>
            <w:r>
              <w:t xml:space="preserve">Click the </w:t>
            </w:r>
            <w:r>
              <w:rPr>
                <w:b/>
              </w:rPr>
              <w:t xml:space="preserve">Include Out of Service Equipment </w:t>
            </w:r>
            <w:r w:rsidRPr="00D1100E">
              <w:t>check box</w:t>
            </w:r>
            <w:r>
              <w:t>, if desired.</w:t>
            </w:r>
          </w:p>
        </w:tc>
        <w:tc>
          <w:tcPr>
            <w:tcW w:w="6120" w:type="dxa"/>
          </w:tcPr>
          <w:p w14:paraId="46643603" w14:textId="77777777" w:rsidR="002A21AE" w:rsidRDefault="002A21AE">
            <w:pPr>
              <w:pStyle w:val="TableTextBullet"/>
            </w:pPr>
            <w:r>
              <w:t>Displays fields for entering the type of maintenance event performed, the date the maintenance was performed, the results of the event, the next scheduled event, the next scheduled maintenance date, and pending maintenance issues in the Maintenance tab, and allows the user to select a maintenance event type and event details.</w:t>
            </w:r>
          </w:p>
          <w:p w14:paraId="0D78DE32" w14:textId="77777777" w:rsidR="002A21AE" w:rsidRDefault="002A21AE">
            <w:pPr>
              <w:pStyle w:val="TableTextBullet"/>
            </w:pPr>
            <w:r>
              <w:t>Displays entered information.</w:t>
            </w:r>
          </w:p>
        </w:tc>
      </w:tr>
      <w:tr w:rsidR="002A21AE" w14:paraId="0485B826" w14:textId="77777777">
        <w:tc>
          <w:tcPr>
            <w:tcW w:w="3240" w:type="dxa"/>
          </w:tcPr>
          <w:p w14:paraId="62066654" w14:textId="77777777" w:rsidR="002A21AE" w:rsidRDefault="002A21AE">
            <w:pPr>
              <w:pStyle w:val="TableTextNumbers"/>
            </w:pPr>
            <w:r>
              <w:t>Review and edit the equipment data in the Equipment tab.</w:t>
            </w:r>
          </w:p>
        </w:tc>
        <w:tc>
          <w:tcPr>
            <w:tcW w:w="6120" w:type="dxa"/>
          </w:tcPr>
          <w:p w14:paraId="2A907FDB" w14:textId="77777777" w:rsidR="002A21AE" w:rsidRDefault="002A21AE">
            <w:pPr>
              <w:pStyle w:val="TableTextBullet"/>
            </w:pPr>
            <w:r>
              <w:t>Displays entered information.</w:t>
            </w:r>
          </w:p>
        </w:tc>
      </w:tr>
      <w:tr w:rsidR="002A21AE" w14:paraId="33DA3297" w14:textId="77777777">
        <w:tc>
          <w:tcPr>
            <w:tcW w:w="3240" w:type="dxa"/>
          </w:tcPr>
          <w:p w14:paraId="18F63724" w14:textId="77777777" w:rsidR="002A21AE" w:rsidRDefault="002A21AE">
            <w:pPr>
              <w:pStyle w:val="TableTextNumbers"/>
            </w:pPr>
            <w:r>
              <w:t xml:space="preserve">Select the </w:t>
            </w:r>
            <w:r>
              <w:rPr>
                <w:b/>
              </w:rPr>
              <w:t>Maintenance</w:t>
            </w:r>
            <w:r>
              <w:t xml:space="preserve"> </w:t>
            </w:r>
            <w:r>
              <w:rPr>
                <w:b/>
              </w:rPr>
              <w:t>tab</w:t>
            </w:r>
            <w:r>
              <w:t>.</w:t>
            </w:r>
          </w:p>
          <w:p w14:paraId="38AE0F6F" w14:textId="77777777" w:rsidR="002A21AE" w:rsidRDefault="002A21AE">
            <w:pPr>
              <w:pStyle w:val="TableTextNumbersContinued"/>
            </w:pPr>
          </w:p>
          <w:p w14:paraId="0892E760" w14:textId="77777777" w:rsidR="002A21AE" w:rsidRDefault="002A21AE">
            <w:pPr>
              <w:pStyle w:val="TableTextNumbersContinued"/>
            </w:pPr>
            <w:r>
              <w:t xml:space="preserve">To add a maintenance event, enter the maintenance type or select it from the drop-down list. </w:t>
            </w:r>
          </w:p>
          <w:p w14:paraId="06C2FD62" w14:textId="77777777" w:rsidR="002A21AE" w:rsidRDefault="002A21AE">
            <w:pPr>
              <w:pStyle w:val="TableTextNumbersContinued"/>
            </w:pPr>
          </w:p>
          <w:p w14:paraId="017F523A" w14:textId="77777777" w:rsidR="002A21AE" w:rsidRDefault="002A21AE">
            <w:pPr>
              <w:pStyle w:val="TableTextNumbersContinued"/>
            </w:pPr>
            <w:r>
              <w:t>Select or edit the date and time in the Maintenance Date field.</w:t>
            </w:r>
          </w:p>
          <w:p w14:paraId="0C822256" w14:textId="77777777" w:rsidR="002A21AE" w:rsidRDefault="002A21AE">
            <w:pPr>
              <w:pStyle w:val="TableTextNumbersContinued"/>
            </w:pPr>
          </w:p>
          <w:p w14:paraId="776BF79C" w14:textId="77777777" w:rsidR="002A21AE" w:rsidRDefault="002A21AE">
            <w:pPr>
              <w:pStyle w:val="TableTextNumbersContinued"/>
            </w:pPr>
            <w:r>
              <w:t>Enter details in the Maintenance Results and Pending Issues fields.</w:t>
            </w:r>
          </w:p>
          <w:p w14:paraId="04071420" w14:textId="77777777" w:rsidR="002A21AE" w:rsidRDefault="002A21AE">
            <w:pPr>
              <w:pStyle w:val="TableTextNumbersContinued"/>
            </w:pPr>
          </w:p>
          <w:p w14:paraId="1E9BAF79" w14:textId="256A1ABB" w:rsidR="002A21AE" w:rsidRDefault="002A21AE">
            <w:pPr>
              <w:pStyle w:val="TableTextNumbersContinued"/>
            </w:pPr>
            <w:r>
              <w:t xml:space="preserve">Click </w:t>
            </w:r>
            <w:r>
              <w:rPr>
                <w:b/>
              </w:rPr>
              <w:t>Add</w:t>
            </w:r>
            <w:r>
              <w:t xml:space="preserve"> to add the maintenance event to the Maintenance Events list</w:t>
            </w:r>
            <w:r w:rsidR="005B4E11">
              <w:t xml:space="preserve"> (</w:t>
            </w:r>
            <w:r w:rsidR="005B4E11">
              <w:fldChar w:fldCharType="begin" w:fldLock="1"/>
            </w:r>
            <w:r w:rsidR="005B4E11">
              <w:instrText xml:space="preserve"> REF _Ref126556751 \h </w:instrText>
            </w:r>
            <w:r w:rsidR="005B4E11">
              <w:fldChar w:fldCharType="separate"/>
            </w:r>
            <w:r w:rsidR="00AB304C">
              <w:t xml:space="preserve">Figure </w:t>
            </w:r>
            <w:r w:rsidR="00AB304C">
              <w:rPr>
                <w:noProof/>
              </w:rPr>
              <w:t>70</w:t>
            </w:r>
            <w:r w:rsidR="005B4E11">
              <w:fldChar w:fldCharType="end"/>
            </w:r>
            <w:r w:rsidR="005B4E11">
              <w:t>)</w:t>
            </w:r>
            <w:r>
              <w:t>.</w:t>
            </w:r>
          </w:p>
          <w:p w14:paraId="55A77000" w14:textId="77777777" w:rsidR="002A21AE" w:rsidRDefault="002A21AE">
            <w:pPr>
              <w:pStyle w:val="TableTextNumbersContinued"/>
            </w:pPr>
          </w:p>
          <w:p w14:paraId="13808EF0" w14:textId="77777777" w:rsidR="002A21AE" w:rsidRDefault="002A21AE">
            <w:pPr>
              <w:pStyle w:val="TableTextNumbersContinued"/>
            </w:pPr>
            <w:r>
              <w:t xml:space="preserve">Click </w:t>
            </w:r>
            <w:r>
              <w:rPr>
                <w:b/>
              </w:rPr>
              <w:t>Print</w:t>
            </w:r>
            <w:r>
              <w:t xml:space="preserve"> to print the record.</w:t>
            </w:r>
          </w:p>
        </w:tc>
        <w:tc>
          <w:tcPr>
            <w:tcW w:w="6120" w:type="dxa"/>
          </w:tcPr>
          <w:p w14:paraId="45F845FC" w14:textId="77777777" w:rsidR="002A21AE" w:rsidRDefault="002A21AE">
            <w:pPr>
              <w:pStyle w:val="TableTextBullet"/>
            </w:pPr>
            <w:r>
              <w:t>Displays recorded maintenance information and allows the user to update information.</w:t>
            </w:r>
          </w:p>
          <w:p w14:paraId="60A1A23F" w14:textId="77777777" w:rsidR="002A21AE" w:rsidRDefault="002A21AE">
            <w:pPr>
              <w:pStyle w:val="TableTextBullet"/>
            </w:pPr>
            <w:r>
              <w:t>Displays an option to print an Equipment Report.</w:t>
            </w:r>
          </w:p>
        </w:tc>
      </w:tr>
      <w:tr w:rsidR="002A21AE" w14:paraId="259538BF" w14:textId="77777777">
        <w:tc>
          <w:tcPr>
            <w:tcW w:w="3240" w:type="dxa"/>
          </w:tcPr>
          <w:p w14:paraId="54D38D51" w14:textId="77777777" w:rsidR="002A21AE" w:rsidRDefault="002A21AE">
            <w:pPr>
              <w:pStyle w:val="TableTextNumbers"/>
            </w:pPr>
            <w:r>
              <w:t xml:space="preserve">Click the </w:t>
            </w:r>
            <w:r>
              <w:rPr>
                <w:b/>
              </w:rPr>
              <w:t>Out of Service Equipment</w:t>
            </w:r>
            <w:r>
              <w:t xml:space="preserve"> </w:t>
            </w:r>
            <w:r w:rsidRPr="00D1100E">
              <w:t>check box</w:t>
            </w:r>
            <w:r>
              <w:t xml:space="preserve"> to remove equipment.</w:t>
            </w:r>
          </w:p>
        </w:tc>
        <w:tc>
          <w:tcPr>
            <w:tcW w:w="6120" w:type="dxa"/>
          </w:tcPr>
          <w:p w14:paraId="52E13AAF" w14:textId="77777777" w:rsidR="002A21AE" w:rsidRDefault="002A21AE">
            <w:pPr>
              <w:pStyle w:val="TableTextBullet"/>
            </w:pPr>
            <w:r>
              <w:t>Removes the equipment from the list of currently maintained equipment.</w:t>
            </w:r>
          </w:p>
        </w:tc>
      </w:tr>
      <w:tr w:rsidR="002A21AE" w14:paraId="38989AFC" w14:textId="77777777">
        <w:tc>
          <w:tcPr>
            <w:tcW w:w="3240" w:type="dxa"/>
          </w:tcPr>
          <w:p w14:paraId="68AEC3D0" w14:textId="77777777" w:rsidR="002A21AE" w:rsidRDefault="002A21AE">
            <w:pPr>
              <w:pStyle w:val="TableTextNumbers"/>
            </w:pPr>
            <w:r>
              <w:t>Repeat Steps 3–6, as desired.</w:t>
            </w:r>
          </w:p>
        </w:tc>
        <w:tc>
          <w:tcPr>
            <w:tcW w:w="6120" w:type="dxa"/>
          </w:tcPr>
          <w:p w14:paraId="139AE6E5" w14:textId="77777777" w:rsidR="002A21AE" w:rsidRDefault="002A21AE">
            <w:pPr>
              <w:pStyle w:val="TableText"/>
            </w:pPr>
          </w:p>
        </w:tc>
      </w:tr>
      <w:tr w:rsidR="002A21AE" w14:paraId="6D03E5D9" w14:textId="77777777" w:rsidTr="007E500E">
        <w:trPr>
          <w:cantSplit/>
        </w:trPr>
        <w:tc>
          <w:tcPr>
            <w:tcW w:w="3240" w:type="dxa"/>
          </w:tcPr>
          <w:p w14:paraId="517E8D70" w14:textId="77777777" w:rsidR="002A21AE" w:rsidRDefault="002A21AE">
            <w:pPr>
              <w:pStyle w:val="TableTextNumbers"/>
            </w:pPr>
            <w:r>
              <w:lastRenderedPageBreak/>
              <w:t xml:space="preserve">Click </w:t>
            </w:r>
            <w:r>
              <w:rPr>
                <w:b/>
              </w:rPr>
              <w:t xml:space="preserve">OK </w:t>
            </w:r>
            <w:r>
              <w:t xml:space="preserve">and </w:t>
            </w:r>
            <w:r>
              <w:rPr>
                <w:b/>
              </w:rPr>
              <w:t>Yes</w:t>
            </w:r>
            <w:r>
              <w:t xml:space="preserve"> to save and continue, or </w:t>
            </w:r>
            <w:r>
              <w:rPr>
                <w:b/>
              </w:rPr>
              <w:t>No</w:t>
            </w:r>
            <w:r>
              <w:t xml:space="preserve"> to return to the screen and continue.</w:t>
            </w:r>
          </w:p>
          <w:p w14:paraId="7F04DDFF" w14:textId="77777777" w:rsidR="002A21AE" w:rsidRDefault="002A21AE">
            <w:pPr>
              <w:pStyle w:val="TableTextNumbersContinued"/>
            </w:pPr>
          </w:p>
          <w:p w14:paraId="78C57772" w14:textId="77777777" w:rsidR="002A21AE" w:rsidRDefault="002A21AE">
            <w:pPr>
              <w:pStyle w:val="TableTextNumbersContinued"/>
            </w:pPr>
            <w:r>
              <w:t xml:space="preserve">Click </w:t>
            </w:r>
            <w:r>
              <w:rPr>
                <w:b/>
              </w:rPr>
              <w:t>Cancel</w:t>
            </w:r>
            <w:r>
              <w:t xml:space="preserve"> to exit without saving.</w:t>
            </w:r>
            <w:r>
              <w:rPr>
                <w:vanish/>
                <w:szCs w:val="18"/>
              </w:rPr>
              <w:t xml:space="preserve">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14:paraId="4A843B56" w14:textId="77777777" w:rsidR="002A21AE" w:rsidRDefault="002A21AE">
            <w:pPr>
              <w:pStyle w:val="TableTextBullet"/>
              <w:ind w:left="0" w:firstLine="0"/>
            </w:pPr>
            <w:r>
              <w:t>Prompts the user to confirm the save.</w:t>
            </w:r>
          </w:p>
          <w:p w14:paraId="4DE533E0" w14:textId="77777777" w:rsidR="002A21AE" w:rsidRDefault="002A21AE">
            <w:pPr>
              <w:pStyle w:val="TableTextBullet"/>
              <w:ind w:left="0" w:firstLine="0"/>
            </w:pPr>
            <w:r>
              <w:t>Saves the updates to the equipment record.</w:t>
            </w:r>
          </w:p>
        </w:tc>
      </w:tr>
    </w:tbl>
    <w:p w14:paraId="4995AEFE" w14:textId="72403581" w:rsidR="005B4E11" w:rsidRDefault="005B4E11" w:rsidP="005B4E11">
      <w:pPr>
        <w:pStyle w:val="Caption"/>
      </w:pPr>
      <w:bookmarkStart w:id="259" w:name="_Ref126556751"/>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70</w:t>
      </w:r>
      <w:r w:rsidR="004E20BD">
        <w:rPr>
          <w:noProof/>
        </w:rPr>
        <w:fldChar w:fldCharType="end"/>
      </w:r>
      <w:bookmarkEnd w:id="259"/>
      <w:r>
        <w:t>: Maintain Equipment</w:t>
      </w:r>
    </w:p>
    <w:p w14:paraId="0E67152D" w14:textId="77777777" w:rsidR="009516A4" w:rsidRDefault="00057948" w:rsidP="005B4E11">
      <w:pPr>
        <w:pStyle w:val="BodyText"/>
      </w:pPr>
      <w:r>
        <w:rPr>
          <w:noProof/>
        </w:rPr>
        <w:drawing>
          <wp:inline distT="0" distB="0" distL="0" distR="0" wp14:anchorId="3CD71F54" wp14:editId="4A2C16E7">
            <wp:extent cx="5597525" cy="4405630"/>
            <wp:effectExtent l="0" t="0" r="3175" b="0"/>
            <wp:docPr id="149" name="Picture 149" descr="P3227#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P3227#yIS1">
                      <a:extLst>
                        <a:ext uri="{C183D7F6-B498-43B3-948B-1728B52AA6E4}">
                          <adec:decorative xmlns:adec="http://schemas.microsoft.com/office/drawing/2017/decorative" val="1"/>
                        </a:ext>
                      </a:extLst>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597525" cy="4405630"/>
                    </a:xfrm>
                    <a:prstGeom prst="rect">
                      <a:avLst/>
                    </a:prstGeom>
                    <a:noFill/>
                    <a:ln>
                      <a:noFill/>
                    </a:ln>
                  </pic:spPr>
                </pic:pic>
              </a:graphicData>
            </a:graphic>
          </wp:inline>
        </w:drawing>
      </w:r>
    </w:p>
    <w:p w14:paraId="69FCC89B" w14:textId="77777777" w:rsidR="002A21AE" w:rsidRDefault="003C25CC">
      <w:pPr>
        <w:pStyle w:val="Heading1"/>
      </w:pPr>
      <w:bookmarkStart w:id="260" w:name="_Toc63680360"/>
      <w:bookmarkEnd w:id="231"/>
      <w:r>
        <w:br w:type="page"/>
      </w:r>
      <w:bookmarkStart w:id="261" w:name="_Toc4588774"/>
      <w:r w:rsidR="002A21AE">
        <w:lastRenderedPageBreak/>
        <w:t>Component Processing</w:t>
      </w:r>
      <w:bookmarkEnd w:id="261"/>
      <w:r w:rsidR="002A21AE">
        <w:fldChar w:fldCharType="begin"/>
      </w:r>
      <w:r w:rsidR="002A21AE">
        <w:instrText xml:space="preserve"> XE </w:instrText>
      </w:r>
      <w:r w:rsidR="00FA7E65">
        <w:instrText>“</w:instrText>
      </w:r>
      <w:r w:rsidR="002A21AE">
        <w:instrText>Component Processing</w:instrText>
      </w:r>
      <w:r w:rsidR="00FA7E65">
        <w:instrText>”</w:instrText>
      </w:r>
      <w:r w:rsidR="002A21AE">
        <w:instrText xml:space="preserve"> </w:instrText>
      </w:r>
      <w:r w:rsidR="002A21AE">
        <w:fldChar w:fldCharType="end"/>
      </w:r>
    </w:p>
    <w:p w14:paraId="21A8C691" w14:textId="77777777" w:rsidR="002A21AE" w:rsidRDefault="002A21AE">
      <w:pPr>
        <w:pStyle w:val="Heading2"/>
      </w:pPr>
      <w:bookmarkStart w:id="262" w:name="_Toc63680357"/>
      <w:bookmarkStart w:id="263" w:name="_Toc4588775"/>
      <w:bookmarkStart w:id="264" w:name="_Toc63680361"/>
      <w:bookmarkEnd w:id="260"/>
      <w:r>
        <w:t>Shipments</w:t>
      </w:r>
      <w:bookmarkEnd w:id="262"/>
      <w:bookmarkEnd w:id="263"/>
      <w:r>
        <w:fldChar w:fldCharType="begin"/>
      </w:r>
      <w:r>
        <w:instrText xml:space="preserve"> XE </w:instrText>
      </w:r>
      <w:r w:rsidR="00FA7E65">
        <w:instrText>“</w:instrText>
      </w:r>
      <w:r>
        <w:instrText>Shipments</w:instrText>
      </w:r>
      <w:r w:rsidR="00FA7E65">
        <w:instrText>”</w:instrText>
      </w:r>
      <w:r>
        <w:instrText xml:space="preserve"> </w:instrText>
      </w:r>
      <w:r>
        <w:fldChar w:fldCharType="end"/>
      </w:r>
    </w:p>
    <w:p w14:paraId="62D65D80" w14:textId="77777777" w:rsidR="002A21AE" w:rsidRDefault="002A21AE">
      <w:pPr>
        <w:pStyle w:val="Heading3"/>
      </w:pPr>
      <w:bookmarkStart w:id="265" w:name="_Incoming_Shipment"/>
      <w:bookmarkStart w:id="266" w:name="_Toc4588776"/>
      <w:bookmarkStart w:id="267" w:name="_Toc63680358"/>
      <w:bookmarkEnd w:id="265"/>
      <w:r>
        <w:t>Incoming Shipment</w:t>
      </w:r>
      <w:bookmarkEnd w:id="266"/>
      <w:r w:rsidRPr="007716F7">
        <w:rPr>
          <w:vanish/>
        </w:rPr>
        <w:fldChar w:fldCharType="begin"/>
      </w:r>
      <w:r w:rsidRPr="007716F7">
        <w:rPr>
          <w:vanish/>
        </w:rPr>
        <w:instrText xml:space="preserve"> XE </w:instrText>
      </w:r>
      <w:r w:rsidR="00FA7E65" w:rsidRPr="007716F7">
        <w:rPr>
          <w:vanish/>
        </w:rPr>
        <w:instrText>“</w:instrText>
      </w:r>
      <w:r w:rsidRPr="007716F7">
        <w:rPr>
          <w:vanish/>
        </w:rPr>
        <w:instrText>Incoming Shipment</w:instrText>
      </w:r>
      <w:r w:rsidR="00FA7E65" w:rsidRPr="007716F7">
        <w:rPr>
          <w:vanish/>
        </w:rPr>
        <w:instrText>”</w:instrText>
      </w:r>
      <w:r w:rsidRPr="007716F7">
        <w:rPr>
          <w:vanish/>
        </w:rPr>
        <w:instrText xml:space="preserve"> </w:instrText>
      </w:r>
      <w:r w:rsidRPr="007716F7">
        <w:rPr>
          <w:vanish/>
        </w:rPr>
        <w:fldChar w:fldCharType="end"/>
      </w:r>
      <w:r w:rsidRPr="007716F7">
        <w:rPr>
          <w:vanish/>
        </w:rPr>
        <w:t xml:space="preserve"> UC_01</w:t>
      </w:r>
    </w:p>
    <w:p w14:paraId="54CDD383" w14:textId="77777777" w:rsidR="002A21AE" w:rsidRDefault="002A21AE" w:rsidP="00FA7E65">
      <w:pPr>
        <w:pStyle w:val="BodyText"/>
      </w:pPr>
      <w:r>
        <w:t xml:space="preserve">A shipment handled in this option contains one or more containers of human blood products. </w:t>
      </w:r>
    </w:p>
    <w:p w14:paraId="77382486" w14:textId="77777777" w:rsidR="002A21AE" w:rsidRDefault="002A21AE" w:rsidP="00FA7E65">
      <w:pPr>
        <w:pStyle w:val="BodyText"/>
      </w:pPr>
      <w:r>
        <w:t>The user may use a barcode scanner to read information from a unit blood bag (recommended) or enter this information. The user reviews and confirms the information before adding a unit to the database.</w:t>
      </w:r>
    </w:p>
    <w:p w14:paraId="3FDE2403" w14:textId="77777777" w:rsidR="002A21AE" w:rsidRDefault="002A21AE">
      <w:pPr>
        <w:pStyle w:val="Heading4"/>
      </w:pPr>
      <w:r>
        <w:t>Assumptions</w:t>
      </w:r>
    </w:p>
    <w:p w14:paraId="48186054" w14:textId="77777777" w:rsidR="002A21AE" w:rsidRDefault="002A21AE">
      <w:pPr>
        <w:pStyle w:val="ListBullet"/>
      </w:pPr>
      <w:r>
        <w:t>The division is configured.</w:t>
      </w:r>
    </w:p>
    <w:p w14:paraId="6A345D2A" w14:textId="77777777" w:rsidR="006B4DCB" w:rsidRDefault="00AF37DA" w:rsidP="006B4DCB">
      <w:pPr>
        <w:pStyle w:val="ListBullet"/>
      </w:pPr>
      <w:r>
        <w:t>The shipper is active.</w:t>
      </w:r>
    </w:p>
    <w:p w14:paraId="75E70E9D" w14:textId="77777777" w:rsidR="00AE02FE" w:rsidRDefault="00AE02FE">
      <w:pPr>
        <w:pStyle w:val="ListBullet"/>
      </w:pPr>
      <w:r>
        <w:t>Units are inspected and deemed satisfactory for receipt before they are entered in VBECS.</w:t>
      </w:r>
    </w:p>
    <w:p w14:paraId="3C288EA1" w14:textId="77777777" w:rsidR="002A21AE" w:rsidRDefault="002A21AE">
      <w:pPr>
        <w:pStyle w:val="Heading4"/>
      </w:pPr>
      <w:r>
        <w:t>Outcome</w:t>
      </w:r>
    </w:p>
    <w:p w14:paraId="7AF4780C" w14:textId="77777777" w:rsidR="002A21AE" w:rsidRDefault="002A21AE">
      <w:pPr>
        <w:pStyle w:val="ListBullet"/>
      </w:pPr>
      <w:r>
        <w:t>A shipment or partial shipment of blood units was processed and added to the blood bank inventory.</w:t>
      </w:r>
    </w:p>
    <w:p w14:paraId="0FAE6218" w14:textId="77777777" w:rsidR="002A21AE" w:rsidRDefault="002A21AE">
      <w:pPr>
        <w:pStyle w:val="ListBullet"/>
      </w:pPr>
      <w:r>
        <w:t>The initial status for each unit was set in accordance with component class.</w:t>
      </w:r>
    </w:p>
    <w:p w14:paraId="2FF5DE67" w14:textId="77777777" w:rsidR="002A21AE" w:rsidRDefault="002A21AE">
      <w:pPr>
        <w:pStyle w:val="Heading4"/>
      </w:pPr>
      <w:r>
        <w:t>Limitations and Restrictions</w:t>
      </w:r>
    </w:p>
    <w:p w14:paraId="0661EB4A" w14:textId="77777777" w:rsidR="00387337" w:rsidRDefault="00387337" w:rsidP="009212B0">
      <w:pPr>
        <w:pStyle w:val="ListBullet"/>
      </w:pPr>
      <w:bookmarkStart w:id="268" w:name="OLE_LINK29"/>
      <w:bookmarkStart w:id="269" w:name="OLE_LINK30"/>
      <w:r>
        <w:t>An ISBT 128 Product Code</w:t>
      </w:r>
      <w:r w:rsidR="00BC797F">
        <w:t xml:space="preserve">’s first characters may be E </w:t>
      </w:r>
      <w:r>
        <w:t>or X.</w:t>
      </w:r>
    </w:p>
    <w:p w14:paraId="758C2F80" w14:textId="77777777" w:rsidR="007B6D4B" w:rsidRDefault="007B6D4B" w:rsidP="007B6D4B">
      <w:pPr>
        <w:pStyle w:val="ListBullet"/>
      </w:pPr>
      <w:r w:rsidRPr="009212B0">
        <w:t>VBECS does not check whether blood products with the same unit ID and different product</w:t>
      </w:r>
      <w:r>
        <w:t xml:space="preserve"> codes are the same blood type.</w:t>
      </w:r>
    </w:p>
    <w:p w14:paraId="1E07357E" w14:textId="77777777" w:rsidR="00F862E5" w:rsidRDefault="00F862E5" w:rsidP="009212B0">
      <w:pPr>
        <w:pStyle w:val="ListBullet"/>
      </w:pPr>
      <w:r>
        <w:t>VBECS d</w:t>
      </w:r>
      <w:r w:rsidRPr="00F862E5">
        <w:t xml:space="preserve">oes not </w:t>
      </w:r>
      <w:r w:rsidR="008C657D">
        <w:t>compare</w:t>
      </w:r>
      <w:r w:rsidRPr="00F862E5">
        <w:t xml:space="preserve"> </w:t>
      </w:r>
      <w:r w:rsidR="008C657D">
        <w:t xml:space="preserve">the ABO/Rh </w:t>
      </w:r>
      <w:r w:rsidRPr="00F862E5">
        <w:t xml:space="preserve">of </w:t>
      </w:r>
      <w:r>
        <w:t>a</w:t>
      </w:r>
      <w:r w:rsidR="008C657D">
        <w:t>n</w:t>
      </w:r>
      <w:r w:rsidRPr="00F862E5">
        <w:t xml:space="preserve"> </w:t>
      </w:r>
      <w:r w:rsidR="008C657D">
        <w:t>a</w:t>
      </w:r>
      <w:r w:rsidRPr="00F862E5">
        <w:t xml:space="preserve">utologous unit </w:t>
      </w:r>
      <w:r w:rsidR="008C657D">
        <w:t xml:space="preserve">or display a message when the ABO/Rh </w:t>
      </w:r>
      <w:r w:rsidRPr="00F862E5">
        <w:t xml:space="preserve">is incompatible with the </w:t>
      </w:r>
      <w:r>
        <w:t>r</w:t>
      </w:r>
      <w:r w:rsidRPr="00F862E5">
        <w:t xml:space="preserve">estricted </w:t>
      </w:r>
      <w:r>
        <w:t>f</w:t>
      </w:r>
      <w:r w:rsidRPr="00F862E5">
        <w:t>or patient</w:t>
      </w:r>
      <w:r>
        <w:t>.</w:t>
      </w:r>
    </w:p>
    <w:bookmarkEnd w:id="268"/>
    <w:bookmarkEnd w:id="269"/>
    <w:p w14:paraId="159BDD25" w14:textId="03C8921A" w:rsidR="00DC5A13" w:rsidRDefault="00DC5A13" w:rsidP="004B3753">
      <w:pPr>
        <w:pStyle w:val="Caution"/>
        <w:pBdr>
          <w:top w:val="single" w:sz="4" w:space="5" w:color="auto"/>
        </w:pBdr>
      </w:pPr>
      <w:r w:rsidRPr="009A667D">
        <w:t>When a product typ</w:t>
      </w:r>
      <w:r w:rsidR="009A667D" w:rsidRPr="009A667D">
        <w:t>e, cod</w:t>
      </w:r>
      <w:r w:rsidRPr="009A667D">
        <w:t>e</w:t>
      </w:r>
      <w:r w:rsidR="009A667D" w:rsidRPr="009A667D">
        <w:t>,</w:t>
      </w:r>
      <w:r w:rsidRPr="009A667D">
        <w:t xml:space="preserve"> or</w:t>
      </w:r>
      <w:r w:rsidR="009A667D" w:rsidRPr="009A667D">
        <w:t xml:space="preserve"> local</w:t>
      </w:r>
      <w:r w:rsidRPr="009A667D">
        <w:t xml:space="preserve"> code is not in</w:t>
      </w:r>
      <w:r>
        <w:t xml:space="preserve"> VBECS or a blood supplier creates a</w:t>
      </w:r>
      <w:r w:rsidR="00C230C9">
        <w:t xml:space="preserve"> product code, contact the </w:t>
      </w:r>
      <w:r w:rsidR="005364D9">
        <w:t xml:space="preserve">Service </w:t>
      </w:r>
      <w:r>
        <w:t>Desk. See Customer Support for contact information.</w:t>
      </w:r>
      <w:r w:rsidR="00703780" w:rsidRPr="00703780">
        <w:rPr>
          <w:vanish/>
        </w:rPr>
        <w:t>(DR 2,640)</w:t>
      </w:r>
    </w:p>
    <w:p w14:paraId="177F9B07" w14:textId="77777777" w:rsidR="00E63663" w:rsidRDefault="00E63663" w:rsidP="00E63663">
      <w:pPr>
        <w:pStyle w:val="ListBullet"/>
      </w:pPr>
      <w:r w:rsidRPr="00E63663">
        <w:rPr>
          <w:vanish/>
        </w:rPr>
        <w:t xml:space="preserve">BR_1.72 </w:t>
      </w:r>
      <w:r w:rsidRPr="00E63663">
        <w:t>T</w:t>
      </w:r>
      <w:r w:rsidRPr="0030088C">
        <w:t>he user may not save the unit record until the donation type and its requirements are satisfied.</w:t>
      </w:r>
    </w:p>
    <w:p w14:paraId="156B1311" w14:textId="77777777" w:rsidR="001131F9" w:rsidRPr="009212B0" w:rsidRDefault="001131F9" w:rsidP="001131F9">
      <w:pPr>
        <w:pStyle w:val="ListBullet"/>
      </w:pPr>
      <w:r w:rsidRPr="001131F9">
        <w:t>No longer supports the entry of blood products labeled in Codabar label type to new or existing invoices.</w:t>
      </w:r>
    </w:p>
    <w:p w14:paraId="47C73D81" w14:textId="77777777" w:rsidR="008C1BD3" w:rsidRDefault="008C1BD3" w:rsidP="00C805FB">
      <w:pPr>
        <w:pStyle w:val="ListBullet"/>
      </w:pPr>
      <w:r>
        <w:t>T</w:t>
      </w:r>
      <w:r w:rsidRPr="008C1BD3">
        <w:t xml:space="preserve">he </w:t>
      </w:r>
      <w:r>
        <w:t>unit expiration [</w:t>
      </w:r>
      <w:r w:rsidRPr="008C1BD3">
        <w:t>Maximum Storage Time (MST)</w:t>
      </w:r>
      <w:r>
        <w:t>]</w:t>
      </w:r>
      <w:r w:rsidRPr="008C1BD3">
        <w:t xml:space="preserve"> is set to the longest possible storage time based on product type, core condition</w:t>
      </w:r>
      <w:r w:rsidR="00922AD8" w:rsidRPr="008C1BD3">
        <w:t>, attributes</w:t>
      </w:r>
      <w:r w:rsidRPr="008C1BD3">
        <w:t>, and available references as a guide. The MST is set at a higher leve</w:t>
      </w:r>
      <w:r>
        <w:t>l</w:t>
      </w:r>
      <w:r w:rsidRPr="008C1BD3">
        <w:t xml:space="preserve"> than an individual collection product code. VBECS does not know the specific collection details.  It is the </w:t>
      </w:r>
      <w:r w:rsidR="008B6D25" w:rsidRPr="008C1BD3">
        <w:t>responsibility</w:t>
      </w:r>
      <w:r w:rsidRPr="008C1BD3">
        <w:t xml:space="preserve"> of each user to accurately enter and process any one blood unit based on its expiration date/time as labeled by the collection facility.</w:t>
      </w:r>
      <w:r>
        <w:rPr>
          <w:vanish/>
        </w:rPr>
        <w:t xml:space="preserve"> Task 1280</w:t>
      </w:r>
    </w:p>
    <w:p w14:paraId="418F5EE5" w14:textId="77777777" w:rsidR="00947FF8" w:rsidRDefault="003D0CA1" w:rsidP="009212B0">
      <w:pPr>
        <w:pStyle w:val="ListBullet"/>
      </w:pPr>
      <w:r w:rsidRPr="009212B0">
        <w:t>When blood products intended for quarantine are scanned, VBECS does not automatically quarantine them: the user must do so.</w:t>
      </w:r>
    </w:p>
    <w:p w14:paraId="343859A6" w14:textId="77777777" w:rsidR="00B4679A" w:rsidRPr="009212B0" w:rsidRDefault="005D3F4F" w:rsidP="009212B0">
      <w:pPr>
        <w:pStyle w:val="ListBullet"/>
      </w:pPr>
      <w:r>
        <w:t>VBECS does not recognize scanned</w:t>
      </w:r>
      <w:r w:rsidR="00190AFA" w:rsidRPr="009212B0">
        <w:t xml:space="preserve"> labels for </w:t>
      </w:r>
      <w:r w:rsidR="00EF77F8">
        <w:t>para-Bombay or B</w:t>
      </w:r>
      <w:r w:rsidR="00B4679A" w:rsidRPr="009212B0">
        <w:t xml:space="preserve">ombay </w:t>
      </w:r>
      <w:r w:rsidR="00190AFA" w:rsidRPr="009212B0">
        <w:t xml:space="preserve">ISBT </w:t>
      </w:r>
      <w:r w:rsidR="00B4679A" w:rsidRPr="009212B0">
        <w:t>unit</w:t>
      </w:r>
      <w:r w:rsidR="00190AFA" w:rsidRPr="009212B0">
        <w:t>s</w:t>
      </w:r>
      <w:r w:rsidR="00B4679A" w:rsidRPr="009212B0">
        <w:t>.</w:t>
      </w:r>
    </w:p>
    <w:p w14:paraId="70D402B4" w14:textId="77777777" w:rsidR="0078512B" w:rsidRDefault="005D3F4F" w:rsidP="009212B0">
      <w:pPr>
        <w:pStyle w:val="ListBullet"/>
      </w:pPr>
      <w:r>
        <w:t>VBECS does not allow duplicate IDs for the same product code.</w:t>
      </w:r>
    </w:p>
    <w:p w14:paraId="1078A596" w14:textId="77777777" w:rsidR="00452BA4" w:rsidRDefault="00452BA4" w:rsidP="009212B0">
      <w:pPr>
        <w:pStyle w:val="ListBullet"/>
      </w:pPr>
      <w:r>
        <w:t>When a user scans a p</w:t>
      </w:r>
      <w:r w:rsidRPr="00452BA4">
        <w:t xml:space="preserve">roduct </w:t>
      </w:r>
      <w:r>
        <w:t>c</w:t>
      </w:r>
      <w:r w:rsidRPr="00452BA4">
        <w:t xml:space="preserve">ode </w:t>
      </w:r>
      <w:r>
        <w:t>or</w:t>
      </w:r>
      <w:r w:rsidRPr="00452BA4">
        <w:t xml:space="preserve"> </w:t>
      </w:r>
      <w:r>
        <w:t>e</w:t>
      </w:r>
      <w:r w:rsidRPr="00452BA4">
        <w:t xml:space="preserve">xpiration </w:t>
      </w:r>
      <w:r>
        <w:t>d</w:t>
      </w:r>
      <w:r w:rsidRPr="00452BA4">
        <w:t>ate barcode in the Unit ID field</w:t>
      </w:r>
      <w:r>
        <w:t>, VBECS does not displ</w:t>
      </w:r>
      <w:r w:rsidR="00940D48">
        <w:t>ay the entered information</w:t>
      </w:r>
      <w:r w:rsidRPr="00452BA4">
        <w:t xml:space="preserve">. </w:t>
      </w:r>
    </w:p>
    <w:p w14:paraId="7F751812" w14:textId="77777777" w:rsidR="00DC22C9" w:rsidRDefault="00DC22C9" w:rsidP="009212B0">
      <w:pPr>
        <w:pStyle w:val="ListBullet"/>
      </w:pPr>
      <w:bookmarkStart w:id="270" w:name="OLE_LINK33"/>
      <w:bookmarkStart w:id="271" w:name="OLE_LINK34"/>
      <w:r w:rsidRPr="00DC22C9">
        <w:lastRenderedPageBreak/>
        <w:t xml:space="preserve">When </w:t>
      </w:r>
      <w:r>
        <w:t>a user scans an ISBT</w:t>
      </w:r>
      <w:r w:rsidR="00940D48">
        <w:t xml:space="preserve"> blood</w:t>
      </w:r>
      <w:r>
        <w:t xml:space="preserve"> </w:t>
      </w:r>
      <w:r w:rsidR="00D723CF">
        <w:t xml:space="preserve">product </w:t>
      </w:r>
      <w:r w:rsidR="00940D48">
        <w:t xml:space="preserve">code </w:t>
      </w:r>
      <w:r w:rsidR="00D723CF">
        <w:t xml:space="preserve">ID </w:t>
      </w:r>
      <w:r>
        <w:t xml:space="preserve">with “0” as </w:t>
      </w:r>
      <w:r w:rsidR="004F2A80">
        <w:t xml:space="preserve">the </w:t>
      </w:r>
      <w:r w:rsidR="00D723CF">
        <w:t>donation type (</w:t>
      </w:r>
      <w:r>
        <w:t>sixth character</w:t>
      </w:r>
      <w:r w:rsidR="00D723CF">
        <w:t>)</w:t>
      </w:r>
      <w:r>
        <w:t xml:space="preserve">, VBECS indicates that the donation type is not specified. </w:t>
      </w:r>
      <w:r w:rsidR="004F2A80">
        <w:t>W</w:t>
      </w:r>
      <w:r w:rsidR="00205693">
        <w:t>h</w:t>
      </w:r>
      <w:r>
        <w:t xml:space="preserve">en the user selects </w:t>
      </w:r>
      <w:r w:rsidR="00DF2243">
        <w:t xml:space="preserve">a donation type </w:t>
      </w:r>
      <w:r>
        <w:t>from</w:t>
      </w:r>
      <w:r w:rsidRPr="00DC22C9">
        <w:t xml:space="preserve"> the </w:t>
      </w:r>
      <w:r w:rsidR="005131BC">
        <w:t>drop-down</w:t>
      </w:r>
      <w:r w:rsidRPr="00DC22C9">
        <w:t xml:space="preserve"> </w:t>
      </w:r>
      <w:r>
        <w:t xml:space="preserve">menu, VBECS </w:t>
      </w:r>
      <w:r w:rsidR="00DF2243">
        <w:t xml:space="preserve">replaces “0” with </w:t>
      </w:r>
      <w:r w:rsidR="00FD697C">
        <w:t>a</w:t>
      </w:r>
      <w:r w:rsidR="004F2A80">
        <w:t xml:space="preserve"> recognizable</w:t>
      </w:r>
      <w:r w:rsidR="00DF2243">
        <w:t xml:space="preserve"> </w:t>
      </w:r>
      <w:r w:rsidRPr="00DC22C9">
        <w:t>character in the product code text box and store</w:t>
      </w:r>
      <w:r w:rsidR="00DF2243">
        <w:t>s it as such</w:t>
      </w:r>
      <w:r w:rsidRPr="00DC22C9">
        <w:t xml:space="preserve">. </w:t>
      </w:r>
      <w:r w:rsidR="004F2A80">
        <w:t xml:space="preserve">When the user rescans the product ID, </w:t>
      </w:r>
      <w:r w:rsidR="00693E8E">
        <w:t xml:space="preserve">he </w:t>
      </w:r>
      <w:r w:rsidR="004F2A80">
        <w:t xml:space="preserve">must </w:t>
      </w:r>
      <w:r w:rsidRPr="00DC22C9">
        <w:t xml:space="preserve">manually </w:t>
      </w:r>
      <w:r w:rsidR="004F2A80">
        <w:t>replace</w:t>
      </w:r>
      <w:r w:rsidRPr="00DC22C9">
        <w:t xml:space="preserve"> </w:t>
      </w:r>
      <w:r w:rsidR="00693E8E">
        <w:t>“0”</w:t>
      </w:r>
      <w:r w:rsidR="004F2A80">
        <w:t xml:space="preserve"> or search using the unit ID alone, or the unit ID and the first five characters of the product ID</w:t>
      </w:r>
      <w:r w:rsidRPr="00DC22C9">
        <w:t xml:space="preserve">. </w:t>
      </w:r>
      <w:r w:rsidR="00940D48">
        <w:t>When scanning a blood product derivative, this does not apply.</w:t>
      </w:r>
    </w:p>
    <w:p w14:paraId="4A296DAA" w14:textId="77777777" w:rsidR="000E07BD" w:rsidRDefault="000E07BD" w:rsidP="000E07BD">
      <w:pPr>
        <w:pStyle w:val="ListBullet"/>
      </w:pPr>
      <w:bookmarkStart w:id="272" w:name="_Toc76279374"/>
      <w:bookmarkEnd w:id="270"/>
      <w:bookmarkEnd w:id="271"/>
      <w:r>
        <w:t xml:space="preserve">Blood product code entries in the blood product table include those from ICCBBA for ISBT 128. Product codes created after </w:t>
      </w:r>
      <w:r w:rsidR="00D76A13">
        <w:t>the release of VBECS</w:t>
      </w:r>
      <w:r>
        <w:t xml:space="preserve"> cannot be entered until the updated tables are incorporated through patches to VBECS. Refuse acceptance of the unit, if possible.</w:t>
      </w:r>
      <w:r w:rsidR="003D71A3">
        <w:t xml:space="preserve"> </w:t>
      </w:r>
      <w:r>
        <w:t>U</w:t>
      </w:r>
      <w:r w:rsidRPr="009212B0">
        <w:t>ser</w:t>
      </w:r>
      <w:r>
        <w:t>s</w:t>
      </w:r>
      <w:r w:rsidRPr="009212B0">
        <w:t xml:space="preserve"> may not </w:t>
      </w:r>
      <w:r>
        <w:t>edit the blood product table.</w:t>
      </w:r>
    </w:p>
    <w:p w14:paraId="3260E7CD" w14:textId="77777777" w:rsidR="009C0C39" w:rsidRDefault="009C0C39" w:rsidP="009C0C39">
      <w:pPr>
        <w:pStyle w:val="ListBullet"/>
      </w:pPr>
      <w:r>
        <w:t>ISBT 128 tables include blood product codes labeled as not for manufacturing or transfusion.</w:t>
      </w:r>
      <w:r w:rsidR="00A25BC9">
        <w:t xml:space="preserve"> </w:t>
      </w:r>
      <w:r>
        <w:t>VBECS does not restrict such products from being entered, issued, or transferred</w:t>
      </w:r>
      <w:r w:rsidR="00F964B4">
        <w:t xml:space="preserve"> (</w:t>
      </w:r>
      <w:r>
        <w:t>local policy controls their use</w:t>
      </w:r>
      <w:r w:rsidR="00F964B4">
        <w:t>), but</w:t>
      </w:r>
      <w:r>
        <w:t xml:space="preserve"> does not accommodate blood modification for </w:t>
      </w:r>
      <w:r w:rsidR="00F964B4">
        <w:t>the</w:t>
      </w:r>
      <w:r w:rsidR="00976013">
        <w:t>se products</w:t>
      </w:r>
      <w:r w:rsidR="00F964B4">
        <w:t>.</w:t>
      </w:r>
    </w:p>
    <w:p w14:paraId="4AA98388" w14:textId="6E9B7D8E" w:rsidR="00DC382A" w:rsidRDefault="00DC382A" w:rsidP="009C0C39">
      <w:pPr>
        <w:pStyle w:val="ListBullet"/>
      </w:pPr>
      <w:r>
        <w:t xml:space="preserve">No entry of an ICCBBA </w:t>
      </w:r>
      <w:r w:rsidRPr="00630C68">
        <w:t xml:space="preserve">Product Description Code </w:t>
      </w:r>
      <w:r>
        <w:t>starting with A, B, C, or D aka</w:t>
      </w:r>
      <w:r w:rsidRPr="00630C68">
        <w:t xml:space="preserve"> National or Local Codes A0000-D9999</w:t>
      </w:r>
      <w:r>
        <w:t>.</w:t>
      </w:r>
      <w:r w:rsidRPr="00630C68">
        <w:rPr>
          <w:i/>
        </w:rPr>
        <w:t xml:space="preserve"> If use of such a code is necessary for patient care, contact Service Desk and file a request fo</w:t>
      </w:r>
      <w:r>
        <w:rPr>
          <w:i/>
        </w:rPr>
        <w:t>r the code to be added to VBECS</w:t>
      </w:r>
      <w:r w:rsidR="00526F70">
        <w:rPr>
          <w:i/>
        </w:rPr>
        <w:t>.</w:t>
      </w:r>
    </w:p>
    <w:p w14:paraId="6427CD00" w14:textId="77777777" w:rsidR="002A21AE" w:rsidRDefault="002A21AE">
      <w:pPr>
        <w:pStyle w:val="Heading4"/>
      </w:pPr>
      <w:r>
        <w:t>Additional Information</w:t>
      </w:r>
      <w:bookmarkEnd w:id="272"/>
    </w:p>
    <w:p w14:paraId="65F0559C" w14:textId="77777777" w:rsidR="00B743A4" w:rsidRPr="00922928" w:rsidRDefault="0004202A" w:rsidP="00B743A4">
      <w:pPr>
        <w:pStyle w:val="ListBullet"/>
      </w:pPr>
      <w:bookmarkStart w:id="273" w:name="_Toc76279375"/>
      <w:r w:rsidRPr="00B743A4">
        <w:rPr>
          <w:vanish/>
        </w:rPr>
        <w:t xml:space="preserve">BR_1.14 </w:t>
      </w:r>
      <w:r w:rsidR="00B743A4" w:rsidRPr="00922928">
        <w:t xml:space="preserve">A unique blood unit record is defined by the following data elements: </w:t>
      </w:r>
    </w:p>
    <w:p w14:paraId="50112EFE" w14:textId="77777777" w:rsidR="00B743A4" w:rsidRPr="00922928" w:rsidRDefault="00B743A4" w:rsidP="00B743A4">
      <w:pPr>
        <w:pStyle w:val="ListBullet2"/>
        <w:tabs>
          <w:tab w:val="clear" w:pos="648"/>
          <w:tab w:val="num" w:pos="576"/>
        </w:tabs>
        <w:ind w:left="1008" w:hanging="360"/>
      </w:pPr>
      <w:r w:rsidRPr="00922928">
        <w:t>VBECS Division</w:t>
      </w:r>
    </w:p>
    <w:p w14:paraId="3E44A0A3" w14:textId="77777777" w:rsidR="00B743A4" w:rsidRPr="00922928" w:rsidRDefault="00B743A4" w:rsidP="00B743A4">
      <w:pPr>
        <w:pStyle w:val="ListBullet2"/>
        <w:tabs>
          <w:tab w:val="clear" w:pos="648"/>
          <w:tab w:val="num" w:pos="576"/>
        </w:tabs>
        <w:ind w:left="1008" w:hanging="360"/>
      </w:pPr>
      <w:r w:rsidRPr="00922928">
        <w:t>Unit ID</w:t>
      </w:r>
    </w:p>
    <w:p w14:paraId="69D3694D" w14:textId="77777777" w:rsidR="00B743A4" w:rsidRPr="00922928" w:rsidRDefault="00B743A4" w:rsidP="00B743A4">
      <w:pPr>
        <w:pStyle w:val="ListBullet2"/>
        <w:tabs>
          <w:tab w:val="clear" w:pos="648"/>
          <w:tab w:val="num" w:pos="576"/>
        </w:tabs>
        <w:ind w:left="1008" w:hanging="360"/>
      </w:pPr>
      <w:r w:rsidRPr="00922928">
        <w:t>Product code</w:t>
      </w:r>
    </w:p>
    <w:p w14:paraId="6E7B91E0" w14:textId="77777777" w:rsidR="00B743A4" w:rsidRPr="0029712B" w:rsidRDefault="00B743A4" w:rsidP="000409B1">
      <w:pPr>
        <w:pStyle w:val="TableText"/>
        <w:numPr>
          <w:ilvl w:val="2"/>
          <w:numId w:val="40"/>
        </w:numPr>
        <w:tabs>
          <w:tab w:val="clear" w:pos="2160"/>
          <w:tab w:val="num" w:pos="1528"/>
        </w:tabs>
        <w:ind w:hanging="992"/>
        <w:rPr>
          <w:rFonts w:ascii="Times New Roman" w:hAnsi="Times New Roman"/>
          <w:sz w:val="22"/>
          <w:szCs w:val="22"/>
        </w:rPr>
      </w:pPr>
      <w:r w:rsidRPr="0029712B">
        <w:rPr>
          <w:rFonts w:ascii="Times New Roman" w:hAnsi="Times New Roman"/>
          <w:sz w:val="22"/>
          <w:szCs w:val="22"/>
        </w:rPr>
        <w:t>ISBT 128 (8 alphanumeric characters).</w:t>
      </w:r>
    </w:p>
    <w:p w14:paraId="15983597" w14:textId="77777777" w:rsidR="0004202A" w:rsidRDefault="0004202A" w:rsidP="0004202A">
      <w:pPr>
        <w:pStyle w:val="ListBullet"/>
      </w:pPr>
      <w:r>
        <w:t>VBECS stores scanned ISBT 128 product codes and displays them as eight characters:</w:t>
      </w:r>
    </w:p>
    <w:p w14:paraId="0B4C9509" w14:textId="77777777" w:rsidR="0004202A" w:rsidRDefault="0004202A" w:rsidP="0004202A">
      <w:pPr>
        <w:pStyle w:val="ListBullet2"/>
      </w:pPr>
      <w:r>
        <w:t>Characters 1–5: product type</w:t>
      </w:r>
    </w:p>
    <w:p w14:paraId="13FE3012" w14:textId="77777777" w:rsidR="0004202A" w:rsidRDefault="0004202A" w:rsidP="0004202A">
      <w:pPr>
        <w:pStyle w:val="ListBullet2"/>
      </w:pPr>
      <w:r>
        <w:t>Character 6: donation type</w:t>
      </w:r>
    </w:p>
    <w:p w14:paraId="1986E60D" w14:textId="77777777" w:rsidR="0004202A" w:rsidRDefault="0004202A" w:rsidP="0004202A">
      <w:pPr>
        <w:pStyle w:val="ListBullet2"/>
      </w:pPr>
      <w:r>
        <w:t>Characters 7 and 8: division code (split)</w:t>
      </w:r>
    </w:p>
    <w:p w14:paraId="67344D72" w14:textId="77777777" w:rsidR="00467C77" w:rsidRPr="00467C77" w:rsidRDefault="0087742E" w:rsidP="00363509">
      <w:pPr>
        <w:pStyle w:val="ListBullet"/>
      </w:pPr>
      <w:r w:rsidRPr="00467C77">
        <w:t xml:space="preserve">When </w:t>
      </w:r>
      <w:r w:rsidR="0004065B" w:rsidRPr="00467C77">
        <w:t xml:space="preserve">ISBT 128 </w:t>
      </w:r>
      <w:r w:rsidRPr="00467C77">
        <w:t xml:space="preserve">units received during downtime must be issued, it is recommended that the user record the check character. </w:t>
      </w:r>
      <w:r w:rsidR="00871BF5" w:rsidRPr="00467C77">
        <w:t xml:space="preserve">When a blood unit is to be logged in after downtime and the unit is unavailable for scanning, the user must enter the </w:t>
      </w:r>
      <w:r w:rsidR="00DC36C4" w:rsidRPr="00467C77">
        <w:t xml:space="preserve">ISBT </w:t>
      </w:r>
      <w:r w:rsidR="00363509" w:rsidRPr="00467C77">
        <w:t>unit ID</w:t>
      </w:r>
      <w:r w:rsidR="00871BF5" w:rsidRPr="00467C77">
        <w:t xml:space="preserve"> and </w:t>
      </w:r>
      <w:r w:rsidR="00DC36C4" w:rsidRPr="00467C77">
        <w:t>the case-sensitive check character (</w:t>
      </w:r>
      <w:r w:rsidR="00363509" w:rsidRPr="00467C77">
        <w:t xml:space="preserve">the character in the </w:t>
      </w:r>
      <w:r w:rsidR="00DC36C4" w:rsidRPr="00467C77">
        <w:t xml:space="preserve">square following the </w:t>
      </w:r>
      <w:r w:rsidR="00363509" w:rsidRPr="00467C77">
        <w:t>unit ID</w:t>
      </w:r>
      <w:r w:rsidR="00DC36C4" w:rsidRPr="00467C77">
        <w:t>).</w:t>
      </w:r>
      <w:r w:rsidR="00871BF5" w:rsidRPr="00467C77">
        <w:t xml:space="preserve"> </w:t>
      </w:r>
      <w:bookmarkStart w:id="274" w:name="OLE_LINK9"/>
      <w:bookmarkStart w:id="275" w:name="OLE_LINK10"/>
    </w:p>
    <w:p w14:paraId="5C8C0E9D" w14:textId="77777777" w:rsidR="00467C77" w:rsidRPr="00467C77" w:rsidRDefault="00363509">
      <w:pPr>
        <w:pStyle w:val="ListBullet"/>
      </w:pPr>
      <w:r w:rsidRPr="00467C77">
        <w:t>To calculate a check character</w:t>
      </w:r>
      <w:r w:rsidRPr="00467C77">
        <w:fldChar w:fldCharType="begin"/>
      </w:r>
      <w:r w:rsidRPr="00467C77">
        <w:instrText xml:space="preserve"> XE "check character" </w:instrText>
      </w:r>
      <w:r w:rsidRPr="00467C77">
        <w:fldChar w:fldCharType="end"/>
      </w:r>
      <w:r w:rsidRPr="00467C77">
        <w:t>, see the Quick K Calculator</w:t>
      </w:r>
      <w:r w:rsidR="00985C7F" w:rsidRPr="00467C77">
        <w:fldChar w:fldCharType="begin"/>
      </w:r>
      <w:r w:rsidR="00985C7F" w:rsidRPr="00467C77">
        <w:instrText xml:space="preserve"> XE "Quick K Calculator" </w:instrText>
      </w:r>
      <w:r w:rsidR="00985C7F" w:rsidRPr="00467C77">
        <w:fldChar w:fldCharType="end"/>
      </w:r>
      <w:r w:rsidRPr="00467C77">
        <w:t xml:space="preserve"> on the ICCBBA Web page under ISBT 128, Other Tools. Follow the instructions to download the application.</w:t>
      </w:r>
      <w:bookmarkEnd w:id="274"/>
      <w:bookmarkEnd w:id="275"/>
    </w:p>
    <w:p w14:paraId="04199513" w14:textId="77777777" w:rsidR="00467C77" w:rsidRPr="00467C77" w:rsidRDefault="002A21AE" w:rsidP="00C718D7">
      <w:pPr>
        <w:pStyle w:val="ListBullet"/>
      </w:pPr>
      <w:r w:rsidRPr="00467C77">
        <w:t>Each division may have only one blood unit record of the same product type, product code, and unit ID. A unit shipped out (transferred) and subsequently shipped to (received by) a division in the same database will maintain individual records of the unit ID and product code for each division.</w:t>
      </w:r>
    </w:p>
    <w:p w14:paraId="6478ACED" w14:textId="77777777" w:rsidR="00467C77" w:rsidRPr="00467C77" w:rsidRDefault="00C718D7" w:rsidP="00C718D7">
      <w:pPr>
        <w:pStyle w:val="ListBullet"/>
      </w:pPr>
      <w:r w:rsidRPr="00467C77">
        <w:t xml:space="preserve">Several data elements, including the unit ID and product code, define a blood unit record as unique. </w:t>
      </w:r>
      <w:r w:rsidR="0078512B" w:rsidRPr="00467C77">
        <w:t xml:space="preserve">The unit record also includes </w:t>
      </w:r>
      <w:r w:rsidRPr="00467C77">
        <w:t>expiration date</w:t>
      </w:r>
      <w:r w:rsidR="0078512B" w:rsidRPr="00467C77">
        <w:t xml:space="preserve"> and </w:t>
      </w:r>
      <w:r w:rsidRPr="00467C77">
        <w:t>time, blood type</w:t>
      </w:r>
      <w:r w:rsidR="0078512B" w:rsidRPr="00467C77">
        <w:t>,</w:t>
      </w:r>
      <w:r w:rsidRPr="00467C77">
        <w:t xml:space="preserve"> and donation type. </w:t>
      </w:r>
      <w:r w:rsidR="0078512B" w:rsidRPr="00467C77">
        <w:t>These data elements are not editable.</w:t>
      </w:r>
    </w:p>
    <w:p w14:paraId="048EF4B1" w14:textId="77777777" w:rsidR="00992C7D" w:rsidRPr="00467C77" w:rsidRDefault="00992C7D" w:rsidP="00C718D7">
      <w:pPr>
        <w:pStyle w:val="ListBullet"/>
      </w:pPr>
      <w:r w:rsidRPr="00467C77">
        <w:t xml:space="preserve">Some suppliers relabel blood products and do not affix their own FDA Registration Number to </w:t>
      </w:r>
      <w:r w:rsidR="009026B6" w:rsidRPr="00467C77">
        <w:t xml:space="preserve">those </w:t>
      </w:r>
      <w:r w:rsidRPr="00467C77">
        <w:t xml:space="preserve">units. </w:t>
      </w:r>
      <w:r w:rsidR="00D86843" w:rsidRPr="00467C77">
        <w:t xml:space="preserve">It is recommended that the user obtain FDA Registration Number barcodes from their suppliers and </w:t>
      </w:r>
      <w:r w:rsidR="00DD5226" w:rsidRPr="00467C77">
        <w:t>use them for</w:t>
      </w:r>
      <w:r w:rsidR="00D86843" w:rsidRPr="00467C77">
        <w:t xml:space="preserve"> scanning </w:t>
      </w:r>
      <w:r w:rsidRPr="00467C77">
        <w:t>the shipper.</w:t>
      </w:r>
    </w:p>
    <w:p w14:paraId="7B4DCFB0" w14:textId="77777777" w:rsidR="002A21AE" w:rsidRDefault="002A21AE">
      <w:pPr>
        <w:pStyle w:val="Heading4"/>
      </w:pPr>
      <w:r>
        <w:t>User Roles with Access to This Option</w:t>
      </w:r>
      <w:bookmarkEnd w:id="273"/>
    </w:p>
    <w:p w14:paraId="73258546" w14:textId="77777777" w:rsidR="002A21AE" w:rsidRDefault="00873EEB">
      <w:pPr>
        <w:pStyle w:val="Roles"/>
        <w:rPr>
          <w:snapToGrid w:val="0"/>
        </w:rPr>
      </w:pPr>
      <w:r>
        <w:t>All users</w:t>
      </w:r>
    </w:p>
    <w:p w14:paraId="0176D5D4" w14:textId="77777777" w:rsidR="002A21AE" w:rsidRDefault="00057948">
      <w:pPr>
        <w:pStyle w:val="Heading4"/>
      </w:pPr>
      <w:r>
        <w:rPr>
          <w:noProof/>
        </w:rPr>
        <w:lastRenderedPageBreak/>
        <w:drawing>
          <wp:inline distT="0" distB="0" distL="0" distR="0" wp14:anchorId="6E7561C0" wp14:editId="187773A9">
            <wp:extent cx="156845" cy="156845"/>
            <wp:effectExtent l="0" t="0" r="0" b="0"/>
            <wp:docPr id="150" name="Picture 150" descr="P327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P3273#yIS1">
                      <a:extLst>
                        <a:ext uri="{C183D7F6-B498-43B3-948B-1728B52AA6E4}">
                          <adec:decorative xmlns:adec="http://schemas.microsoft.com/office/drawing/2017/decorative" val="1"/>
                        </a:ext>
                      </a:extLs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Incoming Shipment </w:t>
      </w:r>
    </w:p>
    <w:p w14:paraId="46F5E22F" w14:textId="77777777" w:rsidR="002A21AE" w:rsidRDefault="00A367A9" w:rsidP="00FA7E65">
      <w:pPr>
        <w:pStyle w:val="BodyText"/>
      </w:pPr>
      <w:r>
        <w:t>I</w:t>
      </w:r>
      <w:r w:rsidR="002A21AE">
        <w:t>n a “transfusion-only” facility, units must be restricted for use by a specific patient while an incoming shipment is processed. VBECS identifies the original collection facility to determine the presence of</w:t>
      </w:r>
      <w:r w:rsidR="0029712B">
        <w:t xml:space="preserve"> an eye-readable prefix</w:t>
      </w:r>
      <w:r w:rsidR="002A21AE">
        <w:t>. A user may enter unique unit information regarding special testing and antigen phenotyping. The user confirms that all entered units from the shipment were added to the database in the blood bank.</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760B0ECB" w14:textId="77777777">
        <w:trPr>
          <w:tblHeader/>
        </w:trPr>
        <w:tc>
          <w:tcPr>
            <w:tcW w:w="3240" w:type="dxa"/>
            <w:shd w:val="pct30" w:color="auto" w:fill="FFFFFF"/>
            <w:vAlign w:val="bottom"/>
          </w:tcPr>
          <w:p w14:paraId="61F2F971" w14:textId="77777777" w:rsidR="002A21AE" w:rsidRDefault="002A21AE">
            <w:pPr>
              <w:pStyle w:val="TableText"/>
              <w:rPr>
                <w:b/>
              </w:rPr>
            </w:pPr>
            <w:r>
              <w:rPr>
                <w:b/>
              </w:rPr>
              <w:t>User Action</w:t>
            </w:r>
          </w:p>
        </w:tc>
        <w:tc>
          <w:tcPr>
            <w:tcW w:w="6120" w:type="dxa"/>
            <w:shd w:val="pct30" w:color="auto" w:fill="FFFFFF"/>
            <w:vAlign w:val="bottom"/>
          </w:tcPr>
          <w:p w14:paraId="41585D96" w14:textId="77777777" w:rsidR="002A21AE" w:rsidRDefault="002A21AE">
            <w:pPr>
              <w:pStyle w:val="TableText"/>
              <w:rPr>
                <w:b/>
              </w:rPr>
            </w:pPr>
            <w:r>
              <w:rPr>
                <w:b/>
              </w:rPr>
              <w:t>VBECS</w:t>
            </w:r>
          </w:p>
        </w:tc>
      </w:tr>
      <w:tr w:rsidR="002A21AE" w14:paraId="12010085" w14:textId="77777777">
        <w:tc>
          <w:tcPr>
            <w:tcW w:w="3240" w:type="dxa"/>
          </w:tcPr>
          <w:p w14:paraId="214370A4" w14:textId="77777777" w:rsidR="002A21AE" w:rsidRDefault="002A21AE">
            <w:pPr>
              <w:pStyle w:val="TableTextNumbers"/>
            </w:pPr>
            <w:r>
              <w:t xml:space="preserve">Select </w:t>
            </w:r>
            <w:r>
              <w:rPr>
                <w:b/>
              </w:rPr>
              <w:t>Shipments</w:t>
            </w:r>
            <w:r>
              <w:t xml:space="preserve"> from the main menu.</w:t>
            </w:r>
          </w:p>
          <w:p w14:paraId="334516D3" w14:textId="77777777" w:rsidR="002A21AE" w:rsidRDefault="002A21AE">
            <w:pPr>
              <w:pStyle w:val="TableTextNumbersContinued"/>
              <w:rPr>
                <w:b/>
                <w:bCs/>
              </w:rPr>
            </w:pPr>
          </w:p>
          <w:p w14:paraId="7C896EEC" w14:textId="77777777" w:rsidR="002A21AE" w:rsidRDefault="002A21AE">
            <w:pPr>
              <w:pStyle w:val="TableTextNumbersContinued"/>
              <w:rPr>
                <w:b/>
                <w:bCs/>
              </w:rPr>
            </w:pPr>
            <w:r w:rsidRPr="00C761CD">
              <w:rPr>
                <w:bCs/>
              </w:rPr>
              <w:t>Select</w:t>
            </w:r>
            <w:r>
              <w:rPr>
                <w:b/>
                <w:bCs/>
              </w:rPr>
              <w:t xml:space="preserve"> Incoming Shipment</w:t>
            </w:r>
            <w:r w:rsidRPr="00C761CD">
              <w:rPr>
                <w:bCs/>
              </w:rPr>
              <w:t>.</w:t>
            </w:r>
          </w:p>
        </w:tc>
        <w:tc>
          <w:tcPr>
            <w:tcW w:w="6120" w:type="dxa"/>
          </w:tcPr>
          <w:p w14:paraId="3F713E82" w14:textId="77777777" w:rsidR="002A21AE" w:rsidRDefault="002A21AE">
            <w:pPr>
              <w:pStyle w:val="TableTextBullet"/>
            </w:pPr>
            <w:r>
              <w:t xml:space="preserve">Displays options for processing blood product shipments. </w:t>
            </w:r>
          </w:p>
          <w:p w14:paraId="7677D4EB" w14:textId="77777777" w:rsidR="0038298F" w:rsidRDefault="002A21AE" w:rsidP="0038298F">
            <w:pPr>
              <w:pStyle w:val="TableTextBullet"/>
            </w:pPr>
            <w:r>
              <w:t>Displays invoice information fields for entering shipment information.</w:t>
            </w:r>
          </w:p>
          <w:p w14:paraId="6E303773" w14:textId="77777777" w:rsidR="0038298F" w:rsidRDefault="0038298F" w:rsidP="0038298F">
            <w:pPr>
              <w:pStyle w:val="TableTextBullet"/>
              <w:numPr>
                <w:ilvl w:val="0"/>
                <w:numId w:val="0"/>
              </w:numPr>
              <w:ind w:left="288"/>
            </w:pPr>
          </w:p>
          <w:p w14:paraId="4ACC2F30" w14:textId="77777777" w:rsidR="0038298F" w:rsidRDefault="00057948" w:rsidP="0038298F">
            <w:pPr>
              <w:pStyle w:val="TableText"/>
              <w:rPr>
                <w:b/>
                <w:bCs/>
                <w:szCs w:val="18"/>
              </w:rPr>
            </w:pPr>
            <w:r>
              <w:rPr>
                <w:b/>
                <w:bCs/>
                <w:noProof/>
              </w:rPr>
              <mc:AlternateContent>
                <mc:Choice Requires="wps">
                  <w:drawing>
                    <wp:anchor distT="0" distB="0" distL="114300" distR="114300" simplePos="0" relativeHeight="251731968" behindDoc="0" locked="0" layoutInCell="1" allowOverlap="1" wp14:anchorId="6BE9B8D6" wp14:editId="399CE8C5">
                      <wp:simplePos x="0" y="0"/>
                      <wp:positionH relativeFrom="column">
                        <wp:posOffset>457200</wp:posOffset>
                      </wp:positionH>
                      <wp:positionV relativeFrom="paragraph">
                        <wp:posOffset>65405</wp:posOffset>
                      </wp:positionV>
                      <wp:extent cx="3200400" cy="0"/>
                      <wp:effectExtent l="9525" t="17780" r="9525" b="10795"/>
                      <wp:wrapNone/>
                      <wp:docPr id="521" name="Line 1309" descr="P3284C4T3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D4B96C" id="Line 1309" o:spid="_x0000_s1026" alt="&quot;&quot;"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MvRXlnEAQAAbwMAAA4AAAAAAAAAAAAAAAAA&#10;LgIAAGRycy9lMm9Eb2MueG1sUEsBAi0AFAAGAAgAAAAhABdPMBLbAAAACAEAAA8AAAAAAAAAAAAA&#10;AAAAHgQAAGRycy9kb3ducmV2LnhtbFBLBQYAAAAABAAEAPMAAAAmBQAAAAA=&#10;" strokeweight="1.5pt"/>
                  </w:pict>
                </mc:Fallback>
              </mc:AlternateContent>
            </w:r>
            <w:r w:rsidR="0038298F">
              <w:rPr>
                <w:b/>
                <w:bCs/>
                <w:szCs w:val="18"/>
              </w:rPr>
              <w:t>NOTES</w:t>
            </w:r>
          </w:p>
          <w:p w14:paraId="163B1A62" w14:textId="77777777" w:rsidR="0038298F" w:rsidRDefault="0038298F" w:rsidP="0038298F">
            <w:pPr>
              <w:pStyle w:val="TableTextBullet"/>
              <w:numPr>
                <w:ilvl w:val="0"/>
                <w:numId w:val="0"/>
              </w:numPr>
              <w:ind w:left="288" w:hanging="288"/>
              <w:rPr>
                <w:rFonts w:cs="Arial"/>
                <w:szCs w:val="18"/>
              </w:rPr>
            </w:pPr>
          </w:p>
          <w:p w14:paraId="746FE230" w14:textId="77777777" w:rsidR="0038298F" w:rsidRDefault="0038298F" w:rsidP="0038298F">
            <w:pPr>
              <w:pStyle w:val="NotesText"/>
            </w:pPr>
            <w:r w:rsidRPr="0038298F">
              <w:rPr>
                <w:vanish/>
              </w:rPr>
              <w:t xml:space="preserve">BR_1.62 </w:t>
            </w:r>
            <w:r w:rsidRPr="0038298F">
              <w:t>The system is s</w:t>
            </w:r>
            <w:r>
              <w:t xml:space="preserve">et as a default to ISBT </w:t>
            </w:r>
            <w:r w:rsidRPr="0038298F">
              <w:t>128 label type.</w:t>
            </w:r>
          </w:p>
          <w:p w14:paraId="03453B4F" w14:textId="77777777" w:rsidR="009F2A03" w:rsidRDefault="009F2A03" w:rsidP="0038298F">
            <w:pPr>
              <w:pStyle w:val="NotesText"/>
            </w:pPr>
          </w:p>
        </w:tc>
      </w:tr>
      <w:tr w:rsidR="002A21AE" w14:paraId="2625EF2D" w14:textId="77777777" w:rsidTr="007E500E">
        <w:trPr>
          <w:cantSplit/>
        </w:trPr>
        <w:tc>
          <w:tcPr>
            <w:tcW w:w="3240" w:type="dxa"/>
          </w:tcPr>
          <w:p w14:paraId="4B7DB859" w14:textId="77777777" w:rsidR="002A21AE" w:rsidRDefault="002A21AE">
            <w:pPr>
              <w:pStyle w:val="TableTextNumbers"/>
            </w:pPr>
            <w:r>
              <w:lastRenderedPageBreak/>
              <w:t xml:space="preserve">Scan the invoice number barcode or enter the invoice number. </w:t>
            </w:r>
          </w:p>
          <w:p w14:paraId="31160A7F" w14:textId="77777777" w:rsidR="002A21AE" w:rsidRDefault="002A21AE">
            <w:pPr>
              <w:pStyle w:val="TableTextNumbersContinued"/>
            </w:pPr>
          </w:p>
          <w:p w14:paraId="359D6DA6" w14:textId="77777777" w:rsidR="002A21AE" w:rsidRDefault="002A21AE">
            <w:pPr>
              <w:pStyle w:val="TableTextNumbersContinued"/>
            </w:pPr>
            <w:r>
              <w:t xml:space="preserve">To search for an existing invoice, click the </w:t>
            </w:r>
            <w:r w:rsidR="00A6373D">
              <w:rPr>
                <w:b/>
              </w:rPr>
              <w:t>find</w:t>
            </w:r>
            <w:r w:rsidRPr="00BF2E41">
              <w:t xml:space="preserve"> button</w:t>
            </w:r>
            <w:r>
              <w:t xml:space="preserve">. Enter an invoice number and/or select a shipper from the drop-down list, then click </w:t>
            </w:r>
            <w:r>
              <w:rPr>
                <w:b/>
              </w:rPr>
              <w:t>Search</w:t>
            </w:r>
            <w:r>
              <w:t xml:space="preserve">. Click an invoice number to select it and click </w:t>
            </w:r>
            <w:r>
              <w:rPr>
                <w:b/>
              </w:rPr>
              <w:t>OK</w:t>
            </w:r>
            <w:r>
              <w:t>.</w:t>
            </w:r>
          </w:p>
        </w:tc>
        <w:tc>
          <w:tcPr>
            <w:tcW w:w="6120" w:type="dxa"/>
          </w:tcPr>
          <w:p w14:paraId="73844607" w14:textId="77777777" w:rsidR="002A21AE" w:rsidRDefault="002A21AE">
            <w:pPr>
              <w:pStyle w:val="TableTextBullet"/>
            </w:pPr>
            <w:r>
              <w:t>When an identified invoice does not exist, asks the user whether he wants to create an invoice and add units to it.</w:t>
            </w:r>
          </w:p>
          <w:p w14:paraId="347F7ABF" w14:textId="77777777" w:rsidR="002A21AE" w:rsidRDefault="002A21AE">
            <w:pPr>
              <w:pStyle w:val="TableTextBullet"/>
            </w:pPr>
            <w:r>
              <w:t>Displays the option to search for existing invoices by invoice number and/or by active shipper. When no match is found, notifies the user.</w:t>
            </w:r>
          </w:p>
          <w:p w14:paraId="1994C323" w14:textId="77777777" w:rsidR="002A21AE" w:rsidRDefault="002A21AE">
            <w:pPr>
              <w:pStyle w:val="TableText"/>
              <w:rPr>
                <w:b/>
                <w:bCs/>
                <w:szCs w:val="18"/>
              </w:rPr>
            </w:pPr>
          </w:p>
          <w:p w14:paraId="7B0ECFB5" w14:textId="77777777" w:rsidR="002A21AE" w:rsidRDefault="00057948">
            <w:pPr>
              <w:pStyle w:val="TableText"/>
              <w:rPr>
                <w:b/>
                <w:bCs/>
                <w:szCs w:val="18"/>
              </w:rPr>
            </w:pPr>
            <w:r>
              <w:rPr>
                <w:b/>
                <w:bCs/>
                <w:noProof/>
              </w:rPr>
              <mc:AlternateContent>
                <mc:Choice Requires="wps">
                  <w:drawing>
                    <wp:anchor distT="0" distB="0" distL="114300" distR="114300" simplePos="0" relativeHeight="251590656" behindDoc="0" locked="0" layoutInCell="1" allowOverlap="1" wp14:anchorId="394D67CC" wp14:editId="539AA741">
                      <wp:simplePos x="0" y="0"/>
                      <wp:positionH relativeFrom="column">
                        <wp:posOffset>457200</wp:posOffset>
                      </wp:positionH>
                      <wp:positionV relativeFrom="paragraph">
                        <wp:posOffset>65405</wp:posOffset>
                      </wp:positionV>
                      <wp:extent cx="3200400" cy="0"/>
                      <wp:effectExtent l="9525" t="17780" r="9525" b="10795"/>
                      <wp:wrapNone/>
                      <wp:docPr id="520" name="Line 477" descr="P3295C6T3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F7BE6" id="Line 477" o:spid="_x0000_s1026" alt="&quot;&quot;"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Fzjrp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0243433A" w14:textId="77777777" w:rsidR="002A21AE" w:rsidRPr="0051299B" w:rsidRDefault="002A21AE" w:rsidP="0051299B">
            <w:pPr>
              <w:pStyle w:val="NotesText"/>
            </w:pPr>
          </w:p>
          <w:p w14:paraId="6976ADE8" w14:textId="77777777" w:rsidR="002A21AE" w:rsidRDefault="002A21AE" w:rsidP="0051299B">
            <w:pPr>
              <w:pStyle w:val="NotesText"/>
            </w:pPr>
            <w:r w:rsidRPr="009660C3">
              <w:rPr>
                <w:vanish/>
                <w:szCs w:val="18"/>
              </w:rPr>
              <w:t xml:space="preserve">BR_1.63 </w:t>
            </w:r>
            <w:r>
              <w:t>When a user chooses to select an existing invoice to add units, VBECS ensures that the shipper is marked as active. VBECS displays and allows the user to edit existing invoices associated with active shippers.</w:t>
            </w:r>
          </w:p>
          <w:p w14:paraId="08FA9313" w14:textId="77777777" w:rsidR="00126AF8" w:rsidRDefault="00126AF8">
            <w:pPr>
              <w:pStyle w:val="NotesText"/>
            </w:pPr>
          </w:p>
          <w:p w14:paraId="0FE8F8B4" w14:textId="174D0A12" w:rsidR="00126AF8" w:rsidRDefault="00126AF8">
            <w:pPr>
              <w:pStyle w:val="NotesText"/>
            </w:pPr>
            <w:r>
              <w:t xml:space="preserve">To correct </w:t>
            </w:r>
            <w:r w:rsidRPr="00126AF8">
              <w:t xml:space="preserve">an invoice associated with an inactive shipper, </w:t>
            </w:r>
            <w:r>
              <w:t>the user</w:t>
            </w:r>
            <w:r w:rsidRPr="00126AF8">
              <w:t xml:space="preserve"> must </w:t>
            </w:r>
            <w:r>
              <w:t>re</w:t>
            </w:r>
            <w:r w:rsidRPr="00126AF8">
              <w:t xml:space="preserve">activate the shipper. </w:t>
            </w:r>
          </w:p>
          <w:p w14:paraId="01880B9E" w14:textId="77777777" w:rsidR="00117986" w:rsidRDefault="00117986">
            <w:pPr>
              <w:pStyle w:val="NotesText"/>
            </w:pPr>
          </w:p>
          <w:p w14:paraId="1A7D369B" w14:textId="7308CF38" w:rsidR="00117986" w:rsidRPr="00126AF8" w:rsidRDefault="00117986">
            <w:pPr>
              <w:pStyle w:val="NotesText"/>
            </w:pPr>
            <w:r w:rsidRPr="00117986">
              <w:t>Do not select the blank row in the shipper list box. If the blank row is selected, click it, close the window and start a new search.</w:t>
            </w:r>
            <w:r w:rsidR="0002020B">
              <w:t xml:space="preserve"> </w:t>
            </w:r>
            <w:r w:rsidR="0002020B" w:rsidRPr="0002020B">
              <w:rPr>
                <w:vanish/>
              </w:rPr>
              <w:t>Defect 210200</w:t>
            </w:r>
          </w:p>
          <w:p w14:paraId="7799B8BA" w14:textId="77777777" w:rsidR="002A21AE" w:rsidRDefault="002A21AE">
            <w:pPr>
              <w:pStyle w:val="NotesText"/>
            </w:pPr>
          </w:p>
          <w:p w14:paraId="5F509F45" w14:textId="77777777" w:rsidR="002A21AE" w:rsidRDefault="002A21AE" w:rsidP="00297B57">
            <w:pPr>
              <w:pStyle w:val="NotesText"/>
            </w:pPr>
            <w:r w:rsidRPr="009660C3">
              <w:rPr>
                <w:vanish/>
                <w:szCs w:val="18"/>
              </w:rPr>
              <w:t xml:space="preserve">BR_1.38 </w:t>
            </w:r>
            <w:r>
              <w:t xml:space="preserve">Multiple users may process different units from a </w:t>
            </w:r>
            <w:r>
              <w:rPr>
                <w:iCs/>
              </w:rPr>
              <w:t>shipment</w:t>
            </w:r>
            <w:r w:rsidR="00297B57">
              <w:t xml:space="preserve">. </w:t>
            </w:r>
            <w:r w:rsidR="009F2A03">
              <w:t xml:space="preserve"> </w:t>
            </w:r>
            <w:r w:rsidR="009F2A03" w:rsidRPr="0030088C">
              <w:rPr>
                <w:rFonts w:cs="Arial"/>
                <w:szCs w:val="18"/>
              </w:rPr>
              <w:t>A large shipment of blood can be physically processed by more than one tech simultaneously, however, each individual unit in the shipment can only be processed by one tech.</w:t>
            </w:r>
          </w:p>
          <w:p w14:paraId="32FB02E4" w14:textId="77777777" w:rsidR="009A7DAC" w:rsidRDefault="009A7DAC" w:rsidP="00297B57">
            <w:pPr>
              <w:pStyle w:val="NotesText"/>
            </w:pPr>
          </w:p>
          <w:p w14:paraId="62AAC316" w14:textId="77777777" w:rsidR="009A7DAC" w:rsidRDefault="009A7DAC" w:rsidP="00297B57">
            <w:pPr>
              <w:pStyle w:val="NotesText"/>
            </w:pPr>
            <w:bookmarkStart w:id="276" w:name="OLE_LINK31"/>
            <w:bookmarkStart w:id="277" w:name="OLE_LINK32"/>
            <w:r w:rsidRPr="009A7DAC">
              <w:t xml:space="preserve">When </w:t>
            </w:r>
            <w:r w:rsidR="006829C9">
              <w:t>more than one user</w:t>
            </w:r>
            <w:r w:rsidRPr="009A7DAC">
              <w:t xml:space="preserve"> intend</w:t>
            </w:r>
            <w:r w:rsidR="006829C9">
              <w:t>s</w:t>
            </w:r>
            <w:r w:rsidRPr="009A7DAC">
              <w:t xml:space="preserve"> to work on </w:t>
            </w:r>
            <w:r w:rsidR="006829C9">
              <w:t>an</w:t>
            </w:r>
            <w:r w:rsidRPr="009A7DAC">
              <w:t xml:space="preserve"> invoice, one </w:t>
            </w:r>
            <w:r>
              <w:t>user</w:t>
            </w:r>
            <w:r w:rsidRPr="009A7DAC">
              <w:t xml:space="preserve"> </w:t>
            </w:r>
            <w:r>
              <w:t>must</w:t>
            </w:r>
            <w:r w:rsidRPr="009A7DAC">
              <w:t xml:space="preserve"> create </w:t>
            </w:r>
            <w:r w:rsidR="006829C9">
              <w:t>the</w:t>
            </w:r>
            <w:r w:rsidRPr="009A7DAC">
              <w:t xml:space="preserve"> invoice</w:t>
            </w:r>
            <w:r>
              <w:t>. T</w:t>
            </w:r>
            <w:r w:rsidRPr="009A7DAC">
              <w:t xml:space="preserve">he other users </w:t>
            </w:r>
            <w:r>
              <w:t>must</w:t>
            </w:r>
            <w:r w:rsidRPr="009A7DAC">
              <w:t xml:space="preserve"> select </w:t>
            </w:r>
            <w:r w:rsidR="00551508">
              <w:t>that</w:t>
            </w:r>
            <w:r w:rsidRPr="009A7DAC">
              <w:t xml:space="preserve"> invoice and add units to it.</w:t>
            </w:r>
            <w:bookmarkEnd w:id="276"/>
            <w:bookmarkEnd w:id="277"/>
          </w:p>
          <w:p w14:paraId="4C0B102A" w14:textId="77777777" w:rsidR="005710CE" w:rsidRDefault="005710CE" w:rsidP="00297B57">
            <w:pPr>
              <w:pStyle w:val="NotesText"/>
            </w:pPr>
          </w:p>
          <w:p w14:paraId="5F77E7AF" w14:textId="77777777" w:rsidR="005710CE" w:rsidRDefault="005710CE" w:rsidP="00297B57">
            <w:pPr>
              <w:pStyle w:val="NotesText"/>
            </w:pPr>
            <w:r w:rsidRPr="005710CE">
              <w:rPr>
                <w:vanish/>
              </w:rPr>
              <w:t xml:space="preserve">BR_1.07 </w:t>
            </w:r>
            <w:r>
              <w:t>When using a scanner to read barcodes on blood product bags, the system must display the input to the user in the eye-readable form that appears on the blood bag.</w:t>
            </w:r>
          </w:p>
          <w:p w14:paraId="160008E8" w14:textId="77777777" w:rsidR="005710CE" w:rsidRDefault="005710CE" w:rsidP="00297B57">
            <w:pPr>
              <w:pStyle w:val="NotesText"/>
            </w:pPr>
          </w:p>
          <w:p w14:paraId="1A626814" w14:textId="77777777" w:rsidR="005710CE" w:rsidRDefault="009F2A03" w:rsidP="00297B57">
            <w:pPr>
              <w:pStyle w:val="NotesText"/>
              <w:rPr>
                <w:rFonts w:cs="Arial"/>
                <w:szCs w:val="18"/>
              </w:rPr>
            </w:pPr>
            <w:r w:rsidRPr="009F2A03">
              <w:rPr>
                <w:rFonts w:cs="Arial"/>
                <w:vanish/>
                <w:szCs w:val="18"/>
              </w:rPr>
              <w:t xml:space="preserve">BR_1.06 </w:t>
            </w:r>
            <w:r w:rsidRPr="0030088C">
              <w:rPr>
                <w:rFonts w:cs="Arial"/>
                <w:szCs w:val="18"/>
              </w:rPr>
              <w:t>When processing a shipment, the system should provide an indication to the user which specific barcode the system is expecting. Once the scan is complete, the system automatically ‘moves’ the indication to the next logical input. The user can override this progression by manually selecting a different input field. It is assumed that the scanners will be configured to append the proper command at the completion of each scan.</w:t>
            </w:r>
          </w:p>
          <w:p w14:paraId="4C3F78CB" w14:textId="77777777" w:rsidR="009F2A03" w:rsidRDefault="009F2A03" w:rsidP="00297B57">
            <w:pPr>
              <w:pStyle w:val="NotesText"/>
              <w:rPr>
                <w:rFonts w:cs="Arial"/>
                <w:szCs w:val="18"/>
              </w:rPr>
            </w:pPr>
          </w:p>
          <w:p w14:paraId="3A09E00F" w14:textId="77777777" w:rsidR="009F2A03" w:rsidRDefault="00EC25E3" w:rsidP="00297B57">
            <w:pPr>
              <w:pStyle w:val="NotesText"/>
              <w:rPr>
                <w:rFonts w:cs="Arial"/>
                <w:szCs w:val="18"/>
              </w:rPr>
            </w:pPr>
            <w:r w:rsidRPr="00EC25E3">
              <w:rPr>
                <w:rFonts w:cs="Arial"/>
                <w:vanish/>
                <w:szCs w:val="18"/>
              </w:rPr>
              <w:t xml:space="preserve">BR_1.54 </w:t>
            </w:r>
            <w:r w:rsidRPr="0030088C">
              <w:rPr>
                <w:rFonts w:cs="Arial"/>
                <w:szCs w:val="18"/>
              </w:rPr>
              <w:t>If the user entered shipment propertie</w:t>
            </w:r>
            <w:r>
              <w:rPr>
                <w:rFonts w:cs="Arial"/>
                <w:szCs w:val="18"/>
              </w:rPr>
              <w:t xml:space="preserve">s for an existing invoice, VBECS </w:t>
            </w:r>
            <w:r w:rsidRPr="0030088C">
              <w:rPr>
                <w:rFonts w:cs="Arial"/>
                <w:szCs w:val="18"/>
              </w:rPr>
              <w:t>displays a message: Do you want to continue and add units to an existing invoice? (Select “No” to use another invoice.) If the user responds “No,” the shipment property fields are cleared, allowing the user to enter data for anothe</w:t>
            </w:r>
            <w:r>
              <w:rPr>
                <w:rFonts w:cs="Arial"/>
                <w:szCs w:val="18"/>
              </w:rPr>
              <w:t>r invoice; otherwise, VBECS</w:t>
            </w:r>
            <w:r w:rsidRPr="0030088C">
              <w:rPr>
                <w:rFonts w:cs="Arial"/>
                <w:szCs w:val="18"/>
              </w:rPr>
              <w:t xml:space="preserve"> continues to the next step.</w:t>
            </w:r>
          </w:p>
          <w:p w14:paraId="27E570E6" w14:textId="77777777" w:rsidR="00EC25E3" w:rsidRDefault="00EC25E3" w:rsidP="00297B57">
            <w:pPr>
              <w:pStyle w:val="NotesText"/>
              <w:rPr>
                <w:rFonts w:cs="Arial"/>
                <w:szCs w:val="18"/>
              </w:rPr>
            </w:pPr>
          </w:p>
          <w:p w14:paraId="2828EC0A" w14:textId="77777777" w:rsidR="00EC25E3" w:rsidRDefault="00EC25E3" w:rsidP="00297B57">
            <w:pPr>
              <w:pStyle w:val="NotesText"/>
              <w:rPr>
                <w:rFonts w:cs="Arial"/>
                <w:szCs w:val="18"/>
              </w:rPr>
            </w:pPr>
            <w:r w:rsidRPr="00EC25E3">
              <w:rPr>
                <w:rFonts w:cs="Arial"/>
                <w:vanish/>
                <w:szCs w:val="18"/>
              </w:rPr>
              <w:t xml:space="preserve">BR_1.55 </w:t>
            </w:r>
            <w:r w:rsidRPr="0030088C">
              <w:rPr>
                <w:rFonts w:cs="Arial"/>
                <w:szCs w:val="18"/>
              </w:rPr>
              <w:t>If the user entered shipment properties</w:t>
            </w:r>
            <w:r>
              <w:rPr>
                <w:rFonts w:cs="Arial"/>
                <w:szCs w:val="18"/>
              </w:rPr>
              <w:t xml:space="preserve"> for a new invoice, VBECS</w:t>
            </w:r>
            <w:r w:rsidRPr="0030088C">
              <w:rPr>
                <w:rFonts w:cs="Arial"/>
                <w:szCs w:val="18"/>
              </w:rPr>
              <w:t xml:space="preserve"> displays a message: Do you want to continue and add units to the new invoice? (Select “No” to use another invoice.) If the user responds “No,” the shipment property fields are cleared, allowing the user to enter data for another invoice; otherwise, the system continues to the next step.</w:t>
            </w:r>
          </w:p>
          <w:p w14:paraId="44F41639" w14:textId="77777777" w:rsidR="00EC25E3" w:rsidRDefault="00EC25E3" w:rsidP="00297B57">
            <w:pPr>
              <w:pStyle w:val="NotesText"/>
              <w:rPr>
                <w:rFonts w:cs="Arial"/>
                <w:szCs w:val="18"/>
              </w:rPr>
            </w:pPr>
          </w:p>
          <w:p w14:paraId="63055355" w14:textId="77777777" w:rsidR="00EC25E3" w:rsidRDefault="004B3753" w:rsidP="00297B57">
            <w:pPr>
              <w:pStyle w:val="NotesText"/>
              <w:rPr>
                <w:rFonts w:cs="Arial"/>
                <w:szCs w:val="18"/>
              </w:rPr>
            </w:pPr>
            <w:r w:rsidRPr="004B3753">
              <w:rPr>
                <w:rFonts w:cs="Arial"/>
                <w:vanish/>
                <w:szCs w:val="18"/>
              </w:rPr>
              <w:t xml:space="preserve">BR_1.56 </w:t>
            </w:r>
            <w:r w:rsidRPr="0030088C">
              <w:rPr>
                <w:rFonts w:cs="Arial"/>
                <w:szCs w:val="18"/>
              </w:rPr>
              <w:t>The combination of invoice number, shipper, and date</w:t>
            </w:r>
            <w:r>
              <w:rPr>
                <w:rFonts w:cs="Arial"/>
                <w:szCs w:val="18"/>
              </w:rPr>
              <w:t>/time</w:t>
            </w:r>
            <w:r w:rsidRPr="0030088C">
              <w:rPr>
                <w:rFonts w:cs="Arial"/>
                <w:szCs w:val="18"/>
              </w:rPr>
              <w:t xml:space="preserve"> received uniquely identifies the shipment for data retrieval.</w:t>
            </w:r>
          </w:p>
          <w:p w14:paraId="5E5AE0C8" w14:textId="77777777" w:rsidR="004B3753" w:rsidRDefault="004B3753" w:rsidP="00297B57">
            <w:pPr>
              <w:pStyle w:val="NotesText"/>
              <w:rPr>
                <w:rFonts w:cs="Arial"/>
                <w:szCs w:val="18"/>
              </w:rPr>
            </w:pPr>
          </w:p>
          <w:p w14:paraId="5F6E50FD" w14:textId="53A58A25" w:rsidR="004B3753" w:rsidRPr="009A7DAC" w:rsidRDefault="004B3753" w:rsidP="00297B57">
            <w:pPr>
              <w:pStyle w:val="NotesText"/>
            </w:pPr>
          </w:p>
        </w:tc>
      </w:tr>
      <w:tr w:rsidR="00DA1590" w14:paraId="22E50377" w14:textId="77777777">
        <w:tc>
          <w:tcPr>
            <w:tcW w:w="3240" w:type="dxa"/>
          </w:tcPr>
          <w:p w14:paraId="18554F17" w14:textId="77777777" w:rsidR="00DA1590" w:rsidRDefault="00DA1590">
            <w:pPr>
              <w:pStyle w:val="TableTextNumbers"/>
            </w:pPr>
            <w:r>
              <w:lastRenderedPageBreak/>
              <w:t>Select a source</w:t>
            </w:r>
            <w:r w:rsidR="007536F3">
              <w:t xml:space="preserve"> from the Source (Shipper) drop-down list. If needed, edit the date received in the Date Received field.</w:t>
            </w:r>
          </w:p>
        </w:tc>
        <w:tc>
          <w:tcPr>
            <w:tcW w:w="6120" w:type="dxa"/>
          </w:tcPr>
          <w:p w14:paraId="1BC7F29C" w14:textId="77777777" w:rsidR="00297B57" w:rsidRDefault="00297B57" w:rsidP="00297B57">
            <w:pPr>
              <w:pStyle w:val="TableText"/>
              <w:rPr>
                <w:b/>
                <w:bCs/>
                <w:szCs w:val="18"/>
              </w:rPr>
            </w:pPr>
          </w:p>
          <w:p w14:paraId="60B30890" w14:textId="77777777" w:rsidR="00297B57" w:rsidRDefault="00057948" w:rsidP="00297B57">
            <w:pPr>
              <w:pStyle w:val="TableText"/>
              <w:rPr>
                <w:b/>
                <w:bCs/>
                <w:szCs w:val="18"/>
              </w:rPr>
            </w:pPr>
            <w:r>
              <w:rPr>
                <w:b/>
                <w:bCs/>
                <w:noProof/>
              </w:rPr>
              <mc:AlternateContent>
                <mc:Choice Requires="wps">
                  <w:drawing>
                    <wp:anchor distT="0" distB="0" distL="114300" distR="114300" simplePos="0" relativeHeight="251691008" behindDoc="0" locked="0" layoutInCell="1" allowOverlap="1" wp14:anchorId="68D21B03" wp14:editId="6F0F52B6">
                      <wp:simplePos x="0" y="0"/>
                      <wp:positionH relativeFrom="column">
                        <wp:posOffset>457200</wp:posOffset>
                      </wp:positionH>
                      <wp:positionV relativeFrom="paragraph">
                        <wp:posOffset>65405</wp:posOffset>
                      </wp:positionV>
                      <wp:extent cx="3200400" cy="0"/>
                      <wp:effectExtent l="9525" t="17780" r="9525" b="10795"/>
                      <wp:wrapNone/>
                      <wp:docPr id="519" name="Line 998" descr="P3321C8T3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6C2B7" id="Line 998" o:spid="_x0000_s1026" alt="&quot;&quot;"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NH+xNMMBAABuAwAADgAAAAAAAAAAAAAAAAAu&#10;AgAAZHJzL2Uyb0RvYy54bWxQSwECLQAUAAYACAAAACEAF08wEtsAAAAIAQAADwAAAAAAAAAAAAAA&#10;AAAdBAAAZHJzL2Rvd25yZXYueG1sUEsFBgAAAAAEAAQA8wAAACUFAAAAAA==&#10;" strokeweight="1.5pt"/>
                  </w:pict>
                </mc:Fallback>
              </mc:AlternateContent>
            </w:r>
            <w:r w:rsidR="00297B57">
              <w:rPr>
                <w:b/>
                <w:bCs/>
                <w:szCs w:val="18"/>
              </w:rPr>
              <w:t>NOTES</w:t>
            </w:r>
          </w:p>
          <w:p w14:paraId="4F5C5780" w14:textId="77777777" w:rsidR="00297B57" w:rsidRDefault="00297B57" w:rsidP="00297B57">
            <w:pPr>
              <w:pStyle w:val="NotesText"/>
            </w:pPr>
          </w:p>
          <w:p w14:paraId="17CC0604" w14:textId="77777777" w:rsidR="00297B57" w:rsidRDefault="00297B57" w:rsidP="00297B57">
            <w:pPr>
              <w:pStyle w:val="NotesText"/>
            </w:pPr>
            <w:r>
              <w:t>After a user enters or selects an invoice number, the user may enter information in the shipper, date received, and processing technologist fields.</w:t>
            </w:r>
          </w:p>
          <w:p w14:paraId="090F7A2F" w14:textId="77777777" w:rsidR="00297B57" w:rsidRDefault="00297B57" w:rsidP="00297B57">
            <w:pPr>
              <w:pStyle w:val="NotesText"/>
            </w:pPr>
          </w:p>
          <w:p w14:paraId="31CF0F6D" w14:textId="77777777" w:rsidR="00DA1590" w:rsidRDefault="00297B57" w:rsidP="00297B57">
            <w:pPr>
              <w:pStyle w:val="NotesText"/>
            </w:pPr>
            <w:r>
              <w:t>During retrospective entry, the user must enter the shipment date and time before entering any other unit transaction.</w:t>
            </w:r>
          </w:p>
          <w:p w14:paraId="6F8FA4D5" w14:textId="77777777" w:rsidR="009F2A03" w:rsidRDefault="009F2A03" w:rsidP="00297B57">
            <w:pPr>
              <w:pStyle w:val="NotesText"/>
            </w:pPr>
          </w:p>
          <w:p w14:paraId="74B37038" w14:textId="29EA0A38" w:rsidR="009F2A03" w:rsidRDefault="009F2A03" w:rsidP="00297B57">
            <w:pPr>
              <w:pStyle w:val="NotesText"/>
            </w:pPr>
            <w:r w:rsidRPr="009F2A03">
              <w:rPr>
                <w:rFonts w:cs="Arial"/>
                <w:vanish/>
                <w:szCs w:val="18"/>
              </w:rPr>
              <w:t xml:space="preserve">BR_1.51 </w:t>
            </w:r>
            <w:r w:rsidRPr="0030088C">
              <w:rPr>
                <w:rFonts w:cs="Arial"/>
                <w:szCs w:val="18"/>
              </w:rPr>
              <w:t>Shipment received date/time cannot be a future date/time</w:t>
            </w:r>
            <w:r>
              <w:rPr>
                <w:rFonts w:cs="Arial"/>
                <w:szCs w:val="18"/>
              </w:rPr>
              <w:t>.</w:t>
            </w:r>
            <w:r w:rsidR="00963554">
              <w:rPr>
                <w:rFonts w:cs="Arial"/>
                <w:szCs w:val="18"/>
              </w:rPr>
              <w:t xml:space="preserve"> </w:t>
            </w:r>
            <w:r w:rsidR="00963554" w:rsidRPr="00963554">
              <w:rPr>
                <w:rFonts w:cs="Arial"/>
                <w:vanish/>
                <w:szCs w:val="18"/>
              </w:rPr>
              <w:t>Defect 209865</w:t>
            </w:r>
          </w:p>
        </w:tc>
      </w:tr>
      <w:tr w:rsidR="002A21AE" w14:paraId="4A4C0AFE" w14:textId="77777777">
        <w:tc>
          <w:tcPr>
            <w:tcW w:w="3240" w:type="dxa"/>
          </w:tcPr>
          <w:p w14:paraId="46C2AE18" w14:textId="77777777" w:rsidR="002A21AE" w:rsidRDefault="002A21AE">
            <w:pPr>
              <w:pStyle w:val="TableTextNumbers"/>
            </w:pPr>
            <w:r>
              <w:t xml:space="preserve">Click </w:t>
            </w:r>
            <w:r>
              <w:rPr>
                <w:b/>
              </w:rPr>
              <w:t>OK</w:t>
            </w:r>
            <w:r>
              <w:t xml:space="preserve"> again to continue. </w:t>
            </w:r>
          </w:p>
        </w:tc>
        <w:tc>
          <w:tcPr>
            <w:tcW w:w="6120" w:type="dxa"/>
          </w:tcPr>
          <w:p w14:paraId="359D9B99" w14:textId="77777777" w:rsidR="002A21AE" w:rsidRDefault="002A21AE">
            <w:pPr>
              <w:pStyle w:val="TableTextBullet"/>
            </w:pPr>
            <w:r>
              <w:t>When the barcode is scanned, determines the labeling type</w:t>
            </w:r>
            <w:r w:rsidR="001743E6">
              <w:t xml:space="preserve"> (autodiscriminates)</w:t>
            </w:r>
            <w:r>
              <w:t>.</w:t>
            </w:r>
          </w:p>
          <w:p w14:paraId="7A66FDFE" w14:textId="77777777" w:rsidR="0038298F" w:rsidRDefault="0038298F" w:rsidP="0038298F">
            <w:pPr>
              <w:pStyle w:val="TableTextBullet"/>
              <w:numPr>
                <w:ilvl w:val="0"/>
                <w:numId w:val="0"/>
              </w:numPr>
              <w:ind w:left="288" w:hanging="288"/>
            </w:pPr>
          </w:p>
          <w:p w14:paraId="5C2AE911" w14:textId="77777777" w:rsidR="0038298F" w:rsidRDefault="00057948" w:rsidP="0038298F">
            <w:pPr>
              <w:pStyle w:val="TableText"/>
              <w:rPr>
                <w:b/>
                <w:bCs/>
                <w:szCs w:val="18"/>
              </w:rPr>
            </w:pPr>
            <w:r>
              <w:rPr>
                <w:b/>
                <w:bCs/>
                <w:noProof/>
              </w:rPr>
              <mc:AlternateContent>
                <mc:Choice Requires="wps">
                  <w:drawing>
                    <wp:anchor distT="0" distB="0" distL="114300" distR="114300" simplePos="0" relativeHeight="251732992" behindDoc="0" locked="0" layoutInCell="1" allowOverlap="1" wp14:anchorId="7CCAF63C" wp14:editId="39E4F1C0">
                      <wp:simplePos x="0" y="0"/>
                      <wp:positionH relativeFrom="column">
                        <wp:posOffset>457200</wp:posOffset>
                      </wp:positionH>
                      <wp:positionV relativeFrom="paragraph">
                        <wp:posOffset>65405</wp:posOffset>
                      </wp:positionV>
                      <wp:extent cx="3200400" cy="0"/>
                      <wp:effectExtent l="9525" t="17780" r="9525" b="10795"/>
                      <wp:wrapNone/>
                      <wp:docPr id="518" name="Line 1310" descr="P3332C10T3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BE0DD" id="Line 1310" o:spid="_x0000_s1026" alt="&quot;&quot;"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FyhrAzEAQAAbwMAAA4AAAAAAAAAAAAAAAAA&#10;LgIAAGRycy9lMm9Eb2MueG1sUEsBAi0AFAAGAAgAAAAhABdPMBLbAAAACAEAAA8AAAAAAAAAAAAA&#10;AAAAHgQAAGRycy9kb3ducmV2LnhtbFBLBQYAAAAABAAEAPMAAAAmBQAAAAA=&#10;" strokeweight="1.5pt"/>
                  </w:pict>
                </mc:Fallback>
              </mc:AlternateContent>
            </w:r>
            <w:r w:rsidR="0038298F">
              <w:rPr>
                <w:b/>
                <w:bCs/>
                <w:szCs w:val="18"/>
              </w:rPr>
              <w:t>NOTES</w:t>
            </w:r>
          </w:p>
          <w:p w14:paraId="753C0B50" w14:textId="77777777" w:rsidR="0038298F" w:rsidRDefault="0038298F" w:rsidP="0038298F">
            <w:pPr>
              <w:pStyle w:val="NotesText"/>
              <w:rPr>
                <w:vanish/>
              </w:rPr>
            </w:pPr>
          </w:p>
          <w:p w14:paraId="1B8AE99C" w14:textId="77777777" w:rsidR="0038298F" w:rsidRDefault="0038298F" w:rsidP="0038298F">
            <w:pPr>
              <w:pStyle w:val="NotesText"/>
            </w:pPr>
            <w:r w:rsidRPr="0038298F">
              <w:rPr>
                <w:vanish/>
              </w:rPr>
              <w:t xml:space="preserve">BR_1.71 </w:t>
            </w:r>
            <w:r>
              <w:t>Entry of Codabar labeled blood units is disabled.</w:t>
            </w:r>
          </w:p>
          <w:p w14:paraId="3B30CEBA" w14:textId="77777777" w:rsidR="004B3753" w:rsidRDefault="004B3753" w:rsidP="0038298F">
            <w:pPr>
              <w:pStyle w:val="NotesText"/>
            </w:pPr>
          </w:p>
          <w:p w14:paraId="5A77933B" w14:textId="77777777" w:rsidR="004B3753" w:rsidRDefault="004B3753" w:rsidP="0038298F">
            <w:pPr>
              <w:pStyle w:val="NotesText"/>
              <w:rPr>
                <w:rFonts w:cs="Arial"/>
                <w:szCs w:val="18"/>
              </w:rPr>
            </w:pPr>
            <w:r w:rsidRPr="004B3753">
              <w:rPr>
                <w:rFonts w:cs="Arial"/>
                <w:vanish/>
                <w:szCs w:val="18"/>
              </w:rPr>
              <w:t xml:space="preserve">BR_1.18 </w:t>
            </w:r>
            <w:r w:rsidRPr="0030088C">
              <w:rPr>
                <w:rFonts w:cs="Arial"/>
                <w:szCs w:val="18"/>
              </w:rPr>
              <w:t xml:space="preserve">A scanned ISBT 128 Unit ID barcode is identified by the presence of the ‘=’ as the hidden identifier. Once the hidden identifier is removed, the Unit ID is interpreted as the first 13 characters, the first character being a letter, most likely ‘w’. The Unit record is flagged as </w:t>
            </w:r>
            <w:r>
              <w:rPr>
                <w:rFonts w:cs="Arial"/>
                <w:szCs w:val="18"/>
              </w:rPr>
              <w:t>scanned</w:t>
            </w:r>
            <w:r w:rsidRPr="0030088C">
              <w:rPr>
                <w:rFonts w:cs="Arial"/>
                <w:szCs w:val="18"/>
              </w:rPr>
              <w:t xml:space="preserve"> during initial receipt.</w:t>
            </w:r>
          </w:p>
          <w:p w14:paraId="38581A39" w14:textId="77777777" w:rsidR="004B3753" w:rsidRDefault="004B3753" w:rsidP="0038298F">
            <w:pPr>
              <w:pStyle w:val="NotesText"/>
              <w:rPr>
                <w:rFonts w:cs="Arial"/>
                <w:szCs w:val="18"/>
              </w:rPr>
            </w:pPr>
          </w:p>
          <w:p w14:paraId="26F2C3BE" w14:textId="77777777" w:rsidR="004B3753" w:rsidRDefault="004B3753" w:rsidP="0038298F">
            <w:pPr>
              <w:pStyle w:val="NotesText"/>
            </w:pPr>
          </w:p>
        </w:tc>
      </w:tr>
      <w:tr w:rsidR="002A21AE" w14:paraId="58B4A160" w14:textId="77777777">
        <w:tc>
          <w:tcPr>
            <w:tcW w:w="3240" w:type="dxa"/>
          </w:tcPr>
          <w:p w14:paraId="624E8A3D" w14:textId="77777777" w:rsidR="002A21AE" w:rsidRDefault="002A21AE">
            <w:pPr>
              <w:pStyle w:val="TableTextNumbers"/>
            </w:pPr>
            <w:r>
              <w:t xml:space="preserve">Click </w:t>
            </w:r>
            <w:r>
              <w:rPr>
                <w:b/>
              </w:rPr>
              <w:t>Yes</w:t>
            </w:r>
            <w:r>
              <w:t xml:space="preserve"> to add units to the invoice or click </w:t>
            </w:r>
            <w:r>
              <w:rPr>
                <w:b/>
              </w:rPr>
              <w:t>No</w:t>
            </w:r>
            <w:r>
              <w:t xml:space="preserve"> to select another invoice.</w:t>
            </w:r>
          </w:p>
        </w:tc>
        <w:tc>
          <w:tcPr>
            <w:tcW w:w="6120" w:type="dxa"/>
          </w:tcPr>
          <w:p w14:paraId="7A1A2970" w14:textId="77777777" w:rsidR="002A21AE" w:rsidRDefault="002A21AE">
            <w:pPr>
              <w:pStyle w:val="TableTextBullet"/>
            </w:pPr>
            <w:r>
              <w:t>When a user selects an existing invoice, displays the shipment information and blood unit details associated with the invoice.</w:t>
            </w:r>
          </w:p>
        </w:tc>
      </w:tr>
      <w:tr w:rsidR="002A21AE" w14:paraId="14D1B863" w14:textId="77777777">
        <w:tc>
          <w:tcPr>
            <w:tcW w:w="3240" w:type="dxa"/>
          </w:tcPr>
          <w:p w14:paraId="249FCB19" w14:textId="77777777" w:rsidR="00F5287E" w:rsidRDefault="00F5287E">
            <w:pPr>
              <w:pStyle w:val="TableTextNumbers"/>
            </w:pPr>
            <w:r>
              <w:t>Select a unit to add.</w:t>
            </w:r>
          </w:p>
          <w:p w14:paraId="213F5527" w14:textId="77777777" w:rsidR="002A21AE" w:rsidRDefault="002A21AE" w:rsidP="00F5287E">
            <w:pPr>
              <w:pStyle w:val="TableTextNumbers"/>
              <w:numPr>
                <w:ilvl w:val="0"/>
                <w:numId w:val="0"/>
              </w:numPr>
              <w:ind w:left="288"/>
            </w:pPr>
            <w:r>
              <w:t>For an ISBT 128-labeled unit, scan</w:t>
            </w:r>
            <w:r w:rsidR="00A83A22">
              <w:t xml:space="preserve"> the label,</w:t>
            </w:r>
            <w:r>
              <w:t xml:space="preserve"> or enter the unit ID</w:t>
            </w:r>
            <w:r w:rsidR="00A83A22">
              <w:t xml:space="preserve"> and check character (in that order)</w:t>
            </w:r>
            <w:r>
              <w:t>.</w:t>
            </w:r>
          </w:p>
        </w:tc>
        <w:tc>
          <w:tcPr>
            <w:tcW w:w="6120" w:type="dxa"/>
          </w:tcPr>
          <w:p w14:paraId="15B26F32" w14:textId="77777777" w:rsidR="002A21AE" w:rsidRDefault="002A21AE">
            <w:pPr>
              <w:pStyle w:val="TableTextBullet"/>
            </w:pPr>
            <w:r>
              <w:t xml:space="preserve">Disables the FDA </w:t>
            </w:r>
            <w:r w:rsidR="00B85812">
              <w:t>Registration Number</w:t>
            </w:r>
            <w:r>
              <w:t xml:space="preserve"> field.</w:t>
            </w:r>
          </w:p>
          <w:p w14:paraId="79608337" w14:textId="77777777" w:rsidR="002A21AE" w:rsidRDefault="002A21AE">
            <w:pPr>
              <w:pStyle w:val="TableTextBullet"/>
            </w:pPr>
            <w:r>
              <w:t>Displays information corresponding to the unit ID barcode scanned. When a user enters an ISBT 128-labeled unit ID, VBECS prompts the user to enter the check character from the blood bag.</w:t>
            </w:r>
          </w:p>
          <w:p w14:paraId="0696BBB6" w14:textId="77777777" w:rsidR="002A21AE" w:rsidRDefault="002A21AE">
            <w:pPr>
              <w:pStyle w:val="TableTextBullet1"/>
            </w:pPr>
            <w:r>
              <w:rPr>
                <w:vanish/>
              </w:rPr>
              <w:t xml:space="preserve">BR_1.08 </w:t>
            </w:r>
            <w:r>
              <w:t xml:space="preserve">When a user scans ISBT 128 labels units and the cursor is in an inappropriate field, VBECS </w:t>
            </w:r>
            <w:r>
              <w:rPr>
                <w:noProof/>
              </w:rPr>
              <w:t xml:space="preserve">warns that the </w:t>
            </w:r>
            <w:r w:rsidR="00346B6E">
              <w:rPr>
                <w:noProof/>
              </w:rPr>
              <w:t>incorrect</w:t>
            </w:r>
            <w:r>
              <w:t xml:space="preserve"> barcode was scanned.</w:t>
            </w:r>
          </w:p>
          <w:p w14:paraId="5FABE9CA" w14:textId="77777777" w:rsidR="002A21AE" w:rsidRDefault="002A21AE">
            <w:pPr>
              <w:pStyle w:val="TableText"/>
            </w:pPr>
          </w:p>
          <w:p w14:paraId="6134DED2" w14:textId="77777777" w:rsidR="002A21AE" w:rsidRDefault="00057948">
            <w:pPr>
              <w:pStyle w:val="TableText"/>
              <w:rPr>
                <w:b/>
                <w:bCs/>
                <w:szCs w:val="18"/>
              </w:rPr>
            </w:pPr>
            <w:r>
              <w:rPr>
                <w:b/>
                <w:bCs/>
                <w:noProof/>
              </w:rPr>
              <mc:AlternateContent>
                <mc:Choice Requires="wps">
                  <w:drawing>
                    <wp:anchor distT="0" distB="0" distL="114300" distR="114300" simplePos="0" relativeHeight="251599872" behindDoc="0" locked="0" layoutInCell="1" allowOverlap="1" wp14:anchorId="1304DA55" wp14:editId="1F1B204E">
                      <wp:simplePos x="0" y="0"/>
                      <wp:positionH relativeFrom="column">
                        <wp:posOffset>457200</wp:posOffset>
                      </wp:positionH>
                      <wp:positionV relativeFrom="paragraph">
                        <wp:posOffset>65405</wp:posOffset>
                      </wp:positionV>
                      <wp:extent cx="3200400" cy="0"/>
                      <wp:effectExtent l="9525" t="17780" r="9525" b="10795"/>
                      <wp:wrapNone/>
                      <wp:docPr id="517" name="Line 517" descr="P3348C14T3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4B1C7" id="Line 517" o:spid="_x0000_s1026" alt="&quot;&quot;"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CW/1uawgEAAG4DAAAOAAAAAAAAAAAAAAAAAC4C&#10;AABkcnMvZTJvRG9jLnhtbFBLAQItABQABgAIAAAAIQAXTzAS2wAAAAgBAAAPAAAAAAAAAAAAAAAA&#10;ABwEAABkcnMvZG93bnJldi54bWxQSwUGAAAAAAQABADzAAAAJAUAAAAA&#10;" strokeweight="1.5pt"/>
                  </w:pict>
                </mc:Fallback>
              </mc:AlternateContent>
            </w:r>
            <w:r w:rsidR="002A21AE">
              <w:rPr>
                <w:b/>
                <w:bCs/>
                <w:szCs w:val="18"/>
              </w:rPr>
              <w:t>NOTES</w:t>
            </w:r>
          </w:p>
          <w:p w14:paraId="44550278" w14:textId="77777777" w:rsidR="002A21AE" w:rsidRDefault="002A21AE">
            <w:pPr>
              <w:pStyle w:val="NotesText"/>
            </w:pPr>
          </w:p>
          <w:p w14:paraId="0C4C89D1" w14:textId="77777777" w:rsidR="002A21AE" w:rsidRDefault="002A21AE">
            <w:pPr>
              <w:pStyle w:val="NotesText"/>
              <w:ind w:left="0"/>
            </w:pPr>
            <w:r>
              <w:t>For ISBT 128-labeled units:</w:t>
            </w:r>
          </w:p>
          <w:p w14:paraId="6F4FD0B1" w14:textId="77777777" w:rsidR="002A21AE" w:rsidRDefault="002A21AE">
            <w:pPr>
              <w:pStyle w:val="NotesText"/>
            </w:pPr>
            <w:r w:rsidRPr="00DC786E">
              <w:rPr>
                <w:rFonts w:cs="Arial"/>
                <w:vanish/>
                <w:szCs w:val="18"/>
              </w:rPr>
              <w:t>BR_1.19</w:t>
            </w:r>
            <w:r w:rsidRPr="009660C3">
              <w:rPr>
                <w:vanish/>
                <w:szCs w:val="18"/>
              </w:rPr>
              <w:t xml:space="preserve"> </w:t>
            </w:r>
            <w:r>
              <w:t>When the user-entered check character from the label does not match the VBECS-generated check character, VBECS warns the user.</w:t>
            </w:r>
          </w:p>
          <w:p w14:paraId="64061839" w14:textId="77777777" w:rsidR="002A21AE" w:rsidRDefault="002A21AE">
            <w:pPr>
              <w:pStyle w:val="NotesText"/>
            </w:pPr>
          </w:p>
          <w:p w14:paraId="58DC41B6" w14:textId="77777777" w:rsidR="002A21AE" w:rsidRDefault="002A21AE">
            <w:pPr>
              <w:pStyle w:val="NotesText"/>
            </w:pPr>
            <w:r w:rsidRPr="00781DAE">
              <w:rPr>
                <w:rFonts w:cs="Arial"/>
                <w:vanish/>
                <w:szCs w:val="18"/>
              </w:rPr>
              <w:t>BR_1.64</w:t>
            </w:r>
            <w:r w:rsidRPr="009660C3">
              <w:rPr>
                <w:vanish/>
                <w:szCs w:val="18"/>
              </w:rPr>
              <w:t xml:space="preserve"> </w:t>
            </w:r>
            <w:r>
              <w:t xml:space="preserve">When VBECS does not find a matching entry for the ICCBBA </w:t>
            </w:r>
            <w:r w:rsidR="00B85812">
              <w:t>Registration Number</w:t>
            </w:r>
            <w:r>
              <w:t xml:space="preserve"> on the local supplier table, the user must activate or add a local supplier before continuing.</w:t>
            </w:r>
          </w:p>
        </w:tc>
      </w:tr>
      <w:tr w:rsidR="002A21AE" w14:paraId="3E57AECE" w14:textId="77777777">
        <w:tc>
          <w:tcPr>
            <w:tcW w:w="3240" w:type="dxa"/>
          </w:tcPr>
          <w:p w14:paraId="4C9B7C90" w14:textId="77777777" w:rsidR="002A21AE" w:rsidRDefault="002A21AE">
            <w:pPr>
              <w:pStyle w:val="TableTextNumbers"/>
            </w:pPr>
            <w:r>
              <w:t xml:space="preserve">Scan the product code barcode or enter the product code. </w:t>
            </w:r>
          </w:p>
        </w:tc>
        <w:tc>
          <w:tcPr>
            <w:tcW w:w="6120" w:type="dxa"/>
          </w:tcPr>
          <w:p w14:paraId="04068EE9" w14:textId="77777777" w:rsidR="004641E8" w:rsidRPr="004641E8" w:rsidRDefault="004641E8">
            <w:pPr>
              <w:pStyle w:val="TableTextBullet"/>
              <w:rPr>
                <w:color w:val="000000"/>
              </w:rPr>
            </w:pPr>
            <w:r>
              <w:t xml:space="preserve">When a user scans a product code </w:t>
            </w:r>
            <w:r w:rsidR="006D09BD">
              <w:t>barcode that is not activ</w:t>
            </w:r>
            <w:r>
              <w:t>ated in the user’s division, prompts the user to activate the code.</w:t>
            </w:r>
            <w:r w:rsidR="006D09BD">
              <w:t xml:space="preserve"> (See Blood Products.)</w:t>
            </w:r>
          </w:p>
          <w:p w14:paraId="0AA53805" w14:textId="77777777" w:rsidR="002A21AE" w:rsidRDefault="002A21AE">
            <w:pPr>
              <w:pStyle w:val="TableTextBullet"/>
              <w:rPr>
                <w:color w:val="000000"/>
              </w:rPr>
            </w:pPr>
            <w:r>
              <w:t xml:space="preserve">Displays the corresponding product code, product name, and (for </w:t>
            </w:r>
            <w:r w:rsidR="00073282">
              <w:t>ISBT) donation type (see Step 10</w:t>
            </w:r>
            <w:r>
              <w:t>).</w:t>
            </w:r>
          </w:p>
          <w:p w14:paraId="7F62D434" w14:textId="77777777" w:rsidR="002A21AE" w:rsidRDefault="002A21AE">
            <w:pPr>
              <w:pStyle w:val="TableTextBullet"/>
            </w:pPr>
            <w:r>
              <w:rPr>
                <w:color w:val="000000"/>
              </w:rPr>
              <w:t>When a unit ID of the same product type and code exists in a division, t</w:t>
            </w:r>
            <w:r>
              <w:t>he expiration date is in the future, and there is no record of inactivation or transfer of that unit ID and product code in the division’s record:</w:t>
            </w:r>
          </w:p>
          <w:p w14:paraId="0D73DE88" w14:textId="77777777" w:rsidR="002A21AE" w:rsidRDefault="002A21AE">
            <w:pPr>
              <w:pStyle w:val="TableTextBullet1"/>
            </w:pPr>
            <w:r>
              <w:t>Warns that the blood unit already exists in the division.</w:t>
            </w:r>
          </w:p>
          <w:p w14:paraId="312CC2D3" w14:textId="77777777" w:rsidR="002A21AE" w:rsidRDefault="002A21AE">
            <w:pPr>
              <w:pStyle w:val="TableTextBullet1"/>
            </w:pPr>
            <w:r>
              <w:lastRenderedPageBreak/>
              <w:t>Clears the data entry fields. The user may enter a different unit ID and product code.</w:t>
            </w:r>
          </w:p>
          <w:p w14:paraId="1D3AF411" w14:textId="77777777" w:rsidR="002A21AE" w:rsidRDefault="002A21AE">
            <w:pPr>
              <w:pStyle w:val="TableTextBullet"/>
            </w:pPr>
            <w:r>
              <w:rPr>
                <w:color w:val="000000"/>
              </w:rPr>
              <w:t>When a unit ID of the same product type and code exists in a division and t</w:t>
            </w:r>
            <w:r>
              <w:t xml:space="preserve">he unit in the division has an expiration date in the past, </w:t>
            </w:r>
            <w:r>
              <w:rPr>
                <w:noProof/>
              </w:rPr>
              <w:t>warns that t</w:t>
            </w:r>
            <w:r>
              <w:t>he blood unit already exists in the division.</w:t>
            </w:r>
          </w:p>
          <w:p w14:paraId="79B1FABA" w14:textId="77777777" w:rsidR="002A21AE" w:rsidRDefault="002A21AE">
            <w:pPr>
              <w:pStyle w:val="TableTextBullet"/>
            </w:pPr>
            <w:r>
              <w:rPr>
                <w:color w:val="000000"/>
              </w:rPr>
              <w:t>When a unit ID of the same product type and code exists in a division, t</w:t>
            </w:r>
            <w:r>
              <w:t>he unit status is “Transferred,” and the ABO/Rh and unit expiration date are identical to the existing unit of record:</w:t>
            </w:r>
          </w:p>
          <w:p w14:paraId="3BECA782" w14:textId="77777777" w:rsidR="002A21AE" w:rsidRDefault="002A21AE">
            <w:pPr>
              <w:pStyle w:val="TableTextBullet1"/>
            </w:pPr>
            <w:r>
              <w:t>Makes the existing unit record available.</w:t>
            </w:r>
          </w:p>
          <w:p w14:paraId="00E2FC79" w14:textId="77777777" w:rsidR="002A21AE" w:rsidRDefault="002A21AE">
            <w:pPr>
              <w:pStyle w:val="TableTextBullet1"/>
            </w:pPr>
            <w:r>
              <w:t xml:space="preserve">Warns that the user is attempting to reenter a unit in inventory. </w:t>
            </w:r>
            <w:r>
              <w:rPr>
                <w:b/>
              </w:rPr>
              <w:t>No</w:t>
            </w:r>
            <w:r>
              <w:t xml:space="preserve"> clears the unit. </w:t>
            </w:r>
            <w:r>
              <w:rPr>
                <w:b/>
              </w:rPr>
              <w:t>Yes</w:t>
            </w:r>
            <w:r>
              <w:t xml:space="preserve"> and saves the unit.</w:t>
            </w:r>
          </w:p>
          <w:p w14:paraId="1EFC640F" w14:textId="77777777" w:rsidR="002A21AE" w:rsidRDefault="002A21AE">
            <w:pPr>
              <w:pStyle w:val="TableTextBullet1"/>
            </w:pPr>
            <w:r>
              <w:t>Updates the unit status to “Limited” or “Available</w:t>
            </w:r>
            <w:r w:rsidR="00BA7846">
              <w:t>.</w:t>
            </w:r>
            <w:r>
              <w:t xml:space="preserve">” </w:t>
            </w:r>
          </w:p>
          <w:p w14:paraId="53974C78" w14:textId="77777777" w:rsidR="002A21AE" w:rsidRDefault="002A21AE">
            <w:pPr>
              <w:pStyle w:val="TableTextBullet1"/>
            </w:pPr>
            <w:r>
              <w:t>Updates the unit record to reflect the reentry of the unit in the division’s inventory. The user may add new information about this unit through Edit Unit Information.</w:t>
            </w:r>
          </w:p>
          <w:p w14:paraId="6E5D85B3" w14:textId="77777777" w:rsidR="004B4CE8" w:rsidRDefault="004B4CE8" w:rsidP="004B4CE8">
            <w:pPr>
              <w:pStyle w:val="TableTextBullet"/>
            </w:pPr>
            <w:r>
              <w:t>System determines barcode type(s) scanned based on hidden identifiers. System interprets and displays product name and donation type, as appropriate.</w:t>
            </w:r>
          </w:p>
          <w:p w14:paraId="14DF0DFB" w14:textId="77777777" w:rsidR="004B4CE8" w:rsidRDefault="004B4CE8" w:rsidP="004B4CE8">
            <w:pPr>
              <w:pStyle w:val="TableTextBullet"/>
            </w:pPr>
            <w:r>
              <w:t>System determines if the facility it full service or transfusion only.</w:t>
            </w:r>
          </w:p>
          <w:p w14:paraId="4C2803AA" w14:textId="77777777" w:rsidR="004B4CE8" w:rsidRDefault="004B4CE8" w:rsidP="004B4CE8">
            <w:pPr>
              <w:pStyle w:val="TableTextBullet"/>
            </w:pPr>
            <w:r>
              <w:t>System assigns the donation type to the unit or requires user input, as appropriate.</w:t>
            </w:r>
          </w:p>
          <w:p w14:paraId="3621746A" w14:textId="77777777" w:rsidR="002A21AE" w:rsidRDefault="002A21AE">
            <w:pPr>
              <w:pStyle w:val="TableText"/>
            </w:pPr>
          </w:p>
          <w:p w14:paraId="3C7BD050" w14:textId="77777777" w:rsidR="002A21AE" w:rsidRDefault="00057948">
            <w:pPr>
              <w:pStyle w:val="TableText"/>
              <w:rPr>
                <w:b/>
                <w:bCs/>
                <w:szCs w:val="18"/>
              </w:rPr>
            </w:pPr>
            <w:r>
              <w:rPr>
                <w:b/>
                <w:bCs/>
                <w:noProof/>
              </w:rPr>
              <mc:AlternateContent>
                <mc:Choice Requires="wps">
                  <w:drawing>
                    <wp:anchor distT="0" distB="0" distL="114300" distR="114300" simplePos="0" relativeHeight="251592704" behindDoc="0" locked="0" layoutInCell="1" allowOverlap="1" wp14:anchorId="665150DB" wp14:editId="6EB303BC">
                      <wp:simplePos x="0" y="0"/>
                      <wp:positionH relativeFrom="column">
                        <wp:posOffset>457200</wp:posOffset>
                      </wp:positionH>
                      <wp:positionV relativeFrom="paragraph">
                        <wp:posOffset>65405</wp:posOffset>
                      </wp:positionV>
                      <wp:extent cx="3200400" cy="0"/>
                      <wp:effectExtent l="9525" t="17780" r="9525" b="10795"/>
                      <wp:wrapNone/>
                      <wp:docPr id="516" name="Line 480" descr="P3371C16T3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33F67" id="Line 480" o:spid="_x0000_s1026" alt="&quot;&quot;"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Oc1dMTEAQAAbgMAAA4AAAAAAAAAAAAAAAAA&#10;LgIAAGRycy9lMm9Eb2MueG1sUEsBAi0AFAAGAAgAAAAhABdPMBLbAAAACAEAAA8AAAAAAAAAAAAA&#10;AAAAHgQAAGRycy9kb3ducmV2LnhtbFBLBQYAAAAABAAEAPMAAAAmBQAAAAA=&#10;" strokeweight="1.5pt"/>
                  </w:pict>
                </mc:Fallback>
              </mc:AlternateContent>
            </w:r>
            <w:r w:rsidR="002A21AE">
              <w:rPr>
                <w:b/>
                <w:bCs/>
                <w:szCs w:val="18"/>
              </w:rPr>
              <w:t>NOTES</w:t>
            </w:r>
          </w:p>
          <w:p w14:paraId="74F363AD" w14:textId="77777777" w:rsidR="002A21AE" w:rsidRDefault="002A21AE">
            <w:pPr>
              <w:pStyle w:val="NotesText"/>
              <w:ind w:left="0"/>
            </w:pPr>
            <w:r>
              <w:br/>
              <w:t>Scanned Product Codes</w:t>
            </w:r>
          </w:p>
          <w:p w14:paraId="3843E327" w14:textId="77777777" w:rsidR="002A21AE" w:rsidRPr="00DE7667" w:rsidRDefault="002A21AE" w:rsidP="00DE7667">
            <w:pPr>
              <w:pStyle w:val="NotesText"/>
            </w:pPr>
            <w:r w:rsidRPr="00781DAE">
              <w:rPr>
                <w:rFonts w:cs="Arial"/>
                <w:vanish/>
              </w:rPr>
              <w:t>BR_1.42</w:t>
            </w:r>
            <w:r w:rsidRPr="009660C3">
              <w:rPr>
                <w:vanish/>
                <w:szCs w:val="18"/>
              </w:rPr>
              <w:t xml:space="preserve"> </w:t>
            </w:r>
            <w:r>
              <w:t>When a unit is transferred between facilities in a consolidated database or is reentered after transfer to an unrelated facility, VBECS records all unit activity.</w:t>
            </w:r>
          </w:p>
          <w:p w14:paraId="1F6E1A06" w14:textId="77777777" w:rsidR="002A21AE" w:rsidRDefault="002A21AE">
            <w:pPr>
              <w:pStyle w:val="NotesText"/>
            </w:pPr>
          </w:p>
          <w:p w14:paraId="5DE91D43" w14:textId="77777777" w:rsidR="002A21AE" w:rsidRDefault="002A21AE">
            <w:pPr>
              <w:pStyle w:val="NotesText"/>
            </w:pPr>
            <w:r>
              <w:rPr>
                <w:b/>
                <w:bCs/>
              </w:rPr>
              <w:t>OK</w:t>
            </w:r>
            <w:r>
              <w:t xml:space="preserve"> returns the user to a blank screen to enter a different product. The user may enter a different product code.</w:t>
            </w:r>
          </w:p>
          <w:p w14:paraId="53147F50" w14:textId="77777777" w:rsidR="00185119" w:rsidRDefault="00185119">
            <w:pPr>
              <w:pStyle w:val="NotesText"/>
            </w:pPr>
          </w:p>
          <w:p w14:paraId="5464F016" w14:textId="4EC48D86" w:rsidR="00185119" w:rsidRDefault="00185119" w:rsidP="00185119">
            <w:pPr>
              <w:pStyle w:val="NotesText"/>
            </w:pPr>
            <w:r>
              <w:t xml:space="preserve">VBECS requires the full 8-digit ISBT 128 product code. The user should enter the 8-digit ISBT 128 product code as it appears on the blood unit label of the actual blood unit being entered into VBECS. When a user does not enter the sixth through eighth characters, VBECS automatically completes the required information with defaults, V and 00, respectively. This may be changed by clearing the unit information and entering the complete 8-digit ISBT </w:t>
            </w:r>
            <w:r w:rsidR="002E5AC8">
              <w:t>128-unit</w:t>
            </w:r>
            <w:r>
              <w:t xml:space="preserve"> product code.</w:t>
            </w:r>
            <w:r>
              <w:rPr>
                <w:vanish/>
              </w:rPr>
              <w:t xml:space="preserve"> </w:t>
            </w:r>
            <w:r w:rsidRPr="00185119">
              <w:rPr>
                <w:vanish/>
              </w:rPr>
              <w:t>DR 4484</w:t>
            </w:r>
          </w:p>
          <w:p w14:paraId="3F5B5588" w14:textId="77777777" w:rsidR="002A21AE" w:rsidRDefault="002A21AE">
            <w:pPr>
              <w:pStyle w:val="NotesText"/>
            </w:pPr>
          </w:p>
          <w:p w14:paraId="2DED1E92" w14:textId="77777777" w:rsidR="002A21AE" w:rsidRDefault="002A21AE">
            <w:pPr>
              <w:pStyle w:val="NotesText"/>
            </w:pPr>
            <w:r>
              <w:rPr>
                <w:rFonts w:cs="Arial"/>
                <w:vanish/>
              </w:rPr>
              <w:t xml:space="preserve">BR_1.50 </w:t>
            </w:r>
            <w:r>
              <w:t>VBECS assigns a volume to the unit based on the average volum</w:t>
            </w:r>
            <w:r w:rsidR="00BC1CDD">
              <w:t>e field from the Blood Product T</w:t>
            </w:r>
            <w:r>
              <w:t>able entry corresponding to the unit’s blood product code</w:t>
            </w:r>
            <w:r w:rsidR="00A71C30">
              <w:t xml:space="preserve"> of the unit</w:t>
            </w:r>
            <w:r>
              <w:t>.</w:t>
            </w:r>
          </w:p>
          <w:p w14:paraId="7CBA8A8C" w14:textId="77777777" w:rsidR="002A21AE" w:rsidRDefault="002A21AE">
            <w:pPr>
              <w:pStyle w:val="NotesText"/>
            </w:pPr>
          </w:p>
          <w:p w14:paraId="1B620FF4" w14:textId="77777777" w:rsidR="002A21AE" w:rsidRDefault="002A21AE" w:rsidP="003947ED">
            <w:pPr>
              <w:pStyle w:val="NotesText"/>
              <w:rPr>
                <w:rFonts w:cs="Arial"/>
                <w:szCs w:val="18"/>
              </w:rPr>
            </w:pPr>
            <w:r>
              <w:rPr>
                <w:rFonts w:cs="Arial"/>
                <w:vanish/>
              </w:rPr>
              <w:t xml:space="preserve">BR_1.02 </w:t>
            </w:r>
            <w:r>
              <w:t>For each product type in a shipment, site parameters must indicate that the product is marked as active for the division and that a cost is associated with the shipper. If not, VBECS prompts the user to</w:t>
            </w:r>
            <w:r w:rsidR="003947ED">
              <w:t xml:space="preserve"> mark the component as active.</w:t>
            </w:r>
            <w:r w:rsidR="00AA6C54">
              <w:t xml:space="preserve"> </w:t>
            </w:r>
            <w:r w:rsidR="00D53BD0" w:rsidRPr="0030088C">
              <w:rPr>
                <w:rFonts w:cs="Arial"/>
                <w:szCs w:val="18"/>
              </w:rPr>
              <w:t>Blood product data entry cannot continue until the product is marked as active and a base unit cost is associated with the shipper.</w:t>
            </w:r>
          </w:p>
          <w:p w14:paraId="1C0AB71E" w14:textId="77777777" w:rsidR="00F4373C" w:rsidRDefault="00F4373C" w:rsidP="003947ED">
            <w:pPr>
              <w:pStyle w:val="NotesText"/>
            </w:pPr>
          </w:p>
          <w:p w14:paraId="621FCB92" w14:textId="77777777" w:rsidR="00F4373C" w:rsidRDefault="00F4373C" w:rsidP="003947ED">
            <w:pPr>
              <w:pStyle w:val="NotesText"/>
            </w:pPr>
            <w:r w:rsidRPr="00F4373C">
              <w:rPr>
                <w:rFonts w:cs="Arial"/>
                <w:vanish/>
                <w:szCs w:val="18"/>
              </w:rPr>
              <w:t xml:space="preserve">BR_1.76 </w:t>
            </w:r>
            <w:r w:rsidRPr="00A80735">
              <w:rPr>
                <w:rFonts w:cs="Arial"/>
                <w:szCs w:val="18"/>
              </w:rPr>
              <w:t>When the Product Code’s first character</w:t>
            </w:r>
            <w:r>
              <w:rPr>
                <w:rFonts w:cs="Arial"/>
                <w:szCs w:val="18"/>
              </w:rPr>
              <w:t>s are</w:t>
            </w:r>
            <w:r w:rsidR="00813AE2">
              <w:rPr>
                <w:rFonts w:cs="Arial"/>
                <w:szCs w:val="18"/>
              </w:rPr>
              <w:t xml:space="preserve"> E </w:t>
            </w:r>
            <w:r w:rsidR="00BC797F">
              <w:rPr>
                <w:rFonts w:cs="Arial"/>
                <w:szCs w:val="18"/>
              </w:rPr>
              <w:t>or X</w:t>
            </w:r>
            <w:r w:rsidRPr="00A80735">
              <w:rPr>
                <w:rFonts w:cs="Arial"/>
                <w:szCs w:val="18"/>
              </w:rPr>
              <w:t>, the 7th character is alphanumeric {A–Z; 0–9}, and that the 8th character is alphanumeric {a–z; 0–9}.</w:t>
            </w:r>
          </w:p>
          <w:p w14:paraId="78D1796D" w14:textId="77777777" w:rsidR="008E48F6" w:rsidRDefault="008E48F6" w:rsidP="008E48F6">
            <w:pPr>
              <w:pStyle w:val="NotesText"/>
            </w:pPr>
          </w:p>
          <w:p w14:paraId="172C3F30" w14:textId="77777777" w:rsidR="008E48F6" w:rsidRDefault="008E48F6" w:rsidP="008E48F6">
            <w:pPr>
              <w:pStyle w:val="NotesText"/>
              <w:ind w:left="0"/>
            </w:pPr>
            <w:r>
              <w:t>For ISBT 128-labeled units:</w:t>
            </w:r>
          </w:p>
          <w:p w14:paraId="1780E031" w14:textId="77777777" w:rsidR="008E48F6" w:rsidRDefault="008E48F6" w:rsidP="008E48F6">
            <w:pPr>
              <w:pStyle w:val="NotesText"/>
            </w:pPr>
            <w:r>
              <w:rPr>
                <w:rFonts w:cs="Arial"/>
                <w:vanish/>
              </w:rPr>
              <w:t xml:space="preserve">BR_1.14 </w:t>
            </w:r>
            <w:r>
              <w:t>VBECS stores scanned ISBT 128 product codes and displays them as eight characters:</w:t>
            </w:r>
          </w:p>
          <w:p w14:paraId="462583C7" w14:textId="77777777" w:rsidR="008E48F6" w:rsidRDefault="008E48F6" w:rsidP="008E48F6">
            <w:pPr>
              <w:pStyle w:val="NotesTextBullet"/>
            </w:pPr>
            <w:r>
              <w:t>Characters 1–5 are used to search the ISBT Blood Product Table to identify the product type.</w:t>
            </w:r>
          </w:p>
          <w:p w14:paraId="283D4A2D" w14:textId="77777777" w:rsidR="008E48F6" w:rsidRDefault="008E48F6" w:rsidP="008E48F6">
            <w:pPr>
              <w:pStyle w:val="NotesTextBullet"/>
            </w:pPr>
            <w:r>
              <w:t>Character 6 indicates donation type.</w:t>
            </w:r>
          </w:p>
          <w:p w14:paraId="525374DE" w14:textId="77777777" w:rsidR="008E48F6" w:rsidRDefault="008E48F6" w:rsidP="008E48F6">
            <w:pPr>
              <w:pStyle w:val="NotesTextBullet"/>
            </w:pPr>
            <w:r>
              <w:t>Character 7 indicates a division at the time of collection.</w:t>
            </w:r>
          </w:p>
          <w:p w14:paraId="66B73E4A" w14:textId="77777777" w:rsidR="008E48F6" w:rsidRDefault="008E48F6" w:rsidP="008E48F6">
            <w:pPr>
              <w:pStyle w:val="NotesTextBullet"/>
            </w:pPr>
            <w:r>
              <w:t xml:space="preserve">Character 8 indicates an additional aliquot. </w:t>
            </w:r>
          </w:p>
          <w:p w14:paraId="1EDD8E54" w14:textId="77777777" w:rsidR="00FF1194" w:rsidRDefault="00FF1194" w:rsidP="00FF1194">
            <w:pPr>
              <w:pStyle w:val="NotesTextBullet"/>
              <w:numPr>
                <w:ilvl w:val="0"/>
                <w:numId w:val="0"/>
              </w:numPr>
              <w:ind w:left="1008" w:hanging="288"/>
            </w:pPr>
          </w:p>
          <w:p w14:paraId="34A9E024" w14:textId="77777777" w:rsidR="00FF1194" w:rsidRDefault="00FF1194" w:rsidP="0086447D">
            <w:pPr>
              <w:pStyle w:val="NotesText"/>
            </w:pPr>
            <w:r w:rsidRPr="0086447D">
              <w:rPr>
                <w:vanish/>
              </w:rPr>
              <w:t xml:space="preserve">BR_1.75 </w:t>
            </w:r>
            <w:r w:rsidRPr="00FF1194">
              <w:t>When the user does not enter a donation type and unit division codes when manually entering a unit, the donation type is defaulted to "V" and defaults to "00" for the division characters. These are not editable after the unit is saved to the invoice.</w:t>
            </w:r>
          </w:p>
          <w:p w14:paraId="7408A4AF" w14:textId="77777777" w:rsidR="0086447D" w:rsidRDefault="0086447D" w:rsidP="0086447D">
            <w:pPr>
              <w:pStyle w:val="NotesText"/>
            </w:pPr>
          </w:p>
          <w:p w14:paraId="0AA2C517" w14:textId="77777777" w:rsidR="0086447D" w:rsidRDefault="0086447D" w:rsidP="0086447D">
            <w:pPr>
              <w:pStyle w:val="NotesText"/>
            </w:pPr>
            <w:r w:rsidRPr="0086447D">
              <w:rPr>
                <w:vanish/>
              </w:rPr>
              <w:t xml:space="preserve">BR_1.70 </w:t>
            </w:r>
            <w:r w:rsidRPr="0086447D">
              <w:t>Allow the entry of individual products associated with the active product categories.</w:t>
            </w:r>
          </w:p>
          <w:p w14:paraId="216FAC0B" w14:textId="77777777" w:rsidR="00813AE2" w:rsidRDefault="00813AE2" w:rsidP="0086447D">
            <w:pPr>
              <w:pStyle w:val="NotesText"/>
            </w:pPr>
          </w:p>
          <w:p w14:paraId="5427EDAC" w14:textId="77777777" w:rsidR="00813AE2" w:rsidRDefault="00813AE2" w:rsidP="0086447D">
            <w:pPr>
              <w:pStyle w:val="NotesText"/>
            </w:pPr>
            <w:r>
              <w:t>When a blood product code in the RED BLOOD CELLS or WHOLE BLOOD component class is entered, VBECS enables data entry of sickle cell negative and antigen typing.</w:t>
            </w:r>
          </w:p>
          <w:p w14:paraId="1AD5CADC" w14:textId="77777777" w:rsidR="006223D2" w:rsidRDefault="006223D2" w:rsidP="0086447D">
            <w:pPr>
              <w:pStyle w:val="NotesText"/>
            </w:pPr>
          </w:p>
          <w:p w14:paraId="16D41891" w14:textId="77777777" w:rsidR="006223D2" w:rsidRDefault="006223D2" w:rsidP="0086447D">
            <w:pPr>
              <w:pStyle w:val="NotesText"/>
            </w:pPr>
            <w:r>
              <w:t>The cytomegalovirus (CMV) negative data entry option is always enabled.</w:t>
            </w:r>
          </w:p>
          <w:p w14:paraId="61BF2075" w14:textId="77777777" w:rsidR="00462CAD" w:rsidRDefault="00462CAD" w:rsidP="0086447D">
            <w:pPr>
              <w:pStyle w:val="NotesText"/>
            </w:pPr>
          </w:p>
          <w:p w14:paraId="7C4D01AA" w14:textId="77777777" w:rsidR="00462CAD" w:rsidRPr="00462CAD" w:rsidRDefault="00462CAD" w:rsidP="00462CAD">
            <w:pPr>
              <w:pStyle w:val="NotesText"/>
            </w:pPr>
            <w:r w:rsidRPr="00462CAD">
              <w:rPr>
                <w:vanish/>
              </w:rPr>
              <w:t xml:space="preserve">BR_1.73 </w:t>
            </w:r>
            <w:r w:rsidR="00645BE3">
              <w:t xml:space="preserve">The system </w:t>
            </w:r>
            <w:r w:rsidRPr="00462CAD">
              <w:t>present</w:t>
            </w:r>
            <w:r w:rsidR="00645BE3">
              <w:t>s</w:t>
            </w:r>
            <w:r w:rsidRPr="00462CAD">
              <w:t xml:space="preserve"> </w:t>
            </w:r>
            <w:r w:rsidR="00645BE3">
              <w:t xml:space="preserve">an indicator for RBC </w:t>
            </w:r>
            <w:r w:rsidRPr="00462CAD">
              <w:t>contamination of equal to or greater than (</w:t>
            </w:r>
            <w:r w:rsidR="00C233B7">
              <w:t xml:space="preserve">= </w:t>
            </w:r>
            <w:r w:rsidRPr="00462CAD">
              <w:t xml:space="preserve">&gt;) 2 mL. </w:t>
            </w:r>
            <w:r w:rsidR="00645BE3">
              <w:t>RBC, WB and plasma products are set and not editable. PLATELET and OTHER products require evaluation and entry by the user.</w:t>
            </w:r>
          </w:p>
          <w:p w14:paraId="3145DCCE" w14:textId="77777777" w:rsidR="00462CAD" w:rsidRPr="00462CAD" w:rsidRDefault="00462CAD" w:rsidP="00462CAD">
            <w:pPr>
              <w:pStyle w:val="NotesText"/>
            </w:pPr>
          </w:p>
          <w:p w14:paraId="6034A306" w14:textId="77777777" w:rsidR="00462CAD" w:rsidRDefault="00462CAD" w:rsidP="00462CAD">
            <w:pPr>
              <w:pStyle w:val="NotesText"/>
            </w:pPr>
            <w:r w:rsidRPr="00462CAD">
              <w:rPr>
                <w:vanish/>
              </w:rPr>
              <w:t xml:space="preserve">BR_1.73 </w:t>
            </w:r>
            <w:r w:rsidRPr="00462CAD">
              <w:t>The</w:t>
            </w:r>
            <w:r w:rsidR="00813AE2">
              <w:t xml:space="preserve"> RBC contamination</w:t>
            </w:r>
            <w:r w:rsidRPr="00462CAD">
              <w:t xml:space="preserve"> indicator setting as saved is recorded as part of the unit record. The indicator displays with the Incoming Shipment entry on the Unit History Report</w:t>
            </w:r>
            <w:r>
              <w:t>.</w:t>
            </w:r>
          </w:p>
          <w:p w14:paraId="5E5F155D" w14:textId="77777777" w:rsidR="008B5229" w:rsidRDefault="008B5229" w:rsidP="00462CAD">
            <w:pPr>
              <w:pStyle w:val="NotesText"/>
            </w:pPr>
          </w:p>
          <w:p w14:paraId="00C3781E" w14:textId="77777777" w:rsidR="008B5229" w:rsidRDefault="008B5229" w:rsidP="00462CAD">
            <w:pPr>
              <w:pStyle w:val="NotesText"/>
              <w:rPr>
                <w:rFonts w:cs="Arial"/>
                <w:szCs w:val="18"/>
              </w:rPr>
            </w:pPr>
            <w:r w:rsidRPr="008B5229">
              <w:rPr>
                <w:rStyle w:val="StyleTableText9ptCharChar"/>
                <w:rFonts w:cs="Arial"/>
                <w:vanish/>
                <w:szCs w:val="18"/>
              </w:rPr>
              <w:t xml:space="preserve">BR_1.30 </w:t>
            </w:r>
            <w:r w:rsidRPr="0030088C">
              <w:rPr>
                <w:rStyle w:val="StyleTableText9ptCharChar"/>
                <w:rFonts w:cs="Arial"/>
                <w:szCs w:val="18"/>
              </w:rPr>
              <w:t>When the site parameter indicates that the site is</w:t>
            </w:r>
            <w:r w:rsidRPr="0030088C">
              <w:rPr>
                <w:rFonts w:cs="Arial"/>
                <w:szCs w:val="18"/>
              </w:rPr>
              <w:t xml:space="preserve"> a ‘Transfusion Only’ facility when units are added to the database, they are given a status of Available regardless of the required need for ABO/Rh confirmation testing as it is not required in this configuration.</w:t>
            </w:r>
          </w:p>
          <w:p w14:paraId="65E3B684" w14:textId="77777777" w:rsidR="008B5229" w:rsidRDefault="008B5229" w:rsidP="00462CAD">
            <w:pPr>
              <w:pStyle w:val="NotesText"/>
            </w:pPr>
          </w:p>
          <w:p w14:paraId="6BDDD8D1" w14:textId="77777777" w:rsidR="008B5229" w:rsidRPr="008B5229" w:rsidRDefault="008B5229" w:rsidP="008B5229">
            <w:pPr>
              <w:pStyle w:val="NotesText"/>
              <w:rPr>
                <w:rStyle w:val="StyleTableText9ptCharChar"/>
                <w:szCs w:val="18"/>
              </w:rPr>
            </w:pPr>
            <w:r w:rsidRPr="008B5229">
              <w:rPr>
                <w:rStyle w:val="StyleTableText9ptCharChar"/>
                <w:vanish/>
                <w:szCs w:val="18"/>
              </w:rPr>
              <w:t xml:space="preserve">BR_1.35 </w:t>
            </w:r>
            <w:r w:rsidRPr="008B5229">
              <w:rPr>
                <w:rStyle w:val="StyleTableText9ptCharChar"/>
                <w:szCs w:val="18"/>
              </w:rPr>
              <w:t>When processing units labeled using ISBT 128, all eight (8) characters are required when either:</w:t>
            </w:r>
          </w:p>
          <w:p w14:paraId="38D3C0B0" w14:textId="77777777" w:rsidR="008B5229" w:rsidRPr="0030088C" w:rsidRDefault="008B5229" w:rsidP="000409B1">
            <w:pPr>
              <w:pStyle w:val="StyleTableText9ptChar"/>
              <w:numPr>
                <w:ilvl w:val="0"/>
                <w:numId w:val="68"/>
              </w:numPr>
              <w:rPr>
                <w:rFonts w:cs="Arial"/>
              </w:rPr>
            </w:pPr>
            <w:r w:rsidRPr="0030088C">
              <w:rPr>
                <w:rFonts w:cs="Arial"/>
              </w:rPr>
              <w:t>The site parameter indicates the site is a ‘transfusion only’ facility</w:t>
            </w:r>
          </w:p>
          <w:p w14:paraId="2E93F608" w14:textId="77777777" w:rsidR="008B5229" w:rsidRDefault="008B5229" w:rsidP="000409B1">
            <w:pPr>
              <w:pStyle w:val="StyleTableText9ptChar"/>
              <w:numPr>
                <w:ilvl w:val="0"/>
                <w:numId w:val="68"/>
              </w:numPr>
              <w:rPr>
                <w:rFonts w:cs="Arial"/>
              </w:rPr>
            </w:pPr>
            <w:r w:rsidRPr="0030088C">
              <w:rPr>
                <w:rFonts w:cs="Arial"/>
              </w:rPr>
              <w:t>The donation type re</w:t>
            </w:r>
            <w:r>
              <w:rPr>
                <w:rFonts w:cs="Arial"/>
              </w:rPr>
              <w:t>quires restriction</w:t>
            </w:r>
            <w:r w:rsidRPr="0030088C">
              <w:rPr>
                <w:rFonts w:cs="Arial"/>
              </w:rPr>
              <w:t>. The blood unit processed must be restricted with a specific patient.</w:t>
            </w:r>
          </w:p>
          <w:p w14:paraId="7D525F6D" w14:textId="77777777" w:rsidR="008B5229" w:rsidRDefault="008B5229" w:rsidP="008B5229">
            <w:pPr>
              <w:pStyle w:val="NotesText"/>
              <w:rPr>
                <w:rFonts w:cs="Arial"/>
              </w:rPr>
            </w:pPr>
          </w:p>
          <w:p w14:paraId="5C23E696" w14:textId="77777777" w:rsidR="008B5229" w:rsidRDefault="00545FFE" w:rsidP="008B5229">
            <w:pPr>
              <w:pStyle w:val="NotesText"/>
              <w:rPr>
                <w:rFonts w:cs="Arial"/>
                <w:szCs w:val="18"/>
              </w:rPr>
            </w:pPr>
            <w:r w:rsidRPr="00545FFE">
              <w:rPr>
                <w:rFonts w:cs="Arial"/>
                <w:vanish/>
                <w:szCs w:val="18"/>
              </w:rPr>
              <w:t xml:space="preserve">BR_1.21 </w:t>
            </w:r>
            <w:r w:rsidRPr="0030088C">
              <w:rPr>
                <w:rFonts w:cs="Arial"/>
                <w:szCs w:val="18"/>
              </w:rPr>
              <w:t>An ISBT 128 ABO/Rh barcode is identified by the presence of “=%” as the hidden identifier. Once the hidden identifier is removed, the ABO/Rh is a four-character code.</w:t>
            </w:r>
          </w:p>
          <w:p w14:paraId="6851EA6C" w14:textId="77777777" w:rsidR="00545FFE" w:rsidRDefault="00545FFE" w:rsidP="008B5229">
            <w:pPr>
              <w:pStyle w:val="NotesText"/>
              <w:rPr>
                <w:rFonts w:cs="Arial"/>
                <w:szCs w:val="18"/>
              </w:rPr>
            </w:pPr>
          </w:p>
          <w:p w14:paraId="299B1A96" w14:textId="77777777" w:rsidR="00545FFE" w:rsidRDefault="00545FFE" w:rsidP="008B5229">
            <w:pPr>
              <w:pStyle w:val="NotesText"/>
            </w:pPr>
          </w:p>
        </w:tc>
      </w:tr>
      <w:tr w:rsidR="002A21AE" w14:paraId="1FA2ACD1" w14:textId="77777777" w:rsidTr="007E500E">
        <w:trPr>
          <w:cantSplit/>
        </w:trPr>
        <w:tc>
          <w:tcPr>
            <w:tcW w:w="3240" w:type="dxa"/>
          </w:tcPr>
          <w:p w14:paraId="44D9E529" w14:textId="77777777" w:rsidR="002A21AE" w:rsidRDefault="00073282">
            <w:pPr>
              <w:pStyle w:val="TableTextNumbers"/>
            </w:pPr>
            <w:r>
              <w:lastRenderedPageBreak/>
              <w:t xml:space="preserve">For </w:t>
            </w:r>
            <w:r w:rsidR="002A21AE">
              <w:t xml:space="preserve">ISBT 128-labeled units, scan the ABO/Rh number barcode, enter the ABO/Rh, or select the ABO/Rh from the drop-down list. </w:t>
            </w:r>
          </w:p>
        </w:tc>
        <w:tc>
          <w:tcPr>
            <w:tcW w:w="6120" w:type="dxa"/>
          </w:tcPr>
          <w:p w14:paraId="763924F1" w14:textId="77777777" w:rsidR="002A21AE" w:rsidRDefault="002A21AE">
            <w:pPr>
              <w:pStyle w:val="TableTextBullet"/>
            </w:pPr>
            <w:r>
              <w:t>Displays the corresponding ABO/Rh.</w:t>
            </w:r>
          </w:p>
          <w:p w14:paraId="094B2398" w14:textId="77777777" w:rsidR="002A21AE" w:rsidRDefault="002A21AE">
            <w:pPr>
              <w:pStyle w:val="TableTextBullet"/>
              <w:rPr>
                <w:color w:val="000000"/>
              </w:rPr>
            </w:pPr>
            <w:r>
              <w:t>Allows the selection of only ABO/Rh types acceptable for ICCBBA component classes.</w:t>
            </w:r>
          </w:p>
          <w:p w14:paraId="22A14361" w14:textId="77777777" w:rsidR="002A21AE" w:rsidRDefault="002A21AE">
            <w:pPr>
              <w:pStyle w:val="TableTextBullet"/>
            </w:pPr>
            <w:r>
              <w:rPr>
                <w:rFonts w:cs="Arial"/>
                <w:vanish/>
              </w:rPr>
              <w:t xml:space="preserve">BR_1.66 </w:t>
            </w:r>
            <w:r>
              <w:t xml:space="preserve">Enables the ABO/Rh field when a valid product code is entered. </w:t>
            </w:r>
          </w:p>
        </w:tc>
      </w:tr>
      <w:tr w:rsidR="002A21AE" w14:paraId="1906F6F9" w14:textId="77777777">
        <w:tc>
          <w:tcPr>
            <w:tcW w:w="3240" w:type="dxa"/>
          </w:tcPr>
          <w:p w14:paraId="3ECC99D4" w14:textId="77777777" w:rsidR="002A21AE" w:rsidRDefault="002A21AE">
            <w:pPr>
              <w:pStyle w:val="TableTextNumbers"/>
            </w:pPr>
            <w:r>
              <w:t>Scan the expiration date barcode or enter the expiration date and time when an expiration time is required.</w:t>
            </w:r>
          </w:p>
        </w:tc>
        <w:tc>
          <w:tcPr>
            <w:tcW w:w="6120" w:type="dxa"/>
          </w:tcPr>
          <w:p w14:paraId="4A3633EE" w14:textId="77777777" w:rsidR="002A21AE" w:rsidRDefault="002A21AE">
            <w:pPr>
              <w:pStyle w:val="TableTextBullet"/>
            </w:pPr>
            <w:r>
              <w:t>Displays the corresponding expiration date and time.</w:t>
            </w:r>
          </w:p>
          <w:p w14:paraId="1C730A1B" w14:textId="77777777" w:rsidR="002A21AE" w:rsidRDefault="002A21AE">
            <w:pPr>
              <w:pStyle w:val="TableText"/>
              <w:ind w:left="720"/>
            </w:pPr>
          </w:p>
          <w:p w14:paraId="04575CB8" w14:textId="77777777" w:rsidR="002A21AE" w:rsidRDefault="00057948">
            <w:pPr>
              <w:pStyle w:val="TableText"/>
              <w:rPr>
                <w:b/>
                <w:bCs/>
                <w:szCs w:val="18"/>
              </w:rPr>
            </w:pPr>
            <w:r>
              <w:rPr>
                <w:b/>
                <w:bCs/>
                <w:noProof/>
              </w:rPr>
              <mc:AlternateContent>
                <mc:Choice Requires="wps">
                  <w:drawing>
                    <wp:anchor distT="0" distB="0" distL="114300" distR="114300" simplePos="0" relativeHeight="251593728" behindDoc="0" locked="0" layoutInCell="1" allowOverlap="1" wp14:anchorId="50FCDE37" wp14:editId="64A3345D">
                      <wp:simplePos x="0" y="0"/>
                      <wp:positionH relativeFrom="column">
                        <wp:posOffset>457200</wp:posOffset>
                      </wp:positionH>
                      <wp:positionV relativeFrom="paragraph">
                        <wp:posOffset>65405</wp:posOffset>
                      </wp:positionV>
                      <wp:extent cx="3200400" cy="0"/>
                      <wp:effectExtent l="9525" t="17780" r="9525" b="10795"/>
                      <wp:wrapNone/>
                      <wp:docPr id="515" name="Line 482" descr="P3422C20T3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D14739" id="Line 482" o:spid="_x0000_s1026" alt="&quot;&quot;"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5K61e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268CA715" w14:textId="77777777" w:rsidR="002A21AE" w:rsidRDefault="002A21AE">
            <w:pPr>
              <w:pStyle w:val="NotesText"/>
            </w:pPr>
          </w:p>
          <w:p w14:paraId="7CF298DB" w14:textId="77777777" w:rsidR="00FF1194" w:rsidRPr="00FF1194" w:rsidRDefault="002A21AE" w:rsidP="00FF1194">
            <w:pPr>
              <w:pStyle w:val="NotesText"/>
            </w:pPr>
            <w:r w:rsidRPr="00FF1194">
              <w:rPr>
                <w:vanish/>
              </w:rPr>
              <w:t xml:space="preserve">BR_1.23 </w:t>
            </w:r>
            <w:r w:rsidR="00FF1194" w:rsidRPr="00FF1194">
              <w:t>A scanned ISBT 128 expiration date barcode is identified by the presence of ‘"=</w:t>
            </w:r>
            <w:r w:rsidR="00452A6C">
              <w:t xml:space="preserve"> </w:t>
            </w:r>
            <w:r w:rsidR="00FF1194" w:rsidRPr="00FF1194">
              <w:t>&gt;’ or ‘&amp;&gt;’ as the hidden identifier. Once the hidden identifier is removed, there are two possible formats of the barcode, one involving the date only and another involving date and time. If no time in the barcode, the default expiration time is 23:59.</w:t>
            </w:r>
          </w:p>
          <w:p w14:paraId="01DF0DA9" w14:textId="77777777" w:rsidR="002A21AE" w:rsidRDefault="002A21AE" w:rsidP="00FF1194">
            <w:pPr>
              <w:pStyle w:val="NotesText"/>
            </w:pPr>
            <w:r>
              <w:t>.</w:t>
            </w:r>
          </w:p>
          <w:p w14:paraId="651BC8DC" w14:textId="77777777" w:rsidR="002A21AE" w:rsidRDefault="002A21AE">
            <w:pPr>
              <w:pStyle w:val="NotesText"/>
            </w:pPr>
            <w:r>
              <w:rPr>
                <w:rFonts w:cs="Arial"/>
                <w:vanish/>
              </w:rPr>
              <w:t xml:space="preserve">BR_1.31 </w:t>
            </w:r>
            <w:r>
              <w:t xml:space="preserve">VBECS compares the entered blood product’s expiration date to the maximum storage date and time limit for the </w:t>
            </w:r>
            <w:r w:rsidR="00B10B13">
              <w:t>blood product</w:t>
            </w:r>
            <w:r>
              <w:t xml:space="preserve">. The date and time of shipment receipt are used as the collection date and time. When the expiration date entered exceeds the defined maximum storage time, VBECS displays an error message and clears the field. The user may reenter an expiration date and time for the product. </w:t>
            </w:r>
          </w:p>
          <w:p w14:paraId="75F5902A" w14:textId="77777777" w:rsidR="002A21AE" w:rsidRDefault="002A21AE">
            <w:pPr>
              <w:pStyle w:val="NotesText"/>
            </w:pPr>
            <w:r>
              <w:t> </w:t>
            </w:r>
          </w:p>
          <w:p w14:paraId="68A88FD8" w14:textId="3D7C1BB2" w:rsidR="002A21AE" w:rsidRDefault="002A21AE">
            <w:pPr>
              <w:pStyle w:val="NotesText"/>
            </w:pPr>
            <w:r>
              <w:t xml:space="preserve">Products </w:t>
            </w:r>
            <w:r w:rsidR="00352C41">
              <w:t>with</w:t>
            </w:r>
            <w:r>
              <w:t xml:space="preserve"> a maximum expiration date and time of </w:t>
            </w:r>
            <w:r>
              <w:rPr>
                <w:u w:val="single"/>
              </w:rPr>
              <w:t>&lt;</w:t>
            </w:r>
            <w:r>
              <w:t xml:space="preserve">24 hours default to an expiration time </w:t>
            </w:r>
            <w:r w:rsidR="00352C41">
              <w:rPr>
                <w:u w:val="single"/>
              </w:rPr>
              <w:t>&lt;</w:t>
            </w:r>
            <w:r>
              <w:t xml:space="preserve">24 hours from the time of the </w:t>
            </w:r>
            <w:r w:rsidR="00B10B13">
              <w:t xml:space="preserve">incoming shipment. Blood products </w:t>
            </w:r>
            <w:r>
              <w:t xml:space="preserve">with a maximum expiration date and time of </w:t>
            </w:r>
            <w:r>
              <w:rPr>
                <w:u w:val="single"/>
              </w:rPr>
              <w:t>&gt;</w:t>
            </w:r>
            <w:r>
              <w:t xml:space="preserve"> 24 hours have a default expiration time of 23:59.</w:t>
            </w:r>
          </w:p>
          <w:p w14:paraId="5D3F3F3F" w14:textId="77777777" w:rsidR="00B51FD4" w:rsidRDefault="00B51FD4">
            <w:pPr>
              <w:pStyle w:val="NotesText"/>
            </w:pPr>
          </w:p>
          <w:p w14:paraId="404937CD" w14:textId="346C3AC4" w:rsidR="00B51FD4" w:rsidRDefault="004A34A4">
            <w:pPr>
              <w:pStyle w:val="NotesText"/>
            </w:pPr>
            <w:r>
              <w:t>Expiration date entries can be c</w:t>
            </w:r>
            <w:r w:rsidR="00B51FD4" w:rsidRPr="00B51FD4">
              <w:t>orrect</w:t>
            </w:r>
            <w:r>
              <w:t>ed before saving, as th</w:t>
            </w:r>
            <w:r w:rsidR="00B51FD4" w:rsidRPr="00B51FD4">
              <w:t>e</w:t>
            </w:r>
            <w:r>
              <w:t xml:space="preserve"> date</w:t>
            </w:r>
            <w:r w:rsidR="00B51FD4" w:rsidRPr="00B51FD4">
              <w:t xml:space="preserve"> is prese</w:t>
            </w:r>
            <w:r>
              <w:t xml:space="preserve">nted for review before final acceptance. </w:t>
            </w:r>
            <w:r w:rsidR="00E66ACD">
              <w:t>To correct a saved,</w:t>
            </w:r>
            <w:r>
              <w:t xml:space="preserve"> invalid Expiration Date, i</w:t>
            </w:r>
            <w:r w:rsidRPr="004A34A4">
              <w:t>nactivate and reente</w:t>
            </w:r>
            <w:r>
              <w:t>r the unit.</w:t>
            </w:r>
            <w:r w:rsidR="0002020B">
              <w:t xml:space="preserve"> </w:t>
            </w:r>
            <w:r w:rsidR="0002020B" w:rsidRPr="0002020B">
              <w:rPr>
                <w:vanish/>
              </w:rPr>
              <w:t>Defect 208537</w:t>
            </w:r>
          </w:p>
          <w:p w14:paraId="76C7DB3D" w14:textId="24D0FE24" w:rsidR="00B51FD4" w:rsidRDefault="00B51FD4">
            <w:pPr>
              <w:pStyle w:val="NotesText"/>
            </w:pPr>
            <w:r>
              <w:t xml:space="preserve"> </w:t>
            </w:r>
          </w:p>
          <w:p w14:paraId="25A34396" w14:textId="77777777" w:rsidR="002A21AE" w:rsidRDefault="002A21AE">
            <w:pPr>
              <w:pStyle w:val="NotesText"/>
            </w:pPr>
          </w:p>
          <w:p w14:paraId="03649D79" w14:textId="77777777" w:rsidR="002A21AE" w:rsidRDefault="002A21AE">
            <w:pPr>
              <w:pStyle w:val="NotesText"/>
            </w:pPr>
            <w:r>
              <w:rPr>
                <w:rFonts w:cs="Arial"/>
                <w:vanish/>
              </w:rPr>
              <w:t xml:space="preserve">BR_1.61 </w:t>
            </w:r>
            <w:r w:rsidR="009965B7" w:rsidRPr="00896F17">
              <w:rPr>
                <w:rStyle w:val="BullhornChar"/>
              </w:rPr>
              <w:t></w:t>
            </w:r>
            <w:r w:rsidR="009965B7" w:rsidRPr="00D62E87">
              <w:rPr>
                <w:rFonts w:ascii="Webdings" w:hAnsi="Webdings"/>
              </w:rPr>
              <w:t></w:t>
            </w:r>
            <w:r>
              <w:t xml:space="preserve">When a unit expiration date precedes the incoming shipment date and time, VBECS emits an audible alert, </w:t>
            </w:r>
            <w:r>
              <w:rPr>
                <w:noProof/>
              </w:rPr>
              <w:t>warns that the user</w:t>
            </w:r>
            <w:r>
              <w:t xml:space="preserve"> is attempting to enter an expired unit, and asks whether the user wishes to continue. </w:t>
            </w:r>
          </w:p>
          <w:p w14:paraId="45F9E57A" w14:textId="77777777" w:rsidR="002A21AE" w:rsidRDefault="002A21AE">
            <w:pPr>
              <w:pStyle w:val="NotesText"/>
              <w:rPr>
                <w:b/>
              </w:rPr>
            </w:pPr>
          </w:p>
          <w:p w14:paraId="1EE54DD7" w14:textId="77777777" w:rsidR="002A21AE" w:rsidRDefault="002A21AE">
            <w:pPr>
              <w:pStyle w:val="NotesText"/>
            </w:pPr>
            <w:r>
              <w:rPr>
                <w:b/>
              </w:rPr>
              <w:t>No</w:t>
            </w:r>
            <w:r>
              <w:t xml:space="preserve"> clears the unit expiration date field. The user must enter a new, acceptable expiration date. </w:t>
            </w:r>
            <w:r>
              <w:rPr>
                <w:b/>
              </w:rPr>
              <w:t>Yes</w:t>
            </w:r>
            <w:r>
              <w:t xml:space="preserve"> requires the user to enter a comment.</w:t>
            </w:r>
          </w:p>
          <w:p w14:paraId="5DE806BF" w14:textId="77777777" w:rsidR="002A21AE" w:rsidRDefault="002A21AE">
            <w:pPr>
              <w:pStyle w:val="NotesText"/>
              <w:rPr>
                <w:rFonts w:cs="Arial"/>
              </w:rPr>
            </w:pPr>
          </w:p>
          <w:p w14:paraId="2957BED4" w14:textId="77777777" w:rsidR="002A21AE" w:rsidRDefault="002A21AE">
            <w:pPr>
              <w:pStyle w:val="NotesText"/>
              <w:rPr>
                <w:rFonts w:cs="Arial"/>
              </w:rPr>
            </w:pPr>
            <w:r>
              <w:rPr>
                <w:rFonts w:cs="Arial"/>
              </w:rPr>
              <w:t>VBECS captures details of this override in an Exception Report.</w:t>
            </w:r>
          </w:p>
          <w:p w14:paraId="2640A502" w14:textId="77777777" w:rsidR="00D30BE6" w:rsidRDefault="00D30BE6" w:rsidP="004C6F72">
            <w:pPr>
              <w:pStyle w:val="TableText"/>
              <w:rPr>
                <w:rFonts w:cs="Arial"/>
              </w:rPr>
            </w:pPr>
          </w:p>
        </w:tc>
      </w:tr>
      <w:tr w:rsidR="002A21AE" w14:paraId="7037DE73" w14:textId="77777777" w:rsidTr="007E500E">
        <w:trPr>
          <w:cantSplit/>
        </w:trPr>
        <w:tc>
          <w:tcPr>
            <w:tcW w:w="3240" w:type="dxa"/>
          </w:tcPr>
          <w:p w14:paraId="3B3D7F9B" w14:textId="77777777" w:rsidR="002A21AE" w:rsidRDefault="00073282" w:rsidP="00073282">
            <w:pPr>
              <w:pStyle w:val="TableTextNumbers"/>
            </w:pPr>
            <w:r>
              <w:lastRenderedPageBreak/>
              <w:t xml:space="preserve"> </w:t>
            </w:r>
            <w:r w:rsidR="002A21AE">
              <w:t>For ISBT 128-labeled units, accept the donation type based on character 6 of the product code (cannot be edited) or, when character 6 is “0,” indicate a donation type.</w:t>
            </w:r>
          </w:p>
        </w:tc>
        <w:tc>
          <w:tcPr>
            <w:tcW w:w="6120" w:type="dxa"/>
          </w:tcPr>
          <w:p w14:paraId="41552C49" w14:textId="77777777" w:rsidR="002A21AE" w:rsidRDefault="002A21AE">
            <w:pPr>
              <w:pStyle w:val="TableTextBullet"/>
            </w:pPr>
            <w:r>
              <w:t xml:space="preserve">Assigns the donation type to the unit or requires user input, as needed. </w:t>
            </w:r>
          </w:p>
          <w:p w14:paraId="7B90B13A" w14:textId="77777777" w:rsidR="002A21AE" w:rsidRDefault="002A21AE">
            <w:pPr>
              <w:pStyle w:val="TableTextBullet"/>
            </w:pPr>
            <w:r>
              <w:t>Requires data entry of the “reserved for” patient name and/or patient ID and the disease market testing status for “autologous” and “directed” donation types.</w:t>
            </w:r>
          </w:p>
          <w:p w14:paraId="78EBED8F" w14:textId="77777777" w:rsidR="002A21AE" w:rsidRDefault="002A21AE">
            <w:pPr>
              <w:pStyle w:val="TableText"/>
              <w:ind w:left="720"/>
            </w:pPr>
          </w:p>
          <w:p w14:paraId="0E0591F2" w14:textId="77777777" w:rsidR="002A21AE" w:rsidRDefault="00057948">
            <w:pPr>
              <w:pStyle w:val="TableText"/>
              <w:rPr>
                <w:b/>
                <w:bCs/>
                <w:szCs w:val="18"/>
              </w:rPr>
            </w:pPr>
            <w:r>
              <w:rPr>
                <w:b/>
                <w:bCs/>
                <w:noProof/>
              </w:rPr>
              <mc:AlternateContent>
                <mc:Choice Requires="wps">
                  <w:drawing>
                    <wp:anchor distT="0" distB="0" distL="114300" distR="114300" simplePos="0" relativeHeight="251598848" behindDoc="0" locked="0" layoutInCell="1" allowOverlap="1" wp14:anchorId="7E2576A3" wp14:editId="641CB15E">
                      <wp:simplePos x="0" y="0"/>
                      <wp:positionH relativeFrom="column">
                        <wp:posOffset>457200</wp:posOffset>
                      </wp:positionH>
                      <wp:positionV relativeFrom="paragraph">
                        <wp:posOffset>65405</wp:posOffset>
                      </wp:positionV>
                      <wp:extent cx="3200400" cy="0"/>
                      <wp:effectExtent l="9525" t="17780" r="9525" b="10795"/>
                      <wp:wrapNone/>
                      <wp:docPr id="514" name="Line 516" descr="P3444C22T3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DC805" id="Line 516" o:spid="_x0000_s1026" alt="&quot;&quot;"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Pi3dL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06BCA24C" w14:textId="77777777" w:rsidR="002A21AE" w:rsidRDefault="002A21AE">
            <w:pPr>
              <w:pStyle w:val="NotesText"/>
            </w:pPr>
          </w:p>
          <w:p w14:paraId="0DAAE5A0" w14:textId="77777777" w:rsidR="002A21AE" w:rsidRDefault="002A21AE">
            <w:pPr>
              <w:pStyle w:val="NotesText"/>
            </w:pPr>
            <w:r>
              <w:rPr>
                <w:rFonts w:cs="Arial"/>
                <w:vanish/>
              </w:rPr>
              <w:t xml:space="preserve">BR_1.26 </w:t>
            </w:r>
            <w:r>
              <w:t>When a site is a transfusion-only facility, each unit processed must be restricted to a specific patient regardless of donation type.</w:t>
            </w:r>
          </w:p>
        </w:tc>
      </w:tr>
      <w:tr w:rsidR="002A21AE" w14:paraId="6B529E43" w14:textId="77777777">
        <w:tc>
          <w:tcPr>
            <w:tcW w:w="3240" w:type="dxa"/>
          </w:tcPr>
          <w:p w14:paraId="2A5DCBE1" w14:textId="77777777" w:rsidR="002A21AE" w:rsidRDefault="0017553F">
            <w:pPr>
              <w:pStyle w:val="TableTextNumbers"/>
            </w:pPr>
            <w:r>
              <w:t xml:space="preserve">Click the </w:t>
            </w:r>
            <w:r w:rsidR="00A6373D">
              <w:rPr>
                <w:b/>
              </w:rPr>
              <w:t>find</w:t>
            </w:r>
            <w:r w:rsidRPr="00BF2E41">
              <w:t xml:space="preserve"> button</w:t>
            </w:r>
            <w:r>
              <w:t xml:space="preserve"> next to the Restricted For Patient field to </w:t>
            </w:r>
            <w:r w:rsidR="00034390">
              <w:t>i</w:t>
            </w:r>
            <w:r w:rsidR="002A21AE">
              <w:t>ndicate the patient for whom the unit is reserved, as needed.</w:t>
            </w:r>
          </w:p>
        </w:tc>
        <w:tc>
          <w:tcPr>
            <w:tcW w:w="6120" w:type="dxa"/>
          </w:tcPr>
          <w:p w14:paraId="6B633201" w14:textId="77777777" w:rsidR="002A21AE" w:rsidRDefault="002A21AE">
            <w:pPr>
              <w:pStyle w:val="TableTextBullet"/>
            </w:pPr>
            <w:r>
              <w:t xml:space="preserve">Allows the user to search for active </w:t>
            </w:r>
            <w:r w:rsidR="00CA0045" w:rsidRPr="00CA0045">
              <w:rPr>
                <w:bCs/>
              </w:rPr>
              <w:t>VistA</w:t>
            </w:r>
            <w:r>
              <w:rPr>
                <w:bCs/>
              </w:rPr>
              <w:t xml:space="preserve"> patients to associate with the unit.</w:t>
            </w:r>
          </w:p>
          <w:p w14:paraId="57824434" w14:textId="77777777" w:rsidR="002A21AE" w:rsidRDefault="002A21AE">
            <w:pPr>
              <w:pStyle w:val="TableTextBullet"/>
            </w:pPr>
            <w:r>
              <w:t>Requires data entry of a patient name and/or patient ID to associate the unit with that patient when a unit has a “directed” or “autologous” donation type or the receiving facility is a “transfusion-only” facility.</w:t>
            </w:r>
          </w:p>
          <w:p w14:paraId="3B7F51D6" w14:textId="77777777" w:rsidR="002A21AE" w:rsidRDefault="002A21AE">
            <w:pPr>
              <w:pStyle w:val="TableTextBullet"/>
            </w:pPr>
            <w:r>
              <w:t xml:space="preserve">When no match exists, </w:t>
            </w:r>
            <w:r>
              <w:rPr>
                <w:noProof/>
              </w:rPr>
              <w:t>warns the user.</w:t>
            </w:r>
          </w:p>
          <w:p w14:paraId="1E735B81" w14:textId="77777777" w:rsidR="002A21AE" w:rsidRDefault="002A21AE">
            <w:pPr>
              <w:pStyle w:val="TableTextBullet"/>
            </w:pPr>
            <w:r>
              <w:t>When the unit is autologous, requires a user to indicate the disease marker testing status:</w:t>
            </w:r>
          </w:p>
          <w:p w14:paraId="4A8A38C2" w14:textId="77777777" w:rsidR="002A21AE" w:rsidRDefault="002A21AE">
            <w:pPr>
              <w:pStyle w:val="TableTextBullet1"/>
            </w:pPr>
            <w:r>
              <w:t>NEG: unit fully tested and negative for all disease markers</w:t>
            </w:r>
          </w:p>
          <w:p w14:paraId="33B03C99" w14:textId="77777777" w:rsidR="002A21AE" w:rsidRDefault="002A21AE">
            <w:pPr>
              <w:pStyle w:val="TableTextBullet1"/>
            </w:pPr>
            <w:r>
              <w:t>POS: unit tested and positive for one or more disease markers (biohazard)</w:t>
            </w:r>
          </w:p>
          <w:p w14:paraId="0B11966C" w14:textId="77777777" w:rsidR="002A21AE" w:rsidRDefault="002A21AE">
            <w:pPr>
              <w:pStyle w:val="TableTextBullet1"/>
            </w:pPr>
            <w:r>
              <w:t>NFT: unit not fully tested for one or more disease markers (biohazard)</w:t>
            </w:r>
          </w:p>
          <w:p w14:paraId="3CC462BC" w14:textId="77777777" w:rsidR="002A21AE" w:rsidRDefault="002A21AE">
            <w:pPr>
              <w:pStyle w:val="TableText"/>
            </w:pPr>
          </w:p>
          <w:p w14:paraId="550C944C" w14:textId="77777777" w:rsidR="002A21AE" w:rsidRDefault="00057948">
            <w:pPr>
              <w:pStyle w:val="TableText"/>
              <w:rPr>
                <w:b/>
                <w:bCs/>
                <w:szCs w:val="18"/>
              </w:rPr>
            </w:pPr>
            <w:r>
              <w:rPr>
                <w:b/>
                <w:bCs/>
                <w:noProof/>
              </w:rPr>
              <mc:AlternateContent>
                <mc:Choice Requires="wps">
                  <w:drawing>
                    <wp:anchor distT="0" distB="0" distL="114300" distR="114300" simplePos="0" relativeHeight="251591680" behindDoc="0" locked="0" layoutInCell="1" allowOverlap="1" wp14:anchorId="40549D1C" wp14:editId="3BCD5E55">
                      <wp:simplePos x="0" y="0"/>
                      <wp:positionH relativeFrom="column">
                        <wp:posOffset>457200</wp:posOffset>
                      </wp:positionH>
                      <wp:positionV relativeFrom="paragraph">
                        <wp:posOffset>65405</wp:posOffset>
                      </wp:positionV>
                      <wp:extent cx="3200400" cy="0"/>
                      <wp:effectExtent l="9525" t="17780" r="9525" b="10795"/>
                      <wp:wrapNone/>
                      <wp:docPr id="513" name="Line 478" descr="P3457C24T3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75DF2" id="Line 478" o:spid="_x0000_s1026" alt="&quot;&quot;"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8QZnZ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5EA204D2" w14:textId="77777777" w:rsidR="002A21AE" w:rsidRDefault="002A21AE">
            <w:pPr>
              <w:pStyle w:val="NotesText"/>
            </w:pPr>
          </w:p>
          <w:p w14:paraId="089FC4A2" w14:textId="77777777" w:rsidR="001C50C2" w:rsidRDefault="001C50C2">
            <w:pPr>
              <w:pStyle w:val="NotesText"/>
              <w:rPr>
                <w:rFonts w:cs="Arial"/>
              </w:rPr>
            </w:pPr>
            <w:r w:rsidRPr="001C50C2">
              <w:rPr>
                <w:rFonts w:cs="Arial"/>
              </w:rPr>
              <w:t xml:space="preserve">Displays a message when the user selects a patient with a blank first or last name, or the name is too long. The user is instructed to contact the VBECS Administrator for assistance. </w:t>
            </w:r>
            <w:r w:rsidRPr="001C50C2">
              <w:rPr>
                <w:rFonts w:cs="Arial"/>
                <w:vanish/>
              </w:rPr>
              <w:t>DR 3444</w:t>
            </w:r>
          </w:p>
          <w:p w14:paraId="7447343E" w14:textId="77777777" w:rsidR="001C50C2" w:rsidRDefault="001C50C2">
            <w:pPr>
              <w:pStyle w:val="NotesText"/>
              <w:rPr>
                <w:rFonts w:cs="Arial"/>
              </w:rPr>
            </w:pPr>
          </w:p>
          <w:p w14:paraId="6AAC33F8" w14:textId="77777777" w:rsidR="002A21AE" w:rsidRDefault="00D407D0">
            <w:pPr>
              <w:pStyle w:val="NotesText"/>
            </w:pPr>
            <w:r>
              <w:rPr>
                <w:rFonts w:cs="Arial"/>
                <w:vanish/>
              </w:rPr>
              <w:t>DR 1,041</w:t>
            </w:r>
            <w:r w:rsidRPr="00D407D0">
              <w:rPr>
                <w:rFonts w:cs="Arial"/>
                <w:szCs w:val="18"/>
              </w:rPr>
              <w:t xml:space="preserve">The Patient Blood Availability Report does not include restricted units not assigned </w:t>
            </w:r>
            <w:r>
              <w:rPr>
                <w:rFonts w:cs="Arial"/>
                <w:szCs w:val="18"/>
              </w:rPr>
              <w:t xml:space="preserve">to a patient. To track such units, the user may enter restricted units’ IDs in the Special Instruction field in Special Instructions &amp; Transfusion Requirements: Enter and Remove Special </w:t>
            </w:r>
            <w:r w:rsidR="00541DC0">
              <w:rPr>
                <w:rFonts w:cs="Arial"/>
                <w:szCs w:val="18"/>
              </w:rPr>
              <w:t>Instructions. When</w:t>
            </w:r>
            <w:r w:rsidR="002A21AE">
              <w:t xml:space="preserve"> a user restricts a unit to a patient and VBECS does not find that patient in its database, VBECS searches </w:t>
            </w:r>
            <w:r w:rsidR="00CA0045" w:rsidRPr="00CA0045">
              <w:rPr>
                <w:bCs/>
              </w:rPr>
              <w:t>VistA</w:t>
            </w:r>
            <w:r w:rsidR="002A21AE">
              <w:t>. When it finds a valid patient, VBECS adds the patient to the database.</w:t>
            </w:r>
          </w:p>
        </w:tc>
      </w:tr>
      <w:tr w:rsidR="002A21AE" w14:paraId="15299BBF" w14:textId="77777777" w:rsidTr="001A459B">
        <w:trPr>
          <w:cantSplit/>
        </w:trPr>
        <w:tc>
          <w:tcPr>
            <w:tcW w:w="3240" w:type="dxa"/>
          </w:tcPr>
          <w:p w14:paraId="5B8E6321" w14:textId="77777777" w:rsidR="002A21AE" w:rsidRDefault="002A21AE">
            <w:pPr>
              <w:pStyle w:val="TableTextNumbers"/>
            </w:pPr>
            <w:r>
              <w:lastRenderedPageBreak/>
              <w:t>Do one or more:</w:t>
            </w:r>
          </w:p>
          <w:p w14:paraId="007DCD52" w14:textId="77777777" w:rsidR="002A21AE" w:rsidRDefault="002A21AE">
            <w:pPr>
              <w:pStyle w:val="TableTextNumbersContinued"/>
            </w:pPr>
          </w:p>
          <w:p w14:paraId="753A7E94" w14:textId="77777777" w:rsidR="002A21AE" w:rsidRDefault="002A21AE">
            <w:pPr>
              <w:pStyle w:val="TableTextNumbersContinued"/>
            </w:pPr>
            <w:r>
              <w:t xml:space="preserve">Accept the blank check boxes or click a check box to indicate that a unit is CMV Negative or Sickle Cell Negative. </w:t>
            </w:r>
          </w:p>
          <w:p w14:paraId="6016F205" w14:textId="77777777" w:rsidR="002A21AE" w:rsidRDefault="002A21AE">
            <w:pPr>
              <w:pStyle w:val="TableTextNumbersContinued"/>
            </w:pPr>
          </w:p>
          <w:p w14:paraId="6B4F91BD" w14:textId="77777777" w:rsidR="002A21AE" w:rsidRDefault="002A21AE">
            <w:pPr>
              <w:pStyle w:val="TableTextNumbersContinued"/>
            </w:pPr>
            <w:r>
              <w:t>Enter an additional cost.</w:t>
            </w:r>
          </w:p>
          <w:p w14:paraId="6696FD63" w14:textId="77777777" w:rsidR="002A21AE" w:rsidRDefault="002A21AE">
            <w:pPr>
              <w:pStyle w:val="TableTextNumbersContinued"/>
            </w:pPr>
          </w:p>
          <w:p w14:paraId="4983B760" w14:textId="577165A7" w:rsidR="002A21AE" w:rsidRDefault="002A21AE">
            <w:pPr>
              <w:pStyle w:val="TableTextNumbersContinued"/>
            </w:pPr>
            <w:r>
              <w:t>Enter an antigen phenotype for a unit</w:t>
            </w:r>
            <w:r w:rsidR="00DC6B68">
              <w:t xml:space="preserve"> (</w:t>
            </w:r>
            <w:r w:rsidR="00DC6B68">
              <w:fldChar w:fldCharType="begin" w:fldLock="1"/>
            </w:r>
            <w:r w:rsidR="00DC6B68">
              <w:instrText xml:space="preserve"> REF _Ref126645045 \h </w:instrText>
            </w:r>
            <w:r w:rsidR="00DC6B68">
              <w:fldChar w:fldCharType="separate"/>
            </w:r>
            <w:r w:rsidR="00AB304C">
              <w:t xml:space="preserve">Figure </w:t>
            </w:r>
            <w:r w:rsidR="00AB304C">
              <w:rPr>
                <w:noProof/>
              </w:rPr>
              <w:t>71</w:t>
            </w:r>
            <w:r w:rsidR="00DC6B68">
              <w:fldChar w:fldCharType="end"/>
            </w:r>
            <w:r w:rsidR="00DC6B68">
              <w:t>)</w:t>
            </w:r>
            <w:r>
              <w:t xml:space="preserve">. </w:t>
            </w:r>
          </w:p>
        </w:tc>
        <w:tc>
          <w:tcPr>
            <w:tcW w:w="6120" w:type="dxa"/>
          </w:tcPr>
          <w:p w14:paraId="5D1EB3BE" w14:textId="77777777" w:rsidR="002A21AE" w:rsidRDefault="002A21AE">
            <w:pPr>
              <w:pStyle w:val="TableTextBullet"/>
            </w:pPr>
            <w:r>
              <w:t>Displays an option to save or clear unit information.</w:t>
            </w:r>
          </w:p>
          <w:p w14:paraId="7DE26001" w14:textId="77777777" w:rsidR="002A21AE" w:rsidRDefault="002A21AE">
            <w:pPr>
              <w:pStyle w:val="TableText"/>
            </w:pPr>
          </w:p>
          <w:p w14:paraId="7089FA5A" w14:textId="77777777" w:rsidR="002A21AE" w:rsidRDefault="00057948">
            <w:pPr>
              <w:pStyle w:val="TableText"/>
              <w:rPr>
                <w:b/>
                <w:bCs/>
                <w:szCs w:val="18"/>
              </w:rPr>
            </w:pPr>
            <w:r>
              <w:rPr>
                <w:b/>
                <w:bCs/>
                <w:noProof/>
              </w:rPr>
              <mc:AlternateContent>
                <mc:Choice Requires="wps">
                  <w:drawing>
                    <wp:anchor distT="0" distB="0" distL="114300" distR="114300" simplePos="0" relativeHeight="251597824" behindDoc="0" locked="0" layoutInCell="1" allowOverlap="1" wp14:anchorId="12AD04CE" wp14:editId="50A8AE08">
                      <wp:simplePos x="0" y="0"/>
                      <wp:positionH relativeFrom="column">
                        <wp:posOffset>457200</wp:posOffset>
                      </wp:positionH>
                      <wp:positionV relativeFrom="paragraph">
                        <wp:posOffset>65405</wp:posOffset>
                      </wp:positionV>
                      <wp:extent cx="3200400" cy="0"/>
                      <wp:effectExtent l="9525" t="17780" r="9525" b="10795"/>
                      <wp:wrapNone/>
                      <wp:docPr id="512" name="Line 492" descr="P3472C26T3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96BA4" id="Line 492" o:spid="_x0000_s1026" alt="&quot;&quot;"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zzEgl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78562F6D" w14:textId="77777777" w:rsidR="002A21AE" w:rsidRDefault="002A21AE">
            <w:pPr>
              <w:pStyle w:val="NotesText"/>
            </w:pPr>
          </w:p>
          <w:p w14:paraId="1D66559F" w14:textId="77777777" w:rsidR="002A21AE" w:rsidRDefault="002A21AE" w:rsidP="00137C68">
            <w:pPr>
              <w:pStyle w:val="NotesText"/>
            </w:pPr>
            <w:r>
              <w:t>VBECS accommodates data entry of:</w:t>
            </w:r>
          </w:p>
          <w:p w14:paraId="79EF7353" w14:textId="77777777" w:rsidR="002A21AE" w:rsidRDefault="002A21AE">
            <w:pPr>
              <w:pStyle w:val="NotesTextBullet"/>
            </w:pPr>
            <w:r>
              <w:rPr>
                <w:rFonts w:cs="Arial"/>
                <w:vanish/>
              </w:rPr>
              <w:t xml:space="preserve">BR_1.46 </w:t>
            </w:r>
            <w:r>
              <w:t>A single special typing cost (the sum of charges from $0.00 to $999.00, other than the base unit cost) to associate with a unit.</w:t>
            </w:r>
          </w:p>
          <w:p w14:paraId="72282AB0" w14:textId="77777777" w:rsidR="002A21AE" w:rsidRDefault="002A21AE">
            <w:pPr>
              <w:pStyle w:val="NotesText"/>
            </w:pPr>
          </w:p>
          <w:p w14:paraId="09FAA5BD" w14:textId="4AD4BC50" w:rsidR="002A21AE" w:rsidRDefault="002A21AE">
            <w:pPr>
              <w:pStyle w:val="NotesText"/>
            </w:pPr>
            <w:r>
              <w:rPr>
                <w:rFonts w:cs="Arial"/>
                <w:vanish/>
              </w:rPr>
              <w:t xml:space="preserve">BR_1.45 </w:t>
            </w:r>
            <w:r>
              <w:t xml:space="preserve">An antigen type may be positive or negative for any antigen listed as a VBECS corresponding antigen in </w:t>
            </w:r>
            <w:r w:rsidR="00543DAF">
              <w:fldChar w:fldCharType="begin" w:fldLock="1"/>
            </w:r>
            <w:r w:rsidR="00543DAF">
              <w:instrText xml:space="preserve"> REF _Ref170004931 \h </w:instrText>
            </w:r>
            <w:r w:rsidR="00543DAF">
              <w:fldChar w:fldCharType="separate"/>
            </w:r>
            <w:r w:rsidR="00AB304C">
              <w:t xml:space="preserve">Appendix </w:t>
            </w:r>
            <w:r w:rsidR="00AB304C">
              <w:rPr>
                <w:noProof/>
              </w:rPr>
              <w:t>B</w:t>
            </w:r>
            <w:r w:rsidR="00543DAF">
              <w:fldChar w:fldCharType="end"/>
            </w:r>
            <w:r>
              <w:t xml:space="preserve">: </w:t>
            </w:r>
            <w:r w:rsidR="00771DBD">
              <w:fldChar w:fldCharType="begin" w:fldLock="1"/>
            </w:r>
            <w:r w:rsidR="00771DBD">
              <w:instrText xml:space="preserve"> REF _Ref126484449 \h </w:instrText>
            </w:r>
            <w:r w:rsidR="00771DBD">
              <w:fldChar w:fldCharType="separate"/>
            </w:r>
            <w:r w:rsidR="00AB304C">
              <w:t xml:space="preserve">Table </w:t>
            </w:r>
            <w:r w:rsidR="00AB304C">
              <w:rPr>
                <w:noProof/>
              </w:rPr>
              <w:t>14</w:t>
            </w:r>
            <w:r w:rsidR="00AB304C">
              <w:t xml:space="preserve">: </w:t>
            </w:r>
            <w:r w:rsidR="00AB304C">
              <w:rPr>
                <w:vanish/>
              </w:rPr>
              <w:t xml:space="preserve">TT_23.01A </w:t>
            </w:r>
            <w:r w:rsidR="00AB304C">
              <w:t>Antibody and Antigen Table: Irregular Antibodies</w:t>
            </w:r>
            <w:r w:rsidR="00771DBD">
              <w:fldChar w:fldCharType="end"/>
            </w:r>
            <w:r>
              <w:t>. An antigen may not be positive and negative for the same unit.</w:t>
            </w:r>
          </w:p>
          <w:p w14:paraId="6FB50A9D" w14:textId="77777777" w:rsidR="005710CE" w:rsidRDefault="005710CE">
            <w:pPr>
              <w:pStyle w:val="NotesText"/>
            </w:pPr>
          </w:p>
          <w:p w14:paraId="0F6529C4" w14:textId="77777777" w:rsidR="005710CE" w:rsidRDefault="005710CE" w:rsidP="005710CE">
            <w:pPr>
              <w:pStyle w:val="NotesText"/>
              <w:rPr>
                <w:rFonts w:cs="Arial"/>
                <w:szCs w:val="18"/>
              </w:rPr>
            </w:pPr>
            <w:r w:rsidRPr="005710CE">
              <w:rPr>
                <w:rFonts w:cs="Arial"/>
                <w:vanish/>
                <w:szCs w:val="18"/>
              </w:rPr>
              <w:t xml:space="preserve">BR_1.01 </w:t>
            </w:r>
            <w:r w:rsidRPr="0030088C">
              <w:rPr>
                <w:rFonts w:cs="Arial"/>
                <w:szCs w:val="18"/>
              </w:rPr>
              <w:t>The shipper of the shipment is used to determine the actual costs of the blood products contained in the shipment. The shipper is the “ship from/ship to” shipper and may or may not be the same as the shipper that collected and/or processed the blood product as indicated on the blood component label. A user can select a shipper from previously activated shipper entries that have been marked as active shipper for a division.</w:t>
            </w:r>
          </w:p>
          <w:p w14:paraId="36FFFA14" w14:textId="77777777" w:rsidR="005710CE" w:rsidRDefault="005710CE">
            <w:pPr>
              <w:pStyle w:val="NotesText"/>
            </w:pPr>
          </w:p>
        </w:tc>
      </w:tr>
      <w:tr w:rsidR="002A21AE" w14:paraId="18974901" w14:textId="77777777">
        <w:tc>
          <w:tcPr>
            <w:tcW w:w="3240" w:type="dxa"/>
          </w:tcPr>
          <w:p w14:paraId="7848B6FD" w14:textId="77777777" w:rsidR="002A21AE" w:rsidRDefault="002A21AE">
            <w:pPr>
              <w:pStyle w:val="TableTextNumbers"/>
            </w:pPr>
            <w:r>
              <w:t xml:space="preserve">Review and click </w:t>
            </w:r>
            <w:r>
              <w:rPr>
                <w:b/>
              </w:rPr>
              <w:t>Save</w:t>
            </w:r>
            <w:r>
              <w:t xml:space="preserve"> to accept the unit.</w:t>
            </w:r>
          </w:p>
        </w:tc>
        <w:tc>
          <w:tcPr>
            <w:tcW w:w="6120" w:type="dxa"/>
          </w:tcPr>
          <w:p w14:paraId="18A1087D" w14:textId="77777777" w:rsidR="002A21AE" w:rsidRDefault="00590A7C" w:rsidP="004A4FC6">
            <w:pPr>
              <w:pStyle w:val="TableTextBullet"/>
            </w:pPr>
            <w:r w:rsidRPr="004A4FC6">
              <w:rPr>
                <w:vanish/>
              </w:rPr>
              <w:t xml:space="preserve">BR_1.68 </w:t>
            </w:r>
            <w:r w:rsidR="004A4FC6" w:rsidRPr="004A4FC6">
              <w:t>The confirmation message presented when saving a unit record states: “Are you sure you want to add this unit, by clicking Yes, you acknowledge that you inspected this uni</w:t>
            </w:r>
            <w:r w:rsidR="004A4FC6">
              <w:t>t and that it is satisfactory.”</w:t>
            </w:r>
          </w:p>
          <w:p w14:paraId="74CF718F" w14:textId="77777777" w:rsidR="000E3E6B" w:rsidRDefault="000E3E6B" w:rsidP="000E3E6B">
            <w:pPr>
              <w:pStyle w:val="TableTextBullet"/>
            </w:pPr>
            <w:r>
              <w:t xml:space="preserve">When the user clicks yes, the unit record is added to the division’s inventory.  When the user clicks no, </w:t>
            </w:r>
            <w:r w:rsidR="00EF64BD" w:rsidRPr="0030088C">
              <w:rPr>
                <w:rFonts w:cs="Arial"/>
                <w:szCs w:val="18"/>
              </w:rPr>
              <w:t>the user is allowed to edit information, clear the unit information or may attempt to save again.</w:t>
            </w:r>
          </w:p>
          <w:p w14:paraId="55446619" w14:textId="77777777" w:rsidR="002A21AE" w:rsidRDefault="002A21AE">
            <w:pPr>
              <w:pStyle w:val="TableTextBullet"/>
            </w:pPr>
            <w:r>
              <w:t>Adds the unit to the database.</w:t>
            </w:r>
          </w:p>
          <w:p w14:paraId="3C0D9D55" w14:textId="77777777" w:rsidR="002A21AE" w:rsidRDefault="002A21AE">
            <w:pPr>
              <w:pStyle w:val="TableTextBullet"/>
            </w:pPr>
            <w:r>
              <w:t xml:space="preserve">Lists summary information for the accepted unit. </w:t>
            </w:r>
          </w:p>
          <w:p w14:paraId="71598DF5" w14:textId="77777777" w:rsidR="002A21AE" w:rsidRDefault="002A21AE">
            <w:pPr>
              <w:pStyle w:val="TableTextBullet"/>
            </w:pPr>
            <w:r>
              <w:t xml:space="preserve">Allows the user to begin processing a new unit. </w:t>
            </w:r>
          </w:p>
          <w:p w14:paraId="13A7E62B" w14:textId="77777777" w:rsidR="002A21AE" w:rsidRDefault="002A21AE">
            <w:pPr>
              <w:pStyle w:val="TableText"/>
            </w:pPr>
          </w:p>
          <w:p w14:paraId="2B35C455" w14:textId="77777777" w:rsidR="002A21AE" w:rsidRDefault="00057948">
            <w:pPr>
              <w:pStyle w:val="TableText"/>
              <w:rPr>
                <w:b/>
                <w:bCs/>
                <w:szCs w:val="18"/>
              </w:rPr>
            </w:pPr>
            <w:r>
              <w:rPr>
                <w:b/>
                <w:bCs/>
                <w:noProof/>
              </w:rPr>
              <mc:AlternateContent>
                <mc:Choice Requires="wps">
                  <w:drawing>
                    <wp:anchor distT="0" distB="0" distL="114300" distR="114300" simplePos="0" relativeHeight="251594752" behindDoc="0" locked="0" layoutInCell="1" allowOverlap="1" wp14:anchorId="5211CBFE" wp14:editId="722949DC">
                      <wp:simplePos x="0" y="0"/>
                      <wp:positionH relativeFrom="column">
                        <wp:posOffset>457200</wp:posOffset>
                      </wp:positionH>
                      <wp:positionV relativeFrom="paragraph">
                        <wp:posOffset>65405</wp:posOffset>
                      </wp:positionV>
                      <wp:extent cx="3200400" cy="0"/>
                      <wp:effectExtent l="9525" t="17780" r="9525" b="10795"/>
                      <wp:wrapNone/>
                      <wp:docPr id="511" name="Line 483" descr="P3489C28T3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8E2D6" id="Line 483" o:spid="_x0000_s1026" alt="&quot;&quot;"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v/Vzq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48B9BA02" w14:textId="77777777" w:rsidR="002A21AE" w:rsidRDefault="002A21AE">
            <w:pPr>
              <w:pStyle w:val="NotesText"/>
            </w:pPr>
          </w:p>
          <w:p w14:paraId="1821C35C" w14:textId="77777777" w:rsidR="00B21CEA" w:rsidRPr="00B21CEA" w:rsidRDefault="00B21CEA" w:rsidP="00B21CEA">
            <w:pPr>
              <w:pStyle w:val="NotesText"/>
            </w:pPr>
            <w:r w:rsidRPr="00B21CEA">
              <w:t>If the unit is not satisfactory per the visual inspection, the user must click no. The unit is not entered into VBECS inventory and should be processed according to local procedure and policy.</w:t>
            </w:r>
          </w:p>
          <w:p w14:paraId="625051B9" w14:textId="77777777" w:rsidR="00B21CEA" w:rsidRDefault="00B21CEA">
            <w:pPr>
              <w:pStyle w:val="NotesText"/>
            </w:pPr>
          </w:p>
          <w:p w14:paraId="3E5C13FA" w14:textId="77777777" w:rsidR="002A21AE" w:rsidRDefault="002A21AE">
            <w:pPr>
              <w:pStyle w:val="NotesText"/>
            </w:pPr>
            <w:r>
              <w:t>VBECS assigns unit statuses based on a site’s configuration in Configure Division. For a:</w:t>
            </w:r>
          </w:p>
          <w:p w14:paraId="6D773BA1" w14:textId="77777777" w:rsidR="002A21AE" w:rsidRDefault="002A21AE">
            <w:pPr>
              <w:pStyle w:val="NotesTextBullet"/>
            </w:pPr>
            <w:r>
              <w:t>“Full-service” facility, VBECS assigns “Limited” status to blood products that contain red cells and “Available” status to all other components.</w:t>
            </w:r>
          </w:p>
          <w:p w14:paraId="12377937" w14:textId="77777777" w:rsidR="002A21AE" w:rsidRDefault="002A21AE">
            <w:pPr>
              <w:pStyle w:val="NotesTextBullet"/>
            </w:pPr>
            <w:r>
              <w:t>“Transfusion-only” facility, VBECS assigns “Available” status to the units. ABO/Rh confirmation testing is not required.</w:t>
            </w:r>
          </w:p>
          <w:p w14:paraId="7531F1D8" w14:textId="77777777" w:rsidR="002A21AE" w:rsidRDefault="002A21AE">
            <w:pPr>
              <w:pStyle w:val="NotesText"/>
            </w:pPr>
          </w:p>
          <w:p w14:paraId="1817D485" w14:textId="77777777" w:rsidR="002A21AE" w:rsidRDefault="002A21AE">
            <w:pPr>
              <w:pStyle w:val="NotesText"/>
            </w:pPr>
            <w:r>
              <w:t>Units are available only to users in the division in which the units were processed (separate inventories are maintained in a multidivisional site).</w:t>
            </w:r>
          </w:p>
          <w:p w14:paraId="6540BF44" w14:textId="77777777" w:rsidR="00260D14" w:rsidRDefault="00260D14">
            <w:pPr>
              <w:pStyle w:val="NotesText"/>
            </w:pPr>
          </w:p>
          <w:p w14:paraId="7FF68272" w14:textId="77777777" w:rsidR="00260D14" w:rsidRDefault="00260D14">
            <w:pPr>
              <w:pStyle w:val="NotesText"/>
            </w:pPr>
            <w:r>
              <w:t>To edit incorrect saved information, inactivate the unit through Edit Unit Information</w:t>
            </w:r>
            <w:r w:rsidR="00AB2CA4">
              <w:t>, then ree</w:t>
            </w:r>
            <w:r>
              <w:t xml:space="preserve">nter </w:t>
            </w:r>
            <w:r w:rsidR="00AB2CA4">
              <w:t xml:space="preserve">unit </w:t>
            </w:r>
            <w:r>
              <w:t>information in Incoming Shipment.</w:t>
            </w:r>
          </w:p>
          <w:p w14:paraId="2EF73B16" w14:textId="77777777" w:rsidR="00CE13F4" w:rsidRDefault="00CE13F4">
            <w:pPr>
              <w:pStyle w:val="NotesText"/>
            </w:pPr>
          </w:p>
          <w:p w14:paraId="5DA29594" w14:textId="77777777" w:rsidR="00CE13F4" w:rsidRDefault="00CE13F4">
            <w:pPr>
              <w:pStyle w:val="NotesText"/>
              <w:rPr>
                <w:rFonts w:cs="Arial"/>
                <w:szCs w:val="18"/>
              </w:rPr>
            </w:pPr>
            <w:r w:rsidRPr="00CE13F4">
              <w:rPr>
                <w:rFonts w:cs="Arial"/>
                <w:vanish/>
                <w:szCs w:val="18"/>
              </w:rPr>
              <w:lastRenderedPageBreak/>
              <w:t xml:space="preserve">BR_1.74 </w:t>
            </w:r>
            <w:r w:rsidRPr="0030088C">
              <w:rPr>
                <w:rFonts w:cs="Arial"/>
                <w:szCs w:val="18"/>
              </w:rPr>
              <w:t xml:space="preserve">Existing invoices continue </w:t>
            </w:r>
            <w:r w:rsidR="00073282">
              <w:rPr>
                <w:rFonts w:cs="Arial"/>
                <w:szCs w:val="18"/>
              </w:rPr>
              <w:t xml:space="preserve">to display historic  </w:t>
            </w:r>
            <w:r w:rsidRPr="0030088C">
              <w:rPr>
                <w:rFonts w:cs="Arial"/>
                <w:szCs w:val="18"/>
              </w:rPr>
              <w:t>ISBT 128 labeled units.</w:t>
            </w:r>
          </w:p>
          <w:p w14:paraId="41513FC2" w14:textId="77777777" w:rsidR="0040523B" w:rsidRDefault="0040523B">
            <w:pPr>
              <w:pStyle w:val="NotesText"/>
            </w:pPr>
          </w:p>
          <w:p w14:paraId="6507CC04" w14:textId="77777777" w:rsidR="0040523B" w:rsidRDefault="0040523B" w:rsidP="0040523B">
            <w:pPr>
              <w:pStyle w:val="NotesText"/>
            </w:pPr>
            <w:r w:rsidRPr="0040523B">
              <w:rPr>
                <w:vanish/>
              </w:rPr>
              <w:t xml:space="preserve">BR_1.72 </w:t>
            </w:r>
            <w:r w:rsidRPr="0040523B">
              <w:t>The user may not save the unit record until the donation type and its requirements are satisfied.</w:t>
            </w:r>
          </w:p>
          <w:p w14:paraId="772AADC9" w14:textId="77777777" w:rsidR="00674B59" w:rsidRDefault="00674B59" w:rsidP="0040523B">
            <w:pPr>
              <w:pStyle w:val="NotesText"/>
              <w:rPr>
                <w:rFonts w:cs="Arial"/>
                <w:szCs w:val="18"/>
              </w:rPr>
            </w:pPr>
          </w:p>
          <w:p w14:paraId="3B59ED48" w14:textId="77777777" w:rsidR="00674B59" w:rsidRDefault="00674B59" w:rsidP="0040523B">
            <w:pPr>
              <w:pStyle w:val="NotesText"/>
              <w:rPr>
                <w:rFonts w:cs="Arial"/>
                <w:szCs w:val="18"/>
              </w:rPr>
            </w:pPr>
            <w:r w:rsidRPr="00674B59">
              <w:rPr>
                <w:rFonts w:cs="Arial"/>
                <w:vanish/>
                <w:szCs w:val="18"/>
              </w:rPr>
              <w:t xml:space="preserve">BR_1.10 </w:t>
            </w:r>
            <w:r w:rsidRPr="0030088C">
              <w:rPr>
                <w:rFonts w:cs="Arial"/>
                <w:szCs w:val="18"/>
              </w:rPr>
              <w:t>The system determines that valid required data exist for individual units before adding to the database. The newly added unit displays in a list. This list includes Unit ID, ABO/Rh, Product Code, and Expiration date.</w:t>
            </w:r>
          </w:p>
          <w:p w14:paraId="03F0C757" w14:textId="77777777" w:rsidR="00674B59" w:rsidRDefault="00674B59" w:rsidP="0040523B">
            <w:pPr>
              <w:pStyle w:val="NotesText"/>
              <w:rPr>
                <w:rFonts w:cs="Arial"/>
                <w:szCs w:val="18"/>
              </w:rPr>
            </w:pPr>
          </w:p>
          <w:p w14:paraId="471C0276" w14:textId="77777777" w:rsidR="00674B59" w:rsidRPr="0040523B" w:rsidRDefault="00674B59" w:rsidP="0040523B">
            <w:pPr>
              <w:pStyle w:val="NotesText"/>
              <w:rPr>
                <w:rFonts w:cs="Arial"/>
                <w:szCs w:val="18"/>
              </w:rPr>
            </w:pPr>
            <w:r>
              <w:rPr>
                <w:vanish/>
              </w:rPr>
              <w:t>BR_1.47</w:t>
            </w:r>
            <w:r w:rsidRPr="00674B59">
              <w:rPr>
                <w:vanish/>
              </w:rPr>
              <w:t xml:space="preserve"> </w:t>
            </w:r>
            <w:r>
              <w:t>When units are added to the database, the records must be created in a manner that the units are retrievable for other VBECS functionality by scanning the Unit ID and Product Code barcodes.</w:t>
            </w:r>
          </w:p>
        </w:tc>
      </w:tr>
      <w:tr w:rsidR="002A21AE" w14:paraId="0978423F" w14:textId="77777777">
        <w:tc>
          <w:tcPr>
            <w:tcW w:w="3240" w:type="dxa"/>
          </w:tcPr>
          <w:p w14:paraId="7ED8608F" w14:textId="77777777" w:rsidR="002A21AE" w:rsidRDefault="002A21AE">
            <w:pPr>
              <w:pStyle w:val="TableTextNumbers"/>
            </w:pPr>
            <w:r>
              <w:lastRenderedPageBreak/>
              <w:t>Repeat until all units are entered.</w:t>
            </w:r>
          </w:p>
        </w:tc>
        <w:tc>
          <w:tcPr>
            <w:tcW w:w="6120" w:type="dxa"/>
          </w:tcPr>
          <w:p w14:paraId="4DFD4CCD" w14:textId="77777777" w:rsidR="002A21AE" w:rsidRDefault="002A21AE">
            <w:pPr>
              <w:pStyle w:val="TableTextBullet"/>
            </w:pPr>
            <w:r>
              <w:t>Displays all unit data entries.</w:t>
            </w:r>
          </w:p>
        </w:tc>
      </w:tr>
      <w:tr w:rsidR="002A21AE" w14:paraId="42EFF919" w14:textId="77777777">
        <w:tc>
          <w:tcPr>
            <w:tcW w:w="3240" w:type="dxa"/>
            <w:tcBorders>
              <w:bottom w:val="single" w:sz="4" w:space="0" w:color="auto"/>
            </w:tcBorders>
          </w:tcPr>
          <w:p w14:paraId="65922255" w14:textId="77777777" w:rsidR="002A21AE" w:rsidRDefault="002A21AE">
            <w:pPr>
              <w:pStyle w:val="TableTextNumbers"/>
            </w:pPr>
            <w:r>
              <w:t xml:space="preserve">Click </w:t>
            </w:r>
            <w:r>
              <w:rPr>
                <w:b/>
              </w:rPr>
              <w:t>Close</w:t>
            </w:r>
            <w: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bottom w:val="single" w:sz="4" w:space="0" w:color="auto"/>
            </w:tcBorders>
          </w:tcPr>
          <w:p w14:paraId="323C009B" w14:textId="77777777" w:rsidR="002A21AE" w:rsidRDefault="002A21AE">
            <w:pPr>
              <w:pStyle w:val="TableText"/>
            </w:pPr>
          </w:p>
        </w:tc>
      </w:tr>
    </w:tbl>
    <w:p w14:paraId="0B34162B" w14:textId="2F8A8C60" w:rsidR="00DC6B68" w:rsidRDefault="00DC6B68" w:rsidP="00DC6B68">
      <w:pPr>
        <w:pStyle w:val="Caption"/>
      </w:pPr>
      <w:bookmarkStart w:id="278" w:name="_Ref126645045"/>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71</w:t>
      </w:r>
      <w:r w:rsidR="004E20BD">
        <w:rPr>
          <w:noProof/>
        </w:rPr>
        <w:fldChar w:fldCharType="end"/>
      </w:r>
      <w:bookmarkEnd w:id="278"/>
      <w:r>
        <w:t>: Process Incoming Shipment</w:t>
      </w:r>
    </w:p>
    <w:p w14:paraId="68431A2E" w14:textId="77777777" w:rsidR="00DA7128" w:rsidRDefault="00057948" w:rsidP="00DA7128">
      <w:pPr>
        <w:pStyle w:val="BodyText"/>
      </w:pPr>
      <w:bookmarkStart w:id="279" w:name="_Outgoing_Shipment"/>
      <w:bookmarkStart w:id="280" w:name="_Toc63680359"/>
      <w:bookmarkEnd w:id="267"/>
      <w:bookmarkEnd w:id="279"/>
      <w:r>
        <w:rPr>
          <w:noProof/>
        </w:rPr>
        <w:drawing>
          <wp:inline distT="0" distB="0" distL="0" distR="0" wp14:anchorId="16F4E33D" wp14:editId="35037EC6">
            <wp:extent cx="5467985" cy="3916045"/>
            <wp:effectExtent l="0" t="0" r="0" b="8255"/>
            <wp:docPr id="151" name="Picture 151" descr="P3516#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P3516#yIS1">
                      <a:extLst>
                        <a:ext uri="{C183D7F6-B498-43B3-948B-1728B52AA6E4}">
                          <adec:decorative xmlns:adec="http://schemas.microsoft.com/office/drawing/2017/decorative" val="1"/>
                        </a:ext>
                      </a:extLst>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467985" cy="3916045"/>
                    </a:xfrm>
                    <a:prstGeom prst="rect">
                      <a:avLst/>
                    </a:prstGeom>
                    <a:noFill/>
                    <a:ln>
                      <a:noFill/>
                    </a:ln>
                  </pic:spPr>
                </pic:pic>
              </a:graphicData>
            </a:graphic>
          </wp:inline>
        </w:drawing>
      </w:r>
    </w:p>
    <w:p w14:paraId="3DB08C47" w14:textId="77777777" w:rsidR="001A459B" w:rsidRDefault="001A459B">
      <w:pPr>
        <w:rPr>
          <w:rFonts w:ascii="Arial" w:hAnsi="Arial"/>
          <w:b/>
          <w:sz w:val="22"/>
        </w:rPr>
      </w:pPr>
      <w:r>
        <w:br w:type="page"/>
      </w:r>
    </w:p>
    <w:p w14:paraId="71503724" w14:textId="44A30982" w:rsidR="002A21AE" w:rsidRPr="00897252" w:rsidRDefault="002A21AE" w:rsidP="00DA7128">
      <w:pPr>
        <w:pStyle w:val="Heading4"/>
        <w:rPr>
          <w:rFonts w:ascii="Arial Bold" w:hAnsi="Arial Bold"/>
        </w:rPr>
      </w:pPr>
      <w:r>
        <w:lastRenderedPageBreak/>
        <w:t>Outgoing Shipment</w:t>
      </w:r>
      <w:bookmarkEnd w:id="280"/>
      <w:r w:rsidRPr="007716F7">
        <w:fldChar w:fldCharType="begin"/>
      </w:r>
      <w:r w:rsidRPr="007716F7">
        <w:instrText xml:space="preserve"> XE </w:instrText>
      </w:r>
      <w:r w:rsidR="00FA7E65" w:rsidRPr="007716F7">
        <w:instrText>“</w:instrText>
      </w:r>
      <w:r w:rsidRPr="007716F7">
        <w:instrText>Outgoing Shipment</w:instrText>
      </w:r>
      <w:r w:rsidR="00FA7E65" w:rsidRPr="007716F7">
        <w:instrText>”</w:instrText>
      </w:r>
      <w:r w:rsidRPr="007716F7">
        <w:instrText xml:space="preserve"> </w:instrText>
      </w:r>
      <w:r w:rsidRPr="007716F7">
        <w:fldChar w:fldCharType="end"/>
      </w:r>
      <w:r w:rsidRPr="007716F7">
        <w:t xml:space="preserve"> </w:t>
      </w:r>
      <w:r w:rsidRPr="00897252">
        <w:rPr>
          <w:rFonts w:ascii="Arial Bold" w:hAnsi="Arial Bold"/>
          <w:vanish/>
        </w:rPr>
        <w:t>UC_11</w:t>
      </w:r>
    </w:p>
    <w:p w14:paraId="2D605784" w14:textId="77777777" w:rsidR="002A21AE" w:rsidRDefault="002A21AE" w:rsidP="00FA7E65">
      <w:pPr>
        <w:pStyle w:val="BodyText"/>
      </w:pPr>
      <w:bookmarkStart w:id="281" w:name="_Toc49225137"/>
      <w:bookmarkStart w:id="282" w:name="_Toc49225235"/>
      <w:bookmarkStart w:id="283" w:name="_Toc75920287"/>
      <w:r>
        <w:t xml:space="preserve">The user processes and ships available blood units from his division to an outside facility, blood center, or hospital. </w:t>
      </w:r>
    </w:p>
    <w:p w14:paraId="640A2B1B" w14:textId="77777777" w:rsidR="002A21AE" w:rsidRDefault="002A21AE" w:rsidP="00FA7E65">
      <w:pPr>
        <w:pStyle w:val="BodyText"/>
      </w:pPr>
      <w:r>
        <w:t>The user may edit return credits (additional fees or credits may be issued from one site to another) before processing the shipment.</w:t>
      </w:r>
    </w:p>
    <w:p w14:paraId="7524A7F0" w14:textId="77777777" w:rsidR="002A21AE" w:rsidRDefault="002A21AE" w:rsidP="00FA7E65">
      <w:pPr>
        <w:pStyle w:val="BodyText"/>
      </w:pPr>
      <w:r>
        <w:t>VBECS generates a shipping invoice.</w:t>
      </w:r>
    </w:p>
    <w:p w14:paraId="1A4B8911" w14:textId="77777777" w:rsidR="002A21AE" w:rsidRDefault="002A21AE">
      <w:pPr>
        <w:pStyle w:val="Heading4"/>
      </w:pPr>
      <w:r>
        <w:t>Assumptions</w:t>
      </w:r>
    </w:p>
    <w:p w14:paraId="5ED613C9" w14:textId="77777777" w:rsidR="002A21AE" w:rsidRDefault="002A21AE">
      <w:pPr>
        <w:pStyle w:val="ListBullet"/>
      </w:pPr>
      <w:r>
        <w:t>Users are authorized to release units from inventory.</w:t>
      </w:r>
    </w:p>
    <w:p w14:paraId="55C1F237" w14:textId="77777777" w:rsidR="002A21AE" w:rsidRDefault="002A21AE">
      <w:pPr>
        <w:pStyle w:val="ListBullet"/>
      </w:pPr>
      <w:r>
        <w:t>Blood units being shipped:</w:t>
      </w:r>
    </w:p>
    <w:p w14:paraId="0C760CEA" w14:textId="77777777" w:rsidR="002A21AE" w:rsidRDefault="002A21AE" w:rsidP="00802EE9">
      <w:pPr>
        <w:pStyle w:val="ListBullet2"/>
        <w:tabs>
          <w:tab w:val="clear" w:pos="648"/>
        </w:tabs>
        <w:ind w:left="900" w:hanging="270"/>
      </w:pPr>
      <w:r>
        <w:t xml:space="preserve">Were entered in the </w:t>
      </w:r>
      <w:r w:rsidR="009D2C46">
        <w:t>division</w:t>
      </w:r>
      <w:r>
        <w:t>.</w:t>
      </w:r>
    </w:p>
    <w:p w14:paraId="27DA13D3" w14:textId="77777777" w:rsidR="002A21AE" w:rsidRDefault="002A21AE" w:rsidP="00802EE9">
      <w:pPr>
        <w:pStyle w:val="ListBullet2"/>
        <w:tabs>
          <w:tab w:val="clear" w:pos="648"/>
        </w:tabs>
        <w:ind w:left="900" w:hanging="270"/>
      </w:pPr>
      <w:r>
        <w:t>Are available for scanning.</w:t>
      </w:r>
    </w:p>
    <w:p w14:paraId="74373C92" w14:textId="77777777" w:rsidR="002A21AE" w:rsidRDefault="002A21AE" w:rsidP="00802EE9">
      <w:pPr>
        <w:pStyle w:val="ListBullet2"/>
        <w:tabs>
          <w:tab w:val="clear" w:pos="648"/>
        </w:tabs>
        <w:ind w:left="900" w:hanging="270"/>
      </w:pPr>
      <w:r>
        <w:t>Are located in the user’s division.</w:t>
      </w:r>
    </w:p>
    <w:p w14:paraId="061BB2B7" w14:textId="77777777" w:rsidR="002A21AE" w:rsidRDefault="002A21AE">
      <w:pPr>
        <w:pStyle w:val="Heading4"/>
      </w:pPr>
      <w:r>
        <w:t>Outcome</w:t>
      </w:r>
    </w:p>
    <w:p w14:paraId="6FA3CBC0" w14:textId="77777777" w:rsidR="002A21AE" w:rsidRDefault="002A21AE">
      <w:pPr>
        <w:pStyle w:val="ListBullet"/>
      </w:pPr>
      <w:r>
        <w:t>An invoice for a completed shipment is closed and may not be modified.</w:t>
      </w:r>
    </w:p>
    <w:p w14:paraId="79CC8A92" w14:textId="77777777" w:rsidR="002A21AE" w:rsidRDefault="002A21AE">
      <w:pPr>
        <w:pStyle w:val="ListBullet"/>
      </w:pPr>
      <w:r>
        <w:t>An invoice for a shipment that is not confirmed is open and may be edited.</w:t>
      </w:r>
    </w:p>
    <w:p w14:paraId="36ECECC4" w14:textId="77777777" w:rsidR="002A21AE" w:rsidRDefault="002A21AE">
      <w:pPr>
        <w:pStyle w:val="ListBullet"/>
      </w:pPr>
      <w:r>
        <w:t>The units are not available in the division’s inventory.</w:t>
      </w:r>
    </w:p>
    <w:p w14:paraId="3A43DA12" w14:textId="77777777" w:rsidR="002A21AE" w:rsidRDefault="002A21AE">
      <w:pPr>
        <w:pStyle w:val="ListBullet"/>
      </w:pPr>
      <w:r>
        <w:t>When a unit is transferred to another division in the database, VBECS displays the history of the unit at both divisions. The unit is active in one division at a time.</w:t>
      </w:r>
    </w:p>
    <w:p w14:paraId="5811A739" w14:textId="77777777" w:rsidR="002A21AE" w:rsidRDefault="002A21AE">
      <w:pPr>
        <w:pStyle w:val="ListBullet"/>
      </w:pPr>
      <w:r>
        <w:t>A credit for a returned product may be assigned.</w:t>
      </w:r>
    </w:p>
    <w:p w14:paraId="384928DF" w14:textId="77777777" w:rsidR="002A21AE" w:rsidRDefault="002A21AE">
      <w:pPr>
        <w:pStyle w:val="Heading4"/>
      </w:pPr>
      <w:r>
        <w:t>Limitations and Restrictions</w:t>
      </w:r>
    </w:p>
    <w:p w14:paraId="69B1D3D1" w14:textId="77777777" w:rsidR="002A21AE" w:rsidRDefault="002A21AE">
      <w:pPr>
        <w:pStyle w:val="ListBullet"/>
      </w:pPr>
      <w:r>
        <w:t>A user may edit only unconfirmed invoices.</w:t>
      </w:r>
    </w:p>
    <w:p w14:paraId="6617ECD6" w14:textId="77777777" w:rsidR="007F1742" w:rsidRDefault="007F1742">
      <w:pPr>
        <w:pStyle w:val="ListBullet"/>
      </w:pPr>
      <w:bookmarkStart w:id="284" w:name="OLE_LINK25"/>
      <w:bookmarkStart w:id="285" w:name="OLE_LINK26"/>
      <w:r>
        <w:t xml:space="preserve">The number of tests </w:t>
      </w:r>
      <w:r w:rsidRPr="007F1742">
        <w:t xml:space="preserve">displayed on </w:t>
      </w:r>
      <w:r>
        <w:t>an</w:t>
      </w:r>
      <w:r w:rsidRPr="007F1742">
        <w:t xml:space="preserve"> invoice is limited to 8</w:t>
      </w:r>
      <w:r>
        <w:t>,000 characters</w:t>
      </w:r>
      <w:r w:rsidR="0083592C">
        <w:t xml:space="preserve"> per unit</w:t>
      </w:r>
      <w:r>
        <w:t>.</w:t>
      </w:r>
    </w:p>
    <w:p w14:paraId="3EE5CDDF" w14:textId="272A56CB" w:rsidR="00DE6961" w:rsidRDefault="00DE6961">
      <w:pPr>
        <w:pStyle w:val="ListBullet"/>
      </w:pPr>
      <w:r>
        <w:t>When the user creates an invoice and cancels before saving it, VBECS excludes the invoice number from use.</w:t>
      </w:r>
    </w:p>
    <w:p w14:paraId="1E507F18" w14:textId="4312A339" w:rsidR="0043651F" w:rsidRDefault="0043651F">
      <w:pPr>
        <w:pStyle w:val="ListBullet"/>
      </w:pPr>
      <w:r>
        <w:t>When assigned or restricted, the patient first name and ID are not printed on the outgoing shipment document to maintain patient privacy.</w:t>
      </w:r>
    </w:p>
    <w:p w14:paraId="68259511" w14:textId="093213A5" w:rsidR="00D141A2" w:rsidRDefault="00D141A2">
      <w:pPr>
        <w:pStyle w:val="ListBullet"/>
      </w:pPr>
      <w:r>
        <w:t xml:space="preserve">Cost entry is capped at 999.99. </w:t>
      </w:r>
      <w:r w:rsidRPr="00D141A2">
        <w:rPr>
          <w:vanish/>
        </w:rPr>
        <w:t>Defect 942523</w:t>
      </w:r>
    </w:p>
    <w:bookmarkEnd w:id="284"/>
    <w:bookmarkEnd w:id="285"/>
    <w:p w14:paraId="1117AEB8" w14:textId="77777777" w:rsidR="002A21AE" w:rsidRDefault="002A21AE">
      <w:pPr>
        <w:pStyle w:val="Heading4"/>
      </w:pPr>
      <w:r>
        <w:t>Additional Information</w:t>
      </w:r>
    </w:p>
    <w:p w14:paraId="54967FFD" w14:textId="77777777" w:rsidR="002A21AE" w:rsidRDefault="002A21AE">
      <w:pPr>
        <w:pStyle w:val="ListBullet"/>
      </w:pPr>
      <w:r>
        <w:t>None</w:t>
      </w:r>
    </w:p>
    <w:p w14:paraId="2CB90120" w14:textId="77777777" w:rsidR="002A21AE" w:rsidRDefault="002A21AE">
      <w:pPr>
        <w:pStyle w:val="Heading4"/>
      </w:pPr>
      <w:r>
        <w:t>User Roles with Access to This Option</w:t>
      </w:r>
    </w:p>
    <w:p w14:paraId="506CF7E6" w14:textId="77777777" w:rsidR="002A21AE" w:rsidRDefault="00873EEB">
      <w:pPr>
        <w:pStyle w:val="Roles"/>
        <w:rPr>
          <w:snapToGrid w:val="0"/>
        </w:rPr>
      </w:pPr>
      <w:r>
        <w:t>All users</w:t>
      </w:r>
    </w:p>
    <w:bookmarkEnd w:id="281"/>
    <w:bookmarkEnd w:id="282"/>
    <w:bookmarkEnd w:id="283"/>
    <w:p w14:paraId="7F6F1322" w14:textId="77777777" w:rsidR="002A21AE" w:rsidRDefault="00057948">
      <w:pPr>
        <w:pStyle w:val="Heading4"/>
      </w:pPr>
      <w:r>
        <w:rPr>
          <w:noProof/>
        </w:rPr>
        <w:drawing>
          <wp:inline distT="0" distB="0" distL="0" distR="0" wp14:anchorId="6187B61B" wp14:editId="62234386">
            <wp:extent cx="156845" cy="156845"/>
            <wp:effectExtent l="0" t="0" r="0" b="0"/>
            <wp:docPr id="152" name="Picture 152" descr="P3544#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P3544#yIS1">
                      <a:extLst>
                        <a:ext uri="{C183D7F6-B498-43B3-948B-1728B52AA6E4}">
                          <adec:decorative xmlns:adec="http://schemas.microsoft.com/office/drawing/2017/decorative" val="1"/>
                        </a:ext>
                      </a:extLs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Outgoing Shipment </w:t>
      </w:r>
    </w:p>
    <w:p w14:paraId="633E04B9" w14:textId="77777777" w:rsidR="002A21AE" w:rsidRDefault="002A21AE" w:rsidP="00FA7E65">
      <w:pPr>
        <w:pStyle w:val="BodyText"/>
      </w:pPr>
      <w:r>
        <w:t xml:space="preserve">A user ships blood units from his division’s inventory to a facility that is not a transfusion location of his division. These units were removed from inventory and are available for scanning and packaging. </w:t>
      </w:r>
    </w:p>
    <w:p w14:paraId="5D481355" w14:textId="77777777" w:rsidR="002A21AE" w:rsidRDefault="002A21AE" w:rsidP="00FA7E65">
      <w:pPr>
        <w:pStyle w:val="BodyText"/>
      </w:pPr>
      <w:r>
        <w:t xml:space="preserve">The user identifies the shipment destination, scans the unit ID and product code for the first unit in the shipment, and repeats this process for each unit added to the shipment. The user completes the data entry </w:t>
      </w:r>
      <w:r>
        <w:lastRenderedPageBreak/>
        <w:t>and then reviews and accepts the shipment information. When the shipment is confirmed, the user may print a shipping invoice.</w:t>
      </w:r>
    </w:p>
    <w:p w14:paraId="311A93D3" w14:textId="77777777" w:rsidR="002A21AE" w:rsidRDefault="002A21AE" w:rsidP="00FA7E65">
      <w:pPr>
        <w:pStyle w:val="BodyText"/>
      </w:pPr>
      <w:r>
        <w:t>VBECS generates an invoice that includes information for the blood units on that invoice.</w:t>
      </w:r>
    </w:p>
    <w:p w14:paraId="63A5C75D" w14:textId="77777777" w:rsidR="002A21AE" w:rsidRDefault="002A21AE" w:rsidP="00FA7E65">
      <w:pPr>
        <w:pStyle w:val="BodyText"/>
      </w:pPr>
      <w:r>
        <w:t>A user may edit return credits (additional fees or credits may be issued from one site to another) before processing the shipment.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5E227C5" w14:textId="77777777">
        <w:trPr>
          <w:tblHeader/>
        </w:trPr>
        <w:tc>
          <w:tcPr>
            <w:tcW w:w="3240" w:type="dxa"/>
            <w:shd w:val="pct30" w:color="auto" w:fill="FFFFFF"/>
            <w:vAlign w:val="bottom"/>
          </w:tcPr>
          <w:p w14:paraId="69DE2016" w14:textId="77777777" w:rsidR="002A21AE" w:rsidRDefault="002A21AE">
            <w:pPr>
              <w:pStyle w:val="TableText"/>
              <w:rPr>
                <w:b/>
              </w:rPr>
            </w:pPr>
            <w:r>
              <w:rPr>
                <w:b/>
              </w:rPr>
              <w:t>User Action</w:t>
            </w:r>
          </w:p>
        </w:tc>
        <w:tc>
          <w:tcPr>
            <w:tcW w:w="6120" w:type="dxa"/>
            <w:shd w:val="pct30" w:color="auto" w:fill="FFFFFF"/>
            <w:vAlign w:val="bottom"/>
          </w:tcPr>
          <w:p w14:paraId="0981DC03" w14:textId="77777777" w:rsidR="002A21AE" w:rsidRDefault="002A21AE">
            <w:pPr>
              <w:pStyle w:val="TableText"/>
              <w:rPr>
                <w:b/>
              </w:rPr>
            </w:pPr>
            <w:r>
              <w:rPr>
                <w:b/>
              </w:rPr>
              <w:t>VBECS</w:t>
            </w:r>
          </w:p>
        </w:tc>
      </w:tr>
      <w:tr w:rsidR="002A21AE" w14:paraId="7F42141D" w14:textId="77777777">
        <w:tc>
          <w:tcPr>
            <w:tcW w:w="3240" w:type="dxa"/>
          </w:tcPr>
          <w:p w14:paraId="601C91BF" w14:textId="77777777" w:rsidR="002A21AE" w:rsidRDefault="002A21AE">
            <w:pPr>
              <w:pStyle w:val="TableTextNumbers"/>
            </w:pPr>
            <w:r>
              <w:t xml:space="preserve">Select </w:t>
            </w:r>
            <w:r>
              <w:rPr>
                <w:b/>
              </w:rPr>
              <w:t>Shipments</w:t>
            </w:r>
            <w:r>
              <w:t xml:space="preserve"> from the main menu.</w:t>
            </w:r>
          </w:p>
          <w:p w14:paraId="43103CC7" w14:textId="77777777" w:rsidR="002A21AE" w:rsidRDefault="002A21AE">
            <w:pPr>
              <w:pStyle w:val="TableTextNumbersContinued"/>
              <w:rPr>
                <w:b/>
                <w:bCs/>
              </w:rPr>
            </w:pPr>
          </w:p>
          <w:p w14:paraId="60F889D0" w14:textId="77777777" w:rsidR="002A21AE" w:rsidRDefault="002A21AE">
            <w:pPr>
              <w:pStyle w:val="TableTextNumbersContinued"/>
              <w:rPr>
                <w:b/>
                <w:bCs/>
              </w:rPr>
            </w:pPr>
            <w:r>
              <w:rPr>
                <w:b/>
                <w:bCs/>
              </w:rPr>
              <w:t>Select Outgoing Shipment.</w:t>
            </w:r>
          </w:p>
        </w:tc>
        <w:tc>
          <w:tcPr>
            <w:tcW w:w="6120" w:type="dxa"/>
          </w:tcPr>
          <w:p w14:paraId="39CBE381" w14:textId="77777777" w:rsidR="002A21AE" w:rsidRDefault="002A21AE">
            <w:pPr>
              <w:pStyle w:val="TableTextBullet"/>
            </w:pPr>
            <w:r>
              <w:t xml:space="preserve">Displays options for processing shipments. </w:t>
            </w:r>
          </w:p>
          <w:p w14:paraId="5DE397C4" w14:textId="77777777" w:rsidR="002A21AE" w:rsidRDefault="002A21AE">
            <w:pPr>
              <w:pStyle w:val="TableTextBullet"/>
            </w:pPr>
            <w:r>
              <w:t>Displays options for selecting a new invoice or an existing (recent) invoice.</w:t>
            </w:r>
          </w:p>
        </w:tc>
      </w:tr>
      <w:tr w:rsidR="002A21AE" w14:paraId="49CCD582" w14:textId="77777777">
        <w:tc>
          <w:tcPr>
            <w:tcW w:w="3240" w:type="dxa"/>
          </w:tcPr>
          <w:p w14:paraId="250A9B8A" w14:textId="77777777" w:rsidR="002A21AE" w:rsidRDefault="002A21AE">
            <w:pPr>
              <w:pStyle w:val="TableTextNumbers"/>
            </w:pPr>
            <w:r>
              <w:t xml:space="preserve">To process a new invoice, select </w:t>
            </w:r>
            <w:r>
              <w:rPr>
                <w:b/>
              </w:rPr>
              <w:t>New Invoice</w:t>
            </w:r>
            <w:r>
              <w:t xml:space="preserve">. (To process an existing invoice, </w:t>
            </w:r>
            <w:r w:rsidR="0059575A">
              <w:t>continue at</w:t>
            </w:r>
            <w:r>
              <w:t xml:space="preserve"> Step </w:t>
            </w:r>
            <w:r w:rsidR="007E11BF">
              <w:t>3</w:t>
            </w:r>
            <w:r>
              <w:t>.)</w:t>
            </w:r>
          </w:p>
          <w:p w14:paraId="22FDD27A" w14:textId="77777777" w:rsidR="002A21AE" w:rsidRDefault="002A21AE">
            <w:pPr>
              <w:pStyle w:val="TableTextNumbersContinued"/>
            </w:pPr>
          </w:p>
          <w:p w14:paraId="7E8067E3" w14:textId="77777777" w:rsidR="002A21AE" w:rsidRDefault="002A21AE">
            <w:pPr>
              <w:pStyle w:val="TableTextNumbersContinued"/>
            </w:pPr>
            <w:r>
              <w:t>Enter the invoice number provided by the outside facility or leave the Invoice Number field blank.</w:t>
            </w:r>
          </w:p>
          <w:p w14:paraId="1F1E59F1" w14:textId="77777777" w:rsidR="002A21AE" w:rsidRDefault="002A21AE">
            <w:pPr>
              <w:pStyle w:val="TableTextNumbersContinued"/>
            </w:pPr>
          </w:p>
          <w:p w14:paraId="6A6D2A5F" w14:textId="77777777" w:rsidR="002A21AE" w:rsidRDefault="002A21AE">
            <w:pPr>
              <w:pStyle w:val="TableTextNumbersContinued"/>
            </w:pPr>
            <w:r>
              <w:t>Select a shipment destination from the drop-down list.</w:t>
            </w:r>
          </w:p>
          <w:p w14:paraId="78FF64B6" w14:textId="77777777" w:rsidR="002A21AE" w:rsidRDefault="002A21AE">
            <w:pPr>
              <w:pStyle w:val="TableTextNumbersContinued"/>
            </w:pPr>
          </w:p>
          <w:p w14:paraId="78C79106" w14:textId="1F894C3E" w:rsidR="002A21AE" w:rsidRDefault="007E11BF">
            <w:pPr>
              <w:pStyle w:val="TableTextNumbersContinued"/>
            </w:pPr>
            <w:r>
              <w:t xml:space="preserve">Click the </w:t>
            </w:r>
            <w:r w:rsidRPr="007E11BF">
              <w:rPr>
                <w:b/>
              </w:rPr>
              <w:t>Return to Shipper</w:t>
            </w:r>
            <w:r>
              <w:t xml:space="preserve"> or </w:t>
            </w:r>
            <w:r w:rsidRPr="007E11BF">
              <w:rPr>
                <w:b/>
              </w:rPr>
              <w:t xml:space="preserve">Send to Unrelated Shipper </w:t>
            </w:r>
            <w:r w:rsidRPr="00BF2E41">
              <w:t>radio button</w:t>
            </w:r>
            <w:r>
              <w:t xml:space="preserve"> to select a shipment type</w:t>
            </w:r>
            <w:r w:rsidR="00D039A6">
              <w:t xml:space="preserve"> (</w:t>
            </w:r>
            <w:r w:rsidR="00D039A6">
              <w:fldChar w:fldCharType="begin" w:fldLock="1"/>
            </w:r>
            <w:r w:rsidR="00D039A6">
              <w:instrText xml:space="preserve"> REF _Ref126554236 \h </w:instrText>
            </w:r>
            <w:r w:rsidR="00D039A6">
              <w:fldChar w:fldCharType="separate"/>
            </w:r>
            <w:r w:rsidR="00AB304C">
              <w:t xml:space="preserve">Figure </w:t>
            </w:r>
            <w:r w:rsidR="00AB304C">
              <w:rPr>
                <w:noProof/>
              </w:rPr>
              <w:t>72</w:t>
            </w:r>
            <w:r w:rsidR="00D039A6">
              <w:fldChar w:fldCharType="end"/>
            </w:r>
            <w:r w:rsidR="00D039A6">
              <w:t>)</w:t>
            </w:r>
            <w:r>
              <w:t>.</w:t>
            </w:r>
          </w:p>
          <w:p w14:paraId="1B139D93" w14:textId="77777777" w:rsidR="002A21AE" w:rsidRDefault="002A21AE">
            <w:pPr>
              <w:pStyle w:val="TableTextNumbersContinued"/>
            </w:pPr>
          </w:p>
          <w:p w14:paraId="5A90D6C2" w14:textId="77777777" w:rsidR="002A21AE" w:rsidRDefault="002A21AE">
            <w:pPr>
              <w:pStyle w:val="TableTextNumbersContinued"/>
            </w:pPr>
            <w:r>
              <w:t>Continue at Step 4.</w:t>
            </w:r>
          </w:p>
        </w:tc>
        <w:tc>
          <w:tcPr>
            <w:tcW w:w="6120" w:type="dxa"/>
          </w:tcPr>
          <w:p w14:paraId="018BBFD3" w14:textId="77777777" w:rsidR="002A21AE" w:rsidRDefault="002A21AE">
            <w:pPr>
              <w:pStyle w:val="TableTextBullet"/>
            </w:pPr>
            <w:r>
              <w:t>Displays fields for entering shipment information.</w:t>
            </w:r>
          </w:p>
          <w:p w14:paraId="694AB1FB" w14:textId="77777777" w:rsidR="002A21AE" w:rsidRDefault="002A21AE">
            <w:pPr>
              <w:pStyle w:val="TableTextBullet"/>
            </w:pPr>
            <w:r>
              <w:t>Generates an invoice number when the Invoice Number field is blank.</w:t>
            </w:r>
          </w:p>
          <w:p w14:paraId="719ACA17" w14:textId="77777777" w:rsidR="002A21AE" w:rsidRDefault="002A21AE">
            <w:pPr>
              <w:pStyle w:val="TableText"/>
            </w:pPr>
          </w:p>
          <w:p w14:paraId="5A47CCD7" w14:textId="77777777" w:rsidR="002A21AE" w:rsidRDefault="00057948">
            <w:pPr>
              <w:pStyle w:val="TableText"/>
              <w:rPr>
                <w:b/>
                <w:bCs/>
                <w:szCs w:val="18"/>
              </w:rPr>
            </w:pPr>
            <w:r>
              <w:rPr>
                <w:b/>
                <w:bCs/>
                <w:noProof/>
              </w:rPr>
              <mc:AlternateContent>
                <mc:Choice Requires="wps">
                  <w:drawing>
                    <wp:anchor distT="0" distB="0" distL="114300" distR="114300" simplePos="0" relativeHeight="251596800" behindDoc="0" locked="0" layoutInCell="1" allowOverlap="1" wp14:anchorId="039FAD0C" wp14:editId="7DE26476">
                      <wp:simplePos x="0" y="0"/>
                      <wp:positionH relativeFrom="column">
                        <wp:posOffset>457200</wp:posOffset>
                      </wp:positionH>
                      <wp:positionV relativeFrom="paragraph">
                        <wp:posOffset>65405</wp:posOffset>
                      </wp:positionV>
                      <wp:extent cx="3200400" cy="0"/>
                      <wp:effectExtent l="9525" t="17780" r="9525" b="10795"/>
                      <wp:wrapNone/>
                      <wp:docPr id="510" name="Line 490" descr="P3570C6T4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B838E" id="Line 490" o:spid="_x0000_s1026" alt="&quot;&quot;"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HPGn8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0F8A30F2" w14:textId="77777777" w:rsidR="002A21AE" w:rsidRDefault="002A21AE">
            <w:pPr>
              <w:pStyle w:val="NotesText"/>
            </w:pPr>
          </w:p>
          <w:p w14:paraId="4384696A" w14:textId="77777777" w:rsidR="002A21AE" w:rsidRDefault="002A21AE">
            <w:pPr>
              <w:pStyle w:val="NotesText"/>
            </w:pPr>
            <w:r>
              <w:t xml:space="preserve">To select an existing invoice while in the new invoice window, click </w:t>
            </w:r>
            <w:r>
              <w:rPr>
                <w:b/>
              </w:rPr>
              <w:t>Use Existing Invoice</w:t>
            </w:r>
            <w:r>
              <w:t>.</w:t>
            </w:r>
          </w:p>
        </w:tc>
      </w:tr>
      <w:tr w:rsidR="002A21AE" w14:paraId="62FD769F" w14:textId="77777777">
        <w:tc>
          <w:tcPr>
            <w:tcW w:w="3240" w:type="dxa"/>
          </w:tcPr>
          <w:p w14:paraId="5227B970" w14:textId="77777777" w:rsidR="002A21AE" w:rsidRDefault="002A21AE">
            <w:pPr>
              <w:pStyle w:val="TableTextNumbers"/>
            </w:pPr>
            <w:r>
              <w:t xml:space="preserve">To process an existing invoice, select </w:t>
            </w:r>
            <w:r>
              <w:rPr>
                <w:b/>
              </w:rPr>
              <w:t>Recent Invoice</w:t>
            </w:r>
            <w:r>
              <w:t xml:space="preserve"> from the Outgoing Shipment menu. </w:t>
            </w:r>
          </w:p>
          <w:p w14:paraId="5901D607" w14:textId="77777777" w:rsidR="002A21AE" w:rsidRDefault="002A21AE">
            <w:pPr>
              <w:pStyle w:val="TableTextNumbersContinued"/>
            </w:pPr>
          </w:p>
          <w:p w14:paraId="367CAA4D" w14:textId="77777777" w:rsidR="002A21AE" w:rsidRDefault="002A21AE">
            <w:pPr>
              <w:pStyle w:val="TableTextNumbersContinued"/>
            </w:pPr>
            <w:r>
              <w:t>Select an invoice.</w:t>
            </w:r>
          </w:p>
        </w:tc>
        <w:tc>
          <w:tcPr>
            <w:tcW w:w="6120" w:type="dxa"/>
          </w:tcPr>
          <w:p w14:paraId="679E2B0E" w14:textId="77777777" w:rsidR="002A21AE" w:rsidRDefault="002A21AE">
            <w:pPr>
              <w:pStyle w:val="TableTextBullet"/>
            </w:pPr>
            <w:r>
              <w:t>Displays a list of open (unconfirmed) invoices.</w:t>
            </w:r>
          </w:p>
          <w:p w14:paraId="39E6A52F" w14:textId="77777777" w:rsidR="002A21AE" w:rsidRDefault="002A21AE">
            <w:pPr>
              <w:pStyle w:val="TableText"/>
            </w:pPr>
          </w:p>
          <w:p w14:paraId="605BC188" w14:textId="77777777" w:rsidR="002A21AE" w:rsidRDefault="00057948">
            <w:pPr>
              <w:pStyle w:val="TableText"/>
              <w:rPr>
                <w:b/>
                <w:bCs/>
                <w:szCs w:val="18"/>
              </w:rPr>
            </w:pPr>
            <w:r>
              <w:rPr>
                <w:b/>
                <w:bCs/>
                <w:noProof/>
              </w:rPr>
              <mc:AlternateContent>
                <mc:Choice Requires="wps">
                  <w:drawing>
                    <wp:anchor distT="0" distB="0" distL="114300" distR="114300" simplePos="0" relativeHeight="251586560" behindDoc="0" locked="0" layoutInCell="1" allowOverlap="1" wp14:anchorId="6326A9A3" wp14:editId="7134FB93">
                      <wp:simplePos x="0" y="0"/>
                      <wp:positionH relativeFrom="column">
                        <wp:posOffset>457200</wp:posOffset>
                      </wp:positionH>
                      <wp:positionV relativeFrom="paragraph">
                        <wp:posOffset>65405</wp:posOffset>
                      </wp:positionV>
                      <wp:extent cx="3200400" cy="0"/>
                      <wp:effectExtent l="9525" t="17780" r="9525" b="10795"/>
                      <wp:wrapNone/>
                      <wp:docPr id="509" name="Line 154" descr="P3579C8T4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9B9FA" id="Line 154" o:spid="_x0000_s1026" alt="&quot;&quot;"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9FXE2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3B1C66DB" w14:textId="77777777" w:rsidR="002A21AE" w:rsidRDefault="002A21AE">
            <w:pPr>
              <w:pStyle w:val="NotesText"/>
            </w:pPr>
          </w:p>
          <w:p w14:paraId="4BA2C157" w14:textId="77777777" w:rsidR="002A21AE" w:rsidRDefault="002A21AE">
            <w:pPr>
              <w:pStyle w:val="NotesText"/>
            </w:pPr>
            <w:r>
              <w:t xml:space="preserve">To select a new invoice while in the existing invoice window, click </w:t>
            </w:r>
            <w:r>
              <w:rPr>
                <w:b/>
              </w:rPr>
              <w:t>Create New Invoice</w:t>
            </w:r>
            <w:r>
              <w:t>.</w:t>
            </w:r>
          </w:p>
          <w:p w14:paraId="3DE00205" w14:textId="77777777" w:rsidR="002A21AE" w:rsidRDefault="002A21AE">
            <w:pPr>
              <w:pStyle w:val="NotesText"/>
            </w:pPr>
          </w:p>
          <w:p w14:paraId="55BA445E" w14:textId="77777777" w:rsidR="002A21AE" w:rsidRDefault="002A21AE">
            <w:pPr>
              <w:pStyle w:val="NotesText"/>
            </w:pPr>
            <w:r>
              <w:rPr>
                <w:rFonts w:cs="Arial"/>
                <w:vanish/>
              </w:rPr>
              <w:t xml:space="preserve">BR_11.20 </w:t>
            </w:r>
            <w:r>
              <w:t xml:space="preserve">A user may edit only saved, not </w:t>
            </w:r>
            <w:r w:rsidR="0096027B">
              <w:t>confirmed</w:t>
            </w:r>
            <w:r>
              <w:t>, outgoing shipment invoices.</w:t>
            </w:r>
          </w:p>
          <w:p w14:paraId="65DDC015" w14:textId="77777777" w:rsidR="002A21AE" w:rsidRDefault="002A21AE">
            <w:pPr>
              <w:pStyle w:val="NotesText"/>
            </w:pPr>
          </w:p>
          <w:p w14:paraId="071EE217" w14:textId="77777777" w:rsidR="002A21AE" w:rsidRDefault="002A21AE">
            <w:pPr>
              <w:pStyle w:val="NotesText"/>
            </w:pPr>
            <w:r>
              <w:rPr>
                <w:rFonts w:cs="Arial"/>
                <w:vanish/>
              </w:rPr>
              <w:t xml:space="preserve">BR_11.10 </w:t>
            </w:r>
            <w:r>
              <w:t>A user may select shipping destination (ship-to) facilities based on site parameters that define a shipper for a division.</w:t>
            </w:r>
          </w:p>
          <w:p w14:paraId="46D43484" w14:textId="77777777" w:rsidR="002A21AE" w:rsidRDefault="002A21AE">
            <w:pPr>
              <w:pStyle w:val="NotesText"/>
            </w:pPr>
          </w:p>
          <w:p w14:paraId="55EF9394" w14:textId="77777777" w:rsidR="002A21AE" w:rsidRDefault="002A21AE">
            <w:pPr>
              <w:pStyle w:val="NotesText"/>
            </w:pPr>
            <w:r>
              <w:rPr>
                <w:rFonts w:cs="Arial"/>
                <w:vanish/>
              </w:rPr>
              <w:t xml:space="preserve">BR_8.03 </w:t>
            </w:r>
            <w:r>
              <w:t>A shipper must be marked as an active collection facility for a division before a user may select it as a valid shipper for a blood product for that division. This includes marking the division facility itself as an active collection facility to accommodate the creation of new blood products through modification.</w:t>
            </w:r>
          </w:p>
        </w:tc>
      </w:tr>
      <w:tr w:rsidR="002A21AE" w14:paraId="12300254" w14:textId="77777777">
        <w:tc>
          <w:tcPr>
            <w:tcW w:w="3240" w:type="dxa"/>
          </w:tcPr>
          <w:p w14:paraId="30BC9425" w14:textId="73716B42" w:rsidR="002A21AE" w:rsidRDefault="002A21AE">
            <w:pPr>
              <w:pStyle w:val="TableTextNumbers"/>
            </w:pPr>
            <w:r>
              <w:t xml:space="preserve">Click </w:t>
            </w:r>
            <w:r>
              <w:rPr>
                <w:b/>
              </w:rPr>
              <w:t>OK</w:t>
            </w:r>
            <w:r>
              <w:t xml:space="preserve"> to save the information entered</w:t>
            </w:r>
            <w:r w:rsidR="0023533F">
              <w:t xml:space="preserve"> (</w:t>
            </w:r>
            <w:r w:rsidR="0023533F">
              <w:fldChar w:fldCharType="begin" w:fldLock="1"/>
            </w:r>
            <w:r w:rsidR="0023533F">
              <w:instrText xml:space="preserve"> REF _Ref126554236 \h </w:instrText>
            </w:r>
            <w:r w:rsidR="0023533F">
              <w:fldChar w:fldCharType="separate"/>
            </w:r>
            <w:r w:rsidR="00AB304C">
              <w:t xml:space="preserve">Figure </w:t>
            </w:r>
            <w:r w:rsidR="00AB304C">
              <w:rPr>
                <w:noProof/>
              </w:rPr>
              <w:t>72</w:t>
            </w:r>
            <w:r w:rsidR="0023533F">
              <w:fldChar w:fldCharType="end"/>
            </w:r>
            <w:r w:rsidR="0023533F">
              <w:t>)</w:t>
            </w:r>
            <w:r>
              <w:t>.</w:t>
            </w:r>
          </w:p>
        </w:tc>
        <w:tc>
          <w:tcPr>
            <w:tcW w:w="6120" w:type="dxa"/>
          </w:tcPr>
          <w:p w14:paraId="4D8C15E0" w14:textId="77777777" w:rsidR="002A21AE" w:rsidRDefault="002A21AE">
            <w:pPr>
              <w:pStyle w:val="TableTextBullet"/>
            </w:pPr>
            <w:r>
              <w:t>Displays fields for entering unit information.</w:t>
            </w:r>
          </w:p>
        </w:tc>
      </w:tr>
      <w:tr w:rsidR="002A21AE" w14:paraId="2BB5319A" w14:textId="77777777" w:rsidTr="001A459B">
        <w:trPr>
          <w:cantSplit/>
        </w:trPr>
        <w:tc>
          <w:tcPr>
            <w:tcW w:w="3240" w:type="dxa"/>
          </w:tcPr>
          <w:p w14:paraId="56D5FCB9" w14:textId="065CDFDB" w:rsidR="002A21AE" w:rsidRDefault="002A21AE" w:rsidP="004D1052">
            <w:pPr>
              <w:pStyle w:val="TableTextNumbers"/>
            </w:pPr>
            <w:r>
              <w:lastRenderedPageBreak/>
              <w:t>For each unit to be added to the shipping invoice, scan the unit ID and product code barcodes or enter them in</w:t>
            </w:r>
            <w:r w:rsidR="007D28E0">
              <w:t xml:space="preserve"> the Unit ID and Product fields (</w:t>
            </w:r>
            <w:r w:rsidR="007D28E0">
              <w:fldChar w:fldCharType="begin" w:fldLock="1"/>
            </w:r>
            <w:r w:rsidR="007D28E0">
              <w:instrText xml:space="preserve"> REF _Ref137886628 \h </w:instrText>
            </w:r>
            <w:r w:rsidR="007D28E0">
              <w:fldChar w:fldCharType="separate"/>
            </w:r>
            <w:r w:rsidR="00AB304C">
              <w:t xml:space="preserve">Figure </w:t>
            </w:r>
            <w:r w:rsidR="00AB304C">
              <w:rPr>
                <w:noProof/>
              </w:rPr>
              <w:t>73</w:t>
            </w:r>
            <w:r w:rsidR="007D28E0">
              <w:fldChar w:fldCharType="end"/>
            </w:r>
            <w:r w:rsidR="007D28E0">
              <w:t xml:space="preserve"> and </w:t>
            </w:r>
            <w:r w:rsidR="007D28E0">
              <w:fldChar w:fldCharType="begin" w:fldLock="1"/>
            </w:r>
            <w:r w:rsidR="007D28E0">
              <w:instrText xml:space="preserve"> REF _Ref137886705 \h </w:instrText>
            </w:r>
            <w:r w:rsidR="007D28E0">
              <w:fldChar w:fldCharType="separate"/>
            </w:r>
            <w:r w:rsidR="00AB304C">
              <w:t xml:space="preserve">Figure </w:t>
            </w:r>
            <w:r w:rsidR="00AB304C">
              <w:rPr>
                <w:noProof/>
              </w:rPr>
              <w:t>74</w:t>
            </w:r>
            <w:r w:rsidR="007D28E0">
              <w:fldChar w:fldCharType="end"/>
            </w:r>
            <w:r w:rsidR="007D28E0">
              <w:t>).</w:t>
            </w:r>
          </w:p>
          <w:p w14:paraId="6A4D257D" w14:textId="77777777" w:rsidR="009567F0" w:rsidRDefault="009567F0" w:rsidP="009567F0">
            <w:pPr>
              <w:pStyle w:val="TableTextNumbers"/>
              <w:numPr>
                <w:ilvl w:val="0"/>
                <w:numId w:val="0"/>
              </w:numPr>
              <w:ind w:left="288" w:hanging="288"/>
            </w:pPr>
          </w:p>
          <w:p w14:paraId="2CA415E9" w14:textId="77777777" w:rsidR="009567F0" w:rsidRDefault="009567F0" w:rsidP="009567F0">
            <w:pPr>
              <w:pStyle w:val="TableTextNumbersContinued"/>
            </w:pPr>
            <w:r>
              <w:t xml:space="preserve">Click </w:t>
            </w:r>
            <w:r>
              <w:rPr>
                <w:b/>
              </w:rPr>
              <w:t>OK</w:t>
            </w:r>
            <w:r>
              <w:t>.</w:t>
            </w:r>
          </w:p>
        </w:tc>
        <w:tc>
          <w:tcPr>
            <w:tcW w:w="6120" w:type="dxa"/>
          </w:tcPr>
          <w:p w14:paraId="2DE95BE5" w14:textId="77777777" w:rsidR="002A21AE" w:rsidRDefault="002A21AE">
            <w:pPr>
              <w:pStyle w:val="TableTextBullet"/>
            </w:pPr>
            <w:r>
              <w:t>Displays corresponding unit data.</w:t>
            </w:r>
          </w:p>
          <w:p w14:paraId="6C772845" w14:textId="77777777" w:rsidR="002A21AE" w:rsidRDefault="002A21AE">
            <w:pPr>
              <w:pStyle w:val="TableText"/>
            </w:pPr>
          </w:p>
          <w:p w14:paraId="3250D53B" w14:textId="77777777" w:rsidR="002A21AE" w:rsidRDefault="00057948">
            <w:pPr>
              <w:pStyle w:val="TableText"/>
              <w:rPr>
                <w:b/>
                <w:bCs/>
                <w:szCs w:val="18"/>
              </w:rPr>
            </w:pPr>
            <w:r>
              <w:rPr>
                <w:b/>
                <w:bCs/>
                <w:noProof/>
              </w:rPr>
              <mc:AlternateContent>
                <mc:Choice Requires="wps">
                  <w:drawing>
                    <wp:anchor distT="0" distB="0" distL="114300" distR="114300" simplePos="0" relativeHeight="251587584" behindDoc="0" locked="0" layoutInCell="1" allowOverlap="1" wp14:anchorId="7FE3B179" wp14:editId="18A42839">
                      <wp:simplePos x="0" y="0"/>
                      <wp:positionH relativeFrom="column">
                        <wp:posOffset>457200</wp:posOffset>
                      </wp:positionH>
                      <wp:positionV relativeFrom="paragraph">
                        <wp:posOffset>65405</wp:posOffset>
                      </wp:positionV>
                      <wp:extent cx="3200400" cy="0"/>
                      <wp:effectExtent l="9525" t="17780" r="9525" b="10795"/>
                      <wp:wrapNone/>
                      <wp:docPr id="508" name="Line 155" descr="P3597C12T4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42397E" id="Line 155" o:spid="_x0000_s1026" alt="&quot;&quot;"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C9Nr8FwgEAAG4DAAAOAAAAAAAAAAAAAAAAAC4C&#10;AABkcnMvZTJvRG9jLnhtbFBLAQItABQABgAIAAAAIQAXTzAS2wAAAAgBAAAPAAAAAAAAAAAAAAAA&#10;ABwEAABkcnMvZG93bnJldi54bWxQSwUGAAAAAAQABADzAAAAJAUAAAAA&#10;" strokeweight="1.5pt"/>
                  </w:pict>
                </mc:Fallback>
              </mc:AlternateContent>
            </w:r>
            <w:r w:rsidR="002A21AE">
              <w:rPr>
                <w:b/>
                <w:bCs/>
                <w:szCs w:val="18"/>
              </w:rPr>
              <w:t>NOTES</w:t>
            </w:r>
          </w:p>
          <w:p w14:paraId="6210FD24" w14:textId="77777777" w:rsidR="002A21AE" w:rsidRDefault="002A21AE">
            <w:pPr>
              <w:pStyle w:val="NotesText"/>
            </w:pPr>
          </w:p>
          <w:p w14:paraId="40CC3D92" w14:textId="77777777" w:rsidR="002A21AE" w:rsidRDefault="002A21AE">
            <w:pPr>
              <w:pStyle w:val="NotesText"/>
            </w:pPr>
            <w:r>
              <w:rPr>
                <w:rFonts w:cs="Arial"/>
                <w:vanish/>
              </w:rPr>
              <w:t xml:space="preserve">BR_11.15 </w:t>
            </w:r>
            <w:r>
              <w:t xml:space="preserve">When a unit selected for inclusion in a shipment is quarantined, VBECS </w:t>
            </w:r>
            <w:r>
              <w:rPr>
                <w:noProof/>
              </w:rPr>
              <w:t>warns the user and asks the user whether he wishes to continue.</w:t>
            </w:r>
            <w:r>
              <w:t xml:space="preserve"> </w:t>
            </w:r>
          </w:p>
          <w:p w14:paraId="7662EEAA" w14:textId="77777777" w:rsidR="002A21AE" w:rsidRDefault="002A21AE">
            <w:pPr>
              <w:pStyle w:val="NotesText"/>
            </w:pPr>
          </w:p>
          <w:p w14:paraId="4C6AEDC9" w14:textId="77777777" w:rsidR="002A21AE" w:rsidRDefault="002A21AE">
            <w:pPr>
              <w:pStyle w:val="NotesText"/>
            </w:pPr>
            <w:r>
              <w:rPr>
                <w:b/>
              </w:rPr>
              <w:t>No</w:t>
            </w:r>
            <w:r>
              <w:t xml:space="preserve"> clears the unit information and allows entry of a new unit or shipment process. </w:t>
            </w:r>
            <w:r>
              <w:rPr>
                <w:b/>
              </w:rPr>
              <w:t>Yes</w:t>
            </w:r>
            <w:r>
              <w:t xml:space="preserve"> adds the unit to the shipment.</w:t>
            </w:r>
          </w:p>
          <w:p w14:paraId="3D3125F1" w14:textId="77777777" w:rsidR="002A21AE" w:rsidRDefault="002A21AE">
            <w:pPr>
              <w:pStyle w:val="NotesText"/>
            </w:pPr>
          </w:p>
          <w:p w14:paraId="218953F0" w14:textId="77777777" w:rsidR="002A21AE" w:rsidRDefault="002A21AE">
            <w:pPr>
              <w:pStyle w:val="NotesText"/>
            </w:pPr>
            <w:r>
              <w:rPr>
                <w:rFonts w:cs="Arial"/>
                <w:vanish/>
              </w:rPr>
              <w:t xml:space="preserve">BR_11.03 </w:t>
            </w:r>
            <w:r>
              <w:t>VBECS allows the shipment or transfer of units located only in the same division as the user and in the blood bank (for “Limited,” “Available,” “Assigned,” and “Crossmatched” unit statuses only).</w:t>
            </w:r>
          </w:p>
          <w:p w14:paraId="2C65D94F" w14:textId="77777777" w:rsidR="002A21AE" w:rsidRDefault="002A21AE">
            <w:pPr>
              <w:pStyle w:val="NotesText"/>
            </w:pPr>
          </w:p>
          <w:p w14:paraId="5A4E6B3D" w14:textId="77777777" w:rsidR="002A21AE" w:rsidRDefault="002A21AE">
            <w:pPr>
              <w:pStyle w:val="NotesText"/>
            </w:pPr>
            <w:r>
              <w:rPr>
                <w:rFonts w:cs="Arial"/>
                <w:vanish/>
              </w:rPr>
              <w:t xml:space="preserve">BR_11.12 </w:t>
            </w:r>
            <w:r>
              <w:t>When a unit is expired, VBECS warns the user.</w:t>
            </w:r>
          </w:p>
          <w:p w14:paraId="0D74DE34" w14:textId="77777777" w:rsidR="002A21AE" w:rsidRDefault="002A21AE">
            <w:pPr>
              <w:pStyle w:val="NotesText"/>
            </w:pPr>
          </w:p>
          <w:p w14:paraId="577D189A" w14:textId="77777777" w:rsidR="002A21AE" w:rsidRDefault="002A21AE">
            <w:pPr>
              <w:pStyle w:val="NotesText"/>
            </w:pPr>
            <w:r>
              <w:rPr>
                <w:rFonts w:cs="Arial"/>
                <w:vanish/>
              </w:rPr>
              <w:t xml:space="preserve">BR_11.05 </w:t>
            </w:r>
            <w:r>
              <w:t xml:space="preserve">When units selected for shipment are assigned </w:t>
            </w:r>
            <w:r w:rsidR="0009383F">
              <w:t xml:space="preserve">or crossmatched </w:t>
            </w:r>
            <w:r>
              <w:t xml:space="preserve">to a patient, VBECS warns the user and asks the user whether to release the unit before shipping. </w:t>
            </w:r>
          </w:p>
          <w:p w14:paraId="7525B01F" w14:textId="77777777" w:rsidR="002A21AE" w:rsidRDefault="002A21AE">
            <w:pPr>
              <w:pStyle w:val="NotesText"/>
            </w:pPr>
          </w:p>
          <w:p w14:paraId="41E28FD8" w14:textId="77777777" w:rsidR="00D31A97" w:rsidRDefault="0009383F" w:rsidP="00D31A97">
            <w:pPr>
              <w:pStyle w:val="NotesText"/>
            </w:pPr>
            <w:r>
              <w:rPr>
                <w:b/>
              </w:rPr>
              <w:t>Yes</w:t>
            </w:r>
            <w:r>
              <w:t xml:space="preserve"> releases all patient assignments from the unit </w:t>
            </w:r>
            <w:r w:rsidRPr="00203AFF">
              <w:t>prior to adding the unit to the invoice (no assignment information is displayed on the invoice)</w:t>
            </w:r>
            <w:r>
              <w:t xml:space="preserve">. </w:t>
            </w:r>
            <w:r>
              <w:rPr>
                <w:b/>
              </w:rPr>
              <w:t>No</w:t>
            </w:r>
            <w:r>
              <w:t xml:space="preserve"> indicates that </w:t>
            </w:r>
            <w:r w:rsidRPr="00203AFF">
              <w:t>the outgoing shipment invoice must include the unit’s patient association details.</w:t>
            </w:r>
          </w:p>
        </w:tc>
      </w:tr>
      <w:tr w:rsidR="002A21AE" w14:paraId="20230549" w14:textId="77777777">
        <w:tc>
          <w:tcPr>
            <w:tcW w:w="3240" w:type="dxa"/>
            <w:tcBorders>
              <w:bottom w:val="single" w:sz="4" w:space="0" w:color="auto"/>
            </w:tcBorders>
          </w:tcPr>
          <w:p w14:paraId="613CBC82" w14:textId="77777777" w:rsidR="002A21AE" w:rsidRDefault="002A21AE">
            <w:pPr>
              <w:pStyle w:val="TableTextNumbers"/>
            </w:pPr>
            <w:r>
              <w:t xml:space="preserve">Respond to warnings, when indicated. </w:t>
            </w:r>
          </w:p>
          <w:p w14:paraId="72189FB7" w14:textId="77777777" w:rsidR="002A21AE" w:rsidRDefault="002A21AE">
            <w:pPr>
              <w:pStyle w:val="TableTextNumbersContinued"/>
            </w:pPr>
          </w:p>
          <w:p w14:paraId="35B41D2D" w14:textId="08B18CB2" w:rsidR="002A21AE" w:rsidRDefault="002A21AE">
            <w:pPr>
              <w:pStyle w:val="TableTextNumbersContinued"/>
            </w:pPr>
            <w:r>
              <w:t>Clic</w:t>
            </w:r>
            <w:r>
              <w:rPr>
                <w:rStyle w:val="TableTextNumbersContinuedChar"/>
              </w:rPr>
              <w:t xml:space="preserve">k </w:t>
            </w:r>
            <w:r>
              <w:rPr>
                <w:rStyle w:val="TableTextNumbersContinuedChar"/>
                <w:b/>
              </w:rPr>
              <w:t>Select</w:t>
            </w:r>
            <w:r>
              <w:rPr>
                <w:rStyle w:val="TableTextNumbersContinuedChar"/>
              </w:rPr>
              <w:t xml:space="preserve"> to add the selected unit t</w:t>
            </w:r>
            <w:r>
              <w:t xml:space="preserve">o the shipping invoice or click </w:t>
            </w:r>
            <w:r>
              <w:rPr>
                <w:b/>
              </w:rPr>
              <w:t>Clear</w:t>
            </w:r>
            <w:r>
              <w:t xml:space="preserve"> to delete a unit</w:t>
            </w:r>
            <w:r w:rsidR="00AA511E">
              <w:t xml:space="preserve"> (</w:t>
            </w:r>
            <w:r w:rsidR="00AA511E">
              <w:fldChar w:fldCharType="begin" w:fldLock="1"/>
            </w:r>
            <w:r w:rsidR="00AA511E">
              <w:instrText xml:space="preserve"> REF _Ref137888427 \h </w:instrText>
            </w:r>
            <w:r w:rsidR="00AA511E">
              <w:fldChar w:fldCharType="separate"/>
            </w:r>
            <w:r w:rsidR="00AB304C">
              <w:t xml:space="preserve">Figure </w:t>
            </w:r>
            <w:r w:rsidR="00AB304C">
              <w:rPr>
                <w:noProof/>
              </w:rPr>
              <w:t>75</w:t>
            </w:r>
            <w:r w:rsidR="00AA511E">
              <w:fldChar w:fldCharType="end"/>
            </w:r>
            <w:r w:rsidR="00AA511E">
              <w:t>)</w:t>
            </w:r>
            <w:r>
              <w:t>.</w:t>
            </w:r>
          </w:p>
        </w:tc>
        <w:tc>
          <w:tcPr>
            <w:tcW w:w="6120" w:type="dxa"/>
            <w:tcBorders>
              <w:bottom w:val="single" w:sz="4" w:space="0" w:color="auto"/>
            </w:tcBorders>
          </w:tcPr>
          <w:p w14:paraId="59D01E30" w14:textId="77777777" w:rsidR="002A21AE" w:rsidRDefault="002A21AE">
            <w:pPr>
              <w:pStyle w:val="TableTextBullet"/>
            </w:pPr>
            <w:r>
              <w:t xml:space="preserve">Adds unit to </w:t>
            </w:r>
            <w:r w:rsidR="00F2752C">
              <w:t xml:space="preserve">or removes </w:t>
            </w:r>
            <w:r w:rsidR="005E58CF">
              <w:t>unit</w:t>
            </w:r>
            <w:r w:rsidR="00F2752C">
              <w:t xml:space="preserve"> from </w:t>
            </w:r>
            <w:r>
              <w:t>a temporary list of selected units.</w:t>
            </w:r>
          </w:p>
        </w:tc>
      </w:tr>
      <w:tr w:rsidR="00351221" w14:paraId="552EE931" w14:textId="77777777">
        <w:tc>
          <w:tcPr>
            <w:tcW w:w="3240" w:type="dxa"/>
            <w:tcBorders>
              <w:bottom w:val="single" w:sz="4" w:space="0" w:color="auto"/>
            </w:tcBorders>
          </w:tcPr>
          <w:p w14:paraId="7A8E7FEE" w14:textId="77777777" w:rsidR="00CB20E3" w:rsidRDefault="00CB20E3" w:rsidP="00CB20E3">
            <w:pPr>
              <w:pStyle w:val="TableTextNumbers"/>
            </w:pPr>
            <w:r>
              <w:t xml:space="preserve">Repeat Steps 5 and 6 until all units for outgoing shipment are entered. </w:t>
            </w:r>
          </w:p>
          <w:p w14:paraId="47CED96D" w14:textId="77777777" w:rsidR="00CB20E3" w:rsidRDefault="00CB20E3" w:rsidP="00CB20E3">
            <w:pPr>
              <w:pStyle w:val="TableTextNumbersContinued"/>
            </w:pPr>
          </w:p>
          <w:p w14:paraId="65781020" w14:textId="267C8BF6" w:rsidR="00CB20E3" w:rsidRDefault="00CB20E3" w:rsidP="00CB20E3">
            <w:pPr>
              <w:pStyle w:val="TableTextNumbersContinued"/>
            </w:pPr>
            <w:r>
              <w:t xml:space="preserve">Click </w:t>
            </w:r>
            <w:r>
              <w:rPr>
                <w:b/>
              </w:rPr>
              <w:t>Save</w:t>
            </w:r>
            <w:r>
              <w:t xml:space="preserve"> to save the information entered</w:t>
            </w:r>
            <w:r w:rsidR="00AA511E">
              <w:t xml:space="preserve"> (</w:t>
            </w:r>
            <w:r w:rsidR="00AA511E">
              <w:fldChar w:fldCharType="begin" w:fldLock="1"/>
            </w:r>
            <w:r w:rsidR="00AA511E">
              <w:instrText xml:space="preserve"> REF _Ref137888482 \h </w:instrText>
            </w:r>
            <w:r w:rsidR="00AA511E">
              <w:fldChar w:fldCharType="separate"/>
            </w:r>
            <w:r w:rsidR="00AB304C">
              <w:t xml:space="preserve">Figure </w:t>
            </w:r>
            <w:r w:rsidR="00AB304C">
              <w:rPr>
                <w:noProof/>
              </w:rPr>
              <w:t>76</w:t>
            </w:r>
            <w:r w:rsidR="00AA511E">
              <w:fldChar w:fldCharType="end"/>
            </w:r>
            <w:r w:rsidR="00AA511E">
              <w:t xml:space="preserve">) and </w:t>
            </w:r>
            <w:r w:rsidR="00AA511E" w:rsidRPr="00AA511E">
              <w:rPr>
                <w:b/>
              </w:rPr>
              <w:t>Yes</w:t>
            </w:r>
            <w:r w:rsidR="00AA511E">
              <w:t xml:space="preserve"> to confirm the save</w:t>
            </w:r>
            <w:r>
              <w:t>.</w:t>
            </w:r>
          </w:p>
          <w:p w14:paraId="4A0F7A2F" w14:textId="77777777" w:rsidR="00CB20E3" w:rsidRDefault="00CB20E3" w:rsidP="00CB20E3">
            <w:pPr>
              <w:pStyle w:val="TableTextNumbersContinued"/>
            </w:pPr>
          </w:p>
          <w:p w14:paraId="4ECF3FC1" w14:textId="032463CE" w:rsidR="003B03EA" w:rsidRDefault="00CB20E3" w:rsidP="005C043C">
            <w:pPr>
              <w:pStyle w:val="TableTextNumbersContinued"/>
            </w:pPr>
            <w:r>
              <w:t xml:space="preserve">To cancel the shipment, click </w:t>
            </w:r>
            <w:r>
              <w:rPr>
                <w:b/>
              </w:rPr>
              <w:t>Cancel Shipment</w:t>
            </w:r>
            <w:r>
              <w:t xml:space="preserve">, then </w:t>
            </w:r>
            <w:r>
              <w:rPr>
                <w:b/>
              </w:rPr>
              <w:t>Yes</w:t>
            </w:r>
            <w:r>
              <w:t xml:space="preserve"> to delete the invoice and return to Step 1 to begin again, or click </w:t>
            </w:r>
            <w:r>
              <w:rPr>
                <w:b/>
              </w:rPr>
              <w:t>No</w:t>
            </w:r>
            <w:r>
              <w:t xml:space="preserve"> to return to the invoice</w:t>
            </w:r>
            <w:r w:rsidR="00AA511E">
              <w:t xml:space="preserve"> (</w:t>
            </w:r>
            <w:r w:rsidR="00AA511E">
              <w:fldChar w:fldCharType="begin" w:fldLock="1"/>
            </w:r>
            <w:r w:rsidR="00AA511E">
              <w:instrText xml:space="preserve"> REF _Ref137888790 \h </w:instrText>
            </w:r>
            <w:r w:rsidR="00AA511E">
              <w:fldChar w:fldCharType="separate"/>
            </w:r>
            <w:r w:rsidR="00AB304C">
              <w:t xml:space="preserve">Figure </w:t>
            </w:r>
            <w:r w:rsidR="00AB304C">
              <w:rPr>
                <w:noProof/>
              </w:rPr>
              <w:t>77</w:t>
            </w:r>
            <w:r w:rsidR="00AA511E">
              <w:fldChar w:fldCharType="end"/>
            </w:r>
            <w:r w:rsidR="00AA511E">
              <w:t>)</w:t>
            </w:r>
            <w:r>
              <w:t>.</w:t>
            </w:r>
          </w:p>
        </w:tc>
        <w:tc>
          <w:tcPr>
            <w:tcW w:w="6120" w:type="dxa"/>
            <w:tcBorders>
              <w:bottom w:val="single" w:sz="4" w:space="0" w:color="auto"/>
            </w:tcBorders>
          </w:tcPr>
          <w:p w14:paraId="7FCDB16A" w14:textId="77777777" w:rsidR="00CB20E3" w:rsidRDefault="00CB20E3" w:rsidP="00CB20E3">
            <w:pPr>
              <w:pStyle w:val="TableTextBullet"/>
            </w:pPr>
            <w:r>
              <w:t xml:space="preserve">Displays shipment information. </w:t>
            </w:r>
          </w:p>
          <w:p w14:paraId="111C3BB4" w14:textId="77777777" w:rsidR="00CB20E3" w:rsidRDefault="00CB20E3" w:rsidP="00CB20E3">
            <w:pPr>
              <w:pStyle w:val="TableTextBullet"/>
            </w:pPr>
            <w:r>
              <w:t xml:space="preserve">When a user clicks </w:t>
            </w:r>
            <w:r>
              <w:rPr>
                <w:b/>
              </w:rPr>
              <w:t>Cancel Shipment</w:t>
            </w:r>
            <w:r>
              <w:t xml:space="preserve">, asks whether the user wants to remove all units from the invoice. </w:t>
            </w:r>
            <w:r>
              <w:rPr>
                <w:b/>
              </w:rPr>
              <w:t>Yes</w:t>
            </w:r>
            <w:r>
              <w:t xml:space="preserve"> deletes the invoice. </w:t>
            </w:r>
            <w:r>
              <w:rPr>
                <w:b/>
              </w:rPr>
              <w:t xml:space="preserve">No </w:t>
            </w:r>
            <w:r>
              <w:t>returns to the invoice.</w:t>
            </w:r>
          </w:p>
          <w:p w14:paraId="032B162D" w14:textId="77777777" w:rsidR="00CB20E3" w:rsidRDefault="00CB20E3" w:rsidP="00CB20E3">
            <w:pPr>
              <w:pStyle w:val="TableText"/>
            </w:pPr>
          </w:p>
          <w:p w14:paraId="26FE6F27" w14:textId="77777777" w:rsidR="00CB20E3" w:rsidRDefault="00057948" w:rsidP="00CB20E3">
            <w:pPr>
              <w:pStyle w:val="TableText"/>
              <w:rPr>
                <w:b/>
                <w:bCs/>
                <w:szCs w:val="18"/>
              </w:rPr>
            </w:pPr>
            <w:r>
              <w:rPr>
                <w:b/>
                <w:bCs/>
                <w:noProof/>
              </w:rPr>
              <mc:AlternateContent>
                <mc:Choice Requires="wps">
                  <w:drawing>
                    <wp:anchor distT="0" distB="0" distL="114300" distR="114300" simplePos="0" relativeHeight="251692032" behindDoc="0" locked="0" layoutInCell="1" allowOverlap="1" wp14:anchorId="25549B7D" wp14:editId="6CA7C2E2">
                      <wp:simplePos x="0" y="0"/>
                      <wp:positionH relativeFrom="column">
                        <wp:posOffset>457200</wp:posOffset>
                      </wp:positionH>
                      <wp:positionV relativeFrom="paragraph">
                        <wp:posOffset>65405</wp:posOffset>
                      </wp:positionV>
                      <wp:extent cx="3200400" cy="0"/>
                      <wp:effectExtent l="9525" t="17780" r="9525" b="10795"/>
                      <wp:wrapNone/>
                      <wp:docPr id="507" name="Line 999" descr="P3624C16T4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D5D70D" id="Line 999" o:spid="_x0000_s1026" alt="&quot;&quot;"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xMAGfMMBAABuAwAADgAAAAAAAAAAAAAAAAAu&#10;AgAAZHJzL2Uyb0RvYy54bWxQSwECLQAUAAYACAAAACEAF08wEtsAAAAIAQAADwAAAAAAAAAAAAAA&#10;AAAdBAAAZHJzL2Rvd25yZXYueG1sUEsFBgAAAAAEAAQA8wAAACUFAAAAAA==&#10;" strokeweight="1.5pt"/>
                  </w:pict>
                </mc:Fallback>
              </mc:AlternateContent>
            </w:r>
            <w:r w:rsidR="00CB20E3">
              <w:rPr>
                <w:b/>
                <w:bCs/>
                <w:szCs w:val="18"/>
              </w:rPr>
              <w:t>NOTES</w:t>
            </w:r>
          </w:p>
          <w:p w14:paraId="09FAE47E" w14:textId="77777777" w:rsidR="00CB20E3" w:rsidRDefault="00CB20E3" w:rsidP="00CB20E3">
            <w:pPr>
              <w:pStyle w:val="NotesText"/>
            </w:pPr>
          </w:p>
          <w:p w14:paraId="791C7E87" w14:textId="77777777" w:rsidR="00351221" w:rsidRDefault="00CB20E3" w:rsidP="00CB20E3">
            <w:pPr>
              <w:pStyle w:val="TableTextBullet"/>
            </w:pPr>
            <w:r>
              <w:t>A user may add or delete units from a temporary list before accepting the information entered.</w:t>
            </w:r>
          </w:p>
        </w:tc>
      </w:tr>
      <w:tr w:rsidR="005C043C" w14:paraId="2CDCEF8E" w14:textId="77777777" w:rsidTr="001A459B">
        <w:trPr>
          <w:cantSplit/>
        </w:trPr>
        <w:tc>
          <w:tcPr>
            <w:tcW w:w="3240" w:type="dxa"/>
            <w:tcBorders>
              <w:bottom w:val="single" w:sz="4" w:space="0" w:color="auto"/>
            </w:tcBorders>
          </w:tcPr>
          <w:p w14:paraId="03B4E93A" w14:textId="1C9F1B38" w:rsidR="005C043C" w:rsidRDefault="005C043C" w:rsidP="005C043C">
            <w:pPr>
              <w:pStyle w:val="TableTextNumbers"/>
            </w:pPr>
            <w:r>
              <w:lastRenderedPageBreak/>
              <w:t xml:space="preserve">To change the return credit amount for a unit in a “Return to Shipper” unconfirmed shipment, select a unit and right-click the mouse. Select </w:t>
            </w:r>
            <w:r>
              <w:rPr>
                <w:b/>
                <w:bCs/>
              </w:rPr>
              <w:t>Return Credit Update</w:t>
            </w:r>
            <w:r w:rsidR="00AA511E">
              <w:rPr>
                <w:b/>
                <w:bCs/>
              </w:rPr>
              <w:t xml:space="preserve"> </w:t>
            </w:r>
            <w:r w:rsidR="00AA511E" w:rsidRPr="00AA511E">
              <w:rPr>
                <w:bCs/>
              </w:rPr>
              <w:t>(</w:t>
            </w:r>
            <w:r w:rsidR="00AA511E">
              <w:rPr>
                <w:bCs/>
              </w:rPr>
              <w:fldChar w:fldCharType="begin" w:fldLock="1"/>
            </w:r>
            <w:r w:rsidR="00AA511E">
              <w:rPr>
                <w:bCs/>
              </w:rPr>
              <w:instrText xml:space="preserve"> REF _Ref137888867 \h </w:instrText>
            </w:r>
            <w:r w:rsidR="00AA511E">
              <w:rPr>
                <w:bCs/>
              </w:rPr>
            </w:r>
            <w:r w:rsidR="00AA511E">
              <w:rPr>
                <w:bCs/>
              </w:rPr>
              <w:fldChar w:fldCharType="separate"/>
            </w:r>
            <w:r w:rsidR="00AB304C">
              <w:t xml:space="preserve">Figure </w:t>
            </w:r>
            <w:r w:rsidR="00AB304C">
              <w:rPr>
                <w:noProof/>
              </w:rPr>
              <w:t>78</w:t>
            </w:r>
            <w:r w:rsidR="00AA511E">
              <w:rPr>
                <w:bCs/>
              </w:rPr>
              <w:fldChar w:fldCharType="end"/>
            </w:r>
            <w:r w:rsidR="00AA511E" w:rsidRPr="00AA511E">
              <w:rPr>
                <w:bCs/>
              </w:rPr>
              <w:t>)</w:t>
            </w:r>
            <w:r>
              <w:t>.</w:t>
            </w:r>
          </w:p>
          <w:p w14:paraId="4E64032D" w14:textId="77777777" w:rsidR="005C043C" w:rsidRDefault="005C043C" w:rsidP="005C043C">
            <w:pPr>
              <w:pStyle w:val="TableTextNumbersContinued"/>
            </w:pPr>
          </w:p>
          <w:p w14:paraId="6DDABC85" w14:textId="77777777" w:rsidR="005C043C" w:rsidRDefault="005C043C" w:rsidP="005C043C">
            <w:pPr>
              <w:pStyle w:val="TableTextNumbersContinued"/>
            </w:pPr>
            <w:r>
              <w:t xml:space="preserve">Enter the return credit amount. </w:t>
            </w:r>
          </w:p>
          <w:p w14:paraId="7B7F3F16" w14:textId="77777777" w:rsidR="005C043C" w:rsidRDefault="005C043C" w:rsidP="005C043C">
            <w:pPr>
              <w:pStyle w:val="TableTextNumbersContinued"/>
            </w:pPr>
          </w:p>
          <w:p w14:paraId="5BA42A19" w14:textId="77777777" w:rsidR="005C043C" w:rsidRDefault="005C043C" w:rsidP="005C043C">
            <w:pPr>
              <w:pStyle w:val="TableTextNumbersContinued"/>
            </w:pPr>
            <w:r>
              <w:t xml:space="preserve">Click </w:t>
            </w:r>
            <w:r>
              <w:rPr>
                <w:b/>
              </w:rPr>
              <w:t>OK</w:t>
            </w:r>
            <w:r>
              <w:t xml:space="preserve"> to save the information entered or </w:t>
            </w:r>
            <w:r>
              <w:rPr>
                <w:b/>
              </w:rPr>
              <w:t>Cancel</w:t>
            </w:r>
            <w:r>
              <w:t xml:space="preserve"> to return to the invoice.</w:t>
            </w:r>
          </w:p>
        </w:tc>
        <w:tc>
          <w:tcPr>
            <w:tcW w:w="6120" w:type="dxa"/>
            <w:tcBorders>
              <w:bottom w:val="single" w:sz="4" w:space="0" w:color="auto"/>
            </w:tcBorders>
          </w:tcPr>
          <w:p w14:paraId="43EFEBB4" w14:textId="77777777" w:rsidR="0035003C" w:rsidRDefault="0035003C" w:rsidP="0035003C">
            <w:pPr>
              <w:pStyle w:val="TableTextBullet"/>
            </w:pPr>
            <w:r>
              <w:t xml:space="preserve">Prompts the user to accept the new amount. </w:t>
            </w:r>
          </w:p>
          <w:p w14:paraId="6632446F" w14:textId="77777777" w:rsidR="005C043C" w:rsidRDefault="0035003C" w:rsidP="0035003C">
            <w:pPr>
              <w:pStyle w:val="TableTextBullet"/>
            </w:pPr>
            <w:r>
              <w:t>Returns to the invoice and displays the return credit amount on the invoice.</w:t>
            </w:r>
          </w:p>
          <w:p w14:paraId="317853AE" w14:textId="77777777" w:rsidR="00FC12DC" w:rsidRDefault="00FC12DC" w:rsidP="00FC12DC">
            <w:pPr>
              <w:pStyle w:val="TableTextBullet"/>
            </w:pPr>
            <w:r>
              <w:t>Displays the unit’s financial information and allows the user to edit the return credit amount.</w:t>
            </w:r>
          </w:p>
          <w:p w14:paraId="702F0FA0" w14:textId="77777777" w:rsidR="00FC12DC" w:rsidRDefault="00FC12DC" w:rsidP="00FC12DC">
            <w:pPr>
              <w:pStyle w:val="TableText"/>
            </w:pPr>
          </w:p>
          <w:p w14:paraId="58777006" w14:textId="77777777" w:rsidR="00FC12DC" w:rsidRDefault="00057948" w:rsidP="00FC12DC">
            <w:pPr>
              <w:pStyle w:val="TableText"/>
              <w:rPr>
                <w:b/>
              </w:rPr>
            </w:pPr>
            <w:r>
              <w:rPr>
                <w:b/>
                <w:noProof/>
              </w:rPr>
              <mc:AlternateContent>
                <mc:Choice Requires="wps">
                  <w:drawing>
                    <wp:anchor distT="0" distB="0" distL="114300" distR="114300" simplePos="0" relativeHeight="251693056" behindDoc="0" locked="0" layoutInCell="1" allowOverlap="1" wp14:anchorId="10819D50" wp14:editId="7AEC506F">
                      <wp:simplePos x="0" y="0"/>
                      <wp:positionH relativeFrom="column">
                        <wp:posOffset>457200</wp:posOffset>
                      </wp:positionH>
                      <wp:positionV relativeFrom="paragraph">
                        <wp:posOffset>65405</wp:posOffset>
                      </wp:positionV>
                      <wp:extent cx="3200400" cy="0"/>
                      <wp:effectExtent l="9525" t="17780" r="9525" b="10795"/>
                      <wp:wrapNone/>
                      <wp:docPr id="506" name="Line 1000" descr="P3637C18T4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58738" id="Line 1000" o:spid="_x0000_s1026" alt="&quot;&quot;"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rnKq88MBAABvAwAADgAAAAAAAAAAAAAAAAAu&#10;AgAAZHJzL2Uyb0RvYy54bWxQSwECLQAUAAYACAAAACEAF08wEtsAAAAIAQAADwAAAAAAAAAAAAAA&#10;AAAdBAAAZHJzL2Rvd25yZXYueG1sUEsFBgAAAAAEAAQA8wAAACUFAAAAAA==&#10;" strokeweight="1.5pt"/>
                  </w:pict>
                </mc:Fallback>
              </mc:AlternateContent>
            </w:r>
            <w:r w:rsidR="00FC12DC">
              <w:rPr>
                <w:b/>
              </w:rPr>
              <w:t>NOTES</w:t>
            </w:r>
          </w:p>
          <w:p w14:paraId="79117C9A" w14:textId="77777777" w:rsidR="00FC12DC" w:rsidRDefault="00FC12DC" w:rsidP="00FC12DC">
            <w:pPr>
              <w:pStyle w:val="NotesText"/>
            </w:pPr>
          </w:p>
          <w:p w14:paraId="2EE62BC3" w14:textId="77777777" w:rsidR="00FC12DC" w:rsidRDefault="00FC12DC" w:rsidP="00FC12DC">
            <w:pPr>
              <w:pStyle w:val="NotesText"/>
            </w:pPr>
            <w:r>
              <w:rPr>
                <w:rFonts w:cs="Arial"/>
                <w:vanish/>
              </w:rPr>
              <w:t xml:space="preserve">BR_11.14 </w:t>
            </w:r>
            <w:r>
              <w:t>VBECS applies a return credit (equal to the return credit percentage of the original cost of the unit) to units processed in an outgoing shipment to the original shipper. Users may edit return credits for individual units.</w:t>
            </w:r>
          </w:p>
          <w:p w14:paraId="4F29AF95" w14:textId="77777777" w:rsidR="00FC12DC" w:rsidRDefault="00FC12DC" w:rsidP="00FC12DC">
            <w:pPr>
              <w:pStyle w:val="NotesText"/>
            </w:pPr>
          </w:p>
          <w:p w14:paraId="0D41B582" w14:textId="77777777" w:rsidR="00FC12DC" w:rsidRDefault="00FC12DC" w:rsidP="00FC12DC">
            <w:pPr>
              <w:pStyle w:val="NotesText"/>
            </w:pPr>
            <w:r>
              <w:t xml:space="preserve">Instead of right-clicking the mouse, a user may press the application key </w:t>
            </w:r>
            <w:r>
              <w:rPr>
                <w:sz w:val="16"/>
                <w:szCs w:val="16"/>
              </w:rPr>
              <w:t>(</w:t>
            </w:r>
            <w:r w:rsidR="00057948">
              <w:rPr>
                <w:noProof/>
                <w:sz w:val="16"/>
                <w:szCs w:val="16"/>
              </w:rPr>
              <w:drawing>
                <wp:inline distT="0" distB="0" distL="0" distR="0" wp14:anchorId="68AFC03D" wp14:editId="56D6A7BC">
                  <wp:extent cx="156845" cy="166370"/>
                  <wp:effectExtent l="0" t="0" r="0" b="5080"/>
                  <wp:docPr id="153" name="Picture 153" descr="P3641C18T40#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P3641C18T40#yIS1">
                            <a:extLst>
                              <a:ext uri="{C183D7F6-B498-43B3-948B-1728B52AA6E4}">
                                <adec:decorative xmlns:adec="http://schemas.microsoft.com/office/drawing/2017/decorative" val="1"/>
                              </a:ext>
                            </a:extLst>
                          </pic:cNvPr>
                          <pic:cNvPicPr>
                            <a:picLocks noChangeAspect="1" noChangeArrowheads="1"/>
                          </pic:cNvPicPr>
                        </pic:nvPicPr>
                        <pic:blipFill>
                          <a:blip r:link="rId82" cstate="print">
                            <a:extLst>
                              <a:ext uri="{28A0092B-C50C-407E-A947-70E740481C1C}">
                                <a14:useLocalDpi xmlns:a14="http://schemas.microsoft.com/office/drawing/2010/main" val="0"/>
                              </a:ext>
                            </a:extLst>
                          </a:blip>
                          <a:srcRect/>
                          <a:stretch>
                            <a:fillRect/>
                          </a:stretch>
                        </pic:blipFill>
                        <pic:spPr bwMode="auto">
                          <a:xfrm>
                            <a:off x="0" y="0"/>
                            <a:ext cx="156845" cy="166370"/>
                          </a:xfrm>
                          <a:prstGeom prst="rect">
                            <a:avLst/>
                          </a:prstGeom>
                          <a:noFill/>
                          <a:ln>
                            <a:noFill/>
                          </a:ln>
                        </pic:spPr>
                      </pic:pic>
                    </a:graphicData>
                  </a:graphic>
                </wp:inline>
              </w:drawing>
            </w:r>
            <w:r>
              <w:rPr>
                <w:sz w:val="16"/>
                <w:szCs w:val="16"/>
              </w:rPr>
              <w:t xml:space="preserve">) </w:t>
            </w:r>
            <w:r>
              <w:t>on the keyboard.</w:t>
            </w:r>
          </w:p>
        </w:tc>
      </w:tr>
      <w:tr w:rsidR="002A21AE" w14:paraId="571421F9" w14:textId="77777777">
        <w:tc>
          <w:tcPr>
            <w:tcW w:w="3240" w:type="dxa"/>
            <w:tcBorders>
              <w:bottom w:val="single" w:sz="4" w:space="0" w:color="auto"/>
            </w:tcBorders>
          </w:tcPr>
          <w:p w14:paraId="32DEDE52" w14:textId="3E5AE927" w:rsidR="002A21AE" w:rsidRDefault="002A21AE" w:rsidP="00670529">
            <w:pPr>
              <w:pStyle w:val="TableTextNumbers"/>
            </w:pPr>
            <w:r>
              <w:t xml:space="preserve">To confirm the shipment, click </w:t>
            </w:r>
            <w:r w:rsidR="00AA511E">
              <w:rPr>
                <w:b/>
              </w:rPr>
              <w:t>Save</w:t>
            </w:r>
            <w:r>
              <w:t xml:space="preserve">, then </w:t>
            </w:r>
            <w:r w:rsidR="00AA511E">
              <w:rPr>
                <w:b/>
              </w:rPr>
              <w:t>Yes</w:t>
            </w:r>
            <w:r>
              <w:t xml:space="preserve"> to save the invoice, or </w:t>
            </w:r>
            <w:r>
              <w:rPr>
                <w:b/>
              </w:rPr>
              <w:t>Cancel</w:t>
            </w:r>
            <w:r>
              <w:t xml:space="preserve"> to return to the invoice</w:t>
            </w:r>
            <w:r w:rsidR="00AA511E">
              <w:t xml:space="preserve"> (</w:t>
            </w:r>
            <w:r w:rsidR="00AA511E">
              <w:fldChar w:fldCharType="begin" w:fldLock="1"/>
            </w:r>
            <w:r w:rsidR="00AA511E">
              <w:instrText xml:space="preserve"> REF _Ref137889266 \h </w:instrText>
            </w:r>
            <w:r w:rsidR="00AA511E">
              <w:fldChar w:fldCharType="separate"/>
            </w:r>
            <w:r w:rsidR="00AB304C">
              <w:t xml:space="preserve">Figure </w:t>
            </w:r>
            <w:r w:rsidR="00AB304C">
              <w:rPr>
                <w:noProof/>
              </w:rPr>
              <w:t>79</w:t>
            </w:r>
            <w:r w:rsidR="00AA511E">
              <w:fldChar w:fldCharType="end"/>
            </w:r>
            <w:r w:rsidR="00AA511E">
              <w:t>)</w:t>
            </w:r>
            <w:r>
              <w:t>.</w:t>
            </w:r>
          </w:p>
          <w:p w14:paraId="2B03D16C" w14:textId="77777777" w:rsidR="002A21AE" w:rsidRDefault="002A21AE">
            <w:pPr>
              <w:pStyle w:val="TableTextNumbersContinued"/>
            </w:pPr>
          </w:p>
          <w:p w14:paraId="4C85E9B6" w14:textId="77777777" w:rsidR="002A21AE" w:rsidRDefault="002A21AE">
            <w:pPr>
              <w:pStyle w:val="TableTextNumbersContinued"/>
            </w:pPr>
            <w:r>
              <w:t xml:space="preserve">Click </w:t>
            </w:r>
            <w:r>
              <w:rPr>
                <w:b/>
              </w:rPr>
              <w:t>Print Invoice</w:t>
            </w:r>
            <w:r>
              <w:t xml:space="preserve"> to generate and view an invoice.</w:t>
            </w:r>
          </w:p>
          <w:p w14:paraId="4863BDEA" w14:textId="77777777" w:rsidR="002A21AE" w:rsidRDefault="002A21AE">
            <w:pPr>
              <w:pStyle w:val="TableTextNumbersContinued"/>
            </w:pPr>
          </w:p>
          <w:p w14:paraId="357988D5" w14:textId="77777777" w:rsidR="002A21AE" w:rsidRDefault="002A21AE">
            <w:pPr>
              <w:pStyle w:val="TableTextNumbersContinued"/>
            </w:pPr>
            <w:r>
              <w:t xml:space="preserve">Click </w:t>
            </w:r>
            <w:r w:rsidR="00172C39">
              <w:rPr>
                <w:b/>
              </w:rPr>
              <w:t>P</w:t>
            </w:r>
            <w:r>
              <w:rPr>
                <w:b/>
              </w:rPr>
              <w:t xml:space="preserve">rinter </w:t>
            </w:r>
            <w:r>
              <w:t xml:space="preserve">to print an invoice to send with the shipment or click </w:t>
            </w:r>
            <w:r w:rsidR="00007EFF" w:rsidRPr="00007EFF">
              <w:rPr>
                <w:b/>
              </w:rPr>
              <w:t>Close</w:t>
            </w:r>
            <w:r>
              <w:t xml:space="preserve"> to return to the invoice.</w:t>
            </w:r>
          </w:p>
          <w:p w14:paraId="12833085" w14:textId="77777777" w:rsidR="002A21AE" w:rsidRDefault="002A21AE">
            <w:pPr>
              <w:pStyle w:val="TableTextNumbersContinued"/>
            </w:pPr>
          </w:p>
          <w:p w14:paraId="4DE90953" w14:textId="77777777" w:rsidR="002A21AE" w:rsidRDefault="002A21AE">
            <w:pPr>
              <w:pStyle w:val="TableTextNumbersContinued"/>
            </w:pPr>
            <w:r>
              <w:t xml:space="preserve">Click </w:t>
            </w:r>
            <w:r>
              <w:rPr>
                <w:b/>
              </w:rPr>
              <w:t>Cancel</w:t>
            </w:r>
            <w:r>
              <w:t xml:space="preserve"> to exit or move to Step 9 to change a return credit amount.</w:t>
            </w:r>
          </w:p>
        </w:tc>
        <w:tc>
          <w:tcPr>
            <w:tcW w:w="6120" w:type="dxa"/>
            <w:tcBorders>
              <w:bottom w:val="single" w:sz="4" w:space="0" w:color="auto"/>
            </w:tcBorders>
          </w:tcPr>
          <w:p w14:paraId="00179909" w14:textId="77777777" w:rsidR="008F675A" w:rsidRDefault="008F675A" w:rsidP="008F675A">
            <w:pPr>
              <w:pStyle w:val="TableText"/>
            </w:pPr>
          </w:p>
          <w:p w14:paraId="2456A69E" w14:textId="77777777" w:rsidR="008F675A" w:rsidRDefault="00057948" w:rsidP="008F675A">
            <w:pPr>
              <w:pStyle w:val="TableText"/>
              <w:rPr>
                <w:b/>
              </w:rPr>
            </w:pPr>
            <w:r>
              <w:rPr>
                <w:b/>
                <w:noProof/>
              </w:rPr>
              <mc:AlternateContent>
                <mc:Choice Requires="wps">
                  <w:drawing>
                    <wp:anchor distT="0" distB="0" distL="114300" distR="114300" simplePos="0" relativeHeight="251727872" behindDoc="0" locked="0" layoutInCell="1" allowOverlap="1" wp14:anchorId="6DB47B88" wp14:editId="03EDC96B">
                      <wp:simplePos x="0" y="0"/>
                      <wp:positionH relativeFrom="column">
                        <wp:posOffset>457200</wp:posOffset>
                      </wp:positionH>
                      <wp:positionV relativeFrom="paragraph">
                        <wp:posOffset>65405</wp:posOffset>
                      </wp:positionV>
                      <wp:extent cx="3200400" cy="0"/>
                      <wp:effectExtent l="9525" t="17780" r="9525" b="10795"/>
                      <wp:wrapNone/>
                      <wp:docPr id="505" name="Line 1218" descr="P3651C20T4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03B0F" id="Line 1218" o:spid="_x0000_s1026" alt="&quot;&quot;"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zwKJ0MMBAABvAwAADgAAAAAAAAAAAAAAAAAu&#10;AgAAZHJzL2Uyb0RvYy54bWxQSwECLQAUAAYACAAAACEAF08wEtsAAAAIAQAADwAAAAAAAAAAAAAA&#10;AAAdBAAAZHJzL2Rvd25yZXYueG1sUEsFBgAAAAAEAAQA8wAAACUFAAAAAA==&#10;" strokeweight="1.5pt"/>
                  </w:pict>
                </mc:Fallback>
              </mc:AlternateContent>
            </w:r>
            <w:r w:rsidR="008F675A">
              <w:rPr>
                <w:b/>
              </w:rPr>
              <w:t>NOTES</w:t>
            </w:r>
          </w:p>
          <w:p w14:paraId="2B42C5A8" w14:textId="77777777" w:rsidR="008F675A" w:rsidRDefault="008F675A" w:rsidP="008F675A">
            <w:pPr>
              <w:pStyle w:val="NotesText"/>
            </w:pPr>
          </w:p>
          <w:p w14:paraId="3BA57F5F" w14:textId="77777777" w:rsidR="002A21AE" w:rsidRDefault="008F675A" w:rsidP="008F675A">
            <w:pPr>
              <w:pStyle w:val="NotesText"/>
            </w:pPr>
            <w:r>
              <w:rPr>
                <w:rFonts w:cs="Arial"/>
                <w:vanish/>
              </w:rPr>
              <w:t>BR_11.21</w:t>
            </w:r>
            <w:r w:rsidRPr="00203AFF">
              <w:t xml:space="preserve">When units selected for shipment are currently </w:t>
            </w:r>
            <w:r>
              <w:t>restricted to a patient and the donation type of the unit is Voluntary Allogeneic, in addition to releasing the patient assignment, VBECS al</w:t>
            </w:r>
            <w:r w:rsidR="00B21CEA">
              <w:t>so removes the unit restriction in a Transfusion Only division configuration.</w:t>
            </w:r>
            <w:r w:rsidR="002A21AE">
              <w:t xml:space="preserve"> </w:t>
            </w:r>
          </w:p>
        </w:tc>
      </w:tr>
      <w:tr w:rsidR="002A21AE" w14:paraId="73CEFB2E" w14:textId="77777777">
        <w:tc>
          <w:tcPr>
            <w:tcW w:w="3240" w:type="dxa"/>
          </w:tcPr>
          <w:p w14:paraId="3A682BB8" w14:textId="77777777" w:rsidR="002A21AE" w:rsidRDefault="002A21AE" w:rsidP="00007EFF">
            <w:pPr>
              <w:pStyle w:val="TableTextNumbers"/>
            </w:pPr>
            <w:r>
              <w:t xml:space="preserve">Cancel or confirm the shipment as in Step </w:t>
            </w:r>
            <w:r w:rsidR="00007EFF">
              <w:t>9</w:t>
            </w:r>
            <w:r>
              <w:t>.</w:t>
            </w:r>
          </w:p>
        </w:tc>
        <w:tc>
          <w:tcPr>
            <w:tcW w:w="6120" w:type="dxa"/>
          </w:tcPr>
          <w:p w14:paraId="4961F8A7" w14:textId="77777777" w:rsidR="002A21AE" w:rsidRDefault="002A21AE">
            <w:pPr>
              <w:pStyle w:val="TableTextBullet"/>
            </w:pPr>
            <w:r>
              <w:t>Displays a “Confirm Shipment” option and stores the open invoice until the user chooses to complete the shipment.</w:t>
            </w:r>
          </w:p>
          <w:p w14:paraId="4E8CEB18" w14:textId="77777777" w:rsidR="002A21AE" w:rsidRDefault="002A21AE">
            <w:pPr>
              <w:pStyle w:val="TableText"/>
            </w:pPr>
          </w:p>
          <w:p w14:paraId="0F23DC0D" w14:textId="77777777" w:rsidR="002A21AE" w:rsidRDefault="00057948">
            <w:pPr>
              <w:pStyle w:val="TableText"/>
              <w:rPr>
                <w:b/>
                <w:bCs/>
                <w:szCs w:val="18"/>
              </w:rPr>
            </w:pPr>
            <w:r>
              <w:rPr>
                <w:b/>
                <w:bCs/>
                <w:noProof/>
              </w:rPr>
              <mc:AlternateContent>
                <mc:Choice Requires="wps">
                  <w:drawing>
                    <wp:anchor distT="0" distB="0" distL="114300" distR="114300" simplePos="0" relativeHeight="251588608" behindDoc="0" locked="0" layoutInCell="1" allowOverlap="1" wp14:anchorId="1164A00A" wp14:editId="5454B37C">
                      <wp:simplePos x="0" y="0"/>
                      <wp:positionH relativeFrom="column">
                        <wp:posOffset>457200</wp:posOffset>
                      </wp:positionH>
                      <wp:positionV relativeFrom="paragraph">
                        <wp:posOffset>65405</wp:posOffset>
                      </wp:positionV>
                      <wp:extent cx="3200400" cy="0"/>
                      <wp:effectExtent l="9525" t="17780" r="9525" b="10795"/>
                      <wp:wrapNone/>
                      <wp:docPr id="504" name="Line 157" descr="P3658C22T4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56E0A" id="Line 157" o:spid="_x0000_s1026" alt="&quot;&quot;"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iOW5q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6DBD9A83" w14:textId="77777777" w:rsidR="002A21AE" w:rsidRDefault="002A21AE">
            <w:pPr>
              <w:pStyle w:val="NotesText"/>
            </w:pPr>
          </w:p>
          <w:p w14:paraId="1DDD91D9" w14:textId="77777777" w:rsidR="002A21AE" w:rsidRDefault="002A21AE">
            <w:pPr>
              <w:pStyle w:val="NotesText"/>
            </w:pPr>
            <w:r>
              <w:rPr>
                <w:rFonts w:cs="Arial"/>
                <w:vanish/>
              </w:rPr>
              <w:t xml:space="preserve">BR_11.18 </w:t>
            </w:r>
            <w:r>
              <w:t>When a shipment is saved but not confirmed, VBECS displays “NOT CONFIRMED” as the shipment date on the print version of the invoice.</w:t>
            </w:r>
          </w:p>
          <w:p w14:paraId="5830E7DB" w14:textId="77777777" w:rsidR="002A21AE" w:rsidRDefault="002A21AE">
            <w:pPr>
              <w:pStyle w:val="NotesText"/>
            </w:pPr>
          </w:p>
          <w:p w14:paraId="673B94F9" w14:textId="77777777" w:rsidR="002A21AE" w:rsidRDefault="002A21AE">
            <w:pPr>
              <w:pStyle w:val="NotesText"/>
            </w:pPr>
            <w:r>
              <w:rPr>
                <w:rFonts w:cs="Arial"/>
                <w:vanish/>
              </w:rPr>
              <w:t xml:space="preserve">BR_17.02 </w:t>
            </w:r>
            <w:r>
              <w:t>The shipping invoice includes patient assignment, restriction, quarantine indicator, biohazard information, antigen typing (specificity and interpretation only), special testing information, and (when it is in a unit record) the autologous unit testing status.</w:t>
            </w:r>
          </w:p>
        </w:tc>
      </w:tr>
      <w:tr w:rsidR="002A21AE" w14:paraId="0BFAF546" w14:textId="77777777" w:rsidTr="001A459B">
        <w:trPr>
          <w:cantSplit/>
        </w:trPr>
        <w:tc>
          <w:tcPr>
            <w:tcW w:w="3240" w:type="dxa"/>
          </w:tcPr>
          <w:p w14:paraId="66871509" w14:textId="77777777" w:rsidR="002A21AE" w:rsidRDefault="002A21AE">
            <w:pPr>
              <w:pStyle w:val="TableTextNumbers"/>
            </w:pPr>
            <w:r>
              <w:lastRenderedPageBreak/>
              <w:t>When the shipment is confirmed, select or edit the date and time in the Shipment Date/Time field.</w:t>
            </w:r>
          </w:p>
          <w:p w14:paraId="673EE7E3" w14:textId="77777777" w:rsidR="002A21AE" w:rsidRDefault="002A21AE">
            <w:pPr>
              <w:pStyle w:val="TableTextNumbersContinued"/>
            </w:pPr>
          </w:p>
          <w:p w14:paraId="7352E5B3" w14:textId="77777777" w:rsidR="002A21AE" w:rsidRDefault="002A21AE">
            <w:pPr>
              <w:pStyle w:val="TableTextNumbersContinued"/>
            </w:pPr>
            <w:r>
              <w:t xml:space="preserve">Click </w:t>
            </w:r>
            <w:r>
              <w:rPr>
                <w:b/>
              </w:rPr>
              <w:t>OK</w:t>
            </w:r>
            <w:r>
              <w:t xml:space="preserve"> to save the information entered or </w:t>
            </w:r>
            <w:r>
              <w:rPr>
                <w:b/>
              </w:rPr>
              <w:t>Cancel</w:t>
            </w:r>
            <w:r>
              <w:t xml:space="preserve"> to return to the invoice.</w:t>
            </w:r>
          </w:p>
        </w:tc>
        <w:tc>
          <w:tcPr>
            <w:tcW w:w="6120" w:type="dxa"/>
          </w:tcPr>
          <w:p w14:paraId="4E42F5FE" w14:textId="77777777" w:rsidR="002A21AE" w:rsidRDefault="002A21AE">
            <w:pPr>
              <w:pStyle w:val="TableTextBullet"/>
            </w:pPr>
            <w:r>
              <w:t>Displays shipment information, including the shipment date and time. When a user accepts the entered date and time, displays the invoice to be printed.</w:t>
            </w:r>
          </w:p>
          <w:p w14:paraId="79E3F5C0" w14:textId="77777777" w:rsidR="002A21AE" w:rsidRDefault="002A21AE">
            <w:pPr>
              <w:pStyle w:val="TableTextBullet"/>
            </w:pPr>
            <w:r>
              <w:t xml:space="preserve">Updates the status of each unit in the shipment to show that each unit was transferred to the ship-to facility and assigns the shipment date and time as the date and time of the transaction. </w:t>
            </w:r>
          </w:p>
          <w:p w14:paraId="3957B6D8" w14:textId="77777777" w:rsidR="002A21AE" w:rsidRDefault="002A21AE">
            <w:pPr>
              <w:pStyle w:val="TableText"/>
            </w:pPr>
          </w:p>
          <w:p w14:paraId="750E4C1D" w14:textId="77777777" w:rsidR="002A21AE" w:rsidRDefault="00057948">
            <w:pPr>
              <w:pStyle w:val="TableText"/>
              <w:rPr>
                <w:b/>
                <w:bCs/>
                <w:szCs w:val="18"/>
              </w:rPr>
            </w:pPr>
            <w:r>
              <w:rPr>
                <w:b/>
                <w:bCs/>
                <w:noProof/>
              </w:rPr>
              <mc:AlternateContent>
                <mc:Choice Requires="wps">
                  <w:drawing>
                    <wp:anchor distT="0" distB="0" distL="114300" distR="114300" simplePos="0" relativeHeight="251589632" behindDoc="0" locked="0" layoutInCell="1" allowOverlap="1" wp14:anchorId="5EB63648" wp14:editId="50767CEE">
                      <wp:simplePos x="0" y="0"/>
                      <wp:positionH relativeFrom="column">
                        <wp:posOffset>457200</wp:posOffset>
                      </wp:positionH>
                      <wp:positionV relativeFrom="paragraph">
                        <wp:posOffset>65405</wp:posOffset>
                      </wp:positionV>
                      <wp:extent cx="3200400" cy="0"/>
                      <wp:effectExtent l="9525" t="17780" r="9525" b="10795"/>
                      <wp:wrapNone/>
                      <wp:docPr id="503" name="Line 158" descr="P3670C24T4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75348" id="Line 158" o:spid="_x0000_s1026" alt="&quot;&quot;"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fAOj7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408AF7F6" w14:textId="77777777" w:rsidR="002A21AE" w:rsidRDefault="002A21AE">
            <w:pPr>
              <w:pStyle w:val="NotesText"/>
            </w:pPr>
          </w:p>
          <w:p w14:paraId="2E5762EC" w14:textId="77777777" w:rsidR="002A21AE" w:rsidRDefault="002A21AE">
            <w:pPr>
              <w:pStyle w:val="NotesText"/>
            </w:pPr>
            <w:r>
              <w:t>When VBECS confirms an outgoing shipment, it:</w:t>
            </w:r>
          </w:p>
          <w:p w14:paraId="697AC74E" w14:textId="77777777" w:rsidR="002A21AE" w:rsidRDefault="002A21AE">
            <w:pPr>
              <w:pStyle w:val="NotesTextBullet"/>
            </w:pPr>
            <w:r>
              <w:rPr>
                <w:rFonts w:cs="Arial"/>
                <w:vanish/>
              </w:rPr>
              <w:t xml:space="preserve">BR_11.08 </w:t>
            </w:r>
            <w:r>
              <w:t xml:space="preserve">Adds the shipment information to the unit record, changes the status of each unit in the shipment to </w:t>
            </w:r>
            <w:r w:rsidR="00FA7E65">
              <w:t>“</w:t>
            </w:r>
            <w:r>
              <w:t>Transferred,</w:t>
            </w:r>
            <w:r w:rsidR="00FA7E65">
              <w:t>”</w:t>
            </w:r>
            <w:r>
              <w:t xml:space="preserve"> and assigns the date and time of the transaction to the shipment.</w:t>
            </w:r>
          </w:p>
          <w:p w14:paraId="263CF7CB" w14:textId="77777777" w:rsidR="002A21AE" w:rsidRDefault="002A21AE">
            <w:pPr>
              <w:pStyle w:val="NotesTextBullet"/>
            </w:pPr>
            <w:r>
              <w:rPr>
                <w:rFonts w:cs="Arial"/>
                <w:vanish/>
              </w:rPr>
              <w:t xml:space="preserve">BR_11.09 </w:t>
            </w:r>
            <w:r>
              <w:t xml:space="preserve">Saves the technologist ID, the name of the printing technologist, the division, and the date and time the shipment was processed. It also saves the confirmation date and time as the date and time of shipment. The user may accept or edit the current date and time </w:t>
            </w:r>
            <w:r w:rsidRPr="00D31A97">
              <w:t>displayed (no future date or time may be entered).</w:t>
            </w:r>
            <w:r w:rsidR="00D31A97" w:rsidRPr="00D31A97">
              <w:t xml:space="preserve"> The unit status is changed to transferred upon invoice confirmation.</w:t>
            </w:r>
          </w:p>
        </w:tc>
      </w:tr>
      <w:tr w:rsidR="002A21AE" w14:paraId="3EBF274A" w14:textId="77777777">
        <w:tc>
          <w:tcPr>
            <w:tcW w:w="3240" w:type="dxa"/>
            <w:tcBorders>
              <w:top w:val="single" w:sz="4" w:space="0" w:color="auto"/>
              <w:left w:val="single" w:sz="4" w:space="0" w:color="auto"/>
              <w:bottom w:val="single" w:sz="4" w:space="0" w:color="auto"/>
              <w:right w:val="single" w:sz="4" w:space="0" w:color="auto"/>
            </w:tcBorders>
          </w:tcPr>
          <w:p w14:paraId="35A03FB1" w14:textId="77777777" w:rsidR="002A21AE" w:rsidRDefault="002A21AE">
            <w:pPr>
              <w:pStyle w:val="TableTextNumbers"/>
            </w:pPr>
            <w:r>
              <w:t xml:space="preserve">Click </w:t>
            </w:r>
            <w:r>
              <w:rPr>
                <w:b/>
              </w:rPr>
              <w:t>Print Invoice</w:t>
            </w:r>
            <w:r>
              <w:t xml:space="preserve"> to generate and view an invoice as in Step </w:t>
            </w:r>
            <w:r w:rsidR="00007EFF">
              <w:t>9</w:t>
            </w:r>
            <w:r>
              <w:t xml:space="preserve">, or click </w:t>
            </w:r>
            <w:r>
              <w:rPr>
                <w:b/>
              </w:rPr>
              <w:t>Cancel</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5FB84B28" w14:textId="77777777" w:rsidR="002A21AE" w:rsidRDefault="002A21AE">
            <w:pPr>
              <w:pStyle w:val="TableTextBullet"/>
            </w:pPr>
            <w:r>
              <w:t xml:space="preserve">Displays the information to be printed on the invoice. </w:t>
            </w:r>
          </w:p>
          <w:p w14:paraId="3C281FEA" w14:textId="77777777" w:rsidR="002A21AE" w:rsidRDefault="002A21AE">
            <w:pPr>
              <w:pStyle w:val="TableTextBullet"/>
            </w:pPr>
            <w:r>
              <w:t>Prints the shipping invoice.</w:t>
            </w:r>
          </w:p>
          <w:p w14:paraId="6A5D1A70" w14:textId="77777777" w:rsidR="002A21AE" w:rsidRDefault="002A21AE">
            <w:pPr>
              <w:pStyle w:val="TableText"/>
            </w:pPr>
          </w:p>
          <w:p w14:paraId="10CC3101" w14:textId="77777777" w:rsidR="002A21AE" w:rsidRDefault="00057948">
            <w:pPr>
              <w:pStyle w:val="TableText"/>
              <w:rPr>
                <w:b/>
              </w:rPr>
            </w:pPr>
            <w:r>
              <w:rPr>
                <w:b/>
                <w:noProof/>
              </w:rPr>
              <mc:AlternateContent>
                <mc:Choice Requires="wps">
                  <w:drawing>
                    <wp:anchor distT="0" distB="0" distL="114300" distR="114300" simplePos="0" relativeHeight="251595776" behindDoc="0" locked="0" layoutInCell="1" allowOverlap="1" wp14:anchorId="21628B64" wp14:editId="6CA38AFA">
                      <wp:simplePos x="0" y="0"/>
                      <wp:positionH relativeFrom="column">
                        <wp:posOffset>457200</wp:posOffset>
                      </wp:positionH>
                      <wp:positionV relativeFrom="paragraph">
                        <wp:posOffset>65405</wp:posOffset>
                      </wp:positionV>
                      <wp:extent cx="3200400" cy="0"/>
                      <wp:effectExtent l="9525" t="17780" r="9525" b="10795"/>
                      <wp:wrapNone/>
                      <wp:docPr id="502" name="Line 489" descr="P3680C26T4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35901" id="Line 489" o:spid="_x0000_s1026" alt="&quot;&quot;"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z5QosMBAABuAwAADgAAAAAAAAAAAAAAAAAu&#10;AgAAZHJzL2Uyb0RvYy54bWxQSwECLQAUAAYACAAAACEAF08wEtsAAAAIAQAADwAAAAAAAAAAAAAA&#10;AAAdBAAAZHJzL2Rvd25yZXYueG1sUEsFBgAAAAAEAAQA8wAAACUFAAAAAA==&#10;" strokeweight="1.5pt"/>
                  </w:pict>
                </mc:Fallback>
              </mc:AlternateContent>
            </w:r>
            <w:r w:rsidR="002A21AE">
              <w:rPr>
                <w:b/>
              </w:rPr>
              <w:t>NOTES</w:t>
            </w:r>
          </w:p>
          <w:p w14:paraId="04809F93" w14:textId="77777777" w:rsidR="002A21AE" w:rsidRDefault="002A21AE">
            <w:pPr>
              <w:pStyle w:val="NotesText"/>
            </w:pPr>
          </w:p>
          <w:p w14:paraId="55768452" w14:textId="77777777" w:rsidR="002A21AE" w:rsidRDefault="002A21AE">
            <w:pPr>
              <w:pStyle w:val="NotesText"/>
            </w:pPr>
            <w:r>
              <w:rPr>
                <w:rFonts w:cs="Arial"/>
                <w:vanish/>
              </w:rPr>
              <w:t xml:space="preserve">BR_92.07 </w:t>
            </w:r>
            <w:r>
              <w:t>When a user prints an invoice and VBECS does not find information to include in the invoice, VBECS notifies the user and asks whether he wants to continue to print. The user may cancel or print the report, which will include “No pending orders found.”</w:t>
            </w:r>
          </w:p>
        </w:tc>
      </w:tr>
    </w:tbl>
    <w:p w14:paraId="46531222" w14:textId="22344BD2" w:rsidR="00D039A6" w:rsidRDefault="00D039A6" w:rsidP="00D039A6">
      <w:pPr>
        <w:pStyle w:val="Caption"/>
      </w:pPr>
      <w:bookmarkStart w:id="286" w:name="_Ref126554236"/>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72</w:t>
      </w:r>
      <w:r w:rsidR="004E20BD">
        <w:rPr>
          <w:noProof/>
        </w:rPr>
        <w:fldChar w:fldCharType="end"/>
      </w:r>
      <w:bookmarkEnd w:id="286"/>
      <w:r>
        <w:t>: Process Outgoing Shipment</w:t>
      </w:r>
    </w:p>
    <w:p w14:paraId="7BEB6A6E" w14:textId="77777777" w:rsidR="00D039A6" w:rsidRDefault="00057948" w:rsidP="00D039A6">
      <w:pPr>
        <w:pStyle w:val="BodyText"/>
      </w:pPr>
      <w:r>
        <w:rPr>
          <w:noProof/>
        </w:rPr>
        <w:drawing>
          <wp:inline distT="0" distB="0" distL="0" distR="0" wp14:anchorId="3C69040D" wp14:editId="591794D3">
            <wp:extent cx="4572000" cy="2567940"/>
            <wp:effectExtent l="0" t="0" r="0" b="3810"/>
            <wp:docPr id="154" name="Picture 154" descr="P3685#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P3685#yIS1">
                      <a:extLst>
                        <a:ext uri="{C183D7F6-B498-43B3-948B-1728B52AA6E4}">
                          <adec:decorative xmlns:adec="http://schemas.microsoft.com/office/drawing/2017/decorative" val="1"/>
                        </a:ext>
                      </a:extLst>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572000" cy="2567940"/>
                    </a:xfrm>
                    <a:prstGeom prst="rect">
                      <a:avLst/>
                    </a:prstGeom>
                    <a:noFill/>
                    <a:ln>
                      <a:noFill/>
                    </a:ln>
                  </pic:spPr>
                </pic:pic>
              </a:graphicData>
            </a:graphic>
          </wp:inline>
        </w:drawing>
      </w:r>
    </w:p>
    <w:p w14:paraId="115EF420" w14:textId="5EEC7E8E" w:rsidR="00A36F63" w:rsidRDefault="00A36F63" w:rsidP="00A36F63">
      <w:pPr>
        <w:pStyle w:val="Caption"/>
      </w:pPr>
      <w:bookmarkStart w:id="287" w:name="_Ref137886628"/>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73</w:t>
      </w:r>
      <w:r w:rsidR="004E20BD">
        <w:rPr>
          <w:noProof/>
        </w:rPr>
        <w:fldChar w:fldCharType="end"/>
      </w:r>
      <w:bookmarkEnd w:id="287"/>
      <w:r>
        <w:t xml:space="preserve">: </w:t>
      </w:r>
      <w:bookmarkStart w:id="288" w:name="OLE_LINK53"/>
      <w:bookmarkStart w:id="289" w:name="OLE_LINK54"/>
      <w:r>
        <w:t>Select Units</w:t>
      </w:r>
      <w:r w:rsidR="0084755D">
        <w:t xml:space="preserve"> 1</w:t>
      </w:r>
      <w:bookmarkEnd w:id="288"/>
      <w:bookmarkEnd w:id="289"/>
    </w:p>
    <w:p w14:paraId="02C83457" w14:textId="77777777" w:rsidR="005438DD" w:rsidRDefault="00057948" w:rsidP="00D039A6">
      <w:pPr>
        <w:pStyle w:val="BodyText"/>
      </w:pPr>
      <w:r>
        <w:rPr>
          <w:noProof/>
        </w:rPr>
        <w:drawing>
          <wp:inline distT="0" distB="0" distL="0" distR="0" wp14:anchorId="13E5097B" wp14:editId="78B5542A">
            <wp:extent cx="4572000" cy="3168015"/>
            <wp:effectExtent l="0" t="0" r="0" b="0"/>
            <wp:docPr id="155" name="Picture 155" descr="P3687#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P3687#yIS1">
                      <a:extLst>
                        <a:ext uri="{C183D7F6-B498-43B3-948B-1728B52AA6E4}">
                          <adec:decorative xmlns:adec="http://schemas.microsoft.com/office/drawing/2017/decorative" val="1"/>
                        </a:ext>
                      </a:extLst>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572000" cy="3168015"/>
                    </a:xfrm>
                    <a:prstGeom prst="rect">
                      <a:avLst/>
                    </a:prstGeom>
                    <a:noFill/>
                    <a:ln>
                      <a:noFill/>
                    </a:ln>
                  </pic:spPr>
                </pic:pic>
              </a:graphicData>
            </a:graphic>
          </wp:inline>
        </w:drawing>
      </w:r>
    </w:p>
    <w:p w14:paraId="558C905F" w14:textId="2321F1A2" w:rsidR="00A36F63" w:rsidRDefault="00A36F63" w:rsidP="00A36F63">
      <w:pPr>
        <w:pStyle w:val="Caption"/>
      </w:pPr>
      <w:bookmarkStart w:id="290" w:name="_Ref137886705"/>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74</w:t>
      </w:r>
      <w:r w:rsidR="004E20BD">
        <w:rPr>
          <w:noProof/>
        </w:rPr>
        <w:fldChar w:fldCharType="end"/>
      </w:r>
      <w:bookmarkEnd w:id="290"/>
      <w:r>
        <w:t xml:space="preserve">: </w:t>
      </w:r>
      <w:r w:rsidR="0084755D">
        <w:t>Select Units 2</w:t>
      </w:r>
    </w:p>
    <w:p w14:paraId="0C8B7125" w14:textId="77777777" w:rsidR="004171E1" w:rsidRDefault="00057948" w:rsidP="00D039A6">
      <w:pPr>
        <w:pStyle w:val="BodyText"/>
      </w:pPr>
      <w:r>
        <w:rPr>
          <w:noProof/>
        </w:rPr>
        <w:drawing>
          <wp:inline distT="0" distB="0" distL="0" distR="0" wp14:anchorId="014388F1" wp14:editId="5F6AD694">
            <wp:extent cx="4692015" cy="3195955"/>
            <wp:effectExtent l="0" t="0" r="0" b="4445"/>
            <wp:docPr id="156" name="Picture 156" descr="P3689#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P3689#yIS1">
                      <a:extLst>
                        <a:ext uri="{C183D7F6-B498-43B3-948B-1728B52AA6E4}">
                          <adec:decorative xmlns:adec="http://schemas.microsoft.com/office/drawing/2017/decorative" val="1"/>
                        </a:ext>
                      </a:extLst>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692015" cy="3195955"/>
                    </a:xfrm>
                    <a:prstGeom prst="rect">
                      <a:avLst/>
                    </a:prstGeom>
                    <a:noFill/>
                    <a:ln>
                      <a:noFill/>
                    </a:ln>
                  </pic:spPr>
                </pic:pic>
              </a:graphicData>
            </a:graphic>
          </wp:inline>
        </w:drawing>
      </w:r>
    </w:p>
    <w:p w14:paraId="5C8060BF" w14:textId="0F742831" w:rsidR="0084755D" w:rsidRDefault="0084755D" w:rsidP="0084755D">
      <w:pPr>
        <w:pStyle w:val="Caption"/>
      </w:pPr>
      <w:bookmarkStart w:id="291" w:name="_Ref137888427"/>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75</w:t>
      </w:r>
      <w:r w:rsidR="004E20BD">
        <w:rPr>
          <w:noProof/>
        </w:rPr>
        <w:fldChar w:fldCharType="end"/>
      </w:r>
      <w:bookmarkEnd w:id="291"/>
      <w:r>
        <w:t>: Select Units 3</w:t>
      </w:r>
    </w:p>
    <w:p w14:paraId="440C6417" w14:textId="77777777" w:rsidR="0084755D" w:rsidRDefault="00057948" w:rsidP="00D039A6">
      <w:pPr>
        <w:pStyle w:val="BodyText"/>
      </w:pPr>
      <w:r>
        <w:rPr>
          <w:noProof/>
        </w:rPr>
        <w:drawing>
          <wp:inline distT="0" distB="0" distL="0" distR="0" wp14:anchorId="0CE16BD9" wp14:editId="20B6C768">
            <wp:extent cx="4683125" cy="3241675"/>
            <wp:effectExtent l="0" t="0" r="3175" b="0"/>
            <wp:docPr id="157" name="Picture 157" descr="P3691#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P3691#yIS1">
                      <a:extLst>
                        <a:ext uri="{C183D7F6-B498-43B3-948B-1728B52AA6E4}">
                          <adec:decorative xmlns:adec="http://schemas.microsoft.com/office/drawing/2017/decorative" val="1"/>
                        </a:ext>
                      </a:extLst>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683125" cy="3241675"/>
                    </a:xfrm>
                    <a:prstGeom prst="rect">
                      <a:avLst/>
                    </a:prstGeom>
                    <a:noFill/>
                    <a:ln>
                      <a:noFill/>
                    </a:ln>
                  </pic:spPr>
                </pic:pic>
              </a:graphicData>
            </a:graphic>
          </wp:inline>
        </w:drawing>
      </w:r>
    </w:p>
    <w:p w14:paraId="2A68A4FE" w14:textId="22B13D9C" w:rsidR="0084755D" w:rsidRDefault="0084755D" w:rsidP="0084755D">
      <w:pPr>
        <w:pStyle w:val="Caption"/>
      </w:pPr>
      <w:bookmarkStart w:id="292" w:name="_Ref137888482"/>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76</w:t>
      </w:r>
      <w:r w:rsidR="004E20BD">
        <w:rPr>
          <w:noProof/>
        </w:rPr>
        <w:fldChar w:fldCharType="end"/>
      </w:r>
      <w:bookmarkEnd w:id="292"/>
      <w:r>
        <w:t>: Select Units 4</w:t>
      </w:r>
    </w:p>
    <w:p w14:paraId="0B8E6790" w14:textId="77777777" w:rsidR="00FC76B3" w:rsidRDefault="00057948" w:rsidP="00D039A6">
      <w:pPr>
        <w:pStyle w:val="BodyText"/>
      </w:pPr>
      <w:r>
        <w:rPr>
          <w:noProof/>
        </w:rPr>
        <w:drawing>
          <wp:inline distT="0" distB="0" distL="0" distR="0" wp14:anchorId="0FC4E872" wp14:editId="1F0C99E1">
            <wp:extent cx="4627245" cy="3195955"/>
            <wp:effectExtent l="0" t="0" r="1905" b="4445"/>
            <wp:docPr id="158" name="Picture 158" descr="P369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P3693#yIS1">
                      <a:extLst>
                        <a:ext uri="{C183D7F6-B498-43B3-948B-1728B52AA6E4}">
                          <adec:decorative xmlns:adec="http://schemas.microsoft.com/office/drawing/2017/decorative" val="1"/>
                        </a:ext>
                      </a:extLst>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627245" cy="3195955"/>
                    </a:xfrm>
                    <a:prstGeom prst="rect">
                      <a:avLst/>
                    </a:prstGeom>
                    <a:noFill/>
                    <a:ln>
                      <a:noFill/>
                    </a:ln>
                  </pic:spPr>
                </pic:pic>
              </a:graphicData>
            </a:graphic>
          </wp:inline>
        </w:drawing>
      </w:r>
    </w:p>
    <w:p w14:paraId="7127B722" w14:textId="6B8A3771" w:rsidR="00AA511E" w:rsidRDefault="00AA511E" w:rsidP="00AA511E">
      <w:pPr>
        <w:pStyle w:val="Caption"/>
      </w:pPr>
      <w:bookmarkStart w:id="293" w:name="_Ref137888790"/>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77</w:t>
      </w:r>
      <w:r w:rsidR="004E20BD">
        <w:rPr>
          <w:noProof/>
        </w:rPr>
        <w:fldChar w:fldCharType="end"/>
      </w:r>
      <w:bookmarkEnd w:id="293"/>
      <w:r>
        <w:t>: Select Units 5</w:t>
      </w:r>
    </w:p>
    <w:p w14:paraId="1BA9798E" w14:textId="77777777" w:rsidR="00AA511E" w:rsidRDefault="00057948" w:rsidP="00A36F63">
      <w:pPr>
        <w:pStyle w:val="Caption"/>
      </w:pPr>
      <w:r>
        <w:rPr>
          <w:b w:val="0"/>
          <w:noProof/>
        </w:rPr>
        <w:drawing>
          <wp:inline distT="0" distB="0" distL="0" distR="0" wp14:anchorId="3BF15136" wp14:editId="41780FF3">
            <wp:extent cx="4405630" cy="3038475"/>
            <wp:effectExtent l="0" t="0" r="0" b="9525"/>
            <wp:docPr id="159" name="Picture 159" descr="P3695#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P3695#yIS1">
                      <a:extLst>
                        <a:ext uri="{C183D7F6-B498-43B3-948B-1728B52AA6E4}">
                          <adec:decorative xmlns:adec="http://schemas.microsoft.com/office/drawing/2017/decorative" val="1"/>
                        </a:ext>
                      </a:extLs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405630" cy="3038475"/>
                    </a:xfrm>
                    <a:prstGeom prst="rect">
                      <a:avLst/>
                    </a:prstGeom>
                    <a:noFill/>
                    <a:ln>
                      <a:noFill/>
                    </a:ln>
                  </pic:spPr>
                </pic:pic>
              </a:graphicData>
            </a:graphic>
          </wp:inline>
        </w:drawing>
      </w:r>
    </w:p>
    <w:p w14:paraId="4FA90D22" w14:textId="26DDACC0" w:rsidR="00A36F63" w:rsidRDefault="00A36F63" w:rsidP="00A36F63">
      <w:pPr>
        <w:pStyle w:val="Caption"/>
      </w:pPr>
      <w:bookmarkStart w:id="294" w:name="_Ref137888867"/>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78</w:t>
      </w:r>
      <w:r w:rsidR="004E20BD">
        <w:rPr>
          <w:noProof/>
        </w:rPr>
        <w:fldChar w:fldCharType="end"/>
      </w:r>
      <w:bookmarkEnd w:id="294"/>
      <w:r>
        <w:t>: Return Credit Update</w:t>
      </w:r>
    </w:p>
    <w:p w14:paraId="2369B54F" w14:textId="77777777" w:rsidR="00FC76B3" w:rsidRDefault="00057948" w:rsidP="00D039A6">
      <w:pPr>
        <w:pStyle w:val="BodyText"/>
      </w:pPr>
      <w:r>
        <w:rPr>
          <w:noProof/>
        </w:rPr>
        <w:drawing>
          <wp:inline distT="0" distB="0" distL="0" distR="0" wp14:anchorId="379FCAD6" wp14:editId="3608B47F">
            <wp:extent cx="4378325" cy="3020060"/>
            <wp:effectExtent l="0" t="0" r="3175" b="8890"/>
            <wp:docPr id="160" name="Picture 160" descr="P3697#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P3697#yIS1">
                      <a:extLst>
                        <a:ext uri="{C183D7F6-B498-43B3-948B-1728B52AA6E4}">
                          <adec:decorative xmlns:adec="http://schemas.microsoft.com/office/drawing/2017/decorative" val="1"/>
                        </a:ext>
                      </a:extLst>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378325" cy="3020060"/>
                    </a:xfrm>
                    <a:prstGeom prst="rect">
                      <a:avLst/>
                    </a:prstGeom>
                    <a:noFill/>
                    <a:ln>
                      <a:noFill/>
                    </a:ln>
                  </pic:spPr>
                </pic:pic>
              </a:graphicData>
            </a:graphic>
          </wp:inline>
        </w:drawing>
      </w:r>
    </w:p>
    <w:p w14:paraId="295D5704" w14:textId="39D50A82" w:rsidR="00AA511E" w:rsidRDefault="00AA511E" w:rsidP="00AA511E">
      <w:pPr>
        <w:pStyle w:val="Caption"/>
      </w:pPr>
      <w:bookmarkStart w:id="295" w:name="_Ref137889266"/>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79</w:t>
      </w:r>
      <w:r w:rsidR="004E20BD">
        <w:rPr>
          <w:noProof/>
        </w:rPr>
        <w:fldChar w:fldCharType="end"/>
      </w:r>
      <w:bookmarkEnd w:id="295"/>
      <w:r>
        <w:t>: Confirm Invoice</w:t>
      </w:r>
    </w:p>
    <w:p w14:paraId="7CDFFA95" w14:textId="77777777" w:rsidR="00AA511E" w:rsidRDefault="00057948" w:rsidP="00A36F63">
      <w:pPr>
        <w:pStyle w:val="Caption"/>
      </w:pPr>
      <w:r>
        <w:rPr>
          <w:b w:val="0"/>
          <w:noProof/>
        </w:rPr>
        <w:drawing>
          <wp:inline distT="0" distB="0" distL="0" distR="0" wp14:anchorId="01722D59" wp14:editId="0701301A">
            <wp:extent cx="4405630" cy="3038475"/>
            <wp:effectExtent l="0" t="0" r="0" b="9525"/>
            <wp:docPr id="161" name="Picture 161" descr="P3699#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P3699#yIS1">
                      <a:extLst>
                        <a:ext uri="{C183D7F6-B498-43B3-948B-1728B52AA6E4}">
                          <adec:decorative xmlns:adec="http://schemas.microsoft.com/office/drawing/2017/decorative" val="1"/>
                        </a:ext>
                      </a:extLs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405630" cy="3038475"/>
                    </a:xfrm>
                    <a:prstGeom prst="rect">
                      <a:avLst/>
                    </a:prstGeom>
                    <a:noFill/>
                    <a:ln>
                      <a:noFill/>
                    </a:ln>
                  </pic:spPr>
                </pic:pic>
              </a:graphicData>
            </a:graphic>
          </wp:inline>
        </w:drawing>
      </w:r>
    </w:p>
    <w:p w14:paraId="379D26EE" w14:textId="47B7E7F2" w:rsidR="00A36F63" w:rsidRDefault="00A36F63" w:rsidP="00A36F63">
      <w:pPr>
        <w:pStyle w:val="Caption"/>
      </w:pPr>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80</w:t>
      </w:r>
      <w:r w:rsidR="004E20BD">
        <w:rPr>
          <w:noProof/>
        </w:rPr>
        <w:fldChar w:fldCharType="end"/>
      </w:r>
      <w:r>
        <w:t>: Modify Return Credit</w:t>
      </w:r>
    </w:p>
    <w:p w14:paraId="22EB5B98" w14:textId="77777777" w:rsidR="00FC76B3" w:rsidRDefault="00057948" w:rsidP="00D039A6">
      <w:pPr>
        <w:pStyle w:val="BodyText"/>
      </w:pPr>
      <w:r>
        <w:rPr>
          <w:noProof/>
        </w:rPr>
        <w:drawing>
          <wp:inline distT="0" distB="0" distL="0" distR="0" wp14:anchorId="4EE172E2" wp14:editId="539EFF41">
            <wp:extent cx="3444875" cy="2050415"/>
            <wp:effectExtent l="0" t="0" r="3175" b="6985"/>
            <wp:docPr id="162" name="Picture 162" descr="P3701#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P3701#yIS1">
                      <a:extLst>
                        <a:ext uri="{C183D7F6-B498-43B3-948B-1728B52AA6E4}">
                          <adec:decorative xmlns:adec="http://schemas.microsoft.com/office/drawing/2017/decorative" val="1"/>
                        </a:ext>
                      </a:extLst>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444875" cy="2050415"/>
                    </a:xfrm>
                    <a:prstGeom prst="rect">
                      <a:avLst/>
                    </a:prstGeom>
                    <a:noFill/>
                    <a:ln>
                      <a:noFill/>
                    </a:ln>
                  </pic:spPr>
                </pic:pic>
              </a:graphicData>
            </a:graphic>
          </wp:inline>
        </w:drawing>
      </w:r>
    </w:p>
    <w:p w14:paraId="3A25959C" w14:textId="6013F149" w:rsidR="002041DB" w:rsidRDefault="002041DB" w:rsidP="002041DB">
      <w:pPr>
        <w:pStyle w:val="Caption"/>
      </w:pPr>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81</w:t>
      </w:r>
      <w:r w:rsidR="004E20BD">
        <w:rPr>
          <w:noProof/>
        </w:rPr>
        <w:fldChar w:fldCharType="end"/>
      </w:r>
      <w:r>
        <w:t>: Confirm Shipment</w:t>
      </w:r>
    </w:p>
    <w:p w14:paraId="4EE94EC6" w14:textId="77777777" w:rsidR="002041DB" w:rsidRDefault="00057948" w:rsidP="00D039A6">
      <w:pPr>
        <w:pStyle w:val="BodyText"/>
      </w:pPr>
      <w:r>
        <w:rPr>
          <w:b/>
          <w:noProof/>
        </w:rPr>
        <w:drawing>
          <wp:inline distT="0" distB="0" distL="0" distR="0" wp14:anchorId="5B9AB86D" wp14:editId="15B34818">
            <wp:extent cx="4405630" cy="3038475"/>
            <wp:effectExtent l="0" t="0" r="0" b="9525"/>
            <wp:docPr id="163" name="Picture 163" descr="P370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P3703#yIS1">
                      <a:extLst>
                        <a:ext uri="{C183D7F6-B498-43B3-948B-1728B52AA6E4}">
                          <adec:decorative xmlns:adec="http://schemas.microsoft.com/office/drawing/2017/decorative" val="1"/>
                        </a:ext>
                      </a:extLs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405630" cy="3038475"/>
                    </a:xfrm>
                    <a:prstGeom prst="rect">
                      <a:avLst/>
                    </a:prstGeom>
                    <a:noFill/>
                    <a:ln>
                      <a:noFill/>
                    </a:ln>
                  </pic:spPr>
                </pic:pic>
              </a:graphicData>
            </a:graphic>
          </wp:inline>
        </w:drawing>
      </w:r>
    </w:p>
    <w:p w14:paraId="677FD83F" w14:textId="7C0FD55F" w:rsidR="002041DB" w:rsidRDefault="002041DB" w:rsidP="002041DB">
      <w:pPr>
        <w:pStyle w:val="Caption"/>
      </w:pPr>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82</w:t>
      </w:r>
      <w:r w:rsidR="004E20BD">
        <w:rPr>
          <w:noProof/>
        </w:rPr>
        <w:fldChar w:fldCharType="end"/>
      </w:r>
      <w:r>
        <w:t>: Confirm Shipment Date</w:t>
      </w:r>
    </w:p>
    <w:p w14:paraId="2E97CC51" w14:textId="77777777" w:rsidR="002041DB" w:rsidRDefault="00057948" w:rsidP="00A815F7">
      <w:pPr>
        <w:pStyle w:val="BodyText"/>
      </w:pPr>
      <w:r>
        <w:rPr>
          <w:noProof/>
        </w:rPr>
        <w:drawing>
          <wp:inline distT="0" distB="0" distL="0" distR="0" wp14:anchorId="3923986D" wp14:editId="19E16E47">
            <wp:extent cx="4405630" cy="3048000"/>
            <wp:effectExtent l="0" t="0" r="0" b="0"/>
            <wp:docPr id="164" name="Picture 164" descr="P3705#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P3705#yIS1">
                      <a:extLst>
                        <a:ext uri="{C183D7F6-B498-43B3-948B-1728B52AA6E4}">
                          <adec:decorative xmlns:adec="http://schemas.microsoft.com/office/drawing/2017/decorative" val="1"/>
                        </a:ext>
                      </a:extLst>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405630" cy="3048000"/>
                    </a:xfrm>
                    <a:prstGeom prst="rect">
                      <a:avLst/>
                    </a:prstGeom>
                    <a:noFill/>
                    <a:ln>
                      <a:noFill/>
                    </a:ln>
                  </pic:spPr>
                </pic:pic>
              </a:graphicData>
            </a:graphic>
          </wp:inline>
        </w:drawing>
      </w:r>
    </w:p>
    <w:p w14:paraId="10861AB1" w14:textId="32913D6C" w:rsidR="002041DB" w:rsidRDefault="002041DB" w:rsidP="002041DB">
      <w:pPr>
        <w:pStyle w:val="Caption"/>
      </w:pPr>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83</w:t>
      </w:r>
      <w:r w:rsidR="004E20BD">
        <w:rPr>
          <w:noProof/>
        </w:rPr>
        <w:fldChar w:fldCharType="end"/>
      </w:r>
      <w:r>
        <w:t>: Confirmation of Invoice</w:t>
      </w:r>
    </w:p>
    <w:p w14:paraId="03BAB4EC" w14:textId="77777777" w:rsidR="00A815F7" w:rsidRDefault="00057948" w:rsidP="00A815F7">
      <w:pPr>
        <w:pStyle w:val="BodyText"/>
      </w:pPr>
      <w:r>
        <w:rPr>
          <w:noProof/>
        </w:rPr>
        <w:drawing>
          <wp:inline distT="0" distB="0" distL="0" distR="0" wp14:anchorId="57463510" wp14:editId="78505E0D">
            <wp:extent cx="1588770" cy="1136015"/>
            <wp:effectExtent l="0" t="0" r="0" b="6985"/>
            <wp:docPr id="165" name="Picture 165" descr="P3707#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P3707#yIS1">
                      <a:extLst>
                        <a:ext uri="{C183D7F6-B498-43B3-948B-1728B52AA6E4}">
                          <adec:decorative xmlns:adec="http://schemas.microsoft.com/office/drawing/2017/decorative" val="1"/>
                        </a:ext>
                      </a:extLst>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588770" cy="1136015"/>
                    </a:xfrm>
                    <a:prstGeom prst="rect">
                      <a:avLst/>
                    </a:prstGeom>
                    <a:noFill/>
                    <a:ln>
                      <a:noFill/>
                    </a:ln>
                  </pic:spPr>
                </pic:pic>
              </a:graphicData>
            </a:graphic>
          </wp:inline>
        </w:drawing>
      </w:r>
    </w:p>
    <w:p w14:paraId="2CBB7330" w14:textId="77777777" w:rsidR="002A21AE" w:rsidRDefault="002A21AE" w:rsidP="00597EEA">
      <w:pPr>
        <w:pStyle w:val="Heading3"/>
      </w:pPr>
      <w:bookmarkStart w:id="296" w:name="_Toc4588777"/>
      <w:r>
        <w:t>Edit Invoice Text</w:t>
      </w:r>
      <w:bookmarkEnd w:id="296"/>
      <w:r w:rsidRPr="009F1B54">
        <w:rPr>
          <w:rFonts w:ascii="Arial Bold" w:hAnsi="Arial Bold"/>
          <w:vanish/>
        </w:rPr>
        <w:fldChar w:fldCharType="begin"/>
      </w:r>
      <w:r w:rsidRPr="009F1B54">
        <w:rPr>
          <w:rFonts w:ascii="Arial Bold" w:hAnsi="Arial Bold"/>
          <w:vanish/>
        </w:rPr>
        <w:instrText xml:space="preserve"> XE </w:instrText>
      </w:r>
      <w:r w:rsidR="00FA7E65" w:rsidRPr="009F1B54">
        <w:rPr>
          <w:rFonts w:ascii="Arial Bold" w:hAnsi="Arial Bold"/>
          <w:vanish/>
        </w:rPr>
        <w:instrText>“</w:instrText>
      </w:r>
      <w:r w:rsidRPr="009F1B54">
        <w:rPr>
          <w:rFonts w:ascii="Arial Bold" w:hAnsi="Arial Bold"/>
          <w:vanish/>
        </w:rPr>
        <w:instrText>Edit Invoice Text</w:instrText>
      </w:r>
      <w:r w:rsidR="00FA7E65" w:rsidRPr="009F1B54">
        <w:rPr>
          <w:rFonts w:ascii="Arial Bold" w:hAnsi="Arial Bold"/>
          <w:vanish/>
        </w:rPr>
        <w:instrText>”</w:instrText>
      </w:r>
      <w:r w:rsidRPr="009F1B54">
        <w:rPr>
          <w:rFonts w:ascii="Arial Bold" w:hAnsi="Arial Bold"/>
          <w:vanish/>
        </w:rPr>
        <w:instrText xml:space="preserve"> </w:instrText>
      </w:r>
      <w:r w:rsidRPr="009F1B54">
        <w:rPr>
          <w:rFonts w:ascii="Arial Bold" w:hAnsi="Arial Bold"/>
          <w:vanish/>
        </w:rPr>
        <w:fldChar w:fldCharType="end"/>
      </w:r>
      <w:r w:rsidRPr="009F1B54">
        <w:rPr>
          <w:rFonts w:ascii="Arial Bold" w:hAnsi="Arial Bold"/>
          <w:vanish/>
        </w:rPr>
        <w:t xml:space="preserve"> UC_17</w:t>
      </w:r>
    </w:p>
    <w:p w14:paraId="2E3ECDC8" w14:textId="77777777" w:rsidR="002A21AE" w:rsidRDefault="002A21AE" w:rsidP="00FA7E65">
      <w:pPr>
        <w:pStyle w:val="BodyText"/>
      </w:pPr>
      <w:r>
        <w:t xml:space="preserve">VBECS includes a shipping invoice. The user may edit the explanatory text above the signature on the last page of a shipping invoice. </w:t>
      </w:r>
    </w:p>
    <w:p w14:paraId="3A69473A" w14:textId="77777777" w:rsidR="002A21AE" w:rsidRDefault="002A21AE">
      <w:pPr>
        <w:pStyle w:val="Heading4"/>
        <w:rPr>
          <w:b w:val="0"/>
        </w:rPr>
      </w:pPr>
      <w:r>
        <w:t>Assumptions</w:t>
      </w:r>
      <w:r>
        <w:rPr>
          <w:b w:val="0"/>
        </w:rPr>
        <w:t xml:space="preserve"> </w:t>
      </w:r>
    </w:p>
    <w:p w14:paraId="73DE402D" w14:textId="77777777" w:rsidR="002A21AE" w:rsidRDefault="002A21AE">
      <w:pPr>
        <w:pStyle w:val="ListBullet"/>
      </w:pPr>
      <w:r>
        <w:t>Information on the outgoing shipment invoice is generated during Outgoing Shipment.</w:t>
      </w:r>
    </w:p>
    <w:p w14:paraId="305102D2" w14:textId="77777777" w:rsidR="002A21AE" w:rsidRDefault="002A21AE">
      <w:pPr>
        <w:pStyle w:val="Heading4"/>
      </w:pPr>
      <w:r>
        <w:t>Outcome</w:t>
      </w:r>
    </w:p>
    <w:p w14:paraId="2EE61186" w14:textId="77777777" w:rsidR="002A21AE" w:rsidRDefault="002A21AE">
      <w:pPr>
        <w:pStyle w:val="ListBullet"/>
      </w:pPr>
      <w:r>
        <w:t>A division customized the text displayed on an outgoing shipment invoice.</w:t>
      </w:r>
    </w:p>
    <w:p w14:paraId="4B3B1659" w14:textId="77777777" w:rsidR="002A21AE" w:rsidRDefault="002A21AE">
      <w:pPr>
        <w:pStyle w:val="Heading4"/>
        <w:rPr>
          <w:b w:val="0"/>
        </w:rPr>
      </w:pPr>
      <w:r>
        <w:t>Limitations and Restrictions</w:t>
      </w:r>
      <w:r>
        <w:rPr>
          <w:b w:val="0"/>
        </w:rPr>
        <w:t xml:space="preserve"> </w:t>
      </w:r>
    </w:p>
    <w:p w14:paraId="34D537EA" w14:textId="77777777" w:rsidR="002A21AE" w:rsidRDefault="002A21AE">
      <w:pPr>
        <w:pStyle w:val="ListBullet"/>
        <w:ind w:left="720"/>
      </w:pPr>
      <w:r>
        <w:t>None</w:t>
      </w:r>
    </w:p>
    <w:p w14:paraId="72CECED7" w14:textId="77777777" w:rsidR="002A21AE" w:rsidRDefault="002A21AE">
      <w:pPr>
        <w:pStyle w:val="Heading4"/>
      </w:pPr>
      <w:r>
        <w:t xml:space="preserve">Additional Information </w:t>
      </w:r>
    </w:p>
    <w:p w14:paraId="02E20F36" w14:textId="77777777" w:rsidR="000D6A15" w:rsidRDefault="000D6A15" w:rsidP="000D6A15">
      <w:pPr>
        <w:pStyle w:val="ListBullet"/>
      </w:pPr>
      <w:r w:rsidRPr="000D6A15">
        <w:rPr>
          <w:vanish/>
        </w:rPr>
        <w:t>BR_17.05</w:t>
      </w:r>
      <w:r w:rsidRPr="00D21BA8">
        <w:t>T</w:t>
      </w:r>
      <w:r>
        <w:t>he default explanatory text</w:t>
      </w:r>
      <w:r w:rsidR="00D21BA8">
        <w:t xml:space="preserve"> reads</w:t>
      </w:r>
      <w:r>
        <w:t>: “</w:t>
      </w:r>
      <w:r w:rsidRPr="005861CC">
        <w:t>I certify that the blood products listed were properly maintained, in accordance with the Code of Federal Regulations, while in storage at this institution. Components were inspected when packed for shipment and found to be satisfactory in color and appearance.</w:t>
      </w:r>
      <w:r>
        <w:t>”</w:t>
      </w:r>
    </w:p>
    <w:p w14:paraId="356E3CE5" w14:textId="77777777" w:rsidR="002A21AE" w:rsidRDefault="002A21AE">
      <w:pPr>
        <w:pStyle w:val="Heading4"/>
        <w:tabs>
          <w:tab w:val="left" w:pos="4140"/>
        </w:tabs>
        <w:rPr>
          <w:snapToGrid w:val="0"/>
        </w:rPr>
      </w:pPr>
      <w:r>
        <w:rPr>
          <w:snapToGrid w:val="0"/>
        </w:rPr>
        <w:t xml:space="preserve">User Roles with Access to This Option </w:t>
      </w:r>
    </w:p>
    <w:p w14:paraId="6122F276" w14:textId="77777777" w:rsidR="002A21AE" w:rsidRDefault="00B2267D">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Pr>
          <w:snapToGrid w:val="0"/>
        </w:rPr>
        <w:t>Enhanced Supervisor</w:t>
      </w:r>
    </w:p>
    <w:p w14:paraId="14BC7E79" w14:textId="77777777" w:rsidR="002A21AE" w:rsidRDefault="002A21AE">
      <w:pPr>
        <w:pStyle w:val="Heading4"/>
        <w:rPr>
          <w:snapToGrid w:val="0"/>
        </w:rPr>
      </w:pPr>
      <w:r>
        <w:rPr>
          <w:snapToGrid w:val="0"/>
        </w:rPr>
        <w:t>Edit Invoice Text</w:t>
      </w:r>
    </w:p>
    <w:p w14:paraId="1E4CA720" w14:textId="77777777" w:rsidR="002A21AE" w:rsidRDefault="002A21AE" w:rsidP="00FA7E65">
      <w:pPr>
        <w:pStyle w:val="BodyText"/>
      </w:pPr>
      <w:r>
        <w:t>The blood bank user needs to edit the shipping invoice text box to conform to changes in regulations or division requirements. When the edit is complete, the user saves the altered text for future shipping invoices. An audit trail of changes is maintained.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1A18DC7A" w14:textId="77777777">
        <w:trPr>
          <w:cantSplit/>
          <w:tblHeader/>
        </w:trPr>
        <w:tc>
          <w:tcPr>
            <w:tcW w:w="3240" w:type="dxa"/>
            <w:shd w:val="pct30" w:color="auto" w:fill="FFFFFF"/>
            <w:vAlign w:val="bottom"/>
          </w:tcPr>
          <w:p w14:paraId="7DB42ED1" w14:textId="77777777" w:rsidR="002A21AE" w:rsidRDefault="002A21AE">
            <w:pPr>
              <w:pStyle w:val="TableText"/>
              <w:rPr>
                <w:b/>
              </w:rPr>
            </w:pPr>
            <w:r>
              <w:rPr>
                <w:b/>
              </w:rPr>
              <w:t>User Action</w:t>
            </w:r>
          </w:p>
        </w:tc>
        <w:tc>
          <w:tcPr>
            <w:tcW w:w="6120" w:type="dxa"/>
            <w:shd w:val="pct30" w:color="auto" w:fill="FFFFFF"/>
            <w:vAlign w:val="bottom"/>
          </w:tcPr>
          <w:p w14:paraId="047510F9" w14:textId="77777777" w:rsidR="002A21AE" w:rsidRDefault="002A21AE">
            <w:pPr>
              <w:pStyle w:val="TableText"/>
              <w:rPr>
                <w:b/>
              </w:rPr>
            </w:pPr>
            <w:r>
              <w:rPr>
                <w:b/>
              </w:rPr>
              <w:t>VBECS</w:t>
            </w:r>
          </w:p>
        </w:tc>
      </w:tr>
      <w:tr w:rsidR="002A21AE" w14:paraId="42DA7C32" w14:textId="77777777">
        <w:trPr>
          <w:cantSplit/>
        </w:trPr>
        <w:tc>
          <w:tcPr>
            <w:tcW w:w="3240" w:type="dxa"/>
          </w:tcPr>
          <w:p w14:paraId="46CEFAC1" w14:textId="77777777" w:rsidR="002A21AE" w:rsidRDefault="002A21AE">
            <w:pPr>
              <w:pStyle w:val="TableTextNumbers"/>
            </w:pPr>
            <w:r>
              <w:t xml:space="preserve">Select </w:t>
            </w:r>
            <w:r>
              <w:rPr>
                <w:b/>
              </w:rPr>
              <w:t>Shipments</w:t>
            </w:r>
            <w:r>
              <w:t xml:space="preserve"> from the main menu. </w:t>
            </w:r>
          </w:p>
          <w:p w14:paraId="0D768E11" w14:textId="77777777" w:rsidR="002A21AE" w:rsidRDefault="002A21AE">
            <w:pPr>
              <w:pStyle w:val="TableTextNumbersContinued"/>
            </w:pPr>
          </w:p>
          <w:p w14:paraId="1834CE63" w14:textId="77777777" w:rsidR="002A21AE" w:rsidRDefault="002A21AE">
            <w:pPr>
              <w:pStyle w:val="TableTextNumbersContinued"/>
            </w:pPr>
            <w:r>
              <w:t xml:space="preserve">Select </w:t>
            </w:r>
            <w:r>
              <w:rPr>
                <w:b/>
              </w:rPr>
              <w:t>Edit Invoice Text.</w:t>
            </w:r>
          </w:p>
        </w:tc>
        <w:tc>
          <w:tcPr>
            <w:tcW w:w="6120" w:type="dxa"/>
          </w:tcPr>
          <w:p w14:paraId="3CDE65E3" w14:textId="77777777" w:rsidR="002A21AE" w:rsidRDefault="002A21AE">
            <w:pPr>
              <w:pStyle w:val="TableTextBullet"/>
            </w:pPr>
            <w:r>
              <w:t xml:space="preserve">Displays options for processing blood product shipments. </w:t>
            </w:r>
          </w:p>
          <w:p w14:paraId="3AF7789A" w14:textId="77777777" w:rsidR="002A21AE" w:rsidRDefault="002A21AE">
            <w:pPr>
              <w:pStyle w:val="TableTextBullet"/>
            </w:pPr>
            <w:r>
              <w:t>Displays the current text for outgoing shipment invoice.</w:t>
            </w:r>
          </w:p>
        </w:tc>
      </w:tr>
      <w:tr w:rsidR="002A21AE" w14:paraId="45C3B790" w14:textId="77777777">
        <w:trPr>
          <w:cantSplit/>
        </w:trPr>
        <w:tc>
          <w:tcPr>
            <w:tcW w:w="3240" w:type="dxa"/>
          </w:tcPr>
          <w:p w14:paraId="52DB523F" w14:textId="77777777" w:rsidR="002A21AE" w:rsidRDefault="002A21AE">
            <w:pPr>
              <w:pStyle w:val="TableTextNumbers"/>
            </w:pPr>
            <w:r>
              <w:t>Edit the text.</w:t>
            </w:r>
          </w:p>
        </w:tc>
        <w:tc>
          <w:tcPr>
            <w:tcW w:w="6120" w:type="dxa"/>
          </w:tcPr>
          <w:p w14:paraId="42EF0AAF" w14:textId="77777777" w:rsidR="002A21AE" w:rsidRDefault="002A21AE">
            <w:pPr>
              <w:pStyle w:val="TableTextBullet"/>
            </w:pPr>
            <w:r>
              <w:t xml:space="preserve">Displays entered data and changes for review. </w:t>
            </w:r>
          </w:p>
          <w:p w14:paraId="6779C692" w14:textId="77777777" w:rsidR="002A21AE" w:rsidRDefault="002A21AE">
            <w:pPr>
              <w:pStyle w:val="TableTextBullet"/>
            </w:pPr>
            <w:r>
              <w:t>Prompts the user to save or reject the changes.</w:t>
            </w:r>
          </w:p>
        </w:tc>
      </w:tr>
      <w:tr w:rsidR="002A21AE" w14:paraId="5ED702CC" w14:textId="77777777">
        <w:trPr>
          <w:cantSplit/>
        </w:trPr>
        <w:tc>
          <w:tcPr>
            <w:tcW w:w="3240" w:type="dxa"/>
          </w:tcPr>
          <w:p w14:paraId="0065F811" w14:textId="77777777" w:rsidR="002A21AE" w:rsidRDefault="002A21AE">
            <w:pPr>
              <w:pStyle w:val="TableTextNumbers"/>
            </w:pPr>
            <w:r>
              <w:lastRenderedPageBreak/>
              <w:t>Review the changes.</w:t>
            </w:r>
          </w:p>
          <w:p w14:paraId="62EA551A" w14:textId="77777777" w:rsidR="002A21AE" w:rsidRDefault="002A21AE">
            <w:pPr>
              <w:pStyle w:val="TableTextNumbersContinued"/>
            </w:pPr>
          </w:p>
          <w:p w14:paraId="52CFB7BD" w14:textId="77777777" w:rsidR="002A21AE" w:rsidRDefault="002A21AE">
            <w:pPr>
              <w:pStyle w:val="TableTextNumbersContinued"/>
            </w:pPr>
            <w:r>
              <w:t xml:space="preserve">Click </w:t>
            </w:r>
            <w:r>
              <w:rPr>
                <w:b/>
              </w:rPr>
              <w:t>OK</w:t>
            </w:r>
            <w:r>
              <w:t xml:space="preserve"> to save the text.</w:t>
            </w:r>
          </w:p>
          <w:p w14:paraId="05C8A81A" w14:textId="77777777" w:rsidR="002A21AE" w:rsidRDefault="002A21AE">
            <w:pPr>
              <w:pStyle w:val="TableTextNumbersContinued"/>
            </w:pPr>
          </w:p>
          <w:p w14:paraId="7DE5AA22" w14:textId="77777777" w:rsidR="002A21AE" w:rsidRDefault="002A21AE">
            <w:pPr>
              <w:pStyle w:val="TableTextNumbersContinued"/>
            </w:pPr>
            <w:r>
              <w:t xml:space="preserve">Click </w:t>
            </w:r>
            <w:r>
              <w:rPr>
                <w:b/>
              </w:rPr>
              <w:t>Yes</w:t>
            </w:r>
            <w:r>
              <w:t xml:space="preserve"> to confirm the save and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6EBCDF7F" w14:textId="77777777" w:rsidR="002A21AE" w:rsidRDefault="002A21AE">
            <w:pPr>
              <w:pStyle w:val="TableTextBullet"/>
            </w:pPr>
            <w:r>
              <w:t>Saves the new text and makes it available for outgoing shipment invoices.</w:t>
            </w:r>
          </w:p>
        </w:tc>
      </w:tr>
    </w:tbl>
    <w:p w14:paraId="79932918" w14:textId="77777777" w:rsidR="00696609" w:rsidRDefault="00D53FD3" w:rsidP="00696609">
      <w:pPr>
        <w:pStyle w:val="Heading2"/>
      </w:pPr>
      <w:bookmarkStart w:id="297" w:name="_Toc4588778"/>
      <w:r>
        <w:t>Unit Search</w:t>
      </w:r>
      <w:r w:rsidR="005259AC">
        <w:t xml:space="preserve"> </w:t>
      </w:r>
      <w:r w:rsidR="00696609">
        <w:t>Screen</w:t>
      </w:r>
      <w:bookmarkEnd w:id="297"/>
      <w:r w:rsidR="00696609">
        <w:fldChar w:fldCharType="begin"/>
      </w:r>
      <w:r w:rsidR="00696609">
        <w:instrText xml:space="preserve"> XE “</w:instrText>
      </w:r>
      <w:r>
        <w:instrText>Unit Search</w:instrText>
      </w:r>
      <w:r w:rsidR="00696609">
        <w:instrText xml:space="preserve"> Screen” </w:instrText>
      </w:r>
      <w:r w:rsidR="00696609">
        <w:fldChar w:fldCharType="end"/>
      </w:r>
    </w:p>
    <w:p w14:paraId="1D9C6785" w14:textId="52E9F852" w:rsidR="00696609" w:rsidRDefault="00696609" w:rsidP="00696609">
      <w:pPr>
        <w:pStyle w:val="BodyText"/>
      </w:pPr>
      <w:r>
        <w:t xml:space="preserve">VBECS displays the </w:t>
      </w:r>
      <w:r w:rsidR="000E2F87">
        <w:t>Unit Search</w:t>
      </w:r>
      <w:r>
        <w:t xml:space="preserve"> screen </w:t>
      </w:r>
      <w:r w:rsidR="00A86D14">
        <w:t>(</w:t>
      </w:r>
      <w:r w:rsidR="00A6373D">
        <w:fldChar w:fldCharType="begin" w:fldLock="1"/>
      </w:r>
      <w:r w:rsidR="00A6373D">
        <w:instrText xml:space="preserve"> REF _Ref300839358 \h </w:instrText>
      </w:r>
      <w:r w:rsidR="00A6373D">
        <w:fldChar w:fldCharType="separate"/>
      </w:r>
      <w:r w:rsidR="00AB304C">
        <w:t xml:space="preserve">Figure </w:t>
      </w:r>
      <w:r w:rsidR="00AB304C">
        <w:rPr>
          <w:noProof/>
        </w:rPr>
        <w:t>84</w:t>
      </w:r>
      <w:r w:rsidR="00A6373D">
        <w:fldChar w:fldCharType="end"/>
      </w:r>
      <w:r w:rsidR="00A86D14">
        <w:t xml:space="preserve">) </w:t>
      </w:r>
      <w:r>
        <w:t xml:space="preserve">when the user </w:t>
      </w:r>
      <w:r w:rsidR="00C57F9C">
        <w:t xml:space="preserve">clicks the </w:t>
      </w:r>
      <w:r w:rsidR="00A6373D">
        <w:rPr>
          <w:b/>
        </w:rPr>
        <w:t>find</w:t>
      </w:r>
      <w:r w:rsidR="00C57F9C" w:rsidRPr="00C57F9C">
        <w:rPr>
          <w:b/>
        </w:rPr>
        <w:t xml:space="preserve"> </w:t>
      </w:r>
      <w:r w:rsidR="00C57F9C" w:rsidRPr="00BF2E41">
        <w:t>button</w:t>
      </w:r>
      <w:r w:rsidR="002A36EF" w:rsidRPr="002A36EF">
        <w:t xml:space="preserve"> </w:t>
      </w:r>
      <w:r w:rsidR="00CA2640">
        <w:t>to select a unit</w:t>
      </w:r>
      <w:r w:rsidR="00574388">
        <w:t xml:space="preserve"> through some of the Blood Units, Patients, Shipments, and Supervisor main menu items</w:t>
      </w:r>
      <w:r>
        <w:t>.</w:t>
      </w:r>
      <w:r w:rsidR="005259AC">
        <w:t xml:space="preserve"> The title of the screen may vary </w:t>
      </w:r>
      <w:r w:rsidR="00A134BA">
        <w:t xml:space="preserve">(e.g., </w:t>
      </w:r>
      <w:r w:rsidR="003B7116">
        <w:t xml:space="preserve">Select Unit for Printing, Unit ABO/Rh Confirmation, </w:t>
      </w:r>
      <w:r w:rsidR="001A7E50">
        <w:t>Unit Antigen Typing,</w:t>
      </w:r>
      <w:r w:rsidR="005627A6">
        <w:t xml:space="preserve"> </w:t>
      </w:r>
      <w:r w:rsidR="00F47488">
        <w:t>Edit Unit Information</w:t>
      </w:r>
      <w:r w:rsidR="00A86581">
        <w:t>)</w:t>
      </w:r>
      <w:r w:rsidR="009046B4" w:rsidRPr="009046B4">
        <w:t xml:space="preserve"> </w:t>
      </w:r>
      <w:r w:rsidR="009046B4">
        <w:t>depending on the option selected.</w:t>
      </w:r>
      <w:r w:rsidR="003308A2">
        <w:t xml:space="preserve"> (The user then selects criteria to continue the search.)</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696609" w14:paraId="2BFE6495" w14:textId="77777777">
        <w:trPr>
          <w:cantSplit/>
          <w:tblHeader/>
        </w:trPr>
        <w:tc>
          <w:tcPr>
            <w:tcW w:w="3240" w:type="dxa"/>
            <w:shd w:val="pct30" w:color="auto" w:fill="FFFFFF"/>
            <w:vAlign w:val="bottom"/>
          </w:tcPr>
          <w:p w14:paraId="143C1F14" w14:textId="77777777" w:rsidR="00696609" w:rsidRDefault="00696609" w:rsidP="00F52014">
            <w:pPr>
              <w:pStyle w:val="TableText"/>
              <w:rPr>
                <w:b/>
              </w:rPr>
            </w:pPr>
            <w:r>
              <w:rPr>
                <w:b/>
              </w:rPr>
              <w:t>User Action</w:t>
            </w:r>
          </w:p>
        </w:tc>
        <w:tc>
          <w:tcPr>
            <w:tcW w:w="6120" w:type="dxa"/>
            <w:shd w:val="pct30" w:color="auto" w:fill="FFFFFF"/>
            <w:vAlign w:val="bottom"/>
          </w:tcPr>
          <w:p w14:paraId="6180F9DC" w14:textId="77777777" w:rsidR="00696609" w:rsidRDefault="00696609" w:rsidP="00F52014">
            <w:pPr>
              <w:pStyle w:val="TableText"/>
              <w:rPr>
                <w:b/>
              </w:rPr>
            </w:pPr>
            <w:r>
              <w:rPr>
                <w:b/>
              </w:rPr>
              <w:t>VBECS</w:t>
            </w:r>
          </w:p>
        </w:tc>
      </w:tr>
      <w:tr w:rsidR="00696609" w14:paraId="681C0D2A" w14:textId="77777777">
        <w:tc>
          <w:tcPr>
            <w:tcW w:w="3240" w:type="dxa"/>
            <w:tcBorders>
              <w:top w:val="single" w:sz="4" w:space="0" w:color="auto"/>
              <w:left w:val="single" w:sz="4" w:space="0" w:color="auto"/>
              <w:bottom w:val="single" w:sz="4" w:space="0" w:color="auto"/>
              <w:right w:val="single" w:sz="4" w:space="0" w:color="auto"/>
            </w:tcBorders>
          </w:tcPr>
          <w:p w14:paraId="5965850A" w14:textId="77777777" w:rsidR="00696609" w:rsidRDefault="00574388" w:rsidP="00F52014">
            <w:pPr>
              <w:pStyle w:val="TableTextNumbers"/>
            </w:pPr>
            <w:r>
              <w:t>Select an item from the main menu and the desired option.</w:t>
            </w:r>
          </w:p>
          <w:p w14:paraId="26ADB377" w14:textId="77777777" w:rsidR="00574388" w:rsidRDefault="00574388" w:rsidP="00574388">
            <w:pPr>
              <w:pStyle w:val="TableTextNumbersContinued"/>
            </w:pPr>
          </w:p>
          <w:p w14:paraId="70CAA61B" w14:textId="77777777" w:rsidR="00653EEA" w:rsidRPr="00653EEA" w:rsidRDefault="00574388" w:rsidP="00574388">
            <w:pPr>
              <w:pStyle w:val="TableTextNumbersContinued"/>
            </w:pPr>
            <w:r>
              <w:t>Click additional buttons as needed.</w:t>
            </w:r>
          </w:p>
        </w:tc>
        <w:tc>
          <w:tcPr>
            <w:tcW w:w="6120" w:type="dxa"/>
            <w:tcBorders>
              <w:top w:val="single" w:sz="4" w:space="0" w:color="auto"/>
              <w:left w:val="single" w:sz="4" w:space="0" w:color="auto"/>
              <w:bottom w:val="single" w:sz="4" w:space="0" w:color="auto"/>
              <w:right w:val="single" w:sz="4" w:space="0" w:color="auto"/>
            </w:tcBorders>
          </w:tcPr>
          <w:p w14:paraId="29535DC2" w14:textId="77777777" w:rsidR="00696609" w:rsidRDefault="00696609" w:rsidP="00F52014">
            <w:pPr>
              <w:pStyle w:val="TableTextBullet"/>
            </w:pPr>
            <w:r>
              <w:t xml:space="preserve">Displays the </w:t>
            </w:r>
            <w:r w:rsidR="000E2F87">
              <w:t>Unit</w:t>
            </w:r>
            <w:r>
              <w:t xml:space="preserve"> Search screen.</w:t>
            </w:r>
          </w:p>
          <w:p w14:paraId="7E40B05E" w14:textId="77777777" w:rsidR="00EC1534" w:rsidRDefault="00EC1534" w:rsidP="00EC1534">
            <w:pPr>
              <w:pStyle w:val="TableText"/>
              <w:rPr>
                <w:b/>
                <w:bCs/>
              </w:rPr>
            </w:pPr>
          </w:p>
          <w:p w14:paraId="12BAFEA3" w14:textId="77777777" w:rsidR="00EC1534" w:rsidRDefault="00057948" w:rsidP="00EC1534">
            <w:pPr>
              <w:pStyle w:val="TableText"/>
              <w:rPr>
                <w:b/>
                <w:bCs/>
              </w:rPr>
            </w:pPr>
            <w:r>
              <w:rPr>
                <w:noProof/>
              </w:rPr>
              <mc:AlternateContent>
                <mc:Choice Requires="wps">
                  <w:drawing>
                    <wp:anchor distT="0" distB="0" distL="114300" distR="114300" simplePos="0" relativeHeight="251726848" behindDoc="0" locked="0" layoutInCell="1" allowOverlap="1" wp14:anchorId="1BE53A57" wp14:editId="3E3504C5">
                      <wp:simplePos x="0" y="0"/>
                      <wp:positionH relativeFrom="column">
                        <wp:posOffset>457200</wp:posOffset>
                      </wp:positionH>
                      <wp:positionV relativeFrom="paragraph">
                        <wp:posOffset>65405</wp:posOffset>
                      </wp:positionV>
                      <wp:extent cx="3200400" cy="0"/>
                      <wp:effectExtent l="9525" t="17780" r="9525" b="10795"/>
                      <wp:wrapNone/>
                      <wp:docPr id="501" name="Line 1215" descr="P3752C4T4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02379" id="Line 1215" o:spid="_x0000_s1026" alt="&quot;&quot;"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BUQUisMBAABvAwAADgAAAAAAAAAAAAAAAAAu&#10;AgAAZHJzL2Uyb0RvYy54bWxQSwECLQAUAAYACAAAACEAF08wEtsAAAAIAQAADwAAAAAAAAAAAAAA&#10;AAAdBAAAZHJzL2Rvd25yZXYueG1sUEsFBgAAAAAEAAQA8wAAACUFAAAAAA==&#10;" strokeweight="1.5pt"/>
                  </w:pict>
                </mc:Fallback>
              </mc:AlternateContent>
            </w:r>
            <w:r w:rsidR="00EC1534">
              <w:rPr>
                <w:b/>
                <w:bCs/>
              </w:rPr>
              <w:t xml:space="preserve">NOTES </w:t>
            </w:r>
          </w:p>
          <w:p w14:paraId="2AC769B0" w14:textId="77777777" w:rsidR="00EC1534" w:rsidRPr="0008348E" w:rsidRDefault="00EC1534" w:rsidP="00EC1534">
            <w:pPr>
              <w:pStyle w:val="NotesText"/>
            </w:pPr>
            <w:r w:rsidRPr="00EC1534">
              <w:t xml:space="preserve">Although multiple </w:t>
            </w:r>
            <w:r>
              <w:t xml:space="preserve">search </w:t>
            </w:r>
            <w:r w:rsidRPr="00EC1534">
              <w:t>criteria can be c</w:t>
            </w:r>
            <w:r>
              <w:t xml:space="preserve">hecked, the Unit Search screen </w:t>
            </w:r>
            <w:r w:rsidRPr="00EC1534">
              <w:t>perform</w:t>
            </w:r>
            <w:r>
              <w:t>s</w:t>
            </w:r>
            <w:r w:rsidRPr="00EC1534">
              <w:t xml:space="preserve"> independent searches not a summary search </w:t>
            </w:r>
            <w:r>
              <w:t>for all the selected variables.</w:t>
            </w:r>
            <w:r w:rsidR="0008348E">
              <w:rPr>
                <w:vanish/>
              </w:rPr>
              <w:t xml:space="preserve"> DR 3597</w:t>
            </w:r>
          </w:p>
          <w:p w14:paraId="3F2E60CD" w14:textId="77777777" w:rsidR="00EC1534" w:rsidRDefault="00EC1534" w:rsidP="00EC1534">
            <w:pPr>
              <w:pStyle w:val="NotesText"/>
            </w:pPr>
          </w:p>
          <w:p w14:paraId="71446678" w14:textId="77777777" w:rsidR="00EC1534" w:rsidRPr="0008348E" w:rsidRDefault="00EC1534" w:rsidP="00EC1534">
            <w:pPr>
              <w:pStyle w:val="NotesText"/>
            </w:pPr>
            <w:r>
              <w:t>Users can obtain a listing of all available unit specifics by creating a custom Blood Availability Report allowing them to make the appropriate selections without looking at each unit’s record.</w:t>
            </w:r>
            <w:r w:rsidR="0008348E">
              <w:rPr>
                <w:vanish/>
              </w:rPr>
              <w:t xml:space="preserve"> DR 3597</w:t>
            </w:r>
          </w:p>
        </w:tc>
      </w:tr>
      <w:tr w:rsidR="00696609" w14:paraId="1E355C9F" w14:textId="77777777">
        <w:tc>
          <w:tcPr>
            <w:tcW w:w="3240" w:type="dxa"/>
            <w:tcBorders>
              <w:top w:val="single" w:sz="4" w:space="0" w:color="auto"/>
              <w:left w:val="single" w:sz="4" w:space="0" w:color="auto"/>
              <w:bottom w:val="single" w:sz="4" w:space="0" w:color="auto"/>
              <w:right w:val="single" w:sz="4" w:space="0" w:color="auto"/>
            </w:tcBorders>
          </w:tcPr>
          <w:p w14:paraId="173202F7" w14:textId="3498B339" w:rsidR="000C426C" w:rsidRDefault="00696609" w:rsidP="008E012C">
            <w:pPr>
              <w:pStyle w:val="TableTextNumbers"/>
            </w:pPr>
            <w:r>
              <w:t xml:space="preserve">To search for a </w:t>
            </w:r>
            <w:r w:rsidR="000C426C">
              <w:t>unit</w:t>
            </w:r>
            <w:r w:rsidR="008E012C">
              <w:t xml:space="preserve">, </w:t>
            </w:r>
            <w:r w:rsidR="00415C5B">
              <w:t>enter the full or partial unit ID</w:t>
            </w:r>
            <w:r w:rsidR="00ED20E2">
              <w:t xml:space="preserve"> and click the </w:t>
            </w:r>
            <w:r w:rsidR="00A6373D" w:rsidRPr="00A6373D">
              <w:rPr>
                <w:b/>
              </w:rPr>
              <w:t>find</w:t>
            </w:r>
            <w:r w:rsidR="00ED20E2" w:rsidRPr="00ED20E2">
              <w:rPr>
                <w:b/>
              </w:rPr>
              <w:t xml:space="preserve"> </w:t>
            </w:r>
            <w:r w:rsidR="00ED20E2" w:rsidRPr="00D1100E">
              <w:t>button</w:t>
            </w:r>
            <w:r w:rsidR="00415C5B">
              <w:t xml:space="preserve">, or </w:t>
            </w:r>
            <w:r w:rsidR="00ED20E2">
              <w:t xml:space="preserve">just </w:t>
            </w:r>
            <w:r w:rsidR="008E012C">
              <w:t>c</w:t>
            </w:r>
            <w:r w:rsidR="000C426C">
              <w:t xml:space="preserve">lick the </w:t>
            </w:r>
            <w:r w:rsidR="00A6373D" w:rsidRPr="00A6373D">
              <w:rPr>
                <w:b/>
              </w:rPr>
              <w:t>find</w:t>
            </w:r>
            <w:r w:rsidR="000C426C" w:rsidRPr="008E012C">
              <w:rPr>
                <w:b/>
              </w:rPr>
              <w:t xml:space="preserve"> </w:t>
            </w:r>
            <w:r w:rsidR="000C426C" w:rsidRPr="00D1100E">
              <w:t>button</w:t>
            </w:r>
            <w:r w:rsidR="00A86D14">
              <w:rPr>
                <w:b/>
              </w:rPr>
              <w:t xml:space="preserve"> </w:t>
            </w:r>
            <w:r w:rsidR="00A86D14" w:rsidRPr="00A86D14">
              <w:t>(</w:t>
            </w:r>
            <w:r w:rsidR="00D76C2F">
              <w:fldChar w:fldCharType="begin" w:fldLock="1"/>
            </w:r>
            <w:r w:rsidR="00D76C2F">
              <w:instrText xml:space="preserve"> REF _Ref300839358 \h </w:instrText>
            </w:r>
            <w:r w:rsidR="00D76C2F">
              <w:fldChar w:fldCharType="separate"/>
            </w:r>
            <w:r w:rsidR="00AB304C">
              <w:t xml:space="preserve">Figure </w:t>
            </w:r>
            <w:r w:rsidR="00AB304C">
              <w:rPr>
                <w:noProof/>
              </w:rPr>
              <w:t>84</w:t>
            </w:r>
            <w:r w:rsidR="00D76C2F">
              <w:fldChar w:fldCharType="end"/>
            </w:r>
            <w:r w:rsidR="000275FF">
              <w:t>)</w:t>
            </w:r>
            <w:r w:rsidR="000C426C">
              <w:t>.</w:t>
            </w:r>
          </w:p>
          <w:p w14:paraId="74A8771F" w14:textId="77777777" w:rsidR="008E012C" w:rsidRDefault="008E012C" w:rsidP="008E012C">
            <w:pPr>
              <w:pStyle w:val="TableTextNumbersContinued"/>
            </w:pPr>
          </w:p>
          <w:p w14:paraId="7DEEE5B5" w14:textId="77777777" w:rsidR="00696609" w:rsidRDefault="008E012C" w:rsidP="008E012C">
            <w:pPr>
              <w:pStyle w:val="TableTextNumbersContinued"/>
            </w:pPr>
            <w:r>
              <w:t>Click a check box to select a unit.</w:t>
            </w:r>
          </w:p>
          <w:p w14:paraId="50EF3DEC" w14:textId="77777777" w:rsidR="008E012C" w:rsidRDefault="008E012C" w:rsidP="008E012C">
            <w:pPr>
              <w:pStyle w:val="TableTextNumbersContinued"/>
            </w:pPr>
          </w:p>
          <w:p w14:paraId="0527799A" w14:textId="77777777" w:rsidR="00696609" w:rsidRDefault="008E012C" w:rsidP="008E012C">
            <w:pPr>
              <w:pStyle w:val="TableTextNumbersContinued"/>
            </w:pPr>
            <w:r>
              <w:t xml:space="preserve">Click </w:t>
            </w:r>
            <w:r w:rsidRPr="008E012C">
              <w:rPr>
                <w:b/>
              </w:rPr>
              <w:t>OK</w:t>
            </w:r>
            <w:r w:rsidR="00696609">
              <w:t>.</w:t>
            </w:r>
            <w:r w:rsidR="003F7207">
              <w:t xml:space="preserve"> </w:t>
            </w:r>
            <w:r w:rsidR="003F7207">
              <w:rPr>
                <w:vanish/>
                <w:color w:val="FFFFFF"/>
                <w:szCs w:val="18"/>
              </w:rPr>
              <w:fldChar w:fldCharType="begin"/>
            </w:r>
            <w:r w:rsidR="003F7207">
              <w:rPr>
                <w:vanish/>
                <w:color w:val="FFFFFF"/>
                <w:szCs w:val="18"/>
              </w:rPr>
              <w:instrText xml:space="preserve"> LISTNUM \l 1 \s 0 </w:instrText>
            </w:r>
            <w:r w:rsidR="003F7207">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5670CDE1" w14:textId="77777777" w:rsidR="00050576" w:rsidRDefault="00696609" w:rsidP="00050576">
            <w:pPr>
              <w:pStyle w:val="TableTextBullet"/>
            </w:pPr>
            <w:r>
              <w:t xml:space="preserve">Lists </w:t>
            </w:r>
            <w:r w:rsidR="000C426C">
              <w:t>units</w:t>
            </w:r>
            <w:r>
              <w:t xml:space="preserve"> that meet the search criteria.</w:t>
            </w:r>
            <w:r w:rsidR="00050576">
              <w:t xml:space="preserve"> </w:t>
            </w:r>
          </w:p>
          <w:p w14:paraId="40970EC6" w14:textId="77777777" w:rsidR="00696609" w:rsidRDefault="00050576" w:rsidP="00574388">
            <w:pPr>
              <w:pStyle w:val="TableTextBullet"/>
            </w:pPr>
            <w:r>
              <w:t>Displays unit-associated data.</w:t>
            </w:r>
          </w:p>
          <w:p w14:paraId="7E1E9A31" w14:textId="77777777" w:rsidR="00415C5B" w:rsidRDefault="00415C5B" w:rsidP="00415C5B">
            <w:pPr>
              <w:pStyle w:val="TableText"/>
            </w:pPr>
          </w:p>
          <w:p w14:paraId="770E48F3" w14:textId="77777777" w:rsidR="00415C5B" w:rsidRDefault="00057948" w:rsidP="00415C5B">
            <w:pPr>
              <w:pStyle w:val="TableText"/>
              <w:rPr>
                <w:b/>
                <w:bCs/>
              </w:rPr>
            </w:pPr>
            <w:r>
              <w:rPr>
                <w:noProof/>
              </w:rPr>
              <mc:AlternateContent>
                <mc:Choice Requires="wps">
                  <w:drawing>
                    <wp:anchor distT="0" distB="0" distL="114300" distR="114300" simplePos="0" relativeHeight="251725824" behindDoc="0" locked="0" layoutInCell="1" allowOverlap="1" wp14:anchorId="2EA5E5E8" wp14:editId="1304D0B6">
                      <wp:simplePos x="0" y="0"/>
                      <wp:positionH relativeFrom="column">
                        <wp:posOffset>457200</wp:posOffset>
                      </wp:positionH>
                      <wp:positionV relativeFrom="paragraph">
                        <wp:posOffset>65405</wp:posOffset>
                      </wp:positionV>
                      <wp:extent cx="3200400" cy="0"/>
                      <wp:effectExtent l="9525" t="17780" r="9525" b="10795"/>
                      <wp:wrapNone/>
                      <wp:docPr id="500" name="Line 1193" descr="P3765C6T4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CFD4C" id="Line 1193" o:spid="_x0000_s1026" alt="&quot;&quot;"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DLduzPwgEAAG8DAAAOAAAAAAAAAAAAAAAAAC4C&#10;AABkcnMvZTJvRG9jLnhtbFBLAQItABQABgAIAAAAIQAXTzAS2wAAAAgBAAAPAAAAAAAAAAAAAAAA&#10;ABwEAABkcnMvZG93bnJldi54bWxQSwUGAAAAAAQABADzAAAAJAUAAAAA&#10;" strokeweight="1.5pt"/>
                  </w:pict>
                </mc:Fallback>
              </mc:AlternateContent>
            </w:r>
            <w:r w:rsidR="00415C5B">
              <w:rPr>
                <w:b/>
                <w:bCs/>
              </w:rPr>
              <w:t xml:space="preserve">NOTES </w:t>
            </w:r>
          </w:p>
          <w:p w14:paraId="7A119BEB" w14:textId="77777777" w:rsidR="00415C5B" w:rsidRDefault="00415C5B" w:rsidP="00415C5B">
            <w:pPr>
              <w:pStyle w:val="NotesText"/>
            </w:pPr>
          </w:p>
          <w:p w14:paraId="10977A23" w14:textId="77777777" w:rsidR="00415C5B" w:rsidRDefault="00ED20E2" w:rsidP="00A6373D">
            <w:pPr>
              <w:pStyle w:val="NotesText"/>
            </w:pPr>
            <w:r>
              <w:t>To speed the search, e</w:t>
            </w:r>
            <w:r w:rsidR="00415C5B">
              <w:t xml:space="preserve">nter a </w:t>
            </w:r>
            <w:r>
              <w:t xml:space="preserve">full or partial </w:t>
            </w:r>
            <w:r w:rsidR="00415C5B">
              <w:t xml:space="preserve">unit ID instead </w:t>
            </w:r>
            <w:r>
              <w:t xml:space="preserve">of just clicking the </w:t>
            </w:r>
            <w:r w:rsidR="00A6373D">
              <w:rPr>
                <w:b/>
              </w:rPr>
              <w:t>find</w:t>
            </w:r>
            <w:r>
              <w:t xml:space="preserve"> button</w:t>
            </w:r>
            <w:r w:rsidR="00C54571">
              <w:t xml:space="preserve"> (which causes VBECS to search the entire database and takes longer)</w:t>
            </w:r>
            <w:r>
              <w:t>.</w:t>
            </w:r>
          </w:p>
        </w:tc>
      </w:tr>
    </w:tbl>
    <w:p w14:paraId="002EF351" w14:textId="77777777" w:rsidR="00DB3F75" w:rsidRDefault="0002560C" w:rsidP="0002560C">
      <w:pPr>
        <w:pStyle w:val="Caution"/>
      </w:pPr>
      <w:r>
        <w:t>VBECS checks unit IDs and product codes after the user enters the product code. When there is a discrepancy, VBECS displays the Input Error icon and allows the user to edit the data.</w:t>
      </w:r>
    </w:p>
    <w:p w14:paraId="24391CB4" w14:textId="6F1C5883" w:rsidR="00156636" w:rsidRPr="00A6373D" w:rsidRDefault="00A6373D" w:rsidP="00A6373D">
      <w:pPr>
        <w:pStyle w:val="Caption"/>
      </w:pPr>
      <w:bookmarkStart w:id="298" w:name="_Ref300839358"/>
      <w:bookmarkStart w:id="299" w:name="_Ref300839353"/>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84</w:t>
      </w:r>
      <w:r w:rsidR="004E20BD">
        <w:rPr>
          <w:noProof/>
        </w:rPr>
        <w:fldChar w:fldCharType="end"/>
      </w:r>
      <w:bookmarkEnd w:id="298"/>
      <w:r>
        <w:t xml:space="preserve">: </w:t>
      </w:r>
      <w:r w:rsidR="00156636" w:rsidRPr="00A6373D">
        <w:t>Click the Find Button</w:t>
      </w:r>
      <w:bookmarkEnd w:id="299"/>
    </w:p>
    <w:p w14:paraId="3E0EFAA9" w14:textId="77777777" w:rsidR="00A6373D" w:rsidRDefault="00057948" w:rsidP="00A6373D">
      <w:pPr>
        <w:pStyle w:val="BodyText"/>
      </w:pPr>
      <w:r>
        <w:rPr>
          <w:noProof/>
        </w:rPr>
        <w:drawing>
          <wp:inline distT="0" distB="0" distL="0" distR="0" wp14:anchorId="7E5255E7" wp14:editId="3AC7931C">
            <wp:extent cx="4627245" cy="2733675"/>
            <wp:effectExtent l="0" t="0" r="1905" b="9525"/>
            <wp:docPr id="166" name="Picture 166" descr="P3771#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P3771#yIS1">
                      <a:extLst>
                        <a:ext uri="{C183D7F6-B498-43B3-948B-1728B52AA6E4}">
                          <adec:decorative xmlns:adec="http://schemas.microsoft.com/office/drawing/2017/decorative" val="1"/>
                        </a:ext>
                      </a:extLst>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627245" cy="2733675"/>
                    </a:xfrm>
                    <a:prstGeom prst="rect">
                      <a:avLst/>
                    </a:prstGeom>
                    <a:noFill/>
                    <a:ln>
                      <a:noFill/>
                    </a:ln>
                  </pic:spPr>
                </pic:pic>
              </a:graphicData>
            </a:graphic>
          </wp:inline>
        </w:drawing>
      </w:r>
    </w:p>
    <w:p w14:paraId="5FB30261" w14:textId="58E3AFDB" w:rsidR="00A6373D" w:rsidRPr="00A6373D" w:rsidRDefault="00A6373D" w:rsidP="00A6373D">
      <w:pPr>
        <w:pStyle w:val="Caption"/>
      </w:pPr>
      <w:bookmarkStart w:id="300" w:name="_Ref300839381"/>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85</w:t>
      </w:r>
      <w:r w:rsidR="004E20BD">
        <w:rPr>
          <w:noProof/>
        </w:rPr>
        <w:fldChar w:fldCharType="end"/>
      </w:r>
      <w:bookmarkEnd w:id="300"/>
      <w:r>
        <w:t xml:space="preserve">: </w:t>
      </w:r>
      <w:r w:rsidRPr="00A6373D">
        <w:t>Display Unit Search Screen</w:t>
      </w:r>
    </w:p>
    <w:p w14:paraId="716F2D09" w14:textId="77777777" w:rsidR="00156636" w:rsidRDefault="00057948" w:rsidP="00156636">
      <w:pPr>
        <w:pStyle w:val="BodyText"/>
      </w:pPr>
      <w:r>
        <w:rPr>
          <w:noProof/>
        </w:rPr>
        <w:drawing>
          <wp:inline distT="0" distB="0" distL="0" distR="0" wp14:anchorId="6C68FA56" wp14:editId="15636D78">
            <wp:extent cx="5939155" cy="3352800"/>
            <wp:effectExtent l="0" t="0" r="4445" b="0"/>
            <wp:docPr id="167" name="Picture 167" descr="P377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P3773#yIS1">
                      <a:extLst>
                        <a:ext uri="{C183D7F6-B498-43B3-948B-1728B52AA6E4}">
                          <adec:decorative xmlns:adec="http://schemas.microsoft.com/office/drawing/2017/decorative" val="1"/>
                        </a:ext>
                      </a:extLst>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939155" cy="3352800"/>
                    </a:xfrm>
                    <a:prstGeom prst="rect">
                      <a:avLst/>
                    </a:prstGeom>
                    <a:noFill/>
                    <a:ln>
                      <a:noFill/>
                    </a:ln>
                  </pic:spPr>
                </pic:pic>
              </a:graphicData>
            </a:graphic>
          </wp:inline>
        </w:drawing>
      </w:r>
    </w:p>
    <w:p w14:paraId="511F9E64" w14:textId="77777777" w:rsidR="00156636" w:rsidRDefault="00156636" w:rsidP="00156636">
      <w:pPr>
        <w:pStyle w:val="BodyText"/>
      </w:pPr>
    </w:p>
    <w:p w14:paraId="450C405D" w14:textId="77777777" w:rsidR="00156636" w:rsidRPr="00156636" w:rsidRDefault="00156636" w:rsidP="00156636">
      <w:pPr>
        <w:pStyle w:val="BodyText"/>
        <w:sectPr w:rsidR="00156636" w:rsidRPr="00156636" w:rsidSect="00EE771C">
          <w:headerReference w:type="default" r:id="rId170"/>
          <w:pgSz w:w="12240" w:h="15840" w:code="1"/>
          <w:pgMar w:top="1440" w:right="1440" w:bottom="1440" w:left="1440" w:header="720" w:footer="720" w:gutter="0"/>
          <w:cols w:space="720"/>
          <w:docGrid w:linePitch="360"/>
        </w:sectPr>
      </w:pPr>
    </w:p>
    <w:p w14:paraId="020E080E" w14:textId="77777777" w:rsidR="002A21AE" w:rsidRDefault="002A21AE" w:rsidP="00CE6B6A">
      <w:pPr>
        <w:pStyle w:val="Heading2"/>
      </w:pPr>
      <w:bookmarkStart w:id="301" w:name="_Toc4588779"/>
      <w:r>
        <w:lastRenderedPageBreak/>
        <w:t>Test Units</w:t>
      </w:r>
      <w:bookmarkEnd w:id="264"/>
      <w:bookmarkEnd w:id="301"/>
      <w:r>
        <w:fldChar w:fldCharType="begin"/>
      </w:r>
      <w:r>
        <w:instrText xml:space="preserve"> XE </w:instrText>
      </w:r>
      <w:r w:rsidR="00FA7E65">
        <w:instrText>“</w:instrText>
      </w:r>
      <w:r>
        <w:instrText>Test Units</w:instrText>
      </w:r>
      <w:r w:rsidR="00FA7E65">
        <w:instrText>”</w:instrText>
      </w:r>
      <w:r>
        <w:instrText xml:space="preserve"> </w:instrText>
      </w:r>
      <w:r>
        <w:fldChar w:fldCharType="end"/>
      </w:r>
    </w:p>
    <w:p w14:paraId="6F57B383" w14:textId="77777777" w:rsidR="002A21AE" w:rsidRDefault="002A21AE">
      <w:pPr>
        <w:pStyle w:val="Heading3"/>
      </w:pPr>
      <w:bookmarkStart w:id="302" w:name="_ABO/Rh_Confirmation"/>
      <w:bookmarkStart w:id="303" w:name="_Toc4588780"/>
      <w:bookmarkEnd w:id="302"/>
      <w:r>
        <w:t>ABO/Rh Confirmation</w:t>
      </w:r>
      <w:bookmarkEnd w:id="303"/>
      <w:r w:rsidRPr="007716F7">
        <w:rPr>
          <w:vanish/>
        </w:rPr>
        <w:fldChar w:fldCharType="begin"/>
      </w:r>
      <w:r w:rsidRPr="007716F7">
        <w:rPr>
          <w:vanish/>
        </w:rPr>
        <w:instrText xml:space="preserve"> XE </w:instrText>
      </w:r>
      <w:r w:rsidR="00FA7E65" w:rsidRPr="007716F7">
        <w:rPr>
          <w:vanish/>
        </w:rPr>
        <w:instrText>“</w:instrText>
      </w:r>
      <w:r w:rsidRPr="007716F7">
        <w:rPr>
          <w:vanish/>
        </w:rPr>
        <w:instrText>ABO/Rh Confirmation</w:instrText>
      </w:r>
      <w:r w:rsidR="00FA7E65" w:rsidRPr="007716F7">
        <w:rPr>
          <w:vanish/>
        </w:rPr>
        <w:instrText>”</w:instrText>
      </w:r>
      <w:r w:rsidRPr="007716F7">
        <w:rPr>
          <w:vanish/>
        </w:rPr>
        <w:instrText xml:space="preserve"> </w:instrText>
      </w:r>
      <w:r w:rsidRPr="007716F7">
        <w:rPr>
          <w:vanish/>
        </w:rPr>
        <w:fldChar w:fldCharType="end"/>
      </w:r>
      <w:r w:rsidRPr="007716F7">
        <w:rPr>
          <w:vanish/>
        </w:rPr>
        <w:t xml:space="preserve"> UC_02</w:t>
      </w:r>
    </w:p>
    <w:p w14:paraId="128E8BCD" w14:textId="77777777" w:rsidR="002A21AE" w:rsidRDefault="002A21AE" w:rsidP="00FA7E65">
      <w:pPr>
        <w:pStyle w:val="BodyText"/>
      </w:pPr>
      <w:r>
        <w:t>Blood produc</w:t>
      </w:r>
      <w:r w:rsidR="006C5ACC">
        <w:t xml:space="preserve">ts </w:t>
      </w:r>
      <w:r w:rsidR="00C55227">
        <w:t xml:space="preserve">that contain </w:t>
      </w:r>
      <w:r w:rsidR="00C0155E">
        <w:t xml:space="preserve">equal to or greater than (= &gt;) of </w:t>
      </w:r>
      <w:r w:rsidR="00C55227">
        <w:t xml:space="preserve">red blood cells (Red Blood Cells, Whole Blood, Granulocytes and Leukocytes) </w:t>
      </w:r>
      <w:r>
        <w:t>require ABO/Rh confirmation</w:t>
      </w:r>
      <w:r w:rsidR="00D2652F" w:rsidRPr="00D2652F">
        <w:rPr>
          <w:vanish/>
        </w:rPr>
        <w:t>(PT_1.06 Product Types)</w:t>
      </w:r>
      <w:r>
        <w:t>. The user may process ABO/Rh confirmation results by selecting an invoice or individual units of blood received in a shipment. VBECS records the ABO/Rh test results for the list of blood units tested.</w:t>
      </w:r>
    </w:p>
    <w:p w14:paraId="0195EE8D" w14:textId="77777777" w:rsidR="002A21AE" w:rsidRDefault="002A21AE">
      <w:pPr>
        <w:pStyle w:val="Heading4"/>
      </w:pPr>
      <w:r>
        <w:t>Assumptions</w:t>
      </w:r>
    </w:p>
    <w:p w14:paraId="6FED37BD" w14:textId="77777777" w:rsidR="00852AC1" w:rsidRDefault="00852AC1" w:rsidP="00852AC1">
      <w:pPr>
        <w:pStyle w:val="ListBullet"/>
      </w:pPr>
      <w:r>
        <w:t>The division is “full service.”</w:t>
      </w:r>
    </w:p>
    <w:p w14:paraId="7A80476B" w14:textId="77777777" w:rsidR="002A21AE" w:rsidRDefault="002A21AE">
      <w:pPr>
        <w:pStyle w:val="ListBullet"/>
      </w:pPr>
      <w:r>
        <w:t xml:space="preserve">A unit’s labeled ABO/Rh was entered in the same division as the user during login of an incoming shipment. </w:t>
      </w:r>
    </w:p>
    <w:p w14:paraId="2640BFB2" w14:textId="77777777" w:rsidR="002A21AE" w:rsidRDefault="002A21AE">
      <w:pPr>
        <w:pStyle w:val="ListBullet"/>
      </w:pPr>
      <w:r>
        <w:rPr>
          <w:rFonts w:ascii="Arial" w:hAnsi="Arial" w:cs="Arial"/>
          <w:vanish/>
          <w:spacing w:val="0"/>
          <w:sz w:val="18"/>
        </w:rPr>
        <w:t xml:space="preserve">BR_2.02 </w:t>
      </w:r>
      <w:r>
        <w:t>Only invoices processed within a user’s division may be accessed to create an ABO/Rh confirmation worklist.</w:t>
      </w:r>
    </w:p>
    <w:p w14:paraId="1D06D1D4" w14:textId="77777777" w:rsidR="002A21AE" w:rsidRDefault="002A21AE">
      <w:pPr>
        <w:pStyle w:val="Heading4"/>
      </w:pPr>
      <w:r>
        <w:t>Outcome</w:t>
      </w:r>
    </w:p>
    <w:p w14:paraId="29AC7467" w14:textId="77777777" w:rsidR="002A21AE" w:rsidRDefault="002A21AE">
      <w:pPr>
        <w:pStyle w:val="ListBullet"/>
      </w:pPr>
      <w:r>
        <w:t>Unit ABO/Rh observed test results and interpretations are available for selection for patient use.</w:t>
      </w:r>
    </w:p>
    <w:p w14:paraId="57FA6AB5" w14:textId="77777777" w:rsidR="002A21AE" w:rsidRDefault="002A21AE">
      <w:pPr>
        <w:pStyle w:val="Heading4"/>
      </w:pPr>
      <w:r>
        <w:t>Limitations and Restrictions</w:t>
      </w:r>
    </w:p>
    <w:p w14:paraId="3CDC930C" w14:textId="77777777" w:rsidR="00164B44" w:rsidRPr="00164B44" w:rsidRDefault="00164B44">
      <w:pPr>
        <w:pStyle w:val="ListBullet"/>
      </w:pPr>
      <w:r w:rsidRPr="00164B44">
        <w:rPr>
          <w:vanish/>
        </w:rPr>
        <w:t xml:space="preserve">BR_41.32 </w:t>
      </w:r>
      <w:r>
        <w:t>This option is disabled for transfusion-only facilities.</w:t>
      </w:r>
    </w:p>
    <w:p w14:paraId="7501FF69" w14:textId="77777777" w:rsidR="002A21AE" w:rsidRDefault="002A21AE">
      <w:pPr>
        <w:pStyle w:val="ListBullet"/>
      </w:pPr>
      <w:r>
        <w:rPr>
          <w:rFonts w:ascii="Arial" w:hAnsi="Arial" w:cs="Arial"/>
          <w:vanish/>
          <w:spacing w:val="0"/>
          <w:sz w:val="18"/>
        </w:rPr>
        <w:t xml:space="preserve">BR_2.04 </w:t>
      </w:r>
      <w:r w:rsidR="007D535F">
        <w:t>When building a worklist by invoice number, only invoiced units not previously tested and confirmed appear on the worklist. The user may deselect or add additional units.</w:t>
      </w:r>
    </w:p>
    <w:p w14:paraId="68B046FE" w14:textId="77777777" w:rsidR="00513A28" w:rsidRPr="008631E9" w:rsidRDefault="002A21AE" w:rsidP="008631E9">
      <w:pPr>
        <w:pStyle w:val="ListBullet"/>
      </w:pPr>
      <w:r>
        <w:rPr>
          <w:rFonts w:ascii="Arial" w:hAnsi="Arial" w:cs="Arial"/>
          <w:vanish/>
          <w:spacing w:val="0"/>
          <w:sz w:val="18"/>
        </w:rPr>
        <w:t xml:space="preserve">BR_27.09 </w:t>
      </w:r>
      <w:r w:rsidR="001E3F16">
        <w:t>For batch processing, the user can select incoming shipment invoices from his division, processed within the previous five days</w:t>
      </w:r>
      <w:r w:rsidR="001E3F16" w:rsidRPr="008631E9">
        <w:t>.</w:t>
      </w:r>
    </w:p>
    <w:p w14:paraId="4DA0752F" w14:textId="77777777" w:rsidR="00E44A83" w:rsidRDefault="008631E9" w:rsidP="008631E9">
      <w:pPr>
        <w:pStyle w:val="ListBullet"/>
      </w:pPr>
      <w:r>
        <w:t xml:space="preserve">VBECS does not display product </w:t>
      </w:r>
      <w:r w:rsidRPr="008631E9">
        <w:t>code</w:t>
      </w:r>
      <w:r>
        <w:t xml:space="preserve">s associated with unit IDs in ABO/Rh Confirmation. </w:t>
      </w:r>
      <w:r w:rsidR="0011459B">
        <w:t>Therefore, d</w:t>
      </w:r>
      <w:r>
        <w:t>o not create ABO/Rh confirmation worklists containing units with the same unit ID.</w:t>
      </w:r>
    </w:p>
    <w:p w14:paraId="1FBC7008" w14:textId="77777777" w:rsidR="00E44A83" w:rsidRPr="00D12C95" w:rsidRDefault="008631E9" w:rsidP="00E44A83">
      <w:pPr>
        <w:pStyle w:val="ListBullet"/>
      </w:pPr>
      <w:r>
        <w:t xml:space="preserve"> </w:t>
      </w:r>
      <w:r w:rsidR="00E44A83">
        <w:t xml:space="preserve">POOLED </w:t>
      </w:r>
      <w:r w:rsidR="00E44A83" w:rsidRPr="00D12C95">
        <w:t xml:space="preserve">GRANULOCYTES </w:t>
      </w:r>
      <w:r w:rsidR="00E44A83" w:rsidRPr="00C60EBB">
        <w:rPr>
          <w:vanish/>
        </w:rPr>
        <w:t xml:space="preserve">(ICCBBA Component Class E036) </w:t>
      </w:r>
      <w:r w:rsidR="00E44A83" w:rsidRPr="00D12C95">
        <w:t>labeled with an Rh type of “Pooled” is considered an Rh Positive unit which does not require confirmation testing.</w:t>
      </w:r>
    </w:p>
    <w:p w14:paraId="1B22A239" w14:textId="3CE5C96D" w:rsidR="008631E9" w:rsidRDefault="00E44A83" w:rsidP="00E44A83">
      <w:pPr>
        <w:pStyle w:val="ListBullet"/>
      </w:pPr>
      <w:r w:rsidRPr="00E44A83">
        <w:t xml:space="preserve">POOLED GRANULOCYTES </w:t>
      </w:r>
      <w:r w:rsidRPr="00C60EBB">
        <w:rPr>
          <w:vanish/>
        </w:rPr>
        <w:t xml:space="preserve">(ICCBBA Component Class E036) </w:t>
      </w:r>
      <w:r w:rsidRPr="00E44A83">
        <w:t>labeled with an ABO group of “Pooled” cannot be confirmed. A blood component unit received as “POOLED ABO” will have to be transfused using the Supervisory option, Document ABO Incompatible Transfusion.</w:t>
      </w:r>
    </w:p>
    <w:p w14:paraId="566D2932" w14:textId="30DCE1B7" w:rsidR="00FE6750" w:rsidRPr="008631E9" w:rsidRDefault="00AA7B45" w:rsidP="00AA7B45">
      <w:pPr>
        <w:pStyle w:val="ListBullet"/>
      </w:pPr>
      <w:r w:rsidRPr="00B26970">
        <w:rPr>
          <w:rFonts w:cs="Arial"/>
          <w:szCs w:val="18"/>
        </w:rPr>
        <w:t>Patient assignment is not released automatically when a unit is quarantined due to discrepant ABO/Rh retype testing.</w:t>
      </w:r>
      <w:r>
        <w:rPr>
          <w:rFonts w:cs="Arial"/>
          <w:szCs w:val="18"/>
        </w:rPr>
        <w:t xml:space="preserve"> </w:t>
      </w:r>
      <w:r w:rsidRPr="00B26970">
        <w:rPr>
          <w:rFonts w:cs="Arial"/>
          <w:szCs w:val="18"/>
        </w:rPr>
        <w:t xml:space="preserve">The unit is quarantined and cannot be selected for a different patient or issued for </w:t>
      </w:r>
      <w:r>
        <w:rPr>
          <w:rFonts w:cs="Arial"/>
          <w:szCs w:val="18"/>
        </w:rPr>
        <w:t>the current</w:t>
      </w:r>
      <w:r w:rsidRPr="00B26970">
        <w:rPr>
          <w:rFonts w:cs="Arial"/>
          <w:szCs w:val="18"/>
        </w:rPr>
        <w:t xml:space="preserve"> patient.</w:t>
      </w:r>
      <w:r>
        <w:rPr>
          <w:rFonts w:cs="Arial"/>
          <w:szCs w:val="18"/>
        </w:rPr>
        <w:t xml:space="preserve"> Quarantined units are clearly marked in VBECS and cannot be issued. </w:t>
      </w:r>
      <w:r w:rsidRPr="00C11B6E">
        <w:rPr>
          <w:rFonts w:cs="Arial"/>
          <w:vanish/>
          <w:szCs w:val="18"/>
        </w:rPr>
        <w:t>Task 213499</w:t>
      </w:r>
    </w:p>
    <w:p w14:paraId="1AB62AD8" w14:textId="77777777" w:rsidR="00852AC1" w:rsidRPr="00852AC1" w:rsidRDefault="002A21AE" w:rsidP="002F55AF">
      <w:pPr>
        <w:pStyle w:val="Heading4"/>
      </w:pPr>
      <w:r>
        <w:t>Additional Information</w:t>
      </w:r>
    </w:p>
    <w:p w14:paraId="5996548B" w14:textId="77777777" w:rsidR="002A21AE" w:rsidRPr="00995EAA" w:rsidRDefault="002A21AE">
      <w:pPr>
        <w:pStyle w:val="ListBullet"/>
        <w:rPr>
          <w:rStyle w:val="CommentReference"/>
          <w:sz w:val="22"/>
          <w:szCs w:val="22"/>
        </w:rPr>
      </w:pPr>
      <w:r>
        <w:rPr>
          <w:rFonts w:ascii="Arial" w:hAnsi="Arial" w:cs="Arial"/>
          <w:vanish/>
          <w:spacing w:val="0"/>
          <w:sz w:val="18"/>
        </w:rPr>
        <w:t xml:space="preserve">BR_2.11 </w:t>
      </w:r>
      <w:r>
        <w:t>Within a multidivisional facility when ABO/Rh confirmation is repeated on units from a facility within the same database, both the originating facility ABO/Rh confirmation testing results and the current testing results are stored.</w:t>
      </w:r>
      <w:r>
        <w:rPr>
          <w:rStyle w:val="CommentReference"/>
          <w:b/>
          <w:vanish/>
        </w:rPr>
        <w:t xml:space="preserve"> </w:t>
      </w:r>
    </w:p>
    <w:p w14:paraId="77363B8C" w14:textId="77777777" w:rsidR="002A21AE" w:rsidRDefault="002A21AE">
      <w:pPr>
        <w:pStyle w:val="Heading4"/>
      </w:pPr>
      <w:r>
        <w:t>User Roles with Access to This Option</w:t>
      </w:r>
    </w:p>
    <w:p w14:paraId="76976F01" w14:textId="77777777" w:rsidR="002A21AE" w:rsidRDefault="002B1D25">
      <w:pPr>
        <w:pStyle w:val="Roles"/>
        <w:rPr>
          <w:snapToGrid w:val="0"/>
        </w:rPr>
      </w:pPr>
      <w:r>
        <w:t>All users</w:t>
      </w:r>
    </w:p>
    <w:p w14:paraId="2A8A7107" w14:textId="77777777" w:rsidR="002A21AE" w:rsidRDefault="00057948">
      <w:pPr>
        <w:pStyle w:val="Heading4"/>
      </w:pPr>
      <w:r>
        <w:rPr>
          <w:noProof/>
        </w:rPr>
        <w:lastRenderedPageBreak/>
        <w:drawing>
          <wp:inline distT="0" distB="0" distL="0" distR="0" wp14:anchorId="705B0667" wp14:editId="226B5555">
            <wp:extent cx="156845" cy="156845"/>
            <wp:effectExtent l="0" t="0" r="0" b="0"/>
            <wp:docPr id="168" name="Picture 168" descr="P3797#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P3797#yIS1">
                      <a:extLst>
                        <a:ext uri="{C183D7F6-B498-43B3-948B-1728B52AA6E4}">
                          <adec:decorative xmlns:adec="http://schemas.microsoft.com/office/drawing/2017/decorative" val="1"/>
                        </a:ext>
                      </a:extLs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ABO/Rh Confirmation Testing</w:t>
      </w:r>
    </w:p>
    <w:p w14:paraId="1C1ED02B" w14:textId="77777777" w:rsidR="002A21AE" w:rsidRDefault="002A21AE" w:rsidP="00FA7E65">
      <w:pPr>
        <w:pStyle w:val="BodyText"/>
      </w:pPr>
      <w:r>
        <w:t>To confirm ABO/Rh testing, the user creates a worklist of individual units from an invoice, or creates a custom worklist. The user records observed test reactions and interpretations. VBECS uses truth tables to verify that user-entered interpretations are consistent with observed reactions. VBECS compares ABO and/or Rh interpretations to units labeled “ABO/Rh” during login and displays warnings when there are inconsistencies.</w:t>
      </w:r>
    </w:p>
    <w:p w14:paraId="6524C50E" w14:textId="77777777" w:rsidR="006F25B6" w:rsidRPr="00D73AB9" w:rsidRDefault="00057948" w:rsidP="006F25B6">
      <w:pPr>
        <w:pStyle w:val="Caution"/>
        <w:rPr>
          <w:spacing w:val="-5"/>
        </w:rPr>
      </w:pPr>
      <w:r>
        <w:rPr>
          <w:noProof/>
        </w:rPr>
        <w:drawing>
          <wp:inline distT="0" distB="0" distL="0" distR="0" wp14:anchorId="0F7FE99E" wp14:editId="0AB57553">
            <wp:extent cx="267970" cy="221615"/>
            <wp:effectExtent l="0" t="0" r="0" b="6985"/>
            <wp:docPr id="169" name="Picture 169" descr="P3799#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P3799#yIS1">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443024">
        <w:t xml:space="preserve"> </w:t>
      </w:r>
      <w:r w:rsidR="006F25B6" w:rsidRPr="00D73AB9">
        <w:t>When a unit</w:t>
      </w:r>
      <w:r w:rsidR="006F25B6">
        <w:t>’</w:t>
      </w:r>
      <w:r w:rsidR="006F25B6" w:rsidRPr="00D73AB9">
        <w:t>s ABO/Rh confirmation test is repea</w:t>
      </w:r>
      <w:r w:rsidR="006F25B6">
        <w:t>ted after issue to a patient</w:t>
      </w:r>
      <w:r w:rsidR="006F25B6" w:rsidRPr="00D73AB9">
        <w:t xml:space="preserve">, </w:t>
      </w:r>
      <w:r w:rsidR="006F25B6">
        <w:t xml:space="preserve">VBECS does not compare the </w:t>
      </w:r>
      <w:r w:rsidR="006F25B6" w:rsidRPr="00D73AB9">
        <w:t>test result</w:t>
      </w:r>
      <w:r w:rsidR="006F25B6">
        <w:t>s</w:t>
      </w:r>
      <w:r w:rsidR="006F25B6" w:rsidRPr="00D73AB9">
        <w:t xml:space="preserve"> </w:t>
      </w:r>
      <w:r w:rsidR="006F25B6">
        <w:t>to</w:t>
      </w:r>
      <w:r w:rsidR="006F25B6" w:rsidRPr="00D73AB9">
        <w:t xml:space="preserve"> the patient</w:t>
      </w:r>
      <w:r w:rsidR="006F25B6">
        <w:t>’</w:t>
      </w:r>
      <w:r w:rsidR="006F25B6" w:rsidRPr="00D73AB9">
        <w:t xml:space="preserve">s blood type at time of issue. </w:t>
      </w:r>
      <w:r w:rsidR="006F25B6">
        <w:t>T</w:t>
      </w:r>
      <w:r w:rsidR="006F25B6" w:rsidRPr="00D73AB9">
        <w:t xml:space="preserve">he user </w:t>
      </w:r>
      <w:r w:rsidR="006F25B6">
        <w:t>must</w:t>
      </w:r>
      <w:r w:rsidR="006F25B6" w:rsidRPr="00D73AB9">
        <w:t xml:space="preserve"> </w:t>
      </w:r>
      <w:r w:rsidR="006F25B6">
        <w:t>detect discrepancies</w:t>
      </w:r>
      <w:r w:rsidR="006F25B6" w:rsidRPr="00D73AB9">
        <w:t xml:space="preserve"> and </w:t>
      </w:r>
      <w:r w:rsidR="006F25B6">
        <w:t xml:space="preserve">notify </w:t>
      </w:r>
      <w:r w:rsidR="006F25B6" w:rsidRPr="00D73AB9">
        <w:t>clinical personnel</w:t>
      </w:r>
      <w:r w:rsidR="006F25B6">
        <w:t>, in accordance with local policy</w:t>
      </w:r>
      <w:r w:rsidR="006F25B6" w:rsidRPr="00D73AB9">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B7A0847" w14:textId="77777777">
        <w:trPr>
          <w:tblHeader/>
        </w:trPr>
        <w:tc>
          <w:tcPr>
            <w:tcW w:w="3240" w:type="dxa"/>
            <w:shd w:val="pct30" w:color="auto" w:fill="FFFFFF"/>
            <w:vAlign w:val="bottom"/>
          </w:tcPr>
          <w:p w14:paraId="4EA89635" w14:textId="77777777" w:rsidR="002A21AE" w:rsidRDefault="002A21AE">
            <w:pPr>
              <w:pStyle w:val="TableText"/>
              <w:rPr>
                <w:b/>
              </w:rPr>
            </w:pPr>
            <w:bookmarkStart w:id="304" w:name="_Toc78036833"/>
            <w:r>
              <w:rPr>
                <w:b/>
              </w:rPr>
              <w:t>User Action</w:t>
            </w:r>
          </w:p>
        </w:tc>
        <w:tc>
          <w:tcPr>
            <w:tcW w:w="6120" w:type="dxa"/>
            <w:shd w:val="pct30" w:color="auto" w:fill="FFFFFF"/>
            <w:vAlign w:val="bottom"/>
          </w:tcPr>
          <w:p w14:paraId="34974D37" w14:textId="77777777" w:rsidR="002A21AE" w:rsidRDefault="002A21AE">
            <w:pPr>
              <w:pStyle w:val="TableText"/>
              <w:rPr>
                <w:b/>
              </w:rPr>
            </w:pPr>
            <w:r>
              <w:rPr>
                <w:b/>
              </w:rPr>
              <w:t>VBECS</w:t>
            </w:r>
          </w:p>
        </w:tc>
      </w:tr>
      <w:tr w:rsidR="002A21AE" w14:paraId="7112FB46" w14:textId="77777777">
        <w:tc>
          <w:tcPr>
            <w:tcW w:w="3240" w:type="dxa"/>
          </w:tcPr>
          <w:p w14:paraId="039C68B5" w14:textId="77777777" w:rsidR="002A21AE" w:rsidRDefault="002A21AE">
            <w:pPr>
              <w:pStyle w:val="TableTextNumbers"/>
            </w:pPr>
            <w:r>
              <w:t xml:space="preserve">When processing a shipment, select </w:t>
            </w:r>
            <w:r>
              <w:rPr>
                <w:b/>
              </w:rPr>
              <w:t>Shipments</w:t>
            </w:r>
            <w:r>
              <w:t xml:space="preserve"> from the main menu. </w:t>
            </w:r>
          </w:p>
          <w:p w14:paraId="2269A439" w14:textId="77777777" w:rsidR="002A21AE" w:rsidRDefault="002A21AE">
            <w:pPr>
              <w:pStyle w:val="TableTextNumbersContinued"/>
              <w:rPr>
                <w:b/>
                <w:bCs/>
              </w:rPr>
            </w:pPr>
          </w:p>
          <w:p w14:paraId="49CDE896" w14:textId="77777777" w:rsidR="002A21AE" w:rsidRDefault="002A21AE">
            <w:pPr>
              <w:pStyle w:val="TableTextNumbersContinued"/>
            </w:pPr>
            <w:r>
              <w:t xml:space="preserve">When processing selected units, select </w:t>
            </w:r>
            <w:r>
              <w:rPr>
                <w:b/>
              </w:rPr>
              <w:t>Blood Units</w:t>
            </w:r>
            <w:r>
              <w:t xml:space="preserve"> from the main menu.</w:t>
            </w:r>
          </w:p>
          <w:p w14:paraId="7B60A013" w14:textId="77777777" w:rsidR="002A21AE" w:rsidRDefault="002A21AE">
            <w:pPr>
              <w:pStyle w:val="TableTextNumbersContinued"/>
            </w:pPr>
          </w:p>
          <w:p w14:paraId="44E9F416" w14:textId="77777777" w:rsidR="002A21AE" w:rsidRDefault="002A21AE">
            <w:pPr>
              <w:pStyle w:val="TableTextNumbersContinued"/>
            </w:pPr>
            <w:r>
              <w:t xml:space="preserve">Select </w:t>
            </w:r>
            <w:r>
              <w:rPr>
                <w:b/>
              </w:rPr>
              <w:t>ABO/Rh Confirmation</w:t>
            </w:r>
            <w:r>
              <w:t>.</w:t>
            </w:r>
          </w:p>
          <w:p w14:paraId="5E45BB25" w14:textId="77777777" w:rsidR="002A21AE" w:rsidRDefault="002A21AE">
            <w:pPr>
              <w:pStyle w:val="TableTextNumbersContinued"/>
            </w:pPr>
          </w:p>
          <w:p w14:paraId="34295B66" w14:textId="77777777" w:rsidR="002A21AE" w:rsidRDefault="002A21AE">
            <w:pPr>
              <w:pStyle w:val="TableTextNumbersContinued"/>
            </w:pPr>
            <w:r>
              <w:t>Select an invoice or units.</w:t>
            </w:r>
          </w:p>
          <w:p w14:paraId="31A4338B" w14:textId="77777777" w:rsidR="002A21AE" w:rsidRDefault="002A21AE">
            <w:pPr>
              <w:pStyle w:val="TableTextNumbersContinued"/>
            </w:pPr>
            <w:r>
              <w:t xml:space="preserve"> </w:t>
            </w:r>
          </w:p>
          <w:p w14:paraId="035A2D06" w14:textId="77777777" w:rsidR="002A21AE" w:rsidRDefault="002A21AE">
            <w:pPr>
              <w:pStyle w:val="TableTextNumbersContinued"/>
            </w:pPr>
            <w:r>
              <w:t xml:space="preserve">Click </w:t>
            </w:r>
            <w:r>
              <w:rPr>
                <w:b/>
              </w:rPr>
              <w:t>OK</w:t>
            </w:r>
            <w:r>
              <w:t>.</w:t>
            </w:r>
          </w:p>
        </w:tc>
        <w:tc>
          <w:tcPr>
            <w:tcW w:w="6120" w:type="dxa"/>
          </w:tcPr>
          <w:p w14:paraId="357DE445" w14:textId="77777777" w:rsidR="002A21AE" w:rsidRDefault="002A21AE">
            <w:pPr>
              <w:pStyle w:val="TableTextBullet"/>
            </w:pPr>
            <w:r>
              <w:t xml:space="preserve">Displays options for processing blood product shipments. By default, displays units in the worklist in the order in which they were entered during Incoming Shipment. </w:t>
            </w:r>
          </w:p>
          <w:p w14:paraId="39AB0189" w14:textId="77777777" w:rsidR="002A21AE" w:rsidRDefault="002A21AE">
            <w:pPr>
              <w:pStyle w:val="TableTextBullet"/>
            </w:pPr>
            <w:r>
              <w:t>Lists invoices processed within the last five days in reverse chronological order.</w:t>
            </w:r>
          </w:p>
          <w:p w14:paraId="7066AFC5" w14:textId="77777777" w:rsidR="002A21AE" w:rsidRDefault="002A21AE">
            <w:pPr>
              <w:pStyle w:val="TableTextBullet"/>
            </w:pPr>
            <w:r>
              <w:t xml:space="preserve">Displays fields for entering rack information. </w:t>
            </w:r>
          </w:p>
          <w:p w14:paraId="2E7211F4" w14:textId="77777777" w:rsidR="002A21AE" w:rsidRDefault="002A21AE">
            <w:pPr>
              <w:pStyle w:val="TableTextBullet"/>
            </w:pPr>
            <w:r>
              <w:t>Allows units to be deleted from or added to the worklist.</w:t>
            </w:r>
          </w:p>
          <w:p w14:paraId="69277B01" w14:textId="77777777" w:rsidR="002A21AE" w:rsidRDefault="002A21AE">
            <w:pPr>
              <w:pStyle w:val="TableText"/>
            </w:pPr>
          </w:p>
          <w:p w14:paraId="2AA6CC80" w14:textId="77777777" w:rsidR="002A21AE" w:rsidRDefault="00057948">
            <w:pPr>
              <w:pStyle w:val="TableText"/>
              <w:rPr>
                <w:b/>
                <w:bCs/>
              </w:rPr>
            </w:pPr>
            <w:r>
              <w:rPr>
                <w:noProof/>
              </w:rPr>
              <mc:AlternateContent>
                <mc:Choice Requires="wps">
                  <w:drawing>
                    <wp:anchor distT="0" distB="0" distL="114300" distR="114300" simplePos="0" relativeHeight="251309568" behindDoc="0" locked="0" layoutInCell="1" allowOverlap="1" wp14:anchorId="4DF8C0FB" wp14:editId="6E62A3A7">
                      <wp:simplePos x="0" y="0"/>
                      <wp:positionH relativeFrom="column">
                        <wp:posOffset>457200</wp:posOffset>
                      </wp:positionH>
                      <wp:positionV relativeFrom="paragraph">
                        <wp:posOffset>65405</wp:posOffset>
                      </wp:positionV>
                      <wp:extent cx="3200400" cy="0"/>
                      <wp:effectExtent l="9525" t="17780" r="9525" b="10795"/>
                      <wp:wrapNone/>
                      <wp:docPr id="499" name="Line 617" descr="P3817C4T4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55058" id="Line 617" o:spid="_x0000_s1026" alt="&quot;&quot;" style="position:absolute;z-index:2513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l7ShsMBAABuAwAADgAAAAAAAAAAAAAAAAAu&#10;AgAAZHJzL2Uyb0RvYy54bWxQSwECLQAUAAYACAAAACEAF08wEtsAAAAIAQAADwAAAAAAAAAAAAAA&#10;AAAdBAAAZHJzL2Rvd25yZXYueG1sUEsFBgAAAAAEAAQA8wAAACUFAAAAAA==&#10;" strokeweight="1.5pt"/>
                  </w:pict>
                </mc:Fallback>
              </mc:AlternateContent>
            </w:r>
            <w:r w:rsidR="002A21AE">
              <w:rPr>
                <w:b/>
                <w:bCs/>
              </w:rPr>
              <w:t xml:space="preserve">NOTES </w:t>
            </w:r>
          </w:p>
          <w:p w14:paraId="5C001CFF" w14:textId="77777777" w:rsidR="002A21AE" w:rsidRDefault="002A21AE">
            <w:pPr>
              <w:pStyle w:val="NotesText"/>
            </w:pPr>
          </w:p>
          <w:p w14:paraId="0B653BF4" w14:textId="77777777" w:rsidR="006C18E7" w:rsidRDefault="006C18E7" w:rsidP="006C18E7">
            <w:pPr>
              <w:pStyle w:val="NotesText"/>
            </w:pPr>
            <w:r>
              <w:rPr>
                <w:rFonts w:cs="Arial"/>
                <w:vanish/>
              </w:rPr>
              <w:t xml:space="preserve">BR_5.03 </w:t>
            </w:r>
            <w:r>
              <w:t xml:space="preserve">The user may select only active units and those not in an inactive or final status. </w:t>
            </w:r>
          </w:p>
          <w:p w14:paraId="45B9C6E6" w14:textId="77777777" w:rsidR="006C18E7" w:rsidRDefault="006C18E7">
            <w:pPr>
              <w:pStyle w:val="NotesText"/>
            </w:pPr>
          </w:p>
          <w:p w14:paraId="0310356F" w14:textId="77777777" w:rsidR="002A21AE" w:rsidRDefault="002A21AE">
            <w:pPr>
              <w:pStyle w:val="NotesText"/>
            </w:pPr>
            <w:r>
              <w:t>To create a customized list of units:</w:t>
            </w:r>
          </w:p>
          <w:p w14:paraId="1FDE8891" w14:textId="77777777" w:rsidR="002A21AE" w:rsidRDefault="002A21AE">
            <w:pPr>
              <w:pStyle w:val="NotesTextBullet"/>
            </w:pPr>
            <w:r>
              <w:t xml:space="preserve">Enter a unit ID or click the </w:t>
            </w:r>
            <w:r w:rsidR="00A6373D">
              <w:rPr>
                <w:b/>
              </w:rPr>
              <w:t>find</w:t>
            </w:r>
            <w:r>
              <w:rPr>
                <w:b/>
              </w:rPr>
              <w:t xml:space="preserve"> </w:t>
            </w:r>
            <w:r w:rsidRPr="00D1100E">
              <w:t>button</w:t>
            </w:r>
            <w:r>
              <w:t xml:space="preserve"> to search for a unit. VBECS lists</w:t>
            </w:r>
            <w:r>
              <w:rPr>
                <w:rStyle w:val="historydatafont1"/>
              </w:rPr>
              <w:t xml:space="preserve"> units with “limited” status</w:t>
            </w:r>
            <w:r>
              <w:t>.</w:t>
            </w:r>
          </w:p>
          <w:p w14:paraId="3729E0B8" w14:textId="77777777" w:rsidR="002A21AE" w:rsidRDefault="002A21AE">
            <w:pPr>
              <w:pStyle w:val="NotesTextBullet"/>
            </w:pPr>
            <w:r>
              <w:t>Select parameters from the options on the Select Units for ABO/Rh Confirmation screen.</w:t>
            </w:r>
          </w:p>
          <w:p w14:paraId="5C9ECC9B" w14:textId="77777777" w:rsidR="002A21AE" w:rsidRDefault="002A21AE">
            <w:pPr>
              <w:pStyle w:val="NotesTextBullet"/>
            </w:pPr>
            <w:r>
              <w:t xml:space="preserve">Select </w:t>
            </w:r>
            <w:r>
              <w:rPr>
                <w:b/>
              </w:rPr>
              <w:t>Units within Criteria</w:t>
            </w:r>
            <w:r>
              <w:t xml:space="preserve"> to work with.</w:t>
            </w:r>
          </w:p>
          <w:p w14:paraId="531C4760" w14:textId="77777777" w:rsidR="002A21AE" w:rsidRDefault="002A21AE">
            <w:pPr>
              <w:pStyle w:val="NotesTextBullet"/>
            </w:pPr>
            <w:r>
              <w:t xml:space="preserve">Click </w:t>
            </w:r>
            <w:r>
              <w:rPr>
                <w:b/>
              </w:rPr>
              <w:t>OK</w:t>
            </w:r>
            <w:r>
              <w:t>.</w:t>
            </w:r>
          </w:p>
          <w:p w14:paraId="7EEB0B62" w14:textId="77777777" w:rsidR="002A21AE" w:rsidRDefault="002A21AE">
            <w:pPr>
              <w:pStyle w:val="NotesTextBullet"/>
            </w:pPr>
            <w:r>
              <w:t>Repeat this step until all units are included in the Selected Units list on the Unit ABO/Rh Confirmation screen.</w:t>
            </w:r>
          </w:p>
          <w:p w14:paraId="1A20A2D1" w14:textId="77777777" w:rsidR="002A21AE" w:rsidRDefault="002A21AE">
            <w:pPr>
              <w:pStyle w:val="NotesTextBullet"/>
            </w:pPr>
            <w:r>
              <w:t xml:space="preserve">Click </w:t>
            </w:r>
            <w:r>
              <w:rPr>
                <w:b/>
              </w:rPr>
              <w:t>OK</w:t>
            </w:r>
            <w:r>
              <w:t>.</w:t>
            </w:r>
          </w:p>
        </w:tc>
      </w:tr>
      <w:tr w:rsidR="002A21AE" w14:paraId="6BD916CE" w14:textId="77777777" w:rsidTr="001A459B">
        <w:trPr>
          <w:cantSplit/>
        </w:trPr>
        <w:tc>
          <w:tcPr>
            <w:tcW w:w="3240" w:type="dxa"/>
          </w:tcPr>
          <w:p w14:paraId="003E93FC" w14:textId="77777777" w:rsidR="002A21AE" w:rsidRDefault="002A21AE" w:rsidP="009023E2">
            <w:pPr>
              <w:pStyle w:val="TableTextNumbers"/>
            </w:pPr>
            <w:r>
              <w:lastRenderedPageBreak/>
              <w:t>Select a rack.</w:t>
            </w:r>
          </w:p>
          <w:p w14:paraId="7BBFDF38" w14:textId="77777777" w:rsidR="002A21AE" w:rsidRDefault="002A21AE">
            <w:pPr>
              <w:pStyle w:val="TableTextNumbersContinued"/>
            </w:pPr>
          </w:p>
          <w:p w14:paraId="0AE35BCA" w14:textId="77777777" w:rsidR="002A21AE" w:rsidRDefault="002A21AE">
            <w:pPr>
              <w:pStyle w:val="TableTextNumbersContinued"/>
            </w:pPr>
            <w:r>
              <w:t>Select a date or accept the default.</w:t>
            </w:r>
          </w:p>
          <w:p w14:paraId="4F44FA39" w14:textId="77777777" w:rsidR="002A21AE" w:rsidRDefault="002A21AE">
            <w:pPr>
              <w:pStyle w:val="TableTextNumbersContinued"/>
            </w:pPr>
          </w:p>
          <w:p w14:paraId="24402C22" w14:textId="77777777" w:rsidR="002A21AE" w:rsidRDefault="002A21AE">
            <w:pPr>
              <w:pStyle w:val="TableTextNumbersContinued"/>
            </w:pPr>
            <w:r>
              <w:t>Select a Tested By name.</w:t>
            </w:r>
          </w:p>
          <w:p w14:paraId="4CE9DC82" w14:textId="77777777" w:rsidR="002A21AE" w:rsidRDefault="002A21AE">
            <w:pPr>
              <w:pStyle w:val="TableTextNumbersContinued"/>
            </w:pPr>
          </w:p>
          <w:p w14:paraId="42BD3DFE" w14:textId="77777777" w:rsidR="002A21AE" w:rsidRDefault="002A21AE">
            <w:pPr>
              <w:pStyle w:val="TableTextNumbersContinued"/>
            </w:pPr>
            <w:r>
              <w:t xml:space="preserve">Click </w:t>
            </w:r>
            <w:r>
              <w:rPr>
                <w:b/>
              </w:rPr>
              <w:t>Using Automated Instrument</w:t>
            </w:r>
            <w:r>
              <w:t xml:space="preserve">, as appropriate. </w:t>
            </w:r>
          </w:p>
          <w:p w14:paraId="71002026" w14:textId="77777777" w:rsidR="002A21AE" w:rsidRDefault="002A21AE">
            <w:pPr>
              <w:pStyle w:val="TableTextNumbersContinued"/>
            </w:pPr>
          </w:p>
          <w:p w14:paraId="2CDE3AB5" w14:textId="77777777" w:rsidR="002A21AE" w:rsidRDefault="002A21AE">
            <w:pPr>
              <w:pStyle w:val="TableTextNumbersContinued"/>
            </w:pPr>
            <w:r>
              <w:t xml:space="preserve">Click the </w:t>
            </w:r>
            <w:r>
              <w:rPr>
                <w:b/>
              </w:rPr>
              <w:t xml:space="preserve">Perform Anti-D Testing </w:t>
            </w:r>
            <w:r w:rsidRPr="00D1100E">
              <w:t>check box</w:t>
            </w:r>
            <w:r>
              <w:t>, when appropriate.</w:t>
            </w:r>
          </w:p>
          <w:p w14:paraId="647EF09E" w14:textId="77777777" w:rsidR="002A21AE" w:rsidRDefault="002A21AE">
            <w:pPr>
              <w:pStyle w:val="TableTextNumbersContinued"/>
            </w:pPr>
          </w:p>
          <w:p w14:paraId="74E1C672" w14:textId="77777777" w:rsidR="002A21AE" w:rsidRDefault="002A21AE">
            <w:pPr>
              <w:pStyle w:val="TableTextNumbersContinued"/>
            </w:pPr>
            <w:r>
              <w:t xml:space="preserve">Click </w:t>
            </w:r>
            <w:r>
              <w:rPr>
                <w:b/>
              </w:rPr>
              <w:t>OK</w:t>
            </w:r>
            <w:r>
              <w:t>.</w:t>
            </w:r>
          </w:p>
        </w:tc>
        <w:tc>
          <w:tcPr>
            <w:tcW w:w="6120" w:type="dxa"/>
          </w:tcPr>
          <w:p w14:paraId="1486F695" w14:textId="77777777" w:rsidR="002A21AE" w:rsidRDefault="002A21AE">
            <w:pPr>
              <w:pStyle w:val="TableTextBullet"/>
            </w:pPr>
            <w:r>
              <w:t xml:space="preserve">Displays the racks available using the pick list provided. </w:t>
            </w:r>
          </w:p>
          <w:p w14:paraId="18AE6CA7" w14:textId="77777777" w:rsidR="002A21AE" w:rsidRDefault="002A21AE">
            <w:pPr>
              <w:pStyle w:val="TableTextBullet"/>
            </w:pPr>
            <w:r>
              <w:t xml:space="preserve">Displays the date and time testing was performed. The default is the current date and time. The date may be edited using the pick list provided. </w:t>
            </w:r>
          </w:p>
          <w:p w14:paraId="768AF0D2" w14:textId="77777777" w:rsidR="002A21AE" w:rsidRDefault="002A21AE">
            <w:pPr>
              <w:pStyle w:val="TableTextBullet"/>
            </w:pPr>
            <w:r>
              <w:t xml:space="preserve">Displays the testing technologist’s identification. The default is the current user. Select a name from the pick list of valid division users to show a different testing technologist. </w:t>
            </w:r>
          </w:p>
          <w:p w14:paraId="4B45A44C" w14:textId="77777777" w:rsidR="002A21AE" w:rsidRDefault="002A21AE">
            <w:pPr>
              <w:pStyle w:val="TableTextBullet"/>
            </w:pPr>
            <w:r>
              <w:t>Displays warnings and the option to indicate that the user is ready to begin entering results after all warnings are addressed.</w:t>
            </w:r>
          </w:p>
          <w:p w14:paraId="49BCC2C3" w14:textId="77777777" w:rsidR="002A21AE" w:rsidRDefault="002A21AE">
            <w:pPr>
              <w:pStyle w:val="TableTextBullet"/>
            </w:pPr>
            <w:r>
              <w:t>Generates an Exception Report entry when the user inactivates or deletes the partially completed result grids and enters a comment.</w:t>
            </w:r>
          </w:p>
          <w:p w14:paraId="698893CB" w14:textId="77777777" w:rsidR="002A21AE" w:rsidRDefault="002A21AE">
            <w:pPr>
              <w:pStyle w:val="TableText"/>
            </w:pPr>
          </w:p>
          <w:p w14:paraId="379AD499" w14:textId="77777777" w:rsidR="002A21AE" w:rsidRDefault="00057948">
            <w:pPr>
              <w:pStyle w:val="TableText"/>
              <w:rPr>
                <w:b/>
                <w:bCs/>
              </w:rPr>
            </w:pPr>
            <w:r>
              <w:rPr>
                <w:noProof/>
              </w:rPr>
              <mc:AlternateContent>
                <mc:Choice Requires="wps">
                  <w:drawing>
                    <wp:anchor distT="0" distB="0" distL="114300" distR="114300" simplePos="0" relativeHeight="251312640" behindDoc="0" locked="0" layoutInCell="1" allowOverlap="1" wp14:anchorId="168F04B4" wp14:editId="592D27D7">
                      <wp:simplePos x="0" y="0"/>
                      <wp:positionH relativeFrom="column">
                        <wp:posOffset>457200</wp:posOffset>
                      </wp:positionH>
                      <wp:positionV relativeFrom="paragraph">
                        <wp:posOffset>65405</wp:posOffset>
                      </wp:positionV>
                      <wp:extent cx="3200400" cy="0"/>
                      <wp:effectExtent l="9525" t="17780" r="9525" b="10795"/>
                      <wp:wrapNone/>
                      <wp:docPr id="498" name="Line 618" descr="P3846C6T4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481AE" id="Line 618" o:spid="_x0000_s1026" alt="&quot;&quot;" style="position:absolute;z-index:2513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LWrOfcMBAABuAwAADgAAAAAAAAAAAAAAAAAu&#10;AgAAZHJzL2Uyb0RvYy54bWxQSwECLQAUAAYACAAAACEAF08wEtsAAAAIAQAADwAAAAAAAAAAAAAA&#10;AAAdBAAAZHJzL2Rvd25yZXYueG1sUEsFBgAAAAAEAAQA8wAAACUFAAAAAA==&#10;" strokeweight="1.5pt"/>
                  </w:pict>
                </mc:Fallback>
              </mc:AlternateContent>
            </w:r>
            <w:r w:rsidR="002A21AE">
              <w:rPr>
                <w:b/>
                <w:bCs/>
              </w:rPr>
              <w:t xml:space="preserve">NOTES </w:t>
            </w:r>
          </w:p>
          <w:p w14:paraId="49DAC31B" w14:textId="77777777" w:rsidR="002A21AE" w:rsidRDefault="002A21AE">
            <w:pPr>
              <w:pStyle w:val="NotesText"/>
            </w:pPr>
          </w:p>
          <w:p w14:paraId="687BAE42" w14:textId="77777777" w:rsidR="002A21AE" w:rsidRDefault="002A21AE" w:rsidP="00C0155E">
            <w:pPr>
              <w:pStyle w:val="NotesText"/>
            </w:pPr>
            <w:r>
              <w:rPr>
                <w:rFonts w:cs="Arial"/>
                <w:vanish/>
              </w:rPr>
              <w:t xml:space="preserve">BR_2.47 </w:t>
            </w:r>
            <w:r>
              <w:t>A user may disable the anti-D testing grid column in the ABO/Rh unit confirmation worksheet.</w:t>
            </w:r>
            <w:r w:rsidR="00632245">
              <w:t xml:space="preserve"> When the Anti-D testing grid display is disabled, the user </w:t>
            </w:r>
            <w:r w:rsidR="00C0155E">
              <w:t>may</w:t>
            </w:r>
            <w:r w:rsidR="00632245">
              <w:t xml:space="preserve"> select only RH Positive labeled units for confirmation testing.</w:t>
            </w:r>
          </w:p>
        </w:tc>
      </w:tr>
      <w:tr w:rsidR="002A21AE" w14:paraId="4D42A5BA" w14:textId="77777777">
        <w:tc>
          <w:tcPr>
            <w:tcW w:w="3240" w:type="dxa"/>
          </w:tcPr>
          <w:p w14:paraId="024CCE35" w14:textId="77777777" w:rsidR="002A21AE" w:rsidRDefault="002A21AE">
            <w:pPr>
              <w:pStyle w:val="TableTextNumbers"/>
            </w:pPr>
            <w:r>
              <w:t>Select a unit for which to record test results.</w:t>
            </w:r>
          </w:p>
          <w:p w14:paraId="578F73FC" w14:textId="77777777" w:rsidR="002A21AE" w:rsidRDefault="002A21AE">
            <w:pPr>
              <w:pStyle w:val="TableTextNumbersContinued"/>
            </w:pPr>
          </w:p>
          <w:p w14:paraId="35617540" w14:textId="77777777" w:rsidR="002A21AE" w:rsidRDefault="002A21AE">
            <w:pPr>
              <w:pStyle w:val="TableTextNumbersContinued"/>
            </w:pPr>
            <w:r>
              <w:t>Select a cell and enter an observed test result from the legend at the bottom of the screen.</w:t>
            </w:r>
          </w:p>
          <w:p w14:paraId="76DBD58A" w14:textId="77777777" w:rsidR="002A21AE" w:rsidRDefault="002A21AE">
            <w:pPr>
              <w:pStyle w:val="TableTextNumbersContinued"/>
            </w:pPr>
          </w:p>
          <w:p w14:paraId="6A9BFF4C" w14:textId="77777777" w:rsidR="002A21AE" w:rsidRDefault="002A21AE">
            <w:pPr>
              <w:pStyle w:val="TableTextNumbersContinued"/>
            </w:pPr>
            <w:r>
              <w:rPr>
                <w:rFonts w:cs="Arial"/>
                <w:vanish/>
                <w:szCs w:val="18"/>
              </w:rPr>
              <w:t>BR_2.30</w:t>
            </w:r>
            <w:r w:rsidR="00CE3961">
              <w:rPr>
                <w:rFonts w:cs="Arial"/>
                <w:vanish/>
                <w:szCs w:val="18"/>
              </w:rPr>
              <w:t>,</w:t>
            </w:r>
            <w:r>
              <w:rPr>
                <w:rFonts w:cs="Arial"/>
                <w:vanish/>
                <w:szCs w:val="18"/>
              </w:rPr>
              <w:t xml:space="preserve"> </w:t>
            </w:r>
            <w:r>
              <w:rPr>
                <w:vanish/>
                <w:szCs w:val="18"/>
              </w:rPr>
              <w:t xml:space="preserve">BR_2.31 </w:t>
            </w:r>
            <w:r>
              <w:t xml:space="preserve">Enter a valid interpretation, then press </w:t>
            </w:r>
            <w:r w:rsidR="00DF74D1">
              <w:t xml:space="preserve">the </w:t>
            </w:r>
            <w:r>
              <w:rPr>
                <w:b/>
              </w:rPr>
              <w:t>Enter</w:t>
            </w:r>
            <w:r w:rsidR="00DF74D1">
              <w:rPr>
                <w:b/>
              </w:rPr>
              <w:t xml:space="preserve"> key</w:t>
            </w:r>
            <w:r>
              <w:t xml:space="preserve"> to go to the next data grid interpretation or Comment cell.</w:t>
            </w:r>
          </w:p>
          <w:p w14:paraId="7D9E03A9" w14:textId="77777777" w:rsidR="002A21AE" w:rsidRDefault="002A21AE">
            <w:pPr>
              <w:pStyle w:val="TableTextNumbersContinued"/>
            </w:pPr>
          </w:p>
          <w:p w14:paraId="31FF70AB" w14:textId="77777777" w:rsidR="002A21AE" w:rsidRDefault="002A21AE">
            <w:pPr>
              <w:pStyle w:val="TableTextNumbersContinued"/>
            </w:pPr>
            <w:r>
              <w:t>Select enter comments from the Unit Testing for the ABO and Rh interpretations, as needed.</w:t>
            </w:r>
          </w:p>
          <w:p w14:paraId="2F9216C8" w14:textId="77777777" w:rsidR="002A21AE" w:rsidRDefault="002A21AE">
            <w:pPr>
              <w:pStyle w:val="TableTextNumbersContinued"/>
            </w:pPr>
          </w:p>
          <w:p w14:paraId="1280B526" w14:textId="77777777" w:rsidR="002A21AE" w:rsidRDefault="002A21AE">
            <w:pPr>
              <w:pStyle w:val="TableTextNumbersContinued"/>
            </w:pPr>
            <w:r>
              <w:t>Repeat until all test results for the selected unit are entered.</w:t>
            </w:r>
          </w:p>
        </w:tc>
        <w:tc>
          <w:tcPr>
            <w:tcW w:w="6120" w:type="dxa"/>
          </w:tcPr>
          <w:p w14:paraId="6EB23903" w14:textId="77777777" w:rsidR="002A21AE" w:rsidRDefault="002A21AE">
            <w:pPr>
              <w:pStyle w:val="TableTextBullet"/>
            </w:pPr>
            <w:r>
              <w:t>Creates a grid for data entry of results and interpretations, displaying units in the order selected.</w:t>
            </w:r>
          </w:p>
          <w:p w14:paraId="4642097F" w14:textId="77777777" w:rsidR="002A21AE" w:rsidRDefault="002A21AE">
            <w:pPr>
              <w:pStyle w:val="TableTextBullet"/>
            </w:pPr>
            <w:r>
              <w:t>Allows the user to select a blood test type and enter a test result for the unit.</w:t>
            </w:r>
          </w:p>
          <w:p w14:paraId="6E732C11" w14:textId="77777777" w:rsidR="002A21AE" w:rsidRDefault="002A21AE">
            <w:pPr>
              <w:pStyle w:val="TableTextBullet"/>
            </w:pPr>
            <w:r>
              <w:t>Restricts data entry to valid selections for testing results. Displays testing results and interpretations entered.</w:t>
            </w:r>
          </w:p>
          <w:p w14:paraId="536E8DB2" w14:textId="77777777" w:rsidR="002A21AE" w:rsidRDefault="002A21AE">
            <w:pPr>
              <w:pStyle w:val="TableTextBullet"/>
            </w:pPr>
            <w:r>
              <w:t>An interpretation indicates that all appropriate test results were entered for the unit.</w:t>
            </w:r>
          </w:p>
          <w:p w14:paraId="533ED9E1" w14:textId="77777777" w:rsidR="002A21AE" w:rsidRDefault="002A21AE">
            <w:pPr>
              <w:pStyle w:val="TableText"/>
            </w:pPr>
          </w:p>
          <w:p w14:paraId="2D395C04" w14:textId="77777777" w:rsidR="002A21AE" w:rsidRDefault="00057948">
            <w:pPr>
              <w:pStyle w:val="TableText"/>
              <w:rPr>
                <w:b/>
                <w:bCs/>
                <w:szCs w:val="18"/>
              </w:rPr>
            </w:pPr>
            <w:r>
              <w:rPr>
                <w:b/>
                <w:bCs/>
                <w:noProof/>
              </w:rPr>
              <mc:AlternateContent>
                <mc:Choice Requires="wps">
                  <w:drawing>
                    <wp:anchor distT="0" distB="0" distL="114300" distR="114300" simplePos="0" relativeHeight="251315712" behindDoc="0" locked="0" layoutInCell="1" allowOverlap="1" wp14:anchorId="2349C2BD" wp14:editId="345E4BC8">
                      <wp:simplePos x="0" y="0"/>
                      <wp:positionH relativeFrom="column">
                        <wp:posOffset>457200</wp:posOffset>
                      </wp:positionH>
                      <wp:positionV relativeFrom="paragraph">
                        <wp:posOffset>65405</wp:posOffset>
                      </wp:positionV>
                      <wp:extent cx="3200400" cy="0"/>
                      <wp:effectExtent l="9525" t="17780" r="9525" b="10795"/>
                      <wp:wrapNone/>
                      <wp:docPr id="497" name="Line 619" descr="P3864C8T4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5F1B7" id="Line 619" o:spid="_x0000_s1026" alt="&quot;&quot;" style="position:absolute;z-index:2513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gho0a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0C8BBFAD" w14:textId="77777777" w:rsidR="002A21AE" w:rsidRDefault="009965B7">
            <w:pPr>
              <w:pStyle w:val="NotesText"/>
              <w:spacing w:before="240"/>
            </w:pPr>
            <w:r w:rsidRPr="00896F17">
              <w:rPr>
                <w:rStyle w:val="BullhornChar"/>
              </w:rPr>
              <w:t></w:t>
            </w:r>
            <w:r w:rsidRPr="00D62E87">
              <w:rPr>
                <w:rFonts w:ascii="Webdings" w:hAnsi="Webdings"/>
              </w:rPr>
              <w:t></w:t>
            </w:r>
            <w:r w:rsidRPr="00D62E87">
              <w:t>V</w:t>
            </w:r>
            <w:r w:rsidR="002A21AE">
              <w:t xml:space="preserve">BECS emits an audible alert and generates a warning requiring override when the ABO and/or Rh confirmation interpretation does not match the ABO and/or Rh of the unit at initial login. When the user confirms the discrepancy, inventory units whose ABO/Rh confirmation does not match the ABO/Rh at login are marked “Quarantined.” VBECS captures details for inclusion in an Exception Report (exception type: Unit ABO/Rh </w:t>
            </w:r>
            <w:r w:rsidR="00922AD8">
              <w:t>login</w:t>
            </w:r>
            <w:r w:rsidR="002A21AE">
              <w:t xml:space="preserve"> vs. confirmation do not match, unit quarantined).</w:t>
            </w:r>
          </w:p>
          <w:p w14:paraId="6845087E" w14:textId="77777777" w:rsidR="002A21AE" w:rsidRDefault="002A21AE">
            <w:pPr>
              <w:pStyle w:val="NotesText"/>
            </w:pPr>
          </w:p>
          <w:p w14:paraId="3B63AFE7" w14:textId="77777777" w:rsidR="002A21AE" w:rsidRDefault="002A21AE" w:rsidP="005F1F08">
            <w:pPr>
              <w:pStyle w:val="NotesText"/>
            </w:pPr>
            <w:r>
              <w:rPr>
                <w:rFonts w:cs="Arial"/>
                <w:vanish/>
              </w:rPr>
              <w:t xml:space="preserve">BR_2.03 </w:t>
            </w:r>
            <w:r>
              <w:t>ABO/Rh confirmation testing data grids accommodate uniform data entry for Forward ABO testing</w:t>
            </w:r>
            <w:r w:rsidR="005F1F08">
              <w:t>.</w:t>
            </w:r>
          </w:p>
          <w:p w14:paraId="7A5FFA7F" w14:textId="77777777" w:rsidR="002A21AE" w:rsidRDefault="002A21AE">
            <w:pPr>
              <w:pStyle w:val="NotesText"/>
            </w:pPr>
          </w:p>
          <w:p w14:paraId="4F19C236" w14:textId="77777777" w:rsidR="002A21AE" w:rsidRDefault="002A21AE">
            <w:pPr>
              <w:pStyle w:val="NotesText"/>
            </w:pPr>
            <w:r>
              <w:rPr>
                <w:rFonts w:cs="Arial"/>
                <w:vanish/>
              </w:rPr>
              <w:t xml:space="preserve">BR_2.27 </w:t>
            </w:r>
            <w:r w:rsidR="00EC34E1" w:rsidRPr="0094281E">
              <w:t>The cursor move</w:t>
            </w:r>
            <w:r w:rsidR="00EC34E1">
              <w:t>s</w:t>
            </w:r>
            <w:r w:rsidR="00EC34E1" w:rsidRPr="0094281E">
              <w:t xml:space="preserve"> with a single valid keystroke from the top left cell </w:t>
            </w:r>
            <w:r w:rsidR="00EC34E1">
              <w:t>across</w:t>
            </w:r>
            <w:r w:rsidR="00EC34E1" w:rsidRPr="0094281E">
              <w:t xml:space="preserve"> the row</w:t>
            </w:r>
            <w:r w:rsidR="00EC34E1">
              <w:t>,</w:t>
            </w:r>
            <w:r w:rsidR="00EC34E1" w:rsidRPr="0094281E">
              <w:t xml:space="preserve"> returning to the </w:t>
            </w:r>
            <w:r w:rsidR="00EC34E1">
              <w:t>left</w:t>
            </w:r>
            <w:r w:rsidR="00EC34E1" w:rsidRPr="0094281E">
              <w:t>most cell in the next row</w:t>
            </w:r>
            <w:r w:rsidR="00EC34E1">
              <w:t>,</w:t>
            </w:r>
            <w:r w:rsidR="00EC34E1" w:rsidRPr="0094281E">
              <w:t xml:space="preserve"> and so on down the worksheet grid.</w:t>
            </w:r>
            <w:r>
              <w:t xml:space="preserve"> The cursor stays in the reaction results cells by default (the technologist may use the mouse to click in the interpretation area) until the last entry is made in the reaction result portion of the grid. The cursor then goes to the first (top) interpretation cell.</w:t>
            </w:r>
          </w:p>
          <w:p w14:paraId="2A3C76FF" w14:textId="77777777" w:rsidR="002A21AE" w:rsidRDefault="002A21AE">
            <w:pPr>
              <w:pStyle w:val="NotesText"/>
              <w:ind w:left="0"/>
            </w:pPr>
          </w:p>
          <w:p w14:paraId="6CADE542" w14:textId="6411B703" w:rsidR="002A21AE" w:rsidRDefault="002A21AE">
            <w:pPr>
              <w:pStyle w:val="NotesText"/>
            </w:pPr>
            <w:r>
              <w:t>The user may enter free-text comments or comments from the Unit Testing for the ABO and Rh interpretations</w:t>
            </w:r>
            <w:r w:rsidR="002106D5">
              <w:t xml:space="preserve"> (</w:t>
            </w:r>
            <w:r w:rsidR="002106D5">
              <w:fldChar w:fldCharType="begin" w:fldLock="1"/>
            </w:r>
            <w:r w:rsidR="002106D5">
              <w:instrText xml:space="preserve"> REF _Ref256686527 \h </w:instrText>
            </w:r>
            <w:r w:rsidR="002106D5">
              <w:fldChar w:fldCharType="separate"/>
            </w:r>
            <w:r w:rsidR="00AB304C">
              <w:t xml:space="preserve">Table </w:t>
            </w:r>
            <w:r w:rsidR="00AB304C">
              <w:rPr>
                <w:noProof/>
              </w:rPr>
              <w:t>4</w:t>
            </w:r>
            <w:r w:rsidR="002106D5">
              <w:fldChar w:fldCharType="end"/>
            </w:r>
            <w:r w:rsidR="002106D5">
              <w:t>)</w:t>
            </w:r>
            <w:r>
              <w:t>.</w:t>
            </w:r>
          </w:p>
          <w:p w14:paraId="6640FFE6" w14:textId="6F7B81AE" w:rsidR="002A21AE" w:rsidRDefault="002A21AE">
            <w:pPr>
              <w:pStyle w:val="Caption"/>
              <w:ind w:left="720"/>
            </w:pPr>
            <w:bookmarkStart w:id="305" w:name="_Ref256686527"/>
            <w:bookmarkStart w:id="306" w:name="_Toc97523616"/>
            <w:bookmarkStart w:id="307" w:name="_Toc97527586"/>
            <w:bookmarkStart w:id="308" w:name="_Ref126504333"/>
            <w:r>
              <w:lastRenderedPageBreak/>
              <w:t xml:space="preserve">Table </w:t>
            </w:r>
            <w:r w:rsidR="004E20BD">
              <w:rPr>
                <w:noProof/>
              </w:rPr>
              <w:fldChar w:fldCharType="begin"/>
            </w:r>
            <w:r w:rsidR="004E20BD">
              <w:rPr>
                <w:noProof/>
              </w:rPr>
              <w:instrText xml:space="preserve"> SEQ Table \* ARABIC </w:instrText>
            </w:r>
            <w:r w:rsidR="004E20BD">
              <w:rPr>
                <w:noProof/>
              </w:rPr>
              <w:fldChar w:fldCharType="separate"/>
            </w:r>
            <w:r w:rsidR="00647F4E">
              <w:rPr>
                <w:noProof/>
              </w:rPr>
              <w:t>4</w:t>
            </w:r>
            <w:r w:rsidR="004E20BD">
              <w:rPr>
                <w:noProof/>
              </w:rPr>
              <w:fldChar w:fldCharType="end"/>
            </w:r>
            <w:bookmarkEnd w:id="305"/>
            <w:r>
              <w:t xml:space="preserve">: </w:t>
            </w:r>
            <w:r>
              <w:rPr>
                <w:rFonts w:ascii="Arial" w:hAnsi="Arial" w:cs="Arial"/>
                <w:b w:val="0"/>
                <w:vanish/>
                <w:sz w:val="18"/>
              </w:rPr>
              <w:t xml:space="preserve">BR_2.10 </w:t>
            </w:r>
            <w:r>
              <w:t>Valid Interpretations</w:t>
            </w:r>
            <w:bookmarkEnd w:id="306"/>
            <w:bookmarkEnd w:id="307"/>
            <w:bookmarkEnd w:id="308"/>
            <w:r>
              <w:fldChar w:fldCharType="begin"/>
            </w:r>
            <w:r>
              <w:instrText xml:space="preserve"> XE </w:instrText>
            </w:r>
            <w:r w:rsidR="00FA7E65">
              <w:instrText>“</w:instrText>
            </w:r>
            <w:r>
              <w:instrText>Tables:Valid Interpretations</w:instrText>
            </w:r>
            <w:r w:rsidR="00FA7E65">
              <w:instrText>”</w:instrText>
            </w:r>
            <w:r>
              <w:instrText xml:space="preserve"> </w:instrText>
            </w:r>
            <w:r>
              <w:fldChar w:fldCharType="end"/>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5"/>
              <w:gridCol w:w="1800"/>
            </w:tblGrid>
            <w:tr w:rsidR="002A21AE" w14:paraId="108605CF" w14:textId="77777777">
              <w:trPr>
                <w:tblHeader/>
              </w:trPr>
              <w:tc>
                <w:tcPr>
                  <w:tcW w:w="1615" w:type="dxa"/>
                  <w:shd w:val="clear" w:color="auto" w:fill="B3B3B3"/>
                  <w:vAlign w:val="bottom"/>
                </w:tcPr>
                <w:p w14:paraId="66A5FC2F" w14:textId="77777777" w:rsidR="002A21AE" w:rsidRDefault="002A21AE">
                  <w:pPr>
                    <w:pStyle w:val="TableText"/>
                    <w:jc w:val="center"/>
                    <w:rPr>
                      <w:b/>
                    </w:rPr>
                  </w:pPr>
                  <w:r>
                    <w:rPr>
                      <w:b/>
                    </w:rPr>
                    <w:t>ABO</w:t>
                  </w:r>
                </w:p>
              </w:tc>
              <w:tc>
                <w:tcPr>
                  <w:tcW w:w="1800" w:type="dxa"/>
                  <w:shd w:val="clear" w:color="auto" w:fill="B3B3B3"/>
                  <w:vAlign w:val="bottom"/>
                </w:tcPr>
                <w:p w14:paraId="08C88AEB" w14:textId="77777777" w:rsidR="002A21AE" w:rsidRDefault="002A21AE">
                  <w:pPr>
                    <w:pStyle w:val="TableText"/>
                    <w:jc w:val="center"/>
                    <w:rPr>
                      <w:b/>
                    </w:rPr>
                  </w:pPr>
                  <w:r>
                    <w:rPr>
                      <w:b/>
                    </w:rPr>
                    <w:t>Rh</w:t>
                  </w:r>
                </w:p>
              </w:tc>
            </w:tr>
            <w:tr w:rsidR="002A21AE" w14:paraId="6FAA90C7" w14:textId="77777777">
              <w:tc>
                <w:tcPr>
                  <w:tcW w:w="1615" w:type="dxa"/>
                  <w:vAlign w:val="bottom"/>
                </w:tcPr>
                <w:p w14:paraId="00997EAA" w14:textId="77777777" w:rsidR="002A21AE" w:rsidRDefault="002A21AE">
                  <w:pPr>
                    <w:pStyle w:val="TableText"/>
                  </w:pPr>
                  <w:r>
                    <w:t>A</w:t>
                  </w:r>
                </w:p>
              </w:tc>
              <w:tc>
                <w:tcPr>
                  <w:tcW w:w="1800" w:type="dxa"/>
                  <w:vAlign w:val="bottom"/>
                </w:tcPr>
                <w:p w14:paraId="1B9CF688" w14:textId="77777777" w:rsidR="002A21AE" w:rsidRDefault="002A21AE">
                  <w:pPr>
                    <w:pStyle w:val="TableText"/>
                  </w:pPr>
                  <w:r>
                    <w:t>P, POS (positive)</w:t>
                  </w:r>
                </w:p>
              </w:tc>
            </w:tr>
            <w:tr w:rsidR="002A21AE" w14:paraId="39B5D904" w14:textId="77777777">
              <w:tc>
                <w:tcPr>
                  <w:tcW w:w="1615" w:type="dxa"/>
                  <w:vAlign w:val="bottom"/>
                </w:tcPr>
                <w:p w14:paraId="7D8111AC" w14:textId="77777777" w:rsidR="002A21AE" w:rsidRDefault="002A21AE">
                  <w:pPr>
                    <w:pStyle w:val="TableText"/>
                  </w:pPr>
                  <w:r>
                    <w:t>B</w:t>
                  </w:r>
                </w:p>
              </w:tc>
              <w:tc>
                <w:tcPr>
                  <w:tcW w:w="1800" w:type="dxa"/>
                  <w:vAlign w:val="bottom"/>
                </w:tcPr>
                <w:p w14:paraId="5B8FE0F4" w14:textId="77777777" w:rsidR="002A21AE" w:rsidRDefault="002A21AE">
                  <w:pPr>
                    <w:pStyle w:val="TableText"/>
                  </w:pPr>
                  <w:r>
                    <w:t>N, NEG (negative)</w:t>
                  </w:r>
                </w:p>
              </w:tc>
            </w:tr>
            <w:tr w:rsidR="002A21AE" w14:paraId="24200F57" w14:textId="77777777">
              <w:tc>
                <w:tcPr>
                  <w:tcW w:w="1615" w:type="dxa"/>
                  <w:vAlign w:val="bottom"/>
                </w:tcPr>
                <w:p w14:paraId="10534945" w14:textId="77777777" w:rsidR="002A21AE" w:rsidRDefault="002A21AE">
                  <w:pPr>
                    <w:pStyle w:val="TableText"/>
                  </w:pPr>
                  <w:r>
                    <w:t>AB</w:t>
                  </w:r>
                </w:p>
              </w:tc>
              <w:tc>
                <w:tcPr>
                  <w:tcW w:w="1800" w:type="dxa"/>
                  <w:tcBorders>
                    <w:bottom w:val="single" w:sz="4" w:space="0" w:color="auto"/>
                  </w:tcBorders>
                  <w:vAlign w:val="bottom"/>
                </w:tcPr>
                <w:p w14:paraId="662E953C" w14:textId="77777777" w:rsidR="002A21AE" w:rsidRDefault="002A21AE">
                  <w:pPr>
                    <w:pStyle w:val="TableText"/>
                  </w:pPr>
                  <w:r>
                    <w:t>I, Inconclusive</w:t>
                  </w:r>
                </w:p>
              </w:tc>
            </w:tr>
            <w:tr w:rsidR="002A21AE" w14:paraId="7EB85C38" w14:textId="77777777">
              <w:trPr>
                <w:cantSplit/>
              </w:trPr>
              <w:tc>
                <w:tcPr>
                  <w:tcW w:w="1615" w:type="dxa"/>
                  <w:vAlign w:val="bottom"/>
                </w:tcPr>
                <w:p w14:paraId="7CF94FB3" w14:textId="77777777" w:rsidR="002A21AE" w:rsidRDefault="002A21AE">
                  <w:pPr>
                    <w:pStyle w:val="TableText"/>
                  </w:pPr>
                  <w:r>
                    <w:t>O</w:t>
                  </w:r>
                </w:p>
              </w:tc>
              <w:tc>
                <w:tcPr>
                  <w:tcW w:w="1800" w:type="dxa"/>
                  <w:vMerge w:val="restart"/>
                  <w:shd w:val="clear" w:color="auto" w:fill="B3B3B3"/>
                  <w:vAlign w:val="bottom"/>
                </w:tcPr>
                <w:p w14:paraId="037370BB" w14:textId="77777777" w:rsidR="002A21AE" w:rsidRDefault="002A21AE">
                  <w:pPr>
                    <w:pStyle w:val="TableText"/>
                  </w:pPr>
                </w:p>
              </w:tc>
            </w:tr>
            <w:tr w:rsidR="002A21AE" w14:paraId="6B3AEEB5" w14:textId="77777777">
              <w:trPr>
                <w:cantSplit/>
              </w:trPr>
              <w:tc>
                <w:tcPr>
                  <w:tcW w:w="1615" w:type="dxa"/>
                  <w:vAlign w:val="bottom"/>
                </w:tcPr>
                <w:p w14:paraId="01B6C995" w14:textId="77777777" w:rsidR="002A21AE" w:rsidRDefault="002A21AE">
                  <w:pPr>
                    <w:pStyle w:val="TableText"/>
                  </w:pPr>
                  <w:r>
                    <w:t>I, Inconclusive</w:t>
                  </w:r>
                </w:p>
              </w:tc>
              <w:tc>
                <w:tcPr>
                  <w:tcW w:w="1800" w:type="dxa"/>
                  <w:vMerge/>
                  <w:vAlign w:val="bottom"/>
                </w:tcPr>
                <w:p w14:paraId="5C6008B5" w14:textId="77777777" w:rsidR="002A21AE" w:rsidRDefault="002A21AE">
                  <w:pPr>
                    <w:pStyle w:val="NotesText"/>
                  </w:pPr>
                </w:p>
              </w:tc>
            </w:tr>
          </w:tbl>
          <w:p w14:paraId="4EE47643" w14:textId="77777777" w:rsidR="002A21AE" w:rsidRDefault="002A21AE">
            <w:pPr>
              <w:pStyle w:val="NotesText"/>
              <w:ind w:left="0"/>
            </w:pPr>
          </w:p>
          <w:p w14:paraId="2D99C062" w14:textId="77777777" w:rsidR="002A21AE" w:rsidRDefault="002A21AE">
            <w:pPr>
              <w:pStyle w:val="NotesText"/>
            </w:pPr>
            <w:r>
              <w:rPr>
                <w:rFonts w:cs="Arial"/>
                <w:vanish/>
              </w:rPr>
              <w:t xml:space="preserve">BR_2.15 </w:t>
            </w:r>
            <w:r>
              <w:t>When a user saves a partially completed ABO/Rh testing worklist, VBECS clears unit entries with incomplete or no results, releases them from the worklist, and makes them available for inclusion in a future worklist.</w:t>
            </w:r>
          </w:p>
          <w:p w14:paraId="7E76337C" w14:textId="77777777" w:rsidR="002A21AE" w:rsidRDefault="002A21AE">
            <w:pPr>
              <w:pStyle w:val="NotesText"/>
            </w:pPr>
          </w:p>
          <w:p w14:paraId="17A20B9E" w14:textId="77777777" w:rsidR="002A21AE" w:rsidRDefault="002A21AE">
            <w:pPr>
              <w:pStyle w:val="NotesText"/>
            </w:pPr>
            <w:r>
              <w:rPr>
                <w:rFonts w:cs="Arial"/>
                <w:vanish/>
              </w:rPr>
              <w:t xml:space="preserve">BR_2.35 </w:t>
            </w:r>
            <w:r>
              <w:t>Row validation is established for the interpretation vs. reaction results pattern by system rules</w:t>
            </w:r>
            <w:r>
              <w:rPr>
                <w:vanish/>
                <w:szCs w:val="18"/>
              </w:rPr>
              <w:t>TT_2.01 Forward ABO Confirmation and TT_2.02 Rh Confirmation: Forward Testing Truth Tables</w:t>
            </w:r>
            <w:r>
              <w:t>.</w:t>
            </w:r>
          </w:p>
          <w:p w14:paraId="3EA471B5" w14:textId="77777777" w:rsidR="00C55908" w:rsidRPr="00200B6D" w:rsidRDefault="00C55908" w:rsidP="00200B6D">
            <w:pPr>
              <w:pStyle w:val="NotesText"/>
            </w:pPr>
          </w:p>
          <w:p w14:paraId="45AB0744" w14:textId="77777777" w:rsidR="002A21AE" w:rsidRDefault="002A21AE" w:rsidP="00200B6D">
            <w:pPr>
              <w:pStyle w:val="NotesText"/>
              <w:rPr>
                <w:noProof/>
                <w:color w:val="000000"/>
              </w:rPr>
            </w:pPr>
            <w:r w:rsidRPr="00200B6D">
              <w:rPr>
                <w:vanish/>
                <w:szCs w:val="18"/>
              </w:rPr>
              <w:t>BR_2.05</w:t>
            </w:r>
            <w:r w:rsidR="00CE3961">
              <w:rPr>
                <w:vanish/>
                <w:szCs w:val="18"/>
              </w:rPr>
              <w:t>,</w:t>
            </w:r>
            <w:r w:rsidRPr="00200B6D">
              <w:rPr>
                <w:vanish/>
                <w:szCs w:val="18"/>
              </w:rPr>
              <w:t xml:space="preserve"> BR_2.06 </w:t>
            </w:r>
            <w:r w:rsidRPr="00200B6D">
              <w:t>ABO</w:t>
            </w:r>
            <w:r w:rsidR="004A178C" w:rsidRPr="00200B6D">
              <w:t>/Rh</w:t>
            </w:r>
            <w:r w:rsidRPr="00200B6D">
              <w:t xml:space="preserve"> interpretations are consistent with observed test results based on system rules. Discrepancies are resolved before VBECS can verify ABO</w:t>
            </w:r>
            <w:r w:rsidR="004A178C" w:rsidRPr="00200B6D">
              <w:t>/Rh</w:t>
            </w:r>
            <w:r w:rsidRPr="00200B6D">
              <w:t xml:space="preserve"> confirmation results and add them to the database. The user may reenter valid results or delete entries and start over. </w:t>
            </w:r>
          </w:p>
        </w:tc>
      </w:tr>
      <w:tr w:rsidR="002A21AE" w14:paraId="20F59AF1" w14:textId="77777777">
        <w:tc>
          <w:tcPr>
            <w:tcW w:w="3240" w:type="dxa"/>
          </w:tcPr>
          <w:p w14:paraId="10DCAB3D" w14:textId="77777777" w:rsidR="002A21AE" w:rsidRDefault="002A21AE">
            <w:pPr>
              <w:pStyle w:val="TableTextNumbers"/>
            </w:pPr>
            <w:r>
              <w:lastRenderedPageBreak/>
              <w:t>Confirm that all results were reviewed and are acceptable.</w:t>
            </w:r>
          </w:p>
          <w:p w14:paraId="7CA1EE64" w14:textId="77777777" w:rsidR="002A21AE" w:rsidRDefault="002A21AE">
            <w:pPr>
              <w:pStyle w:val="TableTextNumbersContinued"/>
            </w:pPr>
          </w:p>
        </w:tc>
        <w:tc>
          <w:tcPr>
            <w:tcW w:w="6120" w:type="dxa"/>
          </w:tcPr>
          <w:p w14:paraId="6B436B1C" w14:textId="77777777" w:rsidR="002A21AE" w:rsidRDefault="002A21AE">
            <w:pPr>
              <w:pStyle w:val="TableTextBullet"/>
            </w:pPr>
            <w:r>
              <w:t>Repeats data validation and prompts the user to save.</w:t>
            </w:r>
          </w:p>
          <w:p w14:paraId="147109E2" w14:textId="77777777" w:rsidR="002A21AE" w:rsidRDefault="002A21AE">
            <w:pPr>
              <w:pStyle w:val="TableText"/>
            </w:pPr>
          </w:p>
          <w:p w14:paraId="4F94EE8E" w14:textId="77777777" w:rsidR="002A21AE" w:rsidRDefault="00057948">
            <w:pPr>
              <w:pStyle w:val="TableText"/>
              <w:rPr>
                <w:b/>
                <w:bCs/>
                <w:szCs w:val="18"/>
              </w:rPr>
            </w:pPr>
            <w:r>
              <w:rPr>
                <w:b/>
                <w:bCs/>
                <w:noProof/>
              </w:rPr>
              <mc:AlternateContent>
                <mc:Choice Requires="wps">
                  <w:drawing>
                    <wp:anchor distT="0" distB="0" distL="114300" distR="114300" simplePos="0" relativeHeight="251318784" behindDoc="0" locked="0" layoutInCell="1" allowOverlap="1" wp14:anchorId="78BB3C78" wp14:editId="208E07FB">
                      <wp:simplePos x="0" y="0"/>
                      <wp:positionH relativeFrom="column">
                        <wp:posOffset>457200</wp:posOffset>
                      </wp:positionH>
                      <wp:positionV relativeFrom="paragraph">
                        <wp:posOffset>65405</wp:posOffset>
                      </wp:positionV>
                      <wp:extent cx="3200400" cy="0"/>
                      <wp:effectExtent l="9525" t="17780" r="9525" b="10795"/>
                      <wp:wrapNone/>
                      <wp:docPr id="496" name="Line 620" descr="P3902C10T4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F97F47" id="Line 620" o:spid="_x0000_s1026" alt="&quot;&quot;" style="position:absolute;z-index:2513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CqAqMXEAQAAbgMAAA4AAAAAAAAAAAAAAAAA&#10;LgIAAGRycy9lMm9Eb2MueG1sUEsBAi0AFAAGAAgAAAAhABdPMBLbAAAACAEAAA8AAAAAAAAAAAAA&#10;AAAAHgQAAGRycy9kb3ducmV2LnhtbFBLBQYAAAAABAAEAPMAAAAmBQAAAAA=&#10;" strokeweight="1.5pt"/>
                  </w:pict>
                </mc:Fallback>
              </mc:AlternateContent>
            </w:r>
            <w:r w:rsidR="002A21AE">
              <w:rPr>
                <w:b/>
                <w:bCs/>
                <w:szCs w:val="18"/>
              </w:rPr>
              <w:t>NOTES</w:t>
            </w:r>
          </w:p>
          <w:p w14:paraId="1F90940E" w14:textId="77777777" w:rsidR="002A21AE" w:rsidRDefault="002A21AE">
            <w:pPr>
              <w:pStyle w:val="NotesText"/>
            </w:pPr>
          </w:p>
          <w:p w14:paraId="088CA818" w14:textId="77777777" w:rsidR="002A21AE" w:rsidRDefault="002A21AE">
            <w:pPr>
              <w:pStyle w:val="NotesText"/>
            </w:pPr>
            <w:r>
              <w:rPr>
                <w:rFonts w:cs="Arial"/>
                <w:vanish/>
              </w:rPr>
              <w:t xml:space="preserve">BR_2.44 </w:t>
            </w:r>
            <w:r>
              <w:t xml:space="preserve">VBECS warns that it doesn’t save partially completed unit ABO/Rh confirmation worksheets. </w:t>
            </w:r>
          </w:p>
          <w:p w14:paraId="17194D61" w14:textId="77777777" w:rsidR="002A21AE" w:rsidRDefault="002A21AE">
            <w:pPr>
              <w:pStyle w:val="NotesText"/>
            </w:pPr>
          </w:p>
          <w:p w14:paraId="40BA3F9B" w14:textId="44A03FD4" w:rsidR="002A21AE" w:rsidRDefault="002A21AE">
            <w:pPr>
              <w:pStyle w:val="NotesText"/>
            </w:pPr>
            <w:r>
              <w:rPr>
                <w:rFonts w:cs="Arial"/>
                <w:vanish/>
              </w:rPr>
              <w:t xml:space="preserve">BR_2.21 </w:t>
            </w:r>
            <w:r w:rsidR="009965B7">
              <w:rPr>
                <w:rFonts w:ascii="Webdings" w:hAnsi="Webdings"/>
                <w:sz w:val="40"/>
                <w:szCs w:val="40"/>
              </w:rPr>
              <w:t></w:t>
            </w:r>
            <w:r w:rsidR="009965B7" w:rsidRPr="00D62E87">
              <w:rPr>
                <w:rFonts w:ascii="Webdings" w:hAnsi="Webdings"/>
              </w:rPr>
              <w:t></w:t>
            </w:r>
            <w:r w:rsidR="009965B7">
              <w:t>W</w:t>
            </w:r>
            <w:r>
              <w:t>hen VBECS verifies that the ABO or Rh interpretation is “Inconclusive,” it assigns the unit a “Quarantine” indicator, emits an audible alert, and captures details for inclusion in an Exception Report (exception type: ABO/Rh confirmation Inconclusiv</w:t>
            </w:r>
            <w:r w:rsidR="0038568C">
              <w:t>e, unit quarantined).</w:t>
            </w:r>
            <w:r w:rsidR="0002020B">
              <w:t xml:space="preserve"> </w:t>
            </w:r>
            <w:r w:rsidR="00C4296C">
              <w:t>An Exception Report entry is not created when a unit is r</w:t>
            </w:r>
            <w:r w:rsidR="00C4296C" w:rsidRPr="00C4296C">
              <w:t>esulted as weak D positive or weak D inconclusive and is properly quarantined.</w:t>
            </w:r>
            <w:r w:rsidR="0002020B">
              <w:t xml:space="preserve"> </w:t>
            </w:r>
            <w:r w:rsidR="0002020B" w:rsidRPr="0002020B">
              <w:rPr>
                <w:vanish/>
              </w:rPr>
              <w:t>Defect 214349</w:t>
            </w:r>
            <w:r w:rsidR="00C4296C" w:rsidRPr="0002020B">
              <w:rPr>
                <w:vanish/>
              </w:rPr>
              <w:t xml:space="preserve">  </w:t>
            </w:r>
          </w:p>
          <w:p w14:paraId="4426EE15" w14:textId="77777777" w:rsidR="002A21AE" w:rsidRDefault="002A21AE">
            <w:pPr>
              <w:pStyle w:val="NotesText"/>
            </w:pPr>
          </w:p>
          <w:p w14:paraId="24886E21" w14:textId="77777777" w:rsidR="002A21AE" w:rsidRDefault="002A21AE">
            <w:pPr>
              <w:pStyle w:val="NotesText"/>
            </w:pPr>
            <w:r>
              <w:rPr>
                <w:rFonts w:cs="Arial"/>
                <w:vanish/>
              </w:rPr>
              <w:t xml:space="preserve">BR_2.12 </w:t>
            </w:r>
            <w:r w:rsidR="00D91CEA">
              <w:t>Upon successful completion of ABO/Rh confirmation, the unit status is</w:t>
            </w:r>
            <w:r w:rsidR="001C17DF">
              <w:t xml:space="preserve"> updated</w:t>
            </w:r>
            <w:r w:rsidR="00D91CEA">
              <w:t>. Successful completion means that the ABO and Rh (if required) interpretation is consistent with recorded observed results and matches the ABO/Rh at unit login and any repeat ABO/Rh tests on the unit that are not invalidated.</w:t>
            </w:r>
          </w:p>
        </w:tc>
      </w:tr>
      <w:tr w:rsidR="00A751E4" w14:paraId="7C6D0B80" w14:textId="77777777">
        <w:tc>
          <w:tcPr>
            <w:tcW w:w="3240" w:type="dxa"/>
          </w:tcPr>
          <w:p w14:paraId="0945D6D0" w14:textId="77777777" w:rsidR="00A751E4" w:rsidRDefault="00A751E4">
            <w:pPr>
              <w:pStyle w:val="TableTextNumbers"/>
            </w:pPr>
            <w:r>
              <w:t xml:space="preserve">Click </w:t>
            </w:r>
            <w:r w:rsidRPr="008C3BED">
              <w:rPr>
                <w:b/>
              </w:rPr>
              <w:t>OK</w:t>
            </w:r>
            <w:r>
              <w:t xml:space="preserve"> to save the ABO/Rh confirmation testing.</w:t>
            </w:r>
          </w:p>
        </w:tc>
        <w:tc>
          <w:tcPr>
            <w:tcW w:w="6120" w:type="dxa"/>
          </w:tcPr>
          <w:p w14:paraId="574E9312" w14:textId="77777777" w:rsidR="00A751E4" w:rsidRDefault="00A751E4" w:rsidP="00A751E4">
            <w:pPr>
              <w:pStyle w:val="TableTextBullet"/>
              <w:rPr>
                <w:b/>
                <w:bCs/>
                <w:szCs w:val="18"/>
              </w:rPr>
            </w:pPr>
            <w:r>
              <w:t>Prompts the user to confirm that all results were reviewed and are acceptable.</w:t>
            </w:r>
          </w:p>
        </w:tc>
      </w:tr>
      <w:tr w:rsidR="002A21AE" w14:paraId="2D61A5DD" w14:textId="77777777">
        <w:tc>
          <w:tcPr>
            <w:tcW w:w="3240" w:type="dxa"/>
          </w:tcPr>
          <w:p w14:paraId="7E5F3844" w14:textId="77777777" w:rsidR="002A21AE" w:rsidRDefault="002A21AE">
            <w:pPr>
              <w:pStyle w:val="TableTextNumbers"/>
            </w:pPr>
            <w:r>
              <w:t xml:space="preserve">Click </w:t>
            </w:r>
            <w:r>
              <w:rPr>
                <w:b/>
              </w:rPr>
              <w:t>OK</w:t>
            </w:r>
            <w: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25FE71D4" w14:textId="77777777" w:rsidR="002A21AE" w:rsidRDefault="002A21AE">
            <w:pPr>
              <w:pStyle w:val="TableText"/>
              <w:keepNext/>
              <w:rPr>
                <w:b/>
                <w:bCs/>
                <w:szCs w:val="18"/>
              </w:rPr>
            </w:pPr>
          </w:p>
        </w:tc>
      </w:tr>
    </w:tbl>
    <w:p w14:paraId="1624CC94" w14:textId="77777777" w:rsidR="00C0155E" w:rsidRDefault="00C0155E">
      <w:pPr>
        <w:pStyle w:val="Heading3"/>
      </w:pPr>
      <w:bookmarkStart w:id="309" w:name="_Unit_Antigen_Typing"/>
      <w:bookmarkEnd w:id="304"/>
      <w:bookmarkEnd w:id="309"/>
    </w:p>
    <w:p w14:paraId="1CC91393" w14:textId="77777777" w:rsidR="002A21AE" w:rsidRDefault="00C0155E">
      <w:pPr>
        <w:pStyle w:val="Heading3"/>
      </w:pPr>
      <w:r>
        <w:br w:type="page"/>
      </w:r>
      <w:bookmarkStart w:id="310" w:name="_Toc4588781"/>
      <w:r w:rsidR="002A21AE">
        <w:lastRenderedPageBreak/>
        <w:t>Unit Antigen Typing</w:t>
      </w:r>
      <w:bookmarkEnd w:id="310"/>
      <w:r w:rsidR="002A21AE" w:rsidRPr="00796039">
        <w:rPr>
          <w:rFonts w:ascii="Arial Bold" w:hAnsi="Arial Bold"/>
          <w:vanish/>
        </w:rPr>
        <w:fldChar w:fldCharType="begin"/>
      </w:r>
      <w:r w:rsidR="002A21AE" w:rsidRPr="00796039">
        <w:rPr>
          <w:rFonts w:ascii="Arial Bold" w:hAnsi="Arial Bold"/>
          <w:vanish/>
        </w:rPr>
        <w:instrText xml:space="preserve"> XE </w:instrText>
      </w:r>
      <w:r w:rsidR="00FA7E65" w:rsidRPr="00796039">
        <w:rPr>
          <w:rFonts w:ascii="Arial Bold" w:hAnsi="Arial Bold"/>
          <w:vanish/>
        </w:rPr>
        <w:instrText>“</w:instrText>
      </w:r>
      <w:r w:rsidR="002A21AE" w:rsidRPr="00796039">
        <w:rPr>
          <w:rFonts w:ascii="Arial Bold" w:hAnsi="Arial Bold"/>
          <w:vanish/>
        </w:rPr>
        <w:instrText>Unit Antigen Typing</w:instrText>
      </w:r>
      <w:r w:rsidR="00FA7E65" w:rsidRPr="00796039">
        <w:rPr>
          <w:rFonts w:ascii="Arial Bold" w:hAnsi="Arial Bold"/>
          <w:vanish/>
        </w:rPr>
        <w:instrText>”</w:instrText>
      </w:r>
      <w:r w:rsidR="002A21AE" w:rsidRPr="00796039">
        <w:rPr>
          <w:rFonts w:ascii="Arial Bold" w:hAnsi="Arial Bold"/>
          <w:vanish/>
        </w:rPr>
        <w:instrText xml:space="preserve"> </w:instrText>
      </w:r>
      <w:r w:rsidR="002A21AE" w:rsidRPr="00796039">
        <w:rPr>
          <w:rFonts w:ascii="Arial Bold" w:hAnsi="Arial Bold"/>
          <w:vanish/>
        </w:rPr>
        <w:fldChar w:fldCharType="end"/>
      </w:r>
      <w:r w:rsidR="002A21AE" w:rsidRPr="00796039">
        <w:rPr>
          <w:rFonts w:ascii="Arial Bold" w:hAnsi="Arial Bold"/>
          <w:vanish/>
        </w:rPr>
        <w:t xml:space="preserve"> UC_41 </w:t>
      </w:r>
    </w:p>
    <w:p w14:paraId="69009EA7" w14:textId="77777777" w:rsidR="002A21AE" w:rsidRDefault="002A21AE" w:rsidP="00FA7E65">
      <w:pPr>
        <w:pStyle w:val="BodyText"/>
      </w:pPr>
      <w:bookmarkStart w:id="311" w:name="_Toc78171570"/>
      <w:r>
        <w:t>The user performs antigen typing for one or more of the antigens in a blood unit and records the results in a worklist.</w:t>
      </w:r>
    </w:p>
    <w:p w14:paraId="57D36BF8" w14:textId="77777777" w:rsidR="002A21AE" w:rsidRDefault="002A21AE">
      <w:pPr>
        <w:pStyle w:val="Heading4"/>
      </w:pPr>
      <w:r>
        <w:t>Assumptions</w:t>
      </w:r>
    </w:p>
    <w:p w14:paraId="64E1FA3C" w14:textId="77777777" w:rsidR="002A21AE" w:rsidRDefault="002A21AE">
      <w:pPr>
        <w:pStyle w:val="ListBullet"/>
      </w:pPr>
      <w:r>
        <w:rPr>
          <w:rFonts w:ascii="Arial" w:hAnsi="Arial" w:cs="Arial"/>
          <w:vanish/>
          <w:spacing w:val="0"/>
          <w:sz w:val="18"/>
        </w:rPr>
        <w:t xml:space="preserve">BR_2.43 </w:t>
      </w:r>
      <w:r w:rsidR="00B540C0">
        <w:t>The division is “full service”.</w:t>
      </w:r>
    </w:p>
    <w:p w14:paraId="4C49B446" w14:textId="77777777" w:rsidR="002A21AE" w:rsidRDefault="00A8101B">
      <w:pPr>
        <w:pStyle w:val="ListBullet"/>
      </w:pPr>
      <w:r>
        <w:t>The units</w:t>
      </w:r>
      <w:r w:rsidR="002A21AE">
        <w:t xml:space="preserve"> and the user are in the same division.</w:t>
      </w:r>
    </w:p>
    <w:p w14:paraId="4295D186" w14:textId="77777777" w:rsidR="002A21AE" w:rsidRDefault="002A21AE">
      <w:pPr>
        <w:pStyle w:val="ListBullet"/>
      </w:pPr>
      <w:r>
        <w:t>Antiserum inventory is entered during Log In Reagents.</w:t>
      </w:r>
    </w:p>
    <w:p w14:paraId="0893D155" w14:textId="77777777" w:rsidR="002A21AE" w:rsidRDefault="002A21AE">
      <w:pPr>
        <w:pStyle w:val="ListBullet"/>
      </w:pPr>
      <w:r>
        <w:t>Workload codes are assigned through Workload Codes.</w:t>
      </w:r>
    </w:p>
    <w:p w14:paraId="29D26094" w14:textId="77777777" w:rsidR="002A21AE" w:rsidRDefault="002A21AE">
      <w:pPr>
        <w:pStyle w:val="Heading4"/>
      </w:pPr>
      <w:r>
        <w:t>Outcome</w:t>
      </w:r>
    </w:p>
    <w:p w14:paraId="06CFD82C" w14:textId="77777777" w:rsidR="002A21AE" w:rsidRDefault="002A21AE">
      <w:pPr>
        <w:pStyle w:val="ListBullet"/>
      </w:pPr>
      <w:r>
        <w:t>Antigen typing was applied in the unit record for informational purposes in other options.</w:t>
      </w:r>
    </w:p>
    <w:p w14:paraId="6EA4D19E" w14:textId="77777777" w:rsidR="002A21AE" w:rsidRDefault="002A21AE">
      <w:pPr>
        <w:pStyle w:val="ListBullet"/>
      </w:pPr>
      <w:r>
        <w:rPr>
          <w:rFonts w:ascii="Arial" w:hAnsi="Arial" w:cs="Arial"/>
          <w:vanish/>
          <w:spacing w:val="0"/>
          <w:sz w:val="18"/>
        </w:rPr>
        <w:t xml:space="preserve">BR_41.06 </w:t>
      </w:r>
      <w:r>
        <w:t>VBECS stores the lot number, vial identifier, manufacturer, and expiration date of the positive and negative control cells with the testing record.</w:t>
      </w:r>
    </w:p>
    <w:p w14:paraId="440A9F19" w14:textId="77777777" w:rsidR="002A21AE" w:rsidRDefault="002A21AE">
      <w:pPr>
        <w:pStyle w:val="Heading4"/>
      </w:pPr>
      <w:r>
        <w:t>Limitations and Restrictions</w:t>
      </w:r>
    </w:p>
    <w:p w14:paraId="66864FEE" w14:textId="77777777" w:rsidR="002A21AE" w:rsidRDefault="002A21AE">
      <w:pPr>
        <w:pStyle w:val="ListBullet"/>
      </w:pPr>
      <w:r>
        <w:t>Antigen ty</w:t>
      </w:r>
      <w:r w:rsidR="00C0155E">
        <w:t>ping applies only to red blood cell antigens</w:t>
      </w:r>
      <w:r>
        <w:t xml:space="preserve">. This option does not address platelet, </w:t>
      </w:r>
      <w:r w:rsidR="007A6452">
        <w:t>histocompatibility locus antigens (</w:t>
      </w:r>
      <w:r>
        <w:t>HLA</w:t>
      </w:r>
      <w:r w:rsidR="00FF15AD">
        <w:t>s</w:t>
      </w:r>
      <w:r w:rsidR="007A6452">
        <w:t>)</w:t>
      </w:r>
      <w:r>
        <w:t xml:space="preserve">, or </w:t>
      </w:r>
      <w:r w:rsidR="007A6452">
        <w:t>Immunoglobulin A (</w:t>
      </w:r>
      <w:r>
        <w:t>IgA</w:t>
      </w:r>
      <w:r w:rsidR="007A6452">
        <w:t>)</w:t>
      </w:r>
      <w:r>
        <w:t xml:space="preserve"> antigenicity.</w:t>
      </w:r>
    </w:p>
    <w:p w14:paraId="49B55319" w14:textId="77777777" w:rsidR="00391084" w:rsidRDefault="00391084">
      <w:pPr>
        <w:pStyle w:val="ListBullet"/>
      </w:pPr>
      <w:r>
        <w:t>Only blood units of the “WHOLE BLOOD” and “RED BLOOD CELLS” ICCBBA component classes can be selected for inclusion in the antigen type worklist.</w:t>
      </w:r>
    </w:p>
    <w:p w14:paraId="4C41C6AA" w14:textId="77777777" w:rsidR="00C0155E" w:rsidRDefault="00C0155E">
      <w:pPr>
        <w:pStyle w:val="ListBullet"/>
      </w:pPr>
      <w:r>
        <w:t>Antigen typing is not required on products with = &gt; 2 mL of  RBC contamination that are not Red Blood Cells or Whole Blood.</w:t>
      </w:r>
    </w:p>
    <w:p w14:paraId="126F46C5" w14:textId="77777777" w:rsidR="002A21AE" w:rsidRDefault="002A21AE">
      <w:pPr>
        <w:pStyle w:val="ListBullet"/>
      </w:pPr>
      <w:r>
        <w:t>VBECS does not check whether the lot and vial numbers selected for the positive control cells differ from those of the negative control cells.</w:t>
      </w:r>
    </w:p>
    <w:p w14:paraId="51FAB354" w14:textId="51C2C1CC" w:rsidR="00AC52D9" w:rsidRDefault="00FF15AD" w:rsidP="00383985">
      <w:pPr>
        <w:pStyle w:val="ListBullet"/>
      </w:pPr>
      <w:r>
        <w:t>D antigen typing must not be combined in batch testing of Rh positive units.</w:t>
      </w:r>
    </w:p>
    <w:p w14:paraId="37919144" w14:textId="73A002D2" w:rsidR="00C86AB4" w:rsidRDefault="002C4355" w:rsidP="00383985">
      <w:pPr>
        <w:pStyle w:val="ListBullet"/>
      </w:pPr>
      <w:r>
        <w:t xml:space="preserve">The sort order of the selected units may not be inherited by the testing grid. Organize physical test materials according to the order of units presented on the testing grid. </w:t>
      </w:r>
      <w:r w:rsidRPr="002C4355">
        <w:rPr>
          <w:vanish/>
        </w:rPr>
        <w:t>Defect 209578</w:t>
      </w:r>
    </w:p>
    <w:p w14:paraId="19BE8D76" w14:textId="169F154D" w:rsidR="004675C2" w:rsidRDefault="004675C2" w:rsidP="00383985">
      <w:pPr>
        <w:pStyle w:val="ListBullet"/>
        <w:numPr>
          <w:ilvl w:val="0"/>
          <w:numId w:val="0"/>
        </w:numPr>
        <w:ind w:left="648"/>
      </w:pPr>
    </w:p>
    <w:p w14:paraId="3E45A994" w14:textId="77777777" w:rsidR="002A21AE" w:rsidRDefault="002A21AE" w:rsidP="005B025F">
      <w:pPr>
        <w:pStyle w:val="Heading4"/>
      </w:pPr>
      <w:r>
        <w:t>Additional Information</w:t>
      </w:r>
    </w:p>
    <w:p w14:paraId="11877812" w14:textId="77777777" w:rsidR="00852AC1" w:rsidRPr="00852AC1" w:rsidRDefault="00852AC1" w:rsidP="009A6575">
      <w:pPr>
        <w:pStyle w:val="ListBullet"/>
      </w:pPr>
      <w:r w:rsidRPr="00852AC1">
        <w:rPr>
          <w:snapToGrid w:val="0"/>
          <w:vanish/>
        </w:rPr>
        <w:t>BR_41.32</w:t>
      </w:r>
      <w:r>
        <w:rPr>
          <w:snapToGrid w:val="0"/>
        </w:rPr>
        <w:t xml:space="preserve">This option is disabled for transfusion-only facilities. </w:t>
      </w:r>
    </w:p>
    <w:p w14:paraId="15161432" w14:textId="77777777" w:rsidR="009A6575" w:rsidRDefault="009A6575" w:rsidP="009A6575">
      <w:pPr>
        <w:pStyle w:val="ListBullet"/>
      </w:pPr>
      <w:r>
        <w:t>Clinical significance and availability of typing reagents are not implied when antigens are included in the list of antigen type tests.</w:t>
      </w:r>
    </w:p>
    <w:p w14:paraId="0B118AD9" w14:textId="77777777" w:rsidR="002A21AE" w:rsidRDefault="002A21AE">
      <w:pPr>
        <w:pStyle w:val="ListBullet"/>
      </w:pPr>
      <w:r>
        <w:t xml:space="preserve">A CPRS patient order is not required to perform antigen typing of units. </w:t>
      </w:r>
    </w:p>
    <w:p w14:paraId="3B0861A7" w14:textId="77777777" w:rsidR="002A21AE" w:rsidRDefault="002A21AE">
      <w:pPr>
        <w:pStyle w:val="ListBullet"/>
      </w:pPr>
      <w:r>
        <w:t>A user may query the database for the presence of antigen-typed units and display or print the query results</w:t>
      </w:r>
      <w:r w:rsidR="006D5D06">
        <w:t xml:space="preserve"> in Blood Availability.</w:t>
      </w:r>
    </w:p>
    <w:p w14:paraId="4B970DB2" w14:textId="77777777" w:rsidR="002A21AE" w:rsidRDefault="002A21AE">
      <w:pPr>
        <w:pStyle w:val="ListBullet"/>
      </w:pPr>
      <w:r>
        <w:t>A user may retrieve evidence of antigen typing for any date or date range. Regulatory agencies require documentation of the reagent name, lot number, reagent expiration date, and positive and negative control.</w:t>
      </w:r>
    </w:p>
    <w:p w14:paraId="7CF5512F" w14:textId="7CE89508" w:rsidR="00AC52D9" w:rsidRDefault="00AC52D9">
      <w:pPr>
        <w:pStyle w:val="ListBullet"/>
      </w:pPr>
      <w:r>
        <w:t>A user is required to complete antigen typing QC in order to save test results. If an antigen testing worklist is started but not saved and a second testing worklist is started for the same antigen</w:t>
      </w:r>
      <w:r w:rsidR="00FE130E">
        <w:t>,</w:t>
      </w:r>
      <w:r>
        <w:t xml:space="preserve"> the QC grid will display and require completion because the first worklist has not been saved.</w:t>
      </w:r>
      <w:r>
        <w:rPr>
          <w:vanish/>
        </w:rPr>
        <w:t xml:space="preserve"> Task 1307</w:t>
      </w:r>
    </w:p>
    <w:p w14:paraId="01AA52C4" w14:textId="2CE7F570" w:rsidR="00261D97" w:rsidRDefault="00261D97" w:rsidP="00383985">
      <w:pPr>
        <w:pStyle w:val="ListBullet"/>
      </w:pPr>
      <w:r w:rsidRPr="00261D97">
        <w:lastRenderedPageBreak/>
        <w:t>When invalidating results from Unit Antigen Typing</w:t>
      </w:r>
      <w:r w:rsidR="00383985">
        <w:t>,</w:t>
      </w:r>
      <w:r w:rsidRPr="00261D97">
        <w:t xml:space="preserve"> the Exception Report does not show all invalidated values.</w:t>
      </w:r>
      <w:r w:rsidR="00383985" w:rsidRPr="00383985">
        <w:t xml:space="preserve"> View the invalidated tests on the Testing Worklist Report and the Unit History Report.</w:t>
      </w:r>
      <w:r w:rsidR="005A75E0">
        <w:t xml:space="preserve"> </w:t>
      </w:r>
      <w:r w:rsidR="005A75E0" w:rsidRPr="005A75E0">
        <w:rPr>
          <w:vanish/>
        </w:rPr>
        <w:t>Defect 210521</w:t>
      </w:r>
    </w:p>
    <w:p w14:paraId="3D6E8AF3" w14:textId="5D0AFDC2" w:rsidR="00383985" w:rsidRDefault="00383985" w:rsidP="00383985">
      <w:pPr>
        <w:pStyle w:val="ListBullet"/>
      </w:pPr>
      <w:r>
        <w:t>To prevent a system error when entering</w:t>
      </w:r>
      <w:r w:rsidRPr="00AA380C">
        <w:t xml:space="preserve"> reagent lot numbers, </w:t>
      </w:r>
      <w:r>
        <w:t>don’t use</w:t>
      </w:r>
      <w:r w:rsidRPr="00AA380C">
        <w:t xml:space="preserve"> the Backspace key</w:t>
      </w:r>
      <w:r>
        <w:t xml:space="preserve"> and click “OK”</w:t>
      </w:r>
      <w:r w:rsidRPr="00AA380C">
        <w:t xml:space="preserve"> to erase one of mul</w:t>
      </w:r>
      <w:r>
        <w:t>tiple entries</w:t>
      </w:r>
      <w:r w:rsidRPr="00AA380C">
        <w:t>.</w:t>
      </w:r>
      <w:r>
        <w:t xml:space="preserve"> Highlighting and retyping the lot number will </w:t>
      </w:r>
      <w:r w:rsidRPr="00721A9D">
        <w:t xml:space="preserve">not </w:t>
      </w:r>
      <w:r>
        <w:t xml:space="preserve">cause the error to </w:t>
      </w:r>
      <w:r w:rsidRPr="00721A9D">
        <w:t>occur.</w:t>
      </w:r>
      <w:r w:rsidR="005A75E0">
        <w:t xml:space="preserve"> </w:t>
      </w:r>
      <w:r w:rsidR="005A75E0" w:rsidRPr="005A75E0">
        <w:rPr>
          <w:vanish/>
        </w:rPr>
        <w:t>Defect 208504</w:t>
      </w:r>
    </w:p>
    <w:p w14:paraId="6A386B03" w14:textId="77777777" w:rsidR="002A21AE" w:rsidRDefault="002A21AE">
      <w:pPr>
        <w:pStyle w:val="Heading4"/>
      </w:pPr>
      <w:r>
        <w:t>User Roles with Access to This Option</w:t>
      </w:r>
    </w:p>
    <w:p w14:paraId="116E4482" w14:textId="77777777" w:rsidR="002A21AE" w:rsidRDefault="002B1D25">
      <w:pPr>
        <w:pStyle w:val="Roles"/>
        <w:rPr>
          <w:snapToGrid w:val="0"/>
        </w:rPr>
      </w:pPr>
      <w:r>
        <w:t>All users</w:t>
      </w:r>
    </w:p>
    <w:bookmarkEnd w:id="311"/>
    <w:p w14:paraId="4E46F0B7" w14:textId="77777777" w:rsidR="002A21AE" w:rsidRDefault="002A21AE">
      <w:pPr>
        <w:pStyle w:val="Heading4"/>
      </w:pPr>
      <w:r>
        <w:t xml:space="preserve">Unit Antigen Typing </w:t>
      </w:r>
    </w:p>
    <w:p w14:paraId="128D6CE2" w14:textId="77777777" w:rsidR="002A21AE" w:rsidRDefault="002A21AE" w:rsidP="00FA7E65">
      <w:pPr>
        <w:pStyle w:val="BodyText"/>
      </w:pPr>
      <w:r>
        <w:t>The user performs antigen typing for one or more of the antigens on blood units. VBECS creates a list of available antigen specificities, including weak D, that can be tested. For each antigen tested, the user must select a reagent from available inventory. VBECS will check to see if valid positive and negative controls were tested for the selected reagent on the calendar day of testing. When controls are not tested, VBECS adds tests for the positive and negative controls to the worksheet.</w:t>
      </w:r>
    </w:p>
    <w:p w14:paraId="5696C9C1" w14:textId="77777777" w:rsidR="002A21AE" w:rsidRDefault="002A21AE" w:rsidP="00FA7E65">
      <w:pPr>
        <w:pStyle w:val="BodyText"/>
      </w:pPr>
      <w:r>
        <w:t>Red cell units prepared for patient transfusion may need to be negative for this antibody specificity based on their setting in the antibody table defined in Antibodies.</w:t>
      </w:r>
    </w:p>
    <w:p w14:paraId="71C6DF08" w14:textId="77777777" w:rsidR="00970274" w:rsidRDefault="00057948" w:rsidP="00970274">
      <w:pPr>
        <w:pStyle w:val="Caution"/>
      </w:pPr>
      <w:r>
        <w:rPr>
          <w:noProof/>
        </w:rPr>
        <w:drawing>
          <wp:inline distT="0" distB="0" distL="0" distR="0" wp14:anchorId="55CC5395" wp14:editId="03D4F73D">
            <wp:extent cx="267970" cy="221615"/>
            <wp:effectExtent l="0" t="0" r="0" b="6985"/>
            <wp:docPr id="170" name="Picture 170" descr="P3949#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P3949#yIS1">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970274">
        <w:t xml:space="preserve"> Deletion of a partially completed antigen typing worklist invalidates any completed tests contained on the worklist regardless of the status of the unit, including transfused units.</w:t>
      </w:r>
    </w:p>
    <w:p w14:paraId="756721A6" w14:textId="77777777" w:rsidR="00970274" w:rsidRPr="00D73AB9" w:rsidRDefault="00970274" w:rsidP="00970274">
      <w:pPr>
        <w:pStyle w:val="Caution"/>
        <w:rPr>
          <w:spacing w:val="-5"/>
        </w:rPr>
      </w:pPr>
      <w:r>
        <w:t>It is the user’s responsibility to verify that the records are being invalidated appropriately.</w:t>
      </w:r>
    </w:p>
    <w:p w14:paraId="1082E54E" w14:textId="77777777" w:rsidR="00970274" w:rsidRDefault="00970274" w:rsidP="00FA7E65">
      <w:pPr>
        <w:pStyle w:val="BodyText"/>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5361E1E" w14:textId="77777777">
        <w:trPr>
          <w:tblHeader/>
        </w:trPr>
        <w:tc>
          <w:tcPr>
            <w:tcW w:w="3240" w:type="dxa"/>
            <w:shd w:val="pct30" w:color="auto" w:fill="FFFFFF"/>
            <w:vAlign w:val="bottom"/>
          </w:tcPr>
          <w:p w14:paraId="08A38887" w14:textId="77777777" w:rsidR="002A21AE" w:rsidRDefault="002A21AE">
            <w:pPr>
              <w:pStyle w:val="TableText"/>
              <w:rPr>
                <w:b/>
                <w:bCs/>
              </w:rPr>
            </w:pPr>
            <w:r>
              <w:rPr>
                <w:b/>
                <w:bCs/>
              </w:rPr>
              <w:t>User Action</w:t>
            </w:r>
          </w:p>
        </w:tc>
        <w:tc>
          <w:tcPr>
            <w:tcW w:w="6120" w:type="dxa"/>
            <w:shd w:val="pct30" w:color="auto" w:fill="FFFFFF"/>
            <w:vAlign w:val="bottom"/>
          </w:tcPr>
          <w:p w14:paraId="04B95673" w14:textId="77777777" w:rsidR="002A21AE" w:rsidRDefault="002A21AE">
            <w:pPr>
              <w:pStyle w:val="TableText"/>
              <w:rPr>
                <w:b/>
                <w:bCs/>
              </w:rPr>
            </w:pPr>
            <w:r>
              <w:rPr>
                <w:b/>
                <w:bCs/>
              </w:rPr>
              <w:t>VBECS</w:t>
            </w:r>
          </w:p>
        </w:tc>
      </w:tr>
      <w:tr w:rsidR="002A21AE" w14:paraId="3347A465" w14:textId="77777777">
        <w:tc>
          <w:tcPr>
            <w:tcW w:w="3240" w:type="dxa"/>
          </w:tcPr>
          <w:p w14:paraId="182E4269" w14:textId="77777777" w:rsidR="002A21AE" w:rsidRDefault="002A21AE">
            <w:pPr>
              <w:pStyle w:val="TableTextNumbers"/>
            </w:pPr>
            <w:r>
              <w:t xml:space="preserve">Select </w:t>
            </w:r>
            <w:r>
              <w:rPr>
                <w:b/>
              </w:rPr>
              <w:t>Blood Units</w:t>
            </w:r>
            <w:r>
              <w:t xml:space="preserve"> from the main menu. </w:t>
            </w:r>
          </w:p>
          <w:p w14:paraId="41B683FF" w14:textId="77777777" w:rsidR="002A21AE" w:rsidRDefault="002A21AE">
            <w:pPr>
              <w:pStyle w:val="TableTextNumbersContinued"/>
            </w:pPr>
          </w:p>
          <w:p w14:paraId="11F29CEA" w14:textId="77777777" w:rsidR="002A21AE" w:rsidRDefault="002A21AE">
            <w:pPr>
              <w:pStyle w:val="TableTextNumbersContinued"/>
            </w:pPr>
            <w:r>
              <w:t xml:space="preserve">Select </w:t>
            </w:r>
            <w:r>
              <w:rPr>
                <w:b/>
              </w:rPr>
              <w:t>Unit Antigen Typing</w:t>
            </w:r>
            <w:r>
              <w:t>.</w:t>
            </w:r>
          </w:p>
        </w:tc>
        <w:tc>
          <w:tcPr>
            <w:tcW w:w="6120" w:type="dxa"/>
          </w:tcPr>
          <w:p w14:paraId="237A773B" w14:textId="77777777" w:rsidR="002A21AE" w:rsidRDefault="002A21AE">
            <w:pPr>
              <w:pStyle w:val="TableTextBullet"/>
            </w:pPr>
            <w:r>
              <w:t>Displays options for processing blood units.</w:t>
            </w:r>
          </w:p>
          <w:p w14:paraId="2C3CCB15" w14:textId="77777777" w:rsidR="002A21AE" w:rsidRDefault="002A21AE">
            <w:pPr>
              <w:pStyle w:val="TableTextBullet"/>
            </w:pPr>
            <w:r>
              <w:t>Displays options for processing antisera.</w:t>
            </w:r>
          </w:p>
        </w:tc>
      </w:tr>
      <w:tr w:rsidR="002A21AE" w14:paraId="3A20B377" w14:textId="77777777">
        <w:tc>
          <w:tcPr>
            <w:tcW w:w="3240" w:type="dxa"/>
          </w:tcPr>
          <w:p w14:paraId="5E7A8045" w14:textId="77777777" w:rsidR="002A21AE" w:rsidRDefault="002A21AE">
            <w:pPr>
              <w:pStyle w:val="TableTextNumbers"/>
            </w:pPr>
            <w:r>
              <w:t xml:space="preserve">Click </w:t>
            </w:r>
            <w:r>
              <w:rPr>
                <w:b/>
              </w:rPr>
              <w:t>Create New Worklist</w:t>
            </w:r>
          </w:p>
          <w:p w14:paraId="1C97BF25" w14:textId="084D8468" w:rsidR="002A21AE" w:rsidRDefault="00F465E9">
            <w:pPr>
              <w:pStyle w:val="TableTextNumbersContinued"/>
            </w:pPr>
            <w:r w:rsidRPr="00F465E9">
              <w:t>(</w:t>
            </w:r>
            <w:r>
              <w:fldChar w:fldCharType="begin" w:fldLock="1"/>
            </w:r>
            <w:r>
              <w:instrText xml:space="preserve"> REF _Ref126648704 \h </w:instrText>
            </w:r>
            <w:r>
              <w:fldChar w:fldCharType="separate"/>
            </w:r>
            <w:r w:rsidR="00AB304C">
              <w:t xml:space="preserve">Figure </w:t>
            </w:r>
            <w:r w:rsidR="00AB304C">
              <w:rPr>
                <w:noProof/>
              </w:rPr>
              <w:t>86</w:t>
            </w:r>
            <w:r>
              <w:fldChar w:fldCharType="end"/>
            </w:r>
            <w:r>
              <w:t xml:space="preserve">, </w:t>
            </w:r>
            <w:r>
              <w:fldChar w:fldCharType="begin" w:fldLock="1"/>
            </w:r>
            <w:r>
              <w:instrText xml:space="preserve"> REF _Ref508957032 \h </w:instrText>
            </w:r>
            <w:r>
              <w:fldChar w:fldCharType="separate"/>
            </w:r>
            <w:r w:rsidR="00AB304C">
              <w:t xml:space="preserve">Figure </w:t>
            </w:r>
            <w:r w:rsidR="00AB304C">
              <w:rPr>
                <w:noProof/>
              </w:rPr>
              <w:t>87</w:t>
            </w:r>
            <w:r>
              <w:fldChar w:fldCharType="end"/>
            </w:r>
            <w:r w:rsidRPr="00F465E9">
              <w:t>)</w:t>
            </w:r>
            <w:r>
              <w:t>.</w:t>
            </w:r>
          </w:p>
          <w:p w14:paraId="048CAD63" w14:textId="77777777" w:rsidR="00F465E9" w:rsidRDefault="00F465E9">
            <w:pPr>
              <w:pStyle w:val="TableTextNumbersContinued"/>
            </w:pPr>
          </w:p>
          <w:p w14:paraId="23E45242" w14:textId="288F6F87" w:rsidR="002A21AE" w:rsidRDefault="002A21AE">
            <w:pPr>
              <w:pStyle w:val="TableTextNumbersContinued"/>
            </w:pPr>
            <w:r>
              <w:t>When partially completed worklists exist, click a check box to select an existing worklist and go to Step 5</w:t>
            </w:r>
            <w:r w:rsidR="00F465E9">
              <w:t xml:space="preserve"> (</w:t>
            </w:r>
            <w:r w:rsidR="00F465E9">
              <w:fldChar w:fldCharType="begin" w:fldLock="1"/>
            </w:r>
            <w:r w:rsidR="00F465E9">
              <w:instrText xml:space="preserve"> REF _Ref508957112 \h </w:instrText>
            </w:r>
            <w:r w:rsidR="00F465E9">
              <w:fldChar w:fldCharType="separate"/>
            </w:r>
            <w:r w:rsidR="00AB304C">
              <w:t xml:space="preserve">Figure </w:t>
            </w:r>
            <w:r w:rsidR="00AB304C">
              <w:rPr>
                <w:noProof/>
              </w:rPr>
              <w:t>88</w:t>
            </w:r>
            <w:r w:rsidR="00F465E9">
              <w:fldChar w:fldCharType="end"/>
            </w:r>
            <w:r w:rsidR="00F465E9">
              <w:t>)</w:t>
            </w:r>
            <w:r>
              <w:t xml:space="preserve">. </w:t>
            </w:r>
          </w:p>
          <w:p w14:paraId="093476A9" w14:textId="77777777" w:rsidR="002A21AE" w:rsidRDefault="002A21AE">
            <w:pPr>
              <w:pStyle w:val="TableTextNumbersContinued"/>
            </w:pPr>
          </w:p>
          <w:p w14:paraId="3CB8EC37" w14:textId="77777777" w:rsidR="002A21AE" w:rsidRDefault="002A21AE">
            <w:pPr>
              <w:pStyle w:val="TableTextNumbersContinued"/>
            </w:pPr>
            <w:r>
              <w:t xml:space="preserve">Click </w:t>
            </w:r>
            <w:r>
              <w:rPr>
                <w:b/>
              </w:rPr>
              <w:t>Delete</w:t>
            </w:r>
            <w:r>
              <w:t xml:space="preserve"> to delete the worklist from the list or </w:t>
            </w:r>
            <w:r>
              <w:rPr>
                <w:b/>
              </w:rPr>
              <w:t>OK</w:t>
            </w:r>
            <w:r>
              <w:t xml:space="preserve"> to continue.</w:t>
            </w:r>
          </w:p>
          <w:p w14:paraId="1D4AC403" w14:textId="77777777" w:rsidR="002A21AE" w:rsidRDefault="002A21AE">
            <w:pPr>
              <w:pStyle w:val="TableTextNumbersContinued"/>
              <w:rPr>
                <w:b/>
                <w:bCs/>
              </w:rPr>
            </w:pPr>
          </w:p>
          <w:p w14:paraId="584E6C3F" w14:textId="77777777" w:rsidR="002A21AE" w:rsidRDefault="002A21AE"/>
        </w:tc>
        <w:tc>
          <w:tcPr>
            <w:tcW w:w="6120" w:type="dxa"/>
          </w:tcPr>
          <w:p w14:paraId="539B9FD3" w14:textId="77777777" w:rsidR="002A21AE" w:rsidRDefault="002A21AE">
            <w:pPr>
              <w:pStyle w:val="TableTextBullet"/>
            </w:pPr>
            <w:r>
              <w:t>Accommodates selection of a partially completed testing worklist or creation of a new testing worklist.</w:t>
            </w:r>
          </w:p>
          <w:p w14:paraId="144F53EC" w14:textId="77777777" w:rsidR="002A21AE" w:rsidRDefault="002A21AE">
            <w:pPr>
              <w:pStyle w:val="TableTextBullet"/>
            </w:pPr>
            <w:r>
              <w:t>Displays an option to select or delete a partially completed worksheet.</w:t>
            </w:r>
          </w:p>
          <w:p w14:paraId="42533849" w14:textId="77777777" w:rsidR="002A21AE" w:rsidRDefault="002A21AE">
            <w:pPr>
              <w:pStyle w:val="TableTextBullet"/>
            </w:pPr>
            <w:r>
              <w:rPr>
                <w:rFonts w:cs="Arial"/>
                <w:vanish/>
              </w:rPr>
              <w:t xml:space="preserve">BR_41.15 </w:t>
            </w:r>
            <w:r>
              <w:t>When selecting a partially completed worklist, the user verifies the lot numbers, manufacturer name, and expiration date of the antiserum and control cells previously selected. These may not be edited. When a discrepancy is found, the user must delete the worklist and start over.</w:t>
            </w:r>
          </w:p>
          <w:p w14:paraId="0DA3212A" w14:textId="77777777" w:rsidR="002A21AE" w:rsidRDefault="002A21AE">
            <w:pPr>
              <w:pStyle w:val="TableText"/>
            </w:pPr>
          </w:p>
          <w:p w14:paraId="463BF72A" w14:textId="77777777" w:rsidR="002A21AE" w:rsidRDefault="00057948">
            <w:pPr>
              <w:pStyle w:val="TableText"/>
              <w:rPr>
                <w:b/>
                <w:bCs/>
                <w:szCs w:val="18"/>
              </w:rPr>
            </w:pPr>
            <w:r>
              <w:rPr>
                <w:b/>
                <w:bCs/>
                <w:noProof/>
              </w:rPr>
              <mc:AlternateContent>
                <mc:Choice Requires="wps">
                  <w:drawing>
                    <wp:anchor distT="0" distB="0" distL="114300" distR="114300" simplePos="0" relativeHeight="251321856" behindDoc="0" locked="0" layoutInCell="1" allowOverlap="1" wp14:anchorId="5740F2E3" wp14:editId="1C1D847A">
                      <wp:simplePos x="0" y="0"/>
                      <wp:positionH relativeFrom="column">
                        <wp:posOffset>457200</wp:posOffset>
                      </wp:positionH>
                      <wp:positionV relativeFrom="paragraph">
                        <wp:posOffset>65405</wp:posOffset>
                      </wp:positionV>
                      <wp:extent cx="3200400" cy="0"/>
                      <wp:effectExtent l="9525" t="17780" r="9525" b="10795"/>
                      <wp:wrapNone/>
                      <wp:docPr id="495" name="Line 640" descr="P3973C6T4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E1EFF" id="Line 640" o:spid="_x0000_s1026" alt="&quot;&quot;" style="position:absolute;z-index:2513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EkQD/TEAQAAbgMAAA4AAAAAAAAAAAAAAAAA&#10;LgIAAGRycy9lMm9Eb2MueG1sUEsBAi0AFAAGAAgAAAAhABdPMBLbAAAACAEAAA8AAAAAAAAAAAAA&#10;AAAAHgQAAGRycy9kb3ducmV2LnhtbFBLBQYAAAAABAAEAPMAAAAmBQAAAAA=&#10;" strokeweight="1.5pt"/>
                  </w:pict>
                </mc:Fallback>
              </mc:AlternateContent>
            </w:r>
            <w:r w:rsidR="002A21AE">
              <w:rPr>
                <w:b/>
                <w:bCs/>
                <w:szCs w:val="18"/>
              </w:rPr>
              <w:t>NOTES</w:t>
            </w:r>
          </w:p>
          <w:p w14:paraId="0585D4DD" w14:textId="77777777" w:rsidR="002A21AE" w:rsidRDefault="002A21AE">
            <w:pPr>
              <w:pStyle w:val="NotesText"/>
            </w:pPr>
          </w:p>
          <w:p w14:paraId="7A43C426" w14:textId="77777777" w:rsidR="002A21AE" w:rsidRDefault="002A21AE">
            <w:pPr>
              <w:pStyle w:val="NotesText"/>
            </w:pPr>
            <w:r>
              <w:t>VBECS displays the date and time the testing was performed (default: current date and time). These are editable to allow for retrospective entry.</w:t>
            </w:r>
          </w:p>
          <w:p w14:paraId="14C8E9E8" w14:textId="77777777" w:rsidR="002A21AE" w:rsidRDefault="002A21AE">
            <w:pPr>
              <w:pStyle w:val="NotesText"/>
            </w:pPr>
          </w:p>
          <w:p w14:paraId="7AC225BF" w14:textId="77777777" w:rsidR="002A21AE" w:rsidRDefault="002A21AE">
            <w:pPr>
              <w:pStyle w:val="NotesText"/>
            </w:pPr>
            <w:r>
              <w:t>VBECS displays the testing technologist ID (default: current user). A pick list of valid division users is available for the user’s selection.</w:t>
            </w:r>
          </w:p>
          <w:p w14:paraId="052F00A2" w14:textId="77777777" w:rsidR="002A21AE" w:rsidRDefault="002A21AE">
            <w:pPr>
              <w:pStyle w:val="NotesText"/>
              <w:ind w:left="0"/>
            </w:pPr>
          </w:p>
          <w:p w14:paraId="7737FE38" w14:textId="77777777" w:rsidR="002A21AE" w:rsidRDefault="002A21AE">
            <w:pPr>
              <w:pStyle w:val="NotesText"/>
            </w:pPr>
            <w:r>
              <w:rPr>
                <w:rFonts w:cs="Arial"/>
                <w:vanish/>
              </w:rPr>
              <w:lastRenderedPageBreak/>
              <w:t xml:space="preserve">BR_56.14 </w:t>
            </w:r>
            <w:r>
              <w:t>When an automated instrument was used for testing, the user enters the name of the instrument and may indicate that successful quality control testing was done for the date.</w:t>
            </w:r>
          </w:p>
        </w:tc>
      </w:tr>
      <w:tr w:rsidR="002A21AE" w14:paraId="0B9F8EF5" w14:textId="77777777">
        <w:tc>
          <w:tcPr>
            <w:tcW w:w="3240" w:type="dxa"/>
          </w:tcPr>
          <w:p w14:paraId="13919F4B" w14:textId="77777777" w:rsidR="002A21AE" w:rsidRDefault="002A21AE">
            <w:pPr>
              <w:pStyle w:val="TableTextNumbers"/>
            </w:pPr>
            <w:r>
              <w:lastRenderedPageBreak/>
              <w:t>To create a new testing worklist, select a date or accept the default.</w:t>
            </w:r>
          </w:p>
          <w:p w14:paraId="5498C986" w14:textId="77777777" w:rsidR="002A21AE" w:rsidRDefault="002A21AE">
            <w:pPr>
              <w:pStyle w:val="TableTextNumbersContinued"/>
            </w:pPr>
          </w:p>
          <w:p w14:paraId="04780C40" w14:textId="77777777" w:rsidR="002A21AE" w:rsidRDefault="002A21AE">
            <w:pPr>
              <w:pStyle w:val="TableTextNumbersContinued"/>
            </w:pPr>
            <w:r>
              <w:t>Select a “Tested By” name.</w:t>
            </w:r>
          </w:p>
          <w:p w14:paraId="0C7A9C50" w14:textId="77777777" w:rsidR="002A21AE" w:rsidRDefault="002A21AE">
            <w:pPr>
              <w:pStyle w:val="TableTextNumbersContinued"/>
            </w:pPr>
          </w:p>
          <w:p w14:paraId="56CB7138" w14:textId="77777777" w:rsidR="002A21AE" w:rsidRDefault="002A21AE">
            <w:pPr>
              <w:pStyle w:val="TableTextNumbersContinued"/>
            </w:pPr>
            <w:r>
              <w:t>Click a radio button to select Tube, Gel, or Solid Phase.</w:t>
            </w:r>
          </w:p>
          <w:p w14:paraId="55C3481C" w14:textId="77777777" w:rsidR="002A21AE" w:rsidRDefault="002A21AE">
            <w:pPr>
              <w:pStyle w:val="TableTextNumbersContinued"/>
            </w:pPr>
          </w:p>
          <w:p w14:paraId="3FB2410C" w14:textId="77777777" w:rsidR="002A21AE" w:rsidRDefault="002A21AE">
            <w:pPr>
              <w:pStyle w:val="TableTextNumbersContinued"/>
            </w:pPr>
            <w:r>
              <w:t xml:space="preserve">Click </w:t>
            </w:r>
            <w:r>
              <w:rPr>
                <w:b/>
              </w:rPr>
              <w:t>Using Automated Instrument</w:t>
            </w:r>
            <w:r>
              <w:t xml:space="preserve">, as appropriate. </w:t>
            </w:r>
          </w:p>
          <w:p w14:paraId="34765243" w14:textId="77777777" w:rsidR="002A21AE" w:rsidRDefault="002A21AE">
            <w:pPr>
              <w:pStyle w:val="TableTextNumbersContinued"/>
            </w:pPr>
          </w:p>
          <w:p w14:paraId="3A3E9335" w14:textId="77777777" w:rsidR="002A21AE" w:rsidRDefault="002A21AE">
            <w:pPr>
              <w:pStyle w:val="TableTextNumbersContinued"/>
            </w:pPr>
            <w:r>
              <w:t xml:space="preserve">Click </w:t>
            </w:r>
            <w:r>
              <w:rPr>
                <w:b/>
              </w:rPr>
              <w:t>OK</w:t>
            </w:r>
            <w:r>
              <w:t>.</w:t>
            </w:r>
          </w:p>
          <w:p w14:paraId="0DA21AF2" w14:textId="77777777" w:rsidR="002A21AE" w:rsidRDefault="002A21AE">
            <w:pPr>
              <w:pStyle w:val="TableTextNumbersContinued"/>
            </w:pPr>
          </w:p>
        </w:tc>
        <w:tc>
          <w:tcPr>
            <w:tcW w:w="6120" w:type="dxa"/>
          </w:tcPr>
          <w:p w14:paraId="1EF05C5B" w14:textId="77777777" w:rsidR="002A21AE" w:rsidRDefault="002A21AE">
            <w:pPr>
              <w:pStyle w:val="TableTextBullet"/>
            </w:pPr>
            <w:r>
              <w:t xml:space="preserve">Displays an option to select antiserum types. </w:t>
            </w:r>
          </w:p>
          <w:p w14:paraId="0613C982" w14:textId="77777777" w:rsidR="002A21AE" w:rsidRDefault="002A21AE">
            <w:pPr>
              <w:pStyle w:val="TableTextBullet"/>
            </w:pPr>
            <w:r>
              <w:t xml:space="preserve">Displays an option to select a lot number for each antiserum type selected. </w:t>
            </w:r>
          </w:p>
          <w:p w14:paraId="4026276A" w14:textId="77777777" w:rsidR="002A21AE" w:rsidRDefault="002A21AE">
            <w:pPr>
              <w:pStyle w:val="TableTextBullet"/>
            </w:pPr>
            <w:r>
              <w:t>Displays the lot number information.</w:t>
            </w:r>
          </w:p>
          <w:p w14:paraId="12C2E746" w14:textId="77777777" w:rsidR="002A21AE" w:rsidRDefault="002A21AE">
            <w:pPr>
              <w:pStyle w:val="TableTextBullet"/>
            </w:pPr>
            <w:r>
              <w:t>Prompts the user to select the correct antiserum entry for the specificity selected.</w:t>
            </w:r>
          </w:p>
          <w:p w14:paraId="5A2F3322" w14:textId="77777777" w:rsidR="002A21AE" w:rsidRDefault="002A21AE">
            <w:pPr>
              <w:pStyle w:val="TableText"/>
            </w:pPr>
          </w:p>
          <w:p w14:paraId="5FC97CDC" w14:textId="77777777" w:rsidR="002A21AE" w:rsidRDefault="00057948">
            <w:pPr>
              <w:pStyle w:val="TableText"/>
              <w:rPr>
                <w:b/>
                <w:bCs/>
                <w:szCs w:val="18"/>
              </w:rPr>
            </w:pPr>
            <w:r>
              <w:rPr>
                <w:b/>
                <w:bCs/>
                <w:noProof/>
              </w:rPr>
              <mc:AlternateContent>
                <mc:Choice Requires="wps">
                  <w:drawing>
                    <wp:anchor distT="0" distB="0" distL="114300" distR="114300" simplePos="0" relativeHeight="251324928" behindDoc="0" locked="0" layoutInCell="1" allowOverlap="1" wp14:anchorId="76D45ACD" wp14:editId="33700155">
                      <wp:simplePos x="0" y="0"/>
                      <wp:positionH relativeFrom="column">
                        <wp:posOffset>457200</wp:posOffset>
                      </wp:positionH>
                      <wp:positionV relativeFrom="paragraph">
                        <wp:posOffset>65405</wp:posOffset>
                      </wp:positionV>
                      <wp:extent cx="3200400" cy="0"/>
                      <wp:effectExtent l="9525" t="17780" r="9525" b="10795"/>
                      <wp:wrapNone/>
                      <wp:docPr id="494" name="Line 641" descr="P3996C8T4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209FA" id="Line 641" o:spid="_x0000_s1026" alt="&quot;&quot;" style="position:absolute;z-index:2513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AHN0K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4FC7F823" w14:textId="77777777" w:rsidR="002A21AE" w:rsidRDefault="002A21AE">
            <w:pPr>
              <w:pStyle w:val="NotesText"/>
            </w:pPr>
          </w:p>
          <w:p w14:paraId="458725FD" w14:textId="62A11B8D" w:rsidR="002A21AE" w:rsidRDefault="002A21AE">
            <w:pPr>
              <w:pStyle w:val="NotesText"/>
            </w:pPr>
            <w:r>
              <w:rPr>
                <w:rFonts w:cs="Arial"/>
                <w:vanish/>
              </w:rPr>
              <w:t xml:space="preserve">BR_41.01 </w:t>
            </w:r>
            <w:r>
              <w:t xml:space="preserve">VBECS lists available antigen type tests from which the user may select and allows the user to enter the specificity to expedite the search. The list of antigen type tests is derived from the Corresponding Antigens field from </w:t>
            </w:r>
            <w:r w:rsidR="00543DAF">
              <w:fldChar w:fldCharType="begin" w:fldLock="1"/>
            </w:r>
            <w:r w:rsidR="00543DAF">
              <w:instrText xml:space="preserve"> REF _Ref170004931 \h </w:instrText>
            </w:r>
            <w:r w:rsidR="00543DAF">
              <w:fldChar w:fldCharType="separate"/>
            </w:r>
            <w:r w:rsidR="00AB304C">
              <w:t xml:space="preserve">Appendix </w:t>
            </w:r>
            <w:r w:rsidR="00AB304C">
              <w:rPr>
                <w:noProof/>
              </w:rPr>
              <w:t>B</w:t>
            </w:r>
            <w:r w:rsidR="00543DAF">
              <w:fldChar w:fldCharType="end"/>
            </w:r>
            <w:r>
              <w:t>:</w:t>
            </w:r>
            <w:r w:rsidR="0059553A">
              <w:t xml:space="preserve"> </w:t>
            </w:r>
            <w:r w:rsidR="00771DBD">
              <w:fldChar w:fldCharType="begin" w:fldLock="1"/>
            </w:r>
            <w:r w:rsidR="00771DBD">
              <w:instrText xml:space="preserve"> REF _Ref126484449 \h </w:instrText>
            </w:r>
            <w:r w:rsidR="00771DBD">
              <w:fldChar w:fldCharType="separate"/>
            </w:r>
            <w:r w:rsidR="00AB304C">
              <w:t xml:space="preserve">Table </w:t>
            </w:r>
            <w:r w:rsidR="00AB304C">
              <w:rPr>
                <w:noProof/>
              </w:rPr>
              <w:t>14</w:t>
            </w:r>
            <w:r w:rsidR="00AB304C">
              <w:t xml:space="preserve">: </w:t>
            </w:r>
            <w:r w:rsidR="00AB304C">
              <w:rPr>
                <w:vanish/>
              </w:rPr>
              <w:t xml:space="preserve">TT_23.01A </w:t>
            </w:r>
            <w:r w:rsidR="00AB304C">
              <w:t>Antibody and Antigen Table: Irregular Antibodies</w:t>
            </w:r>
            <w:r w:rsidR="00771DBD">
              <w:fldChar w:fldCharType="end"/>
            </w:r>
            <w:r>
              <w:t xml:space="preserve">. </w:t>
            </w:r>
          </w:p>
          <w:p w14:paraId="6CC93B7E" w14:textId="77777777" w:rsidR="002A21AE" w:rsidRDefault="002A21AE">
            <w:pPr>
              <w:pStyle w:val="NotesText"/>
            </w:pPr>
          </w:p>
          <w:p w14:paraId="7EFC2FC7" w14:textId="77777777" w:rsidR="002A21AE" w:rsidRDefault="002A21AE">
            <w:pPr>
              <w:pStyle w:val="NotesText"/>
            </w:pPr>
            <w:r>
              <w:rPr>
                <w:rFonts w:cs="Arial"/>
                <w:vanish/>
              </w:rPr>
              <w:t xml:space="preserve">BR_41.04 </w:t>
            </w:r>
            <w:r w:rsidR="009965B7" w:rsidRPr="00896F17">
              <w:rPr>
                <w:rStyle w:val="BullhornChar"/>
              </w:rPr>
              <w:t></w:t>
            </w:r>
            <w:r w:rsidR="009965B7" w:rsidRPr="00D62E87">
              <w:rPr>
                <w:rFonts w:ascii="Webdings" w:hAnsi="Webdings"/>
              </w:rPr>
              <w:t></w:t>
            </w:r>
            <w:r w:rsidR="009965B7" w:rsidRPr="00D62E87">
              <w:t>V</w:t>
            </w:r>
            <w:r>
              <w:t>BECS displays data fields for the user to select or enter the lot number, and displays the manufacturer and expiration date of each antiserum to be used in this transaction to allow the user to choose the correct antiserum. VBECS displays in-date antisera and allows the selection of outdated antisera, if needed, emits an audible alert, and requires an override and generation of an Exception Report (exception type: expired antisera used). A comment is required.</w:t>
            </w:r>
          </w:p>
          <w:p w14:paraId="2BC1F1C9" w14:textId="77777777" w:rsidR="002A21AE" w:rsidRDefault="002A21AE">
            <w:pPr>
              <w:pStyle w:val="NotesText"/>
            </w:pPr>
          </w:p>
          <w:p w14:paraId="4A6575AC" w14:textId="77777777" w:rsidR="002A21AE" w:rsidRDefault="002A21AE">
            <w:pPr>
              <w:pStyle w:val="NotesText"/>
            </w:pPr>
            <w:r>
              <w:rPr>
                <w:rFonts w:cs="Arial"/>
                <w:vanish/>
              </w:rPr>
              <w:t xml:space="preserve">BR_41.26 </w:t>
            </w:r>
            <w:r w:rsidR="00263B24" w:rsidRPr="00896F17">
              <w:rPr>
                <w:rStyle w:val="BullhornChar"/>
              </w:rPr>
              <w:t></w:t>
            </w:r>
            <w:r w:rsidR="00263B24">
              <w:rPr>
                <w:rFonts w:ascii="Webdings" w:hAnsi="Webdings"/>
              </w:rPr>
              <w:t></w:t>
            </w:r>
            <w:r w:rsidR="00263B24">
              <w:t>W</w:t>
            </w:r>
            <w:r>
              <w:t>hen a user attempts to change the phases of reactivity, VBECS emits an audible alert, warns that the user selected phases that were not used previously for this reagent, and asks whether the user wishes to continue.</w:t>
            </w:r>
          </w:p>
          <w:p w14:paraId="31603688" w14:textId="77777777" w:rsidR="002A21AE" w:rsidRDefault="002A21AE">
            <w:pPr>
              <w:pStyle w:val="NotesText"/>
            </w:pPr>
          </w:p>
          <w:p w14:paraId="5318BA39" w14:textId="77777777" w:rsidR="002A21AE" w:rsidRDefault="002A21AE">
            <w:pPr>
              <w:pStyle w:val="NotesText"/>
            </w:pPr>
            <w:r>
              <w:rPr>
                <w:b/>
              </w:rPr>
              <w:t>No</w:t>
            </w:r>
            <w:r>
              <w:t xml:space="preserve"> returns the user to the screen to select the correct testing phases. </w:t>
            </w:r>
            <w:r>
              <w:rPr>
                <w:b/>
              </w:rPr>
              <w:t>Yes</w:t>
            </w:r>
            <w:r>
              <w:t xml:space="preserve"> requires the user to enter a comment explaining why different testing phases are selected, and captures details for inclusion in an Exception Report (exception type: antigen testing phase change).</w:t>
            </w:r>
          </w:p>
          <w:p w14:paraId="76AD0D19" w14:textId="77777777" w:rsidR="002A21AE" w:rsidRDefault="002A21AE">
            <w:pPr>
              <w:pStyle w:val="NotesText"/>
            </w:pPr>
          </w:p>
          <w:p w14:paraId="67DC639A" w14:textId="77777777" w:rsidR="00722DBF" w:rsidRDefault="00722DBF" w:rsidP="00722DBF">
            <w:pPr>
              <w:pStyle w:val="NotesText"/>
            </w:pPr>
            <w:r>
              <w:rPr>
                <w:snapToGrid w:val="0"/>
                <w:vanish/>
              </w:rPr>
              <w:t xml:space="preserve">BR_41.30 </w:t>
            </w:r>
            <w:r>
              <w:t>When a user selects a reagent rack for which quality control (QC) testing was never performed in Enter Daily QC Results, VBECS displays a warning message, clears the selection, and allows the user to select a different rack.</w:t>
            </w:r>
            <w:r w:rsidR="000371B2">
              <w:rPr>
                <w:vanish/>
              </w:rPr>
              <w:t xml:space="preserve"> DR 3945</w:t>
            </w:r>
          </w:p>
          <w:p w14:paraId="0CE5FDF7" w14:textId="77777777" w:rsidR="00722DBF" w:rsidRDefault="00722DBF">
            <w:pPr>
              <w:pStyle w:val="NotesText"/>
              <w:rPr>
                <w:rFonts w:cs="Arial"/>
                <w:vanish/>
              </w:rPr>
            </w:pPr>
          </w:p>
          <w:p w14:paraId="6E4C993C" w14:textId="77777777" w:rsidR="002A21AE" w:rsidRDefault="002A21AE">
            <w:pPr>
              <w:pStyle w:val="NotesText"/>
            </w:pPr>
            <w:r>
              <w:rPr>
                <w:rFonts w:cs="Arial"/>
                <w:vanish/>
              </w:rPr>
              <w:t xml:space="preserve">BR_41.27 </w:t>
            </w:r>
            <w:r>
              <w:t>When the user QC’d the antigen typing reagent lot number and performed patient antigen typing on the same date under different testing phases, VBECS enables the QC grid for the antisera in the phases the user selected.</w:t>
            </w:r>
          </w:p>
        </w:tc>
      </w:tr>
      <w:tr w:rsidR="002A21AE" w14:paraId="036D2862" w14:textId="77777777">
        <w:tc>
          <w:tcPr>
            <w:tcW w:w="3240" w:type="dxa"/>
          </w:tcPr>
          <w:p w14:paraId="033BFFBC" w14:textId="77777777" w:rsidR="002A21AE" w:rsidRDefault="002A21AE">
            <w:pPr>
              <w:pStyle w:val="TableTextNumbers"/>
            </w:pPr>
            <w:r>
              <w:t xml:space="preserve">Define the antiserum used. </w:t>
            </w:r>
          </w:p>
          <w:p w14:paraId="2FCE81A6" w14:textId="77777777" w:rsidR="002A21AE" w:rsidRDefault="002A21AE">
            <w:pPr>
              <w:pStyle w:val="TableTextNumbersContinued"/>
            </w:pPr>
          </w:p>
          <w:p w14:paraId="2050998C" w14:textId="77777777" w:rsidR="002A21AE" w:rsidRDefault="002A21AE">
            <w:pPr>
              <w:pStyle w:val="TableTextNumbersContinued"/>
            </w:pPr>
            <w:r>
              <w:t>Enter a lot number for each antiserum specificity.</w:t>
            </w:r>
          </w:p>
          <w:p w14:paraId="4F1F4AFA" w14:textId="77777777" w:rsidR="002A21AE" w:rsidRDefault="002A21AE">
            <w:pPr>
              <w:pStyle w:val="TableTextNumbersContinued"/>
            </w:pPr>
          </w:p>
          <w:p w14:paraId="7E8C3EB8" w14:textId="77777777" w:rsidR="002A21AE" w:rsidRDefault="002A21AE">
            <w:pPr>
              <w:pStyle w:val="TableTextNumbersContinued"/>
            </w:pPr>
            <w:r>
              <w:t>Select the testing phase:</w:t>
            </w:r>
          </w:p>
          <w:p w14:paraId="654F1A3E" w14:textId="77777777" w:rsidR="002A21AE" w:rsidRDefault="002A21AE">
            <w:pPr>
              <w:pStyle w:val="TableTextNumbersBullet"/>
            </w:pPr>
            <w:r>
              <w:t>IS</w:t>
            </w:r>
          </w:p>
          <w:p w14:paraId="26AEB10A" w14:textId="77777777" w:rsidR="002A21AE" w:rsidRDefault="002A21AE">
            <w:pPr>
              <w:pStyle w:val="TableTextNumbersBullet"/>
            </w:pPr>
            <w:r>
              <w:t>IS/RT</w:t>
            </w:r>
          </w:p>
          <w:p w14:paraId="16CA916B" w14:textId="77777777" w:rsidR="002A21AE" w:rsidRDefault="002A21AE">
            <w:pPr>
              <w:pStyle w:val="TableTextNumbersBullet"/>
            </w:pPr>
            <w:r>
              <w:lastRenderedPageBreak/>
              <w:t>IS/37</w:t>
            </w:r>
          </w:p>
          <w:p w14:paraId="743985F7" w14:textId="77777777" w:rsidR="002A21AE" w:rsidRDefault="002A21AE">
            <w:pPr>
              <w:pStyle w:val="TableTextNumbersBullet"/>
            </w:pPr>
            <w:r>
              <w:t>AHG/CC.</w:t>
            </w:r>
            <w:r>
              <w:br/>
            </w:r>
          </w:p>
          <w:p w14:paraId="5DD55B9A" w14:textId="77777777" w:rsidR="002A21AE" w:rsidRDefault="002A21AE">
            <w:pPr>
              <w:pStyle w:val="TableTextNumbersContinued"/>
            </w:pPr>
            <w:r>
              <w:t>Select the rack, if applicable.</w:t>
            </w:r>
            <w:r>
              <w:br/>
            </w:r>
          </w:p>
          <w:p w14:paraId="5D27FAFC" w14:textId="77777777" w:rsidR="002A21AE" w:rsidRDefault="002A21AE">
            <w:pPr>
              <w:pStyle w:val="TableTextNumbersContinued"/>
            </w:pPr>
            <w:r>
              <w:t xml:space="preserve">Select </w:t>
            </w:r>
            <w:r>
              <w:rPr>
                <w:b/>
              </w:rPr>
              <w:t>Add</w:t>
            </w:r>
            <w:r>
              <w:t xml:space="preserve">. </w:t>
            </w:r>
          </w:p>
          <w:p w14:paraId="61D47FCB" w14:textId="77777777" w:rsidR="002A21AE" w:rsidRDefault="002A21AE">
            <w:pPr>
              <w:pStyle w:val="TableTextNumbersContinued"/>
            </w:pPr>
          </w:p>
          <w:p w14:paraId="30377E51" w14:textId="77777777" w:rsidR="002A21AE" w:rsidRDefault="002A21AE">
            <w:pPr>
              <w:pStyle w:val="TableTextNumbersContinued"/>
            </w:pPr>
            <w:r>
              <w:t>Select additional antisera, if desired.</w:t>
            </w:r>
          </w:p>
          <w:p w14:paraId="5BF5AEA8" w14:textId="77777777" w:rsidR="002A21AE" w:rsidRDefault="002A21AE">
            <w:pPr>
              <w:pStyle w:val="TableTextNumbersContinued"/>
            </w:pPr>
          </w:p>
          <w:p w14:paraId="7B3A5CF0" w14:textId="77777777" w:rsidR="002A21AE" w:rsidRDefault="002A21AE">
            <w:pPr>
              <w:pStyle w:val="TableTextNumbersContinued"/>
            </w:pPr>
            <w:r>
              <w:t>Respond to warnings and enter comments, when indicated.</w:t>
            </w:r>
            <w:r>
              <w:br/>
            </w:r>
          </w:p>
          <w:p w14:paraId="090C5156" w14:textId="49181021" w:rsidR="002A21AE" w:rsidRDefault="002A21AE" w:rsidP="0027394C">
            <w:pPr>
              <w:pStyle w:val="TableTextNumbersContinued"/>
              <w:rPr>
                <w:b/>
                <w:bCs/>
              </w:rPr>
            </w:pPr>
            <w:r>
              <w:t xml:space="preserve">Select </w:t>
            </w:r>
            <w:r>
              <w:rPr>
                <w:b/>
              </w:rPr>
              <w:t>OK</w:t>
            </w:r>
            <w:r w:rsidR="00030E55" w:rsidRPr="00030E55">
              <w:t xml:space="preserve"> (</w:t>
            </w:r>
            <w:r w:rsidR="0027394C">
              <w:fldChar w:fldCharType="begin" w:fldLock="1"/>
            </w:r>
            <w:r w:rsidR="0027394C">
              <w:instrText xml:space="preserve"> REF _Ref508953074 \h </w:instrText>
            </w:r>
            <w:r w:rsidR="0027394C">
              <w:fldChar w:fldCharType="separate"/>
            </w:r>
            <w:r w:rsidR="00AB304C">
              <w:t xml:space="preserve">Figure </w:t>
            </w:r>
            <w:r w:rsidR="00AB304C">
              <w:rPr>
                <w:noProof/>
              </w:rPr>
              <w:t>89</w:t>
            </w:r>
            <w:r w:rsidR="0027394C">
              <w:fldChar w:fldCharType="end"/>
            </w:r>
            <w:r w:rsidR="00030E55" w:rsidRPr="00030E55">
              <w:t>)</w:t>
            </w:r>
            <w:r>
              <w:t>.</w:t>
            </w:r>
          </w:p>
        </w:tc>
        <w:tc>
          <w:tcPr>
            <w:tcW w:w="6120" w:type="dxa"/>
          </w:tcPr>
          <w:p w14:paraId="38990451" w14:textId="77777777" w:rsidR="002A21AE" w:rsidRDefault="002A21AE">
            <w:pPr>
              <w:pStyle w:val="TableTextBullet"/>
            </w:pPr>
            <w:r>
              <w:lastRenderedPageBreak/>
              <w:t xml:space="preserve">Displays an option to select the testing phases for the antiserum specificity by lot number. </w:t>
            </w:r>
          </w:p>
          <w:p w14:paraId="61477A7B" w14:textId="77777777" w:rsidR="002A21AE" w:rsidRDefault="002A21AE">
            <w:pPr>
              <w:pStyle w:val="TableTextBullet"/>
            </w:pPr>
            <w:r>
              <w:t>Displays a testing grid disabling the phases not to be entered.</w:t>
            </w:r>
          </w:p>
          <w:p w14:paraId="0E329F79" w14:textId="77777777" w:rsidR="002A21AE" w:rsidRDefault="002A21AE">
            <w:pPr>
              <w:pStyle w:val="TableTextBullet"/>
            </w:pPr>
            <w:r>
              <w:t>Stores the antiserum information and checks whether the positive and negative controls need to be tested with this batch.</w:t>
            </w:r>
          </w:p>
          <w:p w14:paraId="471C8FD1" w14:textId="77777777" w:rsidR="002A21AE" w:rsidRDefault="002A21AE">
            <w:pPr>
              <w:pStyle w:val="TableTextBullet"/>
            </w:pPr>
            <w:r>
              <w:t>Prompts the user to enter the lot number and vial identifier for the positive and negative control used for each antiserum tested.</w:t>
            </w:r>
          </w:p>
          <w:p w14:paraId="2DC61ADF" w14:textId="77777777" w:rsidR="002A21AE" w:rsidRDefault="002A21AE">
            <w:pPr>
              <w:pStyle w:val="TableText"/>
            </w:pPr>
          </w:p>
          <w:p w14:paraId="24019D9A" w14:textId="77777777" w:rsidR="002A21AE" w:rsidRDefault="00057948">
            <w:pPr>
              <w:pStyle w:val="TableText"/>
              <w:rPr>
                <w:b/>
                <w:bCs/>
                <w:szCs w:val="18"/>
              </w:rPr>
            </w:pPr>
            <w:r>
              <w:rPr>
                <w:b/>
                <w:bCs/>
                <w:noProof/>
              </w:rPr>
              <mc:AlternateContent>
                <mc:Choice Requires="wps">
                  <w:drawing>
                    <wp:anchor distT="0" distB="0" distL="114300" distR="114300" simplePos="0" relativeHeight="251328000" behindDoc="0" locked="0" layoutInCell="1" allowOverlap="1" wp14:anchorId="2F434F15" wp14:editId="6AEFD884">
                      <wp:simplePos x="0" y="0"/>
                      <wp:positionH relativeFrom="column">
                        <wp:posOffset>457200</wp:posOffset>
                      </wp:positionH>
                      <wp:positionV relativeFrom="paragraph">
                        <wp:posOffset>65405</wp:posOffset>
                      </wp:positionV>
                      <wp:extent cx="3200400" cy="0"/>
                      <wp:effectExtent l="9525" t="17780" r="9525" b="10795"/>
                      <wp:wrapNone/>
                      <wp:docPr id="493" name="Line 642" descr="P4030L20C10T4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60332" id="Line 642" o:spid="_x0000_s1026" alt="&quot;&quot;" style="position:absolute;z-index:2513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WLNzR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6D07E673" w14:textId="77777777" w:rsidR="002A21AE" w:rsidRDefault="002A21AE">
            <w:pPr>
              <w:pStyle w:val="NotesText"/>
            </w:pPr>
          </w:p>
          <w:p w14:paraId="6320AAE2" w14:textId="77777777" w:rsidR="002A21AE" w:rsidRDefault="002A21AE">
            <w:pPr>
              <w:pStyle w:val="NotesText"/>
            </w:pPr>
            <w:r>
              <w:rPr>
                <w:rFonts w:cs="Arial"/>
                <w:vanish/>
              </w:rPr>
              <w:t xml:space="preserve">BR_28.23 </w:t>
            </w:r>
            <w:r>
              <w:t>When VBECS displays lot numbers for selection, it checks the inventory system for the reagent name and lot numbers in a rack. The user cannot force the entry of a lot number that VBECS disallowed on the selection list. The user must choose a different reagent. The user may not select a reagent with an “unsatisfactory” value in the Inspection field or with a quantity of zero.</w:t>
            </w:r>
          </w:p>
          <w:p w14:paraId="77488986" w14:textId="77777777" w:rsidR="008C5A8F" w:rsidRDefault="008C5A8F">
            <w:pPr>
              <w:pStyle w:val="NotesText"/>
            </w:pPr>
          </w:p>
          <w:p w14:paraId="34D0C953" w14:textId="77777777" w:rsidR="008C5A8F" w:rsidRDefault="008C5A8F" w:rsidP="008C5A8F">
            <w:pPr>
              <w:pStyle w:val="NotesText"/>
            </w:pPr>
            <w:r>
              <w:rPr>
                <w:rFonts w:cs="Arial"/>
                <w:vanish/>
              </w:rPr>
              <w:t xml:space="preserve">BR_28.24 </w:t>
            </w:r>
            <w:r w:rsidRPr="00896F17">
              <w:rPr>
                <w:rStyle w:val="BullhornChar"/>
              </w:rPr>
              <w:t></w:t>
            </w:r>
            <w:r w:rsidRPr="00D62E87">
              <w:rPr>
                <w:rFonts w:ascii="Webdings" w:hAnsi="Webdings"/>
              </w:rPr>
              <w:t></w:t>
            </w:r>
            <w:r w:rsidRPr="00D62E87">
              <w:t>V</w:t>
            </w:r>
            <w:r>
              <w:t>BECS compares the expiration date of each reagent on the selected rack to the testing date, emits an audible alert, and warns when the reagent is expired.</w:t>
            </w:r>
          </w:p>
          <w:p w14:paraId="48C84181" w14:textId="77777777" w:rsidR="002A21AE" w:rsidRDefault="002A21AE">
            <w:pPr>
              <w:pStyle w:val="NotesText"/>
            </w:pPr>
          </w:p>
          <w:p w14:paraId="4585CF39" w14:textId="77777777" w:rsidR="002A21AE" w:rsidRDefault="002A21AE">
            <w:pPr>
              <w:pStyle w:val="NotesText"/>
            </w:pPr>
            <w:r>
              <w:rPr>
                <w:rFonts w:cs="Arial"/>
                <w:vanish/>
              </w:rPr>
              <w:t xml:space="preserve">BR_41.02 </w:t>
            </w:r>
            <w:r>
              <w:t xml:space="preserve">VBECS enables the rack identifier field when a user selects the weak D or AHG/CC phase and disables the field when a user selects other phases. </w:t>
            </w:r>
          </w:p>
          <w:p w14:paraId="396BA3FC" w14:textId="77777777" w:rsidR="002A21AE" w:rsidRDefault="002A21AE">
            <w:pPr>
              <w:pStyle w:val="NotesText"/>
            </w:pPr>
          </w:p>
          <w:p w14:paraId="717ED20F" w14:textId="77777777" w:rsidR="002A21AE" w:rsidRPr="00D452FC" w:rsidRDefault="002A21AE">
            <w:pPr>
              <w:pStyle w:val="NotesText"/>
              <w:rPr>
                <w:vanish/>
              </w:rPr>
            </w:pPr>
            <w:r>
              <w:rPr>
                <w:rFonts w:cs="Arial"/>
                <w:vanish/>
              </w:rPr>
              <w:t xml:space="preserve">BR_41.03 </w:t>
            </w:r>
            <w:r w:rsidR="004F2D49">
              <w:t>VBECS automatically adds the positive and negative control tests to the selected reagent type worklist if they have not been tested on that calendar date for the selected antisera lot number</w:t>
            </w:r>
            <w:r>
              <w:t>.</w:t>
            </w:r>
            <w:r w:rsidR="00D452FC">
              <w:t xml:space="preserve"> </w:t>
            </w:r>
            <w:r w:rsidR="00D452FC" w:rsidRPr="00D452FC">
              <w:rPr>
                <w:vanish/>
              </w:rPr>
              <w:t>DR 3717</w:t>
            </w:r>
          </w:p>
          <w:p w14:paraId="294D8FA6" w14:textId="77777777" w:rsidR="002A21AE" w:rsidRDefault="002A21AE">
            <w:pPr>
              <w:pStyle w:val="NotesText"/>
            </w:pPr>
          </w:p>
          <w:p w14:paraId="1F8C9312" w14:textId="77777777" w:rsidR="002A21AE" w:rsidRDefault="002A21AE">
            <w:pPr>
              <w:pStyle w:val="NotesText"/>
            </w:pPr>
            <w:r>
              <w:rPr>
                <w:rFonts w:cs="Arial"/>
                <w:vanish/>
              </w:rPr>
              <w:t xml:space="preserve">BR_41.25 </w:t>
            </w:r>
            <w:r>
              <w:t xml:space="preserve">Reagent lot numbers that are selectable for positive and negative control cells: </w:t>
            </w:r>
          </w:p>
          <w:p w14:paraId="6EF2E31E" w14:textId="77777777" w:rsidR="002A21AE" w:rsidRDefault="002A21AE">
            <w:pPr>
              <w:pStyle w:val="NotesTextBullet"/>
            </w:pPr>
            <w:r>
              <w:t>Reverse ABO Typing Cells (set)</w:t>
            </w:r>
          </w:p>
          <w:p w14:paraId="76FFDDF9" w14:textId="77777777" w:rsidR="002A21AE" w:rsidRDefault="002A21AE">
            <w:pPr>
              <w:pStyle w:val="NotesTextBullet"/>
            </w:pPr>
            <w:r>
              <w:t>A2 cell (vial)</w:t>
            </w:r>
          </w:p>
          <w:p w14:paraId="50F37ED6" w14:textId="77777777" w:rsidR="002A21AE" w:rsidRDefault="002A21AE">
            <w:pPr>
              <w:pStyle w:val="NotesTextBullet"/>
            </w:pPr>
            <w:r>
              <w:t>Screening Cells (set)</w:t>
            </w:r>
          </w:p>
          <w:p w14:paraId="2855A871" w14:textId="77777777" w:rsidR="002A21AE" w:rsidRDefault="002A21AE">
            <w:pPr>
              <w:pStyle w:val="NotesTextBullet"/>
            </w:pPr>
            <w:r>
              <w:t>Check Cells (vial)</w:t>
            </w:r>
          </w:p>
          <w:p w14:paraId="792BC293" w14:textId="77777777" w:rsidR="002A21AE" w:rsidRDefault="002A21AE">
            <w:pPr>
              <w:pStyle w:val="NotesTextBullet"/>
            </w:pPr>
            <w:r>
              <w:t>Panel (set)</w:t>
            </w:r>
          </w:p>
          <w:p w14:paraId="1ED48534" w14:textId="77777777" w:rsidR="002A21AE" w:rsidRDefault="002A21AE">
            <w:pPr>
              <w:pStyle w:val="NotesTextBullet"/>
            </w:pPr>
            <w:r>
              <w:t>Other (set)</w:t>
            </w:r>
          </w:p>
          <w:p w14:paraId="5A06E2D9" w14:textId="77777777" w:rsidR="00B062CD" w:rsidRDefault="00B062CD" w:rsidP="00B062CD">
            <w:pPr>
              <w:pStyle w:val="NotesText"/>
            </w:pPr>
          </w:p>
          <w:p w14:paraId="55397932" w14:textId="77777777" w:rsidR="00B062CD" w:rsidRDefault="00B062CD" w:rsidP="00B062CD">
            <w:pPr>
              <w:pStyle w:val="NotesText"/>
            </w:pPr>
            <w:r>
              <w:t>VBECS r</w:t>
            </w:r>
            <w:r w:rsidRPr="00AA089C">
              <w:t>equest</w:t>
            </w:r>
            <w:r>
              <w:t>s</w:t>
            </w:r>
            <w:r w:rsidRPr="00AA089C">
              <w:t xml:space="preserve"> information about </w:t>
            </w:r>
            <w:r>
              <w:t>an antigen</w:t>
            </w:r>
            <w:r w:rsidRPr="00AA089C">
              <w:t xml:space="preserve"> lot number </w:t>
            </w:r>
            <w:r>
              <w:t xml:space="preserve">only </w:t>
            </w:r>
            <w:r w:rsidRPr="00AA089C">
              <w:t xml:space="preserve">the first time it is used </w:t>
            </w:r>
            <w:r>
              <w:t>on a specific</w:t>
            </w:r>
            <w:r w:rsidRPr="00AA089C">
              <w:t xml:space="preserve"> day. </w:t>
            </w:r>
          </w:p>
          <w:p w14:paraId="18EB4F41" w14:textId="77777777" w:rsidR="00B062CD" w:rsidRDefault="00B062CD" w:rsidP="00B062CD">
            <w:pPr>
              <w:pStyle w:val="NotesText"/>
            </w:pPr>
          </w:p>
          <w:p w14:paraId="164C2D29" w14:textId="77777777" w:rsidR="00B062CD" w:rsidRDefault="00B062CD" w:rsidP="00B062CD">
            <w:pPr>
              <w:pStyle w:val="NotesText"/>
            </w:pPr>
            <w:r w:rsidRPr="00AA089C">
              <w:t xml:space="preserve">If there are multiple test tabs, </w:t>
            </w:r>
            <w:r>
              <w:t>VBECS displays a</w:t>
            </w:r>
            <w:r w:rsidRPr="00AA089C">
              <w:t xml:space="preserve"> </w:t>
            </w:r>
            <w:r>
              <w:t>message</w:t>
            </w:r>
            <w:r w:rsidRPr="00AA089C">
              <w:t xml:space="preserve"> </w:t>
            </w:r>
            <w:r>
              <w:t xml:space="preserve">that </w:t>
            </w:r>
            <w:r w:rsidRPr="00AA089C">
              <w:t xml:space="preserve">may not </w:t>
            </w:r>
            <w:r>
              <w:t>correspond to</w:t>
            </w:r>
            <w:r w:rsidRPr="00AA089C">
              <w:t xml:space="preserve"> the</w:t>
            </w:r>
            <w:r>
              <w:t xml:space="preserve"> selected</w:t>
            </w:r>
            <w:r w:rsidRPr="00AA089C">
              <w:t xml:space="preserve"> tab, but will </w:t>
            </w:r>
            <w:r>
              <w:t xml:space="preserve">correspond to </w:t>
            </w:r>
            <w:r w:rsidRPr="00AA089C">
              <w:t xml:space="preserve">information </w:t>
            </w:r>
            <w:r>
              <w:t xml:space="preserve">required by </w:t>
            </w:r>
            <w:r w:rsidRPr="00AA089C">
              <w:t>one of the requested tests.</w:t>
            </w:r>
          </w:p>
        </w:tc>
      </w:tr>
      <w:tr w:rsidR="002A21AE" w14:paraId="5EEE1B3C" w14:textId="77777777">
        <w:tc>
          <w:tcPr>
            <w:tcW w:w="3240" w:type="dxa"/>
          </w:tcPr>
          <w:p w14:paraId="0DB2EAB5" w14:textId="77777777" w:rsidR="002A21AE" w:rsidRDefault="002A21AE">
            <w:pPr>
              <w:pStyle w:val="TableTextNumbers"/>
            </w:pPr>
            <w:r>
              <w:lastRenderedPageBreak/>
              <w:t xml:space="preserve">Select one or more blood units to add to the worklist. </w:t>
            </w:r>
          </w:p>
          <w:p w14:paraId="23E2D096" w14:textId="77777777" w:rsidR="002A21AE" w:rsidRDefault="002A21AE">
            <w:pPr>
              <w:pStyle w:val="TableTextNumbersContinued"/>
            </w:pPr>
          </w:p>
          <w:p w14:paraId="4F68D21F" w14:textId="77777777" w:rsidR="002A21AE" w:rsidRDefault="002A21AE">
            <w:pPr>
              <w:pStyle w:val="TableTextNumbersContinued"/>
            </w:pPr>
            <w:r>
              <w:t xml:space="preserve">Enter the unit ID and the product code from the inventory, or click the </w:t>
            </w:r>
            <w:r w:rsidR="00A6373D">
              <w:rPr>
                <w:b/>
              </w:rPr>
              <w:t>find</w:t>
            </w:r>
            <w:r>
              <w:rPr>
                <w:b/>
              </w:rPr>
              <w:t xml:space="preserve"> </w:t>
            </w:r>
            <w:r w:rsidRPr="00D1100E">
              <w:t>button</w:t>
            </w:r>
            <w:r>
              <w:t xml:space="preserve"> to search for a blood unit and select from the list of available units.</w:t>
            </w:r>
          </w:p>
          <w:p w14:paraId="0351E1FB" w14:textId="77777777" w:rsidR="002A21AE" w:rsidRDefault="002A21AE">
            <w:pPr>
              <w:pStyle w:val="TableTextNumbersContinued"/>
            </w:pPr>
          </w:p>
          <w:p w14:paraId="7757112E" w14:textId="77777777" w:rsidR="002A21AE" w:rsidRDefault="002A21AE" w:rsidP="001E4417">
            <w:pPr>
              <w:pStyle w:val="TableTextNumbersContinued"/>
            </w:pPr>
            <w:r>
              <w:t xml:space="preserve">Click </w:t>
            </w:r>
            <w:r>
              <w:rPr>
                <w:b/>
              </w:rPr>
              <w:t>OK</w:t>
            </w:r>
            <w:r>
              <w:t xml:space="preserve"> when all units are selected.</w:t>
            </w:r>
          </w:p>
        </w:tc>
        <w:tc>
          <w:tcPr>
            <w:tcW w:w="6120" w:type="dxa"/>
          </w:tcPr>
          <w:p w14:paraId="623AF7FD" w14:textId="77777777" w:rsidR="002A21AE" w:rsidRDefault="002A21AE">
            <w:pPr>
              <w:pStyle w:val="TableTextBullet"/>
            </w:pPr>
            <w:r>
              <w:t>Allows the user to scan or enter units to be included in the worklist or select them from a list.</w:t>
            </w:r>
          </w:p>
          <w:p w14:paraId="0B48936F" w14:textId="77777777" w:rsidR="001C07B3" w:rsidRPr="000B4589" w:rsidRDefault="002A21AE" w:rsidP="001C07B3">
            <w:pPr>
              <w:pStyle w:val="TableTextBullet"/>
              <w:rPr>
                <w:bCs/>
              </w:rPr>
            </w:pPr>
            <w:r>
              <w:t>Lists the selected units</w:t>
            </w:r>
            <w:r w:rsidRPr="001E4417">
              <w:rPr>
                <w:bCs/>
              </w:rPr>
              <w:t>.</w:t>
            </w:r>
          </w:p>
          <w:p w14:paraId="7A4CB9BA" w14:textId="77777777" w:rsidR="000B4589" w:rsidRDefault="000B4589">
            <w:pPr>
              <w:pStyle w:val="TableTextBullet"/>
              <w:numPr>
                <w:ilvl w:val="0"/>
                <w:numId w:val="0"/>
              </w:numPr>
              <w:rPr>
                <w:bCs/>
              </w:rPr>
            </w:pPr>
          </w:p>
          <w:p w14:paraId="6C7DFB72" w14:textId="77777777" w:rsidR="000B4589" w:rsidRPr="000B4589" w:rsidRDefault="000B4589" w:rsidP="000B4589">
            <w:pPr>
              <w:rPr>
                <w:rFonts w:ascii="Arial" w:hAnsi="Arial"/>
                <w:b/>
                <w:bCs/>
                <w:sz w:val="18"/>
                <w:szCs w:val="18"/>
              </w:rPr>
            </w:pPr>
            <w:r w:rsidRPr="000B4589">
              <w:rPr>
                <w:rFonts w:ascii="Arial" w:hAnsi="Arial"/>
                <w:b/>
                <w:bCs/>
                <w:noProof/>
                <w:sz w:val="18"/>
              </w:rPr>
              <mc:AlternateContent>
                <mc:Choice Requires="wps">
                  <w:drawing>
                    <wp:anchor distT="0" distB="0" distL="114300" distR="114300" simplePos="0" relativeHeight="252099072" behindDoc="0" locked="0" layoutInCell="1" allowOverlap="1" wp14:anchorId="751D354F" wp14:editId="0E523A77">
                      <wp:simplePos x="0" y="0"/>
                      <wp:positionH relativeFrom="column">
                        <wp:posOffset>457200</wp:posOffset>
                      </wp:positionH>
                      <wp:positionV relativeFrom="paragraph">
                        <wp:posOffset>65405</wp:posOffset>
                      </wp:positionV>
                      <wp:extent cx="3200400" cy="0"/>
                      <wp:effectExtent l="9525" t="17780" r="9525" b="10795"/>
                      <wp:wrapNone/>
                      <wp:docPr id="4" name="Line 642" descr="P4059C12T4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1F3DB" id="Line 642" o:spid="_x0000_s1026" alt="&quot;&quot;" style="position:absolute;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" strokeweight="1.5pt"/>
                  </w:pict>
                </mc:Fallback>
              </mc:AlternateContent>
            </w:r>
            <w:r w:rsidRPr="000B4589">
              <w:rPr>
                <w:rFonts w:ascii="Arial" w:hAnsi="Arial"/>
                <w:b/>
                <w:bCs/>
                <w:sz w:val="18"/>
                <w:szCs w:val="18"/>
              </w:rPr>
              <w:t>NOTES</w:t>
            </w:r>
          </w:p>
          <w:p w14:paraId="38242D64" w14:textId="0A2FDA4A" w:rsidR="000B4589" w:rsidRPr="001C07B3" w:rsidRDefault="000B4589" w:rsidP="002B3455">
            <w:pPr>
              <w:pStyle w:val="NotesText"/>
              <w:rPr>
                <w:b/>
                <w:bCs/>
              </w:rPr>
            </w:pPr>
            <w:r>
              <w:t>Select units in small batches (&lt;38) to prevent process delays and screen distortion</w:t>
            </w:r>
            <w:r w:rsidRPr="004675C2">
              <w:t>.</w:t>
            </w:r>
            <w:r>
              <w:t xml:space="preserve"> </w:t>
            </w:r>
            <w:r w:rsidRPr="001C07B3">
              <w:t>The order of units does change from the selection order and requires verification.</w:t>
            </w:r>
            <w:r w:rsidR="005A75E0">
              <w:t xml:space="preserve"> </w:t>
            </w:r>
            <w:r w:rsidR="005A75E0" w:rsidRPr="005A75E0">
              <w:rPr>
                <w:vanish/>
              </w:rPr>
              <w:t>Defect 209577</w:t>
            </w:r>
          </w:p>
        </w:tc>
      </w:tr>
      <w:tr w:rsidR="002A21AE" w14:paraId="27382E5E" w14:textId="77777777">
        <w:tc>
          <w:tcPr>
            <w:tcW w:w="3240" w:type="dxa"/>
          </w:tcPr>
          <w:p w14:paraId="6F97B8B1" w14:textId="77777777" w:rsidR="00B6515C" w:rsidRDefault="00B6515C" w:rsidP="00B6515C">
            <w:pPr>
              <w:pStyle w:val="TableTextNumbers"/>
            </w:pPr>
            <w:r>
              <w:t>Select the lot number for the reagent and the positive and negative control cells. Enter the vial identifiers, if required. Enter “0” when not using panel cells.</w:t>
            </w:r>
          </w:p>
          <w:p w14:paraId="2A954DB9" w14:textId="77777777" w:rsidR="00B6515C" w:rsidRDefault="00B6515C" w:rsidP="00B6515C">
            <w:pPr>
              <w:pStyle w:val="TableTextNumbersContinued"/>
            </w:pPr>
          </w:p>
          <w:p w14:paraId="3CD36994" w14:textId="77777777" w:rsidR="0048389A" w:rsidRDefault="00B6515C" w:rsidP="00B6515C">
            <w:pPr>
              <w:pStyle w:val="TableTextNumbersContinued"/>
            </w:pPr>
            <w:r>
              <w:lastRenderedPageBreak/>
              <w:t>Verify the reagent type and the positive and negative control cell lot numbers selected and vial identifiers entered, if required.</w:t>
            </w:r>
          </w:p>
        </w:tc>
        <w:tc>
          <w:tcPr>
            <w:tcW w:w="6120" w:type="dxa"/>
          </w:tcPr>
          <w:p w14:paraId="15863586" w14:textId="77777777" w:rsidR="002A21AE" w:rsidRDefault="002A21AE">
            <w:pPr>
              <w:pStyle w:val="TableTextBullet"/>
            </w:pPr>
            <w:r>
              <w:lastRenderedPageBreak/>
              <w:t xml:space="preserve">Displays the reagent type and lot numbers, including the vial identifier. </w:t>
            </w:r>
          </w:p>
          <w:p w14:paraId="58C01897" w14:textId="77777777" w:rsidR="002A21AE" w:rsidRDefault="002A21AE">
            <w:pPr>
              <w:pStyle w:val="TableText"/>
            </w:pPr>
          </w:p>
          <w:p w14:paraId="5C7C3A90" w14:textId="77777777" w:rsidR="002A21AE" w:rsidRDefault="00057948">
            <w:pPr>
              <w:pStyle w:val="TableText"/>
              <w:rPr>
                <w:b/>
                <w:bCs/>
                <w:szCs w:val="18"/>
              </w:rPr>
            </w:pPr>
            <w:r>
              <w:rPr>
                <w:b/>
                <w:bCs/>
                <w:noProof/>
              </w:rPr>
              <mc:AlternateContent>
                <mc:Choice Requires="wps">
                  <w:drawing>
                    <wp:anchor distT="0" distB="0" distL="114300" distR="114300" simplePos="0" relativeHeight="251331072" behindDoc="0" locked="0" layoutInCell="1" allowOverlap="1" wp14:anchorId="52CB5503" wp14:editId="03999A1C">
                      <wp:simplePos x="0" y="0"/>
                      <wp:positionH relativeFrom="column">
                        <wp:posOffset>457200</wp:posOffset>
                      </wp:positionH>
                      <wp:positionV relativeFrom="paragraph">
                        <wp:posOffset>65405</wp:posOffset>
                      </wp:positionV>
                      <wp:extent cx="3200400" cy="0"/>
                      <wp:effectExtent l="9525" t="17780" r="9525" b="10795"/>
                      <wp:wrapNone/>
                      <wp:docPr id="492" name="Line 644" descr="P4067C14T4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8CAED" id="Line 644" o:spid="_x0000_s1026" alt="&quot;&quot;" style="position:absolute;z-index:2513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3nu7i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24DF7AC2" w14:textId="77777777" w:rsidR="002A21AE" w:rsidRDefault="002A21AE">
            <w:pPr>
              <w:pStyle w:val="NotesText"/>
            </w:pPr>
          </w:p>
          <w:p w14:paraId="2C753327" w14:textId="77777777" w:rsidR="002A21AE" w:rsidRDefault="00B6515C">
            <w:pPr>
              <w:pStyle w:val="NotesText"/>
            </w:pPr>
            <w:r>
              <w:t xml:space="preserve">The vial identifier, comprising one or two digits, identifies the vial contained in a kit of reagent red blood cells. A vial contains </w:t>
            </w:r>
            <w:r>
              <w:lastRenderedPageBreak/>
              <w:t>antigen positive or antigen negative blood cells to be used in quality control of the antisera.</w:t>
            </w:r>
          </w:p>
        </w:tc>
      </w:tr>
      <w:tr w:rsidR="002A21AE" w14:paraId="125A891F" w14:textId="77777777">
        <w:tc>
          <w:tcPr>
            <w:tcW w:w="3240" w:type="dxa"/>
          </w:tcPr>
          <w:p w14:paraId="3157A5C4" w14:textId="77777777" w:rsidR="002A21AE" w:rsidRDefault="002A21AE">
            <w:pPr>
              <w:pStyle w:val="TableTextNumbers"/>
            </w:pPr>
            <w:r>
              <w:lastRenderedPageBreak/>
              <w:t xml:space="preserve">Respond to warnings and continue with antigen typing. </w:t>
            </w:r>
          </w:p>
          <w:p w14:paraId="0A7F0CF9" w14:textId="77777777" w:rsidR="002A21AE" w:rsidRDefault="002A21AE">
            <w:pPr>
              <w:pStyle w:val="TableTextNumbersContinued"/>
            </w:pPr>
          </w:p>
          <w:p w14:paraId="47216BD9" w14:textId="77777777" w:rsidR="002A21AE" w:rsidRDefault="002A21AE">
            <w:pPr>
              <w:pStyle w:val="TableTextNumbersContinued"/>
            </w:pPr>
            <w:r>
              <w:t>Review the lot number, manufacturer name, and expiration date for the antiserum and control cells. If they are not correct, start over.</w:t>
            </w:r>
          </w:p>
          <w:p w14:paraId="683330EE" w14:textId="77777777" w:rsidR="002A21AE" w:rsidRDefault="002A21AE">
            <w:pPr>
              <w:pStyle w:val="TableTextNumbersContinued"/>
            </w:pPr>
          </w:p>
          <w:p w14:paraId="0EE91725" w14:textId="77777777" w:rsidR="002A21AE" w:rsidRDefault="002A21AE">
            <w:pPr>
              <w:pStyle w:val="TableTextNumbersContinued"/>
            </w:pPr>
            <w:r>
              <w:t>Select a control cell or unit to begin entering serologic reactions and interpretations in the data entry grid.</w:t>
            </w:r>
          </w:p>
          <w:p w14:paraId="1F29A383" w14:textId="77777777" w:rsidR="002A21AE" w:rsidRDefault="002A21AE">
            <w:pPr>
              <w:pStyle w:val="TableTextNumbersContinued"/>
            </w:pPr>
          </w:p>
          <w:p w14:paraId="1B728D7E" w14:textId="77777777" w:rsidR="002A21AE" w:rsidRDefault="002A21AE">
            <w:pPr>
              <w:pStyle w:val="TableTextNumbersContinued"/>
              <w:rPr>
                <w:b/>
                <w:bCs/>
              </w:rPr>
            </w:pPr>
          </w:p>
          <w:p w14:paraId="14AAD765" w14:textId="77777777" w:rsidR="002A21AE" w:rsidRDefault="002A21AE">
            <w:pPr>
              <w:pStyle w:val="TableTextNumbersContinued"/>
            </w:pPr>
          </w:p>
        </w:tc>
        <w:tc>
          <w:tcPr>
            <w:tcW w:w="6120" w:type="dxa"/>
          </w:tcPr>
          <w:p w14:paraId="7915EF24" w14:textId="77777777" w:rsidR="002A21AE" w:rsidRDefault="002A21AE">
            <w:pPr>
              <w:pStyle w:val="TableTextBullet"/>
            </w:pPr>
            <w:r>
              <w:t>Displays each selected unit in a separate tab for each selected specificity with its own grids and quality control.</w:t>
            </w:r>
          </w:p>
          <w:p w14:paraId="598433C9" w14:textId="77777777" w:rsidR="002A21AE" w:rsidRDefault="002A21AE">
            <w:pPr>
              <w:pStyle w:val="TableTextBullet"/>
            </w:pPr>
            <w:r>
              <w:t xml:space="preserve">Displays a direct data entry </w:t>
            </w:r>
            <w:r w:rsidR="00917E9F">
              <w:t xml:space="preserve">(DDE) </w:t>
            </w:r>
            <w:r>
              <w:t>grid to enter serologic reaction results for antigen typing of units. This may already be filled with results from a previously saved partially completed worksheet.</w:t>
            </w:r>
          </w:p>
          <w:p w14:paraId="3FC37BAA" w14:textId="77777777" w:rsidR="002A21AE" w:rsidRDefault="002A21AE">
            <w:pPr>
              <w:pStyle w:val="TableTextBullet"/>
            </w:pPr>
            <w:r>
              <w:t>Allows a user to select a unit or control cell and enter a test result.</w:t>
            </w:r>
          </w:p>
          <w:p w14:paraId="496BF3D6" w14:textId="77777777" w:rsidR="002A21AE" w:rsidRDefault="002A21AE">
            <w:pPr>
              <w:pStyle w:val="TableTextBullet"/>
            </w:pPr>
            <w:r>
              <w:t>Allows only valid data entries in the grid reaction result and interpretation cells.</w:t>
            </w:r>
          </w:p>
          <w:p w14:paraId="4D7632BB" w14:textId="77777777" w:rsidR="002A21AE" w:rsidRDefault="002A21AE">
            <w:pPr>
              <w:pStyle w:val="TableTextBullet"/>
            </w:pPr>
            <w:r>
              <w:t>Restricts data entry to valid selections for testing results.</w:t>
            </w:r>
          </w:p>
          <w:p w14:paraId="4A850F8B" w14:textId="77777777" w:rsidR="002A21AE" w:rsidRDefault="002A21AE">
            <w:pPr>
              <w:pStyle w:val="TableTextBullet"/>
            </w:pPr>
            <w:r>
              <w:t>Keeps all testing results and entered interpretations on the screen until the user saves them.</w:t>
            </w:r>
          </w:p>
          <w:p w14:paraId="6DB218A4" w14:textId="77777777" w:rsidR="002A21AE" w:rsidRDefault="002A21AE">
            <w:pPr>
              <w:pStyle w:val="TableText"/>
            </w:pPr>
          </w:p>
          <w:p w14:paraId="646840EA" w14:textId="77777777" w:rsidR="002A21AE" w:rsidRDefault="00057948">
            <w:pPr>
              <w:pStyle w:val="TableText"/>
              <w:rPr>
                <w:b/>
                <w:bCs/>
                <w:szCs w:val="18"/>
              </w:rPr>
            </w:pPr>
            <w:r>
              <w:rPr>
                <w:b/>
                <w:bCs/>
                <w:noProof/>
              </w:rPr>
              <mc:AlternateContent>
                <mc:Choice Requires="wps">
                  <w:drawing>
                    <wp:anchor distT="0" distB="0" distL="114300" distR="114300" simplePos="0" relativeHeight="251334144" behindDoc="0" locked="0" layoutInCell="1" allowOverlap="1" wp14:anchorId="73B9695C" wp14:editId="36B9E476">
                      <wp:simplePos x="0" y="0"/>
                      <wp:positionH relativeFrom="column">
                        <wp:posOffset>457200</wp:posOffset>
                      </wp:positionH>
                      <wp:positionV relativeFrom="paragraph">
                        <wp:posOffset>65405</wp:posOffset>
                      </wp:positionV>
                      <wp:extent cx="3200400" cy="0"/>
                      <wp:effectExtent l="9525" t="17780" r="9525" b="10795"/>
                      <wp:wrapNone/>
                      <wp:docPr id="491" name="Line 645" descr="P4086C16T4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9417B" id="Line 645" o:spid="_x0000_s1026" alt="&quot;&quot;" style="position:absolute;z-index:2513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dqk9P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0E8F3C3C" w14:textId="77777777" w:rsidR="002A21AE" w:rsidRDefault="002A21AE">
            <w:pPr>
              <w:pStyle w:val="NotesText"/>
            </w:pPr>
          </w:p>
          <w:p w14:paraId="28067A81" w14:textId="77777777" w:rsidR="002A21AE" w:rsidRDefault="002A21AE">
            <w:pPr>
              <w:pStyle w:val="NotesText"/>
            </w:pPr>
            <w:r>
              <w:rPr>
                <w:rFonts w:cs="Arial"/>
                <w:vanish/>
              </w:rPr>
              <w:t xml:space="preserve">BR_41.07 </w:t>
            </w:r>
            <w:r>
              <w:t>VBECS displays the worklist for the grids by antiserum types.</w:t>
            </w:r>
          </w:p>
          <w:p w14:paraId="1B965CE4" w14:textId="77777777" w:rsidR="002A21AE" w:rsidRDefault="002A21AE">
            <w:pPr>
              <w:pStyle w:val="NotesText"/>
            </w:pPr>
          </w:p>
          <w:p w14:paraId="727648E1" w14:textId="77777777" w:rsidR="002A21AE" w:rsidRDefault="002A21AE">
            <w:pPr>
              <w:pStyle w:val="NotesText"/>
            </w:pPr>
            <w:r>
              <w:rPr>
                <w:rFonts w:cs="Arial"/>
                <w:vanish/>
              </w:rPr>
              <w:t xml:space="preserve">BR_41.09 </w:t>
            </w:r>
            <w:r>
              <w:t>Valid observed test results entered by a user:</w:t>
            </w:r>
          </w:p>
          <w:p w14:paraId="3ED6C677" w14:textId="77777777" w:rsidR="002A21AE" w:rsidRDefault="002A21AE">
            <w:pPr>
              <w:pStyle w:val="NotesTextBullet"/>
            </w:pPr>
            <w:r>
              <w:t>1 [1+ (positive)]</w:t>
            </w:r>
          </w:p>
          <w:p w14:paraId="50889E45" w14:textId="77777777" w:rsidR="002A21AE" w:rsidRDefault="002A21AE">
            <w:pPr>
              <w:pStyle w:val="NotesTextBullet"/>
            </w:pPr>
            <w:r>
              <w:t>2 [2+ (positive)]</w:t>
            </w:r>
          </w:p>
          <w:p w14:paraId="242C8B25" w14:textId="77777777" w:rsidR="002A21AE" w:rsidRDefault="002A21AE">
            <w:pPr>
              <w:pStyle w:val="NotesTextBullet"/>
            </w:pPr>
            <w:r>
              <w:t>3 [3+ (positive)]</w:t>
            </w:r>
          </w:p>
          <w:p w14:paraId="5BE2C842" w14:textId="77777777" w:rsidR="002A21AE" w:rsidRDefault="002A21AE">
            <w:pPr>
              <w:pStyle w:val="NotesTextBullet"/>
            </w:pPr>
            <w:r>
              <w:t>4 [4+ (positive)]</w:t>
            </w:r>
          </w:p>
          <w:p w14:paraId="26296033" w14:textId="77777777" w:rsidR="002A21AE" w:rsidRDefault="002A21AE">
            <w:pPr>
              <w:pStyle w:val="NotesTextBullet"/>
            </w:pPr>
            <w:r>
              <w:t>W [Weak (</w:t>
            </w:r>
            <w:r w:rsidR="006D384A">
              <w:t>positive</w:t>
            </w:r>
            <w:r>
              <w:t>)]</w:t>
            </w:r>
          </w:p>
          <w:p w14:paraId="1C5C3E4D" w14:textId="77777777" w:rsidR="002A21AE" w:rsidRDefault="002A21AE">
            <w:pPr>
              <w:pStyle w:val="NotesTextBullet"/>
            </w:pPr>
            <w:r>
              <w:t>F [Mixed Field (</w:t>
            </w:r>
            <w:r w:rsidR="006D384A">
              <w:t>positive</w:t>
            </w:r>
            <w:r>
              <w:t>)]</w:t>
            </w:r>
          </w:p>
          <w:p w14:paraId="19CEC52D" w14:textId="77777777" w:rsidR="002A21AE" w:rsidRDefault="002A21AE">
            <w:pPr>
              <w:pStyle w:val="NotesTextBullet"/>
            </w:pPr>
            <w:r>
              <w:t>M [Microscopic (</w:t>
            </w:r>
            <w:r w:rsidR="006D384A">
              <w:t>positive</w:t>
            </w:r>
            <w:r>
              <w:t>)]</w:t>
            </w:r>
          </w:p>
          <w:p w14:paraId="2C6F017A" w14:textId="77777777" w:rsidR="002A21AE" w:rsidRDefault="002A21AE">
            <w:pPr>
              <w:pStyle w:val="NotesTextBullet"/>
            </w:pPr>
            <w:r>
              <w:t>R [rouleaux (negative)]</w:t>
            </w:r>
          </w:p>
          <w:p w14:paraId="39986CA7" w14:textId="77777777" w:rsidR="002A21AE" w:rsidRDefault="002A21AE">
            <w:pPr>
              <w:pStyle w:val="NotesTextBullet"/>
            </w:pPr>
            <w:r>
              <w:t>0 (zero) [No Agglutination (negative)]</w:t>
            </w:r>
          </w:p>
          <w:p w14:paraId="278D1983" w14:textId="77777777" w:rsidR="002A21AE" w:rsidRDefault="002A21AE">
            <w:pPr>
              <w:pStyle w:val="NotesTextBullet"/>
            </w:pPr>
            <w:r>
              <w:t>X (Not Tested)</w:t>
            </w:r>
            <w:r w:rsidR="002F7FF1">
              <w:t xml:space="preserve"> (does not indicate a disabled cell)</w:t>
            </w:r>
          </w:p>
          <w:p w14:paraId="6B187E12" w14:textId="77777777" w:rsidR="002A21AE" w:rsidRDefault="002A21AE">
            <w:pPr>
              <w:pStyle w:val="NotesText"/>
            </w:pPr>
          </w:p>
          <w:p w14:paraId="25A95D52" w14:textId="77777777" w:rsidR="002A21AE" w:rsidRDefault="002A21AE">
            <w:pPr>
              <w:pStyle w:val="NotesText"/>
            </w:pPr>
            <w:r>
              <w:t>When the AHG phase is selected for testing, the AHG must be negative and the CC must be at least 1+ positive to consider the test negative for a unit or for the negative control cell.</w:t>
            </w:r>
          </w:p>
          <w:p w14:paraId="6D6DD21A" w14:textId="77777777" w:rsidR="002A21AE" w:rsidRDefault="002A21AE">
            <w:pPr>
              <w:pStyle w:val="NotesText"/>
            </w:pPr>
          </w:p>
          <w:p w14:paraId="29221BF1" w14:textId="77777777" w:rsidR="002A21AE" w:rsidRDefault="002A21AE">
            <w:pPr>
              <w:pStyle w:val="NotesText"/>
            </w:pPr>
            <w:r>
              <w:rPr>
                <w:rFonts w:cs="Arial"/>
                <w:vanish/>
              </w:rPr>
              <w:t xml:space="preserve">BR_41.17 </w:t>
            </w:r>
            <w:r>
              <w:t xml:space="preserve">The column heading of the data grid specifies the phases of reactivity that may be used in a test selected for the specificity. </w:t>
            </w:r>
          </w:p>
          <w:p w14:paraId="1C96C6FE" w14:textId="77777777" w:rsidR="002A21AE" w:rsidRDefault="002A21AE">
            <w:pPr>
              <w:pStyle w:val="NotesText"/>
            </w:pPr>
          </w:p>
          <w:p w14:paraId="5F5CBAF7" w14:textId="77777777" w:rsidR="002A21AE" w:rsidRDefault="002A21AE">
            <w:pPr>
              <w:pStyle w:val="NotesText"/>
            </w:pPr>
            <w:r>
              <w:rPr>
                <w:rFonts w:cs="Arial"/>
                <w:vanish/>
              </w:rPr>
              <w:t xml:space="preserve">BR_41.18 </w:t>
            </w:r>
            <w:r>
              <w:t>The row heading of the data grid specifies the unit ID being tested. These fields cannot be edited.</w:t>
            </w:r>
          </w:p>
          <w:p w14:paraId="037D7485" w14:textId="77777777" w:rsidR="002A21AE" w:rsidRDefault="002A21AE">
            <w:pPr>
              <w:pStyle w:val="NotesText"/>
            </w:pPr>
          </w:p>
          <w:p w14:paraId="7EEBBD2C" w14:textId="77777777" w:rsidR="002A21AE" w:rsidRDefault="002A21AE">
            <w:pPr>
              <w:pStyle w:val="NotesText"/>
            </w:pPr>
            <w:r>
              <w:rPr>
                <w:rFonts w:cs="Arial"/>
                <w:vanish/>
              </w:rPr>
              <w:t xml:space="preserve">BR_41.21 </w:t>
            </w:r>
            <w:r>
              <w:t>The rows for each antiserum type grid display the positive and negative control cells, then units, in the order in which a user added units to the worklist.</w:t>
            </w:r>
          </w:p>
          <w:p w14:paraId="34C53D4B" w14:textId="77777777" w:rsidR="002A21AE" w:rsidRDefault="002A21AE">
            <w:pPr>
              <w:pStyle w:val="NotesText"/>
            </w:pPr>
          </w:p>
          <w:p w14:paraId="0DCD26EA" w14:textId="77777777" w:rsidR="002A21AE" w:rsidRDefault="002A21AE">
            <w:pPr>
              <w:pStyle w:val="NotesText"/>
            </w:pPr>
            <w:r>
              <w:rPr>
                <w:rFonts w:cs="Arial"/>
                <w:vanish/>
              </w:rPr>
              <w:t xml:space="preserve">BR_41.14 </w:t>
            </w:r>
            <w:r>
              <w:t xml:space="preserve">A comment can be associated with any antigen test performed. A user may select canned comments required by an override from the drop-down list or select </w:t>
            </w:r>
            <w:r>
              <w:rPr>
                <w:b/>
              </w:rPr>
              <w:t>Other</w:t>
            </w:r>
            <w:r>
              <w:t xml:space="preserve"> to enter free-text comments.</w:t>
            </w:r>
          </w:p>
        </w:tc>
      </w:tr>
      <w:tr w:rsidR="002A21AE" w14:paraId="1571F2FC" w14:textId="77777777" w:rsidTr="001A459B">
        <w:trPr>
          <w:cantSplit/>
        </w:trPr>
        <w:tc>
          <w:tcPr>
            <w:tcW w:w="3240" w:type="dxa"/>
          </w:tcPr>
          <w:p w14:paraId="364B20E3" w14:textId="113AAA8A" w:rsidR="002A21AE" w:rsidRDefault="002A21AE" w:rsidP="0027394C">
            <w:pPr>
              <w:pStyle w:val="TableTextNumbers"/>
            </w:pPr>
            <w:r>
              <w:lastRenderedPageBreak/>
              <w:t>Enter results for the control cells and for all selected units. Refer to the legend at the bottom of the screen</w:t>
            </w:r>
            <w:r w:rsidR="002A4159">
              <w:t xml:space="preserve"> (</w:t>
            </w:r>
            <w:r w:rsidR="0027394C">
              <w:fldChar w:fldCharType="begin" w:fldLock="1"/>
            </w:r>
            <w:r w:rsidR="0027394C">
              <w:instrText xml:space="preserve"> REF _Ref126649091 \h </w:instrText>
            </w:r>
            <w:r w:rsidR="0027394C">
              <w:fldChar w:fldCharType="separate"/>
            </w:r>
            <w:r w:rsidR="00AB304C">
              <w:br w:type="page"/>
              <w:t xml:space="preserve">Figure </w:t>
            </w:r>
            <w:r w:rsidR="00AB304C">
              <w:rPr>
                <w:noProof/>
              </w:rPr>
              <w:t>90</w:t>
            </w:r>
            <w:r w:rsidR="0027394C">
              <w:fldChar w:fldCharType="end"/>
            </w:r>
            <w:r w:rsidR="002A4159">
              <w:t>)</w:t>
            </w:r>
            <w:r>
              <w:t>.</w:t>
            </w:r>
          </w:p>
        </w:tc>
        <w:tc>
          <w:tcPr>
            <w:tcW w:w="6120" w:type="dxa"/>
          </w:tcPr>
          <w:p w14:paraId="7B3967E6" w14:textId="77777777" w:rsidR="002A21AE" w:rsidRDefault="002A21AE">
            <w:pPr>
              <w:pStyle w:val="TableTextBullet"/>
            </w:pPr>
            <w:r>
              <w:t>Prompts the user to confirm that all results were reviewed and are acceptable.</w:t>
            </w:r>
          </w:p>
          <w:p w14:paraId="6453CEAD" w14:textId="77777777" w:rsidR="002A21AE" w:rsidRDefault="002A21AE">
            <w:pPr>
              <w:pStyle w:val="TableText"/>
            </w:pPr>
          </w:p>
          <w:p w14:paraId="7E2CA0E1" w14:textId="77777777" w:rsidR="002A21AE" w:rsidRDefault="00057948">
            <w:pPr>
              <w:pStyle w:val="TableText"/>
              <w:rPr>
                <w:b/>
                <w:bCs/>
                <w:szCs w:val="18"/>
              </w:rPr>
            </w:pPr>
            <w:r>
              <w:rPr>
                <w:b/>
                <w:bCs/>
                <w:noProof/>
              </w:rPr>
              <mc:AlternateContent>
                <mc:Choice Requires="wps">
                  <w:drawing>
                    <wp:anchor distT="0" distB="0" distL="114300" distR="114300" simplePos="0" relativeHeight="251337216" behindDoc="0" locked="0" layoutInCell="1" allowOverlap="1" wp14:anchorId="050793B4" wp14:editId="147E56DD">
                      <wp:simplePos x="0" y="0"/>
                      <wp:positionH relativeFrom="column">
                        <wp:posOffset>457200</wp:posOffset>
                      </wp:positionH>
                      <wp:positionV relativeFrom="paragraph">
                        <wp:posOffset>65405</wp:posOffset>
                      </wp:positionV>
                      <wp:extent cx="3200400" cy="0"/>
                      <wp:effectExtent l="9525" t="17780" r="9525" b="10795"/>
                      <wp:wrapNone/>
                      <wp:docPr id="490" name="Line 646" descr="P4115C18T4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4D57F" id="Line 646" o:spid="_x0000_s1026" alt="&quot;&quot;" style="position:absolute;z-index:2513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ANuzzvwgEAAG4DAAAOAAAAAAAAAAAAAAAAAC4C&#10;AABkcnMvZTJvRG9jLnhtbFBLAQItABQABgAIAAAAIQAXTzAS2wAAAAgBAAAPAAAAAAAAAAAAAAAA&#10;ABwEAABkcnMvZG93bnJldi54bWxQSwUGAAAAAAQABADzAAAAJAUAAAAA&#10;" strokeweight="1.5pt"/>
                  </w:pict>
                </mc:Fallback>
              </mc:AlternateContent>
            </w:r>
            <w:r w:rsidR="002A21AE">
              <w:rPr>
                <w:b/>
                <w:bCs/>
                <w:szCs w:val="18"/>
              </w:rPr>
              <w:t>NOTES</w:t>
            </w:r>
          </w:p>
          <w:p w14:paraId="1124D65F" w14:textId="77777777" w:rsidR="002A21AE" w:rsidRDefault="002A21AE">
            <w:pPr>
              <w:pStyle w:val="NotesText"/>
            </w:pPr>
          </w:p>
          <w:p w14:paraId="4D40AD16" w14:textId="77777777" w:rsidR="002A21AE" w:rsidRDefault="002A21AE" w:rsidP="009256FE">
            <w:pPr>
              <w:pStyle w:val="NotesText"/>
            </w:pPr>
            <w:r>
              <w:t xml:space="preserve">The positive and/or negative control cell test results on the date of testing must be </w:t>
            </w:r>
            <w:r w:rsidR="009256FE">
              <w:t>a valid positive or negative.</w:t>
            </w:r>
          </w:p>
          <w:p w14:paraId="453D1622" w14:textId="77777777" w:rsidR="002A21AE" w:rsidRDefault="002A21AE">
            <w:pPr>
              <w:pStyle w:val="NotesText"/>
            </w:pPr>
          </w:p>
          <w:p w14:paraId="5386FAD4" w14:textId="77777777" w:rsidR="002A21AE" w:rsidRDefault="002A21AE">
            <w:pPr>
              <w:pStyle w:val="NotesText"/>
            </w:pPr>
            <w:r>
              <w:rPr>
                <w:rFonts w:cs="Arial"/>
                <w:vanish/>
              </w:rPr>
              <w:t xml:space="preserve">BR_41.22 </w:t>
            </w:r>
            <w:r>
              <w:t xml:space="preserve">When a weak D interpretation is positive </w:t>
            </w:r>
            <w:r w:rsidR="00C749CF">
              <w:t xml:space="preserve">or inconclusive </w:t>
            </w:r>
            <w:r>
              <w:t xml:space="preserve">and is verified for a tested blood unit that was labeled as (Rh) D negative, VBECS warns the user and adds the quarantine indicator to the unit. </w:t>
            </w:r>
          </w:p>
          <w:p w14:paraId="7C51871B" w14:textId="77777777" w:rsidR="002A21AE" w:rsidRDefault="002A21AE">
            <w:pPr>
              <w:pStyle w:val="NotesText"/>
            </w:pPr>
          </w:p>
          <w:p w14:paraId="5EB90CD2" w14:textId="77777777" w:rsidR="00A33DDA" w:rsidRDefault="002A21AE" w:rsidP="00A33DDA">
            <w:pPr>
              <w:pStyle w:val="NotesText"/>
              <w:rPr>
                <w:rFonts w:cs="Arial"/>
                <w:vanish/>
              </w:rPr>
            </w:pPr>
            <w:r>
              <w:rPr>
                <w:rFonts w:cs="Arial"/>
                <w:vanish/>
              </w:rPr>
              <w:t xml:space="preserve">BR_41.12 </w:t>
            </w:r>
            <w:r w:rsidR="00A33DDA">
              <w:t>VBECS compares the antigen typing interpretation a user enters to previously assigned antigen typings for the same antigen (as assigned during Incoming Shipment, Edit Unit Information, or previous testing). When the previous interpretation was not “inconclusive” and the current interpretation does not match the previously identified antigen type, VBECS warns the user and quarantines the unit.</w:t>
            </w:r>
          </w:p>
          <w:p w14:paraId="7C2DB16C" w14:textId="77777777" w:rsidR="00BC3648" w:rsidRDefault="00BC3648">
            <w:pPr>
              <w:pStyle w:val="NotesText"/>
            </w:pPr>
          </w:p>
          <w:p w14:paraId="7FFC73F7" w14:textId="77777777" w:rsidR="009230AA" w:rsidRDefault="009230AA" w:rsidP="00BC3648">
            <w:pPr>
              <w:pStyle w:val="NotesText"/>
              <w:rPr>
                <w:rFonts w:cs="Arial"/>
                <w:szCs w:val="18"/>
              </w:rPr>
            </w:pPr>
          </w:p>
          <w:p w14:paraId="12F9D520" w14:textId="77777777" w:rsidR="00BC3648" w:rsidRDefault="00BC3648" w:rsidP="00BC3648">
            <w:pPr>
              <w:pStyle w:val="NotesText"/>
            </w:pPr>
            <w:r w:rsidRPr="00BC3648">
              <w:rPr>
                <w:rFonts w:cs="Arial"/>
                <w:vanish/>
                <w:szCs w:val="18"/>
              </w:rPr>
              <w:t>BR_41.19</w:t>
            </w:r>
            <w:r>
              <w:t>System rules establish row validation for the interpretation vs. reaction results pattern [for all user-indicated phase(s) of reactivity] for blood unit and quality control tests.</w:t>
            </w:r>
          </w:p>
        </w:tc>
      </w:tr>
      <w:tr w:rsidR="002A21AE" w14:paraId="6507DF34" w14:textId="77777777">
        <w:tc>
          <w:tcPr>
            <w:tcW w:w="3240" w:type="dxa"/>
          </w:tcPr>
          <w:p w14:paraId="4F837687" w14:textId="77777777" w:rsidR="002A21AE" w:rsidRDefault="002A21AE">
            <w:pPr>
              <w:pStyle w:val="TableTextNumbers"/>
            </w:pPr>
            <w:r>
              <w:t>Repeat Steps 4–8 for each antiserum type.</w:t>
            </w:r>
          </w:p>
        </w:tc>
        <w:tc>
          <w:tcPr>
            <w:tcW w:w="6120" w:type="dxa"/>
          </w:tcPr>
          <w:p w14:paraId="0166EFBD" w14:textId="77777777" w:rsidR="002A21AE" w:rsidRDefault="002A21AE">
            <w:pPr>
              <w:pStyle w:val="TableTextBullet"/>
            </w:pPr>
            <w:r>
              <w:t>Displays the option to save.</w:t>
            </w:r>
          </w:p>
        </w:tc>
      </w:tr>
      <w:tr w:rsidR="002A21AE" w14:paraId="541F9216" w14:textId="77777777">
        <w:tc>
          <w:tcPr>
            <w:tcW w:w="3240" w:type="dxa"/>
          </w:tcPr>
          <w:p w14:paraId="7A0ABAE9" w14:textId="77777777" w:rsidR="002A21AE" w:rsidRDefault="002A21AE">
            <w:pPr>
              <w:pStyle w:val="TableTextNumbers"/>
            </w:pPr>
            <w:r>
              <w:t>Respond to warnings and save.</w:t>
            </w:r>
          </w:p>
        </w:tc>
        <w:tc>
          <w:tcPr>
            <w:tcW w:w="6120" w:type="dxa"/>
          </w:tcPr>
          <w:p w14:paraId="08B16CF7" w14:textId="77777777" w:rsidR="002A21AE" w:rsidRDefault="00C96530">
            <w:pPr>
              <w:pStyle w:val="TableTextBullet"/>
            </w:pPr>
            <w:r>
              <w:t xml:space="preserve">Saves the completed QC results with </w:t>
            </w:r>
            <w:r w:rsidR="002A21AE">
              <w:t xml:space="preserve">partially or fully completed </w:t>
            </w:r>
            <w:r>
              <w:t xml:space="preserve">unit testing </w:t>
            </w:r>
            <w:r w:rsidR="002A21AE">
              <w:t xml:space="preserve">data. </w:t>
            </w:r>
          </w:p>
          <w:p w14:paraId="19ADFE00" w14:textId="77777777" w:rsidR="002A21AE" w:rsidRDefault="002A21AE">
            <w:pPr>
              <w:pStyle w:val="TableTextBullet"/>
            </w:pPr>
            <w:r>
              <w:t xml:space="preserve">Reconfirms that all appropriate test results were entered, repeats all data validation, and saves the information on the worksheet displayed. </w:t>
            </w:r>
          </w:p>
          <w:p w14:paraId="42F5F74E" w14:textId="77777777" w:rsidR="002A21AE" w:rsidRDefault="002A21AE">
            <w:pPr>
              <w:pStyle w:val="TableText"/>
            </w:pPr>
          </w:p>
          <w:p w14:paraId="711D32BD" w14:textId="77777777" w:rsidR="002A21AE" w:rsidRDefault="00057948">
            <w:pPr>
              <w:pStyle w:val="TableText"/>
              <w:rPr>
                <w:b/>
                <w:bCs/>
                <w:szCs w:val="18"/>
              </w:rPr>
            </w:pPr>
            <w:r>
              <w:rPr>
                <w:b/>
                <w:bCs/>
                <w:noProof/>
              </w:rPr>
              <mc:AlternateContent>
                <mc:Choice Requires="wps">
                  <w:drawing>
                    <wp:anchor distT="0" distB="0" distL="114300" distR="114300" simplePos="0" relativeHeight="251340288" behindDoc="0" locked="0" layoutInCell="1" allowOverlap="1" wp14:anchorId="15340AD4" wp14:editId="4DD72783">
                      <wp:simplePos x="0" y="0"/>
                      <wp:positionH relativeFrom="column">
                        <wp:posOffset>457200</wp:posOffset>
                      </wp:positionH>
                      <wp:positionV relativeFrom="paragraph">
                        <wp:posOffset>65405</wp:posOffset>
                      </wp:positionV>
                      <wp:extent cx="3200400" cy="0"/>
                      <wp:effectExtent l="9525" t="17780" r="9525" b="10795"/>
                      <wp:wrapNone/>
                      <wp:docPr id="489" name="Line 648" descr="P4132C22T4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2F446" id="Line 648" o:spid="_x0000_s1026" alt="&quot;&quot;" style="position:absolute;z-index:2513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CeKR4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083080D6" w14:textId="77777777" w:rsidR="002A21AE" w:rsidRDefault="002A21AE">
            <w:pPr>
              <w:pStyle w:val="NotesText"/>
            </w:pPr>
          </w:p>
          <w:p w14:paraId="47CB551A" w14:textId="77777777" w:rsidR="002A21AE" w:rsidRDefault="002A21AE">
            <w:pPr>
              <w:pStyle w:val="NotesText"/>
            </w:pPr>
            <w:r>
              <w:rPr>
                <w:rFonts w:cs="Arial"/>
                <w:vanish/>
              </w:rPr>
              <w:t xml:space="preserve">BR_41.16 </w:t>
            </w:r>
            <w:r>
              <w:t>VBECS saves the testing of one antiserum specificity at a time.</w:t>
            </w:r>
          </w:p>
          <w:p w14:paraId="5E8CAB99" w14:textId="77777777" w:rsidR="00C96530" w:rsidRDefault="00C96530">
            <w:pPr>
              <w:pStyle w:val="NotesText"/>
            </w:pPr>
          </w:p>
          <w:p w14:paraId="559FEEAA" w14:textId="77777777" w:rsidR="002A21AE" w:rsidRDefault="00C96530">
            <w:pPr>
              <w:pStyle w:val="NotesText"/>
            </w:pPr>
            <w:r>
              <w:rPr>
                <w:vanish/>
              </w:rPr>
              <w:t xml:space="preserve">BR_41.33 </w:t>
            </w:r>
            <w:r w:rsidRPr="00C96530">
              <w:t>T</w:t>
            </w:r>
            <w:r w:rsidRPr="00176F35">
              <w:t xml:space="preserve">he Positive and Negative control cells must be complete and valid prior to the save of a unit antigen typing result. </w:t>
            </w:r>
            <w:r>
              <w:t>VBECS will d</w:t>
            </w:r>
            <w:r w:rsidRPr="00176F35">
              <w:t xml:space="preserve">isplay a </w:t>
            </w:r>
            <w:r w:rsidR="00D51933">
              <w:t xml:space="preserve">tooltip </w:t>
            </w:r>
            <w:r w:rsidRPr="00176F35">
              <w:t xml:space="preserve">message to the user </w:t>
            </w:r>
            <w:r>
              <w:t>if an attempt to save is made and the QC is not valid.</w:t>
            </w:r>
          </w:p>
          <w:p w14:paraId="7393C0AD" w14:textId="77777777" w:rsidR="00C96530" w:rsidRDefault="00C96530">
            <w:pPr>
              <w:pStyle w:val="NotesText"/>
            </w:pPr>
          </w:p>
          <w:p w14:paraId="0653B3A6" w14:textId="77777777" w:rsidR="002A21AE" w:rsidRDefault="002A21AE">
            <w:pPr>
              <w:pStyle w:val="NotesText"/>
            </w:pPr>
            <w:r>
              <w:rPr>
                <w:rFonts w:cs="Arial"/>
                <w:vanish/>
              </w:rPr>
              <w:t xml:space="preserve">BR_41.06 </w:t>
            </w:r>
            <w:r>
              <w:t>VBECS stores the lot number, vial identifier, manufacturer, and expiration date of the positive and negative control cells with the testing record.</w:t>
            </w:r>
          </w:p>
        </w:tc>
      </w:tr>
      <w:tr w:rsidR="002A21AE" w14:paraId="1FFB29FD" w14:textId="77777777">
        <w:tc>
          <w:tcPr>
            <w:tcW w:w="3240" w:type="dxa"/>
          </w:tcPr>
          <w:p w14:paraId="5A344B54" w14:textId="77777777" w:rsidR="002A21AE" w:rsidRDefault="002A21AE">
            <w:pPr>
              <w:pStyle w:val="TableTextNumbers"/>
            </w:pPr>
            <w:r>
              <w:t xml:space="preserve">Click </w:t>
            </w:r>
            <w:r>
              <w:rPr>
                <w:b/>
              </w:rPr>
              <w:t xml:space="preserve">OK </w:t>
            </w:r>
            <w:r>
              <w:t xml:space="preserve">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233AC097" w14:textId="77777777" w:rsidR="002A21AE" w:rsidRDefault="002A21AE">
            <w:pPr>
              <w:pStyle w:val="TableText"/>
            </w:pPr>
          </w:p>
        </w:tc>
      </w:tr>
    </w:tbl>
    <w:p w14:paraId="01868D2E" w14:textId="6991E724" w:rsidR="00030E55" w:rsidRDefault="00030E55" w:rsidP="00030E55">
      <w:pPr>
        <w:pStyle w:val="Caption"/>
      </w:pPr>
      <w:bookmarkStart w:id="312" w:name="_Ref126648704"/>
      <w:bookmarkStart w:id="313" w:name="_Toc63680362"/>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86</w:t>
      </w:r>
      <w:r w:rsidR="004E20BD">
        <w:rPr>
          <w:noProof/>
        </w:rPr>
        <w:fldChar w:fldCharType="end"/>
      </w:r>
      <w:bookmarkEnd w:id="312"/>
      <w:r>
        <w:t>: Unit Antigen Typing</w:t>
      </w:r>
      <w:r w:rsidR="004E0AFB">
        <w:t xml:space="preserve"> (Initial screen)</w:t>
      </w:r>
    </w:p>
    <w:p w14:paraId="21E2CF04" w14:textId="77777777" w:rsidR="0004496F" w:rsidRPr="0004496F" w:rsidRDefault="00057948" w:rsidP="0004496F">
      <w:pPr>
        <w:pStyle w:val="BodyText"/>
      </w:pPr>
      <w:r>
        <w:rPr>
          <w:noProof/>
        </w:rPr>
        <w:drawing>
          <wp:inline distT="0" distB="0" distL="0" distR="0" wp14:anchorId="1EEFDBEF" wp14:editId="72D526B4">
            <wp:extent cx="7278370" cy="4738370"/>
            <wp:effectExtent l="0" t="0" r="0" b="5080"/>
            <wp:docPr id="171" name="Picture 171" descr="P414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P4144#yIS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7278370" cy="4738370"/>
                    </a:xfrm>
                    <a:prstGeom prst="rect">
                      <a:avLst/>
                    </a:prstGeom>
                    <a:noFill/>
                    <a:ln>
                      <a:noFill/>
                    </a:ln>
                  </pic:spPr>
                </pic:pic>
              </a:graphicData>
            </a:graphic>
          </wp:inline>
        </w:drawing>
      </w:r>
    </w:p>
    <w:p w14:paraId="152C93DD" w14:textId="5015E53F" w:rsidR="0004496F" w:rsidRDefault="0004496F" w:rsidP="0004496F">
      <w:pPr>
        <w:pStyle w:val="Caption"/>
      </w:pPr>
      <w:bookmarkStart w:id="314" w:name="_Ref508957032"/>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87</w:t>
      </w:r>
      <w:r w:rsidR="004E20BD">
        <w:rPr>
          <w:noProof/>
        </w:rPr>
        <w:fldChar w:fldCharType="end"/>
      </w:r>
      <w:bookmarkEnd w:id="314"/>
      <w:r>
        <w:t>: Unit Antigen Typing (New worklist)</w:t>
      </w:r>
    </w:p>
    <w:p w14:paraId="6A31483B" w14:textId="77777777" w:rsidR="0004496F" w:rsidRDefault="00057948" w:rsidP="0004496F">
      <w:pPr>
        <w:pStyle w:val="BodyText"/>
      </w:pPr>
      <w:r>
        <w:rPr>
          <w:noProof/>
        </w:rPr>
        <w:drawing>
          <wp:inline distT="0" distB="0" distL="0" distR="0" wp14:anchorId="763AC125" wp14:editId="5213B484">
            <wp:extent cx="5080000" cy="4756785"/>
            <wp:effectExtent l="0" t="0" r="6350" b="5715"/>
            <wp:docPr id="172" name="Picture 172" descr="P4146#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P4146#yIS1">
                      <a:extLst>
                        <a:ext uri="{C183D7F6-B498-43B3-948B-1728B52AA6E4}">
                          <adec:decorative xmlns:adec="http://schemas.microsoft.com/office/drawing/2017/decorative" val="1"/>
                        </a:ext>
                      </a:extLst>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080000" cy="4756785"/>
                    </a:xfrm>
                    <a:prstGeom prst="rect">
                      <a:avLst/>
                    </a:prstGeom>
                    <a:noFill/>
                    <a:ln>
                      <a:noFill/>
                    </a:ln>
                  </pic:spPr>
                </pic:pic>
              </a:graphicData>
            </a:graphic>
          </wp:inline>
        </w:drawing>
      </w:r>
    </w:p>
    <w:p w14:paraId="7FACF7CD" w14:textId="77777777" w:rsidR="0004496F" w:rsidRDefault="0004496F" w:rsidP="0004496F">
      <w:pPr>
        <w:pStyle w:val="BodyText"/>
      </w:pPr>
    </w:p>
    <w:p w14:paraId="29AB7F71" w14:textId="188A1955" w:rsidR="0004496F" w:rsidRDefault="0004496F" w:rsidP="0004496F">
      <w:pPr>
        <w:pStyle w:val="Caption"/>
      </w:pPr>
      <w:bookmarkStart w:id="315" w:name="_Ref508957112"/>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88</w:t>
      </w:r>
      <w:r w:rsidR="004E20BD">
        <w:rPr>
          <w:noProof/>
        </w:rPr>
        <w:fldChar w:fldCharType="end"/>
      </w:r>
      <w:bookmarkEnd w:id="315"/>
      <w:r>
        <w:t>: Unit Antigen Typing (Partially Completed Worklist)</w:t>
      </w:r>
    </w:p>
    <w:p w14:paraId="3344D137" w14:textId="77777777" w:rsidR="0004496F" w:rsidRPr="0004496F" w:rsidRDefault="00057948" w:rsidP="0004496F">
      <w:pPr>
        <w:pStyle w:val="BodyText"/>
      </w:pPr>
      <w:r>
        <w:rPr>
          <w:noProof/>
        </w:rPr>
        <w:drawing>
          <wp:inline distT="0" distB="0" distL="0" distR="0" wp14:anchorId="6619C890" wp14:editId="59010351">
            <wp:extent cx="5939155" cy="4230370"/>
            <wp:effectExtent l="0" t="0" r="4445" b="0"/>
            <wp:docPr id="173" name="Picture 173" descr="P4149#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P4149#yIS1">
                      <a:extLst>
                        <a:ext uri="{C183D7F6-B498-43B3-948B-1728B52AA6E4}">
                          <adec:decorative xmlns:adec="http://schemas.microsoft.com/office/drawing/2017/decorative" val="1"/>
                        </a:ext>
                      </a:extLst>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939155" cy="4230370"/>
                    </a:xfrm>
                    <a:prstGeom prst="rect">
                      <a:avLst/>
                    </a:prstGeom>
                    <a:noFill/>
                    <a:ln>
                      <a:noFill/>
                    </a:ln>
                  </pic:spPr>
                </pic:pic>
              </a:graphicData>
            </a:graphic>
          </wp:inline>
        </w:drawing>
      </w:r>
    </w:p>
    <w:p w14:paraId="721B098A" w14:textId="5E5B6E6A" w:rsidR="0004496F" w:rsidRPr="0004496F" w:rsidRDefault="0004496F" w:rsidP="004E0AFB">
      <w:pPr>
        <w:pStyle w:val="Caption"/>
        <w:widowControl w:val="0"/>
      </w:pPr>
      <w:bookmarkStart w:id="316" w:name="_Ref508953074"/>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89</w:t>
      </w:r>
      <w:r w:rsidR="004E20BD">
        <w:rPr>
          <w:noProof/>
        </w:rPr>
        <w:fldChar w:fldCharType="end"/>
      </w:r>
      <w:bookmarkEnd w:id="316"/>
      <w:r>
        <w:t>: Unit Antigen Typing</w:t>
      </w:r>
    </w:p>
    <w:p w14:paraId="1249D5D1" w14:textId="77777777" w:rsidR="002A4159" w:rsidRDefault="00057948" w:rsidP="0004496F">
      <w:pPr>
        <w:pStyle w:val="BodyText"/>
        <w:keepNext/>
        <w:widowControl w:val="0"/>
      </w:pPr>
      <w:r>
        <w:rPr>
          <w:noProof/>
        </w:rPr>
        <w:drawing>
          <wp:inline distT="0" distB="0" distL="0" distR="0" wp14:anchorId="0329CA28" wp14:editId="16E932B0">
            <wp:extent cx="5939155" cy="4073525"/>
            <wp:effectExtent l="0" t="0" r="4445" b="3175"/>
            <wp:docPr id="174" name="Picture 174" descr="P4151#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P4151#yIS1">
                      <a:extLst>
                        <a:ext uri="{C183D7F6-B498-43B3-948B-1728B52AA6E4}">
                          <adec:decorative xmlns:adec="http://schemas.microsoft.com/office/drawing/2017/decorative" val="1"/>
                        </a:ext>
                      </a:extLst>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939155" cy="4073525"/>
                    </a:xfrm>
                    <a:prstGeom prst="rect">
                      <a:avLst/>
                    </a:prstGeom>
                    <a:noFill/>
                    <a:ln>
                      <a:noFill/>
                    </a:ln>
                  </pic:spPr>
                </pic:pic>
              </a:graphicData>
            </a:graphic>
          </wp:inline>
        </w:drawing>
      </w:r>
      <w:r w:rsidR="00030E55">
        <w:t xml:space="preserve"> </w:t>
      </w:r>
    </w:p>
    <w:p w14:paraId="359C6EF2" w14:textId="25D0ECB9" w:rsidR="002A4159" w:rsidRDefault="0027394C" w:rsidP="002A4159">
      <w:pPr>
        <w:pStyle w:val="Caption"/>
      </w:pPr>
      <w:bookmarkStart w:id="317" w:name="_Ref126649091"/>
      <w:r>
        <w:br w:type="page"/>
      </w:r>
      <w:r w:rsidR="002A4159">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90</w:t>
      </w:r>
      <w:r w:rsidR="004E20BD">
        <w:rPr>
          <w:noProof/>
        </w:rPr>
        <w:fldChar w:fldCharType="end"/>
      </w:r>
      <w:bookmarkEnd w:id="317"/>
      <w:r w:rsidR="002A4159">
        <w:t>: Unit Antigen Typing Serologic Results</w:t>
      </w:r>
    </w:p>
    <w:p w14:paraId="4D590059" w14:textId="77777777" w:rsidR="001B4885" w:rsidRDefault="00057948" w:rsidP="00030E55">
      <w:pPr>
        <w:pStyle w:val="BodyText"/>
      </w:pPr>
      <w:r>
        <w:rPr>
          <w:noProof/>
        </w:rPr>
        <w:drawing>
          <wp:inline distT="0" distB="0" distL="0" distR="0" wp14:anchorId="41C29316" wp14:editId="4F143F54">
            <wp:extent cx="5948045" cy="3574415"/>
            <wp:effectExtent l="0" t="0" r="0" b="6985"/>
            <wp:docPr id="175" name="Picture 175" descr="P415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P4153#yIS1">
                      <a:extLst>
                        <a:ext uri="{C183D7F6-B498-43B3-948B-1728B52AA6E4}">
                          <adec:decorative xmlns:adec="http://schemas.microsoft.com/office/drawing/2017/decorative" val="1"/>
                        </a:ext>
                      </a:extLs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948045" cy="3574415"/>
                    </a:xfrm>
                    <a:prstGeom prst="rect">
                      <a:avLst/>
                    </a:prstGeom>
                    <a:noFill/>
                    <a:ln>
                      <a:noFill/>
                    </a:ln>
                  </pic:spPr>
                </pic:pic>
              </a:graphicData>
            </a:graphic>
          </wp:inline>
        </w:drawing>
      </w:r>
      <w:r w:rsidR="002A4159">
        <w:t xml:space="preserve"> </w:t>
      </w:r>
    </w:p>
    <w:p w14:paraId="6A6F2647" w14:textId="77777777" w:rsidR="002A21AE" w:rsidRDefault="002A21AE" w:rsidP="00E3402B">
      <w:pPr>
        <w:pStyle w:val="Heading2"/>
      </w:pPr>
      <w:r>
        <w:br w:type="page"/>
      </w:r>
      <w:bookmarkStart w:id="318" w:name="_Toc4588782"/>
      <w:bookmarkStart w:id="319" w:name="_Toc92426453"/>
      <w:bookmarkStart w:id="320" w:name="_Toc94349314"/>
      <w:bookmarkEnd w:id="313"/>
      <w:r>
        <w:lastRenderedPageBreak/>
        <w:t>Modify Components</w:t>
      </w:r>
      <w:bookmarkEnd w:id="318"/>
      <w:r>
        <w:fldChar w:fldCharType="begin"/>
      </w:r>
      <w:r>
        <w:instrText xml:space="preserve"> XE </w:instrText>
      </w:r>
      <w:r w:rsidR="00FA7E65">
        <w:instrText>“</w:instrText>
      </w:r>
      <w:r>
        <w:instrText>Modify Component</w:instrText>
      </w:r>
      <w:r w:rsidR="00FA7E65">
        <w:instrText>”</w:instrText>
      </w:r>
      <w:r>
        <w:instrText xml:space="preserve"> </w:instrText>
      </w:r>
      <w:r>
        <w:fldChar w:fldCharType="end"/>
      </w:r>
      <w:bookmarkEnd w:id="319"/>
      <w:bookmarkEnd w:id="320"/>
    </w:p>
    <w:p w14:paraId="451C6ABA" w14:textId="77777777" w:rsidR="002A21AE" w:rsidRDefault="002A21AE">
      <w:pPr>
        <w:pStyle w:val="Heading3"/>
      </w:pPr>
      <w:bookmarkStart w:id="321" w:name="_Modify_Units"/>
      <w:bookmarkStart w:id="322" w:name="_Toc4588783"/>
      <w:bookmarkStart w:id="323" w:name="_Toc94349315"/>
      <w:bookmarkEnd w:id="321"/>
      <w:r>
        <w:t>Modify Units</w:t>
      </w:r>
      <w:bookmarkEnd w:id="322"/>
      <w:r w:rsidRPr="00796039">
        <w:rPr>
          <w:rFonts w:ascii="Arial Bold" w:hAnsi="Arial Bold"/>
          <w:vanish/>
        </w:rPr>
        <w:fldChar w:fldCharType="begin"/>
      </w:r>
      <w:r w:rsidRPr="00796039">
        <w:rPr>
          <w:rFonts w:ascii="Arial Bold" w:hAnsi="Arial Bold"/>
          <w:vanish/>
        </w:rPr>
        <w:instrText xml:space="preserve"> XE </w:instrText>
      </w:r>
      <w:r w:rsidR="00FA7E65" w:rsidRPr="00796039">
        <w:rPr>
          <w:rFonts w:ascii="Arial Bold" w:hAnsi="Arial Bold"/>
          <w:vanish/>
        </w:rPr>
        <w:instrText>“</w:instrText>
      </w:r>
      <w:r w:rsidRPr="00796039">
        <w:rPr>
          <w:rFonts w:ascii="Arial Bold" w:hAnsi="Arial Bold"/>
          <w:vanish/>
        </w:rPr>
        <w:instrText>Modify Units</w:instrText>
      </w:r>
      <w:r w:rsidR="00FA7E65" w:rsidRPr="00796039">
        <w:rPr>
          <w:rFonts w:ascii="Arial Bold" w:hAnsi="Arial Bold"/>
          <w:vanish/>
        </w:rPr>
        <w:instrText>”</w:instrText>
      </w:r>
      <w:r w:rsidRPr="00796039">
        <w:rPr>
          <w:rFonts w:ascii="Arial Bold" w:hAnsi="Arial Bold"/>
          <w:vanish/>
        </w:rPr>
        <w:instrText xml:space="preserve"> </w:instrText>
      </w:r>
      <w:r w:rsidRPr="00796039">
        <w:rPr>
          <w:rFonts w:ascii="Arial Bold" w:hAnsi="Arial Bold"/>
          <w:vanish/>
        </w:rPr>
        <w:fldChar w:fldCharType="end"/>
      </w:r>
      <w:r w:rsidRPr="00796039">
        <w:rPr>
          <w:rFonts w:ascii="Arial Bold" w:hAnsi="Arial Bold"/>
          <w:vanish/>
        </w:rPr>
        <w:t xml:space="preserve"> UC_26</w:t>
      </w:r>
      <w:bookmarkEnd w:id="323"/>
    </w:p>
    <w:p w14:paraId="6E3741DA" w14:textId="77777777" w:rsidR="002A21AE" w:rsidRDefault="002A21AE" w:rsidP="00FA7E65">
      <w:pPr>
        <w:pStyle w:val="BodyText"/>
      </w:pPr>
      <w:bookmarkStart w:id="324" w:name="_Toc77662608"/>
      <w:r>
        <w:t xml:space="preserve">The user modifies a unit, which results in a different blood product (target product) with </w:t>
      </w:r>
      <w:r w:rsidR="00AC457B">
        <w:t>its own</w:t>
      </w:r>
      <w:r>
        <w:t xml:space="preserve"> properties. A division’s configuration determines the available modification types</w:t>
      </w:r>
      <w:r w:rsidR="003B6DCF">
        <w:t>.</w:t>
      </w:r>
    </w:p>
    <w:p w14:paraId="58E631B1" w14:textId="77777777" w:rsidR="002A21AE" w:rsidRDefault="002A21AE">
      <w:pPr>
        <w:pStyle w:val="Heading4"/>
      </w:pPr>
      <w:bookmarkStart w:id="325" w:name="_Toc94349316"/>
      <w:r>
        <w:t>Assumptions</w:t>
      </w:r>
      <w:bookmarkEnd w:id="325"/>
      <w:r w:rsidR="00AC457B">
        <w:fldChar w:fldCharType="begin"/>
      </w:r>
      <w:r w:rsidR="00AC457B">
        <w:instrText xml:space="preserve"> XE "</w:instrText>
      </w:r>
      <w:r w:rsidR="00AC457B" w:rsidRPr="00A60D38">
        <w:instrText>Assumptions</w:instrText>
      </w:r>
      <w:r w:rsidR="00AC457B">
        <w:instrText xml:space="preserve">" </w:instrText>
      </w:r>
      <w:r w:rsidR="00AC457B">
        <w:fldChar w:fldCharType="end"/>
      </w:r>
    </w:p>
    <w:p w14:paraId="120D49EA" w14:textId="77777777" w:rsidR="002A21AE" w:rsidRDefault="00046402">
      <w:pPr>
        <w:pStyle w:val="ListBullet"/>
      </w:pPr>
      <w:r>
        <w:t>Product Modifications</w:t>
      </w:r>
      <w:r w:rsidR="002A21AE">
        <w:t xml:space="preserve"> was executed.</w:t>
      </w:r>
    </w:p>
    <w:p w14:paraId="22D95E17" w14:textId="77777777" w:rsidR="002A21AE" w:rsidRDefault="00CB7D9B">
      <w:pPr>
        <w:pStyle w:val="ListBullet"/>
      </w:pPr>
      <w:r>
        <w:t>The division is the active shipper for target blood products.</w:t>
      </w:r>
    </w:p>
    <w:p w14:paraId="07FB6828" w14:textId="77777777" w:rsidR="002A21AE" w:rsidRDefault="002A21AE">
      <w:pPr>
        <w:pStyle w:val="ListBullet"/>
      </w:pPr>
      <w:r>
        <w:t>A unit may be modified with or without patient assignment or restriction.</w:t>
      </w:r>
    </w:p>
    <w:p w14:paraId="52D78B2A" w14:textId="77777777" w:rsidR="002A21AE" w:rsidRDefault="002A21AE">
      <w:pPr>
        <w:pStyle w:val="ListBullet"/>
      </w:pPr>
      <w:r>
        <w:t>A unit may be modified with or without a patient order.</w:t>
      </w:r>
    </w:p>
    <w:p w14:paraId="3202B2C9" w14:textId="77777777" w:rsidR="002A21AE" w:rsidRDefault="002A21AE">
      <w:pPr>
        <w:pStyle w:val="ListBullet"/>
      </w:pPr>
      <w:r>
        <w:t>Units selected for modification must be in the same division as the user.</w:t>
      </w:r>
    </w:p>
    <w:p w14:paraId="2C918B68" w14:textId="77777777" w:rsidR="00F81D5E" w:rsidRDefault="00F81D5E">
      <w:pPr>
        <w:pStyle w:val="ListBullet"/>
      </w:pPr>
      <w:r>
        <w:t>Product labels and unit numbers for modified products</w:t>
      </w:r>
      <w:r w:rsidRPr="00F81D5E">
        <w:t xml:space="preserve"> </w:t>
      </w:r>
      <w:r>
        <w:t>are on hand.</w:t>
      </w:r>
    </w:p>
    <w:p w14:paraId="669DEC12" w14:textId="77777777" w:rsidR="0014066B" w:rsidRDefault="0014066B">
      <w:pPr>
        <w:pStyle w:val="ListBullet"/>
      </w:pPr>
      <w:r>
        <w:t>Supplies needed for the unit modification were entered in VBECS.</w:t>
      </w:r>
    </w:p>
    <w:p w14:paraId="53765FD4" w14:textId="77777777" w:rsidR="002A21AE" w:rsidRDefault="002A21AE">
      <w:pPr>
        <w:pStyle w:val="Heading4"/>
      </w:pPr>
      <w:bookmarkStart w:id="326" w:name="_Toc94349317"/>
      <w:r>
        <w:t>Outcome</w:t>
      </w:r>
      <w:bookmarkEnd w:id="326"/>
    </w:p>
    <w:p w14:paraId="7F473A6D" w14:textId="77777777" w:rsidR="002A21AE" w:rsidRDefault="002A21AE">
      <w:pPr>
        <w:pStyle w:val="ListBullet"/>
      </w:pPr>
      <w:r>
        <w:t>Data generated for an Exception Report are stored for inclusion in the next Exception Report.</w:t>
      </w:r>
    </w:p>
    <w:p w14:paraId="6A9975CF" w14:textId="77777777" w:rsidR="002A21AE" w:rsidRDefault="002A21AE">
      <w:pPr>
        <w:pStyle w:val="ListBullet"/>
      </w:pPr>
      <w:r>
        <w:t>Workload-related data collected as the result of unit modification are stored for inclusion in Workload Reports.</w:t>
      </w:r>
    </w:p>
    <w:p w14:paraId="1C497D1D" w14:textId="77777777" w:rsidR="002A21AE" w:rsidRDefault="002A21AE">
      <w:pPr>
        <w:pStyle w:val="ListBullet"/>
      </w:pPr>
      <w:r>
        <w:t>At the completion of a unit modification, VBECS assigns the original unit a final status of “modified.”</w:t>
      </w:r>
    </w:p>
    <w:p w14:paraId="4A517F20" w14:textId="77777777" w:rsidR="002A21AE" w:rsidRDefault="002A21AE">
      <w:pPr>
        <w:pStyle w:val="ListBullet"/>
      </w:pPr>
      <w:r>
        <w:t>A permanent virtual link exists between the original unit and target units created.</w:t>
      </w:r>
    </w:p>
    <w:p w14:paraId="3386D44E" w14:textId="77777777" w:rsidR="002A21AE" w:rsidRDefault="002A21AE">
      <w:pPr>
        <w:pStyle w:val="ListBullet"/>
      </w:pPr>
      <w:r>
        <w:t>The shipper of the target unit created is the division in which the modification was performed. The cost assigned to the target unit is based on what was defined in Blood Products.</w:t>
      </w:r>
    </w:p>
    <w:p w14:paraId="568B7A78" w14:textId="77777777" w:rsidR="002A21AE" w:rsidRDefault="002A21AE">
      <w:pPr>
        <w:pStyle w:val="Heading4"/>
      </w:pPr>
      <w:bookmarkStart w:id="327" w:name="_Toc94349318"/>
      <w:r>
        <w:t>Limitations and Restrictions</w:t>
      </w:r>
      <w:bookmarkEnd w:id="327"/>
    </w:p>
    <w:p w14:paraId="3FE62808" w14:textId="77777777" w:rsidR="002A21AE" w:rsidRDefault="00CC5F64">
      <w:pPr>
        <w:pStyle w:val="ListBullet"/>
      </w:pPr>
      <w:r>
        <w:t>VBECS allows modification of units only in limited, assigned, crossmatched, and available statuses.</w:t>
      </w:r>
    </w:p>
    <w:p w14:paraId="7B9A9DF5" w14:textId="77777777" w:rsidR="002D6306" w:rsidRPr="004E1DF1" w:rsidRDefault="002D6306" w:rsidP="002D6306">
      <w:pPr>
        <w:pStyle w:val="ListBullet"/>
      </w:pPr>
      <w:r>
        <w:t>VBECS presents the conservative expiration date for target units. VBECS does not know th</w:t>
      </w:r>
      <w:r w:rsidR="008B6D25">
        <w:t xml:space="preserve">e specific collection details. </w:t>
      </w:r>
      <w:r>
        <w:t>It is the responsib</w:t>
      </w:r>
      <w:r w:rsidR="008B6D25">
        <w:t>i</w:t>
      </w:r>
      <w:r>
        <w:t>lity of each user to accurately enter and process any one blood unit based on its expiration date/time as labeled by the collection facility.</w:t>
      </w:r>
      <w:r>
        <w:rPr>
          <w:vanish/>
        </w:rPr>
        <w:t xml:space="preserve"> Task 1324</w:t>
      </w:r>
    </w:p>
    <w:p w14:paraId="75AAC526" w14:textId="2D2C2501" w:rsidR="004E1DF1" w:rsidRPr="0050055B" w:rsidRDefault="004E1DF1" w:rsidP="002D6306">
      <w:pPr>
        <w:pStyle w:val="ListBullet"/>
      </w:pPr>
      <w:r>
        <w:t xml:space="preserve">Pooling of units that have the attribute form </w:t>
      </w:r>
      <w:r>
        <w:rPr>
          <w:rFonts w:cs="Arial"/>
          <w:szCs w:val="18"/>
        </w:rPr>
        <w:t xml:space="preserve">V0013 (irradiated) and attribute </w:t>
      </w:r>
      <w:r w:rsidRPr="00DC60F9">
        <w:rPr>
          <w:rFonts w:cs="Arial"/>
          <w:szCs w:val="18"/>
        </w:rPr>
        <w:t>V0021005</w:t>
      </w:r>
      <w:r>
        <w:rPr>
          <w:rFonts w:cs="Arial"/>
          <w:szCs w:val="18"/>
        </w:rPr>
        <w:t xml:space="preserve"> (psoralen treatment) does not produce a target.</w:t>
      </w:r>
    </w:p>
    <w:p w14:paraId="1194613F" w14:textId="2570D5B9" w:rsidR="0050055B" w:rsidRDefault="0050055B" w:rsidP="002D6306">
      <w:pPr>
        <w:pStyle w:val="ListBullet"/>
      </w:pPr>
      <w:r>
        <w:rPr>
          <w:rFonts w:cs="Arial"/>
          <w:szCs w:val="18"/>
        </w:rPr>
        <w:t xml:space="preserve">Weld controls are disabled after the user makes </w:t>
      </w:r>
      <w:r w:rsidR="003F270D">
        <w:rPr>
          <w:rFonts w:cs="Arial"/>
          <w:szCs w:val="18"/>
        </w:rPr>
        <w:t>their</w:t>
      </w:r>
      <w:r>
        <w:rPr>
          <w:rFonts w:cs="Arial"/>
          <w:szCs w:val="18"/>
        </w:rPr>
        <w:t xml:space="preserve"> initial selection</w:t>
      </w:r>
      <w:r w:rsidR="003F270D">
        <w:rPr>
          <w:rFonts w:cs="Arial"/>
          <w:szCs w:val="18"/>
        </w:rPr>
        <w:t xml:space="preserve">. </w:t>
      </w:r>
      <w:r w:rsidR="003F270D">
        <w:rPr>
          <w:rFonts w:cs="Arial"/>
          <w:vanish/>
          <w:szCs w:val="18"/>
        </w:rPr>
        <w:t>Task 80350</w:t>
      </w:r>
      <w:r w:rsidR="003F270D" w:rsidRPr="003F270D">
        <w:rPr>
          <w:rFonts w:cs="Arial"/>
          <w:vanish/>
          <w:szCs w:val="18"/>
        </w:rPr>
        <w:t>7</w:t>
      </w:r>
    </w:p>
    <w:p w14:paraId="335A3A77" w14:textId="77777777" w:rsidR="002A21AE" w:rsidRDefault="002A21AE">
      <w:pPr>
        <w:pStyle w:val="Heading4"/>
      </w:pPr>
      <w:bookmarkStart w:id="328" w:name="_Toc94349319"/>
      <w:r>
        <w:t>Additional Information</w:t>
      </w:r>
      <w:bookmarkEnd w:id="328"/>
    </w:p>
    <w:p w14:paraId="2781C438" w14:textId="77777777" w:rsidR="002A21AE" w:rsidRDefault="002A21AE">
      <w:pPr>
        <w:pStyle w:val="ListBullet"/>
      </w:pPr>
      <w:r>
        <w:t>VBECS requires the identification of the transferred-to container when using an open method</w:t>
      </w:r>
      <w:r w:rsidR="00C249B1">
        <w:t xml:space="preserve"> or </w:t>
      </w:r>
      <w:r w:rsidR="00922AD8">
        <w:t>a</w:t>
      </w:r>
      <w:r w:rsidR="00C249B1">
        <w:t xml:space="preserve"> </w:t>
      </w:r>
      <w:r w:rsidR="00AD29E0">
        <w:t>sterile connection</w:t>
      </w:r>
      <w:r w:rsidR="00F17F64">
        <w:t xml:space="preserve"> device (SCD)</w:t>
      </w:r>
      <w:r w:rsidR="00C249B1">
        <w:t>.</w:t>
      </w:r>
    </w:p>
    <w:p w14:paraId="38515BC8" w14:textId="77777777" w:rsidR="002A21AE" w:rsidRDefault="002A21AE">
      <w:pPr>
        <w:pStyle w:val="ListBullet"/>
      </w:pPr>
      <w:r>
        <w:t xml:space="preserve">VBECS requires the identification of the SCD wafer data when using an SCD. </w:t>
      </w:r>
    </w:p>
    <w:p w14:paraId="243ACD6B" w14:textId="77777777" w:rsidR="00B57CCA" w:rsidRDefault="00B57CCA">
      <w:pPr>
        <w:pStyle w:val="ListBullet"/>
      </w:pPr>
      <w:r w:rsidRPr="00B57CCA">
        <w:t xml:space="preserve">When </w:t>
      </w:r>
      <w:r>
        <w:t>a user extends an</w:t>
      </w:r>
      <w:r w:rsidRPr="00B57CCA">
        <w:t xml:space="preserve"> expiration date</w:t>
      </w:r>
      <w:r>
        <w:t xml:space="preserve"> beyond the default expiration date</w:t>
      </w:r>
      <w:r w:rsidRPr="00B57CCA">
        <w:t xml:space="preserve">, </w:t>
      </w:r>
      <w:r>
        <w:t xml:space="preserve">the override message </w:t>
      </w:r>
      <w:r w:rsidRPr="00B57CCA">
        <w:t xml:space="preserve">displays the </w:t>
      </w:r>
      <w:r>
        <w:t xml:space="preserve">original </w:t>
      </w:r>
      <w:r w:rsidRPr="00B57CCA">
        <w:t>expiration date.</w:t>
      </w:r>
    </w:p>
    <w:p w14:paraId="7EE73977" w14:textId="77777777" w:rsidR="002A21AE" w:rsidRDefault="002A21AE">
      <w:pPr>
        <w:pStyle w:val="ListBullet"/>
      </w:pPr>
      <w:r>
        <w:t xml:space="preserve">Due to the variations in supplies </w:t>
      </w:r>
      <w:r w:rsidR="00C249B1">
        <w:t xml:space="preserve">and equipment </w:t>
      </w:r>
      <w:r>
        <w:t>used for other modification types, VBECS does not require supply</w:t>
      </w:r>
      <w:r w:rsidR="00C249B1">
        <w:t xml:space="preserve"> or equipment</w:t>
      </w:r>
      <w:r>
        <w:t xml:space="preserve"> entry</w:t>
      </w:r>
      <w:r w:rsidR="00C249B1">
        <w:t>,</w:t>
      </w:r>
      <w:r>
        <w:t xml:space="preserve"> but allows entry of those data as part of the modification record.</w:t>
      </w:r>
    </w:p>
    <w:p w14:paraId="079481E5" w14:textId="77777777" w:rsidR="002A21AE" w:rsidRDefault="002A21AE">
      <w:pPr>
        <w:pStyle w:val="ListBullet"/>
      </w:pPr>
      <w:r>
        <w:t>During the modification options (Modify Units: Pool Units; Modify Units: Split a Unit; Modify Units), a user may select an assigned blood unit for modification and transfer one patient assignment to the target units created.</w:t>
      </w:r>
    </w:p>
    <w:p w14:paraId="6747E4D0" w14:textId="77777777" w:rsidR="000145FB" w:rsidRDefault="000145FB" w:rsidP="000145FB">
      <w:pPr>
        <w:pStyle w:val="ListBullet"/>
      </w:pPr>
      <w:r>
        <w:lastRenderedPageBreak/>
        <w:t xml:space="preserve">To reverse other modifications, remove the “modified” status from each unit through </w:t>
      </w:r>
      <w:r w:rsidR="00F078F4">
        <w:t xml:space="preserve">Supervisor Menu, </w:t>
      </w:r>
      <w:r>
        <w:t>Remove Final Status.</w:t>
      </w:r>
    </w:p>
    <w:p w14:paraId="4C21E95C" w14:textId="77777777" w:rsidR="003221B7" w:rsidRDefault="003221B7" w:rsidP="000145FB">
      <w:pPr>
        <w:pStyle w:val="ListBullet"/>
      </w:pPr>
      <w:r>
        <w:t>To edit the number of units in a</w:t>
      </w:r>
      <w:r w:rsidR="00892AB1">
        <w:t>n existing pool, use Add/Remove Units from a Pool.</w:t>
      </w:r>
    </w:p>
    <w:p w14:paraId="4C025A8B" w14:textId="24CD0F8C" w:rsidR="003F0E80" w:rsidRDefault="003F0E80" w:rsidP="000145FB">
      <w:pPr>
        <w:pStyle w:val="ListBullet"/>
      </w:pPr>
      <w:r>
        <w:t>The user can scan to select the target</w:t>
      </w:r>
      <w:r w:rsidR="00A032AC">
        <w:t>,</w:t>
      </w:r>
      <w:r w:rsidR="00110B97">
        <w:t xml:space="preserve"> </w:t>
      </w:r>
      <w:r>
        <w:t>but it will only present the product codes available as a target by VBECS.</w:t>
      </w:r>
    </w:p>
    <w:p w14:paraId="11586476" w14:textId="77777777" w:rsidR="00C61ED6" w:rsidRDefault="00C61ED6" w:rsidP="00C61ED6">
      <w:pPr>
        <w:pStyle w:val="ListBullet"/>
      </w:pPr>
      <w:r>
        <w:t>The user can change the expiration date and time prior to completing bl</w:t>
      </w:r>
      <w:r w:rsidR="00071143">
        <w:t>ood unit’s modification</w:t>
      </w:r>
      <w:r w:rsidR="003502C9">
        <w:t xml:space="preserve">. </w:t>
      </w:r>
      <w:r w:rsidR="003502C9" w:rsidRPr="003502C9">
        <w:rPr>
          <w:vanish/>
        </w:rPr>
        <w:t>Task 618684</w:t>
      </w:r>
    </w:p>
    <w:p w14:paraId="0712ADCE" w14:textId="77777777" w:rsidR="002A21AE" w:rsidRDefault="002A21AE">
      <w:pPr>
        <w:pStyle w:val="Heading4"/>
      </w:pPr>
      <w:bookmarkStart w:id="329" w:name="_Toc94349320"/>
      <w:r>
        <w:t>User Roles with Access to This Option</w:t>
      </w:r>
      <w:bookmarkEnd w:id="329"/>
    </w:p>
    <w:bookmarkEnd w:id="324"/>
    <w:p w14:paraId="72A26E62" w14:textId="77777777" w:rsidR="000D69CE" w:rsidRDefault="000D69CE" w:rsidP="000D69CE">
      <w:pPr>
        <w:pStyle w:val="Roles"/>
        <w:rPr>
          <w:snapToGrid w:val="0"/>
        </w:rPr>
      </w:pPr>
      <w:r>
        <w:t>All users</w:t>
      </w:r>
    </w:p>
    <w:p w14:paraId="5C71886E" w14:textId="77777777" w:rsidR="002A21AE" w:rsidRDefault="002A21AE">
      <w:pPr>
        <w:pStyle w:val="Heading4"/>
      </w:pPr>
      <w:bookmarkStart w:id="330" w:name="OLE_LINK27"/>
      <w:bookmarkStart w:id="331" w:name="OLE_LINK28"/>
      <w:r>
        <w:t>Modify Units</w:t>
      </w:r>
      <w:bookmarkEnd w:id="330"/>
      <w:bookmarkEnd w:id="331"/>
    </w:p>
    <w:p w14:paraId="0A8BD448" w14:textId="77777777" w:rsidR="002A21AE" w:rsidRDefault="002A21AE" w:rsidP="00FA7E65">
      <w:pPr>
        <w:pStyle w:val="BodyText"/>
      </w:pPr>
      <w:r>
        <w:t xml:space="preserve">The user selects the units to be modified. The user indicates the type of modification to be performed, then enters (preferably by scanning) the unit ID and product code. </w:t>
      </w:r>
    </w:p>
    <w:p w14:paraId="315B8C59" w14:textId="77777777" w:rsidR="002A21AE" w:rsidRDefault="002A21AE" w:rsidP="00FA7E65">
      <w:pPr>
        <w:pStyle w:val="BodyText"/>
      </w:pPr>
      <w:r>
        <w:t>VBECS displays a creation date and time (default: current date and time) for the target units, which the user may change to a date and time in the past and not before the login date and time of the original unit. VBECS calculates a new expiration date for the target unit (based on the creation date and time</w:t>
      </w:r>
      <w:r w:rsidR="00C5700C">
        <w:t>, modification type, method, and original unit product type</w:t>
      </w:r>
      <w:r w:rsidR="00B14F35">
        <w:t>)</w:t>
      </w:r>
      <w:r>
        <w:t xml:space="preserve"> and records the date and time the original unit was modified. Some modification procedures require materials in addition to the new container. VBECS requires the entry of a new container lot number and SCD wafer, if indicated. </w:t>
      </w:r>
    </w:p>
    <w:p w14:paraId="20240308" w14:textId="77777777" w:rsidR="002A21AE" w:rsidRDefault="00AA7C63" w:rsidP="00FA7E65">
      <w:pPr>
        <w:pStyle w:val="BodyText"/>
      </w:pPr>
      <w:r>
        <w:t>The modified target unit is now available for use.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6499FB9" w14:textId="77777777">
        <w:trPr>
          <w:tblHeader/>
        </w:trPr>
        <w:tc>
          <w:tcPr>
            <w:tcW w:w="3240" w:type="dxa"/>
            <w:shd w:val="pct30" w:color="auto" w:fill="FFFFFF"/>
            <w:vAlign w:val="bottom"/>
          </w:tcPr>
          <w:p w14:paraId="20951570" w14:textId="77777777" w:rsidR="002A21AE" w:rsidRDefault="002A21AE">
            <w:pPr>
              <w:pStyle w:val="TableText"/>
              <w:rPr>
                <w:b/>
              </w:rPr>
            </w:pPr>
            <w:bookmarkStart w:id="332" w:name="_Toc79478694"/>
            <w:bookmarkStart w:id="333" w:name="_Toc63680363"/>
            <w:r>
              <w:rPr>
                <w:b/>
              </w:rPr>
              <w:t>User Action</w:t>
            </w:r>
          </w:p>
        </w:tc>
        <w:tc>
          <w:tcPr>
            <w:tcW w:w="6120" w:type="dxa"/>
            <w:shd w:val="pct30" w:color="auto" w:fill="FFFFFF"/>
            <w:vAlign w:val="bottom"/>
          </w:tcPr>
          <w:p w14:paraId="126420C3" w14:textId="77777777" w:rsidR="002A21AE" w:rsidRDefault="002A21AE">
            <w:pPr>
              <w:pStyle w:val="TableText"/>
              <w:rPr>
                <w:b/>
              </w:rPr>
            </w:pPr>
            <w:r>
              <w:rPr>
                <w:b/>
              </w:rPr>
              <w:t>VBECS</w:t>
            </w:r>
          </w:p>
        </w:tc>
      </w:tr>
      <w:tr w:rsidR="002A21AE" w14:paraId="2316F43D" w14:textId="77777777">
        <w:tc>
          <w:tcPr>
            <w:tcW w:w="3240" w:type="dxa"/>
          </w:tcPr>
          <w:p w14:paraId="71814F99" w14:textId="77777777" w:rsidR="002A21AE" w:rsidRDefault="002A21AE" w:rsidP="002C6BD1">
            <w:pPr>
              <w:pStyle w:val="TableTextNumbers"/>
            </w:pPr>
            <w:r>
              <w:t xml:space="preserve">Select </w:t>
            </w:r>
            <w:r>
              <w:rPr>
                <w:b/>
              </w:rPr>
              <w:t>Blood Units</w:t>
            </w:r>
            <w:r>
              <w:t xml:space="preserve"> from the main menu. </w:t>
            </w:r>
          </w:p>
          <w:p w14:paraId="08D7A728" w14:textId="77777777" w:rsidR="002A21AE" w:rsidRDefault="002A21AE">
            <w:pPr>
              <w:pStyle w:val="TableTextNumbersContinued"/>
            </w:pPr>
          </w:p>
          <w:p w14:paraId="543465B3" w14:textId="77777777" w:rsidR="002A21AE" w:rsidRDefault="002A21AE">
            <w:pPr>
              <w:pStyle w:val="TableTextNumbersContinued"/>
            </w:pPr>
            <w:r>
              <w:t xml:space="preserve">Select </w:t>
            </w:r>
            <w:r>
              <w:rPr>
                <w:b/>
              </w:rPr>
              <w:t>Modify Units</w:t>
            </w:r>
            <w:r>
              <w:t>.</w:t>
            </w:r>
          </w:p>
        </w:tc>
        <w:tc>
          <w:tcPr>
            <w:tcW w:w="6120" w:type="dxa"/>
          </w:tcPr>
          <w:p w14:paraId="792E5865" w14:textId="77777777" w:rsidR="002A21AE" w:rsidRDefault="002A21AE">
            <w:pPr>
              <w:pStyle w:val="TableTextBullet"/>
            </w:pPr>
            <w:r>
              <w:t>Displays options for processing blood units.</w:t>
            </w:r>
          </w:p>
          <w:p w14:paraId="020208C4" w14:textId="77777777" w:rsidR="002A21AE" w:rsidRDefault="00792C64">
            <w:pPr>
              <w:pStyle w:val="TableTextBullet"/>
            </w:pPr>
            <w:r w:rsidRPr="00792C64">
              <w:rPr>
                <w:vanish/>
                <w:szCs w:val="18"/>
              </w:rPr>
              <w:t>BR_26.32</w:t>
            </w:r>
            <w:r w:rsidR="002B1949">
              <w:rPr>
                <w:vanish/>
                <w:szCs w:val="18"/>
              </w:rPr>
              <w:t xml:space="preserve"> </w:t>
            </w:r>
            <w:r w:rsidR="002A21AE">
              <w:t xml:space="preserve">Displays valid modification options </w:t>
            </w:r>
            <w:r w:rsidR="00794BA2">
              <w:t xml:space="preserve">configured </w:t>
            </w:r>
            <w:r w:rsidR="002A21AE">
              <w:t xml:space="preserve">for the division and allows the user to select an option. </w:t>
            </w:r>
          </w:p>
        </w:tc>
      </w:tr>
      <w:tr w:rsidR="00504CD6" w14:paraId="6AE2BFD7" w14:textId="77777777">
        <w:tc>
          <w:tcPr>
            <w:tcW w:w="3240" w:type="dxa"/>
          </w:tcPr>
          <w:p w14:paraId="42A48202" w14:textId="77777777" w:rsidR="00504CD6" w:rsidRDefault="00504CD6" w:rsidP="00C92722">
            <w:pPr>
              <w:pStyle w:val="TableTextNumbers"/>
            </w:pPr>
            <w:r>
              <w:t>Enter the date and time of the unit modification.</w:t>
            </w:r>
          </w:p>
          <w:p w14:paraId="3C1C59E6" w14:textId="77777777" w:rsidR="00504CD6" w:rsidRDefault="00504CD6" w:rsidP="007C035C">
            <w:pPr>
              <w:pStyle w:val="TableTextNumbersContinued"/>
            </w:pPr>
          </w:p>
          <w:p w14:paraId="26B197DC" w14:textId="77777777" w:rsidR="00504CD6" w:rsidRDefault="00504CD6" w:rsidP="007C035C">
            <w:pPr>
              <w:pStyle w:val="TableTextNumbersContinued"/>
            </w:pPr>
            <w:r>
              <w:t xml:space="preserve">Enter the </w:t>
            </w:r>
            <w:r w:rsidR="007C035C">
              <w:t>name of the user who modifies the unit.</w:t>
            </w:r>
          </w:p>
        </w:tc>
        <w:tc>
          <w:tcPr>
            <w:tcW w:w="6120" w:type="dxa"/>
          </w:tcPr>
          <w:p w14:paraId="061B9B75" w14:textId="77777777" w:rsidR="00504CD6" w:rsidRDefault="00504CD6" w:rsidP="00C92722">
            <w:pPr>
              <w:pStyle w:val="TableTextBullet"/>
            </w:pPr>
            <w:r>
              <w:t xml:space="preserve">Displays the default (current) date and time as the modification date and time. </w:t>
            </w:r>
          </w:p>
          <w:p w14:paraId="6C278462" w14:textId="77777777" w:rsidR="00504CD6" w:rsidRDefault="00504CD6" w:rsidP="00C92722">
            <w:pPr>
              <w:pStyle w:val="TableTextBullet"/>
            </w:pPr>
            <w:r>
              <w:t>Allows the user to change the date and time to a past date and time.</w:t>
            </w:r>
          </w:p>
          <w:p w14:paraId="430E9C3C" w14:textId="77777777" w:rsidR="00504CD6" w:rsidRDefault="00504CD6" w:rsidP="00C92722">
            <w:pPr>
              <w:pStyle w:val="TableText"/>
            </w:pPr>
          </w:p>
          <w:p w14:paraId="228C94B9" w14:textId="77777777" w:rsidR="00504CD6" w:rsidRDefault="00057948" w:rsidP="00C92722">
            <w:pPr>
              <w:pStyle w:val="TableText"/>
              <w:rPr>
                <w:b/>
                <w:bCs/>
                <w:szCs w:val="18"/>
              </w:rPr>
            </w:pPr>
            <w:r>
              <w:rPr>
                <w:b/>
                <w:bCs/>
                <w:noProof/>
              </w:rPr>
              <mc:AlternateContent>
                <mc:Choice Requires="wps">
                  <w:drawing>
                    <wp:anchor distT="0" distB="0" distL="114300" distR="114300" simplePos="0" relativeHeight="251828736" behindDoc="0" locked="0" layoutInCell="1" allowOverlap="1" wp14:anchorId="47A43DC7" wp14:editId="56CE6855">
                      <wp:simplePos x="0" y="0"/>
                      <wp:positionH relativeFrom="column">
                        <wp:posOffset>457200</wp:posOffset>
                      </wp:positionH>
                      <wp:positionV relativeFrom="paragraph">
                        <wp:posOffset>65405</wp:posOffset>
                      </wp:positionV>
                      <wp:extent cx="3200400" cy="0"/>
                      <wp:effectExtent l="9525" t="17780" r="9525" b="10795"/>
                      <wp:wrapNone/>
                      <wp:docPr id="488" name="Line 1020" descr="P4207C6T4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8332B" id="Line 1020" o:spid="_x0000_s1026" alt="&quot;&quot;" style="position:absolute;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HlvR2PEAQAAbwMAAA4AAAAAAAAAAAAAAAAA&#10;LgIAAGRycy9lMm9Eb2MueG1sUEsBAi0AFAAGAAgAAAAhABdPMBLbAAAACAEAAA8AAAAAAAAAAAAA&#10;AAAAHgQAAGRycy9kb3ducmV2LnhtbFBLBQYAAAAABAAEAPMAAAAmBQAAAAA=&#10;" strokeweight="1.5pt"/>
                  </w:pict>
                </mc:Fallback>
              </mc:AlternateContent>
            </w:r>
            <w:r w:rsidR="00504CD6">
              <w:rPr>
                <w:b/>
                <w:bCs/>
                <w:szCs w:val="18"/>
              </w:rPr>
              <w:t>NOTES</w:t>
            </w:r>
          </w:p>
          <w:p w14:paraId="06323867" w14:textId="77777777" w:rsidR="00504CD6" w:rsidRDefault="00504CD6" w:rsidP="00C92722">
            <w:pPr>
              <w:pStyle w:val="NotesText"/>
            </w:pPr>
          </w:p>
          <w:p w14:paraId="4FAA8DED" w14:textId="77777777" w:rsidR="00504CD6" w:rsidRDefault="00504CD6" w:rsidP="00C92722">
            <w:pPr>
              <w:pStyle w:val="NotesText"/>
            </w:pPr>
            <w:r>
              <w:rPr>
                <w:rFonts w:cs="Arial"/>
                <w:vanish/>
              </w:rPr>
              <w:t xml:space="preserve">BR_26.01 </w:t>
            </w:r>
            <w:r>
              <w:t>The user may not enter a future date and time.</w:t>
            </w:r>
          </w:p>
          <w:p w14:paraId="5D139403" w14:textId="77777777" w:rsidR="000430E8" w:rsidRDefault="000430E8" w:rsidP="00C92722">
            <w:pPr>
              <w:pStyle w:val="NotesText"/>
            </w:pPr>
          </w:p>
          <w:p w14:paraId="53222BE7" w14:textId="77777777" w:rsidR="000430E8" w:rsidRDefault="000430E8" w:rsidP="000430E8">
            <w:pPr>
              <w:pStyle w:val="NotesText"/>
            </w:pPr>
            <w:r w:rsidRPr="004E2963">
              <w:rPr>
                <w:vanish/>
              </w:rPr>
              <w:t xml:space="preserve">BR_25.57 </w:t>
            </w:r>
            <w:r>
              <w:t>When a unit is modified, the processing fee is added to the cost of a modified unit target.</w:t>
            </w:r>
          </w:p>
          <w:p w14:paraId="60FB1D93" w14:textId="77777777" w:rsidR="000430E8" w:rsidRDefault="000430E8" w:rsidP="000430E8">
            <w:pPr>
              <w:pStyle w:val="NotesText"/>
            </w:pPr>
            <w:r>
              <w:t>A single unit modification has the processing fee added to the target unit.</w:t>
            </w:r>
          </w:p>
          <w:p w14:paraId="1CAA7662" w14:textId="77777777" w:rsidR="000430E8" w:rsidRDefault="000430E8" w:rsidP="000430E8">
            <w:pPr>
              <w:pStyle w:val="NotesText"/>
            </w:pPr>
            <w:r>
              <w:t>When split, the processing fee is divided and a portion is added to each target unit.</w:t>
            </w:r>
          </w:p>
          <w:p w14:paraId="528C493E" w14:textId="77777777" w:rsidR="000430E8" w:rsidRDefault="000430E8" w:rsidP="000430E8">
            <w:pPr>
              <w:pStyle w:val="NotesText"/>
            </w:pPr>
            <w:r>
              <w:t>When pooling, the processing fee is multiplied for each original unit included in the pool.</w:t>
            </w:r>
          </w:p>
        </w:tc>
      </w:tr>
      <w:tr w:rsidR="00504CD6" w14:paraId="4A4AA0B2" w14:textId="77777777" w:rsidTr="001A459B">
        <w:trPr>
          <w:cantSplit/>
          <w:hidden/>
        </w:trPr>
        <w:tc>
          <w:tcPr>
            <w:tcW w:w="3240" w:type="dxa"/>
          </w:tcPr>
          <w:p w14:paraId="17E67FA9" w14:textId="77777777" w:rsidR="00504CD6" w:rsidRDefault="00504CD6" w:rsidP="00C92722">
            <w:pPr>
              <w:pStyle w:val="TableTextNumbers"/>
              <w:rPr>
                <w:b/>
              </w:rPr>
            </w:pPr>
            <w:r>
              <w:rPr>
                <w:rFonts w:cs="Arial"/>
                <w:vanish/>
              </w:rPr>
              <w:lastRenderedPageBreak/>
              <w:t xml:space="preserve">BR_26.10 </w:t>
            </w:r>
            <w:r>
              <w:t>Click a radio button to select a modification type:</w:t>
            </w:r>
            <w:r>
              <w:rPr>
                <w:b/>
              </w:rPr>
              <w:t xml:space="preserve"> </w:t>
            </w:r>
          </w:p>
          <w:p w14:paraId="00BC473F" w14:textId="77777777" w:rsidR="00504CD6" w:rsidRDefault="00504CD6" w:rsidP="00C92722">
            <w:pPr>
              <w:pStyle w:val="TableTextNumbersBullet"/>
            </w:pPr>
            <w:r>
              <w:t xml:space="preserve">Thaw </w:t>
            </w:r>
          </w:p>
          <w:p w14:paraId="5205EEFD" w14:textId="77777777" w:rsidR="00504CD6" w:rsidRDefault="00504CD6" w:rsidP="00C92722">
            <w:pPr>
              <w:pStyle w:val="TableTextNumbersBullet"/>
            </w:pPr>
            <w:r>
              <w:t>Pool (See Modify Units: Pool Units.)</w:t>
            </w:r>
          </w:p>
          <w:p w14:paraId="48AE351B" w14:textId="77777777" w:rsidR="00504CD6" w:rsidRDefault="00504CD6" w:rsidP="00C92722">
            <w:pPr>
              <w:pStyle w:val="TableTextNumbersBullet"/>
            </w:pPr>
            <w:r>
              <w:t>Thaw/Pool Cryo (See Modify Units: Pool Units.)</w:t>
            </w:r>
          </w:p>
          <w:p w14:paraId="5E381FE7" w14:textId="77777777" w:rsidR="00504CD6" w:rsidRDefault="00504CD6" w:rsidP="00C92722">
            <w:pPr>
              <w:pStyle w:val="TableTextNumbersBullet"/>
            </w:pPr>
            <w:r>
              <w:t>Split/Divide (See Modify Units: Split a Unit.)</w:t>
            </w:r>
          </w:p>
          <w:p w14:paraId="2A2CCB9E" w14:textId="77777777" w:rsidR="00504CD6" w:rsidRDefault="00504CD6" w:rsidP="00C92722">
            <w:pPr>
              <w:pStyle w:val="TableTextNumbersBullet"/>
            </w:pPr>
            <w:r>
              <w:t>Irradiate</w:t>
            </w:r>
          </w:p>
          <w:p w14:paraId="138C390E" w14:textId="77777777" w:rsidR="00504CD6" w:rsidRDefault="00504CD6" w:rsidP="00C92722">
            <w:pPr>
              <w:pStyle w:val="TableTextNumbersBullet"/>
            </w:pPr>
            <w:r>
              <w:t>Leukoreduce</w:t>
            </w:r>
          </w:p>
          <w:p w14:paraId="05757A99" w14:textId="77777777" w:rsidR="00504CD6" w:rsidRDefault="00504CD6" w:rsidP="00C92722">
            <w:pPr>
              <w:pStyle w:val="TableTextNumbersBullet"/>
            </w:pPr>
            <w:r>
              <w:t>Volume Reduce</w:t>
            </w:r>
          </w:p>
          <w:p w14:paraId="06ECEF04" w14:textId="77777777" w:rsidR="00504CD6" w:rsidRDefault="00504CD6" w:rsidP="00C92722">
            <w:pPr>
              <w:pStyle w:val="TableTextNumbersBullet"/>
            </w:pPr>
            <w:r>
              <w:t>Wash</w:t>
            </w:r>
          </w:p>
          <w:p w14:paraId="4A9A1F1B" w14:textId="77777777" w:rsidR="00504CD6" w:rsidRDefault="00504CD6" w:rsidP="00C92722">
            <w:pPr>
              <w:pStyle w:val="TableTextNumbersBullet"/>
            </w:pPr>
            <w:r>
              <w:t xml:space="preserve">Rejuvenate </w:t>
            </w:r>
          </w:p>
          <w:p w14:paraId="15A8208F" w14:textId="77777777" w:rsidR="00504CD6" w:rsidRDefault="00504CD6" w:rsidP="00C92722">
            <w:pPr>
              <w:pStyle w:val="TableTextNumbersBullet"/>
            </w:pPr>
            <w:r>
              <w:t xml:space="preserve">Freeze </w:t>
            </w:r>
          </w:p>
          <w:p w14:paraId="6DF5C7F1" w14:textId="77777777" w:rsidR="00504CD6" w:rsidRDefault="00504CD6" w:rsidP="00C92722">
            <w:pPr>
              <w:pStyle w:val="TableTextNumbersBullet"/>
            </w:pPr>
            <w:r>
              <w:t>Deglycerolize</w:t>
            </w:r>
          </w:p>
          <w:p w14:paraId="09045906" w14:textId="77777777" w:rsidR="00504CD6" w:rsidRDefault="00504CD6" w:rsidP="00C92722">
            <w:pPr>
              <w:pStyle w:val="TableTextNumbersBullet"/>
            </w:pPr>
            <w:r>
              <w:t>Add/Remove Units from Pool (See Add/Remove Units from a Pool.)</w:t>
            </w:r>
          </w:p>
        </w:tc>
        <w:tc>
          <w:tcPr>
            <w:tcW w:w="6120" w:type="dxa"/>
          </w:tcPr>
          <w:p w14:paraId="06D7E106" w14:textId="77777777" w:rsidR="00504CD6" w:rsidRDefault="00504CD6" w:rsidP="00C92722">
            <w:pPr>
              <w:pStyle w:val="TableTextBullet"/>
            </w:pPr>
            <w:r>
              <w:t>Allows the user to enter data based on the modification type selected.</w:t>
            </w:r>
          </w:p>
          <w:p w14:paraId="22E04C3E" w14:textId="77777777" w:rsidR="00504CD6" w:rsidRDefault="00504CD6" w:rsidP="00C92722">
            <w:pPr>
              <w:pStyle w:val="TableTextBullet"/>
            </w:pPr>
            <w:r>
              <w:t>Allows the user to select a different processing technologist.</w:t>
            </w:r>
          </w:p>
          <w:p w14:paraId="11D9AEAF" w14:textId="77777777" w:rsidR="00504CD6" w:rsidRDefault="00504CD6" w:rsidP="00C92722">
            <w:pPr>
              <w:pStyle w:val="TableTextBullet"/>
            </w:pPr>
            <w:r>
              <w:t>Displays only modifications enabled for the division.</w:t>
            </w:r>
          </w:p>
          <w:p w14:paraId="670F1FFA" w14:textId="77777777" w:rsidR="00504CD6" w:rsidRDefault="00504CD6" w:rsidP="00C92722">
            <w:pPr>
              <w:pStyle w:val="NotesText"/>
            </w:pPr>
          </w:p>
        </w:tc>
      </w:tr>
      <w:tr w:rsidR="002A21AE" w14:paraId="5C882EB7" w14:textId="77777777">
        <w:tc>
          <w:tcPr>
            <w:tcW w:w="3240" w:type="dxa"/>
          </w:tcPr>
          <w:p w14:paraId="2C03B591" w14:textId="77777777" w:rsidR="002A21AE" w:rsidRDefault="002A21AE">
            <w:pPr>
              <w:pStyle w:val="TableTextNumbers"/>
            </w:pPr>
            <w:r>
              <w:t>Click a radio button to select a modification method, if required:</w:t>
            </w:r>
          </w:p>
          <w:p w14:paraId="25593A8B" w14:textId="77777777" w:rsidR="002A21AE" w:rsidRDefault="002A21AE">
            <w:pPr>
              <w:pStyle w:val="TableTextNumbersBullet"/>
            </w:pPr>
            <w:r>
              <w:t>Open</w:t>
            </w:r>
          </w:p>
          <w:p w14:paraId="6B27A92E" w14:textId="77777777" w:rsidR="002A21AE" w:rsidRDefault="002A21AE">
            <w:pPr>
              <w:pStyle w:val="TableTextNumbersBullet"/>
            </w:pPr>
            <w:r>
              <w:t xml:space="preserve">Closed </w:t>
            </w:r>
          </w:p>
          <w:p w14:paraId="6B923CE0" w14:textId="49B2D1A4" w:rsidR="00AA3DF4" w:rsidRDefault="002A21AE" w:rsidP="00AA3DF4">
            <w:pPr>
              <w:pStyle w:val="TableTextNumbersBullet"/>
            </w:pPr>
            <w:r>
              <w:t>Sterile Connection Device</w:t>
            </w:r>
            <w:r w:rsidR="001B4885">
              <w:t xml:space="preserve"> (</w:t>
            </w:r>
            <w:r w:rsidR="001B4885">
              <w:fldChar w:fldCharType="begin" w:fldLock="1"/>
            </w:r>
            <w:r w:rsidR="001B4885">
              <w:instrText xml:space="preserve"> REF _Ref126649536 \h </w:instrText>
            </w:r>
            <w:r w:rsidR="001B4885">
              <w:fldChar w:fldCharType="separate"/>
            </w:r>
            <w:r w:rsidR="00AB304C">
              <w:t xml:space="preserve">Figure </w:t>
            </w:r>
            <w:r w:rsidR="00AB304C">
              <w:rPr>
                <w:noProof/>
              </w:rPr>
              <w:t>91</w:t>
            </w:r>
            <w:r w:rsidR="001B4885">
              <w:fldChar w:fldCharType="end"/>
            </w:r>
            <w:r w:rsidR="001B4885">
              <w:t>)</w:t>
            </w:r>
          </w:p>
        </w:tc>
        <w:tc>
          <w:tcPr>
            <w:tcW w:w="6120" w:type="dxa"/>
          </w:tcPr>
          <w:p w14:paraId="64363E41" w14:textId="77777777" w:rsidR="002A21AE" w:rsidRDefault="002A21AE">
            <w:pPr>
              <w:pStyle w:val="TableTextBullet"/>
            </w:pPr>
            <w:r>
              <w:t>Displays the selected method.</w:t>
            </w:r>
          </w:p>
          <w:p w14:paraId="0FFF3E93" w14:textId="77777777" w:rsidR="002A21AE" w:rsidRDefault="002A21AE" w:rsidP="0009404D">
            <w:pPr>
              <w:pStyle w:val="TableText"/>
            </w:pPr>
          </w:p>
          <w:p w14:paraId="4E1043A6" w14:textId="77777777" w:rsidR="002A21AE" w:rsidRDefault="00057948">
            <w:pPr>
              <w:pStyle w:val="TableText"/>
              <w:rPr>
                <w:b/>
                <w:bCs/>
                <w:szCs w:val="18"/>
              </w:rPr>
            </w:pPr>
            <w:r>
              <w:rPr>
                <w:b/>
                <w:bCs/>
                <w:noProof/>
              </w:rPr>
              <mc:AlternateContent>
                <mc:Choice Requires="wps">
                  <w:drawing>
                    <wp:anchor distT="0" distB="0" distL="114300" distR="114300" simplePos="0" relativeHeight="251641344" behindDoc="0" locked="0" layoutInCell="1" allowOverlap="1" wp14:anchorId="55F16A2C" wp14:editId="47857785">
                      <wp:simplePos x="0" y="0"/>
                      <wp:positionH relativeFrom="column">
                        <wp:posOffset>457200</wp:posOffset>
                      </wp:positionH>
                      <wp:positionV relativeFrom="paragraph">
                        <wp:posOffset>65405</wp:posOffset>
                      </wp:positionV>
                      <wp:extent cx="3200400" cy="0"/>
                      <wp:effectExtent l="9525" t="17780" r="9525" b="10795"/>
                      <wp:wrapNone/>
                      <wp:docPr id="487" name="Line 903" descr="P4240C10T4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A8A12" id="Line 903" o:spid="_x0000_s1026" alt="&quot;&quot;"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e+Q1y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610024A0" w14:textId="77777777" w:rsidR="002A21AE" w:rsidRDefault="002A21AE">
            <w:pPr>
              <w:pStyle w:val="NotesText"/>
            </w:pPr>
          </w:p>
          <w:p w14:paraId="5D89E87D" w14:textId="77777777" w:rsidR="002A21AE" w:rsidRDefault="002A21AE">
            <w:pPr>
              <w:pStyle w:val="NotesText"/>
            </w:pPr>
            <w:r>
              <w:rPr>
                <w:rFonts w:cs="Arial"/>
                <w:vanish/>
              </w:rPr>
              <w:t xml:space="preserve">BR_26.22 </w:t>
            </w:r>
            <w:r>
              <w:t xml:space="preserve">VBECS stores the date and time for the original unit when it is modified. The </w:t>
            </w:r>
            <w:r w:rsidR="00600F6F">
              <w:t xml:space="preserve">modification </w:t>
            </w:r>
            <w:r>
              <w:t>date and time are also stored as the creation time for the target unit</w:t>
            </w:r>
            <w:r w:rsidR="00071143">
              <w:t xml:space="preserve"> for splits and pools only</w:t>
            </w:r>
            <w:r>
              <w:t>.</w:t>
            </w:r>
          </w:p>
          <w:p w14:paraId="0EA8DF80" w14:textId="77777777" w:rsidR="002A21AE" w:rsidRDefault="002A21AE">
            <w:pPr>
              <w:pStyle w:val="NotesText"/>
            </w:pPr>
          </w:p>
          <w:p w14:paraId="7F92EE0A" w14:textId="77777777" w:rsidR="002A21AE" w:rsidRDefault="002A21AE">
            <w:pPr>
              <w:pStyle w:val="NotesText"/>
            </w:pPr>
            <w:r>
              <w:rPr>
                <w:rFonts w:cs="Arial"/>
                <w:vanish/>
              </w:rPr>
              <w:t xml:space="preserve">BR_26.37 </w:t>
            </w:r>
            <w:r>
              <w:t>When the modification method is “Open” or “Sterile Connection Device (SCD),” the user must select a container supply type. When the modification method is “Closed,” VBECS does not allow the user to select a container supply type.</w:t>
            </w:r>
          </w:p>
          <w:p w14:paraId="42C2ECD8" w14:textId="77777777" w:rsidR="002A21AE" w:rsidRDefault="002A21AE">
            <w:pPr>
              <w:pStyle w:val="NotesText"/>
            </w:pPr>
          </w:p>
          <w:p w14:paraId="4B04F402" w14:textId="77777777" w:rsidR="002A21AE" w:rsidRDefault="002A21AE">
            <w:pPr>
              <w:pStyle w:val="NotesText"/>
            </w:pPr>
            <w:r>
              <w:rPr>
                <w:rFonts w:cs="Arial"/>
                <w:vanish/>
              </w:rPr>
              <w:t xml:space="preserve">BR_26.30 </w:t>
            </w:r>
            <w:r>
              <w:t>For an SCD modification method, the user must indicate the completeness of the weld</w:t>
            </w:r>
            <w:r w:rsidR="00725E6E">
              <w:t>, in accordance with local policy and procedures. VBECS defines weld status</w:t>
            </w:r>
            <w:r w:rsidR="007E2543">
              <w:t xml:space="preserve"> as</w:t>
            </w:r>
            <w:r>
              <w:t xml:space="preserve">: </w:t>
            </w:r>
          </w:p>
          <w:p w14:paraId="1811CCE4" w14:textId="77777777" w:rsidR="00396A5D" w:rsidRDefault="002A21AE" w:rsidP="00396A5D">
            <w:pPr>
              <w:pStyle w:val="NotesTextBullet"/>
            </w:pPr>
            <w:r>
              <w:t>Complete: the weld is complete and has no leakage or air bubbles.</w:t>
            </w:r>
          </w:p>
          <w:p w14:paraId="7DEE0A56" w14:textId="77777777" w:rsidR="002A21AE" w:rsidRDefault="002A21AE" w:rsidP="00396A5D">
            <w:pPr>
              <w:pStyle w:val="NotesTextBullet"/>
            </w:pPr>
            <w:r>
              <w:t>Incomplete: the weld has a leak or air bubbles are present.</w:t>
            </w:r>
            <w:r w:rsidR="00396A5D">
              <w:t xml:space="preserve"> </w:t>
            </w:r>
            <w:r>
              <w:t xml:space="preserve">VBECS changes the expiration date and time of the unit to those of an open system for that product type. VBECS stores this weld check with the </w:t>
            </w:r>
            <w:r w:rsidR="0051757B">
              <w:t>historic</w:t>
            </w:r>
            <w:r>
              <w:t xml:space="preserve"> record of the target unit created in the modification.</w:t>
            </w:r>
          </w:p>
          <w:p w14:paraId="300F7855" w14:textId="77777777" w:rsidR="0039034C" w:rsidRDefault="0039034C" w:rsidP="004E2963">
            <w:pPr>
              <w:pStyle w:val="NotesText"/>
            </w:pPr>
            <w:r>
              <w:t>The system store</w:t>
            </w:r>
            <w:r w:rsidR="004E2963">
              <w:t>s</w:t>
            </w:r>
            <w:r>
              <w:t xml:space="preserve"> this weld check with the longitudinal record of the target unit </w:t>
            </w:r>
            <w:r w:rsidR="004E2963">
              <w:t>created</w:t>
            </w:r>
            <w:r>
              <w:t>.</w:t>
            </w:r>
          </w:p>
        </w:tc>
      </w:tr>
      <w:tr w:rsidR="002A21AE" w14:paraId="2AFDE545" w14:textId="77777777">
        <w:tc>
          <w:tcPr>
            <w:tcW w:w="3240" w:type="dxa"/>
          </w:tcPr>
          <w:p w14:paraId="6F751A83" w14:textId="77777777" w:rsidR="002A21AE" w:rsidRDefault="00764A64">
            <w:pPr>
              <w:pStyle w:val="TableTextNumbers"/>
            </w:pPr>
            <w:r>
              <w:t xml:space="preserve">Click </w:t>
            </w:r>
            <w:r w:rsidRPr="00764A64">
              <w:rPr>
                <w:b/>
              </w:rPr>
              <w:t>OK</w:t>
            </w:r>
            <w:r>
              <w:t xml:space="preserve"> to a</w:t>
            </w:r>
            <w:r w:rsidR="002A21AE">
              <w:t xml:space="preserve">ccept </w:t>
            </w:r>
            <w:r w:rsidR="00403743">
              <w:t>the selected method</w:t>
            </w:r>
            <w:r>
              <w:t xml:space="preserve">, </w:t>
            </w:r>
            <w:r w:rsidR="002A21AE">
              <w:t xml:space="preserve">or edit </w:t>
            </w:r>
            <w:r>
              <w:t>it</w:t>
            </w:r>
            <w:r w:rsidR="002A21AE">
              <w:t>.</w:t>
            </w:r>
          </w:p>
        </w:tc>
        <w:tc>
          <w:tcPr>
            <w:tcW w:w="6120" w:type="dxa"/>
          </w:tcPr>
          <w:p w14:paraId="7A871357" w14:textId="77777777" w:rsidR="002A21AE" w:rsidRDefault="002A21AE">
            <w:pPr>
              <w:pStyle w:val="TableTextBullet"/>
            </w:pPr>
            <w:r>
              <w:t>Allows the user to scan, enter, or select units to modify.</w:t>
            </w:r>
          </w:p>
        </w:tc>
      </w:tr>
      <w:tr w:rsidR="002A21AE" w14:paraId="51C12A53" w14:textId="77777777" w:rsidTr="001A459B">
        <w:trPr>
          <w:cantSplit/>
        </w:trPr>
        <w:tc>
          <w:tcPr>
            <w:tcW w:w="3240" w:type="dxa"/>
          </w:tcPr>
          <w:p w14:paraId="69515ADC" w14:textId="77777777" w:rsidR="002A21AE" w:rsidRDefault="002A21AE">
            <w:pPr>
              <w:pStyle w:val="TableTextNumbers"/>
            </w:pPr>
            <w:r>
              <w:lastRenderedPageBreak/>
              <w:t>Scan, enter, or select the ID and product code of the unit to be modified.</w:t>
            </w:r>
          </w:p>
        </w:tc>
        <w:tc>
          <w:tcPr>
            <w:tcW w:w="6120" w:type="dxa"/>
          </w:tcPr>
          <w:p w14:paraId="71179F1B" w14:textId="77777777" w:rsidR="002A21AE" w:rsidRDefault="002A21AE">
            <w:pPr>
              <w:pStyle w:val="TableTextBullet"/>
            </w:pPr>
            <w:r>
              <w:t>Displays current data for the selected unit.</w:t>
            </w:r>
          </w:p>
          <w:p w14:paraId="323FD24F" w14:textId="77777777" w:rsidR="002A21AE" w:rsidRDefault="002A21AE">
            <w:pPr>
              <w:pStyle w:val="TableTextBullet"/>
            </w:pPr>
            <w:r>
              <w:t>Verifies the appropriateness of the selected unit based on system rules and truth tables and displays error and warning messages based on the modification type selected and the user’s security level.</w:t>
            </w:r>
          </w:p>
          <w:p w14:paraId="5573F225" w14:textId="77777777" w:rsidR="002A21AE" w:rsidRDefault="002A21AE">
            <w:pPr>
              <w:pStyle w:val="TableTextBullet"/>
            </w:pPr>
            <w:r>
              <w:t>Prompts the user to continue with the selected unit or select a new unit based on the data in the review window.</w:t>
            </w:r>
          </w:p>
          <w:p w14:paraId="5C1D604A" w14:textId="77777777" w:rsidR="002A21AE" w:rsidRDefault="002A21AE">
            <w:pPr>
              <w:pStyle w:val="TableText"/>
            </w:pPr>
          </w:p>
          <w:p w14:paraId="6E03D178" w14:textId="77777777" w:rsidR="002A21AE" w:rsidRDefault="00057948">
            <w:pPr>
              <w:pStyle w:val="TableText"/>
              <w:rPr>
                <w:b/>
                <w:bCs/>
                <w:szCs w:val="18"/>
              </w:rPr>
            </w:pPr>
            <w:r>
              <w:rPr>
                <w:b/>
                <w:bCs/>
                <w:noProof/>
              </w:rPr>
              <mc:AlternateContent>
                <mc:Choice Requires="wps">
                  <w:drawing>
                    <wp:anchor distT="0" distB="0" distL="114300" distR="114300" simplePos="0" relativeHeight="251615744" behindDoc="0" locked="0" layoutInCell="1" allowOverlap="1" wp14:anchorId="23DB9FC6" wp14:editId="6646FFB5">
                      <wp:simplePos x="0" y="0"/>
                      <wp:positionH relativeFrom="column">
                        <wp:posOffset>457200</wp:posOffset>
                      </wp:positionH>
                      <wp:positionV relativeFrom="paragraph">
                        <wp:posOffset>65405</wp:posOffset>
                      </wp:positionV>
                      <wp:extent cx="3200400" cy="0"/>
                      <wp:effectExtent l="9525" t="17780" r="9525" b="10795"/>
                      <wp:wrapNone/>
                      <wp:docPr id="486" name="Line 896" descr="P4259C14T4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6B66CE" id="Line 896" o:spid="_x0000_s1026" alt="&quot;&quot;"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OF9gm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2387D996" w14:textId="77777777" w:rsidR="002A21AE" w:rsidRDefault="002A21AE">
            <w:pPr>
              <w:pStyle w:val="NotesText"/>
            </w:pPr>
          </w:p>
          <w:p w14:paraId="2DB32609" w14:textId="77777777" w:rsidR="002A21AE" w:rsidRDefault="002A21AE">
            <w:pPr>
              <w:pStyle w:val="NotesText"/>
            </w:pPr>
            <w:r>
              <w:rPr>
                <w:rFonts w:cs="Arial"/>
                <w:vanish/>
              </w:rPr>
              <w:t xml:space="preserve">BR_26.43 </w:t>
            </w:r>
            <w:r w:rsidR="0039034C" w:rsidRPr="00CF3A1F">
              <w:rPr>
                <w:rFonts w:cs="Arial"/>
              </w:rPr>
              <w:t>The modification</w:t>
            </w:r>
            <w:r w:rsidR="0039034C">
              <w:rPr>
                <w:rFonts w:cs="Arial"/>
              </w:rPr>
              <w:t xml:space="preserve"> types</w:t>
            </w:r>
            <w:r w:rsidR="0039034C" w:rsidRPr="00CF3A1F">
              <w:rPr>
                <w:rFonts w:cs="Arial"/>
              </w:rPr>
              <w:t xml:space="preserve"> are </w:t>
            </w:r>
            <w:r w:rsidR="0039034C">
              <w:rPr>
                <w:rFonts w:cs="Arial"/>
              </w:rPr>
              <w:t>presented in the</w:t>
            </w:r>
            <w:r w:rsidR="00F14DF3">
              <w:rPr>
                <w:rFonts w:cs="Arial"/>
              </w:rPr>
              <w:t xml:space="preserve"> sort order displayed</w:t>
            </w:r>
            <w:r w:rsidR="0039034C">
              <w:rPr>
                <w:rFonts w:cs="Arial"/>
              </w:rPr>
              <w:t xml:space="preserve"> followed by </w:t>
            </w:r>
            <w:r w:rsidR="0039034C" w:rsidRPr="009E0726">
              <w:rPr>
                <w:rFonts w:cs="Arial"/>
              </w:rPr>
              <w:t>Add/Remove Units from Pool</w:t>
            </w:r>
            <w:r w:rsidR="0039034C">
              <w:rPr>
                <w:rFonts w:cs="Arial"/>
              </w:rPr>
              <w:t>.</w:t>
            </w:r>
          </w:p>
          <w:p w14:paraId="4CC6F93E" w14:textId="77777777" w:rsidR="002A21AE" w:rsidRDefault="002A21AE">
            <w:pPr>
              <w:pStyle w:val="NotesText"/>
            </w:pPr>
          </w:p>
          <w:p w14:paraId="08548E6D" w14:textId="0A6028E9" w:rsidR="002A21AE" w:rsidRDefault="002A21AE">
            <w:pPr>
              <w:pStyle w:val="NotesText"/>
            </w:pPr>
            <w:r>
              <w:t xml:space="preserve">See </w:t>
            </w:r>
            <w:r w:rsidR="00543DAF">
              <w:fldChar w:fldCharType="begin" w:fldLock="1"/>
            </w:r>
            <w:r w:rsidR="00543DAF">
              <w:instrText xml:space="preserve"> REF _Ref170004931 \h </w:instrText>
            </w:r>
            <w:r w:rsidR="00543DAF">
              <w:fldChar w:fldCharType="separate"/>
            </w:r>
            <w:r w:rsidR="00AB304C">
              <w:t xml:space="preserve">Appendix </w:t>
            </w:r>
            <w:r w:rsidR="00AB304C">
              <w:rPr>
                <w:noProof/>
              </w:rPr>
              <w:t>B</w:t>
            </w:r>
            <w:r w:rsidR="00543DAF">
              <w:fldChar w:fldCharType="end"/>
            </w:r>
            <w:r>
              <w:t xml:space="preserve">: </w:t>
            </w:r>
            <w:r w:rsidR="00771DBD">
              <w:fldChar w:fldCharType="begin" w:fldLock="1"/>
            </w:r>
            <w:r w:rsidR="00771DBD">
              <w:instrText xml:space="preserve"> REF _Ref126485019 \h </w:instrText>
            </w:r>
            <w:r w:rsidR="00771DBD">
              <w:fldChar w:fldCharType="separate"/>
            </w:r>
            <w:r w:rsidR="00AB304C">
              <w:t xml:space="preserve">Table </w:t>
            </w:r>
            <w:r w:rsidR="00AB304C">
              <w:rPr>
                <w:noProof/>
              </w:rPr>
              <w:t>22</w:t>
            </w:r>
            <w:r w:rsidR="00AB304C">
              <w:t xml:space="preserve">: </w:t>
            </w:r>
            <w:r w:rsidR="00AB304C">
              <w:rPr>
                <w:vanish/>
              </w:rPr>
              <w:t xml:space="preserve">TT_26.02A </w:t>
            </w:r>
            <w:r w:rsidR="00AB304C">
              <w:t>Allowable Product Modifications by Original Product Type</w:t>
            </w:r>
            <w:r w:rsidR="00771DBD">
              <w:fldChar w:fldCharType="end"/>
            </w:r>
            <w:r>
              <w:t>.</w:t>
            </w:r>
          </w:p>
          <w:p w14:paraId="2EE8A957" w14:textId="77777777" w:rsidR="002A21AE" w:rsidRDefault="002A21AE">
            <w:pPr>
              <w:pStyle w:val="NotesText"/>
            </w:pPr>
          </w:p>
          <w:p w14:paraId="2EB53BDC" w14:textId="77777777" w:rsidR="00B00DEF" w:rsidRDefault="00B00DEF" w:rsidP="00B00DEF">
            <w:pPr>
              <w:pStyle w:val="NotesText"/>
            </w:pPr>
            <w:r>
              <w:rPr>
                <w:rFonts w:cs="Arial"/>
                <w:vanish/>
              </w:rPr>
              <w:t xml:space="preserve">BR_5.03 </w:t>
            </w:r>
            <w:r>
              <w:t xml:space="preserve">The user may select only active units and those not in an inactive or final status. </w:t>
            </w:r>
          </w:p>
          <w:p w14:paraId="79C624CF" w14:textId="77777777" w:rsidR="002A21AE" w:rsidRDefault="002A21AE">
            <w:pPr>
              <w:pStyle w:val="NotesText"/>
            </w:pPr>
          </w:p>
          <w:p w14:paraId="417F1AC0" w14:textId="77777777" w:rsidR="002A21AE" w:rsidRDefault="002A21AE">
            <w:pPr>
              <w:pStyle w:val="NotesText"/>
            </w:pPr>
            <w:r w:rsidRPr="00636659">
              <w:rPr>
                <w:rFonts w:cs="Arial"/>
                <w:vanish/>
                <w:color w:val="0000FF"/>
              </w:rPr>
              <w:t>BR_26.33</w:t>
            </w:r>
            <w:r>
              <w:rPr>
                <w:rFonts w:cs="Arial"/>
                <w:vanish/>
              </w:rPr>
              <w:t xml:space="preserve"> </w:t>
            </w:r>
            <w:r>
              <w:t>When the user selects a status other than “limited,” “available,” “assigned,” or “crossmatched” for an original unit, VBECS warns the user. There is no override.</w:t>
            </w:r>
          </w:p>
          <w:p w14:paraId="443213D6" w14:textId="77777777" w:rsidR="002A21AE" w:rsidRDefault="002A21AE">
            <w:pPr>
              <w:pStyle w:val="NotesText"/>
            </w:pPr>
          </w:p>
          <w:p w14:paraId="502FDBA6" w14:textId="77777777" w:rsidR="002A21AE" w:rsidRDefault="002A21AE">
            <w:pPr>
              <w:pStyle w:val="NotesText"/>
            </w:pPr>
            <w:r w:rsidRPr="00FD2A6F">
              <w:rPr>
                <w:rFonts w:cs="Arial"/>
                <w:vanish/>
                <w:color w:val="0000FF"/>
              </w:rPr>
              <w:t>BR_26.36</w:t>
            </w:r>
            <w:r>
              <w:rPr>
                <w:rFonts w:cs="Arial"/>
                <w:vanish/>
              </w:rPr>
              <w:t xml:space="preserve"> </w:t>
            </w:r>
            <w:r>
              <w:t>When the selected unit is not appropriate for the modification type selected, VBECS warns the user and instructs him to verify the selected unit and modification type. There is no override. When the unit is expired or quarantined, VBECS displays an error message.</w:t>
            </w:r>
          </w:p>
          <w:p w14:paraId="570A4027" w14:textId="77777777" w:rsidR="002A21AE" w:rsidRDefault="002A21AE">
            <w:pPr>
              <w:pStyle w:val="NotesText"/>
            </w:pPr>
          </w:p>
          <w:p w14:paraId="3F4BF1A2" w14:textId="77777777" w:rsidR="002A21AE" w:rsidRDefault="002A21AE">
            <w:pPr>
              <w:pStyle w:val="NotesText"/>
            </w:pPr>
            <w:r>
              <w:rPr>
                <w:rFonts w:cs="Arial"/>
                <w:vanish/>
              </w:rPr>
              <w:t xml:space="preserve">BR_26.09 </w:t>
            </w:r>
            <w:r>
              <w:t>The user may select units containing red blood cells chosen for rejuvenation within three full days past their labeled expiration date. (For example, when a unit’s expiration date is the current day, VBECS counts this day as “day 0,” the next day as “day 1,” etc. The last acceptable date and time for selection is day 3 at 23:59). After this three-day period, VBECS considers the unit to be expired.</w:t>
            </w:r>
          </w:p>
          <w:p w14:paraId="5F81A90B" w14:textId="77777777" w:rsidR="002A21AE" w:rsidRDefault="002A21AE">
            <w:pPr>
              <w:pStyle w:val="NotesText"/>
            </w:pPr>
          </w:p>
          <w:p w14:paraId="0C3EF8FF" w14:textId="77777777" w:rsidR="002A21AE" w:rsidRDefault="002A21AE">
            <w:pPr>
              <w:pStyle w:val="NotesText"/>
            </w:pPr>
            <w:r>
              <w:rPr>
                <w:rFonts w:cs="Arial"/>
                <w:vanish/>
              </w:rPr>
              <w:t xml:space="preserve">BR_26.41 </w:t>
            </w:r>
            <w:r>
              <w:t>When the modification type is “volume reduce,” VBECS records the discarded plasma volume on the unit record. Otherwise, the user may not edit the Discarded Plasma Volume field. The discarded plasma volume may not be “0” (zero).</w:t>
            </w:r>
          </w:p>
          <w:p w14:paraId="66E2F4A0" w14:textId="77777777" w:rsidR="008847B8" w:rsidRDefault="008847B8">
            <w:pPr>
              <w:pStyle w:val="NotesText"/>
            </w:pPr>
          </w:p>
          <w:p w14:paraId="2BCF7B7D" w14:textId="3A8C5E31" w:rsidR="002A21AE" w:rsidRDefault="002A21AE" w:rsidP="006A576D">
            <w:pPr>
              <w:pStyle w:val="NotesText"/>
            </w:pPr>
            <w:r w:rsidRPr="00896F17">
              <w:rPr>
                <w:rStyle w:val="BullhornChar"/>
              </w:rPr>
              <w:t></w:t>
            </w:r>
            <w:r w:rsidR="00C51C45" w:rsidRPr="00C51C45">
              <w:t xml:space="preserve"> </w:t>
            </w:r>
            <w:r>
              <w:t xml:space="preserve">See </w:t>
            </w:r>
            <w:r w:rsidR="006A576D">
              <w:fldChar w:fldCharType="begin" w:fldLock="1"/>
            </w:r>
            <w:r w:rsidR="006A576D">
              <w:instrText xml:space="preserve"> REF _Ref509898996 \h </w:instrText>
            </w:r>
            <w:r w:rsidR="006A576D">
              <w:fldChar w:fldCharType="separate"/>
            </w:r>
            <w:r w:rsidR="00AB304C">
              <w:t xml:space="preserve">Table </w:t>
            </w:r>
            <w:r w:rsidR="00AB304C">
              <w:rPr>
                <w:noProof/>
              </w:rPr>
              <w:t>5</w:t>
            </w:r>
            <w:r w:rsidR="006A576D">
              <w:fldChar w:fldCharType="end"/>
            </w:r>
            <w:r w:rsidR="006A576D">
              <w:t xml:space="preserve"> </w:t>
            </w:r>
            <w:r>
              <w:t>for alerts that may occur during this option.</w:t>
            </w:r>
          </w:p>
        </w:tc>
      </w:tr>
      <w:tr w:rsidR="002A21AE" w14:paraId="3CC50B97" w14:textId="77777777">
        <w:tc>
          <w:tcPr>
            <w:tcW w:w="3240" w:type="dxa"/>
          </w:tcPr>
          <w:p w14:paraId="7A8189AA" w14:textId="77777777" w:rsidR="002A21AE" w:rsidRDefault="00764A64">
            <w:pPr>
              <w:pStyle w:val="TableTextNumbers"/>
            </w:pPr>
            <w:r>
              <w:t xml:space="preserve">Click </w:t>
            </w:r>
            <w:r w:rsidRPr="00764A64">
              <w:rPr>
                <w:b/>
              </w:rPr>
              <w:t>OK</w:t>
            </w:r>
            <w:r>
              <w:t xml:space="preserve"> to accept </w:t>
            </w:r>
            <w:r w:rsidR="002A21AE">
              <w:t xml:space="preserve">the unit for modification. </w:t>
            </w:r>
          </w:p>
        </w:tc>
        <w:tc>
          <w:tcPr>
            <w:tcW w:w="6120" w:type="dxa"/>
          </w:tcPr>
          <w:p w14:paraId="568B44F4" w14:textId="77777777" w:rsidR="002A21AE" w:rsidRDefault="002A21AE">
            <w:pPr>
              <w:pStyle w:val="TableTextBullet"/>
            </w:pPr>
            <w:r>
              <w:t xml:space="preserve">When the modification type is “thaw” or “irradiate,” </w:t>
            </w:r>
            <w:r w:rsidR="00971715">
              <w:t>allows</w:t>
            </w:r>
            <w:r>
              <w:t xml:space="preserve"> the user to select additional units to process or to continue processing the selected units. Otherwise, go to Step 8.</w:t>
            </w:r>
          </w:p>
          <w:p w14:paraId="37E12AC5" w14:textId="77777777" w:rsidR="002A21AE" w:rsidRDefault="002A21AE">
            <w:pPr>
              <w:pStyle w:val="TableText"/>
            </w:pPr>
          </w:p>
          <w:p w14:paraId="54329125" w14:textId="77777777" w:rsidR="002A21AE" w:rsidRDefault="00057948">
            <w:pPr>
              <w:pStyle w:val="TableText"/>
              <w:rPr>
                <w:b/>
                <w:bCs/>
                <w:szCs w:val="18"/>
              </w:rPr>
            </w:pPr>
            <w:r>
              <w:rPr>
                <w:b/>
                <w:bCs/>
                <w:noProof/>
              </w:rPr>
              <mc:AlternateContent>
                <mc:Choice Requires="wps">
                  <w:drawing>
                    <wp:anchor distT="0" distB="0" distL="114300" distR="114300" simplePos="0" relativeHeight="251618816" behindDoc="0" locked="0" layoutInCell="1" allowOverlap="1" wp14:anchorId="30E39C27" wp14:editId="4CCCAD27">
                      <wp:simplePos x="0" y="0"/>
                      <wp:positionH relativeFrom="column">
                        <wp:posOffset>457200</wp:posOffset>
                      </wp:positionH>
                      <wp:positionV relativeFrom="paragraph">
                        <wp:posOffset>65405</wp:posOffset>
                      </wp:positionV>
                      <wp:extent cx="3200400" cy="0"/>
                      <wp:effectExtent l="9525" t="17780" r="9525" b="10795"/>
                      <wp:wrapNone/>
                      <wp:docPr id="485" name="Line 897" descr="P4280C16T4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8EF57" id="Line 897" o:spid="_x0000_s1026" alt="&quot;&quot;"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kI3mL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32F72085" w14:textId="77777777" w:rsidR="002A21AE" w:rsidRDefault="002A21AE">
            <w:pPr>
              <w:pStyle w:val="NotesText"/>
            </w:pPr>
          </w:p>
          <w:p w14:paraId="4DA74D41" w14:textId="77777777" w:rsidR="002A21AE" w:rsidRDefault="002A21AE">
            <w:pPr>
              <w:pStyle w:val="NotesText"/>
            </w:pPr>
            <w:r>
              <w:rPr>
                <w:rFonts w:cs="Arial"/>
                <w:vanish/>
              </w:rPr>
              <w:t xml:space="preserve">BR_26.02 </w:t>
            </w:r>
            <w:r>
              <w:t>The user may process multiple products in a batch when the units are thawed or irradiated. The creation date and time apply to all units in the batch.</w:t>
            </w:r>
          </w:p>
          <w:p w14:paraId="264BA6A2" w14:textId="77777777" w:rsidR="003C1A05" w:rsidRDefault="003C1A05">
            <w:pPr>
              <w:pStyle w:val="NotesText"/>
            </w:pPr>
          </w:p>
          <w:p w14:paraId="3F445D88" w14:textId="77777777" w:rsidR="003C1A05" w:rsidRDefault="003C1A05" w:rsidP="003C1A05">
            <w:pPr>
              <w:pStyle w:val="NotesText"/>
            </w:pPr>
            <w:r w:rsidRPr="003C1A05">
              <w:rPr>
                <w:vanish/>
              </w:rPr>
              <w:t xml:space="preserve">BR_29.04 </w:t>
            </w:r>
            <w:r w:rsidR="000A126F">
              <w:t>VBECS</w:t>
            </w:r>
            <w:r>
              <w:t xml:space="preserve"> record</w:t>
            </w:r>
            <w:r w:rsidR="000A126F">
              <w:t xml:space="preserve">s the </w:t>
            </w:r>
            <w:r>
              <w:t>codes/costs assigned or unassigned with a date/time stam</w:t>
            </w:r>
            <w:r w:rsidR="000A126F">
              <w:t xml:space="preserve">p and the user ID and </w:t>
            </w:r>
            <w:r>
              <w:t>user name on any reports of the person creating the update.</w:t>
            </w:r>
          </w:p>
        </w:tc>
      </w:tr>
      <w:tr w:rsidR="002A21AE" w14:paraId="4A948136" w14:textId="77777777">
        <w:tc>
          <w:tcPr>
            <w:tcW w:w="3240" w:type="dxa"/>
          </w:tcPr>
          <w:p w14:paraId="6E5A69E2" w14:textId="77777777" w:rsidR="002A21AE" w:rsidRDefault="00764A64">
            <w:pPr>
              <w:pStyle w:val="TableTextNumbers"/>
            </w:pPr>
            <w:r>
              <w:lastRenderedPageBreak/>
              <w:t xml:space="preserve">Click the </w:t>
            </w:r>
            <w:r w:rsidRPr="00764A64">
              <w:rPr>
                <w:b/>
              </w:rPr>
              <w:t>Weld Complete</w:t>
            </w:r>
            <w:r>
              <w:t xml:space="preserve"> or </w:t>
            </w:r>
            <w:r w:rsidRPr="00764A64">
              <w:rPr>
                <w:b/>
              </w:rPr>
              <w:t xml:space="preserve">Weld Incomplete </w:t>
            </w:r>
            <w:r w:rsidRPr="00BF2E41">
              <w:t>radio button</w:t>
            </w:r>
            <w:r>
              <w:t xml:space="preserve"> to i</w:t>
            </w:r>
            <w:r w:rsidR="002A21AE">
              <w:t>ndicate the integrity of the SCD weld, when indicated.</w:t>
            </w:r>
          </w:p>
          <w:p w14:paraId="1D9CEEA0" w14:textId="77777777" w:rsidR="002A21AE" w:rsidRDefault="002A21AE">
            <w:pPr>
              <w:pStyle w:val="TableTextNumbersContinued"/>
            </w:pPr>
          </w:p>
          <w:p w14:paraId="287B3CC7" w14:textId="52F285C7" w:rsidR="002A21AE" w:rsidRDefault="00F437F8">
            <w:pPr>
              <w:pStyle w:val="TableTextNumbersContinued"/>
            </w:pPr>
            <w:r>
              <w:t xml:space="preserve">Click the </w:t>
            </w:r>
            <w:r w:rsidRPr="007B7DEC">
              <w:rPr>
                <w:b/>
              </w:rPr>
              <w:t>Container</w:t>
            </w:r>
            <w:r>
              <w:t xml:space="preserve">, </w:t>
            </w:r>
            <w:r w:rsidRPr="00764A64">
              <w:rPr>
                <w:b/>
              </w:rPr>
              <w:t>Supplies</w:t>
            </w:r>
            <w:r w:rsidRPr="007B7DEC">
              <w:t>,</w:t>
            </w:r>
            <w:r w:rsidR="0023261D">
              <w:t xml:space="preserve"> </w:t>
            </w:r>
            <w:r w:rsidRPr="00764A64">
              <w:rPr>
                <w:b/>
              </w:rPr>
              <w:t>Equipment</w:t>
            </w:r>
            <w:r w:rsidRPr="007B7DEC">
              <w:t>, or</w:t>
            </w:r>
            <w:r>
              <w:rPr>
                <w:b/>
              </w:rPr>
              <w:t xml:space="preserve"> SCD Wafer</w:t>
            </w:r>
            <w:r w:rsidRPr="00764A64">
              <w:rPr>
                <w:b/>
              </w:rPr>
              <w:t xml:space="preserve"> </w:t>
            </w:r>
            <w:r w:rsidRPr="00CC3C89">
              <w:t>tab</w:t>
            </w:r>
            <w:r w:rsidR="00764A64" w:rsidRPr="00CC3C89">
              <w:t xml:space="preserve"> </w:t>
            </w:r>
            <w:r w:rsidR="00764A64">
              <w:t>and enter</w:t>
            </w:r>
            <w:r w:rsidR="002A21AE">
              <w:t xml:space="preserve"> </w:t>
            </w:r>
            <w:r w:rsidR="00764A64">
              <w:t>an</w:t>
            </w:r>
            <w:r w:rsidR="002A21AE">
              <w:t>other supply and</w:t>
            </w:r>
            <w:r w:rsidR="00764A64">
              <w:t>/</w:t>
            </w:r>
            <w:r w:rsidR="002A21AE">
              <w:t>or equipment lot or ID number</w:t>
            </w:r>
            <w:r w:rsidR="00443BD5">
              <w:t xml:space="preserve"> (</w:t>
            </w:r>
            <w:r w:rsidR="00443BD5">
              <w:fldChar w:fldCharType="begin" w:fldLock="1"/>
            </w:r>
            <w:r w:rsidR="00443BD5">
              <w:instrText xml:space="preserve"> REF _Ref126650409 \h </w:instrText>
            </w:r>
            <w:r w:rsidR="00443BD5">
              <w:fldChar w:fldCharType="separate"/>
            </w:r>
            <w:r w:rsidR="00AB304C">
              <w:t xml:space="preserve">Figure </w:t>
            </w:r>
            <w:r w:rsidR="00AB304C">
              <w:rPr>
                <w:noProof/>
              </w:rPr>
              <w:t>92</w:t>
            </w:r>
            <w:r w:rsidR="00443BD5">
              <w:fldChar w:fldCharType="end"/>
            </w:r>
            <w:r w:rsidR="00443BD5">
              <w:t>)</w:t>
            </w:r>
            <w:r w:rsidR="002A21AE">
              <w:t xml:space="preserve">. </w:t>
            </w:r>
          </w:p>
          <w:p w14:paraId="1AD7712B" w14:textId="77777777" w:rsidR="002A21AE" w:rsidRDefault="002A21AE">
            <w:pPr>
              <w:pStyle w:val="TableTextNumbers"/>
              <w:numPr>
                <w:ilvl w:val="0"/>
                <w:numId w:val="0"/>
              </w:numPr>
            </w:pPr>
          </w:p>
        </w:tc>
        <w:tc>
          <w:tcPr>
            <w:tcW w:w="6120" w:type="dxa"/>
          </w:tcPr>
          <w:p w14:paraId="561D2E0D" w14:textId="77777777" w:rsidR="002A21AE" w:rsidRDefault="002A21AE">
            <w:pPr>
              <w:pStyle w:val="TableTextBullet"/>
            </w:pPr>
            <w:r>
              <w:t>Calculates and displays a default expiration date and time of the target unit based on rules specific to the original blood product, the modification type, and processing conditions (open, closed); prompts the user to accept the date and time; and allows the user to edit them.</w:t>
            </w:r>
          </w:p>
          <w:p w14:paraId="387C81BD" w14:textId="77777777" w:rsidR="002A21AE" w:rsidRDefault="002A21AE">
            <w:pPr>
              <w:pStyle w:val="TableText"/>
            </w:pPr>
          </w:p>
          <w:p w14:paraId="1B8A0169" w14:textId="77777777" w:rsidR="002A21AE" w:rsidRDefault="00057948">
            <w:pPr>
              <w:pStyle w:val="TableText"/>
              <w:rPr>
                <w:b/>
                <w:bCs/>
                <w:szCs w:val="18"/>
              </w:rPr>
            </w:pPr>
            <w:r>
              <w:rPr>
                <w:b/>
                <w:bCs/>
                <w:noProof/>
              </w:rPr>
              <mc:AlternateContent>
                <mc:Choice Requires="wps">
                  <w:drawing>
                    <wp:anchor distT="0" distB="0" distL="114300" distR="114300" simplePos="0" relativeHeight="251635200" behindDoc="0" locked="0" layoutInCell="1" allowOverlap="1" wp14:anchorId="05C0FFF3" wp14:editId="631B884F">
                      <wp:simplePos x="0" y="0"/>
                      <wp:positionH relativeFrom="column">
                        <wp:posOffset>457200</wp:posOffset>
                      </wp:positionH>
                      <wp:positionV relativeFrom="paragraph">
                        <wp:posOffset>65405</wp:posOffset>
                      </wp:positionV>
                      <wp:extent cx="3200400" cy="0"/>
                      <wp:effectExtent l="9525" t="17780" r="9525" b="10795"/>
                      <wp:wrapNone/>
                      <wp:docPr id="484" name="Line 902" descr="P4292C18T4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8CAEE0" id="Line 902" o:spid="_x0000_s1026" alt="&quot;&quot;"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0zazf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1864D324" w14:textId="77777777" w:rsidR="002A21AE" w:rsidRDefault="002A21AE">
            <w:pPr>
              <w:pStyle w:val="NotesText"/>
            </w:pPr>
          </w:p>
          <w:p w14:paraId="6F04D62E" w14:textId="77777777" w:rsidR="002A21AE" w:rsidRDefault="002A21AE">
            <w:pPr>
              <w:pStyle w:val="NotesText"/>
            </w:pPr>
            <w:r>
              <w:rPr>
                <w:rFonts w:cs="Arial"/>
                <w:vanish/>
              </w:rPr>
              <w:t xml:space="preserve">BR_26.31 </w:t>
            </w:r>
            <w:r>
              <w:t xml:space="preserve">VBECS maintains lot and ID numbers entered, the new container lot number in the unit modification record, and the </w:t>
            </w:r>
            <w:r w:rsidR="0051757B">
              <w:t>historic</w:t>
            </w:r>
            <w:r>
              <w:t xml:space="preserve"> record of the target unit.</w:t>
            </w:r>
          </w:p>
          <w:p w14:paraId="27999534" w14:textId="77777777" w:rsidR="002A21AE" w:rsidRDefault="002A21AE">
            <w:pPr>
              <w:pStyle w:val="NotesText"/>
            </w:pPr>
          </w:p>
          <w:p w14:paraId="49FDB459" w14:textId="77777777" w:rsidR="002A21AE" w:rsidRDefault="002A21AE">
            <w:pPr>
              <w:pStyle w:val="NotesText"/>
            </w:pPr>
            <w:r w:rsidRPr="009174D5">
              <w:rPr>
                <w:rFonts w:cs="Arial"/>
                <w:vanish/>
              </w:rPr>
              <w:t>BR_26.45</w:t>
            </w:r>
            <w:r>
              <w:rPr>
                <w:rFonts w:cs="Arial"/>
                <w:vanish/>
              </w:rPr>
              <w:t xml:space="preserve"> </w:t>
            </w:r>
            <w:r>
              <w:t>VBECS checks the inventory system for the supply name, lot numbers, expiration date, and a quantity greater than “0” (zero). VBECS does not allow the user to select supplies with an “unsatisfactory” value in the Inspection field. When the user enters an unsatisfactory supply lot number, VBECS warns the user. The user must select a different supply item.</w:t>
            </w:r>
          </w:p>
          <w:p w14:paraId="24FC869C" w14:textId="77777777" w:rsidR="002A21AE" w:rsidRDefault="002A21AE">
            <w:pPr>
              <w:pStyle w:val="NotesText"/>
            </w:pPr>
          </w:p>
          <w:p w14:paraId="06C4E511" w14:textId="6FA87EF1" w:rsidR="002A21AE" w:rsidRDefault="00C51C45" w:rsidP="006A576D">
            <w:pPr>
              <w:pStyle w:val="NotesText"/>
            </w:pPr>
            <w:r w:rsidRPr="00896F17">
              <w:rPr>
                <w:rStyle w:val="BullhornChar"/>
              </w:rPr>
              <w:t></w:t>
            </w:r>
            <w:r w:rsidRPr="00C51C45">
              <w:t xml:space="preserve"> </w:t>
            </w:r>
            <w:r>
              <w:t>See</w:t>
            </w:r>
            <w:r w:rsidR="002A21AE">
              <w:t xml:space="preserve"> </w:t>
            </w:r>
            <w:r w:rsidR="006A576D">
              <w:fldChar w:fldCharType="begin" w:fldLock="1"/>
            </w:r>
            <w:r w:rsidR="006A576D">
              <w:instrText xml:space="preserve"> REF _Ref509898996 \h </w:instrText>
            </w:r>
            <w:r w:rsidR="006A576D">
              <w:fldChar w:fldCharType="separate"/>
            </w:r>
            <w:r w:rsidR="00AB304C">
              <w:t xml:space="preserve">Table </w:t>
            </w:r>
            <w:r w:rsidR="00AB304C">
              <w:rPr>
                <w:noProof/>
              </w:rPr>
              <w:t>5</w:t>
            </w:r>
            <w:r w:rsidR="006A576D">
              <w:fldChar w:fldCharType="end"/>
            </w:r>
            <w:r w:rsidR="006A576D">
              <w:t xml:space="preserve"> </w:t>
            </w:r>
            <w:r w:rsidR="002A21AE">
              <w:t>for alerts that may occur during this option.</w:t>
            </w:r>
          </w:p>
        </w:tc>
      </w:tr>
      <w:tr w:rsidR="002A21AE" w14:paraId="70C6A68C" w14:textId="77777777">
        <w:tc>
          <w:tcPr>
            <w:tcW w:w="3240" w:type="dxa"/>
          </w:tcPr>
          <w:p w14:paraId="3E2DCBC2" w14:textId="77777777" w:rsidR="002A21AE" w:rsidRDefault="002A21AE">
            <w:pPr>
              <w:pStyle w:val="TableTextNumbers"/>
            </w:pPr>
            <w:r>
              <w:t>Select</w:t>
            </w:r>
            <w:r w:rsidR="00764A64">
              <w:t xml:space="preserve"> a target product type from the drop-down list in the Product field.</w:t>
            </w:r>
          </w:p>
        </w:tc>
        <w:tc>
          <w:tcPr>
            <w:tcW w:w="6120" w:type="dxa"/>
          </w:tcPr>
          <w:p w14:paraId="7DEEB4D4" w14:textId="77777777" w:rsidR="002A21AE" w:rsidRDefault="002A21AE">
            <w:pPr>
              <w:pStyle w:val="TableTextBullet"/>
            </w:pPr>
            <w:r>
              <w:t xml:space="preserve">Displays target component types for the modification, conditions selected, and the original unit product type, and allows the user to select a single </w:t>
            </w:r>
            <w:r w:rsidR="00AF09D3">
              <w:t xml:space="preserve">product </w:t>
            </w:r>
            <w:r>
              <w:t>type.</w:t>
            </w:r>
          </w:p>
          <w:p w14:paraId="499C23AC" w14:textId="77777777" w:rsidR="002A21AE" w:rsidRDefault="002A21AE">
            <w:pPr>
              <w:pStyle w:val="TableTextBullet"/>
            </w:pPr>
            <w:r>
              <w:t>Verifies that an active target component was selected and warns the user.</w:t>
            </w:r>
          </w:p>
          <w:p w14:paraId="061164AA" w14:textId="77777777" w:rsidR="002A21AE" w:rsidRDefault="002A21AE">
            <w:pPr>
              <w:pStyle w:val="TableTextBullet"/>
            </w:pPr>
            <w:r>
              <w:t>Allows the user to enter lot and ID numbers (with auto-completion) or select multiple items from the supply and equipment lists.</w:t>
            </w:r>
          </w:p>
          <w:p w14:paraId="644F85CD" w14:textId="77777777" w:rsidR="002A21AE" w:rsidRDefault="002A21AE">
            <w:pPr>
              <w:pStyle w:val="TableTextBullet"/>
            </w:pPr>
            <w:r>
              <w:t>Warns that the target unit is not active and allows the user to activate the target component.</w:t>
            </w:r>
          </w:p>
          <w:p w14:paraId="59CD0494" w14:textId="77777777" w:rsidR="002A21AE" w:rsidRDefault="002A21AE">
            <w:pPr>
              <w:pStyle w:val="TableText"/>
            </w:pPr>
          </w:p>
          <w:p w14:paraId="29358C51" w14:textId="77777777" w:rsidR="002A21AE" w:rsidRDefault="00057948">
            <w:pPr>
              <w:pStyle w:val="TableText"/>
              <w:rPr>
                <w:b/>
                <w:bCs/>
                <w:szCs w:val="18"/>
              </w:rPr>
            </w:pPr>
            <w:r>
              <w:rPr>
                <w:b/>
                <w:bCs/>
                <w:noProof/>
              </w:rPr>
              <mc:AlternateContent>
                <mc:Choice Requires="wps">
                  <w:drawing>
                    <wp:anchor distT="0" distB="0" distL="114300" distR="114300" simplePos="0" relativeHeight="251623936" behindDoc="0" locked="0" layoutInCell="1" allowOverlap="1" wp14:anchorId="0759E674" wp14:editId="3249220E">
                      <wp:simplePos x="0" y="0"/>
                      <wp:positionH relativeFrom="column">
                        <wp:posOffset>457200</wp:posOffset>
                      </wp:positionH>
                      <wp:positionV relativeFrom="paragraph">
                        <wp:posOffset>65405</wp:posOffset>
                      </wp:positionV>
                      <wp:extent cx="3200400" cy="0"/>
                      <wp:effectExtent l="9525" t="17780" r="9525" b="10795"/>
                      <wp:wrapNone/>
                      <wp:docPr id="483" name="Line 898" descr="P4306C20T4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E4870" id="Line 898" o:spid="_x0000_s1026" alt="&quot;&quot;"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tDC6s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0654BE25" w14:textId="77777777" w:rsidR="002A21AE" w:rsidRDefault="002A21AE">
            <w:pPr>
              <w:pStyle w:val="NotesText"/>
            </w:pPr>
          </w:p>
          <w:p w14:paraId="7C0F4630" w14:textId="46AF144D" w:rsidR="002A21AE" w:rsidRDefault="002A21AE">
            <w:pPr>
              <w:pStyle w:val="NotesText"/>
            </w:pPr>
            <w:r>
              <w:rPr>
                <w:rFonts w:cs="Arial"/>
                <w:vanish/>
              </w:rPr>
              <w:t xml:space="preserve">BR_26.13 </w:t>
            </w:r>
            <w:r>
              <w:t xml:space="preserve">The user must select a modification method (open, closed, Sterile Connection Device) for modification types, as described in </w:t>
            </w:r>
            <w:r w:rsidR="00543DAF">
              <w:fldChar w:fldCharType="begin" w:fldLock="1"/>
            </w:r>
            <w:r w:rsidR="00543DAF">
              <w:instrText xml:space="preserve"> REF _Ref170004931 \h </w:instrText>
            </w:r>
            <w:r w:rsidR="00543DAF">
              <w:fldChar w:fldCharType="separate"/>
            </w:r>
            <w:r w:rsidR="00AB304C">
              <w:t xml:space="preserve">Appendix </w:t>
            </w:r>
            <w:r w:rsidR="00AB304C">
              <w:rPr>
                <w:noProof/>
              </w:rPr>
              <w:t>B</w:t>
            </w:r>
            <w:r w:rsidR="00543DAF">
              <w:fldChar w:fldCharType="end"/>
            </w:r>
            <w:r>
              <w:t xml:space="preserve">: </w:t>
            </w:r>
            <w:r w:rsidR="00771DBD">
              <w:fldChar w:fldCharType="begin" w:fldLock="1"/>
            </w:r>
            <w:r w:rsidR="00771DBD">
              <w:instrText xml:space="preserve"> REF _Ref126485828 \h </w:instrText>
            </w:r>
            <w:r w:rsidR="00771DBD">
              <w:fldChar w:fldCharType="separate"/>
            </w:r>
            <w:r w:rsidR="00AB304C">
              <w:t xml:space="preserve">Table </w:t>
            </w:r>
            <w:r w:rsidR="00AB304C">
              <w:rPr>
                <w:noProof/>
              </w:rPr>
              <w:t>22</w:t>
            </w:r>
            <w:r w:rsidR="00AB304C">
              <w:t xml:space="preserve">: </w:t>
            </w:r>
            <w:r w:rsidR="00AB304C">
              <w:rPr>
                <w:vanish/>
              </w:rPr>
              <w:t xml:space="preserve">TT_26.02A </w:t>
            </w:r>
            <w:r w:rsidR="00AB304C">
              <w:t>Allowable Product Modifications by Original Product Type</w:t>
            </w:r>
            <w:r w:rsidR="00771DBD">
              <w:fldChar w:fldCharType="end"/>
            </w:r>
            <w:r>
              <w:t>.</w:t>
            </w:r>
          </w:p>
          <w:p w14:paraId="71049AD7" w14:textId="77777777" w:rsidR="002A21AE" w:rsidRDefault="002A21AE">
            <w:pPr>
              <w:pStyle w:val="NotesText"/>
            </w:pPr>
          </w:p>
          <w:p w14:paraId="58B5309A" w14:textId="77777777" w:rsidR="002A21AE" w:rsidRDefault="002A21AE">
            <w:pPr>
              <w:pStyle w:val="NotesText"/>
            </w:pPr>
            <w:r>
              <w:rPr>
                <w:rFonts w:cs="Arial"/>
                <w:vanish/>
              </w:rPr>
              <w:t xml:space="preserve">BR_26.12 </w:t>
            </w:r>
            <w:r>
              <w:t>VBECS displays available target component types based on ISBT 128 modification rules and site parameters for the division.</w:t>
            </w:r>
            <w:r w:rsidR="00B15FBF">
              <w:t xml:space="preserve"> </w:t>
            </w:r>
            <w:r w:rsidR="00B15FBF" w:rsidRPr="00E14216">
              <w:t>When no target is found, VBECS indicates this to the user and prevents the modification from being saved.</w:t>
            </w:r>
          </w:p>
          <w:p w14:paraId="3A165F95" w14:textId="77777777" w:rsidR="002A21AE" w:rsidRDefault="002A21AE">
            <w:pPr>
              <w:pStyle w:val="NotesText"/>
            </w:pPr>
          </w:p>
          <w:p w14:paraId="075DB697" w14:textId="77777777" w:rsidR="002A21AE" w:rsidRDefault="002A21AE">
            <w:pPr>
              <w:pStyle w:val="NotesText"/>
            </w:pPr>
            <w:r>
              <w:rPr>
                <w:rFonts w:cs="Arial"/>
                <w:vanish/>
              </w:rPr>
              <w:t xml:space="preserve">BR_26.11 </w:t>
            </w:r>
            <w:r>
              <w:t>When the user selects a target component type not marked as active, VBECS warns the user, allows him to mark the target component as active, and returns him to this step in the modification process. Otherwise, VBECS returns the user to this step and allows him to select another target component type.</w:t>
            </w:r>
          </w:p>
          <w:p w14:paraId="31328211" w14:textId="77777777" w:rsidR="002A21AE" w:rsidRDefault="002A21AE">
            <w:pPr>
              <w:pStyle w:val="NotesText"/>
            </w:pPr>
          </w:p>
          <w:p w14:paraId="79B49D64" w14:textId="77777777" w:rsidR="002A21AE" w:rsidRDefault="002A21AE">
            <w:pPr>
              <w:pStyle w:val="NotesText"/>
            </w:pPr>
            <w:r>
              <w:rPr>
                <w:rFonts w:cs="Arial"/>
                <w:vanish/>
              </w:rPr>
              <w:t xml:space="preserve">BR_26.16 </w:t>
            </w:r>
            <w:r>
              <w:t>When the original unit type did not require ABO/Rh confirmation, the target unit</w:t>
            </w:r>
            <w:r w:rsidR="00004786">
              <w:t>, when created,</w:t>
            </w:r>
            <w:r>
              <w:t xml:space="preserve"> does not either. The target unit is immediately available for assignment, crossmatch, issue, or transfusion on completion of the modification. </w:t>
            </w:r>
          </w:p>
          <w:p w14:paraId="2106EFA7" w14:textId="77777777" w:rsidR="002A21AE" w:rsidRDefault="002A21AE">
            <w:pPr>
              <w:pStyle w:val="NotesText"/>
            </w:pPr>
          </w:p>
          <w:p w14:paraId="2224A9EB" w14:textId="77777777" w:rsidR="00B15FBF" w:rsidRPr="00B15FBF" w:rsidRDefault="00B15FBF" w:rsidP="00B15FBF">
            <w:pPr>
              <w:pStyle w:val="NotesText"/>
            </w:pPr>
            <w:r w:rsidRPr="00B15FBF">
              <w:rPr>
                <w:vanish/>
              </w:rPr>
              <w:t xml:space="preserve">BR_26.23 </w:t>
            </w:r>
            <w:r w:rsidRPr="00B15FBF">
              <w:t>When the original (parent) unit type required A</w:t>
            </w:r>
            <w:r>
              <w:t>BO/Rh confirmation</w:t>
            </w:r>
            <w:r w:rsidRPr="00B15FBF">
              <w:t xml:space="preserve">, the target (child) unit, when created, does too. </w:t>
            </w:r>
          </w:p>
          <w:p w14:paraId="73976473" w14:textId="77777777" w:rsidR="00B15FBF" w:rsidRPr="00A301B0" w:rsidRDefault="00B15FBF" w:rsidP="00B15FBF">
            <w:pPr>
              <w:pStyle w:val="TableText"/>
              <w:tabs>
                <w:tab w:val="left" w:pos="1526"/>
              </w:tabs>
              <w:ind w:left="36"/>
              <w:rPr>
                <w:rFonts w:cs="Arial"/>
                <w:szCs w:val="18"/>
              </w:rPr>
            </w:pPr>
          </w:p>
          <w:p w14:paraId="11F585F1" w14:textId="77777777" w:rsidR="00B15FBF" w:rsidRPr="00A301B0" w:rsidRDefault="00B15FBF" w:rsidP="00041E00">
            <w:pPr>
              <w:pStyle w:val="TableText"/>
              <w:numPr>
                <w:ilvl w:val="1"/>
                <w:numId w:val="74"/>
              </w:numPr>
              <w:tabs>
                <w:tab w:val="left" w:pos="252"/>
              </w:tabs>
              <w:ind w:left="1116" w:hanging="198"/>
              <w:rPr>
                <w:rFonts w:cs="Arial"/>
                <w:szCs w:val="18"/>
              </w:rPr>
            </w:pPr>
            <w:r w:rsidRPr="00A301B0">
              <w:rPr>
                <w:rFonts w:cs="Arial"/>
                <w:szCs w:val="18"/>
              </w:rPr>
              <w:lastRenderedPageBreak/>
              <w:t>If the target is not inheriting ABORh con</w:t>
            </w:r>
            <w:r>
              <w:rPr>
                <w:rFonts w:cs="Arial"/>
                <w:szCs w:val="18"/>
              </w:rPr>
              <w:t>firmation testing</w:t>
            </w:r>
            <w:r w:rsidRPr="00A301B0">
              <w:rPr>
                <w:rFonts w:cs="Arial"/>
                <w:szCs w:val="18"/>
              </w:rPr>
              <w:t>, then the target unit’s status is Limited.</w:t>
            </w:r>
          </w:p>
          <w:p w14:paraId="13203343" w14:textId="77777777" w:rsidR="00B15FBF" w:rsidRPr="00A301B0" w:rsidRDefault="00B15FBF" w:rsidP="00B15FBF">
            <w:pPr>
              <w:pStyle w:val="TableText"/>
              <w:tabs>
                <w:tab w:val="left" w:pos="1526"/>
              </w:tabs>
              <w:ind w:left="1116" w:hanging="198"/>
              <w:rPr>
                <w:rFonts w:cs="Arial"/>
                <w:szCs w:val="18"/>
              </w:rPr>
            </w:pPr>
          </w:p>
          <w:p w14:paraId="555B5A78" w14:textId="77777777" w:rsidR="00B15FBF" w:rsidRDefault="00B15FBF" w:rsidP="00041E00">
            <w:pPr>
              <w:pStyle w:val="TableText"/>
              <w:numPr>
                <w:ilvl w:val="1"/>
                <w:numId w:val="74"/>
              </w:numPr>
              <w:tabs>
                <w:tab w:val="left" w:pos="252"/>
              </w:tabs>
              <w:ind w:left="1116" w:hanging="198"/>
            </w:pPr>
            <w:r w:rsidRPr="00A301B0">
              <w:rPr>
                <w:rFonts w:cs="Arial"/>
                <w:szCs w:val="18"/>
              </w:rPr>
              <w:t>If the target is inheriting ABORh con</w:t>
            </w:r>
            <w:r>
              <w:rPr>
                <w:rFonts w:cs="Arial"/>
                <w:szCs w:val="18"/>
              </w:rPr>
              <w:t>firmation testing</w:t>
            </w:r>
            <w:r w:rsidRPr="00A301B0">
              <w:rPr>
                <w:rFonts w:cs="Arial"/>
                <w:szCs w:val="18"/>
              </w:rPr>
              <w:t>, then the target unit is immediately available for assignment, crossmatch, issuance, or transfusion upon completion of modification.</w:t>
            </w:r>
          </w:p>
          <w:p w14:paraId="2CAA9239" w14:textId="77777777" w:rsidR="002A21AE" w:rsidRDefault="002A21AE">
            <w:pPr>
              <w:pStyle w:val="NotesText"/>
            </w:pPr>
            <w:r>
              <w:tab/>
            </w:r>
          </w:p>
          <w:p w14:paraId="26B86C60" w14:textId="77777777" w:rsidR="002A21AE" w:rsidRDefault="002A21AE">
            <w:pPr>
              <w:pStyle w:val="NotesText"/>
            </w:pPr>
            <w:r w:rsidRPr="003F0C14">
              <w:rPr>
                <w:rFonts w:cs="Arial"/>
                <w:vanish/>
                <w:color w:val="0000FF"/>
              </w:rPr>
              <w:t>BR_26.25</w:t>
            </w:r>
            <w:r>
              <w:rPr>
                <w:rFonts w:cs="Arial"/>
                <w:vanish/>
              </w:rPr>
              <w:t xml:space="preserve"> </w:t>
            </w:r>
            <w:r>
              <w:t xml:space="preserve">When the original unit is assigned or crossmatched to a patient at the time of modification, VBECS notifies the user and asks whether he wishes to automatically assign the modified units to the patient. </w:t>
            </w:r>
            <w:r>
              <w:rPr>
                <w:b/>
              </w:rPr>
              <w:t>Yes</w:t>
            </w:r>
            <w:r>
              <w:t xml:space="preserve"> (default) applies the unit’s assignment or crossmatch data to the target component. </w:t>
            </w:r>
            <w:r>
              <w:rPr>
                <w:b/>
              </w:rPr>
              <w:t>No</w:t>
            </w:r>
            <w:r>
              <w:t xml:space="preserve"> does not apply the assignment to the target, and changes the target unit status to “available.” The original unit </w:t>
            </w:r>
            <w:r w:rsidR="006212E6">
              <w:t>retains patient assignment</w:t>
            </w:r>
            <w:r w:rsidR="00AA6C54">
              <w:t xml:space="preserve"> </w:t>
            </w:r>
            <w:r>
              <w:t>in both cases.</w:t>
            </w:r>
          </w:p>
          <w:p w14:paraId="0C226649" w14:textId="77777777" w:rsidR="00C26FA7" w:rsidRDefault="00C26FA7">
            <w:pPr>
              <w:pStyle w:val="NotesText"/>
            </w:pPr>
          </w:p>
          <w:p w14:paraId="1EBAB5F8" w14:textId="77777777" w:rsidR="00C26FA7" w:rsidRDefault="00C26FA7">
            <w:pPr>
              <w:pStyle w:val="NotesText"/>
              <w:rPr>
                <w:rFonts w:cs="Arial"/>
                <w:szCs w:val="18"/>
              </w:rPr>
            </w:pPr>
            <w:r>
              <w:rPr>
                <w:rFonts w:cs="Arial"/>
                <w:vanish/>
                <w:szCs w:val="18"/>
              </w:rPr>
              <w:t>BR_26.58</w:t>
            </w:r>
            <w:r w:rsidRPr="00C26FA7">
              <w:rPr>
                <w:rFonts w:cs="Arial"/>
                <w:vanish/>
                <w:szCs w:val="18"/>
              </w:rPr>
              <w:t xml:space="preserve"> </w:t>
            </w:r>
            <w:r>
              <w:rPr>
                <w:rFonts w:cs="Arial"/>
                <w:szCs w:val="18"/>
              </w:rPr>
              <w:t>The user may select the target product code from available targets by scanning.</w:t>
            </w:r>
          </w:p>
          <w:p w14:paraId="0C0D02BE" w14:textId="5FC1FA58" w:rsidR="002A21AE" w:rsidRDefault="002A21AE" w:rsidP="000C5084">
            <w:pPr>
              <w:pStyle w:val="NotesText"/>
              <w:ind w:left="0"/>
            </w:pPr>
          </w:p>
          <w:p w14:paraId="6A2EF3FC" w14:textId="77777777" w:rsidR="00B448CE" w:rsidRDefault="00562516" w:rsidP="00032278">
            <w:pPr>
              <w:pStyle w:val="NotesText"/>
            </w:pPr>
            <w:r w:rsidRPr="00562516">
              <w:rPr>
                <w:vanish/>
              </w:rPr>
              <w:t xml:space="preserve">BR_26.49 </w:t>
            </w:r>
            <w:r w:rsidRPr="00F02C5D">
              <w:t xml:space="preserve">When the Blood Group (V0076) attribute </w:t>
            </w:r>
            <w:r>
              <w:t>group</w:t>
            </w:r>
            <w:r w:rsidRPr="00F02C5D">
              <w:t>, is present in the original it is required in the target</w:t>
            </w:r>
            <w:r w:rsidR="000A126F">
              <w:t xml:space="preserve"> but is not used by VBECS</w:t>
            </w:r>
            <w:r w:rsidRPr="00F02C5D">
              <w:t>.</w:t>
            </w:r>
          </w:p>
          <w:p w14:paraId="2652F6E5" w14:textId="77777777" w:rsidR="00B448CE" w:rsidRDefault="00B448CE" w:rsidP="00032278">
            <w:pPr>
              <w:pStyle w:val="NotesText"/>
            </w:pPr>
          </w:p>
          <w:p w14:paraId="57D67BB1" w14:textId="77777777" w:rsidR="00B448CE" w:rsidRDefault="00B448CE" w:rsidP="00B448CE">
            <w:pPr>
              <w:pStyle w:val="NotesText"/>
            </w:pPr>
            <w:r w:rsidRPr="00B448CE">
              <w:rPr>
                <w:vanish/>
              </w:rPr>
              <w:t xml:space="preserve">BR_26.57 </w:t>
            </w:r>
            <w:r>
              <w:t xml:space="preserve">When a unit is modified, the processing fee as set in </w:t>
            </w:r>
            <w:r w:rsidR="000A126F">
              <w:t>Configure Division</w:t>
            </w:r>
            <w:r>
              <w:t xml:space="preserve"> is added to the cost of a modified unit target.</w:t>
            </w:r>
          </w:p>
          <w:p w14:paraId="5A542099" w14:textId="77777777" w:rsidR="00B448CE" w:rsidRDefault="00B448CE" w:rsidP="00B448CE">
            <w:pPr>
              <w:pStyle w:val="NotesText"/>
            </w:pPr>
            <w:r>
              <w:t>When split, the processing fee is divided and a portion is added to each target unit.</w:t>
            </w:r>
          </w:p>
          <w:p w14:paraId="68736B9D" w14:textId="77777777" w:rsidR="00E1658C" w:rsidRDefault="00E1658C" w:rsidP="00B448CE">
            <w:pPr>
              <w:pStyle w:val="NotesText"/>
            </w:pPr>
          </w:p>
          <w:p w14:paraId="2EF464AA" w14:textId="0C21EA9D" w:rsidR="002A21AE" w:rsidRDefault="00C51C45" w:rsidP="006A576D">
            <w:pPr>
              <w:pStyle w:val="NotesText"/>
            </w:pPr>
            <w:r w:rsidRPr="00896F17">
              <w:rPr>
                <w:rStyle w:val="BullhornChar"/>
              </w:rPr>
              <w:t></w:t>
            </w:r>
            <w:r w:rsidRPr="00C51C45">
              <w:t xml:space="preserve"> </w:t>
            </w:r>
            <w:r>
              <w:t>See</w:t>
            </w:r>
            <w:r w:rsidR="002A21AE">
              <w:t xml:space="preserve"> </w:t>
            </w:r>
            <w:r w:rsidR="006A576D">
              <w:fldChar w:fldCharType="begin" w:fldLock="1"/>
            </w:r>
            <w:r w:rsidR="006A576D">
              <w:instrText xml:space="preserve"> REF _Ref509898996 \h </w:instrText>
            </w:r>
            <w:r w:rsidR="006A576D">
              <w:fldChar w:fldCharType="separate"/>
            </w:r>
            <w:r w:rsidR="00AB304C">
              <w:t xml:space="preserve">Table </w:t>
            </w:r>
            <w:r w:rsidR="00AB304C">
              <w:rPr>
                <w:noProof/>
              </w:rPr>
              <w:t>5</w:t>
            </w:r>
            <w:r w:rsidR="006A576D">
              <w:fldChar w:fldCharType="end"/>
            </w:r>
            <w:r w:rsidR="006A576D">
              <w:t xml:space="preserve"> </w:t>
            </w:r>
            <w:r w:rsidR="002A21AE">
              <w:t>for alerts that may occur during this option.</w:t>
            </w:r>
          </w:p>
        </w:tc>
      </w:tr>
      <w:tr w:rsidR="002A21AE" w14:paraId="7146408D" w14:textId="77777777">
        <w:tc>
          <w:tcPr>
            <w:tcW w:w="3240" w:type="dxa"/>
          </w:tcPr>
          <w:p w14:paraId="0FF02C11" w14:textId="77777777" w:rsidR="002A21AE" w:rsidRDefault="00C239D1" w:rsidP="00C239D1">
            <w:pPr>
              <w:pStyle w:val="TableTextNumbers"/>
            </w:pPr>
            <w:r>
              <w:lastRenderedPageBreak/>
              <w:t>Accept or edit</w:t>
            </w:r>
            <w:r w:rsidR="00A77D1F">
              <w:t xml:space="preserve"> the</w:t>
            </w:r>
            <w:r w:rsidR="002A21AE">
              <w:t xml:space="preserve"> expiration date.</w:t>
            </w:r>
          </w:p>
        </w:tc>
        <w:tc>
          <w:tcPr>
            <w:tcW w:w="6120" w:type="dxa"/>
          </w:tcPr>
          <w:p w14:paraId="0BD74E89" w14:textId="77777777" w:rsidR="002A21AE" w:rsidRDefault="002A21AE">
            <w:pPr>
              <w:pStyle w:val="TableTextBullet"/>
            </w:pPr>
            <w:r>
              <w:t>Verifies the validity of the expiration date and warns the user, if indicated.</w:t>
            </w:r>
          </w:p>
          <w:p w14:paraId="5DECA6C0" w14:textId="77777777" w:rsidR="002A21AE" w:rsidRDefault="002A21AE">
            <w:pPr>
              <w:pStyle w:val="TableText"/>
            </w:pPr>
          </w:p>
          <w:p w14:paraId="5AC5EA71" w14:textId="77777777" w:rsidR="002A21AE" w:rsidRDefault="00057948">
            <w:pPr>
              <w:pStyle w:val="TableText"/>
              <w:rPr>
                <w:b/>
                <w:bCs/>
                <w:szCs w:val="18"/>
              </w:rPr>
            </w:pPr>
            <w:r>
              <w:rPr>
                <w:b/>
                <w:bCs/>
                <w:noProof/>
              </w:rPr>
              <mc:AlternateContent>
                <mc:Choice Requires="wps">
                  <w:drawing>
                    <wp:anchor distT="0" distB="0" distL="114300" distR="114300" simplePos="0" relativeHeight="251627008" behindDoc="0" locked="0" layoutInCell="1" allowOverlap="1" wp14:anchorId="2BA4C9C9" wp14:editId="3AAC4762">
                      <wp:simplePos x="0" y="0"/>
                      <wp:positionH relativeFrom="column">
                        <wp:posOffset>457200</wp:posOffset>
                      </wp:positionH>
                      <wp:positionV relativeFrom="paragraph">
                        <wp:posOffset>65405</wp:posOffset>
                      </wp:positionV>
                      <wp:extent cx="3200400" cy="0"/>
                      <wp:effectExtent l="9525" t="17780" r="9525" b="10795"/>
                      <wp:wrapNone/>
                      <wp:docPr id="482" name="Line 899" descr="P4336C22T4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F35AA" id="Line 899" o:spid="_x0000_s1026" alt="&quot;&quot;"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VPBb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1A98AF1C" w14:textId="71007535" w:rsidR="002A21AE" w:rsidRDefault="002A21AE" w:rsidP="003D61DB">
            <w:pPr>
              <w:pStyle w:val="NotesText"/>
              <w:ind w:left="0"/>
            </w:pPr>
          </w:p>
          <w:p w14:paraId="6E829258" w14:textId="77777777" w:rsidR="00B448CE" w:rsidRPr="00B448CE" w:rsidRDefault="00B448CE" w:rsidP="00B448CE">
            <w:pPr>
              <w:pStyle w:val="NotesText"/>
            </w:pPr>
            <w:r w:rsidRPr="00B448CE">
              <w:rPr>
                <w:vanish/>
              </w:rPr>
              <w:t xml:space="preserve">BR_26.20 </w:t>
            </w:r>
            <w:r>
              <w:t>VBECS</w:t>
            </w:r>
            <w:r w:rsidRPr="00B448CE">
              <w:t xml:space="preserve"> calculate</w:t>
            </w:r>
            <w:r>
              <w:t>s</w:t>
            </w:r>
            <w:r w:rsidRPr="00B448CE">
              <w:t xml:space="preserve"> an expiration date for the target component type and the system integrity (Open or Closed).</w:t>
            </w:r>
          </w:p>
          <w:p w14:paraId="22353D9F" w14:textId="77777777" w:rsidR="00B448CE" w:rsidRPr="00B448CE" w:rsidRDefault="00B448CE" w:rsidP="00B448CE">
            <w:pPr>
              <w:pStyle w:val="NotesText"/>
            </w:pPr>
            <w:r w:rsidRPr="00B448CE">
              <w:t>The system will calculate an expiration date for the target component based</w:t>
            </w:r>
            <w:r>
              <w:t xml:space="preserve"> on the following. (Due to the nature of the process, the calculated expiration date will greatly exceed the original expiration date of the original unit for Rejuvenate and Freeze, and will supersede the unit’s original expiration date.)</w:t>
            </w:r>
          </w:p>
          <w:p w14:paraId="6F89B5C8" w14:textId="77777777" w:rsidR="00B448CE" w:rsidRPr="007B53AE" w:rsidRDefault="00B448CE" w:rsidP="00B448CE">
            <w:pPr>
              <w:pStyle w:val="StyleTableText9ptChar"/>
              <w:rPr>
                <w:rFonts w:cs="Arial"/>
              </w:rPr>
            </w:pPr>
          </w:p>
          <w:p w14:paraId="110F9C44" w14:textId="77777777" w:rsidR="00B448CE" w:rsidRPr="007B53AE" w:rsidRDefault="00B448CE" w:rsidP="00B448CE">
            <w:pPr>
              <w:pStyle w:val="CommentText"/>
              <w:rPr>
                <w:rFonts w:ascii="Arial" w:hAnsi="Arial" w:cs="Arial"/>
                <w:sz w:val="18"/>
                <w:szCs w:val="18"/>
              </w:rPr>
            </w:pPr>
            <w:r w:rsidRPr="007B53AE">
              <w:rPr>
                <w:rFonts w:ascii="Arial" w:hAnsi="Arial" w:cs="Arial"/>
                <w:sz w:val="18"/>
                <w:szCs w:val="18"/>
              </w:rPr>
              <w:t>Expiration Date is the shortest of:</w:t>
            </w:r>
          </w:p>
          <w:p w14:paraId="1EEA91AE" w14:textId="4DF6F712" w:rsidR="00B448CE" w:rsidRDefault="00B448CE" w:rsidP="00041E00">
            <w:pPr>
              <w:pStyle w:val="CommentText"/>
              <w:numPr>
                <w:ilvl w:val="0"/>
                <w:numId w:val="76"/>
              </w:numPr>
              <w:ind w:left="1080"/>
              <w:rPr>
                <w:rFonts w:ascii="Arial" w:hAnsi="Arial" w:cs="Arial"/>
                <w:sz w:val="18"/>
                <w:szCs w:val="18"/>
              </w:rPr>
            </w:pPr>
            <w:r w:rsidRPr="007B53AE">
              <w:rPr>
                <w:rFonts w:ascii="Arial" w:hAnsi="Arial" w:cs="Arial"/>
                <w:sz w:val="18"/>
                <w:szCs w:val="18"/>
              </w:rPr>
              <w:t>Original unit’s expiration date/time (For Rejuv</w:t>
            </w:r>
            <w:r>
              <w:rPr>
                <w:rFonts w:ascii="Arial" w:hAnsi="Arial" w:cs="Arial"/>
                <w:sz w:val="18"/>
                <w:szCs w:val="18"/>
              </w:rPr>
              <w:t>enate and Freeze</w:t>
            </w:r>
            <w:r w:rsidRPr="007B53AE">
              <w:rPr>
                <w:rFonts w:ascii="Arial" w:hAnsi="Arial" w:cs="Arial"/>
                <w:sz w:val="18"/>
                <w:szCs w:val="18"/>
              </w:rPr>
              <w:t>, the Original unit’s expiration is not factored in the calculation)</w:t>
            </w:r>
          </w:p>
          <w:p w14:paraId="16715727" w14:textId="0BF28041" w:rsidR="008E2CB0" w:rsidRDefault="008E2CB0" w:rsidP="00041E00">
            <w:pPr>
              <w:pStyle w:val="CommentText"/>
              <w:numPr>
                <w:ilvl w:val="0"/>
                <w:numId w:val="76"/>
              </w:numPr>
              <w:ind w:left="1080"/>
              <w:rPr>
                <w:rFonts w:ascii="Arial" w:hAnsi="Arial" w:cs="Arial"/>
                <w:sz w:val="18"/>
                <w:szCs w:val="18"/>
              </w:rPr>
            </w:pPr>
            <w:r>
              <w:rPr>
                <w:rFonts w:ascii="Arial" w:hAnsi="Arial" w:cs="Arial"/>
                <w:sz w:val="18"/>
                <w:szCs w:val="18"/>
              </w:rPr>
              <w:t>If Expiration hours is &gt; 0, the Modification date/time + Expiration hours**</w:t>
            </w:r>
          </w:p>
          <w:p w14:paraId="472E6289" w14:textId="77777777" w:rsidR="00B448CE" w:rsidRDefault="008E2CB0" w:rsidP="00041E00">
            <w:pPr>
              <w:pStyle w:val="CommentText"/>
              <w:numPr>
                <w:ilvl w:val="0"/>
                <w:numId w:val="76"/>
              </w:numPr>
              <w:ind w:left="1080"/>
              <w:rPr>
                <w:rFonts w:ascii="Arial" w:hAnsi="Arial" w:cs="Arial"/>
                <w:sz w:val="18"/>
                <w:szCs w:val="18"/>
              </w:rPr>
            </w:pPr>
            <w:r>
              <w:rPr>
                <w:rFonts w:ascii="Arial" w:hAnsi="Arial" w:cs="Arial"/>
                <w:sz w:val="18"/>
                <w:szCs w:val="18"/>
              </w:rPr>
              <w:t>Modification date/time + Target blood product’s maximum storage time (MST)**</w:t>
            </w:r>
          </w:p>
          <w:p w14:paraId="04A1B8AC" w14:textId="77777777" w:rsidR="008E2CB0" w:rsidRDefault="008E2CB0" w:rsidP="008E2CB0">
            <w:pPr>
              <w:pStyle w:val="CommentText"/>
              <w:tabs>
                <w:tab w:val="clear" w:pos="1080"/>
              </w:tabs>
              <w:rPr>
                <w:rFonts w:ascii="Arial" w:hAnsi="Arial" w:cs="Arial"/>
                <w:sz w:val="18"/>
                <w:szCs w:val="18"/>
              </w:rPr>
            </w:pPr>
          </w:p>
          <w:p w14:paraId="5E43FCCE" w14:textId="2958DA5B" w:rsidR="008E2CB0" w:rsidRPr="008E2CB0" w:rsidRDefault="008E2CB0" w:rsidP="008E2CB0">
            <w:pPr>
              <w:pStyle w:val="CommentText"/>
              <w:tabs>
                <w:tab w:val="clear" w:pos="1080"/>
              </w:tabs>
              <w:rPr>
                <w:rFonts w:ascii="Arial" w:hAnsi="Arial" w:cs="Arial"/>
                <w:sz w:val="18"/>
                <w:szCs w:val="18"/>
              </w:rPr>
            </w:pPr>
            <w:r>
              <w:rPr>
                <w:rFonts w:ascii="Arial" w:hAnsi="Arial"/>
                <w:sz w:val="18"/>
                <w:szCs w:val="24"/>
              </w:rPr>
              <w:t xml:space="preserve">    </w:t>
            </w:r>
            <w:r w:rsidRPr="008E2CB0">
              <w:rPr>
                <w:rFonts w:ascii="Arial" w:hAnsi="Arial"/>
                <w:sz w:val="18"/>
                <w:szCs w:val="24"/>
              </w:rPr>
              <w:t>**If Expiration hours or Target blood product’s MST is greater than (&gt;) 24 hours: divide the hours by 24 to get the number of days (no rounding); add the number of days to the Modification date/time and the time will be 23:59.</w:t>
            </w:r>
          </w:p>
        </w:tc>
      </w:tr>
      <w:tr w:rsidR="002A21AE" w14:paraId="0ABE9EC8" w14:textId="77777777">
        <w:tc>
          <w:tcPr>
            <w:tcW w:w="3240" w:type="dxa"/>
          </w:tcPr>
          <w:p w14:paraId="2F2759A2" w14:textId="77777777" w:rsidR="002A21AE" w:rsidRDefault="002A21AE">
            <w:pPr>
              <w:pStyle w:val="TableTextNumbers"/>
            </w:pPr>
            <w:r>
              <w:lastRenderedPageBreak/>
              <w:t xml:space="preserve">Review the displayed unit data and </w:t>
            </w:r>
            <w:r w:rsidR="00A77D1F">
              <w:t xml:space="preserve">click </w:t>
            </w:r>
            <w:r w:rsidR="00A77D1F" w:rsidRPr="00A77D1F">
              <w:rPr>
                <w:b/>
              </w:rPr>
              <w:t>OK</w:t>
            </w:r>
            <w:r w:rsidR="00A77D1F">
              <w:t xml:space="preserve"> to </w:t>
            </w:r>
            <w:r>
              <w:t>confirm the modification.</w:t>
            </w:r>
          </w:p>
          <w:p w14:paraId="13A671CC" w14:textId="77777777" w:rsidR="00A77D1F" w:rsidRDefault="00A77D1F" w:rsidP="00A77D1F">
            <w:pPr>
              <w:pStyle w:val="TableTextNumbersContinued"/>
            </w:pPr>
          </w:p>
          <w:p w14:paraId="73685FB2" w14:textId="58F0C1A5" w:rsidR="00A77D1F" w:rsidRDefault="00C239D1" w:rsidP="00A77D1F">
            <w:pPr>
              <w:pStyle w:val="TableTextNumbersContinued"/>
            </w:pPr>
            <w:r>
              <w:t>If the unit has been relabeled, c</w:t>
            </w:r>
            <w:r w:rsidR="00A77D1F">
              <w:t xml:space="preserve">lick </w:t>
            </w:r>
            <w:r w:rsidR="00A77D1F" w:rsidRPr="00A77D1F">
              <w:rPr>
                <w:b/>
              </w:rPr>
              <w:t>Yes</w:t>
            </w:r>
            <w:r w:rsidR="00A77D1F">
              <w:t xml:space="preserve"> to verify the label</w:t>
            </w:r>
            <w:r>
              <w:t xml:space="preserve"> </w:t>
            </w:r>
            <w:r w:rsidR="00F331EC">
              <w:t>(</w:t>
            </w:r>
            <w:r w:rsidR="00051E30">
              <w:fldChar w:fldCharType="begin" w:fldLock="1"/>
            </w:r>
            <w:r w:rsidR="00051E30">
              <w:instrText xml:space="preserve"> REF _Ref126650852 \h </w:instrText>
            </w:r>
            <w:r w:rsidR="00051E30">
              <w:fldChar w:fldCharType="separate"/>
            </w:r>
            <w:r w:rsidR="00AB304C">
              <w:t xml:space="preserve">Figure </w:t>
            </w:r>
            <w:r w:rsidR="00AB304C">
              <w:rPr>
                <w:noProof/>
              </w:rPr>
              <w:t>93</w:t>
            </w:r>
            <w:r w:rsidR="00051E30">
              <w:fldChar w:fldCharType="end"/>
            </w:r>
            <w:r w:rsidR="00F331EC">
              <w:t>)</w:t>
            </w:r>
            <w:r w:rsidR="00A77D1F">
              <w:t>.</w:t>
            </w:r>
          </w:p>
          <w:p w14:paraId="062C1F89" w14:textId="77777777" w:rsidR="0014066B" w:rsidRDefault="0014066B" w:rsidP="00A77D1F">
            <w:pPr>
              <w:pStyle w:val="TableTextNumbersContinued"/>
            </w:pPr>
          </w:p>
          <w:p w14:paraId="65C28596" w14:textId="77777777" w:rsidR="0014066B" w:rsidRDefault="0014066B" w:rsidP="00A77D1F">
            <w:pPr>
              <w:pStyle w:val="TableTextNumbersContinued"/>
            </w:pPr>
            <w:r>
              <w:t xml:space="preserve">Click </w:t>
            </w:r>
            <w:r w:rsidRPr="0014066B">
              <w:rPr>
                <w:b/>
              </w:rPr>
              <w:t>No</w:t>
            </w:r>
            <w:r>
              <w:t xml:space="preserve"> to cancel and continue at Step 14.</w:t>
            </w:r>
          </w:p>
        </w:tc>
        <w:tc>
          <w:tcPr>
            <w:tcW w:w="6120" w:type="dxa"/>
          </w:tcPr>
          <w:p w14:paraId="728BBBE2" w14:textId="77777777" w:rsidR="005D32B0" w:rsidRDefault="005D32B0" w:rsidP="005D32B0">
            <w:pPr>
              <w:pStyle w:val="TableTextBullet"/>
            </w:pPr>
            <w:r>
              <w:t>When the original unit is currently assigned to a patient, notifies the user and asks whether he wishes to transfer the status to the target un</w:t>
            </w:r>
            <w:r w:rsidR="00E1658C">
              <w:t>it.</w:t>
            </w:r>
          </w:p>
          <w:p w14:paraId="75B3B89F" w14:textId="77777777" w:rsidR="002A21AE" w:rsidRDefault="002A21AE">
            <w:pPr>
              <w:pStyle w:val="NotesText"/>
            </w:pPr>
          </w:p>
        </w:tc>
      </w:tr>
      <w:tr w:rsidR="002A21AE" w14:paraId="649CEFE7" w14:textId="77777777">
        <w:tc>
          <w:tcPr>
            <w:tcW w:w="3240" w:type="dxa"/>
          </w:tcPr>
          <w:p w14:paraId="4DDE0B3D" w14:textId="77777777" w:rsidR="002A21AE" w:rsidRDefault="00A77D1F">
            <w:pPr>
              <w:pStyle w:val="TableTextNumbers"/>
            </w:pPr>
            <w:r>
              <w:t>Scan the label barcodes to v</w:t>
            </w:r>
            <w:r w:rsidR="002A21AE">
              <w:t>erify the target labels, based on local practice and labeling type of the modified unit.</w:t>
            </w:r>
          </w:p>
          <w:p w14:paraId="5A61FFEC" w14:textId="77777777" w:rsidR="00A77D1F" w:rsidRDefault="00A77D1F" w:rsidP="00A77D1F">
            <w:pPr>
              <w:pStyle w:val="TableTextNumbersContinued"/>
            </w:pPr>
          </w:p>
          <w:p w14:paraId="7CA3D5A0" w14:textId="77777777" w:rsidR="00A77D1F" w:rsidRDefault="00A77D1F" w:rsidP="00A77D1F">
            <w:pPr>
              <w:pStyle w:val="TableTextNumbersContinued"/>
            </w:pPr>
            <w:r>
              <w:t>Enter a comment to complete the verification.</w:t>
            </w:r>
            <w:r w:rsidR="00403743">
              <w:t xml:space="preserve"> (This step is optional.)</w:t>
            </w:r>
          </w:p>
        </w:tc>
        <w:tc>
          <w:tcPr>
            <w:tcW w:w="6120" w:type="dxa"/>
          </w:tcPr>
          <w:p w14:paraId="3447539C" w14:textId="77777777" w:rsidR="002A21AE" w:rsidRDefault="002A21AE">
            <w:pPr>
              <w:pStyle w:val="TableTextBullet"/>
            </w:pPr>
            <w:r>
              <w:t>Displays the label verification window.</w:t>
            </w:r>
          </w:p>
          <w:p w14:paraId="2F5F6482" w14:textId="77777777" w:rsidR="00A77D1F" w:rsidRDefault="00A77D1F">
            <w:pPr>
              <w:pStyle w:val="TableTextBullet"/>
            </w:pPr>
            <w:r>
              <w:t>Indicates whether the scanned barcodes match those in the label.</w:t>
            </w:r>
          </w:p>
          <w:p w14:paraId="799FAB16" w14:textId="77777777" w:rsidR="00403743" w:rsidRDefault="00403743" w:rsidP="00403743">
            <w:pPr>
              <w:pStyle w:val="TableTextBullet"/>
              <w:tabs>
                <w:tab w:val="num" w:pos="360"/>
              </w:tabs>
            </w:pPr>
            <w:r>
              <w:t xml:space="preserve">For each target created, system prompts user to indicate readiness to verify the labeling of the modified product. </w:t>
            </w:r>
          </w:p>
          <w:p w14:paraId="7D735F5A" w14:textId="77777777" w:rsidR="00403743" w:rsidRDefault="00403743" w:rsidP="00403743">
            <w:pPr>
              <w:pStyle w:val="TableTextBullet"/>
              <w:tabs>
                <w:tab w:val="num" w:pos="360"/>
              </w:tabs>
            </w:pPr>
            <w:r>
              <w:t>No new labels applied to modified product. Proceed to save the unit.</w:t>
            </w:r>
          </w:p>
          <w:p w14:paraId="4E1E0358" w14:textId="77777777" w:rsidR="00403743" w:rsidRDefault="00403743" w:rsidP="00403743">
            <w:pPr>
              <w:pStyle w:val="TableTextBullet"/>
              <w:tabs>
                <w:tab w:val="num" w:pos="360"/>
              </w:tabs>
            </w:pPr>
            <w:r>
              <w:t>Displays a screen to accommodate data entry of the modified unit’s:</w:t>
            </w:r>
          </w:p>
          <w:p w14:paraId="7073265A" w14:textId="77777777" w:rsidR="00403743" w:rsidRDefault="00403743" w:rsidP="00403743">
            <w:pPr>
              <w:pStyle w:val="TableTextBullet1"/>
              <w:tabs>
                <w:tab w:val="clear" w:pos="576"/>
                <w:tab w:val="num" w:pos="288"/>
              </w:tabs>
            </w:pPr>
            <w:r>
              <w:t>ABO/Rh</w:t>
            </w:r>
          </w:p>
          <w:p w14:paraId="0C932D4E" w14:textId="77777777" w:rsidR="00403743" w:rsidRDefault="00403743" w:rsidP="00403743">
            <w:pPr>
              <w:pStyle w:val="TableTextBullet1"/>
              <w:tabs>
                <w:tab w:val="clear" w:pos="576"/>
                <w:tab w:val="num" w:pos="288"/>
              </w:tabs>
            </w:pPr>
            <w:r>
              <w:t>Product Code</w:t>
            </w:r>
          </w:p>
          <w:p w14:paraId="053DBE50" w14:textId="77777777" w:rsidR="00403743" w:rsidRDefault="00403743" w:rsidP="00403743">
            <w:pPr>
              <w:pStyle w:val="TableTextBullet1"/>
              <w:tabs>
                <w:tab w:val="clear" w:pos="576"/>
                <w:tab w:val="num" w:pos="288"/>
              </w:tabs>
            </w:pPr>
            <w:r>
              <w:t>Expiration Date</w:t>
            </w:r>
          </w:p>
          <w:p w14:paraId="2CBAC6A6" w14:textId="77777777" w:rsidR="00403743" w:rsidRDefault="00403743" w:rsidP="00403743">
            <w:pPr>
              <w:pStyle w:val="TableTextBullet"/>
              <w:tabs>
                <w:tab w:val="num" w:pos="360"/>
              </w:tabs>
            </w:pPr>
            <w:r>
              <w:t>This step repeats until all targets have been labeled and/or are ready for continued processing.</w:t>
            </w:r>
          </w:p>
          <w:p w14:paraId="1463A201" w14:textId="77777777" w:rsidR="00403743" w:rsidRDefault="00403743" w:rsidP="00403743">
            <w:pPr>
              <w:pStyle w:val="TableText"/>
            </w:pPr>
          </w:p>
          <w:p w14:paraId="4D4AAFB8" w14:textId="77777777" w:rsidR="00403743" w:rsidRDefault="00057948" w:rsidP="00403743">
            <w:pPr>
              <w:pStyle w:val="TableText"/>
              <w:rPr>
                <w:b/>
                <w:bCs/>
                <w:szCs w:val="18"/>
              </w:rPr>
            </w:pPr>
            <w:r>
              <w:rPr>
                <w:b/>
                <w:bCs/>
                <w:noProof/>
              </w:rPr>
              <mc:AlternateContent>
                <mc:Choice Requires="wps">
                  <w:drawing>
                    <wp:anchor distT="0" distB="0" distL="114300" distR="114300" simplePos="0" relativeHeight="251825664" behindDoc="0" locked="0" layoutInCell="1" allowOverlap="1" wp14:anchorId="3D21A0F3" wp14:editId="7E3B3B56">
                      <wp:simplePos x="0" y="0"/>
                      <wp:positionH relativeFrom="column">
                        <wp:posOffset>457200</wp:posOffset>
                      </wp:positionH>
                      <wp:positionV relativeFrom="paragraph">
                        <wp:posOffset>65405</wp:posOffset>
                      </wp:positionV>
                      <wp:extent cx="3200400" cy="0"/>
                      <wp:effectExtent l="9525" t="17780" r="9525" b="10795"/>
                      <wp:wrapNone/>
                      <wp:docPr id="481" name="Line 1018" descr="P4369C26T4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47828" id="Line 1018" o:spid="_x0000_s1026" alt="&quot;&quot;" style="position:absolute;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Omz0X7EAQAAbwMAAA4AAAAAAAAAAAAAAAAA&#10;LgIAAGRycy9lMm9Eb2MueG1sUEsBAi0AFAAGAAgAAAAhABdPMBLbAAAACAEAAA8AAAAAAAAAAAAA&#10;AAAAHgQAAGRycy9kb3ducmV2LnhtbFBLBQYAAAAABAAEAPMAAAAmBQAAAAA=&#10;" strokeweight="1.5pt"/>
                  </w:pict>
                </mc:Fallback>
              </mc:AlternateContent>
            </w:r>
            <w:r w:rsidR="00403743">
              <w:rPr>
                <w:b/>
                <w:bCs/>
                <w:szCs w:val="18"/>
              </w:rPr>
              <w:t>NOTES</w:t>
            </w:r>
          </w:p>
          <w:p w14:paraId="4543F7E4" w14:textId="77777777" w:rsidR="00403743" w:rsidRDefault="00403743" w:rsidP="00403743">
            <w:pPr>
              <w:pStyle w:val="NotesText"/>
            </w:pPr>
          </w:p>
          <w:p w14:paraId="5B89BBB2" w14:textId="77777777" w:rsidR="00403743" w:rsidRDefault="00403743" w:rsidP="00403743">
            <w:pPr>
              <w:pStyle w:val="NotesText"/>
            </w:pPr>
            <w:r>
              <w:t>The user may select “Verify modified unit label” to verify the modified unit label</w:t>
            </w:r>
            <w:r w:rsidR="00380967">
              <w:t>.</w:t>
            </w:r>
            <w:r>
              <w:t xml:space="preserve"> </w:t>
            </w:r>
            <w:r w:rsidR="00542972">
              <w:t xml:space="preserve">When the user does not verify the label, he </w:t>
            </w:r>
            <w:r w:rsidR="006832A2">
              <w:t xml:space="preserve">must enter a comment and </w:t>
            </w:r>
            <w:r w:rsidR="00BD738E">
              <w:t xml:space="preserve">then </w:t>
            </w:r>
            <w:r w:rsidR="006832A2">
              <w:t>click</w:t>
            </w:r>
            <w:r w:rsidR="00542972">
              <w:t xml:space="preserve"> </w:t>
            </w:r>
            <w:r w:rsidR="00542972" w:rsidRPr="00542972">
              <w:rPr>
                <w:b/>
              </w:rPr>
              <w:t>Cancel</w:t>
            </w:r>
            <w:r w:rsidR="006832A2">
              <w:t xml:space="preserve"> </w:t>
            </w:r>
            <w:r>
              <w:t>to exit.</w:t>
            </w:r>
          </w:p>
          <w:p w14:paraId="4DF27BA6" w14:textId="77777777" w:rsidR="00403743" w:rsidRDefault="00403743" w:rsidP="00403743">
            <w:pPr>
              <w:pStyle w:val="NotesText"/>
            </w:pPr>
          </w:p>
          <w:p w14:paraId="6A7E5CEE" w14:textId="77777777" w:rsidR="00403743" w:rsidRDefault="00403743" w:rsidP="00403743">
            <w:pPr>
              <w:pStyle w:val="NotesText"/>
            </w:pPr>
            <w:r>
              <w:t>When the user does not select “Verify modified unit label,” he may continue at Step 1</w:t>
            </w:r>
            <w:r w:rsidR="00027FF5">
              <w:t>4</w:t>
            </w:r>
            <w:r>
              <w:t xml:space="preserve">. VBECS bypasses the label verification and does not create an Exception Report. </w:t>
            </w:r>
          </w:p>
          <w:p w14:paraId="0CBFF732" w14:textId="77777777" w:rsidR="00403743" w:rsidRDefault="00403743" w:rsidP="00403743">
            <w:pPr>
              <w:pStyle w:val="NotesText"/>
            </w:pPr>
          </w:p>
          <w:p w14:paraId="3B7AFFBF" w14:textId="77777777" w:rsidR="00403743" w:rsidRDefault="00403743" w:rsidP="00403743">
            <w:pPr>
              <w:pStyle w:val="NotesText"/>
              <w:rPr>
                <w:b/>
              </w:rPr>
            </w:pPr>
            <w:r>
              <w:t xml:space="preserve">When a component is modified and a new label is applied, </w:t>
            </w:r>
            <w:r w:rsidR="002A6CE1">
              <w:t>American Association of Blood Banks (</w:t>
            </w:r>
            <w:r>
              <w:t>AABB</w:t>
            </w:r>
            <w:r w:rsidR="002A6CE1">
              <w:t>)</w:t>
            </w:r>
            <w:r>
              <w:t xml:space="preserve"> standards require the labeling process to include a method to ensure the correctness of the unit number, ABO/Rh, expiration date, and component label.</w:t>
            </w:r>
          </w:p>
          <w:p w14:paraId="78B22045" w14:textId="77777777" w:rsidR="00403743" w:rsidRDefault="00403743" w:rsidP="00403743">
            <w:pPr>
              <w:pStyle w:val="NotesText"/>
              <w:rPr>
                <w:b/>
              </w:rPr>
            </w:pPr>
          </w:p>
          <w:p w14:paraId="648CE7C2" w14:textId="77777777" w:rsidR="00403743" w:rsidRDefault="00403743" w:rsidP="00403743">
            <w:pPr>
              <w:pStyle w:val="NotesText"/>
            </w:pPr>
            <w:r w:rsidRPr="00DE10EE">
              <w:rPr>
                <w:rFonts w:cs="Arial"/>
                <w:vanish/>
                <w:color w:val="0000FF"/>
              </w:rPr>
              <w:t>BR_26.29</w:t>
            </w:r>
            <w:r>
              <w:rPr>
                <w:rFonts w:cs="Arial"/>
                <w:vanish/>
              </w:rPr>
              <w:t xml:space="preserve"> </w:t>
            </w:r>
            <w:r>
              <w:t>To verify the label, VBECS compares the entered data with the data of the target unit from the database. The user may scan or enter:</w:t>
            </w:r>
          </w:p>
          <w:p w14:paraId="0CA3DE83" w14:textId="77777777" w:rsidR="00403743" w:rsidRDefault="00403743" w:rsidP="00403743">
            <w:pPr>
              <w:pStyle w:val="NotesTextBullet"/>
            </w:pPr>
            <w:r>
              <w:t>Unit ABO/Rh Label</w:t>
            </w:r>
            <w:r w:rsidR="00682656">
              <w:t xml:space="preserve"> (scan or manual entry)</w:t>
            </w:r>
          </w:p>
          <w:p w14:paraId="059C03B0" w14:textId="77777777" w:rsidR="00403743" w:rsidRDefault="00403743" w:rsidP="00403743">
            <w:pPr>
              <w:pStyle w:val="NotesTextBullet"/>
            </w:pPr>
            <w:r>
              <w:t>Unit Product Code</w:t>
            </w:r>
            <w:r w:rsidR="00682656">
              <w:t xml:space="preserve"> (scan or manual entry)</w:t>
            </w:r>
          </w:p>
          <w:p w14:paraId="4D461DFA" w14:textId="77777777" w:rsidR="00403743" w:rsidRDefault="00403743" w:rsidP="00027FF5">
            <w:pPr>
              <w:pStyle w:val="NotesTextBullet"/>
            </w:pPr>
            <w:r>
              <w:t>Unit Expiration Date</w:t>
            </w:r>
            <w:r w:rsidR="00682656">
              <w:t xml:space="preserve"> (scan or manual entry)</w:t>
            </w:r>
          </w:p>
          <w:p w14:paraId="15F8CBA7" w14:textId="77777777" w:rsidR="00682656" w:rsidRDefault="00682656" w:rsidP="00682656">
            <w:pPr>
              <w:rPr>
                <w:rFonts w:ascii="Arial" w:hAnsi="Arial"/>
                <w:sz w:val="18"/>
              </w:rPr>
            </w:pPr>
          </w:p>
          <w:p w14:paraId="04A97241" w14:textId="77777777" w:rsidR="00682656" w:rsidRDefault="00682656" w:rsidP="00682656">
            <w:pPr>
              <w:pStyle w:val="NotesText"/>
            </w:pPr>
            <w:r>
              <w:t>If all comparisons are okay, VBECS displays a message stating that label verification is complete and asks whether the user wishes to continue.</w:t>
            </w:r>
          </w:p>
          <w:p w14:paraId="7390DE02" w14:textId="77777777" w:rsidR="00682656" w:rsidRDefault="00682656" w:rsidP="00682656">
            <w:pPr>
              <w:pStyle w:val="NotesText"/>
            </w:pPr>
          </w:p>
          <w:p w14:paraId="17A1EDFD" w14:textId="77777777" w:rsidR="00682656" w:rsidRDefault="00682656" w:rsidP="00682656">
            <w:pPr>
              <w:pStyle w:val="NotesText"/>
            </w:pPr>
            <w:r>
              <w:t>If there is not a match, VBECS</w:t>
            </w:r>
            <w:r w:rsidRPr="00682656">
              <w:t xml:space="preserve"> provides an audible alert and displays</w:t>
            </w:r>
            <w:r>
              <w:t xml:space="preserve"> an error message stating that &lt;data element&gt; does NOT match &lt;data element&gt; of record and asks the user to verify labeling and reenter, or select </w:t>
            </w:r>
            <w:r w:rsidRPr="00682656">
              <w:rPr>
                <w:b/>
              </w:rPr>
              <w:t>Continue</w:t>
            </w:r>
            <w:r>
              <w:t>.</w:t>
            </w:r>
          </w:p>
          <w:p w14:paraId="3A33AEBE" w14:textId="77777777" w:rsidR="00682656" w:rsidRDefault="00682656" w:rsidP="00682656">
            <w:pPr>
              <w:pStyle w:val="NotesText"/>
            </w:pPr>
          </w:p>
          <w:p w14:paraId="6BC392D3" w14:textId="77777777" w:rsidR="00682656" w:rsidRDefault="00682656" w:rsidP="00682656">
            <w:pPr>
              <w:pStyle w:val="NotesText"/>
            </w:pPr>
            <w:r>
              <w:lastRenderedPageBreak/>
              <w:t xml:space="preserve">If there is a null or no user entry for one of the fields, VBECS displays an error message stating that &lt;data element&gt; was not entered and asks the user to enter a value or select </w:t>
            </w:r>
            <w:r w:rsidRPr="00682656">
              <w:rPr>
                <w:b/>
              </w:rPr>
              <w:t>Continue</w:t>
            </w:r>
            <w:r>
              <w:t>.</w:t>
            </w:r>
          </w:p>
          <w:p w14:paraId="48E4A6C2" w14:textId="77777777" w:rsidR="00682656" w:rsidRDefault="00682656" w:rsidP="00682656">
            <w:pPr>
              <w:pStyle w:val="NotesText"/>
            </w:pPr>
          </w:p>
          <w:p w14:paraId="06DE2EEE" w14:textId="77777777" w:rsidR="00682656" w:rsidRDefault="00682656" w:rsidP="00682656">
            <w:pPr>
              <w:pStyle w:val="NotesText"/>
            </w:pPr>
            <w:r>
              <w:t>If checks were either invalid or incomplete, VBECS</w:t>
            </w:r>
            <w:r w:rsidRPr="00682656">
              <w:t xml:space="preserve"> will not allow unit issue to this </w:t>
            </w:r>
            <w:r>
              <w:t>or any other patient. VBECS</w:t>
            </w:r>
            <w:r w:rsidRPr="00682656">
              <w:t xml:space="preserve"> displays a warning message: “Unit is unacceptable for transfusion. Releasing all patient assignments and qu</w:t>
            </w:r>
            <w:r>
              <w:t>arantining the unit.” VBECS</w:t>
            </w:r>
            <w:r w:rsidRPr="00682656">
              <w:t xml:space="preserve"> clears the unit data and allows for entry of a different unit number. </w:t>
            </w:r>
            <w:r>
              <w:t xml:space="preserve">When the user selects </w:t>
            </w:r>
            <w:r w:rsidRPr="00682656">
              <w:rPr>
                <w:b/>
              </w:rPr>
              <w:t>Continue</w:t>
            </w:r>
            <w:r>
              <w:t>, a comment is required and details are captured in an exception report. Details in the exception report include:</w:t>
            </w:r>
          </w:p>
          <w:p w14:paraId="14BB1AC2" w14:textId="77777777" w:rsidR="00682656" w:rsidRDefault="00682656" w:rsidP="00041E00">
            <w:pPr>
              <w:pStyle w:val="StyleTableText9ptChar"/>
              <w:numPr>
                <w:ilvl w:val="0"/>
                <w:numId w:val="73"/>
              </w:numPr>
            </w:pPr>
            <w:r>
              <w:t xml:space="preserve">Transaction type: Target Product Label Failed checks </w:t>
            </w:r>
          </w:p>
          <w:p w14:paraId="68FE4417" w14:textId="77777777" w:rsidR="00682656" w:rsidRDefault="00682656" w:rsidP="00041E00">
            <w:pPr>
              <w:pStyle w:val="StyleTableText9ptChar"/>
              <w:numPr>
                <w:ilvl w:val="0"/>
                <w:numId w:val="73"/>
              </w:numPr>
            </w:pPr>
            <w:r>
              <w:t>Type of modification: &lt;insert type defined by the transaction&gt;</w:t>
            </w:r>
          </w:p>
          <w:p w14:paraId="7D87085C" w14:textId="77777777" w:rsidR="00682656" w:rsidRDefault="00682656" w:rsidP="00041E00">
            <w:pPr>
              <w:pStyle w:val="StyleTableText9ptChar"/>
              <w:numPr>
                <w:ilvl w:val="0"/>
                <w:numId w:val="73"/>
              </w:numPr>
            </w:pPr>
            <w:r>
              <w:t>Target Unit ID</w:t>
            </w:r>
          </w:p>
          <w:p w14:paraId="4058A1BD" w14:textId="77777777" w:rsidR="00682656" w:rsidRDefault="00682656" w:rsidP="00041E00">
            <w:pPr>
              <w:pStyle w:val="StyleTableText9ptChar"/>
              <w:numPr>
                <w:ilvl w:val="0"/>
                <w:numId w:val="73"/>
              </w:numPr>
            </w:pPr>
            <w:r>
              <w:t>Target Unit ABO/Rh</w:t>
            </w:r>
          </w:p>
          <w:p w14:paraId="2341B44A" w14:textId="77777777" w:rsidR="00682656" w:rsidRDefault="00682656" w:rsidP="00041E00">
            <w:pPr>
              <w:pStyle w:val="StyleTableText9ptChar"/>
              <w:numPr>
                <w:ilvl w:val="0"/>
                <w:numId w:val="73"/>
              </w:numPr>
            </w:pPr>
            <w:r>
              <w:t>Target Unit Product Code</w:t>
            </w:r>
          </w:p>
          <w:p w14:paraId="2AAE528D" w14:textId="77777777" w:rsidR="00682656" w:rsidRDefault="00682656" w:rsidP="00041E00">
            <w:pPr>
              <w:pStyle w:val="StyleTableText9ptChar"/>
              <w:numPr>
                <w:ilvl w:val="0"/>
                <w:numId w:val="73"/>
              </w:numPr>
            </w:pPr>
            <w:r>
              <w:t>Target Unit Product (Short) Name</w:t>
            </w:r>
          </w:p>
          <w:p w14:paraId="7CA1B2A0" w14:textId="77777777" w:rsidR="00682656" w:rsidRDefault="00682656" w:rsidP="00041E00">
            <w:pPr>
              <w:pStyle w:val="StyleTableText9ptChar"/>
              <w:numPr>
                <w:ilvl w:val="0"/>
                <w:numId w:val="73"/>
              </w:numPr>
            </w:pPr>
            <w:r>
              <w:t>Target Expiration Date</w:t>
            </w:r>
          </w:p>
          <w:p w14:paraId="624EA84C" w14:textId="77777777" w:rsidR="00682656" w:rsidRDefault="00682656" w:rsidP="00041E00">
            <w:pPr>
              <w:pStyle w:val="StyleTableText9ptChar"/>
              <w:numPr>
                <w:ilvl w:val="0"/>
                <w:numId w:val="73"/>
              </w:numPr>
            </w:pPr>
            <w:r>
              <w:t>Date/Time of Modification (transaction)</w:t>
            </w:r>
          </w:p>
          <w:p w14:paraId="7E9B5554" w14:textId="77777777" w:rsidR="00682656" w:rsidRDefault="00682656" w:rsidP="00041E00">
            <w:pPr>
              <w:pStyle w:val="StyleTableText9ptChar"/>
              <w:numPr>
                <w:ilvl w:val="0"/>
                <w:numId w:val="73"/>
              </w:numPr>
            </w:pPr>
            <w:r>
              <w:t>Data Field User Entered Value or “no entry” if null</w:t>
            </w:r>
          </w:p>
          <w:p w14:paraId="28258309" w14:textId="77777777" w:rsidR="00682656" w:rsidRDefault="00682656" w:rsidP="00041E00">
            <w:pPr>
              <w:pStyle w:val="StyleTableText9ptChar"/>
              <w:numPr>
                <w:ilvl w:val="0"/>
                <w:numId w:val="73"/>
              </w:numPr>
            </w:pPr>
            <w:r>
              <w:t>Data Field Correct or Expected Value</w:t>
            </w:r>
          </w:p>
          <w:p w14:paraId="4220AC23" w14:textId="77777777" w:rsidR="00682656" w:rsidRDefault="00682656" w:rsidP="00041E00">
            <w:pPr>
              <w:pStyle w:val="StyleTableText9ptChar"/>
              <w:numPr>
                <w:ilvl w:val="0"/>
                <w:numId w:val="73"/>
              </w:numPr>
            </w:pPr>
            <w:r>
              <w:t>Required Comment (“unit modification” context)</w:t>
            </w:r>
          </w:p>
          <w:p w14:paraId="7A789992" w14:textId="77777777" w:rsidR="00682656" w:rsidRDefault="00682656" w:rsidP="00041E00">
            <w:pPr>
              <w:pStyle w:val="StyleTableText9ptChar"/>
              <w:numPr>
                <w:ilvl w:val="0"/>
                <w:numId w:val="73"/>
              </w:numPr>
            </w:pPr>
            <w:r>
              <w:t>Modifying Tech ID, print Tech name on report</w:t>
            </w:r>
          </w:p>
          <w:p w14:paraId="7FA87497" w14:textId="77777777" w:rsidR="00682656" w:rsidRDefault="00682656" w:rsidP="00041E00">
            <w:pPr>
              <w:pStyle w:val="StyleTableText9ptChar"/>
              <w:numPr>
                <w:ilvl w:val="0"/>
                <w:numId w:val="73"/>
              </w:numPr>
            </w:pPr>
            <w:r>
              <w:t>Login Tech ID, print Tech name on report</w:t>
            </w:r>
          </w:p>
          <w:p w14:paraId="7C8DBD1D" w14:textId="77777777" w:rsidR="00682656" w:rsidRDefault="00682656" w:rsidP="00041E00">
            <w:pPr>
              <w:pStyle w:val="StyleTableText9ptChar"/>
              <w:numPr>
                <w:ilvl w:val="0"/>
                <w:numId w:val="73"/>
              </w:numPr>
            </w:pPr>
            <w:r>
              <w:t>Division</w:t>
            </w:r>
          </w:p>
        </w:tc>
      </w:tr>
      <w:tr w:rsidR="002A21AE" w14:paraId="7A454AAF" w14:textId="77777777">
        <w:tc>
          <w:tcPr>
            <w:tcW w:w="3240" w:type="dxa"/>
          </w:tcPr>
          <w:p w14:paraId="73AC602F" w14:textId="77777777" w:rsidR="002A21AE" w:rsidRDefault="002A21AE">
            <w:pPr>
              <w:pStyle w:val="TableTextNumbers"/>
            </w:pPr>
            <w:r>
              <w:lastRenderedPageBreak/>
              <w:t>Scan or enter each label on the target unit.</w:t>
            </w:r>
          </w:p>
        </w:tc>
        <w:tc>
          <w:tcPr>
            <w:tcW w:w="6120" w:type="dxa"/>
          </w:tcPr>
          <w:p w14:paraId="36F2E129" w14:textId="77777777" w:rsidR="002A21AE" w:rsidRDefault="002A21AE">
            <w:pPr>
              <w:pStyle w:val="TableTextBullet"/>
            </w:pPr>
            <w:r>
              <w:t xml:space="preserve">Compares the data entered in each field to the database. </w:t>
            </w:r>
          </w:p>
          <w:p w14:paraId="1EB4C5ED" w14:textId="77777777" w:rsidR="002A21AE" w:rsidRDefault="002A21AE">
            <w:pPr>
              <w:pStyle w:val="TableTextBullet"/>
            </w:pPr>
            <w:r>
              <w:t>Asks whether the user wishes to save the data. When the user confirms that the data are correct, notifies him that the label verification is complete.</w:t>
            </w:r>
          </w:p>
          <w:p w14:paraId="1819DB62" w14:textId="77777777" w:rsidR="002A21AE" w:rsidRDefault="002A21AE">
            <w:pPr>
              <w:pStyle w:val="TableTextBullet"/>
            </w:pPr>
            <w:r>
              <w:rPr>
                <w:rFonts w:cs="Arial"/>
                <w:vanish/>
              </w:rPr>
              <w:t xml:space="preserve">BR_26.27 </w:t>
            </w:r>
            <w:r>
              <w:t xml:space="preserve">Records the modified or restriction-released unit relabeling data as part of the unit record and stores the data for inclusion in the unit </w:t>
            </w:r>
            <w:r w:rsidR="0051757B">
              <w:t>history</w:t>
            </w:r>
            <w:r>
              <w:t xml:space="preserve"> report.</w:t>
            </w:r>
          </w:p>
          <w:p w14:paraId="3302009D" w14:textId="77777777" w:rsidR="002A21AE" w:rsidRDefault="002A21AE">
            <w:pPr>
              <w:pStyle w:val="TableTextBullet"/>
              <w:tabs>
                <w:tab w:val="clear" w:pos="288"/>
              </w:tabs>
            </w:pPr>
            <w:r>
              <w:t>When the user confirms that the comparisons are correct, notifies him and asks whether he wishes to continue.</w:t>
            </w:r>
          </w:p>
          <w:p w14:paraId="6EDE61D9" w14:textId="77777777" w:rsidR="002A21AE" w:rsidRDefault="002A21AE">
            <w:pPr>
              <w:pStyle w:val="TableText"/>
            </w:pPr>
          </w:p>
          <w:p w14:paraId="645CA15D" w14:textId="77777777" w:rsidR="002A21AE" w:rsidRDefault="00057948">
            <w:pPr>
              <w:pStyle w:val="TableText"/>
              <w:rPr>
                <w:b/>
                <w:bCs/>
                <w:szCs w:val="18"/>
              </w:rPr>
            </w:pPr>
            <w:r>
              <w:rPr>
                <w:b/>
                <w:bCs/>
                <w:noProof/>
              </w:rPr>
              <mc:AlternateContent>
                <mc:Choice Requires="wps">
                  <w:drawing>
                    <wp:anchor distT="0" distB="0" distL="114300" distR="114300" simplePos="0" relativeHeight="251647488" behindDoc="0" locked="0" layoutInCell="1" allowOverlap="1" wp14:anchorId="7E172A42" wp14:editId="4160500C">
                      <wp:simplePos x="0" y="0"/>
                      <wp:positionH relativeFrom="column">
                        <wp:posOffset>457200</wp:posOffset>
                      </wp:positionH>
                      <wp:positionV relativeFrom="paragraph">
                        <wp:posOffset>65405</wp:posOffset>
                      </wp:positionV>
                      <wp:extent cx="3200400" cy="0"/>
                      <wp:effectExtent l="9525" t="17780" r="9525" b="10795"/>
                      <wp:wrapNone/>
                      <wp:docPr id="480" name="Line 904" descr="P4410C28T4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5A350" id="Line 904" o:spid="_x0000_s1026" alt="&quot;&quot;"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BHxsa9wgEAAG4DAAAOAAAAAAAAAAAAAAAAAC4C&#10;AABkcnMvZTJvRG9jLnhtbFBLAQItABQABgAIAAAAIQAXTzAS2wAAAAgBAAAPAAAAAAAAAAAAAAAA&#10;ABwEAABkcnMvZG93bnJldi54bWxQSwUGAAAAAAQABADzAAAAJAUAAAAA&#10;" strokeweight="1.5pt"/>
                  </w:pict>
                </mc:Fallback>
              </mc:AlternateContent>
            </w:r>
            <w:r w:rsidR="002A21AE">
              <w:rPr>
                <w:b/>
                <w:bCs/>
                <w:szCs w:val="18"/>
              </w:rPr>
              <w:t>NOTES</w:t>
            </w:r>
          </w:p>
          <w:p w14:paraId="50A75D67" w14:textId="77777777" w:rsidR="002A21AE" w:rsidRDefault="002A21AE">
            <w:pPr>
              <w:pStyle w:val="NotesText"/>
            </w:pPr>
          </w:p>
          <w:p w14:paraId="3FB7127B" w14:textId="77777777" w:rsidR="002A21AE" w:rsidRDefault="00E979DB">
            <w:pPr>
              <w:pStyle w:val="NotesText"/>
            </w:pPr>
            <w:r>
              <w:t xml:space="preserve"> </w:t>
            </w:r>
          </w:p>
          <w:p w14:paraId="6D4CDF42" w14:textId="77777777" w:rsidR="002A21AE" w:rsidRDefault="002A21AE">
            <w:pPr>
              <w:pStyle w:val="NotesText"/>
            </w:pPr>
            <w:r>
              <w:t xml:space="preserve">When there is no previous entry for a field, VBECS notifies the user and instructs him to enter a value or select </w:t>
            </w:r>
            <w:r w:rsidR="0082101B">
              <w:rPr>
                <w:b/>
              </w:rPr>
              <w:t>Cancel</w:t>
            </w:r>
            <w:r>
              <w:t>.</w:t>
            </w:r>
          </w:p>
          <w:p w14:paraId="391DDA5E" w14:textId="77777777" w:rsidR="002A21AE" w:rsidRDefault="002A21AE">
            <w:pPr>
              <w:pStyle w:val="NotesText"/>
            </w:pPr>
          </w:p>
          <w:p w14:paraId="494F177F" w14:textId="77777777" w:rsidR="002A21AE" w:rsidRDefault="00892350">
            <w:pPr>
              <w:pStyle w:val="NotesText"/>
            </w:pPr>
            <w:r>
              <w:t>VBECS requires a comment w</w:t>
            </w:r>
            <w:r w:rsidR="002A21AE">
              <w:t xml:space="preserve">hen the user selects </w:t>
            </w:r>
            <w:r w:rsidR="0082101B">
              <w:rPr>
                <w:b/>
              </w:rPr>
              <w:t>Cancel</w:t>
            </w:r>
            <w:r w:rsidR="002A21AE">
              <w:t>, and captures details for inclusion in an Exception Report (exception type: target product label failed checks).</w:t>
            </w:r>
          </w:p>
        </w:tc>
      </w:tr>
      <w:tr w:rsidR="002A21AE" w14:paraId="3EBDA77C" w14:textId="77777777">
        <w:tc>
          <w:tcPr>
            <w:tcW w:w="3240" w:type="dxa"/>
          </w:tcPr>
          <w:p w14:paraId="4F4F1CD3" w14:textId="77777777" w:rsidR="002A21AE" w:rsidRDefault="002A21AE">
            <w:pPr>
              <w:pStyle w:val="TableTextNumbers"/>
            </w:pPr>
            <w:r>
              <w:t xml:space="preserve">Click </w:t>
            </w:r>
            <w:r>
              <w:rPr>
                <w:b/>
              </w:rPr>
              <w:t>OK</w:t>
            </w:r>
            <w:r>
              <w:t xml:space="preserve"> to confirm the save.</w:t>
            </w:r>
          </w:p>
        </w:tc>
        <w:tc>
          <w:tcPr>
            <w:tcW w:w="6120" w:type="dxa"/>
          </w:tcPr>
          <w:p w14:paraId="2911B13B" w14:textId="77777777" w:rsidR="002A21AE" w:rsidRDefault="002A21AE">
            <w:pPr>
              <w:pStyle w:val="TableTextBullet"/>
              <w:tabs>
                <w:tab w:val="clear" w:pos="288"/>
              </w:tabs>
            </w:pPr>
            <w:r>
              <w:t>Saves the new modified unit data.</w:t>
            </w:r>
          </w:p>
          <w:p w14:paraId="26C8F176" w14:textId="77777777" w:rsidR="002A21AE" w:rsidRDefault="002A21AE">
            <w:pPr>
              <w:pStyle w:val="TableTextBullet"/>
              <w:tabs>
                <w:tab w:val="clear" w:pos="288"/>
              </w:tabs>
            </w:pPr>
            <w:r>
              <w:t>Updates the status of the original unit to “modified.”</w:t>
            </w:r>
          </w:p>
          <w:p w14:paraId="05E40B38" w14:textId="77777777" w:rsidR="00EE2911" w:rsidRDefault="00EE2911">
            <w:pPr>
              <w:pStyle w:val="TableTextBullet"/>
              <w:tabs>
                <w:tab w:val="clear" w:pos="288"/>
              </w:tabs>
            </w:pPr>
            <w:r>
              <w:t>Records the unit ID of the target unit on the record of the original unit.</w:t>
            </w:r>
          </w:p>
          <w:p w14:paraId="188F2489" w14:textId="77777777" w:rsidR="002A21AE" w:rsidRDefault="002A21AE">
            <w:pPr>
              <w:pStyle w:val="TableTextBullet"/>
              <w:tabs>
                <w:tab w:val="clear" w:pos="288"/>
              </w:tabs>
            </w:pPr>
            <w:r>
              <w:t>Prompts the user to modify another unit.</w:t>
            </w:r>
          </w:p>
          <w:p w14:paraId="4679504B" w14:textId="77777777" w:rsidR="002A21AE" w:rsidRDefault="002A21AE">
            <w:pPr>
              <w:pStyle w:val="TableText"/>
            </w:pPr>
          </w:p>
          <w:p w14:paraId="370A33C0" w14:textId="77777777" w:rsidR="002A21AE" w:rsidRDefault="00057948">
            <w:pPr>
              <w:pStyle w:val="TableText"/>
              <w:rPr>
                <w:b/>
                <w:bCs/>
                <w:szCs w:val="18"/>
              </w:rPr>
            </w:pPr>
            <w:r>
              <w:rPr>
                <w:b/>
                <w:bCs/>
                <w:noProof/>
              </w:rPr>
              <mc:AlternateContent>
                <mc:Choice Requires="wps">
                  <w:drawing>
                    <wp:anchor distT="0" distB="0" distL="114300" distR="114300" simplePos="0" relativeHeight="251632128" behindDoc="0" locked="0" layoutInCell="1" allowOverlap="1" wp14:anchorId="46CAD757" wp14:editId="26EBB54D">
                      <wp:simplePos x="0" y="0"/>
                      <wp:positionH relativeFrom="column">
                        <wp:posOffset>457200</wp:posOffset>
                      </wp:positionH>
                      <wp:positionV relativeFrom="paragraph">
                        <wp:posOffset>65405</wp:posOffset>
                      </wp:positionV>
                      <wp:extent cx="3200400" cy="0"/>
                      <wp:effectExtent l="9525" t="17780" r="9525" b="10795"/>
                      <wp:wrapNone/>
                      <wp:docPr id="479" name="Line 900" descr="P4423C30T4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08630" id="Line 900" o:spid="_x0000_s1026" alt="&quot;&quot;"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5+xZx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1D7012CF" w14:textId="77777777" w:rsidR="002A21AE" w:rsidRDefault="002A21AE">
            <w:pPr>
              <w:pStyle w:val="NotesText"/>
            </w:pPr>
          </w:p>
          <w:p w14:paraId="6F8E62AB" w14:textId="77777777" w:rsidR="002A21AE" w:rsidRDefault="002A21AE">
            <w:pPr>
              <w:pStyle w:val="NotesText"/>
              <w:rPr>
                <w:i/>
              </w:rPr>
            </w:pPr>
            <w:r>
              <w:rPr>
                <w:rFonts w:cs="Arial"/>
                <w:vanish/>
              </w:rPr>
              <w:t xml:space="preserve">BR_26.15 </w:t>
            </w:r>
            <w:r>
              <w:t>The target unit automatically inh</w:t>
            </w:r>
            <w:r w:rsidR="00131240">
              <w:t>erits original unit data</w:t>
            </w:r>
            <w:r>
              <w:t>:</w:t>
            </w:r>
            <w:r>
              <w:rPr>
                <w:i/>
              </w:rPr>
              <w:t xml:space="preserve"> </w:t>
            </w:r>
          </w:p>
          <w:p w14:paraId="446C214C" w14:textId="77777777" w:rsidR="00391084" w:rsidRDefault="00391084">
            <w:pPr>
              <w:pStyle w:val="NotesTextBullet"/>
            </w:pPr>
            <w:r>
              <w:lastRenderedPageBreak/>
              <w:t>Additional unit testing (CMV, Sickle Cell, antigen typings, = &gt; 2 mL RBC contamination)</w:t>
            </w:r>
          </w:p>
          <w:p w14:paraId="03463F19" w14:textId="77777777" w:rsidR="002A21AE" w:rsidRDefault="002A21AE">
            <w:pPr>
              <w:pStyle w:val="NotesTextBullet"/>
            </w:pPr>
            <w:r>
              <w:t>Unit ABO/Rh (from login)</w:t>
            </w:r>
          </w:p>
          <w:p w14:paraId="38EF576F" w14:textId="77777777" w:rsidR="002A21AE" w:rsidRDefault="002A21AE">
            <w:pPr>
              <w:pStyle w:val="NotesTextBullet"/>
            </w:pPr>
            <w:r>
              <w:t>ABO/Rh confirmation testing information (when performed)</w:t>
            </w:r>
          </w:p>
          <w:p w14:paraId="50F9FD64" w14:textId="77777777" w:rsidR="002A21AE" w:rsidRDefault="002A21AE">
            <w:pPr>
              <w:pStyle w:val="NotesTextBullet"/>
            </w:pPr>
            <w:r>
              <w:t>Unit ID</w:t>
            </w:r>
          </w:p>
          <w:p w14:paraId="217ABB6C" w14:textId="77777777" w:rsidR="002A21AE" w:rsidRDefault="002A21AE">
            <w:pPr>
              <w:pStyle w:val="NotesTextBullet"/>
            </w:pPr>
            <w:r>
              <w:t xml:space="preserve">Unit Volume </w:t>
            </w:r>
            <w:r w:rsidR="0039034C">
              <w:t>(exceptions – target unit created as a result of Split or Volume Reduce does not inherit original unit volume. Target unit volume must be manually entered for volume reduced units)</w:t>
            </w:r>
          </w:p>
          <w:p w14:paraId="7C74ECC2" w14:textId="77777777" w:rsidR="002A21AE" w:rsidRDefault="002A21AE">
            <w:pPr>
              <w:pStyle w:val="NotesTextBullet"/>
            </w:pPr>
            <w:r>
              <w:t>Donation type</w:t>
            </w:r>
          </w:p>
          <w:p w14:paraId="2CABB61B" w14:textId="77777777" w:rsidR="002A21AE" w:rsidRDefault="002A21AE">
            <w:pPr>
              <w:pStyle w:val="NotesTextBullet"/>
            </w:pPr>
            <w:r>
              <w:t>Disease marker testing information, when autologous.</w:t>
            </w:r>
          </w:p>
          <w:p w14:paraId="5275E560" w14:textId="77777777" w:rsidR="002A21AE" w:rsidRDefault="002A21AE">
            <w:pPr>
              <w:pStyle w:val="NotesTextBullet"/>
            </w:pPr>
            <w:r>
              <w:t>Restricted for patient name, ID.</w:t>
            </w:r>
          </w:p>
          <w:p w14:paraId="0FED7D3A" w14:textId="77777777" w:rsidR="002A21AE" w:rsidRDefault="002A21AE">
            <w:pPr>
              <w:pStyle w:val="NotesTextBullet"/>
            </w:pPr>
            <w:r>
              <w:t>Current status</w:t>
            </w:r>
          </w:p>
          <w:p w14:paraId="24E9DC62" w14:textId="77777777" w:rsidR="002A21AE" w:rsidRDefault="002A21AE">
            <w:pPr>
              <w:pStyle w:val="NotesTextBullet"/>
            </w:pPr>
            <w:r>
              <w:t>Biohazard Indicator</w:t>
            </w:r>
          </w:p>
          <w:p w14:paraId="3AB86BED" w14:textId="77777777" w:rsidR="002A21AE" w:rsidRDefault="002A21AE">
            <w:pPr>
              <w:pStyle w:val="NotesTextBullet"/>
            </w:pPr>
            <w:r>
              <w:t>Quarantine Indicator</w:t>
            </w:r>
          </w:p>
          <w:p w14:paraId="50113225" w14:textId="77777777" w:rsidR="002A21AE" w:rsidRDefault="002A21AE" w:rsidP="00391084">
            <w:pPr>
              <w:pStyle w:val="NotesTextBullet"/>
            </w:pPr>
            <w:r>
              <w:t>Division</w:t>
            </w:r>
          </w:p>
        </w:tc>
      </w:tr>
      <w:tr w:rsidR="002A21AE" w14:paraId="49727980" w14:textId="77777777">
        <w:tc>
          <w:tcPr>
            <w:tcW w:w="3240" w:type="dxa"/>
          </w:tcPr>
          <w:p w14:paraId="0CCF050F" w14:textId="77777777" w:rsidR="002A21AE" w:rsidRDefault="002A21AE">
            <w:pPr>
              <w:pStyle w:val="TableTextNumbers"/>
            </w:pPr>
            <w:r>
              <w:lastRenderedPageBreak/>
              <w:t xml:space="preserve">Repeat Steps 3–14 to modify another unit or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7D01CF16" w14:textId="77777777" w:rsidR="002A21AE" w:rsidRDefault="002A21AE">
            <w:pPr>
              <w:pStyle w:val="TableText"/>
            </w:pPr>
          </w:p>
        </w:tc>
      </w:tr>
    </w:tbl>
    <w:p w14:paraId="47ABFCBD" w14:textId="28866980" w:rsidR="001B4885" w:rsidRDefault="001B4885" w:rsidP="001B4885">
      <w:pPr>
        <w:pStyle w:val="Caption"/>
      </w:pPr>
      <w:bookmarkStart w:id="334" w:name="_Ref126649536"/>
      <w:bookmarkStart w:id="335" w:name="_Toc94349322"/>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91</w:t>
      </w:r>
      <w:r w:rsidR="004E20BD">
        <w:rPr>
          <w:noProof/>
        </w:rPr>
        <w:fldChar w:fldCharType="end"/>
      </w:r>
      <w:bookmarkEnd w:id="334"/>
      <w:r>
        <w:t>: Modify Unit(s)</w:t>
      </w:r>
    </w:p>
    <w:p w14:paraId="2C0BC550" w14:textId="77777777" w:rsidR="001B4885" w:rsidRDefault="00057948" w:rsidP="00AB1E83">
      <w:pPr>
        <w:pStyle w:val="BodyText"/>
      </w:pPr>
      <w:r>
        <w:rPr>
          <w:noProof/>
        </w:rPr>
        <w:drawing>
          <wp:inline distT="0" distB="0" distL="0" distR="0" wp14:anchorId="095D96CA" wp14:editId="3B9715C0">
            <wp:extent cx="3546475" cy="4627245"/>
            <wp:effectExtent l="0" t="0" r="0" b="1905"/>
            <wp:docPr id="176" name="Picture 176" descr="P444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P4443#yIS1">
                      <a:extLst>
                        <a:ext uri="{C183D7F6-B498-43B3-948B-1728B52AA6E4}">
                          <adec:decorative xmlns:adec="http://schemas.microsoft.com/office/drawing/2017/decorative" val="1"/>
                        </a:ext>
                      </a:extLst>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546475" cy="4627245"/>
                    </a:xfrm>
                    <a:prstGeom prst="rect">
                      <a:avLst/>
                    </a:prstGeom>
                    <a:noFill/>
                    <a:ln>
                      <a:noFill/>
                    </a:ln>
                  </pic:spPr>
                </pic:pic>
              </a:graphicData>
            </a:graphic>
          </wp:inline>
        </w:drawing>
      </w:r>
    </w:p>
    <w:p w14:paraId="5A9D620E" w14:textId="738AECE0" w:rsidR="00443BD5" w:rsidRDefault="00443BD5" w:rsidP="00443BD5">
      <w:pPr>
        <w:pStyle w:val="Caption"/>
      </w:pPr>
      <w:bookmarkStart w:id="336" w:name="_Ref126650409"/>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92</w:t>
      </w:r>
      <w:r w:rsidR="004E20BD">
        <w:rPr>
          <w:noProof/>
        </w:rPr>
        <w:fldChar w:fldCharType="end"/>
      </w:r>
      <w:bookmarkEnd w:id="336"/>
      <w:r>
        <w:t>: Split/Divide Unit</w:t>
      </w:r>
    </w:p>
    <w:p w14:paraId="62C7A4AD" w14:textId="77777777" w:rsidR="00443BD5" w:rsidRDefault="00057948" w:rsidP="00443BD5">
      <w:pPr>
        <w:pStyle w:val="BodyText"/>
      </w:pPr>
      <w:r>
        <w:rPr>
          <w:noProof/>
        </w:rPr>
        <w:drawing>
          <wp:inline distT="0" distB="0" distL="0" distR="0" wp14:anchorId="3717A47E" wp14:editId="2E2A4B3B">
            <wp:extent cx="5486400" cy="4775200"/>
            <wp:effectExtent l="0" t="0" r="0" b="6350"/>
            <wp:docPr id="177" name="Picture 177" descr="P4445#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P4445#yIS1">
                      <a:extLst>
                        <a:ext uri="{C183D7F6-B498-43B3-948B-1728B52AA6E4}">
                          <adec:decorative xmlns:adec="http://schemas.microsoft.com/office/drawing/2017/decorative" val="1"/>
                        </a:ext>
                      </a:extLst>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486400" cy="4775200"/>
                    </a:xfrm>
                    <a:prstGeom prst="rect">
                      <a:avLst/>
                    </a:prstGeom>
                    <a:noFill/>
                    <a:ln>
                      <a:noFill/>
                    </a:ln>
                  </pic:spPr>
                </pic:pic>
              </a:graphicData>
            </a:graphic>
          </wp:inline>
        </w:drawing>
      </w:r>
    </w:p>
    <w:p w14:paraId="200568C7" w14:textId="054FAF3D" w:rsidR="00051E30" w:rsidRDefault="00051E30" w:rsidP="00051E30">
      <w:pPr>
        <w:pStyle w:val="Caption"/>
      </w:pPr>
      <w:bookmarkStart w:id="337" w:name="_Ref126650852"/>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93</w:t>
      </w:r>
      <w:r w:rsidR="004E20BD">
        <w:rPr>
          <w:noProof/>
        </w:rPr>
        <w:fldChar w:fldCharType="end"/>
      </w:r>
      <w:bookmarkEnd w:id="337"/>
      <w:r>
        <w:t>: Verify Printed Label</w:t>
      </w:r>
    </w:p>
    <w:p w14:paraId="0A914B4D" w14:textId="77777777" w:rsidR="00051E30" w:rsidRDefault="00057948" w:rsidP="00443BD5">
      <w:pPr>
        <w:pStyle w:val="BodyText"/>
      </w:pPr>
      <w:r>
        <w:rPr>
          <w:noProof/>
        </w:rPr>
        <w:drawing>
          <wp:inline distT="0" distB="0" distL="0" distR="0" wp14:anchorId="39ACF2C4" wp14:editId="2794E02A">
            <wp:extent cx="5809615" cy="3371215"/>
            <wp:effectExtent l="0" t="0" r="635" b="635"/>
            <wp:docPr id="178" name="Picture 178" descr="P4447#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P4447#yIS1">
                      <a:extLst>
                        <a:ext uri="{C183D7F6-B498-43B3-948B-1728B52AA6E4}">
                          <adec:decorative xmlns:adec="http://schemas.microsoft.com/office/drawing/2017/decorative" val="1"/>
                        </a:ext>
                      </a:extLst>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809615" cy="3371215"/>
                    </a:xfrm>
                    <a:prstGeom prst="rect">
                      <a:avLst/>
                    </a:prstGeom>
                    <a:noFill/>
                    <a:ln>
                      <a:noFill/>
                    </a:ln>
                  </pic:spPr>
                </pic:pic>
              </a:graphicData>
            </a:graphic>
          </wp:inline>
        </w:drawing>
      </w:r>
    </w:p>
    <w:p w14:paraId="03027483" w14:textId="77777777" w:rsidR="002A21AE" w:rsidRDefault="00263B24">
      <w:pPr>
        <w:pStyle w:val="Heading4"/>
      </w:pPr>
      <w:r w:rsidRPr="00896F17">
        <w:rPr>
          <w:rStyle w:val="BullhornChar"/>
        </w:rPr>
        <w:t></w:t>
      </w:r>
      <w:r>
        <w:rPr>
          <w:rFonts w:ascii="Webdings" w:hAnsi="Webdings"/>
        </w:rPr>
        <w:t></w:t>
      </w:r>
      <w:r>
        <w:t>A</w:t>
      </w:r>
      <w:r w:rsidR="002A21AE">
        <w:t>lerts</w:t>
      </w:r>
      <w:bookmarkEnd w:id="335"/>
    </w:p>
    <w:p w14:paraId="103C6729" w14:textId="21F39152" w:rsidR="002A21AE" w:rsidRDefault="00B94CA8" w:rsidP="00B94CA8">
      <w:pPr>
        <w:pStyle w:val="Caption"/>
      </w:pPr>
      <w:bookmarkStart w:id="338" w:name="_Ref509898996"/>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647F4E">
        <w:rPr>
          <w:noProof/>
        </w:rPr>
        <w:t>5</w:t>
      </w:r>
      <w:r w:rsidR="004E20BD">
        <w:rPr>
          <w:noProof/>
        </w:rPr>
        <w:fldChar w:fldCharType="end"/>
      </w:r>
      <w:bookmarkEnd w:id="338"/>
      <w:r>
        <w:t>: Alerts That May Occur in Modify Units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0"/>
        <w:gridCol w:w="8580"/>
      </w:tblGrid>
      <w:tr w:rsidR="002A21AE" w14:paraId="6A2778D7" w14:textId="77777777">
        <w:trPr>
          <w:tblHeader/>
        </w:trPr>
        <w:tc>
          <w:tcPr>
            <w:tcW w:w="780" w:type="dxa"/>
            <w:shd w:val="clear" w:color="auto" w:fill="B3B3B3"/>
          </w:tcPr>
          <w:p w14:paraId="784E51C1" w14:textId="77777777" w:rsidR="002A21AE" w:rsidRDefault="002A21AE">
            <w:pPr>
              <w:pStyle w:val="TableText"/>
              <w:rPr>
                <w:b/>
              </w:rPr>
            </w:pPr>
            <w:r>
              <w:rPr>
                <w:b/>
              </w:rPr>
              <w:t>Step</w:t>
            </w:r>
          </w:p>
        </w:tc>
        <w:tc>
          <w:tcPr>
            <w:tcW w:w="8580" w:type="dxa"/>
            <w:shd w:val="clear" w:color="auto" w:fill="B3B3B3"/>
          </w:tcPr>
          <w:p w14:paraId="6FA3635A" w14:textId="77777777" w:rsidR="002A21AE" w:rsidRDefault="002A21AE">
            <w:pPr>
              <w:pStyle w:val="TableText"/>
              <w:rPr>
                <w:b/>
              </w:rPr>
            </w:pPr>
            <w:r>
              <w:rPr>
                <w:b/>
              </w:rPr>
              <w:t>Alerts</w:t>
            </w:r>
          </w:p>
        </w:tc>
      </w:tr>
      <w:tr w:rsidR="002A21AE" w14:paraId="7A514020" w14:textId="77777777">
        <w:tc>
          <w:tcPr>
            <w:tcW w:w="780" w:type="dxa"/>
          </w:tcPr>
          <w:p w14:paraId="0753C7C5" w14:textId="77777777" w:rsidR="002A21AE" w:rsidRDefault="002A21AE">
            <w:pPr>
              <w:pStyle w:val="TableText"/>
            </w:pPr>
            <w:r>
              <w:t>6</w:t>
            </w:r>
          </w:p>
        </w:tc>
        <w:tc>
          <w:tcPr>
            <w:tcW w:w="8580" w:type="dxa"/>
          </w:tcPr>
          <w:p w14:paraId="3423871E" w14:textId="77777777" w:rsidR="002A21AE" w:rsidRDefault="002A21AE">
            <w:pPr>
              <w:pStyle w:val="TableText"/>
            </w:pPr>
            <w:r w:rsidRPr="002D7202">
              <w:rPr>
                <w:rFonts w:cs="Arial"/>
                <w:vanish/>
                <w:color w:val="0000FF"/>
                <w:szCs w:val="18"/>
              </w:rPr>
              <w:t>BR_26.03</w:t>
            </w:r>
            <w:r w:rsidR="00CE3961" w:rsidRPr="00CE3961">
              <w:rPr>
                <w:vanish/>
                <w:szCs w:val="18"/>
              </w:rPr>
              <w:t>,</w:t>
            </w:r>
            <w:r w:rsidRPr="00CE3961">
              <w:rPr>
                <w:vanish/>
                <w:szCs w:val="18"/>
              </w:rPr>
              <w:t xml:space="preserve"> </w:t>
            </w:r>
            <w:r>
              <w:rPr>
                <w:vanish/>
                <w:szCs w:val="18"/>
              </w:rPr>
              <w:t xml:space="preserve">BR_26.44 </w:t>
            </w:r>
            <w:r>
              <w:t xml:space="preserve">VBECS compares the original unit’s expiration date and time to those of the modification to determine whether the selected unit was expired at the time of modification. When the user is a Blood Bank Technologist and the unit selected for modification expired, VBECS </w:t>
            </w:r>
            <w:r w:rsidR="007313EB">
              <w:t xml:space="preserve">emits an audible alert, </w:t>
            </w:r>
            <w:r>
              <w:t>displays an error message, clears the selected unit, and allows the user to select another unit for modification.</w:t>
            </w:r>
          </w:p>
          <w:p w14:paraId="5203465D" w14:textId="77777777" w:rsidR="002A21AE" w:rsidRDefault="002A21AE">
            <w:pPr>
              <w:pStyle w:val="TableText"/>
            </w:pPr>
          </w:p>
          <w:p w14:paraId="62AF4E07" w14:textId="77777777" w:rsidR="002A21AE" w:rsidRDefault="002A21AE">
            <w:pPr>
              <w:pStyle w:val="TableTextBullet1"/>
              <w:numPr>
                <w:ilvl w:val="0"/>
                <w:numId w:val="0"/>
              </w:numPr>
            </w:pPr>
            <w:r w:rsidRPr="00EC7489">
              <w:rPr>
                <w:rFonts w:ascii="Wingdings 3" w:hAnsi="Wingdings 3" w:cs="Wingdings"/>
              </w:rPr>
              <w:t></w:t>
            </w:r>
            <w:r w:rsidRPr="00EC7489">
              <w:rPr>
                <w:rFonts w:ascii="Wingdings 3" w:hAnsi="Wingdings 3" w:cs="Wingdings"/>
              </w:rPr>
              <w:t></w:t>
            </w:r>
            <w:r>
              <w:t xml:space="preserve"> When the user is an Enhanced Technologist and the unit selected for modification is expired, VBECS emits an audible alert, notifies the user, and asks him to verify to continue, or cancel to correct the entry data. </w:t>
            </w:r>
            <w:r w:rsidR="00692DD1">
              <w:rPr>
                <w:b/>
              </w:rPr>
              <w:t>Override</w:t>
            </w:r>
            <w:r w:rsidR="00692DD1">
              <w:t xml:space="preserve"> </w:t>
            </w:r>
            <w:r>
              <w:t xml:space="preserve">requires a comment and VBECS captures details for inclusion in an Exception Report (exception type: expires unit modified). </w:t>
            </w:r>
            <w:r>
              <w:rPr>
                <w:b/>
              </w:rPr>
              <w:t>Cancel</w:t>
            </w:r>
            <w:r>
              <w:t xml:space="preserve"> clears the selected unit and allows the user to select another unit for modification.</w:t>
            </w:r>
          </w:p>
        </w:tc>
      </w:tr>
      <w:tr w:rsidR="002A21AE" w14:paraId="329DA3A7" w14:textId="77777777">
        <w:tc>
          <w:tcPr>
            <w:tcW w:w="780" w:type="dxa"/>
          </w:tcPr>
          <w:p w14:paraId="1A1606CF" w14:textId="77777777" w:rsidR="002A21AE" w:rsidRDefault="002A21AE">
            <w:pPr>
              <w:pStyle w:val="TableText"/>
            </w:pPr>
            <w:r>
              <w:t>6</w:t>
            </w:r>
          </w:p>
        </w:tc>
        <w:tc>
          <w:tcPr>
            <w:tcW w:w="8580" w:type="dxa"/>
          </w:tcPr>
          <w:p w14:paraId="5A0FFE5A" w14:textId="77777777" w:rsidR="002A21AE" w:rsidRDefault="002A21AE">
            <w:pPr>
              <w:pStyle w:val="TableText"/>
            </w:pPr>
            <w:r w:rsidRPr="00317A8A">
              <w:rPr>
                <w:rFonts w:cs="Arial"/>
                <w:vanish/>
                <w:color w:val="0000FF"/>
              </w:rPr>
              <w:t>BR_26.07</w:t>
            </w:r>
            <w:r>
              <w:rPr>
                <w:rFonts w:cs="Arial"/>
                <w:vanish/>
              </w:rPr>
              <w:t xml:space="preserve"> </w:t>
            </w:r>
            <w:r>
              <w:t>When ABO/Rh confirmation testing is required but not performed, VBECS notifies the user that testing must be completed before issuing a target unit. The user may continue with the modification.</w:t>
            </w:r>
          </w:p>
        </w:tc>
      </w:tr>
      <w:tr w:rsidR="002A21AE" w14:paraId="044B4FF4" w14:textId="77777777">
        <w:tc>
          <w:tcPr>
            <w:tcW w:w="780" w:type="dxa"/>
          </w:tcPr>
          <w:p w14:paraId="649C1927" w14:textId="77777777" w:rsidR="002A21AE" w:rsidRDefault="002A21AE">
            <w:pPr>
              <w:pStyle w:val="TableText"/>
            </w:pPr>
            <w:r>
              <w:t>6</w:t>
            </w:r>
          </w:p>
        </w:tc>
        <w:tc>
          <w:tcPr>
            <w:tcW w:w="8580" w:type="dxa"/>
          </w:tcPr>
          <w:p w14:paraId="537DE50D" w14:textId="77777777" w:rsidR="00A36571" w:rsidRDefault="00A36571" w:rsidP="00A36571">
            <w:pPr>
              <w:pStyle w:val="TableText"/>
            </w:pPr>
            <w:r w:rsidRPr="004A4EC2">
              <w:rPr>
                <w:rFonts w:cs="Arial"/>
                <w:vanish/>
                <w:color w:val="0000FF"/>
              </w:rPr>
              <w:t>BR_26.05</w:t>
            </w:r>
            <w:r>
              <w:rPr>
                <w:rFonts w:cs="Arial"/>
                <w:vanish/>
              </w:rPr>
              <w:t xml:space="preserve"> </w:t>
            </w:r>
            <w:r>
              <w:t>When a unit has an indicator of “quarantined,” VBECS notifies the user that it must be released before processing may continue, clears the selected unit, and allows the user to select another unit.</w:t>
            </w:r>
          </w:p>
          <w:p w14:paraId="1FC9158B" w14:textId="77777777" w:rsidR="00A36571" w:rsidRDefault="00A36571" w:rsidP="00A36571">
            <w:pPr>
              <w:pStyle w:val="TableText"/>
            </w:pPr>
          </w:p>
          <w:p w14:paraId="004C259B" w14:textId="77777777" w:rsidR="002A21AE" w:rsidRDefault="00A36571" w:rsidP="00A36571">
            <w:pPr>
              <w:pStyle w:val="TableText"/>
            </w:pPr>
            <w:r w:rsidRPr="004A4EC2">
              <w:rPr>
                <w:rFonts w:cs="Arial"/>
                <w:vanish/>
                <w:color w:val="0000FF"/>
              </w:rPr>
              <w:t>BR_26.06</w:t>
            </w:r>
            <w:r>
              <w:rPr>
                <w:rFonts w:cs="Arial"/>
                <w:vanish/>
              </w:rPr>
              <w:t xml:space="preserve"> </w:t>
            </w:r>
            <w:r w:rsidRPr="00EC7489">
              <w:rPr>
                <w:rFonts w:ascii="Wingdings 3" w:hAnsi="Wingdings 3" w:cs="Wingdings"/>
              </w:rPr>
              <w:t></w:t>
            </w:r>
            <w:r w:rsidRPr="00EC7489">
              <w:rPr>
                <w:rFonts w:ascii="Wingdings 3" w:hAnsi="Wingdings 3" w:cs="Wingdings"/>
              </w:rPr>
              <w:t></w:t>
            </w:r>
            <w:r>
              <w:t xml:space="preserve"> When the user is an Enhanced Technologist and a unit has an indicator of “quarantined,” VBECS notifies the user that it must be released before processing may continue and asks whether the user wishes to release the unit. </w:t>
            </w:r>
            <w:r>
              <w:rPr>
                <w:b/>
              </w:rPr>
              <w:t>Cancel</w:t>
            </w:r>
            <w:r>
              <w:t xml:space="preserve"> clears the selected unit and allows the user to select another unit. </w:t>
            </w:r>
            <w:r>
              <w:rPr>
                <w:b/>
              </w:rPr>
              <w:t>Override</w:t>
            </w:r>
            <w:r>
              <w:t xml:space="preserve"> releases the unit through Discard or Quarantine.</w:t>
            </w:r>
          </w:p>
        </w:tc>
      </w:tr>
      <w:tr w:rsidR="002A21AE" w14:paraId="0A5C75D6" w14:textId="77777777">
        <w:tc>
          <w:tcPr>
            <w:tcW w:w="780" w:type="dxa"/>
          </w:tcPr>
          <w:p w14:paraId="5846F04C" w14:textId="77777777" w:rsidR="002A21AE" w:rsidRDefault="002A21AE">
            <w:pPr>
              <w:pStyle w:val="TableText"/>
            </w:pPr>
            <w:r>
              <w:t>6</w:t>
            </w:r>
          </w:p>
        </w:tc>
        <w:tc>
          <w:tcPr>
            <w:tcW w:w="8580" w:type="dxa"/>
          </w:tcPr>
          <w:p w14:paraId="347D85B6" w14:textId="77777777" w:rsidR="002A21AE" w:rsidRDefault="002A21AE">
            <w:pPr>
              <w:pStyle w:val="TableText"/>
            </w:pPr>
            <w:r w:rsidRPr="00150E0F">
              <w:rPr>
                <w:rFonts w:cs="Arial"/>
                <w:vanish/>
                <w:color w:val="0000FF"/>
              </w:rPr>
              <w:t>BR_26.42</w:t>
            </w:r>
            <w:r>
              <w:rPr>
                <w:rFonts w:cs="Arial"/>
                <w:vanish/>
              </w:rPr>
              <w:t xml:space="preserve"> </w:t>
            </w:r>
            <w:r>
              <w:t xml:space="preserve">When the selected unit has a positive biohazard Indicator, </w:t>
            </w:r>
            <w:r w:rsidR="00796883">
              <w:t xml:space="preserve">VBECS will not allow modification unless the user role is Enhanced Technologist, VBECS security levels 2 and above. When the user role is Technologist, VBECS security level 1, the system emits an audible alert and displays a warning </w:t>
            </w:r>
            <w:r w:rsidR="00796883">
              <w:lastRenderedPageBreak/>
              <w:t>message stating that the user does not have the proper security to perform this function. The system does not allow an override.</w:t>
            </w:r>
          </w:p>
          <w:p w14:paraId="4E7F729B" w14:textId="77777777" w:rsidR="00796883" w:rsidRDefault="00796883">
            <w:pPr>
              <w:pStyle w:val="TableText"/>
            </w:pPr>
            <w:r>
              <w:t>When the user role is Enhanced Technologist, VBECS security levels 2 and above, VBECS provides an audible alert and displays a warning message: "&lt;Unit ID, Product Name&gt; is Biohazardous. Do you wish to continue with the modification?" If the user responds “No,” the unit is cleared from the screen and a new unit can be selected. If the user responds “Yes,” a comment (context: Unit modification) is required. Details of this override are captured for inclusion in an exception report.</w:t>
            </w:r>
          </w:p>
        </w:tc>
      </w:tr>
      <w:tr w:rsidR="002A21AE" w14:paraId="1FC49BD6" w14:textId="77777777">
        <w:tc>
          <w:tcPr>
            <w:tcW w:w="780" w:type="dxa"/>
          </w:tcPr>
          <w:p w14:paraId="182137D6" w14:textId="77777777" w:rsidR="002A21AE" w:rsidRDefault="007B681E">
            <w:pPr>
              <w:pStyle w:val="TableText"/>
            </w:pPr>
            <w:r>
              <w:lastRenderedPageBreak/>
              <w:t>8</w:t>
            </w:r>
          </w:p>
        </w:tc>
        <w:tc>
          <w:tcPr>
            <w:tcW w:w="8580" w:type="dxa"/>
          </w:tcPr>
          <w:p w14:paraId="4D67BCD8" w14:textId="77777777" w:rsidR="002A21AE" w:rsidRDefault="002A21AE">
            <w:pPr>
              <w:pStyle w:val="TableText"/>
            </w:pPr>
            <w:r>
              <w:rPr>
                <w:rFonts w:cs="Arial"/>
                <w:vanish/>
              </w:rPr>
              <w:t xml:space="preserve">BR_26.46 </w:t>
            </w:r>
            <w:r>
              <w:t xml:space="preserve">When a supply item is expired, VBECS emits an audible alert, warns the user, and asks whether the user still wishes to use the item. </w:t>
            </w:r>
            <w:r>
              <w:rPr>
                <w:b/>
              </w:rPr>
              <w:t>Yes</w:t>
            </w:r>
            <w:r>
              <w:t xml:space="preserve"> requires a comment and VBECS captures details for inclusion in an Exception Report (exception type: expires supply used in unit modification). </w:t>
            </w:r>
            <w:r>
              <w:rPr>
                <w:b/>
              </w:rPr>
              <w:t>No</w:t>
            </w:r>
            <w:r>
              <w:t xml:space="preserve"> requires the user to select another supply lot number.</w:t>
            </w:r>
          </w:p>
        </w:tc>
      </w:tr>
      <w:tr w:rsidR="002A21AE" w14:paraId="619486C3" w14:textId="77777777">
        <w:tc>
          <w:tcPr>
            <w:tcW w:w="780" w:type="dxa"/>
          </w:tcPr>
          <w:p w14:paraId="549B33C3" w14:textId="77777777" w:rsidR="002A21AE" w:rsidRDefault="002A21AE">
            <w:pPr>
              <w:pStyle w:val="TableText"/>
            </w:pPr>
            <w:r>
              <w:t>10</w:t>
            </w:r>
          </w:p>
        </w:tc>
        <w:tc>
          <w:tcPr>
            <w:tcW w:w="8580" w:type="dxa"/>
          </w:tcPr>
          <w:p w14:paraId="611DA391" w14:textId="77777777" w:rsidR="002A21AE" w:rsidRDefault="002A21AE">
            <w:pPr>
              <w:pStyle w:val="TableText"/>
            </w:pPr>
            <w:r w:rsidRPr="003354C6">
              <w:rPr>
                <w:rFonts w:cs="Arial"/>
                <w:vanish/>
                <w:color w:val="0000FF"/>
              </w:rPr>
              <w:t>BR_26.28</w:t>
            </w:r>
            <w:r>
              <w:rPr>
                <w:rFonts w:cs="Arial"/>
                <w:vanish/>
              </w:rPr>
              <w:t xml:space="preserve"> </w:t>
            </w:r>
            <w:r>
              <w:t xml:space="preserve">When the user </w:t>
            </w:r>
            <w:r w:rsidR="005C01E3">
              <w:t>extends</w:t>
            </w:r>
            <w:r>
              <w:t xml:space="preserve"> the </w:t>
            </w:r>
            <w:r w:rsidR="0003608A">
              <w:t>system-recommended</w:t>
            </w:r>
            <w:r>
              <w:t xml:space="preserve"> expiration date and time, VBECS warns the user, asks him to reenter the unit expiration date, and </w:t>
            </w:r>
            <w:r w:rsidR="00C877D1">
              <w:t>redisplays</w:t>
            </w:r>
            <w:r w:rsidR="00811354">
              <w:t xml:space="preserve"> </w:t>
            </w:r>
            <w:r>
              <w:t xml:space="preserve">the </w:t>
            </w:r>
            <w:r w:rsidR="00C877D1">
              <w:t xml:space="preserve">original </w:t>
            </w:r>
            <w:r>
              <w:t>entry. The user may enter another expiration date and time for the target unit.</w:t>
            </w:r>
          </w:p>
          <w:p w14:paraId="4918E8D0" w14:textId="77777777" w:rsidR="002A21AE" w:rsidRDefault="002A21AE">
            <w:pPr>
              <w:pStyle w:val="TableText"/>
            </w:pPr>
          </w:p>
          <w:p w14:paraId="5BA8460F" w14:textId="77777777" w:rsidR="002A21AE" w:rsidRDefault="002A21AE">
            <w:pPr>
              <w:pStyle w:val="TableText"/>
            </w:pPr>
            <w:r w:rsidRPr="003354C6">
              <w:rPr>
                <w:rFonts w:cs="Arial"/>
                <w:vanish/>
                <w:color w:val="0000FF"/>
              </w:rPr>
              <w:t>BR_26.21</w:t>
            </w:r>
            <w:r>
              <w:rPr>
                <w:rFonts w:cs="Arial"/>
                <w:vanish/>
              </w:rPr>
              <w:t xml:space="preserve"> </w:t>
            </w:r>
            <w:r w:rsidRPr="00EC7489">
              <w:rPr>
                <w:rFonts w:ascii="Wingdings 3" w:hAnsi="Wingdings 3" w:cs="Wingdings"/>
              </w:rPr>
              <w:t></w:t>
            </w:r>
            <w:r w:rsidRPr="00EC7489">
              <w:rPr>
                <w:rFonts w:ascii="Wingdings 3" w:hAnsi="Wingdings 3" w:cs="Wingdings"/>
              </w:rPr>
              <w:t></w:t>
            </w:r>
            <w:r>
              <w:t xml:space="preserve"> When an Enhanced Technologist extends the target unit expiration date and time past the system-recommended expiration date and time, VBECS emits an audible alert, warns the user, and asks whether he wishes to continue.</w:t>
            </w:r>
            <w:r w:rsidR="00323872">
              <w:t xml:space="preserve"> </w:t>
            </w:r>
            <w:r w:rsidR="00323872" w:rsidRPr="00323872">
              <w:rPr>
                <w:b/>
              </w:rPr>
              <w:t>Cancel</w:t>
            </w:r>
            <w:r w:rsidR="00323872">
              <w:t xml:space="preserve"> restores the expiration</w:t>
            </w:r>
            <w:r w:rsidR="00E00D0E">
              <w:t xml:space="preserve"> date</w:t>
            </w:r>
            <w:r w:rsidR="00323872">
              <w:t xml:space="preserve">. </w:t>
            </w:r>
            <w:r w:rsidR="00323872" w:rsidRPr="00323872">
              <w:rPr>
                <w:b/>
              </w:rPr>
              <w:t>Override</w:t>
            </w:r>
            <w:r w:rsidR="00323872">
              <w:t xml:space="preserve"> allows the user to</w:t>
            </w:r>
            <w:r w:rsidR="00AA6C54">
              <w:t xml:space="preserve"> </w:t>
            </w:r>
            <w:r w:rsidR="00323872">
              <w:t>continue</w:t>
            </w:r>
            <w:r>
              <w:t xml:space="preserve"> with this date</w:t>
            </w:r>
            <w:r w:rsidR="00323872">
              <w:t>,</w:t>
            </w:r>
            <w:r>
              <w:t xml:space="preserve"> requires a comment</w:t>
            </w:r>
            <w:r w:rsidR="00323872">
              <w:t>,</w:t>
            </w:r>
            <w:r>
              <w:t xml:space="preserve"> and captures details for inclusion in an Exception Report (exception type: target product outdate extended).</w:t>
            </w:r>
            <w:r w:rsidR="00D76D67">
              <w:t xml:space="preserve"> </w:t>
            </w:r>
            <w:r w:rsidR="00D76D67">
              <w:rPr>
                <w:rStyle w:val="StyleTableText9ptCharChar"/>
              </w:rPr>
              <w:t>Information about this transaction and the comment are queued for an exception report.</w:t>
            </w:r>
          </w:p>
        </w:tc>
      </w:tr>
      <w:tr w:rsidR="00E979DB" w14:paraId="5CDFA49A" w14:textId="77777777">
        <w:tc>
          <w:tcPr>
            <w:tcW w:w="780" w:type="dxa"/>
          </w:tcPr>
          <w:p w14:paraId="1A02D476" w14:textId="77777777" w:rsidR="00E979DB" w:rsidRDefault="00E979DB">
            <w:pPr>
              <w:pStyle w:val="TableText"/>
            </w:pPr>
            <w:r>
              <w:t>13</w:t>
            </w:r>
          </w:p>
        </w:tc>
        <w:tc>
          <w:tcPr>
            <w:tcW w:w="8580" w:type="dxa"/>
          </w:tcPr>
          <w:p w14:paraId="799D82BD" w14:textId="77777777" w:rsidR="00E979DB" w:rsidRDefault="00E979DB" w:rsidP="00E979DB">
            <w:pPr>
              <w:pStyle w:val="NotesText"/>
              <w:ind w:left="0"/>
            </w:pPr>
            <w:r>
              <w:t>When there is no match,</w:t>
            </w:r>
            <w:r>
              <w:rPr>
                <w:noProof/>
                <w:color w:val="000000"/>
              </w:rPr>
              <w:t xml:space="preserve"> VBECS emits an audible alert, notifies the user, </w:t>
            </w:r>
            <w:r>
              <w:t xml:space="preserve">and instructs him to verify the labeling and reenter label data or select </w:t>
            </w:r>
            <w:r>
              <w:rPr>
                <w:b/>
              </w:rPr>
              <w:t>Cancel</w:t>
            </w:r>
            <w:r>
              <w:t xml:space="preserve">. </w:t>
            </w:r>
          </w:p>
          <w:p w14:paraId="2AAD7EA1" w14:textId="77777777" w:rsidR="00E979DB" w:rsidRPr="003354C6" w:rsidRDefault="00E979DB">
            <w:pPr>
              <w:pStyle w:val="TableText"/>
              <w:rPr>
                <w:rFonts w:cs="Arial"/>
                <w:vanish/>
                <w:color w:val="0000FF"/>
              </w:rPr>
            </w:pPr>
          </w:p>
        </w:tc>
      </w:tr>
    </w:tbl>
    <w:p w14:paraId="0ABA980B" w14:textId="77777777" w:rsidR="000A126F" w:rsidRDefault="000A126F">
      <w:pPr>
        <w:pStyle w:val="Heading3"/>
      </w:pPr>
      <w:bookmarkStart w:id="339" w:name="_Toc94349323"/>
      <w:bookmarkEnd w:id="332"/>
    </w:p>
    <w:p w14:paraId="33678748" w14:textId="77777777" w:rsidR="002A21AE" w:rsidRDefault="000A126F">
      <w:pPr>
        <w:pStyle w:val="Heading3"/>
      </w:pPr>
      <w:r>
        <w:br w:type="page"/>
      </w:r>
      <w:bookmarkStart w:id="340" w:name="_Toc4588784"/>
      <w:r w:rsidR="002A21AE">
        <w:lastRenderedPageBreak/>
        <w:t>Modify Units: Split a Unit</w:t>
      </w:r>
      <w:bookmarkEnd w:id="340"/>
      <w:r w:rsidR="002A21AE" w:rsidRPr="007716F7">
        <w:rPr>
          <w:vanish/>
        </w:rPr>
        <w:fldChar w:fldCharType="begin"/>
      </w:r>
      <w:r w:rsidR="002A21AE" w:rsidRPr="007716F7">
        <w:rPr>
          <w:vanish/>
        </w:rPr>
        <w:instrText xml:space="preserve"> XE </w:instrText>
      </w:r>
      <w:r w:rsidR="00FA7E65" w:rsidRPr="007716F7">
        <w:rPr>
          <w:vanish/>
        </w:rPr>
        <w:instrText>“</w:instrText>
      </w:r>
      <w:r w:rsidR="002A21AE" w:rsidRPr="007716F7">
        <w:rPr>
          <w:vanish/>
        </w:rPr>
        <w:instrText>Modify Units\: Split a Unit</w:instrText>
      </w:r>
      <w:r w:rsidR="00FA7E65" w:rsidRPr="007716F7">
        <w:rPr>
          <w:vanish/>
        </w:rPr>
        <w:instrText>”</w:instrText>
      </w:r>
      <w:r w:rsidR="002A21AE" w:rsidRPr="007716F7">
        <w:rPr>
          <w:vanish/>
        </w:rPr>
        <w:instrText xml:space="preserve"> </w:instrText>
      </w:r>
      <w:r w:rsidR="002A21AE" w:rsidRPr="007716F7">
        <w:rPr>
          <w:vanish/>
        </w:rPr>
        <w:fldChar w:fldCharType="end"/>
      </w:r>
      <w:r w:rsidR="002A21AE" w:rsidRPr="007716F7">
        <w:rPr>
          <w:vanish/>
        </w:rPr>
        <w:t xml:space="preserve"> UC_2</w:t>
      </w:r>
      <w:bookmarkEnd w:id="339"/>
      <w:r w:rsidR="00B30CE5">
        <w:rPr>
          <w:vanish/>
        </w:rPr>
        <w:t>6</w:t>
      </w:r>
    </w:p>
    <w:p w14:paraId="25BDB238" w14:textId="77777777" w:rsidR="002A21AE" w:rsidRDefault="002A21AE" w:rsidP="00FA7E65">
      <w:pPr>
        <w:pStyle w:val="BodyText"/>
      </w:pPr>
      <w:bookmarkStart w:id="341" w:name="_Toc77662537"/>
      <w:r>
        <w:t xml:space="preserve">The user selects the unit to be split (divided) for transfusion. </w:t>
      </w:r>
    </w:p>
    <w:p w14:paraId="796AD8BF" w14:textId="77777777" w:rsidR="002A21AE" w:rsidRDefault="002A21AE">
      <w:pPr>
        <w:pStyle w:val="Heading4"/>
      </w:pPr>
      <w:bookmarkStart w:id="342" w:name="_Toc94349324"/>
      <w:r>
        <w:t>Assumptions</w:t>
      </w:r>
      <w:bookmarkEnd w:id="342"/>
    </w:p>
    <w:p w14:paraId="1309FF64" w14:textId="77777777" w:rsidR="002A21AE" w:rsidRDefault="002A21AE">
      <w:pPr>
        <w:pStyle w:val="ListBullet"/>
      </w:pPr>
      <w:r>
        <w:t>See Modify Units.</w:t>
      </w:r>
    </w:p>
    <w:p w14:paraId="0197574E" w14:textId="77777777" w:rsidR="002A21AE" w:rsidRDefault="002A21AE">
      <w:pPr>
        <w:pStyle w:val="Heading4"/>
      </w:pPr>
      <w:bookmarkStart w:id="343" w:name="_Toc94349325"/>
      <w:r>
        <w:t>Outcome</w:t>
      </w:r>
      <w:bookmarkEnd w:id="343"/>
    </w:p>
    <w:p w14:paraId="25FCF2C0" w14:textId="77777777" w:rsidR="002A21AE" w:rsidRDefault="002A21AE">
      <w:pPr>
        <w:pStyle w:val="ListBullet"/>
      </w:pPr>
      <w:r>
        <w:t>See Modify Units.</w:t>
      </w:r>
    </w:p>
    <w:p w14:paraId="73F9780E" w14:textId="77777777" w:rsidR="002A21AE" w:rsidRDefault="002A21AE">
      <w:pPr>
        <w:pStyle w:val="Heading4"/>
      </w:pPr>
      <w:bookmarkStart w:id="344" w:name="_Toc94349326"/>
      <w:r>
        <w:t>Limitations and Restrictions</w:t>
      </w:r>
      <w:bookmarkEnd w:id="344"/>
    </w:p>
    <w:p w14:paraId="447FA14B" w14:textId="77777777" w:rsidR="00516343" w:rsidRDefault="002A21AE">
      <w:pPr>
        <w:pStyle w:val="ListBullet"/>
      </w:pPr>
      <w:r>
        <w:rPr>
          <w:rFonts w:ascii="Arial" w:hAnsi="Arial" w:cs="Arial"/>
          <w:vanish/>
          <w:spacing w:val="0"/>
          <w:sz w:val="18"/>
        </w:rPr>
        <w:t xml:space="preserve">BR_25.21 </w:t>
      </w:r>
      <w:r>
        <w:t xml:space="preserve">A </w:t>
      </w:r>
      <w:r w:rsidR="004248F5">
        <w:t xml:space="preserve">unit </w:t>
      </w:r>
      <w:r>
        <w:t xml:space="preserve">previously split </w:t>
      </w:r>
      <w:r w:rsidR="004248F5">
        <w:t xml:space="preserve">in VBECS </w:t>
      </w:r>
      <w:r>
        <w:t xml:space="preserve">cannot be split again. </w:t>
      </w:r>
      <w:r w:rsidR="00516343">
        <w:t>Only an ISBT unit that was split outside of VBECS can be split again.</w:t>
      </w:r>
    </w:p>
    <w:p w14:paraId="6F5B8133" w14:textId="6F313010" w:rsidR="00516343" w:rsidRDefault="00516343">
      <w:pPr>
        <w:pStyle w:val="ListBullet"/>
      </w:pPr>
      <w:r w:rsidRPr="00516343">
        <w:rPr>
          <w:vanish/>
        </w:rPr>
        <w:t xml:space="preserve">BR_25.21 </w:t>
      </w:r>
      <w:r w:rsidR="00CD635A">
        <w:t>A unit pooled in VBECS may no</w:t>
      </w:r>
      <w:r w:rsidR="00F744C5">
        <w:t>t be split</w:t>
      </w:r>
      <w:r>
        <w:t>.</w:t>
      </w:r>
    </w:p>
    <w:p w14:paraId="3E29D3DA" w14:textId="24DC1859" w:rsidR="002A21AE" w:rsidRDefault="00516343" w:rsidP="00F744C5">
      <w:pPr>
        <w:pStyle w:val="ListBullet"/>
      </w:pPr>
      <w:r w:rsidRPr="00516343">
        <w:rPr>
          <w:vanish/>
        </w:rPr>
        <w:t xml:space="preserve">BR_25.21 </w:t>
      </w:r>
      <w:r w:rsidR="00CD635A">
        <w:t>A unit that has a division code present upon receipt in incoming shipment may be split in VBECS.</w:t>
      </w:r>
    </w:p>
    <w:p w14:paraId="2A9EDE48" w14:textId="2AADB971" w:rsidR="003F270D" w:rsidRDefault="003F270D" w:rsidP="003F270D">
      <w:pPr>
        <w:pStyle w:val="ListBullet"/>
      </w:pPr>
      <w:r>
        <w:rPr>
          <w:rFonts w:cs="Arial"/>
          <w:szCs w:val="18"/>
        </w:rPr>
        <w:t xml:space="preserve">Weld controls are disabled after the user makes their initial selection. </w:t>
      </w:r>
      <w:r>
        <w:rPr>
          <w:rFonts w:cs="Arial"/>
          <w:vanish/>
          <w:szCs w:val="18"/>
        </w:rPr>
        <w:t>Task 80350</w:t>
      </w:r>
      <w:r w:rsidRPr="003F270D">
        <w:rPr>
          <w:rFonts w:cs="Arial"/>
          <w:vanish/>
          <w:szCs w:val="18"/>
        </w:rPr>
        <w:t>7</w:t>
      </w:r>
    </w:p>
    <w:p w14:paraId="65B11CAC" w14:textId="77777777" w:rsidR="002A21AE" w:rsidRDefault="002A21AE">
      <w:pPr>
        <w:pStyle w:val="Heading4"/>
      </w:pPr>
      <w:bookmarkStart w:id="345" w:name="_Toc94349327"/>
      <w:r>
        <w:t>Additional Information</w:t>
      </w:r>
      <w:bookmarkEnd w:id="345"/>
    </w:p>
    <w:p w14:paraId="56A5E174" w14:textId="77777777" w:rsidR="00A03B5F" w:rsidRDefault="00A03B5F" w:rsidP="00A03B5F">
      <w:pPr>
        <w:pStyle w:val="ListBullet"/>
      </w:pPr>
      <w:r>
        <w:t xml:space="preserve">To reverse other modifications, remove the “modified” status from each unit through </w:t>
      </w:r>
      <w:r w:rsidR="00131240">
        <w:t xml:space="preserve">Supervisor Menu, </w:t>
      </w:r>
      <w:r>
        <w:t>Remove Final Status.</w:t>
      </w:r>
    </w:p>
    <w:p w14:paraId="34C6F95B" w14:textId="77777777" w:rsidR="002A21AE" w:rsidRDefault="002A21AE">
      <w:pPr>
        <w:pStyle w:val="Heading4"/>
      </w:pPr>
      <w:bookmarkStart w:id="346" w:name="_Toc94349328"/>
      <w:r>
        <w:t>User Roles with Access to This Option</w:t>
      </w:r>
      <w:bookmarkEnd w:id="346"/>
    </w:p>
    <w:p w14:paraId="5058E635" w14:textId="77777777" w:rsidR="00700CAA" w:rsidRDefault="00700CAA" w:rsidP="00700CAA">
      <w:pPr>
        <w:pStyle w:val="Roles"/>
        <w:rPr>
          <w:snapToGrid w:val="0"/>
        </w:rPr>
      </w:pPr>
      <w:r>
        <w:t>All users</w:t>
      </w:r>
    </w:p>
    <w:bookmarkEnd w:id="341"/>
    <w:p w14:paraId="7D846A66" w14:textId="77777777" w:rsidR="002A21AE" w:rsidRDefault="002A21AE">
      <w:pPr>
        <w:pStyle w:val="Heading4"/>
      </w:pPr>
      <w:r w:rsidRPr="00FA2D4C">
        <w:t>Modify Units: Split a Unit</w:t>
      </w:r>
    </w:p>
    <w:p w14:paraId="5BF2C184" w14:textId="77777777" w:rsidR="002A21AE" w:rsidRDefault="002A21AE" w:rsidP="00FA7E65">
      <w:pPr>
        <w:pStyle w:val="BodyText"/>
      </w:pPr>
      <w:r>
        <w:t>The user selects the unit to be split for transfusion. VBECS automatically applies directed and autologous restrictions to aliquots created. The user may or may not maintain patient assignments (usually, these units are crossmatched and available for the patient before the split is made). This section lists only rules unique to the division of a blood unit.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1A2736C" w14:textId="77777777">
        <w:trPr>
          <w:tblHeader/>
        </w:trPr>
        <w:tc>
          <w:tcPr>
            <w:tcW w:w="3240" w:type="dxa"/>
            <w:shd w:val="pct30" w:color="auto" w:fill="FFFFFF"/>
            <w:vAlign w:val="bottom"/>
          </w:tcPr>
          <w:p w14:paraId="0AF6C58A" w14:textId="77777777" w:rsidR="002A21AE" w:rsidRDefault="002A21AE">
            <w:pPr>
              <w:pStyle w:val="TableText"/>
              <w:rPr>
                <w:b/>
              </w:rPr>
            </w:pPr>
            <w:r>
              <w:rPr>
                <w:b/>
              </w:rPr>
              <w:t>User Action</w:t>
            </w:r>
          </w:p>
        </w:tc>
        <w:tc>
          <w:tcPr>
            <w:tcW w:w="6120" w:type="dxa"/>
            <w:shd w:val="pct30" w:color="auto" w:fill="FFFFFF"/>
            <w:vAlign w:val="bottom"/>
          </w:tcPr>
          <w:p w14:paraId="3804F7C8" w14:textId="77777777" w:rsidR="002A21AE" w:rsidRDefault="002A21AE">
            <w:pPr>
              <w:pStyle w:val="TableText"/>
              <w:rPr>
                <w:b/>
              </w:rPr>
            </w:pPr>
            <w:r>
              <w:rPr>
                <w:b/>
              </w:rPr>
              <w:t>VBECS</w:t>
            </w:r>
          </w:p>
        </w:tc>
      </w:tr>
      <w:tr w:rsidR="002A21AE" w14:paraId="7E6FD3E5" w14:textId="77777777">
        <w:tc>
          <w:tcPr>
            <w:tcW w:w="3240" w:type="dxa"/>
          </w:tcPr>
          <w:p w14:paraId="4032BFD0" w14:textId="77777777" w:rsidR="002A21AE" w:rsidRDefault="002A21AE">
            <w:pPr>
              <w:pStyle w:val="TableTextNumbers"/>
            </w:pPr>
            <w:r>
              <w:t xml:space="preserve">Select </w:t>
            </w:r>
            <w:r>
              <w:rPr>
                <w:b/>
              </w:rPr>
              <w:t>Blood Units</w:t>
            </w:r>
            <w:r>
              <w:t xml:space="preserve"> from the main menu. </w:t>
            </w:r>
          </w:p>
          <w:p w14:paraId="75F576A3" w14:textId="77777777" w:rsidR="002A21AE" w:rsidRDefault="002A21AE">
            <w:pPr>
              <w:pStyle w:val="TableTextNumbersContinued"/>
            </w:pPr>
          </w:p>
          <w:p w14:paraId="64D53084" w14:textId="77777777" w:rsidR="002A21AE" w:rsidRDefault="002A21AE">
            <w:pPr>
              <w:pStyle w:val="TableTextNumbersContinued"/>
            </w:pPr>
            <w:r>
              <w:t xml:space="preserve">Select </w:t>
            </w:r>
            <w:r>
              <w:rPr>
                <w:b/>
              </w:rPr>
              <w:t>Modify Units</w:t>
            </w:r>
            <w:r>
              <w:t>.</w:t>
            </w:r>
          </w:p>
        </w:tc>
        <w:tc>
          <w:tcPr>
            <w:tcW w:w="6120" w:type="dxa"/>
          </w:tcPr>
          <w:p w14:paraId="61B327F8" w14:textId="77777777" w:rsidR="002A21AE" w:rsidRDefault="002A21AE">
            <w:pPr>
              <w:pStyle w:val="TableTextBullet"/>
            </w:pPr>
            <w:r>
              <w:t>Displays options for processing blood units.</w:t>
            </w:r>
          </w:p>
          <w:p w14:paraId="31114424" w14:textId="77777777" w:rsidR="002A21AE" w:rsidRDefault="002A21AE">
            <w:pPr>
              <w:pStyle w:val="TableTextBullet"/>
            </w:pPr>
            <w:r>
              <w:t>Displays valid modification types for selection.</w:t>
            </w:r>
          </w:p>
        </w:tc>
      </w:tr>
      <w:tr w:rsidR="002A21AE" w14:paraId="52BE394C" w14:textId="77777777">
        <w:tc>
          <w:tcPr>
            <w:tcW w:w="3240" w:type="dxa"/>
          </w:tcPr>
          <w:p w14:paraId="2320E896" w14:textId="77777777" w:rsidR="002A21AE" w:rsidRDefault="002A21AE">
            <w:pPr>
              <w:pStyle w:val="TableTextNumbers"/>
            </w:pPr>
            <w:r>
              <w:t xml:space="preserve">Click the </w:t>
            </w:r>
            <w:r>
              <w:rPr>
                <w:b/>
              </w:rPr>
              <w:t xml:space="preserve">Split/Divide </w:t>
            </w:r>
            <w:r w:rsidRPr="00BF2E41">
              <w:t>radio button</w:t>
            </w:r>
            <w:r>
              <w:t>.</w:t>
            </w:r>
          </w:p>
          <w:p w14:paraId="408787A7" w14:textId="77777777" w:rsidR="002A21AE" w:rsidRDefault="002A21AE">
            <w:pPr>
              <w:pStyle w:val="TableTextNumbersContinued"/>
            </w:pPr>
          </w:p>
          <w:p w14:paraId="2A6BDE3F" w14:textId="77777777" w:rsidR="002A21AE" w:rsidRDefault="002A21AE">
            <w:pPr>
              <w:pStyle w:val="TableTextNumbersContinued"/>
            </w:pPr>
            <w:r>
              <w:t xml:space="preserve">Click </w:t>
            </w:r>
            <w:r>
              <w:rPr>
                <w:b/>
              </w:rPr>
              <w:t>OK</w:t>
            </w:r>
            <w:r>
              <w:t>.</w:t>
            </w:r>
          </w:p>
        </w:tc>
        <w:tc>
          <w:tcPr>
            <w:tcW w:w="6120" w:type="dxa"/>
          </w:tcPr>
          <w:p w14:paraId="0739E2CB" w14:textId="77777777" w:rsidR="002A21AE" w:rsidRDefault="002A21AE">
            <w:pPr>
              <w:pStyle w:val="TableTextBullet"/>
              <w:tabs>
                <w:tab w:val="num" w:pos="360"/>
              </w:tabs>
            </w:pPr>
            <w:r>
              <w:t>Allows the user to search for a unit.</w:t>
            </w:r>
          </w:p>
        </w:tc>
      </w:tr>
      <w:tr w:rsidR="002A21AE" w14:paraId="4FA3ED8D" w14:textId="77777777">
        <w:tc>
          <w:tcPr>
            <w:tcW w:w="3240" w:type="dxa"/>
          </w:tcPr>
          <w:p w14:paraId="66A8F13F" w14:textId="77777777" w:rsidR="002A21AE" w:rsidRDefault="002A21AE">
            <w:pPr>
              <w:pStyle w:val="TableTextNumbers"/>
            </w:pPr>
            <w:r>
              <w:t xml:space="preserve">Select a unit and click </w:t>
            </w:r>
            <w:r>
              <w:rPr>
                <w:b/>
              </w:rPr>
              <w:t>OK</w:t>
            </w:r>
            <w:r>
              <w:t>.</w:t>
            </w:r>
          </w:p>
          <w:p w14:paraId="7A3BF984" w14:textId="77777777" w:rsidR="002A21AE" w:rsidRDefault="002A21AE">
            <w:pPr>
              <w:pStyle w:val="TableTextNumbersContinued"/>
            </w:pPr>
          </w:p>
          <w:p w14:paraId="69E031EA" w14:textId="77777777" w:rsidR="002A21AE" w:rsidRDefault="002A21AE">
            <w:pPr>
              <w:pStyle w:val="TableTextNumbersContinued"/>
            </w:pPr>
            <w:r>
              <w:t xml:space="preserve">Click </w:t>
            </w:r>
            <w:r>
              <w:rPr>
                <w:b/>
              </w:rPr>
              <w:t>Select</w:t>
            </w:r>
            <w:r w:rsidR="00462E2C" w:rsidRPr="00462E2C">
              <w:t xml:space="preserve"> to confirm the unit selected.</w:t>
            </w:r>
          </w:p>
        </w:tc>
        <w:tc>
          <w:tcPr>
            <w:tcW w:w="6120" w:type="dxa"/>
          </w:tcPr>
          <w:p w14:paraId="58E7CCAD" w14:textId="77777777" w:rsidR="002A21AE" w:rsidRDefault="002A21AE">
            <w:pPr>
              <w:pStyle w:val="TableTextBullet"/>
              <w:tabs>
                <w:tab w:val="num" w:pos="360"/>
              </w:tabs>
            </w:pPr>
            <w:r>
              <w:t>Displays data for the original and target units.</w:t>
            </w:r>
          </w:p>
        </w:tc>
      </w:tr>
      <w:tr w:rsidR="002A21AE" w14:paraId="4305180F" w14:textId="77777777" w:rsidTr="001A459B">
        <w:trPr>
          <w:cantSplit/>
        </w:trPr>
        <w:tc>
          <w:tcPr>
            <w:tcW w:w="3240" w:type="dxa"/>
          </w:tcPr>
          <w:p w14:paraId="5EDD18DB" w14:textId="5586A31A" w:rsidR="002A21AE" w:rsidRDefault="002A21AE">
            <w:pPr>
              <w:pStyle w:val="TableTextNumbers"/>
            </w:pPr>
            <w:r>
              <w:lastRenderedPageBreak/>
              <w:t>Edit the number of adult splits to be created, if required</w:t>
            </w:r>
            <w:r w:rsidR="004C6777">
              <w:t xml:space="preserve"> (</w:t>
            </w:r>
            <w:r w:rsidR="004C6777">
              <w:fldChar w:fldCharType="begin" w:fldLock="1"/>
            </w:r>
            <w:r w:rsidR="004C6777">
              <w:instrText xml:space="preserve"> REF _Ref126650409 \h </w:instrText>
            </w:r>
            <w:r w:rsidR="004C6777">
              <w:fldChar w:fldCharType="separate"/>
            </w:r>
            <w:r w:rsidR="00AB304C">
              <w:t xml:space="preserve">Figure </w:t>
            </w:r>
            <w:r w:rsidR="00AB304C">
              <w:rPr>
                <w:noProof/>
              </w:rPr>
              <w:t>92</w:t>
            </w:r>
            <w:r w:rsidR="004C6777">
              <w:fldChar w:fldCharType="end"/>
            </w:r>
            <w:r w:rsidR="004C6777">
              <w:t>)</w:t>
            </w:r>
            <w:r>
              <w:t>.</w:t>
            </w:r>
          </w:p>
          <w:p w14:paraId="630F7335" w14:textId="77777777" w:rsidR="002A21AE" w:rsidRDefault="002A21AE">
            <w:pPr>
              <w:pStyle w:val="TableTextNumbersContinued"/>
            </w:pPr>
          </w:p>
          <w:p w14:paraId="62C39670" w14:textId="77777777" w:rsidR="002A21AE" w:rsidRDefault="002A21AE">
            <w:pPr>
              <w:pStyle w:val="TableTextNumbersContinued"/>
            </w:pPr>
            <w:r>
              <w:t xml:space="preserve">Click </w:t>
            </w:r>
            <w:r>
              <w:rPr>
                <w:b/>
              </w:rPr>
              <w:t>Split*</w:t>
            </w:r>
            <w:r>
              <w:t xml:space="preserve"> to verify the number of splits to be created and add the appropriate number of target unit tabs.</w:t>
            </w:r>
          </w:p>
          <w:p w14:paraId="046F2CE5" w14:textId="77777777" w:rsidR="002A21AE" w:rsidRDefault="002A21AE">
            <w:pPr>
              <w:pStyle w:val="TableTextNumbers"/>
              <w:numPr>
                <w:ilvl w:val="0"/>
                <w:numId w:val="0"/>
              </w:numPr>
            </w:pPr>
          </w:p>
        </w:tc>
        <w:tc>
          <w:tcPr>
            <w:tcW w:w="6120" w:type="dxa"/>
          </w:tcPr>
          <w:p w14:paraId="3819F760" w14:textId="77777777" w:rsidR="002A21AE" w:rsidRDefault="002A21AE">
            <w:pPr>
              <w:pStyle w:val="TableTextBullet"/>
              <w:tabs>
                <w:tab w:val="num" w:pos="360"/>
              </w:tabs>
            </w:pPr>
            <w:r>
              <w:t xml:space="preserve">Displays the number of splits to be created (default: 2) for verification. </w:t>
            </w:r>
          </w:p>
          <w:p w14:paraId="573401D4" w14:textId="77777777" w:rsidR="002A21AE" w:rsidRDefault="002A21AE">
            <w:pPr>
              <w:pStyle w:val="TableTextBullet"/>
              <w:tabs>
                <w:tab w:val="num" w:pos="360"/>
              </w:tabs>
            </w:pPr>
            <w:r>
              <w:t>Requires entry of the number of splits to be created.</w:t>
            </w:r>
          </w:p>
          <w:p w14:paraId="013707B3" w14:textId="77777777" w:rsidR="002A21AE" w:rsidRDefault="002A21AE">
            <w:pPr>
              <w:pStyle w:val="TableText"/>
            </w:pPr>
          </w:p>
          <w:p w14:paraId="372EFDCC" w14:textId="77777777" w:rsidR="002A21AE" w:rsidRDefault="00057948">
            <w:pPr>
              <w:pStyle w:val="TableText"/>
              <w:rPr>
                <w:b/>
                <w:bCs/>
                <w:szCs w:val="18"/>
              </w:rPr>
            </w:pPr>
            <w:r>
              <w:rPr>
                <w:b/>
                <w:bCs/>
                <w:noProof/>
              </w:rPr>
              <mc:AlternateContent>
                <mc:Choice Requires="wps">
                  <w:drawing>
                    <wp:anchor distT="0" distB="0" distL="114300" distR="114300" simplePos="0" relativeHeight="251653632" behindDoc="0" locked="0" layoutInCell="1" allowOverlap="1" wp14:anchorId="4007D46E" wp14:editId="15687AE9">
                      <wp:simplePos x="0" y="0"/>
                      <wp:positionH relativeFrom="column">
                        <wp:posOffset>457200</wp:posOffset>
                      </wp:positionH>
                      <wp:positionV relativeFrom="paragraph">
                        <wp:posOffset>65405</wp:posOffset>
                      </wp:positionV>
                      <wp:extent cx="3200400" cy="0"/>
                      <wp:effectExtent l="9525" t="17780" r="9525" b="10795"/>
                      <wp:wrapNone/>
                      <wp:docPr id="478" name="Line 905" descr="P4526C10T4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98356D" id="Line 905" o:spid="_x0000_s1026" alt="&quot;&quot;"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DKbdYAwgEAAG4DAAAOAAAAAAAAAAAAAAAAAC4C&#10;AABkcnMvZTJvRG9jLnhtbFBLAQItABQABgAIAAAAIQAXTzAS2wAAAAgBAAAPAAAAAAAAAAAAAAAA&#10;ABwEAABkcnMvZG93bnJldi54bWxQSwUGAAAAAAQABADzAAAAJAUAAAAA&#10;" strokeweight="1.5pt"/>
                  </w:pict>
                </mc:Fallback>
              </mc:AlternateContent>
            </w:r>
            <w:r w:rsidR="002A21AE">
              <w:rPr>
                <w:b/>
                <w:bCs/>
                <w:szCs w:val="18"/>
              </w:rPr>
              <w:t>NOTES</w:t>
            </w:r>
          </w:p>
          <w:p w14:paraId="20CB558D" w14:textId="77777777" w:rsidR="002A21AE" w:rsidRDefault="002A21AE">
            <w:pPr>
              <w:pStyle w:val="NotesText"/>
            </w:pPr>
          </w:p>
          <w:p w14:paraId="339DCA61" w14:textId="77777777" w:rsidR="00A93FEA" w:rsidRDefault="00A93FEA" w:rsidP="001132DE">
            <w:pPr>
              <w:pStyle w:val="NotesText"/>
              <w:rPr>
                <w:rFonts w:cs="Arial"/>
                <w:szCs w:val="18"/>
              </w:rPr>
            </w:pPr>
            <w:r w:rsidRPr="00A93FEA">
              <w:rPr>
                <w:rFonts w:cs="Arial"/>
                <w:vanish/>
                <w:szCs w:val="18"/>
              </w:rPr>
              <w:t xml:space="preserve">BR_25.01 </w:t>
            </w:r>
            <w:r w:rsidRPr="00D06747">
              <w:rPr>
                <w:rFonts w:cs="Arial"/>
                <w:szCs w:val="18"/>
              </w:rPr>
              <w:t>The user may split a unit into 2 to 26 subunits (or however many available alphabetic characters remain) until the volume of the original container is consumed. The system will calculate the patient charge of each split (fraction) as its portion of the original unit cost in U.S. dollars ($0,000.00).</w:t>
            </w:r>
          </w:p>
          <w:p w14:paraId="4769C201" w14:textId="77777777" w:rsidR="00A93FEA" w:rsidRDefault="00A93FEA" w:rsidP="001132DE">
            <w:pPr>
              <w:pStyle w:val="NotesText"/>
              <w:rPr>
                <w:rFonts w:cs="Arial"/>
                <w:szCs w:val="18"/>
              </w:rPr>
            </w:pPr>
          </w:p>
          <w:p w14:paraId="3F44873D" w14:textId="77777777" w:rsidR="00A93FEA" w:rsidRDefault="00A93FEA" w:rsidP="00A93FEA">
            <w:pPr>
              <w:pStyle w:val="NotesText"/>
            </w:pPr>
            <w:r w:rsidRPr="00A93FEA">
              <w:rPr>
                <w:vanish/>
              </w:rPr>
              <w:t xml:space="preserve">BR_25.16 </w:t>
            </w:r>
            <w:r w:rsidRPr="00D06747">
              <w:t>When split is selected, users must indicate the number of split units to be created if other than the default number of 2.</w:t>
            </w:r>
          </w:p>
        </w:tc>
      </w:tr>
      <w:tr w:rsidR="002A21AE" w14:paraId="4A8DCA5A" w14:textId="77777777">
        <w:tc>
          <w:tcPr>
            <w:tcW w:w="3240" w:type="dxa"/>
          </w:tcPr>
          <w:p w14:paraId="3578DCAE" w14:textId="77777777" w:rsidR="002A21AE" w:rsidRDefault="002A21AE">
            <w:pPr>
              <w:pStyle w:val="TableTextNumbers"/>
            </w:pPr>
            <w:r>
              <w:t>Select or confirm the desired target component type.</w:t>
            </w:r>
          </w:p>
          <w:p w14:paraId="78B6C1E5" w14:textId="77777777" w:rsidR="002A21AE" w:rsidRDefault="002A21AE">
            <w:pPr>
              <w:pStyle w:val="TableTextNumbersContinued"/>
            </w:pPr>
          </w:p>
          <w:p w14:paraId="1639615C" w14:textId="77777777" w:rsidR="002A21AE" w:rsidRDefault="002A21AE">
            <w:pPr>
              <w:pStyle w:val="TableTextNumbersContinued"/>
            </w:pPr>
            <w:r>
              <w:t xml:space="preserve">For a Sterile Connection Device modification method, click the </w:t>
            </w:r>
            <w:r>
              <w:rPr>
                <w:b/>
              </w:rPr>
              <w:t>Weld Complete</w:t>
            </w:r>
            <w:r>
              <w:t xml:space="preserve"> or</w:t>
            </w:r>
            <w:r>
              <w:rPr>
                <w:b/>
              </w:rPr>
              <w:t xml:space="preserve"> Weld Incomplete </w:t>
            </w:r>
            <w:r w:rsidRPr="00BF2E41">
              <w:t>radio button</w:t>
            </w:r>
            <w:r>
              <w:rPr>
                <w:b/>
              </w:rPr>
              <w:t xml:space="preserve"> </w:t>
            </w:r>
            <w:r>
              <w:t>to indicate the condition of the weld.</w:t>
            </w:r>
          </w:p>
          <w:p w14:paraId="3258C0F1" w14:textId="77777777" w:rsidR="000E6E10" w:rsidRDefault="000E6E10">
            <w:pPr>
              <w:pStyle w:val="TableTextNumbersContinued"/>
            </w:pPr>
          </w:p>
          <w:p w14:paraId="11EEB213" w14:textId="77777777" w:rsidR="000E6E10" w:rsidRDefault="00F437F8">
            <w:pPr>
              <w:pStyle w:val="TableTextNumbersContinued"/>
            </w:pPr>
            <w:r>
              <w:t xml:space="preserve">Click the </w:t>
            </w:r>
            <w:r w:rsidRPr="007B7DEC">
              <w:rPr>
                <w:b/>
              </w:rPr>
              <w:t>Container</w:t>
            </w:r>
            <w:r>
              <w:t xml:space="preserve">, </w:t>
            </w:r>
            <w:r w:rsidRPr="00764A64">
              <w:rPr>
                <w:b/>
              </w:rPr>
              <w:t>Supplies</w:t>
            </w:r>
            <w:r w:rsidRPr="007B7DEC">
              <w:t>,</w:t>
            </w:r>
            <w:r w:rsidR="0023261D">
              <w:t xml:space="preserve"> </w:t>
            </w:r>
            <w:r w:rsidRPr="00764A64">
              <w:rPr>
                <w:b/>
              </w:rPr>
              <w:t>Equipment</w:t>
            </w:r>
            <w:r w:rsidRPr="007B7DEC">
              <w:t>, or</w:t>
            </w:r>
            <w:r>
              <w:rPr>
                <w:b/>
              </w:rPr>
              <w:t xml:space="preserve"> SCD Wafer</w:t>
            </w:r>
            <w:r w:rsidRPr="00764A64">
              <w:rPr>
                <w:b/>
              </w:rPr>
              <w:t xml:space="preserve"> </w:t>
            </w:r>
            <w:r w:rsidRPr="00CC3C89">
              <w:t>tab</w:t>
            </w:r>
            <w:r w:rsidR="000E6E10" w:rsidRPr="00CC3C89">
              <w:t xml:space="preserve"> </w:t>
            </w:r>
            <w:r w:rsidR="000E6E10">
              <w:t>and enter another supply and/or equipment lot or ID number.</w:t>
            </w:r>
          </w:p>
          <w:p w14:paraId="0D32322F" w14:textId="77777777" w:rsidR="002A21AE" w:rsidRDefault="002A21AE">
            <w:pPr>
              <w:pStyle w:val="TableTextNumbers"/>
              <w:numPr>
                <w:ilvl w:val="0"/>
                <w:numId w:val="0"/>
              </w:numPr>
            </w:pPr>
          </w:p>
        </w:tc>
        <w:tc>
          <w:tcPr>
            <w:tcW w:w="6120" w:type="dxa"/>
          </w:tcPr>
          <w:p w14:paraId="59BC0027" w14:textId="77777777" w:rsidR="002A21AE" w:rsidRDefault="002A21AE">
            <w:pPr>
              <w:pStyle w:val="TableTextBullet"/>
              <w:tabs>
                <w:tab w:val="num" w:pos="360"/>
              </w:tabs>
            </w:pPr>
            <w:r>
              <w:t>Allows the user to enter lot and ID numbers or select multiple items from the supply and equipment lists.</w:t>
            </w:r>
          </w:p>
          <w:p w14:paraId="1C5EB229" w14:textId="77777777" w:rsidR="002A21AE" w:rsidRDefault="002A21AE">
            <w:pPr>
              <w:pStyle w:val="TableText"/>
            </w:pPr>
          </w:p>
          <w:p w14:paraId="77E58823" w14:textId="77777777" w:rsidR="002A21AE" w:rsidRDefault="00057948">
            <w:pPr>
              <w:pStyle w:val="TableText"/>
              <w:rPr>
                <w:b/>
                <w:bCs/>
                <w:szCs w:val="18"/>
              </w:rPr>
            </w:pPr>
            <w:r>
              <w:rPr>
                <w:b/>
                <w:bCs/>
                <w:noProof/>
              </w:rPr>
              <mc:AlternateContent>
                <mc:Choice Requires="wps">
                  <w:drawing>
                    <wp:anchor distT="0" distB="0" distL="114300" distR="114300" simplePos="0" relativeHeight="251658752" behindDoc="0" locked="0" layoutInCell="1" allowOverlap="1" wp14:anchorId="0B26079C" wp14:editId="643FF357">
                      <wp:simplePos x="0" y="0"/>
                      <wp:positionH relativeFrom="column">
                        <wp:posOffset>457200</wp:posOffset>
                      </wp:positionH>
                      <wp:positionV relativeFrom="paragraph">
                        <wp:posOffset>65405</wp:posOffset>
                      </wp:positionV>
                      <wp:extent cx="3200400" cy="0"/>
                      <wp:effectExtent l="9525" t="17780" r="9525" b="10795"/>
                      <wp:wrapNone/>
                      <wp:docPr id="477" name="Line 906" descr="P4540C12T4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76A9B" id="Line 906"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V2xWG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3BA49E3A" w14:textId="77777777" w:rsidR="002A21AE" w:rsidRDefault="002A21AE">
            <w:pPr>
              <w:pStyle w:val="NotesText"/>
            </w:pPr>
          </w:p>
          <w:p w14:paraId="3556E61F" w14:textId="77777777" w:rsidR="002A21AE" w:rsidRDefault="002A21AE">
            <w:pPr>
              <w:pStyle w:val="NotesText"/>
              <w:rPr>
                <w:color w:val="000000"/>
              </w:rPr>
            </w:pPr>
            <w:r>
              <w:rPr>
                <w:rFonts w:cs="Arial"/>
                <w:vanish/>
              </w:rPr>
              <w:t xml:space="preserve">BR_25.04 </w:t>
            </w:r>
            <w:r>
              <w:rPr>
                <w:color w:val="000000"/>
              </w:rPr>
              <w:t xml:space="preserve">When multiple </w:t>
            </w:r>
            <w:r w:rsidR="003133AE">
              <w:rPr>
                <w:color w:val="000000"/>
              </w:rPr>
              <w:t>aliquot/split</w:t>
            </w:r>
            <w:r>
              <w:rPr>
                <w:color w:val="000000"/>
              </w:rPr>
              <w:t xml:space="preserve"> units are created, the user must associate a container lot number with each unit created. “Original container” may serve as the lot number for one of the aliquots created.</w:t>
            </w:r>
          </w:p>
          <w:p w14:paraId="61C6FEF0" w14:textId="77777777" w:rsidR="002A21AE" w:rsidRDefault="002A21AE">
            <w:pPr>
              <w:pStyle w:val="NotesText"/>
            </w:pPr>
          </w:p>
          <w:p w14:paraId="2A2F2890" w14:textId="77777777" w:rsidR="002A21AE" w:rsidRDefault="002A21AE">
            <w:pPr>
              <w:pStyle w:val="NotesText"/>
            </w:pPr>
            <w:r>
              <w:t xml:space="preserve">The original blood collection facility must keep a record of the original container lot numbers so that, when a lot number is recalled, it is known which patient was exposed to it. </w:t>
            </w:r>
          </w:p>
          <w:p w14:paraId="459C7642" w14:textId="52C1E474" w:rsidR="00025409" w:rsidRDefault="00025409" w:rsidP="003D61DB">
            <w:pPr>
              <w:pStyle w:val="NotesText"/>
              <w:ind w:left="0"/>
            </w:pPr>
          </w:p>
          <w:p w14:paraId="1E71A8A1" w14:textId="77777777" w:rsidR="00025409" w:rsidRDefault="00025409">
            <w:pPr>
              <w:pStyle w:val="NotesText"/>
              <w:rPr>
                <w:rFonts w:cs="Arial"/>
                <w:szCs w:val="18"/>
              </w:rPr>
            </w:pPr>
            <w:r w:rsidRPr="00025409">
              <w:rPr>
                <w:rFonts w:cs="Arial"/>
                <w:vanish/>
                <w:szCs w:val="18"/>
              </w:rPr>
              <w:t xml:space="preserve">BR_26.58 </w:t>
            </w:r>
            <w:r>
              <w:rPr>
                <w:rFonts w:cs="Arial"/>
                <w:szCs w:val="18"/>
              </w:rPr>
              <w:t>The user may select the target product code from available targets by scanning.</w:t>
            </w:r>
          </w:p>
          <w:p w14:paraId="095EFC7D" w14:textId="77777777" w:rsidR="00025409" w:rsidRDefault="00025409">
            <w:pPr>
              <w:pStyle w:val="NotesText"/>
            </w:pPr>
          </w:p>
          <w:p w14:paraId="1C08EC47" w14:textId="77777777" w:rsidR="00025409" w:rsidRPr="00025409" w:rsidRDefault="00025409" w:rsidP="00025409">
            <w:pPr>
              <w:pStyle w:val="NotesText"/>
              <w:rPr>
                <w:rFonts w:cs="Arial"/>
                <w:szCs w:val="18"/>
              </w:rPr>
            </w:pPr>
            <w:r w:rsidRPr="00025409">
              <w:rPr>
                <w:rFonts w:cs="Arial"/>
                <w:vanish/>
                <w:szCs w:val="18"/>
              </w:rPr>
              <w:t xml:space="preserve">BR_26.59 </w:t>
            </w:r>
            <w:r w:rsidRPr="00025409">
              <w:rPr>
                <w:rFonts w:cs="Arial"/>
                <w:szCs w:val="18"/>
              </w:rPr>
              <w:t>For THAW modification type:</w:t>
            </w:r>
          </w:p>
          <w:p w14:paraId="1D5D215C" w14:textId="77777777" w:rsidR="00025409" w:rsidRPr="00C05AF1" w:rsidRDefault="00025409" w:rsidP="00025409">
            <w:pPr>
              <w:pStyle w:val="NotesTextBullet"/>
              <w:rPr>
                <w:rFonts w:cs="Arial"/>
                <w:szCs w:val="18"/>
              </w:rPr>
            </w:pPr>
            <w:r w:rsidRPr="00C05AF1">
              <w:rPr>
                <w:rFonts w:cs="Arial"/>
                <w:szCs w:val="18"/>
              </w:rPr>
              <w:t xml:space="preserve">There is no attribute assigned for thaw. </w:t>
            </w:r>
          </w:p>
          <w:p w14:paraId="18D5776D" w14:textId="77777777" w:rsidR="00025409" w:rsidRPr="00C05AF1" w:rsidRDefault="00025409" w:rsidP="00025409">
            <w:pPr>
              <w:pStyle w:val="NotesTextBullet"/>
              <w:rPr>
                <w:rFonts w:cs="Arial"/>
                <w:szCs w:val="18"/>
              </w:rPr>
            </w:pPr>
            <w:r w:rsidRPr="00C05AF1">
              <w:rPr>
                <w:rFonts w:cs="Arial"/>
                <w:szCs w:val="18"/>
              </w:rPr>
              <w:t>The product class, modifier and Blood Core (V001) change.</w:t>
            </w:r>
          </w:p>
          <w:p w14:paraId="5053627E" w14:textId="77777777" w:rsidR="00025409" w:rsidRPr="00C05AF1" w:rsidRDefault="00025409" w:rsidP="00025409">
            <w:pPr>
              <w:pStyle w:val="NotesTextBullet"/>
              <w:rPr>
                <w:rFonts w:cs="Arial"/>
                <w:szCs w:val="18"/>
              </w:rPr>
            </w:pPr>
            <w:r w:rsidRPr="00C05AF1">
              <w:rPr>
                <w:rFonts w:cs="Arial"/>
                <w:szCs w:val="18"/>
              </w:rPr>
              <w:t>The system integrity should not change (V0012)</w:t>
            </w:r>
          </w:p>
          <w:p w14:paraId="29F66A12" w14:textId="77777777" w:rsidR="00025409" w:rsidRPr="00C05AF1" w:rsidRDefault="00025409" w:rsidP="00025409">
            <w:pPr>
              <w:pStyle w:val="NotesTextBullet"/>
              <w:rPr>
                <w:rFonts w:cs="Arial"/>
                <w:szCs w:val="18"/>
              </w:rPr>
            </w:pPr>
            <w:r w:rsidRPr="00C05AF1">
              <w:rPr>
                <w:rFonts w:cs="Arial"/>
                <w:szCs w:val="18"/>
              </w:rPr>
              <w:t>Maintain original attribute groups to the target; do not add any attribute values.</w:t>
            </w:r>
          </w:p>
          <w:p w14:paraId="6D4FF666" w14:textId="77777777" w:rsidR="00025409" w:rsidRPr="00C05AF1" w:rsidRDefault="00025409" w:rsidP="00025409">
            <w:pPr>
              <w:pStyle w:val="NotesTextBullet"/>
              <w:rPr>
                <w:rFonts w:cs="Arial"/>
                <w:szCs w:val="18"/>
              </w:rPr>
            </w:pPr>
            <w:r w:rsidRPr="00C05AF1">
              <w:rPr>
                <w:rFonts w:cs="Arial"/>
                <w:szCs w:val="18"/>
              </w:rPr>
              <w:t>Maintain the original anticoagulant or NS.</w:t>
            </w:r>
          </w:p>
          <w:p w14:paraId="2FAC9A4C" w14:textId="7510C461" w:rsidR="00025409" w:rsidRDefault="00025409" w:rsidP="00025409">
            <w:pPr>
              <w:pStyle w:val="NotesTextBullet"/>
              <w:rPr>
                <w:rFonts w:cs="Arial"/>
                <w:szCs w:val="18"/>
              </w:rPr>
            </w:pPr>
            <w:r w:rsidRPr="00C05AF1">
              <w:rPr>
                <w:rFonts w:cs="Arial"/>
                <w:szCs w:val="18"/>
              </w:rPr>
              <w:t>Temperature must change to a non-frozen temperature</w:t>
            </w:r>
          </w:p>
          <w:p w14:paraId="1F4ABC2B" w14:textId="623DC10B" w:rsidR="00491E6F" w:rsidRPr="00025409" w:rsidRDefault="00491E6F" w:rsidP="00025409">
            <w:pPr>
              <w:pStyle w:val="NotesTextBullet"/>
              <w:rPr>
                <w:rFonts w:cs="Arial"/>
                <w:szCs w:val="18"/>
              </w:rPr>
            </w:pPr>
            <w:r>
              <w:rPr>
                <w:rFonts w:cs="Arial"/>
                <w:szCs w:val="18"/>
              </w:rPr>
              <w:t>Target volume may be XX, or match the volume of the parent</w:t>
            </w:r>
          </w:p>
          <w:p w14:paraId="0BA8172D" w14:textId="77777777" w:rsidR="00025409" w:rsidRDefault="00025409" w:rsidP="00025409">
            <w:pPr>
              <w:pStyle w:val="TableText"/>
              <w:ind w:left="252"/>
            </w:pPr>
          </w:p>
        </w:tc>
      </w:tr>
      <w:tr w:rsidR="002A21AE" w14:paraId="442B49D3" w14:textId="77777777">
        <w:tc>
          <w:tcPr>
            <w:tcW w:w="3240" w:type="dxa"/>
          </w:tcPr>
          <w:p w14:paraId="3C98B098" w14:textId="77777777" w:rsidR="002A21AE" w:rsidRDefault="002A21AE">
            <w:pPr>
              <w:pStyle w:val="TableTextNumbers"/>
            </w:pPr>
            <w:r>
              <w:t>Accept or edit the displayed expiration date.</w:t>
            </w:r>
          </w:p>
        </w:tc>
        <w:tc>
          <w:tcPr>
            <w:tcW w:w="6120" w:type="dxa"/>
          </w:tcPr>
          <w:p w14:paraId="48BB7F26" w14:textId="77777777" w:rsidR="002A21AE" w:rsidRDefault="002A21AE">
            <w:pPr>
              <w:pStyle w:val="TableTextBullet"/>
              <w:tabs>
                <w:tab w:val="num" w:pos="360"/>
              </w:tabs>
            </w:pPr>
            <w:r>
              <w:t>Displays the expiration date.</w:t>
            </w:r>
          </w:p>
          <w:p w14:paraId="5C09BD07" w14:textId="77777777" w:rsidR="002A21AE" w:rsidRDefault="002A21AE">
            <w:pPr>
              <w:pStyle w:val="TableTextBullet"/>
              <w:tabs>
                <w:tab w:val="num" w:pos="360"/>
              </w:tabs>
            </w:pPr>
            <w:r>
              <w:t xml:space="preserve">Calculates and displays the volume of each split unit. </w:t>
            </w:r>
          </w:p>
          <w:p w14:paraId="7CA5A8C8" w14:textId="77777777" w:rsidR="002A21AE" w:rsidRDefault="002A21AE">
            <w:pPr>
              <w:pStyle w:val="TableText"/>
            </w:pPr>
          </w:p>
          <w:p w14:paraId="7A48E86E" w14:textId="77777777" w:rsidR="002A21AE" w:rsidRDefault="00057948">
            <w:pPr>
              <w:pStyle w:val="TableText"/>
              <w:rPr>
                <w:b/>
                <w:bCs/>
                <w:szCs w:val="18"/>
              </w:rPr>
            </w:pPr>
            <w:r>
              <w:rPr>
                <w:b/>
                <w:bCs/>
                <w:noProof/>
              </w:rPr>
              <mc:AlternateContent>
                <mc:Choice Requires="wps">
                  <w:drawing>
                    <wp:anchor distT="0" distB="0" distL="114300" distR="114300" simplePos="0" relativeHeight="251664896" behindDoc="0" locked="0" layoutInCell="1" allowOverlap="1" wp14:anchorId="61B02981" wp14:editId="04674160">
                      <wp:simplePos x="0" y="0"/>
                      <wp:positionH relativeFrom="column">
                        <wp:posOffset>457200</wp:posOffset>
                      </wp:positionH>
                      <wp:positionV relativeFrom="paragraph">
                        <wp:posOffset>65405</wp:posOffset>
                      </wp:positionV>
                      <wp:extent cx="3200400" cy="0"/>
                      <wp:effectExtent l="9525" t="17780" r="9525" b="10795"/>
                      <wp:wrapNone/>
                      <wp:docPr id="476" name="Line 907" descr="P4562C14T4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30410" id="Line 907" o:spid="_x0000_s1026" alt="&quot;&quot;"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Hg8tx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02B54790" w14:textId="6B0C7D4D" w:rsidR="002A21AE" w:rsidRDefault="002A21AE">
            <w:pPr>
              <w:pStyle w:val="TableText"/>
              <w:rPr>
                <w:b/>
                <w:bCs/>
                <w:szCs w:val="18"/>
              </w:rPr>
            </w:pPr>
          </w:p>
          <w:p w14:paraId="7F86FE1B" w14:textId="77777777" w:rsidR="00E93AC0" w:rsidRPr="00E93AC0" w:rsidRDefault="002A21AE" w:rsidP="00E93AC0">
            <w:pPr>
              <w:pStyle w:val="NotesText"/>
            </w:pPr>
            <w:r w:rsidRPr="00E93AC0">
              <w:rPr>
                <w:vanish/>
              </w:rPr>
              <w:t xml:space="preserve">BR_25.05 </w:t>
            </w:r>
            <w:r w:rsidR="00E93AC0" w:rsidRPr="00E93AC0">
              <w:t>VBECS calculates and displays default volumes for each target split (does not include pediatric aliquots) based on the volume of the original unit and the number of splits being created, consuming the total volume of the original unit. The system will restrict the user from entering a value between 1 and 2000.</w:t>
            </w:r>
          </w:p>
          <w:p w14:paraId="78CF44BF" w14:textId="77777777" w:rsidR="00E93AC0" w:rsidRPr="00D06747" w:rsidRDefault="00E93AC0" w:rsidP="00E93AC0">
            <w:pPr>
              <w:pStyle w:val="TableText"/>
              <w:rPr>
                <w:rFonts w:cs="Arial"/>
                <w:szCs w:val="18"/>
              </w:rPr>
            </w:pPr>
          </w:p>
          <w:p w14:paraId="428D5CBB" w14:textId="77777777" w:rsidR="002A21AE" w:rsidRDefault="00E93AC0" w:rsidP="00E93AC0">
            <w:pPr>
              <w:pStyle w:val="NotesText"/>
            </w:pPr>
            <w:r w:rsidRPr="00D06747">
              <w:t>The system will split the volume evenly among the splits and add the remainder to the first split.</w:t>
            </w:r>
          </w:p>
        </w:tc>
      </w:tr>
      <w:tr w:rsidR="002A21AE" w14:paraId="77AB46E2" w14:textId="77777777" w:rsidTr="001A459B">
        <w:trPr>
          <w:cantSplit/>
        </w:trPr>
        <w:tc>
          <w:tcPr>
            <w:tcW w:w="3240" w:type="dxa"/>
          </w:tcPr>
          <w:p w14:paraId="4BBBFFF7" w14:textId="77777777" w:rsidR="002A21AE" w:rsidRDefault="002A21AE">
            <w:pPr>
              <w:pStyle w:val="TableTextNumbers"/>
            </w:pPr>
            <w:r>
              <w:lastRenderedPageBreak/>
              <w:t>Accept or edit the displayed unit volumes.</w:t>
            </w:r>
          </w:p>
        </w:tc>
        <w:tc>
          <w:tcPr>
            <w:tcW w:w="6120" w:type="dxa"/>
          </w:tcPr>
          <w:p w14:paraId="0657782E" w14:textId="77777777" w:rsidR="002A21AE" w:rsidRDefault="002A21AE">
            <w:pPr>
              <w:pStyle w:val="TableTextBullet"/>
              <w:tabs>
                <w:tab w:val="num" w:pos="360"/>
              </w:tabs>
            </w:pPr>
            <w:r>
              <w:t>Displays the original and target unit data for review.</w:t>
            </w:r>
          </w:p>
          <w:p w14:paraId="64AA4132" w14:textId="77777777" w:rsidR="002A21AE" w:rsidRDefault="002A21AE">
            <w:pPr>
              <w:pStyle w:val="TableText"/>
            </w:pPr>
          </w:p>
          <w:p w14:paraId="7293F5C0" w14:textId="77777777" w:rsidR="002A21AE" w:rsidRDefault="00057948">
            <w:pPr>
              <w:pStyle w:val="TableText"/>
              <w:rPr>
                <w:b/>
                <w:bCs/>
                <w:szCs w:val="18"/>
              </w:rPr>
            </w:pPr>
            <w:r>
              <w:rPr>
                <w:b/>
                <w:bCs/>
                <w:noProof/>
              </w:rPr>
              <mc:AlternateContent>
                <mc:Choice Requires="wps">
                  <w:drawing>
                    <wp:anchor distT="0" distB="0" distL="114300" distR="114300" simplePos="0" relativeHeight="251670016" behindDoc="0" locked="0" layoutInCell="1" allowOverlap="1" wp14:anchorId="1A9434C4" wp14:editId="0843C184">
                      <wp:simplePos x="0" y="0"/>
                      <wp:positionH relativeFrom="column">
                        <wp:posOffset>457200</wp:posOffset>
                      </wp:positionH>
                      <wp:positionV relativeFrom="paragraph">
                        <wp:posOffset>65405</wp:posOffset>
                      </wp:positionV>
                      <wp:extent cx="3200400" cy="0"/>
                      <wp:effectExtent l="9525" t="17780" r="9525" b="10795"/>
                      <wp:wrapNone/>
                      <wp:docPr id="475" name="Line 908" descr="P4571C16T4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72030" id="Line 908" o:spid="_x0000_s1026" alt="&quot;&quot;"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KIrMV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3147B7BE" w14:textId="77777777" w:rsidR="002A21AE" w:rsidRDefault="002A21AE">
            <w:pPr>
              <w:pStyle w:val="NotesText"/>
            </w:pPr>
          </w:p>
          <w:p w14:paraId="2760CA91" w14:textId="77777777" w:rsidR="002A21AE" w:rsidRDefault="002A21AE">
            <w:pPr>
              <w:pStyle w:val="NotesText"/>
            </w:pPr>
            <w:r>
              <w:t>The user may not edit original unit data.</w:t>
            </w:r>
          </w:p>
          <w:p w14:paraId="4747EEA6" w14:textId="77777777" w:rsidR="002A21AE" w:rsidRDefault="002A21AE">
            <w:pPr>
              <w:pStyle w:val="NotesText"/>
            </w:pPr>
          </w:p>
          <w:p w14:paraId="087E7A6D" w14:textId="77777777" w:rsidR="00A40202" w:rsidRDefault="002A21AE" w:rsidP="00A40202">
            <w:pPr>
              <w:pStyle w:val="TableText"/>
              <w:rPr>
                <w:b/>
                <w:bCs/>
                <w:sz w:val="20"/>
              </w:rPr>
            </w:pPr>
            <w:r>
              <w:rPr>
                <w:rFonts w:cs="Arial"/>
                <w:vanish/>
              </w:rPr>
              <w:t xml:space="preserve">BR_25.11 </w:t>
            </w:r>
            <w:r w:rsidR="00A40202">
              <w:rPr>
                <w:b/>
                <w:bCs/>
              </w:rPr>
              <w:t>For Split modification type:</w:t>
            </w:r>
          </w:p>
          <w:p w14:paraId="772B5D78" w14:textId="77777777" w:rsidR="00A40202" w:rsidRDefault="00A40202" w:rsidP="00041E00">
            <w:pPr>
              <w:pStyle w:val="TableText"/>
              <w:numPr>
                <w:ilvl w:val="0"/>
                <w:numId w:val="80"/>
              </w:numPr>
              <w:ind w:left="252" w:hanging="198"/>
            </w:pPr>
            <w:r>
              <w:t>Do not allow splitting frozen products.</w:t>
            </w:r>
          </w:p>
          <w:p w14:paraId="55ADB56F" w14:textId="4AB7A73C" w:rsidR="00A40202" w:rsidRDefault="00A40202" w:rsidP="00041E00">
            <w:pPr>
              <w:pStyle w:val="TableText"/>
              <w:numPr>
                <w:ilvl w:val="0"/>
                <w:numId w:val="80"/>
              </w:numPr>
              <w:ind w:left="252" w:hanging="198"/>
            </w:pPr>
            <w:r>
              <w:t>There is no attribute assigned for split.</w:t>
            </w:r>
          </w:p>
          <w:p w14:paraId="2D9B2535" w14:textId="62C63DE4" w:rsidR="002A21AE" w:rsidRDefault="00F744C5" w:rsidP="00041E00">
            <w:pPr>
              <w:pStyle w:val="TableText"/>
              <w:numPr>
                <w:ilvl w:val="0"/>
                <w:numId w:val="80"/>
              </w:numPr>
              <w:ind w:left="252" w:hanging="198"/>
            </w:pPr>
            <w:r>
              <w:t>Maintain original product type attributes to the target.</w:t>
            </w:r>
          </w:p>
          <w:p w14:paraId="33EF1FFF" w14:textId="77777777" w:rsidR="002A21AE" w:rsidRDefault="002A21AE" w:rsidP="00FD0D8C">
            <w:pPr>
              <w:pStyle w:val="NotesText"/>
              <w:ind w:left="0"/>
            </w:pPr>
          </w:p>
        </w:tc>
      </w:tr>
      <w:tr w:rsidR="002A21AE" w14:paraId="3EED31AB" w14:textId="77777777">
        <w:tc>
          <w:tcPr>
            <w:tcW w:w="3240" w:type="dxa"/>
          </w:tcPr>
          <w:p w14:paraId="00CB56B9" w14:textId="77777777" w:rsidR="002A21AE" w:rsidRDefault="002A21AE">
            <w:pPr>
              <w:pStyle w:val="TableTextNumbers"/>
            </w:pPr>
            <w:r>
              <w:t>Review the displayed data for the target units and confirm the modification type.</w:t>
            </w:r>
          </w:p>
        </w:tc>
        <w:tc>
          <w:tcPr>
            <w:tcW w:w="6120" w:type="dxa"/>
          </w:tcPr>
          <w:p w14:paraId="13CAAC2F" w14:textId="77777777" w:rsidR="002A21AE" w:rsidRDefault="002A21AE" w:rsidP="000C3495">
            <w:pPr>
              <w:pStyle w:val="TableTextBullet"/>
            </w:pPr>
            <w:r>
              <w:t>Displays the target unit’s ID number.</w:t>
            </w:r>
          </w:p>
          <w:p w14:paraId="613C4AA9" w14:textId="77777777" w:rsidR="002A21AE" w:rsidRDefault="002A21AE">
            <w:pPr>
              <w:pStyle w:val="TableText"/>
            </w:pPr>
          </w:p>
          <w:p w14:paraId="61091497" w14:textId="77777777" w:rsidR="002A21AE" w:rsidRDefault="00057948">
            <w:pPr>
              <w:pStyle w:val="TableText"/>
              <w:rPr>
                <w:b/>
                <w:bCs/>
                <w:szCs w:val="18"/>
              </w:rPr>
            </w:pPr>
            <w:r>
              <w:rPr>
                <w:b/>
                <w:bCs/>
                <w:noProof/>
              </w:rPr>
              <mc:AlternateContent>
                <mc:Choice Requires="wps">
                  <w:drawing>
                    <wp:anchor distT="0" distB="0" distL="114300" distR="114300" simplePos="0" relativeHeight="251683328" behindDoc="0" locked="0" layoutInCell="1" allowOverlap="1" wp14:anchorId="4D43BE3A" wp14:editId="2A639CED">
                      <wp:simplePos x="0" y="0"/>
                      <wp:positionH relativeFrom="column">
                        <wp:posOffset>457200</wp:posOffset>
                      </wp:positionH>
                      <wp:positionV relativeFrom="paragraph">
                        <wp:posOffset>65405</wp:posOffset>
                      </wp:positionV>
                      <wp:extent cx="3200400" cy="0"/>
                      <wp:effectExtent l="9525" t="17780" r="9525" b="10795"/>
                      <wp:wrapNone/>
                      <wp:docPr id="474" name="Line 912" descr="P4584C18T4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DD2FC" id="Line 912" o:spid="_x0000_s1026" alt="&quot;&quot;"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2nLMO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3467C943" w14:textId="77777777" w:rsidR="002A21AE" w:rsidRDefault="002A21AE">
            <w:pPr>
              <w:pStyle w:val="NotesText"/>
            </w:pPr>
          </w:p>
          <w:p w14:paraId="0CA0D21B" w14:textId="77777777" w:rsidR="002A21AE" w:rsidRPr="001416EA" w:rsidRDefault="002A21AE">
            <w:pPr>
              <w:pStyle w:val="NotesTextBullet"/>
              <w:rPr>
                <w:rStyle w:val="NotesTextBullet1Char"/>
                <w:color w:val="auto"/>
              </w:rPr>
            </w:pPr>
            <w:r>
              <w:rPr>
                <w:rFonts w:cs="Arial"/>
                <w:vanish/>
              </w:rPr>
              <w:t>BR</w:t>
            </w:r>
            <w:r>
              <w:rPr>
                <w:rStyle w:val="NotesTextBullet1Char"/>
                <w:rFonts w:cs="Arial"/>
                <w:vanish/>
                <w:color w:val="auto"/>
              </w:rPr>
              <w:t xml:space="preserve">_25.07 </w:t>
            </w:r>
            <w:r>
              <w:rPr>
                <w:rStyle w:val="NotesTextBullet1Char"/>
              </w:rPr>
              <w:t xml:space="preserve">ISBT 128: the unit ID, five-digit product description code, and sixth-character donation code remain the same. Characters 7 and 8 of the ISBT 128 product code barcode reflect the aliquot level: when a previously undivided unit is split, character 7 of the unique eight-digit ISBT 128 product code is incremented alphabetically in uppercase letters, resulting in characters 7 and 8: A0, B0, C0, </w:t>
            </w:r>
            <w:r w:rsidR="00A10483">
              <w:rPr>
                <w:rStyle w:val="NotesTextBullet1Char"/>
              </w:rPr>
              <w:t>D0 …</w:t>
            </w:r>
            <w:r>
              <w:rPr>
                <w:rStyle w:val="NotesTextBullet1Char"/>
              </w:rPr>
              <w:t xml:space="preserve"> Z0.</w:t>
            </w:r>
          </w:p>
          <w:p w14:paraId="10A90338" w14:textId="77777777" w:rsidR="001416EA" w:rsidRDefault="001416EA" w:rsidP="001416EA">
            <w:pPr>
              <w:pStyle w:val="NotesTextBullet"/>
              <w:numPr>
                <w:ilvl w:val="0"/>
                <w:numId w:val="0"/>
              </w:numPr>
              <w:ind w:left="1008" w:hanging="288"/>
            </w:pPr>
          </w:p>
        </w:tc>
      </w:tr>
      <w:tr w:rsidR="002A21AE" w14:paraId="738282F6" w14:textId="77777777">
        <w:tc>
          <w:tcPr>
            <w:tcW w:w="3240" w:type="dxa"/>
          </w:tcPr>
          <w:p w14:paraId="2C973B0C" w14:textId="77777777" w:rsidR="002A21AE" w:rsidRDefault="002A21AE">
            <w:pPr>
              <w:pStyle w:val="TableTextNumbers"/>
            </w:pPr>
            <w:r>
              <w:t xml:space="preserve">Click </w:t>
            </w:r>
            <w:r>
              <w:rPr>
                <w:b/>
              </w:rPr>
              <w:t>OK</w:t>
            </w:r>
            <w:r>
              <w:t xml:space="preserve"> to save.</w:t>
            </w:r>
          </w:p>
          <w:p w14:paraId="40C1119A" w14:textId="77777777" w:rsidR="00913F95" w:rsidRDefault="00913F95" w:rsidP="00913F95">
            <w:pPr>
              <w:pStyle w:val="TableTextNumbersContinued"/>
            </w:pPr>
          </w:p>
          <w:p w14:paraId="49CD1D68" w14:textId="77777777" w:rsidR="00913F95" w:rsidRDefault="00913F95" w:rsidP="00913F95">
            <w:pPr>
              <w:pStyle w:val="TableTextNumbersContinued"/>
            </w:pPr>
            <w:r>
              <w:t xml:space="preserve">Click </w:t>
            </w:r>
            <w:r w:rsidRPr="00A77D1F">
              <w:rPr>
                <w:b/>
              </w:rPr>
              <w:t>Yes</w:t>
            </w:r>
            <w:r>
              <w:t xml:space="preserve"> to verify the label.</w:t>
            </w:r>
          </w:p>
        </w:tc>
        <w:tc>
          <w:tcPr>
            <w:tcW w:w="6120" w:type="dxa"/>
          </w:tcPr>
          <w:p w14:paraId="5CEDFE2A" w14:textId="77777777" w:rsidR="000C3495" w:rsidRDefault="000C3495" w:rsidP="000C3495">
            <w:pPr>
              <w:pStyle w:val="TableTextBullet"/>
              <w:tabs>
                <w:tab w:val="num" w:pos="360"/>
              </w:tabs>
            </w:pPr>
            <w:r>
              <w:t xml:space="preserve">Prompts the user to save the data, including patient assignment and restriction information, if any. </w:t>
            </w:r>
          </w:p>
          <w:p w14:paraId="313C73DD" w14:textId="77777777" w:rsidR="002A21AE" w:rsidRDefault="002A21AE">
            <w:pPr>
              <w:pStyle w:val="TableTextBullet"/>
            </w:pPr>
            <w:r>
              <w:t>Saves aliquots created from the modified unit.</w:t>
            </w:r>
          </w:p>
          <w:p w14:paraId="7735C09F" w14:textId="77777777" w:rsidR="00913F95" w:rsidRDefault="00EE2911" w:rsidP="00913F95">
            <w:pPr>
              <w:pStyle w:val="TableTextBullet"/>
              <w:tabs>
                <w:tab w:val="clear" w:pos="288"/>
              </w:tabs>
            </w:pPr>
            <w:r>
              <w:t>Records the unit ID of the target unit on the record of the original unit.</w:t>
            </w:r>
          </w:p>
          <w:p w14:paraId="642B7DB5" w14:textId="77777777" w:rsidR="00E92B60" w:rsidRDefault="00E92B60" w:rsidP="00E92B60">
            <w:pPr>
              <w:pStyle w:val="TableTextBullet"/>
              <w:tabs>
                <w:tab w:val="clear" w:pos="288"/>
              </w:tabs>
            </w:pPr>
            <w:r>
              <w:t>Saves only the technologist name and the date and time the label was verified. When the user indicates that a new label applied fails to complete the verification process, releases the assignment, quarantines the unit, and captures details for inclusion in an Exception Report (exception type: target product label failed checks).</w:t>
            </w:r>
          </w:p>
        </w:tc>
      </w:tr>
      <w:tr w:rsidR="002A21AE" w14:paraId="4A38CD9A" w14:textId="77777777">
        <w:tc>
          <w:tcPr>
            <w:tcW w:w="3240" w:type="dxa"/>
            <w:tcBorders>
              <w:bottom w:val="single" w:sz="4" w:space="0" w:color="auto"/>
            </w:tcBorders>
          </w:tcPr>
          <w:p w14:paraId="70E6FB05" w14:textId="77777777" w:rsidR="000C3495" w:rsidRDefault="000C3495">
            <w:pPr>
              <w:pStyle w:val="TableTextNumbers"/>
            </w:pPr>
            <w:r>
              <w:t xml:space="preserve">Click </w:t>
            </w:r>
            <w:r w:rsidR="00913F95">
              <w:rPr>
                <w:b/>
              </w:rPr>
              <w:t>Yes</w:t>
            </w:r>
            <w:r>
              <w:t xml:space="preserve"> to save.</w:t>
            </w:r>
          </w:p>
          <w:p w14:paraId="6838DF22" w14:textId="77777777" w:rsidR="000C3495" w:rsidRDefault="000C3495" w:rsidP="000C3495">
            <w:pPr>
              <w:pStyle w:val="TableTextNumbersContinued"/>
            </w:pPr>
          </w:p>
          <w:p w14:paraId="68D4FFFA" w14:textId="77777777" w:rsidR="002A21AE" w:rsidRDefault="002A21AE" w:rsidP="000C3495">
            <w:pPr>
              <w:pStyle w:val="TableTextNumbersContinued"/>
            </w:pPr>
            <w:r>
              <w:t>Repeat Steps 2–9 to split additional units, or return to Step 1 to use a different modification method on a</w:t>
            </w:r>
            <w:r w:rsidR="00C43733">
              <w:t>nother</w:t>
            </w:r>
            <w:r>
              <w:t xml:space="preserve"> unit.</w:t>
            </w:r>
          </w:p>
        </w:tc>
        <w:tc>
          <w:tcPr>
            <w:tcW w:w="6120" w:type="dxa"/>
            <w:tcBorders>
              <w:bottom w:val="single" w:sz="4" w:space="0" w:color="auto"/>
            </w:tcBorders>
          </w:tcPr>
          <w:p w14:paraId="4E6D17D9" w14:textId="77777777" w:rsidR="002A21AE" w:rsidRDefault="002A21AE">
            <w:pPr>
              <w:pStyle w:val="TableTextBullet"/>
            </w:pPr>
            <w:r>
              <w:t>Prompts the user to split or modify another unit.</w:t>
            </w:r>
          </w:p>
        </w:tc>
      </w:tr>
      <w:tr w:rsidR="002A21AE" w14:paraId="206691E6" w14:textId="77777777">
        <w:tc>
          <w:tcPr>
            <w:tcW w:w="3240" w:type="dxa"/>
            <w:tcBorders>
              <w:bottom w:val="single" w:sz="4" w:space="0" w:color="auto"/>
            </w:tcBorders>
          </w:tcPr>
          <w:p w14:paraId="00346AC2" w14:textId="77777777" w:rsidR="002A21AE" w:rsidRDefault="002A21AE">
            <w:pPr>
              <w:pStyle w:val="TableTextNumbers"/>
            </w:pPr>
            <w:r>
              <w:t xml:space="preserve">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bottom w:val="single" w:sz="4" w:space="0" w:color="auto"/>
            </w:tcBorders>
          </w:tcPr>
          <w:p w14:paraId="75F057D6" w14:textId="77777777" w:rsidR="002A21AE" w:rsidRDefault="002A21AE">
            <w:pPr>
              <w:pStyle w:val="TableText"/>
            </w:pPr>
          </w:p>
        </w:tc>
      </w:tr>
    </w:tbl>
    <w:p w14:paraId="19F7EEA9" w14:textId="77777777" w:rsidR="009F1B54" w:rsidRDefault="009F1B54">
      <w:pPr>
        <w:pStyle w:val="Heading3"/>
      </w:pPr>
      <w:bookmarkStart w:id="347" w:name="_Toc94349343"/>
    </w:p>
    <w:p w14:paraId="578B9585" w14:textId="77777777" w:rsidR="002A21AE" w:rsidRDefault="009F1B54">
      <w:pPr>
        <w:pStyle w:val="Heading3"/>
      </w:pPr>
      <w:r>
        <w:br w:type="page"/>
      </w:r>
      <w:bookmarkStart w:id="348" w:name="_Toc4588785"/>
      <w:r w:rsidR="002A21AE">
        <w:lastRenderedPageBreak/>
        <w:t>Modify Units: Pool Units</w:t>
      </w:r>
      <w:bookmarkEnd w:id="348"/>
      <w:r w:rsidR="002A21AE" w:rsidRPr="007716F7">
        <w:rPr>
          <w:vanish/>
        </w:rPr>
        <w:fldChar w:fldCharType="begin"/>
      </w:r>
      <w:r w:rsidR="002A21AE" w:rsidRPr="007716F7">
        <w:rPr>
          <w:vanish/>
        </w:rPr>
        <w:instrText xml:space="preserve"> XE </w:instrText>
      </w:r>
      <w:r w:rsidR="00FA7E65" w:rsidRPr="007716F7">
        <w:rPr>
          <w:vanish/>
        </w:rPr>
        <w:instrText>“</w:instrText>
      </w:r>
      <w:r w:rsidR="002A21AE" w:rsidRPr="007716F7">
        <w:rPr>
          <w:vanish/>
        </w:rPr>
        <w:instrText>Modify Units\: Pool Units</w:instrText>
      </w:r>
      <w:r w:rsidR="00FA7E65" w:rsidRPr="007716F7">
        <w:rPr>
          <w:vanish/>
        </w:rPr>
        <w:instrText>”</w:instrText>
      </w:r>
      <w:r w:rsidR="002A21AE" w:rsidRPr="007716F7">
        <w:rPr>
          <w:vanish/>
        </w:rPr>
        <w:instrText xml:space="preserve"> </w:instrText>
      </w:r>
      <w:r w:rsidR="002A21AE" w:rsidRPr="007716F7">
        <w:rPr>
          <w:vanish/>
        </w:rPr>
        <w:fldChar w:fldCharType="end"/>
      </w:r>
      <w:r w:rsidR="002A21AE" w:rsidRPr="007716F7">
        <w:rPr>
          <w:vanish/>
        </w:rPr>
        <w:t xml:space="preserve"> UC_2</w:t>
      </w:r>
      <w:bookmarkEnd w:id="347"/>
      <w:r w:rsidR="00B30CE5">
        <w:rPr>
          <w:vanish/>
        </w:rPr>
        <w:t>6</w:t>
      </w:r>
    </w:p>
    <w:p w14:paraId="20F3FE23" w14:textId="77777777" w:rsidR="002A21AE" w:rsidRDefault="002A21AE" w:rsidP="00FA7E65">
      <w:pPr>
        <w:pStyle w:val="BodyText"/>
      </w:pPr>
      <w:bookmarkStart w:id="349" w:name="_Toc78292638"/>
      <w:r>
        <w:t xml:space="preserve">The user selects units to be pooled. </w:t>
      </w:r>
    </w:p>
    <w:p w14:paraId="4B6950FE" w14:textId="77777777" w:rsidR="002A21AE" w:rsidRDefault="002A21AE">
      <w:pPr>
        <w:pStyle w:val="Heading4"/>
      </w:pPr>
      <w:bookmarkStart w:id="350" w:name="_Toc94349344"/>
      <w:r>
        <w:t>Assumptions</w:t>
      </w:r>
      <w:bookmarkEnd w:id="350"/>
    </w:p>
    <w:p w14:paraId="2254F6AB" w14:textId="77777777" w:rsidR="002A21AE" w:rsidRDefault="002A21AE">
      <w:pPr>
        <w:pStyle w:val="ListBullet"/>
      </w:pPr>
      <w:r>
        <w:t>See Modify Units.</w:t>
      </w:r>
    </w:p>
    <w:p w14:paraId="3087C228" w14:textId="77777777" w:rsidR="002A21AE" w:rsidRDefault="002A21AE">
      <w:pPr>
        <w:pStyle w:val="Heading4"/>
      </w:pPr>
      <w:bookmarkStart w:id="351" w:name="_Toc94349345"/>
      <w:r>
        <w:t>Outcome</w:t>
      </w:r>
      <w:bookmarkEnd w:id="351"/>
    </w:p>
    <w:p w14:paraId="63304FAC" w14:textId="77777777" w:rsidR="002A21AE" w:rsidRDefault="002A21AE">
      <w:pPr>
        <w:pStyle w:val="ListBullet"/>
      </w:pPr>
      <w:r>
        <w:t>See Modify Units.</w:t>
      </w:r>
    </w:p>
    <w:p w14:paraId="4F6D5CD7" w14:textId="77777777" w:rsidR="002A21AE" w:rsidRDefault="002A21AE">
      <w:pPr>
        <w:pStyle w:val="Heading4"/>
      </w:pPr>
      <w:bookmarkStart w:id="352" w:name="_Toc94349346"/>
      <w:r>
        <w:t>Limitations and Restrictions</w:t>
      </w:r>
      <w:bookmarkEnd w:id="352"/>
      <w:r w:rsidR="0004660C">
        <w:t xml:space="preserve"> </w:t>
      </w:r>
      <w:r w:rsidR="0004660C" w:rsidRPr="002546AC">
        <w:rPr>
          <w:rFonts w:ascii="Arial Bold" w:hAnsi="Arial Bold"/>
          <w:b w:val="0"/>
          <w:vanish/>
        </w:rPr>
        <w:t>DR 4474 removed third bullet</w:t>
      </w:r>
    </w:p>
    <w:p w14:paraId="318F7867" w14:textId="77777777" w:rsidR="00E11C56" w:rsidRDefault="00E11C56">
      <w:pPr>
        <w:pStyle w:val="ListBullet"/>
      </w:pPr>
      <w:r>
        <w:t>VBECS allows modification of units only in limited, assigned, crossmatched, and available statuses.</w:t>
      </w:r>
    </w:p>
    <w:p w14:paraId="680AC827" w14:textId="4D1733CE" w:rsidR="00971928" w:rsidRDefault="00D47D4A" w:rsidP="0004660C">
      <w:pPr>
        <w:pStyle w:val="ListBullet"/>
      </w:pPr>
      <w:r w:rsidRPr="00D47D4A">
        <w:t>When a</w:t>
      </w:r>
      <w:r>
        <w:t xml:space="preserve"> user adds a</w:t>
      </w:r>
      <w:r w:rsidRPr="00D47D4A">
        <w:t xml:space="preserve"> biohazardous unit to a pool, </w:t>
      </w:r>
      <w:r>
        <w:t xml:space="preserve">VBECS does not </w:t>
      </w:r>
      <w:r w:rsidR="0074247E">
        <w:t>designate</w:t>
      </w:r>
      <w:r>
        <w:t xml:space="preserve"> </w:t>
      </w:r>
      <w:r w:rsidR="002B51D0">
        <w:t xml:space="preserve">the </w:t>
      </w:r>
      <w:r w:rsidRPr="00D47D4A">
        <w:t xml:space="preserve">pool </w:t>
      </w:r>
      <w:r w:rsidR="0074247E">
        <w:t>as</w:t>
      </w:r>
      <w:r w:rsidRPr="00D47D4A">
        <w:t xml:space="preserve"> biohazardous</w:t>
      </w:r>
      <w:r w:rsidR="00785616">
        <w:t xml:space="preserve"> on the Blood Transfusion Record Form (BTRF) or Caution Tag</w:t>
      </w:r>
      <w:r w:rsidRPr="00D47D4A">
        <w:t>.</w:t>
      </w:r>
    </w:p>
    <w:p w14:paraId="0E2B48BF" w14:textId="6D1DE12A" w:rsidR="003F270D" w:rsidRDefault="003F270D" w:rsidP="003F270D">
      <w:pPr>
        <w:pStyle w:val="ListBullet"/>
      </w:pPr>
      <w:r>
        <w:rPr>
          <w:rFonts w:cs="Arial"/>
          <w:szCs w:val="18"/>
        </w:rPr>
        <w:t xml:space="preserve">Weld controls are disabled after the user makes their initial selection. </w:t>
      </w:r>
      <w:r>
        <w:rPr>
          <w:rFonts w:cs="Arial"/>
          <w:vanish/>
          <w:szCs w:val="18"/>
        </w:rPr>
        <w:t>Task 80350</w:t>
      </w:r>
      <w:r w:rsidRPr="003F270D">
        <w:rPr>
          <w:rFonts w:cs="Arial"/>
          <w:vanish/>
          <w:szCs w:val="18"/>
        </w:rPr>
        <w:t>7</w:t>
      </w:r>
    </w:p>
    <w:p w14:paraId="00AD7DFA" w14:textId="77777777" w:rsidR="002A21AE" w:rsidRDefault="002A21AE">
      <w:pPr>
        <w:pStyle w:val="Heading4"/>
      </w:pPr>
      <w:bookmarkStart w:id="353" w:name="_Toc94349347"/>
      <w:r>
        <w:t>Additional Information</w:t>
      </w:r>
      <w:bookmarkEnd w:id="353"/>
    </w:p>
    <w:p w14:paraId="1AC69253" w14:textId="77777777" w:rsidR="002A21AE" w:rsidRDefault="002A21AE">
      <w:pPr>
        <w:pStyle w:val="ListBullet"/>
      </w:pPr>
      <w:r w:rsidRPr="009D4EED">
        <w:rPr>
          <w:vanish/>
        </w:rPr>
        <w:t>BR_24.16</w:t>
      </w:r>
      <w:r>
        <w:rPr>
          <w:rFonts w:ascii="Arial" w:hAnsi="Arial" w:cs="Arial"/>
          <w:vanish/>
          <w:spacing w:val="0"/>
          <w:sz w:val="18"/>
        </w:rPr>
        <w:t xml:space="preserve"> </w:t>
      </w:r>
      <w:r>
        <w:t xml:space="preserve">When autologous or directed units are pooled, the “restricted for” patient must be the same for all units. VBECS assigns the same donation type and applies the “restricted for” patient data to the pool. </w:t>
      </w:r>
    </w:p>
    <w:p w14:paraId="4EE83DF7" w14:textId="77777777" w:rsidR="00A03B5F" w:rsidRDefault="00A03B5F" w:rsidP="00A03B5F">
      <w:pPr>
        <w:pStyle w:val="ListBullet"/>
      </w:pPr>
      <w:r>
        <w:t>To reverse the pooling of units:</w:t>
      </w:r>
    </w:p>
    <w:p w14:paraId="3E9DFA78" w14:textId="77777777" w:rsidR="00EB1E75" w:rsidRDefault="00A03B5F" w:rsidP="00EB1E75">
      <w:pPr>
        <w:pStyle w:val="ListBullet2"/>
      </w:pPr>
      <w:r>
        <w:t xml:space="preserve">Inactivate the target </w:t>
      </w:r>
      <w:r w:rsidRPr="00234222">
        <w:t>through</w:t>
      </w:r>
      <w:r>
        <w:t xml:space="preserve"> Edit Unit Information. </w:t>
      </w:r>
    </w:p>
    <w:p w14:paraId="4D9EA58F" w14:textId="77777777" w:rsidR="00A03B5F" w:rsidRDefault="00A03B5F" w:rsidP="00EB1E75">
      <w:pPr>
        <w:pStyle w:val="ListBullet2"/>
      </w:pPr>
      <w:r>
        <w:t>Remove the “modified” status from each unit in the pool through Remove Final Status.</w:t>
      </w:r>
    </w:p>
    <w:p w14:paraId="5A42423A" w14:textId="77777777" w:rsidR="00A03B5F" w:rsidRDefault="00A03B5F" w:rsidP="00A03B5F">
      <w:pPr>
        <w:pStyle w:val="ListBullet"/>
      </w:pPr>
      <w:r>
        <w:t>To edit the number of units in an existing pool, use Add/Remove Units from a Pool.</w:t>
      </w:r>
    </w:p>
    <w:p w14:paraId="3AF39EC3" w14:textId="77777777" w:rsidR="002A21AE" w:rsidRDefault="002A21AE">
      <w:pPr>
        <w:pStyle w:val="Heading4"/>
      </w:pPr>
      <w:bookmarkStart w:id="354" w:name="_Toc94349348"/>
      <w:r>
        <w:t>User Roles with Access to This Option</w:t>
      </w:r>
      <w:bookmarkEnd w:id="354"/>
    </w:p>
    <w:bookmarkEnd w:id="349"/>
    <w:p w14:paraId="2F1E63B3" w14:textId="77777777" w:rsidR="001A3179" w:rsidRDefault="001A3179" w:rsidP="001A3179">
      <w:pPr>
        <w:pStyle w:val="Roles"/>
        <w:rPr>
          <w:snapToGrid w:val="0"/>
        </w:rPr>
      </w:pPr>
      <w:r>
        <w:t>All users</w:t>
      </w:r>
    </w:p>
    <w:p w14:paraId="3BE3A118" w14:textId="77777777" w:rsidR="002A21AE" w:rsidRDefault="002A21AE">
      <w:pPr>
        <w:pStyle w:val="Heading4"/>
      </w:pPr>
      <w:r>
        <w:t>Modify Units: Pool Units</w:t>
      </w:r>
    </w:p>
    <w:p w14:paraId="26A7F21B" w14:textId="77777777" w:rsidR="002A21AE" w:rsidRDefault="002A21AE" w:rsidP="00FA7E65">
      <w:pPr>
        <w:pStyle w:val="BodyText"/>
      </w:pPr>
      <w:r>
        <w:t xml:space="preserve">When the pooling is in process or almost complete, the user records it in VBECS. Data entry may also be completed retrospectively. The user pools units and enters the ID and product code of the original unit and the IDs and product codes for each unit added to the pool. </w:t>
      </w:r>
    </w:p>
    <w:p w14:paraId="13FFCE3A" w14:textId="77777777" w:rsidR="002A21AE" w:rsidRDefault="002A21AE" w:rsidP="00FA7E65">
      <w:pPr>
        <w:pStyle w:val="BodyText"/>
      </w:pPr>
      <w:r>
        <w:t xml:space="preserve">VBECS records the date and time the units are pooled, uses the date and time to calculate a new expiration date for the pool, and assigns a unit ID and ABO/Rh, as defined by system rules. When an original unit in a pool was previously assigned to a patient, VBECS asks the user whether the entire pool is to be assigned to that patient. VBECS automatically assigns autologous and directed patient restriction data from an individual unit to the pool. VBECS determines the volume of the pool based on the sum of the volumes of the units in the pool. </w:t>
      </w:r>
    </w:p>
    <w:p w14:paraId="5797476F" w14:textId="77777777" w:rsidR="002A21AE" w:rsidRDefault="002A21AE" w:rsidP="00FA7E65">
      <w:pPr>
        <w:pStyle w:val="BodyText"/>
      </w:pPr>
      <w:r>
        <w:t xml:space="preserve">The new, </w:t>
      </w:r>
      <w:r>
        <w:rPr>
          <w:iCs/>
        </w:rPr>
        <w:t>pooled</w:t>
      </w:r>
      <w:r>
        <w:t xml:space="preserve"> unit needs a full set of unit properties, some of which were defined by the original units’ properties. VBECS assigns new properties such as volume, date and time created, container lot number, and expiration date to the target.</w:t>
      </w:r>
    </w:p>
    <w:p w14:paraId="619C4849" w14:textId="77777777" w:rsidR="002A21AE" w:rsidRDefault="002A21AE" w:rsidP="00FA7E65">
      <w:pPr>
        <w:pStyle w:val="BodyText"/>
      </w:pPr>
      <w:r>
        <w:t xml:space="preserve">VBECS uses system rules to check pertinent blood bank requirements associated with pooling and displays appropriate target unit information for review. The user reviews and edits the information, as needed, and completes the transaction. VBECS updates internal records, including the collection of workload and unit statuses, for each unit involved. </w:t>
      </w:r>
    </w:p>
    <w:p w14:paraId="438E05FD" w14:textId="77777777" w:rsidR="002A21AE" w:rsidRDefault="002A21AE" w:rsidP="00FA7E65">
      <w:pPr>
        <w:pStyle w:val="BodyText"/>
      </w:pPr>
      <w:r>
        <w:lastRenderedPageBreak/>
        <w:t>The user may now assign the units or print the BTRF and Caution Tag, and notify appropriate personnel that the ordered units are ready for issue.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7F38EC85" w14:textId="77777777">
        <w:trPr>
          <w:tblHeader/>
        </w:trPr>
        <w:tc>
          <w:tcPr>
            <w:tcW w:w="3240" w:type="dxa"/>
            <w:shd w:val="pct30" w:color="auto" w:fill="FFFFFF"/>
            <w:vAlign w:val="bottom"/>
          </w:tcPr>
          <w:p w14:paraId="3A88A336" w14:textId="77777777" w:rsidR="002A21AE" w:rsidRDefault="002A21AE">
            <w:pPr>
              <w:pStyle w:val="TableText"/>
              <w:rPr>
                <w:b/>
              </w:rPr>
            </w:pPr>
            <w:r>
              <w:rPr>
                <w:b/>
              </w:rPr>
              <w:t>User Action</w:t>
            </w:r>
          </w:p>
        </w:tc>
        <w:tc>
          <w:tcPr>
            <w:tcW w:w="6120" w:type="dxa"/>
            <w:shd w:val="pct30" w:color="auto" w:fill="FFFFFF"/>
            <w:vAlign w:val="bottom"/>
          </w:tcPr>
          <w:p w14:paraId="26EA2277" w14:textId="77777777" w:rsidR="002A21AE" w:rsidRDefault="002A21AE">
            <w:pPr>
              <w:pStyle w:val="TableText"/>
              <w:rPr>
                <w:b/>
              </w:rPr>
            </w:pPr>
            <w:r>
              <w:rPr>
                <w:b/>
              </w:rPr>
              <w:t>VBECS</w:t>
            </w:r>
          </w:p>
        </w:tc>
      </w:tr>
      <w:tr w:rsidR="002A21AE" w14:paraId="304587AE" w14:textId="77777777">
        <w:tc>
          <w:tcPr>
            <w:tcW w:w="3240" w:type="dxa"/>
          </w:tcPr>
          <w:p w14:paraId="45D69A7C" w14:textId="77777777" w:rsidR="002A21AE" w:rsidRDefault="002A21AE" w:rsidP="007B7DEC">
            <w:pPr>
              <w:pStyle w:val="TableTextNumbers"/>
            </w:pPr>
            <w:r>
              <w:t xml:space="preserve">Select </w:t>
            </w:r>
            <w:r>
              <w:rPr>
                <w:b/>
              </w:rPr>
              <w:t>Blood Units</w:t>
            </w:r>
            <w:r>
              <w:t xml:space="preserve"> from the main menu. </w:t>
            </w:r>
          </w:p>
          <w:p w14:paraId="54F15DBD" w14:textId="77777777" w:rsidR="002A21AE" w:rsidRDefault="002A21AE">
            <w:pPr>
              <w:pStyle w:val="TableTextNumbersContinued"/>
            </w:pPr>
          </w:p>
          <w:p w14:paraId="4AA5FB91" w14:textId="77777777" w:rsidR="002A21AE" w:rsidRDefault="002A21AE">
            <w:pPr>
              <w:pStyle w:val="TableTextNumbersContinued"/>
            </w:pPr>
            <w:r>
              <w:t xml:space="preserve">Select </w:t>
            </w:r>
            <w:r>
              <w:rPr>
                <w:b/>
              </w:rPr>
              <w:t>Modify Units</w:t>
            </w:r>
            <w:r>
              <w:t>.</w:t>
            </w:r>
          </w:p>
        </w:tc>
        <w:tc>
          <w:tcPr>
            <w:tcW w:w="6120" w:type="dxa"/>
          </w:tcPr>
          <w:p w14:paraId="5CB0D6B2" w14:textId="77777777" w:rsidR="002A21AE" w:rsidRDefault="002A21AE">
            <w:pPr>
              <w:pStyle w:val="TableTextBullet"/>
            </w:pPr>
            <w:r>
              <w:t>Displays options for processing blood units.</w:t>
            </w:r>
          </w:p>
          <w:p w14:paraId="07294F85" w14:textId="77777777" w:rsidR="002A21AE" w:rsidRDefault="002A21AE">
            <w:pPr>
              <w:pStyle w:val="TableTextBullet"/>
              <w:tabs>
                <w:tab w:val="clear" w:pos="288"/>
              </w:tabs>
            </w:pPr>
            <w:r>
              <w:t xml:space="preserve">Displays valid modification types for selection. </w:t>
            </w:r>
          </w:p>
          <w:p w14:paraId="56DC6786" w14:textId="77777777" w:rsidR="008807BD" w:rsidRDefault="008807BD" w:rsidP="008807BD">
            <w:pPr>
              <w:pStyle w:val="TableText"/>
              <w:rPr>
                <w:b/>
                <w:bCs/>
                <w:szCs w:val="18"/>
              </w:rPr>
            </w:pPr>
          </w:p>
          <w:p w14:paraId="607C6116" w14:textId="77777777" w:rsidR="008807BD" w:rsidRDefault="00057948" w:rsidP="008807BD">
            <w:pPr>
              <w:pStyle w:val="TableText"/>
              <w:rPr>
                <w:b/>
                <w:bCs/>
                <w:szCs w:val="18"/>
              </w:rPr>
            </w:pPr>
            <w:r>
              <w:rPr>
                <w:b/>
                <w:bCs/>
                <w:noProof/>
              </w:rPr>
              <mc:AlternateContent>
                <mc:Choice Requires="wps">
                  <w:drawing>
                    <wp:anchor distT="0" distB="0" distL="114300" distR="114300" simplePos="0" relativeHeight="251994624" behindDoc="0" locked="0" layoutInCell="1" allowOverlap="1" wp14:anchorId="14A7444D" wp14:editId="4A87FDDF">
                      <wp:simplePos x="0" y="0"/>
                      <wp:positionH relativeFrom="column">
                        <wp:posOffset>457200</wp:posOffset>
                      </wp:positionH>
                      <wp:positionV relativeFrom="paragraph">
                        <wp:posOffset>65405</wp:posOffset>
                      </wp:positionV>
                      <wp:extent cx="3200400" cy="0"/>
                      <wp:effectExtent l="9525" t="17780" r="9525" b="10795"/>
                      <wp:wrapNone/>
                      <wp:docPr id="473" name="Line 1194" descr="P4639C4T4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E7F7F" id="Line 1194" o:spid="_x0000_s1026" alt="&quot;&quot;" style="position:absolute;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LzevmzEAQAAbwMAAA4AAAAAAAAAAAAAAAAA&#10;LgIAAGRycy9lMm9Eb2MueG1sUEsBAi0AFAAGAAgAAAAhABdPMBLbAAAACAEAAA8AAAAAAAAAAAAA&#10;AAAAHgQAAGRycy9kb3ducmV2LnhtbFBLBQYAAAAABAAEAPMAAAAmBQAAAAA=&#10;" strokeweight="1.5pt"/>
                  </w:pict>
                </mc:Fallback>
              </mc:AlternateContent>
            </w:r>
            <w:r w:rsidR="008807BD">
              <w:rPr>
                <w:b/>
                <w:bCs/>
                <w:szCs w:val="18"/>
              </w:rPr>
              <w:t>NOTES</w:t>
            </w:r>
          </w:p>
          <w:p w14:paraId="1EA567EE" w14:textId="77777777" w:rsidR="008807BD" w:rsidRDefault="008807BD" w:rsidP="008807BD">
            <w:pPr>
              <w:pStyle w:val="NotesText"/>
            </w:pPr>
          </w:p>
          <w:p w14:paraId="4A90CE42" w14:textId="77777777" w:rsidR="008807BD" w:rsidRDefault="008807BD" w:rsidP="008807BD">
            <w:pPr>
              <w:pStyle w:val="NotesText"/>
            </w:pPr>
            <w:r w:rsidRPr="008807BD">
              <w:t xml:space="preserve">The </w:t>
            </w:r>
            <w:r w:rsidRPr="00EC7489">
              <w:rPr>
                <w:rFonts w:ascii="Wingdings 3" w:hAnsi="Wingdings 3" w:cs="Wingdings"/>
              </w:rPr>
              <w:t></w:t>
            </w:r>
            <w:r w:rsidRPr="00EC7489">
              <w:rPr>
                <w:rFonts w:ascii="Wingdings 3" w:hAnsi="Wingdings 3" w:cs="Wingdings"/>
              </w:rPr>
              <w:t></w:t>
            </w:r>
            <w:r>
              <w:t xml:space="preserve"> Enhanced Technologist </w:t>
            </w:r>
            <w:r w:rsidR="00915BD8">
              <w:t>or</w:t>
            </w:r>
            <w:r>
              <w:t xml:space="preserve"> above is authorized to modify expired blood products.</w:t>
            </w:r>
          </w:p>
        </w:tc>
      </w:tr>
      <w:tr w:rsidR="002A21AE" w14:paraId="4CF15C8A" w14:textId="77777777">
        <w:tc>
          <w:tcPr>
            <w:tcW w:w="3240" w:type="dxa"/>
          </w:tcPr>
          <w:p w14:paraId="7672DF8C" w14:textId="77777777" w:rsidR="002A21AE" w:rsidRDefault="002A21AE">
            <w:pPr>
              <w:pStyle w:val="TableTextNumbers"/>
            </w:pPr>
            <w:r>
              <w:t xml:space="preserve">Click the </w:t>
            </w:r>
            <w:r>
              <w:rPr>
                <w:b/>
              </w:rPr>
              <w:t xml:space="preserve">Pool </w:t>
            </w:r>
            <w:r>
              <w:t>or</w:t>
            </w:r>
            <w:r>
              <w:rPr>
                <w:b/>
              </w:rPr>
              <w:t xml:space="preserve"> Thaw/Pool Cryo </w:t>
            </w:r>
            <w:r w:rsidRPr="00BF2E41">
              <w:t>radio button</w:t>
            </w:r>
            <w:r>
              <w:t>.</w:t>
            </w:r>
          </w:p>
          <w:p w14:paraId="2FF6E6AF" w14:textId="77777777" w:rsidR="002A21AE" w:rsidRDefault="002A21AE">
            <w:pPr>
              <w:pStyle w:val="TableTextNumbersContinued"/>
            </w:pPr>
          </w:p>
          <w:p w14:paraId="2DFCA5E9" w14:textId="77777777" w:rsidR="002A21AE" w:rsidRDefault="002A21AE">
            <w:pPr>
              <w:pStyle w:val="TableTextNumbersContinued"/>
            </w:pPr>
            <w:r>
              <w:t xml:space="preserve">Click </w:t>
            </w:r>
            <w:r>
              <w:rPr>
                <w:b/>
              </w:rPr>
              <w:t>OK</w:t>
            </w:r>
            <w:r>
              <w:t>.</w:t>
            </w:r>
          </w:p>
        </w:tc>
        <w:tc>
          <w:tcPr>
            <w:tcW w:w="6120" w:type="dxa"/>
          </w:tcPr>
          <w:p w14:paraId="5075A96B" w14:textId="77777777" w:rsidR="002A21AE" w:rsidRDefault="002A21AE">
            <w:pPr>
              <w:pStyle w:val="TableTextBullet"/>
            </w:pPr>
            <w:r>
              <w:t>Allows the user to search for a unit.</w:t>
            </w:r>
          </w:p>
        </w:tc>
      </w:tr>
      <w:tr w:rsidR="002A21AE" w14:paraId="2B5920DC" w14:textId="77777777">
        <w:tc>
          <w:tcPr>
            <w:tcW w:w="3240" w:type="dxa"/>
          </w:tcPr>
          <w:p w14:paraId="6277FED6" w14:textId="77777777" w:rsidR="00DD68ED" w:rsidRDefault="002A21AE" w:rsidP="00054FA6">
            <w:pPr>
              <w:pStyle w:val="TableTextNumbers"/>
            </w:pPr>
            <w:r>
              <w:t xml:space="preserve">Scan, enter, or select the ID and product code </w:t>
            </w:r>
            <w:r w:rsidR="00DD68ED">
              <w:t xml:space="preserve">of the most restricted </w:t>
            </w:r>
            <w:r w:rsidR="00054FA6">
              <w:t>(e.g., biohazardous, autologous, directed)</w:t>
            </w:r>
            <w:r>
              <w:t xml:space="preserve"> unit to be pooled.</w:t>
            </w:r>
          </w:p>
        </w:tc>
        <w:tc>
          <w:tcPr>
            <w:tcW w:w="6120" w:type="dxa"/>
          </w:tcPr>
          <w:p w14:paraId="30783661" w14:textId="77777777" w:rsidR="002A21AE" w:rsidRDefault="002A21AE">
            <w:pPr>
              <w:pStyle w:val="TableTextBullet"/>
            </w:pPr>
            <w:r>
              <w:t>Displays current data for the selected unit.</w:t>
            </w:r>
          </w:p>
          <w:p w14:paraId="0ECAEA87" w14:textId="77777777" w:rsidR="002A21AE" w:rsidRDefault="002A21AE">
            <w:pPr>
              <w:pStyle w:val="TableText"/>
              <w:rPr>
                <w:b/>
                <w:bCs/>
                <w:szCs w:val="18"/>
              </w:rPr>
            </w:pPr>
          </w:p>
          <w:p w14:paraId="1993F4DE" w14:textId="77777777" w:rsidR="002A21AE" w:rsidRDefault="00057948">
            <w:pPr>
              <w:pStyle w:val="TableText"/>
              <w:rPr>
                <w:b/>
                <w:bCs/>
                <w:szCs w:val="18"/>
              </w:rPr>
            </w:pPr>
            <w:r>
              <w:rPr>
                <w:b/>
                <w:bCs/>
                <w:noProof/>
              </w:rPr>
              <mc:AlternateContent>
                <mc:Choice Requires="wps">
                  <w:drawing>
                    <wp:anchor distT="0" distB="0" distL="114300" distR="114300" simplePos="0" relativeHeight="251675136" behindDoc="0" locked="0" layoutInCell="1" allowOverlap="1" wp14:anchorId="7E6584B8" wp14:editId="5E2342AE">
                      <wp:simplePos x="0" y="0"/>
                      <wp:positionH relativeFrom="column">
                        <wp:posOffset>457200</wp:posOffset>
                      </wp:positionH>
                      <wp:positionV relativeFrom="paragraph">
                        <wp:posOffset>65405</wp:posOffset>
                      </wp:positionV>
                      <wp:extent cx="3200400" cy="0"/>
                      <wp:effectExtent l="9525" t="17780" r="9525" b="10795"/>
                      <wp:wrapNone/>
                      <wp:docPr id="472" name="Line 909" descr="P4651C8T4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BDE88" id="Line 909" o:spid="_x0000_s1026" alt="&quot;&quot;"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QjuxN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5C25A87C" w14:textId="77777777" w:rsidR="002A21AE" w:rsidRDefault="002A21AE">
            <w:pPr>
              <w:pStyle w:val="NotesText"/>
            </w:pPr>
          </w:p>
          <w:p w14:paraId="2BBD93F6" w14:textId="77777777" w:rsidR="00054FA6" w:rsidRDefault="00054FA6">
            <w:pPr>
              <w:pStyle w:val="NotesText"/>
            </w:pPr>
            <w:r>
              <w:t>VBECS applies the restriction of the first unit selected to the pool.</w:t>
            </w:r>
          </w:p>
          <w:p w14:paraId="22E201F6" w14:textId="77777777" w:rsidR="00054FA6" w:rsidRDefault="00054FA6">
            <w:pPr>
              <w:pStyle w:val="NotesText"/>
            </w:pPr>
          </w:p>
          <w:p w14:paraId="5371F9AE" w14:textId="77777777" w:rsidR="002A21AE" w:rsidRDefault="00C51C45" w:rsidP="00823261">
            <w:pPr>
              <w:pStyle w:val="NotesText"/>
              <w:rPr>
                <w:color w:val="000000"/>
                <w:szCs w:val="18"/>
              </w:rPr>
            </w:pPr>
            <w:r w:rsidRPr="00896F17">
              <w:rPr>
                <w:rStyle w:val="BullhornChar"/>
              </w:rPr>
              <w:t></w:t>
            </w:r>
            <w:r w:rsidR="005A3214">
              <w:t xml:space="preserve"> </w:t>
            </w:r>
            <w:r w:rsidR="002A21AE" w:rsidRPr="00613DA8">
              <w:rPr>
                <w:rFonts w:cs="Arial"/>
                <w:vanish/>
                <w:color w:val="0000FF"/>
              </w:rPr>
              <w:t>BR_24.02</w:t>
            </w:r>
            <w:r w:rsidR="002A21AE">
              <w:rPr>
                <w:rFonts w:cs="Arial"/>
                <w:vanish/>
              </w:rPr>
              <w:t xml:space="preserve"> </w:t>
            </w:r>
            <w:r w:rsidR="002A21AE">
              <w:t>B</w:t>
            </w:r>
            <w:r w:rsidR="002A21AE">
              <w:rPr>
                <w:color w:val="000000"/>
                <w:szCs w:val="18"/>
              </w:rPr>
              <w:t>ased on the product code, VBECS determines the component class of each selected unit to verify that the component class of the selected unit matches that of the first unit selected for the pool (only units from the same component class may be pooled). When the</w:t>
            </w:r>
            <w:r w:rsidR="00CE58C1">
              <w:rPr>
                <w:color w:val="000000"/>
                <w:szCs w:val="18"/>
              </w:rPr>
              <w:t>y</w:t>
            </w:r>
            <w:r w:rsidR="002A21AE">
              <w:rPr>
                <w:color w:val="000000"/>
                <w:szCs w:val="18"/>
              </w:rPr>
              <w:t xml:space="preserve"> do not match, VBECS warns the user and clears the entry. The user may enter another unit.</w:t>
            </w:r>
          </w:p>
          <w:p w14:paraId="568474B5" w14:textId="77777777" w:rsidR="000C5084" w:rsidRDefault="000C5084" w:rsidP="00823261">
            <w:pPr>
              <w:pStyle w:val="NotesText"/>
              <w:rPr>
                <w:color w:val="000000"/>
                <w:szCs w:val="18"/>
              </w:rPr>
            </w:pPr>
          </w:p>
          <w:p w14:paraId="327E1E32" w14:textId="77777777" w:rsidR="000C5084" w:rsidRDefault="000C5084" w:rsidP="00C45B80">
            <w:pPr>
              <w:pStyle w:val="NotesText"/>
            </w:pPr>
            <w:r w:rsidRPr="000C5084">
              <w:rPr>
                <w:iCs/>
                <w:vanish/>
              </w:rPr>
              <w:t xml:space="preserve">BR_24.34 </w:t>
            </w:r>
            <w:r w:rsidR="00C233B7">
              <w:rPr>
                <w:iCs/>
              </w:rPr>
              <w:t>If one unit containing</w:t>
            </w:r>
            <w:r w:rsidRPr="009D3134">
              <w:rPr>
                <w:iCs/>
              </w:rPr>
              <w:t xml:space="preserve"> = </w:t>
            </w:r>
            <w:r w:rsidR="00C233B7">
              <w:rPr>
                <w:iCs/>
              </w:rPr>
              <w:t xml:space="preserve">&gt; </w:t>
            </w:r>
            <w:r w:rsidRPr="009D3134">
              <w:rPr>
                <w:iCs/>
              </w:rPr>
              <w:t xml:space="preserve">2 mL of red blood cell contamination is added to a pool, the target </w:t>
            </w:r>
            <w:r w:rsidR="00C45B80">
              <w:rPr>
                <w:iCs/>
              </w:rPr>
              <w:t>is</w:t>
            </w:r>
            <w:r w:rsidRPr="009D3134">
              <w:rPr>
                <w:iCs/>
              </w:rPr>
              <w:t xml:space="preserve"> marked as containing </w:t>
            </w:r>
            <w:r w:rsidR="00C233B7">
              <w:rPr>
                <w:iCs/>
              </w:rPr>
              <w:t>=</w:t>
            </w:r>
            <w:r w:rsidRPr="009D3134">
              <w:rPr>
                <w:iCs/>
              </w:rPr>
              <w:t xml:space="preserve"> </w:t>
            </w:r>
            <w:r w:rsidR="00C233B7">
              <w:rPr>
                <w:iCs/>
              </w:rPr>
              <w:t xml:space="preserve">&gt; </w:t>
            </w:r>
            <w:r w:rsidRPr="009D3134">
              <w:rPr>
                <w:iCs/>
              </w:rPr>
              <w:t>2 mL of red blood cell contamination.</w:t>
            </w:r>
          </w:p>
        </w:tc>
      </w:tr>
      <w:tr w:rsidR="002A21AE" w14:paraId="61824A7A" w14:textId="77777777">
        <w:tc>
          <w:tcPr>
            <w:tcW w:w="3240" w:type="dxa"/>
            <w:tcBorders>
              <w:top w:val="single" w:sz="4" w:space="0" w:color="auto"/>
              <w:left w:val="single" w:sz="4" w:space="0" w:color="auto"/>
              <w:bottom w:val="single" w:sz="4" w:space="0" w:color="auto"/>
              <w:right w:val="single" w:sz="4" w:space="0" w:color="auto"/>
            </w:tcBorders>
          </w:tcPr>
          <w:p w14:paraId="154E5059" w14:textId="77777777" w:rsidR="002A21AE" w:rsidRDefault="002A21AE">
            <w:pPr>
              <w:pStyle w:val="TableTextNumbers"/>
            </w:pPr>
            <w:r>
              <w:t>Enter the ID and product code of a</w:t>
            </w:r>
            <w:r w:rsidR="0071381D">
              <w:t>nother</w:t>
            </w:r>
            <w:r>
              <w:t xml:space="preserve"> unit </w:t>
            </w:r>
            <w:r w:rsidR="0071381D">
              <w:t xml:space="preserve">of the same donation type </w:t>
            </w:r>
            <w:r>
              <w:t xml:space="preserve">for inclusion in the pool. </w:t>
            </w:r>
          </w:p>
        </w:tc>
        <w:tc>
          <w:tcPr>
            <w:tcW w:w="6120" w:type="dxa"/>
            <w:tcBorders>
              <w:top w:val="single" w:sz="4" w:space="0" w:color="auto"/>
              <w:left w:val="single" w:sz="4" w:space="0" w:color="auto"/>
              <w:bottom w:val="single" w:sz="4" w:space="0" w:color="auto"/>
              <w:right w:val="single" w:sz="4" w:space="0" w:color="auto"/>
            </w:tcBorders>
          </w:tcPr>
          <w:p w14:paraId="786D1130" w14:textId="77777777" w:rsidR="002A21AE" w:rsidRDefault="00CE58C1">
            <w:pPr>
              <w:pStyle w:val="TableTextBullet"/>
              <w:tabs>
                <w:tab w:val="num" w:pos="360"/>
              </w:tabs>
            </w:pPr>
            <w:r>
              <w:t xml:space="preserve">May warn </w:t>
            </w:r>
            <w:r w:rsidR="002A21AE">
              <w:t>the user and asks whether to release the unit from “restricted for patient.”</w:t>
            </w:r>
          </w:p>
          <w:p w14:paraId="0B395ABF" w14:textId="77777777" w:rsidR="002A21AE" w:rsidRDefault="002A21AE">
            <w:pPr>
              <w:pStyle w:val="TableText"/>
            </w:pPr>
          </w:p>
          <w:p w14:paraId="325B120D" w14:textId="77777777" w:rsidR="002A21AE" w:rsidRDefault="00057948">
            <w:pPr>
              <w:pStyle w:val="TableText"/>
              <w:rPr>
                <w:b/>
                <w:bCs/>
              </w:rPr>
            </w:pPr>
            <w:r>
              <w:rPr>
                <w:b/>
                <w:bCs/>
                <w:noProof/>
              </w:rPr>
              <mc:AlternateContent>
                <mc:Choice Requires="wps">
                  <w:drawing>
                    <wp:anchor distT="0" distB="0" distL="114300" distR="114300" simplePos="0" relativeHeight="251686400" behindDoc="0" locked="0" layoutInCell="1" allowOverlap="1" wp14:anchorId="2A762CBB" wp14:editId="09C1F1EB">
                      <wp:simplePos x="0" y="0"/>
                      <wp:positionH relativeFrom="column">
                        <wp:posOffset>457200</wp:posOffset>
                      </wp:positionH>
                      <wp:positionV relativeFrom="paragraph">
                        <wp:posOffset>65405</wp:posOffset>
                      </wp:positionV>
                      <wp:extent cx="3200400" cy="0"/>
                      <wp:effectExtent l="9525" t="17780" r="9525" b="10795"/>
                      <wp:wrapNone/>
                      <wp:docPr id="471" name="Line 917" descr="P4662C10T4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81806" id="Line 917" o:spid="_x0000_s1026" alt="&quot;&quot;"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NZC4KcMBAABuAwAADgAAAAAAAAAAAAAAAAAu&#10;AgAAZHJzL2Uyb0RvYy54bWxQSwECLQAUAAYACAAAACEAF08wEtsAAAAIAQAADwAAAAAAAAAAAAAA&#10;AAAdBAAAZHJzL2Rvd25yZXYueG1sUEsFBgAAAAAEAAQA8wAAACUFAAAAAA==&#10;" strokeweight="1.5pt"/>
                  </w:pict>
                </mc:Fallback>
              </mc:AlternateContent>
            </w:r>
            <w:r w:rsidR="002A21AE">
              <w:rPr>
                <w:b/>
                <w:bCs/>
              </w:rPr>
              <w:t>NOTES</w:t>
            </w:r>
          </w:p>
          <w:p w14:paraId="6AD04D31" w14:textId="77777777" w:rsidR="002A21AE" w:rsidRDefault="002A21AE">
            <w:pPr>
              <w:pStyle w:val="NotesText"/>
            </w:pPr>
          </w:p>
          <w:p w14:paraId="542E5426" w14:textId="77777777" w:rsidR="002A21AE" w:rsidRDefault="002A21AE">
            <w:pPr>
              <w:pStyle w:val="NotesText"/>
            </w:pPr>
            <w:r>
              <w:t xml:space="preserve">When the donation type of a unit selected for inclusion in a pool is restricted, the user may release the directed unit to the general blood supply, if indicated, and complete the pooling process. </w:t>
            </w:r>
          </w:p>
          <w:p w14:paraId="105F1FAE" w14:textId="77777777" w:rsidR="00A33872" w:rsidRDefault="00A33872" w:rsidP="00A33872">
            <w:pPr>
              <w:pStyle w:val="NotesText"/>
            </w:pPr>
          </w:p>
          <w:p w14:paraId="2C4F22F0" w14:textId="77777777" w:rsidR="005E0061" w:rsidRDefault="00A33872" w:rsidP="00A33872">
            <w:pPr>
              <w:pStyle w:val="NotesText"/>
              <w:rPr>
                <w:iCs/>
                <w:szCs w:val="18"/>
              </w:rPr>
            </w:pPr>
            <w:r w:rsidRPr="001051D0">
              <w:rPr>
                <w:rFonts w:cs="Arial"/>
                <w:vanish/>
              </w:rPr>
              <w:t>BR_24.12</w:t>
            </w:r>
            <w:r>
              <w:rPr>
                <w:rFonts w:cs="Arial"/>
                <w:vanish/>
                <w:szCs w:val="18"/>
              </w:rPr>
              <w:t xml:space="preserve"> </w:t>
            </w:r>
            <w:r w:rsidR="00CD6052" w:rsidRPr="00CD6052">
              <w:rPr>
                <w:iCs/>
                <w:szCs w:val="18"/>
              </w:rPr>
              <w:t>When the first unit entered for a pool is labeled in ISBT 128, VBECS determines the unit ID of the pool created from ISBT-labeled units using the country and ICCBBA-assigned facility code (division preparing the pool), two-number year, and six-number sequential number of the pool event at the division, and displays it for acceptance only.</w:t>
            </w:r>
          </w:p>
          <w:p w14:paraId="72FC2B06" w14:textId="77777777" w:rsidR="00A33872" w:rsidRDefault="009439F8" w:rsidP="00A33872">
            <w:pPr>
              <w:pStyle w:val="NotesText"/>
              <w:rPr>
                <w:iCs/>
                <w:vanish/>
                <w:szCs w:val="18"/>
              </w:rPr>
            </w:pPr>
            <w:r>
              <w:rPr>
                <w:iCs/>
                <w:vanish/>
                <w:szCs w:val="18"/>
              </w:rPr>
              <w:t xml:space="preserve"> DR 3668</w:t>
            </w:r>
          </w:p>
          <w:p w14:paraId="4F0B7D37" w14:textId="77777777" w:rsidR="005E0061" w:rsidRDefault="005E0061" w:rsidP="00A33872">
            <w:pPr>
              <w:pStyle w:val="NotesText"/>
              <w:rPr>
                <w:color w:val="000000"/>
                <w:szCs w:val="18"/>
              </w:rPr>
            </w:pPr>
          </w:p>
          <w:p w14:paraId="06CF8086" w14:textId="77777777" w:rsidR="005E0061" w:rsidRPr="009439F8" w:rsidRDefault="005E0061" w:rsidP="00A33872">
            <w:pPr>
              <w:pStyle w:val="NotesText"/>
              <w:rPr>
                <w:color w:val="000000"/>
                <w:szCs w:val="18"/>
              </w:rPr>
            </w:pPr>
            <w:r w:rsidRPr="005E0061">
              <w:rPr>
                <w:iCs/>
                <w:vanish/>
              </w:rPr>
              <w:t xml:space="preserve">BR_24.34 </w:t>
            </w:r>
            <w:r w:rsidRPr="009D3134">
              <w:rPr>
                <w:iCs/>
              </w:rPr>
              <w:t>If one unit conta</w:t>
            </w:r>
            <w:r w:rsidR="00C233B7">
              <w:rPr>
                <w:iCs/>
              </w:rPr>
              <w:t xml:space="preserve">ining </w:t>
            </w:r>
            <w:r w:rsidRPr="009D3134">
              <w:rPr>
                <w:iCs/>
              </w:rPr>
              <w:t xml:space="preserve">= </w:t>
            </w:r>
            <w:r w:rsidR="00C233B7">
              <w:rPr>
                <w:iCs/>
              </w:rPr>
              <w:t xml:space="preserve">&gt; </w:t>
            </w:r>
            <w:r w:rsidRPr="009D3134">
              <w:rPr>
                <w:iCs/>
              </w:rPr>
              <w:t>2 mL of red blood cell contamination is added to a pool, the target</w:t>
            </w:r>
            <w:r w:rsidR="00DB1100">
              <w:rPr>
                <w:iCs/>
              </w:rPr>
              <w:t xml:space="preserve"> is</w:t>
            </w:r>
            <w:r w:rsidR="00C233B7">
              <w:rPr>
                <w:iCs/>
              </w:rPr>
              <w:t xml:space="preserve"> marked as containing </w:t>
            </w:r>
            <w:r w:rsidRPr="009D3134">
              <w:rPr>
                <w:iCs/>
              </w:rPr>
              <w:t xml:space="preserve">= </w:t>
            </w:r>
            <w:r w:rsidR="00C233B7">
              <w:rPr>
                <w:iCs/>
              </w:rPr>
              <w:t xml:space="preserve">&gt; </w:t>
            </w:r>
            <w:r w:rsidRPr="009D3134">
              <w:rPr>
                <w:iCs/>
              </w:rPr>
              <w:t>2 mL of red blood cell contamination.</w:t>
            </w:r>
          </w:p>
        </w:tc>
      </w:tr>
      <w:tr w:rsidR="002A21AE" w14:paraId="1CE912F2" w14:textId="77777777" w:rsidTr="001A459B">
        <w:trPr>
          <w:cantSplit/>
        </w:trPr>
        <w:tc>
          <w:tcPr>
            <w:tcW w:w="3240" w:type="dxa"/>
            <w:tcBorders>
              <w:top w:val="single" w:sz="4" w:space="0" w:color="auto"/>
              <w:left w:val="single" w:sz="4" w:space="0" w:color="auto"/>
              <w:bottom w:val="single" w:sz="4" w:space="0" w:color="auto"/>
              <w:right w:val="single" w:sz="4" w:space="0" w:color="auto"/>
            </w:tcBorders>
          </w:tcPr>
          <w:p w14:paraId="5E701431" w14:textId="77777777" w:rsidR="002A21AE" w:rsidRDefault="002A21AE">
            <w:pPr>
              <w:pStyle w:val="TableTextNumbers"/>
            </w:pPr>
            <w:r>
              <w:lastRenderedPageBreak/>
              <w:t>Accept the previously selected unit and repeat Step 4 to select another unit to add to the pool.</w:t>
            </w:r>
          </w:p>
        </w:tc>
        <w:tc>
          <w:tcPr>
            <w:tcW w:w="6120" w:type="dxa"/>
            <w:tcBorders>
              <w:top w:val="single" w:sz="4" w:space="0" w:color="auto"/>
              <w:left w:val="single" w:sz="4" w:space="0" w:color="auto"/>
              <w:bottom w:val="single" w:sz="4" w:space="0" w:color="auto"/>
              <w:right w:val="single" w:sz="4" w:space="0" w:color="auto"/>
            </w:tcBorders>
          </w:tcPr>
          <w:p w14:paraId="0CC38EE5" w14:textId="77777777" w:rsidR="002A21AE" w:rsidRDefault="002A21AE">
            <w:pPr>
              <w:pStyle w:val="TableTextBullet"/>
              <w:tabs>
                <w:tab w:val="num" w:pos="360"/>
              </w:tabs>
              <w:rPr>
                <w:color w:val="000000"/>
                <w:szCs w:val="20"/>
              </w:rPr>
            </w:pPr>
            <w:r>
              <w:rPr>
                <w:color w:val="000000"/>
                <w:szCs w:val="20"/>
              </w:rPr>
              <w:t>Displays all data for all original units.</w:t>
            </w:r>
          </w:p>
          <w:p w14:paraId="454D9AAB" w14:textId="77777777" w:rsidR="002A21AE" w:rsidRDefault="002A21AE">
            <w:pPr>
              <w:pStyle w:val="TableText"/>
            </w:pPr>
          </w:p>
          <w:p w14:paraId="4D3363CB" w14:textId="77777777" w:rsidR="002A21AE" w:rsidRDefault="00057948">
            <w:pPr>
              <w:pStyle w:val="TableText"/>
              <w:rPr>
                <w:b/>
                <w:bCs/>
              </w:rPr>
            </w:pPr>
            <w:r>
              <w:rPr>
                <w:b/>
                <w:bCs/>
                <w:noProof/>
              </w:rPr>
              <mc:AlternateContent>
                <mc:Choice Requires="wps">
                  <w:drawing>
                    <wp:anchor distT="0" distB="0" distL="114300" distR="114300" simplePos="0" relativeHeight="251678208" behindDoc="0" locked="0" layoutInCell="1" allowOverlap="1" wp14:anchorId="6EA7E30C" wp14:editId="706A7CA4">
                      <wp:simplePos x="0" y="0"/>
                      <wp:positionH relativeFrom="column">
                        <wp:posOffset>457200</wp:posOffset>
                      </wp:positionH>
                      <wp:positionV relativeFrom="paragraph">
                        <wp:posOffset>65405</wp:posOffset>
                      </wp:positionV>
                      <wp:extent cx="3200400" cy="0"/>
                      <wp:effectExtent l="9525" t="17780" r="9525" b="10795"/>
                      <wp:wrapNone/>
                      <wp:docPr id="470" name="Line 911" descr="P4673C12T4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B1A3E" id="Line 911" o:spid="_x0000_s1026" alt="&quot;&quot;"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CzWHDlwgEAAG4DAAAOAAAAAAAAAAAAAAAAAC4C&#10;AABkcnMvZTJvRG9jLnhtbFBLAQItABQABgAIAAAAIQAXTzAS2wAAAAgBAAAPAAAAAAAAAAAAAAAA&#10;ABwEAABkcnMvZG93bnJldi54bWxQSwUGAAAAAAQABADzAAAAJAUAAAAA&#10;" strokeweight="1.5pt"/>
                  </w:pict>
                </mc:Fallback>
              </mc:AlternateContent>
            </w:r>
            <w:r w:rsidR="002A21AE">
              <w:rPr>
                <w:b/>
                <w:bCs/>
              </w:rPr>
              <w:t>NOTES</w:t>
            </w:r>
          </w:p>
          <w:p w14:paraId="47883C23" w14:textId="77777777" w:rsidR="002A21AE" w:rsidRDefault="002A21AE">
            <w:pPr>
              <w:pStyle w:val="NotesText"/>
            </w:pPr>
          </w:p>
          <w:p w14:paraId="5077D8F0" w14:textId="77777777" w:rsidR="002A21AE" w:rsidRDefault="002A21AE">
            <w:pPr>
              <w:pStyle w:val="NotesText"/>
            </w:pPr>
            <w:r>
              <w:rPr>
                <w:rFonts w:cs="Arial"/>
                <w:vanish/>
              </w:rPr>
              <w:t>BR_24.03</w:t>
            </w:r>
            <w:r>
              <w:rPr>
                <w:rFonts w:cs="Arial"/>
                <w:vanish/>
                <w:szCs w:val="18"/>
              </w:rPr>
              <w:t xml:space="preserve"> </w:t>
            </w:r>
            <w:r>
              <w:rPr>
                <w:szCs w:val="18"/>
              </w:rPr>
              <w:t>VBECS tallies the number of units pooled</w:t>
            </w:r>
            <w:r w:rsidR="00E537E5">
              <w:rPr>
                <w:szCs w:val="18"/>
              </w:rPr>
              <w:t xml:space="preserve"> for this transaction. VBECS will not allow the user to edit this number</w:t>
            </w:r>
            <w:r>
              <w:rPr>
                <w:szCs w:val="18"/>
              </w:rPr>
              <w:t>. The user may not edit this number. VBECS calculates the pooled unit’s cost and passes that amount to the patient billing system in U.S. currency.</w:t>
            </w:r>
          </w:p>
          <w:p w14:paraId="20CA614E" w14:textId="77777777" w:rsidR="002A21AE" w:rsidRDefault="002A21AE">
            <w:pPr>
              <w:pStyle w:val="NotesText"/>
            </w:pPr>
          </w:p>
          <w:p w14:paraId="0F03B951" w14:textId="77777777" w:rsidR="002A21AE" w:rsidRDefault="002A21AE">
            <w:pPr>
              <w:pStyle w:val="NotesText"/>
            </w:pPr>
            <w:r w:rsidRPr="00D31A97">
              <w:rPr>
                <w:rFonts w:cs="Arial"/>
                <w:vanish/>
              </w:rPr>
              <w:t>BR_24.05</w:t>
            </w:r>
            <w:r>
              <w:rPr>
                <w:rFonts w:cs="Arial"/>
                <w:vanish/>
              </w:rPr>
              <w:t xml:space="preserve"> </w:t>
            </w:r>
            <w:r>
              <w:rPr>
                <w:szCs w:val="18"/>
              </w:rPr>
              <w:t xml:space="preserve">VBECS does not allow a unit to be entered twice in a pool. A split unit </w:t>
            </w:r>
            <w:r w:rsidR="00D31A97">
              <w:rPr>
                <w:szCs w:val="18"/>
              </w:rPr>
              <w:t xml:space="preserve">created in VBECS </w:t>
            </w:r>
            <w:r>
              <w:rPr>
                <w:szCs w:val="18"/>
              </w:rPr>
              <w:t>may not be pooled.</w:t>
            </w:r>
            <w:r w:rsidR="00D31A97">
              <w:rPr>
                <w:szCs w:val="18"/>
              </w:rPr>
              <w:t xml:space="preserve"> A </w:t>
            </w:r>
            <w:r w:rsidR="008B6D25">
              <w:rPr>
                <w:szCs w:val="18"/>
              </w:rPr>
              <w:t>unit</w:t>
            </w:r>
            <w:r w:rsidR="00D31A97">
              <w:rPr>
                <w:szCs w:val="18"/>
              </w:rPr>
              <w:t xml:space="preserve"> that has a division code (7</w:t>
            </w:r>
            <w:r w:rsidR="00D31A97" w:rsidRPr="00D31A97">
              <w:rPr>
                <w:szCs w:val="18"/>
                <w:vertAlign w:val="superscript"/>
              </w:rPr>
              <w:t>th</w:t>
            </w:r>
            <w:r w:rsidR="00D31A97">
              <w:rPr>
                <w:szCs w:val="18"/>
              </w:rPr>
              <w:t>/8</w:t>
            </w:r>
            <w:r w:rsidR="00D31A97" w:rsidRPr="00D31A97">
              <w:rPr>
                <w:szCs w:val="18"/>
                <w:vertAlign w:val="superscript"/>
              </w:rPr>
              <w:t>th</w:t>
            </w:r>
            <w:r w:rsidR="00D31A97">
              <w:rPr>
                <w:szCs w:val="18"/>
              </w:rPr>
              <w:t xml:space="preserve"> characters in the ISBT Product code) present upon receipt in incoming shipment may be pooled.</w:t>
            </w:r>
          </w:p>
        </w:tc>
      </w:tr>
      <w:tr w:rsidR="002A21AE" w14:paraId="5171622C" w14:textId="77777777">
        <w:tc>
          <w:tcPr>
            <w:tcW w:w="3240" w:type="dxa"/>
            <w:tcBorders>
              <w:top w:val="single" w:sz="4" w:space="0" w:color="auto"/>
              <w:left w:val="single" w:sz="4" w:space="0" w:color="auto"/>
              <w:bottom w:val="single" w:sz="4" w:space="0" w:color="auto"/>
              <w:right w:val="single" w:sz="4" w:space="0" w:color="auto"/>
            </w:tcBorders>
          </w:tcPr>
          <w:p w14:paraId="3488A26F" w14:textId="77777777" w:rsidR="002A21AE" w:rsidRDefault="002A21AE">
            <w:pPr>
              <w:pStyle w:val="TableTextNumbers"/>
            </w:pPr>
            <w:r>
              <w:t>Accept the displayed units’ data for the pool.</w:t>
            </w:r>
          </w:p>
        </w:tc>
        <w:tc>
          <w:tcPr>
            <w:tcW w:w="6120" w:type="dxa"/>
            <w:tcBorders>
              <w:top w:val="single" w:sz="4" w:space="0" w:color="auto"/>
              <w:left w:val="single" w:sz="4" w:space="0" w:color="auto"/>
              <w:bottom w:val="single" w:sz="4" w:space="0" w:color="auto"/>
              <w:right w:val="single" w:sz="4" w:space="0" w:color="auto"/>
            </w:tcBorders>
          </w:tcPr>
          <w:p w14:paraId="78CC51F7" w14:textId="77777777" w:rsidR="002A21AE" w:rsidRDefault="002A21AE">
            <w:pPr>
              <w:pStyle w:val="TableTextBullet"/>
              <w:tabs>
                <w:tab w:val="num" w:pos="360"/>
              </w:tabs>
            </w:pPr>
            <w:r>
              <w:t>Displays target component types for the modification, conditions selected, and the original unit product type, and allows the user to select a single modification type.</w:t>
            </w:r>
          </w:p>
        </w:tc>
      </w:tr>
      <w:tr w:rsidR="002A21AE" w14:paraId="45A8E6F8" w14:textId="77777777">
        <w:tc>
          <w:tcPr>
            <w:tcW w:w="3240" w:type="dxa"/>
            <w:tcBorders>
              <w:top w:val="single" w:sz="4" w:space="0" w:color="auto"/>
              <w:left w:val="single" w:sz="4" w:space="0" w:color="auto"/>
              <w:bottom w:val="single" w:sz="4" w:space="0" w:color="auto"/>
              <w:right w:val="single" w:sz="4" w:space="0" w:color="auto"/>
            </w:tcBorders>
          </w:tcPr>
          <w:p w14:paraId="05D00C21" w14:textId="77777777" w:rsidR="002A21AE" w:rsidRDefault="002A21AE">
            <w:pPr>
              <w:pStyle w:val="TableTextNumbers"/>
            </w:pPr>
            <w:r>
              <w:t xml:space="preserve">Select or confirm the desired target component type. </w:t>
            </w:r>
          </w:p>
          <w:p w14:paraId="196DEECF" w14:textId="77777777" w:rsidR="00CE58C1" w:rsidRDefault="00CE58C1" w:rsidP="00CE58C1">
            <w:pPr>
              <w:pStyle w:val="TableTextNumbersContinued"/>
            </w:pPr>
          </w:p>
          <w:p w14:paraId="296F441B" w14:textId="77777777" w:rsidR="002A21AE" w:rsidRDefault="00CE58C1" w:rsidP="00CE58C1">
            <w:pPr>
              <w:pStyle w:val="TableTextNumbersContinued"/>
            </w:pPr>
            <w:r>
              <w:t>Click the</w:t>
            </w:r>
            <w:r w:rsidR="007B7DEC">
              <w:t xml:space="preserve"> </w:t>
            </w:r>
            <w:r w:rsidR="007B7DEC" w:rsidRPr="007B7DEC">
              <w:rPr>
                <w:b/>
              </w:rPr>
              <w:t>Container</w:t>
            </w:r>
            <w:r w:rsidR="007B7DEC">
              <w:t>,</w:t>
            </w:r>
            <w:r>
              <w:t xml:space="preserve"> </w:t>
            </w:r>
            <w:r w:rsidRPr="00764A64">
              <w:rPr>
                <w:b/>
              </w:rPr>
              <w:t>Supplies</w:t>
            </w:r>
            <w:r w:rsidR="007B7DEC" w:rsidRPr="007B7DEC">
              <w:t>,</w:t>
            </w:r>
            <w:r w:rsidR="0023261D">
              <w:t xml:space="preserve"> </w:t>
            </w:r>
            <w:r w:rsidRPr="00764A64">
              <w:rPr>
                <w:b/>
              </w:rPr>
              <w:t>Equipment</w:t>
            </w:r>
            <w:r w:rsidR="007B7DEC" w:rsidRPr="007B7DEC">
              <w:t>, or</w:t>
            </w:r>
            <w:r w:rsidR="007B7DEC">
              <w:rPr>
                <w:b/>
              </w:rPr>
              <w:t xml:space="preserve"> SCD Wafer</w:t>
            </w:r>
            <w:r w:rsidRPr="00764A64">
              <w:rPr>
                <w:b/>
              </w:rPr>
              <w:t xml:space="preserve"> </w:t>
            </w:r>
            <w:r w:rsidRPr="00CC3C89">
              <w:t xml:space="preserve">tab </w:t>
            </w:r>
            <w:r>
              <w:t>and enter another supply and/or equipment lot or ID number.</w:t>
            </w:r>
          </w:p>
        </w:tc>
        <w:tc>
          <w:tcPr>
            <w:tcW w:w="6120" w:type="dxa"/>
            <w:tcBorders>
              <w:top w:val="single" w:sz="4" w:space="0" w:color="auto"/>
              <w:left w:val="single" w:sz="4" w:space="0" w:color="auto"/>
              <w:bottom w:val="single" w:sz="4" w:space="0" w:color="auto"/>
              <w:right w:val="single" w:sz="4" w:space="0" w:color="auto"/>
            </w:tcBorders>
          </w:tcPr>
          <w:p w14:paraId="2C948F89" w14:textId="77777777" w:rsidR="002A21AE" w:rsidRDefault="002A21AE">
            <w:pPr>
              <w:pStyle w:val="TableTextBullet"/>
              <w:tabs>
                <w:tab w:val="num" w:pos="360"/>
              </w:tabs>
              <w:rPr>
                <w:color w:val="000000"/>
                <w:szCs w:val="20"/>
              </w:rPr>
            </w:pPr>
            <w:r>
              <w:rPr>
                <w:color w:val="000000"/>
                <w:szCs w:val="20"/>
              </w:rPr>
              <w:t>Verifies that an active target component was selected. Requires activation, as needed.</w:t>
            </w:r>
          </w:p>
          <w:p w14:paraId="5A53386F" w14:textId="77777777" w:rsidR="002A21AE" w:rsidRDefault="002A21AE">
            <w:pPr>
              <w:pStyle w:val="TableTextBullet"/>
              <w:tabs>
                <w:tab w:val="num" w:pos="360"/>
              </w:tabs>
            </w:pPr>
            <w:r>
              <w:t>Allows the user to enter lot and ID numbers (with auto-completion) or select multiple items from the supply and equipment lists.</w:t>
            </w:r>
          </w:p>
        </w:tc>
      </w:tr>
      <w:tr w:rsidR="002A21AE" w14:paraId="666D3D97" w14:textId="77777777">
        <w:tc>
          <w:tcPr>
            <w:tcW w:w="3240" w:type="dxa"/>
            <w:tcBorders>
              <w:top w:val="single" w:sz="4" w:space="0" w:color="auto"/>
              <w:left w:val="single" w:sz="4" w:space="0" w:color="auto"/>
              <w:bottom w:val="single" w:sz="4" w:space="0" w:color="auto"/>
              <w:right w:val="single" w:sz="4" w:space="0" w:color="auto"/>
            </w:tcBorders>
          </w:tcPr>
          <w:p w14:paraId="7BB1A077" w14:textId="77777777" w:rsidR="002A21AE" w:rsidRDefault="002A21AE">
            <w:pPr>
              <w:pStyle w:val="TableTextNumbers"/>
            </w:pPr>
            <w:r>
              <w:t>Accept the displayed</w:t>
            </w:r>
            <w:r w:rsidR="00AA6C54">
              <w:t xml:space="preserve"> </w:t>
            </w:r>
            <w:r w:rsidR="00CE58C1">
              <w:t xml:space="preserve">expiration date </w:t>
            </w:r>
            <w:r>
              <w:t xml:space="preserve">or edit </w:t>
            </w:r>
            <w:r w:rsidR="00CE58C1">
              <w:t>it</w:t>
            </w:r>
            <w:r>
              <w:t>.</w:t>
            </w:r>
          </w:p>
        </w:tc>
        <w:tc>
          <w:tcPr>
            <w:tcW w:w="6120" w:type="dxa"/>
            <w:tcBorders>
              <w:top w:val="single" w:sz="4" w:space="0" w:color="auto"/>
              <w:left w:val="single" w:sz="4" w:space="0" w:color="auto"/>
              <w:bottom w:val="single" w:sz="4" w:space="0" w:color="auto"/>
              <w:right w:val="single" w:sz="4" w:space="0" w:color="auto"/>
            </w:tcBorders>
          </w:tcPr>
          <w:p w14:paraId="6865F668" w14:textId="77777777" w:rsidR="002A21AE" w:rsidRDefault="002A21AE">
            <w:pPr>
              <w:pStyle w:val="TableTextBullet"/>
              <w:tabs>
                <w:tab w:val="num" w:pos="360"/>
              </w:tabs>
              <w:rPr>
                <w:color w:val="000000"/>
                <w:szCs w:val="20"/>
              </w:rPr>
            </w:pPr>
            <w:r>
              <w:rPr>
                <w:color w:val="000000"/>
                <w:szCs w:val="20"/>
              </w:rPr>
              <w:t>Calculates and displays the expiration date of the pooled unit based on rules specific to the participant blood product.</w:t>
            </w:r>
          </w:p>
          <w:p w14:paraId="2AAAD351" w14:textId="77777777" w:rsidR="002A21AE" w:rsidRDefault="002A21AE">
            <w:pPr>
              <w:pStyle w:val="TableTextBullet"/>
              <w:tabs>
                <w:tab w:val="num" w:pos="360"/>
              </w:tabs>
              <w:rPr>
                <w:color w:val="000000"/>
                <w:szCs w:val="20"/>
              </w:rPr>
            </w:pPr>
            <w:r>
              <w:rPr>
                <w:color w:val="000000"/>
                <w:szCs w:val="20"/>
              </w:rPr>
              <w:t>Verifies the validity of the expiration date and warns the user, when indicated.</w:t>
            </w:r>
          </w:p>
          <w:p w14:paraId="7679949A" w14:textId="77777777" w:rsidR="002A21AE" w:rsidRDefault="002A21AE">
            <w:pPr>
              <w:pStyle w:val="TableText"/>
            </w:pPr>
          </w:p>
          <w:p w14:paraId="3146D168" w14:textId="77777777" w:rsidR="002A21AE" w:rsidRDefault="00057948">
            <w:pPr>
              <w:pStyle w:val="TableText"/>
              <w:rPr>
                <w:b/>
                <w:bCs/>
              </w:rPr>
            </w:pPr>
            <w:r>
              <w:rPr>
                <w:b/>
                <w:bCs/>
                <w:noProof/>
              </w:rPr>
              <mc:AlternateContent>
                <mc:Choice Requires="wps">
                  <w:drawing>
                    <wp:anchor distT="0" distB="0" distL="114300" distR="114300" simplePos="0" relativeHeight="251691520" behindDoc="0" locked="0" layoutInCell="1" allowOverlap="1" wp14:anchorId="4EAC511A" wp14:editId="403C893A">
                      <wp:simplePos x="0" y="0"/>
                      <wp:positionH relativeFrom="column">
                        <wp:posOffset>457200</wp:posOffset>
                      </wp:positionH>
                      <wp:positionV relativeFrom="paragraph">
                        <wp:posOffset>65405</wp:posOffset>
                      </wp:positionV>
                      <wp:extent cx="3200400" cy="0"/>
                      <wp:effectExtent l="9525" t="17780" r="9525" b="10795"/>
                      <wp:wrapNone/>
                      <wp:docPr id="469" name="Line 918" descr="P4692C18T4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1DEEC" id="Line 918" o:spid="_x0000_s1026" alt="&quot;&quot;"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eKpu+MMBAABuAwAADgAAAAAAAAAAAAAAAAAu&#10;AgAAZHJzL2Uyb0RvYy54bWxQSwECLQAUAAYACAAAACEAF08wEtsAAAAIAQAADwAAAAAAAAAAAAAA&#10;AAAdBAAAZHJzL2Rvd25yZXYueG1sUEsFBgAAAAAEAAQA8wAAACUFAAAAAA==&#10;" strokeweight="1.5pt"/>
                  </w:pict>
                </mc:Fallback>
              </mc:AlternateContent>
            </w:r>
            <w:r w:rsidR="002A21AE">
              <w:rPr>
                <w:b/>
                <w:bCs/>
              </w:rPr>
              <w:t>NOTES</w:t>
            </w:r>
          </w:p>
          <w:p w14:paraId="04DC4732" w14:textId="77777777" w:rsidR="002A21AE" w:rsidRDefault="002A21AE">
            <w:pPr>
              <w:pStyle w:val="NotesText"/>
            </w:pPr>
          </w:p>
          <w:p w14:paraId="11A3F66D" w14:textId="77777777" w:rsidR="00B37CE1" w:rsidRPr="00B37CE1" w:rsidRDefault="00B37CE1" w:rsidP="00B37CE1">
            <w:pPr>
              <w:pStyle w:val="NotesText"/>
              <w:rPr>
                <w:szCs w:val="18"/>
              </w:rPr>
            </w:pPr>
            <w:r w:rsidRPr="00B37CE1">
              <w:rPr>
                <w:vanish/>
                <w:szCs w:val="18"/>
              </w:rPr>
              <w:t xml:space="preserve">BR_24.10 </w:t>
            </w:r>
            <w:r w:rsidRPr="00B37CE1">
              <w:rPr>
                <w:szCs w:val="18"/>
              </w:rPr>
              <w:t>When the method selected is “Thaw/Pool Cryo”, The system shall ‘thaw’ frozen components automatically when they are being pooled.</w:t>
            </w:r>
          </w:p>
          <w:p w14:paraId="5A315BFC" w14:textId="77777777" w:rsidR="00B37CE1" w:rsidRPr="00B37CE1" w:rsidRDefault="00B37CE1" w:rsidP="00B37CE1">
            <w:pPr>
              <w:pStyle w:val="NotesText"/>
              <w:rPr>
                <w:szCs w:val="18"/>
              </w:rPr>
            </w:pPr>
          </w:p>
          <w:p w14:paraId="32A2A8B7" w14:textId="77777777" w:rsidR="00B37CE1" w:rsidRPr="00B37CE1" w:rsidRDefault="00B37CE1" w:rsidP="00B37CE1">
            <w:pPr>
              <w:pStyle w:val="NotesText"/>
              <w:rPr>
                <w:szCs w:val="18"/>
              </w:rPr>
            </w:pPr>
            <w:r w:rsidRPr="00B37CE1">
              <w:rPr>
                <w:szCs w:val="18"/>
              </w:rPr>
              <w:t xml:space="preserve">The workload for thawing each unit in the pool </w:t>
            </w:r>
            <w:r w:rsidR="00C45B80">
              <w:rPr>
                <w:szCs w:val="18"/>
              </w:rPr>
              <w:t xml:space="preserve">is </w:t>
            </w:r>
            <w:r w:rsidRPr="00B37CE1">
              <w:rPr>
                <w:szCs w:val="18"/>
              </w:rPr>
              <w:t>collected in addition to the pool workload.</w:t>
            </w:r>
          </w:p>
          <w:p w14:paraId="252F49FA" w14:textId="77777777" w:rsidR="00B37CE1" w:rsidRDefault="00B37CE1" w:rsidP="00B37CE1">
            <w:pPr>
              <w:pStyle w:val="TableText"/>
            </w:pPr>
          </w:p>
          <w:p w14:paraId="2235B8F7" w14:textId="77777777" w:rsidR="00B37CE1" w:rsidRDefault="00B37CE1" w:rsidP="00B37CE1">
            <w:pPr>
              <w:pStyle w:val="NotesText"/>
              <w:rPr>
                <w:szCs w:val="18"/>
              </w:rPr>
            </w:pPr>
            <w:r>
              <w:t>The new expiration date of the thawed unit is determined by the date/time of pooling.</w:t>
            </w:r>
          </w:p>
          <w:p w14:paraId="0205979A" w14:textId="77777777" w:rsidR="002A21AE" w:rsidRDefault="002A21AE">
            <w:pPr>
              <w:pStyle w:val="NotesText"/>
              <w:rPr>
                <w:szCs w:val="18"/>
              </w:rPr>
            </w:pPr>
          </w:p>
          <w:p w14:paraId="2B95A771" w14:textId="77777777" w:rsidR="002A21AE" w:rsidRDefault="002A21AE">
            <w:pPr>
              <w:pStyle w:val="NotesText"/>
            </w:pPr>
            <w:r>
              <w:rPr>
                <w:rFonts w:cs="Arial"/>
                <w:vanish/>
              </w:rPr>
              <w:t xml:space="preserve">BR_24.13 </w:t>
            </w:r>
            <w:r>
              <w:t>VBECS calculates an expiration date for the pool based on the product type, the date and time created, and the expiration dates and times of each pool participant. When one or more participants in the pool have an expiration date that is earlier than the calculated expiration date, VBECS uses the earlier date as the default expiration date for the pool.</w:t>
            </w:r>
          </w:p>
          <w:p w14:paraId="2745723F" w14:textId="77777777" w:rsidR="002A21AE" w:rsidRDefault="002A21AE">
            <w:pPr>
              <w:pStyle w:val="NotesText"/>
            </w:pPr>
          </w:p>
          <w:p w14:paraId="2E3C9D59" w14:textId="77777777" w:rsidR="002A21AE" w:rsidRDefault="002A21AE">
            <w:pPr>
              <w:pStyle w:val="NotesText"/>
            </w:pPr>
            <w:r w:rsidRPr="00896F17">
              <w:rPr>
                <w:rStyle w:val="BullhornChar"/>
              </w:rPr>
              <w:t></w:t>
            </w:r>
            <w:r>
              <w:rPr>
                <w:color w:val="000000"/>
                <w:szCs w:val="18"/>
              </w:rPr>
              <w:t xml:space="preserve"> </w:t>
            </w:r>
            <w:r>
              <w:rPr>
                <w:rFonts w:cs="Arial"/>
                <w:vanish/>
              </w:rPr>
              <w:t>BR_24.07</w:t>
            </w:r>
            <w:r>
              <w:rPr>
                <w:rFonts w:cs="Arial"/>
                <w:vanish/>
                <w:szCs w:val="18"/>
              </w:rPr>
              <w:t xml:space="preserve"> </w:t>
            </w:r>
            <w:r>
              <w:rPr>
                <w:szCs w:val="18"/>
              </w:rPr>
              <w:t xml:space="preserve">For each unit in the pool that was previously assigned or crossmatched to a patient, VBECS warns the user and asks whether he wishes to assign the entire pool to that patient. </w:t>
            </w:r>
            <w:r>
              <w:rPr>
                <w:b/>
                <w:bCs/>
                <w:szCs w:val="18"/>
              </w:rPr>
              <w:t>Yes</w:t>
            </w:r>
            <w:r>
              <w:rPr>
                <w:szCs w:val="18"/>
              </w:rPr>
              <w:t xml:space="preserve"> applies the patient-assigned data to the pool. </w:t>
            </w:r>
            <w:r>
              <w:rPr>
                <w:b/>
                <w:bCs/>
                <w:szCs w:val="18"/>
              </w:rPr>
              <w:t>No</w:t>
            </w:r>
            <w:r>
              <w:rPr>
                <w:szCs w:val="18"/>
              </w:rPr>
              <w:t xml:space="preserve"> releases the unit from the patient.</w:t>
            </w:r>
            <w:r w:rsidR="001C3461">
              <w:rPr>
                <w:szCs w:val="18"/>
              </w:rPr>
              <w:t xml:space="preserve"> VBECS offers the user the ability to carry over any past assignment.</w:t>
            </w:r>
            <w:r w:rsidR="006D37BC">
              <w:rPr>
                <w:szCs w:val="18"/>
              </w:rPr>
              <w:t>BR</w:t>
            </w:r>
          </w:p>
        </w:tc>
      </w:tr>
      <w:tr w:rsidR="002A21AE" w14:paraId="0EA2A531" w14:textId="77777777">
        <w:tc>
          <w:tcPr>
            <w:tcW w:w="3240" w:type="dxa"/>
            <w:tcBorders>
              <w:top w:val="single" w:sz="4" w:space="0" w:color="auto"/>
              <w:left w:val="single" w:sz="4" w:space="0" w:color="auto"/>
              <w:bottom w:val="single" w:sz="4" w:space="0" w:color="auto"/>
              <w:right w:val="single" w:sz="4" w:space="0" w:color="auto"/>
            </w:tcBorders>
          </w:tcPr>
          <w:p w14:paraId="07E0B708" w14:textId="77777777" w:rsidR="002A21AE" w:rsidRDefault="00CE58C1">
            <w:pPr>
              <w:pStyle w:val="TableTextNumbers"/>
            </w:pPr>
            <w:r>
              <w:lastRenderedPageBreak/>
              <w:t xml:space="preserve">Click </w:t>
            </w:r>
            <w:r w:rsidRPr="00CE58C1">
              <w:rPr>
                <w:b/>
              </w:rPr>
              <w:t>OK</w:t>
            </w:r>
            <w:r>
              <w:t xml:space="preserve"> to </w:t>
            </w:r>
            <w:r w:rsidR="00913F95">
              <w:t>save</w:t>
            </w:r>
            <w:r w:rsidR="002A21AE">
              <w:t>.</w:t>
            </w:r>
          </w:p>
        </w:tc>
        <w:tc>
          <w:tcPr>
            <w:tcW w:w="6120" w:type="dxa"/>
            <w:tcBorders>
              <w:top w:val="single" w:sz="4" w:space="0" w:color="auto"/>
              <w:left w:val="single" w:sz="4" w:space="0" w:color="auto"/>
              <w:bottom w:val="single" w:sz="4" w:space="0" w:color="auto"/>
              <w:right w:val="single" w:sz="4" w:space="0" w:color="auto"/>
            </w:tcBorders>
          </w:tcPr>
          <w:p w14:paraId="52DA53F8" w14:textId="77777777" w:rsidR="002A21AE" w:rsidRDefault="002A21AE">
            <w:pPr>
              <w:pStyle w:val="TableTextBullet"/>
              <w:tabs>
                <w:tab w:val="clear" w:pos="288"/>
              </w:tabs>
            </w:pPr>
            <w:r>
              <w:t>Calculates the volume, total number of participants, ID, and ABO/Rh for the pool. Applies CMV negative status to the pool, when indicated.</w:t>
            </w:r>
          </w:p>
          <w:p w14:paraId="1CD4356D" w14:textId="77777777" w:rsidR="00CE58C1" w:rsidRDefault="00CE58C1" w:rsidP="00CE58C1">
            <w:pPr>
              <w:pStyle w:val="TableTextBullet"/>
              <w:tabs>
                <w:tab w:val="num" w:pos="360"/>
              </w:tabs>
              <w:rPr>
                <w:color w:val="000000"/>
                <w:szCs w:val="20"/>
              </w:rPr>
            </w:pPr>
            <w:r>
              <w:rPr>
                <w:color w:val="000000"/>
                <w:szCs w:val="20"/>
              </w:rPr>
              <w:t>Determines whether any pool participants were previously assigned to a patient and queries the user to maintain the association, when indicated.</w:t>
            </w:r>
          </w:p>
          <w:p w14:paraId="14125265" w14:textId="77777777" w:rsidR="002A21AE" w:rsidRDefault="002A21AE">
            <w:pPr>
              <w:pStyle w:val="TableText"/>
            </w:pPr>
          </w:p>
          <w:p w14:paraId="1DEF9E39" w14:textId="77777777" w:rsidR="002A21AE" w:rsidRDefault="00057948">
            <w:pPr>
              <w:pStyle w:val="TableText"/>
              <w:rPr>
                <w:b/>
                <w:bCs/>
              </w:rPr>
            </w:pPr>
            <w:r>
              <w:rPr>
                <w:b/>
                <w:bCs/>
                <w:noProof/>
              </w:rPr>
              <mc:AlternateContent>
                <mc:Choice Requires="wps">
                  <w:drawing>
                    <wp:anchor distT="0" distB="0" distL="114300" distR="114300" simplePos="0" relativeHeight="251694592" behindDoc="0" locked="0" layoutInCell="1" allowOverlap="1" wp14:anchorId="5A3ACBB2" wp14:editId="6D695467">
                      <wp:simplePos x="0" y="0"/>
                      <wp:positionH relativeFrom="column">
                        <wp:posOffset>457200</wp:posOffset>
                      </wp:positionH>
                      <wp:positionV relativeFrom="paragraph">
                        <wp:posOffset>65405</wp:posOffset>
                      </wp:positionV>
                      <wp:extent cx="3200400" cy="0"/>
                      <wp:effectExtent l="9525" t="17780" r="9525" b="10795"/>
                      <wp:wrapNone/>
                      <wp:docPr id="468" name="Line 919" descr="P4708C20T4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80C68" id="Line 919" o:spid="_x0000_s1026" alt="&quot;&quot;"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MckVJsMBAABuAwAADgAAAAAAAAAAAAAAAAAu&#10;AgAAZHJzL2Uyb0RvYy54bWxQSwECLQAUAAYACAAAACEAF08wEtsAAAAIAQAADwAAAAAAAAAAAAAA&#10;AAAdBAAAZHJzL2Rvd25yZXYueG1sUEsFBgAAAAAEAAQA8wAAACUFAAAAAA==&#10;" strokeweight="1.5pt"/>
                  </w:pict>
                </mc:Fallback>
              </mc:AlternateContent>
            </w:r>
            <w:r w:rsidR="002A21AE">
              <w:rPr>
                <w:b/>
                <w:bCs/>
              </w:rPr>
              <w:t>NOTES</w:t>
            </w:r>
          </w:p>
          <w:p w14:paraId="0C95A6A9" w14:textId="77777777" w:rsidR="002A21AE" w:rsidRDefault="002A21AE">
            <w:pPr>
              <w:pStyle w:val="NotesText"/>
            </w:pPr>
          </w:p>
          <w:p w14:paraId="64274C7A" w14:textId="77777777" w:rsidR="002A21AE" w:rsidRDefault="002A21AE">
            <w:pPr>
              <w:pStyle w:val="NotesText"/>
            </w:pPr>
            <w:r>
              <w:rPr>
                <w:rFonts w:cs="Arial"/>
                <w:vanish/>
              </w:rPr>
              <w:t xml:space="preserve">BR_24.09 </w:t>
            </w:r>
            <w:r>
              <w:rPr>
                <w:szCs w:val="18"/>
              </w:rPr>
              <w:t>When the ABO/Rh of each unit in a pool is identical, VBECS assigns that ABO/Rh to the pool. When the ABO and/or Rh of the units in a pool are not identical, VBECS assigns “</w:t>
            </w:r>
            <w:r w:rsidR="00A33872">
              <w:rPr>
                <w:szCs w:val="18"/>
              </w:rPr>
              <w:t>mixed</w:t>
            </w:r>
            <w:r>
              <w:rPr>
                <w:szCs w:val="18"/>
              </w:rPr>
              <w:t>” as the ABO and/or Rh group and type.</w:t>
            </w:r>
          </w:p>
          <w:p w14:paraId="52ADCF2B" w14:textId="77777777" w:rsidR="002A21AE" w:rsidRDefault="002A21AE">
            <w:pPr>
              <w:pStyle w:val="NotesText"/>
            </w:pPr>
          </w:p>
          <w:p w14:paraId="70F17F35" w14:textId="77777777" w:rsidR="002A21AE" w:rsidRDefault="002A21AE">
            <w:pPr>
              <w:pStyle w:val="NotesText"/>
              <w:rPr>
                <w:szCs w:val="18"/>
              </w:rPr>
            </w:pPr>
            <w:r>
              <w:rPr>
                <w:rFonts w:cs="Arial"/>
                <w:vanish/>
              </w:rPr>
              <w:t xml:space="preserve">BR_24.08 </w:t>
            </w:r>
            <w:r>
              <w:rPr>
                <w:szCs w:val="18"/>
              </w:rPr>
              <w:t xml:space="preserve">VBECS determines the volume of the pooled unit based on the sum of the individual volumes of the original units included in the pool and displays that as the default. </w:t>
            </w:r>
            <w:r w:rsidR="00D1735B">
              <w:rPr>
                <w:szCs w:val="18"/>
              </w:rPr>
              <w:t>VBECS will restrict the user to a value between 1 and 2,000 mL</w:t>
            </w:r>
            <w:r>
              <w:rPr>
                <w:szCs w:val="18"/>
              </w:rPr>
              <w:t>.</w:t>
            </w:r>
          </w:p>
          <w:p w14:paraId="7BAA053E" w14:textId="77777777" w:rsidR="002A21AE" w:rsidRDefault="002A21AE">
            <w:pPr>
              <w:pStyle w:val="NotesText"/>
              <w:rPr>
                <w:szCs w:val="18"/>
              </w:rPr>
            </w:pPr>
          </w:p>
          <w:p w14:paraId="4498186E" w14:textId="77777777" w:rsidR="002216F3" w:rsidRDefault="002A21AE" w:rsidP="002216F3">
            <w:pPr>
              <w:pStyle w:val="NotesText"/>
            </w:pPr>
            <w:r>
              <w:rPr>
                <w:rFonts w:cs="Arial"/>
                <w:vanish/>
              </w:rPr>
              <w:t>BR_24.19</w:t>
            </w:r>
            <w:r w:rsidR="004248F5">
              <w:rPr>
                <w:rFonts w:cs="Arial"/>
                <w:vanish/>
              </w:rPr>
              <w:t xml:space="preserve"> </w:t>
            </w:r>
            <w:r w:rsidR="002216F3">
              <w:t>If all of the parent units selected for a pool are CMV negative, the child (pooled unit) will also be labeled CMV negative by the system. If any one unit is not CMV negative, the pool cannot be labeled CMV negative.</w:t>
            </w:r>
          </w:p>
          <w:p w14:paraId="19EE0603" w14:textId="77777777" w:rsidR="002216F3" w:rsidRDefault="002216F3" w:rsidP="002216F3">
            <w:pPr>
              <w:pStyle w:val="NotesText"/>
            </w:pPr>
          </w:p>
          <w:p w14:paraId="5B695098" w14:textId="77777777" w:rsidR="002216F3" w:rsidRDefault="002216F3" w:rsidP="002216F3">
            <w:pPr>
              <w:pStyle w:val="NotesText"/>
            </w:pPr>
            <w:r w:rsidRPr="002216F3">
              <w:rPr>
                <w:vanish/>
              </w:rPr>
              <w:t xml:space="preserve">BR_24.20 </w:t>
            </w:r>
            <w:r w:rsidRPr="00314E13">
              <w:t xml:space="preserve">A pooled unit cannot be labeled as </w:t>
            </w:r>
            <w:r>
              <w:t xml:space="preserve">“Pre-treated to Prevent GVHD” </w:t>
            </w:r>
            <w:r w:rsidRPr="00314E13">
              <w:t>unless all of the parent (original) units used in creating that pool</w:t>
            </w:r>
            <w:r>
              <w:t xml:space="preserve"> have at least one attribute form from attribute group </w:t>
            </w:r>
            <w:r w:rsidRPr="00E14EFC">
              <w:t>V0013</w:t>
            </w:r>
            <w:r>
              <w:t xml:space="preserve"> indicating that the unit is irradiated or the attribute form indicating the unit was psoralen treated, </w:t>
            </w:r>
            <w:r w:rsidRPr="00314E13">
              <w:t>V0021005</w:t>
            </w:r>
            <w:r>
              <w:t xml:space="preserve">. </w:t>
            </w:r>
            <w:r w:rsidRPr="00314E13">
              <w:t>There is no override.</w:t>
            </w:r>
          </w:p>
          <w:p w14:paraId="7245B733" w14:textId="77777777" w:rsidR="002216F3" w:rsidRDefault="002216F3" w:rsidP="002216F3">
            <w:pPr>
              <w:pStyle w:val="NotesText"/>
            </w:pPr>
          </w:p>
          <w:p w14:paraId="77921383" w14:textId="77777777" w:rsidR="002216F3" w:rsidRPr="00314E13" w:rsidRDefault="002216F3" w:rsidP="002216F3">
            <w:pPr>
              <w:pStyle w:val="NotesText"/>
            </w:pPr>
            <w:r w:rsidRPr="002216F3">
              <w:rPr>
                <w:vanish/>
              </w:rPr>
              <w:t xml:space="preserve">BR_24.20 </w:t>
            </w:r>
            <w:r w:rsidRPr="00314E13">
              <w:t xml:space="preserve">A pooled unit cannot be labeled as </w:t>
            </w:r>
            <w:r>
              <w:t>“</w:t>
            </w:r>
            <w:r w:rsidRPr="00314E13">
              <w:t>Leukocyte Reduced</w:t>
            </w:r>
            <w:r>
              <w:t>”</w:t>
            </w:r>
            <w:r w:rsidRPr="00314E13">
              <w:t xml:space="preserve"> </w:t>
            </w:r>
            <w:r>
              <w:t xml:space="preserve">unless all of </w:t>
            </w:r>
            <w:r w:rsidRPr="00314E13">
              <w:t>the parent (original) units used in creating that pool are</w:t>
            </w:r>
            <w:r>
              <w:t xml:space="preserve"> have at least one of the attribute forms from attribute group </w:t>
            </w:r>
            <w:r w:rsidRPr="00E14EFC">
              <w:t>V001</w:t>
            </w:r>
            <w:r>
              <w:t>4, indicating that the unit has an altered “</w:t>
            </w:r>
            <w:r w:rsidRPr="00E14EFC">
              <w:t>Residual Leukocyte Content</w:t>
            </w:r>
            <w:r>
              <w:t>”.</w:t>
            </w:r>
          </w:p>
          <w:p w14:paraId="3A038FB0" w14:textId="77777777" w:rsidR="002216F3" w:rsidRPr="00314E13" w:rsidRDefault="002216F3" w:rsidP="002216F3">
            <w:pPr>
              <w:pStyle w:val="NotesText"/>
            </w:pPr>
          </w:p>
          <w:p w14:paraId="35AC1999" w14:textId="77777777" w:rsidR="002216F3" w:rsidRDefault="002216F3" w:rsidP="002216F3">
            <w:pPr>
              <w:pStyle w:val="NotesText"/>
            </w:pPr>
            <w:r w:rsidRPr="002216F3">
              <w:rPr>
                <w:vanish/>
              </w:rPr>
              <w:t xml:space="preserve">BR_24.20 </w:t>
            </w:r>
            <w:r w:rsidRPr="00314E13">
              <w:t xml:space="preserve">Example, a pool is created from 5 units, </w:t>
            </w:r>
            <w:r>
              <w:t xml:space="preserve">if </w:t>
            </w:r>
            <w:r w:rsidRPr="00314E13">
              <w:t xml:space="preserve">any one of the units </w:t>
            </w:r>
            <w:r w:rsidR="00C45B80">
              <w:t>is not irradiated or psoralen related</w:t>
            </w:r>
            <w:r w:rsidRPr="00E14EFC">
              <w:t xml:space="preserve">, </w:t>
            </w:r>
            <w:r w:rsidRPr="00314E13">
              <w:t xml:space="preserve">then the target </w:t>
            </w:r>
            <w:r>
              <w:t>cannot be labeled as Pre-treated to Prevent GVHD”.</w:t>
            </w:r>
          </w:p>
          <w:p w14:paraId="265EC113" w14:textId="77777777" w:rsidR="002216F3" w:rsidRDefault="002216F3" w:rsidP="002216F3">
            <w:pPr>
              <w:pStyle w:val="NotesText"/>
            </w:pPr>
          </w:p>
          <w:p w14:paraId="1C21BC1D" w14:textId="77777777" w:rsidR="002216F3" w:rsidRDefault="002216F3" w:rsidP="002216F3">
            <w:pPr>
              <w:pStyle w:val="NotesText"/>
            </w:pPr>
            <w:r w:rsidRPr="002216F3">
              <w:rPr>
                <w:vanish/>
              </w:rPr>
              <w:t xml:space="preserve">BR_24.20 </w:t>
            </w:r>
            <w:r w:rsidRPr="00314E13">
              <w:t xml:space="preserve">Example, a pool is created from 5 units, </w:t>
            </w:r>
            <w:r>
              <w:t xml:space="preserve">if </w:t>
            </w:r>
            <w:r w:rsidRPr="00314E13">
              <w:t xml:space="preserve">any one of the units </w:t>
            </w:r>
            <w:r>
              <w:t xml:space="preserve">does not contain at least one of the attribute forms from </w:t>
            </w:r>
            <w:r w:rsidR="00C45B80">
              <w:t xml:space="preserve">the </w:t>
            </w:r>
            <w:r>
              <w:t>attribute group indicating that the unit has an altered “</w:t>
            </w:r>
            <w:r w:rsidRPr="00E14EFC">
              <w:t>Residual Leukocyte Content</w:t>
            </w:r>
            <w:r>
              <w:t>”</w:t>
            </w:r>
            <w:r w:rsidRPr="00314E13" w:rsidDel="00E14EFC">
              <w:t xml:space="preserve"> </w:t>
            </w:r>
            <w:r w:rsidRPr="00314E13">
              <w:t xml:space="preserve">then the target is </w:t>
            </w:r>
            <w:r>
              <w:t>cannot be labeled as “</w:t>
            </w:r>
            <w:r w:rsidRPr="00314E13">
              <w:t>Leukocyte Reduced</w:t>
            </w:r>
            <w:r>
              <w:t>”</w:t>
            </w:r>
          </w:p>
          <w:p w14:paraId="553A5F94" w14:textId="77777777" w:rsidR="002216F3" w:rsidRDefault="002216F3" w:rsidP="002216F3">
            <w:pPr>
              <w:pStyle w:val="NotesText"/>
            </w:pPr>
          </w:p>
          <w:p w14:paraId="3B718FB3" w14:textId="77777777" w:rsidR="004248F5" w:rsidRPr="004248F5" w:rsidRDefault="0099483E" w:rsidP="00C45B80">
            <w:pPr>
              <w:pStyle w:val="NotesText"/>
            </w:pPr>
            <w:r w:rsidRPr="0099483E">
              <w:rPr>
                <w:iCs/>
                <w:vanish/>
              </w:rPr>
              <w:t xml:space="preserve">BR_24.31 </w:t>
            </w:r>
            <w:r w:rsidRPr="00314E13">
              <w:rPr>
                <w:iCs/>
              </w:rPr>
              <w:t xml:space="preserve">If one biohazardous unit is added to a pool, the target </w:t>
            </w:r>
            <w:r w:rsidR="00C45B80">
              <w:rPr>
                <w:iCs/>
              </w:rPr>
              <w:t>is</w:t>
            </w:r>
            <w:r w:rsidRPr="00314E13">
              <w:rPr>
                <w:iCs/>
              </w:rPr>
              <w:t xml:space="preserve"> marked biohazardous.</w:t>
            </w:r>
          </w:p>
        </w:tc>
      </w:tr>
      <w:tr w:rsidR="002A21AE" w14:paraId="0771E9D5" w14:textId="77777777" w:rsidTr="001A459B">
        <w:trPr>
          <w:cantSplit/>
        </w:trPr>
        <w:tc>
          <w:tcPr>
            <w:tcW w:w="3240" w:type="dxa"/>
            <w:tcBorders>
              <w:top w:val="single" w:sz="4" w:space="0" w:color="auto"/>
              <w:left w:val="single" w:sz="4" w:space="0" w:color="auto"/>
              <w:bottom w:val="single" w:sz="4" w:space="0" w:color="auto"/>
              <w:right w:val="single" w:sz="4" w:space="0" w:color="auto"/>
            </w:tcBorders>
          </w:tcPr>
          <w:p w14:paraId="10A7F024" w14:textId="77777777" w:rsidR="00913F95" w:rsidRDefault="00913F95" w:rsidP="00913F95">
            <w:pPr>
              <w:pStyle w:val="TableTextNumbers"/>
            </w:pPr>
            <w:r>
              <w:lastRenderedPageBreak/>
              <w:t xml:space="preserve">Click </w:t>
            </w:r>
            <w:r w:rsidRPr="00A77D1F">
              <w:rPr>
                <w:b/>
              </w:rPr>
              <w:t>Yes</w:t>
            </w:r>
            <w:r>
              <w:t xml:space="preserve"> to verify the label.</w:t>
            </w:r>
          </w:p>
          <w:p w14:paraId="15B4566B" w14:textId="77777777" w:rsidR="00913F95" w:rsidRDefault="00913F95" w:rsidP="00913F95">
            <w:pPr>
              <w:pStyle w:val="TableTextNumbersContinued"/>
            </w:pPr>
          </w:p>
          <w:p w14:paraId="42640955" w14:textId="77777777" w:rsidR="002A21AE" w:rsidRDefault="00913F95" w:rsidP="00913F95">
            <w:pPr>
              <w:pStyle w:val="TableTextNumbersContinued"/>
            </w:pPr>
            <w:r>
              <w:t xml:space="preserve">Click </w:t>
            </w:r>
            <w:r w:rsidRPr="00913F95">
              <w:rPr>
                <w:b/>
              </w:rPr>
              <w:t>OK</w:t>
            </w:r>
            <w:r>
              <w:t xml:space="preserve"> to save</w:t>
            </w:r>
            <w:r w:rsidR="002A21AE">
              <w:t>.</w:t>
            </w:r>
          </w:p>
        </w:tc>
        <w:tc>
          <w:tcPr>
            <w:tcW w:w="6120" w:type="dxa"/>
            <w:tcBorders>
              <w:top w:val="single" w:sz="4" w:space="0" w:color="auto"/>
              <w:left w:val="single" w:sz="4" w:space="0" w:color="auto"/>
              <w:bottom w:val="single" w:sz="4" w:space="0" w:color="auto"/>
              <w:right w:val="single" w:sz="4" w:space="0" w:color="auto"/>
            </w:tcBorders>
          </w:tcPr>
          <w:p w14:paraId="12C6E024" w14:textId="77777777" w:rsidR="002A21AE" w:rsidRDefault="002A21AE">
            <w:pPr>
              <w:pStyle w:val="TableTextBullet"/>
            </w:pPr>
            <w:r>
              <w:t>Saves the new pooled unit.</w:t>
            </w:r>
          </w:p>
          <w:p w14:paraId="72918BE2" w14:textId="77777777" w:rsidR="002A21AE" w:rsidRDefault="002A21AE">
            <w:pPr>
              <w:pStyle w:val="TableTextBullet"/>
            </w:pPr>
            <w:r>
              <w:t>Updates the status of each participant unit to “modified.”</w:t>
            </w:r>
          </w:p>
          <w:p w14:paraId="54B04FE4" w14:textId="77777777" w:rsidR="002A21AE" w:rsidRDefault="00EE2911" w:rsidP="00EE2911">
            <w:pPr>
              <w:pStyle w:val="TableTextBullet"/>
              <w:tabs>
                <w:tab w:val="clear" w:pos="288"/>
              </w:tabs>
            </w:pPr>
            <w:r>
              <w:t>Records the unit ID of the target unit on the record of the original unit.</w:t>
            </w:r>
          </w:p>
          <w:p w14:paraId="0AF5C229" w14:textId="77777777" w:rsidR="002A21AE" w:rsidRDefault="002A21AE">
            <w:pPr>
              <w:pStyle w:val="TableTextBullet"/>
            </w:pPr>
            <w:r>
              <w:t>Prompts the user to modify another unit.</w:t>
            </w:r>
          </w:p>
          <w:p w14:paraId="11265AB1" w14:textId="77777777" w:rsidR="00E92B60" w:rsidRDefault="00E92B60" w:rsidP="00E92B60">
            <w:pPr>
              <w:pStyle w:val="TableTextBullet"/>
              <w:tabs>
                <w:tab w:val="clear" w:pos="288"/>
              </w:tabs>
            </w:pPr>
            <w:r>
              <w:t>Saves only the technologist name and the date and time the label was verified. When the user indicates that a new label applied fails to complete the verification process, releases the assignment, quarantines the unit, and captures details for inclusion in an Exception Report (exception type: target product label failed checks).</w:t>
            </w:r>
          </w:p>
        </w:tc>
      </w:tr>
      <w:tr w:rsidR="002A21AE" w14:paraId="4EDF2937" w14:textId="77777777">
        <w:tc>
          <w:tcPr>
            <w:tcW w:w="3240" w:type="dxa"/>
            <w:tcBorders>
              <w:top w:val="single" w:sz="4" w:space="0" w:color="auto"/>
              <w:left w:val="single" w:sz="4" w:space="0" w:color="auto"/>
              <w:bottom w:val="single" w:sz="4" w:space="0" w:color="auto"/>
              <w:right w:val="single" w:sz="4" w:space="0" w:color="auto"/>
            </w:tcBorders>
          </w:tcPr>
          <w:p w14:paraId="38244654" w14:textId="77777777" w:rsidR="002A21AE" w:rsidRDefault="002A21AE">
            <w:pPr>
              <w:pStyle w:val="TableTextNumbers"/>
            </w:pPr>
            <w:r>
              <w:t xml:space="preserve">Repeat Steps </w:t>
            </w:r>
            <w:r w:rsidR="006E5C1E">
              <w:t>2</w:t>
            </w:r>
            <w:r w:rsidR="00047C63">
              <w:t>–10</w:t>
            </w:r>
            <w:r>
              <w:t xml:space="preserve"> to modify another unit</w:t>
            </w:r>
            <w:r w:rsidR="00576D72">
              <w:t>,</w:t>
            </w:r>
            <w:r>
              <w:t xml:space="preserve"> or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62AAD5F6" w14:textId="77777777" w:rsidR="002A21AE" w:rsidRDefault="002A21AE">
            <w:pPr>
              <w:pStyle w:val="TableText"/>
            </w:pPr>
          </w:p>
        </w:tc>
      </w:tr>
    </w:tbl>
    <w:p w14:paraId="58D894AB" w14:textId="77777777" w:rsidR="002A21AE" w:rsidRDefault="009F1B54">
      <w:pPr>
        <w:pStyle w:val="Heading3"/>
      </w:pPr>
      <w:bookmarkStart w:id="355" w:name="_Toc94349350"/>
      <w:r>
        <w:br w:type="page"/>
      </w:r>
      <w:bookmarkStart w:id="356" w:name="_Toc4588786"/>
      <w:r w:rsidR="003E28C1">
        <w:lastRenderedPageBreak/>
        <w:t xml:space="preserve">Add and/or </w:t>
      </w:r>
      <w:r w:rsidR="002A21AE">
        <w:t>Remove Units from a Pool</w:t>
      </w:r>
      <w:bookmarkEnd w:id="356"/>
      <w:r w:rsidR="002A21AE" w:rsidRPr="007716F7">
        <w:rPr>
          <w:vanish/>
        </w:rPr>
        <w:fldChar w:fldCharType="begin"/>
      </w:r>
      <w:r w:rsidR="002A21AE" w:rsidRPr="007716F7">
        <w:rPr>
          <w:vanish/>
        </w:rPr>
        <w:instrText xml:space="preserve"> XE </w:instrText>
      </w:r>
      <w:r w:rsidR="00FA7E65" w:rsidRPr="007716F7">
        <w:rPr>
          <w:vanish/>
        </w:rPr>
        <w:instrText>“</w:instrText>
      </w:r>
      <w:r w:rsidR="002A21AE" w:rsidRPr="007716F7">
        <w:rPr>
          <w:vanish/>
        </w:rPr>
        <w:instrText>Add/Remove Units from a Pool</w:instrText>
      </w:r>
      <w:r w:rsidR="00FA7E65" w:rsidRPr="007716F7">
        <w:rPr>
          <w:vanish/>
        </w:rPr>
        <w:instrText>”</w:instrText>
      </w:r>
      <w:r w:rsidR="002A21AE" w:rsidRPr="007716F7">
        <w:rPr>
          <w:vanish/>
        </w:rPr>
        <w:instrText xml:space="preserve"> </w:instrText>
      </w:r>
      <w:r w:rsidR="002A21AE" w:rsidRPr="007716F7">
        <w:rPr>
          <w:vanish/>
        </w:rPr>
        <w:fldChar w:fldCharType="end"/>
      </w:r>
      <w:r w:rsidR="002A21AE" w:rsidRPr="007716F7">
        <w:rPr>
          <w:vanish/>
        </w:rPr>
        <w:t xml:space="preserve"> UC_26</w:t>
      </w:r>
      <w:bookmarkEnd w:id="355"/>
    </w:p>
    <w:p w14:paraId="07CC3AAB" w14:textId="77777777" w:rsidR="002A21AE" w:rsidRDefault="002A21AE" w:rsidP="00FA7E65">
      <w:pPr>
        <w:pStyle w:val="BodyText"/>
      </w:pPr>
      <w:r>
        <w:t xml:space="preserve">The user selects a pooled unit to add and/or remove some of the participants. </w:t>
      </w:r>
    </w:p>
    <w:p w14:paraId="40F35DBB" w14:textId="77777777" w:rsidR="002A21AE" w:rsidRDefault="002A21AE">
      <w:pPr>
        <w:pStyle w:val="Heading4"/>
      </w:pPr>
      <w:bookmarkStart w:id="357" w:name="_Toc94349351"/>
      <w:r>
        <w:t>Assumptions</w:t>
      </w:r>
      <w:bookmarkEnd w:id="357"/>
    </w:p>
    <w:p w14:paraId="535F9DD5" w14:textId="77777777" w:rsidR="002A21AE" w:rsidRDefault="002A21AE">
      <w:pPr>
        <w:pStyle w:val="ListBullet"/>
      </w:pPr>
      <w:r>
        <w:t>See Modify Units.</w:t>
      </w:r>
    </w:p>
    <w:p w14:paraId="1636D87C" w14:textId="77777777" w:rsidR="002A21AE" w:rsidRDefault="002A21AE">
      <w:pPr>
        <w:pStyle w:val="Heading4"/>
      </w:pPr>
      <w:bookmarkStart w:id="358" w:name="_Toc94349352"/>
      <w:r>
        <w:t>Outcome</w:t>
      </w:r>
      <w:bookmarkEnd w:id="358"/>
    </w:p>
    <w:p w14:paraId="511BDA4C" w14:textId="77777777" w:rsidR="002A21AE" w:rsidRDefault="002A21AE">
      <w:pPr>
        <w:pStyle w:val="ListBullet"/>
      </w:pPr>
      <w:r>
        <w:t>See Modify Units.</w:t>
      </w:r>
    </w:p>
    <w:p w14:paraId="349279DD" w14:textId="77777777" w:rsidR="002A21AE" w:rsidRDefault="002A21AE">
      <w:pPr>
        <w:pStyle w:val="Heading4"/>
      </w:pPr>
      <w:bookmarkStart w:id="359" w:name="_Toc94349353"/>
      <w:r>
        <w:t>Limitations and Restrictions</w:t>
      </w:r>
      <w:bookmarkEnd w:id="359"/>
    </w:p>
    <w:p w14:paraId="7259EE78" w14:textId="77777777" w:rsidR="002A21AE" w:rsidRDefault="002A21AE">
      <w:pPr>
        <w:pStyle w:val="ListBullet"/>
      </w:pPr>
      <w:r>
        <w:t>See Modify Units.</w:t>
      </w:r>
    </w:p>
    <w:p w14:paraId="7F1E73F7" w14:textId="77777777" w:rsidR="002A21AE" w:rsidRDefault="002A21AE">
      <w:pPr>
        <w:pStyle w:val="Heading4"/>
      </w:pPr>
      <w:bookmarkStart w:id="360" w:name="_Toc94349354"/>
      <w:r>
        <w:t>Additional Information</w:t>
      </w:r>
      <w:bookmarkEnd w:id="360"/>
    </w:p>
    <w:p w14:paraId="4E53CD08" w14:textId="77777777" w:rsidR="002A21AE" w:rsidRDefault="00662057">
      <w:pPr>
        <w:pStyle w:val="ListBullet"/>
      </w:pPr>
      <w:r>
        <w:t>None</w:t>
      </w:r>
      <w:r w:rsidR="002A21AE">
        <w:t>.</w:t>
      </w:r>
    </w:p>
    <w:p w14:paraId="7FED80F2" w14:textId="77777777" w:rsidR="002A21AE" w:rsidRDefault="002A21AE">
      <w:pPr>
        <w:pStyle w:val="Heading4"/>
      </w:pPr>
      <w:bookmarkStart w:id="361" w:name="_Toc94349355"/>
      <w:r>
        <w:t>User Roles with Access to This Option</w:t>
      </w:r>
      <w:bookmarkEnd w:id="361"/>
    </w:p>
    <w:p w14:paraId="5578CA56" w14:textId="77777777" w:rsidR="005663D0" w:rsidRDefault="005663D0" w:rsidP="001A3179">
      <w:pPr>
        <w:pStyle w:val="Roles"/>
        <w:rPr>
          <w:rFonts w:ascii="Wingdings 3" w:hAnsi="Wingdings 3" w:cs="Wingdings"/>
        </w:rPr>
      </w:pPr>
      <w:r w:rsidRPr="00EC7489">
        <w:rPr>
          <w:rFonts w:ascii="Wingdings 3" w:hAnsi="Wingdings 3" w:cs="Wingdings"/>
        </w:rPr>
        <w:t></w:t>
      </w:r>
      <w:r w:rsidRPr="00EC7489">
        <w:rPr>
          <w:rFonts w:ascii="Wingdings 3" w:hAnsi="Wingdings 3" w:cs="Wingdings"/>
        </w:rPr>
        <w:t></w:t>
      </w:r>
      <w:r>
        <w:t xml:space="preserve"> Enhanced Technologist (add/remove prior to patient associations) </w:t>
      </w:r>
    </w:p>
    <w:p w14:paraId="15F719FD" w14:textId="77777777" w:rsidR="002A21AE" w:rsidRDefault="001A3179" w:rsidP="001A3179">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Traditional Supervisor</w:t>
      </w:r>
      <w:r w:rsidR="005663D0">
        <w:t xml:space="preserve"> (add/remove with patient associations)</w:t>
      </w:r>
    </w:p>
    <w:p w14:paraId="43ACC318" w14:textId="77777777" w:rsidR="002A21AE" w:rsidRDefault="002A21AE">
      <w:pPr>
        <w:pStyle w:val="Heading4"/>
        <w:rPr>
          <w:rFonts w:ascii="Times New Roman" w:hAnsi="Times New Roman"/>
          <w:bCs/>
          <w:i/>
          <w:iCs/>
          <w:sz w:val="24"/>
        </w:rPr>
      </w:pPr>
      <w:bookmarkStart w:id="362" w:name="_Toc94349356"/>
      <w:bookmarkStart w:id="363" w:name="OLE_LINK24"/>
      <w:r>
        <w:t>Add/Remove Units from a Pool</w:t>
      </w:r>
      <w:bookmarkEnd w:id="362"/>
      <w:bookmarkEnd w:id="363"/>
    </w:p>
    <w:p w14:paraId="55C554CC" w14:textId="77777777" w:rsidR="002A21AE" w:rsidRDefault="002A21AE" w:rsidP="00FA7E65">
      <w:pPr>
        <w:pStyle w:val="BodyText"/>
      </w:pPr>
      <w:r>
        <w:t>The user adds or deletes units to or from a pool.</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08"/>
      </w:tblGrid>
      <w:tr w:rsidR="002A21AE" w14:paraId="681361CE" w14:textId="77777777">
        <w:trPr>
          <w:tblHeader/>
        </w:trPr>
        <w:tc>
          <w:tcPr>
            <w:tcW w:w="3240" w:type="dxa"/>
            <w:tcBorders>
              <w:top w:val="single" w:sz="4" w:space="0" w:color="auto"/>
              <w:left w:val="single" w:sz="4" w:space="0" w:color="auto"/>
              <w:bottom w:val="single" w:sz="4" w:space="0" w:color="auto"/>
              <w:right w:val="single" w:sz="4" w:space="0" w:color="auto"/>
            </w:tcBorders>
            <w:shd w:val="clear" w:color="auto" w:fill="C0C0C0"/>
            <w:vAlign w:val="bottom"/>
          </w:tcPr>
          <w:p w14:paraId="0E52F13A" w14:textId="77777777" w:rsidR="002A21AE" w:rsidRDefault="002A21AE">
            <w:pPr>
              <w:pStyle w:val="TableText"/>
              <w:rPr>
                <w:b/>
              </w:rPr>
            </w:pPr>
            <w:r>
              <w:rPr>
                <w:b/>
              </w:rPr>
              <w:t>User Action</w:t>
            </w:r>
          </w:p>
        </w:tc>
        <w:tc>
          <w:tcPr>
            <w:tcW w:w="6108" w:type="dxa"/>
            <w:tcBorders>
              <w:top w:val="single" w:sz="4" w:space="0" w:color="auto"/>
              <w:left w:val="single" w:sz="4" w:space="0" w:color="auto"/>
              <w:bottom w:val="single" w:sz="4" w:space="0" w:color="auto"/>
              <w:right w:val="single" w:sz="4" w:space="0" w:color="auto"/>
            </w:tcBorders>
            <w:shd w:val="clear" w:color="auto" w:fill="C0C0C0"/>
            <w:vAlign w:val="bottom"/>
          </w:tcPr>
          <w:p w14:paraId="1EFCECC1" w14:textId="77777777" w:rsidR="002A21AE" w:rsidRDefault="002A21AE">
            <w:pPr>
              <w:pStyle w:val="TableText"/>
              <w:rPr>
                <w:b/>
              </w:rPr>
            </w:pPr>
            <w:r>
              <w:rPr>
                <w:b/>
              </w:rPr>
              <w:t>VBECS</w:t>
            </w:r>
          </w:p>
        </w:tc>
      </w:tr>
      <w:tr w:rsidR="002A21AE" w14:paraId="614EF6E3" w14:textId="77777777">
        <w:tc>
          <w:tcPr>
            <w:tcW w:w="3240" w:type="dxa"/>
          </w:tcPr>
          <w:p w14:paraId="4A9C16CB" w14:textId="77777777" w:rsidR="002A21AE" w:rsidRDefault="002A21AE">
            <w:pPr>
              <w:pStyle w:val="TableTextNumbers"/>
            </w:pPr>
            <w:r>
              <w:t xml:space="preserve">Select </w:t>
            </w:r>
            <w:r>
              <w:rPr>
                <w:b/>
              </w:rPr>
              <w:t>Blood Units</w:t>
            </w:r>
            <w:r>
              <w:t xml:space="preserve"> from the main menu. </w:t>
            </w:r>
          </w:p>
          <w:p w14:paraId="6123465B" w14:textId="77777777" w:rsidR="002A21AE" w:rsidRDefault="002A21AE">
            <w:pPr>
              <w:pStyle w:val="TableTextNumbersContinued"/>
            </w:pPr>
          </w:p>
          <w:p w14:paraId="214EFE62" w14:textId="77777777" w:rsidR="002A21AE" w:rsidRDefault="002A21AE">
            <w:pPr>
              <w:pStyle w:val="TableTextNumbersContinued"/>
            </w:pPr>
            <w:r>
              <w:t xml:space="preserve">Select </w:t>
            </w:r>
            <w:r>
              <w:rPr>
                <w:b/>
              </w:rPr>
              <w:t>Modify Units</w:t>
            </w:r>
            <w:r>
              <w:t>.</w:t>
            </w:r>
          </w:p>
        </w:tc>
        <w:tc>
          <w:tcPr>
            <w:tcW w:w="6108" w:type="dxa"/>
          </w:tcPr>
          <w:p w14:paraId="6E81A999" w14:textId="77777777" w:rsidR="002A21AE" w:rsidRDefault="002A21AE">
            <w:pPr>
              <w:pStyle w:val="TableTextBullet"/>
            </w:pPr>
            <w:r>
              <w:t>Displays options for processing blood units.</w:t>
            </w:r>
          </w:p>
          <w:p w14:paraId="7F545507" w14:textId="77777777" w:rsidR="002A21AE" w:rsidRDefault="002A21AE">
            <w:pPr>
              <w:pStyle w:val="TableTextBullet"/>
            </w:pPr>
            <w:r>
              <w:t>Displays valid modification types and allows the user to select an option.</w:t>
            </w:r>
          </w:p>
        </w:tc>
      </w:tr>
      <w:tr w:rsidR="002A21AE" w14:paraId="08350CCA" w14:textId="77777777">
        <w:tc>
          <w:tcPr>
            <w:tcW w:w="3240" w:type="dxa"/>
          </w:tcPr>
          <w:p w14:paraId="2D623A5B" w14:textId="77777777" w:rsidR="002A21AE" w:rsidRDefault="002A21AE">
            <w:pPr>
              <w:pStyle w:val="TableTextNumbers"/>
            </w:pPr>
            <w:r>
              <w:t xml:space="preserve">Click the </w:t>
            </w:r>
            <w:r>
              <w:rPr>
                <w:b/>
              </w:rPr>
              <w:t xml:space="preserve">Add/Remove Units from a Pool </w:t>
            </w:r>
            <w:r w:rsidRPr="00BF2E41">
              <w:t>radio button</w:t>
            </w:r>
            <w:r>
              <w:t>.</w:t>
            </w:r>
          </w:p>
          <w:p w14:paraId="2C65915F" w14:textId="77777777" w:rsidR="002A21AE" w:rsidRDefault="002A21AE">
            <w:pPr>
              <w:pStyle w:val="TableTextNumbersContinued"/>
            </w:pPr>
          </w:p>
          <w:p w14:paraId="4F86BAF5" w14:textId="77777777" w:rsidR="002A21AE" w:rsidRDefault="002A21AE">
            <w:pPr>
              <w:pStyle w:val="TableTextNumbersContinued"/>
            </w:pPr>
            <w:r>
              <w:t xml:space="preserve">Click </w:t>
            </w:r>
            <w:r>
              <w:rPr>
                <w:b/>
              </w:rPr>
              <w:t>OK</w:t>
            </w:r>
            <w:r>
              <w:t>.</w:t>
            </w:r>
          </w:p>
        </w:tc>
        <w:tc>
          <w:tcPr>
            <w:tcW w:w="6108" w:type="dxa"/>
          </w:tcPr>
          <w:p w14:paraId="7EBF33D9" w14:textId="77777777" w:rsidR="002A21AE" w:rsidRDefault="002A21AE">
            <w:pPr>
              <w:pStyle w:val="TableTextBullet"/>
              <w:tabs>
                <w:tab w:val="num" w:pos="360"/>
              </w:tabs>
            </w:pPr>
            <w:r>
              <w:t>Allows the user to search for a pooled unit.</w:t>
            </w:r>
          </w:p>
        </w:tc>
      </w:tr>
      <w:tr w:rsidR="002A21AE" w14:paraId="0A66B1D5" w14:textId="77777777">
        <w:tc>
          <w:tcPr>
            <w:tcW w:w="3240" w:type="dxa"/>
            <w:tcBorders>
              <w:top w:val="single" w:sz="4" w:space="0" w:color="auto"/>
              <w:left w:val="single" w:sz="4" w:space="0" w:color="auto"/>
              <w:bottom w:val="single" w:sz="4" w:space="0" w:color="auto"/>
              <w:right w:val="single" w:sz="4" w:space="0" w:color="auto"/>
            </w:tcBorders>
          </w:tcPr>
          <w:p w14:paraId="763845B8" w14:textId="77777777" w:rsidR="002A21AE" w:rsidRDefault="002A21AE">
            <w:pPr>
              <w:pStyle w:val="TableTextNumbers"/>
            </w:pPr>
            <w:r>
              <w:t>Scan, enter, or select the ID and product code for a pooled unit.</w:t>
            </w:r>
          </w:p>
        </w:tc>
        <w:tc>
          <w:tcPr>
            <w:tcW w:w="6108" w:type="dxa"/>
            <w:tcBorders>
              <w:top w:val="single" w:sz="4" w:space="0" w:color="auto"/>
              <w:left w:val="single" w:sz="4" w:space="0" w:color="auto"/>
              <w:bottom w:val="single" w:sz="4" w:space="0" w:color="auto"/>
              <w:right w:val="single" w:sz="4" w:space="0" w:color="auto"/>
            </w:tcBorders>
          </w:tcPr>
          <w:p w14:paraId="67D7A7B7" w14:textId="77777777" w:rsidR="002A21AE" w:rsidRDefault="002A21AE">
            <w:pPr>
              <w:pStyle w:val="TableTextBullet"/>
              <w:tabs>
                <w:tab w:val="clear" w:pos="288"/>
                <w:tab w:val="num" w:pos="360"/>
              </w:tabs>
            </w:pPr>
            <w:r>
              <w:t>Displays current data for the selected unit.</w:t>
            </w:r>
          </w:p>
          <w:p w14:paraId="574A0BB1" w14:textId="77777777" w:rsidR="002A21AE" w:rsidRDefault="002A21AE">
            <w:pPr>
              <w:pStyle w:val="TableText"/>
            </w:pPr>
          </w:p>
          <w:p w14:paraId="4EAF7AF0" w14:textId="77777777" w:rsidR="002A21AE" w:rsidRDefault="00057948">
            <w:pPr>
              <w:pStyle w:val="TableText"/>
              <w:rPr>
                <w:b/>
                <w:bCs/>
              </w:rPr>
            </w:pPr>
            <w:r>
              <w:rPr>
                <w:b/>
                <w:bCs/>
                <w:noProof/>
              </w:rPr>
              <mc:AlternateContent>
                <mc:Choice Requires="wps">
                  <w:drawing>
                    <wp:anchor distT="0" distB="0" distL="114300" distR="114300" simplePos="0" relativeHeight="251700736" behindDoc="0" locked="0" layoutInCell="1" allowOverlap="1" wp14:anchorId="0F02EE06" wp14:editId="7CD7E78E">
                      <wp:simplePos x="0" y="0"/>
                      <wp:positionH relativeFrom="column">
                        <wp:posOffset>457200</wp:posOffset>
                      </wp:positionH>
                      <wp:positionV relativeFrom="paragraph">
                        <wp:posOffset>65405</wp:posOffset>
                      </wp:positionV>
                      <wp:extent cx="3200400" cy="0"/>
                      <wp:effectExtent l="9525" t="17780" r="9525" b="10795"/>
                      <wp:wrapNone/>
                      <wp:docPr id="467" name="Line 920" descr="P4770C8T4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05CCE" id="Line 920" o:spid="_x0000_s1026" alt="&quot;&quot;"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H9ACEDEAQAAbgMAAA4AAAAAAAAAAAAAAAAA&#10;LgIAAGRycy9lMm9Eb2MueG1sUEsBAi0AFAAGAAgAAAAhABdPMBLbAAAACAEAAA8AAAAAAAAAAAAA&#10;AAAAHgQAAGRycy9kb3ducmV2LnhtbFBLBQYAAAAABAAEAPMAAAAmBQAAAAA=&#10;" strokeweight="1.5pt"/>
                  </w:pict>
                </mc:Fallback>
              </mc:AlternateContent>
            </w:r>
            <w:r w:rsidR="002A21AE">
              <w:rPr>
                <w:b/>
                <w:bCs/>
              </w:rPr>
              <w:t>NOTES</w:t>
            </w:r>
          </w:p>
          <w:p w14:paraId="3D0C29C5" w14:textId="77777777" w:rsidR="002A21AE" w:rsidRDefault="002A21AE">
            <w:pPr>
              <w:pStyle w:val="NotesText"/>
            </w:pPr>
          </w:p>
          <w:p w14:paraId="16AB4994" w14:textId="77777777" w:rsidR="002A21AE" w:rsidRDefault="002A21AE">
            <w:pPr>
              <w:pStyle w:val="NotesText"/>
            </w:pPr>
            <w:r>
              <w:rPr>
                <w:rFonts w:cs="Arial"/>
                <w:vanish/>
              </w:rPr>
              <w:t xml:space="preserve">BR_24.21 </w:t>
            </w:r>
            <w:r>
              <w:t>The user must select a unit that was previously pooled within the user’s division.</w:t>
            </w:r>
          </w:p>
          <w:p w14:paraId="44327288" w14:textId="77777777" w:rsidR="002A21AE" w:rsidRDefault="002A21AE">
            <w:pPr>
              <w:pStyle w:val="NotesText"/>
            </w:pPr>
          </w:p>
          <w:p w14:paraId="5E6094FC" w14:textId="77777777" w:rsidR="002A21AE" w:rsidRDefault="002A21AE">
            <w:pPr>
              <w:pStyle w:val="NotesText"/>
            </w:pPr>
            <w:r>
              <w:rPr>
                <w:rFonts w:cs="Arial"/>
                <w:vanish/>
              </w:rPr>
              <w:t xml:space="preserve">BR_24.30 </w:t>
            </w:r>
            <w:r>
              <w:t>The user may edit a pooled unit only once.</w:t>
            </w:r>
          </w:p>
          <w:p w14:paraId="3A406F9F" w14:textId="77777777" w:rsidR="002A21AE" w:rsidRDefault="002A21AE">
            <w:pPr>
              <w:pStyle w:val="NotesText"/>
            </w:pPr>
          </w:p>
          <w:p w14:paraId="55070C10" w14:textId="77777777" w:rsidR="002A21AE" w:rsidRDefault="00D51EEA">
            <w:pPr>
              <w:pStyle w:val="NotesText"/>
            </w:pPr>
            <w:r w:rsidRPr="00896F17">
              <w:rPr>
                <w:rStyle w:val="BullhornChar"/>
              </w:rPr>
              <w:t></w:t>
            </w:r>
            <w:r>
              <w:rPr>
                <w:color w:val="000000"/>
                <w:szCs w:val="18"/>
              </w:rPr>
              <w:t xml:space="preserve"> </w:t>
            </w:r>
            <w:r>
              <w:rPr>
                <w:rFonts w:cs="Arial"/>
                <w:vanish/>
              </w:rPr>
              <w:t xml:space="preserve">BR_70.06 </w:t>
            </w:r>
            <w:r>
              <w:t xml:space="preserve">VBECS does not list units (for selection) with a final status. When a user enters a unit with a final status, VBECS </w:t>
            </w:r>
            <w:r w:rsidR="007826D2">
              <w:t>alerts</w:t>
            </w:r>
            <w:r>
              <w:t xml:space="preserve"> the user and clears the screen. The user may select another unit.</w:t>
            </w:r>
          </w:p>
        </w:tc>
      </w:tr>
      <w:tr w:rsidR="002A21AE" w14:paraId="2915EB0B" w14:textId="77777777">
        <w:tc>
          <w:tcPr>
            <w:tcW w:w="3240" w:type="dxa"/>
            <w:tcBorders>
              <w:top w:val="single" w:sz="4" w:space="0" w:color="auto"/>
              <w:left w:val="single" w:sz="4" w:space="0" w:color="auto"/>
              <w:bottom w:val="single" w:sz="4" w:space="0" w:color="auto"/>
              <w:right w:val="single" w:sz="4" w:space="0" w:color="auto"/>
            </w:tcBorders>
          </w:tcPr>
          <w:p w14:paraId="20C10110" w14:textId="77777777" w:rsidR="002A21AE" w:rsidRDefault="002A21AE">
            <w:pPr>
              <w:pStyle w:val="TableTextNumbers"/>
            </w:pPr>
            <w:r>
              <w:t>Review the existing pooled unit data.</w:t>
            </w:r>
          </w:p>
          <w:p w14:paraId="27527DA2" w14:textId="77777777" w:rsidR="002A21AE" w:rsidRDefault="002A21AE">
            <w:pPr>
              <w:pStyle w:val="TableTextNumbersContinued"/>
            </w:pPr>
          </w:p>
          <w:p w14:paraId="22AA79E2" w14:textId="77777777" w:rsidR="002A21AE" w:rsidRDefault="00A31A8A">
            <w:pPr>
              <w:pStyle w:val="TableTextNumbersContinued"/>
            </w:pPr>
            <w:r>
              <w:t>Select one or more units to add to the pool</w:t>
            </w:r>
            <w:r w:rsidR="002A21AE">
              <w:t>.</w:t>
            </w:r>
          </w:p>
          <w:p w14:paraId="01129844" w14:textId="77777777" w:rsidR="00A31A8A" w:rsidRDefault="00A31A8A">
            <w:pPr>
              <w:pStyle w:val="TableTextNumbersContinued"/>
            </w:pPr>
          </w:p>
          <w:p w14:paraId="41680EEB" w14:textId="77777777" w:rsidR="002A21AE" w:rsidRDefault="00A31A8A">
            <w:pPr>
              <w:pStyle w:val="TableTextNumbersContinued"/>
            </w:pPr>
            <w:r>
              <w:lastRenderedPageBreak/>
              <w:t>Clear one or more check boxes to remove units from the pool.</w:t>
            </w:r>
          </w:p>
        </w:tc>
        <w:tc>
          <w:tcPr>
            <w:tcW w:w="6108" w:type="dxa"/>
            <w:tcBorders>
              <w:top w:val="single" w:sz="4" w:space="0" w:color="auto"/>
              <w:left w:val="single" w:sz="4" w:space="0" w:color="auto"/>
              <w:bottom w:val="single" w:sz="4" w:space="0" w:color="auto"/>
              <w:right w:val="single" w:sz="4" w:space="0" w:color="auto"/>
            </w:tcBorders>
          </w:tcPr>
          <w:p w14:paraId="50111946" w14:textId="77777777" w:rsidR="002A21AE" w:rsidRDefault="002A21AE">
            <w:pPr>
              <w:pStyle w:val="TableTextBullet"/>
              <w:tabs>
                <w:tab w:val="num" w:pos="360"/>
              </w:tabs>
            </w:pPr>
            <w:r>
              <w:lastRenderedPageBreak/>
              <w:t>Allows the user to select one or more units to add to or remove from the pool.</w:t>
            </w:r>
          </w:p>
          <w:p w14:paraId="3B0377CF" w14:textId="77777777" w:rsidR="002A21AE" w:rsidRDefault="002A21AE">
            <w:pPr>
              <w:pStyle w:val="TableText"/>
            </w:pPr>
          </w:p>
          <w:p w14:paraId="0F1810D3" w14:textId="77777777" w:rsidR="002A21AE" w:rsidRDefault="00057948">
            <w:pPr>
              <w:pStyle w:val="TableText"/>
              <w:rPr>
                <w:b/>
                <w:bCs/>
              </w:rPr>
            </w:pPr>
            <w:r>
              <w:rPr>
                <w:b/>
                <w:bCs/>
                <w:noProof/>
              </w:rPr>
              <mc:AlternateContent>
                <mc:Choice Requires="wps">
                  <w:drawing>
                    <wp:anchor distT="0" distB="0" distL="114300" distR="114300" simplePos="0" relativeHeight="251705856" behindDoc="0" locked="0" layoutInCell="1" allowOverlap="1" wp14:anchorId="7BB7F034" wp14:editId="01DB2169">
                      <wp:simplePos x="0" y="0"/>
                      <wp:positionH relativeFrom="column">
                        <wp:posOffset>457200</wp:posOffset>
                      </wp:positionH>
                      <wp:positionV relativeFrom="paragraph">
                        <wp:posOffset>65405</wp:posOffset>
                      </wp:positionV>
                      <wp:extent cx="3200400" cy="0"/>
                      <wp:effectExtent l="9525" t="17780" r="9525" b="10795"/>
                      <wp:wrapNone/>
                      <wp:docPr id="466" name="Line 921" descr="P4785C10T4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04E4C" id="Line 921" o:spid="_x0000_s1026" alt="&quot;&quot;"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A2I3OewgEAAG4DAAAOAAAAAAAAAAAAAAAAAC4C&#10;AABkcnMvZTJvRG9jLnhtbFBLAQItABQABgAIAAAAIQAXTzAS2wAAAAgBAAAPAAAAAAAAAAAAAAAA&#10;ABwEAABkcnMvZG93bnJldi54bWxQSwUGAAAAAAQABADzAAAAJAUAAAAA&#10;" strokeweight="1.5pt"/>
                  </w:pict>
                </mc:Fallback>
              </mc:AlternateContent>
            </w:r>
            <w:r w:rsidR="002A21AE">
              <w:rPr>
                <w:b/>
                <w:bCs/>
              </w:rPr>
              <w:t>NOTES</w:t>
            </w:r>
          </w:p>
          <w:p w14:paraId="294A3337" w14:textId="77777777" w:rsidR="002A21AE" w:rsidRDefault="002A21AE">
            <w:pPr>
              <w:pStyle w:val="NotesText"/>
            </w:pPr>
          </w:p>
          <w:p w14:paraId="1E9B802D" w14:textId="77777777" w:rsidR="002A21AE" w:rsidRDefault="002A21AE">
            <w:pPr>
              <w:pStyle w:val="NotesText"/>
            </w:pPr>
            <w:r>
              <w:rPr>
                <w:rFonts w:cs="Arial"/>
                <w:vanish/>
              </w:rPr>
              <w:t xml:space="preserve">BR_24.27 </w:t>
            </w:r>
            <w:r>
              <w:t>The user may not remove all of the original units.</w:t>
            </w:r>
          </w:p>
          <w:p w14:paraId="4E9104DB" w14:textId="77777777" w:rsidR="002A21AE" w:rsidRDefault="002A21AE">
            <w:pPr>
              <w:pStyle w:val="NotesText"/>
            </w:pPr>
          </w:p>
          <w:p w14:paraId="2C741C7A" w14:textId="77777777" w:rsidR="002A21AE" w:rsidRDefault="002A21AE">
            <w:pPr>
              <w:pStyle w:val="NotesText"/>
            </w:pPr>
            <w:r w:rsidRPr="009522A6">
              <w:rPr>
                <w:rFonts w:cs="Arial"/>
                <w:vanish/>
                <w:color w:val="0000FF"/>
              </w:rPr>
              <w:t>BR_24.28</w:t>
            </w:r>
            <w:r>
              <w:rPr>
                <w:rFonts w:cs="Arial"/>
                <w:vanish/>
              </w:rPr>
              <w:t xml:space="preserve"> </w:t>
            </w:r>
            <w:r>
              <w:t>The user may add only units with the same product and donation types as those of the previously pooled unit.</w:t>
            </w:r>
          </w:p>
          <w:p w14:paraId="7D7542C4" w14:textId="77777777" w:rsidR="0099483E" w:rsidRDefault="0099483E">
            <w:pPr>
              <w:pStyle w:val="NotesText"/>
            </w:pPr>
          </w:p>
          <w:p w14:paraId="168F603A" w14:textId="77777777" w:rsidR="0099483E" w:rsidRPr="0099483E" w:rsidRDefault="003133AE" w:rsidP="0099483E">
            <w:pPr>
              <w:pStyle w:val="NotesText"/>
            </w:pPr>
            <w:r w:rsidRPr="003133AE">
              <w:rPr>
                <w:vanish/>
              </w:rPr>
              <w:t xml:space="preserve">BR_24.28 </w:t>
            </w:r>
            <w:r w:rsidR="0099483E" w:rsidRPr="0099483E">
              <w:t>Properties that may be changed based on the edit of the target pool are:</w:t>
            </w:r>
          </w:p>
          <w:p w14:paraId="156B50D6" w14:textId="77777777" w:rsidR="0099483E" w:rsidRDefault="0099483E" w:rsidP="00041E00">
            <w:pPr>
              <w:pStyle w:val="TableText"/>
              <w:numPr>
                <w:ilvl w:val="0"/>
                <w:numId w:val="75"/>
              </w:numPr>
              <w:ind w:left="1440"/>
              <w:rPr>
                <w:rFonts w:cs="Arial"/>
                <w:szCs w:val="18"/>
              </w:rPr>
            </w:pPr>
            <w:r>
              <w:rPr>
                <w:rFonts w:cs="Arial"/>
                <w:szCs w:val="18"/>
              </w:rPr>
              <w:t xml:space="preserve">Patient Assignment </w:t>
            </w:r>
          </w:p>
          <w:p w14:paraId="5108EB52" w14:textId="77777777" w:rsidR="0099483E" w:rsidRDefault="0099483E" w:rsidP="00041E00">
            <w:pPr>
              <w:pStyle w:val="TableText"/>
              <w:numPr>
                <w:ilvl w:val="0"/>
                <w:numId w:val="75"/>
              </w:numPr>
              <w:ind w:left="1440"/>
              <w:rPr>
                <w:rFonts w:cs="Arial"/>
                <w:szCs w:val="18"/>
              </w:rPr>
            </w:pPr>
            <w:r>
              <w:rPr>
                <w:rFonts w:cs="Arial"/>
                <w:szCs w:val="18"/>
              </w:rPr>
              <w:t xml:space="preserve">ABO/RH </w:t>
            </w:r>
          </w:p>
          <w:p w14:paraId="5E3890DD" w14:textId="77777777" w:rsidR="0099483E" w:rsidRDefault="0099483E" w:rsidP="00041E00">
            <w:pPr>
              <w:pStyle w:val="TableText"/>
              <w:numPr>
                <w:ilvl w:val="0"/>
                <w:numId w:val="75"/>
              </w:numPr>
              <w:ind w:left="1440"/>
              <w:rPr>
                <w:rFonts w:cs="Arial"/>
                <w:szCs w:val="18"/>
              </w:rPr>
            </w:pPr>
            <w:r>
              <w:rPr>
                <w:rFonts w:cs="Arial"/>
                <w:szCs w:val="18"/>
              </w:rPr>
              <w:t>Expiration date</w:t>
            </w:r>
          </w:p>
          <w:p w14:paraId="3B1A5397" w14:textId="77777777" w:rsidR="0099483E" w:rsidRDefault="0099483E" w:rsidP="00041E00">
            <w:pPr>
              <w:pStyle w:val="TableText"/>
              <w:numPr>
                <w:ilvl w:val="0"/>
                <w:numId w:val="75"/>
              </w:numPr>
              <w:ind w:left="1440"/>
              <w:rPr>
                <w:rFonts w:cs="Arial"/>
                <w:szCs w:val="18"/>
              </w:rPr>
            </w:pPr>
            <w:r>
              <w:rPr>
                <w:rFonts w:cs="Arial"/>
                <w:szCs w:val="18"/>
              </w:rPr>
              <w:t xml:space="preserve">Volume </w:t>
            </w:r>
          </w:p>
          <w:p w14:paraId="7C059182" w14:textId="77777777" w:rsidR="0099483E" w:rsidRDefault="0099483E" w:rsidP="00041E00">
            <w:pPr>
              <w:pStyle w:val="TableText"/>
              <w:numPr>
                <w:ilvl w:val="0"/>
                <w:numId w:val="75"/>
              </w:numPr>
              <w:ind w:left="1440"/>
              <w:rPr>
                <w:rFonts w:cs="Arial"/>
                <w:szCs w:val="18"/>
              </w:rPr>
            </w:pPr>
            <w:r>
              <w:rPr>
                <w:rFonts w:cs="Arial"/>
                <w:szCs w:val="18"/>
              </w:rPr>
              <w:t>CMV Negative indicator</w:t>
            </w:r>
          </w:p>
          <w:p w14:paraId="7CAC1744" w14:textId="77777777" w:rsidR="0099483E" w:rsidRDefault="0099483E" w:rsidP="00041E00">
            <w:pPr>
              <w:pStyle w:val="TableText"/>
              <w:numPr>
                <w:ilvl w:val="0"/>
                <w:numId w:val="75"/>
              </w:numPr>
              <w:ind w:left="1440"/>
              <w:rPr>
                <w:rFonts w:cs="Arial"/>
                <w:szCs w:val="18"/>
              </w:rPr>
            </w:pPr>
            <w:r>
              <w:rPr>
                <w:rFonts w:cs="Arial"/>
                <w:szCs w:val="18"/>
              </w:rPr>
              <w:t>SC Negative indicator</w:t>
            </w:r>
          </w:p>
          <w:p w14:paraId="71059365" w14:textId="77777777" w:rsidR="0099483E" w:rsidRDefault="0099483E" w:rsidP="00041E00">
            <w:pPr>
              <w:pStyle w:val="TableText"/>
              <w:numPr>
                <w:ilvl w:val="0"/>
                <w:numId w:val="75"/>
              </w:numPr>
              <w:ind w:left="1440"/>
              <w:rPr>
                <w:rFonts w:cs="Arial"/>
                <w:szCs w:val="18"/>
              </w:rPr>
            </w:pPr>
            <w:r>
              <w:rPr>
                <w:rFonts w:cs="Arial"/>
                <w:szCs w:val="18"/>
              </w:rPr>
              <w:t>Biohazardous indicator</w:t>
            </w:r>
          </w:p>
          <w:p w14:paraId="7DF48818" w14:textId="77777777" w:rsidR="0099483E" w:rsidRDefault="0099483E" w:rsidP="00C233B7">
            <w:pPr>
              <w:pStyle w:val="NotesText"/>
              <w:ind w:left="1440"/>
            </w:pPr>
            <w:r>
              <w:rPr>
                <w:rFonts w:cs="Arial"/>
                <w:szCs w:val="18"/>
              </w:rPr>
              <w:t>Required crossmatch if =</w:t>
            </w:r>
            <w:r w:rsidR="00C233B7">
              <w:rPr>
                <w:rFonts w:cs="Arial"/>
                <w:szCs w:val="18"/>
              </w:rPr>
              <w:t xml:space="preserve"> </w:t>
            </w:r>
            <w:r>
              <w:rPr>
                <w:rFonts w:cs="Arial"/>
                <w:szCs w:val="18"/>
              </w:rPr>
              <w:t>&gt; 2</w:t>
            </w:r>
            <w:r w:rsidR="00452A6C">
              <w:rPr>
                <w:rFonts w:cs="Arial"/>
                <w:szCs w:val="18"/>
              </w:rPr>
              <w:t xml:space="preserve"> </w:t>
            </w:r>
            <w:r w:rsidR="00C233B7">
              <w:rPr>
                <w:rFonts w:cs="Arial"/>
                <w:szCs w:val="18"/>
              </w:rPr>
              <w:t>mL</w:t>
            </w:r>
            <w:r>
              <w:rPr>
                <w:rFonts w:cs="Arial"/>
                <w:szCs w:val="18"/>
              </w:rPr>
              <w:t xml:space="preserve"> contamination changes</w:t>
            </w:r>
          </w:p>
        </w:tc>
      </w:tr>
      <w:tr w:rsidR="002A21AE" w14:paraId="1F6F5A8C" w14:textId="77777777">
        <w:tc>
          <w:tcPr>
            <w:tcW w:w="3240" w:type="dxa"/>
            <w:tcBorders>
              <w:top w:val="single" w:sz="4" w:space="0" w:color="auto"/>
              <w:left w:val="single" w:sz="4" w:space="0" w:color="auto"/>
              <w:bottom w:val="single" w:sz="4" w:space="0" w:color="auto"/>
              <w:right w:val="single" w:sz="4" w:space="0" w:color="auto"/>
            </w:tcBorders>
          </w:tcPr>
          <w:p w14:paraId="48E6D53E" w14:textId="3B9A3E3D" w:rsidR="002A21AE" w:rsidRDefault="002A21AE">
            <w:pPr>
              <w:pStyle w:val="TableTextNumbers"/>
            </w:pPr>
            <w:r>
              <w:lastRenderedPageBreak/>
              <w:t>Confirm to add the selected units to or remove them from the pool</w:t>
            </w:r>
            <w:r w:rsidR="007A0867">
              <w:t xml:space="preserve"> (</w:t>
            </w:r>
            <w:r w:rsidR="007A0867">
              <w:fldChar w:fldCharType="begin" w:fldLock="1"/>
            </w:r>
            <w:r w:rsidR="007A0867">
              <w:instrText xml:space="preserve"> REF _Ref126651551 \h </w:instrText>
            </w:r>
            <w:r w:rsidR="007A0867">
              <w:fldChar w:fldCharType="separate"/>
            </w:r>
            <w:r w:rsidR="00AB304C">
              <w:t xml:space="preserve">Figure </w:t>
            </w:r>
            <w:r w:rsidR="00AB304C">
              <w:rPr>
                <w:noProof/>
              </w:rPr>
              <w:t>94</w:t>
            </w:r>
            <w:r w:rsidR="007A0867">
              <w:fldChar w:fldCharType="end"/>
            </w:r>
            <w:r w:rsidR="007A0867">
              <w:t>)</w:t>
            </w:r>
            <w:r>
              <w:t>.</w:t>
            </w:r>
          </w:p>
        </w:tc>
        <w:tc>
          <w:tcPr>
            <w:tcW w:w="6108" w:type="dxa"/>
            <w:tcBorders>
              <w:top w:val="single" w:sz="4" w:space="0" w:color="auto"/>
              <w:left w:val="single" w:sz="4" w:space="0" w:color="auto"/>
              <w:bottom w:val="single" w:sz="4" w:space="0" w:color="auto"/>
              <w:right w:val="single" w:sz="4" w:space="0" w:color="auto"/>
            </w:tcBorders>
          </w:tcPr>
          <w:p w14:paraId="5A8F99F7" w14:textId="77777777" w:rsidR="002A21AE" w:rsidRDefault="002A21AE">
            <w:pPr>
              <w:pStyle w:val="TableTextBullet"/>
              <w:tabs>
                <w:tab w:val="num" w:pos="360"/>
              </w:tabs>
            </w:pPr>
            <w:r>
              <w:t xml:space="preserve">Displays the updated pooled unit data. </w:t>
            </w:r>
          </w:p>
          <w:p w14:paraId="52128EE4" w14:textId="77777777" w:rsidR="002A21AE" w:rsidRDefault="002A21AE">
            <w:pPr>
              <w:pStyle w:val="TableTextBullet"/>
              <w:tabs>
                <w:tab w:val="num" w:pos="360"/>
              </w:tabs>
            </w:pPr>
            <w:r>
              <w:t xml:space="preserve">Requires the user to confirm to continue. </w:t>
            </w:r>
          </w:p>
          <w:p w14:paraId="2D00ABD4" w14:textId="77777777" w:rsidR="002A21AE" w:rsidRDefault="002A21AE">
            <w:pPr>
              <w:pStyle w:val="TableTextBullet"/>
              <w:tabs>
                <w:tab w:val="num" w:pos="360"/>
              </w:tabs>
            </w:pPr>
            <w:r>
              <w:t xml:space="preserve">Requires a comment. </w:t>
            </w:r>
          </w:p>
          <w:p w14:paraId="0DCCA62E" w14:textId="77777777" w:rsidR="002A21AE" w:rsidRDefault="002A21AE">
            <w:pPr>
              <w:pStyle w:val="TableText"/>
            </w:pPr>
          </w:p>
          <w:p w14:paraId="7F0FF518" w14:textId="77777777" w:rsidR="002A21AE" w:rsidRDefault="00057948">
            <w:pPr>
              <w:pStyle w:val="TableText"/>
              <w:rPr>
                <w:b/>
                <w:bCs/>
              </w:rPr>
            </w:pPr>
            <w:r>
              <w:rPr>
                <w:b/>
                <w:bCs/>
                <w:noProof/>
              </w:rPr>
              <mc:AlternateContent>
                <mc:Choice Requires="wps">
                  <w:drawing>
                    <wp:anchor distT="0" distB="0" distL="114300" distR="114300" simplePos="0" relativeHeight="251708928" behindDoc="0" locked="0" layoutInCell="1" allowOverlap="1" wp14:anchorId="0852CE59" wp14:editId="4E9D5F22">
                      <wp:simplePos x="0" y="0"/>
                      <wp:positionH relativeFrom="column">
                        <wp:posOffset>457200</wp:posOffset>
                      </wp:positionH>
                      <wp:positionV relativeFrom="paragraph">
                        <wp:posOffset>65405</wp:posOffset>
                      </wp:positionV>
                      <wp:extent cx="3200400" cy="0"/>
                      <wp:effectExtent l="9525" t="17780" r="9525" b="10795"/>
                      <wp:wrapNone/>
                      <wp:docPr id="465" name="Line 922" descr="P4806C12T4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A62C8" id="Line 922" o:spid="_x0000_s1026" alt="&quot;&quot;"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rICPJ8MBAABuAwAADgAAAAAAAAAAAAAAAAAu&#10;AgAAZHJzL2Uyb0RvYy54bWxQSwECLQAUAAYACAAAACEAF08wEtsAAAAIAQAADwAAAAAAAAAAAAAA&#10;AAAdBAAAZHJzL2Rvd25yZXYueG1sUEsFBgAAAAAEAAQA8wAAACUFAAAAAA==&#10;" strokeweight="1.5pt"/>
                  </w:pict>
                </mc:Fallback>
              </mc:AlternateContent>
            </w:r>
            <w:r w:rsidR="002A21AE">
              <w:rPr>
                <w:b/>
                <w:bCs/>
              </w:rPr>
              <w:t>NOTES</w:t>
            </w:r>
          </w:p>
          <w:p w14:paraId="223A9760" w14:textId="77777777" w:rsidR="002A21AE" w:rsidRDefault="002A21AE">
            <w:pPr>
              <w:pStyle w:val="NotesText"/>
            </w:pPr>
          </w:p>
          <w:p w14:paraId="3CCE08E1" w14:textId="77777777" w:rsidR="00552811" w:rsidRDefault="002A21AE" w:rsidP="00552811">
            <w:pPr>
              <w:pStyle w:val="NotesText"/>
              <w:rPr>
                <w:rFonts w:cs="Arial"/>
              </w:rPr>
            </w:pPr>
            <w:r w:rsidRPr="00552811">
              <w:rPr>
                <w:rFonts w:cs="Arial"/>
                <w:vanish/>
              </w:rPr>
              <w:t xml:space="preserve">BR_24.15 </w:t>
            </w:r>
            <w:r w:rsidRPr="00552811">
              <w:rPr>
                <w:rFonts w:cs="Arial"/>
              </w:rPr>
              <w:t xml:space="preserve">All units in a pool must be of the same </w:t>
            </w:r>
            <w:r w:rsidR="00552811" w:rsidRPr="00552811">
              <w:rPr>
                <w:rFonts w:cs="Arial"/>
              </w:rPr>
              <w:t>restriction</w:t>
            </w:r>
            <w:r w:rsidRPr="00552811">
              <w:rPr>
                <w:rFonts w:cs="Arial"/>
              </w:rPr>
              <w:t xml:space="preserve"> type (allogeneic, autologous, directed). </w:t>
            </w:r>
            <w:r w:rsidR="00552811" w:rsidRPr="00552811">
              <w:rPr>
                <w:rFonts w:cs="Arial"/>
              </w:rPr>
              <w:t>The specific donation type within the restriction type of the first unit selected for the pool is assigned to the target.</w:t>
            </w:r>
          </w:p>
          <w:p w14:paraId="473772C2" w14:textId="77777777" w:rsidR="00C45B80" w:rsidRPr="00552811" w:rsidRDefault="00C45B80" w:rsidP="00552811">
            <w:pPr>
              <w:pStyle w:val="NotesText"/>
              <w:rPr>
                <w:rFonts w:cs="Arial"/>
                <w:vanish/>
              </w:rPr>
            </w:pPr>
          </w:p>
          <w:p w14:paraId="353A6035" w14:textId="77777777" w:rsidR="002A21AE" w:rsidRDefault="002A21AE">
            <w:pPr>
              <w:pStyle w:val="NotesText"/>
            </w:pPr>
          </w:p>
          <w:p w14:paraId="1B89A207" w14:textId="77777777" w:rsidR="002A21AE" w:rsidRDefault="002A21AE">
            <w:pPr>
              <w:pStyle w:val="NotesText"/>
            </w:pPr>
            <w:r>
              <w:rPr>
                <w:rFonts w:cs="Arial"/>
                <w:vanish/>
              </w:rPr>
              <w:t xml:space="preserve">BR_24.24 </w:t>
            </w:r>
            <w:r>
              <w:t xml:space="preserve">For each individual unit removed from a pool, </w:t>
            </w:r>
            <w:r w:rsidR="00E93AC0">
              <w:t>the status is available</w:t>
            </w:r>
            <w:r>
              <w:t>.</w:t>
            </w:r>
          </w:p>
          <w:p w14:paraId="0A19B90B" w14:textId="77777777" w:rsidR="002A21AE" w:rsidRDefault="002A21AE">
            <w:pPr>
              <w:pStyle w:val="NotesText"/>
            </w:pPr>
          </w:p>
          <w:p w14:paraId="17DC8DF3" w14:textId="77777777" w:rsidR="002A21AE" w:rsidRDefault="002A21AE">
            <w:pPr>
              <w:pStyle w:val="NotesText"/>
            </w:pPr>
            <w:r>
              <w:t>When the unit</w:t>
            </w:r>
            <w:r w:rsidR="00FA7E65">
              <w:t>’</w:t>
            </w:r>
            <w:r>
              <w:t>s original expiration date and time is in the future, VBECS assigns units removed from the pool a status of “available.” When the unit</w:t>
            </w:r>
            <w:r w:rsidR="00FA7E65">
              <w:t>’</w:t>
            </w:r>
            <w:r>
              <w:t>s original expiration date and time is in the past, VBECS assigns units removed from the pool a status of “</w:t>
            </w:r>
            <w:r w:rsidR="0061366C">
              <w:t>available</w:t>
            </w:r>
            <w:r>
              <w:t>.”</w:t>
            </w:r>
          </w:p>
          <w:p w14:paraId="033E6A8A" w14:textId="77777777" w:rsidR="002A21AE" w:rsidRDefault="002A21AE">
            <w:pPr>
              <w:pStyle w:val="NotesText"/>
            </w:pPr>
          </w:p>
          <w:p w14:paraId="0C89D9A6" w14:textId="77777777" w:rsidR="002A21AE" w:rsidRDefault="002A21AE">
            <w:pPr>
              <w:pStyle w:val="NotesText"/>
            </w:pPr>
            <w:r w:rsidRPr="001051D0">
              <w:rPr>
                <w:rFonts w:cs="Arial"/>
                <w:vanish/>
                <w:color w:val="0000FF"/>
              </w:rPr>
              <w:t>BR_24.25</w:t>
            </w:r>
            <w:r>
              <w:rPr>
                <w:rFonts w:cs="Arial"/>
                <w:vanish/>
              </w:rPr>
              <w:t xml:space="preserve"> </w:t>
            </w:r>
            <w:r w:rsidR="00263B24" w:rsidRPr="00896F17">
              <w:rPr>
                <w:rStyle w:val="BullhornChar"/>
              </w:rPr>
              <w:t></w:t>
            </w:r>
            <w:r w:rsidR="00263B24">
              <w:rPr>
                <w:rFonts w:ascii="Webdings" w:hAnsi="Webdings"/>
              </w:rPr>
              <w:t></w:t>
            </w:r>
            <w:r w:rsidR="00263B24">
              <w:t>W</w:t>
            </w:r>
            <w:r>
              <w:t xml:space="preserve">hen </w:t>
            </w:r>
            <w:r w:rsidR="008553F6">
              <w:t xml:space="preserve">the user adds a unit to a pool and </w:t>
            </w:r>
            <w:r>
              <w:t xml:space="preserve">the </w:t>
            </w:r>
            <w:r w:rsidR="00991A9A">
              <w:t>unit expires before</w:t>
            </w:r>
            <w:r>
              <w:t xml:space="preserve"> the pool</w:t>
            </w:r>
            <w:r w:rsidR="00991A9A">
              <w:t xml:space="preserve"> expires</w:t>
            </w:r>
            <w:r>
              <w:t xml:space="preserve">, VBECS emits an audible alert, warns the user, and asks the user to continue or cancel. </w:t>
            </w:r>
            <w:r w:rsidR="00C26BE6">
              <w:rPr>
                <w:b/>
                <w:bCs/>
              </w:rPr>
              <w:t xml:space="preserve">Override </w:t>
            </w:r>
            <w:r>
              <w:t xml:space="preserve">requires a comment and VBECS captures details for inclusion in an Exception Report (exception type: expired unit modified). </w:t>
            </w:r>
            <w:r>
              <w:rPr>
                <w:b/>
                <w:bCs/>
              </w:rPr>
              <w:t>Cancel</w:t>
            </w:r>
            <w:r>
              <w:t xml:space="preserve"> clears the selected unit data and allows the user to select another unit to modify.</w:t>
            </w:r>
          </w:p>
        </w:tc>
      </w:tr>
      <w:tr w:rsidR="002A21AE" w14:paraId="78138C29" w14:textId="77777777">
        <w:tc>
          <w:tcPr>
            <w:tcW w:w="3240" w:type="dxa"/>
            <w:tcBorders>
              <w:top w:val="single" w:sz="4" w:space="0" w:color="auto"/>
              <w:left w:val="single" w:sz="4" w:space="0" w:color="auto"/>
              <w:bottom w:val="single" w:sz="4" w:space="0" w:color="auto"/>
              <w:right w:val="single" w:sz="4" w:space="0" w:color="auto"/>
            </w:tcBorders>
          </w:tcPr>
          <w:p w14:paraId="0DF181E6" w14:textId="77777777" w:rsidR="002A21AE" w:rsidRDefault="002A21AE">
            <w:pPr>
              <w:pStyle w:val="TableTextNumbers"/>
            </w:pPr>
            <w:r>
              <w:t>Review the entered data and save the updated pool record.</w:t>
            </w:r>
          </w:p>
        </w:tc>
        <w:tc>
          <w:tcPr>
            <w:tcW w:w="6108" w:type="dxa"/>
            <w:tcBorders>
              <w:top w:val="single" w:sz="4" w:space="0" w:color="auto"/>
              <w:left w:val="single" w:sz="4" w:space="0" w:color="auto"/>
              <w:bottom w:val="single" w:sz="4" w:space="0" w:color="auto"/>
              <w:right w:val="single" w:sz="4" w:space="0" w:color="auto"/>
            </w:tcBorders>
          </w:tcPr>
          <w:p w14:paraId="0510FF01" w14:textId="77777777" w:rsidR="002A21AE" w:rsidRDefault="002A21AE" w:rsidP="000C5C2A">
            <w:pPr>
              <w:pStyle w:val="TableTextBullet"/>
            </w:pPr>
            <w:r>
              <w:t xml:space="preserve">Saves the modified pooled unit. Updates the status of each added unit to “modified.” Updates the status of each removed unit. </w:t>
            </w:r>
            <w:r w:rsidR="000C5C2A">
              <w:t>Records the unit ID of the target unit on the record of the original unit.</w:t>
            </w:r>
            <w:r>
              <w:t xml:space="preserve"> </w:t>
            </w:r>
          </w:p>
        </w:tc>
      </w:tr>
      <w:tr w:rsidR="002A21AE" w14:paraId="43C60512" w14:textId="77777777">
        <w:tc>
          <w:tcPr>
            <w:tcW w:w="3240" w:type="dxa"/>
            <w:tcBorders>
              <w:top w:val="single" w:sz="4" w:space="0" w:color="auto"/>
              <w:left w:val="single" w:sz="4" w:space="0" w:color="auto"/>
              <w:bottom w:val="single" w:sz="4" w:space="0" w:color="auto"/>
              <w:right w:val="single" w:sz="4" w:space="0" w:color="auto"/>
            </w:tcBorders>
          </w:tcPr>
          <w:p w14:paraId="20F4EB55" w14:textId="77777777" w:rsidR="002A21AE" w:rsidRDefault="002A21AE">
            <w:pPr>
              <w:pStyle w:val="TableTextNumbers"/>
            </w:pPr>
            <w:r>
              <w:t xml:space="preserve">Repeat Steps 1–6 to modify another unit or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08" w:type="dxa"/>
            <w:tcBorders>
              <w:top w:val="single" w:sz="4" w:space="0" w:color="auto"/>
              <w:left w:val="single" w:sz="4" w:space="0" w:color="auto"/>
              <w:bottom w:val="single" w:sz="4" w:space="0" w:color="auto"/>
              <w:right w:val="single" w:sz="4" w:space="0" w:color="auto"/>
            </w:tcBorders>
          </w:tcPr>
          <w:p w14:paraId="6EF4E36F" w14:textId="77777777" w:rsidR="002A21AE" w:rsidRDefault="004547D5">
            <w:pPr>
              <w:pStyle w:val="TableTextBullet"/>
              <w:tabs>
                <w:tab w:val="num" w:pos="360"/>
              </w:tabs>
              <w:rPr>
                <w:color w:val="000000"/>
                <w:szCs w:val="20"/>
              </w:rPr>
            </w:pPr>
            <w:r>
              <w:rPr>
                <w:color w:val="000000"/>
                <w:szCs w:val="20"/>
              </w:rPr>
              <w:t>Allows the user</w:t>
            </w:r>
            <w:r w:rsidR="002A21AE">
              <w:rPr>
                <w:color w:val="000000"/>
                <w:szCs w:val="20"/>
              </w:rPr>
              <w:t xml:space="preserve"> to modify</w:t>
            </w:r>
            <w:r>
              <w:rPr>
                <w:color w:val="000000"/>
                <w:szCs w:val="20"/>
              </w:rPr>
              <w:t xml:space="preserve"> another unit</w:t>
            </w:r>
            <w:r w:rsidR="002A21AE">
              <w:rPr>
                <w:color w:val="000000"/>
                <w:szCs w:val="20"/>
              </w:rPr>
              <w:t>.</w:t>
            </w:r>
          </w:p>
        </w:tc>
      </w:tr>
    </w:tbl>
    <w:p w14:paraId="1EBD652C" w14:textId="77777777" w:rsidR="002A21AE" w:rsidRDefault="002A21AE">
      <w:pPr>
        <w:pStyle w:val="BodyText"/>
      </w:pPr>
    </w:p>
    <w:p w14:paraId="62DF1675" w14:textId="20F3F57A" w:rsidR="007A0867" w:rsidRDefault="007A0867" w:rsidP="007A0867">
      <w:pPr>
        <w:pStyle w:val="Caption"/>
      </w:pPr>
      <w:bookmarkStart w:id="364" w:name="_Ref126651551"/>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94</w:t>
      </w:r>
      <w:r w:rsidR="004E20BD">
        <w:rPr>
          <w:noProof/>
        </w:rPr>
        <w:fldChar w:fldCharType="end"/>
      </w:r>
      <w:bookmarkEnd w:id="364"/>
      <w:r>
        <w:t>: Add/Remove Units from Pool</w:t>
      </w:r>
    </w:p>
    <w:p w14:paraId="236D7FAA" w14:textId="77777777" w:rsidR="002A21AE" w:rsidRDefault="00057948" w:rsidP="007A0867">
      <w:pPr>
        <w:pStyle w:val="BodyText"/>
      </w:pPr>
      <w:r>
        <w:rPr>
          <w:noProof/>
        </w:rPr>
        <w:drawing>
          <wp:inline distT="0" distB="0" distL="0" distR="0" wp14:anchorId="2DAC3E66" wp14:editId="065778B8">
            <wp:extent cx="5939155" cy="5135245"/>
            <wp:effectExtent l="0" t="0" r="4445" b="8255"/>
            <wp:docPr id="179" name="Picture 179" descr="P4824#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P4824#yIS1">
                      <a:extLst>
                        <a:ext uri="{C183D7F6-B498-43B3-948B-1728B52AA6E4}">
                          <adec:decorative xmlns:adec="http://schemas.microsoft.com/office/drawing/2017/decorative" val="1"/>
                        </a:ext>
                      </a:extLst>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939155" cy="5135245"/>
                    </a:xfrm>
                    <a:prstGeom prst="rect">
                      <a:avLst/>
                    </a:prstGeom>
                    <a:noFill/>
                    <a:ln>
                      <a:noFill/>
                    </a:ln>
                  </pic:spPr>
                </pic:pic>
              </a:graphicData>
            </a:graphic>
          </wp:inline>
        </w:drawing>
      </w:r>
    </w:p>
    <w:p w14:paraId="3AC76B95" w14:textId="77777777" w:rsidR="002A21AE" w:rsidRDefault="009F1B54">
      <w:pPr>
        <w:pStyle w:val="Heading2"/>
      </w:pPr>
      <w:r>
        <w:br w:type="page"/>
      </w:r>
      <w:bookmarkStart w:id="365" w:name="_Toc4588787"/>
      <w:r w:rsidR="002A21AE">
        <w:lastRenderedPageBreak/>
        <w:t>Maintain Unit Records</w:t>
      </w:r>
      <w:bookmarkEnd w:id="333"/>
      <w:bookmarkEnd w:id="365"/>
      <w:r w:rsidR="002A21AE">
        <w:fldChar w:fldCharType="begin"/>
      </w:r>
      <w:r w:rsidR="002A21AE">
        <w:instrText xml:space="preserve"> XE </w:instrText>
      </w:r>
      <w:r w:rsidR="00FA7E65">
        <w:instrText>“</w:instrText>
      </w:r>
      <w:r w:rsidR="002A21AE">
        <w:instrText>Maintain Unit Records</w:instrText>
      </w:r>
      <w:r w:rsidR="00FA7E65">
        <w:instrText>”</w:instrText>
      </w:r>
      <w:r w:rsidR="002A21AE">
        <w:instrText xml:space="preserve"> </w:instrText>
      </w:r>
      <w:r w:rsidR="002A21AE">
        <w:fldChar w:fldCharType="end"/>
      </w:r>
    </w:p>
    <w:p w14:paraId="0F771045" w14:textId="77777777" w:rsidR="002A21AE" w:rsidRDefault="002A21AE">
      <w:pPr>
        <w:pStyle w:val="Heading3"/>
        <w:jc w:val="both"/>
      </w:pPr>
      <w:bookmarkStart w:id="366" w:name="_Toc4588788"/>
      <w:r>
        <w:t>Edit Unit Information</w:t>
      </w:r>
      <w:bookmarkEnd w:id="366"/>
      <w:r w:rsidRPr="007716F7">
        <w:rPr>
          <w:vanish/>
        </w:rPr>
        <w:fldChar w:fldCharType="begin"/>
      </w:r>
      <w:r w:rsidRPr="007716F7">
        <w:rPr>
          <w:vanish/>
        </w:rPr>
        <w:instrText xml:space="preserve"> XE </w:instrText>
      </w:r>
      <w:r w:rsidR="00FA7E65" w:rsidRPr="007716F7">
        <w:rPr>
          <w:vanish/>
        </w:rPr>
        <w:instrText>“</w:instrText>
      </w:r>
      <w:r w:rsidRPr="007716F7">
        <w:rPr>
          <w:vanish/>
        </w:rPr>
        <w:instrText>Edit Unit Information</w:instrText>
      </w:r>
      <w:r w:rsidR="00FA7E65" w:rsidRPr="007716F7">
        <w:rPr>
          <w:vanish/>
        </w:rPr>
        <w:instrText>”</w:instrText>
      </w:r>
      <w:r w:rsidRPr="007716F7">
        <w:rPr>
          <w:vanish/>
        </w:rPr>
        <w:instrText xml:space="preserve"> </w:instrText>
      </w:r>
      <w:r w:rsidRPr="007716F7">
        <w:rPr>
          <w:vanish/>
        </w:rPr>
        <w:fldChar w:fldCharType="end"/>
      </w:r>
      <w:r w:rsidRPr="007716F7">
        <w:rPr>
          <w:vanish/>
        </w:rPr>
        <w:t xml:space="preserve"> UC_70</w:t>
      </w:r>
    </w:p>
    <w:p w14:paraId="65B7D213" w14:textId="77777777" w:rsidR="002A21AE" w:rsidRDefault="002A21AE" w:rsidP="00FA7E65">
      <w:pPr>
        <w:pStyle w:val="BodyText"/>
      </w:pPr>
      <w:r>
        <w:t>The user may inactivate unit tests, correct a data entry error from login, and add information about the unit that was not recorded during login.</w:t>
      </w:r>
    </w:p>
    <w:p w14:paraId="580306C8" w14:textId="77777777" w:rsidR="002A21AE" w:rsidRDefault="002A21AE">
      <w:pPr>
        <w:pStyle w:val="Heading4"/>
      </w:pPr>
      <w:r>
        <w:t xml:space="preserve">Assumptions </w:t>
      </w:r>
    </w:p>
    <w:p w14:paraId="0728055F" w14:textId="77777777" w:rsidR="002A21AE" w:rsidRDefault="002A21AE">
      <w:pPr>
        <w:pStyle w:val="ListBullet"/>
      </w:pPr>
      <w:r>
        <w:t>The user is logged into the division that contains the unit record.</w:t>
      </w:r>
    </w:p>
    <w:p w14:paraId="2562B168" w14:textId="77777777" w:rsidR="002A21AE" w:rsidRDefault="002A21AE">
      <w:pPr>
        <w:pStyle w:val="ListBullet"/>
      </w:pPr>
      <w:r>
        <w:t xml:space="preserve">The connection to </w:t>
      </w:r>
      <w:r w:rsidR="00CA0045" w:rsidRPr="00CA0045">
        <w:rPr>
          <w:bCs/>
        </w:rPr>
        <w:t>VistA</w:t>
      </w:r>
      <w:r>
        <w:t xml:space="preserve"> is active.</w:t>
      </w:r>
    </w:p>
    <w:p w14:paraId="563C967B" w14:textId="77777777" w:rsidR="002A21AE" w:rsidRDefault="002A21AE">
      <w:pPr>
        <w:pStyle w:val="Heading4"/>
      </w:pPr>
      <w:r>
        <w:t xml:space="preserve">Outcome </w:t>
      </w:r>
    </w:p>
    <w:p w14:paraId="6D65D342" w14:textId="77777777" w:rsidR="002A21AE" w:rsidRDefault="002A21AE">
      <w:pPr>
        <w:pStyle w:val="ListBullet"/>
      </w:pPr>
      <w:r>
        <w:t>The unit’s new or changed information was saved with its record.</w:t>
      </w:r>
    </w:p>
    <w:p w14:paraId="76667E5D" w14:textId="77777777" w:rsidR="002A21AE" w:rsidRDefault="002A21AE">
      <w:pPr>
        <w:pStyle w:val="Heading4"/>
      </w:pPr>
      <w:r>
        <w:t>Limitations and Restrictions</w:t>
      </w:r>
    </w:p>
    <w:p w14:paraId="550AAB7F" w14:textId="77777777" w:rsidR="009129BC" w:rsidRDefault="009129BC">
      <w:pPr>
        <w:pStyle w:val="ListBullet"/>
      </w:pPr>
      <w:r>
        <w:t>VBECS does not limit the discarded plasma</w:t>
      </w:r>
      <w:r w:rsidR="0031442B">
        <w:t xml:space="preserve"> volume.</w:t>
      </w:r>
    </w:p>
    <w:p w14:paraId="15620EC4" w14:textId="77777777" w:rsidR="002A21AE" w:rsidRDefault="006F51AC" w:rsidP="006F51AC">
      <w:pPr>
        <w:pStyle w:val="ListBullet"/>
      </w:pPr>
      <w:r>
        <w:rPr>
          <w:rFonts w:eastAsia="Arial Unicode MS"/>
        </w:rPr>
        <w:t>If errors are found in the unit</w:t>
      </w:r>
      <w:r w:rsidR="00D20331">
        <w:rPr>
          <w:rFonts w:eastAsia="Arial Unicode MS"/>
        </w:rPr>
        <w:t>’s</w:t>
      </w:r>
      <w:r>
        <w:rPr>
          <w:rFonts w:eastAsia="Arial Unicode MS"/>
        </w:rPr>
        <w:t xml:space="preserve"> product code</w:t>
      </w:r>
      <w:r w:rsidR="002A21AE">
        <w:t xml:space="preserve">, division </w:t>
      </w:r>
      <w:r>
        <w:t xml:space="preserve">or </w:t>
      </w:r>
      <w:r w:rsidR="002A21AE">
        <w:t xml:space="preserve">blood type at login, </w:t>
      </w:r>
      <w:r>
        <w:rPr>
          <w:rFonts w:eastAsia="Arial Unicode MS"/>
        </w:rPr>
        <w:t>supplier, or donation type, the user must inactivate the unit and reenter it correctly</w:t>
      </w:r>
      <w:r w:rsidR="002A21AE">
        <w:t>.</w:t>
      </w:r>
    </w:p>
    <w:p w14:paraId="6DDD30B2" w14:textId="77777777" w:rsidR="002A21AE" w:rsidRDefault="00DD3B4E">
      <w:pPr>
        <w:pStyle w:val="ListBullet"/>
      </w:pPr>
      <w:r>
        <w:t xml:space="preserve">When </w:t>
      </w:r>
      <w:r w:rsidR="002A21AE">
        <w:t xml:space="preserve">unit does not have a patient association, editable fields are available to an </w:t>
      </w:r>
      <w:r w:rsidR="008C4A72" w:rsidRPr="00EC7489">
        <w:rPr>
          <w:rFonts w:ascii="Wingdings 3" w:hAnsi="Wingdings 3" w:cs="Wingdings"/>
        </w:rPr>
        <w:t></w:t>
      </w:r>
      <w:r w:rsidR="008C4A72" w:rsidRPr="00EC7489">
        <w:rPr>
          <w:rFonts w:ascii="Wingdings 3" w:hAnsi="Wingdings 3" w:cs="Wingdings"/>
        </w:rPr>
        <w:t></w:t>
      </w:r>
      <w:r w:rsidR="008C4A72" w:rsidRPr="00AA7C58">
        <w:t xml:space="preserve"> </w:t>
      </w:r>
      <w:r w:rsidR="002A21AE">
        <w:t>Enhanced Technologist.</w:t>
      </w:r>
    </w:p>
    <w:p w14:paraId="59A1FF0B" w14:textId="77777777" w:rsidR="00FE4FDB" w:rsidRDefault="00C45B80">
      <w:pPr>
        <w:pStyle w:val="ListBullet"/>
      </w:pPr>
      <w:r>
        <w:t>Only units in a Limited or A</w:t>
      </w:r>
      <w:r w:rsidR="00FE4FDB">
        <w:t>vailable status may be edited.</w:t>
      </w:r>
    </w:p>
    <w:p w14:paraId="36C235DE" w14:textId="77777777" w:rsidR="00FE4FDB" w:rsidRDefault="00FE4FDB">
      <w:pPr>
        <w:pStyle w:val="ListBullet"/>
      </w:pPr>
      <w:r>
        <w:t>Inactivation of the unit record is required when the user needs to change the unit’s information recorded at login: unit identifica</w:t>
      </w:r>
      <w:r w:rsidR="00C45B80">
        <w:t>tion number, blood type</w:t>
      </w:r>
      <w:r>
        <w:t>, product code, unit expiration date, unit don</w:t>
      </w:r>
      <w:r w:rsidR="00C45B80">
        <w:t>ation type, VA division</w:t>
      </w:r>
      <w:r>
        <w:t xml:space="preserve"> or supplier.</w:t>
      </w:r>
    </w:p>
    <w:p w14:paraId="53995C90" w14:textId="77777777" w:rsidR="002A21AE" w:rsidRDefault="002A21AE">
      <w:pPr>
        <w:pStyle w:val="Heading4"/>
      </w:pPr>
      <w:r>
        <w:t>Additional Information</w:t>
      </w:r>
      <w:r>
        <w:rPr>
          <w:rFonts w:ascii="Times New Roman" w:hAnsi="Times New Roman"/>
          <w:i/>
          <w:sz w:val="24"/>
        </w:rPr>
        <w:t xml:space="preserve"> </w:t>
      </w:r>
    </w:p>
    <w:p w14:paraId="3D80F520" w14:textId="77777777" w:rsidR="002A21AE" w:rsidRDefault="00C45B80">
      <w:pPr>
        <w:pStyle w:val="ListBullet"/>
      </w:pPr>
      <w:r>
        <w:t>Units must be in “Limited” or  “A</w:t>
      </w:r>
      <w:r w:rsidR="002A21AE">
        <w:t>vailable” status to have information inactivated regardless of historic patient associations.</w:t>
      </w:r>
    </w:p>
    <w:p w14:paraId="1748AD49" w14:textId="77777777" w:rsidR="002A21AE" w:rsidRDefault="002A21AE">
      <w:pPr>
        <w:pStyle w:val="ListBullet"/>
      </w:pPr>
      <w:r>
        <w:t>Crossmatches are considered a patient test and are inactivated in Invalidate Test Results.</w:t>
      </w:r>
    </w:p>
    <w:p w14:paraId="5A2C8922" w14:textId="77777777" w:rsidR="002A21AE" w:rsidRDefault="002A21AE">
      <w:pPr>
        <w:pStyle w:val="Heading4"/>
        <w:rPr>
          <w:b w:val="0"/>
        </w:rPr>
      </w:pPr>
      <w:r>
        <w:t>User Roles with Access to This Option</w:t>
      </w:r>
      <w:r>
        <w:rPr>
          <w:b w:val="0"/>
        </w:rPr>
        <w:t xml:space="preserve"> </w:t>
      </w:r>
    </w:p>
    <w:p w14:paraId="7995BF5B" w14:textId="77777777" w:rsidR="00DF36B1" w:rsidRDefault="00DF36B1" w:rsidP="00DF36B1">
      <w:pPr>
        <w:pStyle w:val="Roles"/>
        <w:rPr>
          <w:snapToGrid w:val="0"/>
        </w:rPr>
      </w:pPr>
      <w:r w:rsidRPr="00EC7489">
        <w:rPr>
          <w:rFonts w:ascii="Wingdings 3" w:hAnsi="Wingdings 3" w:cs="Wingdings"/>
        </w:rPr>
        <w:t></w:t>
      </w:r>
      <w:r w:rsidRPr="00EC7489">
        <w:rPr>
          <w:rFonts w:ascii="Wingdings 3" w:hAnsi="Wingdings 3" w:cs="Wingdings"/>
        </w:rPr>
        <w:t></w:t>
      </w:r>
      <w:r>
        <w:t xml:space="preserve"> Enhanced Technologist</w:t>
      </w:r>
      <w:r w:rsidR="002329E3">
        <w:t xml:space="preserve"> </w:t>
      </w:r>
      <w:r w:rsidR="002329E3" w:rsidRPr="002329E3">
        <w:rPr>
          <w:vanish/>
        </w:rPr>
        <w:t>DR 3,012</w:t>
      </w:r>
    </w:p>
    <w:p w14:paraId="00DAF661" w14:textId="77777777" w:rsidR="002A21AE" w:rsidRDefault="002A21AE">
      <w:pPr>
        <w:pStyle w:val="Heading4"/>
      </w:pPr>
      <w:r>
        <w:t>Edit Unit Information</w:t>
      </w:r>
    </w:p>
    <w:p w14:paraId="6B2AA580" w14:textId="77777777" w:rsidR="002A21AE" w:rsidRDefault="002A21AE" w:rsidP="00FA7E65">
      <w:pPr>
        <w:pStyle w:val="BodyText"/>
      </w:pPr>
      <w:r>
        <w:t>The user records additional unit information normally recorded during incoming shipment (login), i.e., CMV negative, sickle cell negative, and antigen typing provided by the supplier.</w:t>
      </w:r>
    </w:p>
    <w:p w14:paraId="5E1C1D87" w14:textId="77777777" w:rsidR="00DA53D3" w:rsidRPr="00DA53D3" w:rsidRDefault="00DA53D3" w:rsidP="00A87DA2">
      <w:pPr>
        <w:pStyle w:val="Caution"/>
      </w:pPr>
      <w:r>
        <w:t xml:space="preserve">To inactivate a unit, </w:t>
      </w:r>
      <w:r w:rsidR="00A87DA2">
        <w:t xml:space="preserve">remove the final status, return the unit from issue, and </w:t>
      </w:r>
      <w:r>
        <w:t>r</w:t>
      </w:r>
      <w:r w:rsidRPr="00DA53D3">
        <w:t xml:space="preserve">elease </w:t>
      </w:r>
      <w:r>
        <w:t>i</w:t>
      </w:r>
      <w:r w:rsidRPr="00DA53D3">
        <w:t xml:space="preserve">t from </w:t>
      </w:r>
      <w:r w:rsidR="00A87DA2">
        <w:t>previous assignment</w:t>
      </w:r>
      <w:r w:rsidRPr="00DA53D3">
        <w:t>.</w:t>
      </w:r>
      <w:r w:rsidR="00A87DA2">
        <w:t xml:space="preserve"> No changes may be made to units in a final status.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D91178D" w14:textId="77777777">
        <w:trPr>
          <w:tblHeader/>
        </w:trPr>
        <w:tc>
          <w:tcPr>
            <w:tcW w:w="3240" w:type="dxa"/>
            <w:shd w:val="pct30" w:color="auto" w:fill="FFFFFF"/>
            <w:vAlign w:val="bottom"/>
          </w:tcPr>
          <w:p w14:paraId="77A5BD59" w14:textId="77777777" w:rsidR="002A21AE" w:rsidRDefault="002A21AE">
            <w:pPr>
              <w:pStyle w:val="TableText"/>
              <w:rPr>
                <w:b/>
              </w:rPr>
            </w:pPr>
            <w:r>
              <w:rPr>
                <w:b/>
              </w:rPr>
              <w:t>User Action</w:t>
            </w:r>
          </w:p>
        </w:tc>
        <w:tc>
          <w:tcPr>
            <w:tcW w:w="6120" w:type="dxa"/>
            <w:shd w:val="pct30" w:color="auto" w:fill="FFFFFF"/>
            <w:vAlign w:val="bottom"/>
          </w:tcPr>
          <w:p w14:paraId="2C5E0275" w14:textId="77777777" w:rsidR="002A21AE" w:rsidRDefault="002A21AE">
            <w:pPr>
              <w:pStyle w:val="TableText"/>
              <w:rPr>
                <w:b/>
              </w:rPr>
            </w:pPr>
            <w:r>
              <w:rPr>
                <w:b/>
              </w:rPr>
              <w:t>VBECS</w:t>
            </w:r>
          </w:p>
        </w:tc>
      </w:tr>
      <w:tr w:rsidR="002A21AE" w14:paraId="1A8E42F5" w14:textId="77777777">
        <w:tc>
          <w:tcPr>
            <w:tcW w:w="3240" w:type="dxa"/>
          </w:tcPr>
          <w:p w14:paraId="324135EB" w14:textId="77777777" w:rsidR="002A21AE" w:rsidRDefault="002A21AE">
            <w:pPr>
              <w:pStyle w:val="TableTextNumbers"/>
            </w:pPr>
            <w:r>
              <w:t xml:space="preserve">Select </w:t>
            </w:r>
            <w:r>
              <w:rPr>
                <w:b/>
              </w:rPr>
              <w:t>Blood Units</w:t>
            </w:r>
            <w:r>
              <w:t xml:space="preserve"> from the main menu. </w:t>
            </w:r>
          </w:p>
          <w:p w14:paraId="0ABE4CF8" w14:textId="77777777" w:rsidR="002A21AE" w:rsidRDefault="002A21AE">
            <w:pPr>
              <w:pStyle w:val="TableTextNumbersContinued"/>
            </w:pPr>
          </w:p>
          <w:p w14:paraId="419B7C58" w14:textId="77777777" w:rsidR="002A21AE" w:rsidRDefault="002A21AE">
            <w:pPr>
              <w:pStyle w:val="TableTextNumbersContinued"/>
            </w:pPr>
            <w:r>
              <w:t xml:space="preserve">Select </w:t>
            </w:r>
            <w:r>
              <w:rPr>
                <w:b/>
              </w:rPr>
              <w:t>Edit Unit Information</w:t>
            </w:r>
            <w:r>
              <w:t>.</w:t>
            </w:r>
          </w:p>
        </w:tc>
        <w:tc>
          <w:tcPr>
            <w:tcW w:w="6120" w:type="dxa"/>
          </w:tcPr>
          <w:p w14:paraId="04FE02EE" w14:textId="77777777" w:rsidR="002A21AE" w:rsidRDefault="002A21AE">
            <w:pPr>
              <w:pStyle w:val="TableTextBullet"/>
            </w:pPr>
            <w:r>
              <w:t>Displays options for processing blood units.</w:t>
            </w:r>
          </w:p>
          <w:p w14:paraId="1FC31877" w14:textId="77777777" w:rsidR="002A21AE" w:rsidRDefault="002A21AE">
            <w:pPr>
              <w:pStyle w:val="TableTextBullet"/>
            </w:pPr>
            <w:r>
              <w:t>Displays options for selecting and editing a unit.</w:t>
            </w:r>
          </w:p>
        </w:tc>
      </w:tr>
      <w:tr w:rsidR="002A21AE" w14:paraId="4AD2BF5E" w14:textId="77777777">
        <w:tc>
          <w:tcPr>
            <w:tcW w:w="3240" w:type="dxa"/>
          </w:tcPr>
          <w:p w14:paraId="5EAB6D8B" w14:textId="77777777" w:rsidR="002A21AE" w:rsidRDefault="002A21AE">
            <w:pPr>
              <w:pStyle w:val="TableTextNumbers"/>
            </w:pPr>
            <w:r>
              <w:lastRenderedPageBreak/>
              <w:t>Scan or enter a unit ID and product code. May cancel and select a different unit.</w:t>
            </w:r>
          </w:p>
          <w:p w14:paraId="719664B4" w14:textId="77777777" w:rsidR="00B100F7" w:rsidRDefault="00B100F7" w:rsidP="00B100F7">
            <w:pPr>
              <w:pStyle w:val="TableTextNumbersContinued"/>
            </w:pPr>
          </w:p>
          <w:p w14:paraId="31A24D38" w14:textId="77777777" w:rsidR="00B100F7" w:rsidRDefault="00B100F7" w:rsidP="00B100F7">
            <w:pPr>
              <w:pStyle w:val="TableTextNumbersContinued"/>
            </w:pPr>
            <w:r>
              <w:t xml:space="preserve">When the unit entered is in a final status, click </w:t>
            </w:r>
            <w:r w:rsidRPr="005B5E25">
              <w:rPr>
                <w:b/>
              </w:rPr>
              <w:t>Clear</w:t>
            </w:r>
            <w:r>
              <w:t xml:space="preserve"> to clear the </w:t>
            </w:r>
            <w:r w:rsidR="005B5E25">
              <w:t xml:space="preserve">Unit ID and Product </w:t>
            </w:r>
            <w:r>
              <w:t>field</w:t>
            </w:r>
            <w:r w:rsidR="005B5E25">
              <w:t>s</w:t>
            </w:r>
            <w:r>
              <w:t xml:space="preserve"> and enter </w:t>
            </w:r>
            <w:r w:rsidR="005B5E25">
              <w:t>another unit.</w:t>
            </w:r>
          </w:p>
        </w:tc>
        <w:tc>
          <w:tcPr>
            <w:tcW w:w="6120" w:type="dxa"/>
          </w:tcPr>
          <w:p w14:paraId="3A7932B0" w14:textId="77777777" w:rsidR="002A21AE" w:rsidRDefault="002A21AE">
            <w:pPr>
              <w:pStyle w:val="TableTextBullet"/>
            </w:pPr>
            <w:r>
              <w:t>Allows the user to scan or enter a unit ID and product code or select a unit.</w:t>
            </w:r>
          </w:p>
          <w:p w14:paraId="569A5F81" w14:textId="77777777" w:rsidR="002A21AE" w:rsidRDefault="002A21AE">
            <w:pPr>
              <w:pStyle w:val="TableTextBullet"/>
            </w:pPr>
            <w:r>
              <w:t>Displays the editable unit information based on the user‘s security level.</w:t>
            </w:r>
          </w:p>
          <w:p w14:paraId="7B4EC255" w14:textId="77777777" w:rsidR="002A21AE" w:rsidRDefault="002A21AE">
            <w:pPr>
              <w:pStyle w:val="TableText"/>
            </w:pPr>
          </w:p>
          <w:p w14:paraId="17823B5B" w14:textId="77777777" w:rsidR="002A21AE" w:rsidRDefault="00057948">
            <w:pPr>
              <w:pStyle w:val="TableText"/>
              <w:rPr>
                <w:b/>
                <w:bCs/>
                <w:szCs w:val="18"/>
              </w:rPr>
            </w:pPr>
            <w:r>
              <w:rPr>
                <w:b/>
                <w:bCs/>
                <w:noProof/>
              </w:rPr>
              <mc:AlternateContent>
                <mc:Choice Requires="wps">
                  <w:drawing>
                    <wp:anchor distT="0" distB="0" distL="114300" distR="114300" simplePos="0" relativeHeight="251607552" behindDoc="0" locked="0" layoutInCell="1" allowOverlap="1" wp14:anchorId="68063B6A" wp14:editId="64BEDB65">
                      <wp:simplePos x="0" y="0"/>
                      <wp:positionH relativeFrom="column">
                        <wp:posOffset>457200</wp:posOffset>
                      </wp:positionH>
                      <wp:positionV relativeFrom="paragraph">
                        <wp:posOffset>65405</wp:posOffset>
                      </wp:positionV>
                      <wp:extent cx="3200400" cy="0"/>
                      <wp:effectExtent l="9525" t="17780" r="9525" b="10795"/>
                      <wp:wrapNone/>
                      <wp:docPr id="464" name="Line 891" descr="P4862C6T5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B3341" id="Line 891" o:spid="_x0000_s1026" alt="&quot;&quot;" style="position:absolute;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SIOPq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7A2BCAED" w14:textId="77777777" w:rsidR="002A21AE" w:rsidRDefault="002A21AE">
            <w:pPr>
              <w:pStyle w:val="NotesText"/>
            </w:pPr>
          </w:p>
          <w:p w14:paraId="7D14E120" w14:textId="77777777" w:rsidR="002A21AE" w:rsidRDefault="002A21AE">
            <w:pPr>
              <w:pStyle w:val="NotesText"/>
              <w:rPr>
                <w:rFonts w:cs="Arial"/>
              </w:rPr>
            </w:pPr>
            <w:r>
              <w:t>VBECS does not allow selection of a unit when</w:t>
            </w:r>
            <w:r>
              <w:rPr>
                <w:rFonts w:cs="Arial"/>
              </w:rPr>
              <w:t xml:space="preserve"> </w:t>
            </w:r>
            <w:r>
              <w:t>it:</w:t>
            </w:r>
          </w:p>
          <w:p w14:paraId="250D92B8" w14:textId="77777777" w:rsidR="002A21AE" w:rsidRDefault="002A21AE">
            <w:pPr>
              <w:pStyle w:val="NotesTextBullet"/>
            </w:pPr>
            <w:r>
              <w:rPr>
                <w:rFonts w:cs="Arial"/>
                <w:vanish/>
              </w:rPr>
              <w:t xml:space="preserve">BR_70.03 </w:t>
            </w:r>
            <w:r>
              <w:t>Is currently assigned to a patient.</w:t>
            </w:r>
          </w:p>
          <w:p w14:paraId="14C26DB2" w14:textId="77777777" w:rsidR="002A21AE" w:rsidRDefault="002A21AE">
            <w:pPr>
              <w:pStyle w:val="NotesTextBullet"/>
            </w:pPr>
            <w:r>
              <w:rPr>
                <w:rFonts w:cs="Arial"/>
                <w:vanish/>
              </w:rPr>
              <w:t xml:space="preserve">BR_70.06 </w:t>
            </w:r>
            <w:r>
              <w:t>Has a final unit status.</w:t>
            </w:r>
          </w:p>
          <w:p w14:paraId="01F6F8C5" w14:textId="77777777" w:rsidR="002A21AE" w:rsidRDefault="002A21AE">
            <w:pPr>
              <w:pStyle w:val="NotesTextBullet"/>
              <w:rPr>
                <w:rFonts w:cs="Arial"/>
              </w:rPr>
            </w:pPr>
            <w:r>
              <w:rPr>
                <w:rFonts w:cs="Arial"/>
                <w:vanish/>
              </w:rPr>
              <w:t xml:space="preserve">BR_70.07 </w:t>
            </w:r>
            <w:r>
              <w:t>Has a previous patient assignment record and the user is a Lead</w:t>
            </w:r>
            <w:r w:rsidR="00DF36B1">
              <w:t xml:space="preserve"> or </w:t>
            </w:r>
            <w:r w:rsidR="00BF0467">
              <w:t>Enhanced</w:t>
            </w:r>
            <w:r>
              <w:t xml:space="preserve"> Technologist.</w:t>
            </w:r>
            <w:r w:rsidR="002329E3">
              <w:t xml:space="preserve"> </w:t>
            </w:r>
            <w:r w:rsidR="002329E3" w:rsidRPr="002329E3">
              <w:rPr>
                <w:vanish/>
              </w:rPr>
              <w:t>DR 3,012</w:t>
            </w:r>
          </w:p>
          <w:p w14:paraId="7AB24C65" w14:textId="77777777" w:rsidR="002A21AE" w:rsidRDefault="002A21AE">
            <w:pPr>
              <w:pStyle w:val="NotesText"/>
            </w:pPr>
          </w:p>
          <w:p w14:paraId="2529ACB1" w14:textId="77777777" w:rsidR="00894624" w:rsidRPr="005104F5" w:rsidRDefault="002A21AE" w:rsidP="005104F5">
            <w:pPr>
              <w:pStyle w:val="NotesText"/>
            </w:pPr>
            <w:r>
              <w:t>There is no override. VBECS clears the screen and allows the user to select a new unit.</w:t>
            </w:r>
          </w:p>
        </w:tc>
      </w:tr>
      <w:tr w:rsidR="002A21AE" w14:paraId="76F38871" w14:textId="77777777">
        <w:tc>
          <w:tcPr>
            <w:tcW w:w="3240" w:type="dxa"/>
          </w:tcPr>
          <w:p w14:paraId="1204546A" w14:textId="3F8ABEF0" w:rsidR="00152B83" w:rsidRDefault="002A21AE">
            <w:pPr>
              <w:pStyle w:val="TableTextNumbers"/>
            </w:pPr>
            <w:r>
              <w:t>Review and enter or edit the data</w:t>
            </w:r>
            <w:r w:rsidR="000A3D88">
              <w:t xml:space="preserve"> (</w:t>
            </w:r>
            <w:r w:rsidR="000A3D88">
              <w:fldChar w:fldCharType="begin" w:fldLock="1"/>
            </w:r>
            <w:r w:rsidR="000A3D88">
              <w:instrText xml:space="preserve"> REF _Ref126651737 \h </w:instrText>
            </w:r>
            <w:r w:rsidR="000A3D88">
              <w:fldChar w:fldCharType="separate"/>
            </w:r>
            <w:r w:rsidR="00AB304C">
              <w:t xml:space="preserve">Figure </w:t>
            </w:r>
            <w:r w:rsidR="00AB304C">
              <w:rPr>
                <w:noProof/>
              </w:rPr>
              <w:t>95</w:t>
            </w:r>
            <w:r w:rsidR="000A3D88">
              <w:fldChar w:fldCharType="end"/>
            </w:r>
            <w:r w:rsidR="000A3D88">
              <w:t>)</w:t>
            </w:r>
            <w:r>
              <w:t xml:space="preserve">, </w:t>
            </w:r>
          </w:p>
          <w:p w14:paraId="4B272320" w14:textId="77777777" w:rsidR="00152B83" w:rsidRDefault="00152B83" w:rsidP="00152B83">
            <w:pPr>
              <w:pStyle w:val="TableTextNumbersContinued"/>
            </w:pPr>
          </w:p>
          <w:p w14:paraId="377B5A71" w14:textId="77777777" w:rsidR="002A21AE" w:rsidRDefault="002A21AE" w:rsidP="00152B83">
            <w:pPr>
              <w:pStyle w:val="TableTextNumbersContinued"/>
            </w:pPr>
            <w:r>
              <w:t>or</w:t>
            </w:r>
          </w:p>
          <w:p w14:paraId="12497666" w14:textId="77777777" w:rsidR="002A21AE" w:rsidRDefault="002A21AE" w:rsidP="00152B83">
            <w:pPr>
              <w:pStyle w:val="TableTextNumbersContinued"/>
            </w:pPr>
          </w:p>
          <w:p w14:paraId="274FD643" w14:textId="77777777" w:rsidR="002A21AE" w:rsidRDefault="009B557A">
            <w:pPr>
              <w:pStyle w:val="TableTextNumbersContinued"/>
            </w:pPr>
            <w:r>
              <w:t>Go to Inactivate</w:t>
            </w:r>
            <w:r w:rsidR="002A21AE">
              <w:t xml:space="preserve"> a Unit.</w:t>
            </w:r>
          </w:p>
        </w:tc>
        <w:tc>
          <w:tcPr>
            <w:tcW w:w="6120" w:type="dxa"/>
          </w:tcPr>
          <w:p w14:paraId="3CDB8C73" w14:textId="77777777" w:rsidR="002A21AE" w:rsidRDefault="002A21AE">
            <w:pPr>
              <w:pStyle w:val="TableTextBullet"/>
            </w:pPr>
            <w:r>
              <w:t xml:space="preserve">Displays tabs to select and edit: </w:t>
            </w:r>
          </w:p>
          <w:p w14:paraId="4DA7F5E3" w14:textId="77777777" w:rsidR="002A21AE" w:rsidRDefault="002A21AE">
            <w:pPr>
              <w:pStyle w:val="TableTextBullet1"/>
            </w:pPr>
            <w:r>
              <w:t xml:space="preserve">Unit information </w:t>
            </w:r>
          </w:p>
          <w:p w14:paraId="3F90E4B3" w14:textId="77777777" w:rsidR="002A21AE" w:rsidRDefault="002A21AE">
            <w:pPr>
              <w:pStyle w:val="TableTextBullet1"/>
            </w:pPr>
            <w:r>
              <w:t xml:space="preserve">Unit ABO/Rh confirmation </w:t>
            </w:r>
          </w:p>
          <w:p w14:paraId="34A27BB3" w14:textId="77777777" w:rsidR="002A21AE" w:rsidRDefault="002A21AE">
            <w:pPr>
              <w:pStyle w:val="TableTextBullet1"/>
            </w:pPr>
            <w:r>
              <w:t xml:space="preserve">Antigen typing </w:t>
            </w:r>
          </w:p>
          <w:p w14:paraId="58703F3E" w14:textId="77777777" w:rsidR="002A21AE" w:rsidRDefault="002A21AE">
            <w:pPr>
              <w:pStyle w:val="TableTextBullet"/>
            </w:pPr>
            <w:r>
              <w:t xml:space="preserve">Displays fields to add or inactivate unit information and an option to inactivate a unit based on the condition of the unit and the user’s security </w:t>
            </w:r>
            <w:r w:rsidR="00082F78">
              <w:t>level</w:t>
            </w:r>
            <w:r>
              <w:t>.</w:t>
            </w:r>
          </w:p>
          <w:p w14:paraId="653716B9" w14:textId="77777777" w:rsidR="002A21AE" w:rsidRDefault="002A21AE">
            <w:pPr>
              <w:pStyle w:val="TableText"/>
            </w:pPr>
          </w:p>
          <w:p w14:paraId="0D6F91F3" w14:textId="77777777" w:rsidR="002A21AE" w:rsidRDefault="00057948">
            <w:pPr>
              <w:pStyle w:val="TableText"/>
              <w:rPr>
                <w:b/>
                <w:bCs/>
                <w:szCs w:val="18"/>
              </w:rPr>
            </w:pPr>
            <w:r>
              <w:rPr>
                <w:b/>
                <w:bCs/>
                <w:noProof/>
              </w:rPr>
              <mc:AlternateContent>
                <mc:Choice Requires="wps">
                  <w:drawing>
                    <wp:anchor distT="0" distB="0" distL="114300" distR="114300" simplePos="0" relativeHeight="251596288" behindDoc="0" locked="0" layoutInCell="1" allowOverlap="1" wp14:anchorId="0824561F" wp14:editId="08F3A682">
                      <wp:simplePos x="0" y="0"/>
                      <wp:positionH relativeFrom="column">
                        <wp:posOffset>457200</wp:posOffset>
                      </wp:positionH>
                      <wp:positionV relativeFrom="paragraph">
                        <wp:posOffset>65405</wp:posOffset>
                      </wp:positionV>
                      <wp:extent cx="3200400" cy="0"/>
                      <wp:effectExtent l="9525" t="17780" r="9525" b="10795"/>
                      <wp:wrapNone/>
                      <wp:docPr id="463" name="Line 888" descr="P4882C8T5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9B2CA" id="Line 888" o:spid="_x0000_s1026" alt="&quot;&quot;" style="position:absolute;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MuDOc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0C3EC97C" w14:textId="77777777" w:rsidR="002A21AE" w:rsidRDefault="002A21AE">
            <w:pPr>
              <w:pStyle w:val="NotesText"/>
            </w:pPr>
          </w:p>
          <w:p w14:paraId="5FC441FB" w14:textId="54984BD1" w:rsidR="002A21AE" w:rsidRDefault="002A21AE">
            <w:pPr>
              <w:pStyle w:val="NotesText"/>
            </w:pPr>
            <w:r>
              <w:rPr>
                <w:rFonts w:cs="Arial"/>
                <w:vanish/>
              </w:rPr>
              <w:t xml:space="preserve">BR_70.20 </w:t>
            </w:r>
            <w:r>
              <w:t>The user may add data to a field with no previous entry.</w:t>
            </w:r>
            <w:r w:rsidR="00101EEF">
              <w:t xml:space="preserve"> </w:t>
            </w:r>
            <w:r w:rsidR="00101EEF" w:rsidRPr="00205737">
              <w:t xml:space="preserve">When the blood product code within the ICCBBA component classes is RED BLOOD CELLS, WHOLE BLOOD, the </w:t>
            </w:r>
            <w:r w:rsidR="00101EEF" w:rsidRPr="00205737">
              <w:rPr>
                <w:b/>
                <w:bCs/>
              </w:rPr>
              <w:t>Technologist</w:t>
            </w:r>
            <w:r w:rsidR="00101EEF" w:rsidRPr="00205737">
              <w:rPr>
                <w:bCs/>
              </w:rPr>
              <w:t xml:space="preserve"> and above</w:t>
            </w:r>
            <w:r w:rsidR="00101EEF">
              <w:t xml:space="preserve"> may add unit information:</w:t>
            </w:r>
            <w:r w:rsidR="00101EEF" w:rsidRPr="00205737">
              <w:t xml:space="preserve"> sickl</w:t>
            </w:r>
            <w:r w:rsidR="00A92813">
              <w:t>e cell negative, CMV negative, red blood c</w:t>
            </w:r>
            <w:r w:rsidR="00C233B7">
              <w:t>ell contamination of = &gt;</w:t>
            </w:r>
            <w:r w:rsidR="00101EEF" w:rsidRPr="00205737">
              <w:t xml:space="preserve"> 2 </w:t>
            </w:r>
            <w:r w:rsidR="003D3067" w:rsidRPr="00205737">
              <w:t>mL, and</w:t>
            </w:r>
            <w:r w:rsidR="00101EEF" w:rsidRPr="00205737">
              <w:t xml:space="preserve"> antigen typing to a unit when the unit has no patient assignment</w:t>
            </w:r>
            <w:r w:rsidR="00101EEF">
              <w:t>s.</w:t>
            </w:r>
          </w:p>
          <w:p w14:paraId="07243346" w14:textId="77777777" w:rsidR="002A21AE" w:rsidRDefault="002A21AE">
            <w:pPr>
              <w:pStyle w:val="NotesText"/>
            </w:pPr>
          </w:p>
          <w:p w14:paraId="12CFA5ED" w14:textId="77777777" w:rsidR="00EB5D2F" w:rsidRPr="00EB5D2F" w:rsidRDefault="00EB5D2F">
            <w:pPr>
              <w:pStyle w:val="NotesText"/>
              <w:rPr>
                <w:rFonts w:cs="Arial"/>
              </w:rPr>
            </w:pPr>
            <w:r w:rsidRPr="00EB5D2F">
              <w:rPr>
                <w:rFonts w:cs="Arial"/>
              </w:rPr>
              <w:t>Users may edit unit volume, add special testing and RBC antigens, mark a unit biohazardous, and change the patient restriction.</w:t>
            </w:r>
            <w:r>
              <w:rPr>
                <w:rFonts w:cs="Arial"/>
                <w:vanish/>
              </w:rPr>
              <w:t xml:space="preserve"> Task 1320</w:t>
            </w:r>
          </w:p>
          <w:p w14:paraId="431D2FFE" w14:textId="77777777" w:rsidR="00EB5D2F" w:rsidRPr="00EB5D2F" w:rsidRDefault="00EB5D2F">
            <w:pPr>
              <w:pStyle w:val="NotesText"/>
              <w:rPr>
                <w:rFonts w:cs="Arial"/>
              </w:rPr>
            </w:pPr>
          </w:p>
          <w:p w14:paraId="51C6F445" w14:textId="77777777" w:rsidR="002A21AE" w:rsidRDefault="002A21AE">
            <w:pPr>
              <w:pStyle w:val="NotesText"/>
            </w:pPr>
            <w:r>
              <w:rPr>
                <w:rFonts w:cs="Arial"/>
                <w:vanish/>
              </w:rPr>
              <w:t xml:space="preserve">BR_1.53 </w:t>
            </w:r>
            <w:r w:rsidR="00C153F2">
              <w:t>When a blood produ</w:t>
            </w:r>
            <w:r w:rsidR="00A92813">
              <w:t>ct code in the RED BLOOD CELLS or WHOLE BLOOD</w:t>
            </w:r>
            <w:r w:rsidR="00C153F2">
              <w:t xml:space="preserve"> component class is entered, VBECS enables data entry of sickle cell negative and antigen typing. The CMV negative data entry option is always enabled.</w:t>
            </w:r>
          </w:p>
          <w:p w14:paraId="5895E277" w14:textId="77777777" w:rsidR="002A21AE" w:rsidRDefault="002A21AE">
            <w:pPr>
              <w:pStyle w:val="NotesText"/>
            </w:pPr>
          </w:p>
          <w:p w14:paraId="091DE28C" w14:textId="48F8037C" w:rsidR="002A21AE" w:rsidRDefault="002A21AE">
            <w:pPr>
              <w:pStyle w:val="NotesText"/>
            </w:pPr>
            <w:r>
              <w:rPr>
                <w:rFonts w:cs="Arial"/>
                <w:vanish/>
              </w:rPr>
              <w:t xml:space="preserve">BR_1.45 </w:t>
            </w:r>
            <w:r>
              <w:t xml:space="preserve">An antigen type may be positive or negative for any antigen listed as a VBECS corresponding antigen in </w:t>
            </w:r>
            <w:r w:rsidR="00543DAF">
              <w:fldChar w:fldCharType="begin" w:fldLock="1"/>
            </w:r>
            <w:r w:rsidR="00543DAF">
              <w:instrText xml:space="preserve"> REF _Ref170004931 \h </w:instrText>
            </w:r>
            <w:r w:rsidR="00543DAF">
              <w:fldChar w:fldCharType="separate"/>
            </w:r>
            <w:r w:rsidR="00AB304C">
              <w:t xml:space="preserve">Appendix </w:t>
            </w:r>
            <w:r w:rsidR="00AB304C">
              <w:rPr>
                <w:noProof/>
              </w:rPr>
              <w:t>B</w:t>
            </w:r>
            <w:r w:rsidR="00543DAF">
              <w:fldChar w:fldCharType="end"/>
            </w:r>
            <w:r>
              <w:t xml:space="preserve">: </w:t>
            </w:r>
            <w:r w:rsidR="00771DBD">
              <w:fldChar w:fldCharType="begin" w:fldLock="1"/>
            </w:r>
            <w:r w:rsidR="00771DBD">
              <w:instrText xml:space="preserve"> REF _Ref126484449 \h </w:instrText>
            </w:r>
            <w:r w:rsidR="00771DBD">
              <w:fldChar w:fldCharType="separate"/>
            </w:r>
            <w:r w:rsidR="00AB304C">
              <w:t xml:space="preserve">Table </w:t>
            </w:r>
            <w:r w:rsidR="00AB304C">
              <w:rPr>
                <w:noProof/>
              </w:rPr>
              <w:t>14</w:t>
            </w:r>
            <w:r w:rsidR="00AB304C">
              <w:t xml:space="preserve">: </w:t>
            </w:r>
            <w:r w:rsidR="00AB304C">
              <w:rPr>
                <w:vanish/>
              </w:rPr>
              <w:t xml:space="preserve">TT_23.01A </w:t>
            </w:r>
            <w:r w:rsidR="00AB304C">
              <w:t>Antibody and Antigen Table: Irregular Antibodies</w:t>
            </w:r>
            <w:r w:rsidR="00771DBD">
              <w:fldChar w:fldCharType="end"/>
            </w:r>
            <w:r>
              <w:t>. An antigen may not be positive and negative for the same unit.</w:t>
            </w:r>
          </w:p>
          <w:p w14:paraId="5A88DD3D" w14:textId="77777777" w:rsidR="002A21AE" w:rsidRDefault="002A21AE">
            <w:pPr>
              <w:pStyle w:val="NotesText"/>
              <w:rPr>
                <w:rFonts w:cs="Arial"/>
              </w:rPr>
            </w:pPr>
          </w:p>
          <w:p w14:paraId="4F9C58D5" w14:textId="77777777" w:rsidR="002A21AE" w:rsidRDefault="002A21AE">
            <w:pPr>
              <w:pStyle w:val="NotesText"/>
              <w:rPr>
                <w:rFonts w:cs="Arial"/>
              </w:rPr>
            </w:pPr>
            <w:r>
              <w:rPr>
                <w:rFonts w:cs="Arial"/>
                <w:vanish/>
              </w:rPr>
              <w:t xml:space="preserve">BR_70.01 </w:t>
            </w:r>
            <w:r>
              <w:t>Only unit antigen type results originally entered through Incoming Shipment are avai</w:t>
            </w:r>
            <w:r w:rsidR="00F05C1D">
              <w:t>lable for invalidation. An Enhanced Technologist</w:t>
            </w:r>
            <w:r>
              <w:t xml:space="preserve"> must invalidate unit antigen type results originally entered through Unit Antigen Typing by selecting Inactivate Unit Testing.</w:t>
            </w:r>
          </w:p>
          <w:p w14:paraId="3C08BDE5" w14:textId="77777777" w:rsidR="002A21AE" w:rsidRDefault="002A21AE">
            <w:pPr>
              <w:pStyle w:val="NotesText"/>
            </w:pPr>
          </w:p>
          <w:p w14:paraId="3669BDDA" w14:textId="77777777" w:rsidR="002A21AE" w:rsidRDefault="002A21AE">
            <w:pPr>
              <w:pStyle w:val="NotesText"/>
              <w:rPr>
                <w:rFonts w:cs="Arial"/>
              </w:rPr>
            </w:pPr>
            <w:r>
              <w:rPr>
                <w:rFonts w:cs="Arial"/>
                <w:vanish/>
              </w:rPr>
              <w:t xml:space="preserve">BR_70.14 </w:t>
            </w:r>
            <w:r>
              <w:t xml:space="preserve">VBECS restricts the editing of disease marker testing to autologous units. </w:t>
            </w:r>
          </w:p>
          <w:p w14:paraId="11A52EDD" w14:textId="77777777" w:rsidR="002A21AE" w:rsidRDefault="002A21AE">
            <w:pPr>
              <w:pStyle w:val="NotesText"/>
              <w:rPr>
                <w:rFonts w:cs="Arial"/>
              </w:rPr>
            </w:pPr>
          </w:p>
          <w:p w14:paraId="09037F86" w14:textId="3FF5BBDC" w:rsidR="002A21AE" w:rsidRDefault="002A21AE">
            <w:pPr>
              <w:pStyle w:val="NotesText"/>
            </w:pPr>
            <w:r>
              <w:rPr>
                <w:rFonts w:cs="Arial"/>
                <w:vanish/>
              </w:rPr>
              <w:lastRenderedPageBreak/>
              <w:t xml:space="preserve">BR_70.16 </w:t>
            </w:r>
            <w:r>
              <w:t>When</w:t>
            </w:r>
            <w:r w:rsidR="00E27F2E">
              <w:t xml:space="preserve"> changing </w:t>
            </w:r>
            <w:r>
              <w:t xml:space="preserve">the disease marker testing </w:t>
            </w:r>
            <w:r w:rsidR="00E27F2E">
              <w:t>of an autologous unit from “NEG</w:t>
            </w:r>
            <w:r w:rsidR="00F90BBE">
              <w:t>”</w:t>
            </w:r>
            <w:r w:rsidR="00E27F2E">
              <w:t xml:space="preserve"> to “POS</w:t>
            </w:r>
            <w:r>
              <w:t>” or “NFT</w:t>
            </w:r>
            <w:r w:rsidR="002326F7">
              <w:t xml:space="preserve"> (not fully tested)</w:t>
            </w:r>
            <w:r w:rsidR="002A40BF">
              <w:t>”,</w:t>
            </w:r>
            <w:r>
              <w:t xml:space="preserve"> VBECS </w:t>
            </w:r>
            <w:r w:rsidR="00E27F2E">
              <w:t xml:space="preserve">automatically </w:t>
            </w:r>
            <w:r w:rsidR="00CB32C2">
              <w:t>enables</w:t>
            </w:r>
            <w:r>
              <w:t xml:space="preserve"> the biohazard indicator.</w:t>
            </w:r>
          </w:p>
          <w:p w14:paraId="663FE3BC" w14:textId="77777777" w:rsidR="002A21AE" w:rsidRDefault="002A21AE">
            <w:pPr>
              <w:pStyle w:val="NotesText"/>
            </w:pPr>
          </w:p>
          <w:p w14:paraId="3C109C02" w14:textId="77777777" w:rsidR="002A21AE" w:rsidRDefault="002A21AE">
            <w:pPr>
              <w:pStyle w:val="NotesText"/>
            </w:pPr>
            <w:r>
              <w:rPr>
                <w:rFonts w:cs="Arial"/>
                <w:vanish/>
              </w:rPr>
              <w:t xml:space="preserve">BR_12.13 </w:t>
            </w:r>
            <w:r>
              <w:t>The user may not clear the biohazard indicator for a unit when:</w:t>
            </w:r>
          </w:p>
          <w:p w14:paraId="643DC41A" w14:textId="77777777" w:rsidR="002A21AE" w:rsidRDefault="002A21AE">
            <w:pPr>
              <w:pStyle w:val="NotesTextBullet"/>
            </w:pPr>
            <w:r>
              <w:t>The disease marker testing is POS or NFT,</w:t>
            </w:r>
          </w:p>
          <w:p w14:paraId="30990F4F" w14:textId="77777777" w:rsidR="002A21AE" w:rsidRDefault="002A21AE">
            <w:pPr>
              <w:pStyle w:val="NotesTextBullet"/>
            </w:pPr>
            <w:r>
              <w:t xml:space="preserve">The ISBT 128 Donation Type codes are </w:t>
            </w:r>
            <w:r w:rsidR="00FA7E65">
              <w:t>“</w:t>
            </w:r>
            <w:r>
              <w:t>X, For Autologous Use Only, Biohazardous</w:t>
            </w:r>
            <w:r w:rsidR="00FA7E65">
              <w:t>”</w:t>
            </w:r>
            <w:r>
              <w:t xml:space="preserve"> or </w:t>
            </w:r>
            <w:r w:rsidR="00FA7E65">
              <w:t>“</w:t>
            </w:r>
            <w:r>
              <w:t>3, For Directed Donor Use Only, Biohazardous,</w:t>
            </w:r>
            <w:r w:rsidR="00FA7E65">
              <w:t>”</w:t>
            </w:r>
            <w:r>
              <w:t xml:space="preserve"> or</w:t>
            </w:r>
            <w:r w:rsidR="004F7C13">
              <w:t xml:space="preserve"> 6, Designated Donor Biohazardous”</w:t>
            </w:r>
          </w:p>
          <w:p w14:paraId="7AED18D2" w14:textId="77777777" w:rsidR="002A21AE" w:rsidRDefault="002A21AE">
            <w:pPr>
              <w:pStyle w:val="NotesTextBullet"/>
            </w:pPr>
            <w:r>
              <w:t>The unit is quarantined.</w:t>
            </w:r>
          </w:p>
          <w:p w14:paraId="74DE294C" w14:textId="77777777" w:rsidR="002A21AE" w:rsidRDefault="002A21AE">
            <w:pPr>
              <w:pStyle w:val="NotesText"/>
              <w:ind w:left="0"/>
              <w:rPr>
                <w:rFonts w:cs="Arial"/>
              </w:rPr>
            </w:pPr>
          </w:p>
          <w:p w14:paraId="09E32FF0" w14:textId="77777777" w:rsidR="002A21AE" w:rsidRDefault="002A21AE">
            <w:pPr>
              <w:pStyle w:val="NotesText"/>
              <w:rPr>
                <w:rFonts w:cs="Arial"/>
              </w:rPr>
            </w:pPr>
            <w:r>
              <w:rPr>
                <w:rFonts w:cs="Arial"/>
                <w:vanish/>
              </w:rPr>
              <w:t xml:space="preserve">BR_70.02 </w:t>
            </w:r>
            <w:r>
              <w:t>When editing the “restricted for” patient name for a unit, the user may change the name of a restricted patient but may not save the transaction without a new patient name for the restriction.</w:t>
            </w:r>
          </w:p>
          <w:p w14:paraId="6BB2D03E" w14:textId="77777777" w:rsidR="002A21AE" w:rsidRDefault="002A21AE">
            <w:pPr>
              <w:pStyle w:val="NotesText"/>
              <w:rPr>
                <w:rFonts w:cs="Arial"/>
              </w:rPr>
            </w:pPr>
          </w:p>
          <w:p w14:paraId="45EBD45B" w14:textId="77777777" w:rsidR="002A21AE" w:rsidRDefault="002A21AE">
            <w:pPr>
              <w:pStyle w:val="NotesText"/>
            </w:pPr>
            <w:r>
              <w:rPr>
                <w:rFonts w:cs="Arial"/>
                <w:vanish/>
              </w:rPr>
              <w:t xml:space="preserve">BR_70.10 </w:t>
            </w:r>
            <w:r>
              <w:t xml:space="preserve">When the user restricts a unit to a patient, the patient ID is the primary identifier of the intended recipient. When VBECS searches the </w:t>
            </w:r>
            <w:r w:rsidR="00CA0045" w:rsidRPr="00CA0045">
              <w:rPr>
                <w:bCs/>
              </w:rPr>
              <w:t>VistA</w:t>
            </w:r>
            <w:r>
              <w:t xml:space="preserve"> PATIENT File (#2) and finds a match, it populates the VBECS database with the selected patient name. When the intended recipient is not in the </w:t>
            </w:r>
            <w:r w:rsidR="00CA0045" w:rsidRPr="00CA0045">
              <w:rPr>
                <w:bCs/>
              </w:rPr>
              <w:t>VistA</w:t>
            </w:r>
            <w:r>
              <w:t xml:space="preserve"> database, VBECS </w:t>
            </w:r>
            <w:r w:rsidR="009E40D9">
              <w:t>warns</w:t>
            </w:r>
            <w:r>
              <w:t xml:space="preserve"> the user</w:t>
            </w:r>
            <w:r w:rsidR="009E40D9">
              <w:t>, clears the screen, and does not allow the unit to be further processed</w:t>
            </w:r>
            <w:r>
              <w:t xml:space="preserve">. </w:t>
            </w:r>
          </w:p>
          <w:p w14:paraId="033E8E64" w14:textId="77777777" w:rsidR="002A21AE" w:rsidRDefault="002A21AE">
            <w:pPr>
              <w:pStyle w:val="NotesText"/>
            </w:pPr>
          </w:p>
          <w:p w14:paraId="11E931F3" w14:textId="77777777" w:rsidR="002A21AE" w:rsidRDefault="002A21AE">
            <w:pPr>
              <w:pStyle w:val="NotesText"/>
            </w:pPr>
            <w:r>
              <w:rPr>
                <w:rFonts w:cs="Arial"/>
                <w:vanish/>
              </w:rPr>
              <w:t xml:space="preserve">BR_70.08 </w:t>
            </w:r>
            <w:r w:rsidRPr="00EC7489">
              <w:rPr>
                <w:rFonts w:ascii="Wingdings 3" w:hAnsi="Wingdings 3" w:cs="Wingdings"/>
              </w:rPr>
              <w:t></w:t>
            </w:r>
            <w:r w:rsidRPr="00EC7489">
              <w:rPr>
                <w:rFonts w:ascii="Wingdings 3" w:hAnsi="Wingdings 3" w:cs="Wingdings"/>
              </w:rPr>
              <w:t></w:t>
            </w:r>
            <w:r>
              <w:t xml:space="preserve"> The Enhanced Technologist may edit items associated with a unit and add the new data to the unit. VBECS displays only the latest entry for these fields to the Enhanced Technologist before the un</w:t>
            </w:r>
            <w:r w:rsidR="00264DEB">
              <w:t>it has any patient associations:</w:t>
            </w:r>
          </w:p>
          <w:p w14:paraId="3A2E03C8" w14:textId="77777777" w:rsidR="00264DEB" w:rsidRDefault="00264DEB" w:rsidP="000409B1">
            <w:pPr>
              <w:pStyle w:val="StyleTableText9ptChar"/>
              <w:numPr>
                <w:ilvl w:val="0"/>
                <w:numId w:val="58"/>
              </w:numPr>
              <w:ind w:left="1440"/>
            </w:pPr>
            <w:r>
              <w:t>Restrictions</w:t>
            </w:r>
          </w:p>
          <w:p w14:paraId="1253EB99" w14:textId="77777777" w:rsidR="00264DEB" w:rsidRDefault="00264DEB" w:rsidP="000409B1">
            <w:pPr>
              <w:pStyle w:val="StyleTableText9ptChar"/>
              <w:numPr>
                <w:ilvl w:val="0"/>
                <w:numId w:val="58"/>
              </w:numPr>
              <w:ind w:left="1440"/>
            </w:pPr>
            <w:r>
              <w:t xml:space="preserve">CMV negative </w:t>
            </w:r>
          </w:p>
          <w:p w14:paraId="3881FB30" w14:textId="77777777" w:rsidR="00264DEB" w:rsidRDefault="00264DEB" w:rsidP="000409B1">
            <w:pPr>
              <w:pStyle w:val="StyleTableText9ptChar"/>
              <w:numPr>
                <w:ilvl w:val="0"/>
                <w:numId w:val="58"/>
              </w:numPr>
              <w:ind w:left="1440"/>
            </w:pPr>
            <w:r>
              <w:t>Sickle Cell negative</w:t>
            </w:r>
          </w:p>
          <w:p w14:paraId="6D8E3986" w14:textId="77777777" w:rsidR="00264DEB" w:rsidRDefault="00264DEB" w:rsidP="000409B1">
            <w:pPr>
              <w:pStyle w:val="StyleTableText9ptChar"/>
              <w:numPr>
                <w:ilvl w:val="0"/>
                <w:numId w:val="58"/>
              </w:numPr>
              <w:ind w:left="1440"/>
            </w:pPr>
            <w:r>
              <w:t>Biohazard indicator</w:t>
            </w:r>
          </w:p>
          <w:p w14:paraId="0441C8C3" w14:textId="77777777" w:rsidR="00264DEB" w:rsidRDefault="00264DEB" w:rsidP="000409B1">
            <w:pPr>
              <w:pStyle w:val="StyleTableText9ptChar"/>
              <w:numPr>
                <w:ilvl w:val="0"/>
                <w:numId w:val="58"/>
              </w:numPr>
              <w:ind w:left="1440"/>
            </w:pPr>
            <w:r>
              <w:t>Disease marker testing</w:t>
            </w:r>
          </w:p>
          <w:p w14:paraId="6ABF96B6" w14:textId="77777777" w:rsidR="00264DEB" w:rsidRDefault="00264DEB" w:rsidP="000409B1">
            <w:pPr>
              <w:pStyle w:val="StyleTableText9ptChar"/>
              <w:numPr>
                <w:ilvl w:val="0"/>
                <w:numId w:val="58"/>
              </w:numPr>
              <w:ind w:left="1440"/>
            </w:pPr>
            <w:r>
              <w:t xml:space="preserve">Antigen typing entered at log-in </w:t>
            </w:r>
          </w:p>
          <w:p w14:paraId="5305B4F5" w14:textId="77777777" w:rsidR="00264DEB" w:rsidRDefault="00264DEB" w:rsidP="000409B1">
            <w:pPr>
              <w:pStyle w:val="StyleTableText9ptChar"/>
              <w:numPr>
                <w:ilvl w:val="0"/>
                <w:numId w:val="58"/>
              </w:numPr>
              <w:ind w:left="1440"/>
            </w:pPr>
            <w:r>
              <w:t>Unit volume</w:t>
            </w:r>
          </w:p>
          <w:p w14:paraId="1CFC09FA" w14:textId="77777777" w:rsidR="00264DEB" w:rsidRDefault="002E5493" w:rsidP="000409B1">
            <w:pPr>
              <w:pStyle w:val="TableText"/>
              <w:numPr>
                <w:ilvl w:val="0"/>
                <w:numId w:val="58"/>
              </w:numPr>
              <w:ind w:left="1440"/>
            </w:pPr>
            <w:r>
              <w:t>Discarded plasma volume, if one</w:t>
            </w:r>
          </w:p>
          <w:p w14:paraId="0C176FAD" w14:textId="77777777" w:rsidR="00264DEB" w:rsidRDefault="00264DEB" w:rsidP="000409B1">
            <w:pPr>
              <w:pStyle w:val="StyleTableText9ptChar"/>
              <w:numPr>
                <w:ilvl w:val="0"/>
                <w:numId w:val="58"/>
              </w:numPr>
              <w:ind w:left="1440"/>
            </w:pPr>
            <w:r w:rsidRPr="00205737">
              <w:t>R</w:t>
            </w:r>
            <w:r w:rsidR="00A92813">
              <w:t>ed blood c</w:t>
            </w:r>
            <w:r w:rsidR="00B06392">
              <w:t xml:space="preserve">ell contamination of </w:t>
            </w:r>
            <w:r w:rsidR="00A92813">
              <w:t xml:space="preserve">equal to or </w:t>
            </w:r>
            <w:r w:rsidR="00B06392">
              <w:t>g</w:t>
            </w:r>
            <w:r w:rsidRPr="00205737">
              <w:t>reater than (</w:t>
            </w:r>
            <w:r w:rsidR="00A92813">
              <w:t xml:space="preserve">= </w:t>
            </w:r>
            <w:r w:rsidRPr="00205737">
              <w:t>&gt;) 2 mL</w:t>
            </w:r>
            <w:r w:rsidR="00A92813">
              <w:t xml:space="preserve"> (non-RBC units)</w:t>
            </w:r>
          </w:p>
          <w:p w14:paraId="7A23E7A2" w14:textId="77777777" w:rsidR="002A21AE" w:rsidRPr="00EC7489" w:rsidRDefault="002A21AE">
            <w:pPr>
              <w:pStyle w:val="NotesText"/>
              <w:rPr>
                <w:rFonts w:ascii="Wingdings 3" w:hAnsi="Wingdings 3" w:cs="Wingdings"/>
              </w:rPr>
            </w:pPr>
          </w:p>
          <w:p w14:paraId="1216276F" w14:textId="143A2CDA" w:rsidR="009D59DD" w:rsidRPr="00781303" w:rsidRDefault="002A21AE" w:rsidP="00781303">
            <w:pPr>
              <w:pStyle w:val="Notes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The Traditional Supervisor may edit items associated with a unit and add the new data when the unit has a history of patient associations.</w:t>
            </w:r>
          </w:p>
        </w:tc>
      </w:tr>
      <w:tr w:rsidR="002A21AE" w14:paraId="43B3A00B" w14:textId="77777777">
        <w:tc>
          <w:tcPr>
            <w:tcW w:w="3240" w:type="dxa"/>
          </w:tcPr>
          <w:p w14:paraId="77C63CF3" w14:textId="612F6C5F" w:rsidR="002A21AE" w:rsidRDefault="002A21AE">
            <w:pPr>
              <w:pStyle w:val="TableTextNumbers"/>
            </w:pPr>
            <w:r>
              <w:lastRenderedPageBreak/>
              <w:t>Select a test for inactivation</w:t>
            </w:r>
            <w:r w:rsidR="000A3D88">
              <w:t xml:space="preserve"> (</w:t>
            </w:r>
            <w:r w:rsidR="000A3D88">
              <w:fldChar w:fldCharType="begin" w:fldLock="1"/>
            </w:r>
            <w:r w:rsidR="000A3D88">
              <w:instrText xml:space="preserve"> REF _Ref126651913 \h </w:instrText>
            </w:r>
            <w:r w:rsidR="000A3D88">
              <w:fldChar w:fldCharType="separate"/>
            </w:r>
            <w:r w:rsidR="00AB304C">
              <w:t xml:space="preserve">Figure </w:t>
            </w:r>
            <w:r w:rsidR="00AB304C">
              <w:rPr>
                <w:noProof/>
              </w:rPr>
              <w:t>96</w:t>
            </w:r>
            <w:r w:rsidR="000A3D88">
              <w:fldChar w:fldCharType="end"/>
            </w:r>
            <w:r w:rsidR="000A3D88">
              <w:t>)</w:t>
            </w:r>
            <w:r>
              <w:t>.</w:t>
            </w:r>
          </w:p>
        </w:tc>
        <w:tc>
          <w:tcPr>
            <w:tcW w:w="6120" w:type="dxa"/>
          </w:tcPr>
          <w:p w14:paraId="0B1D37AF" w14:textId="77777777" w:rsidR="002A21AE" w:rsidRDefault="002A21AE">
            <w:pPr>
              <w:pStyle w:val="TableTextBullet"/>
              <w:tabs>
                <w:tab w:val="num" w:pos="360"/>
              </w:tabs>
            </w:pPr>
            <w:r>
              <w:t>Displays the previously recorded results for the selected test.</w:t>
            </w:r>
          </w:p>
          <w:p w14:paraId="7AEDDC5C" w14:textId="77777777" w:rsidR="002A21AE" w:rsidRDefault="002A21AE">
            <w:pPr>
              <w:pStyle w:val="TableTextBullet"/>
              <w:tabs>
                <w:tab w:val="num" w:pos="360"/>
              </w:tabs>
            </w:pPr>
            <w:r>
              <w:t>Requires a comment to process the inactivation.</w:t>
            </w:r>
          </w:p>
          <w:p w14:paraId="122BA093" w14:textId="77777777" w:rsidR="002A21AE" w:rsidRDefault="002A21AE">
            <w:pPr>
              <w:pStyle w:val="TableText"/>
            </w:pPr>
          </w:p>
          <w:p w14:paraId="2EBBD14A" w14:textId="77777777" w:rsidR="002A21AE" w:rsidRDefault="00057948">
            <w:pPr>
              <w:pStyle w:val="TableText"/>
              <w:rPr>
                <w:b/>
                <w:bCs/>
                <w:szCs w:val="18"/>
              </w:rPr>
            </w:pPr>
            <w:r>
              <w:rPr>
                <w:b/>
                <w:bCs/>
                <w:noProof/>
              </w:rPr>
              <mc:AlternateContent>
                <mc:Choice Requires="wps">
                  <w:drawing>
                    <wp:anchor distT="0" distB="0" distL="114300" distR="114300" simplePos="0" relativeHeight="251599360" behindDoc="0" locked="0" layoutInCell="1" allowOverlap="1" wp14:anchorId="67BF08FB" wp14:editId="06478386">
                      <wp:simplePos x="0" y="0"/>
                      <wp:positionH relativeFrom="column">
                        <wp:posOffset>457200</wp:posOffset>
                      </wp:positionH>
                      <wp:positionV relativeFrom="paragraph">
                        <wp:posOffset>65405</wp:posOffset>
                      </wp:positionV>
                      <wp:extent cx="3200400" cy="0"/>
                      <wp:effectExtent l="9525" t="17780" r="9525" b="10795"/>
                      <wp:wrapNone/>
                      <wp:docPr id="462" name="Line 889" descr="P4924C10T5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7C307" id="Line 889" o:spid="_x0000_s1026" alt="&quot;&quot;" style="position:absolute;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e4O1r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7658CBF6" w14:textId="77777777" w:rsidR="002A21AE" w:rsidRDefault="002A21AE">
            <w:pPr>
              <w:pStyle w:val="NotesText"/>
            </w:pPr>
          </w:p>
          <w:p w14:paraId="47959287" w14:textId="77777777" w:rsidR="002A21AE" w:rsidRDefault="002A21AE">
            <w:pPr>
              <w:pStyle w:val="NotesText"/>
            </w:pPr>
            <w:r>
              <w:rPr>
                <w:rFonts w:cs="Arial"/>
                <w:vanish/>
              </w:rPr>
              <w:t xml:space="preserve">BR_94.06 </w:t>
            </w:r>
            <w:r>
              <w:t>The user may view, not edit, previously entered serologic results and interpretations.</w:t>
            </w:r>
          </w:p>
          <w:p w14:paraId="5023301D" w14:textId="77777777" w:rsidR="002A21AE" w:rsidRDefault="002A21AE">
            <w:pPr>
              <w:pStyle w:val="NotesText"/>
              <w:rPr>
                <w:rFonts w:cs="Arial"/>
              </w:rPr>
            </w:pPr>
          </w:p>
          <w:p w14:paraId="70F9B807" w14:textId="77777777" w:rsidR="002A21AE" w:rsidRDefault="002A21AE">
            <w:pPr>
              <w:pStyle w:val="NotesText"/>
              <w:rPr>
                <w:rFonts w:cs="Arial"/>
              </w:rPr>
            </w:pPr>
            <w:r>
              <w:rPr>
                <w:rFonts w:cs="Arial"/>
                <w:vanish/>
              </w:rPr>
              <w:t xml:space="preserve">BR_70.04 </w:t>
            </w:r>
            <w:r>
              <w:t xml:space="preserve">When the user selects the unit antigen typing test, VBECS displays antigen typing reagent types and interpretations </w:t>
            </w:r>
            <w:r w:rsidR="00765FF5">
              <w:t>available for invalidation at the user’s division. Inherited testing is not available for invalidation</w:t>
            </w:r>
            <w:r>
              <w:t>.</w:t>
            </w:r>
          </w:p>
          <w:p w14:paraId="3715C92C" w14:textId="77777777" w:rsidR="002A21AE" w:rsidRDefault="002A21AE">
            <w:pPr>
              <w:pStyle w:val="NotesText"/>
              <w:rPr>
                <w:rFonts w:cs="Arial"/>
              </w:rPr>
            </w:pPr>
          </w:p>
          <w:p w14:paraId="59D374B9" w14:textId="77777777" w:rsidR="00C868B9" w:rsidRDefault="002A21AE" w:rsidP="00C868B9">
            <w:pPr>
              <w:pStyle w:val="NotesText"/>
            </w:pPr>
            <w:r>
              <w:rPr>
                <w:rFonts w:cs="Arial"/>
                <w:vanish/>
              </w:rPr>
              <w:lastRenderedPageBreak/>
              <w:t xml:space="preserve">BR_70.05 </w:t>
            </w:r>
            <w:r>
              <w:t xml:space="preserve">When the user selects the ABO/Rh confirmation test, VBECS displays the unit confirmation test </w:t>
            </w:r>
            <w:r w:rsidR="004C1CD0">
              <w:t xml:space="preserve">interpretations available for invalidation at the user’s division. </w:t>
            </w:r>
          </w:p>
          <w:p w14:paraId="2031D1F3" w14:textId="77777777" w:rsidR="002A21AE" w:rsidRDefault="002A21AE">
            <w:pPr>
              <w:pStyle w:val="NotesText"/>
            </w:pPr>
          </w:p>
          <w:p w14:paraId="32500A9B" w14:textId="77777777" w:rsidR="002A21AE" w:rsidRDefault="002A21AE">
            <w:pPr>
              <w:pStyle w:val="NotesText"/>
              <w:rPr>
                <w:rFonts w:cs="Arial"/>
              </w:rPr>
            </w:pPr>
            <w:r>
              <w:rPr>
                <w:rFonts w:cs="Arial"/>
                <w:vanish/>
              </w:rPr>
              <w:t xml:space="preserve">BR_70.21 </w:t>
            </w:r>
            <w:r w:rsidR="00C91E8D">
              <w:t>The system will check if the selected blood unit has current, valid ABO/Rh Confirmation or Antigen Typing associated with it. If the unit does have associated current, valid tests, the system does not allow the user to inactivate the unit and displays a warning message to the user: “Unit has current, valid tests, previous patient assignments, or crossmatches that must be invalidated before the unit can be inactivated." There is no override.</w:t>
            </w:r>
          </w:p>
        </w:tc>
      </w:tr>
      <w:tr w:rsidR="002A21AE" w14:paraId="2474C6FC" w14:textId="77777777">
        <w:tc>
          <w:tcPr>
            <w:tcW w:w="3240" w:type="dxa"/>
          </w:tcPr>
          <w:p w14:paraId="5D0FA7A0" w14:textId="77777777" w:rsidR="002A21AE" w:rsidRDefault="002A21AE">
            <w:pPr>
              <w:pStyle w:val="TableTextNumbers"/>
            </w:pPr>
            <w:r>
              <w:lastRenderedPageBreak/>
              <w:t xml:space="preserve">Verify the test to be inactivated and enter a comment. </w:t>
            </w:r>
          </w:p>
          <w:p w14:paraId="3C9E98F7" w14:textId="77777777" w:rsidR="002A21AE" w:rsidRDefault="002A21AE">
            <w:pPr>
              <w:pStyle w:val="TableTextNumbersContinued"/>
            </w:pPr>
          </w:p>
          <w:p w14:paraId="2B5F0E87" w14:textId="77777777" w:rsidR="002A21AE" w:rsidRDefault="002A21AE">
            <w:pPr>
              <w:pStyle w:val="TableTextNumbersContinued"/>
            </w:pPr>
            <w:r>
              <w:t xml:space="preserve">Click </w:t>
            </w:r>
            <w:r>
              <w:rPr>
                <w:b/>
              </w:rPr>
              <w:t>OK</w:t>
            </w:r>
            <w:r>
              <w:t xml:space="preserve"> to confirm and exit.</w:t>
            </w:r>
          </w:p>
        </w:tc>
        <w:tc>
          <w:tcPr>
            <w:tcW w:w="6120" w:type="dxa"/>
          </w:tcPr>
          <w:p w14:paraId="78BD1FDD" w14:textId="77777777" w:rsidR="002A21AE" w:rsidRDefault="002A21AE">
            <w:pPr>
              <w:pStyle w:val="TableTextBullet"/>
              <w:tabs>
                <w:tab w:val="num" w:pos="360"/>
              </w:tabs>
            </w:pPr>
            <w:r>
              <w:t>Displays “Test Result Invalidated” in the unit record for the selected test.</w:t>
            </w:r>
          </w:p>
          <w:p w14:paraId="0A7C64CA" w14:textId="77777777" w:rsidR="002A21AE" w:rsidRDefault="002A21AE">
            <w:pPr>
              <w:pStyle w:val="TableText"/>
            </w:pPr>
          </w:p>
          <w:p w14:paraId="61334477" w14:textId="77777777" w:rsidR="002A21AE" w:rsidRDefault="00057948">
            <w:pPr>
              <w:pStyle w:val="TableText"/>
              <w:rPr>
                <w:b/>
                <w:bCs/>
                <w:szCs w:val="18"/>
              </w:rPr>
            </w:pPr>
            <w:r>
              <w:rPr>
                <w:b/>
                <w:bCs/>
                <w:noProof/>
              </w:rPr>
              <mc:AlternateContent>
                <mc:Choice Requires="wps">
                  <w:drawing>
                    <wp:anchor distT="0" distB="0" distL="114300" distR="114300" simplePos="0" relativeHeight="251602432" behindDoc="0" locked="0" layoutInCell="1" allowOverlap="1" wp14:anchorId="7555FCC6" wp14:editId="008D6B4C">
                      <wp:simplePos x="0" y="0"/>
                      <wp:positionH relativeFrom="column">
                        <wp:posOffset>457200</wp:posOffset>
                      </wp:positionH>
                      <wp:positionV relativeFrom="paragraph">
                        <wp:posOffset>65405</wp:posOffset>
                      </wp:positionV>
                      <wp:extent cx="3200400" cy="0"/>
                      <wp:effectExtent l="9525" t="17780" r="9525" b="10795"/>
                      <wp:wrapNone/>
                      <wp:docPr id="461" name="Line 890" descr="P4939C12T5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B56A3" id="Line 890" o:spid="_x0000_s1026" alt="&quot;&quot;" style="position:absolute;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MODD6DEAQAAbgMAAA4AAAAAAAAAAAAAAAAA&#10;LgIAAGRycy9lMm9Eb2MueG1sUEsBAi0AFAAGAAgAAAAhABdPMBLbAAAACAEAAA8AAAAAAAAAAAAA&#10;AAAAHgQAAGRycy9kb3ducmV2LnhtbFBLBQYAAAAABAAEAPMAAAAmBQAAAAA=&#10;" strokeweight="1.5pt"/>
                  </w:pict>
                </mc:Fallback>
              </mc:AlternateContent>
            </w:r>
            <w:r w:rsidR="002A21AE">
              <w:rPr>
                <w:b/>
                <w:bCs/>
                <w:szCs w:val="18"/>
              </w:rPr>
              <w:t>NOTES</w:t>
            </w:r>
          </w:p>
          <w:p w14:paraId="06D67415" w14:textId="77777777" w:rsidR="002A21AE" w:rsidRDefault="002A21AE">
            <w:pPr>
              <w:pStyle w:val="NotesText"/>
            </w:pPr>
          </w:p>
          <w:p w14:paraId="6C2FFDDA" w14:textId="77777777" w:rsidR="002A21AE" w:rsidRDefault="002A21AE">
            <w:pPr>
              <w:pStyle w:val="NotesText"/>
            </w:pPr>
            <w:r>
              <w:rPr>
                <w:rFonts w:cs="Arial"/>
                <w:vanish/>
              </w:rPr>
              <w:t xml:space="preserve">BR_70.25 </w:t>
            </w:r>
            <w:r>
              <w:t xml:space="preserve">When the last </w:t>
            </w:r>
            <w:r w:rsidR="00101EEF">
              <w:t xml:space="preserve">(or only) </w:t>
            </w:r>
            <w:r>
              <w:t>ABO/Rh confirmation testing is invalidated, VBECS returns the unit to a limited status and requires an ABO/Rh confirmation tes</w:t>
            </w:r>
            <w:r w:rsidR="00101EEF">
              <w:t xml:space="preserve">t for </w:t>
            </w:r>
            <w:r w:rsidR="00101EEF" w:rsidRPr="00205737">
              <w:rPr>
                <w:rFonts w:cs="Arial"/>
                <w:szCs w:val="18"/>
              </w:rPr>
              <w:t>R</w:t>
            </w:r>
            <w:r w:rsidR="00A92813">
              <w:rPr>
                <w:rFonts w:cs="Arial"/>
                <w:szCs w:val="18"/>
              </w:rPr>
              <w:t>ed Blood Cell contamination of equal to or g</w:t>
            </w:r>
            <w:r w:rsidR="00101EEF" w:rsidRPr="00205737">
              <w:rPr>
                <w:rFonts w:cs="Arial"/>
                <w:szCs w:val="18"/>
              </w:rPr>
              <w:t>reater than (</w:t>
            </w:r>
            <w:r w:rsidR="00A92813">
              <w:rPr>
                <w:rFonts w:cs="Arial"/>
                <w:szCs w:val="18"/>
              </w:rPr>
              <w:t xml:space="preserve">= </w:t>
            </w:r>
            <w:r w:rsidR="00101EEF" w:rsidRPr="00205737">
              <w:rPr>
                <w:rFonts w:cs="Arial"/>
                <w:szCs w:val="18"/>
              </w:rPr>
              <w:t>&gt;) 2 mL indicator</w:t>
            </w:r>
            <w:r w:rsidR="00C91E8D">
              <w:rPr>
                <w:rFonts w:cs="Arial"/>
                <w:szCs w:val="18"/>
              </w:rPr>
              <w:t>.</w:t>
            </w:r>
          </w:p>
          <w:p w14:paraId="082A8531" w14:textId="77777777" w:rsidR="002A21AE" w:rsidRDefault="002A21AE">
            <w:pPr>
              <w:pStyle w:val="TableText"/>
            </w:pPr>
          </w:p>
          <w:p w14:paraId="624458FA" w14:textId="77777777" w:rsidR="002A21AE" w:rsidRDefault="002A21AE">
            <w:pPr>
              <w:pStyle w:val="NotesText"/>
            </w:pPr>
            <w:r>
              <w:t>When a unit that requires ABO/Rh confirmation testing no longer has a valid test result in VBECS due to invalidation of previous unit tests, VBECS treats the unit as though no ABO/Rh confirmation testing was performed.</w:t>
            </w:r>
          </w:p>
          <w:p w14:paraId="73166727" w14:textId="77777777" w:rsidR="002A21AE" w:rsidRDefault="002A21AE">
            <w:pPr>
              <w:pStyle w:val="NotesText"/>
            </w:pPr>
          </w:p>
          <w:p w14:paraId="3D80386E" w14:textId="77777777" w:rsidR="002A21AE" w:rsidRDefault="002A21AE">
            <w:pPr>
              <w:pStyle w:val="NotesText"/>
            </w:pPr>
            <w:r>
              <w:rPr>
                <w:vanish/>
                <w:szCs w:val="18"/>
              </w:rPr>
              <w:t>BR_94.04</w:t>
            </w:r>
            <w:r w:rsidR="00CE3961">
              <w:rPr>
                <w:vanish/>
                <w:szCs w:val="18"/>
              </w:rPr>
              <w:t>,</w:t>
            </w:r>
            <w:r>
              <w:rPr>
                <w:vanish/>
                <w:szCs w:val="18"/>
              </w:rPr>
              <w:t xml:space="preserve"> BR_70.09 </w:t>
            </w:r>
            <w:r>
              <w:t>VBECS flags invalidated test results as “Test Result Invalidated” and captures details for inclusion in an Exception Report.</w:t>
            </w:r>
          </w:p>
          <w:p w14:paraId="7B01B823" w14:textId="77777777" w:rsidR="002A21AE" w:rsidRDefault="002A21AE">
            <w:pPr>
              <w:pStyle w:val="NotesText"/>
              <w:ind w:left="0"/>
            </w:pPr>
          </w:p>
          <w:p w14:paraId="0C02114D" w14:textId="77777777" w:rsidR="002A21AE" w:rsidRDefault="002A21AE">
            <w:pPr>
              <w:pStyle w:val="NotesText"/>
            </w:pPr>
            <w:r>
              <w:rPr>
                <w:rFonts w:cs="Arial"/>
                <w:vanish/>
              </w:rPr>
              <w:t xml:space="preserve">BR_70.12 </w:t>
            </w:r>
            <w:r>
              <w:t>VBECS does not inactivate workload associated with the invalidated test.</w:t>
            </w:r>
          </w:p>
          <w:p w14:paraId="465E70BE" w14:textId="77777777" w:rsidR="002A21AE" w:rsidRDefault="002A21AE">
            <w:pPr>
              <w:pStyle w:val="TableText"/>
              <w:rPr>
                <w:rFonts w:cs="Arial"/>
              </w:rPr>
            </w:pPr>
          </w:p>
          <w:p w14:paraId="30180496" w14:textId="77777777" w:rsidR="002A21AE" w:rsidRDefault="002A21AE">
            <w:pPr>
              <w:pStyle w:val="NotesText"/>
              <w:rPr>
                <w:rFonts w:cs="Arial"/>
              </w:rPr>
            </w:pPr>
            <w:r>
              <w:rPr>
                <w:rFonts w:cs="Arial"/>
              </w:rPr>
              <w:t>Replacement results are entered according to local policy.</w:t>
            </w:r>
          </w:p>
        </w:tc>
      </w:tr>
      <w:tr w:rsidR="002A21AE" w14:paraId="27A8E99D" w14:textId="77777777">
        <w:tc>
          <w:tcPr>
            <w:tcW w:w="3240" w:type="dxa"/>
          </w:tcPr>
          <w:p w14:paraId="2F0278E1" w14:textId="77777777" w:rsidR="002A21AE" w:rsidRDefault="002A21AE">
            <w:pPr>
              <w:pStyle w:val="TableTextNumbers"/>
            </w:pPr>
            <w:r>
              <w:t>Return to Step 1 to edit another unit.</w:t>
            </w:r>
          </w:p>
        </w:tc>
        <w:tc>
          <w:tcPr>
            <w:tcW w:w="6120" w:type="dxa"/>
          </w:tcPr>
          <w:p w14:paraId="0CE42695" w14:textId="77777777" w:rsidR="002A21AE" w:rsidRDefault="002A21AE" w:rsidP="00B100F7">
            <w:pPr>
              <w:pStyle w:val="TableText"/>
            </w:pPr>
          </w:p>
        </w:tc>
      </w:tr>
      <w:tr w:rsidR="002A21AE" w14:paraId="46B325C4" w14:textId="77777777">
        <w:tc>
          <w:tcPr>
            <w:tcW w:w="3240" w:type="dxa"/>
          </w:tcPr>
          <w:p w14:paraId="1616EA74" w14:textId="77777777" w:rsidR="002A21AE" w:rsidRDefault="002A21AE">
            <w:pPr>
              <w:pStyle w:val="TableTextNumbers"/>
            </w:pPr>
            <w:r>
              <w:t xml:space="preserve">Click </w:t>
            </w:r>
            <w:r>
              <w:rPr>
                <w:b/>
              </w:rPr>
              <w:t>OK</w:t>
            </w:r>
            <w:r>
              <w:t xml:space="preserve"> to save.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082D2362" w14:textId="77777777" w:rsidR="002A21AE" w:rsidRDefault="002A21AE">
            <w:pPr>
              <w:pStyle w:val="TableTextBullet"/>
              <w:tabs>
                <w:tab w:val="num" w:pos="360"/>
              </w:tabs>
            </w:pPr>
            <w:r>
              <w:t>Updates and saves the data.</w:t>
            </w:r>
          </w:p>
        </w:tc>
      </w:tr>
    </w:tbl>
    <w:p w14:paraId="61BCAEC3" w14:textId="1BA7D6E8" w:rsidR="000A3D88" w:rsidRDefault="000A3D88" w:rsidP="000A3D88">
      <w:pPr>
        <w:pStyle w:val="Caption"/>
      </w:pPr>
      <w:bookmarkStart w:id="367" w:name="_Ref126651737"/>
      <w:bookmarkStart w:id="368" w:name="_Toc94349313"/>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95</w:t>
      </w:r>
      <w:r w:rsidR="004E20BD">
        <w:rPr>
          <w:noProof/>
        </w:rPr>
        <w:fldChar w:fldCharType="end"/>
      </w:r>
      <w:bookmarkEnd w:id="367"/>
      <w:r>
        <w:t>: Edit Unit Information</w:t>
      </w:r>
    </w:p>
    <w:p w14:paraId="1E895186" w14:textId="77777777" w:rsidR="000A3D88" w:rsidRDefault="00057948" w:rsidP="000A3D88">
      <w:pPr>
        <w:pStyle w:val="BodyText"/>
      </w:pPr>
      <w:r>
        <w:rPr>
          <w:noProof/>
        </w:rPr>
        <w:drawing>
          <wp:inline distT="0" distB="0" distL="0" distR="0" wp14:anchorId="6B5C281E" wp14:editId="4C59FE40">
            <wp:extent cx="5939155" cy="3897630"/>
            <wp:effectExtent l="0" t="0" r="4445" b="7620"/>
            <wp:docPr id="180" name="Picture 180" descr="P4958#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P4958#yIS1">
                      <a:extLst>
                        <a:ext uri="{C183D7F6-B498-43B3-948B-1728B52AA6E4}">
                          <adec:decorative xmlns:adec="http://schemas.microsoft.com/office/drawing/2017/decorative" val="1"/>
                        </a:ext>
                      </a:extLst>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939155" cy="3897630"/>
                    </a:xfrm>
                    <a:prstGeom prst="rect">
                      <a:avLst/>
                    </a:prstGeom>
                    <a:noFill/>
                    <a:ln>
                      <a:noFill/>
                    </a:ln>
                  </pic:spPr>
                </pic:pic>
              </a:graphicData>
            </a:graphic>
          </wp:inline>
        </w:drawing>
      </w:r>
    </w:p>
    <w:p w14:paraId="15093DA0" w14:textId="2E3949CB" w:rsidR="000A3D88" w:rsidRDefault="000A3D88" w:rsidP="000A3D88">
      <w:pPr>
        <w:pStyle w:val="Caption"/>
      </w:pPr>
      <w:bookmarkStart w:id="369" w:name="_Ref126651913"/>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96</w:t>
      </w:r>
      <w:r w:rsidR="004E20BD">
        <w:rPr>
          <w:noProof/>
        </w:rPr>
        <w:fldChar w:fldCharType="end"/>
      </w:r>
      <w:bookmarkEnd w:id="369"/>
      <w:r>
        <w:t>: Edit Unit Information Invalidate Test</w:t>
      </w:r>
    </w:p>
    <w:p w14:paraId="1E8DE297" w14:textId="77777777" w:rsidR="000A3D88" w:rsidRDefault="00057948" w:rsidP="000A3D88">
      <w:pPr>
        <w:pStyle w:val="BodyText"/>
      </w:pPr>
      <w:r>
        <w:rPr>
          <w:noProof/>
        </w:rPr>
        <w:drawing>
          <wp:inline distT="0" distB="0" distL="0" distR="0" wp14:anchorId="34BF127D" wp14:editId="337BCD92">
            <wp:extent cx="5939155" cy="3870325"/>
            <wp:effectExtent l="0" t="0" r="4445" b="0"/>
            <wp:docPr id="181" name="Picture 181" descr="P4960#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P4960#yIS1">
                      <a:extLst>
                        <a:ext uri="{C183D7F6-B498-43B3-948B-1728B52AA6E4}">
                          <adec:decorative xmlns:adec="http://schemas.microsoft.com/office/drawing/2017/decorative" val="1"/>
                        </a:ext>
                      </a:extLst>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939155" cy="3870325"/>
                    </a:xfrm>
                    <a:prstGeom prst="rect">
                      <a:avLst/>
                    </a:prstGeom>
                    <a:noFill/>
                    <a:ln>
                      <a:noFill/>
                    </a:ln>
                  </pic:spPr>
                </pic:pic>
              </a:graphicData>
            </a:graphic>
          </wp:inline>
        </w:drawing>
      </w:r>
    </w:p>
    <w:p w14:paraId="443A8EED" w14:textId="77777777" w:rsidR="002A21AE" w:rsidRDefault="002A21AE">
      <w:pPr>
        <w:pStyle w:val="Heading4"/>
      </w:pPr>
      <w:r>
        <w:t>Inactivate a Unit</w:t>
      </w:r>
      <w:bookmarkEnd w:id="368"/>
      <w:r>
        <w:fldChar w:fldCharType="begin"/>
      </w:r>
      <w:r>
        <w:instrText xml:space="preserve"> XE </w:instrText>
      </w:r>
      <w:r w:rsidR="00FA7E65">
        <w:instrText>“</w:instrText>
      </w:r>
      <w:r>
        <w:instrText>Inactivate a Unit</w:instrText>
      </w:r>
      <w:r w:rsidR="00FA7E65">
        <w:instrText>”</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83F1376" w14:textId="77777777">
        <w:trPr>
          <w:tblHeader/>
        </w:trPr>
        <w:tc>
          <w:tcPr>
            <w:tcW w:w="3240" w:type="dxa"/>
            <w:shd w:val="pct30" w:color="auto" w:fill="FFFFFF"/>
            <w:vAlign w:val="bottom"/>
          </w:tcPr>
          <w:p w14:paraId="1589EC4C" w14:textId="77777777" w:rsidR="002A21AE" w:rsidRDefault="002A21AE">
            <w:pPr>
              <w:pStyle w:val="TableText"/>
              <w:rPr>
                <w:b/>
              </w:rPr>
            </w:pPr>
            <w:r>
              <w:rPr>
                <w:b/>
              </w:rPr>
              <w:t>User Action</w:t>
            </w:r>
          </w:p>
        </w:tc>
        <w:tc>
          <w:tcPr>
            <w:tcW w:w="6120" w:type="dxa"/>
            <w:shd w:val="pct30" w:color="auto" w:fill="FFFFFF"/>
            <w:vAlign w:val="bottom"/>
          </w:tcPr>
          <w:p w14:paraId="673ADD0C" w14:textId="77777777" w:rsidR="002A21AE" w:rsidRDefault="002A21AE">
            <w:pPr>
              <w:pStyle w:val="TableText"/>
              <w:rPr>
                <w:b/>
              </w:rPr>
            </w:pPr>
            <w:r>
              <w:rPr>
                <w:b/>
              </w:rPr>
              <w:t>VBECS</w:t>
            </w:r>
          </w:p>
        </w:tc>
      </w:tr>
      <w:tr w:rsidR="002326F7" w14:paraId="090C2A73" w14:textId="77777777">
        <w:tc>
          <w:tcPr>
            <w:tcW w:w="3240" w:type="dxa"/>
            <w:tcBorders>
              <w:top w:val="single" w:sz="4" w:space="0" w:color="auto"/>
              <w:left w:val="single" w:sz="4" w:space="0" w:color="auto"/>
              <w:bottom w:val="single" w:sz="4" w:space="0" w:color="auto"/>
              <w:right w:val="single" w:sz="4" w:space="0" w:color="auto"/>
            </w:tcBorders>
          </w:tcPr>
          <w:p w14:paraId="06DA8A9C" w14:textId="77777777" w:rsidR="002326F7" w:rsidRDefault="002326F7" w:rsidP="00FA7E65">
            <w:pPr>
              <w:pStyle w:val="TableTextNumbers"/>
            </w:pPr>
            <w:r>
              <w:t xml:space="preserve">Select </w:t>
            </w:r>
            <w:r w:rsidRPr="00D64EFA">
              <w:rPr>
                <w:b/>
              </w:rPr>
              <w:t>Blood Units</w:t>
            </w:r>
            <w:r>
              <w:t xml:space="preserve"> from the main menu. </w:t>
            </w:r>
          </w:p>
          <w:p w14:paraId="09043600" w14:textId="77777777" w:rsidR="002326F7" w:rsidRDefault="002326F7" w:rsidP="002326F7">
            <w:pPr>
              <w:pStyle w:val="TableTextNumbersContinued"/>
            </w:pPr>
          </w:p>
          <w:p w14:paraId="019861BD" w14:textId="77777777" w:rsidR="002326F7" w:rsidRDefault="002326F7" w:rsidP="002326F7">
            <w:pPr>
              <w:pStyle w:val="TableTextNumbersContinued"/>
            </w:pPr>
            <w:r>
              <w:t xml:space="preserve">Select </w:t>
            </w:r>
            <w:r w:rsidRPr="00D64EFA">
              <w:rPr>
                <w:b/>
              </w:rPr>
              <w:t>Edit Unit Information</w:t>
            </w:r>
            <w:r>
              <w:t>.</w:t>
            </w:r>
          </w:p>
        </w:tc>
        <w:tc>
          <w:tcPr>
            <w:tcW w:w="6120" w:type="dxa"/>
            <w:tcBorders>
              <w:top w:val="single" w:sz="4" w:space="0" w:color="auto"/>
              <w:left w:val="single" w:sz="4" w:space="0" w:color="auto"/>
              <w:bottom w:val="single" w:sz="4" w:space="0" w:color="auto"/>
              <w:right w:val="single" w:sz="4" w:space="0" w:color="auto"/>
            </w:tcBorders>
          </w:tcPr>
          <w:p w14:paraId="4DEA4AEE" w14:textId="77777777" w:rsidR="002326F7" w:rsidRDefault="002326F7" w:rsidP="00FA7E65">
            <w:pPr>
              <w:pStyle w:val="TableTextBullet"/>
            </w:pPr>
            <w:r>
              <w:t>Displays options for processing blood units.</w:t>
            </w:r>
          </w:p>
          <w:p w14:paraId="304959F0" w14:textId="77777777" w:rsidR="002326F7" w:rsidRDefault="002326F7" w:rsidP="00FA7E65">
            <w:pPr>
              <w:pStyle w:val="TableTextBullet"/>
            </w:pPr>
            <w:r>
              <w:t>Displays options for selecting and editing a unit.</w:t>
            </w:r>
          </w:p>
        </w:tc>
      </w:tr>
      <w:tr w:rsidR="002326F7" w14:paraId="54BEB6C0" w14:textId="77777777">
        <w:tc>
          <w:tcPr>
            <w:tcW w:w="3240" w:type="dxa"/>
            <w:tcBorders>
              <w:top w:val="single" w:sz="4" w:space="0" w:color="auto"/>
              <w:left w:val="single" w:sz="4" w:space="0" w:color="auto"/>
              <w:bottom w:val="single" w:sz="4" w:space="0" w:color="auto"/>
              <w:right w:val="single" w:sz="4" w:space="0" w:color="auto"/>
            </w:tcBorders>
          </w:tcPr>
          <w:p w14:paraId="32C54496" w14:textId="77777777" w:rsidR="002326F7" w:rsidRDefault="002326F7" w:rsidP="00FA7E65">
            <w:pPr>
              <w:pStyle w:val="TableTextNumbers"/>
            </w:pPr>
            <w:r>
              <w:t>Scan or enter a unit ID and product code. May cancel and select a different unit.</w:t>
            </w:r>
          </w:p>
        </w:tc>
        <w:tc>
          <w:tcPr>
            <w:tcW w:w="6120" w:type="dxa"/>
            <w:tcBorders>
              <w:top w:val="single" w:sz="4" w:space="0" w:color="auto"/>
              <w:left w:val="single" w:sz="4" w:space="0" w:color="auto"/>
              <w:bottom w:val="single" w:sz="4" w:space="0" w:color="auto"/>
              <w:right w:val="single" w:sz="4" w:space="0" w:color="auto"/>
            </w:tcBorders>
          </w:tcPr>
          <w:p w14:paraId="54E4FAEB" w14:textId="77777777" w:rsidR="002326F7" w:rsidRDefault="002326F7" w:rsidP="00FA7E65">
            <w:pPr>
              <w:pStyle w:val="TableTextBullet"/>
            </w:pPr>
            <w:r>
              <w:t>Allows the user to scan or enter a unit ID and product code or select a unit.</w:t>
            </w:r>
          </w:p>
          <w:p w14:paraId="6F7AEDB3" w14:textId="77777777" w:rsidR="002326F7" w:rsidRDefault="002326F7" w:rsidP="00FA7E65">
            <w:pPr>
              <w:pStyle w:val="TableTextBullet"/>
            </w:pPr>
            <w:r>
              <w:t>Displays the editable unit information based on the user‘s security level.</w:t>
            </w:r>
          </w:p>
          <w:p w14:paraId="59FDCE2F" w14:textId="77777777" w:rsidR="00732AEE" w:rsidRDefault="00732AEE" w:rsidP="00732AEE">
            <w:pPr>
              <w:pStyle w:val="TableText"/>
            </w:pPr>
          </w:p>
          <w:p w14:paraId="78DBB91D" w14:textId="77777777" w:rsidR="00732AEE" w:rsidRDefault="00057948" w:rsidP="00732AEE">
            <w:pPr>
              <w:pStyle w:val="TableText"/>
              <w:rPr>
                <w:b/>
                <w:bCs/>
                <w:szCs w:val="18"/>
              </w:rPr>
            </w:pPr>
            <w:r>
              <w:rPr>
                <w:b/>
                <w:bCs/>
                <w:noProof/>
              </w:rPr>
              <mc:AlternateContent>
                <mc:Choice Requires="wps">
                  <w:drawing>
                    <wp:anchor distT="0" distB="0" distL="114300" distR="114300" simplePos="0" relativeHeight="251945472" behindDoc="0" locked="0" layoutInCell="1" allowOverlap="1" wp14:anchorId="0C4A9F74" wp14:editId="2F8A23B2">
                      <wp:simplePos x="0" y="0"/>
                      <wp:positionH relativeFrom="column">
                        <wp:posOffset>457200</wp:posOffset>
                      </wp:positionH>
                      <wp:positionV relativeFrom="paragraph">
                        <wp:posOffset>65405</wp:posOffset>
                      </wp:positionV>
                      <wp:extent cx="3200400" cy="0"/>
                      <wp:effectExtent l="9525" t="17780" r="9525" b="10795"/>
                      <wp:wrapNone/>
                      <wp:docPr id="460" name="Line 1083" descr="P4975C6T5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EFD1F" id="Line 1083" o:spid="_x0000_s1026" alt="&quot;&quot;" style="position:absolute;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rsK1U8MBAABvAwAADgAAAAAAAAAAAAAAAAAu&#10;AgAAZHJzL2Uyb0RvYy54bWxQSwECLQAUAAYACAAAACEAF08wEtsAAAAIAQAADwAAAAAAAAAAAAAA&#10;AAAdBAAAZHJzL2Rvd25yZXYueG1sUEsFBgAAAAAEAAQA8wAAACUFAAAAAA==&#10;" strokeweight="1.5pt"/>
                  </w:pict>
                </mc:Fallback>
              </mc:AlternateContent>
            </w:r>
            <w:r w:rsidR="00732AEE">
              <w:rPr>
                <w:b/>
                <w:bCs/>
                <w:szCs w:val="18"/>
              </w:rPr>
              <w:t>NOTES</w:t>
            </w:r>
          </w:p>
          <w:p w14:paraId="205977C9" w14:textId="77777777" w:rsidR="00732AEE" w:rsidRDefault="00732AEE" w:rsidP="00732AEE">
            <w:pPr>
              <w:pStyle w:val="NotesText"/>
            </w:pPr>
          </w:p>
          <w:p w14:paraId="23552360" w14:textId="77777777" w:rsidR="002326F7" w:rsidRPr="002326F7" w:rsidRDefault="002326F7" w:rsidP="00732AEE">
            <w:pPr>
              <w:pStyle w:val="NotesText"/>
            </w:pPr>
            <w:r>
              <w:t>VBECS does not allow selection of a unit when</w:t>
            </w:r>
            <w:r w:rsidRPr="002326F7">
              <w:t xml:space="preserve"> </w:t>
            </w:r>
            <w:r>
              <w:t>it:</w:t>
            </w:r>
          </w:p>
          <w:p w14:paraId="143AED0C" w14:textId="77777777" w:rsidR="002326F7" w:rsidRDefault="002326F7" w:rsidP="00732AEE">
            <w:pPr>
              <w:pStyle w:val="NotesTextBullet"/>
            </w:pPr>
            <w:r w:rsidRPr="00B6138E">
              <w:rPr>
                <w:vanish/>
                <w:szCs w:val="18"/>
              </w:rPr>
              <w:t xml:space="preserve">BR_70.03 </w:t>
            </w:r>
            <w:r>
              <w:t>Is currently assigned to a patient.</w:t>
            </w:r>
          </w:p>
          <w:p w14:paraId="33A4B0AA" w14:textId="77777777" w:rsidR="002326F7" w:rsidRDefault="002326F7" w:rsidP="00732AEE">
            <w:pPr>
              <w:pStyle w:val="NotesTextBullet"/>
            </w:pPr>
            <w:r w:rsidRPr="00B6138E">
              <w:rPr>
                <w:vanish/>
                <w:szCs w:val="18"/>
              </w:rPr>
              <w:t xml:space="preserve">BR_70.06 </w:t>
            </w:r>
            <w:r>
              <w:t>Has a final unit status.</w:t>
            </w:r>
          </w:p>
          <w:p w14:paraId="501A324A" w14:textId="77777777" w:rsidR="002326F7" w:rsidRPr="002326F7" w:rsidRDefault="002326F7" w:rsidP="00732AEE">
            <w:pPr>
              <w:pStyle w:val="NotesTextBullet"/>
            </w:pPr>
            <w:r w:rsidRPr="00B6138E">
              <w:rPr>
                <w:vanish/>
                <w:szCs w:val="18"/>
              </w:rPr>
              <w:t xml:space="preserve">BR_70.07 </w:t>
            </w:r>
            <w:r w:rsidR="00BF0467">
              <w:t>Has a previous patient assignmen</w:t>
            </w:r>
            <w:r w:rsidR="00DF36B1">
              <w:t>t record and the user is a Lead</w:t>
            </w:r>
            <w:r w:rsidR="00BF0467">
              <w:t xml:space="preserve"> </w:t>
            </w:r>
            <w:r w:rsidR="00DF36B1">
              <w:t xml:space="preserve">or </w:t>
            </w:r>
            <w:r w:rsidR="00BF0467">
              <w:t>Enhanced Technologist.</w:t>
            </w:r>
            <w:r w:rsidR="002329E3">
              <w:t xml:space="preserve"> </w:t>
            </w:r>
            <w:r w:rsidR="002329E3" w:rsidRPr="002329E3">
              <w:rPr>
                <w:vanish/>
              </w:rPr>
              <w:t>DR 3,012</w:t>
            </w:r>
          </w:p>
          <w:p w14:paraId="18081422" w14:textId="77777777" w:rsidR="002326F7" w:rsidRDefault="002326F7" w:rsidP="00732AEE">
            <w:pPr>
              <w:pStyle w:val="NotesText"/>
            </w:pPr>
          </w:p>
          <w:p w14:paraId="08F90843" w14:textId="77777777" w:rsidR="002326F7" w:rsidRPr="002326F7" w:rsidRDefault="002326F7" w:rsidP="00732AEE">
            <w:pPr>
              <w:pStyle w:val="NotesText"/>
            </w:pPr>
            <w:r>
              <w:t>There is no override. VBECS clears the screen and allows the user to select a new unit.</w:t>
            </w:r>
          </w:p>
        </w:tc>
      </w:tr>
      <w:tr w:rsidR="002A21AE" w14:paraId="2FDDF552" w14:textId="77777777" w:rsidTr="001A459B">
        <w:trPr>
          <w:cantSplit/>
        </w:trPr>
        <w:tc>
          <w:tcPr>
            <w:tcW w:w="3240" w:type="dxa"/>
            <w:tcBorders>
              <w:top w:val="single" w:sz="4" w:space="0" w:color="auto"/>
              <w:left w:val="single" w:sz="4" w:space="0" w:color="auto"/>
              <w:bottom w:val="single" w:sz="4" w:space="0" w:color="auto"/>
              <w:right w:val="single" w:sz="4" w:space="0" w:color="auto"/>
            </w:tcBorders>
          </w:tcPr>
          <w:p w14:paraId="3375B75F" w14:textId="77777777" w:rsidR="002A21AE" w:rsidRDefault="002A21AE">
            <w:pPr>
              <w:pStyle w:val="TableTextNumbers"/>
            </w:pPr>
            <w:r>
              <w:lastRenderedPageBreak/>
              <w:t xml:space="preserve">Click </w:t>
            </w:r>
            <w:r>
              <w:rPr>
                <w:b/>
              </w:rPr>
              <w:t xml:space="preserve">Inactivate Unit, </w:t>
            </w:r>
            <w:r>
              <w:t>as desired.</w:t>
            </w:r>
          </w:p>
        </w:tc>
        <w:tc>
          <w:tcPr>
            <w:tcW w:w="6120" w:type="dxa"/>
            <w:tcBorders>
              <w:top w:val="single" w:sz="4" w:space="0" w:color="auto"/>
              <w:left w:val="single" w:sz="4" w:space="0" w:color="auto"/>
              <w:bottom w:val="single" w:sz="4" w:space="0" w:color="auto"/>
              <w:right w:val="single" w:sz="4" w:space="0" w:color="auto"/>
            </w:tcBorders>
          </w:tcPr>
          <w:p w14:paraId="46088643" w14:textId="77777777" w:rsidR="00D64EFA" w:rsidRDefault="00D64EFA">
            <w:pPr>
              <w:pStyle w:val="TableTextBullet"/>
            </w:pPr>
            <w:r>
              <w:t>Displays fields to add or inactivate unit information and an option to inactivate a unit, based on the condition of the unit and the user’s security level.</w:t>
            </w:r>
          </w:p>
          <w:p w14:paraId="50138E82" w14:textId="77777777" w:rsidR="002A21AE" w:rsidRDefault="002A21AE">
            <w:pPr>
              <w:pStyle w:val="TableTextBullet"/>
            </w:pPr>
            <w:r>
              <w:t>Displays unit data.</w:t>
            </w:r>
          </w:p>
          <w:p w14:paraId="194EE6B9" w14:textId="77777777" w:rsidR="002A21AE" w:rsidRDefault="002A21AE">
            <w:pPr>
              <w:pStyle w:val="TableTextBullet"/>
            </w:pPr>
            <w:r>
              <w:t>Requires a comment to process the unit inactivation.</w:t>
            </w:r>
          </w:p>
          <w:p w14:paraId="02F6045A" w14:textId="77777777" w:rsidR="002A21AE" w:rsidRDefault="002A21AE">
            <w:pPr>
              <w:pStyle w:val="TableText"/>
            </w:pPr>
          </w:p>
          <w:p w14:paraId="3311AC90" w14:textId="77777777" w:rsidR="002A21AE" w:rsidRDefault="00057948">
            <w:pPr>
              <w:pStyle w:val="TableText"/>
              <w:rPr>
                <w:b/>
                <w:bCs/>
                <w:szCs w:val="18"/>
              </w:rPr>
            </w:pPr>
            <w:r>
              <w:rPr>
                <w:b/>
                <w:bCs/>
                <w:noProof/>
              </w:rPr>
              <mc:AlternateContent>
                <mc:Choice Requires="wps">
                  <w:drawing>
                    <wp:anchor distT="0" distB="0" distL="114300" distR="114300" simplePos="0" relativeHeight="251610624" behindDoc="0" locked="0" layoutInCell="1" allowOverlap="1" wp14:anchorId="4C5D893B" wp14:editId="61882C58">
                      <wp:simplePos x="0" y="0"/>
                      <wp:positionH relativeFrom="column">
                        <wp:posOffset>457200</wp:posOffset>
                      </wp:positionH>
                      <wp:positionV relativeFrom="paragraph">
                        <wp:posOffset>65405</wp:posOffset>
                      </wp:positionV>
                      <wp:extent cx="3200400" cy="0"/>
                      <wp:effectExtent l="9525" t="17780" r="9525" b="10795"/>
                      <wp:wrapNone/>
                      <wp:docPr id="459" name="Line 892" descr="P4989C8T5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355D5" id="Line 892" o:spid="_x0000_s1026" alt="&quot;&quot;"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5Iifi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4815EF2D" w14:textId="77777777" w:rsidR="002A21AE" w:rsidRDefault="002A21AE">
            <w:pPr>
              <w:pStyle w:val="NotesText"/>
            </w:pPr>
          </w:p>
          <w:p w14:paraId="0C855A2E" w14:textId="77777777" w:rsidR="002A21AE" w:rsidRDefault="002A21AE">
            <w:pPr>
              <w:pStyle w:val="NotesText"/>
            </w:pPr>
            <w:r>
              <w:rPr>
                <w:rFonts w:cs="Arial"/>
                <w:vanish/>
              </w:rPr>
              <w:t xml:space="preserve">BR_12.03 </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When the Traditional Supervisor attempts to </w:t>
            </w:r>
            <w:r w:rsidR="00932948">
              <w:t>inactivate</w:t>
            </w:r>
            <w:r>
              <w:t xml:space="preserve"> a unit’s record, VBECS warns the user.</w:t>
            </w:r>
            <w:r w:rsidR="000A70BE">
              <w:t xml:space="preserve"> A blood unit’s record cannot be destroyed or removed from the database for any reason. The system displays a warning message with no override to all users: “Inactivated unit records cannot be destroyed.”</w:t>
            </w:r>
          </w:p>
          <w:p w14:paraId="72E15F77" w14:textId="77777777" w:rsidR="003E636E" w:rsidRDefault="003E636E">
            <w:pPr>
              <w:pStyle w:val="NotesText"/>
              <w:rPr>
                <w:rFonts w:cs="Arial"/>
                <w:vanish/>
              </w:rPr>
            </w:pPr>
          </w:p>
          <w:p w14:paraId="4B184061" w14:textId="77777777" w:rsidR="002A21AE" w:rsidRDefault="00A74496">
            <w:pPr>
              <w:pStyle w:val="NotesText"/>
            </w:pPr>
            <w:r w:rsidRPr="00A74496">
              <w:rPr>
                <w:rFonts w:cs="Arial"/>
                <w:vanish/>
                <w:szCs w:val="18"/>
              </w:rPr>
              <w:t xml:space="preserve">BR_12.05 </w:t>
            </w:r>
            <w:r w:rsidR="00CE16C3" w:rsidRPr="00200B6D">
              <w:t>An inactiv</w:t>
            </w:r>
            <w:r w:rsidR="00234375" w:rsidRPr="00200B6D">
              <w:t>at</w:t>
            </w:r>
            <w:r w:rsidR="00CE16C3" w:rsidRPr="00200B6D">
              <w:t>e</w:t>
            </w:r>
            <w:r w:rsidR="00234375" w:rsidRPr="00200B6D">
              <w:t>d</w:t>
            </w:r>
            <w:r w:rsidRPr="00200B6D">
              <w:t xml:space="preserve"> unit is no</w:t>
            </w:r>
            <w:r w:rsidR="00CE16C3" w:rsidRPr="00200B6D">
              <w:t>t</w:t>
            </w:r>
            <w:r w:rsidRPr="00200B6D">
              <w:t xml:space="preserve"> </w:t>
            </w:r>
            <w:r>
              <w:t xml:space="preserve">accessible. The record </w:t>
            </w:r>
            <w:r w:rsidR="000A6572">
              <w:t>is available</w:t>
            </w:r>
            <w:r w:rsidR="00660511">
              <w:t xml:space="preserve"> in</w:t>
            </w:r>
            <w:r>
              <w:t xml:space="preserve"> the </w:t>
            </w:r>
            <w:r w:rsidR="00CE16C3">
              <w:t>A</w:t>
            </w:r>
            <w:r>
              <w:t xml:space="preserve">udit </w:t>
            </w:r>
            <w:r w:rsidR="00234375">
              <w:t xml:space="preserve">Trail </w:t>
            </w:r>
            <w:r w:rsidR="003E636E">
              <w:t xml:space="preserve">and Unit History </w:t>
            </w:r>
            <w:r w:rsidR="00CE16C3">
              <w:t>R</w:t>
            </w:r>
            <w:r>
              <w:t>eport</w:t>
            </w:r>
            <w:r w:rsidR="003E636E">
              <w:t>s</w:t>
            </w:r>
            <w:r>
              <w:t xml:space="preserve"> and </w:t>
            </w:r>
            <w:r w:rsidR="00660511">
              <w:t>in</w:t>
            </w:r>
            <w:r>
              <w:t xml:space="preserve"> division statistical and informational </w:t>
            </w:r>
            <w:r w:rsidR="00A10483">
              <w:t>reports. When</w:t>
            </w:r>
            <w:r w:rsidR="002A21AE">
              <w:t xml:space="preserve"> VBECS inactivates a unit, it also inactivates costs previously associated with that unit.</w:t>
            </w:r>
          </w:p>
          <w:p w14:paraId="7C6AB5A8" w14:textId="77777777" w:rsidR="002A21AE" w:rsidRDefault="002A21AE">
            <w:pPr>
              <w:pStyle w:val="NotesText"/>
            </w:pPr>
          </w:p>
          <w:p w14:paraId="24C7E7DE" w14:textId="77777777" w:rsidR="002A21AE" w:rsidRDefault="002A21AE">
            <w:pPr>
              <w:pStyle w:val="NotesText"/>
            </w:pPr>
            <w:r>
              <w:rPr>
                <w:rFonts w:cs="Arial"/>
                <w:vanish/>
              </w:rPr>
              <w:t xml:space="preserve">BR_70.11 </w:t>
            </w:r>
            <w:r>
              <w:t xml:space="preserve">The user may </w:t>
            </w:r>
            <w:r w:rsidR="002326F7">
              <w:rPr>
                <w:rFonts w:cs="Arial"/>
                <w:szCs w:val="18"/>
              </w:rPr>
              <w:t>i</w:t>
            </w:r>
            <w:r>
              <w:rPr>
                <w:rFonts w:cs="Arial"/>
                <w:szCs w:val="18"/>
              </w:rPr>
              <w:t>nactivate the</w:t>
            </w:r>
            <w:r>
              <w:t xml:space="preserve"> unit with prior but no current patient </w:t>
            </w:r>
            <w:r w:rsidR="00D43534">
              <w:t>assignments</w:t>
            </w:r>
            <w:r>
              <w:t xml:space="preserve">. VBECS requires a comment to explain the inactivation. </w:t>
            </w:r>
          </w:p>
          <w:p w14:paraId="2416F09D" w14:textId="77777777" w:rsidR="002326F7" w:rsidRDefault="002326F7">
            <w:pPr>
              <w:pStyle w:val="NotesText"/>
            </w:pPr>
          </w:p>
          <w:p w14:paraId="1F197D05" w14:textId="77777777" w:rsidR="002326F7" w:rsidRDefault="002326F7" w:rsidP="002326F7">
            <w:pPr>
              <w:pStyle w:val="NotesText"/>
            </w:pPr>
            <w:r>
              <w:t>Unit inactivation appears on the Audit Trail Report.</w:t>
            </w:r>
          </w:p>
        </w:tc>
      </w:tr>
      <w:tr w:rsidR="002A21AE" w14:paraId="6AD63F1A" w14:textId="77777777">
        <w:tc>
          <w:tcPr>
            <w:tcW w:w="3240" w:type="dxa"/>
            <w:tcBorders>
              <w:top w:val="single" w:sz="4" w:space="0" w:color="auto"/>
              <w:left w:val="single" w:sz="4" w:space="0" w:color="auto"/>
              <w:bottom w:val="single" w:sz="4" w:space="0" w:color="auto"/>
              <w:right w:val="single" w:sz="4" w:space="0" w:color="auto"/>
            </w:tcBorders>
          </w:tcPr>
          <w:p w14:paraId="71190FB8" w14:textId="77777777" w:rsidR="002A21AE" w:rsidRDefault="002A21AE">
            <w:pPr>
              <w:pStyle w:val="TableTextNumbers"/>
            </w:pPr>
            <w:r>
              <w:t>Enter a comment.</w:t>
            </w:r>
          </w:p>
          <w:p w14:paraId="697D0A3D" w14:textId="77777777" w:rsidR="002A21AE" w:rsidRDefault="002A21AE">
            <w:pPr>
              <w:pStyle w:val="TableTextNumbersContinued"/>
            </w:pPr>
          </w:p>
          <w:p w14:paraId="7CFEC4DC" w14:textId="77777777" w:rsidR="002A21AE" w:rsidRDefault="002A21AE">
            <w:pPr>
              <w:pStyle w:val="TableTextNumbersContinued"/>
            </w:pPr>
            <w:r>
              <w:t xml:space="preserve">Click </w:t>
            </w:r>
            <w:r>
              <w:rPr>
                <w:b/>
              </w:rPr>
              <w:t>OK</w:t>
            </w:r>
            <w:r>
              <w:t xml:space="preserve"> to save. </w:t>
            </w:r>
            <w:r w:rsidR="00F41673">
              <w:rPr>
                <w:vanish/>
                <w:color w:val="FFFFFF"/>
                <w:szCs w:val="18"/>
              </w:rPr>
              <w:fldChar w:fldCharType="begin"/>
            </w:r>
            <w:r w:rsidR="00F41673">
              <w:rPr>
                <w:vanish/>
                <w:color w:val="FFFFFF"/>
                <w:szCs w:val="18"/>
              </w:rPr>
              <w:instrText xml:space="preserve"> LISTNUM \l 1 \s 0 </w:instrText>
            </w:r>
            <w:r w:rsidR="00F41673">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54D3320B" w14:textId="77777777" w:rsidR="002A21AE" w:rsidRDefault="002A21AE">
            <w:pPr>
              <w:pStyle w:val="TableTextBullet"/>
            </w:pPr>
            <w:r>
              <w:t>Marks the selected unit record “inactive.”</w:t>
            </w:r>
          </w:p>
          <w:p w14:paraId="4533AF3B" w14:textId="77777777" w:rsidR="002A21AE" w:rsidRPr="00AE73C3" w:rsidRDefault="002A21AE" w:rsidP="00AE73C3">
            <w:pPr>
              <w:pStyle w:val="TableTextBullet"/>
            </w:pPr>
            <w:r>
              <w:t>Saves the record.</w:t>
            </w:r>
            <w:r w:rsidR="004840A0">
              <w:t xml:space="preserve"> </w:t>
            </w:r>
          </w:p>
        </w:tc>
      </w:tr>
    </w:tbl>
    <w:p w14:paraId="383FAC07" w14:textId="77777777" w:rsidR="002A21AE" w:rsidRDefault="002A21AE">
      <w:pPr>
        <w:pStyle w:val="Heading3"/>
      </w:pPr>
      <w:bookmarkStart w:id="370" w:name="_Toc4588789"/>
      <w:r>
        <w:t>Edit Financial Data</w:t>
      </w:r>
      <w:bookmarkEnd w:id="370"/>
      <w:r w:rsidRPr="007716F7">
        <w:rPr>
          <w:vanish/>
        </w:rPr>
        <w:fldChar w:fldCharType="begin"/>
      </w:r>
      <w:r w:rsidRPr="007716F7">
        <w:rPr>
          <w:vanish/>
        </w:rPr>
        <w:instrText xml:space="preserve"> XE </w:instrText>
      </w:r>
      <w:r w:rsidR="00FA7E65" w:rsidRPr="007716F7">
        <w:rPr>
          <w:vanish/>
        </w:rPr>
        <w:instrText>“</w:instrText>
      </w:r>
      <w:r w:rsidRPr="007716F7">
        <w:rPr>
          <w:vanish/>
        </w:rPr>
        <w:instrText>Edit Financial Data</w:instrText>
      </w:r>
      <w:r w:rsidR="00FA7E65" w:rsidRPr="007716F7">
        <w:rPr>
          <w:vanish/>
        </w:rPr>
        <w:instrText>”</w:instrText>
      </w:r>
      <w:r w:rsidRPr="007716F7">
        <w:rPr>
          <w:vanish/>
        </w:rPr>
        <w:instrText xml:space="preserve"> </w:instrText>
      </w:r>
      <w:r w:rsidRPr="007716F7">
        <w:rPr>
          <w:vanish/>
        </w:rPr>
        <w:fldChar w:fldCharType="end"/>
      </w:r>
      <w:r w:rsidRPr="007716F7">
        <w:rPr>
          <w:vanish/>
        </w:rPr>
        <w:t xml:space="preserve"> UC_14</w:t>
      </w:r>
    </w:p>
    <w:p w14:paraId="7DB74B73" w14:textId="77777777" w:rsidR="002A21AE" w:rsidRDefault="002A21AE" w:rsidP="00FA7E65">
      <w:pPr>
        <w:pStyle w:val="BodyText"/>
      </w:pPr>
      <w:r>
        <w:t>The user enters and/or edits charges associated with a unit after it is logged into inventory.</w:t>
      </w:r>
    </w:p>
    <w:p w14:paraId="7BD682D8" w14:textId="77777777" w:rsidR="002A21AE" w:rsidRDefault="002A21AE">
      <w:pPr>
        <w:pStyle w:val="Heading4"/>
      </w:pPr>
      <w:r>
        <w:t>Assumptions</w:t>
      </w:r>
      <w:r>
        <w:rPr>
          <w:b w:val="0"/>
        </w:rPr>
        <w:t xml:space="preserve"> </w:t>
      </w:r>
    </w:p>
    <w:p w14:paraId="6F669346" w14:textId="77777777" w:rsidR="002A21AE" w:rsidRDefault="002A21AE">
      <w:pPr>
        <w:pStyle w:val="ListBullet"/>
      </w:pPr>
      <w:r>
        <w:t>The user is logged into the division containing the unit to be edited.</w:t>
      </w:r>
    </w:p>
    <w:p w14:paraId="4D2CD98B" w14:textId="77777777" w:rsidR="002A21AE" w:rsidRDefault="002A21AE">
      <w:pPr>
        <w:pStyle w:val="Heading4"/>
      </w:pPr>
      <w:r>
        <w:t>Outcome</w:t>
      </w:r>
    </w:p>
    <w:p w14:paraId="4CA27FBD" w14:textId="77777777" w:rsidR="002A21AE" w:rsidRDefault="002A21AE">
      <w:pPr>
        <w:pStyle w:val="ListBullet"/>
      </w:pPr>
      <w:r>
        <w:t>Unit billing information was changed.</w:t>
      </w:r>
    </w:p>
    <w:p w14:paraId="110B5220" w14:textId="77777777" w:rsidR="002A21AE" w:rsidRDefault="002A21AE">
      <w:pPr>
        <w:pStyle w:val="Heading4"/>
        <w:rPr>
          <w:b w:val="0"/>
        </w:rPr>
      </w:pPr>
      <w:r>
        <w:t>Limitations and Restrictions</w:t>
      </w:r>
      <w:r>
        <w:rPr>
          <w:b w:val="0"/>
        </w:rPr>
        <w:t xml:space="preserve"> </w:t>
      </w:r>
    </w:p>
    <w:p w14:paraId="7A5A4EA4" w14:textId="19A55CDF" w:rsidR="002A21AE" w:rsidRPr="00657C98" w:rsidRDefault="00D4567F">
      <w:pPr>
        <w:pStyle w:val="ListBullet"/>
      </w:pPr>
      <w:r>
        <w:t>When a Technologist enters a unit ID and product code for a unit that is not in final status, VBECS does not enable the Special Test Cost field. An Enhanced Technologist or higher access can change the Special Test Cost field in the Edit Financial Data option.</w:t>
      </w:r>
      <w:r w:rsidR="00F8698E">
        <w:t xml:space="preserve"> </w:t>
      </w:r>
      <w:r w:rsidR="00F8698E" w:rsidRPr="00F8698E">
        <w:rPr>
          <w:vanish/>
        </w:rPr>
        <w:t>DR 5012</w:t>
      </w:r>
    </w:p>
    <w:p w14:paraId="77E8A90E" w14:textId="7FE41951" w:rsidR="00657C98" w:rsidRDefault="00657C98">
      <w:pPr>
        <w:pStyle w:val="ListBullet"/>
      </w:pPr>
      <w:r>
        <w:t xml:space="preserve">Cost entry is capped at 999.99. </w:t>
      </w:r>
      <w:r w:rsidRPr="00D141A2">
        <w:rPr>
          <w:vanish/>
        </w:rPr>
        <w:t xml:space="preserve">Defect </w:t>
      </w:r>
      <w:r w:rsidR="00D141A2" w:rsidRPr="00D141A2">
        <w:rPr>
          <w:vanish/>
        </w:rPr>
        <w:t>942523</w:t>
      </w:r>
    </w:p>
    <w:p w14:paraId="7587F28B" w14:textId="77777777" w:rsidR="002A21AE" w:rsidRDefault="002A21AE">
      <w:pPr>
        <w:pStyle w:val="Heading4"/>
      </w:pPr>
      <w:r>
        <w:t xml:space="preserve">Additional Information </w:t>
      </w:r>
    </w:p>
    <w:p w14:paraId="7B70C032" w14:textId="77777777" w:rsidR="002A21AE" w:rsidRDefault="002A21AE">
      <w:pPr>
        <w:pStyle w:val="ListBullet"/>
      </w:pPr>
      <w:r>
        <w:t>None</w:t>
      </w:r>
    </w:p>
    <w:p w14:paraId="2F8A2830" w14:textId="77777777" w:rsidR="002A21AE" w:rsidRDefault="002A21AE">
      <w:pPr>
        <w:pStyle w:val="Heading4"/>
        <w:rPr>
          <w:b w:val="0"/>
        </w:rPr>
      </w:pPr>
      <w:r>
        <w:t>User Roles with Access to This Option</w:t>
      </w:r>
      <w:r>
        <w:rPr>
          <w:b w:val="0"/>
        </w:rPr>
        <w:t xml:space="preserve"> </w:t>
      </w:r>
    </w:p>
    <w:p w14:paraId="6234942D" w14:textId="77777777" w:rsidR="00E01A40" w:rsidRDefault="00E01A40" w:rsidP="00E01A40">
      <w:pPr>
        <w:pStyle w:val="Roles"/>
        <w:rPr>
          <w:snapToGrid w:val="0"/>
        </w:rPr>
      </w:pPr>
      <w:r>
        <w:t>All users</w:t>
      </w:r>
      <w:r>
        <w:rPr>
          <w:snapToGrid w:val="0"/>
        </w:rPr>
        <w:t xml:space="preserve"> </w:t>
      </w:r>
    </w:p>
    <w:p w14:paraId="16255AEA" w14:textId="77777777" w:rsidR="002A21AE" w:rsidRDefault="00F8698E">
      <w:pPr>
        <w:pStyle w:val="Heading4"/>
      </w:pPr>
      <w:r>
        <w:br w:type="page"/>
      </w:r>
      <w:r w:rsidR="002A21AE">
        <w:lastRenderedPageBreak/>
        <w:t>Edit Financial Data</w:t>
      </w:r>
    </w:p>
    <w:p w14:paraId="321D914F" w14:textId="77777777" w:rsidR="002A21AE" w:rsidRDefault="002A21AE" w:rsidP="00FA7E65">
      <w:pPr>
        <w:pStyle w:val="BodyText"/>
      </w:pPr>
      <w:r>
        <w:t xml:space="preserve">The user adds and/or edits a unit charge. The user confirms the unit selection, enters the dollar amount of the charge, and reviews and accepts the charge entered.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A3D949C" w14:textId="77777777">
        <w:trPr>
          <w:cantSplit/>
          <w:tblHeader/>
        </w:trPr>
        <w:tc>
          <w:tcPr>
            <w:tcW w:w="3240" w:type="dxa"/>
            <w:shd w:val="pct30" w:color="auto" w:fill="FFFFFF"/>
            <w:vAlign w:val="bottom"/>
          </w:tcPr>
          <w:p w14:paraId="335C566C" w14:textId="77777777" w:rsidR="002A21AE" w:rsidRDefault="002A21AE">
            <w:pPr>
              <w:pStyle w:val="TableText"/>
              <w:rPr>
                <w:b/>
              </w:rPr>
            </w:pPr>
            <w:r>
              <w:rPr>
                <w:b/>
              </w:rPr>
              <w:t>User Action</w:t>
            </w:r>
          </w:p>
        </w:tc>
        <w:tc>
          <w:tcPr>
            <w:tcW w:w="6120" w:type="dxa"/>
            <w:shd w:val="pct30" w:color="auto" w:fill="FFFFFF"/>
            <w:vAlign w:val="bottom"/>
          </w:tcPr>
          <w:p w14:paraId="786C3516" w14:textId="77777777" w:rsidR="002A21AE" w:rsidRDefault="002A21AE">
            <w:pPr>
              <w:pStyle w:val="TableText"/>
              <w:rPr>
                <w:b/>
              </w:rPr>
            </w:pPr>
            <w:r>
              <w:rPr>
                <w:b/>
              </w:rPr>
              <w:t>VBECS</w:t>
            </w:r>
          </w:p>
        </w:tc>
      </w:tr>
      <w:tr w:rsidR="002A21AE" w14:paraId="6B5B473B" w14:textId="77777777">
        <w:tc>
          <w:tcPr>
            <w:tcW w:w="3240" w:type="dxa"/>
          </w:tcPr>
          <w:p w14:paraId="577B1C2E" w14:textId="77777777" w:rsidR="002A21AE" w:rsidRDefault="002A21AE">
            <w:pPr>
              <w:pStyle w:val="TableTextNumbers"/>
            </w:pPr>
            <w:r>
              <w:t xml:space="preserve">Select </w:t>
            </w:r>
            <w:r>
              <w:rPr>
                <w:b/>
              </w:rPr>
              <w:t>Blood Units</w:t>
            </w:r>
            <w:r>
              <w:t xml:space="preserve"> from the main menu. </w:t>
            </w:r>
          </w:p>
          <w:p w14:paraId="28F5060D" w14:textId="77777777" w:rsidR="002A21AE" w:rsidRDefault="002A21AE">
            <w:pPr>
              <w:pStyle w:val="TableTextNumbersContinued"/>
            </w:pPr>
          </w:p>
          <w:p w14:paraId="5AF5E56E" w14:textId="77777777" w:rsidR="002A21AE" w:rsidRDefault="002A21AE">
            <w:pPr>
              <w:pStyle w:val="TableTextNumbersContinued"/>
            </w:pPr>
            <w:r>
              <w:t xml:space="preserve">Select </w:t>
            </w:r>
            <w:r>
              <w:rPr>
                <w:b/>
                <w:bCs/>
              </w:rPr>
              <w:t>Edit Financial Data</w:t>
            </w:r>
            <w:r>
              <w:t>.</w:t>
            </w:r>
          </w:p>
        </w:tc>
        <w:tc>
          <w:tcPr>
            <w:tcW w:w="6120" w:type="dxa"/>
          </w:tcPr>
          <w:p w14:paraId="266F9C75" w14:textId="77777777" w:rsidR="002A21AE" w:rsidRDefault="002A21AE">
            <w:pPr>
              <w:pStyle w:val="TableTextBullet"/>
            </w:pPr>
            <w:r>
              <w:t>Displays options for processing blood units.</w:t>
            </w:r>
          </w:p>
          <w:p w14:paraId="22D1F2C5" w14:textId="77777777" w:rsidR="002A21AE" w:rsidRDefault="002A21AE">
            <w:pPr>
              <w:pStyle w:val="TableTextBullet"/>
            </w:pPr>
            <w:r>
              <w:t>Displays fields for selecting a unit and editing its financial data.</w:t>
            </w:r>
          </w:p>
        </w:tc>
      </w:tr>
      <w:tr w:rsidR="002A21AE" w14:paraId="4164B49F" w14:textId="77777777">
        <w:trPr>
          <w:tblHeader/>
        </w:trPr>
        <w:tc>
          <w:tcPr>
            <w:tcW w:w="3240" w:type="dxa"/>
          </w:tcPr>
          <w:p w14:paraId="27C89035" w14:textId="77777777" w:rsidR="002A21AE" w:rsidRDefault="002A21AE">
            <w:pPr>
              <w:pStyle w:val="TableTextNumbers"/>
            </w:pPr>
            <w:r>
              <w:t xml:space="preserve">Scan or enter a unit ID or product code, or click the </w:t>
            </w:r>
            <w:r w:rsidR="00A6373D">
              <w:rPr>
                <w:b/>
              </w:rPr>
              <w:t>find</w:t>
            </w:r>
            <w:r>
              <w:rPr>
                <w:b/>
              </w:rPr>
              <w:t xml:space="preserve"> </w:t>
            </w:r>
            <w:r w:rsidRPr="00D1100E">
              <w:t>button</w:t>
            </w:r>
            <w:r>
              <w:t xml:space="preserve"> to select a unit from the drop-down list.</w:t>
            </w:r>
          </w:p>
        </w:tc>
        <w:tc>
          <w:tcPr>
            <w:tcW w:w="6120" w:type="dxa"/>
          </w:tcPr>
          <w:p w14:paraId="5450F8C6" w14:textId="77777777" w:rsidR="002A21AE" w:rsidRDefault="002A21AE">
            <w:pPr>
              <w:pStyle w:val="TableTextBullet"/>
            </w:pPr>
            <w:r>
              <w:t>Displays unit data.</w:t>
            </w:r>
          </w:p>
        </w:tc>
      </w:tr>
      <w:tr w:rsidR="002A21AE" w14:paraId="6F86B85D" w14:textId="77777777">
        <w:tc>
          <w:tcPr>
            <w:tcW w:w="3240" w:type="dxa"/>
          </w:tcPr>
          <w:p w14:paraId="4F7218CB" w14:textId="715FCE64" w:rsidR="002A21AE" w:rsidRDefault="002A21AE">
            <w:pPr>
              <w:pStyle w:val="TableTextNumbers"/>
            </w:pPr>
            <w:r>
              <w:t>Edit the Base Cost, Special Test Cost, and/or Return Credit fields</w:t>
            </w:r>
            <w:r w:rsidR="009A7383">
              <w:t xml:space="preserve"> (</w:t>
            </w:r>
            <w:r w:rsidR="009A7383">
              <w:fldChar w:fldCharType="begin" w:fldLock="1"/>
            </w:r>
            <w:r w:rsidR="009A7383">
              <w:instrText xml:space="preserve"> REF _Ref126652778 \h </w:instrText>
            </w:r>
            <w:r w:rsidR="009A7383">
              <w:fldChar w:fldCharType="separate"/>
            </w:r>
            <w:r w:rsidR="00AB304C">
              <w:t xml:space="preserve">Figure </w:t>
            </w:r>
            <w:r w:rsidR="00AB304C">
              <w:rPr>
                <w:noProof/>
              </w:rPr>
              <w:t>97</w:t>
            </w:r>
            <w:r w:rsidR="009A7383">
              <w:fldChar w:fldCharType="end"/>
            </w:r>
            <w:r w:rsidR="009A7383">
              <w:t>)</w:t>
            </w:r>
            <w:r>
              <w:t>.</w:t>
            </w:r>
          </w:p>
        </w:tc>
        <w:tc>
          <w:tcPr>
            <w:tcW w:w="6120" w:type="dxa"/>
          </w:tcPr>
          <w:p w14:paraId="672E0633" w14:textId="77777777" w:rsidR="002A21AE" w:rsidRDefault="002A21AE">
            <w:pPr>
              <w:pStyle w:val="TableTextBullet"/>
            </w:pPr>
            <w:r>
              <w:t>Allows the user to edit the fields in the Financial Information area.</w:t>
            </w:r>
          </w:p>
          <w:p w14:paraId="6BB0C64A" w14:textId="77777777" w:rsidR="002A21AE" w:rsidRDefault="002A21AE">
            <w:pPr>
              <w:pStyle w:val="TableTextBullet"/>
            </w:pPr>
            <w:r>
              <w:t>Displays the edited data.</w:t>
            </w:r>
          </w:p>
          <w:p w14:paraId="77B3F712" w14:textId="77777777" w:rsidR="002A21AE" w:rsidRDefault="002A21AE">
            <w:pPr>
              <w:pStyle w:val="TableText"/>
            </w:pPr>
          </w:p>
          <w:p w14:paraId="4E1A66D9" w14:textId="77777777" w:rsidR="002A21AE" w:rsidRDefault="00057948">
            <w:pPr>
              <w:pStyle w:val="TableText"/>
              <w:rPr>
                <w:b/>
                <w:bCs/>
                <w:szCs w:val="18"/>
              </w:rPr>
            </w:pPr>
            <w:r>
              <w:rPr>
                <w:b/>
                <w:bCs/>
                <w:noProof/>
              </w:rPr>
              <mc:AlternateContent>
                <mc:Choice Requires="wps">
                  <w:drawing>
                    <wp:anchor distT="0" distB="0" distL="114300" distR="114300" simplePos="0" relativeHeight="251238912" behindDoc="0" locked="0" layoutInCell="1" allowOverlap="1" wp14:anchorId="67AB6C61" wp14:editId="401A0D27">
                      <wp:simplePos x="0" y="0"/>
                      <wp:positionH relativeFrom="column">
                        <wp:posOffset>457200</wp:posOffset>
                      </wp:positionH>
                      <wp:positionV relativeFrom="paragraph">
                        <wp:posOffset>65405</wp:posOffset>
                      </wp:positionV>
                      <wp:extent cx="3200400" cy="0"/>
                      <wp:effectExtent l="9525" t="17780" r="9525" b="10795"/>
                      <wp:wrapNone/>
                      <wp:docPr id="458" name="Line 186" descr="P5035C8T5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440A1" id="Line 186" o:spid="_x0000_s1026" alt="&quot;&quot;" style="position:absolute;z-index:2512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fsJT1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65E86FAB" w14:textId="77777777" w:rsidR="002A21AE" w:rsidRDefault="002A21AE">
            <w:pPr>
              <w:pStyle w:val="NotesText"/>
            </w:pPr>
          </w:p>
          <w:p w14:paraId="2110CEFC" w14:textId="77777777" w:rsidR="002A21AE" w:rsidRDefault="002A21AE">
            <w:pPr>
              <w:pStyle w:val="NotesText"/>
            </w:pPr>
            <w:r w:rsidRPr="00EC7489">
              <w:rPr>
                <w:rFonts w:ascii="Wingdings 3" w:hAnsi="Wingdings 3" w:cs="Wingdings"/>
              </w:rPr>
              <w:t></w:t>
            </w:r>
            <w:r w:rsidRPr="00EC7489">
              <w:rPr>
                <w:rFonts w:ascii="Wingdings 3" w:hAnsi="Wingdings 3" w:cs="Wingdings"/>
              </w:rPr>
              <w:t></w:t>
            </w:r>
            <w:r>
              <w:t xml:space="preserve"> The Enhanced Technologist may edit existing amounts.</w:t>
            </w:r>
          </w:p>
          <w:p w14:paraId="1CE1678D" w14:textId="77777777" w:rsidR="002A21AE" w:rsidRDefault="002A21AE">
            <w:pPr>
              <w:pStyle w:val="NotesText"/>
            </w:pPr>
          </w:p>
          <w:p w14:paraId="0E4E4313" w14:textId="77777777" w:rsidR="002A21AE" w:rsidRDefault="002A21AE">
            <w:pPr>
              <w:pStyle w:val="NotesText"/>
            </w:pPr>
            <w:r>
              <w:rPr>
                <w:rFonts w:cs="Arial"/>
                <w:vanish/>
              </w:rPr>
              <w:t xml:space="preserve">BR_1.46 </w:t>
            </w:r>
            <w:r>
              <w:t xml:space="preserve">VBECS allows the user to enter a single special typing cost (the sum of charges from $1.00 to $999.00, other than the base unit cost, added to a unit by the shipper) to associate with a unit. </w:t>
            </w:r>
          </w:p>
          <w:p w14:paraId="6B6FE1E1" w14:textId="77777777" w:rsidR="002A21AE" w:rsidRDefault="002A21AE">
            <w:pPr>
              <w:pStyle w:val="NotesText"/>
            </w:pPr>
          </w:p>
          <w:p w14:paraId="3E39547F" w14:textId="77777777" w:rsidR="002A21AE" w:rsidRDefault="002A21AE">
            <w:pPr>
              <w:pStyle w:val="NotesText"/>
            </w:pPr>
            <w:r>
              <w:t>When no special typing costs are entered through Incoming Shipment, a user may enter them in this option until the unit is in a final status.</w:t>
            </w:r>
          </w:p>
          <w:p w14:paraId="386B6B5F" w14:textId="77777777" w:rsidR="002A21AE" w:rsidRDefault="002A21AE">
            <w:pPr>
              <w:pStyle w:val="NotesText"/>
            </w:pPr>
          </w:p>
          <w:p w14:paraId="0C02F02F" w14:textId="77777777" w:rsidR="002A21AE" w:rsidRDefault="002A21AE">
            <w:pPr>
              <w:pStyle w:val="NotesText"/>
            </w:pPr>
            <w:r>
              <w:rPr>
                <w:rFonts w:cs="Arial"/>
                <w:vanish/>
              </w:rPr>
              <w:t xml:space="preserve">BR_14.02 </w:t>
            </w:r>
            <w:r w:rsidRPr="00EC7489">
              <w:rPr>
                <w:rFonts w:ascii="Wingdings 3" w:hAnsi="Wingdings 3" w:cs="Wingdings"/>
              </w:rPr>
              <w:t></w:t>
            </w:r>
            <w:r w:rsidRPr="00EC7489">
              <w:rPr>
                <w:rFonts w:ascii="Wingdings 3" w:hAnsi="Wingdings 3" w:cs="Wingdings"/>
              </w:rPr>
              <w:t></w:t>
            </w:r>
            <w:r>
              <w:t xml:space="preserve"> The Enhanced Technologist may edit a previously entered unit cost (unit base cost, return credit or special testing cost).</w:t>
            </w:r>
          </w:p>
          <w:p w14:paraId="67C4F84A" w14:textId="77777777" w:rsidR="002A21AE" w:rsidRDefault="002A21AE">
            <w:pPr>
              <w:pStyle w:val="NotesText"/>
            </w:pPr>
          </w:p>
          <w:p w14:paraId="0A761816" w14:textId="77777777" w:rsidR="002A21AE" w:rsidRDefault="002A21AE">
            <w:pPr>
              <w:pStyle w:val="NotesText"/>
            </w:pPr>
            <w:r>
              <w:rPr>
                <w:rFonts w:cs="Arial"/>
                <w:vanish/>
              </w:rPr>
              <w:t xml:space="preserve">BR_14.01 </w:t>
            </w:r>
            <w:r>
              <w:t>VBECS displays a return credit in U.S. currency (defined by the return credit percentage multiplied by the base unit cost for the blood product type in Blood Products). A user may enter a return credit amount only when VBECS assigned the return credit percentage through Outgoing Shipment or Discard or Quarantine. Otherwise, VBECS disables the Return Credit field.</w:t>
            </w:r>
          </w:p>
        </w:tc>
      </w:tr>
      <w:tr w:rsidR="002A21AE" w14:paraId="78384BDF" w14:textId="77777777">
        <w:tc>
          <w:tcPr>
            <w:tcW w:w="3240" w:type="dxa"/>
          </w:tcPr>
          <w:p w14:paraId="1E5BC6B7" w14:textId="77777777" w:rsidR="002A21AE" w:rsidRDefault="002A21AE">
            <w:pPr>
              <w:pStyle w:val="TableTextNumbers"/>
            </w:pPr>
            <w:r>
              <w:t xml:space="preserve">Review the data, click </w:t>
            </w:r>
            <w:r>
              <w:rPr>
                <w:b/>
              </w:rPr>
              <w:t xml:space="preserve">OK </w:t>
            </w:r>
            <w:r>
              <w:t xml:space="preserve">to save, and click </w:t>
            </w:r>
            <w:r>
              <w:rPr>
                <w:b/>
              </w:rPr>
              <w:t>OK</w:t>
            </w:r>
            <w:r>
              <w:t xml:space="preserve"> again to confirm the save.</w:t>
            </w:r>
          </w:p>
        </w:tc>
        <w:tc>
          <w:tcPr>
            <w:tcW w:w="6120" w:type="dxa"/>
          </w:tcPr>
          <w:p w14:paraId="41E328EE" w14:textId="77777777" w:rsidR="002A21AE" w:rsidRDefault="002A21AE">
            <w:pPr>
              <w:pStyle w:val="TableTextBullet"/>
            </w:pPr>
            <w:r>
              <w:t>Requests confirmation to update the database.</w:t>
            </w:r>
          </w:p>
          <w:p w14:paraId="42A6131E" w14:textId="77777777" w:rsidR="002A21AE" w:rsidRDefault="002A21AE">
            <w:pPr>
              <w:pStyle w:val="TableTextBullet"/>
            </w:pPr>
            <w:r>
              <w:t>Saves and updates the unit record.</w:t>
            </w:r>
          </w:p>
        </w:tc>
      </w:tr>
      <w:tr w:rsidR="002A21AE" w14:paraId="1C23E324" w14:textId="77777777">
        <w:tc>
          <w:tcPr>
            <w:tcW w:w="3240" w:type="dxa"/>
          </w:tcPr>
          <w:p w14:paraId="22C3B262" w14:textId="77777777" w:rsidR="002A21AE" w:rsidRDefault="002A21AE">
            <w:pPr>
              <w:pStyle w:val="TableTextNumbers"/>
            </w:pPr>
            <w:r>
              <w:t>Repeat Steps 2–4, as needed, to update additional unit financial data.</w:t>
            </w:r>
          </w:p>
        </w:tc>
        <w:tc>
          <w:tcPr>
            <w:tcW w:w="6120" w:type="dxa"/>
          </w:tcPr>
          <w:p w14:paraId="489F238E" w14:textId="77777777" w:rsidR="002A21AE" w:rsidRDefault="002A21AE">
            <w:pPr>
              <w:pStyle w:val="TableText"/>
            </w:pPr>
          </w:p>
        </w:tc>
      </w:tr>
      <w:tr w:rsidR="002A21AE" w14:paraId="396D6ABA" w14:textId="77777777">
        <w:tc>
          <w:tcPr>
            <w:tcW w:w="3240" w:type="dxa"/>
          </w:tcPr>
          <w:p w14:paraId="27CDACC7" w14:textId="77777777" w:rsidR="002A21AE" w:rsidRDefault="002A21AE">
            <w:pPr>
              <w:pStyle w:val="TableTextNumbers"/>
            </w:pPr>
            <w:r>
              <w:t xml:space="preserve">Click </w:t>
            </w:r>
            <w:r>
              <w:rPr>
                <w:b/>
              </w:rPr>
              <w:t>Cancel</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186A19D3" w14:textId="77777777" w:rsidR="002A21AE" w:rsidRDefault="002A21AE">
            <w:pPr>
              <w:pStyle w:val="TableText"/>
            </w:pPr>
          </w:p>
        </w:tc>
      </w:tr>
    </w:tbl>
    <w:p w14:paraId="35A42874" w14:textId="219B9DAD" w:rsidR="009A7383" w:rsidRDefault="009A7383" w:rsidP="009A7383">
      <w:pPr>
        <w:pStyle w:val="Caption"/>
      </w:pPr>
      <w:bookmarkStart w:id="371" w:name="_Ref126652778"/>
      <w:bookmarkStart w:id="372" w:name="_Toc63680364"/>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97</w:t>
      </w:r>
      <w:r w:rsidR="004E20BD">
        <w:rPr>
          <w:noProof/>
        </w:rPr>
        <w:fldChar w:fldCharType="end"/>
      </w:r>
      <w:bookmarkEnd w:id="371"/>
      <w:r>
        <w:t>: Edit Unit Financial Data</w:t>
      </w:r>
    </w:p>
    <w:p w14:paraId="75B0BD88" w14:textId="77777777" w:rsidR="009A7383" w:rsidRDefault="00057948" w:rsidP="009A7383">
      <w:pPr>
        <w:pStyle w:val="BodyText"/>
      </w:pPr>
      <w:r>
        <w:rPr>
          <w:noProof/>
        </w:rPr>
        <w:drawing>
          <wp:inline distT="0" distB="0" distL="0" distR="0" wp14:anchorId="11B17E45" wp14:editId="42775B33">
            <wp:extent cx="5523230" cy="3879215"/>
            <wp:effectExtent l="0" t="0" r="1270" b="6985"/>
            <wp:docPr id="182" name="Picture 182" descr="P5058#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P5058#yIS1">
                      <a:extLst>
                        <a:ext uri="{C183D7F6-B498-43B3-948B-1728B52AA6E4}">
                          <adec:decorative xmlns:adec="http://schemas.microsoft.com/office/drawing/2017/decorative" val="1"/>
                        </a:ext>
                      </a:extLst>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523230" cy="3879215"/>
                    </a:xfrm>
                    <a:prstGeom prst="rect">
                      <a:avLst/>
                    </a:prstGeom>
                    <a:noFill/>
                    <a:ln>
                      <a:noFill/>
                    </a:ln>
                  </pic:spPr>
                </pic:pic>
              </a:graphicData>
            </a:graphic>
          </wp:inline>
        </w:drawing>
      </w:r>
    </w:p>
    <w:p w14:paraId="186410FB" w14:textId="77777777" w:rsidR="002A21AE" w:rsidRDefault="002A21AE">
      <w:pPr>
        <w:pStyle w:val="Heading3"/>
      </w:pPr>
      <w:bookmarkStart w:id="373" w:name="_Toc4588790"/>
      <w:r>
        <w:t>Free Directed Unit For Crossover</w:t>
      </w:r>
      <w:bookmarkEnd w:id="373"/>
      <w:r w:rsidRPr="007716F7">
        <w:rPr>
          <w:vanish/>
        </w:rPr>
        <w:fldChar w:fldCharType="begin"/>
      </w:r>
      <w:r w:rsidRPr="007716F7">
        <w:rPr>
          <w:vanish/>
        </w:rPr>
        <w:instrText xml:space="preserve"> XE </w:instrText>
      </w:r>
      <w:r w:rsidR="00FA7E65" w:rsidRPr="007716F7">
        <w:rPr>
          <w:vanish/>
        </w:rPr>
        <w:instrText>“</w:instrText>
      </w:r>
      <w:r w:rsidRPr="007716F7">
        <w:rPr>
          <w:vanish/>
        </w:rPr>
        <w:instrText>Free Directed Unit For Crossover</w:instrText>
      </w:r>
      <w:r w:rsidR="00FA7E65" w:rsidRPr="007716F7">
        <w:rPr>
          <w:vanish/>
        </w:rPr>
        <w:instrText>”</w:instrText>
      </w:r>
      <w:r w:rsidRPr="007716F7">
        <w:rPr>
          <w:vanish/>
        </w:rPr>
        <w:instrText xml:space="preserve"> </w:instrText>
      </w:r>
      <w:r w:rsidRPr="007716F7">
        <w:rPr>
          <w:vanish/>
        </w:rPr>
        <w:fldChar w:fldCharType="end"/>
      </w:r>
      <w:r w:rsidRPr="007716F7">
        <w:rPr>
          <w:vanish/>
        </w:rPr>
        <w:t xml:space="preserve"> UC_71</w:t>
      </w:r>
    </w:p>
    <w:p w14:paraId="51EC295A" w14:textId="77777777" w:rsidR="002A21AE" w:rsidRDefault="002A21AE" w:rsidP="00FA7E65">
      <w:pPr>
        <w:pStyle w:val="BodyText"/>
      </w:pPr>
      <w:r>
        <w:t xml:space="preserve">The user removes a patient restriction </w:t>
      </w:r>
      <w:r w:rsidR="00757A26">
        <w:t>from</w:t>
      </w:r>
      <w:r>
        <w:t xml:space="preserve"> a directed unit that is eligible for crossover, making that unit available for any patient, according to system rules. </w:t>
      </w:r>
    </w:p>
    <w:p w14:paraId="6BFB3610" w14:textId="77777777" w:rsidR="002A21AE" w:rsidRDefault="002A21AE">
      <w:pPr>
        <w:pStyle w:val="Heading4"/>
      </w:pPr>
      <w:r>
        <w:t>Assumptions</w:t>
      </w:r>
      <w:r>
        <w:rPr>
          <w:b w:val="0"/>
        </w:rPr>
        <w:t xml:space="preserve"> </w:t>
      </w:r>
    </w:p>
    <w:p w14:paraId="1F55F1E2" w14:textId="77777777" w:rsidR="00852AC1" w:rsidRDefault="00852AC1">
      <w:pPr>
        <w:pStyle w:val="ListBullet"/>
      </w:pPr>
      <w:r>
        <w:t>The division is “full service.”</w:t>
      </w:r>
    </w:p>
    <w:p w14:paraId="3F2D3E7F" w14:textId="77777777" w:rsidR="002A21AE" w:rsidRDefault="002A21AE">
      <w:pPr>
        <w:pStyle w:val="ListBullet"/>
      </w:pPr>
      <w:r>
        <w:t>The unit and the user are in a blood bank in the same division.</w:t>
      </w:r>
    </w:p>
    <w:p w14:paraId="45C36E58" w14:textId="77777777" w:rsidR="002A21AE" w:rsidRDefault="002A21AE">
      <w:pPr>
        <w:pStyle w:val="ListBullet"/>
      </w:pPr>
      <w:r>
        <w:t>The unit is restricted for a patient.</w:t>
      </w:r>
    </w:p>
    <w:p w14:paraId="756D087F" w14:textId="77777777" w:rsidR="002A21AE" w:rsidRDefault="002A21AE">
      <w:pPr>
        <w:pStyle w:val="ListBullet"/>
      </w:pPr>
      <w:r>
        <w:t xml:space="preserve">The unit is not autologous. </w:t>
      </w:r>
    </w:p>
    <w:p w14:paraId="72EBEADE" w14:textId="77777777" w:rsidR="002A21AE" w:rsidRDefault="002A21AE">
      <w:pPr>
        <w:pStyle w:val="ListBullet"/>
      </w:pPr>
      <w:r>
        <w:t>The unit is not in a final status.</w:t>
      </w:r>
    </w:p>
    <w:p w14:paraId="5F9E34DE" w14:textId="77777777" w:rsidR="002A21AE" w:rsidRDefault="002A21AE">
      <w:pPr>
        <w:pStyle w:val="Heading4"/>
      </w:pPr>
      <w:r>
        <w:t xml:space="preserve">Outcome </w:t>
      </w:r>
    </w:p>
    <w:p w14:paraId="535F09FB" w14:textId="77777777" w:rsidR="002A21AE" w:rsidRDefault="002A21AE">
      <w:pPr>
        <w:pStyle w:val="ListBullet"/>
      </w:pPr>
      <w:r>
        <w:t>The unit has no restrictions.</w:t>
      </w:r>
    </w:p>
    <w:p w14:paraId="000EBA27" w14:textId="77777777" w:rsidR="002A21AE" w:rsidRDefault="002A21AE">
      <w:pPr>
        <w:pStyle w:val="ListBullet"/>
      </w:pPr>
      <w:r>
        <w:t>VBECS documents the restriction and its removal in the unit record.</w:t>
      </w:r>
    </w:p>
    <w:p w14:paraId="50082716" w14:textId="77777777" w:rsidR="002A21AE" w:rsidRDefault="007A4F14">
      <w:pPr>
        <w:pStyle w:val="Heading4"/>
      </w:pPr>
      <w:r>
        <w:br w:type="page"/>
      </w:r>
      <w:r w:rsidR="002A21AE">
        <w:lastRenderedPageBreak/>
        <w:t>Limitations and Restrictions</w:t>
      </w:r>
      <w:r w:rsidR="002A21AE">
        <w:rPr>
          <w:b w:val="0"/>
        </w:rPr>
        <w:t xml:space="preserve"> </w:t>
      </w:r>
    </w:p>
    <w:p w14:paraId="63D04451" w14:textId="77777777" w:rsidR="002A21AE" w:rsidRDefault="002A21AE">
      <w:pPr>
        <w:pStyle w:val="ListBullet"/>
      </w:pPr>
      <w:r>
        <w:t xml:space="preserve">The unit must not be in a final status to release the restriction. </w:t>
      </w:r>
    </w:p>
    <w:p w14:paraId="47D9D049" w14:textId="77777777" w:rsidR="002A21AE" w:rsidRDefault="002A21AE">
      <w:pPr>
        <w:pStyle w:val="ListBullet"/>
      </w:pPr>
      <w:r>
        <w:t>This option does not allow the removal of patient restrictions for most of the ISBT donation types that are eligible for crossover</w:t>
      </w:r>
      <w:r w:rsidR="00651291">
        <w:t>.</w:t>
      </w:r>
    </w:p>
    <w:p w14:paraId="0A1859D6" w14:textId="77777777" w:rsidR="002A21AE" w:rsidRDefault="002A21AE">
      <w:pPr>
        <w:pStyle w:val="ListBullet"/>
      </w:pPr>
      <w:r>
        <w:t>This option cannot process multiple directed units simultaneously.</w:t>
      </w:r>
    </w:p>
    <w:p w14:paraId="633B2DFF" w14:textId="77777777" w:rsidR="002A21AE" w:rsidRDefault="002A21AE">
      <w:pPr>
        <w:pStyle w:val="Heading4"/>
      </w:pPr>
      <w:r>
        <w:t xml:space="preserve">Additional Information </w:t>
      </w:r>
    </w:p>
    <w:p w14:paraId="706085DF" w14:textId="77777777" w:rsidR="00852AC1" w:rsidRPr="00852AC1" w:rsidRDefault="00852AC1" w:rsidP="00852AC1">
      <w:pPr>
        <w:pStyle w:val="ListBullet"/>
      </w:pPr>
      <w:r w:rsidRPr="00852AC1">
        <w:rPr>
          <w:snapToGrid w:val="0"/>
          <w:vanish/>
        </w:rPr>
        <w:t>BR_41.32</w:t>
      </w:r>
      <w:r>
        <w:rPr>
          <w:snapToGrid w:val="0"/>
        </w:rPr>
        <w:t xml:space="preserve">This option is disabled for transfusion-only facilities. </w:t>
      </w:r>
    </w:p>
    <w:p w14:paraId="41FCADFA" w14:textId="77777777" w:rsidR="002A21AE" w:rsidRDefault="002A21AE">
      <w:pPr>
        <w:pStyle w:val="Heading4"/>
        <w:rPr>
          <w:b w:val="0"/>
        </w:rPr>
      </w:pPr>
      <w:r>
        <w:t>User Roles with Access to This Option</w:t>
      </w:r>
      <w:r>
        <w:rPr>
          <w:b w:val="0"/>
        </w:rPr>
        <w:t xml:space="preserve"> </w:t>
      </w:r>
    </w:p>
    <w:p w14:paraId="15AB344D" w14:textId="77777777" w:rsidR="002A21AE" w:rsidRDefault="00CD2BE3">
      <w:pPr>
        <w:pStyle w:val="Roles"/>
        <w:rPr>
          <w:snapToGrid w:val="0"/>
        </w:rPr>
      </w:pPr>
      <w:r w:rsidRPr="00EC7489">
        <w:rPr>
          <w:rFonts w:ascii="Wingdings 3" w:hAnsi="Wingdings 3" w:cs="Wingdings"/>
        </w:rPr>
        <w:t></w:t>
      </w:r>
      <w:r w:rsidRPr="00EC7489">
        <w:rPr>
          <w:rFonts w:ascii="Wingdings 3" w:hAnsi="Wingdings 3" w:cs="Wingdings"/>
        </w:rPr>
        <w:t></w:t>
      </w:r>
      <w:r>
        <w:t xml:space="preserve"> Enhanced Technologist</w:t>
      </w:r>
    </w:p>
    <w:p w14:paraId="640237B3" w14:textId="77777777" w:rsidR="002A21AE" w:rsidRDefault="002A21AE">
      <w:pPr>
        <w:pStyle w:val="Heading4"/>
      </w:pPr>
      <w:r>
        <w:t>Free Directed Unit For Crossover</w:t>
      </w:r>
    </w:p>
    <w:p w14:paraId="441FC40A" w14:textId="77777777" w:rsidR="002A21AE" w:rsidRDefault="002A21AE" w:rsidP="00FA7E65">
      <w:pPr>
        <w:pStyle w:val="BodyText"/>
      </w:pPr>
      <w:r>
        <w:t>The user releases the restriction on a directed donor unit to make the unit available in general inventory.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0200BF2E" w14:textId="77777777">
        <w:trPr>
          <w:cantSplit/>
          <w:tblHeader/>
        </w:trPr>
        <w:tc>
          <w:tcPr>
            <w:tcW w:w="3240" w:type="dxa"/>
            <w:shd w:val="pct30" w:color="auto" w:fill="FFFFFF"/>
            <w:vAlign w:val="bottom"/>
          </w:tcPr>
          <w:p w14:paraId="11B090B2" w14:textId="77777777" w:rsidR="002A21AE" w:rsidRDefault="002A21AE">
            <w:pPr>
              <w:pStyle w:val="TableText"/>
              <w:rPr>
                <w:b/>
              </w:rPr>
            </w:pPr>
            <w:r>
              <w:rPr>
                <w:b/>
              </w:rPr>
              <w:t>User Action</w:t>
            </w:r>
          </w:p>
        </w:tc>
        <w:tc>
          <w:tcPr>
            <w:tcW w:w="6120" w:type="dxa"/>
            <w:shd w:val="pct30" w:color="auto" w:fill="FFFFFF"/>
            <w:vAlign w:val="bottom"/>
          </w:tcPr>
          <w:p w14:paraId="3DABC711" w14:textId="77777777" w:rsidR="002A21AE" w:rsidRDefault="002A21AE">
            <w:pPr>
              <w:pStyle w:val="TableText"/>
              <w:rPr>
                <w:b/>
              </w:rPr>
            </w:pPr>
            <w:r>
              <w:rPr>
                <w:b/>
              </w:rPr>
              <w:t>VBECS</w:t>
            </w:r>
          </w:p>
        </w:tc>
      </w:tr>
      <w:tr w:rsidR="002A21AE" w14:paraId="5937371E" w14:textId="77777777">
        <w:tc>
          <w:tcPr>
            <w:tcW w:w="3240" w:type="dxa"/>
          </w:tcPr>
          <w:p w14:paraId="71B2FFAE" w14:textId="77777777" w:rsidR="002A21AE" w:rsidRDefault="002A21AE">
            <w:pPr>
              <w:pStyle w:val="TableTextNumbers"/>
            </w:pPr>
            <w:r>
              <w:t xml:space="preserve">Select </w:t>
            </w:r>
            <w:r>
              <w:rPr>
                <w:b/>
              </w:rPr>
              <w:t xml:space="preserve">Blood Units </w:t>
            </w:r>
            <w:r>
              <w:t>from the main menu.</w:t>
            </w:r>
          </w:p>
          <w:p w14:paraId="7B07AA59" w14:textId="77777777" w:rsidR="002A21AE" w:rsidRDefault="002A21AE">
            <w:pPr>
              <w:pStyle w:val="TableTextNumbersContinued"/>
            </w:pPr>
          </w:p>
          <w:p w14:paraId="701F1E14" w14:textId="77777777" w:rsidR="002A21AE" w:rsidRDefault="002A21AE">
            <w:pPr>
              <w:pStyle w:val="TableTextNumbersContinued"/>
            </w:pPr>
            <w:r>
              <w:t xml:space="preserve">Select </w:t>
            </w:r>
            <w:r>
              <w:rPr>
                <w:b/>
              </w:rPr>
              <w:t xml:space="preserve">Free Directed Unit </w:t>
            </w:r>
            <w:r w:rsidR="008251CD">
              <w:rPr>
                <w:b/>
              </w:rPr>
              <w:t>F</w:t>
            </w:r>
            <w:r>
              <w:rPr>
                <w:b/>
              </w:rPr>
              <w:t>or Crossover</w:t>
            </w:r>
            <w:r>
              <w:t>.</w:t>
            </w:r>
          </w:p>
        </w:tc>
        <w:tc>
          <w:tcPr>
            <w:tcW w:w="6120" w:type="dxa"/>
          </w:tcPr>
          <w:p w14:paraId="74D1C7F1" w14:textId="77777777" w:rsidR="002A21AE" w:rsidRDefault="002A21AE">
            <w:pPr>
              <w:pStyle w:val="TableTextBullet"/>
            </w:pPr>
            <w:r>
              <w:t>Displays options for processing units.</w:t>
            </w:r>
          </w:p>
          <w:p w14:paraId="2EF0714C" w14:textId="77777777" w:rsidR="002A21AE" w:rsidRDefault="002A21AE">
            <w:pPr>
              <w:pStyle w:val="TableTextBullet"/>
            </w:pPr>
            <w:r>
              <w:t>Prompts the user to scan or enter the unit ID and product code.</w:t>
            </w:r>
          </w:p>
        </w:tc>
      </w:tr>
      <w:tr w:rsidR="002A21AE" w14:paraId="09017B1F" w14:textId="77777777">
        <w:tc>
          <w:tcPr>
            <w:tcW w:w="3240" w:type="dxa"/>
          </w:tcPr>
          <w:p w14:paraId="364A50D1" w14:textId="77777777" w:rsidR="002A21AE" w:rsidRDefault="002A21AE">
            <w:pPr>
              <w:pStyle w:val="TableTextNumbers"/>
            </w:pPr>
            <w:r>
              <w:t>Scan or enter the unit ID and product code for each unit.</w:t>
            </w:r>
          </w:p>
        </w:tc>
        <w:tc>
          <w:tcPr>
            <w:tcW w:w="6120" w:type="dxa"/>
          </w:tcPr>
          <w:p w14:paraId="5C0B3060" w14:textId="77777777" w:rsidR="002A21AE" w:rsidRDefault="002A21AE">
            <w:pPr>
              <w:pStyle w:val="TableTextBullet"/>
            </w:pPr>
            <w:r>
              <w:t>Displays the unit information.</w:t>
            </w:r>
          </w:p>
          <w:p w14:paraId="344BB389" w14:textId="77777777" w:rsidR="002A21AE" w:rsidRDefault="002A21AE">
            <w:pPr>
              <w:pStyle w:val="TableText"/>
            </w:pPr>
          </w:p>
          <w:p w14:paraId="57334E62" w14:textId="77777777" w:rsidR="002A21AE" w:rsidRDefault="00057948">
            <w:pPr>
              <w:pStyle w:val="TableText"/>
              <w:rPr>
                <w:b/>
                <w:bCs/>
                <w:szCs w:val="18"/>
              </w:rPr>
            </w:pPr>
            <w:r>
              <w:rPr>
                <w:b/>
                <w:bCs/>
                <w:noProof/>
              </w:rPr>
              <mc:AlternateContent>
                <mc:Choice Requires="wps">
                  <w:drawing>
                    <wp:anchor distT="0" distB="0" distL="114300" distR="114300" simplePos="0" relativeHeight="251490816" behindDoc="0" locked="0" layoutInCell="1" allowOverlap="1" wp14:anchorId="50B6FB23" wp14:editId="77F278AF">
                      <wp:simplePos x="0" y="0"/>
                      <wp:positionH relativeFrom="column">
                        <wp:posOffset>457200</wp:posOffset>
                      </wp:positionH>
                      <wp:positionV relativeFrom="paragraph">
                        <wp:posOffset>65405</wp:posOffset>
                      </wp:positionV>
                      <wp:extent cx="3200400" cy="0"/>
                      <wp:effectExtent l="9525" t="17780" r="9525" b="10795"/>
                      <wp:wrapNone/>
                      <wp:docPr id="457" name="Line 804" descr="P5092C6T5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B3C5D" id="Line 804" o:spid="_x0000_s1026" alt="&quot;&quot;" style="position:absolute;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yr3LS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6652E79B" w14:textId="77777777" w:rsidR="002A21AE" w:rsidRDefault="002A21AE">
            <w:pPr>
              <w:pStyle w:val="NotesText"/>
            </w:pPr>
          </w:p>
          <w:p w14:paraId="158C15A1" w14:textId="77777777" w:rsidR="002A21AE" w:rsidRDefault="002A21AE">
            <w:pPr>
              <w:pStyle w:val="NotesText"/>
            </w:pPr>
            <w:r>
              <w:t>When a user adds a directed unit to an undirected pool, VBECS queries the user regarding releasing the unit’s restriction.</w:t>
            </w:r>
          </w:p>
          <w:p w14:paraId="3A267FAE" w14:textId="77777777" w:rsidR="002A21AE" w:rsidRDefault="002A21AE">
            <w:pPr>
              <w:pStyle w:val="NotesText"/>
            </w:pPr>
          </w:p>
          <w:p w14:paraId="71FD06E8" w14:textId="3CE7C74A" w:rsidR="002A21AE" w:rsidRDefault="002A21AE">
            <w:pPr>
              <w:pStyle w:val="NotesText"/>
            </w:pPr>
            <w:r w:rsidRPr="00896F17">
              <w:rPr>
                <w:rStyle w:val="BullhornChar"/>
              </w:rPr>
              <w:t></w:t>
            </w:r>
            <w:r>
              <w:t xml:space="preserve"> </w:t>
            </w:r>
            <w:r>
              <w:rPr>
                <w:rFonts w:cs="Arial"/>
                <w:vanish/>
              </w:rPr>
              <w:t>BR_71.01</w:t>
            </w:r>
            <w:r w:rsidR="002D770B">
              <w:rPr>
                <w:rFonts w:cs="Arial"/>
                <w:vanish/>
              </w:rPr>
              <w:t xml:space="preserve"> </w:t>
            </w:r>
            <w:r>
              <w:t>The unit must have a donation type of only Volunteer Directed, Eligible for Crossover</w:t>
            </w:r>
            <w:r w:rsidR="002D770B">
              <w:t xml:space="preserve"> or Family Reserved</w:t>
            </w:r>
            <w:r>
              <w:t>. If not, VBECS warns that the unit has an invalid donation type and is in a final status.</w:t>
            </w:r>
            <w:r w:rsidR="000A70BE">
              <w:t xml:space="preserve"> The unit must not be autologous.</w:t>
            </w:r>
            <w:r>
              <w:t xml:space="preserve">” </w:t>
            </w:r>
          </w:p>
          <w:p w14:paraId="12FEE42D" w14:textId="77777777" w:rsidR="002A21AE" w:rsidRDefault="002A21AE">
            <w:pPr>
              <w:pStyle w:val="NotesText"/>
            </w:pPr>
          </w:p>
          <w:p w14:paraId="5784496B" w14:textId="77777777" w:rsidR="002A21AE" w:rsidRDefault="002A21AE">
            <w:pPr>
              <w:pStyle w:val="NotesText"/>
            </w:pPr>
            <w:r w:rsidRPr="00896F17">
              <w:rPr>
                <w:rStyle w:val="BullhornChar"/>
              </w:rPr>
              <w:t></w:t>
            </w:r>
            <w:r>
              <w:rPr>
                <w:vanish/>
                <w:szCs w:val="18"/>
              </w:rPr>
              <w:t>BR_71.03</w:t>
            </w:r>
            <w:r>
              <w:t xml:space="preserve"> The unit must not be assigned to a patient to release the restriction. VBECS warns that the unit is currently assigned and that he must release the assignment before continuing.</w:t>
            </w:r>
          </w:p>
        </w:tc>
      </w:tr>
      <w:tr w:rsidR="002A21AE" w14:paraId="0F0FBACA" w14:textId="77777777">
        <w:tc>
          <w:tcPr>
            <w:tcW w:w="3240" w:type="dxa"/>
          </w:tcPr>
          <w:p w14:paraId="18DD014C" w14:textId="7CAC3BBB" w:rsidR="002A21AE" w:rsidRDefault="002A21AE">
            <w:pPr>
              <w:pStyle w:val="TableTextNumbers"/>
            </w:pPr>
            <w:r>
              <w:t>Enter a date and time and possibly a different user, or accept the defaults</w:t>
            </w:r>
            <w:r w:rsidR="000860BB">
              <w:t xml:space="preserve"> (</w:t>
            </w:r>
            <w:r w:rsidR="000860BB">
              <w:fldChar w:fldCharType="begin" w:fldLock="1"/>
            </w:r>
            <w:r w:rsidR="000860BB">
              <w:instrText xml:space="preserve"> REF _Ref126653339 \h </w:instrText>
            </w:r>
            <w:r w:rsidR="000860BB">
              <w:fldChar w:fldCharType="separate"/>
            </w:r>
            <w:r w:rsidR="00AB304C">
              <w:t xml:space="preserve">Figure </w:t>
            </w:r>
            <w:r w:rsidR="00AB304C">
              <w:rPr>
                <w:noProof/>
              </w:rPr>
              <w:t>98</w:t>
            </w:r>
            <w:r w:rsidR="000860BB">
              <w:fldChar w:fldCharType="end"/>
            </w:r>
            <w:r w:rsidR="000860BB">
              <w:t>)</w:t>
            </w:r>
            <w:r>
              <w:t>.</w:t>
            </w:r>
          </w:p>
          <w:p w14:paraId="71877A74" w14:textId="77777777" w:rsidR="002A21AE" w:rsidRDefault="002A21AE">
            <w:pPr>
              <w:pStyle w:val="TableTextNumbersContinued"/>
            </w:pPr>
          </w:p>
          <w:p w14:paraId="757196AB" w14:textId="77777777" w:rsidR="002A21AE" w:rsidRDefault="002A21AE">
            <w:pPr>
              <w:pStyle w:val="TableTextNumbersContinued"/>
            </w:pPr>
            <w:r>
              <w:t>Enter the required comment.</w:t>
            </w:r>
          </w:p>
        </w:tc>
        <w:tc>
          <w:tcPr>
            <w:tcW w:w="6120" w:type="dxa"/>
          </w:tcPr>
          <w:p w14:paraId="21AE18EE" w14:textId="77777777" w:rsidR="002A21AE" w:rsidRDefault="002A21AE">
            <w:pPr>
              <w:pStyle w:val="TableTextBullet"/>
            </w:pPr>
            <w:r>
              <w:t>Displays the unit information.</w:t>
            </w:r>
          </w:p>
          <w:p w14:paraId="2EFF3136" w14:textId="77777777" w:rsidR="002A21AE" w:rsidRDefault="002A21AE">
            <w:pPr>
              <w:pStyle w:val="TableTextBullet"/>
            </w:pPr>
            <w:r>
              <w:rPr>
                <w:vanish/>
                <w:szCs w:val="18"/>
              </w:rPr>
              <w:t xml:space="preserve">BR_71.04 </w:t>
            </w:r>
            <w:r w:rsidR="00263B24" w:rsidRPr="00896F17">
              <w:rPr>
                <w:rStyle w:val="BullhornChar"/>
              </w:rPr>
              <w:t></w:t>
            </w:r>
            <w:r w:rsidR="00263B24">
              <w:rPr>
                <w:rFonts w:ascii="Webdings" w:hAnsi="Webdings"/>
              </w:rPr>
              <w:t></w:t>
            </w:r>
            <w:r>
              <w:t xml:space="preserve">Emits an audible alert, requires a comment, and captures details for inclusion in an Exception Report (exception type: released patient restriction). </w:t>
            </w:r>
          </w:p>
        </w:tc>
      </w:tr>
      <w:tr w:rsidR="00F9533F" w14:paraId="2BC064E8" w14:textId="77777777">
        <w:tc>
          <w:tcPr>
            <w:tcW w:w="3240" w:type="dxa"/>
          </w:tcPr>
          <w:p w14:paraId="697D8683" w14:textId="77777777" w:rsidR="00F9533F" w:rsidRDefault="00F9533F" w:rsidP="00FA7E65">
            <w:pPr>
              <w:pStyle w:val="TableTextNumbers"/>
            </w:pPr>
            <w:r>
              <w:t xml:space="preserve">Click </w:t>
            </w:r>
            <w:r>
              <w:rPr>
                <w:b/>
              </w:rPr>
              <w:t>OK</w:t>
            </w:r>
            <w:r>
              <w:t xml:space="preserve"> to process the unit and add it to available inventory.</w:t>
            </w:r>
          </w:p>
        </w:tc>
        <w:tc>
          <w:tcPr>
            <w:tcW w:w="6120" w:type="dxa"/>
          </w:tcPr>
          <w:p w14:paraId="0F9E3319" w14:textId="77777777" w:rsidR="00F9533F" w:rsidRDefault="00F9533F" w:rsidP="00FA7E65">
            <w:pPr>
              <w:pStyle w:val="TableTextBullet"/>
            </w:pPr>
            <w:r>
              <w:t xml:space="preserve">Displays the return time, the editable (past date and time) field (default: current date and time), and the list of users for selection. </w:t>
            </w:r>
          </w:p>
          <w:p w14:paraId="431B01F3" w14:textId="77777777" w:rsidR="00F9533F" w:rsidRDefault="00F9533F" w:rsidP="00F9533F">
            <w:pPr>
              <w:pStyle w:val="TableTextBullet"/>
            </w:pPr>
            <w:r>
              <w:t xml:space="preserve">Saves the information to the database. </w:t>
            </w:r>
          </w:p>
          <w:p w14:paraId="7E26A622" w14:textId="77777777" w:rsidR="00F9533F" w:rsidRDefault="00F9533F" w:rsidP="00F9533F">
            <w:pPr>
              <w:pStyle w:val="TableTextBullet"/>
            </w:pPr>
            <w:r>
              <w:t>Changes the donation type of the unit to “Voluntary Allogeneic” and removes the restriction associated with the unit.</w:t>
            </w:r>
          </w:p>
        </w:tc>
      </w:tr>
      <w:tr w:rsidR="002A21AE" w14:paraId="55CFB1CD" w14:textId="77777777">
        <w:tc>
          <w:tcPr>
            <w:tcW w:w="3240" w:type="dxa"/>
          </w:tcPr>
          <w:p w14:paraId="0EEBEA2E" w14:textId="77777777" w:rsidR="002A21AE" w:rsidRDefault="008251CD" w:rsidP="00F9533F">
            <w:pPr>
              <w:pStyle w:val="TableTextNumbers"/>
            </w:pPr>
            <w:r>
              <w:t xml:space="preserve">Click </w:t>
            </w:r>
            <w:r w:rsidRPr="008251CD">
              <w:rPr>
                <w:b/>
              </w:rPr>
              <w:t>Yes</w:t>
            </w:r>
            <w:r>
              <w:t xml:space="preserve"> to confirm</w:t>
            </w:r>
            <w:r w:rsidR="00F9533F">
              <w:t xml:space="preserve"> the save</w:t>
            </w:r>
            <w:r w:rsidR="002A21AE">
              <w:t xml:space="preserve">. </w:t>
            </w:r>
            <w:r w:rsidR="002A21AE">
              <w:rPr>
                <w:rStyle w:val="TableTextNumbersChar"/>
                <w:vanish/>
                <w:color w:val="FFFFFF"/>
                <w:szCs w:val="18"/>
              </w:rPr>
              <w:fldChar w:fldCharType="begin"/>
            </w:r>
            <w:r w:rsidR="002A21AE">
              <w:rPr>
                <w:rStyle w:val="TableTextNumbersChar"/>
                <w:vanish/>
                <w:color w:val="FFFFFF"/>
                <w:szCs w:val="18"/>
              </w:rPr>
              <w:instrText xml:space="preserve"> LISTNUM \l 1 \s 0 </w:instrText>
            </w:r>
            <w:r w:rsidR="002A21AE">
              <w:rPr>
                <w:rStyle w:val="TableTextNumbersChar"/>
                <w:vanish/>
                <w:color w:val="FFFFFF"/>
                <w:szCs w:val="18"/>
              </w:rPr>
              <w:fldChar w:fldCharType="end"/>
            </w:r>
          </w:p>
        </w:tc>
        <w:tc>
          <w:tcPr>
            <w:tcW w:w="6120" w:type="dxa"/>
          </w:tcPr>
          <w:p w14:paraId="0B83AEA5" w14:textId="77777777" w:rsidR="002A21AE" w:rsidRDefault="002A21AE" w:rsidP="00771DBD">
            <w:pPr>
              <w:pStyle w:val="TableText"/>
            </w:pPr>
          </w:p>
        </w:tc>
      </w:tr>
    </w:tbl>
    <w:p w14:paraId="1BE4F8B7" w14:textId="226956FB" w:rsidR="000860BB" w:rsidRDefault="000860BB" w:rsidP="000860BB">
      <w:pPr>
        <w:pStyle w:val="Caption"/>
      </w:pPr>
      <w:bookmarkStart w:id="374" w:name="_Ref126653339"/>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98</w:t>
      </w:r>
      <w:r w:rsidR="004E20BD">
        <w:rPr>
          <w:noProof/>
        </w:rPr>
        <w:fldChar w:fldCharType="end"/>
      </w:r>
      <w:bookmarkEnd w:id="374"/>
      <w:r>
        <w:t>: Free Directed Unit For Crossover</w:t>
      </w:r>
    </w:p>
    <w:p w14:paraId="3A2645E5" w14:textId="77777777" w:rsidR="000860BB" w:rsidRDefault="00057948" w:rsidP="000860BB">
      <w:pPr>
        <w:pStyle w:val="BodyText"/>
      </w:pPr>
      <w:r>
        <w:rPr>
          <w:noProof/>
        </w:rPr>
        <w:drawing>
          <wp:inline distT="0" distB="0" distL="0" distR="0" wp14:anchorId="5F5560B1" wp14:editId="2C0CC484">
            <wp:extent cx="5717540" cy="3796030"/>
            <wp:effectExtent l="0" t="0" r="0" b="0"/>
            <wp:docPr id="183" name="Picture 183" descr="P5115#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P5115#yIS1">
                      <a:extLst>
                        <a:ext uri="{C183D7F6-B498-43B3-948B-1728B52AA6E4}">
                          <adec:decorative xmlns:adec="http://schemas.microsoft.com/office/drawing/2017/decorative" val="1"/>
                        </a:ext>
                      </a:extLst>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17540" cy="3796030"/>
                    </a:xfrm>
                    <a:prstGeom prst="rect">
                      <a:avLst/>
                    </a:prstGeom>
                    <a:noFill/>
                    <a:ln>
                      <a:noFill/>
                    </a:ln>
                  </pic:spPr>
                </pic:pic>
              </a:graphicData>
            </a:graphic>
          </wp:inline>
        </w:drawing>
      </w:r>
    </w:p>
    <w:p w14:paraId="69542B9E" w14:textId="77777777" w:rsidR="002A21AE" w:rsidRDefault="002A21AE">
      <w:pPr>
        <w:pStyle w:val="Heading3"/>
      </w:pPr>
      <w:bookmarkStart w:id="375" w:name="_Toc4588791"/>
      <w:r>
        <w:t>Discard or Quarantine</w:t>
      </w:r>
      <w:bookmarkEnd w:id="375"/>
      <w:r w:rsidRPr="007716F7">
        <w:rPr>
          <w:vanish/>
        </w:rPr>
        <w:fldChar w:fldCharType="begin"/>
      </w:r>
      <w:r w:rsidRPr="007716F7">
        <w:rPr>
          <w:vanish/>
        </w:rPr>
        <w:instrText xml:space="preserve"> XE </w:instrText>
      </w:r>
      <w:r w:rsidR="00FA7E65" w:rsidRPr="007716F7">
        <w:rPr>
          <w:vanish/>
        </w:rPr>
        <w:instrText>“</w:instrText>
      </w:r>
      <w:r w:rsidRPr="007716F7">
        <w:rPr>
          <w:vanish/>
        </w:rPr>
        <w:instrText>Discard or Quarantine</w:instrText>
      </w:r>
      <w:r w:rsidR="00FA7E65" w:rsidRPr="007716F7">
        <w:rPr>
          <w:vanish/>
        </w:rPr>
        <w:instrText>”</w:instrText>
      </w:r>
      <w:r w:rsidRPr="007716F7">
        <w:rPr>
          <w:vanish/>
        </w:rPr>
        <w:instrText xml:space="preserve"> </w:instrText>
      </w:r>
      <w:r w:rsidRPr="007716F7">
        <w:rPr>
          <w:vanish/>
        </w:rPr>
        <w:fldChar w:fldCharType="end"/>
      </w:r>
      <w:r w:rsidRPr="007716F7">
        <w:rPr>
          <w:vanish/>
        </w:rPr>
        <w:t xml:space="preserve"> UC_27</w:t>
      </w:r>
    </w:p>
    <w:p w14:paraId="5D1A4CE6" w14:textId="77777777" w:rsidR="002A21AE" w:rsidRDefault="002A21AE" w:rsidP="00FA7E65">
      <w:pPr>
        <w:pStyle w:val="BodyText"/>
      </w:pPr>
      <w:r>
        <w:t>The user discards, quarantines, or releases from quarantine one or more units of blood.</w:t>
      </w:r>
    </w:p>
    <w:p w14:paraId="55050119" w14:textId="77777777" w:rsidR="002A21AE" w:rsidRDefault="002A21AE">
      <w:pPr>
        <w:pStyle w:val="Heading4"/>
      </w:pPr>
      <w:r>
        <w:t>Assumptions</w:t>
      </w:r>
      <w:r>
        <w:rPr>
          <w:b w:val="0"/>
        </w:rPr>
        <w:t xml:space="preserve"> </w:t>
      </w:r>
    </w:p>
    <w:p w14:paraId="3C080B5A" w14:textId="77777777" w:rsidR="002A21AE" w:rsidRDefault="002A21AE">
      <w:pPr>
        <w:pStyle w:val="ListBullet"/>
      </w:pPr>
      <w:r>
        <w:t>The unit of blood is in the same division as the user.</w:t>
      </w:r>
    </w:p>
    <w:p w14:paraId="1BA84B6C" w14:textId="77777777" w:rsidR="002A21AE" w:rsidRDefault="002A21AE">
      <w:pPr>
        <w:pStyle w:val="Heading4"/>
      </w:pPr>
      <w:r>
        <w:t xml:space="preserve">Outcome </w:t>
      </w:r>
    </w:p>
    <w:p w14:paraId="22622BE7" w14:textId="77777777" w:rsidR="002A21AE" w:rsidRDefault="00AE3CC7">
      <w:pPr>
        <w:pStyle w:val="ListBullet"/>
      </w:pPr>
      <w:r>
        <w:rPr>
          <w:noProof/>
        </w:rPr>
        <w:t>Discarded</w:t>
      </w:r>
      <w:r w:rsidR="002A21AE">
        <w:t xml:space="preserve"> units are not available.</w:t>
      </w:r>
    </w:p>
    <w:p w14:paraId="2B3B0334" w14:textId="77777777" w:rsidR="002A21AE" w:rsidRDefault="002A21AE">
      <w:pPr>
        <w:pStyle w:val="ListBullet"/>
      </w:pPr>
      <w:r>
        <w:t>Quarantined units are available for limited processing, not for patient assignment.</w:t>
      </w:r>
    </w:p>
    <w:p w14:paraId="11F6A3E8" w14:textId="77777777" w:rsidR="002A21AE" w:rsidRDefault="002A21AE">
      <w:pPr>
        <w:pStyle w:val="ListBullet"/>
      </w:pPr>
      <w:r>
        <w:t>Units release</w:t>
      </w:r>
      <w:r>
        <w:rPr>
          <w:noProof/>
        </w:rPr>
        <w:t>d from quarantine are available.</w:t>
      </w:r>
    </w:p>
    <w:p w14:paraId="3DFAAFBB" w14:textId="77777777" w:rsidR="002A21AE" w:rsidRDefault="002A21AE">
      <w:pPr>
        <w:pStyle w:val="Heading4"/>
        <w:rPr>
          <w:b w:val="0"/>
        </w:rPr>
      </w:pPr>
      <w:r>
        <w:t>Limitations and Restrictions</w:t>
      </w:r>
      <w:r>
        <w:rPr>
          <w:b w:val="0"/>
        </w:rPr>
        <w:t xml:space="preserve"> </w:t>
      </w:r>
    </w:p>
    <w:p w14:paraId="55347877" w14:textId="37972374" w:rsidR="002A21AE" w:rsidRDefault="00581FC8" w:rsidP="00581FC8">
      <w:pPr>
        <w:pStyle w:val="ListBullet"/>
      </w:pPr>
      <w:r>
        <w:t xml:space="preserve">When a user retroactively updates a unit status through this option, the Unit History Report displays the updated information, but does not display the date the change was made. </w:t>
      </w:r>
    </w:p>
    <w:p w14:paraId="3C37D802" w14:textId="43187321" w:rsidR="007E64EF" w:rsidRDefault="00E73D6B" w:rsidP="007E64EF">
      <w:pPr>
        <w:pStyle w:val="ListBullet"/>
      </w:pPr>
      <w:r>
        <w:t xml:space="preserve">The </w:t>
      </w:r>
      <w:r w:rsidR="007E64EF" w:rsidRPr="007E64EF">
        <w:t xml:space="preserve">option does not accommodate the entry of a second user for retrospective </w:t>
      </w:r>
      <w:r w:rsidR="00E36641">
        <w:t xml:space="preserve">data </w:t>
      </w:r>
      <w:r w:rsidR="007E64EF" w:rsidRPr="007E64EF">
        <w:t>entry.</w:t>
      </w:r>
      <w:r w:rsidR="00EF7C8A">
        <w:t xml:space="preserve"> </w:t>
      </w:r>
      <w:r w:rsidR="0063094B">
        <w:rPr>
          <w:vanish/>
        </w:rPr>
        <w:t>Defect</w:t>
      </w:r>
      <w:r w:rsidR="00EF7C8A" w:rsidRPr="00EF7C8A">
        <w:rPr>
          <w:vanish/>
        </w:rPr>
        <w:t xml:space="preserve"> 209008</w:t>
      </w:r>
    </w:p>
    <w:p w14:paraId="1C059A19" w14:textId="566F9507" w:rsidR="00D141A2" w:rsidRDefault="00D141A2" w:rsidP="007E64EF">
      <w:pPr>
        <w:pStyle w:val="ListBullet"/>
      </w:pPr>
      <w:r>
        <w:t xml:space="preserve">Cost entry is capped at 999.99. </w:t>
      </w:r>
      <w:r w:rsidRPr="00D141A2">
        <w:rPr>
          <w:vanish/>
        </w:rPr>
        <w:t>Defect 942523</w:t>
      </w:r>
    </w:p>
    <w:p w14:paraId="58FE5DC6" w14:textId="77777777" w:rsidR="002A21AE" w:rsidRDefault="002A21AE">
      <w:pPr>
        <w:pStyle w:val="Heading4"/>
        <w:rPr>
          <w:b w:val="0"/>
        </w:rPr>
      </w:pPr>
      <w:r>
        <w:t>Additional Information</w:t>
      </w:r>
      <w:r>
        <w:rPr>
          <w:b w:val="0"/>
        </w:rPr>
        <w:t xml:space="preserve"> </w:t>
      </w:r>
    </w:p>
    <w:p w14:paraId="31604807" w14:textId="77777777" w:rsidR="002A21AE" w:rsidRDefault="002A21AE">
      <w:pPr>
        <w:pStyle w:val="ListBullet"/>
      </w:pPr>
      <w:r>
        <w:t xml:space="preserve">None </w:t>
      </w:r>
    </w:p>
    <w:p w14:paraId="55B7F8E0" w14:textId="77777777" w:rsidR="002A21AE" w:rsidRDefault="002A21AE">
      <w:pPr>
        <w:pStyle w:val="Heading4"/>
        <w:rPr>
          <w:snapToGrid w:val="0"/>
        </w:rPr>
      </w:pPr>
      <w:r>
        <w:rPr>
          <w:snapToGrid w:val="0"/>
        </w:rPr>
        <w:lastRenderedPageBreak/>
        <w:t>User Roles with Access to This Option</w:t>
      </w:r>
    </w:p>
    <w:p w14:paraId="0DD39C65" w14:textId="77777777" w:rsidR="00FC61FD" w:rsidRDefault="00FC61FD" w:rsidP="00FC61FD">
      <w:pPr>
        <w:pStyle w:val="Roles"/>
        <w:rPr>
          <w:snapToGrid w:val="0"/>
        </w:rPr>
      </w:pPr>
      <w:r>
        <w:rPr>
          <w:snapToGrid w:val="0"/>
        </w:rPr>
        <w:t>All users</w:t>
      </w:r>
    </w:p>
    <w:p w14:paraId="0A237B34" w14:textId="77777777" w:rsidR="008442AA" w:rsidRDefault="008442AA" w:rsidP="008442AA">
      <w:pPr>
        <w:pStyle w:val="Roles"/>
        <w:rPr>
          <w:rFonts w:ascii="Wingdings 3" w:hAnsi="Wingdings 3" w:cs="Wingdings"/>
        </w:rPr>
      </w:pPr>
      <w:r w:rsidRPr="00EC7489">
        <w:rPr>
          <w:rFonts w:ascii="Wingdings 3" w:hAnsi="Wingdings 3" w:cs="Wingdings"/>
        </w:rPr>
        <w:t></w:t>
      </w:r>
      <w:r w:rsidRPr="00EC7489">
        <w:rPr>
          <w:rFonts w:ascii="Wingdings 3" w:hAnsi="Wingdings 3" w:cs="Wingdings"/>
        </w:rPr>
        <w:t></w:t>
      </w:r>
      <w:r>
        <w:t xml:space="preserve"> Enhanced Technologist (release blood products from quarantine)</w:t>
      </w:r>
      <w:r>
        <w:rPr>
          <w:vanish/>
        </w:rPr>
        <w:t>BR_27.17</w:t>
      </w:r>
      <w:r>
        <w:t xml:space="preserve"> </w:t>
      </w:r>
    </w:p>
    <w:p w14:paraId="0E3A2953" w14:textId="77777777" w:rsidR="002A21AE" w:rsidRDefault="002A21AE">
      <w:pPr>
        <w:pStyle w:val="Heading4"/>
      </w:pPr>
      <w:r>
        <w:t>Discard or Quarantine</w:t>
      </w:r>
    </w:p>
    <w:p w14:paraId="685007CD" w14:textId="77777777" w:rsidR="002A21AE" w:rsidRDefault="002A21AE" w:rsidP="00FA7E65">
      <w:pPr>
        <w:pStyle w:val="BodyText"/>
      </w:pPr>
      <w:r>
        <w:t xml:space="preserve">The user changes the status (discard, quarantine, release from quarantine) of one or more units of blood. The user must indicate the ID and product code of the units to be updated. VBECS also allows batch data entry to process all units from an invoice. </w:t>
      </w:r>
    </w:p>
    <w:p w14:paraId="61483B95" w14:textId="77777777" w:rsidR="002A21AE" w:rsidRDefault="002A21AE" w:rsidP="00FA7E65">
      <w:pPr>
        <w:pStyle w:val="BodyText"/>
      </w:pPr>
      <w:r>
        <w:t xml:space="preserve">A quarantined unit has limited availability for continued processing. Under certain circumstances, VBECS assigns quarantine status automatically; otherwise, the user determines and enters the status. The user must </w:t>
      </w:r>
      <w:r w:rsidR="00D923F9">
        <w:t>specify</w:t>
      </w:r>
      <w:r>
        <w:t xml:space="preserve"> whether a discarded unit is for credit or for waste, which determines whether or not a return credit is assigned to the selected unit.</w:t>
      </w:r>
    </w:p>
    <w:p w14:paraId="2B22A37D" w14:textId="77777777" w:rsidR="007F12F1" w:rsidRDefault="007F12F1" w:rsidP="007F12F1">
      <w:pPr>
        <w:pStyle w:val="Heading4"/>
      </w:pPr>
      <w:r>
        <w:t>Discard or Quarantine Individual Units</w:t>
      </w:r>
      <w:r>
        <w:fldChar w:fldCharType="begin"/>
      </w:r>
      <w:r>
        <w:instrText xml:space="preserve"> XE "</w:instrText>
      </w:r>
      <w:r w:rsidRPr="00561E3F">
        <w:instrText>Discard or Quarantine Individual Units</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7D34E15" w14:textId="77777777">
        <w:trPr>
          <w:cantSplit/>
          <w:tblHeader/>
        </w:trPr>
        <w:tc>
          <w:tcPr>
            <w:tcW w:w="3240" w:type="dxa"/>
            <w:shd w:val="pct30" w:color="auto" w:fill="FFFFFF"/>
            <w:vAlign w:val="bottom"/>
          </w:tcPr>
          <w:p w14:paraId="6AE6BC83" w14:textId="77777777" w:rsidR="002A21AE" w:rsidRDefault="002A21AE">
            <w:pPr>
              <w:pStyle w:val="TableText"/>
              <w:rPr>
                <w:b/>
              </w:rPr>
            </w:pPr>
            <w:r>
              <w:rPr>
                <w:b/>
              </w:rPr>
              <w:t>User Action</w:t>
            </w:r>
          </w:p>
        </w:tc>
        <w:tc>
          <w:tcPr>
            <w:tcW w:w="6120" w:type="dxa"/>
            <w:shd w:val="pct30" w:color="auto" w:fill="FFFFFF"/>
            <w:vAlign w:val="bottom"/>
          </w:tcPr>
          <w:p w14:paraId="30DAE015" w14:textId="77777777" w:rsidR="002A21AE" w:rsidRDefault="002A21AE">
            <w:pPr>
              <w:pStyle w:val="TableText"/>
              <w:rPr>
                <w:b/>
              </w:rPr>
            </w:pPr>
            <w:r>
              <w:rPr>
                <w:b/>
              </w:rPr>
              <w:t>VBECS</w:t>
            </w:r>
          </w:p>
        </w:tc>
      </w:tr>
      <w:tr w:rsidR="002A21AE" w14:paraId="39FACC63" w14:textId="77777777">
        <w:tc>
          <w:tcPr>
            <w:tcW w:w="3240" w:type="dxa"/>
          </w:tcPr>
          <w:p w14:paraId="60676E44" w14:textId="77777777" w:rsidR="002A21AE" w:rsidRDefault="002A21AE">
            <w:pPr>
              <w:pStyle w:val="TableTextNumbers"/>
            </w:pPr>
            <w:r>
              <w:t xml:space="preserve">Select </w:t>
            </w:r>
            <w:r>
              <w:rPr>
                <w:b/>
              </w:rPr>
              <w:t>Blood Units</w:t>
            </w:r>
            <w:r>
              <w:t xml:space="preserve"> from the main menu.</w:t>
            </w:r>
          </w:p>
          <w:p w14:paraId="7AFE2375" w14:textId="77777777" w:rsidR="002A21AE" w:rsidRDefault="002A21AE">
            <w:pPr>
              <w:pStyle w:val="TableTextNumbersContinued"/>
            </w:pPr>
          </w:p>
          <w:p w14:paraId="02A329E8" w14:textId="77777777" w:rsidR="002A21AE" w:rsidRDefault="002A21AE">
            <w:pPr>
              <w:pStyle w:val="TableTextNumbersContinued"/>
            </w:pPr>
            <w:r>
              <w:t xml:space="preserve">Select </w:t>
            </w:r>
            <w:r>
              <w:rPr>
                <w:b/>
              </w:rPr>
              <w:t>Discard or Quarantine</w:t>
            </w:r>
            <w:r>
              <w:t>.</w:t>
            </w:r>
          </w:p>
        </w:tc>
        <w:tc>
          <w:tcPr>
            <w:tcW w:w="6120" w:type="dxa"/>
          </w:tcPr>
          <w:p w14:paraId="488B5A0F" w14:textId="77777777" w:rsidR="002A21AE" w:rsidRDefault="002A21AE">
            <w:pPr>
              <w:pStyle w:val="TableTextBullet"/>
            </w:pPr>
            <w:r>
              <w:t>Displays options for processing blood units.</w:t>
            </w:r>
          </w:p>
          <w:p w14:paraId="250AD4CF" w14:textId="77777777" w:rsidR="002A21AE" w:rsidRDefault="002A21AE">
            <w:pPr>
              <w:pStyle w:val="TableTextBullet"/>
            </w:pPr>
            <w:r>
              <w:t>Displays fields for entering unit information.</w:t>
            </w:r>
          </w:p>
          <w:p w14:paraId="2B92CE23" w14:textId="77777777" w:rsidR="002A21AE" w:rsidRDefault="002A21AE">
            <w:pPr>
              <w:pStyle w:val="TableTextBullet"/>
            </w:pPr>
            <w:r>
              <w:t xml:space="preserve">Allows </w:t>
            </w:r>
            <w:r w:rsidR="00CE0AAB">
              <w:t xml:space="preserve">the user to </w:t>
            </w:r>
            <w:r>
              <w:t>discard or quarantine</w:t>
            </w:r>
            <w:r w:rsidR="00CE0AAB">
              <w:t xml:space="preserve"> individual units</w:t>
            </w:r>
            <w:r>
              <w:t>.</w:t>
            </w:r>
          </w:p>
        </w:tc>
      </w:tr>
      <w:tr w:rsidR="002A21AE" w14:paraId="5C378C1E" w14:textId="77777777">
        <w:tc>
          <w:tcPr>
            <w:tcW w:w="3240" w:type="dxa"/>
          </w:tcPr>
          <w:p w14:paraId="657FCA3A" w14:textId="77777777" w:rsidR="002A21AE" w:rsidRDefault="002A21AE">
            <w:pPr>
              <w:pStyle w:val="TableTextNumbers"/>
            </w:pPr>
            <w:r>
              <w:t>Enter an ID and product code</w:t>
            </w:r>
            <w:r w:rsidR="009535FF">
              <w:t xml:space="preserve"> for a blood unit</w:t>
            </w:r>
            <w:r>
              <w:t>.</w:t>
            </w:r>
          </w:p>
        </w:tc>
        <w:tc>
          <w:tcPr>
            <w:tcW w:w="6120" w:type="dxa"/>
          </w:tcPr>
          <w:p w14:paraId="727E1239" w14:textId="77777777" w:rsidR="002A21AE" w:rsidRDefault="002A21AE">
            <w:pPr>
              <w:pStyle w:val="TableTextBullet"/>
            </w:pPr>
            <w:r>
              <w:t xml:space="preserve">When a unit is appropriate for processing, displays unit information, including the current status. </w:t>
            </w:r>
          </w:p>
          <w:p w14:paraId="698DF7E9" w14:textId="77777777" w:rsidR="002A21AE" w:rsidRDefault="002A21AE">
            <w:pPr>
              <w:pStyle w:val="TableText"/>
            </w:pPr>
          </w:p>
          <w:p w14:paraId="066C925F" w14:textId="77777777" w:rsidR="002A21AE" w:rsidRDefault="00057948">
            <w:pPr>
              <w:pStyle w:val="TableText"/>
              <w:rPr>
                <w:b/>
                <w:bCs/>
                <w:szCs w:val="18"/>
              </w:rPr>
            </w:pPr>
            <w:r>
              <w:rPr>
                <w:b/>
                <w:bCs/>
                <w:noProof/>
              </w:rPr>
              <mc:AlternateContent>
                <mc:Choice Requires="wps">
                  <w:drawing>
                    <wp:anchor distT="0" distB="0" distL="114300" distR="114300" simplePos="0" relativeHeight="251241984" behindDoc="0" locked="0" layoutInCell="1" allowOverlap="1" wp14:anchorId="551AB922" wp14:editId="00DBC802">
                      <wp:simplePos x="0" y="0"/>
                      <wp:positionH relativeFrom="column">
                        <wp:posOffset>457200</wp:posOffset>
                      </wp:positionH>
                      <wp:positionV relativeFrom="paragraph">
                        <wp:posOffset>65405</wp:posOffset>
                      </wp:positionV>
                      <wp:extent cx="3200400" cy="0"/>
                      <wp:effectExtent l="9525" t="17780" r="9525" b="10795"/>
                      <wp:wrapNone/>
                      <wp:docPr id="456" name="Line 191" descr="P5150C6T5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FF013" id="Line 191" o:spid="_x0000_s1026" alt="&quot;&quot;" style="position:absolute;z-index:2512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j2y0h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0E37E922" w14:textId="77777777" w:rsidR="002A21AE" w:rsidRDefault="002A21AE">
            <w:pPr>
              <w:pStyle w:val="NotesText"/>
            </w:pPr>
          </w:p>
          <w:p w14:paraId="11F76DAF" w14:textId="77777777" w:rsidR="002A21AE" w:rsidRDefault="002A21AE">
            <w:pPr>
              <w:pStyle w:val="NotesText"/>
            </w:pPr>
            <w:r>
              <w:t>The user may deselect units prior to editing.</w:t>
            </w:r>
          </w:p>
        </w:tc>
      </w:tr>
      <w:tr w:rsidR="009535FF" w14:paraId="27D96248" w14:textId="77777777">
        <w:tc>
          <w:tcPr>
            <w:tcW w:w="3240" w:type="dxa"/>
          </w:tcPr>
          <w:p w14:paraId="5A0747EB" w14:textId="77777777" w:rsidR="009535FF" w:rsidRDefault="009535FF">
            <w:pPr>
              <w:pStyle w:val="TableTextNumbers"/>
            </w:pPr>
            <w:r>
              <w:t xml:space="preserve">Click </w:t>
            </w:r>
            <w:r w:rsidRPr="009535FF">
              <w:rPr>
                <w:b/>
              </w:rPr>
              <w:t>Select</w:t>
            </w:r>
            <w:r>
              <w:t xml:space="preserve"> to add the selected unit to the worklist, or click </w:t>
            </w:r>
            <w:r w:rsidRPr="009535FF">
              <w:rPr>
                <w:b/>
              </w:rPr>
              <w:t>Clear</w:t>
            </w:r>
            <w:r>
              <w:t xml:space="preserve"> to select another unit.</w:t>
            </w:r>
          </w:p>
        </w:tc>
        <w:tc>
          <w:tcPr>
            <w:tcW w:w="6120" w:type="dxa"/>
          </w:tcPr>
          <w:p w14:paraId="645EE739" w14:textId="77777777" w:rsidR="009535FF" w:rsidRDefault="00CE0AAB">
            <w:pPr>
              <w:pStyle w:val="TableTextBullet"/>
            </w:pPr>
            <w:r>
              <w:t>Adds the unit to a temporary list of selected units.</w:t>
            </w:r>
          </w:p>
        </w:tc>
      </w:tr>
      <w:tr w:rsidR="002A21AE" w14:paraId="28FAC03A" w14:textId="77777777">
        <w:tc>
          <w:tcPr>
            <w:tcW w:w="3240" w:type="dxa"/>
          </w:tcPr>
          <w:p w14:paraId="599C1F33" w14:textId="77777777" w:rsidR="002A21AE" w:rsidRDefault="002A21AE">
            <w:pPr>
              <w:pStyle w:val="TableTextNumbers"/>
            </w:pPr>
            <w:r>
              <w:t>Repeat Step 3, as needed, to process multiple blood units as a single batch.</w:t>
            </w:r>
          </w:p>
          <w:p w14:paraId="5565C676" w14:textId="77777777" w:rsidR="009535FF" w:rsidRDefault="009535FF" w:rsidP="009535FF">
            <w:pPr>
              <w:pStyle w:val="TableTextNumbersContinued"/>
            </w:pPr>
          </w:p>
          <w:p w14:paraId="3C7B7C07" w14:textId="77777777" w:rsidR="009535FF" w:rsidRDefault="009535FF" w:rsidP="009535FF">
            <w:pPr>
              <w:pStyle w:val="TableTextNumbersContinued"/>
            </w:pPr>
            <w:r>
              <w:t xml:space="preserve">Click </w:t>
            </w:r>
            <w:r w:rsidRPr="009535FF">
              <w:rPr>
                <w:b/>
              </w:rPr>
              <w:t>OK</w:t>
            </w:r>
            <w:r>
              <w:t xml:space="preserve"> to continue.</w:t>
            </w:r>
          </w:p>
        </w:tc>
        <w:tc>
          <w:tcPr>
            <w:tcW w:w="6120" w:type="dxa"/>
          </w:tcPr>
          <w:p w14:paraId="6851E63E" w14:textId="77777777" w:rsidR="002A21AE" w:rsidRDefault="002A21AE">
            <w:pPr>
              <w:pStyle w:val="TableTextBullet"/>
            </w:pPr>
            <w:r>
              <w:t>Displays selected units.</w:t>
            </w:r>
          </w:p>
        </w:tc>
      </w:tr>
      <w:tr w:rsidR="002A21AE" w14:paraId="128BBACC" w14:textId="77777777">
        <w:tc>
          <w:tcPr>
            <w:tcW w:w="3240" w:type="dxa"/>
          </w:tcPr>
          <w:p w14:paraId="36AD3388" w14:textId="097974C5" w:rsidR="002A21AE" w:rsidRDefault="009535FF">
            <w:pPr>
              <w:pStyle w:val="TableTextNumbers"/>
            </w:pPr>
            <w:r>
              <w:t xml:space="preserve">In the Activity area, click the </w:t>
            </w:r>
            <w:r w:rsidRPr="009535FF">
              <w:rPr>
                <w:b/>
              </w:rPr>
              <w:t>Discard</w:t>
            </w:r>
            <w:r>
              <w:t xml:space="preserve">, </w:t>
            </w:r>
            <w:r w:rsidRPr="009535FF">
              <w:rPr>
                <w:b/>
              </w:rPr>
              <w:t>Quarantine</w:t>
            </w:r>
            <w:r>
              <w:t xml:space="preserve">, or </w:t>
            </w:r>
            <w:r w:rsidRPr="009535FF">
              <w:rPr>
                <w:b/>
              </w:rPr>
              <w:t xml:space="preserve">Release from Quarantine </w:t>
            </w:r>
            <w:r w:rsidRPr="00BF2E41">
              <w:t>radio button</w:t>
            </w:r>
            <w:r w:rsidR="00550732">
              <w:rPr>
                <w:b/>
              </w:rPr>
              <w:t xml:space="preserve"> </w:t>
            </w:r>
            <w:r w:rsidR="00550732" w:rsidRPr="00550732">
              <w:t>(</w:t>
            </w:r>
            <w:r w:rsidR="00C40441">
              <w:fldChar w:fldCharType="begin" w:fldLock="1"/>
            </w:r>
            <w:r w:rsidR="00C40441">
              <w:instrText xml:space="preserve"> REF _Ref126653702 \h </w:instrText>
            </w:r>
            <w:r w:rsidR="00C40441">
              <w:fldChar w:fldCharType="separate"/>
            </w:r>
            <w:r w:rsidR="00AB304C">
              <w:t xml:space="preserve">Figure </w:t>
            </w:r>
            <w:r w:rsidR="00AB304C">
              <w:rPr>
                <w:noProof/>
              </w:rPr>
              <w:t>99</w:t>
            </w:r>
            <w:r w:rsidR="00C40441">
              <w:fldChar w:fldCharType="end"/>
            </w:r>
            <w:r w:rsidR="00550732" w:rsidRPr="00550732">
              <w:t>)</w:t>
            </w:r>
            <w:r>
              <w:t>.</w:t>
            </w:r>
            <w:r w:rsidR="002A21AE">
              <w:t xml:space="preserve"> </w:t>
            </w:r>
          </w:p>
        </w:tc>
        <w:tc>
          <w:tcPr>
            <w:tcW w:w="6120" w:type="dxa"/>
          </w:tcPr>
          <w:p w14:paraId="2D9EC6AB" w14:textId="77777777" w:rsidR="002A21AE" w:rsidRDefault="00057948">
            <w:pPr>
              <w:pStyle w:val="TableText"/>
              <w:rPr>
                <w:b/>
                <w:bCs/>
                <w:szCs w:val="18"/>
              </w:rPr>
            </w:pPr>
            <w:r>
              <w:rPr>
                <w:b/>
                <w:bCs/>
                <w:noProof/>
              </w:rPr>
              <mc:AlternateContent>
                <mc:Choice Requires="wps">
                  <w:drawing>
                    <wp:anchor distT="0" distB="0" distL="114300" distR="114300" simplePos="0" relativeHeight="251245056" behindDoc="0" locked="0" layoutInCell="1" allowOverlap="1" wp14:anchorId="30515ABD" wp14:editId="0A94B638">
                      <wp:simplePos x="0" y="0"/>
                      <wp:positionH relativeFrom="column">
                        <wp:posOffset>457200</wp:posOffset>
                      </wp:positionH>
                      <wp:positionV relativeFrom="paragraph">
                        <wp:posOffset>65405</wp:posOffset>
                      </wp:positionV>
                      <wp:extent cx="3200400" cy="0"/>
                      <wp:effectExtent l="9525" t="17780" r="9525" b="10795"/>
                      <wp:wrapNone/>
                      <wp:docPr id="455" name="Line 192" descr="P5163C12T5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6706B" id="Line 192" o:spid="_x0000_s1026" alt="&quot;&quot;" style="position:absolute;z-index:2512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Fc9IP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3F3854EE" w14:textId="77777777" w:rsidR="002A21AE" w:rsidRDefault="002A21AE">
            <w:pPr>
              <w:pStyle w:val="NotesText"/>
            </w:pPr>
          </w:p>
          <w:p w14:paraId="6F1EFAE3" w14:textId="77777777" w:rsidR="002A21AE" w:rsidRDefault="004356BF">
            <w:pPr>
              <w:pStyle w:val="NotesText"/>
            </w:pPr>
            <w:r w:rsidRPr="00EC7489">
              <w:rPr>
                <w:rFonts w:ascii="Wingdings 3" w:hAnsi="Wingdings 3" w:cs="Wingdings"/>
              </w:rPr>
              <w:t></w:t>
            </w:r>
            <w:r w:rsidRPr="00EC7489">
              <w:rPr>
                <w:rFonts w:ascii="Wingdings 3" w:hAnsi="Wingdings 3" w:cs="Wingdings"/>
              </w:rPr>
              <w:t></w:t>
            </w:r>
            <w:r w:rsidRPr="004356BF">
              <w:t xml:space="preserve"> The Enhanced Technologist may release a unit from quarantine.</w:t>
            </w:r>
          </w:p>
        </w:tc>
      </w:tr>
      <w:tr w:rsidR="002A21AE" w14:paraId="0FBE1049" w14:textId="77777777">
        <w:tc>
          <w:tcPr>
            <w:tcW w:w="3240" w:type="dxa"/>
          </w:tcPr>
          <w:p w14:paraId="1589DFFB" w14:textId="77777777" w:rsidR="002A21AE" w:rsidRDefault="009535FF">
            <w:pPr>
              <w:pStyle w:val="TableTextNumbers"/>
            </w:pPr>
            <w:r>
              <w:t xml:space="preserve">Select or enter a comment in the Comment </w:t>
            </w:r>
            <w:r w:rsidR="00A41AE1">
              <w:t>field</w:t>
            </w:r>
            <w:r>
              <w:t xml:space="preserve"> to explain the change in status, when indicated</w:t>
            </w:r>
            <w:r w:rsidR="002A21AE">
              <w:t>.</w:t>
            </w:r>
            <w:r>
              <w:t xml:space="preserve"> Enter details, as needed.</w:t>
            </w:r>
          </w:p>
        </w:tc>
        <w:tc>
          <w:tcPr>
            <w:tcW w:w="6120" w:type="dxa"/>
          </w:tcPr>
          <w:p w14:paraId="656258AD" w14:textId="77777777" w:rsidR="002A21AE" w:rsidRDefault="002A21AE">
            <w:pPr>
              <w:pStyle w:val="TableTextBullet"/>
            </w:pPr>
            <w:r>
              <w:t>Displays entered data.</w:t>
            </w:r>
          </w:p>
          <w:p w14:paraId="08F0E368" w14:textId="77777777" w:rsidR="004356BF" w:rsidRDefault="004356BF" w:rsidP="004356BF">
            <w:pPr>
              <w:pStyle w:val="TableText"/>
            </w:pPr>
          </w:p>
          <w:p w14:paraId="1C50B83E" w14:textId="77777777" w:rsidR="004356BF" w:rsidRDefault="00057948" w:rsidP="004356BF">
            <w:pPr>
              <w:pStyle w:val="TableText"/>
              <w:rPr>
                <w:b/>
                <w:bCs/>
                <w:szCs w:val="18"/>
              </w:rPr>
            </w:pPr>
            <w:r>
              <w:rPr>
                <w:b/>
                <w:bCs/>
                <w:noProof/>
              </w:rPr>
              <mc:AlternateContent>
                <mc:Choice Requires="wps">
                  <w:drawing>
                    <wp:anchor distT="0" distB="0" distL="114300" distR="114300" simplePos="0" relativeHeight="251810304" behindDoc="0" locked="0" layoutInCell="1" allowOverlap="1" wp14:anchorId="38B57FC7" wp14:editId="061F2C62">
                      <wp:simplePos x="0" y="0"/>
                      <wp:positionH relativeFrom="column">
                        <wp:posOffset>457200</wp:posOffset>
                      </wp:positionH>
                      <wp:positionV relativeFrom="paragraph">
                        <wp:posOffset>65405</wp:posOffset>
                      </wp:positionV>
                      <wp:extent cx="3200400" cy="0"/>
                      <wp:effectExtent l="9525" t="17780" r="9525" b="10795"/>
                      <wp:wrapNone/>
                      <wp:docPr id="454" name="Line 1009" descr="P5170C14T5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F238B" id="Line 1009" o:spid="_x0000_s1026" alt="&quot;&quot;" style="position:absolute;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IIzlwjEAQAAbwMAAA4AAAAAAAAAAAAAAAAA&#10;LgIAAGRycy9lMm9Eb2MueG1sUEsBAi0AFAAGAAgAAAAhABdPMBLbAAAACAEAAA8AAAAAAAAAAAAA&#10;AAAAHgQAAGRycy9kb3ducmV2LnhtbFBLBQYAAAAABAAEAPMAAAAmBQAAAAA=&#10;" strokeweight="1.5pt"/>
                  </w:pict>
                </mc:Fallback>
              </mc:AlternateContent>
            </w:r>
            <w:r w:rsidR="004356BF">
              <w:rPr>
                <w:b/>
                <w:bCs/>
                <w:szCs w:val="18"/>
              </w:rPr>
              <w:t>NOTES</w:t>
            </w:r>
          </w:p>
          <w:p w14:paraId="5FB8E37C" w14:textId="77777777" w:rsidR="004356BF" w:rsidRDefault="004356BF" w:rsidP="004356BF">
            <w:pPr>
              <w:pStyle w:val="NotesText"/>
            </w:pPr>
          </w:p>
          <w:p w14:paraId="52FBF864" w14:textId="77777777" w:rsidR="004356BF" w:rsidRDefault="004356BF" w:rsidP="004356BF">
            <w:pPr>
              <w:pStyle w:val="NotesText"/>
            </w:pPr>
            <w:r>
              <w:rPr>
                <w:rFonts w:cs="Arial"/>
                <w:vanish/>
              </w:rPr>
              <w:t xml:space="preserve">BR_27.04 </w:t>
            </w:r>
            <w:r>
              <w:t>When a status of “Discard” is assigned to a unit, the user must enter a comment.</w:t>
            </w:r>
          </w:p>
          <w:p w14:paraId="27750732" w14:textId="77777777" w:rsidR="004356BF" w:rsidRDefault="004356BF" w:rsidP="004356BF">
            <w:pPr>
              <w:pStyle w:val="NotesText"/>
            </w:pPr>
          </w:p>
          <w:p w14:paraId="4FA1CE19" w14:textId="77777777" w:rsidR="004356BF" w:rsidRDefault="0097326A" w:rsidP="004356BF">
            <w:pPr>
              <w:pStyle w:val="NotesText"/>
            </w:pPr>
            <w:r w:rsidRPr="00896F17">
              <w:rPr>
                <w:rStyle w:val="BullhornChar"/>
              </w:rPr>
              <w:t></w:t>
            </w:r>
            <w:r>
              <w:rPr>
                <w:rFonts w:ascii="Webdings" w:hAnsi="Webdings"/>
              </w:rPr>
              <w:t></w:t>
            </w:r>
            <w:r w:rsidR="004356BF">
              <w:rPr>
                <w:vanish/>
                <w:szCs w:val="18"/>
              </w:rPr>
              <w:t>BR_27.08</w:t>
            </w:r>
            <w:r w:rsidR="00CE3961">
              <w:rPr>
                <w:vanish/>
                <w:szCs w:val="18"/>
              </w:rPr>
              <w:t>,</w:t>
            </w:r>
            <w:r w:rsidR="004356BF">
              <w:rPr>
                <w:vanish/>
                <w:szCs w:val="18"/>
              </w:rPr>
              <w:t xml:space="preserve"> BR_27.02</w:t>
            </w:r>
            <w:r w:rsidR="00263B24">
              <w:t>W</w:t>
            </w:r>
            <w:r w:rsidR="004356BF">
              <w:t>hen a blood unit is assigned an in</w:t>
            </w:r>
            <w:r w:rsidR="004356BF">
              <w:rPr>
                <w:noProof/>
              </w:rPr>
              <w:t>dicator of “quarantined,” VBECS emits an audible alert, requires a comment, and captures</w:t>
            </w:r>
            <w:r w:rsidR="00AE3CC7">
              <w:rPr>
                <w:noProof/>
              </w:rPr>
              <w:t xml:space="preserve"> details</w:t>
            </w:r>
            <w:r w:rsidR="004356BF">
              <w:t xml:space="preserve"> for inclusion in an Exception Report (exception type: Quarantine, Discard or Release from Quarantine, depending on the user action).</w:t>
            </w:r>
          </w:p>
          <w:p w14:paraId="0D6C731F" w14:textId="77777777" w:rsidR="004356BF" w:rsidRDefault="004356BF" w:rsidP="004356BF">
            <w:pPr>
              <w:pStyle w:val="NotesText"/>
            </w:pPr>
            <w:r>
              <w:rPr>
                <w:rFonts w:cs="Arial"/>
                <w:vanish/>
              </w:rPr>
              <w:lastRenderedPageBreak/>
              <w:t xml:space="preserve">BR_27.11 </w:t>
            </w:r>
            <w:r w:rsidR="00263B24" w:rsidRPr="00896F17">
              <w:rPr>
                <w:rStyle w:val="BullhornChar"/>
              </w:rPr>
              <w:t></w:t>
            </w:r>
            <w:r w:rsidR="00263B24">
              <w:rPr>
                <w:rFonts w:ascii="Webdings" w:hAnsi="Webdings"/>
              </w:rPr>
              <w:t></w:t>
            </w:r>
            <w:r w:rsidR="00263B24">
              <w:t>W</w:t>
            </w:r>
            <w:r>
              <w:t xml:space="preserve">hen a unit is released from quarantine, a new status must be assigned. VBECS assigns the previous status as the default status. When the unit expiration date is in the past, VBECS </w:t>
            </w:r>
            <w:r>
              <w:rPr>
                <w:noProof/>
              </w:rPr>
              <w:t xml:space="preserve">emits an audible alert, warns the user, and asks whether </w:t>
            </w:r>
            <w:r w:rsidR="00782487">
              <w:rPr>
                <w:noProof/>
              </w:rPr>
              <w:t>he</w:t>
            </w:r>
            <w:r>
              <w:rPr>
                <w:noProof/>
              </w:rPr>
              <w:t xml:space="preserve"> wishes to </w:t>
            </w:r>
            <w:r w:rsidR="00AE3CC7">
              <w:rPr>
                <w:noProof/>
              </w:rPr>
              <w:t>continue</w:t>
            </w:r>
            <w:r>
              <w:t>.</w:t>
            </w:r>
          </w:p>
          <w:p w14:paraId="14891E2B" w14:textId="77777777" w:rsidR="004356BF" w:rsidRDefault="004356BF" w:rsidP="004356BF">
            <w:pPr>
              <w:pStyle w:val="NotesText"/>
              <w:rPr>
                <w:b/>
              </w:rPr>
            </w:pPr>
          </w:p>
          <w:p w14:paraId="6B570A0C" w14:textId="77777777" w:rsidR="004356BF" w:rsidRDefault="004356BF" w:rsidP="004356BF">
            <w:pPr>
              <w:pStyle w:val="NotesText"/>
            </w:pPr>
            <w:r>
              <w:rPr>
                <w:b/>
              </w:rPr>
              <w:t>Yes</w:t>
            </w:r>
            <w:r>
              <w:t xml:space="preserve"> accepts the default status, requires a comment, and captures details for inclusion in an Exception Report (exception type: expired unit released from quarantine). </w:t>
            </w:r>
            <w:r>
              <w:rPr>
                <w:b/>
              </w:rPr>
              <w:t>No</w:t>
            </w:r>
            <w:r>
              <w:t xml:space="preserve"> stops the process; the unit remains marked as quarantined.</w:t>
            </w:r>
          </w:p>
          <w:p w14:paraId="05295191" w14:textId="77777777" w:rsidR="004356BF" w:rsidRDefault="004356BF" w:rsidP="004356BF">
            <w:pPr>
              <w:pStyle w:val="NotesText"/>
            </w:pPr>
          </w:p>
          <w:p w14:paraId="1D2AEE09" w14:textId="77777777" w:rsidR="004356BF" w:rsidRDefault="004356BF" w:rsidP="004356BF">
            <w:pPr>
              <w:pStyle w:val="NotesText"/>
            </w:pPr>
            <w:r>
              <w:rPr>
                <w:rFonts w:cs="Arial"/>
                <w:vanish/>
              </w:rPr>
              <w:t xml:space="preserve">BR_27.05 </w:t>
            </w:r>
            <w:r>
              <w:t>When the user assigns a status of “Discard,” he must indicate whether the discard is waste or credit.</w:t>
            </w:r>
          </w:p>
          <w:p w14:paraId="12FA9841" w14:textId="77777777" w:rsidR="004356BF" w:rsidRDefault="004356BF" w:rsidP="004356BF">
            <w:pPr>
              <w:pStyle w:val="NotesText"/>
            </w:pPr>
          </w:p>
          <w:p w14:paraId="32AFA5F1" w14:textId="77777777" w:rsidR="004356BF" w:rsidRDefault="004356BF" w:rsidP="004356BF">
            <w:pPr>
              <w:pStyle w:val="NotesText"/>
            </w:pPr>
            <w:r>
              <w:rPr>
                <w:rFonts w:cs="Arial"/>
                <w:vanish/>
              </w:rPr>
              <w:t xml:space="preserve">BR_27.06 </w:t>
            </w:r>
            <w:r>
              <w:t>When VBECS processes a unit as a discard that is waste, it does not apply a return credit to the discarded unit. (There is no refund of monies from the blood shipper.)</w:t>
            </w:r>
          </w:p>
          <w:p w14:paraId="177DEE76" w14:textId="77777777" w:rsidR="004356BF" w:rsidRDefault="004356BF" w:rsidP="004356BF">
            <w:pPr>
              <w:pStyle w:val="NotesText"/>
            </w:pPr>
          </w:p>
          <w:p w14:paraId="5531EB86" w14:textId="77777777" w:rsidR="004356BF" w:rsidRDefault="004356BF" w:rsidP="004356BF">
            <w:pPr>
              <w:pStyle w:val="NotesText"/>
            </w:pPr>
            <w:r>
              <w:rPr>
                <w:rFonts w:cs="Arial"/>
                <w:vanish/>
              </w:rPr>
              <w:t xml:space="preserve">BR_27.07 </w:t>
            </w:r>
            <w:r>
              <w:t>When VBECS saves a unit as “discard for credit,” it applies a default return credit. A user may edit the default return credit applied to the unit before updating the database.</w:t>
            </w:r>
          </w:p>
          <w:p w14:paraId="77255888" w14:textId="77777777" w:rsidR="004356BF" w:rsidRDefault="004356BF" w:rsidP="004356BF">
            <w:pPr>
              <w:pStyle w:val="NotesText"/>
            </w:pPr>
          </w:p>
          <w:p w14:paraId="6EC245FA" w14:textId="77777777" w:rsidR="004356BF" w:rsidRDefault="004356BF" w:rsidP="004356BF">
            <w:pPr>
              <w:pStyle w:val="NotesText"/>
            </w:pPr>
            <w:r>
              <w:rPr>
                <w:rFonts w:cs="Arial"/>
                <w:vanish/>
              </w:rPr>
              <w:t xml:space="preserve">BR_27.15 </w:t>
            </w:r>
            <w:r>
              <w:t xml:space="preserve">When a unit </w:t>
            </w:r>
            <w:r w:rsidR="00621E98">
              <w:t>has had a quarantine indicator</w:t>
            </w:r>
            <w:r>
              <w:t xml:space="preserve"> assigned, VBECS releases </w:t>
            </w:r>
            <w:r w:rsidR="00621E98">
              <w:t xml:space="preserve">any </w:t>
            </w:r>
            <w:r>
              <w:t>patient assignments. Patient restrictions associa</w:t>
            </w:r>
            <w:r w:rsidR="00621E98">
              <w:t>ted with the unit remain intact.</w:t>
            </w:r>
          </w:p>
          <w:p w14:paraId="2E03694E" w14:textId="77777777" w:rsidR="004356BF" w:rsidRDefault="004356BF" w:rsidP="004356BF">
            <w:pPr>
              <w:pStyle w:val="NotesText"/>
            </w:pPr>
          </w:p>
          <w:p w14:paraId="53EB94F3" w14:textId="77777777" w:rsidR="004356BF" w:rsidRDefault="004356BF" w:rsidP="00782487">
            <w:pPr>
              <w:pStyle w:val="NotesText"/>
            </w:pPr>
            <w:r>
              <w:rPr>
                <w:rFonts w:cs="Arial"/>
                <w:vanish/>
              </w:rPr>
              <w:t xml:space="preserve">BR_27.16 </w:t>
            </w:r>
            <w:r>
              <w:t>When a user attempts to release a unit from quarantine and the unit was quarantined because of a data conflict, VBECS checks the inconsistency before allowing the unit to be released. VBECS warns the user. There is no override. The user must invalidate the incorrect information or test to resolve the data conflict.</w:t>
            </w:r>
          </w:p>
        </w:tc>
      </w:tr>
      <w:tr w:rsidR="002A21AE" w14:paraId="704A2DE7" w14:textId="77777777">
        <w:tc>
          <w:tcPr>
            <w:tcW w:w="3240" w:type="dxa"/>
          </w:tcPr>
          <w:p w14:paraId="09838A7A" w14:textId="77777777" w:rsidR="002A21AE" w:rsidRDefault="004724C0">
            <w:pPr>
              <w:pStyle w:val="TableTextNumbers"/>
            </w:pPr>
            <w:r>
              <w:lastRenderedPageBreak/>
              <w:t>E</w:t>
            </w:r>
            <w:r w:rsidR="00A41AE1">
              <w:t>nter</w:t>
            </w:r>
            <w:r w:rsidR="002A21AE">
              <w:t xml:space="preserve"> the date and time of the status update. </w:t>
            </w:r>
          </w:p>
          <w:p w14:paraId="16642883" w14:textId="77777777" w:rsidR="009535FF" w:rsidRDefault="009535FF" w:rsidP="009535FF">
            <w:pPr>
              <w:pStyle w:val="TableTextNumbersContinued"/>
            </w:pPr>
          </w:p>
          <w:p w14:paraId="1B72FA4A" w14:textId="77777777" w:rsidR="009535FF" w:rsidRDefault="009535FF" w:rsidP="009535FF">
            <w:pPr>
              <w:pStyle w:val="TableTextNumbersContinued"/>
            </w:pPr>
            <w:r>
              <w:t xml:space="preserve">Click the </w:t>
            </w:r>
            <w:r w:rsidRPr="009535FF">
              <w:rPr>
                <w:b/>
              </w:rPr>
              <w:t>Waste</w:t>
            </w:r>
            <w:r>
              <w:t xml:space="preserve"> or </w:t>
            </w:r>
            <w:r w:rsidRPr="009535FF">
              <w:rPr>
                <w:b/>
              </w:rPr>
              <w:t xml:space="preserve">Credit </w:t>
            </w:r>
            <w:r w:rsidRPr="00BF2E41">
              <w:t>radio button</w:t>
            </w:r>
            <w:r>
              <w:t>.</w:t>
            </w:r>
          </w:p>
        </w:tc>
        <w:tc>
          <w:tcPr>
            <w:tcW w:w="6120" w:type="dxa"/>
          </w:tcPr>
          <w:p w14:paraId="24F8B46A" w14:textId="77777777" w:rsidR="002A21AE" w:rsidRDefault="009D6D56">
            <w:pPr>
              <w:pStyle w:val="TableTextBullet"/>
            </w:pPr>
            <w:r>
              <w:rPr>
                <w:vanish/>
              </w:rPr>
              <w:t xml:space="preserve">DR 3241 </w:t>
            </w:r>
            <w:r>
              <w:t>VBECS defaults the date and time of the status update to the date and time the user opened the Discard or Quarantine option</w:t>
            </w:r>
          </w:p>
          <w:p w14:paraId="742DFD94" w14:textId="77777777" w:rsidR="002A21AE" w:rsidRDefault="002A21AE">
            <w:pPr>
              <w:pStyle w:val="TableTextBullet"/>
            </w:pPr>
            <w:r>
              <w:t>Displays entered data.</w:t>
            </w:r>
          </w:p>
          <w:p w14:paraId="23660403" w14:textId="77777777" w:rsidR="002A21AE" w:rsidRDefault="002A21AE">
            <w:pPr>
              <w:pStyle w:val="TableText"/>
            </w:pPr>
          </w:p>
          <w:p w14:paraId="1BB4BAA3" w14:textId="77777777" w:rsidR="002A21AE" w:rsidRDefault="00057948">
            <w:pPr>
              <w:pStyle w:val="TableText"/>
              <w:rPr>
                <w:b/>
                <w:bCs/>
                <w:szCs w:val="18"/>
              </w:rPr>
            </w:pPr>
            <w:r>
              <w:rPr>
                <w:b/>
                <w:bCs/>
                <w:noProof/>
              </w:rPr>
              <mc:AlternateContent>
                <mc:Choice Requires="wps">
                  <w:drawing>
                    <wp:anchor distT="0" distB="0" distL="114300" distR="114300" simplePos="0" relativeHeight="251248128" behindDoc="0" locked="0" layoutInCell="1" allowOverlap="1" wp14:anchorId="16D98BF5" wp14:editId="74F666C1">
                      <wp:simplePos x="0" y="0"/>
                      <wp:positionH relativeFrom="column">
                        <wp:posOffset>457200</wp:posOffset>
                      </wp:positionH>
                      <wp:positionV relativeFrom="paragraph">
                        <wp:posOffset>65405</wp:posOffset>
                      </wp:positionV>
                      <wp:extent cx="3200400" cy="0"/>
                      <wp:effectExtent l="9525" t="17780" r="9525" b="10795"/>
                      <wp:wrapNone/>
                      <wp:docPr id="453" name="Line 193" descr="P5195C16T5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05D44" id="Line 193" o:spid="_x0000_s1026" alt="&quot;&quot;" style="position:absolute;z-index:2512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ryVzh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7F68C6FE" w14:textId="77777777" w:rsidR="002A21AE" w:rsidRDefault="002A21AE">
            <w:pPr>
              <w:pStyle w:val="NotesText"/>
            </w:pPr>
          </w:p>
          <w:p w14:paraId="71A6FEEC" w14:textId="77777777" w:rsidR="002A21AE" w:rsidRDefault="002A21AE">
            <w:pPr>
              <w:pStyle w:val="NotesText"/>
            </w:pPr>
            <w:r>
              <w:t>The default date and time are the current date and time.</w:t>
            </w:r>
          </w:p>
          <w:p w14:paraId="2E8E9F4B" w14:textId="77777777" w:rsidR="002A21AE" w:rsidRDefault="002A21AE">
            <w:pPr>
              <w:pStyle w:val="NotesText"/>
            </w:pPr>
          </w:p>
          <w:p w14:paraId="3081C7F4" w14:textId="77777777" w:rsidR="002A21AE" w:rsidRDefault="002A21AE">
            <w:pPr>
              <w:pStyle w:val="NotesText"/>
            </w:pPr>
            <w:r>
              <w:rPr>
                <w:rFonts w:cs="Arial"/>
                <w:vanish/>
              </w:rPr>
              <w:t xml:space="preserve">BR_27.14 </w:t>
            </w:r>
            <w:r>
              <w:t>When the user updates the status of a unit and enters a date or time in the past, VBECS compares the retrospective date and time with the last record update for the unit. VBECS allows the user to update a unit record with a date and time between the last record update and the current date and time.</w:t>
            </w:r>
            <w:bookmarkStart w:id="376" w:name="one2511"/>
            <w:bookmarkEnd w:id="376"/>
          </w:p>
          <w:p w14:paraId="7DE0AEF5" w14:textId="77777777" w:rsidR="002A21AE" w:rsidRDefault="002A21AE">
            <w:pPr>
              <w:pStyle w:val="NotesText"/>
            </w:pPr>
          </w:p>
          <w:p w14:paraId="2FA4EC9C" w14:textId="77777777" w:rsidR="002A21AE" w:rsidRDefault="00263B24">
            <w:pPr>
              <w:pStyle w:val="NotesText"/>
            </w:pPr>
            <w:r w:rsidRPr="00896F17">
              <w:rPr>
                <w:rStyle w:val="BullhornChar"/>
              </w:rPr>
              <w:t></w:t>
            </w:r>
            <w:r w:rsidR="002A21AE" w:rsidRPr="00EC7489">
              <w:rPr>
                <w:rFonts w:ascii="Wingdings 3" w:hAnsi="Wingdings 3" w:cs="Wingdings"/>
              </w:rPr>
              <w:t></w:t>
            </w:r>
            <w:r w:rsidR="002A21AE" w:rsidRPr="00EC7489">
              <w:rPr>
                <w:rFonts w:ascii="Wingdings 3" w:hAnsi="Wingdings 3" w:cs="Wingdings"/>
              </w:rPr>
              <w:t></w:t>
            </w:r>
            <w:r w:rsidR="002A21AE">
              <w:t xml:space="preserve"> When the user attempts to update a unit record prior to the last record update, VBECS emits an audible alert, warns the Enhanced Technologist, and instructs him to check the date and time entered. There is no override.</w:t>
            </w:r>
          </w:p>
          <w:p w14:paraId="6515DD09" w14:textId="77777777" w:rsidR="002A21AE" w:rsidRDefault="002A21AE">
            <w:pPr>
              <w:pStyle w:val="NotesText"/>
            </w:pPr>
          </w:p>
          <w:p w14:paraId="12CD7D3C" w14:textId="77777777" w:rsidR="002A21AE" w:rsidRDefault="005C768D">
            <w:pPr>
              <w:pStyle w:val="Notes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sidR="002A21AE">
              <w:t xml:space="preserve">When the user is a Lead Technologist, VBECS also requires a comment and asks whether the user wishes to continue. </w:t>
            </w:r>
            <w:r w:rsidR="002A21AE">
              <w:rPr>
                <w:b/>
              </w:rPr>
              <w:t>Yes</w:t>
            </w:r>
            <w:r w:rsidR="002A21AE">
              <w:t xml:space="preserve"> accepts the date and time entered, requires a comment, and captures details for inclusion in an Exception </w:t>
            </w:r>
            <w:r w:rsidR="002A21AE">
              <w:lastRenderedPageBreak/>
              <w:t xml:space="preserve">Report (exception type: retrospective update prior to last record update). </w:t>
            </w:r>
            <w:r w:rsidR="002A21AE">
              <w:rPr>
                <w:b/>
              </w:rPr>
              <w:t>No</w:t>
            </w:r>
            <w:r w:rsidR="002A21AE">
              <w:t xml:space="preserve"> allows the user to correct the entry.</w:t>
            </w:r>
          </w:p>
        </w:tc>
      </w:tr>
      <w:tr w:rsidR="002A21AE" w14:paraId="777E294B" w14:textId="77777777">
        <w:tc>
          <w:tcPr>
            <w:tcW w:w="3240" w:type="dxa"/>
          </w:tcPr>
          <w:p w14:paraId="68CFDF37" w14:textId="77777777" w:rsidR="002A21AE" w:rsidRDefault="002A21AE" w:rsidP="00A41AE1">
            <w:pPr>
              <w:pStyle w:val="TableTextNumbers"/>
            </w:pPr>
            <w:r>
              <w:lastRenderedPageBreak/>
              <w:t xml:space="preserve">Review the unit status update information and </w:t>
            </w:r>
            <w:r w:rsidR="009535FF">
              <w:t>c</w:t>
            </w:r>
            <w:r>
              <w:t xml:space="preserve">lick </w:t>
            </w:r>
            <w:r w:rsidR="005122E2">
              <w:rPr>
                <w:b/>
              </w:rPr>
              <w:t>Save</w:t>
            </w:r>
            <w:r w:rsidR="005122E2" w:rsidRPr="009535FF">
              <w:t xml:space="preserve"> </w:t>
            </w:r>
            <w:r w:rsidR="009535FF" w:rsidRPr="009535FF">
              <w:t>to save</w:t>
            </w:r>
            <w:r>
              <w:t>.</w:t>
            </w:r>
          </w:p>
        </w:tc>
        <w:tc>
          <w:tcPr>
            <w:tcW w:w="6120" w:type="dxa"/>
          </w:tcPr>
          <w:p w14:paraId="09B33B31" w14:textId="77777777" w:rsidR="002A21AE" w:rsidRDefault="002A21AE">
            <w:pPr>
              <w:pStyle w:val="TableTextBullet"/>
            </w:pPr>
            <w:r>
              <w:t xml:space="preserve">Evaluates the unit’s current status to determine whether it is eligible for the selected function. </w:t>
            </w:r>
          </w:p>
          <w:p w14:paraId="3BF28418" w14:textId="77777777" w:rsidR="002A21AE" w:rsidRDefault="002A21AE">
            <w:pPr>
              <w:pStyle w:val="TableTextBullet"/>
            </w:pPr>
            <w:r>
              <w:t>Displays appropriate error messages when the unit cannot be processed.</w:t>
            </w:r>
          </w:p>
          <w:p w14:paraId="61C25685" w14:textId="77777777" w:rsidR="002A21AE" w:rsidRDefault="002A21AE">
            <w:pPr>
              <w:pStyle w:val="TableTextBullet"/>
            </w:pPr>
            <w:r>
              <w:t>Prompts the user to confirm the save.</w:t>
            </w:r>
          </w:p>
        </w:tc>
      </w:tr>
      <w:tr w:rsidR="002A21AE" w14:paraId="534B1687" w14:textId="77777777">
        <w:tc>
          <w:tcPr>
            <w:tcW w:w="3240" w:type="dxa"/>
          </w:tcPr>
          <w:p w14:paraId="3E03218D" w14:textId="77777777" w:rsidR="002A21AE" w:rsidRDefault="009535FF">
            <w:pPr>
              <w:pStyle w:val="TableTextNumbers"/>
            </w:pPr>
            <w:r>
              <w:t xml:space="preserve">Click </w:t>
            </w:r>
            <w:r w:rsidRPr="009535FF">
              <w:rPr>
                <w:b/>
              </w:rPr>
              <w:t>Yes</w:t>
            </w:r>
            <w:r>
              <w:t xml:space="preserve"> to c</w:t>
            </w:r>
            <w:r w:rsidR="002A21AE">
              <w:t>onfirm the save.</w:t>
            </w:r>
            <w:r>
              <w:rPr>
                <w:vanish/>
                <w:color w:val="FFFFFF"/>
                <w:szCs w:val="18"/>
              </w:rPr>
              <w:t xml:space="preserve"> </w:t>
            </w:r>
            <w:r w:rsidRPr="009D2C1A">
              <w:rPr>
                <w:vanish/>
                <w:szCs w:val="18"/>
              </w:rPr>
              <w:fldChar w:fldCharType="begin"/>
            </w:r>
            <w:r w:rsidRPr="009D2C1A">
              <w:rPr>
                <w:vanish/>
                <w:szCs w:val="18"/>
              </w:rPr>
              <w:instrText xml:space="preserve"> LISTNUM \l 1 \s 0 </w:instrText>
            </w:r>
            <w:r w:rsidRPr="009D2C1A">
              <w:rPr>
                <w:vanish/>
                <w:szCs w:val="18"/>
              </w:rPr>
              <w:fldChar w:fldCharType="end"/>
            </w:r>
          </w:p>
        </w:tc>
        <w:tc>
          <w:tcPr>
            <w:tcW w:w="6120" w:type="dxa"/>
          </w:tcPr>
          <w:p w14:paraId="192AE914" w14:textId="77777777" w:rsidR="002A21AE" w:rsidRDefault="002A21AE">
            <w:pPr>
              <w:pStyle w:val="TableTextBullet"/>
            </w:pPr>
            <w:r>
              <w:t>Saves the data.</w:t>
            </w:r>
          </w:p>
          <w:p w14:paraId="1E3C695A" w14:textId="77777777" w:rsidR="002A21AE" w:rsidRDefault="002A21AE">
            <w:pPr>
              <w:pStyle w:val="TableText"/>
            </w:pPr>
          </w:p>
          <w:p w14:paraId="0EA2674F" w14:textId="77777777" w:rsidR="002A21AE" w:rsidRDefault="00057948">
            <w:pPr>
              <w:pStyle w:val="TableText"/>
              <w:rPr>
                <w:b/>
                <w:bCs/>
                <w:szCs w:val="18"/>
              </w:rPr>
            </w:pPr>
            <w:r>
              <w:rPr>
                <w:b/>
                <w:bCs/>
                <w:noProof/>
              </w:rPr>
              <mc:AlternateContent>
                <mc:Choice Requires="wps">
                  <w:drawing>
                    <wp:anchor distT="0" distB="0" distL="114300" distR="114300" simplePos="0" relativeHeight="251251200" behindDoc="0" locked="0" layoutInCell="1" allowOverlap="1" wp14:anchorId="12223208" wp14:editId="2BD0F6AF">
                      <wp:simplePos x="0" y="0"/>
                      <wp:positionH relativeFrom="column">
                        <wp:posOffset>457200</wp:posOffset>
                      </wp:positionH>
                      <wp:positionV relativeFrom="paragraph">
                        <wp:posOffset>65405</wp:posOffset>
                      </wp:positionV>
                      <wp:extent cx="3200400" cy="0"/>
                      <wp:effectExtent l="9525" t="17780" r="9525" b="10795"/>
                      <wp:wrapNone/>
                      <wp:docPr id="452" name="Line 195" descr="P5213C20T5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E4865" id="Line 195" o:spid="_x0000_s1026" alt="&quot;&quot;" style="position:absolute;z-index:2512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Ke27S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0761EB5D" w14:textId="77777777" w:rsidR="002A21AE" w:rsidRDefault="002A21AE">
            <w:pPr>
              <w:pStyle w:val="NotesText"/>
            </w:pPr>
          </w:p>
          <w:p w14:paraId="528F01F6" w14:textId="77777777" w:rsidR="002A21AE" w:rsidRDefault="002A21AE">
            <w:pPr>
              <w:pStyle w:val="NotesText"/>
            </w:pPr>
            <w:r>
              <w:rPr>
                <w:rFonts w:cs="Arial"/>
                <w:vanish/>
              </w:rPr>
              <w:t xml:space="preserve">BR_27.01 </w:t>
            </w:r>
            <w:r>
              <w:t>During batch data entry of “Discard,” “Quarantine,” and “Release from Quarantine,” VBECS saves transaction details, including user-entered comments, to each blood unit included in the batch.</w:t>
            </w:r>
          </w:p>
        </w:tc>
      </w:tr>
    </w:tbl>
    <w:p w14:paraId="02AC22EC" w14:textId="08030813" w:rsidR="00550732" w:rsidRDefault="00550732" w:rsidP="00550732">
      <w:pPr>
        <w:pStyle w:val="Caption"/>
      </w:pPr>
      <w:bookmarkStart w:id="377" w:name="_Select_Units"/>
      <w:bookmarkStart w:id="378" w:name="_Ref126653702"/>
      <w:bookmarkEnd w:id="377"/>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99</w:t>
      </w:r>
      <w:r w:rsidR="004E20BD">
        <w:rPr>
          <w:noProof/>
        </w:rPr>
        <w:fldChar w:fldCharType="end"/>
      </w:r>
      <w:bookmarkEnd w:id="378"/>
      <w:r>
        <w:t>: Discard or Quarantine Units</w:t>
      </w:r>
    </w:p>
    <w:p w14:paraId="20C45E1A" w14:textId="77777777" w:rsidR="00550732" w:rsidRDefault="00057948" w:rsidP="00550732">
      <w:pPr>
        <w:pStyle w:val="BodyText"/>
      </w:pPr>
      <w:r>
        <w:rPr>
          <w:noProof/>
        </w:rPr>
        <w:drawing>
          <wp:inline distT="0" distB="0" distL="0" distR="0" wp14:anchorId="4C062F22" wp14:editId="0A945D7C">
            <wp:extent cx="5126355" cy="4193540"/>
            <wp:effectExtent l="0" t="0" r="0" b="0"/>
            <wp:docPr id="184" name="Picture 184" descr="P5218#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P5218#yIS1">
                      <a:extLst>
                        <a:ext uri="{C183D7F6-B498-43B3-948B-1728B52AA6E4}">
                          <adec:decorative xmlns:adec="http://schemas.microsoft.com/office/drawing/2017/decorative" val="1"/>
                        </a:ext>
                      </a:extLst>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126355" cy="4193540"/>
                    </a:xfrm>
                    <a:prstGeom prst="rect">
                      <a:avLst/>
                    </a:prstGeom>
                    <a:noFill/>
                    <a:ln>
                      <a:noFill/>
                    </a:ln>
                  </pic:spPr>
                </pic:pic>
              </a:graphicData>
            </a:graphic>
          </wp:inline>
        </w:drawing>
      </w:r>
    </w:p>
    <w:p w14:paraId="285ABEED" w14:textId="77777777" w:rsidR="002A21AE" w:rsidRDefault="00375257" w:rsidP="00E653FE">
      <w:pPr>
        <w:pStyle w:val="Heading4"/>
      </w:pPr>
      <w:r>
        <w:br w:type="page"/>
      </w:r>
      <w:r w:rsidR="00E653FE">
        <w:lastRenderedPageBreak/>
        <w:t>Discard or Quarantine Units by Invoice</w:t>
      </w:r>
      <w:r w:rsidR="00561EA7">
        <w:fldChar w:fldCharType="begin"/>
      </w:r>
      <w:r w:rsidR="00561EA7">
        <w:instrText xml:space="preserve"> XE "</w:instrText>
      </w:r>
      <w:r w:rsidR="00561EA7" w:rsidRPr="008B7F3F">
        <w:instrText>Discard or Quarantine Units by Invoice</w:instrText>
      </w:r>
      <w:r w:rsidR="00561EA7">
        <w:instrText xml:space="preserve">" </w:instrText>
      </w:r>
      <w:r w:rsidR="00561EA7">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9535FF" w14:paraId="301052A5" w14:textId="77777777">
        <w:trPr>
          <w:cantSplit/>
          <w:tblHeader/>
        </w:trPr>
        <w:tc>
          <w:tcPr>
            <w:tcW w:w="3240" w:type="dxa"/>
            <w:shd w:val="pct30" w:color="auto" w:fill="FFFFFF"/>
            <w:vAlign w:val="bottom"/>
          </w:tcPr>
          <w:p w14:paraId="3C5B4C69" w14:textId="77777777" w:rsidR="009535FF" w:rsidRDefault="009535FF" w:rsidP="004356BF">
            <w:pPr>
              <w:pStyle w:val="TableText"/>
              <w:rPr>
                <w:b/>
              </w:rPr>
            </w:pPr>
            <w:r>
              <w:rPr>
                <w:b/>
              </w:rPr>
              <w:t>User Action</w:t>
            </w:r>
          </w:p>
        </w:tc>
        <w:tc>
          <w:tcPr>
            <w:tcW w:w="6120" w:type="dxa"/>
            <w:shd w:val="pct30" w:color="auto" w:fill="FFFFFF"/>
            <w:vAlign w:val="bottom"/>
          </w:tcPr>
          <w:p w14:paraId="158F2878" w14:textId="77777777" w:rsidR="009535FF" w:rsidRDefault="009535FF" w:rsidP="004356BF">
            <w:pPr>
              <w:pStyle w:val="TableText"/>
              <w:rPr>
                <w:b/>
              </w:rPr>
            </w:pPr>
            <w:r>
              <w:rPr>
                <w:b/>
              </w:rPr>
              <w:t>VBECS</w:t>
            </w:r>
          </w:p>
        </w:tc>
      </w:tr>
      <w:tr w:rsidR="009535FF" w14:paraId="77D10657" w14:textId="77777777">
        <w:tc>
          <w:tcPr>
            <w:tcW w:w="3240" w:type="dxa"/>
          </w:tcPr>
          <w:p w14:paraId="7D3F4F9E" w14:textId="77777777" w:rsidR="009535FF" w:rsidRDefault="009535FF" w:rsidP="006E12D3">
            <w:pPr>
              <w:pStyle w:val="TableTextNumbers"/>
            </w:pPr>
            <w:r>
              <w:t xml:space="preserve">Select </w:t>
            </w:r>
            <w:r>
              <w:rPr>
                <w:b/>
              </w:rPr>
              <w:t>Shipments</w:t>
            </w:r>
            <w:r>
              <w:t xml:space="preserve"> from the main menu.</w:t>
            </w:r>
          </w:p>
          <w:p w14:paraId="00DE4BC6" w14:textId="77777777" w:rsidR="009535FF" w:rsidRDefault="009535FF" w:rsidP="004356BF">
            <w:pPr>
              <w:pStyle w:val="TableTextNumbersContinued"/>
            </w:pPr>
          </w:p>
          <w:p w14:paraId="6B0DA9A4" w14:textId="77777777" w:rsidR="009535FF" w:rsidRDefault="009535FF" w:rsidP="004356BF">
            <w:pPr>
              <w:pStyle w:val="TableTextNumbersContinued"/>
            </w:pPr>
            <w:r>
              <w:t xml:space="preserve">Select </w:t>
            </w:r>
            <w:r>
              <w:rPr>
                <w:b/>
              </w:rPr>
              <w:t>Discard or Quarantine</w:t>
            </w:r>
            <w:r>
              <w:t>.</w:t>
            </w:r>
          </w:p>
          <w:p w14:paraId="0631FA0F" w14:textId="77777777" w:rsidR="009535FF" w:rsidRDefault="009535FF" w:rsidP="004356BF">
            <w:pPr>
              <w:pStyle w:val="TableTextNumbersContinued"/>
            </w:pPr>
          </w:p>
          <w:p w14:paraId="4652CBAB" w14:textId="77777777" w:rsidR="009535FF" w:rsidRDefault="009535FF" w:rsidP="004356BF">
            <w:pPr>
              <w:pStyle w:val="TableTextNumbersContinued"/>
            </w:pPr>
            <w:r>
              <w:t xml:space="preserve">Select an invoice and click </w:t>
            </w:r>
            <w:r>
              <w:rPr>
                <w:b/>
              </w:rPr>
              <w:t>OK</w:t>
            </w:r>
            <w:r>
              <w:t>.</w:t>
            </w:r>
          </w:p>
        </w:tc>
        <w:tc>
          <w:tcPr>
            <w:tcW w:w="6120" w:type="dxa"/>
          </w:tcPr>
          <w:p w14:paraId="715C3E21" w14:textId="77777777" w:rsidR="009535FF" w:rsidRDefault="009535FF" w:rsidP="004356BF">
            <w:pPr>
              <w:pStyle w:val="TableTextBullet"/>
            </w:pPr>
            <w:r>
              <w:t>Displays options for processing blood product shipments.</w:t>
            </w:r>
          </w:p>
          <w:p w14:paraId="7AC85E1D" w14:textId="77777777" w:rsidR="009535FF" w:rsidRDefault="009535FF" w:rsidP="004356BF">
            <w:pPr>
              <w:pStyle w:val="TableTextBullet"/>
            </w:pPr>
            <w:r>
              <w:t>Displays fields for entering shipment information.</w:t>
            </w:r>
          </w:p>
          <w:p w14:paraId="73CF6E8D" w14:textId="77777777" w:rsidR="009535FF" w:rsidRDefault="009535FF" w:rsidP="004356BF">
            <w:pPr>
              <w:pStyle w:val="TableTextBullet"/>
            </w:pPr>
            <w:r>
              <w:t xml:space="preserve">Allows </w:t>
            </w:r>
            <w:r w:rsidR="00E00A07">
              <w:t>the user to discard</w:t>
            </w:r>
            <w:r>
              <w:t xml:space="preserve"> or quarantine</w:t>
            </w:r>
            <w:r w:rsidR="00E00A07">
              <w:t xml:space="preserve"> units</w:t>
            </w:r>
            <w:r>
              <w:t xml:space="preserve"> by invoice.</w:t>
            </w:r>
          </w:p>
        </w:tc>
      </w:tr>
      <w:tr w:rsidR="009535FF" w14:paraId="62859EA8" w14:textId="77777777">
        <w:tc>
          <w:tcPr>
            <w:tcW w:w="3240" w:type="dxa"/>
          </w:tcPr>
          <w:p w14:paraId="28ED1FD5" w14:textId="77777777" w:rsidR="009535FF" w:rsidRDefault="006E12D3" w:rsidP="004356BF">
            <w:pPr>
              <w:pStyle w:val="TableTextNumbers"/>
            </w:pPr>
            <w:r>
              <w:t xml:space="preserve">Click </w:t>
            </w:r>
            <w:r w:rsidR="00E00A07">
              <w:t xml:space="preserve">(clear) </w:t>
            </w:r>
            <w:r>
              <w:t>one or more check boxes to remove units from the invoice.</w:t>
            </w:r>
          </w:p>
          <w:p w14:paraId="2BEAFB55" w14:textId="77777777" w:rsidR="006E12D3" w:rsidRDefault="006E12D3" w:rsidP="006E12D3">
            <w:pPr>
              <w:pStyle w:val="TableTextNumbersContinued"/>
            </w:pPr>
          </w:p>
          <w:p w14:paraId="70B8B442" w14:textId="77777777" w:rsidR="006E12D3" w:rsidRDefault="006E12D3" w:rsidP="006E12D3">
            <w:pPr>
              <w:pStyle w:val="TableTextNumbersContinued"/>
            </w:pPr>
            <w:r>
              <w:t xml:space="preserve">Click </w:t>
            </w:r>
            <w:r w:rsidRPr="006E12D3">
              <w:rPr>
                <w:b/>
              </w:rPr>
              <w:t>OK</w:t>
            </w:r>
            <w:r>
              <w:t>.</w:t>
            </w:r>
          </w:p>
        </w:tc>
        <w:tc>
          <w:tcPr>
            <w:tcW w:w="6120" w:type="dxa"/>
          </w:tcPr>
          <w:p w14:paraId="78E833A5" w14:textId="77777777" w:rsidR="003E1884" w:rsidRDefault="00EC1460" w:rsidP="003E1884">
            <w:pPr>
              <w:pStyle w:val="TableTextBullet"/>
            </w:pPr>
            <w:r>
              <w:t>Allows the user to select individual units.</w:t>
            </w:r>
          </w:p>
          <w:p w14:paraId="7F1241E4" w14:textId="77777777" w:rsidR="00EC1460" w:rsidRDefault="00EC1460" w:rsidP="003E1884">
            <w:pPr>
              <w:pStyle w:val="TableTextBullet"/>
            </w:pPr>
            <w:r>
              <w:t>Displays unit information, including the current status included in the invoice.</w:t>
            </w:r>
          </w:p>
          <w:p w14:paraId="7A76B8E4" w14:textId="77777777" w:rsidR="00EC1460" w:rsidRDefault="00EC1460" w:rsidP="003E1884">
            <w:pPr>
              <w:pStyle w:val="TableTextBullet"/>
            </w:pPr>
            <w:r>
              <w:t>Allows the user to deselect units from the batch prior to editing.</w:t>
            </w:r>
          </w:p>
          <w:p w14:paraId="37A006C7" w14:textId="77777777" w:rsidR="003E1884" w:rsidRDefault="003E1884" w:rsidP="004356BF">
            <w:pPr>
              <w:pStyle w:val="TableText"/>
              <w:rPr>
                <w:b/>
                <w:bCs/>
                <w:szCs w:val="18"/>
              </w:rPr>
            </w:pPr>
          </w:p>
          <w:p w14:paraId="1130D531" w14:textId="77777777" w:rsidR="009535FF" w:rsidRDefault="00057948" w:rsidP="004356BF">
            <w:pPr>
              <w:pStyle w:val="TableText"/>
              <w:rPr>
                <w:b/>
                <w:bCs/>
                <w:szCs w:val="18"/>
              </w:rPr>
            </w:pPr>
            <w:r>
              <w:rPr>
                <w:b/>
                <w:bCs/>
                <w:noProof/>
              </w:rPr>
              <mc:AlternateContent>
                <mc:Choice Requires="wps">
                  <w:drawing>
                    <wp:anchor distT="0" distB="0" distL="114300" distR="114300" simplePos="0" relativeHeight="251807232" behindDoc="0" locked="0" layoutInCell="1" allowOverlap="1" wp14:anchorId="6AF0D30B" wp14:editId="78D32394">
                      <wp:simplePos x="0" y="0"/>
                      <wp:positionH relativeFrom="column">
                        <wp:posOffset>457200</wp:posOffset>
                      </wp:positionH>
                      <wp:positionV relativeFrom="paragraph">
                        <wp:posOffset>65405</wp:posOffset>
                      </wp:positionV>
                      <wp:extent cx="3200400" cy="0"/>
                      <wp:effectExtent l="9525" t="17780" r="9525" b="10795"/>
                      <wp:wrapNone/>
                      <wp:docPr id="451" name="Line 1003" descr="P5239C6T5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1BF214" id="Line 1003" o:spid="_x0000_s1026" alt="&quot;&quot;" style="position:absolute;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CEqyxsMBAABvAwAADgAAAAAAAAAAAAAAAAAu&#10;AgAAZHJzL2Uyb0RvYy54bWxQSwECLQAUAAYACAAAACEAF08wEtsAAAAIAQAADwAAAAAAAAAAAAAA&#10;AAAdBAAAZHJzL2Rvd25yZXYueG1sUEsFBgAAAAAEAAQA8wAAACUFAAAAAA==&#10;" strokeweight="1.5pt"/>
                  </w:pict>
                </mc:Fallback>
              </mc:AlternateContent>
            </w:r>
            <w:r w:rsidR="009535FF">
              <w:rPr>
                <w:b/>
                <w:bCs/>
                <w:szCs w:val="18"/>
              </w:rPr>
              <w:t>NOTES</w:t>
            </w:r>
          </w:p>
          <w:p w14:paraId="196F6490" w14:textId="77777777" w:rsidR="009535FF" w:rsidRPr="00BE1A93" w:rsidRDefault="009535FF" w:rsidP="00BE1A93">
            <w:pPr>
              <w:pStyle w:val="NotesText"/>
            </w:pPr>
          </w:p>
          <w:p w14:paraId="61719EC9" w14:textId="77777777" w:rsidR="009535FF" w:rsidRDefault="00D1603E" w:rsidP="00BE1A93">
            <w:pPr>
              <w:pStyle w:val="NotesText"/>
            </w:pPr>
            <w:r w:rsidRPr="00D1603E">
              <w:rPr>
                <w:vanish/>
                <w:szCs w:val="18"/>
              </w:rPr>
              <w:t xml:space="preserve">BR_27.09 </w:t>
            </w:r>
            <w:r w:rsidR="00BE1A93" w:rsidRPr="00BE1A93">
              <w:t>For batch processing, the user may select incoming shipment invoic</w:t>
            </w:r>
            <w:r w:rsidR="00BE1A93">
              <w:t>es from t</w:t>
            </w:r>
            <w:r w:rsidR="00BE1A93" w:rsidRPr="00BE1A93">
              <w:t>h</w:t>
            </w:r>
            <w:r w:rsidR="00BE1A93">
              <w:t>e</w:t>
            </w:r>
            <w:r w:rsidR="00BE1A93" w:rsidRPr="00BE1A93">
              <w:t xml:space="preserve"> previous five days processed in the same division as the user.</w:t>
            </w:r>
          </w:p>
          <w:p w14:paraId="5EE560E1" w14:textId="77777777" w:rsidR="00D1603E" w:rsidRDefault="00D1603E" w:rsidP="00BE1A93">
            <w:pPr>
              <w:pStyle w:val="NotesText"/>
            </w:pPr>
          </w:p>
          <w:p w14:paraId="20C28C1B" w14:textId="77777777" w:rsidR="00D1603E" w:rsidRDefault="00D1603E" w:rsidP="00BE1A93">
            <w:pPr>
              <w:pStyle w:val="NotesText"/>
            </w:pPr>
            <w:r w:rsidRPr="00D1603E">
              <w:rPr>
                <w:vanish/>
                <w:szCs w:val="18"/>
              </w:rPr>
              <w:t xml:space="preserve">BR_27.12 </w:t>
            </w:r>
            <w:r>
              <w:t>Only incoming shipment invoices processed within the user’s division may be accessed for batch processing.</w:t>
            </w:r>
          </w:p>
        </w:tc>
      </w:tr>
      <w:tr w:rsidR="009544D4" w14:paraId="42E3B337" w14:textId="77777777">
        <w:tc>
          <w:tcPr>
            <w:tcW w:w="3240" w:type="dxa"/>
            <w:tcBorders>
              <w:top w:val="single" w:sz="4" w:space="0" w:color="auto"/>
              <w:left w:val="single" w:sz="4" w:space="0" w:color="auto"/>
              <w:bottom w:val="single" w:sz="4" w:space="0" w:color="auto"/>
              <w:right w:val="single" w:sz="4" w:space="0" w:color="auto"/>
            </w:tcBorders>
          </w:tcPr>
          <w:p w14:paraId="3B246B5F" w14:textId="77777777" w:rsidR="009544D4" w:rsidRDefault="009544D4" w:rsidP="00F90585">
            <w:pPr>
              <w:pStyle w:val="TableTextNumbers"/>
            </w:pPr>
            <w:r>
              <w:t xml:space="preserve">In the Activity area, click the </w:t>
            </w:r>
            <w:r w:rsidRPr="009544D4">
              <w:rPr>
                <w:b/>
              </w:rPr>
              <w:t>Discard</w:t>
            </w:r>
            <w:r>
              <w:t xml:space="preserve">, </w:t>
            </w:r>
            <w:r w:rsidRPr="009544D4">
              <w:rPr>
                <w:b/>
              </w:rPr>
              <w:t>Quarantine</w:t>
            </w:r>
            <w:r>
              <w:t xml:space="preserve">, or </w:t>
            </w:r>
            <w:r w:rsidRPr="009544D4">
              <w:rPr>
                <w:b/>
              </w:rPr>
              <w:t xml:space="preserve">Release from Quarantine </w:t>
            </w:r>
            <w:r w:rsidRPr="00BF2E41">
              <w:t>radio button</w:t>
            </w:r>
            <w:r>
              <w:t xml:space="preserve">. </w:t>
            </w:r>
          </w:p>
        </w:tc>
        <w:tc>
          <w:tcPr>
            <w:tcW w:w="6120" w:type="dxa"/>
            <w:tcBorders>
              <w:top w:val="single" w:sz="4" w:space="0" w:color="auto"/>
              <w:left w:val="single" w:sz="4" w:space="0" w:color="auto"/>
              <w:bottom w:val="single" w:sz="4" w:space="0" w:color="auto"/>
              <w:right w:val="single" w:sz="4" w:space="0" w:color="auto"/>
            </w:tcBorders>
          </w:tcPr>
          <w:p w14:paraId="7F37FB44" w14:textId="77777777" w:rsidR="00BE1A93" w:rsidRDefault="00BE1A93" w:rsidP="00BE1A93">
            <w:pPr>
              <w:pStyle w:val="TableText"/>
              <w:rPr>
                <w:b/>
                <w:bCs/>
                <w:szCs w:val="18"/>
              </w:rPr>
            </w:pPr>
          </w:p>
          <w:p w14:paraId="21AF6527" w14:textId="77777777" w:rsidR="00BE1A93" w:rsidRDefault="00057948" w:rsidP="00BE1A93">
            <w:pPr>
              <w:pStyle w:val="TableText"/>
              <w:rPr>
                <w:b/>
                <w:bCs/>
                <w:szCs w:val="18"/>
              </w:rPr>
            </w:pPr>
            <w:r>
              <w:rPr>
                <w:b/>
                <w:bCs/>
                <w:noProof/>
              </w:rPr>
              <mc:AlternateContent>
                <mc:Choice Requires="wps">
                  <w:drawing>
                    <wp:anchor distT="0" distB="0" distL="114300" distR="114300" simplePos="0" relativeHeight="251813376" behindDoc="0" locked="0" layoutInCell="1" allowOverlap="1" wp14:anchorId="4872171B" wp14:editId="5708D42F">
                      <wp:simplePos x="0" y="0"/>
                      <wp:positionH relativeFrom="column">
                        <wp:posOffset>457200</wp:posOffset>
                      </wp:positionH>
                      <wp:positionV relativeFrom="paragraph">
                        <wp:posOffset>65405</wp:posOffset>
                      </wp:positionV>
                      <wp:extent cx="3200400" cy="0"/>
                      <wp:effectExtent l="9525" t="17780" r="9525" b="10795"/>
                      <wp:wrapNone/>
                      <wp:docPr id="450" name="Line 1014" descr="P5247C8T5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38071" id="Line 1014" o:spid="_x0000_s1026" alt="&quot;&quot;" style="position:absolute;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" strokeweight="1.5pt"/>
                  </w:pict>
                </mc:Fallback>
              </mc:AlternateContent>
            </w:r>
            <w:r w:rsidR="00BE1A93">
              <w:rPr>
                <w:b/>
                <w:bCs/>
                <w:szCs w:val="18"/>
              </w:rPr>
              <w:t>NOTES</w:t>
            </w:r>
          </w:p>
          <w:p w14:paraId="60C84FF9" w14:textId="77777777" w:rsidR="00BE1A93" w:rsidRDefault="00BE1A93" w:rsidP="00467E7D">
            <w:pPr>
              <w:pStyle w:val="NotesText"/>
            </w:pPr>
          </w:p>
          <w:p w14:paraId="7FB0F63E" w14:textId="77777777" w:rsidR="009544D4" w:rsidRDefault="00BE1A93" w:rsidP="00467E7D">
            <w:pPr>
              <w:pStyle w:val="NotesText"/>
            </w:pPr>
            <w:r w:rsidRPr="00EC7489">
              <w:rPr>
                <w:rFonts w:ascii="Wingdings 3" w:hAnsi="Wingdings 3" w:cs="Wingdings"/>
              </w:rPr>
              <w:t></w:t>
            </w:r>
            <w:r w:rsidRPr="00EC7489">
              <w:rPr>
                <w:rFonts w:ascii="Wingdings 3" w:hAnsi="Wingdings 3" w:cs="Wingdings"/>
              </w:rPr>
              <w:t></w:t>
            </w:r>
            <w:r>
              <w:t xml:space="preserve"> The</w:t>
            </w:r>
            <w:r w:rsidR="009544D4" w:rsidRPr="004356BF">
              <w:t xml:space="preserve"> Enhanced Technologist may release a unit from quarantine.</w:t>
            </w:r>
          </w:p>
        </w:tc>
      </w:tr>
      <w:tr w:rsidR="007E6BE0" w14:paraId="31581018" w14:textId="77777777">
        <w:tc>
          <w:tcPr>
            <w:tcW w:w="3240" w:type="dxa"/>
            <w:tcBorders>
              <w:top w:val="single" w:sz="4" w:space="0" w:color="auto"/>
              <w:left w:val="single" w:sz="4" w:space="0" w:color="auto"/>
              <w:bottom w:val="single" w:sz="4" w:space="0" w:color="auto"/>
              <w:right w:val="single" w:sz="4" w:space="0" w:color="auto"/>
            </w:tcBorders>
          </w:tcPr>
          <w:p w14:paraId="345F2736" w14:textId="77777777" w:rsidR="007E6BE0" w:rsidRDefault="007E6BE0" w:rsidP="00F90585">
            <w:pPr>
              <w:pStyle w:val="TableTextNumbers"/>
            </w:pPr>
            <w:r>
              <w:t>Select or enter a comment in the Comment field to explain the change in status, when indicated. Enter details, as needed.</w:t>
            </w:r>
          </w:p>
        </w:tc>
        <w:tc>
          <w:tcPr>
            <w:tcW w:w="6120" w:type="dxa"/>
            <w:tcBorders>
              <w:top w:val="single" w:sz="4" w:space="0" w:color="auto"/>
              <w:left w:val="single" w:sz="4" w:space="0" w:color="auto"/>
              <w:bottom w:val="single" w:sz="4" w:space="0" w:color="auto"/>
              <w:right w:val="single" w:sz="4" w:space="0" w:color="auto"/>
            </w:tcBorders>
          </w:tcPr>
          <w:p w14:paraId="4170217A" w14:textId="77777777" w:rsidR="007E6BE0" w:rsidRDefault="007E6BE0" w:rsidP="00F90585">
            <w:pPr>
              <w:pStyle w:val="TableTextBullet"/>
            </w:pPr>
            <w:r>
              <w:t>Displays entered data.</w:t>
            </w:r>
          </w:p>
          <w:p w14:paraId="05C11D84" w14:textId="77777777" w:rsidR="007E6BE0" w:rsidRDefault="007E6BE0" w:rsidP="00F90585">
            <w:pPr>
              <w:pStyle w:val="TableText"/>
            </w:pPr>
          </w:p>
          <w:p w14:paraId="5C95FC69" w14:textId="77777777" w:rsidR="00D1603E" w:rsidRDefault="00057948" w:rsidP="00D1603E">
            <w:pPr>
              <w:pStyle w:val="TableText"/>
              <w:rPr>
                <w:b/>
                <w:bCs/>
                <w:szCs w:val="18"/>
              </w:rPr>
            </w:pPr>
            <w:r>
              <w:rPr>
                <w:b/>
                <w:bCs/>
                <w:noProof/>
              </w:rPr>
              <mc:AlternateContent>
                <mc:Choice Requires="wps">
                  <w:drawing>
                    <wp:anchor distT="0" distB="0" distL="114300" distR="114300" simplePos="0" relativeHeight="251816448" behindDoc="0" locked="0" layoutInCell="1" allowOverlap="1" wp14:anchorId="394E8109" wp14:editId="08C0ECD0">
                      <wp:simplePos x="0" y="0"/>
                      <wp:positionH relativeFrom="column">
                        <wp:posOffset>457200</wp:posOffset>
                      </wp:positionH>
                      <wp:positionV relativeFrom="paragraph">
                        <wp:posOffset>65405</wp:posOffset>
                      </wp:positionV>
                      <wp:extent cx="3200400" cy="0"/>
                      <wp:effectExtent l="9525" t="17780" r="9525" b="10795"/>
                      <wp:wrapNone/>
                      <wp:docPr id="449" name="Line 1015" descr="P5254C10T5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752E6" id="Line 1015" o:spid="_x0000_s1026" alt="&quot;&quot;" style="position:absolute;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F3rEs3EAQAAbwMAAA4AAAAAAAAAAAAAAAAA&#10;LgIAAGRycy9lMm9Eb2MueG1sUEsBAi0AFAAGAAgAAAAhABdPMBLbAAAACAEAAA8AAAAAAAAAAAAA&#10;AAAAHgQAAGRycy9kb3ducmV2LnhtbFBLBQYAAAAABAAEAPMAAAAmBQAAAAA=&#10;" strokeweight="1.5pt"/>
                  </w:pict>
                </mc:Fallback>
              </mc:AlternateContent>
            </w:r>
            <w:r w:rsidR="00D1603E">
              <w:rPr>
                <w:b/>
                <w:bCs/>
                <w:szCs w:val="18"/>
              </w:rPr>
              <w:t>NOTES</w:t>
            </w:r>
          </w:p>
          <w:p w14:paraId="01012F7A" w14:textId="77777777" w:rsidR="00D1603E" w:rsidRDefault="00D1603E" w:rsidP="00D1603E">
            <w:pPr>
              <w:pStyle w:val="NotesText"/>
            </w:pPr>
          </w:p>
          <w:p w14:paraId="2586FAF1" w14:textId="77777777" w:rsidR="007E6BE0" w:rsidRDefault="007E6BE0" w:rsidP="00D1603E">
            <w:pPr>
              <w:pStyle w:val="NotesText"/>
            </w:pPr>
            <w:r w:rsidRPr="00D1603E">
              <w:rPr>
                <w:vanish/>
                <w:szCs w:val="18"/>
              </w:rPr>
              <w:t xml:space="preserve">BR_27.04 </w:t>
            </w:r>
            <w:r>
              <w:t>When a status of “Discard” is assigned to a unit, the user must enter a comment.</w:t>
            </w:r>
          </w:p>
          <w:p w14:paraId="4655BC0E" w14:textId="77777777" w:rsidR="007E6BE0" w:rsidRDefault="007E6BE0" w:rsidP="00D1603E">
            <w:pPr>
              <w:pStyle w:val="NotesText"/>
            </w:pPr>
          </w:p>
          <w:p w14:paraId="621C3585" w14:textId="77777777" w:rsidR="007E6BE0" w:rsidRDefault="007E6BE0" w:rsidP="00D1603E">
            <w:pPr>
              <w:pStyle w:val="NotesText"/>
            </w:pPr>
            <w:r w:rsidRPr="00D1603E">
              <w:rPr>
                <w:vanish/>
                <w:szCs w:val="18"/>
              </w:rPr>
              <w:t>BR_27.08</w:t>
            </w:r>
            <w:r w:rsidR="00CE3961">
              <w:rPr>
                <w:vanish/>
                <w:szCs w:val="18"/>
              </w:rPr>
              <w:t xml:space="preserve">, </w:t>
            </w:r>
            <w:r w:rsidRPr="00D1603E">
              <w:rPr>
                <w:vanish/>
                <w:szCs w:val="18"/>
              </w:rPr>
              <w:t>BR_27.02</w:t>
            </w:r>
            <w:r w:rsidR="00263B24" w:rsidRPr="00263B24">
              <w:t>W</w:t>
            </w:r>
            <w:r w:rsidRPr="00263B24">
              <w:t>h</w:t>
            </w:r>
            <w:r>
              <w:t>en a blood unit is assigned an indicator of “quarantined,” VBECS emits an audible alert, requires a comment, and captures details for inclusion in an Exception Report (exception type: Quarantine, Discard or Release from Quarantine, depending on the user action).</w:t>
            </w:r>
          </w:p>
          <w:p w14:paraId="6F3E1BF6" w14:textId="77777777" w:rsidR="00D1603E" w:rsidRDefault="00D1603E" w:rsidP="00D1603E">
            <w:pPr>
              <w:pStyle w:val="NotesText"/>
            </w:pPr>
          </w:p>
          <w:p w14:paraId="3CC394BE" w14:textId="77777777" w:rsidR="007E6BE0" w:rsidRDefault="007E6BE0" w:rsidP="00D1603E">
            <w:pPr>
              <w:pStyle w:val="NotesText"/>
            </w:pPr>
            <w:r w:rsidRPr="00D1603E">
              <w:rPr>
                <w:vanish/>
                <w:szCs w:val="18"/>
              </w:rPr>
              <w:t>BR_27.11</w:t>
            </w:r>
            <w:r w:rsidR="00263B24" w:rsidRPr="00896F17">
              <w:rPr>
                <w:rStyle w:val="BullhornChar"/>
              </w:rPr>
              <w:t></w:t>
            </w:r>
            <w:r w:rsidR="00263B24">
              <w:rPr>
                <w:rFonts w:ascii="Webdings" w:hAnsi="Webdings"/>
              </w:rPr>
              <w:t></w:t>
            </w:r>
            <w:r w:rsidR="00263B24" w:rsidRPr="00263B24">
              <w:t>Wh</w:t>
            </w:r>
            <w:r w:rsidR="00263B24">
              <w:t>en</w:t>
            </w:r>
            <w:r>
              <w:t xml:space="preserve"> a unit is released from quarantine, a new status must be assigned. VBECS assigns the previous status as the default status. When the unit expiration date is in the past, VBECS emits an audible alert, warns the user, and asks whether he wishes to continue.</w:t>
            </w:r>
          </w:p>
          <w:p w14:paraId="362E17EA" w14:textId="77777777" w:rsidR="007E6BE0" w:rsidRPr="007E6BE0" w:rsidRDefault="007E6BE0" w:rsidP="00D1603E">
            <w:pPr>
              <w:pStyle w:val="NotesText"/>
            </w:pPr>
          </w:p>
          <w:p w14:paraId="21582C26" w14:textId="77777777" w:rsidR="007E6BE0" w:rsidRDefault="007E6BE0" w:rsidP="00D1603E">
            <w:pPr>
              <w:pStyle w:val="NotesText"/>
            </w:pPr>
            <w:r w:rsidRPr="00D1603E">
              <w:rPr>
                <w:b/>
              </w:rPr>
              <w:t>Yes</w:t>
            </w:r>
            <w:r>
              <w:t xml:space="preserve"> accepts the default status, requires a comment, and captures details for inclusion in an Exception Report (exception type: expired unit released from quarantine). </w:t>
            </w:r>
            <w:r w:rsidRPr="00D1603E">
              <w:rPr>
                <w:b/>
              </w:rPr>
              <w:t>No</w:t>
            </w:r>
            <w:r>
              <w:t xml:space="preserve"> stops the process; the unit remains marked as quarantined.</w:t>
            </w:r>
          </w:p>
          <w:p w14:paraId="4EA273DD" w14:textId="77777777" w:rsidR="007E6BE0" w:rsidRDefault="007E6BE0" w:rsidP="00D1603E">
            <w:pPr>
              <w:pStyle w:val="NotesText"/>
            </w:pPr>
          </w:p>
          <w:p w14:paraId="4943B8C1" w14:textId="77777777" w:rsidR="007E6BE0" w:rsidRDefault="007E6BE0" w:rsidP="00D1603E">
            <w:pPr>
              <w:pStyle w:val="NotesText"/>
            </w:pPr>
            <w:r w:rsidRPr="00D1603E">
              <w:rPr>
                <w:vanish/>
                <w:szCs w:val="18"/>
              </w:rPr>
              <w:t xml:space="preserve">BR_27.05 </w:t>
            </w:r>
            <w:r>
              <w:t>When the user assigns a status of “Discard,” he must indicate whether the discard is waste or credit.</w:t>
            </w:r>
          </w:p>
          <w:p w14:paraId="4613AB4A" w14:textId="77777777" w:rsidR="007E6BE0" w:rsidRDefault="007E6BE0" w:rsidP="00D1603E">
            <w:pPr>
              <w:pStyle w:val="NotesText"/>
            </w:pPr>
          </w:p>
          <w:p w14:paraId="7B9F144A" w14:textId="77777777" w:rsidR="007E6BE0" w:rsidRDefault="007E6BE0" w:rsidP="00D1603E">
            <w:pPr>
              <w:pStyle w:val="NotesText"/>
            </w:pPr>
            <w:r w:rsidRPr="00D1603E">
              <w:rPr>
                <w:vanish/>
                <w:szCs w:val="18"/>
              </w:rPr>
              <w:lastRenderedPageBreak/>
              <w:t xml:space="preserve">BR_27.06 </w:t>
            </w:r>
            <w:r>
              <w:t>When VBECS processes a unit as a discard that is waste, it does not apply a return credit is not applied to the discarded unit. (There is no refund of monies from the blood shipper.)</w:t>
            </w:r>
          </w:p>
          <w:p w14:paraId="20DA55FE" w14:textId="77777777" w:rsidR="007E6BE0" w:rsidRDefault="007E6BE0" w:rsidP="00D1603E">
            <w:pPr>
              <w:pStyle w:val="NotesText"/>
            </w:pPr>
          </w:p>
          <w:p w14:paraId="7321B588" w14:textId="77777777" w:rsidR="007E6BE0" w:rsidRDefault="007E6BE0" w:rsidP="00D1603E">
            <w:pPr>
              <w:pStyle w:val="NotesText"/>
            </w:pPr>
            <w:r w:rsidRPr="00D1603E">
              <w:rPr>
                <w:vanish/>
                <w:szCs w:val="18"/>
              </w:rPr>
              <w:t xml:space="preserve">BR_27.07 </w:t>
            </w:r>
            <w:r>
              <w:t>When VBECS saves a unit as “discard for credit,” it applies a default return credit. A user may edit the default return credit applied to the unit before updating the database.</w:t>
            </w:r>
          </w:p>
          <w:p w14:paraId="6F3E0E73" w14:textId="77777777" w:rsidR="007E6BE0" w:rsidRDefault="007E6BE0" w:rsidP="00D1603E">
            <w:pPr>
              <w:pStyle w:val="NotesText"/>
            </w:pPr>
          </w:p>
          <w:p w14:paraId="3ABD4F48" w14:textId="77777777" w:rsidR="007E6BE0" w:rsidRDefault="007E6BE0" w:rsidP="00D1603E">
            <w:pPr>
              <w:pStyle w:val="NotesText"/>
            </w:pPr>
            <w:r w:rsidRPr="00D1603E">
              <w:rPr>
                <w:vanish/>
                <w:szCs w:val="18"/>
              </w:rPr>
              <w:t xml:space="preserve">BR_27.15 </w:t>
            </w:r>
            <w:r w:rsidR="00DC63E8">
              <w:t>When a unit has had a quarantine indicator assigned, VBECS releases any patient assignments. Patient restrictions associated with the unit remain intact.</w:t>
            </w:r>
          </w:p>
          <w:p w14:paraId="0B976097" w14:textId="77777777" w:rsidR="007E6BE0" w:rsidRDefault="007E6BE0" w:rsidP="00D1603E">
            <w:pPr>
              <w:pStyle w:val="NotesText"/>
            </w:pPr>
          </w:p>
          <w:p w14:paraId="496135C1" w14:textId="77777777" w:rsidR="007E6BE0" w:rsidRDefault="007E6BE0" w:rsidP="00D1603E">
            <w:pPr>
              <w:pStyle w:val="NotesText"/>
            </w:pPr>
            <w:r w:rsidRPr="00D1603E">
              <w:rPr>
                <w:vanish/>
                <w:szCs w:val="18"/>
              </w:rPr>
              <w:t xml:space="preserve">BR_27.16 </w:t>
            </w:r>
            <w:r>
              <w:t>When a user attempts to release a unit from quarantine and the unit was quarantined because of a data conflict, VBECS checks the inconsistency before allowing the unit to be released. VBECS warns the user. There is no override. The user must invalidate the incorrect information or test to resolve the data conflict.</w:t>
            </w:r>
          </w:p>
        </w:tc>
      </w:tr>
      <w:tr w:rsidR="007E6BE0" w14:paraId="06981A4C" w14:textId="77777777">
        <w:tc>
          <w:tcPr>
            <w:tcW w:w="3240" w:type="dxa"/>
            <w:tcBorders>
              <w:top w:val="single" w:sz="4" w:space="0" w:color="auto"/>
              <w:left w:val="single" w:sz="4" w:space="0" w:color="auto"/>
              <w:bottom w:val="single" w:sz="4" w:space="0" w:color="auto"/>
              <w:right w:val="single" w:sz="4" w:space="0" w:color="auto"/>
            </w:tcBorders>
          </w:tcPr>
          <w:p w14:paraId="1A6E408A" w14:textId="77777777" w:rsidR="007E6BE0" w:rsidRDefault="004724C0" w:rsidP="00F90585">
            <w:pPr>
              <w:pStyle w:val="TableTextNumbers"/>
            </w:pPr>
            <w:r>
              <w:lastRenderedPageBreak/>
              <w:t>E</w:t>
            </w:r>
            <w:r w:rsidR="007E6BE0">
              <w:t xml:space="preserve">nter the date and time of the status update. </w:t>
            </w:r>
          </w:p>
          <w:p w14:paraId="12AE9D1E" w14:textId="77777777" w:rsidR="007E6BE0" w:rsidRDefault="007E6BE0" w:rsidP="00E00A07">
            <w:pPr>
              <w:pStyle w:val="TableTextNumbersContinued"/>
            </w:pPr>
          </w:p>
          <w:p w14:paraId="4FCE371A" w14:textId="77777777" w:rsidR="007E6BE0" w:rsidRDefault="007E6BE0" w:rsidP="00E00A07">
            <w:pPr>
              <w:pStyle w:val="TableTextNumbersContinued"/>
            </w:pPr>
            <w:r>
              <w:t xml:space="preserve">Click the </w:t>
            </w:r>
            <w:r w:rsidRPr="00E00A07">
              <w:rPr>
                <w:b/>
              </w:rPr>
              <w:t>Waste</w:t>
            </w:r>
            <w:r>
              <w:t xml:space="preserve"> or </w:t>
            </w:r>
            <w:r w:rsidRPr="00E00A07">
              <w:rPr>
                <w:b/>
              </w:rPr>
              <w:t xml:space="preserve">Credit </w:t>
            </w:r>
            <w:r w:rsidRPr="00BF2E41">
              <w:t>radio button</w:t>
            </w:r>
            <w:r>
              <w:t>.</w:t>
            </w:r>
          </w:p>
        </w:tc>
        <w:tc>
          <w:tcPr>
            <w:tcW w:w="6120" w:type="dxa"/>
            <w:tcBorders>
              <w:top w:val="single" w:sz="4" w:space="0" w:color="auto"/>
              <w:left w:val="single" w:sz="4" w:space="0" w:color="auto"/>
              <w:bottom w:val="single" w:sz="4" w:space="0" w:color="auto"/>
              <w:right w:val="single" w:sz="4" w:space="0" w:color="auto"/>
            </w:tcBorders>
          </w:tcPr>
          <w:p w14:paraId="3524CAEB" w14:textId="77777777" w:rsidR="00E831C2" w:rsidRDefault="00E831C2" w:rsidP="00F90585">
            <w:pPr>
              <w:pStyle w:val="TableTextBullet"/>
            </w:pPr>
            <w:r>
              <w:rPr>
                <w:vanish/>
              </w:rPr>
              <w:t xml:space="preserve">DR 3241 </w:t>
            </w:r>
            <w:r>
              <w:t xml:space="preserve">VBECS defaults the date and time of the status update to the date and time the user opened the Discard or Quarantine option </w:t>
            </w:r>
          </w:p>
          <w:p w14:paraId="5F89777B" w14:textId="77777777" w:rsidR="007E6BE0" w:rsidRDefault="007E6BE0" w:rsidP="00F90585">
            <w:pPr>
              <w:pStyle w:val="TableTextBullet"/>
            </w:pPr>
            <w:r>
              <w:t>Displays entered data.</w:t>
            </w:r>
          </w:p>
          <w:p w14:paraId="37B988EB" w14:textId="77777777" w:rsidR="00596172" w:rsidRDefault="00596172" w:rsidP="00596172">
            <w:pPr>
              <w:pStyle w:val="TableText"/>
            </w:pPr>
          </w:p>
          <w:p w14:paraId="63C6740A" w14:textId="77777777" w:rsidR="00596172" w:rsidRDefault="00057948" w:rsidP="00596172">
            <w:pPr>
              <w:pStyle w:val="TableText"/>
              <w:rPr>
                <w:b/>
                <w:bCs/>
                <w:szCs w:val="18"/>
              </w:rPr>
            </w:pPr>
            <w:r>
              <w:rPr>
                <w:b/>
                <w:bCs/>
                <w:noProof/>
              </w:rPr>
              <mc:AlternateContent>
                <mc:Choice Requires="wps">
                  <w:drawing>
                    <wp:anchor distT="0" distB="0" distL="114300" distR="114300" simplePos="0" relativeHeight="251819520" behindDoc="0" locked="0" layoutInCell="1" allowOverlap="1" wp14:anchorId="3D303968" wp14:editId="6C49A3F4">
                      <wp:simplePos x="0" y="0"/>
                      <wp:positionH relativeFrom="column">
                        <wp:posOffset>457200</wp:posOffset>
                      </wp:positionH>
                      <wp:positionV relativeFrom="paragraph">
                        <wp:posOffset>65405</wp:posOffset>
                      </wp:positionV>
                      <wp:extent cx="3200400" cy="0"/>
                      <wp:effectExtent l="9525" t="17780" r="9525" b="10795"/>
                      <wp:wrapNone/>
                      <wp:docPr id="448" name="Line 1016" descr="P5280C12T5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08489" id="Line 1016" o:spid="_x0000_s1026" alt="&quot;&quot;" style="position:absolute;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eTZeQcMBAABvAwAADgAAAAAAAAAAAAAAAAAu&#10;AgAAZHJzL2Uyb0RvYy54bWxQSwECLQAUAAYACAAAACEAF08wEtsAAAAIAQAADwAAAAAAAAAAAAAA&#10;AAAdBAAAZHJzL2Rvd25yZXYueG1sUEsFBgAAAAAEAAQA8wAAACUFAAAAAA==&#10;" strokeweight="1.5pt"/>
                  </w:pict>
                </mc:Fallback>
              </mc:AlternateContent>
            </w:r>
            <w:r w:rsidR="00596172">
              <w:rPr>
                <w:b/>
                <w:bCs/>
                <w:szCs w:val="18"/>
              </w:rPr>
              <w:t>NOTES</w:t>
            </w:r>
          </w:p>
          <w:p w14:paraId="4F5E8736" w14:textId="77777777" w:rsidR="00596172" w:rsidRDefault="00596172" w:rsidP="00596172">
            <w:pPr>
              <w:pStyle w:val="NotesText"/>
            </w:pPr>
          </w:p>
          <w:p w14:paraId="78760BD0" w14:textId="77777777" w:rsidR="007E6BE0" w:rsidRDefault="007E6BE0" w:rsidP="00596172">
            <w:pPr>
              <w:pStyle w:val="NotesText"/>
            </w:pPr>
            <w:r>
              <w:t>The default date and time are the current date and time.</w:t>
            </w:r>
          </w:p>
          <w:p w14:paraId="63B02BA9" w14:textId="77777777" w:rsidR="007E6BE0" w:rsidRDefault="007E6BE0" w:rsidP="00596172">
            <w:pPr>
              <w:pStyle w:val="NotesText"/>
            </w:pPr>
          </w:p>
          <w:p w14:paraId="7887F165" w14:textId="77777777" w:rsidR="007E6BE0" w:rsidRDefault="007E6BE0" w:rsidP="00596172">
            <w:pPr>
              <w:pStyle w:val="NotesText"/>
            </w:pPr>
            <w:r w:rsidRPr="00596172">
              <w:rPr>
                <w:vanish/>
                <w:szCs w:val="18"/>
              </w:rPr>
              <w:t xml:space="preserve">BR_27.14 </w:t>
            </w:r>
            <w:r>
              <w:t>When the user updates the status of a unit and enters a date or time in the past, VBECS compares the retrospective date and time with the last record update for the unit. VBECS allows the user to update a unit record with a date and time between the last record update and the current date and time.</w:t>
            </w:r>
            <w:bookmarkStart w:id="379" w:name="two2511"/>
            <w:bookmarkEnd w:id="379"/>
          </w:p>
          <w:p w14:paraId="1244AB54" w14:textId="77777777" w:rsidR="007E6BE0" w:rsidRDefault="007E6BE0" w:rsidP="00596172">
            <w:pPr>
              <w:pStyle w:val="NotesText"/>
            </w:pPr>
          </w:p>
          <w:p w14:paraId="6F6D5DE6" w14:textId="77777777" w:rsidR="007E6BE0" w:rsidRDefault="00263B24" w:rsidP="00596172">
            <w:pPr>
              <w:pStyle w:val="NotesText"/>
            </w:pPr>
            <w:r w:rsidRPr="00896F17">
              <w:rPr>
                <w:rStyle w:val="BullhornChar"/>
              </w:rPr>
              <w:t></w:t>
            </w:r>
            <w:r w:rsidR="00596172" w:rsidRPr="00EC7489">
              <w:rPr>
                <w:rFonts w:ascii="Wingdings 3" w:hAnsi="Wingdings 3" w:cs="Wingdings"/>
              </w:rPr>
              <w:t></w:t>
            </w:r>
            <w:r w:rsidR="00596172" w:rsidRPr="00EC7489">
              <w:rPr>
                <w:rFonts w:ascii="Wingdings 3" w:hAnsi="Wingdings 3" w:cs="Wingdings"/>
              </w:rPr>
              <w:t></w:t>
            </w:r>
            <w:r w:rsidR="00596172">
              <w:t xml:space="preserve"> When</w:t>
            </w:r>
            <w:r w:rsidR="007E6BE0">
              <w:t xml:space="preserve"> the user attempts to update a unit record prior to the last record update, VBECS emits an audible alert, warns the Enhanced Technologist, and instructs him to check the date and time entered. There is no override.</w:t>
            </w:r>
          </w:p>
          <w:p w14:paraId="51B83D16" w14:textId="77777777" w:rsidR="007E6BE0" w:rsidRDefault="007E6BE0" w:rsidP="00596172">
            <w:pPr>
              <w:pStyle w:val="NotesText"/>
            </w:pPr>
          </w:p>
          <w:p w14:paraId="240C4AA3" w14:textId="77777777" w:rsidR="007E6BE0" w:rsidRDefault="005C768D" w:rsidP="00596172">
            <w:pPr>
              <w:pStyle w:val="Notes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sidR="007E6BE0">
              <w:t xml:space="preserve">When the user is a Lead Technologist, VBECS also requires a comment and asks whether the user wishes to continue. </w:t>
            </w:r>
            <w:r w:rsidR="007E6BE0" w:rsidRPr="00596172">
              <w:rPr>
                <w:b/>
              </w:rPr>
              <w:t>Yes</w:t>
            </w:r>
            <w:r w:rsidR="007E6BE0">
              <w:t xml:space="preserve"> accepts the date and time entered, requires a comment, and captures details for inclusion in an Exception Report (exception type: retrospective update prior to last record update). </w:t>
            </w:r>
            <w:r w:rsidR="007E6BE0" w:rsidRPr="00596172">
              <w:rPr>
                <w:b/>
              </w:rPr>
              <w:t>No</w:t>
            </w:r>
            <w:r w:rsidR="007E6BE0">
              <w:t xml:space="preserve"> allows the user to correct the entry.</w:t>
            </w:r>
          </w:p>
        </w:tc>
      </w:tr>
      <w:tr w:rsidR="007E6BE0" w14:paraId="7532C265" w14:textId="77777777">
        <w:tc>
          <w:tcPr>
            <w:tcW w:w="3240" w:type="dxa"/>
            <w:tcBorders>
              <w:top w:val="single" w:sz="4" w:space="0" w:color="auto"/>
              <w:left w:val="single" w:sz="4" w:space="0" w:color="auto"/>
              <w:bottom w:val="single" w:sz="4" w:space="0" w:color="auto"/>
              <w:right w:val="single" w:sz="4" w:space="0" w:color="auto"/>
            </w:tcBorders>
          </w:tcPr>
          <w:p w14:paraId="1435893D" w14:textId="77777777" w:rsidR="007E6BE0" w:rsidRDefault="007E6BE0" w:rsidP="00F90585">
            <w:pPr>
              <w:pStyle w:val="TableTextNumbers"/>
            </w:pPr>
            <w:r>
              <w:t xml:space="preserve">Review the unit status update information and click </w:t>
            </w:r>
            <w:r w:rsidR="005122E2">
              <w:rPr>
                <w:b/>
              </w:rPr>
              <w:t>Save</w:t>
            </w:r>
            <w:r w:rsidR="005122E2" w:rsidRPr="009535FF">
              <w:t xml:space="preserve"> </w:t>
            </w:r>
            <w:r w:rsidRPr="009535FF">
              <w:t>to save</w:t>
            </w:r>
            <w:r>
              <w:t>.</w:t>
            </w:r>
          </w:p>
        </w:tc>
        <w:tc>
          <w:tcPr>
            <w:tcW w:w="6120" w:type="dxa"/>
            <w:tcBorders>
              <w:top w:val="single" w:sz="4" w:space="0" w:color="auto"/>
              <w:left w:val="single" w:sz="4" w:space="0" w:color="auto"/>
              <w:bottom w:val="single" w:sz="4" w:space="0" w:color="auto"/>
              <w:right w:val="single" w:sz="4" w:space="0" w:color="auto"/>
            </w:tcBorders>
          </w:tcPr>
          <w:p w14:paraId="64DEA267" w14:textId="77777777" w:rsidR="007E6BE0" w:rsidRDefault="007E6BE0" w:rsidP="00F90585">
            <w:pPr>
              <w:pStyle w:val="TableTextBullet"/>
            </w:pPr>
            <w:r>
              <w:t xml:space="preserve">Evaluates the unit’s current status to determine whether it is eligible for the selected function. </w:t>
            </w:r>
          </w:p>
          <w:p w14:paraId="4C0940EE" w14:textId="77777777" w:rsidR="007E6BE0" w:rsidRDefault="007E6BE0" w:rsidP="00F90585">
            <w:pPr>
              <w:pStyle w:val="TableTextBullet"/>
            </w:pPr>
            <w:r>
              <w:t>Displays appropriate error messages when the unit cannot be processed.</w:t>
            </w:r>
          </w:p>
          <w:p w14:paraId="1A0CB970" w14:textId="77777777" w:rsidR="007E6BE0" w:rsidRDefault="007E6BE0" w:rsidP="00F90585">
            <w:pPr>
              <w:pStyle w:val="TableTextBullet"/>
            </w:pPr>
            <w:r>
              <w:t>Prompts the user to confirm the save.</w:t>
            </w:r>
          </w:p>
        </w:tc>
      </w:tr>
      <w:tr w:rsidR="007E6BE0" w14:paraId="5ADA082A" w14:textId="77777777">
        <w:tc>
          <w:tcPr>
            <w:tcW w:w="3240" w:type="dxa"/>
            <w:tcBorders>
              <w:top w:val="single" w:sz="4" w:space="0" w:color="auto"/>
              <w:left w:val="single" w:sz="4" w:space="0" w:color="auto"/>
              <w:bottom w:val="single" w:sz="4" w:space="0" w:color="auto"/>
              <w:right w:val="single" w:sz="4" w:space="0" w:color="auto"/>
            </w:tcBorders>
          </w:tcPr>
          <w:p w14:paraId="37588C30" w14:textId="77777777" w:rsidR="007E6BE0" w:rsidRDefault="007E6BE0" w:rsidP="00F90585">
            <w:pPr>
              <w:pStyle w:val="TableTextNumbers"/>
            </w:pPr>
            <w:r>
              <w:t xml:space="preserve">Click </w:t>
            </w:r>
            <w:r w:rsidRPr="00E00A07">
              <w:rPr>
                <w:b/>
              </w:rPr>
              <w:t>Yes</w:t>
            </w:r>
            <w:r>
              <w:t xml:space="preserve"> to confirm the save.</w:t>
            </w:r>
            <w:r w:rsidRPr="007E6BE0">
              <w:t xml:space="preserve"> </w:t>
            </w:r>
            <w:r w:rsidRPr="009D2C1A">
              <w:rPr>
                <w:vanish/>
                <w:szCs w:val="18"/>
              </w:rPr>
              <w:fldChar w:fldCharType="begin"/>
            </w:r>
            <w:r w:rsidRPr="009D2C1A">
              <w:rPr>
                <w:vanish/>
                <w:szCs w:val="18"/>
              </w:rPr>
              <w:instrText xml:space="preserve"> LISTNUM \l 1 \s 0 </w:instrText>
            </w:r>
            <w:r w:rsidRPr="009D2C1A">
              <w:rPr>
                <w:vanish/>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5B06CBB4" w14:textId="77777777" w:rsidR="007E6BE0" w:rsidRDefault="007E6BE0" w:rsidP="00F90585">
            <w:pPr>
              <w:pStyle w:val="TableTextBullet"/>
            </w:pPr>
            <w:r>
              <w:t>Saves the data.</w:t>
            </w:r>
          </w:p>
          <w:p w14:paraId="2EC1900F" w14:textId="77777777" w:rsidR="00596172" w:rsidRDefault="00596172" w:rsidP="00596172">
            <w:pPr>
              <w:pStyle w:val="TableText"/>
            </w:pPr>
          </w:p>
          <w:p w14:paraId="52C056DB" w14:textId="77777777" w:rsidR="00596172" w:rsidRDefault="00057948" w:rsidP="00596172">
            <w:pPr>
              <w:pStyle w:val="TableText"/>
              <w:rPr>
                <w:b/>
                <w:bCs/>
                <w:szCs w:val="18"/>
              </w:rPr>
            </w:pPr>
            <w:r>
              <w:rPr>
                <w:b/>
                <w:bCs/>
                <w:noProof/>
              </w:rPr>
              <mc:AlternateContent>
                <mc:Choice Requires="wps">
                  <w:drawing>
                    <wp:anchor distT="0" distB="0" distL="114300" distR="114300" simplePos="0" relativeHeight="251822592" behindDoc="0" locked="0" layoutInCell="1" allowOverlap="1" wp14:anchorId="56A2F36D" wp14:editId="6023B0EA">
                      <wp:simplePos x="0" y="0"/>
                      <wp:positionH relativeFrom="column">
                        <wp:posOffset>457200</wp:posOffset>
                      </wp:positionH>
                      <wp:positionV relativeFrom="paragraph">
                        <wp:posOffset>65405</wp:posOffset>
                      </wp:positionV>
                      <wp:extent cx="3200400" cy="0"/>
                      <wp:effectExtent l="9525" t="17780" r="9525" b="10795"/>
                      <wp:wrapNone/>
                      <wp:docPr id="447" name="Line 1017" descr="P5298C16T5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118C9" id="Line 1017" o:spid="_x0000_s1026" alt="&quot;&quot;" style="position:absolute;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DFcyYjEAQAAbwMAAA4AAAAAAAAAAAAAAAAA&#10;LgIAAGRycy9lMm9Eb2MueG1sUEsBAi0AFAAGAAgAAAAhABdPMBLbAAAACAEAAA8AAAAAAAAAAAAA&#10;AAAAHgQAAGRycy9kb3ducmV2LnhtbFBLBQYAAAAABAAEAPMAAAAmBQAAAAA=&#10;" strokeweight="1.5pt"/>
                  </w:pict>
                </mc:Fallback>
              </mc:AlternateContent>
            </w:r>
            <w:r w:rsidR="00596172">
              <w:rPr>
                <w:b/>
                <w:bCs/>
                <w:szCs w:val="18"/>
              </w:rPr>
              <w:t>NOTES</w:t>
            </w:r>
          </w:p>
          <w:p w14:paraId="37D0ED5F" w14:textId="77777777" w:rsidR="00596172" w:rsidRDefault="00596172" w:rsidP="00596172">
            <w:pPr>
              <w:pStyle w:val="NotesText"/>
            </w:pPr>
          </w:p>
          <w:p w14:paraId="652F18DF" w14:textId="77777777" w:rsidR="007E6BE0" w:rsidRDefault="007E6BE0" w:rsidP="00596172">
            <w:pPr>
              <w:pStyle w:val="NotesText"/>
            </w:pPr>
            <w:r w:rsidRPr="00596172">
              <w:rPr>
                <w:vanish/>
                <w:szCs w:val="18"/>
              </w:rPr>
              <w:t xml:space="preserve">BR_27.01 </w:t>
            </w:r>
            <w:r>
              <w:t>During batch data entry of “Discard,” “Quarantine,” and “Release from Quarantine,” VBECS saves transaction details, including user-entered comments, to each blood unit included in the batch.</w:t>
            </w:r>
          </w:p>
        </w:tc>
      </w:tr>
    </w:tbl>
    <w:p w14:paraId="0ED77B88" w14:textId="77777777" w:rsidR="002A21AE" w:rsidRDefault="00C909C1">
      <w:pPr>
        <w:pStyle w:val="Heading2"/>
      </w:pPr>
      <w:bookmarkStart w:id="380" w:name="_Select_Units_1"/>
      <w:bookmarkEnd w:id="380"/>
      <w:r>
        <w:br w:type="page"/>
      </w:r>
      <w:bookmarkStart w:id="381" w:name="_Ref507079957"/>
      <w:bookmarkStart w:id="382" w:name="_Toc4588792"/>
      <w:r w:rsidR="002A21AE">
        <w:lastRenderedPageBreak/>
        <w:t>Select Units</w:t>
      </w:r>
      <w:bookmarkEnd w:id="381"/>
      <w:bookmarkEnd w:id="382"/>
      <w:r w:rsidR="002A21AE" w:rsidRPr="007716F7">
        <w:rPr>
          <w:vanish/>
        </w:rPr>
        <w:fldChar w:fldCharType="begin"/>
      </w:r>
      <w:r w:rsidR="002A21AE" w:rsidRPr="007716F7">
        <w:rPr>
          <w:vanish/>
        </w:rPr>
        <w:instrText xml:space="preserve"> XE </w:instrText>
      </w:r>
      <w:r w:rsidR="00FA7E65" w:rsidRPr="007716F7">
        <w:rPr>
          <w:vanish/>
        </w:rPr>
        <w:instrText>“</w:instrText>
      </w:r>
      <w:r w:rsidR="002A21AE" w:rsidRPr="007716F7">
        <w:rPr>
          <w:vanish/>
        </w:rPr>
        <w:instrText>Select Units</w:instrText>
      </w:r>
      <w:r w:rsidR="00FA7E65" w:rsidRPr="007716F7">
        <w:rPr>
          <w:vanish/>
        </w:rPr>
        <w:instrText>”</w:instrText>
      </w:r>
      <w:r w:rsidR="002A21AE" w:rsidRPr="007716F7">
        <w:rPr>
          <w:vanish/>
        </w:rPr>
        <w:instrText xml:space="preserve"> </w:instrText>
      </w:r>
      <w:r w:rsidR="002A21AE" w:rsidRPr="007716F7">
        <w:rPr>
          <w:vanish/>
        </w:rPr>
        <w:fldChar w:fldCharType="end"/>
      </w:r>
      <w:r w:rsidR="002A21AE" w:rsidRPr="007716F7">
        <w:rPr>
          <w:vanish/>
        </w:rPr>
        <w:t xml:space="preserve"> UC_03</w:t>
      </w:r>
    </w:p>
    <w:p w14:paraId="7BAACA79" w14:textId="77777777" w:rsidR="002A21AE" w:rsidRDefault="002A21AE" w:rsidP="00FA7E65">
      <w:pPr>
        <w:pStyle w:val="BodyText"/>
      </w:pPr>
      <w:bookmarkStart w:id="383" w:name="_Toc77662463"/>
      <w:r>
        <w:t xml:space="preserve">A user selects a patient component order and assigns one or more products to a patient for possible transfusion. </w:t>
      </w:r>
    </w:p>
    <w:p w14:paraId="62267B64" w14:textId="77777777" w:rsidR="002A21AE" w:rsidRDefault="002A21AE">
      <w:pPr>
        <w:pStyle w:val="Heading4"/>
      </w:pPr>
      <w:r>
        <w:t>Assumptions</w:t>
      </w:r>
    </w:p>
    <w:p w14:paraId="795899D8" w14:textId="77777777" w:rsidR="002A21AE" w:rsidRDefault="002A21AE">
      <w:pPr>
        <w:pStyle w:val="ListBullet"/>
      </w:pPr>
      <w:r>
        <w:t xml:space="preserve">An appropriate current order was accepted through Accept Orders: Accept an Order. </w:t>
      </w:r>
    </w:p>
    <w:p w14:paraId="5712F099" w14:textId="77777777" w:rsidR="002A21AE" w:rsidRDefault="002A21AE">
      <w:pPr>
        <w:pStyle w:val="ListBullet"/>
      </w:pPr>
      <w:r>
        <w:rPr>
          <w:rFonts w:cs="Arial"/>
        </w:rPr>
        <w:t xml:space="preserve">The </w:t>
      </w:r>
      <w:r>
        <w:t>division</w:t>
      </w:r>
      <w:r>
        <w:rPr>
          <w:rFonts w:cs="Arial"/>
        </w:rPr>
        <w:t xml:space="preserve"> </w:t>
      </w:r>
      <w:r>
        <w:t xml:space="preserve">may or may not allow electronic crossmatch (eXM). </w:t>
      </w:r>
    </w:p>
    <w:p w14:paraId="0CA5049D" w14:textId="77777777" w:rsidR="002A21AE" w:rsidRDefault="002A21AE">
      <w:pPr>
        <w:pStyle w:val="ListBullet"/>
      </w:pPr>
      <w:r>
        <w:t>When a division is “transfusion only,” eXM is not available. The user must enter a serologic crossmatch (XM) interpretation.</w:t>
      </w:r>
    </w:p>
    <w:p w14:paraId="31AEA525" w14:textId="77777777" w:rsidR="006B0DD4" w:rsidRDefault="006B0DD4">
      <w:pPr>
        <w:pStyle w:val="ListBullet"/>
      </w:pPr>
      <w:r>
        <w:t>Current patient TAS specimen is required for (ABO/Rh and Antibody Screen) required tests for “WHOLE BLOOD” and “RED BLOOD CELLS” component classes and individual “PLATELET” and “OTHER” units that contain equal to or greater than (= &gt;) 2 mL of RBC contamination which requires crossmatch.</w:t>
      </w:r>
    </w:p>
    <w:p w14:paraId="1402596E" w14:textId="77777777" w:rsidR="002A21AE" w:rsidRDefault="002A21AE">
      <w:pPr>
        <w:pStyle w:val="Heading4"/>
      </w:pPr>
      <w:r>
        <w:t>Outcome</w:t>
      </w:r>
    </w:p>
    <w:p w14:paraId="392D9466" w14:textId="77777777" w:rsidR="002A21AE" w:rsidRDefault="002A21AE">
      <w:pPr>
        <w:pStyle w:val="ListBullet"/>
      </w:pPr>
      <w:r>
        <w:t>The status of the unit and the associated component order task status are updated.</w:t>
      </w:r>
    </w:p>
    <w:p w14:paraId="24A2D2D1" w14:textId="77777777" w:rsidR="002A21AE" w:rsidRDefault="002A21AE">
      <w:pPr>
        <w:pStyle w:val="ListBullet"/>
      </w:pPr>
      <w:r>
        <w:t>VBECS indicates that units are available for issue when units do not require XM or other additional testing.</w:t>
      </w:r>
    </w:p>
    <w:p w14:paraId="157E5387" w14:textId="77777777" w:rsidR="002A21AE" w:rsidRDefault="002A21AE">
      <w:pPr>
        <w:pStyle w:val="ListBullet"/>
      </w:pPr>
      <w:r>
        <w:t>VBECS allows the user to print a Blood Transfusion Record Form (BTRF) and a Caution Tag for available blood products.</w:t>
      </w:r>
    </w:p>
    <w:p w14:paraId="2A570CFB" w14:textId="77777777" w:rsidR="002B7882" w:rsidRDefault="002A21AE" w:rsidP="00B01176">
      <w:pPr>
        <w:pStyle w:val="ListBullet"/>
      </w:pPr>
      <w:r>
        <w:t>When serologic XM is required, VBECS automatically adds units to the XM data entry grid when Patient Testing: Record a Crossmatch is accessed.</w:t>
      </w:r>
    </w:p>
    <w:p w14:paraId="6899AFBB" w14:textId="2F076939" w:rsidR="00B01176" w:rsidRDefault="00B01176" w:rsidP="00B01176">
      <w:pPr>
        <w:pStyle w:val="ListBullet"/>
      </w:pPr>
      <w:r>
        <w:t xml:space="preserve">When eXM is enabled for the facility, the patient is eligible for eXM in accordance with system rules (see </w:t>
      </w:r>
      <w:r>
        <w:fldChar w:fldCharType="begin" w:fldLock="1"/>
      </w:r>
      <w:r>
        <w:instrText xml:space="preserve"> REF _Ref317762597 \h </w:instrText>
      </w:r>
      <w:r>
        <w:fldChar w:fldCharType="separate"/>
      </w:r>
      <w:r w:rsidR="00AB304C">
        <w:t xml:space="preserve">Table </w:t>
      </w:r>
      <w:r w:rsidR="00AB304C">
        <w:rPr>
          <w:noProof/>
        </w:rPr>
        <w:t>23</w:t>
      </w:r>
      <w:r w:rsidR="00AB304C">
        <w:t xml:space="preserve">: </w:t>
      </w:r>
      <w:r w:rsidR="00AB304C">
        <w:rPr>
          <w:vanish/>
        </w:rPr>
        <w:t xml:space="preserve">TT_3.05 </w:t>
      </w:r>
      <w:r w:rsidR="00AB304C">
        <w:t>Rules for Electronic and Serologic Crossmatch</w:t>
      </w:r>
      <w:r>
        <w:fldChar w:fldCharType="end"/>
      </w:r>
      <w:r>
        <w:t xml:space="preserve">), and the user selects a unit, </w:t>
      </w:r>
      <w:r w:rsidR="002F6113">
        <w:t xml:space="preserve">and processes the eXM. </w:t>
      </w:r>
      <w:r>
        <w:t>VBECS assigns the unit to the patient without further testing.</w:t>
      </w:r>
    </w:p>
    <w:p w14:paraId="6AF77BC3" w14:textId="77777777" w:rsidR="002A21AE" w:rsidRDefault="002A21AE">
      <w:pPr>
        <w:pStyle w:val="Heading4"/>
      </w:pPr>
      <w:r>
        <w:t>Limitations and Restrictions</w:t>
      </w:r>
    </w:p>
    <w:p w14:paraId="3353D815" w14:textId="77777777" w:rsidR="002A21AE" w:rsidRPr="007A44E4" w:rsidRDefault="00320DAE">
      <w:pPr>
        <w:pStyle w:val="ListBullet"/>
        <w:rPr>
          <w:spacing w:val="0"/>
        </w:rPr>
      </w:pPr>
      <w:r>
        <w:rPr>
          <w:vanish/>
          <w:spacing w:val="0"/>
        </w:rPr>
        <w:t>Task 1,126</w:t>
      </w:r>
      <w:r w:rsidR="002F6113">
        <w:rPr>
          <w:vanish/>
          <w:spacing w:val="0"/>
        </w:rPr>
        <w:t xml:space="preserve"> </w:t>
      </w:r>
      <w:r>
        <w:rPr>
          <w:spacing w:val="0"/>
        </w:rPr>
        <w:t>When a u</w:t>
      </w:r>
      <w:r w:rsidRPr="00320DAE">
        <w:rPr>
          <w:spacing w:val="0"/>
        </w:rPr>
        <w:t>ser check</w:t>
      </w:r>
      <w:r>
        <w:rPr>
          <w:spacing w:val="0"/>
        </w:rPr>
        <w:t>s</w:t>
      </w:r>
      <w:r w:rsidRPr="00320DAE">
        <w:rPr>
          <w:spacing w:val="0"/>
        </w:rPr>
        <w:t xml:space="preserve"> the </w:t>
      </w:r>
      <w:r>
        <w:rPr>
          <w:spacing w:val="0"/>
        </w:rPr>
        <w:t>“</w:t>
      </w:r>
      <w:r w:rsidRPr="00320DAE">
        <w:rPr>
          <w:spacing w:val="0"/>
        </w:rPr>
        <w:t xml:space="preserve">D </w:t>
      </w:r>
      <w:r>
        <w:rPr>
          <w:spacing w:val="0"/>
        </w:rPr>
        <w:t>P</w:t>
      </w:r>
      <w:r w:rsidRPr="00320DAE">
        <w:rPr>
          <w:spacing w:val="0"/>
        </w:rPr>
        <w:t>os</w:t>
      </w:r>
      <w:r>
        <w:rPr>
          <w:spacing w:val="0"/>
        </w:rPr>
        <w:t>”</w:t>
      </w:r>
      <w:r w:rsidRPr="00320DAE">
        <w:rPr>
          <w:spacing w:val="0"/>
        </w:rPr>
        <w:t xml:space="preserve"> or </w:t>
      </w:r>
      <w:r>
        <w:rPr>
          <w:spacing w:val="0"/>
        </w:rPr>
        <w:t>“</w:t>
      </w:r>
      <w:r w:rsidRPr="00320DAE">
        <w:rPr>
          <w:spacing w:val="0"/>
        </w:rPr>
        <w:t xml:space="preserve">D </w:t>
      </w:r>
      <w:r>
        <w:rPr>
          <w:spacing w:val="0"/>
        </w:rPr>
        <w:t>N</w:t>
      </w:r>
      <w:r w:rsidRPr="00320DAE">
        <w:rPr>
          <w:spacing w:val="0"/>
        </w:rPr>
        <w:t>eg</w:t>
      </w:r>
      <w:r>
        <w:rPr>
          <w:spacing w:val="0"/>
        </w:rPr>
        <w:t>”</w:t>
      </w:r>
      <w:r w:rsidRPr="00320DAE">
        <w:rPr>
          <w:spacing w:val="0"/>
        </w:rPr>
        <w:t xml:space="preserve"> check box to modify a search for blood</w:t>
      </w:r>
      <w:r>
        <w:rPr>
          <w:spacing w:val="0"/>
        </w:rPr>
        <w:t>, VBECS returns no units, regardless of the availability of units</w:t>
      </w:r>
      <w:r w:rsidRPr="00320DAE">
        <w:rPr>
          <w:spacing w:val="0"/>
        </w:rPr>
        <w:t xml:space="preserve">. </w:t>
      </w:r>
    </w:p>
    <w:p w14:paraId="32957B5E" w14:textId="77777777" w:rsidR="004E4368" w:rsidRDefault="004E75A5" w:rsidP="004E75A5">
      <w:pPr>
        <w:pStyle w:val="ListBullet"/>
      </w:pPr>
      <w:r w:rsidRPr="0065187A">
        <w:rPr>
          <w:vanish/>
        </w:rPr>
        <w:t xml:space="preserve">DR 2,578 </w:t>
      </w:r>
      <w:r w:rsidR="004E4368" w:rsidRPr="0065187A">
        <w:rPr>
          <w:vanish/>
        </w:rPr>
        <w:t>DR 2,808</w:t>
      </w:r>
      <w:r w:rsidR="004E4368" w:rsidRPr="004E4368">
        <w:t>VBECS displays a</w:t>
      </w:r>
      <w:r w:rsidR="000E6B9F">
        <w:t xml:space="preserve"> compo</w:t>
      </w:r>
      <w:r w:rsidR="004E4368">
        <w:t>n</w:t>
      </w:r>
      <w:r w:rsidR="000E6B9F">
        <w:t>ent</w:t>
      </w:r>
      <w:r w:rsidR="004E4368" w:rsidRPr="004E4368">
        <w:t xml:space="preserve"> order </w:t>
      </w:r>
      <w:r w:rsidR="004E4368">
        <w:t xml:space="preserve">as </w:t>
      </w:r>
      <w:r w:rsidR="00955DA3">
        <w:t>“F</w:t>
      </w:r>
      <w:r w:rsidR="002316B0">
        <w:t xml:space="preserve">illed” </w:t>
      </w:r>
      <w:r w:rsidR="004E4368" w:rsidRPr="004E4368">
        <w:t xml:space="preserve">when the number of units </w:t>
      </w:r>
      <w:r w:rsidR="002316B0">
        <w:t>transfused</w:t>
      </w:r>
      <w:r w:rsidR="002316B0" w:rsidRPr="004E4368">
        <w:t xml:space="preserve"> </w:t>
      </w:r>
      <w:r w:rsidR="004E4368" w:rsidRPr="004E4368">
        <w:t>and the number of units ordered are the same</w:t>
      </w:r>
      <w:r w:rsidR="00955DA3">
        <w:t xml:space="preserve"> and continues to display the</w:t>
      </w:r>
      <w:r w:rsidR="000E6B9F">
        <w:t xml:space="preserve"> component </w:t>
      </w:r>
      <w:r w:rsidR="004E4368">
        <w:t xml:space="preserve">order </w:t>
      </w:r>
      <w:r w:rsidR="00955DA3">
        <w:t xml:space="preserve">until the order expires. CPRS displays a component order </w:t>
      </w:r>
      <w:r w:rsidR="004E4368">
        <w:t xml:space="preserve">as </w:t>
      </w:r>
      <w:r w:rsidR="00505F89">
        <w:t>“</w:t>
      </w:r>
      <w:r w:rsidR="00955DA3">
        <w:t>C</w:t>
      </w:r>
      <w:r w:rsidR="004E4368">
        <w:t>ompleted</w:t>
      </w:r>
      <w:r w:rsidR="00505F89">
        <w:t>”</w:t>
      </w:r>
      <w:r w:rsidR="004E4368">
        <w:t xml:space="preserve">. Therefore, CPRS displays the order as </w:t>
      </w:r>
      <w:r w:rsidR="00505F89">
        <w:t>“</w:t>
      </w:r>
      <w:r w:rsidR="00955DA3">
        <w:t>C</w:t>
      </w:r>
      <w:r w:rsidR="004E4368">
        <w:t>ompleted</w:t>
      </w:r>
      <w:r w:rsidR="00505F89">
        <w:t>”</w:t>
      </w:r>
      <w:r w:rsidR="004E4368">
        <w:t xml:space="preserve"> before VBECS </w:t>
      </w:r>
      <w:r w:rsidR="00955DA3">
        <w:t>displays the order as “F</w:t>
      </w:r>
      <w:r w:rsidR="002316B0">
        <w:t>illed</w:t>
      </w:r>
      <w:r w:rsidR="004E4368">
        <w:t>.</w:t>
      </w:r>
      <w:r w:rsidR="002316B0">
        <w:t>”</w:t>
      </w:r>
      <w:r w:rsidR="0065187A">
        <w:t xml:space="preserve"> The associated LAB orde</w:t>
      </w:r>
      <w:r w:rsidR="00955DA3">
        <w:t>r will then also be marked as “C</w:t>
      </w:r>
      <w:r w:rsidR="0065187A">
        <w:t>ompleted”.</w:t>
      </w:r>
    </w:p>
    <w:p w14:paraId="2BAA818B" w14:textId="77777777" w:rsidR="00C43E70" w:rsidRDefault="00C43E70" w:rsidP="004E75A5">
      <w:pPr>
        <w:pStyle w:val="ListBullet"/>
      </w:pPr>
      <w:r>
        <w:t>A Specimen UID must be accepted in</w:t>
      </w:r>
      <w:r w:rsidR="006C7D2B">
        <w:t xml:space="preserve"> </w:t>
      </w:r>
      <w:r>
        <w:t>VBECS to associate it with a component order. Any VBECS maintained TAS specimen UID may be associated with a component order by entering the number in the UID field.</w:t>
      </w:r>
      <w:r w:rsidRPr="00C43E70">
        <w:rPr>
          <w:vanish/>
        </w:rPr>
        <w:t xml:space="preserve"> Task 635428</w:t>
      </w:r>
    </w:p>
    <w:p w14:paraId="47387468" w14:textId="3C4E97A2" w:rsidR="006C5C75" w:rsidRDefault="006C5C75" w:rsidP="006C5C75">
      <w:pPr>
        <w:pStyle w:val="ListBullet"/>
      </w:pPr>
      <w:r w:rsidRPr="00010B77">
        <w:t>A system error occurs when attemp</w:t>
      </w:r>
      <w:r>
        <w:t xml:space="preserve">ting to associate a specimen </w:t>
      </w:r>
      <w:r w:rsidRPr="00010B77">
        <w:t>with an order when no unit is selected.</w:t>
      </w:r>
      <w:r>
        <w:t xml:space="preserve"> A</w:t>
      </w:r>
      <w:r w:rsidRPr="00010B77">
        <w:t>ssociate the specimen UID in Accept Order when possible.</w:t>
      </w:r>
      <w:r w:rsidR="00730CAA">
        <w:t xml:space="preserve"> </w:t>
      </w:r>
      <w:r w:rsidR="00730CAA" w:rsidRPr="00730CAA">
        <w:rPr>
          <w:vanish/>
        </w:rPr>
        <w:t>Defect 209343</w:t>
      </w:r>
    </w:p>
    <w:p w14:paraId="2E1BFB18" w14:textId="257CE2CC" w:rsidR="00A11CA3" w:rsidRDefault="00F17535" w:rsidP="006C5C75">
      <w:pPr>
        <w:pStyle w:val="ListBullet"/>
      </w:pPr>
      <w:r>
        <w:t>When associating a specimen with a patient in the “Select Unit for a Patient” window, the “Expires”</w:t>
      </w:r>
      <w:r w:rsidR="008F74B3">
        <w:t xml:space="preserve"> </w:t>
      </w:r>
      <w:r>
        <w:t xml:space="preserve">field within the “Associate with Specimen” panel displays the time in AM/PM format. VBECS normally displays date/time fields in “military” time format.  The workaround is to look in Maintain Specimen and check the expiration time military time format. </w:t>
      </w:r>
      <w:r w:rsidRPr="008F74B3">
        <w:rPr>
          <w:vanish/>
        </w:rPr>
        <w:t>Defect 209052</w:t>
      </w:r>
    </w:p>
    <w:p w14:paraId="4315728B" w14:textId="466CC15E" w:rsidR="002168B5" w:rsidRDefault="002168B5" w:rsidP="006C5C75">
      <w:pPr>
        <w:pStyle w:val="ListBullet"/>
      </w:pPr>
      <w:r>
        <w:lastRenderedPageBreak/>
        <w:t>When an Rh positive unit is selected for an Rh negative patient with an antigen negative requirement for D, the user receives a message about unit not satisfying patient negative requirements for D instead of a message about unit being positive for D. The proper</w:t>
      </w:r>
      <w:r w:rsidR="00C0050E">
        <w:t xml:space="preserve"> message is displayed</w:t>
      </w:r>
      <w:r w:rsidR="009B37AA">
        <w:t xml:space="preserve"> upon unit issue. </w:t>
      </w:r>
      <w:r w:rsidR="009B37AA" w:rsidRPr="009B37AA">
        <w:rPr>
          <w:vanish/>
        </w:rPr>
        <w:t>Defects 209338, 213537</w:t>
      </w:r>
    </w:p>
    <w:p w14:paraId="5BD69B7D" w14:textId="77777777" w:rsidR="006C5C75" w:rsidRDefault="006C5C75" w:rsidP="001E391F">
      <w:pPr>
        <w:pStyle w:val="ListBullet"/>
        <w:numPr>
          <w:ilvl w:val="0"/>
          <w:numId w:val="0"/>
        </w:numPr>
        <w:ind w:left="648" w:hanging="360"/>
      </w:pPr>
    </w:p>
    <w:p w14:paraId="5317DEDA" w14:textId="77777777" w:rsidR="002A21AE" w:rsidRDefault="002A21AE">
      <w:pPr>
        <w:pStyle w:val="Heading4"/>
      </w:pPr>
      <w:r>
        <w:t>Additional Information</w:t>
      </w:r>
    </w:p>
    <w:p w14:paraId="55CD463B" w14:textId="77777777" w:rsidR="00B71592" w:rsidRDefault="00B71592">
      <w:pPr>
        <w:pStyle w:val="ListBullet"/>
      </w:pPr>
      <w:r>
        <w:t>Under certain conditions in a blood bank, more than one user can select units for the same blood component order at the same time.</w:t>
      </w:r>
    </w:p>
    <w:p w14:paraId="3F0C3AFF" w14:textId="77777777" w:rsidR="00B71592" w:rsidRPr="00B71592" w:rsidRDefault="00B71592">
      <w:pPr>
        <w:pStyle w:val="ListBullet"/>
      </w:pPr>
      <w:r>
        <w:t>When a patient order is selected, the system must search for physically available (in limited, available, or crossmatched unit status and with a future expiration date) autologous and directed units within a multidivisional database regardless of the unit’s current division, display the unit information to the user, and allow assignment of the unit if it is in the same division as the user.</w:t>
      </w:r>
    </w:p>
    <w:p w14:paraId="53402240" w14:textId="77777777" w:rsidR="002A21AE" w:rsidRDefault="002A21AE">
      <w:pPr>
        <w:pStyle w:val="ListBullet"/>
      </w:pPr>
      <w:r w:rsidRPr="00B00DEF">
        <w:rPr>
          <w:rFonts w:cs="Arial"/>
          <w:vanish/>
        </w:rPr>
        <w:t>BR_3.03</w:t>
      </w:r>
      <w:r>
        <w:rPr>
          <w:rFonts w:ascii="Arial" w:hAnsi="Arial" w:cs="Arial"/>
          <w:vanish/>
          <w:spacing w:val="0"/>
          <w:sz w:val="18"/>
        </w:rPr>
        <w:t xml:space="preserve"> </w:t>
      </w:r>
      <w:r>
        <w:t>Active component orders and the user must be in the same division.</w:t>
      </w:r>
    </w:p>
    <w:p w14:paraId="5E6ED461" w14:textId="77777777" w:rsidR="002A21AE" w:rsidRDefault="002A21AE">
      <w:pPr>
        <w:pStyle w:val="ListBullet"/>
      </w:pPr>
      <w:r>
        <w:t>Multiple users may select units ass</w:t>
      </w:r>
      <w:r w:rsidR="0065187A">
        <w:t>ociated with a component order.</w:t>
      </w:r>
    </w:p>
    <w:p w14:paraId="5CD672FD" w14:textId="77777777" w:rsidR="0065187A" w:rsidRDefault="000D3C6E">
      <w:pPr>
        <w:pStyle w:val="ListBullet"/>
      </w:pPr>
      <w:r w:rsidRPr="000D3C6E">
        <w:rPr>
          <w:vanish/>
        </w:rPr>
        <w:t xml:space="preserve">BR_3.61 </w:t>
      </w:r>
      <w:r w:rsidR="0065187A">
        <w:t>Product codes associated with a component order are limited to those in that Component Class.</w:t>
      </w:r>
    </w:p>
    <w:p w14:paraId="2A064760" w14:textId="77777777" w:rsidR="002A21AE" w:rsidRDefault="002A21AE">
      <w:pPr>
        <w:pStyle w:val="ListBullet"/>
      </w:pPr>
      <w:r>
        <w:t>When a user selects a patient order</w:t>
      </w:r>
      <w:r w:rsidR="00534B75">
        <w:t xml:space="preserve"> within a multidivisional dat</w:t>
      </w:r>
      <w:r w:rsidR="0065187A">
        <w:t>abase</w:t>
      </w:r>
      <w:r>
        <w:t>, VBECS searches for available autologous and directed units regardless of the unit’s current division, displays the unit information, and allows the user to assign the unit when it is in the user’s division.</w:t>
      </w:r>
    </w:p>
    <w:p w14:paraId="4DED0431" w14:textId="77777777" w:rsidR="002A21AE" w:rsidRDefault="002A21AE">
      <w:pPr>
        <w:pStyle w:val="ListBullet"/>
      </w:pPr>
      <w:r>
        <w:t xml:space="preserve">A user may select units for only one </w:t>
      </w:r>
      <w:r w:rsidR="0065187A">
        <w:t>component order</w:t>
      </w:r>
      <w:r>
        <w:t xml:space="preserve"> at a time.</w:t>
      </w:r>
    </w:p>
    <w:p w14:paraId="18C6AF3C" w14:textId="77777777" w:rsidR="002A21AE" w:rsidRDefault="002A21AE">
      <w:pPr>
        <w:pStyle w:val="ListBullet"/>
      </w:pPr>
      <w:r>
        <w:t xml:space="preserve">An existing </w:t>
      </w:r>
      <w:r w:rsidR="00A9198B">
        <w:t>specimen and its associated component</w:t>
      </w:r>
      <w:r w:rsidR="00B71592">
        <w:t xml:space="preserve"> </w:t>
      </w:r>
      <w:r>
        <w:t>order</w:t>
      </w:r>
      <w:r w:rsidR="00A9198B">
        <w:t>(s)</w:t>
      </w:r>
      <w:r>
        <w:t xml:space="preserve"> remains available to select</w:t>
      </w:r>
      <w:r w:rsidR="00A9198B">
        <w:t xml:space="preserve"> </w:t>
      </w:r>
      <w:r w:rsidR="00B71592">
        <w:t>additional units</w:t>
      </w:r>
      <w:r w:rsidR="00A9198B">
        <w:t>, until</w:t>
      </w:r>
      <w:r w:rsidR="00B71592">
        <w:t xml:space="preserve"> its</w:t>
      </w:r>
      <w:r>
        <w:t xml:space="preserve"> expiration date. </w:t>
      </w:r>
    </w:p>
    <w:p w14:paraId="193D45B3" w14:textId="3586CDDD" w:rsidR="002A21AE" w:rsidRDefault="00B71592" w:rsidP="00B71592">
      <w:pPr>
        <w:pStyle w:val="ListBullet"/>
      </w:pPr>
      <w:r>
        <w:t>The selection of blood units completes a CPRS order when the number of units are selected that “fill” the order per the number requested.</w:t>
      </w:r>
    </w:p>
    <w:p w14:paraId="5EA7A0A5" w14:textId="77777777" w:rsidR="00B71592" w:rsidRDefault="00B71592" w:rsidP="00B71592">
      <w:pPr>
        <w:pStyle w:val="ListBullet"/>
      </w:pPr>
      <w:r>
        <w:t>Each component task is accepted or cancelled individually.</w:t>
      </w:r>
    </w:p>
    <w:p w14:paraId="5FCAB1C1" w14:textId="77777777" w:rsidR="00F1409F" w:rsidRDefault="00F1409F" w:rsidP="00B71592">
      <w:pPr>
        <w:pStyle w:val="ListBullet"/>
      </w:pPr>
      <w:r>
        <w:t>When a component order is cancelled or rejected, the order is no longer retrievable.</w:t>
      </w:r>
    </w:p>
    <w:p w14:paraId="7E1234D1" w14:textId="77777777" w:rsidR="00F1409F" w:rsidRDefault="00F1409F" w:rsidP="00B71592">
      <w:pPr>
        <w:pStyle w:val="ListBullet"/>
      </w:pPr>
      <w:r>
        <w:t>When a patient has only Component Requirements, the system does not prohibit the use of electronic crossmatch.</w:t>
      </w:r>
    </w:p>
    <w:p w14:paraId="1B8131DC" w14:textId="77777777" w:rsidR="002A21AE" w:rsidRDefault="002A21AE">
      <w:pPr>
        <w:pStyle w:val="ListBullet"/>
      </w:pPr>
      <w:r>
        <w:t xml:space="preserve">A user must accept or cancel each component task in its entirety. </w:t>
      </w:r>
    </w:p>
    <w:p w14:paraId="4662892E" w14:textId="77777777" w:rsidR="002A21AE" w:rsidRDefault="002A21AE">
      <w:pPr>
        <w:pStyle w:val="ListBullet"/>
      </w:pPr>
      <w:r>
        <w:rPr>
          <w:rFonts w:ascii="Arial" w:hAnsi="Arial" w:cs="Arial"/>
          <w:vanish/>
          <w:spacing w:val="0"/>
          <w:sz w:val="18"/>
        </w:rPr>
        <w:t xml:space="preserve">BR_3.38 </w:t>
      </w:r>
      <w:r>
        <w:t xml:space="preserve">The user reserves autologous and directed units and all units processed in a “transfusion-only” facility, regardless of donation type, for a specific patient. VBECS displays this information to all divisions in a multidivisional database and accommodates immediate selection of the unit for the patient when the user is in the same division. </w:t>
      </w:r>
    </w:p>
    <w:p w14:paraId="4D3595C2" w14:textId="77777777" w:rsidR="002A21AE" w:rsidRDefault="002A21AE">
      <w:pPr>
        <w:pStyle w:val="ListBullet"/>
      </w:pPr>
      <w:r>
        <w:rPr>
          <w:rFonts w:ascii="Arial" w:hAnsi="Arial" w:cs="Arial"/>
          <w:vanish/>
          <w:spacing w:val="0"/>
          <w:sz w:val="18"/>
        </w:rPr>
        <w:t xml:space="preserve">BR_3.42 </w:t>
      </w:r>
      <w:r>
        <w:t>When VBECS compares a patient’s current and previous ABO/Rh results, it does not evaluate previously recorded ABO/Rh results marked “Test Result Invalidated.”</w:t>
      </w:r>
    </w:p>
    <w:p w14:paraId="1BBF0A79" w14:textId="77777777" w:rsidR="00083F3A" w:rsidRDefault="00083F3A">
      <w:pPr>
        <w:pStyle w:val="ListBullet"/>
      </w:pPr>
      <w:r>
        <w:t>An ABO/Rh confirmation test interpretation</w:t>
      </w:r>
      <w:r w:rsidR="0044172D">
        <w:t xml:space="preserve"> is required</w:t>
      </w:r>
      <w:r w:rsidR="00A9198B">
        <w:t xml:space="preserve"> when a unit is indicated to contain = &gt; 2 mL of RBC contamination</w:t>
      </w:r>
      <w:r w:rsidR="0044172D">
        <w:t>. The confirmation</w:t>
      </w:r>
      <w:r w:rsidR="00A9198B">
        <w:t xml:space="preserve"> test</w:t>
      </w:r>
      <w:r w:rsidR="0044172D">
        <w:t xml:space="preserve"> must match the unit ABO/Rh at login and repeat tests, when repeat tests are not invalidated. The unit must have a satisfactory confirmation result before VBECS allows the unit to be available for selection for patient use.</w:t>
      </w:r>
    </w:p>
    <w:p w14:paraId="0B017304" w14:textId="0F947912" w:rsidR="00304D65" w:rsidRDefault="000D3C6E">
      <w:pPr>
        <w:pStyle w:val="ListBullet"/>
      </w:pPr>
      <w:r w:rsidRPr="000D3C6E">
        <w:rPr>
          <w:vanish/>
        </w:rPr>
        <w:t xml:space="preserve">BR_3.60 </w:t>
      </w:r>
      <w:r w:rsidR="00304D65">
        <w:t>When the CPRS order is WB or RBC, the user may select products from either product cl</w:t>
      </w:r>
      <w:r w:rsidR="00955DA3">
        <w:t>ass</w:t>
      </w:r>
      <w:r w:rsidR="005452C9">
        <w:t>, RBC or WB to fill the order</w:t>
      </w:r>
    </w:p>
    <w:p w14:paraId="51A616A0" w14:textId="77777777" w:rsidR="00304D65" w:rsidRDefault="000D3C6E">
      <w:pPr>
        <w:pStyle w:val="ListBullet"/>
      </w:pPr>
      <w:r w:rsidRPr="000D3C6E">
        <w:rPr>
          <w:vanish/>
        </w:rPr>
        <w:t xml:space="preserve">BR_3.62 </w:t>
      </w:r>
      <w:r w:rsidR="00304D65">
        <w:t xml:space="preserve">When Whole Blood is selected for a WB or RBC CPRS order and the unit is not ABO compatible for the selected patient, the system presents a message to the user stating that the unit is </w:t>
      </w:r>
      <w:r w:rsidR="0044172D">
        <w:t xml:space="preserve">not ABO compatible </w:t>
      </w:r>
      <w:r w:rsidR="00304D65">
        <w:t>and releases the unit from selection (assignment).</w:t>
      </w:r>
    </w:p>
    <w:p w14:paraId="6BBEDE7A" w14:textId="20B317A4" w:rsidR="006C5C75" w:rsidRDefault="00E359FB" w:rsidP="001E391F">
      <w:pPr>
        <w:pStyle w:val="ListBullet"/>
      </w:pPr>
      <w:r>
        <w:t>U</w:t>
      </w:r>
      <w:r w:rsidR="001E391F">
        <w:t>sers</w:t>
      </w:r>
      <w:r w:rsidR="001E391F" w:rsidRPr="001E391F">
        <w:t xml:space="preserve"> can view the Lab Order number using the Pending Order List or the Order History Report</w:t>
      </w:r>
      <w:r>
        <w:t>, if it is needed in areas where it is not already provided.</w:t>
      </w:r>
      <w:r w:rsidR="00730CAA">
        <w:t xml:space="preserve"> </w:t>
      </w:r>
      <w:r w:rsidR="00730CAA" w:rsidRPr="00730CAA">
        <w:rPr>
          <w:vanish/>
        </w:rPr>
        <w:t>Defect 209122</w:t>
      </w:r>
    </w:p>
    <w:p w14:paraId="1469CCCF" w14:textId="5448998B" w:rsidR="00936BD4" w:rsidRDefault="00936BD4" w:rsidP="00936BD4">
      <w:pPr>
        <w:pStyle w:val="ListBullet"/>
      </w:pPr>
      <w:r>
        <w:lastRenderedPageBreak/>
        <w:t>In a multi</w:t>
      </w:r>
      <w:r w:rsidRPr="00936BD4">
        <w:t>divisional database, restricted units residing in another division will be displayed but are not selectable. The tooltip (mouseover) message wording incorrectly states "Unit is not in division ###". The division shown will be the division where the unit IS located.</w:t>
      </w:r>
      <w:r w:rsidR="00730CAA">
        <w:t xml:space="preserve"> </w:t>
      </w:r>
      <w:r w:rsidR="00730CAA" w:rsidRPr="00730CAA">
        <w:rPr>
          <w:vanish/>
        </w:rPr>
        <w:t>Defect 209039</w:t>
      </w:r>
    </w:p>
    <w:p w14:paraId="39E2D6A0" w14:textId="5EDE7015" w:rsidR="00957008" w:rsidRDefault="00735C30" w:rsidP="00735C30">
      <w:pPr>
        <w:pStyle w:val="ListBullet"/>
      </w:pPr>
      <w:r w:rsidRPr="00735C30">
        <w:t>The "Success" message</w:t>
      </w:r>
      <w:r>
        <w:t xml:space="preserve"> received after electing to print caution tags is a message that the job</w:t>
      </w:r>
      <w:r w:rsidRPr="00735C30">
        <w:t xml:space="preserve"> has queued to the print queue, and does not verify</w:t>
      </w:r>
      <w:r w:rsidR="00E36641">
        <w:t xml:space="preserve"> that the printing has actually </w:t>
      </w:r>
      <w:r w:rsidRPr="00735C30">
        <w:t>occurre</w:t>
      </w:r>
      <w:r>
        <w:t>d.</w:t>
      </w:r>
      <w:r w:rsidR="00730CAA">
        <w:t xml:space="preserve"> </w:t>
      </w:r>
      <w:r w:rsidR="00730CAA" w:rsidRPr="00730CAA">
        <w:rPr>
          <w:vanish/>
        </w:rPr>
        <w:t>Defect 208991</w:t>
      </w:r>
    </w:p>
    <w:p w14:paraId="4E507F28" w14:textId="77777777" w:rsidR="002A21AE" w:rsidRDefault="002A21AE" w:rsidP="00174BD8">
      <w:pPr>
        <w:pStyle w:val="Heading4"/>
        <w:tabs>
          <w:tab w:val="left" w:pos="5490"/>
        </w:tabs>
      </w:pPr>
      <w:r>
        <w:t>User Roles with Access to This Option</w:t>
      </w:r>
      <w:r w:rsidR="00174BD8">
        <w:tab/>
      </w:r>
    </w:p>
    <w:p w14:paraId="012B02DE" w14:textId="77777777" w:rsidR="005C42D0" w:rsidRDefault="005C42D0" w:rsidP="005C42D0">
      <w:pPr>
        <w:pStyle w:val="Roles"/>
        <w:rPr>
          <w:snapToGrid w:val="0"/>
        </w:rPr>
      </w:pPr>
      <w:r>
        <w:t xml:space="preserve">All users </w:t>
      </w:r>
    </w:p>
    <w:bookmarkEnd w:id="383"/>
    <w:p w14:paraId="6A19B040" w14:textId="77777777" w:rsidR="002A21AE" w:rsidRDefault="00057948">
      <w:pPr>
        <w:pStyle w:val="Heading4"/>
      </w:pPr>
      <w:r>
        <w:rPr>
          <w:noProof/>
        </w:rPr>
        <w:drawing>
          <wp:inline distT="0" distB="0" distL="0" distR="0" wp14:anchorId="6D6211D1" wp14:editId="5446E2CA">
            <wp:extent cx="156845" cy="156845"/>
            <wp:effectExtent l="0" t="0" r="0" b="0"/>
            <wp:docPr id="185" name="Picture 185" descr="P5347#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P5347#yIS1">
                      <a:extLst>
                        <a:ext uri="{C183D7F6-B498-43B3-948B-1728B52AA6E4}">
                          <adec:decorative xmlns:adec="http://schemas.microsoft.com/office/drawing/2017/decorative" val="1"/>
                        </a:ext>
                      </a:extLs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Select Units</w:t>
      </w:r>
    </w:p>
    <w:p w14:paraId="768B6A87" w14:textId="77777777" w:rsidR="008A248A" w:rsidRDefault="002A21AE" w:rsidP="00FA7E65">
      <w:pPr>
        <w:pStyle w:val="BodyText"/>
      </w:pPr>
      <w:r>
        <w:t>A user selects a patient’s component order and assigns one or more products to a patient. The user may then enter individual units or select units from a list of selectable, potentially compatible units for each component order.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C5CBBBE" w14:textId="77777777">
        <w:trPr>
          <w:cantSplit/>
          <w:tblHeader/>
        </w:trPr>
        <w:tc>
          <w:tcPr>
            <w:tcW w:w="3240" w:type="dxa"/>
            <w:shd w:val="pct30" w:color="auto" w:fill="FFFFFF"/>
            <w:vAlign w:val="bottom"/>
          </w:tcPr>
          <w:p w14:paraId="5D82BC32" w14:textId="77777777" w:rsidR="002A21AE" w:rsidRDefault="002A21AE">
            <w:pPr>
              <w:pStyle w:val="TableText"/>
              <w:rPr>
                <w:b/>
              </w:rPr>
            </w:pPr>
            <w:r>
              <w:rPr>
                <w:b/>
              </w:rPr>
              <w:t>User Action</w:t>
            </w:r>
          </w:p>
        </w:tc>
        <w:tc>
          <w:tcPr>
            <w:tcW w:w="6120" w:type="dxa"/>
            <w:shd w:val="pct30" w:color="auto" w:fill="FFFFFF"/>
            <w:vAlign w:val="bottom"/>
          </w:tcPr>
          <w:p w14:paraId="7B7AAD71" w14:textId="77777777" w:rsidR="002A21AE" w:rsidRDefault="002A21AE">
            <w:pPr>
              <w:pStyle w:val="TableText"/>
              <w:rPr>
                <w:b/>
              </w:rPr>
            </w:pPr>
            <w:r>
              <w:rPr>
                <w:b/>
              </w:rPr>
              <w:t>VBECS</w:t>
            </w:r>
          </w:p>
        </w:tc>
      </w:tr>
      <w:tr w:rsidR="002A21AE" w14:paraId="756BAD34" w14:textId="77777777">
        <w:tc>
          <w:tcPr>
            <w:tcW w:w="3240" w:type="dxa"/>
          </w:tcPr>
          <w:p w14:paraId="7C9B2CE1" w14:textId="670E62F5" w:rsidR="002A21AE" w:rsidRDefault="003D3067">
            <w:pPr>
              <w:pStyle w:val="TableTextNumbers"/>
              <w:rPr>
                <w:b/>
              </w:rPr>
            </w:pPr>
            <w:r>
              <w:t>Select Patients</w:t>
            </w:r>
            <w:r w:rsidR="002A21AE">
              <w:t xml:space="preserve"> from the main menu and </w:t>
            </w:r>
            <w:r>
              <w:t>select Patient</w:t>
            </w:r>
            <w:r w:rsidR="002A21AE">
              <w:rPr>
                <w:b/>
              </w:rPr>
              <w:t xml:space="preserve"> Testing</w:t>
            </w:r>
            <w:r w:rsidR="002A21AE">
              <w:t>, or</w:t>
            </w:r>
          </w:p>
          <w:p w14:paraId="6815B12B" w14:textId="77777777" w:rsidR="002A21AE" w:rsidRDefault="002A21AE">
            <w:pPr>
              <w:pStyle w:val="TableTextNumbersContinued"/>
            </w:pPr>
          </w:p>
          <w:p w14:paraId="233A9B29" w14:textId="77777777" w:rsidR="002A21AE" w:rsidRDefault="00922AD8">
            <w:pPr>
              <w:pStyle w:val="TableTextNumbersContinued"/>
            </w:pPr>
            <w:r>
              <w:t xml:space="preserve">Select </w:t>
            </w:r>
            <w:r w:rsidRPr="005E0472">
              <w:rPr>
                <w:b/>
              </w:rPr>
              <w:t>Blood</w:t>
            </w:r>
            <w:r w:rsidR="002A21AE" w:rsidRPr="005E0472">
              <w:rPr>
                <w:b/>
              </w:rPr>
              <w:t xml:space="preserve"> Units</w:t>
            </w:r>
            <w:r w:rsidR="002A21AE">
              <w:t xml:space="preserve"> from the main menu and select </w:t>
            </w:r>
            <w:r w:rsidR="002A21AE">
              <w:rPr>
                <w:b/>
              </w:rPr>
              <w:t>Select Units</w:t>
            </w:r>
            <w:r w:rsidR="002A21AE">
              <w:t>.</w:t>
            </w:r>
          </w:p>
        </w:tc>
        <w:tc>
          <w:tcPr>
            <w:tcW w:w="6120" w:type="dxa"/>
          </w:tcPr>
          <w:p w14:paraId="1A5F33E3" w14:textId="77777777" w:rsidR="002A21AE" w:rsidRDefault="002A21AE">
            <w:pPr>
              <w:pStyle w:val="TableTextBullet"/>
            </w:pPr>
            <w:r>
              <w:t>Displays options for processing patient-related functions.</w:t>
            </w:r>
          </w:p>
          <w:p w14:paraId="51564396" w14:textId="77777777" w:rsidR="002A21AE" w:rsidRDefault="002A21AE">
            <w:pPr>
              <w:pStyle w:val="TableTextBullet"/>
            </w:pPr>
            <w:r>
              <w:t>Displays the Pending Task List (PTL) and PTL search parameters in the Diagnostic Tests tab or in the Component Orders tab.</w:t>
            </w:r>
          </w:p>
        </w:tc>
      </w:tr>
      <w:tr w:rsidR="002A21AE" w14:paraId="2CCBD4FD" w14:textId="77777777">
        <w:tc>
          <w:tcPr>
            <w:tcW w:w="3240" w:type="dxa"/>
          </w:tcPr>
          <w:p w14:paraId="3EE08A51" w14:textId="1906FB59" w:rsidR="002A21AE" w:rsidRDefault="002A21AE">
            <w:pPr>
              <w:pStyle w:val="TableTextNumbers"/>
            </w:pPr>
            <w:r>
              <w:t>Enter or select PTL search parameters, if appropriate</w:t>
            </w:r>
            <w:r w:rsidR="004728E4">
              <w:t xml:space="preserve"> (</w:t>
            </w:r>
            <w:r w:rsidR="0071094D">
              <w:fldChar w:fldCharType="begin" w:fldLock="1"/>
            </w:r>
            <w:r w:rsidR="0071094D">
              <w:instrText xml:space="preserve"> REF _Ref126724671 \h </w:instrText>
            </w:r>
            <w:r w:rsidR="0071094D">
              <w:fldChar w:fldCharType="separate"/>
            </w:r>
            <w:r w:rsidR="00AB304C">
              <w:t xml:space="preserve">Figure </w:t>
            </w:r>
            <w:r w:rsidR="00AB304C">
              <w:rPr>
                <w:noProof/>
              </w:rPr>
              <w:t>100</w:t>
            </w:r>
            <w:r w:rsidR="0071094D">
              <w:fldChar w:fldCharType="end"/>
            </w:r>
            <w:r w:rsidR="004728E4">
              <w:t>)</w:t>
            </w:r>
            <w:r>
              <w:t xml:space="preserve">. </w:t>
            </w:r>
          </w:p>
          <w:p w14:paraId="47272AF4" w14:textId="77777777" w:rsidR="002A21AE" w:rsidRDefault="002A21AE">
            <w:pPr>
              <w:pStyle w:val="TableTextNumbersContinued"/>
            </w:pPr>
          </w:p>
          <w:p w14:paraId="44A7B133" w14:textId="77777777" w:rsidR="002A21AE" w:rsidRDefault="002A21AE">
            <w:pPr>
              <w:pStyle w:val="TableTextNumbersContinued"/>
            </w:pPr>
            <w:r>
              <w:t xml:space="preserve">Click the check boxes in the PTL to select </w:t>
            </w:r>
            <w:r w:rsidR="00810E0A">
              <w:t>one to four</w:t>
            </w:r>
            <w:r>
              <w:t xml:space="preserve"> component orders. </w:t>
            </w:r>
          </w:p>
          <w:p w14:paraId="7045D435" w14:textId="77777777" w:rsidR="002A21AE" w:rsidRDefault="002A21AE">
            <w:pPr>
              <w:pStyle w:val="TableTextNumbersContinued"/>
            </w:pPr>
          </w:p>
          <w:p w14:paraId="41EAD78F" w14:textId="2BE6175C" w:rsidR="002A21AE" w:rsidRDefault="002A21AE">
            <w:pPr>
              <w:pStyle w:val="TableTextNumbersContinued"/>
            </w:pPr>
            <w:r>
              <w:t xml:space="preserve">Click </w:t>
            </w:r>
            <w:r>
              <w:rPr>
                <w:b/>
              </w:rPr>
              <w:t>OK</w:t>
            </w:r>
            <w:r>
              <w:t xml:space="preserve"> to continue</w:t>
            </w:r>
            <w:r w:rsidR="008C6185">
              <w:t xml:space="preserve"> (</w:t>
            </w:r>
            <w:r w:rsidR="0071094D">
              <w:fldChar w:fldCharType="begin" w:fldLock="1"/>
            </w:r>
            <w:r w:rsidR="0071094D">
              <w:instrText xml:space="preserve"> REF _Ref126724700 \h </w:instrText>
            </w:r>
            <w:r w:rsidR="0071094D">
              <w:fldChar w:fldCharType="separate"/>
            </w:r>
            <w:r w:rsidR="00AB304C">
              <w:t xml:space="preserve">Figure </w:t>
            </w:r>
            <w:r w:rsidR="00AB304C">
              <w:rPr>
                <w:noProof/>
              </w:rPr>
              <w:t>101</w:t>
            </w:r>
            <w:r w:rsidR="0071094D">
              <w:fldChar w:fldCharType="end"/>
            </w:r>
            <w:r w:rsidR="008C6185">
              <w:t>)</w:t>
            </w:r>
            <w:r>
              <w:t>.</w:t>
            </w:r>
          </w:p>
        </w:tc>
        <w:tc>
          <w:tcPr>
            <w:tcW w:w="6120" w:type="dxa"/>
          </w:tcPr>
          <w:p w14:paraId="695C6EC6" w14:textId="77777777" w:rsidR="002A21AE" w:rsidRDefault="002A21AE">
            <w:pPr>
              <w:pStyle w:val="TableTextBullet"/>
            </w:pPr>
            <w:r>
              <w:t>Displays information for each component order.</w:t>
            </w:r>
          </w:p>
          <w:p w14:paraId="1A129C5D" w14:textId="77777777" w:rsidR="00605241" w:rsidRDefault="000D3C6E">
            <w:pPr>
              <w:pStyle w:val="TableTextBullet"/>
            </w:pPr>
            <w:r w:rsidRPr="000D3C6E">
              <w:rPr>
                <w:vanish/>
              </w:rPr>
              <w:t xml:space="preserve">BR_3.58 </w:t>
            </w:r>
            <w:r w:rsidR="00605241">
              <w:t xml:space="preserve">When the user selects a blood unit to fill a component order or RED BLOOD CELLS, “PLATELETS” </w:t>
            </w:r>
            <w:r w:rsidR="00955DA3">
              <w:t>or “OTHER” and has = &gt;</w:t>
            </w:r>
            <w:r w:rsidR="00605241">
              <w:t xml:space="preserve"> 2 mL RBC contamination, and the unit is ABO compatible, VBECS requires a crossmatch test and must require the user to associate a TAS specimen UID to the order to proceed to crossmatch of the unit.</w:t>
            </w:r>
          </w:p>
          <w:p w14:paraId="57056DFB" w14:textId="77777777" w:rsidR="00931B15" w:rsidRDefault="00931B15">
            <w:pPr>
              <w:pStyle w:val="TableTextBullet"/>
            </w:pPr>
            <w:r w:rsidRPr="00931B15">
              <w:rPr>
                <w:vanish/>
              </w:rPr>
              <w:t xml:space="preserve">BR_3.58 </w:t>
            </w:r>
            <w:r>
              <w:t>Upon completion of the selection process, evaluates the unit for eXM when enabled at the site or added to the serologic crossmatch data grid as appropriate.</w:t>
            </w:r>
          </w:p>
          <w:p w14:paraId="065919FE" w14:textId="77777777" w:rsidR="002A21AE" w:rsidRDefault="000D3C6E" w:rsidP="00931B15">
            <w:pPr>
              <w:pStyle w:val="TableTextBullet"/>
            </w:pPr>
            <w:r w:rsidRPr="000D3C6E">
              <w:rPr>
                <w:vanish/>
              </w:rPr>
              <w:t xml:space="preserve">BR_3.59 </w:t>
            </w:r>
            <w:r w:rsidR="00605241">
              <w:t>When the user selects blood units to fill a component order of “PLATELETS” or “OTHER” and is indicated as having less than (&lt;) 2 mL RBC contamination, electronic or serologic crossmatch are not required.</w:t>
            </w:r>
          </w:p>
          <w:p w14:paraId="2346D6A7" w14:textId="77777777" w:rsidR="00931B15" w:rsidRDefault="00931B15" w:rsidP="00931B15">
            <w:pPr>
              <w:pStyle w:val="TableTextBullet"/>
              <w:numPr>
                <w:ilvl w:val="0"/>
                <w:numId w:val="0"/>
              </w:numPr>
              <w:ind w:left="288"/>
            </w:pPr>
          </w:p>
          <w:p w14:paraId="6FA5930A" w14:textId="77777777" w:rsidR="002A21AE" w:rsidRDefault="00057948">
            <w:pPr>
              <w:pStyle w:val="TableText"/>
              <w:rPr>
                <w:b/>
                <w:bCs/>
                <w:szCs w:val="18"/>
              </w:rPr>
            </w:pPr>
            <w:r>
              <w:rPr>
                <w:b/>
                <w:bCs/>
                <w:noProof/>
              </w:rPr>
              <mc:AlternateContent>
                <mc:Choice Requires="wps">
                  <w:drawing>
                    <wp:anchor distT="0" distB="0" distL="114300" distR="114300" simplePos="0" relativeHeight="251522560" behindDoc="0" locked="0" layoutInCell="1" allowOverlap="1" wp14:anchorId="05C1684A" wp14:editId="3E773ACC">
                      <wp:simplePos x="0" y="0"/>
                      <wp:positionH relativeFrom="column">
                        <wp:posOffset>457200</wp:posOffset>
                      </wp:positionH>
                      <wp:positionV relativeFrom="paragraph">
                        <wp:posOffset>65405</wp:posOffset>
                      </wp:positionV>
                      <wp:extent cx="3200400" cy="0"/>
                      <wp:effectExtent l="9525" t="17780" r="9525" b="10795"/>
                      <wp:wrapNone/>
                      <wp:docPr id="446" name="Line 828" descr="P5368C6T5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16AFFE" id="Line 828" o:spid="_x0000_s1026" alt="&quot;&quot;" style="position:absolute;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yH9A9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3E06E6B0" w14:textId="77777777" w:rsidR="002A21AE" w:rsidRDefault="002A21AE">
            <w:pPr>
              <w:pStyle w:val="NotesText"/>
            </w:pPr>
          </w:p>
          <w:p w14:paraId="29CCB1C0" w14:textId="1CE8E3A8" w:rsidR="002A21AE" w:rsidRDefault="002A21AE">
            <w:pPr>
              <w:pStyle w:val="NotesText"/>
            </w:pPr>
            <w:r w:rsidRPr="00896F17">
              <w:rPr>
                <w:rStyle w:val="BullhornChar"/>
              </w:rPr>
              <w:t></w:t>
            </w:r>
            <w:r w:rsidRPr="00C51C45">
              <w:rPr>
                <w:rFonts w:ascii="Webdings" w:hAnsi="Webdings"/>
                <w:szCs w:val="22"/>
              </w:rPr>
              <w:t></w:t>
            </w:r>
            <w:r>
              <w:rPr>
                <w:rFonts w:cs="Arial"/>
                <w:szCs w:val="22"/>
              </w:rPr>
              <w:t xml:space="preserve">See </w:t>
            </w:r>
            <w:r w:rsidR="00590097">
              <w:rPr>
                <w:rFonts w:cs="Arial"/>
                <w:szCs w:val="22"/>
              </w:rPr>
              <w:fldChar w:fldCharType="begin" w:fldLock="1"/>
            </w:r>
            <w:r w:rsidR="00590097">
              <w:rPr>
                <w:rFonts w:cs="Arial"/>
                <w:szCs w:val="22"/>
              </w:rPr>
              <w:instrText xml:space="preserve"> REF _Ref126486057 \h </w:instrText>
            </w:r>
            <w:r w:rsidR="00590097">
              <w:rPr>
                <w:rFonts w:cs="Arial"/>
                <w:szCs w:val="22"/>
              </w:rPr>
            </w:r>
            <w:r w:rsidR="00590097">
              <w:rPr>
                <w:rFonts w:cs="Arial"/>
                <w:szCs w:val="22"/>
              </w:rPr>
              <w:fldChar w:fldCharType="separate"/>
            </w:r>
            <w:r w:rsidR="00AB304C">
              <w:t xml:space="preserve">Table </w:t>
            </w:r>
            <w:r w:rsidR="00AB304C">
              <w:rPr>
                <w:noProof/>
              </w:rPr>
              <w:t>6</w:t>
            </w:r>
            <w:r w:rsidR="00590097">
              <w:rPr>
                <w:rFonts w:cs="Arial"/>
                <w:szCs w:val="22"/>
              </w:rPr>
              <w:fldChar w:fldCharType="end"/>
            </w:r>
            <w:r>
              <w:rPr>
                <w:rFonts w:cs="Arial"/>
                <w:szCs w:val="22"/>
              </w:rPr>
              <w:t xml:space="preserve"> for alerts that may occur during this option.</w:t>
            </w:r>
          </w:p>
        </w:tc>
      </w:tr>
      <w:tr w:rsidR="004D6F51" w14:paraId="5D051C13" w14:textId="77777777">
        <w:trPr>
          <w:hidden/>
        </w:trPr>
        <w:tc>
          <w:tcPr>
            <w:tcW w:w="3240" w:type="dxa"/>
          </w:tcPr>
          <w:p w14:paraId="22B6B744" w14:textId="208D064B" w:rsidR="004D6F51" w:rsidRDefault="00EB00A3" w:rsidP="0020776C">
            <w:pPr>
              <w:pStyle w:val="TableTextNumbers"/>
            </w:pPr>
            <w:r w:rsidRPr="00EB00A3">
              <w:rPr>
                <w:vanish/>
              </w:rPr>
              <w:t>DR 4414</w:t>
            </w:r>
            <w:r w:rsidRPr="00EB00A3">
              <w:rPr>
                <w:b/>
                <w:vanish/>
              </w:rPr>
              <w:t xml:space="preserve"> </w:t>
            </w:r>
            <w:r w:rsidR="00234D60" w:rsidRPr="00234D60">
              <w:rPr>
                <w:b/>
                <w:sz w:val="20"/>
              </w:rPr>
              <w:t>Steps 3 through 8 are optional. If a specimen is already associated with the order, skip to Step 9.</w:t>
            </w:r>
            <w:r w:rsidR="00234D60">
              <w:rPr>
                <w:sz w:val="20"/>
              </w:rPr>
              <w:t xml:space="preserve"> </w:t>
            </w:r>
            <w:r w:rsidR="004D6F51">
              <w:t xml:space="preserve">To associate a specimen </w:t>
            </w:r>
            <w:r w:rsidR="00DC4386">
              <w:t>UID with a</w:t>
            </w:r>
            <w:r w:rsidR="004D6F51">
              <w:t xml:space="preserve"> unit requiring </w:t>
            </w:r>
            <w:r w:rsidR="00F92484">
              <w:t>XM</w:t>
            </w:r>
            <w:r w:rsidR="00DC4386">
              <w:t xml:space="preserve"> that was not previously associated with a specimen</w:t>
            </w:r>
            <w:r w:rsidR="004D6F51">
              <w:t>, select (highlight) an issued unit in the Order Group tree view in the left pane</w:t>
            </w:r>
            <w:r w:rsidR="009F0D10">
              <w:t xml:space="preserve"> (</w:t>
            </w:r>
            <w:r w:rsidR="005C5BD9">
              <w:fldChar w:fldCharType="begin" w:fldLock="1"/>
            </w:r>
            <w:r w:rsidR="005C5BD9">
              <w:instrText xml:space="preserve"> REF _Ref169515158 \h </w:instrText>
            </w:r>
            <w:r w:rsidR="00234D60">
              <w:instrText xml:space="preserve"> \* MERGEFORMAT </w:instrText>
            </w:r>
            <w:r w:rsidR="005C5BD9">
              <w:fldChar w:fldCharType="separate"/>
            </w:r>
            <w:r w:rsidR="00AB304C">
              <w:t xml:space="preserve">Figure </w:t>
            </w:r>
            <w:r w:rsidR="00AB304C">
              <w:rPr>
                <w:noProof/>
              </w:rPr>
              <w:t>102</w:t>
            </w:r>
            <w:r w:rsidR="005C5BD9">
              <w:fldChar w:fldCharType="end"/>
            </w:r>
            <w:r w:rsidR="009F0D10">
              <w:t>)</w:t>
            </w:r>
            <w:r w:rsidR="004D6F51">
              <w:t>.</w:t>
            </w:r>
          </w:p>
        </w:tc>
        <w:tc>
          <w:tcPr>
            <w:tcW w:w="6120" w:type="dxa"/>
          </w:tcPr>
          <w:p w14:paraId="56A17EDF" w14:textId="77777777" w:rsidR="004D6F51" w:rsidRDefault="004D6F51" w:rsidP="0020776C">
            <w:pPr>
              <w:pStyle w:val="TableTextBullet"/>
            </w:pPr>
            <w:r>
              <w:t>Enables the Associate Specimen check box.</w:t>
            </w:r>
          </w:p>
          <w:p w14:paraId="1D7835BE" w14:textId="227DF5BC" w:rsidR="000A2E5E" w:rsidRDefault="000A2E5E" w:rsidP="00673EF0">
            <w:pPr>
              <w:pStyle w:val="TableTextBullet"/>
            </w:pPr>
            <w:r>
              <w:t xml:space="preserve">When an order is accepted without a specimen, the user must associate the specimen prior to performing crossmatch testing. VBECS will not allow an expired specimen to be associated with the order unless the Unit </w:t>
            </w:r>
            <w:r w:rsidR="00931B15">
              <w:t>Assigned</w:t>
            </w:r>
            <w:r>
              <w:t xml:space="preserve"> Date is modified to be earlier than the Specimen Expiration Date (for retrospective data entry). See </w:t>
            </w:r>
            <w:r>
              <w:fldChar w:fldCharType="begin" w:fldLock="1"/>
            </w:r>
            <w:r>
              <w:instrText xml:space="preserve"> REF _Ref169515158 \h </w:instrText>
            </w:r>
            <w:r>
              <w:fldChar w:fldCharType="separate"/>
            </w:r>
            <w:r w:rsidR="00AB304C">
              <w:t xml:space="preserve">Figure </w:t>
            </w:r>
            <w:r w:rsidR="00AB304C">
              <w:rPr>
                <w:noProof/>
              </w:rPr>
              <w:t>102</w:t>
            </w:r>
            <w:r>
              <w:fldChar w:fldCharType="end"/>
            </w:r>
            <w:r>
              <w:t>.</w:t>
            </w:r>
          </w:p>
          <w:p w14:paraId="27B28D45" w14:textId="77777777" w:rsidR="00F92484" w:rsidRDefault="00F92484" w:rsidP="00F92484">
            <w:pPr>
              <w:pStyle w:val="TableText"/>
            </w:pPr>
          </w:p>
          <w:p w14:paraId="07E26257" w14:textId="77777777" w:rsidR="00F92484" w:rsidRDefault="00057948" w:rsidP="00F92484">
            <w:pPr>
              <w:pStyle w:val="TableText"/>
              <w:rPr>
                <w:b/>
                <w:bCs/>
                <w:szCs w:val="18"/>
              </w:rPr>
            </w:pPr>
            <w:r>
              <w:rPr>
                <w:b/>
                <w:bCs/>
                <w:noProof/>
              </w:rPr>
              <mc:AlternateContent>
                <mc:Choice Requires="wps">
                  <w:drawing>
                    <wp:anchor distT="0" distB="0" distL="114300" distR="114300" simplePos="0" relativeHeight="252000768" behindDoc="0" locked="0" layoutInCell="1" allowOverlap="1" wp14:anchorId="640126B3" wp14:editId="7F176EA9">
                      <wp:simplePos x="0" y="0"/>
                      <wp:positionH relativeFrom="column">
                        <wp:posOffset>457200</wp:posOffset>
                      </wp:positionH>
                      <wp:positionV relativeFrom="paragraph">
                        <wp:posOffset>65405</wp:posOffset>
                      </wp:positionV>
                      <wp:extent cx="3200400" cy="0"/>
                      <wp:effectExtent l="9525" t="17780" r="9525" b="10795"/>
                      <wp:wrapNone/>
                      <wp:docPr id="445" name="Line 1196" descr="P5376C8T5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D4529" id="Line 1196" o:spid="_x0000_s1026" alt="&quot;&quot;" style="position:absolute;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EFnnUTEAQAAbwMAAA4AAAAAAAAAAAAAAAAA&#10;LgIAAGRycy9lMm9Eb2MueG1sUEsBAi0AFAAGAAgAAAAhABdPMBLbAAAACAEAAA8AAAAAAAAAAAAA&#10;AAAAHgQAAGRycy9kb3ducmV2LnhtbFBLBQYAAAAABAAEAPMAAAAmBQAAAAA=&#10;" strokeweight="1.5pt"/>
                  </w:pict>
                </mc:Fallback>
              </mc:AlternateContent>
            </w:r>
            <w:r w:rsidR="00F92484">
              <w:rPr>
                <w:b/>
                <w:bCs/>
                <w:szCs w:val="18"/>
              </w:rPr>
              <w:t>NOTES</w:t>
            </w:r>
          </w:p>
          <w:p w14:paraId="12E36805" w14:textId="77777777" w:rsidR="00F92484" w:rsidRDefault="00F92484" w:rsidP="00F92484">
            <w:pPr>
              <w:pStyle w:val="NotesText"/>
            </w:pPr>
          </w:p>
          <w:p w14:paraId="391A3513" w14:textId="77777777" w:rsidR="00F92484" w:rsidRDefault="00F92484" w:rsidP="00F92484">
            <w:pPr>
              <w:pStyle w:val="NotesText"/>
              <w:rPr>
                <w:rFonts w:cs="Arial"/>
                <w:szCs w:val="22"/>
              </w:rPr>
            </w:pPr>
            <w:r>
              <w:rPr>
                <w:rFonts w:cs="Arial"/>
                <w:szCs w:val="22"/>
              </w:rPr>
              <w:t>If eXM is enabled, complete the TAS prior to associating the specimen UID with the emergency-issued units.</w:t>
            </w:r>
          </w:p>
          <w:p w14:paraId="3D72E8A7" w14:textId="77777777" w:rsidR="001F303C" w:rsidRDefault="001F303C" w:rsidP="00F92484">
            <w:pPr>
              <w:pStyle w:val="NotesText"/>
              <w:rPr>
                <w:rFonts w:cs="Arial"/>
                <w:szCs w:val="22"/>
              </w:rPr>
            </w:pPr>
          </w:p>
          <w:p w14:paraId="7C5424D5" w14:textId="06981517" w:rsidR="001F303C" w:rsidRPr="00811AE6" w:rsidRDefault="001F303C" w:rsidP="001F303C">
            <w:pPr>
              <w:pStyle w:val="NotesText"/>
            </w:pPr>
            <w:r w:rsidRPr="00811AE6">
              <w:rPr>
                <w:vanish/>
                <w:szCs w:val="18"/>
              </w:rPr>
              <w:lastRenderedPageBreak/>
              <w:t xml:space="preserve">BR_3.17, BR_3.27 , BR_3.36 </w:t>
            </w:r>
            <w:r w:rsidRPr="00811AE6">
              <w:t>When eXM is enabled at the division and blood units require XM, VBECS determines whether the patient and units are eligible for eXM. When indicated, specific warning messages explaining the reason for the ineligibility are displayed. Users are given the opportunity to accept or reject the selected unit for selection</w:t>
            </w:r>
            <w:r w:rsidR="00931B15" w:rsidRPr="00811AE6">
              <w:t xml:space="preserve"> and may or may not process the eXM</w:t>
            </w:r>
            <w:r w:rsidRPr="00811AE6">
              <w:t xml:space="preserve">. All parameters listed in </w:t>
            </w:r>
            <w:r w:rsidRPr="00811AE6">
              <w:fldChar w:fldCharType="begin" w:fldLock="1"/>
            </w:r>
            <w:r w:rsidRPr="00811AE6">
              <w:instrText xml:space="preserve"> REF _Ref170004931 \h </w:instrText>
            </w:r>
            <w:r w:rsidR="00ED4161" w:rsidRPr="00811AE6">
              <w:instrText xml:space="preserve"> \* MERGEFORMAT </w:instrText>
            </w:r>
            <w:r w:rsidRPr="00811AE6">
              <w:fldChar w:fldCharType="separate"/>
            </w:r>
            <w:r w:rsidR="00AB304C">
              <w:t xml:space="preserve">Appendix </w:t>
            </w:r>
            <w:r w:rsidR="00AB304C">
              <w:rPr>
                <w:noProof/>
              </w:rPr>
              <w:t>B</w:t>
            </w:r>
            <w:r w:rsidRPr="00811AE6">
              <w:fldChar w:fldCharType="end"/>
            </w:r>
            <w:r w:rsidRPr="00811AE6">
              <w:t xml:space="preserve">: </w:t>
            </w:r>
            <w:r w:rsidRPr="00811AE6">
              <w:fldChar w:fldCharType="begin" w:fldLock="1"/>
            </w:r>
            <w:r w:rsidRPr="00811AE6">
              <w:instrText xml:space="preserve"> REF _Ref317762597 \h </w:instrText>
            </w:r>
            <w:r w:rsidR="00ED4161" w:rsidRPr="00811AE6">
              <w:instrText xml:space="preserve"> \* MERGEFORMAT </w:instrText>
            </w:r>
            <w:r w:rsidRPr="00811AE6">
              <w:fldChar w:fldCharType="separate"/>
            </w:r>
            <w:r w:rsidR="00AB304C">
              <w:t xml:space="preserve">Table </w:t>
            </w:r>
            <w:r w:rsidR="00AB304C">
              <w:rPr>
                <w:noProof/>
              </w:rPr>
              <w:t>23</w:t>
            </w:r>
            <w:r w:rsidR="00AB304C">
              <w:t xml:space="preserve">: </w:t>
            </w:r>
            <w:r w:rsidR="00AB304C">
              <w:rPr>
                <w:vanish/>
              </w:rPr>
              <w:t xml:space="preserve">TT_3.05 </w:t>
            </w:r>
            <w:r w:rsidR="00AB304C">
              <w:t>Rules for Electronic and Serologic Crossmatch</w:t>
            </w:r>
            <w:r w:rsidRPr="00811AE6">
              <w:fldChar w:fldCharType="end"/>
            </w:r>
            <w:r w:rsidRPr="00811AE6">
              <w:t xml:space="preserve"> must be met. Units not eligible for eXM must have serologic XM performed. </w:t>
            </w:r>
          </w:p>
          <w:p w14:paraId="4315FB3C" w14:textId="77777777" w:rsidR="001F303C" w:rsidRPr="00811AE6" w:rsidRDefault="001F303C" w:rsidP="001F303C">
            <w:pPr>
              <w:pStyle w:val="NotesText"/>
            </w:pPr>
          </w:p>
          <w:p w14:paraId="3D541061" w14:textId="77777777" w:rsidR="001F303C" w:rsidRDefault="001F303C" w:rsidP="001F303C">
            <w:pPr>
              <w:pStyle w:val="NotesText"/>
            </w:pPr>
            <w:r w:rsidRPr="00811AE6">
              <w:t>When eXM is not enabled, the user must enter serologic XM results for red blood cell classes or when the uni</w:t>
            </w:r>
            <w:r w:rsidR="00931B15" w:rsidRPr="00811AE6">
              <w:t>t has = &gt;</w:t>
            </w:r>
            <w:r w:rsidRPr="00811AE6">
              <w:t xml:space="preserve"> 2 mL RBC contamination. VBECS does not change the unit status to “crossmatched,” make units available for issue, or allow the Caution Tag or BTRF to be printed until a user enters a valid XM result, unless an emergency-issued unit is being processed.</w:t>
            </w:r>
          </w:p>
        </w:tc>
      </w:tr>
      <w:tr w:rsidR="004D6F51" w14:paraId="45A7921D" w14:textId="77777777">
        <w:tc>
          <w:tcPr>
            <w:tcW w:w="3240" w:type="dxa"/>
          </w:tcPr>
          <w:p w14:paraId="2812DFA4" w14:textId="77777777" w:rsidR="004D6F51" w:rsidRPr="001235FC" w:rsidRDefault="004D6F51" w:rsidP="0020776C">
            <w:pPr>
              <w:pStyle w:val="TableTextNumbers"/>
            </w:pPr>
            <w:r>
              <w:lastRenderedPageBreak/>
              <w:t xml:space="preserve">Click the </w:t>
            </w:r>
            <w:r>
              <w:rPr>
                <w:b/>
              </w:rPr>
              <w:t xml:space="preserve">Associate </w:t>
            </w:r>
            <w:r w:rsidR="00F92484">
              <w:rPr>
                <w:b/>
              </w:rPr>
              <w:t xml:space="preserve">with </w:t>
            </w:r>
            <w:r>
              <w:rPr>
                <w:b/>
              </w:rPr>
              <w:t xml:space="preserve">Specimen </w:t>
            </w:r>
            <w:r w:rsidRPr="00D1100E">
              <w:t>check box</w:t>
            </w:r>
            <w:r>
              <w:rPr>
                <w:b/>
              </w:rPr>
              <w:t>.</w:t>
            </w:r>
          </w:p>
          <w:p w14:paraId="771A6F24" w14:textId="77777777" w:rsidR="004D6F51" w:rsidRDefault="004D6F51" w:rsidP="0020776C">
            <w:pPr>
              <w:pStyle w:val="TableTextNumbers"/>
              <w:numPr>
                <w:ilvl w:val="0"/>
                <w:numId w:val="0"/>
              </w:numPr>
              <w:ind w:left="288" w:hanging="288"/>
              <w:rPr>
                <w:b/>
              </w:rPr>
            </w:pPr>
          </w:p>
          <w:p w14:paraId="4C26ACBE" w14:textId="3A0DE897" w:rsidR="004D6F51" w:rsidRDefault="004D6F51" w:rsidP="0020776C">
            <w:pPr>
              <w:pStyle w:val="TableTextNumbersContinued"/>
            </w:pPr>
            <w:r>
              <w:t xml:space="preserve">Click the </w:t>
            </w:r>
            <w:r w:rsidR="00A6373D">
              <w:rPr>
                <w:b/>
              </w:rPr>
              <w:t>find</w:t>
            </w:r>
            <w:r w:rsidRPr="001235FC">
              <w:rPr>
                <w:b/>
              </w:rPr>
              <w:t xml:space="preserve"> </w:t>
            </w:r>
            <w:r w:rsidRPr="00D1100E">
              <w:t>button</w:t>
            </w:r>
            <w:r>
              <w:t xml:space="preserve"> to select</w:t>
            </w:r>
            <w:r w:rsidR="00F92484">
              <w:t xml:space="preserve"> a specimen</w:t>
            </w:r>
            <w:r>
              <w:t xml:space="preserve"> UID</w:t>
            </w:r>
            <w:r w:rsidR="009F0D10">
              <w:t xml:space="preserve"> (</w:t>
            </w:r>
            <w:r w:rsidR="005C5BD9">
              <w:fldChar w:fldCharType="begin" w:fldLock="1"/>
            </w:r>
            <w:r w:rsidR="005C5BD9">
              <w:instrText xml:space="preserve"> REF _Ref169515158 \h </w:instrText>
            </w:r>
            <w:r w:rsidR="005C5BD9">
              <w:fldChar w:fldCharType="separate"/>
            </w:r>
            <w:r w:rsidR="00AB304C">
              <w:t xml:space="preserve">Figure </w:t>
            </w:r>
            <w:r w:rsidR="00AB304C">
              <w:rPr>
                <w:noProof/>
              </w:rPr>
              <w:t>102</w:t>
            </w:r>
            <w:r w:rsidR="005C5BD9">
              <w:fldChar w:fldCharType="end"/>
            </w:r>
            <w:r w:rsidR="009F0D10">
              <w:t>)</w:t>
            </w:r>
            <w:r>
              <w:t>.</w:t>
            </w:r>
          </w:p>
        </w:tc>
        <w:tc>
          <w:tcPr>
            <w:tcW w:w="6120" w:type="dxa"/>
          </w:tcPr>
          <w:p w14:paraId="02BDC7D3" w14:textId="77777777" w:rsidR="004D6F51" w:rsidRDefault="004D6F51" w:rsidP="0020776C">
            <w:pPr>
              <w:pStyle w:val="TableTextBullet"/>
            </w:pPr>
            <w:r>
              <w:t xml:space="preserve">Opens the </w:t>
            </w:r>
            <w:r w:rsidR="00F92484">
              <w:t>Select Patient Specimen window.</w:t>
            </w:r>
          </w:p>
        </w:tc>
      </w:tr>
      <w:tr w:rsidR="004D6F51" w14:paraId="52087FBC" w14:textId="77777777">
        <w:tc>
          <w:tcPr>
            <w:tcW w:w="3240" w:type="dxa"/>
          </w:tcPr>
          <w:p w14:paraId="489D3FAC" w14:textId="77777777" w:rsidR="004D6F51" w:rsidRDefault="004D6F51" w:rsidP="0020776C">
            <w:pPr>
              <w:pStyle w:val="TableTextNumbers"/>
            </w:pPr>
            <w:r>
              <w:t xml:space="preserve">Scan or enter the correct specimen UID and click </w:t>
            </w:r>
            <w:r>
              <w:rPr>
                <w:b/>
              </w:rPr>
              <w:t>Search</w:t>
            </w:r>
            <w:r>
              <w:t>.</w:t>
            </w:r>
          </w:p>
        </w:tc>
        <w:tc>
          <w:tcPr>
            <w:tcW w:w="6120" w:type="dxa"/>
          </w:tcPr>
          <w:p w14:paraId="53A091DC" w14:textId="77777777" w:rsidR="004D6F51" w:rsidRDefault="004D6F51" w:rsidP="0020776C">
            <w:pPr>
              <w:pStyle w:val="TableTextBullet"/>
            </w:pPr>
            <w:r>
              <w:t xml:space="preserve">Displays </w:t>
            </w:r>
            <w:r w:rsidR="00F92484">
              <w:t xml:space="preserve">the </w:t>
            </w:r>
            <w:r w:rsidR="00C3266A">
              <w:t>s</w:t>
            </w:r>
            <w:r w:rsidR="00F92484">
              <w:t xml:space="preserve">elected </w:t>
            </w:r>
            <w:r w:rsidR="00C3266A">
              <w:t>patient s</w:t>
            </w:r>
            <w:r w:rsidR="00F92484">
              <w:t xml:space="preserve">pecimen </w:t>
            </w:r>
            <w:r w:rsidR="00C3266A">
              <w:t>information</w:t>
            </w:r>
            <w:r w:rsidR="00F92484">
              <w:t>.</w:t>
            </w:r>
          </w:p>
        </w:tc>
      </w:tr>
      <w:tr w:rsidR="004D6F51" w14:paraId="5C4F30B2" w14:textId="77777777">
        <w:tc>
          <w:tcPr>
            <w:tcW w:w="3240" w:type="dxa"/>
          </w:tcPr>
          <w:p w14:paraId="2B192ED5" w14:textId="77777777" w:rsidR="004D6F51" w:rsidRDefault="004D6F51" w:rsidP="0020776C">
            <w:pPr>
              <w:pStyle w:val="TableTextNumbers"/>
            </w:pPr>
            <w:r>
              <w:t xml:space="preserve">Click </w:t>
            </w:r>
            <w:r w:rsidRPr="005457F3">
              <w:rPr>
                <w:b/>
              </w:rPr>
              <w:t>OK</w:t>
            </w:r>
            <w:r>
              <w:t>.</w:t>
            </w:r>
          </w:p>
        </w:tc>
        <w:tc>
          <w:tcPr>
            <w:tcW w:w="6120" w:type="dxa"/>
          </w:tcPr>
          <w:p w14:paraId="00266B90" w14:textId="77777777" w:rsidR="004D6F51" w:rsidRDefault="004D6F51" w:rsidP="0020776C">
            <w:pPr>
              <w:pStyle w:val="TableTextBullet"/>
            </w:pPr>
            <w:r>
              <w:t>Saves the specimen information and returns the user to the Select Units window.</w:t>
            </w:r>
          </w:p>
          <w:p w14:paraId="5CF9200B" w14:textId="77777777" w:rsidR="004D6F51" w:rsidRDefault="004D6F51" w:rsidP="0020776C">
            <w:pPr>
              <w:pStyle w:val="TableTextBullet"/>
            </w:pPr>
            <w:r>
              <w:t>Displays the associat</w:t>
            </w:r>
            <w:r w:rsidR="008D0654">
              <w:t>ed specimen UID in the Specimen</w:t>
            </w:r>
            <w:r>
              <w:t xml:space="preserve"> UID field.</w:t>
            </w:r>
          </w:p>
        </w:tc>
      </w:tr>
      <w:tr w:rsidR="004D6F51" w14:paraId="54DBF369" w14:textId="77777777">
        <w:tc>
          <w:tcPr>
            <w:tcW w:w="3240" w:type="dxa"/>
          </w:tcPr>
          <w:p w14:paraId="650BF7B3" w14:textId="77777777" w:rsidR="004D6F51" w:rsidRDefault="000A2E5E" w:rsidP="000A2E5E">
            <w:pPr>
              <w:pStyle w:val="TableTextNumbers"/>
            </w:pPr>
            <w:r>
              <w:t xml:space="preserve">Repeat Steps 3 through </w:t>
            </w:r>
            <w:r w:rsidR="004D6F51">
              <w:t xml:space="preserve">6 to associate the </w:t>
            </w:r>
            <w:r>
              <w:t>specimen UID</w:t>
            </w:r>
            <w:r w:rsidR="004D6F51">
              <w:t xml:space="preserve"> with other emergency-issued units, or click </w:t>
            </w:r>
            <w:r w:rsidR="004D6F51">
              <w:rPr>
                <w:b/>
              </w:rPr>
              <w:t>OK</w:t>
            </w:r>
            <w:r w:rsidR="004D6F51">
              <w:t xml:space="preserve"> to save.</w:t>
            </w:r>
          </w:p>
        </w:tc>
        <w:tc>
          <w:tcPr>
            <w:tcW w:w="6120" w:type="dxa"/>
          </w:tcPr>
          <w:p w14:paraId="172A8278" w14:textId="77777777" w:rsidR="004D6F51" w:rsidRDefault="008D0654" w:rsidP="0020776C">
            <w:pPr>
              <w:pStyle w:val="TableTextBullet"/>
            </w:pPr>
            <w:r>
              <w:t>When the user clicks OK, d</w:t>
            </w:r>
            <w:r w:rsidR="004D6F51">
              <w:t>isplays a message asking the user if he wishes to complete serologic crossmatch</w:t>
            </w:r>
            <w:r w:rsidR="003F629A">
              <w:t xml:space="preserve"> when at least one unit requires crossmatch</w:t>
            </w:r>
            <w:r w:rsidR="004D6F51">
              <w:t>.</w:t>
            </w:r>
          </w:p>
        </w:tc>
      </w:tr>
      <w:tr w:rsidR="004D6F51" w14:paraId="6F781AC0" w14:textId="77777777">
        <w:tc>
          <w:tcPr>
            <w:tcW w:w="3240" w:type="dxa"/>
          </w:tcPr>
          <w:p w14:paraId="1515D75E" w14:textId="77777777" w:rsidR="004D6F51" w:rsidRDefault="004D6F51" w:rsidP="0020776C">
            <w:pPr>
              <w:pStyle w:val="TableTextNumbers"/>
            </w:pPr>
            <w:r>
              <w:t xml:space="preserve">Click </w:t>
            </w:r>
            <w:r>
              <w:rPr>
                <w:b/>
              </w:rPr>
              <w:t>Yes</w:t>
            </w:r>
            <w:r>
              <w:t xml:space="preserve"> to complete the serologic crossmatch.</w:t>
            </w:r>
          </w:p>
          <w:p w14:paraId="01F3EAEC" w14:textId="77777777" w:rsidR="004D6F51" w:rsidRDefault="004D6F51" w:rsidP="0020776C">
            <w:pPr>
              <w:pStyle w:val="TableTextNumbers"/>
              <w:numPr>
                <w:ilvl w:val="0"/>
                <w:numId w:val="0"/>
              </w:numPr>
              <w:ind w:left="288" w:hanging="288"/>
            </w:pPr>
          </w:p>
          <w:p w14:paraId="058814F0" w14:textId="77777777" w:rsidR="004D6F51" w:rsidRPr="005457F3" w:rsidRDefault="004D6F51" w:rsidP="0020776C">
            <w:pPr>
              <w:pStyle w:val="TableTextNumbersContinued"/>
            </w:pPr>
            <w:r>
              <w:t xml:space="preserve">Click </w:t>
            </w:r>
            <w:r>
              <w:rPr>
                <w:b/>
              </w:rPr>
              <w:t>No</w:t>
            </w:r>
            <w:r>
              <w:t xml:space="preserve"> to return to the VBECS desktop.</w:t>
            </w:r>
          </w:p>
        </w:tc>
        <w:tc>
          <w:tcPr>
            <w:tcW w:w="6120" w:type="dxa"/>
          </w:tcPr>
          <w:p w14:paraId="5097ED51" w14:textId="77777777" w:rsidR="004D6F51" w:rsidRDefault="009B4224" w:rsidP="0020776C">
            <w:pPr>
              <w:pStyle w:val="TableTextBullet"/>
            </w:pPr>
            <w:r>
              <w:t>Allows the user to enter results in the Serologic Crossmatch (XM) cells in the patient testing grid.</w:t>
            </w:r>
          </w:p>
        </w:tc>
      </w:tr>
      <w:tr w:rsidR="002A21AE" w14:paraId="0D078998" w14:textId="77777777">
        <w:tc>
          <w:tcPr>
            <w:tcW w:w="3240" w:type="dxa"/>
          </w:tcPr>
          <w:p w14:paraId="6DA71C9A" w14:textId="77777777" w:rsidR="00772C9B" w:rsidRDefault="002A21AE" w:rsidP="008D18B9">
            <w:pPr>
              <w:pStyle w:val="TableTextNumbers"/>
            </w:pPr>
            <w:r>
              <w:t xml:space="preserve">Click </w:t>
            </w:r>
            <w:r>
              <w:rPr>
                <w:b/>
              </w:rPr>
              <w:t>Add Units</w:t>
            </w:r>
            <w:r>
              <w:t xml:space="preserve"> to add units to the component orders selected.</w:t>
            </w:r>
          </w:p>
        </w:tc>
        <w:tc>
          <w:tcPr>
            <w:tcW w:w="6120" w:type="dxa"/>
          </w:tcPr>
          <w:p w14:paraId="3F012CAB" w14:textId="77777777" w:rsidR="002A21AE" w:rsidRDefault="002A21AE">
            <w:pPr>
              <w:pStyle w:val="TableTextBullet"/>
            </w:pPr>
            <w:r>
              <w:t>Searches the database and displays available restricted autologous and directed units that the user must select before selecting allo</w:t>
            </w:r>
            <w:r w:rsidR="000A2E5E">
              <w:t xml:space="preserve">geneic units of the same </w:t>
            </w:r>
            <w:r>
              <w:t>component class.</w:t>
            </w:r>
          </w:p>
          <w:p w14:paraId="2B1B652E" w14:textId="77777777" w:rsidR="002A21AE" w:rsidRDefault="002A21AE">
            <w:pPr>
              <w:pStyle w:val="TableTextBullet"/>
            </w:pPr>
            <w:r>
              <w:t>Displays the unit ID, product type, unit ABO/Rh, unit expiration date, specimen UID, if applicable, of units assigned to the patient in the division’s blood bank on a different specimen or order. T</w:t>
            </w:r>
            <w:r w:rsidR="000A2E5E">
              <w:t>he user may add and remove</w:t>
            </w:r>
            <w:r>
              <w:t xml:space="preserve"> the units to the current order</w:t>
            </w:r>
            <w:r w:rsidR="00B41BC2">
              <w:t xml:space="preserve"> until saved</w:t>
            </w:r>
            <w:r>
              <w:t>.</w:t>
            </w:r>
          </w:p>
          <w:p w14:paraId="55054D02" w14:textId="77777777" w:rsidR="008D18B9" w:rsidRDefault="008D18B9">
            <w:pPr>
              <w:pStyle w:val="TableTextBullet"/>
            </w:pPr>
            <w:r>
              <w:t>When eXM was configured for the facility, displays the eXM status (eligible or not eligible) for the patient.</w:t>
            </w:r>
          </w:p>
          <w:p w14:paraId="47682183" w14:textId="77777777" w:rsidR="00931B15" w:rsidRDefault="00880CE3">
            <w:pPr>
              <w:pStyle w:val="TableTextBullet"/>
            </w:pPr>
            <w:r w:rsidRPr="00880CE3">
              <w:rPr>
                <w:vanish/>
              </w:rPr>
              <w:t xml:space="preserve">BR_3.63 </w:t>
            </w:r>
            <w:r w:rsidR="000A2E5E">
              <w:t>When the component order is for “PLATELETS” or “OTHER”, the</w:t>
            </w:r>
            <w:r w:rsidR="00931B15">
              <w:t xml:space="preserve"> units with = &gt;</w:t>
            </w:r>
            <w:r w:rsidR="000A2E5E">
              <w:t xml:space="preserve"> 2 mL of RBC contamination must be presented and will display </w:t>
            </w:r>
            <w:r w:rsidR="000A2E5E" w:rsidRPr="00B41BC2">
              <w:rPr>
                <w:i/>
              </w:rPr>
              <w:t>before</w:t>
            </w:r>
            <w:r w:rsidR="000A2E5E">
              <w:t xml:space="preserve"> products with less than (&lt;) 2 mL of RBC contamination. </w:t>
            </w:r>
          </w:p>
          <w:p w14:paraId="00DA8BFD" w14:textId="77777777" w:rsidR="000A2E5E" w:rsidRDefault="000A2E5E">
            <w:pPr>
              <w:pStyle w:val="TableTextBullet"/>
            </w:pPr>
            <w:r>
              <w:t>VBECS will present</w:t>
            </w:r>
            <w:r w:rsidR="00B41BC2">
              <w:t xml:space="preserve"> all available units when the Product Type is “PLATELETS” or “OTHER” non-plasma components that have less than (&lt;) 2 mL RBC contamination.</w:t>
            </w:r>
          </w:p>
          <w:p w14:paraId="5B3923E1" w14:textId="77777777" w:rsidR="002A21AE" w:rsidRDefault="002A21AE">
            <w:pPr>
              <w:pStyle w:val="TableText"/>
            </w:pPr>
          </w:p>
          <w:p w14:paraId="3A2246B5" w14:textId="77777777" w:rsidR="002A21AE" w:rsidRDefault="00057948">
            <w:pPr>
              <w:pStyle w:val="TableText"/>
              <w:rPr>
                <w:b/>
                <w:bCs/>
                <w:szCs w:val="18"/>
              </w:rPr>
            </w:pPr>
            <w:r>
              <w:rPr>
                <w:b/>
                <w:bCs/>
                <w:noProof/>
              </w:rPr>
              <mc:AlternateContent>
                <mc:Choice Requires="wps">
                  <w:drawing>
                    <wp:anchor distT="0" distB="0" distL="114300" distR="114300" simplePos="0" relativeHeight="251525632" behindDoc="0" locked="0" layoutInCell="1" allowOverlap="1" wp14:anchorId="185B970D" wp14:editId="49D444CC">
                      <wp:simplePos x="0" y="0"/>
                      <wp:positionH relativeFrom="column">
                        <wp:posOffset>457200</wp:posOffset>
                      </wp:positionH>
                      <wp:positionV relativeFrom="paragraph">
                        <wp:posOffset>65405</wp:posOffset>
                      </wp:positionV>
                      <wp:extent cx="3200400" cy="0"/>
                      <wp:effectExtent l="9525" t="17780" r="9525" b="10795"/>
                      <wp:wrapNone/>
                      <wp:docPr id="444" name="Line 829" descr="P5411C20T5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B1E85" id="Line 829" o:spid="_x0000_s1026" alt="&quot;&quot;" style="position:absolute;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sPaAm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4FFF5622" w14:textId="77777777" w:rsidR="002A21AE" w:rsidRDefault="002A21AE">
            <w:pPr>
              <w:pStyle w:val="NotesText"/>
            </w:pPr>
          </w:p>
          <w:p w14:paraId="11984207" w14:textId="1A92BA72" w:rsidR="002A21AE" w:rsidRDefault="00896F17">
            <w:pPr>
              <w:pStyle w:val="NotesText"/>
            </w:pPr>
            <w:r w:rsidRPr="00896F17">
              <w:rPr>
                <w:rStyle w:val="BullhornChar"/>
              </w:rPr>
              <w:t></w:t>
            </w:r>
            <w:r w:rsidRPr="00C51C45">
              <w:rPr>
                <w:rFonts w:ascii="Webdings" w:hAnsi="Webdings"/>
                <w:szCs w:val="22"/>
              </w:rPr>
              <w:t></w:t>
            </w:r>
            <w:r>
              <w:rPr>
                <w:rFonts w:cs="Arial"/>
                <w:szCs w:val="22"/>
              </w:rPr>
              <w:t>See</w:t>
            </w:r>
            <w:r w:rsidR="002A21AE">
              <w:rPr>
                <w:rFonts w:cs="Arial"/>
                <w:szCs w:val="22"/>
              </w:rPr>
              <w:t xml:space="preserve"> </w:t>
            </w:r>
            <w:r w:rsidR="00590097">
              <w:rPr>
                <w:rFonts w:cs="Arial"/>
                <w:szCs w:val="22"/>
              </w:rPr>
              <w:fldChar w:fldCharType="begin" w:fldLock="1"/>
            </w:r>
            <w:r w:rsidR="00590097">
              <w:rPr>
                <w:rFonts w:cs="Arial"/>
                <w:szCs w:val="22"/>
              </w:rPr>
              <w:instrText xml:space="preserve"> REF _Ref126486057 \h </w:instrText>
            </w:r>
            <w:r w:rsidR="00590097">
              <w:rPr>
                <w:rFonts w:cs="Arial"/>
                <w:szCs w:val="22"/>
              </w:rPr>
            </w:r>
            <w:r w:rsidR="00590097">
              <w:rPr>
                <w:rFonts w:cs="Arial"/>
                <w:szCs w:val="22"/>
              </w:rPr>
              <w:fldChar w:fldCharType="separate"/>
            </w:r>
            <w:r w:rsidR="00AB304C">
              <w:t xml:space="preserve">Table </w:t>
            </w:r>
            <w:r w:rsidR="00AB304C">
              <w:rPr>
                <w:noProof/>
              </w:rPr>
              <w:t>6</w:t>
            </w:r>
            <w:r w:rsidR="00590097">
              <w:rPr>
                <w:rFonts w:cs="Arial"/>
                <w:szCs w:val="22"/>
              </w:rPr>
              <w:fldChar w:fldCharType="end"/>
            </w:r>
            <w:r w:rsidR="006E22F3">
              <w:rPr>
                <w:rFonts w:cs="Arial"/>
                <w:szCs w:val="22"/>
              </w:rPr>
              <w:t xml:space="preserve"> f</w:t>
            </w:r>
            <w:r w:rsidR="002A21AE">
              <w:rPr>
                <w:rFonts w:cs="Arial"/>
                <w:szCs w:val="22"/>
              </w:rPr>
              <w:t>or alerts that may occur during this option.</w:t>
            </w:r>
          </w:p>
          <w:p w14:paraId="1929BAB2" w14:textId="77777777" w:rsidR="002A21AE" w:rsidRDefault="002A21AE">
            <w:pPr>
              <w:pStyle w:val="NotesText"/>
            </w:pPr>
          </w:p>
          <w:p w14:paraId="70EC0252" w14:textId="77777777" w:rsidR="007A3EAF" w:rsidRPr="007A3EAF" w:rsidRDefault="007A3EAF">
            <w:pPr>
              <w:pStyle w:val="NotesText"/>
            </w:pPr>
            <w:r>
              <w:t xml:space="preserve">Units that are selectable with an override do not appear on the list of available units and must be scanned or entered by the user. </w:t>
            </w:r>
            <w:r>
              <w:rPr>
                <w:vanish/>
              </w:rPr>
              <w:t>DR 2819</w:t>
            </w:r>
          </w:p>
          <w:p w14:paraId="292204D1" w14:textId="77777777" w:rsidR="007A3EAF" w:rsidRDefault="007A3EAF">
            <w:pPr>
              <w:pStyle w:val="NotesText"/>
            </w:pPr>
          </w:p>
          <w:p w14:paraId="191F97AD" w14:textId="77777777" w:rsidR="00B41BC2" w:rsidRPr="00B41BC2" w:rsidRDefault="00B41BC2" w:rsidP="00B41BC2">
            <w:pPr>
              <w:pStyle w:val="NotesText"/>
            </w:pPr>
            <w:r w:rsidRPr="00AD0810">
              <w:rPr>
                <w:vanish/>
              </w:rPr>
              <w:t xml:space="preserve">BR_3.05 </w:t>
            </w:r>
            <w:r>
              <w:t>A patient’s historical ABO/Rh is displayed, when present. When the current specimen is not yet tested, is normally not required, or must be saved as inconclusive, a unit of blood can be selected based on the patient’s historical ABO/Rh.</w:t>
            </w:r>
          </w:p>
          <w:p w14:paraId="6C0A81D7" w14:textId="77777777" w:rsidR="00B41BC2" w:rsidRDefault="00B41BC2" w:rsidP="00B41BC2">
            <w:pPr>
              <w:pStyle w:val="TableText"/>
            </w:pPr>
          </w:p>
          <w:p w14:paraId="6A240592" w14:textId="77777777" w:rsidR="00B41BC2" w:rsidRDefault="00973AD0" w:rsidP="00B41BC2">
            <w:pPr>
              <w:pStyle w:val="NotesText"/>
            </w:pPr>
            <w:r w:rsidRPr="00973AD0">
              <w:rPr>
                <w:vanish/>
              </w:rPr>
              <w:t xml:space="preserve">BR_3.05 </w:t>
            </w:r>
            <w:r w:rsidR="00B41BC2">
              <w:t xml:space="preserve">When the patient’s historic ABO/Rh is “NR,” “inconclusive”, from database conversion, or the current specimen has an “emergency issue” order indicator present and/or the required ABO/Rh specimen testing is incomplete, the user may select components as follows, including autologous units: </w:t>
            </w:r>
          </w:p>
          <w:p w14:paraId="02F6A49C" w14:textId="77777777" w:rsidR="00B41BC2" w:rsidRDefault="00B41BC2" w:rsidP="00B41BC2">
            <w:pPr>
              <w:pStyle w:val="TableText"/>
            </w:pPr>
          </w:p>
          <w:p w14:paraId="4B159DBB" w14:textId="77777777" w:rsidR="00B41BC2" w:rsidRDefault="00B41BC2" w:rsidP="008D6E9E">
            <w:pPr>
              <w:pStyle w:val="TableText"/>
              <w:ind w:left="720"/>
            </w:pPr>
            <w:r>
              <w:t xml:space="preserve">For RBC or WB order: </w:t>
            </w:r>
          </w:p>
          <w:p w14:paraId="1750FD75" w14:textId="77777777" w:rsidR="00B41BC2" w:rsidRDefault="00B41BC2" w:rsidP="00041E00">
            <w:pPr>
              <w:pStyle w:val="TableText"/>
              <w:numPr>
                <w:ilvl w:val="0"/>
                <w:numId w:val="70"/>
              </w:numPr>
              <w:ind w:left="1440"/>
            </w:pPr>
            <w:r>
              <w:t>Group O, Rh positive or O Rh negative RBC</w:t>
            </w:r>
          </w:p>
          <w:p w14:paraId="191838EA" w14:textId="77777777" w:rsidR="00B41BC2" w:rsidRDefault="00B41BC2" w:rsidP="00041E00">
            <w:pPr>
              <w:pStyle w:val="TableText"/>
              <w:numPr>
                <w:ilvl w:val="0"/>
                <w:numId w:val="70"/>
              </w:numPr>
              <w:ind w:left="1440"/>
            </w:pPr>
            <w:r>
              <w:t>WHOLE BLOOD is not selectable</w:t>
            </w:r>
          </w:p>
          <w:p w14:paraId="514C2074" w14:textId="77777777" w:rsidR="00B41BC2" w:rsidRDefault="00B41BC2" w:rsidP="008D6E9E">
            <w:pPr>
              <w:pStyle w:val="TableText"/>
              <w:ind w:left="720"/>
            </w:pPr>
            <w:r>
              <w:t>For FFP order:</w:t>
            </w:r>
          </w:p>
          <w:p w14:paraId="7085EBDD" w14:textId="77777777" w:rsidR="00B41BC2" w:rsidRDefault="00B41BC2" w:rsidP="00041E00">
            <w:pPr>
              <w:pStyle w:val="TableText"/>
              <w:numPr>
                <w:ilvl w:val="0"/>
                <w:numId w:val="71"/>
              </w:numPr>
              <w:ind w:left="1440"/>
            </w:pPr>
            <w:r>
              <w:t>Group AB, Rh positive, Rh negative, or not specified</w:t>
            </w:r>
          </w:p>
          <w:p w14:paraId="5CB66270" w14:textId="77777777" w:rsidR="00B41BC2" w:rsidRPr="001A5BC5" w:rsidRDefault="00B41BC2" w:rsidP="008D6E9E">
            <w:pPr>
              <w:pStyle w:val="TableText"/>
              <w:tabs>
                <w:tab w:val="left" w:pos="2655"/>
              </w:tabs>
              <w:ind w:left="720"/>
            </w:pPr>
            <w:r>
              <w:t>F</w:t>
            </w:r>
            <w:r w:rsidRPr="001A5BC5">
              <w:t>or PLT order:</w:t>
            </w:r>
          </w:p>
          <w:p w14:paraId="5BEB44EB" w14:textId="77777777" w:rsidR="00B41BC2" w:rsidRPr="001A5BC5" w:rsidRDefault="00B41BC2" w:rsidP="00041E00">
            <w:pPr>
              <w:pStyle w:val="TableText"/>
              <w:numPr>
                <w:ilvl w:val="0"/>
                <w:numId w:val="72"/>
              </w:numPr>
              <w:tabs>
                <w:tab w:val="left" w:pos="696"/>
              </w:tabs>
              <w:ind w:left="1416"/>
            </w:pPr>
            <w:r w:rsidRPr="001A5BC5">
              <w:t>All units with &lt; 2 mL RBC contamination are available</w:t>
            </w:r>
          </w:p>
          <w:p w14:paraId="6BBFCA3A" w14:textId="77777777" w:rsidR="00B41BC2" w:rsidRPr="001A5BC5" w:rsidRDefault="00B41BC2" w:rsidP="00041E00">
            <w:pPr>
              <w:pStyle w:val="TableText"/>
              <w:numPr>
                <w:ilvl w:val="0"/>
                <w:numId w:val="72"/>
              </w:numPr>
              <w:tabs>
                <w:tab w:val="left" w:pos="696"/>
              </w:tabs>
              <w:ind w:left="1416"/>
            </w:pPr>
            <w:r w:rsidRPr="001A5BC5">
              <w:t xml:space="preserve">Units with </w:t>
            </w:r>
            <w:r w:rsidRPr="001A5BC5">
              <w:rPr>
                <w:u w:val="single"/>
              </w:rPr>
              <w:t>&gt;</w:t>
            </w:r>
            <w:r w:rsidRPr="001A5BC5">
              <w:t xml:space="preserve"> 2 mL RBC contamination are not available</w:t>
            </w:r>
          </w:p>
          <w:p w14:paraId="37BE11A0" w14:textId="77777777" w:rsidR="00B41BC2" w:rsidRPr="001A5BC5" w:rsidRDefault="00B41BC2" w:rsidP="008D6E9E">
            <w:pPr>
              <w:pStyle w:val="TableText"/>
              <w:tabs>
                <w:tab w:val="left" w:pos="2655"/>
              </w:tabs>
              <w:ind w:left="720"/>
            </w:pPr>
            <w:r w:rsidRPr="001A5BC5">
              <w:t>For CRYO order:</w:t>
            </w:r>
            <w:r w:rsidRPr="001A5BC5">
              <w:tab/>
            </w:r>
          </w:p>
          <w:p w14:paraId="11B6F906" w14:textId="77777777" w:rsidR="00B41BC2" w:rsidRPr="001A5BC5" w:rsidRDefault="00B41BC2" w:rsidP="00041E00">
            <w:pPr>
              <w:pStyle w:val="TableText"/>
              <w:numPr>
                <w:ilvl w:val="0"/>
                <w:numId w:val="72"/>
              </w:numPr>
              <w:tabs>
                <w:tab w:val="left" w:pos="696"/>
              </w:tabs>
              <w:ind w:left="1416"/>
            </w:pPr>
            <w:r w:rsidRPr="001A5BC5">
              <w:t>All available units are selectable.</w:t>
            </w:r>
          </w:p>
          <w:p w14:paraId="337C231D" w14:textId="77777777" w:rsidR="00B41BC2" w:rsidRPr="001A5BC5" w:rsidRDefault="00B41BC2" w:rsidP="008D6E9E">
            <w:pPr>
              <w:pStyle w:val="TableText"/>
              <w:tabs>
                <w:tab w:val="left" w:pos="2655"/>
              </w:tabs>
              <w:ind w:left="720"/>
            </w:pPr>
            <w:r w:rsidRPr="001A5BC5">
              <w:t>For OTHER order:</w:t>
            </w:r>
            <w:r w:rsidRPr="001A5BC5">
              <w:tab/>
            </w:r>
          </w:p>
          <w:p w14:paraId="3C5BD166" w14:textId="77777777" w:rsidR="00B41BC2" w:rsidRPr="001A5BC5" w:rsidRDefault="00B41BC2" w:rsidP="00041E00">
            <w:pPr>
              <w:pStyle w:val="TableText"/>
              <w:numPr>
                <w:ilvl w:val="0"/>
                <w:numId w:val="72"/>
              </w:numPr>
              <w:tabs>
                <w:tab w:val="left" w:pos="696"/>
              </w:tabs>
              <w:ind w:left="1416"/>
            </w:pPr>
            <w:r w:rsidRPr="001A5BC5">
              <w:t>All units with &lt; 2 mL RBC contamination are available</w:t>
            </w:r>
          </w:p>
          <w:p w14:paraId="297D02EF" w14:textId="77777777" w:rsidR="00B41BC2" w:rsidRPr="001A5BC5" w:rsidRDefault="00B41BC2" w:rsidP="00041E00">
            <w:pPr>
              <w:pStyle w:val="TableText"/>
              <w:numPr>
                <w:ilvl w:val="0"/>
                <w:numId w:val="72"/>
              </w:numPr>
              <w:tabs>
                <w:tab w:val="left" w:pos="696"/>
              </w:tabs>
              <w:ind w:left="1416"/>
            </w:pPr>
            <w:r w:rsidRPr="001A5BC5">
              <w:t xml:space="preserve">Units with </w:t>
            </w:r>
            <w:r w:rsidRPr="001A5BC5">
              <w:rPr>
                <w:u w:val="single"/>
              </w:rPr>
              <w:t>&gt;</w:t>
            </w:r>
            <w:r w:rsidRPr="001A5BC5">
              <w:t xml:space="preserve"> 2 mL RBC contamination are not available</w:t>
            </w:r>
          </w:p>
          <w:p w14:paraId="3BE64C3D" w14:textId="77777777" w:rsidR="002A21AE" w:rsidRDefault="002A21AE" w:rsidP="00B41BC2">
            <w:pPr>
              <w:pStyle w:val="NotesTextBullet"/>
              <w:numPr>
                <w:ilvl w:val="0"/>
                <w:numId w:val="0"/>
              </w:numPr>
            </w:pPr>
          </w:p>
        </w:tc>
      </w:tr>
      <w:tr w:rsidR="002A21AE" w14:paraId="041DFC04" w14:textId="77777777">
        <w:tc>
          <w:tcPr>
            <w:tcW w:w="3240" w:type="dxa"/>
          </w:tcPr>
          <w:p w14:paraId="75363FFE" w14:textId="77777777" w:rsidR="00234D60" w:rsidRDefault="002A21AE" w:rsidP="00234D60">
            <w:pPr>
              <w:pStyle w:val="TableTextNumbers"/>
            </w:pPr>
            <w:r>
              <w:lastRenderedPageBreak/>
              <w:t>Scan</w:t>
            </w:r>
            <w:r w:rsidR="00B97587">
              <w:t xml:space="preserve">, </w:t>
            </w:r>
            <w:r w:rsidR="00234D60">
              <w:t>enter</w:t>
            </w:r>
            <w:r>
              <w:t xml:space="preserve"> or </w:t>
            </w:r>
            <w:r w:rsidR="00234D60">
              <w:t xml:space="preserve">select </w:t>
            </w:r>
            <w:r w:rsidR="00B97587" w:rsidRPr="00905C47">
              <w:rPr>
                <w:b/>
              </w:rPr>
              <w:t>*</w:t>
            </w:r>
            <w:r>
              <w:t>allogeneic units</w:t>
            </w:r>
            <w:r w:rsidR="00234D60">
              <w:t xml:space="preserve">. Units may be selected from the </w:t>
            </w:r>
            <w:r>
              <w:t xml:space="preserve">Order Group </w:t>
            </w:r>
            <w:r w:rsidR="0006424F">
              <w:t xml:space="preserve">tree view </w:t>
            </w:r>
            <w:r w:rsidR="00D509C6">
              <w:t xml:space="preserve">or </w:t>
            </w:r>
            <w:r w:rsidR="00234D60">
              <w:t>by clicking</w:t>
            </w:r>
            <w:r w:rsidR="00D509C6">
              <w:t xml:space="preserve"> the </w:t>
            </w:r>
            <w:r w:rsidR="00A6373D">
              <w:rPr>
                <w:b/>
              </w:rPr>
              <w:t>find</w:t>
            </w:r>
            <w:r w:rsidR="00D509C6" w:rsidRPr="00D509C6">
              <w:rPr>
                <w:b/>
              </w:rPr>
              <w:t xml:space="preserve"> </w:t>
            </w:r>
            <w:r w:rsidR="00D509C6" w:rsidRPr="00D1100E">
              <w:t>button</w:t>
            </w:r>
            <w:r w:rsidR="0006424F">
              <w:t xml:space="preserve"> for a list of compatible units</w:t>
            </w:r>
            <w:r>
              <w:t>.</w:t>
            </w:r>
          </w:p>
          <w:p w14:paraId="3D41E0D2" w14:textId="77777777" w:rsidR="00234D60" w:rsidRDefault="00234D60">
            <w:pPr>
              <w:pStyle w:val="TableTextNumbersContinued"/>
              <w:rPr>
                <w:b/>
              </w:rPr>
            </w:pPr>
          </w:p>
          <w:p w14:paraId="235AA159" w14:textId="77777777" w:rsidR="002A21AE" w:rsidRDefault="00234D60">
            <w:pPr>
              <w:pStyle w:val="TableTextNumbersContinued"/>
            </w:pPr>
            <w:r w:rsidRPr="00905C47">
              <w:rPr>
                <w:b/>
              </w:rPr>
              <w:t>*</w:t>
            </w:r>
            <w:r w:rsidR="003A514F">
              <w:t xml:space="preserve"> when typing in a</w:t>
            </w:r>
            <w:r>
              <w:t xml:space="preserve"> unit ID and Product Code, use the tab key or </w:t>
            </w:r>
            <w:r w:rsidR="0006424F">
              <w:t>mouse to leave the field.</w:t>
            </w:r>
          </w:p>
          <w:p w14:paraId="66EC8AA1" w14:textId="77777777" w:rsidR="0006424F" w:rsidRDefault="0006424F">
            <w:pPr>
              <w:pStyle w:val="TableTextNumbersContinued"/>
            </w:pPr>
          </w:p>
          <w:p w14:paraId="1B8F1E47" w14:textId="77777777" w:rsidR="002A21AE" w:rsidRDefault="002A21AE">
            <w:pPr>
              <w:pStyle w:val="TableTextNumbersContinued"/>
            </w:pPr>
            <w:r>
              <w:t>Enter or select a date in the Selection Date field.</w:t>
            </w:r>
            <w:r w:rsidR="00731BFF">
              <w:t xml:space="preserve"> </w:t>
            </w:r>
            <w:r>
              <w:t>Each unit may have its own selection date and time.</w:t>
            </w:r>
          </w:p>
          <w:p w14:paraId="5C8950D3" w14:textId="77777777" w:rsidR="002A21AE" w:rsidRDefault="002A21AE">
            <w:pPr>
              <w:pStyle w:val="TableTextNumbersContinued"/>
            </w:pPr>
          </w:p>
          <w:p w14:paraId="1AEE8FFD" w14:textId="77777777" w:rsidR="002A21AE" w:rsidRDefault="002A21AE">
            <w:pPr>
              <w:pStyle w:val="TableTextNumbersContinued"/>
            </w:pPr>
            <w:r>
              <w:t xml:space="preserve">Click </w:t>
            </w:r>
            <w:r>
              <w:rPr>
                <w:b/>
              </w:rPr>
              <w:t>Add Units</w:t>
            </w:r>
            <w:r>
              <w:t xml:space="preserve"> to display the unit selection form.</w:t>
            </w:r>
          </w:p>
          <w:p w14:paraId="4D168E83" w14:textId="77777777" w:rsidR="00B97587" w:rsidRDefault="00B97587">
            <w:pPr>
              <w:pStyle w:val="TableTextNumbersContinued"/>
            </w:pPr>
          </w:p>
          <w:p w14:paraId="75661ADE" w14:textId="77777777" w:rsidR="00B97587" w:rsidRDefault="00B97587">
            <w:pPr>
              <w:pStyle w:val="TableTextNumbersContinued"/>
            </w:pPr>
          </w:p>
          <w:p w14:paraId="6921AA56" w14:textId="77777777" w:rsidR="00B97587" w:rsidRDefault="00EB00A3">
            <w:pPr>
              <w:pStyle w:val="TableTextNumbersContinued"/>
            </w:pPr>
            <w:r w:rsidRPr="00EB00A3">
              <w:rPr>
                <w:vanish/>
              </w:rPr>
              <w:t>DR 4414</w:t>
            </w:r>
          </w:p>
        </w:tc>
        <w:tc>
          <w:tcPr>
            <w:tcW w:w="6120" w:type="dxa"/>
          </w:tcPr>
          <w:p w14:paraId="4B909077" w14:textId="77777777" w:rsidR="002A21AE" w:rsidRPr="00710E7E" w:rsidRDefault="002A21AE" w:rsidP="007C4707">
            <w:pPr>
              <w:pStyle w:val="TableTextBullet"/>
            </w:pPr>
            <w:r w:rsidRPr="00710E7E">
              <w:t>Maintains a list of selected units. The user may deselect selected units.</w:t>
            </w:r>
          </w:p>
          <w:p w14:paraId="0402FC4D" w14:textId="77777777" w:rsidR="002A21AE" w:rsidRPr="00710E7E" w:rsidRDefault="002A21AE" w:rsidP="007C4707">
            <w:pPr>
              <w:pStyle w:val="TableTextBullet"/>
            </w:pPr>
            <w:r w:rsidRPr="00710E7E">
              <w:t>Evaluates the selected unit:</w:t>
            </w:r>
          </w:p>
          <w:p w14:paraId="0195CC00" w14:textId="77777777" w:rsidR="002A21AE" w:rsidRPr="007C4707" w:rsidRDefault="002A21AE" w:rsidP="007C4707">
            <w:pPr>
              <w:pStyle w:val="TableTextBullet1"/>
            </w:pPr>
            <w:r w:rsidRPr="007C4707">
              <w:t>For the ABO/Rh compatibility of each unit and warns the user.</w:t>
            </w:r>
          </w:p>
          <w:p w14:paraId="6ABFCE0D" w14:textId="77777777" w:rsidR="002A21AE" w:rsidRPr="007C4707" w:rsidRDefault="002A21AE" w:rsidP="007C4707">
            <w:pPr>
              <w:pStyle w:val="TableTextBullet1"/>
            </w:pPr>
            <w:r w:rsidRPr="007C4707">
              <w:t>Against patient Transfusion Requirements (TRs) and warns the user.</w:t>
            </w:r>
          </w:p>
          <w:p w14:paraId="5B50AF73" w14:textId="77777777" w:rsidR="002A21AE" w:rsidRPr="00710E7E" w:rsidRDefault="002A21AE" w:rsidP="007C4707">
            <w:pPr>
              <w:pStyle w:val="TableTextBullet1"/>
            </w:pPr>
            <w:r w:rsidRPr="007C4707">
              <w:t>For uni</w:t>
            </w:r>
            <w:r w:rsidRPr="00710E7E">
              <w:t>t antigen negative compatibility and warns the user.</w:t>
            </w:r>
          </w:p>
          <w:p w14:paraId="4167B534" w14:textId="77777777" w:rsidR="002A21AE" w:rsidRPr="00710E7E" w:rsidRDefault="002A21AE" w:rsidP="007C4707">
            <w:pPr>
              <w:pStyle w:val="TableTextBullet"/>
            </w:pPr>
            <w:r w:rsidRPr="00710E7E">
              <w:t>Performs additional checks that include days remaining until the unit’s expiration date, the current status, assignments to other patients, quarantine and biohazard indicators, when applied, and associated special testing.</w:t>
            </w:r>
          </w:p>
          <w:p w14:paraId="429F7158" w14:textId="77777777" w:rsidR="002A21AE" w:rsidRPr="00710E7E" w:rsidRDefault="002A21AE">
            <w:pPr>
              <w:pStyle w:val="TableText"/>
              <w:rPr>
                <w:i/>
              </w:rPr>
            </w:pPr>
          </w:p>
          <w:p w14:paraId="79CC148F" w14:textId="77777777" w:rsidR="002A21AE" w:rsidRPr="00710E7E" w:rsidRDefault="00057948">
            <w:pPr>
              <w:pStyle w:val="TableText"/>
              <w:rPr>
                <w:b/>
                <w:bCs/>
                <w:i/>
                <w:szCs w:val="18"/>
              </w:rPr>
            </w:pPr>
            <w:r>
              <w:rPr>
                <w:b/>
                <w:bCs/>
                <w:i/>
                <w:noProof/>
              </w:rPr>
              <mc:AlternateContent>
                <mc:Choice Requires="wps">
                  <w:drawing>
                    <wp:anchor distT="0" distB="0" distL="114300" distR="114300" simplePos="0" relativeHeight="251528704" behindDoc="0" locked="0" layoutInCell="1" allowOverlap="1" wp14:anchorId="03C86F32" wp14:editId="6F603154">
                      <wp:simplePos x="0" y="0"/>
                      <wp:positionH relativeFrom="column">
                        <wp:posOffset>457200</wp:posOffset>
                      </wp:positionH>
                      <wp:positionV relativeFrom="paragraph">
                        <wp:posOffset>65405</wp:posOffset>
                      </wp:positionV>
                      <wp:extent cx="3200400" cy="0"/>
                      <wp:effectExtent l="9525" t="17780" r="9525" b="10795"/>
                      <wp:wrapNone/>
                      <wp:docPr id="443" name="Line 830" descr="P5453C22T5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BCC64" id="Line 830" o:spid="_x0000_s1026" alt="&quot;&quot;" style="position:absolute;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MqVwUHEAQAAbgMAAA4AAAAAAAAAAAAAAAAA&#10;LgIAAGRycy9lMm9Eb2MueG1sUEsBAi0AFAAGAAgAAAAhABdPMBLbAAAACAEAAA8AAAAAAAAAAAAA&#10;AAAAHgQAAGRycy9kb3ducmV2LnhtbFBLBQYAAAAABAAEAPMAAAAmBQAAAAA=&#10;" strokeweight="1.5pt"/>
                  </w:pict>
                </mc:Fallback>
              </mc:AlternateContent>
            </w:r>
            <w:r w:rsidR="002A21AE" w:rsidRPr="00710E7E">
              <w:rPr>
                <w:b/>
                <w:bCs/>
                <w:i/>
                <w:szCs w:val="18"/>
              </w:rPr>
              <w:t>NOTES</w:t>
            </w:r>
          </w:p>
          <w:p w14:paraId="253D98C1" w14:textId="77777777" w:rsidR="002A21AE" w:rsidRPr="00710E7E" w:rsidRDefault="002A21AE">
            <w:pPr>
              <w:pStyle w:val="NotesText"/>
              <w:rPr>
                <w:i/>
              </w:rPr>
            </w:pPr>
          </w:p>
          <w:p w14:paraId="4719DFAE" w14:textId="2901F52B" w:rsidR="002A21AE" w:rsidRPr="00710E7E" w:rsidRDefault="00896F17">
            <w:pPr>
              <w:pStyle w:val="NotesText"/>
              <w:rPr>
                <w:i/>
              </w:rPr>
            </w:pPr>
            <w:r w:rsidRPr="00D612C6">
              <w:rPr>
                <w:rStyle w:val="BullhornChar"/>
              </w:rPr>
              <w:t></w:t>
            </w:r>
            <w:r w:rsidRPr="00710E7E">
              <w:rPr>
                <w:rFonts w:ascii="Webdings" w:hAnsi="Webdings"/>
                <w:i/>
                <w:szCs w:val="22"/>
              </w:rPr>
              <w:t></w:t>
            </w:r>
            <w:r w:rsidRPr="007C4707">
              <w:t>See</w:t>
            </w:r>
            <w:r w:rsidR="002A21AE" w:rsidRPr="007C4707">
              <w:t xml:space="preserve"> </w:t>
            </w:r>
            <w:r w:rsidR="00590097" w:rsidRPr="007C4707">
              <w:fldChar w:fldCharType="begin" w:fldLock="1"/>
            </w:r>
            <w:r w:rsidR="00590097" w:rsidRPr="007C4707">
              <w:instrText xml:space="preserve"> REF _Ref126486057 \h </w:instrText>
            </w:r>
            <w:r w:rsidR="00710E7E" w:rsidRPr="007C4707">
              <w:instrText xml:space="preserve">issue bloo \* MERGEFORMAT </w:instrText>
            </w:r>
            <w:r w:rsidR="00590097" w:rsidRPr="007C4707">
              <w:fldChar w:fldCharType="separate"/>
            </w:r>
            <w:r w:rsidR="00AB304C">
              <w:t>Table 6</w:t>
            </w:r>
            <w:r w:rsidR="00590097" w:rsidRPr="007C4707">
              <w:fldChar w:fldCharType="end"/>
            </w:r>
            <w:r w:rsidR="002A21AE" w:rsidRPr="007C4707">
              <w:t xml:space="preserve"> for alerts that may occur during this option.</w:t>
            </w:r>
          </w:p>
          <w:p w14:paraId="46A6FF8F" w14:textId="77777777" w:rsidR="002A21AE" w:rsidRPr="00710E7E" w:rsidRDefault="002A21AE">
            <w:pPr>
              <w:pStyle w:val="NotesText"/>
              <w:rPr>
                <w:i/>
              </w:rPr>
            </w:pPr>
          </w:p>
          <w:p w14:paraId="0FA6F9A1" w14:textId="77777777" w:rsidR="002A21AE" w:rsidRPr="00710E7E" w:rsidRDefault="00AC6F94">
            <w:pPr>
              <w:pStyle w:val="NotesText"/>
              <w:rPr>
                <w:i/>
              </w:rPr>
            </w:pPr>
            <w:r w:rsidRPr="00710E7E">
              <w:rPr>
                <w:i/>
              </w:rPr>
              <w:t>When the user selects a unit in the tree view, he</w:t>
            </w:r>
            <w:r w:rsidR="002A21AE" w:rsidRPr="00710E7E">
              <w:rPr>
                <w:i/>
              </w:rPr>
              <w:t xml:space="preserve"> may accept or edit the current date and time displayed; the date and time must be in the past. </w:t>
            </w:r>
          </w:p>
          <w:p w14:paraId="13C33F73" w14:textId="77777777" w:rsidR="002A21AE" w:rsidRPr="00710E7E" w:rsidRDefault="002A21AE">
            <w:pPr>
              <w:pStyle w:val="NotesText"/>
              <w:rPr>
                <w:i/>
              </w:rPr>
            </w:pPr>
          </w:p>
          <w:p w14:paraId="4465EDD4" w14:textId="77777777" w:rsidR="002A21AE" w:rsidRPr="007C4707" w:rsidRDefault="002A21AE">
            <w:pPr>
              <w:pStyle w:val="NotesText"/>
            </w:pPr>
            <w:r w:rsidRPr="007C4707">
              <w:rPr>
                <w:rFonts w:cs="Arial"/>
                <w:vanish/>
                <w:szCs w:val="18"/>
              </w:rPr>
              <w:t>BR_3.25</w:t>
            </w:r>
            <w:r w:rsidR="00CE3961" w:rsidRPr="007C4707">
              <w:rPr>
                <w:rFonts w:cs="Arial"/>
                <w:vanish/>
                <w:szCs w:val="18"/>
              </w:rPr>
              <w:t>,</w:t>
            </w:r>
            <w:r w:rsidRPr="007C4707">
              <w:rPr>
                <w:rFonts w:cs="Arial"/>
                <w:vanish/>
                <w:szCs w:val="18"/>
              </w:rPr>
              <w:t xml:space="preserve"> </w:t>
            </w:r>
            <w:r w:rsidRPr="007C4707">
              <w:rPr>
                <w:vanish/>
                <w:szCs w:val="18"/>
              </w:rPr>
              <w:t xml:space="preserve">BR_16.13 </w:t>
            </w:r>
            <w:r w:rsidRPr="007C4707">
              <w:t>Restricted (autologous or directed) unit selection eligibility criteria:</w:t>
            </w:r>
          </w:p>
          <w:p w14:paraId="1561A9B2" w14:textId="77777777" w:rsidR="002A21AE" w:rsidRPr="007C4707" w:rsidRDefault="002A21AE">
            <w:pPr>
              <w:pStyle w:val="NotesTextBullet"/>
            </w:pPr>
            <w:r w:rsidRPr="007C4707">
              <w:t>Restricted For Patient ID: must match</w:t>
            </w:r>
          </w:p>
          <w:p w14:paraId="5EB7D6AC" w14:textId="77777777" w:rsidR="002A21AE" w:rsidRPr="007C4707" w:rsidRDefault="002A21AE">
            <w:pPr>
              <w:pStyle w:val="NotesTextBullet"/>
            </w:pPr>
            <w:r w:rsidRPr="007C4707">
              <w:t>Restricted For Patient Name: must match</w:t>
            </w:r>
          </w:p>
          <w:p w14:paraId="4DB3697D" w14:textId="77777777" w:rsidR="002A21AE" w:rsidRPr="007C4707" w:rsidRDefault="002A21AE">
            <w:pPr>
              <w:pStyle w:val="NotesTextBullet"/>
            </w:pPr>
            <w:r w:rsidRPr="007C4707">
              <w:lastRenderedPageBreak/>
              <w:t xml:space="preserve">Unit expiration date must be in the future. </w:t>
            </w:r>
          </w:p>
          <w:p w14:paraId="76E2B48D" w14:textId="77777777" w:rsidR="002A21AE" w:rsidRPr="007C4707" w:rsidRDefault="002A21AE">
            <w:pPr>
              <w:pStyle w:val="NotesTextBullet"/>
            </w:pPr>
            <w:r w:rsidRPr="007C4707">
              <w:t>Component class (transfusion only requires restriction of all units)</w:t>
            </w:r>
          </w:p>
          <w:p w14:paraId="723584BF" w14:textId="77777777" w:rsidR="002A21AE" w:rsidRPr="007C4707" w:rsidRDefault="002A21AE">
            <w:pPr>
              <w:pStyle w:val="NotesTextBullet"/>
              <w:numPr>
                <w:ilvl w:val="0"/>
                <w:numId w:val="0"/>
              </w:numPr>
              <w:ind w:left="720"/>
            </w:pPr>
          </w:p>
          <w:p w14:paraId="0A329996" w14:textId="77777777" w:rsidR="002A21AE" w:rsidRPr="007C4707" w:rsidRDefault="002A21AE">
            <w:pPr>
              <w:pStyle w:val="NotesText"/>
            </w:pPr>
            <w:r w:rsidRPr="007C4707">
              <w:rPr>
                <w:rFonts w:cs="Arial"/>
                <w:vanish/>
              </w:rPr>
              <w:t xml:space="preserve">BR_3.19 </w:t>
            </w:r>
            <w:r w:rsidRPr="007C4707">
              <w:t>The criteria for selecting or including an individual unit in a pick list include evaluating a unit for:</w:t>
            </w:r>
          </w:p>
          <w:p w14:paraId="523ACF41" w14:textId="77777777" w:rsidR="002A21AE" w:rsidRPr="007C4707" w:rsidRDefault="002A21AE">
            <w:pPr>
              <w:pStyle w:val="NotesTextBullet"/>
            </w:pPr>
            <w:r w:rsidRPr="007C4707">
              <w:t>Considered substitutable for the order</w:t>
            </w:r>
          </w:p>
          <w:p w14:paraId="352DE08F" w14:textId="77777777" w:rsidR="002A21AE" w:rsidRPr="007C4707" w:rsidRDefault="002A21AE">
            <w:pPr>
              <w:pStyle w:val="NotesTextBullet"/>
            </w:pPr>
            <w:r w:rsidRPr="007C4707">
              <w:t>Same division as the user</w:t>
            </w:r>
          </w:p>
          <w:p w14:paraId="3C0C8FA9" w14:textId="77777777" w:rsidR="002A21AE" w:rsidRPr="007C4707" w:rsidRDefault="002A21AE">
            <w:pPr>
              <w:pStyle w:val="NotesTextBullet"/>
            </w:pPr>
            <w:r w:rsidRPr="007C4707">
              <w:t xml:space="preserve">Current location is in the blood bank </w:t>
            </w:r>
          </w:p>
          <w:p w14:paraId="48F02BB3" w14:textId="77777777" w:rsidR="002A21AE" w:rsidRPr="007C4707" w:rsidRDefault="002A21AE">
            <w:pPr>
              <w:pStyle w:val="NotesTextBullet"/>
            </w:pPr>
            <w:r w:rsidRPr="007C4707">
              <w:t>Has no quarantine indicator</w:t>
            </w:r>
          </w:p>
          <w:p w14:paraId="40C93BAF" w14:textId="77777777" w:rsidR="002A21AE" w:rsidRPr="007C4707" w:rsidRDefault="002A21AE">
            <w:pPr>
              <w:pStyle w:val="NotesTextBullet"/>
            </w:pPr>
            <w:r w:rsidRPr="007C4707">
              <w:t>Is not already assigned or crossmatched to the patient</w:t>
            </w:r>
          </w:p>
          <w:p w14:paraId="03037142" w14:textId="77777777" w:rsidR="002A21AE" w:rsidRPr="007C4707" w:rsidRDefault="002A21AE">
            <w:pPr>
              <w:pStyle w:val="NotesTextBullet"/>
            </w:pPr>
            <w:r w:rsidRPr="007C4707">
              <w:t>Is not “restricted” for a different patient</w:t>
            </w:r>
          </w:p>
          <w:p w14:paraId="361CABCC" w14:textId="77777777" w:rsidR="002A21AE" w:rsidRPr="007C4707" w:rsidRDefault="002A21AE">
            <w:pPr>
              <w:pStyle w:val="NotesTextBullet"/>
            </w:pPr>
            <w:r w:rsidRPr="007C4707">
              <w:t xml:space="preserve">Meets ABO/Rh compatibility requirements specific to the component class </w:t>
            </w:r>
          </w:p>
          <w:p w14:paraId="04F77B25" w14:textId="77777777" w:rsidR="002A21AE" w:rsidRPr="007C4707" w:rsidRDefault="002A21AE">
            <w:pPr>
              <w:pStyle w:val="NotesTextBullet"/>
            </w:pPr>
            <w:r w:rsidRPr="007C4707">
              <w:t>Future expiration date</w:t>
            </w:r>
          </w:p>
          <w:p w14:paraId="253BF03E" w14:textId="77777777" w:rsidR="002A21AE" w:rsidRPr="007C4707" w:rsidRDefault="002A21AE">
            <w:pPr>
              <w:pStyle w:val="NotesText"/>
            </w:pPr>
          </w:p>
          <w:p w14:paraId="077C3E0A" w14:textId="77777777" w:rsidR="002A21AE" w:rsidRDefault="002A21AE">
            <w:pPr>
              <w:pStyle w:val="NotesText"/>
              <w:rPr>
                <w:vanish/>
              </w:rPr>
            </w:pPr>
            <w:r w:rsidRPr="007C4707">
              <w:rPr>
                <w:rFonts w:cs="Arial"/>
                <w:vanish/>
              </w:rPr>
              <w:t xml:space="preserve">BR_3.04 </w:t>
            </w:r>
            <w:r w:rsidR="00332E10">
              <w:t xml:space="preserve">VBECS lists only ABO and </w:t>
            </w:r>
            <w:r w:rsidRPr="007C4707">
              <w:t>Rh compatible units for selection.</w:t>
            </w:r>
            <w:r w:rsidR="00EB00A3">
              <w:t xml:space="preserve"> </w:t>
            </w:r>
            <w:r w:rsidR="00973AD0">
              <w:t xml:space="preserve">The “select units” utility creates a system-generated pick list that is sorted and displayed using the following criteria: first, ABO/Rh identical, then expiration date (oldest units first); then, ABO/Rh compatible. </w:t>
            </w:r>
            <w:r w:rsidR="00EB00A3" w:rsidRPr="00EB00A3">
              <w:rPr>
                <w:vanish/>
              </w:rPr>
              <w:t>DR 4414</w:t>
            </w:r>
          </w:p>
          <w:p w14:paraId="4464ABFF" w14:textId="77777777" w:rsidR="0068309D" w:rsidRDefault="0068309D">
            <w:pPr>
              <w:pStyle w:val="NotesText"/>
              <w:rPr>
                <w:i/>
              </w:rPr>
            </w:pPr>
          </w:p>
          <w:p w14:paraId="65272F79" w14:textId="77777777" w:rsidR="0068309D" w:rsidRDefault="0068309D">
            <w:pPr>
              <w:pStyle w:val="NotesText"/>
              <w:rPr>
                <w:i/>
              </w:rPr>
            </w:pPr>
          </w:p>
          <w:p w14:paraId="2B552CFE" w14:textId="77777777" w:rsidR="0068309D" w:rsidRDefault="000150E9">
            <w:pPr>
              <w:pStyle w:val="NotesText"/>
            </w:pPr>
            <w:r w:rsidRPr="000150E9">
              <w:rPr>
                <w:vanish/>
              </w:rPr>
              <w:t xml:space="preserve">BR_3.04 </w:t>
            </w:r>
            <w:r w:rsidR="0068309D" w:rsidRPr="0068309D">
              <w:t>Th</w:t>
            </w:r>
            <w:r w:rsidR="005246E0">
              <w:t>e p</w:t>
            </w:r>
            <w:r w:rsidR="0068309D" w:rsidRPr="0068309D">
              <w:t xml:space="preserve">ick list </w:t>
            </w:r>
            <w:r>
              <w:t>or individually selected unit field display includes:</w:t>
            </w:r>
          </w:p>
          <w:p w14:paraId="7DABE5A9" w14:textId="77777777" w:rsidR="0068309D" w:rsidRDefault="000A70BE" w:rsidP="0068309D">
            <w:pPr>
              <w:pStyle w:val="NotesTextBullet"/>
            </w:pPr>
            <w:r>
              <w:t>Unit ID</w:t>
            </w:r>
          </w:p>
          <w:p w14:paraId="469678FC" w14:textId="77777777" w:rsidR="000A70BE" w:rsidRDefault="000A70BE" w:rsidP="0068309D">
            <w:pPr>
              <w:pStyle w:val="NotesTextBullet"/>
            </w:pPr>
            <w:r>
              <w:t>Product Short Name</w:t>
            </w:r>
          </w:p>
          <w:p w14:paraId="15AC274D" w14:textId="77777777" w:rsidR="000A70BE" w:rsidRDefault="000A70BE" w:rsidP="0068309D">
            <w:pPr>
              <w:pStyle w:val="NotesTextBullet"/>
            </w:pPr>
            <w:r>
              <w:t>ABO/Rh</w:t>
            </w:r>
          </w:p>
          <w:p w14:paraId="086C80F4" w14:textId="77777777" w:rsidR="000A70BE" w:rsidRDefault="000A70BE" w:rsidP="0068309D">
            <w:pPr>
              <w:pStyle w:val="NotesTextBullet"/>
            </w:pPr>
            <w:r>
              <w:t>Expiration Date</w:t>
            </w:r>
          </w:p>
          <w:p w14:paraId="459BCB29" w14:textId="77777777" w:rsidR="000A70BE" w:rsidRDefault="000A70BE" w:rsidP="0068309D">
            <w:pPr>
              <w:pStyle w:val="NotesTextBullet"/>
            </w:pPr>
            <w:r>
              <w:t>Unit Status</w:t>
            </w:r>
          </w:p>
          <w:p w14:paraId="04CDB86B" w14:textId="77777777" w:rsidR="000A70BE" w:rsidRDefault="000A70BE" w:rsidP="0068309D">
            <w:pPr>
              <w:pStyle w:val="NotesTextBullet"/>
            </w:pPr>
            <w:r>
              <w:t>Donation Type</w:t>
            </w:r>
          </w:p>
          <w:p w14:paraId="63289026" w14:textId="77777777" w:rsidR="0068309D" w:rsidRDefault="0064284B" w:rsidP="0064284B">
            <w:pPr>
              <w:pStyle w:val="NotesTextBullet"/>
            </w:pPr>
            <w:r>
              <w:t>Restricted for Patient Name and ID</w:t>
            </w:r>
          </w:p>
          <w:p w14:paraId="262EF33F" w14:textId="77777777" w:rsidR="0064284B" w:rsidRDefault="0064284B" w:rsidP="0064284B">
            <w:pPr>
              <w:pStyle w:val="NotesTextBullet"/>
            </w:pPr>
            <w:r>
              <w:t>Patient Assigned (if unit assigned to other patient but with location of blood bank)</w:t>
            </w:r>
          </w:p>
          <w:p w14:paraId="723691DF" w14:textId="77777777" w:rsidR="0064284B" w:rsidRDefault="0064284B" w:rsidP="0064284B">
            <w:pPr>
              <w:pStyle w:val="NotesTextBullet"/>
            </w:pPr>
            <w:r>
              <w:t>Antigen Type Results (if available)</w:t>
            </w:r>
          </w:p>
          <w:p w14:paraId="32871DFC" w14:textId="77777777" w:rsidR="002A21AE" w:rsidRPr="00710E7E" w:rsidRDefault="002A21AE">
            <w:pPr>
              <w:pStyle w:val="NotesText"/>
              <w:rPr>
                <w:i/>
              </w:rPr>
            </w:pPr>
          </w:p>
          <w:p w14:paraId="04961DB3" w14:textId="77777777" w:rsidR="002A21AE" w:rsidRPr="007C4707" w:rsidRDefault="002A21AE">
            <w:pPr>
              <w:pStyle w:val="NotesText"/>
            </w:pPr>
            <w:r w:rsidRPr="00166C27">
              <w:rPr>
                <w:rFonts w:cs="Arial"/>
                <w:vanish/>
              </w:rPr>
              <w:t xml:space="preserve">BR_3.11 </w:t>
            </w:r>
            <w:r w:rsidRPr="00166C27">
              <w:t>When ABO/Rh results were not created for the specimen associated with the component order and the order is not designated</w:t>
            </w:r>
            <w:r w:rsidRPr="007C4707">
              <w:t xml:space="preserve"> “emergency issue,” VBECS allows the user to select units using historic records, and notifies the user that ABO/Rh testing must be performed at this division on this patient before any selected units can be issued.</w:t>
            </w:r>
          </w:p>
          <w:p w14:paraId="0DFE04A4" w14:textId="77777777" w:rsidR="002A21AE" w:rsidRPr="007C4707" w:rsidRDefault="002A21AE">
            <w:pPr>
              <w:pStyle w:val="NotesText"/>
            </w:pPr>
          </w:p>
          <w:p w14:paraId="6504CC49" w14:textId="77777777" w:rsidR="002A21AE" w:rsidRPr="00710E7E" w:rsidRDefault="002A21AE">
            <w:pPr>
              <w:pStyle w:val="NotesText"/>
              <w:rPr>
                <w:i/>
              </w:rPr>
            </w:pPr>
            <w:r w:rsidRPr="007C4707">
              <w:rPr>
                <w:rFonts w:cs="Arial"/>
                <w:vanish/>
              </w:rPr>
              <w:t xml:space="preserve">BR_3.55 </w:t>
            </w:r>
            <w:r w:rsidRPr="007C4707">
              <w:t>VBECS displays and allows the user to complete a pending XM associated with a patient order without a final unit status.</w:t>
            </w:r>
          </w:p>
        </w:tc>
      </w:tr>
      <w:tr w:rsidR="002A21AE" w14:paraId="112CADBC" w14:textId="77777777">
        <w:tc>
          <w:tcPr>
            <w:tcW w:w="3240" w:type="dxa"/>
          </w:tcPr>
          <w:p w14:paraId="0D59E3B9" w14:textId="77777777" w:rsidR="002A21AE" w:rsidRDefault="002A21AE" w:rsidP="001F6038">
            <w:pPr>
              <w:pStyle w:val="TableTextNumbers"/>
            </w:pPr>
            <w:r>
              <w:lastRenderedPageBreak/>
              <w:t xml:space="preserve">Repeat Step </w:t>
            </w:r>
            <w:r w:rsidR="001F6038">
              <w:t>10</w:t>
            </w:r>
            <w:r>
              <w:t xml:space="preserve"> until all units are selected.</w:t>
            </w:r>
            <w:r w:rsidR="00EB00A3">
              <w:t xml:space="preserve"> </w:t>
            </w:r>
            <w:r w:rsidR="00EB00A3" w:rsidRPr="00EB00A3">
              <w:rPr>
                <w:vanish/>
              </w:rPr>
              <w:t>DR 4414</w:t>
            </w:r>
          </w:p>
        </w:tc>
        <w:tc>
          <w:tcPr>
            <w:tcW w:w="6120" w:type="dxa"/>
          </w:tcPr>
          <w:p w14:paraId="4C81E182" w14:textId="77777777" w:rsidR="002A21AE" w:rsidRDefault="002A21AE">
            <w:pPr>
              <w:pStyle w:val="TableTextBullet"/>
            </w:pPr>
            <w:r>
              <w:t>Requests the user to confirm the list of selected blood units.</w:t>
            </w:r>
          </w:p>
          <w:p w14:paraId="2DB525FF" w14:textId="77777777" w:rsidR="002A21AE" w:rsidRDefault="002A21AE">
            <w:pPr>
              <w:pStyle w:val="TableText"/>
            </w:pPr>
          </w:p>
          <w:p w14:paraId="197F8573" w14:textId="77777777" w:rsidR="002A21AE" w:rsidRDefault="00057948">
            <w:pPr>
              <w:pStyle w:val="TableText"/>
              <w:rPr>
                <w:b/>
                <w:bCs/>
                <w:szCs w:val="18"/>
              </w:rPr>
            </w:pPr>
            <w:r>
              <w:rPr>
                <w:b/>
                <w:bCs/>
                <w:noProof/>
              </w:rPr>
              <mc:AlternateContent>
                <mc:Choice Requires="wps">
                  <w:drawing>
                    <wp:anchor distT="0" distB="0" distL="114300" distR="114300" simplePos="0" relativeHeight="251534848" behindDoc="0" locked="0" layoutInCell="1" allowOverlap="1" wp14:anchorId="321C4FE2" wp14:editId="585160F2">
                      <wp:simplePos x="0" y="0"/>
                      <wp:positionH relativeFrom="column">
                        <wp:posOffset>457200</wp:posOffset>
                      </wp:positionH>
                      <wp:positionV relativeFrom="paragraph">
                        <wp:posOffset>65405</wp:posOffset>
                      </wp:positionV>
                      <wp:extent cx="3200400" cy="0"/>
                      <wp:effectExtent l="9525" t="17780" r="9525" b="10795"/>
                      <wp:wrapNone/>
                      <wp:docPr id="442" name="Line 832" descr="P5495C24T5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86770" id="Line 832" o:spid="_x0000_s1026" alt="&quot;&quot;" style="position:absolute;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KL/9l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4C2F5023" w14:textId="77777777" w:rsidR="002A21AE" w:rsidRDefault="002A21AE">
            <w:pPr>
              <w:pStyle w:val="NotesText"/>
            </w:pPr>
          </w:p>
          <w:p w14:paraId="4E2233DE" w14:textId="77777777" w:rsidR="002A21AE" w:rsidRDefault="002A21AE">
            <w:pPr>
              <w:pStyle w:val="NotesText"/>
            </w:pPr>
            <w:r>
              <w:t>The user may select or deselect additional units.</w:t>
            </w:r>
          </w:p>
        </w:tc>
      </w:tr>
      <w:tr w:rsidR="002A21AE" w14:paraId="5F5A8C1D" w14:textId="77777777" w:rsidTr="001A459B">
        <w:trPr>
          <w:cantSplit/>
        </w:trPr>
        <w:tc>
          <w:tcPr>
            <w:tcW w:w="3240" w:type="dxa"/>
          </w:tcPr>
          <w:p w14:paraId="7A11AFDA" w14:textId="77777777" w:rsidR="002A21AE" w:rsidRDefault="002A21AE">
            <w:pPr>
              <w:pStyle w:val="TableTextNumbers"/>
            </w:pPr>
            <w:r>
              <w:lastRenderedPageBreak/>
              <w:t xml:space="preserve">Click </w:t>
            </w:r>
            <w:r>
              <w:rPr>
                <w:b/>
              </w:rPr>
              <w:t>OK</w:t>
            </w:r>
            <w:r>
              <w:t xml:space="preserve"> to confirm the selection of units.</w:t>
            </w:r>
          </w:p>
        </w:tc>
        <w:tc>
          <w:tcPr>
            <w:tcW w:w="6120" w:type="dxa"/>
          </w:tcPr>
          <w:p w14:paraId="139444FF" w14:textId="77777777" w:rsidR="002A21AE" w:rsidRDefault="002A21AE">
            <w:pPr>
              <w:pStyle w:val="TableTextBullet"/>
            </w:pPr>
            <w:r>
              <w:t xml:space="preserve">Determines whether the units are available for issue or whether they require additional modification and/or testing based on the component class. </w:t>
            </w:r>
          </w:p>
          <w:p w14:paraId="3A27956C" w14:textId="77777777" w:rsidR="002A21AE" w:rsidRDefault="002A21AE">
            <w:pPr>
              <w:pStyle w:val="TableTextBullet"/>
            </w:pPr>
            <w:r>
              <w:t>Updates the database, as appropriate.</w:t>
            </w:r>
          </w:p>
          <w:p w14:paraId="1B9C1F36" w14:textId="77777777" w:rsidR="001A3140" w:rsidRDefault="001A3140" w:rsidP="001A3140">
            <w:pPr>
              <w:pStyle w:val="TableTextBullet"/>
            </w:pPr>
            <w:r>
              <w:rPr>
                <w:rFonts w:cs="Arial"/>
                <w:szCs w:val="18"/>
              </w:rPr>
              <w:t>S</w:t>
            </w:r>
            <w:r w:rsidRPr="00CA212C">
              <w:rPr>
                <w:rFonts w:cs="Arial"/>
                <w:szCs w:val="18"/>
              </w:rPr>
              <w:t>ends</w:t>
            </w:r>
            <w:r>
              <w:rPr>
                <w:rFonts w:cs="Arial"/>
                <w:szCs w:val="18"/>
              </w:rPr>
              <w:t xml:space="preserve"> </w:t>
            </w:r>
            <w:r w:rsidRPr="00CA212C">
              <w:rPr>
                <w:rFonts w:cs="Arial"/>
                <w:szCs w:val="18"/>
              </w:rPr>
              <w:t>selected blood unit</w:t>
            </w:r>
            <w:r>
              <w:rPr>
                <w:rFonts w:cs="Arial"/>
                <w:szCs w:val="18"/>
              </w:rPr>
              <w:t>s</w:t>
            </w:r>
            <w:r w:rsidRPr="00CA212C">
              <w:rPr>
                <w:rFonts w:cs="Arial"/>
                <w:szCs w:val="18"/>
              </w:rPr>
              <w:t xml:space="preserve"> with patient details to the BCE COTS system via an HL7 message</w:t>
            </w:r>
            <w:r w:rsidR="005246E0">
              <w:rPr>
                <w:rFonts w:cs="Arial"/>
                <w:szCs w:val="18"/>
              </w:rPr>
              <w:t xml:space="preserve"> when that BCE COTS is available</w:t>
            </w:r>
            <w:r>
              <w:rPr>
                <w:rFonts w:cs="Arial"/>
                <w:szCs w:val="18"/>
              </w:rPr>
              <w:t>.</w:t>
            </w:r>
          </w:p>
          <w:p w14:paraId="4F661F53" w14:textId="77777777" w:rsidR="002A21AE" w:rsidRDefault="002A21AE">
            <w:pPr>
              <w:pStyle w:val="TableText"/>
            </w:pPr>
          </w:p>
          <w:p w14:paraId="1BCCA2A6" w14:textId="77777777" w:rsidR="002A21AE" w:rsidRDefault="00057948">
            <w:pPr>
              <w:pStyle w:val="TableText"/>
              <w:rPr>
                <w:b/>
                <w:bCs/>
                <w:szCs w:val="18"/>
              </w:rPr>
            </w:pPr>
            <w:r>
              <w:rPr>
                <w:b/>
                <w:bCs/>
                <w:noProof/>
              </w:rPr>
              <mc:AlternateContent>
                <mc:Choice Requires="wps">
                  <w:drawing>
                    <wp:anchor distT="0" distB="0" distL="114300" distR="114300" simplePos="0" relativeHeight="251531776" behindDoc="0" locked="0" layoutInCell="1" allowOverlap="1" wp14:anchorId="18A71F52" wp14:editId="45010073">
                      <wp:simplePos x="0" y="0"/>
                      <wp:positionH relativeFrom="column">
                        <wp:posOffset>457200</wp:posOffset>
                      </wp:positionH>
                      <wp:positionV relativeFrom="paragraph">
                        <wp:posOffset>65405</wp:posOffset>
                      </wp:positionV>
                      <wp:extent cx="3200400" cy="0"/>
                      <wp:effectExtent l="9525" t="17780" r="9525" b="10795"/>
                      <wp:wrapNone/>
                      <wp:docPr id="441" name="Line 831" descr="P5504C26T5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4F5D5D" id="Line 831" o:spid="_x0000_s1026" alt="&quot;&quot;" style="position:absolute;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shwBL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14887893" w14:textId="5E2CA1C1" w:rsidR="002A21AE" w:rsidRPr="00F83540" w:rsidRDefault="00F83540" w:rsidP="00026F72">
            <w:pPr>
              <w:pStyle w:val="NotesText"/>
            </w:pPr>
            <w:r w:rsidRPr="00F83540">
              <w:rPr>
                <w:vanish/>
              </w:rPr>
              <w:t xml:space="preserve">BR_56.31 </w:t>
            </w:r>
            <w:r w:rsidRPr="00F83540">
              <w:t xml:space="preserve">When the </w:t>
            </w:r>
            <w:r>
              <w:t xml:space="preserve">total </w:t>
            </w:r>
            <w:r w:rsidRPr="00F83540">
              <w:t>number of blood units eligible for issue, issued</w:t>
            </w:r>
            <w:r>
              <w:t xml:space="preserve">, </w:t>
            </w:r>
            <w:r w:rsidRPr="00F83540">
              <w:t xml:space="preserve">or transfused </w:t>
            </w:r>
            <w:r>
              <w:t xml:space="preserve">is </w:t>
            </w:r>
            <w:r w:rsidRPr="00F83540">
              <w:t>greater or equal</w:t>
            </w:r>
            <w:r>
              <w:t xml:space="preserve"> to the number of ordered units, VBECS sends an order</w:t>
            </w:r>
            <w:r w:rsidRPr="00F83540">
              <w:t xml:space="preserve"> completion message to CPRS.</w:t>
            </w:r>
          </w:p>
          <w:p w14:paraId="528650B4" w14:textId="77777777" w:rsidR="00F83540" w:rsidRDefault="00F83540">
            <w:pPr>
              <w:pStyle w:val="NotesText"/>
            </w:pPr>
          </w:p>
          <w:p w14:paraId="05D2F72A" w14:textId="024EA64F" w:rsidR="002A21AE" w:rsidRDefault="00896F17">
            <w:pPr>
              <w:pStyle w:val="NotesText"/>
              <w:rPr>
                <w:rFonts w:cs="Arial"/>
                <w:szCs w:val="22"/>
              </w:rPr>
            </w:pPr>
            <w:r w:rsidRPr="00896F17">
              <w:rPr>
                <w:rStyle w:val="BullhornChar"/>
              </w:rPr>
              <w:t></w:t>
            </w:r>
            <w:r w:rsidRPr="00C51C45">
              <w:rPr>
                <w:rFonts w:ascii="Webdings" w:hAnsi="Webdings"/>
                <w:szCs w:val="22"/>
              </w:rPr>
              <w:t></w:t>
            </w:r>
            <w:r>
              <w:rPr>
                <w:rFonts w:cs="Arial"/>
                <w:szCs w:val="22"/>
              </w:rPr>
              <w:t>See</w:t>
            </w:r>
            <w:r w:rsidR="002A21AE">
              <w:rPr>
                <w:rFonts w:cs="Arial"/>
                <w:szCs w:val="22"/>
              </w:rPr>
              <w:t xml:space="preserve"> </w:t>
            </w:r>
            <w:r w:rsidR="00590097">
              <w:rPr>
                <w:rFonts w:cs="Arial"/>
                <w:szCs w:val="22"/>
              </w:rPr>
              <w:fldChar w:fldCharType="begin" w:fldLock="1"/>
            </w:r>
            <w:r w:rsidR="00590097">
              <w:rPr>
                <w:rFonts w:cs="Arial"/>
                <w:szCs w:val="22"/>
              </w:rPr>
              <w:instrText xml:space="preserve"> REF _Ref126486057 \h </w:instrText>
            </w:r>
            <w:r w:rsidR="00590097">
              <w:rPr>
                <w:rFonts w:cs="Arial"/>
                <w:szCs w:val="22"/>
              </w:rPr>
            </w:r>
            <w:r w:rsidR="00590097">
              <w:rPr>
                <w:rFonts w:cs="Arial"/>
                <w:szCs w:val="22"/>
              </w:rPr>
              <w:fldChar w:fldCharType="separate"/>
            </w:r>
            <w:r w:rsidR="00AB304C">
              <w:t xml:space="preserve">Table </w:t>
            </w:r>
            <w:r w:rsidR="00AB304C">
              <w:rPr>
                <w:noProof/>
              </w:rPr>
              <w:t>6</w:t>
            </w:r>
            <w:r w:rsidR="00590097">
              <w:rPr>
                <w:rFonts w:cs="Arial"/>
                <w:szCs w:val="22"/>
              </w:rPr>
              <w:fldChar w:fldCharType="end"/>
            </w:r>
            <w:r w:rsidR="002A21AE">
              <w:rPr>
                <w:rFonts w:cs="Arial"/>
                <w:szCs w:val="22"/>
              </w:rPr>
              <w:t xml:space="preserve"> for alerts that may occur during this option.</w:t>
            </w:r>
          </w:p>
          <w:p w14:paraId="0960BDB5" w14:textId="77777777" w:rsidR="002A21AE" w:rsidRDefault="002A21AE" w:rsidP="001F303C">
            <w:pPr>
              <w:pStyle w:val="NotesText"/>
              <w:ind w:left="0"/>
            </w:pPr>
          </w:p>
        </w:tc>
      </w:tr>
      <w:tr w:rsidR="002A21AE" w14:paraId="47D32BBD" w14:textId="77777777">
        <w:tc>
          <w:tcPr>
            <w:tcW w:w="3240" w:type="dxa"/>
          </w:tcPr>
          <w:p w14:paraId="2FBE19B1" w14:textId="77777777" w:rsidR="002A21AE" w:rsidRDefault="002A21AE">
            <w:pPr>
              <w:pStyle w:val="TableTextNumbers"/>
            </w:pPr>
            <w:r>
              <w:t xml:space="preserve">Select another component order to continue selecting units, or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2AEC5705" w14:textId="77777777" w:rsidR="002A21AE" w:rsidRDefault="002A21AE">
            <w:pPr>
              <w:pStyle w:val="TableTextBullet"/>
            </w:pPr>
            <w:r>
              <w:t>Displays orders for the next patient.</w:t>
            </w:r>
          </w:p>
        </w:tc>
      </w:tr>
    </w:tbl>
    <w:p w14:paraId="0B41D219" w14:textId="36788BF7" w:rsidR="004728E4" w:rsidRDefault="004728E4" w:rsidP="004728E4">
      <w:pPr>
        <w:pStyle w:val="Caption"/>
      </w:pPr>
      <w:bookmarkStart w:id="384" w:name="_Ref126724671"/>
      <w:bookmarkStart w:id="385" w:name="_Ref126721456"/>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100</w:t>
      </w:r>
      <w:r w:rsidR="004E20BD">
        <w:rPr>
          <w:noProof/>
        </w:rPr>
        <w:fldChar w:fldCharType="end"/>
      </w:r>
      <w:bookmarkEnd w:id="384"/>
      <w:r>
        <w:t>: Pending Task List Component Orders</w:t>
      </w:r>
      <w:bookmarkEnd w:id="385"/>
    </w:p>
    <w:p w14:paraId="7725B3CA" w14:textId="77777777" w:rsidR="00120C4C" w:rsidRPr="00120C4C" w:rsidRDefault="00057948" w:rsidP="00120C4C">
      <w:pPr>
        <w:pStyle w:val="BodyText"/>
      </w:pPr>
      <w:r>
        <w:rPr>
          <w:noProof/>
        </w:rPr>
        <w:drawing>
          <wp:inline distT="0" distB="0" distL="0" distR="0" wp14:anchorId="0AD58B36" wp14:editId="527B2221">
            <wp:extent cx="5939155" cy="2503170"/>
            <wp:effectExtent l="0" t="0" r="4445" b="0"/>
            <wp:docPr id="186" name="Picture 186" descr="P5514#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P5514#yIS1">
                      <a:extLst>
                        <a:ext uri="{C183D7F6-B498-43B3-948B-1728B52AA6E4}">
                          <adec:decorative xmlns:adec="http://schemas.microsoft.com/office/drawing/2017/decorative" val="1"/>
                        </a:ext>
                      </a:extLs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939155" cy="2503170"/>
                    </a:xfrm>
                    <a:prstGeom prst="rect">
                      <a:avLst/>
                    </a:prstGeom>
                    <a:noFill/>
                    <a:ln>
                      <a:noFill/>
                    </a:ln>
                  </pic:spPr>
                </pic:pic>
              </a:graphicData>
            </a:graphic>
          </wp:inline>
        </w:drawing>
      </w:r>
    </w:p>
    <w:p w14:paraId="7C6F3AC0" w14:textId="51197D4A" w:rsidR="008C6185" w:rsidRDefault="008C6185" w:rsidP="008C6185">
      <w:pPr>
        <w:pStyle w:val="Caption"/>
      </w:pPr>
      <w:bookmarkStart w:id="386" w:name="_Ref126724700"/>
      <w:bookmarkStart w:id="387" w:name="_Ref126721588"/>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101</w:t>
      </w:r>
      <w:r w:rsidR="004E20BD">
        <w:rPr>
          <w:noProof/>
        </w:rPr>
        <w:fldChar w:fldCharType="end"/>
      </w:r>
      <w:bookmarkEnd w:id="386"/>
      <w:r>
        <w:t>: Select Units for a Patient</w:t>
      </w:r>
      <w:bookmarkEnd w:id="387"/>
    </w:p>
    <w:p w14:paraId="522DC705" w14:textId="77777777" w:rsidR="008C6185" w:rsidRDefault="00057948" w:rsidP="00DE69E1">
      <w:pPr>
        <w:pStyle w:val="BodyText"/>
      </w:pPr>
      <w:r>
        <w:rPr>
          <w:noProof/>
        </w:rPr>
        <w:drawing>
          <wp:inline distT="0" distB="0" distL="0" distR="0" wp14:anchorId="685971BF" wp14:editId="58D92A79">
            <wp:extent cx="5643245" cy="4119245"/>
            <wp:effectExtent l="0" t="0" r="0" b="0"/>
            <wp:docPr id="187" name="Picture 187" descr="P5516#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P5516#yIS1">
                      <a:extLst>
                        <a:ext uri="{C183D7F6-B498-43B3-948B-1728B52AA6E4}">
                          <adec:decorative xmlns:adec="http://schemas.microsoft.com/office/drawing/2017/decorative" val="1"/>
                        </a:ext>
                      </a:extLst>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643245" cy="4119245"/>
                    </a:xfrm>
                    <a:prstGeom prst="rect">
                      <a:avLst/>
                    </a:prstGeom>
                    <a:noFill/>
                    <a:ln>
                      <a:noFill/>
                    </a:ln>
                  </pic:spPr>
                </pic:pic>
              </a:graphicData>
            </a:graphic>
          </wp:inline>
        </w:drawing>
      </w:r>
    </w:p>
    <w:p w14:paraId="4138DA9E" w14:textId="3D29B350" w:rsidR="009F0D10" w:rsidRDefault="009F0D10" w:rsidP="009F0D10">
      <w:pPr>
        <w:pStyle w:val="Caption"/>
      </w:pPr>
      <w:bookmarkStart w:id="388" w:name="_Ref169515158"/>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102</w:t>
      </w:r>
      <w:r w:rsidR="004E20BD">
        <w:rPr>
          <w:noProof/>
        </w:rPr>
        <w:fldChar w:fldCharType="end"/>
      </w:r>
      <w:bookmarkEnd w:id="388"/>
      <w:r>
        <w:t xml:space="preserve">: </w:t>
      </w:r>
      <w:r w:rsidR="00EE1017">
        <w:t>Associate a Specimen with an Emergency-Issued Unit</w:t>
      </w:r>
    </w:p>
    <w:p w14:paraId="3D27A409" w14:textId="77777777" w:rsidR="00F3761C" w:rsidRPr="008C6185" w:rsidRDefault="00057948" w:rsidP="00DE69E1">
      <w:pPr>
        <w:pStyle w:val="BodyText"/>
      </w:pPr>
      <w:r>
        <w:rPr>
          <w:noProof/>
        </w:rPr>
        <w:drawing>
          <wp:inline distT="0" distB="0" distL="0" distR="0" wp14:anchorId="6BB3F7D6" wp14:editId="1E3F3FAC">
            <wp:extent cx="5939155" cy="4202430"/>
            <wp:effectExtent l="0" t="0" r="4445" b="7620"/>
            <wp:docPr id="188" name="Picture 188" descr="P5518#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P5518#yIS1">
                      <a:extLst>
                        <a:ext uri="{C183D7F6-B498-43B3-948B-1728B52AA6E4}">
                          <adec:decorative xmlns:adec="http://schemas.microsoft.com/office/drawing/2017/decorative" val="1"/>
                        </a:ext>
                      </a:extLst>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939155" cy="4202430"/>
                    </a:xfrm>
                    <a:prstGeom prst="rect">
                      <a:avLst/>
                    </a:prstGeom>
                    <a:noFill/>
                    <a:ln>
                      <a:noFill/>
                    </a:ln>
                  </pic:spPr>
                </pic:pic>
              </a:graphicData>
            </a:graphic>
          </wp:inline>
        </w:drawing>
      </w:r>
    </w:p>
    <w:p w14:paraId="34CCAF6F" w14:textId="77777777" w:rsidR="002A21AE" w:rsidRDefault="00263B24">
      <w:pPr>
        <w:pStyle w:val="Heading4"/>
      </w:pPr>
      <w:r w:rsidRPr="00896F17">
        <w:rPr>
          <w:rStyle w:val="BullhornChar"/>
        </w:rPr>
        <w:t></w:t>
      </w:r>
      <w:r>
        <w:rPr>
          <w:rFonts w:ascii="Webdings" w:hAnsi="Webdings"/>
        </w:rPr>
        <w:t></w:t>
      </w:r>
      <w:r w:rsidR="002A21AE">
        <w:t>Alerts</w:t>
      </w:r>
    </w:p>
    <w:p w14:paraId="2B72F7B6" w14:textId="6BA5FA9F" w:rsidR="002A21AE" w:rsidRDefault="002A21AE">
      <w:pPr>
        <w:pStyle w:val="Caption"/>
      </w:pPr>
      <w:bookmarkStart w:id="389" w:name="_Ref126486057"/>
      <w:bookmarkStart w:id="390" w:name="_Toc97523618"/>
      <w:bookmarkStart w:id="391" w:name="_Toc97527588"/>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647F4E">
        <w:rPr>
          <w:noProof/>
        </w:rPr>
        <w:t>6</w:t>
      </w:r>
      <w:r w:rsidR="004E20BD">
        <w:rPr>
          <w:noProof/>
        </w:rPr>
        <w:fldChar w:fldCharType="end"/>
      </w:r>
      <w:bookmarkEnd w:id="389"/>
      <w:r>
        <w:t>: Alerts That May Occur in Select Units</w:t>
      </w:r>
      <w:bookmarkEnd w:id="390"/>
      <w:bookmarkEnd w:id="391"/>
      <w:r>
        <w:fldChar w:fldCharType="begin"/>
      </w:r>
      <w:r>
        <w:instrText xml:space="preserve"> XE </w:instrText>
      </w:r>
      <w:r w:rsidR="00FA7E65">
        <w:instrText>“</w:instrText>
      </w:r>
      <w:r>
        <w:instrText>Tables:Alerts That May Occur in Select Units</w:instrText>
      </w:r>
      <w:r w:rsidR="00FA7E65">
        <w:instrText>”</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0"/>
        <w:gridCol w:w="8580"/>
      </w:tblGrid>
      <w:tr w:rsidR="002A21AE" w:rsidRPr="000921F1" w14:paraId="029547F5" w14:textId="77777777">
        <w:trPr>
          <w:tblHeader/>
        </w:trPr>
        <w:tc>
          <w:tcPr>
            <w:tcW w:w="780" w:type="dxa"/>
            <w:shd w:val="clear" w:color="auto" w:fill="B3B3B3"/>
          </w:tcPr>
          <w:p w14:paraId="7495D868" w14:textId="77777777" w:rsidR="002A21AE" w:rsidRPr="000921F1" w:rsidRDefault="002A21AE">
            <w:pPr>
              <w:pStyle w:val="TableText"/>
              <w:rPr>
                <w:b/>
              </w:rPr>
            </w:pPr>
            <w:r w:rsidRPr="000921F1">
              <w:rPr>
                <w:b/>
              </w:rPr>
              <w:t>Step</w:t>
            </w:r>
          </w:p>
        </w:tc>
        <w:tc>
          <w:tcPr>
            <w:tcW w:w="8580" w:type="dxa"/>
            <w:shd w:val="clear" w:color="auto" w:fill="B3B3B3"/>
          </w:tcPr>
          <w:p w14:paraId="339BFF13" w14:textId="77777777" w:rsidR="002A21AE" w:rsidRPr="000921F1" w:rsidRDefault="002A21AE">
            <w:pPr>
              <w:pStyle w:val="TableText"/>
              <w:rPr>
                <w:b/>
              </w:rPr>
            </w:pPr>
            <w:r w:rsidRPr="000921F1">
              <w:rPr>
                <w:b/>
              </w:rPr>
              <w:t>Alerts</w:t>
            </w:r>
          </w:p>
        </w:tc>
      </w:tr>
      <w:tr w:rsidR="002A21AE" w:rsidRPr="000921F1" w14:paraId="42D4CA01" w14:textId="77777777">
        <w:tc>
          <w:tcPr>
            <w:tcW w:w="780" w:type="dxa"/>
          </w:tcPr>
          <w:p w14:paraId="33F6437E" w14:textId="77777777" w:rsidR="002A21AE" w:rsidRPr="000921F1" w:rsidRDefault="002A21AE">
            <w:pPr>
              <w:pStyle w:val="TableText"/>
            </w:pPr>
            <w:r w:rsidRPr="000921F1">
              <w:t>2</w:t>
            </w:r>
          </w:p>
        </w:tc>
        <w:tc>
          <w:tcPr>
            <w:tcW w:w="8580" w:type="dxa"/>
          </w:tcPr>
          <w:p w14:paraId="0988092D" w14:textId="77777777" w:rsidR="002A21AE" w:rsidRPr="000921F1" w:rsidRDefault="002A21AE">
            <w:pPr>
              <w:pStyle w:val="TableText"/>
            </w:pPr>
            <w:r w:rsidRPr="000921F1">
              <w:rPr>
                <w:rFonts w:cs="Arial"/>
                <w:vanish/>
              </w:rPr>
              <w:t xml:space="preserve">BR_16.01 </w:t>
            </w:r>
            <w:r w:rsidRPr="000921F1">
              <w:t xml:space="preserve">VBECS displays </w:t>
            </w:r>
            <w:r w:rsidR="00057948">
              <w:rPr>
                <w:noProof/>
              </w:rPr>
              <w:drawing>
                <wp:inline distT="0" distB="0" distL="0" distR="0" wp14:anchorId="60260406" wp14:editId="2D75445B">
                  <wp:extent cx="156845" cy="156845"/>
                  <wp:effectExtent l="0" t="0" r="0" b="0"/>
                  <wp:docPr id="189" name="Picture 189" descr="P5525C4T5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P5525C4T57#yIS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0921F1">
              <w:t xml:space="preserve"> and emits an audible alert when there are Special Instructions (SIs) or TRs for the patient.</w:t>
            </w:r>
          </w:p>
        </w:tc>
      </w:tr>
      <w:tr w:rsidR="002A21AE" w:rsidRPr="000921F1" w14:paraId="3362D9B5" w14:textId="77777777">
        <w:tc>
          <w:tcPr>
            <w:tcW w:w="780" w:type="dxa"/>
          </w:tcPr>
          <w:p w14:paraId="78566D37" w14:textId="77777777" w:rsidR="002A21AE" w:rsidRPr="000921F1" w:rsidRDefault="002A21AE">
            <w:pPr>
              <w:pStyle w:val="TableText"/>
            </w:pPr>
            <w:r w:rsidRPr="000921F1">
              <w:t>2</w:t>
            </w:r>
          </w:p>
        </w:tc>
        <w:tc>
          <w:tcPr>
            <w:tcW w:w="8580" w:type="dxa"/>
          </w:tcPr>
          <w:p w14:paraId="26A8C38E" w14:textId="77777777" w:rsidR="002A21AE" w:rsidRPr="000921F1" w:rsidRDefault="002A21AE">
            <w:pPr>
              <w:pStyle w:val="TableText"/>
            </w:pPr>
            <w:r w:rsidRPr="000921F1">
              <w:rPr>
                <w:rFonts w:cs="Arial"/>
                <w:vanish/>
              </w:rPr>
              <w:t xml:space="preserve">BR_3.18 </w:t>
            </w:r>
            <w:r w:rsidRPr="000921F1">
              <w:t xml:space="preserve">When the user selects blood units that require XM, and eXM is enabled at the division but the current patient is not eligible for eXMs, VBECS displays a warning that includes the reason for the ineligibility. Selected units must have serologic XM performed. The user may not print the Caution Tag or the BTRF. VBECS does not change the unit status to “crossmatched” until the user enters a valid serologic XM result in Patient Testing: Record a Crossmatch. </w:t>
            </w:r>
          </w:p>
        </w:tc>
      </w:tr>
      <w:tr w:rsidR="00831141" w:rsidRPr="000921F1" w14:paraId="3ECFCAAC" w14:textId="77777777">
        <w:tc>
          <w:tcPr>
            <w:tcW w:w="780" w:type="dxa"/>
          </w:tcPr>
          <w:p w14:paraId="7246B44A" w14:textId="77777777" w:rsidR="00831141" w:rsidRPr="000921F1" w:rsidRDefault="00831141">
            <w:pPr>
              <w:pStyle w:val="TableText"/>
            </w:pPr>
            <w:r w:rsidRPr="000921F1">
              <w:t>2</w:t>
            </w:r>
          </w:p>
        </w:tc>
        <w:tc>
          <w:tcPr>
            <w:tcW w:w="8580" w:type="dxa"/>
          </w:tcPr>
          <w:p w14:paraId="1D7F7C49" w14:textId="77777777" w:rsidR="00831141" w:rsidRPr="000921F1" w:rsidRDefault="00831141">
            <w:pPr>
              <w:pStyle w:val="TableText"/>
              <w:rPr>
                <w:rFonts w:cs="Arial"/>
                <w:vanish/>
              </w:rPr>
            </w:pPr>
            <w:r w:rsidRPr="000921F1">
              <w:rPr>
                <w:vanish/>
                <w:szCs w:val="18"/>
              </w:rPr>
              <w:t>BR_3.57</w:t>
            </w:r>
            <w:r w:rsidRPr="000921F1">
              <w:t xml:space="preserve"> When the user clicked the Emergency Order check box during specimen acceptance and selects blood units requiring crossmatch, VBECS does not allow the user to perform an electronic or serologic crossmatch.</w:t>
            </w:r>
          </w:p>
        </w:tc>
      </w:tr>
      <w:tr w:rsidR="002A21AE" w:rsidRPr="000921F1" w14:paraId="6B076BC3" w14:textId="77777777">
        <w:tc>
          <w:tcPr>
            <w:tcW w:w="780" w:type="dxa"/>
          </w:tcPr>
          <w:p w14:paraId="449EED45" w14:textId="77777777" w:rsidR="002A21AE" w:rsidRPr="000921F1" w:rsidRDefault="0024117A">
            <w:pPr>
              <w:pStyle w:val="TableText"/>
            </w:pPr>
            <w:r>
              <w:t>9</w:t>
            </w:r>
          </w:p>
        </w:tc>
        <w:tc>
          <w:tcPr>
            <w:tcW w:w="8580" w:type="dxa"/>
          </w:tcPr>
          <w:p w14:paraId="2001402B" w14:textId="77777777" w:rsidR="002A21AE" w:rsidRPr="000921F1" w:rsidRDefault="002A21AE">
            <w:pPr>
              <w:pStyle w:val="TableText"/>
            </w:pPr>
            <w:r w:rsidRPr="000921F1">
              <w:rPr>
                <w:rFonts w:cs="Arial"/>
                <w:vanish/>
              </w:rPr>
              <w:t xml:space="preserve">BR_3.01 </w:t>
            </w:r>
            <w:r w:rsidRPr="000921F1">
              <w:t>When a current specimen is required for the selected component class based on Component Classes and one does not exist for the patient, the user may not select ABO type-specific blood products. VBECS notifies the user that he is selecting units using the emergency issue compatibility rules.</w:t>
            </w:r>
          </w:p>
        </w:tc>
      </w:tr>
      <w:tr w:rsidR="002A21AE" w:rsidRPr="000921F1" w14:paraId="59737F01" w14:textId="77777777">
        <w:tc>
          <w:tcPr>
            <w:tcW w:w="780" w:type="dxa"/>
          </w:tcPr>
          <w:p w14:paraId="16BE163F" w14:textId="77777777" w:rsidR="002A21AE" w:rsidRPr="000921F1" w:rsidRDefault="0024117A">
            <w:pPr>
              <w:pStyle w:val="TableText"/>
            </w:pPr>
            <w:r>
              <w:t>9</w:t>
            </w:r>
          </w:p>
        </w:tc>
        <w:tc>
          <w:tcPr>
            <w:tcW w:w="8580" w:type="dxa"/>
          </w:tcPr>
          <w:p w14:paraId="156832D9" w14:textId="77777777" w:rsidR="002A21AE" w:rsidRPr="000921F1" w:rsidRDefault="002A21AE">
            <w:pPr>
              <w:pStyle w:val="TableText"/>
            </w:pPr>
            <w:r w:rsidRPr="000921F1">
              <w:rPr>
                <w:rFonts w:cs="Arial"/>
                <w:vanish/>
              </w:rPr>
              <w:t xml:space="preserve">BR_3.24 </w:t>
            </w:r>
            <w:r w:rsidRPr="000921F1">
              <w:t xml:space="preserve">When the patient record is marked as having a previous ABO/Rh discrepancy that was justified, a current specimen is required. The user must select units based on the current specimen ABO/Rh. When the current specimen ABO/Rh was not performed, VBECS warns that the patient had a previous ABO/Rh </w:t>
            </w:r>
            <w:r w:rsidRPr="000921F1">
              <w:lastRenderedPageBreak/>
              <w:t>discrepancy and instructs the user to perform ABO/Rh on the current specimen to continue using normal rules and policies or follow emergency issue rules and policies.</w:t>
            </w:r>
          </w:p>
        </w:tc>
      </w:tr>
      <w:tr w:rsidR="002A21AE" w:rsidRPr="000921F1" w14:paraId="6484DCCD" w14:textId="77777777">
        <w:tc>
          <w:tcPr>
            <w:tcW w:w="780" w:type="dxa"/>
          </w:tcPr>
          <w:p w14:paraId="3EDC30D7" w14:textId="77777777" w:rsidR="002A21AE" w:rsidRPr="000921F1" w:rsidRDefault="0024117A">
            <w:pPr>
              <w:pStyle w:val="TableText"/>
            </w:pPr>
            <w:r>
              <w:lastRenderedPageBreak/>
              <w:t>9</w:t>
            </w:r>
          </w:p>
        </w:tc>
        <w:tc>
          <w:tcPr>
            <w:tcW w:w="8580" w:type="dxa"/>
          </w:tcPr>
          <w:p w14:paraId="204A7C07" w14:textId="77777777" w:rsidR="002A21AE" w:rsidRPr="000921F1" w:rsidRDefault="002A21AE">
            <w:pPr>
              <w:pStyle w:val="TableText"/>
            </w:pPr>
            <w:r w:rsidRPr="000921F1">
              <w:rPr>
                <w:rFonts w:cs="Arial"/>
                <w:vanish/>
              </w:rPr>
              <w:t xml:space="preserve">BR_3.30 </w:t>
            </w:r>
            <w:r w:rsidRPr="000921F1">
              <w:t xml:space="preserve">When there is a current specimen and ABO/Rh testing was performed, VBECS compares the ABO/Rh of the current specimen to the historical ABO/Rh. When there is a discrepancy, the ABO type is inconclusive, and there is no previous justification for the discrepancy on the patient record, VBECS notifies the user that the ABO/Rh on the current specimen does not agree with the historical ABO/Rh and instructs the user to resolve the discrepancy to continue using normal rules and policies, and recommends that the user release previously selected units or follow emergency issue rules and </w:t>
            </w:r>
            <w:r w:rsidR="00F347B1" w:rsidRPr="000921F1">
              <w:t xml:space="preserve">local </w:t>
            </w:r>
            <w:r w:rsidRPr="000921F1">
              <w:t>policies.</w:t>
            </w:r>
          </w:p>
        </w:tc>
      </w:tr>
      <w:tr w:rsidR="002A21AE" w:rsidRPr="000921F1" w14:paraId="530E4D1E" w14:textId="77777777">
        <w:tc>
          <w:tcPr>
            <w:tcW w:w="780" w:type="dxa"/>
          </w:tcPr>
          <w:p w14:paraId="58179085" w14:textId="77777777" w:rsidR="002A21AE" w:rsidRPr="000921F1" w:rsidRDefault="0024117A">
            <w:pPr>
              <w:pStyle w:val="TableText"/>
            </w:pPr>
            <w:r>
              <w:t>9</w:t>
            </w:r>
          </w:p>
        </w:tc>
        <w:tc>
          <w:tcPr>
            <w:tcW w:w="8580" w:type="dxa"/>
          </w:tcPr>
          <w:p w14:paraId="1B101550" w14:textId="77777777" w:rsidR="002A21AE" w:rsidRPr="000921F1" w:rsidRDefault="002A21AE" w:rsidP="00CE12EA">
            <w:pPr>
              <w:pStyle w:val="TableText"/>
            </w:pPr>
            <w:r w:rsidRPr="000921F1">
              <w:rPr>
                <w:rFonts w:cs="Arial"/>
                <w:vanish/>
              </w:rPr>
              <w:t xml:space="preserve">BR_3.40 </w:t>
            </w:r>
            <w:r w:rsidRPr="000921F1">
              <w:t>When a repeat ABO/Rh is performed on the patient specimen and the interpretation does not match the original ABO/Rh interpretation</w:t>
            </w:r>
            <w:r w:rsidR="00CE12EA">
              <w:t>.</w:t>
            </w:r>
            <w:r w:rsidRPr="000921F1">
              <w:t xml:space="preserve"> </w:t>
            </w:r>
          </w:p>
        </w:tc>
      </w:tr>
      <w:tr w:rsidR="00E316CA" w:rsidRPr="000921F1" w14:paraId="0F502756" w14:textId="77777777">
        <w:tc>
          <w:tcPr>
            <w:tcW w:w="780" w:type="dxa"/>
          </w:tcPr>
          <w:p w14:paraId="66B1546F" w14:textId="77777777" w:rsidR="00E316CA" w:rsidRPr="000921F1" w:rsidRDefault="0024117A">
            <w:pPr>
              <w:pStyle w:val="TableText"/>
            </w:pPr>
            <w:r>
              <w:t>9</w:t>
            </w:r>
          </w:p>
        </w:tc>
        <w:tc>
          <w:tcPr>
            <w:tcW w:w="8580" w:type="dxa"/>
          </w:tcPr>
          <w:p w14:paraId="3C010CAD" w14:textId="77777777" w:rsidR="00E316CA" w:rsidRPr="000921F1" w:rsidRDefault="00E316CA">
            <w:pPr>
              <w:pStyle w:val="TableText"/>
              <w:rPr>
                <w:rFonts w:cs="Arial"/>
                <w:vanish/>
              </w:rPr>
            </w:pPr>
            <w:r w:rsidRPr="000921F1">
              <w:rPr>
                <w:vanish/>
                <w:szCs w:val="18"/>
              </w:rPr>
              <w:t>BR_3.10</w:t>
            </w:r>
            <w:r w:rsidRPr="000921F1">
              <w:t xml:space="preserve"> When a user selects a blood unit that is evaluated as ABO incompatible (based on comparison of the patient's current ABO/Rh entered by the user with the ABO/Rh on record), VBECS emits an audible alert and warns the user that the unit is not ABO compatible for this patient and that the user may not select the unit. There is no override; VBECS clears the screen and allows the user to select another unit.</w:t>
            </w:r>
          </w:p>
        </w:tc>
      </w:tr>
      <w:tr w:rsidR="00657663" w:rsidRPr="000921F1" w14:paraId="6162D59C" w14:textId="77777777">
        <w:tc>
          <w:tcPr>
            <w:tcW w:w="780" w:type="dxa"/>
          </w:tcPr>
          <w:p w14:paraId="1101C398" w14:textId="77777777" w:rsidR="00657663" w:rsidRDefault="00657663">
            <w:pPr>
              <w:pStyle w:val="TableText"/>
            </w:pPr>
            <w:r>
              <w:t>9</w:t>
            </w:r>
          </w:p>
        </w:tc>
        <w:tc>
          <w:tcPr>
            <w:tcW w:w="8580" w:type="dxa"/>
          </w:tcPr>
          <w:p w14:paraId="0BB95E49" w14:textId="77777777" w:rsidR="00657663" w:rsidRPr="000921F1" w:rsidRDefault="00657663" w:rsidP="00657663">
            <w:pPr>
              <w:pStyle w:val="TableText"/>
              <w:rPr>
                <w:vanish/>
                <w:szCs w:val="18"/>
              </w:rPr>
            </w:pPr>
            <w:r w:rsidRPr="00657663">
              <w:rPr>
                <w:vanish/>
                <w:szCs w:val="18"/>
              </w:rPr>
              <w:t xml:space="preserve">BR_3.12 </w:t>
            </w:r>
            <w:r>
              <w:rPr>
                <w:szCs w:val="18"/>
              </w:rPr>
              <w:t>When a blood compone</w:t>
            </w:r>
            <w:r w:rsidR="00931B15">
              <w:rPr>
                <w:szCs w:val="18"/>
              </w:rPr>
              <w:t>nt belongs to a Product Type and is indicated as “</w:t>
            </w:r>
            <w:r>
              <w:rPr>
                <w:szCs w:val="18"/>
              </w:rPr>
              <w:t>Frozen” and is selected for a patient, VBECS emits an audible alert and displays a warning message: “Selected blood unit must be thawed and may require additional processing prior to issue”. There is no user response required and the blood unit is not eligible for issue. The status of the units is updated to “assigned” to the indicated patient.</w:t>
            </w:r>
          </w:p>
        </w:tc>
      </w:tr>
      <w:tr w:rsidR="002A21AE" w:rsidRPr="000921F1" w14:paraId="5B4BF502" w14:textId="77777777">
        <w:tc>
          <w:tcPr>
            <w:tcW w:w="780" w:type="dxa"/>
          </w:tcPr>
          <w:p w14:paraId="27A99944" w14:textId="77777777" w:rsidR="002A21AE" w:rsidRPr="000921F1" w:rsidRDefault="0024117A">
            <w:pPr>
              <w:pStyle w:val="TableText"/>
            </w:pPr>
            <w:r>
              <w:t>10</w:t>
            </w:r>
          </w:p>
        </w:tc>
        <w:tc>
          <w:tcPr>
            <w:tcW w:w="8580" w:type="dxa"/>
          </w:tcPr>
          <w:p w14:paraId="30698625" w14:textId="77777777" w:rsidR="002A21AE" w:rsidRPr="000921F1" w:rsidRDefault="002A21AE">
            <w:pPr>
              <w:pStyle w:val="TableText"/>
            </w:pPr>
            <w:r w:rsidRPr="000921F1">
              <w:rPr>
                <w:rFonts w:cs="Arial"/>
                <w:vanish/>
              </w:rPr>
              <w:t xml:space="preserve">BR_3.34 </w:t>
            </w:r>
            <w:r w:rsidRPr="000921F1">
              <w:t>The user may override the selection of restricted units. VBECS warns that more restricted units were not selected for the patient and asks whether the user wishes to continue. The override requires a comment and captures details for inclusion in an Exception Report (exception type: less restrictive unit issued).</w:t>
            </w:r>
          </w:p>
        </w:tc>
      </w:tr>
      <w:tr w:rsidR="002A21AE" w:rsidRPr="000921F1" w14:paraId="1C5E2368" w14:textId="77777777">
        <w:tc>
          <w:tcPr>
            <w:tcW w:w="780" w:type="dxa"/>
          </w:tcPr>
          <w:p w14:paraId="0C033714" w14:textId="77777777" w:rsidR="002A21AE" w:rsidRPr="000921F1" w:rsidRDefault="0024117A">
            <w:pPr>
              <w:pStyle w:val="TableText"/>
            </w:pPr>
            <w:r>
              <w:t>10</w:t>
            </w:r>
          </w:p>
        </w:tc>
        <w:tc>
          <w:tcPr>
            <w:tcW w:w="8580" w:type="dxa"/>
          </w:tcPr>
          <w:p w14:paraId="7264BC93" w14:textId="77777777" w:rsidR="002A21AE" w:rsidRDefault="002A21AE">
            <w:pPr>
              <w:pStyle w:val="TableText"/>
            </w:pPr>
            <w:r w:rsidRPr="000921F1">
              <w:rPr>
                <w:rFonts w:cs="Arial"/>
                <w:vanish/>
              </w:rPr>
              <w:t xml:space="preserve">BR_3.52 </w:t>
            </w:r>
            <w:r w:rsidRPr="000921F1">
              <w:t>VBECS warns the use</w:t>
            </w:r>
            <w:r w:rsidR="004E0FCD">
              <w:t>r when he selects type-specific FFP/PLASMA</w:t>
            </w:r>
            <w:r w:rsidR="00EA44F9" w:rsidRPr="000921F1">
              <w:t xml:space="preserve"> products</w:t>
            </w:r>
            <w:r w:rsidRPr="000921F1">
              <w:t xml:space="preserve"> that do not require a specimen, according to the division configuration of component classes, for a patient with a history of justified ABO/Rh change.</w:t>
            </w:r>
          </w:p>
          <w:p w14:paraId="1DA34A17" w14:textId="67C81BF4" w:rsidR="00657663" w:rsidRPr="000921F1" w:rsidRDefault="00CA65FE">
            <w:pPr>
              <w:pStyle w:val="TableText"/>
            </w:pPr>
            <w:r>
              <w:t>Note: VBECS does not enforce type-specific compatibility rules for produ</w:t>
            </w:r>
            <w:r w:rsidR="004E0FCD">
              <w:t>ct types in the CRYOPRECIPITATE</w:t>
            </w:r>
            <w:r w:rsidR="004E5EEE">
              <w:t xml:space="preserve"> </w:t>
            </w:r>
            <w:r>
              <w:t xml:space="preserve">and PLATELETS </w:t>
            </w:r>
            <w:r w:rsidR="004E0FCD">
              <w:t>[</w:t>
            </w:r>
            <w:r>
              <w:t>with less than (&lt;) 2 mL of RBC contamination</w:t>
            </w:r>
            <w:r w:rsidR="004E0FCD">
              <w:t>]</w:t>
            </w:r>
            <w:r>
              <w:t xml:space="preserve"> component classes.</w:t>
            </w:r>
          </w:p>
        </w:tc>
      </w:tr>
      <w:tr w:rsidR="002A21AE" w:rsidRPr="000921F1" w14:paraId="08641562" w14:textId="77777777">
        <w:tc>
          <w:tcPr>
            <w:tcW w:w="780" w:type="dxa"/>
          </w:tcPr>
          <w:p w14:paraId="62811875" w14:textId="77777777" w:rsidR="002A21AE" w:rsidRPr="000921F1" w:rsidRDefault="0024117A">
            <w:pPr>
              <w:pStyle w:val="TableText"/>
            </w:pPr>
            <w:r>
              <w:t>10</w:t>
            </w:r>
          </w:p>
        </w:tc>
        <w:tc>
          <w:tcPr>
            <w:tcW w:w="8580" w:type="dxa"/>
          </w:tcPr>
          <w:p w14:paraId="0D942BE1" w14:textId="77777777" w:rsidR="002A21AE" w:rsidRPr="000921F1" w:rsidRDefault="002A21AE">
            <w:pPr>
              <w:pStyle w:val="TableText"/>
            </w:pPr>
            <w:r w:rsidRPr="000921F1">
              <w:rPr>
                <w:rFonts w:cs="Arial"/>
                <w:vanish/>
              </w:rPr>
              <w:t xml:space="preserve">BR_3.49 </w:t>
            </w:r>
            <w:r w:rsidRPr="000921F1">
              <w:t>Once a valid XM interpretation is verified and the unit is compatible, VBECS does not allow a user to select that unit (ID and product code) for the same specimen. The user may select the unit for a XM with the same patient</w:t>
            </w:r>
            <w:r w:rsidR="00FA7E65" w:rsidRPr="000921F1">
              <w:t>’</w:t>
            </w:r>
            <w:r w:rsidRPr="000921F1">
              <w:t>s new specimen</w:t>
            </w:r>
            <w:r w:rsidR="00290EF8" w:rsidRPr="000921F1">
              <w:t xml:space="preserve"> after the unit is released from the current assignment</w:t>
            </w:r>
            <w:r w:rsidRPr="000921F1">
              <w:t>. VBECS warns that the unit has a valid current XM with this patient. The user clears the warning and may continue or enter a new unit number for selection.</w:t>
            </w:r>
          </w:p>
        </w:tc>
      </w:tr>
      <w:tr w:rsidR="002A21AE" w:rsidRPr="000921F1" w14:paraId="28D33748" w14:textId="77777777">
        <w:tc>
          <w:tcPr>
            <w:tcW w:w="780" w:type="dxa"/>
          </w:tcPr>
          <w:p w14:paraId="0294FE63" w14:textId="77777777" w:rsidR="002A21AE" w:rsidRPr="000921F1" w:rsidRDefault="0024117A">
            <w:pPr>
              <w:pStyle w:val="TableText"/>
            </w:pPr>
            <w:r>
              <w:t>10</w:t>
            </w:r>
          </w:p>
        </w:tc>
        <w:tc>
          <w:tcPr>
            <w:tcW w:w="8580" w:type="dxa"/>
          </w:tcPr>
          <w:p w14:paraId="28EFCEC5" w14:textId="77777777" w:rsidR="002A21AE" w:rsidRPr="000921F1" w:rsidRDefault="002A21AE">
            <w:pPr>
              <w:pStyle w:val="TableText"/>
            </w:pPr>
            <w:r w:rsidRPr="000921F1">
              <w:rPr>
                <w:rFonts w:cs="Arial"/>
                <w:vanish/>
              </w:rPr>
              <w:t xml:space="preserve">BR_3.28 </w:t>
            </w:r>
            <w:r w:rsidRPr="000921F1">
              <w:t>When a selected unit is currently assigned to another patient, VBECS warns the user and asks whether the user wishes to continue to select for this patient.</w:t>
            </w:r>
          </w:p>
          <w:p w14:paraId="12DC14E4" w14:textId="77777777" w:rsidR="002A21AE" w:rsidRPr="000921F1" w:rsidRDefault="002A21AE">
            <w:pPr>
              <w:pStyle w:val="TableText"/>
            </w:pPr>
          </w:p>
          <w:p w14:paraId="201A3796" w14:textId="77777777" w:rsidR="002A21AE" w:rsidRPr="000921F1" w:rsidRDefault="002A21AE">
            <w:pPr>
              <w:pStyle w:val="TableText"/>
            </w:pPr>
            <w:r w:rsidRPr="000921F1">
              <w:rPr>
                <w:b/>
                <w:bCs/>
              </w:rPr>
              <w:t>Yes</w:t>
            </w:r>
            <w:r w:rsidRPr="000921F1">
              <w:t xml:space="preserve"> allows the user to continue. </w:t>
            </w:r>
            <w:r w:rsidRPr="000921F1">
              <w:rPr>
                <w:b/>
                <w:bCs/>
              </w:rPr>
              <w:t>No</w:t>
            </w:r>
            <w:r w:rsidRPr="000921F1">
              <w:t xml:space="preserve"> clears the screen and allows the user to select a new unit.</w:t>
            </w:r>
          </w:p>
        </w:tc>
      </w:tr>
      <w:tr w:rsidR="002A21AE" w:rsidRPr="000921F1" w14:paraId="032BD029" w14:textId="77777777">
        <w:tc>
          <w:tcPr>
            <w:tcW w:w="780" w:type="dxa"/>
          </w:tcPr>
          <w:p w14:paraId="49FC8B10" w14:textId="77777777" w:rsidR="002A21AE" w:rsidRPr="000921F1" w:rsidRDefault="0024117A">
            <w:pPr>
              <w:pStyle w:val="TableText"/>
            </w:pPr>
            <w:r>
              <w:t>10</w:t>
            </w:r>
          </w:p>
        </w:tc>
        <w:tc>
          <w:tcPr>
            <w:tcW w:w="8580" w:type="dxa"/>
          </w:tcPr>
          <w:p w14:paraId="786FD0B5" w14:textId="77777777" w:rsidR="002A21AE" w:rsidRPr="000921F1" w:rsidRDefault="002A21AE">
            <w:pPr>
              <w:pStyle w:val="TableText"/>
            </w:pPr>
            <w:r w:rsidRPr="000921F1">
              <w:rPr>
                <w:rFonts w:cs="Arial"/>
                <w:vanish/>
              </w:rPr>
              <w:t xml:space="preserve">BR_3.19 </w:t>
            </w:r>
            <w:r w:rsidRPr="000921F1">
              <w:t xml:space="preserve">When a user </w:t>
            </w:r>
            <w:r w:rsidR="0073125C" w:rsidRPr="000921F1">
              <w:t xml:space="preserve">is a Technologist and </w:t>
            </w:r>
            <w:r w:rsidR="00602A93" w:rsidRPr="000921F1">
              <w:t>selects</w:t>
            </w:r>
            <w:r w:rsidRPr="000921F1">
              <w:t xml:space="preserve"> an expired unit, VBECS warns him. There is no override. </w:t>
            </w:r>
          </w:p>
          <w:p w14:paraId="74A69F2B" w14:textId="77777777" w:rsidR="002A21AE" w:rsidRPr="000921F1" w:rsidRDefault="002A21AE">
            <w:pPr>
              <w:pStyle w:val="TableText"/>
            </w:pPr>
          </w:p>
          <w:p w14:paraId="373538B8" w14:textId="77777777" w:rsidR="002A21AE" w:rsidRPr="000921F1" w:rsidRDefault="002A21AE">
            <w:pPr>
              <w:pStyle w:val="TableText"/>
            </w:pPr>
            <w:r w:rsidRPr="000921F1">
              <w:rPr>
                <w:rFonts w:ascii="Wingdings 3" w:hAnsi="Wingdings 3" w:cs="Wingdings"/>
              </w:rPr>
              <w:t></w:t>
            </w:r>
            <w:r w:rsidRPr="000921F1">
              <w:rPr>
                <w:rFonts w:ascii="Wingdings 3" w:hAnsi="Wingdings 3" w:cs="Wingdings"/>
              </w:rPr>
              <w:t></w:t>
            </w:r>
            <w:r w:rsidRPr="000921F1">
              <w:t xml:space="preserve"> When the user is an Enhanced Technologist or above, VBECS warns that the unit is expired and asks whether the user wishes to continue to select.</w:t>
            </w:r>
          </w:p>
          <w:p w14:paraId="0FCDCDAD" w14:textId="77777777" w:rsidR="002A21AE" w:rsidRPr="000921F1" w:rsidRDefault="002A21AE">
            <w:pPr>
              <w:pStyle w:val="TableText"/>
            </w:pPr>
          </w:p>
          <w:p w14:paraId="65582FBA" w14:textId="77777777" w:rsidR="002A21AE" w:rsidRPr="000921F1" w:rsidRDefault="002A21AE">
            <w:pPr>
              <w:pStyle w:val="TableText"/>
            </w:pPr>
            <w:r w:rsidRPr="000921F1">
              <w:rPr>
                <w:b/>
                <w:bCs/>
              </w:rPr>
              <w:t>No</w:t>
            </w:r>
            <w:r w:rsidRPr="000921F1">
              <w:t xml:space="preserve"> clears the screen. </w:t>
            </w:r>
            <w:r w:rsidRPr="000921F1">
              <w:rPr>
                <w:b/>
                <w:bCs/>
              </w:rPr>
              <w:t>Yes</w:t>
            </w:r>
            <w:r w:rsidRPr="000921F1">
              <w:t xml:space="preserve"> requires a comment and captures details for inclusion in an Exception Report (exception type: expired unit selected).</w:t>
            </w:r>
          </w:p>
        </w:tc>
      </w:tr>
      <w:tr w:rsidR="008852A5" w:rsidRPr="000921F1" w14:paraId="292D02CB" w14:textId="77777777">
        <w:tc>
          <w:tcPr>
            <w:tcW w:w="780" w:type="dxa"/>
          </w:tcPr>
          <w:p w14:paraId="42DD635A" w14:textId="77777777" w:rsidR="008852A5" w:rsidRPr="000921F1" w:rsidRDefault="0024117A" w:rsidP="00FF6514">
            <w:pPr>
              <w:pStyle w:val="TableText"/>
            </w:pPr>
            <w:r>
              <w:t>10</w:t>
            </w:r>
          </w:p>
        </w:tc>
        <w:tc>
          <w:tcPr>
            <w:tcW w:w="8580" w:type="dxa"/>
          </w:tcPr>
          <w:p w14:paraId="42393EDA" w14:textId="77777777" w:rsidR="008852A5" w:rsidRPr="000921F1" w:rsidRDefault="008852A5" w:rsidP="008852A5">
            <w:pPr>
              <w:pStyle w:val="TableTextBullet"/>
              <w:numPr>
                <w:ilvl w:val="0"/>
                <w:numId w:val="0"/>
              </w:numPr>
            </w:pPr>
            <w:r w:rsidRPr="000921F1">
              <w:rPr>
                <w:rFonts w:cs="Arial"/>
                <w:vanish/>
              </w:rPr>
              <w:t xml:space="preserve">BR_3.13 </w:t>
            </w:r>
            <w:r w:rsidRPr="000921F1">
              <w:t>When a unit is selected for a patient</w:t>
            </w:r>
            <w:r w:rsidRPr="000921F1">
              <w:rPr>
                <w:szCs w:val="18"/>
              </w:rPr>
              <w:t xml:space="preserve">, VBECS displays a tool tip stating that the unit may not be selected or removed. </w:t>
            </w:r>
          </w:p>
        </w:tc>
      </w:tr>
      <w:tr w:rsidR="002A21AE" w:rsidRPr="000921F1" w14:paraId="646DE111" w14:textId="77777777">
        <w:tc>
          <w:tcPr>
            <w:tcW w:w="780" w:type="dxa"/>
          </w:tcPr>
          <w:p w14:paraId="3ED0F82B" w14:textId="77777777" w:rsidR="002A21AE" w:rsidRPr="000921F1" w:rsidRDefault="0024117A">
            <w:pPr>
              <w:pStyle w:val="TableText"/>
            </w:pPr>
            <w:r>
              <w:t>10</w:t>
            </w:r>
          </w:p>
        </w:tc>
        <w:tc>
          <w:tcPr>
            <w:tcW w:w="8580" w:type="dxa"/>
          </w:tcPr>
          <w:p w14:paraId="71CD5BF7" w14:textId="77777777" w:rsidR="002A21AE" w:rsidRPr="000921F1" w:rsidRDefault="002A21AE">
            <w:pPr>
              <w:pStyle w:val="TableText"/>
              <w:rPr>
                <w:rStyle w:val="StyleTableTextBlackChar"/>
                <w:color w:val="auto"/>
              </w:rPr>
            </w:pPr>
            <w:r w:rsidRPr="000921F1">
              <w:t>When the user selects a</w:t>
            </w:r>
            <w:r w:rsidRPr="000921F1">
              <w:rPr>
                <w:rStyle w:val="StyleTableTextBlackChar"/>
                <w:color w:val="auto"/>
              </w:rPr>
              <w:t xml:space="preserve"> unit and these conditions exist, VBECS </w:t>
            </w:r>
            <w:r w:rsidR="008852A5" w:rsidRPr="000921F1">
              <w:rPr>
                <w:rStyle w:val="StyleTableTextBlackChar"/>
                <w:color w:val="auto"/>
              </w:rPr>
              <w:t>warns the user.</w:t>
            </w:r>
            <w:r w:rsidRPr="000921F1">
              <w:rPr>
                <w:rStyle w:val="StyleTableTextBlackChar"/>
                <w:color w:val="auto"/>
              </w:rPr>
              <w:t xml:space="preserve"> There is no override</w:t>
            </w:r>
            <w:r w:rsidRPr="000921F1">
              <w:t>. VBECS clears the screen and the user may select another unit</w:t>
            </w:r>
            <w:r w:rsidRPr="000921F1">
              <w:rPr>
                <w:rStyle w:val="StyleTableTextBlackChar"/>
                <w:color w:val="auto"/>
              </w:rPr>
              <w:t>:</w:t>
            </w:r>
          </w:p>
          <w:p w14:paraId="6E4E0478" w14:textId="77777777" w:rsidR="002A21AE" w:rsidRPr="000921F1" w:rsidRDefault="002A21AE">
            <w:pPr>
              <w:pStyle w:val="TableTextBullet"/>
            </w:pPr>
            <w:r w:rsidRPr="000921F1">
              <w:t>For XM for the same patient, VBECS warns that the unit was already selected for the patient.</w:t>
            </w:r>
          </w:p>
          <w:p w14:paraId="420E659B" w14:textId="77777777" w:rsidR="002A21AE" w:rsidRPr="000921F1" w:rsidRDefault="002A21AE">
            <w:pPr>
              <w:pStyle w:val="TableTextBullet"/>
            </w:pPr>
            <w:r w:rsidRPr="000921F1">
              <w:rPr>
                <w:rFonts w:cs="Arial"/>
                <w:vanish/>
              </w:rPr>
              <w:t xml:space="preserve">BR_3.33 </w:t>
            </w:r>
            <w:r w:rsidRPr="000921F1">
              <w:t>That is not substitutable for the order, VBECS warns that the selected unit is not valid for order.</w:t>
            </w:r>
          </w:p>
          <w:p w14:paraId="3D5CC872" w14:textId="77777777" w:rsidR="002A21AE" w:rsidRPr="000921F1" w:rsidRDefault="002A21AE">
            <w:pPr>
              <w:pStyle w:val="TableTextBullet"/>
            </w:pPr>
            <w:r w:rsidRPr="000921F1">
              <w:rPr>
                <w:rFonts w:cs="Arial"/>
                <w:vanish/>
              </w:rPr>
              <w:t xml:space="preserve">BR_3.43 </w:t>
            </w:r>
            <w:r w:rsidRPr="000921F1">
              <w:t>That is quarantined, VBECS warns that the unit is quarantined and may not be selected.</w:t>
            </w:r>
          </w:p>
          <w:p w14:paraId="2B828ECA" w14:textId="77777777" w:rsidR="002A21AE" w:rsidRPr="000921F1" w:rsidRDefault="002A21AE">
            <w:pPr>
              <w:pStyle w:val="TableTextBullet"/>
            </w:pPr>
            <w:r w:rsidRPr="000921F1">
              <w:rPr>
                <w:rFonts w:cs="Arial"/>
                <w:vanish/>
              </w:rPr>
              <w:t xml:space="preserve">BR_3.45 </w:t>
            </w:r>
            <w:r w:rsidRPr="000921F1">
              <w:t>That is on a pending outgoing shipment list, VBECS warns that the unit is currently included on a pending outgoing shipment invoice and must be removed from the shipment invoice before it can be selected.</w:t>
            </w:r>
          </w:p>
          <w:p w14:paraId="4AAC98E6" w14:textId="77777777" w:rsidR="002A21AE" w:rsidRPr="000921F1" w:rsidRDefault="002A21AE">
            <w:pPr>
              <w:pStyle w:val="TableTextBullet"/>
            </w:pPr>
            <w:r w:rsidRPr="000921F1">
              <w:rPr>
                <w:rFonts w:cs="Arial"/>
                <w:vanish/>
              </w:rPr>
              <w:lastRenderedPageBreak/>
              <w:t xml:space="preserve">BR_3.44 </w:t>
            </w:r>
            <w:r w:rsidRPr="000921F1">
              <w:t>That is not in the blood bank or is issued to another patient, VBECS warns that the unit is not in the blood bank and may not be selected.</w:t>
            </w:r>
          </w:p>
          <w:p w14:paraId="5A728E43" w14:textId="77777777" w:rsidR="002A21AE" w:rsidRPr="000921F1" w:rsidRDefault="002A21AE">
            <w:pPr>
              <w:pStyle w:val="TableTextBullet"/>
            </w:pPr>
            <w:r w:rsidRPr="000921F1">
              <w:rPr>
                <w:rFonts w:cs="Arial"/>
                <w:vanish/>
              </w:rPr>
              <w:t xml:space="preserve">BR_3.46 </w:t>
            </w:r>
            <w:r w:rsidRPr="000921F1">
              <w:t>That is restricted for a different patient, VBECS warns that the unit is restricted for a different patient and may not be selected.</w:t>
            </w:r>
          </w:p>
          <w:p w14:paraId="77C890F4" w14:textId="77777777" w:rsidR="002A21AE" w:rsidRPr="000921F1" w:rsidRDefault="002C0830">
            <w:pPr>
              <w:pStyle w:val="TableTextBullet"/>
            </w:pPr>
            <w:r w:rsidRPr="000921F1">
              <w:rPr>
                <w:vanish/>
                <w:szCs w:val="18"/>
              </w:rPr>
              <w:t xml:space="preserve">BR_3.16 </w:t>
            </w:r>
            <w:r w:rsidRPr="000921F1">
              <w:t>T</w:t>
            </w:r>
            <w:r w:rsidR="002A21AE" w:rsidRPr="000921F1">
              <w:t>he confirmation is not performed or is incomplete, VBECS emits an audible alert and warns that the unit ABO/Rh confirmation was not performed or is incomplete and that the unit may not be selected.</w:t>
            </w:r>
          </w:p>
        </w:tc>
      </w:tr>
      <w:tr w:rsidR="002A21AE" w:rsidRPr="000921F1" w14:paraId="7C752435" w14:textId="77777777">
        <w:tc>
          <w:tcPr>
            <w:tcW w:w="780" w:type="dxa"/>
          </w:tcPr>
          <w:p w14:paraId="66602FE7" w14:textId="77777777" w:rsidR="002A21AE" w:rsidRPr="000921F1" w:rsidRDefault="0024117A">
            <w:pPr>
              <w:pStyle w:val="TableText"/>
            </w:pPr>
            <w:r>
              <w:lastRenderedPageBreak/>
              <w:t>10</w:t>
            </w:r>
          </w:p>
        </w:tc>
        <w:tc>
          <w:tcPr>
            <w:tcW w:w="8580" w:type="dxa"/>
          </w:tcPr>
          <w:p w14:paraId="131A8BE2" w14:textId="77777777" w:rsidR="002A21AE" w:rsidRPr="000921F1" w:rsidRDefault="002A21AE">
            <w:pPr>
              <w:pStyle w:val="TableText"/>
            </w:pPr>
            <w:r w:rsidRPr="000921F1">
              <w:rPr>
                <w:rFonts w:cs="Arial"/>
                <w:vanish/>
              </w:rPr>
              <w:t xml:space="preserve">BR_3.23 </w:t>
            </w:r>
            <w:r w:rsidRPr="000921F1">
              <w:t xml:space="preserve">When the selected unit had an incompatible crossmatch result with the current patient in the past, VBECS warns the user. </w:t>
            </w:r>
            <w:r w:rsidR="00141E2B" w:rsidRPr="000921F1">
              <w:t>The user may continue with this unit and proceed with electronic or serologic crossmatch testing.</w:t>
            </w:r>
          </w:p>
        </w:tc>
      </w:tr>
      <w:tr w:rsidR="002A21AE" w:rsidRPr="000921F1" w14:paraId="3380439E" w14:textId="77777777">
        <w:tc>
          <w:tcPr>
            <w:tcW w:w="780" w:type="dxa"/>
          </w:tcPr>
          <w:p w14:paraId="34FAED8E" w14:textId="77777777" w:rsidR="002A21AE" w:rsidRPr="000921F1" w:rsidRDefault="0024117A">
            <w:pPr>
              <w:pStyle w:val="TableText"/>
            </w:pPr>
            <w:r>
              <w:t>10</w:t>
            </w:r>
          </w:p>
        </w:tc>
        <w:tc>
          <w:tcPr>
            <w:tcW w:w="8580" w:type="dxa"/>
          </w:tcPr>
          <w:p w14:paraId="1978346F" w14:textId="77777777" w:rsidR="002A21AE" w:rsidRPr="000921F1" w:rsidRDefault="002A21AE">
            <w:pPr>
              <w:pStyle w:val="TableText"/>
            </w:pPr>
            <w:r w:rsidRPr="000921F1">
              <w:rPr>
                <w:rFonts w:cs="Arial"/>
                <w:vanish/>
              </w:rPr>
              <w:t xml:space="preserve">BR_3.06 </w:t>
            </w:r>
            <w:r w:rsidRPr="000921F1">
              <w:t>When the user selects an antigen positive (or inconclusive for testing) unit and the patient has the corresponding antigen negative requirement, VBECS warns the user and requires action determined by the user’s security level.</w:t>
            </w:r>
          </w:p>
        </w:tc>
      </w:tr>
      <w:tr w:rsidR="002A21AE" w:rsidRPr="000921F1" w14:paraId="74DA8F2A" w14:textId="77777777">
        <w:tc>
          <w:tcPr>
            <w:tcW w:w="780" w:type="dxa"/>
          </w:tcPr>
          <w:p w14:paraId="5AAECE34" w14:textId="77777777" w:rsidR="002A21AE" w:rsidRPr="000921F1" w:rsidRDefault="0024117A">
            <w:pPr>
              <w:pStyle w:val="TableText"/>
            </w:pPr>
            <w:r>
              <w:t>10</w:t>
            </w:r>
          </w:p>
        </w:tc>
        <w:tc>
          <w:tcPr>
            <w:tcW w:w="8580" w:type="dxa"/>
          </w:tcPr>
          <w:p w14:paraId="7F297781" w14:textId="77777777" w:rsidR="002A21AE" w:rsidRPr="000921F1" w:rsidRDefault="002A21AE">
            <w:pPr>
              <w:pStyle w:val="TableText"/>
            </w:pPr>
            <w:r w:rsidRPr="000921F1">
              <w:t xml:space="preserve"> </w:t>
            </w:r>
            <w:r w:rsidRPr="000921F1">
              <w:rPr>
                <w:rFonts w:ascii="Wingdings 3" w:hAnsi="Wingdings 3" w:cs="Wingdings"/>
              </w:rPr>
              <w:t></w:t>
            </w:r>
            <w:r w:rsidRPr="000921F1">
              <w:rPr>
                <w:rFonts w:ascii="Wingdings 3" w:hAnsi="Wingdings 3" w:cs="Wingdings"/>
              </w:rPr>
              <w:t></w:t>
            </w:r>
            <w:r w:rsidRPr="000921F1">
              <w:t xml:space="preserve"> When the user is an Enhanced Technologist or below</w:t>
            </w:r>
            <w:r w:rsidRPr="000921F1">
              <w:rPr>
                <w:b/>
              </w:rPr>
              <w:t xml:space="preserve">, </w:t>
            </w:r>
            <w:r w:rsidRPr="000921F1">
              <w:t xml:space="preserve">VBECS emits an audible alert and warns that the patient has a history of an antibody, that the unit does not have a negative test for the corresponding antigen, and that the user </w:t>
            </w:r>
            <w:r w:rsidR="00082F78" w:rsidRPr="000921F1">
              <w:t>does not have the proper security level</w:t>
            </w:r>
            <w:r w:rsidRPr="000921F1">
              <w:t xml:space="preserve"> to select the unit. There is no override.</w:t>
            </w:r>
          </w:p>
        </w:tc>
      </w:tr>
      <w:tr w:rsidR="002A21AE" w:rsidRPr="000921F1" w14:paraId="5D763F54" w14:textId="77777777">
        <w:tc>
          <w:tcPr>
            <w:tcW w:w="780" w:type="dxa"/>
          </w:tcPr>
          <w:p w14:paraId="7FB32F79" w14:textId="77777777" w:rsidR="002A21AE" w:rsidRPr="000921F1" w:rsidRDefault="0024117A">
            <w:pPr>
              <w:pStyle w:val="TableText"/>
            </w:pPr>
            <w:r>
              <w:t>10</w:t>
            </w:r>
          </w:p>
        </w:tc>
        <w:tc>
          <w:tcPr>
            <w:tcW w:w="8580" w:type="dxa"/>
          </w:tcPr>
          <w:p w14:paraId="1831207B" w14:textId="77777777" w:rsidR="002A21AE" w:rsidRPr="000921F1" w:rsidRDefault="002A21AE">
            <w:pPr>
              <w:pStyle w:val="TableText"/>
            </w:pPr>
            <w:r w:rsidRPr="000921F1">
              <w:t xml:space="preserve"> </w:t>
            </w:r>
            <w:r w:rsidRPr="000921F1">
              <w:rPr>
                <w:rFonts w:ascii="Wingdings 3" w:hAnsi="Wingdings 3" w:cs="Wingdings"/>
              </w:rPr>
              <w:t></w:t>
            </w:r>
            <w:r w:rsidRPr="000921F1">
              <w:rPr>
                <w:rFonts w:ascii="Wingdings 3" w:hAnsi="Wingdings 3" w:cs="Wingdings"/>
              </w:rPr>
              <w:t></w:t>
            </w:r>
            <w:r w:rsidRPr="000921F1">
              <w:rPr>
                <w:rFonts w:ascii="Wingdings 3" w:hAnsi="Wingdings 3" w:cs="Wingdings"/>
              </w:rPr>
              <w:t></w:t>
            </w:r>
            <w:r w:rsidRPr="000921F1">
              <w:t xml:space="preserve"> When the user is a Lead Technologist or above, VBECS emits an audible alert, warns that the patient has a history of an antibody and that the unit is positive or inconclusive for the corresponding antigen, and asks whether the user wishes to continue to select the unit. </w:t>
            </w:r>
          </w:p>
          <w:p w14:paraId="2FB7DB56" w14:textId="77777777" w:rsidR="002A21AE" w:rsidRPr="000921F1" w:rsidRDefault="002A21AE">
            <w:pPr>
              <w:pStyle w:val="TableText"/>
            </w:pPr>
          </w:p>
          <w:p w14:paraId="3B66451D" w14:textId="77777777" w:rsidR="002A21AE" w:rsidRPr="000921F1" w:rsidRDefault="002A21AE">
            <w:pPr>
              <w:pStyle w:val="TableText"/>
            </w:pPr>
            <w:r w:rsidRPr="000921F1">
              <w:rPr>
                <w:b/>
              </w:rPr>
              <w:t>No</w:t>
            </w:r>
            <w:r w:rsidRPr="000921F1">
              <w:t xml:space="preserve"> allows the user to continue to select units for the patient. </w:t>
            </w:r>
            <w:r w:rsidRPr="000921F1">
              <w:rPr>
                <w:b/>
                <w:bCs/>
              </w:rPr>
              <w:t>Yes</w:t>
            </w:r>
            <w:r w:rsidRPr="000921F1">
              <w:t xml:space="preserve"> requires a comment and captures details for inclusion in an Exception Report (exception type</w:t>
            </w:r>
            <w:r w:rsidRPr="000921F1">
              <w:rPr>
                <w:rStyle w:val="StyleTableTextBlackChar"/>
                <w:color w:val="auto"/>
              </w:rPr>
              <w:t>: antigen positive units selected).</w:t>
            </w:r>
          </w:p>
        </w:tc>
      </w:tr>
      <w:tr w:rsidR="002A21AE" w:rsidRPr="000921F1" w14:paraId="3E1FDA6F" w14:textId="77777777">
        <w:tc>
          <w:tcPr>
            <w:tcW w:w="780" w:type="dxa"/>
          </w:tcPr>
          <w:p w14:paraId="1C685288" w14:textId="77777777" w:rsidR="002A21AE" w:rsidRPr="000921F1" w:rsidRDefault="0024117A">
            <w:pPr>
              <w:pStyle w:val="TableText"/>
            </w:pPr>
            <w:r>
              <w:t>10</w:t>
            </w:r>
          </w:p>
        </w:tc>
        <w:tc>
          <w:tcPr>
            <w:tcW w:w="8580" w:type="dxa"/>
          </w:tcPr>
          <w:p w14:paraId="6932FD27" w14:textId="77777777" w:rsidR="002A21AE" w:rsidRPr="000921F1" w:rsidRDefault="002A21AE">
            <w:pPr>
              <w:pStyle w:val="TableText"/>
            </w:pPr>
            <w:r w:rsidRPr="000921F1">
              <w:rPr>
                <w:rFonts w:cs="Arial"/>
                <w:vanish/>
              </w:rPr>
              <w:t xml:space="preserve">BR_3.15 </w:t>
            </w:r>
            <w:r w:rsidRPr="000921F1">
              <w:t>When a unit was not antigen typed for the corresponding antigen, VBECS emits an audible alert, warns that the unit must be typed and found negative to be available for this patient, and asks whether the user wishes to continue to select this unit. The user may continue to select units for the patient.</w:t>
            </w:r>
          </w:p>
          <w:p w14:paraId="6426A186" w14:textId="77777777" w:rsidR="002A21AE" w:rsidRPr="000921F1" w:rsidRDefault="002A21AE">
            <w:pPr>
              <w:pStyle w:val="TableText"/>
            </w:pPr>
          </w:p>
          <w:p w14:paraId="390F8226" w14:textId="77777777" w:rsidR="002A21AE" w:rsidRPr="000921F1" w:rsidRDefault="002A21AE">
            <w:pPr>
              <w:pStyle w:val="TableText"/>
              <w:rPr>
                <w:rStyle w:val="StyleTableTextBlackChar"/>
                <w:color w:val="auto"/>
              </w:rPr>
            </w:pPr>
            <w:r w:rsidRPr="000921F1">
              <w:rPr>
                <w:b/>
                <w:bCs/>
              </w:rPr>
              <w:t>Yes</w:t>
            </w:r>
            <w:r w:rsidRPr="000921F1">
              <w:t xml:space="preserve"> requires a comment and captures details for inclusion in an Exception Report (exception type</w:t>
            </w:r>
            <w:r w:rsidRPr="000921F1">
              <w:rPr>
                <w:rStyle w:val="StyleTableTextBlackChar"/>
                <w:color w:val="auto"/>
              </w:rPr>
              <w:t>: antigen positive units selected).</w:t>
            </w:r>
          </w:p>
          <w:p w14:paraId="2300B7EF" w14:textId="77777777" w:rsidR="002A21AE" w:rsidRPr="000921F1" w:rsidRDefault="002A21AE">
            <w:pPr>
              <w:pStyle w:val="TableText"/>
            </w:pPr>
          </w:p>
          <w:p w14:paraId="6D9D1447" w14:textId="5BC09892" w:rsidR="002A21AE" w:rsidRPr="000921F1" w:rsidRDefault="002A21AE">
            <w:pPr>
              <w:pStyle w:val="TableText"/>
              <w:rPr>
                <w:szCs w:val="18"/>
              </w:rPr>
            </w:pPr>
            <w:r w:rsidRPr="000921F1">
              <w:t xml:space="preserve">See </w:t>
            </w:r>
            <w:r w:rsidR="00543DAF" w:rsidRPr="000921F1">
              <w:fldChar w:fldCharType="begin" w:fldLock="1"/>
            </w:r>
            <w:r w:rsidR="00543DAF" w:rsidRPr="000921F1">
              <w:instrText xml:space="preserve"> REF _Ref170004931 \h </w:instrText>
            </w:r>
            <w:r w:rsidR="000921F1">
              <w:instrText xml:space="preserve"> \* MERGEFORMAT </w:instrText>
            </w:r>
            <w:r w:rsidR="00543DAF" w:rsidRPr="000921F1">
              <w:fldChar w:fldCharType="separate"/>
            </w:r>
            <w:r w:rsidR="00AB304C">
              <w:t xml:space="preserve">Appendix </w:t>
            </w:r>
            <w:r w:rsidR="00AB304C">
              <w:rPr>
                <w:noProof/>
              </w:rPr>
              <w:t>B</w:t>
            </w:r>
            <w:r w:rsidR="00543DAF" w:rsidRPr="000921F1">
              <w:fldChar w:fldCharType="end"/>
            </w:r>
            <w:r w:rsidRPr="000921F1">
              <w:t xml:space="preserve">: </w:t>
            </w:r>
            <w:r w:rsidR="00590097" w:rsidRPr="000921F1">
              <w:fldChar w:fldCharType="begin" w:fldLock="1"/>
            </w:r>
            <w:r w:rsidR="00590097" w:rsidRPr="000921F1">
              <w:instrText xml:space="preserve"> REF _Ref126484449 \h </w:instrText>
            </w:r>
            <w:r w:rsidR="000921F1">
              <w:instrText xml:space="preserve"> \* MERGEFORMAT </w:instrText>
            </w:r>
            <w:r w:rsidR="00590097" w:rsidRPr="000921F1">
              <w:fldChar w:fldCharType="separate"/>
            </w:r>
            <w:r w:rsidR="00AB304C">
              <w:t xml:space="preserve">Table </w:t>
            </w:r>
            <w:r w:rsidR="00AB304C">
              <w:rPr>
                <w:noProof/>
              </w:rPr>
              <w:t>14:</w:t>
            </w:r>
            <w:r w:rsidR="00AB304C">
              <w:t xml:space="preserve"> </w:t>
            </w:r>
            <w:r w:rsidR="00AB304C">
              <w:rPr>
                <w:vanish/>
              </w:rPr>
              <w:t xml:space="preserve">TT_23.01A </w:t>
            </w:r>
            <w:r w:rsidR="00AB304C">
              <w:t>Antibody and Antigen Table: Irregular Antibodies</w:t>
            </w:r>
            <w:r w:rsidR="00590097" w:rsidRPr="000921F1">
              <w:fldChar w:fldCharType="end"/>
            </w:r>
            <w:r w:rsidRPr="000921F1">
              <w:t>.</w:t>
            </w:r>
          </w:p>
        </w:tc>
      </w:tr>
      <w:tr w:rsidR="002A21AE" w:rsidRPr="000921F1" w14:paraId="1A8B60C1" w14:textId="77777777">
        <w:tc>
          <w:tcPr>
            <w:tcW w:w="780" w:type="dxa"/>
          </w:tcPr>
          <w:p w14:paraId="670BAADD" w14:textId="77777777" w:rsidR="002A21AE" w:rsidRPr="000921F1" w:rsidRDefault="0024117A">
            <w:pPr>
              <w:pStyle w:val="TableText"/>
            </w:pPr>
            <w:r>
              <w:t>10</w:t>
            </w:r>
          </w:p>
        </w:tc>
        <w:tc>
          <w:tcPr>
            <w:tcW w:w="8580" w:type="dxa"/>
          </w:tcPr>
          <w:p w14:paraId="45A6D89F" w14:textId="77777777" w:rsidR="003B1AEA" w:rsidRPr="00772260" w:rsidRDefault="003B1AEA" w:rsidP="003B1AEA">
            <w:pPr>
              <w:pStyle w:val="TableText"/>
              <w:rPr>
                <w:rFonts w:cs="Arial"/>
                <w:szCs w:val="18"/>
              </w:rPr>
            </w:pPr>
            <w:r w:rsidRPr="00772260">
              <w:rPr>
                <w:rFonts w:cs="Arial"/>
                <w:vanish/>
                <w:szCs w:val="18"/>
              </w:rPr>
              <w:t xml:space="preserve">BR_3.08 </w:t>
            </w:r>
            <w:r w:rsidRPr="00772260">
              <w:rPr>
                <w:rFonts w:cs="Arial"/>
                <w:szCs w:val="18"/>
              </w:rPr>
              <w:t xml:space="preserve">When an Rh negative patient has an active anti-D antibody </w:t>
            </w:r>
            <w:r w:rsidRPr="003B1AEA">
              <w:rPr>
                <w:rFonts w:cs="Arial"/>
                <w:szCs w:val="18"/>
              </w:rPr>
              <w:t>or a D antigen negative requirement set in Special Instructions and Transfusion Requirements,</w:t>
            </w:r>
            <w:r w:rsidRPr="00772260">
              <w:rPr>
                <w:rFonts w:cs="Arial"/>
                <w:szCs w:val="18"/>
              </w:rPr>
              <w:t xml:space="preserve"> VBECS verifies the presence or absence of the corresponding antigen based on the ABO/Rh of the selected blood unit. When a user selects an Rh positive blood unit for a patient with anti-D, VBECS warns the user and requires action based on the user’s security level.</w:t>
            </w:r>
          </w:p>
          <w:p w14:paraId="2CD11AAA" w14:textId="77777777" w:rsidR="002A21AE" w:rsidRPr="000921F1" w:rsidRDefault="002A21AE">
            <w:pPr>
              <w:pStyle w:val="TableText"/>
            </w:pPr>
          </w:p>
          <w:p w14:paraId="6CF8A97F" w14:textId="77777777" w:rsidR="002A21AE" w:rsidRPr="000921F1" w:rsidRDefault="002A21AE">
            <w:pPr>
              <w:pStyle w:val="TableText"/>
            </w:pPr>
            <w:r w:rsidRPr="000921F1">
              <w:t>The antigen negative requirement for anti-</w:t>
            </w:r>
            <w:r w:rsidR="003B1AEA">
              <w:t>D is D, not AGwD. AGwD is</w:t>
            </w:r>
            <w:r w:rsidRPr="000921F1">
              <w:t xml:space="preserve"> not </w:t>
            </w:r>
            <w:r w:rsidR="003B1AEA">
              <w:t xml:space="preserve">a </w:t>
            </w:r>
            <w:r w:rsidRPr="000921F1">
              <w:t>selectab</w:t>
            </w:r>
            <w:r w:rsidR="003B1AEA">
              <w:t>le antigen negative requirement</w:t>
            </w:r>
            <w:r w:rsidRPr="000921F1">
              <w:t xml:space="preserve"> in Special Instructions &amp; Transfusion Requirements: </w:t>
            </w:r>
            <w:r w:rsidR="003B1AEA">
              <w:t>Antigen Negative RBCs.</w:t>
            </w:r>
            <w:r w:rsidRPr="000921F1">
              <w:t xml:space="preserve"> </w:t>
            </w:r>
          </w:p>
        </w:tc>
      </w:tr>
      <w:tr w:rsidR="002A21AE" w:rsidRPr="000921F1" w14:paraId="1CEFD56B" w14:textId="77777777">
        <w:tc>
          <w:tcPr>
            <w:tcW w:w="780" w:type="dxa"/>
          </w:tcPr>
          <w:p w14:paraId="700B8A14" w14:textId="77777777" w:rsidR="002A21AE" w:rsidRPr="000921F1" w:rsidRDefault="0024117A">
            <w:pPr>
              <w:pStyle w:val="TableText"/>
            </w:pPr>
            <w:r>
              <w:t>10</w:t>
            </w:r>
          </w:p>
        </w:tc>
        <w:tc>
          <w:tcPr>
            <w:tcW w:w="8580" w:type="dxa"/>
          </w:tcPr>
          <w:p w14:paraId="05BD036D" w14:textId="77777777" w:rsidR="002A21AE" w:rsidRPr="000921F1" w:rsidRDefault="002A21AE">
            <w:pPr>
              <w:pStyle w:val="TableText"/>
            </w:pPr>
            <w:r w:rsidRPr="00DE022E">
              <w:rPr>
                <w:rFonts w:cs="Arial"/>
                <w:vanish/>
              </w:rPr>
              <w:t xml:space="preserve">BR_3.21 </w:t>
            </w:r>
            <w:r w:rsidRPr="00DE022E">
              <w:t>For an Rh negative, u</w:t>
            </w:r>
            <w:r w:rsidR="004F3E1E" w:rsidRPr="00DE022E">
              <w:t>nknown, or inconclusive patient: when</w:t>
            </w:r>
            <w:r w:rsidRPr="00DE022E">
              <w:t xml:space="preserve"> the selection of </w:t>
            </w:r>
            <w:r w:rsidR="000826CF" w:rsidRPr="00DE022E">
              <w:t xml:space="preserve">Rh positive </w:t>
            </w:r>
            <w:r w:rsidR="004F3E1E" w:rsidRPr="00DE022E">
              <w:t xml:space="preserve">or Rh pooled </w:t>
            </w:r>
            <w:r w:rsidR="000826CF" w:rsidRPr="00DE022E">
              <w:t>units from the WHOLE BLOOD, RED BLOOD CELLS, PLATELETS, and OTHER VBECS compo</w:t>
            </w:r>
            <w:r w:rsidR="003B1AEA">
              <w:t>nent classes</w:t>
            </w:r>
            <w:r w:rsidR="004F3E1E" w:rsidRPr="00DE022E">
              <w:t xml:space="preserve"> are individually entered and confi</w:t>
            </w:r>
            <w:r w:rsidR="003B1AEA">
              <w:t>r</w:t>
            </w:r>
            <w:r w:rsidR="004F3E1E" w:rsidRPr="00DE022E">
              <w:t xml:space="preserve">med </w:t>
            </w:r>
            <w:r w:rsidR="003B1AEA">
              <w:t>as required</w:t>
            </w:r>
            <w:r w:rsidRPr="00DE022E">
              <w:t xml:space="preserve">, VBECS emits an audible alert, warns that the patient is Rh negative and the selected unit is Rh positive, instructs the user to check the patient sex and hospital policy before continuing, and asks whether the user wishes </w:t>
            </w:r>
            <w:r w:rsidR="00CE47BA" w:rsidRPr="00DE022E">
              <w:t>to continue to select the unit.</w:t>
            </w:r>
          </w:p>
          <w:p w14:paraId="3F391E47" w14:textId="77777777" w:rsidR="002A21AE" w:rsidRPr="000921F1" w:rsidRDefault="002A21AE">
            <w:pPr>
              <w:pStyle w:val="TableText"/>
            </w:pPr>
          </w:p>
          <w:p w14:paraId="0D4B4DAE" w14:textId="77777777" w:rsidR="002A21AE" w:rsidRPr="000921F1" w:rsidRDefault="003B1AEA">
            <w:pPr>
              <w:pStyle w:val="TableText"/>
            </w:pPr>
            <w:r w:rsidRPr="000921F1">
              <w:rPr>
                <w:b/>
              </w:rPr>
              <w:t>No</w:t>
            </w:r>
            <w:r w:rsidRPr="000921F1">
              <w:t xml:space="preserve"> clears the unit data and allows the user to select a different unit. </w:t>
            </w:r>
            <w:r w:rsidRPr="000921F1">
              <w:rPr>
                <w:b/>
              </w:rPr>
              <w:t>Yes</w:t>
            </w:r>
            <w:r w:rsidRPr="000921F1">
              <w:t xml:space="preserve"> requires additional comment </w:t>
            </w:r>
            <w:r w:rsidRPr="003B1AEA">
              <w:t>(unit selection canned comment context)</w:t>
            </w:r>
            <w:r>
              <w:t xml:space="preserve"> </w:t>
            </w:r>
            <w:r w:rsidRPr="000921F1">
              <w:t>and captures details for inclusion in an Exception Report (exception type: Rh positive units selected).</w:t>
            </w:r>
          </w:p>
        </w:tc>
      </w:tr>
      <w:tr w:rsidR="002A21AE" w:rsidRPr="000921F1" w14:paraId="2F2054D7" w14:textId="77777777">
        <w:tc>
          <w:tcPr>
            <w:tcW w:w="780" w:type="dxa"/>
          </w:tcPr>
          <w:p w14:paraId="37DB2F1B" w14:textId="77777777" w:rsidR="002A21AE" w:rsidRPr="000921F1" w:rsidRDefault="0024117A">
            <w:pPr>
              <w:pStyle w:val="TableText"/>
            </w:pPr>
            <w:r>
              <w:t>10</w:t>
            </w:r>
          </w:p>
        </w:tc>
        <w:tc>
          <w:tcPr>
            <w:tcW w:w="8580" w:type="dxa"/>
          </w:tcPr>
          <w:p w14:paraId="6EAAF25A" w14:textId="77777777" w:rsidR="002A21AE" w:rsidRPr="000921F1" w:rsidRDefault="002A21AE" w:rsidP="004E0FCD">
            <w:pPr>
              <w:pStyle w:val="TableText"/>
            </w:pPr>
            <w:r w:rsidRPr="000921F1">
              <w:rPr>
                <w:rFonts w:cs="Arial"/>
                <w:vanish/>
              </w:rPr>
              <w:t xml:space="preserve">BR_3.09 </w:t>
            </w:r>
            <w:r w:rsidRPr="000921F1">
              <w:t xml:space="preserve">When </w:t>
            </w:r>
            <w:r w:rsidR="004E0FCD">
              <w:t>the</w:t>
            </w:r>
            <w:r w:rsidRPr="000921F1">
              <w:t xml:space="preserve"> user selects </w:t>
            </w:r>
            <w:r w:rsidR="004E0FCD">
              <w:t xml:space="preserve">a blood unit to fill a </w:t>
            </w:r>
            <w:r w:rsidRPr="000921F1">
              <w:t>component order</w:t>
            </w:r>
            <w:r w:rsidR="004E0FCD">
              <w:t xml:space="preserve"> of RED BLOOD CELLS, “PLATELETS”</w:t>
            </w:r>
            <w:r w:rsidR="009F22C1">
              <w:t xml:space="preserve"> or “OTHER” and has</w:t>
            </w:r>
            <w:r w:rsidR="004E0FCD">
              <w:t xml:space="preserve"> =</w:t>
            </w:r>
            <w:r w:rsidR="009F22C1">
              <w:t xml:space="preserve"> &gt; </w:t>
            </w:r>
            <w:r w:rsidR="004E0FCD">
              <w:t>2 mL RBC contamination, the unit will be evaluated for ABO/Rh red cell compatibility. When the unit is not ABO compatible for the selected patient, VBECS presents a message to the user stating that the unit is and releases the unit from selection (assignment).</w:t>
            </w:r>
          </w:p>
        </w:tc>
      </w:tr>
      <w:tr w:rsidR="002A21AE" w:rsidRPr="000921F1" w14:paraId="053CD239" w14:textId="77777777">
        <w:tc>
          <w:tcPr>
            <w:tcW w:w="780" w:type="dxa"/>
          </w:tcPr>
          <w:p w14:paraId="0663968C" w14:textId="77777777" w:rsidR="002A21AE" w:rsidRPr="000921F1" w:rsidRDefault="0024117A" w:rsidP="00200B6D">
            <w:pPr>
              <w:pStyle w:val="TableText"/>
            </w:pPr>
            <w:r>
              <w:t>10</w:t>
            </w:r>
          </w:p>
        </w:tc>
        <w:tc>
          <w:tcPr>
            <w:tcW w:w="8580" w:type="dxa"/>
          </w:tcPr>
          <w:p w14:paraId="3593358D" w14:textId="77777777" w:rsidR="00200B6D" w:rsidRPr="000921F1" w:rsidRDefault="002A21AE" w:rsidP="00200B6D">
            <w:pPr>
              <w:pStyle w:val="TableText"/>
            </w:pPr>
            <w:r w:rsidRPr="000921F1">
              <w:rPr>
                <w:vanish/>
                <w:szCs w:val="18"/>
              </w:rPr>
              <w:t xml:space="preserve">BR_3.14 </w:t>
            </w:r>
            <w:r w:rsidRPr="000921F1">
              <w:t>When a patient has TRs other than CMV negative</w:t>
            </w:r>
            <w:r w:rsidR="00896015">
              <w:t xml:space="preserve"> or Sickle Cell n</w:t>
            </w:r>
            <w:r w:rsidR="00613E18">
              <w:t>egative</w:t>
            </w:r>
            <w:r w:rsidRPr="000921F1">
              <w:t>, VBECS verifies whether the selected unit satisfies the requirement based on system rules</w:t>
            </w:r>
            <w:r w:rsidR="000360F1" w:rsidRPr="000921F1">
              <w:rPr>
                <w:szCs w:val="18"/>
              </w:rPr>
              <w:t xml:space="preserve"> </w:t>
            </w:r>
            <w:r w:rsidRPr="000921F1">
              <w:rPr>
                <w:szCs w:val="18"/>
              </w:rPr>
              <w:t>TT_3.04 Blood Unit Substitution and the Fulfillment of Transfusion Requirements</w:t>
            </w:r>
            <w:r w:rsidRPr="000921F1">
              <w:t xml:space="preserve">. When the TR is not satisfied, VBECS emits an audible alert, warns that the unit does not satisfy all of the patient’s TRs, and asks whether the user wishes to continue to select the unit. </w:t>
            </w:r>
          </w:p>
          <w:p w14:paraId="6B7A4101" w14:textId="77777777" w:rsidR="00200B6D" w:rsidRPr="000921F1" w:rsidRDefault="00200B6D" w:rsidP="00200B6D">
            <w:pPr>
              <w:pStyle w:val="TableText"/>
            </w:pPr>
          </w:p>
          <w:p w14:paraId="4C1CBAF3" w14:textId="77777777" w:rsidR="002A21AE" w:rsidRPr="000921F1" w:rsidRDefault="002A21AE" w:rsidP="00200B6D">
            <w:pPr>
              <w:pStyle w:val="TableText"/>
            </w:pPr>
            <w:r w:rsidRPr="000921F1">
              <w:rPr>
                <w:b/>
              </w:rPr>
              <w:t>No</w:t>
            </w:r>
            <w:r w:rsidRPr="000921F1">
              <w:t xml:space="preserve"> clears the screen. </w:t>
            </w:r>
            <w:r w:rsidRPr="000921F1">
              <w:rPr>
                <w:b/>
              </w:rPr>
              <w:t>Yes</w:t>
            </w:r>
            <w:r w:rsidRPr="000921F1">
              <w:t xml:space="preserve"> allows the user to continue without comment. </w:t>
            </w:r>
          </w:p>
        </w:tc>
      </w:tr>
      <w:tr w:rsidR="002A21AE" w:rsidRPr="000921F1" w14:paraId="558A9FA4" w14:textId="77777777">
        <w:tc>
          <w:tcPr>
            <w:tcW w:w="780" w:type="dxa"/>
          </w:tcPr>
          <w:p w14:paraId="0959954D" w14:textId="77777777" w:rsidR="002A21AE" w:rsidRPr="000921F1" w:rsidRDefault="0024117A">
            <w:pPr>
              <w:pStyle w:val="TableText"/>
            </w:pPr>
            <w:r>
              <w:lastRenderedPageBreak/>
              <w:t>10</w:t>
            </w:r>
          </w:p>
        </w:tc>
        <w:tc>
          <w:tcPr>
            <w:tcW w:w="8580" w:type="dxa"/>
          </w:tcPr>
          <w:p w14:paraId="4CC14E1D" w14:textId="77777777" w:rsidR="002A21AE" w:rsidRPr="000921F1" w:rsidRDefault="002A21AE">
            <w:pPr>
              <w:pStyle w:val="TableText"/>
              <w:rPr>
                <w:szCs w:val="18"/>
              </w:rPr>
            </w:pPr>
            <w:r w:rsidRPr="000921F1">
              <w:rPr>
                <w:rFonts w:cs="Arial"/>
                <w:vanish/>
              </w:rPr>
              <w:t xml:space="preserve">BR_3.32 </w:t>
            </w:r>
            <w:r w:rsidR="00896015">
              <w:rPr>
                <w:szCs w:val="18"/>
              </w:rPr>
              <w:t>When a patient has a TR of CMV n</w:t>
            </w:r>
            <w:r w:rsidRPr="000921F1">
              <w:rPr>
                <w:szCs w:val="18"/>
              </w:rPr>
              <w:t>egative</w:t>
            </w:r>
            <w:r w:rsidR="003B1AEA">
              <w:rPr>
                <w:szCs w:val="18"/>
              </w:rPr>
              <w:t xml:space="preserve"> or Sickle</w:t>
            </w:r>
            <w:r w:rsidR="00896015">
              <w:rPr>
                <w:szCs w:val="18"/>
              </w:rPr>
              <w:t xml:space="preserve"> Cell n</w:t>
            </w:r>
            <w:r w:rsidR="003B1AEA">
              <w:rPr>
                <w:szCs w:val="18"/>
              </w:rPr>
              <w:t>egative</w:t>
            </w:r>
            <w:r w:rsidRPr="000921F1">
              <w:rPr>
                <w:szCs w:val="18"/>
              </w:rPr>
              <w:t>, VBECS verifies the selected unit for compliance. When the selected unit does not fit the criteria, VBECS emits an audible alert and warns the user:</w:t>
            </w:r>
          </w:p>
          <w:p w14:paraId="2EDE8FA5" w14:textId="77777777" w:rsidR="002A21AE" w:rsidRPr="000921F1" w:rsidRDefault="002A21AE">
            <w:pPr>
              <w:pStyle w:val="TableTextBullet"/>
            </w:pPr>
            <w:r w:rsidRPr="000921F1">
              <w:rPr>
                <w:rFonts w:ascii="Wingdings 3" w:hAnsi="Wingdings 3" w:cs="Wingdings"/>
              </w:rPr>
              <w:t></w:t>
            </w:r>
            <w:r w:rsidRPr="000921F1">
              <w:rPr>
                <w:rFonts w:ascii="Wingdings 3" w:hAnsi="Wingdings 3" w:cs="Wingdings"/>
              </w:rPr>
              <w:t></w:t>
            </w:r>
            <w:r w:rsidRPr="000921F1">
              <w:t xml:space="preserve"> Enhanced Technologist or below: VBECS warns</w:t>
            </w:r>
            <w:r w:rsidR="00896015">
              <w:t xml:space="preserve"> that the patient requires CMV n</w:t>
            </w:r>
            <w:r w:rsidRPr="000921F1">
              <w:t xml:space="preserve">egative </w:t>
            </w:r>
            <w:r w:rsidR="00896015">
              <w:t xml:space="preserve">or Sickle Cell negative </w:t>
            </w:r>
            <w:r w:rsidRPr="000921F1">
              <w:t>blood, that the selected unit is not CMV negative</w:t>
            </w:r>
            <w:r w:rsidR="00896015">
              <w:t xml:space="preserve"> or Sickle Cell negative</w:t>
            </w:r>
            <w:r w:rsidRPr="000921F1">
              <w:t xml:space="preserve">, and that the user </w:t>
            </w:r>
            <w:r w:rsidR="00082F78" w:rsidRPr="000921F1">
              <w:t>does not have the proper security level</w:t>
            </w:r>
            <w:r w:rsidRPr="000921F1">
              <w:t xml:space="preserve"> to select the unit. There is no override. VBECS clears the screen, and the user must select another unit.</w:t>
            </w:r>
          </w:p>
          <w:p w14:paraId="2B397001" w14:textId="77777777" w:rsidR="002A21AE" w:rsidRPr="000921F1" w:rsidRDefault="002A21AE">
            <w:pPr>
              <w:pStyle w:val="TableTextBullet"/>
            </w:pPr>
            <w:r w:rsidRPr="000921F1">
              <w:rPr>
                <w:rFonts w:ascii="Wingdings 3" w:hAnsi="Wingdings 3" w:cs="Wingdings"/>
              </w:rPr>
              <w:t></w:t>
            </w:r>
            <w:r w:rsidRPr="000921F1">
              <w:rPr>
                <w:rFonts w:ascii="Wingdings 3" w:hAnsi="Wingdings 3" w:cs="Wingdings"/>
              </w:rPr>
              <w:t></w:t>
            </w:r>
            <w:r w:rsidRPr="000921F1">
              <w:rPr>
                <w:rFonts w:ascii="Wingdings 3" w:hAnsi="Wingdings 3" w:cs="Wingdings"/>
              </w:rPr>
              <w:t></w:t>
            </w:r>
            <w:r w:rsidRPr="000921F1">
              <w:t xml:space="preserve"> Lead Technologist or above: VBECS warns that the patient requires CMV negative </w:t>
            </w:r>
            <w:r w:rsidR="00896015">
              <w:t xml:space="preserve">or Sickle Cell negative </w:t>
            </w:r>
            <w:r w:rsidRPr="000921F1">
              <w:t>blood, that the selected unit is not CMV negative</w:t>
            </w:r>
            <w:r w:rsidR="00896015">
              <w:t xml:space="preserve"> or Sickle Cell negative</w:t>
            </w:r>
            <w:r w:rsidRPr="000921F1">
              <w:t xml:space="preserve">, and asks whether the user wishes to continue to select. </w:t>
            </w:r>
            <w:r w:rsidRPr="000921F1">
              <w:rPr>
                <w:b/>
              </w:rPr>
              <w:t>No</w:t>
            </w:r>
            <w:r w:rsidRPr="000921F1">
              <w:t xml:space="preserve"> clears the screen and the user must select a new blood unit. </w:t>
            </w:r>
            <w:r w:rsidRPr="000921F1">
              <w:rPr>
                <w:b/>
              </w:rPr>
              <w:t>Yes</w:t>
            </w:r>
            <w:r w:rsidRPr="000921F1">
              <w:t xml:space="preserve"> requires a comment and captures details for inclusion in an Exception Report (exception type: Transfusion Requirement incompatible unit selected).</w:t>
            </w:r>
          </w:p>
        </w:tc>
      </w:tr>
      <w:tr w:rsidR="002A21AE" w:rsidRPr="000921F1" w14:paraId="5F3782D2" w14:textId="77777777">
        <w:tc>
          <w:tcPr>
            <w:tcW w:w="780" w:type="dxa"/>
          </w:tcPr>
          <w:p w14:paraId="421B4925" w14:textId="77777777" w:rsidR="002A21AE" w:rsidRPr="000921F1" w:rsidRDefault="0024117A">
            <w:pPr>
              <w:pStyle w:val="TableText"/>
            </w:pPr>
            <w:r>
              <w:t>10</w:t>
            </w:r>
          </w:p>
        </w:tc>
        <w:tc>
          <w:tcPr>
            <w:tcW w:w="8580" w:type="dxa"/>
          </w:tcPr>
          <w:p w14:paraId="2BD1DFDE" w14:textId="77777777" w:rsidR="002A21AE" w:rsidRPr="000921F1" w:rsidRDefault="002A21AE">
            <w:pPr>
              <w:pStyle w:val="TableText"/>
            </w:pPr>
            <w:r w:rsidRPr="000921F1">
              <w:rPr>
                <w:rFonts w:cs="Arial"/>
                <w:vanish/>
              </w:rPr>
              <w:t xml:space="preserve">BR_3.39 </w:t>
            </w:r>
            <w:r w:rsidRPr="000921F1">
              <w:t>When a user selects a unit with a biohazardous indicator for a patient, VBECS emits an audible alert, warns the user, and asks whether the user still wishes to select the unit.</w:t>
            </w:r>
          </w:p>
          <w:p w14:paraId="2D860FCE" w14:textId="77777777" w:rsidR="002A21AE" w:rsidRPr="000921F1" w:rsidRDefault="002A21AE">
            <w:pPr>
              <w:pStyle w:val="NotesText"/>
            </w:pPr>
          </w:p>
          <w:p w14:paraId="0B19289B" w14:textId="77777777" w:rsidR="002A21AE" w:rsidRPr="000921F1" w:rsidRDefault="002A21AE">
            <w:pPr>
              <w:pStyle w:val="TableText"/>
            </w:pPr>
            <w:r w:rsidRPr="000921F1">
              <w:rPr>
                <w:b/>
              </w:rPr>
              <w:t>No</w:t>
            </w:r>
            <w:r w:rsidRPr="000921F1">
              <w:t xml:space="preserve"> clears the entry and allows the user to select a new unit. </w:t>
            </w:r>
            <w:r w:rsidRPr="000921F1">
              <w:rPr>
                <w:b/>
              </w:rPr>
              <w:t>Yes</w:t>
            </w:r>
            <w:r w:rsidRPr="000921F1">
              <w:t xml:space="preserve"> requires a comment and captures details for inclusion in an Exception Report (exception type: biohazardous unit selected).</w:t>
            </w:r>
          </w:p>
        </w:tc>
      </w:tr>
      <w:tr w:rsidR="002A21AE" w:rsidRPr="000921F1" w14:paraId="44D113E2" w14:textId="77777777">
        <w:tc>
          <w:tcPr>
            <w:tcW w:w="780" w:type="dxa"/>
          </w:tcPr>
          <w:p w14:paraId="6FA29B30" w14:textId="77777777" w:rsidR="002A21AE" w:rsidRPr="000921F1" w:rsidRDefault="0024117A">
            <w:pPr>
              <w:pStyle w:val="TableText"/>
            </w:pPr>
            <w:r>
              <w:t>10</w:t>
            </w:r>
          </w:p>
        </w:tc>
        <w:tc>
          <w:tcPr>
            <w:tcW w:w="8580" w:type="dxa"/>
          </w:tcPr>
          <w:p w14:paraId="4C2865AA" w14:textId="77777777" w:rsidR="002A21AE" w:rsidRPr="000921F1" w:rsidRDefault="002A21AE">
            <w:pPr>
              <w:pStyle w:val="TableText"/>
            </w:pPr>
            <w:r w:rsidRPr="000921F1">
              <w:rPr>
                <w:rFonts w:cs="Arial"/>
                <w:vanish/>
              </w:rPr>
              <w:t xml:space="preserve">BR_3.12 </w:t>
            </w:r>
            <w:r w:rsidRPr="000921F1">
              <w:rPr>
                <w:szCs w:val="22"/>
              </w:rPr>
              <w:t></w:t>
            </w:r>
            <w:r w:rsidRPr="000921F1">
              <w:t>When the user selects blood components from the frozen product types for a patient, VBECS emits an audible alert and warns that the selected blood unit must be thawed and may require additional processing prior to issue</w:t>
            </w:r>
            <w:r w:rsidR="00CD635A">
              <w:t>.</w:t>
            </w:r>
            <w:r w:rsidRPr="000921F1">
              <w:t xml:space="preserve"> VBECS updates the blood unit status to “assigned” and the unit is no longer available for issue.</w:t>
            </w:r>
          </w:p>
        </w:tc>
      </w:tr>
      <w:tr w:rsidR="002A21AE" w:rsidRPr="000921F1" w14:paraId="10C4C3F5" w14:textId="77777777">
        <w:tc>
          <w:tcPr>
            <w:tcW w:w="780" w:type="dxa"/>
          </w:tcPr>
          <w:p w14:paraId="23F498E0" w14:textId="77777777" w:rsidR="002A21AE" w:rsidRPr="000921F1" w:rsidRDefault="0024117A">
            <w:pPr>
              <w:pStyle w:val="TableText"/>
            </w:pPr>
            <w:r>
              <w:t>10</w:t>
            </w:r>
          </w:p>
        </w:tc>
        <w:tc>
          <w:tcPr>
            <w:tcW w:w="8580" w:type="dxa"/>
          </w:tcPr>
          <w:p w14:paraId="79997FB2" w14:textId="2FB88B36" w:rsidR="002A21AE" w:rsidRPr="000921F1" w:rsidRDefault="00B01176" w:rsidP="001710A2">
            <w:pPr>
              <w:pStyle w:val="TableText"/>
            </w:pPr>
            <w:r w:rsidRPr="00B01176">
              <w:rPr>
                <w:vanish/>
              </w:rPr>
              <w:t xml:space="preserve">BR_3.35 </w:t>
            </w:r>
            <w:r w:rsidR="006605B8" w:rsidRPr="000921F1">
              <w:t xml:space="preserve">When a user selects a unit requiring XM, eXM is enabled, and the patient is eligible, the selected unit ABO/Rh must be compatible with the patient ABO/Rh. VBECS displays a message based on </w:t>
            </w:r>
            <w:r w:rsidR="006605B8" w:rsidRPr="000921F1">
              <w:fldChar w:fldCharType="begin" w:fldLock="1"/>
            </w:r>
            <w:r w:rsidR="006605B8" w:rsidRPr="000921F1">
              <w:instrText xml:space="preserve"> REF _Ref170004931 \h </w:instrText>
            </w:r>
            <w:r w:rsidR="006605B8">
              <w:instrText xml:space="preserve"> \* MERGEFORMAT </w:instrText>
            </w:r>
            <w:r w:rsidR="006605B8" w:rsidRPr="000921F1">
              <w:fldChar w:fldCharType="separate"/>
            </w:r>
            <w:r w:rsidR="00AB304C">
              <w:t xml:space="preserve">Appendix </w:t>
            </w:r>
            <w:r w:rsidR="00AB304C">
              <w:rPr>
                <w:noProof/>
              </w:rPr>
              <w:t>B</w:t>
            </w:r>
            <w:r w:rsidR="006605B8" w:rsidRPr="000921F1">
              <w:fldChar w:fldCharType="end"/>
            </w:r>
            <w:r w:rsidR="006605B8" w:rsidRPr="000921F1">
              <w:t>:</w:t>
            </w:r>
            <w:r w:rsidR="001710A2">
              <w:t xml:space="preserve"> </w:t>
            </w:r>
            <w:r w:rsidR="001710A2">
              <w:fldChar w:fldCharType="begin" w:fldLock="1"/>
            </w:r>
            <w:r w:rsidR="001710A2">
              <w:instrText xml:space="preserve"> REF _Ref317762597 \h </w:instrText>
            </w:r>
            <w:r w:rsidR="001710A2">
              <w:fldChar w:fldCharType="separate"/>
            </w:r>
            <w:r w:rsidR="00AB304C">
              <w:t xml:space="preserve">Table </w:t>
            </w:r>
            <w:r w:rsidR="00AB304C">
              <w:rPr>
                <w:noProof/>
              </w:rPr>
              <w:t>23</w:t>
            </w:r>
            <w:r w:rsidR="00AB304C">
              <w:t xml:space="preserve">: </w:t>
            </w:r>
            <w:r w:rsidR="00AB304C">
              <w:rPr>
                <w:vanish/>
              </w:rPr>
              <w:t xml:space="preserve">TT_3.05 </w:t>
            </w:r>
            <w:r w:rsidR="00AB304C">
              <w:t>Rules for Electronic and Serologic Crossmatch</w:t>
            </w:r>
            <w:r w:rsidR="001710A2">
              <w:fldChar w:fldCharType="end"/>
            </w:r>
            <w:r w:rsidR="006605B8" w:rsidRPr="000921F1">
              <w:t>. If the user continues to select that unit in which VBECS requires a serologic XM, VBECS does not allow the Caution Tag or BTRF to be printed, and does not update the unit status to “crossmatched”’ under normal system rules and policies. When the selected unit is available for emergency issue to the patient, VBECS allows the Caution Tag and BTRF to be printed.</w:t>
            </w:r>
          </w:p>
        </w:tc>
      </w:tr>
      <w:tr w:rsidR="002A21AE" w:rsidRPr="000921F1" w14:paraId="547E55D8" w14:textId="77777777">
        <w:tc>
          <w:tcPr>
            <w:tcW w:w="780" w:type="dxa"/>
          </w:tcPr>
          <w:p w14:paraId="679E3DE2" w14:textId="77777777" w:rsidR="002A21AE" w:rsidRPr="000921F1" w:rsidRDefault="0024117A">
            <w:pPr>
              <w:pStyle w:val="TableText"/>
            </w:pPr>
            <w:r>
              <w:t>12</w:t>
            </w:r>
          </w:p>
        </w:tc>
        <w:tc>
          <w:tcPr>
            <w:tcW w:w="8580" w:type="dxa"/>
          </w:tcPr>
          <w:p w14:paraId="3CB8E390" w14:textId="77777777" w:rsidR="002A21AE" w:rsidRPr="000921F1" w:rsidRDefault="002A21AE">
            <w:pPr>
              <w:pStyle w:val="TableText"/>
            </w:pPr>
            <w:r w:rsidRPr="000921F1">
              <w:rPr>
                <w:rFonts w:cs="Arial"/>
                <w:vanish/>
              </w:rPr>
              <w:t xml:space="preserve">BR_3.29 </w:t>
            </w:r>
            <w:r w:rsidRPr="000921F1">
              <w:t>When eXM is enabled and the patient and selected units are eligible, VBECS notifies the user and asks whether he wishes to continue with eXM.</w:t>
            </w:r>
          </w:p>
          <w:p w14:paraId="1BFEEAB3" w14:textId="77777777" w:rsidR="002A21AE" w:rsidRPr="000921F1" w:rsidRDefault="002A21AE">
            <w:pPr>
              <w:pStyle w:val="TableText"/>
            </w:pPr>
          </w:p>
          <w:p w14:paraId="1D7E9146" w14:textId="77777777" w:rsidR="002A21AE" w:rsidRPr="000921F1" w:rsidRDefault="002A21AE">
            <w:pPr>
              <w:pStyle w:val="TableText"/>
            </w:pPr>
            <w:r w:rsidRPr="000921F1">
              <w:rPr>
                <w:b/>
              </w:rPr>
              <w:t>Yes</w:t>
            </w:r>
            <w:r w:rsidRPr="000921F1">
              <w:t xml:space="preserve"> assigns a XM result of “Compatible: Electronically Crossmatched.” VBECS updates the database with the XM result, date and time of XM, XM technologist, division, specimen UID, specimen phlebotomist, and specimen expiration date and time. VBECS allows a Caution Tag and BTRF to be printed and the unit is ready for issue and transfusion. VBECS changes the unit status to “crossmatched.”</w:t>
            </w:r>
          </w:p>
          <w:p w14:paraId="1B97DF68" w14:textId="77777777" w:rsidR="002A21AE" w:rsidRPr="000921F1" w:rsidRDefault="002A21AE">
            <w:pPr>
              <w:pStyle w:val="TableText"/>
            </w:pPr>
          </w:p>
          <w:p w14:paraId="2C625C5E" w14:textId="77777777" w:rsidR="002A21AE" w:rsidRPr="000921F1" w:rsidRDefault="002A21AE">
            <w:pPr>
              <w:pStyle w:val="TableText"/>
            </w:pPr>
            <w:r w:rsidRPr="000921F1">
              <w:rPr>
                <w:b/>
              </w:rPr>
              <w:t>No</w:t>
            </w:r>
            <w:r w:rsidRPr="000921F1">
              <w:t xml:space="preserve"> keeps the unit assigned to the patient and available for data entry of serologic XM. VBECS does not allow the Caution Tag or BTRF to be printed and does not change the unit status to “crossmatched.” When a division is “transfusion only,” the unit remains assigned to the patient and is available for the user to enter the serologic XM interpretation, VBECS does not allow the Caution Tag or BTRF to be printed, and the unit is not crossmatched.</w:t>
            </w:r>
          </w:p>
        </w:tc>
      </w:tr>
      <w:tr w:rsidR="002A21AE" w:rsidRPr="000921F1" w14:paraId="74197BE5" w14:textId="77777777">
        <w:tc>
          <w:tcPr>
            <w:tcW w:w="780" w:type="dxa"/>
          </w:tcPr>
          <w:p w14:paraId="0DB01531" w14:textId="77777777" w:rsidR="002A21AE" w:rsidRPr="000921F1" w:rsidRDefault="0024117A">
            <w:pPr>
              <w:pStyle w:val="TableText"/>
            </w:pPr>
            <w:r>
              <w:t>12</w:t>
            </w:r>
          </w:p>
        </w:tc>
        <w:tc>
          <w:tcPr>
            <w:tcW w:w="8580" w:type="dxa"/>
          </w:tcPr>
          <w:p w14:paraId="3729A47C" w14:textId="77777777" w:rsidR="00B77F89" w:rsidRPr="000921F1" w:rsidRDefault="002A21AE" w:rsidP="00B77F89">
            <w:pPr>
              <w:pStyle w:val="TableText"/>
            </w:pPr>
            <w:r w:rsidRPr="000921F1">
              <w:rPr>
                <w:rFonts w:cs="Arial"/>
                <w:vanish/>
              </w:rPr>
              <w:t xml:space="preserve">BR_3.37 </w:t>
            </w:r>
            <w:r w:rsidR="00B77F89" w:rsidRPr="000921F1">
              <w:t>When the user selects a unit requiring XM, the division is defined as “full service,” eXM is enabled, and the patient is not eligible for eXM, VBECS warns the user that the selected units require serologic XM and asks whether he wishes to continue.</w:t>
            </w:r>
          </w:p>
          <w:p w14:paraId="5397FEEA" w14:textId="77777777" w:rsidR="00B77F89" w:rsidRPr="000921F1" w:rsidRDefault="00B77F89" w:rsidP="00B77F89">
            <w:pPr>
              <w:pStyle w:val="TableText"/>
            </w:pPr>
          </w:p>
          <w:p w14:paraId="091B36FF" w14:textId="77777777" w:rsidR="002A21AE" w:rsidRPr="000921F1" w:rsidRDefault="00B77F89" w:rsidP="00B77F89">
            <w:pPr>
              <w:pStyle w:val="TableText"/>
            </w:pPr>
            <w:r w:rsidRPr="000921F1">
              <w:rPr>
                <w:b/>
              </w:rPr>
              <w:t>Yes</w:t>
            </w:r>
            <w:r w:rsidRPr="000921F1">
              <w:t xml:space="preserve"> adds the units to the XM data entry grid and transfers the user to Patient Testing: Record Patient Test Results to begin the XM process. </w:t>
            </w:r>
            <w:r w:rsidRPr="000921F1">
              <w:rPr>
                <w:b/>
              </w:rPr>
              <w:t>No</w:t>
            </w:r>
            <w:r w:rsidRPr="000921F1">
              <w:t xml:space="preserve"> records that a serologic XM test is needed. The user may not print a Caution Tag or Blood Transfusion Record Form; the unit status does not change to “crossmatched.”</w:t>
            </w:r>
          </w:p>
        </w:tc>
      </w:tr>
    </w:tbl>
    <w:p w14:paraId="10B3074A" w14:textId="77777777" w:rsidR="002118B0" w:rsidRDefault="002118B0" w:rsidP="00DD75E5">
      <w:pPr>
        <w:pStyle w:val="BodyText"/>
      </w:pPr>
    </w:p>
    <w:p w14:paraId="3F2B688A" w14:textId="77777777" w:rsidR="002A21AE" w:rsidRDefault="002A21AE" w:rsidP="00533A82">
      <w:pPr>
        <w:pStyle w:val="Heading2"/>
      </w:pPr>
      <w:r>
        <w:br w:type="page"/>
      </w:r>
      <w:bookmarkStart w:id="392" w:name="_Issue_Blood_Components"/>
      <w:bookmarkStart w:id="393" w:name="_Toc4588793"/>
      <w:bookmarkStart w:id="394" w:name="_Toc94349371"/>
      <w:bookmarkEnd w:id="392"/>
      <w:r>
        <w:lastRenderedPageBreak/>
        <w:t>Issue Blood Components</w:t>
      </w:r>
      <w:bookmarkEnd w:id="393"/>
      <w:r w:rsidRPr="007716F7">
        <w:fldChar w:fldCharType="begin"/>
      </w:r>
      <w:r w:rsidRPr="007716F7">
        <w:instrText xml:space="preserve"> XE </w:instrText>
      </w:r>
      <w:r w:rsidR="00FA7E65" w:rsidRPr="007716F7">
        <w:instrText>“</w:instrText>
      </w:r>
      <w:r w:rsidRPr="007716F7">
        <w:instrText>Issue Blood Components</w:instrText>
      </w:r>
      <w:r w:rsidR="00FA7E65" w:rsidRPr="007716F7">
        <w:instrText>”</w:instrText>
      </w:r>
      <w:r w:rsidRPr="007716F7">
        <w:instrText xml:space="preserve"> </w:instrText>
      </w:r>
      <w:r w:rsidRPr="007716F7">
        <w:fldChar w:fldCharType="end"/>
      </w:r>
      <w:r w:rsidRPr="007716F7">
        <w:t xml:space="preserve"> </w:t>
      </w:r>
      <w:r w:rsidRPr="00557A54">
        <w:rPr>
          <w:rFonts w:ascii="Arial Bold" w:hAnsi="Arial Bold"/>
          <w:vanish/>
        </w:rPr>
        <w:t>UC_73</w:t>
      </w:r>
      <w:bookmarkEnd w:id="394"/>
      <w:r>
        <w:t xml:space="preserve"> </w:t>
      </w:r>
    </w:p>
    <w:p w14:paraId="7F565AFC" w14:textId="77777777" w:rsidR="002A21AE" w:rsidRDefault="002A21AE" w:rsidP="00FA7E65">
      <w:pPr>
        <w:pStyle w:val="BodyText"/>
      </w:pPr>
      <w:bookmarkStart w:id="395" w:name="_Toc34537111"/>
      <w:bookmarkStart w:id="396" w:name="_Toc34635892"/>
      <w:bookmarkStart w:id="397" w:name="_Toc34720938"/>
      <w:bookmarkStart w:id="398" w:name="_Toc35743728"/>
      <w:bookmarkStart w:id="399" w:name="_Toc42940987"/>
      <w:bookmarkStart w:id="400" w:name="_Toc43285430"/>
      <w:bookmarkStart w:id="401" w:name="_Toc72829288"/>
      <w:r>
        <w:t>The user issues one or more patient-assigned blood units to a transporter for storage in a remote location or for possible transfusion</w:t>
      </w:r>
      <w:bookmarkStart w:id="402" w:name="warn"/>
      <w:bookmarkEnd w:id="402"/>
      <w:r w:rsidR="00BC58E2">
        <w:t>.</w:t>
      </w:r>
    </w:p>
    <w:p w14:paraId="2EED621F" w14:textId="77777777" w:rsidR="002A21AE" w:rsidRDefault="002A21AE">
      <w:pPr>
        <w:pStyle w:val="Heading4"/>
      </w:pPr>
      <w:bookmarkStart w:id="403" w:name="_Toc94349372"/>
      <w:r>
        <w:t>Assumptions</w:t>
      </w:r>
      <w:bookmarkEnd w:id="403"/>
    </w:p>
    <w:p w14:paraId="63D9FA61" w14:textId="77777777" w:rsidR="00DC673E" w:rsidRDefault="00DC673E">
      <w:pPr>
        <w:pStyle w:val="ListBullet"/>
      </w:pPr>
      <w:r>
        <w:t>The facility has a procedure for the emergency issue of blood products.</w:t>
      </w:r>
    </w:p>
    <w:p w14:paraId="3C674124" w14:textId="77777777" w:rsidR="002A21AE" w:rsidRDefault="002A21AE">
      <w:pPr>
        <w:pStyle w:val="ListBullet"/>
      </w:pPr>
      <w:r>
        <w:t>The unit and the user are in the same division.</w:t>
      </w:r>
    </w:p>
    <w:p w14:paraId="603ADD1D" w14:textId="77777777" w:rsidR="002A21AE" w:rsidRDefault="002A21AE">
      <w:pPr>
        <w:pStyle w:val="ListBullet"/>
      </w:pPr>
      <w:r>
        <w:t>The unit is assigned and/or crossmatched for the patient currently selected for issue.</w:t>
      </w:r>
    </w:p>
    <w:p w14:paraId="4D4195F9" w14:textId="77777777" w:rsidR="002A21AE" w:rsidRDefault="00CA0045">
      <w:pPr>
        <w:pStyle w:val="ListBullet"/>
      </w:pPr>
      <w:r w:rsidRPr="00CA0045">
        <w:rPr>
          <w:bCs/>
        </w:rPr>
        <w:t>VistA</w:t>
      </w:r>
      <w:r w:rsidR="002A21AE">
        <w:t xml:space="preserve"> is available for the user to choose a physician and valid hospital locations.</w:t>
      </w:r>
    </w:p>
    <w:p w14:paraId="682355A2" w14:textId="77777777" w:rsidR="000C22E7" w:rsidRDefault="000C22E7">
      <w:pPr>
        <w:pStyle w:val="ListBullet"/>
      </w:pPr>
      <w:r>
        <w:t>All issue-to locations must be valid entries in the VistA HOSPITAL LOCATION (</w:t>
      </w:r>
      <w:r w:rsidR="00FA65C4">
        <w:t>#44)</w:t>
      </w:r>
      <w:r>
        <w:t>.</w:t>
      </w:r>
    </w:p>
    <w:p w14:paraId="2E992270" w14:textId="77777777" w:rsidR="002A21AE" w:rsidRDefault="002A21AE">
      <w:pPr>
        <w:pStyle w:val="Heading4"/>
      </w:pPr>
      <w:bookmarkStart w:id="404" w:name="_Toc94349373"/>
      <w:r>
        <w:t>Outcome</w:t>
      </w:r>
      <w:bookmarkEnd w:id="404"/>
    </w:p>
    <w:p w14:paraId="43CADC75" w14:textId="77777777" w:rsidR="002A21AE" w:rsidRDefault="002A21AE">
      <w:pPr>
        <w:pStyle w:val="ListBullet"/>
      </w:pPr>
      <w:r>
        <w:t>The unit status was updated to “issued.”</w:t>
      </w:r>
    </w:p>
    <w:p w14:paraId="58785011" w14:textId="77777777" w:rsidR="002A21AE" w:rsidRDefault="002A21AE">
      <w:pPr>
        <w:pStyle w:val="ListBullet"/>
      </w:pPr>
      <w:r>
        <w:t>The unit’s current location was updated to the “issue-to” location.</w:t>
      </w:r>
    </w:p>
    <w:p w14:paraId="1AA474AB" w14:textId="77777777" w:rsidR="002A21AE" w:rsidRDefault="002A21AE">
      <w:pPr>
        <w:pStyle w:val="Heading4"/>
      </w:pPr>
      <w:bookmarkStart w:id="405" w:name="_Toc94349374"/>
      <w:r>
        <w:t>Limitations and Restrictions</w:t>
      </w:r>
      <w:bookmarkEnd w:id="405"/>
    </w:p>
    <w:p w14:paraId="321C8B74" w14:textId="77777777" w:rsidR="00F26B72" w:rsidRDefault="00F26B72">
      <w:pPr>
        <w:pStyle w:val="ListBullet"/>
      </w:pPr>
      <w:r>
        <w:t xml:space="preserve">VBECS does not check </w:t>
      </w:r>
      <w:r w:rsidRPr="00F26B72">
        <w:t xml:space="preserve">for </w:t>
      </w:r>
      <w:r w:rsidR="00654CF2">
        <w:t>restricted</w:t>
      </w:r>
      <w:r w:rsidRPr="00F26B72">
        <w:t xml:space="preserve"> units </w:t>
      </w:r>
      <w:r w:rsidR="006E2907">
        <w:t>(</w:t>
      </w:r>
      <w:r>
        <w:t>not</w:t>
      </w:r>
      <w:r w:rsidRPr="00F26B72">
        <w:t xml:space="preserve"> assigned to the patient</w:t>
      </w:r>
      <w:r w:rsidR="006E2907">
        <w:t>)</w:t>
      </w:r>
      <w:r w:rsidRPr="00F26B72">
        <w:t xml:space="preserve"> received </w:t>
      </w:r>
      <w:r>
        <w:t>between selection and issue.</w:t>
      </w:r>
    </w:p>
    <w:p w14:paraId="0C1EB7FC" w14:textId="77777777" w:rsidR="00414644" w:rsidRDefault="002A21AE">
      <w:pPr>
        <w:pStyle w:val="ListBullet"/>
      </w:pPr>
      <w:r>
        <w:t xml:space="preserve">All issue-to locations must be valid entries in the </w:t>
      </w:r>
      <w:r w:rsidR="00CA0045" w:rsidRPr="00CA0045">
        <w:rPr>
          <w:bCs/>
        </w:rPr>
        <w:t>VistA</w:t>
      </w:r>
      <w:r>
        <w:t xml:space="preserve"> hospital location f</w:t>
      </w:r>
      <w:r w:rsidR="008F2DE4">
        <w:t>ile.</w:t>
      </w:r>
    </w:p>
    <w:p w14:paraId="11850608" w14:textId="77777777" w:rsidR="002A21AE" w:rsidRDefault="009C7B46" w:rsidP="00215DFC">
      <w:pPr>
        <w:pStyle w:val="ListBullet"/>
      </w:pPr>
      <w:r>
        <w:t xml:space="preserve">If VistA link is not available, </w:t>
      </w:r>
      <w:r w:rsidR="00414644">
        <w:t>the user may proceed with the issue process but the current issue-to hospital location is not recorded.</w:t>
      </w:r>
      <w:r w:rsidR="00215DFC">
        <w:t xml:space="preserve"> All of the associated report records display “VistALink Down” in the Issue To location field.</w:t>
      </w:r>
      <w:r>
        <w:t xml:space="preserve"> </w:t>
      </w:r>
      <w:r w:rsidRPr="00215DFC">
        <w:rPr>
          <w:vanish/>
        </w:rPr>
        <w:t>DR 5073</w:t>
      </w:r>
    </w:p>
    <w:p w14:paraId="37451F53" w14:textId="77777777" w:rsidR="00A25BC9" w:rsidRDefault="00A25BC9" w:rsidP="00A25BC9">
      <w:pPr>
        <w:pStyle w:val="ListBullet"/>
      </w:pPr>
      <w:r>
        <w:t>ISBT 128 tables include blood product codes labeled as not for manufacturing or transfusion. VBECS does not restrict such products from being entered, issued, or transferred (l</w:t>
      </w:r>
      <w:r w:rsidR="00011036">
        <w:t>ocal policy controls their use)</w:t>
      </w:r>
      <w:r>
        <w:t xml:space="preserve"> </w:t>
      </w:r>
      <w:r w:rsidR="00011036">
        <w:t>and</w:t>
      </w:r>
      <w:r>
        <w:t xml:space="preserve"> does not accommodate blood modification for these products.</w:t>
      </w:r>
    </w:p>
    <w:p w14:paraId="71CF7264" w14:textId="77777777" w:rsidR="007E1B6B" w:rsidRDefault="007E1B6B" w:rsidP="00A25BC9">
      <w:pPr>
        <w:pStyle w:val="ListBullet"/>
      </w:pPr>
      <w:r>
        <w:t>W</w:t>
      </w:r>
      <w:r w:rsidRPr="007E1B6B">
        <w:t xml:space="preserve">hen a site has configured </w:t>
      </w:r>
      <w:r w:rsidR="009174D5" w:rsidRPr="007E1B6B">
        <w:t>subservient</w:t>
      </w:r>
      <w:r w:rsidRPr="007E1B6B">
        <w:t xml:space="preserve"> VistA ins</w:t>
      </w:r>
      <w:r>
        <w:t xml:space="preserve">titutions to the VBECS division, users </w:t>
      </w:r>
      <w:r w:rsidRPr="007E1B6B">
        <w:t xml:space="preserve">can only issue </w:t>
      </w:r>
      <w:r>
        <w:t xml:space="preserve">units </w:t>
      </w:r>
      <w:r w:rsidRPr="007E1B6B">
        <w:t xml:space="preserve">to locations in the primary VistA. Sites may add locations to VistA to account for the relocations to the </w:t>
      </w:r>
      <w:r w:rsidR="009174D5" w:rsidRPr="007E1B6B">
        <w:t>subservient</w:t>
      </w:r>
      <w:r w:rsidRPr="007E1B6B">
        <w:t xml:space="preserve"> VistA institutions.</w:t>
      </w:r>
      <w:r w:rsidRPr="007E1B6B">
        <w:rPr>
          <w:vanish/>
        </w:rPr>
        <w:t>DR 2,880</w:t>
      </w:r>
    </w:p>
    <w:p w14:paraId="3E644BDB" w14:textId="77777777" w:rsidR="0064308B" w:rsidRDefault="0064308B" w:rsidP="00A25BC9">
      <w:pPr>
        <w:pStyle w:val="ListBullet"/>
      </w:pPr>
      <w:r w:rsidRPr="00C01E45">
        <w:t>BCE information applies ONLY when a BCE COTS product is available for communication and is configured.</w:t>
      </w:r>
    </w:p>
    <w:p w14:paraId="28BEEF32" w14:textId="0684490A" w:rsidR="00B65627" w:rsidRDefault="00B65627" w:rsidP="00B65627">
      <w:pPr>
        <w:pStyle w:val="ListBullet"/>
      </w:pPr>
      <w:bookmarkStart w:id="406" w:name="_Toc94349375"/>
      <w:r w:rsidRPr="00633316">
        <w:t>Changing a patient's</w:t>
      </w:r>
      <w:r w:rsidR="00432F57">
        <w:t xml:space="preserve"> transfusion requirements</w:t>
      </w:r>
      <w:r w:rsidRPr="00633316">
        <w:t xml:space="preserve"> </w:t>
      </w:r>
      <w:r w:rsidR="00432F57">
        <w:t xml:space="preserve">(component requirements, </w:t>
      </w:r>
      <w:r w:rsidRPr="00633316">
        <w:t>antigen negative requirement or antibody identified</w:t>
      </w:r>
      <w:r w:rsidR="00432F57">
        <w:t>)</w:t>
      </w:r>
      <w:r w:rsidRPr="00633316">
        <w:t xml:space="preserve"> after a unit is crossmatched does not provide an alert at Issue Unit regarding the type of crossmatch </w:t>
      </w:r>
      <w:r>
        <w:t xml:space="preserve">(electronic or serologic) </w:t>
      </w:r>
      <w:r w:rsidRPr="00633316">
        <w:t xml:space="preserve">performed on </w:t>
      </w:r>
      <w:r>
        <w:t xml:space="preserve">a </w:t>
      </w:r>
      <w:r w:rsidRPr="00633316">
        <w:t>unit</w:t>
      </w:r>
      <w:r>
        <w:t xml:space="preserve"> available for issue</w:t>
      </w:r>
      <w:r w:rsidRPr="00633316">
        <w:t>.</w:t>
      </w:r>
    </w:p>
    <w:p w14:paraId="1BF2B544" w14:textId="5AE9B273" w:rsidR="002F25DF" w:rsidRDefault="002F25DF" w:rsidP="00B65627">
      <w:pPr>
        <w:pStyle w:val="ListBullet"/>
      </w:pPr>
      <w:r>
        <w:t>VBECS asks for a comment when issuing a unit that is assigned to two different patients. Enter a comment to issue the unit or release one of the patient assignments before issuing. The comment will appear on the Unit History Report in the Issue section.</w:t>
      </w:r>
      <w:r w:rsidR="00512B62">
        <w:t xml:space="preserve"> </w:t>
      </w:r>
      <w:r w:rsidR="00512B62" w:rsidRPr="004F5DF6">
        <w:rPr>
          <w:vanish/>
        </w:rPr>
        <w:t xml:space="preserve">Defect </w:t>
      </w:r>
      <w:r w:rsidR="004F5DF6" w:rsidRPr="004F5DF6">
        <w:rPr>
          <w:vanish/>
        </w:rPr>
        <w:t>208730</w:t>
      </w:r>
    </w:p>
    <w:p w14:paraId="3FEB1473" w14:textId="77777777" w:rsidR="002A21AE" w:rsidRDefault="002A21AE">
      <w:pPr>
        <w:pStyle w:val="Heading4"/>
      </w:pPr>
      <w:r>
        <w:t>Additional Information</w:t>
      </w:r>
      <w:bookmarkEnd w:id="406"/>
    </w:p>
    <w:p w14:paraId="387C5DF7" w14:textId="77777777" w:rsidR="002A21AE" w:rsidRDefault="00710E7E">
      <w:pPr>
        <w:pStyle w:val="ListBullet"/>
      </w:pPr>
      <w:r>
        <w:t xml:space="preserve">When no VistA order is available, </w:t>
      </w:r>
      <w:r w:rsidR="002A21AE">
        <w:t xml:space="preserve">the user must process the request manually until </w:t>
      </w:r>
      <w:r w:rsidR="00CA0045" w:rsidRPr="00CA0045">
        <w:rPr>
          <w:bCs/>
        </w:rPr>
        <w:t>VistA</w:t>
      </w:r>
      <w:r w:rsidR="002A21AE">
        <w:t xml:space="preserve"> provides them to VBECS. The user must print blank Caution Tags and Blood Transfusion Record Forms (BTRFs) to accommodate this rare occurrence.</w:t>
      </w:r>
      <w:r w:rsidR="00AB4026">
        <w:t xml:space="preserve"> When </w:t>
      </w:r>
      <w:r w:rsidR="00AB4026" w:rsidRPr="00CA0045">
        <w:rPr>
          <w:bCs/>
        </w:rPr>
        <w:t>VistA</w:t>
      </w:r>
      <w:r w:rsidR="00AB4026">
        <w:t xml:space="preserve"> does not provide a pseudonym or associated pseudo-ID for the patient that allows placement of a VistA order, VBECS cannot create a patient order for emergency issue of blood.</w:t>
      </w:r>
    </w:p>
    <w:p w14:paraId="162D8C92" w14:textId="77777777" w:rsidR="002A21AE" w:rsidRDefault="002A21AE">
      <w:pPr>
        <w:pStyle w:val="ListBullet"/>
      </w:pPr>
      <w:r>
        <w:lastRenderedPageBreak/>
        <w:t xml:space="preserve">“Issue with Medical Director Approval” components must be approved prior to this option and do not require special handling by VBECS. </w:t>
      </w:r>
    </w:p>
    <w:p w14:paraId="6C768D96" w14:textId="77777777" w:rsidR="002A21AE" w:rsidRDefault="002A21AE">
      <w:pPr>
        <w:pStyle w:val="ListBullet"/>
      </w:pPr>
      <w:r>
        <w:t>Emergency issue processing accommodates the issue of blood to patients without completed specimen testing, as required.</w:t>
      </w:r>
    </w:p>
    <w:p w14:paraId="1B229773" w14:textId="77777777" w:rsidR="009605EB" w:rsidRDefault="009605EB">
      <w:pPr>
        <w:pStyle w:val="ListBullet"/>
      </w:pPr>
      <w:r>
        <w:t xml:space="preserve">Sites may enter the lot number of blood administration sets </w:t>
      </w:r>
      <w:r w:rsidR="00A07263">
        <w:t xml:space="preserve">and leukoreducing filters </w:t>
      </w:r>
      <w:r>
        <w:t>when they enter the name of the individual picking up the blood product. VBECS retains this information in the unit history record.</w:t>
      </w:r>
    </w:p>
    <w:p w14:paraId="1918D63F" w14:textId="77777777" w:rsidR="00D059AF" w:rsidRDefault="00D059AF">
      <w:pPr>
        <w:pStyle w:val="ListBullet"/>
      </w:pPr>
      <w:r>
        <w:t>User must date all signature lines on the BTRF dating of the signatures [i.e., Inspected and issued by, Issued to, First Identifier, Second Identifier, Transfusion Data section completed by, Transfusion Reaction Data section completed by (as needed)].</w:t>
      </w:r>
    </w:p>
    <w:p w14:paraId="68DFDC97" w14:textId="77777777" w:rsidR="002A21AE" w:rsidRDefault="002A21AE">
      <w:pPr>
        <w:pStyle w:val="Heading4"/>
      </w:pPr>
      <w:bookmarkStart w:id="407" w:name="_Toc94349376"/>
      <w:r>
        <w:t>User Roles with Access to This Option</w:t>
      </w:r>
      <w:bookmarkEnd w:id="407"/>
    </w:p>
    <w:p w14:paraId="6F1E856A" w14:textId="77777777" w:rsidR="005C42D0" w:rsidRDefault="005C42D0" w:rsidP="005C42D0">
      <w:pPr>
        <w:pStyle w:val="Roles"/>
        <w:rPr>
          <w:snapToGrid w:val="0"/>
        </w:rPr>
      </w:pPr>
      <w:r>
        <w:t>All users</w:t>
      </w:r>
      <w:r>
        <w:rPr>
          <w:rFonts w:cs="Arial"/>
          <w:szCs w:val="18"/>
        </w:rPr>
        <w:t xml:space="preserve"> </w:t>
      </w:r>
    </w:p>
    <w:p w14:paraId="00F11751" w14:textId="77777777" w:rsidR="001F1013" w:rsidRDefault="001F1013" w:rsidP="001F1013">
      <w:pPr>
        <w:pStyle w:val="Caution"/>
      </w:pPr>
      <w:bookmarkStart w:id="408" w:name="_Toc94349377"/>
      <w:bookmarkEnd w:id="395"/>
      <w:bookmarkEnd w:id="396"/>
      <w:bookmarkEnd w:id="397"/>
      <w:bookmarkEnd w:id="398"/>
      <w:bookmarkEnd w:id="399"/>
      <w:bookmarkEnd w:id="400"/>
      <w:bookmarkEnd w:id="401"/>
      <w:r>
        <w:t>To correct issue time and other errors, return the unit from issue and reissue it with the correct information.</w:t>
      </w:r>
    </w:p>
    <w:p w14:paraId="3C182FCE" w14:textId="77777777" w:rsidR="002A21AE" w:rsidRDefault="002A21AE">
      <w:pPr>
        <w:pStyle w:val="Heading4"/>
      </w:pPr>
      <w:r>
        <w:t>Issue Blood Components (Routine)</w:t>
      </w:r>
      <w:bookmarkEnd w:id="408"/>
      <w:r>
        <w:fldChar w:fldCharType="begin"/>
      </w:r>
      <w:r>
        <w:instrText xml:space="preserve"> XE </w:instrText>
      </w:r>
      <w:r w:rsidR="00FA7E65">
        <w:instrText>“</w:instrText>
      </w:r>
      <w:r>
        <w:instrText>Issue Blood Components (Routine)</w:instrText>
      </w:r>
      <w:r w:rsidR="00FA7E65">
        <w:instrText>”</w:instrText>
      </w:r>
      <w:r>
        <w:instrText xml:space="preserve"> </w:instrText>
      </w:r>
      <w:r>
        <w:fldChar w:fldCharType="end"/>
      </w:r>
    </w:p>
    <w:p w14:paraId="06EEC037" w14:textId="77777777" w:rsidR="002A21AE" w:rsidRDefault="002A21AE" w:rsidP="00FA7E65">
      <w:pPr>
        <w:pStyle w:val="BodyText"/>
      </w:pPr>
      <w:r>
        <w:t xml:space="preserve">The user issues assigned or crossmatched blood to a transporter for patient transfusion at valid inpatient and outpatient hospital locations, and records issue details, including the transporter’s name or identifier.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7306B839" w14:textId="77777777">
        <w:trPr>
          <w:cantSplit/>
          <w:tblHeader/>
        </w:trPr>
        <w:tc>
          <w:tcPr>
            <w:tcW w:w="3240" w:type="dxa"/>
            <w:shd w:val="pct30" w:color="auto" w:fill="FFFFFF"/>
            <w:vAlign w:val="bottom"/>
          </w:tcPr>
          <w:p w14:paraId="1050BCC6" w14:textId="77777777" w:rsidR="002A21AE" w:rsidRDefault="002A21AE">
            <w:pPr>
              <w:pStyle w:val="TableText"/>
              <w:rPr>
                <w:b/>
              </w:rPr>
            </w:pPr>
            <w:r>
              <w:rPr>
                <w:b/>
              </w:rPr>
              <w:t>User Action</w:t>
            </w:r>
          </w:p>
        </w:tc>
        <w:tc>
          <w:tcPr>
            <w:tcW w:w="6120" w:type="dxa"/>
            <w:shd w:val="pct30" w:color="auto" w:fill="FFFFFF"/>
            <w:vAlign w:val="bottom"/>
          </w:tcPr>
          <w:p w14:paraId="0466B3A7" w14:textId="77777777" w:rsidR="002A21AE" w:rsidRDefault="002A21AE">
            <w:pPr>
              <w:pStyle w:val="TableText"/>
              <w:rPr>
                <w:b/>
              </w:rPr>
            </w:pPr>
            <w:r>
              <w:rPr>
                <w:b/>
              </w:rPr>
              <w:t>VBECS</w:t>
            </w:r>
          </w:p>
        </w:tc>
      </w:tr>
      <w:tr w:rsidR="002A21AE" w14:paraId="05685B88" w14:textId="77777777">
        <w:tc>
          <w:tcPr>
            <w:tcW w:w="3240" w:type="dxa"/>
            <w:tcBorders>
              <w:top w:val="single" w:sz="4" w:space="0" w:color="auto"/>
              <w:left w:val="single" w:sz="4" w:space="0" w:color="auto"/>
              <w:bottom w:val="single" w:sz="4" w:space="0" w:color="auto"/>
              <w:right w:val="single" w:sz="4" w:space="0" w:color="auto"/>
            </w:tcBorders>
          </w:tcPr>
          <w:p w14:paraId="63D66980" w14:textId="77777777" w:rsidR="002A21AE" w:rsidRDefault="002A21AE">
            <w:pPr>
              <w:pStyle w:val="TableTextNumbers"/>
            </w:pPr>
            <w:r>
              <w:t xml:space="preserve">Select </w:t>
            </w:r>
            <w:r>
              <w:rPr>
                <w:b/>
              </w:rPr>
              <w:t>Patients</w:t>
            </w:r>
            <w:r>
              <w:t xml:space="preserve"> from the main menu.</w:t>
            </w:r>
          </w:p>
          <w:p w14:paraId="339A4B03" w14:textId="77777777" w:rsidR="002A21AE" w:rsidRDefault="002A21AE">
            <w:pPr>
              <w:pStyle w:val="TableTextNumbersContinued"/>
            </w:pPr>
          </w:p>
          <w:p w14:paraId="413C8111" w14:textId="77777777" w:rsidR="002A21AE" w:rsidRDefault="002A21AE">
            <w:pPr>
              <w:pStyle w:val="TableTextNumbersContinued"/>
            </w:pPr>
            <w:r>
              <w:t xml:space="preserve">Select </w:t>
            </w:r>
            <w:r>
              <w:rPr>
                <w:b/>
              </w:rPr>
              <w:t>Issue Blood Components</w:t>
            </w:r>
            <w:r>
              <w:t>.</w:t>
            </w:r>
          </w:p>
        </w:tc>
        <w:tc>
          <w:tcPr>
            <w:tcW w:w="6120" w:type="dxa"/>
            <w:tcBorders>
              <w:top w:val="single" w:sz="4" w:space="0" w:color="auto"/>
              <w:left w:val="single" w:sz="4" w:space="0" w:color="auto"/>
              <w:bottom w:val="single" w:sz="4" w:space="0" w:color="auto"/>
              <w:right w:val="single" w:sz="4" w:space="0" w:color="auto"/>
            </w:tcBorders>
          </w:tcPr>
          <w:p w14:paraId="49302DE3" w14:textId="77777777" w:rsidR="002A21AE" w:rsidRDefault="002A21AE">
            <w:pPr>
              <w:pStyle w:val="TableTextBullet"/>
            </w:pPr>
            <w:r>
              <w:t>Displays options for processing patient-related functions.</w:t>
            </w:r>
          </w:p>
          <w:p w14:paraId="585D2698" w14:textId="77777777" w:rsidR="002A21AE" w:rsidRDefault="002A21AE">
            <w:pPr>
              <w:pStyle w:val="TableTextBullet"/>
            </w:pPr>
            <w:r>
              <w:t>Displays an option to scan the Caution Tag or enter a patient name or ID.</w:t>
            </w:r>
          </w:p>
          <w:p w14:paraId="089E79DA" w14:textId="77777777" w:rsidR="002A21AE" w:rsidRDefault="002A21AE">
            <w:pPr>
              <w:pStyle w:val="TableText"/>
            </w:pPr>
          </w:p>
          <w:p w14:paraId="42B55180" w14:textId="77777777" w:rsidR="002A21AE" w:rsidRDefault="00057948">
            <w:pPr>
              <w:pStyle w:val="TableText"/>
              <w:rPr>
                <w:b/>
                <w:bCs/>
                <w:szCs w:val="18"/>
              </w:rPr>
            </w:pPr>
            <w:r>
              <w:rPr>
                <w:b/>
                <w:bCs/>
                <w:noProof/>
              </w:rPr>
              <mc:AlternateContent>
                <mc:Choice Requires="wps">
                  <w:drawing>
                    <wp:anchor distT="0" distB="0" distL="114300" distR="114300" simplePos="0" relativeHeight="251734528" behindDoc="0" locked="0" layoutInCell="1" allowOverlap="1" wp14:anchorId="06CC194D" wp14:editId="7B7A698B">
                      <wp:simplePos x="0" y="0"/>
                      <wp:positionH relativeFrom="column">
                        <wp:posOffset>457200</wp:posOffset>
                      </wp:positionH>
                      <wp:positionV relativeFrom="paragraph">
                        <wp:posOffset>65405</wp:posOffset>
                      </wp:positionV>
                      <wp:extent cx="3200400" cy="0"/>
                      <wp:effectExtent l="9525" t="17780" r="9525" b="10795"/>
                      <wp:wrapNone/>
                      <wp:docPr id="440" name="Line 931" descr="P5694C4T5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5338F" id="Line 931" o:spid="_x0000_s1026" alt="&quot;&quot;"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CSyMZ8wgEAAG4DAAAOAAAAAAAAAAAAAAAAAC4C&#10;AABkcnMvZTJvRG9jLnhtbFBLAQItABQABgAIAAAAIQAXTzAS2wAAAAgBAAAPAAAAAAAAAAAAAAAA&#10;ABwEAABkcnMvZG93bnJldi54bWxQSwUGAAAAAAQABADzAAAAJAUAAAAA&#10;" strokeweight="1.5pt"/>
                  </w:pict>
                </mc:Fallback>
              </mc:AlternateContent>
            </w:r>
            <w:r w:rsidR="002A21AE">
              <w:rPr>
                <w:b/>
                <w:bCs/>
                <w:szCs w:val="18"/>
              </w:rPr>
              <w:t>NOTES</w:t>
            </w:r>
          </w:p>
          <w:p w14:paraId="410462E8" w14:textId="77777777" w:rsidR="002A21AE" w:rsidRDefault="002A21AE">
            <w:pPr>
              <w:pStyle w:val="NotesText"/>
            </w:pPr>
          </w:p>
          <w:p w14:paraId="60533C17" w14:textId="77777777" w:rsidR="002A21AE" w:rsidRDefault="002A21AE">
            <w:pPr>
              <w:pStyle w:val="NotesText"/>
            </w:pPr>
            <w:r>
              <w:rPr>
                <w:rFonts w:cs="Arial"/>
                <w:vanish/>
              </w:rPr>
              <w:t xml:space="preserve">BR_73.22 </w:t>
            </w:r>
            <w:r>
              <w:t>The user must verify the correct patient selection</w:t>
            </w:r>
            <w:r w:rsidR="00F3010E">
              <w:t>.</w:t>
            </w:r>
            <w:r>
              <w:t xml:space="preserve"> </w:t>
            </w:r>
          </w:p>
          <w:p w14:paraId="74352814" w14:textId="77777777" w:rsidR="001E0858" w:rsidRDefault="001E0858" w:rsidP="00CA495D">
            <w:pPr>
              <w:pStyle w:val="NotesText"/>
            </w:pPr>
          </w:p>
          <w:p w14:paraId="364F6C6B" w14:textId="77777777" w:rsidR="001E0858" w:rsidRDefault="001E0858" w:rsidP="00CA495D">
            <w:pPr>
              <w:pStyle w:val="NotesText"/>
            </w:pPr>
            <w:r>
              <w:t xml:space="preserve">The </w:t>
            </w:r>
            <w:r w:rsidRPr="00EC7489">
              <w:rPr>
                <w:rFonts w:ascii="Wingdings 3" w:hAnsi="Wingdings 3"/>
              </w:rPr>
              <w:t></w:t>
            </w:r>
            <w:r w:rsidRPr="00EC7489">
              <w:rPr>
                <w:rFonts w:ascii="Wingdings 3" w:hAnsi="Wingdings 3"/>
              </w:rPr>
              <w:t></w:t>
            </w:r>
            <w:r>
              <w:t xml:space="preserve"> Enhanced Technologist </w:t>
            </w:r>
            <w:r w:rsidR="00915BD8">
              <w:t>or</w:t>
            </w:r>
            <w:r>
              <w:t xml:space="preserve"> above is authorized to issue expired blood products.</w:t>
            </w:r>
          </w:p>
          <w:p w14:paraId="1FFF271B" w14:textId="77777777" w:rsidR="001E0858" w:rsidRDefault="001E0858" w:rsidP="00CA495D">
            <w:pPr>
              <w:pStyle w:val="NotesText"/>
            </w:pPr>
          </w:p>
          <w:p w14:paraId="1A8BEF4F" w14:textId="77777777" w:rsidR="001E0858" w:rsidRPr="001E0858" w:rsidRDefault="001E0858" w:rsidP="00CA495D">
            <w:pPr>
              <w:pStyle w:val="NotesText"/>
              <w:rPr>
                <w:snapToGrid w:val="0"/>
              </w:rPr>
            </w:pPr>
            <w:r>
              <w:t xml:space="preserve">The </w:t>
            </w:r>
            <w:r w:rsidRPr="00EC7489">
              <w:rPr>
                <w:rFonts w:ascii="Wingdings 3" w:hAnsi="Wingdings 3"/>
              </w:rPr>
              <w:t></w:t>
            </w:r>
            <w:r w:rsidRPr="00EC7489">
              <w:rPr>
                <w:rFonts w:ascii="Wingdings 3" w:hAnsi="Wingdings 3"/>
              </w:rPr>
              <w:t></w:t>
            </w:r>
            <w:r w:rsidRPr="00EC7489">
              <w:rPr>
                <w:rFonts w:ascii="Wingdings 3" w:hAnsi="Wingdings 3"/>
              </w:rPr>
              <w:t></w:t>
            </w:r>
            <w:r>
              <w:t xml:space="preserve"> </w:t>
            </w:r>
            <w:r>
              <w:rPr>
                <w:rFonts w:cs="Arial"/>
              </w:rPr>
              <w:t>Lead Technologist</w:t>
            </w:r>
            <w:r>
              <w:rPr>
                <w:snapToGrid w:val="0"/>
              </w:rPr>
              <w:t xml:space="preserve"> </w:t>
            </w:r>
            <w:r w:rsidR="00915BD8">
              <w:rPr>
                <w:snapToGrid w:val="0"/>
              </w:rPr>
              <w:t>or</w:t>
            </w:r>
            <w:r>
              <w:rPr>
                <w:snapToGrid w:val="0"/>
              </w:rPr>
              <w:t xml:space="preserve"> above is authorized to issue antigen positive and untyped red blood cells.</w:t>
            </w:r>
          </w:p>
        </w:tc>
      </w:tr>
      <w:tr w:rsidR="002A21AE" w14:paraId="4431932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0F8C1BDE" w14:textId="77777777" w:rsidR="002A21AE" w:rsidRDefault="002A21AE">
            <w:pPr>
              <w:pStyle w:val="TableTextNumbers"/>
            </w:pPr>
            <w:r>
              <w:t>Select a patient.</w:t>
            </w:r>
          </w:p>
        </w:tc>
        <w:tc>
          <w:tcPr>
            <w:tcW w:w="6120" w:type="dxa"/>
            <w:tcBorders>
              <w:top w:val="single" w:sz="6" w:space="0" w:color="auto"/>
              <w:left w:val="single" w:sz="6" w:space="0" w:color="auto"/>
              <w:bottom w:val="single" w:sz="6" w:space="0" w:color="auto"/>
              <w:right w:val="single" w:sz="6" w:space="0" w:color="auto"/>
            </w:tcBorders>
          </w:tcPr>
          <w:p w14:paraId="0D15D49D" w14:textId="77777777" w:rsidR="002A21AE" w:rsidRDefault="002A21AE">
            <w:pPr>
              <w:pStyle w:val="TableTextBullet"/>
            </w:pPr>
            <w:r>
              <w:t>Displays patient data, including entries that meet the entered patient criteria, and allows the user to select the correct patient.</w:t>
            </w:r>
          </w:p>
          <w:p w14:paraId="198A5105" w14:textId="77777777" w:rsidR="002A21AE" w:rsidRDefault="002A21AE">
            <w:pPr>
              <w:pStyle w:val="TableText"/>
            </w:pPr>
          </w:p>
          <w:p w14:paraId="6A52F951" w14:textId="77777777" w:rsidR="002A21AE" w:rsidRDefault="00057948">
            <w:pPr>
              <w:pStyle w:val="TableText"/>
              <w:rPr>
                <w:b/>
                <w:bCs/>
                <w:szCs w:val="18"/>
              </w:rPr>
            </w:pPr>
            <w:r>
              <w:rPr>
                <w:b/>
                <w:bCs/>
                <w:noProof/>
              </w:rPr>
              <mc:AlternateContent>
                <mc:Choice Requires="wps">
                  <w:drawing>
                    <wp:anchor distT="0" distB="0" distL="114300" distR="114300" simplePos="0" relativeHeight="251720192" behindDoc="0" locked="0" layoutInCell="1" allowOverlap="1" wp14:anchorId="353673E7" wp14:editId="22300550">
                      <wp:simplePos x="0" y="0"/>
                      <wp:positionH relativeFrom="column">
                        <wp:posOffset>457200</wp:posOffset>
                      </wp:positionH>
                      <wp:positionV relativeFrom="paragraph">
                        <wp:posOffset>65405</wp:posOffset>
                      </wp:positionV>
                      <wp:extent cx="3200400" cy="0"/>
                      <wp:effectExtent l="9525" t="17780" r="9525" b="10795"/>
                      <wp:wrapNone/>
                      <wp:docPr id="439" name="Line 926" descr="P5705C6T5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BC524" id="Line 926" o:spid="_x0000_s1026" alt="&quot;&quot;"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vwyxb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0C3383BA" w14:textId="77777777" w:rsidR="002A21AE" w:rsidRDefault="002A21AE">
            <w:pPr>
              <w:pStyle w:val="NotesText"/>
            </w:pPr>
          </w:p>
          <w:p w14:paraId="2F512E3E" w14:textId="2EFF66D5" w:rsidR="002A21AE" w:rsidRDefault="00896F17">
            <w:pPr>
              <w:pStyle w:val="TableText"/>
              <w:ind w:left="360"/>
            </w:pPr>
            <w:r w:rsidRPr="00896F17">
              <w:rPr>
                <w:rStyle w:val="BullhornChar"/>
              </w:rPr>
              <w:t></w:t>
            </w:r>
            <w:r w:rsidRPr="00C51C45">
              <w:rPr>
                <w:rFonts w:ascii="Webdings" w:hAnsi="Webdings"/>
                <w:szCs w:val="22"/>
              </w:rPr>
              <w:t></w:t>
            </w:r>
            <w:r>
              <w:rPr>
                <w:rFonts w:cs="Arial"/>
                <w:szCs w:val="22"/>
              </w:rPr>
              <w:t>See</w:t>
            </w:r>
            <w:r w:rsidR="002A21AE">
              <w:t xml:space="preserve"> </w:t>
            </w:r>
            <w:r w:rsidR="00590097">
              <w:fldChar w:fldCharType="begin" w:fldLock="1"/>
            </w:r>
            <w:r w:rsidR="00590097">
              <w:instrText xml:space="preserve"> REF _Ref126486291 \h </w:instrText>
            </w:r>
            <w:r w:rsidR="00590097">
              <w:fldChar w:fldCharType="separate"/>
            </w:r>
            <w:r w:rsidR="00AB304C">
              <w:t xml:space="preserve">Table </w:t>
            </w:r>
            <w:r w:rsidR="00AB304C">
              <w:rPr>
                <w:noProof/>
              </w:rPr>
              <w:t>7</w:t>
            </w:r>
            <w:r w:rsidR="00590097">
              <w:fldChar w:fldCharType="end"/>
            </w:r>
            <w:r w:rsidR="002A21AE">
              <w:t xml:space="preserve"> for alerts that may occur during this option.</w:t>
            </w:r>
          </w:p>
          <w:p w14:paraId="5867D8CA" w14:textId="77777777" w:rsidR="006E1BB2" w:rsidRDefault="006E1BB2">
            <w:pPr>
              <w:pStyle w:val="TableText"/>
              <w:ind w:left="360"/>
            </w:pPr>
          </w:p>
          <w:p w14:paraId="22F4962D" w14:textId="77777777" w:rsidR="006E1BB2" w:rsidRDefault="006E1BB2" w:rsidP="006E1BB2">
            <w:pPr>
              <w:pStyle w:val="TableText"/>
              <w:ind w:left="720"/>
            </w:pPr>
            <w:r>
              <w:t xml:space="preserve">Not all possible error messages may display when multiple messages may apply to the unit/patient. Correction of any one of the patient/unit problems and </w:t>
            </w:r>
            <w:r w:rsidR="008C7599">
              <w:t xml:space="preserve">subsequent re-attempts </w:t>
            </w:r>
            <w:r>
              <w:t>to issue the unit to the patient will display another of the possible messages until all</w:t>
            </w:r>
            <w:r w:rsidR="008C7599">
              <w:t xml:space="preserve"> errors</w:t>
            </w:r>
            <w:r>
              <w:t xml:space="preserve"> are corrected. </w:t>
            </w:r>
            <w:r w:rsidRPr="006E1BB2">
              <w:rPr>
                <w:vanish/>
              </w:rPr>
              <w:t>DR 4808</w:t>
            </w:r>
          </w:p>
          <w:p w14:paraId="1C31F931" w14:textId="77777777" w:rsidR="006E1BB2" w:rsidRDefault="006E1BB2" w:rsidP="006E1BB2">
            <w:pPr>
              <w:pStyle w:val="TableText"/>
              <w:ind w:left="720"/>
            </w:pPr>
          </w:p>
        </w:tc>
      </w:tr>
      <w:tr w:rsidR="002A21AE" w14:paraId="2500281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3CE754E0" w14:textId="77777777" w:rsidR="002A21AE" w:rsidRDefault="002A21AE">
            <w:pPr>
              <w:pStyle w:val="TableTextNumbers"/>
            </w:pPr>
            <w:r>
              <w:t xml:space="preserve">Click </w:t>
            </w:r>
            <w:r>
              <w:rPr>
                <w:b/>
              </w:rPr>
              <w:t>OK</w:t>
            </w:r>
            <w:r>
              <w:t xml:space="preserve"> to verify that the correct patient was selected.</w:t>
            </w:r>
          </w:p>
        </w:tc>
        <w:tc>
          <w:tcPr>
            <w:tcW w:w="6120" w:type="dxa"/>
            <w:tcBorders>
              <w:top w:val="single" w:sz="6" w:space="0" w:color="auto"/>
              <w:left w:val="single" w:sz="6" w:space="0" w:color="auto"/>
              <w:bottom w:val="single" w:sz="6" w:space="0" w:color="auto"/>
              <w:right w:val="single" w:sz="6" w:space="0" w:color="auto"/>
            </w:tcBorders>
          </w:tcPr>
          <w:p w14:paraId="11AFEC12" w14:textId="77777777" w:rsidR="002A21AE" w:rsidRDefault="002A21AE" w:rsidP="003B4820">
            <w:pPr>
              <w:pStyle w:val="TableTextBullet"/>
            </w:pPr>
            <w:r>
              <w:t>Displays fields for the user to enter data for the issue transaction.</w:t>
            </w:r>
          </w:p>
        </w:tc>
      </w:tr>
      <w:tr w:rsidR="002A21AE" w14:paraId="752A197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120E9AA7" w14:textId="0059C1CD" w:rsidR="002A21AE" w:rsidRDefault="002A21AE">
            <w:pPr>
              <w:pStyle w:val="TableTextNumbers"/>
            </w:pPr>
            <w:r>
              <w:lastRenderedPageBreak/>
              <w:t xml:space="preserve">Enter the required </w:t>
            </w:r>
            <w:r w:rsidR="003B4820">
              <w:t>data in the transporter name, issue-to location, and date and time fields</w:t>
            </w:r>
            <w:r w:rsidR="00A04663">
              <w:t xml:space="preserve"> </w:t>
            </w:r>
            <w:r w:rsidR="003767D2">
              <w:t>(</w:t>
            </w:r>
            <w:r w:rsidR="003767D2">
              <w:fldChar w:fldCharType="begin" w:fldLock="1"/>
            </w:r>
            <w:r w:rsidR="003767D2">
              <w:instrText xml:space="preserve"> REF _Ref127093318 \h </w:instrText>
            </w:r>
            <w:r w:rsidR="003767D2">
              <w:fldChar w:fldCharType="separate"/>
            </w:r>
            <w:r w:rsidR="00AB304C">
              <w:t xml:space="preserve">Figure </w:t>
            </w:r>
            <w:r w:rsidR="00AB304C">
              <w:rPr>
                <w:noProof/>
              </w:rPr>
              <w:t>103</w:t>
            </w:r>
            <w:r w:rsidR="003767D2">
              <w:fldChar w:fldCharType="end"/>
            </w:r>
            <w:r w:rsidR="003767D2">
              <w:t>)</w:t>
            </w:r>
            <w:r>
              <w:t>.</w:t>
            </w:r>
          </w:p>
          <w:p w14:paraId="554FB728" w14:textId="77777777" w:rsidR="003B4820" w:rsidRDefault="003B4820" w:rsidP="003B4820">
            <w:pPr>
              <w:pStyle w:val="TableTextNumbersContinued"/>
            </w:pPr>
          </w:p>
          <w:p w14:paraId="6E32661A" w14:textId="77777777" w:rsidR="003B4820" w:rsidRPr="003B4820" w:rsidRDefault="003B4820" w:rsidP="003B4820">
            <w:pPr>
              <w:pStyle w:val="TableTextNumbersContinued"/>
            </w:pPr>
            <w:r>
              <w:t xml:space="preserve">Click </w:t>
            </w:r>
            <w:r>
              <w:rPr>
                <w:b/>
              </w:rPr>
              <w:t>OK</w:t>
            </w:r>
            <w:r w:rsidRPr="003B4820">
              <w:t>.</w:t>
            </w:r>
          </w:p>
        </w:tc>
        <w:tc>
          <w:tcPr>
            <w:tcW w:w="6120" w:type="dxa"/>
            <w:tcBorders>
              <w:top w:val="single" w:sz="6" w:space="0" w:color="auto"/>
              <w:left w:val="single" w:sz="6" w:space="0" w:color="auto"/>
              <w:bottom w:val="single" w:sz="6" w:space="0" w:color="auto"/>
              <w:right w:val="single" w:sz="6" w:space="0" w:color="auto"/>
            </w:tcBorders>
          </w:tcPr>
          <w:p w14:paraId="1E83D4DB" w14:textId="77777777" w:rsidR="003B4820" w:rsidRDefault="003B4820" w:rsidP="003B4820">
            <w:pPr>
              <w:pStyle w:val="TableText"/>
            </w:pPr>
          </w:p>
          <w:p w14:paraId="42898E21" w14:textId="77777777" w:rsidR="003B4820" w:rsidRDefault="00057948" w:rsidP="003B4820">
            <w:pPr>
              <w:pStyle w:val="TableText"/>
              <w:rPr>
                <w:b/>
                <w:bCs/>
                <w:szCs w:val="18"/>
              </w:rPr>
            </w:pPr>
            <w:r>
              <w:rPr>
                <w:b/>
                <w:bCs/>
                <w:noProof/>
              </w:rPr>
              <mc:AlternateContent>
                <mc:Choice Requires="wps">
                  <w:drawing>
                    <wp:anchor distT="0" distB="0" distL="114300" distR="114300" simplePos="0" relativeHeight="251966976" behindDoc="0" locked="0" layoutInCell="1" allowOverlap="1" wp14:anchorId="4C8BC33D" wp14:editId="2748A5CE">
                      <wp:simplePos x="0" y="0"/>
                      <wp:positionH relativeFrom="column">
                        <wp:posOffset>457200</wp:posOffset>
                      </wp:positionH>
                      <wp:positionV relativeFrom="paragraph">
                        <wp:posOffset>65405</wp:posOffset>
                      </wp:positionV>
                      <wp:extent cx="3200400" cy="0"/>
                      <wp:effectExtent l="9525" t="17780" r="9525" b="10795"/>
                      <wp:wrapNone/>
                      <wp:docPr id="438" name="Line 1177" descr="P5719C10T5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11B64" id="Line 1177" o:spid="_x0000_s1026" alt="&quot;&quot;" style="position:absolute;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PgWC+bEAQAAbwMAAA4AAAAAAAAAAAAAAAAA&#10;LgIAAGRycy9lMm9Eb2MueG1sUEsBAi0AFAAGAAgAAAAhABdPMBLbAAAACAEAAA8AAAAAAAAAAAAA&#10;AAAAHgQAAGRycy9kb3ducmV2LnhtbFBLBQYAAAAABAAEAPMAAAAmBQAAAAA=&#10;" strokeweight="1.5pt"/>
                  </w:pict>
                </mc:Fallback>
              </mc:AlternateContent>
            </w:r>
            <w:r w:rsidR="003B4820">
              <w:rPr>
                <w:b/>
                <w:bCs/>
                <w:szCs w:val="18"/>
              </w:rPr>
              <w:t>NOTES</w:t>
            </w:r>
          </w:p>
          <w:p w14:paraId="321E6726" w14:textId="77777777" w:rsidR="003B4820" w:rsidRDefault="003B4820" w:rsidP="003B4820">
            <w:pPr>
              <w:pStyle w:val="NotesText"/>
            </w:pPr>
          </w:p>
          <w:p w14:paraId="5367EA81" w14:textId="77777777" w:rsidR="003B4820" w:rsidRDefault="003B4820" w:rsidP="003B4820">
            <w:pPr>
              <w:pStyle w:val="NotesText"/>
            </w:pPr>
            <w:r>
              <w:rPr>
                <w:rFonts w:cs="Arial"/>
                <w:vanish/>
              </w:rPr>
              <w:t xml:space="preserve">BR_73.01 </w:t>
            </w:r>
            <w:r>
              <w:t>The user may edit the transfusion-ordering clinician, which does not change the blood-ordering clinician.</w:t>
            </w:r>
          </w:p>
          <w:p w14:paraId="549C3E90" w14:textId="77777777" w:rsidR="003B4820" w:rsidRDefault="003B4820" w:rsidP="003B4820">
            <w:pPr>
              <w:pStyle w:val="NotesText"/>
            </w:pPr>
          </w:p>
          <w:p w14:paraId="09190324" w14:textId="77777777" w:rsidR="003B4820" w:rsidRDefault="003B4820" w:rsidP="003B4820">
            <w:pPr>
              <w:pStyle w:val="NotesText"/>
            </w:pPr>
            <w:r>
              <w:rPr>
                <w:rFonts w:cs="Arial"/>
                <w:vanish/>
              </w:rPr>
              <w:t xml:space="preserve">BR_73.18 </w:t>
            </w:r>
            <w:r>
              <w:t xml:space="preserve">When the user updates the transfusion-ordering-clinician field, VistALink queries </w:t>
            </w:r>
            <w:r w:rsidRPr="00CA0045">
              <w:rPr>
                <w:bCs/>
              </w:rPr>
              <w:t>VistA</w:t>
            </w:r>
            <w:r>
              <w:t xml:space="preserve"> for valid providers only. The user may narrow the search by entering the provider’s name.</w:t>
            </w:r>
          </w:p>
          <w:p w14:paraId="1F9A33FA" w14:textId="77777777" w:rsidR="003B4820" w:rsidRDefault="003B4820" w:rsidP="003B4820">
            <w:pPr>
              <w:pStyle w:val="NotesText"/>
            </w:pPr>
          </w:p>
          <w:p w14:paraId="79C8C4A0" w14:textId="77777777" w:rsidR="003B4820" w:rsidRDefault="003B4820" w:rsidP="003B4820">
            <w:pPr>
              <w:pStyle w:val="NotesText"/>
            </w:pPr>
            <w:r>
              <w:rPr>
                <w:rFonts w:cs="Arial"/>
                <w:vanish/>
              </w:rPr>
              <w:t xml:space="preserve">BR_73.08 </w:t>
            </w:r>
            <w:r>
              <w:t>The user may edit the issue date and time (default: current date and time) to allow retrospective data entry; no future issue date or time is allowed. When the issue time is incorrect, the user must undo the issue and reissue the unit with the correct date and time.</w:t>
            </w:r>
          </w:p>
          <w:p w14:paraId="262C20EB" w14:textId="77777777" w:rsidR="003B4820" w:rsidRDefault="003B4820" w:rsidP="003B4820">
            <w:pPr>
              <w:pStyle w:val="NotesText"/>
            </w:pPr>
          </w:p>
          <w:p w14:paraId="05F79557" w14:textId="6AB187B5" w:rsidR="003B4820" w:rsidRDefault="003B4820" w:rsidP="003B4820">
            <w:pPr>
              <w:pStyle w:val="NotesText"/>
            </w:pPr>
            <w:r>
              <w:rPr>
                <w:vanish/>
                <w:szCs w:val="18"/>
              </w:rPr>
              <w:t xml:space="preserve">BR_73.09, BR_30.02 </w:t>
            </w:r>
            <w:r>
              <w:t>A remote storage indicator is optional (default: No).</w:t>
            </w:r>
            <w:r w:rsidR="006549B7">
              <w:t xml:space="preserve"> </w:t>
            </w:r>
            <w:r>
              <w:t>The transporter name field allows free text and does not display a selection list. The issue-to location lists current hospital locations provided by VistALink, including the inpatient or outpatient location indicator (</w:t>
            </w:r>
            <w:r w:rsidRPr="00CA0045">
              <w:rPr>
                <w:bCs/>
              </w:rPr>
              <w:t>VistA</w:t>
            </w:r>
            <w:r>
              <w:t xml:space="preserve"> refers to this as a “patient class”). This is related to billing reimbursement and is not an enabled field in the issue option.</w:t>
            </w:r>
          </w:p>
          <w:p w14:paraId="0628E667" w14:textId="77777777" w:rsidR="00102607" w:rsidRDefault="00102607" w:rsidP="003B4820">
            <w:pPr>
              <w:pStyle w:val="NotesText"/>
            </w:pPr>
          </w:p>
          <w:p w14:paraId="6A1BAEF1" w14:textId="77777777" w:rsidR="00102607" w:rsidRDefault="00102607" w:rsidP="003B4820">
            <w:pPr>
              <w:pStyle w:val="NotesText"/>
            </w:pPr>
            <w:r>
              <w:t xml:space="preserve">A user could return the unit from issue and reissue it with a hospital location when VistALink is up again. </w:t>
            </w:r>
            <w:r w:rsidRPr="00102607">
              <w:rPr>
                <w:vanish/>
              </w:rPr>
              <w:t>DR 5073</w:t>
            </w:r>
          </w:p>
          <w:p w14:paraId="4313563A" w14:textId="77777777" w:rsidR="003B4820" w:rsidRDefault="003B4820" w:rsidP="003B4820">
            <w:pPr>
              <w:pStyle w:val="NotesText"/>
              <w:rPr>
                <w:rFonts w:cs="Arial"/>
              </w:rPr>
            </w:pPr>
          </w:p>
          <w:p w14:paraId="57DFC084" w14:textId="77777777" w:rsidR="003B4820" w:rsidRDefault="003B4820" w:rsidP="003B4820">
            <w:pPr>
              <w:pStyle w:val="NotesText"/>
            </w:pPr>
            <w:r>
              <w:rPr>
                <w:rFonts w:cs="Arial"/>
                <w:vanish/>
              </w:rPr>
              <w:t xml:space="preserve">BR_73.34 </w:t>
            </w:r>
            <w:r>
              <w:t>When a remote storage location indicator is checked, the user may select from a list of previously entered locations or enter a new, free-text location. Each location entered and saved is available for future selection as a remote location.</w:t>
            </w:r>
          </w:p>
          <w:p w14:paraId="3DE972CD" w14:textId="77777777" w:rsidR="00D43534" w:rsidRDefault="00D43534" w:rsidP="003B4820">
            <w:pPr>
              <w:pStyle w:val="NotesText"/>
            </w:pPr>
          </w:p>
          <w:p w14:paraId="3FE5FD10" w14:textId="77777777" w:rsidR="00D43534" w:rsidRDefault="00D43534" w:rsidP="003B4820">
            <w:pPr>
              <w:pStyle w:val="NotesText"/>
            </w:pPr>
            <w:r w:rsidRPr="00D43534">
              <w:rPr>
                <w:rFonts w:cs="Arial"/>
                <w:vanish/>
                <w:szCs w:val="18"/>
              </w:rPr>
              <w:t xml:space="preserve">BR_73.38 </w:t>
            </w:r>
            <w:r>
              <w:rPr>
                <w:rFonts w:cs="Arial"/>
                <w:szCs w:val="18"/>
              </w:rPr>
              <w:t>When the component order is for PLATE</w:t>
            </w:r>
            <w:r w:rsidR="00EF6C4B">
              <w:rPr>
                <w:rFonts w:cs="Arial"/>
                <w:szCs w:val="18"/>
              </w:rPr>
              <w:t>LETS or OTHER, the units with = &gt;</w:t>
            </w:r>
            <w:r>
              <w:rPr>
                <w:rFonts w:cs="Arial"/>
                <w:szCs w:val="18"/>
              </w:rPr>
              <w:t xml:space="preserve"> 2 mL of RBC contamination must be presented </w:t>
            </w:r>
            <w:r w:rsidRPr="005722FA">
              <w:rPr>
                <w:rFonts w:cs="Arial"/>
                <w:szCs w:val="18"/>
              </w:rPr>
              <w:t>and checke</w:t>
            </w:r>
            <w:r>
              <w:rPr>
                <w:rFonts w:cs="Arial"/>
                <w:szCs w:val="18"/>
              </w:rPr>
              <w:t>d for compatibility and will display before products with less than (&lt; ) 2 mL of RBC contamination. The system will present all available units when the Product Type is PLATELETS or OTHER non-plasma components that have &lt; 2 mL RBC contamination.</w:t>
            </w:r>
          </w:p>
        </w:tc>
      </w:tr>
      <w:tr w:rsidR="002A21AE" w14:paraId="6247BE4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6B1EDA97" w14:textId="3530611E" w:rsidR="002A21AE" w:rsidRDefault="002A21AE" w:rsidP="003B7F11">
            <w:pPr>
              <w:pStyle w:val="TableTextNumbers"/>
            </w:pPr>
            <w:r>
              <w:t xml:space="preserve">Scan </w:t>
            </w:r>
            <w:r w:rsidR="00323155">
              <w:t xml:space="preserve">the unit ID and product code, </w:t>
            </w:r>
            <w:r>
              <w:t>or click one or more check boxes to select units for issue to the selected patient</w:t>
            </w:r>
            <w:r w:rsidR="003767D2">
              <w:t xml:space="preserve"> (</w:t>
            </w:r>
            <w:r w:rsidR="00AA68B2">
              <w:fldChar w:fldCharType="begin" w:fldLock="1"/>
            </w:r>
            <w:r w:rsidR="00AA68B2">
              <w:instrText xml:space="preserve"> REF _Ref127093568 \h </w:instrText>
            </w:r>
            <w:r w:rsidR="00AA68B2">
              <w:fldChar w:fldCharType="separate"/>
            </w:r>
            <w:r w:rsidR="00AB304C">
              <w:t xml:space="preserve">Figure </w:t>
            </w:r>
            <w:r w:rsidR="00AB304C">
              <w:rPr>
                <w:noProof/>
              </w:rPr>
              <w:t>104</w:t>
            </w:r>
            <w:r w:rsidR="00AA68B2">
              <w:fldChar w:fldCharType="end"/>
            </w:r>
            <w:r w:rsidR="003767D2">
              <w:t>)</w:t>
            </w:r>
            <w:r>
              <w:t>.</w:t>
            </w:r>
          </w:p>
        </w:tc>
        <w:tc>
          <w:tcPr>
            <w:tcW w:w="6120" w:type="dxa"/>
            <w:tcBorders>
              <w:top w:val="single" w:sz="6" w:space="0" w:color="auto"/>
              <w:left w:val="single" w:sz="6" w:space="0" w:color="auto"/>
              <w:bottom w:val="single" w:sz="6" w:space="0" w:color="auto"/>
              <w:right w:val="single" w:sz="6" w:space="0" w:color="auto"/>
            </w:tcBorders>
          </w:tcPr>
          <w:p w14:paraId="19B4CB45" w14:textId="77777777" w:rsidR="005D4DA6" w:rsidRDefault="005D4DA6" w:rsidP="005D4DA6">
            <w:pPr>
              <w:pStyle w:val="TableTextBullet"/>
            </w:pPr>
            <w:r>
              <w:t xml:space="preserve">Displays the option to select units from the Assigned Units or Emergency Issue Units tabs. </w:t>
            </w:r>
          </w:p>
          <w:p w14:paraId="47E6C5A5" w14:textId="77777777" w:rsidR="002A21AE" w:rsidRDefault="002A21AE">
            <w:pPr>
              <w:pStyle w:val="TableTextBullet"/>
              <w:tabs>
                <w:tab w:val="num" w:pos="360"/>
              </w:tabs>
            </w:pPr>
            <w:r>
              <w:t xml:space="preserve">Lists the selected units, allows the user to select additional units or deselect units, and prompts the user to indicate that the selections are complete. </w:t>
            </w:r>
          </w:p>
          <w:p w14:paraId="7B3931E4" w14:textId="77777777" w:rsidR="006709A3" w:rsidRDefault="006709A3" w:rsidP="006709A3">
            <w:pPr>
              <w:pStyle w:val="TableTextBullet"/>
              <w:tabs>
                <w:tab w:val="num" w:pos="360"/>
              </w:tabs>
            </w:pPr>
            <w:r>
              <w:t>Allows the user to select the unsatisfactory unit and edit its issue selections.</w:t>
            </w:r>
          </w:p>
          <w:p w14:paraId="5C3BE7B2" w14:textId="77777777" w:rsidR="002A21AE" w:rsidRDefault="002A21AE">
            <w:pPr>
              <w:pStyle w:val="TableText"/>
            </w:pPr>
          </w:p>
          <w:p w14:paraId="013478DA" w14:textId="77777777" w:rsidR="002A21AE" w:rsidRDefault="00057948">
            <w:pPr>
              <w:pStyle w:val="TableText"/>
              <w:rPr>
                <w:b/>
                <w:bCs/>
                <w:szCs w:val="18"/>
              </w:rPr>
            </w:pPr>
            <w:r>
              <w:rPr>
                <w:b/>
                <w:bCs/>
                <w:noProof/>
              </w:rPr>
              <mc:AlternateContent>
                <mc:Choice Requires="wps">
                  <w:drawing>
                    <wp:anchor distT="0" distB="0" distL="114300" distR="114300" simplePos="0" relativeHeight="251725312" behindDoc="0" locked="0" layoutInCell="1" allowOverlap="1" wp14:anchorId="7A743E0D" wp14:editId="290D9E36">
                      <wp:simplePos x="0" y="0"/>
                      <wp:positionH relativeFrom="column">
                        <wp:posOffset>457200</wp:posOffset>
                      </wp:positionH>
                      <wp:positionV relativeFrom="paragraph">
                        <wp:posOffset>65405</wp:posOffset>
                      </wp:positionV>
                      <wp:extent cx="3200400" cy="0"/>
                      <wp:effectExtent l="9525" t="17780" r="9525" b="10795"/>
                      <wp:wrapNone/>
                      <wp:docPr id="437" name="Line 928" descr="P5740C12T5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35425" id="Line 928" o:spid="_x0000_s1026" alt="&quot;&quot;"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x0hXg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550CE6DC" w14:textId="77777777" w:rsidR="002A21AE" w:rsidRDefault="002A21AE">
            <w:pPr>
              <w:pStyle w:val="NotesText"/>
            </w:pPr>
          </w:p>
          <w:p w14:paraId="6B017171" w14:textId="27CFC9D8" w:rsidR="002A21AE" w:rsidRDefault="00896F17">
            <w:pPr>
              <w:pStyle w:val="NotesText"/>
            </w:pPr>
            <w:r w:rsidRPr="00896F17">
              <w:rPr>
                <w:rStyle w:val="BullhornChar"/>
              </w:rPr>
              <w:t></w:t>
            </w:r>
            <w:r w:rsidRPr="00C51C45">
              <w:rPr>
                <w:rFonts w:ascii="Webdings" w:hAnsi="Webdings"/>
                <w:szCs w:val="22"/>
              </w:rPr>
              <w:t></w:t>
            </w:r>
            <w:r>
              <w:rPr>
                <w:rFonts w:cs="Arial"/>
                <w:szCs w:val="22"/>
              </w:rPr>
              <w:t>See</w:t>
            </w:r>
            <w:r>
              <w:t xml:space="preserve"> </w:t>
            </w:r>
            <w:r w:rsidR="00590097">
              <w:fldChar w:fldCharType="begin" w:fldLock="1"/>
            </w:r>
            <w:r w:rsidR="00590097">
              <w:instrText xml:space="preserve"> REF _Ref126486291 \h </w:instrText>
            </w:r>
            <w:r w:rsidR="00590097">
              <w:fldChar w:fldCharType="separate"/>
            </w:r>
            <w:r w:rsidR="00AB304C">
              <w:t xml:space="preserve">Table </w:t>
            </w:r>
            <w:r w:rsidR="00AB304C">
              <w:rPr>
                <w:noProof/>
              </w:rPr>
              <w:t>7</w:t>
            </w:r>
            <w:r w:rsidR="00590097">
              <w:fldChar w:fldCharType="end"/>
            </w:r>
            <w:r w:rsidR="002A21AE">
              <w:t xml:space="preserve"> for alerts that may occur during this option.</w:t>
            </w:r>
          </w:p>
          <w:p w14:paraId="3169FA75" w14:textId="77777777" w:rsidR="00336F17" w:rsidRDefault="00336F17" w:rsidP="00336F17">
            <w:pPr>
              <w:pStyle w:val="NotesText"/>
            </w:pPr>
          </w:p>
          <w:p w14:paraId="49BA1E77" w14:textId="77777777" w:rsidR="00336F17" w:rsidRPr="004212C7" w:rsidRDefault="00336F17" w:rsidP="00336F17">
            <w:pPr>
              <w:pStyle w:val="NotesText"/>
              <w:rPr>
                <w:szCs w:val="18"/>
              </w:rPr>
            </w:pPr>
            <w:r w:rsidRPr="004212C7">
              <w:rPr>
                <w:vanish/>
                <w:szCs w:val="18"/>
              </w:rPr>
              <w:t xml:space="preserve">BR_73.35 </w:t>
            </w:r>
            <w:r w:rsidRPr="004212C7">
              <w:rPr>
                <w:szCs w:val="18"/>
              </w:rPr>
              <w:t>When the user attempts to issue a unit with an inconclusive crossmatch result, VBECS warns the user that the repeat crossmatch is required before the unit can be issued.</w:t>
            </w:r>
          </w:p>
          <w:p w14:paraId="042F8B68" w14:textId="77777777" w:rsidR="00336F17" w:rsidRPr="004212C7" w:rsidRDefault="00336F17" w:rsidP="00336F17">
            <w:pPr>
              <w:pStyle w:val="NotesText"/>
              <w:rPr>
                <w:szCs w:val="18"/>
              </w:rPr>
            </w:pPr>
          </w:p>
          <w:p w14:paraId="2F03D5E5" w14:textId="77777777" w:rsidR="00336F17" w:rsidRPr="004212C7" w:rsidRDefault="00336F17" w:rsidP="00336F17">
            <w:pPr>
              <w:pStyle w:val="NotesText"/>
              <w:rPr>
                <w:szCs w:val="18"/>
              </w:rPr>
            </w:pPr>
            <w:r w:rsidRPr="004212C7">
              <w:rPr>
                <w:vanish/>
                <w:szCs w:val="18"/>
              </w:rPr>
              <w:lastRenderedPageBreak/>
              <w:t xml:space="preserve">BR_73.13 </w:t>
            </w:r>
            <w:r w:rsidRPr="004212C7">
              <w:rPr>
                <w:szCs w:val="18"/>
              </w:rPr>
              <w:t>When the user attempts to issue a unit that is not assigned or crossmatched to the patient, VBECS warns the user that the unit is not assigned to the patient and allows the user to enter another unit number.</w:t>
            </w:r>
          </w:p>
          <w:p w14:paraId="4131861D" w14:textId="77777777" w:rsidR="00336F17" w:rsidRPr="004212C7" w:rsidRDefault="00336F17" w:rsidP="00336F17">
            <w:pPr>
              <w:pStyle w:val="NotesText"/>
              <w:rPr>
                <w:szCs w:val="18"/>
              </w:rPr>
            </w:pPr>
          </w:p>
          <w:p w14:paraId="23F2CACC" w14:textId="77777777" w:rsidR="004C49BF" w:rsidRPr="004C49BF" w:rsidRDefault="004C49BF" w:rsidP="004C49BF">
            <w:pPr>
              <w:pStyle w:val="NotesText"/>
              <w:rPr>
                <w:szCs w:val="18"/>
              </w:rPr>
            </w:pPr>
            <w:r w:rsidRPr="004C49BF">
              <w:rPr>
                <w:vanish/>
                <w:szCs w:val="18"/>
              </w:rPr>
              <w:t xml:space="preserve">BR_73.26 </w:t>
            </w:r>
            <w:r w:rsidRPr="004C49BF">
              <w:rPr>
                <w:szCs w:val="18"/>
              </w:rPr>
              <w:t xml:space="preserve">When the current division is configured as "full service" in UC_09 Maintain VAMC Division, ABO confirmation is required for all blood units contained in the </w:t>
            </w:r>
            <w:r w:rsidRPr="008A3C45">
              <w:rPr>
                <w:szCs w:val="18"/>
              </w:rPr>
              <w:t xml:space="preserve">WB or RBC or </w:t>
            </w:r>
            <w:r w:rsidRPr="004C49BF">
              <w:rPr>
                <w:szCs w:val="18"/>
              </w:rPr>
              <w:t>PLT or OTHER units</w:t>
            </w:r>
            <w:r w:rsidR="00276485">
              <w:rPr>
                <w:szCs w:val="18"/>
              </w:rPr>
              <w:t xml:space="preserve"> with </w:t>
            </w:r>
            <w:r w:rsidRPr="004C49BF">
              <w:rPr>
                <w:szCs w:val="18"/>
              </w:rPr>
              <w:t xml:space="preserve"> = </w:t>
            </w:r>
            <w:r w:rsidR="00276485">
              <w:rPr>
                <w:szCs w:val="18"/>
              </w:rPr>
              <w:t xml:space="preserve">&gt; </w:t>
            </w:r>
            <w:r w:rsidRPr="004C49BF">
              <w:rPr>
                <w:szCs w:val="18"/>
              </w:rPr>
              <w:t>2 mL RBC contamination When performed, ABO confirmation must match unit ABO at log-in.</w:t>
            </w:r>
          </w:p>
          <w:p w14:paraId="345AB9CB" w14:textId="77777777" w:rsidR="004C49BF" w:rsidRPr="004C49BF" w:rsidRDefault="004C49BF" w:rsidP="004C49BF">
            <w:pPr>
              <w:pStyle w:val="NotesText"/>
              <w:rPr>
                <w:szCs w:val="18"/>
              </w:rPr>
            </w:pPr>
          </w:p>
          <w:p w14:paraId="179677BE" w14:textId="77777777" w:rsidR="004C49BF" w:rsidRPr="004C49BF" w:rsidRDefault="004C49BF" w:rsidP="004C49BF">
            <w:pPr>
              <w:pStyle w:val="NotesText"/>
              <w:rPr>
                <w:szCs w:val="18"/>
              </w:rPr>
            </w:pPr>
            <w:r w:rsidRPr="004C49BF">
              <w:rPr>
                <w:vanish/>
                <w:szCs w:val="18"/>
              </w:rPr>
              <w:t xml:space="preserve">BR_73.26 </w:t>
            </w:r>
            <w:r w:rsidRPr="004C49BF">
              <w:rPr>
                <w:szCs w:val="18"/>
              </w:rPr>
              <w:t xml:space="preserve">The unit must have a satisfactory confirmation result before it is considered available for issue and the Blood Transfusion Record Form and Unit Caution Tag may be generated. </w:t>
            </w:r>
          </w:p>
          <w:p w14:paraId="027C6315" w14:textId="77777777" w:rsidR="004C49BF" w:rsidRDefault="004C49BF" w:rsidP="004C49BF">
            <w:pPr>
              <w:pStyle w:val="TableText"/>
            </w:pPr>
          </w:p>
          <w:p w14:paraId="78F1D2CD" w14:textId="77777777" w:rsidR="002A21AE" w:rsidRPr="004212C7" w:rsidRDefault="004C49BF" w:rsidP="004C49BF">
            <w:pPr>
              <w:pStyle w:val="NotesText"/>
              <w:rPr>
                <w:szCs w:val="18"/>
              </w:rPr>
            </w:pPr>
            <w:r w:rsidRPr="004C49BF">
              <w:rPr>
                <w:vanish/>
              </w:rPr>
              <w:t xml:space="preserve">BR_73.26 </w:t>
            </w:r>
            <w:r>
              <w:t>Rh confirmation results are required on all blood units from the “WHOLE BLOOD”, “RED BLOOD CELLS” component classes or OTHER unit</w:t>
            </w:r>
            <w:r w:rsidR="00276485">
              <w:t>s with = &gt;</w:t>
            </w:r>
            <w:r>
              <w:t xml:space="preserve"> 2 mL RBC contamination labeled as Rh negative during shipment receipt. When performed, Rh confirmation must match Rh at log-in.</w:t>
            </w:r>
          </w:p>
          <w:p w14:paraId="7030E8D3" w14:textId="77777777" w:rsidR="00AE062E" w:rsidRPr="004212C7" w:rsidRDefault="002A21AE" w:rsidP="00102A03">
            <w:pPr>
              <w:pStyle w:val="NotesText"/>
              <w:rPr>
                <w:szCs w:val="18"/>
              </w:rPr>
            </w:pPr>
            <w:r w:rsidRPr="004212C7">
              <w:rPr>
                <w:rFonts w:cs="Arial"/>
                <w:vanish/>
                <w:szCs w:val="18"/>
              </w:rPr>
              <w:t xml:space="preserve">BR_3.42 </w:t>
            </w:r>
            <w:r w:rsidRPr="004212C7">
              <w:rPr>
                <w:szCs w:val="18"/>
              </w:rPr>
              <w:t>When a current specimen is required, VBECS compares the current and previous ABO/Rh results. It does not evaluate results marked “Test Result Invalidated.”</w:t>
            </w:r>
          </w:p>
          <w:p w14:paraId="1F60DC38" w14:textId="77777777" w:rsidR="00336F17" w:rsidRPr="004212C7" w:rsidRDefault="00336F17" w:rsidP="00336F17">
            <w:pPr>
              <w:pStyle w:val="NotesText"/>
              <w:rPr>
                <w:szCs w:val="18"/>
              </w:rPr>
            </w:pPr>
          </w:p>
          <w:p w14:paraId="61ED03AB" w14:textId="6817B34C" w:rsidR="00AB3D10" w:rsidRPr="004212C7" w:rsidRDefault="004212C7" w:rsidP="00336F17">
            <w:pPr>
              <w:pStyle w:val="NotesText"/>
              <w:rPr>
                <w:szCs w:val="18"/>
              </w:rPr>
            </w:pPr>
            <w:r w:rsidRPr="004212C7">
              <w:rPr>
                <w:vanish/>
                <w:szCs w:val="18"/>
              </w:rPr>
              <w:t>BR_73.23</w:t>
            </w:r>
            <w:r w:rsidRPr="004212C7">
              <w:rPr>
                <w:szCs w:val="18"/>
              </w:rPr>
              <w:t>When issuing blood components f</w:t>
            </w:r>
            <w:r w:rsidR="00276485">
              <w:rPr>
                <w:szCs w:val="18"/>
              </w:rPr>
              <w:t xml:space="preserve">rom the Any unit that </w:t>
            </w:r>
            <w:r w:rsidR="006549B7">
              <w:rPr>
                <w:szCs w:val="18"/>
              </w:rPr>
              <w:t>contains &gt;</w:t>
            </w:r>
            <w:r w:rsidR="00276485">
              <w:rPr>
                <w:szCs w:val="18"/>
              </w:rPr>
              <w:t xml:space="preserve"> = </w:t>
            </w:r>
            <w:r w:rsidRPr="004212C7">
              <w:rPr>
                <w:szCs w:val="18"/>
              </w:rPr>
              <w:t>2 mL of RBC contamination, the associated specimen’s TAS must be completed and the unit status must be crossmatched to the selected patient to routine issue. Optionally, the unit may be emergency issued.</w:t>
            </w:r>
          </w:p>
          <w:p w14:paraId="5CB2A138" w14:textId="77777777" w:rsidR="004212C7" w:rsidRPr="004212C7" w:rsidRDefault="004212C7" w:rsidP="00336F17">
            <w:pPr>
              <w:pStyle w:val="NotesText"/>
              <w:rPr>
                <w:szCs w:val="18"/>
              </w:rPr>
            </w:pPr>
          </w:p>
          <w:p w14:paraId="4BDFC2FA" w14:textId="77777777" w:rsidR="00AB3D10" w:rsidRPr="003A05F7" w:rsidRDefault="00AB3D10" w:rsidP="003A05F7">
            <w:pPr>
              <w:pStyle w:val="NotesText"/>
              <w:rPr>
                <w:sz w:val="16"/>
                <w:szCs w:val="16"/>
              </w:rPr>
            </w:pPr>
            <w:r w:rsidRPr="004212C7">
              <w:rPr>
                <w:szCs w:val="18"/>
              </w:rPr>
              <w:t xml:space="preserve">Whole blood is not allowed for </w:t>
            </w:r>
            <w:r w:rsidR="008C7599" w:rsidRPr="004212C7">
              <w:rPr>
                <w:szCs w:val="18"/>
              </w:rPr>
              <w:t xml:space="preserve">the </w:t>
            </w:r>
            <w:r w:rsidR="00FB3CC8" w:rsidRPr="004212C7">
              <w:rPr>
                <w:szCs w:val="18"/>
              </w:rPr>
              <w:t>emergency issue process. C</w:t>
            </w:r>
            <w:r w:rsidRPr="004212C7">
              <w:rPr>
                <w:szCs w:val="18"/>
              </w:rPr>
              <w:t xml:space="preserve">ompleted Type and Screen and compatible crossmatch </w:t>
            </w:r>
            <w:r w:rsidR="00FB3CC8" w:rsidRPr="004212C7">
              <w:rPr>
                <w:szCs w:val="18"/>
              </w:rPr>
              <w:t>tests are</w:t>
            </w:r>
            <w:r w:rsidRPr="004212C7">
              <w:rPr>
                <w:szCs w:val="18"/>
              </w:rPr>
              <w:t xml:space="preserve"> required for whole blood issuance. </w:t>
            </w:r>
            <w:r w:rsidRPr="003A05F7">
              <w:rPr>
                <w:vanish/>
                <w:sz w:val="16"/>
                <w:szCs w:val="16"/>
              </w:rPr>
              <w:t>DR 4811</w:t>
            </w:r>
            <w:r w:rsidR="003D719C" w:rsidRPr="003A05F7">
              <w:rPr>
                <w:vanish/>
                <w:sz w:val="16"/>
                <w:szCs w:val="16"/>
              </w:rPr>
              <w:t xml:space="preserve"> DR 4854</w:t>
            </w:r>
          </w:p>
        </w:tc>
      </w:tr>
      <w:tr w:rsidR="002A21AE" w14:paraId="19158FE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755C3C67" w14:textId="77777777" w:rsidR="002A21AE" w:rsidRDefault="002A21AE">
            <w:pPr>
              <w:pStyle w:val="TableTextNumbers"/>
            </w:pPr>
            <w:r>
              <w:lastRenderedPageBreak/>
              <w:t xml:space="preserve">Click </w:t>
            </w:r>
            <w:r>
              <w:rPr>
                <w:b/>
              </w:rPr>
              <w:t>OK</w:t>
            </w:r>
            <w:r>
              <w:t xml:space="preserve"> </w:t>
            </w:r>
            <w:r w:rsidR="00A304AE">
              <w:t>to save and complete the unit issue</w:t>
            </w:r>
            <w:r>
              <w:t>.</w:t>
            </w:r>
          </w:p>
        </w:tc>
        <w:tc>
          <w:tcPr>
            <w:tcW w:w="6120" w:type="dxa"/>
            <w:tcBorders>
              <w:top w:val="single" w:sz="6" w:space="0" w:color="auto"/>
              <w:left w:val="single" w:sz="6" w:space="0" w:color="auto"/>
              <w:bottom w:val="single" w:sz="6" w:space="0" w:color="auto"/>
              <w:right w:val="single" w:sz="6" w:space="0" w:color="auto"/>
            </w:tcBorders>
          </w:tcPr>
          <w:p w14:paraId="6E86309A" w14:textId="77777777" w:rsidR="002A21AE" w:rsidRDefault="002A21AE">
            <w:pPr>
              <w:pStyle w:val="TableTextBullet"/>
              <w:tabs>
                <w:tab w:val="num" w:pos="360"/>
              </w:tabs>
            </w:pPr>
            <w:r>
              <w:t xml:space="preserve">Displays entries for review and editing. </w:t>
            </w:r>
          </w:p>
          <w:p w14:paraId="2D038772" w14:textId="77777777" w:rsidR="002A21AE" w:rsidRDefault="002A21AE">
            <w:pPr>
              <w:pStyle w:val="TableText"/>
            </w:pPr>
          </w:p>
          <w:p w14:paraId="7B6FF1DC" w14:textId="77777777" w:rsidR="002A21AE" w:rsidRDefault="00057948">
            <w:pPr>
              <w:pStyle w:val="TableText"/>
              <w:rPr>
                <w:b/>
                <w:bCs/>
                <w:szCs w:val="18"/>
              </w:rPr>
            </w:pPr>
            <w:r>
              <w:rPr>
                <w:b/>
                <w:bCs/>
                <w:noProof/>
              </w:rPr>
              <mc:AlternateContent>
                <mc:Choice Requires="wps">
                  <w:drawing>
                    <wp:anchor distT="0" distB="0" distL="114300" distR="114300" simplePos="0" relativeHeight="251728384" behindDoc="0" locked="0" layoutInCell="1" allowOverlap="1" wp14:anchorId="5D5ED2D5" wp14:editId="0A7B574F">
                      <wp:simplePos x="0" y="0"/>
                      <wp:positionH relativeFrom="column">
                        <wp:posOffset>457200</wp:posOffset>
                      </wp:positionH>
                      <wp:positionV relativeFrom="paragraph">
                        <wp:posOffset>65405</wp:posOffset>
                      </wp:positionV>
                      <wp:extent cx="3200400" cy="0"/>
                      <wp:effectExtent l="9525" t="17780" r="9525" b="10795"/>
                      <wp:wrapNone/>
                      <wp:docPr id="436" name="Line 929" descr="P5762C14T5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09B93" id="Line 929" o:spid="_x0000_s1026" alt="&quot;&quot;"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jissX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109E6FC6" w14:textId="77777777" w:rsidR="002A21AE" w:rsidRDefault="002A21AE">
            <w:pPr>
              <w:pStyle w:val="NotesText"/>
            </w:pPr>
          </w:p>
          <w:p w14:paraId="7F5A3609" w14:textId="77777777" w:rsidR="002A21AE" w:rsidRDefault="002A21AE">
            <w:pPr>
              <w:pStyle w:val="NotesText"/>
            </w:pPr>
            <w:r>
              <w:rPr>
                <w:rFonts w:cs="Arial"/>
                <w:vanish/>
              </w:rPr>
              <w:t xml:space="preserve">BR_73.24 </w:t>
            </w:r>
            <w:r>
              <w:t>When the user selects multiple units for a patient and creates a batch for issue, all units in the batch are issued simultaneously to the same location. VBECS assigns the issue information to all units in the batch. The user may not enter different information, including any override comment, for an individual unit in the batch.</w:t>
            </w:r>
          </w:p>
          <w:p w14:paraId="1B202500" w14:textId="77777777" w:rsidR="0090203E" w:rsidRDefault="0090203E">
            <w:pPr>
              <w:pStyle w:val="NotesText"/>
            </w:pPr>
          </w:p>
          <w:p w14:paraId="2932B34E" w14:textId="615FCF55" w:rsidR="0090203E" w:rsidRDefault="0090203E">
            <w:pPr>
              <w:pStyle w:val="NotesText"/>
            </w:pPr>
            <w:r>
              <w:t>If</w:t>
            </w:r>
            <w:r w:rsidRPr="0090203E">
              <w:t xml:space="preserve"> the user clicks Cancel, VBECS closes without displaying a co</w:t>
            </w:r>
            <w:r>
              <w:t>nfirmation message that data will be</w:t>
            </w:r>
            <w:r w:rsidRPr="0090203E">
              <w:t xml:space="preserve"> lost.</w:t>
            </w:r>
            <w:r w:rsidR="00730CAA">
              <w:t xml:space="preserve"> </w:t>
            </w:r>
            <w:r w:rsidR="00730CAA" w:rsidRPr="00730CAA">
              <w:rPr>
                <w:vanish/>
              </w:rPr>
              <w:t>Defect 208530</w:t>
            </w:r>
          </w:p>
        </w:tc>
      </w:tr>
      <w:tr w:rsidR="002A21AE" w14:paraId="7010A05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6B3E5F37" w14:textId="77777777" w:rsidR="002A21AE" w:rsidRDefault="002A21AE">
            <w:pPr>
              <w:pStyle w:val="TableTextNumbers"/>
            </w:pPr>
            <w:r>
              <w:t xml:space="preserve">Click </w:t>
            </w:r>
            <w:r>
              <w:rPr>
                <w:b/>
              </w:rPr>
              <w:t>Yes</w:t>
            </w:r>
            <w:r>
              <w:t xml:space="preserve"> when the unit is satisfactory to save, or </w:t>
            </w:r>
            <w:r>
              <w:rPr>
                <w:b/>
              </w:rPr>
              <w:t>No</w:t>
            </w:r>
            <w:r>
              <w:t xml:space="preserve"> when the unit is unsatisfactory.</w:t>
            </w:r>
          </w:p>
          <w:p w14:paraId="52D7BA10" w14:textId="77777777" w:rsidR="002A21AE" w:rsidRDefault="002A21AE">
            <w:pPr>
              <w:pStyle w:val="TableTextNumbers"/>
              <w:numPr>
                <w:ilvl w:val="0"/>
                <w:numId w:val="0"/>
              </w:numPr>
            </w:pPr>
          </w:p>
        </w:tc>
        <w:tc>
          <w:tcPr>
            <w:tcW w:w="6120" w:type="dxa"/>
            <w:tcBorders>
              <w:top w:val="single" w:sz="6" w:space="0" w:color="auto"/>
              <w:left w:val="single" w:sz="6" w:space="0" w:color="auto"/>
              <w:bottom w:val="single" w:sz="6" w:space="0" w:color="auto"/>
              <w:right w:val="single" w:sz="6" w:space="0" w:color="auto"/>
            </w:tcBorders>
          </w:tcPr>
          <w:p w14:paraId="3909E608" w14:textId="77777777" w:rsidR="002A21AE" w:rsidRDefault="002A21AE">
            <w:pPr>
              <w:pStyle w:val="TableTextBullet"/>
              <w:tabs>
                <w:tab w:val="num" w:pos="360"/>
              </w:tabs>
            </w:pPr>
            <w:r>
              <w:t>Saves the data.</w:t>
            </w:r>
          </w:p>
          <w:p w14:paraId="4BCAA22A" w14:textId="77777777" w:rsidR="002A21AE" w:rsidRDefault="002A21AE" w:rsidP="006709A3">
            <w:pPr>
              <w:pStyle w:val="TableTextBullet"/>
              <w:tabs>
                <w:tab w:val="num" w:pos="360"/>
              </w:tabs>
            </w:pPr>
            <w:r>
              <w:t>Displays the unit inspection indicator (satisfactory or unsatisfactory) listing each selected unit.</w:t>
            </w:r>
          </w:p>
          <w:p w14:paraId="37BBF642" w14:textId="77777777" w:rsidR="00750533" w:rsidRPr="009F2DE7" w:rsidRDefault="00750533" w:rsidP="00750533">
            <w:pPr>
              <w:pStyle w:val="TableTextBullet"/>
              <w:tabs>
                <w:tab w:val="num" w:pos="360"/>
              </w:tabs>
            </w:pPr>
            <w:r>
              <w:rPr>
                <w:rFonts w:cs="Arial"/>
                <w:szCs w:val="18"/>
              </w:rPr>
              <w:t>S</w:t>
            </w:r>
            <w:r w:rsidRPr="00B1287E">
              <w:rPr>
                <w:rFonts w:cs="Arial"/>
                <w:szCs w:val="18"/>
              </w:rPr>
              <w:t>ends</w:t>
            </w:r>
            <w:r>
              <w:rPr>
                <w:rFonts w:cs="Arial"/>
                <w:szCs w:val="18"/>
              </w:rPr>
              <w:t xml:space="preserve"> updated</w:t>
            </w:r>
            <w:r w:rsidRPr="00B1287E">
              <w:rPr>
                <w:rFonts w:cs="Arial"/>
                <w:szCs w:val="18"/>
              </w:rPr>
              <w:t xml:space="preserve"> patient and blood unit</w:t>
            </w:r>
            <w:r>
              <w:rPr>
                <w:rFonts w:cs="Arial"/>
                <w:szCs w:val="18"/>
              </w:rPr>
              <w:t xml:space="preserve"> information t</w:t>
            </w:r>
            <w:r w:rsidRPr="00B1287E">
              <w:rPr>
                <w:rFonts w:cs="Arial"/>
                <w:szCs w:val="18"/>
              </w:rPr>
              <w:t>o the BCE COTS system via an HL7 message.</w:t>
            </w:r>
          </w:p>
          <w:p w14:paraId="40E30304" w14:textId="77777777" w:rsidR="009F2DE7" w:rsidRPr="00B25E96" w:rsidRDefault="009F2DE7" w:rsidP="00750533">
            <w:pPr>
              <w:pStyle w:val="TableTextBullet"/>
              <w:tabs>
                <w:tab w:val="num" w:pos="360"/>
              </w:tabs>
            </w:pPr>
            <w:r w:rsidRPr="00B25E96">
              <w:rPr>
                <w:rFonts w:cs="Arial"/>
                <w:szCs w:val="18"/>
              </w:rPr>
              <w:t xml:space="preserve">Sends updated patient and blood unit information to the BCE COTS system via an HL7 message. The message contains the date time when VBECS creates the message and not the date time the user selects the unit for issue. </w:t>
            </w:r>
            <w:r w:rsidRPr="00B25E96">
              <w:rPr>
                <w:rFonts w:cs="Arial"/>
                <w:vanish/>
                <w:szCs w:val="18"/>
              </w:rPr>
              <w:t>DR 4334</w:t>
            </w:r>
          </w:p>
          <w:p w14:paraId="5FF77D67" w14:textId="77777777" w:rsidR="002A21AE" w:rsidRDefault="002A21AE">
            <w:pPr>
              <w:pStyle w:val="TableText"/>
            </w:pPr>
          </w:p>
          <w:p w14:paraId="3492C72A" w14:textId="77777777" w:rsidR="002A21AE" w:rsidRDefault="00057948">
            <w:pPr>
              <w:pStyle w:val="TableText"/>
              <w:rPr>
                <w:b/>
                <w:bCs/>
                <w:szCs w:val="18"/>
              </w:rPr>
            </w:pPr>
            <w:r>
              <w:rPr>
                <w:b/>
                <w:bCs/>
                <w:noProof/>
              </w:rPr>
              <mc:AlternateContent>
                <mc:Choice Requires="wps">
                  <w:drawing>
                    <wp:anchor distT="0" distB="0" distL="114300" distR="114300" simplePos="0" relativeHeight="251731456" behindDoc="0" locked="0" layoutInCell="1" allowOverlap="1" wp14:anchorId="1D759022" wp14:editId="38D1356F">
                      <wp:simplePos x="0" y="0"/>
                      <wp:positionH relativeFrom="column">
                        <wp:posOffset>457200</wp:posOffset>
                      </wp:positionH>
                      <wp:positionV relativeFrom="paragraph">
                        <wp:posOffset>65405</wp:posOffset>
                      </wp:positionV>
                      <wp:extent cx="3200400" cy="0"/>
                      <wp:effectExtent l="9525" t="17780" r="9525" b="10795"/>
                      <wp:wrapNone/>
                      <wp:docPr id="435" name="Line 930" descr="P5775C16T5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CB353" id="Line 930" o:spid="_x0000_s1026" alt="&quot;&quot;"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DYrllHEAQAAbgMAAA4AAAAAAAAAAAAAAAAA&#10;LgIAAGRycy9lMm9Eb2MueG1sUEsBAi0AFAAGAAgAAAAhABdPMBLbAAAACAEAAA8AAAAAAAAAAAAA&#10;AAAAHgQAAGRycy9kb3ducmV2LnhtbFBLBQYAAAAABAAEAPMAAAAmBQAAAAA=&#10;" strokeweight="1.5pt"/>
                  </w:pict>
                </mc:Fallback>
              </mc:AlternateContent>
            </w:r>
            <w:r w:rsidR="002A21AE">
              <w:rPr>
                <w:b/>
                <w:bCs/>
                <w:szCs w:val="18"/>
              </w:rPr>
              <w:t>NOTES</w:t>
            </w:r>
          </w:p>
          <w:p w14:paraId="7DEF5B90" w14:textId="77777777" w:rsidR="002A21AE" w:rsidRDefault="002A21AE">
            <w:pPr>
              <w:pStyle w:val="NotesText"/>
            </w:pPr>
          </w:p>
          <w:p w14:paraId="6298A430" w14:textId="3B31E9E9" w:rsidR="002A21AE" w:rsidRDefault="00896F17">
            <w:pPr>
              <w:pStyle w:val="TableText"/>
              <w:ind w:left="360"/>
            </w:pPr>
            <w:r w:rsidRPr="00896F17">
              <w:rPr>
                <w:rStyle w:val="BullhornChar"/>
              </w:rPr>
              <w:t></w:t>
            </w:r>
            <w:r w:rsidRPr="00C51C45">
              <w:rPr>
                <w:rFonts w:ascii="Webdings" w:hAnsi="Webdings"/>
                <w:szCs w:val="22"/>
              </w:rPr>
              <w:t></w:t>
            </w:r>
            <w:r>
              <w:rPr>
                <w:rFonts w:cs="Arial"/>
                <w:szCs w:val="22"/>
              </w:rPr>
              <w:t>See</w:t>
            </w:r>
            <w:r w:rsidR="002A21AE">
              <w:t xml:space="preserve"> </w:t>
            </w:r>
            <w:r w:rsidR="00590097">
              <w:fldChar w:fldCharType="begin" w:fldLock="1"/>
            </w:r>
            <w:r w:rsidR="00590097">
              <w:instrText xml:space="preserve"> REF _Ref126486291 \h </w:instrText>
            </w:r>
            <w:r w:rsidR="00590097">
              <w:fldChar w:fldCharType="separate"/>
            </w:r>
            <w:r w:rsidR="00AB304C">
              <w:t xml:space="preserve">Table </w:t>
            </w:r>
            <w:r w:rsidR="00AB304C">
              <w:rPr>
                <w:noProof/>
              </w:rPr>
              <w:t>7</w:t>
            </w:r>
            <w:r w:rsidR="00590097">
              <w:fldChar w:fldCharType="end"/>
            </w:r>
            <w:r w:rsidR="002A21AE">
              <w:t xml:space="preserve"> for alerts that may occur during this option.</w:t>
            </w:r>
          </w:p>
          <w:p w14:paraId="14DFAF77" w14:textId="77777777" w:rsidR="009F2DE7" w:rsidRDefault="009F2DE7">
            <w:pPr>
              <w:pStyle w:val="TableText"/>
              <w:ind w:left="360"/>
            </w:pPr>
          </w:p>
          <w:p w14:paraId="645B1C87" w14:textId="24631A63" w:rsidR="009F2DE7" w:rsidRDefault="009F2DE7">
            <w:pPr>
              <w:pStyle w:val="TableText"/>
              <w:ind w:left="360"/>
            </w:pPr>
            <w:r w:rsidRPr="00B25E96">
              <w:t>Sites using BCE COTS must issue blood components in real-time for BCE COTS to be able to perform transfusion verification.</w:t>
            </w:r>
            <w:r>
              <w:t xml:space="preserve"> </w:t>
            </w:r>
            <w:r w:rsidR="00BB7B66">
              <w:rPr>
                <w:vanish/>
              </w:rPr>
              <w:t>DR</w:t>
            </w:r>
            <w:r w:rsidR="00963554" w:rsidRPr="00963554">
              <w:rPr>
                <w:vanish/>
              </w:rPr>
              <w:t xml:space="preserve"> </w:t>
            </w:r>
            <w:r w:rsidR="00963554">
              <w:rPr>
                <w:vanish/>
              </w:rPr>
              <w:t>4334</w:t>
            </w:r>
          </w:p>
          <w:p w14:paraId="1A68DEFA" w14:textId="1C7E0EC0" w:rsidR="00FA3713" w:rsidRDefault="00FA3713">
            <w:pPr>
              <w:pStyle w:val="TableText"/>
              <w:ind w:left="360"/>
            </w:pPr>
          </w:p>
          <w:p w14:paraId="16625F02" w14:textId="7C0395D4" w:rsidR="009F2DE7" w:rsidRPr="00963554" w:rsidRDefault="00FA3713" w:rsidP="00963554">
            <w:pPr>
              <w:pStyle w:val="TableText"/>
              <w:ind w:left="360"/>
            </w:pPr>
            <w:r w:rsidRPr="00FA3713">
              <w:t>The area to mark a unit unsatisfactory for issue extends beyond the checkbox. A user that clicks in that area, but not the checkbox, could inadvertently mark a unit unsatisfactory for issue.</w:t>
            </w:r>
            <w:r>
              <w:t xml:space="preserve"> </w:t>
            </w:r>
            <w:r w:rsidRPr="00FA3713">
              <w:t>A VBECS Confirmation message window appears to verify the user wants to remove patient association and quarantine the unit.</w:t>
            </w:r>
            <w:r>
              <w:t xml:space="preserve"> The user must click No if he mistakenly indicated that the</w:t>
            </w:r>
            <w:r w:rsidRPr="00FA3713">
              <w:t xml:space="preserve"> unit was unsatisfactory for issue.</w:t>
            </w:r>
            <w:r w:rsidR="00730CAA">
              <w:t xml:space="preserve"> </w:t>
            </w:r>
            <w:r w:rsidR="00730CAA" w:rsidRPr="00730CAA">
              <w:rPr>
                <w:vanish/>
              </w:rPr>
              <w:t>Defect 210138</w:t>
            </w:r>
          </w:p>
          <w:p w14:paraId="56E37BC9" w14:textId="77777777" w:rsidR="009F2DE7" w:rsidRDefault="009F2DE7">
            <w:pPr>
              <w:pStyle w:val="TableText"/>
              <w:ind w:left="360"/>
            </w:pPr>
          </w:p>
        </w:tc>
      </w:tr>
      <w:tr w:rsidR="002A21AE" w14:paraId="20AF903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48E50187" w14:textId="77777777" w:rsidR="002A21AE" w:rsidRDefault="002A21AE">
            <w:pPr>
              <w:pStyle w:val="TableTextNumbersContinued"/>
            </w:pPr>
          </w:p>
          <w:p w14:paraId="147867B2" w14:textId="77777777" w:rsidR="002A21AE" w:rsidRDefault="002A21AE">
            <w:pPr>
              <w:pStyle w:val="TableTextNumbers"/>
            </w:pPr>
            <w:r>
              <w:t xml:space="preserve">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top w:val="single" w:sz="6" w:space="0" w:color="auto"/>
              <w:left w:val="single" w:sz="6" w:space="0" w:color="auto"/>
              <w:bottom w:val="single" w:sz="6" w:space="0" w:color="auto"/>
              <w:right w:val="single" w:sz="6" w:space="0" w:color="auto"/>
            </w:tcBorders>
          </w:tcPr>
          <w:p w14:paraId="6A2ECE5C" w14:textId="77777777" w:rsidR="002A21AE" w:rsidRDefault="002A21AE">
            <w:pPr>
              <w:pStyle w:val="TableText"/>
            </w:pPr>
          </w:p>
        </w:tc>
      </w:tr>
    </w:tbl>
    <w:p w14:paraId="0A3B6971" w14:textId="2B7E6CE5" w:rsidR="00A04663" w:rsidRDefault="00A04663" w:rsidP="00A04663">
      <w:pPr>
        <w:pStyle w:val="Caption"/>
      </w:pPr>
      <w:bookmarkStart w:id="409" w:name="_Ref127093318"/>
      <w:bookmarkStart w:id="410" w:name="_Toc94349378"/>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103</w:t>
      </w:r>
      <w:r w:rsidR="004E20BD">
        <w:rPr>
          <w:noProof/>
        </w:rPr>
        <w:fldChar w:fldCharType="end"/>
      </w:r>
      <w:bookmarkEnd w:id="409"/>
      <w:r>
        <w:t>: Issue Blood Components</w:t>
      </w:r>
      <w:r w:rsidR="005D4DA6">
        <w:t xml:space="preserve"> (1)</w:t>
      </w:r>
    </w:p>
    <w:p w14:paraId="2448CC06" w14:textId="77777777" w:rsidR="003B4820" w:rsidRDefault="00057948" w:rsidP="003B4820">
      <w:pPr>
        <w:pStyle w:val="BodyText"/>
      </w:pPr>
      <w:r>
        <w:rPr>
          <w:noProof/>
        </w:rPr>
        <w:drawing>
          <wp:inline distT="0" distB="0" distL="0" distR="0" wp14:anchorId="70CB0C8A" wp14:editId="4CFBC4F5">
            <wp:extent cx="3722370" cy="2927985"/>
            <wp:effectExtent l="0" t="0" r="0" b="5715"/>
            <wp:docPr id="190" name="Picture 190" descr="P5789#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P5789#yIS1">
                      <a:extLst>
                        <a:ext uri="{C183D7F6-B498-43B3-948B-1728B52AA6E4}">
                          <adec:decorative xmlns:adec="http://schemas.microsoft.com/office/drawing/2017/decorative" val="1"/>
                        </a:ext>
                      </a:extLs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722370" cy="2927985"/>
                    </a:xfrm>
                    <a:prstGeom prst="rect">
                      <a:avLst/>
                    </a:prstGeom>
                    <a:noFill/>
                    <a:ln>
                      <a:noFill/>
                    </a:ln>
                  </pic:spPr>
                </pic:pic>
              </a:graphicData>
            </a:graphic>
          </wp:inline>
        </w:drawing>
      </w:r>
    </w:p>
    <w:p w14:paraId="17C7CFF5" w14:textId="095C0062" w:rsidR="005D4DA6" w:rsidRDefault="005D4DA6" w:rsidP="005D4DA6">
      <w:pPr>
        <w:pStyle w:val="Caption"/>
      </w:pPr>
      <w:bookmarkStart w:id="411" w:name="_Ref127093568"/>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104</w:t>
      </w:r>
      <w:r w:rsidR="004E20BD">
        <w:rPr>
          <w:noProof/>
        </w:rPr>
        <w:fldChar w:fldCharType="end"/>
      </w:r>
      <w:bookmarkEnd w:id="411"/>
      <w:r>
        <w:t>: Issue Blood Components (2)</w:t>
      </w:r>
    </w:p>
    <w:p w14:paraId="6781B24F" w14:textId="77777777" w:rsidR="005D4DA6" w:rsidRDefault="00057948" w:rsidP="003B4820">
      <w:pPr>
        <w:pStyle w:val="BodyText"/>
      </w:pPr>
      <w:r>
        <w:rPr>
          <w:noProof/>
        </w:rPr>
        <w:drawing>
          <wp:inline distT="0" distB="0" distL="0" distR="0" wp14:anchorId="5F9DCBFE" wp14:editId="71BFB87A">
            <wp:extent cx="5283200" cy="3888740"/>
            <wp:effectExtent l="0" t="0" r="0" b="0"/>
            <wp:docPr id="191" name="Picture 191" descr="P5791#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P5791#yIS1">
                      <a:extLst>
                        <a:ext uri="{C183D7F6-B498-43B3-948B-1728B52AA6E4}">
                          <adec:decorative xmlns:adec="http://schemas.microsoft.com/office/drawing/2017/decorative" val="1"/>
                        </a:ext>
                      </a:extLst>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283200" cy="3888740"/>
                    </a:xfrm>
                    <a:prstGeom prst="rect">
                      <a:avLst/>
                    </a:prstGeom>
                    <a:noFill/>
                    <a:ln>
                      <a:noFill/>
                    </a:ln>
                  </pic:spPr>
                </pic:pic>
              </a:graphicData>
            </a:graphic>
          </wp:inline>
        </w:drawing>
      </w:r>
    </w:p>
    <w:p w14:paraId="75A26566" w14:textId="77777777" w:rsidR="002A21AE" w:rsidRDefault="002A21AE">
      <w:pPr>
        <w:pStyle w:val="Heading4"/>
      </w:pPr>
      <w:r>
        <w:t>Issue Blood Components (Emergency)</w:t>
      </w:r>
      <w:bookmarkEnd w:id="410"/>
      <w:r>
        <w:fldChar w:fldCharType="begin"/>
      </w:r>
      <w:r>
        <w:instrText xml:space="preserve"> XE </w:instrText>
      </w:r>
      <w:r w:rsidR="00FA7E65">
        <w:instrText>“</w:instrText>
      </w:r>
      <w:r>
        <w:instrText>Issue Blood Components (Emergency)</w:instrText>
      </w:r>
      <w:r w:rsidR="00FA7E65">
        <w:instrText>”</w:instrText>
      </w:r>
      <w:r>
        <w:instrText xml:space="preserve"> </w:instrText>
      </w:r>
      <w:r>
        <w:fldChar w:fldCharType="end"/>
      </w:r>
    </w:p>
    <w:p w14:paraId="7218FF0D" w14:textId="77777777" w:rsidR="002A21AE" w:rsidRDefault="002A21AE" w:rsidP="00FA7E65">
      <w:pPr>
        <w:pStyle w:val="BodyText"/>
      </w:pPr>
      <w:r>
        <w:t xml:space="preserve">The user issues assigned or crossmatched blood to a transporter for patient transfusion that does not meet routine issue conditions at valid inpatient and outpatient hospital locations, and records issue details, including the transporter’s name or identifier.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1F105A1" w14:textId="77777777">
        <w:trPr>
          <w:cantSplit/>
          <w:tblHeader/>
        </w:trPr>
        <w:tc>
          <w:tcPr>
            <w:tcW w:w="3240" w:type="dxa"/>
            <w:shd w:val="pct30" w:color="auto" w:fill="FFFFFF"/>
            <w:vAlign w:val="bottom"/>
          </w:tcPr>
          <w:p w14:paraId="43FD7F72" w14:textId="77777777" w:rsidR="002A21AE" w:rsidRDefault="002A21AE">
            <w:pPr>
              <w:pStyle w:val="TableText"/>
              <w:rPr>
                <w:b/>
              </w:rPr>
            </w:pPr>
            <w:r>
              <w:rPr>
                <w:b/>
              </w:rPr>
              <w:t>User Action</w:t>
            </w:r>
          </w:p>
        </w:tc>
        <w:tc>
          <w:tcPr>
            <w:tcW w:w="6120" w:type="dxa"/>
            <w:shd w:val="pct30" w:color="auto" w:fill="FFFFFF"/>
            <w:vAlign w:val="bottom"/>
          </w:tcPr>
          <w:p w14:paraId="6F0F1DA4" w14:textId="77777777" w:rsidR="002A21AE" w:rsidRDefault="002A21AE">
            <w:pPr>
              <w:pStyle w:val="TableText"/>
              <w:rPr>
                <w:b/>
              </w:rPr>
            </w:pPr>
            <w:r>
              <w:rPr>
                <w:b/>
              </w:rPr>
              <w:t>VBECS</w:t>
            </w:r>
          </w:p>
        </w:tc>
      </w:tr>
      <w:tr w:rsidR="002A21AE" w14:paraId="4869EDDD" w14:textId="77777777">
        <w:tc>
          <w:tcPr>
            <w:tcW w:w="3240" w:type="dxa"/>
            <w:tcBorders>
              <w:top w:val="single" w:sz="4" w:space="0" w:color="auto"/>
              <w:left w:val="single" w:sz="4" w:space="0" w:color="auto"/>
              <w:bottom w:val="single" w:sz="4" w:space="0" w:color="auto"/>
              <w:right w:val="single" w:sz="4" w:space="0" w:color="auto"/>
            </w:tcBorders>
          </w:tcPr>
          <w:p w14:paraId="0671BE72" w14:textId="77777777" w:rsidR="002A21AE" w:rsidRDefault="002A21AE">
            <w:pPr>
              <w:pStyle w:val="TableTextNumbers"/>
            </w:pPr>
            <w:r>
              <w:t xml:space="preserve">Select </w:t>
            </w:r>
            <w:r>
              <w:rPr>
                <w:b/>
              </w:rPr>
              <w:t>Patients</w:t>
            </w:r>
            <w:r>
              <w:t xml:space="preserve"> from the main menu.</w:t>
            </w:r>
          </w:p>
          <w:p w14:paraId="54A3BD6E" w14:textId="77777777" w:rsidR="002A21AE" w:rsidRDefault="002A21AE">
            <w:pPr>
              <w:pStyle w:val="TableTextNumbersContinued"/>
            </w:pPr>
          </w:p>
          <w:p w14:paraId="28A710A2" w14:textId="77777777" w:rsidR="002A21AE" w:rsidRDefault="002A21AE">
            <w:pPr>
              <w:pStyle w:val="TableTextNumbersContinued"/>
            </w:pPr>
            <w:r>
              <w:t xml:space="preserve">Select </w:t>
            </w:r>
            <w:r>
              <w:rPr>
                <w:b/>
              </w:rPr>
              <w:t>Issue Blood Components</w:t>
            </w:r>
            <w:r>
              <w:t>.</w:t>
            </w:r>
          </w:p>
        </w:tc>
        <w:tc>
          <w:tcPr>
            <w:tcW w:w="6120" w:type="dxa"/>
            <w:tcBorders>
              <w:top w:val="single" w:sz="4" w:space="0" w:color="auto"/>
              <w:left w:val="single" w:sz="4" w:space="0" w:color="auto"/>
              <w:bottom w:val="single" w:sz="4" w:space="0" w:color="auto"/>
              <w:right w:val="single" w:sz="4" w:space="0" w:color="auto"/>
            </w:tcBorders>
          </w:tcPr>
          <w:p w14:paraId="2C35F15E" w14:textId="77777777" w:rsidR="002A21AE" w:rsidRDefault="002A21AE">
            <w:pPr>
              <w:pStyle w:val="TableTextBullet"/>
            </w:pPr>
            <w:r>
              <w:t>Displays options for processing patient-related functions.</w:t>
            </w:r>
          </w:p>
          <w:p w14:paraId="2C7966CF" w14:textId="77777777" w:rsidR="002A21AE" w:rsidRDefault="002A21AE">
            <w:pPr>
              <w:pStyle w:val="TableTextBullet"/>
            </w:pPr>
            <w:r>
              <w:t>Displays an option to scan the Caution Tag or enter a patient name or ID.</w:t>
            </w:r>
          </w:p>
        </w:tc>
      </w:tr>
      <w:tr w:rsidR="002A21AE" w14:paraId="2FFFF75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22D708E2" w14:textId="77777777" w:rsidR="002A21AE" w:rsidRDefault="002A21AE">
            <w:pPr>
              <w:pStyle w:val="TableTextNumbers"/>
            </w:pPr>
            <w:r>
              <w:t>Select a patient.</w:t>
            </w:r>
          </w:p>
        </w:tc>
        <w:tc>
          <w:tcPr>
            <w:tcW w:w="6120" w:type="dxa"/>
            <w:tcBorders>
              <w:top w:val="single" w:sz="6" w:space="0" w:color="auto"/>
              <w:left w:val="single" w:sz="6" w:space="0" w:color="auto"/>
              <w:bottom w:val="single" w:sz="6" w:space="0" w:color="auto"/>
              <w:right w:val="single" w:sz="6" w:space="0" w:color="auto"/>
            </w:tcBorders>
          </w:tcPr>
          <w:p w14:paraId="2E7C9886" w14:textId="77777777" w:rsidR="002A21AE" w:rsidRDefault="002A21AE">
            <w:pPr>
              <w:pStyle w:val="TableTextBullet"/>
              <w:tabs>
                <w:tab w:val="num" w:pos="360"/>
              </w:tabs>
            </w:pPr>
            <w:r>
              <w:t>Displays patient data, including entries that meet the entered patient criteria, and allows the user to select the correct patient.</w:t>
            </w:r>
          </w:p>
          <w:p w14:paraId="7CF41F06" w14:textId="77777777" w:rsidR="002A21AE" w:rsidRDefault="002A21AE">
            <w:pPr>
              <w:pStyle w:val="TableText"/>
            </w:pPr>
          </w:p>
          <w:p w14:paraId="3C571AEC" w14:textId="77777777" w:rsidR="002A21AE" w:rsidRDefault="00057948">
            <w:pPr>
              <w:pStyle w:val="TableText"/>
              <w:rPr>
                <w:b/>
                <w:bCs/>
                <w:szCs w:val="18"/>
              </w:rPr>
            </w:pPr>
            <w:r>
              <w:rPr>
                <w:b/>
                <w:bCs/>
                <w:noProof/>
              </w:rPr>
              <mc:AlternateContent>
                <mc:Choice Requires="wps">
                  <w:drawing>
                    <wp:anchor distT="0" distB="0" distL="114300" distR="114300" simplePos="0" relativeHeight="251737600" behindDoc="0" locked="0" layoutInCell="1" allowOverlap="1" wp14:anchorId="14EC8E3B" wp14:editId="6315197A">
                      <wp:simplePos x="0" y="0"/>
                      <wp:positionH relativeFrom="column">
                        <wp:posOffset>457200</wp:posOffset>
                      </wp:positionH>
                      <wp:positionV relativeFrom="paragraph">
                        <wp:posOffset>65405</wp:posOffset>
                      </wp:positionV>
                      <wp:extent cx="3200400" cy="0"/>
                      <wp:effectExtent l="9525" t="17780" r="9525" b="10795"/>
                      <wp:wrapNone/>
                      <wp:docPr id="434" name="Line 932" descr="P5806C6T5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23679" id="Line 932" o:spid="_x0000_s1026" alt="&quot;&quot;"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1AGqh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74B09F61" w14:textId="77777777" w:rsidR="002A21AE" w:rsidRDefault="002A21AE">
            <w:pPr>
              <w:pStyle w:val="NotesText"/>
            </w:pPr>
          </w:p>
          <w:p w14:paraId="36DF4FAA" w14:textId="59BB854E" w:rsidR="002A21AE" w:rsidRDefault="00896F17">
            <w:pPr>
              <w:pStyle w:val="NotesText"/>
            </w:pPr>
            <w:r w:rsidRPr="00896F17">
              <w:rPr>
                <w:rStyle w:val="BullhornChar"/>
              </w:rPr>
              <w:t></w:t>
            </w:r>
            <w:r w:rsidRPr="00C51C45">
              <w:rPr>
                <w:rFonts w:ascii="Webdings" w:hAnsi="Webdings"/>
                <w:szCs w:val="22"/>
              </w:rPr>
              <w:t></w:t>
            </w:r>
            <w:r>
              <w:rPr>
                <w:rFonts w:cs="Arial"/>
                <w:szCs w:val="22"/>
              </w:rPr>
              <w:t>See</w:t>
            </w:r>
            <w:r w:rsidR="002A21AE">
              <w:t xml:space="preserve"> </w:t>
            </w:r>
            <w:r w:rsidR="00741071">
              <w:fldChar w:fldCharType="begin" w:fldLock="1"/>
            </w:r>
            <w:r w:rsidR="00741071">
              <w:instrText xml:space="preserve"> REF _Ref126489326 \h </w:instrText>
            </w:r>
            <w:r w:rsidR="00741071">
              <w:fldChar w:fldCharType="separate"/>
            </w:r>
            <w:r w:rsidR="00AB304C">
              <w:t xml:space="preserve">Table </w:t>
            </w:r>
            <w:r w:rsidR="00AB304C">
              <w:rPr>
                <w:noProof/>
              </w:rPr>
              <w:t>8</w:t>
            </w:r>
            <w:r w:rsidR="00741071">
              <w:fldChar w:fldCharType="end"/>
            </w:r>
            <w:r w:rsidR="002A21AE">
              <w:t xml:space="preserve"> for alerts that may occur during this option.</w:t>
            </w:r>
          </w:p>
        </w:tc>
      </w:tr>
      <w:tr w:rsidR="002A21AE" w14:paraId="469FFB3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09BF87A4" w14:textId="77777777" w:rsidR="002A21AE" w:rsidRDefault="002A21AE">
            <w:pPr>
              <w:pStyle w:val="TableTextNumbers"/>
            </w:pPr>
            <w:r>
              <w:t xml:space="preserve">Click </w:t>
            </w:r>
            <w:r>
              <w:rPr>
                <w:b/>
              </w:rPr>
              <w:t>OK</w:t>
            </w:r>
            <w:r>
              <w:t xml:space="preserve"> to verify that the correct patient was selected.</w:t>
            </w:r>
          </w:p>
        </w:tc>
        <w:tc>
          <w:tcPr>
            <w:tcW w:w="6120" w:type="dxa"/>
            <w:tcBorders>
              <w:top w:val="single" w:sz="6" w:space="0" w:color="auto"/>
              <w:left w:val="single" w:sz="6" w:space="0" w:color="auto"/>
              <w:bottom w:val="single" w:sz="6" w:space="0" w:color="auto"/>
              <w:right w:val="single" w:sz="6" w:space="0" w:color="auto"/>
            </w:tcBorders>
          </w:tcPr>
          <w:p w14:paraId="13C34E4F" w14:textId="77777777" w:rsidR="002A21AE" w:rsidRDefault="002A21AE">
            <w:pPr>
              <w:pStyle w:val="TableTextBullet"/>
              <w:tabs>
                <w:tab w:val="clear" w:pos="288"/>
              </w:tabs>
            </w:pPr>
            <w:r>
              <w:t>Displays fields for the user to enter the data for the issue transaction.</w:t>
            </w:r>
          </w:p>
        </w:tc>
      </w:tr>
      <w:tr w:rsidR="002A21AE" w14:paraId="2623DDA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5"/>
        </w:trPr>
        <w:tc>
          <w:tcPr>
            <w:tcW w:w="3240" w:type="dxa"/>
            <w:tcBorders>
              <w:top w:val="single" w:sz="6" w:space="0" w:color="auto"/>
              <w:left w:val="single" w:sz="6" w:space="0" w:color="auto"/>
              <w:bottom w:val="single" w:sz="6" w:space="0" w:color="auto"/>
              <w:right w:val="single" w:sz="6" w:space="0" w:color="auto"/>
            </w:tcBorders>
          </w:tcPr>
          <w:p w14:paraId="0275A156" w14:textId="77777777" w:rsidR="002A21AE" w:rsidRDefault="002A21AE">
            <w:pPr>
              <w:pStyle w:val="TableTextNumbers"/>
            </w:pPr>
            <w:r>
              <w:t>Enter the required data.</w:t>
            </w:r>
          </w:p>
        </w:tc>
        <w:tc>
          <w:tcPr>
            <w:tcW w:w="6120" w:type="dxa"/>
            <w:tcBorders>
              <w:top w:val="single" w:sz="6" w:space="0" w:color="auto"/>
              <w:left w:val="single" w:sz="6" w:space="0" w:color="auto"/>
              <w:bottom w:val="single" w:sz="6" w:space="0" w:color="auto"/>
              <w:right w:val="single" w:sz="6" w:space="0" w:color="auto"/>
            </w:tcBorders>
          </w:tcPr>
          <w:p w14:paraId="75BB1BBB" w14:textId="77777777" w:rsidR="002A21AE" w:rsidRDefault="002A21AE">
            <w:pPr>
              <w:pStyle w:val="TableTextBullet"/>
              <w:tabs>
                <w:tab w:val="num" w:pos="360"/>
              </w:tabs>
            </w:pPr>
            <w:r>
              <w:t>Displays the option to select units from the Assigned Units or Emergency Issue Units tabs.</w:t>
            </w:r>
          </w:p>
        </w:tc>
      </w:tr>
      <w:tr w:rsidR="002A21AE" w14:paraId="3DF28F4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48FC39A5" w14:textId="77777777" w:rsidR="002A21AE" w:rsidRDefault="002A21AE">
            <w:pPr>
              <w:pStyle w:val="TableTextNumbers"/>
            </w:pPr>
            <w:r>
              <w:lastRenderedPageBreak/>
              <w:t xml:space="preserve">Click the </w:t>
            </w:r>
            <w:r>
              <w:rPr>
                <w:b/>
              </w:rPr>
              <w:t>Emergency Issue Units tab</w:t>
            </w:r>
            <w:r>
              <w:t>.</w:t>
            </w:r>
          </w:p>
          <w:p w14:paraId="0F3C5C31" w14:textId="77777777" w:rsidR="002A21AE" w:rsidRDefault="002A21AE">
            <w:pPr>
              <w:pStyle w:val="TableTextNumbersContinued"/>
            </w:pPr>
          </w:p>
          <w:p w14:paraId="19A970D6" w14:textId="687C8652" w:rsidR="002A21AE" w:rsidRDefault="002A21AE">
            <w:pPr>
              <w:pStyle w:val="TableTextNumbersContinued"/>
            </w:pPr>
            <w:r>
              <w:t>Scan or click one or more check boxes to select units for issue to the selected patient</w:t>
            </w:r>
            <w:r w:rsidR="00FD6D00">
              <w:t xml:space="preserve"> (</w:t>
            </w:r>
            <w:r w:rsidR="00FD6D00">
              <w:fldChar w:fldCharType="begin" w:fldLock="1"/>
            </w:r>
            <w:r w:rsidR="00FD6D00">
              <w:instrText xml:space="preserve"> REF _Ref127094243 \h </w:instrText>
            </w:r>
            <w:r w:rsidR="00FD6D00">
              <w:fldChar w:fldCharType="separate"/>
            </w:r>
            <w:r w:rsidR="00AB304C">
              <w:t xml:space="preserve">Figure </w:t>
            </w:r>
            <w:r w:rsidR="00AB304C">
              <w:rPr>
                <w:noProof/>
              </w:rPr>
              <w:t>105</w:t>
            </w:r>
            <w:r w:rsidR="00FD6D00">
              <w:fldChar w:fldCharType="end"/>
            </w:r>
            <w:r w:rsidR="00FD6D00">
              <w:t>)</w:t>
            </w:r>
            <w:r>
              <w:t>.</w:t>
            </w:r>
          </w:p>
          <w:p w14:paraId="145A7B97" w14:textId="77777777" w:rsidR="002A21AE" w:rsidRDefault="002A21AE">
            <w:pPr>
              <w:pStyle w:val="TableTextNumbersContinued"/>
            </w:pPr>
          </w:p>
          <w:p w14:paraId="6E440C05" w14:textId="77777777" w:rsidR="002A21AE" w:rsidRDefault="002A21AE">
            <w:pPr>
              <w:pStyle w:val="TableTextNumbersContinued"/>
            </w:pPr>
            <w:r>
              <w:t xml:space="preserve">Click </w:t>
            </w:r>
            <w:r>
              <w:rPr>
                <w:b/>
              </w:rPr>
              <w:t>OK</w:t>
            </w:r>
            <w:r>
              <w:t>.</w:t>
            </w:r>
          </w:p>
        </w:tc>
        <w:tc>
          <w:tcPr>
            <w:tcW w:w="6120" w:type="dxa"/>
            <w:tcBorders>
              <w:top w:val="single" w:sz="6" w:space="0" w:color="auto"/>
              <w:left w:val="single" w:sz="6" w:space="0" w:color="auto"/>
              <w:bottom w:val="single" w:sz="6" w:space="0" w:color="auto"/>
              <w:right w:val="single" w:sz="6" w:space="0" w:color="auto"/>
            </w:tcBorders>
          </w:tcPr>
          <w:p w14:paraId="438E168D" w14:textId="77777777" w:rsidR="002A21AE" w:rsidRDefault="002A21AE">
            <w:pPr>
              <w:pStyle w:val="TableTextBullet"/>
              <w:tabs>
                <w:tab w:val="num" w:pos="360"/>
              </w:tabs>
            </w:pPr>
            <w:r>
              <w:t>Lists the selected units, allows the user to select additional units or deselect units, and prompts the user to indicate th</w:t>
            </w:r>
            <w:r w:rsidR="006709A3">
              <w:t>at the selections are complete.</w:t>
            </w:r>
          </w:p>
          <w:p w14:paraId="3D03E714" w14:textId="77777777" w:rsidR="006709A3" w:rsidRDefault="006709A3" w:rsidP="006709A3">
            <w:pPr>
              <w:pStyle w:val="TableTextBullet"/>
              <w:tabs>
                <w:tab w:val="num" w:pos="360"/>
              </w:tabs>
            </w:pPr>
            <w:r>
              <w:t>Allows the user to select the unsatisfactory unit and edit its issue selections.</w:t>
            </w:r>
          </w:p>
          <w:p w14:paraId="59C4CB85" w14:textId="77777777" w:rsidR="002A21AE" w:rsidRDefault="002A21AE">
            <w:pPr>
              <w:pStyle w:val="TableText"/>
            </w:pPr>
          </w:p>
          <w:p w14:paraId="6DC0A4AD" w14:textId="77777777" w:rsidR="002A21AE" w:rsidRDefault="00057948">
            <w:pPr>
              <w:pStyle w:val="TableText"/>
              <w:rPr>
                <w:b/>
                <w:bCs/>
                <w:szCs w:val="18"/>
              </w:rPr>
            </w:pPr>
            <w:r>
              <w:rPr>
                <w:b/>
                <w:bCs/>
                <w:noProof/>
              </w:rPr>
              <mc:AlternateContent>
                <mc:Choice Requires="wps">
                  <w:drawing>
                    <wp:anchor distT="0" distB="0" distL="114300" distR="114300" simplePos="0" relativeHeight="251740672" behindDoc="0" locked="0" layoutInCell="1" allowOverlap="1" wp14:anchorId="2C7D14E0" wp14:editId="3B7F5295">
                      <wp:simplePos x="0" y="0"/>
                      <wp:positionH relativeFrom="column">
                        <wp:posOffset>457200</wp:posOffset>
                      </wp:positionH>
                      <wp:positionV relativeFrom="paragraph">
                        <wp:posOffset>65405</wp:posOffset>
                      </wp:positionV>
                      <wp:extent cx="3200400" cy="0"/>
                      <wp:effectExtent l="9525" t="17780" r="9525" b="10795"/>
                      <wp:wrapNone/>
                      <wp:docPr id="433" name="Line 933" descr="P5824C12T5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BCB2D" id="Line 933" o:spid="_x0000_s1026" alt="&quot;&quot;" style="position:absolute;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C+sNfnwgEAAG4DAAAOAAAAAAAAAAAAAAAAAC4C&#10;AABkcnMvZTJvRG9jLnhtbFBLAQItABQABgAIAAAAIQAXTzAS2wAAAAgBAAAPAAAAAAAAAAAAAAAA&#10;ABwEAABkcnMvZG93bnJldi54bWxQSwUGAAAAAAQABADzAAAAJAUAAAAA&#10;" strokeweight="1.5pt"/>
                  </w:pict>
                </mc:Fallback>
              </mc:AlternateContent>
            </w:r>
            <w:r w:rsidR="002A21AE">
              <w:rPr>
                <w:b/>
                <w:bCs/>
                <w:szCs w:val="18"/>
              </w:rPr>
              <w:t>NOTES</w:t>
            </w:r>
          </w:p>
          <w:p w14:paraId="127A6840" w14:textId="77777777" w:rsidR="002A21AE" w:rsidRDefault="002A21AE">
            <w:pPr>
              <w:pStyle w:val="NotesText"/>
            </w:pPr>
          </w:p>
          <w:p w14:paraId="7CFE2C33" w14:textId="4044D390" w:rsidR="002A21AE" w:rsidRDefault="00896F17">
            <w:pPr>
              <w:pStyle w:val="TableText"/>
              <w:ind w:left="360"/>
            </w:pPr>
            <w:r w:rsidRPr="00896F17">
              <w:rPr>
                <w:rStyle w:val="BullhornChar"/>
              </w:rPr>
              <w:t></w:t>
            </w:r>
            <w:r w:rsidRPr="00C51C45">
              <w:rPr>
                <w:rFonts w:ascii="Webdings" w:hAnsi="Webdings"/>
                <w:szCs w:val="22"/>
              </w:rPr>
              <w:t></w:t>
            </w:r>
            <w:r>
              <w:rPr>
                <w:rFonts w:cs="Arial"/>
                <w:szCs w:val="22"/>
              </w:rPr>
              <w:t>See</w:t>
            </w:r>
            <w:r w:rsidR="002A21AE">
              <w:t xml:space="preserve"> </w:t>
            </w:r>
            <w:r w:rsidR="00741071">
              <w:fldChar w:fldCharType="begin" w:fldLock="1"/>
            </w:r>
            <w:r w:rsidR="00741071">
              <w:instrText xml:space="preserve"> REF _Ref126489326 \h </w:instrText>
            </w:r>
            <w:r w:rsidR="00741071">
              <w:fldChar w:fldCharType="separate"/>
            </w:r>
            <w:r w:rsidR="00AB304C">
              <w:t xml:space="preserve">Table </w:t>
            </w:r>
            <w:r w:rsidR="00AB304C">
              <w:rPr>
                <w:noProof/>
              </w:rPr>
              <w:t>8</w:t>
            </w:r>
            <w:r w:rsidR="00741071">
              <w:fldChar w:fldCharType="end"/>
            </w:r>
            <w:r w:rsidR="00016901">
              <w:t xml:space="preserve"> </w:t>
            </w:r>
            <w:r w:rsidR="002A21AE">
              <w:t>for alerts that may occur during this option.</w:t>
            </w:r>
          </w:p>
        </w:tc>
      </w:tr>
      <w:tr w:rsidR="002A21AE" w14:paraId="33B54BC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1D6F35E4" w14:textId="77777777" w:rsidR="002A21AE" w:rsidRDefault="002A21AE">
            <w:pPr>
              <w:pStyle w:val="TableTextNumbers"/>
            </w:pPr>
            <w:r>
              <w:t xml:space="preserve">Click </w:t>
            </w:r>
            <w:r>
              <w:rPr>
                <w:b/>
              </w:rPr>
              <w:t>OK</w:t>
            </w:r>
            <w:r>
              <w:t xml:space="preserve"> to accept the entries and complete the unit issue.</w:t>
            </w:r>
          </w:p>
        </w:tc>
        <w:tc>
          <w:tcPr>
            <w:tcW w:w="6120" w:type="dxa"/>
            <w:tcBorders>
              <w:top w:val="single" w:sz="6" w:space="0" w:color="auto"/>
              <w:left w:val="single" w:sz="6" w:space="0" w:color="auto"/>
              <w:bottom w:val="single" w:sz="6" w:space="0" w:color="auto"/>
              <w:right w:val="single" w:sz="6" w:space="0" w:color="auto"/>
            </w:tcBorders>
          </w:tcPr>
          <w:p w14:paraId="4E732DEA" w14:textId="77777777" w:rsidR="002A21AE" w:rsidRDefault="002A21AE">
            <w:pPr>
              <w:pStyle w:val="TableTextBullet"/>
              <w:tabs>
                <w:tab w:val="num" w:pos="360"/>
              </w:tabs>
            </w:pPr>
            <w:r>
              <w:t xml:space="preserve">Displays entries for review and editing. </w:t>
            </w:r>
          </w:p>
        </w:tc>
      </w:tr>
      <w:tr w:rsidR="002A21AE" w14:paraId="0B9FCF6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4D295FCB" w14:textId="77777777" w:rsidR="002A21AE" w:rsidRDefault="002A21AE">
            <w:pPr>
              <w:pStyle w:val="TableTextNumbers"/>
            </w:pPr>
            <w:r>
              <w:t xml:space="preserve">Click </w:t>
            </w:r>
            <w:r>
              <w:rPr>
                <w:b/>
              </w:rPr>
              <w:t>Yes</w:t>
            </w:r>
            <w:r>
              <w:t xml:space="preserve"> when the unit is satisfactory or </w:t>
            </w:r>
            <w:r>
              <w:rPr>
                <w:b/>
              </w:rPr>
              <w:t>No</w:t>
            </w:r>
            <w:r>
              <w:t xml:space="preserve"> when the unit is unsatisfactory.</w:t>
            </w:r>
          </w:p>
        </w:tc>
        <w:tc>
          <w:tcPr>
            <w:tcW w:w="6120" w:type="dxa"/>
            <w:tcBorders>
              <w:top w:val="single" w:sz="6" w:space="0" w:color="auto"/>
              <w:left w:val="single" w:sz="6" w:space="0" w:color="auto"/>
              <w:bottom w:val="single" w:sz="6" w:space="0" w:color="auto"/>
              <w:right w:val="single" w:sz="6" w:space="0" w:color="auto"/>
            </w:tcBorders>
          </w:tcPr>
          <w:p w14:paraId="474CDFAA" w14:textId="77777777" w:rsidR="002A21AE" w:rsidRDefault="002A21AE">
            <w:pPr>
              <w:pStyle w:val="TableTextBullet"/>
              <w:tabs>
                <w:tab w:val="num" w:pos="360"/>
              </w:tabs>
            </w:pPr>
            <w:r>
              <w:t>Saves the data.</w:t>
            </w:r>
          </w:p>
          <w:p w14:paraId="6B2D4C54" w14:textId="77777777" w:rsidR="002A21AE" w:rsidRDefault="002A21AE">
            <w:pPr>
              <w:pStyle w:val="TableTextBullet"/>
              <w:tabs>
                <w:tab w:val="num" w:pos="360"/>
              </w:tabs>
            </w:pPr>
            <w:r>
              <w:t>Displays the unit inspection indicator (satisfactory or unsatisfactory) listing each selected unit.</w:t>
            </w:r>
          </w:p>
          <w:p w14:paraId="43D62EF9" w14:textId="77777777" w:rsidR="00095D68" w:rsidRDefault="00095D68" w:rsidP="00095D68">
            <w:pPr>
              <w:pStyle w:val="TableTextBullet"/>
              <w:tabs>
                <w:tab w:val="num" w:pos="360"/>
              </w:tabs>
            </w:pPr>
            <w:r>
              <w:rPr>
                <w:rFonts w:cs="Arial"/>
                <w:szCs w:val="18"/>
              </w:rPr>
              <w:t>S</w:t>
            </w:r>
            <w:r w:rsidRPr="00B1287E">
              <w:rPr>
                <w:rFonts w:cs="Arial"/>
                <w:szCs w:val="18"/>
              </w:rPr>
              <w:t>ends</w:t>
            </w:r>
            <w:r>
              <w:rPr>
                <w:rFonts w:cs="Arial"/>
                <w:szCs w:val="18"/>
              </w:rPr>
              <w:t xml:space="preserve"> updated</w:t>
            </w:r>
            <w:r w:rsidRPr="00B1287E">
              <w:rPr>
                <w:rFonts w:cs="Arial"/>
                <w:szCs w:val="18"/>
              </w:rPr>
              <w:t xml:space="preserve"> patient and blood unit</w:t>
            </w:r>
            <w:r>
              <w:rPr>
                <w:rFonts w:cs="Arial"/>
                <w:szCs w:val="18"/>
              </w:rPr>
              <w:t xml:space="preserve"> information t</w:t>
            </w:r>
            <w:r w:rsidRPr="00B1287E">
              <w:rPr>
                <w:rFonts w:cs="Arial"/>
                <w:szCs w:val="18"/>
              </w:rPr>
              <w:t>o the BCE COTS system via an HL7 message.</w:t>
            </w:r>
          </w:p>
          <w:p w14:paraId="0AD4D50F" w14:textId="77777777" w:rsidR="002A21AE" w:rsidRDefault="002A21AE">
            <w:pPr>
              <w:pStyle w:val="TableText"/>
            </w:pPr>
          </w:p>
          <w:p w14:paraId="21FE68AF" w14:textId="77777777" w:rsidR="002A21AE" w:rsidRDefault="00057948">
            <w:pPr>
              <w:pStyle w:val="TableText"/>
              <w:rPr>
                <w:b/>
                <w:bCs/>
                <w:szCs w:val="18"/>
              </w:rPr>
            </w:pPr>
            <w:r>
              <w:rPr>
                <w:b/>
                <w:bCs/>
                <w:noProof/>
              </w:rPr>
              <mc:AlternateContent>
                <mc:Choice Requires="wps">
                  <w:drawing>
                    <wp:anchor distT="0" distB="0" distL="114300" distR="114300" simplePos="0" relativeHeight="251743744" behindDoc="0" locked="0" layoutInCell="1" allowOverlap="1" wp14:anchorId="0C577600" wp14:editId="1E90023C">
                      <wp:simplePos x="0" y="0"/>
                      <wp:positionH relativeFrom="column">
                        <wp:posOffset>457200</wp:posOffset>
                      </wp:positionH>
                      <wp:positionV relativeFrom="paragraph">
                        <wp:posOffset>65405</wp:posOffset>
                      </wp:positionV>
                      <wp:extent cx="3200400" cy="0"/>
                      <wp:effectExtent l="9525" t="17780" r="9525" b="10795"/>
                      <wp:wrapNone/>
                      <wp:docPr id="432" name="Line 934" descr="P5836C16T5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E633B" id="Line 934" o:spid="_x0000_s1026" alt="&quot;&quot;" style="position:absolute;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oUAiL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3802B8F2" w14:textId="77777777" w:rsidR="002A21AE" w:rsidRDefault="002A21AE">
            <w:pPr>
              <w:pStyle w:val="NotesText"/>
            </w:pPr>
          </w:p>
          <w:p w14:paraId="5B7DFEAB" w14:textId="37163A34" w:rsidR="002A21AE" w:rsidRDefault="00896F17">
            <w:pPr>
              <w:pStyle w:val="TableText"/>
              <w:ind w:left="360"/>
            </w:pPr>
            <w:r w:rsidRPr="00896F17">
              <w:rPr>
                <w:rStyle w:val="BullhornChar"/>
              </w:rPr>
              <w:t></w:t>
            </w:r>
            <w:r w:rsidRPr="00C51C45">
              <w:rPr>
                <w:rFonts w:ascii="Webdings" w:hAnsi="Webdings"/>
                <w:szCs w:val="22"/>
              </w:rPr>
              <w:t></w:t>
            </w:r>
            <w:r>
              <w:rPr>
                <w:rFonts w:cs="Arial"/>
                <w:szCs w:val="22"/>
              </w:rPr>
              <w:t>See</w:t>
            </w:r>
            <w:r w:rsidR="002A21AE">
              <w:t xml:space="preserve"> </w:t>
            </w:r>
            <w:r w:rsidR="00741071">
              <w:fldChar w:fldCharType="begin" w:fldLock="1"/>
            </w:r>
            <w:r w:rsidR="00741071">
              <w:instrText xml:space="preserve"> REF _Ref126489326 \h </w:instrText>
            </w:r>
            <w:r w:rsidR="00741071">
              <w:fldChar w:fldCharType="separate"/>
            </w:r>
            <w:r w:rsidR="00AB304C">
              <w:t xml:space="preserve">Table </w:t>
            </w:r>
            <w:r w:rsidR="00AB304C">
              <w:rPr>
                <w:noProof/>
              </w:rPr>
              <w:t>8</w:t>
            </w:r>
            <w:r w:rsidR="00741071">
              <w:fldChar w:fldCharType="end"/>
            </w:r>
            <w:r w:rsidR="002A21AE">
              <w:t xml:space="preserve"> for alerts that may occur during this option.</w:t>
            </w:r>
          </w:p>
        </w:tc>
      </w:tr>
      <w:tr w:rsidR="002A21AE" w14:paraId="456EB52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0CE43767" w14:textId="77777777" w:rsidR="002A21AE" w:rsidRDefault="002A21AE">
            <w:pPr>
              <w:pStyle w:val="TableTextNumbers"/>
            </w:pPr>
            <w:r>
              <w:t xml:space="preserve">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top w:val="single" w:sz="6" w:space="0" w:color="auto"/>
              <w:left w:val="single" w:sz="6" w:space="0" w:color="auto"/>
              <w:bottom w:val="single" w:sz="6" w:space="0" w:color="auto"/>
              <w:right w:val="single" w:sz="6" w:space="0" w:color="auto"/>
            </w:tcBorders>
          </w:tcPr>
          <w:p w14:paraId="2A2E1880" w14:textId="77777777" w:rsidR="002A21AE" w:rsidRDefault="002A21AE">
            <w:pPr>
              <w:pStyle w:val="TableText"/>
            </w:pPr>
          </w:p>
        </w:tc>
      </w:tr>
    </w:tbl>
    <w:p w14:paraId="43294E8C" w14:textId="59358072" w:rsidR="00FD6D00" w:rsidRDefault="00FD6D00" w:rsidP="00FD6D00">
      <w:pPr>
        <w:pStyle w:val="Caption"/>
      </w:pPr>
      <w:bookmarkStart w:id="412" w:name="_Ref127094243"/>
      <w:bookmarkStart w:id="413" w:name="_Toc94349379"/>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105</w:t>
      </w:r>
      <w:r w:rsidR="004E20BD">
        <w:rPr>
          <w:noProof/>
        </w:rPr>
        <w:fldChar w:fldCharType="end"/>
      </w:r>
      <w:bookmarkEnd w:id="412"/>
      <w:r>
        <w:t>: Issue Blood Components Emergency Issue Units Tab</w:t>
      </w:r>
    </w:p>
    <w:p w14:paraId="22B72A7A" w14:textId="77777777" w:rsidR="00FD6D00" w:rsidRDefault="00057948" w:rsidP="00FD6D00">
      <w:pPr>
        <w:pStyle w:val="BodyText"/>
      </w:pPr>
      <w:r>
        <w:rPr>
          <w:noProof/>
        </w:rPr>
        <w:drawing>
          <wp:inline distT="0" distB="0" distL="0" distR="0" wp14:anchorId="1BFE3F2E" wp14:editId="15B2850D">
            <wp:extent cx="5939155" cy="3980815"/>
            <wp:effectExtent l="0" t="0" r="4445" b="635"/>
            <wp:docPr id="192" name="Picture 192" descr="P5844#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P5844#yIS1">
                      <a:extLst>
                        <a:ext uri="{C183D7F6-B498-43B3-948B-1728B52AA6E4}">
                          <adec:decorative xmlns:adec="http://schemas.microsoft.com/office/drawing/2017/decorative" val="1"/>
                        </a:ext>
                      </a:extLst>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939155" cy="3980815"/>
                    </a:xfrm>
                    <a:prstGeom prst="rect">
                      <a:avLst/>
                    </a:prstGeom>
                    <a:noFill/>
                    <a:ln>
                      <a:noFill/>
                    </a:ln>
                  </pic:spPr>
                </pic:pic>
              </a:graphicData>
            </a:graphic>
          </wp:inline>
        </w:drawing>
      </w:r>
    </w:p>
    <w:p w14:paraId="67E54716" w14:textId="77777777" w:rsidR="008803E6" w:rsidRDefault="008803E6" w:rsidP="00FD6D00">
      <w:pPr>
        <w:pStyle w:val="BodyText"/>
      </w:pPr>
    </w:p>
    <w:p w14:paraId="61E4FCBE" w14:textId="087519DD" w:rsidR="008803E6" w:rsidRDefault="008803E6" w:rsidP="008803E6">
      <w:pPr>
        <w:pStyle w:val="Caption"/>
      </w:pPr>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106</w:t>
      </w:r>
      <w:r w:rsidR="004E20BD">
        <w:rPr>
          <w:noProof/>
        </w:rPr>
        <w:fldChar w:fldCharType="end"/>
      </w:r>
      <w:r>
        <w:t>: Emergency Issue</w:t>
      </w:r>
    </w:p>
    <w:p w14:paraId="28C0F87D" w14:textId="3C21DA4C" w:rsidR="008803E6" w:rsidRPr="00883DA7" w:rsidRDefault="00E23361" w:rsidP="00FD6D00">
      <w:pPr>
        <w:pStyle w:val="BodyText"/>
      </w:pPr>
      <w:r>
        <w:object w:dxaOrig="9612" w:dyaOrig="9268" w14:anchorId="0A54CD12">
          <v:shape id="_x0000_i1031" type="#_x0000_t75" alt="P5847#yIS1" style="width:468.3pt;height:453.9pt" o:ole="">
            <v:imagedata r:id="rId191" o:title=""/>
          </v:shape>
          <o:OLEObject Type="Embed" ProgID="Visio.Drawing.11" ShapeID="_x0000_i1031" DrawAspect="Content" ObjectID="_1693288312" r:id="rId192"/>
        </w:object>
      </w:r>
    </w:p>
    <w:p w14:paraId="0E09A9BB" w14:textId="77777777" w:rsidR="002A21AE" w:rsidRDefault="00AC3860">
      <w:pPr>
        <w:pStyle w:val="Heading4"/>
      </w:pPr>
      <w:r>
        <w:rPr>
          <w:rStyle w:val="BullhornChar"/>
        </w:rPr>
        <w:br w:type="page"/>
      </w:r>
      <w:r w:rsidR="00F92F72" w:rsidRPr="00896F17">
        <w:rPr>
          <w:rStyle w:val="BullhornChar"/>
        </w:rPr>
        <w:lastRenderedPageBreak/>
        <w:t></w:t>
      </w:r>
      <w:r w:rsidR="00F92F72">
        <w:rPr>
          <w:rFonts w:ascii="Webdings" w:hAnsi="Webdings"/>
        </w:rPr>
        <w:t></w:t>
      </w:r>
      <w:r w:rsidR="002A21AE">
        <w:t>Alerts</w:t>
      </w:r>
      <w:bookmarkEnd w:id="413"/>
    </w:p>
    <w:p w14:paraId="23C12801" w14:textId="2C8939ED" w:rsidR="002A21AE" w:rsidRDefault="002A21AE">
      <w:pPr>
        <w:pStyle w:val="Caption"/>
      </w:pPr>
      <w:bookmarkStart w:id="414" w:name="_Ref126486291"/>
      <w:bookmarkStart w:id="415" w:name="_Toc97523619"/>
      <w:bookmarkStart w:id="416" w:name="_Toc97527589"/>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647F4E">
        <w:rPr>
          <w:noProof/>
        </w:rPr>
        <w:t>7</w:t>
      </w:r>
      <w:r w:rsidR="004E20BD">
        <w:rPr>
          <w:noProof/>
        </w:rPr>
        <w:fldChar w:fldCharType="end"/>
      </w:r>
      <w:bookmarkEnd w:id="414"/>
      <w:r>
        <w:t>: Alerts That May Occur in Issue Blood Components</w:t>
      </w:r>
      <w:bookmarkEnd w:id="415"/>
      <w:bookmarkEnd w:id="416"/>
      <w:r w:rsidR="007122D4">
        <w:t xml:space="preserve"> (Routine) </w:t>
      </w:r>
      <w:r>
        <w:fldChar w:fldCharType="begin"/>
      </w:r>
      <w:r>
        <w:instrText xml:space="preserve"> XE </w:instrText>
      </w:r>
      <w:r w:rsidR="00FA7E65">
        <w:instrText>“</w:instrText>
      </w:r>
      <w:r>
        <w:instrText>Tables:Alerts That May Occur in Issue Blood Components</w:instrText>
      </w:r>
      <w:r w:rsidR="007122D4">
        <w:instrText xml:space="preserve"> (Routine)</w:instrText>
      </w:r>
      <w:r w:rsidR="00FA7E65">
        <w:instrText>”</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0"/>
        <w:gridCol w:w="8580"/>
      </w:tblGrid>
      <w:tr w:rsidR="002A21AE" w14:paraId="0B67F59C" w14:textId="77777777">
        <w:trPr>
          <w:tblHeader/>
        </w:trPr>
        <w:tc>
          <w:tcPr>
            <w:tcW w:w="780" w:type="dxa"/>
            <w:shd w:val="clear" w:color="auto" w:fill="B3B3B3"/>
          </w:tcPr>
          <w:p w14:paraId="44286343" w14:textId="77777777" w:rsidR="002A21AE" w:rsidRDefault="00DB3377">
            <w:pPr>
              <w:pStyle w:val="TableText"/>
              <w:rPr>
                <w:b/>
              </w:rPr>
            </w:pPr>
            <w:r>
              <w:rPr>
                <w:b/>
              </w:rPr>
              <w:t>User Action Step</w:t>
            </w:r>
          </w:p>
        </w:tc>
        <w:tc>
          <w:tcPr>
            <w:tcW w:w="8580" w:type="dxa"/>
            <w:shd w:val="clear" w:color="auto" w:fill="B3B3B3"/>
          </w:tcPr>
          <w:p w14:paraId="5C74E452" w14:textId="77777777" w:rsidR="002A21AE" w:rsidRDefault="002A21AE">
            <w:pPr>
              <w:pStyle w:val="TableText"/>
              <w:rPr>
                <w:b/>
              </w:rPr>
            </w:pPr>
            <w:r>
              <w:rPr>
                <w:b/>
              </w:rPr>
              <w:t>Alerts</w:t>
            </w:r>
          </w:p>
        </w:tc>
      </w:tr>
      <w:tr w:rsidR="002A21AE" w14:paraId="15516446" w14:textId="77777777">
        <w:tc>
          <w:tcPr>
            <w:tcW w:w="780" w:type="dxa"/>
          </w:tcPr>
          <w:p w14:paraId="2E4610A7" w14:textId="77777777" w:rsidR="002A21AE" w:rsidRDefault="002A21AE">
            <w:pPr>
              <w:pStyle w:val="TableText"/>
            </w:pPr>
            <w:r>
              <w:t>2</w:t>
            </w:r>
          </w:p>
        </w:tc>
        <w:tc>
          <w:tcPr>
            <w:tcW w:w="8580" w:type="dxa"/>
          </w:tcPr>
          <w:p w14:paraId="50F9AC3C" w14:textId="77777777" w:rsidR="002A21AE" w:rsidRDefault="002A21AE">
            <w:pPr>
              <w:pStyle w:val="TableText"/>
            </w:pPr>
            <w:r>
              <w:rPr>
                <w:rFonts w:cs="Arial"/>
                <w:vanish/>
                <w:szCs w:val="22"/>
              </w:rPr>
              <w:t xml:space="preserve">BR_16.01 </w:t>
            </w:r>
            <w:r>
              <w:t xml:space="preserve">VBECS displays </w:t>
            </w:r>
            <w:r w:rsidR="00057948">
              <w:rPr>
                <w:noProof/>
              </w:rPr>
              <w:drawing>
                <wp:inline distT="0" distB="0" distL="0" distR="0" wp14:anchorId="724BD74B" wp14:editId="628F5B72">
                  <wp:extent cx="156845" cy="156845"/>
                  <wp:effectExtent l="0" t="0" r="0" b="0"/>
                  <wp:docPr id="194" name="Picture 194" descr="P5854C4T6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P5854C4T60#yIS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and emits an audible alert when there are Special Instructions (SIs) or Transfusion Requirements (TRs) for the patient.</w:t>
            </w:r>
          </w:p>
        </w:tc>
      </w:tr>
      <w:tr w:rsidR="002A21AE" w14:paraId="39A1C2E0" w14:textId="77777777">
        <w:tc>
          <w:tcPr>
            <w:tcW w:w="780" w:type="dxa"/>
          </w:tcPr>
          <w:p w14:paraId="6E80892C" w14:textId="77777777" w:rsidR="002A21AE" w:rsidRDefault="002A21AE">
            <w:pPr>
              <w:pStyle w:val="TableText"/>
            </w:pPr>
            <w:r>
              <w:t>2</w:t>
            </w:r>
          </w:p>
        </w:tc>
        <w:tc>
          <w:tcPr>
            <w:tcW w:w="8580" w:type="dxa"/>
          </w:tcPr>
          <w:p w14:paraId="541B6295" w14:textId="77777777" w:rsidR="002A21AE" w:rsidRDefault="002A21AE">
            <w:pPr>
              <w:pStyle w:val="TableText"/>
            </w:pPr>
            <w:r>
              <w:rPr>
                <w:rFonts w:cs="Arial"/>
                <w:vanish/>
              </w:rPr>
              <w:t xml:space="preserve">BR_73.21 </w:t>
            </w:r>
            <w:r>
              <w:t>When no patient is found, VBECS warns the user and does not allow the user to continue.</w:t>
            </w:r>
          </w:p>
        </w:tc>
      </w:tr>
      <w:tr w:rsidR="002A21AE" w14:paraId="6BB295A7" w14:textId="77777777">
        <w:tc>
          <w:tcPr>
            <w:tcW w:w="780" w:type="dxa"/>
          </w:tcPr>
          <w:p w14:paraId="0DBDCF90" w14:textId="77777777" w:rsidR="002A21AE" w:rsidRDefault="002A21AE">
            <w:pPr>
              <w:pStyle w:val="TableText"/>
            </w:pPr>
            <w:r>
              <w:t>2</w:t>
            </w:r>
          </w:p>
        </w:tc>
        <w:tc>
          <w:tcPr>
            <w:tcW w:w="8580" w:type="dxa"/>
          </w:tcPr>
          <w:p w14:paraId="45D08607" w14:textId="77777777" w:rsidR="002A21AE" w:rsidRDefault="002A21AE">
            <w:pPr>
              <w:pStyle w:val="TableText"/>
            </w:pPr>
            <w:r>
              <w:rPr>
                <w:rFonts w:cs="Arial"/>
                <w:vanish/>
              </w:rPr>
              <w:t xml:space="preserve">BR_73.20 </w:t>
            </w:r>
            <w:r>
              <w:t>When the patient has no</w:t>
            </w:r>
            <w:r>
              <w:rPr>
                <w:i/>
              </w:rPr>
              <w:t xml:space="preserve"> </w:t>
            </w:r>
            <w:r>
              <w:t>components available for issue, VBECS warns the user and does not allow the user to continue.</w:t>
            </w:r>
          </w:p>
        </w:tc>
      </w:tr>
      <w:tr w:rsidR="002A21AE" w14:paraId="455A0D58" w14:textId="77777777">
        <w:tc>
          <w:tcPr>
            <w:tcW w:w="780" w:type="dxa"/>
          </w:tcPr>
          <w:p w14:paraId="3D242313" w14:textId="77777777" w:rsidR="002A21AE" w:rsidRDefault="002A21AE">
            <w:pPr>
              <w:pStyle w:val="TableText"/>
            </w:pPr>
            <w:r>
              <w:t>2</w:t>
            </w:r>
          </w:p>
        </w:tc>
        <w:tc>
          <w:tcPr>
            <w:tcW w:w="8580" w:type="dxa"/>
          </w:tcPr>
          <w:p w14:paraId="2E627009" w14:textId="77777777" w:rsidR="00594F36" w:rsidRDefault="002A21AE" w:rsidP="00594F36">
            <w:pPr>
              <w:pStyle w:val="TableText"/>
            </w:pPr>
            <w:r>
              <w:rPr>
                <w:rFonts w:cs="Arial"/>
                <w:vanish/>
              </w:rPr>
              <w:t xml:space="preserve">BR_73.31 </w:t>
            </w:r>
            <w:r w:rsidR="00594F36">
              <w:t>When required testing is incomplete at issue, VBECS emits an audible alert, warns the user, and asks whether to emergency issue the unit in accordance with hospital policy.</w:t>
            </w:r>
          </w:p>
          <w:p w14:paraId="1170E4D6" w14:textId="77777777" w:rsidR="00594F36" w:rsidRDefault="00594F36" w:rsidP="00594F36">
            <w:pPr>
              <w:pStyle w:val="TableText"/>
            </w:pPr>
          </w:p>
          <w:p w14:paraId="330797DF" w14:textId="77777777" w:rsidR="002A21AE" w:rsidRDefault="00594F36" w:rsidP="00594F36">
            <w:pPr>
              <w:pStyle w:val="TableText"/>
            </w:pPr>
            <w:r w:rsidRPr="00924702">
              <w:rPr>
                <w:b/>
              </w:rPr>
              <w:t>No</w:t>
            </w:r>
            <w:r>
              <w:t xml:space="preserve"> stops the user from issuing the unit and requires selection of another unit. </w:t>
            </w:r>
            <w:r w:rsidRPr="00924702">
              <w:rPr>
                <w:b/>
              </w:rPr>
              <w:t>Yes</w:t>
            </w:r>
            <w:r>
              <w:t xml:space="preserve"> creates an Exception Report entry for the issue, indicates on the unit record that the unit was issued emergently, and asks whether the user wishes to print the Caution Tags and Blood Transfusion Record Forms.</w:t>
            </w:r>
            <w:r w:rsidRPr="00924702">
              <w:rPr>
                <w:b/>
              </w:rPr>
              <w:t xml:space="preserve"> No</w:t>
            </w:r>
            <w:r>
              <w:t xml:space="preserve"> allows the user to continue with the emergency issue. </w:t>
            </w:r>
            <w:r w:rsidRPr="00924702">
              <w:rPr>
                <w:b/>
              </w:rPr>
              <w:t>Yes</w:t>
            </w:r>
            <w:r>
              <w:t xml:space="preserve"> prints a Caution Tag and/or Blood Transfusion Record Form and proceeds with the issue.</w:t>
            </w:r>
          </w:p>
        </w:tc>
      </w:tr>
      <w:tr w:rsidR="00214B12" w14:paraId="63DEC8C6" w14:textId="77777777">
        <w:tc>
          <w:tcPr>
            <w:tcW w:w="780" w:type="dxa"/>
          </w:tcPr>
          <w:p w14:paraId="2ABEBFD0" w14:textId="77777777" w:rsidR="00214B12" w:rsidRDefault="00214B12">
            <w:pPr>
              <w:pStyle w:val="TableText"/>
            </w:pPr>
            <w:r>
              <w:t>5</w:t>
            </w:r>
          </w:p>
        </w:tc>
        <w:tc>
          <w:tcPr>
            <w:tcW w:w="8580" w:type="dxa"/>
          </w:tcPr>
          <w:p w14:paraId="72D1560B" w14:textId="77777777" w:rsidR="00214B12" w:rsidRPr="00170A14" w:rsidRDefault="00214B12" w:rsidP="00CE2473">
            <w:pPr>
              <w:pStyle w:val="TableText"/>
              <w:rPr>
                <w:vanish/>
                <w:szCs w:val="18"/>
              </w:rPr>
            </w:pPr>
            <w:r>
              <w:rPr>
                <w:vanish/>
                <w:szCs w:val="18"/>
              </w:rPr>
              <w:t xml:space="preserve">BR_73.17 </w:t>
            </w:r>
            <w:r w:rsidR="003309E7" w:rsidRPr="0065539A">
              <w:rPr>
                <w:szCs w:val="18"/>
              </w:rPr>
              <w:t>When th</w:t>
            </w:r>
            <w:r w:rsidR="003309E7">
              <w:t>e user attempts to</w:t>
            </w:r>
            <w:r>
              <w:t xml:space="preserve"> issue a unit located in a different division</w:t>
            </w:r>
            <w:r w:rsidR="002B0F51">
              <w:t>,</w:t>
            </w:r>
            <w:r w:rsidR="003309E7">
              <w:t xml:space="preserve"> VBECS warms him that the unit</w:t>
            </w:r>
            <w:r>
              <w:t xml:space="preserve"> cannot be issued</w:t>
            </w:r>
            <w:r w:rsidR="003309E7">
              <w:t xml:space="preserve"> and does not allow </w:t>
            </w:r>
            <w:r w:rsidR="002B0F51">
              <w:t>him</w:t>
            </w:r>
            <w:r w:rsidR="003309E7">
              <w:t xml:space="preserve"> to</w:t>
            </w:r>
            <w:r>
              <w:t xml:space="preserve"> continue.</w:t>
            </w:r>
          </w:p>
        </w:tc>
      </w:tr>
      <w:tr w:rsidR="00CE2473" w14:paraId="46BD736B" w14:textId="77777777">
        <w:tc>
          <w:tcPr>
            <w:tcW w:w="780" w:type="dxa"/>
          </w:tcPr>
          <w:p w14:paraId="74C9399B" w14:textId="77777777" w:rsidR="00CE2473" w:rsidRDefault="00CE2473">
            <w:pPr>
              <w:pStyle w:val="TableText"/>
            </w:pPr>
            <w:r>
              <w:t>5</w:t>
            </w:r>
          </w:p>
        </w:tc>
        <w:tc>
          <w:tcPr>
            <w:tcW w:w="8580" w:type="dxa"/>
          </w:tcPr>
          <w:p w14:paraId="66B3DBCD" w14:textId="77777777" w:rsidR="00CE2473" w:rsidRDefault="00170A14" w:rsidP="00CE2473">
            <w:pPr>
              <w:pStyle w:val="TableText"/>
            </w:pPr>
            <w:r w:rsidRPr="00170A14">
              <w:rPr>
                <w:vanish/>
                <w:szCs w:val="18"/>
              </w:rPr>
              <w:t xml:space="preserve">BR_73.25 </w:t>
            </w:r>
            <w:r w:rsidR="00CE2473">
              <w:t xml:space="preserve">When autologous or directed, or designated or dedicated blood units of the same component class </w:t>
            </w:r>
            <w:r w:rsidR="006C67E5">
              <w:t xml:space="preserve">are </w:t>
            </w:r>
            <w:r w:rsidR="00CE2473">
              <w:t xml:space="preserve">available in the same division as the </w:t>
            </w:r>
            <w:r w:rsidR="00967CF7">
              <w:t>user</w:t>
            </w:r>
            <w:r w:rsidR="00CE2473">
              <w:t xml:space="preserve">, </w:t>
            </w:r>
            <w:r w:rsidR="00967CF7">
              <w:t>VBECS</w:t>
            </w:r>
            <w:r w:rsidR="000014DD">
              <w:t xml:space="preserve"> </w:t>
            </w:r>
            <w:r w:rsidR="00CE2473">
              <w:t>require</w:t>
            </w:r>
            <w:r w:rsidR="00967CF7">
              <w:t>s</w:t>
            </w:r>
            <w:r w:rsidR="00CE2473">
              <w:t xml:space="preserve"> blood units </w:t>
            </w:r>
            <w:r w:rsidR="006C67E5">
              <w:t xml:space="preserve">to </w:t>
            </w:r>
            <w:r w:rsidR="00CE2473">
              <w:t xml:space="preserve">be issued in </w:t>
            </w:r>
            <w:r w:rsidR="00967CF7">
              <w:t>this</w:t>
            </w:r>
            <w:r w:rsidR="00CE2473">
              <w:t xml:space="preserve"> order:</w:t>
            </w:r>
          </w:p>
          <w:p w14:paraId="1D044847" w14:textId="77777777" w:rsidR="00EB5BD0" w:rsidRDefault="00CE2473" w:rsidP="002F6D7B">
            <w:pPr>
              <w:pStyle w:val="TableText"/>
              <w:numPr>
                <w:ilvl w:val="0"/>
                <w:numId w:val="14"/>
              </w:numPr>
            </w:pPr>
            <w:r>
              <w:t>Autologous units</w:t>
            </w:r>
          </w:p>
          <w:p w14:paraId="4855887C" w14:textId="77777777" w:rsidR="00EB5BD0" w:rsidRDefault="0065539A" w:rsidP="002F6D7B">
            <w:pPr>
              <w:pStyle w:val="TableText"/>
              <w:numPr>
                <w:ilvl w:val="0"/>
                <w:numId w:val="14"/>
              </w:numPr>
            </w:pPr>
            <w:r>
              <w:t>R</w:t>
            </w:r>
            <w:r w:rsidR="00CE2473">
              <w:t xml:space="preserve">estricted units </w:t>
            </w:r>
          </w:p>
          <w:p w14:paraId="1461DBD6" w14:textId="77777777" w:rsidR="00CE2473" w:rsidRDefault="00CE2473" w:rsidP="002F6D7B">
            <w:pPr>
              <w:pStyle w:val="TableText"/>
              <w:numPr>
                <w:ilvl w:val="0"/>
                <w:numId w:val="14"/>
              </w:numPr>
            </w:pPr>
            <w:r>
              <w:t>Voluntary allogeneic units</w:t>
            </w:r>
          </w:p>
          <w:p w14:paraId="093B4B9B" w14:textId="77777777" w:rsidR="00CE2473" w:rsidRDefault="00CE2473" w:rsidP="00CE2473">
            <w:pPr>
              <w:pStyle w:val="TableText"/>
            </w:pPr>
          </w:p>
          <w:p w14:paraId="42D028E3" w14:textId="77777777" w:rsidR="00CE2473" w:rsidRDefault="00967CF7" w:rsidP="00CE2473">
            <w:pPr>
              <w:pStyle w:val="TableText"/>
              <w:rPr>
                <w:rFonts w:cs="Arial"/>
                <w:vanish/>
              </w:rPr>
            </w:pPr>
            <w:r>
              <w:t>When</w:t>
            </w:r>
            <w:r w:rsidR="00AC5979">
              <w:t xml:space="preserve"> the user attempts to issue a unit out </w:t>
            </w:r>
            <w:r w:rsidR="0065539A">
              <w:t xml:space="preserve">of </w:t>
            </w:r>
            <w:r>
              <w:t xml:space="preserve">order, VBECS warns </w:t>
            </w:r>
            <w:r w:rsidR="009A51A9">
              <w:t>him</w:t>
            </w:r>
            <w:r>
              <w:t xml:space="preserve"> that m</w:t>
            </w:r>
            <w:r w:rsidR="00AC5979">
              <w:t>ore restrictive unit</w:t>
            </w:r>
            <w:r>
              <w:t>s</w:t>
            </w:r>
            <w:r w:rsidR="00AC5979">
              <w:t xml:space="preserve"> </w:t>
            </w:r>
            <w:r>
              <w:t xml:space="preserve">are </w:t>
            </w:r>
            <w:r w:rsidR="00AC5979">
              <w:t>available</w:t>
            </w:r>
            <w:r>
              <w:t xml:space="preserve"> </w:t>
            </w:r>
            <w:r w:rsidR="009A51A9">
              <w:t xml:space="preserve">for issue </w:t>
            </w:r>
            <w:r>
              <w:t>and asks whether he wishes to c</w:t>
            </w:r>
            <w:r w:rsidR="00AC5979">
              <w:t>ontinue</w:t>
            </w:r>
            <w:r>
              <w:t xml:space="preserve">. </w:t>
            </w:r>
            <w:r w:rsidRPr="00967CF7">
              <w:rPr>
                <w:b/>
              </w:rPr>
              <w:t>N</w:t>
            </w:r>
            <w:r w:rsidR="00AC5979" w:rsidRPr="00967CF7">
              <w:rPr>
                <w:b/>
              </w:rPr>
              <w:t>o</w:t>
            </w:r>
            <w:r w:rsidR="00AC5979">
              <w:t xml:space="preserve"> allows the user to enter a</w:t>
            </w:r>
            <w:r>
              <w:t>nother</w:t>
            </w:r>
            <w:r w:rsidR="00AC5979">
              <w:t xml:space="preserve"> unit number. </w:t>
            </w:r>
            <w:r w:rsidR="00AC5979" w:rsidRPr="00967CF7">
              <w:rPr>
                <w:b/>
              </w:rPr>
              <w:t>Yes</w:t>
            </w:r>
            <w:r w:rsidR="00AC5979">
              <w:t xml:space="preserve"> allows the user to continue and captures transaction details for inclusion in an </w:t>
            </w:r>
            <w:r>
              <w:t>E</w:t>
            </w:r>
            <w:r w:rsidR="00AC5979">
              <w:t xml:space="preserve">xception </w:t>
            </w:r>
            <w:r>
              <w:t>R</w:t>
            </w:r>
            <w:r w:rsidR="00AC5979">
              <w:t>eport</w:t>
            </w:r>
            <w:r>
              <w:t xml:space="preserve"> (exception type: less restrictive unit issued).</w:t>
            </w:r>
          </w:p>
        </w:tc>
      </w:tr>
      <w:tr w:rsidR="00214B12" w14:paraId="6B41FE9B" w14:textId="77777777">
        <w:tc>
          <w:tcPr>
            <w:tcW w:w="780" w:type="dxa"/>
          </w:tcPr>
          <w:p w14:paraId="6D019960" w14:textId="77777777" w:rsidR="00214B12" w:rsidRDefault="00214B12">
            <w:pPr>
              <w:pStyle w:val="TableText"/>
            </w:pPr>
            <w:r>
              <w:t>5</w:t>
            </w:r>
          </w:p>
        </w:tc>
        <w:tc>
          <w:tcPr>
            <w:tcW w:w="8580" w:type="dxa"/>
          </w:tcPr>
          <w:p w14:paraId="7165D8FB" w14:textId="77777777" w:rsidR="00214B12" w:rsidRPr="00214B12" w:rsidRDefault="00214B12">
            <w:pPr>
              <w:pStyle w:val="TableText"/>
              <w:rPr>
                <w:rFonts w:cs="Arial"/>
                <w:vanish/>
                <w:szCs w:val="18"/>
              </w:rPr>
            </w:pPr>
            <w:r w:rsidRPr="00214B12">
              <w:rPr>
                <w:rFonts w:cs="Arial"/>
                <w:vanish/>
                <w:szCs w:val="18"/>
              </w:rPr>
              <w:t xml:space="preserve">BR_73.19 </w:t>
            </w:r>
            <w:r>
              <w:t xml:space="preserve">When a user indicates that the </w:t>
            </w:r>
            <w:r w:rsidR="008E45C7">
              <w:t xml:space="preserve">inspected </w:t>
            </w:r>
            <w:r>
              <w:t xml:space="preserve">unit is unsatisfactory, </w:t>
            </w:r>
            <w:r w:rsidR="00C172A4">
              <w:t>VBECS does</w:t>
            </w:r>
            <w:r>
              <w:t xml:space="preserve"> not allow </w:t>
            </w:r>
            <w:r w:rsidR="00C172A4">
              <w:t xml:space="preserve">the </w:t>
            </w:r>
            <w:r>
              <w:t xml:space="preserve">unit </w:t>
            </w:r>
            <w:r w:rsidR="00C172A4">
              <w:t xml:space="preserve">to be issued, releases it </w:t>
            </w:r>
            <w:r>
              <w:t xml:space="preserve">from assignment, </w:t>
            </w:r>
            <w:r w:rsidR="00C172A4">
              <w:t>and warns the user that the u</w:t>
            </w:r>
            <w:r>
              <w:t xml:space="preserve">nit is unacceptable for transfusion. </w:t>
            </w:r>
            <w:r w:rsidR="00C172A4">
              <w:t>VBECS</w:t>
            </w:r>
            <w:r>
              <w:t xml:space="preserve"> allows </w:t>
            </w:r>
            <w:r w:rsidR="00C172A4">
              <w:t>the user to enter another</w:t>
            </w:r>
            <w:r>
              <w:t xml:space="preserve"> unit number.</w:t>
            </w:r>
          </w:p>
        </w:tc>
      </w:tr>
      <w:tr w:rsidR="002A21AE" w14:paraId="57700AA7" w14:textId="77777777">
        <w:tc>
          <w:tcPr>
            <w:tcW w:w="780" w:type="dxa"/>
          </w:tcPr>
          <w:p w14:paraId="5DD17006" w14:textId="77777777" w:rsidR="002A21AE" w:rsidRDefault="002A21AE">
            <w:pPr>
              <w:pStyle w:val="TableText"/>
            </w:pPr>
            <w:r>
              <w:t>5</w:t>
            </w:r>
          </w:p>
        </w:tc>
        <w:tc>
          <w:tcPr>
            <w:tcW w:w="8580" w:type="dxa"/>
          </w:tcPr>
          <w:p w14:paraId="46C38FCA" w14:textId="77777777" w:rsidR="002A21AE" w:rsidRDefault="002A21AE">
            <w:pPr>
              <w:pStyle w:val="TableText"/>
            </w:pPr>
            <w:r>
              <w:rPr>
                <w:rFonts w:cs="Arial"/>
                <w:vanish/>
              </w:rPr>
              <w:t xml:space="preserve">BR_73.27 </w:t>
            </w:r>
            <w:r>
              <w:rPr>
                <w:rFonts w:cs="Arial"/>
              </w:rPr>
              <w:t xml:space="preserve">When the user attempts to select frozen blood components, VBECS </w:t>
            </w:r>
            <w:r>
              <w:t xml:space="preserve">warns the user. Units selected in their frozen state must be thawed before issue. </w:t>
            </w:r>
          </w:p>
        </w:tc>
      </w:tr>
      <w:tr w:rsidR="004C2C6A" w14:paraId="6B0F1156" w14:textId="77777777">
        <w:tc>
          <w:tcPr>
            <w:tcW w:w="780" w:type="dxa"/>
          </w:tcPr>
          <w:p w14:paraId="00559372" w14:textId="77777777" w:rsidR="004C2C6A" w:rsidRDefault="00B11528">
            <w:pPr>
              <w:pStyle w:val="TableText"/>
            </w:pPr>
            <w:r>
              <w:t>5</w:t>
            </w:r>
          </w:p>
        </w:tc>
        <w:tc>
          <w:tcPr>
            <w:tcW w:w="8580" w:type="dxa"/>
          </w:tcPr>
          <w:p w14:paraId="6E0629AB" w14:textId="77777777" w:rsidR="00B11528" w:rsidRPr="00B11528" w:rsidRDefault="00B11528" w:rsidP="00B11528">
            <w:pPr>
              <w:pStyle w:val="TableText"/>
              <w:rPr>
                <w:rFonts w:eastAsia="Calibri"/>
                <w:szCs w:val="18"/>
              </w:rPr>
            </w:pPr>
            <w:r w:rsidRPr="00B11528">
              <w:t xml:space="preserve">When the patient has Component Requirements </w:t>
            </w:r>
            <w:r>
              <w:t xml:space="preserve">(CRs) </w:t>
            </w:r>
            <w:r w:rsidRPr="00B11528">
              <w:t>and Antigen Negative Requirements, the user attempts to issue (including emergency issue) red blood cells that do not satisfy the requirements, and the user is:</w:t>
            </w:r>
          </w:p>
          <w:p w14:paraId="7D797A3B" w14:textId="77777777" w:rsidR="00B11528" w:rsidRPr="00B11528" w:rsidRDefault="00B11528" w:rsidP="00B11528">
            <w:pPr>
              <w:pStyle w:val="TableTextBullet"/>
              <w:numPr>
                <w:ilvl w:val="0"/>
                <w:numId w:val="0"/>
              </w:numPr>
              <w:tabs>
                <w:tab w:val="left" w:pos="720"/>
              </w:tabs>
              <w:rPr>
                <w:sz w:val="20"/>
                <w:szCs w:val="20"/>
              </w:rPr>
            </w:pPr>
            <w:r w:rsidRPr="00B11528">
              <w:rPr>
                <w:rFonts w:ascii="Wingdings 3" w:hAnsi="Wingdings 3"/>
              </w:rPr>
              <w:t></w:t>
            </w:r>
            <w:r w:rsidRPr="00B11528">
              <w:rPr>
                <w:rFonts w:ascii="Wingdings 3" w:hAnsi="Wingdings 3"/>
              </w:rPr>
              <w:t></w:t>
            </w:r>
            <w:r w:rsidRPr="00B11528">
              <w:t xml:space="preserve"> An Enhanced Technologist or below, VBECS emits an audible alert and warns the user that the unit is not selectable and he is not authorized to issue the unit. The unsatisfied requirements are not detailed.</w:t>
            </w:r>
          </w:p>
          <w:p w14:paraId="3853346D" w14:textId="77777777" w:rsidR="004C2C6A" w:rsidRDefault="00B11528" w:rsidP="00B11528">
            <w:pPr>
              <w:pStyle w:val="TableText"/>
              <w:rPr>
                <w:rFonts w:cs="Arial"/>
                <w:vanish/>
              </w:rPr>
            </w:pPr>
            <w:r w:rsidRPr="00B11528">
              <w:t>VBECS does not allow an override.</w:t>
            </w:r>
          </w:p>
        </w:tc>
      </w:tr>
      <w:tr w:rsidR="002A21AE" w14:paraId="4E2082B7" w14:textId="77777777">
        <w:tc>
          <w:tcPr>
            <w:tcW w:w="780" w:type="dxa"/>
          </w:tcPr>
          <w:p w14:paraId="3C1904FB" w14:textId="77777777" w:rsidR="002A21AE" w:rsidRDefault="002A21AE">
            <w:pPr>
              <w:pStyle w:val="TableText"/>
            </w:pPr>
            <w:r>
              <w:t>5</w:t>
            </w:r>
          </w:p>
        </w:tc>
        <w:tc>
          <w:tcPr>
            <w:tcW w:w="8580" w:type="dxa"/>
          </w:tcPr>
          <w:p w14:paraId="26E0EB06" w14:textId="77777777" w:rsidR="002104CB" w:rsidRDefault="002A21AE">
            <w:pPr>
              <w:pStyle w:val="TableText"/>
            </w:pPr>
            <w:r>
              <w:rPr>
                <w:rFonts w:cs="Arial"/>
                <w:vanish/>
              </w:rPr>
              <w:t xml:space="preserve">BR_73.28 </w:t>
            </w:r>
            <w:r w:rsidR="004C2C6A">
              <w:t xml:space="preserve">When the patient has </w:t>
            </w:r>
            <w:r w:rsidR="00B11528">
              <w:t>Component Requirements</w:t>
            </w:r>
            <w:r w:rsidR="002104CB" w:rsidRPr="002104CB">
              <w:t xml:space="preserve">, the user attempts to issue (including emergency issue) red blood </w:t>
            </w:r>
            <w:r w:rsidR="004C2C6A">
              <w:t>cells that do not satisfy the requirement</w:t>
            </w:r>
            <w:r w:rsidR="002104CB" w:rsidRPr="002104CB">
              <w:t>,</w:t>
            </w:r>
            <w:r w:rsidR="002104CB">
              <w:t xml:space="preserve"> and the user is:</w:t>
            </w:r>
          </w:p>
          <w:p w14:paraId="1DA516DB" w14:textId="77777777" w:rsidR="006105C7" w:rsidRDefault="00910609" w:rsidP="002104CB">
            <w:pPr>
              <w:pStyle w:val="TableTextBullet"/>
            </w:pPr>
            <w:r w:rsidRPr="00EC7489">
              <w:rPr>
                <w:rFonts w:ascii="Wingdings 3" w:hAnsi="Wingdings 3" w:cs="Wingdings"/>
              </w:rPr>
              <w:t></w:t>
            </w:r>
            <w:r w:rsidRPr="00EC7489">
              <w:rPr>
                <w:rFonts w:ascii="Wingdings 3" w:hAnsi="Wingdings 3" w:cs="Wingdings"/>
              </w:rPr>
              <w:t></w:t>
            </w:r>
            <w:r>
              <w:t xml:space="preserve"> </w:t>
            </w:r>
            <w:r w:rsidR="002104CB">
              <w:t>A</w:t>
            </w:r>
            <w:r w:rsidR="006105C7">
              <w:t xml:space="preserve">n </w:t>
            </w:r>
            <w:r>
              <w:t xml:space="preserve">Enhanced Technologist or below, </w:t>
            </w:r>
            <w:r w:rsidR="00514F60">
              <w:t xml:space="preserve">VBECS emits an audible alert and warns the user that the patient's </w:t>
            </w:r>
            <w:r w:rsidR="004C2C6A">
              <w:t>component</w:t>
            </w:r>
            <w:r w:rsidR="00514F60">
              <w:t xml:space="preserve"> requirement is not satisfied and he is not authorized to issue the unit. VBECS does not allow an override.</w:t>
            </w:r>
          </w:p>
          <w:p w14:paraId="616A8295" w14:textId="77777777" w:rsidR="002A21AE" w:rsidRDefault="006105C7" w:rsidP="004C2C6A">
            <w:pPr>
              <w:pStyle w:val="TableTextBulle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sidR="002104CB">
              <w:t>A</w:t>
            </w:r>
            <w:r>
              <w:t xml:space="preserve"> Lead Technologist or above, VBECS emits an audible alert and warns the </w:t>
            </w:r>
            <w:r w:rsidR="00514F60">
              <w:t xml:space="preserve">user that the patient's </w:t>
            </w:r>
            <w:r w:rsidR="004C2C6A">
              <w:t>component</w:t>
            </w:r>
            <w:r w:rsidR="00514F60">
              <w:t xml:space="preserve"> requirement is not satisfied and allows for an ove</w:t>
            </w:r>
            <w:r w:rsidR="00F94F44">
              <w:t>r</w:t>
            </w:r>
            <w:r w:rsidR="00514F60">
              <w:t>ride</w:t>
            </w:r>
            <w:r>
              <w:t>.</w:t>
            </w:r>
            <w:r>
              <w:rPr>
                <w:b/>
              </w:rPr>
              <w:t xml:space="preserve"> </w:t>
            </w:r>
            <w:r w:rsidR="00910609">
              <w:rPr>
                <w:b/>
              </w:rPr>
              <w:t>No</w:t>
            </w:r>
            <w:r w:rsidR="00910609">
              <w:t xml:space="preserve"> clears the screen. </w:t>
            </w:r>
            <w:r w:rsidR="00910609">
              <w:rPr>
                <w:b/>
              </w:rPr>
              <w:t>Yes</w:t>
            </w:r>
            <w:r w:rsidR="00910609">
              <w:t xml:space="preserve"> requires a comment and captures details for inclusion in an Exception Report (exception type: unit issued with unsatisfied TR).</w:t>
            </w:r>
            <w:r w:rsidR="002A21AE">
              <w:t xml:space="preserve"> </w:t>
            </w:r>
          </w:p>
        </w:tc>
      </w:tr>
      <w:tr w:rsidR="002A21AE" w14:paraId="18DCDBD6" w14:textId="77777777">
        <w:tc>
          <w:tcPr>
            <w:tcW w:w="780" w:type="dxa"/>
          </w:tcPr>
          <w:p w14:paraId="50439898" w14:textId="77777777" w:rsidR="002A21AE" w:rsidRDefault="002A21AE">
            <w:pPr>
              <w:pStyle w:val="TableText"/>
            </w:pPr>
            <w:r>
              <w:t>5</w:t>
            </w:r>
          </w:p>
        </w:tc>
        <w:tc>
          <w:tcPr>
            <w:tcW w:w="8580" w:type="dxa"/>
          </w:tcPr>
          <w:p w14:paraId="4C41F18F" w14:textId="77777777" w:rsidR="002A21AE" w:rsidRDefault="002A21AE">
            <w:pPr>
              <w:pStyle w:val="TableText"/>
            </w:pPr>
            <w:r>
              <w:rPr>
                <w:rFonts w:cs="Arial"/>
                <w:vanish/>
              </w:rPr>
              <w:t xml:space="preserve">BR_73.15 </w:t>
            </w:r>
            <w:r>
              <w:t xml:space="preserve">When a repeat ABO/Rh performed on the patient specimen does not match the original ABO/Rh interpretation and the unit doesn’t qualify for emergency issue, VBECS warns the user and instructs him to resolve the discrepancy before issuing the unit. There is no override. </w:t>
            </w:r>
            <w:r w:rsidR="00E44A2A">
              <w:t xml:space="preserve">Units that qualify for emergency </w:t>
            </w:r>
            <w:r w:rsidR="00E44A2A">
              <w:lastRenderedPageBreak/>
              <w:t>issue may continue and VBECS will display a message that the ABO/Rh on the current specimen does not agree with the historic ABO/Rh.</w:t>
            </w:r>
          </w:p>
        </w:tc>
      </w:tr>
      <w:tr w:rsidR="002A21AE" w14:paraId="693EA6AE" w14:textId="77777777">
        <w:tc>
          <w:tcPr>
            <w:tcW w:w="780" w:type="dxa"/>
          </w:tcPr>
          <w:p w14:paraId="6BEA4EE5" w14:textId="77777777" w:rsidR="002A21AE" w:rsidRDefault="002A21AE">
            <w:pPr>
              <w:pStyle w:val="TableText"/>
            </w:pPr>
            <w:r>
              <w:lastRenderedPageBreak/>
              <w:t>5</w:t>
            </w:r>
          </w:p>
        </w:tc>
        <w:tc>
          <w:tcPr>
            <w:tcW w:w="8580" w:type="dxa"/>
          </w:tcPr>
          <w:p w14:paraId="16E1A333" w14:textId="77777777" w:rsidR="002A21AE" w:rsidRDefault="002A21AE">
            <w:pPr>
              <w:pStyle w:val="TableText"/>
            </w:pPr>
            <w:r>
              <w:rPr>
                <w:rFonts w:cs="Arial"/>
                <w:vanish/>
              </w:rPr>
              <w:t xml:space="preserve">BR_73.30 </w:t>
            </w:r>
            <w:r>
              <w:t xml:space="preserve">When a unit has a biohazard indicator, VBECS emits an audible alert, warns the user, and asks whether he still wishes to issue the unit. </w:t>
            </w:r>
            <w:r>
              <w:rPr>
                <w:b/>
              </w:rPr>
              <w:t>No</w:t>
            </w:r>
            <w:r>
              <w:t xml:space="preserve"> clears the entry and allows the user to select a new unit. </w:t>
            </w:r>
            <w:r>
              <w:rPr>
                <w:b/>
              </w:rPr>
              <w:t>Yes</w:t>
            </w:r>
            <w:r>
              <w:t xml:space="preserve"> requires a comment and captures details of the transaction for inclusion in an Exception Report (exception type: biohazardous unit issued). </w:t>
            </w:r>
          </w:p>
        </w:tc>
      </w:tr>
      <w:tr w:rsidR="002A21AE" w14:paraId="1B0CAB31" w14:textId="77777777">
        <w:tc>
          <w:tcPr>
            <w:tcW w:w="780" w:type="dxa"/>
          </w:tcPr>
          <w:p w14:paraId="238D422C" w14:textId="77777777" w:rsidR="002A21AE" w:rsidRDefault="002A21AE">
            <w:pPr>
              <w:pStyle w:val="TableText"/>
            </w:pPr>
            <w:r>
              <w:t>5</w:t>
            </w:r>
          </w:p>
        </w:tc>
        <w:tc>
          <w:tcPr>
            <w:tcW w:w="8580" w:type="dxa"/>
          </w:tcPr>
          <w:p w14:paraId="7D30471B" w14:textId="77777777" w:rsidR="002A21AE" w:rsidRDefault="002A21AE" w:rsidP="000B2F76">
            <w:pPr>
              <w:pStyle w:val="TableText"/>
            </w:pPr>
            <w:r>
              <w:rPr>
                <w:rFonts w:cs="Arial"/>
                <w:vanish/>
                <w:szCs w:val="22"/>
              </w:rPr>
              <w:t xml:space="preserve">BR_73.16 </w:t>
            </w:r>
            <w:r>
              <w:t xml:space="preserve">For an Rh negative, unknown, or inconclusive </w:t>
            </w:r>
            <w:r w:rsidR="000B2F76">
              <w:t xml:space="preserve">patient: </w:t>
            </w:r>
            <w:r>
              <w:t>the user may ent</w:t>
            </w:r>
            <w:r w:rsidR="005F5509">
              <w:t xml:space="preserve">er and confirm Rh positive or Rh pooled units </w:t>
            </w:r>
            <w:r>
              <w:t xml:space="preserve">from the WHOLE BLOOD, RED BLOOD CELLS, </w:t>
            </w:r>
            <w:r w:rsidR="00831235">
              <w:t xml:space="preserve">PLATELETS, </w:t>
            </w:r>
            <w:r>
              <w:t xml:space="preserve">and </w:t>
            </w:r>
            <w:r w:rsidR="00831235">
              <w:t>OTHER</w:t>
            </w:r>
            <w:r>
              <w:t xml:space="preserve"> </w:t>
            </w:r>
            <w:r w:rsidR="00B25AD0">
              <w:t xml:space="preserve">VBECS </w:t>
            </w:r>
            <w:r>
              <w:t xml:space="preserve">component classes. </w:t>
            </w:r>
            <w:r w:rsidR="000B2F76">
              <w:t xml:space="preserve">When VBECS component classes are individually entered and confirmed by the user, </w:t>
            </w:r>
            <w:r>
              <w:t xml:space="preserve">VBECS emits an audible alert, warns the user, and asks whether he wishes to issue the unit. </w:t>
            </w:r>
            <w:r>
              <w:rPr>
                <w:b/>
              </w:rPr>
              <w:t>No</w:t>
            </w:r>
            <w:r>
              <w:t xml:space="preserve"> clears the unit data and allows the user to select a different unit. </w:t>
            </w:r>
            <w:r>
              <w:rPr>
                <w:b/>
              </w:rPr>
              <w:t>Yes</w:t>
            </w:r>
            <w:r>
              <w:t xml:space="preserve"> requires additional comment and captures details for inclusion in an Exception Report (exception type: antigen positive/untested units issued).</w:t>
            </w:r>
          </w:p>
          <w:p w14:paraId="4024CEB2" w14:textId="77777777" w:rsidR="00685A5F" w:rsidRPr="00912031" w:rsidRDefault="00685A5F" w:rsidP="00685A5F">
            <w:pPr>
              <w:pStyle w:val="TableText"/>
              <w:rPr>
                <w:rFonts w:cs="Arial"/>
              </w:rPr>
            </w:pPr>
            <w:r w:rsidRPr="00912031">
              <w:rPr>
                <w:rFonts w:cs="Arial"/>
              </w:rPr>
              <w:t>Additional details to be included in the exception report when the user overrides this business rule:</w:t>
            </w:r>
          </w:p>
          <w:p w14:paraId="5F1A4E1E" w14:textId="77777777" w:rsidR="00685A5F" w:rsidRPr="00912031" w:rsidRDefault="00685A5F" w:rsidP="000409B1">
            <w:pPr>
              <w:pStyle w:val="TableText"/>
              <w:numPr>
                <w:ilvl w:val="0"/>
                <w:numId w:val="66"/>
              </w:numPr>
              <w:rPr>
                <w:rFonts w:cs="Arial"/>
              </w:rPr>
            </w:pPr>
            <w:r w:rsidRPr="00912031">
              <w:rPr>
                <w:rFonts w:cs="Arial"/>
              </w:rPr>
              <w:t>Transaction Type: Antigen positive/untested units issued</w:t>
            </w:r>
          </w:p>
          <w:p w14:paraId="0F33AB5E" w14:textId="77777777" w:rsidR="00685A5F" w:rsidRPr="00912031" w:rsidRDefault="00685A5F" w:rsidP="000409B1">
            <w:pPr>
              <w:pStyle w:val="TableText"/>
              <w:numPr>
                <w:ilvl w:val="0"/>
                <w:numId w:val="65"/>
              </w:numPr>
              <w:rPr>
                <w:rFonts w:cs="Arial"/>
              </w:rPr>
            </w:pPr>
            <w:r w:rsidRPr="00912031">
              <w:rPr>
                <w:rFonts w:cs="Arial"/>
              </w:rPr>
              <w:t>Patient Antibody Identified</w:t>
            </w:r>
          </w:p>
          <w:p w14:paraId="4C420027" w14:textId="77777777" w:rsidR="00685A5F" w:rsidRPr="00685A5F" w:rsidRDefault="00685A5F" w:rsidP="000409B1">
            <w:pPr>
              <w:pStyle w:val="TableText"/>
              <w:numPr>
                <w:ilvl w:val="0"/>
                <w:numId w:val="65"/>
              </w:numPr>
              <w:rPr>
                <w:rFonts w:cs="Arial"/>
              </w:rPr>
            </w:pPr>
            <w:r w:rsidRPr="00912031">
              <w:rPr>
                <w:rFonts w:cs="Arial"/>
              </w:rPr>
              <w:t>Unit Antigen Phenotype Result</w:t>
            </w:r>
          </w:p>
        </w:tc>
      </w:tr>
      <w:tr w:rsidR="002A21AE" w14:paraId="2D95EAB6" w14:textId="77777777">
        <w:tc>
          <w:tcPr>
            <w:tcW w:w="780" w:type="dxa"/>
          </w:tcPr>
          <w:p w14:paraId="5010342B" w14:textId="77777777" w:rsidR="002A21AE" w:rsidRDefault="002A21AE">
            <w:pPr>
              <w:pStyle w:val="TableText"/>
            </w:pPr>
            <w:r>
              <w:t>5</w:t>
            </w:r>
          </w:p>
        </w:tc>
        <w:tc>
          <w:tcPr>
            <w:tcW w:w="8580" w:type="dxa"/>
          </w:tcPr>
          <w:p w14:paraId="18AE2666" w14:textId="77777777" w:rsidR="00F20D51" w:rsidRPr="00912031" w:rsidRDefault="00F20D51" w:rsidP="00F20D51">
            <w:pPr>
              <w:pStyle w:val="TableText"/>
              <w:rPr>
                <w:rFonts w:cs="Arial"/>
                <w:szCs w:val="18"/>
              </w:rPr>
            </w:pPr>
            <w:r w:rsidRPr="00F20D51">
              <w:rPr>
                <w:rFonts w:cs="Arial"/>
                <w:vanish/>
                <w:szCs w:val="18"/>
              </w:rPr>
              <w:t xml:space="preserve">BR_73.03 </w:t>
            </w:r>
            <w:r w:rsidRPr="00912031">
              <w:rPr>
                <w:rFonts w:cs="Arial"/>
                <w:szCs w:val="18"/>
              </w:rPr>
              <w:t xml:space="preserve">The system will not allow the issue of units assigned/crossmatched or that require an ABO/Rh associated with an expired specimen when compared to the issue date and time unless the user role is Enhanced Technologist, VBECS security levels 2 and above. </w:t>
            </w:r>
          </w:p>
          <w:p w14:paraId="6C03C32F" w14:textId="77777777" w:rsidR="00F20D51" w:rsidRPr="00912031" w:rsidRDefault="00F20D51" w:rsidP="00F20D51">
            <w:pPr>
              <w:pStyle w:val="TableText"/>
              <w:rPr>
                <w:rFonts w:cs="Arial"/>
                <w:szCs w:val="18"/>
              </w:rPr>
            </w:pPr>
          </w:p>
          <w:p w14:paraId="6763E1C0" w14:textId="77777777" w:rsidR="00F20D51" w:rsidRPr="00912031" w:rsidRDefault="00F20D51" w:rsidP="00F20D51">
            <w:pPr>
              <w:pStyle w:val="TableText"/>
              <w:rPr>
                <w:rFonts w:cs="Arial"/>
                <w:szCs w:val="18"/>
              </w:rPr>
            </w:pPr>
            <w:r w:rsidRPr="00912031">
              <w:rPr>
                <w:rFonts w:cs="Arial"/>
                <w:szCs w:val="18"/>
              </w:rPr>
              <w:t>When the user role is Technologist, VBECS security level 1, the system will display the warning message: Patient specimen is expired. You do not have the proper security to issue this unit. The system will not allow an override.</w:t>
            </w:r>
          </w:p>
          <w:p w14:paraId="7DD8705E" w14:textId="77777777" w:rsidR="00F20D51" w:rsidRPr="00912031" w:rsidRDefault="00F20D51" w:rsidP="00F20D51">
            <w:pPr>
              <w:pStyle w:val="TableText"/>
              <w:rPr>
                <w:rFonts w:cs="Arial"/>
                <w:szCs w:val="18"/>
              </w:rPr>
            </w:pPr>
          </w:p>
          <w:p w14:paraId="735BBC62" w14:textId="77777777" w:rsidR="00F20D51" w:rsidRPr="00912031" w:rsidRDefault="00F20D51" w:rsidP="00F20D51">
            <w:pPr>
              <w:pStyle w:val="TableText"/>
              <w:rPr>
                <w:rFonts w:cs="Arial"/>
                <w:szCs w:val="18"/>
              </w:rPr>
            </w:pPr>
            <w:r w:rsidRPr="00912031">
              <w:rPr>
                <w:rFonts w:cs="Arial"/>
                <w:szCs w:val="18"/>
              </w:rPr>
              <w:t>When the user role is Enhanced Technologist, VBECS security levels 2 and above, the system will provide an audible alert and display the warning message: Patient specimen is expired. Continue to issue? Yes/No. If the user responds “No” the system will clear the screen. If the user responds “Yes” the system will require a comment (free text or canned, “unit issue” context) and captures the transaction details for inclusion in an exception report entry for th</w:t>
            </w:r>
            <w:r>
              <w:rPr>
                <w:rFonts w:cs="Arial"/>
                <w:szCs w:val="18"/>
              </w:rPr>
              <w:t>e issue</w:t>
            </w:r>
            <w:r w:rsidRPr="00912031">
              <w:rPr>
                <w:rFonts w:cs="Arial"/>
                <w:szCs w:val="18"/>
              </w:rPr>
              <w:t xml:space="preserve">. </w:t>
            </w:r>
          </w:p>
          <w:p w14:paraId="2156EDB8" w14:textId="77777777" w:rsidR="00F20D51" w:rsidRPr="00912031" w:rsidRDefault="00F20D51" w:rsidP="00F20D51">
            <w:pPr>
              <w:pStyle w:val="TableText"/>
              <w:rPr>
                <w:rFonts w:cs="Arial"/>
                <w:szCs w:val="18"/>
              </w:rPr>
            </w:pPr>
          </w:p>
          <w:p w14:paraId="1EEA77E6" w14:textId="77777777" w:rsidR="00F20D51" w:rsidRPr="00912031" w:rsidRDefault="00F20D51" w:rsidP="00F20D51">
            <w:pPr>
              <w:pStyle w:val="TableText"/>
              <w:rPr>
                <w:rFonts w:cs="Arial"/>
                <w:szCs w:val="18"/>
              </w:rPr>
            </w:pPr>
            <w:r w:rsidRPr="00912031">
              <w:rPr>
                <w:rFonts w:cs="Arial"/>
                <w:szCs w:val="18"/>
              </w:rPr>
              <w:t>Additional details to be included in the exception report when the user overrides this business rule:</w:t>
            </w:r>
          </w:p>
          <w:p w14:paraId="2406740B" w14:textId="77777777" w:rsidR="00F20D51" w:rsidRPr="00912031" w:rsidRDefault="00F20D51" w:rsidP="000409B1">
            <w:pPr>
              <w:pStyle w:val="TableText"/>
              <w:numPr>
                <w:ilvl w:val="0"/>
                <w:numId w:val="64"/>
              </w:numPr>
              <w:rPr>
                <w:rFonts w:cs="Arial"/>
                <w:szCs w:val="18"/>
              </w:rPr>
            </w:pPr>
            <w:r w:rsidRPr="00912031">
              <w:rPr>
                <w:rFonts w:cs="Arial"/>
                <w:szCs w:val="18"/>
              </w:rPr>
              <w:t>Transaction Type: Unit issued on expired specimen</w:t>
            </w:r>
          </w:p>
          <w:p w14:paraId="269E9A65" w14:textId="77777777" w:rsidR="002A21AE" w:rsidRDefault="00F20D51" w:rsidP="000409B1">
            <w:pPr>
              <w:pStyle w:val="TableText"/>
              <w:numPr>
                <w:ilvl w:val="0"/>
                <w:numId w:val="64"/>
              </w:numPr>
            </w:pPr>
            <w:r w:rsidRPr="00912031">
              <w:rPr>
                <w:rFonts w:cs="Arial"/>
                <w:szCs w:val="18"/>
              </w:rPr>
              <w:t>Specimen UID</w:t>
            </w:r>
          </w:p>
        </w:tc>
      </w:tr>
      <w:tr w:rsidR="002A21AE" w14:paraId="44F60856" w14:textId="77777777">
        <w:tc>
          <w:tcPr>
            <w:tcW w:w="780" w:type="dxa"/>
          </w:tcPr>
          <w:p w14:paraId="6B5A0FAC" w14:textId="77777777" w:rsidR="002A21AE" w:rsidRDefault="002A21AE">
            <w:pPr>
              <w:pStyle w:val="TableText"/>
            </w:pPr>
            <w:r>
              <w:t>5</w:t>
            </w:r>
          </w:p>
        </w:tc>
        <w:tc>
          <w:tcPr>
            <w:tcW w:w="8580" w:type="dxa"/>
          </w:tcPr>
          <w:p w14:paraId="7918253A" w14:textId="77777777" w:rsidR="002A21AE" w:rsidRDefault="002A21AE">
            <w:pPr>
              <w:pStyle w:val="TableText"/>
            </w:pPr>
            <w:r>
              <w:rPr>
                <w:rFonts w:cs="Arial"/>
                <w:vanish/>
              </w:rPr>
              <w:t xml:space="preserve">BR_73.04 </w:t>
            </w:r>
            <w:r>
              <w:t>When the user attempts to issue an expired unit, V</w:t>
            </w:r>
            <w:r w:rsidR="00D258CC">
              <w:t xml:space="preserve">BECS </w:t>
            </w:r>
            <w:r>
              <w:t>warns him. There is no override.</w:t>
            </w:r>
          </w:p>
          <w:p w14:paraId="2E592A11" w14:textId="77777777" w:rsidR="002A21AE" w:rsidRDefault="002A21AE">
            <w:pPr>
              <w:pStyle w:val="TableText"/>
            </w:pPr>
          </w:p>
          <w:p w14:paraId="2DAF9BBA" w14:textId="77777777" w:rsidR="002A21AE" w:rsidRDefault="002A21AE">
            <w:pPr>
              <w:pStyle w:val="TableText"/>
            </w:pPr>
            <w:r w:rsidRPr="00EC7489">
              <w:rPr>
                <w:rFonts w:ascii="Wingdings 3" w:hAnsi="Wingdings 3" w:cs="Wingdings"/>
              </w:rPr>
              <w:t></w:t>
            </w:r>
            <w:r w:rsidRPr="00EC7489">
              <w:rPr>
                <w:rFonts w:ascii="Wingdings 3" w:hAnsi="Wingdings 3" w:cs="Wingdings"/>
              </w:rPr>
              <w:t></w:t>
            </w:r>
            <w:r>
              <w:t xml:space="preserve"> When the user is an Enhanced Technologist or above, VBECS emits an audible alert, warns him, and asks whether he wishes to continue to issue. </w:t>
            </w:r>
            <w:r>
              <w:rPr>
                <w:b/>
              </w:rPr>
              <w:t>No</w:t>
            </w:r>
            <w:r>
              <w:t xml:space="preserve"> clears the screen. </w:t>
            </w:r>
            <w:r>
              <w:rPr>
                <w:b/>
              </w:rPr>
              <w:t>Yes</w:t>
            </w:r>
            <w:r>
              <w:t xml:space="preserve"> requires a comment and captures details for inclusion in an Exception Report (exception type: issued expired unit).</w:t>
            </w:r>
          </w:p>
        </w:tc>
      </w:tr>
      <w:tr w:rsidR="002A21AE" w14:paraId="3C54475C" w14:textId="77777777">
        <w:tc>
          <w:tcPr>
            <w:tcW w:w="780" w:type="dxa"/>
          </w:tcPr>
          <w:p w14:paraId="2DAA95F2" w14:textId="77777777" w:rsidR="002A21AE" w:rsidRDefault="002A21AE">
            <w:pPr>
              <w:pStyle w:val="TableText"/>
            </w:pPr>
            <w:r>
              <w:t>5</w:t>
            </w:r>
          </w:p>
        </w:tc>
        <w:tc>
          <w:tcPr>
            <w:tcW w:w="8580" w:type="dxa"/>
          </w:tcPr>
          <w:p w14:paraId="0447426E" w14:textId="77777777" w:rsidR="002A21AE" w:rsidRDefault="002A21AE">
            <w:pPr>
              <w:pStyle w:val="TableText"/>
            </w:pPr>
            <w:r>
              <w:rPr>
                <w:rFonts w:cs="Arial"/>
                <w:vanish/>
              </w:rPr>
              <w:t xml:space="preserve">BR_73.14 </w:t>
            </w:r>
            <w:r>
              <w:t>When the user sele</w:t>
            </w:r>
            <w:r w:rsidR="00A92813">
              <w:t>cts units from the WHOLE BLOOD or RED BLOOD CELLS</w:t>
            </w:r>
            <w:r>
              <w:t xml:space="preserve"> component classes, VBECS determines when the patient has a calculated or a persistent antigen negative requirement. This does not apply when selecting autologous (ISBT 128 units with an autologous donation type). When the selected unit was antigen typed and is positive for the corresponding antigen or is untested for the antigen, VBECS warns the user and requires action based on his security level.</w:t>
            </w:r>
          </w:p>
          <w:p w14:paraId="3CCC1D73" w14:textId="77777777" w:rsidR="002A21AE" w:rsidRDefault="002A21AE">
            <w:pPr>
              <w:pStyle w:val="TableText"/>
            </w:pPr>
          </w:p>
          <w:p w14:paraId="7D92940C" w14:textId="77777777" w:rsidR="002A21AE" w:rsidRDefault="002A21AE">
            <w:pPr>
              <w:pStyle w:val="TableText"/>
            </w:pPr>
            <w:r w:rsidRPr="00EC7489">
              <w:rPr>
                <w:rFonts w:ascii="Wingdings 3" w:hAnsi="Wingdings 3" w:cs="Wingdings"/>
              </w:rPr>
              <w:t></w:t>
            </w:r>
            <w:r w:rsidRPr="00EC7489">
              <w:rPr>
                <w:rFonts w:ascii="Wingdings 3" w:hAnsi="Wingdings 3" w:cs="Wingdings"/>
              </w:rPr>
              <w:t></w:t>
            </w:r>
            <w:r>
              <w:t xml:space="preserve"> When the user is an Enhanced Technologist or below, V</w:t>
            </w:r>
            <w:r w:rsidR="00D258CC">
              <w:t xml:space="preserve">BECS </w:t>
            </w:r>
            <w:r>
              <w:t xml:space="preserve">warns that he </w:t>
            </w:r>
            <w:r w:rsidR="00082F78">
              <w:t>does not have the proper security level</w:t>
            </w:r>
            <w:r>
              <w:t xml:space="preserve"> to issue the unit. There is no override. </w:t>
            </w:r>
          </w:p>
          <w:p w14:paraId="7B46974D" w14:textId="77777777" w:rsidR="002A21AE" w:rsidRDefault="002A21AE">
            <w:pPr>
              <w:pStyle w:val="TableText"/>
            </w:pPr>
          </w:p>
          <w:p w14:paraId="5E276A6B" w14:textId="77777777" w:rsidR="002A21AE" w:rsidRDefault="002A21AE">
            <w:pPr>
              <w:pStyle w:val="Table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When the user is a Lead Technologist or above, VBECS emits an audible alert, warns him, and asks whether he wishes to continue to issue. </w:t>
            </w:r>
            <w:r>
              <w:rPr>
                <w:b/>
              </w:rPr>
              <w:t>No</w:t>
            </w:r>
            <w:r>
              <w:t xml:space="preserve"> clears the screen. </w:t>
            </w:r>
            <w:r>
              <w:rPr>
                <w:b/>
              </w:rPr>
              <w:t>Yes</w:t>
            </w:r>
            <w:r>
              <w:t xml:space="preserve"> requires a comment and captures details for inclusion in an Exception Report entry (exception type: antigen-positive/untested units issued).</w:t>
            </w:r>
          </w:p>
          <w:p w14:paraId="292A780B" w14:textId="77777777" w:rsidR="00685A5F" w:rsidRDefault="00685A5F">
            <w:pPr>
              <w:pStyle w:val="TableText"/>
            </w:pPr>
          </w:p>
          <w:p w14:paraId="5D4C0A6C" w14:textId="77777777" w:rsidR="00685A5F" w:rsidRDefault="00685A5F" w:rsidP="00685A5F">
            <w:pPr>
              <w:pStyle w:val="TableText"/>
              <w:rPr>
                <w:szCs w:val="18"/>
              </w:rPr>
            </w:pPr>
            <w:r w:rsidRPr="00F14A86">
              <w:rPr>
                <w:szCs w:val="18"/>
              </w:rPr>
              <w:lastRenderedPageBreak/>
              <w:t>Additional details to be included in the exception report when the u</w:t>
            </w:r>
            <w:r>
              <w:rPr>
                <w:szCs w:val="18"/>
              </w:rPr>
              <w:t>ser overrides:</w:t>
            </w:r>
          </w:p>
          <w:p w14:paraId="4938B590" w14:textId="77777777" w:rsidR="00685A5F" w:rsidRPr="00FB5425" w:rsidRDefault="00685A5F" w:rsidP="000409B1">
            <w:pPr>
              <w:pStyle w:val="TableText"/>
              <w:numPr>
                <w:ilvl w:val="0"/>
                <w:numId w:val="67"/>
              </w:numPr>
              <w:tabs>
                <w:tab w:val="clear" w:pos="720"/>
                <w:tab w:val="num" w:pos="252"/>
              </w:tabs>
              <w:ind w:left="252" w:hanging="198"/>
              <w:rPr>
                <w:szCs w:val="18"/>
              </w:rPr>
            </w:pPr>
            <w:r w:rsidRPr="00FB5425">
              <w:rPr>
                <w:szCs w:val="18"/>
              </w:rPr>
              <w:t>Transaction Type: Antigen-positive/untested units issued</w:t>
            </w:r>
          </w:p>
          <w:p w14:paraId="1F9A3779" w14:textId="77777777" w:rsidR="00685A5F" w:rsidRPr="008A3C45" w:rsidRDefault="00685A5F" w:rsidP="000409B1">
            <w:pPr>
              <w:pStyle w:val="TableText"/>
              <w:numPr>
                <w:ilvl w:val="0"/>
                <w:numId w:val="67"/>
              </w:numPr>
              <w:tabs>
                <w:tab w:val="clear" w:pos="720"/>
                <w:tab w:val="num" w:pos="252"/>
              </w:tabs>
              <w:ind w:left="252" w:hanging="198"/>
              <w:rPr>
                <w:szCs w:val="18"/>
              </w:rPr>
            </w:pPr>
            <w:r w:rsidRPr="008A3C45">
              <w:rPr>
                <w:szCs w:val="18"/>
              </w:rPr>
              <w:t>Patient Antibody(ies) Identified</w:t>
            </w:r>
          </w:p>
          <w:p w14:paraId="7A4ECE7B" w14:textId="77777777" w:rsidR="00685A5F" w:rsidRPr="00685A5F" w:rsidRDefault="00685A5F" w:rsidP="000409B1">
            <w:pPr>
              <w:pStyle w:val="TableText"/>
              <w:numPr>
                <w:ilvl w:val="0"/>
                <w:numId w:val="67"/>
              </w:numPr>
              <w:tabs>
                <w:tab w:val="clear" w:pos="720"/>
                <w:tab w:val="num" w:pos="252"/>
              </w:tabs>
              <w:ind w:left="252" w:hanging="198"/>
              <w:rPr>
                <w:szCs w:val="18"/>
              </w:rPr>
            </w:pPr>
            <w:r w:rsidRPr="004A6FB8">
              <w:rPr>
                <w:szCs w:val="18"/>
              </w:rPr>
              <w:t>Unit Antigen Phenotype Result or “untested”</w:t>
            </w:r>
          </w:p>
        </w:tc>
      </w:tr>
      <w:tr w:rsidR="002A21AE" w14:paraId="319342BA" w14:textId="77777777">
        <w:tc>
          <w:tcPr>
            <w:tcW w:w="780" w:type="dxa"/>
          </w:tcPr>
          <w:p w14:paraId="084265DF" w14:textId="77777777" w:rsidR="002A21AE" w:rsidRDefault="002A21AE">
            <w:pPr>
              <w:pStyle w:val="TableText"/>
            </w:pPr>
            <w:r>
              <w:lastRenderedPageBreak/>
              <w:t>5</w:t>
            </w:r>
          </w:p>
        </w:tc>
        <w:tc>
          <w:tcPr>
            <w:tcW w:w="8580" w:type="dxa"/>
          </w:tcPr>
          <w:p w14:paraId="764AE07E" w14:textId="77777777" w:rsidR="002A21AE" w:rsidRDefault="002A21AE" w:rsidP="00E44A2A">
            <w:pPr>
              <w:pStyle w:val="TableText"/>
            </w:pPr>
            <w:r>
              <w:rPr>
                <w:rFonts w:cs="Arial"/>
                <w:vanish/>
              </w:rPr>
              <w:t xml:space="preserve">BR_73.05 </w:t>
            </w:r>
            <w:r>
              <w:t xml:space="preserve">VBECS compares the ABO/Rh of the current specimen </w:t>
            </w:r>
            <w:r w:rsidR="00E44A2A">
              <w:t xml:space="preserve">to the historic ABO/Rh. </w:t>
            </w:r>
            <w:r>
              <w:t xml:space="preserve">When there is a discrepancy, there is no previous justification for the discrepancy on the patient record, as described in Justify ABO/Rh Change, and the unit </w:t>
            </w:r>
            <w:r w:rsidR="00A10483">
              <w:t>does not</w:t>
            </w:r>
            <w:r>
              <w:t xml:space="preserve"> qualify for emergency issue, VBECS warns the user and instructs him to resolve the discrepancy before issuing the unit. There is no override. VBECS exits the option, clears the screen, and returns the user to the point of entry. </w:t>
            </w:r>
            <w:r w:rsidR="00E44A2A">
              <w:t>Units that qualify for emergency issue may continue and VBECS will display a message that the ABO/Rh on the current specimen does not agree with the historic ABO/Rh</w:t>
            </w:r>
            <w:r>
              <w:t>.</w:t>
            </w:r>
          </w:p>
        </w:tc>
      </w:tr>
      <w:tr w:rsidR="002A21AE" w14:paraId="5084B698" w14:textId="77777777">
        <w:tc>
          <w:tcPr>
            <w:tcW w:w="780" w:type="dxa"/>
          </w:tcPr>
          <w:p w14:paraId="7973A445" w14:textId="77777777" w:rsidR="00E44A2A" w:rsidRDefault="002A21AE">
            <w:pPr>
              <w:pStyle w:val="TableText"/>
            </w:pPr>
            <w:r>
              <w:t>5</w:t>
            </w:r>
          </w:p>
          <w:p w14:paraId="6471EEF0" w14:textId="77777777" w:rsidR="002A21AE" w:rsidRPr="00E44A2A" w:rsidRDefault="002A21AE" w:rsidP="00E44A2A"/>
        </w:tc>
        <w:tc>
          <w:tcPr>
            <w:tcW w:w="8580" w:type="dxa"/>
          </w:tcPr>
          <w:p w14:paraId="01E86168" w14:textId="77777777" w:rsidR="002A21AE" w:rsidRDefault="002A21AE">
            <w:pPr>
              <w:pStyle w:val="TableText"/>
            </w:pPr>
            <w:r w:rsidRPr="00ED5745">
              <w:rPr>
                <w:rFonts w:cs="Arial"/>
                <w:vanish/>
                <w:color w:val="0000FF"/>
              </w:rPr>
              <w:t>BR_3.05</w:t>
            </w:r>
            <w:r>
              <w:rPr>
                <w:rFonts w:cs="Arial"/>
                <w:vanish/>
              </w:rPr>
              <w:t xml:space="preserve"> </w:t>
            </w:r>
            <w:r>
              <w:t xml:space="preserve">When no valid ABO exists for the patient, the user may select components, including autologous units: </w:t>
            </w:r>
          </w:p>
          <w:p w14:paraId="4AED7BB1" w14:textId="77777777" w:rsidR="002A21AE" w:rsidRDefault="002A21AE">
            <w:pPr>
              <w:pStyle w:val="TableTextBullet"/>
              <w:tabs>
                <w:tab w:val="clear" w:pos="288"/>
              </w:tabs>
            </w:pPr>
            <w:r>
              <w:t xml:space="preserve">For RBC or WB order: </w:t>
            </w:r>
            <w:r w:rsidR="00093181">
              <w:t>group</w:t>
            </w:r>
            <w:r w:rsidR="000014DD">
              <w:t xml:space="preserve"> </w:t>
            </w:r>
            <w:r>
              <w:t>O, Rh positive or O Rh negative RBC. WHOLE BLOOD is not selectable.</w:t>
            </w:r>
          </w:p>
          <w:p w14:paraId="13AF15E4" w14:textId="77777777" w:rsidR="002A21AE" w:rsidRDefault="002A21AE">
            <w:pPr>
              <w:pStyle w:val="TableTextBullet"/>
              <w:tabs>
                <w:tab w:val="clear" w:pos="288"/>
              </w:tabs>
            </w:pPr>
            <w:r>
              <w:t>For FFP order only: group AB, Rh positive or Rh negative.</w:t>
            </w:r>
          </w:p>
          <w:p w14:paraId="3EE7751D" w14:textId="77777777" w:rsidR="002A21AE" w:rsidRDefault="00E31C5D">
            <w:pPr>
              <w:pStyle w:val="TableTextBullet"/>
              <w:tabs>
                <w:tab w:val="clear" w:pos="288"/>
              </w:tabs>
            </w:pPr>
            <w:r>
              <w:t>For PLT, CRYO, or OTHER order, all available units are selectable.</w:t>
            </w:r>
          </w:p>
        </w:tc>
      </w:tr>
      <w:tr w:rsidR="00102A03" w14:paraId="7AD93531" w14:textId="77777777">
        <w:tc>
          <w:tcPr>
            <w:tcW w:w="780" w:type="dxa"/>
          </w:tcPr>
          <w:p w14:paraId="0E5DD5FD" w14:textId="77777777" w:rsidR="00102A03" w:rsidRDefault="00102A03">
            <w:pPr>
              <w:pStyle w:val="TableText"/>
            </w:pPr>
            <w:r>
              <w:t>5</w:t>
            </w:r>
          </w:p>
        </w:tc>
        <w:tc>
          <w:tcPr>
            <w:tcW w:w="8580" w:type="dxa"/>
          </w:tcPr>
          <w:p w14:paraId="40E70C8C" w14:textId="77777777" w:rsidR="00102A03" w:rsidRDefault="00102A03" w:rsidP="00102A03">
            <w:pPr>
              <w:pStyle w:val="TableText"/>
              <w:rPr>
                <w:rFonts w:cs="Arial"/>
                <w:vanish/>
                <w:szCs w:val="22"/>
              </w:rPr>
            </w:pPr>
            <w:r w:rsidRPr="00AE062E">
              <w:rPr>
                <w:vanish/>
                <w:szCs w:val="18"/>
              </w:rPr>
              <w:t xml:space="preserve">BR_73.37 </w:t>
            </w:r>
            <w:r>
              <w:t>When the division is “transfusion only” and a blood unit is ABO incompatible at issue based on the interpretation of the current patient specimen’s ABO test, V</w:t>
            </w:r>
            <w:r w:rsidR="00D258CC">
              <w:t xml:space="preserve">BECS </w:t>
            </w:r>
            <w:r>
              <w:t>warns the user that the unit is not ABO compatible for the patient’s current specimen and may not be issued. The user must resolve pending ABO discrepancies before issuing the unit.</w:t>
            </w:r>
          </w:p>
        </w:tc>
      </w:tr>
      <w:tr w:rsidR="002A21AE" w14:paraId="37E89314" w14:textId="77777777">
        <w:tc>
          <w:tcPr>
            <w:tcW w:w="780" w:type="dxa"/>
          </w:tcPr>
          <w:p w14:paraId="79DA8CF0" w14:textId="77777777" w:rsidR="002A21AE" w:rsidRDefault="002A21AE">
            <w:pPr>
              <w:pStyle w:val="TableText"/>
            </w:pPr>
            <w:r>
              <w:t>7</w:t>
            </w:r>
          </w:p>
        </w:tc>
        <w:tc>
          <w:tcPr>
            <w:tcW w:w="8580" w:type="dxa"/>
          </w:tcPr>
          <w:p w14:paraId="505DC201" w14:textId="77777777" w:rsidR="002A21AE" w:rsidRDefault="002A21AE">
            <w:pPr>
              <w:pStyle w:val="TableText"/>
            </w:pPr>
            <w:r>
              <w:rPr>
                <w:rFonts w:cs="Arial"/>
                <w:vanish/>
                <w:szCs w:val="22"/>
              </w:rPr>
              <w:t xml:space="preserve">BR_73.33 </w:t>
            </w:r>
            <w:r w:rsidR="00FE49A2">
              <w:t xml:space="preserve">When the division is “full service” and a blood unit is ABO incompatible at issue based on the system interpretation of the current patient specimen’s ABO test result, VBECS emits an audible </w:t>
            </w:r>
            <w:r w:rsidR="00A10483">
              <w:t>alert, warns that the unit is not ABO compatible with the patient’s current specimen results,</w:t>
            </w:r>
            <w:r w:rsidR="00FE49A2">
              <w:t xml:space="preserve"> and asks whether he wishes to continue. </w:t>
            </w:r>
            <w:r w:rsidR="00FE49A2">
              <w:rPr>
                <w:b/>
              </w:rPr>
              <w:t>No</w:t>
            </w:r>
            <w:r w:rsidR="00FE49A2">
              <w:t xml:space="preserve"> clears the screen and allows the user to select another unit. </w:t>
            </w:r>
            <w:r w:rsidR="00FE49A2">
              <w:rPr>
                <w:b/>
              </w:rPr>
              <w:t>Yes</w:t>
            </w:r>
            <w:r w:rsidR="00FE49A2">
              <w:t xml:space="preserve"> requires a comment and </w:t>
            </w:r>
            <w:r w:rsidR="00FE49A2" w:rsidRPr="00014921">
              <w:t xml:space="preserve">captures details for inclusion in an Exception Report (exception type: </w:t>
            </w:r>
            <w:r w:rsidR="00FE49A2">
              <w:t>ABO discrepant unit issue</w:t>
            </w:r>
            <w:r w:rsidR="00FE49A2" w:rsidRPr="00014921">
              <w:t>).</w:t>
            </w:r>
          </w:p>
        </w:tc>
      </w:tr>
    </w:tbl>
    <w:p w14:paraId="705F43A0" w14:textId="15863B7D" w:rsidR="007122D4" w:rsidRDefault="007122D4" w:rsidP="007122D4">
      <w:pPr>
        <w:pStyle w:val="Caption"/>
      </w:pPr>
      <w:bookmarkStart w:id="417" w:name="_Ref126489326"/>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647F4E">
        <w:rPr>
          <w:noProof/>
        </w:rPr>
        <w:t>8</w:t>
      </w:r>
      <w:r w:rsidR="004E20BD">
        <w:rPr>
          <w:noProof/>
        </w:rPr>
        <w:fldChar w:fldCharType="end"/>
      </w:r>
      <w:bookmarkEnd w:id="417"/>
      <w:r>
        <w:t xml:space="preserve">: Alerts That May Occur in Issue Blood Components (Emergency) </w:t>
      </w:r>
      <w:r>
        <w:fldChar w:fldCharType="begin"/>
      </w:r>
      <w:r>
        <w:instrText xml:space="preserve"> XE “Tables:Alerts That May Occur in Issue Blood Components (Emergency)”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0"/>
        <w:gridCol w:w="8580"/>
      </w:tblGrid>
      <w:tr w:rsidR="00263F21" w14:paraId="27652D88" w14:textId="77777777">
        <w:trPr>
          <w:tblHeader/>
        </w:trPr>
        <w:tc>
          <w:tcPr>
            <w:tcW w:w="780" w:type="dxa"/>
            <w:shd w:val="clear" w:color="auto" w:fill="B3B3B3"/>
          </w:tcPr>
          <w:p w14:paraId="11B23768" w14:textId="77777777" w:rsidR="00263F21" w:rsidRDefault="00DB3377" w:rsidP="00BC3648">
            <w:pPr>
              <w:pStyle w:val="TableText"/>
              <w:rPr>
                <w:b/>
              </w:rPr>
            </w:pPr>
            <w:r>
              <w:rPr>
                <w:b/>
              </w:rPr>
              <w:t>User Action Step</w:t>
            </w:r>
          </w:p>
        </w:tc>
        <w:tc>
          <w:tcPr>
            <w:tcW w:w="8580" w:type="dxa"/>
            <w:shd w:val="clear" w:color="auto" w:fill="B3B3B3"/>
          </w:tcPr>
          <w:p w14:paraId="7D044201" w14:textId="77777777" w:rsidR="00263F21" w:rsidRDefault="00263F21" w:rsidP="00BC3648">
            <w:pPr>
              <w:pStyle w:val="TableText"/>
              <w:rPr>
                <w:b/>
              </w:rPr>
            </w:pPr>
            <w:r>
              <w:rPr>
                <w:b/>
              </w:rPr>
              <w:t>Alerts</w:t>
            </w:r>
          </w:p>
        </w:tc>
      </w:tr>
      <w:tr w:rsidR="00263F21" w14:paraId="7AAD59A8" w14:textId="77777777">
        <w:tc>
          <w:tcPr>
            <w:tcW w:w="780" w:type="dxa"/>
          </w:tcPr>
          <w:p w14:paraId="6F9075F9" w14:textId="77777777" w:rsidR="00263F21" w:rsidRDefault="00263F21" w:rsidP="00BC3648">
            <w:pPr>
              <w:pStyle w:val="TableText"/>
            </w:pPr>
            <w:r>
              <w:t>2</w:t>
            </w:r>
          </w:p>
        </w:tc>
        <w:tc>
          <w:tcPr>
            <w:tcW w:w="8580" w:type="dxa"/>
          </w:tcPr>
          <w:p w14:paraId="140ABACF" w14:textId="77777777" w:rsidR="00263F21" w:rsidRDefault="00263F21" w:rsidP="00BC3648">
            <w:pPr>
              <w:pStyle w:val="TableText"/>
            </w:pPr>
            <w:r>
              <w:rPr>
                <w:rFonts w:cs="Arial"/>
                <w:vanish/>
                <w:szCs w:val="22"/>
              </w:rPr>
              <w:t xml:space="preserve">BR_16.01 </w:t>
            </w:r>
            <w:r>
              <w:t xml:space="preserve">VBECS displays </w:t>
            </w:r>
            <w:r w:rsidR="00057948">
              <w:rPr>
                <w:noProof/>
              </w:rPr>
              <w:drawing>
                <wp:inline distT="0" distB="0" distL="0" distR="0" wp14:anchorId="30B4005A" wp14:editId="047E51AB">
                  <wp:extent cx="156845" cy="156845"/>
                  <wp:effectExtent l="0" t="0" r="0" b="0"/>
                  <wp:docPr id="195" name="Picture 195" descr="P5956C4T6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P5956C4T61#yIS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and emits an audible alert when there are Special Instructions (SIs) or Transfusion Requirements (TRs) for the patient.</w:t>
            </w:r>
          </w:p>
        </w:tc>
      </w:tr>
      <w:tr w:rsidR="00263F21" w14:paraId="5A224146" w14:textId="77777777">
        <w:tc>
          <w:tcPr>
            <w:tcW w:w="780" w:type="dxa"/>
          </w:tcPr>
          <w:p w14:paraId="675586A7" w14:textId="77777777" w:rsidR="00263F21" w:rsidRDefault="00263F21" w:rsidP="00BC3648">
            <w:pPr>
              <w:pStyle w:val="TableText"/>
            </w:pPr>
            <w:r>
              <w:t>2</w:t>
            </w:r>
          </w:p>
        </w:tc>
        <w:tc>
          <w:tcPr>
            <w:tcW w:w="8580" w:type="dxa"/>
          </w:tcPr>
          <w:p w14:paraId="571BA1FD" w14:textId="77777777" w:rsidR="00263F21" w:rsidRDefault="00263F21" w:rsidP="00BC3648">
            <w:pPr>
              <w:pStyle w:val="TableText"/>
            </w:pPr>
            <w:r>
              <w:rPr>
                <w:rFonts w:cs="Arial"/>
                <w:vanish/>
              </w:rPr>
              <w:t xml:space="preserve">BR_73.21 </w:t>
            </w:r>
            <w:r>
              <w:t>When no patient is found, VBECS warns the user and does not allow the user to continue.</w:t>
            </w:r>
          </w:p>
        </w:tc>
      </w:tr>
      <w:tr w:rsidR="00263F21" w14:paraId="50C4B0C5" w14:textId="77777777">
        <w:tc>
          <w:tcPr>
            <w:tcW w:w="780" w:type="dxa"/>
          </w:tcPr>
          <w:p w14:paraId="6F2EF684" w14:textId="77777777" w:rsidR="00263F21" w:rsidRDefault="00263F21" w:rsidP="00BC3648">
            <w:pPr>
              <w:pStyle w:val="TableText"/>
            </w:pPr>
            <w:r>
              <w:t>2</w:t>
            </w:r>
          </w:p>
        </w:tc>
        <w:tc>
          <w:tcPr>
            <w:tcW w:w="8580" w:type="dxa"/>
          </w:tcPr>
          <w:p w14:paraId="77B408DB" w14:textId="77777777" w:rsidR="00263F21" w:rsidRDefault="00263F21" w:rsidP="00BC3648">
            <w:pPr>
              <w:pStyle w:val="TableText"/>
            </w:pPr>
            <w:r>
              <w:rPr>
                <w:rFonts w:cs="Arial"/>
                <w:vanish/>
              </w:rPr>
              <w:t xml:space="preserve">BR_73.20 </w:t>
            </w:r>
            <w:r>
              <w:t>When the patient has no</w:t>
            </w:r>
            <w:r>
              <w:rPr>
                <w:i/>
              </w:rPr>
              <w:t xml:space="preserve"> </w:t>
            </w:r>
            <w:r>
              <w:t>components available for issue, VBECS warns the user and does not allow the user to continue.</w:t>
            </w:r>
          </w:p>
        </w:tc>
      </w:tr>
      <w:tr w:rsidR="00263F21" w14:paraId="78229D20" w14:textId="77777777">
        <w:tc>
          <w:tcPr>
            <w:tcW w:w="780" w:type="dxa"/>
          </w:tcPr>
          <w:p w14:paraId="24BE4F1C" w14:textId="77777777" w:rsidR="00263F21" w:rsidRDefault="00263F21" w:rsidP="00BC3648">
            <w:pPr>
              <w:pStyle w:val="TableText"/>
            </w:pPr>
            <w:r>
              <w:t>2</w:t>
            </w:r>
          </w:p>
        </w:tc>
        <w:tc>
          <w:tcPr>
            <w:tcW w:w="8580" w:type="dxa"/>
          </w:tcPr>
          <w:p w14:paraId="33ED9AF9" w14:textId="77777777" w:rsidR="00263F21" w:rsidRDefault="00263F21" w:rsidP="00BC3648">
            <w:pPr>
              <w:pStyle w:val="TableText"/>
            </w:pPr>
            <w:r>
              <w:rPr>
                <w:rFonts w:cs="Arial"/>
                <w:vanish/>
              </w:rPr>
              <w:t xml:space="preserve">BR_73.31 </w:t>
            </w:r>
            <w:r>
              <w:t>When required testing is incomplete at issue, VBECS emits an audible alert, warns the user, and asks whether to emergency issue the unit in accordance with hospital policy.</w:t>
            </w:r>
          </w:p>
          <w:p w14:paraId="3D5F05F8" w14:textId="77777777" w:rsidR="00263F21" w:rsidRDefault="00263F21" w:rsidP="00BC3648">
            <w:pPr>
              <w:pStyle w:val="TableText"/>
            </w:pPr>
          </w:p>
          <w:p w14:paraId="0174C7D3" w14:textId="77777777" w:rsidR="00263F21" w:rsidRDefault="00263F21" w:rsidP="00BC3648">
            <w:pPr>
              <w:pStyle w:val="TableText"/>
            </w:pPr>
            <w:r w:rsidRPr="00924702">
              <w:rPr>
                <w:b/>
              </w:rPr>
              <w:t>No</w:t>
            </w:r>
            <w:r>
              <w:t xml:space="preserve"> stops the user from issuing the unit and requires selection of another unit. </w:t>
            </w:r>
            <w:r w:rsidRPr="00924702">
              <w:rPr>
                <w:b/>
              </w:rPr>
              <w:t>Yes</w:t>
            </w:r>
            <w:r>
              <w:t xml:space="preserve"> creates an Exception Report entry for the issue, indicates on the unit record that the unit was issued emergently, and asks whether the user wishes to print the Caution Tags and Blood Transfusion Record Forms.</w:t>
            </w:r>
            <w:r w:rsidRPr="00924702">
              <w:rPr>
                <w:b/>
              </w:rPr>
              <w:t xml:space="preserve"> No</w:t>
            </w:r>
            <w:r>
              <w:t xml:space="preserve"> allows the user to continue with the emergency issue. </w:t>
            </w:r>
            <w:r w:rsidRPr="00924702">
              <w:rPr>
                <w:b/>
              </w:rPr>
              <w:t>Yes</w:t>
            </w:r>
            <w:r>
              <w:t xml:space="preserve"> prints a Caution Tag and/or Blood Transfusion Record Form and proceeds with the issue.</w:t>
            </w:r>
          </w:p>
        </w:tc>
      </w:tr>
      <w:tr w:rsidR="0065539A" w14:paraId="4989C154" w14:textId="77777777">
        <w:tc>
          <w:tcPr>
            <w:tcW w:w="780" w:type="dxa"/>
          </w:tcPr>
          <w:p w14:paraId="62F2CCA9" w14:textId="77777777" w:rsidR="0065539A" w:rsidRDefault="0065539A" w:rsidP="00BC3648">
            <w:pPr>
              <w:pStyle w:val="TableText"/>
            </w:pPr>
            <w:r>
              <w:t>5</w:t>
            </w:r>
          </w:p>
        </w:tc>
        <w:tc>
          <w:tcPr>
            <w:tcW w:w="8580" w:type="dxa"/>
          </w:tcPr>
          <w:p w14:paraId="17A25453" w14:textId="77777777" w:rsidR="0065539A" w:rsidRPr="00214B12" w:rsidRDefault="0065539A" w:rsidP="00BC3648">
            <w:pPr>
              <w:pStyle w:val="TableText"/>
              <w:rPr>
                <w:rFonts w:cs="Arial"/>
                <w:vanish/>
                <w:szCs w:val="18"/>
              </w:rPr>
            </w:pPr>
            <w:r w:rsidRPr="0065539A">
              <w:rPr>
                <w:vanish/>
                <w:szCs w:val="18"/>
              </w:rPr>
              <w:t xml:space="preserve">BR_73.17 </w:t>
            </w:r>
            <w:r w:rsidRPr="0065539A">
              <w:rPr>
                <w:szCs w:val="18"/>
              </w:rPr>
              <w:t>When the user atte</w:t>
            </w:r>
            <w:r>
              <w:t>mpts to issue a unit located in a different division, VBECS warms him that the unit cannot be issued and does not allow him to continue.</w:t>
            </w:r>
          </w:p>
        </w:tc>
      </w:tr>
      <w:tr w:rsidR="003306DB" w14:paraId="71C5BF4A" w14:textId="77777777">
        <w:tc>
          <w:tcPr>
            <w:tcW w:w="780" w:type="dxa"/>
          </w:tcPr>
          <w:p w14:paraId="44CA90CD" w14:textId="77777777" w:rsidR="003306DB" w:rsidRDefault="003306DB" w:rsidP="00BC3648">
            <w:pPr>
              <w:pStyle w:val="TableText"/>
            </w:pPr>
            <w:r>
              <w:t>5</w:t>
            </w:r>
          </w:p>
        </w:tc>
        <w:tc>
          <w:tcPr>
            <w:tcW w:w="8580" w:type="dxa"/>
          </w:tcPr>
          <w:p w14:paraId="2A21E7C8" w14:textId="77777777" w:rsidR="003306DB" w:rsidRDefault="003306DB" w:rsidP="00BC3648">
            <w:pPr>
              <w:pStyle w:val="TableText"/>
              <w:rPr>
                <w:rFonts w:cs="Arial"/>
                <w:vanish/>
              </w:rPr>
            </w:pPr>
            <w:r w:rsidRPr="00214B12">
              <w:rPr>
                <w:rFonts w:cs="Arial"/>
                <w:vanish/>
                <w:szCs w:val="18"/>
              </w:rPr>
              <w:t xml:space="preserve">BR_73.19 </w:t>
            </w:r>
            <w:r>
              <w:t>When a user indicates that the inspected unit is unsatisfactory, VBECS does not allow the unit to be issued, releases it from assignment, and warns the user that the unit is unacceptable for transfusion. VBECS allows the user to enter another unit number.</w:t>
            </w:r>
          </w:p>
        </w:tc>
      </w:tr>
      <w:tr w:rsidR="00263F21" w14:paraId="7DEF6BAF" w14:textId="77777777">
        <w:tc>
          <w:tcPr>
            <w:tcW w:w="780" w:type="dxa"/>
          </w:tcPr>
          <w:p w14:paraId="4A487FB4" w14:textId="77777777" w:rsidR="00263F21" w:rsidRDefault="00263F21" w:rsidP="00BC3648">
            <w:pPr>
              <w:pStyle w:val="TableText"/>
            </w:pPr>
            <w:r>
              <w:t>5</w:t>
            </w:r>
          </w:p>
        </w:tc>
        <w:tc>
          <w:tcPr>
            <w:tcW w:w="8580" w:type="dxa"/>
          </w:tcPr>
          <w:p w14:paraId="5A58061D" w14:textId="77777777" w:rsidR="00263F21" w:rsidRDefault="00263F21" w:rsidP="00BC3648">
            <w:pPr>
              <w:pStyle w:val="TableText"/>
            </w:pPr>
            <w:r>
              <w:rPr>
                <w:rFonts w:cs="Arial"/>
                <w:vanish/>
              </w:rPr>
              <w:t xml:space="preserve">BR_73.27 </w:t>
            </w:r>
            <w:r>
              <w:rPr>
                <w:rFonts w:cs="Arial"/>
              </w:rPr>
              <w:t xml:space="preserve">When the user attempts to select frozen blood components, VBECS </w:t>
            </w:r>
            <w:r>
              <w:t xml:space="preserve">emits an audible alert and warns the user. Units selected in their frozen state must be thawed before issue. </w:t>
            </w:r>
          </w:p>
        </w:tc>
      </w:tr>
      <w:tr w:rsidR="00B11528" w14:paraId="579C74F4" w14:textId="77777777">
        <w:tc>
          <w:tcPr>
            <w:tcW w:w="780" w:type="dxa"/>
          </w:tcPr>
          <w:p w14:paraId="65032104" w14:textId="77777777" w:rsidR="00B11528" w:rsidRDefault="00B11528" w:rsidP="00BC3648">
            <w:pPr>
              <w:pStyle w:val="TableText"/>
            </w:pPr>
            <w:r>
              <w:lastRenderedPageBreak/>
              <w:t>5</w:t>
            </w:r>
          </w:p>
        </w:tc>
        <w:tc>
          <w:tcPr>
            <w:tcW w:w="8580" w:type="dxa"/>
          </w:tcPr>
          <w:p w14:paraId="44168DD0" w14:textId="77777777" w:rsidR="00B11528" w:rsidRPr="00B11528" w:rsidRDefault="00B11528" w:rsidP="00B11528">
            <w:pPr>
              <w:pStyle w:val="TableText"/>
              <w:rPr>
                <w:rFonts w:eastAsia="Calibri"/>
                <w:szCs w:val="18"/>
              </w:rPr>
            </w:pPr>
            <w:r w:rsidRPr="00B11528">
              <w:t>When the patient has Component Requirements and Antigen Negative Requirements, the user attempts to issue (including emergency issue) red blood cells that do not satisfy the requirements, and the user is:</w:t>
            </w:r>
          </w:p>
          <w:p w14:paraId="304B4BF7" w14:textId="77777777" w:rsidR="00B11528" w:rsidRPr="00B11528" w:rsidRDefault="00B11528" w:rsidP="00B11528">
            <w:pPr>
              <w:pStyle w:val="TableTextBullet"/>
              <w:numPr>
                <w:ilvl w:val="0"/>
                <w:numId w:val="0"/>
              </w:numPr>
              <w:tabs>
                <w:tab w:val="left" w:pos="720"/>
              </w:tabs>
              <w:rPr>
                <w:sz w:val="20"/>
                <w:szCs w:val="20"/>
              </w:rPr>
            </w:pPr>
            <w:r w:rsidRPr="00B11528">
              <w:rPr>
                <w:rFonts w:ascii="Wingdings 3" w:hAnsi="Wingdings 3"/>
              </w:rPr>
              <w:t></w:t>
            </w:r>
            <w:r w:rsidRPr="00B11528">
              <w:rPr>
                <w:rFonts w:ascii="Wingdings 3" w:hAnsi="Wingdings 3"/>
              </w:rPr>
              <w:t></w:t>
            </w:r>
            <w:r w:rsidRPr="00B11528">
              <w:t xml:space="preserve"> An Enhanced Technologist or below, VBECS emits an audible alert and warns the user that the unit is not selectable and he is not authorized to issue the unit. The unsatisfied requirements are not detailed.</w:t>
            </w:r>
          </w:p>
          <w:p w14:paraId="53AE0FAE" w14:textId="77777777" w:rsidR="00B11528" w:rsidRDefault="00B11528" w:rsidP="00B11528">
            <w:pPr>
              <w:pStyle w:val="TableText"/>
              <w:rPr>
                <w:rFonts w:cs="Arial"/>
                <w:vanish/>
              </w:rPr>
            </w:pPr>
            <w:r w:rsidRPr="00B11528">
              <w:t>VBECS does not allow an override.</w:t>
            </w:r>
          </w:p>
        </w:tc>
      </w:tr>
      <w:tr w:rsidR="00263F21" w14:paraId="4CF357F0" w14:textId="77777777">
        <w:tc>
          <w:tcPr>
            <w:tcW w:w="780" w:type="dxa"/>
          </w:tcPr>
          <w:p w14:paraId="283FA050" w14:textId="77777777" w:rsidR="00263F21" w:rsidRDefault="00263F21" w:rsidP="00BC3648">
            <w:pPr>
              <w:pStyle w:val="TableText"/>
            </w:pPr>
            <w:r>
              <w:t>5</w:t>
            </w:r>
          </w:p>
        </w:tc>
        <w:tc>
          <w:tcPr>
            <w:tcW w:w="8580" w:type="dxa"/>
          </w:tcPr>
          <w:p w14:paraId="2BF5F794" w14:textId="77777777" w:rsidR="002104CB" w:rsidRDefault="002104CB" w:rsidP="002104CB">
            <w:pPr>
              <w:pStyle w:val="TableText"/>
            </w:pPr>
            <w:r>
              <w:rPr>
                <w:rFonts w:cs="Arial"/>
                <w:vanish/>
              </w:rPr>
              <w:t xml:space="preserve">BR_73.28 </w:t>
            </w:r>
            <w:r w:rsidR="00B11528">
              <w:t>When the patient has Component Requirements</w:t>
            </w:r>
            <w:r w:rsidRPr="002104CB">
              <w:t>, the user attempts to issue (including emergency issue) red blood cells that do not satisfy the TR,</w:t>
            </w:r>
            <w:r>
              <w:t xml:space="preserve"> and the user is:</w:t>
            </w:r>
          </w:p>
          <w:p w14:paraId="1627AC6E" w14:textId="77777777" w:rsidR="002104CB" w:rsidRDefault="002104CB" w:rsidP="002104CB">
            <w:pPr>
              <w:pStyle w:val="TableTextBullet"/>
            </w:pPr>
            <w:r w:rsidRPr="00EC7489">
              <w:rPr>
                <w:rFonts w:ascii="Wingdings 3" w:hAnsi="Wingdings 3" w:cs="Wingdings"/>
              </w:rPr>
              <w:t></w:t>
            </w:r>
            <w:r w:rsidRPr="00EC7489">
              <w:rPr>
                <w:rFonts w:ascii="Wingdings 3" w:hAnsi="Wingdings 3" w:cs="Wingdings"/>
              </w:rPr>
              <w:t></w:t>
            </w:r>
            <w:r>
              <w:t xml:space="preserve"> An Enhanced Technologist or below, V</w:t>
            </w:r>
            <w:r w:rsidR="00A13E40">
              <w:t xml:space="preserve">BECS </w:t>
            </w:r>
            <w:r>
              <w:t xml:space="preserve">warns the user that he is not authorized to issue untyped red blood cells (for the clinically significant antibodies in the table). VBECS does not allow an override. </w:t>
            </w:r>
          </w:p>
          <w:p w14:paraId="0B0EAC44" w14:textId="77777777" w:rsidR="00263F21" w:rsidRDefault="002104CB" w:rsidP="002104CB">
            <w:pPr>
              <w:pStyle w:val="TableTextBulle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 Lead Technologist or above, VBECS emits an audible alert and warns the user.</w:t>
            </w:r>
            <w:r>
              <w:rPr>
                <w:b/>
              </w:rPr>
              <w:t xml:space="preserve"> No</w:t>
            </w:r>
            <w:r>
              <w:t xml:space="preserve"> clears the screen. </w:t>
            </w:r>
            <w:r>
              <w:rPr>
                <w:b/>
              </w:rPr>
              <w:t>Yes</w:t>
            </w:r>
            <w:r>
              <w:t xml:space="preserve"> requires a comment and captures details for inclusion in an Exception Report (exception type: unit issued with unsatisfied TR).</w:t>
            </w:r>
          </w:p>
        </w:tc>
      </w:tr>
      <w:tr w:rsidR="00263F21" w14:paraId="7D319631" w14:textId="77777777">
        <w:tc>
          <w:tcPr>
            <w:tcW w:w="780" w:type="dxa"/>
          </w:tcPr>
          <w:p w14:paraId="2E81649C" w14:textId="77777777" w:rsidR="00263F21" w:rsidRDefault="00263F21" w:rsidP="00BC3648">
            <w:pPr>
              <w:pStyle w:val="TableText"/>
            </w:pPr>
            <w:r>
              <w:t>5</w:t>
            </w:r>
          </w:p>
        </w:tc>
        <w:tc>
          <w:tcPr>
            <w:tcW w:w="8580" w:type="dxa"/>
          </w:tcPr>
          <w:p w14:paraId="34FD8705" w14:textId="77777777" w:rsidR="00263F21" w:rsidRDefault="00263F21" w:rsidP="00BC3648">
            <w:pPr>
              <w:pStyle w:val="TableText"/>
            </w:pPr>
            <w:r>
              <w:rPr>
                <w:rFonts w:cs="Arial"/>
                <w:vanish/>
              </w:rPr>
              <w:t xml:space="preserve">BR_73.15 </w:t>
            </w:r>
            <w:r>
              <w:t xml:space="preserve">When a repeat ABO/Rh performed on the patient specimen does not match the original ABO/Rh interpretation and the unit </w:t>
            </w:r>
            <w:r w:rsidR="00A10483">
              <w:t>does not</w:t>
            </w:r>
            <w:r>
              <w:t xml:space="preserve"> qualify for emergency issue, VBECS warns the user and instructs him to resolve the discrepancy before issuing the unit. There is no override. Emergency issue may continue for qualifying units.</w:t>
            </w:r>
          </w:p>
        </w:tc>
      </w:tr>
      <w:tr w:rsidR="00263F21" w14:paraId="2ABB1BB2" w14:textId="77777777">
        <w:tc>
          <w:tcPr>
            <w:tcW w:w="780" w:type="dxa"/>
          </w:tcPr>
          <w:p w14:paraId="725BCBA9" w14:textId="77777777" w:rsidR="00263F21" w:rsidRDefault="00263F21" w:rsidP="00BC3648">
            <w:pPr>
              <w:pStyle w:val="TableText"/>
            </w:pPr>
            <w:r>
              <w:t>5</w:t>
            </w:r>
          </w:p>
        </w:tc>
        <w:tc>
          <w:tcPr>
            <w:tcW w:w="8580" w:type="dxa"/>
          </w:tcPr>
          <w:p w14:paraId="46A107F5" w14:textId="77777777" w:rsidR="00263F21" w:rsidRDefault="00263F21" w:rsidP="00BC3648">
            <w:pPr>
              <w:pStyle w:val="TableText"/>
            </w:pPr>
            <w:r>
              <w:rPr>
                <w:rFonts w:cs="Arial"/>
                <w:vanish/>
              </w:rPr>
              <w:t xml:space="preserve">BR_73.30 </w:t>
            </w:r>
            <w:r>
              <w:t xml:space="preserve">When a unit has a biohazard indicator, VBECS emits an audible alert, warns the user, and asks whether he still wishes to issue the unit. </w:t>
            </w:r>
            <w:r>
              <w:rPr>
                <w:b/>
              </w:rPr>
              <w:t>No</w:t>
            </w:r>
            <w:r>
              <w:t xml:space="preserve"> clears the entry and allows the user to select a new unit. </w:t>
            </w:r>
            <w:r>
              <w:rPr>
                <w:b/>
              </w:rPr>
              <w:t>Yes</w:t>
            </w:r>
            <w:r>
              <w:t xml:space="preserve"> requires a comment and captures details of the transaction for inclusion in an Exception Report (exception type: biohazardous unit issued). </w:t>
            </w:r>
          </w:p>
        </w:tc>
      </w:tr>
      <w:tr w:rsidR="00263F21" w14:paraId="6604E669" w14:textId="77777777">
        <w:tc>
          <w:tcPr>
            <w:tcW w:w="780" w:type="dxa"/>
          </w:tcPr>
          <w:p w14:paraId="67223F66" w14:textId="77777777" w:rsidR="00263F21" w:rsidRDefault="00263F21" w:rsidP="00BC3648">
            <w:pPr>
              <w:pStyle w:val="TableText"/>
            </w:pPr>
            <w:r>
              <w:t>5</w:t>
            </w:r>
          </w:p>
        </w:tc>
        <w:tc>
          <w:tcPr>
            <w:tcW w:w="8580" w:type="dxa"/>
          </w:tcPr>
          <w:p w14:paraId="27E70DB0" w14:textId="77777777" w:rsidR="00263F21" w:rsidRDefault="00263F21" w:rsidP="00BC3648">
            <w:pPr>
              <w:pStyle w:val="TableText"/>
            </w:pPr>
            <w:r>
              <w:rPr>
                <w:rFonts w:cs="Arial"/>
                <w:vanish/>
                <w:szCs w:val="22"/>
              </w:rPr>
              <w:t xml:space="preserve">BR_73.16 </w:t>
            </w:r>
            <w:r>
              <w:t xml:space="preserve">For an Rh negative, unknown, or inconclusive patient, the user may enter and confirm Rh positive </w:t>
            </w:r>
            <w:r w:rsidR="00BA5BE4">
              <w:t xml:space="preserve">and Rh pooled </w:t>
            </w:r>
            <w:r>
              <w:t xml:space="preserve">units from the WHOLE BLOOD, RED BLOOD CELLS, PLATELETS, and OTHER VBECS component classes. </w:t>
            </w:r>
            <w:r w:rsidR="001D0217" w:rsidRPr="000921F1">
              <w:t>VBECS emits an audible alert, warns that the patient is Rh negative and the selected unit is Rh positive, instructs the user to check the patient sex and hospital policy before continuing, and asks whether the user wishes to continue to select the unit.</w:t>
            </w:r>
            <w:r>
              <w:t xml:space="preserve"> </w:t>
            </w:r>
            <w:r>
              <w:rPr>
                <w:b/>
              </w:rPr>
              <w:t>No</w:t>
            </w:r>
            <w:r>
              <w:t xml:space="preserve"> clears the unit data and allows the user to select a different unit. </w:t>
            </w:r>
            <w:r>
              <w:rPr>
                <w:b/>
              </w:rPr>
              <w:t>Yes</w:t>
            </w:r>
            <w:r>
              <w:t xml:space="preserve"> requires additional comment and captures details for inclusion in an Exception Report (exception type: antigen positive/untested units issued).</w:t>
            </w:r>
            <w:r w:rsidR="001D0217" w:rsidRPr="001D0217">
              <w:rPr>
                <w:vanish/>
              </w:rPr>
              <w:t xml:space="preserve"> DR 4508</w:t>
            </w:r>
          </w:p>
        </w:tc>
      </w:tr>
      <w:tr w:rsidR="00263F21" w14:paraId="5293BBD2" w14:textId="77777777">
        <w:tc>
          <w:tcPr>
            <w:tcW w:w="780" w:type="dxa"/>
          </w:tcPr>
          <w:p w14:paraId="6508434D" w14:textId="77777777" w:rsidR="00263F21" w:rsidRDefault="00263F21" w:rsidP="00BC3648">
            <w:pPr>
              <w:pStyle w:val="TableText"/>
            </w:pPr>
            <w:r>
              <w:t>5</w:t>
            </w:r>
          </w:p>
        </w:tc>
        <w:tc>
          <w:tcPr>
            <w:tcW w:w="8580" w:type="dxa"/>
          </w:tcPr>
          <w:p w14:paraId="090AD62A" w14:textId="77777777" w:rsidR="00263F21" w:rsidRDefault="00263F21" w:rsidP="00BC3648">
            <w:pPr>
              <w:pStyle w:val="TableText"/>
            </w:pPr>
            <w:r>
              <w:rPr>
                <w:rFonts w:cs="Arial"/>
                <w:vanish/>
              </w:rPr>
              <w:t xml:space="preserve">BR_73.04 </w:t>
            </w:r>
            <w:r>
              <w:t>When the user attempts to issue an expired unit, VBECS emits an audible alert and warns him. There is no override.</w:t>
            </w:r>
          </w:p>
          <w:p w14:paraId="7FC6C007" w14:textId="77777777" w:rsidR="00263F21" w:rsidRDefault="00263F21" w:rsidP="00BC3648">
            <w:pPr>
              <w:pStyle w:val="TableText"/>
            </w:pPr>
          </w:p>
          <w:p w14:paraId="06C1C448" w14:textId="77777777" w:rsidR="00263F21" w:rsidRDefault="00263F21" w:rsidP="00BC3648">
            <w:pPr>
              <w:pStyle w:val="TableText"/>
            </w:pPr>
            <w:r w:rsidRPr="00EC7489">
              <w:rPr>
                <w:rFonts w:ascii="Wingdings 3" w:hAnsi="Wingdings 3" w:cs="Wingdings"/>
              </w:rPr>
              <w:t></w:t>
            </w:r>
            <w:r w:rsidRPr="00EC7489">
              <w:rPr>
                <w:rFonts w:ascii="Wingdings 3" w:hAnsi="Wingdings 3" w:cs="Wingdings"/>
              </w:rPr>
              <w:t></w:t>
            </w:r>
            <w:r>
              <w:t xml:space="preserve"> When the user is an Enhanced Technologist or above, VBECS emits an audible alert, warns him, and asks whether he wishes to continue to issue. </w:t>
            </w:r>
            <w:r>
              <w:rPr>
                <w:b/>
              </w:rPr>
              <w:t>No</w:t>
            </w:r>
            <w:r>
              <w:t xml:space="preserve"> clears the screen. </w:t>
            </w:r>
            <w:r>
              <w:rPr>
                <w:b/>
              </w:rPr>
              <w:t>Yes</w:t>
            </w:r>
            <w:r>
              <w:t xml:space="preserve"> requires a comment and captures details for inclusion in an Exception Report (exception type: issued expired unit).</w:t>
            </w:r>
          </w:p>
        </w:tc>
      </w:tr>
      <w:tr w:rsidR="00263F21" w14:paraId="08030156" w14:textId="77777777">
        <w:tc>
          <w:tcPr>
            <w:tcW w:w="780" w:type="dxa"/>
          </w:tcPr>
          <w:p w14:paraId="089953F0" w14:textId="77777777" w:rsidR="00263F21" w:rsidRDefault="00263F21" w:rsidP="00BC3648">
            <w:pPr>
              <w:pStyle w:val="TableText"/>
            </w:pPr>
            <w:r>
              <w:t>5</w:t>
            </w:r>
          </w:p>
        </w:tc>
        <w:tc>
          <w:tcPr>
            <w:tcW w:w="8580" w:type="dxa"/>
          </w:tcPr>
          <w:p w14:paraId="7D35E032" w14:textId="77777777" w:rsidR="00263F21" w:rsidRDefault="00263F21" w:rsidP="00BC3648">
            <w:pPr>
              <w:pStyle w:val="TableText"/>
            </w:pPr>
            <w:r>
              <w:rPr>
                <w:rFonts w:cs="Arial"/>
                <w:vanish/>
              </w:rPr>
              <w:t xml:space="preserve">BR_73.14 </w:t>
            </w:r>
            <w:r>
              <w:t>When the user sele</w:t>
            </w:r>
            <w:r w:rsidR="00A92813">
              <w:t>cts units from the WHOLE BLOOD or RED BLOOD CELLS</w:t>
            </w:r>
            <w:r>
              <w:t xml:space="preserve"> component classes, VBECS determines when the patient has a calculated or a persistent antigen negative requirement. This does not apply when selecting autologous (ISBT 128 units with an autologous donation type). When the selected unit was antigen typed and is positive for the corresponding antigen or is untested for the antigen, VBECS warns the user and requires action based on his security level.</w:t>
            </w:r>
          </w:p>
          <w:p w14:paraId="16E6DF58" w14:textId="77777777" w:rsidR="00263F21" w:rsidRDefault="00263F21" w:rsidP="00BC3648">
            <w:pPr>
              <w:pStyle w:val="TableText"/>
            </w:pPr>
          </w:p>
          <w:p w14:paraId="3212EC24" w14:textId="77777777" w:rsidR="00263F21" w:rsidRDefault="00263F21" w:rsidP="00BC3648">
            <w:pPr>
              <w:pStyle w:val="TableText"/>
            </w:pPr>
            <w:r w:rsidRPr="00EC7489">
              <w:rPr>
                <w:rFonts w:ascii="Wingdings 3" w:hAnsi="Wingdings 3" w:cs="Wingdings"/>
              </w:rPr>
              <w:t></w:t>
            </w:r>
            <w:r w:rsidRPr="00EC7489">
              <w:rPr>
                <w:rFonts w:ascii="Wingdings 3" w:hAnsi="Wingdings 3" w:cs="Wingdings"/>
              </w:rPr>
              <w:t></w:t>
            </w:r>
            <w:r>
              <w:t xml:space="preserve"> When the user is an Enhanced Technologist or below, VBECS emits an audible alert and warns that he does not have the proper security level to issue the unit. There is no override. </w:t>
            </w:r>
          </w:p>
          <w:p w14:paraId="1AF9EB42" w14:textId="77777777" w:rsidR="00263F21" w:rsidRDefault="00263F21" w:rsidP="00BC3648">
            <w:pPr>
              <w:pStyle w:val="TableText"/>
            </w:pPr>
          </w:p>
          <w:p w14:paraId="00C31614" w14:textId="77777777" w:rsidR="00685A5F" w:rsidRDefault="00263F21" w:rsidP="00685A5F">
            <w:pPr>
              <w:pStyle w:val="TableText"/>
              <w:rPr>
                <w:szCs w:val="18"/>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When the user is a Lead Technologist or above, VBECS emits an audible alert, warns him, and asks whether he wishes to continue to issue. </w:t>
            </w:r>
            <w:r>
              <w:rPr>
                <w:b/>
              </w:rPr>
              <w:t>No</w:t>
            </w:r>
            <w:r>
              <w:t xml:space="preserve"> clears the screen. </w:t>
            </w:r>
            <w:r>
              <w:rPr>
                <w:b/>
              </w:rPr>
              <w:t>Yes</w:t>
            </w:r>
            <w:r>
              <w:t xml:space="preserve"> requires a comment and captures details for inclusion in an Exception Report entry (exception type: antigen-positive/untested units issued).</w:t>
            </w:r>
            <w:r w:rsidR="00685A5F" w:rsidRPr="00F14A86">
              <w:rPr>
                <w:szCs w:val="18"/>
              </w:rPr>
              <w:t xml:space="preserve"> Additional details to be included in the exception report when the u</w:t>
            </w:r>
            <w:r w:rsidR="00685A5F">
              <w:rPr>
                <w:szCs w:val="18"/>
              </w:rPr>
              <w:t>ser overrides:</w:t>
            </w:r>
          </w:p>
          <w:p w14:paraId="57329B3C" w14:textId="77777777" w:rsidR="00685A5F" w:rsidRPr="00FB5425" w:rsidRDefault="00685A5F" w:rsidP="000409B1">
            <w:pPr>
              <w:pStyle w:val="TableText"/>
              <w:numPr>
                <w:ilvl w:val="0"/>
                <w:numId w:val="67"/>
              </w:numPr>
              <w:tabs>
                <w:tab w:val="clear" w:pos="720"/>
                <w:tab w:val="num" w:pos="252"/>
              </w:tabs>
              <w:ind w:left="252" w:hanging="198"/>
              <w:rPr>
                <w:szCs w:val="18"/>
              </w:rPr>
            </w:pPr>
            <w:r w:rsidRPr="00FB5425">
              <w:rPr>
                <w:szCs w:val="18"/>
              </w:rPr>
              <w:t>Transaction Type: Antigen-positive/untested units issued</w:t>
            </w:r>
          </w:p>
          <w:p w14:paraId="4B7A3FD0" w14:textId="77777777" w:rsidR="00685A5F" w:rsidRPr="008A3C45" w:rsidRDefault="00685A5F" w:rsidP="000409B1">
            <w:pPr>
              <w:pStyle w:val="TableText"/>
              <w:numPr>
                <w:ilvl w:val="0"/>
                <w:numId w:val="67"/>
              </w:numPr>
              <w:tabs>
                <w:tab w:val="clear" w:pos="720"/>
                <w:tab w:val="num" w:pos="252"/>
              </w:tabs>
              <w:ind w:left="252" w:hanging="198"/>
              <w:rPr>
                <w:szCs w:val="18"/>
              </w:rPr>
            </w:pPr>
            <w:r w:rsidRPr="008A3C45">
              <w:rPr>
                <w:szCs w:val="18"/>
              </w:rPr>
              <w:t>Patient Antibody(ies) Identified</w:t>
            </w:r>
          </w:p>
          <w:p w14:paraId="2BEEECE6" w14:textId="77777777" w:rsidR="00263F21" w:rsidRDefault="00685A5F" w:rsidP="000409B1">
            <w:pPr>
              <w:pStyle w:val="TableText"/>
              <w:numPr>
                <w:ilvl w:val="0"/>
                <w:numId w:val="67"/>
              </w:numPr>
              <w:tabs>
                <w:tab w:val="clear" w:pos="720"/>
                <w:tab w:val="num" w:pos="252"/>
              </w:tabs>
              <w:ind w:left="252" w:hanging="198"/>
            </w:pPr>
            <w:r w:rsidRPr="004A6FB8">
              <w:rPr>
                <w:szCs w:val="18"/>
              </w:rPr>
              <w:t>Unit Antigen Phenotype Result or “untested”</w:t>
            </w:r>
          </w:p>
        </w:tc>
      </w:tr>
      <w:tr w:rsidR="00263F21" w14:paraId="13F3F5EE" w14:textId="77777777">
        <w:tc>
          <w:tcPr>
            <w:tcW w:w="780" w:type="dxa"/>
          </w:tcPr>
          <w:p w14:paraId="7656E22F" w14:textId="77777777" w:rsidR="00263F21" w:rsidRDefault="00263F21" w:rsidP="00BC3648">
            <w:pPr>
              <w:pStyle w:val="TableText"/>
            </w:pPr>
            <w:r>
              <w:t>5</w:t>
            </w:r>
          </w:p>
        </w:tc>
        <w:tc>
          <w:tcPr>
            <w:tcW w:w="8580" w:type="dxa"/>
          </w:tcPr>
          <w:p w14:paraId="7E3009C6" w14:textId="77777777" w:rsidR="00263F21" w:rsidRDefault="00263F21" w:rsidP="00BC3648">
            <w:pPr>
              <w:pStyle w:val="TableText"/>
            </w:pPr>
            <w:r>
              <w:rPr>
                <w:rFonts w:cs="Arial"/>
                <w:vanish/>
              </w:rPr>
              <w:t xml:space="preserve">BR_73.05 </w:t>
            </w:r>
            <w:r>
              <w:t xml:space="preserve">VBECS compares the ABO/Rh of the current specimen to the historic ABO/Rh. When the unit was electronically crossmatched, the current and historic ABO/Rh results must have been recorded in the login user’s division. When there is a discrepancy, there is no previous justification for the discrepancy </w:t>
            </w:r>
            <w:r>
              <w:lastRenderedPageBreak/>
              <w:t xml:space="preserve">on the patient record, as described in Justify ABO/Rh Change, and the unit </w:t>
            </w:r>
            <w:r w:rsidR="00A10483">
              <w:t>does not</w:t>
            </w:r>
            <w:r>
              <w:t xml:space="preserve"> qualify for emergency issue, VBECS warns the user and instructs him to resolve the discrepancy before issuing the unit. There is no override. VBECS exits the option, clears the screen, and returns the user to the point of entry. Emergency issue may continue for qualifying units.</w:t>
            </w:r>
          </w:p>
        </w:tc>
      </w:tr>
      <w:tr w:rsidR="00263F21" w14:paraId="3ED1815C" w14:textId="77777777">
        <w:tc>
          <w:tcPr>
            <w:tcW w:w="780" w:type="dxa"/>
          </w:tcPr>
          <w:p w14:paraId="112E6ED3" w14:textId="77777777" w:rsidR="00263F21" w:rsidRDefault="00263F21" w:rsidP="00BC3648">
            <w:pPr>
              <w:pStyle w:val="TableText"/>
            </w:pPr>
            <w:r>
              <w:lastRenderedPageBreak/>
              <w:t>5</w:t>
            </w:r>
          </w:p>
        </w:tc>
        <w:tc>
          <w:tcPr>
            <w:tcW w:w="8580" w:type="dxa"/>
          </w:tcPr>
          <w:p w14:paraId="3D5E5371" w14:textId="77777777" w:rsidR="00263F21" w:rsidRDefault="00263F21" w:rsidP="00BC3648">
            <w:pPr>
              <w:pStyle w:val="TableText"/>
            </w:pPr>
            <w:r w:rsidRPr="00ED5745">
              <w:rPr>
                <w:rFonts w:cs="Arial"/>
                <w:vanish/>
                <w:color w:val="0000FF"/>
              </w:rPr>
              <w:t>BR_3.05</w:t>
            </w:r>
            <w:r>
              <w:rPr>
                <w:rFonts w:cs="Arial"/>
                <w:vanish/>
              </w:rPr>
              <w:t xml:space="preserve"> </w:t>
            </w:r>
            <w:r>
              <w:t xml:space="preserve">When no valid ABO exists for the patient, the user may select components, including autologous units: </w:t>
            </w:r>
          </w:p>
          <w:p w14:paraId="66B3F821" w14:textId="77777777" w:rsidR="00263F21" w:rsidRDefault="00263F21" w:rsidP="00BC3648">
            <w:pPr>
              <w:pStyle w:val="TableTextBullet"/>
              <w:tabs>
                <w:tab w:val="clear" w:pos="288"/>
              </w:tabs>
            </w:pPr>
            <w:r>
              <w:t xml:space="preserve">For RBC or WB order: </w:t>
            </w:r>
            <w:r w:rsidR="00093181">
              <w:t>group</w:t>
            </w:r>
            <w:r w:rsidR="000014DD">
              <w:t xml:space="preserve"> </w:t>
            </w:r>
            <w:r>
              <w:t>O, Rh positive or O Rh negative RBC. WHOLE BLOOD is not selectable.</w:t>
            </w:r>
          </w:p>
          <w:p w14:paraId="21430147" w14:textId="77777777" w:rsidR="00263F21" w:rsidRDefault="00263F21" w:rsidP="00BC3648">
            <w:pPr>
              <w:pStyle w:val="TableTextBullet"/>
              <w:tabs>
                <w:tab w:val="clear" w:pos="288"/>
              </w:tabs>
            </w:pPr>
            <w:r>
              <w:t>For FFP order only: group AB, Rh positive or Rh negative.</w:t>
            </w:r>
          </w:p>
          <w:p w14:paraId="2294BADD" w14:textId="77777777" w:rsidR="00263F21" w:rsidRDefault="00263F21" w:rsidP="00BC3648">
            <w:pPr>
              <w:pStyle w:val="TableTextBullet"/>
              <w:tabs>
                <w:tab w:val="clear" w:pos="288"/>
              </w:tabs>
            </w:pPr>
            <w:r>
              <w:t>For PLT, CRYO, or OTHER order, all available units are selectable.</w:t>
            </w:r>
          </w:p>
        </w:tc>
      </w:tr>
      <w:tr w:rsidR="00113B6A" w14:paraId="1AAD4681" w14:textId="77777777">
        <w:tc>
          <w:tcPr>
            <w:tcW w:w="780" w:type="dxa"/>
          </w:tcPr>
          <w:p w14:paraId="065C6E6F" w14:textId="77777777" w:rsidR="00113B6A" w:rsidRDefault="00173BDA" w:rsidP="00303708">
            <w:pPr>
              <w:pStyle w:val="TableText"/>
            </w:pPr>
            <w:r>
              <w:t>5</w:t>
            </w:r>
          </w:p>
        </w:tc>
        <w:tc>
          <w:tcPr>
            <w:tcW w:w="8580" w:type="dxa"/>
          </w:tcPr>
          <w:p w14:paraId="23053ACB" w14:textId="77777777" w:rsidR="00113B6A" w:rsidRDefault="00113B6A" w:rsidP="00303708">
            <w:pPr>
              <w:pStyle w:val="TableText"/>
            </w:pPr>
            <w:r w:rsidRPr="00DC6BEF">
              <w:rPr>
                <w:rFonts w:cs="Arial"/>
                <w:vanish/>
                <w:color w:val="0000FF"/>
              </w:rPr>
              <w:t>BR_3.12</w:t>
            </w:r>
            <w:r>
              <w:rPr>
                <w:rFonts w:cs="Arial"/>
                <w:vanish/>
              </w:rPr>
              <w:t xml:space="preserve"> </w:t>
            </w:r>
            <w:r>
              <w:rPr>
                <w:szCs w:val="22"/>
              </w:rPr>
              <w:t></w:t>
            </w:r>
            <w:r>
              <w:t>When the user selects blood components from the frozen product types for a patient, VBECS emits an audible alert and warns that the selected blood unit must be thawed and may require addition</w:t>
            </w:r>
            <w:r w:rsidR="00CD635A">
              <w:t>al processing prior to issue.</w:t>
            </w:r>
            <w:r>
              <w:t xml:space="preserve"> VBECS updates the blood unit status to “assigned” and the unit is no longer available for issue.</w:t>
            </w:r>
          </w:p>
        </w:tc>
      </w:tr>
      <w:tr w:rsidR="00113B6A" w14:paraId="7CD02ACF" w14:textId="77777777">
        <w:tc>
          <w:tcPr>
            <w:tcW w:w="780" w:type="dxa"/>
            <w:tcBorders>
              <w:top w:val="single" w:sz="4" w:space="0" w:color="auto"/>
              <w:left w:val="single" w:sz="4" w:space="0" w:color="auto"/>
              <w:bottom w:val="single" w:sz="4" w:space="0" w:color="auto"/>
              <w:right w:val="single" w:sz="4" w:space="0" w:color="auto"/>
            </w:tcBorders>
          </w:tcPr>
          <w:p w14:paraId="047684A7" w14:textId="77777777" w:rsidR="00113B6A" w:rsidRDefault="00173BDA" w:rsidP="00303708">
            <w:pPr>
              <w:pStyle w:val="TableText"/>
            </w:pPr>
            <w:r>
              <w:t>5</w:t>
            </w:r>
          </w:p>
        </w:tc>
        <w:tc>
          <w:tcPr>
            <w:tcW w:w="8580" w:type="dxa"/>
            <w:tcBorders>
              <w:top w:val="single" w:sz="4" w:space="0" w:color="auto"/>
              <w:left w:val="single" w:sz="4" w:space="0" w:color="auto"/>
              <w:bottom w:val="single" w:sz="4" w:space="0" w:color="auto"/>
              <w:right w:val="single" w:sz="4" w:space="0" w:color="auto"/>
            </w:tcBorders>
          </w:tcPr>
          <w:p w14:paraId="51CBC093" w14:textId="77777777" w:rsidR="00113B6A" w:rsidRDefault="00113B6A" w:rsidP="00173BDA">
            <w:pPr>
              <w:pStyle w:val="TableText"/>
            </w:pPr>
            <w:r>
              <w:rPr>
                <w:rFonts w:cs="Arial"/>
                <w:vanish/>
              </w:rPr>
              <w:t xml:space="preserve">BR_43.04 </w:t>
            </w:r>
            <w:r>
              <w:t xml:space="preserve">When a Caution Tag or BTRF is printed for an emergency-issued unit, “Emergency Issue” is included on the form. </w:t>
            </w:r>
          </w:p>
          <w:p w14:paraId="10A7B34D" w14:textId="77777777" w:rsidR="00113B6A" w:rsidRDefault="00113B6A" w:rsidP="00173BDA">
            <w:pPr>
              <w:pStyle w:val="TableText"/>
            </w:pPr>
          </w:p>
          <w:p w14:paraId="0C965A08" w14:textId="77777777" w:rsidR="00113B6A" w:rsidRDefault="00113B6A" w:rsidP="00173BDA">
            <w:pPr>
              <w:pStyle w:val="TableText"/>
            </w:pPr>
            <w:r>
              <w:t xml:space="preserve">The recipient ABO/Rh prints as “Unk” or “Unknown” during emergency issue when no current specimen results are on file; VBECS may </w:t>
            </w:r>
            <w:r>
              <w:rPr>
                <w:iCs/>
              </w:rPr>
              <w:t>not</w:t>
            </w:r>
            <w:r>
              <w:t xml:space="preserve"> use a historic record blood type (from any source) for the typing printed on the tag/form.</w:t>
            </w:r>
          </w:p>
          <w:p w14:paraId="7F089C33" w14:textId="77777777" w:rsidR="00113B6A" w:rsidRDefault="00113B6A" w:rsidP="00173BDA">
            <w:pPr>
              <w:pStyle w:val="Table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880"/>
            </w:tblGrid>
            <w:tr w:rsidR="00113B6A" w14:paraId="61619FB9" w14:textId="77777777">
              <w:trPr>
                <w:tblHeader/>
              </w:trPr>
              <w:tc>
                <w:tcPr>
                  <w:tcW w:w="2880" w:type="dxa"/>
                  <w:shd w:val="clear" w:color="auto" w:fill="B3B3B3"/>
                  <w:vAlign w:val="bottom"/>
                </w:tcPr>
                <w:p w14:paraId="085D52AE" w14:textId="77777777" w:rsidR="00113B6A" w:rsidRDefault="00113B6A" w:rsidP="00173BDA">
                  <w:pPr>
                    <w:pStyle w:val="TableText"/>
                    <w:rPr>
                      <w:b/>
                    </w:rPr>
                  </w:pPr>
                  <w:r>
                    <w:rPr>
                      <w:b/>
                    </w:rPr>
                    <w:t>Compatibility Interpretation</w:t>
                  </w:r>
                </w:p>
              </w:tc>
              <w:tc>
                <w:tcPr>
                  <w:tcW w:w="2880" w:type="dxa"/>
                  <w:shd w:val="clear" w:color="auto" w:fill="B3B3B3"/>
                  <w:vAlign w:val="bottom"/>
                </w:tcPr>
                <w:p w14:paraId="7F39A450" w14:textId="77777777" w:rsidR="00113B6A" w:rsidRDefault="00113B6A" w:rsidP="00173BDA">
                  <w:pPr>
                    <w:pStyle w:val="TableText"/>
                    <w:rPr>
                      <w:b/>
                    </w:rPr>
                  </w:pPr>
                  <w:r>
                    <w:rPr>
                      <w:b/>
                    </w:rPr>
                    <w:t>Text on BTRF</w:t>
                  </w:r>
                </w:p>
              </w:tc>
            </w:tr>
            <w:tr w:rsidR="00113B6A" w14:paraId="5E26A936" w14:textId="77777777">
              <w:tc>
                <w:tcPr>
                  <w:tcW w:w="2880" w:type="dxa"/>
                  <w:vAlign w:val="bottom"/>
                </w:tcPr>
                <w:p w14:paraId="79397669" w14:textId="77777777" w:rsidR="00113B6A" w:rsidRDefault="00113B6A" w:rsidP="00173BDA">
                  <w:pPr>
                    <w:pStyle w:val="TableText"/>
                  </w:pPr>
                  <w:r>
                    <w:t>Crossmatch</w:t>
                  </w:r>
                </w:p>
              </w:tc>
              <w:tc>
                <w:tcPr>
                  <w:tcW w:w="2880" w:type="dxa"/>
                  <w:vAlign w:val="bottom"/>
                </w:tcPr>
                <w:p w14:paraId="2C80A42A" w14:textId="77777777" w:rsidR="00113B6A" w:rsidRDefault="00113B6A" w:rsidP="00173BDA">
                  <w:pPr>
                    <w:pStyle w:val="TableText"/>
                  </w:pPr>
                  <w:r>
                    <w:t>TESTING INCOMPLETE</w:t>
                  </w:r>
                </w:p>
              </w:tc>
            </w:tr>
            <w:tr w:rsidR="00113B6A" w14:paraId="6DF2F619" w14:textId="77777777">
              <w:tc>
                <w:tcPr>
                  <w:tcW w:w="2880" w:type="dxa"/>
                  <w:vAlign w:val="bottom"/>
                </w:tcPr>
                <w:p w14:paraId="0C36612D" w14:textId="77777777" w:rsidR="00113B6A" w:rsidRDefault="00113B6A" w:rsidP="00173BDA">
                  <w:pPr>
                    <w:pStyle w:val="TableText"/>
                  </w:pPr>
                  <w:r>
                    <w:t>Crossmatch Not Required</w:t>
                  </w:r>
                </w:p>
              </w:tc>
              <w:tc>
                <w:tcPr>
                  <w:tcW w:w="2880" w:type="dxa"/>
                  <w:vAlign w:val="bottom"/>
                </w:tcPr>
                <w:p w14:paraId="1D3AA5AF" w14:textId="77777777" w:rsidR="00113B6A" w:rsidRDefault="00113B6A" w:rsidP="00173BDA">
                  <w:pPr>
                    <w:pStyle w:val="TableText"/>
                  </w:pPr>
                  <w:r>
                    <w:t>Not Required</w:t>
                  </w:r>
                </w:p>
              </w:tc>
            </w:tr>
          </w:tbl>
          <w:p w14:paraId="1CD820E2" w14:textId="77777777" w:rsidR="00113B6A" w:rsidRDefault="00113B6A" w:rsidP="00173BDA">
            <w:pPr>
              <w:pStyle w:val="TableText"/>
            </w:pPr>
          </w:p>
          <w:p w14:paraId="2A72450F" w14:textId="77777777" w:rsidR="00113B6A" w:rsidRPr="00113B6A" w:rsidRDefault="00113B6A" w:rsidP="00303708">
            <w:pPr>
              <w:pStyle w:val="TableText"/>
              <w:rPr>
                <w:rFonts w:cs="Arial"/>
                <w:vanish/>
                <w:color w:val="0000FF"/>
              </w:rPr>
            </w:pPr>
            <w:r>
              <w:t>VBECS prints “Emergency Issue” in the TR section of the form.</w:t>
            </w:r>
          </w:p>
        </w:tc>
      </w:tr>
      <w:tr w:rsidR="00173BDA" w14:paraId="4F85980F" w14:textId="77777777">
        <w:tc>
          <w:tcPr>
            <w:tcW w:w="780" w:type="dxa"/>
            <w:tcBorders>
              <w:top w:val="single" w:sz="4" w:space="0" w:color="auto"/>
              <w:left w:val="single" w:sz="4" w:space="0" w:color="auto"/>
              <w:bottom w:val="single" w:sz="4" w:space="0" w:color="auto"/>
              <w:right w:val="single" w:sz="4" w:space="0" w:color="auto"/>
            </w:tcBorders>
          </w:tcPr>
          <w:p w14:paraId="590749A6" w14:textId="77777777" w:rsidR="00173BDA" w:rsidRDefault="00173BDA" w:rsidP="00303708">
            <w:pPr>
              <w:pStyle w:val="TableText"/>
            </w:pPr>
            <w:r>
              <w:t>5</w:t>
            </w:r>
          </w:p>
        </w:tc>
        <w:tc>
          <w:tcPr>
            <w:tcW w:w="8580" w:type="dxa"/>
            <w:tcBorders>
              <w:top w:val="single" w:sz="4" w:space="0" w:color="auto"/>
              <w:left w:val="single" w:sz="4" w:space="0" w:color="auto"/>
              <w:bottom w:val="single" w:sz="4" w:space="0" w:color="auto"/>
              <w:right w:val="single" w:sz="4" w:space="0" w:color="auto"/>
            </w:tcBorders>
          </w:tcPr>
          <w:p w14:paraId="07A1484A" w14:textId="77777777" w:rsidR="00173BDA" w:rsidRDefault="00173BDA" w:rsidP="00173BDA">
            <w:pPr>
              <w:pStyle w:val="TableText"/>
            </w:pPr>
            <w:r w:rsidRPr="00C82886">
              <w:rPr>
                <w:vanish/>
                <w:szCs w:val="18"/>
              </w:rPr>
              <w:t xml:space="preserve">BR_44.05 </w:t>
            </w:r>
            <w:r>
              <w:t>When blood products are emergency issued (</w:t>
            </w:r>
            <w:r w:rsidR="00C82886">
              <w:t xml:space="preserve">units has an </w:t>
            </w:r>
            <w:r w:rsidR="00CF2D0E">
              <w:t>emergency issue” order indicator</w:t>
            </w:r>
            <w:r w:rsidR="00C82886">
              <w:t xml:space="preserve">, </w:t>
            </w:r>
            <w:r>
              <w:t>or the testing is incomplete or inconclusive on the current specimen), the remarks section of the Blood Transfusion Record Form</w:t>
            </w:r>
            <w:r w:rsidR="00C82886">
              <w:t xml:space="preserve"> includes</w:t>
            </w:r>
            <w:r>
              <w:t xml:space="preserve"> “This unit is issued for transfusion BEFORE the completion of required compatibility testing. The blood bank staff will continue to test the compatibility of the unit using the current patient specimen. If you are alerted to a unit’s incompatibility by the blood bank, stop the transfusion immediately.”</w:t>
            </w:r>
          </w:p>
          <w:p w14:paraId="515EF056" w14:textId="77777777" w:rsidR="00173BDA" w:rsidRDefault="00173BDA" w:rsidP="00C82886">
            <w:pPr>
              <w:pStyle w:val="TableText"/>
            </w:pPr>
          </w:p>
          <w:p w14:paraId="4236E896" w14:textId="77777777" w:rsidR="00173BDA" w:rsidRDefault="00C82886" w:rsidP="00C82886">
            <w:pPr>
              <w:pStyle w:val="TableText"/>
              <w:rPr>
                <w:rFonts w:cs="Arial"/>
                <w:vanish/>
              </w:rPr>
            </w:pPr>
            <w:r>
              <w:t>When</w:t>
            </w:r>
            <w:r w:rsidR="00173BDA">
              <w:t xml:space="preserve"> “***” prints for the patient ABO/Rh and crossmatch, </w:t>
            </w:r>
            <w:r w:rsidR="002036D0">
              <w:t>the form includes</w:t>
            </w:r>
            <w:r w:rsidR="00173BDA">
              <w:t xml:space="preserve"> “Specimen testing incomplete at time of issue</w:t>
            </w:r>
            <w:r>
              <w:t>.</w:t>
            </w:r>
            <w:r w:rsidR="00173BDA">
              <w:t>”</w:t>
            </w:r>
          </w:p>
        </w:tc>
      </w:tr>
      <w:tr w:rsidR="00173BDA" w14:paraId="5FFCD5B3" w14:textId="77777777">
        <w:tc>
          <w:tcPr>
            <w:tcW w:w="780" w:type="dxa"/>
            <w:tcBorders>
              <w:top w:val="single" w:sz="4" w:space="0" w:color="auto"/>
              <w:left w:val="single" w:sz="4" w:space="0" w:color="auto"/>
              <w:bottom w:val="single" w:sz="4" w:space="0" w:color="auto"/>
              <w:right w:val="single" w:sz="4" w:space="0" w:color="auto"/>
            </w:tcBorders>
          </w:tcPr>
          <w:p w14:paraId="532761EC" w14:textId="77777777" w:rsidR="00173BDA" w:rsidRDefault="00173BDA" w:rsidP="00303708">
            <w:pPr>
              <w:pStyle w:val="TableText"/>
            </w:pPr>
            <w:r>
              <w:t>5</w:t>
            </w:r>
          </w:p>
        </w:tc>
        <w:tc>
          <w:tcPr>
            <w:tcW w:w="8580" w:type="dxa"/>
            <w:tcBorders>
              <w:top w:val="single" w:sz="4" w:space="0" w:color="auto"/>
              <w:left w:val="single" w:sz="4" w:space="0" w:color="auto"/>
              <w:bottom w:val="single" w:sz="4" w:space="0" w:color="auto"/>
              <w:right w:val="single" w:sz="4" w:space="0" w:color="auto"/>
            </w:tcBorders>
          </w:tcPr>
          <w:p w14:paraId="28E478D9" w14:textId="77777777" w:rsidR="00173BDA" w:rsidRPr="00173BDA" w:rsidRDefault="00173BDA" w:rsidP="00003BE9">
            <w:pPr>
              <w:pStyle w:val="TableText"/>
            </w:pPr>
            <w:r w:rsidRPr="00CF2D0E">
              <w:rPr>
                <w:vanish/>
                <w:szCs w:val="18"/>
              </w:rPr>
              <w:t xml:space="preserve">BR_56.29 </w:t>
            </w:r>
            <w:r w:rsidRPr="00173BDA">
              <w:t xml:space="preserve">When a unit was issued and a conflicting test result found that indicates a potential unit incompatibility with the patient, such as a patient ABO/Rh discrepancy, the unit XM is incompatible with the patient, the patient ABS is positive, the patient DAT is positive, or the unit is antigen positive where antigen negative is required on the tested specimen, VBECS warns the user and instructs him to notify the physician of this potential problem immediately, according to hospital policy. VBECS warns the user during the execution of the various tests related to the compatibility of a blood unit and captures details for inclusion in an Exception Report (exception type: unit issued, testing problem). </w:t>
            </w:r>
          </w:p>
        </w:tc>
      </w:tr>
      <w:tr w:rsidR="00173BDA" w14:paraId="0B6E93BF" w14:textId="77777777">
        <w:tc>
          <w:tcPr>
            <w:tcW w:w="780" w:type="dxa"/>
            <w:tcBorders>
              <w:top w:val="single" w:sz="4" w:space="0" w:color="auto"/>
              <w:left w:val="single" w:sz="4" w:space="0" w:color="auto"/>
              <w:bottom w:val="single" w:sz="4" w:space="0" w:color="auto"/>
              <w:right w:val="single" w:sz="4" w:space="0" w:color="auto"/>
            </w:tcBorders>
          </w:tcPr>
          <w:p w14:paraId="019F2F10" w14:textId="77777777" w:rsidR="00173BDA" w:rsidRDefault="00173BDA" w:rsidP="00303708">
            <w:pPr>
              <w:pStyle w:val="TableText"/>
            </w:pPr>
            <w:r>
              <w:t>7</w:t>
            </w:r>
          </w:p>
        </w:tc>
        <w:tc>
          <w:tcPr>
            <w:tcW w:w="8580" w:type="dxa"/>
            <w:tcBorders>
              <w:top w:val="single" w:sz="4" w:space="0" w:color="auto"/>
              <w:left w:val="single" w:sz="4" w:space="0" w:color="auto"/>
              <w:bottom w:val="single" w:sz="4" w:space="0" w:color="auto"/>
              <w:right w:val="single" w:sz="4" w:space="0" w:color="auto"/>
            </w:tcBorders>
          </w:tcPr>
          <w:p w14:paraId="52DD3607" w14:textId="77777777" w:rsidR="00173BDA" w:rsidRDefault="00173BDA" w:rsidP="00303708">
            <w:pPr>
              <w:pStyle w:val="TableText"/>
            </w:pPr>
            <w:r w:rsidRPr="00651291">
              <w:rPr>
                <w:vanish/>
                <w:szCs w:val="18"/>
              </w:rPr>
              <w:t xml:space="preserve">BR_73.33 </w:t>
            </w:r>
            <w:r>
              <w:t xml:space="preserve">When the division is “full service” and a blood unit is ABO incompatible at issue based on the system interpretation of the current patient specimen’s ABO test result, VBECS emits an audible alert and warns that the unit is not ABO compatible with the patient’s current specimen results and asks whether he wishes to continue. </w:t>
            </w:r>
            <w:r w:rsidRPr="00173BDA">
              <w:t>No</w:t>
            </w:r>
            <w:r>
              <w:t xml:space="preserve"> clears the screen and allows the user to select another unit. </w:t>
            </w:r>
            <w:r w:rsidRPr="00173BDA">
              <w:t>Yes</w:t>
            </w:r>
            <w:r>
              <w:t xml:space="preserve"> requires a comment and </w:t>
            </w:r>
            <w:r w:rsidRPr="00014921">
              <w:t xml:space="preserve">captures details for inclusion in an Exception Report (exception type: </w:t>
            </w:r>
            <w:r>
              <w:t>ABO discrepant unit issue</w:t>
            </w:r>
            <w:r w:rsidRPr="00014921">
              <w:t>).</w:t>
            </w:r>
          </w:p>
        </w:tc>
      </w:tr>
    </w:tbl>
    <w:p w14:paraId="2C26C63A" w14:textId="77777777" w:rsidR="007A4F14" w:rsidRDefault="007A4F14">
      <w:pPr>
        <w:pStyle w:val="Heading2"/>
      </w:pPr>
    </w:p>
    <w:p w14:paraId="668F6F9E" w14:textId="77777777" w:rsidR="002A21AE" w:rsidRDefault="007A4F14">
      <w:pPr>
        <w:pStyle w:val="Heading2"/>
      </w:pPr>
      <w:r>
        <w:br w:type="page"/>
      </w:r>
      <w:bookmarkStart w:id="418" w:name="_Toc4588794"/>
      <w:r w:rsidR="002A21AE">
        <w:lastRenderedPageBreak/>
        <w:t>Return Issued Units To Blood Bank</w:t>
      </w:r>
      <w:bookmarkEnd w:id="418"/>
      <w:r w:rsidR="002A21AE" w:rsidRPr="007716F7">
        <w:rPr>
          <w:vanish/>
        </w:rPr>
        <w:fldChar w:fldCharType="begin"/>
      </w:r>
      <w:r w:rsidR="002A21AE" w:rsidRPr="007716F7">
        <w:rPr>
          <w:vanish/>
        </w:rPr>
        <w:instrText xml:space="preserve"> XE </w:instrText>
      </w:r>
      <w:r w:rsidR="00FA7E65" w:rsidRPr="007716F7">
        <w:rPr>
          <w:vanish/>
        </w:rPr>
        <w:instrText>“</w:instrText>
      </w:r>
      <w:r w:rsidR="002A21AE" w:rsidRPr="007716F7">
        <w:rPr>
          <w:vanish/>
        </w:rPr>
        <w:instrText>Return Issued Units To Blood Bank</w:instrText>
      </w:r>
      <w:r w:rsidR="00FA7E65" w:rsidRPr="007716F7">
        <w:rPr>
          <w:vanish/>
        </w:rPr>
        <w:instrText>”</w:instrText>
      </w:r>
      <w:r w:rsidR="002A21AE" w:rsidRPr="007716F7">
        <w:rPr>
          <w:vanish/>
        </w:rPr>
        <w:instrText xml:space="preserve"> </w:instrText>
      </w:r>
      <w:r w:rsidR="002A21AE" w:rsidRPr="007716F7">
        <w:rPr>
          <w:vanish/>
        </w:rPr>
        <w:fldChar w:fldCharType="end"/>
      </w:r>
      <w:r w:rsidR="002A21AE" w:rsidRPr="007716F7">
        <w:rPr>
          <w:vanish/>
        </w:rPr>
        <w:t xml:space="preserve"> UC_59</w:t>
      </w:r>
    </w:p>
    <w:p w14:paraId="27B9E45B" w14:textId="77777777" w:rsidR="002A21AE" w:rsidRDefault="00783596" w:rsidP="00FA7E65">
      <w:pPr>
        <w:pStyle w:val="BodyText"/>
      </w:pPr>
      <w:r>
        <w:t xml:space="preserve">An issued </w:t>
      </w:r>
      <w:r w:rsidR="00A30DD1">
        <w:t xml:space="preserve">unit </w:t>
      </w:r>
      <w:r>
        <w:t>was returned to the blood bank in satisfactory condition after issue to a valid hospital location.</w:t>
      </w:r>
    </w:p>
    <w:p w14:paraId="217A3660" w14:textId="77777777" w:rsidR="002A21AE" w:rsidRDefault="002A21AE">
      <w:pPr>
        <w:pStyle w:val="Heading4"/>
      </w:pPr>
      <w:r>
        <w:t>Assumptions</w:t>
      </w:r>
      <w:r>
        <w:rPr>
          <w:b w:val="0"/>
        </w:rPr>
        <w:t xml:space="preserve"> </w:t>
      </w:r>
    </w:p>
    <w:p w14:paraId="6884C701" w14:textId="77777777" w:rsidR="002A21AE" w:rsidRDefault="002A21AE">
      <w:pPr>
        <w:pStyle w:val="ListBullet"/>
      </w:pPr>
      <w:r>
        <w:t>The user is logged into the division that contains the unit.</w:t>
      </w:r>
    </w:p>
    <w:p w14:paraId="48D3722A" w14:textId="77777777" w:rsidR="002A21AE" w:rsidRDefault="002A21AE">
      <w:pPr>
        <w:pStyle w:val="ListBullet"/>
      </w:pPr>
      <w:r>
        <w:t>The blood unit is in the “issued” status.</w:t>
      </w:r>
    </w:p>
    <w:p w14:paraId="72CF984F" w14:textId="77777777" w:rsidR="002A21AE" w:rsidRDefault="002A21AE">
      <w:pPr>
        <w:pStyle w:val="ListBullet"/>
      </w:pPr>
      <w:r>
        <w:t xml:space="preserve">The connection to </w:t>
      </w:r>
      <w:r w:rsidR="00CA0045" w:rsidRPr="00CA0045">
        <w:rPr>
          <w:bCs/>
        </w:rPr>
        <w:t>VistA</w:t>
      </w:r>
      <w:r>
        <w:t xml:space="preserve"> is active.</w:t>
      </w:r>
    </w:p>
    <w:p w14:paraId="211313D9" w14:textId="77777777" w:rsidR="002A21AE" w:rsidRDefault="002A21AE">
      <w:pPr>
        <w:pStyle w:val="Heading4"/>
      </w:pPr>
      <w:r>
        <w:t xml:space="preserve">Outcome </w:t>
      </w:r>
    </w:p>
    <w:p w14:paraId="73ED3D20" w14:textId="77777777" w:rsidR="002A21AE" w:rsidRDefault="002A21AE">
      <w:pPr>
        <w:pStyle w:val="ListBullet"/>
      </w:pPr>
      <w:r>
        <w:t xml:space="preserve">The unit is returned to a hospital location of a blood bank. </w:t>
      </w:r>
    </w:p>
    <w:p w14:paraId="6F4EF7E6" w14:textId="77777777" w:rsidR="002A21AE" w:rsidRDefault="002A21AE">
      <w:pPr>
        <w:pStyle w:val="ListBullet"/>
      </w:pPr>
      <w:r>
        <w:t>The unit retains its patient assignment at the time of issue when returned in satisfactory condition.</w:t>
      </w:r>
    </w:p>
    <w:p w14:paraId="43891563" w14:textId="77777777" w:rsidR="002A21AE" w:rsidRDefault="002A21AE">
      <w:pPr>
        <w:pStyle w:val="ListBullet"/>
      </w:pPr>
      <w:r>
        <w:t>The user may mark the unit “unsatisfactory” and quarantine the unit to generate an Exception Report, if needed per hospital policy.</w:t>
      </w:r>
    </w:p>
    <w:p w14:paraId="7D0640EA" w14:textId="77777777" w:rsidR="002A21AE" w:rsidRDefault="002A21AE">
      <w:pPr>
        <w:pStyle w:val="Heading4"/>
        <w:rPr>
          <w:b w:val="0"/>
        </w:rPr>
      </w:pPr>
      <w:r>
        <w:t>Limitations and Restrictions</w:t>
      </w:r>
      <w:r>
        <w:rPr>
          <w:b w:val="0"/>
        </w:rPr>
        <w:t xml:space="preserve"> </w:t>
      </w:r>
    </w:p>
    <w:p w14:paraId="73F55BEC" w14:textId="77777777" w:rsidR="002A21AE" w:rsidRDefault="002A21AE">
      <w:pPr>
        <w:pStyle w:val="ListBullet"/>
      </w:pPr>
      <w:r>
        <w:t>None</w:t>
      </w:r>
    </w:p>
    <w:p w14:paraId="26D463F2" w14:textId="77777777" w:rsidR="002A21AE" w:rsidRDefault="002A21AE">
      <w:pPr>
        <w:pStyle w:val="Heading4"/>
      </w:pPr>
      <w:r>
        <w:t xml:space="preserve">Additional Information </w:t>
      </w:r>
    </w:p>
    <w:p w14:paraId="3D0B1474" w14:textId="77777777" w:rsidR="002A21AE" w:rsidRDefault="002A21AE">
      <w:pPr>
        <w:pStyle w:val="ListBullet"/>
      </w:pPr>
      <w:r>
        <w:t>None</w:t>
      </w:r>
    </w:p>
    <w:p w14:paraId="6D1C824D" w14:textId="77777777" w:rsidR="002A21AE" w:rsidRDefault="002A21AE">
      <w:pPr>
        <w:pStyle w:val="Heading4"/>
        <w:rPr>
          <w:b w:val="0"/>
        </w:rPr>
      </w:pPr>
      <w:r>
        <w:t>User Roles with Access to This Option</w:t>
      </w:r>
      <w:r>
        <w:rPr>
          <w:b w:val="0"/>
        </w:rPr>
        <w:t xml:space="preserve"> </w:t>
      </w:r>
    </w:p>
    <w:p w14:paraId="79BFADD8" w14:textId="77777777" w:rsidR="002A21AE" w:rsidRDefault="00CF29CE">
      <w:pPr>
        <w:pStyle w:val="Roles"/>
        <w:rPr>
          <w:snapToGrid w:val="0"/>
        </w:rPr>
      </w:pPr>
      <w:r>
        <w:rPr>
          <w:snapToGrid w:val="0"/>
        </w:rPr>
        <w:t>All users</w:t>
      </w:r>
    </w:p>
    <w:p w14:paraId="497D2AA2" w14:textId="77777777" w:rsidR="002A21AE" w:rsidRDefault="003E28C1">
      <w:pPr>
        <w:pStyle w:val="Heading4"/>
      </w:pPr>
      <w:r>
        <w:br w:type="page"/>
      </w:r>
      <w:r w:rsidR="002A21AE">
        <w:lastRenderedPageBreak/>
        <w:t>Return Issued Units To Blood Bank</w:t>
      </w:r>
    </w:p>
    <w:p w14:paraId="61D969BB" w14:textId="77777777" w:rsidR="002A21AE" w:rsidRDefault="00C41CB0" w:rsidP="00FA7E65">
      <w:pPr>
        <w:pStyle w:val="BodyText"/>
      </w:pPr>
      <w:r>
        <w:t xml:space="preserve">An issued </w:t>
      </w:r>
      <w:r w:rsidR="00932948">
        <w:t xml:space="preserve">unit </w:t>
      </w:r>
      <w:r w:rsidR="002A21AE">
        <w:t xml:space="preserve">was returned to the blood bank </w:t>
      </w:r>
      <w:r>
        <w:t xml:space="preserve">in satisfactory condition </w:t>
      </w:r>
      <w:r w:rsidR="002A21AE">
        <w:t xml:space="preserve">after issue to a valid hospital location. The user </w:t>
      </w:r>
      <w:r>
        <w:t xml:space="preserve">updates </w:t>
      </w:r>
      <w:r w:rsidR="008E55B7">
        <w:t xml:space="preserve">VBECS </w:t>
      </w:r>
      <w:r>
        <w:t>to reflect the change in location</w:t>
      </w:r>
      <w:r w:rsidR="002A21AE">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E6EE431" w14:textId="77777777">
        <w:trPr>
          <w:cantSplit/>
          <w:tblHeader/>
        </w:trPr>
        <w:tc>
          <w:tcPr>
            <w:tcW w:w="3240" w:type="dxa"/>
            <w:shd w:val="pct30" w:color="auto" w:fill="FFFFFF"/>
            <w:vAlign w:val="bottom"/>
          </w:tcPr>
          <w:p w14:paraId="6CBA25D0" w14:textId="77777777" w:rsidR="002A21AE" w:rsidRDefault="002A21AE">
            <w:pPr>
              <w:pStyle w:val="TableText"/>
              <w:rPr>
                <w:b/>
              </w:rPr>
            </w:pPr>
            <w:r>
              <w:rPr>
                <w:b/>
              </w:rPr>
              <w:t>User Action</w:t>
            </w:r>
          </w:p>
        </w:tc>
        <w:tc>
          <w:tcPr>
            <w:tcW w:w="6120" w:type="dxa"/>
            <w:shd w:val="pct30" w:color="auto" w:fill="FFFFFF"/>
            <w:vAlign w:val="bottom"/>
          </w:tcPr>
          <w:p w14:paraId="3C499892" w14:textId="77777777" w:rsidR="002A21AE" w:rsidRDefault="002A21AE">
            <w:pPr>
              <w:pStyle w:val="TableText"/>
              <w:rPr>
                <w:b/>
              </w:rPr>
            </w:pPr>
            <w:r>
              <w:rPr>
                <w:b/>
              </w:rPr>
              <w:t>VBECS</w:t>
            </w:r>
          </w:p>
        </w:tc>
      </w:tr>
      <w:tr w:rsidR="002A21AE" w14:paraId="127657F8" w14:textId="77777777">
        <w:tc>
          <w:tcPr>
            <w:tcW w:w="3240" w:type="dxa"/>
          </w:tcPr>
          <w:p w14:paraId="2F350CC2" w14:textId="77777777" w:rsidR="002A21AE" w:rsidRDefault="002A21AE">
            <w:pPr>
              <w:pStyle w:val="TableTextNumbers"/>
            </w:pPr>
            <w:r>
              <w:t xml:space="preserve">Select </w:t>
            </w:r>
            <w:r>
              <w:rPr>
                <w:b/>
              </w:rPr>
              <w:t>Blood Units</w:t>
            </w:r>
            <w:r>
              <w:t xml:space="preserve"> or </w:t>
            </w:r>
            <w:r>
              <w:rPr>
                <w:b/>
              </w:rPr>
              <w:t>Patients</w:t>
            </w:r>
            <w:r>
              <w:t xml:space="preserve"> from the main menu. </w:t>
            </w:r>
          </w:p>
          <w:p w14:paraId="21374A1E" w14:textId="77777777" w:rsidR="002A21AE" w:rsidRDefault="002A21AE">
            <w:pPr>
              <w:pStyle w:val="TableTextNumbersContinued"/>
            </w:pPr>
          </w:p>
          <w:p w14:paraId="612319FE" w14:textId="77777777" w:rsidR="002A21AE" w:rsidRDefault="002A21AE">
            <w:pPr>
              <w:pStyle w:val="TableTextNumbersContinued"/>
            </w:pPr>
            <w:r>
              <w:t xml:space="preserve">Select </w:t>
            </w:r>
            <w:r>
              <w:rPr>
                <w:b/>
              </w:rPr>
              <w:t>Return Issued Units To Blood Bank</w:t>
            </w:r>
            <w:r>
              <w:t>.</w:t>
            </w:r>
          </w:p>
          <w:p w14:paraId="1AA90EDA" w14:textId="77777777" w:rsidR="002A21AE" w:rsidRDefault="002A21AE">
            <w:pPr>
              <w:pStyle w:val="TableTextNumbersContinued"/>
            </w:pPr>
          </w:p>
          <w:p w14:paraId="62AB720C" w14:textId="77777777" w:rsidR="002A21AE" w:rsidRDefault="002A21AE">
            <w:pPr>
              <w:pStyle w:val="TableTextNumbersContinued"/>
            </w:pPr>
          </w:p>
        </w:tc>
        <w:tc>
          <w:tcPr>
            <w:tcW w:w="6120" w:type="dxa"/>
          </w:tcPr>
          <w:p w14:paraId="664320AE" w14:textId="77777777" w:rsidR="002A21AE" w:rsidRDefault="002A21AE">
            <w:pPr>
              <w:pStyle w:val="TableTextBullet"/>
            </w:pPr>
            <w:r>
              <w:t>Displays options for processing blood units or for processing patient-related functions.</w:t>
            </w:r>
          </w:p>
          <w:p w14:paraId="3849A9C0" w14:textId="77777777" w:rsidR="002A21AE" w:rsidRDefault="002A21AE">
            <w:pPr>
              <w:pStyle w:val="TableTextBullet"/>
            </w:pPr>
            <w:r>
              <w:t>Displays the return date and time and the name of the user who returned the issued unit.</w:t>
            </w:r>
          </w:p>
          <w:p w14:paraId="7D01EBDC" w14:textId="77777777" w:rsidR="002A21AE" w:rsidRDefault="002A21AE">
            <w:pPr>
              <w:pStyle w:val="TableText"/>
            </w:pPr>
          </w:p>
          <w:p w14:paraId="4DC25134" w14:textId="77777777" w:rsidR="002A21AE" w:rsidRDefault="00057948">
            <w:pPr>
              <w:pStyle w:val="TableText"/>
              <w:rPr>
                <w:b/>
                <w:bCs/>
                <w:szCs w:val="18"/>
              </w:rPr>
            </w:pPr>
            <w:r>
              <w:rPr>
                <w:b/>
                <w:bCs/>
                <w:noProof/>
              </w:rPr>
              <mc:AlternateContent>
                <mc:Choice Requires="wps">
                  <w:drawing>
                    <wp:anchor distT="0" distB="0" distL="114300" distR="114300" simplePos="0" relativeHeight="251519488" behindDoc="0" locked="0" layoutInCell="1" allowOverlap="1" wp14:anchorId="7D0FBFD8" wp14:editId="79C07571">
                      <wp:simplePos x="0" y="0"/>
                      <wp:positionH relativeFrom="column">
                        <wp:posOffset>457200</wp:posOffset>
                      </wp:positionH>
                      <wp:positionV relativeFrom="paragraph">
                        <wp:posOffset>65405</wp:posOffset>
                      </wp:positionV>
                      <wp:extent cx="3200400" cy="0"/>
                      <wp:effectExtent l="9525" t="17780" r="9525" b="10795"/>
                      <wp:wrapNone/>
                      <wp:docPr id="431" name="Line 819" descr="P6082C4T6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FE4EB" id="Line 819" o:spid="_x0000_s1026" alt="&quot;&quot;" style="position:absolute;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pBDj8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32B22284" w14:textId="77777777" w:rsidR="002A21AE" w:rsidRDefault="002A21AE">
            <w:pPr>
              <w:pStyle w:val="NotesText"/>
            </w:pPr>
          </w:p>
          <w:p w14:paraId="76E2E7A2" w14:textId="77777777" w:rsidR="002A21AE" w:rsidRDefault="002A21AE">
            <w:pPr>
              <w:pStyle w:val="NotesText"/>
            </w:pPr>
            <w:r>
              <w:t>The user may edit the return date and time (default: current date and time) to a past date and time.</w:t>
            </w:r>
          </w:p>
          <w:p w14:paraId="79DD2F34" w14:textId="77777777" w:rsidR="002A21AE" w:rsidRDefault="002A21AE">
            <w:pPr>
              <w:pStyle w:val="NotesText"/>
            </w:pPr>
          </w:p>
          <w:p w14:paraId="3568D9C0" w14:textId="77777777" w:rsidR="002A21AE" w:rsidRDefault="002A21AE">
            <w:pPr>
              <w:pStyle w:val="NotesText"/>
            </w:pPr>
            <w:r>
              <w:rPr>
                <w:rFonts w:cs="Arial"/>
                <w:vanish/>
              </w:rPr>
              <w:t xml:space="preserve">BR_59.01 </w:t>
            </w:r>
            <w:r>
              <w:t>VBECS assigns the same return date and time to all units processed in a batch.</w:t>
            </w:r>
          </w:p>
        </w:tc>
      </w:tr>
      <w:tr w:rsidR="002A21AE" w14:paraId="7E28CD17" w14:textId="77777777">
        <w:tc>
          <w:tcPr>
            <w:tcW w:w="3240" w:type="dxa"/>
          </w:tcPr>
          <w:p w14:paraId="611987EE" w14:textId="77777777" w:rsidR="002A21AE" w:rsidRDefault="002A21AE">
            <w:pPr>
              <w:pStyle w:val="TableTextNumbers"/>
            </w:pPr>
            <w:r>
              <w:t xml:space="preserve">Enter or edit the date and time and/or select a user, or click </w:t>
            </w:r>
            <w:r>
              <w:rPr>
                <w:b/>
              </w:rPr>
              <w:t>OK</w:t>
            </w:r>
            <w:r>
              <w:t xml:space="preserve"> to accept the default data.</w:t>
            </w:r>
          </w:p>
        </w:tc>
        <w:tc>
          <w:tcPr>
            <w:tcW w:w="6120" w:type="dxa"/>
          </w:tcPr>
          <w:p w14:paraId="2B809033" w14:textId="77777777" w:rsidR="002A21AE" w:rsidRDefault="002A21AE">
            <w:pPr>
              <w:pStyle w:val="TableText"/>
            </w:pPr>
          </w:p>
        </w:tc>
      </w:tr>
      <w:tr w:rsidR="002A21AE" w14:paraId="53079801" w14:textId="77777777">
        <w:tc>
          <w:tcPr>
            <w:tcW w:w="3240" w:type="dxa"/>
            <w:tcBorders>
              <w:top w:val="single" w:sz="4" w:space="0" w:color="auto"/>
              <w:left w:val="single" w:sz="4" w:space="0" w:color="auto"/>
              <w:bottom w:val="single" w:sz="4" w:space="0" w:color="auto"/>
              <w:right w:val="single" w:sz="4" w:space="0" w:color="auto"/>
            </w:tcBorders>
          </w:tcPr>
          <w:p w14:paraId="7E50E004" w14:textId="77777777" w:rsidR="002A21AE" w:rsidRDefault="002A21AE">
            <w:pPr>
              <w:pStyle w:val="TableTextNumbers"/>
            </w:pPr>
            <w:r>
              <w:t xml:space="preserve">Enter the patient data. </w:t>
            </w:r>
          </w:p>
        </w:tc>
        <w:tc>
          <w:tcPr>
            <w:tcW w:w="6120" w:type="dxa"/>
            <w:tcBorders>
              <w:top w:val="single" w:sz="4" w:space="0" w:color="auto"/>
              <w:left w:val="single" w:sz="4" w:space="0" w:color="auto"/>
              <w:bottom w:val="single" w:sz="4" w:space="0" w:color="auto"/>
              <w:right w:val="single" w:sz="4" w:space="0" w:color="auto"/>
            </w:tcBorders>
          </w:tcPr>
          <w:p w14:paraId="7FAEF29C" w14:textId="77777777" w:rsidR="002A21AE" w:rsidRDefault="002A21AE">
            <w:pPr>
              <w:pStyle w:val="TableTextBullet"/>
            </w:pPr>
            <w:r>
              <w:t>Prompts the user to enter the unit ID and product code or enter patient data to retrieve the records for the units issued.</w:t>
            </w:r>
          </w:p>
          <w:p w14:paraId="759E3FEF" w14:textId="77777777" w:rsidR="002A21AE" w:rsidRDefault="002A21AE">
            <w:pPr>
              <w:pStyle w:val="TableTextBullet"/>
              <w:rPr>
                <w:rFonts w:cs="Arial"/>
                <w:szCs w:val="18"/>
              </w:rPr>
            </w:pPr>
            <w:r>
              <w:t>Displays an option to search for or enter a patient or unit based on the original menu option selected.</w:t>
            </w:r>
          </w:p>
        </w:tc>
      </w:tr>
      <w:tr w:rsidR="002A21AE" w14:paraId="4C8775CB" w14:textId="77777777">
        <w:tc>
          <w:tcPr>
            <w:tcW w:w="3240" w:type="dxa"/>
            <w:tcBorders>
              <w:top w:val="single" w:sz="4" w:space="0" w:color="auto"/>
              <w:left w:val="single" w:sz="4" w:space="0" w:color="auto"/>
              <w:bottom w:val="single" w:sz="4" w:space="0" w:color="auto"/>
              <w:right w:val="single" w:sz="4" w:space="0" w:color="auto"/>
            </w:tcBorders>
          </w:tcPr>
          <w:p w14:paraId="655F32A8" w14:textId="77777777" w:rsidR="002A21AE" w:rsidRDefault="002A21AE">
            <w:pPr>
              <w:pStyle w:val="TableTextNumbers"/>
            </w:pPr>
            <w:r>
              <w:t>Select a patient or unit.</w:t>
            </w:r>
          </w:p>
        </w:tc>
        <w:tc>
          <w:tcPr>
            <w:tcW w:w="6120" w:type="dxa"/>
            <w:tcBorders>
              <w:top w:val="single" w:sz="4" w:space="0" w:color="auto"/>
              <w:left w:val="single" w:sz="4" w:space="0" w:color="auto"/>
              <w:bottom w:val="single" w:sz="4" w:space="0" w:color="auto"/>
              <w:right w:val="single" w:sz="4" w:space="0" w:color="auto"/>
            </w:tcBorders>
          </w:tcPr>
          <w:p w14:paraId="10273E23" w14:textId="77777777" w:rsidR="002A21AE" w:rsidRDefault="002A21AE">
            <w:pPr>
              <w:pStyle w:val="TableTextBullet"/>
              <w:rPr>
                <w:rFonts w:cs="Arial"/>
                <w:szCs w:val="18"/>
              </w:rPr>
            </w:pPr>
            <w:r>
              <w:t>Lists the units in “issued” status that are assigned to the patient.</w:t>
            </w:r>
          </w:p>
        </w:tc>
      </w:tr>
      <w:tr w:rsidR="002A21AE" w14:paraId="1D91D612" w14:textId="77777777">
        <w:tc>
          <w:tcPr>
            <w:tcW w:w="3240" w:type="dxa"/>
            <w:tcBorders>
              <w:top w:val="single" w:sz="4" w:space="0" w:color="auto"/>
              <w:left w:val="single" w:sz="4" w:space="0" w:color="auto"/>
              <w:bottom w:val="single" w:sz="4" w:space="0" w:color="auto"/>
              <w:right w:val="single" w:sz="4" w:space="0" w:color="auto"/>
            </w:tcBorders>
          </w:tcPr>
          <w:p w14:paraId="03BEC59D" w14:textId="77777777" w:rsidR="002A21AE" w:rsidRDefault="002A21AE">
            <w:pPr>
              <w:pStyle w:val="TableTextNumbers"/>
            </w:pPr>
            <w:r>
              <w:t>Select one or more units to return from issue.</w:t>
            </w:r>
          </w:p>
        </w:tc>
        <w:tc>
          <w:tcPr>
            <w:tcW w:w="6120" w:type="dxa"/>
            <w:tcBorders>
              <w:top w:val="single" w:sz="4" w:space="0" w:color="auto"/>
              <w:left w:val="single" w:sz="4" w:space="0" w:color="auto"/>
              <w:bottom w:val="single" w:sz="4" w:space="0" w:color="auto"/>
              <w:right w:val="single" w:sz="4" w:space="0" w:color="auto"/>
            </w:tcBorders>
          </w:tcPr>
          <w:p w14:paraId="48AFDBD8" w14:textId="77777777" w:rsidR="002A21AE" w:rsidRDefault="002A21AE">
            <w:pPr>
              <w:pStyle w:val="TableTextBullet"/>
            </w:pPr>
            <w:r>
              <w:t>Displays the units selected for return for review and allows the user to select or deselect additional units.</w:t>
            </w:r>
          </w:p>
        </w:tc>
      </w:tr>
      <w:tr w:rsidR="002A21AE" w14:paraId="09F4DB35" w14:textId="77777777">
        <w:tc>
          <w:tcPr>
            <w:tcW w:w="3240" w:type="dxa"/>
          </w:tcPr>
          <w:p w14:paraId="7ECE39E4" w14:textId="77777777" w:rsidR="00323155" w:rsidRDefault="00323155" w:rsidP="00323155">
            <w:pPr>
              <w:pStyle w:val="TableTextNumbers"/>
            </w:pPr>
            <w:r>
              <w:t>Scan the unit ID and product code, or click one or more check boxes to select units to return from issue.</w:t>
            </w:r>
          </w:p>
        </w:tc>
        <w:tc>
          <w:tcPr>
            <w:tcW w:w="6120" w:type="dxa"/>
          </w:tcPr>
          <w:p w14:paraId="488FD95D" w14:textId="77777777" w:rsidR="002A21AE" w:rsidRDefault="002A21AE">
            <w:pPr>
              <w:pStyle w:val="TableTextBullet"/>
              <w:rPr>
                <w:rFonts w:cs="Arial"/>
              </w:rPr>
            </w:pPr>
            <w:r>
              <w:t>Displays the data entered and allows the user to enter additional units and indicate that he completed the entry for this transaction.</w:t>
            </w:r>
          </w:p>
          <w:p w14:paraId="5192903D" w14:textId="77777777" w:rsidR="002A21AE" w:rsidRDefault="002A21AE">
            <w:pPr>
              <w:pStyle w:val="TableTextBullet"/>
              <w:rPr>
                <w:rFonts w:cs="Arial"/>
              </w:rPr>
            </w:pPr>
            <w:r>
              <w:rPr>
                <w:rFonts w:cs="Arial"/>
              </w:rPr>
              <w:t>Displays data for each unit entered.</w:t>
            </w:r>
          </w:p>
          <w:p w14:paraId="7EB44AA0" w14:textId="77777777" w:rsidR="002A21AE" w:rsidRDefault="002A21AE">
            <w:pPr>
              <w:pStyle w:val="TableText"/>
            </w:pPr>
          </w:p>
          <w:p w14:paraId="659FCD7D" w14:textId="77777777" w:rsidR="002A21AE" w:rsidRDefault="00057948">
            <w:pPr>
              <w:pStyle w:val="TableText"/>
              <w:rPr>
                <w:b/>
                <w:bCs/>
                <w:szCs w:val="18"/>
              </w:rPr>
            </w:pPr>
            <w:r>
              <w:rPr>
                <w:b/>
                <w:bCs/>
                <w:noProof/>
              </w:rPr>
              <mc:AlternateContent>
                <mc:Choice Requires="wps">
                  <w:drawing>
                    <wp:anchor distT="0" distB="0" distL="114300" distR="114300" simplePos="0" relativeHeight="251254272" behindDoc="0" locked="0" layoutInCell="1" allowOverlap="1" wp14:anchorId="08CA971A" wp14:editId="6766561A">
                      <wp:simplePos x="0" y="0"/>
                      <wp:positionH relativeFrom="column">
                        <wp:posOffset>457200</wp:posOffset>
                      </wp:positionH>
                      <wp:positionV relativeFrom="paragraph">
                        <wp:posOffset>65405</wp:posOffset>
                      </wp:positionV>
                      <wp:extent cx="3200400" cy="0"/>
                      <wp:effectExtent l="9525" t="17780" r="9525" b="10795"/>
                      <wp:wrapNone/>
                      <wp:docPr id="430" name="Line 210" descr="P6105C14T6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16887" id="Line 210" o:spid="_x0000_s1026" alt="&quot;&quot;" style="position:absolute;z-index:2512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gsQpS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3E9B2DDF" w14:textId="77777777" w:rsidR="002A21AE" w:rsidRDefault="002A21AE">
            <w:pPr>
              <w:pStyle w:val="NotesText"/>
            </w:pPr>
          </w:p>
          <w:p w14:paraId="623B8858" w14:textId="77777777" w:rsidR="002A21AE" w:rsidRDefault="002A21AE">
            <w:pPr>
              <w:pStyle w:val="NotesText"/>
            </w:pPr>
            <w:r w:rsidRPr="0017641A">
              <w:rPr>
                <w:rFonts w:cs="Arial"/>
                <w:vanish/>
                <w:color w:val="0000FF"/>
              </w:rPr>
              <w:t>BR_59.03</w:t>
            </w:r>
            <w:r>
              <w:rPr>
                <w:rFonts w:cs="Arial"/>
                <w:vanish/>
              </w:rPr>
              <w:t xml:space="preserve"> </w:t>
            </w:r>
            <w:r>
              <w:t>When a selected unit is not in “issued” status, VBECS warns the user, clears the unit field, and allows the user to enter a different unit number.</w:t>
            </w:r>
          </w:p>
          <w:p w14:paraId="20EA8AFC" w14:textId="77777777" w:rsidR="002A21AE" w:rsidRDefault="002A21AE">
            <w:pPr>
              <w:pStyle w:val="NotesText"/>
            </w:pPr>
          </w:p>
          <w:p w14:paraId="60E2B86A" w14:textId="77777777" w:rsidR="002A21AE" w:rsidRDefault="002A21AE">
            <w:pPr>
              <w:pStyle w:val="NotesText"/>
            </w:pPr>
            <w:r>
              <w:rPr>
                <w:rFonts w:cs="Arial"/>
                <w:vanish/>
              </w:rPr>
              <w:t xml:space="preserve">BR_59.14 </w:t>
            </w:r>
            <w:r>
              <w:t>VBECS allows the user to select multiple units to create a worklist for simultaneous processing.</w:t>
            </w:r>
          </w:p>
          <w:p w14:paraId="74C9B6A9" w14:textId="77777777" w:rsidR="002A21AE" w:rsidRDefault="002A21AE">
            <w:pPr>
              <w:pStyle w:val="NotesText"/>
            </w:pPr>
          </w:p>
          <w:p w14:paraId="797170C5" w14:textId="77777777" w:rsidR="002A21AE" w:rsidRDefault="002A21AE">
            <w:pPr>
              <w:pStyle w:val="NotesText"/>
            </w:pPr>
            <w:r>
              <w:rPr>
                <w:rFonts w:cs="Arial"/>
                <w:vanish/>
              </w:rPr>
              <w:t xml:space="preserve">BR_59.06 </w:t>
            </w:r>
            <w:r>
              <w:t xml:space="preserve">VBECS requires the user to enter a “returned-from” location (default: “issue-to” location) and allows the user to change this location to a different valid hospital location. To do this, click the </w:t>
            </w:r>
            <w:r w:rsidR="00A6373D">
              <w:rPr>
                <w:b/>
              </w:rPr>
              <w:t>find</w:t>
            </w:r>
            <w:r>
              <w:rPr>
                <w:b/>
              </w:rPr>
              <w:t xml:space="preserve"> </w:t>
            </w:r>
            <w:r w:rsidRPr="00D1100E">
              <w:t>button</w:t>
            </w:r>
            <w:r>
              <w:t xml:space="preserve"> and select a hospital location.</w:t>
            </w:r>
          </w:p>
          <w:p w14:paraId="10002DAE" w14:textId="77777777" w:rsidR="00990103" w:rsidRDefault="00990103">
            <w:pPr>
              <w:pStyle w:val="NotesText"/>
              <w:rPr>
                <w:rFonts w:cs="Arial"/>
              </w:rPr>
            </w:pPr>
          </w:p>
          <w:p w14:paraId="71E52647" w14:textId="77777777" w:rsidR="00990103" w:rsidRPr="00990103" w:rsidRDefault="00990103" w:rsidP="00990103">
            <w:pPr>
              <w:pStyle w:val="NotesText"/>
            </w:pPr>
            <w:r w:rsidRPr="00990103">
              <w:rPr>
                <w:vanish/>
              </w:rPr>
              <w:t xml:space="preserve">BR_59.04 </w:t>
            </w:r>
            <w:r w:rsidRPr="00990103">
              <w:t xml:space="preserve">The system provides an audible alert and displays a warning message to the user for each unit returned after issue to a non-remote storage location: "Unit has been out of controlled storage. Check division policy for unit acceptability." The system will require the user to enter a comment regarding the return ("unit return" context). The system will create an exception report entry for the unit accepted from prolonged issue in uncontrolled storage. Exception report entry details include:  </w:t>
            </w:r>
          </w:p>
          <w:p w14:paraId="7EFA693A" w14:textId="77777777" w:rsidR="00990103" w:rsidRPr="001C1687" w:rsidRDefault="00990103" w:rsidP="000409B1">
            <w:pPr>
              <w:pStyle w:val="ListParagraph"/>
              <w:numPr>
                <w:ilvl w:val="0"/>
                <w:numId w:val="62"/>
              </w:numPr>
              <w:spacing w:after="0"/>
              <w:rPr>
                <w:rFonts w:ascii="Arial" w:hAnsi="Arial" w:cs="Arial"/>
                <w:sz w:val="18"/>
                <w:szCs w:val="18"/>
              </w:rPr>
            </w:pPr>
            <w:r w:rsidRPr="001C1687">
              <w:rPr>
                <w:rFonts w:ascii="Arial" w:hAnsi="Arial" w:cs="Arial"/>
                <w:sz w:val="18"/>
                <w:szCs w:val="18"/>
              </w:rPr>
              <w:t>Transaction Type: Unit out of controlled storage found acceptable</w:t>
            </w:r>
          </w:p>
          <w:p w14:paraId="67A3C496" w14:textId="77777777" w:rsidR="00990103" w:rsidRPr="001C1687" w:rsidRDefault="00990103" w:rsidP="000409B1">
            <w:pPr>
              <w:pStyle w:val="ListParagraph"/>
              <w:numPr>
                <w:ilvl w:val="0"/>
                <w:numId w:val="62"/>
              </w:numPr>
              <w:spacing w:after="0"/>
              <w:rPr>
                <w:rFonts w:ascii="Arial" w:hAnsi="Arial" w:cs="Arial"/>
                <w:sz w:val="18"/>
                <w:szCs w:val="18"/>
              </w:rPr>
            </w:pPr>
            <w:r w:rsidRPr="001C1687">
              <w:rPr>
                <w:rFonts w:ascii="Arial" w:hAnsi="Arial" w:cs="Arial"/>
                <w:sz w:val="18"/>
                <w:szCs w:val="18"/>
              </w:rPr>
              <w:lastRenderedPageBreak/>
              <w:t xml:space="preserve"> Patient Name</w:t>
            </w:r>
          </w:p>
          <w:p w14:paraId="10B9ABB3" w14:textId="77777777" w:rsidR="00990103" w:rsidRDefault="00990103" w:rsidP="000409B1">
            <w:pPr>
              <w:pStyle w:val="ListParagraph"/>
              <w:numPr>
                <w:ilvl w:val="0"/>
                <w:numId w:val="62"/>
              </w:numPr>
              <w:spacing w:after="0"/>
              <w:rPr>
                <w:rFonts w:ascii="Arial" w:hAnsi="Arial" w:cs="Arial"/>
                <w:sz w:val="18"/>
                <w:szCs w:val="18"/>
              </w:rPr>
            </w:pPr>
            <w:r w:rsidRPr="001C1687">
              <w:rPr>
                <w:rFonts w:ascii="Arial" w:hAnsi="Arial" w:cs="Arial"/>
                <w:sz w:val="18"/>
                <w:szCs w:val="18"/>
              </w:rPr>
              <w:t xml:space="preserve"> Patient ID</w:t>
            </w:r>
          </w:p>
          <w:p w14:paraId="3DFCB982" w14:textId="77777777" w:rsidR="00990103" w:rsidRPr="001C1687" w:rsidRDefault="00990103" w:rsidP="000409B1">
            <w:pPr>
              <w:pStyle w:val="ListParagraph"/>
              <w:numPr>
                <w:ilvl w:val="0"/>
                <w:numId w:val="62"/>
              </w:numPr>
              <w:spacing w:after="0"/>
              <w:rPr>
                <w:rFonts w:ascii="Arial" w:hAnsi="Arial" w:cs="Arial"/>
                <w:sz w:val="18"/>
                <w:szCs w:val="18"/>
              </w:rPr>
            </w:pPr>
            <w:r w:rsidRPr="001C1687">
              <w:rPr>
                <w:rFonts w:ascii="Arial" w:hAnsi="Arial" w:cs="Arial"/>
                <w:sz w:val="18"/>
                <w:szCs w:val="18"/>
              </w:rPr>
              <w:t xml:space="preserve"> Patient ABO/Rh</w:t>
            </w:r>
          </w:p>
          <w:p w14:paraId="23659502" w14:textId="77777777" w:rsidR="00990103" w:rsidRDefault="00990103" w:rsidP="000409B1">
            <w:pPr>
              <w:pStyle w:val="ListParagraph"/>
              <w:numPr>
                <w:ilvl w:val="0"/>
                <w:numId w:val="62"/>
              </w:numPr>
              <w:spacing w:after="0"/>
              <w:rPr>
                <w:rFonts w:ascii="Arial" w:hAnsi="Arial" w:cs="Arial"/>
                <w:sz w:val="18"/>
                <w:szCs w:val="18"/>
              </w:rPr>
            </w:pPr>
            <w:r w:rsidRPr="001C1687">
              <w:rPr>
                <w:rFonts w:ascii="Arial" w:hAnsi="Arial" w:cs="Arial"/>
                <w:sz w:val="18"/>
                <w:szCs w:val="18"/>
              </w:rPr>
              <w:t xml:space="preserve"> Returned Unit ID</w:t>
            </w:r>
          </w:p>
          <w:p w14:paraId="0B122CF8" w14:textId="77777777" w:rsidR="00990103" w:rsidRPr="001C1687" w:rsidRDefault="00990103" w:rsidP="000409B1">
            <w:pPr>
              <w:pStyle w:val="ListParagraph"/>
              <w:numPr>
                <w:ilvl w:val="0"/>
                <w:numId w:val="62"/>
              </w:numPr>
              <w:spacing w:after="0"/>
              <w:rPr>
                <w:rFonts w:ascii="Arial" w:hAnsi="Arial" w:cs="Arial"/>
                <w:sz w:val="18"/>
                <w:szCs w:val="18"/>
              </w:rPr>
            </w:pPr>
            <w:r w:rsidRPr="001C1687">
              <w:rPr>
                <w:rFonts w:ascii="Arial" w:hAnsi="Arial" w:cs="Arial"/>
                <w:sz w:val="18"/>
                <w:szCs w:val="18"/>
              </w:rPr>
              <w:t xml:space="preserve"> Returned Unit Product Short Name</w:t>
            </w:r>
          </w:p>
          <w:p w14:paraId="5353E542" w14:textId="77777777" w:rsidR="00990103" w:rsidRPr="001C1687" w:rsidRDefault="00990103" w:rsidP="000409B1">
            <w:pPr>
              <w:pStyle w:val="ListParagraph"/>
              <w:numPr>
                <w:ilvl w:val="0"/>
                <w:numId w:val="62"/>
              </w:numPr>
              <w:spacing w:after="0"/>
              <w:rPr>
                <w:rFonts w:ascii="Arial" w:hAnsi="Arial" w:cs="Arial"/>
                <w:sz w:val="18"/>
                <w:szCs w:val="18"/>
              </w:rPr>
            </w:pPr>
            <w:r w:rsidRPr="001C1687">
              <w:rPr>
                <w:rFonts w:ascii="Arial" w:hAnsi="Arial" w:cs="Arial"/>
                <w:sz w:val="18"/>
                <w:szCs w:val="18"/>
              </w:rPr>
              <w:t xml:space="preserve"> Returned Unit ABO/Rh</w:t>
            </w:r>
          </w:p>
          <w:p w14:paraId="548EF389" w14:textId="77777777" w:rsidR="00990103" w:rsidRPr="001C1687" w:rsidRDefault="00990103" w:rsidP="000409B1">
            <w:pPr>
              <w:pStyle w:val="ListParagraph"/>
              <w:numPr>
                <w:ilvl w:val="0"/>
                <w:numId w:val="62"/>
              </w:numPr>
              <w:spacing w:after="0"/>
              <w:rPr>
                <w:rFonts w:ascii="Arial" w:hAnsi="Arial" w:cs="Arial"/>
                <w:sz w:val="18"/>
                <w:szCs w:val="18"/>
              </w:rPr>
            </w:pPr>
            <w:r w:rsidRPr="001C1687">
              <w:rPr>
                <w:rFonts w:ascii="Arial" w:hAnsi="Arial" w:cs="Arial"/>
                <w:sz w:val="18"/>
                <w:szCs w:val="18"/>
              </w:rPr>
              <w:t xml:space="preserve"> Returned Unit Expiration Date</w:t>
            </w:r>
          </w:p>
          <w:p w14:paraId="0B21B174" w14:textId="77777777" w:rsidR="00990103" w:rsidRPr="001C1687" w:rsidRDefault="00990103" w:rsidP="000409B1">
            <w:pPr>
              <w:pStyle w:val="ListParagraph"/>
              <w:numPr>
                <w:ilvl w:val="0"/>
                <w:numId w:val="62"/>
              </w:numPr>
              <w:spacing w:after="0"/>
              <w:rPr>
                <w:rFonts w:ascii="Arial" w:hAnsi="Arial" w:cs="Arial"/>
                <w:sz w:val="18"/>
                <w:szCs w:val="18"/>
              </w:rPr>
            </w:pPr>
            <w:r w:rsidRPr="001C1687">
              <w:rPr>
                <w:rFonts w:ascii="Arial" w:hAnsi="Arial" w:cs="Arial"/>
                <w:sz w:val="18"/>
                <w:szCs w:val="18"/>
              </w:rPr>
              <w:t xml:space="preserve"> Issue-to Location</w:t>
            </w:r>
          </w:p>
          <w:p w14:paraId="26A16B16" w14:textId="5B46E47D" w:rsidR="00990103" w:rsidRPr="00456819" w:rsidRDefault="00990103" w:rsidP="00456819">
            <w:pPr>
              <w:pStyle w:val="ListParagraph"/>
              <w:numPr>
                <w:ilvl w:val="0"/>
                <w:numId w:val="62"/>
              </w:numPr>
              <w:spacing w:after="0"/>
              <w:rPr>
                <w:rFonts w:ascii="Arial" w:hAnsi="Arial" w:cs="Arial"/>
                <w:sz w:val="18"/>
                <w:szCs w:val="18"/>
              </w:rPr>
            </w:pPr>
            <w:r w:rsidRPr="001C1687">
              <w:rPr>
                <w:rFonts w:ascii="Arial" w:hAnsi="Arial" w:cs="Arial"/>
                <w:sz w:val="18"/>
                <w:szCs w:val="18"/>
              </w:rPr>
              <w:t xml:space="preserve"> Visual Inspection Information</w:t>
            </w:r>
            <w:r w:rsidR="005B025F">
              <w:rPr>
                <w:rFonts w:ascii="Arial" w:hAnsi="Arial" w:cs="Arial"/>
                <w:sz w:val="18"/>
                <w:szCs w:val="18"/>
              </w:rPr>
              <w:t xml:space="preserve"> (Note that </w:t>
            </w:r>
            <w:r w:rsidR="00456819">
              <w:rPr>
                <w:rFonts w:ascii="Arial" w:hAnsi="Arial" w:cs="Arial"/>
                <w:sz w:val="18"/>
                <w:szCs w:val="18"/>
              </w:rPr>
              <w:t>although the exception type display on the report is “</w:t>
            </w:r>
            <w:r w:rsidR="00456819" w:rsidRPr="001C1687">
              <w:rPr>
                <w:rFonts w:ascii="Arial" w:hAnsi="Arial" w:cs="Arial"/>
                <w:sz w:val="18"/>
                <w:szCs w:val="18"/>
              </w:rPr>
              <w:t>Unit out of controlled storage found acceptable</w:t>
            </w:r>
            <w:r w:rsidR="00456819">
              <w:rPr>
                <w:rFonts w:ascii="Arial" w:hAnsi="Arial" w:cs="Arial"/>
                <w:sz w:val="18"/>
                <w:szCs w:val="18"/>
              </w:rPr>
              <w:t>”, the Visual Inspection Information will display “Unsatisfactory” if entered by the user in the comment field.</w:t>
            </w:r>
          </w:p>
          <w:p w14:paraId="1995EA76" w14:textId="77777777" w:rsidR="00990103" w:rsidRPr="001C1687" w:rsidRDefault="00990103" w:rsidP="000409B1">
            <w:pPr>
              <w:pStyle w:val="ListParagraph"/>
              <w:numPr>
                <w:ilvl w:val="0"/>
                <w:numId w:val="62"/>
              </w:numPr>
              <w:spacing w:after="0"/>
              <w:rPr>
                <w:rFonts w:ascii="Arial" w:hAnsi="Arial" w:cs="Arial"/>
                <w:sz w:val="18"/>
                <w:szCs w:val="18"/>
              </w:rPr>
            </w:pPr>
            <w:r w:rsidRPr="001C1687">
              <w:rPr>
                <w:rFonts w:ascii="Arial" w:hAnsi="Arial" w:cs="Arial"/>
                <w:sz w:val="18"/>
                <w:szCs w:val="18"/>
              </w:rPr>
              <w:t xml:space="preserve"> Required Comment</w:t>
            </w:r>
          </w:p>
          <w:p w14:paraId="27505E93" w14:textId="77777777" w:rsidR="00990103" w:rsidRPr="001C1687" w:rsidRDefault="00990103" w:rsidP="000409B1">
            <w:pPr>
              <w:pStyle w:val="ListParagraph"/>
              <w:numPr>
                <w:ilvl w:val="0"/>
                <w:numId w:val="62"/>
              </w:numPr>
              <w:spacing w:after="0"/>
              <w:rPr>
                <w:rFonts w:ascii="Arial" w:hAnsi="Arial" w:cs="Arial"/>
                <w:sz w:val="18"/>
                <w:szCs w:val="18"/>
              </w:rPr>
            </w:pPr>
            <w:r w:rsidRPr="001C1687">
              <w:rPr>
                <w:rFonts w:ascii="Arial" w:hAnsi="Arial" w:cs="Arial"/>
                <w:sz w:val="18"/>
                <w:szCs w:val="18"/>
              </w:rPr>
              <w:t xml:space="preserve"> Processing Tech Name</w:t>
            </w:r>
          </w:p>
          <w:p w14:paraId="5148FF99" w14:textId="77777777" w:rsidR="00990103" w:rsidRPr="001C1687" w:rsidRDefault="00990103" w:rsidP="000409B1">
            <w:pPr>
              <w:pStyle w:val="ListParagraph"/>
              <w:numPr>
                <w:ilvl w:val="0"/>
                <w:numId w:val="62"/>
              </w:numPr>
              <w:spacing w:after="0"/>
              <w:rPr>
                <w:rFonts w:ascii="Arial" w:hAnsi="Arial" w:cs="Arial"/>
                <w:sz w:val="18"/>
                <w:szCs w:val="18"/>
              </w:rPr>
            </w:pPr>
            <w:r w:rsidRPr="001C1687">
              <w:rPr>
                <w:rFonts w:ascii="Arial" w:hAnsi="Arial" w:cs="Arial"/>
                <w:sz w:val="18"/>
                <w:szCs w:val="18"/>
              </w:rPr>
              <w:t xml:space="preserve"> Log-in Tech Name</w:t>
            </w:r>
          </w:p>
          <w:p w14:paraId="78827462" w14:textId="77777777" w:rsidR="00990103" w:rsidRPr="001C1687" w:rsidRDefault="00990103" w:rsidP="000409B1">
            <w:pPr>
              <w:pStyle w:val="ListParagraph"/>
              <w:numPr>
                <w:ilvl w:val="0"/>
                <w:numId w:val="62"/>
              </w:numPr>
              <w:spacing w:after="0"/>
              <w:rPr>
                <w:rFonts w:ascii="Arial" w:hAnsi="Arial" w:cs="Arial"/>
                <w:sz w:val="18"/>
                <w:szCs w:val="18"/>
              </w:rPr>
            </w:pPr>
            <w:r w:rsidRPr="001C1687">
              <w:rPr>
                <w:rFonts w:ascii="Arial" w:hAnsi="Arial" w:cs="Arial"/>
                <w:sz w:val="18"/>
                <w:szCs w:val="18"/>
              </w:rPr>
              <w:t xml:space="preserve"> Division </w:t>
            </w:r>
          </w:p>
          <w:p w14:paraId="3FB7D1B5" w14:textId="77777777" w:rsidR="00990103" w:rsidRDefault="00990103" w:rsidP="000409B1">
            <w:pPr>
              <w:pStyle w:val="ListParagraph"/>
              <w:numPr>
                <w:ilvl w:val="0"/>
                <w:numId w:val="62"/>
              </w:numPr>
              <w:spacing w:after="0"/>
              <w:rPr>
                <w:rFonts w:cs="Arial"/>
              </w:rPr>
            </w:pPr>
            <w:r w:rsidRPr="001C1687">
              <w:rPr>
                <w:rFonts w:ascii="Arial" w:hAnsi="Arial" w:cs="Arial"/>
                <w:sz w:val="18"/>
                <w:szCs w:val="18"/>
              </w:rPr>
              <w:t xml:space="preserve"> Date/Time of Transaction</w:t>
            </w:r>
          </w:p>
        </w:tc>
      </w:tr>
      <w:tr w:rsidR="002A21AE" w14:paraId="3CD8DA06" w14:textId="77777777">
        <w:tc>
          <w:tcPr>
            <w:tcW w:w="3240" w:type="dxa"/>
          </w:tcPr>
          <w:p w14:paraId="118A3A8D" w14:textId="12B311CE" w:rsidR="002A21AE" w:rsidRDefault="00CF47D5">
            <w:pPr>
              <w:pStyle w:val="TableTextNumbers"/>
            </w:pPr>
            <w:r>
              <w:lastRenderedPageBreak/>
              <w:t>Respond to the warnings and messages</w:t>
            </w:r>
            <w:r w:rsidR="009F35E5">
              <w:t xml:space="preserve"> (</w:t>
            </w:r>
            <w:r w:rsidR="009F35E5">
              <w:fldChar w:fldCharType="begin" w:fldLock="1"/>
            </w:r>
            <w:r w:rsidR="009F35E5">
              <w:instrText xml:space="preserve"> REF _Ref127094454 \h </w:instrText>
            </w:r>
            <w:r w:rsidR="009F35E5">
              <w:fldChar w:fldCharType="separate"/>
            </w:r>
            <w:r w:rsidR="00AB304C">
              <w:t xml:space="preserve">Figure </w:t>
            </w:r>
            <w:r w:rsidR="00AB304C">
              <w:rPr>
                <w:noProof/>
              </w:rPr>
              <w:t>107</w:t>
            </w:r>
            <w:r w:rsidR="009F35E5">
              <w:fldChar w:fldCharType="end"/>
            </w:r>
            <w:r w:rsidR="009F35E5">
              <w:t>)</w:t>
            </w:r>
            <w:r w:rsidR="002A21AE">
              <w:t>.</w:t>
            </w:r>
          </w:p>
        </w:tc>
        <w:tc>
          <w:tcPr>
            <w:tcW w:w="6120" w:type="dxa"/>
          </w:tcPr>
          <w:p w14:paraId="7EF4F2D5" w14:textId="77777777" w:rsidR="002A21AE" w:rsidRDefault="002A21AE">
            <w:pPr>
              <w:pStyle w:val="TableTextBullet"/>
            </w:pPr>
            <w:r>
              <w:t xml:space="preserve">Allows the user to indicate that each unit or batch of units was visually inspected and marked satisfactory or unsatisfactory. </w:t>
            </w:r>
          </w:p>
          <w:p w14:paraId="1614DDC0" w14:textId="77777777" w:rsidR="002A21AE" w:rsidRDefault="002A21AE">
            <w:pPr>
              <w:pStyle w:val="TableText"/>
            </w:pPr>
          </w:p>
          <w:p w14:paraId="398BD8B4" w14:textId="77777777" w:rsidR="002A21AE" w:rsidRDefault="00057948">
            <w:pPr>
              <w:pStyle w:val="TableText"/>
              <w:rPr>
                <w:b/>
                <w:bCs/>
                <w:szCs w:val="18"/>
              </w:rPr>
            </w:pPr>
            <w:r>
              <w:rPr>
                <w:b/>
                <w:bCs/>
                <w:noProof/>
              </w:rPr>
              <mc:AlternateContent>
                <mc:Choice Requires="wps">
                  <w:drawing>
                    <wp:anchor distT="0" distB="0" distL="114300" distR="114300" simplePos="0" relativeHeight="251257344" behindDoc="0" locked="0" layoutInCell="1" allowOverlap="1" wp14:anchorId="0605B0EC" wp14:editId="5C020C91">
                      <wp:simplePos x="0" y="0"/>
                      <wp:positionH relativeFrom="column">
                        <wp:posOffset>457200</wp:posOffset>
                      </wp:positionH>
                      <wp:positionV relativeFrom="paragraph">
                        <wp:posOffset>65405</wp:posOffset>
                      </wp:positionV>
                      <wp:extent cx="3200400" cy="0"/>
                      <wp:effectExtent l="9525" t="17780" r="9525" b="10795"/>
                      <wp:wrapNone/>
                      <wp:docPr id="429" name="Line 211" descr="P6133C16T6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C0345" id="Line 211" o:spid="_x0000_s1026" alt="&quot;&quot;" style="position:absolute;z-index:2512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gfLeZ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450555F2" w14:textId="77777777" w:rsidR="002A21AE" w:rsidRDefault="002A21AE">
            <w:pPr>
              <w:pStyle w:val="NotesText"/>
            </w:pPr>
          </w:p>
          <w:p w14:paraId="78BEF59C" w14:textId="77777777" w:rsidR="002A21AE" w:rsidRDefault="002A21AE">
            <w:pPr>
              <w:pStyle w:val="NotesText"/>
            </w:pPr>
            <w:r w:rsidRPr="00896F17">
              <w:rPr>
                <w:vanish/>
                <w:szCs w:val="18"/>
              </w:rPr>
              <w:t>BR_59.08</w:t>
            </w:r>
            <w:r w:rsidR="00F92F72" w:rsidRPr="00896F17">
              <w:rPr>
                <w:rStyle w:val="BullhornChar"/>
              </w:rPr>
              <w:t></w:t>
            </w:r>
            <w:r w:rsidR="00F92F72">
              <w:rPr>
                <w:rFonts w:ascii="Webdings" w:hAnsi="Webdings"/>
              </w:rPr>
              <w:t></w:t>
            </w:r>
            <w:r w:rsidR="00F92F72" w:rsidRPr="00263B24">
              <w:t>Wh</w:t>
            </w:r>
            <w:r w:rsidR="00F92F72">
              <w:t>en</w:t>
            </w:r>
            <w:r>
              <w:t xml:space="preserve"> the user indicates that the unit is unsatisfactory, VBECS emits an audible alert and quarantines the unit, relocates it to the hospital location of the blood bank, and captures details for inclusion in an Exception Report (exception type: unit unsatisfactory upon return from issue). Upon quarantining the unit, VBECS releases it from assignment and requires a comment regarding the return. </w:t>
            </w:r>
          </w:p>
          <w:p w14:paraId="50E15390" w14:textId="77777777" w:rsidR="002A21AE" w:rsidRDefault="002A21AE">
            <w:pPr>
              <w:pStyle w:val="NotesText"/>
            </w:pPr>
          </w:p>
          <w:p w14:paraId="6F4F98BF" w14:textId="77777777" w:rsidR="002A21AE" w:rsidRDefault="002A21AE">
            <w:pPr>
              <w:pStyle w:val="NotesText"/>
            </w:pPr>
            <w:r>
              <w:rPr>
                <w:rFonts w:cs="Arial"/>
                <w:vanish/>
              </w:rPr>
              <w:t xml:space="preserve">BR_27.15 </w:t>
            </w:r>
            <w:r w:rsidR="00DC63E8">
              <w:t>When a unit has had a quarantine indicator assigned, VBECS releases any patient assignments. Patient restrictions associated with the unit remain intact.</w:t>
            </w:r>
          </w:p>
          <w:p w14:paraId="5BA3C4A1" w14:textId="77777777" w:rsidR="00DC63E8" w:rsidRDefault="00DC63E8">
            <w:pPr>
              <w:pStyle w:val="NotesText"/>
            </w:pPr>
          </w:p>
          <w:p w14:paraId="34BB4E66" w14:textId="77777777" w:rsidR="002A21AE" w:rsidRDefault="002A21AE">
            <w:pPr>
              <w:pStyle w:val="NotesText"/>
            </w:pPr>
            <w:r>
              <w:rPr>
                <w:rFonts w:cs="Arial"/>
                <w:vanish/>
              </w:rPr>
              <w:t xml:space="preserve">BR_59.11 </w:t>
            </w:r>
            <w:r>
              <w:t>VBECS places units returned from issue to the blood bank in satisfactory condition in the status they had prior to issue.</w:t>
            </w:r>
          </w:p>
          <w:p w14:paraId="10BB66D7" w14:textId="77777777" w:rsidR="002A21AE" w:rsidRDefault="002A21AE">
            <w:pPr>
              <w:pStyle w:val="NotesText"/>
            </w:pPr>
          </w:p>
          <w:p w14:paraId="0064FA09" w14:textId="77777777" w:rsidR="002A21AE" w:rsidRDefault="002A21AE">
            <w:pPr>
              <w:pStyle w:val="NotesText"/>
              <w:rPr>
                <w:rFonts w:cs="Arial"/>
              </w:rPr>
            </w:pPr>
            <w:r>
              <w:rPr>
                <w:vanish/>
                <w:szCs w:val="18"/>
              </w:rPr>
              <w:t>BR_59.12</w:t>
            </w:r>
            <w:r w:rsidR="00CE3961">
              <w:rPr>
                <w:vanish/>
                <w:szCs w:val="18"/>
              </w:rPr>
              <w:t>,</w:t>
            </w:r>
            <w:r>
              <w:rPr>
                <w:vanish/>
                <w:szCs w:val="18"/>
              </w:rPr>
              <w:t xml:space="preserve"> BR_59.13 </w:t>
            </w:r>
            <w:r>
              <w:t>When the unit returned and/or the specimen used for assignment or crossmatch is expired, VBECS warns the user.</w:t>
            </w:r>
          </w:p>
        </w:tc>
      </w:tr>
      <w:tr w:rsidR="002A21AE" w14:paraId="4289EC3B" w14:textId="77777777">
        <w:tc>
          <w:tcPr>
            <w:tcW w:w="3240" w:type="dxa"/>
          </w:tcPr>
          <w:p w14:paraId="6630FF35" w14:textId="77777777" w:rsidR="002A21AE" w:rsidRDefault="002A21AE">
            <w:pPr>
              <w:pStyle w:val="TableTextNumbers"/>
            </w:pPr>
            <w:r>
              <w:t xml:space="preserve">Click </w:t>
            </w:r>
            <w:r>
              <w:rPr>
                <w:b/>
              </w:rPr>
              <w:t xml:space="preserve">OK </w:t>
            </w:r>
            <w:r>
              <w:t xml:space="preserve">to accept the entries, and complete the unit return. </w:t>
            </w:r>
          </w:p>
          <w:p w14:paraId="00BB731E" w14:textId="77777777" w:rsidR="002A21AE" w:rsidRDefault="002A21AE">
            <w:pPr>
              <w:pStyle w:val="TableTextNumbersContinued"/>
            </w:pPr>
          </w:p>
          <w:p w14:paraId="323BF7BA" w14:textId="77777777" w:rsidR="002A21AE" w:rsidRDefault="002A21AE">
            <w:pPr>
              <w:pStyle w:val="TableTextNumbersContinued"/>
            </w:pPr>
            <w:r>
              <w:t xml:space="preserve">Exit.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14:paraId="419B6C65" w14:textId="77777777" w:rsidR="001F6288" w:rsidRDefault="002A21AE" w:rsidP="001F6288">
            <w:pPr>
              <w:pStyle w:val="TableTextBullet"/>
            </w:pPr>
            <w:r>
              <w:t>Saves the data.</w:t>
            </w:r>
          </w:p>
          <w:p w14:paraId="029A2B29" w14:textId="77777777" w:rsidR="001F6288" w:rsidRDefault="001F6288" w:rsidP="001F6288">
            <w:pPr>
              <w:pStyle w:val="TableTextBullet"/>
            </w:pPr>
            <w:r w:rsidRPr="001F6288">
              <w:rPr>
                <w:rFonts w:cs="Arial"/>
                <w:vanish/>
                <w:szCs w:val="18"/>
              </w:rPr>
              <w:t xml:space="preserve">UC_109 </w:t>
            </w:r>
            <w:r w:rsidRPr="001F6288">
              <w:rPr>
                <w:rFonts w:cs="Arial"/>
                <w:szCs w:val="18"/>
              </w:rPr>
              <w:t>Sends update to the BCE COTS system via an HL7 message to remove the unit from the system</w:t>
            </w:r>
            <w:r>
              <w:rPr>
                <w:rFonts w:cs="Arial"/>
                <w:szCs w:val="18"/>
              </w:rPr>
              <w:t>.</w:t>
            </w:r>
          </w:p>
          <w:p w14:paraId="6F767233" w14:textId="77777777" w:rsidR="002A21AE" w:rsidRDefault="002A21AE">
            <w:pPr>
              <w:pStyle w:val="TableText"/>
            </w:pPr>
          </w:p>
          <w:p w14:paraId="2E07F21C" w14:textId="77777777" w:rsidR="002A21AE" w:rsidRDefault="00057948">
            <w:pPr>
              <w:pStyle w:val="TableText"/>
              <w:rPr>
                <w:b/>
                <w:bCs/>
                <w:szCs w:val="18"/>
              </w:rPr>
            </w:pPr>
            <w:r>
              <w:rPr>
                <w:b/>
                <w:bCs/>
                <w:noProof/>
              </w:rPr>
              <mc:AlternateContent>
                <mc:Choice Requires="wps">
                  <w:drawing>
                    <wp:anchor distT="0" distB="0" distL="114300" distR="114300" simplePos="0" relativeHeight="251260416" behindDoc="0" locked="0" layoutInCell="1" allowOverlap="1" wp14:anchorId="5B86A5A4" wp14:editId="55A910CF">
                      <wp:simplePos x="0" y="0"/>
                      <wp:positionH relativeFrom="column">
                        <wp:posOffset>457200</wp:posOffset>
                      </wp:positionH>
                      <wp:positionV relativeFrom="paragraph">
                        <wp:posOffset>65405</wp:posOffset>
                      </wp:positionV>
                      <wp:extent cx="3200400" cy="0"/>
                      <wp:effectExtent l="9525" t="17780" r="9525" b="10795"/>
                      <wp:wrapNone/>
                      <wp:docPr id="428" name="Line 212" descr="P6149C18T6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3A1B65" id="Line 212" o:spid="_x0000_s1026" alt="&quot;&quot;" style="position:absolute;z-index:2512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D64N+1wgEAAG4DAAAOAAAAAAAAAAAAAAAAAC4C&#10;AABkcnMvZTJvRG9jLnhtbFBLAQItABQABgAIAAAAIQAXTzAS2wAAAAgBAAAPAAAAAAAAAAAAAAAA&#10;ABwEAABkcnMvZG93bnJldi54bWxQSwUGAAAAAAQABADzAAAAJAUAAAAA&#10;" strokeweight="1.5pt"/>
                  </w:pict>
                </mc:Fallback>
              </mc:AlternateContent>
            </w:r>
            <w:r w:rsidR="002A21AE">
              <w:rPr>
                <w:b/>
                <w:bCs/>
                <w:szCs w:val="18"/>
              </w:rPr>
              <w:t>NOTES</w:t>
            </w:r>
          </w:p>
          <w:p w14:paraId="01DFF604" w14:textId="77777777" w:rsidR="002A21AE" w:rsidRDefault="002A21AE">
            <w:pPr>
              <w:pStyle w:val="NotesText"/>
            </w:pPr>
          </w:p>
          <w:p w14:paraId="07EDA2C4" w14:textId="77777777" w:rsidR="002A21AE" w:rsidRDefault="002A21AE">
            <w:pPr>
              <w:pStyle w:val="NotesText"/>
            </w:pPr>
            <w:r>
              <w:rPr>
                <w:rFonts w:cs="Arial"/>
                <w:vanish/>
              </w:rPr>
              <w:t xml:space="preserve">BR_59.10 </w:t>
            </w:r>
            <w:r>
              <w:t>VBECS returns units to the blood bank location within the division.</w:t>
            </w:r>
          </w:p>
        </w:tc>
      </w:tr>
    </w:tbl>
    <w:p w14:paraId="403878A7" w14:textId="1DD17BB6" w:rsidR="009F35E5" w:rsidRDefault="009F35E5" w:rsidP="009F35E5">
      <w:pPr>
        <w:pStyle w:val="Caption"/>
      </w:pPr>
      <w:bookmarkStart w:id="419" w:name="_Ref127094454"/>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107</w:t>
      </w:r>
      <w:r w:rsidR="004E20BD">
        <w:rPr>
          <w:noProof/>
        </w:rPr>
        <w:fldChar w:fldCharType="end"/>
      </w:r>
      <w:bookmarkEnd w:id="419"/>
      <w:r>
        <w:t>: Return Issued Units</w:t>
      </w:r>
    </w:p>
    <w:p w14:paraId="5179786E" w14:textId="77777777" w:rsidR="00857A1A" w:rsidRDefault="00057948" w:rsidP="009F35E5">
      <w:pPr>
        <w:pStyle w:val="BodyText"/>
      </w:pPr>
      <w:r>
        <w:rPr>
          <w:noProof/>
        </w:rPr>
        <w:drawing>
          <wp:inline distT="0" distB="0" distL="0" distR="0" wp14:anchorId="680402AB" wp14:editId="51F6B1E2">
            <wp:extent cx="5144770" cy="3768725"/>
            <wp:effectExtent l="0" t="0" r="0" b="3175"/>
            <wp:docPr id="196" name="Picture 196" descr="P6154#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P6154#yIS1">
                      <a:extLst>
                        <a:ext uri="{C183D7F6-B498-43B3-948B-1728B52AA6E4}">
                          <adec:decorative xmlns:adec="http://schemas.microsoft.com/office/drawing/2017/decorative" val="1"/>
                        </a:ext>
                      </a:extLst>
                    </pic:cNvPr>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144770" cy="3768725"/>
                    </a:xfrm>
                    <a:prstGeom prst="rect">
                      <a:avLst/>
                    </a:prstGeom>
                    <a:noFill/>
                    <a:ln>
                      <a:noFill/>
                    </a:ln>
                  </pic:spPr>
                </pic:pic>
              </a:graphicData>
            </a:graphic>
          </wp:inline>
        </w:drawing>
      </w:r>
    </w:p>
    <w:p w14:paraId="3C0E0507" w14:textId="77777777" w:rsidR="002A21AE" w:rsidRDefault="002A21AE" w:rsidP="00857A1A">
      <w:pPr>
        <w:pStyle w:val="Heading2"/>
      </w:pPr>
      <w:r>
        <w:br w:type="page"/>
      </w:r>
      <w:bookmarkStart w:id="420" w:name="_Toc4588795"/>
      <w:r>
        <w:lastRenderedPageBreak/>
        <w:t>Release Units From Patient Assignment</w:t>
      </w:r>
      <w:bookmarkEnd w:id="420"/>
      <w:r w:rsidRPr="00857A1A">
        <w:rPr>
          <w:rFonts w:ascii="Arial Bold" w:hAnsi="Arial Bold"/>
          <w:vanish/>
        </w:rPr>
        <w:fldChar w:fldCharType="begin"/>
      </w:r>
      <w:r w:rsidRPr="00857A1A">
        <w:rPr>
          <w:rFonts w:ascii="Arial Bold" w:hAnsi="Arial Bold"/>
          <w:vanish/>
        </w:rPr>
        <w:instrText xml:space="preserve"> XE </w:instrText>
      </w:r>
      <w:r w:rsidR="00FA7E65" w:rsidRPr="00857A1A">
        <w:rPr>
          <w:rFonts w:ascii="Arial Bold" w:hAnsi="Arial Bold"/>
          <w:vanish/>
        </w:rPr>
        <w:instrText>“</w:instrText>
      </w:r>
      <w:r w:rsidRPr="00857A1A">
        <w:rPr>
          <w:rFonts w:ascii="Arial Bold" w:hAnsi="Arial Bold"/>
          <w:vanish/>
        </w:rPr>
        <w:instrText>Release Units From Patient Assignment</w:instrText>
      </w:r>
      <w:r w:rsidR="00FA7E65" w:rsidRPr="00857A1A">
        <w:rPr>
          <w:rFonts w:ascii="Arial Bold" w:hAnsi="Arial Bold"/>
          <w:vanish/>
        </w:rPr>
        <w:instrText>”</w:instrText>
      </w:r>
      <w:r w:rsidRPr="00857A1A">
        <w:rPr>
          <w:rFonts w:ascii="Arial Bold" w:hAnsi="Arial Bold"/>
          <w:vanish/>
        </w:rPr>
        <w:instrText xml:space="preserve"> </w:instrText>
      </w:r>
      <w:r w:rsidRPr="00857A1A">
        <w:rPr>
          <w:rFonts w:ascii="Arial Bold" w:hAnsi="Arial Bold"/>
          <w:vanish/>
        </w:rPr>
        <w:fldChar w:fldCharType="end"/>
      </w:r>
      <w:r w:rsidRPr="00857A1A">
        <w:rPr>
          <w:rFonts w:ascii="Arial Bold" w:hAnsi="Arial Bold"/>
          <w:vanish/>
        </w:rPr>
        <w:t xml:space="preserve"> UC_47</w:t>
      </w:r>
    </w:p>
    <w:p w14:paraId="00E3BB0F" w14:textId="77777777" w:rsidR="002A21AE" w:rsidRDefault="002A21AE" w:rsidP="00FA7E65">
      <w:pPr>
        <w:pStyle w:val="BodyText"/>
        <w:rPr>
          <w:b/>
        </w:rPr>
      </w:pPr>
      <w:r>
        <w:t xml:space="preserve">The user releases crossmatched and assigned blood units not issued after a period determined by regulatory standards and by internal policy. </w:t>
      </w:r>
    </w:p>
    <w:p w14:paraId="3B8BD5F0" w14:textId="77777777" w:rsidR="002A21AE" w:rsidRDefault="002A21AE">
      <w:pPr>
        <w:pStyle w:val="Heading4"/>
      </w:pPr>
      <w:r>
        <w:t>Assumptions</w:t>
      </w:r>
      <w:r>
        <w:rPr>
          <w:b w:val="0"/>
        </w:rPr>
        <w:t xml:space="preserve"> </w:t>
      </w:r>
    </w:p>
    <w:p w14:paraId="7E9B2776" w14:textId="77777777" w:rsidR="002A21AE" w:rsidRDefault="002A21AE">
      <w:pPr>
        <w:pStyle w:val="ListBullet"/>
      </w:pPr>
      <w:r>
        <w:t xml:space="preserve">The blood unit is assigned or crossmatched to at least one patient. </w:t>
      </w:r>
    </w:p>
    <w:p w14:paraId="2145C5EA" w14:textId="77777777" w:rsidR="002A21AE" w:rsidRDefault="002A21AE">
      <w:pPr>
        <w:pStyle w:val="Heading4"/>
      </w:pPr>
      <w:r>
        <w:t>Outcome</w:t>
      </w:r>
    </w:p>
    <w:p w14:paraId="0CC67927" w14:textId="77777777" w:rsidR="002A21AE" w:rsidRDefault="002A21AE">
      <w:pPr>
        <w:pStyle w:val="ListBullet"/>
      </w:pPr>
      <w:r>
        <w:t>Patient restrictions still apply to a unit even after it is released from assignment and made available.</w:t>
      </w:r>
    </w:p>
    <w:p w14:paraId="35228A29" w14:textId="77777777" w:rsidR="002A21AE" w:rsidRDefault="002A21AE">
      <w:pPr>
        <w:pStyle w:val="Heading4"/>
      </w:pPr>
      <w:r>
        <w:t>Limitations and Restrictions</w:t>
      </w:r>
      <w:r>
        <w:rPr>
          <w:b w:val="0"/>
        </w:rPr>
        <w:t xml:space="preserve"> </w:t>
      </w:r>
    </w:p>
    <w:p w14:paraId="091B1B31" w14:textId="77777777" w:rsidR="002A21AE" w:rsidRDefault="002A21AE">
      <w:pPr>
        <w:pStyle w:val="ListBullet"/>
      </w:pPr>
      <w:r>
        <w:t>This option does not apply to the release of patient restrictions (autologous and directed).</w:t>
      </w:r>
    </w:p>
    <w:p w14:paraId="6FEEE789" w14:textId="606B88FF" w:rsidR="002A21AE" w:rsidRDefault="002A21AE">
      <w:pPr>
        <w:pStyle w:val="ListBullet"/>
      </w:pPr>
      <w:r>
        <w:t>When a patient, specimen</w:t>
      </w:r>
      <w:r w:rsidR="00112C24">
        <w:t>,</w:t>
      </w:r>
      <w:r w:rsidR="00D40FAE">
        <w:t xml:space="preserve"> </w:t>
      </w:r>
      <w:r>
        <w:t>or blood unit expires, VBECS does not automatically release an assigned blood unit: a user must release the unit.</w:t>
      </w:r>
    </w:p>
    <w:p w14:paraId="18737A6D" w14:textId="7B01EA00" w:rsidR="00724CD4" w:rsidRDefault="00724CD4">
      <w:pPr>
        <w:pStyle w:val="ListBullet"/>
      </w:pPr>
      <w:r>
        <w:t xml:space="preserve">Users should select and release units in a timely manner to avoid the units being issued by another user prior to the release process completion. </w:t>
      </w:r>
      <w:r w:rsidRPr="00724CD4">
        <w:rPr>
          <w:vanish/>
        </w:rPr>
        <w:t>Defect 259491</w:t>
      </w:r>
    </w:p>
    <w:p w14:paraId="0C2C9059" w14:textId="0297C7EB" w:rsidR="002A21AE" w:rsidRDefault="002A21AE" w:rsidP="005B025F">
      <w:pPr>
        <w:pStyle w:val="Heading4"/>
      </w:pPr>
      <w:r>
        <w:t>Additional Information</w:t>
      </w:r>
    </w:p>
    <w:p w14:paraId="24AA4AC0" w14:textId="77777777" w:rsidR="000D6CA6" w:rsidRDefault="002A21AE" w:rsidP="000D6CA6">
      <w:pPr>
        <w:pStyle w:val="ListBullet"/>
      </w:pPr>
      <w:r>
        <w:t>A user may release units from assignment as a group or individually from a patient’s list of units.</w:t>
      </w:r>
    </w:p>
    <w:p w14:paraId="340265DE" w14:textId="77777777" w:rsidR="002A21AE" w:rsidRDefault="002A21AE">
      <w:pPr>
        <w:pStyle w:val="Heading4"/>
        <w:rPr>
          <w:b w:val="0"/>
        </w:rPr>
      </w:pPr>
      <w:r>
        <w:t>User Roles with Access to This Option</w:t>
      </w:r>
      <w:r>
        <w:rPr>
          <w:b w:val="0"/>
        </w:rPr>
        <w:t xml:space="preserve"> </w:t>
      </w:r>
    </w:p>
    <w:p w14:paraId="5B0ABF60" w14:textId="77777777" w:rsidR="002A21AE" w:rsidRDefault="00516048">
      <w:pPr>
        <w:pStyle w:val="Roles"/>
        <w:rPr>
          <w:snapToGrid w:val="0"/>
        </w:rPr>
      </w:pPr>
      <w:r>
        <w:t>All users</w:t>
      </w:r>
    </w:p>
    <w:p w14:paraId="465CBBE3" w14:textId="77777777" w:rsidR="002A21AE" w:rsidRDefault="002A21AE">
      <w:pPr>
        <w:pStyle w:val="Heading4"/>
      </w:pPr>
      <w:r>
        <w:t>Release Units From Patient Assignment</w:t>
      </w:r>
    </w:p>
    <w:p w14:paraId="6EA0D086" w14:textId="77777777" w:rsidR="002A21AE" w:rsidRDefault="002A21AE" w:rsidP="00FA7E65">
      <w:pPr>
        <w:pStyle w:val="BodyText"/>
      </w:pPr>
      <w:r>
        <w:t xml:space="preserve">A user may select one or more blood units for release from patient assignment and return to “available” status. A user may release one of multiple patient assignments without affecting other patient assignments on a unit.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0CD486B7" w14:textId="77777777">
        <w:trPr>
          <w:cantSplit/>
          <w:tblHeader/>
        </w:trPr>
        <w:tc>
          <w:tcPr>
            <w:tcW w:w="3240" w:type="dxa"/>
            <w:shd w:val="pct30" w:color="auto" w:fill="FFFFFF"/>
            <w:vAlign w:val="bottom"/>
          </w:tcPr>
          <w:p w14:paraId="2A6C9573" w14:textId="77777777" w:rsidR="002A21AE" w:rsidRDefault="002A21AE">
            <w:pPr>
              <w:pStyle w:val="TableText"/>
              <w:rPr>
                <w:b/>
              </w:rPr>
            </w:pPr>
            <w:r>
              <w:rPr>
                <w:b/>
              </w:rPr>
              <w:t>User Action</w:t>
            </w:r>
          </w:p>
        </w:tc>
        <w:tc>
          <w:tcPr>
            <w:tcW w:w="6120" w:type="dxa"/>
            <w:shd w:val="pct30" w:color="auto" w:fill="FFFFFF"/>
            <w:vAlign w:val="bottom"/>
          </w:tcPr>
          <w:p w14:paraId="22AE1E7E" w14:textId="77777777" w:rsidR="002A21AE" w:rsidRDefault="002A21AE">
            <w:pPr>
              <w:pStyle w:val="TableText"/>
              <w:rPr>
                <w:b/>
              </w:rPr>
            </w:pPr>
            <w:r>
              <w:rPr>
                <w:b/>
              </w:rPr>
              <w:t>VBECS</w:t>
            </w:r>
          </w:p>
        </w:tc>
      </w:tr>
      <w:tr w:rsidR="002A21AE" w14:paraId="35C562E4" w14:textId="77777777">
        <w:trPr>
          <w:trHeight w:val="314"/>
        </w:trPr>
        <w:tc>
          <w:tcPr>
            <w:tcW w:w="3240" w:type="dxa"/>
          </w:tcPr>
          <w:p w14:paraId="5040E422" w14:textId="77777777" w:rsidR="002A21AE" w:rsidRDefault="002A21AE">
            <w:pPr>
              <w:pStyle w:val="TableTextNumbers"/>
            </w:pPr>
            <w:r>
              <w:t xml:space="preserve">To release units by patient, select </w:t>
            </w:r>
            <w:r>
              <w:rPr>
                <w:b/>
              </w:rPr>
              <w:t>Patients</w:t>
            </w:r>
            <w:r>
              <w:t xml:space="preserve"> from the main menu.</w:t>
            </w:r>
          </w:p>
          <w:p w14:paraId="647CDB65" w14:textId="77777777" w:rsidR="002A21AE" w:rsidRDefault="002A21AE">
            <w:pPr>
              <w:pStyle w:val="TableTextNumbersContinued"/>
            </w:pPr>
          </w:p>
          <w:p w14:paraId="24F992E0" w14:textId="77777777" w:rsidR="002A21AE" w:rsidRDefault="002A21AE">
            <w:pPr>
              <w:pStyle w:val="TableTextNumbersContinued"/>
            </w:pPr>
            <w:r>
              <w:t xml:space="preserve">To release units by unit, select </w:t>
            </w:r>
            <w:r>
              <w:rPr>
                <w:b/>
              </w:rPr>
              <w:t>Blood Units</w:t>
            </w:r>
            <w:r>
              <w:t xml:space="preserve"> from the main menu.</w:t>
            </w:r>
          </w:p>
          <w:p w14:paraId="15846568" w14:textId="77777777" w:rsidR="002A21AE" w:rsidRDefault="002A21AE">
            <w:pPr>
              <w:pStyle w:val="TableTextNumbersContinued"/>
            </w:pPr>
          </w:p>
          <w:p w14:paraId="13330BF1" w14:textId="77777777" w:rsidR="002A21AE" w:rsidRDefault="002A21AE">
            <w:pPr>
              <w:pStyle w:val="TableTextNumbersContinued"/>
            </w:pPr>
            <w:r>
              <w:t xml:space="preserve">Select </w:t>
            </w:r>
            <w:r>
              <w:rPr>
                <w:b/>
              </w:rPr>
              <w:t>Release Units From Patient Assignment</w:t>
            </w:r>
            <w:r>
              <w:t>.</w:t>
            </w:r>
          </w:p>
        </w:tc>
        <w:tc>
          <w:tcPr>
            <w:tcW w:w="6120" w:type="dxa"/>
          </w:tcPr>
          <w:p w14:paraId="285DE921" w14:textId="77777777" w:rsidR="002A21AE" w:rsidRDefault="002A21AE">
            <w:pPr>
              <w:pStyle w:val="TableTextBullet"/>
            </w:pPr>
            <w:r>
              <w:t>Displays options for processing patient-related functions or for processing units.</w:t>
            </w:r>
          </w:p>
        </w:tc>
      </w:tr>
      <w:tr w:rsidR="002A21AE" w14:paraId="27C02B96" w14:textId="77777777" w:rsidTr="001A459B">
        <w:trPr>
          <w:cantSplit/>
        </w:trPr>
        <w:tc>
          <w:tcPr>
            <w:tcW w:w="3240" w:type="dxa"/>
          </w:tcPr>
          <w:p w14:paraId="706F9EBD" w14:textId="77777777" w:rsidR="002A21AE" w:rsidRDefault="002A21AE">
            <w:pPr>
              <w:pStyle w:val="TableTextNumbers"/>
            </w:pPr>
            <w:r>
              <w:lastRenderedPageBreak/>
              <w:t>Scan or enter a unit ID or select a patient to release units from patient assignment and/or crossmatch (XM).</w:t>
            </w:r>
          </w:p>
        </w:tc>
        <w:tc>
          <w:tcPr>
            <w:tcW w:w="6120" w:type="dxa"/>
          </w:tcPr>
          <w:p w14:paraId="0529B7AB" w14:textId="77777777" w:rsidR="002A21AE" w:rsidRDefault="002A21AE">
            <w:pPr>
              <w:pStyle w:val="TableTextBullet"/>
            </w:pPr>
            <w:r>
              <w:t>Allows the user to edit the date and time and the user who released the units.</w:t>
            </w:r>
          </w:p>
          <w:p w14:paraId="2C77CA1A" w14:textId="77777777" w:rsidR="002A21AE" w:rsidRDefault="002A21AE">
            <w:pPr>
              <w:pStyle w:val="TableTextBullet"/>
            </w:pPr>
            <w:r>
              <w:t xml:space="preserve">Lists currently assigned units. </w:t>
            </w:r>
          </w:p>
          <w:p w14:paraId="0A911D04" w14:textId="77777777" w:rsidR="002A21AE" w:rsidRDefault="002A21AE">
            <w:pPr>
              <w:pStyle w:val="TableTextBullet"/>
            </w:pPr>
            <w:r>
              <w:t>Allows the user to list assigned units by patient, by unit ID, or by unit expiration date.</w:t>
            </w:r>
          </w:p>
          <w:p w14:paraId="7C12E68F" w14:textId="77777777" w:rsidR="002A21AE" w:rsidRDefault="002A21AE">
            <w:pPr>
              <w:pStyle w:val="TableText"/>
            </w:pPr>
          </w:p>
          <w:p w14:paraId="7C24006B" w14:textId="77777777" w:rsidR="002A21AE" w:rsidRDefault="00057948">
            <w:pPr>
              <w:pStyle w:val="TableText"/>
              <w:rPr>
                <w:b/>
                <w:bCs/>
                <w:szCs w:val="18"/>
              </w:rPr>
            </w:pPr>
            <w:r>
              <w:rPr>
                <w:b/>
                <w:bCs/>
                <w:noProof/>
              </w:rPr>
              <mc:AlternateContent>
                <mc:Choice Requires="wps">
                  <w:drawing>
                    <wp:anchor distT="0" distB="0" distL="114300" distR="114300" simplePos="0" relativeHeight="251497984" behindDoc="0" locked="0" layoutInCell="1" allowOverlap="1" wp14:anchorId="4DC10A87" wp14:editId="00131F65">
                      <wp:simplePos x="0" y="0"/>
                      <wp:positionH relativeFrom="column">
                        <wp:posOffset>457200</wp:posOffset>
                      </wp:positionH>
                      <wp:positionV relativeFrom="paragraph">
                        <wp:posOffset>65405</wp:posOffset>
                      </wp:positionV>
                      <wp:extent cx="3200400" cy="0"/>
                      <wp:effectExtent l="9525" t="17780" r="9525" b="10795"/>
                      <wp:wrapNone/>
                      <wp:docPr id="427" name="Line 807" descr="P6186C6T6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6F2CE" id="Line 807" o:spid="_x0000_s1026" alt="&quot;&quot;" style="position:absolute;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ThdcZ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0C310E79" w14:textId="77777777" w:rsidR="002A21AE" w:rsidRDefault="002A21AE">
            <w:pPr>
              <w:pStyle w:val="NotesText"/>
            </w:pPr>
          </w:p>
          <w:p w14:paraId="5104E656" w14:textId="77777777" w:rsidR="002A21AE" w:rsidRDefault="002A21AE">
            <w:pPr>
              <w:pStyle w:val="NotesText"/>
            </w:pPr>
            <w:r>
              <w:rPr>
                <w:rFonts w:cs="Arial"/>
                <w:vanish/>
              </w:rPr>
              <w:t xml:space="preserve">BR_47.03 </w:t>
            </w:r>
            <w:r>
              <w:t>VBECS indicates which specimens and units are expired.</w:t>
            </w:r>
          </w:p>
          <w:p w14:paraId="44055BCA" w14:textId="77777777" w:rsidR="002A21AE" w:rsidRDefault="002A21AE">
            <w:pPr>
              <w:pStyle w:val="NotesText"/>
            </w:pPr>
          </w:p>
          <w:p w14:paraId="1C9F3977" w14:textId="77777777" w:rsidR="002A21AE" w:rsidRDefault="002A21AE">
            <w:pPr>
              <w:pStyle w:val="NotesText"/>
            </w:pPr>
            <w:r>
              <w:rPr>
                <w:rFonts w:cs="Arial"/>
                <w:vanish/>
              </w:rPr>
              <w:t xml:space="preserve">BR_47.04 </w:t>
            </w:r>
            <w:r>
              <w:t>VBECS displays a unit’s donation type only when it is restricted.</w:t>
            </w:r>
          </w:p>
          <w:p w14:paraId="236C3EFB" w14:textId="77777777" w:rsidR="002A21AE" w:rsidRDefault="002A21AE">
            <w:pPr>
              <w:pStyle w:val="NotesText"/>
            </w:pPr>
          </w:p>
          <w:p w14:paraId="0AB8F83B" w14:textId="77777777" w:rsidR="002A21AE" w:rsidRDefault="002A21AE">
            <w:pPr>
              <w:pStyle w:val="NotesText"/>
            </w:pPr>
            <w:r>
              <w:rPr>
                <w:rFonts w:cs="Arial"/>
                <w:vanish/>
              </w:rPr>
              <w:t xml:space="preserve">BR_47.01 </w:t>
            </w:r>
            <w:r>
              <w:t>VBECS displays all currently assigned/crossmatched units located in the blood bank. When the user enters a unit ID that is not currently in the blood bank location, VBECS warns the user, clears the unit ID entry, and allows the user to enter another unit or patient.</w:t>
            </w:r>
          </w:p>
          <w:p w14:paraId="7517A920" w14:textId="77777777" w:rsidR="000D6CA6" w:rsidRDefault="000D6CA6" w:rsidP="00410012">
            <w:pPr>
              <w:pStyle w:val="NotesText"/>
            </w:pPr>
          </w:p>
        </w:tc>
      </w:tr>
      <w:tr w:rsidR="002A21AE" w14:paraId="52ADE71F" w14:textId="77777777">
        <w:tc>
          <w:tcPr>
            <w:tcW w:w="3240" w:type="dxa"/>
          </w:tcPr>
          <w:p w14:paraId="1254CFD1" w14:textId="77777777" w:rsidR="002A21AE" w:rsidRDefault="002A21AE">
            <w:pPr>
              <w:pStyle w:val="TableTextNumbers"/>
            </w:pPr>
            <w:r>
              <w:t>Indicate which units to release.</w:t>
            </w:r>
          </w:p>
          <w:p w14:paraId="5AB552DA" w14:textId="77777777" w:rsidR="005E1395" w:rsidRDefault="005E1395" w:rsidP="005E1395">
            <w:pPr>
              <w:pStyle w:val="TableTextNumbers"/>
              <w:numPr>
                <w:ilvl w:val="0"/>
                <w:numId w:val="0"/>
              </w:numPr>
              <w:ind w:left="288" w:hanging="288"/>
            </w:pPr>
          </w:p>
          <w:p w14:paraId="79384B6F" w14:textId="77777777" w:rsidR="005E1395" w:rsidRDefault="005E1395" w:rsidP="005E1395">
            <w:pPr>
              <w:pStyle w:val="TableTextNumbersContinued"/>
            </w:pPr>
            <w:r>
              <w:t xml:space="preserve">Click </w:t>
            </w:r>
            <w:r w:rsidRPr="005E1395">
              <w:rPr>
                <w:b/>
              </w:rPr>
              <w:t>OK</w:t>
            </w:r>
            <w:r>
              <w:t>.</w:t>
            </w:r>
          </w:p>
          <w:p w14:paraId="7FB2E425" w14:textId="77777777" w:rsidR="002A21AE" w:rsidRDefault="002A21AE">
            <w:pPr>
              <w:pStyle w:val="TableTextNumbersContinued"/>
            </w:pPr>
          </w:p>
          <w:p w14:paraId="0CE76557" w14:textId="10DF6F84" w:rsidR="002A21AE" w:rsidRDefault="002A21AE">
            <w:pPr>
              <w:pStyle w:val="TableTextNumbersContinued"/>
            </w:pPr>
            <w:r>
              <w:t>Indicate a reason for release of units</w:t>
            </w:r>
            <w:r w:rsidR="005E1395">
              <w:t xml:space="preserve"> (</w:t>
            </w:r>
            <w:r w:rsidR="005E1395">
              <w:fldChar w:fldCharType="begin" w:fldLock="1"/>
            </w:r>
            <w:r w:rsidR="005E1395">
              <w:instrText xml:space="preserve"> REF _Ref127159073 \h </w:instrText>
            </w:r>
            <w:r w:rsidR="005E1395">
              <w:fldChar w:fldCharType="separate"/>
            </w:r>
            <w:r w:rsidR="00AB304C">
              <w:t xml:space="preserve">Figure </w:t>
            </w:r>
            <w:r w:rsidR="00AB304C">
              <w:rPr>
                <w:noProof/>
              </w:rPr>
              <w:t>108</w:t>
            </w:r>
            <w:r w:rsidR="005E1395">
              <w:fldChar w:fldCharType="end"/>
            </w:r>
            <w:r w:rsidR="005E1395">
              <w:t>)</w:t>
            </w:r>
            <w:r>
              <w:t>.</w:t>
            </w:r>
          </w:p>
        </w:tc>
        <w:tc>
          <w:tcPr>
            <w:tcW w:w="6120" w:type="dxa"/>
          </w:tcPr>
          <w:p w14:paraId="242784DD" w14:textId="77777777" w:rsidR="002A21AE" w:rsidRDefault="002A21AE">
            <w:pPr>
              <w:pStyle w:val="TableTextBullet"/>
            </w:pPr>
            <w:r>
              <w:t>Allows the user to enter a reason for releasing for an individual unit.</w:t>
            </w:r>
          </w:p>
          <w:p w14:paraId="1B20C5FD" w14:textId="77777777" w:rsidR="002A21AE" w:rsidRDefault="002A21AE">
            <w:pPr>
              <w:pStyle w:val="TableTextBullet"/>
            </w:pPr>
            <w:r>
              <w:t>Allows the user to review the selections, select additional units, and deselect units before saving.</w:t>
            </w:r>
          </w:p>
          <w:p w14:paraId="53583B1F" w14:textId="77777777" w:rsidR="002A21AE" w:rsidRDefault="002A21AE">
            <w:pPr>
              <w:pStyle w:val="TableText"/>
            </w:pPr>
          </w:p>
          <w:p w14:paraId="7AE107A6" w14:textId="77777777" w:rsidR="002A21AE" w:rsidRDefault="00057948">
            <w:pPr>
              <w:pStyle w:val="TableText"/>
              <w:rPr>
                <w:b/>
                <w:bCs/>
                <w:szCs w:val="18"/>
              </w:rPr>
            </w:pPr>
            <w:r>
              <w:rPr>
                <w:b/>
                <w:bCs/>
                <w:noProof/>
              </w:rPr>
              <mc:AlternateContent>
                <mc:Choice Requires="wps">
                  <w:drawing>
                    <wp:anchor distT="0" distB="0" distL="114300" distR="114300" simplePos="0" relativeHeight="251501056" behindDoc="0" locked="0" layoutInCell="1" allowOverlap="1" wp14:anchorId="68963152" wp14:editId="78A81591">
                      <wp:simplePos x="0" y="0"/>
                      <wp:positionH relativeFrom="column">
                        <wp:posOffset>457200</wp:posOffset>
                      </wp:positionH>
                      <wp:positionV relativeFrom="paragraph">
                        <wp:posOffset>65405</wp:posOffset>
                      </wp:positionV>
                      <wp:extent cx="3200400" cy="0"/>
                      <wp:effectExtent l="9525" t="17780" r="9525" b="10795"/>
                      <wp:wrapNone/>
                      <wp:docPr id="426" name="Line 808" descr="P6203C8T6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58F05" id="Line 808" o:spid="_x0000_s1026" alt="&quot;&quot;" style="position:absolute;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mSNAn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25EF6105" w14:textId="77777777" w:rsidR="002A21AE" w:rsidRDefault="002A21AE">
            <w:pPr>
              <w:pStyle w:val="NotesText"/>
            </w:pPr>
          </w:p>
          <w:p w14:paraId="6B69BE14" w14:textId="77777777" w:rsidR="002A21AE" w:rsidRDefault="002A21AE">
            <w:pPr>
              <w:pStyle w:val="NotesText"/>
            </w:pPr>
            <w:r>
              <w:rPr>
                <w:rFonts w:cs="Arial"/>
                <w:vanish/>
              </w:rPr>
              <w:t xml:space="preserve">BR_47.06 </w:t>
            </w:r>
            <w:r>
              <w:t>VBECS allows the user to select no units or one or more units for each patient on the list.</w:t>
            </w:r>
          </w:p>
        </w:tc>
      </w:tr>
      <w:tr w:rsidR="002A21AE" w14:paraId="7542C03B" w14:textId="77777777">
        <w:tc>
          <w:tcPr>
            <w:tcW w:w="3240" w:type="dxa"/>
          </w:tcPr>
          <w:p w14:paraId="748872CA" w14:textId="77777777" w:rsidR="002A21AE" w:rsidRDefault="002A21AE">
            <w:pPr>
              <w:pStyle w:val="TableTextNumbers"/>
            </w:pPr>
            <w:r>
              <w:t xml:space="preserve">Review the entered information and click </w:t>
            </w:r>
            <w:r>
              <w:rPr>
                <w:b/>
              </w:rPr>
              <w:t>OK</w:t>
            </w:r>
            <w:r>
              <w:t xml:space="preserve"> to save.</w:t>
            </w:r>
          </w:p>
          <w:p w14:paraId="31A8AA1E" w14:textId="77777777" w:rsidR="002A21AE" w:rsidRDefault="002A21AE">
            <w:pPr>
              <w:pStyle w:val="TableTextNumbersContinued"/>
            </w:pPr>
          </w:p>
          <w:p w14:paraId="2E9308C2" w14:textId="77777777" w:rsidR="002A21AE" w:rsidRDefault="002A21AE">
            <w:pPr>
              <w:pStyle w:val="TableTextNumbersContinued"/>
            </w:pPr>
            <w:r>
              <w:t xml:space="preserve">Click </w:t>
            </w:r>
            <w:r>
              <w:rPr>
                <w:b/>
              </w:rPr>
              <w:t>OK</w:t>
            </w:r>
            <w:r>
              <w:t xml:space="preserve"> to exit.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14:paraId="59C3B55E" w14:textId="77777777" w:rsidR="002A21AE" w:rsidRDefault="002A21AE">
            <w:pPr>
              <w:pStyle w:val="TableTextBullet"/>
            </w:pPr>
            <w:r>
              <w:t>Updates the patient record, the unit record, and the status.</w:t>
            </w:r>
          </w:p>
          <w:p w14:paraId="4411CE82" w14:textId="77777777" w:rsidR="009434C7" w:rsidRDefault="009434C7" w:rsidP="009434C7">
            <w:pPr>
              <w:pStyle w:val="TableTextBullet"/>
            </w:pPr>
            <w:r w:rsidRPr="009434C7">
              <w:rPr>
                <w:rFonts w:cs="Arial"/>
                <w:vanish/>
                <w:szCs w:val="18"/>
              </w:rPr>
              <w:t xml:space="preserve">UC_109 </w:t>
            </w:r>
            <w:r w:rsidRPr="009434C7">
              <w:rPr>
                <w:rFonts w:cs="Arial"/>
                <w:szCs w:val="18"/>
              </w:rPr>
              <w:t>Sends</w:t>
            </w:r>
            <w:r w:rsidRPr="001F6288">
              <w:rPr>
                <w:rFonts w:cs="Arial"/>
                <w:szCs w:val="18"/>
              </w:rPr>
              <w:t xml:space="preserve"> update to the BCE COTS system via an HL7 message to remove the unit from the system</w:t>
            </w:r>
            <w:r>
              <w:rPr>
                <w:rFonts w:cs="Arial"/>
                <w:szCs w:val="18"/>
              </w:rPr>
              <w:t>.</w:t>
            </w:r>
          </w:p>
          <w:p w14:paraId="7A2C38A0" w14:textId="77777777" w:rsidR="002A21AE" w:rsidRDefault="002A21AE">
            <w:pPr>
              <w:pStyle w:val="TableText"/>
            </w:pPr>
          </w:p>
          <w:p w14:paraId="0D854571" w14:textId="77777777" w:rsidR="002A21AE" w:rsidRDefault="00057948">
            <w:pPr>
              <w:pStyle w:val="TableText"/>
              <w:rPr>
                <w:b/>
                <w:bCs/>
                <w:szCs w:val="18"/>
              </w:rPr>
            </w:pPr>
            <w:r>
              <w:rPr>
                <w:b/>
                <w:bCs/>
                <w:noProof/>
              </w:rPr>
              <mc:AlternateContent>
                <mc:Choice Requires="wps">
                  <w:drawing>
                    <wp:anchor distT="0" distB="0" distL="114300" distR="114300" simplePos="0" relativeHeight="251504128" behindDoc="0" locked="0" layoutInCell="1" allowOverlap="1" wp14:anchorId="3F9D61A0" wp14:editId="63505E80">
                      <wp:simplePos x="0" y="0"/>
                      <wp:positionH relativeFrom="column">
                        <wp:posOffset>457200</wp:posOffset>
                      </wp:positionH>
                      <wp:positionV relativeFrom="paragraph">
                        <wp:posOffset>65405</wp:posOffset>
                      </wp:positionV>
                      <wp:extent cx="3200400" cy="0"/>
                      <wp:effectExtent l="9525" t="17780" r="9525" b="10795"/>
                      <wp:wrapNone/>
                      <wp:docPr id="425" name="Line 809" descr="P6213C10T6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9D19F" id="Line 809" o:spid="_x0000_s1026" alt="&quot;&quot;" style="position:absolute;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MfHGK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4CC5C882" w14:textId="77777777" w:rsidR="002A21AE" w:rsidRDefault="002A21AE">
            <w:pPr>
              <w:pStyle w:val="NotesText"/>
            </w:pPr>
          </w:p>
          <w:p w14:paraId="5AA9EF81" w14:textId="77777777" w:rsidR="002A21AE" w:rsidRDefault="002A21AE">
            <w:pPr>
              <w:pStyle w:val="NotesText"/>
            </w:pPr>
            <w:r>
              <w:rPr>
                <w:rFonts w:cs="Arial"/>
                <w:vanish/>
              </w:rPr>
              <w:t xml:space="preserve">BR_47.07 </w:t>
            </w:r>
            <w:r>
              <w:t>When a unit has a future expiration date and holds no other assignments, VBECS updates the unit to “available” status. When a unit is assigned to a different patient, it remains assigned to that patient.</w:t>
            </w:r>
          </w:p>
          <w:p w14:paraId="4455FE41" w14:textId="77777777" w:rsidR="002A21AE" w:rsidRDefault="002A21AE">
            <w:pPr>
              <w:pStyle w:val="NotesText"/>
            </w:pPr>
          </w:p>
          <w:p w14:paraId="3207EE03" w14:textId="77777777" w:rsidR="002A21AE" w:rsidRDefault="002A21AE" w:rsidP="00DA7212">
            <w:pPr>
              <w:pStyle w:val="NotesText"/>
            </w:pPr>
            <w:r>
              <w:t>VBECS alerts the user when the unit is expired and reminds him to remove additional patient assignments and the unit from the available inventory according to local policies. VBECS instructs the user to release the unit from all assignments and remove it from the available inventory</w:t>
            </w:r>
            <w:r w:rsidR="00DA7212">
              <w:t xml:space="preserve"> per hospital policy.</w:t>
            </w:r>
          </w:p>
        </w:tc>
      </w:tr>
    </w:tbl>
    <w:p w14:paraId="1CD57ACA" w14:textId="04E7EFE2" w:rsidR="005E1395" w:rsidRDefault="005E1395" w:rsidP="005E1395">
      <w:pPr>
        <w:pStyle w:val="Caption"/>
      </w:pPr>
      <w:bookmarkStart w:id="421" w:name="_Ref127159073"/>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108</w:t>
      </w:r>
      <w:r w:rsidR="004E20BD">
        <w:rPr>
          <w:noProof/>
        </w:rPr>
        <w:fldChar w:fldCharType="end"/>
      </w:r>
      <w:bookmarkEnd w:id="421"/>
      <w:r>
        <w:t>: Confirm Release</w:t>
      </w:r>
    </w:p>
    <w:p w14:paraId="44D46BD4" w14:textId="77777777" w:rsidR="005E1395" w:rsidRDefault="00057948">
      <w:pPr>
        <w:pStyle w:val="BodyText"/>
      </w:pPr>
      <w:r>
        <w:rPr>
          <w:noProof/>
        </w:rPr>
        <w:drawing>
          <wp:inline distT="0" distB="0" distL="0" distR="0" wp14:anchorId="723AB814" wp14:editId="1D4641AC">
            <wp:extent cx="4692015" cy="3362325"/>
            <wp:effectExtent l="0" t="0" r="0" b="9525"/>
            <wp:docPr id="197" name="Picture 197" descr="P6220#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P6220#yIS1">
                      <a:extLst>
                        <a:ext uri="{C183D7F6-B498-43B3-948B-1728B52AA6E4}">
                          <adec:decorative xmlns:adec="http://schemas.microsoft.com/office/drawing/2017/decorative" val="1"/>
                        </a:ext>
                      </a:extLst>
                    </pic:cNvP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692015" cy="3362325"/>
                    </a:xfrm>
                    <a:prstGeom prst="rect">
                      <a:avLst/>
                    </a:prstGeom>
                    <a:noFill/>
                    <a:ln>
                      <a:noFill/>
                    </a:ln>
                  </pic:spPr>
                </pic:pic>
              </a:graphicData>
            </a:graphic>
          </wp:inline>
        </w:drawing>
      </w:r>
    </w:p>
    <w:p w14:paraId="243972B1" w14:textId="77777777" w:rsidR="002A21AE" w:rsidRDefault="002A21AE">
      <w:pPr>
        <w:pStyle w:val="Heading2"/>
      </w:pPr>
      <w:r>
        <w:br w:type="page"/>
      </w:r>
      <w:bookmarkStart w:id="422" w:name="_Toc4588796"/>
      <w:r>
        <w:lastRenderedPageBreak/>
        <w:t>Print Unit Caution Tag &amp; Transfusion Record Form</w:t>
      </w:r>
      <w:bookmarkEnd w:id="422"/>
      <w:r w:rsidRPr="007716F7">
        <w:rPr>
          <w:vanish/>
        </w:rPr>
        <w:fldChar w:fldCharType="begin"/>
      </w:r>
      <w:r w:rsidRPr="007716F7">
        <w:rPr>
          <w:vanish/>
        </w:rPr>
        <w:instrText xml:space="preserve"> XE </w:instrText>
      </w:r>
      <w:r w:rsidR="00FA7E65" w:rsidRPr="007716F7">
        <w:rPr>
          <w:vanish/>
        </w:rPr>
        <w:instrText>“</w:instrText>
      </w:r>
      <w:r w:rsidRPr="007716F7">
        <w:rPr>
          <w:vanish/>
        </w:rPr>
        <w:instrText>Print Unit Caution Tag &amp; Transfusion Record Form</w:instrText>
      </w:r>
      <w:r w:rsidR="00FA7E65" w:rsidRPr="007716F7">
        <w:rPr>
          <w:vanish/>
        </w:rPr>
        <w:instrText>”</w:instrText>
      </w:r>
      <w:r w:rsidRPr="007716F7">
        <w:rPr>
          <w:vanish/>
        </w:rPr>
        <w:instrText xml:space="preserve"> </w:instrText>
      </w:r>
      <w:r w:rsidRPr="007716F7">
        <w:rPr>
          <w:vanish/>
        </w:rPr>
        <w:fldChar w:fldCharType="end"/>
      </w:r>
      <w:r w:rsidRPr="007716F7">
        <w:rPr>
          <w:vanish/>
        </w:rPr>
        <w:t xml:space="preserve"> UC_43, UC_44</w:t>
      </w:r>
    </w:p>
    <w:p w14:paraId="4AF1BF80" w14:textId="77777777" w:rsidR="00AD5827" w:rsidRDefault="002A21AE" w:rsidP="00FA7E65">
      <w:pPr>
        <w:pStyle w:val="BodyText"/>
      </w:pPr>
      <w:r>
        <w:t>The user may print a Caution Tag and/or a Blood Transfusion Record Form (BTRF) when crossmatch compatibility, assignment, or emergency issue are completed or as an independent action.</w:t>
      </w:r>
    </w:p>
    <w:p w14:paraId="374C6B1D" w14:textId="77777777" w:rsidR="002A21AE" w:rsidRDefault="002A21AE">
      <w:pPr>
        <w:pStyle w:val="Heading4"/>
      </w:pPr>
      <w:r>
        <w:t>Assumptions</w:t>
      </w:r>
      <w:r>
        <w:rPr>
          <w:b w:val="0"/>
        </w:rPr>
        <w:t xml:space="preserve"> </w:t>
      </w:r>
    </w:p>
    <w:p w14:paraId="09B61AAB" w14:textId="77777777" w:rsidR="002A21AE" w:rsidRDefault="002A21AE">
      <w:pPr>
        <w:pStyle w:val="ListBullet"/>
      </w:pPr>
      <w:r>
        <w:t>The blood unit, patient order, and user are in the same division.</w:t>
      </w:r>
    </w:p>
    <w:p w14:paraId="2A29D183" w14:textId="77777777" w:rsidR="002A21AE" w:rsidRDefault="002A21AE">
      <w:pPr>
        <w:pStyle w:val="ListBullet"/>
      </w:pPr>
      <w:r>
        <w:t>There is a current component class or emergency issue order for the patient, and the blood unit printed on the Caution Tag fulfills the patient order requirements.</w:t>
      </w:r>
    </w:p>
    <w:p w14:paraId="21575BB1" w14:textId="77777777" w:rsidR="002A21AE" w:rsidRDefault="002A21AE">
      <w:pPr>
        <w:pStyle w:val="ListBullet"/>
      </w:pPr>
      <w:r>
        <w:t>When the blood unit belongs to a component class that does not require crossmatch, it has a status of “assigned” (non-emergency issue only).</w:t>
      </w:r>
    </w:p>
    <w:p w14:paraId="2F656B9F" w14:textId="77777777" w:rsidR="002A21AE" w:rsidRDefault="002A21AE">
      <w:pPr>
        <w:pStyle w:val="ListBullet"/>
      </w:pPr>
      <w:r>
        <w:t>For non-emergency issue, the blood unit meets all patient Transfusion Requirements (TRs).</w:t>
      </w:r>
    </w:p>
    <w:p w14:paraId="60DE6FD4" w14:textId="77777777" w:rsidR="002A21AE" w:rsidRDefault="002A21AE">
      <w:pPr>
        <w:pStyle w:val="Heading4"/>
      </w:pPr>
      <w:r>
        <w:t>Outcome</w:t>
      </w:r>
    </w:p>
    <w:p w14:paraId="5074F347" w14:textId="77777777" w:rsidR="002A21AE" w:rsidRDefault="002A21AE">
      <w:pPr>
        <w:pStyle w:val="ListBullet"/>
      </w:pPr>
      <w:r>
        <w:t xml:space="preserve">The barcode generated on the Caution Tag </w:t>
      </w:r>
      <w:r w:rsidR="005C6950">
        <w:t>may</w:t>
      </w:r>
      <w:r>
        <w:t xml:space="preserve"> be used in bedside verification procedures</w:t>
      </w:r>
      <w:r w:rsidR="005C6950">
        <w:t>, in accordance with local policy and procedures</w:t>
      </w:r>
      <w:r>
        <w:t>.</w:t>
      </w:r>
    </w:p>
    <w:p w14:paraId="31A5CDC6" w14:textId="77777777" w:rsidR="002A21AE" w:rsidRDefault="002A21AE">
      <w:pPr>
        <w:pStyle w:val="ListBullet"/>
      </w:pPr>
      <w:r>
        <w:t>A user may reprint a BTRF and Caution Tag.</w:t>
      </w:r>
    </w:p>
    <w:p w14:paraId="40D3FCBF" w14:textId="77777777" w:rsidR="002A21AE" w:rsidRDefault="002A21AE">
      <w:pPr>
        <w:pStyle w:val="Heading4"/>
      </w:pPr>
      <w:r>
        <w:t>Limitations and Restrictions</w:t>
      </w:r>
      <w:r>
        <w:rPr>
          <w:b w:val="0"/>
        </w:rPr>
        <w:t xml:space="preserve"> </w:t>
      </w:r>
    </w:p>
    <w:p w14:paraId="1F9400BB" w14:textId="77777777" w:rsidR="002A21AE" w:rsidRDefault="002A21AE">
      <w:pPr>
        <w:pStyle w:val="ListBullet"/>
      </w:pPr>
      <w:bookmarkStart w:id="423" w:name="OLE_LINK23"/>
      <w:r>
        <w:t xml:space="preserve">VBECS cannot reprint a Caution Tag on an expired unit or </w:t>
      </w:r>
      <w:r w:rsidR="00FE1BEB">
        <w:t xml:space="preserve">expired </w:t>
      </w:r>
      <w:r>
        <w:t>patient order.</w:t>
      </w:r>
    </w:p>
    <w:p w14:paraId="0BECDB81" w14:textId="12B33EE4" w:rsidR="003226D0" w:rsidRDefault="003226D0" w:rsidP="003226D0">
      <w:pPr>
        <w:pStyle w:val="ListBullet"/>
      </w:pPr>
      <w:r>
        <w:t xml:space="preserve">VBECS does not print a unit’s </w:t>
      </w:r>
      <w:r w:rsidRPr="00D47D4A">
        <w:t>biohazardous</w:t>
      </w:r>
      <w:r>
        <w:t xml:space="preserve"> status on the BTRF or Caution Tag</w:t>
      </w:r>
      <w:r w:rsidRPr="00D47D4A">
        <w:t xml:space="preserve">. </w:t>
      </w:r>
    </w:p>
    <w:p w14:paraId="018072C5" w14:textId="3BED1957" w:rsidR="007114A4" w:rsidRDefault="009556B9" w:rsidP="003226D0">
      <w:pPr>
        <w:pStyle w:val="ListBullet"/>
      </w:pPr>
      <w:r>
        <w:t xml:space="preserve">If a unit has been crossmatched by two different technologists, the Compatibility Interpretation section of the BTRF displays the technologist that performed the earlier XM testing. </w:t>
      </w:r>
      <w:r w:rsidR="002B29EA">
        <w:t>Handwrite the missing current</w:t>
      </w:r>
      <w:r w:rsidR="00F34EA6">
        <w:t xml:space="preserve"> technologist initials on the printed BTRF. </w:t>
      </w:r>
      <w:r w:rsidRPr="00F34EA6">
        <w:rPr>
          <w:vanish/>
        </w:rPr>
        <w:t>Defect 210195</w:t>
      </w:r>
    </w:p>
    <w:bookmarkEnd w:id="423"/>
    <w:p w14:paraId="18ADA7FA" w14:textId="77777777" w:rsidR="002A21AE" w:rsidRDefault="002A21AE">
      <w:pPr>
        <w:pStyle w:val="Heading4"/>
      </w:pPr>
      <w:r>
        <w:t>Additional Information</w:t>
      </w:r>
    </w:p>
    <w:p w14:paraId="5911D991" w14:textId="77777777" w:rsidR="002A21AE" w:rsidRDefault="002A21AE">
      <w:pPr>
        <w:pStyle w:val="ListBullet"/>
      </w:pPr>
      <w:r>
        <w:rPr>
          <w:rFonts w:ascii="Arial" w:hAnsi="Arial" w:cs="Arial"/>
          <w:vanish/>
          <w:spacing w:val="0"/>
          <w:sz w:val="18"/>
        </w:rPr>
        <w:t xml:space="preserve">BR_43.10 </w:t>
      </w:r>
      <w:r>
        <w:t>The informational barcode printed on the Caution Tag includes only the patient and unit IDs and the unit product code.</w:t>
      </w:r>
    </w:p>
    <w:p w14:paraId="1CD46EEA" w14:textId="77777777" w:rsidR="002A21AE" w:rsidRDefault="002A21AE">
      <w:pPr>
        <w:pStyle w:val="ListBullet"/>
      </w:pPr>
      <w:r>
        <w:t>A user may print multiple Caution Tags and BTRFs for a blood unit when it is assigned to multiple patients.</w:t>
      </w:r>
    </w:p>
    <w:p w14:paraId="1CAFB551" w14:textId="77777777" w:rsidR="002A21AE" w:rsidRDefault="00FE1BEB">
      <w:pPr>
        <w:pStyle w:val="ListBullet"/>
      </w:pPr>
      <w:r>
        <w:t>A</w:t>
      </w:r>
      <w:r w:rsidR="002A21AE">
        <w:t>ttach the Caution Tag</w:t>
      </w:r>
      <w:r>
        <w:t xml:space="preserve"> labels to blood bags in accordance with local policy and procedures</w:t>
      </w:r>
      <w:r w:rsidR="002A21AE">
        <w:t>.</w:t>
      </w:r>
    </w:p>
    <w:p w14:paraId="1BCBA1A5" w14:textId="77777777" w:rsidR="002A21AE" w:rsidRDefault="002A21AE">
      <w:pPr>
        <w:pStyle w:val="Heading4"/>
        <w:rPr>
          <w:b w:val="0"/>
        </w:rPr>
      </w:pPr>
      <w:r>
        <w:t>User Roles with Access to This Option</w:t>
      </w:r>
      <w:r>
        <w:rPr>
          <w:b w:val="0"/>
        </w:rPr>
        <w:t xml:space="preserve"> </w:t>
      </w:r>
    </w:p>
    <w:p w14:paraId="6E04F9C6" w14:textId="77777777" w:rsidR="00396D65" w:rsidRDefault="00396D65" w:rsidP="00396D65">
      <w:pPr>
        <w:pStyle w:val="Roles"/>
        <w:rPr>
          <w:snapToGrid w:val="0"/>
        </w:rPr>
      </w:pPr>
      <w:r>
        <w:t>All users</w:t>
      </w:r>
      <w:r>
        <w:rPr>
          <w:snapToGrid w:val="0"/>
        </w:rPr>
        <w:t xml:space="preserve"> </w:t>
      </w:r>
    </w:p>
    <w:p w14:paraId="4FEF2208" w14:textId="77777777" w:rsidR="002A21AE" w:rsidRDefault="002A21AE">
      <w:pPr>
        <w:pStyle w:val="Heading4"/>
      </w:pPr>
      <w:r>
        <w:t xml:space="preserve">Print </w:t>
      </w:r>
      <w:r w:rsidR="004B2F32">
        <w:t>Backup</w:t>
      </w:r>
      <w:r>
        <w:t xml:space="preserve"> Caution Tags and Blood Transfusion Record Forms</w:t>
      </w:r>
      <w:r>
        <w:fldChar w:fldCharType="begin"/>
      </w:r>
      <w:r>
        <w:instrText xml:space="preserve"> XE </w:instrText>
      </w:r>
      <w:r w:rsidR="00FA7E65">
        <w:instrText>“</w:instrText>
      </w:r>
      <w:r>
        <w:instrText xml:space="preserve">Print </w:instrText>
      </w:r>
      <w:r w:rsidR="004B2F32">
        <w:instrText>Backup</w:instrText>
      </w:r>
      <w:r>
        <w:instrText xml:space="preserve"> Caution Tags and Blood Transfusion Record Forms</w:instrText>
      </w:r>
      <w:r w:rsidR="00FA7E65">
        <w:instrText>”</w:instrText>
      </w:r>
      <w:r>
        <w:instrText xml:space="preserve"> </w:instrText>
      </w:r>
      <w:r>
        <w:fldChar w:fldCharType="end"/>
      </w:r>
      <w:r>
        <w:t xml:space="preserve"> </w:t>
      </w:r>
    </w:p>
    <w:p w14:paraId="23F9658C" w14:textId="77777777" w:rsidR="002A21AE" w:rsidRDefault="002A21AE" w:rsidP="00FA7E65">
      <w:pPr>
        <w:pStyle w:val="BodyText"/>
      </w:pPr>
      <w:r>
        <w:t>It is recommend</w:t>
      </w:r>
      <w:r w:rsidR="00164C0F">
        <w:t>ed</w:t>
      </w:r>
      <w:r>
        <w:t xml:space="preserve"> that </w:t>
      </w:r>
      <w:r w:rsidR="004B2F32">
        <w:t>b</w:t>
      </w:r>
      <w:r>
        <w:t>lank Caution Tags and BTRFs be kept on hand in case the system or printer is not available to generate them.</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0F97216" w14:textId="77777777">
        <w:trPr>
          <w:cantSplit/>
          <w:tblHeader/>
        </w:trPr>
        <w:tc>
          <w:tcPr>
            <w:tcW w:w="3240" w:type="dxa"/>
            <w:shd w:val="pct30" w:color="auto" w:fill="FFFFFF"/>
            <w:vAlign w:val="bottom"/>
          </w:tcPr>
          <w:p w14:paraId="31B98121" w14:textId="77777777" w:rsidR="002A21AE" w:rsidRDefault="002A21AE">
            <w:pPr>
              <w:pStyle w:val="TableText"/>
              <w:rPr>
                <w:b/>
              </w:rPr>
            </w:pPr>
            <w:bookmarkStart w:id="424" w:name="_Toc48708314"/>
            <w:bookmarkStart w:id="425" w:name="_Toc48708326"/>
            <w:bookmarkStart w:id="426" w:name="_Toc77663248"/>
            <w:r>
              <w:rPr>
                <w:b/>
              </w:rPr>
              <w:t>User Action</w:t>
            </w:r>
          </w:p>
        </w:tc>
        <w:tc>
          <w:tcPr>
            <w:tcW w:w="6120" w:type="dxa"/>
            <w:shd w:val="pct30" w:color="auto" w:fill="FFFFFF"/>
            <w:vAlign w:val="bottom"/>
          </w:tcPr>
          <w:p w14:paraId="349B9D97" w14:textId="77777777" w:rsidR="002A21AE" w:rsidRDefault="002A21AE">
            <w:pPr>
              <w:pStyle w:val="TableText"/>
              <w:rPr>
                <w:b/>
              </w:rPr>
            </w:pPr>
            <w:r>
              <w:rPr>
                <w:b/>
              </w:rPr>
              <w:t>VBECS</w:t>
            </w:r>
          </w:p>
        </w:tc>
      </w:tr>
      <w:tr w:rsidR="002A21AE" w14:paraId="27913D74" w14:textId="77777777">
        <w:tc>
          <w:tcPr>
            <w:tcW w:w="3240" w:type="dxa"/>
          </w:tcPr>
          <w:p w14:paraId="0C9A93BB" w14:textId="77777777" w:rsidR="002A21AE" w:rsidRDefault="002A21AE">
            <w:pPr>
              <w:pStyle w:val="TableTextNumbers"/>
            </w:pPr>
            <w:r>
              <w:t xml:space="preserve">Select </w:t>
            </w:r>
            <w:r>
              <w:rPr>
                <w:b/>
              </w:rPr>
              <w:t>Tools</w:t>
            </w:r>
            <w:r>
              <w:t xml:space="preserve"> from the main menu.</w:t>
            </w:r>
          </w:p>
          <w:p w14:paraId="21222954" w14:textId="77777777" w:rsidR="002A21AE" w:rsidRDefault="002A21AE">
            <w:pPr>
              <w:pStyle w:val="TableTextNumbersContinued"/>
              <w:rPr>
                <w:b/>
                <w:bCs/>
              </w:rPr>
            </w:pPr>
          </w:p>
          <w:p w14:paraId="36983E6D" w14:textId="77777777" w:rsidR="002A21AE" w:rsidRDefault="002A21AE">
            <w:pPr>
              <w:pStyle w:val="TableTextNumbersContinued"/>
            </w:pPr>
            <w:r>
              <w:t xml:space="preserve">Select </w:t>
            </w:r>
            <w:r>
              <w:rPr>
                <w:b/>
              </w:rPr>
              <w:t>Print Backup Forms</w:t>
            </w:r>
            <w:r>
              <w:t>.</w:t>
            </w:r>
          </w:p>
          <w:p w14:paraId="099FBD4F" w14:textId="77777777" w:rsidR="002A21AE" w:rsidRDefault="002A21AE">
            <w:pPr>
              <w:pStyle w:val="TableTextNumbersContinued"/>
            </w:pPr>
          </w:p>
          <w:p w14:paraId="502E2DC8" w14:textId="1EDA662B" w:rsidR="002A21AE" w:rsidRDefault="002A21AE">
            <w:pPr>
              <w:pStyle w:val="TableTextNumbersContinued"/>
            </w:pPr>
            <w:r>
              <w:t>Enter or select the number of blank tags or forms to print</w:t>
            </w:r>
            <w:r w:rsidR="009B102E">
              <w:t xml:space="preserve"> (</w:t>
            </w:r>
            <w:r w:rsidR="009B102E">
              <w:fldChar w:fldCharType="begin" w:fldLock="1"/>
            </w:r>
            <w:r w:rsidR="009B102E">
              <w:instrText xml:space="preserve"> REF _Ref127005506 \h </w:instrText>
            </w:r>
            <w:r w:rsidR="009B102E">
              <w:fldChar w:fldCharType="separate"/>
            </w:r>
            <w:r w:rsidR="00AB304C">
              <w:t xml:space="preserve">Figure </w:t>
            </w:r>
            <w:r w:rsidR="00AB304C">
              <w:rPr>
                <w:noProof/>
              </w:rPr>
              <w:t>109</w:t>
            </w:r>
            <w:r w:rsidR="009B102E">
              <w:fldChar w:fldCharType="end"/>
            </w:r>
            <w:r w:rsidR="009B102E">
              <w:t>)</w:t>
            </w:r>
            <w:r>
              <w:t>.</w:t>
            </w:r>
          </w:p>
          <w:p w14:paraId="169F2055" w14:textId="77777777" w:rsidR="002A21AE" w:rsidRDefault="002A21AE">
            <w:pPr>
              <w:pStyle w:val="TableTextNumbersContinued"/>
            </w:pPr>
          </w:p>
          <w:p w14:paraId="71A82C13" w14:textId="77777777" w:rsidR="002A21AE" w:rsidRDefault="002A21AE">
            <w:pPr>
              <w:pStyle w:val="TableTextNumbersContinued"/>
            </w:pPr>
            <w:r>
              <w:t xml:space="preserve">Click </w:t>
            </w:r>
            <w:r>
              <w:rPr>
                <w:b/>
              </w:rPr>
              <w:t>OK</w:t>
            </w:r>
            <w:r>
              <w:t xml:space="preserve"> to print and exit.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14:paraId="5BAFD4E1" w14:textId="77777777" w:rsidR="002A21AE" w:rsidRDefault="002A21AE">
            <w:pPr>
              <w:pStyle w:val="TableTextBullet"/>
              <w:ind w:left="0" w:firstLine="0"/>
            </w:pPr>
            <w:r>
              <w:lastRenderedPageBreak/>
              <w:t>Displays options for processing administrative functions.</w:t>
            </w:r>
          </w:p>
          <w:p w14:paraId="03869EDF" w14:textId="77777777" w:rsidR="002A21AE" w:rsidRDefault="002A21AE">
            <w:pPr>
              <w:pStyle w:val="TableTextBullet"/>
              <w:ind w:left="0" w:firstLine="0"/>
            </w:pPr>
            <w:r>
              <w:t>Prompts the user to enter the number of Caution Tags to be printed.</w:t>
            </w:r>
          </w:p>
          <w:p w14:paraId="5E899066" w14:textId="77777777" w:rsidR="002A21AE" w:rsidRDefault="002A21AE">
            <w:pPr>
              <w:pStyle w:val="TableTextBullet"/>
              <w:ind w:left="0" w:firstLine="0"/>
            </w:pPr>
            <w:r>
              <w:t>Prints the blank Caution Tags.</w:t>
            </w:r>
          </w:p>
          <w:p w14:paraId="5E758C85" w14:textId="77777777" w:rsidR="002A21AE" w:rsidRDefault="002A21AE">
            <w:pPr>
              <w:pStyle w:val="TableText"/>
              <w:rPr>
                <w:b/>
                <w:bCs/>
                <w:szCs w:val="18"/>
              </w:rPr>
            </w:pPr>
          </w:p>
          <w:p w14:paraId="5E9CA0A2" w14:textId="77777777" w:rsidR="002A21AE" w:rsidRDefault="00057948">
            <w:pPr>
              <w:pStyle w:val="TableText"/>
              <w:rPr>
                <w:b/>
                <w:bCs/>
                <w:szCs w:val="18"/>
              </w:rPr>
            </w:pPr>
            <w:r>
              <w:rPr>
                <w:b/>
                <w:bCs/>
                <w:noProof/>
              </w:rPr>
              <mc:AlternateContent>
                <mc:Choice Requires="wps">
                  <w:drawing>
                    <wp:anchor distT="0" distB="0" distL="114300" distR="114300" simplePos="0" relativeHeight="251507200" behindDoc="0" locked="0" layoutInCell="1" allowOverlap="1" wp14:anchorId="214ACD50" wp14:editId="2B522FEA">
                      <wp:simplePos x="0" y="0"/>
                      <wp:positionH relativeFrom="column">
                        <wp:posOffset>457200</wp:posOffset>
                      </wp:positionH>
                      <wp:positionV relativeFrom="paragraph">
                        <wp:posOffset>65405</wp:posOffset>
                      </wp:positionV>
                      <wp:extent cx="3200400" cy="0"/>
                      <wp:effectExtent l="9525" t="17780" r="9525" b="10795"/>
                      <wp:wrapNone/>
                      <wp:docPr id="424" name="Line 810" descr="P6257C4T6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42C1C" id="Line 810" o:spid="_x0000_s1026" alt="&quot;&quot;" style="position:absolute;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aECBT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39CB4A48" w14:textId="77777777" w:rsidR="002A21AE" w:rsidRDefault="002A21AE">
            <w:pPr>
              <w:pStyle w:val="NotesText"/>
            </w:pPr>
          </w:p>
          <w:p w14:paraId="46ED876B" w14:textId="77777777" w:rsidR="002A21AE" w:rsidRDefault="002A21AE">
            <w:pPr>
              <w:pStyle w:val="NotesText"/>
            </w:pPr>
            <w:r>
              <w:rPr>
                <w:rFonts w:cs="Arial"/>
                <w:vanish/>
              </w:rPr>
              <w:lastRenderedPageBreak/>
              <w:t xml:space="preserve">BR_43.22 </w:t>
            </w:r>
            <w:r>
              <w:t>VBECS displays an option to print a Caution Tag or a BTRF when the user selects a unit or a patient.</w:t>
            </w:r>
          </w:p>
          <w:p w14:paraId="2170F6DB" w14:textId="77777777" w:rsidR="002A21AE" w:rsidRDefault="002A21AE">
            <w:pPr>
              <w:pStyle w:val="NotesText"/>
            </w:pPr>
          </w:p>
          <w:p w14:paraId="05BAE104" w14:textId="77777777" w:rsidR="002A21AE" w:rsidRDefault="002A21AE">
            <w:pPr>
              <w:pStyle w:val="NotesText"/>
            </w:pPr>
            <w:r>
              <w:rPr>
                <w:rFonts w:cs="Arial"/>
                <w:vanish/>
                <w:szCs w:val="18"/>
              </w:rPr>
              <w:t>BR_43.15</w:t>
            </w:r>
            <w:r w:rsidR="00CE3961">
              <w:rPr>
                <w:rFonts w:cs="Arial"/>
                <w:vanish/>
                <w:szCs w:val="18"/>
              </w:rPr>
              <w:t>,</w:t>
            </w:r>
            <w:r>
              <w:rPr>
                <w:rFonts w:cs="Arial"/>
                <w:vanish/>
                <w:szCs w:val="18"/>
              </w:rPr>
              <w:t xml:space="preserve"> </w:t>
            </w:r>
            <w:r>
              <w:rPr>
                <w:vanish/>
                <w:szCs w:val="18"/>
              </w:rPr>
              <w:t xml:space="preserve">BR_43.11 </w:t>
            </w:r>
            <w:r w:rsidR="00A90257">
              <w:t xml:space="preserve">The user may print </w:t>
            </w:r>
            <w:r>
              <w:t>blank Caution Tags and BT</w:t>
            </w:r>
            <w:r w:rsidR="004F7C13">
              <w:t>RFs</w:t>
            </w:r>
            <w:r w:rsidR="00A72710">
              <w:t xml:space="preserve"> </w:t>
            </w:r>
            <w:r w:rsidR="00AB6515">
              <w:t>to use in case of downtime.</w:t>
            </w:r>
            <w:r w:rsidR="00AB6515" w:rsidRPr="00812458">
              <w:rPr>
                <w:vanish/>
              </w:rPr>
              <w:t xml:space="preserve"> Task 440471</w:t>
            </w:r>
          </w:p>
          <w:p w14:paraId="6D57056E" w14:textId="77777777" w:rsidR="002A21AE" w:rsidRDefault="002A21AE">
            <w:pPr>
              <w:pStyle w:val="TableText"/>
            </w:pPr>
          </w:p>
          <w:p w14:paraId="3E7848E5" w14:textId="77777777" w:rsidR="002A21AE" w:rsidRDefault="002A21AE">
            <w:pPr>
              <w:pStyle w:val="NotesText"/>
            </w:pPr>
            <w:r>
              <w:rPr>
                <w:rFonts w:cs="Arial"/>
                <w:vanish/>
              </w:rPr>
              <w:t xml:space="preserve">BR_43.12 </w:t>
            </w:r>
            <w:r>
              <w:t>VBECS interrupts or cancels a print job to accommodate the printing of an emergency issue tag. VBECS notifies the user of the number of tags printed and instructs the user to enter a new request to print more tags.</w:t>
            </w:r>
          </w:p>
        </w:tc>
      </w:tr>
    </w:tbl>
    <w:p w14:paraId="09EF50D4" w14:textId="24BE9F6A" w:rsidR="009B102E" w:rsidRDefault="009B102E" w:rsidP="009B102E">
      <w:pPr>
        <w:pStyle w:val="Caption"/>
      </w:pPr>
      <w:bookmarkStart w:id="427" w:name="_Ref127005506"/>
      <w:bookmarkEnd w:id="424"/>
      <w:bookmarkEnd w:id="425"/>
      <w:bookmarkEnd w:id="426"/>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109</w:t>
      </w:r>
      <w:r w:rsidR="004E20BD">
        <w:rPr>
          <w:noProof/>
        </w:rPr>
        <w:fldChar w:fldCharType="end"/>
      </w:r>
      <w:bookmarkEnd w:id="427"/>
      <w:r>
        <w:t>: Print Backup Forms</w:t>
      </w:r>
    </w:p>
    <w:p w14:paraId="3CFC85A5" w14:textId="77777777" w:rsidR="009B102E" w:rsidRPr="009B102E" w:rsidRDefault="00057948" w:rsidP="009B102E">
      <w:pPr>
        <w:pStyle w:val="BodyText"/>
      </w:pPr>
      <w:r>
        <w:rPr>
          <w:noProof/>
        </w:rPr>
        <w:drawing>
          <wp:inline distT="0" distB="0" distL="0" distR="0" wp14:anchorId="6E52F909" wp14:editId="0B04E1FA">
            <wp:extent cx="3546475" cy="2133600"/>
            <wp:effectExtent l="0" t="0" r="0" b="0"/>
            <wp:docPr id="198" name="Picture 198" descr="P6266#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P6266#yIS1">
                      <a:extLst>
                        <a:ext uri="{C183D7F6-B498-43B3-948B-1728B52AA6E4}">
                          <adec:decorative xmlns:adec="http://schemas.microsoft.com/office/drawing/2017/decorative" val="1"/>
                        </a:ext>
                      </a:extLst>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546475" cy="2133600"/>
                    </a:xfrm>
                    <a:prstGeom prst="rect">
                      <a:avLst/>
                    </a:prstGeom>
                    <a:noFill/>
                    <a:ln>
                      <a:noFill/>
                    </a:ln>
                  </pic:spPr>
                </pic:pic>
              </a:graphicData>
            </a:graphic>
          </wp:inline>
        </w:drawing>
      </w:r>
    </w:p>
    <w:p w14:paraId="3E9FE05C" w14:textId="77777777" w:rsidR="002A21AE" w:rsidRDefault="002A21AE">
      <w:pPr>
        <w:pStyle w:val="Heading4"/>
      </w:pPr>
      <w:r>
        <w:t>Print Unit Caution Tag &amp; Transfusion Record Form</w:t>
      </w:r>
    </w:p>
    <w:p w14:paraId="166F05F6" w14:textId="77777777" w:rsidR="002A21AE" w:rsidRDefault="002A21AE" w:rsidP="00FA7E65">
      <w:pPr>
        <w:pStyle w:val="BodyText"/>
      </w:pPr>
      <w:r>
        <w:t xml:space="preserve">The user may need to generate Caution Tags when they were not printed immediately after unit selection and crossmatch data entry, emergency issue, or when there is a problem with the printed Caution Tag. According to local </w:t>
      </w:r>
      <w:r w:rsidR="00A10483">
        <w:t>policy,</w:t>
      </w:r>
      <w:r>
        <w:t xml:space="preserve"> the user selects a current patient order and one or more units to print from the VBECS-generated list of units eligible for immediate transfusion. </w:t>
      </w:r>
    </w:p>
    <w:p w14:paraId="3C446E5B" w14:textId="77777777" w:rsidR="002A21AE" w:rsidRDefault="002A21AE" w:rsidP="00FA7E65">
      <w:pPr>
        <w:pStyle w:val="BodyText"/>
      </w:pPr>
      <w:r>
        <w:t>VBECS does not allow a user to print a Caution Tag unless the unit is satisfactory for immediate issue.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BC436AE" w14:textId="77777777">
        <w:trPr>
          <w:cantSplit/>
          <w:tblHeader/>
        </w:trPr>
        <w:tc>
          <w:tcPr>
            <w:tcW w:w="3240" w:type="dxa"/>
            <w:shd w:val="pct30" w:color="auto" w:fill="FFFFFF"/>
            <w:vAlign w:val="bottom"/>
          </w:tcPr>
          <w:p w14:paraId="284A778C" w14:textId="77777777" w:rsidR="002A21AE" w:rsidRDefault="002A21AE">
            <w:pPr>
              <w:pStyle w:val="TableText"/>
              <w:rPr>
                <w:b/>
              </w:rPr>
            </w:pPr>
            <w:r>
              <w:rPr>
                <w:b/>
              </w:rPr>
              <w:t>User Action</w:t>
            </w:r>
          </w:p>
        </w:tc>
        <w:tc>
          <w:tcPr>
            <w:tcW w:w="6120" w:type="dxa"/>
            <w:shd w:val="pct30" w:color="auto" w:fill="FFFFFF"/>
            <w:vAlign w:val="bottom"/>
          </w:tcPr>
          <w:p w14:paraId="4BD8EB35" w14:textId="77777777" w:rsidR="002A21AE" w:rsidRDefault="002A21AE">
            <w:pPr>
              <w:pStyle w:val="TableText"/>
              <w:rPr>
                <w:b/>
              </w:rPr>
            </w:pPr>
            <w:r>
              <w:rPr>
                <w:b/>
              </w:rPr>
              <w:t>VBECS</w:t>
            </w:r>
          </w:p>
        </w:tc>
      </w:tr>
      <w:tr w:rsidR="002A21AE" w14:paraId="13FFBFB7" w14:textId="77777777">
        <w:tc>
          <w:tcPr>
            <w:tcW w:w="3240" w:type="dxa"/>
          </w:tcPr>
          <w:p w14:paraId="117296AB" w14:textId="77777777" w:rsidR="002A21AE" w:rsidRDefault="002A21AE">
            <w:pPr>
              <w:pStyle w:val="TableTextNumbers"/>
            </w:pPr>
            <w:r>
              <w:t xml:space="preserve">Select </w:t>
            </w:r>
            <w:r>
              <w:rPr>
                <w:b/>
              </w:rPr>
              <w:t>Patients</w:t>
            </w:r>
            <w:r>
              <w:t xml:space="preserve"> or </w:t>
            </w:r>
            <w:r>
              <w:rPr>
                <w:b/>
                <w:bCs/>
              </w:rPr>
              <w:t>Blood Units</w:t>
            </w:r>
            <w:r>
              <w:t xml:space="preserve"> from the main menu.</w:t>
            </w:r>
          </w:p>
          <w:p w14:paraId="740ACF59" w14:textId="77777777" w:rsidR="002A21AE" w:rsidRDefault="002A21AE">
            <w:pPr>
              <w:pStyle w:val="TableTextNumbersContinued"/>
            </w:pPr>
          </w:p>
          <w:p w14:paraId="5DC17022" w14:textId="77777777" w:rsidR="002A21AE" w:rsidRDefault="002A21AE">
            <w:pPr>
              <w:pStyle w:val="TableTextNumbersContinued"/>
              <w:rPr>
                <w:b/>
                <w:bCs/>
              </w:rPr>
            </w:pPr>
            <w:r>
              <w:t xml:space="preserve">Select </w:t>
            </w:r>
            <w:r>
              <w:rPr>
                <w:b/>
              </w:rPr>
              <w:t>Print Unit Caution Tag &amp; Transfusion Record Form</w:t>
            </w:r>
            <w:r>
              <w:t>.</w:t>
            </w:r>
          </w:p>
        </w:tc>
        <w:tc>
          <w:tcPr>
            <w:tcW w:w="6120" w:type="dxa"/>
          </w:tcPr>
          <w:p w14:paraId="60F7AA48" w14:textId="77777777" w:rsidR="002A21AE" w:rsidRDefault="002A21AE">
            <w:pPr>
              <w:pStyle w:val="TableTextBullet"/>
            </w:pPr>
            <w:r>
              <w:t>Displays options for processing patient-related functions or for processing units.</w:t>
            </w:r>
          </w:p>
          <w:p w14:paraId="184C7582" w14:textId="77777777" w:rsidR="002A21AE" w:rsidRDefault="002A21AE">
            <w:pPr>
              <w:pStyle w:val="TableTextBullet"/>
            </w:pPr>
            <w:r>
              <w:t>Displays the option to select a patient, if one is not already selected.</w:t>
            </w:r>
          </w:p>
          <w:p w14:paraId="4844BE8A" w14:textId="77777777" w:rsidR="002A21AE" w:rsidRDefault="002A21AE">
            <w:pPr>
              <w:pStyle w:val="TableTextNumbersContinued"/>
            </w:pPr>
          </w:p>
          <w:p w14:paraId="104E8476" w14:textId="77777777" w:rsidR="002F53E0" w:rsidRDefault="00057948" w:rsidP="002F53E0">
            <w:pPr>
              <w:pStyle w:val="TableText"/>
              <w:rPr>
                <w:b/>
                <w:bCs/>
                <w:szCs w:val="18"/>
              </w:rPr>
            </w:pPr>
            <w:r>
              <w:rPr>
                <w:b/>
                <w:bCs/>
                <w:noProof/>
              </w:rPr>
              <mc:AlternateContent>
                <mc:Choice Requires="wps">
                  <w:drawing>
                    <wp:anchor distT="0" distB="0" distL="114300" distR="114300" simplePos="0" relativeHeight="252078592" behindDoc="0" locked="0" layoutInCell="1" allowOverlap="1" wp14:anchorId="33FF5DC0" wp14:editId="555DEF9D">
                      <wp:simplePos x="0" y="0"/>
                      <wp:positionH relativeFrom="column">
                        <wp:posOffset>457200</wp:posOffset>
                      </wp:positionH>
                      <wp:positionV relativeFrom="paragraph">
                        <wp:posOffset>65405</wp:posOffset>
                      </wp:positionV>
                      <wp:extent cx="3200400" cy="0"/>
                      <wp:effectExtent l="9525" t="17780" r="9525" b="10795"/>
                      <wp:wrapNone/>
                      <wp:docPr id="423" name="Line 1308" descr="P6279C4T6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6C212" id="Line 1308" o:spid="_x0000_s1026" alt="&quot;&quot;" style="position:absolute;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35N8w8MBAABvAwAADgAAAAAAAAAAAAAAAAAu&#10;AgAAZHJzL2Uyb0RvYy54bWxQSwECLQAUAAYACAAAACEAF08wEtsAAAAIAQAADwAAAAAAAAAAAAAA&#10;AAAdBAAAZHJzL2Rvd25yZXYueG1sUEsFBgAAAAAEAAQA8wAAACUFAAAAAA==&#10;" strokeweight="1.5pt"/>
                  </w:pict>
                </mc:Fallback>
              </mc:AlternateContent>
            </w:r>
            <w:r w:rsidR="002F53E0">
              <w:rPr>
                <w:b/>
                <w:bCs/>
                <w:szCs w:val="18"/>
              </w:rPr>
              <w:t>NOTES</w:t>
            </w:r>
          </w:p>
          <w:p w14:paraId="2F3C4B8E" w14:textId="77777777" w:rsidR="002F53E0" w:rsidRDefault="002F53E0" w:rsidP="002F53E0">
            <w:pPr>
              <w:pStyle w:val="NotesText"/>
            </w:pPr>
          </w:p>
          <w:p w14:paraId="372B5244" w14:textId="77777777" w:rsidR="002F53E0" w:rsidRDefault="002F53E0">
            <w:pPr>
              <w:pStyle w:val="TableTextNumbersContinued"/>
            </w:pPr>
            <w:r w:rsidRPr="002F53E0">
              <w:rPr>
                <w:vanish/>
              </w:rPr>
              <w:t xml:space="preserve">BR_43.23 </w:t>
            </w:r>
            <w:r w:rsidRPr="007246D5">
              <w:t xml:space="preserve">For </w:t>
            </w:r>
            <w:r>
              <w:t xml:space="preserve">patient with </w:t>
            </w:r>
            <w:r w:rsidRPr="007246D5">
              <w:t>an Rh</w:t>
            </w:r>
            <w:r>
              <w:t xml:space="preserve"> that is</w:t>
            </w:r>
            <w:r w:rsidRPr="007246D5">
              <w:t xml:space="preserve"> </w:t>
            </w:r>
            <w:r>
              <w:t>not Positive (</w:t>
            </w:r>
            <w:r w:rsidRPr="007246D5">
              <w:t>neg</w:t>
            </w:r>
            <w:r>
              <w:t>ative, unknown, or inconclusive): W</w:t>
            </w:r>
            <w:r w:rsidRPr="00C26359">
              <w:t>hen</w:t>
            </w:r>
            <w:r w:rsidRPr="00C26359">
              <w:rPr>
                <w:b/>
              </w:rPr>
              <w:t xml:space="preserve"> Rh “Positive” or Rh “Pooled”</w:t>
            </w:r>
            <w:r>
              <w:rPr>
                <w:b/>
              </w:rPr>
              <w:t xml:space="preserve"> </w:t>
            </w:r>
            <w:r w:rsidRPr="00912031">
              <w:rPr>
                <w:rFonts w:cs="Arial"/>
              </w:rPr>
              <w:t xml:space="preserve">units from the WHOLE BLOOD, RED BLOOD CELLS, PLATELETS, and OTHER VBECS component classes are individually entered and confirmed by the user, the system provides an audible alert </w:t>
            </w:r>
            <w:r w:rsidRPr="0019397F">
              <w:t>and displays the alert: "Patient is an Rh negative and the selected unit is Rh positive. Check patient sex and hospital policy before continuing. Proceed?" The user will click OK to continue.</w:t>
            </w:r>
          </w:p>
        </w:tc>
      </w:tr>
      <w:tr w:rsidR="002A21AE" w14:paraId="2EF7DAC9" w14:textId="77777777" w:rsidTr="001A459B">
        <w:trPr>
          <w:cantSplit/>
        </w:trPr>
        <w:tc>
          <w:tcPr>
            <w:tcW w:w="3240" w:type="dxa"/>
          </w:tcPr>
          <w:p w14:paraId="556A8E1F" w14:textId="77777777" w:rsidR="002A21AE" w:rsidRDefault="002A21AE">
            <w:pPr>
              <w:pStyle w:val="TableTextNumbers"/>
            </w:pPr>
            <w:r>
              <w:lastRenderedPageBreak/>
              <w:t xml:space="preserve">Enter the patient name or ID and click </w:t>
            </w:r>
            <w:r>
              <w:rPr>
                <w:b/>
                <w:bCs/>
              </w:rPr>
              <w:t xml:space="preserve">Search </w:t>
            </w:r>
            <w:r>
              <w:t xml:space="preserve">to select a patient, or </w:t>
            </w:r>
          </w:p>
          <w:p w14:paraId="73DB0F67" w14:textId="77777777" w:rsidR="002A21AE" w:rsidRDefault="002A21AE">
            <w:pPr>
              <w:pStyle w:val="TableTextNumbersContinued"/>
            </w:pPr>
          </w:p>
          <w:p w14:paraId="35EAE1F2" w14:textId="68EDF534" w:rsidR="002A21AE" w:rsidRDefault="002A21AE">
            <w:pPr>
              <w:pStyle w:val="TableTextNumbersContinued"/>
            </w:pPr>
            <w:r>
              <w:t xml:space="preserve">Click </w:t>
            </w:r>
            <w:r>
              <w:rPr>
                <w:b/>
              </w:rPr>
              <w:t>Search by Unit</w:t>
            </w:r>
            <w:r w:rsidR="00EB7F52">
              <w:rPr>
                <w:b/>
              </w:rPr>
              <w:t xml:space="preserve"> </w:t>
            </w:r>
            <w:r w:rsidR="00CD3C64" w:rsidRPr="00CD3C64">
              <w:t>(</w:t>
            </w:r>
            <w:r w:rsidR="00CD3C64">
              <w:fldChar w:fldCharType="begin" w:fldLock="1"/>
            </w:r>
            <w:r w:rsidR="00CD3C64">
              <w:instrText xml:space="preserve"> REF _Ref127006080 \h </w:instrText>
            </w:r>
            <w:r w:rsidR="00CD3C64">
              <w:fldChar w:fldCharType="separate"/>
            </w:r>
            <w:r w:rsidR="00AB304C">
              <w:t xml:space="preserve">Figure </w:t>
            </w:r>
            <w:r w:rsidR="00AB304C">
              <w:rPr>
                <w:noProof/>
              </w:rPr>
              <w:t>110</w:t>
            </w:r>
            <w:r w:rsidR="00CD3C64">
              <w:fldChar w:fldCharType="end"/>
            </w:r>
            <w:r w:rsidR="00CD3C64" w:rsidRPr="00CD3C64">
              <w:t>)</w:t>
            </w:r>
            <w:r>
              <w:t>.</w:t>
            </w:r>
          </w:p>
          <w:p w14:paraId="0EEAE0C0" w14:textId="77777777" w:rsidR="002A21AE" w:rsidRDefault="002A21AE">
            <w:pPr>
              <w:pStyle w:val="TableTextNumbersContinued"/>
            </w:pPr>
          </w:p>
          <w:p w14:paraId="63BCE570" w14:textId="77777777" w:rsidR="002A21AE" w:rsidRDefault="002A21AE">
            <w:pPr>
              <w:pStyle w:val="TableTextNumbersContinued"/>
            </w:pPr>
            <w:r>
              <w:t>Enter the unit ID and/or product.</w:t>
            </w:r>
          </w:p>
        </w:tc>
        <w:tc>
          <w:tcPr>
            <w:tcW w:w="6120" w:type="dxa"/>
          </w:tcPr>
          <w:p w14:paraId="60BAE2A9" w14:textId="77777777" w:rsidR="002A21AE" w:rsidRDefault="002A21AE">
            <w:pPr>
              <w:pStyle w:val="TableTextBullet"/>
            </w:pPr>
            <w:r>
              <w:t>Requests that the user select a Caution Tag and/or a BTRF to print by unit ID or by patient.</w:t>
            </w:r>
          </w:p>
          <w:p w14:paraId="7C965996" w14:textId="77777777" w:rsidR="002A21AE" w:rsidRDefault="002A21AE">
            <w:pPr>
              <w:pStyle w:val="TableTextBullet"/>
            </w:pPr>
            <w:r>
              <w:t>Displays an informational message, when appropriate.</w:t>
            </w:r>
          </w:p>
        </w:tc>
      </w:tr>
      <w:tr w:rsidR="002A21AE" w14:paraId="5634CFA0" w14:textId="77777777">
        <w:tc>
          <w:tcPr>
            <w:tcW w:w="3240" w:type="dxa"/>
            <w:tcBorders>
              <w:top w:val="single" w:sz="4" w:space="0" w:color="auto"/>
              <w:left w:val="single" w:sz="4" w:space="0" w:color="auto"/>
              <w:bottom w:val="single" w:sz="4" w:space="0" w:color="auto"/>
              <w:right w:val="single" w:sz="4" w:space="0" w:color="auto"/>
            </w:tcBorders>
          </w:tcPr>
          <w:p w14:paraId="75911E45" w14:textId="77777777" w:rsidR="002A21AE" w:rsidRDefault="002A21AE">
            <w:pPr>
              <w:pStyle w:val="TableTextNumbers"/>
            </w:pPr>
            <w:r>
              <w:t>Select a patient, or</w:t>
            </w:r>
          </w:p>
          <w:p w14:paraId="5B432152" w14:textId="77777777" w:rsidR="002A21AE" w:rsidRDefault="002A21AE">
            <w:pPr>
              <w:pStyle w:val="TableTextNumbersContinued"/>
            </w:pPr>
          </w:p>
          <w:p w14:paraId="39622221" w14:textId="77777777" w:rsidR="002A21AE" w:rsidRDefault="002A21AE">
            <w:pPr>
              <w:pStyle w:val="TableTextNumbersContinued"/>
            </w:pPr>
            <w:r>
              <w:t>Select or scan a blood unit.</w:t>
            </w:r>
          </w:p>
        </w:tc>
        <w:tc>
          <w:tcPr>
            <w:tcW w:w="6120" w:type="dxa"/>
            <w:tcBorders>
              <w:top w:val="single" w:sz="4" w:space="0" w:color="auto"/>
              <w:left w:val="single" w:sz="4" w:space="0" w:color="auto"/>
              <w:bottom w:val="single" w:sz="4" w:space="0" w:color="auto"/>
              <w:right w:val="single" w:sz="4" w:space="0" w:color="auto"/>
            </w:tcBorders>
          </w:tcPr>
          <w:p w14:paraId="04C40F94" w14:textId="77777777" w:rsidR="002A21AE" w:rsidRDefault="002A21AE">
            <w:pPr>
              <w:pStyle w:val="TableTextBullet"/>
            </w:pPr>
            <w:r>
              <w:t>Compiles and displays the information associated with the user’s selection.</w:t>
            </w:r>
          </w:p>
          <w:p w14:paraId="70964E18" w14:textId="77777777" w:rsidR="002A21AE" w:rsidRDefault="002A21AE">
            <w:pPr>
              <w:pStyle w:val="TableTextBullet"/>
            </w:pPr>
            <w:r>
              <w:t>Displays the patient’s name, ID, date of birth, the unit ID, and the long product name of units to appear on the Caution Tags.</w:t>
            </w:r>
          </w:p>
          <w:p w14:paraId="513EEACD" w14:textId="77777777" w:rsidR="002A21AE" w:rsidRDefault="002A21AE">
            <w:pPr>
              <w:pStyle w:val="TableTextBullet"/>
            </w:pPr>
            <w:r>
              <w:t xml:space="preserve">Prompts the user to select the units when selecting by patient. </w:t>
            </w:r>
          </w:p>
          <w:p w14:paraId="75C28C84" w14:textId="77777777" w:rsidR="002A21AE" w:rsidRDefault="002A21AE">
            <w:pPr>
              <w:pStyle w:val="TableTextBullet"/>
            </w:pPr>
            <w:r>
              <w:t>Allows the user to select and deselect blood units to print.</w:t>
            </w:r>
          </w:p>
          <w:p w14:paraId="4395A02F" w14:textId="60D08A0B" w:rsidR="002A21AE" w:rsidRDefault="00896F17">
            <w:pPr>
              <w:pStyle w:val="TableTextBullet"/>
              <w:ind w:left="0" w:firstLine="0"/>
            </w:pPr>
            <w:r w:rsidRPr="00896F17">
              <w:rPr>
                <w:rStyle w:val="BullhornChar"/>
              </w:rPr>
              <w:t></w:t>
            </w:r>
            <w:r w:rsidRPr="00C51C45">
              <w:rPr>
                <w:rFonts w:ascii="Webdings" w:hAnsi="Webdings"/>
                <w:szCs w:val="22"/>
              </w:rPr>
              <w:t></w:t>
            </w:r>
            <w:r>
              <w:rPr>
                <w:rFonts w:cs="Arial"/>
                <w:szCs w:val="22"/>
              </w:rPr>
              <w:t>See</w:t>
            </w:r>
            <w:r w:rsidR="002A21AE">
              <w:rPr>
                <w:rFonts w:cs="Arial"/>
                <w:szCs w:val="22"/>
              </w:rPr>
              <w:t xml:space="preserve"> </w:t>
            </w:r>
            <w:r w:rsidR="00AE2DC1">
              <w:rPr>
                <w:rFonts w:cs="Arial"/>
                <w:szCs w:val="22"/>
              </w:rPr>
              <w:fldChar w:fldCharType="begin" w:fldLock="1"/>
            </w:r>
            <w:r w:rsidR="00AE2DC1">
              <w:rPr>
                <w:rFonts w:cs="Arial"/>
                <w:szCs w:val="22"/>
              </w:rPr>
              <w:instrText xml:space="preserve"> REF _Ref126504208 \h </w:instrText>
            </w:r>
            <w:r w:rsidR="00AE2DC1">
              <w:rPr>
                <w:rFonts w:cs="Arial"/>
                <w:szCs w:val="22"/>
              </w:rPr>
            </w:r>
            <w:r w:rsidR="00AE2DC1">
              <w:rPr>
                <w:rFonts w:cs="Arial"/>
                <w:szCs w:val="22"/>
              </w:rPr>
              <w:fldChar w:fldCharType="separate"/>
            </w:r>
            <w:r w:rsidR="00AB304C">
              <w:t xml:space="preserve">Table </w:t>
            </w:r>
            <w:r w:rsidR="00AB304C">
              <w:rPr>
                <w:noProof/>
              </w:rPr>
              <w:t>9</w:t>
            </w:r>
            <w:r w:rsidR="00AE2DC1">
              <w:rPr>
                <w:rFonts w:cs="Arial"/>
                <w:szCs w:val="22"/>
              </w:rPr>
              <w:fldChar w:fldCharType="end"/>
            </w:r>
            <w:r w:rsidR="002A21AE">
              <w:rPr>
                <w:rFonts w:cs="Arial"/>
                <w:szCs w:val="22"/>
              </w:rPr>
              <w:t xml:space="preserve"> for alerts that may occur during this option.</w:t>
            </w:r>
          </w:p>
          <w:p w14:paraId="5E2F0B35" w14:textId="77777777" w:rsidR="002A21AE" w:rsidRDefault="002A21AE">
            <w:pPr>
              <w:pStyle w:val="TableText"/>
              <w:rPr>
                <w:b/>
                <w:bCs/>
                <w:szCs w:val="18"/>
              </w:rPr>
            </w:pPr>
          </w:p>
          <w:p w14:paraId="4DCDCBD1" w14:textId="77777777" w:rsidR="002A21AE" w:rsidRDefault="00057948">
            <w:pPr>
              <w:pStyle w:val="TableText"/>
              <w:rPr>
                <w:b/>
                <w:bCs/>
                <w:szCs w:val="18"/>
              </w:rPr>
            </w:pPr>
            <w:r>
              <w:rPr>
                <w:b/>
                <w:bCs/>
                <w:noProof/>
              </w:rPr>
              <mc:AlternateContent>
                <mc:Choice Requires="wps">
                  <w:drawing>
                    <wp:anchor distT="0" distB="0" distL="114300" distR="114300" simplePos="0" relativeHeight="251513344" behindDoc="0" locked="0" layoutInCell="1" allowOverlap="1" wp14:anchorId="60E098A2" wp14:editId="0FBE31EE">
                      <wp:simplePos x="0" y="0"/>
                      <wp:positionH relativeFrom="column">
                        <wp:posOffset>457200</wp:posOffset>
                      </wp:positionH>
                      <wp:positionV relativeFrom="paragraph">
                        <wp:posOffset>65405</wp:posOffset>
                      </wp:positionV>
                      <wp:extent cx="3200400" cy="0"/>
                      <wp:effectExtent l="9525" t="17780" r="9525" b="10795"/>
                      <wp:wrapNone/>
                      <wp:docPr id="422" name="Line 812" descr="P6300C8T6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53927" id="Line 812" o:spid="_x0000_s1026" alt="&quot;&quot;" style="position:absolute;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eeP9/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6B10E96A" w14:textId="77777777" w:rsidR="002A21AE" w:rsidRDefault="002A21AE">
            <w:pPr>
              <w:pStyle w:val="NotesText"/>
            </w:pPr>
          </w:p>
          <w:p w14:paraId="02D77535" w14:textId="77777777" w:rsidR="001710A2" w:rsidRDefault="001710A2" w:rsidP="001710A2">
            <w:pPr>
              <w:pStyle w:val="NotesText"/>
            </w:pPr>
            <w:r>
              <w:rPr>
                <w:rFonts w:cs="Arial"/>
                <w:vanish/>
              </w:rPr>
              <w:t xml:space="preserve">BR_43.21 </w:t>
            </w:r>
            <w:r>
              <w:t>VBECS retrieves the most recent crossmatch result (original or repeat) to determine unit availability and compatibility status to allow printing the Caution Tag and/or BTRF and to allow the unit to be issued.</w:t>
            </w:r>
          </w:p>
          <w:p w14:paraId="1EB822BC" w14:textId="77777777" w:rsidR="001710A2" w:rsidRDefault="001710A2" w:rsidP="001710A2">
            <w:pPr>
              <w:pStyle w:val="NotesText"/>
            </w:pPr>
          </w:p>
          <w:p w14:paraId="19194DC9" w14:textId="77777777" w:rsidR="00AE36CC" w:rsidRDefault="00AE36CC" w:rsidP="00AE36CC">
            <w:pPr>
              <w:pStyle w:val="NotesText"/>
              <w:rPr>
                <w:szCs w:val="18"/>
              </w:rPr>
            </w:pPr>
            <w:r w:rsidRPr="00496E08">
              <w:rPr>
                <w:rFonts w:cs="Arial"/>
                <w:vanish/>
                <w:szCs w:val="18"/>
              </w:rPr>
              <w:t>BR_43.20</w:t>
            </w:r>
            <w:r w:rsidRPr="00496E08">
              <w:rPr>
                <w:vanish/>
                <w:szCs w:val="18"/>
              </w:rPr>
              <w:t xml:space="preserve"> </w:t>
            </w:r>
            <w:r w:rsidRPr="00496E08">
              <w:rPr>
                <w:szCs w:val="18"/>
              </w:rPr>
              <w:t xml:space="preserve">When </w:t>
            </w:r>
            <w:r w:rsidR="002249B4">
              <w:rPr>
                <w:szCs w:val="18"/>
              </w:rPr>
              <w:t>the “Emergency Issue” indicator is present and/or the required ABO/Rh specimen testing is incomplete or inconclusive, enforce the following:</w:t>
            </w:r>
          </w:p>
          <w:p w14:paraId="7AC9C712" w14:textId="77777777" w:rsidR="002249B4" w:rsidRDefault="002249B4" w:rsidP="002249B4">
            <w:pPr>
              <w:pStyle w:val="NotesTextBullet"/>
            </w:pPr>
            <w:r>
              <w:t xml:space="preserve">For RBC or WB order: </w:t>
            </w:r>
          </w:p>
          <w:p w14:paraId="29E70071" w14:textId="77777777" w:rsidR="002249B4" w:rsidRDefault="002249B4" w:rsidP="002249B4">
            <w:pPr>
              <w:pStyle w:val="NotesTextBullet1"/>
            </w:pPr>
            <w:r>
              <w:t>Group O, Rh positive or O Rh negative RBC</w:t>
            </w:r>
          </w:p>
          <w:p w14:paraId="1E08AF1E" w14:textId="77777777" w:rsidR="002249B4" w:rsidRDefault="002249B4" w:rsidP="002249B4">
            <w:pPr>
              <w:pStyle w:val="NotesTextBullet1"/>
            </w:pPr>
            <w:r>
              <w:t>WHOLE BLOOD is not selectable</w:t>
            </w:r>
          </w:p>
          <w:p w14:paraId="4E32D0FD" w14:textId="77777777" w:rsidR="002249B4" w:rsidRDefault="002249B4" w:rsidP="002249B4">
            <w:pPr>
              <w:pStyle w:val="NotesTextBullet"/>
            </w:pPr>
            <w:r>
              <w:t>For FFP order:</w:t>
            </w:r>
          </w:p>
          <w:p w14:paraId="0E885181" w14:textId="77777777" w:rsidR="002249B4" w:rsidRDefault="002249B4" w:rsidP="002249B4">
            <w:pPr>
              <w:pStyle w:val="NotesTextBullet1"/>
            </w:pPr>
            <w:r>
              <w:t>Group AB, Rh positive or Rh negative, or not specified.</w:t>
            </w:r>
          </w:p>
          <w:p w14:paraId="1EAB824E" w14:textId="77777777" w:rsidR="002249B4" w:rsidRDefault="002249B4" w:rsidP="002249B4">
            <w:pPr>
              <w:pStyle w:val="NotesTextBullet"/>
            </w:pPr>
            <w:r>
              <w:t>For PLT order:</w:t>
            </w:r>
          </w:p>
          <w:p w14:paraId="34B2A5E8" w14:textId="77777777" w:rsidR="002249B4" w:rsidRDefault="002249B4" w:rsidP="002249B4">
            <w:pPr>
              <w:pStyle w:val="NotesTextBullet1"/>
            </w:pPr>
            <w:r>
              <w:t>All units with &lt; 2 ML RBC containment are available</w:t>
            </w:r>
          </w:p>
          <w:p w14:paraId="44937844" w14:textId="77777777" w:rsidR="002249B4" w:rsidRDefault="002249B4" w:rsidP="002249B4">
            <w:pPr>
              <w:pStyle w:val="NotesTextBullet1"/>
            </w:pPr>
            <w:r>
              <w:t>Units</w:t>
            </w:r>
            <w:r w:rsidRPr="001A5BC5">
              <w:t xml:space="preserve"> with </w:t>
            </w:r>
            <w:r w:rsidRPr="001A5BC5">
              <w:rPr>
                <w:u w:val="single"/>
              </w:rPr>
              <w:t>&gt;</w:t>
            </w:r>
            <w:r w:rsidRPr="001A5BC5">
              <w:t xml:space="preserve"> 2 mL RBC contamination are not available</w:t>
            </w:r>
          </w:p>
          <w:p w14:paraId="6879B160" w14:textId="77777777" w:rsidR="002249B4" w:rsidRDefault="002249B4" w:rsidP="002249B4">
            <w:pPr>
              <w:pStyle w:val="NotesTextBullet"/>
            </w:pPr>
            <w:r>
              <w:t>For CRYO order:</w:t>
            </w:r>
          </w:p>
          <w:p w14:paraId="1F96A690" w14:textId="77777777" w:rsidR="002249B4" w:rsidRDefault="002249B4" w:rsidP="002249B4">
            <w:pPr>
              <w:pStyle w:val="NotesTextBullet1"/>
            </w:pPr>
            <w:r>
              <w:t>All available units are selectable</w:t>
            </w:r>
          </w:p>
          <w:p w14:paraId="7180B15C" w14:textId="77777777" w:rsidR="002249B4" w:rsidRDefault="002249B4" w:rsidP="002249B4">
            <w:pPr>
              <w:pStyle w:val="NotesTextBullet1"/>
              <w:numPr>
                <w:ilvl w:val="0"/>
                <w:numId w:val="0"/>
              </w:numPr>
              <w:ind w:left="1296" w:hanging="288"/>
            </w:pPr>
            <w:r>
              <w:t>For OTHER order:</w:t>
            </w:r>
          </w:p>
          <w:p w14:paraId="71210876" w14:textId="77777777" w:rsidR="002249B4" w:rsidRDefault="002249B4" w:rsidP="002249B4">
            <w:pPr>
              <w:pStyle w:val="NotesTextBullet1"/>
            </w:pPr>
            <w:r>
              <w:t>All units with &lt; 2 mL contamination are available</w:t>
            </w:r>
          </w:p>
          <w:p w14:paraId="1B4E8264" w14:textId="77777777" w:rsidR="002249B4" w:rsidRDefault="002249B4" w:rsidP="002249B4">
            <w:pPr>
              <w:pStyle w:val="NotesTextBullet1"/>
              <w:rPr>
                <w:szCs w:val="18"/>
              </w:rPr>
            </w:pPr>
            <w:r>
              <w:t xml:space="preserve">Units with </w:t>
            </w:r>
            <w:r w:rsidRPr="001A5BC5">
              <w:rPr>
                <w:u w:val="single"/>
              </w:rPr>
              <w:t>&gt;</w:t>
            </w:r>
            <w:r w:rsidRPr="001A5BC5">
              <w:t xml:space="preserve"> 2 mL RBC contamination are not available</w:t>
            </w:r>
          </w:p>
          <w:p w14:paraId="2DED02FB" w14:textId="77777777" w:rsidR="002249B4" w:rsidRPr="00496E08" w:rsidRDefault="002249B4" w:rsidP="00AE36CC">
            <w:pPr>
              <w:pStyle w:val="NotesText"/>
              <w:rPr>
                <w:szCs w:val="18"/>
              </w:rPr>
            </w:pPr>
          </w:p>
          <w:p w14:paraId="78982A0D" w14:textId="77777777" w:rsidR="001710A2" w:rsidRPr="00496E08" w:rsidRDefault="00496E08" w:rsidP="001710A2">
            <w:pPr>
              <w:pStyle w:val="NotesText"/>
              <w:rPr>
                <w:szCs w:val="18"/>
              </w:rPr>
            </w:pPr>
            <w:r w:rsidRPr="00496E08">
              <w:rPr>
                <w:vanish/>
                <w:szCs w:val="18"/>
              </w:rPr>
              <w:t xml:space="preserve">BR_43.13 </w:t>
            </w:r>
            <w:r w:rsidRPr="00496E08">
              <w:rPr>
                <w:szCs w:val="18"/>
              </w:rPr>
              <w:t xml:space="preserve">When a user selects a Caution Tag and/or BTRF from the Blood Unit Menu and the units are assigned or </w:t>
            </w:r>
            <w:r w:rsidR="00A2206D">
              <w:rPr>
                <w:szCs w:val="18"/>
              </w:rPr>
              <w:t xml:space="preserve">have been assigned and/or </w:t>
            </w:r>
            <w:r w:rsidRPr="00496E08">
              <w:rPr>
                <w:szCs w:val="18"/>
              </w:rPr>
              <w:t>crossmatched to multiple patients, the selected form may be printed for only one patient during that session. The message will display that the form cannot be printed again for another assigned patient. VBECS must be closed and re-opened to print a tag for one of the other patients. If you need to print tags on the same unit for multiple assigned patients, access the option from the Patient Menu.</w:t>
            </w:r>
            <w:r w:rsidR="00A2206D">
              <w:rPr>
                <w:szCs w:val="18"/>
              </w:rPr>
              <w:t xml:space="preserve"> </w:t>
            </w:r>
            <w:r w:rsidR="00A2206D" w:rsidRPr="00A2206D">
              <w:rPr>
                <w:vanish/>
                <w:szCs w:val="18"/>
              </w:rPr>
              <w:t>INC000000997296</w:t>
            </w:r>
          </w:p>
          <w:p w14:paraId="009230E2" w14:textId="77777777" w:rsidR="00496E08" w:rsidRDefault="00496E08" w:rsidP="001710A2">
            <w:pPr>
              <w:pStyle w:val="NotesText"/>
            </w:pPr>
          </w:p>
          <w:p w14:paraId="036A00D5" w14:textId="77777777" w:rsidR="001710A2" w:rsidRDefault="001710A2" w:rsidP="001710A2">
            <w:pPr>
              <w:pStyle w:val="NotesText"/>
            </w:pPr>
            <w:r>
              <w:rPr>
                <w:rFonts w:cs="Arial"/>
                <w:vanish/>
              </w:rPr>
              <w:t xml:space="preserve">BR_43.01 </w:t>
            </w:r>
            <w:r>
              <w:t>When VBECS searches for units available for a patient name, it makes available for printing only units considered available for issue (standard processing or emergency issue).</w:t>
            </w:r>
          </w:p>
          <w:p w14:paraId="14AE9DBC" w14:textId="77777777" w:rsidR="001710A2" w:rsidRDefault="001710A2" w:rsidP="001710A2">
            <w:pPr>
              <w:pStyle w:val="NotesText"/>
            </w:pPr>
          </w:p>
          <w:p w14:paraId="09E5F6AC" w14:textId="69EAF59B" w:rsidR="002A21AE" w:rsidRDefault="001710A2" w:rsidP="001710A2">
            <w:pPr>
              <w:pStyle w:val="NotesText"/>
            </w:pPr>
            <w:r>
              <w:lastRenderedPageBreak/>
              <w:t xml:space="preserve">See </w:t>
            </w:r>
            <w:r>
              <w:fldChar w:fldCharType="begin" w:fldLock="1"/>
            </w:r>
            <w:r>
              <w:instrText xml:space="preserve"> REF _Ref170004931 \h </w:instrText>
            </w:r>
            <w:r>
              <w:fldChar w:fldCharType="separate"/>
            </w:r>
            <w:r w:rsidR="00AB304C">
              <w:t xml:space="preserve">Appendix </w:t>
            </w:r>
            <w:r w:rsidR="00AB304C">
              <w:rPr>
                <w:noProof/>
              </w:rPr>
              <w:t>B</w:t>
            </w:r>
            <w:r>
              <w:fldChar w:fldCharType="end"/>
            </w:r>
            <w:r>
              <w:t xml:space="preserve">: </w:t>
            </w:r>
            <w:r>
              <w:fldChar w:fldCharType="begin" w:fldLock="1"/>
            </w:r>
            <w:r>
              <w:instrText xml:space="preserve"> REF _Ref317762597 \h </w:instrText>
            </w:r>
            <w:r>
              <w:fldChar w:fldCharType="separate"/>
            </w:r>
            <w:r w:rsidR="00AB304C">
              <w:t xml:space="preserve">Table </w:t>
            </w:r>
            <w:r w:rsidR="00AB304C">
              <w:rPr>
                <w:noProof/>
              </w:rPr>
              <w:t>23</w:t>
            </w:r>
            <w:r w:rsidR="00AB304C">
              <w:t xml:space="preserve">: </w:t>
            </w:r>
            <w:r w:rsidR="00AB304C">
              <w:rPr>
                <w:vanish/>
              </w:rPr>
              <w:t xml:space="preserve">TT_3.05 </w:t>
            </w:r>
            <w:r w:rsidR="00AB304C">
              <w:t>Rules for Electronic and Serologic Crossmatch</w:t>
            </w:r>
            <w:r>
              <w:fldChar w:fldCharType="end"/>
            </w:r>
            <w:r w:rsidR="004E5EEE">
              <w:t xml:space="preserve"> </w:t>
            </w:r>
            <w:r>
              <w:rPr>
                <w:vanish/>
              </w:rPr>
              <w:t>and BR_5.03</w:t>
            </w:r>
            <w:r>
              <w:t xml:space="preserve">. The user may select only active units and those not in an inactive or final status. See </w:t>
            </w:r>
            <w:r>
              <w:fldChar w:fldCharType="begin" w:fldLock="1"/>
            </w:r>
            <w:r>
              <w:instrText xml:space="preserve"> REF _Ref170004931 \h </w:instrText>
            </w:r>
            <w:r>
              <w:fldChar w:fldCharType="separate"/>
            </w:r>
            <w:r w:rsidR="00AB304C">
              <w:t xml:space="preserve">Appendix </w:t>
            </w:r>
            <w:r w:rsidR="00AB304C">
              <w:rPr>
                <w:noProof/>
              </w:rPr>
              <w:t>B</w:t>
            </w:r>
            <w:r>
              <w:fldChar w:fldCharType="end"/>
            </w:r>
            <w:r>
              <w:t xml:space="preserve">: </w:t>
            </w:r>
            <w:r>
              <w:fldChar w:fldCharType="begin" w:fldLock="1"/>
            </w:r>
            <w:r>
              <w:instrText xml:space="preserve"> REF _Ref126467968 \h </w:instrText>
            </w:r>
            <w:r>
              <w:fldChar w:fldCharType="separate"/>
            </w:r>
            <w:r w:rsidR="00AB304C">
              <w:t xml:space="preserve">Figure </w:t>
            </w:r>
            <w:r w:rsidR="00AB304C">
              <w:rPr>
                <w:noProof/>
              </w:rPr>
              <w:t>148</w:t>
            </w:r>
            <w:r>
              <w:fldChar w:fldCharType="end"/>
            </w:r>
            <w:r>
              <w:t xml:space="preserve">: </w:t>
            </w:r>
            <w:r>
              <w:rPr>
                <w:vanish/>
                <w:szCs w:val="18"/>
              </w:rPr>
              <w:t xml:space="preserve">TT_27.01 </w:t>
            </w:r>
            <w:r>
              <w:t>Unit Status Flowchart.</w:t>
            </w:r>
          </w:p>
        </w:tc>
      </w:tr>
      <w:tr w:rsidR="002A21AE" w14:paraId="64892D3C" w14:textId="77777777">
        <w:tc>
          <w:tcPr>
            <w:tcW w:w="3240" w:type="dxa"/>
          </w:tcPr>
          <w:p w14:paraId="430E006D" w14:textId="77777777" w:rsidR="002A21AE" w:rsidRDefault="002A21AE">
            <w:pPr>
              <w:pStyle w:val="TableTextNumbers"/>
            </w:pPr>
            <w:r>
              <w:lastRenderedPageBreak/>
              <w:t>Acknowledge the selected patient and blood units for printing.</w:t>
            </w:r>
          </w:p>
          <w:p w14:paraId="0B3336B5" w14:textId="77777777" w:rsidR="002A21AE" w:rsidRDefault="002A21AE">
            <w:pPr>
              <w:pStyle w:val="TableTextNumbersContinued"/>
              <w:rPr>
                <w:b/>
                <w:bCs/>
              </w:rPr>
            </w:pPr>
          </w:p>
          <w:p w14:paraId="46C680D1" w14:textId="77777777" w:rsidR="002A21AE" w:rsidRDefault="002A21AE">
            <w:pPr>
              <w:pStyle w:val="TableTextNumbersContinued"/>
            </w:pPr>
            <w:r>
              <w:t xml:space="preserve">Click </w:t>
            </w:r>
            <w:r>
              <w:rPr>
                <w:b/>
              </w:rPr>
              <w:t>Print Unit Caution Tag</w:t>
            </w:r>
            <w:r>
              <w:t xml:space="preserve">, </w:t>
            </w:r>
            <w:r>
              <w:rPr>
                <w:b/>
              </w:rPr>
              <w:t>Print Transfusion Record Form</w:t>
            </w:r>
            <w:r>
              <w:t xml:space="preserve">, or </w:t>
            </w:r>
            <w:r>
              <w:rPr>
                <w:b/>
              </w:rPr>
              <w:t>Print Both</w:t>
            </w:r>
            <w:r>
              <w:t>.</w:t>
            </w:r>
          </w:p>
          <w:p w14:paraId="48489B35" w14:textId="77777777" w:rsidR="002A21AE" w:rsidRDefault="002A21AE">
            <w:pPr>
              <w:pStyle w:val="TableTextNumbersContinued"/>
            </w:pPr>
          </w:p>
          <w:p w14:paraId="24770C75" w14:textId="77777777" w:rsidR="002A21AE" w:rsidRDefault="002A21AE">
            <w:pPr>
              <w:pStyle w:val="TableTextNumbersContinued"/>
            </w:pPr>
            <w:r>
              <w:t xml:space="preserve">Click </w:t>
            </w:r>
            <w:r>
              <w:rPr>
                <w:b/>
              </w:rPr>
              <w:t>OK</w:t>
            </w:r>
            <w:r>
              <w:t xml:space="preserve"> to confirm and exit.</w:t>
            </w:r>
          </w:p>
        </w:tc>
        <w:tc>
          <w:tcPr>
            <w:tcW w:w="6120" w:type="dxa"/>
          </w:tcPr>
          <w:p w14:paraId="0625B3EF" w14:textId="77777777" w:rsidR="002A21AE" w:rsidRDefault="002A21AE">
            <w:pPr>
              <w:pStyle w:val="TableTextBullet"/>
            </w:pPr>
            <w:r>
              <w:t>Displays an option to print the Caution Tag and BTRF for units with a patient assignment.</w:t>
            </w:r>
          </w:p>
          <w:p w14:paraId="6F74799D" w14:textId="77777777" w:rsidR="002A21AE" w:rsidRDefault="002A21AE">
            <w:pPr>
              <w:pStyle w:val="TableTextBullet"/>
            </w:pPr>
            <w:r>
              <w:rPr>
                <w:rFonts w:cs="Arial"/>
                <w:vanish/>
              </w:rPr>
              <w:t xml:space="preserve">BR_43.05 </w:t>
            </w:r>
            <w:r>
              <w:t xml:space="preserve">Generates a separate Caution Tag and BTRF for each blood unit. </w:t>
            </w:r>
          </w:p>
          <w:p w14:paraId="626A792A" w14:textId="77777777" w:rsidR="002A21AE" w:rsidRDefault="002A21AE">
            <w:pPr>
              <w:pStyle w:val="TableText"/>
            </w:pPr>
          </w:p>
          <w:p w14:paraId="29B72749" w14:textId="77777777" w:rsidR="002A21AE" w:rsidRDefault="00057948">
            <w:pPr>
              <w:pStyle w:val="TableText"/>
              <w:rPr>
                <w:b/>
                <w:bCs/>
                <w:szCs w:val="18"/>
              </w:rPr>
            </w:pPr>
            <w:r>
              <w:rPr>
                <w:b/>
                <w:bCs/>
                <w:noProof/>
              </w:rPr>
              <mc:AlternateContent>
                <mc:Choice Requires="wps">
                  <w:drawing>
                    <wp:anchor distT="0" distB="0" distL="114300" distR="114300" simplePos="0" relativeHeight="251510272" behindDoc="0" locked="0" layoutInCell="1" allowOverlap="1" wp14:anchorId="45D60EBC" wp14:editId="0E8E2D6A">
                      <wp:simplePos x="0" y="0"/>
                      <wp:positionH relativeFrom="column">
                        <wp:posOffset>457200</wp:posOffset>
                      </wp:positionH>
                      <wp:positionV relativeFrom="paragraph">
                        <wp:posOffset>65405</wp:posOffset>
                      </wp:positionV>
                      <wp:extent cx="3200400" cy="0"/>
                      <wp:effectExtent l="9525" t="17780" r="9525" b="10795"/>
                      <wp:wrapNone/>
                      <wp:docPr id="421" name="Line 811" descr="P6333L36C10T6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DC52C" id="Line 811" o:spid="_x0000_s1026" alt="&quot;&quot;" style="position:absolute;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40ABR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726AEBFD" w14:textId="13B16982" w:rsidR="002A21AE" w:rsidRPr="002B3455" w:rsidRDefault="006911FF" w:rsidP="00737DBB">
            <w:pPr>
              <w:pStyle w:val="ListBullet"/>
              <w:rPr>
                <w:rFonts w:ascii="Arial" w:hAnsi="Arial"/>
                <w:spacing w:val="0"/>
                <w:sz w:val="18"/>
                <w:szCs w:val="24"/>
              </w:rPr>
            </w:pPr>
            <w:r w:rsidRPr="00737DBB">
              <w:rPr>
                <w:rFonts w:ascii="Arial" w:hAnsi="Arial"/>
                <w:spacing w:val="0"/>
                <w:sz w:val="18"/>
                <w:szCs w:val="24"/>
              </w:rPr>
              <w:t xml:space="preserve">If a VBECS system error occurs when a Caution Tag is requested, the printer may not be correctly configured. Configure the printer as detailed in the </w:t>
            </w:r>
            <w:r w:rsidR="00392837" w:rsidRPr="00B03BDD">
              <w:rPr>
                <w:rFonts w:ascii="Arial" w:hAnsi="Arial"/>
                <w:i/>
                <w:spacing w:val="0"/>
                <w:sz w:val="18"/>
                <w:szCs w:val="24"/>
              </w:rPr>
              <w:t>VistA Blood Establishment Computer Soft</w:t>
            </w:r>
            <w:r w:rsidR="00B03BDD" w:rsidRPr="00B03BDD">
              <w:rPr>
                <w:rFonts w:ascii="Arial" w:hAnsi="Arial"/>
                <w:i/>
                <w:spacing w:val="0"/>
                <w:sz w:val="18"/>
                <w:szCs w:val="24"/>
              </w:rPr>
              <w:t>ware (VBECS) 2.3.1</w:t>
            </w:r>
            <w:r w:rsidR="00392837" w:rsidRPr="00B03BDD">
              <w:rPr>
                <w:rFonts w:ascii="Arial" w:hAnsi="Arial"/>
                <w:i/>
                <w:spacing w:val="0"/>
                <w:sz w:val="18"/>
                <w:szCs w:val="24"/>
              </w:rPr>
              <w:t xml:space="preserve"> Technical Manual-Security Guide</w:t>
            </w:r>
            <w:r w:rsidR="00E36641">
              <w:rPr>
                <w:rFonts w:ascii="Arial" w:hAnsi="Arial"/>
                <w:spacing w:val="0"/>
                <w:sz w:val="18"/>
                <w:szCs w:val="24"/>
              </w:rPr>
              <w:t>,</w:t>
            </w:r>
            <w:r w:rsidR="00392837" w:rsidRPr="002B3455">
              <w:rPr>
                <w:rFonts w:ascii="Arial" w:hAnsi="Arial"/>
                <w:spacing w:val="0"/>
                <w:sz w:val="18"/>
                <w:szCs w:val="24"/>
              </w:rPr>
              <w:t xml:space="preserve"> </w:t>
            </w:r>
            <w:r w:rsidRPr="002B3455">
              <w:rPr>
                <w:rFonts w:ascii="Arial" w:hAnsi="Arial"/>
                <w:spacing w:val="0"/>
                <w:sz w:val="18"/>
                <w:szCs w:val="24"/>
              </w:rPr>
              <w:t>with subsequent</w:t>
            </w:r>
            <w:r w:rsidR="00392837" w:rsidRPr="002B3455">
              <w:rPr>
                <w:rFonts w:ascii="Arial" w:hAnsi="Arial"/>
                <w:spacing w:val="0"/>
                <w:sz w:val="18"/>
                <w:szCs w:val="24"/>
              </w:rPr>
              <w:t xml:space="preserve"> testing</w:t>
            </w:r>
            <w:r w:rsidRPr="002B3455">
              <w:rPr>
                <w:rFonts w:ascii="Arial" w:hAnsi="Arial"/>
                <w:spacing w:val="0"/>
                <w:sz w:val="18"/>
                <w:szCs w:val="24"/>
              </w:rPr>
              <w:t>.</w:t>
            </w:r>
            <w:r w:rsidR="00730CAA">
              <w:rPr>
                <w:rFonts w:ascii="Arial" w:hAnsi="Arial"/>
                <w:spacing w:val="0"/>
                <w:sz w:val="18"/>
                <w:szCs w:val="24"/>
              </w:rPr>
              <w:t xml:space="preserve"> </w:t>
            </w:r>
            <w:r w:rsidR="00730CAA" w:rsidRPr="00730CAA">
              <w:rPr>
                <w:rFonts w:ascii="Arial" w:hAnsi="Arial"/>
                <w:vanish/>
                <w:spacing w:val="0"/>
                <w:sz w:val="18"/>
                <w:szCs w:val="24"/>
              </w:rPr>
              <w:t>Defect 208592</w:t>
            </w:r>
          </w:p>
          <w:p w14:paraId="0AEC4C43" w14:textId="77777777" w:rsidR="00392837" w:rsidRDefault="00392837">
            <w:pPr>
              <w:pStyle w:val="NotesText"/>
            </w:pPr>
          </w:p>
          <w:p w14:paraId="263669DA" w14:textId="77777777" w:rsidR="002A21AE" w:rsidRDefault="002A21AE">
            <w:pPr>
              <w:pStyle w:val="NotesText"/>
            </w:pPr>
            <w:r>
              <w:rPr>
                <w:rFonts w:cs="Arial"/>
                <w:vanish/>
              </w:rPr>
              <w:t xml:space="preserve">BR_43.04 </w:t>
            </w:r>
            <w:r>
              <w:t xml:space="preserve">When a Caution Tag or BTRF is printed for an emergency-issued unit, “Emergency Issue” is included on the form. </w:t>
            </w:r>
          </w:p>
          <w:p w14:paraId="10879CED" w14:textId="77777777" w:rsidR="002A21AE" w:rsidRDefault="002A21AE">
            <w:pPr>
              <w:pStyle w:val="NotesText"/>
            </w:pPr>
          </w:p>
          <w:p w14:paraId="3D9BE393" w14:textId="77777777" w:rsidR="002A21AE" w:rsidRDefault="002A21AE">
            <w:pPr>
              <w:pStyle w:val="NotesText"/>
            </w:pPr>
            <w:r>
              <w:t>The recipient ABO/Rh prints as “</w:t>
            </w:r>
            <w:r w:rsidR="00F81F1E">
              <w:t>Unk</w:t>
            </w:r>
            <w:r>
              <w:t>”</w:t>
            </w:r>
            <w:r w:rsidR="00F81F1E">
              <w:t xml:space="preserve"> or “Unknown”</w:t>
            </w:r>
            <w:r>
              <w:t xml:space="preserve"> during emergency issue when no current specimen results are on file; VBECS may </w:t>
            </w:r>
            <w:r>
              <w:rPr>
                <w:iCs/>
              </w:rPr>
              <w:t>not</w:t>
            </w:r>
            <w:r>
              <w:t xml:space="preserve"> use a historic record blood type (from any source) for the typing printed on the tag/form.</w:t>
            </w:r>
          </w:p>
          <w:p w14:paraId="20765014" w14:textId="77777777" w:rsidR="002A21AE" w:rsidRDefault="002A21AE">
            <w:pPr>
              <w:pStyle w:val="NotesText"/>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5"/>
              <w:gridCol w:w="2705"/>
            </w:tblGrid>
            <w:tr w:rsidR="002A21AE" w14:paraId="29093EB6" w14:textId="77777777">
              <w:trPr>
                <w:tblHeader/>
              </w:trPr>
              <w:tc>
                <w:tcPr>
                  <w:tcW w:w="2335" w:type="dxa"/>
                  <w:shd w:val="clear" w:color="auto" w:fill="B3B3B3"/>
                  <w:vAlign w:val="bottom"/>
                </w:tcPr>
                <w:p w14:paraId="75EAC24A" w14:textId="77777777" w:rsidR="002A21AE" w:rsidRDefault="002A21AE">
                  <w:pPr>
                    <w:pStyle w:val="TableText"/>
                    <w:jc w:val="center"/>
                    <w:rPr>
                      <w:b/>
                    </w:rPr>
                  </w:pPr>
                  <w:r>
                    <w:rPr>
                      <w:b/>
                    </w:rPr>
                    <w:t>Compatibility Interpretation</w:t>
                  </w:r>
                </w:p>
              </w:tc>
              <w:tc>
                <w:tcPr>
                  <w:tcW w:w="2705" w:type="dxa"/>
                  <w:shd w:val="clear" w:color="auto" w:fill="B3B3B3"/>
                  <w:vAlign w:val="bottom"/>
                </w:tcPr>
                <w:p w14:paraId="4A2C8579" w14:textId="77777777" w:rsidR="002A21AE" w:rsidRDefault="002A21AE">
                  <w:pPr>
                    <w:pStyle w:val="TableText"/>
                    <w:jc w:val="center"/>
                    <w:rPr>
                      <w:b/>
                    </w:rPr>
                  </w:pPr>
                  <w:r>
                    <w:rPr>
                      <w:b/>
                    </w:rPr>
                    <w:t>Text on BTRF</w:t>
                  </w:r>
                </w:p>
              </w:tc>
            </w:tr>
            <w:tr w:rsidR="002A21AE" w14:paraId="57743577" w14:textId="77777777">
              <w:tc>
                <w:tcPr>
                  <w:tcW w:w="2335" w:type="dxa"/>
                  <w:vAlign w:val="bottom"/>
                </w:tcPr>
                <w:p w14:paraId="62B79818" w14:textId="77777777" w:rsidR="002A21AE" w:rsidRDefault="002A21AE">
                  <w:pPr>
                    <w:pStyle w:val="TableText"/>
                  </w:pPr>
                  <w:r>
                    <w:t>Crossmatch</w:t>
                  </w:r>
                </w:p>
              </w:tc>
              <w:tc>
                <w:tcPr>
                  <w:tcW w:w="2705" w:type="dxa"/>
                  <w:vAlign w:val="bottom"/>
                </w:tcPr>
                <w:p w14:paraId="3852B19A" w14:textId="77777777" w:rsidR="002A21AE" w:rsidRDefault="000664AE">
                  <w:pPr>
                    <w:pStyle w:val="TableText"/>
                  </w:pPr>
                  <w:r>
                    <w:t>TESTING INCOMPLETE</w:t>
                  </w:r>
                </w:p>
              </w:tc>
            </w:tr>
            <w:tr w:rsidR="002A21AE" w14:paraId="4EE02B21" w14:textId="77777777">
              <w:tc>
                <w:tcPr>
                  <w:tcW w:w="2335" w:type="dxa"/>
                  <w:vAlign w:val="bottom"/>
                </w:tcPr>
                <w:p w14:paraId="2033EBE0" w14:textId="77777777" w:rsidR="002A21AE" w:rsidRDefault="002A21AE">
                  <w:pPr>
                    <w:pStyle w:val="TableText"/>
                  </w:pPr>
                  <w:r>
                    <w:t>Crossmatch Not Required</w:t>
                  </w:r>
                </w:p>
              </w:tc>
              <w:tc>
                <w:tcPr>
                  <w:tcW w:w="2705" w:type="dxa"/>
                  <w:vAlign w:val="bottom"/>
                </w:tcPr>
                <w:p w14:paraId="02ECBB75" w14:textId="77777777" w:rsidR="002A21AE" w:rsidRDefault="002A21AE">
                  <w:pPr>
                    <w:pStyle w:val="TableText"/>
                  </w:pPr>
                  <w:r>
                    <w:t>Not Required</w:t>
                  </w:r>
                </w:p>
              </w:tc>
            </w:tr>
          </w:tbl>
          <w:p w14:paraId="08E3709A" w14:textId="77777777" w:rsidR="002A21AE" w:rsidRDefault="002A21AE">
            <w:pPr>
              <w:pStyle w:val="NotesText"/>
            </w:pPr>
          </w:p>
          <w:p w14:paraId="186385BC" w14:textId="77777777" w:rsidR="002A21AE" w:rsidRDefault="002A21AE">
            <w:pPr>
              <w:pStyle w:val="NotesText"/>
            </w:pPr>
            <w:r>
              <w:t>VBECS prints “Emergency Issue” in the TR section of the form.</w:t>
            </w:r>
          </w:p>
          <w:p w14:paraId="3D0E4335" w14:textId="77777777" w:rsidR="002A21AE" w:rsidRDefault="002A21AE">
            <w:pPr>
              <w:pStyle w:val="NotesText"/>
              <w:ind w:left="0"/>
            </w:pPr>
          </w:p>
          <w:p w14:paraId="67350DC9" w14:textId="77777777" w:rsidR="002A21AE" w:rsidRDefault="002A21AE">
            <w:pPr>
              <w:pStyle w:val="NotesText"/>
            </w:pPr>
            <w:r>
              <w:rPr>
                <w:rFonts w:cs="Arial"/>
                <w:vanish/>
              </w:rPr>
              <w:t xml:space="preserve">BR_43.03 </w:t>
            </w:r>
            <w:r>
              <w:t>The text that appears in the compatibility section is based on the crossmatch interpretation applied.</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5"/>
              <w:gridCol w:w="2705"/>
            </w:tblGrid>
            <w:tr w:rsidR="00B752FE" w14:paraId="18D8BF46" w14:textId="77777777" w:rsidTr="00DD6A38">
              <w:trPr>
                <w:tblHeader/>
              </w:trPr>
              <w:tc>
                <w:tcPr>
                  <w:tcW w:w="2335" w:type="dxa"/>
                  <w:shd w:val="clear" w:color="auto" w:fill="B3B3B3"/>
                  <w:vAlign w:val="bottom"/>
                </w:tcPr>
                <w:p w14:paraId="795EC76F" w14:textId="77777777" w:rsidR="00B752FE" w:rsidRDefault="00B752FE" w:rsidP="00DD6A38">
                  <w:pPr>
                    <w:pStyle w:val="TableText"/>
                    <w:jc w:val="center"/>
                    <w:rPr>
                      <w:b/>
                    </w:rPr>
                  </w:pPr>
                  <w:r>
                    <w:rPr>
                      <w:b/>
                    </w:rPr>
                    <w:t>Compatibility Interpretation</w:t>
                  </w:r>
                </w:p>
              </w:tc>
              <w:tc>
                <w:tcPr>
                  <w:tcW w:w="2705" w:type="dxa"/>
                  <w:shd w:val="clear" w:color="auto" w:fill="B3B3B3"/>
                  <w:vAlign w:val="bottom"/>
                </w:tcPr>
                <w:p w14:paraId="4415F159" w14:textId="77777777" w:rsidR="00B752FE" w:rsidRDefault="00B752FE" w:rsidP="00DD6A38">
                  <w:pPr>
                    <w:pStyle w:val="TableText"/>
                    <w:jc w:val="center"/>
                    <w:rPr>
                      <w:b/>
                    </w:rPr>
                  </w:pPr>
                  <w:r>
                    <w:rPr>
                      <w:b/>
                    </w:rPr>
                    <w:t>Text on BTRF</w:t>
                  </w:r>
                </w:p>
              </w:tc>
            </w:tr>
            <w:tr w:rsidR="00B752FE" w14:paraId="7DD01322" w14:textId="77777777" w:rsidTr="00DD6A38">
              <w:tc>
                <w:tcPr>
                  <w:tcW w:w="2335" w:type="dxa"/>
                  <w:vAlign w:val="bottom"/>
                </w:tcPr>
                <w:p w14:paraId="4E2E8F09" w14:textId="77777777" w:rsidR="00B752FE" w:rsidRDefault="00B752FE" w:rsidP="00DD6A38">
                  <w:pPr>
                    <w:pStyle w:val="TableText"/>
                  </w:pPr>
                  <w:r>
                    <w:t>Crossmatch Compatible</w:t>
                  </w:r>
                </w:p>
              </w:tc>
              <w:tc>
                <w:tcPr>
                  <w:tcW w:w="2705" w:type="dxa"/>
                  <w:vAlign w:val="bottom"/>
                </w:tcPr>
                <w:p w14:paraId="6B32255B" w14:textId="77777777" w:rsidR="00B752FE" w:rsidRDefault="00B752FE" w:rsidP="00DD6A38">
                  <w:pPr>
                    <w:pStyle w:val="TableText"/>
                  </w:pPr>
                  <w:r>
                    <w:t>Compatible</w:t>
                  </w:r>
                </w:p>
              </w:tc>
            </w:tr>
            <w:tr w:rsidR="00B752FE" w14:paraId="00D525BE" w14:textId="77777777" w:rsidTr="00DD6A38">
              <w:tc>
                <w:tcPr>
                  <w:tcW w:w="2335" w:type="dxa"/>
                  <w:vAlign w:val="bottom"/>
                </w:tcPr>
                <w:p w14:paraId="327B01F4" w14:textId="77777777" w:rsidR="00B752FE" w:rsidRDefault="00B752FE" w:rsidP="00DD6A38">
                  <w:pPr>
                    <w:pStyle w:val="TableText"/>
                  </w:pPr>
                  <w:r>
                    <w:t>Compatible: Electronically Crossmatched</w:t>
                  </w:r>
                </w:p>
              </w:tc>
              <w:tc>
                <w:tcPr>
                  <w:tcW w:w="2705" w:type="dxa"/>
                  <w:vAlign w:val="bottom"/>
                </w:tcPr>
                <w:p w14:paraId="3406B832" w14:textId="77777777" w:rsidR="00B752FE" w:rsidRDefault="00B752FE" w:rsidP="00DD6A38">
                  <w:pPr>
                    <w:pStyle w:val="TableText"/>
                  </w:pPr>
                  <w:r>
                    <w:t>Compatible</w:t>
                  </w:r>
                </w:p>
              </w:tc>
            </w:tr>
            <w:tr w:rsidR="00B752FE" w14:paraId="40D41358" w14:textId="77777777" w:rsidTr="00DD6A38">
              <w:tc>
                <w:tcPr>
                  <w:tcW w:w="2335" w:type="dxa"/>
                  <w:vAlign w:val="bottom"/>
                </w:tcPr>
                <w:p w14:paraId="0C1599C2" w14:textId="77777777" w:rsidR="00B752FE" w:rsidRDefault="00B752FE" w:rsidP="00DD6A38">
                  <w:pPr>
                    <w:pStyle w:val="TableText"/>
                  </w:pPr>
                  <w:r>
                    <w:t>Crossmatch Not Required</w:t>
                  </w:r>
                </w:p>
              </w:tc>
              <w:tc>
                <w:tcPr>
                  <w:tcW w:w="2705" w:type="dxa"/>
                  <w:vAlign w:val="bottom"/>
                </w:tcPr>
                <w:p w14:paraId="33B84FA4" w14:textId="77777777" w:rsidR="00B752FE" w:rsidRDefault="00B752FE" w:rsidP="00DD6A38">
                  <w:pPr>
                    <w:pStyle w:val="TableText"/>
                  </w:pPr>
                  <w:r>
                    <w:t>Not Applicable</w:t>
                  </w:r>
                </w:p>
              </w:tc>
            </w:tr>
            <w:tr w:rsidR="00B752FE" w14:paraId="10505A60" w14:textId="77777777" w:rsidTr="00DD6A38">
              <w:tc>
                <w:tcPr>
                  <w:tcW w:w="2335" w:type="dxa"/>
                  <w:vAlign w:val="bottom"/>
                </w:tcPr>
                <w:p w14:paraId="22F6E11D" w14:textId="77777777" w:rsidR="00B752FE" w:rsidRDefault="00B752FE" w:rsidP="00DD6A38">
                  <w:pPr>
                    <w:pStyle w:val="TableText"/>
                  </w:pPr>
                  <w:r>
                    <w:t>Crossmatch Incompatible: Give only with Medical Director Approval</w:t>
                  </w:r>
                </w:p>
              </w:tc>
              <w:tc>
                <w:tcPr>
                  <w:tcW w:w="2705" w:type="dxa"/>
                  <w:vAlign w:val="bottom"/>
                </w:tcPr>
                <w:p w14:paraId="7426D1ED" w14:textId="77777777" w:rsidR="00B752FE" w:rsidRDefault="00B752FE" w:rsidP="00DD6A38">
                  <w:pPr>
                    <w:pStyle w:val="TableText"/>
                  </w:pPr>
                  <w:r>
                    <w:t>Incompatible: Given with Medical Director Approval</w:t>
                  </w:r>
                </w:p>
              </w:tc>
            </w:tr>
          </w:tbl>
          <w:p w14:paraId="75A7D04A" w14:textId="77777777" w:rsidR="00B752FE" w:rsidRDefault="00B752FE">
            <w:pPr>
              <w:pStyle w:val="NotesText"/>
            </w:pPr>
          </w:p>
          <w:p w14:paraId="41EEA8A9" w14:textId="77777777" w:rsidR="00B752FE" w:rsidRDefault="00B752FE" w:rsidP="00B752FE">
            <w:pPr>
              <w:pStyle w:val="NotesText"/>
            </w:pPr>
            <w:r w:rsidRPr="00B752FE">
              <w:rPr>
                <w:vanish/>
              </w:rPr>
              <w:t xml:space="preserve">BR_44.01 </w:t>
            </w:r>
            <w:r>
              <w:t xml:space="preserve">The printed form has two general areas, one for patient and unit identification, and another to document the transfusion. </w:t>
            </w:r>
          </w:p>
          <w:p w14:paraId="7BC925F2" w14:textId="77777777" w:rsidR="00B752FE" w:rsidRDefault="00B752FE" w:rsidP="00B752FE">
            <w:pPr>
              <w:pStyle w:val="NotesText"/>
            </w:pPr>
          </w:p>
          <w:p w14:paraId="6EC1AAD9" w14:textId="77777777" w:rsidR="00B752FE" w:rsidRDefault="00B752FE" w:rsidP="00B752FE">
            <w:pPr>
              <w:pStyle w:val="NotesText"/>
            </w:pPr>
            <w:r w:rsidRPr="00B752FE">
              <w:rPr>
                <w:vanish/>
              </w:rPr>
              <w:t xml:space="preserve">BR_44.01 </w:t>
            </w:r>
            <w:r>
              <w:t>Information that appears on the form follows. All information is provided by VBECS unless stated. Information matching the caution tag will be printed to look alike for the users on both forms.</w:t>
            </w:r>
          </w:p>
          <w:p w14:paraId="16C44371" w14:textId="77777777" w:rsidR="00B752FE" w:rsidRPr="00152053" w:rsidRDefault="00B752FE" w:rsidP="000409B1">
            <w:pPr>
              <w:pStyle w:val="TableText"/>
              <w:numPr>
                <w:ilvl w:val="0"/>
                <w:numId w:val="60"/>
              </w:numPr>
              <w:rPr>
                <w:szCs w:val="18"/>
              </w:rPr>
            </w:pPr>
            <w:r w:rsidRPr="00152053">
              <w:rPr>
                <w:szCs w:val="18"/>
              </w:rPr>
              <w:t>Transfusion Division Name, City, State</w:t>
            </w:r>
          </w:p>
          <w:p w14:paraId="025BFC3A" w14:textId="77777777" w:rsidR="00B752FE" w:rsidRPr="00152053" w:rsidRDefault="00B752FE" w:rsidP="000409B1">
            <w:pPr>
              <w:pStyle w:val="TableText"/>
              <w:numPr>
                <w:ilvl w:val="0"/>
                <w:numId w:val="60"/>
              </w:numPr>
              <w:rPr>
                <w:szCs w:val="18"/>
              </w:rPr>
            </w:pPr>
            <w:r w:rsidRPr="00152053">
              <w:rPr>
                <w:szCs w:val="18"/>
              </w:rPr>
              <w:t xml:space="preserve">Patient ID </w:t>
            </w:r>
          </w:p>
          <w:p w14:paraId="1DE7FD10" w14:textId="77777777" w:rsidR="00B752FE" w:rsidRPr="00152053" w:rsidRDefault="00B752FE" w:rsidP="000409B1">
            <w:pPr>
              <w:pStyle w:val="TableText"/>
              <w:numPr>
                <w:ilvl w:val="0"/>
                <w:numId w:val="60"/>
              </w:numPr>
              <w:rPr>
                <w:szCs w:val="18"/>
              </w:rPr>
            </w:pPr>
            <w:r w:rsidRPr="00152053">
              <w:rPr>
                <w:szCs w:val="18"/>
              </w:rPr>
              <w:t>Patient Name (Last, First MI)</w:t>
            </w:r>
          </w:p>
          <w:p w14:paraId="67E406EF" w14:textId="77777777" w:rsidR="00B752FE" w:rsidRPr="00152053" w:rsidRDefault="00B752FE" w:rsidP="000409B1">
            <w:pPr>
              <w:pStyle w:val="TableText"/>
              <w:numPr>
                <w:ilvl w:val="0"/>
                <w:numId w:val="60"/>
              </w:numPr>
              <w:rPr>
                <w:szCs w:val="18"/>
              </w:rPr>
            </w:pPr>
            <w:r w:rsidRPr="00152053">
              <w:rPr>
                <w:szCs w:val="18"/>
              </w:rPr>
              <w:t>Patient DOB</w:t>
            </w:r>
          </w:p>
          <w:p w14:paraId="31EAF18A" w14:textId="77777777" w:rsidR="00B752FE" w:rsidRPr="00152053" w:rsidRDefault="00B752FE" w:rsidP="000409B1">
            <w:pPr>
              <w:pStyle w:val="TableText"/>
              <w:numPr>
                <w:ilvl w:val="0"/>
                <w:numId w:val="60"/>
              </w:numPr>
              <w:rPr>
                <w:szCs w:val="18"/>
              </w:rPr>
            </w:pPr>
            <w:r w:rsidRPr="00152053">
              <w:rPr>
                <w:szCs w:val="18"/>
              </w:rPr>
              <w:t>Unit/Pool ID</w:t>
            </w:r>
          </w:p>
          <w:p w14:paraId="1D41187F" w14:textId="77777777" w:rsidR="00B752FE" w:rsidRPr="00152053" w:rsidRDefault="007A7D97" w:rsidP="000409B1">
            <w:pPr>
              <w:pStyle w:val="TableText"/>
              <w:numPr>
                <w:ilvl w:val="0"/>
                <w:numId w:val="60"/>
              </w:numPr>
              <w:rPr>
                <w:szCs w:val="18"/>
              </w:rPr>
            </w:pPr>
            <w:r>
              <w:rPr>
                <w:szCs w:val="18"/>
              </w:rPr>
              <w:lastRenderedPageBreak/>
              <w:t>Recipient (Patient) Blood Type</w:t>
            </w:r>
          </w:p>
          <w:p w14:paraId="6555800C" w14:textId="77777777" w:rsidR="00B752FE" w:rsidRDefault="00B752FE" w:rsidP="000409B1">
            <w:pPr>
              <w:pStyle w:val="TableText"/>
              <w:numPr>
                <w:ilvl w:val="0"/>
                <w:numId w:val="60"/>
              </w:numPr>
            </w:pPr>
            <w:r>
              <w:t xml:space="preserve">Unit Blood Type </w:t>
            </w:r>
          </w:p>
          <w:p w14:paraId="1C1E4A3E" w14:textId="77777777" w:rsidR="00B752FE" w:rsidRDefault="00B752FE" w:rsidP="000409B1">
            <w:pPr>
              <w:pStyle w:val="TableText"/>
              <w:numPr>
                <w:ilvl w:val="0"/>
                <w:numId w:val="60"/>
              </w:numPr>
            </w:pPr>
            <w:r>
              <w:t xml:space="preserve">Compatibility Interpretation, Tech name, Date/time </w:t>
            </w:r>
          </w:p>
          <w:p w14:paraId="5112E5FE" w14:textId="77777777" w:rsidR="00B752FE" w:rsidRDefault="00B752FE" w:rsidP="000409B1">
            <w:pPr>
              <w:pStyle w:val="TableText"/>
              <w:numPr>
                <w:ilvl w:val="0"/>
                <w:numId w:val="60"/>
              </w:numPr>
            </w:pPr>
            <w:r>
              <w:t>Assigned Date/Time</w:t>
            </w:r>
          </w:p>
          <w:p w14:paraId="5D0E2753" w14:textId="77777777" w:rsidR="00B752FE" w:rsidRDefault="00B752FE" w:rsidP="000409B1">
            <w:pPr>
              <w:pStyle w:val="TableText"/>
              <w:numPr>
                <w:ilvl w:val="0"/>
                <w:numId w:val="60"/>
              </w:numPr>
            </w:pPr>
            <w:r>
              <w:t>Technologist Initials (This is the Assigning/Crossmatching Blood Bank Technologist Name.)</w:t>
            </w:r>
          </w:p>
          <w:p w14:paraId="03078422" w14:textId="77777777" w:rsidR="00B752FE" w:rsidRDefault="00B752FE" w:rsidP="000409B1">
            <w:pPr>
              <w:pStyle w:val="TableText"/>
              <w:numPr>
                <w:ilvl w:val="0"/>
                <w:numId w:val="60"/>
              </w:numPr>
            </w:pPr>
            <w:r>
              <w:t>Blood Component selected (the unit’s blood product long name)</w:t>
            </w:r>
          </w:p>
          <w:p w14:paraId="5264ABD2" w14:textId="77777777" w:rsidR="00B752FE" w:rsidRDefault="00B752FE" w:rsidP="000409B1">
            <w:pPr>
              <w:pStyle w:val="TableText"/>
              <w:numPr>
                <w:ilvl w:val="0"/>
                <w:numId w:val="60"/>
              </w:numPr>
            </w:pPr>
            <w:r>
              <w:t>Product Code (Full, Eye-readable)</w:t>
            </w:r>
          </w:p>
          <w:p w14:paraId="7B207C37" w14:textId="77777777" w:rsidR="00B752FE" w:rsidRDefault="00B752FE" w:rsidP="000409B1">
            <w:pPr>
              <w:pStyle w:val="TableText"/>
              <w:numPr>
                <w:ilvl w:val="0"/>
                <w:numId w:val="60"/>
              </w:numPr>
            </w:pPr>
            <w:r>
              <w:t>Donation type</w:t>
            </w:r>
          </w:p>
          <w:p w14:paraId="284A5486" w14:textId="77777777" w:rsidR="00B752FE" w:rsidRDefault="00B752FE" w:rsidP="000409B1">
            <w:pPr>
              <w:pStyle w:val="TableText"/>
              <w:numPr>
                <w:ilvl w:val="0"/>
                <w:numId w:val="60"/>
              </w:numPr>
            </w:pPr>
            <w:r>
              <w:t xml:space="preserve">Unit Expiration Date/Time </w:t>
            </w:r>
          </w:p>
          <w:p w14:paraId="46996CF9" w14:textId="77777777" w:rsidR="00B752FE" w:rsidRDefault="00B752FE" w:rsidP="000409B1">
            <w:pPr>
              <w:pStyle w:val="TableText"/>
              <w:numPr>
                <w:ilvl w:val="0"/>
                <w:numId w:val="60"/>
              </w:numPr>
            </w:pPr>
            <w:r>
              <w:t>Number of Units in Pool</w:t>
            </w:r>
          </w:p>
          <w:p w14:paraId="06F67390" w14:textId="77777777" w:rsidR="00B752FE" w:rsidRDefault="00B752FE" w:rsidP="000409B1">
            <w:pPr>
              <w:pStyle w:val="TableText"/>
              <w:numPr>
                <w:ilvl w:val="0"/>
                <w:numId w:val="60"/>
              </w:numPr>
            </w:pPr>
            <w:r>
              <w:t xml:space="preserve">Specimen UID Number, </w:t>
            </w:r>
            <w:r w:rsidRPr="00EE4FB5">
              <w:t>expiration date and time</w:t>
            </w:r>
            <w:r>
              <w:t xml:space="preserve"> </w:t>
            </w:r>
          </w:p>
          <w:p w14:paraId="37BC0C64" w14:textId="77777777" w:rsidR="00B752FE" w:rsidRPr="00830A63" w:rsidRDefault="00B752FE" w:rsidP="000409B1">
            <w:pPr>
              <w:pStyle w:val="TableText"/>
              <w:numPr>
                <w:ilvl w:val="0"/>
                <w:numId w:val="60"/>
              </w:numPr>
            </w:pPr>
            <w:r>
              <w:t>Location (order location)</w:t>
            </w:r>
          </w:p>
          <w:p w14:paraId="44343131" w14:textId="77777777" w:rsidR="00B752FE" w:rsidRDefault="00B752FE" w:rsidP="00B752FE">
            <w:pPr>
              <w:pStyle w:val="TableText"/>
            </w:pPr>
          </w:p>
          <w:p w14:paraId="21500EFA" w14:textId="77777777" w:rsidR="00B752FE" w:rsidRDefault="00B752FE" w:rsidP="00B752FE">
            <w:pPr>
              <w:pStyle w:val="NotesText"/>
            </w:pPr>
            <w:r w:rsidRPr="00B752FE">
              <w:rPr>
                <w:vanish/>
              </w:rPr>
              <w:t xml:space="preserve">BR_44.01 </w:t>
            </w:r>
            <w:r>
              <w:t>Transfusion documentation section: This section of the form provides prompts/placeholders for information to be entered at the bedside during the transfusion. Each listed item must provide adequate room for a transfusionist to manually record the appropriate, required information:</w:t>
            </w:r>
          </w:p>
          <w:p w14:paraId="175B4F0F" w14:textId="77777777" w:rsidR="00B752FE" w:rsidRDefault="00B752FE" w:rsidP="000409B1">
            <w:pPr>
              <w:pStyle w:val="TableText"/>
              <w:numPr>
                <w:ilvl w:val="0"/>
                <w:numId w:val="61"/>
              </w:numPr>
              <w:ind w:left="1440"/>
            </w:pPr>
            <w:r>
              <w:t>First identifier (signature)</w:t>
            </w:r>
          </w:p>
          <w:p w14:paraId="24F4BBCE" w14:textId="77777777" w:rsidR="00B752FE" w:rsidRDefault="00B752FE" w:rsidP="000409B1">
            <w:pPr>
              <w:pStyle w:val="TableText"/>
              <w:numPr>
                <w:ilvl w:val="0"/>
                <w:numId w:val="61"/>
              </w:numPr>
              <w:ind w:left="1440"/>
            </w:pPr>
            <w:r>
              <w:t>Second identifier (signature)</w:t>
            </w:r>
          </w:p>
          <w:p w14:paraId="5BD5A101" w14:textId="77777777" w:rsidR="00B752FE" w:rsidRDefault="00B752FE" w:rsidP="000409B1">
            <w:pPr>
              <w:pStyle w:val="TableText"/>
              <w:numPr>
                <w:ilvl w:val="0"/>
                <w:numId w:val="61"/>
              </w:numPr>
              <w:ind w:left="1440"/>
            </w:pPr>
            <w:r>
              <w:t xml:space="preserve">Date/time transfusion was started </w:t>
            </w:r>
          </w:p>
          <w:p w14:paraId="2D8E9508" w14:textId="77777777" w:rsidR="00B752FE" w:rsidRDefault="00B752FE" w:rsidP="000409B1">
            <w:pPr>
              <w:pStyle w:val="TableText"/>
              <w:numPr>
                <w:ilvl w:val="0"/>
                <w:numId w:val="61"/>
              </w:numPr>
              <w:ind w:left="1440"/>
            </w:pPr>
            <w:r>
              <w:t>Respiration</w:t>
            </w:r>
          </w:p>
          <w:p w14:paraId="51F81C70" w14:textId="77777777" w:rsidR="00B752FE" w:rsidRDefault="00B752FE" w:rsidP="000409B1">
            <w:pPr>
              <w:pStyle w:val="TableText"/>
              <w:numPr>
                <w:ilvl w:val="0"/>
                <w:numId w:val="61"/>
              </w:numPr>
              <w:ind w:left="1440"/>
            </w:pPr>
            <w:r>
              <w:t>Pretransfusion temperature</w:t>
            </w:r>
          </w:p>
          <w:p w14:paraId="3667C7EF" w14:textId="77777777" w:rsidR="00B752FE" w:rsidRDefault="00B752FE" w:rsidP="000409B1">
            <w:pPr>
              <w:pStyle w:val="TableText"/>
              <w:numPr>
                <w:ilvl w:val="0"/>
                <w:numId w:val="61"/>
              </w:numPr>
              <w:ind w:left="1440"/>
            </w:pPr>
            <w:r>
              <w:t>Pretransfusion pulse</w:t>
            </w:r>
          </w:p>
          <w:p w14:paraId="466DEE18" w14:textId="77777777" w:rsidR="00B752FE" w:rsidRDefault="00B752FE" w:rsidP="000409B1">
            <w:pPr>
              <w:pStyle w:val="TableText"/>
              <w:numPr>
                <w:ilvl w:val="0"/>
                <w:numId w:val="61"/>
              </w:numPr>
              <w:ind w:left="1440"/>
            </w:pPr>
            <w:r>
              <w:t>Pretransfusion blood pressure</w:t>
            </w:r>
          </w:p>
          <w:p w14:paraId="0253F97F" w14:textId="77777777" w:rsidR="00B752FE" w:rsidRDefault="00B752FE" w:rsidP="000409B1">
            <w:pPr>
              <w:pStyle w:val="TableText"/>
              <w:numPr>
                <w:ilvl w:val="0"/>
                <w:numId w:val="61"/>
              </w:numPr>
              <w:ind w:left="1440"/>
            </w:pPr>
            <w:r>
              <w:t>15-minute temperature</w:t>
            </w:r>
          </w:p>
          <w:p w14:paraId="6A972A64" w14:textId="77777777" w:rsidR="00B752FE" w:rsidRDefault="00B752FE" w:rsidP="000409B1">
            <w:pPr>
              <w:pStyle w:val="TableText"/>
              <w:numPr>
                <w:ilvl w:val="0"/>
                <w:numId w:val="61"/>
              </w:numPr>
              <w:ind w:left="1440"/>
            </w:pPr>
            <w:r>
              <w:t>15-minute pulse</w:t>
            </w:r>
          </w:p>
          <w:p w14:paraId="44423372" w14:textId="77777777" w:rsidR="00B752FE" w:rsidRDefault="00B752FE" w:rsidP="000409B1">
            <w:pPr>
              <w:pStyle w:val="TableText"/>
              <w:numPr>
                <w:ilvl w:val="0"/>
                <w:numId w:val="61"/>
              </w:numPr>
              <w:ind w:left="1440"/>
            </w:pPr>
            <w:r>
              <w:t>15-minute blood pressure</w:t>
            </w:r>
          </w:p>
          <w:p w14:paraId="3ABC6339" w14:textId="77777777" w:rsidR="00B752FE" w:rsidRDefault="00B752FE" w:rsidP="000409B1">
            <w:pPr>
              <w:pStyle w:val="TableText"/>
              <w:numPr>
                <w:ilvl w:val="0"/>
                <w:numId w:val="61"/>
              </w:numPr>
              <w:ind w:left="1440"/>
            </w:pPr>
            <w:r>
              <w:t>Mid-transfusion temperature</w:t>
            </w:r>
          </w:p>
          <w:p w14:paraId="68374E22" w14:textId="77777777" w:rsidR="00B752FE" w:rsidRDefault="00B752FE" w:rsidP="000409B1">
            <w:pPr>
              <w:pStyle w:val="TableText"/>
              <w:numPr>
                <w:ilvl w:val="0"/>
                <w:numId w:val="61"/>
              </w:numPr>
              <w:ind w:left="1440"/>
            </w:pPr>
            <w:r>
              <w:t>Mid-transfusion pulse</w:t>
            </w:r>
          </w:p>
          <w:p w14:paraId="2CBD52AF" w14:textId="77777777" w:rsidR="00B752FE" w:rsidRDefault="00B752FE" w:rsidP="000409B1">
            <w:pPr>
              <w:pStyle w:val="TableText"/>
              <w:numPr>
                <w:ilvl w:val="0"/>
                <w:numId w:val="61"/>
              </w:numPr>
              <w:ind w:left="1440"/>
            </w:pPr>
            <w:r>
              <w:t>Mid-transfusion blood pressure</w:t>
            </w:r>
          </w:p>
          <w:p w14:paraId="7619BF5D" w14:textId="77777777" w:rsidR="00B752FE" w:rsidRDefault="00B752FE" w:rsidP="000409B1">
            <w:pPr>
              <w:pStyle w:val="TableText"/>
              <w:numPr>
                <w:ilvl w:val="0"/>
                <w:numId w:val="61"/>
              </w:numPr>
              <w:ind w:left="1440"/>
            </w:pPr>
            <w:r>
              <w:t>Post-transfusion temp</w:t>
            </w:r>
          </w:p>
          <w:p w14:paraId="54CF510A" w14:textId="77777777" w:rsidR="00B752FE" w:rsidRDefault="00B752FE" w:rsidP="000409B1">
            <w:pPr>
              <w:pStyle w:val="TableText"/>
              <w:numPr>
                <w:ilvl w:val="0"/>
                <w:numId w:val="61"/>
              </w:numPr>
              <w:ind w:left="1440"/>
            </w:pPr>
            <w:r>
              <w:t>Post-transfusion pulse</w:t>
            </w:r>
          </w:p>
          <w:p w14:paraId="3064C905" w14:textId="77777777" w:rsidR="00B752FE" w:rsidRDefault="00B752FE" w:rsidP="000409B1">
            <w:pPr>
              <w:pStyle w:val="TableText"/>
              <w:numPr>
                <w:ilvl w:val="0"/>
                <w:numId w:val="61"/>
              </w:numPr>
              <w:ind w:left="1440"/>
            </w:pPr>
            <w:r>
              <w:t>Post-transfusion blood pressure</w:t>
            </w:r>
          </w:p>
          <w:p w14:paraId="25809D3C" w14:textId="77777777" w:rsidR="00B752FE" w:rsidRDefault="00B752FE" w:rsidP="000409B1">
            <w:pPr>
              <w:pStyle w:val="TableText"/>
              <w:numPr>
                <w:ilvl w:val="0"/>
                <w:numId w:val="61"/>
              </w:numPr>
              <w:ind w:left="1440"/>
            </w:pPr>
            <w:r>
              <w:t>Amount given (mL)</w:t>
            </w:r>
          </w:p>
          <w:p w14:paraId="521CC729" w14:textId="77777777" w:rsidR="00B752FE" w:rsidRDefault="00B752FE" w:rsidP="000409B1">
            <w:pPr>
              <w:pStyle w:val="TableText"/>
              <w:numPr>
                <w:ilvl w:val="0"/>
                <w:numId w:val="61"/>
              </w:numPr>
              <w:ind w:left="1440"/>
            </w:pPr>
            <w:r>
              <w:t>Date/time transfusion was completed or interrupted</w:t>
            </w:r>
          </w:p>
          <w:p w14:paraId="35114ADC" w14:textId="77777777" w:rsidR="00B752FE" w:rsidRDefault="00B752FE" w:rsidP="000409B1">
            <w:pPr>
              <w:pStyle w:val="TableText"/>
              <w:numPr>
                <w:ilvl w:val="0"/>
                <w:numId w:val="61"/>
              </w:numPr>
              <w:ind w:left="1440"/>
            </w:pPr>
            <w:r>
              <w:t>Completing transfusionist (place for wet signature)</w:t>
            </w:r>
          </w:p>
          <w:p w14:paraId="7371A107" w14:textId="77777777" w:rsidR="00B752FE" w:rsidRDefault="00B752FE" w:rsidP="000409B1">
            <w:pPr>
              <w:pStyle w:val="TableText"/>
              <w:numPr>
                <w:ilvl w:val="0"/>
                <w:numId w:val="61"/>
              </w:numPr>
              <w:ind w:left="1440"/>
            </w:pPr>
            <w:r>
              <w:t>Reverification of patient area</w:t>
            </w:r>
          </w:p>
          <w:p w14:paraId="693B71D7" w14:textId="77777777" w:rsidR="00B752FE" w:rsidRDefault="00B752FE" w:rsidP="000409B1">
            <w:pPr>
              <w:pStyle w:val="TableText"/>
              <w:numPr>
                <w:ilvl w:val="0"/>
                <w:numId w:val="61"/>
              </w:numPr>
              <w:ind w:left="1440"/>
            </w:pPr>
            <w:r>
              <w:t>Transfusion reaction indicator (No reaction/Reaction suspected)</w:t>
            </w:r>
          </w:p>
          <w:p w14:paraId="288B3F51" w14:textId="77777777" w:rsidR="00B752FE" w:rsidRDefault="00B752FE" w:rsidP="000409B1">
            <w:pPr>
              <w:pStyle w:val="TableText"/>
              <w:numPr>
                <w:ilvl w:val="0"/>
                <w:numId w:val="61"/>
              </w:numPr>
              <w:ind w:left="1440"/>
            </w:pPr>
            <w:r>
              <w:t>Description of Reaction (includes Urticaria, Chill, Pain, Fever, Dyspnea, Other)</w:t>
            </w:r>
          </w:p>
          <w:p w14:paraId="0108C3B9" w14:textId="77777777" w:rsidR="00B752FE" w:rsidRDefault="00B752FE" w:rsidP="000409B1">
            <w:pPr>
              <w:pStyle w:val="TableText"/>
              <w:numPr>
                <w:ilvl w:val="0"/>
                <w:numId w:val="61"/>
              </w:numPr>
              <w:ind w:left="1440"/>
            </w:pPr>
            <w:r>
              <w:t>Other difficulties</w:t>
            </w:r>
          </w:p>
          <w:p w14:paraId="484933A6" w14:textId="77777777" w:rsidR="00B752FE" w:rsidRDefault="00B752FE" w:rsidP="000409B1">
            <w:pPr>
              <w:pStyle w:val="TableText"/>
              <w:numPr>
                <w:ilvl w:val="0"/>
                <w:numId w:val="61"/>
              </w:numPr>
              <w:ind w:left="1440"/>
            </w:pPr>
            <w:r>
              <w:t>Signature of person noting the transfusion reaction</w:t>
            </w:r>
          </w:p>
          <w:p w14:paraId="3B4F3DEC" w14:textId="77777777" w:rsidR="00B752FE" w:rsidRDefault="00B752FE" w:rsidP="000409B1">
            <w:pPr>
              <w:pStyle w:val="TableText"/>
              <w:numPr>
                <w:ilvl w:val="0"/>
                <w:numId w:val="61"/>
              </w:numPr>
              <w:ind w:left="1440"/>
            </w:pPr>
            <w:r>
              <w:t>Instructions for suspected transfusion reaction immediate response (see sample form for text)</w:t>
            </w:r>
          </w:p>
          <w:p w14:paraId="6A076B23" w14:textId="77777777" w:rsidR="00B752FE" w:rsidRDefault="00B752FE" w:rsidP="00B752FE">
            <w:pPr>
              <w:pStyle w:val="NotesText"/>
              <w:ind w:left="1440"/>
            </w:pPr>
            <w:r>
              <w:t>Bedside verification statement (see sample form for text)</w:t>
            </w:r>
          </w:p>
          <w:p w14:paraId="39A606D7" w14:textId="77777777" w:rsidR="00292F47" w:rsidRDefault="00292F47">
            <w:pPr>
              <w:pStyle w:val="NotesText"/>
            </w:pPr>
          </w:p>
          <w:p w14:paraId="316139E0" w14:textId="77777777" w:rsidR="002A21AE" w:rsidRDefault="00292F47">
            <w:pPr>
              <w:pStyle w:val="NotesText"/>
            </w:pPr>
            <w:r w:rsidRPr="00292F47">
              <w:rPr>
                <w:vanish/>
              </w:rPr>
              <w:t xml:space="preserve">BR_44.02 </w:t>
            </w:r>
            <w:r>
              <w:t xml:space="preserve">Facility Name is the name and address of the compatibility testing facility. If a full-service facility, “Facility Name” is the </w:t>
            </w:r>
            <w:r>
              <w:lastRenderedPageBreak/>
              <w:t>user’s current division. If a transfusion-only facility, “Facility Name” is the testing facility entered. For a transfusion-only facility, both the testing facility and the current division must appear on the form.</w:t>
            </w:r>
          </w:p>
          <w:p w14:paraId="79F6230F" w14:textId="77777777" w:rsidR="00292F47" w:rsidRDefault="00292F47">
            <w:pPr>
              <w:pStyle w:val="NotesText"/>
            </w:pPr>
          </w:p>
          <w:p w14:paraId="72ABEABC" w14:textId="77777777" w:rsidR="00292F47" w:rsidRDefault="00292F47">
            <w:pPr>
              <w:pStyle w:val="NotesText"/>
            </w:pPr>
            <w:r w:rsidRPr="00292F47">
              <w:rPr>
                <w:vanish/>
              </w:rPr>
              <w:t xml:space="preserve">BR_44.03 </w:t>
            </w:r>
            <w:r>
              <w:t>Patient Special Instructions and patient Transfusion Requirements do not print on the Blood Transfusion Record Form when the requirement isn’t appropriate (listed as “NA”) for the blood product.</w:t>
            </w:r>
          </w:p>
          <w:p w14:paraId="48592AE7" w14:textId="77777777" w:rsidR="00292F47" w:rsidRDefault="00292F47">
            <w:pPr>
              <w:pStyle w:val="NotesText"/>
            </w:pPr>
          </w:p>
          <w:p w14:paraId="1FCFBC75" w14:textId="77777777" w:rsidR="00292F47" w:rsidRDefault="00292F47" w:rsidP="00292F47">
            <w:pPr>
              <w:pStyle w:val="NotesText"/>
            </w:pPr>
            <w:r w:rsidRPr="00292F47">
              <w:rPr>
                <w:vanish/>
              </w:rPr>
              <w:t xml:space="preserve">BR_44.05 </w:t>
            </w:r>
            <w:r>
              <w:t>When blood products are emergency issued (indicator or the testing is incomplete or inconclusive on the current specimen), print in the remarks section of the Blood Transfusion Record Form: “This unit is issued for transfusion BEFORE the completion of required compatibility testing. The blood bank staff will continue to test the compatibility of the unit using the current patient specimen. If you are alerted to a unit’s incompatibility by the blood bank, stop the transfusion immediately.”</w:t>
            </w:r>
          </w:p>
          <w:p w14:paraId="7F7D947D" w14:textId="77777777" w:rsidR="00292F47" w:rsidRDefault="00292F47" w:rsidP="00292F47">
            <w:pPr>
              <w:pStyle w:val="TableText"/>
            </w:pPr>
          </w:p>
          <w:p w14:paraId="0FB68443" w14:textId="77777777" w:rsidR="00292F47" w:rsidRDefault="00276485" w:rsidP="00292F47">
            <w:pPr>
              <w:pStyle w:val="NotesText"/>
            </w:pPr>
            <w:r>
              <w:t>When</w:t>
            </w:r>
            <w:r w:rsidR="00292F47" w:rsidRPr="00292F47">
              <w:rPr>
                <w:vanish/>
              </w:rPr>
              <w:t xml:space="preserve">BR_44.05 </w:t>
            </w:r>
            <w:r>
              <w:rPr>
                <w:vanish/>
              </w:rPr>
              <w:t>When</w:t>
            </w:r>
            <w:r w:rsidR="00292F47">
              <w:t xml:space="preserve"> “***” prints for the patient ABO/Rh and crossmatch, include “Specimen testing incomplete at time of issue” in the printout.</w:t>
            </w:r>
          </w:p>
          <w:p w14:paraId="67FCB3C3" w14:textId="77777777" w:rsidR="002A21AE" w:rsidRDefault="002A21AE">
            <w:pPr>
              <w:pStyle w:val="NotesText"/>
              <w:tabs>
                <w:tab w:val="left" w:pos="4140"/>
              </w:tabs>
              <w:ind w:left="0"/>
            </w:pPr>
          </w:p>
        </w:tc>
      </w:tr>
      <w:tr w:rsidR="002A21AE" w14:paraId="18227113" w14:textId="77777777">
        <w:tc>
          <w:tcPr>
            <w:tcW w:w="3240" w:type="dxa"/>
          </w:tcPr>
          <w:p w14:paraId="7D993820" w14:textId="77777777" w:rsidR="002A21AE" w:rsidRDefault="002A21AE">
            <w:pPr>
              <w:pStyle w:val="TableTextNumbers"/>
            </w:pPr>
            <w:r>
              <w:lastRenderedPageBreak/>
              <w:t xml:space="preserve">Print and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7A0B21F3" w14:textId="77777777" w:rsidR="002A21AE" w:rsidRDefault="002A21AE">
            <w:pPr>
              <w:pStyle w:val="TableText"/>
            </w:pPr>
          </w:p>
        </w:tc>
      </w:tr>
    </w:tbl>
    <w:p w14:paraId="7C589AE0" w14:textId="169C3DDA" w:rsidR="00CD3C64" w:rsidRDefault="00CD3C64" w:rsidP="00CD3C64">
      <w:pPr>
        <w:pStyle w:val="Caption"/>
      </w:pPr>
      <w:bookmarkStart w:id="428" w:name="_Ref127006080"/>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110</w:t>
      </w:r>
      <w:r w:rsidR="004E20BD">
        <w:rPr>
          <w:noProof/>
        </w:rPr>
        <w:fldChar w:fldCharType="end"/>
      </w:r>
      <w:bookmarkEnd w:id="428"/>
      <w:r>
        <w:t>: Print Unit Caution Tag and Transfusion Record Form</w:t>
      </w:r>
    </w:p>
    <w:p w14:paraId="6E3A6D52" w14:textId="77777777" w:rsidR="00CF47D5" w:rsidRDefault="00057948" w:rsidP="00936CE0">
      <w:pPr>
        <w:pStyle w:val="BodyText"/>
        <w:rPr>
          <w:rStyle w:val="BullhornChar"/>
        </w:rPr>
      </w:pPr>
      <w:r>
        <w:rPr>
          <w:rFonts w:ascii="Webdings" w:hAnsi="Webdings"/>
          <w:noProof/>
          <w:sz w:val="40"/>
          <w:szCs w:val="24"/>
        </w:rPr>
        <w:drawing>
          <wp:inline distT="0" distB="0" distL="0" distR="0" wp14:anchorId="6174C32B" wp14:editId="7F70E697">
            <wp:extent cx="3657600" cy="2706370"/>
            <wp:effectExtent l="0" t="0" r="0" b="0"/>
            <wp:docPr id="199" name="Picture 199" descr="P6431#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6431#yIS1">
                      <a:extLst>
                        <a:ext uri="{C183D7F6-B498-43B3-948B-1728B52AA6E4}">
                          <adec:decorative xmlns:adec="http://schemas.microsoft.com/office/drawing/2017/decorative" val="1"/>
                        </a:ext>
                      </a:extLst>
                    </pic:cNvP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657600" cy="2706370"/>
                    </a:xfrm>
                    <a:prstGeom prst="rect">
                      <a:avLst/>
                    </a:prstGeom>
                    <a:noFill/>
                    <a:ln>
                      <a:noFill/>
                    </a:ln>
                  </pic:spPr>
                </pic:pic>
              </a:graphicData>
            </a:graphic>
          </wp:inline>
        </w:drawing>
      </w:r>
    </w:p>
    <w:p w14:paraId="5280DCFF" w14:textId="77777777" w:rsidR="002A21AE" w:rsidRDefault="00CF47D5" w:rsidP="00CD3C64">
      <w:pPr>
        <w:pStyle w:val="BodyText"/>
      </w:pPr>
      <w:r>
        <w:rPr>
          <w:rStyle w:val="BullhornChar"/>
        </w:rPr>
        <w:br w:type="page"/>
      </w:r>
      <w:r w:rsidR="00896F17" w:rsidRPr="00896F17">
        <w:rPr>
          <w:rStyle w:val="BullhornChar"/>
        </w:rPr>
        <w:lastRenderedPageBreak/>
        <w:t></w:t>
      </w:r>
      <w:r w:rsidR="00896F17" w:rsidRPr="00896F17">
        <w:rPr>
          <w:rStyle w:val="Heading4Char"/>
        </w:rPr>
        <w:t xml:space="preserve"> </w:t>
      </w:r>
      <w:r w:rsidR="002A21AE" w:rsidRPr="00896F17">
        <w:rPr>
          <w:rStyle w:val="Heading4Char"/>
        </w:rPr>
        <w:t>Alerts</w:t>
      </w:r>
    </w:p>
    <w:p w14:paraId="34AB065E" w14:textId="15B5FBDC" w:rsidR="002A21AE" w:rsidRDefault="002A21AE">
      <w:pPr>
        <w:pStyle w:val="Caption"/>
      </w:pPr>
      <w:bookmarkStart w:id="429" w:name="_Ref126504208"/>
      <w:bookmarkStart w:id="430" w:name="_Toc97523620"/>
      <w:bookmarkStart w:id="431" w:name="_Toc97527590"/>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647F4E">
        <w:rPr>
          <w:noProof/>
        </w:rPr>
        <w:t>9</w:t>
      </w:r>
      <w:r w:rsidR="004E20BD">
        <w:rPr>
          <w:noProof/>
        </w:rPr>
        <w:fldChar w:fldCharType="end"/>
      </w:r>
      <w:bookmarkEnd w:id="429"/>
      <w:r>
        <w:t xml:space="preserve">: Alerts That May Occur in </w:t>
      </w:r>
      <w:r w:rsidR="005D42CA">
        <w:t>Print Unit Caution Tag &amp; Transfusion Record Form</w:t>
      </w:r>
      <w:r>
        <w:t xml:space="preserve"> (Step 3)</w:t>
      </w:r>
      <w:bookmarkEnd w:id="430"/>
      <w:bookmarkEnd w:id="431"/>
      <w:r>
        <w:fldChar w:fldCharType="begin"/>
      </w:r>
      <w:r>
        <w:instrText xml:space="preserve"> XE </w:instrText>
      </w:r>
      <w:r w:rsidR="00FA7E65">
        <w:instrText>“</w:instrText>
      </w:r>
      <w:r>
        <w:instrText xml:space="preserve">Tables:Alerts That May Occur in </w:instrText>
      </w:r>
      <w:r w:rsidR="005D42CA">
        <w:instrText>Print Unit Caution Tag &amp; Transfusion Record Form</w:instrText>
      </w:r>
      <w:r w:rsidR="00FA7E65">
        <w:instrText>”</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4"/>
        <w:gridCol w:w="3818"/>
        <w:gridCol w:w="1588"/>
      </w:tblGrid>
      <w:tr w:rsidR="00F77995" w14:paraId="12B09103" w14:textId="77777777">
        <w:trPr>
          <w:tblHeader/>
        </w:trPr>
        <w:tc>
          <w:tcPr>
            <w:tcW w:w="5311" w:type="dxa"/>
            <w:shd w:val="clear" w:color="auto" w:fill="B3B3B3"/>
            <w:vAlign w:val="bottom"/>
          </w:tcPr>
          <w:p w14:paraId="202014EC" w14:textId="77777777" w:rsidR="000B56AE" w:rsidRDefault="000B56AE">
            <w:pPr>
              <w:pStyle w:val="TableText"/>
              <w:rPr>
                <w:b/>
              </w:rPr>
            </w:pPr>
            <w:r>
              <w:rPr>
                <w:b/>
              </w:rPr>
              <w:t>User Action Step 3: When This Condition Exists …</w:t>
            </w:r>
          </w:p>
        </w:tc>
        <w:tc>
          <w:tcPr>
            <w:tcW w:w="5253" w:type="dxa"/>
            <w:shd w:val="clear" w:color="auto" w:fill="B3B3B3"/>
            <w:vAlign w:val="bottom"/>
          </w:tcPr>
          <w:p w14:paraId="09CF743C" w14:textId="77777777" w:rsidR="000B56AE" w:rsidRDefault="000B56AE">
            <w:pPr>
              <w:pStyle w:val="TableText"/>
              <w:rPr>
                <w:b/>
              </w:rPr>
            </w:pPr>
            <w:r>
              <w:rPr>
                <w:b/>
              </w:rPr>
              <w:t xml:space="preserve">… </w:t>
            </w:r>
            <w:r w:rsidRPr="00896F17">
              <w:rPr>
                <w:rStyle w:val="BullhornChar"/>
              </w:rPr>
              <w:t></w:t>
            </w:r>
            <w:r>
              <w:rPr>
                <w:rFonts w:ascii="Webdings" w:hAnsi="Webdings"/>
              </w:rPr>
              <w:t></w:t>
            </w:r>
            <w:r>
              <w:rPr>
                <w:b/>
              </w:rPr>
              <w:t>VBECS Emits</w:t>
            </w:r>
            <w:r>
              <w:rPr>
                <w:b/>
                <w:noProof/>
              </w:rPr>
              <w:t xml:space="preserve"> an Audible Alert </w:t>
            </w:r>
            <w:r>
              <w:rPr>
                <w:b/>
              </w:rPr>
              <w:t>and Warns the User:</w:t>
            </w:r>
          </w:p>
        </w:tc>
        <w:tc>
          <w:tcPr>
            <w:tcW w:w="1793" w:type="dxa"/>
            <w:shd w:val="clear" w:color="auto" w:fill="B3B3B3"/>
            <w:vAlign w:val="bottom"/>
          </w:tcPr>
          <w:p w14:paraId="76AAD4BF" w14:textId="77777777" w:rsidR="000B56AE" w:rsidRDefault="000B56AE">
            <w:pPr>
              <w:pStyle w:val="TableText"/>
              <w:rPr>
                <w:b/>
              </w:rPr>
            </w:pPr>
            <w:r>
              <w:rPr>
                <w:b/>
              </w:rPr>
              <w:t>User Role</w:t>
            </w:r>
          </w:p>
        </w:tc>
      </w:tr>
      <w:tr w:rsidR="00F77995" w14:paraId="72374AAA" w14:textId="77777777">
        <w:trPr>
          <w:hidden/>
        </w:trPr>
        <w:tc>
          <w:tcPr>
            <w:tcW w:w="5311" w:type="dxa"/>
            <w:vMerge w:val="restart"/>
            <w:vAlign w:val="center"/>
          </w:tcPr>
          <w:p w14:paraId="1AB7C9AD" w14:textId="77777777" w:rsidR="000B56AE" w:rsidRDefault="000B56AE">
            <w:pPr>
              <w:pStyle w:val="TableText"/>
            </w:pPr>
            <w:r>
              <w:rPr>
                <w:rFonts w:cs="Arial"/>
                <w:vanish/>
              </w:rPr>
              <w:t xml:space="preserve">BR_43.18 </w:t>
            </w:r>
            <w:r>
              <w:t xml:space="preserve">VBECS determines whether the patient has a calculated or persistent antigen negative requirement (except when selecting autologous units). The selected unit was antigen typed and is positive for the corresponding antigen or is untested for the antigen. </w:t>
            </w:r>
          </w:p>
        </w:tc>
        <w:tc>
          <w:tcPr>
            <w:tcW w:w="5253" w:type="dxa"/>
            <w:vAlign w:val="bottom"/>
          </w:tcPr>
          <w:p w14:paraId="17C0C46C" w14:textId="77777777" w:rsidR="000B56AE" w:rsidRDefault="000B56AE">
            <w:pPr>
              <w:pStyle w:val="TableText"/>
            </w:pPr>
            <w:r>
              <w:t>The patient has a history of a clinically significant antibody, the unit is positive or untested for the corresponding antigen, the user does not have the proper security level. There is no override.</w:t>
            </w:r>
          </w:p>
        </w:tc>
        <w:tc>
          <w:tcPr>
            <w:tcW w:w="1793" w:type="dxa"/>
            <w:vAlign w:val="bottom"/>
          </w:tcPr>
          <w:p w14:paraId="593C1D27" w14:textId="77777777" w:rsidR="000B56AE" w:rsidRDefault="000B56AE">
            <w:pPr>
              <w:pStyle w:val="TableText"/>
            </w:pPr>
            <w:r>
              <w:t>Enhanced Technologist or below</w:t>
            </w:r>
          </w:p>
        </w:tc>
      </w:tr>
      <w:tr w:rsidR="00F77995" w14:paraId="00FF8758" w14:textId="77777777">
        <w:tc>
          <w:tcPr>
            <w:tcW w:w="5311" w:type="dxa"/>
            <w:vMerge/>
            <w:vAlign w:val="center"/>
          </w:tcPr>
          <w:p w14:paraId="4E38525E" w14:textId="77777777" w:rsidR="000B56AE" w:rsidRDefault="000B56AE">
            <w:pPr>
              <w:pStyle w:val="TableText"/>
            </w:pPr>
          </w:p>
        </w:tc>
        <w:tc>
          <w:tcPr>
            <w:tcW w:w="5253" w:type="dxa"/>
            <w:vAlign w:val="bottom"/>
          </w:tcPr>
          <w:p w14:paraId="61BCCEAA" w14:textId="77777777" w:rsidR="000B56AE" w:rsidRDefault="000B56AE">
            <w:pPr>
              <w:pStyle w:val="TableText"/>
              <w:rPr>
                <w:noProof/>
              </w:rPr>
            </w:pPr>
            <w:r>
              <w:t xml:space="preserve">The patient has a history of an antibody(s) and the unit ID is positive or untested for the corresponding antigen(s). Continue to print Caution Tag or BTRF? </w:t>
            </w:r>
            <w:r>
              <w:rPr>
                <w:b/>
                <w:bCs/>
              </w:rPr>
              <w:t>No</w:t>
            </w:r>
            <w:r>
              <w:t xml:space="preserve"> clears the screen. </w:t>
            </w:r>
            <w:r>
              <w:rPr>
                <w:b/>
                <w:bCs/>
              </w:rPr>
              <w:t>Yes</w:t>
            </w:r>
            <w:r>
              <w:t xml:space="preserve"> requires a comment and captures details for inclusion in an Exception Report (exception type: Caution Tag or BTRF printed for antigen positive or untested unit).</w:t>
            </w:r>
          </w:p>
        </w:tc>
        <w:tc>
          <w:tcPr>
            <w:tcW w:w="1793" w:type="dxa"/>
            <w:vAlign w:val="bottom"/>
          </w:tcPr>
          <w:p w14:paraId="23514CE4" w14:textId="77777777" w:rsidR="000B56AE" w:rsidRDefault="000B56AE">
            <w:pPr>
              <w:pStyle w:val="TableText"/>
            </w:pPr>
            <w:r>
              <w:t xml:space="preserve">Lead Technologist </w:t>
            </w:r>
          </w:p>
        </w:tc>
      </w:tr>
      <w:tr w:rsidR="00F77995" w14:paraId="7EE6B8DE" w14:textId="77777777">
        <w:trPr>
          <w:hidden/>
        </w:trPr>
        <w:tc>
          <w:tcPr>
            <w:tcW w:w="5311" w:type="dxa"/>
            <w:vMerge w:val="restart"/>
            <w:vAlign w:val="center"/>
          </w:tcPr>
          <w:p w14:paraId="65F7FD81" w14:textId="77777777" w:rsidR="000B56AE" w:rsidRDefault="000B56AE">
            <w:pPr>
              <w:pStyle w:val="TableText"/>
            </w:pPr>
            <w:r>
              <w:rPr>
                <w:rFonts w:cs="Arial"/>
                <w:vanish/>
              </w:rPr>
              <w:t xml:space="preserve">BR_43.19 </w:t>
            </w:r>
            <w:r>
              <w:t>When the patient has TRs, VBECS evaluates the selected unit to see whether a TR was satisfied based on system rules</w:t>
            </w:r>
            <w:r>
              <w:rPr>
                <w:vanish/>
                <w:szCs w:val="18"/>
              </w:rPr>
              <w:t>TT_3.04</w:t>
            </w:r>
            <w:r>
              <w:t xml:space="preserve">, including emergency issue. </w:t>
            </w:r>
          </w:p>
        </w:tc>
        <w:tc>
          <w:tcPr>
            <w:tcW w:w="5253" w:type="dxa"/>
            <w:vAlign w:val="bottom"/>
          </w:tcPr>
          <w:p w14:paraId="75C52317" w14:textId="77777777" w:rsidR="000B56AE" w:rsidRDefault="000B56AE">
            <w:pPr>
              <w:pStyle w:val="TableText"/>
            </w:pPr>
            <w:r>
              <w:t>The patient has</w:t>
            </w:r>
            <w:r>
              <w:rPr>
                <w:noProof/>
              </w:rPr>
              <w:t xml:space="preserve"> </w:t>
            </w:r>
            <w:r>
              <w:t xml:space="preserve">at least one </w:t>
            </w:r>
            <w:r>
              <w:rPr>
                <w:noProof/>
              </w:rPr>
              <w:t xml:space="preserve">TR that is not satisfied, the user does </w:t>
            </w:r>
            <w:r>
              <w:t>not have the proper security level to print the Caution Tag or BTRF for this unit. Further processing is needed and must be documented in VBECS. There is no override.</w:t>
            </w:r>
          </w:p>
        </w:tc>
        <w:tc>
          <w:tcPr>
            <w:tcW w:w="1793" w:type="dxa"/>
            <w:vAlign w:val="bottom"/>
          </w:tcPr>
          <w:p w14:paraId="26E01DDF" w14:textId="77777777" w:rsidR="000B56AE" w:rsidRDefault="000B56AE">
            <w:pPr>
              <w:pStyle w:val="TableText"/>
            </w:pPr>
            <w:r>
              <w:t>Enhanced Technologist or below</w:t>
            </w:r>
          </w:p>
        </w:tc>
      </w:tr>
      <w:tr w:rsidR="00F77995" w14:paraId="4C793802" w14:textId="77777777">
        <w:tc>
          <w:tcPr>
            <w:tcW w:w="5311" w:type="dxa"/>
            <w:vMerge/>
            <w:vAlign w:val="center"/>
          </w:tcPr>
          <w:p w14:paraId="744F1A13" w14:textId="77777777" w:rsidR="000B56AE" w:rsidRDefault="000B56AE">
            <w:pPr>
              <w:pStyle w:val="TableText"/>
            </w:pPr>
          </w:p>
        </w:tc>
        <w:tc>
          <w:tcPr>
            <w:tcW w:w="5253" w:type="dxa"/>
            <w:vAlign w:val="bottom"/>
          </w:tcPr>
          <w:p w14:paraId="19A84DCE" w14:textId="77777777" w:rsidR="000B56AE" w:rsidRDefault="000B56AE">
            <w:pPr>
              <w:pStyle w:val="TableText"/>
            </w:pPr>
            <w:r>
              <w:t xml:space="preserve">The patient has at least one </w:t>
            </w:r>
            <w:r>
              <w:rPr>
                <w:noProof/>
              </w:rPr>
              <w:t>TR that is not satisfied</w:t>
            </w:r>
            <w:r>
              <w:t xml:space="preserve">. Continue to print Caution Tag or BTRF? </w:t>
            </w:r>
            <w:r>
              <w:rPr>
                <w:b/>
                <w:bCs/>
              </w:rPr>
              <w:t>No</w:t>
            </w:r>
            <w:r>
              <w:t xml:space="preserve"> clears the screen. </w:t>
            </w:r>
            <w:r>
              <w:rPr>
                <w:b/>
                <w:bCs/>
              </w:rPr>
              <w:t>Yes</w:t>
            </w:r>
            <w:r>
              <w:t xml:space="preserve"> requires a comment and captures details for inclusion in an Exception Report (exception type: Caution Tag printed with unsatisfied TR).</w:t>
            </w:r>
          </w:p>
        </w:tc>
        <w:tc>
          <w:tcPr>
            <w:tcW w:w="1793" w:type="dxa"/>
            <w:vAlign w:val="bottom"/>
          </w:tcPr>
          <w:p w14:paraId="68BD97E6" w14:textId="77777777" w:rsidR="000B56AE" w:rsidRDefault="000B56AE">
            <w:pPr>
              <w:pStyle w:val="TableText"/>
            </w:pPr>
            <w:r>
              <w:t xml:space="preserve">Lead Technologist </w:t>
            </w:r>
          </w:p>
        </w:tc>
      </w:tr>
      <w:tr w:rsidR="00F77995" w14:paraId="0AA0965A" w14:textId="77777777">
        <w:trPr>
          <w:hidden/>
        </w:trPr>
        <w:tc>
          <w:tcPr>
            <w:tcW w:w="5311" w:type="dxa"/>
            <w:vMerge w:val="restart"/>
            <w:vAlign w:val="center"/>
          </w:tcPr>
          <w:p w14:paraId="61667C51" w14:textId="77777777" w:rsidR="000B56AE" w:rsidRDefault="000B56AE">
            <w:pPr>
              <w:pStyle w:val="TableText"/>
            </w:pPr>
            <w:r>
              <w:rPr>
                <w:rFonts w:cs="Arial"/>
                <w:vanish/>
              </w:rPr>
              <w:t xml:space="preserve">BR_43.16 </w:t>
            </w:r>
            <w:r>
              <w:t>The patient specimen is expired.</w:t>
            </w:r>
          </w:p>
        </w:tc>
        <w:tc>
          <w:tcPr>
            <w:tcW w:w="5253" w:type="dxa"/>
            <w:vAlign w:val="bottom"/>
          </w:tcPr>
          <w:p w14:paraId="33BC163A" w14:textId="77777777" w:rsidR="000B56AE" w:rsidRDefault="000B56AE">
            <w:pPr>
              <w:pStyle w:val="TableText"/>
            </w:pPr>
            <w:r>
              <w:t>The patient specimen is expired. There is no override.</w:t>
            </w:r>
          </w:p>
        </w:tc>
        <w:tc>
          <w:tcPr>
            <w:tcW w:w="1793" w:type="dxa"/>
            <w:vAlign w:val="bottom"/>
          </w:tcPr>
          <w:p w14:paraId="51AD9100" w14:textId="77777777" w:rsidR="000B56AE" w:rsidRDefault="000B56AE">
            <w:pPr>
              <w:pStyle w:val="TableText"/>
            </w:pPr>
            <w:r>
              <w:t>Technologist</w:t>
            </w:r>
          </w:p>
        </w:tc>
      </w:tr>
      <w:tr w:rsidR="00F77995" w14:paraId="2E110A9C" w14:textId="77777777">
        <w:tc>
          <w:tcPr>
            <w:tcW w:w="5311" w:type="dxa"/>
            <w:vMerge/>
            <w:vAlign w:val="center"/>
          </w:tcPr>
          <w:p w14:paraId="4DB4BD02" w14:textId="77777777" w:rsidR="000B56AE" w:rsidRDefault="000B56AE">
            <w:pPr>
              <w:pStyle w:val="TableText"/>
            </w:pPr>
          </w:p>
        </w:tc>
        <w:tc>
          <w:tcPr>
            <w:tcW w:w="5253" w:type="dxa"/>
            <w:vAlign w:val="bottom"/>
          </w:tcPr>
          <w:p w14:paraId="29C3C60D" w14:textId="77777777" w:rsidR="000B56AE" w:rsidRDefault="000B56AE">
            <w:pPr>
              <w:pStyle w:val="TableText"/>
            </w:pPr>
            <w:r>
              <w:t xml:space="preserve">The patient specimen is expired. Continue to print the Caution Tag and/or the BTRF? </w:t>
            </w:r>
            <w:r>
              <w:rPr>
                <w:b/>
                <w:bCs/>
              </w:rPr>
              <w:t>No</w:t>
            </w:r>
            <w:r>
              <w:t xml:space="preserve"> clears the screen. </w:t>
            </w:r>
            <w:r>
              <w:rPr>
                <w:b/>
                <w:bCs/>
              </w:rPr>
              <w:t>Yes</w:t>
            </w:r>
            <w:r>
              <w:t xml:space="preserve"> requires a comment and captures details for inclusion in an Exception Report (exception type: Caution Tag printed on expired specimen).</w:t>
            </w:r>
          </w:p>
        </w:tc>
        <w:tc>
          <w:tcPr>
            <w:tcW w:w="1793" w:type="dxa"/>
            <w:vAlign w:val="bottom"/>
          </w:tcPr>
          <w:p w14:paraId="5691AFC5" w14:textId="77777777" w:rsidR="000B56AE" w:rsidRDefault="000B56AE">
            <w:pPr>
              <w:pStyle w:val="TableText"/>
            </w:pPr>
            <w:r>
              <w:t xml:space="preserve">Enhanced Technologist </w:t>
            </w:r>
          </w:p>
        </w:tc>
      </w:tr>
      <w:tr w:rsidR="00F77995" w14:paraId="59530D7D" w14:textId="77777777">
        <w:trPr>
          <w:hidden/>
        </w:trPr>
        <w:tc>
          <w:tcPr>
            <w:tcW w:w="5311" w:type="dxa"/>
            <w:vAlign w:val="center"/>
          </w:tcPr>
          <w:p w14:paraId="5ED0C7AE" w14:textId="77777777" w:rsidR="00F77995" w:rsidRDefault="00C3145B">
            <w:pPr>
              <w:pStyle w:val="TableText"/>
              <w:rPr>
                <w:szCs w:val="18"/>
              </w:rPr>
            </w:pPr>
            <w:r w:rsidRPr="00693D9B">
              <w:rPr>
                <w:vanish/>
                <w:szCs w:val="18"/>
              </w:rPr>
              <w:t>BR_3.05</w:t>
            </w:r>
            <w:r>
              <w:rPr>
                <w:vanish/>
                <w:szCs w:val="18"/>
              </w:rPr>
              <w:t xml:space="preserve"> </w:t>
            </w:r>
            <w:r w:rsidR="00F77995">
              <w:rPr>
                <w:szCs w:val="18"/>
              </w:rPr>
              <w:t>The user attempts to print Caution Tags for emergency issue and:</w:t>
            </w:r>
          </w:p>
          <w:p w14:paraId="0A894338" w14:textId="77777777" w:rsidR="00F77995" w:rsidRDefault="00C3145B" w:rsidP="00F77995">
            <w:pPr>
              <w:pStyle w:val="TableTextBullet"/>
            </w:pPr>
            <w:r>
              <w:rPr>
                <w:szCs w:val="18"/>
              </w:rPr>
              <w:t>The c</w:t>
            </w:r>
            <w:r w:rsidR="00F77995">
              <w:t xml:space="preserve">urrent specimen has an </w:t>
            </w:r>
            <w:r w:rsidR="000B56AE">
              <w:t>“Emergency Issue” order</w:t>
            </w:r>
            <w:r>
              <w:t>.</w:t>
            </w:r>
          </w:p>
          <w:p w14:paraId="4EE46920" w14:textId="77777777" w:rsidR="00C3145B" w:rsidRDefault="00C3145B" w:rsidP="00F77995">
            <w:pPr>
              <w:pStyle w:val="TableTextBullet"/>
            </w:pPr>
            <w:r>
              <w:t>The patient has no record of ABO/Rh typing.</w:t>
            </w:r>
          </w:p>
          <w:p w14:paraId="2BA1C9CB" w14:textId="77777777" w:rsidR="00C3145B" w:rsidRDefault="00C3145B" w:rsidP="00C3145B">
            <w:pPr>
              <w:pStyle w:val="TableTextBullet"/>
            </w:pPr>
            <w:r>
              <w:t>The r</w:t>
            </w:r>
            <w:r w:rsidR="000B56AE">
              <w:t>equired ABO/Rh specimen testing</w:t>
            </w:r>
            <w:r w:rsidR="000B56AE">
              <w:rPr>
                <w:color w:val="000000"/>
              </w:rPr>
              <w:t xml:space="preserve"> is</w:t>
            </w:r>
            <w:r w:rsidR="000B56AE">
              <w:t xml:space="preserve"> incomplete</w:t>
            </w:r>
            <w:r>
              <w:t>.</w:t>
            </w:r>
          </w:p>
          <w:p w14:paraId="78C72A10" w14:textId="77777777" w:rsidR="00C3145B" w:rsidRDefault="00C3145B" w:rsidP="00C3145B">
            <w:pPr>
              <w:pStyle w:val="TableText"/>
            </w:pPr>
          </w:p>
          <w:p w14:paraId="0BA5A64C" w14:textId="77777777" w:rsidR="00F77995" w:rsidRDefault="00C3145B" w:rsidP="00C3145B">
            <w:pPr>
              <w:pStyle w:val="TableText"/>
            </w:pPr>
            <w:r>
              <w:t>The u</w:t>
            </w:r>
            <w:r w:rsidR="00F77995">
              <w:t>ser may select:</w:t>
            </w:r>
          </w:p>
          <w:p w14:paraId="6CE95619" w14:textId="77777777" w:rsidR="00F77995" w:rsidRDefault="00F77995" w:rsidP="00C3145B">
            <w:pPr>
              <w:pStyle w:val="TableTextBullet"/>
            </w:pPr>
            <w:r>
              <w:t xml:space="preserve">For WB or RBC order only: </w:t>
            </w:r>
            <w:r w:rsidR="00093181">
              <w:t>group</w:t>
            </w:r>
            <w:r w:rsidR="000014DD">
              <w:t xml:space="preserve"> </w:t>
            </w:r>
            <w:r>
              <w:t xml:space="preserve">O, Rh positive or O Rh negative </w:t>
            </w:r>
            <w:r w:rsidR="00C3145B">
              <w:t>(</w:t>
            </w:r>
            <w:r w:rsidR="000B56AE">
              <w:t>WHOLE BLOOD is not available</w:t>
            </w:r>
            <w:r w:rsidR="00C3145B">
              <w:t>).</w:t>
            </w:r>
          </w:p>
          <w:p w14:paraId="4E98E887" w14:textId="77777777" w:rsidR="00F77995" w:rsidRDefault="00626C6A" w:rsidP="00C3145B">
            <w:pPr>
              <w:pStyle w:val="TableTextBullet"/>
            </w:pPr>
            <w:r>
              <w:t>F</w:t>
            </w:r>
            <w:r w:rsidR="000B56AE">
              <w:t>or FFP order only:</w:t>
            </w:r>
            <w:r w:rsidR="00D5161F">
              <w:t xml:space="preserve"> g</w:t>
            </w:r>
            <w:r w:rsidR="000B56AE">
              <w:t>roup AB, Rh positive or Rh negative</w:t>
            </w:r>
            <w:r>
              <w:t>.</w:t>
            </w:r>
          </w:p>
          <w:p w14:paraId="5B1D6F2A" w14:textId="77777777" w:rsidR="000B56AE" w:rsidRDefault="000B56AE" w:rsidP="00C3145B">
            <w:pPr>
              <w:pStyle w:val="TableTextBullet"/>
            </w:pPr>
            <w:r>
              <w:lastRenderedPageBreak/>
              <w:t>For PLT order:</w:t>
            </w:r>
            <w:r w:rsidR="00D5161F">
              <w:t xml:space="preserve"> a</w:t>
            </w:r>
            <w:r>
              <w:t>ll available units are issuable.</w:t>
            </w:r>
          </w:p>
        </w:tc>
        <w:tc>
          <w:tcPr>
            <w:tcW w:w="5253" w:type="dxa"/>
            <w:vAlign w:val="bottom"/>
          </w:tcPr>
          <w:p w14:paraId="133E7C39" w14:textId="77777777" w:rsidR="000B56AE" w:rsidRDefault="000B56AE">
            <w:pPr>
              <w:pStyle w:val="TableText"/>
            </w:pPr>
            <w:r>
              <w:lastRenderedPageBreak/>
              <w:t>The unit does not meet these requirements. Testing is incomplete and this unit is not eligible for emergency issue. The Caution Tag cannot be printed. There is no override.</w:t>
            </w:r>
          </w:p>
        </w:tc>
        <w:tc>
          <w:tcPr>
            <w:tcW w:w="1793" w:type="dxa"/>
            <w:vAlign w:val="bottom"/>
          </w:tcPr>
          <w:p w14:paraId="5F3041A4" w14:textId="77777777" w:rsidR="000B56AE" w:rsidRDefault="000B56AE">
            <w:pPr>
              <w:pStyle w:val="TableText"/>
            </w:pPr>
            <w:r>
              <w:t>All users</w:t>
            </w:r>
          </w:p>
        </w:tc>
      </w:tr>
      <w:tr w:rsidR="00F77995" w14:paraId="217CDBFA" w14:textId="77777777">
        <w:trPr>
          <w:hidden/>
        </w:trPr>
        <w:tc>
          <w:tcPr>
            <w:tcW w:w="5311" w:type="dxa"/>
            <w:vAlign w:val="center"/>
          </w:tcPr>
          <w:p w14:paraId="6239573D" w14:textId="77777777" w:rsidR="000B56AE" w:rsidRDefault="000B56AE">
            <w:pPr>
              <w:pStyle w:val="TableText"/>
            </w:pPr>
            <w:r>
              <w:rPr>
                <w:rFonts w:cs="Arial"/>
                <w:vanish/>
              </w:rPr>
              <w:t xml:space="preserve">BR_43.02 </w:t>
            </w:r>
            <w:r>
              <w:t>VBECS determines whether a blood unit that does require crossmatch (electronic or serologic) is ready for issue based on the following rules:</w:t>
            </w:r>
          </w:p>
          <w:p w14:paraId="4CD4AF67" w14:textId="77777777" w:rsidR="000B56AE" w:rsidRDefault="000B56AE" w:rsidP="00BE2D19">
            <w:pPr>
              <w:pStyle w:val="TableTextBullet"/>
            </w:pPr>
            <w:r>
              <w:t xml:space="preserve">Unit is not in a frozen state. </w:t>
            </w:r>
          </w:p>
          <w:p w14:paraId="1659E002" w14:textId="77777777" w:rsidR="000B56AE" w:rsidRDefault="000B56AE" w:rsidP="00BE2D19">
            <w:pPr>
              <w:pStyle w:val="TableTextBullet"/>
            </w:pPr>
            <w:r>
              <w:t>The unit is crossmatched to the patient (eXM, or serologic XM).</w:t>
            </w:r>
          </w:p>
          <w:p w14:paraId="10F35B2F" w14:textId="77777777" w:rsidR="000B56AE" w:rsidRDefault="000B56AE" w:rsidP="00BE2D19">
            <w:pPr>
              <w:pStyle w:val="TableTextBullet"/>
            </w:pPr>
            <w:r>
              <w:t xml:space="preserve">TAS Specimen testing is complete and valid (ABO/Rh and </w:t>
            </w:r>
            <w:r w:rsidR="004E2F2D">
              <w:t>ABS</w:t>
            </w:r>
            <w:r>
              <w:t xml:space="preserve"> results are entered).</w:t>
            </w:r>
          </w:p>
          <w:p w14:paraId="62FDE53A" w14:textId="77777777" w:rsidR="000B56AE" w:rsidRDefault="000B56AE">
            <w:pPr>
              <w:pStyle w:val="TableText"/>
            </w:pPr>
            <w:r>
              <w:t>One of these crossmatch interpretations was entered:</w:t>
            </w:r>
          </w:p>
          <w:p w14:paraId="414FC307" w14:textId="77777777" w:rsidR="000B56AE" w:rsidRDefault="000B56AE" w:rsidP="00BE2D19">
            <w:pPr>
              <w:pStyle w:val="TableTextBullet"/>
            </w:pPr>
            <w:r>
              <w:t xml:space="preserve">Crossmatch Compatible </w:t>
            </w:r>
          </w:p>
          <w:p w14:paraId="2BF9BF08" w14:textId="77777777" w:rsidR="000B56AE" w:rsidRDefault="000B56AE" w:rsidP="00BE2D19">
            <w:pPr>
              <w:pStyle w:val="TableTextBullet"/>
            </w:pPr>
            <w:r>
              <w:t>Compatible: Electronically crossmatched</w:t>
            </w:r>
          </w:p>
          <w:p w14:paraId="2722676E" w14:textId="77777777" w:rsidR="000B56AE" w:rsidRDefault="000B56AE" w:rsidP="00BE2D19">
            <w:pPr>
              <w:pStyle w:val="TableTextBullet"/>
            </w:pPr>
            <w:r>
              <w:t>Crossmatch Incompatible: Give only with Medical Director approval</w:t>
            </w:r>
          </w:p>
        </w:tc>
        <w:tc>
          <w:tcPr>
            <w:tcW w:w="5253" w:type="dxa"/>
            <w:vAlign w:val="bottom"/>
          </w:tcPr>
          <w:p w14:paraId="6DE6B269" w14:textId="77777777" w:rsidR="000B56AE" w:rsidRDefault="000B56AE">
            <w:pPr>
              <w:pStyle w:val="TableText"/>
            </w:pPr>
            <w:r>
              <w:t xml:space="preserve">All of the conditions for the unit are met but an emergency issue order indicator is in place or the testing is incomplete or inconclusive on the current specimen and units were selected. Do you want to print emergency issue tags/forms for the unit/patient? </w:t>
            </w:r>
            <w:r>
              <w:rPr>
                <w:b/>
                <w:bCs/>
              </w:rPr>
              <w:t>Yes</w:t>
            </w:r>
            <w:r>
              <w:t xml:space="preserve"> prints the emergency issue tags and forms. </w:t>
            </w:r>
            <w:r>
              <w:rPr>
                <w:b/>
                <w:bCs/>
              </w:rPr>
              <w:t>No</w:t>
            </w:r>
            <w:r>
              <w:t xml:space="preserve"> does not allow the user to continue.</w:t>
            </w:r>
          </w:p>
        </w:tc>
        <w:tc>
          <w:tcPr>
            <w:tcW w:w="1793" w:type="dxa"/>
            <w:vAlign w:val="bottom"/>
          </w:tcPr>
          <w:p w14:paraId="465762FA" w14:textId="77777777" w:rsidR="000B56AE" w:rsidRDefault="000B56AE">
            <w:pPr>
              <w:pStyle w:val="TableText"/>
            </w:pPr>
            <w:r>
              <w:t>All users</w:t>
            </w:r>
          </w:p>
        </w:tc>
      </w:tr>
      <w:tr w:rsidR="00F77995" w14:paraId="2834FD59" w14:textId="77777777">
        <w:trPr>
          <w:hidden/>
        </w:trPr>
        <w:tc>
          <w:tcPr>
            <w:tcW w:w="5311" w:type="dxa"/>
            <w:tcBorders>
              <w:bottom w:val="single" w:sz="4" w:space="0" w:color="auto"/>
            </w:tcBorders>
            <w:vAlign w:val="center"/>
          </w:tcPr>
          <w:p w14:paraId="4E0FC06A" w14:textId="77777777" w:rsidR="000B56AE" w:rsidRDefault="000B56AE" w:rsidP="00AC7151">
            <w:pPr>
              <w:pStyle w:val="TableText"/>
            </w:pPr>
            <w:r>
              <w:rPr>
                <w:rFonts w:cs="Arial"/>
                <w:vanish/>
              </w:rPr>
              <w:t xml:space="preserve">BR_43.07 </w:t>
            </w:r>
            <w:r>
              <w:t xml:space="preserve">For blood units that </w:t>
            </w:r>
            <w:r>
              <w:rPr>
                <w:iCs/>
              </w:rPr>
              <w:t>do not require crossmatch</w:t>
            </w:r>
            <w:r>
              <w:t xml:space="preserve"> when the unit is assigned to the patient and is not in a frozen state, VBECS determines when a blood unit is ready for issue. </w:t>
            </w:r>
          </w:p>
        </w:tc>
        <w:tc>
          <w:tcPr>
            <w:tcW w:w="5253" w:type="dxa"/>
            <w:tcBorders>
              <w:bottom w:val="single" w:sz="4" w:space="0" w:color="auto"/>
            </w:tcBorders>
            <w:vAlign w:val="bottom"/>
          </w:tcPr>
          <w:p w14:paraId="4D557DFF" w14:textId="77777777" w:rsidR="000B56AE" w:rsidRDefault="000B56AE">
            <w:pPr>
              <w:pStyle w:val="TableText"/>
            </w:pPr>
            <w:r>
              <w:t>All of the conditions for the unit are</w:t>
            </w:r>
            <w:r>
              <w:rPr>
                <w:i/>
              </w:rPr>
              <w:t xml:space="preserve"> </w:t>
            </w:r>
            <w:r>
              <w:rPr>
                <w:iCs/>
              </w:rPr>
              <w:t>not</w:t>
            </w:r>
            <w:r>
              <w:t xml:space="preserve"> met. The Caution Tag and/or the BTRF cannot be printed at this time and the reason they </w:t>
            </w:r>
            <w:r w:rsidR="00A10483">
              <w:t>cannot</w:t>
            </w:r>
            <w:r>
              <w:t xml:space="preserve"> be printed. Additional patient testing or unit processing must be performed.</w:t>
            </w:r>
          </w:p>
        </w:tc>
        <w:tc>
          <w:tcPr>
            <w:tcW w:w="1793" w:type="dxa"/>
            <w:tcBorders>
              <w:bottom w:val="single" w:sz="4" w:space="0" w:color="auto"/>
            </w:tcBorders>
            <w:vAlign w:val="bottom"/>
          </w:tcPr>
          <w:p w14:paraId="63CF7128" w14:textId="77777777" w:rsidR="000B56AE" w:rsidRDefault="000B56AE">
            <w:pPr>
              <w:pStyle w:val="TableText"/>
            </w:pPr>
            <w:r>
              <w:t>All users</w:t>
            </w:r>
          </w:p>
        </w:tc>
      </w:tr>
    </w:tbl>
    <w:p w14:paraId="13E815CD" w14:textId="42DB401C" w:rsidR="002A21AE" w:rsidRDefault="002A21AE">
      <w:pPr>
        <w:pStyle w:val="Caption"/>
      </w:pPr>
      <w:bookmarkStart w:id="432" w:name="_Toc97523621"/>
      <w:bookmarkStart w:id="433" w:name="_Toc97527591"/>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111</w:t>
      </w:r>
      <w:r w:rsidR="004E20BD">
        <w:rPr>
          <w:noProof/>
        </w:rPr>
        <w:fldChar w:fldCharType="end"/>
      </w:r>
      <w:r>
        <w:t>: Caution Tag</w:t>
      </w:r>
      <w:bookmarkEnd w:id="432"/>
      <w:bookmarkEnd w:id="433"/>
      <w:r w:rsidR="00CC006F">
        <w:t xml:space="preserve"> </w:t>
      </w:r>
      <w:r w:rsidR="00CC006F" w:rsidRPr="00CC006F">
        <w:rPr>
          <w:vanish/>
        </w:rPr>
        <w:t>DR 4848</w:t>
      </w:r>
      <w:r>
        <w:fldChar w:fldCharType="begin"/>
      </w:r>
      <w:r>
        <w:instrText xml:space="preserve"> XE </w:instrText>
      </w:r>
      <w:r w:rsidR="00FA7E65">
        <w:instrText>“</w:instrText>
      </w:r>
      <w:r>
        <w:instrText>Figures:Caution Tag</w:instrText>
      </w:r>
      <w:r w:rsidR="00FA7E65">
        <w:instrText>”</w:instrText>
      </w:r>
      <w:r>
        <w:instrText xml:space="preserve"> </w:instrText>
      </w:r>
      <w:r>
        <w:fldChar w:fldCharType="end"/>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1080"/>
        <w:gridCol w:w="1800"/>
      </w:tblGrid>
      <w:tr w:rsidR="002A21AE" w14:paraId="4BA5CFF3" w14:textId="77777777">
        <w:trPr>
          <w:cantSplit/>
          <w:trHeight w:val="230"/>
          <w:jc w:val="center"/>
        </w:trPr>
        <w:tc>
          <w:tcPr>
            <w:tcW w:w="5760" w:type="dxa"/>
            <w:gridSpan w:val="3"/>
            <w:vMerge w:val="restart"/>
          </w:tcPr>
          <w:p w14:paraId="4999247A" w14:textId="77777777" w:rsidR="002A21AE" w:rsidRPr="0071550C" w:rsidRDefault="0071550C">
            <w:pPr>
              <w:rPr>
                <w:rFonts w:ascii="Arial" w:hAnsi="Arial"/>
                <w:sz w:val="18"/>
                <w:szCs w:val="18"/>
              </w:rPr>
            </w:pPr>
            <w:r w:rsidRPr="0071550C">
              <w:rPr>
                <w:rFonts w:ascii="Arial" w:hAnsi="Arial"/>
                <w:sz w:val="18"/>
                <w:szCs w:val="18"/>
              </w:rPr>
              <w:t>Product Code                                            2D Barcode</w:t>
            </w:r>
          </w:p>
          <w:p w14:paraId="13192F58" w14:textId="77777777" w:rsidR="0071550C" w:rsidRPr="0071550C" w:rsidRDefault="0071550C">
            <w:pPr>
              <w:rPr>
                <w:rFonts w:ascii="Arial" w:hAnsi="Arial"/>
                <w:sz w:val="18"/>
                <w:szCs w:val="18"/>
              </w:rPr>
            </w:pPr>
          </w:p>
          <w:p w14:paraId="483A0056" w14:textId="77777777" w:rsidR="0071550C" w:rsidRPr="0071550C" w:rsidRDefault="002A21AE">
            <w:pPr>
              <w:rPr>
                <w:rFonts w:ascii="Arial" w:hAnsi="Arial"/>
                <w:sz w:val="18"/>
                <w:szCs w:val="18"/>
              </w:rPr>
            </w:pPr>
            <w:r w:rsidRPr="0071550C">
              <w:rPr>
                <w:rFonts w:ascii="Arial" w:hAnsi="Arial"/>
                <w:sz w:val="18"/>
                <w:szCs w:val="18"/>
              </w:rPr>
              <w:t>Division Name</w:t>
            </w:r>
          </w:p>
          <w:p w14:paraId="742BB403" w14:textId="77777777" w:rsidR="002A21AE" w:rsidRDefault="002A21AE">
            <w:pPr>
              <w:rPr>
                <w:rFonts w:ascii="Arial" w:hAnsi="Arial"/>
                <w:sz w:val="20"/>
              </w:rPr>
            </w:pPr>
            <w:r w:rsidRPr="0071550C">
              <w:rPr>
                <w:rFonts w:ascii="Arial" w:hAnsi="Arial"/>
                <w:sz w:val="18"/>
                <w:szCs w:val="18"/>
              </w:rPr>
              <w:t>City, State</w:t>
            </w:r>
          </w:p>
        </w:tc>
      </w:tr>
      <w:tr w:rsidR="002A21AE" w14:paraId="0C004C5A" w14:textId="77777777">
        <w:trPr>
          <w:cantSplit/>
          <w:trHeight w:val="230"/>
          <w:jc w:val="center"/>
        </w:trPr>
        <w:tc>
          <w:tcPr>
            <w:tcW w:w="5760" w:type="dxa"/>
            <w:gridSpan w:val="3"/>
            <w:vMerge/>
          </w:tcPr>
          <w:p w14:paraId="332776AB" w14:textId="77777777" w:rsidR="002A21AE" w:rsidRDefault="002A21AE">
            <w:pPr>
              <w:rPr>
                <w:rFonts w:ascii="Arial" w:hAnsi="Arial"/>
                <w:sz w:val="20"/>
              </w:rPr>
            </w:pPr>
          </w:p>
        </w:tc>
      </w:tr>
      <w:tr w:rsidR="002A21AE" w14:paraId="5F7493FA" w14:textId="77777777">
        <w:trPr>
          <w:cantSplit/>
          <w:jc w:val="center"/>
        </w:trPr>
        <w:tc>
          <w:tcPr>
            <w:tcW w:w="5760" w:type="dxa"/>
            <w:gridSpan w:val="3"/>
          </w:tcPr>
          <w:p w14:paraId="027DBE17" w14:textId="77777777" w:rsidR="002A21AE" w:rsidRPr="0071550C" w:rsidRDefault="002A21AE" w:rsidP="0071550C">
            <w:pPr>
              <w:rPr>
                <w:rFonts w:ascii="Arial" w:hAnsi="Arial"/>
                <w:sz w:val="20"/>
                <w:vertAlign w:val="superscript"/>
              </w:rPr>
            </w:pPr>
            <w:r w:rsidRPr="0071550C">
              <w:rPr>
                <w:rFonts w:ascii="Arial" w:hAnsi="Arial"/>
                <w:sz w:val="20"/>
                <w:vertAlign w:val="superscript"/>
              </w:rPr>
              <w:t xml:space="preserve">Patient </w:t>
            </w:r>
            <w:r w:rsidR="0071550C" w:rsidRPr="0071550C">
              <w:rPr>
                <w:rFonts w:ascii="Arial" w:hAnsi="Arial"/>
                <w:sz w:val="20"/>
                <w:vertAlign w:val="superscript"/>
              </w:rPr>
              <w:t>Name</w:t>
            </w:r>
            <w:r w:rsidRPr="0071550C">
              <w:rPr>
                <w:rFonts w:ascii="Arial" w:hAnsi="Arial"/>
                <w:sz w:val="20"/>
                <w:vertAlign w:val="superscript"/>
              </w:rPr>
              <w:t>:</w:t>
            </w:r>
          </w:p>
          <w:p w14:paraId="2CF21DF9" w14:textId="77777777" w:rsidR="002A21AE" w:rsidRDefault="002A21AE">
            <w:pPr>
              <w:rPr>
                <w:rFonts w:ascii="Arial" w:hAnsi="Arial"/>
                <w:sz w:val="20"/>
                <w:vertAlign w:val="superscript"/>
              </w:rPr>
            </w:pPr>
          </w:p>
        </w:tc>
      </w:tr>
      <w:tr w:rsidR="002A21AE" w14:paraId="55A2C9C1" w14:textId="77777777">
        <w:trPr>
          <w:cantSplit/>
          <w:jc w:val="center"/>
        </w:trPr>
        <w:tc>
          <w:tcPr>
            <w:tcW w:w="3960" w:type="dxa"/>
            <w:gridSpan w:val="2"/>
            <w:tcBorders>
              <w:bottom w:val="single" w:sz="4" w:space="0" w:color="auto"/>
            </w:tcBorders>
          </w:tcPr>
          <w:p w14:paraId="165DC958" w14:textId="77777777" w:rsidR="002A21AE" w:rsidRDefault="002A21AE">
            <w:pPr>
              <w:rPr>
                <w:rFonts w:ascii="Arial" w:hAnsi="Arial"/>
                <w:b/>
                <w:sz w:val="20"/>
                <w:vertAlign w:val="superscript"/>
              </w:rPr>
            </w:pPr>
            <w:r>
              <w:rPr>
                <w:rFonts w:ascii="Arial" w:hAnsi="Arial"/>
                <w:sz w:val="20"/>
                <w:vertAlign w:val="superscript"/>
              </w:rPr>
              <w:t xml:space="preserve">Patient </w:t>
            </w:r>
            <w:r w:rsidR="0071550C">
              <w:rPr>
                <w:rFonts w:ascii="Arial" w:hAnsi="Arial"/>
                <w:sz w:val="20"/>
                <w:vertAlign w:val="superscript"/>
              </w:rPr>
              <w:t>ID</w:t>
            </w:r>
            <w:r>
              <w:rPr>
                <w:rFonts w:ascii="Arial" w:hAnsi="Arial"/>
                <w:sz w:val="20"/>
                <w:vertAlign w:val="superscript"/>
              </w:rPr>
              <w:t>:</w:t>
            </w:r>
          </w:p>
          <w:p w14:paraId="2702018C" w14:textId="77777777" w:rsidR="002A21AE" w:rsidRDefault="002A21AE">
            <w:pPr>
              <w:rPr>
                <w:rFonts w:ascii="Arial" w:hAnsi="Arial"/>
                <w:sz w:val="20"/>
                <w:vertAlign w:val="superscript"/>
              </w:rPr>
            </w:pPr>
          </w:p>
        </w:tc>
        <w:tc>
          <w:tcPr>
            <w:tcW w:w="1800" w:type="dxa"/>
            <w:tcBorders>
              <w:bottom w:val="single" w:sz="4" w:space="0" w:color="auto"/>
            </w:tcBorders>
          </w:tcPr>
          <w:p w14:paraId="130223C4" w14:textId="77777777" w:rsidR="002A21AE" w:rsidRDefault="002A21AE">
            <w:pPr>
              <w:rPr>
                <w:rFonts w:ascii="Arial" w:hAnsi="Arial"/>
                <w:sz w:val="20"/>
                <w:vertAlign w:val="superscript"/>
              </w:rPr>
            </w:pPr>
            <w:r>
              <w:rPr>
                <w:rFonts w:ascii="Arial" w:hAnsi="Arial"/>
                <w:sz w:val="20"/>
                <w:vertAlign w:val="superscript"/>
              </w:rPr>
              <w:t>Recipient Blood Type:</w:t>
            </w:r>
          </w:p>
          <w:p w14:paraId="5422C9C1" w14:textId="77777777" w:rsidR="002A21AE" w:rsidRDefault="002A21AE">
            <w:pPr>
              <w:pStyle w:val="Heading4"/>
              <w:rPr>
                <w:sz w:val="20"/>
                <w:vertAlign w:val="superscript"/>
              </w:rPr>
            </w:pPr>
          </w:p>
        </w:tc>
      </w:tr>
      <w:tr w:rsidR="002A21AE" w14:paraId="5856B5FF" w14:textId="77777777">
        <w:trPr>
          <w:cantSplit/>
          <w:trHeight w:val="230"/>
          <w:jc w:val="center"/>
        </w:trPr>
        <w:tc>
          <w:tcPr>
            <w:tcW w:w="3960" w:type="dxa"/>
            <w:gridSpan w:val="2"/>
            <w:vMerge w:val="restart"/>
          </w:tcPr>
          <w:p w14:paraId="6122C661" w14:textId="77777777" w:rsidR="002A21AE" w:rsidRDefault="002A21AE">
            <w:pPr>
              <w:rPr>
                <w:rFonts w:ascii="Arial" w:hAnsi="Arial"/>
                <w:sz w:val="20"/>
                <w:vertAlign w:val="superscript"/>
              </w:rPr>
            </w:pPr>
            <w:r>
              <w:rPr>
                <w:rFonts w:ascii="Arial" w:hAnsi="Arial"/>
                <w:sz w:val="20"/>
                <w:vertAlign w:val="superscript"/>
              </w:rPr>
              <w:t>Unit/Pool ID:</w:t>
            </w:r>
          </w:p>
        </w:tc>
        <w:tc>
          <w:tcPr>
            <w:tcW w:w="1800" w:type="dxa"/>
            <w:vMerge w:val="restart"/>
          </w:tcPr>
          <w:p w14:paraId="0E216C34" w14:textId="77777777" w:rsidR="002A21AE" w:rsidRDefault="002A21AE">
            <w:pPr>
              <w:rPr>
                <w:rFonts w:ascii="Arial" w:hAnsi="Arial"/>
                <w:sz w:val="20"/>
                <w:vertAlign w:val="superscript"/>
              </w:rPr>
            </w:pPr>
            <w:r>
              <w:rPr>
                <w:rFonts w:ascii="Arial" w:hAnsi="Arial"/>
                <w:sz w:val="20"/>
                <w:vertAlign w:val="superscript"/>
              </w:rPr>
              <w:t>Donor Blood Type:</w:t>
            </w:r>
          </w:p>
          <w:p w14:paraId="3340CF1F" w14:textId="77777777" w:rsidR="002A21AE" w:rsidRDefault="002A21AE">
            <w:pPr>
              <w:rPr>
                <w:rFonts w:ascii="Arial" w:hAnsi="Arial"/>
                <w:sz w:val="20"/>
                <w:vertAlign w:val="superscript"/>
              </w:rPr>
            </w:pPr>
          </w:p>
        </w:tc>
      </w:tr>
      <w:tr w:rsidR="002A21AE" w14:paraId="79F150A6" w14:textId="77777777">
        <w:trPr>
          <w:cantSplit/>
          <w:trHeight w:val="230"/>
          <w:jc w:val="center"/>
        </w:trPr>
        <w:tc>
          <w:tcPr>
            <w:tcW w:w="3960" w:type="dxa"/>
            <w:gridSpan w:val="2"/>
            <w:vMerge/>
          </w:tcPr>
          <w:p w14:paraId="1190DA65" w14:textId="77777777" w:rsidR="002A21AE" w:rsidRDefault="002A21AE">
            <w:pPr>
              <w:rPr>
                <w:rFonts w:ascii="Arial" w:hAnsi="Arial"/>
                <w:sz w:val="20"/>
                <w:vertAlign w:val="superscript"/>
              </w:rPr>
            </w:pPr>
          </w:p>
        </w:tc>
        <w:tc>
          <w:tcPr>
            <w:tcW w:w="1800" w:type="dxa"/>
            <w:vMerge/>
          </w:tcPr>
          <w:p w14:paraId="7D171799" w14:textId="77777777" w:rsidR="002A21AE" w:rsidRDefault="002A21AE">
            <w:pPr>
              <w:rPr>
                <w:rFonts w:ascii="Arial" w:hAnsi="Arial"/>
                <w:sz w:val="20"/>
                <w:vertAlign w:val="superscript"/>
              </w:rPr>
            </w:pPr>
          </w:p>
        </w:tc>
      </w:tr>
      <w:tr w:rsidR="002A21AE" w14:paraId="7CBB74AF" w14:textId="77777777">
        <w:trPr>
          <w:cantSplit/>
          <w:jc w:val="center"/>
        </w:trPr>
        <w:tc>
          <w:tcPr>
            <w:tcW w:w="5760" w:type="dxa"/>
            <w:gridSpan w:val="3"/>
            <w:tcBorders>
              <w:bottom w:val="single" w:sz="4" w:space="0" w:color="auto"/>
            </w:tcBorders>
          </w:tcPr>
          <w:p w14:paraId="39AFEB1D" w14:textId="77777777" w:rsidR="002A21AE" w:rsidRPr="0071550C" w:rsidRDefault="002A21AE">
            <w:pPr>
              <w:rPr>
                <w:rFonts w:ascii="Arial" w:hAnsi="Arial"/>
                <w:sz w:val="20"/>
                <w:vertAlign w:val="superscript"/>
              </w:rPr>
            </w:pPr>
            <w:r w:rsidRPr="0071550C">
              <w:rPr>
                <w:rFonts w:ascii="Arial" w:hAnsi="Arial"/>
                <w:sz w:val="20"/>
                <w:vertAlign w:val="superscript"/>
              </w:rPr>
              <w:t>Compatibility Interpretation:</w:t>
            </w:r>
          </w:p>
          <w:p w14:paraId="2CDB8649" w14:textId="77777777" w:rsidR="002A21AE" w:rsidRDefault="002A21AE">
            <w:pPr>
              <w:rPr>
                <w:vertAlign w:val="superscript"/>
              </w:rPr>
            </w:pPr>
          </w:p>
        </w:tc>
      </w:tr>
      <w:tr w:rsidR="002A21AE" w14:paraId="2A0BB48B" w14:textId="77777777">
        <w:trPr>
          <w:cantSplit/>
          <w:trHeight w:val="276"/>
          <w:jc w:val="center"/>
        </w:trPr>
        <w:tc>
          <w:tcPr>
            <w:tcW w:w="5760" w:type="dxa"/>
            <w:gridSpan w:val="3"/>
            <w:vMerge w:val="restart"/>
          </w:tcPr>
          <w:p w14:paraId="3E78596E" w14:textId="77777777" w:rsidR="002A21AE" w:rsidRDefault="002A21AE">
            <w:pPr>
              <w:rPr>
                <w:rFonts w:ascii="Arial" w:hAnsi="Arial"/>
                <w:sz w:val="18"/>
              </w:rPr>
            </w:pPr>
            <w:r>
              <w:rPr>
                <w:rFonts w:ascii="Arial" w:hAnsi="Arial"/>
                <w:b/>
                <w:snapToGrid w:val="0"/>
                <w:sz w:val="18"/>
              </w:rPr>
              <w:t>CAUTION:</w:t>
            </w:r>
            <w:r>
              <w:rPr>
                <w:rFonts w:ascii="Arial" w:hAnsi="Arial"/>
                <w:snapToGrid w:val="0"/>
                <w:sz w:val="18"/>
              </w:rPr>
              <w:t xml:space="preserve"> </w:t>
            </w:r>
            <w:r>
              <w:rPr>
                <w:rFonts w:ascii="Arial" w:hAnsi="Arial"/>
                <w:b/>
                <w:snapToGrid w:val="0"/>
                <w:sz w:val="18"/>
              </w:rPr>
              <w:t>Before transfusing this blood component, perform bedside verification of the patient</w:t>
            </w:r>
            <w:r w:rsidR="00FA7E65">
              <w:rPr>
                <w:rFonts w:ascii="Arial" w:hAnsi="Arial"/>
                <w:b/>
                <w:snapToGrid w:val="0"/>
                <w:sz w:val="18"/>
              </w:rPr>
              <w:t>’</w:t>
            </w:r>
            <w:r>
              <w:rPr>
                <w:rFonts w:ascii="Arial" w:hAnsi="Arial"/>
                <w:b/>
                <w:snapToGrid w:val="0"/>
                <w:sz w:val="18"/>
              </w:rPr>
              <w:t xml:space="preserve">s identity </w:t>
            </w:r>
            <w:r>
              <w:rPr>
                <w:rFonts w:ascii="Arial" w:hAnsi="Arial"/>
                <w:snapToGrid w:val="0"/>
                <w:sz w:val="18"/>
              </w:rPr>
              <w:t>by matching the patient identification on this tag with the patient wristband and the Blood Transfusion Record Form.</w:t>
            </w:r>
          </w:p>
        </w:tc>
      </w:tr>
      <w:tr w:rsidR="002A21AE" w14:paraId="65CBC69D" w14:textId="77777777">
        <w:trPr>
          <w:cantSplit/>
          <w:trHeight w:val="276"/>
          <w:jc w:val="center"/>
        </w:trPr>
        <w:tc>
          <w:tcPr>
            <w:tcW w:w="5760" w:type="dxa"/>
            <w:gridSpan w:val="3"/>
            <w:vMerge/>
          </w:tcPr>
          <w:p w14:paraId="1E19FB56" w14:textId="77777777" w:rsidR="002A21AE" w:rsidRDefault="002A21AE">
            <w:pPr>
              <w:rPr>
                <w:rFonts w:ascii="Arial" w:hAnsi="Arial"/>
                <w:sz w:val="18"/>
              </w:rPr>
            </w:pPr>
          </w:p>
        </w:tc>
      </w:tr>
      <w:tr w:rsidR="002A21AE" w14:paraId="7B609907" w14:textId="77777777">
        <w:trPr>
          <w:cantSplit/>
          <w:trHeight w:val="207"/>
          <w:jc w:val="center"/>
        </w:trPr>
        <w:tc>
          <w:tcPr>
            <w:tcW w:w="5760" w:type="dxa"/>
            <w:gridSpan w:val="3"/>
            <w:vMerge/>
            <w:tcBorders>
              <w:bottom w:val="single" w:sz="4" w:space="0" w:color="auto"/>
            </w:tcBorders>
          </w:tcPr>
          <w:p w14:paraId="558F73F6" w14:textId="77777777" w:rsidR="002A21AE" w:rsidRDefault="002A21AE">
            <w:pPr>
              <w:rPr>
                <w:rFonts w:ascii="Arial" w:hAnsi="Arial"/>
                <w:sz w:val="18"/>
              </w:rPr>
            </w:pPr>
          </w:p>
        </w:tc>
      </w:tr>
      <w:tr w:rsidR="002A21AE" w14:paraId="6E674893" w14:textId="77777777">
        <w:trPr>
          <w:cantSplit/>
          <w:jc w:val="center"/>
        </w:trPr>
        <w:tc>
          <w:tcPr>
            <w:tcW w:w="2880" w:type="dxa"/>
          </w:tcPr>
          <w:p w14:paraId="43DB9AA1" w14:textId="77777777" w:rsidR="002A21AE" w:rsidRDefault="002A21AE">
            <w:pPr>
              <w:rPr>
                <w:rFonts w:ascii="Arial" w:hAnsi="Arial"/>
                <w:sz w:val="18"/>
                <w:vertAlign w:val="superscript"/>
              </w:rPr>
            </w:pPr>
            <w:r>
              <w:rPr>
                <w:rFonts w:ascii="Arial" w:hAnsi="Arial"/>
                <w:sz w:val="18"/>
                <w:vertAlign w:val="superscript"/>
              </w:rPr>
              <w:t>Assigned Date/Time:</w:t>
            </w:r>
          </w:p>
          <w:p w14:paraId="5AC7DA58" w14:textId="77777777" w:rsidR="002A21AE" w:rsidRDefault="002A21AE">
            <w:pPr>
              <w:rPr>
                <w:rFonts w:ascii="Arial" w:hAnsi="Arial"/>
                <w:sz w:val="20"/>
              </w:rPr>
            </w:pPr>
          </w:p>
        </w:tc>
        <w:tc>
          <w:tcPr>
            <w:tcW w:w="2880" w:type="dxa"/>
            <w:gridSpan w:val="2"/>
          </w:tcPr>
          <w:p w14:paraId="4010433A" w14:textId="77777777" w:rsidR="002A21AE" w:rsidRDefault="00CC006F">
            <w:pPr>
              <w:rPr>
                <w:rFonts w:ascii="Arial" w:hAnsi="Arial"/>
                <w:sz w:val="20"/>
                <w:vertAlign w:val="superscript"/>
              </w:rPr>
            </w:pPr>
            <w:r>
              <w:rPr>
                <w:rFonts w:ascii="Arial" w:hAnsi="Arial"/>
                <w:sz w:val="20"/>
                <w:vertAlign w:val="superscript"/>
              </w:rPr>
              <w:t>Assigning Tech/ Crossmatch Tech:</w:t>
            </w:r>
          </w:p>
          <w:p w14:paraId="4AEFD911" w14:textId="77777777" w:rsidR="002A21AE" w:rsidRDefault="002A21AE">
            <w:pPr>
              <w:rPr>
                <w:rFonts w:ascii="Arial" w:hAnsi="Arial"/>
              </w:rPr>
            </w:pPr>
          </w:p>
        </w:tc>
      </w:tr>
    </w:tbl>
    <w:p w14:paraId="0B5822B8" w14:textId="77777777" w:rsidR="002A21AE" w:rsidRDefault="002A21AE"/>
    <w:p w14:paraId="4F38B54C" w14:textId="0C58C7D9" w:rsidR="002A21AE" w:rsidRDefault="002A21AE">
      <w:pPr>
        <w:pStyle w:val="Caption"/>
      </w:pPr>
      <w:r>
        <w:br w:type="page"/>
      </w:r>
      <w:bookmarkStart w:id="434" w:name="_Toc97523622"/>
      <w:bookmarkStart w:id="435" w:name="_Toc97527592"/>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112</w:t>
      </w:r>
      <w:r w:rsidR="004E20BD">
        <w:rPr>
          <w:noProof/>
        </w:rPr>
        <w:fldChar w:fldCharType="end"/>
      </w:r>
      <w:r>
        <w:t>: Blood Transfusion Record Form</w:t>
      </w:r>
      <w:bookmarkEnd w:id="434"/>
      <w:bookmarkEnd w:id="435"/>
      <w:r>
        <w:fldChar w:fldCharType="begin"/>
      </w:r>
      <w:r>
        <w:instrText xml:space="preserve"> XE </w:instrText>
      </w:r>
      <w:r w:rsidR="00FA7E65">
        <w:instrText>“</w:instrText>
      </w:r>
      <w:r>
        <w:instrText>Figures:Blood Transfusion Record Form</w:instrText>
      </w:r>
      <w:r w:rsidR="00FA7E65">
        <w:instrText>”</w:instrText>
      </w:r>
      <w:r>
        <w:instrText xml:space="preserve"> </w:instrText>
      </w:r>
      <w:r>
        <w:fldChar w:fldCharType="end"/>
      </w:r>
    </w:p>
    <w:p w14:paraId="4D901740" w14:textId="77777777" w:rsidR="00B75AA9" w:rsidRDefault="00B75AA9" w:rsidP="00716890">
      <w:pPr>
        <w:pStyle w:val="TableText"/>
        <w:tabs>
          <w:tab w:val="left" w:leader="underscore" w:pos="2880"/>
          <w:tab w:val="left" w:leader="underscore" w:pos="5040"/>
          <w:tab w:val="left" w:leader="underscore" w:pos="7200"/>
        </w:tabs>
      </w:pPr>
    </w:p>
    <w:p w14:paraId="2BD8C8A5" w14:textId="77777777" w:rsidR="00A00904" w:rsidRDefault="00057948" w:rsidP="00716890">
      <w:pPr>
        <w:pStyle w:val="TableText"/>
        <w:tabs>
          <w:tab w:val="left" w:leader="underscore" w:pos="2880"/>
          <w:tab w:val="left" w:leader="underscore" w:pos="5040"/>
          <w:tab w:val="left" w:leader="underscore" w:pos="7200"/>
        </w:tabs>
        <w:rPr>
          <w:color w:val="1F497D"/>
        </w:rPr>
      </w:pPr>
      <w:r>
        <w:rPr>
          <w:noProof/>
        </w:rPr>
        <w:drawing>
          <wp:inline distT="0" distB="0" distL="0" distR="0" wp14:anchorId="042337D4" wp14:editId="294B19B4">
            <wp:extent cx="6659245" cy="5043170"/>
            <wp:effectExtent l="0" t="0" r="8255" b="5080"/>
            <wp:docPr id="200" name="Picture 200" descr="P6529#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P6529#yIS1">
                      <a:extLst>
                        <a:ext uri="{C183D7F6-B498-43B3-948B-1728B52AA6E4}">
                          <adec:decorative xmlns:adec="http://schemas.microsoft.com/office/drawing/2017/decorative" val="1"/>
                        </a:ext>
                      </a:extLst>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659245" cy="5043170"/>
                    </a:xfrm>
                    <a:prstGeom prst="rect">
                      <a:avLst/>
                    </a:prstGeom>
                    <a:noFill/>
                    <a:ln>
                      <a:noFill/>
                    </a:ln>
                  </pic:spPr>
                </pic:pic>
              </a:graphicData>
            </a:graphic>
          </wp:inline>
        </w:drawing>
      </w:r>
    </w:p>
    <w:p w14:paraId="369625FA" w14:textId="77777777" w:rsidR="00A00904" w:rsidRDefault="00057948" w:rsidP="00716890">
      <w:pPr>
        <w:pStyle w:val="TableText"/>
        <w:tabs>
          <w:tab w:val="left" w:leader="underscore" w:pos="2880"/>
          <w:tab w:val="left" w:leader="underscore" w:pos="5040"/>
          <w:tab w:val="left" w:leader="underscore" w:pos="7200"/>
        </w:tabs>
        <w:sectPr w:rsidR="00A00904" w:rsidSect="00EE771C">
          <w:headerReference w:type="default" r:id="rId198"/>
          <w:pgSz w:w="12240" w:h="15840" w:code="1"/>
          <w:pgMar w:top="1440" w:right="1440" w:bottom="1440" w:left="1440" w:header="720" w:footer="720" w:gutter="0"/>
          <w:cols w:space="720"/>
          <w:docGrid w:linePitch="360"/>
        </w:sectPr>
      </w:pPr>
      <w:r>
        <w:rPr>
          <w:noProof/>
        </w:rPr>
        <w:lastRenderedPageBreak/>
        <w:drawing>
          <wp:inline distT="0" distB="0" distL="0" distR="0" wp14:anchorId="5ACEAC29" wp14:editId="4125E921">
            <wp:extent cx="6825615" cy="4304030"/>
            <wp:effectExtent l="19050" t="19050" r="13335" b="20320"/>
            <wp:docPr id="201" name="Picture 201" descr="P6530#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P6530#yIS1">
                      <a:extLst>
                        <a:ext uri="{C183D7F6-B498-43B3-948B-1728B52AA6E4}">
                          <adec:decorative xmlns:adec="http://schemas.microsoft.com/office/drawing/2017/decorative" val="1"/>
                        </a:ext>
                      </a:extLst>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825615" cy="4304030"/>
                    </a:xfrm>
                    <a:prstGeom prst="rect">
                      <a:avLst/>
                    </a:prstGeom>
                    <a:noFill/>
                    <a:ln w="6350" cmpd="sng">
                      <a:solidFill>
                        <a:srgbClr val="000000"/>
                      </a:solidFill>
                      <a:miter lim="800000"/>
                      <a:headEnd/>
                      <a:tailEnd/>
                    </a:ln>
                    <a:effectLst/>
                  </pic:spPr>
                </pic:pic>
              </a:graphicData>
            </a:graphic>
          </wp:inline>
        </w:drawing>
      </w:r>
    </w:p>
    <w:p w14:paraId="393BBEF6" w14:textId="77777777" w:rsidR="002A21AE" w:rsidRDefault="002A21AE">
      <w:pPr>
        <w:pStyle w:val="Heading2"/>
      </w:pPr>
      <w:bookmarkStart w:id="436" w:name="_Toc4588797"/>
      <w:r>
        <w:lastRenderedPageBreak/>
        <w:t>Invalidate Test Results</w:t>
      </w:r>
      <w:bookmarkEnd w:id="436"/>
      <w:r>
        <w:rPr>
          <w:rFonts w:ascii="Geneva" w:hAnsi="Geneva"/>
          <w:vanish/>
        </w:rPr>
        <w:fldChar w:fldCharType="begin"/>
      </w:r>
      <w:r>
        <w:rPr>
          <w:rFonts w:ascii="Geneva" w:hAnsi="Geneva"/>
          <w:vanish/>
        </w:rPr>
        <w:instrText xml:space="preserve"> XE </w:instrText>
      </w:r>
      <w:r w:rsidR="00FA7E65">
        <w:rPr>
          <w:rFonts w:ascii="Geneva" w:hAnsi="Geneva"/>
          <w:vanish/>
        </w:rPr>
        <w:instrText>“</w:instrText>
      </w:r>
      <w:r>
        <w:rPr>
          <w:rFonts w:ascii="Geneva" w:hAnsi="Geneva"/>
          <w:vanish/>
        </w:rPr>
        <w:instrText>Invalidate Test Results</w:instrText>
      </w:r>
      <w:r w:rsidR="00FA7E65">
        <w:rPr>
          <w:rFonts w:ascii="Geneva" w:hAnsi="Geneva"/>
          <w:vanish/>
        </w:rPr>
        <w:instrText>”</w:instrText>
      </w:r>
      <w:r>
        <w:rPr>
          <w:rFonts w:ascii="Geneva" w:hAnsi="Geneva"/>
          <w:vanish/>
        </w:rPr>
        <w:instrText xml:space="preserve"> </w:instrText>
      </w:r>
      <w:r>
        <w:rPr>
          <w:rFonts w:ascii="Geneva" w:hAnsi="Geneva"/>
          <w:vanish/>
        </w:rPr>
        <w:fldChar w:fldCharType="end"/>
      </w:r>
      <w:r>
        <w:rPr>
          <w:rFonts w:ascii="Geneva" w:hAnsi="Geneva"/>
          <w:vanish/>
        </w:rPr>
        <w:t xml:space="preserve"> UC_94</w:t>
      </w:r>
    </w:p>
    <w:p w14:paraId="4419C6B9" w14:textId="77777777" w:rsidR="002A21AE" w:rsidRDefault="002A21AE" w:rsidP="00FA7E65">
      <w:pPr>
        <w:pStyle w:val="BodyText"/>
      </w:pPr>
      <w:r>
        <w:t>The user invalidates incorrectly entered patient test results and reenters correct patient test results and interpretations.</w:t>
      </w:r>
    </w:p>
    <w:p w14:paraId="2BE97B81" w14:textId="77777777" w:rsidR="002A21AE" w:rsidRDefault="002A21AE">
      <w:pPr>
        <w:pStyle w:val="Heading4"/>
      </w:pPr>
      <w:r>
        <w:t>Assumptions</w:t>
      </w:r>
      <w:r>
        <w:rPr>
          <w:b w:val="0"/>
        </w:rPr>
        <w:t xml:space="preserve"> </w:t>
      </w:r>
    </w:p>
    <w:p w14:paraId="3733C49A" w14:textId="77777777" w:rsidR="002A21AE" w:rsidRDefault="002A21AE">
      <w:pPr>
        <w:pStyle w:val="ListBullet"/>
      </w:pPr>
      <w:r>
        <w:t>A completed patient order exists in VBECS.</w:t>
      </w:r>
    </w:p>
    <w:p w14:paraId="580A1F63" w14:textId="77777777" w:rsidR="002A21AE" w:rsidRDefault="002A21AE">
      <w:pPr>
        <w:pStyle w:val="Heading4"/>
      </w:pPr>
      <w:r>
        <w:t xml:space="preserve">Outcome </w:t>
      </w:r>
    </w:p>
    <w:p w14:paraId="1762F1D5" w14:textId="77777777" w:rsidR="002A21AE" w:rsidRDefault="002A21AE">
      <w:pPr>
        <w:pStyle w:val="ListBullet"/>
      </w:pPr>
      <w:r>
        <w:t>Test results are invalidated.</w:t>
      </w:r>
    </w:p>
    <w:p w14:paraId="49E43C30" w14:textId="77777777" w:rsidR="002A21AE" w:rsidRDefault="002A21AE">
      <w:pPr>
        <w:pStyle w:val="ListBullet"/>
      </w:pPr>
      <w:r>
        <w:t xml:space="preserve">VBECS may assign “correction” status to a task to allow the user to repeat a test and add it to the Pending Task List (PTL). </w:t>
      </w:r>
    </w:p>
    <w:p w14:paraId="53E5E609" w14:textId="77777777" w:rsidR="002A21AE" w:rsidRDefault="002A21AE">
      <w:pPr>
        <w:pStyle w:val="Heading4"/>
      </w:pPr>
      <w:r>
        <w:t>Limitations and Restrictions</w:t>
      </w:r>
      <w:r>
        <w:rPr>
          <w:b w:val="0"/>
        </w:rPr>
        <w:t xml:space="preserve"> </w:t>
      </w:r>
    </w:p>
    <w:p w14:paraId="35B6D6FD" w14:textId="77777777" w:rsidR="002A21AE" w:rsidRDefault="002A21AE">
      <w:pPr>
        <w:pStyle w:val="ListBullet"/>
      </w:pPr>
      <w:r>
        <w:t>A user may not inactivate a component task in this option.</w:t>
      </w:r>
    </w:p>
    <w:p w14:paraId="42627B15" w14:textId="77777777" w:rsidR="002A21AE" w:rsidRDefault="002A21AE">
      <w:pPr>
        <w:pStyle w:val="ListBullet"/>
      </w:pPr>
      <w:r>
        <w:t>This option does not release units from patient assignment. The user must release “assigned” units before invalidating the test results.</w:t>
      </w:r>
    </w:p>
    <w:p w14:paraId="57189FEE" w14:textId="77777777" w:rsidR="001B2013" w:rsidRDefault="001B2013" w:rsidP="001B2013">
      <w:pPr>
        <w:pStyle w:val="ListBullet"/>
      </w:pPr>
      <w:r>
        <w:t>T</w:t>
      </w:r>
      <w:r w:rsidRPr="001B2013">
        <w:t xml:space="preserve">o </w:t>
      </w:r>
      <w:r>
        <w:t>maintain</w:t>
      </w:r>
      <w:r w:rsidRPr="001B2013">
        <w:t xml:space="preserve"> a clear record</w:t>
      </w:r>
      <w:r>
        <w:t xml:space="preserve"> and system checks, the user must invalidate both original and repeat ABO/Rh tests</w:t>
      </w:r>
      <w:r w:rsidR="00C17389">
        <w:t>.</w:t>
      </w:r>
    </w:p>
    <w:p w14:paraId="66BC5C5A" w14:textId="77777777" w:rsidR="00C17389" w:rsidRPr="001B2013" w:rsidRDefault="00AB786F" w:rsidP="001B2013">
      <w:pPr>
        <w:pStyle w:val="ListBullet"/>
      </w:pPr>
      <w:r>
        <w:t>Do not invalidate part of the configured test. Doing this will put</w:t>
      </w:r>
      <w:r w:rsidR="003D719C">
        <w:t xml:space="preserve"> the specimen into a </w:t>
      </w:r>
      <w:r w:rsidR="00E037D2">
        <w:t>state where it cannot be processed</w:t>
      </w:r>
      <w:r w:rsidR="0055788D">
        <w:t>. I</w:t>
      </w:r>
      <w:r w:rsidR="00C17389">
        <w:t xml:space="preserve">nvalidate </w:t>
      </w:r>
      <w:r w:rsidR="00A87E0D">
        <w:t>all tests configured as</w:t>
      </w:r>
      <w:r w:rsidR="00C17389">
        <w:t xml:space="preserve"> part of the TAS </w:t>
      </w:r>
      <w:r w:rsidR="00A87E0D">
        <w:t>regardless of which sub test (</w:t>
      </w:r>
      <w:r w:rsidR="00C17389">
        <w:t>ABO/Rh</w:t>
      </w:r>
      <w:r w:rsidR="00E037D2">
        <w:t>, ABS or DAT) is the</w:t>
      </w:r>
      <w:r w:rsidR="00A87E0D">
        <w:t xml:space="preserve"> </w:t>
      </w:r>
      <w:r w:rsidR="00942363">
        <w:t>problem</w:t>
      </w:r>
      <w:r w:rsidR="00C17389">
        <w:t xml:space="preserve">. </w:t>
      </w:r>
      <w:r w:rsidR="00C17389" w:rsidRPr="00C17389">
        <w:rPr>
          <w:vanish/>
        </w:rPr>
        <w:t>DR 4685</w:t>
      </w:r>
      <w:r w:rsidR="00942363">
        <w:rPr>
          <w:vanish/>
        </w:rPr>
        <w:t xml:space="preserve"> DR 4854</w:t>
      </w:r>
    </w:p>
    <w:p w14:paraId="632FE24D" w14:textId="77777777" w:rsidR="002A21AE" w:rsidRDefault="002A21AE">
      <w:pPr>
        <w:pStyle w:val="Heading4"/>
      </w:pPr>
      <w:r>
        <w:t xml:space="preserve">Additional Information </w:t>
      </w:r>
    </w:p>
    <w:p w14:paraId="3F099C9C" w14:textId="77777777" w:rsidR="002A21AE" w:rsidRDefault="002A21AE">
      <w:pPr>
        <w:pStyle w:val="ListBullet"/>
      </w:pPr>
      <w:r>
        <w:t>VBECS invalidates the entire test group during this option. The user must reenter results to replace the invalidated results.</w:t>
      </w:r>
    </w:p>
    <w:p w14:paraId="6EC9D114" w14:textId="77777777" w:rsidR="002A21AE" w:rsidRDefault="002A21AE">
      <w:pPr>
        <w:pStyle w:val="ListBullet"/>
      </w:pPr>
      <w:r>
        <w:t>Workload and billing are inactivated or rescinded from the inactivated testing.</w:t>
      </w:r>
    </w:p>
    <w:p w14:paraId="4F66E640" w14:textId="77777777" w:rsidR="002A21AE" w:rsidRDefault="002A21AE">
      <w:pPr>
        <w:pStyle w:val="ListBullet"/>
      </w:pPr>
      <w:r>
        <w:rPr>
          <w:rFonts w:ascii="Arial" w:hAnsi="Arial" w:cs="Arial"/>
          <w:vanish/>
          <w:spacing w:val="0"/>
          <w:sz w:val="18"/>
        </w:rPr>
        <w:t xml:space="preserve">BR_94.09 </w:t>
      </w:r>
      <w:r>
        <w:t>VBECS invali</w:t>
      </w:r>
      <w:r w:rsidR="00113E2C">
        <w:t>dates t</w:t>
      </w:r>
      <w:r>
        <w:t xml:space="preserve">ransfusion </w:t>
      </w:r>
      <w:r w:rsidR="00113E2C">
        <w:t>r</w:t>
      </w:r>
      <w:r>
        <w:t xml:space="preserve">eaction </w:t>
      </w:r>
      <w:r w:rsidR="00113E2C">
        <w:t>w</w:t>
      </w:r>
      <w:r>
        <w:t>orkups (TRWs) in total and crossmatches (XMs) by unit.</w:t>
      </w:r>
    </w:p>
    <w:p w14:paraId="399BF400" w14:textId="77777777" w:rsidR="002A21AE" w:rsidRDefault="002A21AE">
      <w:pPr>
        <w:pStyle w:val="ListBullet"/>
      </w:pPr>
      <w:r>
        <w:rPr>
          <w:rFonts w:ascii="Arial" w:hAnsi="Arial" w:cs="Arial"/>
          <w:vanish/>
          <w:spacing w:val="0"/>
          <w:sz w:val="18"/>
        </w:rPr>
        <w:t xml:space="preserve">BR_94.10 </w:t>
      </w:r>
      <w:r>
        <w:t>Invalidation of an antibody identification (ABID) task invalidates all antibody spec</w:t>
      </w:r>
      <w:r w:rsidR="006E3236">
        <w:t>ificities entered in that task.</w:t>
      </w:r>
    </w:p>
    <w:p w14:paraId="2EEC7A2B" w14:textId="77777777" w:rsidR="002A21AE" w:rsidRDefault="002A21AE">
      <w:pPr>
        <w:pStyle w:val="ListBullet"/>
      </w:pPr>
      <w:r>
        <w:t>VBECS displays results and interpretations of the tests but not any QC performed with the tests.</w:t>
      </w:r>
    </w:p>
    <w:p w14:paraId="4117991D" w14:textId="77777777" w:rsidR="002A21AE" w:rsidRDefault="002A21AE">
      <w:pPr>
        <w:pStyle w:val="ListBullet"/>
      </w:pPr>
      <w:r>
        <w:rPr>
          <w:rFonts w:ascii="Arial" w:hAnsi="Arial" w:cs="Arial"/>
          <w:vanish/>
          <w:spacing w:val="0"/>
          <w:sz w:val="18"/>
        </w:rPr>
        <w:t xml:space="preserve">BR_94.04 </w:t>
      </w:r>
      <w:r>
        <w:t>VBECS displays “Test Result Invalidated” to indicate invalidated test results.</w:t>
      </w:r>
    </w:p>
    <w:p w14:paraId="4159D10A" w14:textId="77777777" w:rsidR="002A21AE" w:rsidRDefault="002A21AE">
      <w:pPr>
        <w:pStyle w:val="Heading4"/>
        <w:rPr>
          <w:b w:val="0"/>
        </w:rPr>
      </w:pPr>
      <w:r>
        <w:t>User Roles with Access to This Option</w:t>
      </w:r>
      <w:r>
        <w:rPr>
          <w:b w:val="0"/>
        </w:rPr>
        <w:t xml:space="preserve"> </w:t>
      </w:r>
    </w:p>
    <w:p w14:paraId="2DB54EDE" w14:textId="77777777" w:rsidR="002A21AE" w:rsidRDefault="000F12D4">
      <w:pPr>
        <w:pStyle w:val="Roles"/>
      </w:pPr>
      <w:r w:rsidRPr="00EC7489">
        <w:rPr>
          <w:rFonts w:ascii="Wingdings 3" w:hAnsi="Wingdings 3" w:cs="Wingdings"/>
        </w:rPr>
        <w:t></w:t>
      </w:r>
      <w:r w:rsidRPr="00EC7489">
        <w:rPr>
          <w:rFonts w:ascii="Wingdings 3" w:hAnsi="Wingdings 3" w:cs="Wingdings"/>
        </w:rPr>
        <w:t></w:t>
      </w:r>
      <w:r>
        <w:t xml:space="preserve"> Enhanced Technologist</w:t>
      </w:r>
    </w:p>
    <w:p w14:paraId="1F9F5326" w14:textId="77777777" w:rsidR="002A21AE" w:rsidRDefault="002A21AE">
      <w:pPr>
        <w:pStyle w:val="Heading4"/>
      </w:pPr>
      <w:r>
        <w:t>Invalidate Test Results</w:t>
      </w:r>
    </w:p>
    <w:p w14:paraId="3E458AA2" w14:textId="77777777" w:rsidR="002A21AE" w:rsidRPr="009660C3" w:rsidRDefault="002A21AE" w:rsidP="00FA7E65">
      <w:pPr>
        <w:pStyle w:val="BodyText"/>
        <w:rPr>
          <w:color w:val="FFFFFF"/>
        </w:rPr>
      </w:pPr>
      <w:r>
        <w:t>The use</w:t>
      </w:r>
      <w:r w:rsidR="00CF47D5">
        <w:t xml:space="preserve">r </w:t>
      </w:r>
      <w:r>
        <w:t>may invalidate one or more previously entered test results and replace them with corrected results.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19EA548C" w14:textId="77777777">
        <w:trPr>
          <w:cantSplit/>
          <w:tblHeader/>
        </w:trPr>
        <w:tc>
          <w:tcPr>
            <w:tcW w:w="3240" w:type="dxa"/>
            <w:shd w:val="pct30" w:color="auto" w:fill="FFFFFF"/>
            <w:vAlign w:val="bottom"/>
          </w:tcPr>
          <w:p w14:paraId="0CE43AAD" w14:textId="77777777" w:rsidR="002A21AE" w:rsidRPr="00B75AA9" w:rsidRDefault="002A21AE" w:rsidP="00B75AA9">
            <w:pPr>
              <w:pStyle w:val="TableText"/>
              <w:tabs>
                <w:tab w:val="left" w:leader="underscore" w:pos="2880"/>
                <w:tab w:val="left" w:leader="underscore" w:pos="5040"/>
                <w:tab w:val="left" w:leader="underscore" w:pos="7200"/>
              </w:tabs>
            </w:pPr>
            <w:r>
              <w:rPr>
                <w:b/>
              </w:rPr>
              <w:t>User Action</w:t>
            </w:r>
            <w:r w:rsidR="00B75AA9">
              <w:rPr>
                <w:b/>
              </w:rPr>
              <w:t xml:space="preserve"> </w:t>
            </w:r>
          </w:p>
        </w:tc>
        <w:tc>
          <w:tcPr>
            <w:tcW w:w="6120" w:type="dxa"/>
            <w:shd w:val="pct30" w:color="auto" w:fill="FFFFFF"/>
            <w:vAlign w:val="bottom"/>
          </w:tcPr>
          <w:p w14:paraId="2AABBFD0" w14:textId="77777777" w:rsidR="002A21AE" w:rsidRDefault="002A21AE">
            <w:pPr>
              <w:pStyle w:val="TableText"/>
              <w:rPr>
                <w:b/>
              </w:rPr>
            </w:pPr>
            <w:r>
              <w:rPr>
                <w:b/>
              </w:rPr>
              <w:t>VBECS</w:t>
            </w:r>
          </w:p>
        </w:tc>
      </w:tr>
      <w:tr w:rsidR="002A21AE" w14:paraId="6CC0C721" w14:textId="77777777">
        <w:tc>
          <w:tcPr>
            <w:tcW w:w="3240" w:type="dxa"/>
            <w:tcBorders>
              <w:top w:val="single" w:sz="4" w:space="0" w:color="auto"/>
              <w:left w:val="single" w:sz="4" w:space="0" w:color="auto"/>
              <w:bottom w:val="single" w:sz="4" w:space="0" w:color="auto"/>
              <w:right w:val="single" w:sz="4" w:space="0" w:color="auto"/>
            </w:tcBorders>
          </w:tcPr>
          <w:p w14:paraId="4DBA4B5C" w14:textId="77777777" w:rsidR="002A21AE" w:rsidRDefault="002A21AE" w:rsidP="00B75AA9">
            <w:pPr>
              <w:pStyle w:val="TableTextNumbers"/>
            </w:pPr>
            <w:r>
              <w:t xml:space="preserve">Select </w:t>
            </w:r>
            <w:r>
              <w:rPr>
                <w:b/>
              </w:rPr>
              <w:t>Patients</w:t>
            </w:r>
            <w:r>
              <w:t xml:space="preserve"> from the main menu.</w:t>
            </w:r>
          </w:p>
          <w:p w14:paraId="7EE9F3B7" w14:textId="77777777" w:rsidR="002A21AE" w:rsidRDefault="002A21AE">
            <w:pPr>
              <w:pStyle w:val="TableTextNumbersContinued"/>
            </w:pPr>
          </w:p>
          <w:p w14:paraId="7037B7E0" w14:textId="77777777" w:rsidR="002A21AE" w:rsidRDefault="002A21AE">
            <w:pPr>
              <w:pStyle w:val="TableTextNumbersContinued"/>
            </w:pPr>
            <w:r>
              <w:t xml:space="preserve">Select </w:t>
            </w:r>
            <w:r>
              <w:rPr>
                <w:b/>
              </w:rPr>
              <w:t>Invalidate Test Results</w:t>
            </w:r>
            <w:r>
              <w:t>.</w:t>
            </w:r>
          </w:p>
        </w:tc>
        <w:tc>
          <w:tcPr>
            <w:tcW w:w="6120" w:type="dxa"/>
            <w:tcBorders>
              <w:top w:val="single" w:sz="4" w:space="0" w:color="auto"/>
              <w:left w:val="single" w:sz="4" w:space="0" w:color="auto"/>
              <w:bottom w:val="single" w:sz="4" w:space="0" w:color="auto"/>
              <w:right w:val="single" w:sz="4" w:space="0" w:color="auto"/>
            </w:tcBorders>
          </w:tcPr>
          <w:p w14:paraId="24960B15" w14:textId="77777777" w:rsidR="002A21AE" w:rsidRDefault="002A21AE">
            <w:pPr>
              <w:pStyle w:val="TableTextBullet"/>
            </w:pPr>
            <w:r>
              <w:t>Displays options for processing patient-related functions.</w:t>
            </w:r>
          </w:p>
          <w:p w14:paraId="2B33DE1A" w14:textId="77777777" w:rsidR="002A21AE" w:rsidRDefault="002A21AE">
            <w:pPr>
              <w:pStyle w:val="NotesText"/>
            </w:pPr>
          </w:p>
          <w:p w14:paraId="7FDC4B21" w14:textId="77777777" w:rsidR="002A21AE" w:rsidRDefault="00057948">
            <w:pPr>
              <w:pStyle w:val="TableText"/>
              <w:rPr>
                <w:b/>
                <w:bCs/>
                <w:szCs w:val="18"/>
              </w:rPr>
            </w:pPr>
            <w:r>
              <w:rPr>
                <w:b/>
                <w:bCs/>
                <w:noProof/>
              </w:rPr>
              <mc:AlternateContent>
                <mc:Choice Requires="wps">
                  <w:drawing>
                    <wp:anchor distT="0" distB="0" distL="114300" distR="114300" simplePos="0" relativeHeight="251462144" behindDoc="0" locked="0" layoutInCell="1" allowOverlap="1" wp14:anchorId="7C120147" wp14:editId="666D6F8D">
                      <wp:simplePos x="0" y="0"/>
                      <wp:positionH relativeFrom="column">
                        <wp:posOffset>457200</wp:posOffset>
                      </wp:positionH>
                      <wp:positionV relativeFrom="paragraph">
                        <wp:posOffset>65405</wp:posOffset>
                      </wp:positionV>
                      <wp:extent cx="3200400" cy="0"/>
                      <wp:effectExtent l="9525" t="17780" r="9525" b="10795"/>
                      <wp:wrapNone/>
                      <wp:docPr id="420" name="Line 779" descr="P6562C4T6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0C6DF" id="Line 779" o:spid="_x0000_s1026" alt="&quot;&quot;" style="position:absolute;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Wz+v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413B4054" w14:textId="77777777" w:rsidR="002A21AE" w:rsidRDefault="002A21AE">
            <w:pPr>
              <w:pStyle w:val="NotesText"/>
            </w:pPr>
          </w:p>
          <w:p w14:paraId="191F9C6D" w14:textId="77777777" w:rsidR="002A21AE" w:rsidRDefault="002A21AE">
            <w:pPr>
              <w:pStyle w:val="NotesText"/>
            </w:pPr>
            <w:r>
              <w:t xml:space="preserve">Click the </w:t>
            </w:r>
            <w:r>
              <w:rPr>
                <w:b/>
              </w:rPr>
              <w:t xml:space="preserve">Component Orders </w:t>
            </w:r>
            <w:r w:rsidRPr="00CC3C89">
              <w:t xml:space="preserve">tab </w:t>
            </w:r>
            <w:r>
              <w:t>to view its PTL.</w:t>
            </w:r>
          </w:p>
        </w:tc>
      </w:tr>
      <w:tr w:rsidR="002A21AE" w14:paraId="1728C2F5" w14:textId="77777777">
        <w:tc>
          <w:tcPr>
            <w:tcW w:w="3240" w:type="dxa"/>
          </w:tcPr>
          <w:p w14:paraId="3AA42C68" w14:textId="77777777" w:rsidR="002A21AE" w:rsidRDefault="002A21AE">
            <w:pPr>
              <w:pStyle w:val="TableTextNumbers"/>
            </w:pPr>
            <w:r>
              <w:lastRenderedPageBreak/>
              <w:t>Enter the patient name and/or specimen UID.</w:t>
            </w:r>
          </w:p>
          <w:p w14:paraId="47486F84" w14:textId="77777777" w:rsidR="002A21AE" w:rsidRDefault="002A21AE">
            <w:pPr>
              <w:pStyle w:val="TableTextNumbersContinued"/>
            </w:pPr>
          </w:p>
          <w:p w14:paraId="40EAFDB5" w14:textId="77777777" w:rsidR="002A21AE" w:rsidRDefault="002A21AE">
            <w:pPr>
              <w:pStyle w:val="TableTextNumbersContinued"/>
            </w:pPr>
            <w:r>
              <w:t xml:space="preserve">Edit the “expires after” date, if required. </w:t>
            </w:r>
          </w:p>
          <w:p w14:paraId="1213F208" w14:textId="77777777" w:rsidR="002A21AE" w:rsidRDefault="002A21AE">
            <w:pPr>
              <w:pStyle w:val="TableTextNumbersContinued"/>
            </w:pPr>
          </w:p>
          <w:p w14:paraId="2238D840" w14:textId="77777777" w:rsidR="002A21AE" w:rsidRDefault="002A21AE">
            <w:pPr>
              <w:pStyle w:val="TableTextNumbersContinued"/>
            </w:pPr>
            <w:r>
              <w:t xml:space="preserve">Click </w:t>
            </w:r>
            <w:r>
              <w:rPr>
                <w:b/>
              </w:rPr>
              <w:t>Search</w:t>
            </w:r>
            <w:r>
              <w:t>, if needed.</w:t>
            </w:r>
          </w:p>
        </w:tc>
        <w:tc>
          <w:tcPr>
            <w:tcW w:w="6120" w:type="dxa"/>
          </w:tcPr>
          <w:p w14:paraId="79CCE3B1" w14:textId="77777777" w:rsidR="002A21AE" w:rsidRDefault="002A21AE">
            <w:pPr>
              <w:pStyle w:val="TableTextBullet"/>
            </w:pPr>
            <w:r>
              <w:rPr>
                <w:rFonts w:cs="Arial"/>
                <w:vanish/>
              </w:rPr>
              <w:t xml:space="preserve">BR_94.01 </w:t>
            </w:r>
            <w:r>
              <w:t>Displays an option to enter a specimen UID or a patient for a specific date or for a range of dates.</w:t>
            </w:r>
          </w:p>
          <w:p w14:paraId="4447F257" w14:textId="77777777" w:rsidR="002A21AE" w:rsidRDefault="002A21AE">
            <w:pPr>
              <w:pStyle w:val="TableTextBullet"/>
            </w:pPr>
            <w:r>
              <w:rPr>
                <w:rFonts w:cs="Arial"/>
                <w:vanish/>
              </w:rPr>
              <w:t xml:space="preserve">BR_94.02 </w:t>
            </w:r>
            <w:r>
              <w:t xml:space="preserve">Displays the complete diagnostic tests associated with the entry. </w:t>
            </w:r>
          </w:p>
        </w:tc>
      </w:tr>
      <w:tr w:rsidR="002A21AE" w14:paraId="244AB07F" w14:textId="77777777">
        <w:tc>
          <w:tcPr>
            <w:tcW w:w="3240" w:type="dxa"/>
          </w:tcPr>
          <w:p w14:paraId="11CBF232" w14:textId="77777777" w:rsidR="002A21AE" w:rsidRDefault="002A21AE">
            <w:pPr>
              <w:pStyle w:val="TableTextNumbers"/>
            </w:pPr>
            <w:r>
              <w:t>Select a test result from the Specimen Test Results list.</w:t>
            </w:r>
          </w:p>
        </w:tc>
        <w:tc>
          <w:tcPr>
            <w:tcW w:w="6120" w:type="dxa"/>
          </w:tcPr>
          <w:p w14:paraId="58171CB0" w14:textId="77777777" w:rsidR="002A21AE" w:rsidRDefault="002A21AE">
            <w:pPr>
              <w:pStyle w:val="TableTextBullet"/>
            </w:pPr>
            <w:r>
              <w:t>Displays the original results for the user to review.</w:t>
            </w:r>
            <w:r>
              <w:rPr>
                <w:vanish/>
                <w:szCs w:val="18"/>
              </w:rPr>
              <w:t xml:space="preserve"> BR_94.06</w:t>
            </w:r>
          </w:p>
          <w:p w14:paraId="09B47271" w14:textId="77777777" w:rsidR="002A21AE" w:rsidRDefault="002A21AE">
            <w:pPr>
              <w:pStyle w:val="TableText"/>
            </w:pPr>
          </w:p>
          <w:p w14:paraId="6A971F1B" w14:textId="77777777" w:rsidR="002A21AE" w:rsidRDefault="00057948">
            <w:pPr>
              <w:pStyle w:val="TableText"/>
              <w:rPr>
                <w:b/>
                <w:bCs/>
                <w:szCs w:val="18"/>
              </w:rPr>
            </w:pPr>
            <w:r>
              <w:rPr>
                <w:b/>
                <w:bCs/>
                <w:noProof/>
              </w:rPr>
              <mc:AlternateContent>
                <mc:Choice Requires="wps">
                  <w:drawing>
                    <wp:anchor distT="0" distB="0" distL="114300" distR="114300" simplePos="0" relativeHeight="251456000" behindDoc="0" locked="0" layoutInCell="1" allowOverlap="1" wp14:anchorId="6A0E9A9E" wp14:editId="0F5D68E4">
                      <wp:simplePos x="0" y="0"/>
                      <wp:positionH relativeFrom="column">
                        <wp:posOffset>457200</wp:posOffset>
                      </wp:positionH>
                      <wp:positionV relativeFrom="paragraph">
                        <wp:posOffset>65405</wp:posOffset>
                      </wp:positionV>
                      <wp:extent cx="3200400" cy="0"/>
                      <wp:effectExtent l="9525" t="17780" r="9525" b="10795"/>
                      <wp:wrapNone/>
                      <wp:docPr id="419" name="Line 776" descr="P6577C8T6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A7DD7" id="Line 776" o:spid="_x0000_s1026" alt="&quot;&quot;" style="position:absolute;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PyIIY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429148A4" w14:textId="77777777" w:rsidR="002A21AE" w:rsidRDefault="002A21AE">
            <w:pPr>
              <w:pStyle w:val="NotesText"/>
            </w:pPr>
          </w:p>
          <w:p w14:paraId="5A9CA2C1" w14:textId="77777777" w:rsidR="002A21AE" w:rsidRDefault="002A21AE">
            <w:pPr>
              <w:pStyle w:val="NotesText"/>
            </w:pPr>
            <w:r>
              <w:rPr>
                <w:rFonts w:cs="Arial"/>
                <w:vanish/>
              </w:rPr>
              <w:t xml:space="preserve">BR_94.10 </w:t>
            </w:r>
            <w:r>
              <w:t>When the user chooses to invalidate an ABID, VBECS warns that the invalidation of the antibody specificity also invalidates the corresponding calculated antigen negative requirements. No user action is required.</w:t>
            </w:r>
          </w:p>
          <w:p w14:paraId="461CA486" w14:textId="77777777" w:rsidR="002A21AE" w:rsidRDefault="002A21AE">
            <w:pPr>
              <w:pStyle w:val="NotesText"/>
            </w:pPr>
          </w:p>
          <w:p w14:paraId="53E07D6C" w14:textId="77777777" w:rsidR="002A21AE" w:rsidRDefault="002A21AE">
            <w:pPr>
              <w:pStyle w:val="NotesText"/>
            </w:pPr>
            <w:r>
              <w:rPr>
                <w:rFonts w:cs="Arial"/>
                <w:vanish/>
              </w:rPr>
              <w:t xml:space="preserve">BR_94.12 </w:t>
            </w:r>
            <w:r w:rsidR="00E57896" w:rsidRPr="00EC7489">
              <w:rPr>
                <w:rFonts w:ascii="Wingdings 3" w:hAnsi="Wingdings 3" w:cs="Wingdings"/>
              </w:rPr>
              <w:t></w:t>
            </w:r>
            <w:r w:rsidR="00E57896" w:rsidRPr="00EC7489">
              <w:rPr>
                <w:rFonts w:ascii="Wingdings 3" w:hAnsi="Wingdings 3" w:cs="Wingdings"/>
              </w:rPr>
              <w:t></w:t>
            </w:r>
            <w:r w:rsidR="00E57896" w:rsidRPr="00EC7489">
              <w:rPr>
                <w:rFonts w:ascii="Wingdings 3" w:hAnsi="Wingdings 3" w:cs="Wingdings"/>
              </w:rPr>
              <w:t></w:t>
            </w:r>
            <w:r w:rsidR="00E57896" w:rsidRPr="00EC7489">
              <w:rPr>
                <w:rFonts w:ascii="Wingdings 3" w:hAnsi="Wingdings 3" w:cs="Wingdings"/>
              </w:rPr>
              <w:t></w:t>
            </w:r>
            <w:r w:rsidR="00E57896">
              <w:t xml:space="preserve"> </w:t>
            </w:r>
            <w:r>
              <w:t xml:space="preserve">When the user is a Traditional Supervisor and the selected specimen is the most recent specimen tested for the selected patient, the user may invalidate a previously justified ABO/Rh test result. When the specimen ABO/Rh test associated with a justification is invalidated, VBECS removes the justification information from the patient record. </w:t>
            </w:r>
          </w:p>
          <w:p w14:paraId="663882C8" w14:textId="77777777" w:rsidR="002A21AE" w:rsidRDefault="002A21AE" w:rsidP="0055373D">
            <w:pPr>
              <w:pStyle w:val="NotesText"/>
            </w:pPr>
          </w:p>
          <w:p w14:paraId="20FE17BD" w14:textId="77777777" w:rsidR="0055373D" w:rsidRDefault="002A21AE" w:rsidP="0055373D">
            <w:pPr>
              <w:pStyle w:val="NotesText"/>
            </w:pPr>
            <w:r>
              <w:rPr>
                <w:rFonts w:cs="Arial"/>
                <w:vanish/>
              </w:rPr>
              <w:t xml:space="preserve">BR_94.03 </w:t>
            </w:r>
            <w:r w:rsidR="0055373D">
              <w:t>When the user attempts to invalidate a non-</w:t>
            </w:r>
            <w:r w:rsidR="00A76142">
              <w:t>XM</w:t>
            </w:r>
            <w:r w:rsidR="0055373D">
              <w:t xml:space="preserve"> test for a patient specimen and blood units are currently associated with the specimen (assigned, electronically or serologically crossmatched, issued or transfused), </w:t>
            </w:r>
            <w:r w:rsidR="00B80F86">
              <w:t>VBECS warns that b</w:t>
            </w:r>
            <w:r w:rsidR="0055373D">
              <w:t>lood components are associated to this specimen</w:t>
            </w:r>
            <w:r w:rsidR="00B80F86">
              <w:t xml:space="preserve"> and that the associated unit</w:t>
            </w:r>
            <w:r w:rsidR="0055373D">
              <w:t>s must be removed before testing can be invalidated. The user may not continue to invalidate the test.</w:t>
            </w:r>
          </w:p>
          <w:p w14:paraId="4EE16269" w14:textId="77777777" w:rsidR="0055373D" w:rsidRDefault="0055373D" w:rsidP="0055373D">
            <w:pPr>
              <w:pStyle w:val="NotesText"/>
            </w:pPr>
          </w:p>
          <w:p w14:paraId="37892B30" w14:textId="77777777" w:rsidR="002A21AE" w:rsidRDefault="0055373D" w:rsidP="0055373D">
            <w:pPr>
              <w:pStyle w:val="NotesText"/>
            </w:pPr>
            <w:r>
              <w:t xml:space="preserve">When the user attempts to invalidate a </w:t>
            </w:r>
            <w:r w:rsidR="00A76142">
              <w:t>XM</w:t>
            </w:r>
            <w:r>
              <w:t xml:space="preserve"> test for a patient specimen and the associated blood unit</w:t>
            </w:r>
            <w:r w:rsidR="00A76142">
              <w:t>s are</w:t>
            </w:r>
            <w:r>
              <w:t xml:space="preserve"> currently issued or transfused, </w:t>
            </w:r>
            <w:r w:rsidR="00A76142">
              <w:t>VBECS warns the user that t</w:t>
            </w:r>
            <w:r>
              <w:t xml:space="preserve">he selected test cannot be invalidated because the unit </w:t>
            </w:r>
            <w:r w:rsidR="00A76142">
              <w:t>was</w:t>
            </w:r>
            <w:r>
              <w:t xml:space="preserve"> issued based on the </w:t>
            </w:r>
            <w:r w:rsidR="00A76142">
              <w:t>XM</w:t>
            </w:r>
            <w:r>
              <w:t xml:space="preserve"> result. The user may not continue to invalidate the </w:t>
            </w:r>
            <w:r w:rsidR="00A76142">
              <w:t>XM</w:t>
            </w:r>
            <w:r>
              <w:t xml:space="preserve"> test.</w:t>
            </w:r>
          </w:p>
        </w:tc>
      </w:tr>
      <w:tr w:rsidR="002A21AE" w14:paraId="7279444B" w14:textId="77777777">
        <w:tc>
          <w:tcPr>
            <w:tcW w:w="3240" w:type="dxa"/>
          </w:tcPr>
          <w:p w14:paraId="6061CCBB" w14:textId="1804CAFA" w:rsidR="002A21AE" w:rsidRDefault="002A21AE">
            <w:pPr>
              <w:pStyle w:val="TableTextNumbers"/>
            </w:pPr>
            <w:r>
              <w:t>Verify the accuracy of the selected patient specimen and patient information</w:t>
            </w:r>
            <w:r w:rsidR="004C67AB">
              <w:t xml:space="preserve"> (</w:t>
            </w:r>
            <w:r w:rsidR="004C67AB">
              <w:fldChar w:fldCharType="begin" w:fldLock="1"/>
            </w:r>
            <w:r w:rsidR="004C67AB">
              <w:instrText xml:space="preserve"> REF _Ref127159551 \h </w:instrText>
            </w:r>
            <w:r w:rsidR="004C67AB">
              <w:fldChar w:fldCharType="separate"/>
            </w:r>
            <w:r w:rsidR="00AB304C">
              <w:t xml:space="preserve">Figure </w:t>
            </w:r>
            <w:r w:rsidR="00AB304C">
              <w:rPr>
                <w:noProof/>
              </w:rPr>
              <w:t>113</w:t>
            </w:r>
            <w:r w:rsidR="004C67AB">
              <w:fldChar w:fldCharType="end"/>
            </w:r>
            <w:r w:rsidR="004C67AB">
              <w:t>)</w:t>
            </w:r>
            <w:r>
              <w:t>.</w:t>
            </w:r>
          </w:p>
          <w:p w14:paraId="22F7FE8C" w14:textId="77777777" w:rsidR="002A21AE" w:rsidRDefault="002A21AE">
            <w:pPr>
              <w:pStyle w:val="TableTextNumbersContinued"/>
            </w:pPr>
          </w:p>
          <w:p w14:paraId="1EED07D2" w14:textId="77777777" w:rsidR="002A21AE" w:rsidRDefault="002A21AE">
            <w:pPr>
              <w:pStyle w:val="TableTextNumbersContinued"/>
            </w:pPr>
            <w:r>
              <w:t xml:space="preserve">Click </w:t>
            </w:r>
            <w:r>
              <w:rPr>
                <w:b/>
              </w:rPr>
              <w:t>OK</w:t>
            </w:r>
            <w:r>
              <w:t xml:space="preserve"> to accept the results.</w:t>
            </w:r>
          </w:p>
        </w:tc>
        <w:tc>
          <w:tcPr>
            <w:tcW w:w="6120" w:type="dxa"/>
          </w:tcPr>
          <w:p w14:paraId="0651B74B" w14:textId="77777777" w:rsidR="002A21AE" w:rsidRDefault="002A21AE">
            <w:pPr>
              <w:pStyle w:val="TableTextBullet"/>
            </w:pPr>
            <w:r>
              <w:t>Marks these test results as “invalid” and asks the user whether he needs to replace the invalidated results with new test results.</w:t>
            </w:r>
          </w:p>
          <w:p w14:paraId="07F16DF9" w14:textId="77777777" w:rsidR="002A21AE" w:rsidRDefault="002A21AE">
            <w:pPr>
              <w:pStyle w:val="TableTextBullet1"/>
            </w:pPr>
            <w:r>
              <w:rPr>
                <w:b/>
              </w:rPr>
              <w:t>Yes</w:t>
            </w:r>
            <w:r>
              <w:t xml:space="preserve"> (test result replacement is needed) changes the task status to “correction” to return the task to the PTL for completion.</w:t>
            </w:r>
          </w:p>
          <w:p w14:paraId="5414A600" w14:textId="77777777" w:rsidR="002A21AE" w:rsidRDefault="002A21AE">
            <w:pPr>
              <w:pStyle w:val="TableTextBullet1"/>
            </w:pPr>
            <w:r>
              <w:rPr>
                <w:b/>
              </w:rPr>
              <w:t>No</w:t>
            </w:r>
            <w:r>
              <w:t xml:space="preserve"> (test replacement is not needed) marks the erroneous test results as “Test Result Invalidated”; the task status does not change.</w:t>
            </w:r>
          </w:p>
          <w:p w14:paraId="37311ED9" w14:textId="77777777" w:rsidR="002A21AE" w:rsidRDefault="002A21AE" w:rsidP="002277BE">
            <w:pPr>
              <w:pStyle w:val="TableTextBullet"/>
            </w:pPr>
            <w:r>
              <w:t>When the user selects all the diagnostic tests associated with a specimen, displays an option to mark the specimen unacceptable and invalidate the tests.</w:t>
            </w:r>
          </w:p>
        </w:tc>
      </w:tr>
      <w:tr w:rsidR="002A21AE" w14:paraId="48448C6F" w14:textId="77777777">
        <w:tc>
          <w:tcPr>
            <w:tcW w:w="3240" w:type="dxa"/>
          </w:tcPr>
          <w:p w14:paraId="313DECCE" w14:textId="77777777" w:rsidR="002A21AE" w:rsidRDefault="002A21AE">
            <w:pPr>
              <w:pStyle w:val="TableTextNumbers"/>
            </w:pPr>
            <w:r>
              <w:t>Select the test to invalidate from the Patient Test Results list.</w:t>
            </w:r>
          </w:p>
          <w:p w14:paraId="2FB2628B" w14:textId="77777777" w:rsidR="002A21AE" w:rsidRDefault="002A21AE">
            <w:pPr>
              <w:pStyle w:val="TableTextNumbersContinued"/>
            </w:pPr>
          </w:p>
          <w:p w14:paraId="697B41D0" w14:textId="217267CA" w:rsidR="002A21AE" w:rsidRDefault="002A21AE">
            <w:pPr>
              <w:pStyle w:val="TableTextNumbersContinued"/>
            </w:pPr>
            <w:r>
              <w:t xml:space="preserve">Click </w:t>
            </w:r>
            <w:r>
              <w:rPr>
                <w:b/>
              </w:rPr>
              <w:t>Invalidate Results</w:t>
            </w:r>
            <w:r w:rsidR="004C67AB" w:rsidRPr="004C67AB">
              <w:t xml:space="preserve"> (</w:t>
            </w:r>
            <w:r w:rsidR="004C67AB">
              <w:fldChar w:fldCharType="begin" w:fldLock="1"/>
            </w:r>
            <w:r w:rsidR="004C67AB">
              <w:instrText xml:space="preserve"> REF _Ref127159868 \h </w:instrText>
            </w:r>
            <w:r w:rsidR="004C67AB">
              <w:fldChar w:fldCharType="separate"/>
            </w:r>
            <w:r w:rsidR="00AB304C">
              <w:t xml:space="preserve">Figure </w:t>
            </w:r>
            <w:r w:rsidR="00AB304C">
              <w:rPr>
                <w:noProof/>
              </w:rPr>
              <w:t>114</w:t>
            </w:r>
            <w:r w:rsidR="004C67AB">
              <w:fldChar w:fldCharType="end"/>
            </w:r>
            <w:r w:rsidR="004C67AB" w:rsidRPr="004C67AB">
              <w:t>)</w:t>
            </w:r>
            <w:r>
              <w:t>.</w:t>
            </w:r>
          </w:p>
          <w:p w14:paraId="3898C82B" w14:textId="77777777" w:rsidR="002A21AE" w:rsidRDefault="002A21AE">
            <w:pPr>
              <w:pStyle w:val="TableTextNumbersContinued"/>
            </w:pPr>
          </w:p>
          <w:p w14:paraId="5843D9E9" w14:textId="77777777" w:rsidR="002A21AE" w:rsidRDefault="002A21AE">
            <w:pPr>
              <w:pStyle w:val="TableTextNumbersContinued"/>
            </w:pPr>
            <w:r>
              <w:t>Enter a comment.</w:t>
            </w:r>
          </w:p>
          <w:p w14:paraId="3E0B93A4" w14:textId="77777777" w:rsidR="002A21AE" w:rsidRDefault="002A21AE">
            <w:pPr>
              <w:pStyle w:val="TableTextNumbersContinued"/>
            </w:pPr>
          </w:p>
          <w:p w14:paraId="5D2BC5CE" w14:textId="77777777" w:rsidR="002A21AE" w:rsidRDefault="002A21AE">
            <w:pPr>
              <w:pStyle w:val="TableTextNumbersContinued"/>
            </w:pPr>
            <w:r>
              <w:lastRenderedPageBreak/>
              <w:t xml:space="preserve">Click the </w:t>
            </w:r>
            <w:r>
              <w:rPr>
                <w:b/>
              </w:rPr>
              <w:t xml:space="preserve">Add test to the Pending Task List to allow for replacement results </w:t>
            </w:r>
            <w:r w:rsidRPr="00D1100E">
              <w:t>check box</w:t>
            </w:r>
            <w:r>
              <w:t>, if appropriate.</w:t>
            </w:r>
          </w:p>
          <w:p w14:paraId="735057C2" w14:textId="77777777" w:rsidR="002A21AE" w:rsidRDefault="002A21AE">
            <w:pPr>
              <w:pStyle w:val="TableTextNumbersContinued"/>
            </w:pPr>
          </w:p>
          <w:p w14:paraId="6C43AB34" w14:textId="77777777" w:rsidR="002A21AE" w:rsidRDefault="002A21AE">
            <w:pPr>
              <w:pStyle w:val="TableTextNumbersContinued"/>
            </w:pPr>
            <w:r>
              <w:t xml:space="preserve">Click </w:t>
            </w:r>
            <w:r w:rsidRPr="003B3B94">
              <w:rPr>
                <w:b/>
              </w:rPr>
              <w:t>OK</w:t>
            </w:r>
            <w:r>
              <w:t>.</w:t>
            </w:r>
          </w:p>
        </w:tc>
        <w:tc>
          <w:tcPr>
            <w:tcW w:w="6120" w:type="dxa"/>
          </w:tcPr>
          <w:p w14:paraId="7B0BE24C" w14:textId="77777777" w:rsidR="002A21AE" w:rsidRDefault="002A21AE">
            <w:pPr>
              <w:pStyle w:val="TableTextBullet"/>
            </w:pPr>
            <w:r>
              <w:lastRenderedPageBreak/>
              <w:t>Asks the user whether he wishes to change the specimen status to “unacceptable.”</w:t>
            </w:r>
          </w:p>
          <w:p w14:paraId="11F579EB" w14:textId="77777777" w:rsidR="002A21AE" w:rsidRDefault="002A21AE">
            <w:pPr>
              <w:pStyle w:val="TableText"/>
            </w:pPr>
          </w:p>
          <w:p w14:paraId="1152ED0A" w14:textId="77777777" w:rsidR="002A21AE" w:rsidRDefault="00057948">
            <w:pPr>
              <w:pStyle w:val="TableText"/>
              <w:rPr>
                <w:b/>
                <w:bCs/>
                <w:szCs w:val="18"/>
              </w:rPr>
            </w:pPr>
            <w:r>
              <w:rPr>
                <w:b/>
                <w:bCs/>
                <w:noProof/>
              </w:rPr>
              <mc:AlternateContent>
                <mc:Choice Requires="wps">
                  <w:drawing>
                    <wp:anchor distT="0" distB="0" distL="114300" distR="114300" simplePos="0" relativeHeight="251459072" behindDoc="0" locked="0" layoutInCell="1" allowOverlap="1" wp14:anchorId="5B7BD20E" wp14:editId="0D8D9F30">
                      <wp:simplePos x="0" y="0"/>
                      <wp:positionH relativeFrom="column">
                        <wp:posOffset>457200</wp:posOffset>
                      </wp:positionH>
                      <wp:positionV relativeFrom="paragraph">
                        <wp:posOffset>65405</wp:posOffset>
                      </wp:positionV>
                      <wp:extent cx="3200400" cy="0"/>
                      <wp:effectExtent l="9525" t="17780" r="9525" b="10795"/>
                      <wp:wrapNone/>
                      <wp:docPr id="418" name="Line 778" descr="P6606C12T6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553A1" id="Line 778" o:spid="_x0000_s1026" alt="&quot;&quot;" style="position:absolute;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cS4pn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355C42BE" w14:textId="77777777" w:rsidR="002A21AE" w:rsidRDefault="002A21AE">
            <w:pPr>
              <w:pStyle w:val="NotesText"/>
            </w:pPr>
          </w:p>
          <w:p w14:paraId="2F795003" w14:textId="77777777" w:rsidR="001B2013" w:rsidRPr="001B2013" w:rsidRDefault="001B2013">
            <w:pPr>
              <w:pStyle w:val="NotesText"/>
              <w:rPr>
                <w:rFonts w:cs="Arial"/>
              </w:rPr>
            </w:pPr>
            <w:r>
              <w:rPr>
                <w:rFonts w:cs="Arial"/>
              </w:rPr>
              <w:t>T</w:t>
            </w:r>
            <w:r w:rsidRPr="001B2013">
              <w:rPr>
                <w:rFonts w:cs="Arial"/>
              </w:rPr>
              <w:t xml:space="preserve">o </w:t>
            </w:r>
            <w:r>
              <w:rPr>
                <w:rFonts w:cs="Arial"/>
              </w:rPr>
              <w:t>maintain</w:t>
            </w:r>
            <w:r w:rsidRPr="001B2013">
              <w:rPr>
                <w:rFonts w:cs="Arial"/>
              </w:rPr>
              <w:t xml:space="preserve"> a clear record</w:t>
            </w:r>
            <w:r>
              <w:rPr>
                <w:rFonts w:cs="Arial"/>
              </w:rPr>
              <w:t xml:space="preserve"> and system checks, invalidate both original and repeat ABO/Rh tests</w:t>
            </w:r>
            <w:r w:rsidRPr="001B2013">
              <w:rPr>
                <w:rFonts w:cs="Arial"/>
              </w:rPr>
              <w:t xml:space="preserve">. </w:t>
            </w:r>
          </w:p>
          <w:p w14:paraId="5BFF4686" w14:textId="77777777" w:rsidR="001B2013" w:rsidRDefault="001B2013">
            <w:pPr>
              <w:pStyle w:val="NotesText"/>
              <w:rPr>
                <w:rFonts w:cs="Arial"/>
              </w:rPr>
            </w:pPr>
          </w:p>
          <w:p w14:paraId="6B416ECD" w14:textId="77777777" w:rsidR="002A21AE" w:rsidRDefault="002A21AE">
            <w:pPr>
              <w:pStyle w:val="NotesText"/>
            </w:pPr>
            <w:r>
              <w:rPr>
                <w:rFonts w:cs="Arial"/>
                <w:vanish/>
              </w:rPr>
              <w:lastRenderedPageBreak/>
              <w:t xml:space="preserve">BR_94.05 </w:t>
            </w:r>
            <w:r>
              <w:t xml:space="preserve">When the user invalidated all of the diagnostic tests associated with a given specimen, VBECS asks whether the user wishes to change the specimen to “unacceptable.” </w:t>
            </w:r>
            <w:r>
              <w:rPr>
                <w:b/>
              </w:rPr>
              <w:t>No</w:t>
            </w:r>
            <w:r>
              <w:t xml:space="preserve"> allows the user to invalidate the test results without making the specimen unacceptable. </w:t>
            </w:r>
            <w:r>
              <w:rPr>
                <w:b/>
              </w:rPr>
              <w:t>Yes</w:t>
            </w:r>
            <w:r>
              <w:t xml:space="preserve"> changes the specimen to “unacceptable” and requires a comment.</w:t>
            </w:r>
          </w:p>
        </w:tc>
      </w:tr>
      <w:tr w:rsidR="002A21AE" w14:paraId="75E47418" w14:textId="77777777">
        <w:tc>
          <w:tcPr>
            <w:tcW w:w="3240" w:type="dxa"/>
          </w:tcPr>
          <w:p w14:paraId="08CC4FC6" w14:textId="77777777" w:rsidR="002A21AE" w:rsidRDefault="002A21AE">
            <w:pPr>
              <w:pStyle w:val="TableTextNumbers"/>
            </w:pPr>
            <w:r>
              <w:lastRenderedPageBreak/>
              <w:t xml:space="preserve">Click </w:t>
            </w:r>
            <w:r>
              <w:rPr>
                <w:b/>
              </w:rPr>
              <w:t xml:space="preserve">OK </w:t>
            </w:r>
            <w:r>
              <w:t xml:space="preserve">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211D236B" w14:textId="77777777" w:rsidR="002A21AE" w:rsidRDefault="002A21AE">
            <w:pPr>
              <w:pStyle w:val="NotesText"/>
            </w:pPr>
          </w:p>
        </w:tc>
      </w:tr>
    </w:tbl>
    <w:p w14:paraId="5846ADB6" w14:textId="69574B67" w:rsidR="004C67AB" w:rsidRDefault="004C67AB" w:rsidP="004C67AB">
      <w:pPr>
        <w:pStyle w:val="Caption"/>
      </w:pPr>
      <w:bookmarkStart w:id="437" w:name="_Ref127159551"/>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113</w:t>
      </w:r>
      <w:r w:rsidR="004E20BD">
        <w:rPr>
          <w:noProof/>
        </w:rPr>
        <w:fldChar w:fldCharType="end"/>
      </w:r>
      <w:bookmarkEnd w:id="437"/>
      <w:r>
        <w:t>: Invalidate Patient Test Results</w:t>
      </w:r>
    </w:p>
    <w:p w14:paraId="2A82F5A9" w14:textId="77777777" w:rsidR="004C67AB" w:rsidRDefault="00057948" w:rsidP="004C67AB">
      <w:pPr>
        <w:pStyle w:val="BodyText"/>
      </w:pPr>
      <w:r>
        <w:rPr>
          <w:noProof/>
        </w:rPr>
        <w:drawing>
          <wp:inline distT="0" distB="0" distL="0" distR="0" wp14:anchorId="1891CACF" wp14:editId="0D20BC4C">
            <wp:extent cx="5948045" cy="3537585"/>
            <wp:effectExtent l="0" t="0" r="0" b="5715"/>
            <wp:docPr id="202" name="Picture 202" descr="P6616#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P6616#yIS1">
                      <a:extLst>
                        <a:ext uri="{C183D7F6-B498-43B3-948B-1728B52AA6E4}">
                          <adec:decorative xmlns:adec="http://schemas.microsoft.com/office/drawing/2017/decorative" val="1"/>
                        </a:ext>
                      </a:extLst>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948045" cy="3537585"/>
                    </a:xfrm>
                    <a:prstGeom prst="rect">
                      <a:avLst/>
                    </a:prstGeom>
                    <a:noFill/>
                    <a:ln>
                      <a:noFill/>
                    </a:ln>
                  </pic:spPr>
                </pic:pic>
              </a:graphicData>
            </a:graphic>
          </wp:inline>
        </w:drawing>
      </w:r>
    </w:p>
    <w:p w14:paraId="7D17265D" w14:textId="77777777" w:rsidR="004C67AB" w:rsidRPr="004C67AB" w:rsidRDefault="004C67AB" w:rsidP="002D153F">
      <w:pPr>
        <w:pStyle w:val="BodyText"/>
      </w:pPr>
    </w:p>
    <w:p w14:paraId="7C27B30B" w14:textId="6CCAEB44" w:rsidR="004C67AB" w:rsidRDefault="004C67AB" w:rsidP="004C67AB">
      <w:pPr>
        <w:pStyle w:val="Caption"/>
      </w:pPr>
      <w:bookmarkStart w:id="438" w:name="_Ref127159868"/>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114</w:t>
      </w:r>
      <w:r w:rsidR="004E20BD">
        <w:rPr>
          <w:noProof/>
        </w:rPr>
        <w:fldChar w:fldCharType="end"/>
      </w:r>
      <w:bookmarkEnd w:id="438"/>
      <w:r>
        <w:t>: Confirm Invalidation</w:t>
      </w:r>
    </w:p>
    <w:p w14:paraId="1A0CB78B" w14:textId="77777777" w:rsidR="004C67AB" w:rsidRDefault="00057948" w:rsidP="004C67AB">
      <w:pPr>
        <w:pStyle w:val="BodyText"/>
      </w:pPr>
      <w:r>
        <w:rPr>
          <w:noProof/>
        </w:rPr>
        <w:drawing>
          <wp:inline distT="0" distB="0" distL="0" distR="0" wp14:anchorId="1BDDBA68" wp14:editId="3BE46A81">
            <wp:extent cx="5939155" cy="3759200"/>
            <wp:effectExtent l="0" t="0" r="4445" b="0"/>
            <wp:docPr id="203" name="Picture 203" descr="P6619#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P6619#yIS1">
                      <a:extLst>
                        <a:ext uri="{C183D7F6-B498-43B3-948B-1728B52AA6E4}">
                          <adec:decorative xmlns:adec="http://schemas.microsoft.com/office/drawing/2017/decorative" val="1"/>
                        </a:ext>
                      </a:extLst>
                    </pic:cNvP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939155" cy="3759200"/>
                    </a:xfrm>
                    <a:prstGeom prst="rect">
                      <a:avLst/>
                    </a:prstGeom>
                    <a:noFill/>
                    <a:ln>
                      <a:noFill/>
                    </a:ln>
                  </pic:spPr>
                </pic:pic>
              </a:graphicData>
            </a:graphic>
          </wp:inline>
        </w:drawing>
      </w:r>
    </w:p>
    <w:p w14:paraId="74E9FD6D" w14:textId="77777777" w:rsidR="002A21AE" w:rsidRDefault="002A21AE" w:rsidP="004C67AB">
      <w:pPr>
        <w:pStyle w:val="Heading2"/>
      </w:pPr>
      <w:r>
        <w:br w:type="page"/>
      </w:r>
      <w:bookmarkStart w:id="439" w:name="_Toc4588798"/>
      <w:r>
        <w:lastRenderedPageBreak/>
        <w:t>Remove Final Status</w:t>
      </w:r>
      <w:bookmarkEnd w:id="439"/>
      <w:r w:rsidRPr="007B1B11">
        <w:rPr>
          <w:rFonts w:ascii="Arial Bold" w:hAnsi="Arial Bold"/>
          <w:vanish/>
        </w:rPr>
        <w:fldChar w:fldCharType="begin"/>
      </w:r>
      <w:r w:rsidRPr="007B1B11">
        <w:rPr>
          <w:rFonts w:ascii="Arial Bold" w:hAnsi="Arial Bold"/>
          <w:vanish/>
        </w:rPr>
        <w:instrText xml:space="preserve"> XE </w:instrText>
      </w:r>
      <w:r w:rsidR="00FA7E65" w:rsidRPr="007B1B11">
        <w:rPr>
          <w:rFonts w:ascii="Arial Bold" w:hAnsi="Arial Bold"/>
          <w:vanish/>
        </w:rPr>
        <w:instrText>“</w:instrText>
      </w:r>
      <w:r w:rsidRPr="007B1B11">
        <w:rPr>
          <w:rFonts w:ascii="Arial Bold" w:hAnsi="Arial Bold"/>
          <w:vanish/>
        </w:rPr>
        <w:instrText>Remove Final Status</w:instrText>
      </w:r>
      <w:r w:rsidR="00FA7E65" w:rsidRPr="007B1B11">
        <w:rPr>
          <w:rFonts w:ascii="Arial Bold" w:hAnsi="Arial Bold"/>
          <w:vanish/>
        </w:rPr>
        <w:instrText>”</w:instrText>
      </w:r>
      <w:r w:rsidRPr="007B1B11">
        <w:rPr>
          <w:rFonts w:ascii="Arial Bold" w:hAnsi="Arial Bold"/>
          <w:vanish/>
        </w:rPr>
        <w:instrText xml:space="preserve"> </w:instrText>
      </w:r>
      <w:r w:rsidRPr="007B1B11">
        <w:rPr>
          <w:rFonts w:ascii="Arial Bold" w:hAnsi="Arial Bold"/>
          <w:vanish/>
        </w:rPr>
        <w:fldChar w:fldCharType="end"/>
      </w:r>
      <w:r w:rsidRPr="007B1B11">
        <w:rPr>
          <w:rFonts w:ascii="Arial Bold" w:hAnsi="Arial Bold"/>
          <w:vanish/>
        </w:rPr>
        <w:t xml:space="preserve"> UC_13</w:t>
      </w:r>
    </w:p>
    <w:p w14:paraId="4FAC25B3" w14:textId="77777777" w:rsidR="002A21AE" w:rsidRDefault="002A21AE" w:rsidP="00FA7E65">
      <w:pPr>
        <w:pStyle w:val="BodyText"/>
      </w:pPr>
      <w:r>
        <w:t xml:space="preserve">The user removes a final status from a unit. All other statuses are manipulated through normal system rules and practices. </w:t>
      </w:r>
    </w:p>
    <w:p w14:paraId="1A2F1B79" w14:textId="77777777" w:rsidR="002A21AE" w:rsidRDefault="002A21AE">
      <w:pPr>
        <w:pStyle w:val="Heading4"/>
      </w:pPr>
      <w:r>
        <w:t>Assumptions</w:t>
      </w:r>
      <w:r>
        <w:rPr>
          <w:b w:val="0"/>
        </w:rPr>
        <w:t xml:space="preserve"> </w:t>
      </w:r>
    </w:p>
    <w:p w14:paraId="1C3DA376" w14:textId="77777777" w:rsidR="002A21AE" w:rsidRDefault="002A21AE">
      <w:pPr>
        <w:pStyle w:val="ListBullet"/>
      </w:pPr>
      <w:r>
        <w:t>The user is logged into the division containing the unit record.</w:t>
      </w:r>
    </w:p>
    <w:p w14:paraId="03B4A9AE" w14:textId="77777777" w:rsidR="002A21AE" w:rsidRDefault="002A21AE">
      <w:pPr>
        <w:pStyle w:val="ListBullet"/>
      </w:pPr>
      <w:r>
        <w:t>The unit is in a final (transfused, transferred, modified, discarded) status.</w:t>
      </w:r>
    </w:p>
    <w:p w14:paraId="44DE3A73" w14:textId="77777777" w:rsidR="002A21AE" w:rsidRDefault="002A21AE">
      <w:pPr>
        <w:pStyle w:val="ListBullet"/>
      </w:pPr>
      <w:r>
        <w:t xml:space="preserve">The user must invalidate the modification status of the split </w:t>
      </w:r>
      <w:r w:rsidR="0071792D">
        <w:t xml:space="preserve">or pooled </w:t>
      </w:r>
      <w:r>
        <w:t xml:space="preserve">units, and then the original unit or pool. </w:t>
      </w:r>
    </w:p>
    <w:p w14:paraId="1C751722" w14:textId="77777777" w:rsidR="002A21AE" w:rsidRDefault="002A21AE">
      <w:pPr>
        <w:pStyle w:val="Heading4"/>
      </w:pPr>
      <w:r>
        <w:t>Outcome</w:t>
      </w:r>
    </w:p>
    <w:p w14:paraId="53054685" w14:textId="77777777" w:rsidR="002A21AE" w:rsidRDefault="002A21AE">
      <w:pPr>
        <w:pStyle w:val="ListBullet"/>
      </w:pPr>
      <w:r>
        <w:t xml:space="preserve">The new information was saved with the unit’s </w:t>
      </w:r>
      <w:r w:rsidR="0051757B">
        <w:t>historic</w:t>
      </w:r>
      <w:r>
        <w:t xml:space="preserve"> record.</w:t>
      </w:r>
    </w:p>
    <w:p w14:paraId="0C6F4DFC" w14:textId="77777777" w:rsidR="002A21AE" w:rsidRDefault="002A21AE">
      <w:pPr>
        <w:pStyle w:val="ListBullet"/>
      </w:pPr>
      <w:r>
        <w:t xml:space="preserve">The unit is in the status immediately prior to the final status. </w:t>
      </w:r>
    </w:p>
    <w:p w14:paraId="250F8514" w14:textId="77777777" w:rsidR="002A21AE" w:rsidRDefault="002A21AE">
      <w:pPr>
        <w:pStyle w:val="Heading4"/>
      </w:pPr>
      <w:r>
        <w:t>Limitations and Restrictions</w:t>
      </w:r>
      <w:r>
        <w:rPr>
          <w:b w:val="0"/>
        </w:rPr>
        <w:t xml:space="preserve"> </w:t>
      </w:r>
    </w:p>
    <w:p w14:paraId="5F712382" w14:textId="77777777" w:rsidR="002A21AE" w:rsidRDefault="002A21AE">
      <w:pPr>
        <w:pStyle w:val="ListBullet"/>
      </w:pPr>
      <w:r>
        <w:t>This option applies only to the release of units in final statuses.</w:t>
      </w:r>
    </w:p>
    <w:p w14:paraId="126C2ADD" w14:textId="77777777" w:rsidR="002A21AE" w:rsidRDefault="002A21AE">
      <w:pPr>
        <w:pStyle w:val="Heading4"/>
      </w:pPr>
      <w:r>
        <w:t>Additional Information</w:t>
      </w:r>
      <w:r>
        <w:rPr>
          <w:rFonts w:ascii="Times New Roman" w:hAnsi="Times New Roman"/>
          <w:i/>
          <w:sz w:val="24"/>
        </w:rPr>
        <w:t xml:space="preserve"> </w:t>
      </w:r>
    </w:p>
    <w:p w14:paraId="5AB524B2" w14:textId="77777777" w:rsidR="002A21AE" w:rsidRDefault="002A21AE">
      <w:pPr>
        <w:pStyle w:val="ListBullet"/>
      </w:pPr>
      <w:r>
        <w:t>This option allows a user to restore a unit to inventory from a final status. It may be used to begin undoing a transfusion episode (step by step in reverse order) or correct a unit modification record.</w:t>
      </w:r>
    </w:p>
    <w:p w14:paraId="724D9448" w14:textId="77777777" w:rsidR="002A21AE" w:rsidRDefault="002A21AE">
      <w:pPr>
        <w:pStyle w:val="ListBullet"/>
      </w:pPr>
      <w:r>
        <w:t>“Issued” is not a final unit status.</w:t>
      </w:r>
    </w:p>
    <w:p w14:paraId="253E8345" w14:textId="77777777" w:rsidR="002A21AE" w:rsidRDefault="002A21AE">
      <w:pPr>
        <w:pStyle w:val="ListBullet"/>
      </w:pPr>
      <w:r>
        <w:t xml:space="preserve">This option is not used to add units to or remove them from a pool. </w:t>
      </w:r>
    </w:p>
    <w:p w14:paraId="6A3EC44E" w14:textId="77777777" w:rsidR="002A21AE" w:rsidRDefault="002A21AE">
      <w:pPr>
        <w:pStyle w:val="Heading4"/>
        <w:rPr>
          <w:b w:val="0"/>
        </w:rPr>
      </w:pPr>
      <w:r>
        <w:t>User Roles with Access to This Option</w:t>
      </w:r>
      <w:r>
        <w:rPr>
          <w:b w:val="0"/>
        </w:rPr>
        <w:t xml:space="preserve"> </w:t>
      </w:r>
    </w:p>
    <w:p w14:paraId="04FDE72A" w14:textId="77777777" w:rsidR="002A21AE" w:rsidRDefault="002A21AE" w:rsidP="00EE665E">
      <w:pPr>
        <w:pStyle w:val="BodyText"/>
      </w:pPr>
      <w:r w:rsidRPr="000F12D4">
        <w:rPr>
          <w:rStyle w:val="RolesChar1"/>
          <w:rFonts w:ascii="Wingdings 3" w:hAnsi="Wingdings 3"/>
        </w:rPr>
        <w:t></w:t>
      </w:r>
      <w:r w:rsidRPr="000F12D4">
        <w:rPr>
          <w:rStyle w:val="RolesChar1"/>
          <w:rFonts w:ascii="Wingdings 3" w:hAnsi="Wingdings 3"/>
        </w:rPr>
        <w:t></w:t>
      </w:r>
      <w:r w:rsidRPr="000F12D4">
        <w:rPr>
          <w:rStyle w:val="RolesChar1"/>
          <w:rFonts w:ascii="Wingdings 3" w:hAnsi="Wingdings 3"/>
        </w:rPr>
        <w:t></w:t>
      </w:r>
      <w:r w:rsidRPr="000F12D4">
        <w:rPr>
          <w:rStyle w:val="RolesChar1"/>
          <w:rFonts w:ascii="Wingdings 3" w:hAnsi="Wingdings 3"/>
        </w:rPr>
        <w:t></w:t>
      </w:r>
      <w:r>
        <w:t xml:space="preserve"> </w:t>
      </w:r>
      <w:r w:rsidRPr="00EE665E">
        <w:t>Traditional Supervisor</w:t>
      </w:r>
      <w:r>
        <w:t xml:space="preserve"> </w:t>
      </w:r>
    </w:p>
    <w:p w14:paraId="1B99EF48" w14:textId="77777777" w:rsidR="002A21AE" w:rsidRDefault="002A21AE">
      <w:pPr>
        <w:pStyle w:val="Heading4"/>
      </w:pPr>
      <w:r>
        <w:t>Remove Final Status</w:t>
      </w:r>
    </w:p>
    <w:p w14:paraId="7B7D5965" w14:textId="77777777" w:rsidR="00B25F6C" w:rsidRDefault="002A21AE" w:rsidP="00FA7E65">
      <w:pPr>
        <w:pStyle w:val="BodyText"/>
      </w:pPr>
      <w:r>
        <w:t>The user corrects a clerical error: a unit was processed and moved to a final status in the computer incorrectly.</w:t>
      </w:r>
    </w:p>
    <w:p w14:paraId="12DB7965" w14:textId="77777777" w:rsidR="00B25F6C" w:rsidRPr="00D93651" w:rsidRDefault="002A21AE" w:rsidP="00B25F6C">
      <w:pPr>
        <w:pStyle w:val="Caution"/>
        <w:ind w:right="180"/>
      </w:pPr>
      <w:r>
        <w:t xml:space="preserve"> </w:t>
      </w:r>
      <w:r w:rsidR="00057948">
        <w:rPr>
          <w:noProof/>
        </w:rPr>
        <w:drawing>
          <wp:inline distT="0" distB="0" distL="0" distR="0" wp14:anchorId="042B7BA8" wp14:editId="44D6A7DC">
            <wp:extent cx="267970" cy="221615"/>
            <wp:effectExtent l="0" t="0" r="0" b="6985"/>
            <wp:docPr id="204" name="Picture 204" descr="P6639#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P6639#yIS1">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B25F6C">
        <w:t>Removing final status of a unit reported as transfused by the Transfusion Verification application will create a discrepancy between the systems. Changes or updates to a transfusion record must be made in the Transfusion Verification application first.</w:t>
      </w:r>
      <w:r w:rsidR="00B25F6C">
        <w:rPr>
          <w:vanish/>
        </w:rPr>
        <w:t xml:space="preserve"> DR 4134</w:t>
      </w:r>
      <w:r w:rsidR="00B25F6C">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81D2904" w14:textId="77777777">
        <w:trPr>
          <w:cantSplit/>
          <w:tblHeader/>
        </w:trPr>
        <w:tc>
          <w:tcPr>
            <w:tcW w:w="3240" w:type="dxa"/>
            <w:shd w:val="pct30" w:color="auto" w:fill="FFFFFF"/>
            <w:vAlign w:val="bottom"/>
          </w:tcPr>
          <w:p w14:paraId="08CCDB5B" w14:textId="77777777" w:rsidR="002A21AE" w:rsidRDefault="002A21AE">
            <w:pPr>
              <w:pStyle w:val="TableText"/>
              <w:rPr>
                <w:b/>
              </w:rPr>
            </w:pPr>
            <w:r>
              <w:rPr>
                <w:b/>
              </w:rPr>
              <w:t>User Action</w:t>
            </w:r>
          </w:p>
        </w:tc>
        <w:tc>
          <w:tcPr>
            <w:tcW w:w="6120" w:type="dxa"/>
            <w:shd w:val="pct30" w:color="auto" w:fill="FFFFFF"/>
            <w:vAlign w:val="bottom"/>
          </w:tcPr>
          <w:p w14:paraId="3607E65C" w14:textId="77777777" w:rsidR="002A21AE" w:rsidRDefault="002A21AE">
            <w:pPr>
              <w:pStyle w:val="TableText"/>
              <w:rPr>
                <w:b/>
              </w:rPr>
            </w:pPr>
            <w:r>
              <w:rPr>
                <w:b/>
              </w:rPr>
              <w:t>VBECS</w:t>
            </w:r>
          </w:p>
        </w:tc>
      </w:tr>
      <w:tr w:rsidR="002A21AE" w14:paraId="2797C24D" w14:textId="77777777">
        <w:tc>
          <w:tcPr>
            <w:tcW w:w="3240" w:type="dxa"/>
          </w:tcPr>
          <w:p w14:paraId="41BB773D" w14:textId="77777777" w:rsidR="002A21AE" w:rsidRDefault="002A21AE">
            <w:pPr>
              <w:pStyle w:val="TableTextNumbers"/>
            </w:pPr>
            <w:r>
              <w:t xml:space="preserve">Select </w:t>
            </w:r>
            <w:r>
              <w:rPr>
                <w:b/>
              </w:rPr>
              <w:t>Supervisor</w:t>
            </w:r>
            <w:r>
              <w:t xml:space="preserve"> from the main menu. </w:t>
            </w:r>
          </w:p>
          <w:p w14:paraId="4FDA3181" w14:textId="77777777" w:rsidR="002A21AE" w:rsidRDefault="002A21AE">
            <w:pPr>
              <w:pStyle w:val="TableTextNumbersContinued"/>
            </w:pPr>
          </w:p>
          <w:p w14:paraId="00AA139C" w14:textId="77777777" w:rsidR="002A21AE" w:rsidRDefault="002A21AE">
            <w:pPr>
              <w:pStyle w:val="TableTextNumbersContinued"/>
            </w:pPr>
            <w:r>
              <w:t xml:space="preserve">Select </w:t>
            </w:r>
            <w:r>
              <w:rPr>
                <w:b/>
              </w:rPr>
              <w:t>Remove Final Status</w:t>
            </w:r>
            <w:r>
              <w:t>.</w:t>
            </w:r>
          </w:p>
        </w:tc>
        <w:tc>
          <w:tcPr>
            <w:tcW w:w="6120" w:type="dxa"/>
          </w:tcPr>
          <w:p w14:paraId="17BEF0CF" w14:textId="77777777" w:rsidR="002A21AE" w:rsidRDefault="002A21AE">
            <w:pPr>
              <w:pStyle w:val="TableTextBullet"/>
            </w:pPr>
            <w:r>
              <w:t>Displays options available to supervisors</w:t>
            </w:r>
            <w:r w:rsidR="00922AD8">
              <w:t>.</w:t>
            </w:r>
          </w:p>
          <w:p w14:paraId="13290454" w14:textId="77777777" w:rsidR="002A21AE" w:rsidRDefault="002A21AE">
            <w:pPr>
              <w:pStyle w:val="TableTextBullet"/>
            </w:pPr>
            <w:r>
              <w:t>Displays fields for selecting a unit and removing its final status.</w:t>
            </w:r>
          </w:p>
        </w:tc>
      </w:tr>
      <w:tr w:rsidR="002A21AE" w14:paraId="0F9E0FD2" w14:textId="77777777" w:rsidTr="00774B1B">
        <w:trPr>
          <w:cantSplit/>
          <w:tblHeader/>
        </w:trPr>
        <w:tc>
          <w:tcPr>
            <w:tcW w:w="3240" w:type="dxa"/>
          </w:tcPr>
          <w:p w14:paraId="0405D383" w14:textId="77777777" w:rsidR="002A21AE" w:rsidRDefault="002A21AE">
            <w:pPr>
              <w:pStyle w:val="TableTextNumbers"/>
            </w:pPr>
            <w:r>
              <w:lastRenderedPageBreak/>
              <w:t xml:space="preserve">Scan or enter a unit ID or product code, or click the </w:t>
            </w:r>
            <w:r w:rsidR="00A6373D">
              <w:rPr>
                <w:b/>
              </w:rPr>
              <w:t>find</w:t>
            </w:r>
            <w:r>
              <w:rPr>
                <w:b/>
              </w:rPr>
              <w:t xml:space="preserve"> </w:t>
            </w:r>
            <w:r w:rsidRPr="00D1100E">
              <w:t>button</w:t>
            </w:r>
            <w:r>
              <w:t xml:space="preserve"> to select a unit from the drop-down list.</w:t>
            </w:r>
          </w:p>
        </w:tc>
        <w:tc>
          <w:tcPr>
            <w:tcW w:w="6120" w:type="dxa"/>
          </w:tcPr>
          <w:p w14:paraId="6E900804" w14:textId="77777777" w:rsidR="002A21AE" w:rsidRDefault="002A21AE">
            <w:pPr>
              <w:pStyle w:val="TableTextBullet"/>
            </w:pPr>
            <w:r>
              <w:t>Displays unit data,</w:t>
            </w:r>
            <w:r>
              <w:rPr>
                <w:rFonts w:cs="Arial"/>
              </w:rPr>
              <w:t xml:space="preserve"> including the previous and current unit statuses.</w:t>
            </w:r>
          </w:p>
          <w:p w14:paraId="26906539" w14:textId="77777777" w:rsidR="002A21AE" w:rsidRDefault="00123ED4">
            <w:pPr>
              <w:pStyle w:val="TableTextBullet"/>
            </w:pPr>
            <w:r w:rsidRPr="00123ED4">
              <w:rPr>
                <w:vanish/>
                <w:szCs w:val="18"/>
              </w:rPr>
              <w:t>BR_13.01</w:t>
            </w:r>
            <w:r w:rsidR="008F079B">
              <w:rPr>
                <w:vanish/>
                <w:szCs w:val="18"/>
              </w:rPr>
              <w:t xml:space="preserve"> </w:t>
            </w:r>
            <w:r w:rsidR="002A21AE">
              <w:t>Warns the user to proceed with caution.</w:t>
            </w:r>
          </w:p>
          <w:p w14:paraId="0C87FCD3" w14:textId="77777777" w:rsidR="002A21AE" w:rsidRDefault="002A21AE">
            <w:pPr>
              <w:pStyle w:val="TableText"/>
            </w:pPr>
          </w:p>
          <w:p w14:paraId="57FAD835" w14:textId="77777777" w:rsidR="002A21AE" w:rsidRDefault="00057948">
            <w:pPr>
              <w:pStyle w:val="TableText"/>
              <w:rPr>
                <w:b/>
                <w:bCs/>
                <w:szCs w:val="18"/>
              </w:rPr>
            </w:pPr>
            <w:r>
              <w:rPr>
                <w:b/>
                <w:bCs/>
                <w:noProof/>
              </w:rPr>
              <mc:AlternateContent>
                <mc:Choice Requires="wps">
                  <w:drawing>
                    <wp:anchor distT="0" distB="0" distL="114300" distR="114300" simplePos="0" relativeHeight="251516416" behindDoc="0" locked="0" layoutInCell="1" allowOverlap="1" wp14:anchorId="3BB6642B" wp14:editId="79F28A52">
                      <wp:simplePos x="0" y="0"/>
                      <wp:positionH relativeFrom="column">
                        <wp:posOffset>457200</wp:posOffset>
                      </wp:positionH>
                      <wp:positionV relativeFrom="paragraph">
                        <wp:posOffset>65405</wp:posOffset>
                      </wp:positionV>
                      <wp:extent cx="3200400" cy="0"/>
                      <wp:effectExtent l="9525" t="17780" r="9525" b="10795"/>
                      <wp:wrapNone/>
                      <wp:docPr id="417" name="Line 818" descr="P6653C6T6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18B64" id="Line 818" o:spid="_x0000_s1026" alt="&quot;&quot;" style="position:absolute;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QdW+n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4D4553E0" w14:textId="77777777" w:rsidR="002A21AE" w:rsidRDefault="002A21AE">
            <w:pPr>
              <w:pStyle w:val="NotesText"/>
            </w:pPr>
          </w:p>
          <w:p w14:paraId="77AFA46B" w14:textId="77777777" w:rsidR="002A21AE" w:rsidRDefault="002A21AE">
            <w:pPr>
              <w:pStyle w:val="NotesText"/>
              <w:rPr>
                <w:rFonts w:cs="Arial"/>
              </w:rPr>
            </w:pPr>
            <w:r>
              <w:rPr>
                <w:rFonts w:cs="Arial"/>
                <w:vanish/>
              </w:rPr>
              <w:t xml:space="preserve">BR_13.04 </w:t>
            </w:r>
            <w:r>
              <w:t>VBECS warns the user</w:t>
            </w:r>
            <w:r>
              <w:rPr>
                <w:rFonts w:cs="Arial"/>
              </w:rPr>
              <w:t xml:space="preserve"> when the unit does not have a final status</w:t>
            </w:r>
            <w:r w:rsidR="002E2AAE">
              <w:rPr>
                <w:rFonts w:cs="Arial"/>
              </w:rPr>
              <w:t xml:space="preserve"> or was not modified</w:t>
            </w:r>
            <w:r w:rsidR="00295AB3">
              <w:rPr>
                <w:rFonts w:cs="Arial"/>
              </w:rPr>
              <w:t xml:space="preserve"> (other than pool, thaw/pool, and split)</w:t>
            </w:r>
            <w:r>
              <w:t>. The user may select another unit.</w:t>
            </w:r>
          </w:p>
          <w:p w14:paraId="28439A3A" w14:textId="77777777" w:rsidR="002A21AE" w:rsidRDefault="002A21AE">
            <w:pPr>
              <w:pStyle w:val="NotesText"/>
              <w:rPr>
                <w:rFonts w:cs="Arial"/>
              </w:rPr>
            </w:pPr>
          </w:p>
          <w:p w14:paraId="44807890" w14:textId="77777777" w:rsidR="002A21AE" w:rsidRDefault="002A21AE">
            <w:pPr>
              <w:pStyle w:val="NotesText"/>
            </w:pPr>
            <w:r>
              <w:rPr>
                <w:rFonts w:cs="Arial"/>
                <w:vanish/>
              </w:rPr>
              <w:t xml:space="preserve">BR_13.05 </w:t>
            </w:r>
            <w:r>
              <w:t>When the final status is “modified” (</w:t>
            </w:r>
            <w:r w:rsidR="00690E42">
              <w:rPr>
                <w:rFonts w:cs="Arial"/>
              </w:rPr>
              <w:t>pooled, thaw/pooled, or split</w:t>
            </w:r>
            <w:r>
              <w:t>), VBECS verifies that the target unit is invalidated. When the target unit was not invalidated, the user may not continue.</w:t>
            </w:r>
          </w:p>
        </w:tc>
      </w:tr>
      <w:tr w:rsidR="002A21AE" w14:paraId="11A72B07" w14:textId="77777777">
        <w:trPr>
          <w:cantSplit/>
        </w:trPr>
        <w:tc>
          <w:tcPr>
            <w:tcW w:w="3240" w:type="dxa"/>
          </w:tcPr>
          <w:p w14:paraId="3DD1A728" w14:textId="77777777" w:rsidR="002A21AE" w:rsidRDefault="002A21AE">
            <w:pPr>
              <w:pStyle w:val="TableTextNumbers"/>
            </w:pPr>
            <w:r>
              <w:t>Verify that the unit selected is the desired unit.</w:t>
            </w:r>
          </w:p>
          <w:p w14:paraId="2F068864" w14:textId="77777777" w:rsidR="000B79B3" w:rsidRDefault="000B79B3" w:rsidP="000B79B3">
            <w:pPr>
              <w:pStyle w:val="TableTextNumbersContinued"/>
            </w:pPr>
          </w:p>
          <w:p w14:paraId="28AB3C85" w14:textId="77777777" w:rsidR="000B79B3" w:rsidRDefault="000B79B3" w:rsidP="000B79B3">
            <w:pPr>
              <w:pStyle w:val="TableTextNumbersContinued"/>
            </w:pPr>
            <w:r>
              <w:t xml:space="preserve">Click </w:t>
            </w:r>
            <w:r w:rsidRPr="000B79B3">
              <w:rPr>
                <w:b/>
              </w:rPr>
              <w:t>OK</w:t>
            </w:r>
            <w:r>
              <w:t>.</w:t>
            </w:r>
          </w:p>
          <w:p w14:paraId="4C3D8C23" w14:textId="77777777" w:rsidR="002A21AE" w:rsidRDefault="002A21AE" w:rsidP="000B79B3">
            <w:pPr>
              <w:pStyle w:val="TableTextNumbersContinued"/>
            </w:pPr>
          </w:p>
          <w:p w14:paraId="7036020A" w14:textId="31CA4FF1" w:rsidR="002A21AE" w:rsidRDefault="002A21AE">
            <w:pPr>
              <w:pStyle w:val="TableTextNumbersContinued"/>
            </w:pPr>
            <w:r>
              <w:t>Enter a comment</w:t>
            </w:r>
            <w:r w:rsidR="007F4644">
              <w:t xml:space="preserve"> (</w:t>
            </w:r>
            <w:r w:rsidR="007F4644">
              <w:fldChar w:fldCharType="begin" w:fldLock="1"/>
            </w:r>
            <w:r w:rsidR="007F4644">
              <w:instrText xml:space="preserve"> REF _Ref128468634 \h </w:instrText>
            </w:r>
            <w:r w:rsidR="007F4644">
              <w:fldChar w:fldCharType="separate"/>
            </w:r>
            <w:r w:rsidR="00AB304C">
              <w:t xml:space="preserve">Figure </w:t>
            </w:r>
            <w:r w:rsidR="00AB304C">
              <w:rPr>
                <w:noProof/>
              </w:rPr>
              <w:t>115</w:t>
            </w:r>
            <w:r w:rsidR="007F4644">
              <w:fldChar w:fldCharType="end"/>
            </w:r>
            <w:r w:rsidR="007F4644">
              <w:t>)</w:t>
            </w:r>
            <w:r>
              <w:t>.</w:t>
            </w:r>
          </w:p>
        </w:tc>
        <w:tc>
          <w:tcPr>
            <w:tcW w:w="6120" w:type="dxa"/>
          </w:tcPr>
          <w:p w14:paraId="62F925FA" w14:textId="77777777" w:rsidR="002A21AE" w:rsidRDefault="002A21AE">
            <w:pPr>
              <w:pStyle w:val="TableTextBullet"/>
            </w:pPr>
            <w:r>
              <w:t>Asks the user if he would like to remove the final status.</w:t>
            </w:r>
          </w:p>
          <w:p w14:paraId="0B32DAD7" w14:textId="77777777" w:rsidR="002A21AE" w:rsidRDefault="002A21AE">
            <w:pPr>
              <w:pStyle w:val="TableTextBullet"/>
            </w:pPr>
            <w:r>
              <w:rPr>
                <w:rFonts w:cs="Arial"/>
                <w:vanish/>
              </w:rPr>
              <w:t xml:space="preserve">BR_13.02 </w:t>
            </w:r>
            <w:r>
              <w:t>Requires the user to enter an explanatory comment.</w:t>
            </w:r>
          </w:p>
          <w:p w14:paraId="3902169D" w14:textId="77777777" w:rsidR="002A21AE" w:rsidRDefault="002A21AE">
            <w:pPr>
              <w:pStyle w:val="TableText"/>
            </w:pPr>
          </w:p>
          <w:p w14:paraId="202A5AD5" w14:textId="77777777" w:rsidR="002A21AE" w:rsidRDefault="00057948">
            <w:pPr>
              <w:pStyle w:val="TableText"/>
              <w:rPr>
                <w:b/>
                <w:bCs/>
                <w:szCs w:val="18"/>
              </w:rPr>
            </w:pPr>
            <w:r>
              <w:rPr>
                <w:b/>
                <w:bCs/>
                <w:noProof/>
              </w:rPr>
              <mc:AlternateContent>
                <mc:Choice Requires="wps">
                  <w:drawing>
                    <wp:anchor distT="0" distB="0" distL="114300" distR="114300" simplePos="0" relativeHeight="251263488" behindDoc="0" locked="0" layoutInCell="1" allowOverlap="1" wp14:anchorId="719C4272" wp14:editId="68B15F1A">
                      <wp:simplePos x="0" y="0"/>
                      <wp:positionH relativeFrom="column">
                        <wp:posOffset>457200</wp:posOffset>
                      </wp:positionH>
                      <wp:positionV relativeFrom="paragraph">
                        <wp:posOffset>65405</wp:posOffset>
                      </wp:positionV>
                      <wp:extent cx="3200400" cy="0"/>
                      <wp:effectExtent l="9525" t="17780" r="9525" b="10795"/>
                      <wp:wrapNone/>
                      <wp:docPr id="416" name="Line 431" descr="P6667C8T6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76174" id="Line 431" o:spid="_x0000_s1026" alt="&quot;&quot;" style="position:absolute;z-index:2512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NAZIa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13EB5009" w14:textId="77777777" w:rsidR="002A21AE" w:rsidRDefault="002A21AE">
            <w:pPr>
              <w:pStyle w:val="NotesText"/>
            </w:pPr>
          </w:p>
          <w:p w14:paraId="456A14A7" w14:textId="77777777" w:rsidR="002A21AE" w:rsidRDefault="002A21AE">
            <w:pPr>
              <w:pStyle w:val="NotesText"/>
              <w:rPr>
                <w:rFonts w:cs="Arial"/>
              </w:rPr>
            </w:pPr>
            <w:r>
              <w:rPr>
                <w:rFonts w:cs="Arial"/>
                <w:vanish/>
              </w:rPr>
              <w:t xml:space="preserve">BR_13.03 </w:t>
            </w:r>
            <w:r>
              <w:rPr>
                <w:color w:val="000000"/>
                <w:szCs w:val="18"/>
              </w:rPr>
              <w:t>VBECS updates the unit status to the previous status and maintains restrictions on the original unit.</w:t>
            </w:r>
          </w:p>
        </w:tc>
      </w:tr>
      <w:tr w:rsidR="002A21AE" w14:paraId="1F30D5AA" w14:textId="77777777">
        <w:trPr>
          <w:cantSplit/>
        </w:trPr>
        <w:tc>
          <w:tcPr>
            <w:tcW w:w="3240" w:type="dxa"/>
          </w:tcPr>
          <w:p w14:paraId="552A75A5" w14:textId="77777777" w:rsidR="002A21AE" w:rsidRDefault="007F4644" w:rsidP="007F4644">
            <w:pPr>
              <w:pStyle w:val="TableTextNumbers"/>
            </w:pPr>
            <w:r>
              <w:t xml:space="preserve">Review the data, click </w:t>
            </w:r>
            <w:r>
              <w:rPr>
                <w:b/>
              </w:rPr>
              <w:t xml:space="preserve">OK </w:t>
            </w:r>
            <w:r>
              <w:t xml:space="preserve">to save, and click </w:t>
            </w:r>
            <w:r>
              <w:rPr>
                <w:b/>
              </w:rPr>
              <w:t>OK</w:t>
            </w:r>
            <w:r>
              <w:t xml:space="preserve"> again to confirm the save.</w:t>
            </w:r>
            <w:r w:rsidR="00602AD7">
              <w:rPr>
                <w:vanish/>
                <w:color w:val="FFFFFF"/>
                <w:szCs w:val="18"/>
              </w:rPr>
              <w:t xml:space="preserve"> </w:t>
            </w:r>
            <w:r w:rsidR="00602AD7">
              <w:rPr>
                <w:vanish/>
                <w:color w:val="FFFFFF"/>
                <w:szCs w:val="18"/>
              </w:rPr>
              <w:fldChar w:fldCharType="begin"/>
            </w:r>
            <w:r w:rsidR="00602AD7">
              <w:rPr>
                <w:vanish/>
                <w:color w:val="FFFFFF"/>
                <w:szCs w:val="18"/>
              </w:rPr>
              <w:instrText xml:space="preserve"> LISTNUM \l 1 \s 0 </w:instrText>
            </w:r>
            <w:r w:rsidR="00602AD7">
              <w:rPr>
                <w:vanish/>
                <w:color w:val="FFFFFF"/>
                <w:szCs w:val="18"/>
              </w:rPr>
              <w:fldChar w:fldCharType="end"/>
            </w:r>
          </w:p>
        </w:tc>
        <w:tc>
          <w:tcPr>
            <w:tcW w:w="6120" w:type="dxa"/>
          </w:tcPr>
          <w:p w14:paraId="58F02D6E" w14:textId="77777777" w:rsidR="002A21AE" w:rsidRDefault="002A21AE">
            <w:pPr>
              <w:pStyle w:val="TableTextBullet"/>
            </w:pPr>
            <w:r>
              <w:t>Displays the unit data and asks the</w:t>
            </w:r>
            <w:r w:rsidR="008614C5">
              <w:t xml:space="preserve"> user to</w:t>
            </w:r>
            <w:r>
              <w:t xml:space="preserve"> verify the return to the previous status. </w:t>
            </w:r>
          </w:p>
          <w:p w14:paraId="110BC3C8" w14:textId="77777777" w:rsidR="002A21AE" w:rsidRDefault="002A21AE">
            <w:pPr>
              <w:pStyle w:val="TableTextBullet"/>
            </w:pPr>
            <w:r>
              <w:t>Allows the user to review his entries and choices and save the correction to the unit record or exit without saving.</w:t>
            </w:r>
          </w:p>
          <w:p w14:paraId="0B629BF0" w14:textId="77777777" w:rsidR="007F4644" w:rsidRDefault="007F4644" w:rsidP="007F4644">
            <w:pPr>
              <w:pStyle w:val="TableTextBullet"/>
            </w:pPr>
            <w:r>
              <w:t>Updates the unit record.</w:t>
            </w:r>
          </w:p>
          <w:p w14:paraId="6104F637" w14:textId="77777777" w:rsidR="007F4644" w:rsidRDefault="007F4644" w:rsidP="007F4644">
            <w:pPr>
              <w:pStyle w:val="TableText"/>
            </w:pPr>
          </w:p>
          <w:p w14:paraId="16668662" w14:textId="77777777" w:rsidR="007F4644" w:rsidRDefault="00057948" w:rsidP="007F4644">
            <w:pPr>
              <w:pStyle w:val="TableText"/>
              <w:rPr>
                <w:b/>
                <w:bCs/>
                <w:szCs w:val="18"/>
              </w:rPr>
            </w:pPr>
            <w:r>
              <w:rPr>
                <w:b/>
                <w:bCs/>
                <w:noProof/>
              </w:rPr>
              <mc:AlternateContent>
                <mc:Choice Requires="wps">
                  <w:drawing>
                    <wp:anchor distT="0" distB="0" distL="114300" distR="114300" simplePos="0" relativeHeight="251970048" behindDoc="0" locked="0" layoutInCell="1" allowOverlap="1" wp14:anchorId="38A8A898" wp14:editId="779A5743">
                      <wp:simplePos x="0" y="0"/>
                      <wp:positionH relativeFrom="column">
                        <wp:posOffset>457200</wp:posOffset>
                      </wp:positionH>
                      <wp:positionV relativeFrom="paragraph">
                        <wp:posOffset>65405</wp:posOffset>
                      </wp:positionV>
                      <wp:extent cx="3200400" cy="0"/>
                      <wp:effectExtent l="9525" t="17780" r="9525" b="10795"/>
                      <wp:wrapNone/>
                      <wp:docPr id="415" name="Line 1180" descr="P6676C10T6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75A5B" id="Line 1180" o:spid="_x0000_s1026" alt="&quot;&quot;" style="position:absolute;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D8lMInEAQAAbwMAAA4AAAAAAAAAAAAAAAAA&#10;LgIAAGRycy9lMm9Eb2MueG1sUEsBAi0AFAAGAAgAAAAhABdPMBLbAAAACAEAAA8AAAAAAAAAAAAA&#10;AAAAHgQAAGRycy9kb3ducmV2LnhtbFBLBQYAAAAABAAEAPMAAAAmBQAAAAA=&#10;" strokeweight="1.5pt"/>
                  </w:pict>
                </mc:Fallback>
              </mc:AlternateContent>
            </w:r>
            <w:r w:rsidR="007F4644">
              <w:rPr>
                <w:b/>
                <w:bCs/>
                <w:szCs w:val="18"/>
              </w:rPr>
              <w:t>NOTES</w:t>
            </w:r>
          </w:p>
          <w:p w14:paraId="763E0E60" w14:textId="77777777" w:rsidR="007F4644" w:rsidRDefault="007F4644" w:rsidP="007F4644">
            <w:pPr>
              <w:pStyle w:val="NotesText"/>
            </w:pPr>
          </w:p>
          <w:p w14:paraId="45BA8298" w14:textId="77777777" w:rsidR="007F4644" w:rsidRDefault="007F4644" w:rsidP="007F4644">
            <w:pPr>
              <w:pStyle w:val="NotesText"/>
            </w:pPr>
            <w:r>
              <w:rPr>
                <w:rFonts w:cs="Arial"/>
                <w:vanish/>
              </w:rPr>
              <w:t xml:space="preserve">BR_13.06 </w:t>
            </w:r>
            <w:r>
              <w:t>When VBECS removes a final status of “discard” or “transfer,” it also removes return credits previously assigned to the unit.</w:t>
            </w:r>
          </w:p>
        </w:tc>
      </w:tr>
    </w:tbl>
    <w:p w14:paraId="2F81A96F" w14:textId="5167E3F4" w:rsidR="00772DD7" w:rsidRDefault="00772DD7" w:rsidP="00772DD7">
      <w:pPr>
        <w:pStyle w:val="Caption"/>
      </w:pPr>
      <w:bookmarkStart w:id="440" w:name="_Ref128468634"/>
      <w:bookmarkStart w:id="441" w:name="_Ref128468600"/>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115</w:t>
      </w:r>
      <w:r w:rsidR="004E20BD">
        <w:rPr>
          <w:noProof/>
        </w:rPr>
        <w:fldChar w:fldCharType="end"/>
      </w:r>
      <w:bookmarkEnd w:id="440"/>
      <w:r>
        <w:t>:</w:t>
      </w:r>
      <w:r w:rsidR="007F4644">
        <w:t xml:space="preserve"> Remove Final Unit Status</w:t>
      </w:r>
      <w:bookmarkEnd w:id="441"/>
    </w:p>
    <w:p w14:paraId="1C4DD687" w14:textId="77777777" w:rsidR="00E661A1" w:rsidRDefault="00057948" w:rsidP="00772DD7">
      <w:pPr>
        <w:pStyle w:val="BodyText"/>
      </w:pPr>
      <w:r>
        <w:rPr>
          <w:noProof/>
        </w:rPr>
        <w:drawing>
          <wp:inline distT="0" distB="0" distL="0" distR="0" wp14:anchorId="18FB9A64" wp14:editId="771297FA">
            <wp:extent cx="5939155" cy="4415155"/>
            <wp:effectExtent l="0" t="0" r="4445" b="4445"/>
            <wp:docPr id="205" name="Picture 205" descr="P6681#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P6681#yIS1">
                      <a:extLst>
                        <a:ext uri="{C183D7F6-B498-43B3-948B-1728B52AA6E4}">
                          <adec:decorative xmlns:adec="http://schemas.microsoft.com/office/drawing/2017/decorative" val="1"/>
                        </a:ext>
                      </a:extLst>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939155" cy="4415155"/>
                    </a:xfrm>
                    <a:prstGeom prst="rect">
                      <a:avLst/>
                    </a:prstGeom>
                    <a:noFill/>
                    <a:ln>
                      <a:noFill/>
                    </a:ln>
                  </pic:spPr>
                </pic:pic>
              </a:graphicData>
            </a:graphic>
          </wp:inline>
        </w:drawing>
      </w:r>
    </w:p>
    <w:p w14:paraId="53DC9C95" w14:textId="77777777" w:rsidR="00A84E55" w:rsidRDefault="00A84E55">
      <w:pPr>
        <w:rPr>
          <w:rFonts w:ascii="Arial" w:hAnsi="Arial" w:cs="Arial"/>
          <w:b/>
          <w:bCs/>
          <w:kern w:val="32"/>
          <w:sz w:val="36"/>
          <w:szCs w:val="32"/>
        </w:rPr>
      </w:pPr>
      <w:bookmarkStart w:id="442" w:name="_Toc63680365"/>
      <w:bookmarkStart w:id="443" w:name="_Toc79560666"/>
      <w:bookmarkStart w:id="444" w:name="OLE_LINK20"/>
      <w:bookmarkStart w:id="445" w:name="_Toc75225469"/>
      <w:r>
        <w:br w:type="page"/>
      </w:r>
    </w:p>
    <w:p w14:paraId="4F5A119F" w14:textId="77777777" w:rsidR="00A84E55" w:rsidRPr="00A84E55" w:rsidRDefault="00A84E55" w:rsidP="00A84E55">
      <w:pPr>
        <w:jc w:val="center"/>
        <w:rPr>
          <w:sz w:val="22"/>
          <w:szCs w:val="22"/>
        </w:rPr>
      </w:pPr>
      <w:r w:rsidRPr="00A84E55">
        <w:rPr>
          <w:sz w:val="22"/>
          <w:szCs w:val="22"/>
        </w:rPr>
        <w:lastRenderedPageBreak/>
        <w:t>This page intentionally left blank.</w:t>
      </w:r>
    </w:p>
    <w:p w14:paraId="62862D58" w14:textId="77777777" w:rsidR="00A84E55" w:rsidRDefault="00A84E55">
      <w:pPr>
        <w:rPr>
          <w:rFonts w:ascii="Arial" w:hAnsi="Arial" w:cs="Arial"/>
          <w:b/>
          <w:bCs/>
          <w:kern w:val="32"/>
          <w:sz w:val="36"/>
          <w:szCs w:val="32"/>
        </w:rPr>
      </w:pPr>
      <w:r>
        <w:br w:type="page"/>
      </w:r>
    </w:p>
    <w:p w14:paraId="337D9C61" w14:textId="4100DC4F" w:rsidR="00E659AB" w:rsidRDefault="00E659AB" w:rsidP="00ED6B65">
      <w:pPr>
        <w:pStyle w:val="Heading1"/>
      </w:pPr>
      <w:bookmarkStart w:id="446" w:name="_Toc4588799"/>
      <w:r>
        <w:lastRenderedPageBreak/>
        <w:t>P</w:t>
      </w:r>
      <w:r w:rsidR="004675B3">
        <w:t>rocessing Orders</w:t>
      </w:r>
      <w:bookmarkEnd w:id="446"/>
      <w:r w:rsidR="004675B3">
        <w:fldChar w:fldCharType="begin"/>
      </w:r>
      <w:r w:rsidR="004675B3">
        <w:instrText xml:space="preserve"> XE “Processing Orders” </w:instrText>
      </w:r>
      <w:r w:rsidR="004675B3">
        <w:fldChar w:fldCharType="end"/>
      </w:r>
    </w:p>
    <w:p w14:paraId="74E4F4B3" w14:textId="77777777" w:rsidR="002A21AE" w:rsidRDefault="002A21AE">
      <w:pPr>
        <w:pStyle w:val="Heading2"/>
      </w:pPr>
      <w:bookmarkStart w:id="447" w:name="_Toc4588800"/>
      <w:r>
        <w:t>Accept Orders: Accept an Order</w:t>
      </w:r>
      <w:bookmarkEnd w:id="442"/>
      <w:bookmarkEnd w:id="443"/>
      <w:bookmarkEnd w:id="444"/>
      <w:bookmarkEnd w:id="447"/>
      <w:r>
        <w:fldChar w:fldCharType="begin"/>
      </w:r>
      <w:r>
        <w:instrText xml:space="preserve"> XE </w:instrText>
      </w:r>
      <w:r w:rsidR="00FA7E65">
        <w:instrText>“</w:instrText>
      </w:r>
      <w:r>
        <w:instrText>Accept Orders\: Accept an Order</w:instrText>
      </w:r>
      <w:r w:rsidR="00FA7E65">
        <w:instrText>”</w:instrText>
      </w:r>
      <w:r>
        <w:instrText xml:space="preserve"> </w:instrText>
      </w:r>
      <w:r>
        <w:fldChar w:fldCharType="end"/>
      </w:r>
      <w:r>
        <w:t xml:space="preserve"> </w:t>
      </w:r>
      <w:r>
        <w:rPr>
          <w:rFonts w:ascii="Geneva" w:hAnsi="Geneva"/>
          <w:vanish/>
        </w:rPr>
        <w:t>UC_16</w:t>
      </w:r>
    </w:p>
    <w:p w14:paraId="0E8C7177" w14:textId="77777777" w:rsidR="002A21AE" w:rsidRDefault="002A21AE" w:rsidP="00FA7E65">
      <w:pPr>
        <w:pStyle w:val="BodyText"/>
      </w:pPr>
      <w:r>
        <w:t>The user accepts the receipt of an order.</w:t>
      </w:r>
    </w:p>
    <w:p w14:paraId="3CE98E37" w14:textId="77777777" w:rsidR="002A21AE" w:rsidRDefault="002A21AE">
      <w:pPr>
        <w:pStyle w:val="Heading4"/>
      </w:pPr>
      <w:r>
        <w:t>Assumptions</w:t>
      </w:r>
    </w:p>
    <w:p w14:paraId="67019F5B" w14:textId="77777777" w:rsidR="002A21AE" w:rsidRDefault="00A36582">
      <w:pPr>
        <w:pStyle w:val="ListBullet"/>
      </w:pPr>
      <w:r>
        <w:t>Orders were placed in CPRS for a patient and a</w:t>
      </w:r>
      <w:r w:rsidR="002A21AE">
        <w:t xml:space="preserve"> VBECS order number was generated. </w:t>
      </w:r>
    </w:p>
    <w:p w14:paraId="444B5BEC" w14:textId="77777777" w:rsidR="002A21AE" w:rsidRDefault="002A21AE">
      <w:pPr>
        <w:pStyle w:val="ListBullet"/>
      </w:pPr>
      <w:r>
        <w:t>When a specimen is required, the user located it.</w:t>
      </w:r>
    </w:p>
    <w:p w14:paraId="1A123BDC" w14:textId="77777777" w:rsidR="002A21AE" w:rsidRDefault="002A21AE">
      <w:pPr>
        <w:pStyle w:val="ListBullet"/>
      </w:pPr>
      <w:r>
        <w:t>Inappropriate Transfusion Request parameters are defined for orderable component classes.</w:t>
      </w:r>
    </w:p>
    <w:p w14:paraId="488F3991" w14:textId="77777777" w:rsidR="002A21AE" w:rsidRDefault="002A21AE" w:rsidP="00A36582">
      <w:pPr>
        <w:pStyle w:val="ListBullet"/>
      </w:pPr>
      <w:r>
        <w:t xml:space="preserve">The connection to </w:t>
      </w:r>
      <w:r w:rsidR="00CA0045" w:rsidRPr="00CA0045">
        <w:rPr>
          <w:bCs/>
        </w:rPr>
        <w:t>VistA</w:t>
      </w:r>
      <w:r>
        <w:t xml:space="preserve"> is active.</w:t>
      </w:r>
    </w:p>
    <w:p w14:paraId="39A056ED" w14:textId="77777777" w:rsidR="002A21AE" w:rsidRDefault="002A21AE">
      <w:pPr>
        <w:pStyle w:val="Heading4"/>
      </w:pPr>
      <w:r>
        <w:t>Outcome</w:t>
      </w:r>
    </w:p>
    <w:p w14:paraId="5733A779" w14:textId="77777777" w:rsidR="002A21AE" w:rsidRDefault="002A21AE">
      <w:pPr>
        <w:pStyle w:val="ListBullet"/>
      </w:pPr>
      <w:r>
        <w:t xml:space="preserve">Ordered tests may be </w:t>
      </w:r>
      <w:r w:rsidRPr="00BC4AB6">
        <w:t xml:space="preserve">processed and are </w:t>
      </w:r>
      <w:r>
        <w:t>available to various worklists.</w:t>
      </w:r>
    </w:p>
    <w:p w14:paraId="73ACC3F1" w14:textId="77777777" w:rsidR="002A21AE" w:rsidRDefault="002A21AE">
      <w:pPr>
        <w:pStyle w:val="Heading4"/>
      </w:pPr>
      <w:r>
        <w:t xml:space="preserve">Limitations and Restrictions </w:t>
      </w:r>
    </w:p>
    <w:p w14:paraId="45E5DF79" w14:textId="77777777" w:rsidR="00A87E0D" w:rsidRPr="00BF73DF" w:rsidRDefault="00A87E0D" w:rsidP="00A87E0D">
      <w:pPr>
        <w:pStyle w:val="ListBullet"/>
        <w:rPr>
          <w:u w:val="single"/>
        </w:rPr>
      </w:pPr>
      <w:r>
        <w:t>An order for TAS must be accepted before the component order if the user wants to include the component request to the Inappropriate Transfusion Re</w:t>
      </w:r>
      <w:r w:rsidR="00E037D2">
        <w:t xml:space="preserve">quest Report. Accepting the TAS after the component order is marked inappropriate and accepted </w:t>
      </w:r>
      <w:r>
        <w:t>clears</w:t>
      </w:r>
      <w:r w:rsidR="006C34C0">
        <w:t xml:space="preserve"> the user’s </w:t>
      </w:r>
      <w:r w:rsidR="009F6F64">
        <w:t>indication that this is an inappropriate request</w:t>
      </w:r>
      <w:r w:rsidR="00B348B5">
        <w:t>.</w:t>
      </w:r>
      <w:r w:rsidR="00E46422">
        <w:rPr>
          <w:vanish/>
        </w:rPr>
        <w:t xml:space="preserve"> </w:t>
      </w:r>
      <w:r w:rsidR="00E46422" w:rsidRPr="00E46422">
        <w:rPr>
          <w:vanish/>
        </w:rPr>
        <w:t>DR 4854</w:t>
      </w:r>
    </w:p>
    <w:p w14:paraId="1EBB0697" w14:textId="66514055" w:rsidR="002A21AE" w:rsidRDefault="002A21AE" w:rsidP="0057063D">
      <w:pPr>
        <w:pStyle w:val="ListBullet"/>
      </w:pPr>
      <w:r>
        <w:t xml:space="preserve">When no CPRS order exists, the user processes the </w:t>
      </w:r>
      <w:r w:rsidR="00AC406E">
        <w:t>specimen</w:t>
      </w:r>
      <w:r>
        <w:t xml:space="preserve"> offline.</w:t>
      </w:r>
      <w:r w:rsidR="00730CAA">
        <w:t xml:space="preserve"> </w:t>
      </w:r>
      <w:r w:rsidR="0057063D" w:rsidRPr="0057063D">
        <w:t xml:space="preserve">The emergency order check box is not enabled unless there is a CPRS order and a patient specimen accessioned in VistA. </w:t>
      </w:r>
      <w:r w:rsidR="0057063D">
        <w:t xml:space="preserve">If necessary, </w:t>
      </w:r>
      <w:r w:rsidR="0057063D" w:rsidRPr="0057063D">
        <w:t>process the emergency issue of units manually, per local policy, until the specimen is received and accessioned</w:t>
      </w:r>
      <w:r w:rsidR="00E36641">
        <w:t>.</w:t>
      </w:r>
      <w:r w:rsidR="00730CAA">
        <w:t xml:space="preserve"> </w:t>
      </w:r>
      <w:r w:rsidR="00730CAA" w:rsidRPr="00730CAA">
        <w:rPr>
          <w:vanish/>
        </w:rPr>
        <w:t>Defect 208536</w:t>
      </w:r>
    </w:p>
    <w:p w14:paraId="07F89C56" w14:textId="77777777" w:rsidR="00A67B62" w:rsidRDefault="009E2EF4" w:rsidP="00A67B62">
      <w:pPr>
        <w:pStyle w:val="ListBullet"/>
      </w:pPr>
      <w:r w:rsidRPr="009E2EF4">
        <w:rPr>
          <w:vanish/>
        </w:rPr>
        <w:t>DR 2,811</w:t>
      </w:r>
      <w:r w:rsidR="00A67B62">
        <w:t>The user must accept the Type &amp; Screen (TAS) before he accepts other diagnostic tests or component orders.</w:t>
      </w:r>
    </w:p>
    <w:p w14:paraId="67923BAC" w14:textId="77777777" w:rsidR="00B26E41" w:rsidRDefault="00B2513B">
      <w:pPr>
        <w:pStyle w:val="ListBullet"/>
      </w:pPr>
      <w:r>
        <w:t>T</w:t>
      </w:r>
      <w:r w:rsidR="00B26E41" w:rsidRPr="00AB4ABB">
        <w:t>he</w:t>
      </w:r>
      <w:r w:rsidR="003254B7">
        <w:t xml:space="preserve"> user cannot click </w:t>
      </w:r>
      <w:r w:rsidR="00057948">
        <w:rPr>
          <w:noProof/>
        </w:rPr>
        <w:drawing>
          <wp:inline distT="0" distB="0" distL="0" distR="0" wp14:anchorId="5782EA33" wp14:editId="545F99C4">
            <wp:extent cx="156845" cy="156845"/>
            <wp:effectExtent l="0" t="0" r="0" b="0"/>
            <wp:docPr id="206" name="Picture 206" descr="P669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P6699#yIS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3254B7">
        <w:t xml:space="preserve"> </w:t>
      </w:r>
      <w:r w:rsidR="00B82472">
        <w:t xml:space="preserve">(Restricted or Assigned Units) </w:t>
      </w:r>
      <w:r w:rsidR="003254B7">
        <w:t>to access information on autologous or directed units that may be restricted to a patient</w:t>
      </w:r>
      <w:r>
        <w:t>.</w:t>
      </w:r>
    </w:p>
    <w:p w14:paraId="70082AAB" w14:textId="77777777" w:rsidR="008B0C9A" w:rsidRDefault="0055788D" w:rsidP="00A87E0D">
      <w:pPr>
        <w:pStyle w:val="ListBullet"/>
      </w:pPr>
      <w:r>
        <w:t>Orders placed for patient</w:t>
      </w:r>
      <w:r w:rsidR="009412D6">
        <w:t>s with names that exceed the database standard for File #2 (30 characters) or do not have a last name in VistA are rejected</w:t>
      </w:r>
      <w:r w:rsidR="00551EF1">
        <w:t xml:space="preserve"> and do not appear in VBECS</w:t>
      </w:r>
      <w:r w:rsidR="009412D6">
        <w:t>. The VBECS System Administrator is notified of each rejection via an email to the address entered in VBECS Administrator “</w:t>
      </w:r>
      <w:r w:rsidR="00276DAA">
        <w:t>Email Alerts</w:t>
      </w:r>
      <w:r w:rsidR="009412D6">
        <w:t>” field.</w:t>
      </w:r>
    </w:p>
    <w:p w14:paraId="0459E5A0" w14:textId="09EEAE46" w:rsidR="00A9799D" w:rsidRPr="002B3455" w:rsidRDefault="00A9799D" w:rsidP="00A9799D">
      <w:pPr>
        <w:pStyle w:val="ListBullet"/>
        <w:rPr>
          <w:color w:val="1F497D"/>
        </w:rPr>
      </w:pPr>
      <w:r>
        <w:t>A VBECS order on a Collection List has to be received with a date and time in VistA to make the specimen available in VBECS.</w:t>
      </w:r>
      <w:r w:rsidR="0057063D">
        <w:t xml:space="preserve"> </w:t>
      </w:r>
      <w:r w:rsidR="0057063D" w:rsidRPr="00850DE6">
        <w:t>Orders</w:t>
      </w:r>
      <w:r w:rsidR="0057063D">
        <w:rPr>
          <w:color w:val="1F497D"/>
        </w:rPr>
        <w:t xml:space="preserve"> </w:t>
      </w:r>
      <w:r w:rsidR="0057063D">
        <w:t>should not be assigned</w:t>
      </w:r>
      <w:r w:rsidR="0057063D" w:rsidRPr="001B1422">
        <w:t xml:space="preserve"> a date/time collected of T</w:t>
      </w:r>
      <w:r w:rsidR="0057063D">
        <w:t>@U.</w:t>
      </w:r>
      <w:r w:rsidR="00850DE6">
        <w:t xml:space="preserve"> </w:t>
      </w:r>
      <w:r w:rsidR="00850DE6" w:rsidRPr="00850DE6">
        <w:rPr>
          <w:vanish/>
        </w:rPr>
        <w:t>Defect 209993</w:t>
      </w:r>
    </w:p>
    <w:p w14:paraId="5AA46528" w14:textId="4291E3D8" w:rsidR="001B1422" w:rsidRPr="002B3455" w:rsidRDefault="001B1422" w:rsidP="001B1422">
      <w:pPr>
        <w:pStyle w:val="ListBullet"/>
        <w:rPr>
          <w:color w:val="1F497D"/>
        </w:rPr>
      </w:pPr>
      <w:r>
        <w:t>Orders must include a patient location. A</w:t>
      </w:r>
      <w:r w:rsidRPr="001B1422">
        <w:t xml:space="preserve"> VBECS system error occurs when a user trie</w:t>
      </w:r>
      <w:r w:rsidR="00E36641">
        <w:t xml:space="preserve">s to print </w:t>
      </w:r>
      <w:r>
        <w:t>an order without a</w:t>
      </w:r>
      <w:r w:rsidR="0057063D">
        <w:t xml:space="preserve"> </w:t>
      </w:r>
      <w:r w:rsidRPr="001B1422">
        <w:t>patient locatio</w:t>
      </w:r>
      <w:r>
        <w:t>n.</w:t>
      </w:r>
      <w:r w:rsidR="00850DE6">
        <w:t xml:space="preserve"> </w:t>
      </w:r>
      <w:r w:rsidR="00850DE6" w:rsidRPr="00850DE6">
        <w:rPr>
          <w:vanish/>
        </w:rPr>
        <w:t>Defect 210129</w:t>
      </w:r>
    </w:p>
    <w:p w14:paraId="20334ACC" w14:textId="6567D5A4" w:rsidR="0086534E" w:rsidRDefault="00E36641" w:rsidP="00FF3EF2">
      <w:pPr>
        <w:pStyle w:val="ListBullet"/>
      </w:pPr>
      <w:r>
        <w:t>The “Display Restricted or Assigned U</w:t>
      </w:r>
      <w:r w:rsidR="0086534E" w:rsidRPr="0086534E">
        <w:t>nits</w:t>
      </w:r>
      <w:r>
        <w:t>”</w:t>
      </w:r>
      <w:r w:rsidR="0086534E" w:rsidRPr="0086534E">
        <w:t xml:space="preserve"> button in Accept Ord</w:t>
      </w:r>
      <w:r w:rsidR="0086534E">
        <w:t xml:space="preserve">ers </w:t>
      </w:r>
      <w:r w:rsidR="00963554">
        <w:t>is</w:t>
      </w:r>
      <w:r w:rsidR="0086534E">
        <w:t xml:space="preserve"> disabled</w:t>
      </w:r>
      <w:r w:rsidR="00822375">
        <w:t xml:space="preserve">. </w:t>
      </w:r>
      <w:r w:rsidR="00822375" w:rsidRPr="00822375">
        <w:t>The Blood Availability Report displays units assigned and restricted for all patients.</w:t>
      </w:r>
      <w:r w:rsidR="00850DE6">
        <w:t xml:space="preserve"> </w:t>
      </w:r>
      <w:r w:rsidR="00850DE6" w:rsidRPr="00850DE6">
        <w:rPr>
          <w:vanish/>
        </w:rPr>
        <w:t>Defect 209835</w:t>
      </w:r>
    </w:p>
    <w:p w14:paraId="53FBD3E1" w14:textId="18056E48" w:rsidR="002F47AC" w:rsidRDefault="002F47AC" w:rsidP="002F47AC">
      <w:pPr>
        <w:pStyle w:val="ListBullet"/>
      </w:pPr>
      <w:r w:rsidRPr="002F47AC">
        <w:t>On the Accept Orders screen, clicking the Received and Wanted column headers does not sort on the date and time of the Pending Order List.</w:t>
      </w:r>
      <w:r w:rsidR="00850DE6">
        <w:t xml:space="preserve"> </w:t>
      </w:r>
      <w:r w:rsidR="00850DE6" w:rsidRPr="00850DE6">
        <w:rPr>
          <w:vanish/>
        </w:rPr>
        <w:t>Defect 209030</w:t>
      </w:r>
    </w:p>
    <w:p w14:paraId="07CAD636" w14:textId="77777777" w:rsidR="002A21AE" w:rsidRDefault="002A21AE">
      <w:pPr>
        <w:pStyle w:val="Heading4"/>
      </w:pPr>
      <w:r>
        <w:t>Additional Information</w:t>
      </w:r>
    </w:p>
    <w:p w14:paraId="0B889A1B" w14:textId="77777777" w:rsidR="002A21AE" w:rsidRDefault="002A21AE">
      <w:pPr>
        <w:pStyle w:val="ListBullet"/>
      </w:pPr>
      <w:r>
        <w:t xml:space="preserve">VBECS automatically cancels </w:t>
      </w:r>
      <w:r w:rsidR="000318FD">
        <w:t xml:space="preserve">previously accepted </w:t>
      </w:r>
      <w:r>
        <w:t>orders the day after they expire.</w:t>
      </w:r>
      <w:r w:rsidR="000318FD" w:rsidRPr="000318FD">
        <w:rPr>
          <w:vanish/>
        </w:rPr>
        <w:t xml:space="preserve"> DR 4519</w:t>
      </w:r>
    </w:p>
    <w:p w14:paraId="128CB209" w14:textId="77777777" w:rsidR="000318FD" w:rsidRDefault="000318FD">
      <w:pPr>
        <w:pStyle w:val="ListBullet"/>
      </w:pPr>
      <w:r>
        <w:t>To maintain a specimen with a TAS and diagnostic test orders, the TAS must be processed first, before any diagnostic test order (see Maintain Specimen).</w:t>
      </w:r>
      <w:r w:rsidRPr="000318FD">
        <w:rPr>
          <w:vanish/>
        </w:rPr>
        <w:t xml:space="preserve"> DR 4519</w:t>
      </w:r>
    </w:p>
    <w:p w14:paraId="3A96CDE6" w14:textId="77777777" w:rsidR="00CE51B0" w:rsidRDefault="002A21AE" w:rsidP="00CE51B0">
      <w:pPr>
        <w:pStyle w:val="ListBullet"/>
      </w:pPr>
      <w:r>
        <w:lastRenderedPageBreak/>
        <w:t xml:space="preserve">The user </w:t>
      </w:r>
      <w:r w:rsidR="000850E3">
        <w:t>may investigate</w:t>
      </w:r>
      <w:r>
        <w:t xml:space="preserve"> patient clinical information using </w:t>
      </w:r>
      <w:r w:rsidR="00CA0045" w:rsidRPr="00CA0045">
        <w:rPr>
          <w:bCs/>
        </w:rPr>
        <w:t>VistA</w:t>
      </w:r>
      <w:r>
        <w:t xml:space="preserve"> and CPRS. </w:t>
      </w:r>
    </w:p>
    <w:p w14:paraId="4665C719" w14:textId="77777777" w:rsidR="00D905FE" w:rsidRDefault="00D905FE" w:rsidP="00CE51B0">
      <w:pPr>
        <w:pStyle w:val="ListBullet"/>
      </w:pPr>
      <w:r w:rsidRPr="00D905FE">
        <w:t>A facility may capture the phlebotomist's signature</w:t>
      </w:r>
      <w:r w:rsidR="00B97078">
        <w:t xml:space="preserve"> and the date </w:t>
      </w:r>
      <w:r w:rsidRPr="00D905FE">
        <w:t xml:space="preserve">and time of specimen collection on a </w:t>
      </w:r>
      <w:r w:rsidR="00B97078">
        <w:t>printed</w:t>
      </w:r>
      <w:r w:rsidRPr="00D905FE">
        <w:t xml:space="preserve"> order from CPRS. </w:t>
      </w:r>
      <w:r w:rsidR="006F1B1A">
        <w:t>[</w:t>
      </w:r>
      <w:r w:rsidRPr="00D905FE">
        <w:t xml:space="preserve">Local IRM personnel </w:t>
      </w:r>
      <w:r w:rsidR="00FB1DC1">
        <w:t>may</w:t>
      </w:r>
      <w:r w:rsidRPr="00D905FE">
        <w:t xml:space="preserve"> configure CPRS to </w:t>
      </w:r>
      <w:r>
        <w:t xml:space="preserve">print </w:t>
      </w:r>
      <w:r w:rsidR="00B97078">
        <w:t xml:space="preserve">the </w:t>
      </w:r>
      <w:r>
        <w:t>b</w:t>
      </w:r>
      <w:r w:rsidRPr="00D905FE">
        <w:t xml:space="preserve">lood </w:t>
      </w:r>
      <w:r>
        <w:t>bank order</w:t>
      </w:r>
      <w:r w:rsidR="006F1B1A">
        <w:t>: r</w:t>
      </w:r>
      <w:r w:rsidRPr="00D905FE">
        <w:t xml:space="preserve">efer </w:t>
      </w:r>
      <w:r w:rsidR="00BC4AB6">
        <w:t xml:space="preserve">to </w:t>
      </w:r>
      <w:r w:rsidR="00BC4AB6" w:rsidRPr="00BC4AB6">
        <w:rPr>
          <w:i/>
        </w:rPr>
        <w:t>Setup Guide</w:t>
      </w:r>
      <w:r w:rsidR="00BC4AB6" w:rsidRPr="00BC4AB6">
        <w:t xml:space="preserve"> (August 2000) </w:t>
      </w:r>
      <w:r w:rsidR="005C0559">
        <w:t xml:space="preserve">in </w:t>
      </w:r>
      <w:r w:rsidRPr="00D905FE">
        <w:t>VistA Document Library</w:t>
      </w:r>
      <w:r w:rsidR="00B97078">
        <w:t>,</w:t>
      </w:r>
      <w:r w:rsidR="00B97078" w:rsidRPr="00B97078">
        <w:t xml:space="preserve"> </w:t>
      </w:r>
      <w:r w:rsidR="00B97078">
        <w:t>Computerized Patient Record System (CPRS)</w:t>
      </w:r>
      <w:r w:rsidR="006F1B1A">
        <w:t>]</w:t>
      </w:r>
      <w:r w:rsidRPr="00D905FE">
        <w:t>.</w:t>
      </w:r>
    </w:p>
    <w:p w14:paraId="4993DC0E" w14:textId="77777777" w:rsidR="002A21AE" w:rsidRDefault="002A21AE">
      <w:pPr>
        <w:pStyle w:val="Heading4"/>
      </w:pPr>
      <w:r>
        <w:t>User Roles with Access to This Option</w:t>
      </w:r>
    </w:p>
    <w:p w14:paraId="486DD3FC" w14:textId="77777777" w:rsidR="002A21AE" w:rsidRDefault="000F12D4">
      <w:pPr>
        <w:pStyle w:val="Roles"/>
        <w:rPr>
          <w:snapToGrid w:val="0"/>
        </w:rPr>
      </w:pPr>
      <w:r>
        <w:t>All users</w:t>
      </w:r>
    </w:p>
    <w:bookmarkEnd w:id="445"/>
    <w:p w14:paraId="386A4EA7" w14:textId="77777777" w:rsidR="002A21AE" w:rsidRDefault="002A21AE">
      <w:pPr>
        <w:pStyle w:val="Heading4"/>
      </w:pPr>
      <w:r>
        <w:t>Accept Orders: Accept an Order</w:t>
      </w:r>
    </w:p>
    <w:p w14:paraId="615829EB" w14:textId="77777777" w:rsidR="002A21AE" w:rsidRDefault="002A21AE" w:rsidP="00FA7E65">
      <w:pPr>
        <w:pStyle w:val="BodyText"/>
      </w:pPr>
      <w:r>
        <w:t>The user reviews the list of pending orders and the specimen, determines that local policy requirements are satisfied, and accepts all or part of a routine order. The user accepts the VBECS order and associates the Laboratory generated specimen UID number with the order.</w:t>
      </w:r>
    </w:p>
    <w:p w14:paraId="0E4D00A1" w14:textId="39E0260B" w:rsidR="004675B3" w:rsidRDefault="002A21AE" w:rsidP="00FA7E65">
      <w:pPr>
        <w:pStyle w:val="BodyText"/>
      </w:pPr>
      <w:r>
        <w:t>The user uses the Pending Order List (POL) to view additional details, print outstanding orders, and to select, accept, and add orders to the Pending Task List (PTL).</w:t>
      </w:r>
      <w:r w:rsidR="00C74B7D">
        <w:t xml:space="preserve"> </w:t>
      </w:r>
      <w:r w:rsidR="00ED5B9A">
        <w:t>Note that the POL can take several seconds to print, depending on the number of samples processed.</w:t>
      </w:r>
      <w:r w:rsidR="00730CAA">
        <w:t xml:space="preserve"> </w:t>
      </w:r>
      <w:r w:rsidR="00730CAA" w:rsidRPr="00730CAA">
        <w:rPr>
          <w:vanish/>
        </w:rPr>
        <w:t>Defect 209554</w:t>
      </w:r>
    </w:p>
    <w:p w14:paraId="3B1DD550" w14:textId="77777777" w:rsidR="002A21AE" w:rsidRDefault="002A21AE" w:rsidP="00FA7E65">
      <w:pPr>
        <w:pStyle w:val="BodyText"/>
      </w:pPr>
    </w:p>
    <w:p w14:paraId="028D3A14" w14:textId="77777777" w:rsidR="00FE7547" w:rsidRPr="006F5EC8" w:rsidRDefault="00057948" w:rsidP="00FE7547">
      <w:pPr>
        <w:pStyle w:val="Caution"/>
      </w:pPr>
      <w:r>
        <w:rPr>
          <w:i w:val="0"/>
          <w:noProof/>
        </w:rPr>
        <w:drawing>
          <wp:inline distT="0" distB="0" distL="0" distR="0" wp14:anchorId="729ADBFA" wp14:editId="1F5D4EBA">
            <wp:extent cx="267970" cy="221615"/>
            <wp:effectExtent l="0" t="0" r="0" b="6985"/>
            <wp:docPr id="207" name="Picture 207" descr="P6716#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P6716#yIS1">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161247">
        <w:t xml:space="preserve">Changes made in the VBECS Administrator option </w:t>
      </w:r>
      <w:r w:rsidR="009602CB">
        <w:t>mapping</w:t>
      </w:r>
      <w:r w:rsidR="00161247">
        <w:t xml:space="preserve"> orders to anoth</w:t>
      </w:r>
      <w:r w:rsidR="00CD6D3C">
        <w:t>er VBECS division do not a</w:t>
      </w:r>
      <w:r w:rsidR="009602CB">
        <w:t>ffect</w:t>
      </w:r>
      <w:r w:rsidR="00161247">
        <w:t xml:space="preserve"> delivered</w:t>
      </w:r>
      <w:r w:rsidR="009602CB">
        <w:t xml:space="preserve"> orders</w:t>
      </w:r>
      <w:r w:rsidR="00161247">
        <w:t xml:space="preserve">. </w:t>
      </w:r>
      <w:r w:rsidR="009602CB">
        <w:t>O</w:t>
      </w:r>
      <w:r w:rsidR="00161247">
        <w:t>rders delivered to a</w:t>
      </w:r>
      <w:r w:rsidR="009602CB">
        <w:t xml:space="preserve"> </w:t>
      </w:r>
      <w:r w:rsidR="00161247">
        <w:t>VBECS division must be completed, rejected, or canceled in that division. Resubmit orders after</w:t>
      </w:r>
      <w:r w:rsidR="009602CB">
        <w:t xml:space="preserve"> mapping is completed to send an order to another VBECS division.</w:t>
      </w:r>
      <w:r w:rsidR="009602CB" w:rsidRPr="009602CB">
        <w:rPr>
          <w:vanish/>
        </w:rPr>
        <w:t>DR 2,896</w:t>
      </w:r>
    </w:p>
    <w:p w14:paraId="7EF9C6D6" w14:textId="77777777" w:rsidR="00FE7547" w:rsidRDefault="00FE7547" w:rsidP="00FA7E65">
      <w:pPr>
        <w:pStyle w:val="BodyText"/>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32AA128" w14:textId="77777777">
        <w:trPr>
          <w:cantSplit/>
          <w:tblHeader/>
        </w:trPr>
        <w:tc>
          <w:tcPr>
            <w:tcW w:w="3240" w:type="dxa"/>
            <w:shd w:val="pct30" w:color="auto" w:fill="FFFFFF"/>
            <w:vAlign w:val="bottom"/>
          </w:tcPr>
          <w:p w14:paraId="4F4DFB13" w14:textId="77777777" w:rsidR="002A21AE" w:rsidRDefault="002A21AE">
            <w:pPr>
              <w:pStyle w:val="TableText"/>
              <w:rPr>
                <w:b/>
              </w:rPr>
            </w:pPr>
            <w:bookmarkStart w:id="448" w:name="_Toc34528152"/>
            <w:bookmarkStart w:id="449" w:name="_Toc34721750"/>
            <w:bookmarkEnd w:id="448"/>
            <w:bookmarkEnd w:id="449"/>
            <w:r>
              <w:rPr>
                <w:b/>
              </w:rPr>
              <w:t>User Action</w:t>
            </w:r>
          </w:p>
        </w:tc>
        <w:tc>
          <w:tcPr>
            <w:tcW w:w="6120" w:type="dxa"/>
            <w:shd w:val="pct30" w:color="auto" w:fill="FFFFFF"/>
            <w:vAlign w:val="bottom"/>
          </w:tcPr>
          <w:p w14:paraId="7DA5F811" w14:textId="77777777" w:rsidR="002A21AE" w:rsidRDefault="002A21AE">
            <w:pPr>
              <w:pStyle w:val="TableText"/>
              <w:rPr>
                <w:b/>
              </w:rPr>
            </w:pPr>
            <w:r>
              <w:rPr>
                <w:b/>
              </w:rPr>
              <w:t>VBECS</w:t>
            </w:r>
          </w:p>
        </w:tc>
      </w:tr>
      <w:tr w:rsidR="002A21AE" w14:paraId="0D0D3F8F" w14:textId="77777777">
        <w:tc>
          <w:tcPr>
            <w:tcW w:w="3240" w:type="dxa"/>
          </w:tcPr>
          <w:p w14:paraId="75755478" w14:textId="77777777" w:rsidR="002A21AE" w:rsidRDefault="002A21AE">
            <w:pPr>
              <w:pStyle w:val="TableTextNumbers"/>
            </w:pPr>
            <w:r>
              <w:t xml:space="preserve">Select </w:t>
            </w:r>
            <w:r>
              <w:rPr>
                <w:b/>
              </w:rPr>
              <w:t>Orders</w:t>
            </w:r>
            <w:r>
              <w:t xml:space="preserve"> from the main menu.</w:t>
            </w:r>
          </w:p>
          <w:p w14:paraId="313670BD" w14:textId="77777777" w:rsidR="002A21AE" w:rsidRDefault="002A21AE">
            <w:pPr>
              <w:pStyle w:val="TableTextNumbersContinued"/>
            </w:pPr>
          </w:p>
          <w:p w14:paraId="108FC0EE" w14:textId="77777777" w:rsidR="002A21AE" w:rsidRDefault="002A21AE">
            <w:pPr>
              <w:pStyle w:val="TableTextNumbersContinued"/>
            </w:pPr>
            <w:r>
              <w:t xml:space="preserve">Select </w:t>
            </w:r>
            <w:r>
              <w:rPr>
                <w:b/>
              </w:rPr>
              <w:t>Accept Orders</w:t>
            </w:r>
            <w:r>
              <w:t>.</w:t>
            </w:r>
          </w:p>
        </w:tc>
        <w:tc>
          <w:tcPr>
            <w:tcW w:w="6120" w:type="dxa"/>
          </w:tcPr>
          <w:p w14:paraId="75E91BC3" w14:textId="77777777" w:rsidR="002A21AE" w:rsidRDefault="002A21AE">
            <w:pPr>
              <w:pStyle w:val="TableTextBullet"/>
            </w:pPr>
            <w:r>
              <w:t>Displays options for processing orders.</w:t>
            </w:r>
          </w:p>
          <w:p w14:paraId="0ADAF59D" w14:textId="77777777" w:rsidR="002A21AE" w:rsidRDefault="002A21AE">
            <w:pPr>
              <w:pStyle w:val="TableTextBullet"/>
            </w:pPr>
            <w:r>
              <w:t>Displays the POL and POL search criteria.</w:t>
            </w:r>
          </w:p>
        </w:tc>
      </w:tr>
      <w:tr w:rsidR="002A21AE" w14:paraId="3F9D9158" w14:textId="77777777">
        <w:tc>
          <w:tcPr>
            <w:tcW w:w="3240" w:type="dxa"/>
          </w:tcPr>
          <w:p w14:paraId="504C1B47" w14:textId="1078999F" w:rsidR="002A21AE" w:rsidRDefault="002A21AE">
            <w:pPr>
              <w:pStyle w:val="TableTextNumbers"/>
            </w:pPr>
            <w:r>
              <w:t>Select an order to accept from the POL</w:t>
            </w:r>
            <w:r w:rsidR="00F3761C">
              <w:t xml:space="preserve"> (</w:t>
            </w:r>
            <w:r w:rsidR="007810A1">
              <w:fldChar w:fldCharType="begin" w:fldLock="1"/>
            </w:r>
            <w:r w:rsidR="007810A1">
              <w:instrText xml:space="preserve"> REF _Ref126723121 \h </w:instrText>
            </w:r>
            <w:r w:rsidR="007810A1">
              <w:fldChar w:fldCharType="separate"/>
            </w:r>
            <w:r w:rsidR="00AB304C">
              <w:t xml:space="preserve">Figure </w:t>
            </w:r>
            <w:r w:rsidR="00AB304C">
              <w:rPr>
                <w:noProof/>
              </w:rPr>
              <w:t>116</w:t>
            </w:r>
            <w:r w:rsidR="007810A1">
              <w:fldChar w:fldCharType="end"/>
            </w:r>
            <w:r w:rsidR="00F3761C">
              <w:t>)</w:t>
            </w:r>
            <w:r>
              <w:t xml:space="preserve">, or </w:t>
            </w:r>
          </w:p>
          <w:p w14:paraId="12BF53D4" w14:textId="77777777" w:rsidR="002A21AE" w:rsidRDefault="002A21AE">
            <w:pPr>
              <w:pStyle w:val="TableTextNumbersContinued"/>
            </w:pPr>
          </w:p>
          <w:p w14:paraId="50FFA81B" w14:textId="77777777" w:rsidR="002A21AE" w:rsidRDefault="002A21AE">
            <w:pPr>
              <w:pStyle w:val="TableTextNumbersContinued"/>
            </w:pPr>
            <w:r>
              <w:t xml:space="preserve">In the Pending Order List Search Criteria area, enter the known </w:t>
            </w:r>
            <w:r w:rsidR="00C47144">
              <w:t>data, including the date wanted.</w:t>
            </w:r>
          </w:p>
          <w:p w14:paraId="7AE10792" w14:textId="77777777" w:rsidR="002A21AE" w:rsidRDefault="002A21AE">
            <w:pPr>
              <w:pStyle w:val="TableTextNumbersContinued"/>
            </w:pPr>
          </w:p>
          <w:p w14:paraId="25EC5E3B" w14:textId="77777777" w:rsidR="002A21AE" w:rsidRDefault="002A21AE">
            <w:pPr>
              <w:pStyle w:val="TableTextNumbersContinued"/>
            </w:pPr>
            <w:r>
              <w:t xml:space="preserve">Click </w:t>
            </w:r>
            <w:r>
              <w:rPr>
                <w:b/>
              </w:rPr>
              <w:t>Search</w:t>
            </w:r>
            <w:r>
              <w:t xml:space="preserve"> to find an order.</w:t>
            </w:r>
          </w:p>
        </w:tc>
        <w:tc>
          <w:tcPr>
            <w:tcW w:w="6120" w:type="dxa"/>
          </w:tcPr>
          <w:p w14:paraId="77E7D060" w14:textId="77777777" w:rsidR="002A21AE" w:rsidRDefault="002A21AE">
            <w:pPr>
              <w:pStyle w:val="TableTextBullet"/>
            </w:pPr>
            <w:r>
              <w:t>Displays options for selecting, reviewing, and processing patient data and pending orders.</w:t>
            </w:r>
          </w:p>
          <w:p w14:paraId="1331F601" w14:textId="77777777" w:rsidR="002A21AE" w:rsidRDefault="002A21AE">
            <w:pPr>
              <w:pStyle w:val="TableTextBullet"/>
            </w:pPr>
            <w:r>
              <w:t>Allows the user to associate a specimen with an order.</w:t>
            </w:r>
          </w:p>
          <w:p w14:paraId="7EB7330A" w14:textId="77777777" w:rsidR="002A21AE" w:rsidRDefault="002A21AE" w:rsidP="00DE0F15">
            <w:pPr>
              <w:pStyle w:val="TableTextBullet"/>
            </w:pPr>
            <w:r>
              <w:t>Displays the Patient Information Toolbar that allows the user to review.</w:t>
            </w:r>
          </w:p>
          <w:p w14:paraId="552E0D0E" w14:textId="77777777" w:rsidR="002A21AE" w:rsidRDefault="002A21AE">
            <w:pPr>
              <w:pStyle w:val="TableText"/>
            </w:pPr>
          </w:p>
          <w:p w14:paraId="62B7A6D4" w14:textId="77777777" w:rsidR="002A21AE" w:rsidRDefault="00057948">
            <w:pPr>
              <w:pStyle w:val="TableText"/>
              <w:rPr>
                <w:b/>
                <w:bCs/>
                <w:szCs w:val="18"/>
              </w:rPr>
            </w:pPr>
            <w:r>
              <w:rPr>
                <w:b/>
                <w:bCs/>
                <w:noProof/>
              </w:rPr>
              <mc:AlternateContent>
                <mc:Choice Requires="wps">
                  <w:drawing>
                    <wp:anchor distT="0" distB="0" distL="114300" distR="114300" simplePos="0" relativeHeight="251386368" behindDoc="0" locked="0" layoutInCell="1" allowOverlap="1" wp14:anchorId="2BDC622D" wp14:editId="59A2079E">
                      <wp:simplePos x="0" y="0"/>
                      <wp:positionH relativeFrom="column">
                        <wp:posOffset>457200</wp:posOffset>
                      </wp:positionH>
                      <wp:positionV relativeFrom="paragraph">
                        <wp:posOffset>65405</wp:posOffset>
                      </wp:positionV>
                      <wp:extent cx="3200400" cy="0"/>
                      <wp:effectExtent l="9525" t="17780" r="9525" b="10795"/>
                      <wp:wrapNone/>
                      <wp:docPr id="414" name="Line 717" descr="P6736C6T7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DDBA5" id="Line 717" o:spid="_x0000_s1026" alt="&quot;&quot;" style="position:absolute;z-index:2513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I5kTn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3A87FD90" w14:textId="77777777" w:rsidR="002A21AE" w:rsidRPr="00C2360C" w:rsidRDefault="002A21AE" w:rsidP="00C2360C">
            <w:pPr>
              <w:pStyle w:val="NotesText"/>
            </w:pPr>
          </w:p>
          <w:p w14:paraId="0E176265" w14:textId="77777777" w:rsidR="00C2360C" w:rsidRDefault="00C2360C" w:rsidP="00C2360C">
            <w:pPr>
              <w:pStyle w:val="NotesText"/>
              <w:rPr>
                <w:szCs w:val="18"/>
              </w:rPr>
            </w:pPr>
            <w:r w:rsidRPr="00C2360C">
              <w:rPr>
                <w:szCs w:val="18"/>
              </w:rPr>
              <w:t>S</w:t>
            </w:r>
            <w:r w:rsidRPr="00C2360C">
              <w:t>elect an order</w:t>
            </w:r>
            <w:r w:rsidR="0023261D">
              <w:t xml:space="preserve"> </w:t>
            </w:r>
            <w:r w:rsidRPr="00C2360C">
              <w:t>for TAS before selecting a cor</w:t>
            </w:r>
            <w:r w:rsidRPr="00C2360C">
              <w:rPr>
                <w:szCs w:val="18"/>
              </w:rPr>
              <w:t xml:space="preserve">responding order for </w:t>
            </w:r>
            <w:r w:rsidR="006361BC">
              <w:rPr>
                <w:szCs w:val="18"/>
              </w:rPr>
              <w:t xml:space="preserve">diagnostic tests or </w:t>
            </w:r>
            <w:r w:rsidRPr="00C2360C">
              <w:rPr>
                <w:szCs w:val="18"/>
              </w:rPr>
              <w:t>components.</w:t>
            </w:r>
          </w:p>
          <w:p w14:paraId="32267171" w14:textId="77777777" w:rsidR="00090B78" w:rsidRPr="00C2360C" w:rsidRDefault="00090B78" w:rsidP="00C2360C">
            <w:pPr>
              <w:pStyle w:val="NotesText"/>
              <w:rPr>
                <w:szCs w:val="18"/>
              </w:rPr>
            </w:pPr>
          </w:p>
          <w:p w14:paraId="07DAD119" w14:textId="77777777" w:rsidR="002A21AE" w:rsidRDefault="002A21AE">
            <w:pPr>
              <w:pStyle w:val="NotesText"/>
            </w:pPr>
            <w:r w:rsidRPr="00896F17">
              <w:rPr>
                <w:vanish/>
                <w:szCs w:val="18"/>
              </w:rPr>
              <w:t>BR_16.01</w:t>
            </w:r>
            <w:r w:rsidR="00ED1076" w:rsidRPr="00896F17">
              <w:rPr>
                <w:rStyle w:val="BullhornChar"/>
              </w:rPr>
              <w:t></w:t>
            </w:r>
            <w:r w:rsidR="00ED1076">
              <w:rPr>
                <w:rFonts w:ascii="Webdings" w:hAnsi="Webdings"/>
              </w:rPr>
              <w:t></w:t>
            </w:r>
            <w:r>
              <w:t>VBECS emits an audible alert when there are patient Special Instructions or Transfusion Requirements.</w:t>
            </w:r>
          </w:p>
          <w:p w14:paraId="709465C6" w14:textId="77777777" w:rsidR="00DE0F15" w:rsidRDefault="00DE0F15">
            <w:pPr>
              <w:pStyle w:val="NotesText"/>
            </w:pPr>
          </w:p>
          <w:p w14:paraId="081157E4" w14:textId="77777777" w:rsidR="000568BA" w:rsidRDefault="000568BA">
            <w:pPr>
              <w:pStyle w:val="NotesText"/>
              <w:rPr>
                <w:vanish/>
                <w:szCs w:val="18"/>
              </w:rPr>
            </w:pPr>
            <w:r>
              <w:rPr>
                <w:vanish/>
                <w:szCs w:val="18"/>
              </w:rPr>
              <w:t xml:space="preserve">BR_16.02, BR_88.06 </w:t>
            </w:r>
            <w:r w:rsidRPr="000568BA">
              <w:rPr>
                <w:szCs w:val="18"/>
              </w:rPr>
              <w:t>VBECS alert</w:t>
            </w:r>
            <w:r w:rsidR="00B93577">
              <w:rPr>
                <w:szCs w:val="18"/>
              </w:rPr>
              <w:t>s the user</w:t>
            </w:r>
            <w:r>
              <w:t xml:space="preserve"> when the component class ordered requires a specimen. The status may be REQ (specimen required)</w:t>
            </w:r>
            <w:r w:rsidR="00E14736">
              <w:t xml:space="preserve"> or</w:t>
            </w:r>
            <w:r>
              <w:t xml:space="preserve"> NRQ (no specimen required). The user may not </w:t>
            </w:r>
            <w:r>
              <w:lastRenderedPageBreak/>
              <w:t xml:space="preserve">continue until specimen information is added. </w:t>
            </w:r>
          </w:p>
          <w:p w14:paraId="1C657C27" w14:textId="77777777" w:rsidR="000568BA" w:rsidRDefault="000568BA">
            <w:pPr>
              <w:pStyle w:val="NotesText"/>
              <w:rPr>
                <w:vanish/>
                <w:szCs w:val="18"/>
              </w:rPr>
            </w:pPr>
          </w:p>
          <w:p w14:paraId="7C58B217" w14:textId="77777777" w:rsidR="00DE0F15" w:rsidRDefault="00DE0F15">
            <w:pPr>
              <w:pStyle w:val="NotesText"/>
            </w:pPr>
            <w:r w:rsidRPr="00DE0F15">
              <w:rPr>
                <w:vanish/>
                <w:szCs w:val="18"/>
              </w:rPr>
              <w:t xml:space="preserve">BR_16.21 </w:t>
            </w:r>
            <w:r w:rsidRPr="00896F17">
              <w:rPr>
                <w:rStyle w:val="BullhornChar"/>
              </w:rPr>
              <w:t></w:t>
            </w:r>
            <w:r>
              <w:rPr>
                <w:rFonts w:ascii="Webdings" w:hAnsi="Webdings"/>
              </w:rPr>
              <w:t></w:t>
            </w:r>
            <w:r>
              <w:t>When modifiers are included in the physician's component order, VBECS provides visual and audible alerts to remind the user to evaluate the request. VBECS does not monitor subsequent action.</w:t>
            </w:r>
          </w:p>
          <w:p w14:paraId="71B518F5" w14:textId="77777777" w:rsidR="002A21AE" w:rsidRDefault="002A21AE">
            <w:pPr>
              <w:pStyle w:val="NotesText"/>
            </w:pPr>
          </w:p>
          <w:p w14:paraId="4B8B71E7" w14:textId="77777777" w:rsidR="002A21AE" w:rsidRDefault="002A21AE">
            <w:pPr>
              <w:pStyle w:val="NotesText"/>
            </w:pPr>
            <w:r>
              <w:rPr>
                <w:rFonts w:cs="Arial"/>
                <w:vanish/>
              </w:rPr>
              <w:t xml:space="preserve">BR_16.03 </w:t>
            </w:r>
            <w:r>
              <w:t>VBECS alerts the user when units</w:t>
            </w:r>
            <w:r w:rsidR="009A7994">
              <w:t xml:space="preserve"> (autologous, directed, or assigned/crossmatched)</w:t>
            </w:r>
            <w:r>
              <w:t xml:space="preserve"> with a future expiration date are associated with the patient in any division in the database.</w:t>
            </w:r>
          </w:p>
        </w:tc>
      </w:tr>
      <w:tr w:rsidR="002A21AE" w14:paraId="534AF894" w14:textId="77777777">
        <w:tc>
          <w:tcPr>
            <w:tcW w:w="3240" w:type="dxa"/>
          </w:tcPr>
          <w:p w14:paraId="1ADDC26D" w14:textId="0781E008" w:rsidR="002A21AE" w:rsidRDefault="00AE3C64" w:rsidP="00F51906">
            <w:pPr>
              <w:pStyle w:val="TableTextNumbers"/>
            </w:pPr>
            <w:r>
              <w:lastRenderedPageBreak/>
              <w:t>Scan or enter the specimen UID</w:t>
            </w:r>
            <w:r w:rsidR="00AA6C54">
              <w:t xml:space="preserve"> </w:t>
            </w:r>
            <w:r>
              <w:t>in the Specimen UID field.</w:t>
            </w:r>
            <w:r w:rsidR="007A68B6">
              <w:t xml:space="preserve"> (See Maintain Specimen.)</w:t>
            </w:r>
            <w:r w:rsidR="0057318C">
              <w:t xml:space="preserve"> (</w:t>
            </w:r>
            <w:r w:rsidR="0057318C">
              <w:fldChar w:fldCharType="begin" w:fldLock="1"/>
            </w:r>
            <w:r w:rsidR="0057318C">
              <w:instrText xml:space="preserve"> REF _Ref126722649 \h </w:instrText>
            </w:r>
            <w:r w:rsidR="0057318C">
              <w:fldChar w:fldCharType="separate"/>
            </w:r>
            <w:r w:rsidR="00AB304C">
              <w:t xml:space="preserve">Figure </w:t>
            </w:r>
            <w:r w:rsidR="00AB304C">
              <w:rPr>
                <w:noProof/>
              </w:rPr>
              <w:t>117</w:t>
            </w:r>
            <w:r w:rsidR="0057318C">
              <w:fldChar w:fldCharType="end"/>
            </w:r>
            <w:r w:rsidR="0057318C">
              <w:t>)</w:t>
            </w:r>
          </w:p>
          <w:p w14:paraId="487880D3" w14:textId="77777777" w:rsidR="00F51906" w:rsidRDefault="00F51906" w:rsidP="00F51906">
            <w:pPr>
              <w:pStyle w:val="TableTextNumbersContinued"/>
            </w:pPr>
          </w:p>
          <w:p w14:paraId="51F30574" w14:textId="77777777" w:rsidR="008E5063" w:rsidRDefault="00F35EF5" w:rsidP="00F51906">
            <w:pPr>
              <w:pStyle w:val="TableTextNumbersContinued"/>
            </w:pPr>
            <w:r>
              <w:rPr>
                <w:rFonts w:cs="Arial"/>
                <w:vanish/>
              </w:rPr>
              <w:t xml:space="preserve">BR_16.23 </w:t>
            </w:r>
            <w:r w:rsidR="00F51906">
              <w:t xml:space="preserve">When the component requires a current specimen and a valid sample is not available, click the </w:t>
            </w:r>
            <w:r w:rsidR="00F51906" w:rsidRPr="00F51906">
              <w:rPr>
                <w:b/>
              </w:rPr>
              <w:t xml:space="preserve">Emergency Order </w:t>
            </w:r>
            <w:r w:rsidR="00F51906" w:rsidRPr="00D1100E">
              <w:t>check box</w:t>
            </w:r>
            <w:r w:rsidR="008E5063" w:rsidRPr="008E5063">
              <w:t>.</w:t>
            </w:r>
            <w:r w:rsidR="00F51906">
              <w:t xml:space="preserve"> </w:t>
            </w:r>
          </w:p>
          <w:p w14:paraId="73251512" w14:textId="77777777" w:rsidR="008E5063" w:rsidRDefault="008E5063" w:rsidP="00F51906">
            <w:pPr>
              <w:pStyle w:val="TableTextNumbersContinued"/>
            </w:pPr>
          </w:p>
          <w:p w14:paraId="70A63CE3" w14:textId="77777777" w:rsidR="00F51906" w:rsidRDefault="008E5063" w:rsidP="00F51906">
            <w:pPr>
              <w:pStyle w:val="TableTextNumbersContinued"/>
            </w:pPr>
            <w:r>
              <w:t xml:space="preserve">Click </w:t>
            </w:r>
            <w:r w:rsidRPr="008E5063">
              <w:rPr>
                <w:b/>
              </w:rPr>
              <w:t>Accept</w:t>
            </w:r>
            <w:r>
              <w:t xml:space="preserve"> </w:t>
            </w:r>
            <w:r w:rsidR="00F51906">
              <w:t>to accept the order without an associated specimen.</w:t>
            </w:r>
          </w:p>
        </w:tc>
        <w:tc>
          <w:tcPr>
            <w:tcW w:w="6120" w:type="dxa"/>
          </w:tcPr>
          <w:p w14:paraId="347AB94A" w14:textId="77777777" w:rsidR="002A21AE" w:rsidRDefault="002A21AE">
            <w:pPr>
              <w:pStyle w:val="TableTextBullet"/>
            </w:pPr>
            <w:r>
              <w:t>Allows the user to enter new specimen information or correct problems with an existing specimen with the current VBECS order.</w:t>
            </w:r>
          </w:p>
          <w:p w14:paraId="63232A37" w14:textId="77777777" w:rsidR="00BD6594" w:rsidRDefault="00BD6594">
            <w:pPr>
              <w:pStyle w:val="TableTextBullet"/>
            </w:pPr>
            <w:r>
              <w:t>Allows the user to process an order without an associated specimen for emergency issue and retroactively associate a specimen with the order.</w:t>
            </w:r>
          </w:p>
          <w:p w14:paraId="5717741E" w14:textId="77777777" w:rsidR="002A21AE" w:rsidRDefault="002A21AE">
            <w:pPr>
              <w:pStyle w:val="TableText"/>
            </w:pPr>
          </w:p>
          <w:p w14:paraId="39CE9191" w14:textId="77777777" w:rsidR="002A21AE" w:rsidRDefault="00057948">
            <w:pPr>
              <w:pStyle w:val="TableText"/>
              <w:rPr>
                <w:b/>
                <w:bCs/>
                <w:szCs w:val="18"/>
              </w:rPr>
            </w:pPr>
            <w:r>
              <w:rPr>
                <w:b/>
                <w:bCs/>
                <w:noProof/>
              </w:rPr>
              <mc:AlternateContent>
                <mc:Choice Requires="wps">
                  <w:drawing>
                    <wp:anchor distT="0" distB="0" distL="114300" distR="114300" simplePos="0" relativeHeight="251389440" behindDoc="0" locked="0" layoutInCell="1" allowOverlap="1" wp14:anchorId="19596D50" wp14:editId="380B0E44">
                      <wp:simplePos x="0" y="0"/>
                      <wp:positionH relativeFrom="column">
                        <wp:posOffset>457200</wp:posOffset>
                      </wp:positionH>
                      <wp:positionV relativeFrom="paragraph">
                        <wp:posOffset>65405</wp:posOffset>
                      </wp:positionV>
                      <wp:extent cx="3200400" cy="0"/>
                      <wp:effectExtent l="9525" t="17780" r="9525" b="10795"/>
                      <wp:wrapNone/>
                      <wp:docPr id="413" name="Line 718" descr="P6754C8T7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321F6" id="Line 718" o:spid="_x0000_s1026" alt="&quot;&quot;" style="position:absolute;z-index:2513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138J2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44B34C61" w14:textId="77777777" w:rsidR="002A21AE" w:rsidRDefault="002A21AE">
            <w:pPr>
              <w:pStyle w:val="NotesText"/>
            </w:pPr>
          </w:p>
          <w:p w14:paraId="2D8603E0" w14:textId="77777777" w:rsidR="00513A28" w:rsidRDefault="00513A28">
            <w:pPr>
              <w:pStyle w:val="NotesText"/>
              <w:rPr>
                <w:rFonts w:cs="Arial"/>
              </w:rPr>
            </w:pPr>
            <w:r>
              <w:rPr>
                <w:rFonts w:cs="Arial"/>
              </w:rPr>
              <w:t>Alphabetical characters in specimen UIDs must be capitalized: VBECS recognizes only uppercase letters.</w:t>
            </w:r>
          </w:p>
          <w:p w14:paraId="094F6BAA" w14:textId="77777777" w:rsidR="00055FD7" w:rsidRDefault="00055FD7">
            <w:pPr>
              <w:pStyle w:val="NotesText"/>
              <w:rPr>
                <w:rFonts w:cs="Arial"/>
              </w:rPr>
            </w:pPr>
          </w:p>
          <w:p w14:paraId="46E21094" w14:textId="77777777" w:rsidR="00055FD7" w:rsidRDefault="00055FD7">
            <w:pPr>
              <w:pStyle w:val="NotesText"/>
              <w:rPr>
                <w:rFonts w:cs="Arial"/>
              </w:rPr>
            </w:pPr>
            <w:r>
              <w:rPr>
                <w:rFonts w:cs="Arial"/>
              </w:rPr>
              <w:t>A specimen must be processed in Maintain Specimen prior to selecting for a component order.</w:t>
            </w:r>
          </w:p>
          <w:p w14:paraId="69A2E3F7" w14:textId="77777777" w:rsidR="00CA7E0B" w:rsidRDefault="00CA7E0B">
            <w:pPr>
              <w:pStyle w:val="NotesText"/>
              <w:rPr>
                <w:rFonts w:cs="Arial"/>
              </w:rPr>
            </w:pPr>
          </w:p>
          <w:p w14:paraId="291071A5" w14:textId="77777777" w:rsidR="00CA7E0B" w:rsidRDefault="00C50F88">
            <w:pPr>
              <w:pStyle w:val="NotesText"/>
              <w:rPr>
                <w:rFonts w:cs="Arial"/>
              </w:rPr>
            </w:pPr>
            <w:r w:rsidRPr="00C50F88">
              <w:rPr>
                <w:rFonts w:cs="Arial"/>
                <w:vanish/>
              </w:rPr>
              <w:t xml:space="preserve">BR_16.20 </w:t>
            </w:r>
            <w:r w:rsidR="00CA7E0B">
              <w:rPr>
                <w:rFonts w:cs="Arial"/>
              </w:rPr>
              <w:t>When the order status is “In BloodBank”, a specimen was associated with the order; when the status is “Specimen Required”, the user must identify a specimen by its UID and enter specimen details according to Maintain Specimen.</w:t>
            </w:r>
          </w:p>
          <w:p w14:paraId="76E48488" w14:textId="77777777" w:rsidR="00513A28" w:rsidRDefault="00513A28">
            <w:pPr>
              <w:pStyle w:val="NotesText"/>
              <w:rPr>
                <w:rFonts w:cs="Arial"/>
              </w:rPr>
            </w:pPr>
          </w:p>
          <w:p w14:paraId="37BD3B16" w14:textId="77777777" w:rsidR="002A21AE" w:rsidRDefault="002A21AE">
            <w:pPr>
              <w:pStyle w:val="NotesText"/>
            </w:pPr>
            <w:r>
              <w:rPr>
                <w:rFonts w:cs="Arial"/>
                <w:vanish/>
              </w:rPr>
              <w:t xml:space="preserve">BR_35.04 </w:t>
            </w:r>
            <w:r>
              <w:t>Specimens collected for diagnostic tests only are to be used for performing the specifically ordered tests and are not available for pro</w:t>
            </w:r>
            <w:r w:rsidR="00900A79">
              <w:t>cessing blood component orders.</w:t>
            </w:r>
          </w:p>
          <w:p w14:paraId="71908133" w14:textId="77777777" w:rsidR="00900A79" w:rsidRDefault="00900A79">
            <w:pPr>
              <w:pStyle w:val="NotesText"/>
            </w:pPr>
          </w:p>
          <w:p w14:paraId="4FB962EF" w14:textId="77777777" w:rsidR="00900A79" w:rsidRDefault="00C50F88">
            <w:pPr>
              <w:pStyle w:val="NotesText"/>
            </w:pPr>
            <w:r w:rsidRPr="00C50F88">
              <w:rPr>
                <w:vanish/>
              </w:rPr>
              <w:t xml:space="preserve">BR_35.19 </w:t>
            </w:r>
            <w:r w:rsidR="00900A79">
              <w:t>Within an order group containing orders for blood components and the Type &amp; Screen (TAS) test, the specimen associated with the TAS test applies to the TAS test and to all blood component orders contained in the order group.</w:t>
            </w:r>
          </w:p>
          <w:p w14:paraId="161549C3" w14:textId="77777777" w:rsidR="002A21AE" w:rsidRDefault="002A21AE">
            <w:pPr>
              <w:pStyle w:val="NotesText"/>
            </w:pPr>
          </w:p>
          <w:p w14:paraId="49BB76A3" w14:textId="77777777" w:rsidR="002A21AE" w:rsidRDefault="002A21AE">
            <w:pPr>
              <w:pStyle w:val="NotesText"/>
            </w:pPr>
            <w:r>
              <w:rPr>
                <w:rFonts w:cs="Arial"/>
                <w:vanish/>
              </w:rPr>
              <w:t xml:space="preserve">BR_16.19 </w:t>
            </w:r>
            <w:r>
              <w:t>For all orders requiring a specimen, VBECS queries VistALink to verify that the lab order numbers are consistent with the specimen. If they are not consistent, VBECS notifies the user that the specimen</w:t>
            </w:r>
            <w:r w:rsidR="00FA7E65">
              <w:t>’</w:t>
            </w:r>
            <w:r>
              <w:t xml:space="preserve">s lab number </w:t>
            </w:r>
            <w:r w:rsidR="00A10483">
              <w:t>does not</w:t>
            </w:r>
            <w:r>
              <w:t xml:space="preserve"> match the number associated with the order. VBECS does not accept the order until the user identifies a specimen with a matching lab order number.</w:t>
            </w:r>
          </w:p>
          <w:p w14:paraId="37C318EB" w14:textId="77777777" w:rsidR="002A21AE" w:rsidRDefault="002A21AE">
            <w:pPr>
              <w:pStyle w:val="NotesText"/>
            </w:pPr>
          </w:p>
          <w:p w14:paraId="529FB0B5" w14:textId="77777777" w:rsidR="002A21AE" w:rsidRDefault="002A21AE" w:rsidP="00C50F88">
            <w:pPr>
              <w:pStyle w:val="NotesText"/>
            </w:pPr>
            <w:r>
              <w:rPr>
                <w:rFonts w:cs="Arial"/>
                <w:vanish/>
              </w:rPr>
              <w:t>BR_16.0</w:t>
            </w:r>
            <w:r w:rsidRPr="00FF6514">
              <w:rPr>
                <w:vanish/>
                <w:szCs w:val="18"/>
              </w:rPr>
              <w:t>6</w:t>
            </w:r>
            <w:r w:rsidR="00ED1076" w:rsidRPr="00263B24">
              <w:t>Wh</w:t>
            </w:r>
            <w:r w:rsidR="00ED1076">
              <w:t xml:space="preserve">en </w:t>
            </w:r>
            <w:r>
              <w:t xml:space="preserve">an order for a component class requires a specimen (WHOLE BLOOD and RED BLOOD CELLS component classes, and, optionally, based on Setting Component Classes) the user must select this function and replace the existing specimen with a new one. However, when VBECS displays the “emergency issue” order indicator, the user may continue without identifying an associated specimen. VBECS captures details for inclusion in an Exception Report [exception type: Emergency </w:t>
            </w:r>
            <w:r w:rsidR="00445B34">
              <w:t>order accepted</w:t>
            </w:r>
            <w:r>
              <w:t xml:space="preserve"> (no specimen)]. </w:t>
            </w:r>
          </w:p>
        </w:tc>
      </w:tr>
      <w:tr w:rsidR="002A21AE" w14:paraId="39093433" w14:textId="77777777">
        <w:tc>
          <w:tcPr>
            <w:tcW w:w="3240" w:type="dxa"/>
          </w:tcPr>
          <w:p w14:paraId="7E2F2406" w14:textId="77777777" w:rsidR="002A21AE" w:rsidRDefault="00844381">
            <w:pPr>
              <w:pStyle w:val="TableTextNumbers"/>
            </w:pPr>
            <w:r>
              <w:t xml:space="preserve">Click </w:t>
            </w:r>
            <w:r w:rsidR="00057948">
              <w:rPr>
                <w:noProof/>
              </w:rPr>
              <w:drawing>
                <wp:inline distT="0" distB="0" distL="0" distR="0" wp14:anchorId="6124B40C" wp14:editId="581C1D01">
                  <wp:extent cx="156845" cy="156845"/>
                  <wp:effectExtent l="0" t="0" r="0" b="0"/>
                  <wp:docPr id="208" name="Picture 208" descr="P6770C9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P6770C9T70#yIS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6A0A4A">
              <w:t xml:space="preserve"> </w:t>
            </w:r>
            <w:r>
              <w:t>to r</w:t>
            </w:r>
            <w:r w:rsidR="002A21AE">
              <w:t>eview order details.</w:t>
            </w:r>
          </w:p>
        </w:tc>
        <w:tc>
          <w:tcPr>
            <w:tcW w:w="6120" w:type="dxa"/>
          </w:tcPr>
          <w:p w14:paraId="7185E759" w14:textId="77777777" w:rsidR="002A21AE" w:rsidRDefault="002A21AE" w:rsidP="0083673C">
            <w:pPr>
              <w:pStyle w:val="TableTextBullet"/>
            </w:pPr>
            <w:r>
              <w:t>Displays order details that may not be edited</w:t>
            </w:r>
            <w:r w:rsidR="0083673C">
              <w:t>.</w:t>
            </w:r>
            <w:r>
              <w:t xml:space="preserve"> </w:t>
            </w:r>
          </w:p>
        </w:tc>
      </w:tr>
      <w:tr w:rsidR="002A21AE" w14:paraId="45242069" w14:textId="77777777">
        <w:tc>
          <w:tcPr>
            <w:tcW w:w="3240" w:type="dxa"/>
          </w:tcPr>
          <w:p w14:paraId="31244D8A" w14:textId="77777777" w:rsidR="002A21AE" w:rsidRDefault="002A21AE">
            <w:pPr>
              <w:pStyle w:val="TableTextNumbers"/>
            </w:pPr>
            <w:r>
              <w:lastRenderedPageBreak/>
              <w:t xml:space="preserve"> When the</w:t>
            </w:r>
            <w:r w:rsidR="007A68B6">
              <w:t xml:space="preserve"> urgency is “P</w:t>
            </w:r>
            <w:r>
              <w:t>re-</w:t>
            </w:r>
            <w:r w:rsidR="007A68B6">
              <w:t>O</w:t>
            </w:r>
            <w:r>
              <w:t>p</w:t>
            </w:r>
            <w:r w:rsidR="007A68B6">
              <w:t>,”</w:t>
            </w:r>
            <w:r w:rsidR="00AA6C54">
              <w:t xml:space="preserve"> </w:t>
            </w:r>
            <w:r w:rsidR="0032011A">
              <w:t xml:space="preserve">click </w:t>
            </w:r>
            <w:r w:rsidR="00057948">
              <w:rPr>
                <w:noProof/>
              </w:rPr>
              <w:drawing>
                <wp:inline distT="0" distB="0" distL="0" distR="0" wp14:anchorId="499197BD" wp14:editId="71770878">
                  <wp:extent cx="156845" cy="156845"/>
                  <wp:effectExtent l="0" t="0" r="0" b="0"/>
                  <wp:docPr id="209" name="Picture 209" descr="P6773C11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P6773C11T70#yIS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32011A">
              <w:t xml:space="preserve"> </w:t>
            </w:r>
            <w:r w:rsidR="006C4777">
              <w:t xml:space="preserve">in the Patient Information Toolbar </w:t>
            </w:r>
            <w:r w:rsidR="0032011A">
              <w:t xml:space="preserve">to </w:t>
            </w:r>
            <w:r w:rsidR="007A68B6">
              <w:t>r</w:t>
            </w:r>
            <w:r>
              <w:t>eview the MSBOS information for the division.</w:t>
            </w:r>
          </w:p>
          <w:p w14:paraId="58BF65C6" w14:textId="77777777" w:rsidR="002A21AE" w:rsidRDefault="002A21AE">
            <w:pPr>
              <w:pStyle w:val="TableTextNumbersContinued"/>
            </w:pPr>
          </w:p>
          <w:p w14:paraId="41B03113" w14:textId="77777777" w:rsidR="002A21AE" w:rsidRDefault="002A21AE">
            <w:pPr>
              <w:pStyle w:val="TableTextNumbersContinued"/>
            </w:pPr>
            <w:r>
              <w:t>View and/or search entries in the MSBOS for possible matches with the patient surgery.</w:t>
            </w:r>
          </w:p>
        </w:tc>
        <w:tc>
          <w:tcPr>
            <w:tcW w:w="6120" w:type="dxa"/>
          </w:tcPr>
          <w:p w14:paraId="1F577F12" w14:textId="77777777" w:rsidR="002A21AE" w:rsidRDefault="002A21AE">
            <w:pPr>
              <w:pStyle w:val="TableTextBullet"/>
            </w:pPr>
            <w:r>
              <w:t>Allows the user to review current MSBOS settings.</w:t>
            </w:r>
          </w:p>
          <w:p w14:paraId="7AB28EDB" w14:textId="77777777" w:rsidR="002A21AE" w:rsidRDefault="002A21AE">
            <w:pPr>
              <w:pStyle w:val="TableTextBullet"/>
            </w:pPr>
            <w:r>
              <w:t>Lists the current MSBOS site parameters, based on generic surgery types.</w:t>
            </w:r>
          </w:p>
          <w:p w14:paraId="2F1F660A" w14:textId="77777777" w:rsidR="002A21AE" w:rsidRDefault="002A21AE">
            <w:pPr>
              <w:pStyle w:val="TableText"/>
            </w:pPr>
          </w:p>
          <w:p w14:paraId="629A587C" w14:textId="77777777" w:rsidR="002A21AE" w:rsidRDefault="00057948">
            <w:pPr>
              <w:pStyle w:val="TableText"/>
              <w:rPr>
                <w:b/>
                <w:bCs/>
                <w:szCs w:val="18"/>
              </w:rPr>
            </w:pPr>
            <w:r>
              <w:rPr>
                <w:b/>
                <w:bCs/>
                <w:noProof/>
              </w:rPr>
              <mc:AlternateContent>
                <mc:Choice Requires="wps">
                  <w:drawing>
                    <wp:anchor distT="0" distB="0" distL="114300" distR="114300" simplePos="0" relativeHeight="251392512" behindDoc="0" locked="0" layoutInCell="1" allowOverlap="1" wp14:anchorId="7E8CE97D" wp14:editId="1B2F26B0">
                      <wp:simplePos x="0" y="0"/>
                      <wp:positionH relativeFrom="column">
                        <wp:posOffset>457200</wp:posOffset>
                      </wp:positionH>
                      <wp:positionV relativeFrom="paragraph">
                        <wp:posOffset>65405</wp:posOffset>
                      </wp:positionV>
                      <wp:extent cx="3200400" cy="0"/>
                      <wp:effectExtent l="9525" t="17780" r="9525" b="10795"/>
                      <wp:wrapNone/>
                      <wp:docPr id="412" name="Line 720" descr="P6779C12T7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D43E2" id="Line 720" o:spid="_x0000_s1026" alt="&quot;&quot;" style="position:absolute;z-index:2513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5t2oc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5641787E" w14:textId="77777777" w:rsidR="002A21AE" w:rsidRDefault="002A21AE">
            <w:pPr>
              <w:pStyle w:val="NotesText"/>
            </w:pPr>
          </w:p>
          <w:p w14:paraId="28B865BF" w14:textId="77777777" w:rsidR="002A21AE" w:rsidRDefault="002A21AE" w:rsidP="003D73A0">
            <w:pPr>
              <w:pStyle w:val="NotesText"/>
            </w:pPr>
            <w:r>
              <w:rPr>
                <w:rFonts w:cs="Arial"/>
                <w:vanish/>
              </w:rPr>
              <w:t xml:space="preserve">BR_16.11 </w:t>
            </w:r>
            <w:r>
              <w:t>When the pre-op indicator is “Yes,” the user may access the MSBOS to determine whether to include details of the order in the Inappropriate Request Report.</w:t>
            </w:r>
          </w:p>
        </w:tc>
      </w:tr>
      <w:tr w:rsidR="002A21AE" w14:paraId="7660A096" w14:textId="77777777">
        <w:tc>
          <w:tcPr>
            <w:tcW w:w="3240" w:type="dxa"/>
            <w:tcBorders>
              <w:top w:val="single" w:sz="4" w:space="0" w:color="auto"/>
              <w:left w:val="single" w:sz="4" w:space="0" w:color="auto"/>
              <w:bottom w:val="single" w:sz="4" w:space="0" w:color="auto"/>
              <w:right w:val="single" w:sz="4" w:space="0" w:color="auto"/>
            </w:tcBorders>
          </w:tcPr>
          <w:p w14:paraId="15FC35B0" w14:textId="77777777" w:rsidR="002A21AE" w:rsidRDefault="002A21AE">
            <w:pPr>
              <w:pStyle w:val="TableTextNumbers"/>
            </w:pPr>
            <w:r>
              <w:t xml:space="preserve">Based on the review of the MSBOS parameter associated with the surgery type and the details of the current order, click the </w:t>
            </w:r>
            <w:r>
              <w:rPr>
                <w:b/>
              </w:rPr>
              <w:t>Include In Inappropriate Transfusion Request Report</w:t>
            </w:r>
            <w:r>
              <w:t xml:space="preserve"> check box, according to local policy.</w:t>
            </w:r>
          </w:p>
        </w:tc>
        <w:tc>
          <w:tcPr>
            <w:tcW w:w="6120" w:type="dxa"/>
            <w:tcBorders>
              <w:top w:val="single" w:sz="4" w:space="0" w:color="auto"/>
              <w:left w:val="single" w:sz="4" w:space="0" w:color="auto"/>
              <w:bottom w:val="single" w:sz="4" w:space="0" w:color="auto"/>
              <w:right w:val="single" w:sz="4" w:space="0" w:color="auto"/>
            </w:tcBorders>
          </w:tcPr>
          <w:p w14:paraId="07A456BD" w14:textId="77777777" w:rsidR="002A21AE" w:rsidRDefault="002A21AE">
            <w:pPr>
              <w:pStyle w:val="TableTextBullet"/>
            </w:pPr>
            <w:r>
              <w:t>Adds the details of the order to the Inappropriate Transfusion Request Report when the user completes Accept Orders: Accept an Order.</w:t>
            </w:r>
          </w:p>
          <w:p w14:paraId="46A0542C" w14:textId="77777777" w:rsidR="00FF6514" w:rsidRDefault="00FF6514" w:rsidP="00FF6514">
            <w:pPr>
              <w:pStyle w:val="TableText"/>
            </w:pPr>
          </w:p>
          <w:p w14:paraId="0FC9E8B7" w14:textId="77777777" w:rsidR="00FF6514" w:rsidRDefault="00057948" w:rsidP="00FF6514">
            <w:pPr>
              <w:pStyle w:val="TableText"/>
              <w:rPr>
                <w:b/>
                <w:bCs/>
                <w:szCs w:val="18"/>
              </w:rPr>
            </w:pPr>
            <w:r>
              <w:rPr>
                <w:b/>
                <w:bCs/>
                <w:noProof/>
              </w:rPr>
              <mc:AlternateContent>
                <mc:Choice Requires="wps">
                  <w:drawing>
                    <wp:anchor distT="0" distB="0" distL="114300" distR="114300" simplePos="0" relativeHeight="251973120" behindDoc="0" locked="0" layoutInCell="1" allowOverlap="1" wp14:anchorId="64BF53AE" wp14:editId="7AEBFB8F">
                      <wp:simplePos x="0" y="0"/>
                      <wp:positionH relativeFrom="column">
                        <wp:posOffset>457200</wp:posOffset>
                      </wp:positionH>
                      <wp:positionV relativeFrom="paragraph">
                        <wp:posOffset>65405</wp:posOffset>
                      </wp:positionV>
                      <wp:extent cx="3200400" cy="0"/>
                      <wp:effectExtent l="9525" t="17780" r="9525" b="10795"/>
                      <wp:wrapNone/>
                      <wp:docPr id="411" name="Line 1181" descr="P6786C14T7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11C8B" id="Line 1181" o:spid="_x0000_s1026" alt="&quot;&quot;" style="position:absolute;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WUWw+sMBAABvAwAADgAAAAAAAAAAAAAAAAAu&#10;AgAAZHJzL2Uyb0RvYy54bWxQSwECLQAUAAYACAAAACEAF08wEtsAAAAIAQAADwAAAAAAAAAAAAAA&#10;AAAdBAAAZHJzL2Rvd25yZXYueG1sUEsFBgAAAAAEAAQA8wAAACUFAAAAAA==&#10;" strokeweight="1.5pt"/>
                  </w:pict>
                </mc:Fallback>
              </mc:AlternateContent>
            </w:r>
            <w:r w:rsidR="00FF6514">
              <w:rPr>
                <w:b/>
                <w:bCs/>
                <w:szCs w:val="18"/>
              </w:rPr>
              <w:t>NOTES</w:t>
            </w:r>
          </w:p>
          <w:p w14:paraId="4FF167F5" w14:textId="77777777" w:rsidR="00FF6514" w:rsidRPr="00000CF1" w:rsidRDefault="00FF6514" w:rsidP="00FF6514">
            <w:pPr>
              <w:pStyle w:val="NotesText"/>
            </w:pPr>
          </w:p>
          <w:p w14:paraId="7B2DF3AC" w14:textId="77777777" w:rsidR="00FF6514" w:rsidRDefault="00FF6514" w:rsidP="00FF6514">
            <w:pPr>
              <w:pStyle w:val="NotesText"/>
            </w:pPr>
            <w:r>
              <w:t xml:space="preserve">To display a list of available autologous and/or directed units in the system for the selected patient, see </w:t>
            </w:r>
            <w:r w:rsidRPr="00FF6514">
              <w:t>Blood Availability</w:t>
            </w:r>
            <w:r>
              <w:t>.</w:t>
            </w:r>
          </w:p>
          <w:p w14:paraId="2CEA0D3D" w14:textId="77777777" w:rsidR="008B0C9A" w:rsidRDefault="008B0C9A" w:rsidP="00FF6514">
            <w:pPr>
              <w:pStyle w:val="NotesText"/>
            </w:pPr>
          </w:p>
          <w:p w14:paraId="2A0AAB76" w14:textId="77777777" w:rsidR="008B0C9A" w:rsidRDefault="008B0C9A" w:rsidP="00FF6514">
            <w:pPr>
              <w:pStyle w:val="NotesText"/>
            </w:pPr>
            <w:r>
              <w:t>A user must accept the corresponding TAS order before including a component order in Inappropriate Transfusion Request Report.</w:t>
            </w:r>
          </w:p>
        </w:tc>
      </w:tr>
      <w:tr w:rsidR="002A21AE" w14:paraId="75A6098D" w14:textId="77777777">
        <w:tc>
          <w:tcPr>
            <w:tcW w:w="3240" w:type="dxa"/>
          </w:tcPr>
          <w:p w14:paraId="73FD88B5" w14:textId="77777777" w:rsidR="002A21AE" w:rsidRDefault="002A21AE">
            <w:pPr>
              <w:pStyle w:val="TableTextNumbers"/>
            </w:pPr>
            <w:r>
              <w:t xml:space="preserve">Click </w:t>
            </w:r>
            <w:r w:rsidR="00057948">
              <w:rPr>
                <w:noProof/>
              </w:rPr>
              <w:drawing>
                <wp:inline distT="0" distB="0" distL="0" distR="0" wp14:anchorId="09D6E642" wp14:editId="144C1738">
                  <wp:extent cx="156845" cy="156845"/>
                  <wp:effectExtent l="0" t="0" r="0" b="0"/>
                  <wp:docPr id="210" name="Picture 210" descr="P6792C15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P6792C15T70#yIS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in the Patient Information Toolbar to review patient data</w:t>
            </w:r>
            <w:r w:rsidR="006C4777">
              <w:t>,</w:t>
            </w:r>
            <w:r>
              <w:t xml:space="preserve"> Transfusion Requirements and Special Instructions. </w:t>
            </w:r>
          </w:p>
        </w:tc>
        <w:tc>
          <w:tcPr>
            <w:tcW w:w="6120" w:type="dxa"/>
          </w:tcPr>
          <w:p w14:paraId="60728F73" w14:textId="77777777" w:rsidR="002A21AE" w:rsidRDefault="002A21AE">
            <w:pPr>
              <w:pStyle w:val="TableTextBullet"/>
            </w:pPr>
            <w:r>
              <w:t xml:space="preserve">Displays read-only </w:t>
            </w:r>
            <w:r w:rsidR="00F01B32">
              <w:t xml:space="preserve">TR and SI </w:t>
            </w:r>
            <w:r>
              <w:t>patient VBECS data.</w:t>
            </w:r>
          </w:p>
          <w:p w14:paraId="25F606D2" w14:textId="77777777" w:rsidR="002A21AE" w:rsidRDefault="002A21AE">
            <w:pPr>
              <w:pStyle w:val="TableText"/>
            </w:pPr>
          </w:p>
          <w:p w14:paraId="6A706A2C" w14:textId="77777777" w:rsidR="002A21AE" w:rsidRDefault="002A21AE">
            <w:pPr>
              <w:pStyle w:val="NotesText"/>
            </w:pPr>
          </w:p>
        </w:tc>
      </w:tr>
      <w:tr w:rsidR="002A21AE" w14:paraId="37F35091" w14:textId="77777777">
        <w:tc>
          <w:tcPr>
            <w:tcW w:w="3240" w:type="dxa"/>
          </w:tcPr>
          <w:p w14:paraId="7DC951D1" w14:textId="77777777" w:rsidR="002A21AE" w:rsidRDefault="002A21AE">
            <w:pPr>
              <w:pStyle w:val="TableTextNumbers"/>
            </w:pPr>
            <w:r>
              <w:t xml:space="preserve">Click </w:t>
            </w:r>
            <w:r>
              <w:rPr>
                <w:b/>
              </w:rPr>
              <w:t>Accept</w:t>
            </w:r>
            <w:r>
              <w:t xml:space="preserve"> or </w:t>
            </w:r>
            <w:r>
              <w:rPr>
                <w:b/>
              </w:rPr>
              <w:t>Reject</w:t>
            </w:r>
            <w:r>
              <w:t xml:space="preserve"> for each order. </w:t>
            </w:r>
          </w:p>
        </w:tc>
        <w:tc>
          <w:tcPr>
            <w:tcW w:w="6120" w:type="dxa"/>
          </w:tcPr>
          <w:p w14:paraId="2F54B8D6" w14:textId="77777777" w:rsidR="002A21AE" w:rsidRDefault="002A21AE">
            <w:pPr>
              <w:pStyle w:val="TableTextBullet"/>
            </w:pPr>
            <w:r>
              <w:t>For each order accepted, updates the:</w:t>
            </w:r>
          </w:p>
          <w:p w14:paraId="6043B199" w14:textId="77777777" w:rsidR="002A21AE" w:rsidRDefault="002A21AE">
            <w:pPr>
              <w:pStyle w:val="TableTextBullet1"/>
            </w:pPr>
            <w:r>
              <w:t xml:space="preserve">Status to “accepted” and adds it to the PTL for further processing. </w:t>
            </w:r>
          </w:p>
          <w:p w14:paraId="20011BD7" w14:textId="77777777" w:rsidR="002A21AE" w:rsidRDefault="002A21AE">
            <w:pPr>
              <w:pStyle w:val="TableTextBullet1"/>
            </w:pPr>
            <w:r>
              <w:t>Existing lab accession number to collect data associated with every order.</w:t>
            </w:r>
          </w:p>
          <w:p w14:paraId="6595D81A" w14:textId="77777777" w:rsidR="002A21AE" w:rsidRDefault="002A21AE">
            <w:pPr>
              <w:pStyle w:val="TableText"/>
            </w:pPr>
          </w:p>
          <w:p w14:paraId="409044D9" w14:textId="77777777" w:rsidR="002A21AE" w:rsidRDefault="00057948">
            <w:pPr>
              <w:pStyle w:val="TableText"/>
              <w:rPr>
                <w:b/>
                <w:bCs/>
                <w:szCs w:val="18"/>
              </w:rPr>
            </w:pPr>
            <w:r>
              <w:rPr>
                <w:b/>
                <w:bCs/>
                <w:noProof/>
              </w:rPr>
              <mc:AlternateContent>
                <mc:Choice Requires="wps">
                  <w:drawing>
                    <wp:anchor distT="0" distB="0" distL="114300" distR="114300" simplePos="0" relativeHeight="251395584" behindDoc="0" locked="0" layoutInCell="1" allowOverlap="1" wp14:anchorId="46237D62" wp14:editId="4A1EA40B">
                      <wp:simplePos x="0" y="0"/>
                      <wp:positionH relativeFrom="column">
                        <wp:posOffset>457200</wp:posOffset>
                      </wp:positionH>
                      <wp:positionV relativeFrom="paragraph">
                        <wp:posOffset>65405</wp:posOffset>
                      </wp:positionV>
                      <wp:extent cx="3200400" cy="0"/>
                      <wp:effectExtent l="9525" t="17780" r="9525" b="10795"/>
                      <wp:wrapNone/>
                      <wp:docPr id="410" name="Line 721" descr="P6802C18T7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330E7" id="Line 721" o:spid="_x0000_s1026" alt="&quot;&quot;" style="position:absolute;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CeVGgcwgEAAG4DAAAOAAAAAAAAAAAAAAAAAC4C&#10;AABkcnMvZTJvRG9jLnhtbFBLAQItABQABgAIAAAAIQAXTzAS2wAAAAgBAAAPAAAAAAAAAAAAAAAA&#10;ABwEAABkcnMvZG93bnJldi54bWxQSwUGAAAAAAQABADzAAAAJAUAAAAA&#10;" strokeweight="1.5pt"/>
                  </w:pict>
                </mc:Fallback>
              </mc:AlternateContent>
            </w:r>
            <w:r w:rsidR="002A21AE">
              <w:rPr>
                <w:b/>
                <w:bCs/>
                <w:szCs w:val="18"/>
              </w:rPr>
              <w:t>NOTES</w:t>
            </w:r>
          </w:p>
          <w:p w14:paraId="79AE05C8" w14:textId="77777777" w:rsidR="002A21AE" w:rsidRDefault="002A21AE">
            <w:pPr>
              <w:pStyle w:val="NotesText"/>
            </w:pPr>
          </w:p>
          <w:p w14:paraId="2420B867" w14:textId="77777777" w:rsidR="002A21AE" w:rsidRDefault="002A21AE">
            <w:pPr>
              <w:pStyle w:val="NotesText"/>
            </w:pPr>
            <w:r>
              <w:t xml:space="preserve">When a user rejects an order, VBECS acknowledges the order and cancels it through Accept Orders: Cancel a Pending Order. </w:t>
            </w:r>
          </w:p>
          <w:p w14:paraId="164F0CE1" w14:textId="77777777" w:rsidR="002A21AE" w:rsidRDefault="002A21AE">
            <w:pPr>
              <w:pStyle w:val="TableText"/>
            </w:pPr>
          </w:p>
          <w:p w14:paraId="71ADD5D3" w14:textId="77777777" w:rsidR="002A21AE" w:rsidRDefault="002A21AE">
            <w:pPr>
              <w:pStyle w:val="NotesText"/>
            </w:pPr>
            <w:r>
              <w:rPr>
                <w:rFonts w:cs="Arial"/>
                <w:vanish/>
              </w:rPr>
              <w:t xml:space="preserve">BR_16.16 </w:t>
            </w:r>
            <w:r>
              <w:t xml:space="preserve">When no specimen is required, VBECS assigns an order expiration date to three days in the future at 23:59 (the date of acceptance of the component order acceptance is day “0”). </w:t>
            </w:r>
          </w:p>
          <w:p w14:paraId="34F0E16F" w14:textId="77777777" w:rsidR="002A21AE" w:rsidRDefault="002A21AE">
            <w:pPr>
              <w:pStyle w:val="NotesText"/>
            </w:pPr>
          </w:p>
          <w:p w14:paraId="18053AD0" w14:textId="0C95F6EF" w:rsidR="002A21AE" w:rsidRDefault="002A21AE">
            <w:pPr>
              <w:pStyle w:val="NotesText"/>
            </w:pPr>
            <w:r>
              <w:t xml:space="preserve">When a specimen is required, the order expiration date is the same as the associated specimen. VBECS automatically expires the associated component order when the specimen is expired. </w:t>
            </w:r>
            <w:r w:rsidR="00AF5D80">
              <w:t xml:space="preserve">(See </w:t>
            </w:r>
            <w:r w:rsidR="00543DAF">
              <w:fldChar w:fldCharType="begin" w:fldLock="1"/>
            </w:r>
            <w:r w:rsidR="00543DAF">
              <w:instrText xml:space="preserve"> REF _Ref170004931 \h </w:instrText>
            </w:r>
            <w:r w:rsidR="00543DAF">
              <w:fldChar w:fldCharType="separate"/>
            </w:r>
            <w:r w:rsidR="00AB304C">
              <w:t xml:space="preserve">Appendix </w:t>
            </w:r>
            <w:r w:rsidR="00AB304C">
              <w:rPr>
                <w:noProof/>
              </w:rPr>
              <w:t>B</w:t>
            </w:r>
            <w:r w:rsidR="00543DAF">
              <w:fldChar w:fldCharType="end"/>
            </w:r>
            <w:r w:rsidR="00AF5D80">
              <w:t>:</w:t>
            </w:r>
            <w:r w:rsidR="00A4315F">
              <w:t xml:space="preserve"> </w:t>
            </w:r>
            <w:r w:rsidR="00A4315F">
              <w:fldChar w:fldCharType="begin" w:fldLock="1"/>
            </w:r>
            <w:r w:rsidR="00A4315F">
              <w:instrText xml:space="preserve"> REF _Ref127061358 \h  \* MERGEFORMAT </w:instrText>
            </w:r>
            <w:r w:rsidR="00A4315F">
              <w:fldChar w:fldCharType="separate"/>
            </w:r>
            <w:r w:rsidR="00AB304C">
              <w:t xml:space="preserve">Figure </w:t>
            </w:r>
            <w:r w:rsidR="00AB304C">
              <w:rPr>
                <w:noProof/>
              </w:rPr>
              <w:t>147:</w:t>
            </w:r>
            <w:r w:rsidR="00AB304C">
              <w:t xml:space="preserve"> </w:t>
            </w:r>
            <w:r w:rsidR="00AB304C">
              <w:rPr>
                <w:vanish/>
              </w:rPr>
              <w:t xml:space="preserve">TT_92.01 </w:t>
            </w:r>
            <w:r w:rsidR="00AB304C" w:rsidRPr="00AB304C">
              <w:t>Order</w:t>
            </w:r>
            <w:r w:rsidR="00AB304C">
              <w:t xml:space="preserve"> Status Flowchart</w:t>
            </w:r>
            <w:r w:rsidR="00A4315F">
              <w:fldChar w:fldCharType="end"/>
            </w:r>
            <w:r>
              <w:t>.)</w:t>
            </w:r>
          </w:p>
          <w:p w14:paraId="1BAE0F16" w14:textId="77777777" w:rsidR="002A21AE" w:rsidRDefault="002A21AE">
            <w:pPr>
              <w:pStyle w:val="NotesText"/>
            </w:pPr>
          </w:p>
          <w:p w14:paraId="7F858A71" w14:textId="77777777" w:rsidR="002A21AE" w:rsidRDefault="002A21AE">
            <w:pPr>
              <w:pStyle w:val="NotesText"/>
            </w:pPr>
            <w:r>
              <w:rPr>
                <w:rFonts w:cs="Arial"/>
                <w:vanish/>
              </w:rPr>
              <w:t xml:space="preserve">BR_16.14 </w:t>
            </w:r>
            <w:r>
              <w:t>The user evaluates each diagnostic test and component order separately.</w:t>
            </w:r>
          </w:p>
          <w:p w14:paraId="411D0DE2" w14:textId="77777777" w:rsidR="002A21AE" w:rsidRDefault="002A21AE">
            <w:pPr>
              <w:pStyle w:val="NotesText"/>
            </w:pPr>
          </w:p>
          <w:p w14:paraId="12AA6242" w14:textId="77777777" w:rsidR="002A21AE" w:rsidRDefault="002A21AE">
            <w:pPr>
              <w:pStyle w:val="NotesText"/>
            </w:pPr>
            <w:r>
              <w:rPr>
                <w:rFonts w:cs="Arial"/>
                <w:vanish/>
              </w:rPr>
              <w:t xml:space="preserve">BR_16.04 </w:t>
            </w:r>
            <w:r>
              <w:t xml:space="preserve">When the pre-op indicator is “No,” VBECS compares the Laboratory test values included in the order message from CPRS to the threshold values defined for the ordered component class requirements in Configure ICCBBA Component Classes Inappropriate Request Parameters setting (see Component Classes). When the threshold values were exceeded for one or more ordered component classes, VBECS notifies the user that the Laboratory test value exceeds site parameters for the </w:t>
            </w:r>
            <w:r>
              <w:lastRenderedPageBreak/>
              <w:t xml:space="preserve">component class orders and asks whether to add the order to the Inappropriate Transfusion Request report. </w:t>
            </w:r>
            <w:r>
              <w:rPr>
                <w:b/>
              </w:rPr>
              <w:t>Yes</w:t>
            </w:r>
            <w:r>
              <w:t xml:space="preserve"> adds the details of the order to the Inappropriate Request Report. </w:t>
            </w:r>
            <w:r>
              <w:rPr>
                <w:b/>
              </w:rPr>
              <w:t>No</w:t>
            </w:r>
            <w:r>
              <w:t xml:space="preserve"> requires a comment to be associated with the order.</w:t>
            </w:r>
          </w:p>
          <w:p w14:paraId="2D883892" w14:textId="77777777" w:rsidR="002A21AE" w:rsidRDefault="002A21AE">
            <w:pPr>
              <w:pStyle w:val="NotesText"/>
            </w:pPr>
          </w:p>
          <w:p w14:paraId="5DEF1486" w14:textId="77777777" w:rsidR="002A21AE" w:rsidRDefault="002A21AE">
            <w:pPr>
              <w:pStyle w:val="NotesText"/>
            </w:pPr>
            <w:r>
              <w:t xml:space="preserve">The user may cancel one or more components of an order through Accept Orders: Cancel a Pending Order to cancel while working in Accept Orders: Accept an Order. When this occurs, VBECS sends a message to CPRS and notifies the </w:t>
            </w:r>
            <w:r w:rsidR="00E71B91">
              <w:t xml:space="preserve">VistA </w:t>
            </w:r>
            <w:r>
              <w:t>Laboratory</w:t>
            </w:r>
            <w:r w:rsidR="00E71B91">
              <w:t xml:space="preserve"> </w:t>
            </w:r>
            <w:r w:rsidR="004654F5">
              <w:t>application</w:t>
            </w:r>
            <w:r>
              <w:t xml:space="preserve"> that the order was canceled.</w:t>
            </w:r>
          </w:p>
        </w:tc>
      </w:tr>
      <w:tr w:rsidR="002A21AE" w14:paraId="778DC181" w14:textId="77777777">
        <w:tc>
          <w:tcPr>
            <w:tcW w:w="3240" w:type="dxa"/>
          </w:tcPr>
          <w:p w14:paraId="0C669622" w14:textId="77777777" w:rsidR="002A21AE" w:rsidRDefault="009644D4">
            <w:pPr>
              <w:pStyle w:val="TableTextNumbers"/>
            </w:pPr>
            <w:r>
              <w:lastRenderedPageBreak/>
              <w:t>Repeat Steps 2</w:t>
            </w:r>
            <w:r w:rsidR="00694B70">
              <w:t xml:space="preserve"> through 8</w:t>
            </w:r>
            <w:r w:rsidR="002A21AE">
              <w:t xml:space="preserve"> to accept another order, or click </w:t>
            </w:r>
            <w:r w:rsidR="002A21AE">
              <w:rPr>
                <w:b/>
              </w:rPr>
              <w:t>Close</w:t>
            </w:r>
            <w:r w:rsidR="002A21AE">
              <w:t xml:space="preserve"> to exit.</w:t>
            </w:r>
            <w:r w:rsidR="002A21AE" w:rsidRPr="00B93B42">
              <w:rPr>
                <w:rStyle w:val="StyleTableTextNumbersWhite1Char"/>
              </w:rPr>
              <w:t xml:space="preserve"> </w:t>
            </w:r>
            <w:r w:rsidR="002A21AE">
              <w:rPr>
                <w:vanish/>
                <w:color w:val="FFFFFF"/>
                <w:szCs w:val="18"/>
              </w:rPr>
              <w:fldChar w:fldCharType="begin"/>
            </w:r>
            <w:r w:rsidR="002A21AE">
              <w:rPr>
                <w:vanish/>
                <w:color w:val="FFFFFF"/>
                <w:szCs w:val="18"/>
              </w:rPr>
              <w:instrText xml:space="preserve"> LISTNUM \l 1 \s 0 </w:instrText>
            </w:r>
            <w:r w:rsidR="002A21AE">
              <w:rPr>
                <w:vanish/>
                <w:color w:val="FFFFFF"/>
                <w:szCs w:val="18"/>
              </w:rPr>
              <w:fldChar w:fldCharType="end"/>
            </w:r>
          </w:p>
        </w:tc>
        <w:tc>
          <w:tcPr>
            <w:tcW w:w="6120" w:type="dxa"/>
          </w:tcPr>
          <w:p w14:paraId="569A4674" w14:textId="77777777" w:rsidR="002A21AE" w:rsidRDefault="002A21AE">
            <w:pPr>
              <w:pStyle w:val="TableText"/>
            </w:pPr>
          </w:p>
        </w:tc>
      </w:tr>
    </w:tbl>
    <w:p w14:paraId="14456B40" w14:textId="3217DC34" w:rsidR="002A21AE" w:rsidRDefault="002118B0" w:rsidP="002118B0">
      <w:pPr>
        <w:pStyle w:val="Caption"/>
      </w:pPr>
      <w:bookmarkStart w:id="450" w:name="_Ref126723121"/>
      <w:bookmarkStart w:id="451" w:name="_Ref126722356"/>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116</w:t>
      </w:r>
      <w:r w:rsidR="004E20BD">
        <w:rPr>
          <w:noProof/>
        </w:rPr>
        <w:fldChar w:fldCharType="end"/>
      </w:r>
      <w:bookmarkEnd w:id="450"/>
      <w:r>
        <w:t xml:space="preserve">: </w:t>
      </w:r>
      <w:r w:rsidR="00050BB7">
        <w:t>Accept Orders</w:t>
      </w:r>
      <w:bookmarkEnd w:id="451"/>
    </w:p>
    <w:p w14:paraId="4630339E" w14:textId="77777777" w:rsidR="00050BB7" w:rsidRPr="00050BB7" w:rsidRDefault="00057948" w:rsidP="007810A1">
      <w:pPr>
        <w:pStyle w:val="BodyText"/>
      </w:pPr>
      <w:r>
        <w:rPr>
          <w:noProof/>
        </w:rPr>
        <w:drawing>
          <wp:inline distT="0" distB="0" distL="0" distR="0" wp14:anchorId="14E51058" wp14:editId="14882705">
            <wp:extent cx="5597525" cy="3269615"/>
            <wp:effectExtent l="0" t="0" r="3175" b="6985"/>
            <wp:docPr id="211" name="Picture 211" descr="P6820#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P6820#yIS1">
                      <a:extLst>
                        <a:ext uri="{C183D7F6-B498-43B3-948B-1728B52AA6E4}">
                          <adec:decorative xmlns:adec="http://schemas.microsoft.com/office/drawing/2017/decorative" val="1"/>
                        </a:ext>
                      </a:extLst>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597525" cy="3269615"/>
                    </a:xfrm>
                    <a:prstGeom prst="rect">
                      <a:avLst/>
                    </a:prstGeom>
                    <a:noFill/>
                    <a:ln>
                      <a:noFill/>
                    </a:ln>
                  </pic:spPr>
                </pic:pic>
              </a:graphicData>
            </a:graphic>
          </wp:inline>
        </w:drawing>
      </w:r>
    </w:p>
    <w:p w14:paraId="4239052C" w14:textId="260BA250" w:rsidR="0057318C" w:rsidRDefault="0057318C" w:rsidP="0057318C">
      <w:pPr>
        <w:pStyle w:val="Caption"/>
      </w:pPr>
      <w:bookmarkStart w:id="452" w:name="_Ref126722649"/>
      <w:bookmarkStart w:id="453" w:name="_Ref126722603"/>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117</w:t>
      </w:r>
      <w:r w:rsidR="004E20BD">
        <w:rPr>
          <w:noProof/>
        </w:rPr>
        <w:fldChar w:fldCharType="end"/>
      </w:r>
      <w:bookmarkEnd w:id="452"/>
      <w:r>
        <w:t>: Maintain Specimen</w:t>
      </w:r>
      <w:bookmarkEnd w:id="453"/>
    </w:p>
    <w:p w14:paraId="20883B7C" w14:textId="77777777" w:rsidR="007810A1" w:rsidRDefault="00057948" w:rsidP="007810A1">
      <w:pPr>
        <w:pStyle w:val="BodyText"/>
      </w:pPr>
      <w:r>
        <w:rPr>
          <w:noProof/>
        </w:rPr>
        <w:drawing>
          <wp:inline distT="0" distB="0" distL="0" distR="0" wp14:anchorId="404E292C" wp14:editId="464DA94E">
            <wp:extent cx="5597525" cy="3676015"/>
            <wp:effectExtent l="0" t="0" r="3175" b="635"/>
            <wp:docPr id="212" name="Picture 212" descr="P6822#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P6822#yIS1">
                      <a:extLst>
                        <a:ext uri="{C183D7F6-B498-43B3-948B-1728B52AA6E4}">
                          <adec:decorative xmlns:adec="http://schemas.microsoft.com/office/drawing/2017/decorative" val="1"/>
                        </a:ext>
                      </a:extLst>
                    </pic:cNvPr>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597525" cy="3676015"/>
                    </a:xfrm>
                    <a:prstGeom prst="rect">
                      <a:avLst/>
                    </a:prstGeom>
                    <a:noFill/>
                    <a:ln>
                      <a:noFill/>
                    </a:ln>
                  </pic:spPr>
                </pic:pic>
              </a:graphicData>
            </a:graphic>
          </wp:inline>
        </w:drawing>
      </w:r>
    </w:p>
    <w:p w14:paraId="255EB700" w14:textId="77777777" w:rsidR="002A21AE" w:rsidRDefault="002A21AE">
      <w:pPr>
        <w:pStyle w:val="Heading3"/>
      </w:pPr>
      <w:r>
        <w:br w:type="page"/>
      </w:r>
      <w:bookmarkStart w:id="454" w:name="_Toc4588801"/>
      <w:r>
        <w:lastRenderedPageBreak/>
        <w:t>Accept Orders: Pending Order List</w:t>
      </w:r>
      <w:bookmarkEnd w:id="454"/>
      <w:r>
        <w:rPr>
          <w:rFonts w:ascii="Geneva" w:hAnsi="Geneva"/>
          <w:vanish/>
        </w:rPr>
        <w:fldChar w:fldCharType="begin"/>
      </w:r>
      <w:r>
        <w:rPr>
          <w:rFonts w:ascii="Geneva" w:hAnsi="Geneva"/>
          <w:vanish/>
        </w:rPr>
        <w:instrText xml:space="preserve"> XE </w:instrText>
      </w:r>
      <w:r w:rsidR="00FA7E65">
        <w:rPr>
          <w:rFonts w:ascii="Geneva" w:hAnsi="Geneva"/>
          <w:vanish/>
        </w:rPr>
        <w:instrText>“</w:instrText>
      </w:r>
      <w:r>
        <w:rPr>
          <w:rFonts w:ascii="Geneva" w:hAnsi="Geneva"/>
          <w:vanish/>
        </w:rPr>
        <w:instrText>Accept Orders\: Pending Order List</w:instrText>
      </w:r>
      <w:r w:rsidR="00FA7E65">
        <w:rPr>
          <w:rFonts w:ascii="Geneva" w:hAnsi="Geneva"/>
          <w:vanish/>
        </w:rPr>
        <w:instrText>”</w:instrText>
      </w:r>
      <w:r>
        <w:rPr>
          <w:rFonts w:ascii="Geneva" w:hAnsi="Geneva"/>
          <w:vanish/>
        </w:rPr>
        <w:instrText xml:space="preserve"> </w:instrText>
      </w:r>
      <w:r>
        <w:rPr>
          <w:rFonts w:ascii="Geneva" w:hAnsi="Geneva"/>
          <w:vanish/>
        </w:rPr>
        <w:fldChar w:fldCharType="end"/>
      </w:r>
      <w:r>
        <w:rPr>
          <w:rFonts w:ascii="Geneva" w:hAnsi="Geneva"/>
          <w:vanish/>
        </w:rPr>
        <w:t xml:space="preserve"> UC_88</w:t>
      </w:r>
    </w:p>
    <w:p w14:paraId="3D9F4242" w14:textId="77777777" w:rsidR="002A21AE" w:rsidRDefault="002A21AE" w:rsidP="00FA7E65">
      <w:pPr>
        <w:pStyle w:val="BodyText"/>
      </w:pPr>
      <w:bookmarkStart w:id="455" w:name="_Toc74835890"/>
      <w:r>
        <w:t>The Pending Order List (POL) lists pending blood bank orders.</w:t>
      </w:r>
    </w:p>
    <w:p w14:paraId="21BDADDA" w14:textId="77777777" w:rsidR="002A21AE" w:rsidRDefault="002A21AE">
      <w:pPr>
        <w:pStyle w:val="Heading4"/>
      </w:pPr>
      <w:r>
        <w:t>Assumptions</w:t>
      </w:r>
    </w:p>
    <w:p w14:paraId="04C34FCD" w14:textId="77777777" w:rsidR="002A21AE" w:rsidRDefault="002A21AE">
      <w:pPr>
        <w:pStyle w:val="ListBullet"/>
      </w:pPr>
      <w:r>
        <w:t>A CPRS order is acknowledged by VBECS.</w:t>
      </w:r>
    </w:p>
    <w:p w14:paraId="53D92983" w14:textId="77777777" w:rsidR="002A21AE" w:rsidRDefault="002A21AE">
      <w:pPr>
        <w:pStyle w:val="ListBullet"/>
      </w:pPr>
      <w:r>
        <w:t xml:space="preserve">An order is printed or an alert is issued per site parameters. </w:t>
      </w:r>
    </w:p>
    <w:p w14:paraId="4D1A6FB7" w14:textId="77777777" w:rsidR="002A21AE" w:rsidRDefault="002A21AE">
      <w:pPr>
        <w:pStyle w:val="ListBullet"/>
      </w:pPr>
      <w:r>
        <w:t xml:space="preserve">The connection to </w:t>
      </w:r>
      <w:r w:rsidR="00CA0045" w:rsidRPr="00CA0045">
        <w:rPr>
          <w:bCs/>
        </w:rPr>
        <w:t>VistA</w:t>
      </w:r>
      <w:r>
        <w:t xml:space="preserve"> is active.</w:t>
      </w:r>
    </w:p>
    <w:p w14:paraId="0A3C9341" w14:textId="77777777" w:rsidR="002A21AE" w:rsidRDefault="002A21AE">
      <w:pPr>
        <w:pStyle w:val="Heading4"/>
      </w:pPr>
      <w:r>
        <w:t>Outcome</w:t>
      </w:r>
    </w:p>
    <w:p w14:paraId="50E9DAF0" w14:textId="77777777" w:rsidR="002A21AE" w:rsidRDefault="002A21AE">
      <w:pPr>
        <w:pStyle w:val="ListBullet"/>
      </w:pPr>
      <w:r>
        <w:t>A list of pending</w:t>
      </w:r>
      <w:r w:rsidR="00E46E21">
        <w:t xml:space="preserve"> orders displays and may be sorted and searched.</w:t>
      </w:r>
    </w:p>
    <w:p w14:paraId="3680F71D" w14:textId="77777777" w:rsidR="00E46E21" w:rsidRDefault="00E46E21">
      <w:pPr>
        <w:pStyle w:val="ListBullet"/>
      </w:pPr>
      <w:r>
        <w:t>A list of pending orders may be printed in the default sort presentation.</w:t>
      </w:r>
    </w:p>
    <w:p w14:paraId="0C94E9C8" w14:textId="77777777" w:rsidR="002A21AE" w:rsidRDefault="002A21AE">
      <w:pPr>
        <w:pStyle w:val="Heading4"/>
      </w:pPr>
      <w:r>
        <w:t>Limitations and Restrictions</w:t>
      </w:r>
    </w:p>
    <w:p w14:paraId="47D953C1" w14:textId="77777777" w:rsidR="00DD022C" w:rsidRDefault="00DD022C" w:rsidP="00DD022C">
      <w:pPr>
        <w:pStyle w:val="ListBullet"/>
      </w:pPr>
      <w:r>
        <w:t xml:space="preserve">Orders placed for </w:t>
      </w:r>
      <w:r w:rsidR="00922AD8">
        <w:t>patients</w:t>
      </w:r>
      <w:r>
        <w:t xml:space="preserve"> with names that exceed the database standard for File #2 (30 characters) or do not have a first or last name in VistA are rejected and do not appear in VBECS. The VBECS System Administrator is notified of each rejection via an email to the address entered in VBECS Administrator “</w:t>
      </w:r>
      <w:r w:rsidR="00276DAA">
        <w:t>Email Alerts</w:t>
      </w:r>
      <w:r>
        <w:t>” field.</w:t>
      </w:r>
    </w:p>
    <w:p w14:paraId="776EF27E" w14:textId="77777777" w:rsidR="00C50F88" w:rsidRDefault="00C50F88" w:rsidP="00DD022C">
      <w:pPr>
        <w:pStyle w:val="ListBullet"/>
      </w:pPr>
      <w:r>
        <w:t>TAS must be accepted prior to any diagnostic test associated with the same specimen UID to allow the specimen to be used for the TAS.</w:t>
      </w:r>
    </w:p>
    <w:p w14:paraId="7659D4BD" w14:textId="77777777" w:rsidR="002A21AE" w:rsidRDefault="002A21AE">
      <w:pPr>
        <w:pStyle w:val="Heading4"/>
      </w:pPr>
      <w:r>
        <w:t>Additional Information</w:t>
      </w:r>
    </w:p>
    <w:p w14:paraId="6F43585C" w14:textId="77777777" w:rsidR="00E079D4" w:rsidRDefault="00E079D4">
      <w:pPr>
        <w:pStyle w:val="ListBullet"/>
      </w:pPr>
      <w:r>
        <w:t>This option is used for diagnostic and blood component test orders.</w:t>
      </w:r>
    </w:p>
    <w:p w14:paraId="05A1AB73" w14:textId="77777777" w:rsidR="00C50F88" w:rsidRDefault="00C50F88">
      <w:pPr>
        <w:pStyle w:val="ListBullet"/>
      </w:pPr>
      <w:r>
        <w:t>Blood derivatives, for example: Octoplas, are processed using CPRS FFP order.</w:t>
      </w:r>
    </w:p>
    <w:p w14:paraId="263B0F27" w14:textId="77777777" w:rsidR="002A21AE" w:rsidRDefault="002A21AE">
      <w:pPr>
        <w:pStyle w:val="Heading4"/>
      </w:pPr>
      <w:r>
        <w:t>User Roles with Access to This Option</w:t>
      </w:r>
    </w:p>
    <w:p w14:paraId="42C123BC" w14:textId="77777777" w:rsidR="002A21AE" w:rsidRDefault="000F12D4">
      <w:pPr>
        <w:pStyle w:val="Roles"/>
        <w:rPr>
          <w:snapToGrid w:val="0"/>
        </w:rPr>
      </w:pPr>
      <w:r>
        <w:t>All users</w:t>
      </w:r>
    </w:p>
    <w:bookmarkEnd w:id="455"/>
    <w:p w14:paraId="0684B19A" w14:textId="77777777" w:rsidR="002A21AE" w:rsidRDefault="002A21AE">
      <w:pPr>
        <w:pStyle w:val="Heading4"/>
      </w:pPr>
      <w:r>
        <w:t>Accept Orders: Pending Order List</w:t>
      </w:r>
    </w:p>
    <w:p w14:paraId="2B9E0D4E" w14:textId="77777777" w:rsidR="002A21AE" w:rsidRDefault="002A21AE" w:rsidP="00FA7E65">
      <w:pPr>
        <w:pStyle w:val="BodyText"/>
      </w:pPr>
      <w:r>
        <w:t>VBECS displays the POL with search criteria, which allows the user to limit the number of viewable items. The user may review details of an order without taking action on it.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BEA3E72" w14:textId="77777777">
        <w:trPr>
          <w:cantSplit/>
          <w:tblHeader/>
        </w:trPr>
        <w:tc>
          <w:tcPr>
            <w:tcW w:w="3240" w:type="dxa"/>
            <w:shd w:val="pct30" w:color="auto" w:fill="FFFFFF"/>
            <w:vAlign w:val="bottom"/>
          </w:tcPr>
          <w:p w14:paraId="69713131" w14:textId="77777777" w:rsidR="002A21AE" w:rsidRDefault="002A21AE">
            <w:pPr>
              <w:pStyle w:val="TableText"/>
              <w:rPr>
                <w:b/>
              </w:rPr>
            </w:pPr>
            <w:r>
              <w:rPr>
                <w:b/>
              </w:rPr>
              <w:t>User Action</w:t>
            </w:r>
          </w:p>
        </w:tc>
        <w:tc>
          <w:tcPr>
            <w:tcW w:w="6120" w:type="dxa"/>
            <w:shd w:val="pct30" w:color="auto" w:fill="FFFFFF"/>
            <w:vAlign w:val="bottom"/>
          </w:tcPr>
          <w:p w14:paraId="3679060F" w14:textId="77777777" w:rsidR="002A21AE" w:rsidRDefault="002A21AE">
            <w:pPr>
              <w:pStyle w:val="TableText"/>
              <w:rPr>
                <w:b/>
              </w:rPr>
            </w:pPr>
            <w:r>
              <w:rPr>
                <w:b/>
              </w:rPr>
              <w:t>VBECS</w:t>
            </w:r>
          </w:p>
        </w:tc>
      </w:tr>
      <w:tr w:rsidR="002A21AE" w14:paraId="7F8028FF" w14:textId="77777777">
        <w:tc>
          <w:tcPr>
            <w:tcW w:w="3240" w:type="dxa"/>
          </w:tcPr>
          <w:p w14:paraId="446A82D1" w14:textId="77777777" w:rsidR="002A21AE" w:rsidRDefault="002A21AE">
            <w:pPr>
              <w:pStyle w:val="TableTextNumbers"/>
            </w:pPr>
            <w:r>
              <w:t xml:space="preserve">Select </w:t>
            </w:r>
            <w:r>
              <w:rPr>
                <w:b/>
              </w:rPr>
              <w:t>Orders</w:t>
            </w:r>
            <w:r>
              <w:t xml:space="preserve"> from the main menu.</w:t>
            </w:r>
          </w:p>
          <w:p w14:paraId="452958E1" w14:textId="77777777" w:rsidR="002A21AE" w:rsidRDefault="002A21AE">
            <w:pPr>
              <w:pStyle w:val="TableTextNumbersContinued"/>
            </w:pPr>
          </w:p>
          <w:p w14:paraId="5E43781E" w14:textId="77777777" w:rsidR="002A21AE" w:rsidRDefault="002A21AE">
            <w:pPr>
              <w:pStyle w:val="TableTextNumbersContinued"/>
            </w:pPr>
            <w:r>
              <w:t xml:space="preserve">Select </w:t>
            </w:r>
            <w:r>
              <w:rPr>
                <w:b/>
              </w:rPr>
              <w:t>Accept Orders</w:t>
            </w:r>
            <w:r>
              <w:t>, or</w:t>
            </w:r>
          </w:p>
          <w:p w14:paraId="5D640292" w14:textId="77777777" w:rsidR="002A21AE" w:rsidRDefault="002A21AE">
            <w:pPr>
              <w:pStyle w:val="TableTextNumbersContinued"/>
            </w:pPr>
          </w:p>
          <w:p w14:paraId="60C3758D" w14:textId="515D003E" w:rsidR="002A21AE" w:rsidRDefault="002A21AE">
            <w:pPr>
              <w:pStyle w:val="TableTextNumbersContinued"/>
            </w:pPr>
            <w:r>
              <w:t xml:space="preserve">Click the </w:t>
            </w:r>
            <w:r>
              <w:rPr>
                <w:b/>
              </w:rPr>
              <w:t>Pending Orders alert icon</w:t>
            </w:r>
            <w:r>
              <w:t>, if available, in the status bar at the bottom of the screen</w:t>
            </w:r>
            <w:r w:rsidR="007B4959">
              <w:t xml:space="preserve"> (</w:t>
            </w:r>
            <w:r w:rsidR="0071094D">
              <w:fldChar w:fldCharType="begin" w:fldLock="1"/>
            </w:r>
            <w:r w:rsidR="0071094D">
              <w:instrText xml:space="preserve"> REF _Ref126723121 \h </w:instrText>
            </w:r>
            <w:r w:rsidR="0071094D">
              <w:fldChar w:fldCharType="separate"/>
            </w:r>
            <w:r w:rsidR="00AB304C">
              <w:t xml:space="preserve">Figure </w:t>
            </w:r>
            <w:r w:rsidR="00AB304C">
              <w:rPr>
                <w:noProof/>
              </w:rPr>
              <w:t>116</w:t>
            </w:r>
            <w:r w:rsidR="0071094D">
              <w:fldChar w:fldCharType="end"/>
            </w:r>
            <w:r w:rsidR="007B4959">
              <w:t>)</w:t>
            </w:r>
            <w:r>
              <w:t>.</w:t>
            </w:r>
          </w:p>
        </w:tc>
        <w:tc>
          <w:tcPr>
            <w:tcW w:w="6120" w:type="dxa"/>
          </w:tcPr>
          <w:p w14:paraId="45818C3F" w14:textId="77777777" w:rsidR="002A21AE" w:rsidRDefault="002A21AE">
            <w:pPr>
              <w:pStyle w:val="TableTextBullet"/>
            </w:pPr>
            <w:r>
              <w:t>Displays options for processing orders.</w:t>
            </w:r>
          </w:p>
          <w:p w14:paraId="15EE278E" w14:textId="77777777" w:rsidR="002A21AE" w:rsidRDefault="002A21AE">
            <w:pPr>
              <w:pStyle w:val="TableTextBullet"/>
            </w:pPr>
            <w:r>
              <w:t>Displays the Pending Order List and Pending Order List search criteria.</w:t>
            </w:r>
          </w:p>
          <w:p w14:paraId="6C701DD1" w14:textId="77777777" w:rsidR="002A21AE" w:rsidRDefault="002A21AE">
            <w:pPr>
              <w:pStyle w:val="TableTextBullet"/>
            </w:pPr>
            <w:r>
              <w:t xml:space="preserve">Allows the user to search for specific orders. </w:t>
            </w:r>
          </w:p>
          <w:p w14:paraId="2434D3B6" w14:textId="77777777" w:rsidR="002A21AE" w:rsidRDefault="002A21AE">
            <w:pPr>
              <w:pStyle w:val="TableTextBullet"/>
            </w:pPr>
            <w:r>
              <w:t xml:space="preserve">Provides the criteria to limit the search and subsequent presentation and processing. </w:t>
            </w:r>
          </w:p>
          <w:p w14:paraId="19AABF77" w14:textId="77777777" w:rsidR="002A21AE" w:rsidRDefault="002A21AE">
            <w:pPr>
              <w:pStyle w:val="TableTextBullet"/>
            </w:pPr>
            <w:r>
              <w:t>Allows acceptance of an order.</w:t>
            </w:r>
          </w:p>
          <w:p w14:paraId="4680039C" w14:textId="77777777" w:rsidR="002A21AE" w:rsidRDefault="002A21AE">
            <w:pPr>
              <w:pStyle w:val="TableText"/>
            </w:pPr>
          </w:p>
          <w:p w14:paraId="3817472C" w14:textId="77777777" w:rsidR="002A21AE" w:rsidRDefault="00057948">
            <w:pPr>
              <w:pStyle w:val="TableText"/>
              <w:rPr>
                <w:b/>
                <w:bCs/>
                <w:szCs w:val="18"/>
              </w:rPr>
            </w:pPr>
            <w:r>
              <w:rPr>
                <w:b/>
                <w:bCs/>
                <w:noProof/>
              </w:rPr>
              <mc:AlternateContent>
                <mc:Choice Requires="wps">
                  <w:drawing>
                    <wp:anchor distT="0" distB="0" distL="114300" distR="114300" simplePos="0" relativeHeight="251373056" behindDoc="0" locked="0" layoutInCell="1" allowOverlap="1" wp14:anchorId="1C1BB489" wp14:editId="2C6501E9">
                      <wp:simplePos x="0" y="0"/>
                      <wp:positionH relativeFrom="column">
                        <wp:posOffset>457200</wp:posOffset>
                      </wp:positionH>
                      <wp:positionV relativeFrom="paragraph">
                        <wp:posOffset>65405</wp:posOffset>
                      </wp:positionV>
                      <wp:extent cx="3200400" cy="0"/>
                      <wp:effectExtent l="9525" t="17780" r="9525" b="10795"/>
                      <wp:wrapNone/>
                      <wp:docPr id="409" name="Line 707" descr="P6856C4T7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5F899" id="Line 707" o:spid="_x0000_s1026" alt="&quot;&quot;" style="position:absolute;z-index:2513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o+L36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7012321B" w14:textId="77777777" w:rsidR="002A21AE" w:rsidRDefault="00E21E67">
            <w:pPr>
              <w:pStyle w:val="NotesText"/>
            </w:pPr>
            <w:r w:rsidRPr="00424EF8">
              <w:rPr>
                <w:vanish/>
              </w:rPr>
              <w:t xml:space="preserve">BR_88.10 </w:t>
            </w:r>
            <w:r w:rsidRPr="00274F6D">
              <w:t xml:space="preserve">VBECS </w:t>
            </w:r>
            <w:r>
              <w:t xml:space="preserve">displays orders directed to the division by </w:t>
            </w:r>
            <w:r w:rsidR="00424EF8">
              <w:t>a</w:t>
            </w:r>
            <w:r>
              <w:t xml:space="preserve"> user during system configuration.</w:t>
            </w:r>
            <w:r w:rsidR="00892C58" w:rsidRPr="00892C58">
              <w:rPr>
                <w:vanish/>
              </w:rPr>
              <w:t>DR 2,889</w:t>
            </w:r>
          </w:p>
          <w:p w14:paraId="05192ED2" w14:textId="77777777" w:rsidR="00E21E67" w:rsidRDefault="00E21E67">
            <w:pPr>
              <w:pStyle w:val="NotesText"/>
            </w:pPr>
          </w:p>
          <w:p w14:paraId="3225EF41" w14:textId="47991796" w:rsidR="002A21AE" w:rsidRDefault="002A21AE">
            <w:pPr>
              <w:pStyle w:val="NotesText"/>
            </w:pPr>
            <w:r w:rsidRPr="00A4315F">
              <w:t xml:space="preserve">See </w:t>
            </w:r>
            <w:r w:rsidR="00543DAF">
              <w:fldChar w:fldCharType="begin" w:fldLock="1"/>
            </w:r>
            <w:r w:rsidR="00543DAF">
              <w:instrText xml:space="preserve"> REF _Ref170004931 \h </w:instrText>
            </w:r>
            <w:r w:rsidR="00543DAF">
              <w:fldChar w:fldCharType="separate"/>
            </w:r>
            <w:r w:rsidR="00AB304C">
              <w:t xml:space="preserve">Appendix </w:t>
            </w:r>
            <w:r w:rsidR="00AB304C">
              <w:rPr>
                <w:noProof/>
              </w:rPr>
              <w:t>B</w:t>
            </w:r>
            <w:r w:rsidR="00543DAF">
              <w:fldChar w:fldCharType="end"/>
            </w:r>
            <w:r w:rsidRPr="00A4315F">
              <w:t>:</w:t>
            </w:r>
            <w:r w:rsidR="00A4315F" w:rsidRPr="00A4315F">
              <w:t xml:space="preserve"> </w:t>
            </w:r>
            <w:r w:rsidR="00A4315F" w:rsidRPr="00A4315F">
              <w:fldChar w:fldCharType="begin" w:fldLock="1"/>
            </w:r>
            <w:r w:rsidR="00A4315F" w:rsidRPr="00A4315F">
              <w:instrText xml:space="preserve"> REF _Ref127061360 \h </w:instrText>
            </w:r>
            <w:r w:rsidR="00A4315F">
              <w:instrText xml:space="preserve"> \* MERGEFORMAT </w:instrText>
            </w:r>
            <w:r w:rsidR="00A4315F" w:rsidRPr="00A4315F">
              <w:fldChar w:fldCharType="separate"/>
            </w:r>
            <w:r w:rsidR="00AB304C">
              <w:t xml:space="preserve">Figure 147: </w:t>
            </w:r>
            <w:r w:rsidR="00AB304C" w:rsidRPr="00AB304C">
              <w:rPr>
                <w:vanish/>
                <w:szCs w:val="18"/>
              </w:rPr>
              <w:t xml:space="preserve">TT_92.01 </w:t>
            </w:r>
            <w:r w:rsidR="00AB304C" w:rsidRPr="00AB304C">
              <w:t>Order</w:t>
            </w:r>
            <w:r w:rsidR="00AB304C">
              <w:t xml:space="preserve"> Status Flowchart</w:t>
            </w:r>
            <w:r w:rsidR="00A4315F" w:rsidRPr="00A4315F">
              <w:fldChar w:fldCharType="end"/>
            </w:r>
            <w:r>
              <w:t>.</w:t>
            </w:r>
          </w:p>
          <w:p w14:paraId="74585698" w14:textId="77777777" w:rsidR="002A21AE" w:rsidRDefault="002A21AE">
            <w:pPr>
              <w:pStyle w:val="NotesText"/>
            </w:pPr>
          </w:p>
          <w:p w14:paraId="7BFEF815" w14:textId="77777777" w:rsidR="002A21AE" w:rsidRDefault="002A21AE" w:rsidP="008941EC">
            <w:pPr>
              <w:pStyle w:val="NotesText"/>
            </w:pPr>
            <w:r>
              <w:rPr>
                <w:rFonts w:cs="Arial"/>
                <w:vanish/>
              </w:rPr>
              <w:t xml:space="preserve">BR_88.04 </w:t>
            </w:r>
            <w:r>
              <w:t xml:space="preserve">When searching for pending orders based on patient name, the system displays all pending and current accepted orders for the </w:t>
            </w:r>
            <w:r>
              <w:lastRenderedPageBreak/>
              <w:t xml:space="preserve">patient. A current order is a previously accepted order with a future order/specimen expiration date. </w:t>
            </w:r>
          </w:p>
        </w:tc>
      </w:tr>
      <w:tr w:rsidR="002A21AE" w14:paraId="7CE17BCF" w14:textId="77777777">
        <w:trPr>
          <w:trHeight w:val="575"/>
        </w:trPr>
        <w:tc>
          <w:tcPr>
            <w:tcW w:w="3240" w:type="dxa"/>
          </w:tcPr>
          <w:p w14:paraId="72B1CA13" w14:textId="77777777" w:rsidR="002A21AE" w:rsidRDefault="002A21AE">
            <w:pPr>
              <w:pStyle w:val="TableTextNumbers"/>
            </w:pPr>
            <w:r>
              <w:lastRenderedPageBreak/>
              <w:t>Change the selection criteria, as needed, to prepare the list or to accept the default presentation.</w:t>
            </w:r>
          </w:p>
        </w:tc>
        <w:tc>
          <w:tcPr>
            <w:tcW w:w="6120" w:type="dxa"/>
          </w:tcPr>
          <w:p w14:paraId="29A23C74" w14:textId="77777777" w:rsidR="002A21AE" w:rsidRDefault="002A21AE">
            <w:pPr>
              <w:pStyle w:val="TableTextBullet"/>
            </w:pPr>
            <w:r>
              <w:t xml:space="preserve">Displays the POL requested by user’s selection(s). </w:t>
            </w:r>
          </w:p>
          <w:p w14:paraId="4FF60A3A" w14:textId="77777777" w:rsidR="002A21AE" w:rsidRDefault="002A21AE">
            <w:pPr>
              <w:pStyle w:val="TableText"/>
            </w:pPr>
          </w:p>
          <w:p w14:paraId="2CF335FA" w14:textId="77777777" w:rsidR="002A21AE" w:rsidRDefault="00057948">
            <w:pPr>
              <w:pStyle w:val="TableText"/>
              <w:rPr>
                <w:b/>
                <w:bCs/>
                <w:szCs w:val="18"/>
              </w:rPr>
            </w:pPr>
            <w:r>
              <w:rPr>
                <w:b/>
                <w:bCs/>
                <w:noProof/>
              </w:rPr>
              <mc:AlternateContent>
                <mc:Choice Requires="wps">
                  <w:drawing>
                    <wp:anchor distT="0" distB="0" distL="114300" distR="114300" simplePos="0" relativeHeight="251376128" behindDoc="0" locked="0" layoutInCell="1" allowOverlap="1" wp14:anchorId="3763BBFD" wp14:editId="3A0702B0">
                      <wp:simplePos x="0" y="0"/>
                      <wp:positionH relativeFrom="column">
                        <wp:posOffset>457200</wp:posOffset>
                      </wp:positionH>
                      <wp:positionV relativeFrom="paragraph">
                        <wp:posOffset>65405</wp:posOffset>
                      </wp:positionV>
                      <wp:extent cx="3200400" cy="0"/>
                      <wp:effectExtent l="9525" t="17780" r="9525" b="10795"/>
                      <wp:wrapNone/>
                      <wp:docPr id="408" name="Line 708" descr="P6866C6T7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41263" id="Line 708" o:spid="_x0000_s1026" alt="&quot;&quot;" style="position:absolute;z-index:2513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B01usRwgEAAG4DAAAOAAAAAAAAAAAAAAAAAC4C&#10;AABkcnMvZTJvRG9jLnhtbFBLAQItABQABgAIAAAAIQAXTzAS2wAAAAgBAAAPAAAAAAAAAAAAAAAA&#10;ABwEAABkcnMvZG93bnJldi54bWxQSwUGAAAAAAQABADzAAAAJAUAAAAA&#10;" strokeweight="1.5pt"/>
                  </w:pict>
                </mc:Fallback>
              </mc:AlternateContent>
            </w:r>
            <w:r w:rsidR="002A21AE">
              <w:rPr>
                <w:b/>
                <w:bCs/>
                <w:szCs w:val="18"/>
              </w:rPr>
              <w:t>NOTES</w:t>
            </w:r>
          </w:p>
          <w:p w14:paraId="096A88AC" w14:textId="77777777" w:rsidR="002A21AE" w:rsidRDefault="002A21AE">
            <w:pPr>
              <w:pStyle w:val="TableText"/>
            </w:pPr>
          </w:p>
          <w:p w14:paraId="5709E196" w14:textId="77777777" w:rsidR="002A21AE" w:rsidRDefault="002A21AE">
            <w:pPr>
              <w:pStyle w:val="NotesText"/>
            </w:pPr>
            <w:r>
              <w:rPr>
                <w:rFonts w:cs="Arial"/>
                <w:vanish/>
              </w:rPr>
              <w:t xml:space="preserve">BR_88.09 </w:t>
            </w:r>
            <w:r>
              <w:t>The POL can be sorted by Patient, Procedure, Urgency, Date/time received or date/time wanted.</w:t>
            </w:r>
          </w:p>
          <w:p w14:paraId="31200CB0" w14:textId="77777777" w:rsidR="002A21AE" w:rsidRDefault="002A21AE">
            <w:pPr>
              <w:pStyle w:val="NotesText"/>
            </w:pPr>
          </w:p>
          <w:p w14:paraId="35938392" w14:textId="77777777" w:rsidR="002A21AE" w:rsidRDefault="002A21AE">
            <w:pPr>
              <w:pStyle w:val="NotesText"/>
            </w:pPr>
            <w:r>
              <w:rPr>
                <w:rFonts w:cs="Arial"/>
                <w:vanish/>
              </w:rPr>
              <w:t xml:space="preserve">BR_88.07 </w:t>
            </w:r>
            <w:r>
              <w:t>The user may select an entry on the POL to view additional details for the order, including:</w:t>
            </w:r>
          </w:p>
          <w:p w14:paraId="772B4463" w14:textId="77777777" w:rsidR="002A21AE" w:rsidRDefault="002A21AE">
            <w:pPr>
              <w:pStyle w:val="NotesTextBullet"/>
            </w:pPr>
            <w:r>
              <w:t>Patient Name</w:t>
            </w:r>
          </w:p>
          <w:p w14:paraId="51EB8DB0" w14:textId="77777777" w:rsidR="002A21AE" w:rsidRDefault="002A21AE">
            <w:pPr>
              <w:pStyle w:val="NotesTextBullet"/>
            </w:pPr>
            <w:r>
              <w:t>Patient ID</w:t>
            </w:r>
          </w:p>
          <w:p w14:paraId="54A77F5D" w14:textId="77777777" w:rsidR="002A21AE" w:rsidRDefault="002A21AE">
            <w:pPr>
              <w:pStyle w:val="NotesTextBullet"/>
            </w:pPr>
            <w:r>
              <w:t xml:space="preserve">Additional component class or diagnostic tests included in the same order group as the selected order. (These are displayed whether they are </w:t>
            </w:r>
            <w:r w:rsidR="00191CFE">
              <w:t>“</w:t>
            </w:r>
            <w:r>
              <w:t>in progress</w:t>
            </w:r>
            <w:r w:rsidR="00191CFE">
              <w:t>”</w:t>
            </w:r>
            <w:r>
              <w:t xml:space="preserve"> or still on the POL. There should be some indication to distinguish those that are already in progress.)</w:t>
            </w:r>
          </w:p>
          <w:p w14:paraId="38CDF83D" w14:textId="77777777" w:rsidR="002A21AE" w:rsidRDefault="002A21AE">
            <w:pPr>
              <w:pStyle w:val="NotesTextBullet"/>
            </w:pPr>
            <w:r>
              <w:t>Order comments (additional requirements from CPRS)</w:t>
            </w:r>
          </w:p>
          <w:p w14:paraId="50B913C0" w14:textId="77777777" w:rsidR="002A21AE" w:rsidRDefault="002A21AE">
            <w:pPr>
              <w:pStyle w:val="NotesTextBullet"/>
            </w:pPr>
            <w:r>
              <w:t>Quantity (component class orders only)</w:t>
            </w:r>
          </w:p>
          <w:p w14:paraId="6737938D" w14:textId="77777777" w:rsidR="002A21AE" w:rsidRDefault="002A21AE">
            <w:pPr>
              <w:pStyle w:val="NotesTextBullet"/>
            </w:pPr>
            <w:r>
              <w:t>Patient hospital location</w:t>
            </w:r>
          </w:p>
          <w:p w14:paraId="5A246A27" w14:textId="77777777" w:rsidR="002A21AE" w:rsidRDefault="002A21AE">
            <w:pPr>
              <w:pStyle w:val="NotesTextBullet"/>
            </w:pPr>
            <w:r>
              <w:t>Lab order #</w:t>
            </w:r>
          </w:p>
          <w:p w14:paraId="42094384" w14:textId="77777777" w:rsidR="002A21AE" w:rsidRDefault="002A21AE">
            <w:pPr>
              <w:pStyle w:val="NotesTextBullet"/>
            </w:pPr>
            <w:r>
              <w:t>Patient ABO/Rh (if known)</w:t>
            </w:r>
          </w:p>
          <w:p w14:paraId="787007A0" w14:textId="77777777" w:rsidR="000F29F3" w:rsidRDefault="0070432F" w:rsidP="00735422">
            <w:pPr>
              <w:pStyle w:val="NotesTextBullet"/>
            </w:pPr>
            <w:r>
              <w:t xml:space="preserve">The </w:t>
            </w:r>
            <w:r w:rsidR="00F83BC3">
              <w:t>CPRS Order ID</w:t>
            </w:r>
            <w:r w:rsidR="00735422">
              <w:t>, Group Order ID for all diagnostic tests and component orders placed in one CPRS</w:t>
            </w:r>
            <w:r>
              <w:t xml:space="preserve"> </w:t>
            </w:r>
            <w:r w:rsidR="00E33ACF">
              <w:t xml:space="preserve">order </w:t>
            </w:r>
            <w:r w:rsidR="005B6F39">
              <w:t xml:space="preserve">is </w:t>
            </w:r>
            <w:r w:rsidR="00E33ACF">
              <w:t xml:space="preserve">the CPRS Order ID </w:t>
            </w:r>
            <w:r>
              <w:t xml:space="preserve">used by VBECS on the Order History Report and the Pending Task Lists. </w:t>
            </w:r>
            <w:r w:rsidR="00F83BC3" w:rsidRPr="00F83BC3">
              <w:rPr>
                <w:vanish/>
              </w:rPr>
              <w:t>DR 4938</w:t>
            </w:r>
          </w:p>
        </w:tc>
      </w:tr>
      <w:tr w:rsidR="002A21AE" w14:paraId="60D55A56" w14:textId="77777777">
        <w:tc>
          <w:tcPr>
            <w:tcW w:w="3240" w:type="dxa"/>
          </w:tcPr>
          <w:p w14:paraId="7157A99C" w14:textId="77777777" w:rsidR="002A21AE" w:rsidRDefault="002A21AE">
            <w:pPr>
              <w:pStyle w:val="TableTextNumbers"/>
            </w:pPr>
            <w:r>
              <w:t xml:space="preserve">To continue processing the POL, review the displayed list, print the list, or go to Accept Orders: Accept an Order. </w:t>
            </w:r>
          </w:p>
        </w:tc>
        <w:tc>
          <w:tcPr>
            <w:tcW w:w="6120" w:type="dxa"/>
          </w:tcPr>
          <w:p w14:paraId="4B12B7CA" w14:textId="77777777" w:rsidR="002A21AE" w:rsidRDefault="002A21AE">
            <w:pPr>
              <w:pStyle w:val="TableTextBullet"/>
            </w:pPr>
            <w:r>
              <w:t xml:space="preserve">Allows the user to return to Step 1 to change the presentation of the list, review details of pending orders, print the list, or select an order or proceed to Accept Orders: Accept an Order. </w:t>
            </w:r>
          </w:p>
          <w:p w14:paraId="28218C70" w14:textId="77777777" w:rsidR="002A21AE" w:rsidRDefault="002A21AE">
            <w:pPr>
              <w:pStyle w:val="TableText"/>
            </w:pPr>
          </w:p>
          <w:p w14:paraId="2A15662D" w14:textId="77777777" w:rsidR="002A21AE" w:rsidRDefault="00057948">
            <w:pPr>
              <w:pStyle w:val="TableText"/>
              <w:rPr>
                <w:b/>
                <w:bCs/>
                <w:szCs w:val="18"/>
              </w:rPr>
            </w:pPr>
            <w:r>
              <w:rPr>
                <w:b/>
                <w:bCs/>
                <w:noProof/>
              </w:rPr>
              <mc:AlternateContent>
                <mc:Choice Requires="wps">
                  <w:drawing>
                    <wp:anchor distT="0" distB="0" distL="114300" distR="114300" simplePos="0" relativeHeight="251379200" behindDoc="0" locked="0" layoutInCell="1" allowOverlap="1" wp14:anchorId="2922BED6" wp14:editId="39FEF8DF">
                      <wp:simplePos x="0" y="0"/>
                      <wp:positionH relativeFrom="column">
                        <wp:posOffset>457200</wp:posOffset>
                      </wp:positionH>
                      <wp:positionV relativeFrom="paragraph">
                        <wp:posOffset>65405</wp:posOffset>
                      </wp:positionV>
                      <wp:extent cx="3200400" cy="0"/>
                      <wp:effectExtent l="9525" t="17780" r="9525" b="10795"/>
                      <wp:wrapNone/>
                      <wp:docPr id="407" name="Line 709" descr="P6884C8T7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0F1D7" id="Line 709" o:spid="_x0000_s1026" alt="&quot;&quot;" style="position:absolute;z-index:2513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26YRB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11FD9CC0" w14:textId="77777777" w:rsidR="002A21AE" w:rsidRDefault="002A21AE">
            <w:pPr>
              <w:pStyle w:val="NotesText"/>
            </w:pPr>
          </w:p>
          <w:p w14:paraId="49732167" w14:textId="77777777" w:rsidR="002A21AE" w:rsidRDefault="002A21AE">
            <w:pPr>
              <w:pStyle w:val="NotesText"/>
            </w:pPr>
            <w:r>
              <w:rPr>
                <w:rFonts w:cs="Arial"/>
                <w:vanish/>
              </w:rPr>
              <w:t xml:space="preserve">BR_92.07 </w:t>
            </w:r>
            <w:r>
              <w:t>When a user requests a POL report and VBECS does not find any information, VBECS notifies the user and asks whether he wishes to continue to print. The user may cancel or print the report, which will include “No pending orders found.”</w:t>
            </w:r>
          </w:p>
        </w:tc>
      </w:tr>
      <w:tr w:rsidR="002A21AE" w14:paraId="4D85214E" w14:textId="77777777">
        <w:tc>
          <w:tcPr>
            <w:tcW w:w="3240" w:type="dxa"/>
          </w:tcPr>
          <w:p w14:paraId="73F780FC" w14:textId="77777777" w:rsidR="002A21AE" w:rsidRDefault="002A21AE">
            <w:pPr>
              <w:pStyle w:val="TableTextNumbers"/>
            </w:pPr>
            <w:r>
              <w:t>Exit.</w:t>
            </w:r>
            <w:r w:rsidRPr="00B93B42">
              <w:rPr>
                <w:rStyle w:val="StyleTableTextNumbersWhite1Char"/>
              </w:rP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791C4B64" w14:textId="77777777" w:rsidR="002A21AE" w:rsidRDefault="002A21AE">
            <w:pPr>
              <w:pStyle w:val="TableText"/>
            </w:pPr>
          </w:p>
        </w:tc>
      </w:tr>
    </w:tbl>
    <w:p w14:paraId="075B8F6C" w14:textId="77777777" w:rsidR="002A21AE" w:rsidRDefault="0072673B" w:rsidP="0072673B">
      <w:r>
        <w:br w:type="page"/>
      </w:r>
      <w:r w:rsidR="00057948">
        <w:rPr>
          <w:noProof/>
        </w:rPr>
        <w:lastRenderedPageBreak/>
        <w:drawing>
          <wp:inline distT="0" distB="0" distL="0" distR="0" wp14:anchorId="58F7FD67" wp14:editId="3CC150D4">
            <wp:extent cx="156845" cy="156845"/>
            <wp:effectExtent l="0" t="0" r="0" b="0"/>
            <wp:docPr id="213" name="Picture 213" descr="P68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P6891#yIS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w:t>
      </w:r>
      <w:r w:rsidR="002A21AE" w:rsidRPr="0072673B">
        <w:rPr>
          <w:rStyle w:val="Heading3Char1"/>
        </w:rPr>
        <w:t>Display Order Alerts</w:t>
      </w:r>
      <w:r w:rsidR="002A21AE" w:rsidRPr="0072673B">
        <w:rPr>
          <w:rStyle w:val="Heading3Char1"/>
        </w:rPr>
        <w:fldChar w:fldCharType="begin"/>
      </w:r>
      <w:r w:rsidR="002A21AE" w:rsidRPr="0072673B">
        <w:rPr>
          <w:rStyle w:val="Heading3Char1"/>
        </w:rPr>
        <w:instrText xml:space="preserve"> XE </w:instrText>
      </w:r>
      <w:r w:rsidR="00FA7E65" w:rsidRPr="0072673B">
        <w:rPr>
          <w:rStyle w:val="Heading3Char1"/>
        </w:rPr>
        <w:instrText>“</w:instrText>
      </w:r>
      <w:r w:rsidR="002A21AE" w:rsidRPr="0072673B">
        <w:rPr>
          <w:rStyle w:val="Heading3Char1"/>
        </w:rPr>
        <w:instrText>Display Order Alerts</w:instrText>
      </w:r>
      <w:r w:rsidR="00FA7E65" w:rsidRPr="0072673B">
        <w:rPr>
          <w:rStyle w:val="Heading3Char1"/>
        </w:rPr>
        <w:instrText>”</w:instrText>
      </w:r>
      <w:r w:rsidR="002A21AE" w:rsidRPr="0072673B">
        <w:rPr>
          <w:rStyle w:val="Heading3Char1"/>
        </w:rPr>
        <w:instrText xml:space="preserve"> </w:instrText>
      </w:r>
      <w:r w:rsidR="002A21AE" w:rsidRPr="0072673B">
        <w:rPr>
          <w:rStyle w:val="Heading3Char1"/>
        </w:rPr>
        <w:fldChar w:fldCharType="end"/>
      </w:r>
      <w:r w:rsidR="002A21AE">
        <w:t xml:space="preserve"> </w:t>
      </w:r>
      <w:r w:rsidR="002A21AE">
        <w:rPr>
          <w:b/>
          <w:vanish/>
          <w:sz w:val="22"/>
        </w:rPr>
        <w:t>UC_84</w:t>
      </w:r>
    </w:p>
    <w:p w14:paraId="5E99CCCB" w14:textId="77777777" w:rsidR="002A21AE" w:rsidRDefault="002A21AE" w:rsidP="00FA7E65">
      <w:pPr>
        <w:pStyle w:val="BodyText"/>
      </w:pPr>
      <w:r>
        <w:t>VBECS notifies the user of new and updated patient orders.</w:t>
      </w:r>
    </w:p>
    <w:p w14:paraId="4D52682E" w14:textId="77777777" w:rsidR="002A21AE" w:rsidRDefault="002A21AE">
      <w:pPr>
        <w:pStyle w:val="Heading4"/>
      </w:pPr>
      <w:r>
        <w:t>Assumptions</w:t>
      </w:r>
      <w:r>
        <w:rPr>
          <w:b w:val="0"/>
        </w:rPr>
        <w:t xml:space="preserve"> </w:t>
      </w:r>
    </w:p>
    <w:p w14:paraId="6D737DC8" w14:textId="77777777" w:rsidR="002A21AE" w:rsidRDefault="002A21AE">
      <w:pPr>
        <w:pStyle w:val="ListBullet"/>
      </w:pPr>
      <w:r>
        <w:t xml:space="preserve">VBECS receives a new order or an order update message from </w:t>
      </w:r>
      <w:r w:rsidR="00CA0045" w:rsidRPr="00CA0045">
        <w:rPr>
          <w:bCs/>
        </w:rPr>
        <w:t>VistA</w:t>
      </w:r>
      <w:r>
        <w:t xml:space="preserve"> for the user’s division.</w:t>
      </w:r>
    </w:p>
    <w:p w14:paraId="02AD5008" w14:textId="77777777" w:rsidR="002A21AE" w:rsidRDefault="002A21AE">
      <w:pPr>
        <w:pStyle w:val="Heading4"/>
      </w:pPr>
      <w:r>
        <w:t xml:space="preserve">Outcome </w:t>
      </w:r>
    </w:p>
    <w:p w14:paraId="4DE3E573" w14:textId="77777777" w:rsidR="002A21AE" w:rsidRPr="000975BF" w:rsidRDefault="002A21AE">
      <w:pPr>
        <w:pStyle w:val="ListBullet"/>
        <w:rPr>
          <w:strike/>
        </w:rPr>
      </w:pPr>
      <w:r>
        <w:t>VBECS displays notification icons only to users logged into VBECS.</w:t>
      </w:r>
    </w:p>
    <w:p w14:paraId="3AE63C81" w14:textId="77777777" w:rsidR="002A21AE" w:rsidRDefault="002A21AE">
      <w:pPr>
        <w:pStyle w:val="Heading4"/>
      </w:pPr>
      <w:r>
        <w:t>Limitations and Restrictions</w:t>
      </w:r>
      <w:r>
        <w:rPr>
          <w:b w:val="0"/>
        </w:rPr>
        <w:t xml:space="preserve"> </w:t>
      </w:r>
    </w:p>
    <w:p w14:paraId="2DABF589" w14:textId="77777777" w:rsidR="00325067" w:rsidRPr="00543DAF" w:rsidRDefault="002A21AE" w:rsidP="00971715">
      <w:pPr>
        <w:pStyle w:val="ListBullet"/>
      </w:pPr>
      <w:r>
        <w:t xml:space="preserve">VBECS </w:t>
      </w:r>
      <w:r w:rsidR="005B2BDB">
        <w:t>issues</w:t>
      </w:r>
      <w:r>
        <w:t xml:space="preserve"> no notifications </w:t>
      </w:r>
      <w:r w:rsidR="00B306AF">
        <w:t>for</w:t>
      </w:r>
      <w:r>
        <w:t xml:space="preserve"> order cancellations.</w:t>
      </w:r>
    </w:p>
    <w:p w14:paraId="38F745FD" w14:textId="77777777" w:rsidR="002A21AE" w:rsidRDefault="002A21AE">
      <w:pPr>
        <w:pStyle w:val="Heading4"/>
      </w:pPr>
      <w:r>
        <w:t xml:space="preserve">Additional Information </w:t>
      </w:r>
    </w:p>
    <w:p w14:paraId="0144BDC0" w14:textId="77777777" w:rsidR="002A21AE" w:rsidRDefault="002A21AE">
      <w:pPr>
        <w:pStyle w:val="ListBullet"/>
      </w:pPr>
      <w:r>
        <w:rPr>
          <w:rFonts w:ascii="Arial" w:hAnsi="Arial" w:cs="Arial"/>
          <w:vanish/>
          <w:spacing w:val="0"/>
          <w:sz w:val="18"/>
        </w:rPr>
        <w:t xml:space="preserve">BR_84.12 </w:t>
      </w:r>
      <w:r>
        <w:t xml:space="preserve">The user may set VBECS to automatically print an order alert </w:t>
      </w:r>
      <w:r w:rsidR="00BC62B7">
        <w:t xml:space="preserve">with limited information </w:t>
      </w:r>
      <w:r>
        <w:t>on the designated printer when VBECS acknowledges the order.</w:t>
      </w:r>
    </w:p>
    <w:p w14:paraId="45302320" w14:textId="77777777" w:rsidR="00DA5187" w:rsidRPr="00971715" w:rsidRDefault="00DA5187">
      <w:pPr>
        <w:pStyle w:val="ListBullet"/>
      </w:pPr>
      <w:r w:rsidRPr="00971715">
        <w:rPr>
          <w:spacing w:val="0"/>
        </w:rPr>
        <w:t xml:space="preserve">The alert displays the individual test’s </w:t>
      </w:r>
      <w:r w:rsidR="00D059AF">
        <w:rPr>
          <w:spacing w:val="0"/>
        </w:rPr>
        <w:t xml:space="preserve">(child) </w:t>
      </w:r>
      <w:r w:rsidRPr="00971715">
        <w:rPr>
          <w:spacing w:val="0"/>
        </w:rPr>
        <w:t xml:space="preserve">CPRS </w:t>
      </w:r>
      <w:r w:rsidR="00177E10">
        <w:rPr>
          <w:spacing w:val="0"/>
        </w:rPr>
        <w:t xml:space="preserve">ID. The </w:t>
      </w:r>
      <w:r w:rsidR="004D735A">
        <w:rPr>
          <w:spacing w:val="0"/>
        </w:rPr>
        <w:t>individual test’s (</w:t>
      </w:r>
      <w:r w:rsidR="008C69E2">
        <w:rPr>
          <w:spacing w:val="0"/>
        </w:rPr>
        <w:t>child</w:t>
      </w:r>
      <w:r w:rsidR="004D735A">
        <w:rPr>
          <w:spacing w:val="0"/>
        </w:rPr>
        <w:t>)</w:t>
      </w:r>
      <w:r w:rsidR="008C69E2">
        <w:rPr>
          <w:spacing w:val="0"/>
        </w:rPr>
        <w:t xml:space="preserve"> </w:t>
      </w:r>
      <w:r w:rsidR="00177E10">
        <w:rPr>
          <w:spacing w:val="0"/>
        </w:rPr>
        <w:t xml:space="preserve">CPRS ID is not displayed </w:t>
      </w:r>
      <w:r w:rsidR="004D735A">
        <w:rPr>
          <w:spacing w:val="0"/>
        </w:rPr>
        <w:t xml:space="preserve">on the Pending Order List, </w:t>
      </w:r>
      <w:r w:rsidR="00177E10">
        <w:rPr>
          <w:spacing w:val="0"/>
        </w:rPr>
        <w:t>elsewhere in VBECS or on reports and is not usable in search functions</w:t>
      </w:r>
      <w:r w:rsidRPr="00971715">
        <w:rPr>
          <w:spacing w:val="0"/>
        </w:rPr>
        <w:t xml:space="preserve">. </w:t>
      </w:r>
      <w:r w:rsidRPr="00971715">
        <w:rPr>
          <w:vanish/>
          <w:spacing w:val="0"/>
        </w:rPr>
        <w:t>DR 4938</w:t>
      </w:r>
    </w:p>
    <w:p w14:paraId="62C05B31" w14:textId="77777777" w:rsidR="002A21AE" w:rsidRDefault="002A21AE">
      <w:pPr>
        <w:pStyle w:val="Heading4"/>
        <w:rPr>
          <w:b w:val="0"/>
        </w:rPr>
      </w:pPr>
      <w:r>
        <w:t>User Roles with Access to This Option</w:t>
      </w:r>
      <w:r>
        <w:rPr>
          <w:b w:val="0"/>
        </w:rPr>
        <w:t xml:space="preserve"> </w:t>
      </w:r>
    </w:p>
    <w:p w14:paraId="08774092" w14:textId="77777777" w:rsidR="002A21AE" w:rsidRDefault="000F12D4">
      <w:pPr>
        <w:pStyle w:val="Roles"/>
        <w:rPr>
          <w:snapToGrid w:val="0"/>
        </w:rPr>
      </w:pPr>
      <w:r>
        <w:t>All users</w:t>
      </w:r>
    </w:p>
    <w:p w14:paraId="61F4C561" w14:textId="77777777" w:rsidR="002A21AE" w:rsidRDefault="002A21AE">
      <w:pPr>
        <w:pStyle w:val="Heading4"/>
      </w:pPr>
      <w:r>
        <w:t>Display Order Alerts</w:t>
      </w:r>
    </w:p>
    <w:p w14:paraId="0644F7C1" w14:textId="77777777" w:rsidR="002A21AE" w:rsidRDefault="002A21AE" w:rsidP="00FA7E65">
      <w:pPr>
        <w:pStyle w:val="BodyText"/>
      </w:pPr>
      <w:r>
        <w:t>VBECS notifies the user that order updates occurred and allows him to accept the new orders.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124CF9EE" w14:textId="77777777">
        <w:trPr>
          <w:cantSplit/>
          <w:tblHeader/>
        </w:trPr>
        <w:tc>
          <w:tcPr>
            <w:tcW w:w="3240" w:type="dxa"/>
            <w:shd w:val="pct30" w:color="auto" w:fill="FFFFFF"/>
            <w:vAlign w:val="bottom"/>
          </w:tcPr>
          <w:p w14:paraId="1EE14E9A" w14:textId="77777777" w:rsidR="002A21AE" w:rsidRDefault="002A21AE">
            <w:pPr>
              <w:pStyle w:val="TableText"/>
              <w:rPr>
                <w:b/>
              </w:rPr>
            </w:pPr>
            <w:r>
              <w:rPr>
                <w:b/>
              </w:rPr>
              <w:t>User Action</w:t>
            </w:r>
          </w:p>
        </w:tc>
        <w:tc>
          <w:tcPr>
            <w:tcW w:w="6120" w:type="dxa"/>
            <w:shd w:val="pct30" w:color="auto" w:fill="FFFFFF"/>
            <w:vAlign w:val="bottom"/>
          </w:tcPr>
          <w:p w14:paraId="44913938" w14:textId="77777777" w:rsidR="002A21AE" w:rsidRDefault="002A21AE">
            <w:pPr>
              <w:pStyle w:val="TableText"/>
              <w:rPr>
                <w:b/>
              </w:rPr>
            </w:pPr>
            <w:r>
              <w:rPr>
                <w:b/>
              </w:rPr>
              <w:t>VBECS</w:t>
            </w:r>
          </w:p>
        </w:tc>
      </w:tr>
      <w:tr w:rsidR="002A21AE" w14:paraId="5183E467" w14:textId="77777777">
        <w:trPr>
          <w:trHeight w:val="403"/>
        </w:trPr>
        <w:tc>
          <w:tcPr>
            <w:tcW w:w="3240" w:type="dxa"/>
          </w:tcPr>
          <w:p w14:paraId="2E1CD81C" w14:textId="77777777" w:rsidR="002A21AE" w:rsidRDefault="002A21AE">
            <w:pPr>
              <w:pStyle w:val="TableTextNumbers"/>
            </w:pPr>
            <w:r>
              <w:t xml:space="preserve">Hold the </w:t>
            </w:r>
            <w:r w:rsidRPr="003F3122">
              <w:rPr>
                <w:szCs w:val="18"/>
              </w:rPr>
              <w:t>mouse</w:t>
            </w:r>
            <w:r>
              <w:t xml:space="preserve"> over the </w:t>
            </w:r>
            <w:r w:rsidR="00DB3E37">
              <w:t>i</w:t>
            </w:r>
            <w:r>
              <w:t xml:space="preserve">con to view a tool tip, or </w:t>
            </w:r>
          </w:p>
          <w:p w14:paraId="239B69F0" w14:textId="77777777" w:rsidR="002A21AE" w:rsidRDefault="002A21AE">
            <w:pPr>
              <w:pStyle w:val="TableTextNumbersContinued"/>
            </w:pPr>
          </w:p>
          <w:p w14:paraId="1C3BE5C5" w14:textId="77777777" w:rsidR="002A21AE" w:rsidRDefault="002A21AE">
            <w:pPr>
              <w:pStyle w:val="TableTextNumbersContinued"/>
            </w:pPr>
            <w:r>
              <w:t xml:space="preserve">Click </w:t>
            </w:r>
            <w:r w:rsidR="00057948">
              <w:rPr>
                <w:noProof/>
              </w:rPr>
              <w:drawing>
                <wp:inline distT="0" distB="0" distL="0" distR="0" wp14:anchorId="5F46AAE2" wp14:editId="35168016">
                  <wp:extent cx="156845" cy="156845"/>
                  <wp:effectExtent l="0" t="0" r="0" b="0"/>
                  <wp:docPr id="214" name="Picture 214" descr="P6911C3T7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P6911C3T72#yIS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to view a panel showing new or updated orders and hide the icon. </w:t>
            </w:r>
          </w:p>
          <w:p w14:paraId="40EA7847" w14:textId="77777777" w:rsidR="002A21AE" w:rsidRDefault="002A21AE">
            <w:pPr>
              <w:pStyle w:val="TableTextNumbersContinued"/>
            </w:pPr>
          </w:p>
          <w:p w14:paraId="7E152118" w14:textId="77777777" w:rsidR="002A21AE" w:rsidRDefault="002A21AE">
            <w:pPr>
              <w:pStyle w:val="TableTextNumbersContinued"/>
            </w:pPr>
            <w:r>
              <w:t xml:space="preserve">Click </w:t>
            </w:r>
            <w:r w:rsidR="00057948">
              <w:rPr>
                <w:noProof/>
              </w:rPr>
              <w:drawing>
                <wp:inline distT="0" distB="0" distL="0" distR="0" wp14:anchorId="3B3C999E" wp14:editId="1EDE2322">
                  <wp:extent cx="156845" cy="156845"/>
                  <wp:effectExtent l="0" t="0" r="0" b="0"/>
                  <wp:docPr id="215" name="Picture 215" descr="P6913C3T7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P6913C3T72#yIS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again to hide the panel.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0BA385BD" w14:textId="77777777" w:rsidR="002A21AE" w:rsidRDefault="002A21AE">
            <w:pPr>
              <w:pStyle w:val="TableTextBullet"/>
            </w:pPr>
            <w:r>
              <w:t>Acknowledges a new or updated patient order.</w:t>
            </w:r>
          </w:p>
          <w:p w14:paraId="1B4E6C6B" w14:textId="77777777" w:rsidR="002A21AE" w:rsidRDefault="002A21AE">
            <w:pPr>
              <w:pStyle w:val="TableTextBullet"/>
            </w:pPr>
            <w:r>
              <w:t xml:space="preserve">Displays </w:t>
            </w:r>
            <w:r w:rsidR="00922AD8">
              <w:t>an</w:t>
            </w:r>
            <w:r>
              <w:t xml:space="preserve"> order notification icon in the status bar when new orders are received, according to local settings.</w:t>
            </w:r>
          </w:p>
          <w:p w14:paraId="2AA206A9" w14:textId="77777777" w:rsidR="002A21AE" w:rsidRDefault="002A21AE">
            <w:pPr>
              <w:pStyle w:val="TableTextBullet"/>
            </w:pPr>
            <w:r>
              <w:t>Displays information regarding new orders and order updates and allows the user to accept them.</w:t>
            </w:r>
          </w:p>
          <w:p w14:paraId="24E6474E" w14:textId="77777777" w:rsidR="002A21AE" w:rsidRDefault="002A21AE">
            <w:pPr>
              <w:pStyle w:val="TableText"/>
            </w:pPr>
          </w:p>
          <w:p w14:paraId="314A40DF" w14:textId="77777777" w:rsidR="002A21AE" w:rsidRDefault="00057948">
            <w:pPr>
              <w:pStyle w:val="TableText"/>
              <w:rPr>
                <w:b/>
                <w:bCs/>
                <w:szCs w:val="18"/>
              </w:rPr>
            </w:pPr>
            <w:r>
              <w:rPr>
                <w:b/>
                <w:bCs/>
                <w:noProof/>
              </w:rPr>
              <mc:AlternateContent>
                <mc:Choice Requires="wps">
                  <w:drawing>
                    <wp:anchor distT="0" distB="0" distL="114300" distR="114300" simplePos="0" relativeHeight="251564544" behindDoc="0" locked="0" layoutInCell="1" allowOverlap="1" wp14:anchorId="4AF695EF" wp14:editId="059E622D">
                      <wp:simplePos x="0" y="0"/>
                      <wp:positionH relativeFrom="column">
                        <wp:posOffset>457200</wp:posOffset>
                      </wp:positionH>
                      <wp:positionV relativeFrom="paragraph">
                        <wp:posOffset>65405</wp:posOffset>
                      </wp:positionV>
                      <wp:extent cx="3200400" cy="0"/>
                      <wp:effectExtent l="9525" t="17780" r="9525" b="10795"/>
                      <wp:wrapNone/>
                      <wp:docPr id="406" name="Line 868" descr="P6918C4T7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F1023" id="Line 868" o:spid="_x0000_s1026" alt="&quot;&quot;" style="position:absolute;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lHY6y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08A77412" w14:textId="77777777" w:rsidR="002A21AE" w:rsidRDefault="002A21AE">
            <w:pPr>
              <w:pStyle w:val="NotesText"/>
            </w:pPr>
          </w:p>
          <w:p w14:paraId="1B1C8DD7" w14:textId="77777777" w:rsidR="002A21AE" w:rsidRDefault="002A21AE">
            <w:pPr>
              <w:pStyle w:val="NotesText"/>
            </w:pPr>
            <w:r>
              <w:rPr>
                <w:rFonts w:cs="Arial"/>
                <w:vanish/>
                <w:szCs w:val="18"/>
              </w:rPr>
              <w:t>BR_84.01</w:t>
            </w:r>
            <w:r w:rsidR="00CE3961">
              <w:rPr>
                <w:rFonts w:cs="Arial"/>
                <w:vanish/>
                <w:szCs w:val="18"/>
              </w:rPr>
              <w:t>,</w:t>
            </w:r>
            <w:r>
              <w:rPr>
                <w:rFonts w:cs="Arial"/>
                <w:vanish/>
                <w:szCs w:val="18"/>
              </w:rPr>
              <w:t xml:space="preserve"> </w:t>
            </w:r>
            <w:r>
              <w:rPr>
                <w:vanish/>
                <w:szCs w:val="18"/>
              </w:rPr>
              <w:t xml:space="preserve">BR_84.02 </w:t>
            </w:r>
            <w:r>
              <w:t>When the division is configured to alert the user of orders received by VBECS, VBECS notifies the user of ordered components or ordered tests that were:</w:t>
            </w:r>
          </w:p>
          <w:p w14:paraId="317A2688" w14:textId="77777777" w:rsidR="002A21AE" w:rsidRDefault="002A21AE">
            <w:pPr>
              <w:pStyle w:val="NotesTextBullet"/>
              <w:tabs>
                <w:tab w:val="clear" w:pos="1008"/>
                <w:tab w:val="num" w:pos="288"/>
              </w:tabs>
            </w:pPr>
            <w:r>
              <w:t>Directed to the user’s division.</w:t>
            </w:r>
          </w:p>
          <w:p w14:paraId="3624F670" w14:textId="77777777" w:rsidR="002A21AE" w:rsidRDefault="002A21AE">
            <w:pPr>
              <w:pStyle w:val="NotesTextBullet"/>
              <w:tabs>
                <w:tab w:val="clear" w:pos="1008"/>
                <w:tab w:val="num" w:pos="288"/>
              </w:tabs>
            </w:pPr>
            <w:r>
              <w:t xml:space="preserve">Added or updated in </w:t>
            </w:r>
            <w:r w:rsidR="00CA0045" w:rsidRPr="00CA0045">
              <w:rPr>
                <w:bCs/>
              </w:rPr>
              <w:t>VistA</w:t>
            </w:r>
            <w:r w:rsidR="001F3AD5">
              <w:rPr>
                <w:bCs/>
              </w:rPr>
              <w:t xml:space="preserve"> since the system last checked</w:t>
            </w:r>
            <w:r>
              <w:t>.</w:t>
            </w:r>
          </w:p>
          <w:p w14:paraId="430F0805" w14:textId="77777777" w:rsidR="002A21AE" w:rsidRDefault="002A21AE">
            <w:pPr>
              <w:pStyle w:val="NotesText"/>
            </w:pPr>
          </w:p>
          <w:p w14:paraId="32B37FC9" w14:textId="77777777" w:rsidR="002A21AE" w:rsidRDefault="002A21AE">
            <w:pPr>
              <w:pStyle w:val="NotesText"/>
            </w:pPr>
            <w:r>
              <w:t xml:space="preserve">When the division is configured to alert the user of orders needed in the next </w:t>
            </w:r>
            <w:r w:rsidR="00D923F9">
              <w:t>specified</w:t>
            </w:r>
            <w:r>
              <w:t xml:space="preserve"> number of hours, VBECS also notifies the user of ordered components or ordered tests with a required time less than a </w:t>
            </w:r>
            <w:r w:rsidR="00D923F9">
              <w:t xml:space="preserve">specified </w:t>
            </w:r>
            <w:r>
              <w:t>number of hours in the future.</w:t>
            </w:r>
          </w:p>
          <w:p w14:paraId="2B39FEF0" w14:textId="77777777" w:rsidR="00B46D6D" w:rsidRDefault="00B46D6D">
            <w:pPr>
              <w:pStyle w:val="NotesText"/>
            </w:pPr>
          </w:p>
          <w:p w14:paraId="6AF60A83" w14:textId="77777777" w:rsidR="00B46D6D" w:rsidRDefault="00B46D6D" w:rsidP="00B46D6D">
            <w:pPr>
              <w:pStyle w:val="TableText"/>
              <w:ind w:left="720"/>
            </w:pPr>
            <w:r w:rsidRPr="00B46D6D">
              <w:rPr>
                <w:vanish/>
              </w:rPr>
              <w:t>BR_84.04</w:t>
            </w:r>
            <w:r w:rsidR="00EA5FF4">
              <w:rPr>
                <w:vanish/>
              </w:rPr>
              <w:t xml:space="preserve"> </w:t>
            </w:r>
            <w:r>
              <w:t>The system displays the following information for each entry in the summary:</w:t>
            </w:r>
          </w:p>
          <w:p w14:paraId="7BFE2ECF" w14:textId="77777777" w:rsidR="00B46D6D" w:rsidRDefault="00B46D6D" w:rsidP="000409B1">
            <w:pPr>
              <w:pStyle w:val="TableText"/>
              <w:numPr>
                <w:ilvl w:val="0"/>
                <w:numId w:val="59"/>
              </w:numPr>
              <w:ind w:left="1440"/>
            </w:pPr>
            <w:r>
              <w:t>Urgency</w:t>
            </w:r>
          </w:p>
          <w:p w14:paraId="6156B8B4" w14:textId="77777777" w:rsidR="00B46D6D" w:rsidRDefault="00B46D6D" w:rsidP="000409B1">
            <w:pPr>
              <w:pStyle w:val="TableText"/>
              <w:numPr>
                <w:ilvl w:val="0"/>
                <w:numId w:val="59"/>
              </w:numPr>
              <w:ind w:left="1440"/>
            </w:pPr>
            <w:r>
              <w:t>Patient Name</w:t>
            </w:r>
          </w:p>
          <w:p w14:paraId="56F8B4D2" w14:textId="77777777" w:rsidR="00B46D6D" w:rsidRDefault="00B46D6D" w:rsidP="000409B1">
            <w:pPr>
              <w:pStyle w:val="TableText"/>
              <w:numPr>
                <w:ilvl w:val="0"/>
                <w:numId w:val="59"/>
              </w:numPr>
              <w:ind w:left="1440"/>
            </w:pPr>
            <w:r>
              <w:lastRenderedPageBreak/>
              <w:t>Patient ID</w:t>
            </w:r>
          </w:p>
          <w:p w14:paraId="1E3DB78E" w14:textId="77777777" w:rsidR="00B46D6D" w:rsidRDefault="00B46D6D" w:rsidP="000409B1">
            <w:pPr>
              <w:pStyle w:val="TableText"/>
              <w:numPr>
                <w:ilvl w:val="0"/>
                <w:numId w:val="59"/>
              </w:numPr>
              <w:ind w:left="1440"/>
            </w:pPr>
            <w:r>
              <w:t>Ordered Item</w:t>
            </w:r>
          </w:p>
          <w:p w14:paraId="40B77F34" w14:textId="77777777" w:rsidR="00B46D6D" w:rsidRDefault="00B46D6D" w:rsidP="000409B1">
            <w:pPr>
              <w:pStyle w:val="TableText"/>
              <w:numPr>
                <w:ilvl w:val="0"/>
                <w:numId w:val="59"/>
              </w:numPr>
              <w:ind w:left="1440"/>
            </w:pPr>
            <w:r>
              <w:t>Wanted Date</w:t>
            </w:r>
          </w:p>
          <w:p w14:paraId="5A97C5B5" w14:textId="77777777" w:rsidR="00B46D6D" w:rsidRDefault="00B46D6D" w:rsidP="000409B1">
            <w:pPr>
              <w:pStyle w:val="TableText"/>
              <w:numPr>
                <w:ilvl w:val="0"/>
                <w:numId w:val="59"/>
              </w:numPr>
              <w:ind w:left="1440"/>
            </w:pPr>
            <w:r>
              <w:t>Lab Order ID</w:t>
            </w:r>
          </w:p>
          <w:p w14:paraId="0B88861A" w14:textId="77777777" w:rsidR="00B46D6D" w:rsidRDefault="00B46D6D" w:rsidP="000409B1">
            <w:pPr>
              <w:pStyle w:val="TableText"/>
              <w:numPr>
                <w:ilvl w:val="0"/>
                <w:numId w:val="59"/>
              </w:numPr>
              <w:ind w:left="1440"/>
            </w:pPr>
            <w:r>
              <w:t>CPRS Order ID</w:t>
            </w:r>
          </w:p>
          <w:p w14:paraId="0F8D42A7" w14:textId="77777777" w:rsidR="00B46D6D" w:rsidRDefault="00B46D6D" w:rsidP="00B46D6D">
            <w:pPr>
              <w:pStyle w:val="NotesText"/>
            </w:pPr>
          </w:p>
          <w:p w14:paraId="3942C4C7" w14:textId="77777777" w:rsidR="00B46D6D" w:rsidRDefault="00B46D6D" w:rsidP="00B46D6D">
            <w:pPr>
              <w:pStyle w:val="NotesText"/>
            </w:pPr>
            <w:r w:rsidRPr="00B46D6D">
              <w:rPr>
                <w:vanish/>
              </w:rPr>
              <w:t>BR_84.05</w:t>
            </w:r>
            <w:r w:rsidR="00EA5FF4">
              <w:rPr>
                <w:vanish/>
              </w:rPr>
              <w:t xml:space="preserve"> </w:t>
            </w:r>
            <w:r>
              <w:t>If the notification icon was already visible, the system appends new notification information to the summary. If it was not visible, the system displays only the new notification information in the summary.</w:t>
            </w:r>
          </w:p>
        </w:tc>
      </w:tr>
    </w:tbl>
    <w:p w14:paraId="4BDE22A7" w14:textId="77777777" w:rsidR="002A21AE" w:rsidRDefault="0072673B" w:rsidP="0072673B">
      <w:pPr>
        <w:pStyle w:val="Heading3"/>
      </w:pPr>
      <w:r>
        <w:lastRenderedPageBreak/>
        <w:br w:type="page"/>
      </w:r>
      <w:bookmarkStart w:id="456" w:name="_Toc4588802"/>
      <w:r w:rsidR="00057948">
        <w:rPr>
          <w:noProof/>
        </w:rPr>
        <w:lastRenderedPageBreak/>
        <w:drawing>
          <wp:inline distT="0" distB="0" distL="0" distR="0" wp14:anchorId="48474372" wp14:editId="70F34D72">
            <wp:extent cx="166370" cy="156845"/>
            <wp:effectExtent l="0" t="0" r="5080" b="0"/>
            <wp:docPr id="216" name="Picture 216" descr="P693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P6937#yIS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rsidR="002A21AE">
        <w:t xml:space="preserve"> Display Patient Update Alerts</w:t>
      </w:r>
      <w:bookmarkEnd w:id="456"/>
      <w:r w:rsidR="002A21AE">
        <w:fldChar w:fldCharType="begin"/>
      </w:r>
      <w:r w:rsidR="002A21AE">
        <w:instrText xml:space="preserve"> XE </w:instrText>
      </w:r>
      <w:r w:rsidR="00FA7E65">
        <w:instrText>“</w:instrText>
      </w:r>
      <w:r w:rsidR="002A21AE">
        <w:instrText>Display Patient Update Alerts</w:instrText>
      </w:r>
      <w:r w:rsidR="00FA7E65">
        <w:instrText>”</w:instrText>
      </w:r>
      <w:r w:rsidR="002A21AE">
        <w:instrText xml:space="preserve"> </w:instrText>
      </w:r>
      <w:r w:rsidR="002A21AE">
        <w:fldChar w:fldCharType="end"/>
      </w:r>
      <w:r w:rsidR="002A21AE">
        <w:t xml:space="preserve"> </w:t>
      </w:r>
      <w:r w:rsidR="002A21AE">
        <w:rPr>
          <w:vanish/>
          <w:sz w:val="22"/>
        </w:rPr>
        <w:t>UC_84</w:t>
      </w:r>
    </w:p>
    <w:p w14:paraId="23E43557" w14:textId="77777777" w:rsidR="002A21AE" w:rsidRDefault="002A21AE" w:rsidP="00FA7E65">
      <w:pPr>
        <w:pStyle w:val="BodyText"/>
      </w:pPr>
      <w:r>
        <w:t xml:space="preserve">VBECS notifies the user of patient update, death, and merge events. </w:t>
      </w:r>
    </w:p>
    <w:p w14:paraId="04DF07D3" w14:textId="77777777" w:rsidR="002A21AE" w:rsidRDefault="002A21AE">
      <w:pPr>
        <w:pStyle w:val="Heading4"/>
      </w:pPr>
      <w:r>
        <w:t>Assumptions</w:t>
      </w:r>
      <w:r>
        <w:rPr>
          <w:b w:val="0"/>
        </w:rPr>
        <w:t xml:space="preserve"> </w:t>
      </w:r>
    </w:p>
    <w:p w14:paraId="7B3BEC7C" w14:textId="77777777" w:rsidR="002A21AE" w:rsidRDefault="002A21AE">
      <w:pPr>
        <w:pStyle w:val="ListBullet"/>
      </w:pPr>
      <w:r>
        <w:t xml:space="preserve">A patient demographic update is received from </w:t>
      </w:r>
      <w:r w:rsidR="00CA0045" w:rsidRPr="00CA0045">
        <w:rPr>
          <w:bCs/>
        </w:rPr>
        <w:t>VistA</w:t>
      </w:r>
      <w:r>
        <w:t xml:space="preserve"> for the user’s division for a VBECS patient with an active order.</w:t>
      </w:r>
    </w:p>
    <w:p w14:paraId="44EC5226" w14:textId="77777777" w:rsidR="002A21AE" w:rsidRDefault="002A21AE">
      <w:pPr>
        <w:pStyle w:val="Heading4"/>
      </w:pPr>
      <w:r>
        <w:t xml:space="preserve">Outcome </w:t>
      </w:r>
    </w:p>
    <w:p w14:paraId="39185472" w14:textId="77777777" w:rsidR="002A21AE" w:rsidRDefault="002A21AE">
      <w:pPr>
        <w:pStyle w:val="ListBullet"/>
      </w:pPr>
      <w:r>
        <w:t>The patient demographics are updated in VBECS.</w:t>
      </w:r>
    </w:p>
    <w:p w14:paraId="756C6EAE" w14:textId="77777777" w:rsidR="002A21AE" w:rsidRDefault="002A21AE">
      <w:pPr>
        <w:pStyle w:val="Heading4"/>
        <w:rPr>
          <w:b w:val="0"/>
        </w:rPr>
      </w:pPr>
      <w:r>
        <w:t>Limitations and Restrictions</w:t>
      </w:r>
      <w:r>
        <w:rPr>
          <w:b w:val="0"/>
        </w:rPr>
        <w:t xml:space="preserve"> </w:t>
      </w:r>
    </w:p>
    <w:p w14:paraId="5BDEFE2C" w14:textId="77777777" w:rsidR="00425BC3" w:rsidRDefault="00425BC3" w:rsidP="00425BC3">
      <w:pPr>
        <w:pStyle w:val="ListBullet"/>
      </w:pPr>
      <w:r>
        <w:t xml:space="preserve">VBECS does not notify users of additional VistA patient updates or merges while the icon is displayed. </w:t>
      </w:r>
      <w:r>
        <w:rPr>
          <w:rFonts w:cs="Arial"/>
          <w:vanish/>
        </w:rPr>
        <w:t xml:space="preserve">DR 2,525 </w:t>
      </w:r>
      <w:r>
        <w:t xml:space="preserve">When a user views an update and there is an unprocessed VistA patient merge, the Patient Alert icon remains on the screen until the Traditional Supervisor updates the patient records and clears the icon. </w:t>
      </w:r>
    </w:p>
    <w:p w14:paraId="14C9CCA8" w14:textId="77777777" w:rsidR="00562E66" w:rsidRDefault="00562E66" w:rsidP="00562E66">
      <w:pPr>
        <w:pStyle w:val="ListBullet"/>
      </w:pPr>
      <w:r>
        <w:t>Patient updates involving</w:t>
      </w:r>
      <w:r w:rsidRPr="00DD022C">
        <w:t xml:space="preserve"> patient’s with names that exceed the database standard for File #2 (30 characters) or do not have a first or last name in VistA are rejected and do not appear in VBECS. The VBECS System Administrator is notified of each rejection via an email to the address entered in VBECS Administrator “</w:t>
      </w:r>
      <w:r w:rsidR="00276DAA">
        <w:t>Email Alerts</w:t>
      </w:r>
      <w:r w:rsidRPr="00DD022C">
        <w:t>” field.</w:t>
      </w:r>
    </w:p>
    <w:p w14:paraId="1CBD0760" w14:textId="4B15FE0A" w:rsidR="001C13FD" w:rsidRPr="003A360F" w:rsidRDefault="001C13FD" w:rsidP="00562E66">
      <w:pPr>
        <w:pStyle w:val="ListBullet"/>
      </w:pPr>
      <w:r w:rsidRPr="003A360F">
        <w:t xml:space="preserve">Patient update alerts only display when </w:t>
      </w:r>
      <w:r w:rsidR="001F1E91">
        <w:t xml:space="preserve">active </w:t>
      </w:r>
      <w:r w:rsidRPr="003A360F">
        <w:t xml:space="preserve">component </w:t>
      </w:r>
      <w:r w:rsidR="001F1E91">
        <w:t xml:space="preserve">or diagnostic test </w:t>
      </w:r>
      <w:r w:rsidRPr="003A360F">
        <w:t xml:space="preserve">orders are </w:t>
      </w:r>
      <w:r w:rsidR="00802EE9">
        <w:t xml:space="preserve">pending or </w:t>
      </w:r>
      <w:r w:rsidRPr="003A360F">
        <w:t>active</w:t>
      </w:r>
      <w:r w:rsidR="00647F4E">
        <w:rPr>
          <w:rFonts w:ascii="ZWAdobeF" w:hAnsi="ZWAdobeF" w:cs="ZWAdobeF"/>
          <w:spacing w:val="0"/>
          <w:sz w:val="2"/>
          <w:szCs w:val="2"/>
        </w:rPr>
        <w:t>3F</w:t>
      </w:r>
      <w:r w:rsidR="00F60A24">
        <w:rPr>
          <w:rStyle w:val="FootnoteReference"/>
        </w:rPr>
        <w:footnoteReference w:id="4"/>
      </w:r>
      <w:r w:rsidRPr="003A360F">
        <w:t xml:space="preserve"> at the time the update occurs.</w:t>
      </w:r>
      <w:r w:rsidR="00F15743" w:rsidRPr="003A360F">
        <w:t xml:space="preserve"> </w:t>
      </w:r>
      <w:r w:rsidR="00F15743" w:rsidRPr="003A360F">
        <w:rPr>
          <w:vanish/>
        </w:rPr>
        <w:t>DR 4323</w:t>
      </w:r>
      <w:r w:rsidR="001F1E91">
        <w:rPr>
          <w:vanish/>
        </w:rPr>
        <w:t xml:space="preserve"> BR_68.02</w:t>
      </w:r>
    </w:p>
    <w:p w14:paraId="1AD0A626" w14:textId="77777777" w:rsidR="002A21AE" w:rsidRDefault="002A21AE">
      <w:pPr>
        <w:pStyle w:val="Heading4"/>
      </w:pPr>
      <w:r>
        <w:t xml:space="preserve">Additional Information </w:t>
      </w:r>
    </w:p>
    <w:p w14:paraId="5182C317" w14:textId="77777777" w:rsidR="002A21AE" w:rsidRDefault="002A21AE">
      <w:pPr>
        <w:pStyle w:val="ListBullet"/>
      </w:pPr>
      <w:r>
        <w:t>None</w:t>
      </w:r>
    </w:p>
    <w:p w14:paraId="2083278B" w14:textId="77777777" w:rsidR="002A21AE" w:rsidRDefault="002A21AE">
      <w:pPr>
        <w:pStyle w:val="Heading4"/>
        <w:rPr>
          <w:b w:val="0"/>
        </w:rPr>
      </w:pPr>
      <w:r>
        <w:t>User Roles with Access to This Option</w:t>
      </w:r>
      <w:r>
        <w:rPr>
          <w:b w:val="0"/>
        </w:rPr>
        <w:t xml:space="preserve"> </w:t>
      </w:r>
    </w:p>
    <w:p w14:paraId="6290BF55" w14:textId="77777777" w:rsidR="002A21AE" w:rsidRDefault="00DF031C">
      <w:pPr>
        <w:pStyle w:val="Roles"/>
        <w:rPr>
          <w:snapToGrid w:val="0"/>
        </w:rPr>
      </w:pPr>
      <w:r>
        <w:t>All users</w:t>
      </w:r>
    </w:p>
    <w:p w14:paraId="55D5FCA3" w14:textId="77777777" w:rsidR="00A94A90" w:rsidRDefault="00A94A90">
      <w:pPr>
        <w:rPr>
          <w:rFonts w:ascii="Arial" w:hAnsi="Arial"/>
          <w:b/>
          <w:sz w:val="22"/>
        </w:rPr>
      </w:pPr>
      <w:r>
        <w:br w:type="page"/>
      </w:r>
    </w:p>
    <w:p w14:paraId="660916CA" w14:textId="3AC294DF" w:rsidR="002A21AE" w:rsidRDefault="002A21AE">
      <w:pPr>
        <w:pStyle w:val="Heading4"/>
      </w:pPr>
      <w:r>
        <w:lastRenderedPageBreak/>
        <w:t>Display Patient Update Alerts</w:t>
      </w:r>
    </w:p>
    <w:p w14:paraId="05BC2757" w14:textId="77777777" w:rsidR="002A21AE" w:rsidRDefault="002A21AE" w:rsidP="00FA7E65">
      <w:pPr>
        <w:pStyle w:val="BodyText"/>
      </w:pPr>
      <w:r>
        <w:t xml:space="preserve">VBECS notifies the user that patient updates occurred and allows him to view additional details.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8E7A116" w14:textId="77777777">
        <w:trPr>
          <w:cantSplit/>
          <w:tblHeader/>
        </w:trPr>
        <w:tc>
          <w:tcPr>
            <w:tcW w:w="3240" w:type="dxa"/>
            <w:shd w:val="pct30" w:color="auto" w:fill="FFFFFF"/>
            <w:vAlign w:val="bottom"/>
          </w:tcPr>
          <w:p w14:paraId="1E3DF3EC" w14:textId="77777777" w:rsidR="002A21AE" w:rsidRDefault="002A21AE">
            <w:pPr>
              <w:pStyle w:val="TableText"/>
              <w:rPr>
                <w:b/>
              </w:rPr>
            </w:pPr>
            <w:r>
              <w:rPr>
                <w:b/>
              </w:rPr>
              <w:t>User Action</w:t>
            </w:r>
          </w:p>
        </w:tc>
        <w:tc>
          <w:tcPr>
            <w:tcW w:w="6120" w:type="dxa"/>
            <w:shd w:val="pct30" w:color="auto" w:fill="FFFFFF"/>
            <w:vAlign w:val="bottom"/>
          </w:tcPr>
          <w:p w14:paraId="49C36ADE" w14:textId="77777777" w:rsidR="002A21AE" w:rsidRDefault="002A21AE">
            <w:pPr>
              <w:pStyle w:val="TableText"/>
              <w:rPr>
                <w:b/>
              </w:rPr>
            </w:pPr>
            <w:r>
              <w:rPr>
                <w:b/>
              </w:rPr>
              <w:t>VBECS</w:t>
            </w:r>
          </w:p>
        </w:tc>
      </w:tr>
      <w:tr w:rsidR="002A21AE" w14:paraId="572FD4A9" w14:textId="77777777">
        <w:trPr>
          <w:trHeight w:val="403"/>
        </w:trPr>
        <w:tc>
          <w:tcPr>
            <w:tcW w:w="3240" w:type="dxa"/>
          </w:tcPr>
          <w:p w14:paraId="191BAC0D" w14:textId="77777777" w:rsidR="002A21AE" w:rsidRDefault="002A21AE">
            <w:pPr>
              <w:pStyle w:val="TableTextNumbers"/>
            </w:pPr>
            <w:r>
              <w:t xml:space="preserve">Hold the mouse over the </w:t>
            </w:r>
            <w:r w:rsidR="00D57F25">
              <w:t>Patient Alert icon</w:t>
            </w:r>
            <w:r>
              <w:t xml:space="preserve"> to view a tool tip, or </w:t>
            </w:r>
          </w:p>
          <w:p w14:paraId="55A42725" w14:textId="77777777" w:rsidR="002A21AE" w:rsidRDefault="002A21AE">
            <w:pPr>
              <w:pStyle w:val="TableTextNumbersContinued"/>
            </w:pPr>
          </w:p>
          <w:p w14:paraId="157E87AB" w14:textId="77777777" w:rsidR="002A21AE" w:rsidRDefault="002A21AE">
            <w:pPr>
              <w:pStyle w:val="TableTextNumbersContinued"/>
            </w:pPr>
            <w:r>
              <w:rPr>
                <w:rFonts w:cs="Arial"/>
                <w:vanish/>
              </w:rPr>
              <w:t xml:space="preserve">BR_84.08 </w:t>
            </w:r>
            <w:r>
              <w:t xml:space="preserve">Click </w:t>
            </w:r>
            <w:r w:rsidR="00057948">
              <w:rPr>
                <w:noProof/>
              </w:rPr>
              <w:drawing>
                <wp:inline distT="0" distB="0" distL="0" distR="0" wp14:anchorId="40EEF0DF" wp14:editId="299B6890">
                  <wp:extent cx="166370" cy="156845"/>
                  <wp:effectExtent l="0" t="0" r="5080" b="0"/>
                  <wp:docPr id="217" name="Picture 217" descr="P6959C3T7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P6959C3T73#yIS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to view a menu and select </w:t>
            </w:r>
            <w:r>
              <w:rPr>
                <w:b/>
              </w:rPr>
              <w:t>Updated Patients</w:t>
            </w:r>
            <w:r>
              <w:t xml:space="preserve">, </w:t>
            </w:r>
            <w:r>
              <w:rPr>
                <w:b/>
              </w:rPr>
              <w:t>Deceased Patients</w:t>
            </w:r>
            <w:r>
              <w:t xml:space="preserve">, or </w:t>
            </w:r>
            <w:r>
              <w:rPr>
                <w:b/>
              </w:rPr>
              <w:t xml:space="preserve">Patient Merge </w:t>
            </w:r>
            <w:r>
              <w:t xml:space="preserve">to view the updates. </w:t>
            </w:r>
          </w:p>
          <w:p w14:paraId="32275AB4" w14:textId="77777777" w:rsidR="002A21AE" w:rsidRDefault="002A21AE">
            <w:pPr>
              <w:pStyle w:val="TableTextNumbersContinued"/>
            </w:pPr>
          </w:p>
          <w:p w14:paraId="2ACF6BFB" w14:textId="77777777" w:rsidR="002A21AE" w:rsidRDefault="002A21AE">
            <w:pPr>
              <w:pStyle w:val="TableTextNumbersContinued"/>
            </w:pPr>
            <w:r>
              <w:t xml:space="preserve">Click </w:t>
            </w:r>
            <w:r w:rsidR="00057948">
              <w:rPr>
                <w:noProof/>
              </w:rPr>
              <w:drawing>
                <wp:inline distT="0" distB="0" distL="0" distR="0" wp14:anchorId="4A073614" wp14:editId="11B267F9">
                  <wp:extent cx="166370" cy="156845"/>
                  <wp:effectExtent l="0" t="0" r="5080" b="0"/>
                  <wp:docPr id="218" name="Picture 218" descr="P6961C3T7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P6961C3T73#yIS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again to hide the menu.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726E45AF" w14:textId="77777777" w:rsidR="002A21AE" w:rsidRDefault="002A21AE">
            <w:pPr>
              <w:pStyle w:val="TableTextBullet"/>
            </w:pPr>
            <w:r>
              <w:rPr>
                <w:rFonts w:cs="Arial"/>
                <w:vanish/>
              </w:rPr>
              <w:t xml:space="preserve">BR_84.06 </w:t>
            </w:r>
            <w:r>
              <w:t xml:space="preserve">Displays a </w:t>
            </w:r>
            <w:r w:rsidR="00D57F25">
              <w:t>Patient Alert icon</w:t>
            </w:r>
            <w:r>
              <w:t xml:space="preserve"> in the status bar when it receives a patient update</w:t>
            </w:r>
            <w:r w:rsidR="008D6720">
              <w:t xml:space="preserve"> or </w:t>
            </w:r>
            <w:r>
              <w:t>death</w:t>
            </w:r>
            <w:r w:rsidR="008D6720">
              <w:t xml:space="preserve"> event message</w:t>
            </w:r>
            <w:r>
              <w:rPr>
                <w:b/>
                <w:bCs/>
              </w:rPr>
              <w:t xml:space="preserve"> </w:t>
            </w:r>
            <w:r>
              <w:t>and the patient has active or pending orders in the user’s VBECS division.</w:t>
            </w:r>
          </w:p>
          <w:p w14:paraId="0B74520C" w14:textId="77777777" w:rsidR="008B7F48" w:rsidRPr="00B46D6D" w:rsidRDefault="008B7F48">
            <w:pPr>
              <w:pStyle w:val="TableTextBullet"/>
            </w:pPr>
            <w:r>
              <w:rPr>
                <w:rFonts w:cs="Arial"/>
              </w:rPr>
              <w:t xml:space="preserve">Displays a </w:t>
            </w:r>
            <w:r w:rsidR="00D57F25">
              <w:rPr>
                <w:rFonts w:cs="Arial"/>
              </w:rPr>
              <w:t>Patient Alert icon</w:t>
            </w:r>
            <w:r>
              <w:rPr>
                <w:rFonts w:cs="Arial"/>
              </w:rPr>
              <w:t xml:space="preserve"> in the status bar when it receives a merge event message from VistA.</w:t>
            </w:r>
          </w:p>
          <w:p w14:paraId="087C596D" w14:textId="77777777" w:rsidR="00B46D6D" w:rsidRDefault="00B46D6D">
            <w:pPr>
              <w:pStyle w:val="TableTextBullet"/>
            </w:pPr>
            <w:r w:rsidRPr="00B46D6D">
              <w:rPr>
                <w:vanish/>
              </w:rPr>
              <w:t>BR_84.10</w:t>
            </w:r>
            <w:r>
              <w:t>The system displays a patient update or merge icon alert to all users until all merge events are cleared and all updates, including death notices are viewed.</w:t>
            </w:r>
          </w:p>
          <w:p w14:paraId="257F4D84" w14:textId="77777777" w:rsidR="002A21AE" w:rsidRDefault="002A21AE" w:rsidP="005E431D">
            <w:pPr>
              <w:pStyle w:val="TableText"/>
            </w:pPr>
          </w:p>
          <w:p w14:paraId="1FCD8D28" w14:textId="77777777" w:rsidR="002A21AE" w:rsidRDefault="00057948">
            <w:pPr>
              <w:pStyle w:val="TableText"/>
              <w:rPr>
                <w:b/>
                <w:bCs/>
                <w:szCs w:val="18"/>
              </w:rPr>
            </w:pPr>
            <w:r>
              <w:rPr>
                <w:b/>
                <w:bCs/>
                <w:noProof/>
              </w:rPr>
              <mc:AlternateContent>
                <mc:Choice Requires="wps">
                  <w:drawing>
                    <wp:anchor distT="0" distB="0" distL="114300" distR="114300" simplePos="0" relativeHeight="251567616" behindDoc="0" locked="0" layoutInCell="1" allowOverlap="1" wp14:anchorId="044B729C" wp14:editId="2828FFB0">
                      <wp:simplePos x="0" y="0"/>
                      <wp:positionH relativeFrom="column">
                        <wp:posOffset>457200</wp:posOffset>
                      </wp:positionH>
                      <wp:positionV relativeFrom="paragraph">
                        <wp:posOffset>65405</wp:posOffset>
                      </wp:positionV>
                      <wp:extent cx="3200400" cy="0"/>
                      <wp:effectExtent l="9525" t="17780" r="9525" b="10795"/>
                      <wp:wrapNone/>
                      <wp:docPr id="405" name="Line 869" descr="P6966C4T7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E5426" id="Line 869" o:spid="_x0000_s1026" alt="&quot;&quot;" style="position:absolute;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PKS8f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2BAD06F5" w14:textId="77777777" w:rsidR="002A21AE" w:rsidRDefault="002A21AE">
            <w:pPr>
              <w:pStyle w:val="NotesText"/>
            </w:pPr>
          </w:p>
          <w:p w14:paraId="27F0AD29" w14:textId="77777777" w:rsidR="002A21AE" w:rsidRDefault="002A21AE">
            <w:pPr>
              <w:pStyle w:val="NotesText"/>
            </w:pPr>
            <w:r>
              <w:t xml:space="preserve">The user may also select </w:t>
            </w:r>
            <w:r>
              <w:rPr>
                <w:b/>
              </w:rPr>
              <w:t>Patients</w:t>
            </w:r>
            <w:r>
              <w:t xml:space="preserve"> from the main menu, </w:t>
            </w:r>
            <w:r>
              <w:rPr>
                <w:b/>
              </w:rPr>
              <w:t>Patient Updates</w:t>
            </w:r>
            <w:r>
              <w:t xml:space="preserve">, and </w:t>
            </w:r>
            <w:r>
              <w:rPr>
                <w:b/>
              </w:rPr>
              <w:t>Updated Patients</w:t>
            </w:r>
            <w:r>
              <w:t xml:space="preserve">, </w:t>
            </w:r>
            <w:r>
              <w:rPr>
                <w:b/>
              </w:rPr>
              <w:t>Deceased Patients</w:t>
            </w:r>
            <w:r>
              <w:t xml:space="preserve">, or </w:t>
            </w:r>
            <w:r>
              <w:rPr>
                <w:b/>
              </w:rPr>
              <w:t xml:space="preserve">Patient Merge </w:t>
            </w:r>
            <w:r>
              <w:t>to view the updates.</w:t>
            </w:r>
          </w:p>
        </w:tc>
      </w:tr>
    </w:tbl>
    <w:p w14:paraId="60FE3E45" w14:textId="77777777" w:rsidR="002A21AE" w:rsidRDefault="0072673B" w:rsidP="0072673B">
      <w:pPr>
        <w:pStyle w:val="Heading3"/>
      </w:pPr>
      <w:r>
        <w:br w:type="page"/>
      </w:r>
      <w:bookmarkStart w:id="457" w:name="_Toc4588803"/>
      <w:r w:rsidR="00057948">
        <w:rPr>
          <w:noProof/>
        </w:rPr>
        <w:lastRenderedPageBreak/>
        <w:drawing>
          <wp:inline distT="0" distB="0" distL="0" distR="0" wp14:anchorId="70C05E2A" wp14:editId="1EE97835">
            <wp:extent cx="166370" cy="156845"/>
            <wp:effectExtent l="0" t="0" r="5080" b="0"/>
            <wp:docPr id="219" name="Picture 219" descr="P69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P6970#yIS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rsidR="002A21AE">
        <w:t xml:space="preserve"> </w:t>
      </w:r>
      <w:bookmarkStart w:id="458" w:name="there"/>
      <w:bookmarkEnd w:id="458"/>
      <w:r w:rsidR="002A21AE">
        <w:t>Display Patient Merge Alerts</w:t>
      </w:r>
      <w:bookmarkEnd w:id="457"/>
      <w:r w:rsidR="002A21AE">
        <w:fldChar w:fldCharType="begin"/>
      </w:r>
      <w:r w:rsidR="002A21AE">
        <w:instrText xml:space="preserve"> XE </w:instrText>
      </w:r>
      <w:r w:rsidR="00FA7E65">
        <w:instrText>“</w:instrText>
      </w:r>
      <w:r w:rsidR="002A21AE">
        <w:instrText>Display Patient Merge Alerts</w:instrText>
      </w:r>
      <w:r w:rsidR="00FA7E65">
        <w:instrText>”</w:instrText>
      </w:r>
      <w:r w:rsidR="002A21AE">
        <w:instrText xml:space="preserve"> </w:instrText>
      </w:r>
      <w:r w:rsidR="002A21AE">
        <w:fldChar w:fldCharType="end"/>
      </w:r>
      <w:r w:rsidR="002A21AE">
        <w:t xml:space="preserve"> </w:t>
      </w:r>
      <w:r w:rsidR="002A21AE">
        <w:rPr>
          <w:vanish/>
          <w:sz w:val="22"/>
        </w:rPr>
        <w:t>UC_84</w:t>
      </w:r>
    </w:p>
    <w:p w14:paraId="14A7C5F8" w14:textId="77777777" w:rsidR="002A21AE" w:rsidRDefault="002A21AE" w:rsidP="00FA7E65">
      <w:pPr>
        <w:pStyle w:val="BodyText"/>
      </w:pPr>
      <w:r>
        <w:t xml:space="preserve">VBECS notifies the user of </w:t>
      </w:r>
      <w:r w:rsidR="003549BA">
        <w:t xml:space="preserve">VistA </w:t>
      </w:r>
      <w:r>
        <w:t>patient merges.</w:t>
      </w:r>
    </w:p>
    <w:p w14:paraId="036279F6" w14:textId="77777777" w:rsidR="002A21AE" w:rsidRDefault="002A21AE">
      <w:pPr>
        <w:pStyle w:val="Heading4"/>
      </w:pPr>
      <w:r>
        <w:t>Assumptions</w:t>
      </w:r>
      <w:r>
        <w:rPr>
          <w:b w:val="0"/>
        </w:rPr>
        <w:t xml:space="preserve"> </w:t>
      </w:r>
    </w:p>
    <w:p w14:paraId="73ED950D" w14:textId="77777777" w:rsidR="002A21AE" w:rsidRDefault="002A21AE">
      <w:pPr>
        <w:pStyle w:val="ListBullet"/>
      </w:pPr>
      <w:r>
        <w:t xml:space="preserve">A patient demographic merge alert is received from </w:t>
      </w:r>
      <w:r w:rsidR="00CA0045" w:rsidRPr="00CA0045">
        <w:rPr>
          <w:bCs/>
        </w:rPr>
        <w:t>VistA</w:t>
      </w:r>
      <w:r>
        <w:t xml:space="preserve"> for the user’s division for a VBECS patient.</w:t>
      </w:r>
    </w:p>
    <w:p w14:paraId="7C7C06E2" w14:textId="77777777" w:rsidR="002A21AE" w:rsidRDefault="002A21AE">
      <w:pPr>
        <w:pStyle w:val="Heading4"/>
      </w:pPr>
      <w:r>
        <w:t xml:space="preserve">Outcome </w:t>
      </w:r>
    </w:p>
    <w:p w14:paraId="3D211359" w14:textId="77777777" w:rsidR="002A21AE" w:rsidRDefault="008A1BFD">
      <w:pPr>
        <w:pStyle w:val="ListBullet"/>
      </w:pPr>
      <w:r>
        <w:t>VBECS notified the user that</w:t>
      </w:r>
      <w:r w:rsidR="00BF053B">
        <w:t xml:space="preserve"> </w:t>
      </w:r>
      <w:r w:rsidR="002A21AE">
        <w:t xml:space="preserve">patient </w:t>
      </w:r>
      <w:r>
        <w:t>records were</w:t>
      </w:r>
      <w:r w:rsidR="002A21AE">
        <w:t xml:space="preserve"> merged in </w:t>
      </w:r>
      <w:r>
        <w:t xml:space="preserve">VistA and that </w:t>
      </w:r>
      <w:r w:rsidR="008D6720">
        <w:t>the user must take action</w:t>
      </w:r>
      <w:r>
        <w:t xml:space="preserve"> to match the records in VBECS</w:t>
      </w:r>
      <w:r w:rsidR="002A21AE">
        <w:t>.</w:t>
      </w:r>
    </w:p>
    <w:p w14:paraId="38F011ED" w14:textId="77777777" w:rsidR="002A21AE" w:rsidRDefault="002A21AE">
      <w:pPr>
        <w:pStyle w:val="Heading4"/>
        <w:rPr>
          <w:b w:val="0"/>
        </w:rPr>
      </w:pPr>
      <w:r>
        <w:t>Limitations and Restrictions</w:t>
      </w:r>
      <w:r>
        <w:rPr>
          <w:b w:val="0"/>
        </w:rPr>
        <w:t xml:space="preserve"> </w:t>
      </w:r>
    </w:p>
    <w:p w14:paraId="6CEC8DB5" w14:textId="77777777" w:rsidR="00132178" w:rsidRDefault="00F10EB3" w:rsidP="00132178">
      <w:pPr>
        <w:pStyle w:val="ListBullet"/>
      </w:pPr>
      <w:r>
        <w:t xml:space="preserve">VBECS does not notify users of additional VistA patient updates or merges while the icon is displayed. </w:t>
      </w:r>
      <w:r w:rsidR="00132178">
        <w:rPr>
          <w:rFonts w:cs="Arial"/>
          <w:vanish/>
        </w:rPr>
        <w:t xml:space="preserve">DR 2,525 </w:t>
      </w:r>
      <w:r w:rsidR="00132178">
        <w:t>When a user views an update and there is a</w:t>
      </w:r>
      <w:r w:rsidR="008B31EE">
        <w:t>n unprocessed VistA</w:t>
      </w:r>
      <w:r w:rsidR="00132178">
        <w:t xml:space="preserve"> patient merge, the </w:t>
      </w:r>
      <w:r w:rsidR="00D57F25">
        <w:t>Patient Alert icon</w:t>
      </w:r>
      <w:r w:rsidR="00132178">
        <w:t xml:space="preserve"> remains on the screen until the Traditional Supervisor </w:t>
      </w:r>
      <w:r w:rsidR="008B31EE">
        <w:t>updates the patient records</w:t>
      </w:r>
      <w:r w:rsidR="00132178">
        <w:t xml:space="preserve"> and clears the icon. </w:t>
      </w:r>
    </w:p>
    <w:p w14:paraId="4A054613" w14:textId="77777777" w:rsidR="002A21AE" w:rsidRDefault="002A21AE">
      <w:pPr>
        <w:pStyle w:val="Heading4"/>
      </w:pPr>
      <w:r>
        <w:t xml:space="preserve">Additional Information </w:t>
      </w:r>
    </w:p>
    <w:p w14:paraId="475E2157" w14:textId="77777777" w:rsidR="002A21AE" w:rsidRDefault="00B473F5">
      <w:pPr>
        <w:pStyle w:val="ListBullet"/>
      </w:pPr>
      <w:r w:rsidRPr="00B473F5">
        <w:rPr>
          <w:vanish/>
        </w:rPr>
        <w:t xml:space="preserve">DR 2,527 </w:t>
      </w:r>
      <w:r>
        <w:t xml:space="preserve">VBECS notifies users of </w:t>
      </w:r>
      <w:r w:rsidR="000319CE">
        <w:t xml:space="preserve">VistA </w:t>
      </w:r>
      <w:r>
        <w:t xml:space="preserve">patient merges until a Traditional Supervisor clears the </w:t>
      </w:r>
      <w:r w:rsidR="000319CE">
        <w:t>Patient Alert icon</w:t>
      </w:r>
      <w:r>
        <w:t xml:space="preserve">. </w:t>
      </w:r>
      <w:r w:rsidR="008D12CC">
        <w:t>See Patient Merge for instructions.</w:t>
      </w:r>
    </w:p>
    <w:p w14:paraId="0131E9AA" w14:textId="77777777" w:rsidR="00BA4D88" w:rsidRDefault="00BA4D88">
      <w:pPr>
        <w:pStyle w:val="ListBullet"/>
      </w:pPr>
      <w:r>
        <w:rPr>
          <w:vanish/>
        </w:rPr>
        <w:t xml:space="preserve">BR_84.07 </w:t>
      </w:r>
      <w:r>
        <w:t>VBECS displays an alert to users for a VistA patient merge event if either the merge-from or merge-to patient exists in the VBECS system when the merge message is received.</w:t>
      </w:r>
    </w:p>
    <w:p w14:paraId="72DDD72D" w14:textId="77777777" w:rsidR="002A21AE" w:rsidRDefault="002A21AE">
      <w:pPr>
        <w:pStyle w:val="Heading4"/>
        <w:rPr>
          <w:b w:val="0"/>
        </w:rPr>
      </w:pPr>
      <w:r>
        <w:t>User Roles with Access to This Option</w:t>
      </w:r>
      <w:r>
        <w:rPr>
          <w:b w:val="0"/>
        </w:rPr>
        <w:t xml:space="preserve"> </w:t>
      </w:r>
    </w:p>
    <w:p w14:paraId="4394D0EF" w14:textId="77777777" w:rsidR="002A21AE" w:rsidRDefault="005E431D">
      <w:pPr>
        <w:pStyle w:val="Roles"/>
        <w:rPr>
          <w:snapToGrid w:val="0"/>
        </w:rPr>
      </w:pPr>
      <w:r>
        <w:t>All users</w:t>
      </w:r>
    </w:p>
    <w:p w14:paraId="3F20424E" w14:textId="77777777" w:rsidR="002A21AE" w:rsidRDefault="002A21AE">
      <w:pPr>
        <w:pStyle w:val="Heading4"/>
      </w:pPr>
      <w:r>
        <w:t>Display Patient Merge Alerts</w:t>
      </w:r>
    </w:p>
    <w:p w14:paraId="539C903D" w14:textId="77777777" w:rsidR="002A21AE" w:rsidRDefault="002A21AE" w:rsidP="00FA7E65">
      <w:pPr>
        <w:pStyle w:val="BodyText"/>
      </w:pPr>
      <w:r>
        <w:t xml:space="preserve">VBECS notifies the user that patient merges occurred in </w:t>
      </w:r>
      <w:r w:rsidR="00CA0045" w:rsidRPr="00CA0045">
        <w:rPr>
          <w:bCs/>
        </w:rPr>
        <w:t>VistA</w:t>
      </w:r>
      <w:r>
        <w:t xml:space="preserve"> and allows him to view additional update details.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F94691F" w14:textId="77777777">
        <w:trPr>
          <w:cantSplit/>
          <w:tblHeader/>
        </w:trPr>
        <w:tc>
          <w:tcPr>
            <w:tcW w:w="3240" w:type="dxa"/>
            <w:shd w:val="pct30" w:color="auto" w:fill="FFFFFF"/>
            <w:vAlign w:val="bottom"/>
          </w:tcPr>
          <w:p w14:paraId="38564F33" w14:textId="77777777" w:rsidR="002A21AE" w:rsidRDefault="002A21AE">
            <w:pPr>
              <w:pStyle w:val="TableText"/>
              <w:rPr>
                <w:b/>
              </w:rPr>
            </w:pPr>
            <w:r>
              <w:rPr>
                <w:b/>
              </w:rPr>
              <w:t>User Action</w:t>
            </w:r>
          </w:p>
        </w:tc>
        <w:tc>
          <w:tcPr>
            <w:tcW w:w="6120" w:type="dxa"/>
            <w:shd w:val="pct30" w:color="auto" w:fill="FFFFFF"/>
            <w:vAlign w:val="bottom"/>
          </w:tcPr>
          <w:p w14:paraId="6229259A" w14:textId="77777777" w:rsidR="002A21AE" w:rsidRDefault="002A21AE">
            <w:pPr>
              <w:pStyle w:val="TableText"/>
              <w:rPr>
                <w:b/>
              </w:rPr>
            </w:pPr>
            <w:r>
              <w:rPr>
                <w:b/>
              </w:rPr>
              <w:t>VBECS</w:t>
            </w:r>
          </w:p>
        </w:tc>
      </w:tr>
      <w:tr w:rsidR="002A21AE" w14:paraId="1901820C" w14:textId="77777777">
        <w:trPr>
          <w:trHeight w:val="403"/>
        </w:trPr>
        <w:tc>
          <w:tcPr>
            <w:tcW w:w="3240" w:type="dxa"/>
          </w:tcPr>
          <w:p w14:paraId="5B91C4D8" w14:textId="77777777" w:rsidR="002A21AE" w:rsidRDefault="002A21AE">
            <w:pPr>
              <w:pStyle w:val="TableTextNumbers"/>
            </w:pPr>
            <w:r>
              <w:t xml:space="preserve">Hold the mouse over the </w:t>
            </w:r>
            <w:r w:rsidR="00D57F25">
              <w:t>Patient Alert icon</w:t>
            </w:r>
            <w:r>
              <w:t xml:space="preserve"> to view a tool tip, or </w:t>
            </w:r>
          </w:p>
          <w:p w14:paraId="0239729B" w14:textId="77777777" w:rsidR="002A21AE" w:rsidRDefault="002A21AE">
            <w:pPr>
              <w:pStyle w:val="TableTextNumbersContinued"/>
            </w:pPr>
          </w:p>
          <w:p w14:paraId="70EE5981" w14:textId="77777777" w:rsidR="002A21AE" w:rsidRDefault="002A21AE">
            <w:pPr>
              <w:pStyle w:val="TableTextNumbersContinued"/>
            </w:pPr>
            <w:r>
              <w:rPr>
                <w:rFonts w:cs="Arial"/>
                <w:vanish/>
              </w:rPr>
              <w:t xml:space="preserve">BR_84.08 </w:t>
            </w:r>
            <w:r>
              <w:t xml:space="preserve">Click </w:t>
            </w:r>
            <w:r w:rsidR="00057948">
              <w:rPr>
                <w:noProof/>
              </w:rPr>
              <w:drawing>
                <wp:inline distT="0" distB="0" distL="0" distR="0" wp14:anchorId="7DB541F9" wp14:editId="2DB0DA8E">
                  <wp:extent cx="166370" cy="156845"/>
                  <wp:effectExtent l="0" t="0" r="5080" b="0"/>
                  <wp:docPr id="220" name="Picture 220" descr="P6990C3T7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P6990C3T74#yIS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to view a menu and select </w:t>
            </w:r>
            <w:r>
              <w:rPr>
                <w:b/>
              </w:rPr>
              <w:t>Updated Patients</w:t>
            </w:r>
            <w:r>
              <w:t xml:space="preserve">, </w:t>
            </w:r>
            <w:r>
              <w:rPr>
                <w:b/>
              </w:rPr>
              <w:t>Deceased Patients</w:t>
            </w:r>
            <w:r>
              <w:t xml:space="preserve">, or </w:t>
            </w:r>
            <w:r>
              <w:rPr>
                <w:b/>
              </w:rPr>
              <w:t xml:space="preserve">Patient Merge </w:t>
            </w:r>
            <w:r>
              <w:t xml:space="preserve">to view the updates. </w:t>
            </w:r>
          </w:p>
          <w:p w14:paraId="02ECA8B9" w14:textId="77777777" w:rsidR="002A21AE" w:rsidRDefault="002A21AE">
            <w:pPr>
              <w:pStyle w:val="TableTextNumbersContinued"/>
            </w:pPr>
          </w:p>
          <w:p w14:paraId="4C11792E" w14:textId="77777777" w:rsidR="002A21AE" w:rsidRDefault="002A21AE">
            <w:pPr>
              <w:pStyle w:val="TableTextNumbersContinued"/>
            </w:pPr>
            <w:r>
              <w:t xml:space="preserve">Click </w:t>
            </w:r>
            <w:r w:rsidR="00057948">
              <w:rPr>
                <w:noProof/>
              </w:rPr>
              <w:drawing>
                <wp:inline distT="0" distB="0" distL="0" distR="0" wp14:anchorId="74BD3F0B" wp14:editId="1B287173">
                  <wp:extent cx="166370" cy="156845"/>
                  <wp:effectExtent l="0" t="0" r="5080" b="0"/>
                  <wp:docPr id="221" name="Picture 221" descr="P6992C3T7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P6992C3T74#yIS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again to hide the menu.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5562A77D" w14:textId="77777777" w:rsidR="002A21AE" w:rsidRDefault="002A21AE">
            <w:pPr>
              <w:pStyle w:val="TableTextBullet"/>
            </w:pPr>
            <w:r>
              <w:rPr>
                <w:rFonts w:cs="Arial"/>
                <w:vanish/>
              </w:rPr>
              <w:t xml:space="preserve">BR_84.06 </w:t>
            </w:r>
            <w:r>
              <w:t>When it receives a patient update</w:t>
            </w:r>
            <w:r w:rsidR="008D6720">
              <w:t xml:space="preserve"> or</w:t>
            </w:r>
            <w:r>
              <w:t xml:space="preserve"> death</w:t>
            </w:r>
            <w:r w:rsidR="008D6720">
              <w:t xml:space="preserve"> event message</w:t>
            </w:r>
            <w:r>
              <w:t xml:space="preserve"> </w:t>
            </w:r>
            <w:r w:rsidR="008A1BFD">
              <w:t xml:space="preserve">and the patient has active or pending orders in the user’s VBECS division, </w:t>
            </w:r>
            <w:r>
              <w:t xml:space="preserve">displays a </w:t>
            </w:r>
            <w:r w:rsidR="00D57F25">
              <w:t>Patient Alert icon</w:t>
            </w:r>
            <w:r>
              <w:t xml:space="preserve"> in the status bar.</w:t>
            </w:r>
          </w:p>
          <w:p w14:paraId="44C045B8" w14:textId="77777777" w:rsidR="008A1BFD" w:rsidRDefault="008A1BFD">
            <w:pPr>
              <w:pStyle w:val="TableTextBullet"/>
            </w:pPr>
            <w:r>
              <w:t xml:space="preserve">When it receives a merge event message from VistA, displays a </w:t>
            </w:r>
            <w:r w:rsidR="00D57F25">
              <w:t>Patient Alert icon</w:t>
            </w:r>
            <w:r>
              <w:t xml:space="preserve"> in the status bar.</w:t>
            </w:r>
          </w:p>
          <w:p w14:paraId="1F3F7F7C" w14:textId="77777777" w:rsidR="002A21AE" w:rsidRDefault="002A21AE" w:rsidP="002232A3">
            <w:pPr>
              <w:pStyle w:val="TableText"/>
            </w:pPr>
          </w:p>
          <w:p w14:paraId="620A7124" w14:textId="77777777" w:rsidR="002A21AE" w:rsidRDefault="00057948">
            <w:pPr>
              <w:pStyle w:val="TableText"/>
              <w:rPr>
                <w:b/>
                <w:bCs/>
                <w:szCs w:val="18"/>
              </w:rPr>
            </w:pPr>
            <w:r>
              <w:rPr>
                <w:b/>
                <w:bCs/>
                <w:noProof/>
              </w:rPr>
              <mc:AlternateContent>
                <mc:Choice Requires="wps">
                  <w:drawing>
                    <wp:anchor distT="0" distB="0" distL="114300" distR="114300" simplePos="0" relativeHeight="251570688" behindDoc="0" locked="0" layoutInCell="1" allowOverlap="1" wp14:anchorId="79950458" wp14:editId="47E5C446">
                      <wp:simplePos x="0" y="0"/>
                      <wp:positionH relativeFrom="column">
                        <wp:posOffset>457200</wp:posOffset>
                      </wp:positionH>
                      <wp:positionV relativeFrom="paragraph">
                        <wp:posOffset>65405</wp:posOffset>
                      </wp:positionV>
                      <wp:extent cx="3200400" cy="0"/>
                      <wp:effectExtent l="9525" t="17780" r="9525" b="10795"/>
                      <wp:wrapNone/>
                      <wp:docPr id="404" name="Line 870" descr="P6996C4T7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BBF9C" id="Line 870" o:spid="_x0000_s1026" alt="&quot;&quot;" style="position:absolute;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ZRX7G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45A35BA7" w14:textId="77777777" w:rsidR="002A21AE" w:rsidRDefault="002A21AE">
            <w:pPr>
              <w:pStyle w:val="NotesText"/>
            </w:pPr>
          </w:p>
          <w:p w14:paraId="26FFECE3" w14:textId="77777777" w:rsidR="002A21AE" w:rsidRDefault="002A21AE">
            <w:pPr>
              <w:pStyle w:val="NotesText"/>
            </w:pPr>
            <w:r>
              <w:t xml:space="preserve">The user may also select </w:t>
            </w:r>
            <w:r>
              <w:rPr>
                <w:b/>
              </w:rPr>
              <w:t>Patients</w:t>
            </w:r>
            <w:r>
              <w:t xml:space="preserve"> from the main menu, </w:t>
            </w:r>
            <w:r>
              <w:rPr>
                <w:b/>
              </w:rPr>
              <w:t>Patient Updates</w:t>
            </w:r>
            <w:r>
              <w:t xml:space="preserve">, and </w:t>
            </w:r>
            <w:r>
              <w:rPr>
                <w:b/>
              </w:rPr>
              <w:t xml:space="preserve">Patient Merge </w:t>
            </w:r>
            <w:r>
              <w:t>to view the updates.</w:t>
            </w:r>
          </w:p>
          <w:p w14:paraId="432F846D" w14:textId="77777777" w:rsidR="002A21AE" w:rsidRDefault="002A21AE">
            <w:pPr>
              <w:pStyle w:val="NotesText"/>
            </w:pPr>
          </w:p>
          <w:p w14:paraId="10F819C6" w14:textId="77777777" w:rsidR="004B557B" w:rsidRDefault="002A21AE" w:rsidP="001E72D4">
            <w:pPr>
              <w:pStyle w:val="NotesText"/>
            </w:pPr>
            <w:r>
              <w:rPr>
                <w:rFonts w:cs="Arial"/>
                <w:vanish/>
              </w:rPr>
              <w:t xml:space="preserve">BR_84.10 </w:t>
            </w:r>
            <w:r>
              <w:t xml:space="preserve">VBECS displays a </w:t>
            </w:r>
            <w:r w:rsidR="004B557B">
              <w:t>patient update or merge icon a</w:t>
            </w:r>
            <w:r w:rsidR="00D57F25">
              <w:t xml:space="preserve">lert </w:t>
            </w:r>
            <w:r w:rsidR="004B557B">
              <w:t>to all users until all merge events are cleared and all updates, including death notices are viewed.</w:t>
            </w:r>
            <w:r w:rsidR="006B6C5C" w:rsidRPr="006B6C5C">
              <w:rPr>
                <w:vanish/>
              </w:rPr>
              <w:t>DR 2,525</w:t>
            </w:r>
          </w:p>
        </w:tc>
      </w:tr>
    </w:tbl>
    <w:p w14:paraId="69E6B3EA" w14:textId="77777777" w:rsidR="00AC2D9E" w:rsidRDefault="00AC2D9E" w:rsidP="0073493B">
      <w:pPr>
        <w:pStyle w:val="Heading2"/>
      </w:pPr>
    </w:p>
    <w:p w14:paraId="529102A1" w14:textId="77777777" w:rsidR="00834667" w:rsidRPr="008818F2" w:rsidRDefault="00411372" w:rsidP="00834667">
      <w:pPr>
        <w:pStyle w:val="Heading2"/>
        <w:rPr>
          <w:i w:val="0"/>
          <w:iCs w:val="0"/>
          <w:sz w:val="26"/>
          <w:szCs w:val="26"/>
        </w:rPr>
      </w:pPr>
      <w:bookmarkStart w:id="459" w:name="_Toc4588804"/>
      <w:r>
        <w:rPr>
          <w:i w:val="0"/>
          <w:iCs w:val="0"/>
          <w:sz w:val="26"/>
          <w:szCs w:val="26"/>
        </w:rPr>
        <w:t xml:space="preserve">Emergency </w:t>
      </w:r>
      <w:r w:rsidR="00834667" w:rsidRPr="008818F2">
        <w:rPr>
          <w:i w:val="0"/>
          <w:iCs w:val="0"/>
          <w:sz w:val="26"/>
          <w:szCs w:val="26"/>
        </w:rPr>
        <w:t>Transfusion Order</w:t>
      </w:r>
      <w:r>
        <w:rPr>
          <w:i w:val="0"/>
          <w:iCs w:val="0"/>
          <w:sz w:val="26"/>
          <w:szCs w:val="26"/>
        </w:rPr>
        <w:t xml:space="preserve"> Processing</w:t>
      </w:r>
      <w:bookmarkEnd w:id="459"/>
      <w:r w:rsidR="00834667" w:rsidRPr="008818F2">
        <w:rPr>
          <w:i w:val="0"/>
          <w:iCs w:val="0"/>
          <w:sz w:val="26"/>
          <w:szCs w:val="26"/>
        </w:rPr>
        <w:fldChar w:fldCharType="begin"/>
      </w:r>
      <w:r w:rsidR="00834667" w:rsidRPr="008818F2">
        <w:rPr>
          <w:i w:val="0"/>
          <w:iCs w:val="0"/>
          <w:sz w:val="26"/>
          <w:szCs w:val="26"/>
        </w:rPr>
        <w:instrText xml:space="preserve"> XE “Processing an Emergency Transfusion Order” </w:instrText>
      </w:r>
      <w:r w:rsidR="00834667" w:rsidRPr="008818F2">
        <w:rPr>
          <w:i w:val="0"/>
          <w:iCs w:val="0"/>
          <w:sz w:val="26"/>
          <w:szCs w:val="26"/>
        </w:rPr>
        <w:fldChar w:fldCharType="end"/>
      </w:r>
    </w:p>
    <w:p w14:paraId="201EC68A" w14:textId="77777777" w:rsidR="008818F2" w:rsidRPr="008818F2" w:rsidRDefault="008818F2" w:rsidP="008818F2">
      <w:pPr>
        <w:rPr>
          <w:sz w:val="22"/>
          <w:szCs w:val="22"/>
        </w:rPr>
      </w:pPr>
      <w:r>
        <w:rPr>
          <w:b/>
          <w:sz w:val="22"/>
          <w:szCs w:val="22"/>
        </w:rPr>
        <w:t>Question</w:t>
      </w:r>
      <w:r w:rsidRPr="008818F2">
        <w:rPr>
          <w:b/>
          <w:sz w:val="22"/>
          <w:szCs w:val="22"/>
        </w:rPr>
        <w:t>:</w:t>
      </w:r>
      <w:r w:rsidRPr="008818F2">
        <w:rPr>
          <w:sz w:val="22"/>
          <w:szCs w:val="22"/>
        </w:rPr>
        <w:t xml:space="preserve">  How do I Process an Emergency Transfusion Order for red blood cells when no specimen is collected?</w:t>
      </w:r>
    </w:p>
    <w:p w14:paraId="57B34CC3" w14:textId="77777777" w:rsidR="008818F2" w:rsidRPr="008818F2" w:rsidRDefault="008818F2" w:rsidP="008818F2">
      <w:pPr>
        <w:rPr>
          <w:sz w:val="22"/>
          <w:szCs w:val="22"/>
        </w:rPr>
      </w:pPr>
      <w:r w:rsidRPr="008818F2">
        <w:rPr>
          <w:b/>
          <w:sz w:val="22"/>
          <w:szCs w:val="22"/>
        </w:rPr>
        <w:t>Important Note:</w:t>
      </w:r>
      <w:r w:rsidRPr="008818F2">
        <w:rPr>
          <w:sz w:val="22"/>
          <w:szCs w:val="22"/>
        </w:rPr>
        <w:t xml:space="preserve"> If </w:t>
      </w:r>
      <w:r w:rsidR="009E6385">
        <w:rPr>
          <w:sz w:val="22"/>
          <w:szCs w:val="22"/>
        </w:rPr>
        <w:t>the patient is not found in Vist</w:t>
      </w:r>
      <w:r w:rsidRPr="008818F2">
        <w:rPr>
          <w:sz w:val="22"/>
          <w:szCs w:val="22"/>
        </w:rPr>
        <w:t>A, you must process the request manually. When the patient’s CPRS order is placed, enter your testing results and unit processing information with correct dates and times recreating the record as retrospective data entry.</w:t>
      </w:r>
    </w:p>
    <w:p w14:paraId="1494AA43" w14:textId="77777777" w:rsidR="008818F2" w:rsidRPr="008818F2" w:rsidRDefault="008818F2" w:rsidP="008818F2">
      <w:pPr>
        <w:rPr>
          <w:sz w:val="22"/>
          <w:szCs w:val="22"/>
        </w:rPr>
      </w:pPr>
      <w:r w:rsidRPr="008818F2">
        <w:rPr>
          <w:b/>
          <w:sz w:val="22"/>
          <w:szCs w:val="22"/>
        </w:rPr>
        <w:t xml:space="preserve">Answer: No Specimen Available: </w:t>
      </w:r>
      <w:r w:rsidRPr="008818F2">
        <w:rPr>
          <w:sz w:val="22"/>
          <w:szCs w:val="22"/>
        </w:rPr>
        <w:t>Below are the steps for processing a component order when no specimen is available but required. This example is for a Red Blood Cell order.</w:t>
      </w:r>
    </w:p>
    <w:p w14:paraId="26548284" w14:textId="77777777" w:rsidR="008818F2" w:rsidRPr="008818F2" w:rsidRDefault="008818F2" w:rsidP="00041E00">
      <w:pPr>
        <w:numPr>
          <w:ilvl w:val="0"/>
          <w:numId w:val="78"/>
        </w:numPr>
        <w:spacing w:after="200" w:line="276" w:lineRule="auto"/>
        <w:ind w:left="360"/>
        <w:rPr>
          <w:sz w:val="22"/>
          <w:szCs w:val="22"/>
        </w:rPr>
      </w:pPr>
      <w:r w:rsidRPr="008818F2">
        <w:rPr>
          <w:sz w:val="22"/>
          <w:szCs w:val="22"/>
        </w:rPr>
        <w:t xml:space="preserve">A CPRS order for a TAS and RBC must be placed to process the order in VBECS.  </w:t>
      </w:r>
    </w:p>
    <w:p w14:paraId="131FC1F2" w14:textId="248C927B" w:rsidR="008818F2" w:rsidRDefault="008818F2" w:rsidP="00041E00">
      <w:pPr>
        <w:numPr>
          <w:ilvl w:val="0"/>
          <w:numId w:val="78"/>
        </w:numPr>
        <w:spacing w:after="200" w:line="276" w:lineRule="auto"/>
        <w:ind w:left="360"/>
        <w:rPr>
          <w:sz w:val="22"/>
          <w:szCs w:val="22"/>
        </w:rPr>
      </w:pPr>
      <w:r w:rsidRPr="008818F2">
        <w:rPr>
          <w:sz w:val="22"/>
          <w:szCs w:val="22"/>
        </w:rPr>
        <w:t>Accession</w:t>
      </w:r>
      <w:r w:rsidRPr="008818F2">
        <w:rPr>
          <w:sz w:val="22"/>
          <w:szCs w:val="22"/>
          <w:u w:val="single"/>
        </w:rPr>
        <w:t xml:space="preserve"> only</w:t>
      </w:r>
      <w:r w:rsidRPr="008818F2">
        <w:rPr>
          <w:sz w:val="22"/>
          <w:szCs w:val="22"/>
        </w:rPr>
        <w:t xml:space="preserve"> the RBC order in the VistA LAB package</w:t>
      </w:r>
      <w:r w:rsidRPr="008818F2">
        <w:rPr>
          <w:noProof/>
          <w:sz w:val="22"/>
          <w:szCs w:val="22"/>
        </w:rPr>
        <w:t>. If the TAS is accessioned but not physically available, it will no</w:t>
      </w:r>
      <w:r w:rsidR="00910216">
        <w:rPr>
          <w:noProof/>
          <w:sz w:val="22"/>
          <w:szCs w:val="22"/>
        </w:rPr>
        <w:t>t interfere with the next ste</w:t>
      </w:r>
      <w:r w:rsidR="00910216" w:rsidRPr="00910216">
        <w:rPr>
          <w:noProof/>
          <w:sz w:val="22"/>
          <w:szCs w:val="22"/>
        </w:rPr>
        <w:t>p (</w:t>
      </w:r>
      <w:r w:rsidR="00910216" w:rsidRPr="00910216">
        <w:rPr>
          <w:noProof/>
          <w:sz w:val="22"/>
          <w:szCs w:val="22"/>
        </w:rPr>
        <w:fldChar w:fldCharType="begin" w:fldLock="1"/>
      </w:r>
      <w:r w:rsidR="00910216" w:rsidRPr="00910216">
        <w:rPr>
          <w:noProof/>
          <w:sz w:val="22"/>
          <w:szCs w:val="22"/>
        </w:rPr>
        <w:instrText xml:space="preserve"> REF _Ref507079586 \h </w:instrText>
      </w:r>
      <w:r w:rsidR="00910216">
        <w:rPr>
          <w:noProof/>
          <w:sz w:val="22"/>
          <w:szCs w:val="22"/>
        </w:rPr>
        <w:instrText xml:space="preserve"> \* MERGEFORMAT </w:instrText>
      </w:r>
      <w:r w:rsidR="00910216" w:rsidRPr="00910216">
        <w:rPr>
          <w:noProof/>
          <w:sz w:val="22"/>
          <w:szCs w:val="22"/>
        </w:rPr>
      </w:r>
      <w:r w:rsidR="00910216" w:rsidRPr="00910216">
        <w:rPr>
          <w:noProof/>
          <w:sz w:val="22"/>
          <w:szCs w:val="22"/>
        </w:rPr>
        <w:fldChar w:fldCharType="separate"/>
      </w:r>
      <w:r w:rsidR="00AB304C" w:rsidRPr="00AB304C">
        <w:rPr>
          <w:sz w:val="22"/>
          <w:szCs w:val="22"/>
        </w:rPr>
        <w:t xml:space="preserve">Figure </w:t>
      </w:r>
      <w:r w:rsidR="00AB304C" w:rsidRPr="00AB304C">
        <w:rPr>
          <w:noProof/>
          <w:sz w:val="22"/>
          <w:szCs w:val="22"/>
        </w:rPr>
        <w:t>118</w:t>
      </w:r>
      <w:r w:rsidR="00910216" w:rsidRPr="00910216">
        <w:rPr>
          <w:noProof/>
          <w:sz w:val="22"/>
          <w:szCs w:val="22"/>
        </w:rPr>
        <w:fldChar w:fldCharType="end"/>
      </w:r>
      <w:r w:rsidR="00910216" w:rsidRPr="00910216">
        <w:rPr>
          <w:noProof/>
          <w:sz w:val="22"/>
          <w:szCs w:val="22"/>
        </w:rPr>
        <w:t>).</w:t>
      </w:r>
    </w:p>
    <w:p w14:paraId="44601909" w14:textId="2FC717F7" w:rsidR="00910216" w:rsidRPr="008818F2" w:rsidRDefault="00910216" w:rsidP="00910216">
      <w:pPr>
        <w:pStyle w:val="Caption"/>
      </w:pPr>
      <w:bookmarkStart w:id="460" w:name="_Ref507079586"/>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118</w:t>
      </w:r>
      <w:r w:rsidR="004E20BD">
        <w:rPr>
          <w:noProof/>
        </w:rPr>
        <w:fldChar w:fldCharType="end"/>
      </w:r>
      <w:bookmarkEnd w:id="460"/>
      <w:r>
        <w:t>: Example of Red Blood Cells Accession</w:t>
      </w:r>
    </w:p>
    <w:p w14:paraId="35AD49FC" w14:textId="77777777" w:rsidR="008818F2" w:rsidRDefault="00057948" w:rsidP="000026FF">
      <w:pPr>
        <w:pStyle w:val="BodyText"/>
      </w:pPr>
      <w:r>
        <w:rPr>
          <w:noProof/>
        </w:rPr>
        <mc:AlternateContent>
          <mc:Choice Requires="wps">
            <w:drawing>
              <wp:anchor distT="0" distB="0" distL="114300" distR="114300" simplePos="0" relativeHeight="252087808" behindDoc="0" locked="0" layoutInCell="1" allowOverlap="1" wp14:anchorId="493E4540" wp14:editId="54A79A41">
                <wp:simplePos x="0" y="0"/>
                <wp:positionH relativeFrom="column">
                  <wp:posOffset>38100</wp:posOffset>
                </wp:positionH>
                <wp:positionV relativeFrom="paragraph">
                  <wp:posOffset>2461260</wp:posOffset>
                </wp:positionV>
                <wp:extent cx="5419725" cy="438150"/>
                <wp:effectExtent l="19050" t="13335" r="19050" b="15240"/>
                <wp:wrapNone/>
                <wp:docPr id="403" name="Rectangle 1313" descr="P7010L4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4381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D617B" id="Rectangle 1313" o:spid="_x0000_s1026" alt="&quot;&quot;" style="position:absolute;margin-left:3pt;margin-top:193.8pt;width:426.75pt;height:34.5p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" filled="f" strokecolor="red" strokeweight="2pt"/>
            </w:pict>
          </mc:Fallback>
        </mc:AlternateContent>
      </w:r>
      <w:r>
        <w:rPr>
          <w:noProof/>
        </w:rPr>
        <w:drawing>
          <wp:inline distT="0" distB="0" distL="0" distR="0" wp14:anchorId="3D7C1666" wp14:editId="5C74138E">
            <wp:extent cx="7278370" cy="4673600"/>
            <wp:effectExtent l="0" t="0" r="0" b="0"/>
            <wp:docPr id="222" name="Picture 222" descr="P7010L4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P7010L40#yIS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7278370" cy="4673600"/>
                    </a:xfrm>
                    <a:prstGeom prst="rect">
                      <a:avLst/>
                    </a:prstGeom>
                    <a:noFill/>
                    <a:ln>
                      <a:noFill/>
                    </a:ln>
                  </pic:spPr>
                </pic:pic>
              </a:graphicData>
            </a:graphic>
          </wp:inline>
        </w:drawing>
      </w:r>
    </w:p>
    <w:p w14:paraId="53FC089C" w14:textId="2AC1A486" w:rsidR="008818F2" w:rsidRDefault="00910216" w:rsidP="00041E00">
      <w:pPr>
        <w:numPr>
          <w:ilvl w:val="0"/>
          <w:numId w:val="78"/>
        </w:numPr>
        <w:spacing w:after="200" w:line="276" w:lineRule="auto"/>
        <w:ind w:left="360"/>
        <w:rPr>
          <w:sz w:val="22"/>
          <w:szCs w:val="22"/>
        </w:rPr>
      </w:pPr>
      <w:r>
        <w:rPr>
          <w:sz w:val="22"/>
          <w:szCs w:val="22"/>
        </w:rPr>
        <w:br w:type="page"/>
      </w:r>
      <w:r w:rsidR="008818F2" w:rsidRPr="000026FF">
        <w:rPr>
          <w:sz w:val="22"/>
          <w:szCs w:val="22"/>
        </w:rPr>
        <w:lastRenderedPageBreak/>
        <w:t>Accept the RB</w:t>
      </w:r>
      <w:r w:rsidR="008818F2" w:rsidRPr="00910216">
        <w:rPr>
          <w:sz w:val="22"/>
          <w:szCs w:val="22"/>
        </w:rPr>
        <w:t>C order in VBECS b</w:t>
      </w:r>
      <w:r w:rsidR="00070C25" w:rsidRPr="00910216">
        <w:rPr>
          <w:sz w:val="22"/>
          <w:szCs w:val="22"/>
        </w:rPr>
        <w:t>y checking the Emergency Order checkbox</w:t>
      </w:r>
      <w:r w:rsidR="008818F2" w:rsidRPr="00910216">
        <w:rPr>
          <w:sz w:val="22"/>
          <w:szCs w:val="22"/>
        </w:rPr>
        <w:t xml:space="preserve"> </w:t>
      </w:r>
      <w:r w:rsidRPr="00910216">
        <w:rPr>
          <w:sz w:val="22"/>
          <w:szCs w:val="22"/>
        </w:rPr>
        <w:t>[</w:t>
      </w:r>
      <w:r w:rsidR="008818F2" w:rsidRPr="00910216">
        <w:rPr>
          <w:b/>
          <w:sz w:val="22"/>
          <w:szCs w:val="22"/>
        </w:rPr>
        <w:t>Orders</w:t>
      </w:r>
      <w:r w:rsidR="008818F2" w:rsidRPr="00910216">
        <w:rPr>
          <w:sz w:val="22"/>
          <w:szCs w:val="22"/>
        </w:rPr>
        <w:t xml:space="preserve">, </w:t>
      </w:r>
      <w:r w:rsidR="008818F2" w:rsidRPr="00910216">
        <w:rPr>
          <w:b/>
          <w:sz w:val="22"/>
          <w:szCs w:val="22"/>
        </w:rPr>
        <w:t>Accept Orders</w:t>
      </w:r>
      <w:r w:rsidRPr="00910216">
        <w:rPr>
          <w:sz w:val="22"/>
          <w:szCs w:val="22"/>
        </w:rPr>
        <w:t xml:space="preserve"> (</w:t>
      </w:r>
      <w:r w:rsidRPr="00910216">
        <w:rPr>
          <w:sz w:val="22"/>
          <w:szCs w:val="22"/>
        </w:rPr>
        <w:fldChar w:fldCharType="begin" w:fldLock="1"/>
      </w:r>
      <w:r w:rsidRPr="00910216">
        <w:rPr>
          <w:sz w:val="22"/>
          <w:szCs w:val="22"/>
        </w:rPr>
        <w:instrText xml:space="preserve"> REF _Ref507079620 \h </w:instrText>
      </w:r>
      <w:r>
        <w:rPr>
          <w:sz w:val="22"/>
          <w:szCs w:val="22"/>
        </w:rPr>
        <w:instrText xml:space="preserve"> \* MERGEFORMAT </w:instrText>
      </w:r>
      <w:r w:rsidRPr="00910216">
        <w:rPr>
          <w:sz w:val="22"/>
          <w:szCs w:val="22"/>
        </w:rPr>
      </w:r>
      <w:r w:rsidRPr="00910216">
        <w:rPr>
          <w:sz w:val="22"/>
          <w:szCs w:val="22"/>
        </w:rPr>
        <w:fldChar w:fldCharType="separate"/>
      </w:r>
      <w:r w:rsidR="00AB304C" w:rsidRPr="00AB304C">
        <w:rPr>
          <w:sz w:val="22"/>
          <w:szCs w:val="22"/>
        </w:rPr>
        <w:t xml:space="preserve">Figure </w:t>
      </w:r>
      <w:r w:rsidR="00AB304C" w:rsidRPr="00AB304C">
        <w:rPr>
          <w:noProof/>
          <w:sz w:val="22"/>
          <w:szCs w:val="22"/>
        </w:rPr>
        <w:t>119</w:t>
      </w:r>
      <w:r w:rsidRPr="00910216">
        <w:rPr>
          <w:sz w:val="22"/>
          <w:szCs w:val="22"/>
        </w:rPr>
        <w:fldChar w:fldCharType="end"/>
      </w:r>
      <w:r w:rsidRPr="00910216">
        <w:rPr>
          <w:sz w:val="22"/>
          <w:szCs w:val="22"/>
        </w:rPr>
        <w:t>)]</w:t>
      </w:r>
      <w:r w:rsidR="008818F2" w:rsidRPr="00910216">
        <w:rPr>
          <w:sz w:val="22"/>
          <w:szCs w:val="22"/>
        </w:rPr>
        <w:t xml:space="preserve">. </w:t>
      </w:r>
    </w:p>
    <w:p w14:paraId="06E32E21" w14:textId="5186C6E0" w:rsidR="00910216" w:rsidRPr="000026FF" w:rsidRDefault="00910216" w:rsidP="00910216">
      <w:pPr>
        <w:pStyle w:val="Caption"/>
      </w:pPr>
      <w:bookmarkStart w:id="461" w:name="_Ref507079620"/>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119</w:t>
      </w:r>
      <w:r w:rsidR="004E20BD">
        <w:rPr>
          <w:noProof/>
        </w:rPr>
        <w:fldChar w:fldCharType="end"/>
      </w:r>
      <w:bookmarkEnd w:id="461"/>
      <w:r>
        <w:t>: Example of Emergency Order checkbox</w:t>
      </w:r>
    </w:p>
    <w:p w14:paraId="546D5937" w14:textId="77777777" w:rsidR="008818F2" w:rsidRDefault="00057948" w:rsidP="000026FF">
      <w:pPr>
        <w:pStyle w:val="BodyText"/>
      </w:pPr>
      <w:r>
        <w:rPr>
          <w:noProof/>
        </w:rPr>
        <mc:AlternateContent>
          <mc:Choice Requires="wps">
            <w:drawing>
              <wp:anchor distT="0" distB="0" distL="114300" distR="114300" simplePos="0" relativeHeight="252093952" behindDoc="0" locked="0" layoutInCell="1" allowOverlap="1" wp14:anchorId="6C1F19E2" wp14:editId="3CD58DE0">
                <wp:simplePos x="0" y="0"/>
                <wp:positionH relativeFrom="column">
                  <wp:posOffset>1762125</wp:posOffset>
                </wp:positionH>
                <wp:positionV relativeFrom="paragraph">
                  <wp:posOffset>3009900</wp:posOffset>
                </wp:positionV>
                <wp:extent cx="1209675" cy="190500"/>
                <wp:effectExtent l="28575" t="19050" r="9525" b="19050"/>
                <wp:wrapNone/>
                <wp:docPr id="402" name="AutoShape 1316" descr="P7013#y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190500"/>
                        </a:xfrm>
                        <a:prstGeom prst="leftArrow">
                          <a:avLst>
                            <a:gd name="adj1" fmla="val 50000"/>
                            <a:gd name="adj2" fmla="val 1587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900F4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316" o:spid="_x0000_s1026" type="#_x0000_t66" alt="&quot;&quot;" style="position:absolute;margin-left:138.75pt;margin-top:237pt;width:95.25pt;height:15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" fillcolor="red"/>
            </w:pict>
          </mc:Fallback>
        </mc:AlternateContent>
      </w:r>
      <w:r>
        <w:rPr>
          <w:noProof/>
        </w:rPr>
        <mc:AlternateContent>
          <mc:Choice Requires="wps">
            <w:drawing>
              <wp:anchor distT="0" distB="0" distL="114300" distR="114300" simplePos="0" relativeHeight="252090880" behindDoc="0" locked="0" layoutInCell="1" allowOverlap="1" wp14:anchorId="6BD4040E" wp14:editId="67B0912E">
                <wp:simplePos x="0" y="0"/>
                <wp:positionH relativeFrom="column">
                  <wp:posOffset>895350</wp:posOffset>
                </wp:positionH>
                <wp:positionV relativeFrom="paragraph">
                  <wp:posOffset>3009900</wp:posOffset>
                </wp:positionV>
                <wp:extent cx="838200" cy="190500"/>
                <wp:effectExtent l="19050" t="19050" r="19050" b="19050"/>
                <wp:wrapNone/>
                <wp:docPr id="401" name="Rectangle 1315" descr="P701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905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94976" id="Rectangle 1315" o:spid="_x0000_s1026" alt="&quot;&quot;" style="position:absolute;margin-left:70.5pt;margin-top:237pt;width:66pt;height:15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" filled="f" strokecolor="red" strokeweight="2pt"/>
            </w:pict>
          </mc:Fallback>
        </mc:AlternateContent>
      </w:r>
      <w:r>
        <w:rPr>
          <w:noProof/>
        </w:rPr>
        <w:drawing>
          <wp:inline distT="0" distB="0" distL="0" distR="0" wp14:anchorId="54D887F0" wp14:editId="7BBE847F">
            <wp:extent cx="5615940" cy="3435985"/>
            <wp:effectExtent l="19050" t="19050" r="22860" b="12065"/>
            <wp:docPr id="223" name="Picture 223" descr="P701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P7013#yIS1">
                      <a:extLst>
                        <a:ext uri="{C183D7F6-B498-43B3-948B-1728B52AA6E4}">
                          <adec:decorative xmlns:adec="http://schemas.microsoft.com/office/drawing/2017/decorative" val="1"/>
                        </a:ext>
                      </a:extLst>
                    </pic:cNvPr>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615940" cy="3435985"/>
                    </a:xfrm>
                    <a:prstGeom prst="rect">
                      <a:avLst/>
                    </a:prstGeom>
                    <a:noFill/>
                    <a:ln w="6350" cmpd="sng">
                      <a:solidFill>
                        <a:srgbClr val="000000"/>
                      </a:solidFill>
                      <a:miter lim="800000"/>
                      <a:headEnd/>
                      <a:tailEnd/>
                    </a:ln>
                    <a:effectLst/>
                  </pic:spPr>
                </pic:pic>
              </a:graphicData>
            </a:graphic>
          </wp:inline>
        </w:drawing>
      </w:r>
    </w:p>
    <w:p w14:paraId="020479C9" w14:textId="77777777" w:rsidR="008818F2" w:rsidRPr="000026FF" w:rsidRDefault="008818F2" w:rsidP="00041E00">
      <w:pPr>
        <w:numPr>
          <w:ilvl w:val="0"/>
          <w:numId w:val="78"/>
        </w:numPr>
        <w:spacing w:after="200" w:line="276" w:lineRule="auto"/>
        <w:ind w:left="360"/>
        <w:rPr>
          <w:sz w:val="22"/>
          <w:szCs w:val="22"/>
        </w:rPr>
      </w:pPr>
      <w:r w:rsidRPr="000026FF">
        <w:rPr>
          <w:sz w:val="22"/>
          <w:szCs w:val="22"/>
        </w:rPr>
        <w:t>Select Units and issue from the Emergency Issue tab until a specimen is received.</w:t>
      </w:r>
    </w:p>
    <w:p w14:paraId="00C0CF97" w14:textId="5EDD457C" w:rsidR="00910216" w:rsidRDefault="00910216" w:rsidP="00041E00">
      <w:pPr>
        <w:numPr>
          <w:ilvl w:val="0"/>
          <w:numId w:val="78"/>
        </w:numPr>
        <w:spacing w:after="200" w:line="276" w:lineRule="auto"/>
        <w:ind w:left="360"/>
        <w:rPr>
          <w:sz w:val="22"/>
          <w:szCs w:val="22"/>
        </w:rPr>
      </w:pPr>
      <w:r>
        <w:rPr>
          <w:sz w:val="22"/>
          <w:szCs w:val="22"/>
        </w:rPr>
        <w:br w:type="page"/>
      </w:r>
      <w:r w:rsidR="008818F2" w:rsidRPr="000026FF">
        <w:rPr>
          <w:sz w:val="22"/>
          <w:szCs w:val="22"/>
        </w:rPr>
        <w:lastRenderedPageBreak/>
        <w:t xml:space="preserve">Associate the specimen with the RBC order in Select Units by selecting one of the ISSUED units to perform retrospective crossmatch testing. Click the ellipsis button to search for </w:t>
      </w:r>
      <w:r w:rsidR="00070C25">
        <w:rPr>
          <w:sz w:val="22"/>
          <w:szCs w:val="22"/>
        </w:rPr>
        <w:t xml:space="preserve">an </w:t>
      </w:r>
      <w:r w:rsidR="008818F2" w:rsidRPr="000026FF">
        <w:rPr>
          <w:sz w:val="22"/>
          <w:szCs w:val="22"/>
        </w:rPr>
        <w:t>available specimen UID</w:t>
      </w:r>
      <w:r w:rsidR="009219F9">
        <w:rPr>
          <w:sz w:val="22"/>
          <w:szCs w:val="22"/>
        </w:rPr>
        <w:t xml:space="preserve"> (</w:t>
      </w:r>
      <w:r w:rsidR="009219F9" w:rsidRPr="009219F9">
        <w:rPr>
          <w:sz w:val="22"/>
          <w:szCs w:val="22"/>
        </w:rPr>
        <w:fldChar w:fldCharType="begin" w:fldLock="1"/>
      </w:r>
      <w:r w:rsidR="009219F9" w:rsidRPr="009219F9">
        <w:rPr>
          <w:sz w:val="22"/>
          <w:szCs w:val="22"/>
        </w:rPr>
        <w:instrText xml:space="preserve"> REF _Ref507079875 \h </w:instrText>
      </w:r>
      <w:r w:rsidR="009219F9">
        <w:rPr>
          <w:sz w:val="22"/>
          <w:szCs w:val="22"/>
        </w:rPr>
        <w:instrText xml:space="preserve"> \* MERGEFORMAT </w:instrText>
      </w:r>
      <w:r w:rsidR="009219F9" w:rsidRPr="009219F9">
        <w:rPr>
          <w:sz w:val="22"/>
          <w:szCs w:val="22"/>
        </w:rPr>
      </w:r>
      <w:r w:rsidR="009219F9" w:rsidRPr="009219F9">
        <w:rPr>
          <w:sz w:val="22"/>
          <w:szCs w:val="22"/>
        </w:rPr>
        <w:fldChar w:fldCharType="separate"/>
      </w:r>
      <w:r w:rsidR="00AB304C" w:rsidRPr="00AB304C">
        <w:rPr>
          <w:sz w:val="22"/>
          <w:szCs w:val="22"/>
        </w:rPr>
        <w:t xml:space="preserve">Figure </w:t>
      </w:r>
      <w:r w:rsidR="00AB304C" w:rsidRPr="00AB304C">
        <w:rPr>
          <w:noProof/>
          <w:sz w:val="22"/>
          <w:szCs w:val="22"/>
        </w:rPr>
        <w:t>120</w:t>
      </w:r>
      <w:r w:rsidR="009219F9" w:rsidRPr="009219F9">
        <w:rPr>
          <w:sz w:val="22"/>
          <w:szCs w:val="22"/>
        </w:rPr>
        <w:fldChar w:fldCharType="end"/>
      </w:r>
      <w:r w:rsidR="009219F9" w:rsidRPr="009219F9">
        <w:rPr>
          <w:sz w:val="22"/>
          <w:szCs w:val="22"/>
        </w:rPr>
        <w:t>)</w:t>
      </w:r>
      <w:r w:rsidR="008818F2" w:rsidRPr="009219F9">
        <w:rPr>
          <w:sz w:val="22"/>
          <w:szCs w:val="22"/>
        </w:rPr>
        <w:t xml:space="preserve">. See the </w:t>
      </w:r>
      <w:r w:rsidR="009219F9">
        <w:rPr>
          <w:sz w:val="22"/>
          <w:szCs w:val="22"/>
        </w:rPr>
        <w:fldChar w:fldCharType="begin" w:fldLock="1"/>
      </w:r>
      <w:r w:rsidR="009219F9">
        <w:rPr>
          <w:sz w:val="22"/>
          <w:szCs w:val="22"/>
        </w:rPr>
        <w:instrText xml:space="preserve"> REF _Ref507079957 \h </w:instrText>
      </w:r>
      <w:r w:rsidR="009219F9">
        <w:rPr>
          <w:sz w:val="22"/>
          <w:szCs w:val="22"/>
        </w:rPr>
      </w:r>
      <w:r w:rsidR="009219F9">
        <w:rPr>
          <w:sz w:val="22"/>
          <w:szCs w:val="22"/>
        </w:rPr>
        <w:fldChar w:fldCharType="separate"/>
      </w:r>
      <w:r w:rsidR="00AB304C">
        <w:t>Select Units</w:t>
      </w:r>
      <w:r w:rsidR="009219F9">
        <w:rPr>
          <w:sz w:val="22"/>
          <w:szCs w:val="22"/>
        </w:rPr>
        <w:fldChar w:fldCharType="end"/>
      </w:r>
      <w:r w:rsidR="009219F9">
        <w:rPr>
          <w:sz w:val="22"/>
          <w:szCs w:val="22"/>
        </w:rPr>
        <w:t xml:space="preserve"> section</w:t>
      </w:r>
      <w:r w:rsidR="008818F2" w:rsidRPr="000026FF">
        <w:rPr>
          <w:sz w:val="22"/>
          <w:szCs w:val="22"/>
        </w:rPr>
        <w:t xml:space="preserve"> for </w:t>
      </w:r>
      <w:r w:rsidR="00E90A01">
        <w:rPr>
          <w:sz w:val="22"/>
          <w:szCs w:val="22"/>
        </w:rPr>
        <w:t>additional</w:t>
      </w:r>
      <w:r w:rsidR="008818F2" w:rsidRPr="000026FF">
        <w:rPr>
          <w:sz w:val="22"/>
          <w:szCs w:val="22"/>
        </w:rPr>
        <w:t xml:space="preserve"> information.</w:t>
      </w:r>
    </w:p>
    <w:p w14:paraId="7FE896D7" w14:textId="6D46E65B" w:rsidR="008818F2" w:rsidRPr="000026FF" w:rsidRDefault="00910216" w:rsidP="00910216">
      <w:pPr>
        <w:pStyle w:val="Caption"/>
      </w:pPr>
      <w:bookmarkStart w:id="462" w:name="_Ref507079875"/>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120</w:t>
      </w:r>
      <w:r w:rsidR="004E20BD">
        <w:rPr>
          <w:noProof/>
        </w:rPr>
        <w:fldChar w:fldCharType="end"/>
      </w:r>
      <w:bookmarkEnd w:id="462"/>
      <w:r>
        <w:t>: Example of Specimen UID Ellipsis button</w:t>
      </w:r>
      <w:r w:rsidR="008818F2" w:rsidRPr="000026FF">
        <w:t xml:space="preserve"> </w:t>
      </w:r>
    </w:p>
    <w:p w14:paraId="18EFB5C8" w14:textId="77777777" w:rsidR="008818F2" w:rsidRDefault="00057948" w:rsidP="000026FF">
      <w:pPr>
        <w:pStyle w:val="BodyText"/>
      </w:pPr>
      <w:r>
        <w:rPr>
          <w:noProof/>
        </w:rPr>
        <mc:AlternateContent>
          <mc:Choice Requires="wps">
            <w:drawing>
              <wp:anchor distT="0" distB="0" distL="114300" distR="114300" simplePos="0" relativeHeight="252097024" behindDoc="0" locked="0" layoutInCell="1" allowOverlap="1" wp14:anchorId="6FA79141" wp14:editId="56EE06D4">
                <wp:simplePos x="0" y="0"/>
                <wp:positionH relativeFrom="column">
                  <wp:posOffset>4305300</wp:posOffset>
                </wp:positionH>
                <wp:positionV relativeFrom="paragraph">
                  <wp:posOffset>2019935</wp:posOffset>
                </wp:positionV>
                <wp:extent cx="1209675" cy="190500"/>
                <wp:effectExtent l="28575" t="19685" r="9525" b="8890"/>
                <wp:wrapNone/>
                <wp:docPr id="400" name="AutoShape 1317" descr="P701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190500"/>
                        </a:xfrm>
                        <a:prstGeom prst="leftArrow">
                          <a:avLst>
                            <a:gd name="adj1" fmla="val 50000"/>
                            <a:gd name="adj2" fmla="val 1587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12249" id="AutoShape 1317" o:spid="_x0000_s1026" type="#_x0000_t66" alt="&quot;&quot;" style="position:absolute;margin-left:339pt;margin-top:159.05pt;width:95.25pt;height:15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" fillcolor="red"/>
            </w:pict>
          </mc:Fallback>
        </mc:AlternateContent>
      </w:r>
      <w:r>
        <w:rPr>
          <w:noProof/>
        </w:rPr>
        <w:drawing>
          <wp:inline distT="0" distB="0" distL="0" distR="0" wp14:anchorId="5DD37705" wp14:editId="0488D540">
            <wp:extent cx="4396740" cy="3103245"/>
            <wp:effectExtent l="0" t="0" r="3810" b="1905"/>
            <wp:docPr id="224" name="Picture 224" descr="P7017#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P7017#yIS1">
                      <a:extLst>
                        <a:ext uri="{C183D7F6-B498-43B3-948B-1728B52AA6E4}">
                          <adec:decorative xmlns:adec="http://schemas.microsoft.com/office/drawing/2017/decorative" val="1"/>
                        </a:ext>
                      </a:extLst>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396740" cy="3103245"/>
                    </a:xfrm>
                    <a:prstGeom prst="rect">
                      <a:avLst/>
                    </a:prstGeom>
                    <a:noFill/>
                    <a:ln>
                      <a:noFill/>
                    </a:ln>
                  </pic:spPr>
                </pic:pic>
              </a:graphicData>
            </a:graphic>
          </wp:inline>
        </w:drawing>
      </w:r>
    </w:p>
    <w:p w14:paraId="3F1D6DE2" w14:textId="77777777" w:rsidR="0073493B" w:rsidRDefault="00AC2D9E" w:rsidP="0073493B">
      <w:pPr>
        <w:pStyle w:val="Heading2"/>
      </w:pPr>
      <w:r>
        <w:br w:type="page"/>
      </w:r>
      <w:bookmarkStart w:id="463" w:name="_Toc4588805"/>
      <w:r w:rsidR="0073493B">
        <w:lastRenderedPageBreak/>
        <w:t>Maintain Specimen</w:t>
      </w:r>
      <w:bookmarkEnd w:id="463"/>
      <w:r w:rsidR="0073493B">
        <w:fldChar w:fldCharType="begin"/>
      </w:r>
      <w:r w:rsidR="0073493B">
        <w:instrText xml:space="preserve"> XE “Maintain Specimen” </w:instrText>
      </w:r>
      <w:r w:rsidR="0073493B">
        <w:fldChar w:fldCharType="end"/>
      </w:r>
      <w:r w:rsidR="0073493B">
        <w:t xml:space="preserve"> </w:t>
      </w:r>
      <w:r w:rsidR="0073493B">
        <w:rPr>
          <w:rFonts w:ascii="Times New Roman" w:hAnsi="Times New Roman" w:cs="Times New Roman"/>
          <w:b w:val="0"/>
          <w:i w:val="0"/>
          <w:vanish/>
          <w:sz w:val="22"/>
        </w:rPr>
        <w:t>UC_35</w:t>
      </w:r>
    </w:p>
    <w:p w14:paraId="670D41BA" w14:textId="77777777" w:rsidR="0073493B" w:rsidRDefault="0073493B" w:rsidP="0073493B">
      <w:pPr>
        <w:pStyle w:val="BodyText"/>
      </w:pPr>
      <w:r>
        <w:t xml:space="preserve">A specimen for testing is received in the blood bank and is processed as part of initial order acceptance, as described in Accept Orders: Accept an Order. </w:t>
      </w:r>
    </w:p>
    <w:p w14:paraId="029F797B" w14:textId="77777777" w:rsidR="0073493B" w:rsidRDefault="0073493B" w:rsidP="0073493B">
      <w:pPr>
        <w:pStyle w:val="Heading4"/>
      </w:pPr>
      <w:r>
        <w:t>Assumptions</w:t>
      </w:r>
      <w:r>
        <w:rPr>
          <w:b w:val="0"/>
        </w:rPr>
        <w:t xml:space="preserve"> </w:t>
      </w:r>
    </w:p>
    <w:p w14:paraId="3B040F4B" w14:textId="77777777" w:rsidR="0073493B" w:rsidRDefault="0073493B" w:rsidP="0073493B">
      <w:pPr>
        <w:pStyle w:val="ListBullet"/>
      </w:pPr>
      <w:r>
        <w:t>Pending CPRS orders and active orders require an acceptable specimen.</w:t>
      </w:r>
    </w:p>
    <w:p w14:paraId="25CB7F26" w14:textId="77777777" w:rsidR="0073493B" w:rsidRDefault="0073493B" w:rsidP="0073493B">
      <w:pPr>
        <w:pStyle w:val="ListBullet"/>
      </w:pPr>
      <w:r>
        <w:t xml:space="preserve">A specimen was collected and previously accessioned in the </w:t>
      </w:r>
      <w:r w:rsidRPr="00CA6E27">
        <w:rPr>
          <w:bCs/>
        </w:rPr>
        <w:t>VistA</w:t>
      </w:r>
      <w:r>
        <w:rPr>
          <w:b/>
          <w:bCs/>
        </w:rPr>
        <w:t xml:space="preserve"> </w:t>
      </w:r>
      <w:r>
        <w:rPr>
          <w:bCs/>
        </w:rPr>
        <w:t>Laboratory system, which generated</w:t>
      </w:r>
      <w:r>
        <w:t xml:space="preserve"> the specimen’s universal ID (UID). </w:t>
      </w:r>
    </w:p>
    <w:p w14:paraId="0AD9A98D" w14:textId="77777777" w:rsidR="0073493B" w:rsidRDefault="0073493B" w:rsidP="0073493B">
      <w:pPr>
        <w:pStyle w:val="Heading4"/>
      </w:pPr>
      <w:r>
        <w:t xml:space="preserve">Outcome </w:t>
      </w:r>
    </w:p>
    <w:p w14:paraId="5B4A4A68" w14:textId="77777777" w:rsidR="0073493B" w:rsidRDefault="0073493B" w:rsidP="0073493B">
      <w:pPr>
        <w:pStyle w:val="ListBullet"/>
      </w:pPr>
      <w:r>
        <w:t>The user accepted or rejected a specimen.</w:t>
      </w:r>
    </w:p>
    <w:p w14:paraId="4C155CDC" w14:textId="77777777" w:rsidR="0073493B" w:rsidRDefault="0073493B" w:rsidP="0073493B">
      <w:pPr>
        <w:pStyle w:val="Heading4"/>
      </w:pPr>
      <w:r>
        <w:t>Limitations and Restrictions</w:t>
      </w:r>
      <w:r>
        <w:rPr>
          <w:b w:val="0"/>
        </w:rPr>
        <w:t xml:space="preserve"> </w:t>
      </w:r>
    </w:p>
    <w:p w14:paraId="6A983F08" w14:textId="77777777" w:rsidR="00597E97" w:rsidRDefault="00597E97" w:rsidP="0073493B">
      <w:pPr>
        <w:pStyle w:val="ListBullet"/>
      </w:pPr>
      <w:r>
        <w:t>When a search by UID causes VBECS to time out, repeat the search by UID and patient name or by patient name only.</w:t>
      </w:r>
      <w:r w:rsidR="009303DE">
        <w:t xml:space="preserve"> </w:t>
      </w:r>
      <w:r w:rsidR="009303DE" w:rsidRPr="009303DE">
        <w:rPr>
          <w:vanish/>
        </w:rPr>
        <w:t>(UserDoc Tasks 1089 and 1090)</w:t>
      </w:r>
    </w:p>
    <w:p w14:paraId="6DB71150" w14:textId="77777777" w:rsidR="0073493B" w:rsidRDefault="0073493B" w:rsidP="0073493B">
      <w:pPr>
        <w:pStyle w:val="ListBullet"/>
      </w:pPr>
      <w:r>
        <w:t>Specimen recollection requests must be made offline.</w:t>
      </w:r>
    </w:p>
    <w:p w14:paraId="23200A1F" w14:textId="77777777" w:rsidR="008F0300" w:rsidRDefault="008F0300" w:rsidP="0073493B">
      <w:pPr>
        <w:pStyle w:val="ListBullet"/>
      </w:pPr>
      <w:bookmarkStart w:id="464" w:name="OLE_LINK5"/>
      <w:bookmarkStart w:id="465" w:name="OLE_LINK6"/>
      <w:r>
        <w:t>Designating a specimen as “unacceptable” after accepting a CPRS order closes that order and requires a new CPRS order and sample.</w:t>
      </w:r>
    </w:p>
    <w:bookmarkEnd w:id="464"/>
    <w:bookmarkEnd w:id="465"/>
    <w:p w14:paraId="1F311C02" w14:textId="77777777" w:rsidR="0073493B" w:rsidRDefault="0073493B" w:rsidP="0073493B">
      <w:pPr>
        <w:pStyle w:val="Heading4"/>
      </w:pPr>
      <w:r>
        <w:t xml:space="preserve">Additional Information </w:t>
      </w:r>
    </w:p>
    <w:p w14:paraId="3A0C3CE9" w14:textId="58A97DEB" w:rsidR="0073493B" w:rsidRDefault="0073493B" w:rsidP="0073493B">
      <w:pPr>
        <w:pStyle w:val="ListBullet"/>
      </w:pPr>
      <w:r>
        <w:t>A specimen may be marked unsuitable for use after its acceptance.</w:t>
      </w:r>
      <w:r w:rsidR="00963554">
        <w:t xml:space="preserve"> </w:t>
      </w:r>
      <w:r w:rsidR="00963554" w:rsidRPr="00963554">
        <w:rPr>
          <w:vanish/>
        </w:rPr>
        <w:t>Defect 213368</w:t>
      </w:r>
    </w:p>
    <w:p w14:paraId="02899BBA" w14:textId="77777777" w:rsidR="0073493B" w:rsidRDefault="0073493B" w:rsidP="0073493B">
      <w:pPr>
        <w:pStyle w:val="ListBullet"/>
      </w:pPr>
      <w:r>
        <w:t>A specimen expiration date may be edited after acceptance.</w:t>
      </w:r>
    </w:p>
    <w:p w14:paraId="7427E351" w14:textId="77777777" w:rsidR="0073493B" w:rsidRDefault="0073493B" w:rsidP="0073493B">
      <w:pPr>
        <w:pStyle w:val="ListBullet"/>
      </w:pPr>
      <w:r>
        <w:t>A specimen may be recollected without</w:t>
      </w:r>
      <w:r w:rsidR="008F0300">
        <w:t xml:space="preserve"> canceling or reordering</w:t>
      </w:r>
      <w:r>
        <w:t xml:space="preserve"> the </w:t>
      </w:r>
      <w:r w:rsidRPr="00CA6E27">
        <w:rPr>
          <w:bCs/>
        </w:rPr>
        <w:t>VistA</w:t>
      </w:r>
      <w:r>
        <w:t xml:space="preserve"> order. This practice is dictated by local policy and procedures.</w:t>
      </w:r>
    </w:p>
    <w:p w14:paraId="394895D6" w14:textId="77777777" w:rsidR="0073493B" w:rsidRDefault="0073493B" w:rsidP="0073493B">
      <w:pPr>
        <w:pStyle w:val="ListBullet"/>
      </w:pPr>
      <w:r>
        <w:t>Specimens marked as originally associated with diagnostic tests only or unacceptable are not considered available specimens when CPRS is queried for specimen availability.</w:t>
      </w:r>
    </w:p>
    <w:p w14:paraId="30A90371" w14:textId="77777777" w:rsidR="0073493B" w:rsidRDefault="0073493B" w:rsidP="0073493B">
      <w:pPr>
        <w:pStyle w:val="Heading4"/>
        <w:rPr>
          <w:b w:val="0"/>
        </w:rPr>
      </w:pPr>
      <w:r>
        <w:t>User Roles with Access to This Option</w:t>
      </w:r>
    </w:p>
    <w:p w14:paraId="5EF5D194" w14:textId="77777777" w:rsidR="0073493B" w:rsidRDefault="0073493B" w:rsidP="0073493B">
      <w:pPr>
        <w:pStyle w:val="Roles"/>
        <w:rPr>
          <w:snapToGrid w:val="0"/>
        </w:rPr>
      </w:pPr>
      <w:r>
        <w:t>All users</w:t>
      </w:r>
    </w:p>
    <w:p w14:paraId="1775F834" w14:textId="77777777" w:rsidR="0073493B" w:rsidRDefault="0073493B" w:rsidP="0073493B">
      <w:pPr>
        <w:pStyle w:val="Heading4"/>
      </w:pPr>
      <w:r>
        <w:t>Maintain Specimen</w:t>
      </w:r>
    </w:p>
    <w:p w14:paraId="23BFA9C6" w14:textId="77777777" w:rsidR="0073493B" w:rsidRDefault="0073493B" w:rsidP="0073493B">
      <w:pPr>
        <w:pStyle w:val="BodyText"/>
      </w:pPr>
      <w:r>
        <w:t xml:space="preserve">A specimen for testing is received in the blood bank and is processed as part of initial order acceptance, as described in Accept Orders: Accept an Order. </w:t>
      </w:r>
    </w:p>
    <w:p w14:paraId="0AE0E454" w14:textId="77777777" w:rsidR="0073493B" w:rsidRDefault="0073493B" w:rsidP="0073493B">
      <w:pPr>
        <w:pStyle w:val="BodyText"/>
      </w:pPr>
      <w:r>
        <w:t>Information about a previously accepted specimen may be updated. The user may verify whether an active specimen is currently in the blood bank or update the information concerning a previously accepted specimen. After the user checks the physician’s order against the specimen requirement, the user verifies the specimen’s condition, labeling, and accompanying paperwork, according to local policy. The user verifies the specimen information and acceptability and prepares the specimen for testing.</w:t>
      </w:r>
    </w:p>
    <w:p w14:paraId="70A4245C" w14:textId="77777777" w:rsidR="0073493B" w:rsidRDefault="0073493B" w:rsidP="0073493B">
      <w:pPr>
        <w:pStyle w:val="BodyText"/>
      </w:pPr>
      <w:r>
        <w:t xml:space="preserve">The user may edit specimen information, such as extending the expiration time according to local policy, and marking a specimen as unsatisfactory or expired so that future orders require that a new specimen be collected. </w:t>
      </w:r>
    </w:p>
    <w:p w14:paraId="6413BFF3" w14:textId="77777777" w:rsidR="00E661A1" w:rsidRDefault="0073493B" w:rsidP="0073493B">
      <w:pPr>
        <w:pStyle w:val="BodyText"/>
      </w:pPr>
      <w:r>
        <w:t>When a specimen is required, the user must find that specimen before acknowledging that order, as described in Accept Orders: Accept an Order.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73493B" w14:paraId="1936C87B" w14:textId="77777777">
        <w:trPr>
          <w:cantSplit/>
          <w:tblHeader/>
        </w:trPr>
        <w:tc>
          <w:tcPr>
            <w:tcW w:w="3240" w:type="dxa"/>
            <w:shd w:val="pct30" w:color="auto" w:fill="FFFFFF"/>
            <w:vAlign w:val="bottom"/>
          </w:tcPr>
          <w:p w14:paraId="7983C2AA" w14:textId="14F49460" w:rsidR="0073493B" w:rsidRDefault="00E661A1" w:rsidP="00141448">
            <w:pPr>
              <w:pStyle w:val="TableText"/>
              <w:rPr>
                <w:b/>
              </w:rPr>
            </w:pPr>
            <w:r>
              <w:lastRenderedPageBreak/>
              <w:br w:type="page"/>
            </w:r>
            <w:r w:rsidR="0073493B">
              <w:rPr>
                <w:b/>
              </w:rPr>
              <w:t>User Action</w:t>
            </w:r>
          </w:p>
        </w:tc>
        <w:tc>
          <w:tcPr>
            <w:tcW w:w="6120" w:type="dxa"/>
            <w:shd w:val="pct30" w:color="auto" w:fill="FFFFFF"/>
            <w:vAlign w:val="bottom"/>
          </w:tcPr>
          <w:p w14:paraId="4ECFE952" w14:textId="77777777" w:rsidR="0073493B" w:rsidRDefault="0073493B" w:rsidP="00141448">
            <w:pPr>
              <w:pStyle w:val="TableText"/>
              <w:rPr>
                <w:b/>
              </w:rPr>
            </w:pPr>
            <w:r>
              <w:rPr>
                <w:b/>
              </w:rPr>
              <w:t>VBECS</w:t>
            </w:r>
          </w:p>
        </w:tc>
      </w:tr>
      <w:tr w:rsidR="0073493B" w14:paraId="36AB06AA" w14:textId="77777777">
        <w:tc>
          <w:tcPr>
            <w:tcW w:w="3240" w:type="dxa"/>
          </w:tcPr>
          <w:p w14:paraId="65B5DA6B" w14:textId="77777777" w:rsidR="0073493B" w:rsidRDefault="0073493B" w:rsidP="00141448">
            <w:pPr>
              <w:pStyle w:val="TableTextNumbers"/>
            </w:pPr>
            <w:r>
              <w:t xml:space="preserve">Select </w:t>
            </w:r>
            <w:r>
              <w:rPr>
                <w:b/>
              </w:rPr>
              <w:t>Orders</w:t>
            </w:r>
            <w:r>
              <w:t xml:space="preserve"> from the main menu.</w:t>
            </w:r>
          </w:p>
          <w:p w14:paraId="0C891C82" w14:textId="77777777" w:rsidR="0073493B" w:rsidRDefault="0073493B" w:rsidP="00141448">
            <w:pPr>
              <w:pStyle w:val="TableTextNumbersContinued"/>
            </w:pPr>
          </w:p>
          <w:p w14:paraId="03174E58" w14:textId="77777777" w:rsidR="0073493B" w:rsidRDefault="0073493B" w:rsidP="00141448">
            <w:pPr>
              <w:pStyle w:val="TableTextNumbersContinued"/>
            </w:pPr>
            <w:r>
              <w:t xml:space="preserve">Select </w:t>
            </w:r>
            <w:r>
              <w:rPr>
                <w:b/>
              </w:rPr>
              <w:t>Maintain Specimen</w:t>
            </w:r>
            <w:r>
              <w:t>.</w:t>
            </w:r>
          </w:p>
        </w:tc>
        <w:tc>
          <w:tcPr>
            <w:tcW w:w="6120" w:type="dxa"/>
          </w:tcPr>
          <w:p w14:paraId="30253267" w14:textId="77777777" w:rsidR="0073493B" w:rsidRDefault="0073493B" w:rsidP="00141448">
            <w:pPr>
              <w:pStyle w:val="TableTextBullet"/>
            </w:pPr>
            <w:r>
              <w:t>Displays options for processing orders.</w:t>
            </w:r>
          </w:p>
          <w:p w14:paraId="1E0B683F" w14:textId="77777777" w:rsidR="0073493B" w:rsidRDefault="0073493B" w:rsidP="00141448">
            <w:pPr>
              <w:pStyle w:val="TableTextBullet"/>
            </w:pPr>
            <w:r>
              <w:t>Displays fields for entering patient specimen information.</w:t>
            </w:r>
          </w:p>
        </w:tc>
      </w:tr>
      <w:tr w:rsidR="0073493B" w14:paraId="54DD1152" w14:textId="77777777">
        <w:tc>
          <w:tcPr>
            <w:tcW w:w="3240" w:type="dxa"/>
          </w:tcPr>
          <w:p w14:paraId="5A2B7010" w14:textId="77777777" w:rsidR="0073493B" w:rsidRDefault="0073493B" w:rsidP="00141448">
            <w:pPr>
              <w:pStyle w:val="TableTextNumbers"/>
            </w:pPr>
            <w:r>
              <w:t>Scan or enter the specimen’s UID.</w:t>
            </w:r>
          </w:p>
        </w:tc>
        <w:tc>
          <w:tcPr>
            <w:tcW w:w="6120" w:type="dxa"/>
          </w:tcPr>
          <w:p w14:paraId="4F76FA84" w14:textId="77777777" w:rsidR="0073493B" w:rsidRDefault="0073493B" w:rsidP="00141448">
            <w:pPr>
              <w:pStyle w:val="TableTextBullet"/>
            </w:pPr>
            <w:r>
              <w:t xml:space="preserve">Displays a field to enter the specimen UID and allows the user to search for existing specimens. </w:t>
            </w:r>
          </w:p>
          <w:p w14:paraId="22757897" w14:textId="77777777" w:rsidR="0073493B" w:rsidRDefault="0073493B" w:rsidP="00141448">
            <w:pPr>
              <w:pStyle w:val="TableTextBullet"/>
            </w:pPr>
            <w:r>
              <w:t>Displays previously entered information for the specimen and accommodates data entry of new specimen information.</w:t>
            </w:r>
          </w:p>
          <w:p w14:paraId="0F9FFC25" w14:textId="77777777" w:rsidR="0073493B" w:rsidRDefault="0073493B" w:rsidP="00141448">
            <w:pPr>
              <w:pStyle w:val="TableText"/>
            </w:pPr>
          </w:p>
          <w:p w14:paraId="0798CF44" w14:textId="77777777" w:rsidR="0073493B" w:rsidRDefault="00057948" w:rsidP="00141448">
            <w:pPr>
              <w:pStyle w:val="TableText"/>
              <w:rPr>
                <w:b/>
                <w:bCs/>
                <w:szCs w:val="18"/>
              </w:rPr>
            </w:pPr>
            <w:r>
              <w:rPr>
                <w:b/>
                <w:bCs/>
                <w:noProof/>
              </w:rPr>
              <mc:AlternateContent>
                <mc:Choice Requires="wps">
                  <w:drawing>
                    <wp:anchor distT="0" distB="0" distL="114300" distR="114300" simplePos="0" relativeHeight="251906560" behindDoc="0" locked="0" layoutInCell="1" allowOverlap="1" wp14:anchorId="084B1037" wp14:editId="1069B0C0">
                      <wp:simplePos x="0" y="0"/>
                      <wp:positionH relativeFrom="column">
                        <wp:posOffset>457200</wp:posOffset>
                      </wp:positionH>
                      <wp:positionV relativeFrom="paragraph">
                        <wp:posOffset>65405</wp:posOffset>
                      </wp:positionV>
                      <wp:extent cx="3200400" cy="0"/>
                      <wp:effectExtent l="9525" t="17780" r="9525" b="10795"/>
                      <wp:wrapNone/>
                      <wp:docPr id="399" name="Line 1067" descr="P7054C6T7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1806C" id="Line 1067" o:spid="_x0000_s1026" alt="&quot;&quot;" style="position:absolute;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MA7puvEAQAAbwMAAA4AAAAAAAAAAAAAAAAA&#10;LgIAAGRycy9lMm9Eb2MueG1sUEsBAi0AFAAGAAgAAAAhABdPMBLbAAAACAEAAA8AAAAAAAAAAAAA&#10;AAAAHgQAAGRycy9kb3ducmV2LnhtbFBLBQYAAAAABAAEAPMAAAAmBQAAAAA=&#10;" strokeweight="1.5pt"/>
                  </w:pict>
                </mc:Fallback>
              </mc:AlternateContent>
            </w:r>
            <w:r w:rsidR="0073493B">
              <w:rPr>
                <w:b/>
                <w:bCs/>
                <w:szCs w:val="18"/>
              </w:rPr>
              <w:t>NOTES</w:t>
            </w:r>
          </w:p>
          <w:p w14:paraId="0C54238C" w14:textId="77777777" w:rsidR="0073493B" w:rsidRDefault="0073493B" w:rsidP="00141448">
            <w:pPr>
              <w:pStyle w:val="NotesText"/>
            </w:pPr>
          </w:p>
          <w:p w14:paraId="12E45C0C" w14:textId="77777777" w:rsidR="0073493B" w:rsidRDefault="0073493B" w:rsidP="00141448">
            <w:pPr>
              <w:pStyle w:val="NotesText"/>
            </w:pPr>
            <w:r>
              <w:t xml:space="preserve">The user may: </w:t>
            </w:r>
          </w:p>
          <w:p w14:paraId="5DABF5F3" w14:textId="77777777" w:rsidR="0073493B" w:rsidRDefault="0073493B" w:rsidP="00141448">
            <w:pPr>
              <w:pStyle w:val="NotesTextBullet"/>
            </w:pPr>
            <w:r>
              <w:t>Create and/or maintain a specimen associated with an order from Accept Orders: Accept an Order.</w:t>
            </w:r>
          </w:p>
          <w:p w14:paraId="290750F5" w14:textId="77777777" w:rsidR="0073493B" w:rsidRDefault="0073493B" w:rsidP="00141448">
            <w:pPr>
              <w:pStyle w:val="NotesTextBullet"/>
            </w:pPr>
            <w:r>
              <w:t>Update specimen information from a previously received specimen.</w:t>
            </w:r>
          </w:p>
          <w:p w14:paraId="18B98D24" w14:textId="77777777" w:rsidR="0073493B" w:rsidRDefault="0073493B" w:rsidP="00141448">
            <w:pPr>
              <w:pStyle w:val="NotesText"/>
            </w:pPr>
          </w:p>
          <w:p w14:paraId="21685228" w14:textId="77777777" w:rsidR="0073493B" w:rsidRDefault="0073493B" w:rsidP="00141448">
            <w:pPr>
              <w:pStyle w:val="NotesText"/>
            </w:pPr>
            <w:r>
              <w:rPr>
                <w:rFonts w:cs="Arial"/>
                <w:vanish/>
              </w:rPr>
              <w:t xml:space="preserve">BR_35.04 </w:t>
            </w:r>
            <w:r>
              <w:t xml:space="preserve">Specimens associated with blood bank diagnostic tests are not available in Maintain Specimen. </w:t>
            </w:r>
            <w:r w:rsidR="00113E2C">
              <w:t>Specimens collected for diagnostic tests only are to be used for performing the specifically ordered tests and are not available for processing blood component orders.</w:t>
            </w:r>
            <w:r w:rsidR="00A4315F">
              <w:t xml:space="preserve"> </w:t>
            </w:r>
          </w:p>
          <w:p w14:paraId="3A248539" w14:textId="77777777" w:rsidR="0073493B" w:rsidRDefault="0073493B" w:rsidP="00141448">
            <w:pPr>
              <w:pStyle w:val="NotesText"/>
            </w:pPr>
          </w:p>
          <w:p w14:paraId="2617BA7E" w14:textId="77777777" w:rsidR="0073493B" w:rsidRDefault="0073493B" w:rsidP="00141448">
            <w:pPr>
              <w:pStyle w:val="NotesText"/>
            </w:pPr>
            <w:r>
              <w:t>The orders and associated specimens are maintained for three days before the order or specimen expires: Type &amp; Screen (TAS), component orders (RBC, FFP, CRYO, PLT, WB, OTHER).</w:t>
            </w:r>
          </w:p>
          <w:p w14:paraId="775A44FE" w14:textId="77777777" w:rsidR="0073493B" w:rsidRDefault="0073493B" w:rsidP="00141448">
            <w:pPr>
              <w:pStyle w:val="NotesText"/>
            </w:pPr>
          </w:p>
          <w:p w14:paraId="5D15C094" w14:textId="77777777" w:rsidR="0073493B" w:rsidRDefault="0073493B" w:rsidP="00141448">
            <w:pPr>
              <w:pStyle w:val="NotesText"/>
            </w:pPr>
            <w:r>
              <w:t>The list of orderable and reflex tests below may be added to a specimen maintained for a component order, but may not have a component order added to them: they do not have maintained specimens.</w:t>
            </w:r>
          </w:p>
          <w:p w14:paraId="2689D4CB" w14:textId="77777777" w:rsidR="0073493B" w:rsidRDefault="0073493B" w:rsidP="00141448">
            <w:pPr>
              <w:pStyle w:val="NotesText"/>
            </w:pPr>
          </w:p>
          <w:p w14:paraId="10B54039" w14:textId="77777777" w:rsidR="0073493B" w:rsidRDefault="0073493B" w:rsidP="00141448">
            <w:pPr>
              <w:pStyle w:val="NotesText"/>
            </w:pPr>
            <w:r>
              <w:t>The</w:t>
            </w:r>
            <w:r w:rsidR="00C53077">
              <w:t>se test</w:t>
            </w:r>
            <w:r>
              <w:t xml:space="preserve">s have a specimen drawn and used for their ordered test. The specimens are not maintained for component preparation: </w:t>
            </w:r>
          </w:p>
          <w:p w14:paraId="146D8155" w14:textId="77777777" w:rsidR="0073493B" w:rsidRDefault="0073493B" w:rsidP="00141448">
            <w:pPr>
              <w:pStyle w:val="NotesTextBullet"/>
            </w:pPr>
            <w:r>
              <w:t>DAT</w:t>
            </w:r>
          </w:p>
          <w:p w14:paraId="48075D50" w14:textId="77777777" w:rsidR="0073493B" w:rsidRDefault="0073493B" w:rsidP="00141448">
            <w:pPr>
              <w:pStyle w:val="NotesTextBullet"/>
            </w:pPr>
            <w:r>
              <w:t>ABS</w:t>
            </w:r>
          </w:p>
          <w:p w14:paraId="5D93B22F" w14:textId="77777777" w:rsidR="0073493B" w:rsidRDefault="0073493B" w:rsidP="00141448">
            <w:pPr>
              <w:pStyle w:val="NotesTextBullet"/>
            </w:pPr>
            <w:r>
              <w:t>ABO/Rh</w:t>
            </w:r>
          </w:p>
          <w:p w14:paraId="0627930A" w14:textId="77777777" w:rsidR="0073493B" w:rsidRDefault="00A10483" w:rsidP="00141448">
            <w:pPr>
              <w:pStyle w:val="NotesTextBullet"/>
            </w:pPr>
            <w:r>
              <w:t>Transfusion</w:t>
            </w:r>
            <w:r w:rsidR="00113E2C">
              <w:t xml:space="preserve"> </w:t>
            </w:r>
            <w:r w:rsidR="0073493B">
              <w:t>R</w:t>
            </w:r>
            <w:r w:rsidR="00113E2C">
              <w:t xml:space="preserve">eaction </w:t>
            </w:r>
            <w:r w:rsidR="0073493B">
              <w:t>W</w:t>
            </w:r>
            <w:r w:rsidR="00113E2C">
              <w:t>orkup (TRW)</w:t>
            </w:r>
          </w:p>
          <w:p w14:paraId="37409191" w14:textId="77777777" w:rsidR="0073493B" w:rsidRDefault="0073493B" w:rsidP="00141448">
            <w:pPr>
              <w:pStyle w:val="NotesText"/>
            </w:pPr>
          </w:p>
          <w:p w14:paraId="431D4496" w14:textId="77777777" w:rsidR="0073493B" w:rsidRDefault="0073493B" w:rsidP="00564CD2">
            <w:pPr>
              <w:pStyle w:val="NotesText"/>
            </w:pPr>
            <w:r>
              <w:rPr>
                <w:rFonts w:cs="Arial"/>
                <w:vanish/>
              </w:rPr>
              <w:t xml:space="preserve">BR_35.22 </w:t>
            </w:r>
            <w:r>
              <w:t>VBECS allows the user to search all existing patient specimens associated with a specific patient. The user may enter the patient name or a specimen UID to access the list.</w:t>
            </w:r>
          </w:p>
        </w:tc>
      </w:tr>
      <w:tr w:rsidR="0073493B" w14:paraId="62CED686" w14:textId="77777777">
        <w:tc>
          <w:tcPr>
            <w:tcW w:w="3240" w:type="dxa"/>
          </w:tcPr>
          <w:p w14:paraId="3FEE6708" w14:textId="292B8508" w:rsidR="0073493B" w:rsidRDefault="0073493B" w:rsidP="00141448">
            <w:pPr>
              <w:pStyle w:val="TableTextNumbers"/>
            </w:pPr>
            <w:r>
              <w:t>Enter new specimen information or edit previously entered information</w:t>
            </w:r>
            <w:r w:rsidR="00833047">
              <w:t xml:space="preserve"> (</w:t>
            </w:r>
            <w:r w:rsidR="00833047">
              <w:fldChar w:fldCharType="begin" w:fldLock="1"/>
            </w:r>
            <w:r w:rsidR="00833047">
              <w:instrText xml:space="preserve"> REF _Ref126722649 \h </w:instrText>
            </w:r>
            <w:r w:rsidR="00833047">
              <w:fldChar w:fldCharType="separate"/>
            </w:r>
            <w:r w:rsidR="00AB304C">
              <w:t xml:space="preserve">Figure </w:t>
            </w:r>
            <w:r w:rsidR="00AB304C">
              <w:rPr>
                <w:noProof/>
              </w:rPr>
              <w:t>117</w:t>
            </w:r>
            <w:r w:rsidR="00833047">
              <w:fldChar w:fldCharType="end"/>
            </w:r>
            <w:r w:rsidR="00833047">
              <w:t>)</w:t>
            </w:r>
            <w:r>
              <w:t>.</w:t>
            </w:r>
          </w:p>
        </w:tc>
        <w:tc>
          <w:tcPr>
            <w:tcW w:w="6120" w:type="dxa"/>
          </w:tcPr>
          <w:p w14:paraId="37F37B7E" w14:textId="77777777" w:rsidR="0073493B" w:rsidRPr="006E05B3" w:rsidRDefault="0073493B" w:rsidP="00141448">
            <w:pPr>
              <w:pStyle w:val="TableTextBullet"/>
              <w:rPr>
                <w:lang w:val="fr-FR"/>
              </w:rPr>
            </w:pPr>
            <w:r w:rsidRPr="006E05B3">
              <w:rPr>
                <w:lang w:val="fr-FR"/>
              </w:rPr>
              <w:t xml:space="preserve">Displays uneditable patient demographic information. </w:t>
            </w:r>
          </w:p>
          <w:p w14:paraId="12D56598" w14:textId="77777777" w:rsidR="0073493B" w:rsidRDefault="0073493B" w:rsidP="00141448">
            <w:pPr>
              <w:pStyle w:val="TableTextBullet"/>
            </w:pPr>
            <w:r>
              <w:t>Displays an option to edit.</w:t>
            </w:r>
          </w:p>
          <w:p w14:paraId="1FA74360" w14:textId="77777777" w:rsidR="0073493B" w:rsidRDefault="0073493B" w:rsidP="00141448">
            <w:pPr>
              <w:pStyle w:val="TableText"/>
            </w:pPr>
          </w:p>
          <w:p w14:paraId="6ED07477" w14:textId="77777777" w:rsidR="0073493B" w:rsidRDefault="00057948" w:rsidP="00141448">
            <w:pPr>
              <w:pStyle w:val="TableText"/>
              <w:rPr>
                <w:b/>
                <w:bCs/>
                <w:szCs w:val="18"/>
              </w:rPr>
            </w:pPr>
            <w:r>
              <w:rPr>
                <w:b/>
                <w:bCs/>
                <w:noProof/>
              </w:rPr>
              <mc:AlternateContent>
                <mc:Choice Requires="wps">
                  <w:drawing>
                    <wp:anchor distT="0" distB="0" distL="114300" distR="114300" simplePos="0" relativeHeight="251909632" behindDoc="0" locked="0" layoutInCell="1" allowOverlap="1" wp14:anchorId="691A6FE0" wp14:editId="41AE6794">
                      <wp:simplePos x="0" y="0"/>
                      <wp:positionH relativeFrom="column">
                        <wp:posOffset>457200</wp:posOffset>
                      </wp:positionH>
                      <wp:positionV relativeFrom="paragraph">
                        <wp:posOffset>65405</wp:posOffset>
                      </wp:positionV>
                      <wp:extent cx="3200400" cy="0"/>
                      <wp:effectExtent l="9525" t="17780" r="9525" b="10795"/>
                      <wp:wrapNone/>
                      <wp:docPr id="398" name="Line 1069" descr="P7078C8T7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7C518" id="Line 1069" o:spid="_x0000_s1026" alt="&quot;&quot;" style="position:absolute;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0fjKSMMBAABvAwAADgAAAAAAAAAAAAAAAAAu&#10;AgAAZHJzL2Uyb0RvYy54bWxQSwECLQAUAAYACAAAACEAF08wEtsAAAAIAQAADwAAAAAAAAAAAAAA&#10;AAAdBAAAZHJzL2Rvd25yZXYueG1sUEsFBgAAAAAEAAQA8wAAACUFAAAAAA==&#10;" strokeweight="1.5pt"/>
                  </w:pict>
                </mc:Fallback>
              </mc:AlternateContent>
            </w:r>
            <w:r w:rsidR="0073493B">
              <w:rPr>
                <w:b/>
                <w:bCs/>
                <w:szCs w:val="18"/>
              </w:rPr>
              <w:t>NOTES</w:t>
            </w:r>
          </w:p>
          <w:p w14:paraId="4E10FB15" w14:textId="77777777" w:rsidR="0073493B" w:rsidRDefault="0073493B" w:rsidP="00141448">
            <w:pPr>
              <w:pStyle w:val="NotesText"/>
            </w:pPr>
          </w:p>
          <w:p w14:paraId="7C7D2639" w14:textId="40F724AC" w:rsidR="0073493B" w:rsidRDefault="0073493B" w:rsidP="00141448">
            <w:pPr>
              <w:pStyle w:val="NotesText"/>
            </w:pPr>
            <w:r>
              <w:rPr>
                <w:rFonts w:cs="Arial"/>
                <w:vanish/>
              </w:rPr>
              <w:t xml:space="preserve">BR_35.01 </w:t>
            </w:r>
            <w:r>
              <w:t xml:space="preserve">When the user extends the specimen expiration date and time, VBECS calculates the number of days by which the specimen was extended (based on the originally calculated expiration date) and the newly entered expiration date. VBECS compares the difference to the site parameter for the maximum number of extension days allowed for a specimen. When the entered </w:t>
            </w:r>
            <w:r>
              <w:lastRenderedPageBreak/>
              <w:t>expiration date exceeds the parameter, VBECS warns the user. There is no override.</w:t>
            </w:r>
          </w:p>
          <w:p w14:paraId="6446B2F9" w14:textId="0D70C745" w:rsidR="0071742A" w:rsidRDefault="0071742A" w:rsidP="00141448">
            <w:pPr>
              <w:pStyle w:val="NotesText"/>
            </w:pPr>
          </w:p>
          <w:p w14:paraId="3A995970" w14:textId="1A0FB8EA" w:rsidR="0071742A" w:rsidRDefault="000A7EFC" w:rsidP="00A96612">
            <w:pPr>
              <w:pStyle w:val="NotesText"/>
            </w:pPr>
            <w:r>
              <w:t>W</w:t>
            </w:r>
            <w:r w:rsidRPr="000A7EFC">
              <w:t>hen a sp</w:t>
            </w:r>
            <w:r>
              <w:t>ecimen expiration date is exten</w:t>
            </w:r>
            <w:r w:rsidRPr="000A7EFC">
              <w:t>ded</w:t>
            </w:r>
            <w:r>
              <w:t xml:space="preserve"> on patients with t</w:t>
            </w:r>
            <w:r w:rsidRPr="000A7EFC">
              <w:t>ransfusions greater than 3 months in the pa</w:t>
            </w:r>
            <w:r>
              <w:t>st</w:t>
            </w:r>
            <w:r w:rsidR="00737DBB">
              <w:t>,</w:t>
            </w:r>
            <w:r>
              <w:t xml:space="preserve"> it will trigger the warning that patient has been transfused in the past 3 months.</w:t>
            </w:r>
            <w:r w:rsidR="00730CAA">
              <w:t xml:space="preserve"> </w:t>
            </w:r>
            <w:r>
              <w:t>Users should c</w:t>
            </w:r>
            <w:r w:rsidRPr="000A7EFC">
              <w:t>omplete the override as requested to proceed per local policy and procedure.</w:t>
            </w:r>
            <w:r w:rsidR="00730CAA">
              <w:t xml:space="preserve"> </w:t>
            </w:r>
            <w:r w:rsidR="00730CAA" w:rsidRPr="00730CAA">
              <w:rPr>
                <w:vanish/>
              </w:rPr>
              <w:t>Defect 209734</w:t>
            </w:r>
          </w:p>
          <w:p w14:paraId="6830517D" w14:textId="77777777" w:rsidR="0073493B" w:rsidRDefault="0073493B" w:rsidP="00141448">
            <w:pPr>
              <w:pStyle w:val="NotesText"/>
            </w:pPr>
          </w:p>
          <w:p w14:paraId="20B3211F" w14:textId="77777777" w:rsidR="0073493B" w:rsidRDefault="0073493B" w:rsidP="00141448">
            <w:pPr>
              <w:pStyle w:val="NotesText"/>
            </w:pPr>
            <w:r>
              <w:rPr>
                <w:rFonts w:cs="Arial"/>
                <w:vanish/>
              </w:rPr>
              <w:t xml:space="preserve">BR_35.02 </w:t>
            </w:r>
            <w:r>
              <w:t>The default expiration date is calculated as three days in the future with the day of the original specimen collection as “0.” For example, a specimen collected on September 16, 200</w:t>
            </w:r>
            <w:r w:rsidR="00E33504">
              <w:t>7</w:t>
            </w:r>
            <w:r>
              <w:t xml:space="preserve"> (regardless of the time), is day “0” and the calculated expiration date and time are September 19, 200</w:t>
            </w:r>
            <w:r w:rsidR="00E33504">
              <w:t>7</w:t>
            </w:r>
            <w:r>
              <w:t xml:space="preserve"> @ 23:59 (midnight).</w:t>
            </w:r>
          </w:p>
          <w:p w14:paraId="130A6DA5" w14:textId="77777777" w:rsidR="0073493B" w:rsidRDefault="0073493B" w:rsidP="00141448">
            <w:pPr>
              <w:pStyle w:val="NotesText"/>
            </w:pPr>
          </w:p>
          <w:p w14:paraId="121CFC15" w14:textId="77777777" w:rsidR="0073493B" w:rsidRDefault="0073493B" w:rsidP="00141448">
            <w:pPr>
              <w:pStyle w:val="NotesText"/>
            </w:pPr>
            <w:r>
              <w:rPr>
                <w:rFonts w:cs="Arial"/>
                <w:vanish/>
              </w:rPr>
              <w:t xml:space="preserve">BR_35.20 </w:t>
            </w:r>
            <w:r>
              <w:t>When a new or existing specimen is being associated with a pending component order during Accept Orders: Accept an Order, the specimen must be acceptable.</w:t>
            </w:r>
          </w:p>
          <w:p w14:paraId="7CFF5A63" w14:textId="77777777" w:rsidR="0073493B" w:rsidRDefault="0073493B" w:rsidP="00141448">
            <w:pPr>
              <w:pStyle w:val="NotesText"/>
            </w:pPr>
          </w:p>
          <w:p w14:paraId="6B3B80F9" w14:textId="77777777" w:rsidR="0073493B" w:rsidRDefault="0073493B" w:rsidP="00141448">
            <w:pPr>
              <w:pStyle w:val="NotesText"/>
            </w:pPr>
            <w:r>
              <w:rPr>
                <w:rFonts w:cs="Arial"/>
                <w:vanish/>
              </w:rPr>
              <w:t xml:space="preserve">BR_16.14 </w:t>
            </w:r>
            <w:r>
              <w:t>When there is a specimen requirement for orders, each order must be evaluated for a valid specimen before it can be accepted.</w:t>
            </w:r>
          </w:p>
          <w:p w14:paraId="64CFB7C8" w14:textId="77777777" w:rsidR="0073493B" w:rsidRDefault="0073493B" w:rsidP="00141448">
            <w:pPr>
              <w:pStyle w:val="NotesText"/>
            </w:pPr>
          </w:p>
          <w:p w14:paraId="0FCA6015" w14:textId="77777777" w:rsidR="0073493B" w:rsidRDefault="0073493B" w:rsidP="00141448">
            <w:pPr>
              <w:pStyle w:val="NotesText"/>
            </w:pPr>
            <w:r>
              <w:rPr>
                <w:rFonts w:cs="Arial"/>
                <w:vanish/>
              </w:rPr>
              <w:t xml:space="preserve">BR_35.21 </w:t>
            </w:r>
            <w:r>
              <w:t>VBECS displays specimen UIDs for selection by CPRS-associated maintainable specimen and then by acceptable and unexpired maintainable specimens, in reverse chronological order.</w:t>
            </w:r>
          </w:p>
          <w:p w14:paraId="61D4B2BC" w14:textId="77777777" w:rsidR="0073493B" w:rsidRDefault="0073493B" w:rsidP="00141448">
            <w:pPr>
              <w:pStyle w:val="NotesText"/>
            </w:pPr>
          </w:p>
          <w:p w14:paraId="37D9BD79" w14:textId="77777777" w:rsidR="0073493B" w:rsidRDefault="0073493B" w:rsidP="00141448">
            <w:pPr>
              <w:pStyle w:val="NotesText"/>
            </w:pPr>
            <w:r>
              <w:t>VBECS allows</w:t>
            </w:r>
            <w:r>
              <w:rPr>
                <w:color w:val="000000"/>
              </w:rPr>
              <w:t xml:space="preserve"> the user to include expired and unacceptable specimens</w:t>
            </w:r>
            <w:r>
              <w:t>.</w:t>
            </w:r>
          </w:p>
          <w:p w14:paraId="3746A95E" w14:textId="77777777" w:rsidR="0073493B" w:rsidRDefault="0073493B" w:rsidP="00141448">
            <w:pPr>
              <w:pStyle w:val="NotesText"/>
            </w:pPr>
          </w:p>
          <w:p w14:paraId="2CDC4FE5" w14:textId="77777777" w:rsidR="0073493B" w:rsidRDefault="0073493B" w:rsidP="00141448">
            <w:pPr>
              <w:pStyle w:val="NotesText"/>
            </w:pPr>
            <w:r>
              <w:rPr>
                <w:rFonts w:cs="Arial"/>
                <w:vanish/>
              </w:rPr>
              <w:t>BR_35.05</w:t>
            </w:r>
            <w:r w:rsidRPr="00323744">
              <w:rPr>
                <w:rStyle w:val="BullhornChar"/>
              </w:rPr>
              <w:t></w:t>
            </w:r>
            <w:r>
              <w:rPr>
                <w:rFonts w:ascii="Webdings" w:hAnsi="Webdings"/>
              </w:rPr>
              <w:t></w:t>
            </w:r>
            <w:r w:rsidRPr="00263B24">
              <w:t>Wh</w:t>
            </w:r>
            <w:r>
              <w:t>en the user attempts to save an expiration date past the default of three days, VBECS checks the patient’s record for evidence of transfusion within the previous three months and the history of antibody identification, regardless of the division. If either is found, VBECS emits an audible alert, warns that the patient has evidence of transfusion within previous three months and/or antibody formation, and instructs the user to enter a comment to extend the specimen expiration date beyond three days. The user must enter a canned comment (with the specimen extension) and/or free-text comment to continue. VBECS captures details for inclusion in an Exception Report (exception type: expiration date extended).</w:t>
            </w:r>
          </w:p>
          <w:p w14:paraId="1AF1C861" w14:textId="77777777" w:rsidR="0073493B" w:rsidRDefault="0073493B" w:rsidP="00141448">
            <w:pPr>
              <w:pStyle w:val="NotesText"/>
            </w:pPr>
          </w:p>
          <w:p w14:paraId="48A0EFF4" w14:textId="77777777" w:rsidR="0073493B" w:rsidRDefault="0073493B" w:rsidP="00141448">
            <w:pPr>
              <w:pStyle w:val="NotesText"/>
            </w:pPr>
            <w:r>
              <w:rPr>
                <w:rFonts w:cs="Arial"/>
                <w:vanish/>
              </w:rPr>
              <w:t xml:space="preserve">BR_35.07 </w:t>
            </w:r>
            <w:r>
              <w:t>When the specimen is deemed unacceptable, the status of the orders associated with the specimen remains “pending” or “active.”</w:t>
            </w:r>
          </w:p>
          <w:p w14:paraId="61223EC0" w14:textId="77777777" w:rsidR="0073493B" w:rsidRDefault="0073493B" w:rsidP="00141448">
            <w:pPr>
              <w:pStyle w:val="NotesText"/>
            </w:pPr>
          </w:p>
          <w:p w14:paraId="79CE4727" w14:textId="77777777" w:rsidR="0073493B" w:rsidRDefault="0073493B" w:rsidP="00141448">
            <w:pPr>
              <w:pStyle w:val="NotesText"/>
            </w:pPr>
            <w:r>
              <w:rPr>
                <w:vanish/>
                <w:szCs w:val="18"/>
              </w:rPr>
              <w:t>BR_35.10</w:t>
            </w:r>
            <w:r w:rsidRPr="00323744">
              <w:rPr>
                <w:rStyle w:val="BullhornChar"/>
              </w:rPr>
              <w:t></w:t>
            </w:r>
            <w:r>
              <w:rPr>
                <w:rFonts w:ascii="Webdings" w:hAnsi="Webdings"/>
              </w:rPr>
              <w:t></w:t>
            </w:r>
            <w:r w:rsidRPr="00263B24">
              <w:t>Wh</w:t>
            </w:r>
            <w:r>
              <w:t xml:space="preserve">en a user attempts to reactivate a previously expired or unacceptable specimen, VBECS emits an audible alert, warns that this is a previously expired or unacceptable specimen, and instructs the user to enter a comment to make it available. A comment is required to continue. VBECS captures details for </w:t>
            </w:r>
            <w:r>
              <w:lastRenderedPageBreak/>
              <w:t>inclusion in an Exception Report (exception type: unacceptable/expired specimen used).</w:t>
            </w:r>
          </w:p>
          <w:p w14:paraId="798CA996" w14:textId="77777777" w:rsidR="0073493B" w:rsidRDefault="0073493B" w:rsidP="00141448">
            <w:pPr>
              <w:pStyle w:val="NotesText"/>
            </w:pPr>
          </w:p>
          <w:p w14:paraId="2452DA9A" w14:textId="77777777" w:rsidR="0073493B" w:rsidRDefault="0073493B" w:rsidP="00141448">
            <w:pPr>
              <w:pStyle w:val="NotesText"/>
            </w:pPr>
            <w:r>
              <w:rPr>
                <w:rFonts w:cs="Arial"/>
                <w:vanish/>
              </w:rPr>
              <w:t xml:space="preserve">BR_35.12 </w:t>
            </w:r>
            <w:r>
              <w:t>VBECS requires the date and time a specimen was collected and the phlebotomist ID.</w:t>
            </w:r>
          </w:p>
          <w:p w14:paraId="19990A35" w14:textId="77777777" w:rsidR="0073493B" w:rsidRDefault="0073493B" w:rsidP="00141448">
            <w:pPr>
              <w:pStyle w:val="NotesText"/>
            </w:pPr>
          </w:p>
          <w:p w14:paraId="1F2958F1" w14:textId="77777777" w:rsidR="0073493B" w:rsidRDefault="0073493B" w:rsidP="00141448">
            <w:pPr>
              <w:pStyle w:val="NotesText"/>
            </w:pPr>
            <w:r>
              <w:rPr>
                <w:rFonts w:cs="Arial"/>
                <w:vanish/>
              </w:rPr>
              <w:t xml:space="preserve">BR_35.14 </w:t>
            </w:r>
            <w:r>
              <w:t>When a specimen is process</w:t>
            </w:r>
            <w:r w:rsidR="00874D0E">
              <w:t>ed</w:t>
            </w:r>
            <w:r>
              <w:t xml:space="preserve">, VBECS displays the details of associated orders (read only). </w:t>
            </w:r>
          </w:p>
          <w:p w14:paraId="1045C62F" w14:textId="77777777" w:rsidR="0073493B" w:rsidRDefault="0073493B" w:rsidP="00141448">
            <w:pPr>
              <w:pStyle w:val="NotesText"/>
            </w:pPr>
          </w:p>
          <w:p w14:paraId="5FD0A821" w14:textId="77777777" w:rsidR="0073493B" w:rsidRDefault="0073493B" w:rsidP="00141448">
            <w:pPr>
              <w:pStyle w:val="NotesText"/>
            </w:pPr>
            <w:r>
              <w:rPr>
                <w:rFonts w:cs="Arial"/>
                <w:vanish/>
              </w:rPr>
              <w:t xml:space="preserve">BR_35.17 </w:t>
            </w:r>
            <w:r>
              <w:t xml:space="preserve">The user must enter a comment when marking a specimen as unacceptable. </w:t>
            </w:r>
          </w:p>
        </w:tc>
      </w:tr>
      <w:tr w:rsidR="0073493B" w14:paraId="582C460A" w14:textId="77777777">
        <w:tc>
          <w:tcPr>
            <w:tcW w:w="3240" w:type="dxa"/>
          </w:tcPr>
          <w:p w14:paraId="3408B908" w14:textId="77777777" w:rsidR="0073493B" w:rsidRDefault="0073493B" w:rsidP="00141448">
            <w:pPr>
              <w:pStyle w:val="TableTextNumbers"/>
            </w:pPr>
            <w:r>
              <w:lastRenderedPageBreak/>
              <w:t>Enter or verify specimen-related information from Step 3.</w:t>
            </w:r>
          </w:p>
        </w:tc>
        <w:tc>
          <w:tcPr>
            <w:tcW w:w="6120" w:type="dxa"/>
          </w:tcPr>
          <w:p w14:paraId="4DAF4664" w14:textId="77777777" w:rsidR="0073493B" w:rsidRDefault="0073493B" w:rsidP="00141448">
            <w:pPr>
              <w:pStyle w:val="TableTextBullet"/>
            </w:pPr>
            <w:r>
              <w:t>Allows the user to review and edit previously entered information.</w:t>
            </w:r>
          </w:p>
        </w:tc>
      </w:tr>
      <w:tr w:rsidR="0073493B" w14:paraId="5F82AFB3" w14:textId="77777777">
        <w:tc>
          <w:tcPr>
            <w:tcW w:w="3240" w:type="dxa"/>
          </w:tcPr>
          <w:p w14:paraId="3587D410" w14:textId="77777777" w:rsidR="0073493B" w:rsidRDefault="0073493B" w:rsidP="00141448">
            <w:pPr>
              <w:pStyle w:val="TableTextNumbers"/>
            </w:pPr>
            <w:r>
              <w:t xml:space="preserve">Review the entered information and click </w:t>
            </w:r>
            <w:r>
              <w:rPr>
                <w:b/>
              </w:rPr>
              <w:t>OK</w:t>
            </w:r>
            <w:r>
              <w:t xml:space="preserve"> to save.</w:t>
            </w:r>
          </w:p>
        </w:tc>
        <w:tc>
          <w:tcPr>
            <w:tcW w:w="6120" w:type="dxa"/>
          </w:tcPr>
          <w:p w14:paraId="36DF28E7" w14:textId="77777777" w:rsidR="0073493B" w:rsidRDefault="0073493B" w:rsidP="00141448">
            <w:pPr>
              <w:pStyle w:val="TableTextBullet"/>
            </w:pPr>
            <w:r>
              <w:t>Saves the data for use in further specimen order processing and subsequent retrieval.</w:t>
            </w:r>
          </w:p>
          <w:p w14:paraId="2A30FD83" w14:textId="77777777" w:rsidR="005218E2" w:rsidRDefault="005218E2" w:rsidP="005218E2">
            <w:pPr>
              <w:pStyle w:val="TableText"/>
            </w:pPr>
          </w:p>
          <w:p w14:paraId="347A4B07" w14:textId="77777777" w:rsidR="005218E2" w:rsidRDefault="00057948" w:rsidP="005218E2">
            <w:pPr>
              <w:pStyle w:val="TableText"/>
              <w:rPr>
                <w:b/>
                <w:bCs/>
                <w:szCs w:val="18"/>
              </w:rPr>
            </w:pPr>
            <w:r>
              <w:rPr>
                <w:b/>
                <w:bCs/>
                <w:noProof/>
              </w:rPr>
              <mc:AlternateContent>
                <mc:Choice Requires="wps">
                  <w:drawing>
                    <wp:anchor distT="0" distB="0" distL="114300" distR="114300" simplePos="0" relativeHeight="251961856" behindDoc="0" locked="0" layoutInCell="1" allowOverlap="1" wp14:anchorId="3C709428" wp14:editId="5AC86A96">
                      <wp:simplePos x="0" y="0"/>
                      <wp:positionH relativeFrom="column">
                        <wp:posOffset>457200</wp:posOffset>
                      </wp:positionH>
                      <wp:positionV relativeFrom="paragraph">
                        <wp:posOffset>65405</wp:posOffset>
                      </wp:positionV>
                      <wp:extent cx="3200400" cy="0"/>
                      <wp:effectExtent l="9525" t="17780" r="9525" b="10795"/>
                      <wp:wrapNone/>
                      <wp:docPr id="397" name="Line 1108" descr="P7112C12T7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6D58D" id="Line 1108" o:spid="_x0000_s1026" alt="&quot;&quot;" style="position:absolute;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DtnwIvEAQAAbwMAAA4AAAAAAAAAAAAAAAAA&#10;LgIAAGRycy9lMm9Eb2MueG1sUEsBAi0AFAAGAAgAAAAhABdPMBLbAAAACAEAAA8AAAAAAAAAAAAA&#10;AAAAHgQAAGRycy9kb3ducmV2LnhtbFBLBQYAAAAABAAEAPMAAAAmBQAAAAA=&#10;" strokeweight="1.5pt"/>
                  </w:pict>
                </mc:Fallback>
              </mc:AlternateContent>
            </w:r>
            <w:r w:rsidR="005218E2">
              <w:rPr>
                <w:b/>
                <w:bCs/>
                <w:szCs w:val="18"/>
              </w:rPr>
              <w:t>NOTES</w:t>
            </w:r>
          </w:p>
          <w:p w14:paraId="529D2D79" w14:textId="77777777" w:rsidR="005218E2" w:rsidRDefault="005218E2" w:rsidP="005218E2">
            <w:pPr>
              <w:pStyle w:val="NotesText"/>
            </w:pPr>
          </w:p>
          <w:p w14:paraId="72E6644E" w14:textId="77777777" w:rsidR="0073493B" w:rsidRDefault="0073493B" w:rsidP="00141448">
            <w:pPr>
              <w:pStyle w:val="NotesText"/>
            </w:pPr>
            <w:r>
              <w:rPr>
                <w:rFonts w:cs="Arial"/>
                <w:vanish/>
              </w:rPr>
              <w:t xml:space="preserve">BR_35.23 </w:t>
            </w:r>
            <w:r>
              <w:t xml:space="preserve">When saving or updating an expired specimen, VBECS warns the user and asks whether he wishes to continue. The user may continue without </w:t>
            </w:r>
            <w:r w:rsidR="00C90418">
              <w:t xml:space="preserve">entering </w:t>
            </w:r>
            <w:r>
              <w:t>a comment.</w:t>
            </w:r>
          </w:p>
          <w:p w14:paraId="0BA2ED04" w14:textId="77777777" w:rsidR="0073493B" w:rsidRDefault="0073493B" w:rsidP="00141448">
            <w:pPr>
              <w:pStyle w:val="NotesText"/>
            </w:pPr>
          </w:p>
          <w:p w14:paraId="046B5C7E" w14:textId="77777777" w:rsidR="0073493B" w:rsidRDefault="0073493B" w:rsidP="00141448">
            <w:pPr>
              <w:pStyle w:val="NotesText"/>
            </w:pPr>
            <w:r>
              <w:rPr>
                <w:vanish/>
                <w:szCs w:val="18"/>
              </w:rPr>
              <w:t>BR_35.11</w:t>
            </w:r>
            <w:r w:rsidR="00CE3961">
              <w:rPr>
                <w:vanish/>
                <w:szCs w:val="18"/>
              </w:rPr>
              <w:t>,</w:t>
            </w:r>
            <w:r>
              <w:rPr>
                <w:vanish/>
                <w:szCs w:val="18"/>
              </w:rPr>
              <w:t xml:space="preserve"> BR_35.15 </w:t>
            </w:r>
            <w:r>
              <w:t xml:space="preserve">The UID initially used to identify the specimen becomes the VBECS specimen number, which VBECS retains and uses to process subsequent orders during the life of the specimen, including CPRS, VBECS, and Laboratory orders, and UIDs associated with the specimen. A historical record lists changes made to the specimen and is available for review. </w:t>
            </w:r>
          </w:p>
          <w:p w14:paraId="25C7FD6E" w14:textId="77777777" w:rsidR="0073493B" w:rsidRDefault="0073493B" w:rsidP="00141448">
            <w:pPr>
              <w:pStyle w:val="NotesText"/>
            </w:pPr>
          </w:p>
          <w:p w14:paraId="04522C85" w14:textId="77777777" w:rsidR="0073493B" w:rsidRDefault="0073493B" w:rsidP="00141448">
            <w:pPr>
              <w:pStyle w:val="NotesText"/>
            </w:pPr>
            <w:r>
              <w:rPr>
                <w:rFonts w:cs="Arial"/>
                <w:vanish/>
              </w:rPr>
              <w:t xml:space="preserve">BR_35.06 </w:t>
            </w:r>
            <w:r>
              <w:t>A permanent link remains between an exhausted or unacceptable specimen UID and its order, which allows the user to document the recollection of a new specimen, according to local policy.</w:t>
            </w:r>
          </w:p>
        </w:tc>
      </w:tr>
      <w:tr w:rsidR="0073493B" w14:paraId="6590C906" w14:textId="77777777">
        <w:tc>
          <w:tcPr>
            <w:tcW w:w="3240" w:type="dxa"/>
          </w:tcPr>
          <w:p w14:paraId="339B4783" w14:textId="77777777" w:rsidR="0073493B" w:rsidRDefault="0073493B" w:rsidP="00141448">
            <w:pPr>
              <w:pStyle w:val="TableTextNumbers"/>
            </w:pPr>
            <w:r>
              <w:t xml:space="preserve">Click </w:t>
            </w:r>
            <w:r>
              <w:rPr>
                <w:b/>
              </w:rPr>
              <w:t>OK</w:t>
            </w:r>
            <w:r>
              <w:t xml:space="preserve"> to exit.</w:t>
            </w:r>
            <w:r w:rsidRPr="00B93B42">
              <w:rPr>
                <w:rStyle w:val="StyleTableTextNumbersWhite1Char"/>
              </w:rP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67132C21" w14:textId="77777777" w:rsidR="0073493B" w:rsidRDefault="0073493B" w:rsidP="00141448">
            <w:pPr>
              <w:pStyle w:val="TableText"/>
            </w:pPr>
          </w:p>
        </w:tc>
      </w:tr>
    </w:tbl>
    <w:p w14:paraId="7E7CDF9D" w14:textId="77777777" w:rsidR="002A21AE" w:rsidRDefault="0073493B" w:rsidP="0073493B">
      <w:pPr>
        <w:pStyle w:val="Heading2"/>
      </w:pPr>
      <w:r>
        <w:br w:type="page"/>
      </w:r>
      <w:bookmarkStart w:id="466" w:name="_Toc4588806"/>
      <w:r w:rsidR="002A21AE">
        <w:lastRenderedPageBreak/>
        <w:t>Patient Testing: Cancel an Active Order</w:t>
      </w:r>
      <w:bookmarkEnd w:id="466"/>
      <w:r w:rsidR="002A21AE">
        <w:fldChar w:fldCharType="begin"/>
      </w:r>
      <w:r w:rsidR="002A21AE">
        <w:instrText xml:space="preserve"> XE </w:instrText>
      </w:r>
      <w:r w:rsidR="00FA7E65">
        <w:instrText>“</w:instrText>
      </w:r>
      <w:r w:rsidR="002A21AE">
        <w:instrText>Patient Testing\: Cancel an Active Order</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UC_72</w:t>
      </w:r>
    </w:p>
    <w:p w14:paraId="179B9495" w14:textId="77777777" w:rsidR="002A21AE" w:rsidRDefault="002A21AE" w:rsidP="00FA7E65">
      <w:pPr>
        <w:pStyle w:val="BodyText"/>
      </w:pPr>
      <w:r>
        <w:t xml:space="preserve">The user cancels an accepted order on the Pending Task List (PTL) and adds a comment to justify the cancellation. </w:t>
      </w:r>
    </w:p>
    <w:p w14:paraId="469FC60F" w14:textId="77777777" w:rsidR="002A21AE" w:rsidRDefault="002A21AE">
      <w:pPr>
        <w:pStyle w:val="Heading4"/>
      </w:pPr>
      <w:r>
        <w:t>Assumptions</w:t>
      </w:r>
      <w:r>
        <w:rPr>
          <w:b w:val="0"/>
        </w:rPr>
        <w:t xml:space="preserve"> </w:t>
      </w:r>
    </w:p>
    <w:p w14:paraId="7A7E148C" w14:textId="77777777" w:rsidR="002A21AE" w:rsidRDefault="002A21AE">
      <w:pPr>
        <w:pStyle w:val="ListBullet"/>
      </w:pPr>
      <w:r>
        <w:t>The order and the user are in the same division.</w:t>
      </w:r>
    </w:p>
    <w:p w14:paraId="51E73CAA" w14:textId="77777777" w:rsidR="002A21AE" w:rsidRDefault="002A21AE">
      <w:pPr>
        <w:pStyle w:val="ListBullet"/>
      </w:pPr>
      <w:r>
        <w:t>A user accepted an order that originated in CPRS through Accept Orders: Accept an Order, or created a reflex test order through Order Reflex Tests.</w:t>
      </w:r>
    </w:p>
    <w:p w14:paraId="2F0F1EB3" w14:textId="77777777" w:rsidR="002A21AE" w:rsidRDefault="002A21AE">
      <w:pPr>
        <w:pStyle w:val="ListBullet"/>
      </w:pPr>
      <w:r>
        <w:t xml:space="preserve">The connection to </w:t>
      </w:r>
      <w:r w:rsidR="00CA0045" w:rsidRPr="00CA0045">
        <w:rPr>
          <w:bCs/>
        </w:rPr>
        <w:t>VistA</w:t>
      </w:r>
      <w:r>
        <w:t xml:space="preserve"> is active.</w:t>
      </w:r>
    </w:p>
    <w:p w14:paraId="721983CE" w14:textId="77777777" w:rsidR="002A21AE" w:rsidRDefault="002A21AE">
      <w:pPr>
        <w:pStyle w:val="Heading4"/>
      </w:pPr>
      <w:r>
        <w:t xml:space="preserve">Outcome </w:t>
      </w:r>
    </w:p>
    <w:p w14:paraId="57E25A50" w14:textId="77777777" w:rsidR="002A21AE" w:rsidRDefault="002A21AE">
      <w:pPr>
        <w:pStyle w:val="ListBullet"/>
      </w:pPr>
      <w:r>
        <w:t>The order was removed from the PTL.</w:t>
      </w:r>
    </w:p>
    <w:p w14:paraId="21AF9F3B" w14:textId="77777777" w:rsidR="002A21AE" w:rsidRDefault="002A21AE">
      <w:pPr>
        <w:pStyle w:val="ListBullet"/>
      </w:pPr>
      <w:r>
        <w:t>An order update message was sent to CPRS.</w:t>
      </w:r>
    </w:p>
    <w:p w14:paraId="697C710C" w14:textId="77777777" w:rsidR="002A21AE" w:rsidRDefault="002A21AE">
      <w:pPr>
        <w:pStyle w:val="Heading4"/>
      </w:pPr>
      <w:r>
        <w:t>Limitations and Restrictions</w:t>
      </w:r>
      <w:r>
        <w:rPr>
          <w:b w:val="0"/>
        </w:rPr>
        <w:t xml:space="preserve"> </w:t>
      </w:r>
    </w:p>
    <w:p w14:paraId="6609D8A9" w14:textId="77777777" w:rsidR="002A21AE" w:rsidRDefault="002A21AE">
      <w:pPr>
        <w:pStyle w:val="ListBullet"/>
      </w:pPr>
      <w:r>
        <w:t>Cancellation of one order does not affect other orders placed with it.</w:t>
      </w:r>
    </w:p>
    <w:p w14:paraId="22C9BC8A" w14:textId="77777777" w:rsidR="002A21AE" w:rsidRDefault="002A21AE">
      <w:pPr>
        <w:pStyle w:val="ListBullet"/>
      </w:pPr>
      <w:r>
        <w:t>Before a user may cancel a partially completed task, he must invalidate the results for that task</w:t>
      </w:r>
      <w:r w:rsidR="00921485">
        <w:t>, thereby</w:t>
      </w:r>
      <w:r>
        <w:t xml:space="preserve"> changing its status to “not started.”</w:t>
      </w:r>
    </w:p>
    <w:p w14:paraId="3052B840" w14:textId="77777777" w:rsidR="002A21AE" w:rsidRDefault="002A21AE">
      <w:pPr>
        <w:pStyle w:val="Heading4"/>
      </w:pPr>
      <w:r>
        <w:t xml:space="preserve">Additional Information </w:t>
      </w:r>
    </w:p>
    <w:p w14:paraId="707338FA" w14:textId="77777777" w:rsidR="002A21AE" w:rsidRDefault="002A21AE">
      <w:pPr>
        <w:pStyle w:val="ListBullet"/>
      </w:pPr>
      <w:r>
        <w:t>None</w:t>
      </w:r>
    </w:p>
    <w:p w14:paraId="0F5DC4D6" w14:textId="77777777" w:rsidR="002A21AE" w:rsidRDefault="002A21AE">
      <w:pPr>
        <w:pStyle w:val="Heading4"/>
        <w:rPr>
          <w:b w:val="0"/>
        </w:rPr>
      </w:pPr>
      <w:r>
        <w:rPr>
          <w:rStyle w:val="RolesChar"/>
        </w:rPr>
        <w:t>User Roles with</w:t>
      </w:r>
      <w:r>
        <w:t xml:space="preserve"> Access to This Option</w:t>
      </w:r>
      <w:r>
        <w:rPr>
          <w:b w:val="0"/>
        </w:rPr>
        <w:t xml:space="preserve"> </w:t>
      </w:r>
    </w:p>
    <w:p w14:paraId="1B54FC84" w14:textId="77777777" w:rsidR="002A21AE" w:rsidRDefault="002232A3">
      <w:pPr>
        <w:pStyle w:val="Roles"/>
        <w:rPr>
          <w:snapToGrid w:val="0"/>
        </w:rPr>
      </w:pPr>
      <w:r>
        <w:t>All users</w:t>
      </w:r>
    </w:p>
    <w:p w14:paraId="26682554" w14:textId="77777777" w:rsidR="002A21AE" w:rsidRDefault="002A21AE">
      <w:pPr>
        <w:pStyle w:val="Heading4"/>
      </w:pPr>
      <w:r>
        <w:t xml:space="preserve">Patient Testing: Cancel an Active Order </w:t>
      </w:r>
    </w:p>
    <w:p w14:paraId="046CC509" w14:textId="77777777" w:rsidR="002A21AE" w:rsidRDefault="002A21AE" w:rsidP="00FA7E65">
      <w:pPr>
        <w:pStyle w:val="BodyText"/>
      </w:pPr>
      <w:r>
        <w:t>The user selects one or more tasks to cancel from the PTL, cancels the accepted order from within VBECS, and adds a comment regarding the cancellation.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1FAF4DBC" w14:textId="77777777">
        <w:trPr>
          <w:cantSplit/>
          <w:tblHeader/>
        </w:trPr>
        <w:tc>
          <w:tcPr>
            <w:tcW w:w="3240" w:type="dxa"/>
            <w:shd w:val="pct30" w:color="auto" w:fill="FFFFFF"/>
            <w:vAlign w:val="bottom"/>
          </w:tcPr>
          <w:p w14:paraId="5BCFA29D" w14:textId="77777777" w:rsidR="002A21AE" w:rsidRDefault="002A21AE">
            <w:pPr>
              <w:pStyle w:val="TableText"/>
              <w:rPr>
                <w:b/>
              </w:rPr>
            </w:pPr>
            <w:r>
              <w:rPr>
                <w:b/>
              </w:rPr>
              <w:t>User Action</w:t>
            </w:r>
          </w:p>
        </w:tc>
        <w:tc>
          <w:tcPr>
            <w:tcW w:w="6120" w:type="dxa"/>
            <w:shd w:val="pct30" w:color="auto" w:fill="FFFFFF"/>
            <w:vAlign w:val="bottom"/>
          </w:tcPr>
          <w:p w14:paraId="479E51A7" w14:textId="77777777" w:rsidR="002A21AE" w:rsidRDefault="002A21AE">
            <w:pPr>
              <w:pStyle w:val="TableText"/>
              <w:rPr>
                <w:b/>
              </w:rPr>
            </w:pPr>
            <w:r>
              <w:rPr>
                <w:b/>
              </w:rPr>
              <w:t>VBECS</w:t>
            </w:r>
          </w:p>
        </w:tc>
      </w:tr>
      <w:tr w:rsidR="002A21AE" w14:paraId="4403789B" w14:textId="77777777">
        <w:tc>
          <w:tcPr>
            <w:tcW w:w="3240" w:type="dxa"/>
            <w:tcBorders>
              <w:top w:val="single" w:sz="4" w:space="0" w:color="auto"/>
              <w:left w:val="single" w:sz="4" w:space="0" w:color="auto"/>
              <w:bottom w:val="single" w:sz="4" w:space="0" w:color="auto"/>
              <w:right w:val="single" w:sz="4" w:space="0" w:color="auto"/>
            </w:tcBorders>
          </w:tcPr>
          <w:p w14:paraId="2345E583" w14:textId="77777777" w:rsidR="002A21AE" w:rsidRDefault="002A21AE">
            <w:pPr>
              <w:pStyle w:val="TableTextNumbers"/>
            </w:pPr>
            <w:r>
              <w:t xml:space="preserve">Select </w:t>
            </w:r>
            <w:r>
              <w:rPr>
                <w:b/>
              </w:rPr>
              <w:t>Patients</w:t>
            </w:r>
            <w:r>
              <w:t xml:space="preserve"> from the main menu.</w:t>
            </w:r>
          </w:p>
          <w:p w14:paraId="4B829F9E" w14:textId="77777777" w:rsidR="002A21AE" w:rsidRDefault="002A21AE">
            <w:pPr>
              <w:pStyle w:val="TableTextNumbersContinued"/>
            </w:pPr>
          </w:p>
          <w:p w14:paraId="6D323FBF" w14:textId="77777777" w:rsidR="002A21AE" w:rsidRDefault="002A21AE">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14:paraId="3BC469F0" w14:textId="77777777" w:rsidR="002A21AE" w:rsidRDefault="002A21AE">
            <w:pPr>
              <w:pStyle w:val="TableTextBullet"/>
            </w:pPr>
            <w:r>
              <w:t>Displays options for processing patient-related functions.</w:t>
            </w:r>
          </w:p>
          <w:p w14:paraId="7920F739" w14:textId="77777777" w:rsidR="002A21AE" w:rsidRDefault="002A21AE">
            <w:pPr>
              <w:pStyle w:val="TableTextBullet"/>
            </w:pPr>
            <w:r>
              <w:t>Displays the Pending Task List in the Diagnostic Tests tab.</w:t>
            </w:r>
          </w:p>
          <w:p w14:paraId="00B93A26" w14:textId="77777777" w:rsidR="002A21AE" w:rsidRDefault="002A21AE">
            <w:pPr>
              <w:pStyle w:val="NotesText"/>
            </w:pPr>
          </w:p>
          <w:p w14:paraId="5CF881C5" w14:textId="77777777" w:rsidR="002A21AE" w:rsidRDefault="00057948">
            <w:pPr>
              <w:pStyle w:val="TableText"/>
              <w:rPr>
                <w:b/>
                <w:bCs/>
                <w:szCs w:val="18"/>
              </w:rPr>
            </w:pPr>
            <w:r>
              <w:rPr>
                <w:b/>
                <w:bCs/>
                <w:noProof/>
              </w:rPr>
              <mc:AlternateContent>
                <mc:Choice Requires="wps">
                  <w:drawing>
                    <wp:anchor distT="0" distB="0" distL="114300" distR="114300" simplePos="0" relativeHeight="251343360" behindDoc="0" locked="0" layoutInCell="1" allowOverlap="1" wp14:anchorId="3BA00F31" wp14:editId="55ADE3D1">
                      <wp:simplePos x="0" y="0"/>
                      <wp:positionH relativeFrom="column">
                        <wp:posOffset>457200</wp:posOffset>
                      </wp:positionH>
                      <wp:positionV relativeFrom="paragraph">
                        <wp:posOffset>65405</wp:posOffset>
                      </wp:positionV>
                      <wp:extent cx="3200400" cy="0"/>
                      <wp:effectExtent l="9525" t="17780" r="9525" b="10795"/>
                      <wp:wrapNone/>
                      <wp:docPr id="396" name="Line 668" descr="P7150C4T7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E14E7" id="Line 668" o:spid="_x0000_s1026" alt="&quot;&quot;" style="position:absolute;z-index:2513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hzF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449744B9" w14:textId="77777777" w:rsidR="002A21AE" w:rsidRDefault="002A21AE">
            <w:pPr>
              <w:pStyle w:val="TableText"/>
            </w:pPr>
          </w:p>
          <w:p w14:paraId="7A34508F" w14:textId="77777777" w:rsidR="002A21AE" w:rsidRDefault="002A21AE">
            <w:pPr>
              <w:pStyle w:val="NotesText"/>
            </w:pPr>
            <w:r>
              <w:t xml:space="preserve">Click the </w:t>
            </w:r>
            <w:r>
              <w:rPr>
                <w:b/>
              </w:rPr>
              <w:t xml:space="preserve">Component Orders </w:t>
            </w:r>
            <w:r w:rsidRPr="00CC3C89">
              <w:t xml:space="preserve">tab </w:t>
            </w:r>
            <w:r>
              <w:t>to view its PTL.</w:t>
            </w:r>
          </w:p>
        </w:tc>
      </w:tr>
      <w:tr w:rsidR="002A21AE" w14:paraId="690D071F" w14:textId="77777777" w:rsidTr="00A94A90">
        <w:trPr>
          <w:cantSplit/>
          <w:hidden/>
        </w:trPr>
        <w:tc>
          <w:tcPr>
            <w:tcW w:w="3240" w:type="dxa"/>
          </w:tcPr>
          <w:p w14:paraId="5436B97C" w14:textId="6917B25A" w:rsidR="002A21AE" w:rsidRDefault="002A21AE">
            <w:pPr>
              <w:pStyle w:val="TableTextNumbers"/>
            </w:pPr>
            <w:r>
              <w:rPr>
                <w:rFonts w:cs="Arial"/>
                <w:vanish/>
              </w:rPr>
              <w:lastRenderedPageBreak/>
              <w:t xml:space="preserve">BR_72.01 </w:t>
            </w:r>
            <w:r>
              <w:t>Click one to four check boxes in the PTL in the Diagnostic Tests tab or the Component Orders tab to select tasks</w:t>
            </w:r>
            <w:r w:rsidR="000A6348">
              <w:t xml:space="preserve"> (</w:t>
            </w:r>
            <w:r w:rsidR="000A6348">
              <w:fldChar w:fldCharType="begin" w:fldLock="1"/>
            </w:r>
            <w:r w:rsidR="000A6348">
              <w:instrText xml:space="preserve"> REF _Ref126724192 \h </w:instrText>
            </w:r>
            <w:r w:rsidR="000A6348">
              <w:fldChar w:fldCharType="separate"/>
            </w:r>
            <w:r w:rsidR="00AB304C">
              <w:t xml:space="preserve">Figure </w:t>
            </w:r>
            <w:r w:rsidR="00AB304C">
              <w:rPr>
                <w:noProof/>
              </w:rPr>
              <w:t>121</w:t>
            </w:r>
            <w:r w:rsidR="000A6348">
              <w:fldChar w:fldCharType="end"/>
            </w:r>
            <w:r w:rsidR="000A6348">
              <w:t>)</w:t>
            </w:r>
            <w:r>
              <w:t>.</w:t>
            </w:r>
          </w:p>
          <w:p w14:paraId="5276A875" w14:textId="77777777" w:rsidR="002A21AE" w:rsidRDefault="002A21AE">
            <w:pPr>
              <w:pStyle w:val="TableTextNumbersContinued"/>
            </w:pPr>
          </w:p>
          <w:p w14:paraId="2D296540" w14:textId="77777777" w:rsidR="002A21AE" w:rsidRDefault="002A21AE">
            <w:pPr>
              <w:pStyle w:val="TableTextNumbersContinued"/>
            </w:pPr>
            <w:r>
              <w:t xml:space="preserve">Click </w:t>
            </w:r>
            <w:r>
              <w:rPr>
                <w:b/>
              </w:rPr>
              <w:t>OK</w:t>
            </w:r>
            <w:r>
              <w:t xml:space="preserve"> to continue, or click </w:t>
            </w:r>
            <w:r>
              <w:rPr>
                <w:b/>
              </w:rPr>
              <w:t>Cancel Order(s)</w:t>
            </w:r>
            <w:r>
              <w:t xml:space="preserve"> to cancel the selected tasks.</w:t>
            </w:r>
          </w:p>
          <w:p w14:paraId="281E0C70" w14:textId="77777777" w:rsidR="002A21AE" w:rsidRDefault="002A21AE">
            <w:pPr>
              <w:pStyle w:val="TableTextNumbersContinued"/>
            </w:pPr>
          </w:p>
          <w:p w14:paraId="23CFE368" w14:textId="77777777" w:rsidR="002A21AE" w:rsidRDefault="002A21AE">
            <w:pPr>
              <w:pStyle w:val="TableTextNumbersContinued"/>
            </w:pPr>
            <w:r>
              <w:t>Select or enter a comment.</w:t>
            </w:r>
          </w:p>
          <w:p w14:paraId="7953C187" w14:textId="77777777" w:rsidR="002A21AE" w:rsidRDefault="002A21AE">
            <w:pPr>
              <w:pStyle w:val="TableTextNumbersContinued"/>
            </w:pPr>
          </w:p>
          <w:p w14:paraId="1D345374" w14:textId="77777777" w:rsidR="002A21AE" w:rsidRDefault="002A21AE">
            <w:pPr>
              <w:pStyle w:val="TableTextNumbersContinued"/>
            </w:pPr>
            <w:r>
              <w:t xml:space="preserve">Click </w:t>
            </w:r>
            <w:r>
              <w:rPr>
                <w:b/>
              </w:rPr>
              <w:t>OK</w:t>
            </w:r>
            <w:r>
              <w:t xml:space="preserve"> to confirm the cancellation.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14:paraId="7B7242E8" w14:textId="77777777" w:rsidR="002A21AE" w:rsidRDefault="002A21AE">
            <w:pPr>
              <w:pStyle w:val="TableTextBullet"/>
            </w:pPr>
            <w:r>
              <w:rPr>
                <w:vanish/>
                <w:szCs w:val="18"/>
              </w:rPr>
              <w:t xml:space="preserve">BR_61.01, BR_61.03, </w:t>
            </w:r>
            <w:r>
              <w:rPr>
                <w:rFonts w:cs="Arial"/>
                <w:vanish/>
              </w:rPr>
              <w:t xml:space="preserve">BR_61.04 </w:t>
            </w:r>
            <w:r>
              <w:t>Deletes the selected tasks from the PTL and sends a message to CPRS with an order status update.</w:t>
            </w:r>
          </w:p>
          <w:p w14:paraId="697DC034" w14:textId="77777777" w:rsidR="002A21AE" w:rsidRDefault="002A21AE">
            <w:pPr>
              <w:pStyle w:val="TableText"/>
            </w:pPr>
          </w:p>
          <w:p w14:paraId="184389E6" w14:textId="77777777" w:rsidR="002A21AE" w:rsidRDefault="00057948">
            <w:pPr>
              <w:pStyle w:val="TableText"/>
              <w:rPr>
                <w:b/>
                <w:bCs/>
                <w:szCs w:val="18"/>
              </w:rPr>
            </w:pPr>
            <w:r>
              <w:rPr>
                <w:b/>
                <w:bCs/>
                <w:noProof/>
              </w:rPr>
              <mc:AlternateContent>
                <mc:Choice Requires="wps">
                  <w:drawing>
                    <wp:anchor distT="0" distB="0" distL="114300" distR="114300" simplePos="0" relativeHeight="251398656" behindDoc="0" locked="0" layoutInCell="1" allowOverlap="1" wp14:anchorId="1CAE22B1" wp14:editId="0B09B547">
                      <wp:simplePos x="0" y="0"/>
                      <wp:positionH relativeFrom="column">
                        <wp:posOffset>457200</wp:posOffset>
                      </wp:positionH>
                      <wp:positionV relativeFrom="paragraph">
                        <wp:posOffset>65405</wp:posOffset>
                      </wp:positionV>
                      <wp:extent cx="3200400" cy="0"/>
                      <wp:effectExtent l="9525" t="17780" r="9525" b="10795"/>
                      <wp:wrapNone/>
                      <wp:docPr id="395" name="Line 726" descr="P7163C6T7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112BD" id="Line 726" o:spid="_x0000_s1026" alt="&quot;&quot;" style="position:absolute;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B5vpQ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720DEB75" w14:textId="77777777" w:rsidR="002A21AE" w:rsidRDefault="002A21AE">
            <w:pPr>
              <w:pStyle w:val="NotesText"/>
            </w:pPr>
          </w:p>
          <w:p w14:paraId="1B0EDC78" w14:textId="77777777" w:rsidR="002A21AE" w:rsidRDefault="002A21AE">
            <w:pPr>
              <w:pStyle w:val="NotesText"/>
            </w:pPr>
            <w:r>
              <w:rPr>
                <w:rFonts w:cs="Arial"/>
                <w:vanish/>
              </w:rPr>
              <w:t xml:space="preserve">BR_61.02 </w:t>
            </w:r>
            <w:r>
              <w:t>Select a canned comment and/or free-text comment</w:t>
            </w:r>
          </w:p>
          <w:p w14:paraId="242CAFE7" w14:textId="77777777" w:rsidR="002A21AE" w:rsidRDefault="002A21AE">
            <w:pPr>
              <w:pStyle w:val="NotesText"/>
            </w:pPr>
          </w:p>
          <w:p w14:paraId="6164EF42" w14:textId="77777777" w:rsidR="002A21AE" w:rsidRDefault="002A21AE">
            <w:pPr>
              <w:pStyle w:val="NotesText"/>
            </w:pPr>
            <w:r>
              <w:rPr>
                <w:rFonts w:cs="Arial"/>
                <w:vanish/>
              </w:rPr>
              <w:t xml:space="preserve">BR_72.02 </w:t>
            </w:r>
            <w:r>
              <w:t>VBECS allows a user to cancel only tasks that are not started.</w:t>
            </w:r>
          </w:p>
          <w:p w14:paraId="783B959C" w14:textId="77777777" w:rsidR="002A21AE" w:rsidRDefault="002A21AE">
            <w:pPr>
              <w:pStyle w:val="NotesText"/>
            </w:pPr>
          </w:p>
          <w:p w14:paraId="20E76B53" w14:textId="06BD9E9F" w:rsidR="002A21AE" w:rsidRDefault="002A21AE">
            <w:pPr>
              <w:pStyle w:val="NotesText"/>
            </w:pPr>
            <w:r>
              <w:t xml:space="preserve">See </w:t>
            </w:r>
            <w:r w:rsidR="00543DAF">
              <w:fldChar w:fldCharType="begin" w:fldLock="1"/>
            </w:r>
            <w:r w:rsidR="00543DAF">
              <w:instrText xml:space="preserve"> REF _Ref170004931 \h </w:instrText>
            </w:r>
            <w:r w:rsidR="00543DAF">
              <w:fldChar w:fldCharType="separate"/>
            </w:r>
            <w:r w:rsidR="00AB304C">
              <w:t xml:space="preserve">Appendix </w:t>
            </w:r>
            <w:r w:rsidR="00AB304C">
              <w:rPr>
                <w:noProof/>
              </w:rPr>
              <w:t>B</w:t>
            </w:r>
            <w:r w:rsidR="00543DAF">
              <w:fldChar w:fldCharType="end"/>
            </w:r>
            <w:r>
              <w:t>:</w:t>
            </w:r>
            <w:r w:rsidR="00D327A3">
              <w:t xml:space="preserve"> </w:t>
            </w:r>
            <w:r w:rsidR="00D327A3">
              <w:fldChar w:fldCharType="begin" w:fldLock="1"/>
            </w:r>
            <w:r w:rsidR="00D327A3">
              <w:instrText xml:space="preserve"> REF _Ref126729757 \h  \* MERGEFORMAT </w:instrText>
            </w:r>
            <w:r w:rsidR="00D327A3">
              <w:fldChar w:fldCharType="separate"/>
            </w:r>
            <w:r w:rsidR="00AB304C">
              <w:t xml:space="preserve">Figure </w:t>
            </w:r>
            <w:r w:rsidR="00AB304C">
              <w:rPr>
                <w:noProof/>
              </w:rPr>
              <w:t>147:</w:t>
            </w:r>
            <w:r w:rsidR="00AB304C">
              <w:t xml:space="preserve"> </w:t>
            </w:r>
            <w:r w:rsidR="00AB304C" w:rsidRPr="00AB304C">
              <w:rPr>
                <w:vanish/>
                <w:szCs w:val="18"/>
              </w:rPr>
              <w:t xml:space="preserve">TT_92.01 </w:t>
            </w:r>
            <w:r w:rsidR="00AB304C" w:rsidRPr="00AB304C">
              <w:t>Order</w:t>
            </w:r>
            <w:r w:rsidR="00AB304C">
              <w:t xml:space="preserve"> Status Flowchart</w:t>
            </w:r>
            <w:r w:rsidR="00D327A3">
              <w:fldChar w:fldCharType="end"/>
            </w:r>
            <w:r>
              <w:t>.</w:t>
            </w:r>
          </w:p>
        </w:tc>
      </w:tr>
    </w:tbl>
    <w:p w14:paraId="33D72467" w14:textId="7BACC7F6" w:rsidR="000A6348" w:rsidRDefault="000A6348" w:rsidP="000A6348">
      <w:pPr>
        <w:pStyle w:val="Caption"/>
      </w:pPr>
      <w:bookmarkStart w:id="467" w:name="_Ref126724192"/>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121</w:t>
      </w:r>
      <w:r w:rsidR="004E20BD">
        <w:rPr>
          <w:noProof/>
        </w:rPr>
        <w:fldChar w:fldCharType="end"/>
      </w:r>
      <w:bookmarkEnd w:id="467"/>
      <w:r>
        <w:t>: Pending Task List Diagnostic Tests</w:t>
      </w:r>
    </w:p>
    <w:p w14:paraId="5F9C4BB9" w14:textId="77777777" w:rsidR="000A6348" w:rsidRDefault="00057948" w:rsidP="000A6348">
      <w:pPr>
        <w:pStyle w:val="BodyText"/>
      </w:pPr>
      <w:r>
        <w:rPr>
          <w:noProof/>
        </w:rPr>
        <w:drawing>
          <wp:inline distT="0" distB="0" distL="0" distR="0" wp14:anchorId="4178B400" wp14:editId="0E7C0AEF">
            <wp:extent cx="5939155" cy="2540000"/>
            <wp:effectExtent l="0" t="0" r="4445" b="0"/>
            <wp:docPr id="225" name="Picture 225" descr="P7172#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P7172#yIS1">
                      <a:extLst>
                        <a:ext uri="{C183D7F6-B498-43B3-948B-1728B52AA6E4}">
                          <adec:decorative xmlns:adec="http://schemas.microsoft.com/office/drawing/2017/decorative" val="1"/>
                        </a:ext>
                      </a:extLst>
                    </pic:cNvPr>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939155" cy="2540000"/>
                    </a:xfrm>
                    <a:prstGeom prst="rect">
                      <a:avLst/>
                    </a:prstGeom>
                    <a:noFill/>
                    <a:ln>
                      <a:noFill/>
                    </a:ln>
                  </pic:spPr>
                </pic:pic>
              </a:graphicData>
            </a:graphic>
          </wp:inline>
        </w:drawing>
      </w:r>
    </w:p>
    <w:p w14:paraId="0A11DCEA" w14:textId="77777777" w:rsidR="002A21AE" w:rsidRDefault="00AC2D9E">
      <w:pPr>
        <w:pStyle w:val="Heading2"/>
      </w:pPr>
      <w:r>
        <w:br w:type="page"/>
      </w:r>
      <w:bookmarkStart w:id="468" w:name="_Toc4588807"/>
      <w:r w:rsidR="002A21AE">
        <w:lastRenderedPageBreak/>
        <w:t>Patient Testing: Pending Task List</w:t>
      </w:r>
      <w:bookmarkEnd w:id="468"/>
      <w:r w:rsidR="002A21AE">
        <w:fldChar w:fldCharType="begin"/>
      </w:r>
      <w:r w:rsidR="002A21AE">
        <w:instrText xml:space="preserve"> XE </w:instrText>
      </w:r>
      <w:r w:rsidR="00FA7E65">
        <w:instrText>“</w:instrText>
      </w:r>
      <w:r w:rsidR="002A21AE">
        <w:instrText>Patient Testing\: Pending Task List</w:instrText>
      </w:r>
      <w:r w:rsidR="00FA7E65">
        <w:instrText>”</w:instrText>
      </w:r>
      <w:r w:rsidR="002A21AE">
        <w:instrText xml:space="preserve"> </w:instrText>
      </w:r>
      <w:r w:rsidR="002A21AE">
        <w:fldChar w:fldCharType="end"/>
      </w:r>
      <w:r w:rsidR="002A21AE" w:rsidRPr="00B46CB0">
        <w:rPr>
          <w:rFonts w:ascii="Arial Bold" w:hAnsi="Arial Bold"/>
          <w:vanish/>
        </w:rPr>
        <w:t xml:space="preserve"> UC_92</w:t>
      </w:r>
    </w:p>
    <w:p w14:paraId="6A54B547" w14:textId="77777777" w:rsidR="002A21AE" w:rsidRDefault="002A21AE" w:rsidP="00FA7E65">
      <w:pPr>
        <w:pStyle w:val="BodyText"/>
      </w:pPr>
      <w:bookmarkStart w:id="469" w:name="_Toc72830361"/>
      <w:r>
        <w:t xml:space="preserve">The user accesses a Pending Task List (PTL) to select tasks (accepted orders), organize a batch of tests to be performed in a session, process patient component requests, and view and/or print a list of outstanding blood bank tasks. </w:t>
      </w:r>
    </w:p>
    <w:p w14:paraId="4EBB4E71" w14:textId="77777777" w:rsidR="002A21AE" w:rsidRDefault="002A21AE">
      <w:pPr>
        <w:pStyle w:val="Heading4"/>
      </w:pPr>
      <w:r>
        <w:t>Assumptions</w:t>
      </w:r>
    </w:p>
    <w:p w14:paraId="02BD233D" w14:textId="77777777" w:rsidR="002A21AE" w:rsidRDefault="002A21AE" w:rsidP="009D2266">
      <w:pPr>
        <w:pStyle w:val="ListBullet"/>
        <w:numPr>
          <w:ilvl w:val="0"/>
          <w:numId w:val="2"/>
        </w:numPr>
        <w:tabs>
          <w:tab w:val="num" w:pos="720"/>
        </w:tabs>
        <w:ind w:left="720"/>
      </w:pPr>
      <w:r>
        <w:t>CPRS orders were accepted or a reflex order was placed within the VBECS division.</w:t>
      </w:r>
    </w:p>
    <w:p w14:paraId="2CFD9B00" w14:textId="77777777" w:rsidR="002A21AE" w:rsidRDefault="002A21AE">
      <w:pPr>
        <w:pStyle w:val="Heading4"/>
      </w:pPr>
      <w:r>
        <w:t>Outcome</w:t>
      </w:r>
    </w:p>
    <w:p w14:paraId="18301F8E" w14:textId="77777777" w:rsidR="002A21AE" w:rsidRDefault="002A21AE" w:rsidP="009D2266">
      <w:pPr>
        <w:pStyle w:val="ListBullet"/>
        <w:numPr>
          <w:ilvl w:val="0"/>
          <w:numId w:val="2"/>
        </w:numPr>
        <w:tabs>
          <w:tab w:val="num" w:pos="720"/>
        </w:tabs>
        <w:ind w:left="720"/>
      </w:pPr>
      <w:r>
        <w:t>The task is available for further processing.</w:t>
      </w:r>
    </w:p>
    <w:p w14:paraId="093738D2" w14:textId="77777777" w:rsidR="002A21AE" w:rsidRDefault="002A21AE">
      <w:pPr>
        <w:pStyle w:val="Heading4"/>
      </w:pPr>
      <w:r>
        <w:t>Limitations and Restrictions</w:t>
      </w:r>
    </w:p>
    <w:p w14:paraId="268B868A" w14:textId="77777777" w:rsidR="002A21AE" w:rsidRDefault="002A21AE" w:rsidP="009D2266">
      <w:pPr>
        <w:pStyle w:val="ListBullet"/>
        <w:numPr>
          <w:ilvl w:val="0"/>
          <w:numId w:val="2"/>
        </w:numPr>
        <w:tabs>
          <w:tab w:val="num" w:pos="720"/>
        </w:tabs>
        <w:ind w:left="720"/>
      </w:pPr>
      <w:r>
        <w:t>This option is for diagnostic, blood component, and reflex test orders placed in or directed to the user’s division.</w:t>
      </w:r>
    </w:p>
    <w:p w14:paraId="51B52317" w14:textId="77777777" w:rsidR="002A21AE" w:rsidRDefault="002A21AE" w:rsidP="009D2266">
      <w:pPr>
        <w:pStyle w:val="ListBullet"/>
        <w:numPr>
          <w:ilvl w:val="0"/>
          <w:numId w:val="2"/>
        </w:numPr>
        <w:tabs>
          <w:tab w:val="num" w:pos="720"/>
        </w:tabs>
        <w:ind w:left="720"/>
      </w:pPr>
      <w:r>
        <w:t>The PTL does not include daily quality control, equipment maintenance schedules, or pending ABO/Rh confirmation and auxiliary tests on red blood c</w:t>
      </w:r>
      <w:bookmarkStart w:id="470" w:name="here"/>
      <w:bookmarkEnd w:id="470"/>
      <w:r>
        <w:t>ell units.</w:t>
      </w:r>
    </w:p>
    <w:p w14:paraId="2D1003B8" w14:textId="77777777" w:rsidR="00B16403" w:rsidRDefault="00B16403" w:rsidP="009D2266">
      <w:pPr>
        <w:pStyle w:val="ListBullet"/>
        <w:numPr>
          <w:ilvl w:val="0"/>
          <w:numId w:val="2"/>
        </w:numPr>
        <w:tabs>
          <w:tab w:val="num" w:pos="720"/>
        </w:tabs>
        <w:ind w:left="720"/>
      </w:pPr>
      <w:r w:rsidRPr="00696FA6">
        <w:t xml:space="preserve">Users may perform testing for no more than four patients in one </w:t>
      </w:r>
      <w:r>
        <w:t>VBECS</w:t>
      </w:r>
      <w:r w:rsidRPr="00696FA6">
        <w:t xml:space="preserve"> session.</w:t>
      </w:r>
    </w:p>
    <w:p w14:paraId="5A6B85EE" w14:textId="77777777" w:rsidR="002A21AE" w:rsidRDefault="002A21AE">
      <w:pPr>
        <w:pStyle w:val="Heading4"/>
      </w:pPr>
      <w:r>
        <w:t>Additional Information</w:t>
      </w:r>
    </w:p>
    <w:p w14:paraId="69FDDE5D" w14:textId="77777777" w:rsidR="002A21AE" w:rsidRDefault="002A21AE" w:rsidP="009D2266">
      <w:pPr>
        <w:pStyle w:val="ListBullet"/>
        <w:numPr>
          <w:ilvl w:val="0"/>
          <w:numId w:val="2"/>
        </w:numPr>
        <w:tabs>
          <w:tab w:val="num" w:pos="720"/>
        </w:tabs>
        <w:ind w:left="720"/>
      </w:pPr>
      <w:r>
        <w:t>This is the main entry point for other testing options.</w:t>
      </w:r>
    </w:p>
    <w:p w14:paraId="4B488CFF" w14:textId="77777777" w:rsidR="002A21AE" w:rsidRDefault="002A21AE" w:rsidP="009D2266">
      <w:pPr>
        <w:pStyle w:val="ListBullet"/>
        <w:numPr>
          <w:ilvl w:val="0"/>
          <w:numId w:val="2"/>
        </w:numPr>
        <w:tabs>
          <w:tab w:val="num" w:pos="720"/>
        </w:tabs>
        <w:ind w:left="720"/>
      </w:pPr>
      <w:r>
        <w:t>The PTL does not display completed diagnostic tests.</w:t>
      </w:r>
    </w:p>
    <w:p w14:paraId="3955EC1A" w14:textId="77777777" w:rsidR="00C5671A" w:rsidRDefault="00C5671A" w:rsidP="009D2266">
      <w:pPr>
        <w:pStyle w:val="ListBullet"/>
        <w:numPr>
          <w:ilvl w:val="0"/>
          <w:numId w:val="2"/>
        </w:numPr>
        <w:tabs>
          <w:tab w:val="num" w:pos="720"/>
        </w:tabs>
        <w:ind w:left="720"/>
      </w:pPr>
      <w:r>
        <w:t xml:space="preserve">When a specimen </w:t>
      </w:r>
      <w:r w:rsidRPr="00C5671A">
        <w:rPr>
          <w:u w:val="single"/>
        </w:rPr>
        <w:t>is not</w:t>
      </w:r>
      <w:r>
        <w:t xml:space="preserve"> associated wit</w:t>
      </w:r>
      <w:r w:rsidR="00A03A28">
        <w:t>h a component</w:t>
      </w:r>
      <w:r>
        <w:t xml:space="preserve"> order, partially completed and </w:t>
      </w:r>
      <w:r w:rsidR="00A03A28">
        <w:t>filled</w:t>
      </w:r>
      <w:r>
        <w:t xml:space="preserve"> component orders remain on the Pending Task List for 10 days from date of order acceptance.</w:t>
      </w:r>
      <w:r>
        <w:rPr>
          <w:vanish/>
        </w:rPr>
        <w:t xml:space="preserve"> Task 1323</w:t>
      </w:r>
      <w:r w:rsidR="00BC58B1">
        <w:rPr>
          <w:vanish/>
        </w:rPr>
        <w:t xml:space="preserve"> and DR 3604</w:t>
      </w:r>
    </w:p>
    <w:p w14:paraId="304F76A4" w14:textId="77777777" w:rsidR="00C5671A" w:rsidRDefault="00C5671A" w:rsidP="00C5671A">
      <w:pPr>
        <w:pStyle w:val="ListBullet"/>
        <w:numPr>
          <w:ilvl w:val="0"/>
          <w:numId w:val="2"/>
        </w:numPr>
        <w:tabs>
          <w:tab w:val="num" w:pos="720"/>
        </w:tabs>
        <w:ind w:left="720"/>
      </w:pPr>
      <w:r>
        <w:t xml:space="preserve">When a specimen </w:t>
      </w:r>
      <w:r w:rsidRPr="00C5671A">
        <w:rPr>
          <w:u w:val="single"/>
        </w:rPr>
        <w:t>is</w:t>
      </w:r>
      <w:r w:rsidR="00A03A28">
        <w:t xml:space="preserve"> associated with a diagnostic test or component </w:t>
      </w:r>
      <w:r>
        <w:t xml:space="preserve">order, partially completed diagnostic tests and </w:t>
      </w:r>
      <w:r w:rsidR="00A03A28">
        <w:t>filled</w:t>
      </w:r>
      <w:r>
        <w:t xml:space="preserve"> component orders remain on the Pending Task List until the specimen expires.</w:t>
      </w:r>
      <w:r w:rsidRPr="00C5671A">
        <w:rPr>
          <w:vanish/>
        </w:rPr>
        <w:t xml:space="preserve"> </w:t>
      </w:r>
      <w:r>
        <w:rPr>
          <w:vanish/>
        </w:rPr>
        <w:t>Task 1323</w:t>
      </w:r>
      <w:r w:rsidR="00BC58B1">
        <w:rPr>
          <w:vanish/>
        </w:rPr>
        <w:t xml:space="preserve"> and DR 3604</w:t>
      </w:r>
    </w:p>
    <w:p w14:paraId="73873935" w14:textId="77777777" w:rsidR="00DF7D1A" w:rsidRDefault="00DF7D1A" w:rsidP="009D2266">
      <w:pPr>
        <w:pStyle w:val="ListBullet"/>
        <w:numPr>
          <w:ilvl w:val="0"/>
          <w:numId w:val="2"/>
        </w:numPr>
        <w:tabs>
          <w:tab w:val="num" w:pos="720"/>
        </w:tabs>
        <w:ind w:left="720"/>
      </w:pPr>
      <w:r>
        <w:t>VBECS cancels accepted orders (tasks) the day after they expire.</w:t>
      </w:r>
    </w:p>
    <w:p w14:paraId="25AA98F9" w14:textId="77777777" w:rsidR="002A21AE" w:rsidRDefault="002A21AE" w:rsidP="009D2266">
      <w:pPr>
        <w:pStyle w:val="ListBullet"/>
        <w:numPr>
          <w:ilvl w:val="0"/>
          <w:numId w:val="2"/>
        </w:numPr>
        <w:tabs>
          <w:tab w:val="num" w:pos="720"/>
        </w:tabs>
        <w:ind w:left="720"/>
      </w:pPr>
      <w:r>
        <w:t>Multiple users are prohibited from performing the same task on the same unit of blood for the same patient.</w:t>
      </w:r>
    </w:p>
    <w:p w14:paraId="1CBB3F88" w14:textId="77777777" w:rsidR="002A21AE" w:rsidRDefault="002A21AE" w:rsidP="009D2266">
      <w:pPr>
        <w:pStyle w:val="ListBullet"/>
        <w:numPr>
          <w:ilvl w:val="0"/>
          <w:numId w:val="2"/>
        </w:numPr>
        <w:tabs>
          <w:tab w:val="num" w:pos="720"/>
        </w:tabs>
        <w:ind w:left="720"/>
      </w:pPr>
      <w:r>
        <w:t>The task may be selected and assigned to a technologist, preventing duplicate selection by another technologist.</w:t>
      </w:r>
    </w:p>
    <w:p w14:paraId="56810B4A" w14:textId="77777777" w:rsidR="002A21AE" w:rsidRDefault="002A21AE">
      <w:pPr>
        <w:pStyle w:val="Heading4"/>
      </w:pPr>
      <w:r>
        <w:t>User Roles with Access to This Option</w:t>
      </w:r>
    </w:p>
    <w:p w14:paraId="2F9AE948" w14:textId="77777777" w:rsidR="002A21AE" w:rsidRDefault="002232A3">
      <w:pPr>
        <w:pStyle w:val="Roles"/>
        <w:rPr>
          <w:snapToGrid w:val="0"/>
        </w:rPr>
      </w:pPr>
      <w:r>
        <w:t>All users</w:t>
      </w:r>
    </w:p>
    <w:bookmarkEnd w:id="469"/>
    <w:p w14:paraId="64F42900" w14:textId="77777777" w:rsidR="002A21AE" w:rsidRDefault="002A21AE">
      <w:pPr>
        <w:pStyle w:val="Heading4"/>
      </w:pPr>
      <w:r>
        <w:t>Patient Testing: Pending Task List</w:t>
      </w:r>
    </w:p>
    <w:p w14:paraId="05D5C789" w14:textId="77777777" w:rsidR="002A21AE" w:rsidRDefault="002A21AE" w:rsidP="00FA7E65">
      <w:pPr>
        <w:pStyle w:val="BodyText"/>
      </w:pPr>
      <w:r>
        <w:t>The user accesses a list of pending tasks. VBECS displays the PTL with search criteria to allow the user to limit the number of items viewed.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4E3B4565" w14:textId="77777777">
        <w:trPr>
          <w:tblHeader/>
        </w:trPr>
        <w:tc>
          <w:tcPr>
            <w:tcW w:w="3240" w:type="dxa"/>
            <w:shd w:val="pct30" w:color="auto" w:fill="FFFFFF"/>
            <w:vAlign w:val="bottom"/>
          </w:tcPr>
          <w:p w14:paraId="755480C6" w14:textId="77777777" w:rsidR="002A21AE" w:rsidRDefault="002A21AE">
            <w:pPr>
              <w:pStyle w:val="TableText"/>
              <w:rPr>
                <w:b/>
              </w:rPr>
            </w:pPr>
            <w:r>
              <w:rPr>
                <w:b/>
              </w:rPr>
              <w:t>User Action</w:t>
            </w:r>
          </w:p>
        </w:tc>
        <w:tc>
          <w:tcPr>
            <w:tcW w:w="6120" w:type="dxa"/>
            <w:shd w:val="pct30" w:color="auto" w:fill="FFFFFF"/>
            <w:vAlign w:val="bottom"/>
          </w:tcPr>
          <w:p w14:paraId="45DD1A00" w14:textId="77777777" w:rsidR="002A21AE" w:rsidRDefault="002A21AE">
            <w:pPr>
              <w:pStyle w:val="TableText"/>
              <w:rPr>
                <w:b/>
              </w:rPr>
            </w:pPr>
            <w:r>
              <w:rPr>
                <w:b/>
              </w:rPr>
              <w:t>VBECS</w:t>
            </w:r>
          </w:p>
        </w:tc>
      </w:tr>
      <w:tr w:rsidR="002A21AE" w14:paraId="5EF692F5" w14:textId="77777777">
        <w:tc>
          <w:tcPr>
            <w:tcW w:w="3240" w:type="dxa"/>
          </w:tcPr>
          <w:p w14:paraId="52E213E6" w14:textId="77777777" w:rsidR="002A21AE" w:rsidRDefault="002A21AE">
            <w:pPr>
              <w:pStyle w:val="TableTextNumbers"/>
            </w:pPr>
            <w:r>
              <w:t xml:space="preserve">Select </w:t>
            </w:r>
            <w:r>
              <w:rPr>
                <w:b/>
              </w:rPr>
              <w:t>Patients</w:t>
            </w:r>
            <w:r>
              <w:t xml:space="preserve"> from the main menu.</w:t>
            </w:r>
          </w:p>
          <w:p w14:paraId="46224116" w14:textId="77777777" w:rsidR="002A21AE" w:rsidRDefault="002A21AE">
            <w:pPr>
              <w:pStyle w:val="TableTextNumbersContinued"/>
            </w:pPr>
          </w:p>
          <w:p w14:paraId="2B27BD5D" w14:textId="71AD6DE6" w:rsidR="002A21AE" w:rsidRDefault="002A21AE">
            <w:pPr>
              <w:pStyle w:val="TableTextNumbersContinued"/>
            </w:pPr>
            <w:r>
              <w:t xml:space="preserve">Select </w:t>
            </w:r>
            <w:r>
              <w:rPr>
                <w:b/>
              </w:rPr>
              <w:t>Patient Testing</w:t>
            </w:r>
            <w:r w:rsidR="0071094D">
              <w:rPr>
                <w:b/>
              </w:rPr>
              <w:t xml:space="preserve"> </w:t>
            </w:r>
            <w:r w:rsidR="0071094D" w:rsidRPr="0071094D">
              <w:t>(</w:t>
            </w:r>
            <w:r w:rsidR="0071094D">
              <w:fldChar w:fldCharType="begin" w:fldLock="1"/>
            </w:r>
            <w:r w:rsidR="0071094D">
              <w:instrText xml:space="preserve"> REF _Ref126724192 \h </w:instrText>
            </w:r>
            <w:r w:rsidR="0071094D">
              <w:fldChar w:fldCharType="separate"/>
            </w:r>
            <w:r w:rsidR="00AB304C">
              <w:t xml:space="preserve">Figure </w:t>
            </w:r>
            <w:r w:rsidR="00AB304C">
              <w:rPr>
                <w:noProof/>
              </w:rPr>
              <w:t>121</w:t>
            </w:r>
            <w:r w:rsidR="0071094D">
              <w:fldChar w:fldCharType="end"/>
            </w:r>
            <w:r w:rsidR="0071094D" w:rsidRPr="0071094D">
              <w:t>)</w:t>
            </w:r>
            <w:r>
              <w:t>.</w:t>
            </w:r>
          </w:p>
        </w:tc>
        <w:tc>
          <w:tcPr>
            <w:tcW w:w="6120" w:type="dxa"/>
          </w:tcPr>
          <w:p w14:paraId="2E98607E" w14:textId="77777777" w:rsidR="002A21AE" w:rsidRDefault="002A21AE">
            <w:pPr>
              <w:pStyle w:val="TableTextBullet"/>
            </w:pPr>
            <w:r>
              <w:t>Displays options for processing patient-related functions.</w:t>
            </w:r>
          </w:p>
          <w:p w14:paraId="346E2DAD" w14:textId="77777777" w:rsidR="0055131E" w:rsidRDefault="002A21AE" w:rsidP="007B4A40">
            <w:pPr>
              <w:pStyle w:val="TableTextBullet"/>
            </w:pPr>
            <w:r>
              <w:t>Displays the PTL and PTL search parameters in the Diagnostic Tests tab or in the Component Orders tab.</w:t>
            </w:r>
          </w:p>
          <w:p w14:paraId="03E9965B" w14:textId="77777777" w:rsidR="008F0849" w:rsidRDefault="008F0849" w:rsidP="008F0849">
            <w:pPr>
              <w:pStyle w:val="TableTextBullet"/>
              <w:numPr>
                <w:ilvl w:val="0"/>
                <w:numId w:val="0"/>
              </w:numPr>
              <w:ind w:left="288" w:hanging="288"/>
            </w:pPr>
          </w:p>
          <w:p w14:paraId="4DB57F6D" w14:textId="77777777" w:rsidR="008F0849" w:rsidRDefault="008F0849" w:rsidP="008F0849">
            <w:pPr>
              <w:pStyle w:val="TableText"/>
              <w:rPr>
                <w:b/>
                <w:bCs/>
                <w:szCs w:val="18"/>
              </w:rPr>
            </w:pPr>
            <w:r>
              <w:rPr>
                <w:b/>
                <w:bCs/>
                <w:noProof/>
              </w:rPr>
              <mc:AlternateContent>
                <mc:Choice Requires="wps">
                  <w:drawing>
                    <wp:anchor distT="0" distB="0" distL="114300" distR="114300" simplePos="0" relativeHeight="252101120" behindDoc="0" locked="0" layoutInCell="1" allowOverlap="1" wp14:anchorId="46E661F2" wp14:editId="47BC37C2">
                      <wp:simplePos x="0" y="0"/>
                      <wp:positionH relativeFrom="column">
                        <wp:posOffset>457200</wp:posOffset>
                      </wp:positionH>
                      <wp:positionV relativeFrom="paragraph">
                        <wp:posOffset>65405</wp:posOffset>
                      </wp:positionV>
                      <wp:extent cx="3200400" cy="0"/>
                      <wp:effectExtent l="9525" t="17780" r="9525" b="10795"/>
                      <wp:wrapNone/>
                      <wp:docPr id="3" name="Line 1250" descr="P7204C4T7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98E06" id="Line 1250" o:spid="_x0000_s1026" alt="&quot;&quot;" style="position:absolute;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" strokeweight="1.5pt"/>
                  </w:pict>
                </mc:Fallback>
              </mc:AlternateContent>
            </w:r>
            <w:r>
              <w:rPr>
                <w:b/>
                <w:bCs/>
                <w:szCs w:val="18"/>
              </w:rPr>
              <w:t>NOTES</w:t>
            </w:r>
          </w:p>
          <w:p w14:paraId="026A9CFE" w14:textId="64EEABBF" w:rsidR="008F0849" w:rsidRPr="008F0849" w:rsidRDefault="008F0849" w:rsidP="008F0849">
            <w:pPr>
              <w:pStyle w:val="NotesText"/>
              <w:rPr>
                <w:szCs w:val="18"/>
              </w:rPr>
            </w:pPr>
            <w:r w:rsidRPr="008F0849">
              <w:rPr>
                <w:szCs w:val="18"/>
              </w:rPr>
              <w:t xml:space="preserve">Entering a random string consisting of letters and digits into the Patient search field returns the full pending task list. The correct </w:t>
            </w:r>
            <w:r w:rsidRPr="008F0849">
              <w:rPr>
                <w:szCs w:val="18"/>
              </w:rPr>
              <w:lastRenderedPageBreak/>
              <w:t>combinations (full SSN, last 4 digits of SSN, first letter of last name + last 4 digits of SSN) will return a patient list.</w:t>
            </w:r>
            <w:r>
              <w:rPr>
                <w:szCs w:val="18"/>
              </w:rPr>
              <w:t xml:space="preserve"> </w:t>
            </w:r>
            <w:r w:rsidRPr="008F0849">
              <w:rPr>
                <w:vanish/>
                <w:szCs w:val="18"/>
              </w:rPr>
              <w:t>Task 208823</w:t>
            </w:r>
          </w:p>
          <w:p w14:paraId="22AD8934" w14:textId="77777777" w:rsidR="008F0849" w:rsidRDefault="008F0849" w:rsidP="008F0849">
            <w:pPr>
              <w:pStyle w:val="TableTextBullet"/>
              <w:numPr>
                <w:ilvl w:val="0"/>
                <w:numId w:val="0"/>
              </w:numPr>
              <w:ind w:left="288" w:hanging="288"/>
            </w:pPr>
          </w:p>
          <w:p w14:paraId="26BA9518" w14:textId="47BFC320" w:rsidR="008F0849" w:rsidRDefault="008F0849" w:rsidP="008F0849">
            <w:pPr>
              <w:pStyle w:val="TableTextBullet"/>
              <w:numPr>
                <w:ilvl w:val="0"/>
                <w:numId w:val="0"/>
              </w:numPr>
              <w:ind w:left="288" w:hanging="288"/>
            </w:pPr>
          </w:p>
        </w:tc>
      </w:tr>
      <w:tr w:rsidR="002A21AE" w14:paraId="7596CBA1" w14:textId="77777777">
        <w:tc>
          <w:tcPr>
            <w:tcW w:w="3240" w:type="dxa"/>
          </w:tcPr>
          <w:p w14:paraId="3470A7A8" w14:textId="77777777" w:rsidR="002A21AE" w:rsidRDefault="002A21AE">
            <w:pPr>
              <w:pStyle w:val="TableTextNumbers"/>
            </w:pPr>
            <w:r>
              <w:lastRenderedPageBreak/>
              <w:t>Click the check boxes in the PTL to select one</w:t>
            </w:r>
            <w:r w:rsidR="007A0E65">
              <w:t xml:space="preserve"> to four</w:t>
            </w:r>
            <w:r>
              <w:t xml:space="preserve"> tasks for processing and click </w:t>
            </w:r>
            <w:r>
              <w:rPr>
                <w:b/>
              </w:rPr>
              <w:t>OK</w:t>
            </w:r>
            <w:r>
              <w:t>, or</w:t>
            </w:r>
          </w:p>
          <w:p w14:paraId="60DCAC06" w14:textId="77777777" w:rsidR="002A21AE" w:rsidRDefault="002A21AE">
            <w:pPr>
              <w:pStyle w:val="TableTextNumbersContinued"/>
            </w:pPr>
          </w:p>
          <w:p w14:paraId="0CC053C6" w14:textId="77777777" w:rsidR="002A21AE" w:rsidRDefault="002A21AE">
            <w:pPr>
              <w:pStyle w:val="TableTextNumbersContinued"/>
            </w:pPr>
            <w:r>
              <w:t>Click</w:t>
            </w:r>
            <w:r>
              <w:rPr>
                <w:b/>
              </w:rPr>
              <w:t xml:space="preserve"> Print</w:t>
            </w:r>
            <w:r>
              <w:t xml:space="preserve"> to print the list.</w:t>
            </w:r>
          </w:p>
        </w:tc>
        <w:tc>
          <w:tcPr>
            <w:tcW w:w="6120" w:type="dxa"/>
          </w:tcPr>
          <w:p w14:paraId="495A947E" w14:textId="77777777" w:rsidR="002A21AE" w:rsidRDefault="002A21AE">
            <w:pPr>
              <w:pStyle w:val="TableTextBullet"/>
            </w:pPr>
            <w:r>
              <w:t xml:space="preserve">Allows the user to limit the search and display. </w:t>
            </w:r>
          </w:p>
          <w:p w14:paraId="32FF7D24" w14:textId="77777777" w:rsidR="002A21AE" w:rsidRDefault="002A21AE">
            <w:pPr>
              <w:pStyle w:val="TableTextBullet"/>
            </w:pPr>
            <w:r>
              <w:t>Prompts the user to select a task for continued processing, print a task list, or return to Step 1 to change the display of the list.</w:t>
            </w:r>
          </w:p>
          <w:p w14:paraId="0E709FFA" w14:textId="77777777" w:rsidR="002A21AE" w:rsidRDefault="002A21AE">
            <w:pPr>
              <w:pStyle w:val="TableText"/>
            </w:pPr>
          </w:p>
          <w:p w14:paraId="11B601C1" w14:textId="77777777" w:rsidR="002A21AE" w:rsidRDefault="00057948">
            <w:pPr>
              <w:pStyle w:val="TableText"/>
              <w:rPr>
                <w:b/>
                <w:bCs/>
                <w:szCs w:val="18"/>
              </w:rPr>
            </w:pPr>
            <w:r>
              <w:rPr>
                <w:b/>
                <w:bCs/>
                <w:noProof/>
              </w:rPr>
              <mc:AlternateContent>
                <mc:Choice Requires="wps">
                  <w:drawing>
                    <wp:anchor distT="0" distB="0" distL="114300" distR="114300" simplePos="0" relativeHeight="251661824" behindDoc="0" locked="0" layoutInCell="1" allowOverlap="1" wp14:anchorId="29A2BCAA" wp14:editId="1AB3EB84">
                      <wp:simplePos x="0" y="0"/>
                      <wp:positionH relativeFrom="column">
                        <wp:posOffset>457200</wp:posOffset>
                      </wp:positionH>
                      <wp:positionV relativeFrom="paragraph">
                        <wp:posOffset>65405</wp:posOffset>
                      </wp:positionV>
                      <wp:extent cx="3200400" cy="0"/>
                      <wp:effectExtent l="9525" t="17780" r="9525" b="10795"/>
                      <wp:wrapNone/>
                      <wp:docPr id="394" name="Line 871" descr="P7215C6T7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0EF7D" id="Line 871" o:spid="_x0000_s1026" alt="&quot;&quot;"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N+VC2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0E6E0AFB" w14:textId="77777777" w:rsidR="002A21AE" w:rsidRPr="00623E7F" w:rsidRDefault="002A21AE">
            <w:pPr>
              <w:pStyle w:val="NotesText"/>
              <w:rPr>
                <w:vanish/>
                <w:szCs w:val="18"/>
              </w:rPr>
            </w:pPr>
          </w:p>
          <w:p w14:paraId="2EA7E5B3" w14:textId="59F5E5AD" w:rsidR="003D7CE8" w:rsidRPr="00623E7F" w:rsidRDefault="005129F7" w:rsidP="00623E7F">
            <w:pPr>
              <w:pStyle w:val="NotesText"/>
              <w:rPr>
                <w:szCs w:val="18"/>
              </w:rPr>
            </w:pPr>
            <w:r w:rsidRPr="00623E7F">
              <w:rPr>
                <w:szCs w:val="18"/>
              </w:rPr>
              <w:t>Additional information is available in</w:t>
            </w:r>
            <w:r w:rsidR="00623E7F" w:rsidRPr="00623E7F">
              <w:rPr>
                <w:szCs w:val="18"/>
              </w:rPr>
              <w:t xml:space="preserve"> </w:t>
            </w:r>
            <w:r w:rsidR="00623E7F" w:rsidRPr="00623E7F">
              <w:rPr>
                <w:szCs w:val="18"/>
              </w:rPr>
              <w:fldChar w:fldCharType="begin" w:fldLock="1"/>
            </w:r>
            <w:r w:rsidR="00623E7F" w:rsidRPr="00623E7F">
              <w:rPr>
                <w:szCs w:val="18"/>
              </w:rPr>
              <w:instrText xml:space="preserve"> REF _Ref300911707 \h  \* MERGEFORMAT </w:instrText>
            </w:r>
            <w:r w:rsidR="00623E7F" w:rsidRPr="00623E7F">
              <w:rPr>
                <w:szCs w:val="18"/>
              </w:rPr>
            </w:r>
            <w:r w:rsidR="00623E7F" w:rsidRPr="00623E7F">
              <w:rPr>
                <w:szCs w:val="18"/>
              </w:rPr>
              <w:fldChar w:fldCharType="separate"/>
            </w:r>
            <w:r w:rsidR="00AB304C" w:rsidRPr="00AB304C">
              <w:rPr>
                <w:szCs w:val="18"/>
              </w:rPr>
              <w:t>Appendix G: Frequently Asked Questions</w:t>
            </w:r>
            <w:r w:rsidR="00623E7F" w:rsidRPr="00623E7F">
              <w:rPr>
                <w:szCs w:val="18"/>
              </w:rPr>
              <w:fldChar w:fldCharType="end"/>
            </w:r>
            <w:r w:rsidRPr="00623E7F">
              <w:rPr>
                <w:szCs w:val="18"/>
              </w:rPr>
              <w:t>.</w:t>
            </w:r>
            <w:r w:rsidRPr="00623E7F">
              <w:rPr>
                <w:vanish/>
                <w:szCs w:val="18"/>
              </w:rPr>
              <w:t xml:space="preserve"> DR 3971</w:t>
            </w:r>
          </w:p>
          <w:p w14:paraId="7A23C570" w14:textId="77777777" w:rsidR="003D7CE8" w:rsidRPr="00623E7F" w:rsidRDefault="003D7CE8">
            <w:pPr>
              <w:pStyle w:val="NotesText"/>
            </w:pPr>
          </w:p>
          <w:p w14:paraId="495A497B" w14:textId="77777777" w:rsidR="002A21AE" w:rsidRDefault="002A21AE">
            <w:pPr>
              <w:pStyle w:val="NotesText"/>
            </w:pPr>
            <w:r>
              <w:t xml:space="preserve">The user may click </w:t>
            </w:r>
            <w:r>
              <w:rPr>
                <w:b/>
              </w:rPr>
              <w:t>Cancel Order(s)</w:t>
            </w:r>
            <w:r>
              <w:t xml:space="preserve">, select a comment, and click </w:t>
            </w:r>
            <w:r>
              <w:rPr>
                <w:b/>
              </w:rPr>
              <w:t xml:space="preserve">OK </w:t>
            </w:r>
            <w:r>
              <w:t>to exit.</w:t>
            </w:r>
          </w:p>
          <w:p w14:paraId="27C1CDD3" w14:textId="77777777" w:rsidR="002A21AE" w:rsidRDefault="002A21AE">
            <w:pPr>
              <w:pStyle w:val="NotesText"/>
            </w:pPr>
          </w:p>
          <w:p w14:paraId="5101DED5" w14:textId="77777777" w:rsidR="002A21AE" w:rsidRDefault="002A21AE">
            <w:pPr>
              <w:pStyle w:val="NotesText"/>
            </w:pPr>
            <w:r>
              <w:rPr>
                <w:vanish/>
                <w:szCs w:val="18"/>
              </w:rPr>
              <w:t>BR_92.03</w:t>
            </w:r>
            <w:r w:rsidR="00CE3961">
              <w:rPr>
                <w:vanish/>
                <w:szCs w:val="18"/>
              </w:rPr>
              <w:t>,</w:t>
            </w:r>
            <w:r>
              <w:rPr>
                <w:vanish/>
                <w:szCs w:val="18"/>
              </w:rPr>
              <w:t xml:space="preserve"> BR_92.05 </w:t>
            </w:r>
            <w:r>
              <w:t xml:space="preserve">The user may select </w:t>
            </w:r>
            <w:r w:rsidR="00810E0A">
              <w:t>one to four</w:t>
            </w:r>
            <w:r>
              <w:t xml:space="preserve"> tasks for testing at a time. The tasks may be component class order tasks, diagnostic test tasks, or a combination of both.</w:t>
            </w:r>
          </w:p>
          <w:p w14:paraId="4FCE80A6" w14:textId="77777777" w:rsidR="00D3124A" w:rsidRDefault="00D3124A">
            <w:pPr>
              <w:pStyle w:val="NotesText"/>
            </w:pPr>
          </w:p>
          <w:p w14:paraId="402A3007" w14:textId="77777777" w:rsidR="002A21AE" w:rsidRDefault="002A21AE">
            <w:pPr>
              <w:pStyle w:val="NotesText"/>
            </w:pPr>
            <w:r>
              <w:t>VBECS displays “NRQ” (not required) when the task does not require a specimen for processing.</w:t>
            </w:r>
          </w:p>
          <w:p w14:paraId="2D816093" w14:textId="77777777" w:rsidR="00DF7D1A" w:rsidRDefault="00DF7D1A">
            <w:pPr>
              <w:pStyle w:val="NotesText"/>
              <w:rPr>
                <w:rFonts w:cs="Arial"/>
              </w:rPr>
            </w:pPr>
          </w:p>
          <w:p w14:paraId="5762ADAF" w14:textId="77777777" w:rsidR="002A21AE" w:rsidRDefault="002A21AE">
            <w:pPr>
              <w:pStyle w:val="NotesText"/>
            </w:pPr>
            <w:r>
              <w:rPr>
                <w:rFonts w:cs="Arial"/>
                <w:vanish/>
              </w:rPr>
              <w:t xml:space="preserve">BR_92.01 </w:t>
            </w:r>
            <w:r>
              <w:t xml:space="preserve">For each order, VBECS displays the specific diagnostic test or component order. The default searches for the current date’s tasks, then yesterday’s tasks, and so on until the task status is “completed.” The display includes the task’s status and a user name, when applicable. </w:t>
            </w:r>
          </w:p>
          <w:p w14:paraId="7FADFAF2" w14:textId="77777777" w:rsidR="002A21AE" w:rsidRDefault="002A21AE">
            <w:pPr>
              <w:pStyle w:val="NotesText"/>
            </w:pPr>
          </w:p>
          <w:p w14:paraId="50811717" w14:textId="77777777" w:rsidR="002A21AE" w:rsidRDefault="002A21AE">
            <w:pPr>
              <w:pStyle w:val="NotesText"/>
            </w:pPr>
            <w:r>
              <w:rPr>
                <w:rFonts w:cs="Arial"/>
                <w:vanish/>
              </w:rPr>
              <w:t xml:space="preserve">BR_92.10 </w:t>
            </w:r>
            <w:r>
              <w:rPr>
                <w:szCs w:val="20"/>
              </w:rPr>
              <w:t>VBECS alerts the user when he attempts to select multiple tasks of the same type for a patient, and does not allow the selection of two or more tasks of the same type ordered for a patient during a testing session. Tasks are considered to be of the same type when they need to accommodate the use of the same testing grid in Patient Testing: Record Patient Test Results. For example, a user may not select a TAS task and one of its subtests that is ordered in a testing session. VBECS provides for one testing grid display per patient per test, not per specimen UID. If the user selected a TAS and an ABS, VBECS displays only the first one selected for result entry.</w:t>
            </w:r>
          </w:p>
          <w:p w14:paraId="035FACE5" w14:textId="77777777" w:rsidR="002A21AE" w:rsidRDefault="002A21AE">
            <w:pPr>
              <w:pStyle w:val="NotesText"/>
            </w:pPr>
          </w:p>
          <w:p w14:paraId="08787103" w14:textId="77777777" w:rsidR="002A21AE" w:rsidRDefault="002A21AE">
            <w:pPr>
              <w:pStyle w:val="NotesText"/>
              <w:rPr>
                <w:b/>
              </w:rPr>
            </w:pPr>
            <w:r>
              <w:rPr>
                <w:vanish/>
                <w:szCs w:val="18"/>
              </w:rPr>
              <w:t xml:space="preserve">BR_92.02 </w:t>
            </w:r>
            <w:r>
              <w:t>Task and order statuses and functions that are displayed on the PTL:</w:t>
            </w:r>
          </w:p>
          <w:p w14:paraId="0F942CD3" w14:textId="77777777" w:rsidR="002A21AE" w:rsidRDefault="002A21AE">
            <w:pPr>
              <w:pStyle w:val="NotesTextBullet"/>
            </w:pPr>
            <w:r>
              <w:rPr>
                <w:b/>
              </w:rPr>
              <w:t>Not Started:</w:t>
            </w:r>
            <w:r>
              <w:t xml:space="preserve"> </w:t>
            </w:r>
            <w:r w:rsidR="00D06D15">
              <w:t>the order was not selected</w:t>
            </w:r>
            <w:r>
              <w:t>.</w:t>
            </w:r>
          </w:p>
          <w:p w14:paraId="42885EFD" w14:textId="77777777" w:rsidR="002A21AE" w:rsidRDefault="002A21AE">
            <w:pPr>
              <w:pStyle w:val="NotesTextBullet"/>
            </w:pPr>
            <w:r>
              <w:rPr>
                <w:b/>
              </w:rPr>
              <w:t>Partially Completed &lt;user ID&gt;:</w:t>
            </w:r>
            <w:r>
              <w:t xml:space="preserve"> allows selection by another user for a diagnostic test to complete</w:t>
            </w:r>
            <w:r w:rsidR="00430883">
              <w:t>,</w:t>
            </w:r>
            <w:r>
              <w:t xml:space="preserve"> invalidate</w:t>
            </w:r>
            <w:r w:rsidR="00430883">
              <w:t>, or delete</w:t>
            </w:r>
            <w:r>
              <w:t xml:space="preserve"> the work </w:t>
            </w:r>
            <w:r w:rsidR="00430883">
              <w:t>on this specimen</w:t>
            </w:r>
            <w:r>
              <w:t xml:space="preserve">. </w:t>
            </w:r>
            <w:r>
              <w:rPr>
                <w:i/>
              </w:rPr>
              <w:t>Component orders remain in this status until the specimen and order expire</w:t>
            </w:r>
            <w:r w:rsidRPr="00543DAF">
              <w:rPr>
                <w:i/>
              </w:rPr>
              <w:t>.</w:t>
            </w:r>
          </w:p>
          <w:p w14:paraId="04B0DC91" w14:textId="77777777" w:rsidR="002A21AE" w:rsidRDefault="002A21AE">
            <w:pPr>
              <w:pStyle w:val="NotesTextBullet"/>
            </w:pPr>
            <w:r>
              <w:rPr>
                <w:b/>
              </w:rPr>
              <w:t>Filled:</w:t>
            </w:r>
            <w:r>
              <w:t xml:space="preserve"> This order status is assigned when the total number of units ordered is </w:t>
            </w:r>
            <w:r w:rsidR="00C2698E">
              <w:t>updated to a unit status of “issued” or “transfused.”</w:t>
            </w:r>
            <w:r>
              <w:t xml:space="preserve"> </w:t>
            </w:r>
            <w:r w:rsidR="006B6C5C" w:rsidRPr="006B6C5C">
              <w:rPr>
                <w:vanish/>
              </w:rPr>
              <w:t>DR 2,597</w:t>
            </w:r>
          </w:p>
          <w:p w14:paraId="100A5330" w14:textId="77777777" w:rsidR="002A21AE" w:rsidRDefault="002A21AE">
            <w:pPr>
              <w:pStyle w:val="NotesTextBullet"/>
            </w:pPr>
            <w:r>
              <w:rPr>
                <w:b/>
              </w:rPr>
              <w:t xml:space="preserve">Correction: </w:t>
            </w:r>
            <w:r>
              <w:t>previous results were invalidated; a corrected entry is required.</w:t>
            </w:r>
          </w:p>
          <w:p w14:paraId="772607DD" w14:textId="77777777" w:rsidR="00493CA8" w:rsidRDefault="002E3B5D">
            <w:pPr>
              <w:pStyle w:val="NotesTextBullet"/>
            </w:pPr>
            <w:r w:rsidRPr="005E27C3">
              <w:rPr>
                <w:b/>
              </w:rPr>
              <w:t>Instrument Results Pending R</w:t>
            </w:r>
            <w:r w:rsidR="00493CA8" w:rsidRPr="005E27C3">
              <w:rPr>
                <w:b/>
              </w:rPr>
              <w:t>eview</w:t>
            </w:r>
            <w:r w:rsidRPr="005E27C3">
              <w:rPr>
                <w:b/>
              </w:rPr>
              <w:t>:</w:t>
            </w:r>
            <w:r>
              <w:t xml:space="preserve"> </w:t>
            </w:r>
            <w:r w:rsidR="005E27C3">
              <w:t xml:space="preserve">displayed on the </w:t>
            </w:r>
            <w:r w:rsidR="005E27C3">
              <w:rPr>
                <w:rFonts w:cs="Arial"/>
                <w:szCs w:val="18"/>
              </w:rPr>
              <w:t xml:space="preserve">Pending Task List: Diagnostic tests: does not allow the selection by another user for manual testing. </w:t>
            </w:r>
            <w:r w:rsidR="005E27C3" w:rsidRPr="005E27C3">
              <w:rPr>
                <w:rFonts w:cs="Arial"/>
                <w:vanish/>
                <w:szCs w:val="18"/>
              </w:rPr>
              <w:t>BR_92.02</w:t>
            </w:r>
          </w:p>
          <w:p w14:paraId="0908A8AB" w14:textId="77777777" w:rsidR="002A21AE" w:rsidRDefault="002A21AE">
            <w:pPr>
              <w:pStyle w:val="NotesText"/>
            </w:pPr>
          </w:p>
          <w:p w14:paraId="2C3B5382" w14:textId="77777777" w:rsidR="002A21AE" w:rsidRDefault="002A21AE">
            <w:pPr>
              <w:pStyle w:val="NotesText"/>
            </w:pPr>
            <w:r>
              <w:t>Task and order statuses that are not displayed for selection on the PTL:</w:t>
            </w:r>
          </w:p>
          <w:p w14:paraId="7AFF5C38" w14:textId="77777777" w:rsidR="002A21AE" w:rsidRDefault="002A21AE">
            <w:pPr>
              <w:pStyle w:val="NotesTextBullet"/>
            </w:pPr>
            <w:r>
              <w:rPr>
                <w:b/>
              </w:rPr>
              <w:t>Completed:</w:t>
            </w:r>
            <w:r>
              <w:t xml:space="preserve"> applies to diagnostic tests </w:t>
            </w:r>
          </w:p>
          <w:p w14:paraId="3181C0D0" w14:textId="77777777" w:rsidR="002A21AE" w:rsidRDefault="002A21AE">
            <w:pPr>
              <w:pStyle w:val="NotesTextBullet"/>
            </w:pPr>
            <w:r>
              <w:rPr>
                <w:b/>
              </w:rPr>
              <w:t>Expired:</w:t>
            </w:r>
            <w:r>
              <w:t xml:space="preserve"> applies to component orders at expiration of</w:t>
            </w:r>
            <w:r w:rsidR="00AA6C54">
              <w:t xml:space="preserve"> </w:t>
            </w:r>
            <w:r>
              <w:t>the associated specimen.</w:t>
            </w:r>
          </w:p>
          <w:p w14:paraId="59CEB7C3" w14:textId="77777777" w:rsidR="002A21AE" w:rsidRDefault="002A21AE">
            <w:pPr>
              <w:pStyle w:val="NotesText"/>
            </w:pPr>
          </w:p>
          <w:p w14:paraId="6A6CA9A0" w14:textId="39E3CCA1" w:rsidR="002A21AE" w:rsidRDefault="002A21AE" w:rsidP="00D327A3">
            <w:pPr>
              <w:pStyle w:val="NotesText"/>
            </w:pPr>
            <w:r>
              <w:t xml:space="preserve">See </w:t>
            </w:r>
            <w:r w:rsidR="00543DAF">
              <w:fldChar w:fldCharType="begin" w:fldLock="1"/>
            </w:r>
            <w:r w:rsidR="00543DAF">
              <w:instrText xml:space="preserve"> REF _Ref170004931 \h </w:instrText>
            </w:r>
            <w:r w:rsidR="00543DAF">
              <w:fldChar w:fldCharType="separate"/>
            </w:r>
            <w:r w:rsidR="00AB304C">
              <w:t xml:space="preserve">Appendix </w:t>
            </w:r>
            <w:r w:rsidR="00AB304C">
              <w:rPr>
                <w:noProof/>
              </w:rPr>
              <w:t>B</w:t>
            </w:r>
            <w:r w:rsidR="00543DAF">
              <w:fldChar w:fldCharType="end"/>
            </w:r>
            <w:r>
              <w:t>:</w:t>
            </w:r>
            <w:r w:rsidR="00D327A3">
              <w:t xml:space="preserve"> </w:t>
            </w:r>
            <w:r w:rsidR="00D327A3" w:rsidRPr="00D327A3">
              <w:fldChar w:fldCharType="begin" w:fldLock="1"/>
            </w:r>
            <w:r w:rsidR="00D327A3">
              <w:instrText xml:space="preserve"> REF _Ref126729901 \h  \* MERGEFORMAT </w:instrText>
            </w:r>
            <w:r w:rsidR="00D327A3" w:rsidRPr="00D327A3">
              <w:fldChar w:fldCharType="separate"/>
            </w:r>
            <w:r w:rsidR="00AB304C">
              <w:t xml:space="preserve">Figure </w:t>
            </w:r>
            <w:r w:rsidR="00AB304C">
              <w:rPr>
                <w:noProof/>
              </w:rPr>
              <w:t>147:</w:t>
            </w:r>
            <w:r w:rsidR="00AB304C">
              <w:t xml:space="preserve"> </w:t>
            </w:r>
            <w:r w:rsidR="00AB304C">
              <w:rPr>
                <w:vanish/>
              </w:rPr>
              <w:t xml:space="preserve">TT_92.01 </w:t>
            </w:r>
            <w:r w:rsidR="00AB304C" w:rsidRPr="00AB304C">
              <w:t>Order</w:t>
            </w:r>
            <w:r w:rsidR="00AB304C">
              <w:t xml:space="preserve"> Status Flowchart</w:t>
            </w:r>
            <w:r w:rsidR="00D327A3" w:rsidRPr="00D327A3">
              <w:fldChar w:fldCharType="end"/>
            </w:r>
            <w:r w:rsidR="00BC74A8">
              <w:t xml:space="preserve"> </w:t>
            </w:r>
            <w:r w:rsidR="00BC74A8" w:rsidRPr="00BC74A8">
              <w:t xml:space="preserve">for the </w:t>
            </w:r>
            <w:r w:rsidR="003A0F91">
              <w:t>transmission</w:t>
            </w:r>
            <w:r w:rsidR="00BC74A8" w:rsidRPr="00BC74A8">
              <w:t xml:space="preserve"> of orders between CPRS and VBECS</w:t>
            </w:r>
            <w:r>
              <w:t>.</w:t>
            </w:r>
          </w:p>
          <w:p w14:paraId="65B44DA4" w14:textId="77777777" w:rsidR="00430883" w:rsidRPr="00BC74A8" w:rsidRDefault="00430883" w:rsidP="00BC74A8">
            <w:pPr>
              <w:pStyle w:val="NotesText"/>
            </w:pPr>
          </w:p>
          <w:p w14:paraId="511389B5" w14:textId="77777777" w:rsidR="00E84F5F" w:rsidRDefault="00E84F5F" w:rsidP="00E84F5F">
            <w:pPr>
              <w:pStyle w:val="NotesText"/>
            </w:pPr>
            <w:r w:rsidRPr="00574F77">
              <w:rPr>
                <w:vanish/>
                <w:szCs w:val="18"/>
              </w:rPr>
              <w:t xml:space="preserve">BR_92.07 </w:t>
            </w:r>
            <w:r w:rsidRPr="00574F77">
              <w:t>When a user prints a PTL and no pending tasks are found, VBECS asks whether the user wishes to continue to print. The user may cancel or print the report, which states that no pending orders were found.</w:t>
            </w:r>
          </w:p>
        </w:tc>
      </w:tr>
      <w:tr w:rsidR="002A21AE" w14:paraId="5C2C37D9" w14:textId="77777777">
        <w:tc>
          <w:tcPr>
            <w:tcW w:w="3240" w:type="dxa"/>
          </w:tcPr>
          <w:p w14:paraId="350EC864" w14:textId="77777777" w:rsidR="002A21AE" w:rsidRDefault="002A21AE">
            <w:pPr>
              <w:pStyle w:val="TableTextNumbers"/>
            </w:pPr>
            <w:r>
              <w:lastRenderedPageBreak/>
              <w:t xml:space="preserve">Click </w:t>
            </w:r>
            <w:r>
              <w:rPr>
                <w:b/>
              </w:rPr>
              <w:t>OK</w:t>
            </w:r>
            <w:r>
              <w:t xml:space="preserve"> or </w:t>
            </w:r>
            <w:r>
              <w:rPr>
                <w:b/>
              </w:rPr>
              <w:t>Cancel</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132A6332" w14:textId="77777777" w:rsidR="002A21AE" w:rsidRDefault="002A21AE">
            <w:pPr>
              <w:pStyle w:val="NotesText"/>
            </w:pPr>
          </w:p>
        </w:tc>
      </w:tr>
    </w:tbl>
    <w:p w14:paraId="27677300" w14:textId="77777777" w:rsidR="002A21AE" w:rsidRDefault="002A21AE">
      <w:pPr>
        <w:pStyle w:val="Heading3"/>
      </w:pPr>
      <w:bookmarkStart w:id="471" w:name="_Toc4588808"/>
      <w:r>
        <w:t>Accept Orders: Cancel a Pending Order</w:t>
      </w:r>
      <w:bookmarkEnd w:id="471"/>
      <w:r w:rsidRPr="00B91603">
        <w:rPr>
          <w:rFonts w:ascii="Arial Bold" w:hAnsi="Arial Bold"/>
          <w:vanish/>
        </w:rPr>
        <w:fldChar w:fldCharType="begin"/>
      </w:r>
      <w:r w:rsidRPr="00B91603">
        <w:rPr>
          <w:rFonts w:ascii="Arial Bold" w:hAnsi="Arial Bold"/>
          <w:vanish/>
        </w:rPr>
        <w:instrText xml:space="preserve"> XE </w:instrText>
      </w:r>
      <w:r w:rsidR="00FA7E65" w:rsidRPr="00B91603">
        <w:rPr>
          <w:rFonts w:ascii="Arial Bold" w:hAnsi="Arial Bold"/>
          <w:vanish/>
        </w:rPr>
        <w:instrText>“</w:instrText>
      </w:r>
      <w:r w:rsidRPr="00B91603">
        <w:rPr>
          <w:rFonts w:ascii="Arial Bold" w:hAnsi="Arial Bold"/>
          <w:vanish/>
        </w:rPr>
        <w:instrText>Accept Orders\: Cancel an Order</w:instrText>
      </w:r>
      <w:r w:rsidR="00FA7E65" w:rsidRPr="00B91603">
        <w:rPr>
          <w:rFonts w:ascii="Arial Bold" w:hAnsi="Arial Bold"/>
          <w:vanish/>
        </w:rPr>
        <w:instrText>”</w:instrText>
      </w:r>
      <w:r w:rsidRPr="00B91603">
        <w:rPr>
          <w:rFonts w:ascii="Arial Bold" w:hAnsi="Arial Bold"/>
          <w:vanish/>
        </w:rPr>
        <w:instrText xml:space="preserve"> </w:instrText>
      </w:r>
      <w:r w:rsidRPr="00B91603">
        <w:rPr>
          <w:rFonts w:ascii="Arial Bold" w:hAnsi="Arial Bold"/>
          <w:vanish/>
        </w:rPr>
        <w:fldChar w:fldCharType="end"/>
      </w:r>
      <w:r w:rsidRPr="00B91603">
        <w:rPr>
          <w:rFonts w:ascii="Arial Bold" w:hAnsi="Arial Bold"/>
          <w:vanish/>
        </w:rPr>
        <w:t xml:space="preserve"> UC_61</w:t>
      </w:r>
    </w:p>
    <w:p w14:paraId="46B38172" w14:textId="77777777" w:rsidR="002A21AE" w:rsidRDefault="002A21AE" w:rsidP="00FA7E65">
      <w:pPr>
        <w:pStyle w:val="BodyText"/>
      </w:pPr>
      <w:bookmarkStart w:id="472" w:name="_Toc79560668"/>
      <w:bookmarkStart w:id="473" w:name="_Toc75227779"/>
      <w:r>
        <w:t>The user cancels an unaccepted order on the Pending Order List (POL).</w:t>
      </w:r>
    </w:p>
    <w:p w14:paraId="6F79BFF6" w14:textId="77777777" w:rsidR="002A21AE" w:rsidRDefault="002A21AE">
      <w:pPr>
        <w:pStyle w:val="Heading4"/>
      </w:pPr>
      <w:r>
        <w:t>Assumptions</w:t>
      </w:r>
    </w:p>
    <w:p w14:paraId="2CC6407F" w14:textId="77777777" w:rsidR="002A21AE" w:rsidRDefault="002A21AE">
      <w:pPr>
        <w:pStyle w:val="ListBullet"/>
      </w:pPr>
      <w:r>
        <w:t>An order was not accepted by a user.</w:t>
      </w:r>
    </w:p>
    <w:p w14:paraId="4CA512FD" w14:textId="77777777" w:rsidR="002A21AE" w:rsidRDefault="002A21AE">
      <w:pPr>
        <w:pStyle w:val="ListBullet"/>
      </w:pPr>
      <w:r>
        <w:t xml:space="preserve">The connection to </w:t>
      </w:r>
      <w:r w:rsidR="00CA0045" w:rsidRPr="00CA0045">
        <w:rPr>
          <w:bCs/>
        </w:rPr>
        <w:t>VistA</w:t>
      </w:r>
      <w:r>
        <w:t xml:space="preserve"> is active.</w:t>
      </w:r>
    </w:p>
    <w:p w14:paraId="73D65F5B" w14:textId="77777777" w:rsidR="002A21AE" w:rsidRDefault="002A21AE">
      <w:pPr>
        <w:pStyle w:val="Heading4"/>
      </w:pPr>
      <w:r>
        <w:t xml:space="preserve">Outcome </w:t>
      </w:r>
    </w:p>
    <w:p w14:paraId="02151209" w14:textId="77777777" w:rsidR="002A21AE" w:rsidRDefault="002A21AE">
      <w:pPr>
        <w:pStyle w:val="ListBullet"/>
      </w:pPr>
      <w:r>
        <w:t>An order update message was sent to CPRS.</w:t>
      </w:r>
    </w:p>
    <w:p w14:paraId="7D618D00" w14:textId="77777777" w:rsidR="002A21AE" w:rsidRDefault="002A21AE">
      <w:pPr>
        <w:pStyle w:val="ListBullet"/>
      </w:pPr>
      <w:r>
        <w:t>The order was removed from the POL.</w:t>
      </w:r>
    </w:p>
    <w:p w14:paraId="226B3FE0" w14:textId="77777777" w:rsidR="002A21AE" w:rsidRDefault="002A21AE">
      <w:pPr>
        <w:pStyle w:val="Heading4"/>
      </w:pPr>
      <w:r>
        <w:t>Limitations and Restrictions</w:t>
      </w:r>
      <w:r>
        <w:rPr>
          <w:b w:val="0"/>
        </w:rPr>
        <w:t xml:space="preserve"> </w:t>
      </w:r>
    </w:p>
    <w:p w14:paraId="077E3D22" w14:textId="77777777" w:rsidR="002A21AE" w:rsidRDefault="002A21AE">
      <w:pPr>
        <w:pStyle w:val="ListBullet"/>
      </w:pPr>
      <w:r>
        <w:t>Cancellation of one order does not affect other orders placed with it.</w:t>
      </w:r>
    </w:p>
    <w:p w14:paraId="10FC0324" w14:textId="77777777" w:rsidR="002A21AE" w:rsidRDefault="002A21AE">
      <w:pPr>
        <w:pStyle w:val="Heading4"/>
      </w:pPr>
      <w:r>
        <w:t xml:space="preserve">Additional Information </w:t>
      </w:r>
    </w:p>
    <w:p w14:paraId="2F1141FD" w14:textId="77777777" w:rsidR="002A21AE" w:rsidRDefault="002A21AE">
      <w:pPr>
        <w:pStyle w:val="ListBullet"/>
      </w:pPr>
      <w:r>
        <w:t>Each pending order is managed individually.</w:t>
      </w:r>
    </w:p>
    <w:p w14:paraId="441D4C72" w14:textId="77777777" w:rsidR="00C5671A" w:rsidRDefault="001E56DE">
      <w:pPr>
        <w:pStyle w:val="ListBullet"/>
      </w:pPr>
      <w:r>
        <w:t xml:space="preserve">VBECS does not automatically clear or cancel pending </w:t>
      </w:r>
      <w:r w:rsidR="00BB3E6D">
        <w:t xml:space="preserve">or unaccepted </w:t>
      </w:r>
      <w:r>
        <w:t>orders</w:t>
      </w:r>
      <w:r w:rsidR="00BB3E6D">
        <w:t xml:space="preserve"> from the POL</w:t>
      </w:r>
      <w:r>
        <w:t>.</w:t>
      </w:r>
      <w:r>
        <w:rPr>
          <w:vanish/>
        </w:rPr>
        <w:t xml:space="preserve"> Task 1323</w:t>
      </w:r>
    </w:p>
    <w:p w14:paraId="330A7A78" w14:textId="77777777" w:rsidR="002A21AE" w:rsidRDefault="002A21AE">
      <w:pPr>
        <w:pStyle w:val="Heading4"/>
        <w:rPr>
          <w:b w:val="0"/>
        </w:rPr>
      </w:pPr>
      <w:r>
        <w:t>User Roles with Access to This Option</w:t>
      </w:r>
      <w:r>
        <w:rPr>
          <w:b w:val="0"/>
        </w:rPr>
        <w:t xml:space="preserve"> </w:t>
      </w:r>
    </w:p>
    <w:p w14:paraId="34092B41" w14:textId="77777777" w:rsidR="002A21AE" w:rsidRDefault="002232A3">
      <w:pPr>
        <w:pStyle w:val="Roles"/>
        <w:rPr>
          <w:snapToGrid w:val="0"/>
        </w:rPr>
      </w:pPr>
      <w:r>
        <w:t>All users</w:t>
      </w:r>
    </w:p>
    <w:p w14:paraId="5ECD3866" w14:textId="77777777" w:rsidR="002A21AE" w:rsidRDefault="002A21AE">
      <w:pPr>
        <w:pStyle w:val="Heading4"/>
      </w:pPr>
      <w:r>
        <w:t>Accept Orders: Cancel a Pending Order</w:t>
      </w:r>
    </w:p>
    <w:p w14:paraId="01F98E74" w14:textId="77777777" w:rsidR="002A21AE" w:rsidRDefault="002A21AE" w:rsidP="00FA7E65">
      <w:pPr>
        <w:pStyle w:val="BodyText"/>
      </w:pPr>
      <w:r>
        <w:t>The user selects an unaccepted order for cancellation.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B9C6600" w14:textId="77777777">
        <w:trPr>
          <w:cantSplit/>
          <w:tblHeader/>
        </w:trPr>
        <w:tc>
          <w:tcPr>
            <w:tcW w:w="3240" w:type="dxa"/>
            <w:shd w:val="pct30" w:color="auto" w:fill="FFFFFF"/>
            <w:vAlign w:val="bottom"/>
          </w:tcPr>
          <w:p w14:paraId="5DDAB31C" w14:textId="77777777" w:rsidR="002A21AE" w:rsidRDefault="002A21AE">
            <w:pPr>
              <w:pStyle w:val="TableText"/>
              <w:rPr>
                <w:b/>
              </w:rPr>
            </w:pPr>
            <w:r>
              <w:rPr>
                <w:b/>
              </w:rPr>
              <w:t>User Action</w:t>
            </w:r>
          </w:p>
        </w:tc>
        <w:tc>
          <w:tcPr>
            <w:tcW w:w="6120" w:type="dxa"/>
            <w:shd w:val="pct30" w:color="auto" w:fill="FFFFFF"/>
            <w:vAlign w:val="bottom"/>
          </w:tcPr>
          <w:p w14:paraId="2A161124" w14:textId="77777777" w:rsidR="002A21AE" w:rsidRDefault="002A21AE">
            <w:pPr>
              <w:pStyle w:val="TableText"/>
              <w:rPr>
                <w:b/>
              </w:rPr>
            </w:pPr>
            <w:r>
              <w:rPr>
                <w:b/>
              </w:rPr>
              <w:t>VBECS</w:t>
            </w:r>
          </w:p>
        </w:tc>
      </w:tr>
      <w:tr w:rsidR="002A21AE" w14:paraId="5F7835FE" w14:textId="77777777">
        <w:tc>
          <w:tcPr>
            <w:tcW w:w="3240" w:type="dxa"/>
          </w:tcPr>
          <w:p w14:paraId="2A01D243" w14:textId="77777777" w:rsidR="002A21AE" w:rsidRDefault="002A21AE">
            <w:pPr>
              <w:pStyle w:val="TableTextNumbers"/>
            </w:pPr>
            <w:r>
              <w:t xml:space="preserve">Select </w:t>
            </w:r>
            <w:r>
              <w:rPr>
                <w:b/>
              </w:rPr>
              <w:t>Orders</w:t>
            </w:r>
            <w:r>
              <w:t xml:space="preserve"> from the main menu.</w:t>
            </w:r>
          </w:p>
          <w:p w14:paraId="22EC1A06" w14:textId="77777777" w:rsidR="002A21AE" w:rsidRDefault="002A21AE">
            <w:pPr>
              <w:pStyle w:val="TableTextNumbersContinued"/>
            </w:pPr>
          </w:p>
          <w:p w14:paraId="56AF2F2C" w14:textId="77777777" w:rsidR="002A21AE" w:rsidRDefault="002A21AE">
            <w:pPr>
              <w:pStyle w:val="TableTextNumbersContinued"/>
            </w:pPr>
            <w:r>
              <w:t xml:space="preserve">Select </w:t>
            </w:r>
            <w:r>
              <w:rPr>
                <w:b/>
              </w:rPr>
              <w:t>Accept Orders</w:t>
            </w:r>
            <w:r>
              <w:t>.</w:t>
            </w:r>
          </w:p>
        </w:tc>
        <w:tc>
          <w:tcPr>
            <w:tcW w:w="6120" w:type="dxa"/>
          </w:tcPr>
          <w:p w14:paraId="19B18068" w14:textId="77777777" w:rsidR="002A21AE" w:rsidRDefault="002A21AE">
            <w:pPr>
              <w:pStyle w:val="TableTextBullet"/>
            </w:pPr>
            <w:r>
              <w:t>Displays options for processing orders.</w:t>
            </w:r>
          </w:p>
          <w:p w14:paraId="4997CBF4" w14:textId="77777777" w:rsidR="002A21AE" w:rsidRDefault="002A21AE">
            <w:pPr>
              <w:pStyle w:val="TableTextBullet"/>
            </w:pPr>
            <w:r>
              <w:t>Displays the Pending Order List and Pending Order List search criteria.</w:t>
            </w:r>
          </w:p>
        </w:tc>
      </w:tr>
      <w:tr w:rsidR="002A21AE" w14:paraId="7BB35F0C" w14:textId="77777777" w:rsidTr="00A94A90">
        <w:trPr>
          <w:cantSplit/>
        </w:trPr>
        <w:tc>
          <w:tcPr>
            <w:tcW w:w="3240" w:type="dxa"/>
          </w:tcPr>
          <w:p w14:paraId="21BC2FC3" w14:textId="660DC3A8" w:rsidR="002A21AE" w:rsidRDefault="002A21AE">
            <w:pPr>
              <w:pStyle w:val="TableTextNumbers"/>
            </w:pPr>
            <w:r>
              <w:lastRenderedPageBreak/>
              <w:t>Select an order to cancel from the Pending Order List</w:t>
            </w:r>
            <w:r w:rsidR="0051565D">
              <w:t xml:space="preserve"> (</w:t>
            </w:r>
            <w:r w:rsidR="00FA0E50">
              <w:fldChar w:fldCharType="begin" w:fldLock="1"/>
            </w:r>
            <w:r w:rsidR="00FA0E50">
              <w:instrText xml:space="preserve"> REF _Ref126725358 \h </w:instrText>
            </w:r>
            <w:r w:rsidR="00FA0E50">
              <w:fldChar w:fldCharType="separate"/>
            </w:r>
            <w:r w:rsidR="00AB304C">
              <w:t xml:space="preserve">Figure </w:t>
            </w:r>
            <w:r w:rsidR="00AB304C">
              <w:rPr>
                <w:noProof/>
              </w:rPr>
              <w:t>122</w:t>
            </w:r>
            <w:r w:rsidR="00FA0E50">
              <w:fldChar w:fldCharType="end"/>
            </w:r>
            <w:r w:rsidR="0051565D">
              <w:t>)</w:t>
            </w:r>
            <w:r>
              <w:t>.</w:t>
            </w:r>
          </w:p>
          <w:p w14:paraId="4B810130" w14:textId="77777777" w:rsidR="002A21AE" w:rsidRDefault="002A21AE">
            <w:pPr>
              <w:pStyle w:val="TableTextNumbersContinued"/>
            </w:pPr>
          </w:p>
          <w:p w14:paraId="2F1774DE" w14:textId="77777777" w:rsidR="002A21AE" w:rsidRDefault="002A21AE">
            <w:pPr>
              <w:pStyle w:val="TableTextNumbersContinued"/>
            </w:pPr>
            <w:r>
              <w:t xml:space="preserve">Click </w:t>
            </w:r>
            <w:r>
              <w:rPr>
                <w:b/>
              </w:rPr>
              <w:t>Reject</w:t>
            </w:r>
            <w:r>
              <w:t>.</w:t>
            </w:r>
          </w:p>
        </w:tc>
        <w:tc>
          <w:tcPr>
            <w:tcW w:w="6120" w:type="dxa"/>
          </w:tcPr>
          <w:p w14:paraId="31EB27BD" w14:textId="77777777" w:rsidR="002A21AE" w:rsidRDefault="002A21AE">
            <w:pPr>
              <w:pStyle w:val="TableTextBullet"/>
            </w:pPr>
            <w:r>
              <w:t>Requires the user to enter a comment.</w:t>
            </w:r>
          </w:p>
          <w:p w14:paraId="25605541" w14:textId="77777777" w:rsidR="002A21AE" w:rsidRDefault="002A21AE">
            <w:pPr>
              <w:pStyle w:val="TableTextBullet"/>
            </w:pPr>
            <w:r>
              <w:t>Requires the user to confirm the cancellation of the pending order.</w:t>
            </w:r>
          </w:p>
        </w:tc>
      </w:tr>
      <w:tr w:rsidR="002A21AE" w14:paraId="1DF0F60A" w14:textId="77777777">
        <w:tc>
          <w:tcPr>
            <w:tcW w:w="3240" w:type="dxa"/>
          </w:tcPr>
          <w:p w14:paraId="2B5257A8" w14:textId="77777777" w:rsidR="002A21AE" w:rsidRDefault="002A21AE">
            <w:pPr>
              <w:pStyle w:val="TableTextNumbers"/>
            </w:pPr>
            <w:r>
              <w:t>Enter or select a comment in the Comment field.</w:t>
            </w:r>
          </w:p>
          <w:p w14:paraId="10F98B18" w14:textId="77777777" w:rsidR="002A21AE" w:rsidRDefault="002A21AE">
            <w:pPr>
              <w:pStyle w:val="TableTextNumbersContinued"/>
            </w:pPr>
          </w:p>
          <w:p w14:paraId="5059E0FF" w14:textId="77777777" w:rsidR="002A21AE" w:rsidRDefault="002A21AE">
            <w:pPr>
              <w:pStyle w:val="TableTextNumbersContinued"/>
            </w:pPr>
            <w:r>
              <w:t>Enter details in the Details field, if desired.</w:t>
            </w:r>
          </w:p>
          <w:p w14:paraId="23198934" w14:textId="77777777" w:rsidR="002A21AE" w:rsidRDefault="002A21AE">
            <w:pPr>
              <w:pStyle w:val="TableTextNumbersContinued"/>
            </w:pPr>
          </w:p>
          <w:p w14:paraId="25B15F51" w14:textId="77777777" w:rsidR="002A21AE" w:rsidRDefault="002A21AE">
            <w:pPr>
              <w:pStyle w:val="TableTextNumbersContinued"/>
            </w:pPr>
            <w:r>
              <w:t xml:space="preserve">Click </w:t>
            </w:r>
            <w:r>
              <w:rPr>
                <w:b/>
              </w:rPr>
              <w:t>OK</w:t>
            </w:r>
            <w:r>
              <w:t xml:space="preserve"> and </w:t>
            </w:r>
            <w:r>
              <w:rPr>
                <w:b/>
              </w:rPr>
              <w:t>Close</w:t>
            </w:r>
            <w:r>
              <w:t xml:space="preserve"> to confirm the order cancellation.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14:paraId="20A26E95" w14:textId="77777777" w:rsidR="00BB3E6D" w:rsidRDefault="002A21AE" w:rsidP="00BB3E6D">
            <w:pPr>
              <w:pStyle w:val="TableTextBullet"/>
            </w:pPr>
            <w:r>
              <w:t>Removes the order from the Pending Order List and sends a message to CPRS with an order status update.</w:t>
            </w:r>
          </w:p>
          <w:p w14:paraId="127920E6" w14:textId="77777777" w:rsidR="00BB3E6D" w:rsidRDefault="00BB3E6D" w:rsidP="00BB3E6D">
            <w:pPr>
              <w:pStyle w:val="TableTextBullet"/>
              <w:numPr>
                <w:ilvl w:val="0"/>
                <w:numId w:val="0"/>
              </w:numPr>
            </w:pPr>
          </w:p>
          <w:p w14:paraId="4BEFD811" w14:textId="77777777" w:rsidR="00BB3E6D" w:rsidRDefault="00057948" w:rsidP="00BB3E6D">
            <w:pPr>
              <w:pStyle w:val="TableText"/>
              <w:rPr>
                <w:b/>
                <w:bCs/>
                <w:szCs w:val="18"/>
              </w:rPr>
            </w:pPr>
            <w:r>
              <w:rPr>
                <w:b/>
                <w:bCs/>
                <w:noProof/>
              </w:rPr>
              <mc:AlternateContent>
                <mc:Choice Requires="wps">
                  <w:drawing>
                    <wp:anchor distT="0" distB="0" distL="114300" distR="114300" simplePos="0" relativeHeight="251697664" behindDoc="0" locked="0" layoutInCell="1" allowOverlap="1" wp14:anchorId="3FC2FB79" wp14:editId="035ED8DC">
                      <wp:simplePos x="0" y="0"/>
                      <wp:positionH relativeFrom="column">
                        <wp:posOffset>457200</wp:posOffset>
                      </wp:positionH>
                      <wp:positionV relativeFrom="paragraph">
                        <wp:posOffset>65405</wp:posOffset>
                      </wp:positionV>
                      <wp:extent cx="3200400" cy="0"/>
                      <wp:effectExtent l="9525" t="17780" r="9525" b="10795"/>
                      <wp:wrapNone/>
                      <wp:docPr id="393" name="Line 1250" descr="P7285C8T7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869BF" id="Line 1250" o:spid="_x0000_s1026" alt="&quot;&quot;"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AmKnVOwgEAAG8DAAAOAAAAAAAAAAAAAAAAAC4C&#10;AABkcnMvZTJvRG9jLnhtbFBLAQItABQABgAIAAAAIQAXTzAS2wAAAAgBAAAPAAAAAAAAAAAAAAAA&#10;ABwEAABkcnMvZG93bnJldi54bWxQSwUGAAAAAAQABADzAAAAJAUAAAAA&#10;" strokeweight="1.5pt"/>
                  </w:pict>
                </mc:Fallback>
              </mc:AlternateContent>
            </w:r>
            <w:r w:rsidR="00BB3E6D">
              <w:rPr>
                <w:b/>
                <w:bCs/>
                <w:szCs w:val="18"/>
              </w:rPr>
              <w:t>NOTES</w:t>
            </w:r>
          </w:p>
          <w:p w14:paraId="4B40ED13" w14:textId="77777777" w:rsidR="00BB3E6D" w:rsidRDefault="00BB3E6D" w:rsidP="00BB3E6D">
            <w:pPr>
              <w:pStyle w:val="NotesText"/>
            </w:pPr>
          </w:p>
          <w:p w14:paraId="14D3D722" w14:textId="77777777" w:rsidR="00BB3E6D" w:rsidRDefault="00BB3E6D" w:rsidP="004641B8">
            <w:pPr>
              <w:pStyle w:val="NotesText"/>
            </w:pPr>
            <w:r>
              <w:t>VBECS does not cancel a lab order if the lab order has already been accessioned</w:t>
            </w:r>
            <w:r w:rsidR="004641B8">
              <w:t>.</w:t>
            </w:r>
          </w:p>
        </w:tc>
      </w:tr>
    </w:tbl>
    <w:p w14:paraId="401BAA6F" w14:textId="5862D799" w:rsidR="00FA0E50" w:rsidRDefault="00FA0E50" w:rsidP="00FA0E50">
      <w:pPr>
        <w:pStyle w:val="Caption"/>
      </w:pPr>
      <w:bookmarkStart w:id="474" w:name="_Ref126725358"/>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122</w:t>
      </w:r>
      <w:r w:rsidR="004E20BD">
        <w:rPr>
          <w:noProof/>
        </w:rPr>
        <w:fldChar w:fldCharType="end"/>
      </w:r>
      <w:bookmarkEnd w:id="474"/>
      <w:r>
        <w:t>: Accept Orders: Reject an Order</w:t>
      </w:r>
    </w:p>
    <w:p w14:paraId="00664523" w14:textId="77777777" w:rsidR="00FA0E50" w:rsidRDefault="00057948" w:rsidP="00FA0E50">
      <w:pPr>
        <w:pStyle w:val="BodyText"/>
      </w:pPr>
      <w:r>
        <w:rPr>
          <w:noProof/>
        </w:rPr>
        <w:drawing>
          <wp:inline distT="0" distB="0" distL="0" distR="0" wp14:anchorId="56B5CA0C" wp14:editId="68B22259">
            <wp:extent cx="5939155" cy="3463925"/>
            <wp:effectExtent l="0" t="0" r="4445" b="3175"/>
            <wp:docPr id="226" name="Picture 226" descr="P7290#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P7290#yIS1">
                      <a:extLst>
                        <a:ext uri="{C183D7F6-B498-43B3-948B-1728B52AA6E4}">
                          <adec:decorative xmlns:adec="http://schemas.microsoft.com/office/drawing/2017/decorative" val="1"/>
                        </a:ext>
                      </a:extLst>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939155" cy="3463925"/>
                    </a:xfrm>
                    <a:prstGeom prst="rect">
                      <a:avLst/>
                    </a:prstGeom>
                    <a:noFill/>
                    <a:ln>
                      <a:noFill/>
                    </a:ln>
                  </pic:spPr>
                </pic:pic>
              </a:graphicData>
            </a:graphic>
          </wp:inline>
        </w:drawing>
      </w:r>
    </w:p>
    <w:p w14:paraId="6E76F6E6" w14:textId="77777777" w:rsidR="002A21AE" w:rsidRDefault="002A21AE">
      <w:pPr>
        <w:pStyle w:val="Heading2"/>
      </w:pPr>
      <w:r>
        <w:br w:type="page"/>
      </w:r>
      <w:bookmarkStart w:id="475" w:name="_Toc4588809"/>
      <w:r>
        <w:lastRenderedPageBreak/>
        <w:t>Order Reflex Tests</w:t>
      </w:r>
      <w:bookmarkEnd w:id="472"/>
      <w:bookmarkEnd w:id="475"/>
      <w:r>
        <w:fldChar w:fldCharType="begin"/>
      </w:r>
      <w:r>
        <w:instrText xml:space="preserve"> XE </w:instrText>
      </w:r>
      <w:r w:rsidR="00FA7E65">
        <w:instrText>“</w:instrText>
      </w:r>
      <w:r>
        <w:instrText>Order Reflex Tests</w:instrText>
      </w:r>
      <w:r w:rsidR="00FA7E65">
        <w:instrText>”</w:instrText>
      </w:r>
      <w:r>
        <w:instrText xml:space="preserve"> </w:instrText>
      </w:r>
      <w:r>
        <w:fldChar w:fldCharType="end"/>
      </w:r>
      <w:r>
        <w:t xml:space="preserve"> </w:t>
      </w:r>
      <w:r>
        <w:rPr>
          <w:rFonts w:ascii="Times New Roman" w:hAnsi="Times New Roman" w:cs="Times New Roman"/>
          <w:b w:val="0"/>
          <w:i w:val="0"/>
          <w:vanish/>
          <w:sz w:val="22"/>
        </w:rPr>
        <w:t>UC_45</w:t>
      </w:r>
    </w:p>
    <w:p w14:paraId="64EAD5AE" w14:textId="77777777" w:rsidR="002A21AE" w:rsidRDefault="002A21AE" w:rsidP="00FA7E65">
      <w:pPr>
        <w:pStyle w:val="BodyText"/>
      </w:pPr>
      <w:r>
        <w:t>The user may order additional blood bank tests for a complete or incomplete accepted patient specimen to add to the Pending Task List (PTL). The ordered test or test group limits the type of reflex and repeat test order that may be associated with a specimen.</w:t>
      </w:r>
    </w:p>
    <w:p w14:paraId="201473AB" w14:textId="77777777" w:rsidR="002A21AE" w:rsidRDefault="002A21AE">
      <w:pPr>
        <w:pStyle w:val="Heading4"/>
      </w:pPr>
      <w:r>
        <w:t>Assumptions</w:t>
      </w:r>
    </w:p>
    <w:p w14:paraId="4BA61979" w14:textId="77777777" w:rsidR="002A21AE" w:rsidRDefault="002A21AE">
      <w:pPr>
        <w:pStyle w:val="ListBullet"/>
      </w:pPr>
      <w:r>
        <w:t>A patient’s test result requires further investigation or repetition of a diagnostic test.</w:t>
      </w:r>
    </w:p>
    <w:p w14:paraId="3E2C1332" w14:textId="77777777" w:rsidR="002A21AE" w:rsidRDefault="002A21AE">
      <w:pPr>
        <w:pStyle w:val="Heading4"/>
      </w:pPr>
      <w:r>
        <w:t>Outcome</w:t>
      </w:r>
    </w:p>
    <w:p w14:paraId="3BE92FA5" w14:textId="77777777" w:rsidR="002A21AE" w:rsidRDefault="002A21AE">
      <w:pPr>
        <w:pStyle w:val="ListBullet"/>
      </w:pPr>
      <w:r>
        <w:rPr>
          <w:rFonts w:ascii="Arial" w:hAnsi="Arial" w:cs="Arial"/>
          <w:vanish/>
          <w:spacing w:val="0"/>
          <w:sz w:val="18"/>
        </w:rPr>
        <w:t xml:space="preserve">BR_45.05 </w:t>
      </w:r>
      <w:r>
        <w:t>One or more reflex orders are in the PTL with a “routine” urgency.</w:t>
      </w:r>
    </w:p>
    <w:p w14:paraId="7BD5958B" w14:textId="77777777" w:rsidR="002A21AE" w:rsidRDefault="002A21AE">
      <w:pPr>
        <w:pStyle w:val="Heading4"/>
      </w:pPr>
      <w:r>
        <w:t>Limitations and Restrictions</w:t>
      </w:r>
    </w:p>
    <w:p w14:paraId="4BD6F613" w14:textId="77777777" w:rsidR="002A21AE" w:rsidRDefault="002A21AE">
      <w:pPr>
        <w:pStyle w:val="ListBullet"/>
      </w:pPr>
      <w:r w:rsidRPr="00FE7547">
        <w:rPr>
          <w:rFonts w:ascii="Arial" w:hAnsi="Arial" w:cs="Arial"/>
          <w:vanish/>
          <w:spacing w:val="0"/>
          <w:sz w:val="18"/>
        </w:rPr>
        <w:t>BR_45.10</w:t>
      </w:r>
      <w:r>
        <w:rPr>
          <w:rFonts w:ascii="Arial" w:hAnsi="Arial" w:cs="Arial"/>
          <w:vanish/>
          <w:spacing w:val="0"/>
          <w:sz w:val="18"/>
        </w:rPr>
        <w:t xml:space="preserve"> </w:t>
      </w:r>
      <w:r>
        <w:t xml:space="preserve">A crossmatch (XM) and a repeat </w:t>
      </w:r>
      <w:r w:rsidR="004D7585">
        <w:t>XM</w:t>
      </w:r>
      <w:r>
        <w:t xml:space="preserve"> cannot be ordered unless they are associated with a specimen with a future expiration date and a phlebotomist is associated with that specimen.</w:t>
      </w:r>
    </w:p>
    <w:p w14:paraId="10AB050E" w14:textId="77777777" w:rsidR="002A21AE" w:rsidRDefault="002A21AE">
      <w:pPr>
        <w:pStyle w:val="ListBullet"/>
      </w:pPr>
      <w:r>
        <w:rPr>
          <w:rFonts w:ascii="Arial" w:hAnsi="Arial" w:cs="Arial"/>
          <w:vanish/>
          <w:spacing w:val="0"/>
          <w:sz w:val="18"/>
        </w:rPr>
        <w:t xml:space="preserve">BR_98.02 </w:t>
      </w:r>
      <w:r>
        <w:t>When a user selects weak D for the antigen typing test and the selected patient is Rh positive, VBECS warns that weak D testing cannot be performed. There is no override and VBECS does not add the test.</w:t>
      </w:r>
    </w:p>
    <w:p w14:paraId="0BEDAEE0" w14:textId="77777777" w:rsidR="002A21AE" w:rsidRDefault="002A21AE">
      <w:pPr>
        <w:pStyle w:val="Heading4"/>
      </w:pPr>
      <w:r>
        <w:t>Additional Information</w:t>
      </w:r>
    </w:p>
    <w:p w14:paraId="385A711C" w14:textId="77777777" w:rsidR="002A21AE" w:rsidRDefault="002A21AE">
      <w:pPr>
        <w:pStyle w:val="ListBullet"/>
      </w:pPr>
      <w:r>
        <w:t>Unlimited repeat tests may be ordered and completed, but are not available to CPRS or to billing.</w:t>
      </w:r>
    </w:p>
    <w:p w14:paraId="00B21FAF" w14:textId="77777777" w:rsidR="002A21AE" w:rsidRDefault="002A21AE">
      <w:pPr>
        <w:pStyle w:val="Heading4"/>
      </w:pPr>
      <w:r>
        <w:t>User Roles with Access to This Option</w:t>
      </w:r>
    </w:p>
    <w:p w14:paraId="4C762E40" w14:textId="77777777" w:rsidR="002A21AE" w:rsidRDefault="006E4031">
      <w:pPr>
        <w:pStyle w:val="Roles"/>
        <w:rPr>
          <w:snapToGrid w:val="0"/>
        </w:rPr>
      </w:pPr>
      <w:r>
        <w:t>All users</w:t>
      </w:r>
    </w:p>
    <w:bookmarkEnd w:id="473"/>
    <w:p w14:paraId="6CD9377F" w14:textId="77777777" w:rsidR="002A21AE" w:rsidRDefault="002A21AE">
      <w:pPr>
        <w:pStyle w:val="Heading4"/>
      </w:pPr>
      <w:r>
        <w:t>Order Reflex Tests</w:t>
      </w:r>
    </w:p>
    <w:p w14:paraId="6432FE2B" w14:textId="77777777" w:rsidR="002A21AE" w:rsidRDefault="002A21AE" w:rsidP="00FA7E65">
      <w:pPr>
        <w:pStyle w:val="BodyText"/>
      </w:pPr>
      <w:r>
        <w:t xml:space="preserve">The user orders additional blood bank tests for a patient specimen that was already accepted and that may or may not be completed. The ordered reflex test(s) are added to the PTL.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73787A16" w14:textId="77777777">
        <w:trPr>
          <w:tblHeader/>
        </w:trPr>
        <w:tc>
          <w:tcPr>
            <w:tcW w:w="3240" w:type="dxa"/>
            <w:shd w:val="pct30" w:color="auto" w:fill="FFFFFF"/>
            <w:vAlign w:val="bottom"/>
          </w:tcPr>
          <w:p w14:paraId="134D9B5B" w14:textId="77777777" w:rsidR="002A21AE" w:rsidRDefault="002A21AE">
            <w:pPr>
              <w:pStyle w:val="TableText"/>
              <w:rPr>
                <w:b/>
              </w:rPr>
            </w:pPr>
            <w:r>
              <w:rPr>
                <w:b/>
              </w:rPr>
              <w:t>User Action</w:t>
            </w:r>
          </w:p>
        </w:tc>
        <w:tc>
          <w:tcPr>
            <w:tcW w:w="6120" w:type="dxa"/>
            <w:shd w:val="pct30" w:color="auto" w:fill="FFFFFF"/>
            <w:vAlign w:val="bottom"/>
          </w:tcPr>
          <w:p w14:paraId="234D9C78" w14:textId="77777777" w:rsidR="002A21AE" w:rsidRDefault="002A21AE">
            <w:pPr>
              <w:pStyle w:val="TableText"/>
              <w:rPr>
                <w:b/>
              </w:rPr>
            </w:pPr>
            <w:r>
              <w:rPr>
                <w:b/>
              </w:rPr>
              <w:t>VBECS</w:t>
            </w:r>
          </w:p>
        </w:tc>
      </w:tr>
      <w:tr w:rsidR="002A21AE" w14:paraId="135118D8" w14:textId="77777777">
        <w:tc>
          <w:tcPr>
            <w:tcW w:w="3240" w:type="dxa"/>
          </w:tcPr>
          <w:p w14:paraId="6FF09DAB" w14:textId="77777777" w:rsidR="002A21AE" w:rsidRDefault="002A21AE">
            <w:pPr>
              <w:pStyle w:val="TableTextNumbers"/>
            </w:pPr>
            <w:r>
              <w:t xml:space="preserve">Select </w:t>
            </w:r>
            <w:r>
              <w:rPr>
                <w:b/>
              </w:rPr>
              <w:t>Orders</w:t>
            </w:r>
            <w:r>
              <w:t xml:space="preserve"> from the main menu.</w:t>
            </w:r>
          </w:p>
          <w:p w14:paraId="7CDD96BD" w14:textId="77777777" w:rsidR="002A21AE" w:rsidRDefault="002A21AE">
            <w:pPr>
              <w:pStyle w:val="TableTextNumbersContinued"/>
            </w:pPr>
          </w:p>
          <w:p w14:paraId="5BECC6F8" w14:textId="77777777" w:rsidR="002A21AE" w:rsidRDefault="002A21AE">
            <w:pPr>
              <w:pStyle w:val="TableTextNumbersContinued"/>
            </w:pPr>
            <w:r>
              <w:t xml:space="preserve">Select </w:t>
            </w:r>
            <w:r>
              <w:rPr>
                <w:b/>
              </w:rPr>
              <w:t>Order Reflex Tests</w:t>
            </w:r>
            <w:r>
              <w:t>.</w:t>
            </w:r>
          </w:p>
        </w:tc>
        <w:tc>
          <w:tcPr>
            <w:tcW w:w="6120" w:type="dxa"/>
          </w:tcPr>
          <w:p w14:paraId="259A111B" w14:textId="77777777" w:rsidR="002A21AE" w:rsidRDefault="002A21AE">
            <w:pPr>
              <w:pStyle w:val="TableTextBullet"/>
            </w:pPr>
            <w:r>
              <w:t>Displays options for processing orders.</w:t>
            </w:r>
          </w:p>
          <w:p w14:paraId="228EF9B3" w14:textId="77777777" w:rsidR="002A21AE" w:rsidRDefault="002A21AE">
            <w:pPr>
              <w:pStyle w:val="TableTextBullet"/>
            </w:pPr>
            <w:r>
              <w:t>Displays specimen search criteria and search results.</w:t>
            </w:r>
          </w:p>
          <w:p w14:paraId="620E070A" w14:textId="77777777" w:rsidR="002A21AE" w:rsidRDefault="002A21AE">
            <w:pPr>
              <w:pStyle w:val="TableText"/>
            </w:pPr>
          </w:p>
          <w:p w14:paraId="4F31019E" w14:textId="77777777" w:rsidR="002A21AE" w:rsidRDefault="00057948">
            <w:pPr>
              <w:pStyle w:val="TableText"/>
              <w:rPr>
                <w:b/>
                <w:bCs/>
                <w:szCs w:val="18"/>
              </w:rPr>
            </w:pPr>
            <w:r>
              <w:rPr>
                <w:b/>
                <w:bCs/>
                <w:noProof/>
              </w:rPr>
              <mc:AlternateContent>
                <mc:Choice Requires="wps">
                  <w:drawing>
                    <wp:anchor distT="0" distB="0" distL="114300" distR="114300" simplePos="0" relativeHeight="251650560" behindDoc="0" locked="0" layoutInCell="1" allowOverlap="1" wp14:anchorId="1FF91AE5" wp14:editId="14DC938A">
                      <wp:simplePos x="0" y="0"/>
                      <wp:positionH relativeFrom="column">
                        <wp:posOffset>457200</wp:posOffset>
                      </wp:positionH>
                      <wp:positionV relativeFrom="paragraph">
                        <wp:posOffset>65405</wp:posOffset>
                      </wp:positionV>
                      <wp:extent cx="3200400" cy="0"/>
                      <wp:effectExtent l="9525" t="17780" r="9525" b="10795"/>
                      <wp:wrapNone/>
                      <wp:docPr id="392" name="Line 772" descr="P7315C4T7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D1913" id="Line 772" o:spid="_x0000_s1026" alt="&quot;&quot;"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67dP/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2617F553" w14:textId="77777777" w:rsidR="002A21AE" w:rsidRDefault="002A21AE">
            <w:pPr>
              <w:pStyle w:val="NotesText"/>
            </w:pPr>
          </w:p>
          <w:p w14:paraId="002B2C5A" w14:textId="77777777" w:rsidR="002A21AE" w:rsidRDefault="002A21AE">
            <w:pPr>
              <w:pStyle w:val="NotesText"/>
            </w:pPr>
            <w:r>
              <w:t xml:space="preserve">The user may also access Order Reflex Tests by clicking </w:t>
            </w:r>
            <w:r>
              <w:rPr>
                <w:b/>
                <w:bCs/>
              </w:rPr>
              <w:t>Order Reflex Tests</w:t>
            </w:r>
            <w:r>
              <w:t xml:space="preserve"> when executing Patient Testing or by right-clicking the testing grid that generates the reflexive order.</w:t>
            </w:r>
          </w:p>
        </w:tc>
      </w:tr>
      <w:tr w:rsidR="002A21AE" w14:paraId="35ED929A" w14:textId="77777777">
        <w:trPr>
          <w:trHeight w:val="512"/>
        </w:trPr>
        <w:tc>
          <w:tcPr>
            <w:tcW w:w="3240" w:type="dxa"/>
          </w:tcPr>
          <w:p w14:paraId="2932C707" w14:textId="77777777" w:rsidR="002A21AE" w:rsidRDefault="002A21AE">
            <w:pPr>
              <w:pStyle w:val="TableTextNumbers"/>
            </w:pPr>
            <w:r>
              <w:t>Enter the patient name and/or the specimen UID.</w:t>
            </w:r>
          </w:p>
          <w:p w14:paraId="1C0A0E00" w14:textId="77777777" w:rsidR="002A21AE" w:rsidRDefault="002A21AE">
            <w:pPr>
              <w:pStyle w:val="TableTextNumbersContinued"/>
            </w:pPr>
          </w:p>
          <w:p w14:paraId="48C7D35E" w14:textId="77777777" w:rsidR="002A21AE" w:rsidRDefault="002A21AE">
            <w:pPr>
              <w:pStyle w:val="TableTextNumbersContinued"/>
            </w:pPr>
            <w:r>
              <w:t xml:space="preserve">Click </w:t>
            </w:r>
            <w:r>
              <w:rPr>
                <w:b/>
              </w:rPr>
              <w:t>Search</w:t>
            </w:r>
            <w:r>
              <w:t>, if necessary.</w:t>
            </w:r>
          </w:p>
        </w:tc>
        <w:tc>
          <w:tcPr>
            <w:tcW w:w="6120" w:type="dxa"/>
          </w:tcPr>
          <w:p w14:paraId="35048DEC" w14:textId="77777777" w:rsidR="002A21AE" w:rsidRDefault="002A21AE">
            <w:pPr>
              <w:pStyle w:val="TableText"/>
            </w:pPr>
          </w:p>
          <w:p w14:paraId="0AC5693C" w14:textId="77777777" w:rsidR="002A21AE" w:rsidRDefault="00057948">
            <w:pPr>
              <w:pStyle w:val="TableText"/>
              <w:rPr>
                <w:b/>
                <w:bCs/>
                <w:szCs w:val="18"/>
              </w:rPr>
            </w:pPr>
            <w:r>
              <w:rPr>
                <w:b/>
                <w:bCs/>
                <w:noProof/>
              </w:rPr>
              <mc:AlternateContent>
                <mc:Choice Requires="wps">
                  <w:drawing>
                    <wp:anchor distT="0" distB="0" distL="114300" distR="114300" simplePos="0" relativeHeight="251644416" behindDoc="0" locked="0" layoutInCell="1" allowOverlap="1" wp14:anchorId="6268C3F3" wp14:editId="6D14DB7D">
                      <wp:simplePos x="0" y="0"/>
                      <wp:positionH relativeFrom="column">
                        <wp:posOffset>457200</wp:posOffset>
                      </wp:positionH>
                      <wp:positionV relativeFrom="paragraph">
                        <wp:posOffset>65405</wp:posOffset>
                      </wp:positionV>
                      <wp:extent cx="3200400" cy="0"/>
                      <wp:effectExtent l="9525" t="17780" r="9525" b="10795"/>
                      <wp:wrapNone/>
                      <wp:docPr id="391" name="Line 771" descr="P7323C6T7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9C211" id="Line 771" o:spid="_x0000_s1026" alt="&quot;&quot;"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cRSzR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5262D5BF" w14:textId="77777777" w:rsidR="002A21AE" w:rsidRDefault="002A21AE">
            <w:pPr>
              <w:pStyle w:val="NotesText"/>
            </w:pPr>
          </w:p>
          <w:p w14:paraId="34AEEE02" w14:textId="77777777" w:rsidR="002A21AE" w:rsidRDefault="002A21AE">
            <w:pPr>
              <w:pStyle w:val="NotesText"/>
            </w:pPr>
            <w:r>
              <w:rPr>
                <w:rFonts w:cs="Arial"/>
                <w:vanish/>
              </w:rPr>
              <w:t xml:space="preserve">BR_45.08 </w:t>
            </w:r>
            <w:r>
              <w:t>The user may identify specific specimen for reflex test ordering by scanning or by manual data entry of the UID on the specimen.</w:t>
            </w:r>
          </w:p>
        </w:tc>
      </w:tr>
      <w:tr w:rsidR="002A21AE" w14:paraId="6C0C74DA" w14:textId="77777777" w:rsidTr="00A94A90">
        <w:trPr>
          <w:cantSplit/>
        </w:trPr>
        <w:tc>
          <w:tcPr>
            <w:tcW w:w="3240" w:type="dxa"/>
          </w:tcPr>
          <w:p w14:paraId="761DE98C" w14:textId="77777777" w:rsidR="002A21AE" w:rsidRDefault="002A21AE">
            <w:pPr>
              <w:pStyle w:val="TableTextNumbers"/>
            </w:pPr>
            <w:r>
              <w:lastRenderedPageBreak/>
              <w:t xml:space="preserve">Select an item from Specimen Search Results. </w:t>
            </w:r>
          </w:p>
          <w:p w14:paraId="74958443" w14:textId="77777777" w:rsidR="002A21AE" w:rsidRDefault="002A21AE">
            <w:pPr>
              <w:pStyle w:val="TableTextNumbersContinued"/>
            </w:pPr>
          </w:p>
          <w:p w14:paraId="26FFE777" w14:textId="477B7F49" w:rsidR="002A21AE" w:rsidRDefault="002A21AE">
            <w:pPr>
              <w:pStyle w:val="TableTextNumbersContinued"/>
            </w:pPr>
            <w:r>
              <w:t>Review the information in the Selected Patient Specimen area and in the Patient Details and Order Details tabs</w:t>
            </w:r>
            <w:r w:rsidR="00096F7A">
              <w:t xml:space="preserve"> (</w:t>
            </w:r>
            <w:r w:rsidR="00096F7A">
              <w:fldChar w:fldCharType="begin" w:fldLock="1"/>
            </w:r>
            <w:r w:rsidR="00096F7A">
              <w:instrText xml:space="preserve"> REF _Ref126725596 \h </w:instrText>
            </w:r>
            <w:r w:rsidR="00096F7A">
              <w:fldChar w:fldCharType="separate"/>
            </w:r>
            <w:r w:rsidR="00AB304C">
              <w:t xml:space="preserve">Figure </w:t>
            </w:r>
            <w:r w:rsidR="00AB304C">
              <w:rPr>
                <w:noProof/>
              </w:rPr>
              <w:t>123</w:t>
            </w:r>
            <w:r w:rsidR="00096F7A">
              <w:fldChar w:fldCharType="end"/>
            </w:r>
            <w:r w:rsidR="00096F7A">
              <w:t>)</w:t>
            </w:r>
            <w:r>
              <w:t>.</w:t>
            </w:r>
          </w:p>
          <w:p w14:paraId="425F9413" w14:textId="77777777" w:rsidR="002A21AE" w:rsidRDefault="002A21AE">
            <w:pPr>
              <w:pStyle w:val="TableTextNumbersContinued"/>
            </w:pPr>
          </w:p>
          <w:p w14:paraId="67C0808E" w14:textId="77777777" w:rsidR="002A21AE" w:rsidRDefault="002A21AE">
            <w:pPr>
              <w:pStyle w:val="TableTextNumbersContinued"/>
            </w:pPr>
            <w:r>
              <w:t xml:space="preserve">Click </w:t>
            </w:r>
            <w:r>
              <w:rPr>
                <w:b/>
              </w:rPr>
              <w:t>OK</w:t>
            </w:r>
            <w:r>
              <w:t xml:space="preserve"> to accept the order.</w:t>
            </w:r>
          </w:p>
          <w:p w14:paraId="5F10B7C1" w14:textId="77777777" w:rsidR="002A21AE" w:rsidRDefault="002A21AE">
            <w:pPr>
              <w:pStyle w:val="TableTextNumbersContinued"/>
            </w:pPr>
          </w:p>
          <w:p w14:paraId="1F663DBC" w14:textId="77777777" w:rsidR="002A21AE" w:rsidRDefault="002A21AE">
            <w:pPr>
              <w:pStyle w:val="TableTextNumbersContinued"/>
            </w:pPr>
            <w:r>
              <w:t>Respond to messages, as required.</w:t>
            </w:r>
          </w:p>
        </w:tc>
        <w:tc>
          <w:tcPr>
            <w:tcW w:w="6120" w:type="dxa"/>
          </w:tcPr>
          <w:p w14:paraId="305B07E0" w14:textId="77777777" w:rsidR="002A21AE" w:rsidRDefault="002A21AE">
            <w:pPr>
              <w:pStyle w:val="TableTextBullet"/>
            </w:pPr>
            <w:r>
              <w:t xml:space="preserve">Displays an option to search for specimens currently available (in-date) for a patient by standard patient search conventions. </w:t>
            </w:r>
          </w:p>
          <w:p w14:paraId="2F49E728" w14:textId="77777777" w:rsidR="002A21AE" w:rsidRDefault="002A21AE">
            <w:pPr>
              <w:pStyle w:val="TableTextBullet"/>
            </w:pPr>
            <w:r>
              <w:t>Accommodates direct selection of a specimen by scanning or by entering a specimen UID.</w:t>
            </w:r>
          </w:p>
          <w:p w14:paraId="4135A7A6" w14:textId="77777777" w:rsidR="002A21AE" w:rsidRDefault="002A21AE">
            <w:pPr>
              <w:pStyle w:val="TableTextBullet"/>
            </w:pPr>
            <w:r>
              <w:rPr>
                <w:rFonts w:cs="Arial"/>
                <w:vanish/>
              </w:rPr>
              <w:t xml:space="preserve">BR_45.02 </w:t>
            </w:r>
            <w:r>
              <w:t>Displays available (in-date) patient specimens or orders in reverse chronological order within a date range defined by the site parameter. Only one patient specimen may have reflex tests added in one session. The expired and unacceptable specimens will follow.</w:t>
            </w:r>
          </w:p>
          <w:p w14:paraId="426D5509" w14:textId="77777777" w:rsidR="002A21AE" w:rsidRDefault="002A21AE">
            <w:pPr>
              <w:pStyle w:val="TableTextBullet"/>
            </w:pPr>
            <w:r>
              <w:t>Displays a message directing the user to complete Patient Testing when the selected test is not completed. User returns to Patient Testing.</w:t>
            </w:r>
          </w:p>
          <w:p w14:paraId="776409EA" w14:textId="77777777" w:rsidR="002A21AE" w:rsidRDefault="002A21AE">
            <w:pPr>
              <w:pStyle w:val="TableTextBullet"/>
            </w:pPr>
            <w:r>
              <w:t xml:space="preserve">Displays a message when </w:t>
            </w:r>
            <w:r w:rsidR="00E97883">
              <w:t xml:space="preserve">a </w:t>
            </w:r>
            <w:r>
              <w:t xml:space="preserve">specimen is expired or unacceptable. User may click </w:t>
            </w:r>
            <w:r>
              <w:rPr>
                <w:b/>
              </w:rPr>
              <w:t>Yes</w:t>
            </w:r>
            <w:r>
              <w:t xml:space="preserve"> to continue with the order or </w:t>
            </w:r>
            <w:r>
              <w:rPr>
                <w:b/>
              </w:rPr>
              <w:t>No</w:t>
            </w:r>
            <w:r>
              <w:t xml:space="preserve"> to </w:t>
            </w:r>
            <w:r w:rsidR="00E97883">
              <w:t>select or request another specimen, as appropriate</w:t>
            </w:r>
            <w:r>
              <w:t>.</w:t>
            </w:r>
          </w:p>
          <w:p w14:paraId="53DD596E" w14:textId="77777777" w:rsidR="002A21AE" w:rsidRDefault="002A21AE">
            <w:pPr>
              <w:pStyle w:val="TableTextBullet"/>
            </w:pPr>
            <w:r>
              <w:rPr>
                <w:rFonts w:cs="Arial"/>
                <w:vanish/>
              </w:rPr>
              <w:t xml:space="preserve">BR_45.03 </w:t>
            </w:r>
            <w:r>
              <w:t>Displays the date/time/division of the specimen collection when selecting a specimen for ordering reflex tests.</w:t>
            </w:r>
          </w:p>
          <w:p w14:paraId="6DBCC1E0" w14:textId="77777777" w:rsidR="002A21AE" w:rsidRDefault="002A21AE">
            <w:pPr>
              <w:pStyle w:val="TableText"/>
            </w:pPr>
          </w:p>
          <w:p w14:paraId="7D66A44F" w14:textId="77777777" w:rsidR="002A21AE" w:rsidRDefault="00057948">
            <w:pPr>
              <w:pStyle w:val="TableText"/>
              <w:rPr>
                <w:b/>
                <w:bCs/>
                <w:szCs w:val="18"/>
              </w:rPr>
            </w:pPr>
            <w:r>
              <w:rPr>
                <w:b/>
                <w:bCs/>
                <w:noProof/>
              </w:rPr>
              <mc:AlternateContent>
                <mc:Choice Requires="wps">
                  <w:drawing>
                    <wp:anchor distT="0" distB="0" distL="114300" distR="114300" simplePos="0" relativeHeight="251638272" behindDoc="0" locked="0" layoutInCell="1" allowOverlap="1" wp14:anchorId="689159AD" wp14:editId="543539C1">
                      <wp:simplePos x="0" y="0"/>
                      <wp:positionH relativeFrom="column">
                        <wp:posOffset>457200</wp:posOffset>
                      </wp:positionH>
                      <wp:positionV relativeFrom="paragraph">
                        <wp:posOffset>65405</wp:posOffset>
                      </wp:positionV>
                      <wp:extent cx="3200400" cy="0"/>
                      <wp:effectExtent l="9525" t="17780" r="9525" b="10795"/>
                      <wp:wrapNone/>
                      <wp:docPr id="390" name="Line 770" descr="P7341C8T7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A706D" id="Line 770" o:spid="_x0000_s1026" alt="&quot;&quot;"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OHfIm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65BA674E" w14:textId="77777777" w:rsidR="002A21AE" w:rsidRDefault="002A21AE">
            <w:pPr>
              <w:pStyle w:val="NotesText"/>
            </w:pPr>
          </w:p>
          <w:p w14:paraId="3B19F7DF" w14:textId="77777777" w:rsidR="002A21AE" w:rsidRDefault="002A21AE">
            <w:pPr>
              <w:pStyle w:val="NotesText"/>
              <w:rPr>
                <w:vanish/>
                <w:szCs w:val="18"/>
              </w:rPr>
            </w:pPr>
            <w:r>
              <w:rPr>
                <w:rFonts w:cs="Arial"/>
                <w:vanish/>
              </w:rPr>
              <w:t>BR_45.04</w:t>
            </w:r>
            <w:r w:rsidR="004D3195" w:rsidRPr="002C3287">
              <w:rPr>
                <w:rStyle w:val="BullhornChar"/>
              </w:rPr>
              <w:t></w:t>
            </w:r>
            <w:r w:rsidR="004D3195">
              <w:rPr>
                <w:rFonts w:ascii="Webdings" w:hAnsi="Webdings"/>
              </w:rPr>
              <w:t></w:t>
            </w:r>
            <w:r>
              <w:t xml:space="preserve">VBECS emits an audible alert, warns that the specimen is expired, and instructs the user to enter </w:t>
            </w:r>
            <w:r w:rsidR="005C7E5F">
              <w:t xml:space="preserve">a </w:t>
            </w:r>
            <w:r>
              <w:t xml:space="preserve">comment to continue. When a user enters or scans an expired specimen. VBECS requires a comment and captures details for inclusion in an Exception Report (exception type: reflex test ordered on an expired specimen). </w:t>
            </w:r>
          </w:p>
          <w:p w14:paraId="6E470C5C" w14:textId="77777777" w:rsidR="002A21AE" w:rsidRDefault="002A21AE">
            <w:pPr>
              <w:pStyle w:val="NotesText"/>
              <w:ind w:left="0"/>
              <w:rPr>
                <w:vanish/>
                <w:szCs w:val="18"/>
              </w:rPr>
            </w:pPr>
          </w:p>
          <w:p w14:paraId="36B22A45" w14:textId="77777777" w:rsidR="002A21AE" w:rsidRDefault="002A21AE">
            <w:pPr>
              <w:pStyle w:val="NotesText"/>
            </w:pPr>
            <w:r>
              <w:rPr>
                <w:vanish/>
                <w:szCs w:val="18"/>
              </w:rPr>
              <w:t>PT_45.01 Orderable Reflex Tests</w:t>
            </w:r>
          </w:p>
        </w:tc>
      </w:tr>
      <w:tr w:rsidR="002A21AE" w14:paraId="690A44EA" w14:textId="77777777">
        <w:tc>
          <w:tcPr>
            <w:tcW w:w="3240" w:type="dxa"/>
          </w:tcPr>
          <w:p w14:paraId="34EBBC97" w14:textId="77777777" w:rsidR="002A21AE" w:rsidRDefault="002A21AE">
            <w:pPr>
              <w:pStyle w:val="TableTextNumbers"/>
            </w:pPr>
            <w:r>
              <w:t>When a specimen is already selected, go to Step 5.</w:t>
            </w:r>
          </w:p>
          <w:p w14:paraId="52AECE30" w14:textId="77777777" w:rsidR="002A21AE" w:rsidRDefault="002A21AE">
            <w:pPr>
              <w:pStyle w:val="TableTextNumbersContinued"/>
            </w:pPr>
          </w:p>
          <w:p w14:paraId="1728DF68" w14:textId="77777777" w:rsidR="002A21AE" w:rsidRDefault="002A21AE">
            <w:pPr>
              <w:pStyle w:val="TableTextNumbersContinued"/>
            </w:pPr>
            <w:r>
              <w:t xml:space="preserve">Select or enter a patient specimen that requires the additional test. </w:t>
            </w:r>
          </w:p>
        </w:tc>
        <w:tc>
          <w:tcPr>
            <w:tcW w:w="6120" w:type="dxa"/>
          </w:tcPr>
          <w:p w14:paraId="160F55B3" w14:textId="77777777" w:rsidR="002A21AE" w:rsidRDefault="002A21AE">
            <w:pPr>
              <w:pStyle w:val="TableTextBullet"/>
            </w:pPr>
            <w:r>
              <w:t xml:space="preserve">Displays all orders associated with a specimen that can be used to request reflex tests for an existing diagnostic test order within an order group. </w:t>
            </w:r>
          </w:p>
          <w:p w14:paraId="6557815A" w14:textId="77777777" w:rsidR="002A21AE" w:rsidRDefault="002A21AE">
            <w:pPr>
              <w:pStyle w:val="TableTextBullet"/>
            </w:pPr>
            <w:r>
              <w:t xml:space="preserve">Automatically associates the reflex test with the order when there is only one order associated with the specimen. </w:t>
            </w:r>
          </w:p>
        </w:tc>
      </w:tr>
      <w:tr w:rsidR="002A21AE" w14:paraId="0BC7AE28" w14:textId="77777777">
        <w:tc>
          <w:tcPr>
            <w:tcW w:w="3240" w:type="dxa"/>
          </w:tcPr>
          <w:p w14:paraId="4A02C270" w14:textId="77777777" w:rsidR="002A21AE" w:rsidRDefault="002A21AE">
            <w:pPr>
              <w:pStyle w:val="TableTextNumbers"/>
            </w:pPr>
            <w:r>
              <w:t>Click one or more check boxes to select reflex tests from the Order Reflex Test(s) list.</w:t>
            </w:r>
          </w:p>
        </w:tc>
        <w:tc>
          <w:tcPr>
            <w:tcW w:w="6120" w:type="dxa"/>
          </w:tcPr>
          <w:p w14:paraId="66EA1F12" w14:textId="77777777" w:rsidR="002A21AE" w:rsidRDefault="002A21AE">
            <w:pPr>
              <w:pStyle w:val="TableTextBullet"/>
            </w:pPr>
            <w:r>
              <w:t>Displays the selected tests for review.</w:t>
            </w:r>
          </w:p>
          <w:p w14:paraId="3EB6F451" w14:textId="77777777" w:rsidR="002A21AE" w:rsidRDefault="002A21AE">
            <w:pPr>
              <w:pStyle w:val="TableTextBullet"/>
            </w:pPr>
            <w:r>
              <w:t xml:space="preserve">Allows the user to select or to deselect reflex tests. </w:t>
            </w:r>
          </w:p>
        </w:tc>
      </w:tr>
      <w:tr w:rsidR="002A21AE" w14:paraId="609C92C2" w14:textId="77777777">
        <w:tc>
          <w:tcPr>
            <w:tcW w:w="3240" w:type="dxa"/>
          </w:tcPr>
          <w:p w14:paraId="0670E922" w14:textId="77777777" w:rsidR="002A21AE" w:rsidRDefault="002A21AE">
            <w:pPr>
              <w:pStyle w:val="TableTextNumbers"/>
            </w:pPr>
            <w:r>
              <w:t xml:space="preserve">Click </w:t>
            </w:r>
            <w:r>
              <w:rPr>
                <w:b/>
              </w:rPr>
              <w:t>OK</w:t>
            </w:r>
            <w:r>
              <w:t xml:space="preserve"> to save and exit.</w:t>
            </w:r>
          </w:p>
          <w:p w14:paraId="34AC8476" w14:textId="77777777" w:rsidR="002A21AE" w:rsidRDefault="002A21AE">
            <w:pPr>
              <w:pStyle w:val="TableTextNumbersContinued"/>
            </w:pPr>
          </w:p>
          <w:p w14:paraId="596264CE" w14:textId="77777777" w:rsidR="002A21AE" w:rsidRDefault="002A21AE">
            <w:pPr>
              <w:pStyle w:val="TableTextNumbersContinued"/>
            </w:pPr>
            <w:r>
              <w:t xml:space="preserve">Enter a comment, if required. cancellation.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14:paraId="2EC206AF" w14:textId="77777777" w:rsidR="002A21AE" w:rsidRDefault="002A21AE">
            <w:pPr>
              <w:pStyle w:val="TableTextBullet"/>
            </w:pPr>
            <w:r>
              <w:t>Adds the ordered patient reflex tests to the PTL.</w:t>
            </w:r>
          </w:p>
          <w:p w14:paraId="648724DD" w14:textId="77777777" w:rsidR="002A21AE" w:rsidRDefault="002A21AE">
            <w:pPr>
              <w:pStyle w:val="TableText"/>
            </w:pPr>
          </w:p>
          <w:p w14:paraId="2F9E2274" w14:textId="77777777" w:rsidR="002A21AE" w:rsidRDefault="002A21AE">
            <w:pPr>
              <w:pStyle w:val="TableText"/>
            </w:pPr>
          </w:p>
        </w:tc>
      </w:tr>
    </w:tbl>
    <w:p w14:paraId="71B6F56A" w14:textId="0BA297E6" w:rsidR="00096F7A" w:rsidRDefault="00096F7A" w:rsidP="00096F7A">
      <w:pPr>
        <w:pStyle w:val="Caption"/>
      </w:pPr>
      <w:bookmarkStart w:id="476" w:name="_Ref126725596"/>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123</w:t>
      </w:r>
      <w:r w:rsidR="004E20BD">
        <w:rPr>
          <w:noProof/>
        </w:rPr>
        <w:fldChar w:fldCharType="end"/>
      </w:r>
      <w:bookmarkEnd w:id="476"/>
      <w:r>
        <w:t>: Order Reflex Test(s)</w:t>
      </w:r>
    </w:p>
    <w:p w14:paraId="12F1D4A7" w14:textId="77777777" w:rsidR="00C70194" w:rsidRDefault="00057948" w:rsidP="00096F7A">
      <w:pPr>
        <w:pStyle w:val="BodyText"/>
      </w:pPr>
      <w:r>
        <w:rPr>
          <w:noProof/>
        </w:rPr>
        <w:drawing>
          <wp:inline distT="0" distB="0" distL="0" distR="0" wp14:anchorId="0C68FE9A" wp14:editId="18F577F5">
            <wp:extent cx="5939155" cy="4331970"/>
            <wp:effectExtent l="0" t="0" r="4445" b="0"/>
            <wp:docPr id="227" name="Picture 227" descr="P736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P7363#yIS1">
                      <a:extLst>
                        <a:ext uri="{C183D7F6-B498-43B3-948B-1728B52AA6E4}">
                          <adec:decorative xmlns:adec="http://schemas.microsoft.com/office/drawing/2017/decorative" val="1"/>
                        </a:ext>
                      </a:extLst>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939155" cy="4331970"/>
                    </a:xfrm>
                    <a:prstGeom prst="rect">
                      <a:avLst/>
                    </a:prstGeom>
                    <a:noFill/>
                    <a:ln>
                      <a:noFill/>
                    </a:ln>
                  </pic:spPr>
                </pic:pic>
              </a:graphicData>
            </a:graphic>
          </wp:inline>
        </w:drawing>
      </w:r>
    </w:p>
    <w:p w14:paraId="6277C8EE" w14:textId="77777777" w:rsidR="00701E2A" w:rsidRPr="00684890" w:rsidRDefault="00701E2A" w:rsidP="00684890">
      <w:pPr>
        <w:pStyle w:val="BodyText"/>
        <w:jc w:val="center"/>
      </w:pPr>
      <w:r w:rsidRPr="00684890">
        <w:br w:type="page"/>
      </w:r>
      <w:r w:rsidRPr="00684890">
        <w:lastRenderedPageBreak/>
        <w:t>This page intentionally left blank.</w:t>
      </w:r>
    </w:p>
    <w:p w14:paraId="2864507E" w14:textId="77777777" w:rsidR="002A21AE" w:rsidRPr="00701E2A" w:rsidRDefault="00701E2A" w:rsidP="00701E2A">
      <w:pPr>
        <w:pStyle w:val="Heading1"/>
      </w:pPr>
      <w:r>
        <w:br w:type="page"/>
      </w:r>
      <w:bookmarkStart w:id="477" w:name="_Toc4588810"/>
      <w:r w:rsidR="002A21AE" w:rsidRPr="00701E2A">
        <w:lastRenderedPageBreak/>
        <w:t>Patient Services</w:t>
      </w:r>
      <w:bookmarkEnd w:id="477"/>
      <w:r w:rsidR="002A21AE" w:rsidRPr="00701E2A">
        <w:fldChar w:fldCharType="begin"/>
      </w:r>
      <w:r w:rsidR="002A21AE" w:rsidRPr="00701E2A">
        <w:instrText xml:space="preserve"> XE </w:instrText>
      </w:r>
      <w:r w:rsidR="00FA7E65" w:rsidRPr="00701E2A">
        <w:instrText>“</w:instrText>
      </w:r>
      <w:r w:rsidR="002A21AE" w:rsidRPr="00701E2A">
        <w:instrText>Patient Services</w:instrText>
      </w:r>
      <w:r w:rsidR="00FA7E65" w:rsidRPr="00701E2A">
        <w:instrText>”</w:instrText>
      </w:r>
      <w:r w:rsidR="002A21AE" w:rsidRPr="00701E2A">
        <w:instrText xml:space="preserve"> </w:instrText>
      </w:r>
      <w:r w:rsidR="002A21AE" w:rsidRPr="00701E2A">
        <w:fldChar w:fldCharType="end"/>
      </w:r>
    </w:p>
    <w:p w14:paraId="2B70B92F" w14:textId="77777777" w:rsidR="002A21AE" w:rsidRPr="00E309DC" w:rsidRDefault="002A21AE" w:rsidP="00AE23F9">
      <w:pPr>
        <w:pStyle w:val="Heading2"/>
        <w:rPr>
          <w:b w:val="0"/>
          <w:bCs w:val="0"/>
          <w:i w:val="0"/>
          <w:iCs w:val="0"/>
          <w:sz w:val="20"/>
        </w:rPr>
      </w:pPr>
      <w:bookmarkStart w:id="478" w:name="_Toc4588811"/>
      <w:r w:rsidRPr="00AE23F9">
        <w:t xml:space="preserve">Patient </w:t>
      </w:r>
      <w:r w:rsidR="00045ED7" w:rsidRPr="00AE23F9">
        <w:t>Search Screen</w:t>
      </w:r>
      <w:bookmarkEnd w:id="478"/>
      <w:r>
        <w:fldChar w:fldCharType="begin"/>
      </w:r>
      <w:r>
        <w:instrText xml:space="preserve"> XE </w:instrText>
      </w:r>
      <w:r w:rsidR="00FA7E65">
        <w:instrText>“</w:instrText>
      </w:r>
      <w:r>
        <w:instrText>Patient Se</w:instrText>
      </w:r>
      <w:r w:rsidR="00045ED7">
        <w:instrText>arch Screen</w:instrText>
      </w:r>
      <w:r w:rsidR="00FA7E65">
        <w:instrText>”</w:instrText>
      </w:r>
      <w:r>
        <w:instrText xml:space="preserve"> </w:instrText>
      </w:r>
      <w:r>
        <w:fldChar w:fldCharType="end"/>
      </w:r>
      <w:r w:rsidR="00AE23F9">
        <w:t xml:space="preserve"> </w:t>
      </w:r>
      <w:r w:rsidR="00AE23F9" w:rsidRPr="00AE23F9">
        <w:rPr>
          <w:rFonts w:ascii="Times New Roman" w:hAnsi="Times New Roman" w:cs="Times New Roman"/>
          <w:b w:val="0"/>
          <w:i w:val="0"/>
          <w:vanish/>
          <w:sz w:val="22"/>
        </w:rPr>
        <w:t>UC_113</w:t>
      </w:r>
    </w:p>
    <w:p w14:paraId="1E7CF786" w14:textId="77777777" w:rsidR="007D7738" w:rsidRDefault="007D7738" w:rsidP="007D7738">
      <w:pPr>
        <w:pStyle w:val="BodyText"/>
      </w:pPr>
      <w:r>
        <w:t>VBECS display</w:t>
      </w:r>
      <w:r w:rsidR="00F6243D">
        <w:t xml:space="preserve">s the Patient Search screen to search for a specific patient </w:t>
      </w:r>
      <w:r w:rsidR="000D4240">
        <w:t>in</w:t>
      </w:r>
      <w:r w:rsidR="00F6243D">
        <w:t xml:space="preserve"> VBECS</w:t>
      </w:r>
      <w:r>
        <w:t>.</w:t>
      </w:r>
      <w:r w:rsidR="00A537E6">
        <w:t xml:space="preserve"> </w:t>
      </w:r>
    </w:p>
    <w:p w14:paraId="3B30930A" w14:textId="77777777" w:rsidR="00AE23F9" w:rsidRDefault="00AE23F9" w:rsidP="00AE23F9">
      <w:pPr>
        <w:pStyle w:val="Heading4"/>
      </w:pPr>
      <w:r>
        <w:t>Assumptions</w:t>
      </w:r>
    </w:p>
    <w:p w14:paraId="5185CBC9" w14:textId="77777777" w:rsidR="00AE23F9" w:rsidRDefault="00B44B37" w:rsidP="00AE23F9">
      <w:pPr>
        <w:pStyle w:val="ListBullet"/>
      </w:pPr>
      <w:r>
        <w:t>The patient record exists in VBECS with the exception of specific searches that return patient information from VistA.</w:t>
      </w:r>
      <w:r w:rsidR="00E309DC">
        <w:t xml:space="preserve"> For the Edit Unit Information, Incoming Shipment, and Document ABO Incompatible Transfusion options, VBECS searches VistA.</w:t>
      </w:r>
    </w:p>
    <w:p w14:paraId="14E7C01B" w14:textId="77777777" w:rsidR="00AE23F9" w:rsidRDefault="00AE23F9" w:rsidP="00AE23F9">
      <w:pPr>
        <w:pStyle w:val="Heading4"/>
      </w:pPr>
      <w:r>
        <w:t>Outcome</w:t>
      </w:r>
    </w:p>
    <w:p w14:paraId="19C1765F" w14:textId="77777777" w:rsidR="00AE23F9" w:rsidRDefault="00B44B37" w:rsidP="00AE23F9">
      <w:pPr>
        <w:pStyle w:val="ListBullet"/>
      </w:pPr>
      <w:r>
        <w:t>VBECS presents the user with a list of patients for selection based on their search input.</w:t>
      </w:r>
    </w:p>
    <w:p w14:paraId="2DE6D495" w14:textId="77777777" w:rsidR="00AE23F9" w:rsidRDefault="00AE23F9" w:rsidP="00AE23F9">
      <w:pPr>
        <w:pStyle w:val="Heading4"/>
      </w:pPr>
      <w:r>
        <w:t>Limitations and Restrictions</w:t>
      </w:r>
    </w:p>
    <w:p w14:paraId="0B762934" w14:textId="77777777" w:rsidR="00AE23F9" w:rsidRDefault="00092DC9" w:rsidP="00AE23F9">
      <w:pPr>
        <w:pStyle w:val="ListBullet"/>
      </w:pPr>
      <w:r>
        <w:t>VBECS updates information from VistA File #2, not VistA File #20. Name changes made in VistA File #20 will not appear in VBECS. Align File #2 with those changes to update VBECS</w:t>
      </w:r>
      <w:r w:rsidR="00AE23F9" w:rsidRPr="00AE23F9">
        <w:t>.</w:t>
      </w:r>
      <w:r w:rsidR="00555EA2" w:rsidRPr="00555EA2">
        <w:rPr>
          <w:vanish/>
        </w:rPr>
        <w:t xml:space="preserve"> Task 585891</w:t>
      </w:r>
    </w:p>
    <w:p w14:paraId="4F1777E5" w14:textId="77777777" w:rsidR="00AE23F9" w:rsidRDefault="00AE23F9" w:rsidP="00AE23F9">
      <w:pPr>
        <w:pStyle w:val="Heading4"/>
      </w:pPr>
      <w:r>
        <w:t>Additional Information</w:t>
      </w:r>
    </w:p>
    <w:p w14:paraId="525F7B62" w14:textId="77777777" w:rsidR="00AE23F9" w:rsidRDefault="009A78E5" w:rsidP="00AE23F9">
      <w:pPr>
        <w:pStyle w:val="ListBullet"/>
      </w:pPr>
      <w:r>
        <w:t>The Patient Search Screen is used by options throughout VBECS to select patients.</w:t>
      </w:r>
    </w:p>
    <w:p w14:paraId="7D6B73FE" w14:textId="77777777" w:rsidR="00AE23F9" w:rsidRDefault="00AE23F9" w:rsidP="00AE23F9">
      <w:pPr>
        <w:pStyle w:val="Heading4"/>
      </w:pPr>
      <w:r>
        <w:t>User Roles with Access to This Option</w:t>
      </w:r>
    </w:p>
    <w:p w14:paraId="1E4DC38C" w14:textId="77777777" w:rsidR="00AE23F9" w:rsidRDefault="00AE23F9" w:rsidP="00AE23F9">
      <w:pPr>
        <w:pStyle w:val="Roles"/>
      </w:pPr>
      <w:r>
        <w:t>All users</w:t>
      </w:r>
    </w:p>
    <w:p w14:paraId="28539778" w14:textId="77777777" w:rsidR="00AE23F9" w:rsidRDefault="00B173E0" w:rsidP="00AE23F9">
      <w:pPr>
        <w:pStyle w:val="Heading4"/>
      </w:pPr>
      <w:r>
        <w:t>Patient Search Screen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BC664F" w14:paraId="6BFFD759" w14:textId="77777777">
        <w:trPr>
          <w:cantSplit/>
          <w:tblHeader/>
        </w:trPr>
        <w:tc>
          <w:tcPr>
            <w:tcW w:w="3240" w:type="dxa"/>
            <w:shd w:val="pct30" w:color="auto" w:fill="FFFFFF"/>
            <w:vAlign w:val="bottom"/>
          </w:tcPr>
          <w:p w14:paraId="29E6A69E" w14:textId="77777777" w:rsidR="00BC664F" w:rsidRDefault="00BC664F" w:rsidP="00601F55">
            <w:pPr>
              <w:pStyle w:val="TableText"/>
              <w:rPr>
                <w:b/>
              </w:rPr>
            </w:pPr>
            <w:r>
              <w:rPr>
                <w:b/>
              </w:rPr>
              <w:t>User Action</w:t>
            </w:r>
          </w:p>
        </w:tc>
        <w:tc>
          <w:tcPr>
            <w:tcW w:w="6120" w:type="dxa"/>
            <w:shd w:val="pct30" w:color="auto" w:fill="FFFFFF"/>
            <w:vAlign w:val="bottom"/>
          </w:tcPr>
          <w:p w14:paraId="1092D4F1" w14:textId="77777777" w:rsidR="00BC664F" w:rsidRDefault="00BC664F" w:rsidP="00601F55">
            <w:pPr>
              <w:pStyle w:val="TableText"/>
              <w:rPr>
                <w:b/>
              </w:rPr>
            </w:pPr>
            <w:r>
              <w:rPr>
                <w:b/>
              </w:rPr>
              <w:t>VBECS</w:t>
            </w:r>
          </w:p>
        </w:tc>
      </w:tr>
      <w:tr w:rsidR="006178E5" w14:paraId="2736E030" w14:textId="77777777">
        <w:tc>
          <w:tcPr>
            <w:tcW w:w="3240" w:type="dxa"/>
            <w:tcBorders>
              <w:top w:val="single" w:sz="4" w:space="0" w:color="auto"/>
              <w:left w:val="single" w:sz="4" w:space="0" w:color="auto"/>
              <w:bottom w:val="single" w:sz="4" w:space="0" w:color="auto"/>
              <w:right w:val="single" w:sz="4" w:space="0" w:color="auto"/>
            </w:tcBorders>
          </w:tcPr>
          <w:p w14:paraId="50F55B34" w14:textId="6C46CB06" w:rsidR="00323F55" w:rsidRDefault="00323F55" w:rsidP="008E012C">
            <w:pPr>
              <w:pStyle w:val="TableTextNumbers"/>
            </w:pPr>
            <w:r>
              <w:t xml:space="preserve">To </w:t>
            </w:r>
            <w:r w:rsidR="006129D0">
              <w:t>access the Patient Search screen, open on</w:t>
            </w:r>
            <w:r w:rsidR="00F26575">
              <w:t>e</w:t>
            </w:r>
            <w:r w:rsidR="006129D0">
              <w:t xml:space="preserve"> of the options listed in Notes. To </w:t>
            </w:r>
            <w:r w:rsidR="007554C5">
              <w:t>search for</w:t>
            </w:r>
            <w:r>
              <w:t xml:space="preserve"> a patient</w:t>
            </w:r>
            <w:r w:rsidR="008E012C">
              <w:t>, e</w:t>
            </w:r>
            <w:r>
              <w:t>nter the p</w:t>
            </w:r>
            <w:r w:rsidR="00DD4445">
              <w:t xml:space="preserve">atient’s </w:t>
            </w:r>
            <w:r w:rsidR="009310A7">
              <w:t xml:space="preserve">full </w:t>
            </w:r>
            <w:r w:rsidR="006178E5">
              <w:t>name</w:t>
            </w:r>
            <w:r w:rsidR="006C1277">
              <w:t xml:space="preserve"> (last name first) </w:t>
            </w:r>
            <w:r w:rsidR="006178E5">
              <w:t>or ID</w:t>
            </w:r>
            <w:r w:rsidR="00EE7A38">
              <w:t xml:space="preserve"> (</w:t>
            </w:r>
            <w:r w:rsidR="00EE7A38">
              <w:fldChar w:fldCharType="begin" w:fldLock="1"/>
            </w:r>
            <w:r w:rsidR="00EE7A38">
              <w:instrText xml:space="preserve"> REF _Ref126726055 \h </w:instrText>
            </w:r>
            <w:r w:rsidR="00EE7A38">
              <w:fldChar w:fldCharType="separate"/>
            </w:r>
            <w:r w:rsidR="00AB304C">
              <w:t xml:space="preserve">Figure </w:t>
            </w:r>
            <w:r w:rsidR="00AB304C">
              <w:rPr>
                <w:noProof/>
              </w:rPr>
              <w:t>124</w:t>
            </w:r>
            <w:r w:rsidR="00EE7A38">
              <w:fldChar w:fldCharType="end"/>
            </w:r>
            <w:r w:rsidR="00EE7A38">
              <w:t>)</w:t>
            </w:r>
            <w:r>
              <w:t>,</w:t>
            </w:r>
            <w:r w:rsidR="00DD4445">
              <w:t xml:space="preserve"> </w:t>
            </w:r>
            <w:r w:rsidR="00D67ABB">
              <w:t>or</w:t>
            </w:r>
          </w:p>
          <w:p w14:paraId="6FB8CD0E" w14:textId="77777777" w:rsidR="008E012C" w:rsidRDefault="008E012C" w:rsidP="008E012C">
            <w:pPr>
              <w:pStyle w:val="TableTextNumbersContinued"/>
            </w:pPr>
          </w:p>
          <w:p w14:paraId="1F9F72E5" w14:textId="77777777" w:rsidR="007554C5" w:rsidRDefault="00323F55" w:rsidP="008E012C">
            <w:pPr>
              <w:pStyle w:val="TableTextNumbersContinued"/>
            </w:pPr>
            <w:r>
              <w:t>Enter the last four digits of the ID</w:t>
            </w:r>
            <w:r w:rsidR="00E133A1">
              <w:t xml:space="preserve">, </w:t>
            </w:r>
            <w:r w:rsidR="00D67ABB">
              <w:t xml:space="preserve">or </w:t>
            </w:r>
            <w:r>
              <w:t>the initial of the last name and the last four digits of the ID,</w:t>
            </w:r>
            <w:r w:rsidR="000A4886">
              <w:t xml:space="preserve"> </w:t>
            </w:r>
            <w:r w:rsidR="00D67ABB">
              <w:t>and c</w:t>
            </w:r>
            <w:r w:rsidR="000A4886">
              <w:t xml:space="preserve">lick </w:t>
            </w:r>
            <w:r w:rsidR="000A4886" w:rsidRPr="000A4886">
              <w:rPr>
                <w:b/>
              </w:rPr>
              <w:t>Search</w:t>
            </w:r>
            <w:r w:rsidR="000A4886">
              <w:t>.</w:t>
            </w:r>
          </w:p>
        </w:tc>
        <w:tc>
          <w:tcPr>
            <w:tcW w:w="6120" w:type="dxa"/>
            <w:tcBorders>
              <w:top w:val="single" w:sz="4" w:space="0" w:color="auto"/>
              <w:left w:val="single" w:sz="4" w:space="0" w:color="auto"/>
              <w:bottom w:val="single" w:sz="4" w:space="0" w:color="auto"/>
              <w:right w:val="single" w:sz="4" w:space="0" w:color="auto"/>
            </w:tcBorders>
          </w:tcPr>
          <w:p w14:paraId="430788BE" w14:textId="77777777" w:rsidR="006129D0" w:rsidRDefault="006129D0" w:rsidP="006178E5">
            <w:pPr>
              <w:pStyle w:val="TableTextBullet"/>
            </w:pPr>
            <w:r>
              <w:t>Displays the Patient Search screen.</w:t>
            </w:r>
          </w:p>
          <w:p w14:paraId="1315BACA" w14:textId="77777777" w:rsidR="006178E5" w:rsidRDefault="007554C5" w:rsidP="006178E5">
            <w:pPr>
              <w:pStyle w:val="TableTextBullet"/>
            </w:pPr>
            <w:r>
              <w:t>Lists patients that meet the search criteria.</w:t>
            </w:r>
          </w:p>
          <w:p w14:paraId="43ABA216" w14:textId="77777777" w:rsidR="006129D0" w:rsidRDefault="006129D0" w:rsidP="006129D0">
            <w:pPr>
              <w:pStyle w:val="TableText"/>
            </w:pPr>
          </w:p>
          <w:p w14:paraId="2A760381" w14:textId="77777777" w:rsidR="006129D0" w:rsidRDefault="00057948" w:rsidP="006129D0">
            <w:pPr>
              <w:pStyle w:val="TableText"/>
              <w:rPr>
                <w:b/>
                <w:bCs/>
                <w:szCs w:val="18"/>
              </w:rPr>
            </w:pPr>
            <w:r>
              <w:rPr>
                <w:b/>
                <w:bCs/>
                <w:noProof/>
              </w:rPr>
              <mc:AlternateContent>
                <mc:Choice Requires="wps">
                  <w:drawing>
                    <wp:anchor distT="0" distB="0" distL="114300" distR="114300" simplePos="0" relativeHeight="251958784" behindDoc="0" locked="0" layoutInCell="1" allowOverlap="1" wp14:anchorId="0917AB5E" wp14:editId="1C07B97D">
                      <wp:simplePos x="0" y="0"/>
                      <wp:positionH relativeFrom="column">
                        <wp:posOffset>457200</wp:posOffset>
                      </wp:positionH>
                      <wp:positionV relativeFrom="paragraph">
                        <wp:posOffset>65405</wp:posOffset>
                      </wp:positionV>
                      <wp:extent cx="3200400" cy="0"/>
                      <wp:effectExtent l="9525" t="17780" r="9525" b="10795"/>
                      <wp:wrapNone/>
                      <wp:docPr id="389" name="Line 1106" descr="P7388C4T8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05CBA" id="Line 1106" o:spid="_x0000_s1026" alt="&quot;&quot;" style="position:absolute;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N5jh5rEAQAAbwMAAA4AAAAAAAAAAAAAAAAA&#10;LgIAAGRycy9lMm9Eb2MueG1sUEsBAi0AFAAGAAgAAAAhABdPMBLbAAAACAEAAA8AAAAAAAAAAAAA&#10;AAAAHgQAAGRycy9kb3ducmV2LnhtbFBLBQYAAAAABAAEAPMAAAAmBQAAAAA=&#10;" strokeweight="1.5pt"/>
                  </w:pict>
                </mc:Fallback>
              </mc:AlternateContent>
            </w:r>
            <w:r w:rsidR="006129D0">
              <w:rPr>
                <w:b/>
                <w:bCs/>
                <w:szCs w:val="18"/>
              </w:rPr>
              <w:t>NOTES</w:t>
            </w:r>
          </w:p>
          <w:p w14:paraId="0C7139B8" w14:textId="77777777" w:rsidR="006129D0" w:rsidRDefault="006129D0" w:rsidP="006129D0">
            <w:pPr>
              <w:pStyle w:val="NotesText"/>
            </w:pPr>
          </w:p>
          <w:p w14:paraId="6EBFF0C1" w14:textId="77777777" w:rsidR="006129D0" w:rsidRPr="006129D0" w:rsidRDefault="006129D0" w:rsidP="006129D0">
            <w:pPr>
              <w:pStyle w:val="NotesText"/>
            </w:pPr>
            <w:r>
              <w:t xml:space="preserve">Options that allow the user to search for a patient: </w:t>
            </w:r>
          </w:p>
          <w:p w14:paraId="5483FCB2" w14:textId="77777777" w:rsidR="005125FD" w:rsidRDefault="006129D0" w:rsidP="005125FD">
            <w:pPr>
              <w:pStyle w:val="NotesTextBullet"/>
            </w:pPr>
            <w:r>
              <w:rPr>
                <w:b/>
              </w:rPr>
              <w:t xml:space="preserve">Blood Units </w:t>
            </w:r>
            <w:r w:rsidRPr="00AC51A5">
              <w:t xml:space="preserve">from the main menu. Select </w:t>
            </w:r>
            <w:r>
              <w:rPr>
                <w:b/>
              </w:rPr>
              <w:t xml:space="preserve">Edit Unit Information </w:t>
            </w:r>
            <w:r>
              <w:t>(for restricted units only)</w:t>
            </w:r>
            <w:r w:rsidRPr="00AC51A5">
              <w:t>.</w:t>
            </w:r>
          </w:p>
          <w:p w14:paraId="668217BF" w14:textId="77777777" w:rsidR="006129D0" w:rsidRDefault="006129D0" w:rsidP="005125FD">
            <w:pPr>
              <w:pStyle w:val="NotesTextBullet"/>
            </w:pPr>
            <w:r w:rsidRPr="00214097">
              <w:rPr>
                <w:b/>
              </w:rPr>
              <w:t>Patients</w:t>
            </w:r>
            <w:r>
              <w:t xml:space="preserve"> from the main menu. Select:</w:t>
            </w:r>
          </w:p>
          <w:p w14:paraId="27D5E77C" w14:textId="77777777" w:rsidR="006129D0" w:rsidRPr="00214097" w:rsidRDefault="006129D0" w:rsidP="00DE6289">
            <w:pPr>
              <w:pStyle w:val="NotesTextBullet1"/>
            </w:pPr>
            <w:r w:rsidRPr="00214097">
              <w:t>Recent Orders</w:t>
            </w:r>
          </w:p>
          <w:p w14:paraId="541E4581" w14:textId="77777777" w:rsidR="006129D0" w:rsidRPr="00214097" w:rsidRDefault="006129D0" w:rsidP="00DE6289">
            <w:pPr>
              <w:pStyle w:val="NotesTextBullet1"/>
            </w:pPr>
            <w:r w:rsidRPr="00214097">
              <w:t>Blood Availability</w:t>
            </w:r>
          </w:p>
          <w:p w14:paraId="285D4E51" w14:textId="77777777" w:rsidR="006129D0" w:rsidRDefault="006129D0" w:rsidP="00DE6289">
            <w:pPr>
              <w:pStyle w:val="NotesTextBullet1"/>
            </w:pPr>
            <w:r w:rsidRPr="00214097">
              <w:t xml:space="preserve">Recent Transfusions/Issued Units </w:t>
            </w:r>
          </w:p>
          <w:p w14:paraId="1E9234D9" w14:textId="77777777" w:rsidR="006129D0" w:rsidRDefault="006129D0" w:rsidP="00DE6289">
            <w:pPr>
              <w:pStyle w:val="NotesTextBullet1"/>
            </w:pPr>
            <w:r w:rsidRPr="00214097">
              <w:t>Patient Testing Worklist Report</w:t>
            </w:r>
          </w:p>
          <w:p w14:paraId="6A021DE1" w14:textId="77777777" w:rsidR="006129D0" w:rsidRPr="00214097" w:rsidRDefault="006129D0" w:rsidP="00DE6289">
            <w:pPr>
              <w:pStyle w:val="NotesTextBullet1"/>
            </w:pPr>
            <w:r w:rsidRPr="00214097">
              <w:t>Print Unit Caution Tag &amp; Transfusion Record Form</w:t>
            </w:r>
          </w:p>
          <w:p w14:paraId="6E4131A7" w14:textId="77777777" w:rsidR="006129D0" w:rsidRDefault="006129D0" w:rsidP="00DE6289">
            <w:pPr>
              <w:pStyle w:val="NotesTextBullet1"/>
            </w:pPr>
            <w:r>
              <w:t>Issue Blood Components</w:t>
            </w:r>
          </w:p>
          <w:p w14:paraId="561AC99B" w14:textId="77777777" w:rsidR="006129D0" w:rsidRDefault="006129D0" w:rsidP="00DE6289">
            <w:pPr>
              <w:pStyle w:val="NotesTextBullet1"/>
            </w:pPr>
            <w:r w:rsidRPr="00214097">
              <w:t>Post-Transfusion Information</w:t>
            </w:r>
          </w:p>
          <w:p w14:paraId="5CB5158D" w14:textId="77777777" w:rsidR="006129D0" w:rsidRPr="00214097" w:rsidRDefault="006129D0" w:rsidP="00DE6289">
            <w:pPr>
              <w:pStyle w:val="NotesTextBullet1"/>
            </w:pPr>
            <w:r w:rsidRPr="00214097">
              <w:t>Return Issued Units To Blood Bank</w:t>
            </w:r>
            <w:r>
              <w:t xml:space="preserve"> and click </w:t>
            </w:r>
            <w:r w:rsidRPr="00D53FD3">
              <w:t>OK</w:t>
            </w:r>
            <w:r>
              <w:t>.</w:t>
            </w:r>
          </w:p>
          <w:p w14:paraId="2A089EB0" w14:textId="77777777" w:rsidR="006129D0" w:rsidRPr="00214097" w:rsidRDefault="006129D0" w:rsidP="00DE6289">
            <w:pPr>
              <w:pStyle w:val="NotesTextBullet1"/>
            </w:pPr>
            <w:r w:rsidRPr="00214097">
              <w:t xml:space="preserve">Special Instructions &amp; Transfusion Requirements </w:t>
            </w:r>
          </w:p>
          <w:p w14:paraId="27BC7EF6" w14:textId="77777777" w:rsidR="006129D0" w:rsidRPr="00214097" w:rsidRDefault="006129D0" w:rsidP="00DE6289">
            <w:pPr>
              <w:pStyle w:val="NotesTextBullet1"/>
            </w:pPr>
            <w:r>
              <w:t>Transfusion Reaction History</w:t>
            </w:r>
          </w:p>
          <w:p w14:paraId="055F5F9D" w14:textId="77777777" w:rsidR="006129D0" w:rsidRPr="00214097" w:rsidRDefault="006129D0" w:rsidP="00DE6289">
            <w:pPr>
              <w:pStyle w:val="NotesTextBullet1"/>
            </w:pPr>
            <w:r w:rsidRPr="00214097">
              <w:t>Patient History Report</w:t>
            </w:r>
          </w:p>
          <w:p w14:paraId="36E3BF03" w14:textId="77777777" w:rsidR="006129D0" w:rsidRDefault="006129D0" w:rsidP="005125FD">
            <w:pPr>
              <w:pStyle w:val="NotesTextBullet"/>
            </w:pPr>
            <w:r w:rsidRPr="00214097">
              <w:rPr>
                <w:b/>
              </w:rPr>
              <w:t>Shipments</w:t>
            </w:r>
            <w:r>
              <w:t xml:space="preserve"> from the main menu. Select </w:t>
            </w:r>
            <w:r w:rsidRPr="00214097">
              <w:rPr>
                <w:b/>
              </w:rPr>
              <w:t>Incoming Shipment</w:t>
            </w:r>
            <w:r>
              <w:t xml:space="preserve"> (for restricted units only).</w:t>
            </w:r>
          </w:p>
          <w:p w14:paraId="5A2399AD" w14:textId="77777777" w:rsidR="006129D0" w:rsidRPr="00214097" w:rsidRDefault="006129D0" w:rsidP="005125FD">
            <w:pPr>
              <w:pStyle w:val="NotesTextBullet"/>
            </w:pPr>
            <w:r w:rsidRPr="00A60522">
              <w:rPr>
                <w:b/>
              </w:rPr>
              <w:t>Orders</w:t>
            </w:r>
            <w:r>
              <w:t xml:space="preserve"> from the main menu. Select </w:t>
            </w:r>
            <w:r w:rsidRPr="00A60522">
              <w:rPr>
                <w:b/>
              </w:rPr>
              <w:t>Recent Patient Orders</w:t>
            </w:r>
            <w:r>
              <w:t>.</w:t>
            </w:r>
          </w:p>
          <w:p w14:paraId="22CB558B" w14:textId="77777777" w:rsidR="006129D0" w:rsidRDefault="006129D0" w:rsidP="005125FD">
            <w:pPr>
              <w:pStyle w:val="NotesTextBullet"/>
            </w:pPr>
            <w:r w:rsidRPr="00214097">
              <w:rPr>
                <w:b/>
              </w:rPr>
              <w:lastRenderedPageBreak/>
              <w:t>Reports</w:t>
            </w:r>
            <w:r>
              <w:t xml:space="preserve"> from the main menu. Select:</w:t>
            </w:r>
          </w:p>
          <w:p w14:paraId="6D9D8B36" w14:textId="77777777" w:rsidR="006129D0" w:rsidRDefault="006129D0" w:rsidP="00DE6289">
            <w:pPr>
              <w:pStyle w:val="NotesTextBullet1"/>
              <w:rPr>
                <w:b/>
              </w:rPr>
            </w:pPr>
            <w:r>
              <w:rPr>
                <w:b/>
              </w:rPr>
              <w:t>Blood Availability</w:t>
            </w:r>
            <w:r>
              <w:t xml:space="preserve"> (for individual patient only)</w:t>
            </w:r>
          </w:p>
          <w:p w14:paraId="4FF28F07" w14:textId="77777777" w:rsidR="006129D0" w:rsidRPr="00214097" w:rsidRDefault="006129D0" w:rsidP="00DE6289">
            <w:pPr>
              <w:pStyle w:val="NotesTextBullet1"/>
              <w:rPr>
                <w:b/>
              </w:rPr>
            </w:pPr>
            <w:r w:rsidRPr="00214097">
              <w:rPr>
                <w:b/>
              </w:rPr>
              <w:t>Medication Profile</w:t>
            </w:r>
          </w:p>
          <w:p w14:paraId="2765D57D" w14:textId="77777777" w:rsidR="006129D0" w:rsidRPr="00214097" w:rsidRDefault="006129D0" w:rsidP="00DE6289">
            <w:pPr>
              <w:pStyle w:val="NotesTextBullet1"/>
              <w:rPr>
                <w:b/>
              </w:rPr>
            </w:pPr>
            <w:r w:rsidRPr="00214097">
              <w:rPr>
                <w:b/>
              </w:rPr>
              <w:t>Patient History Report</w:t>
            </w:r>
          </w:p>
          <w:p w14:paraId="08BBDD01" w14:textId="77777777" w:rsidR="006129D0" w:rsidRDefault="006129D0" w:rsidP="00DE6289">
            <w:pPr>
              <w:pStyle w:val="NotesTextBullet1"/>
            </w:pPr>
            <w:r w:rsidRPr="00214097">
              <w:rPr>
                <w:b/>
              </w:rPr>
              <w:t>Transfusion Effectiveness Report</w:t>
            </w:r>
            <w:r>
              <w:t xml:space="preserve"> (for individual patient report only)</w:t>
            </w:r>
          </w:p>
          <w:p w14:paraId="2A1A1282" w14:textId="77777777" w:rsidR="006129D0" w:rsidRDefault="006129D0" w:rsidP="005125FD">
            <w:pPr>
              <w:pStyle w:val="NotesTextBullet"/>
            </w:pPr>
            <w:r w:rsidRPr="00214097">
              <w:rPr>
                <w:b/>
              </w:rPr>
              <w:t>Supervisor</w:t>
            </w:r>
            <w:r>
              <w:t xml:space="preserve"> from the main menu. Select:</w:t>
            </w:r>
          </w:p>
          <w:p w14:paraId="4544BFF8" w14:textId="77777777" w:rsidR="006129D0" w:rsidRPr="0095508A" w:rsidRDefault="006129D0" w:rsidP="00DE6289">
            <w:pPr>
              <w:pStyle w:val="NotesTextBullet1"/>
            </w:pPr>
            <w:r w:rsidRPr="0095508A">
              <w:t>Document ABO Incompatible Transfusion</w:t>
            </w:r>
          </w:p>
          <w:p w14:paraId="79857684" w14:textId="77777777" w:rsidR="006129D0" w:rsidRDefault="006129D0" w:rsidP="00A4517B">
            <w:pPr>
              <w:pStyle w:val="NotesTextBullet1"/>
            </w:pPr>
            <w:r w:rsidRPr="005125FD">
              <w:t>Justify</w:t>
            </w:r>
            <w:r w:rsidRPr="0095508A">
              <w:t xml:space="preserve"> ABO/Rh Change</w:t>
            </w:r>
          </w:p>
          <w:p w14:paraId="10209599" w14:textId="77777777" w:rsidR="00F95EB8" w:rsidRDefault="00F95EB8" w:rsidP="00F95EB8">
            <w:pPr>
              <w:pStyle w:val="NotesTextBullet1"/>
              <w:numPr>
                <w:ilvl w:val="0"/>
                <w:numId w:val="0"/>
              </w:numPr>
              <w:ind w:left="1296" w:hanging="288"/>
            </w:pPr>
          </w:p>
          <w:p w14:paraId="4D17DAEF" w14:textId="46FB0D3F" w:rsidR="00F95EB8" w:rsidRDefault="00F95EB8" w:rsidP="00954C98">
            <w:pPr>
              <w:pStyle w:val="NotesText"/>
            </w:pPr>
            <w:r w:rsidRPr="00F95EB8">
              <w:t xml:space="preserve">Selecting a patient </w:t>
            </w:r>
            <w:r w:rsidR="00954C98">
              <w:t xml:space="preserve">record </w:t>
            </w:r>
            <w:r w:rsidRPr="00F95EB8">
              <w:t xml:space="preserve">that is </w:t>
            </w:r>
            <w:r w:rsidR="00954C98">
              <w:t xml:space="preserve">not </w:t>
            </w:r>
            <w:r w:rsidRPr="00F95EB8">
              <w:t xml:space="preserve">found in </w:t>
            </w:r>
            <w:r w:rsidR="00954C98">
              <w:t>the</w:t>
            </w:r>
            <w:r w:rsidRPr="00F95EB8">
              <w:t xml:space="preserve"> VBECS </w:t>
            </w:r>
            <w:r w:rsidR="00954C98">
              <w:t>database will insert a new patient</w:t>
            </w:r>
            <w:r w:rsidRPr="00F95EB8">
              <w:t xml:space="preserve"> record </w:t>
            </w:r>
            <w:r w:rsidR="00954C98">
              <w:t xml:space="preserve">from </w:t>
            </w:r>
            <w:r w:rsidR="006549B7">
              <w:t>VistA.</w:t>
            </w:r>
            <w:r>
              <w:t xml:space="preserve"> </w:t>
            </w:r>
            <w:r w:rsidRPr="00F95EB8">
              <w:rPr>
                <w:vanish/>
              </w:rPr>
              <w:t>BR_113.01</w:t>
            </w:r>
            <w:r w:rsidR="00555EA2">
              <w:rPr>
                <w:vanish/>
              </w:rPr>
              <w:t xml:space="preserve"> Task 675267</w:t>
            </w:r>
          </w:p>
        </w:tc>
      </w:tr>
      <w:tr w:rsidR="000A4886" w14:paraId="51158E07" w14:textId="77777777">
        <w:tc>
          <w:tcPr>
            <w:tcW w:w="3240" w:type="dxa"/>
            <w:tcBorders>
              <w:top w:val="single" w:sz="4" w:space="0" w:color="auto"/>
              <w:left w:val="single" w:sz="4" w:space="0" w:color="auto"/>
              <w:bottom w:val="single" w:sz="4" w:space="0" w:color="auto"/>
              <w:right w:val="single" w:sz="4" w:space="0" w:color="auto"/>
            </w:tcBorders>
          </w:tcPr>
          <w:p w14:paraId="7F435159" w14:textId="77777777" w:rsidR="000A4886" w:rsidRDefault="007554C5" w:rsidP="00214097">
            <w:pPr>
              <w:pStyle w:val="TableTextNumbers"/>
            </w:pPr>
            <w:r>
              <w:lastRenderedPageBreak/>
              <w:t>Select a patient from the list</w:t>
            </w:r>
            <w:r w:rsidR="00250CF9">
              <w:t xml:space="preserve">. </w:t>
            </w:r>
            <w:r w:rsidR="00250CF9">
              <w:rPr>
                <w:rStyle w:val="TableTextNumbersChar"/>
                <w:vanish/>
                <w:color w:val="FFFFFF"/>
                <w:szCs w:val="18"/>
              </w:rPr>
              <w:fldChar w:fldCharType="begin"/>
            </w:r>
            <w:r w:rsidR="00250CF9">
              <w:rPr>
                <w:rStyle w:val="TableTextNumbersChar"/>
                <w:vanish/>
                <w:color w:val="FFFFFF"/>
                <w:szCs w:val="18"/>
              </w:rPr>
              <w:instrText xml:space="preserve"> LISTNUM \l 1 \s 0 </w:instrText>
            </w:r>
            <w:r w:rsidR="00250CF9">
              <w:rPr>
                <w:rStyle w:val="TableTextNumbersCha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5494C136" w14:textId="77777777" w:rsidR="000A4886" w:rsidRDefault="007554C5" w:rsidP="006178E5">
            <w:pPr>
              <w:pStyle w:val="TableTextBullet"/>
            </w:pPr>
            <w:r>
              <w:t>Displays patient-associated data.</w:t>
            </w:r>
          </w:p>
          <w:p w14:paraId="69C51473" w14:textId="77777777" w:rsidR="007554C5" w:rsidRDefault="007554C5" w:rsidP="006178E5">
            <w:pPr>
              <w:pStyle w:val="TableTextBullet"/>
            </w:pPr>
            <w:r>
              <w:t>Displays the Patient Information Toolbar.</w:t>
            </w:r>
          </w:p>
          <w:p w14:paraId="48AE65D4" w14:textId="77777777" w:rsidR="00D1493E" w:rsidRDefault="00797BC0" w:rsidP="00D1493E">
            <w:pPr>
              <w:pStyle w:val="TableTextBullet"/>
            </w:pPr>
            <w:r>
              <w:t>Displays Special Instructions (SIs) and Transfusion Requirements (TRs)</w:t>
            </w:r>
            <w:r w:rsidR="00BC2C05">
              <w:t>, when appropriate.</w:t>
            </w:r>
            <w:r w:rsidR="00D1493E">
              <w:t xml:space="preserve"> </w:t>
            </w:r>
          </w:p>
          <w:p w14:paraId="65855EFD" w14:textId="77777777" w:rsidR="00D1493E" w:rsidRDefault="00D1493E" w:rsidP="00D1493E">
            <w:pPr>
              <w:pStyle w:val="TableText"/>
            </w:pPr>
          </w:p>
          <w:p w14:paraId="4899FC1B" w14:textId="77777777" w:rsidR="00D1493E" w:rsidRDefault="00057948" w:rsidP="00D1493E">
            <w:pPr>
              <w:pStyle w:val="TableText"/>
              <w:rPr>
                <w:b/>
                <w:bCs/>
                <w:szCs w:val="18"/>
              </w:rPr>
            </w:pPr>
            <w:r>
              <w:rPr>
                <w:b/>
                <w:bCs/>
                <w:noProof/>
              </w:rPr>
              <mc:AlternateContent>
                <mc:Choice Requires="wps">
                  <w:drawing>
                    <wp:anchor distT="0" distB="0" distL="114300" distR="114300" simplePos="0" relativeHeight="252018176" behindDoc="0" locked="0" layoutInCell="1" allowOverlap="1" wp14:anchorId="225B9357" wp14:editId="6F63AED3">
                      <wp:simplePos x="0" y="0"/>
                      <wp:positionH relativeFrom="column">
                        <wp:posOffset>457200</wp:posOffset>
                      </wp:positionH>
                      <wp:positionV relativeFrom="paragraph">
                        <wp:posOffset>65405</wp:posOffset>
                      </wp:positionV>
                      <wp:extent cx="3200400" cy="0"/>
                      <wp:effectExtent l="9525" t="17780" r="9525" b="10795"/>
                      <wp:wrapNone/>
                      <wp:docPr id="388" name="Line 1211" descr="P7422C6T8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70B74" id="Line 1211" o:spid="_x0000_s1026" alt="&quot;&quot;" style="position:absolute;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F9wZxcMBAABvAwAADgAAAAAAAAAAAAAAAAAu&#10;AgAAZHJzL2Uyb0RvYy54bWxQSwECLQAUAAYACAAAACEAF08wEtsAAAAIAQAADwAAAAAAAAAAAAAA&#10;AAAdBAAAZHJzL2Rvd25yZXYueG1sUEsFBgAAAAAEAAQA8wAAACUFAAAAAA==&#10;" strokeweight="1.5pt"/>
                  </w:pict>
                </mc:Fallback>
              </mc:AlternateContent>
            </w:r>
            <w:r w:rsidR="00D1493E">
              <w:rPr>
                <w:b/>
                <w:bCs/>
                <w:szCs w:val="18"/>
              </w:rPr>
              <w:t>NOTES</w:t>
            </w:r>
          </w:p>
          <w:p w14:paraId="56697CBC" w14:textId="77777777" w:rsidR="00797BC0" w:rsidRDefault="00797BC0" w:rsidP="00D1493E">
            <w:pPr>
              <w:pStyle w:val="TableTextBullet"/>
              <w:numPr>
                <w:ilvl w:val="0"/>
                <w:numId w:val="0"/>
              </w:numPr>
              <w:ind w:left="720"/>
            </w:pPr>
          </w:p>
          <w:p w14:paraId="27E32BD7" w14:textId="77777777" w:rsidR="00D1493E" w:rsidRPr="000F37DC" w:rsidRDefault="00D1493E" w:rsidP="00D1493E">
            <w:pPr>
              <w:pStyle w:val="TableTextBullet"/>
              <w:numPr>
                <w:ilvl w:val="0"/>
                <w:numId w:val="0"/>
              </w:numPr>
              <w:ind w:left="720"/>
              <w:rPr>
                <w:vanish/>
              </w:rPr>
            </w:pPr>
            <w:r>
              <w:rPr>
                <w:rFonts w:cs="Arial"/>
              </w:rPr>
              <w:t>Displays a message when the user selects a patient with a blank first or last name, or the name is too long. The user is instructed to contact the VBECS Administrator for assistance.</w:t>
            </w:r>
            <w:r w:rsidR="000F37DC">
              <w:rPr>
                <w:rFonts w:cs="Arial"/>
              </w:rPr>
              <w:t xml:space="preserve"> </w:t>
            </w:r>
            <w:r w:rsidR="000F37DC" w:rsidRPr="00AB3B2D">
              <w:rPr>
                <w:rFonts w:cs="Arial"/>
                <w:vanish/>
              </w:rPr>
              <w:t>DR 3444</w:t>
            </w:r>
          </w:p>
        </w:tc>
      </w:tr>
    </w:tbl>
    <w:p w14:paraId="42F681DA" w14:textId="2CDE5F62" w:rsidR="00102700" w:rsidRDefault="00102700" w:rsidP="00102700">
      <w:pPr>
        <w:pStyle w:val="Caption"/>
      </w:pPr>
      <w:bookmarkStart w:id="479" w:name="_Ref126726055"/>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124</w:t>
      </w:r>
      <w:r w:rsidR="004E20BD">
        <w:rPr>
          <w:noProof/>
        </w:rPr>
        <w:fldChar w:fldCharType="end"/>
      </w:r>
      <w:bookmarkEnd w:id="479"/>
      <w:r w:rsidR="00EE7A38">
        <w:t>: Patient Search</w:t>
      </w:r>
    </w:p>
    <w:p w14:paraId="05E063D6" w14:textId="3D14AC21" w:rsidR="00EE7A38" w:rsidRPr="00EE7A38" w:rsidRDefault="004912C8" w:rsidP="00EE7A38">
      <w:pPr>
        <w:pStyle w:val="BodyText"/>
      </w:pPr>
      <w:r>
        <w:rPr>
          <w:noProof/>
        </w:rPr>
        <w:drawing>
          <wp:inline distT="0" distB="0" distL="0" distR="0" wp14:anchorId="48959459" wp14:editId="516F7CD4">
            <wp:extent cx="5943600" cy="4122420"/>
            <wp:effectExtent l="0" t="0" r="0" b="0"/>
            <wp:docPr id="1184" name="Picture 1184" descr="P74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Picture 1184" descr="P7427#yIS1"/>
                    <pic:cNvPicPr>
                      <a:picLocks noChangeAspect="1" noChangeArrowheads="1"/>
                    </pic:cNvPicPr>
                  </pic:nvPicPr>
                  <pic:blipFill>
                    <a:blip r:embed="rId213" r:link="rId214">
                      <a:extLst>
                        <a:ext uri="{28A0092B-C50C-407E-A947-70E740481C1C}">
                          <a14:useLocalDpi xmlns:a14="http://schemas.microsoft.com/office/drawing/2010/main" val="0"/>
                        </a:ext>
                      </a:extLst>
                    </a:blip>
                    <a:srcRect/>
                    <a:stretch>
                      <a:fillRect/>
                    </a:stretch>
                  </pic:blipFill>
                  <pic:spPr bwMode="auto">
                    <a:xfrm>
                      <a:off x="0" y="0"/>
                      <a:ext cx="5943600" cy="4122420"/>
                    </a:xfrm>
                    <a:prstGeom prst="rect">
                      <a:avLst/>
                    </a:prstGeom>
                    <a:noFill/>
                    <a:ln>
                      <a:noFill/>
                    </a:ln>
                  </pic:spPr>
                </pic:pic>
              </a:graphicData>
            </a:graphic>
          </wp:inline>
        </w:drawing>
      </w:r>
    </w:p>
    <w:p w14:paraId="0C62C1D7" w14:textId="77777777" w:rsidR="00170060" w:rsidRDefault="0072673B" w:rsidP="00170060">
      <w:pPr>
        <w:pStyle w:val="Heading3"/>
      </w:pPr>
      <w:r>
        <w:br w:type="page"/>
      </w:r>
      <w:bookmarkStart w:id="480" w:name="_Toc4588812"/>
      <w:r w:rsidR="00170060">
        <w:lastRenderedPageBreak/>
        <w:t>Patient Merge</w:t>
      </w:r>
      <w:bookmarkEnd w:id="480"/>
      <w:r w:rsidR="00170060">
        <w:fldChar w:fldCharType="begin"/>
      </w:r>
      <w:r w:rsidR="00170060">
        <w:instrText xml:space="preserve"> XE “Patient Merge” </w:instrText>
      </w:r>
      <w:r w:rsidR="00170060">
        <w:fldChar w:fldCharType="end"/>
      </w:r>
      <w:r w:rsidR="00170060">
        <w:t xml:space="preserve"> </w:t>
      </w:r>
      <w:r w:rsidR="00170060">
        <w:rPr>
          <w:rFonts w:ascii="Times New Roman" w:hAnsi="Times New Roman" w:cs="Times New Roman"/>
          <w:b w:val="0"/>
          <w:vanish/>
          <w:sz w:val="22"/>
        </w:rPr>
        <w:t>UC_68</w:t>
      </w:r>
    </w:p>
    <w:p w14:paraId="43B31851" w14:textId="77777777" w:rsidR="00170060" w:rsidRDefault="000075A9" w:rsidP="00170060">
      <w:pPr>
        <w:pStyle w:val="BodyText"/>
      </w:pPr>
      <w:r>
        <w:t xml:space="preserve">VBECS notifies the user of VistA patient merges and displays details for </w:t>
      </w:r>
      <w:r w:rsidR="004437ED">
        <w:t>his</w:t>
      </w:r>
      <w:r>
        <w:t xml:space="preserve"> review.</w:t>
      </w:r>
    </w:p>
    <w:p w14:paraId="48B8B2A4" w14:textId="77777777" w:rsidR="00170060" w:rsidRDefault="00170060" w:rsidP="00170060">
      <w:pPr>
        <w:pStyle w:val="Heading4"/>
      </w:pPr>
      <w:r>
        <w:t>Assumptions</w:t>
      </w:r>
      <w:r>
        <w:rPr>
          <w:b w:val="0"/>
        </w:rPr>
        <w:t xml:space="preserve"> </w:t>
      </w:r>
    </w:p>
    <w:p w14:paraId="70AA27E6" w14:textId="77777777" w:rsidR="00170060" w:rsidRDefault="00170060" w:rsidP="00170060">
      <w:pPr>
        <w:pStyle w:val="ListBullet"/>
      </w:pPr>
      <w:r>
        <w:t xml:space="preserve">The connection to </w:t>
      </w:r>
      <w:r w:rsidRPr="00CA0045">
        <w:rPr>
          <w:bCs/>
        </w:rPr>
        <w:t>VistA</w:t>
      </w:r>
      <w:r>
        <w:t xml:space="preserve"> is active.</w:t>
      </w:r>
    </w:p>
    <w:p w14:paraId="4AC99917" w14:textId="77777777" w:rsidR="00170060" w:rsidRDefault="00170060" w:rsidP="00170060">
      <w:pPr>
        <w:pStyle w:val="ListBullet"/>
      </w:pPr>
      <w:r>
        <w:t xml:space="preserve">VBECS received the message about a </w:t>
      </w:r>
      <w:r w:rsidR="00E8242F">
        <w:t xml:space="preserve">VistA </w:t>
      </w:r>
      <w:r>
        <w:t>patient merge.</w:t>
      </w:r>
    </w:p>
    <w:p w14:paraId="3302EEFB" w14:textId="77777777" w:rsidR="00170060" w:rsidRDefault="00825A62" w:rsidP="00170060">
      <w:pPr>
        <w:pStyle w:val="ListBullet"/>
      </w:pPr>
      <w:r>
        <w:t>VBECS accepts merge messages when either or both the merge from or merge to patients exist in VBECS.</w:t>
      </w:r>
    </w:p>
    <w:p w14:paraId="1296F50B" w14:textId="77777777" w:rsidR="00170060" w:rsidRDefault="00170060" w:rsidP="00170060">
      <w:pPr>
        <w:pStyle w:val="Heading4"/>
      </w:pPr>
      <w:r>
        <w:t xml:space="preserve">Outcome </w:t>
      </w:r>
    </w:p>
    <w:p w14:paraId="44436304" w14:textId="77777777" w:rsidR="00170060" w:rsidRDefault="00170060" w:rsidP="00170060">
      <w:pPr>
        <w:pStyle w:val="ListBullet"/>
      </w:pPr>
      <w:r>
        <w:t>VBECS notified the user that patient records were merged in VistA.</w:t>
      </w:r>
    </w:p>
    <w:p w14:paraId="683A56E2" w14:textId="77777777" w:rsidR="00170060" w:rsidRDefault="00170060" w:rsidP="00170060">
      <w:pPr>
        <w:pStyle w:val="Heading4"/>
      </w:pPr>
      <w:r>
        <w:t>Limitations and Restrictions</w:t>
      </w:r>
      <w:r>
        <w:rPr>
          <w:b w:val="0"/>
        </w:rPr>
        <w:t xml:space="preserve"> </w:t>
      </w:r>
    </w:p>
    <w:p w14:paraId="2124126A" w14:textId="77777777" w:rsidR="00170060" w:rsidRDefault="00D62E7A" w:rsidP="00170060">
      <w:pPr>
        <w:pStyle w:val="ListBullet"/>
      </w:pPr>
      <w:r w:rsidRPr="00D62E7A">
        <w:rPr>
          <w:vanish/>
        </w:rPr>
        <w:t>DR 2,527</w:t>
      </w:r>
      <w:r>
        <w:rPr>
          <w:vanish/>
        </w:rPr>
        <w:t xml:space="preserve"> </w:t>
      </w:r>
      <w:r w:rsidR="008E7C49">
        <w:t>T</w:t>
      </w:r>
      <w:r w:rsidR="00170060">
        <w:t xml:space="preserve">he </w:t>
      </w:r>
      <w:r w:rsidR="008D32F7">
        <w:t xml:space="preserve">Traditional Supervisor or above </w:t>
      </w:r>
      <w:r w:rsidR="00170060">
        <w:t xml:space="preserve">must </w:t>
      </w:r>
      <w:r w:rsidR="00E8242F">
        <w:t>update patient records</w:t>
      </w:r>
      <w:r w:rsidR="00170060">
        <w:t xml:space="preserve"> manually.</w:t>
      </w:r>
    </w:p>
    <w:p w14:paraId="7FE33F13" w14:textId="5A908F42" w:rsidR="008D32F7" w:rsidRDefault="00E8242F" w:rsidP="00170060">
      <w:pPr>
        <w:pStyle w:val="ListBullet"/>
      </w:pPr>
      <w:r>
        <w:t xml:space="preserve">VBECS does not notify users of additional VistA patient updates or merges while the icon is displayed. </w:t>
      </w:r>
      <w:r w:rsidR="008D32F7">
        <w:t xml:space="preserve">When a user views an update and there is </w:t>
      </w:r>
      <w:r>
        <w:t>an unprocessed</w:t>
      </w:r>
      <w:r w:rsidR="008D32F7">
        <w:t xml:space="preserve"> patient merge, the </w:t>
      </w:r>
      <w:r w:rsidR="00D57F25">
        <w:t>Patient Alert icon</w:t>
      </w:r>
      <w:r w:rsidR="008D32F7">
        <w:t xml:space="preserve"> remains on the screen until the Traditional Supervisor completes the </w:t>
      </w:r>
      <w:r>
        <w:t xml:space="preserve">update </w:t>
      </w:r>
      <w:r w:rsidR="008D32F7">
        <w:t xml:space="preserve">and clears the icon. </w:t>
      </w:r>
      <w:r w:rsidR="00FF7FFA" w:rsidRPr="00FF7FFA">
        <w:rPr>
          <w:vanish/>
        </w:rPr>
        <w:t>Defect 209990</w:t>
      </w:r>
    </w:p>
    <w:p w14:paraId="4BF7C28C" w14:textId="166BE046" w:rsidR="005F578B" w:rsidRDefault="005F578B" w:rsidP="00170060">
      <w:pPr>
        <w:pStyle w:val="ListBullet"/>
      </w:pPr>
      <w:r>
        <w:t>Patient merges involving</w:t>
      </w:r>
      <w:r w:rsidRPr="00DD022C">
        <w:t xml:space="preserve"> </w:t>
      </w:r>
      <w:r w:rsidR="00FF7FFA" w:rsidRPr="00DD022C">
        <w:t>patients</w:t>
      </w:r>
      <w:r w:rsidRPr="00DD022C">
        <w:t xml:space="preserve"> with names that exceed the database standard for File #2 (30 characters) or do not have a first or last name in VistA are rejected and do not appear in VBECS. The VBECS System Administrator is notified of each rejection via an email to the address entered in VBECS Administrator “</w:t>
      </w:r>
      <w:r w:rsidR="00276DAA">
        <w:t>Email Alerts</w:t>
      </w:r>
      <w:r w:rsidRPr="00DD022C">
        <w:t>” field.</w:t>
      </w:r>
    </w:p>
    <w:p w14:paraId="43878D29" w14:textId="463E36F4" w:rsidR="007E05D6" w:rsidRDefault="007E05D6" w:rsidP="00170060">
      <w:pPr>
        <w:pStyle w:val="ListBullet"/>
      </w:pPr>
      <w:r>
        <w:t xml:space="preserve">VBECS displays duplicate merge events to the user for merge. Users can process one of the merge events manually and clear both merge alerts. The Master Veteran Index team is working on a patch to discontinue sending a duplicate message. </w:t>
      </w:r>
      <w:r w:rsidRPr="007E05D6">
        <w:rPr>
          <w:vanish/>
        </w:rPr>
        <w:t>Defect 210029</w:t>
      </w:r>
    </w:p>
    <w:p w14:paraId="7AEF5E6E" w14:textId="77777777" w:rsidR="00170060" w:rsidRDefault="00170060" w:rsidP="00170060">
      <w:pPr>
        <w:pStyle w:val="Heading4"/>
      </w:pPr>
      <w:r>
        <w:t xml:space="preserve">Additional Information </w:t>
      </w:r>
    </w:p>
    <w:p w14:paraId="4C069F8A" w14:textId="77777777" w:rsidR="00170060" w:rsidRDefault="00170060" w:rsidP="00170060">
      <w:pPr>
        <w:pStyle w:val="ListBullet"/>
      </w:pPr>
      <w:r>
        <w:t>If more than two records are merged in VistA, VBECS will receive a corresponding number of merge messages.</w:t>
      </w:r>
    </w:p>
    <w:p w14:paraId="35235B75" w14:textId="77777777" w:rsidR="00170060" w:rsidRDefault="00170060" w:rsidP="00170060">
      <w:pPr>
        <w:pStyle w:val="Heading4"/>
        <w:rPr>
          <w:b w:val="0"/>
        </w:rPr>
      </w:pPr>
      <w:r>
        <w:t>User Roles with Access to This Option</w:t>
      </w:r>
      <w:r>
        <w:rPr>
          <w:b w:val="0"/>
        </w:rPr>
        <w:t xml:space="preserve"> </w:t>
      </w:r>
    </w:p>
    <w:p w14:paraId="287867AE" w14:textId="77777777" w:rsidR="008E2767" w:rsidRPr="008E2767" w:rsidRDefault="008E2767" w:rsidP="00A40D01">
      <w:pPr>
        <w:pStyle w:val="Roles"/>
      </w:pPr>
      <w:r>
        <w:t>All users</w:t>
      </w:r>
    </w:p>
    <w:p w14:paraId="2E2E3F53" w14:textId="2B51825D" w:rsidR="00170060" w:rsidRDefault="00170060" w:rsidP="00170060">
      <w:pPr>
        <w:pStyle w:val="Heading4"/>
      </w:pPr>
      <w:r>
        <w:t>Patient Merge</w:t>
      </w:r>
    </w:p>
    <w:p w14:paraId="7102E739" w14:textId="77777777" w:rsidR="00F954FB" w:rsidRPr="00F954FB" w:rsidRDefault="00F954FB" w:rsidP="00737DBB">
      <w:pPr>
        <w:pStyle w:val="Heading4"/>
      </w:pPr>
    </w:p>
    <w:p w14:paraId="3F402713" w14:textId="77777777" w:rsidR="002A21AE" w:rsidRDefault="00170060" w:rsidP="00170060">
      <w:pPr>
        <w:pStyle w:val="BodyText"/>
      </w:pPr>
      <w:r>
        <w:t xml:space="preserve">The VBECS user examines records that were merged in VistA and decides whether to </w:t>
      </w:r>
      <w:r w:rsidR="00A415D8">
        <w:t xml:space="preserve">update </w:t>
      </w:r>
      <w:r>
        <w:t>them.</w:t>
      </w:r>
    </w:p>
    <w:p w14:paraId="1B27C82A" w14:textId="77777777" w:rsidR="00F002ED" w:rsidRPr="006F5EC8" w:rsidRDefault="00057948" w:rsidP="00F002ED">
      <w:pPr>
        <w:pStyle w:val="Caution"/>
      </w:pPr>
      <w:r>
        <w:rPr>
          <w:i w:val="0"/>
          <w:noProof/>
        </w:rPr>
        <w:drawing>
          <wp:inline distT="0" distB="0" distL="0" distR="0" wp14:anchorId="40C9BAD9" wp14:editId="5E36BA41">
            <wp:extent cx="267970" cy="221615"/>
            <wp:effectExtent l="0" t="0" r="0" b="6985"/>
            <wp:docPr id="229" name="Picture 229" descr="P7448#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P7448#yIS1">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F002ED" w:rsidRPr="00413345">
        <w:rPr>
          <w:i w:val="0"/>
        </w:rPr>
        <w:t xml:space="preserve"> </w:t>
      </w:r>
      <w:r w:rsidR="00F002ED" w:rsidRPr="006F5EC8">
        <w:t xml:space="preserve">VBECS </w:t>
      </w:r>
      <w:r w:rsidR="00F002ED">
        <w:t xml:space="preserve">does </w:t>
      </w:r>
      <w:r w:rsidR="00F002ED" w:rsidRPr="006F5EC8">
        <w:t>not create link</w:t>
      </w:r>
      <w:r w:rsidR="00F002ED">
        <w:t>s</w:t>
      </w:r>
      <w:r w:rsidR="00F002ED" w:rsidRPr="006F5EC8">
        <w:t xml:space="preserve"> </w:t>
      </w:r>
      <w:r w:rsidR="00F002ED">
        <w:t>for</w:t>
      </w:r>
      <w:r w:rsidR="00F002ED" w:rsidRPr="006F5EC8">
        <w:t xml:space="preserve"> </w:t>
      </w:r>
      <w:r w:rsidR="00F002ED">
        <w:t>merged</w:t>
      </w:r>
      <w:r w:rsidR="00F002ED" w:rsidRPr="006F5EC8">
        <w:t xml:space="preserve"> records.</w:t>
      </w:r>
      <w:r w:rsidR="00F002ED">
        <w:t xml:space="preserve"> Users must update patient information and Special Instructions to show the merged-patient relationship.</w:t>
      </w:r>
    </w:p>
    <w:p w14:paraId="6036B8F1" w14:textId="77777777" w:rsidR="00B33CCA" w:rsidRPr="00B33CCA" w:rsidRDefault="00B33CCA" w:rsidP="00170060">
      <w:pPr>
        <w:pStyle w:val="BodyText"/>
        <w:rPr>
          <w:sz w:val="4"/>
          <w:szCs w:val="4"/>
        </w:rPr>
      </w:pPr>
    </w:p>
    <w:p w14:paraId="2E61CC8B" w14:textId="77777777" w:rsidR="00B33CCA" w:rsidRPr="00E661A1" w:rsidRDefault="00057948" w:rsidP="00B33CCA">
      <w:pPr>
        <w:pStyle w:val="Caution"/>
        <w:rPr>
          <w:i w:val="0"/>
        </w:rPr>
      </w:pPr>
      <w:r>
        <w:rPr>
          <w:i w:val="0"/>
          <w:noProof/>
        </w:rPr>
        <w:drawing>
          <wp:inline distT="0" distB="0" distL="0" distR="0" wp14:anchorId="4B4A7C9A" wp14:editId="74943523">
            <wp:extent cx="267970" cy="221615"/>
            <wp:effectExtent l="0" t="0" r="0" b="6985"/>
            <wp:docPr id="230" name="Picture 230" descr="P7450#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P7450#yIS1">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B33CCA" w:rsidRPr="00413345">
        <w:rPr>
          <w:i w:val="0"/>
        </w:rPr>
        <w:t xml:space="preserve"> </w:t>
      </w:r>
      <w:r w:rsidR="00B33CCA" w:rsidRPr="00E661A1">
        <w:t>Patient merges that do not change the patient name o</w:t>
      </w:r>
      <w:r w:rsidR="00E309DC" w:rsidRPr="00E661A1">
        <w:t>r</w:t>
      </w:r>
      <w:r w:rsidR="00B33CCA" w:rsidRPr="00E661A1">
        <w:t xml:space="preserve"> social security number (e.g. patient record moved to a new DFN) are displayed to the VBECS user. However, the records displayed in the Merge </w:t>
      </w:r>
      <w:r w:rsidR="00B33CCA" w:rsidRPr="00E661A1">
        <w:lastRenderedPageBreak/>
        <w:t xml:space="preserve">window will not appear to have any differences. Users are advised to contact </w:t>
      </w:r>
      <w:r w:rsidR="00A2613A" w:rsidRPr="00E661A1">
        <w:t>customer</w:t>
      </w:r>
      <w:r w:rsidR="00B33CCA" w:rsidRPr="00E661A1">
        <w:t xml:space="preserve"> support if a record merge of this type occurs.</w:t>
      </w:r>
      <w:r w:rsidR="00B33CCA" w:rsidRPr="00E661A1">
        <w:rPr>
          <w:i w:val="0"/>
        </w:rPr>
        <w:t xml:space="preserve"> </w:t>
      </w:r>
      <w:r w:rsidR="00B33CCA" w:rsidRPr="00E661A1">
        <w:rPr>
          <w:i w:val="0"/>
          <w:vanish/>
        </w:rPr>
        <w:t>DR 4178</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7A00DE" w14:paraId="5B42C330" w14:textId="77777777">
        <w:trPr>
          <w:cantSplit/>
          <w:tblHeader/>
        </w:trPr>
        <w:tc>
          <w:tcPr>
            <w:tcW w:w="3240" w:type="dxa"/>
            <w:shd w:val="pct30" w:color="auto" w:fill="FFFFFF"/>
            <w:vAlign w:val="bottom"/>
          </w:tcPr>
          <w:p w14:paraId="47E57E8B" w14:textId="1E0E6269" w:rsidR="007A00DE" w:rsidRDefault="00EE4091" w:rsidP="007A00DE">
            <w:pPr>
              <w:pStyle w:val="TableText"/>
              <w:rPr>
                <w:b/>
              </w:rPr>
            </w:pPr>
            <w:r>
              <w:br w:type="page"/>
            </w:r>
            <w:r w:rsidR="00B33CCA" w:rsidRPr="00E661A1">
              <w:rPr>
                <w:i/>
              </w:rPr>
              <w:br w:type="page"/>
            </w:r>
            <w:bookmarkStart w:id="481" w:name="_Ref126726239"/>
            <w:r w:rsidR="007A00DE">
              <w:rPr>
                <w:b/>
              </w:rPr>
              <w:t>User Action</w:t>
            </w:r>
          </w:p>
        </w:tc>
        <w:tc>
          <w:tcPr>
            <w:tcW w:w="6120" w:type="dxa"/>
            <w:shd w:val="pct30" w:color="auto" w:fill="FFFFFF"/>
            <w:vAlign w:val="bottom"/>
          </w:tcPr>
          <w:p w14:paraId="4A3480EC" w14:textId="77777777" w:rsidR="007A00DE" w:rsidRDefault="007A00DE" w:rsidP="007A00DE">
            <w:pPr>
              <w:pStyle w:val="TableText"/>
              <w:rPr>
                <w:b/>
              </w:rPr>
            </w:pPr>
            <w:r>
              <w:rPr>
                <w:b/>
              </w:rPr>
              <w:t>VBECS</w:t>
            </w:r>
          </w:p>
        </w:tc>
      </w:tr>
      <w:tr w:rsidR="007A00DE" w14:paraId="2477095D" w14:textId="77777777">
        <w:tc>
          <w:tcPr>
            <w:tcW w:w="3240" w:type="dxa"/>
            <w:tcBorders>
              <w:top w:val="single" w:sz="4" w:space="0" w:color="auto"/>
              <w:left w:val="single" w:sz="4" w:space="0" w:color="auto"/>
              <w:bottom w:val="single" w:sz="4" w:space="0" w:color="auto"/>
              <w:right w:val="single" w:sz="4" w:space="0" w:color="auto"/>
            </w:tcBorders>
          </w:tcPr>
          <w:p w14:paraId="2B46E008" w14:textId="77777777" w:rsidR="007A00DE" w:rsidRDefault="007A00DE" w:rsidP="007A00DE">
            <w:pPr>
              <w:pStyle w:val="TableTextNumbers"/>
            </w:pPr>
            <w:r>
              <w:t xml:space="preserve">Select </w:t>
            </w:r>
            <w:r>
              <w:rPr>
                <w:b/>
              </w:rPr>
              <w:t>Patients</w:t>
            </w:r>
            <w:r>
              <w:t xml:space="preserve"> from the main menu.</w:t>
            </w:r>
          </w:p>
          <w:p w14:paraId="590D5358" w14:textId="77777777" w:rsidR="007A00DE" w:rsidRDefault="007A00DE" w:rsidP="007A00DE">
            <w:pPr>
              <w:pStyle w:val="TableTextNumbersContinued"/>
            </w:pPr>
          </w:p>
          <w:p w14:paraId="6F4338E6" w14:textId="77777777" w:rsidR="007A00DE" w:rsidRDefault="007A00DE" w:rsidP="007A00DE">
            <w:pPr>
              <w:pStyle w:val="TableTextNumbersContinued"/>
            </w:pPr>
            <w:r>
              <w:t xml:space="preserve">Select </w:t>
            </w:r>
            <w:r>
              <w:rPr>
                <w:b/>
              </w:rPr>
              <w:t>Patient Updates</w:t>
            </w:r>
            <w:r>
              <w:t>.</w:t>
            </w:r>
          </w:p>
          <w:p w14:paraId="00EAB8E8" w14:textId="77777777" w:rsidR="007A00DE" w:rsidRDefault="007A00DE" w:rsidP="007A00DE">
            <w:pPr>
              <w:pStyle w:val="TableTextNumbersContinued"/>
            </w:pPr>
          </w:p>
          <w:p w14:paraId="47C45EBE" w14:textId="77777777" w:rsidR="007A00DE" w:rsidRDefault="007A00DE" w:rsidP="007A00DE">
            <w:pPr>
              <w:pStyle w:val="TableTextNumbersContinued"/>
            </w:pPr>
            <w:r>
              <w:t xml:space="preserve">Select </w:t>
            </w:r>
            <w:r>
              <w:rPr>
                <w:b/>
              </w:rPr>
              <w:t>Patient Merge</w:t>
            </w:r>
            <w:r>
              <w:t>, or</w:t>
            </w:r>
          </w:p>
          <w:p w14:paraId="53737D49" w14:textId="77777777" w:rsidR="007A00DE" w:rsidRDefault="007A00DE" w:rsidP="007A00DE">
            <w:pPr>
              <w:pStyle w:val="TableTextNumbersContinued"/>
            </w:pPr>
          </w:p>
          <w:p w14:paraId="109A2BCB" w14:textId="77777777" w:rsidR="007A00DE" w:rsidRDefault="007A00DE" w:rsidP="007A00DE">
            <w:pPr>
              <w:pStyle w:val="TableTextNumbersContinued"/>
            </w:pPr>
            <w:r>
              <w:t xml:space="preserve">Click </w:t>
            </w:r>
            <w:r w:rsidR="00057948">
              <w:rPr>
                <w:noProof/>
              </w:rPr>
              <w:drawing>
                <wp:inline distT="0" distB="0" distL="0" distR="0" wp14:anchorId="69765C52" wp14:editId="7CC0ADD2">
                  <wp:extent cx="166370" cy="156845"/>
                  <wp:effectExtent l="0" t="0" r="5080" b="0"/>
                  <wp:docPr id="231" name="Picture 231" descr="P7460C3T8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P7460C3T81#yIS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in the Patient Information Toolbar.</w:t>
            </w:r>
          </w:p>
        </w:tc>
        <w:tc>
          <w:tcPr>
            <w:tcW w:w="6120" w:type="dxa"/>
            <w:tcBorders>
              <w:top w:val="single" w:sz="4" w:space="0" w:color="auto"/>
              <w:left w:val="single" w:sz="4" w:space="0" w:color="auto"/>
              <w:bottom w:val="single" w:sz="4" w:space="0" w:color="auto"/>
              <w:right w:val="single" w:sz="4" w:space="0" w:color="auto"/>
            </w:tcBorders>
          </w:tcPr>
          <w:p w14:paraId="058ECF29" w14:textId="77777777" w:rsidR="007A00DE" w:rsidRDefault="007A00DE" w:rsidP="007A00DE">
            <w:pPr>
              <w:pStyle w:val="TableTextBullet"/>
            </w:pPr>
            <w:r>
              <w:t xml:space="preserve">Displays </w:t>
            </w:r>
            <w:r w:rsidR="00057948">
              <w:rPr>
                <w:noProof/>
              </w:rPr>
              <w:drawing>
                <wp:inline distT="0" distB="0" distL="0" distR="0" wp14:anchorId="06D9510C" wp14:editId="5A06E14B">
                  <wp:extent cx="166370" cy="156845"/>
                  <wp:effectExtent l="0" t="0" r="5080" b="0"/>
                  <wp:docPr id="232" name="Picture 232" descr="P7461C4T8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P7461C4T81#yIS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and notifies the user of the VistA patient merge.</w:t>
            </w:r>
          </w:p>
          <w:p w14:paraId="52AE0527" w14:textId="77777777" w:rsidR="007A00DE" w:rsidRDefault="007A00DE" w:rsidP="007A00DE">
            <w:pPr>
              <w:pStyle w:val="TableTextBullet"/>
            </w:pPr>
            <w:r>
              <w:t xml:space="preserve">Lists the patient records to be </w:t>
            </w:r>
            <w:r w:rsidR="00AA1115">
              <w:t>updated</w:t>
            </w:r>
            <w:r>
              <w:t xml:space="preserve">. </w:t>
            </w:r>
          </w:p>
          <w:p w14:paraId="790877EA" w14:textId="77777777" w:rsidR="007A00DE" w:rsidRDefault="00825A62" w:rsidP="007A00DE">
            <w:pPr>
              <w:pStyle w:val="TableTextBullet"/>
            </w:pPr>
            <w:r w:rsidRPr="00825A62">
              <w:rPr>
                <w:vanish/>
              </w:rPr>
              <w:t xml:space="preserve">BR_68.19 </w:t>
            </w:r>
            <w:r w:rsidR="007A00DE">
              <w:t>Displays limited merge-from and merge-to patient information for evaluation, including:</w:t>
            </w:r>
          </w:p>
          <w:p w14:paraId="54ED488A" w14:textId="77777777" w:rsidR="007A00DE" w:rsidRDefault="007A00DE" w:rsidP="007A00DE">
            <w:pPr>
              <w:pStyle w:val="TableTextBullet1"/>
            </w:pPr>
            <w:r>
              <w:t>Patient name</w:t>
            </w:r>
          </w:p>
          <w:p w14:paraId="2E04ABC7" w14:textId="77777777" w:rsidR="007A00DE" w:rsidRDefault="007A00DE" w:rsidP="007A00DE">
            <w:pPr>
              <w:pStyle w:val="TableTextBullet1"/>
            </w:pPr>
            <w:r>
              <w:t>Patient ID</w:t>
            </w:r>
            <w:r w:rsidR="00825A62">
              <w:t>, if available</w:t>
            </w:r>
          </w:p>
          <w:p w14:paraId="043EBC60" w14:textId="77777777" w:rsidR="007A00DE" w:rsidRDefault="007A00DE" w:rsidP="007A00DE">
            <w:pPr>
              <w:pStyle w:val="TableTextBullet1"/>
              <w:rPr>
                <w:b/>
                <w:bCs/>
              </w:rPr>
            </w:pPr>
            <w:r>
              <w:t xml:space="preserve">Date and time the merge message was received from </w:t>
            </w:r>
            <w:r w:rsidRPr="00CA0045">
              <w:rPr>
                <w:bCs/>
              </w:rPr>
              <w:t>VistA</w:t>
            </w:r>
          </w:p>
          <w:p w14:paraId="75CD627F" w14:textId="77777777" w:rsidR="007A00DE" w:rsidRDefault="007A00DE" w:rsidP="007A00DE">
            <w:pPr>
              <w:pStyle w:val="TableText"/>
            </w:pPr>
          </w:p>
          <w:p w14:paraId="6348A81B" w14:textId="77777777" w:rsidR="007A00DE" w:rsidRDefault="00057948" w:rsidP="007A00DE">
            <w:pPr>
              <w:pStyle w:val="TableText"/>
              <w:rPr>
                <w:b/>
                <w:bCs/>
                <w:szCs w:val="18"/>
              </w:rPr>
            </w:pPr>
            <w:r>
              <w:rPr>
                <w:b/>
                <w:bCs/>
                <w:noProof/>
              </w:rPr>
              <mc:AlternateContent>
                <mc:Choice Requires="wps">
                  <w:drawing>
                    <wp:anchor distT="0" distB="0" distL="114300" distR="114300" simplePos="0" relativeHeight="251976192" behindDoc="0" locked="0" layoutInCell="1" allowOverlap="1" wp14:anchorId="54FDF354" wp14:editId="74C784A2">
                      <wp:simplePos x="0" y="0"/>
                      <wp:positionH relativeFrom="column">
                        <wp:posOffset>457200</wp:posOffset>
                      </wp:positionH>
                      <wp:positionV relativeFrom="paragraph">
                        <wp:posOffset>65405</wp:posOffset>
                      </wp:positionV>
                      <wp:extent cx="3200400" cy="0"/>
                      <wp:effectExtent l="9525" t="17780" r="9525" b="10795"/>
                      <wp:wrapNone/>
                      <wp:docPr id="387" name="Line 1186" descr="P7468C4T8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87F11" id="Line 1186" o:spid="_x0000_s1026" alt="&quot;&quot;" style="position:absolute;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MYGqEbEAQAAbwMAAA4AAAAAAAAAAAAAAAAA&#10;LgIAAGRycy9lMm9Eb2MueG1sUEsBAi0AFAAGAAgAAAAhABdPMBLbAAAACAEAAA8AAAAAAAAAAAAA&#10;AAAAHgQAAGRycy9kb3ducmV2LnhtbFBLBQYAAAAABAAEAPMAAAAmBQAAAAA=&#10;" strokeweight="1.5pt"/>
                  </w:pict>
                </mc:Fallback>
              </mc:AlternateContent>
            </w:r>
            <w:r w:rsidR="007A00DE">
              <w:rPr>
                <w:b/>
                <w:bCs/>
                <w:szCs w:val="18"/>
              </w:rPr>
              <w:t>NOTES</w:t>
            </w:r>
          </w:p>
          <w:p w14:paraId="75660B51" w14:textId="77777777" w:rsidR="007A00DE" w:rsidRDefault="007A00DE" w:rsidP="007A00DE">
            <w:pPr>
              <w:pStyle w:val="NotesText"/>
            </w:pPr>
          </w:p>
          <w:p w14:paraId="66CD17C3" w14:textId="77777777" w:rsidR="007A00DE" w:rsidRDefault="007A00DE" w:rsidP="007A00DE">
            <w:pPr>
              <w:pStyle w:val="NotesText"/>
            </w:pPr>
            <w:r>
              <w:t xml:space="preserve">VBECS displays </w:t>
            </w:r>
            <w:r w:rsidR="00057948">
              <w:rPr>
                <w:noProof/>
              </w:rPr>
              <w:drawing>
                <wp:inline distT="0" distB="0" distL="0" distR="0" wp14:anchorId="41D0CC8E" wp14:editId="02443496">
                  <wp:extent cx="166370" cy="156845"/>
                  <wp:effectExtent l="0" t="0" r="5080" b="0"/>
                  <wp:docPr id="233" name="Picture 233" descr="P7470C4T8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P7470C4T81#yIS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at the first instance of a </w:t>
            </w:r>
            <w:r w:rsidR="00AA1115">
              <w:t xml:space="preserve">VistA patient update or </w:t>
            </w:r>
            <w:r>
              <w:t>merge. The icon remains on the screen</w:t>
            </w:r>
            <w:r w:rsidR="00B473F5">
              <w:t xml:space="preserve"> until the Traditional Supervisor</w:t>
            </w:r>
            <w:r w:rsidR="00A47004">
              <w:t xml:space="preserve"> </w:t>
            </w:r>
            <w:r w:rsidR="00B473F5">
              <w:t xml:space="preserve">clears the </w:t>
            </w:r>
            <w:r w:rsidR="00AA1115">
              <w:t xml:space="preserve">patient </w:t>
            </w:r>
            <w:r w:rsidR="00B473F5">
              <w:t>merge alert</w:t>
            </w:r>
            <w:r w:rsidR="00B473F5" w:rsidRPr="00B473F5">
              <w:rPr>
                <w:vanish/>
              </w:rPr>
              <w:t xml:space="preserve"> DR 2,2527</w:t>
            </w:r>
            <w:r>
              <w:t xml:space="preserve">. </w:t>
            </w:r>
          </w:p>
          <w:p w14:paraId="65157F0F" w14:textId="77777777" w:rsidR="007A00DE" w:rsidRDefault="007A00DE" w:rsidP="007A00DE">
            <w:pPr>
              <w:pStyle w:val="NotesText"/>
              <w:rPr>
                <w:rFonts w:cs="Arial"/>
              </w:rPr>
            </w:pPr>
          </w:p>
          <w:p w14:paraId="04B85FE2" w14:textId="77777777" w:rsidR="007A00DE" w:rsidRDefault="007A00DE" w:rsidP="007A00DE">
            <w:pPr>
              <w:pStyle w:val="NotesText"/>
            </w:pPr>
            <w:r>
              <w:rPr>
                <w:rFonts w:cs="Arial"/>
                <w:vanish/>
              </w:rPr>
              <w:t xml:space="preserve">BR_68.01 </w:t>
            </w:r>
            <w:r w:rsidR="00A86640">
              <w:t>The list of patient records is sorted in chronological order: the oldest received updated record appears at the top of the list.</w:t>
            </w:r>
          </w:p>
          <w:p w14:paraId="30431720" w14:textId="77777777" w:rsidR="007A00DE" w:rsidRDefault="007A00DE" w:rsidP="007A00DE">
            <w:pPr>
              <w:pStyle w:val="NotesText"/>
            </w:pPr>
          </w:p>
          <w:p w14:paraId="18DAFF0B" w14:textId="77777777" w:rsidR="007A00DE" w:rsidRDefault="007A00DE" w:rsidP="007A00DE">
            <w:pPr>
              <w:pStyle w:val="NotesText"/>
            </w:pPr>
            <w:r>
              <w:t>The user may update both patients’ VBECS files in accordance with local policy and procedure.</w:t>
            </w:r>
          </w:p>
        </w:tc>
      </w:tr>
      <w:tr w:rsidR="007A00DE" w14:paraId="183416ED" w14:textId="77777777">
        <w:tc>
          <w:tcPr>
            <w:tcW w:w="3240" w:type="dxa"/>
          </w:tcPr>
          <w:p w14:paraId="05AEE964" w14:textId="2A2CA750" w:rsidR="007A00DE" w:rsidRDefault="007A00DE" w:rsidP="007A00DE">
            <w:pPr>
              <w:pStyle w:val="TableTextNumbers"/>
            </w:pPr>
            <w:r>
              <w:t xml:space="preserve">Select a </w:t>
            </w:r>
            <w:r w:rsidR="00061930">
              <w:t xml:space="preserve">VistA </w:t>
            </w:r>
            <w:r>
              <w:t>patient merge event from the list and review the data (</w:t>
            </w:r>
            <w:r w:rsidR="00270245">
              <w:fldChar w:fldCharType="begin" w:fldLock="1"/>
            </w:r>
            <w:r w:rsidR="00270245">
              <w:instrText xml:space="preserve"> REF _Ref136786613 \h </w:instrText>
            </w:r>
            <w:r w:rsidR="00270245">
              <w:fldChar w:fldCharType="separate"/>
            </w:r>
            <w:r w:rsidR="00AB304C">
              <w:t xml:space="preserve">Figure </w:t>
            </w:r>
            <w:r w:rsidR="00AB304C">
              <w:rPr>
                <w:noProof/>
              </w:rPr>
              <w:t>125</w:t>
            </w:r>
            <w:r w:rsidR="00270245">
              <w:fldChar w:fldCharType="end"/>
            </w:r>
            <w:r>
              <w:t>).</w:t>
            </w:r>
          </w:p>
        </w:tc>
        <w:tc>
          <w:tcPr>
            <w:tcW w:w="6120" w:type="dxa"/>
          </w:tcPr>
          <w:p w14:paraId="223C4213" w14:textId="77777777" w:rsidR="007A00DE" w:rsidRDefault="007A00DE" w:rsidP="007A00DE">
            <w:pPr>
              <w:pStyle w:val="TableTextBullet"/>
            </w:pPr>
            <w:r>
              <w:t xml:space="preserve">Displays data about merged </w:t>
            </w:r>
            <w:r w:rsidR="00061930">
              <w:t xml:space="preserve">VistA </w:t>
            </w:r>
            <w:r>
              <w:t>patient records:</w:t>
            </w:r>
          </w:p>
          <w:p w14:paraId="7CBF94D6" w14:textId="77777777" w:rsidR="007A00DE" w:rsidRDefault="007A00DE" w:rsidP="007A00DE">
            <w:pPr>
              <w:pStyle w:val="TableTextBullet1"/>
            </w:pPr>
            <w:r>
              <w:t>Patient name</w:t>
            </w:r>
          </w:p>
          <w:p w14:paraId="5CBDCFF3" w14:textId="77777777" w:rsidR="007A00DE" w:rsidRDefault="007A00DE" w:rsidP="007A00DE">
            <w:pPr>
              <w:pStyle w:val="TableTextBullet1"/>
            </w:pPr>
            <w:r>
              <w:t>Patient ID</w:t>
            </w:r>
            <w:r w:rsidR="006337EA">
              <w:t>, if available</w:t>
            </w:r>
          </w:p>
          <w:p w14:paraId="78DF8101" w14:textId="77777777" w:rsidR="007A00DE" w:rsidRDefault="007A00DE" w:rsidP="007A00DE">
            <w:pPr>
              <w:pStyle w:val="TableTextBullet1"/>
            </w:pPr>
            <w:r>
              <w:t>Patient sex</w:t>
            </w:r>
            <w:r w:rsidR="006337EA">
              <w:t>, if available</w:t>
            </w:r>
          </w:p>
          <w:p w14:paraId="3164FA80" w14:textId="77777777" w:rsidR="007A00DE" w:rsidRDefault="007A00DE" w:rsidP="007A00DE">
            <w:pPr>
              <w:pStyle w:val="TableTextBullet1"/>
            </w:pPr>
            <w:r>
              <w:t xml:space="preserve">Date and time the merge message was received from </w:t>
            </w:r>
            <w:r w:rsidRPr="00CA6E27">
              <w:rPr>
                <w:bCs/>
              </w:rPr>
              <w:t>VistA</w:t>
            </w:r>
          </w:p>
          <w:p w14:paraId="09EAD326" w14:textId="77777777" w:rsidR="007A00DE" w:rsidRDefault="007A00DE" w:rsidP="007A00DE">
            <w:pPr>
              <w:pStyle w:val="TableTextBullet1"/>
            </w:pPr>
            <w:r>
              <w:t>Patient ABO/Rh</w:t>
            </w:r>
            <w:r w:rsidR="006337EA">
              <w:t>, if available</w:t>
            </w:r>
          </w:p>
          <w:p w14:paraId="10B319B2" w14:textId="77777777" w:rsidR="007A00DE" w:rsidRDefault="007A00DE" w:rsidP="007A00DE">
            <w:pPr>
              <w:pStyle w:val="TableTextBullet1"/>
            </w:pPr>
            <w:r>
              <w:t>Patient Transfusion Requirements (TRs) and Special Instructions (SIs)</w:t>
            </w:r>
            <w:r w:rsidR="006337EA">
              <w:t>, if available</w:t>
            </w:r>
          </w:p>
          <w:p w14:paraId="41ED80AE" w14:textId="77777777" w:rsidR="006337EA" w:rsidRDefault="007A00DE" w:rsidP="006337EA">
            <w:pPr>
              <w:pStyle w:val="TableTextBullet1"/>
            </w:pPr>
            <w:r>
              <w:t>Recent orders and recent transfusion records for the patient (available only by clicking Patient Information Toolbar icons)</w:t>
            </w:r>
            <w:r w:rsidR="006337EA">
              <w:t>, if available</w:t>
            </w:r>
          </w:p>
          <w:p w14:paraId="4F6E63D5" w14:textId="77777777" w:rsidR="006337EA" w:rsidRDefault="006337EA" w:rsidP="006337EA">
            <w:pPr>
              <w:pStyle w:val="TableText"/>
            </w:pPr>
          </w:p>
          <w:p w14:paraId="58F8CD4D" w14:textId="77777777" w:rsidR="006337EA" w:rsidRPr="00825A62" w:rsidRDefault="00057948" w:rsidP="006337EA">
            <w:pPr>
              <w:pStyle w:val="TableText"/>
              <w:rPr>
                <w:b/>
                <w:bCs/>
                <w:szCs w:val="18"/>
              </w:rPr>
            </w:pPr>
            <w:r>
              <w:rPr>
                <w:b/>
                <w:bCs/>
                <w:noProof/>
              </w:rPr>
              <mc:AlternateContent>
                <mc:Choice Requires="wps">
                  <w:drawing>
                    <wp:anchor distT="0" distB="0" distL="114300" distR="114300" simplePos="0" relativeHeight="252013056" behindDoc="0" locked="0" layoutInCell="1" allowOverlap="1" wp14:anchorId="0DA21F89" wp14:editId="2538440C">
                      <wp:simplePos x="0" y="0"/>
                      <wp:positionH relativeFrom="column">
                        <wp:posOffset>457200</wp:posOffset>
                      </wp:positionH>
                      <wp:positionV relativeFrom="paragraph">
                        <wp:posOffset>65405</wp:posOffset>
                      </wp:positionV>
                      <wp:extent cx="3200400" cy="0"/>
                      <wp:effectExtent l="9525" t="17780" r="9525" b="10795"/>
                      <wp:wrapNone/>
                      <wp:docPr id="386" name="Line 1208" descr="P7486C6T8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06FC0" id="Line 1208" o:spid="_x0000_s1026" alt="&quot;&quot;" style="position:absolute;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wPC5MsMBAABvAwAADgAAAAAAAAAAAAAAAAAu&#10;AgAAZHJzL2Uyb0RvYy54bWxQSwECLQAUAAYACAAAACEAF08wEtsAAAAIAQAADwAAAAAAAAAAAAAA&#10;AAAdBAAAZHJzL2Rvd25yZXYueG1sUEsFBgAAAAAEAAQA8wAAACUFAAAAAA==&#10;" strokeweight="1.5pt"/>
                  </w:pict>
                </mc:Fallback>
              </mc:AlternateContent>
            </w:r>
            <w:r w:rsidR="006337EA" w:rsidRPr="00825A62">
              <w:rPr>
                <w:b/>
                <w:bCs/>
                <w:szCs w:val="18"/>
              </w:rPr>
              <w:t>NOTES</w:t>
            </w:r>
          </w:p>
          <w:p w14:paraId="5BE8E487" w14:textId="77777777" w:rsidR="006337EA" w:rsidRDefault="006337EA" w:rsidP="006337EA">
            <w:pPr>
              <w:pStyle w:val="NotesText"/>
            </w:pPr>
          </w:p>
          <w:p w14:paraId="1093FBEB" w14:textId="77777777" w:rsidR="006337EA" w:rsidRDefault="006337EA" w:rsidP="008D6DF2">
            <w:pPr>
              <w:pStyle w:val="NotesText"/>
            </w:pPr>
            <w:r>
              <w:t>“</w:t>
            </w:r>
            <w:r w:rsidRPr="006337EA">
              <w:t>Patient has no VBECS records at the re</w:t>
            </w:r>
            <w:r>
              <w:t>ceipt of the merge message” d</w:t>
            </w:r>
            <w:r w:rsidRPr="006337EA">
              <w:t xml:space="preserve">isplays when </w:t>
            </w:r>
            <w:r>
              <w:t xml:space="preserve">the </w:t>
            </w:r>
            <w:r w:rsidRPr="006337EA">
              <w:t xml:space="preserve">merge-from </w:t>
            </w:r>
            <w:r w:rsidR="008D6DF2">
              <w:t>or merge-</w:t>
            </w:r>
            <w:r>
              <w:t xml:space="preserve">to </w:t>
            </w:r>
            <w:r w:rsidRPr="006337EA">
              <w:t xml:space="preserve">patient </w:t>
            </w:r>
            <w:r w:rsidR="008D6DF2">
              <w:t>is</w:t>
            </w:r>
            <w:r w:rsidRPr="006337EA">
              <w:t xml:space="preserve"> not found in VBECS</w:t>
            </w:r>
            <w:r w:rsidR="008D6DF2">
              <w:t>.</w:t>
            </w:r>
          </w:p>
        </w:tc>
      </w:tr>
      <w:tr w:rsidR="007A00DE" w14:paraId="7AF54783" w14:textId="77777777">
        <w:tc>
          <w:tcPr>
            <w:tcW w:w="3240" w:type="dxa"/>
          </w:tcPr>
          <w:p w14:paraId="2160508D" w14:textId="77777777" w:rsidR="007A00DE" w:rsidRDefault="007A00DE" w:rsidP="007A00DE">
            <w:pPr>
              <w:pStyle w:val="TableTextNumbers"/>
              <w:numPr>
                <w:ilvl w:val="0"/>
                <w:numId w:val="0"/>
              </w:numPr>
            </w:pPr>
            <w:r>
              <w:t>Merge-to Patients</w:t>
            </w:r>
          </w:p>
          <w:p w14:paraId="06FEEB85" w14:textId="77777777" w:rsidR="007A00DE" w:rsidRDefault="007A00DE" w:rsidP="007A00DE">
            <w:pPr>
              <w:pStyle w:val="TableTextNumbers"/>
              <w:numPr>
                <w:ilvl w:val="0"/>
                <w:numId w:val="0"/>
              </w:numPr>
            </w:pPr>
          </w:p>
          <w:p w14:paraId="7C9E0CED" w14:textId="77777777" w:rsidR="007A00DE" w:rsidRDefault="007A00DE" w:rsidP="007A00DE">
            <w:pPr>
              <w:pStyle w:val="TableTextNumbers"/>
            </w:pPr>
            <w:r>
              <w:t>Update the merge-to patient record to include SIs and TRs from the merge-from patient record.</w:t>
            </w:r>
          </w:p>
          <w:p w14:paraId="5662E877" w14:textId="77777777" w:rsidR="007A00DE" w:rsidRDefault="007A00DE" w:rsidP="007A00DE">
            <w:pPr>
              <w:pStyle w:val="TableTextNumbersContinued"/>
            </w:pPr>
          </w:p>
          <w:p w14:paraId="2B7D0D8D" w14:textId="77777777" w:rsidR="007A00DE" w:rsidRDefault="007A00DE" w:rsidP="007A00DE">
            <w:pPr>
              <w:pStyle w:val="TableTextNumbersContinued"/>
            </w:pPr>
            <w:r>
              <w:t>Insert a comment in the Special Instruction field to note that a merge occurred.</w:t>
            </w:r>
          </w:p>
        </w:tc>
        <w:tc>
          <w:tcPr>
            <w:tcW w:w="6120" w:type="dxa"/>
          </w:tcPr>
          <w:p w14:paraId="777D9869" w14:textId="77777777" w:rsidR="007A00DE" w:rsidRPr="00935E73" w:rsidRDefault="007A00DE" w:rsidP="00825A62">
            <w:pPr>
              <w:pStyle w:val="TableText"/>
            </w:pPr>
          </w:p>
          <w:p w14:paraId="284CEB35" w14:textId="77777777" w:rsidR="007A00DE" w:rsidRPr="00825A62" w:rsidRDefault="00057948" w:rsidP="00825A62">
            <w:pPr>
              <w:pStyle w:val="TableText"/>
              <w:rPr>
                <w:b/>
                <w:bCs/>
                <w:szCs w:val="18"/>
              </w:rPr>
            </w:pPr>
            <w:r>
              <w:rPr>
                <w:b/>
                <w:bCs/>
                <w:noProof/>
              </w:rPr>
              <mc:AlternateContent>
                <mc:Choice Requires="wps">
                  <w:drawing>
                    <wp:anchor distT="0" distB="0" distL="114300" distR="114300" simplePos="0" relativeHeight="251979264" behindDoc="0" locked="0" layoutInCell="1" allowOverlap="1" wp14:anchorId="6929B5CE" wp14:editId="7A974A4F">
                      <wp:simplePos x="0" y="0"/>
                      <wp:positionH relativeFrom="column">
                        <wp:posOffset>457200</wp:posOffset>
                      </wp:positionH>
                      <wp:positionV relativeFrom="paragraph">
                        <wp:posOffset>65405</wp:posOffset>
                      </wp:positionV>
                      <wp:extent cx="3200400" cy="0"/>
                      <wp:effectExtent l="9525" t="17780" r="9525" b="10795"/>
                      <wp:wrapNone/>
                      <wp:docPr id="385" name="Line 1187" descr="P7496C8T8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69D01" id="Line 1187" o:spid="_x0000_s1026" alt="&quot;&quot;" style="position:absolute;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AAR85fEAQAAbwMAAA4AAAAAAAAAAAAAAAAA&#10;LgIAAGRycy9lMm9Eb2MueG1sUEsBAi0AFAAGAAgAAAAhABdPMBLbAAAACAEAAA8AAAAAAAAAAAAA&#10;AAAAHgQAAGRycy9kb3ducmV2LnhtbFBLBQYAAAAABAAEAPMAAAAmBQAAAAA=&#10;" strokeweight="1.5pt"/>
                  </w:pict>
                </mc:Fallback>
              </mc:AlternateContent>
            </w:r>
            <w:r w:rsidR="007A00DE" w:rsidRPr="00825A62">
              <w:rPr>
                <w:b/>
                <w:bCs/>
                <w:szCs w:val="18"/>
              </w:rPr>
              <w:t>NOTES</w:t>
            </w:r>
          </w:p>
          <w:p w14:paraId="29E81BDC" w14:textId="77777777" w:rsidR="007A00DE" w:rsidRDefault="007A00DE" w:rsidP="00825A62">
            <w:pPr>
              <w:pStyle w:val="NotesText"/>
            </w:pPr>
          </w:p>
          <w:p w14:paraId="488184F6" w14:textId="77777777" w:rsidR="00BC7A6E" w:rsidRDefault="00DB201F" w:rsidP="00BC7A6E">
            <w:pPr>
              <w:pStyle w:val="TableTextBullet"/>
              <w:numPr>
                <w:ilvl w:val="0"/>
                <w:numId w:val="0"/>
              </w:numPr>
              <w:ind w:left="720"/>
            </w:pPr>
            <w:r>
              <w:t>A user c</w:t>
            </w:r>
            <w:r w:rsidR="00BC7A6E">
              <w:t>annot update SIs or TRs if the merge to patient does not have a VBECS record.</w:t>
            </w:r>
          </w:p>
          <w:p w14:paraId="2BD6BA7E" w14:textId="77777777" w:rsidR="00BC7A6E" w:rsidRDefault="00BC7A6E" w:rsidP="00825A62">
            <w:pPr>
              <w:pStyle w:val="NotesText"/>
            </w:pPr>
          </w:p>
          <w:p w14:paraId="67BD478B" w14:textId="77777777" w:rsidR="00825A62" w:rsidRDefault="00825A62" w:rsidP="00825A62">
            <w:pPr>
              <w:pStyle w:val="NotesText"/>
            </w:pPr>
            <w:r>
              <w:t>Local policy must define how to handle records when the merge to patient does not exist in VBECS.</w:t>
            </w:r>
          </w:p>
          <w:p w14:paraId="636E7C2E" w14:textId="77777777" w:rsidR="00825A62" w:rsidRDefault="00825A62" w:rsidP="00825A62">
            <w:pPr>
              <w:pStyle w:val="NotesText"/>
            </w:pPr>
          </w:p>
          <w:p w14:paraId="209EE500" w14:textId="77777777" w:rsidR="007A00DE" w:rsidRDefault="007A00DE" w:rsidP="00825A62">
            <w:pPr>
              <w:pStyle w:val="NotesText"/>
            </w:pPr>
            <w:r>
              <w:t>The merge-to patient record is the active record in VBECS.</w:t>
            </w:r>
          </w:p>
          <w:p w14:paraId="0AC4073F" w14:textId="77777777" w:rsidR="007A00DE" w:rsidRDefault="007A00DE" w:rsidP="00825A62">
            <w:pPr>
              <w:pStyle w:val="NotesText"/>
            </w:pPr>
          </w:p>
          <w:p w14:paraId="1D56B1FD" w14:textId="77777777" w:rsidR="007A00DE" w:rsidRDefault="007A00DE" w:rsidP="00825A62">
            <w:pPr>
              <w:pStyle w:val="NotesText"/>
            </w:pPr>
            <w:r>
              <w:t xml:space="preserve">Use Special Instructions &amp; Transfusion Requirements: Enter a Transfusion Requirement, and Special Instructions &amp; Transfusion Requirements: Enter and Remove Special </w:t>
            </w:r>
            <w:r>
              <w:lastRenderedPageBreak/>
              <w:t xml:space="preserve">Instructions to enter, update, or delete relevant component requirements, antibodies, or antigen requirements. </w:t>
            </w:r>
          </w:p>
          <w:p w14:paraId="21F6EFEF" w14:textId="77777777" w:rsidR="007A00DE" w:rsidRDefault="007A00DE" w:rsidP="00825A62">
            <w:pPr>
              <w:pStyle w:val="NotesText"/>
            </w:pPr>
          </w:p>
          <w:p w14:paraId="195F6012" w14:textId="77777777" w:rsidR="007A00DE" w:rsidRDefault="007A00DE" w:rsidP="00825A62">
            <w:pPr>
              <w:pStyle w:val="NotesText"/>
            </w:pPr>
            <w:r>
              <w:t>Enter an SI comment in the merge-to patient record, for example, “This patient record was merged with &lt;</w:t>
            </w:r>
            <w:r w:rsidRPr="00825A62">
              <w:rPr>
                <w:i/>
              </w:rPr>
              <w:t>insert merge-from patient name</w:t>
            </w:r>
            <w:r w:rsidRPr="000F2898">
              <w:t>&gt;</w:t>
            </w:r>
            <w:r>
              <w:t xml:space="preserve"> in VistA and is used to process orders after &lt;</w:t>
            </w:r>
            <w:r w:rsidRPr="00825A62">
              <w:rPr>
                <w:i/>
              </w:rPr>
              <w:t>insert merge date and time</w:t>
            </w:r>
            <w:r w:rsidRPr="000F2898">
              <w:t>&gt;</w:t>
            </w:r>
            <w:r>
              <w:t>. Refer to the records of &lt;</w:t>
            </w:r>
            <w:r w:rsidRPr="00825A62">
              <w:rPr>
                <w:i/>
              </w:rPr>
              <w:t>insert merge-from patient name</w:t>
            </w:r>
            <w:r w:rsidRPr="000F2898">
              <w:t>&gt;</w:t>
            </w:r>
            <w:r>
              <w:t xml:space="preserve"> for testing and transfusion information prior to the merge event.”</w:t>
            </w:r>
          </w:p>
        </w:tc>
      </w:tr>
      <w:tr w:rsidR="007A00DE" w14:paraId="249F9DA4" w14:textId="77777777">
        <w:tc>
          <w:tcPr>
            <w:tcW w:w="3240" w:type="dxa"/>
          </w:tcPr>
          <w:p w14:paraId="2EC5568A" w14:textId="77777777" w:rsidR="007A00DE" w:rsidRDefault="007A00DE" w:rsidP="007A00DE">
            <w:pPr>
              <w:pStyle w:val="TableTextNumbers"/>
            </w:pPr>
            <w:r>
              <w:lastRenderedPageBreak/>
              <w:t xml:space="preserve">Resolve ABO/Rh discrepancies among patients. </w:t>
            </w:r>
          </w:p>
          <w:p w14:paraId="6395BFFA" w14:textId="77777777" w:rsidR="007A00DE" w:rsidRDefault="007A00DE" w:rsidP="007A00DE">
            <w:pPr>
              <w:pStyle w:val="TableTextNumbersContinued"/>
            </w:pPr>
          </w:p>
          <w:p w14:paraId="02F2BD7B" w14:textId="77777777" w:rsidR="007A00DE" w:rsidRDefault="007A00DE" w:rsidP="007A00DE">
            <w:pPr>
              <w:pStyle w:val="TableTextNumbersContinued"/>
            </w:pPr>
            <w:r>
              <w:t>Determine which blood type is correct for use</w:t>
            </w:r>
            <w:r>
              <w:rPr>
                <w:rStyle w:val="CommentReference"/>
              </w:rPr>
              <w:t>.</w:t>
            </w:r>
          </w:p>
        </w:tc>
        <w:tc>
          <w:tcPr>
            <w:tcW w:w="6120" w:type="dxa"/>
          </w:tcPr>
          <w:p w14:paraId="355BBB20" w14:textId="77777777" w:rsidR="007A00DE" w:rsidRPr="00935E73" w:rsidRDefault="007A00DE" w:rsidP="007A00DE">
            <w:pPr>
              <w:pStyle w:val="TableText"/>
            </w:pPr>
          </w:p>
          <w:p w14:paraId="1B26913F" w14:textId="77777777" w:rsidR="007A00DE" w:rsidRDefault="00057948" w:rsidP="007A00DE">
            <w:pPr>
              <w:pStyle w:val="TableText"/>
              <w:rPr>
                <w:b/>
                <w:bCs/>
                <w:szCs w:val="18"/>
              </w:rPr>
            </w:pPr>
            <w:r>
              <w:rPr>
                <w:b/>
                <w:bCs/>
                <w:noProof/>
              </w:rPr>
              <mc:AlternateContent>
                <mc:Choice Requires="wps">
                  <w:drawing>
                    <wp:anchor distT="0" distB="0" distL="114300" distR="114300" simplePos="0" relativeHeight="251985408" behindDoc="0" locked="0" layoutInCell="1" allowOverlap="1" wp14:anchorId="60090463" wp14:editId="190AC39E">
                      <wp:simplePos x="0" y="0"/>
                      <wp:positionH relativeFrom="column">
                        <wp:posOffset>457200</wp:posOffset>
                      </wp:positionH>
                      <wp:positionV relativeFrom="paragraph">
                        <wp:posOffset>65405</wp:posOffset>
                      </wp:positionV>
                      <wp:extent cx="3200400" cy="0"/>
                      <wp:effectExtent l="9525" t="17780" r="9525" b="10795"/>
                      <wp:wrapNone/>
                      <wp:docPr id="384" name="Line 1189" descr="P7512C10T8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4F076" id="Line 1189" o:spid="_x0000_s1026" alt="&quot;&quot;" style="position:absolute;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BHSnzTEAQAAbwMAAA4AAAAAAAAAAAAAAAAA&#10;LgIAAGRycy9lMm9Eb2MueG1sUEsBAi0AFAAGAAgAAAAhABdPMBLbAAAACAEAAA8AAAAAAAAAAAAA&#10;AAAAHgQAAGRycy9kb3ducmV2LnhtbFBLBQYAAAAABAAEAPMAAAAmBQAAAAA=&#10;" strokeweight="1.5pt"/>
                  </w:pict>
                </mc:Fallback>
              </mc:AlternateContent>
            </w:r>
            <w:r w:rsidR="007A00DE">
              <w:rPr>
                <w:b/>
                <w:bCs/>
                <w:szCs w:val="18"/>
              </w:rPr>
              <w:t>NOTES</w:t>
            </w:r>
          </w:p>
          <w:p w14:paraId="319EE778" w14:textId="77777777" w:rsidR="007A00DE" w:rsidRDefault="007A00DE" w:rsidP="007A00DE">
            <w:pPr>
              <w:pStyle w:val="NotesText"/>
            </w:pPr>
          </w:p>
          <w:p w14:paraId="3822A84F" w14:textId="77777777" w:rsidR="007A00DE" w:rsidRDefault="007A00DE" w:rsidP="007A00DE">
            <w:pPr>
              <w:pStyle w:val="NotesText"/>
            </w:pPr>
            <w:r>
              <w:t>Use Justify ABO/Rh Change to finalize blood type changes for the merge-to patient.</w:t>
            </w:r>
          </w:p>
        </w:tc>
      </w:tr>
      <w:tr w:rsidR="007A00DE" w14:paraId="47312D81" w14:textId="77777777">
        <w:tc>
          <w:tcPr>
            <w:tcW w:w="3240" w:type="dxa"/>
          </w:tcPr>
          <w:p w14:paraId="1A6F663C" w14:textId="77777777" w:rsidR="007A00DE" w:rsidRDefault="007A00DE" w:rsidP="007A00DE">
            <w:pPr>
              <w:pStyle w:val="TableTextNumbers"/>
            </w:pPr>
            <w:r>
              <w:t>Complete pending orders for the merge-to patient.</w:t>
            </w:r>
          </w:p>
        </w:tc>
        <w:tc>
          <w:tcPr>
            <w:tcW w:w="6120" w:type="dxa"/>
          </w:tcPr>
          <w:p w14:paraId="3EB1D47A" w14:textId="77777777" w:rsidR="007A00DE" w:rsidRDefault="007A00DE" w:rsidP="007A00DE">
            <w:pPr>
              <w:pStyle w:val="TableText"/>
            </w:pPr>
          </w:p>
        </w:tc>
      </w:tr>
      <w:tr w:rsidR="007A00DE" w14:paraId="2550339B" w14:textId="77777777">
        <w:tc>
          <w:tcPr>
            <w:tcW w:w="3240" w:type="dxa"/>
          </w:tcPr>
          <w:p w14:paraId="44AB77E4" w14:textId="77777777" w:rsidR="007A00DE" w:rsidRDefault="007A00DE" w:rsidP="007A00DE">
            <w:pPr>
              <w:pStyle w:val="TableTextNumbers"/>
              <w:numPr>
                <w:ilvl w:val="0"/>
                <w:numId w:val="0"/>
              </w:numPr>
            </w:pPr>
            <w:r>
              <w:t>Merge-from Patients</w:t>
            </w:r>
          </w:p>
          <w:p w14:paraId="0123515B" w14:textId="77777777" w:rsidR="007A00DE" w:rsidRDefault="007A00DE" w:rsidP="007A00DE">
            <w:pPr>
              <w:pStyle w:val="TableTextNumbers"/>
              <w:numPr>
                <w:ilvl w:val="0"/>
                <w:numId w:val="0"/>
              </w:numPr>
            </w:pPr>
          </w:p>
          <w:p w14:paraId="42F4B646" w14:textId="77777777" w:rsidR="007A00DE" w:rsidRDefault="007A00DE" w:rsidP="007A00DE">
            <w:pPr>
              <w:pStyle w:val="TableTextNumbers"/>
            </w:pPr>
            <w:r>
              <w:t>Update the merge-from patient record to include SIs and TRs from the merge-to patient record</w:t>
            </w:r>
          </w:p>
          <w:p w14:paraId="41016755" w14:textId="77777777" w:rsidR="007A00DE" w:rsidRDefault="007A00DE" w:rsidP="007A00DE">
            <w:pPr>
              <w:pStyle w:val="TableTextNumbersContinued"/>
            </w:pPr>
          </w:p>
          <w:p w14:paraId="6DE60D41" w14:textId="77777777" w:rsidR="007A00DE" w:rsidRDefault="007A00DE" w:rsidP="007A00DE">
            <w:pPr>
              <w:pStyle w:val="TableTextNumbersContinued"/>
            </w:pPr>
            <w:r>
              <w:t>Insert a comment in the Special Instruction field to note that a merge occurred.</w:t>
            </w:r>
          </w:p>
        </w:tc>
        <w:tc>
          <w:tcPr>
            <w:tcW w:w="6120" w:type="dxa"/>
          </w:tcPr>
          <w:p w14:paraId="2D976D9A" w14:textId="77777777" w:rsidR="007A00DE" w:rsidRPr="00935E73" w:rsidRDefault="007A00DE" w:rsidP="007A00DE">
            <w:pPr>
              <w:pStyle w:val="TableText"/>
            </w:pPr>
          </w:p>
          <w:p w14:paraId="25547182" w14:textId="77777777" w:rsidR="007A00DE" w:rsidRDefault="00057948" w:rsidP="007A00DE">
            <w:pPr>
              <w:pStyle w:val="TableText"/>
              <w:rPr>
                <w:b/>
                <w:bCs/>
                <w:szCs w:val="18"/>
              </w:rPr>
            </w:pPr>
            <w:r>
              <w:rPr>
                <w:b/>
                <w:bCs/>
                <w:noProof/>
              </w:rPr>
              <mc:AlternateContent>
                <mc:Choice Requires="wps">
                  <w:drawing>
                    <wp:anchor distT="0" distB="0" distL="114300" distR="114300" simplePos="0" relativeHeight="251982336" behindDoc="0" locked="0" layoutInCell="1" allowOverlap="1" wp14:anchorId="1DA67A17" wp14:editId="4CFF553F">
                      <wp:simplePos x="0" y="0"/>
                      <wp:positionH relativeFrom="column">
                        <wp:posOffset>457200</wp:posOffset>
                      </wp:positionH>
                      <wp:positionV relativeFrom="paragraph">
                        <wp:posOffset>65405</wp:posOffset>
                      </wp:positionV>
                      <wp:extent cx="3200400" cy="0"/>
                      <wp:effectExtent l="9525" t="17780" r="9525" b="10795"/>
                      <wp:wrapNone/>
                      <wp:docPr id="383" name="Line 1188" descr="P7525C14T8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8BE6A" id="Line 1188" o:spid="_x0000_s1026" alt="&quot;&quot;" style="position:absolute;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pwlyFsMBAABvAwAADgAAAAAAAAAAAAAAAAAu&#10;AgAAZHJzL2Uyb0RvYy54bWxQSwECLQAUAAYACAAAACEAF08wEtsAAAAIAQAADwAAAAAAAAAAAAAA&#10;AAAdBAAAZHJzL2Rvd25yZXYueG1sUEsFBgAAAAAEAAQA8wAAACUFAAAAAA==&#10;" strokeweight="1.5pt"/>
                  </w:pict>
                </mc:Fallback>
              </mc:AlternateContent>
            </w:r>
            <w:r w:rsidR="007A00DE">
              <w:rPr>
                <w:b/>
                <w:bCs/>
                <w:szCs w:val="18"/>
              </w:rPr>
              <w:t>NOTES</w:t>
            </w:r>
          </w:p>
          <w:p w14:paraId="3393436C" w14:textId="77777777" w:rsidR="00BC7A6E" w:rsidRDefault="00BC7A6E" w:rsidP="00BC7A6E">
            <w:pPr>
              <w:pStyle w:val="TableTextBullet"/>
              <w:numPr>
                <w:ilvl w:val="0"/>
                <w:numId w:val="0"/>
              </w:numPr>
              <w:ind w:left="720"/>
            </w:pPr>
          </w:p>
          <w:p w14:paraId="338E4CBE" w14:textId="77777777" w:rsidR="00BC7A6E" w:rsidRDefault="00BC7A6E" w:rsidP="00BC7A6E">
            <w:pPr>
              <w:pStyle w:val="TableTextBullet"/>
              <w:numPr>
                <w:ilvl w:val="0"/>
                <w:numId w:val="0"/>
              </w:numPr>
              <w:ind w:left="720"/>
            </w:pPr>
            <w:r>
              <w:t>A user cannot update SIs or TRs if the merge from patient does not have a VBECS record.</w:t>
            </w:r>
          </w:p>
          <w:p w14:paraId="7522EBF0" w14:textId="77777777" w:rsidR="007A00DE" w:rsidRDefault="007A00DE" w:rsidP="007A00DE">
            <w:pPr>
              <w:pStyle w:val="NotesText"/>
            </w:pPr>
          </w:p>
          <w:p w14:paraId="57C24B00" w14:textId="77777777" w:rsidR="00BC7526" w:rsidRDefault="00BC7526" w:rsidP="00BC7526">
            <w:pPr>
              <w:pStyle w:val="NotesText"/>
            </w:pPr>
            <w:r>
              <w:t>Local policy must define how to handle records when the merge from patient does not exist in VBECS.</w:t>
            </w:r>
          </w:p>
          <w:p w14:paraId="53C41FBB" w14:textId="77777777" w:rsidR="00BC7526" w:rsidRDefault="00BC7526" w:rsidP="00BC7526">
            <w:pPr>
              <w:pStyle w:val="NotesText"/>
            </w:pPr>
          </w:p>
          <w:p w14:paraId="260235E2" w14:textId="77777777" w:rsidR="007A00DE" w:rsidRDefault="007A00DE" w:rsidP="007A00DE">
            <w:pPr>
              <w:pStyle w:val="NotesText"/>
            </w:pPr>
            <w:r>
              <w:t>The merge-from patient record is the inactive record in VBECS</w:t>
            </w:r>
            <w:r w:rsidR="00B75ABB">
              <w:t>.</w:t>
            </w:r>
          </w:p>
          <w:p w14:paraId="3DD9D6A0" w14:textId="77777777" w:rsidR="007A00DE" w:rsidRDefault="007A00DE" w:rsidP="007A00DE">
            <w:pPr>
              <w:pStyle w:val="NotesText"/>
            </w:pPr>
          </w:p>
          <w:p w14:paraId="690B8274" w14:textId="77777777" w:rsidR="007A00DE" w:rsidRDefault="007A00DE" w:rsidP="007A00DE">
            <w:pPr>
              <w:pStyle w:val="NotesText"/>
            </w:pPr>
            <w:r>
              <w:t xml:space="preserve">Use Special Instructions &amp; Transfusion Requirements: Enter a Transfusion Requirement, and Special Instructions &amp; Transfusion Requirements: Enter and Remove Special Instructions to enter, update, or delete relevant component requirements, antibodies, or antigen requirements. </w:t>
            </w:r>
          </w:p>
          <w:p w14:paraId="79987D2B" w14:textId="77777777" w:rsidR="007A00DE" w:rsidRDefault="007A00DE" w:rsidP="007A00DE">
            <w:pPr>
              <w:pStyle w:val="NotesText"/>
            </w:pPr>
          </w:p>
          <w:p w14:paraId="6A06E370" w14:textId="77777777" w:rsidR="007A00DE" w:rsidRDefault="007A00DE" w:rsidP="007A00DE">
            <w:pPr>
              <w:pStyle w:val="NotesText"/>
            </w:pPr>
            <w:r>
              <w:t>Enter an SI comment in the merge-from patient record, for example, “This patient record was merged with &lt;</w:t>
            </w:r>
            <w:r w:rsidRPr="000F2898">
              <w:rPr>
                <w:i/>
              </w:rPr>
              <w:t>insert merge-</w:t>
            </w:r>
            <w:r>
              <w:rPr>
                <w:i/>
              </w:rPr>
              <w:t>to</w:t>
            </w:r>
            <w:r w:rsidRPr="000F2898">
              <w:rPr>
                <w:i/>
              </w:rPr>
              <w:t xml:space="preserve"> patient name</w:t>
            </w:r>
            <w:r w:rsidRPr="000F2898">
              <w:t>&gt;</w:t>
            </w:r>
            <w:r>
              <w:t xml:space="preserve"> in VistA and must not be used to process orders after &lt;</w:t>
            </w:r>
            <w:r w:rsidRPr="000F2898">
              <w:rPr>
                <w:i/>
              </w:rPr>
              <w:t>insert merge date</w:t>
            </w:r>
            <w:r>
              <w:rPr>
                <w:i/>
              </w:rPr>
              <w:t xml:space="preserve"> and </w:t>
            </w:r>
            <w:r w:rsidRPr="000F2898">
              <w:rPr>
                <w:i/>
              </w:rPr>
              <w:t>time</w:t>
            </w:r>
            <w:r w:rsidRPr="000F2898">
              <w:t>&gt;</w:t>
            </w:r>
            <w:r>
              <w:t>. Refer to the records of &lt;</w:t>
            </w:r>
            <w:r w:rsidRPr="000F2898">
              <w:rPr>
                <w:i/>
              </w:rPr>
              <w:t>insert merge-</w:t>
            </w:r>
            <w:r>
              <w:rPr>
                <w:i/>
              </w:rPr>
              <w:t>to</w:t>
            </w:r>
            <w:r w:rsidRPr="000F2898">
              <w:rPr>
                <w:i/>
              </w:rPr>
              <w:t xml:space="preserve"> patient name</w:t>
            </w:r>
            <w:r w:rsidRPr="000F2898">
              <w:t>&gt;</w:t>
            </w:r>
            <w:r>
              <w:t xml:space="preserve"> for testing and transfusion information after the merge event.”</w:t>
            </w:r>
          </w:p>
        </w:tc>
      </w:tr>
      <w:tr w:rsidR="00BC7526" w14:paraId="0CBE4C21" w14:textId="77777777">
        <w:tc>
          <w:tcPr>
            <w:tcW w:w="3240" w:type="dxa"/>
          </w:tcPr>
          <w:p w14:paraId="10D874B6" w14:textId="77777777" w:rsidR="00BC7526" w:rsidRDefault="00BC7526" w:rsidP="007A00DE">
            <w:pPr>
              <w:pStyle w:val="TableTextNumbers"/>
            </w:pPr>
            <w:r>
              <w:t>Cancel pending orders on the merge-from patient. Request replacement orders for the merge-to patient, as appropriate.</w:t>
            </w:r>
          </w:p>
        </w:tc>
        <w:tc>
          <w:tcPr>
            <w:tcW w:w="6120" w:type="dxa"/>
          </w:tcPr>
          <w:p w14:paraId="5B0234D2" w14:textId="77777777" w:rsidR="00BC7526" w:rsidRPr="00935E73" w:rsidRDefault="00BC7526" w:rsidP="000305DD">
            <w:pPr>
              <w:pStyle w:val="TableText"/>
            </w:pPr>
          </w:p>
          <w:p w14:paraId="7EB139CC" w14:textId="77777777" w:rsidR="00BC7526" w:rsidRDefault="00057948" w:rsidP="000305DD">
            <w:pPr>
              <w:pStyle w:val="TableText"/>
              <w:rPr>
                <w:b/>
                <w:bCs/>
                <w:szCs w:val="18"/>
              </w:rPr>
            </w:pPr>
            <w:r>
              <w:rPr>
                <w:b/>
                <w:bCs/>
                <w:noProof/>
              </w:rPr>
              <mc:AlternateContent>
                <mc:Choice Requires="wps">
                  <w:drawing>
                    <wp:anchor distT="0" distB="0" distL="114300" distR="114300" simplePos="0" relativeHeight="252006912" behindDoc="0" locked="0" layoutInCell="1" allowOverlap="1" wp14:anchorId="0FB9A53B" wp14:editId="7A762B59">
                      <wp:simplePos x="0" y="0"/>
                      <wp:positionH relativeFrom="column">
                        <wp:posOffset>457200</wp:posOffset>
                      </wp:positionH>
                      <wp:positionV relativeFrom="paragraph">
                        <wp:posOffset>65405</wp:posOffset>
                      </wp:positionV>
                      <wp:extent cx="3200400" cy="0"/>
                      <wp:effectExtent l="9525" t="17780" r="9525" b="10795"/>
                      <wp:wrapNone/>
                      <wp:docPr id="382" name="Line 1206" descr="P7539C16T8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2E99EA" id="Line 1206" o:spid="_x0000_s1026" alt="&quot;&quot;" style="position:absolute;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KH/Y2LEAQAAbwMAAA4AAAAAAAAAAAAAAAAA&#10;LgIAAGRycy9lMm9Eb2MueG1sUEsBAi0AFAAGAAgAAAAhABdPMBLbAAAACAEAAA8AAAAAAAAAAAAA&#10;AAAAHgQAAGRycy9kb3ducmV2LnhtbFBLBQYAAAAABAAEAPMAAAAmBQAAAAA=&#10;" strokeweight="1.5pt"/>
                  </w:pict>
                </mc:Fallback>
              </mc:AlternateContent>
            </w:r>
            <w:r w:rsidR="00BC7526">
              <w:rPr>
                <w:b/>
                <w:bCs/>
                <w:szCs w:val="18"/>
              </w:rPr>
              <w:t>NOTES</w:t>
            </w:r>
          </w:p>
          <w:p w14:paraId="70033B52" w14:textId="77777777" w:rsidR="00BC7526" w:rsidRDefault="00BC7526" w:rsidP="000305DD">
            <w:pPr>
              <w:pStyle w:val="NotesText"/>
            </w:pPr>
          </w:p>
          <w:p w14:paraId="4707AE80" w14:textId="77777777" w:rsidR="00BC7526" w:rsidRDefault="00BC7526" w:rsidP="00BC7526">
            <w:pPr>
              <w:pStyle w:val="NotesText"/>
            </w:pPr>
            <w:r>
              <w:t>Local policy must define how to handle orders when the merge from patient or merge to patient does not exist in VBECS.</w:t>
            </w:r>
          </w:p>
        </w:tc>
      </w:tr>
      <w:tr w:rsidR="00BC7526" w14:paraId="2E773B71" w14:textId="77777777">
        <w:tc>
          <w:tcPr>
            <w:tcW w:w="3240" w:type="dxa"/>
          </w:tcPr>
          <w:p w14:paraId="7B7B497A" w14:textId="77777777" w:rsidR="00BC7526" w:rsidRDefault="00BC7526" w:rsidP="007A00DE">
            <w:pPr>
              <w:pStyle w:val="TableTextNumbers"/>
            </w:pPr>
            <w:r>
              <w:t xml:space="preserve">To confirm that the merge-from and merge-to patient SIs and TRs match on the </w:t>
            </w:r>
            <w:r w:rsidRPr="00732440">
              <w:t>Patient Merge</w:t>
            </w:r>
            <w:r>
              <w:t xml:space="preserve"> display.</w:t>
            </w:r>
          </w:p>
        </w:tc>
        <w:tc>
          <w:tcPr>
            <w:tcW w:w="6120" w:type="dxa"/>
          </w:tcPr>
          <w:p w14:paraId="43BED611" w14:textId="77777777" w:rsidR="00BC7526" w:rsidRPr="00935E73" w:rsidRDefault="00BC7526" w:rsidP="000305DD">
            <w:pPr>
              <w:pStyle w:val="TableText"/>
            </w:pPr>
          </w:p>
          <w:p w14:paraId="0B2710B0" w14:textId="77777777" w:rsidR="00BC7526" w:rsidRDefault="00057948" w:rsidP="000305DD">
            <w:pPr>
              <w:pStyle w:val="TableText"/>
              <w:rPr>
                <w:b/>
                <w:bCs/>
                <w:szCs w:val="18"/>
              </w:rPr>
            </w:pPr>
            <w:r>
              <w:rPr>
                <w:b/>
                <w:bCs/>
                <w:noProof/>
              </w:rPr>
              <mc:AlternateContent>
                <mc:Choice Requires="wps">
                  <w:drawing>
                    <wp:anchor distT="0" distB="0" distL="114300" distR="114300" simplePos="0" relativeHeight="252009984" behindDoc="0" locked="0" layoutInCell="1" allowOverlap="1" wp14:anchorId="25C21A73" wp14:editId="2269F0E4">
                      <wp:simplePos x="0" y="0"/>
                      <wp:positionH relativeFrom="column">
                        <wp:posOffset>457200</wp:posOffset>
                      </wp:positionH>
                      <wp:positionV relativeFrom="paragraph">
                        <wp:posOffset>65405</wp:posOffset>
                      </wp:positionV>
                      <wp:extent cx="3200400" cy="0"/>
                      <wp:effectExtent l="9525" t="17780" r="9525" b="10795"/>
                      <wp:wrapNone/>
                      <wp:docPr id="381" name="Line 1207" descr="P7545C18T8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4DAA7" id="Line 1207" o:spid="_x0000_s1026" alt="&quot;&quot;" style="position:absolute;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Oh8MzXEAQAAbwMAAA4AAAAAAAAAAAAAAAAA&#10;LgIAAGRycy9lMm9Eb2MueG1sUEsBAi0AFAAGAAgAAAAhABdPMBLbAAAACAEAAA8AAAAAAAAAAAAA&#10;AAAAHgQAAGRycy9kb3ducmV2LnhtbFBLBQYAAAAABAAEAPMAAAAmBQAAAAA=&#10;" strokeweight="1.5pt"/>
                  </w:pict>
                </mc:Fallback>
              </mc:AlternateContent>
            </w:r>
            <w:r w:rsidR="00BC7526">
              <w:rPr>
                <w:b/>
                <w:bCs/>
                <w:szCs w:val="18"/>
              </w:rPr>
              <w:t>NOTES</w:t>
            </w:r>
          </w:p>
          <w:p w14:paraId="74B7E07D" w14:textId="77777777" w:rsidR="00BC7526" w:rsidRDefault="00BC7526" w:rsidP="000305DD">
            <w:pPr>
              <w:pStyle w:val="NotesText"/>
            </w:pPr>
          </w:p>
          <w:p w14:paraId="4D2C1039" w14:textId="77777777" w:rsidR="00BC7526" w:rsidRDefault="00BC7526" w:rsidP="00BC7526">
            <w:pPr>
              <w:pStyle w:val="NotesText"/>
            </w:pPr>
            <w:r>
              <w:t>Local policy must define how to handle records when the merge from patient or merge to patient does not exist in VBECS.</w:t>
            </w:r>
          </w:p>
        </w:tc>
      </w:tr>
      <w:tr w:rsidR="00B473F5" w14:paraId="38B3D613" w14:textId="77777777">
        <w:trPr>
          <w:hidden/>
        </w:trPr>
        <w:tc>
          <w:tcPr>
            <w:tcW w:w="3240" w:type="dxa"/>
          </w:tcPr>
          <w:p w14:paraId="2F3024A2" w14:textId="77777777" w:rsidR="00B473F5" w:rsidRDefault="00203F78" w:rsidP="000C6CEA">
            <w:pPr>
              <w:pStyle w:val="TableTextNumbers"/>
            </w:pPr>
            <w:r w:rsidRPr="00203F78">
              <w:rPr>
                <w:vanish/>
              </w:rPr>
              <w:t xml:space="preserve">DR 2,527 </w:t>
            </w:r>
            <w:r>
              <w:t xml:space="preserve">Click </w:t>
            </w:r>
            <w:r w:rsidRPr="00203F78">
              <w:rPr>
                <w:b/>
              </w:rPr>
              <w:t>Clear Patient Merge Alert</w:t>
            </w:r>
            <w:r w:rsidRPr="00203F78">
              <w:t>.</w:t>
            </w:r>
          </w:p>
        </w:tc>
        <w:tc>
          <w:tcPr>
            <w:tcW w:w="6120" w:type="dxa"/>
          </w:tcPr>
          <w:p w14:paraId="64FA38BC" w14:textId="77777777" w:rsidR="00B473F5" w:rsidRDefault="00BC4B7B" w:rsidP="00203F78">
            <w:pPr>
              <w:pStyle w:val="TableTextBullet"/>
            </w:pPr>
            <w:r>
              <w:t>When there are no pending patient updates, c</w:t>
            </w:r>
            <w:r w:rsidR="00203F78">
              <w:t>lears</w:t>
            </w:r>
            <w:r w:rsidR="00AB565A">
              <w:t xml:space="preserve"> </w:t>
            </w:r>
            <w:r w:rsidR="00057948">
              <w:rPr>
                <w:noProof/>
              </w:rPr>
              <w:drawing>
                <wp:inline distT="0" distB="0" distL="0" distR="0" wp14:anchorId="423C076D" wp14:editId="13F5C8C0">
                  <wp:extent cx="166370" cy="156845"/>
                  <wp:effectExtent l="0" t="0" r="5080" b="0"/>
                  <wp:docPr id="234" name="Picture 234" descr="P7550C20T8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P7550C20T81#yIS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w:t>
            </w:r>
            <w:r w:rsidR="00203F78">
              <w:t xml:space="preserve">the </w:t>
            </w:r>
            <w:r>
              <w:t>Patient</w:t>
            </w:r>
            <w:r w:rsidR="00203F78">
              <w:t xml:space="preserve"> Alert icon</w:t>
            </w:r>
            <w:r>
              <w:t>) from the main status bar.</w:t>
            </w:r>
          </w:p>
          <w:p w14:paraId="6E5F74FD" w14:textId="77777777" w:rsidR="005E0771" w:rsidRDefault="005E0771" w:rsidP="00203F78">
            <w:pPr>
              <w:pStyle w:val="TableTextBullet"/>
            </w:pPr>
            <w:r>
              <w:t xml:space="preserve">Displays </w:t>
            </w:r>
            <w:r w:rsidR="00342230">
              <w:t xml:space="preserve">an information message stating that the user viewed the record. </w:t>
            </w:r>
          </w:p>
          <w:p w14:paraId="5F17EEF1" w14:textId="77777777" w:rsidR="000B0170" w:rsidRPr="00935E73" w:rsidRDefault="000B0170" w:rsidP="000B0170">
            <w:pPr>
              <w:pStyle w:val="TableText"/>
            </w:pPr>
          </w:p>
          <w:p w14:paraId="34367615" w14:textId="77777777" w:rsidR="000B0170" w:rsidRDefault="00057948" w:rsidP="000B0170">
            <w:pPr>
              <w:pStyle w:val="TableText"/>
              <w:rPr>
                <w:b/>
                <w:bCs/>
                <w:szCs w:val="18"/>
              </w:rPr>
            </w:pPr>
            <w:r>
              <w:rPr>
                <w:b/>
                <w:bCs/>
                <w:noProof/>
              </w:rPr>
              <mc:AlternateContent>
                <mc:Choice Requires="wps">
                  <w:drawing>
                    <wp:anchor distT="0" distB="0" distL="114300" distR="114300" simplePos="0" relativeHeight="251997696" behindDoc="0" locked="0" layoutInCell="1" allowOverlap="1" wp14:anchorId="572333A8" wp14:editId="554B2289">
                      <wp:simplePos x="0" y="0"/>
                      <wp:positionH relativeFrom="column">
                        <wp:posOffset>457200</wp:posOffset>
                      </wp:positionH>
                      <wp:positionV relativeFrom="paragraph">
                        <wp:posOffset>65405</wp:posOffset>
                      </wp:positionV>
                      <wp:extent cx="3200400" cy="0"/>
                      <wp:effectExtent l="9525" t="17780" r="9525" b="10795"/>
                      <wp:wrapNone/>
                      <wp:docPr id="380" name="Line 1195" descr="P7553C20T8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8B46F" id="Line 1195" o:spid="_x0000_s1026" alt="&quot;&quot;" style="position:absolute;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mrrq4cMBAABvAwAADgAAAAAAAAAAAAAAAAAu&#10;AgAAZHJzL2Uyb0RvYy54bWxQSwECLQAUAAYACAAAACEAF08wEtsAAAAIAQAADwAAAAAAAAAAAAAA&#10;AAAdBAAAZHJzL2Rvd25yZXYueG1sUEsFBgAAAAAEAAQA8wAAACUFAAAAAA==&#10;" strokeweight="1.5pt"/>
                  </w:pict>
                </mc:Fallback>
              </mc:AlternateContent>
            </w:r>
            <w:r w:rsidR="000B0170">
              <w:rPr>
                <w:b/>
                <w:bCs/>
                <w:szCs w:val="18"/>
              </w:rPr>
              <w:t>NOTES</w:t>
            </w:r>
          </w:p>
          <w:p w14:paraId="285CD800" w14:textId="77777777" w:rsidR="000B0170" w:rsidRDefault="000B0170" w:rsidP="000B0170">
            <w:pPr>
              <w:pStyle w:val="NotesText"/>
            </w:pPr>
          </w:p>
          <w:p w14:paraId="0CD73FB6" w14:textId="77777777" w:rsidR="000B0170" w:rsidRDefault="000B0170" w:rsidP="000B0170">
            <w:pPr>
              <w:pStyle w:val="Notes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sidR="00BD3287">
              <w:t>The Clear Patient Merge Alert function is available only to t</w:t>
            </w:r>
            <w:r>
              <w:t xml:space="preserve">he Traditional Supervisor </w:t>
            </w:r>
            <w:r w:rsidR="00BD3287">
              <w:t>and above</w:t>
            </w:r>
            <w:r w:rsidR="00D57F25">
              <w:t>.</w:t>
            </w:r>
          </w:p>
        </w:tc>
      </w:tr>
      <w:tr w:rsidR="00342230" w14:paraId="486008EE" w14:textId="77777777">
        <w:tc>
          <w:tcPr>
            <w:tcW w:w="3240" w:type="dxa"/>
          </w:tcPr>
          <w:p w14:paraId="66287024" w14:textId="77777777" w:rsidR="00342230" w:rsidRPr="00203F78" w:rsidRDefault="00342230" w:rsidP="000C6CEA">
            <w:pPr>
              <w:pStyle w:val="TableTextNumbers"/>
              <w:rPr>
                <w:vanish/>
              </w:rPr>
            </w:pPr>
            <w:r>
              <w:lastRenderedPageBreak/>
              <w:t xml:space="preserve">Click </w:t>
            </w:r>
            <w:r w:rsidRPr="00342230">
              <w:rPr>
                <w:b/>
              </w:rPr>
              <w:t>OK</w:t>
            </w:r>
            <w:r>
              <w:t xml:space="preserve"> to acknowledge the message.</w:t>
            </w:r>
          </w:p>
        </w:tc>
        <w:tc>
          <w:tcPr>
            <w:tcW w:w="6120" w:type="dxa"/>
          </w:tcPr>
          <w:p w14:paraId="3862FBBB" w14:textId="77777777" w:rsidR="00342230" w:rsidRDefault="00342230" w:rsidP="00203F78">
            <w:pPr>
              <w:pStyle w:val="TableTextBullet"/>
            </w:pPr>
            <w:r>
              <w:t>Clears the icon</w:t>
            </w:r>
            <w:r w:rsidR="00A1063F">
              <w:t xml:space="preserve"> when the user acknowledges the</w:t>
            </w:r>
            <w:r>
              <w:t xml:space="preserve"> message.</w:t>
            </w:r>
          </w:p>
        </w:tc>
      </w:tr>
      <w:tr w:rsidR="007A00DE" w14:paraId="3F89C5A7" w14:textId="77777777">
        <w:tc>
          <w:tcPr>
            <w:tcW w:w="3240" w:type="dxa"/>
          </w:tcPr>
          <w:p w14:paraId="27435DB1" w14:textId="77777777" w:rsidR="007A00DE" w:rsidRDefault="007A00DE" w:rsidP="007A00DE">
            <w:pPr>
              <w:pStyle w:val="TableTextNumbers"/>
            </w:pPr>
            <w:r>
              <w:t xml:space="preserve">Click </w:t>
            </w:r>
            <w:r w:rsidR="00D76C47">
              <w:rPr>
                <w:b/>
              </w:rPr>
              <w:t>Close</w:t>
            </w:r>
            <w:r w:rsidR="00D76C47">
              <w:t xml:space="preserve"> </w:t>
            </w:r>
            <w:r>
              <w:t xml:space="preserve">to exit, or return to Step 2.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5E6E10DD" w14:textId="77777777" w:rsidR="007A00DE" w:rsidRDefault="007A00DE" w:rsidP="007A00DE">
            <w:pPr>
              <w:pStyle w:val="TableText"/>
            </w:pPr>
          </w:p>
        </w:tc>
      </w:tr>
    </w:tbl>
    <w:p w14:paraId="23706991" w14:textId="72014B6D" w:rsidR="00C74683" w:rsidRDefault="00C74683" w:rsidP="00C74683">
      <w:pPr>
        <w:pStyle w:val="Caption"/>
      </w:pPr>
      <w:bookmarkStart w:id="482" w:name="_Ref136786613"/>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125</w:t>
      </w:r>
      <w:r w:rsidR="004E20BD">
        <w:rPr>
          <w:noProof/>
        </w:rPr>
        <w:fldChar w:fldCharType="end"/>
      </w:r>
      <w:bookmarkEnd w:id="481"/>
      <w:bookmarkEnd w:id="482"/>
      <w:r>
        <w:t>: Patient Merge</w:t>
      </w:r>
    </w:p>
    <w:p w14:paraId="2A8EA79C" w14:textId="77777777" w:rsidR="00C74683" w:rsidRDefault="00057948" w:rsidP="00C74683">
      <w:pPr>
        <w:pStyle w:val="BodyText"/>
      </w:pPr>
      <w:r>
        <w:rPr>
          <w:noProof/>
        </w:rPr>
        <w:drawing>
          <wp:inline distT="0" distB="0" distL="0" distR="0" wp14:anchorId="13E13685" wp14:editId="41F543B0">
            <wp:extent cx="5781675" cy="3482340"/>
            <wp:effectExtent l="0" t="0" r="9525" b="3810"/>
            <wp:docPr id="235" name="Picture 235" descr="P756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P7564#yIS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781675" cy="3482340"/>
                    </a:xfrm>
                    <a:prstGeom prst="rect">
                      <a:avLst/>
                    </a:prstGeom>
                    <a:noFill/>
                    <a:ln>
                      <a:noFill/>
                    </a:ln>
                  </pic:spPr>
                </pic:pic>
              </a:graphicData>
            </a:graphic>
          </wp:inline>
        </w:drawing>
      </w:r>
    </w:p>
    <w:p w14:paraId="3DC0CD89" w14:textId="77777777" w:rsidR="002A21AE" w:rsidRDefault="00AC2D9E">
      <w:pPr>
        <w:pStyle w:val="Heading3"/>
      </w:pPr>
      <w:r>
        <w:br w:type="page"/>
      </w:r>
      <w:bookmarkStart w:id="483" w:name="_Toc4588813"/>
      <w:r w:rsidR="002A21AE">
        <w:lastRenderedPageBreak/>
        <w:t>Updated Patients and Deceased Patients</w:t>
      </w:r>
      <w:bookmarkEnd w:id="483"/>
      <w:r w:rsidR="002A21AE">
        <w:fldChar w:fldCharType="begin"/>
      </w:r>
      <w:r w:rsidR="002A21AE">
        <w:instrText xml:space="preserve"> XE </w:instrText>
      </w:r>
      <w:r w:rsidR="00FA7E65">
        <w:instrText>“</w:instrText>
      </w:r>
      <w:r w:rsidR="002A21AE">
        <w:instrText>Updated Patients and Deceased Patients</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UC_68</w:t>
      </w:r>
    </w:p>
    <w:p w14:paraId="2899CDA6" w14:textId="77777777" w:rsidR="002A21AE" w:rsidRDefault="002A21AE" w:rsidP="00FA7E65">
      <w:pPr>
        <w:pStyle w:val="BodyText"/>
      </w:pPr>
      <w:r>
        <w:rPr>
          <w:rFonts w:ascii="Arial" w:hAnsi="Arial" w:cs="Arial"/>
          <w:vanish/>
          <w:sz w:val="18"/>
        </w:rPr>
        <w:t xml:space="preserve">BR_68.02 </w:t>
      </w:r>
      <w:r>
        <w:t xml:space="preserve">The user views </w:t>
      </w:r>
      <w:r w:rsidR="000350E5">
        <w:t xml:space="preserve">patient </w:t>
      </w:r>
      <w:r>
        <w:t>update</w:t>
      </w:r>
      <w:r w:rsidR="00401847">
        <w:t>s</w:t>
      </w:r>
      <w:r>
        <w:t xml:space="preserve"> </w:t>
      </w:r>
      <w:r w:rsidR="00086F22">
        <w:t xml:space="preserve">and </w:t>
      </w:r>
      <w:r>
        <w:t>death events for patients with pending or active orders in VBECS.</w:t>
      </w:r>
    </w:p>
    <w:p w14:paraId="2F731AB8" w14:textId="77777777" w:rsidR="002A21AE" w:rsidRDefault="002A21AE">
      <w:pPr>
        <w:pStyle w:val="Heading4"/>
      </w:pPr>
      <w:r>
        <w:t>Assumptions</w:t>
      </w:r>
      <w:r>
        <w:rPr>
          <w:b w:val="0"/>
        </w:rPr>
        <w:t xml:space="preserve"> </w:t>
      </w:r>
    </w:p>
    <w:p w14:paraId="6DD4CE45" w14:textId="77777777" w:rsidR="00422796" w:rsidRPr="00422796" w:rsidRDefault="00422796" w:rsidP="00422796">
      <w:pPr>
        <w:pStyle w:val="ListBullet"/>
      </w:pPr>
      <w:r w:rsidRPr="00422796">
        <w:t xml:space="preserve">The connection to </w:t>
      </w:r>
      <w:r w:rsidRPr="00422796">
        <w:rPr>
          <w:bCs/>
        </w:rPr>
        <w:t>VistA</w:t>
      </w:r>
      <w:r w:rsidRPr="00422796">
        <w:t xml:space="preserve"> is active.</w:t>
      </w:r>
    </w:p>
    <w:p w14:paraId="17FA2D92" w14:textId="77777777" w:rsidR="00422796" w:rsidRDefault="00422796" w:rsidP="00422796">
      <w:pPr>
        <w:pStyle w:val="ListBullet"/>
      </w:pPr>
      <w:r>
        <w:t xml:space="preserve">The patient record was updated in </w:t>
      </w:r>
      <w:r w:rsidRPr="00CA6E27">
        <w:rPr>
          <w:bCs/>
        </w:rPr>
        <w:t>VistA</w:t>
      </w:r>
      <w:r>
        <w:t>.</w:t>
      </w:r>
    </w:p>
    <w:p w14:paraId="73B3014B" w14:textId="77777777" w:rsidR="002A21AE" w:rsidRDefault="002A21AE">
      <w:pPr>
        <w:pStyle w:val="ListBullet"/>
      </w:pPr>
      <w:r>
        <w:t xml:space="preserve">VBECS received a message </w:t>
      </w:r>
      <w:r w:rsidR="00086F22">
        <w:t xml:space="preserve">from VistA </w:t>
      </w:r>
      <w:r>
        <w:t>about a patient record update or death.</w:t>
      </w:r>
    </w:p>
    <w:p w14:paraId="3545907C" w14:textId="77777777" w:rsidR="002A21AE" w:rsidRDefault="002A21AE">
      <w:pPr>
        <w:pStyle w:val="ListBullet"/>
      </w:pPr>
      <w:r>
        <w:t>The affected patient’s records are in the VBECS database.</w:t>
      </w:r>
    </w:p>
    <w:p w14:paraId="48C4B0CD" w14:textId="77777777" w:rsidR="002A21AE" w:rsidRDefault="002A21AE">
      <w:pPr>
        <w:pStyle w:val="ListBullet"/>
      </w:pPr>
      <w:r>
        <w:t>The affected patient has a pending or active order in VBECS for update</w:t>
      </w:r>
      <w:r w:rsidR="00E413E2">
        <w:t>s</w:t>
      </w:r>
      <w:r>
        <w:t xml:space="preserve"> and/or death event.</w:t>
      </w:r>
    </w:p>
    <w:p w14:paraId="3CBF7473" w14:textId="77777777" w:rsidR="002A21AE" w:rsidRDefault="002A21AE">
      <w:pPr>
        <w:pStyle w:val="Heading4"/>
      </w:pPr>
      <w:r>
        <w:t xml:space="preserve">Outcome </w:t>
      </w:r>
    </w:p>
    <w:p w14:paraId="17E340AA" w14:textId="77777777" w:rsidR="002A21AE" w:rsidRDefault="002A21AE">
      <w:pPr>
        <w:pStyle w:val="ListBullet"/>
      </w:pPr>
      <w:r>
        <w:t>The user reviews updated patient records.</w:t>
      </w:r>
    </w:p>
    <w:p w14:paraId="043467EB" w14:textId="77777777" w:rsidR="002A21AE" w:rsidRDefault="002A21AE">
      <w:pPr>
        <w:pStyle w:val="Heading4"/>
      </w:pPr>
      <w:r>
        <w:t>Limitations and Restrictions</w:t>
      </w:r>
      <w:r>
        <w:rPr>
          <w:b w:val="0"/>
        </w:rPr>
        <w:t xml:space="preserve"> </w:t>
      </w:r>
    </w:p>
    <w:p w14:paraId="698351A6" w14:textId="77777777" w:rsidR="002A21AE" w:rsidRDefault="002A21AE">
      <w:pPr>
        <w:pStyle w:val="ListBullet"/>
      </w:pPr>
      <w:r>
        <w:t>Demographic and death event updates do not display information for patients without pending or active orders in VBECS.</w:t>
      </w:r>
      <w:r w:rsidR="00AB5121">
        <w:t xml:space="preserve"> Updates will occur without user input.</w:t>
      </w:r>
    </w:p>
    <w:p w14:paraId="6DE03EBE" w14:textId="77777777" w:rsidR="00422796" w:rsidRDefault="00422796" w:rsidP="00422796">
      <w:pPr>
        <w:pStyle w:val="ListBullet"/>
      </w:pPr>
      <w:r>
        <w:t xml:space="preserve">VBECS does not notify users of additional VistA patient updates or merges while the icon is displayed. When a user views an update and there is an unprocessed patient merge, the Patient Alert icon remains on the screen until the Traditional Supervisor completes the update and clears the icon. </w:t>
      </w:r>
    </w:p>
    <w:p w14:paraId="4ED3FF60" w14:textId="77777777" w:rsidR="00C805FB" w:rsidRDefault="00C805FB" w:rsidP="00422796">
      <w:pPr>
        <w:pStyle w:val="ListBullet"/>
      </w:pPr>
      <w:r>
        <w:t>When VBECS notifies a user of an update to a patient’s prefix or suffix, VBECS does not display the updated information: the user must access VistA to view the updated information</w:t>
      </w:r>
      <w:r w:rsidR="00EE1726">
        <w:t>.</w:t>
      </w:r>
      <w:r w:rsidRPr="00C805FB">
        <w:rPr>
          <w:vanish/>
        </w:rPr>
        <w:t xml:space="preserve"> </w:t>
      </w:r>
      <w:r w:rsidR="00EE1726">
        <w:rPr>
          <w:vanish/>
        </w:rPr>
        <w:t>DR 2,714</w:t>
      </w:r>
    </w:p>
    <w:p w14:paraId="35F8E58F" w14:textId="77777777" w:rsidR="00195D83" w:rsidRDefault="00195D83" w:rsidP="00422796">
      <w:pPr>
        <w:pStyle w:val="ListBullet"/>
      </w:pPr>
      <w:r>
        <w:t xml:space="preserve">Suffix data may be outdated but will be refreshed upon a new order for a patient. </w:t>
      </w:r>
      <w:r w:rsidRPr="00812458">
        <w:rPr>
          <w:vanish/>
        </w:rPr>
        <w:t>Task 447307</w:t>
      </w:r>
    </w:p>
    <w:p w14:paraId="288B7711" w14:textId="155CAFAC" w:rsidR="00F20F71" w:rsidRDefault="00F20F71" w:rsidP="00E01C7A">
      <w:pPr>
        <w:pStyle w:val="ListBullet"/>
      </w:pPr>
      <w:r w:rsidRPr="00F20F71">
        <w:t>When a VistA patient update removes a patient’s middle name</w:t>
      </w:r>
      <w:r w:rsidR="00737DBB">
        <w:t>,</w:t>
      </w:r>
      <w:r w:rsidRPr="00F20F71">
        <w:t xml:space="preserve"> VBECS displays</w:t>
      </w:r>
      <w:r w:rsidR="00E01C7A">
        <w:t xml:space="preserve"> both</w:t>
      </w:r>
      <w:r w:rsidRPr="00F20F71">
        <w:t xml:space="preserve"> the Patient Name and the Previous name in the Patient Name column. The Previous Name column displays the previous name correctly.</w:t>
      </w:r>
      <w:r w:rsidR="00E01C7A">
        <w:t xml:space="preserve"> Once the user c</w:t>
      </w:r>
      <w:r w:rsidR="00E01C7A" w:rsidRPr="00E01C7A">
        <w:t>lose</w:t>
      </w:r>
      <w:r w:rsidR="00E01C7A">
        <w:t>s</w:t>
      </w:r>
      <w:r w:rsidR="00E01C7A" w:rsidRPr="00E01C7A">
        <w:t xml:space="preserve"> and re-open</w:t>
      </w:r>
      <w:r w:rsidR="00E01C7A">
        <w:t>s</w:t>
      </w:r>
      <w:r w:rsidR="00737DBB">
        <w:t xml:space="preserve"> the Patient Update window, t</w:t>
      </w:r>
      <w:r w:rsidR="00E01C7A" w:rsidRPr="00E01C7A">
        <w:t>he subsequent display of the patient information is correct.</w:t>
      </w:r>
      <w:r w:rsidR="00244AD3">
        <w:t xml:space="preserve"> </w:t>
      </w:r>
      <w:r w:rsidR="00244AD3" w:rsidRPr="00244AD3">
        <w:rPr>
          <w:vanish/>
        </w:rPr>
        <w:t>Defect 209641</w:t>
      </w:r>
    </w:p>
    <w:p w14:paraId="09639208" w14:textId="77777777" w:rsidR="002A21AE" w:rsidRDefault="002A21AE">
      <w:pPr>
        <w:pStyle w:val="Heading4"/>
      </w:pPr>
      <w:r>
        <w:t xml:space="preserve">Additional Information </w:t>
      </w:r>
    </w:p>
    <w:p w14:paraId="4BE601FD" w14:textId="77777777" w:rsidR="002A21AE" w:rsidRDefault="002A21AE">
      <w:pPr>
        <w:pStyle w:val="ListBullet"/>
      </w:pPr>
      <w:r>
        <w:t>None</w:t>
      </w:r>
    </w:p>
    <w:p w14:paraId="51E732E2" w14:textId="77777777" w:rsidR="002A21AE" w:rsidRDefault="002A21AE">
      <w:pPr>
        <w:pStyle w:val="Heading4"/>
        <w:rPr>
          <w:b w:val="0"/>
        </w:rPr>
      </w:pPr>
      <w:r>
        <w:t>User Roles with Access to This Option</w:t>
      </w:r>
      <w:r>
        <w:rPr>
          <w:b w:val="0"/>
        </w:rPr>
        <w:t xml:space="preserve"> </w:t>
      </w:r>
    </w:p>
    <w:p w14:paraId="2D97D820" w14:textId="77777777" w:rsidR="002A21AE" w:rsidRDefault="00A937B3">
      <w:pPr>
        <w:pStyle w:val="Roles"/>
        <w:rPr>
          <w:snapToGrid w:val="0"/>
        </w:rPr>
      </w:pPr>
      <w:r>
        <w:t>All users</w:t>
      </w:r>
    </w:p>
    <w:p w14:paraId="354B1D2A" w14:textId="77777777" w:rsidR="002A21AE" w:rsidRDefault="002A21AE">
      <w:pPr>
        <w:pStyle w:val="Heading4"/>
      </w:pPr>
      <w:r>
        <w:t>Updated Patients and Deceased Patients</w:t>
      </w:r>
    </w:p>
    <w:p w14:paraId="1DAAB06C" w14:textId="77777777" w:rsidR="002A21AE" w:rsidRDefault="002A21AE" w:rsidP="00FA7E65">
      <w:pPr>
        <w:pStyle w:val="BodyText"/>
      </w:pPr>
      <w:r>
        <w:t>The user views updated patient records.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35EE060" w14:textId="77777777">
        <w:trPr>
          <w:cantSplit/>
          <w:tblHeader/>
        </w:trPr>
        <w:tc>
          <w:tcPr>
            <w:tcW w:w="3240" w:type="dxa"/>
            <w:shd w:val="pct30" w:color="auto" w:fill="FFFFFF"/>
            <w:vAlign w:val="bottom"/>
          </w:tcPr>
          <w:p w14:paraId="383EE2BF" w14:textId="77777777" w:rsidR="002A21AE" w:rsidRDefault="002A21AE">
            <w:pPr>
              <w:pStyle w:val="TableText"/>
              <w:rPr>
                <w:b/>
              </w:rPr>
            </w:pPr>
            <w:r>
              <w:rPr>
                <w:b/>
              </w:rPr>
              <w:t>User Action</w:t>
            </w:r>
          </w:p>
        </w:tc>
        <w:tc>
          <w:tcPr>
            <w:tcW w:w="6120" w:type="dxa"/>
            <w:shd w:val="pct30" w:color="auto" w:fill="FFFFFF"/>
            <w:vAlign w:val="bottom"/>
          </w:tcPr>
          <w:p w14:paraId="5F8D861D" w14:textId="77777777" w:rsidR="002A21AE" w:rsidRDefault="002A21AE">
            <w:pPr>
              <w:pStyle w:val="TableText"/>
              <w:rPr>
                <w:b/>
              </w:rPr>
            </w:pPr>
            <w:r>
              <w:rPr>
                <w:b/>
              </w:rPr>
              <w:t>VBECS</w:t>
            </w:r>
          </w:p>
        </w:tc>
      </w:tr>
      <w:tr w:rsidR="002A21AE" w14:paraId="7E1E2E2B" w14:textId="77777777">
        <w:tc>
          <w:tcPr>
            <w:tcW w:w="3240" w:type="dxa"/>
            <w:tcBorders>
              <w:top w:val="single" w:sz="4" w:space="0" w:color="auto"/>
              <w:left w:val="single" w:sz="4" w:space="0" w:color="auto"/>
              <w:bottom w:val="single" w:sz="4" w:space="0" w:color="auto"/>
              <w:right w:val="single" w:sz="4" w:space="0" w:color="auto"/>
            </w:tcBorders>
          </w:tcPr>
          <w:p w14:paraId="79D2948B" w14:textId="77777777" w:rsidR="002A21AE" w:rsidRDefault="002A21AE">
            <w:pPr>
              <w:pStyle w:val="TableTextNumbers"/>
            </w:pPr>
            <w:r>
              <w:t xml:space="preserve">Select </w:t>
            </w:r>
            <w:r>
              <w:rPr>
                <w:b/>
              </w:rPr>
              <w:t>Patients</w:t>
            </w:r>
            <w:r>
              <w:t xml:space="preserve"> from the main menu.</w:t>
            </w:r>
          </w:p>
          <w:p w14:paraId="1E999840" w14:textId="77777777" w:rsidR="002A21AE" w:rsidRDefault="002A21AE">
            <w:pPr>
              <w:pStyle w:val="TableTextNumbersContinued"/>
            </w:pPr>
          </w:p>
          <w:p w14:paraId="05729D8E" w14:textId="77777777" w:rsidR="002A21AE" w:rsidRDefault="002A21AE">
            <w:pPr>
              <w:pStyle w:val="TableTextNumbersContinued"/>
            </w:pPr>
            <w:r>
              <w:t xml:space="preserve">Select </w:t>
            </w:r>
            <w:r>
              <w:rPr>
                <w:b/>
              </w:rPr>
              <w:t>Patient Updates</w:t>
            </w:r>
            <w:r>
              <w:t>.</w:t>
            </w:r>
          </w:p>
          <w:p w14:paraId="1912FCF2" w14:textId="77777777" w:rsidR="002A21AE" w:rsidRDefault="002A21AE">
            <w:pPr>
              <w:pStyle w:val="TableTextNumbersContinued"/>
            </w:pPr>
          </w:p>
          <w:p w14:paraId="087E97C6" w14:textId="77777777" w:rsidR="002A21AE" w:rsidRDefault="002A21AE">
            <w:pPr>
              <w:pStyle w:val="TableTextNumbersContinued"/>
            </w:pPr>
            <w:r>
              <w:t xml:space="preserve">Select </w:t>
            </w:r>
            <w:r>
              <w:rPr>
                <w:b/>
              </w:rPr>
              <w:t>Updated Patient</w:t>
            </w:r>
            <w:r>
              <w:t xml:space="preserve"> or </w:t>
            </w:r>
            <w:r>
              <w:rPr>
                <w:b/>
              </w:rPr>
              <w:t>Deceased Patient</w:t>
            </w:r>
            <w:r>
              <w:t>, or</w:t>
            </w:r>
          </w:p>
          <w:p w14:paraId="7B9141D2" w14:textId="77777777" w:rsidR="002A21AE" w:rsidRDefault="002A21AE">
            <w:pPr>
              <w:pStyle w:val="TableTextNumbersContinued"/>
            </w:pPr>
          </w:p>
          <w:p w14:paraId="0E970CA7" w14:textId="77777777" w:rsidR="002A21AE" w:rsidRDefault="002A21AE">
            <w:pPr>
              <w:pStyle w:val="TableTextNumbersContinued"/>
            </w:pPr>
            <w:r>
              <w:lastRenderedPageBreak/>
              <w:t xml:space="preserve">Click </w:t>
            </w:r>
            <w:r w:rsidR="00057948">
              <w:rPr>
                <w:noProof/>
              </w:rPr>
              <w:drawing>
                <wp:inline distT="0" distB="0" distL="0" distR="0" wp14:anchorId="793299B1" wp14:editId="253F0494">
                  <wp:extent cx="166370" cy="156845"/>
                  <wp:effectExtent l="0" t="0" r="5080" b="0"/>
                  <wp:docPr id="236" name="Picture 236" descr="P7596C3T8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P7596C3T82#yIS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in the Patient Information Toolbar, when it is active.</w:t>
            </w:r>
          </w:p>
        </w:tc>
        <w:tc>
          <w:tcPr>
            <w:tcW w:w="6120" w:type="dxa"/>
            <w:tcBorders>
              <w:top w:val="single" w:sz="4" w:space="0" w:color="auto"/>
              <w:left w:val="single" w:sz="4" w:space="0" w:color="auto"/>
              <w:bottom w:val="single" w:sz="4" w:space="0" w:color="auto"/>
              <w:right w:val="single" w:sz="4" w:space="0" w:color="auto"/>
            </w:tcBorders>
          </w:tcPr>
          <w:p w14:paraId="53CD23C8" w14:textId="77777777" w:rsidR="002A21AE" w:rsidRDefault="002A21AE">
            <w:pPr>
              <w:pStyle w:val="TableTextBullet"/>
            </w:pPr>
            <w:r>
              <w:lastRenderedPageBreak/>
              <w:t>Displays options for processing patient-related functions.</w:t>
            </w:r>
          </w:p>
          <w:p w14:paraId="7FE28393" w14:textId="77777777" w:rsidR="002A21AE" w:rsidRDefault="002A21AE">
            <w:pPr>
              <w:pStyle w:val="TableTextBullet"/>
            </w:pPr>
            <w:r>
              <w:t>Lists updated or deceased patients (also lists these data after the update if they changed)</w:t>
            </w:r>
            <w:r w:rsidR="005F6016">
              <w:t>,</w:t>
            </w:r>
            <w:r>
              <w:t xml:space="preserve"> including:</w:t>
            </w:r>
          </w:p>
          <w:p w14:paraId="2FDE8907" w14:textId="77777777" w:rsidR="002A21AE" w:rsidRDefault="002A21AE">
            <w:pPr>
              <w:pStyle w:val="TableTextBullet1"/>
            </w:pPr>
            <w:r>
              <w:t xml:space="preserve">Patient name </w:t>
            </w:r>
          </w:p>
          <w:p w14:paraId="073B974E" w14:textId="77777777" w:rsidR="002A21AE" w:rsidRDefault="002A21AE">
            <w:pPr>
              <w:pStyle w:val="TableTextBullet1"/>
            </w:pPr>
            <w:r>
              <w:t xml:space="preserve">Patient ID </w:t>
            </w:r>
          </w:p>
          <w:p w14:paraId="142842F0" w14:textId="77777777" w:rsidR="002A21AE" w:rsidRDefault="002A21AE">
            <w:pPr>
              <w:pStyle w:val="TableTextBullet1"/>
            </w:pPr>
            <w:r>
              <w:t xml:space="preserve">Patient date of birth </w:t>
            </w:r>
          </w:p>
          <w:p w14:paraId="679C9C1F" w14:textId="77777777" w:rsidR="002A21AE" w:rsidRDefault="002A21AE">
            <w:pPr>
              <w:pStyle w:val="TableTextBullet1"/>
            </w:pPr>
            <w:r>
              <w:t>Date and time of the update, or date of death</w:t>
            </w:r>
          </w:p>
        </w:tc>
      </w:tr>
      <w:tr w:rsidR="002A21AE" w14:paraId="241A1B4B" w14:textId="77777777">
        <w:tc>
          <w:tcPr>
            <w:tcW w:w="3240" w:type="dxa"/>
          </w:tcPr>
          <w:p w14:paraId="66DE30D0" w14:textId="77777777" w:rsidR="002A21AE" w:rsidRDefault="002A21AE">
            <w:pPr>
              <w:pStyle w:val="TableTextNumbers"/>
            </w:pPr>
            <w:r>
              <w:t xml:space="preserve">Click </w:t>
            </w:r>
            <w:r>
              <w:rPr>
                <w:b/>
              </w:rPr>
              <w:t>Close</w:t>
            </w:r>
            <w:r>
              <w:t xml:space="preserve"> to exit, or return to Step 1 to view another patient’s data.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75038BE1" w14:textId="77777777" w:rsidR="002A21AE" w:rsidRDefault="002A21AE">
            <w:pPr>
              <w:pStyle w:val="TableText"/>
            </w:pPr>
          </w:p>
        </w:tc>
      </w:tr>
    </w:tbl>
    <w:p w14:paraId="1895DD19" w14:textId="77777777" w:rsidR="002A21AE" w:rsidRDefault="002A21AE">
      <w:pPr>
        <w:pStyle w:val="Heading3"/>
        <w:sectPr w:rsidR="002A21AE" w:rsidSect="00EE771C">
          <w:pgSz w:w="12240" w:h="15840" w:code="1"/>
          <w:pgMar w:top="1440" w:right="1440" w:bottom="1440" w:left="1440" w:header="720" w:footer="720" w:gutter="0"/>
          <w:cols w:space="720"/>
          <w:docGrid w:linePitch="360"/>
        </w:sectPr>
      </w:pPr>
      <w:bookmarkStart w:id="484" w:name="_Patient_Testing:_Record_Patient_Tes"/>
      <w:bookmarkStart w:id="485" w:name="_Patient_Testing:_Record"/>
      <w:bookmarkEnd w:id="484"/>
      <w:bookmarkEnd w:id="485"/>
    </w:p>
    <w:p w14:paraId="484FBB2F" w14:textId="77777777" w:rsidR="002A21AE" w:rsidRDefault="002A21AE">
      <w:pPr>
        <w:pStyle w:val="Heading3"/>
      </w:pPr>
      <w:bookmarkStart w:id="486" w:name="_Patient_Testing:_Record_1"/>
      <w:bookmarkStart w:id="487" w:name="_Toc4588814"/>
      <w:bookmarkEnd w:id="486"/>
      <w:r>
        <w:lastRenderedPageBreak/>
        <w:t xml:space="preserve">Patient Testing: </w:t>
      </w:r>
      <w:r w:rsidR="0064667E">
        <w:t>General Instructions</w:t>
      </w:r>
      <w:bookmarkEnd w:id="487"/>
      <w:r>
        <w:fldChar w:fldCharType="begin"/>
      </w:r>
      <w:r>
        <w:instrText xml:space="preserve"> XE </w:instrText>
      </w:r>
      <w:r w:rsidR="00FA7E65">
        <w:instrText>“</w:instrText>
      </w:r>
      <w:r>
        <w:instrText xml:space="preserve">Patient Testing\: </w:instrText>
      </w:r>
      <w:r w:rsidR="0064667E">
        <w:instrText>General Instructions</w:instrText>
      </w:r>
      <w:r w:rsidR="00FA7E65">
        <w:instrText>”</w:instrText>
      </w:r>
      <w:r>
        <w:instrText xml:space="preserve"> </w:instrText>
      </w:r>
      <w:r>
        <w:fldChar w:fldCharType="end"/>
      </w:r>
      <w:r>
        <w:t xml:space="preserve"> </w:t>
      </w:r>
      <w:r>
        <w:rPr>
          <w:rFonts w:ascii="Times New Roman" w:hAnsi="Times New Roman" w:cs="Times New Roman"/>
          <w:b w:val="0"/>
          <w:vanish/>
          <w:sz w:val="22"/>
        </w:rPr>
        <w:t>UC_56</w:t>
      </w:r>
    </w:p>
    <w:p w14:paraId="35CCCF45" w14:textId="77777777" w:rsidR="002A21AE" w:rsidRDefault="002A21AE" w:rsidP="00FA7E65">
      <w:pPr>
        <w:pStyle w:val="BodyText"/>
      </w:pPr>
      <w:bookmarkStart w:id="488" w:name="_Toc78036036"/>
      <w:r>
        <w:t>The user records a patient’s serologic test results.</w:t>
      </w:r>
    </w:p>
    <w:p w14:paraId="0D3851B4" w14:textId="77777777" w:rsidR="002A21AE" w:rsidRDefault="002A21AE">
      <w:pPr>
        <w:pStyle w:val="Heading4"/>
      </w:pPr>
      <w:r>
        <w:t>Assumptions</w:t>
      </w:r>
    </w:p>
    <w:p w14:paraId="44A30C61" w14:textId="77777777" w:rsidR="002A21AE" w:rsidRDefault="002A21AE">
      <w:pPr>
        <w:pStyle w:val="ListBullet"/>
      </w:pPr>
      <w:r>
        <w:t xml:space="preserve">The patient specimen and order were processed and found satisfactory for testing. </w:t>
      </w:r>
    </w:p>
    <w:p w14:paraId="3E1EC299" w14:textId="77777777" w:rsidR="002A21AE" w:rsidRDefault="002A21AE">
      <w:pPr>
        <w:pStyle w:val="ListBullet"/>
      </w:pPr>
      <w:r>
        <w:t>The user selected one to four diagnostic and/or component tasks for testing from the Pending Task List (PTL).</w:t>
      </w:r>
    </w:p>
    <w:p w14:paraId="3D1C4DDC" w14:textId="77777777" w:rsidR="002A21AE" w:rsidRDefault="002A21AE">
      <w:pPr>
        <w:pStyle w:val="ListBullet"/>
      </w:pPr>
      <w:r>
        <w:t>The patient may or may not have a previous blood bank record. Previously saved VBECS data related to this patient are available for comparison with the user’s test results and interpretations.</w:t>
      </w:r>
    </w:p>
    <w:p w14:paraId="01E3C871" w14:textId="77777777" w:rsidR="002A21AE" w:rsidRDefault="002A21AE">
      <w:pPr>
        <w:pStyle w:val="Heading4"/>
      </w:pPr>
      <w:r>
        <w:t>Outcome</w:t>
      </w:r>
    </w:p>
    <w:p w14:paraId="1A8D5086" w14:textId="77777777" w:rsidR="002A21AE" w:rsidRDefault="002A21AE">
      <w:pPr>
        <w:pStyle w:val="ListBullet"/>
      </w:pPr>
      <w:r>
        <w:t>The test record was filed, is unique, and is retrievable for the life of VBECS.</w:t>
      </w:r>
    </w:p>
    <w:p w14:paraId="3A56E45F" w14:textId="77777777" w:rsidR="002A21AE" w:rsidRDefault="002A21AE">
      <w:pPr>
        <w:pStyle w:val="ListBullet"/>
      </w:pPr>
      <w:r>
        <w:t>Partially completed testing is available for completion or invalidation but is not available to the patient record or reports.</w:t>
      </w:r>
    </w:p>
    <w:p w14:paraId="3283EA21" w14:textId="77777777" w:rsidR="002A21AE" w:rsidRDefault="002A21AE">
      <w:pPr>
        <w:pStyle w:val="ListBullet"/>
      </w:pPr>
      <w:r>
        <w:t>Completed, current specimen test results are available for inclusion in various reports.</w:t>
      </w:r>
    </w:p>
    <w:p w14:paraId="09B9B0C2" w14:textId="77777777" w:rsidR="002A21AE" w:rsidRDefault="002A21AE">
      <w:pPr>
        <w:pStyle w:val="ListBullet"/>
      </w:pPr>
      <w:r>
        <w:t>VBECS changes the task status to “completed” and triggers the generation of a message to CPRS that the order is complete.</w:t>
      </w:r>
    </w:p>
    <w:p w14:paraId="33BEC1DE" w14:textId="77777777" w:rsidR="002A21AE" w:rsidRDefault="002A21AE">
      <w:pPr>
        <w:pStyle w:val="ListBullet"/>
      </w:pPr>
      <w:r>
        <w:t>The test record includes the details of the verified, completed testing.</w:t>
      </w:r>
    </w:p>
    <w:p w14:paraId="38202EC0" w14:textId="77777777" w:rsidR="002A21AE" w:rsidRDefault="002A21AE">
      <w:pPr>
        <w:pStyle w:val="Heading4"/>
      </w:pPr>
      <w:r>
        <w:t>Limitations and Restrictions</w:t>
      </w:r>
    </w:p>
    <w:p w14:paraId="45AE5211" w14:textId="77777777" w:rsidR="00D50784" w:rsidRDefault="00D50784" w:rsidP="00D50784">
      <w:pPr>
        <w:pStyle w:val="ListBullet"/>
      </w:pPr>
      <w:r>
        <w:t>This test record is not editable after the user completes a test and saves it to the database. When a correction needs to be filed, a corrected report must be generated, as described in Invalidating Patient Test Results.</w:t>
      </w:r>
    </w:p>
    <w:p w14:paraId="4B8F399B" w14:textId="77777777" w:rsidR="00E36CAB" w:rsidRDefault="00E36CAB" w:rsidP="00E36CAB">
      <w:pPr>
        <w:pStyle w:val="ListBullet"/>
      </w:pPr>
      <w:r>
        <w:t>User selection of partially completed testing grids with different phases of testing</w:t>
      </w:r>
      <w:r w:rsidRPr="008727C1">
        <w:t xml:space="preserve"> </w:t>
      </w:r>
      <w:r>
        <w:t xml:space="preserve">(All Phases or AHG Only) as previously selected creates a testing discrepancy in VBECS. </w:t>
      </w:r>
    </w:p>
    <w:p w14:paraId="50A1CA92" w14:textId="77777777" w:rsidR="00B90645" w:rsidRPr="000D669E" w:rsidRDefault="00E36CAB" w:rsidP="00E36CAB">
      <w:pPr>
        <w:pStyle w:val="ListBullet"/>
      </w:pPr>
      <w:r>
        <w:t>Limited batch testing to partially completed orders with the same testing grid selection, either All Phases or AHG Only.</w:t>
      </w:r>
      <w:r w:rsidR="00B90645">
        <w:t xml:space="preserve"> </w:t>
      </w:r>
      <w:r w:rsidR="00B90645">
        <w:rPr>
          <w:vanish/>
        </w:rPr>
        <w:t>DR 4218</w:t>
      </w:r>
    </w:p>
    <w:p w14:paraId="69E52604" w14:textId="6CAC25A9" w:rsidR="000D669E" w:rsidRDefault="000D669E" w:rsidP="00E36CAB">
      <w:pPr>
        <w:pStyle w:val="ListBullet"/>
      </w:pPr>
      <w:r>
        <w:t xml:space="preserve">VBECS cannot compare test results for a patient when two users are entering test results for the same patient at the same time. </w:t>
      </w:r>
      <w:r w:rsidRPr="000D669E">
        <w:rPr>
          <w:vanish/>
        </w:rPr>
        <w:t>DR 4817</w:t>
      </w:r>
    </w:p>
    <w:p w14:paraId="232DAF05" w14:textId="5A38761F" w:rsidR="00D141A2" w:rsidRDefault="00D141A2" w:rsidP="00E36CAB">
      <w:pPr>
        <w:pStyle w:val="ListBullet"/>
      </w:pPr>
      <w:r>
        <w:t xml:space="preserve">Cost entry is capped at 999.99. </w:t>
      </w:r>
      <w:r w:rsidRPr="00D141A2">
        <w:rPr>
          <w:vanish/>
        </w:rPr>
        <w:t>Defect 942523</w:t>
      </w:r>
    </w:p>
    <w:p w14:paraId="16F065A3" w14:textId="77777777" w:rsidR="002A21AE" w:rsidRDefault="002A21AE">
      <w:pPr>
        <w:pStyle w:val="Heading4"/>
      </w:pPr>
      <w:r>
        <w:t>Additional Information</w:t>
      </w:r>
    </w:p>
    <w:p w14:paraId="1F77CD32" w14:textId="77777777" w:rsidR="002A21AE" w:rsidRDefault="002A21AE">
      <w:pPr>
        <w:pStyle w:val="ListBullet"/>
      </w:pPr>
      <w:r>
        <w:t>Partially completed tests may be invalidated within the testing option.</w:t>
      </w:r>
    </w:p>
    <w:p w14:paraId="5207CCBB" w14:textId="77777777" w:rsidR="002A21AE" w:rsidRDefault="002A21AE">
      <w:pPr>
        <w:pStyle w:val="Heading4"/>
      </w:pPr>
      <w:r>
        <w:t>User Roles with Access to This Option</w:t>
      </w:r>
    </w:p>
    <w:p w14:paraId="10460C69" w14:textId="77777777" w:rsidR="00A937B3" w:rsidRDefault="00A937B3" w:rsidP="00A937B3">
      <w:pPr>
        <w:pStyle w:val="Roles"/>
        <w:rPr>
          <w:snapToGrid w:val="0"/>
        </w:rPr>
      </w:pPr>
      <w:r>
        <w:t>All users</w:t>
      </w:r>
    </w:p>
    <w:bookmarkEnd w:id="488"/>
    <w:p w14:paraId="6A56CFE4" w14:textId="77777777" w:rsidR="002A21AE" w:rsidRDefault="002A21AE">
      <w:pPr>
        <w:pStyle w:val="Heading4"/>
      </w:pPr>
      <w:r>
        <w:t xml:space="preserve">Patient Testing: </w:t>
      </w:r>
      <w:r w:rsidR="00260BEA">
        <w:t>General Instructions</w:t>
      </w:r>
    </w:p>
    <w:p w14:paraId="1F723D10" w14:textId="77777777" w:rsidR="002A21AE" w:rsidRDefault="002A21AE" w:rsidP="00FA7E65">
      <w:pPr>
        <w:pStyle w:val="BodyText"/>
      </w:pPr>
      <w:r>
        <w:t xml:space="preserve">A user records a patient’s test results: Type &amp; Screen (TAS), ABO/Rh, </w:t>
      </w:r>
      <w:r w:rsidR="008E2E30">
        <w:t>Antibody Screen Test (ABS)</w:t>
      </w:r>
      <w:r>
        <w:t>, Direct Antiglobulin Test (DAT), and crossmatches (XMs) on units selected for a patient. This option describes the configuration of reflex or repeat testing and patient antigen typing.</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024D789E" w14:textId="77777777">
        <w:trPr>
          <w:cantSplit/>
          <w:tblHeader/>
        </w:trPr>
        <w:tc>
          <w:tcPr>
            <w:tcW w:w="3240" w:type="dxa"/>
            <w:shd w:val="pct30" w:color="auto" w:fill="FFFFFF"/>
            <w:vAlign w:val="bottom"/>
          </w:tcPr>
          <w:p w14:paraId="7C9D637A" w14:textId="77777777" w:rsidR="002A21AE" w:rsidRDefault="002A21AE">
            <w:pPr>
              <w:pStyle w:val="TableText"/>
              <w:rPr>
                <w:b/>
              </w:rPr>
            </w:pPr>
            <w:r>
              <w:rPr>
                <w:b/>
              </w:rPr>
              <w:lastRenderedPageBreak/>
              <w:t>User Action</w:t>
            </w:r>
          </w:p>
        </w:tc>
        <w:tc>
          <w:tcPr>
            <w:tcW w:w="6120" w:type="dxa"/>
            <w:shd w:val="pct30" w:color="auto" w:fill="FFFFFF"/>
            <w:vAlign w:val="bottom"/>
          </w:tcPr>
          <w:p w14:paraId="3CFE4944" w14:textId="77777777" w:rsidR="002A21AE" w:rsidRDefault="002A21AE">
            <w:pPr>
              <w:pStyle w:val="TableText"/>
              <w:rPr>
                <w:b/>
              </w:rPr>
            </w:pPr>
            <w:r>
              <w:rPr>
                <w:b/>
              </w:rPr>
              <w:t>VBECS</w:t>
            </w:r>
          </w:p>
        </w:tc>
      </w:tr>
      <w:tr w:rsidR="002A21AE" w14:paraId="2DA8175D" w14:textId="77777777">
        <w:tc>
          <w:tcPr>
            <w:tcW w:w="3240" w:type="dxa"/>
            <w:tcBorders>
              <w:top w:val="single" w:sz="4" w:space="0" w:color="auto"/>
              <w:left w:val="single" w:sz="4" w:space="0" w:color="auto"/>
              <w:bottom w:val="single" w:sz="4" w:space="0" w:color="auto"/>
              <w:right w:val="single" w:sz="4" w:space="0" w:color="auto"/>
            </w:tcBorders>
          </w:tcPr>
          <w:p w14:paraId="711900BD" w14:textId="77777777" w:rsidR="002A21AE" w:rsidRDefault="002A21AE">
            <w:pPr>
              <w:pStyle w:val="TableTextNumbers"/>
            </w:pPr>
            <w:r>
              <w:t xml:space="preserve">Select </w:t>
            </w:r>
            <w:r>
              <w:rPr>
                <w:b/>
              </w:rPr>
              <w:t>Patients</w:t>
            </w:r>
            <w:r>
              <w:t xml:space="preserve"> from the main menu.</w:t>
            </w:r>
          </w:p>
          <w:p w14:paraId="673E4D78" w14:textId="77777777" w:rsidR="002A21AE" w:rsidRDefault="002A21AE">
            <w:pPr>
              <w:pStyle w:val="TableTextNumbersContinued"/>
            </w:pPr>
          </w:p>
          <w:p w14:paraId="5C2EDA45" w14:textId="77777777" w:rsidR="002A21AE" w:rsidRDefault="002A21AE">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14:paraId="0C787591" w14:textId="77777777" w:rsidR="002A21AE" w:rsidRDefault="002A21AE">
            <w:pPr>
              <w:pStyle w:val="TableTextBullet"/>
            </w:pPr>
            <w:r>
              <w:t xml:space="preserve">Displays options for processing patient-related functions. </w:t>
            </w:r>
          </w:p>
          <w:p w14:paraId="0442EFC1" w14:textId="77777777" w:rsidR="002A21AE" w:rsidRDefault="002A21AE">
            <w:pPr>
              <w:pStyle w:val="TableTextBullet"/>
            </w:pPr>
            <w:r>
              <w:t>Displays the Pending Task List (PTL) in the Diagnostic Tests tab.</w:t>
            </w:r>
          </w:p>
          <w:p w14:paraId="16F47BCF" w14:textId="77777777" w:rsidR="002A21AE" w:rsidRDefault="002A21AE">
            <w:pPr>
              <w:pStyle w:val="NotesText"/>
            </w:pPr>
          </w:p>
          <w:p w14:paraId="3C3E6C9F" w14:textId="77777777" w:rsidR="002A21AE" w:rsidRDefault="00057948">
            <w:pPr>
              <w:pStyle w:val="TableText"/>
              <w:rPr>
                <w:b/>
                <w:bCs/>
                <w:szCs w:val="18"/>
              </w:rPr>
            </w:pPr>
            <w:r>
              <w:rPr>
                <w:b/>
                <w:bCs/>
                <w:noProof/>
              </w:rPr>
              <mc:AlternateContent>
                <mc:Choice Requires="wps">
                  <w:drawing>
                    <wp:anchor distT="0" distB="0" distL="114300" distR="114300" simplePos="0" relativeHeight="251771392" behindDoc="0" locked="0" layoutInCell="1" allowOverlap="1" wp14:anchorId="7D9F5D2E" wp14:editId="3E78B517">
                      <wp:simplePos x="0" y="0"/>
                      <wp:positionH relativeFrom="column">
                        <wp:posOffset>457200</wp:posOffset>
                      </wp:positionH>
                      <wp:positionV relativeFrom="paragraph">
                        <wp:posOffset>65405</wp:posOffset>
                      </wp:positionV>
                      <wp:extent cx="3200400" cy="0"/>
                      <wp:effectExtent l="9525" t="17780" r="9525" b="10795"/>
                      <wp:wrapNone/>
                      <wp:docPr id="379" name="Line 977" descr="P7641C4T8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CD798" id="Line 977" o:spid="_x0000_s1026" alt="&quot;&quot;" style="position:absolute;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GMbWd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41D9E0FC" w14:textId="77777777" w:rsidR="002A21AE" w:rsidRDefault="002A21AE">
            <w:pPr>
              <w:pStyle w:val="NotesText"/>
            </w:pPr>
          </w:p>
          <w:p w14:paraId="5E98F97D" w14:textId="77777777" w:rsidR="00CA495D" w:rsidRPr="00CA495D" w:rsidRDefault="002A21AE" w:rsidP="00CA495D">
            <w:pPr>
              <w:pStyle w:val="NotesText"/>
              <w:rPr>
                <w:snapToGrid w:val="0"/>
              </w:rPr>
            </w:pPr>
            <w:r>
              <w:t>A user may search for specific tasks using search criteria detailed in Pending Task List.</w:t>
            </w:r>
          </w:p>
        </w:tc>
      </w:tr>
      <w:tr w:rsidR="002A21AE" w14:paraId="3EDC2EE2" w14:textId="77777777">
        <w:tc>
          <w:tcPr>
            <w:tcW w:w="3240" w:type="dxa"/>
          </w:tcPr>
          <w:p w14:paraId="2495144B" w14:textId="78D67FC9" w:rsidR="002A21AE" w:rsidRDefault="002A21AE">
            <w:pPr>
              <w:pStyle w:val="TableTextNumbers"/>
            </w:pPr>
            <w:r>
              <w:t>Click one to four check boxes in the Pending Task List to select tasks for testing</w:t>
            </w:r>
            <w:r w:rsidR="00883DE9">
              <w:t xml:space="preserve"> (</w:t>
            </w:r>
            <w:r w:rsidR="00883DE9">
              <w:fldChar w:fldCharType="begin" w:fldLock="1"/>
            </w:r>
            <w:r w:rsidR="00883DE9">
              <w:instrText xml:space="preserve"> REF _Ref126724192 \h </w:instrText>
            </w:r>
            <w:r w:rsidR="00883DE9">
              <w:fldChar w:fldCharType="separate"/>
            </w:r>
            <w:r w:rsidR="00AB304C">
              <w:t xml:space="preserve">Figure </w:t>
            </w:r>
            <w:r w:rsidR="00AB304C">
              <w:rPr>
                <w:noProof/>
              </w:rPr>
              <w:t>121</w:t>
            </w:r>
            <w:r w:rsidR="00883DE9">
              <w:fldChar w:fldCharType="end"/>
            </w:r>
            <w:r w:rsidR="00883DE9">
              <w:t>)</w:t>
            </w:r>
            <w:r>
              <w:t xml:space="preserve">. </w:t>
            </w:r>
          </w:p>
          <w:p w14:paraId="06383BFE" w14:textId="77777777" w:rsidR="002A21AE" w:rsidRDefault="002A21AE">
            <w:pPr>
              <w:pStyle w:val="TableTextNumbersContinued"/>
            </w:pPr>
          </w:p>
          <w:p w14:paraId="36624256" w14:textId="77777777" w:rsidR="002A21AE" w:rsidRDefault="002A21AE">
            <w:pPr>
              <w:pStyle w:val="TableTextNumbersContinued"/>
            </w:pPr>
            <w:r>
              <w:t xml:space="preserve">Click </w:t>
            </w:r>
            <w:r>
              <w:rPr>
                <w:b/>
              </w:rPr>
              <w:t>OK</w:t>
            </w:r>
            <w:r>
              <w:t>.</w:t>
            </w:r>
          </w:p>
        </w:tc>
        <w:tc>
          <w:tcPr>
            <w:tcW w:w="6120" w:type="dxa"/>
          </w:tcPr>
          <w:p w14:paraId="7297A685" w14:textId="77777777" w:rsidR="002A21AE" w:rsidRDefault="002A21AE">
            <w:pPr>
              <w:pStyle w:val="TableTextBullet"/>
            </w:pPr>
            <w:r>
              <w:t>Displays patient names and associated task information.</w:t>
            </w:r>
          </w:p>
        </w:tc>
      </w:tr>
      <w:tr w:rsidR="0091416B" w14:paraId="4E7D0DB9" w14:textId="77777777">
        <w:tc>
          <w:tcPr>
            <w:tcW w:w="3240" w:type="dxa"/>
          </w:tcPr>
          <w:p w14:paraId="1FFF639A" w14:textId="77777777" w:rsidR="0091416B" w:rsidRDefault="0091416B" w:rsidP="0091416B">
            <w:pPr>
              <w:pStyle w:val="TableTextNumbers"/>
            </w:pPr>
            <w:r>
              <w:t>Click a check box to select a reagent rack.</w:t>
            </w:r>
          </w:p>
          <w:p w14:paraId="239CDA12" w14:textId="77777777" w:rsidR="0091416B" w:rsidRDefault="0091416B" w:rsidP="0091416B">
            <w:pPr>
              <w:pStyle w:val="TableTextNumbersContinued"/>
            </w:pPr>
          </w:p>
          <w:p w14:paraId="5366B72F" w14:textId="75A128D3" w:rsidR="0091416B" w:rsidRDefault="0091416B" w:rsidP="0091416B">
            <w:pPr>
              <w:pStyle w:val="TableTextNumbersContinued"/>
            </w:pPr>
            <w:r>
              <w:t xml:space="preserve">In the ABS or XM Testing Phases area, click the </w:t>
            </w:r>
            <w:r w:rsidRPr="00F3010E">
              <w:rPr>
                <w:b/>
              </w:rPr>
              <w:t>All Phases</w:t>
            </w:r>
            <w:r>
              <w:t xml:space="preserve"> or </w:t>
            </w:r>
            <w:r w:rsidRPr="00F3010E">
              <w:rPr>
                <w:b/>
              </w:rPr>
              <w:t xml:space="preserve">AHG Only </w:t>
            </w:r>
            <w:r w:rsidRPr="00BF2E41">
              <w:t>radio button</w:t>
            </w:r>
            <w:r w:rsidR="00883DE9" w:rsidRPr="00883DE9">
              <w:t xml:space="preserve"> (</w:t>
            </w:r>
            <w:r w:rsidR="002A2E1E">
              <w:fldChar w:fldCharType="begin" w:fldLock="1"/>
            </w:r>
            <w:r w:rsidR="002A2E1E">
              <w:instrText xml:space="preserve"> REF _Ref126726451 \h </w:instrText>
            </w:r>
            <w:r w:rsidR="002A2E1E">
              <w:fldChar w:fldCharType="separate"/>
            </w:r>
            <w:r w:rsidR="00AB304C">
              <w:t xml:space="preserve">Figure </w:t>
            </w:r>
            <w:r w:rsidR="00AB304C">
              <w:rPr>
                <w:noProof/>
              </w:rPr>
              <w:t>126</w:t>
            </w:r>
            <w:r w:rsidR="002A2E1E">
              <w:fldChar w:fldCharType="end"/>
            </w:r>
            <w:r w:rsidR="00883DE9" w:rsidRPr="00883DE9">
              <w:t>)</w:t>
            </w:r>
            <w:r>
              <w:t>.</w:t>
            </w:r>
          </w:p>
          <w:p w14:paraId="268E6D54" w14:textId="77777777" w:rsidR="0091416B" w:rsidRDefault="0091416B" w:rsidP="0091416B">
            <w:pPr>
              <w:pStyle w:val="TableTextNumbersContinued"/>
            </w:pPr>
          </w:p>
          <w:p w14:paraId="4104EE88" w14:textId="77777777" w:rsidR="0091416B" w:rsidRDefault="0091416B" w:rsidP="0091416B">
            <w:pPr>
              <w:pStyle w:val="TableTextNumbersContinued"/>
            </w:pPr>
            <w:r>
              <w:t xml:space="preserve">Click </w:t>
            </w:r>
            <w:r>
              <w:rPr>
                <w:b/>
              </w:rPr>
              <w:t>OK</w:t>
            </w:r>
            <w:r>
              <w:t xml:space="preserve"> to continue with testing.</w:t>
            </w:r>
          </w:p>
        </w:tc>
        <w:tc>
          <w:tcPr>
            <w:tcW w:w="6120" w:type="dxa"/>
          </w:tcPr>
          <w:p w14:paraId="753FA807" w14:textId="77777777" w:rsidR="0091416B" w:rsidRDefault="001467B6" w:rsidP="001467B6">
            <w:pPr>
              <w:pStyle w:val="TableTextBullet"/>
            </w:pPr>
            <w:r>
              <w:t>Allows the user to s</w:t>
            </w:r>
            <w:r w:rsidRPr="001467B6">
              <w:t xml:space="preserve">elect the All Phases </w:t>
            </w:r>
            <w:r w:rsidR="00D50784">
              <w:t>or</w:t>
            </w:r>
            <w:r w:rsidRPr="001467B6">
              <w:t xml:space="preserve"> AHG Only radio buttons only when </w:t>
            </w:r>
            <w:r>
              <w:t>applicable.</w:t>
            </w:r>
          </w:p>
          <w:p w14:paraId="261DFF78" w14:textId="77777777" w:rsidR="004A6E1E" w:rsidRDefault="004A6E1E" w:rsidP="004A6E1E">
            <w:pPr>
              <w:pStyle w:val="TableTextBullet"/>
            </w:pPr>
            <w:r>
              <w:t>Displays reagent rack names and associated information.</w:t>
            </w:r>
          </w:p>
          <w:p w14:paraId="67DE59DC" w14:textId="77777777" w:rsidR="004A6E1E" w:rsidRDefault="004A6E1E" w:rsidP="004A6E1E">
            <w:pPr>
              <w:pStyle w:val="TableTextBullet"/>
            </w:pPr>
            <w:r>
              <w:rPr>
                <w:rFonts w:cs="Arial"/>
                <w:vanish/>
              </w:rPr>
              <w:t xml:space="preserve">BR_56.15 </w:t>
            </w:r>
            <w:r>
              <w:t xml:space="preserve">Requires the user to select the </w:t>
            </w:r>
            <w:r w:rsidR="00DA7212">
              <w:t xml:space="preserve">reagent </w:t>
            </w:r>
            <w:r>
              <w:t>rack name</w:t>
            </w:r>
            <w:r w:rsidR="00DA7212">
              <w:t>. The testing</w:t>
            </w:r>
            <w:r>
              <w:t xml:space="preserve"> grid configuration </w:t>
            </w:r>
            <w:r w:rsidR="00DA7212">
              <w:t>for</w:t>
            </w:r>
            <w:r>
              <w:t xml:space="preserve"> serologic testing</w:t>
            </w:r>
            <w:r w:rsidR="00DA7212">
              <w:t xml:space="preserve"> defaults to the setting selected in the Configure Division option. The user is allowed </w:t>
            </w:r>
            <w:r>
              <w:t xml:space="preserve">to indicate whether an automated instrument was used. </w:t>
            </w:r>
          </w:p>
          <w:p w14:paraId="582A40C3" w14:textId="77777777" w:rsidR="004A6E1E" w:rsidRDefault="004A6E1E" w:rsidP="004A6E1E">
            <w:pPr>
              <w:pStyle w:val="TableTextBullet"/>
            </w:pPr>
            <w:r>
              <w:t>Displays the date and time testing was performed.</w:t>
            </w:r>
          </w:p>
          <w:p w14:paraId="68034BA2" w14:textId="77777777" w:rsidR="004A6E1E" w:rsidRDefault="004A6E1E" w:rsidP="004A6E1E">
            <w:pPr>
              <w:pStyle w:val="TableTextBullet"/>
            </w:pPr>
            <w:r>
              <w:t>Displays the testing technologist name.</w:t>
            </w:r>
          </w:p>
          <w:p w14:paraId="61797B0A" w14:textId="77777777" w:rsidR="001467B6" w:rsidRDefault="001467B6" w:rsidP="0091416B">
            <w:pPr>
              <w:pStyle w:val="TableText"/>
            </w:pPr>
          </w:p>
          <w:p w14:paraId="0C720BC6" w14:textId="77777777" w:rsidR="0091416B" w:rsidRDefault="00057948" w:rsidP="0091416B">
            <w:pPr>
              <w:pStyle w:val="TableText"/>
              <w:rPr>
                <w:b/>
                <w:bCs/>
                <w:szCs w:val="18"/>
              </w:rPr>
            </w:pPr>
            <w:r>
              <w:rPr>
                <w:b/>
                <w:bCs/>
                <w:noProof/>
              </w:rPr>
              <mc:AlternateContent>
                <mc:Choice Requires="wps">
                  <w:drawing>
                    <wp:anchor distT="0" distB="0" distL="114300" distR="114300" simplePos="0" relativeHeight="251931136" behindDoc="0" locked="0" layoutInCell="1" allowOverlap="1" wp14:anchorId="124718F8" wp14:editId="37C80C99">
                      <wp:simplePos x="0" y="0"/>
                      <wp:positionH relativeFrom="column">
                        <wp:posOffset>457200</wp:posOffset>
                      </wp:positionH>
                      <wp:positionV relativeFrom="paragraph">
                        <wp:posOffset>65405</wp:posOffset>
                      </wp:positionV>
                      <wp:extent cx="3200400" cy="0"/>
                      <wp:effectExtent l="9525" t="17780" r="9525" b="10795"/>
                      <wp:wrapNone/>
                      <wp:docPr id="378" name="Line 1076" descr="P7661C8T8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E8024" id="Line 1076" o:spid="_x0000_s1026" alt="&quot;&quot;" style="position:absolute;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Dtc327EAQAAbwMAAA4AAAAAAAAAAAAAAAAA&#10;LgIAAGRycy9lMm9Eb2MueG1sUEsBAi0AFAAGAAgAAAAhABdPMBLbAAAACAEAAA8AAAAAAAAAAAAA&#10;AAAAHgQAAGRycy9kb3ducmV2LnhtbFBLBQYAAAAABAAEAPMAAAAmBQAAAAA=&#10;" strokeweight="1.5pt"/>
                  </w:pict>
                </mc:Fallback>
              </mc:AlternateContent>
            </w:r>
            <w:r w:rsidR="0091416B">
              <w:rPr>
                <w:b/>
                <w:bCs/>
                <w:szCs w:val="18"/>
              </w:rPr>
              <w:t>NOTES</w:t>
            </w:r>
          </w:p>
          <w:p w14:paraId="0E3A55F1" w14:textId="77777777" w:rsidR="0091416B" w:rsidRDefault="0091416B" w:rsidP="0091416B">
            <w:pPr>
              <w:pStyle w:val="NotesText"/>
            </w:pPr>
          </w:p>
          <w:p w14:paraId="6EFFBC10" w14:textId="77777777" w:rsidR="0091416B" w:rsidRDefault="0091416B" w:rsidP="0091416B">
            <w:pPr>
              <w:pStyle w:val="NotesText"/>
            </w:pPr>
            <w:r>
              <w:rPr>
                <w:rFonts w:cs="Arial"/>
                <w:vanish/>
              </w:rPr>
              <w:t xml:space="preserve">BR_40.04 </w:t>
            </w:r>
            <w:r>
              <w:t xml:space="preserve">When the testing method selected is AHG only, VBECS </w:t>
            </w:r>
            <w:r w:rsidR="00B16403">
              <w:t xml:space="preserve">enables specific phases for </w:t>
            </w:r>
            <w:r>
              <w:t xml:space="preserve">the </w:t>
            </w:r>
            <w:r w:rsidR="00B16403">
              <w:t xml:space="preserve">ABS and XM </w:t>
            </w:r>
            <w:r>
              <w:t>data grid</w:t>
            </w:r>
            <w:r w:rsidR="00B16403">
              <w:t xml:space="preserve"> boxes for:</w:t>
            </w:r>
          </w:p>
          <w:p w14:paraId="63DEB6E2" w14:textId="77777777" w:rsidR="00B16403" w:rsidRDefault="00B16403" w:rsidP="000409B1">
            <w:pPr>
              <w:pStyle w:val="NotesText"/>
              <w:numPr>
                <w:ilvl w:val="0"/>
                <w:numId w:val="47"/>
              </w:numPr>
            </w:pPr>
            <w:r>
              <w:t xml:space="preserve">Antibody Screen (ABS): AHG phase </w:t>
            </w:r>
          </w:p>
          <w:p w14:paraId="721AECB7" w14:textId="77777777" w:rsidR="00B16403" w:rsidRDefault="00B16403" w:rsidP="000409B1">
            <w:pPr>
              <w:pStyle w:val="NotesText"/>
              <w:numPr>
                <w:ilvl w:val="0"/>
                <w:numId w:val="47"/>
              </w:numPr>
            </w:pPr>
            <w:r>
              <w:t xml:space="preserve">Serologic crossmatch (XM): IS and AHG phases </w:t>
            </w:r>
          </w:p>
          <w:p w14:paraId="0DF828E9" w14:textId="77777777" w:rsidR="004A6E1E" w:rsidRDefault="004A6E1E" w:rsidP="004A6E1E">
            <w:pPr>
              <w:pStyle w:val="NotesText"/>
            </w:pPr>
          </w:p>
          <w:p w14:paraId="04463303" w14:textId="77777777" w:rsidR="004A6E1E" w:rsidRDefault="004A6E1E" w:rsidP="004A6E1E">
            <w:pPr>
              <w:pStyle w:val="NotesText"/>
            </w:pPr>
            <w:r>
              <w:t>Rack configuration of AHG applies only to the antibody screen and crossmatch testing grids.</w:t>
            </w:r>
          </w:p>
          <w:p w14:paraId="141FAEB1" w14:textId="77777777" w:rsidR="004A6E1E" w:rsidRDefault="004A6E1E" w:rsidP="004A6E1E">
            <w:pPr>
              <w:pStyle w:val="NotesText"/>
            </w:pPr>
          </w:p>
          <w:p w14:paraId="1E7D8369" w14:textId="77777777" w:rsidR="004A6E1E" w:rsidRDefault="004A6E1E" w:rsidP="004A6E1E">
            <w:pPr>
              <w:pStyle w:val="NotesText"/>
            </w:pPr>
            <w:r>
              <w:t>The user may select another user’s name from the list, as appropriate.</w:t>
            </w:r>
            <w:r w:rsidR="00E36CAB">
              <w:t xml:space="preserve"> The logged on user’s name appears on the Testing Worklist Report as the Processing Tech in addition to the selected user name.</w:t>
            </w:r>
          </w:p>
          <w:p w14:paraId="50271515" w14:textId="77777777" w:rsidR="004A6E1E" w:rsidRDefault="004A6E1E" w:rsidP="004A6E1E">
            <w:pPr>
              <w:pStyle w:val="NotesText"/>
            </w:pPr>
          </w:p>
          <w:p w14:paraId="06609A7A" w14:textId="77777777" w:rsidR="004A6E1E" w:rsidRDefault="004A6E1E" w:rsidP="004A6E1E">
            <w:pPr>
              <w:pStyle w:val="NotesText"/>
            </w:pPr>
            <w:r>
              <w:t>The user may indicate that testing was performed at a past date and time.</w:t>
            </w:r>
          </w:p>
          <w:p w14:paraId="4312F79D" w14:textId="77777777" w:rsidR="004A6E1E" w:rsidRDefault="004A6E1E" w:rsidP="00906AE3">
            <w:pPr>
              <w:pStyle w:val="NotesText"/>
            </w:pPr>
          </w:p>
          <w:p w14:paraId="49B20BD7" w14:textId="4B54FE6E" w:rsidR="004A6E1E" w:rsidRDefault="00906AE3" w:rsidP="00906AE3">
            <w:pPr>
              <w:pStyle w:val="NotesText"/>
            </w:pPr>
            <w:r w:rsidRPr="00896F17">
              <w:rPr>
                <w:rStyle w:val="BullhornChar"/>
              </w:rPr>
              <w:t></w:t>
            </w:r>
            <w:r w:rsidRPr="00C51C45">
              <w:t xml:space="preserve"> </w:t>
            </w:r>
            <w:r>
              <w:t xml:space="preserve">See </w:t>
            </w:r>
            <w:r>
              <w:fldChar w:fldCharType="begin" w:fldLock="1"/>
            </w:r>
            <w:r>
              <w:instrText xml:space="preserve"> REF _Ref135568198 \h </w:instrText>
            </w:r>
            <w:r>
              <w:fldChar w:fldCharType="separate"/>
            </w:r>
            <w:r w:rsidR="00AB304C">
              <w:t xml:space="preserve">Table </w:t>
            </w:r>
            <w:r w:rsidR="00AB304C">
              <w:rPr>
                <w:noProof/>
              </w:rPr>
              <w:t>10</w:t>
            </w:r>
            <w:r>
              <w:fldChar w:fldCharType="end"/>
            </w:r>
            <w:r w:rsidR="003D71A3">
              <w:t xml:space="preserve"> </w:t>
            </w:r>
            <w:r w:rsidR="004A6E1E">
              <w:t>for alerts that may occur during this option.</w:t>
            </w:r>
          </w:p>
        </w:tc>
      </w:tr>
      <w:tr w:rsidR="002A21AE" w14:paraId="2CE52011" w14:textId="77777777">
        <w:tc>
          <w:tcPr>
            <w:tcW w:w="3240" w:type="dxa"/>
          </w:tcPr>
          <w:p w14:paraId="2E844B26" w14:textId="77777777" w:rsidR="002A21AE" w:rsidRDefault="002A21AE">
            <w:pPr>
              <w:pStyle w:val="TableTextNumbers"/>
            </w:pPr>
            <w:r>
              <w:t xml:space="preserve">Respond to warnings, which may include entering a comment and details, and click </w:t>
            </w:r>
            <w:r>
              <w:rPr>
                <w:b/>
              </w:rPr>
              <w:t>OK</w:t>
            </w:r>
            <w:r>
              <w:t xml:space="preserve"> to continue. </w:t>
            </w:r>
          </w:p>
        </w:tc>
        <w:tc>
          <w:tcPr>
            <w:tcW w:w="6120" w:type="dxa"/>
          </w:tcPr>
          <w:p w14:paraId="2443BB96" w14:textId="77777777" w:rsidR="002A21AE" w:rsidRDefault="004D3195">
            <w:pPr>
              <w:pStyle w:val="TableTextBullet"/>
            </w:pPr>
            <w:r w:rsidRPr="00323744">
              <w:rPr>
                <w:rStyle w:val="BullhornChar"/>
              </w:rPr>
              <w:t></w:t>
            </w:r>
            <w:r>
              <w:rPr>
                <w:rFonts w:ascii="Webdings" w:hAnsi="Webdings"/>
              </w:rPr>
              <w:t></w:t>
            </w:r>
            <w:r w:rsidR="002A21AE">
              <w:t xml:space="preserve">Displays </w:t>
            </w:r>
            <w:r w:rsidR="00057948">
              <w:rPr>
                <w:noProof/>
              </w:rPr>
              <w:drawing>
                <wp:inline distT="0" distB="0" distL="0" distR="0" wp14:anchorId="200E056E" wp14:editId="54F31B7C">
                  <wp:extent cx="156845" cy="156845"/>
                  <wp:effectExtent l="0" t="0" r="0" b="0"/>
                  <wp:docPr id="237" name="Picture 237" descr="P7676C10T8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P7676C10T83#yIS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and emits an audible alert when there are SIs or TRs for the patient.</w:t>
            </w:r>
          </w:p>
          <w:p w14:paraId="5580279B" w14:textId="77777777" w:rsidR="002A21AE" w:rsidRDefault="002A21AE">
            <w:pPr>
              <w:pStyle w:val="TableTextBullet"/>
            </w:pPr>
            <w:r>
              <w:t xml:space="preserve">Prepares a direct data entry </w:t>
            </w:r>
            <w:r w:rsidR="00917E9F">
              <w:t xml:space="preserve">(DDE) </w:t>
            </w:r>
            <w:r>
              <w:t>grid for the user to enter the serologic reaction results for testing associated with the selected tasks.</w:t>
            </w:r>
          </w:p>
          <w:p w14:paraId="307C5567" w14:textId="77777777" w:rsidR="002A21AE" w:rsidRDefault="002A21AE">
            <w:pPr>
              <w:pStyle w:val="TableTextBullet"/>
            </w:pPr>
            <w:r>
              <w:t>Displays testing results and entered interpretations until the user saves them.</w:t>
            </w:r>
          </w:p>
        </w:tc>
      </w:tr>
      <w:tr w:rsidR="002A21AE" w14:paraId="26CD53DA" w14:textId="77777777">
        <w:tc>
          <w:tcPr>
            <w:tcW w:w="3240" w:type="dxa"/>
          </w:tcPr>
          <w:p w14:paraId="6D0C093C" w14:textId="1ABC2645" w:rsidR="00287C4D" w:rsidRDefault="00287C4D">
            <w:pPr>
              <w:pStyle w:val="TableTextNumbers"/>
            </w:pPr>
            <w:r>
              <w:t>Select a patient to begin entering his serologic reactions</w:t>
            </w:r>
            <w:r w:rsidR="002A2E1E">
              <w:t xml:space="preserve"> (</w:t>
            </w:r>
            <w:r w:rsidR="00B1560A">
              <w:fldChar w:fldCharType="begin" w:fldLock="1"/>
            </w:r>
            <w:r w:rsidR="00B1560A">
              <w:instrText xml:space="preserve"> REF _Ref135568298 \h </w:instrText>
            </w:r>
            <w:r w:rsidR="00B1560A">
              <w:fldChar w:fldCharType="separate"/>
            </w:r>
            <w:r w:rsidR="00AB304C">
              <w:t xml:space="preserve">Figure </w:t>
            </w:r>
            <w:r w:rsidR="00AB304C">
              <w:rPr>
                <w:noProof/>
              </w:rPr>
              <w:t>127</w:t>
            </w:r>
            <w:r w:rsidR="00B1560A">
              <w:fldChar w:fldCharType="end"/>
            </w:r>
            <w:r w:rsidR="002A2E1E">
              <w:t>)</w:t>
            </w:r>
            <w:r>
              <w:t>.</w:t>
            </w:r>
          </w:p>
          <w:p w14:paraId="01CB3391" w14:textId="77777777" w:rsidR="00287C4D" w:rsidRDefault="00287C4D" w:rsidP="00287C4D">
            <w:pPr>
              <w:pStyle w:val="TableTextNumbersContinued"/>
            </w:pPr>
          </w:p>
          <w:p w14:paraId="6B860363" w14:textId="77777777" w:rsidR="002A21AE" w:rsidRDefault="002A21AE" w:rsidP="00287C4D">
            <w:pPr>
              <w:pStyle w:val="TableTextNumbersContinued"/>
            </w:pPr>
            <w:r>
              <w:lastRenderedPageBreak/>
              <w:t>Repeat this step for each selected patient until all test results and interpretations are entered in the test grid.</w:t>
            </w:r>
          </w:p>
        </w:tc>
        <w:tc>
          <w:tcPr>
            <w:tcW w:w="6120" w:type="dxa"/>
          </w:tcPr>
          <w:p w14:paraId="0F3CD246" w14:textId="77777777" w:rsidR="00287C4D" w:rsidRDefault="00287C4D" w:rsidP="00287C4D">
            <w:pPr>
              <w:pStyle w:val="TableTextBullet"/>
            </w:pPr>
            <w:r>
              <w:lastRenderedPageBreak/>
              <w:t xml:space="preserve">Allows the user to select one patient at a time and enter a test result for that patient. </w:t>
            </w:r>
          </w:p>
          <w:p w14:paraId="2B5B81CD" w14:textId="77777777" w:rsidR="00287C4D" w:rsidRDefault="00287C4D" w:rsidP="00287C4D">
            <w:pPr>
              <w:pStyle w:val="TableTextBullet"/>
            </w:pPr>
            <w:r>
              <w:t xml:space="preserve">Allows only valid data entries in the grid reaction result and interpretation cells. </w:t>
            </w:r>
          </w:p>
          <w:p w14:paraId="708F5C0D" w14:textId="77777777" w:rsidR="002A21AE" w:rsidRDefault="002A21AE">
            <w:pPr>
              <w:pStyle w:val="TableTextBullet"/>
            </w:pPr>
            <w:r>
              <w:rPr>
                <w:rFonts w:cs="Arial"/>
                <w:vanish/>
              </w:rPr>
              <w:t xml:space="preserve">BR_56.02 </w:t>
            </w:r>
            <w:r>
              <w:t xml:space="preserve">Allows a user to save </w:t>
            </w:r>
            <w:r w:rsidR="00F0003E">
              <w:t xml:space="preserve">partially completed tests. </w:t>
            </w:r>
          </w:p>
          <w:p w14:paraId="46CB62F9" w14:textId="77777777" w:rsidR="002A21AE" w:rsidRDefault="002A21AE">
            <w:pPr>
              <w:pStyle w:val="TableTextBullet"/>
            </w:pPr>
            <w:r>
              <w:lastRenderedPageBreak/>
              <w:t xml:space="preserve">When the user enters interpretation data, allows the save with or without warnings and overrides based on the test results entered for the patient and the user’s </w:t>
            </w:r>
            <w:r w:rsidR="00082F78">
              <w:t>security level</w:t>
            </w:r>
            <w:r>
              <w:t xml:space="preserve">. </w:t>
            </w:r>
          </w:p>
          <w:p w14:paraId="03A0B4DD" w14:textId="77777777" w:rsidR="002A21AE" w:rsidRDefault="002A21AE">
            <w:pPr>
              <w:pStyle w:val="TableText"/>
            </w:pPr>
          </w:p>
          <w:p w14:paraId="474743EC" w14:textId="77777777" w:rsidR="002A21AE" w:rsidRDefault="00057948">
            <w:pPr>
              <w:pStyle w:val="TableText"/>
              <w:rPr>
                <w:b/>
                <w:bCs/>
                <w:szCs w:val="18"/>
              </w:rPr>
            </w:pPr>
            <w:r>
              <w:rPr>
                <w:b/>
                <w:bCs/>
                <w:noProof/>
              </w:rPr>
              <mc:AlternateContent>
                <mc:Choice Requires="wps">
                  <w:drawing>
                    <wp:anchor distT="0" distB="0" distL="114300" distR="114300" simplePos="0" relativeHeight="251768320" behindDoc="0" locked="0" layoutInCell="1" allowOverlap="1" wp14:anchorId="0D724BAD" wp14:editId="109809E0">
                      <wp:simplePos x="0" y="0"/>
                      <wp:positionH relativeFrom="column">
                        <wp:posOffset>457200</wp:posOffset>
                      </wp:positionH>
                      <wp:positionV relativeFrom="paragraph">
                        <wp:posOffset>65405</wp:posOffset>
                      </wp:positionV>
                      <wp:extent cx="3200400" cy="0"/>
                      <wp:effectExtent l="9525" t="17780" r="9525" b="10795"/>
                      <wp:wrapNone/>
                      <wp:docPr id="377" name="Line 976" descr="P7688C12T8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706940" id="Line 976" o:spid="_x0000_s1026" alt="&quot;&quot;" style="position:absolute;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Z+1qu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14059312" w14:textId="77777777" w:rsidR="002A21AE" w:rsidRDefault="002A21AE">
            <w:pPr>
              <w:pStyle w:val="NotesText"/>
            </w:pPr>
          </w:p>
          <w:p w14:paraId="34E7E751" w14:textId="77777777" w:rsidR="00F0003E" w:rsidRDefault="002A21AE" w:rsidP="00F0003E">
            <w:pPr>
              <w:pStyle w:val="NotesText"/>
            </w:pPr>
            <w:r>
              <w:t>The user may order a reflex test and may update the patient’s TRs and SIs.</w:t>
            </w:r>
          </w:p>
          <w:p w14:paraId="3FA1D6BB" w14:textId="77777777" w:rsidR="00F0003E" w:rsidRDefault="00F0003E" w:rsidP="00F0003E">
            <w:pPr>
              <w:pStyle w:val="NotesText"/>
            </w:pPr>
          </w:p>
          <w:p w14:paraId="3EB7A8A3" w14:textId="77777777" w:rsidR="002A21AE" w:rsidRDefault="00F0003E" w:rsidP="00F0003E">
            <w:pPr>
              <w:pStyle w:val="NotesText"/>
            </w:pPr>
            <w:r>
              <w:rPr>
                <w:vanish/>
              </w:rPr>
              <w:t xml:space="preserve">BR_56.02 </w:t>
            </w:r>
            <w:r>
              <w:t>The ABO and Rh tests are considered one test and must be resulted together before a save is permitted.</w:t>
            </w:r>
            <w:r w:rsidR="002A21AE">
              <w:t xml:space="preserve"> </w:t>
            </w:r>
          </w:p>
        </w:tc>
      </w:tr>
      <w:tr w:rsidR="002A21AE" w14:paraId="5B1F1640" w14:textId="77777777">
        <w:tc>
          <w:tcPr>
            <w:tcW w:w="3240" w:type="dxa"/>
          </w:tcPr>
          <w:p w14:paraId="2E16957B" w14:textId="77777777" w:rsidR="002A21AE" w:rsidRDefault="002A21AE">
            <w:pPr>
              <w:pStyle w:val="TableTextNumbers"/>
            </w:pPr>
            <w:r>
              <w:lastRenderedPageBreak/>
              <w:t xml:space="preserve">Respond to warnings for the selected patient and confirm that appropriate test results were entered. </w:t>
            </w:r>
          </w:p>
          <w:p w14:paraId="33716DDF" w14:textId="77777777" w:rsidR="002A21AE" w:rsidRDefault="002A21AE">
            <w:pPr>
              <w:pStyle w:val="TableTextNumbersContinued"/>
            </w:pPr>
          </w:p>
          <w:p w14:paraId="2190C3DA" w14:textId="77777777" w:rsidR="002A21AE" w:rsidRDefault="002A21AE">
            <w:pPr>
              <w:pStyle w:val="TableTextNumbersContinued"/>
            </w:pPr>
            <w:r>
              <w:t>Repeat Steps 5–6 for each patient until all patient work is saved.</w:t>
            </w:r>
          </w:p>
        </w:tc>
        <w:tc>
          <w:tcPr>
            <w:tcW w:w="6120" w:type="dxa"/>
          </w:tcPr>
          <w:p w14:paraId="49B652BE" w14:textId="77777777" w:rsidR="002A21AE" w:rsidRDefault="002A21AE">
            <w:pPr>
              <w:pStyle w:val="TableTextBullet"/>
            </w:pPr>
            <w:r>
              <w:rPr>
                <w:rFonts w:cs="Arial"/>
                <w:vanish/>
              </w:rPr>
              <w:t xml:space="preserve">BR_56.05 </w:t>
            </w:r>
            <w:r>
              <w:t xml:space="preserve">When a user enters a valid interpretation and saves it for a test, updates the order status to “completed.” </w:t>
            </w:r>
          </w:p>
          <w:p w14:paraId="729126FA" w14:textId="77777777" w:rsidR="002A21AE" w:rsidRDefault="002A21AE">
            <w:pPr>
              <w:pStyle w:val="TableTextBullet"/>
            </w:pPr>
            <w:r>
              <w:rPr>
                <w:rFonts w:cs="Arial"/>
                <w:vanish/>
              </w:rPr>
              <w:t xml:space="preserve">BR_56.11 </w:t>
            </w:r>
            <w:r>
              <w:t>Displays each patient’s data for review before allowing the user to save them.</w:t>
            </w:r>
          </w:p>
          <w:p w14:paraId="45912A7F" w14:textId="77777777" w:rsidR="002A21AE" w:rsidRDefault="002A21AE">
            <w:pPr>
              <w:pStyle w:val="TableTextBullet"/>
            </w:pPr>
            <w:r>
              <w:t>Saves patient testing results for retrieval from completed tests.</w:t>
            </w:r>
          </w:p>
          <w:p w14:paraId="6D1836B5" w14:textId="77777777" w:rsidR="002A21AE" w:rsidRDefault="002A21AE">
            <w:pPr>
              <w:pStyle w:val="TableTextBullet"/>
            </w:pPr>
            <w:r>
              <w:t>Saves only the patient testing displayed.</w:t>
            </w:r>
          </w:p>
          <w:p w14:paraId="54F79F29" w14:textId="77777777" w:rsidR="002A21AE" w:rsidRDefault="002A21AE">
            <w:pPr>
              <w:pStyle w:val="TableText"/>
              <w:rPr>
                <w:b/>
                <w:bCs/>
                <w:szCs w:val="18"/>
              </w:rPr>
            </w:pPr>
          </w:p>
          <w:p w14:paraId="3AA1C6D4" w14:textId="77777777" w:rsidR="002A21AE" w:rsidRDefault="00057948">
            <w:pPr>
              <w:pStyle w:val="TableText"/>
              <w:rPr>
                <w:b/>
                <w:bCs/>
                <w:szCs w:val="18"/>
              </w:rPr>
            </w:pPr>
            <w:r>
              <w:rPr>
                <w:b/>
                <w:bCs/>
                <w:noProof/>
              </w:rPr>
              <mc:AlternateContent>
                <mc:Choice Requires="wps">
                  <w:drawing>
                    <wp:anchor distT="0" distB="0" distL="114300" distR="114300" simplePos="0" relativeHeight="251774464" behindDoc="0" locked="0" layoutInCell="1" allowOverlap="1" wp14:anchorId="1A30D6FD" wp14:editId="33BF8402">
                      <wp:simplePos x="0" y="0"/>
                      <wp:positionH relativeFrom="column">
                        <wp:posOffset>457200</wp:posOffset>
                      </wp:positionH>
                      <wp:positionV relativeFrom="paragraph">
                        <wp:posOffset>65405</wp:posOffset>
                      </wp:positionV>
                      <wp:extent cx="3200400" cy="0"/>
                      <wp:effectExtent l="9525" t="17780" r="9525" b="10795"/>
                      <wp:wrapNone/>
                      <wp:docPr id="376" name="Line 978" descr="P7702C14T8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8B6BE" id="Line 978" o:spid="_x0000_s1026" alt="&quot;&quot;" style="position:absolute;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KeFLR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6B55922C" w14:textId="77777777" w:rsidR="002A21AE" w:rsidRDefault="002A21AE">
            <w:pPr>
              <w:pStyle w:val="NotesText"/>
            </w:pPr>
          </w:p>
          <w:p w14:paraId="4CD5960C" w14:textId="77777777" w:rsidR="002A21AE" w:rsidRDefault="002A21AE">
            <w:pPr>
              <w:pStyle w:val="NotesText"/>
            </w:pPr>
            <w:r>
              <w:rPr>
                <w:rFonts w:cs="Arial"/>
                <w:vanish/>
              </w:rPr>
              <w:t xml:space="preserve">BR_56.04 </w:t>
            </w:r>
            <w:r>
              <w:t>The user may save part or all of one patient’s testing results at a time. When all data for a patient are saved, the patient tab is no longer visible.</w:t>
            </w:r>
          </w:p>
          <w:p w14:paraId="38EA3223" w14:textId="77777777" w:rsidR="002A21AE" w:rsidRDefault="002A21AE">
            <w:pPr>
              <w:pStyle w:val="NotesText"/>
            </w:pPr>
          </w:p>
          <w:p w14:paraId="0B923226" w14:textId="77777777" w:rsidR="002A21AE" w:rsidRDefault="002A21AE">
            <w:pPr>
              <w:pStyle w:val="NotesText"/>
            </w:pPr>
            <w:r>
              <w:rPr>
                <w:rFonts w:cs="Arial"/>
                <w:vanish/>
              </w:rPr>
              <w:t xml:space="preserve">BR_56.27 </w:t>
            </w:r>
            <w:r>
              <w:t xml:space="preserve">When a user saves a test with a “correction” task status, VBECS saves the results and interpretations and adds </w:t>
            </w:r>
            <w:r w:rsidR="00EB2CC3">
              <w:t>a</w:t>
            </w:r>
            <w:r>
              <w:t xml:space="preserve"> comment </w:t>
            </w:r>
            <w:r w:rsidR="00EB2CC3">
              <w:t>to the Testing Worklist Report</w:t>
            </w:r>
            <w:r>
              <w:t xml:space="preserve">. </w:t>
            </w:r>
          </w:p>
          <w:p w14:paraId="029A8F96" w14:textId="77777777" w:rsidR="00587EE2" w:rsidRDefault="00587EE2">
            <w:pPr>
              <w:pStyle w:val="NotesText"/>
              <w:rPr>
                <w:rFonts w:cs="Arial"/>
                <w:spacing w:val="-5"/>
              </w:rPr>
            </w:pPr>
          </w:p>
          <w:p w14:paraId="7E830E4F" w14:textId="683EBAB9" w:rsidR="00587EE2" w:rsidRDefault="00587EE2">
            <w:pPr>
              <w:pStyle w:val="NotesText"/>
              <w:rPr>
                <w:rFonts w:cs="Arial"/>
                <w:spacing w:val="-5"/>
              </w:rPr>
            </w:pPr>
            <w:r w:rsidRPr="00587EE2">
              <w:rPr>
                <w:rFonts w:cs="Arial"/>
                <w:vanish/>
                <w:spacing w:val="-5"/>
              </w:rPr>
              <w:t xml:space="preserve">BR_56.30 </w:t>
            </w:r>
            <w:r>
              <w:rPr>
                <w:rFonts w:cs="Arial"/>
                <w:spacing w:val="-5"/>
              </w:rPr>
              <w:t>VBECS sends an order completion message to CPRS w</w:t>
            </w:r>
            <w:r w:rsidRPr="009B6526">
              <w:rPr>
                <w:rFonts w:cs="Arial"/>
                <w:spacing w:val="-5"/>
              </w:rPr>
              <w:t xml:space="preserve">hen the user </w:t>
            </w:r>
            <w:r>
              <w:rPr>
                <w:rFonts w:cs="Arial"/>
                <w:spacing w:val="-5"/>
              </w:rPr>
              <w:t>enters</w:t>
            </w:r>
            <w:r w:rsidRPr="009B6526">
              <w:rPr>
                <w:rFonts w:cs="Arial"/>
                <w:spacing w:val="-5"/>
              </w:rPr>
              <w:t xml:space="preserve"> and successfully save</w:t>
            </w:r>
            <w:r>
              <w:rPr>
                <w:rFonts w:cs="Arial"/>
                <w:spacing w:val="-5"/>
              </w:rPr>
              <w:t>s</w:t>
            </w:r>
            <w:r w:rsidRPr="009B6526">
              <w:rPr>
                <w:rFonts w:cs="Arial"/>
                <w:spacing w:val="-5"/>
              </w:rPr>
              <w:t xml:space="preserve"> all test results and interpretations for </w:t>
            </w:r>
            <w:r>
              <w:rPr>
                <w:rFonts w:cs="Arial"/>
                <w:spacing w:val="-5"/>
              </w:rPr>
              <w:t xml:space="preserve">a </w:t>
            </w:r>
            <w:r w:rsidRPr="009B6526">
              <w:rPr>
                <w:rFonts w:cs="Arial"/>
                <w:spacing w:val="-5"/>
              </w:rPr>
              <w:t>diagnostic test</w:t>
            </w:r>
            <w:r>
              <w:rPr>
                <w:rFonts w:cs="Arial"/>
                <w:spacing w:val="-5"/>
              </w:rPr>
              <w:t>.</w:t>
            </w:r>
            <w:r w:rsidRPr="00587EE2">
              <w:rPr>
                <w:rFonts w:cs="Arial"/>
                <w:vanish/>
                <w:spacing w:val="-5"/>
              </w:rPr>
              <w:t>DR 2,869</w:t>
            </w:r>
          </w:p>
          <w:p w14:paraId="498E3814" w14:textId="700A2E2E" w:rsidR="00AF6F7F" w:rsidRDefault="00AF6F7F">
            <w:pPr>
              <w:pStyle w:val="NotesText"/>
              <w:rPr>
                <w:rFonts w:cs="Arial"/>
                <w:spacing w:val="-5"/>
              </w:rPr>
            </w:pPr>
          </w:p>
          <w:p w14:paraId="519A8F86" w14:textId="3467E65B" w:rsidR="00AF6F7F" w:rsidRDefault="00AF6F7F">
            <w:pPr>
              <w:pStyle w:val="NotesText"/>
              <w:rPr>
                <w:rFonts w:cs="Arial"/>
                <w:spacing w:val="-5"/>
              </w:rPr>
            </w:pPr>
            <w:r w:rsidRPr="00AF6F7F">
              <w:rPr>
                <w:vanish/>
              </w:rPr>
              <w:t xml:space="preserve">BR_53.08 </w:t>
            </w:r>
            <w:r>
              <w:t xml:space="preserve">If the antibody screen is positive, the system shall emit an audible alert and warning that displays </w:t>
            </w:r>
            <w:r w:rsidRPr="00DD6184">
              <w:t>Patient has a POSITIVE Antibody Screen Result. Please perform Antibody Identification on this patient prior to issue of blood components</w:t>
            </w:r>
            <w:r>
              <w:t>.</w:t>
            </w:r>
          </w:p>
          <w:p w14:paraId="04C8DBF9" w14:textId="77777777" w:rsidR="00587EE2" w:rsidRDefault="00587EE2">
            <w:pPr>
              <w:pStyle w:val="NotesText"/>
            </w:pPr>
          </w:p>
          <w:p w14:paraId="28AB9FD2" w14:textId="77777777" w:rsidR="002A21AE" w:rsidRDefault="00EC7489" w:rsidP="00EC7489">
            <w:pPr>
              <w:pStyle w:val="NotesText"/>
            </w:pPr>
            <w:r w:rsidRPr="00323744">
              <w:rPr>
                <w:rStyle w:val="BullhornChar"/>
              </w:rPr>
              <w:t></w:t>
            </w:r>
            <w:r>
              <w:rPr>
                <w:rFonts w:ascii="Webdings" w:hAnsi="Webdings"/>
              </w:rPr>
              <w:t></w:t>
            </w:r>
            <w:r w:rsidR="002A21AE">
              <w:t>May display multiple warning and override messages for the user’s response.</w:t>
            </w:r>
          </w:p>
        </w:tc>
      </w:tr>
      <w:tr w:rsidR="002A21AE" w14:paraId="0DF6204A" w14:textId="77777777">
        <w:tc>
          <w:tcPr>
            <w:tcW w:w="3240" w:type="dxa"/>
          </w:tcPr>
          <w:p w14:paraId="52A582B8" w14:textId="77777777" w:rsidR="002A21AE" w:rsidRDefault="002A21AE">
            <w:pPr>
              <w:pStyle w:val="TableTextNumbers"/>
            </w:pPr>
            <w:r>
              <w:t xml:space="preserve">When the selected patient testing is complete, click </w:t>
            </w:r>
            <w:r>
              <w:rPr>
                <w:b/>
              </w:rPr>
              <w:t>OK</w:t>
            </w:r>
            <w:r>
              <w:t xml:space="preserve"> and </w:t>
            </w:r>
            <w:r>
              <w:rPr>
                <w:b/>
              </w:rPr>
              <w:t>Yes</w:t>
            </w:r>
            <w:r>
              <w:t xml:space="preserve"> to confirm changes and continue to the next patient, or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3294B525" w14:textId="77777777" w:rsidR="002A21AE" w:rsidRDefault="002A21AE">
            <w:pPr>
              <w:pStyle w:val="TableText"/>
            </w:pPr>
            <w:r>
              <w:t xml:space="preserve"> </w:t>
            </w:r>
          </w:p>
        </w:tc>
      </w:tr>
    </w:tbl>
    <w:p w14:paraId="3641742D" w14:textId="494EBA53" w:rsidR="007810A1" w:rsidRDefault="002A2E1E" w:rsidP="007810A1">
      <w:pPr>
        <w:pStyle w:val="Caption"/>
      </w:pPr>
      <w:bookmarkStart w:id="489" w:name="_Ref126726451"/>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126</w:t>
      </w:r>
      <w:r w:rsidR="004E20BD">
        <w:rPr>
          <w:noProof/>
        </w:rPr>
        <w:fldChar w:fldCharType="end"/>
      </w:r>
      <w:bookmarkEnd w:id="489"/>
      <w:r>
        <w:t>: Testing Details</w:t>
      </w:r>
      <w:bookmarkStart w:id="490" w:name="_Ref126726602"/>
    </w:p>
    <w:p w14:paraId="0812AC28" w14:textId="77777777" w:rsidR="007810A1" w:rsidRPr="007810A1" w:rsidRDefault="00057948" w:rsidP="00D327A3">
      <w:pPr>
        <w:pStyle w:val="BodyText"/>
      </w:pPr>
      <w:r>
        <w:rPr>
          <w:noProof/>
        </w:rPr>
        <w:drawing>
          <wp:inline distT="0" distB="0" distL="0" distR="0" wp14:anchorId="4AFCD5CA" wp14:editId="55380BF4">
            <wp:extent cx="4322445" cy="2964815"/>
            <wp:effectExtent l="0" t="0" r="1905" b="6985"/>
            <wp:docPr id="238" name="Picture 238" descr="P7718#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P7718#yIS1">
                      <a:extLst>
                        <a:ext uri="{C183D7F6-B498-43B3-948B-1728B52AA6E4}">
                          <adec:decorative xmlns:adec="http://schemas.microsoft.com/office/drawing/2017/decorative" val="1"/>
                        </a:ext>
                      </a:extLst>
                    </pic:cNvPr>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322445" cy="2964815"/>
                    </a:xfrm>
                    <a:prstGeom prst="rect">
                      <a:avLst/>
                    </a:prstGeom>
                    <a:noFill/>
                    <a:ln>
                      <a:noFill/>
                    </a:ln>
                  </pic:spPr>
                </pic:pic>
              </a:graphicData>
            </a:graphic>
          </wp:inline>
        </w:drawing>
      </w:r>
    </w:p>
    <w:p w14:paraId="4F632AC9" w14:textId="6A4DC18D" w:rsidR="002A2E1E" w:rsidRDefault="002A2E1E" w:rsidP="007810A1">
      <w:pPr>
        <w:pStyle w:val="Caption"/>
      </w:pPr>
      <w:bookmarkStart w:id="491" w:name="_Ref135568298"/>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127</w:t>
      </w:r>
      <w:r w:rsidR="004E20BD">
        <w:rPr>
          <w:noProof/>
        </w:rPr>
        <w:fldChar w:fldCharType="end"/>
      </w:r>
      <w:bookmarkEnd w:id="490"/>
      <w:bookmarkEnd w:id="491"/>
      <w:r>
        <w:t>: Patient Testing</w:t>
      </w:r>
    </w:p>
    <w:p w14:paraId="2A6D39F6" w14:textId="77777777" w:rsidR="002A2E1E" w:rsidRPr="006A0A4A" w:rsidRDefault="00057948" w:rsidP="007810A1">
      <w:pPr>
        <w:pStyle w:val="BodyText"/>
      </w:pPr>
      <w:r>
        <w:rPr>
          <w:noProof/>
        </w:rPr>
        <w:drawing>
          <wp:inline distT="0" distB="0" distL="0" distR="0" wp14:anchorId="5368F009" wp14:editId="622F7790">
            <wp:extent cx="5939155" cy="4433570"/>
            <wp:effectExtent l="0" t="0" r="4445" b="5080"/>
            <wp:docPr id="239" name="Picture 239" descr="P7720#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P7720#yIS1">
                      <a:extLst>
                        <a:ext uri="{C183D7F6-B498-43B3-948B-1728B52AA6E4}">
                          <adec:decorative xmlns:adec="http://schemas.microsoft.com/office/drawing/2017/decorative" val="1"/>
                        </a:ext>
                      </a:extLst>
                    </pic:cNvP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939155" cy="4433570"/>
                    </a:xfrm>
                    <a:prstGeom prst="rect">
                      <a:avLst/>
                    </a:prstGeom>
                    <a:noFill/>
                    <a:ln>
                      <a:noFill/>
                    </a:ln>
                  </pic:spPr>
                </pic:pic>
              </a:graphicData>
            </a:graphic>
          </wp:inline>
        </w:drawing>
      </w:r>
    </w:p>
    <w:p w14:paraId="3B555D25" w14:textId="77777777" w:rsidR="007810A1" w:rsidRDefault="007810A1" w:rsidP="007810A1">
      <w:pPr>
        <w:pStyle w:val="Heading4"/>
      </w:pPr>
      <w:bookmarkStart w:id="492" w:name="_Ref126504310"/>
      <w:bookmarkStart w:id="493" w:name="_Toc97523624"/>
      <w:bookmarkStart w:id="494" w:name="_Toc97527594"/>
      <w:r w:rsidRPr="00323744">
        <w:rPr>
          <w:rStyle w:val="BullhornChar"/>
        </w:rPr>
        <w:t></w:t>
      </w:r>
      <w:r>
        <w:rPr>
          <w:rFonts w:ascii="Webdings" w:hAnsi="Webdings"/>
        </w:rPr>
        <w:t></w:t>
      </w:r>
      <w:r>
        <w:t>Alerts</w:t>
      </w:r>
    </w:p>
    <w:p w14:paraId="54E338EB" w14:textId="06EB4762" w:rsidR="002A21AE" w:rsidRDefault="002A21AE">
      <w:pPr>
        <w:pStyle w:val="Caption"/>
      </w:pPr>
      <w:bookmarkStart w:id="495" w:name="_Ref135568198"/>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647F4E">
        <w:rPr>
          <w:noProof/>
        </w:rPr>
        <w:t>10</w:t>
      </w:r>
      <w:r w:rsidR="004E20BD">
        <w:rPr>
          <w:noProof/>
        </w:rPr>
        <w:fldChar w:fldCharType="end"/>
      </w:r>
      <w:bookmarkEnd w:id="492"/>
      <w:bookmarkEnd w:id="495"/>
      <w:r>
        <w:t xml:space="preserve">: Alerts That May Occur in Patient Testing: </w:t>
      </w:r>
      <w:bookmarkEnd w:id="493"/>
      <w:bookmarkEnd w:id="494"/>
      <w:r w:rsidR="00260BEA">
        <w:t>General Instructions</w:t>
      </w:r>
      <w:r>
        <w:fldChar w:fldCharType="begin"/>
      </w:r>
      <w:r>
        <w:instrText xml:space="preserve"> XE </w:instrText>
      </w:r>
      <w:r w:rsidR="00FA7E65">
        <w:instrText>“</w:instrText>
      </w:r>
      <w:r>
        <w:instrText>Tables:Alerts That May Occur in Patient Testing:</w:instrText>
      </w:r>
      <w:r w:rsidR="00580422">
        <w:instrText xml:space="preserve"> </w:instrText>
      </w:r>
      <w:r w:rsidR="00260BEA">
        <w:instrText>General Instructions</w:instrText>
      </w:r>
      <w:r w:rsidR="00FA7E65">
        <w:instrText>”</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0"/>
        <w:gridCol w:w="8580"/>
      </w:tblGrid>
      <w:tr w:rsidR="002A21AE" w14:paraId="5471DFCC" w14:textId="77777777">
        <w:trPr>
          <w:tblHeader/>
        </w:trPr>
        <w:tc>
          <w:tcPr>
            <w:tcW w:w="780" w:type="dxa"/>
            <w:shd w:val="clear" w:color="auto" w:fill="B3B3B3"/>
          </w:tcPr>
          <w:p w14:paraId="2C0B7F77" w14:textId="77777777" w:rsidR="002A21AE" w:rsidRDefault="00DB3377">
            <w:pPr>
              <w:pStyle w:val="TableText"/>
              <w:rPr>
                <w:b/>
              </w:rPr>
            </w:pPr>
            <w:r>
              <w:rPr>
                <w:b/>
              </w:rPr>
              <w:t>User Action Step</w:t>
            </w:r>
          </w:p>
        </w:tc>
        <w:tc>
          <w:tcPr>
            <w:tcW w:w="8580" w:type="dxa"/>
            <w:shd w:val="clear" w:color="auto" w:fill="B3B3B3"/>
          </w:tcPr>
          <w:p w14:paraId="5025C7E1" w14:textId="77777777" w:rsidR="002A21AE" w:rsidRDefault="002A21AE">
            <w:pPr>
              <w:pStyle w:val="TableText"/>
              <w:rPr>
                <w:b/>
              </w:rPr>
            </w:pPr>
            <w:r>
              <w:rPr>
                <w:b/>
              </w:rPr>
              <w:t>Alerts</w:t>
            </w:r>
          </w:p>
        </w:tc>
      </w:tr>
      <w:tr w:rsidR="002A21AE" w14:paraId="3C87A336" w14:textId="77777777">
        <w:tblPrEx>
          <w:tblLook w:val="0000" w:firstRow="0" w:lastRow="0" w:firstColumn="0" w:lastColumn="0" w:noHBand="0" w:noVBand="0"/>
        </w:tblPrEx>
        <w:tc>
          <w:tcPr>
            <w:tcW w:w="780" w:type="dxa"/>
          </w:tcPr>
          <w:p w14:paraId="2FA385E1" w14:textId="77777777" w:rsidR="002A21AE" w:rsidRDefault="002A21AE">
            <w:pPr>
              <w:pStyle w:val="TableText"/>
            </w:pPr>
            <w:r>
              <w:t>4</w:t>
            </w:r>
          </w:p>
        </w:tc>
        <w:tc>
          <w:tcPr>
            <w:tcW w:w="8580" w:type="dxa"/>
          </w:tcPr>
          <w:p w14:paraId="2F53CA60" w14:textId="77777777" w:rsidR="002A21AE" w:rsidRDefault="002A21AE" w:rsidP="00D64D63">
            <w:pPr>
              <w:pStyle w:val="TableText"/>
            </w:pPr>
            <w:r w:rsidRPr="001D6391">
              <w:rPr>
                <w:vanish/>
              </w:rPr>
              <w:t xml:space="preserve">BR_41.04 </w:t>
            </w:r>
            <w:r>
              <w:t xml:space="preserve">When the division is configured as “full service” in </w:t>
            </w:r>
            <w:r w:rsidR="00D567C9">
              <w:t>Configure Division</w:t>
            </w:r>
            <w:r>
              <w:t xml:space="preserve">, VBECS displays data fields for the user to select or enter the lot number, and displays the manufacturer and expiration date of each antiserum to be used in this transaction to allow the user to choose the correct antiserum. VBECS displays in-date antisera and allows the user to select outdated antisera, if needed, emits an audible alert, and requires an override. VBECS captures details for inclusion in an Exception Report (exception type: expired antisera used). </w:t>
            </w:r>
          </w:p>
        </w:tc>
      </w:tr>
      <w:tr w:rsidR="002A21AE" w14:paraId="67F64162" w14:textId="77777777">
        <w:tblPrEx>
          <w:tblLook w:val="0000" w:firstRow="0" w:lastRow="0" w:firstColumn="0" w:lastColumn="0" w:noHBand="0" w:noVBand="0"/>
        </w:tblPrEx>
        <w:tc>
          <w:tcPr>
            <w:tcW w:w="780" w:type="dxa"/>
          </w:tcPr>
          <w:p w14:paraId="3A8D1C65" w14:textId="77777777" w:rsidR="002A21AE" w:rsidRDefault="002A21AE">
            <w:pPr>
              <w:pStyle w:val="TableText"/>
            </w:pPr>
            <w:r>
              <w:t>5</w:t>
            </w:r>
          </w:p>
        </w:tc>
        <w:tc>
          <w:tcPr>
            <w:tcW w:w="8580" w:type="dxa"/>
          </w:tcPr>
          <w:p w14:paraId="528716FF" w14:textId="77777777" w:rsidR="002A21AE" w:rsidRDefault="002A21AE">
            <w:pPr>
              <w:pStyle w:val="TableText"/>
            </w:pPr>
            <w:r>
              <w:rPr>
                <w:rFonts w:cs="Arial"/>
                <w:vanish/>
              </w:rPr>
              <w:t xml:space="preserve">BR_56.03 </w:t>
            </w:r>
            <w:r>
              <w:t>The user may cancel or delete a partially</w:t>
            </w:r>
            <w:r>
              <w:rPr>
                <w:b/>
              </w:rPr>
              <w:t xml:space="preserve"> </w:t>
            </w:r>
            <w:r>
              <w:t>completed grid. VBECS:</w:t>
            </w:r>
          </w:p>
          <w:p w14:paraId="238A1958" w14:textId="77777777" w:rsidR="002A21AE" w:rsidRDefault="002A21AE">
            <w:pPr>
              <w:pStyle w:val="TableTextBullet"/>
            </w:pPr>
            <w:r>
              <w:t xml:space="preserve">Emits an audible alert and requires a comment. </w:t>
            </w:r>
          </w:p>
          <w:p w14:paraId="03FAFD3E" w14:textId="77777777" w:rsidR="002A21AE" w:rsidRDefault="002A21AE">
            <w:pPr>
              <w:pStyle w:val="TableTextBullet"/>
            </w:pPr>
            <w:r>
              <w:t>Clears previously entered observed results from the data grid and allows the user to enter new data.</w:t>
            </w:r>
          </w:p>
          <w:p w14:paraId="4ED1F6CF" w14:textId="00B87384" w:rsidR="002A21AE" w:rsidRDefault="002A21AE" w:rsidP="00BE7839">
            <w:pPr>
              <w:pStyle w:val="TableTextBullet"/>
            </w:pPr>
            <w:r>
              <w:t xml:space="preserve">Captures details for inclusion in an Exception Report (exception type: previously recorded results invalidated). </w:t>
            </w:r>
            <w:r w:rsidR="00BE7839">
              <w:t>Note that t</w:t>
            </w:r>
            <w:r w:rsidR="00C46644">
              <w:t>he time displayed in the "Date/T</w:t>
            </w:r>
            <w:r w:rsidR="00BE7839" w:rsidRPr="00BE7839">
              <w:t>ime results invalidated" field is the time the results were entered.</w:t>
            </w:r>
            <w:r w:rsidR="00244AD3">
              <w:t xml:space="preserve"> </w:t>
            </w:r>
            <w:r w:rsidR="00244AD3" w:rsidRPr="00244AD3">
              <w:rPr>
                <w:vanish/>
              </w:rPr>
              <w:t>Defect 209618</w:t>
            </w:r>
          </w:p>
        </w:tc>
      </w:tr>
      <w:tr w:rsidR="002A21AE" w14:paraId="443468A2" w14:textId="77777777">
        <w:tblPrEx>
          <w:tblLook w:val="0000" w:firstRow="0" w:lastRow="0" w:firstColumn="0" w:lastColumn="0" w:noHBand="0" w:noVBand="0"/>
        </w:tblPrEx>
        <w:tc>
          <w:tcPr>
            <w:tcW w:w="780" w:type="dxa"/>
          </w:tcPr>
          <w:p w14:paraId="6D3732CD" w14:textId="77777777" w:rsidR="002A21AE" w:rsidRDefault="002A21AE">
            <w:pPr>
              <w:pStyle w:val="TableText"/>
            </w:pPr>
            <w:r>
              <w:t>6</w:t>
            </w:r>
          </w:p>
        </w:tc>
        <w:tc>
          <w:tcPr>
            <w:tcW w:w="8580" w:type="dxa"/>
          </w:tcPr>
          <w:p w14:paraId="79A4D961" w14:textId="77777777" w:rsidR="002A21AE" w:rsidRDefault="002A21AE">
            <w:pPr>
              <w:pStyle w:val="TableText"/>
            </w:pPr>
            <w:r>
              <w:rPr>
                <w:rFonts w:cs="Arial"/>
                <w:vanish/>
              </w:rPr>
              <w:t xml:space="preserve">BR_56.01 </w:t>
            </w:r>
            <w:r>
              <w:t>Warns that the user is saving the first instance of a historic ABO/Rh.</w:t>
            </w:r>
          </w:p>
        </w:tc>
      </w:tr>
      <w:tr w:rsidR="002A21AE" w14:paraId="66EF6146" w14:textId="77777777">
        <w:tblPrEx>
          <w:tblLook w:val="0000" w:firstRow="0" w:lastRow="0" w:firstColumn="0" w:lastColumn="0" w:noHBand="0" w:noVBand="0"/>
        </w:tblPrEx>
        <w:tc>
          <w:tcPr>
            <w:tcW w:w="780" w:type="dxa"/>
          </w:tcPr>
          <w:p w14:paraId="299ED536" w14:textId="77777777" w:rsidR="002A21AE" w:rsidRDefault="002A21AE">
            <w:pPr>
              <w:pStyle w:val="TableText"/>
            </w:pPr>
            <w:r>
              <w:lastRenderedPageBreak/>
              <w:t>6</w:t>
            </w:r>
          </w:p>
        </w:tc>
        <w:tc>
          <w:tcPr>
            <w:tcW w:w="8580" w:type="dxa"/>
          </w:tcPr>
          <w:p w14:paraId="4D664199" w14:textId="77777777" w:rsidR="004254A3" w:rsidRDefault="002A21AE">
            <w:pPr>
              <w:pStyle w:val="TableText"/>
            </w:pPr>
            <w:r>
              <w:rPr>
                <w:rFonts w:cs="Arial"/>
                <w:vanish/>
              </w:rPr>
              <w:t xml:space="preserve">BR_56.12 </w:t>
            </w:r>
            <w:r>
              <w:t xml:space="preserve">When the ABO/Rh interpretation matches observed results, is not inconclusive, and does not match the patient’s historic ABO/Rh (if any, including from database conversion), VBECS emits an audible alert, warns that the current ABO/Rh does not match previous results, and instructs the user to enter a comment to continue, or click </w:t>
            </w:r>
            <w:r>
              <w:rPr>
                <w:b/>
              </w:rPr>
              <w:t>Cancel</w:t>
            </w:r>
            <w:r>
              <w:t xml:space="preserve"> to clear the ABO/Rh testing results and interpretation from the screen. VBECS captures details for inclusion in an Exception Report (exception type: ABO/Rh discrepancy).</w:t>
            </w:r>
          </w:p>
        </w:tc>
      </w:tr>
      <w:tr w:rsidR="002A21AE" w14:paraId="5CFE5F7E" w14:textId="77777777">
        <w:tblPrEx>
          <w:tblLook w:val="0000" w:firstRow="0" w:lastRow="0" w:firstColumn="0" w:lastColumn="0" w:noHBand="0" w:noVBand="0"/>
        </w:tblPrEx>
        <w:tc>
          <w:tcPr>
            <w:tcW w:w="780" w:type="dxa"/>
          </w:tcPr>
          <w:p w14:paraId="08739A57" w14:textId="77777777" w:rsidR="002A21AE" w:rsidRDefault="002A21AE">
            <w:pPr>
              <w:pStyle w:val="TableText"/>
            </w:pPr>
            <w:r>
              <w:t>6</w:t>
            </w:r>
          </w:p>
        </w:tc>
        <w:tc>
          <w:tcPr>
            <w:tcW w:w="8580" w:type="dxa"/>
          </w:tcPr>
          <w:p w14:paraId="55F4C243" w14:textId="77777777" w:rsidR="002A21AE" w:rsidRDefault="002A21AE">
            <w:pPr>
              <w:pStyle w:val="TableText"/>
            </w:pPr>
            <w:r>
              <w:rPr>
                <w:rFonts w:cs="Arial"/>
                <w:vanish/>
                <w:szCs w:val="18"/>
              </w:rPr>
              <w:t>BR_56.16</w:t>
            </w:r>
            <w:r w:rsidR="00CE3961">
              <w:rPr>
                <w:rFonts w:cs="Arial"/>
                <w:vanish/>
                <w:szCs w:val="18"/>
              </w:rPr>
              <w:t>,</w:t>
            </w:r>
            <w:r>
              <w:rPr>
                <w:rFonts w:cs="Arial"/>
                <w:vanish/>
                <w:szCs w:val="18"/>
              </w:rPr>
              <w:t xml:space="preserve"> </w:t>
            </w:r>
            <w:r>
              <w:rPr>
                <w:vanish/>
                <w:szCs w:val="18"/>
              </w:rPr>
              <w:t xml:space="preserve">BR_56.28 </w:t>
            </w:r>
            <w:r>
              <w:t>When the interpretation of a repeat ABO/Rh does not match the original interpretation, VBECS:</w:t>
            </w:r>
          </w:p>
          <w:p w14:paraId="29CD6932" w14:textId="77777777" w:rsidR="002A21AE" w:rsidRDefault="002A21AE">
            <w:pPr>
              <w:pStyle w:val="TableTextBullet"/>
            </w:pPr>
            <w:r>
              <w:t>Verifies the retest results.</w:t>
            </w:r>
          </w:p>
          <w:p w14:paraId="4849695F" w14:textId="77777777" w:rsidR="002A21AE" w:rsidRDefault="002A21AE">
            <w:pPr>
              <w:pStyle w:val="TableTextBullet"/>
            </w:pPr>
            <w:r>
              <w:t>Emits an audible alert and warns the user.</w:t>
            </w:r>
          </w:p>
          <w:p w14:paraId="435C42EB" w14:textId="77777777" w:rsidR="002A21AE" w:rsidRDefault="002A21AE">
            <w:pPr>
              <w:pStyle w:val="TableTextBullet"/>
            </w:pPr>
            <w:r>
              <w:t>Instructs the user to resolve the discrepancy before the specimen may be used.</w:t>
            </w:r>
          </w:p>
          <w:p w14:paraId="4580104E" w14:textId="77777777" w:rsidR="002A21AE" w:rsidRDefault="002A21AE">
            <w:pPr>
              <w:pStyle w:val="TableTextBullet"/>
            </w:pPr>
            <w:r>
              <w:t xml:space="preserve">Asks whether the user wishes to continue to save. </w:t>
            </w:r>
            <w:r>
              <w:rPr>
                <w:b/>
              </w:rPr>
              <w:t>No</w:t>
            </w:r>
            <w:r>
              <w:t xml:space="preserve"> clears the ABO/Rh testing results and interpretation from the screen. </w:t>
            </w:r>
            <w:r>
              <w:rPr>
                <w:b/>
              </w:rPr>
              <w:t>Yes</w:t>
            </w:r>
            <w:r>
              <w:t xml:space="preserve"> requires a comment and captures details for inclusion in an Exception Report (Exception type: ABO/Rh discrepancy). </w:t>
            </w:r>
          </w:p>
        </w:tc>
      </w:tr>
      <w:tr w:rsidR="002A21AE" w14:paraId="36D964E0" w14:textId="77777777">
        <w:tblPrEx>
          <w:tblLook w:val="0000" w:firstRow="0" w:lastRow="0" w:firstColumn="0" w:lastColumn="0" w:noHBand="0" w:noVBand="0"/>
        </w:tblPrEx>
        <w:tc>
          <w:tcPr>
            <w:tcW w:w="780" w:type="dxa"/>
          </w:tcPr>
          <w:p w14:paraId="25A258D7" w14:textId="77777777" w:rsidR="002A21AE" w:rsidRDefault="002A21AE">
            <w:pPr>
              <w:pStyle w:val="TableText"/>
            </w:pPr>
            <w:r>
              <w:t>6</w:t>
            </w:r>
          </w:p>
        </w:tc>
        <w:tc>
          <w:tcPr>
            <w:tcW w:w="8580" w:type="dxa"/>
          </w:tcPr>
          <w:p w14:paraId="6036F171" w14:textId="77777777" w:rsidR="003F73CA" w:rsidRPr="003F73CA" w:rsidRDefault="002A21AE">
            <w:pPr>
              <w:pStyle w:val="TableText"/>
            </w:pPr>
            <w:r>
              <w:rPr>
                <w:rFonts w:cs="Arial"/>
                <w:vanish/>
              </w:rPr>
              <w:t xml:space="preserve">BR_56.19 </w:t>
            </w:r>
            <w:r>
              <w:t>When a user documents an ABO/Rh discrepancy, VBECS releases units with “assigned” and “crossmatched” statuses associated with this specimen from the patient.</w:t>
            </w:r>
          </w:p>
        </w:tc>
      </w:tr>
      <w:tr w:rsidR="002A21AE" w14:paraId="4210B19B" w14:textId="77777777">
        <w:tblPrEx>
          <w:tblLook w:val="0000" w:firstRow="0" w:lastRow="0" w:firstColumn="0" w:lastColumn="0" w:noHBand="0" w:noVBand="0"/>
        </w:tblPrEx>
        <w:tc>
          <w:tcPr>
            <w:tcW w:w="780" w:type="dxa"/>
          </w:tcPr>
          <w:p w14:paraId="4CFFC3A2" w14:textId="77777777" w:rsidR="002A21AE" w:rsidRDefault="002A21AE">
            <w:pPr>
              <w:pStyle w:val="TableText"/>
            </w:pPr>
            <w:r>
              <w:t>6</w:t>
            </w:r>
          </w:p>
        </w:tc>
        <w:tc>
          <w:tcPr>
            <w:tcW w:w="8580" w:type="dxa"/>
          </w:tcPr>
          <w:p w14:paraId="0B010B07" w14:textId="77777777" w:rsidR="002A21AE" w:rsidRDefault="002A21AE" w:rsidP="00003BE9">
            <w:pPr>
              <w:pStyle w:val="TableText"/>
            </w:pPr>
            <w:r>
              <w:rPr>
                <w:rFonts w:cs="Arial"/>
                <w:vanish/>
              </w:rPr>
              <w:t xml:space="preserve">BR_56.29 </w:t>
            </w:r>
            <w:r>
              <w:t>When a unit was issued and a conflicting test result found that indicates a potential unit incompatibility with the patient, such as a patient ABO/Rh discrepancy, the unit XM is incompatible with the patient, the patient ABS is positive, the patient DAT is positive, or the unit is antigen positive where antigen negative is required on the tested specimen, VBECS warns the user and instructs him to notify the physician of this potential problem immediately, according to hospital policy. VBECS warns the user during the execution of the various tests related to the compatibility of a blood unit and captures details for inclusion in an Exception Report (exception type: unit issued, testing problem).</w:t>
            </w:r>
            <w:r w:rsidR="004C53EA">
              <w:t xml:space="preserve"> </w:t>
            </w:r>
          </w:p>
        </w:tc>
      </w:tr>
      <w:tr w:rsidR="00AF6F7F" w14:paraId="355A4EB8" w14:textId="77777777">
        <w:tblPrEx>
          <w:tblLook w:val="0000" w:firstRow="0" w:lastRow="0" w:firstColumn="0" w:lastColumn="0" w:noHBand="0" w:noVBand="0"/>
        </w:tblPrEx>
        <w:tc>
          <w:tcPr>
            <w:tcW w:w="780" w:type="dxa"/>
          </w:tcPr>
          <w:p w14:paraId="76237CF0" w14:textId="648AB977" w:rsidR="00AF6F7F" w:rsidRDefault="00AF6F7F">
            <w:pPr>
              <w:pStyle w:val="TableText"/>
            </w:pPr>
            <w:r>
              <w:t>6</w:t>
            </w:r>
          </w:p>
        </w:tc>
        <w:tc>
          <w:tcPr>
            <w:tcW w:w="8580" w:type="dxa"/>
          </w:tcPr>
          <w:p w14:paraId="4A7CEB43" w14:textId="1AEEE4D3" w:rsidR="00AF6F7F" w:rsidRDefault="00460566" w:rsidP="00003BE9">
            <w:pPr>
              <w:pStyle w:val="TableText"/>
              <w:rPr>
                <w:rFonts w:cs="Arial"/>
                <w:vanish/>
              </w:rPr>
            </w:pPr>
            <w:r w:rsidRPr="00460566">
              <w:rPr>
                <w:vanish/>
              </w:rPr>
              <w:t xml:space="preserve">BR_53.08 </w:t>
            </w:r>
            <w:r w:rsidR="00AF6F7F">
              <w:t xml:space="preserve">If the antibody screen is positive, the system shall emit an audible alert and warning that displays </w:t>
            </w:r>
            <w:r w:rsidR="00AF6F7F" w:rsidRPr="00DD6184">
              <w:t>Patient has a POSITIVE Antibody Screen Result. Please perform Antibody Identification on this patient prior to issue of blood components</w:t>
            </w:r>
            <w:r w:rsidR="00AF6F7F">
              <w:t>.</w:t>
            </w:r>
          </w:p>
        </w:tc>
      </w:tr>
    </w:tbl>
    <w:p w14:paraId="157A6BA4" w14:textId="77777777" w:rsidR="0072673B" w:rsidRDefault="0072673B">
      <w:pPr>
        <w:pStyle w:val="Heading3"/>
      </w:pPr>
    </w:p>
    <w:p w14:paraId="14802E60" w14:textId="77777777" w:rsidR="002A21AE" w:rsidRDefault="0072673B" w:rsidP="0072673B">
      <w:pPr>
        <w:pStyle w:val="Heading3"/>
      </w:pPr>
      <w:r>
        <w:br w:type="page"/>
      </w:r>
      <w:bookmarkStart w:id="496" w:name="_Toc4588815"/>
      <w:r w:rsidR="002A21AE">
        <w:lastRenderedPageBreak/>
        <w:t>Patient Testing: Record a Patient ABO/Rh</w:t>
      </w:r>
      <w:bookmarkEnd w:id="496"/>
      <w:r w:rsidR="002A21AE">
        <w:fldChar w:fldCharType="begin"/>
      </w:r>
      <w:r w:rsidR="002A21AE">
        <w:instrText xml:space="preserve"> XE </w:instrText>
      </w:r>
      <w:r w:rsidR="00FA7E65">
        <w:instrText>“</w:instrText>
      </w:r>
      <w:r w:rsidR="002A21AE">
        <w:instrText>Patient Testing\: Record a Patient ABO/Rh</w:instrText>
      </w:r>
      <w:r w:rsidR="00FA7E65">
        <w:instrText>”</w:instrText>
      </w:r>
      <w:r w:rsidR="002A21AE">
        <w:instrText xml:space="preserve"> </w:instrText>
      </w:r>
      <w:r w:rsidR="002A21AE">
        <w:fldChar w:fldCharType="end"/>
      </w:r>
      <w:r w:rsidR="002A21AE">
        <w:t xml:space="preserve"> </w:t>
      </w:r>
      <w:r w:rsidR="002A21AE">
        <w:rPr>
          <w:vanish/>
          <w:sz w:val="22"/>
        </w:rPr>
        <w:t>UC_52</w:t>
      </w:r>
    </w:p>
    <w:p w14:paraId="147FCA68" w14:textId="77777777" w:rsidR="002A21AE" w:rsidRDefault="002A21AE" w:rsidP="00FA7E65">
      <w:pPr>
        <w:pStyle w:val="BodyText"/>
      </w:pPr>
      <w:r>
        <w:t xml:space="preserve">The user records observed results when performing ABO/Rh blood typing. </w:t>
      </w:r>
    </w:p>
    <w:p w14:paraId="0584ADBC" w14:textId="77777777" w:rsidR="002A21AE" w:rsidRDefault="002A21AE">
      <w:pPr>
        <w:pStyle w:val="Heading4"/>
      </w:pPr>
      <w:r>
        <w:t>Assumptions</w:t>
      </w:r>
    </w:p>
    <w:p w14:paraId="4E09B061" w14:textId="77777777" w:rsidR="002A21AE" w:rsidRDefault="002A21AE">
      <w:pPr>
        <w:pStyle w:val="ListBullet"/>
      </w:pPr>
      <w:r>
        <w:t xml:space="preserve">A CPRS order exists that includes an ABO/Rh typing [ABO/Rh Test or Type &amp; Screen (TAS)]. </w:t>
      </w:r>
    </w:p>
    <w:p w14:paraId="64C06416" w14:textId="77777777" w:rsidR="002A21AE" w:rsidRDefault="002A21AE">
      <w:pPr>
        <w:pStyle w:val="ListBullet"/>
      </w:pPr>
      <w:r>
        <w:t>The user accesses patient ABO/Rh grids through Patient Testing: Record Patient Test Results.</w:t>
      </w:r>
    </w:p>
    <w:p w14:paraId="43CC7A95" w14:textId="77777777" w:rsidR="0083516B" w:rsidRPr="0083516B" w:rsidRDefault="002A21AE" w:rsidP="0083516B">
      <w:pPr>
        <w:pStyle w:val="Heading4"/>
      </w:pPr>
      <w:r>
        <w:t>Outcome</w:t>
      </w:r>
    </w:p>
    <w:p w14:paraId="168770C3" w14:textId="77777777" w:rsidR="002A21AE" w:rsidRDefault="002A21AE">
      <w:pPr>
        <w:pStyle w:val="ListBullet"/>
      </w:pPr>
      <w:r>
        <w:t>The ABO/Rh result is used to determine overall blood component compatibility.</w:t>
      </w:r>
    </w:p>
    <w:p w14:paraId="64FD9904" w14:textId="77777777" w:rsidR="002A21AE" w:rsidRDefault="002A21AE">
      <w:pPr>
        <w:pStyle w:val="ListBullet"/>
      </w:pPr>
      <w:r>
        <w:t>When ABO/Rh is ordered as a stand-alone test, VBECS changes the task status to “completed” and triggers the generation of a message to CPRS that the order is completed.</w:t>
      </w:r>
    </w:p>
    <w:p w14:paraId="6FE426C9" w14:textId="77777777" w:rsidR="002A21AE" w:rsidRDefault="002A21AE">
      <w:pPr>
        <w:pStyle w:val="Heading4"/>
      </w:pPr>
      <w:r>
        <w:t>Limitations and Restrictions</w:t>
      </w:r>
    </w:p>
    <w:p w14:paraId="1EB0E249" w14:textId="05C28238" w:rsidR="00CD1B8C" w:rsidRDefault="0084410F" w:rsidP="00CD1B8C">
      <w:pPr>
        <w:pStyle w:val="ListBullet"/>
      </w:pPr>
      <w:r>
        <w:t>VBECS does not allow entry of ABO or Rh subgroups as a 'group' and/or  'type' when the previous blood group/type is "NR", indicating no recor</w:t>
      </w:r>
      <w:r w:rsidR="00CD1B8C">
        <w:t>d of previous testing.  S</w:t>
      </w:r>
      <w:r>
        <w:t xml:space="preserve">ee </w:t>
      </w:r>
      <w:r w:rsidR="00376944">
        <w:t>FAQ</w:t>
      </w:r>
      <w:r>
        <w:t xml:space="preserve"> ABO Subgroup Interpretation </w:t>
      </w:r>
      <w:r w:rsidR="00C230C9">
        <w:t xml:space="preserve">and contact the </w:t>
      </w:r>
      <w:r w:rsidR="00CD1B8C">
        <w:t>Service Desk for assistance, prior to adding patient transfusion records in VBECS, when possible.</w:t>
      </w:r>
      <w:r w:rsidR="00CD1B8C" w:rsidRPr="00CD1B8C">
        <w:rPr>
          <w:vanish/>
        </w:rPr>
        <w:t xml:space="preserve"> Defect 368207</w:t>
      </w:r>
    </w:p>
    <w:p w14:paraId="02E5C857" w14:textId="506CB7FF" w:rsidR="00FE415F" w:rsidRDefault="00FE415F" w:rsidP="00FE415F">
      <w:pPr>
        <w:pStyle w:val="ListBullet"/>
      </w:pPr>
      <w:r>
        <w:t>When the patient has no previous ABO/Rh test record (NR), the ABO/Rh test associated with th</w:t>
      </w:r>
      <w:r w:rsidR="008C75A6">
        <w:t>e</w:t>
      </w:r>
      <w:r>
        <w:t xml:space="preserve"> Type and Screen test (TAS) must be completed and saved prior to entering and saving a repeat ABO/Rh test on this specimen. </w:t>
      </w:r>
      <w:r w:rsidRPr="00FE415F">
        <w:rPr>
          <w:vanish/>
        </w:rPr>
        <w:t>Defect 231531</w:t>
      </w:r>
      <w:r w:rsidR="003B0CE2">
        <w:rPr>
          <w:vanish/>
        </w:rPr>
        <w:t>, Task 474043</w:t>
      </w:r>
    </w:p>
    <w:p w14:paraId="75DB8661" w14:textId="5BCEFD3D" w:rsidR="00E06C13" w:rsidRDefault="00D25068" w:rsidP="00D25068">
      <w:pPr>
        <w:pStyle w:val="ListBullet"/>
      </w:pPr>
      <w:r w:rsidRPr="00D25068">
        <w:t>A user is permitted to select two partially completed tests with different test phases (e.g., AHG only and All Phases) along with a not started test. The testing phase for the not started test will present as AHG only even though results for all phases are required by VBECS. Entering only AHG test results for the specimen that was not started and saving will result in a partially completed test that cannot be completed or invalidated.</w:t>
      </w:r>
      <w:r>
        <w:t xml:space="preserve"> Contact the Service Desk when you encounter this problem. Specimens that cannot be completed or invalidated require the attention of Tier 3 support. Select partially completed orders that have been previously saved with the same grid test pattern. Optionally, a not started test may be selected with these but must be tested with the same grid pattern to avoid the problem.</w:t>
      </w:r>
      <w:r w:rsidR="00201A45">
        <w:t xml:space="preserve"> </w:t>
      </w:r>
      <w:r w:rsidR="00201A45" w:rsidRPr="007E05D6">
        <w:rPr>
          <w:vanish/>
        </w:rPr>
        <w:t>Defect 210048</w:t>
      </w:r>
    </w:p>
    <w:p w14:paraId="2ED5FBC1" w14:textId="406D86D9" w:rsidR="007E05D6" w:rsidRPr="00D25068" w:rsidRDefault="00D033DC" w:rsidP="00D25068">
      <w:pPr>
        <w:pStyle w:val="ListBullet"/>
      </w:pPr>
      <w:r>
        <w:t xml:space="preserve">When canceling out of a Discrepant ABO/Rh Typing override, the interpretations are cleared, but the testing results are not cleared. Correct the testing entries or click the red ‘X’ to clear the testing results. </w:t>
      </w:r>
      <w:r w:rsidRPr="00D033DC">
        <w:rPr>
          <w:vanish/>
        </w:rPr>
        <w:t>Defect 208974</w:t>
      </w:r>
    </w:p>
    <w:p w14:paraId="44435F76" w14:textId="77777777" w:rsidR="002A21AE" w:rsidRDefault="002A21AE">
      <w:pPr>
        <w:pStyle w:val="Heading4"/>
      </w:pPr>
      <w:r>
        <w:t>Additional Information</w:t>
      </w:r>
    </w:p>
    <w:p w14:paraId="67B21200" w14:textId="77777777" w:rsidR="00FC3A2C" w:rsidRDefault="00FC3A2C">
      <w:pPr>
        <w:pStyle w:val="ListBullet"/>
      </w:pPr>
      <w:r>
        <w:t>When an ABO/Rh discrepancy exists, VBECS releases assigned and crossmatched units. These units are then available for e</w:t>
      </w:r>
      <w:r w:rsidRPr="003F73CA">
        <w:t>mergency issue</w:t>
      </w:r>
      <w:r>
        <w:t xml:space="preserve"> based on system rules</w:t>
      </w:r>
      <w:r w:rsidRPr="003F73CA">
        <w:t>.</w:t>
      </w:r>
    </w:p>
    <w:p w14:paraId="35697C91" w14:textId="77777777" w:rsidR="002A21AE" w:rsidRDefault="002A21AE">
      <w:pPr>
        <w:pStyle w:val="ListBullet"/>
      </w:pPr>
      <w:r>
        <w:t>VBECS does not enforce local policies that require running a D control for AB positive patients.</w:t>
      </w:r>
    </w:p>
    <w:p w14:paraId="2ADC961A" w14:textId="77777777" w:rsidR="002A21AE" w:rsidRDefault="002A21AE">
      <w:pPr>
        <w:pStyle w:val="ListBullet"/>
      </w:pPr>
      <w:r>
        <w:t>The most recent instance of ABO/Rh testing in the database serves as the historic ABO/Rh record.</w:t>
      </w:r>
    </w:p>
    <w:p w14:paraId="6B772B99" w14:textId="77777777" w:rsidR="00786249" w:rsidRPr="00786249" w:rsidRDefault="00786249" w:rsidP="00786249">
      <w:pPr>
        <w:pStyle w:val="ListBullet"/>
        <w:rPr>
          <w:color w:val="1F497D"/>
        </w:rPr>
      </w:pPr>
      <w:r>
        <w:t>Weak D testing results recorded in Patient Antigen Typing do not interact or change the Rh typing recorded for the patient by an ABO/Rh test.</w:t>
      </w:r>
      <w:r w:rsidRPr="00812458">
        <w:rPr>
          <w:vanish/>
        </w:rPr>
        <w:t xml:space="preserve"> Task 409152</w:t>
      </w:r>
    </w:p>
    <w:p w14:paraId="55D089B6" w14:textId="77777777" w:rsidR="002A21AE" w:rsidRDefault="002A21AE">
      <w:pPr>
        <w:pStyle w:val="Heading4"/>
      </w:pPr>
      <w:r>
        <w:t xml:space="preserve">User Roles with Access to This Option </w:t>
      </w:r>
    </w:p>
    <w:p w14:paraId="3C3FF225" w14:textId="77777777" w:rsidR="002A21AE" w:rsidRDefault="00A937B3">
      <w:pPr>
        <w:pStyle w:val="Roles"/>
      </w:pPr>
      <w:r>
        <w:t>All users</w:t>
      </w:r>
    </w:p>
    <w:p w14:paraId="7C3945E9" w14:textId="77777777" w:rsidR="002A21AE" w:rsidRDefault="002A21AE">
      <w:pPr>
        <w:pStyle w:val="Heading4"/>
      </w:pPr>
      <w:r>
        <w:lastRenderedPageBreak/>
        <w:t>Patient Testing: Record a Patient ABO/Rh</w:t>
      </w:r>
    </w:p>
    <w:p w14:paraId="3C3BFEFF" w14:textId="77777777" w:rsidR="002A21AE" w:rsidRDefault="002A21AE" w:rsidP="00FA7E65">
      <w:pPr>
        <w:pStyle w:val="BodyText"/>
      </w:pPr>
      <w:r>
        <w:t>This option describes a test to determine the patient’s ABO/Rh typing from a blood specimen. The user enters the serologic reaction results in the data entry grid using the instructions and rules in this option. The grid is used for the Confirm Patient ABO/Rh reflex test as part of a TAS and crossmatch (XM) test battery. VBECS monitors the user’s entries and interpretations and maintains the records for patient reports.</w:t>
      </w:r>
      <w:r w:rsidR="000222FC">
        <w:t xml:space="preserve"> </w:t>
      </w:r>
    </w:p>
    <w:p w14:paraId="64B24025" w14:textId="77777777" w:rsidR="002A21AE" w:rsidRDefault="002A21AE" w:rsidP="00FA7E65">
      <w:pPr>
        <w:pStyle w:val="BodyText"/>
      </w:pPr>
      <w:r>
        <w:t xml:space="preserve">These steps describe the entry of data for a patient ABO/Rh test when the test is ordered individually or as part of a TAS.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48F0DF8F" w14:textId="77777777">
        <w:trPr>
          <w:cantSplit/>
          <w:tblHeader/>
        </w:trPr>
        <w:tc>
          <w:tcPr>
            <w:tcW w:w="3240" w:type="dxa"/>
            <w:shd w:val="pct30" w:color="auto" w:fill="FFFFFF"/>
            <w:vAlign w:val="bottom"/>
          </w:tcPr>
          <w:p w14:paraId="2553BE89" w14:textId="77777777" w:rsidR="002A21AE" w:rsidRDefault="002A21AE">
            <w:pPr>
              <w:pStyle w:val="TableText"/>
              <w:rPr>
                <w:b/>
              </w:rPr>
            </w:pPr>
            <w:r>
              <w:rPr>
                <w:b/>
              </w:rPr>
              <w:t>User Action</w:t>
            </w:r>
          </w:p>
        </w:tc>
        <w:tc>
          <w:tcPr>
            <w:tcW w:w="6120" w:type="dxa"/>
            <w:shd w:val="pct30" w:color="auto" w:fill="FFFFFF"/>
            <w:vAlign w:val="bottom"/>
          </w:tcPr>
          <w:p w14:paraId="18C1413F" w14:textId="77777777" w:rsidR="002A21AE" w:rsidRDefault="002A21AE">
            <w:pPr>
              <w:pStyle w:val="TableText"/>
              <w:rPr>
                <w:b/>
              </w:rPr>
            </w:pPr>
            <w:r>
              <w:rPr>
                <w:b/>
              </w:rPr>
              <w:t>VBECS</w:t>
            </w:r>
          </w:p>
        </w:tc>
      </w:tr>
      <w:tr w:rsidR="00141448" w14:paraId="4EFAFE75" w14:textId="77777777">
        <w:tc>
          <w:tcPr>
            <w:tcW w:w="3240" w:type="dxa"/>
            <w:tcBorders>
              <w:top w:val="single" w:sz="4" w:space="0" w:color="auto"/>
              <w:left w:val="single" w:sz="4" w:space="0" w:color="auto"/>
              <w:bottom w:val="single" w:sz="4" w:space="0" w:color="auto"/>
              <w:right w:val="single" w:sz="4" w:space="0" w:color="auto"/>
            </w:tcBorders>
          </w:tcPr>
          <w:p w14:paraId="5BBD4A56" w14:textId="77777777" w:rsidR="00141448" w:rsidRDefault="00141448" w:rsidP="00141448">
            <w:pPr>
              <w:pStyle w:val="TableTextNumbers"/>
            </w:pPr>
            <w:r>
              <w:t xml:space="preserve">Select </w:t>
            </w:r>
            <w:r>
              <w:rPr>
                <w:b/>
              </w:rPr>
              <w:t>Patients</w:t>
            </w:r>
            <w:r>
              <w:t xml:space="preserve"> from the main menu.</w:t>
            </w:r>
          </w:p>
          <w:p w14:paraId="07D9B9D6" w14:textId="77777777" w:rsidR="00141448" w:rsidRDefault="00141448" w:rsidP="00141448">
            <w:pPr>
              <w:pStyle w:val="TableTextNumbersContinued"/>
            </w:pPr>
          </w:p>
          <w:p w14:paraId="46BAEC22" w14:textId="77777777" w:rsidR="00141448" w:rsidRDefault="00141448" w:rsidP="00141448">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14:paraId="0C01A055" w14:textId="77777777" w:rsidR="00141448" w:rsidRDefault="00141448" w:rsidP="00141448">
            <w:pPr>
              <w:pStyle w:val="TableTextBullet"/>
            </w:pPr>
            <w:r>
              <w:t xml:space="preserve">Displays options for processing patient-related functions. </w:t>
            </w:r>
          </w:p>
          <w:p w14:paraId="35709766" w14:textId="77777777" w:rsidR="00141448" w:rsidRDefault="00141448" w:rsidP="00141448">
            <w:pPr>
              <w:pStyle w:val="TableTextBullet"/>
            </w:pPr>
            <w:r>
              <w:t>Displays the Pending Task List (PTL) in the Diagnostic Tests tab.</w:t>
            </w:r>
          </w:p>
          <w:p w14:paraId="3B6CF893" w14:textId="77777777" w:rsidR="00141448" w:rsidRDefault="00141448" w:rsidP="00141448">
            <w:pPr>
              <w:pStyle w:val="NotesText"/>
            </w:pPr>
          </w:p>
          <w:p w14:paraId="5E88F50B" w14:textId="77777777" w:rsidR="00141448" w:rsidRDefault="00057948" w:rsidP="00141448">
            <w:pPr>
              <w:pStyle w:val="TableText"/>
              <w:rPr>
                <w:b/>
                <w:bCs/>
                <w:szCs w:val="18"/>
              </w:rPr>
            </w:pPr>
            <w:r>
              <w:rPr>
                <w:b/>
                <w:bCs/>
                <w:noProof/>
              </w:rPr>
              <mc:AlternateContent>
                <mc:Choice Requires="wps">
                  <w:drawing>
                    <wp:anchor distT="0" distB="0" distL="114300" distR="114300" simplePos="0" relativeHeight="251912704" behindDoc="0" locked="0" layoutInCell="1" allowOverlap="1" wp14:anchorId="1331A5E5" wp14:editId="520ACD0B">
                      <wp:simplePos x="0" y="0"/>
                      <wp:positionH relativeFrom="column">
                        <wp:posOffset>457200</wp:posOffset>
                      </wp:positionH>
                      <wp:positionV relativeFrom="paragraph">
                        <wp:posOffset>65405</wp:posOffset>
                      </wp:positionV>
                      <wp:extent cx="3200400" cy="0"/>
                      <wp:effectExtent l="9525" t="17780" r="9525" b="10795"/>
                      <wp:wrapNone/>
                      <wp:docPr id="375" name="Line 1070" descr="P7790C4T8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3E947" id="Line 1070" o:spid="_x0000_s1026" alt="&quot;&quot;" style="position:absolute;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" strokeweight="1.5pt"/>
                  </w:pict>
                </mc:Fallback>
              </mc:AlternateContent>
            </w:r>
            <w:r w:rsidR="00141448">
              <w:rPr>
                <w:b/>
                <w:bCs/>
                <w:szCs w:val="18"/>
              </w:rPr>
              <w:t>NOTES</w:t>
            </w:r>
          </w:p>
          <w:p w14:paraId="472D9870" w14:textId="77777777" w:rsidR="00141448" w:rsidRDefault="00141448" w:rsidP="00141448">
            <w:pPr>
              <w:pStyle w:val="NotesText"/>
            </w:pPr>
          </w:p>
          <w:p w14:paraId="3B3DDAAD" w14:textId="77777777" w:rsidR="00141448" w:rsidRDefault="00141448" w:rsidP="00141448">
            <w:pPr>
              <w:pStyle w:val="NotesText"/>
            </w:pPr>
            <w:r>
              <w:t>A user may search for specific tasks using search criteria detailed in Pending Task List.</w:t>
            </w:r>
          </w:p>
        </w:tc>
      </w:tr>
      <w:tr w:rsidR="00B1359E" w14:paraId="48B78FBD" w14:textId="77777777">
        <w:tc>
          <w:tcPr>
            <w:tcW w:w="3240" w:type="dxa"/>
          </w:tcPr>
          <w:p w14:paraId="0E009FA8" w14:textId="77777777" w:rsidR="00B1359E" w:rsidRDefault="00B1359E" w:rsidP="00150254">
            <w:pPr>
              <w:pStyle w:val="TableTextNumbers"/>
            </w:pPr>
            <w:r>
              <w:t xml:space="preserve">Click one to four check boxes in the Pending Task List to select tasks for testing. </w:t>
            </w:r>
          </w:p>
          <w:p w14:paraId="48F998A4" w14:textId="77777777" w:rsidR="00B1359E" w:rsidRDefault="00B1359E" w:rsidP="00150254">
            <w:pPr>
              <w:pStyle w:val="TableTextNumbersContinued"/>
            </w:pPr>
          </w:p>
          <w:p w14:paraId="2A61B6A7" w14:textId="77777777" w:rsidR="00B1359E" w:rsidRDefault="00B1359E" w:rsidP="00150254">
            <w:pPr>
              <w:pStyle w:val="TableTextNumbersContinued"/>
            </w:pPr>
            <w:r>
              <w:t xml:space="preserve">Click </w:t>
            </w:r>
            <w:r>
              <w:rPr>
                <w:b/>
              </w:rPr>
              <w:t>OK</w:t>
            </w:r>
            <w:r>
              <w:t>.</w:t>
            </w:r>
          </w:p>
        </w:tc>
        <w:tc>
          <w:tcPr>
            <w:tcW w:w="6120" w:type="dxa"/>
          </w:tcPr>
          <w:p w14:paraId="01A8EDCD" w14:textId="77777777" w:rsidR="00B1359E" w:rsidRDefault="00B1359E" w:rsidP="00150254">
            <w:pPr>
              <w:pStyle w:val="TableTextBullet"/>
            </w:pPr>
            <w:r>
              <w:t>Displays patient names and associated task information.</w:t>
            </w:r>
          </w:p>
        </w:tc>
      </w:tr>
      <w:tr w:rsidR="002A21AE" w14:paraId="365CE506" w14:textId="77777777">
        <w:tc>
          <w:tcPr>
            <w:tcW w:w="3240" w:type="dxa"/>
          </w:tcPr>
          <w:p w14:paraId="45121D54" w14:textId="77777777" w:rsidR="002A21AE" w:rsidRDefault="0091416B">
            <w:pPr>
              <w:pStyle w:val="TableTextNumbers"/>
              <w:rPr>
                <w:b/>
                <w:bCs/>
              </w:rPr>
            </w:pPr>
            <w:r>
              <w:t>E</w:t>
            </w:r>
            <w:r w:rsidR="002A21AE">
              <w:rPr>
                <w:bCs/>
              </w:rPr>
              <w:t>nter patient ABO/Rh testing results.</w:t>
            </w:r>
            <w:r w:rsidR="002A21AE">
              <w:rPr>
                <w:b/>
                <w:bCs/>
              </w:rPr>
              <w:t xml:space="preserve"> </w:t>
            </w:r>
          </w:p>
        </w:tc>
        <w:tc>
          <w:tcPr>
            <w:tcW w:w="6120" w:type="dxa"/>
          </w:tcPr>
          <w:p w14:paraId="62FBF262" w14:textId="77777777" w:rsidR="002A21AE" w:rsidRDefault="002A21AE">
            <w:pPr>
              <w:pStyle w:val="TableTextBullet"/>
            </w:pPr>
            <w:r>
              <w:t xml:space="preserve">Displays a direct data entry </w:t>
            </w:r>
            <w:r w:rsidR="00917E9F">
              <w:t xml:space="preserve">(DDE) </w:t>
            </w:r>
            <w:r>
              <w:t xml:space="preserve">grid for entering serologic reaction results for ABO/Rh patient testing. </w:t>
            </w:r>
          </w:p>
          <w:p w14:paraId="768E95C1" w14:textId="77777777" w:rsidR="002A21AE" w:rsidRDefault="002A21AE">
            <w:pPr>
              <w:pStyle w:val="TableText"/>
            </w:pPr>
          </w:p>
          <w:p w14:paraId="57140C7E" w14:textId="77777777" w:rsidR="002A21AE" w:rsidRDefault="00057948">
            <w:pPr>
              <w:pStyle w:val="TableText"/>
              <w:rPr>
                <w:b/>
                <w:bCs/>
                <w:szCs w:val="18"/>
              </w:rPr>
            </w:pPr>
            <w:r>
              <w:rPr>
                <w:b/>
                <w:bCs/>
                <w:noProof/>
              </w:rPr>
              <mc:AlternateContent>
                <mc:Choice Requires="wps">
                  <w:drawing>
                    <wp:anchor distT="0" distB="0" distL="114300" distR="114300" simplePos="0" relativeHeight="251410944" behindDoc="0" locked="0" layoutInCell="1" allowOverlap="1" wp14:anchorId="4CFCCBFF" wp14:editId="0368F0E6">
                      <wp:simplePos x="0" y="0"/>
                      <wp:positionH relativeFrom="column">
                        <wp:posOffset>457200</wp:posOffset>
                      </wp:positionH>
                      <wp:positionV relativeFrom="paragraph">
                        <wp:posOffset>65405</wp:posOffset>
                      </wp:positionV>
                      <wp:extent cx="3200400" cy="0"/>
                      <wp:effectExtent l="9525" t="17780" r="9525" b="10795"/>
                      <wp:wrapNone/>
                      <wp:docPr id="374" name="Line 742" descr="P7802C8T8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DCE3C1" id="Line 742" o:spid="_x0000_s1026" alt="&quot;&quot;" style="position:absolute;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v57mS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37300F85" w14:textId="77777777" w:rsidR="002A21AE" w:rsidRDefault="002A21AE">
            <w:pPr>
              <w:pStyle w:val="NotesText"/>
            </w:pPr>
          </w:p>
          <w:p w14:paraId="49D041AD" w14:textId="77777777" w:rsidR="002A21AE" w:rsidRDefault="002A21AE">
            <w:pPr>
              <w:pStyle w:val="NotesText"/>
            </w:pPr>
            <w:r>
              <w:rPr>
                <w:rFonts w:cs="Arial"/>
                <w:vanish/>
              </w:rPr>
              <w:t xml:space="preserve">BR_52.09 </w:t>
            </w:r>
            <w:r>
              <w:t>The user may reenter valid results or delete entries and start over before saving the results. The user may invalidate, but not edit, data in a grid from a previous session by clicking the red “X” in the upper right corner of the testing grid, as described in Invalidate Test Results.</w:t>
            </w:r>
          </w:p>
          <w:p w14:paraId="557453F3" w14:textId="77777777" w:rsidR="002A21AE" w:rsidRDefault="002A21AE">
            <w:pPr>
              <w:pStyle w:val="NotesText"/>
            </w:pPr>
          </w:p>
          <w:p w14:paraId="6AC583C4" w14:textId="77777777" w:rsidR="002A21AE" w:rsidRDefault="002A21AE" w:rsidP="002B6B38">
            <w:pPr>
              <w:pStyle w:val="NotesText"/>
            </w:pPr>
            <w:r>
              <w:rPr>
                <w:rFonts w:cs="Arial"/>
                <w:vanish/>
              </w:rPr>
              <w:t xml:space="preserve">BR_52.07 </w:t>
            </w:r>
            <w:r>
              <w:t xml:space="preserve">VBECS determines the validity of the user-entered patient ABO/Rh interpretation by comparing the reaction results pattern of the row with the truth table and with the previous ABO/Rh entries for the patient. </w:t>
            </w:r>
          </w:p>
        </w:tc>
      </w:tr>
      <w:tr w:rsidR="002A21AE" w14:paraId="5BB36B99" w14:textId="77777777">
        <w:tc>
          <w:tcPr>
            <w:tcW w:w="3240" w:type="dxa"/>
          </w:tcPr>
          <w:p w14:paraId="24CAE389" w14:textId="77777777" w:rsidR="002A21AE" w:rsidRDefault="002A21AE">
            <w:pPr>
              <w:pStyle w:val="TableTextNumbers"/>
            </w:pPr>
            <w:r>
              <w:t>Select a patient to begin entering his serologic reactions.</w:t>
            </w:r>
          </w:p>
        </w:tc>
        <w:tc>
          <w:tcPr>
            <w:tcW w:w="6120" w:type="dxa"/>
          </w:tcPr>
          <w:p w14:paraId="1687B5C5" w14:textId="77777777" w:rsidR="002A21AE" w:rsidRDefault="002A21AE">
            <w:pPr>
              <w:pStyle w:val="TableTextBullet"/>
            </w:pPr>
            <w:r>
              <w:t xml:space="preserve">Allows the user to select one patient at a time and enter a test result for that patient. </w:t>
            </w:r>
          </w:p>
          <w:p w14:paraId="6F55067A" w14:textId="77777777" w:rsidR="002A21AE" w:rsidRDefault="002A21AE">
            <w:pPr>
              <w:pStyle w:val="TableTextBullet"/>
            </w:pPr>
            <w:r>
              <w:t xml:space="preserve">Allows only valid data entries in the grid reaction result and interpretation cells. </w:t>
            </w:r>
          </w:p>
          <w:p w14:paraId="2BE67434" w14:textId="77777777" w:rsidR="002A21AE" w:rsidRDefault="002A21AE">
            <w:pPr>
              <w:pStyle w:val="TableText"/>
            </w:pPr>
          </w:p>
          <w:p w14:paraId="4304A85C" w14:textId="77777777" w:rsidR="002A21AE" w:rsidRDefault="00057948">
            <w:pPr>
              <w:pStyle w:val="TableText"/>
              <w:rPr>
                <w:b/>
                <w:bCs/>
                <w:szCs w:val="18"/>
              </w:rPr>
            </w:pPr>
            <w:r>
              <w:rPr>
                <w:b/>
                <w:bCs/>
                <w:noProof/>
              </w:rPr>
              <mc:AlternateContent>
                <mc:Choice Requires="wps">
                  <w:drawing>
                    <wp:anchor distT="0" distB="0" distL="114300" distR="114300" simplePos="0" relativeHeight="251414016" behindDoc="0" locked="0" layoutInCell="1" allowOverlap="1" wp14:anchorId="190D5C84" wp14:editId="6BEE491F">
                      <wp:simplePos x="0" y="0"/>
                      <wp:positionH relativeFrom="column">
                        <wp:posOffset>457200</wp:posOffset>
                      </wp:positionH>
                      <wp:positionV relativeFrom="paragraph">
                        <wp:posOffset>17145</wp:posOffset>
                      </wp:positionV>
                      <wp:extent cx="3200400" cy="0"/>
                      <wp:effectExtent l="9525" t="17145" r="9525" b="11430"/>
                      <wp:wrapNone/>
                      <wp:docPr id="373" name="Line 743" descr="P7812C10T8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0E733" id="Line 743" o:spid="_x0000_s1026" alt="&quot;&quot;" style="position:absolute;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35pt" to="4in,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" strokeweight="1.5pt"/>
                  </w:pict>
                </mc:Fallback>
              </mc:AlternateContent>
            </w:r>
            <w:r w:rsidR="002A21AE">
              <w:rPr>
                <w:b/>
                <w:bCs/>
                <w:szCs w:val="18"/>
              </w:rPr>
              <w:t>NOTES</w:t>
            </w:r>
          </w:p>
          <w:p w14:paraId="24BBB77A" w14:textId="77777777" w:rsidR="002A21AE" w:rsidRDefault="002A21AE">
            <w:pPr>
              <w:pStyle w:val="NotesText"/>
            </w:pPr>
          </w:p>
          <w:p w14:paraId="507A85EE" w14:textId="77777777" w:rsidR="002A21AE" w:rsidRDefault="002A21AE">
            <w:pPr>
              <w:pStyle w:val="NotesText"/>
            </w:pPr>
            <w:r>
              <w:t xml:space="preserve">When A,B or D control is not part of the daily QC configuration, VBECS disables it in the ABO/Rh test grid. </w:t>
            </w:r>
          </w:p>
          <w:p w14:paraId="0770E7A9" w14:textId="77777777" w:rsidR="002A21AE" w:rsidRDefault="002A21AE">
            <w:pPr>
              <w:pStyle w:val="NotesText"/>
            </w:pPr>
          </w:p>
          <w:p w14:paraId="1173FCF6" w14:textId="77777777" w:rsidR="002A21AE" w:rsidRDefault="002A21AE">
            <w:pPr>
              <w:pStyle w:val="NotesText"/>
            </w:pPr>
            <w:r>
              <w:t xml:space="preserve">When an AB Positive patient requires the performance of a control cell, the user must order a repeat ABO/Rh test. </w:t>
            </w:r>
          </w:p>
          <w:p w14:paraId="29BC368C" w14:textId="77777777" w:rsidR="002A21AE" w:rsidRPr="00760A4D" w:rsidRDefault="002A21AE" w:rsidP="00760A4D">
            <w:pPr>
              <w:pStyle w:val="NotesText"/>
            </w:pPr>
          </w:p>
          <w:p w14:paraId="34854FC8" w14:textId="77777777" w:rsidR="002A21AE" w:rsidRDefault="002A21AE">
            <w:pPr>
              <w:pStyle w:val="NotesText"/>
            </w:pPr>
            <w:r>
              <w:t>When A,B is enabled, the user enters a result for Anti-A,B as part of the patient test, it is included in determining the interpretation for that patient test. “X” is an acceptable entry.</w:t>
            </w:r>
          </w:p>
          <w:p w14:paraId="79528AF6" w14:textId="77777777" w:rsidR="002A21AE" w:rsidRDefault="002A21AE">
            <w:pPr>
              <w:pStyle w:val="NotesText"/>
            </w:pPr>
          </w:p>
          <w:p w14:paraId="6EAA015E" w14:textId="77777777" w:rsidR="002A21AE" w:rsidRDefault="002A21AE">
            <w:pPr>
              <w:pStyle w:val="NotesText"/>
            </w:pPr>
            <w:r>
              <w:lastRenderedPageBreak/>
              <w:t>A,B and D control are always enabled for the repeat ABO/Rh test grid, regardless of the QC configuration.</w:t>
            </w:r>
          </w:p>
          <w:p w14:paraId="0B0352B0" w14:textId="77777777" w:rsidR="002A21AE" w:rsidRDefault="002A21AE">
            <w:pPr>
              <w:pStyle w:val="NotesText"/>
            </w:pPr>
          </w:p>
          <w:p w14:paraId="1987CDD5" w14:textId="77777777" w:rsidR="002A21AE" w:rsidRDefault="002A21AE">
            <w:pPr>
              <w:pStyle w:val="NotesText"/>
            </w:pPr>
            <w:r>
              <w:rPr>
                <w:rFonts w:cs="Arial"/>
                <w:vanish/>
              </w:rPr>
              <w:t xml:space="preserve">BR_52.10 </w:t>
            </w:r>
            <w:r>
              <w:t>Reflex testing grid fields are available for data entry regardless of QC rack configuration.</w:t>
            </w:r>
          </w:p>
          <w:p w14:paraId="09F01815" w14:textId="77777777" w:rsidR="002A21AE" w:rsidRDefault="002A21AE">
            <w:pPr>
              <w:pStyle w:val="NotesText"/>
            </w:pPr>
          </w:p>
          <w:p w14:paraId="5AD89DD7" w14:textId="6835301B" w:rsidR="002A21AE" w:rsidRDefault="00F6394D">
            <w:pPr>
              <w:pStyle w:val="NotesText"/>
            </w:pPr>
            <w:r>
              <w:t xml:space="preserve">See </w:t>
            </w:r>
            <w:r w:rsidR="00AE2DC1">
              <w:fldChar w:fldCharType="begin" w:fldLock="1"/>
            </w:r>
            <w:r w:rsidR="00AE2DC1">
              <w:instrText xml:space="preserve"> REF _Ref126504333 \h </w:instrText>
            </w:r>
            <w:r w:rsidR="00AE2DC1">
              <w:fldChar w:fldCharType="separate"/>
            </w:r>
            <w:r w:rsidR="00AB304C">
              <w:t xml:space="preserve">Table </w:t>
            </w:r>
            <w:r w:rsidR="00AB304C">
              <w:rPr>
                <w:noProof/>
              </w:rPr>
              <w:t>4</w:t>
            </w:r>
            <w:r w:rsidR="00AB304C">
              <w:t xml:space="preserve">: </w:t>
            </w:r>
            <w:r w:rsidR="00AB304C">
              <w:rPr>
                <w:rFonts w:cs="Arial"/>
                <w:b/>
                <w:vanish/>
              </w:rPr>
              <w:t xml:space="preserve">BR_2.10 </w:t>
            </w:r>
            <w:r w:rsidR="00AB304C">
              <w:t>Valid Interpretations</w:t>
            </w:r>
            <w:r w:rsidR="00AE2DC1">
              <w:fldChar w:fldCharType="end"/>
            </w:r>
            <w:r w:rsidR="002A21AE">
              <w:t>.</w:t>
            </w:r>
          </w:p>
          <w:p w14:paraId="432C347F" w14:textId="77777777" w:rsidR="002A21AE" w:rsidRDefault="002A21AE">
            <w:pPr>
              <w:pStyle w:val="NotesText"/>
              <w:rPr>
                <w:rFonts w:cs="Arial"/>
                <w:vanish/>
              </w:rPr>
            </w:pPr>
          </w:p>
          <w:p w14:paraId="11E6BB7D" w14:textId="77777777" w:rsidR="002A21AE" w:rsidRDefault="002A21AE">
            <w:pPr>
              <w:pStyle w:val="NotesText"/>
            </w:pPr>
            <w:r>
              <w:rPr>
                <w:rFonts w:cs="Arial"/>
                <w:vanish/>
              </w:rPr>
              <w:t xml:space="preserve">BR_52.06 </w:t>
            </w:r>
            <w:r>
              <w:t>Row validation is established for the interpretation vs. reaction results pattern defined by system rules.</w:t>
            </w:r>
          </w:p>
        </w:tc>
      </w:tr>
      <w:tr w:rsidR="002A21AE" w14:paraId="76BCCF16" w14:textId="77777777">
        <w:tc>
          <w:tcPr>
            <w:tcW w:w="3240" w:type="dxa"/>
          </w:tcPr>
          <w:p w14:paraId="0D33A779" w14:textId="77777777" w:rsidR="002A21AE" w:rsidRDefault="002A21AE">
            <w:pPr>
              <w:pStyle w:val="TableTextNumbers"/>
            </w:pPr>
            <w:r>
              <w:lastRenderedPageBreak/>
              <w:t>Repeat Steps 2–</w:t>
            </w:r>
            <w:r w:rsidR="00641529">
              <w:t>4</w:t>
            </w:r>
            <w:r>
              <w:t xml:space="preserve"> until some or all portions of the test grid for the selected patient are entered. </w:t>
            </w:r>
          </w:p>
          <w:p w14:paraId="11AC8D19" w14:textId="77777777" w:rsidR="002A21AE" w:rsidRDefault="002A21AE">
            <w:pPr>
              <w:pStyle w:val="TableTextNumbersContinued"/>
            </w:pPr>
          </w:p>
          <w:p w14:paraId="23ADBE24" w14:textId="77777777" w:rsidR="002A21AE" w:rsidRDefault="002A21AE">
            <w:pPr>
              <w:pStyle w:val="TableTextNumbersContinued"/>
            </w:pPr>
            <w:r>
              <w:t xml:space="preserve">Enter the interpretation for the patient ABO/Rh typing, if appropriate. </w:t>
            </w:r>
          </w:p>
        </w:tc>
        <w:tc>
          <w:tcPr>
            <w:tcW w:w="6120" w:type="dxa"/>
          </w:tcPr>
          <w:p w14:paraId="5B643E8C" w14:textId="77777777" w:rsidR="002A21AE" w:rsidRDefault="002A21AE">
            <w:pPr>
              <w:pStyle w:val="TableTextBullet"/>
            </w:pPr>
            <w:r>
              <w:t>Prompts the user to confirm that all results were reviewed and are acceptable.</w:t>
            </w:r>
          </w:p>
          <w:p w14:paraId="2FC06809" w14:textId="77777777" w:rsidR="002A21AE" w:rsidRDefault="002A21AE">
            <w:pPr>
              <w:pStyle w:val="TableText"/>
            </w:pPr>
          </w:p>
          <w:p w14:paraId="0363FFAF" w14:textId="77777777" w:rsidR="002A21AE" w:rsidRDefault="00057948">
            <w:pPr>
              <w:pStyle w:val="TableText"/>
              <w:rPr>
                <w:b/>
                <w:bCs/>
                <w:szCs w:val="18"/>
              </w:rPr>
            </w:pPr>
            <w:r>
              <w:rPr>
                <w:b/>
                <w:bCs/>
                <w:noProof/>
              </w:rPr>
              <mc:AlternateContent>
                <mc:Choice Requires="wps">
                  <w:drawing>
                    <wp:anchor distT="0" distB="0" distL="114300" distR="114300" simplePos="0" relativeHeight="251417088" behindDoc="0" locked="0" layoutInCell="1" allowOverlap="1" wp14:anchorId="73E300A6" wp14:editId="2F78127D">
                      <wp:simplePos x="0" y="0"/>
                      <wp:positionH relativeFrom="column">
                        <wp:posOffset>457200</wp:posOffset>
                      </wp:positionH>
                      <wp:positionV relativeFrom="paragraph">
                        <wp:posOffset>65405</wp:posOffset>
                      </wp:positionV>
                      <wp:extent cx="3200400" cy="0"/>
                      <wp:effectExtent l="9525" t="17780" r="9525" b="10795"/>
                      <wp:wrapNone/>
                      <wp:docPr id="372" name="Line 744" descr="P7832C12T8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98C38" id="Line 744" o:spid="_x0000_s1026" alt="&quot;&quot;" style="position:absolute;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yt9u4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2E548AF5" w14:textId="77777777" w:rsidR="002A21AE" w:rsidRDefault="002A21AE">
            <w:pPr>
              <w:pStyle w:val="NotesText"/>
            </w:pPr>
          </w:p>
          <w:p w14:paraId="7C639D2F" w14:textId="77777777" w:rsidR="00865A02" w:rsidRDefault="00865A02">
            <w:pPr>
              <w:pStyle w:val="NotesText"/>
            </w:pPr>
            <w:r>
              <w:rPr>
                <w:rFonts w:cs="Arial"/>
                <w:vanish/>
              </w:rPr>
              <w:t xml:space="preserve">BR_56.12 </w:t>
            </w:r>
            <w:r>
              <w:t xml:space="preserve">When the ABO/Rh interpretation matches observed results, is not inconclusive, and does not match the patient’s historic ABO/Rh (if any, including from database conversion), VBECS emits an audible alert, warns that the current ABO/Rh does not match previous results, and instructs the user to enter a comment to continue, or click </w:t>
            </w:r>
            <w:r>
              <w:rPr>
                <w:b/>
              </w:rPr>
              <w:t>Cancel</w:t>
            </w:r>
            <w:r>
              <w:t xml:space="preserve"> to clear the ABO/Rh testing results and interpretation from the screen. VBECS captures details for inclusion in an Exception Report (exception type: ABO/Rh discrepancy).</w:t>
            </w:r>
          </w:p>
          <w:p w14:paraId="14921F85" w14:textId="77777777" w:rsidR="00865A02" w:rsidRDefault="00865A02">
            <w:pPr>
              <w:pStyle w:val="NotesText"/>
            </w:pPr>
          </w:p>
          <w:p w14:paraId="44CFE624" w14:textId="77777777" w:rsidR="009D787A" w:rsidRDefault="002A21AE" w:rsidP="00562B7F">
            <w:pPr>
              <w:pStyle w:val="NotesText"/>
            </w:pPr>
            <w:r>
              <w:rPr>
                <w:vanish/>
                <w:szCs w:val="18"/>
              </w:rPr>
              <w:t>BR_52.08</w:t>
            </w:r>
            <w:r w:rsidR="00CE3961">
              <w:rPr>
                <w:vanish/>
                <w:szCs w:val="18"/>
              </w:rPr>
              <w:t>,</w:t>
            </w:r>
            <w:r w:rsidR="00562B7F">
              <w:rPr>
                <w:vanish/>
                <w:szCs w:val="18"/>
              </w:rPr>
              <w:t xml:space="preserve"> </w:t>
            </w:r>
            <w:r w:rsidR="00562B7F">
              <w:rPr>
                <w:snapToGrid w:val="0"/>
                <w:vanish/>
                <w:szCs w:val="18"/>
              </w:rPr>
              <w:t>BR_52.11</w:t>
            </w:r>
            <w:r>
              <w:rPr>
                <w:vanish/>
                <w:szCs w:val="18"/>
              </w:rPr>
              <w:t xml:space="preserve"> </w:t>
            </w:r>
            <w:r w:rsidR="004F5F28" w:rsidRPr="00323744">
              <w:rPr>
                <w:rStyle w:val="BullhornChar"/>
              </w:rPr>
              <w:t></w:t>
            </w:r>
            <w:r w:rsidR="004F5F28">
              <w:rPr>
                <w:rFonts w:ascii="Webdings" w:hAnsi="Webdings"/>
              </w:rPr>
              <w:t></w:t>
            </w:r>
            <w:r w:rsidR="00AA7C58" w:rsidRPr="00EC7489">
              <w:rPr>
                <w:rFonts w:ascii="Wingdings 3" w:hAnsi="Wingdings 3" w:cs="Wingdings"/>
              </w:rPr>
              <w:t></w:t>
            </w:r>
            <w:r w:rsidR="00AA7C58" w:rsidRPr="00EC7489">
              <w:rPr>
                <w:rFonts w:ascii="Wingdings 3" w:hAnsi="Wingdings 3" w:cs="Wingdings"/>
              </w:rPr>
              <w:t></w:t>
            </w:r>
            <w:r w:rsidR="00AA7C58">
              <w:t xml:space="preserve"> </w:t>
            </w:r>
            <w:r>
              <w:t>VBECS allows the</w:t>
            </w:r>
            <w:r w:rsidR="00562B7F">
              <w:t xml:space="preserve"> Enhanced Technologist</w:t>
            </w:r>
            <w:r>
              <w:t xml:space="preserve"> to enter an ABO/Rh interpretation that matches the patient’s previously recorded (historic) ABO/Rh interpretation when the system interpretation is inconclusive. This allows unit selection to continue based on the patient’s ABO/Rh interpretation entered by the user. VBECS requires the user to document the findings of any offline investigation, alerting the reviewer to appropriately follow up, according to local policy.</w:t>
            </w:r>
            <w:r>
              <w:rPr>
                <w:b/>
              </w:rPr>
              <w:t xml:space="preserve"> </w:t>
            </w:r>
            <w:r>
              <w:t>VBECS emits an audible alert and warns the user. VBECS allows an override with comment and captures details for inclusion in an Exception Report (exception type: discrepant ABO/Rh override) that includes all interpretations and historic patient information.</w:t>
            </w:r>
          </w:p>
        </w:tc>
      </w:tr>
      <w:tr w:rsidR="002A21AE" w14:paraId="714DC9F0" w14:textId="77777777">
        <w:tc>
          <w:tcPr>
            <w:tcW w:w="3240" w:type="dxa"/>
          </w:tcPr>
          <w:p w14:paraId="4461814B" w14:textId="77777777" w:rsidR="002A21AE" w:rsidRDefault="002A21AE">
            <w:pPr>
              <w:pStyle w:val="TableTextNumbers"/>
            </w:pPr>
            <w:r>
              <w:t xml:space="preserve">When all required fields are complete, click </w:t>
            </w:r>
            <w:r>
              <w:rPr>
                <w:b/>
              </w:rPr>
              <w:t>OK</w:t>
            </w:r>
            <w:r>
              <w:t xml:space="preserve"> to save and continue to the next patient, or exit.</w:t>
            </w:r>
            <w:r w:rsidR="00410757">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447B995D" w14:textId="77777777" w:rsidR="00CA660A" w:rsidRDefault="002A21AE" w:rsidP="00CA660A">
            <w:pPr>
              <w:pStyle w:val="TableTextBullet"/>
            </w:pPr>
            <w:r>
              <w:t>Saves the data.</w:t>
            </w:r>
          </w:p>
          <w:p w14:paraId="696FACEC" w14:textId="77777777" w:rsidR="008F0849" w:rsidRDefault="008F0849" w:rsidP="008F0849">
            <w:pPr>
              <w:pStyle w:val="TableTextBullet"/>
              <w:numPr>
                <w:ilvl w:val="0"/>
                <w:numId w:val="0"/>
              </w:numPr>
              <w:ind w:left="288" w:hanging="288"/>
            </w:pPr>
          </w:p>
          <w:p w14:paraId="6A85F238" w14:textId="30B3F02E" w:rsidR="008F0849" w:rsidRDefault="008F0849" w:rsidP="008F0849">
            <w:pPr>
              <w:pStyle w:val="TableText"/>
              <w:rPr>
                <w:b/>
                <w:bCs/>
                <w:szCs w:val="18"/>
              </w:rPr>
            </w:pPr>
            <w:r>
              <w:rPr>
                <w:b/>
                <w:bCs/>
                <w:noProof/>
              </w:rPr>
              <mc:AlternateContent>
                <mc:Choice Requires="wps">
                  <w:drawing>
                    <wp:anchor distT="0" distB="0" distL="114300" distR="114300" simplePos="0" relativeHeight="252103168" behindDoc="0" locked="0" layoutInCell="1" allowOverlap="1" wp14:anchorId="2FAA3A77" wp14:editId="2C6A125D">
                      <wp:simplePos x="0" y="0"/>
                      <wp:positionH relativeFrom="column">
                        <wp:posOffset>457200</wp:posOffset>
                      </wp:positionH>
                      <wp:positionV relativeFrom="paragraph">
                        <wp:posOffset>65405</wp:posOffset>
                      </wp:positionV>
                      <wp:extent cx="3200400" cy="0"/>
                      <wp:effectExtent l="9525" t="17780" r="9525" b="10795"/>
                      <wp:wrapNone/>
                      <wp:docPr id="5" name="Line 744" descr="P7841C14T8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24585" id="Line 744" o:spid="_x0000_s1026" alt="&quot;&quot;" style="position:absolute;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" strokeweight="1.5pt"/>
                  </w:pict>
                </mc:Fallback>
              </mc:AlternateContent>
            </w:r>
            <w:r>
              <w:rPr>
                <w:b/>
                <w:bCs/>
                <w:szCs w:val="18"/>
              </w:rPr>
              <w:t>NOTES</w:t>
            </w:r>
          </w:p>
          <w:p w14:paraId="0211D65A" w14:textId="77777777" w:rsidR="008F0849" w:rsidRDefault="008F0849" w:rsidP="008F0849">
            <w:pPr>
              <w:pStyle w:val="TableText"/>
              <w:rPr>
                <w:b/>
                <w:bCs/>
                <w:szCs w:val="18"/>
              </w:rPr>
            </w:pPr>
          </w:p>
          <w:p w14:paraId="6BA9EF4A" w14:textId="2CE2ECC1" w:rsidR="008F0849" w:rsidRDefault="008F0849" w:rsidP="008F0849">
            <w:pPr>
              <w:pStyle w:val="TableTextBullet"/>
              <w:numPr>
                <w:ilvl w:val="0"/>
                <w:numId w:val="0"/>
              </w:numPr>
              <w:ind w:left="288" w:hanging="288"/>
            </w:pPr>
            <w:r>
              <w:t xml:space="preserve">      In a Transfusion Only ABO/Rh</w:t>
            </w:r>
            <w:r w:rsidRPr="00CA660A">
              <w:t xml:space="preserve"> testing </w:t>
            </w:r>
            <w:r>
              <w:t xml:space="preserve">grid, free text comments cannot </w:t>
            </w:r>
            <w:r w:rsidRPr="00CA660A">
              <w:t xml:space="preserve">be saved. Create the comment in Canned Comments, Patient Testing context, </w:t>
            </w:r>
            <w:r>
              <w:t xml:space="preserve">and then </w:t>
            </w:r>
            <w:r w:rsidRPr="00CA660A">
              <w:t>select it. Inactivate the Canned Comment, if it is not to be used again</w:t>
            </w:r>
            <w:r>
              <w:t xml:space="preserve">. </w:t>
            </w:r>
            <w:r w:rsidRPr="008F0849">
              <w:rPr>
                <w:vanish/>
              </w:rPr>
              <w:t>Task 210220</w:t>
            </w:r>
          </w:p>
        </w:tc>
      </w:tr>
    </w:tbl>
    <w:p w14:paraId="5048F74B" w14:textId="77777777" w:rsidR="002A21AE" w:rsidRDefault="002A21AE">
      <w:pPr>
        <w:pStyle w:val="BodyText"/>
        <w:rPr>
          <w:rFonts w:eastAsia="Symbol"/>
        </w:rPr>
      </w:pPr>
    </w:p>
    <w:p w14:paraId="1A43E2DF" w14:textId="77777777" w:rsidR="002A21AE" w:rsidRDefault="002A21AE">
      <w:pPr>
        <w:pStyle w:val="Heading3"/>
      </w:pPr>
      <w:r>
        <w:br w:type="page"/>
      </w:r>
      <w:bookmarkStart w:id="497" w:name="_Toc4588816"/>
      <w:r>
        <w:lastRenderedPageBreak/>
        <w:t>Patient Testing: Record a Patient Antibody Screen</w:t>
      </w:r>
      <w:bookmarkEnd w:id="497"/>
      <w:r>
        <w:fldChar w:fldCharType="begin"/>
      </w:r>
      <w:r>
        <w:instrText xml:space="preserve"> XE </w:instrText>
      </w:r>
      <w:r w:rsidR="00FA7E65">
        <w:instrText>“</w:instrText>
      </w:r>
      <w:r>
        <w:instrText>Patient Testing\: Record a Patient Antibody Screen</w:instrText>
      </w:r>
      <w:r w:rsidR="00FA7E65">
        <w:instrText>”</w:instrText>
      </w:r>
      <w:r>
        <w:instrText xml:space="preserve"> </w:instrText>
      </w:r>
      <w:r>
        <w:fldChar w:fldCharType="end"/>
      </w:r>
      <w:r>
        <w:t xml:space="preserve"> </w:t>
      </w:r>
      <w:r>
        <w:rPr>
          <w:rFonts w:ascii="Times New Roman" w:hAnsi="Times New Roman" w:cs="Times New Roman"/>
          <w:b w:val="0"/>
          <w:vanish/>
          <w:sz w:val="22"/>
        </w:rPr>
        <w:t>UC_53</w:t>
      </w:r>
    </w:p>
    <w:p w14:paraId="39634AB2" w14:textId="77777777" w:rsidR="002A21AE" w:rsidRDefault="002A21AE" w:rsidP="00FA7E65">
      <w:pPr>
        <w:pStyle w:val="BodyText"/>
      </w:pPr>
      <w:r>
        <w:t xml:space="preserve">The user records the serologic results when performing the </w:t>
      </w:r>
      <w:r w:rsidR="008E2E30">
        <w:t>Antibody Screen Test (ABS)</w:t>
      </w:r>
      <w:r>
        <w:t>.</w:t>
      </w:r>
    </w:p>
    <w:p w14:paraId="313565A8" w14:textId="77777777" w:rsidR="002A21AE" w:rsidRDefault="002A21AE">
      <w:pPr>
        <w:pStyle w:val="Heading4"/>
      </w:pPr>
      <w:r>
        <w:t>Assumptions</w:t>
      </w:r>
      <w:r>
        <w:rPr>
          <w:b w:val="0"/>
        </w:rPr>
        <w:t xml:space="preserve"> </w:t>
      </w:r>
    </w:p>
    <w:p w14:paraId="6889B373" w14:textId="77777777" w:rsidR="002A21AE" w:rsidRDefault="002A21AE">
      <w:pPr>
        <w:pStyle w:val="ListBullet"/>
      </w:pPr>
      <w:r>
        <w:t>The user accesses patient ABO/Rh grids through Patient Testing: Record Patient Test Results.</w:t>
      </w:r>
    </w:p>
    <w:p w14:paraId="05B61F51" w14:textId="77777777" w:rsidR="002A21AE" w:rsidRDefault="002A21AE">
      <w:pPr>
        <w:pStyle w:val="ListBullet"/>
      </w:pPr>
      <w:r>
        <w:t>A CPRS order exists that includes an ABO/Rh typing [ABO/Rh Test or Type &amp; Screen (TAS)]. An ABS may also be ordered as a reflex patient test.</w:t>
      </w:r>
    </w:p>
    <w:p w14:paraId="36DC266A" w14:textId="77777777" w:rsidR="002A21AE" w:rsidRDefault="002A21AE">
      <w:pPr>
        <w:pStyle w:val="ListBullet"/>
      </w:pPr>
      <w:r>
        <w:t>Configure Daily QC and Configure Testing are complete.</w:t>
      </w:r>
    </w:p>
    <w:p w14:paraId="36BA8EFE" w14:textId="77777777" w:rsidR="002A21AE" w:rsidRDefault="002A21AE">
      <w:pPr>
        <w:pStyle w:val="Heading4"/>
      </w:pPr>
      <w:r>
        <w:t>Outcome</w:t>
      </w:r>
    </w:p>
    <w:p w14:paraId="2E0C81FD" w14:textId="77777777" w:rsidR="002A21AE" w:rsidRDefault="002A21AE">
      <w:pPr>
        <w:pStyle w:val="ListBullet"/>
        <w:rPr>
          <w:b/>
        </w:rPr>
      </w:pPr>
      <w:r>
        <w:t xml:space="preserve">When an ABS is ordered as a stand-alone test, VBECS changes the task status to “completed” and triggers the generation of a message to CPRS that the order is complete. </w:t>
      </w:r>
    </w:p>
    <w:p w14:paraId="30E386FA" w14:textId="77777777" w:rsidR="002A21AE" w:rsidRDefault="002A21AE">
      <w:pPr>
        <w:pStyle w:val="Heading4"/>
        <w:rPr>
          <w:b w:val="0"/>
        </w:rPr>
      </w:pPr>
      <w:r>
        <w:t>Limitations and Restrictions</w:t>
      </w:r>
      <w:r>
        <w:rPr>
          <w:b w:val="0"/>
        </w:rPr>
        <w:t xml:space="preserve"> </w:t>
      </w:r>
    </w:p>
    <w:p w14:paraId="23BDE3E9" w14:textId="77777777" w:rsidR="002A21AE" w:rsidRDefault="002A21AE">
      <w:pPr>
        <w:pStyle w:val="ListBullet"/>
      </w:pPr>
      <w:r>
        <w:t xml:space="preserve">This </w:t>
      </w:r>
      <w:r>
        <w:rPr>
          <w:szCs w:val="20"/>
        </w:rPr>
        <w:t>option is for patient testing only</w:t>
      </w:r>
      <w:r w:rsidR="001E7158">
        <w:rPr>
          <w:szCs w:val="20"/>
        </w:rPr>
        <w:t>.</w:t>
      </w:r>
    </w:p>
    <w:p w14:paraId="46DD393C" w14:textId="77777777" w:rsidR="002A21AE" w:rsidRDefault="002A21AE">
      <w:pPr>
        <w:pStyle w:val="Heading4"/>
      </w:pPr>
      <w:r>
        <w:t>Additional Information</w:t>
      </w:r>
      <w:r>
        <w:rPr>
          <w:rFonts w:ascii="Times New Roman" w:hAnsi="Times New Roman"/>
          <w:i/>
          <w:color w:val="0000FF"/>
          <w:sz w:val="24"/>
        </w:rPr>
        <w:t xml:space="preserve"> </w:t>
      </w:r>
    </w:p>
    <w:p w14:paraId="2FE9999A" w14:textId="77777777" w:rsidR="002A21AE" w:rsidRDefault="002A21AE">
      <w:pPr>
        <w:pStyle w:val="ListBullet"/>
      </w:pPr>
      <w:r>
        <w:t xml:space="preserve">The user performs lab tests and enters data simultaneously. </w:t>
      </w:r>
    </w:p>
    <w:p w14:paraId="2FB66484" w14:textId="77777777" w:rsidR="002A21AE" w:rsidRDefault="002A21AE">
      <w:pPr>
        <w:pStyle w:val="Heading4"/>
      </w:pPr>
      <w:r>
        <w:t xml:space="preserve">User Roles with Access to This Option </w:t>
      </w:r>
    </w:p>
    <w:p w14:paraId="033ADEF1" w14:textId="77777777" w:rsidR="002A21AE" w:rsidRDefault="007934CF">
      <w:pPr>
        <w:pStyle w:val="Roles"/>
      </w:pPr>
      <w:r>
        <w:t>All users</w:t>
      </w:r>
    </w:p>
    <w:p w14:paraId="048785DE" w14:textId="77777777" w:rsidR="002A21AE" w:rsidRDefault="002A21AE">
      <w:pPr>
        <w:pStyle w:val="Heading4"/>
        <w:rPr>
          <w:bCs/>
        </w:rPr>
      </w:pPr>
      <w:r>
        <w:rPr>
          <w:bCs/>
        </w:rPr>
        <w:t>Patient Testing: Record a Patient Antibody Screen</w:t>
      </w:r>
    </w:p>
    <w:p w14:paraId="5E273F9C" w14:textId="77777777" w:rsidR="002A21AE" w:rsidRDefault="002A21AE" w:rsidP="00FA7E65">
      <w:pPr>
        <w:pStyle w:val="BodyText"/>
      </w:pPr>
      <w:r>
        <w:t xml:space="preserve">The user tests the patient’s specimen for the presence of antibodies-to-irregular red cell antigens. The user may perform this test alone or as part of a battery of tests. </w:t>
      </w:r>
    </w:p>
    <w:p w14:paraId="22C029B8" w14:textId="77777777" w:rsidR="002A21AE" w:rsidRDefault="002A21AE" w:rsidP="00FA7E65">
      <w:pPr>
        <w:pStyle w:val="BodyText"/>
      </w:pPr>
      <w:r>
        <w:t>The user accesses patient antibody screen grids through Patient Testing: Record Patient Test Results and enters observations of the serologic reactions in the data entry grid during testing. VBECS makes the interpretation available to CPRS and patient reports.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1C8467A" w14:textId="77777777">
        <w:trPr>
          <w:cantSplit/>
          <w:tblHeader/>
        </w:trPr>
        <w:tc>
          <w:tcPr>
            <w:tcW w:w="3240" w:type="dxa"/>
            <w:shd w:val="pct30" w:color="auto" w:fill="FFFFFF"/>
            <w:vAlign w:val="bottom"/>
          </w:tcPr>
          <w:p w14:paraId="410D2B2B" w14:textId="77777777" w:rsidR="002A21AE" w:rsidRDefault="002A21AE">
            <w:pPr>
              <w:pStyle w:val="TableText"/>
              <w:rPr>
                <w:b/>
              </w:rPr>
            </w:pPr>
            <w:r>
              <w:rPr>
                <w:b/>
              </w:rPr>
              <w:t>User Action</w:t>
            </w:r>
          </w:p>
        </w:tc>
        <w:tc>
          <w:tcPr>
            <w:tcW w:w="6120" w:type="dxa"/>
            <w:shd w:val="pct30" w:color="auto" w:fill="FFFFFF"/>
            <w:vAlign w:val="bottom"/>
          </w:tcPr>
          <w:p w14:paraId="313DFAB9" w14:textId="77777777" w:rsidR="002A21AE" w:rsidRDefault="002A21AE">
            <w:pPr>
              <w:pStyle w:val="TableText"/>
              <w:rPr>
                <w:b/>
              </w:rPr>
            </w:pPr>
            <w:r>
              <w:rPr>
                <w:b/>
              </w:rPr>
              <w:t>VBECS</w:t>
            </w:r>
          </w:p>
        </w:tc>
      </w:tr>
      <w:tr w:rsidR="00141448" w14:paraId="6418F32D" w14:textId="77777777">
        <w:tc>
          <w:tcPr>
            <w:tcW w:w="3240" w:type="dxa"/>
            <w:tcBorders>
              <w:top w:val="single" w:sz="4" w:space="0" w:color="auto"/>
              <w:left w:val="single" w:sz="4" w:space="0" w:color="auto"/>
              <w:bottom w:val="single" w:sz="4" w:space="0" w:color="auto"/>
              <w:right w:val="single" w:sz="4" w:space="0" w:color="auto"/>
            </w:tcBorders>
          </w:tcPr>
          <w:p w14:paraId="6B4483CB" w14:textId="77777777" w:rsidR="00141448" w:rsidRDefault="00141448" w:rsidP="00D71D64">
            <w:pPr>
              <w:pStyle w:val="TableTextNumbers"/>
            </w:pPr>
            <w:r>
              <w:t xml:space="preserve">Select </w:t>
            </w:r>
            <w:r>
              <w:rPr>
                <w:b/>
              </w:rPr>
              <w:t>Patients</w:t>
            </w:r>
            <w:r>
              <w:t xml:space="preserve"> from the main menu.</w:t>
            </w:r>
          </w:p>
          <w:p w14:paraId="3E80FBE8" w14:textId="77777777" w:rsidR="00141448" w:rsidRDefault="00141448" w:rsidP="00141448">
            <w:pPr>
              <w:pStyle w:val="TableTextNumbersContinued"/>
            </w:pPr>
          </w:p>
          <w:p w14:paraId="754CC22E" w14:textId="77777777" w:rsidR="00141448" w:rsidRDefault="00141448" w:rsidP="00141448">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14:paraId="1CC242D1" w14:textId="77777777" w:rsidR="00141448" w:rsidRDefault="00141448" w:rsidP="00141448">
            <w:pPr>
              <w:pStyle w:val="TableTextBullet"/>
            </w:pPr>
            <w:r>
              <w:t xml:space="preserve">Displays options for processing patient-related functions. </w:t>
            </w:r>
          </w:p>
          <w:p w14:paraId="638A192D" w14:textId="77777777" w:rsidR="00141448" w:rsidRDefault="00141448" w:rsidP="00141448">
            <w:pPr>
              <w:pStyle w:val="TableTextBullet"/>
            </w:pPr>
            <w:r>
              <w:t>Displays the Pending Task List (PTL) in the Diagnostic Tests tab.</w:t>
            </w:r>
          </w:p>
          <w:p w14:paraId="43F4B79A" w14:textId="77777777" w:rsidR="00141448" w:rsidRDefault="00141448" w:rsidP="00141448">
            <w:pPr>
              <w:pStyle w:val="NotesText"/>
            </w:pPr>
          </w:p>
          <w:p w14:paraId="1E346A23" w14:textId="77777777" w:rsidR="00141448" w:rsidRDefault="00057948" w:rsidP="00141448">
            <w:pPr>
              <w:pStyle w:val="TableText"/>
              <w:rPr>
                <w:b/>
                <w:bCs/>
                <w:szCs w:val="18"/>
              </w:rPr>
            </w:pPr>
            <w:r>
              <w:rPr>
                <w:b/>
                <w:bCs/>
                <w:noProof/>
              </w:rPr>
              <mc:AlternateContent>
                <mc:Choice Requires="wps">
                  <w:drawing>
                    <wp:anchor distT="0" distB="0" distL="114300" distR="114300" simplePos="0" relativeHeight="251915776" behindDoc="0" locked="0" layoutInCell="1" allowOverlap="1" wp14:anchorId="29584441" wp14:editId="7C4F422A">
                      <wp:simplePos x="0" y="0"/>
                      <wp:positionH relativeFrom="column">
                        <wp:posOffset>457200</wp:posOffset>
                      </wp:positionH>
                      <wp:positionV relativeFrom="paragraph">
                        <wp:posOffset>65405</wp:posOffset>
                      </wp:positionV>
                      <wp:extent cx="3200400" cy="0"/>
                      <wp:effectExtent l="9525" t="17780" r="9525" b="10795"/>
                      <wp:wrapNone/>
                      <wp:docPr id="371" name="Line 1071" descr="P7872C4T8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B5790F" id="Line 1071" o:spid="_x0000_s1026" alt="&quot;&quot;" style="position:absolute;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hdIdEcMBAABvAwAADgAAAAAAAAAAAAAAAAAu&#10;AgAAZHJzL2Uyb0RvYy54bWxQSwECLQAUAAYACAAAACEAF08wEtsAAAAIAQAADwAAAAAAAAAAAAAA&#10;AAAdBAAAZHJzL2Rvd25yZXYueG1sUEsFBgAAAAAEAAQA8wAAACUFAAAAAA==&#10;" strokeweight="1.5pt"/>
                  </w:pict>
                </mc:Fallback>
              </mc:AlternateContent>
            </w:r>
            <w:r w:rsidR="00141448">
              <w:rPr>
                <w:b/>
                <w:bCs/>
                <w:szCs w:val="18"/>
              </w:rPr>
              <w:t>NOTES</w:t>
            </w:r>
          </w:p>
          <w:p w14:paraId="5BD8765D" w14:textId="77777777" w:rsidR="00141448" w:rsidRDefault="00141448" w:rsidP="00141448">
            <w:pPr>
              <w:pStyle w:val="NotesText"/>
            </w:pPr>
          </w:p>
          <w:p w14:paraId="1A41A9BA" w14:textId="77777777" w:rsidR="00141448" w:rsidRDefault="00141448" w:rsidP="00141448">
            <w:pPr>
              <w:pStyle w:val="NotesText"/>
            </w:pPr>
            <w:r>
              <w:t>A user may search for specific tasks using search criteria detailed in Pending Task List.</w:t>
            </w:r>
          </w:p>
        </w:tc>
      </w:tr>
      <w:tr w:rsidR="00B1359E" w14:paraId="20D36B59" w14:textId="77777777">
        <w:tc>
          <w:tcPr>
            <w:tcW w:w="3240" w:type="dxa"/>
          </w:tcPr>
          <w:p w14:paraId="2C35DE70" w14:textId="77777777" w:rsidR="00B1359E" w:rsidRDefault="00B1359E" w:rsidP="00150254">
            <w:pPr>
              <w:pStyle w:val="TableTextNumbers"/>
            </w:pPr>
            <w:r>
              <w:t xml:space="preserve">Click one to four check boxes in the Pending Task List to select tasks for testing. </w:t>
            </w:r>
          </w:p>
          <w:p w14:paraId="29A34767" w14:textId="77777777" w:rsidR="00B1359E" w:rsidRDefault="00B1359E" w:rsidP="00150254">
            <w:pPr>
              <w:pStyle w:val="TableTextNumbersContinued"/>
            </w:pPr>
          </w:p>
          <w:p w14:paraId="77F716A7" w14:textId="77777777" w:rsidR="00B1359E" w:rsidRDefault="00B1359E" w:rsidP="00150254">
            <w:pPr>
              <w:pStyle w:val="TableTextNumbersContinued"/>
            </w:pPr>
            <w:r>
              <w:t xml:space="preserve">Click </w:t>
            </w:r>
            <w:r>
              <w:rPr>
                <w:b/>
              </w:rPr>
              <w:t>OK</w:t>
            </w:r>
            <w:r>
              <w:t>.</w:t>
            </w:r>
          </w:p>
        </w:tc>
        <w:tc>
          <w:tcPr>
            <w:tcW w:w="6120" w:type="dxa"/>
          </w:tcPr>
          <w:p w14:paraId="5D2CF582" w14:textId="77777777" w:rsidR="00B1359E" w:rsidRDefault="00B1359E" w:rsidP="00150254">
            <w:pPr>
              <w:pStyle w:val="TableTextBullet"/>
            </w:pPr>
            <w:r>
              <w:t>Displays patient names and associated task information.</w:t>
            </w:r>
          </w:p>
        </w:tc>
      </w:tr>
      <w:tr w:rsidR="002A21AE" w14:paraId="7478BB75" w14:textId="77777777" w:rsidTr="00414071">
        <w:trPr>
          <w:cantSplit/>
        </w:trPr>
        <w:tc>
          <w:tcPr>
            <w:tcW w:w="3240" w:type="dxa"/>
          </w:tcPr>
          <w:p w14:paraId="69C9F71E" w14:textId="77777777" w:rsidR="00F345F3" w:rsidRDefault="00F345F3">
            <w:pPr>
              <w:pStyle w:val="TableTextNumbers"/>
            </w:pPr>
            <w:r>
              <w:lastRenderedPageBreak/>
              <w:t>Click a check box to s</w:t>
            </w:r>
            <w:r w:rsidR="00F3010E">
              <w:t>elect a reagent rack</w:t>
            </w:r>
            <w:r>
              <w:t>.</w:t>
            </w:r>
          </w:p>
          <w:p w14:paraId="041A262C" w14:textId="77777777" w:rsidR="00F345F3" w:rsidRDefault="00F345F3" w:rsidP="00F345F3">
            <w:pPr>
              <w:pStyle w:val="TableTextNumbersContinued"/>
            </w:pPr>
          </w:p>
          <w:p w14:paraId="7A372B84" w14:textId="77777777" w:rsidR="00F3010E" w:rsidRDefault="00F3010E" w:rsidP="00F345F3">
            <w:pPr>
              <w:pStyle w:val="TableTextNumbersContinued"/>
            </w:pPr>
            <w:r>
              <w:t xml:space="preserve">In the ABS or XM Testing Phases area, click the </w:t>
            </w:r>
            <w:r w:rsidRPr="00F3010E">
              <w:rPr>
                <w:b/>
              </w:rPr>
              <w:t>All Phases</w:t>
            </w:r>
            <w:r>
              <w:t xml:space="preserve"> or </w:t>
            </w:r>
            <w:r w:rsidRPr="00F3010E">
              <w:rPr>
                <w:b/>
              </w:rPr>
              <w:t xml:space="preserve">AHG Only </w:t>
            </w:r>
            <w:r w:rsidRPr="00BF2E41">
              <w:t>radio button</w:t>
            </w:r>
            <w:r>
              <w:t>.</w:t>
            </w:r>
          </w:p>
          <w:p w14:paraId="318D565F" w14:textId="77777777" w:rsidR="00F345F3" w:rsidRDefault="00F345F3" w:rsidP="00F345F3">
            <w:pPr>
              <w:pStyle w:val="TableTextNumbersContinued"/>
            </w:pPr>
          </w:p>
          <w:p w14:paraId="16375840" w14:textId="77777777" w:rsidR="00F345F3" w:rsidRDefault="00F345F3" w:rsidP="00F345F3">
            <w:pPr>
              <w:pStyle w:val="TableTextNumbersContinued"/>
            </w:pPr>
            <w:r>
              <w:t xml:space="preserve">Click </w:t>
            </w:r>
            <w:r>
              <w:rPr>
                <w:b/>
              </w:rPr>
              <w:t>OK</w:t>
            </w:r>
            <w:r>
              <w:t xml:space="preserve"> to continue with testing.</w:t>
            </w:r>
          </w:p>
        </w:tc>
        <w:tc>
          <w:tcPr>
            <w:tcW w:w="6120" w:type="dxa"/>
          </w:tcPr>
          <w:p w14:paraId="64414BA4" w14:textId="77777777" w:rsidR="002A21AE" w:rsidRDefault="002A21AE">
            <w:pPr>
              <w:pStyle w:val="TableText"/>
            </w:pPr>
          </w:p>
          <w:p w14:paraId="37FFBBDA" w14:textId="77777777" w:rsidR="002A21AE" w:rsidRDefault="00057948">
            <w:pPr>
              <w:pStyle w:val="TableText"/>
              <w:rPr>
                <w:b/>
                <w:bCs/>
                <w:szCs w:val="18"/>
              </w:rPr>
            </w:pPr>
            <w:r>
              <w:rPr>
                <w:b/>
                <w:bCs/>
                <w:noProof/>
              </w:rPr>
              <mc:AlternateContent>
                <mc:Choice Requires="wps">
                  <w:drawing>
                    <wp:anchor distT="0" distB="0" distL="114300" distR="114300" simplePos="0" relativeHeight="251420160" behindDoc="0" locked="0" layoutInCell="1" allowOverlap="1" wp14:anchorId="26673389" wp14:editId="07AA30EF">
                      <wp:simplePos x="0" y="0"/>
                      <wp:positionH relativeFrom="column">
                        <wp:posOffset>457200</wp:posOffset>
                      </wp:positionH>
                      <wp:positionV relativeFrom="paragraph">
                        <wp:posOffset>65405</wp:posOffset>
                      </wp:positionV>
                      <wp:extent cx="3200400" cy="0"/>
                      <wp:effectExtent l="9525" t="17780" r="9525" b="10795"/>
                      <wp:wrapNone/>
                      <wp:docPr id="370" name="Line 746" descr="P7887C8T8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E5E1C" id="Line 746" o:spid="_x0000_s1026" alt="&quot;&quot;" style="position:absolute;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GR/ph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68D67BE6" w14:textId="77777777" w:rsidR="002A21AE" w:rsidRDefault="002A21AE">
            <w:pPr>
              <w:pStyle w:val="NotesText"/>
            </w:pPr>
          </w:p>
          <w:p w14:paraId="075C215E" w14:textId="77777777" w:rsidR="002A21AE" w:rsidRDefault="002A21AE">
            <w:pPr>
              <w:pStyle w:val="NotesText"/>
            </w:pPr>
            <w:r>
              <w:rPr>
                <w:rFonts w:cs="Arial"/>
                <w:vanish/>
              </w:rPr>
              <w:t xml:space="preserve">BR_40.04 </w:t>
            </w:r>
            <w:r>
              <w:t>When the testing method selected is AHG only, VBECS disables the data grid boxes for phases IS, 37, and CC.</w:t>
            </w:r>
          </w:p>
        </w:tc>
      </w:tr>
      <w:tr w:rsidR="002A21AE" w14:paraId="3C45FD77" w14:textId="77777777">
        <w:tc>
          <w:tcPr>
            <w:tcW w:w="3240" w:type="dxa"/>
          </w:tcPr>
          <w:p w14:paraId="56BC6D11" w14:textId="77777777" w:rsidR="002A21AE" w:rsidRDefault="00F345F3">
            <w:pPr>
              <w:pStyle w:val="TableTextNumbers"/>
            </w:pPr>
            <w:r>
              <w:t>When processing more than one patient, s</w:t>
            </w:r>
            <w:r w:rsidR="002A21AE">
              <w:t xml:space="preserve">elect a </w:t>
            </w:r>
            <w:r>
              <w:t>name from the drop-down list in the Name field (or click the right or left arrow)</w:t>
            </w:r>
            <w:r w:rsidR="002A21AE">
              <w:t xml:space="preserve"> to </w:t>
            </w:r>
            <w:r>
              <w:t>record testing</w:t>
            </w:r>
            <w:r w:rsidR="00F9187A">
              <w:t xml:space="preserve"> for that patient</w:t>
            </w:r>
            <w:r w:rsidR="002A21AE">
              <w:t>.</w:t>
            </w:r>
          </w:p>
        </w:tc>
        <w:tc>
          <w:tcPr>
            <w:tcW w:w="6120" w:type="dxa"/>
          </w:tcPr>
          <w:p w14:paraId="15B0FEDE" w14:textId="77777777" w:rsidR="002A21AE" w:rsidRDefault="002A21AE">
            <w:pPr>
              <w:pStyle w:val="TableTextBullet"/>
            </w:pPr>
            <w:r>
              <w:t xml:space="preserve">Allows the user to select a patient and enter a test result for the patient. </w:t>
            </w:r>
          </w:p>
          <w:p w14:paraId="422E4E62" w14:textId="77777777" w:rsidR="002A21AE" w:rsidRDefault="002A21AE" w:rsidP="00380ACC">
            <w:pPr>
              <w:pStyle w:val="TableTextBullet"/>
            </w:pPr>
            <w:r>
              <w:t>Allows only valid data entries in the grid reaction result and interpretation cells.</w:t>
            </w:r>
          </w:p>
          <w:p w14:paraId="0581E73D" w14:textId="77777777" w:rsidR="002A21AE" w:rsidRDefault="002A21AE">
            <w:pPr>
              <w:pStyle w:val="TableText"/>
            </w:pPr>
          </w:p>
          <w:p w14:paraId="6390B645" w14:textId="77777777" w:rsidR="002A21AE" w:rsidRDefault="00057948">
            <w:pPr>
              <w:pStyle w:val="TableText"/>
              <w:rPr>
                <w:b/>
                <w:bCs/>
                <w:szCs w:val="18"/>
              </w:rPr>
            </w:pPr>
            <w:r>
              <w:rPr>
                <w:b/>
                <w:bCs/>
                <w:noProof/>
              </w:rPr>
              <mc:AlternateContent>
                <mc:Choice Requires="wps">
                  <w:drawing>
                    <wp:anchor distT="0" distB="0" distL="114300" distR="114300" simplePos="0" relativeHeight="251423232" behindDoc="0" locked="0" layoutInCell="1" allowOverlap="1" wp14:anchorId="4A8D1191" wp14:editId="2723F50D">
                      <wp:simplePos x="0" y="0"/>
                      <wp:positionH relativeFrom="column">
                        <wp:posOffset>457200</wp:posOffset>
                      </wp:positionH>
                      <wp:positionV relativeFrom="paragraph">
                        <wp:posOffset>65405</wp:posOffset>
                      </wp:positionV>
                      <wp:extent cx="3200400" cy="0"/>
                      <wp:effectExtent l="9525" t="17780" r="9525" b="10795"/>
                      <wp:wrapNone/>
                      <wp:docPr id="369" name="Line 747" descr="P7895C10T8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3A3CA0" id="Line 747" o:spid="_x0000_s1026" alt="&quot;&quot;" style="position:absolute;z-index:2514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BopHqnEAQAAbgMAAA4AAAAAAAAAAAAAAAAA&#10;LgIAAGRycy9lMm9Eb2MueG1sUEsBAi0AFAAGAAgAAAAhABdPMBLbAAAACAEAAA8AAAAAAAAAAAAA&#10;AAAAHgQAAGRycy9kb3ducmV2LnhtbFBLBQYAAAAABAAEAPMAAAAmBQAAAAA=&#10;" strokeweight="1.5pt"/>
                  </w:pict>
                </mc:Fallback>
              </mc:AlternateContent>
            </w:r>
            <w:r w:rsidR="002A21AE">
              <w:rPr>
                <w:b/>
                <w:bCs/>
                <w:szCs w:val="18"/>
              </w:rPr>
              <w:t>NOTES</w:t>
            </w:r>
          </w:p>
          <w:p w14:paraId="41AD6E3A" w14:textId="77777777" w:rsidR="002A21AE" w:rsidRDefault="002A21AE">
            <w:pPr>
              <w:pStyle w:val="NotesText"/>
            </w:pPr>
          </w:p>
          <w:p w14:paraId="356A75E5" w14:textId="6A74BCAF" w:rsidR="002A21AE" w:rsidRDefault="002A21AE">
            <w:pPr>
              <w:pStyle w:val="NotesText"/>
            </w:pPr>
            <w:r>
              <w:rPr>
                <w:rFonts w:cs="Arial"/>
                <w:vanish/>
              </w:rPr>
              <w:t xml:space="preserve">BR_53.02 </w:t>
            </w:r>
            <w:r>
              <w:t xml:space="preserve">The logic described in </w:t>
            </w:r>
            <w:r w:rsidR="00543DAF">
              <w:fldChar w:fldCharType="begin" w:fldLock="1"/>
            </w:r>
            <w:r w:rsidR="00543DAF">
              <w:instrText xml:space="preserve"> REF _Ref170004931 \h </w:instrText>
            </w:r>
            <w:r w:rsidR="00543DAF">
              <w:fldChar w:fldCharType="separate"/>
            </w:r>
            <w:r w:rsidR="00AB304C">
              <w:t xml:space="preserve">Appendix </w:t>
            </w:r>
            <w:r w:rsidR="00AB304C">
              <w:rPr>
                <w:noProof/>
              </w:rPr>
              <w:t>B</w:t>
            </w:r>
            <w:r w:rsidR="00543DAF">
              <w:fldChar w:fldCharType="end"/>
            </w:r>
            <w:r>
              <w:t xml:space="preserve">: </w:t>
            </w:r>
            <w:r w:rsidR="00AE2DC1">
              <w:fldChar w:fldCharType="begin" w:fldLock="1"/>
            </w:r>
            <w:r w:rsidR="00AE2DC1">
              <w:instrText xml:space="preserve"> REF _Ref126504351 \h </w:instrText>
            </w:r>
            <w:r w:rsidR="00AE2DC1">
              <w:fldChar w:fldCharType="separate"/>
            </w:r>
            <w:r w:rsidR="00AB304C">
              <w:t xml:space="preserve">Table </w:t>
            </w:r>
            <w:r w:rsidR="00AB304C">
              <w:rPr>
                <w:noProof/>
              </w:rPr>
              <w:t>16</w:t>
            </w:r>
            <w:r w:rsidR="00AB304C">
              <w:t xml:space="preserve">: </w:t>
            </w:r>
            <w:r w:rsidR="00AB304C">
              <w:rPr>
                <w:vanish/>
              </w:rPr>
              <w:t xml:space="preserve">TT_53.02 </w:t>
            </w:r>
            <w:r w:rsidR="00AB304C">
              <w:t>Antibody Screen Test Interpretation</w:t>
            </w:r>
            <w:r w:rsidR="00AE2DC1">
              <w:fldChar w:fldCharType="end"/>
            </w:r>
            <w:r w:rsidR="00AE2DC1">
              <w:t xml:space="preserve"> </w:t>
            </w:r>
            <w:r>
              <w:t>is an integral part of the configuration of the reaction result grid developed for Patient Testing: Record a Patient Antibody Screen.</w:t>
            </w:r>
          </w:p>
          <w:p w14:paraId="5039AF54" w14:textId="77777777" w:rsidR="002A21AE" w:rsidRDefault="002A21AE">
            <w:pPr>
              <w:pStyle w:val="NotesText"/>
            </w:pPr>
          </w:p>
          <w:p w14:paraId="5007FAE3" w14:textId="77777777" w:rsidR="002A21AE" w:rsidRDefault="002A21AE">
            <w:pPr>
              <w:pStyle w:val="NotesText"/>
            </w:pPr>
            <w:r>
              <w:rPr>
                <w:rFonts w:cs="Arial"/>
                <w:vanish/>
              </w:rPr>
              <w:t xml:space="preserve">BR_53.04 </w:t>
            </w:r>
            <w:r>
              <w:t>There may be two to five rows of screening cells to be validated as a group (the ABS). The user enters only one interpretation for the combination of cells tested.</w:t>
            </w:r>
          </w:p>
          <w:p w14:paraId="5D30BA58" w14:textId="77777777" w:rsidR="002A21AE" w:rsidRDefault="002A21AE">
            <w:pPr>
              <w:pStyle w:val="NotesText"/>
            </w:pPr>
          </w:p>
          <w:p w14:paraId="0CE5FFC1" w14:textId="77777777" w:rsidR="002A21AE" w:rsidRDefault="002A21AE">
            <w:pPr>
              <w:pStyle w:val="NotesText"/>
            </w:pPr>
            <w:r>
              <w:rPr>
                <w:rFonts w:cs="Arial"/>
                <w:vanish/>
              </w:rPr>
              <w:t xml:space="preserve">BR_53.03 </w:t>
            </w:r>
            <w:r>
              <w:t>Valid interpretations of an ABS Test are positive or negative.</w:t>
            </w:r>
          </w:p>
          <w:p w14:paraId="3F9D8E25" w14:textId="77777777" w:rsidR="00B57F42" w:rsidRDefault="00B57F42">
            <w:pPr>
              <w:pStyle w:val="NotesText"/>
            </w:pPr>
          </w:p>
          <w:p w14:paraId="3169A0AE" w14:textId="17F7B05D" w:rsidR="00B57F42" w:rsidRDefault="00B57F42">
            <w:pPr>
              <w:pStyle w:val="NotesText"/>
            </w:pPr>
            <w:r w:rsidRPr="007A20C2">
              <w:rPr>
                <w:vanish/>
              </w:rPr>
              <w:t xml:space="preserve">BR_53.08 </w:t>
            </w:r>
            <w:r w:rsidR="007A20C2">
              <w:t xml:space="preserve">If the antibody screen is positive, the system emits an audible alert and warning that displays that the </w:t>
            </w:r>
            <w:r w:rsidR="007A20C2" w:rsidRPr="00DD6184">
              <w:t xml:space="preserve">Patient has a POSITIVE </w:t>
            </w:r>
            <w:r w:rsidR="007A20C2">
              <w:t>Antibody Screen Result. P</w:t>
            </w:r>
            <w:r w:rsidR="007A20C2" w:rsidRPr="00DD6184">
              <w:t>erform Antibody Identification on this patient prior to issue of blood components</w:t>
            </w:r>
            <w:r w:rsidR="007A20C2">
              <w:t>.</w:t>
            </w:r>
          </w:p>
        </w:tc>
      </w:tr>
      <w:tr w:rsidR="002A21AE" w14:paraId="48E7E406" w14:textId="77777777">
        <w:tc>
          <w:tcPr>
            <w:tcW w:w="3240" w:type="dxa"/>
          </w:tcPr>
          <w:p w14:paraId="6419984B" w14:textId="77777777" w:rsidR="002A21AE" w:rsidRDefault="002A21AE">
            <w:pPr>
              <w:pStyle w:val="TableTextNumbers"/>
            </w:pPr>
            <w:r>
              <w:t>Repeat Step 4 until results are entered in some or all portions of the test grid for the selected patient. Enter the interpretation for the patient ABS Test, if desired.</w:t>
            </w:r>
          </w:p>
        </w:tc>
        <w:tc>
          <w:tcPr>
            <w:tcW w:w="6120" w:type="dxa"/>
          </w:tcPr>
          <w:p w14:paraId="44F45BD3" w14:textId="77777777" w:rsidR="002A21AE" w:rsidRDefault="002A21AE">
            <w:pPr>
              <w:pStyle w:val="TableTextBullet"/>
            </w:pPr>
            <w:r>
              <w:t>Verifies that appropriate tests are entered.</w:t>
            </w:r>
          </w:p>
          <w:p w14:paraId="6D737AAD" w14:textId="77777777" w:rsidR="002A21AE" w:rsidRDefault="002A21AE">
            <w:pPr>
              <w:pStyle w:val="TableTextBullet"/>
            </w:pPr>
            <w:r>
              <w:t>Prompts the user to confirm that results were reviewed and are acceptable.</w:t>
            </w:r>
          </w:p>
          <w:p w14:paraId="02363490" w14:textId="77777777" w:rsidR="002A21AE" w:rsidRDefault="002A21AE">
            <w:pPr>
              <w:pStyle w:val="TableText"/>
            </w:pPr>
          </w:p>
          <w:p w14:paraId="748B3992" w14:textId="77777777" w:rsidR="002A21AE" w:rsidRDefault="00057948">
            <w:pPr>
              <w:pStyle w:val="TableText"/>
              <w:rPr>
                <w:b/>
                <w:bCs/>
                <w:szCs w:val="18"/>
              </w:rPr>
            </w:pPr>
            <w:r>
              <w:rPr>
                <w:b/>
                <w:bCs/>
                <w:noProof/>
              </w:rPr>
              <mc:AlternateContent>
                <mc:Choice Requires="wps">
                  <w:drawing>
                    <wp:anchor distT="0" distB="0" distL="114300" distR="114300" simplePos="0" relativeHeight="251426304" behindDoc="0" locked="0" layoutInCell="1" allowOverlap="1" wp14:anchorId="7525E010" wp14:editId="297CBE5A">
                      <wp:simplePos x="0" y="0"/>
                      <wp:positionH relativeFrom="column">
                        <wp:posOffset>457200</wp:posOffset>
                      </wp:positionH>
                      <wp:positionV relativeFrom="paragraph">
                        <wp:posOffset>65405</wp:posOffset>
                      </wp:positionV>
                      <wp:extent cx="3200400" cy="0"/>
                      <wp:effectExtent l="9525" t="17780" r="9525" b="10795"/>
                      <wp:wrapNone/>
                      <wp:docPr id="368" name="Line 748" descr="P7909C12T8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0938D" id="Line 748" o:spid="_x0000_s1026" alt="&quot;&quot;" style="position:absolute;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zR0CU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1C2C9E43" w14:textId="77777777" w:rsidR="002A21AE" w:rsidRDefault="002A21AE">
            <w:pPr>
              <w:pStyle w:val="NotesText"/>
            </w:pPr>
          </w:p>
          <w:p w14:paraId="76C0436F" w14:textId="271BFDDD" w:rsidR="002A21AE" w:rsidRDefault="002A21AE" w:rsidP="009874B8">
            <w:pPr>
              <w:pStyle w:val="NotesText"/>
            </w:pPr>
            <w:r>
              <w:rPr>
                <w:rFonts w:cs="Arial"/>
                <w:vanish/>
              </w:rPr>
              <w:t xml:space="preserve">BR_53.01 </w:t>
            </w:r>
            <w:r>
              <w:t xml:space="preserve">When the ABS Test interpretation must be consistent with observed test results based on </w:t>
            </w:r>
            <w:r w:rsidR="00AE2DC1">
              <w:fldChar w:fldCharType="begin" w:fldLock="1"/>
            </w:r>
            <w:r w:rsidR="00AE2DC1">
              <w:instrText xml:space="preserve"> REF _Ref126504384 \h </w:instrText>
            </w:r>
            <w:r w:rsidR="00AE2DC1">
              <w:fldChar w:fldCharType="separate"/>
            </w:r>
            <w:r w:rsidR="00AB304C">
              <w:t xml:space="preserve">Table </w:t>
            </w:r>
            <w:r w:rsidR="00AB304C">
              <w:rPr>
                <w:noProof/>
              </w:rPr>
              <w:t>16</w:t>
            </w:r>
            <w:r w:rsidR="00AB304C">
              <w:t xml:space="preserve">: </w:t>
            </w:r>
            <w:r w:rsidR="00AB304C">
              <w:rPr>
                <w:vanish/>
              </w:rPr>
              <w:t xml:space="preserve">TT_53.02 </w:t>
            </w:r>
            <w:r w:rsidR="00AB304C">
              <w:t>Antibody Screen Test Interpretation</w:t>
            </w:r>
            <w:r w:rsidR="00AE2DC1">
              <w:fldChar w:fldCharType="end"/>
            </w:r>
            <w:r>
              <w:t>, discrepancies must be resolved before VBECS verifies the results and adds them to the database. The user may reenter valid results or delete the entries</w:t>
            </w:r>
            <w:r w:rsidR="009874B8">
              <w:t xml:space="preserve"> and start over before saving. </w:t>
            </w:r>
          </w:p>
        </w:tc>
      </w:tr>
      <w:tr w:rsidR="002A21AE" w14:paraId="495DA90C" w14:textId="77777777">
        <w:tc>
          <w:tcPr>
            <w:tcW w:w="3240" w:type="dxa"/>
          </w:tcPr>
          <w:p w14:paraId="032386D6" w14:textId="77777777" w:rsidR="002A21AE" w:rsidRDefault="002A21AE">
            <w:pPr>
              <w:pStyle w:val="TableTextNumbers"/>
            </w:pPr>
            <w:r>
              <w:t>Enter test results in preparation for updating the database.</w:t>
            </w:r>
            <w:r w:rsidRPr="00B93B42">
              <w:rPr>
                <w:rStyle w:val="StyleTableTextNumbersWhite1Char"/>
              </w:rPr>
              <w:t xml:space="preserve"> </w:t>
            </w:r>
          </w:p>
        </w:tc>
        <w:tc>
          <w:tcPr>
            <w:tcW w:w="6120" w:type="dxa"/>
          </w:tcPr>
          <w:p w14:paraId="04F86C41" w14:textId="77777777" w:rsidR="002A21AE" w:rsidRDefault="002A21AE">
            <w:pPr>
              <w:pStyle w:val="TableTextBullet"/>
            </w:pPr>
            <w:r>
              <w:t>Saves the data.</w:t>
            </w:r>
          </w:p>
        </w:tc>
      </w:tr>
      <w:tr w:rsidR="002A21AE" w14:paraId="30BEC559" w14:textId="77777777">
        <w:tc>
          <w:tcPr>
            <w:tcW w:w="3240" w:type="dxa"/>
          </w:tcPr>
          <w:p w14:paraId="292AFB02" w14:textId="77777777" w:rsidR="002A21AE" w:rsidRDefault="002A21AE">
            <w:pPr>
              <w:pStyle w:val="TableTextNumbers"/>
            </w:pPr>
            <w:r>
              <w:t xml:space="preserve">Click </w:t>
            </w:r>
            <w:r>
              <w:rPr>
                <w:b/>
              </w:rPr>
              <w:t xml:space="preserve">OK </w:t>
            </w:r>
            <w:r>
              <w:t xml:space="preserve">to </w:t>
            </w:r>
            <w:r w:rsidR="0095563F">
              <w:t xml:space="preserve">save, and </w:t>
            </w:r>
            <w:r w:rsidR="0095563F" w:rsidRPr="0095563F">
              <w:rPr>
                <w:b/>
              </w:rPr>
              <w:t>OK</w:t>
            </w:r>
            <w:r w:rsidR="0095563F">
              <w:t xml:space="preserve"> to confirm and </w:t>
            </w:r>
            <w:r>
              <w:t xml:space="preserve">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70EC351E" w14:textId="77777777" w:rsidR="002A21AE" w:rsidRDefault="002A21AE">
            <w:pPr>
              <w:pStyle w:val="TableText"/>
            </w:pPr>
          </w:p>
        </w:tc>
      </w:tr>
    </w:tbl>
    <w:p w14:paraId="21A5AE24" w14:textId="77777777" w:rsidR="00AC2D9E" w:rsidRDefault="00AC2D9E">
      <w:pPr>
        <w:pStyle w:val="Heading3"/>
      </w:pPr>
    </w:p>
    <w:p w14:paraId="6C166781" w14:textId="77777777" w:rsidR="002A21AE" w:rsidRDefault="00AC2D9E">
      <w:pPr>
        <w:pStyle w:val="Heading3"/>
      </w:pPr>
      <w:r>
        <w:br w:type="page"/>
      </w:r>
      <w:bookmarkStart w:id="498" w:name="_Toc4588817"/>
      <w:r w:rsidR="002A21AE">
        <w:lastRenderedPageBreak/>
        <w:t>Patient Testing: Record a Direct Antiglobulin Test</w:t>
      </w:r>
      <w:bookmarkEnd w:id="498"/>
      <w:r w:rsidR="002A21AE">
        <w:fldChar w:fldCharType="begin"/>
      </w:r>
      <w:r w:rsidR="002A21AE">
        <w:instrText xml:space="preserve"> XE </w:instrText>
      </w:r>
      <w:r w:rsidR="00FA7E65">
        <w:instrText>“</w:instrText>
      </w:r>
      <w:r w:rsidR="002A21AE">
        <w:instrText>Patient Testing\: Record a Direct Antiglobulin Test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UC_54</w:t>
      </w:r>
    </w:p>
    <w:p w14:paraId="328DA432" w14:textId="77777777" w:rsidR="002A21AE" w:rsidRDefault="002A21AE" w:rsidP="00FA7E65">
      <w:pPr>
        <w:pStyle w:val="BodyText"/>
      </w:pPr>
      <w:r>
        <w:t xml:space="preserve">The user records observed results when performing a Direct Antiglobulin Test (DAT). </w:t>
      </w:r>
    </w:p>
    <w:p w14:paraId="7EE0CE07" w14:textId="77777777" w:rsidR="002A21AE" w:rsidRDefault="002A21AE">
      <w:pPr>
        <w:pStyle w:val="Heading4"/>
      </w:pPr>
      <w:r>
        <w:t>Assumptions</w:t>
      </w:r>
      <w:r>
        <w:rPr>
          <w:b w:val="0"/>
        </w:rPr>
        <w:t xml:space="preserve"> </w:t>
      </w:r>
    </w:p>
    <w:p w14:paraId="114CE7C5" w14:textId="77777777" w:rsidR="002A21AE" w:rsidRDefault="002A21AE">
      <w:pPr>
        <w:pStyle w:val="ListBullet"/>
      </w:pPr>
      <w:r>
        <w:t xml:space="preserve">A CPRS order exists that includes a DAT, which the user may also order as a reflex patient test. </w:t>
      </w:r>
    </w:p>
    <w:p w14:paraId="4E64228B" w14:textId="77777777" w:rsidR="002A21AE" w:rsidRDefault="002A21AE">
      <w:pPr>
        <w:pStyle w:val="ListBullet"/>
      </w:pPr>
      <w:r>
        <w:t xml:space="preserve">The user is testing a patient specimen in Patient Testing: Record Patient Test Results. </w:t>
      </w:r>
    </w:p>
    <w:p w14:paraId="728E0E40" w14:textId="77777777" w:rsidR="002A21AE" w:rsidRDefault="002A21AE">
      <w:pPr>
        <w:pStyle w:val="ListBullet"/>
      </w:pPr>
      <w:r>
        <w:t>VBECS is configured to accommodate the DAT as part of a Type &amp; Screen (TAS).</w:t>
      </w:r>
    </w:p>
    <w:p w14:paraId="4EC5B2B2" w14:textId="77777777" w:rsidR="002A21AE" w:rsidRDefault="002A21AE">
      <w:pPr>
        <w:pStyle w:val="Heading4"/>
      </w:pPr>
      <w:r>
        <w:t xml:space="preserve">Outcome </w:t>
      </w:r>
    </w:p>
    <w:p w14:paraId="116543D6" w14:textId="77777777" w:rsidR="002A21AE" w:rsidRDefault="002A21AE">
      <w:pPr>
        <w:pStyle w:val="ListBullet"/>
      </w:pPr>
      <w:r>
        <w:t>When a DAT is ordered as a stand-alone test, VBECS changes the task status to “completed” and triggers the generation of a message to CPRS that the order is complete.</w:t>
      </w:r>
    </w:p>
    <w:p w14:paraId="74E8352B" w14:textId="77777777" w:rsidR="002A21AE" w:rsidRDefault="002A21AE">
      <w:pPr>
        <w:pStyle w:val="Heading4"/>
      </w:pPr>
      <w:r>
        <w:t>Limitations and Restrictions</w:t>
      </w:r>
      <w:r>
        <w:rPr>
          <w:b w:val="0"/>
        </w:rPr>
        <w:t xml:space="preserve"> </w:t>
      </w:r>
    </w:p>
    <w:p w14:paraId="0B4C96F4" w14:textId="77777777" w:rsidR="002A21AE" w:rsidRDefault="002A21AE">
      <w:pPr>
        <w:pStyle w:val="ListBullet"/>
      </w:pPr>
      <w:r>
        <w:t>VBECS does not check whether the lot and vial numbers selected for the positive control cells are different from those of the negative control cells.</w:t>
      </w:r>
    </w:p>
    <w:p w14:paraId="1447CA83" w14:textId="44671BEC" w:rsidR="0028344B" w:rsidRDefault="0028344B" w:rsidP="0028344B">
      <w:pPr>
        <w:pStyle w:val="ListBullet"/>
      </w:pPr>
      <w:r w:rsidRPr="0028344B">
        <w:t>Comments entered in the DAT POS and NEG control cel</w:t>
      </w:r>
      <w:r>
        <w:t xml:space="preserve">l rows are not displayed on </w:t>
      </w:r>
      <w:r w:rsidRPr="0028344B">
        <w:t>report</w:t>
      </w:r>
      <w:r>
        <w:t>s</w:t>
      </w:r>
      <w:r w:rsidRPr="0028344B">
        <w:t xml:space="preserve"> in VBECS or CPRS. Enter comments only in the patient test row.</w:t>
      </w:r>
      <w:r w:rsidR="009903AA">
        <w:t xml:space="preserve"> </w:t>
      </w:r>
      <w:r w:rsidR="009903AA" w:rsidRPr="009903AA">
        <w:rPr>
          <w:vanish/>
        </w:rPr>
        <w:t>Defect 209353</w:t>
      </w:r>
    </w:p>
    <w:p w14:paraId="2130BC17" w14:textId="77777777" w:rsidR="002A21AE" w:rsidRDefault="002A21AE">
      <w:pPr>
        <w:pStyle w:val="Heading4"/>
      </w:pPr>
      <w:r>
        <w:t xml:space="preserve">Additional Information </w:t>
      </w:r>
    </w:p>
    <w:p w14:paraId="65AC702E" w14:textId="77777777" w:rsidR="002A21AE" w:rsidRDefault="002A21AE">
      <w:pPr>
        <w:pStyle w:val="ListBullet"/>
      </w:pPr>
      <w:r>
        <w:rPr>
          <w:rFonts w:ascii="Arial" w:hAnsi="Arial" w:cs="Arial"/>
          <w:vanish/>
          <w:spacing w:val="0"/>
          <w:sz w:val="18"/>
        </w:rPr>
        <w:t xml:space="preserve">BR_28.11 </w:t>
      </w:r>
      <w:r>
        <w:t>The site settings determine which reagent types and lot numbers are available.</w:t>
      </w:r>
    </w:p>
    <w:p w14:paraId="23588CE6" w14:textId="77777777" w:rsidR="002A21AE" w:rsidRDefault="002A21AE">
      <w:pPr>
        <w:pStyle w:val="ListBullet"/>
      </w:pPr>
      <w:r>
        <w:t xml:space="preserve">VBECS checks the rack for the DAT reagents in use. When the rack testing does not include Poly AHG, Anti-IgG, or anti-complement, VBECS displays additional positive and negative control rows with the test grid for the DAT sera. </w:t>
      </w:r>
    </w:p>
    <w:p w14:paraId="17221485" w14:textId="2DD8730C" w:rsidR="002A21AE" w:rsidRDefault="002A21AE">
      <w:pPr>
        <w:pStyle w:val="ListBullet"/>
      </w:pPr>
      <w:r>
        <w:rPr>
          <w:rFonts w:ascii="Arial" w:hAnsi="Arial" w:cs="Arial"/>
          <w:vanish/>
          <w:spacing w:val="0"/>
          <w:sz w:val="18"/>
        </w:rPr>
        <w:t xml:space="preserve">BR_41.25 </w:t>
      </w:r>
      <w:r>
        <w:t>The user may select reagent lot numbers for positive and negative control cells: Reverse ABO Typing Cells (Set), A2 cell (vial), Screening Cells (set), Check Cells (vial), Panel (set), and Other (set).</w:t>
      </w:r>
    </w:p>
    <w:p w14:paraId="63C26F4B" w14:textId="2C54D513" w:rsidR="0040397B" w:rsidRDefault="00E06D68" w:rsidP="00E06D68">
      <w:pPr>
        <w:pStyle w:val="ListBullet"/>
      </w:pPr>
      <w:r w:rsidRPr="00E06D68">
        <w:t xml:space="preserve">DAT tests indicated as performed using GEL with valid control cells </w:t>
      </w:r>
      <w:r>
        <w:t xml:space="preserve">no longer require the entry of check cell </w:t>
      </w:r>
      <w:r w:rsidRPr="00E06D68">
        <w:t>results. DAT tests performed by manual method will al</w:t>
      </w:r>
      <w:r>
        <w:t>so no longer require entry of check cell</w:t>
      </w:r>
      <w:r w:rsidRPr="00E06D68">
        <w:t xml:space="preserve"> results.</w:t>
      </w:r>
      <w:r w:rsidR="00CC3452">
        <w:t xml:space="preserve"> Test results do not have to be entered, but the cell cannot be blank. An “X” can be entered to indicate “Not Tested”, if testing was not performed. </w:t>
      </w:r>
      <w:r w:rsidR="00CC3452" w:rsidRPr="00CC3452">
        <w:rPr>
          <w:vanish/>
        </w:rPr>
        <w:t>Task 881295</w:t>
      </w:r>
    </w:p>
    <w:p w14:paraId="1179F84D" w14:textId="77777777" w:rsidR="002A21AE" w:rsidRDefault="002A21AE">
      <w:pPr>
        <w:pStyle w:val="Heading4"/>
      </w:pPr>
      <w:r>
        <w:t xml:space="preserve">User Roles with Access to This Option </w:t>
      </w:r>
    </w:p>
    <w:p w14:paraId="0F376E7A" w14:textId="77777777" w:rsidR="002A21AE" w:rsidRDefault="007934CF">
      <w:pPr>
        <w:pStyle w:val="Roles"/>
      </w:pPr>
      <w:r>
        <w:t>All users</w:t>
      </w:r>
    </w:p>
    <w:p w14:paraId="5C960341" w14:textId="77777777" w:rsidR="002A21AE" w:rsidRDefault="002A21AE">
      <w:pPr>
        <w:pStyle w:val="Heading4"/>
      </w:pPr>
      <w:r>
        <w:t>Patient Testing: Record a Direct Antiglobulin Test</w:t>
      </w:r>
    </w:p>
    <w:p w14:paraId="0207B2A7" w14:textId="77777777" w:rsidR="002A21AE" w:rsidRDefault="002A21AE" w:rsidP="00FA7E65">
      <w:pPr>
        <w:pStyle w:val="BodyText"/>
      </w:pPr>
      <w:r>
        <w:t xml:space="preserve">The user performs a DAT on a patient sample. </w:t>
      </w:r>
    </w:p>
    <w:p w14:paraId="7C5D6291" w14:textId="77777777" w:rsidR="002A21AE" w:rsidRDefault="002A21AE" w:rsidP="00FA7E65">
      <w:pPr>
        <w:pStyle w:val="BodyText"/>
      </w:pPr>
      <w:r>
        <w:t>The DAT may generate additional reflex test o</w:t>
      </w:r>
      <w:r w:rsidR="0058122A">
        <w:t xml:space="preserve">rders such as </w:t>
      </w:r>
      <w:r>
        <w:t>antibody identification. VBECS saves the reactions and interpretation in the database as part of the patient’s record.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EEBFC5D" w14:textId="77777777">
        <w:trPr>
          <w:cantSplit/>
          <w:tblHeader/>
        </w:trPr>
        <w:tc>
          <w:tcPr>
            <w:tcW w:w="3240" w:type="dxa"/>
            <w:shd w:val="pct30" w:color="auto" w:fill="FFFFFF"/>
            <w:vAlign w:val="bottom"/>
          </w:tcPr>
          <w:p w14:paraId="259B53D5" w14:textId="77777777" w:rsidR="002A21AE" w:rsidRDefault="002A21AE">
            <w:pPr>
              <w:pStyle w:val="TableText"/>
              <w:rPr>
                <w:b/>
              </w:rPr>
            </w:pPr>
            <w:r>
              <w:rPr>
                <w:b/>
              </w:rPr>
              <w:t>User Action</w:t>
            </w:r>
          </w:p>
        </w:tc>
        <w:tc>
          <w:tcPr>
            <w:tcW w:w="6120" w:type="dxa"/>
            <w:shd w:val="pct30" w:color="auto" w:fill="FFFFFF"/>
            <w:vAlign w:val="bottom"/>
          </w:tcPr>
          <w:p w14:paraId="52EBE639" w14:textId="77777777" w:rsidR="002A21AE" w:rsidRDefault="002A21AE">
            <w:pPr>
              <w:pStyle w:val="TableText"/>
              <w:rPr>
                <w:b/>
              </w:rPr>
            </w:pPr>
            <w:r>
              <w:rPr>
                <w:b/>
              </w:rPr>
              <w:t>VBECS</w:t>
            </w:r>
          </w:p>
        </w:tc>
      </w:tr>
      <w:tr w:rsidR="00141448" w14:paraId="4910F5CE" w14:textId="77777777">
        <w:tc>
          <w:tcPr>
            <w:tcW w:w="3240" w:type="dxa"/>
            <w:tcBorders>
              <w:top w:val="single" w:sz="4" w:space="0" w:color="auto"/>
              <w:left w:val="single" w:sz="4" w:space="0" w:color="auto"/>
              <w:bottom w:val="single" w:sz="4" w:space="0" w:color="auto"/>
              <w:right w:val="single" w:sz="4" w:space="0" w:color="auto"/>
            </w:tcBorders>
          </w:tcPr>
          <w:p w14:paraId="7E3D4596" w14:textId="77777777" w:rsidR="00141448" w:rsidRDefault="00141448" w:rsidP="00141448">
            <w:pPr>
              <w:pStyle w:val="TableTextNumbers"/>
            </w:pPr>
            <w:r>
              <w:t xml:space="preserve">Select </w:t>
            </w:r>
            <w:r>
              <w:rPr>
                <w:b/>
              </w:rPr>
              <w:t>Patients</w:t>
            </w:r>
            <w:r>
              <w:t xml:space="preserve"> from the main menu.</w:t>
            </w:r>
          </w:p>
          <w:p w14:paraId="0FA3887A" w14:textId="77777777" w:rsidR="00141448" w:rsidRDefault="00141448" w:rsidP="00141448">
            <w:pPr>
              <w:pStyle w:val="TableTextNumbersContinued"/>
            </w:pPr>
          </w:p>
          <w:p w14:paraId="0FB762E6" w14:textId="77777777" w:rsidR="00141448" w:rsidRDefault="00141448" w:rsidP="00141448">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14:paraId="0959DC56" w14:textId="77777777" w:rsidR="00141448" w:rsidRDefault="00141448" w:rsidP="00141448">
            <w:pPr>
              <w:pStyle w:val="TableTextBullet"/>
            </w:pPr>
            <w:r>
              <w:t xml:space="preserve">Displays options for processing patient-related functions. </w:t>
            </w:r>
          </w:p>
          <w:p w14:paraId="57668D5B" w14:textId="77777777" w:rsidR="00141448" w:rsidRDefault="00141448" w:rsidP="00141448">
            <w:pPr>
              <w:pStyle w:val="TableTextBullet"/>
            </w:pPr>
            <w:r>
              <w:t>Displays the Pending Task List (PTL) in the Diagnostic Tests tab.</w:t>
            </w:r>
          </w:p>
          <w:p w14:paraId="1449CC28" w14:textId="77777777" w:rsidR="00141448" w:rsidRDefault="00141448" w:rsidP="00141448">
            <w:pPr>
              <w:pStyle w:val="NotesText"/>
            </w:pPr>
          </w:p>
          <w:p w14:paraId="6E29C3D0" w14:textId="77777777" w:rsidR="00141448" w:rsidRDefault="00057948" w:rsidP="00141448">
            <w:pPr>
              <w:pStyle w:val="TableText"/>
              <w:rPr>
                <w:b/>
                <w:bCs/>
                <w:szCs w:val="18"/>
              </w:rPr>
            </w:pPr>
            <w:r>
              <w:rPr>
                <w:b/>
                <w:bCs/>
                <w:noProof/>
              </w:rPr>
              <mc:AlternateContent>
                <mc:Choice Requires="wps">
                  <w:drawing>
                    <wp:anchor distT="0" distB="0" distL="114300" distR="114300" simplePos="0" relativeHeight="251918848" behindDoc="0" locked="0" layoutInCell="1" allowOverlap="1" wp14:anchorId="48EC4460" wp14:editId="319F593D">
                      <wp:simplePos x="0" y="0"/>
                      <wp:positionH relativeFrom="column">
                        <wp:posOffset>457200</wp:posOffset>
                      </wp:positionH>
                      <wp:positionV relativeFrom="paragraph">
                        <wp:posOffset>65405</wp:posOffset>
                      </wp:positionV>
                      <wp:extent cx="3200400" cy="0"/>
                      <wp:effectExtent l="9525" t="17780" r="9525" b="10795"/>
                      <wp:wrapNone/>
                      <wp:docPr id="367" name="Line 1072" descr="P7950C4T8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95C32A" id="Line 1072" o:spid="_x0000_s1026" alt="&quot;&quot;" style="position:absolute;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Kt5AMTEAQAAbwMAAA4AAAAAAAAAAAAAAAAA&#10;LgIAAGRycy9lMm9Eb2MueG1sUEsBAi0AFAAGAAgAAAAhABdPMBLbAAAACAEAAA8AAAAAAAAAAAAA&#10;AAAAHgQAAGRycy9kb3ducmV2LnhtbFBLBQYAAAAABAAEAPMAAAAmBQAAAAA=&#10;" strokeweight="1.5pt"/>
                  </w:pict>
                </mc:Fallback>
              </mc:AlternateContent>
            </w:r>
            <w:r w:rsidR="00141448">
              <w:rPr>
                <w:b/>
                <w:bCs/>
                <w:szCs w:val="18"/>
              </w:rPr>
              <w:t>NOTES</w:t>
            </w:r>
          </w:p>
          <w:p w14:paraId="534A05FC" w14:textId="77777777" w:rsidR="00141448" w:rsidRDefault="00141448" w:rsidP="00141448">
            <w:pPr>
              <w:pStyle w:val="NotesText"/>
            </w:pPr>
          </w:p>
          <w:p w14:paraId="59D48576" w14:textId="77777777" w:rsidR="00141448" w:rsidRDefault="00141448" w:rsidP="00141448">
            <w:pPr>
              <w:pStyle w:val="NotesText"/>
            </w:pPr>
            <w:r>
              <w:t>A user may search for specific tasks using search criteria detailed in Pending Task List.</w:t>
            </w:r>
          </w:p>
        </w:tc>
      </w:tr>
      <w:tr w:rsidR="00B1359E" w14:paraId="5DA86F7C" w14:textId="77777777">
        <w:tc>
          <w:tcPr>
            <w:tcW w:w="3240" w:type="dxa"/>
          </w:tcPr>
          <w:p w14:paraId="2AB2B5EE" w14:textId="77777777" w:rsidR="00B1359E" w:rsidRDefault="00B1359E" w:rsidP="00150254">
            <w:pPr>
              <w:pStyle w:val="TableTextNumbers"/>
            </w:pPr>
            <w:r>
              <w:lastRenderedPageBreak/>
              <w:t xml:space="preserve">Click one to four check boxes in the Pending Task List to select tasks for testing. </w:t>
            </w:r>
          </w:p>
          <w:p w14:paraId="24FA39FD" w14:textId="77777777" w:rsidR="00B1359E" w:rsidRDefault="00B1359E" w:rsidP="00150254">
            <w:pPr>
              <w:pStyle w:val="TableTextNumbersContinued"/>
            </w:pPr>
          </w:p>
          <w:p w14:paraId="2E8F602D" w14:textId="77777777" w:rsidR="00B1359E" w:rsidRDefault="00B1359E" w:rsidP="00150254">
            <w:pPr>
              <w:pStyle w:val="TableTextNumbersContinued"/>
            </w:pPr>
            <w:r>
              <w:t xml:space="preserve">Click </w:t>
            </w:r>
            <w:r>
              <w:rPr>
                <w:b/>
              </w:rPr>
              <w:t>OK</w:t>
            </w:r>
            <w:r>
              <w:t>.</w:t>
            </w:r>
          </w:p>
        </w:tc>
        <w:tc>
          <w:tcPr>
            <w:tcW w:w="6120" w:type="dxa"/>
          </w:tcPr>
          <w:p w14:paraId="4D6959D7" w14:textId="77777777" w:rsidR="00B1359E" w:rsidRDefault="00B1359E" w:rsidP="00150254">
            <w:pPr>
              <w:pStyle w:val="TableTextBullet"/>
            </w:pPr>
            <w:r>
              <w:t>Displays patient names and associated task information.</w:t>
            </w:r>
          </w:p>
        </w:tc>
      </w:tr>
      <w:tr w:rsidR="002A21AE" w14:paraId="7AB2635C" w14:textId="77777777">
        <w:tc>
          <w:tcPr>
            <w:tcW w:w="3240" w:type="dxa"/>
          </w:tcPr>
          <w:p w14:paraId="21C9D4D8" w14:textId="77777777" w:rsidR="002A21AE" w:rsidRDefault="00616B9E">
            <w:pPr>
              <w:pStyle w:val="TableTextNumbers"/>
            </w:pPr>
            <w:r>
              <w:t>When QC was not performed, e</w:t>
            </w:r>
            <w:r w:rsidR="002A21AE">
              <w:t>nter a lot number for the antiserum.</w:t>
            </w:r>
          </w:p>
        </w:tc>
        <w:tc>
          <w:tcPr>
            <w:tcW w:w="6120" w:type="dxa"/>
          </w:tcPr>
          <w:p w14:paraId="56F7326B" w14:textId="77777777" w:rsidR="00BE013F" w:rsidRDefault="00BE013F" w:rsidP="00BE013F">
            <w:pPr>
              <w:pStyle w:val="TableTextBullet"/>
            </w:pPr>
            <w:r>
              <w:t xml:space="preserve">Displays reaction result grids for DAT tests for each patient. </w:t>
            </w:r>
          </w:p>
          <w:p w14:paraId="64560571" w14:textId="77777777" w:rsidR="00BE013F" w:rsidRDefault="00BE013F" w:rsidP="00BE013F">
            <w:pPr>
              <w:pStyle w:val="TableTextBullet"/>
            </w:pPr>
            <w:r>
              <w:t>Lists the AHG antisera related to the test.</w:t>
            </w:r>
          </w:p>
          <w:p w14:paraId="531BA055" w14:textId="77777777" w:rsidR="002A21AE" w:rsidRDefault="002A21AE">
            <w:pPr>
              <w:pStyle w:val="TableTextBullet"/>
            </w:pPr>
            <w:r>
              <w:t xml:space="preserve">Displays information about the lot number, including the manufacturer and expiration date. </w:t>
            </w:r>
          </w:p>
          <w:p w14:paraId="65E2C660" w14:textId="77777777" w:rsidR="002A21AE" w:rsidRDefault="002A21AE">
            <w:pPr>
              <w:pStyle w:val="TableTextBullet"/>
            </w:pPr>
            <w:r>
              <w:t>Prompts the user to select the correct antisera and possibly the control cell entry.</w:t>
            </w:r>
          </w:p>
          <w:p w14:paraId="47E1477C" w14:textId="77777777" w:rsidR="002A21AE" w:rsidRDefault="002A21AE">
            <w:pPr>
              <w:pStyle w:val="TableText"/>
            </w:pPr>
          </w:p>
          <w:p w14:paraId="28804E7E" w14:textId="77777777" w:rsidR="002A21AE" w:rsidRDefault="00057948">
            <w:pPr>
              <w:pStyle w:val="TableText"/>
              <w:rPr>
                <w:b/>
                <w:bCs/>
                <w:szCs w:val="18"/>
              </w:rPr>
            </w:pPr>
            <w:r>
              <w:rPr>
                <w:b/>
                <w:bCs/>
                <w:noProof/>
              </w:rPr>
              <mc:AlternateContent>
                <mc:Choice Requires="wps">
                  <w:drawing>
                    <wp:anchor distT="0" distB="0" distL="114300" distR="114300" simplePos="0" relativeHeight="251404800" behindDoc="0" locked="0" layoutInCell="1" allowOverlap="1" wp14:anchorId="6C95F809" wp14:editId="492F4B22">
                      <wp:simplePos x="0" y="0"/>
                      <wp:positionH relativeFrom="column">
                        <wp:posOffset>457200</wp:posOffset>
                      </wp:positionH>
                      <wp:positionV relativeFrom="paragraph">
                        <wp:posOffset>65405</wp:posOffset>
                      </wp:positionV>
                      <wp:extent cx="3200400" cy="0"/>
                      <wp:effectExtent l="9525" t="17780" r="9525" b="10795"/>
                      <wp:wrapNone/>
                      <wp:docPr id="366" name="Line 735" descr="P7965C8T8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09BDD" id="Line 735" o:spid="_x0000_s1026" alt="&quot;&quot;" style="position:absolute;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lHxqv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5D500792" w14:textId="77777777" w:rsidR="002A21AE" w:rsidRDefault="002A21AE">
            <w:pPr>
              <w:pStyle w:val="TableText"/>
            </w:pPr>
          </w:p>
          <w:p w14:paraId="623F5709" w14:textId="77777777" w:rsidR="00B14E03" w:rsidRDefault="00B14E03" w:rsidP="00B14E03">
            <w:pPr>
              <w:pStyle w:val="NotesText"/>
            </w:pPr>
            <w:r>
              <w:rPr>
                <w:rFonts w:cs="Arial"/>
                <w:vanish/>
              </w:rPr>
              <w:t xml:space="preserve">BR_41.25 </w:t>
            </w:r>
            <w:r>
              <w:t xml:space="preserve">Reagent lot numbers that are selectable for positive and negative control cells: </w:t>
            </w:r>
          </w:p>
          <w:p w14:paraId="32FADCCC" w14:textId="77777777" w:rsidR="00B14E03" w:rsidRDefault="00B14E03" w:rsidP="00B14E03">
            <w:pPr>
              <w:pStyle w:val="NotesTextBullet"/>
            </w:pPr>
            <w:r>
              <w:t>Reverse ABO Typing Cells (set)</w:t>
            </w:r>
          </w:p>
          <w:p w14:paraId="5CF5407F" w14:textId="77777777" w:rsidR="00B14E03" w:rsidRDefault="00B14E03" w:rsidP="00B14E03">
            <w:pPr>
              <w:pStyle w:val="NotesTextBullet"/>
            </w:pPr>
            <w:r>
              <w:t>A2 cell (vial)</w:t>
            </w:r>
          </w:p>
          <w:p w14:paraId="47B81F6E" w14:textId="77777777" w:rsidR="00B14E03" w:rsidRDefault="00B14E03" w:rsidP="00B14E03">
            <w:pPr>
              <w:pStyle w:val="NotesTextBullet"/>
            </w:pPr>
            <w:r>
              <w:t>Screening Cells (set)</w:t>
            </w:r>
          </w:p>
          <w:p w14:paraId="7D9A89E3" w14:textId="77777777" w:rsidR="00B14E03" w:rsidRDefault="00B14E03" w:rsidP="00B14E03">
            <w:pPr>
              <w:pStyle w:val="NotesTextBullet"/>
            </w:pPr>
            <w:r>
              <w:t>Check Cells (vial)</w:t>
            </w:r>
          </w:p>
          <w:p w14:paraId="2CA8BBE2" w14:textId="77777777" w:rsidR="00B14E03" w:rsidRDefault="00B14E03" w:rsidP="00B14E03">
            <w:pPr>
              <w:pStyle w:val="NotesTextBullet"/>
            </w:pPr>
            <w:r>
              <w:t>Panel (set)</w:t>
            </w:r>
          </w:p>
          <w:p w14:paraId="603C8EAA" w14:textId="77777777" w:rsidR="00B14E03" w:rsidRDefault="00B14E03" w:rsidP="00B14E03">
            <w:pPr>
              <w:pStyle w:val="NotesTextBullet"/>
            </w:pPr>
            <w:r>
              <w:t>Other (set)</w:t>
            </w:r>
          </w:p>
          <w:p w14:paraId="0E39E721" w14:textId="77777777" w:rsidR="00B14E03" w:rsidRDefault="00B14E03">
            <w:pPr>
              <w:pStyle w:val="NotesText"/>
              <w:rPr>
                <w:rFonts w:cs="Arial"/>
                <w:vanish/>
              </w:rPr>
            </w:pPr>
          </w:p>
          <w:p w14:paraId="5E648885" w14:textId="77777777" w:rsidR="00BE013F" w:rsidRDefault="00BE013F">
            <w:pPr>
              <w:pStyle w:val="NotesText"/>
            </w:pPr>
            <w:r>
              <w:rPr>
                <w:rFonts w:cs="Arial"/>
                <w:vanish/>
              </w:rPr>
              <w:t xml:space="preserve">BR_54.02 </w:t>
            </w:r>
            <w:r>
              <w:t>VBECS lists the AHG antisera related to the test from previously entered inventory. When VBECS displays multiple DAT tests or the full battery, the user selects each DAT serum separately by repeating this step until all are selected.</w:t>
            </w:r>
          </w:p>
          <w:p w14:paraId="51D6449C" w14:textId="77777777" w:rsidR="00BE013F" w:rsidRDefault="00BE013F">
            <w:pPr>
              <w:pStyle w:val="NotesText"/>
            </w:pPr>
          </w:p>
          <w:p w14:paraId="2412FCE6" w14:textId="77777777" w:rsidR="002A21AE" w:rsidRDefault="00BE013F">
            <w:pPr>
              <w:pStyle w:val="NotesText"/>
            </w:pPr>
            <w:r w:rsidRPr="00BE013F">
              <w:rPr>
                <w:vanish/>
                <w:szCs w:val="18"/>
              </w:rPr>
              <w:t>B</w:t>
            </w:r>
            <w:r w:rsidR="002A21AE">
              <w:rPr>
                <w:rFonts w:cs="Arial"/>
                <w:vanish/>
              </w:rPr>
              <w:t xml:space="preserve">R_54.06 </w:t>
            </w:r>
            <w:r w:rsidR="002A21AE">
              <w:t>Each positive and negative control cell requires the user to select a lot number.</w:t>
            </w:r>
          </w:p>
          <w:p w14:paraId="077CD06F" w14:textId="77777777" w:rsidR="002A21AE" w:rsidRDefault="002A21AE">
            <w:pPr>
              <w:pStyle w:val="NotesText"/>
            </w:pPr>
          </w:p>
          <w:p w14:paraId="5A54F3BC" w14:textId="77777777" w:rsidR="002A21AE" w:rsidRDefault="002A21AE">
            <w:pPr>
              <w:pStyle w:val="NotesText"/>
            </w:pPr>
            <w:r>
              <w:rPr>
                <w:vanish/>
                <w:szCs w:val="18"/>
              </w:rPr>
              <w:t>BR_54.04</w:t>
            </w:r>
            <w:r w:rsidR="009078D6">
              <w:rPr>
                <w:vanish/>
                <w:szCs w:val="18"/>
              </w:rPr>
              <w:t>,</w:t>
            </w:r>
            <w:r>
              <w:rPr>
                <w:vanish/>
                <w:szCs w:val="18"/>
              </w:rPr>
              <w:t xml:space="preserve"> BR_54.05 </w:t>
            </w:r>
            <w:r>
              <w:t>VBECS displays options to select the lot number of the antisera and check cells used for QC of the antiglobulin sera. The user must select complement check cells for Anti-Complement AHG tests.</w:t>
            </w:r>
          </w:p>
          <w:p w14:paraId="08176318" w14:textId="77777777" w:rsidR="002A21AE" w:rsidRDefault="002A21AE">
            <w:pPr>
              <w:pStyle w:val="NotesText"/>
            </w:pPr>
          </w:p>
          <w:p w14:paraId="04414380" w14:textId="77777777" w:rsidR="002A21AE" w:rsidRDefault="002A21AE">
            <w:pPr>
              <w:pStyle w:val="NotesText"/>
            </w:pPr>
            <w:r>
              <w:rPr>
                <w:rFonts w:cs="Arial"/>
                <w:vanish/>
              </w:rPr>
              <w:t>BR_28.12</w:t>
            </w:r>
            <w:r w:rsidR="004F5F28" w:rsidRPr="00323744">
              <w:rPr>
                <w:rStyle w:val="BullhornChar"/>
              </w:rPr>
              <w:t></w:t>
            </w:r>
            <w:r w:rsidR="004F5F28">
              <w:rPr>
                <w:rFonts w:ascii="Webdings" w:hAnsi="Webdings"/>
              </w:rPr>
              <w:t></w:t>
            </w:r>
            <w:r>
              <w:t xml:space="preserve">VBECS compares the </w:t>
            </w:r>
            <w:r w:rsidR="00FE64A7">
              <w:t xml:space="preserve">control cell </w:t>
            </w:r>
            <w:r>
              <w:t xml:space="preserve">results entered to those of the previous day for the same rack number and alerts the user when there is a decrease in reactivity of 2 or more within the acceptable limits for each reagent type by lot number. VBECS </w:t>
            </w:r>
            <w:r>
              <w:rPr>
                <w:noProof/>
                <w:color w:val="000000"/>
              </w:rPr>
              <w:t xml:space="preserve">emits an audible alert, warns that there is a </w:t>
            </w:r>
            <w:r w:rsidR="00191CFE">
              <w:rPr>
                <w:noProof/>
                <w:color w:val="000000"/>
              </w:rPr>
              <w:t>decrease</w:t>
            </w:r>
            <w:r>
              <w:t xml:space="preserve"> in reagent reactivity of two or more, and asks whether the user wishes to continue to use this vial.</w:t>
            </w:r>
          </w:p>
          <w:p w14:paraId="56C72651" w14:textId="77777777" w:rsidR="002A21AE" w:rsidRDefault="002A21AE">
            <w:pPr>
              <w:pStyle w:val="NotesText"/>
            </w:pPr>
          </w:p>
          <w:p w14:paraId="3115E0B2" w14:textId="77777777" w:rsidR="002A21AE" w:rsidRDefault="002A21AE">
            <w:pPr>
              <w:pStyle w:val="NotesText"/>
            </w:pPr>
            <w:r>
              <w:rPr>
                <w:b/>
              </w:rPr>
              <w:t>Yes</w:t>
            </w:r>
            <w:r>
              <w:t xml:space="preserve"> allows the user to continue, with comment. VBECS captures details for inclusion in an Exception Report (exception type: QC decrease reagent reactivity </w:t>
            </w:r>
            <w:r w:rsidR="00DE5EF3" w:rsidRPr="00DE5EF3">
              <w:rPr>
                <w:rStyle w:val="Char"/>
                <w:rFonts w:cs="Arial"/>
                <w:sz w:val="18"/>
                <w:szCs w:val="18"/>
              </w:rPr>
              <w:t>≥</w:t>
            </w:r>
            <w:r w:rsidR="00320118">
              <w:rPr>
                <w:rStyle w:val="Char"/>
                <w:rFonts w:cs="Arial"/>
                <w:sz w:val="18"/>
                <w:szCs w:val="18"/>
              </w:rPr>
              <w:t xml:space="preserve"> </w:t>
            </w:r>
            <w:r>
              <w:t xml:space="preserve">2). </w:t>
            </w:r>
          </w:p>
          <w:p w14:paraId="2F59DC64" w14:textId="77777777" w:rsidR="002A21AE" w:rsidRDefault="002A21AE">
            <w:pPr>
              <w:pStyle w:val="NotesText"/>
            </w:pPr>
          </w:p>
          <w:p w14:paraId="2568A5FF" w14:textId="77777777" w:rsidR="002A21AE" w:rsidRDefault="002A21AE">
            <w:pPr>
              <w:pStyle w:val="NotesText"/>
            </w:pPr>
            <w:r>
              <w:rPr>
                <w:b/>
              </w:rPr>
              <w:t>No</w:t>
            </w:r>
            <w:r>
              <w:t xml:space="preserve"> allows the user to reenter the lot number for this reagent type and allows the approval of this same lot number (different vial) or the entry of a new lot number, returning to the testing worksheet where the user left off. (The user may replace an individual vial that is losing its reactivity with one of the same lot number.) </w:t>
            </w:r>
          </w:p>
          <w:p w14:paraId="3AB4EDEC" w14:textId="77777777" w:rsidR="002A21AE" w:rsidRDefault="002A21AE">
            <w:pPr>
              <w:pStyle w:val="NotesText"/>
            </w:pPr>
          </w:p>
          <w:p w14:paraId="4A1838BF" w14:textId="77777777" w:rsidR="002A21AE" w:rsidRDefault="002A21AE">
            <w:pPr>
              <w:pStyle w:val="NotesText"/>
            </w:pPr>
            <w:r>
              <w:rPr>
                <w:vanish/>
                <w:szCs w:val="18"/>
              </w:rPr>
              <w:lastRenderedPageBreak/>
              <w:t xml:space="preserve">BR_28.20, BR_28.23 </w:t>
            </w:r>
            <w:r>
              <w:t>When the user-entered test results indicate a satisfactory interpretation, VBECS indicates that testing is satisfactory and allows the user to save the results. VBECS considers the affected QC incomplete until it is retested with satisfactory results. VBECS generates warnings through other options when QC testing is incomplete.</w:t>
            </w:r>
          </w:p>
          <w:p w14:paraId="1E45D234" w14:textId="77777777" w:rsidR="002A21AE" w:rsidRDefault="002A21AE">
            <w:pPr>
              <w:pStyle w:val="NotesText"/>
            </w:pPr>
          </w:p>
          <w:p w14:paraId="779DCE0F" w14:textId="77777777" w:rsidR="002A21AE" w:rsidRDefault="002A21AE">
            <w:pPr>
              <w:pStyle w:val="NotesText"/>
            </w:pPr>
            <w:r>
              <w:rPr>
                <w:rFonts w:cs="Arial"/>
                <w:vanish/>
              </w:rPr>
              <w:t>BR_28.24</w:t>
            </w:r>
            <w:r w:rsidR="004F5F28" w:rsidRPr="00323744">
              <w:rPr>
                <w:rStyle w:val="BullhornChar"/>
              </w:rPr>
              <w:t></w:t>
            </w:r>
            <w:r w:rsidR="004F5F28">
              <w:rPr>
                <w:rFonts w:ascii="Webdings" w:hAnsi="Webdings"/>
              </w:rPr>
              <w:t></w:t>
            </w:r>
            <w:r>
              <w:t xml:space="preserve">VBECS compares the expiration date of the reagent on the selected reagent to the testing date. When the reagent is expired, VBECS emits an audible alert, warns the user and asks whether he still wishes to use this reagent. </w:t>
            </w:r>
            <w:r>
              <w:rPr>
                <w:b/>
              </w:rPr>
              <w:t>Yes</w:t>
            </w:r>
            <w:r>
              <w:t xml:space="preserve"> requires a comment and captures details for inclusion in an Exception Report (exception type: expired reagent QC’d).</w:t>
            </w:r>
          </w:p>
          <w:p w14:paraId="7BF705FD" w14:textId="77777777" w:rsidR="002A21AE" w:rsidRDefault="002A21AE">
            <w:pPr>
              <w:pStyle w:val="NotesText"/>
            </w:pPr>
          </w:p>
          <w:p w14:paraId="4EADB485" w14:textId="77777777" w:rsidR="002A21AE" w:rsidRDefault="002A21AE">
            <w:pPr>
              <w:pStyle w:val="NotesText"/>
            </w:pPr>
            <w:r>
              <w:rPr>
                <w:b/>
              </w:rPr>
              <w:t>No</w:t>
            </w:r>
            <w:r>
              <w:t xml:space="preserve"> removes the unsatisfactory reagent and requires the user to enter a new one. Unsatisfactory lot numbers are never displayed. VBECS captures details for inclusion in an Exception Report (exception type: Expired reagent QC’d).</w:t>
            </w:r>
          </w:p>
          <w:p w14:paraId="78F324A9" w14:textId="77777777" w:rsidR="002A21AE" w:rsidRDefault="002A21AE">
            <w:pPr>
              <w:pStyle w:val="NotesText"/>
            </w:pPr>
          </w:p>
          <w:p w14:paraId="22D25923" w14:textId="77777777" w:rsidR="002A21AE" w:rsidRDefault="002A21AE">
            <w:pPr>
              <w:pStyle w:val="NotesText"/>
            </w:pPr>
            <w:r>
              <w:rPr>
                <w:rFonts w:cs="Arial"/>
                <w:vanish/>
              </w:rPr>
              <w:t xml:space="preserve">BR_54.01 </w:t>
            </w:r>
            <w:r>
              <w:t>When the antisera QC is required, the user verifies the lot numbers, manufacturer name, and expiration date and saves them as part of the QC record for the associated test.</w:t>
            </w:r>
            <w:r>
              <w:tab/>
            </w:r>
          </w:p>
        </w:tc>
      </w:tr>
      <w:tr w:rsidR="002A21AE" w14:paraId="54C5738A" w14:textId="77777777">
        <w:tc>
          <w:tcPr>
            <w:tcW w:w="3240" w:type="dxa"/>
          </w:tcPr>
          <w:p w14:paraId="289AC3D9" w14:textId="77777777" w:rsidR="002A21AE" w:rsidRDefault="002A21AE">
            <w:pPr>
              <w:pStyle w:val="TableTextNumbers"/>
            </w:pPr>
            <w:r>
              <w:lastRenderedPageBreak/>
              <w:t>Review and accept the selected reagent information.</w:t>
            </w:r>
          </w:p>
        </w:tc>
        <w:tc>
          <w:tcPr>
            <w:tcW w:w="6120" w:type="dxa"/>
          </w:tcPr>
          <w:p w14:paraId="54582663" w14:textId="77777777" w:rsidR="002A21AE" w:rsidRDefault="002A21AE">
            <w:pPr>
              <w:pStyle w:val="TableTextBullet"/>
            </w:pPr>
            <w:r>
              <w:t>Displays the previously entered information for user review.</w:t>
            </w:r>
          </w:p>
        </w:tc>
      </w:tr>
      <w:tr w:rsidR="002A21AE" w14:paraId="2FDAA454" w14:textId="77777777">
        <w:tc>
          <w:tcPr>
            <w:tcW w:w="3240" w:type="dxa"/>
          </w:tcPr>
          <w:p w14:paraId="35EE4B3A" w14:textId="77777777" w:rsidR="002A21AE" w:rsidRDefault="002A21AE">
            <w:pPr>
              <w:pStyle w:val="TableTextNumbers"/>
            </w:pPr>
            <w:r>
              <w:t xml:space="preserve">Respond to warnings and continue with DAT testing. </w:t>
            </w:r>
          </w:p>
        </w:tc>
        <w:tc>
          <w:tcPr>
            <w:tcW w:w="6120" w:type="dxa"/>
          </w:tcPr>
          <w:p w14:paraId="11C8BE99" w14:textId="77777777" w:rsidR="002A21AE" w:rsidRDefault="002A21AE">
            <w:pPr>
              <w:pStyle w:val="TableTextBullet"/>
            </w:pPr>
            <w:r>
              <w:t>Displays a direct data entry</w:t>
            </w:r>
            <w:r w:rsidR="00917E9F">
              <w:t xml:space="preserve"> (DDE)</w:t>
            </w:r>
            <w:r>
              <w:t xml:space="preserve"> grid for the user to enter serologic reaction results for DAT testing.</w:t>
            </w:r>
          </w:p>
          <w:p w14:paraId="5D44B4D8" w14:textId="77777777" w:rsidR="002A21AE" w:rsidRDefault="002A21AE">
            <w:pPr>
              <w:pStyle w:val="TableText"/>
            </w:pPr>
          </w:p>
        </w:tc>
      </w:tr>
      <w:tr w:rsidR="002A21AE" w14:paraId="47B57B71" w14:textId="77777777">
        <w:tc>
          <w:tcPr>
            <w:tcW w:w="3240" w:type="dxa"/>
          </w:tcPr>
          <w:p w14:paraId="71DEE688" w14:textId="77777777" w:rsidR="002A21AE" w:rsidRDefault="002A21AE">
            <w:pPr>
              <w:pStyle w:val="TableTextNumbers"/>
            </w:pPr>
            <w:r>
              <w:t>Enter valid test serologic reactions in the data entry grid.</w:t>
            </w:r>
          </w:p>
        </w:tc>
        <w:tc>
          <w:tcPr>
            <w:tcW w:w="6120" w:type="dxa"/>
          </w:tcPr>
          <w:p w14:paraId="0F3EDC35" w14:textId="77777777" w:rsidR="002A21AE" w:rsidRDefault="002A21AE">
            <w:pPr>
              <w:pStyle w:val="TableTextBullet"/>
            </w:pPr>
            <w:r>
              <w:t>Allows the user to enter valid data and test results in the interpretation cells.</w:t>
            </w:r>
          </w:p>
          <w:p w14:paraId="799286D6" w14:textId="77777777" w:rsidR="002A21AE" w:rsidRDefault="002A21AE">
            <w:pPr>
              <w:pStyle w:val="TableText"/>
            </w:pPr>
          </w:p>
          <w:p w14:paraId="054BB8AE" w14:textId="77777777" w:rsidR="002A21AE" w:rsidRDefault="00057948">
            <w:pPr>
              <w:pStyle w:val="TableText"/>
              <w:rPr>
                <w:b/>
                <w:bCs/>
                <w:szCs w:val="18"/>
              </w:rPr>
            </w:pPr>
            <w:r>
              <w:rPr>
                <w:b/>
                <w:bCs/>
                <w:noProof/>
              </w:rPr>
              <mc:AlternateContent>
                <mc:Choice Requires="wps">
                  <w:drawing>
                    <wp:anchor distT="0" distB="0" distL="114300" distR="114300" simplePos="0" relativeHeight="251407872" behindDoc="0" locked="0" layoutInCell="1" allowOverlap="1" wp14:anchorId="103279DA" wp14:editId="36622641">
                      <wp:simplePos x="0" y="0"/>
                      <wp:positionH relativeFrom="column">
                        <wp:posOffset>457200</wp:posOffset>
                      </wp:positionH>
                      <wp:positionV relativeFrom="paragraph">
                        <wp:posOffset>65405</wp:posOffset>
                      </wp:positionV>
                      <wp:extent cx="3200400" cy="0"/>
                      <wp:effectExtent l="9525" t="17780" r="9525" b="10795"/>
                      <wp:wrapNone/>
                      <wp:docPr id="365" name="Line 736" descr="P8004C14T8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2A5FF" id="Line 736" o:spid="_x0000_s1026" alt="&quot;&quot;" style="position:absolute;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Dt+WB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44F8A548" w14:textId="77777777" w:rsidR="002A21AE" w:rsidRDefault="002A21AE">
            <w:pPr>
              <w:pStyle w:val="NotesText"/>
            </w:pPr>
          </w:p>
          <w:p w14:paraId="11E98C3B" w14:textId="77777777" w:rsidR="002A21AE" w:rsidRDefault="002A21AE">
            <w:pPr>
              <w:pStyle w:val="NotesText"/>
            </w:pPr>
            <w:r>
              <w:rPr>
                <w:rFonts w:cs="Arial"/>
                <w:vanish/>
              </w:rPr>
              <w:t xml:space="preserve">BR_54.03 </w:t>
            </w:r>
            <w:r>
              <w:t xml:space="preserve">Row validation is established for the interpretation vs. reaction results pattern as </w:t>
            </w:r>
            <w:r w:rsidR="00922AD8">
              <w:t>defined by system rules</w:t>
            </w:r>
            <w:r>
              <w:rPr>
                <w:vanish/>
                <w:szCs w:val="18"/>
              </w:rPr>
              <w:t>TT_54.01 Direct Antiglobulin Testing</w:t>
            </w:r>
            <w:r>
              <w:t>.</w:t>
            </w:r>
          </w:p>
        </w:tc>
      </w:tr>
      <w:tr w:rsidR="002A21AE" w14:paraId="3AD71DB6" w14:textId="77777777">
        <w:tc>
          <w:tcPr>
            <w:tcW w:w="3240" w:type="dxa"/>
          </w:tcPr>
          <w:p w14:paraId="184D66E2" w14:textId="77777777" w:rsidR="002A21AE" w:rsidRDefault="002A21AE">
            <w:pPr>
              <w:pStyle w:val="TableTextNumbers"/>
            </w:pPr>
            <w:r>
              <w:t>Repeat Step 4 until some or all portions of the test grid for the selected patient are entered. When appropriate, enter the interpretation for the patient DAT testing.</w:t>
            </w:r>
          </w:p>
        </w:tc>
        <w:tc>
          <w:tcPr>
            <w:tcW w:w="6120" w:type="dxa"/>
          </w:tcPr>
          <w:p w14:paraId="6C70B4DB" w14:textId="77777777" w:rsidR="002A21AE" w:rsidRDefault="002A21AE">
            <w:pPr>
              <w:pStyle w:val="TableTextBullet"/>
            </w:pPr>
            <w:r>
              <w:t>Prompts the user to confirm that all results were reviewed and are acceptable.</w:t>
            </w:r>
          </w:p>
        </w:tc>
      </w:tr>
      <w:tr w:rsidR="002A21AE" w14:paraId="4BF6E31A" w14:textId="77777777">
        <w:tc>
          <w:tcPr>
            <w:tcW w:w="3240" w:type="dxa"/>
          </w:tcPr>
          <w:p w14:paraId="699B952C" w14:textId="77777777" w:rsidR="002A21AE" w:rsidRDefault="002A21AE">
            <w:pPr>
              <w:pStyle w:val="TableTextNumbers"/>
            </w:pPr>
            <w:r>
              <w:t xml:space="preserve">Enter test results in preparation for updating the database. </w:t>
            </w:r>
          </w:p>
        </w:tc>
        <w:tc>
          <w:tcPr>
            <w:tcW w:w="6120" w:type="dxa"/>
          </w:tcPr>
          <w:p w14:paraId="10B6B2D2" w14:textId="77777777" w:rsidR="002A21AE" w:rsidRDefault="002A21AE">
            <w:pPr>
              <w:pStyle w:val="TableText"/>
            </w:pPr>
          </w:p>
        </w:tc>
      </w:tr>
      <w:tr w:rsidR="002A21AE" w14:paraId="549C4C85" w14:textId="77777777">
        <w:tc>
          <w:tcPr>
            <w:tcW w:w="3240" w:type="dxa"/>
          </w:tcPr>
          <w:p w14:paraId="59733ADB" w14:textId="77777777" w:rsidR="002A21AE" w:rsidRDefault="002A21AE">
            <w:pPr>
              <w:pStyle w:val="TableTextNumbers"/>
            </w:pPr>
            <w:r>
              <w:t xml:space="preserve">Click </w:t>
            </w:r>
            <w:r>
              <w:rPr>
                <w:b/>
              </w:rPr>
              <w:t xml:space="preserve">OK </w:t>
            </w:r>
            <w:r>
              <w:t xml:space="preserve">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34A5B84E" w14:textId="77777777" w:rsidR="002A21AE" w:rsidRDefault="002A21AE">
            <w:pPr>
              <w:pStyle w:val="TableText"/>
            </w:pPr>
          </w:p>
        </w:tc>
      </w:tr>
    </w:tbl>
    <w:p w14:paraId="0B306F66" w14:textId="77777777" w:rsidR="00AC2D9E" w:rsidRDefault="00AC2D9E">
      <w:pPr>
        <w:pStyle w:val="Heading3"/>
      </w:pPr>
    </w:p>
    <w:p w14:paraId="5C2E50CE" w14:textId="77777777" w:rsidR="002A21AE" w:rsidRDefault="00AC2D9E">
      <w:pPr>
        <w:pStyle w:val="Heading3"/>
      </w:pPr>
      <w:r>
        <w:br w:type="page"/>
      </w:r>
      <w:bookmarkStart w:id="499" w:name="_Toc4588818"/>
      <w:r w:rsidR="002A21AE">
        <w:lastRenderedPageBreak/>
        <w:t>Patient Testing: Record a Crossmatch</w:t>
      </w:r>
      <w:bookmarkEnd w:id="499"/>
      <w:r w:rsidR="002A21AE">
        <w:fldChar w:fldCharType="begin"/>
      </w:r>
      <w:r w:rsidR="002A21AE">
        <w:instrText xml:space="preserve"> XE </w:instrText>
      </w:r>
      <w:r w:rsidR="00FA7E65">
        <w:instrText>“</w:instrText>
      </w:r>
      <w:r w:rsidR="002A21AE">
        <w:instrText>Patient Testing\: Record a Crossmatch</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UC_40</w:t>
      </w:r>
    </w:p>
    <w:p w14:paraId="77DEC3E0" w14:textId="77777777" w:rsidR="002A21AE" w:rsidRDefault="002A21AE" w:rsidP="00FA7E65">
      <w:pPr>
        <w:pStyle w:val="BodyText"/>
      </w:pPr>
      <w:r>
        <w:t>The user records observed results and interpretations when performing a serologic crossmatch (XM) between a patient and one or more units of blood.</w:t>
      </w:r>
    </w:p>
    <w:p w14:paraId="380D6ECC" w14:textId="77777777" w:rsidR="002A21AE" w:rsidRDefault="002A21AE">
      <w:pPr>
        <w:pStyle w:val="Heading4"/>
      </w:pPr>
      <w:r>
        <w:t>Assumptions</w:t>
      </w:r>
      <w:r>
        <w:rPr>
          <w:b w:val="0"/>
        </w:rPr>
        <w:t xml:space="preserve"> </w:t>
      </w:r>
    </w:p>
    <w:p w14:paraId="76605CDA" w14:textId="77777777" w:rsidR="002A21AE" w:rsidRDefault="002A21AE">
      <w:pPr>
        <w:pStyle w:val="ListBullet"/>
      </w:pPr>
      <w:r>
        <w:t>A CPRS order exists for a blood component that requires a serologic XM. The patient order and the selected units are in the same division as the user.</w:t>
      </w:r>
    </w:p>
    <w:p w14:paraId="69D701BE" w14:textId="77777777" w:rsidR="002A21AE" w:rsidRDefault="002A21AE">
      <w:pPr>
        <w:pStyle w:val="ListBullet"/>
      </w:pPr>
      <w:r>
        <w:t xml:space="preserve">A blood unit that contains </w:t>
      </w:r>
      <w:r w:rsidR="0058122A">
        <w:t>= &gt; 2</w:t>
      </w:r>
      <w:r w:rsidR="00B514B7">
        <w:t xml:space="preserve"> </w:t>
      </w:r>
      <w:r w:rsidR="0058122A">
        <w:t>mL red blood cell contamination</w:t>
      </w:r>
      <w:r>
        <w:t xml:space="preserve">, selected in Select Units, is acceptable for testing, according to the patient’s current or historic records and ABO/Rh. </w:t>
      </w:r>
    </w:p>
    <w:p w14:paraId="786ABB40" w14:textId="77777777" w:rsidR="002A21AE" w:rsidRDefault="002A21AE">
      <w:pPr>
        <w:pStyle w:val="ListBullet"/>
      </w:pPr>
      <w:r>
        <w:t xml:space="preserve">A current specimen was accepted and is in process for ABO/Rh and </w:t>
      </w:r>
      <w:r w:rsidR="008E2E30">
        <w:t>Antibody Screen Test (ABS)</w:t>
      </w:r>
      <w:r>
        <w:t>, or was previously completed and is not expired.</w:t>
      </w:r>
    </w:p>
    <w:p w14:paraId="319E6F4D" w14:textId="77777777" w:rsidR="002A21AE" w:rsidRDefault="002A21AE">
      <w:pPr>
        <w:pStyle w:val="Heading4"/>
      </w:pPr>
      <w:r>
        <w:t xml:space="preserve">Outcome </w:t>
      </w:r>
    </w:p>
    <w:p w14:paraId="2620A9ED" w14:textId="77777777" w:rsidR="002A21AE" w:rsidRDefault="002A21AE">
      <w:pPr>
        <w:pStyle w:val="ListBullet"/>
      </w:pPr>
      <w:r>
        <w:t xml:space="preserve">When patient Transfusion Requirements (TRs), if any, are fulfilled and a user enters a </w:t>
      </w:r>
      <w:r w:rsidR="00045ED7">
        <w:t xml:space="preserve">compatible </w:t>
      </w:r>
      <w:r>
        <w:t>XM interpretation, VBECS makes units available for generating the Blood Transfusion Record Form (BTRF), for printing the Caution Tag, and for issue to the patient.</w:t>
      </w:r>
    </w:p>
    <w:p w14:paraId="4E23B17A" w14:textId="77777777" w:rsidR="002A21AE" w:rsidRDefault="002A21AE">
      <w:pPr>
        <w:pStyle w:val="ListBullet"/>
      </w:pPr>
      <w:r>
        <w:t>When a user enters an unacceptable XM interpretation, VBECS releases the selected units from the patient.</w:t>
      </w:r>
    </w:p>
    <w:p w14:paraId="4A5C80FE" w14:textId="77777777" w:rsidR="002A21AE" w:rsidRDefault="002A21AE">
      <w:pPr>
        <w:pStyle w:val="Heading4"/>
      </w:pPr>
      <w:r>
        <w:t>Limitations and Restrictions</w:t>
      </w:r>
      <w:r>
        <w:rPr>
          <w:b w:val="0"/>
        </w:rPr>
        <w:t xml:space="preserve"> </w:t>
      </w:r>
    </w:p>
    <w:p w14:paraId="59CD6AC9" w14:textId="77777777" w:rsidR="002A21AE" w:rsidRDefault="002A21AE">
      <w:pPr>
        <w:pStyle w:val="ListBullet"/>
      </w:pPr>
      <w:r>
        <w:rPr>
          <w:rFonts w:ascii="Arial" w:hAnsi="Arial" w:cs="Arial"/>
          <w:vanish/>
          <w:spacing w:val="0"/>
          <w:sz w:val="18"/>
        </w:rPr>
        <w:t xml:space="preserve">BR_40.01 </w:t>
      </w:r>
      <w:r>
        <w:t>The specimen associated with testing must have an expiration date and time that are later than the testing date and time entered in Patient Testing: Record Patient Test Results. When this is not the case, VBECS warns that the patient specimen expired. There is no override.</w:t>
      </w:r>
    </w:p>
    <w:p w14:paraId="38868B0B" w14:textId="77777777" w:rsidR="002A21AE" w:rsidRDefault="002A21AE">
      <w:pPr>
        <w:pStyle w:val="ListBullet"/>
      </w:pPr>
      <w:r>
        <w:t xml:space="preserve">This option does not include electronic crossmatch (eXM). </w:t>
      </w:r>
    </w:p>
    <w:p w14:paraId="1C90FFA9" w14:textId="77777777" w:rsidR="002A21AE" w:rsidRDefault="002A21AE">
      <w:pPr>
        <w:pStyle w:val="Heading4"/>
      </w:pPr>
      <w:r>
        <w:t xml:space="preserve">Additional Information </w:t>
      </w:r>
    </w:p>
    <w:p w14:paraId="01ACC7FF" w14:textId="77777777" w:rsidR="002C3F2F" w:rsidRPr="002C3F2F" w:rsidRDefault="00057948" w:rsidP="002C3F2F">
      <w:pPr>
        <w:pStyle w:val="ListBullet"/>
      </w:pPr>
      <w:r>
        <w:rPr>
          <w:noProof/>
        </w:rPr>
        <w:drawing>
          <wp:inline distT="0" distB="0" distL="0" distR="0" wp14:anchorId="782CE36C" wp14:editId="6E62495A">
            <wp:extent cx="276860" cy="221615"/>
            <wp:effectExtent l="0" t="0" r="8890" b="6985"/>
            <wp:docPr id="240" name="Picture 2" descr="P8031#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 descr="P8031#yIS1">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860" cy="221615"/>
                    </a:xfrm>
                    <a:prstGeom prst="rect">
                      <a:avLst/>
                    </a:prstGeom>
                    <a:noFill/>
                    <a:ln>
                      <a:noFill/>
                    </a:ln>
                  </pic:spPr>
                </pic:pic>
              </a:graphicData>
            </a:graphic>
          </wp:inline>
        </w:drawing>
      </w:r>
      <w:r w:rsidR="002C3F2F">
        <w:t xml:space="preserve"> </w:t>
      </w:r>
      <w:r w:rsidR="002C3F2F" w:rsidRPr="00D52104">
        <w:t>AABB Standards (5.16.1)</w:t>
      </w:r>
      <w:r w:rsidR="002C3F2F">
        <w:t xml:space="preserve"> </w:t>
      </w:r>
      <w:r w:rsidR="002C3F2F" w:rsidRPr="00D52104">
        <w:t>requires a serological XM to detect ABO incompatibility</w:t>
      </w:r>
      <w:r w:rsidR="002C3F2F">
        <w:t>. A</w:t>
      </w:r>
      <w:r w:rsidR="002C3F2F" w:rsidRPr="00D52104">
        <w:t xml:space="preserve"> local policy must be in place if the site is not performing a IS AHG as part of their serologic crossmatch test, manual or using an instrument.</w:t>
      </w:r>
      <w:r w:rsidR="002C3F2F" w:rsidRPr="002C3F2F">
        <w:rPr>
          <w:vanish/>
        </w:rPr>
        <w:t xml:space="preserve"> Defect 362099</w:t>
      </w:r>
    </w:p>
    <w:p w14:paraId="5C812DB1" w14:textId="77777777" w:rsidR="002A21AE" w:rsidRDefault="002A21AE">
      <w:pPr>
        <w:pStyle w:val="ListBullet"/>
      </w:pPr>
      <w:r>
        <w:rPr>
          <w:rFonts w:ascii="Arial" w:hAnsi="Arial" w:cs="Arial"/>
          <w:vanish/>
          <w:spacing w:val="0"/>
          <w:sz w:val="18"/>
        </w:rPr>
        <w:t xml:space="preserve">BR_40.11 </w:t>
      </w:r>
      <w:r>
        <w:t>When the user saves a partially completed XM testing worklist, VBECS does not clear patient entries without results or release them from the worklist, which VBECS saves for completion later.</w:t>
      </w:r>
    </w:p>
    <w:p w14:paraId="62C2D803" w14:textId="77777777" w:rsidR="002A21AE" w:rsidRDefault="002A21AE">
      <w:pPr>
        <w:pStyle w:val="ListBullet"/>
      </w:pPr>
      <w:r>
        <w:rPr>
          <w:rFonts w:ascii="Arial" w:hAnsi="Arial" w:cs="Arial"/>
          <w:vanish/>
          <w:spacing w:val="0"/>
          <w:sz w:val="18"/>
        </w:rPr>
        <w:t xml:space="preserve">BR_40.16 </w:t>
      </w:r>
      <w:r>
        <w:t xml:space="preserve">When VBECS saves a partially completed XM worksheet, </w:t>
      </w:r>
      <w:r w:rsidR="00CC69D1">
        <w:t xml:space="preserve">it </w:t>
      </w:r>
      <w:r>
        <w:t>maintains a status of “assigned” for selected units until the serologic XM is complete. When VBECS saves the XM test. including interpretation, to the database, it assigns “crossmatched” status to the unit. The user may correct verified patient data only through Invalidate Test Results.</w:t>
      </w:r>
    </w:p>
    <w:p w14:paraId="67E5CD78" w14:textId="77777777" w:rsidR="00D47D4A" w:rsidRPr="00D47D4A" w:rsidRDefault="002A21AE">
      <w:pPr>
        <w:pStyle w:val="ListBullet"/>
        <w:rPr>
          <w:b/>
          <w:bCs/>
        </w:rPr>
      </w:pPr>
      <w:r>
        <w:t>Units that require antigen typing and/or modification to fulfill a component requirement and/or Sickle Cell testing may be crossmatched pending the completion of further processing of the unit.</w:t>
      </w:r>
      <w:r w:rsidR="00D47D4A">
        <w:rPr>
          <w:bCs/>
        </w:rPr>
        <w:t xml:space="preserve"> </w:t>
      </w:r>
    </w:p>
    <w:p w14:paraId="76086163" w14:textId="77777777" w:rsidR="002A21AE" w:rsidRDefault="00D47D4A">
      <w:pPr>
        <w:pStyle w:val="ListBullet"/>
        <w:rPr>
          <w:b/>
          <w:bCs/>
        </w:rPr>
      </w:pPr>
      <w:r>
        <w:rPr>
          <w:bCs/>
        </w:rPr>
        <w:t xml:space="preserve">VBECS does not allow users in a transfusion-only facility to save partially completed worksheets. The user must enter </w:t>
      </w:r>
      <w:r w:rsidR="00A10483" w:rsidRPr="00D47D4A">
        <w:rPr>
          <w:bCs/>
        </w:rPr>
        <w:t>interpretations</w:t>
      </w:r>
      <w:r w:rsidRPr="00D47D4A">
        <w:rPr>
          <w:bCs/>
        </w:rPr>
        <w:t xml:space="preserve"> for all selected units </w:t>
      </w:r>
      <w:r>
        <w:rPr>
          <w:bCs/>
        </w:rPr>
        <w:t>before VBECS enables</w:t>
      </w:r>
      <w:r w:rsidRPr="00D47D4A">
        <w:rPr>
          <w:bCs/>
        </w:rPr>
        <w:t xml:space="preserve"> the OK button</w:t>
      </w:r>
      <w:r>
        <w:rPr>
          <w:bCs/>
        </w:rPr>
        <w:t>.</w:t>
      </w:r>
    </w:p>
    <w:p w14:paraId="3A8D0947" w14:textId="77777777" w:rsidR="002A21AE" w:rsidRDefault="002A21AE">
      <w:pPr>
        <w:pStyle w:val="ListBullet"/>
      </w:pPr>
      <w:r>
        <w:t>XM compatibility is one aspect of blood unit compatibility. VBECS takes into account the known requirements for compatibility is taken into account when the user prints Caution Tags and BTRFs, and includes such issues as antigen negative requirements and component requirements.</w:t>
      </w:r>
    </w:p>
    <w:p w14:paraId="4FA9BB70" w14:textId="77777777" w:rsidR="002A21AE" w:rsidRDefault="002A21AE">
      <w:pPr>
        <w:pStyle w:val="Heading4"/>
        <w:rPr>
          <w:b w:val="0"/>
        </w:rPr>
      </w:pPr>
      <w:r>
        <w:lastRenderedPageBreak/>
        <w:t>User Roles with Access to This Option</w:t>
      </w:r>
      <w:r>
        <w:rPr>
          <w:b w:val="0"/>
        </w:rPr>
        <w:t xml:space="preserve"> </w:t>
      </w:r>
    </w:p>
    <w:p w14:paraId="3D889EF0" w14:textId="77777777" w:rsidR="002A21AE" w:rsidRDefault="007934CF">
      <w:pPr>
        <w:pStyle w:val="Roles"/>
      </w:pPr>
      <w:r>
        <w:t>All users</w:t>
      </w:r>
    </w:p>
    <w:p w14:paraId="3D464291" w14:textId="77777777" w:rsidR="002A21AE" w:rsidRDefault="002A21AE">
      <w:pPr>
        <w:pStyle w:val="Heading4"/>
      </w:pPr>
      <w:r>
        <w:t>Patient Testing: Record a Crossmatch</w:t>
      </w:r>
    </w:p>
    <w:p w14:paraId="4B74854C" w14:textId="77777777" w:rsidR="002A21AE" w:rsidRDefault="0044651B" w:rsidP="00FA7E65">
      <w:pPr>
        <w:pStyle w:val="BodyText"/>
      </w:pPr>
      <w:r>
        <w:t>During Select Units, the user selects a blood unit to fill a patient order.</w:t>
      </w:r>
      <w:r w:rsidR="002A21AE">
        <w:t xml:space="preserve"> If</w:t>
      </w:r>
      <w:r w:rsidR="00C170E4">
        <w:t xml:space="preserve"> </w:t>
      </w:r>
      <w:r>
        <w:t>the unit selected</w:t>
      </w:r>
      <w:r w:rsidR="002A21AE">
        <w:t xml:space="preserve"> contains red blood cells</w:t>
      </w:r>
      <w:r w:rsidR="00C170E4">
        <w:t xml:space="preserve"> and </w:t>
      </w:r>
      <w:r w:rsidR="002A21AE">
        <w:t>eXM is not enabled</w:t>
      </w:r>
      <w:r w:rsidR="00C170E4">
        <w:t xml:space="preserve">, or </w:t>
      </w:r>
      <w:r w:rsidR="002A21AE">
        <w:t xml:space="preserve">the patient </w:t>
      </w:r>
      <w:r w:rsidR="00C170E4">
        <w:t xml:space="preserve">or unit does </w:t>
      </w:r>
      <w:r w:rsidR="002A21AE">
        <w:t xml:space="preserve">not qualify, VBECS directs the user to enter serologic XM results. </w:t>
      </w:r>
      <w:r w:rsidR="00EB2CC3">
        <w:t>(When eXM is enabled, the user may select serologic XM.)</w:t>
      </w:r>
    </w:p>
    <w:p w14:paraId="502A9F88" w14:textId="77777777" w:rsidR="002A21AE" w:rsidRDefault="002A21AE" w:rsidP="00FA7E65">
      <w:pPr>
        <w:pStyle w:val="BodyText"/>
      </w:pPr>
      <w:r>
        <w:t>The user performs the serologic XM test</w:t>
      </w:r>
      <w:r w:rsidR="002064C3">
        <w:t xml:space="preserve"> and records results in VBECS. VBECS monitors the user’s entries and interpretations</w:t>
      </w:r>
      <w:r>
        <w:t xml:space="preserve"> to determine </w:t>
      </w:r>
      <w:r w:rsidR="002064C3">
        <w:t xml:space="preserve">(with the user) </w:t>
      </w:r>
      <w:r>
        <w:t>compatibility for each cr</w:t>
      </w:r>
      <w:r w:rsidR="005548CE">
        <w:t>o</w:t>
      </w:r>
      <w:r>
        <w:t>ssmatched unit.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DA7A2E" w14:paraId="630C4A13" w14:textId="77777777">
        <w:trPr>
          <w:cantSplit/>
          <w:tblHeader/>
        </w:trPr>
        <w:tc>
          <w:tcPr>
            <w:tcW w:w="3240" w:type="dxa"/>
            <w:shd w:val="pct30" w:color="auto" w:fill="FFFFFF"/>
            <w:vAlign w:val="bottom"/>
          </w:tcPr>
          <w:p w14:paraId="0E3705F7" w14:textId="77777777" w:rsidR="00DA7A2E" w:rsidRDefault="00DA7A2E" w:rsidP="00566A3F">
            <w:pPr>
              <w:pStyle w:val="TableText"/>
              <w:rPr>
                <w:b/>
              </w:rPr>
            </w:pPr>
            <w:r>
              <w:rPr>
                <w:b/>
              </w:rPr>
              <w:t>User Action</w:t>
            </w:r>
          </w:p>
        </w:tc>
        <w:tc>
          <w:tcPr>
            <w:tcW w:w="6120" w:type="dxa"/>
            <w:shd w:val="pct30" w:color="auto" w:fill="FFFFFF"/>
            <w:vAlign w:val="bottom"/>
          </w:tcPr>
          <w:p w14:paraId="6FEC9B3C" w14:textId="77777777" w:rsidR="00DA7A2E" w:rsidRDefault="00DA7A2E" w:rsidP="00566A3F">
            <w:pPr>
              <w:pStyle w:val="TableText"/>
              <w:rPr>
                <w:b/>
              </w:rPr>
            </w:pPr>
            <w:r>
              <w:rPr>
                <w:b/>
              </w:rPr>
              <w:t>VBECS</w:t>
            </w:r>
          </w:p>
        </w:tc>
      </w:tr>
      <w:tr w:rsidR="00DA7A2E" w14:paraId="176D4739" w14:textId="77777777">
        <w:tc>
          <w:tcPr>
            <w:tcW w:w="3240" w:type="dxa"/>
          </w:tcPr>
          <w:p w14:paraId="6982AFB7" w14:textId="77777777" w:rsidR="00DA7A2E" w:rsidRDefault="00DA7A2E" w:rsidP="00253B86">
            <w:pPr>
              <w:pStyle w:val="TableTextNumbers"/>
              <w:rPr>
                <w:b/>
              </w:rPr>
            </w:pPr>
            <w:r>
              <w:t xml:space="preserve">Select </w:t>
            </w:r>
            <w:r>
              <w:rPr>
                <w:b/>
              </w:rPr>
              <w:t>Patients</w:t>
            </w:r>
            <w:r>
              <w:t xml:space="preserve"> from the main menu and select </w:t>
            </w:r>
            <w:r>
              <w:rPr>
                <w:b/>
              </w:rPr>
              <w:t>Patient Testing</w:t>
            </w:r>
            <w:r>
              <w:t>, or</w:t>
            </w:r>
          </w:p>
          <w:p w14:paraId="559BE023" w14:textId="77777777" w:rsidR="00DA7A2E" w:rsidRDefault="00DA7A2E" w:rsidP="00566A3F">
            <w:pPr>
              <w:pStyle w:val="TableTextNumbersContinued"/>
            </w:pPr>
          </w:p>
          <w:p w14:paraId="57F284B1" w14:textId="77777777" w:rsidR="00DA7A2E" w:rsidRDefault="00DA7A2E" w:rsidP="00566A3F">
            <w:pPr>
              <w:pStyle w:val="TableTextNumbersContinued"/>
            </w:pPr>
            <w:r>
              <w:t xml:space="preserve">Select </w:t>
            </w:r>
            <w:r>
              <w:rPr>
                <w:b/>
              </w:rPr>
              <w:t>Blood Units</w:t>
            </w:r>
            <w:r>
              <w:t xml:space="preserve"> from the main menu and select </w:t>
            </w:r>
            <w:r>
              <w:rPr>
                <w:b/>
              </w:rPr>
              <w:t>Select Units</w:t>
            </w:r>
            <w:r>
              <w:t>.</w:t>
            </w:r>
          </w:p>
        </w:tc>
        <w:tc>
          <w:tcPr>
            <w:tcW w:w="6120" w:type="dxa"/>
          </w:tcPr>
          <w:p w14:paraId="0DD95C4F" w14:textId="77777777" w:rsidR="00DA7A2E" w:rsidRDefault="00DA7A2E" w:rsidP="00566A3F">
            <w:pPr>
              <w:pStyle w:val="TableTextBullet"/>
            </w:pPr>
            <w:r>
              <w:t>Displays options for processing patient-related functions.</w:t>
            </w:r>
          </w:p>
          <w:p w14:paraId="66B70CA7" w14:textId="77777777" w:rsidR="00DA7A2E" w:rsidRDefault="00DA7A2E" w:rsidP="00566A3F">
            <w:pPr>
              <w:pStyle w:val="TableTextBullet"/>
            </w:pPr>
            <w:r>
              <w:t>Displays the Pending Task List (PTL) and PTL search parameters in the Diagnostic Tests tab or in the Component Orders tab.</w:t>
            </w:r>
          </w:p>
        </w:tc>
      </w:tr>
      <w:tr w:rsidR="00DA7A2E" w14:paraId="226E26F7" w14:textId="77777777">
        <w:tc>
          <w:tcPr>
            <w:tcW w:w="3240" w:type="dxa"/>
          </w:tcPr>
          <w:p w14:paraId="56522667" w14:textId="77777777" w:rsidR="00DA7A2E" w:rsidRDefault="00DA7A2E" w:rsidP="00253B86">
            <w:pPr>
              <w:pStyle w:val="TableTextNumbers"/>
            </w:pPr>
            <w:r>
              <w:t xml:space="preserve">Enter or select PTL search parameters, if appropriate. </w:t>
            </w:r>
          </w:p>
          <w:p w14:paraId="28982F50" w14:textId="77777777" w:rsidR="00DA7A2E" w:rsidRDefault="00DA7A2E" w:rsidP="00566A3F">
            <w:pPr>
              <w:pStyle w:val="TableTextNumbersContinued"/>
            </w:pPr>
          </w:p>
          <w:p w14:paraId="715BC722" w14:textId="77777777" w:rsidR="00DA7A2E" w:rsidRDefault="00DA7A2E" w:rsidP="00566A3F">
            <w:pPr>
              <w:pStyle w:val="TableTextNumbersContinued"/>
            </w:pPr>
            <w:r>
              <w:t xml:space="preserve">Click the check boxes in the PTL to select </w:t>
            </w:r>
            <w:r w:rsidR="00810E0A">
              <w:t>one to four</w:t>
            </w:r>
            <w:r>
              <w:t xml:space="preserve"> component orders. </w:t>
            </w:r>
          </w:p>
          <w:p w14:paraId="68F35098" w14:textId="77777777" w:rsidR="00DA7A2E" w:rsidRDefault="00DA7A2E" w:rsidP="00566A3F">
            <w:pPr>
              <w:pStyle w:val="TableTextNumbersContinued"/>
            </w:pPr>
          </w:p>
          <w:p w14:paraId="5967D120" w14:textId="77777777" w:rsidR="00DA7A2E" w:rsidRDefault="00DA7A2E" w:rsidP="00566A3F">
            <w:pPr>
              <w:pStyle w:val="TableTextNumbersContinued"/>
            </w:pPr>
            <w:r>
              <w:t xml:space="preserve">Click </w:t>
            </w:r>
            <w:r>
              <w:rPr>
                <w:b/>
              </w:rPr>
              <w:t>OK</w:t>
            </w:r>
            <w:r>
              <w:t xml:space="preserve"> to continue.</w:t>
            </w:r>
          </w:p>
        </w:tc>
        <w:tc>
          <w:tcPr>
            <w:tcW w:w="6120" w:type="dxa"/>
          </w:tcPr>
          <w:p w14:paraId="7ECEA6C4" w14:textId="77777777" w:rsidR="00DA7A2E" w:rsidRDefault="00DA7A2E" w:rsidP="00566A3F">
            <w:pPr>
              <w:pStyle w:val="TableTextBullet"/>
            </w:pPr>
            <w:r>
              <w:t>Displays information for each component order.</w:t>
            </w:r>
          </w:p>
          <w:p w14:paraId="58E0ADDB" w14:textId="77777777" w:rsidR="00DA7A2E" w:rsidRDefault="00DA7A2E" w:rsidP="00566A3F">
            <w:pPr>
              <w:pStyle w:val="TableTextBullet"/>
            </w:pPr>
            <w:r>
              <w:t>When the selected order class is RED BLOOD CELLS and the division enabled eXM, evaluates the patient for eXM unit processing.</w:t>
            </w:r>
          </w:p>
          <w:p w14:paraId="3E7A7FC1" w14:textId="77777777" w:rsidR="00DA7A2E" w:rsidRDefault="00DA7A2E" w:rsidP="00566A3F">
            <w:pPr>
              <w:pStyle w:val="TableText"/>
            </w:pPr>
          </w:p>
          <w:p w14:paraId="7C83D6BE" w14:textId="77777777" w:rsidR="00DA7A2E" w:rsidRDefault="00057948" w:rsidP="00566A3F">
            <w:pPr>
              <w:pStyle w:val="TableText"/>
              <w:rPr>
                <w:b/>
                <w:bCs/>
                <w:szCs w:val="18"/>
              </w:rPr>
            </w:pPr>
            <w:r>
              <w:rPr>
                <w:b/>
                <w:bCs/>
                <w:noProof/>
              </w:rPr>
              <mc:AlternateContent>
                <mc:Choice Requires="wps">
                  <w:drawing>
                    <wp:anchor distT="0" distB="0" distL="114300" distR="114300" simplePos="0" relativeHeight="251835904" behindDoc="0" locked="0" layoutInCell="1" allowOverlap="1" wp14:anchorId="22DAC737" wp14:editId="4BA4F54F">
                      <wp:simplePos x="0" y="0"/>
                      <wp:positionH relativeFrom="column">
                        <wp:posOffset>457200</wp:posOffset>
                      </wp:positionH>
                      <wp:positionV relativeFrom="paragraph">
                        <wp:posOffset>65405</wp:posOffset>
                      </wp:positionV>
                      <wp:extent cx="3200400" cy="0"/>
                      <wp:effectExtent l="9525" t="17780" r="9525" b="10795"/>
                      <wp:wrapNone/>
                      <wp:docPr id="364" name="Line 1026" descr="P8059C6T8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3D167" id="Line 1026" o:spid="_x0000_s1026" alt="&quot;&quot;" style="position:absolute;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ZGeLTsMBAABvAwAADgAAAAAAAAAAAAAAAAAu&#10;AgAAZHJzL2Uyb0RvYy54bWxQSwECLQAUAAYACAAAACEAF08wEtsAAAAIAQAADwAAAAAAAAAAAAAA&#10;AAAdBAAAZHJzL2Rvd25yZXYueG1sUEsFBgAAAAAEAAQA8wAAACUFAAAAAA==&#10;" strokeweight="1.5pt"/>
                  </w:pict>
                </mc:Fallback>
              </mc:AlternateContent>
            </w:r>
            <w:r w:rsidR="00DA7A2E">
              <w:rPr>
                <w:b/>
                <w:bCs/>
                <w:szCs w:val="18"/>
              </w:rPr>
              <w:t>NOTES</w:t>
            </w:r>
          </w:p>
          <w:p w14:paraId="68D229BD" w14:textId="77777777" w:rsidR="00DA7A2E" w:rsidRDefault="00DA7A2E" w:rsidP="00566A3F">
            <w:pPr>
              <w:pStyle w:val="NotesText"/>
            </w:pPr>
          </w:p>
          <w:p w14:paraId="61981518" w14:textId="66694321" w:rsidR="00DA7A2E" w:rsidRDefault="00DA7A2E" w:rsidP="00566A3F">
            <w:pPr>
              <w:pStyle w:val="NotesText"/>
            </w:pPr>
            <w:r w:rsidRPr="00896F17">
              <w:rPr>
                <w:rStyle w:val="BullhornChar"/>
              </w:rPr>
              <w:t></w:t>
            </w:r>
            <w:r w:rsidRPr="00C51C45">
              <w:rPr>
                <w:rFonts w:ascii="Webdings" w:hAnsi="Webdings"/>
                <w:szCs w:val="22"/>
              </w:rPr>
              <w:t></w:t>
            </w:r>
            <w:r>
              <w:rPr>
                <w:rFonts w:cs="Arial"/>
                <w:szCs w:val="22"/>
              </w:rPr>
              <w:t xml:space="preserve">See </w:t>
            </w:r>
            <w:r w:rsidR="00302434">
              <w:rPr>
                <w:rFonts w:cs="Arial"/>
                <w:szCs w:val="22"/>
              </w:rPr>
              <w:fldChar w:fldCharType="begin" w:fldLock="1"/>
            </w:r>
            <w:r w:rsidR="00302434">
              <w:rPr>
                <w:rFonts w:cs="Arial"/>
                <w:szCs w:val="22"/>
              </w:rPr>
              <w:instrText xml:space="preserve"> REF _Ref126504413 \h </w:instrText>
            </w:r>
            <w:r w:rsidR="00302434">
              <w:rPr>
                <w:rFonts w:cs="Arial"/>
                <w:szCs w:val="22"/>
              </w:rPr>
            </w:r>
            <w:r w:rsidR="00302434">
              <w:rPr>
                <w:rFonts w:cs="Arial"/>
                <w:szCs w:val="22"/>
              </w:rPr>
              <w:fldChar w:fldCharType="separate"/>
            </w:r>
            <w:r w:rsidR="00AB304C">
              <w:t xml:space="preserve">Table </w:t>
            </w:r>
            <w:r w:rsidR="00AB304C">
              <w:rPr>
                <w:noProof/>
              </w:rPr>
              <w:t>11</w:t>
            </w:r>
            <w:r w:rsidR="00302434">
              <w:rPr>
                <w:rFonts w:cs="Arial"/>
                <w:szCs w:val="22"/>
              </w:rPr>
              <w:fldChar w:fldCharType="end"/>
            </w:r>
            <w:r w:rsidR="00302434">
              <w:rPr>
                <w:rFonts w:cs="Arial"/>
                <w:szCs w:val="22"/>
              </w:rPr>
              <w:t xml:space="preserve"> </w:t>
            </w:r>
            <w:r>
              <w:rPr>
                <w:rFonts w:cs="Arial"/>
                <w:szCs w:val="22"/>
              </w:rPr>
              <w:t>for alerts that may occur during this option.</w:t>
            </w:r>
          </w:p>
        </w:tc>
      </w:tr>
      <w:tr w:rsidR="00DA7A2E" w14:paraId="1835C0AF" w14:textId="77777777">
        <w:tc>
          <w:tcPr>
            <w:tcW w:w="3240" w:type="dxa"/>
          </w:tcPr>
          <w:p w14:paraId="76D9A51F" w14:textId="7776EA02" w:rsidR="00DA7A2E" w:rsidRDefault="00DA7A2E" w:rsidP="00566A3F">
            <w:pPr>
              <w:pStyle w:val="TableTextNumbers"/>
            </w:pPr>
            <w:r>
              <w:t xml:space="preserve">Click </w:t>
            </w:r>
            <w:r>
              <w:rPr>
                <w:b/>
              </w:rPr>
              <w:t>Add Units</w:t>
            </w:r>
            <w:r>
              <w:t xml:space="preserve"> to add units to the component orders selected</w:t>
            </w:r>
            <w:r w:rsidR="00436668">
              <w:t xml:space="preserve"> (</w:t>
            </w:r>
            <w:r w:rsidR="00436668">
              <w:fldChar w:fldCharType="begin" w:fldLock="1"/>
            </w:r>
            <w:r w:rsidR="00436668">
              <w:instrText xml:space="preserve"> REF _Ref126724700 \h </w:instrText>
            </w:r>
            <w:r w:rsidR="00436668">
              <w:fldChar w:fldCharType="separate"/>
            </w:r>
            <w:r w:rsidR="00AB304C">
              <w:t xml:space="preserve">Figure </w:t>
            </w:r>
            <w:r w:rsidR="00AB304C">
              <w:rPr>
                <w:noProof/>
              </w:rPr>
              <w:t>101</w:t>
            </w:r>
            <w:r w:rsidR="00436668">
              <w:fldChar w:fldCharType="end"/>
            </w:r>
            <w:r w:rsidR="00436668">
              <w:t>)</w:t>
            </w:r>
            <w:r>
              <w:t>.</w:t>
            </w:r>
          </w:p>
        </w:tc>
        <w:tc>
          <w:tcPr>
            <w:tcW w:w="6120" w:type="dxa"/>
          </w:tcPr>
          <w:p w14:paraId="16A09CD6" w14:textId="77777777" w:rsidR="00DA7A2E" w:rsidRDefault="00DA7A2E" w:rsidP="00566A3F">
            <w:pPr>
              <w:pStyle w:val="TableTextBullet"/>
            </w:pPr>
            <w:r>
              <w:t>Searches the database and displays available restricted autologous and directed units that the user must select before selecting allogeneic units of the same ICCBBA component class.</w:t>
            </w:r>
          </w:p>
          <w:p w14:paraId="2AAD79E9" w14:textId="77777777" w:rsidR="00DA7A2E" w:rsidRDefault="00DA7A2E" w:rsidP="00566A3F">
            <w:pPr>
              <w:pStyle w:val="TableTextBullet"/>
            </w:pPr>
            <w:r>
              <w:t>Displays the unit ID, product type, unit ABO/Rh, unit expiration date, specimen UID, if applicable, of units assigned to the patient in the division’s blood bank on a different specimen or order. The user may release and reassign the units to the current order.</w:t>
            </w:r>
          </w:p>
          <w:p w14:paraId="5C2AB403" w14:textId="77777777" w:rsidR="00DA7A2E" w:rsidRDefault="00DA7A2E" w:rsidP="00566A3F">
            <w:pPr>
              <w:pStyle w:val="TableTextBullet"/>
            </w:pPr>
            <w:r>
              <w:t>When eXM was configured for the facility, displays the eXM status (eligible or not eligible) for the patient.</w:t>
            </w:r>
          </w:p>
          <w:p w14:paraId="6D48C528" w14:textId="77777777" w:rsidR="00DA7A2E" w:rsidRDefault="00DA7A2E" w:rsidP="00566A3F">
            <w:pPr>
              <w:pStyle w:val="TableText"/>
            </w:pPr>
          </w:p>
          <w:p w14:paraId="1BC08938" w14:textId="77777777" w:rsidR="00DA7A2E" w:rsidRDefault="00057948" w:rsidP="00566A3F">
            <w:pPr>
              <w:pStyle w:val="TableText"/>
              <w:rPr>
                <w:b/>
                <w:bCs/>
                <w:szCs w:val="18"/>
              </w:rPr>
            </w:pPr>
            <w:r>
              <w:rPr>
                <w:b/>
                <w:bCs/>
                <w:noProof/>
              </w:rPr>
              <mc:AlternateContent>
                <mc:Choice Requires="wps">
                  <w:drawing>
                    <wp:anchor distT="0" distB="0" distL="114300" distR="114300" simplePos="0" relativeHeight="251838976" behindDoc="0" locked="0" layoutInCell="1" allowOverlap="1" wp14:anchorId="6D6FB54A" wp14:editId="1263BC08">
                      <wp:simplePos x="0" y="0"/>
                      <wp:positionH relativeFrom="column">
                        <wp:posOffset>457200</wp:posOffset>
                      </wp:positionH>
                      <wp:positionV relativeFrom="paragraph">
                        <wp:posOffset>65405</wp:posOffset>
                      </wp:positionV>
                      <wp:extent cx="3200400" cy="0"/>
                      <wp:effectExtent l="9525" t="17780" r="9525" b="10795"/>
                      <wp:wrapNone/>
                      <wp:docPr id="363" name="Line 1027" descr="P8068C8T8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D8AD3" id="Line 1027" o:spid="_x0000_s1026" alt="&quot;&quot;" style="position:absolute;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0rxmbMMBAABvAwAADgAAAAAAAAAAAAAAAAAu&#10;AgAAZHJzL2Uyb0RvYy54bWxQSwECLQAUAAYACAAAACEAF08wEtsAAAAIAQAADwAAAAAAAAAAAAAA&#10;AAAdBAAAZHJzL2Rvd25yZXYueG1sUEsFBgAAAAAEAAQA8wAAACUFAAAAAA==&#10;" strokeweight="1.5pt"/>
                  </w:pict>
                </mc:Fallback>
              </mc:AlternateContent>
            </w:r>
            <w:r w:rsidR="00DA7A2E">
              <w:rPr>
                <w:b/>
                <w:bCs/>
                <w:szCs w:val="18"/>
              </w:rPr>
              <w:t>NOTES</w:t>
            </w:r>
          </w:p>
          <w:p w14:paraId="445CDC38" w14:textId="77777777" w:rsidR="00DA7A2E" w:rsidRDefault="00DA7A2E" w:rsidP="00566A3F">
            <w:pPr>
              <w:pStyle w:val="NotesText"/>
            </w:pPr>
          </w:p>
          <w:p w14:paraId="397936FF" w14:textId="49A00663" w:rsidR="00DA7A2E" w:rsidRDefault="00DA7A2E" w:rsidP="00566A3F">
            <w:pPr>
              <w:pStyle w:val="NotesText"/>
            </w:pPr>
            <w:r w:rsidRPr="00896F17">
              <w:rPr>
                <w:rStyle w:val="BullhornChar"/>
              </w:rPr>
              <w:t></w:t>
            </w:r>
            <w:r w:rsidRPr="00C51C45">
              <w:rPr>
                <w:rFonts w:ascii="Webdings" w:hAnsi="Webdings"/>
                <w:szCs w:val="22"/>
              </w:rPr>
              <w:t></w:t>
            </w:r>
            <w:r w:rsidR="00302434">
              <w:rPr>
                <w:rFonts w:cs="Arial"/>
                <w:szCs w:val="22"/>
              </w:rPr>
              <w:t xml:space="preserve"> See </w:t>
            </w:r>
            <w:r w:rsidR="00302434">
              <w:rPr>
                <w:rFonts w:cs="Arial"/>
                <w:szCs w:val="22"/>
              </w:rPr>
              <w:fldChar w:fldCharType="begin" w:fldLock="1"/>
            </w:r>
            <w:r w:rsidR="00302434">
              <w:rPr>
                <w:rFonts w:cs="Arial"/>
                <w:szCs w:val="22"/>
              </w:rPr>
              <w:instrText xml:space="preserve"> REF _Ref126504413 \h </w:instrText>
            </w:r>
            <w:r w:rsidR="00302434">
              <w:rPr>
                <w:rFonts w:cs="Arial"/>
                <w:szCs w:val="22"/>
              </w:rPr>
            </w:r>
            <w:r w:rsidR="00302434">
              <w:rPr>
                <w:rFonts w:cs="Arial"/>
                <w:szCs w:val="22"/>
              </w:rPr>
              <w:fldChar w:fldCharType="separate"/>
            </w:r>
            <w:r w:rsidR="00AB304C">
              <w:t xml:space="preserve">Table </w:t>
            </w:r>
            <w:r w:rsidR="00AB304C">
              <w:rPr>
                <w:noProof/>
              </w:rPr>
              <w:t>11</w:t>
            </w:r>
            <w:r w:rsidR="00302434">
              <w:rPr>
                <w:rFonts w:cs="Arial"/>
                <w:szCs w:val="22"/>
              </w:rPr>
              <w:fldChar w:fldCharType="end"/>
            </w:r>
            <w:r w:rsidR="00302434">
              <w:rPr>
                <w:rFonts w:cs="Arial"/>
                <w:szCs w:val="22"/>
              </w:rPr>
              <w:t xml:space="preserve"> for alerts that may occur during this option.</w:t>
            </w:r>
          </w:p>
          <w:p w14:paraId="7A3FA8A1" w14:textId="77777777" w:rsidR="00DA7A2E" w:rsidRDefault="00DA7A2E" w:rsidP="00566A3F">
            <w:pPr>
              <w:pStyle w:val="NotesText"/>
            </w:pPr>
          </w:p>
          <w:p w14:paraId="77351A14" w14:textId="77777777" w:rsidR="00DA7A2E" w:rsidRDefault="00DA7A2E" w:rsidP="00566A3F">
            <w:pPr>
              <w:pStyle w:val="NotesText"/>
            </w:pPr>
            <w:r w:rsidRPr="00D80D5F">
              <w:rPr>
                <w:rFonts w:cs="Arial"/>
                <w:vanish/>
                <w:szCs w:val="18"/>
              </w:rPr>
              <w:t>BR_3.05</w:t>
            </w:r>
            <w:r>
              <w:rPr>
                <w:rFonts w:cs="Arial"/>
                <w:vanish/>
              </w:rPr>
              <w:t xml:space="preserve"> </w:t>
            </w:r>
            <w:r>
              <w:t xml:space="preserve">When no valid ABO exists for the patient, the user may select components, including autologous units: </w:t>
            </w:r>
          </w:p>
          <w:p w14:paraId="4B365931" w14:textId="77777777" w:rsidR="00DA7A2E" w:rsidRDefault="00DA7A2E" w:rsidP="00566A3F">
            <w:pPr>
              <w:pStyle w:val="NotesTextBullet"/>
            </w:pPr>
            <w:r>
              <w:t xml:space="preserve">For RBC or WB order: </w:t>
            </w:r>
          </w:p>
          <w:p w14:paraId="7F08843D" w14:textId="77777777" w:rsidR="00DA7A2E" w:rsidRDefault="00DA7A2E" w:rsidP="00566A3F">
            <w:pPr>
              <w:pStyle w:val="NotesTextBullet1"/>
            </w:pPr>
            <w:r>
              <w:t>Group O, Rh positive or O Rh negative RBC</w:t>
            </w:r>
          </w:p>
          <w:p w14:paraId="04C61764" w14:textId="77777777" w:rsidR="00DA7A2E" w:rsidRDefault="00DA7A2E" w:rsidP="00566A3F">
            <w:pPr>
              <w:pStyle w:val="NotesTextBullet1"/>
            </w:pPr>
            <w:r>
              <w:t>WHOLE BLOOD is not selectable</w:t>
            </w:r>
          </w:p>
          <w:p w14:paraId="3E7C1B4A" w14:textId="77777777" w:rsidR="002176A9" w:rsidRDefault="002176A9" w:rsidP="00566A3F">
            <w:pPr>
              <w:pStyle w:val="NotesTextBullet"/>
            </w:pPr>
            <w:r>
              <w:t>For FFP order:</w:t>
            </w:r>
          </w:p>
          <w:p w14:paraId="3A2FB60F" w14:textId="77777777" w:rsidR="00DA7A2E" w:rsidRDefault="002176A9" w:rsidP="002176A9">
            <w:pPr>
              <w:pStyle w:val="NotesTextBullet1"/>
            </w:pPr>
            <w:r>
              <w:t>G</w:t>
            </w:r>
            <w:r w:rsidR="00DA7A2E">
              <w:t>roup AB, Rh positive or Rh negative</w:t>
            </w:r>
            <w:r w:rsidR="00D80D5F">
              <w:t>, or not specified.</w:t>
            </w:r>
          </w:p>
          <w:p w14:paraId="53681E90" w14:textId="77777777" w:rsidR="00E74609" w:rsidRDefault="00E31C5D" w:rsidP="00E74609">
            <w:pPr>
              <w:pStyle w:val="NotesTextBullet"/>
            </w:pPr>
            <w:r>
              <w:t>Fo</w:t>
            </w:r>
            <w:r w:rsidR="00E74609">
              <w:t>r PLT order:</w:t>
            </w:r>
          </w:p>
          <w:p w14:paraId="5C694E3B" w14:textId="77777777" w:rsidR="00E74609" w:rsidRDefault="00E74609" w:rsidP="00E74609">
            <w:pPr>
              <w:pStyle w:val="NotesTextBullet1"/>
            </w:pPr>
            <w:r>
              <w:t>All units with &lt; 2 ML RBC containment are available</w:t>
            </w:r>
          </w:p>
          <w:p w14:paraId="4EEB180E" w14:textId="77777777" w:rsidR="00E74609" w:rsidRDefault="00E74609" w:rsidP="00E74609">
            <w:pPr>
              <w:pStyle w:val="NotesTextBullet1"/>
            </w:pPr>
            <w:r>
              <w:t>Units</w:t>
            </w:r>
            <w:r w:rsidRPr="001A5BC5">
              <w:t xml:space="preserve"> with </w:t>
            </w:r>
            <w:r w:rsidR="0058122A">
              <w:t xml:space="preserve">= </w:t>
            </w:r>
            <w:r w:rsidR="0058122A" w:rsidRPr="0058122A">
              <w:t>&gt;</w:t>
            </w:r>
            <w:r w:rsidRPr="001A5BC5">
              <w:t xml:space="preserve"> 2 mL RBC contamination are not available</w:t>
            </w:r>
          </w:p>
          <w:p w14:paraId="2C06BD22" w14:textId="77777777" w:rsidR="00E74609" w:rsidRDefault="00E74609" w:rsidP="00E74609">
            <w:pPr>
              <w:pStyle w:val="NotesTextBullet"/>
            </w:pPr>
            <w:r>
              <w:t>For CRYO order:</w:t>
            </w:r>
          </w:p>
          <w:p w14:paraId="19929859" w14:textId="77777777" w:rsidR="00E74609" w:rsidRDefault="00E74609" w:rsidP="00E74609">
            <w:pPr>
              <w:pStyle w:val="NotesTextBullet1"/>
            </w:pPr>
            <w:r>
              <w:t>All available units are selectable</w:t>
            </w:r>
          </w:p>
          <w:p w14:paraId="27EB3D64" w14:textId="77777777" w:rsidR="00E74609" w:rsidRDefault="00E74609" w:rsidP="00E74609">
            <w:pPr>
              <w:pStyle w:val="NotesTextBullet1"/>
              <w:numPr>
                <w:ilvl w:val="0"/>
                <w:numId w:val="0"/>
              </w:numPr>
              <w:ind w:left="1296" w:hanging="288"/>
            </w:pPr>
            <w:r>
              <w:t>For OTHER order:</w:t>
            </w:r>
          </w:p>
          <w:p w14:paraId="069EDB81" w14:textId="77777777" w:rsidR="00E74609" w:rsidRDefault="00E74609" w:rsidP="00E74609">
            <w:pPr>
              <w:pStyle w:val="NotesTextBullet1"/>
            </w:pPr>
            <w:r>
              <w:t>All units with &lt; 2 mL contamination are available</w:t>
            </w:r>
          </w:p>
          <w:p w14:paraId="1757A3DB" w14:textId="77777777" w:rsidR="00E74609" w:rsidRDefault="00E74609" w:rsidP="00E74609">
            <w:pPr>
              <w:pStyle w:val="NotesTextBullet1"/>
            </w:pPr>
            <w:r>
              <w:lastRenderedPageBreak/>
              <w:t xml:space="preserve">Units with </w:t>
            </w:r>
            <w:r w:rsidR="0058122A" w:rsidRPr="0058122A">
              <w:t>= &gt;</w:t>
            </w:r>
            <w:r w:rsidRPr="001A5BC5">
              <w:t xml:space="preserve"> 2 mL RBC contamination are not available</w:t>
            </w:r>
          </w:p>
        </w:tc>
      </w:tr>
      <w:tr w:rsidR="00DA7A2E" w14:paraId="247D6F6C" w14:textId="77777777">
        <w:tc>
          <w:tcPr>
            <w:tcW w:w="3240" w:type="dxa"/>
          </w:tcPr>
          <w:p w14:paraId="612DAEEC" w14:textId="77777777" w:rsidR="00D20E3E" w:rsidRDefault="00D20E3E" w:rsidP="00D20E3E">
            <w:pPr>
              <w:pStyle w:val="TableTextNumbers"/>
            </w:pPr>
            <w:r>
              <w:lastRenderedPageBreak/>
              <w:t xml:space="preserve">Scan or enter allogeneic units, select compatible units from the Order Group list, or click the </w:t>
            </w:r>
            <w:r w:rsidR="00A6373D">
              <w:rPr>
                <w:b/>
              </w:rPr>
              <w:t>find</w:t>
            </w:r>
            <w:r w:rsidRPr="00D509C6">
              <w:rPr>
                <w:b/>
              </w:rPr>
              <w:t xml:space="preserve"> </w:t>
            </w:r>
            <w:r w:rsidRPr="00D1100E">
              <w:t>button</w:t>
            </w:r>
            <w:r>
              <w:t xml:space="preserve"> to select units.</w:t>
            </w:r>
          </w:p>
          <w:p w14:paraId="309C7A2A" w14:textId="77777777" w:rsidR="00DA7A2E" w:rsidRDefault="00DA7A2E" w:rsidP="00566A3F">
            <w:pPr>
              <w:pStyle w:val="TableTextNumbersContinued"/>
            </w:pPr>
          </w:p>
          <w:p w14:paraId="7E075C58" w14:textId="77777777" w:rsidR="00DA7A2E" w:rsidRDefault="00DA7A2E" w:rsidP="00566A3F">
            <w:pPr>
              <w:pStyle w:val="TableTextNumbersContinued"/>
            </w:pPr>
            <w:r>
              <w:t>Enter or select a date in the Selection Date field.</w:t>
            </w:r>
            <w:r w:rsidR="00C96BF6">
              <w:t xml:space="preserve"> </w:t>
            </w:r>
            <w:r>
              <w:t>Each unit may have its own selection date and time.</w:t>
            </w:r>
          </w:p>
          <w:p w14:paraId="7B6E99EB" w14:textId="77777777" w:rsidR="00DA7A2E" w:rsidRDefault="00DA7A2E" w:rsidP="00566A3F">
            <w:pPr>
              <w:pStyle w:val="TableTextNumbersContinued"/>
            </w:pPr>
          </w:p>
          <w:p w14:paraId="5D13D99C" w14:textId="77777777" w:rsidR="00DA7A2E" w:rsidRDefault="00DA7A2E" w:rsidP="00566A3F">
            <w:pPr>
              <w:pStyle w:val="TableTextNumbersContinued"/>
            </w:pPr>
            <w:r>
              <w:t xml:space="preserve">Click </w:t>
            </w:r>
            <w:r>
              <w:rPr>
                <w:b/>
              </w:rPr>
              <w:t>Add Units</w:t>
            </w:r>
            <w:r>
              <w:t xml:space="preserve"> to display the unit selection form.</w:t>
            </w:r>
          </w:p>
          <w:p w14:paraId="5D901EA5" w14:textId="77777777" w:rsidR="00EA2FA8" w:rsidRDefault="00EA2FA8" w:rsidP="00566A3F">
            <w:pPr>
              <w:pStyle w:val="TableTextNumbersContinued"/>
            </w:pPr>
          </w:p>
          <w:p w14:paraId="7CF48C22" w14:textId="77777777" w:rsidR="00EA2FA8" w:rsidRDefault="00EA2FA8" w:rsidP="00566A3F">
            <w:pPr>
              <w:pStyle w:val="TableTextNumbersContinued"/>
            </w:pPr>
            <w:r>
              <w:t>To change the Assigned Date and Assigned By fields, click a unit in the Order Group list.</w:t>
            </w:r>
          </w:p>
        </w:tc>
        <w:tc>
          <w:tcPr>
            <w:tcW w:w="6120" w:type="dxa"/>
          </w:tcPr>
          <w:p w14:paraId="4CB0FFA5" w14:textId="77777777" w:rsidR="00DA7A2E" w:rsidRDefault="00DA7A2E" w:rsidP="00566A3F">
            <w:pPr>
              <w:pStyle w:val="TableTextBullet"/>
            </w:pPr>
            <w:r>
              <w:t>Maintains a list of selected units. The user may deselect selected units.</w:t>
            </w:r>
          </w:p>
          <w:p w14:paraId="3D4C2A31" w14:textId="77777777" w:rsidR="00DA7A2E" w:rsidRDefault="00DA7A2E" w:rsidP="00566A3F">
            <w:pPr>
              <w:pStyle w:val="TableTextBullet"/>
            </w:pPr>
            <w:r>
              <w:t>Evaluates the selected unit:</w:t>
            </w:r>
          </w:p>
          <w:p w14:paraId="2DFB7E0E" w14:textId="77777777" w:rsidR="00DA7A2E" w:rsidRDefault="00DA7A2E" w:rsidP="00566A3F">
            <w:pPr>
              <w:pStyle w:val="TableTextBullet1"/>
              <w:tabs>
                <w:tab w:val="num" w:pos="648"/>
              </w:tabs>
              <w:ind w:left="648" w:hanging="360"/>
            </w:pPr>
            <w:r>
              <w:t>For the ABO/Rh compatibility of each unit and warns the user.</w:t>
            </w:r>
          </w:p>
          <w:p w14:paraId="241FBA47" w14:textId="77777777" w:rsidR="00DA7A2E" w:rsidRDefault="00DA7A2E" w:rsidP="00566A3F">
            <w:pPr>
              <w:pStyle w:val="TableTextBullet1"/>
              <w:tabs>
                <w:tab w:val="num" w:pos="648"/>
              </w:tabs>
              <w:ind w:left="648" w:hanging="360"/>
            </w:pPr>
            <w:r>
              <w:t>Against patient Transfusion Requirements (TRs) and warns the user.</w:t>
            </w:r>
          </w:p>
          <w:p w14:paraId="7039EB70" w14:textId="77777777" w:rsidR="00DA7A2E" w:rsidRDefault="00DA7A2E" w:rsidP="00566A3F">
            <w:pPr>
              <w:pStyle w:val="TableTextBullet1"/>
              <w:tabs>
                <w:tab w:val="num" w:pos="648"/>
              </w:tabs>
              <w:ind w:left="648" w:hanging="360"/>
            </w:pPr>
            <w:r>
              <w:t>For unit antigen negative compatibility and warns the user.</w:t>
            </w:r>
          </w:p>
          <w:p w14:paraId="790A29FC" w14:textId="77777777" w:rsidR="00DA7A2E" w:rsidRDefault="00DA7A2E" w:rsidP="00566A3F">
            <w:pPr>
              <w:pStyle w:val="TableTextBullet"/>
            </w:pPr>
            <w:r>
              <w:t>Performs additional checks that include days remaining until the unit’s expiration date, the current status, assignments to other patients, quarantine and biohazard indicators, when applied, and associated special testing.</w:t>
            </w:r>
          </w:p>
          <w:p w14:paraId="15F9A3F5" w14:textId="77777777" w:rsidR="00DA7A2E" w:rsidRDefault="00DA7A2E" w:rsidP="00566A3F">
            <w:pPr>
              <w:pStyle w:val="TableText"/>
            </w:pPr>
          </w:p>
          <w:p w14:paraId="2513A7C7" w14:textId="77777777" w:rsidR="00DA7A2E" w:rsidRDefault="00057948" w:rsidP="00566A3F">
            <w:pPr>
              <w:pStyle w:val="TableText"/>
              <w:rPr>
                <w:b/>
                <w:bCs/>
                <w:szCs w:val="18"/>
              </w:rPr>
            </w:pPr>
            <w:r>
              <w:rPr>
                <w:b/>
                <w:bCs/>
                <w:noProof/>
              </w:rPr>
              <mc:AlternateContent>
                <mc:Choice Requires="wps">
                  <w:drawing>
                    <wp:anchor distT="0" distB="0" distL="114300" distR="114300" simplePos="0" relativeHeight="251842048" behindDoc="0" locked="0" layoutInCell="1" allowOverlap="1" wp14:anchorId="73043E9A" wp14:editId="17313AB4">
                      <wp:simplePos x="0" y="0"/>
                      <wp:positionH relativeFrom="column">
                        <wp:posOffset>457200</wp:posOffset>
                      </wp:positionH>
                      <wp:positionV relativeFrom="paragraph">
                        <wp:posOffset>65405</wp:posOffset>
                      </wp:positionV>
                      <wp:extent cx="3200400" cy="0"/>
                      <wp:effectExtent l="9525" t="17780" r="9525" b="10795"/>
                      <wp:wrapNone/>
                      <wp:docPr id="362" name="Line 1028" descr="P8101C10T8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F88795" id="Line 1028" o:spid="_x0000_s1026" alt="&quot;&quot;" style="position:absolute;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FpHN8nEAQAAbwMAAA4AAAAAAAAAAAAAAAAA&#10;LgIAAGRycy9lMm9Eb2MueG1sUEsBAi0AFAAGAAgAAAAhABdPMBLbAAAACAEAAA8AAAAAAAAAAAAA&#10;AAAAHgQAAGRycy9kb3ducmV2LnhtbFBLBQYAAAAABAAEAPMAAAAmBQAAAAA=&#10;" strokeweight="1.5pt"/>
                  </w:pict>
                </mc:Fallback>
              </mc:AlternateContent>
            </w:r>
            <w:r w:rsidR="00DA7A2E">
              <w:rPr>
                <w:b/>
                <w:bCs/>
                <w:szCs w:val="18"/>
              </w:rPr>
              <w:t>NOTES</w:t>
            </w:r>
          </w:p>
          <w:p w14:paraId="7E18327D" w14:textId="77777777" w:rsidR="00DA7A2E" w:rsidRDefault="00DA7A2E" w:rsidP="00566A3F">
            <w:pPr>
              <w:pStyle w:val="NotesText"/>
            </w:pPr>
          </w:p>
          <w:p w14:paraId="0155E445" w14:textId="46EC45DE" w:rsidR="00DA7A2E" w:rsidRDefault="00DA7A2E" w:rsidP="00566A3F">
            <w:pPr>
              <w:pStyle w:val="NotesText"/>
            </w:pPr>
            <w:r w:rsidRPr="00896F17">
              <w:rPr>
                <w:rStyle w:val="BullhornChar"/>
              </w:rPr>
              <w:t></w:t>
            </w:r>
            <w:r w:rsidRPr="00C51C45">
              <w:rPr>
                <w:rFonts w:ascii="Webdings" w:hAnsi="Webdings"/>
                <w:szCs w:val="22"/>
              </w:rPr>
              <w:t></w:t>
            </w:r>
            <w:r w:rsidR="00302434">
              <w:rPr>
                <w:rFonts w:cs="Arial"/>
                <w:szCs w:val="22"/>
              </w:rPr>
              <w:t xml:space="preserve"> See </w:t>
            </w:r>
            <w:r w:rsidR="00302434">
              <w:rPr>
                <w:rFonts w:cs="Arial"/>
                <w:szCs w:val="22"/>
              </w:rPr>
              <w:fldChar w:fldCharType="begin" w:fldLock="1"/>
            </w:r>
            <w:r w:rsidR="00302434">
              <w:rPr>
                <w:rFonts w:cs="Arial"/>
                <w:szCs w:val="22"/>
              </w:rPr>
              <w:instrText xml:space="preserve"> REF _Ref126504413 \h </w:instrText>
            </w:r>
            <w:r w:rsidR="00302434">
              <w:rPr>
                <w:rFonts w:cs="Arial"/>
                <w:szCs w:val="22"/>
              </w:rPr>
            </w:r>
            <w:r w:rsidR="00302434">
              <w:rPr>
                <w:rFonts w:cs="Arial"/>
                <w:szCs w:val="22"/>
              </w:rPr>
              <w:fldChar w:fldCharType="separate"/>
            </w:r>
            <w:r w:rsidR="00AB304C">
              <w:t xml:space="preserve">Table </w:t>
            </w:r>
            <w:r w:rsidR="00AB304C">
              <w:rPr>
                <w:noProof/>
              </w:rPr>
              <w:t>11</w:t>
            </w:r>
            <w:r w:rsidR="00302434">
              <w:rPr>
                <w:rFonts w:cs="Arial"/>
                <w:szCs w:val="22"/>
              </w:rPr>
              <w:fldChar w:fldCharType="end"/>
            </w:r>
            <w:r w:rsidR="00302434">
              <w:rPr>
                <w:rFonts w:cs="Arial"/>
                <w:szCs w:val="22"/>
              </w:rPr>
              <w:t xml:space="preserve"> for alerts that may occur during this option.</w:t>
            </w:r>
          </w:p>
          <w:p w14:paraId="5722CC1C" w14:textId="77777777" w:rsidR="00DA7A2E" w:rsidRDefault="00DA7A2E" w:rsidP="00566A3F">
            <w:pPr>
              <w:pStyle w:val="NotesText"/>
            </w:pPr>
          </w:p>
          <w:p w14:paraId="6CFD2BFB" w14:textId="77777777" w:rsidR="00DA7A2E" w:rsidRDefault="00DA7A2E" w:rsidP="00566A3F">
            <w:pPr>
              <w:pStyle w:val="NotesText"/>
            </w:pPr>
            <w:r>
              <w:t xml:space="preserve">The user may accept or edit the current date and time displayed; the date and time must be in the past. </w:t>
            </w:r>
          </w:p>
          <w:p w14:paraId="478D315F" w14:textId="77777777" w:rsidR="00DA7A2E" w:rsidRDefault="00DA7A2E" w:rsidP="00566A3F">
            <w:pPr>
              <w:pStyle w:val="NotesText"/>
            </w:pPr>
          </w:p>
          <w:p w14:paraId="0EABE6A7" w14:textId="77777777" w:rsidR="00DA7A2E" w:rsidRDefault="00DA7A2E" w:rsidP="00566A3F">
            <w:pPr>
              <w:pStyle w:val="NotesText"/>
            </w:pPr>
            <w:r>
              <w:rPr>
                <w:rFonts w:cs="Arial"/>
                <w:vanish/>
                <w:szCs w:val="18"/>
              </w:rPr>
              <w:t>BR_3.25</w:t>
            </w:r>
            <w:r w:rsidR="005D400B">
              <w:rPr>
                <w:rFonts w:cs="Arial"/>
                <w:vanish/>
                <w:szCs w:val="18"/>
              </w:rPr>
              <w:t>,</w:t>
            </w:r>
            <w:r>
              <w:rPr>
                <w:rFonts w:cs="Arial"/>
                <w:vanish/>
                <w:szCs w:val="18"/>
              </w:rPr>
              <w:t xml:space="preserve"> </w:t>
            </w:r>
            <w:r>
              <w:rPr>
                <w:vanish/>
                <w:szCs w:val="18"/>
              </w:rPr>
              <w:t xml:space="preserve">BR_16.13 </w:t>
            </w:r>
            <w:r>
              <w:t>Restricted (autologous or directed) unit selection eligibility criteria:</w:t>
            </w:r>
          </w:p>
          <w:p w14:paraId="73BC3FAD" w14:textId="77777777" w:rsidR="00DA7A2E" w:rsidRDefault="00DA7A2E" w:rsidP="00566A3F">
            <w:pPr>
              <w:pStyle w:val="NotesTextBullet"/>
            </w:pPr>
            <w:r>
              <w:t>Restricted For Patient ID: must match</w:t>
            </w:r>
          </w:p>
          <w:p w14:paraId="17E3B3BB" w14:textId="77777777" w:rsidR="00DA7A2E" w:rsidRDefault="00DA7A2E" w:rsidP="00566A3F">
            <w:pPr>
              <w:pStyle w:val="NotesTextBullet"/>
            </w:pPr>
            <w:r>
              <w:t>Restricted For Patient Name: must match</w:t>
            </w:r>
          </w:p>
          <w:p w14:paraId="1572C55C" w14:textId="77777777" w:rsidR="00DA7A2E" w:rsidRDefault="00DA7A2E" w:rsidP="00566A3F">
            <w:pPr>
              <w:pStyle w:val="NotesTextBullet"/>
            </w:pPr>
            <w:r>
              <w:t xml:space="preserve">Unit expiration date must be in the future. </w:t>
            </w:r>
          </w:p>
          <w:p w14:paraId="6F0A0547" w14:textId="77777777" w:rsidR="00DA7A2E" w:rsidRDefault="00DA7A2E" w:rsidP="00566A3F">
            <w:pPr>
              <w:pStyle w:val="NotesTextBullet"/>
            </w:pPr>
            <w:r>
              <w:t>Component class (transfusion only requires restriction of all units)</w:t>
            </w:r>
          </w:p>
          <w:p w14:paraId="6E797119" w14:textId="77777777" w:rsidR="00DA7A2E" w:rsidRDefault="00DA7A2E" w:rsidP="00566A3F">
            <w:pPr>
              <w:pStyle w:val="NotesTextBullet"/>
              <w:numPr>
                <w:ilvl w:val="0"/>
                <w:numId w:val="0"/>
              </w:numPr>
              <w:ind w:left="720"/>
            </w:pPr>
          </w:p>
          <w:p w14:paraId="43F4B31C" w14:textId="77777777" w:rsidR="00DA7A2E" w:rsidRDefault="00DA7A2E" w:rsidP="00566A3F">
            <w:pPr>
              <w:pStyle w:val="NotesText"/>
            </w:pPr>
            <w:r>
              <w:rPr>
                <w:rFonts w:cs="Arial"/>
                <w:vanish/>
              </w:rPr>
              <w:t xml:space="preserve">BR_3.19 </w:t>
            </w:r>
            <w:r>
              <w:t>The criteria for selecting or including an individual unit in a pick list include evaluating a unit for:</w:t>
            </w:r>
          </w:p>
          <w:p w14:paraId="1D8809B9" w14:textId="77777777" w:rsidR="00DA7A2E" w:rsidRDefault="00DA7A2E" w:rsidP="00566A3F">
            <w:pPr>
              <w:pStyle w:val="NotesTextBullet"/>
            </w:pPr>
            <w:r>
              <w:t>Considered substitutable for the order</w:t>
            </w:r>
          </w:p>
          <w:p w14:paraId="06E9BBCD" w14:textId="77777777" w:rsidR="00DA7A2E" w:rsidRDefault="00DA7A2E" w:rsidP="00566A3F">
            <w:pPr>
              <w:pStyle w:val="NotesTextBullet"/>
            </w:pPr>
            <w:r>
              <w:t>Same division as the user</w:t>
            </w:r>
          </w:p>
          <w:p w14:paraId="4FD666C9" w14:textId="77777777" w:rsidR="00DA7A2E" w:rsidRDefault="00DA7A2E" w:rsidP="00566A3F">
            <w:pPr>
              <w:pStyle w:val="NotesTextBullet"/>
            </w:pPr>
            <w:r>
              <w:t xml:space="preserve">Current location is in the blood bank </w:t>
            </w:r>
          </w:p>
          <w:p w14:paraId="6F321983" w14:textId="77777777" w:rsidR="00DA7A2E" w:rsidRDefault="00DA7A2E" w:rsidP="00566A3F">
            <w:pPr>
              <w:pStyle w:val="NotesTextBullet"/>
            </w:pPr>
            <w:r>
              <w:t>Has no quarantine indicator</w:t>
            </w:r>
          </w:p>
          <w:p w14:paraId="7009B764" w14:textId="77777777" w:rsidR="00DA7A2E" w:rsidRDefault="00DA7A2E" w:rsidP="00566A3F">
            <w:pPr>
              <w:pStyle w:val="NotesTextBullet"/>
            </w:pPr>
            <w:r>
              <w:t>Is not already assigned or crossmatched to the patient</w:t>
            </w:r>
          </w:p>
          <w:p w14:paraId="3FCD5A75" w14:textId="77777777" w:rsidR="00DA7A2E" w:rsidRDefault="00DA7A2E" w:rsidP="00566A3F">
            <w:pPr>
              <w:pStyle w:val="NotesTextBullet"/>
            </w:pPr>
            <w:r>
              <w:t>Is not “restricted” for a different patient</w:t>
            </w:r>
          </w:p>
          <w:p w14:paraId="44142055" w14:textId="77777777" w:rsidR="00DA7A2E" w:rsidRDefault="00DA7A2E" w:rsidP="00566A3F">
            <w:pPr>
              <w:pStyle w:val="NotesTextBullet"/>
            </w:pPr>
            <w:r>
              <w:t xml:space="preserve">Meets ABO/Rh compatibility requirements specific to the component class </w:t>
            </w:r>
          </w:p>
          <w:p w14:paraId="532930F3" w14:textId="77777777" w:rsidR="00DA7A2E" w:rsidRDefault="00DA7A2E" w:rsidP="00566A3F">
            <w:pPr>
              <w:pStyle w:val="NotesTextBullet"/>
            </w:pPr>
            <w:r>
              <w:t>Future expiration date</w:t>
            </w:r>
          </w:p>
          <w:p w14:paraId="6E47AC79" w14:textId="77777777" w:rsidR="00DA7A2E" w:rsidRDefault="00DA7A2E" w:rsidP="00566A3F">
            <w:pPr>
              <w:pStyle w:val="NotesText"/>
            </w:pPr>
          </w:p>
          <w:p w14:paraId="4EB081C3" w14:textId="77777777" w:rsidR="00DA7A2E" w:rsidRDefault="00DA7A2E" w:rsidP="00566A3F">
            <w:pPr>
              <w:pStyle w:val="NotesText"/>
            </w:pPr>
            <w:r>
              <w:rPr>
                <w:rFonts w:cs="Arial"/>
                <w:vanish/>
              </w:rPr>
              <w:t xml:space="preserve">BR_3.04 </w:t>
            </w:r>
            <w:r>
              <w:t>VBECS lists only ABO/Rh compatible units for selection.</w:t>
            </w:r>
          </w:p>
          <w:p w14:paraId="646EED94" w14:textId="77777777" w:rsidR="00DA7A2E" w:rsidRDefault="00DA7A2E" w:rsidP="00566A3F">
            <w:pPr>
              <w:pStyle w:val="NotesText"/>
            </w:pPr>
          </w:p>
          <w:p w14:paraId="0E9D3B82" w14:textId="77777777" w:rsidR="00DA7A2E" w:rsidRDefault="00DA7A2E" w:rsidP="00566A3F">
            <w:pPr>
              <w:pStyle w:val="NotesText"/>
            </w:pPr>
            <w:r w:rsidRPr="00CC6497">
              <w:rPr>
                <w:rFonts w:cs="Arial"/>
                <w:vanish/>
                <w:color w:val="0000FF"/>
              </w:rPr>
              <w:t>BR_3.11</w:t>
            </w:r>
            <w:r>
              <w:rPr>
                <w:rFonts w:cs="Arial"/>
                <w:vanish/>
              </w:rPr>
              <w:t xml:space="preserve"> </w:t>
            </w:r>
            <w:r>
              <w:t>When ABO/Rh results were not created for the specimen associated with the component order and the order is not designated “emergency issue,” VBECS allows the user to select units using historic records, and notifies the user that ABO/Rh testing must be performed at this division on this patient before any selected units can be issued.</w:t>
            </w:r>
          </w:p>
          <w:p w14:paraId="41009D8D" w14:textId="77777777" w:rsidR="00DA7A2E" w:rsidRDefault="00DA7A2E" w:rsidP="00566A3F">
            <w:pPr>
              <w:pStyle w:val="NotesText"/>
            </w:pPr>
          </w:p>
          <w:p w14:paraId="4FA91452" w14:textId="77777777" w:rsidR="00DA7A2E" w:rsidRDefault="00DA7A2E" w:rsidP="00566A3F">
            <w:pPr>
              <w:pStyle w:val="NotesText"/>
            </w:pPr>
            <w:r>
              <w:rPr>
                <w:rFonts w:cs="Arial"/>
                <w:vanish/>
              </w:rPr>
              <w:t xml:space="preserve">BR_3.55 </w:t>
            </w:r>
            <w:r>
              <w:t>VBECS displays and allows the user to complete a pending XM associated with a patient order without a final unit status.</w:t>
            </w:r>
          </w:p>
        </w:tc>
      </w:tr>
      <w:tr w:rsidR="00DA7A2E" w14:paraId="29B653DB" w14:textId="77777777" w:rsidTr="00414071">
        <w:trPr>
          <w:cantSplit/>
        </w:trPr>
        <w:tc>
          <w:tcPr>
            <w:tcW w:w="3240" w:type="dxa"/>
          </w:tcPr>
          <w:p w14:paraId="7B284FB5" w14:textId="77777777" w:rsidR="00DA7A2E" w:rsidRDefault="00DA7A2E" w:rsidP="00566A3F">
            <w:pPr>
              <w:pStyle w:val="TableTextNumbers"/>
            </w:pPr>
            <w:r>
              <w:lastRenderedPageBreak/>
              <w:t>Repeat Step 4 until all units are selected.</w:t>
            </w:r>
          </w:p>
        </w:tc>
        <w:tc>
          <w:tcPr>
            <w:tcW w:w="6120" w:type="dxa"/>
          </w:tcPr>
          <w:p w14:paraId="5486CBE9" w14:textId="77777777" w:rsidR="00DA7A2E" w:rsidRDefault="00DA7A2E" w:rsidP="00566A3F">
            <w:pPr>
              <w:pStyle w:val="TableTextBullet"/>
            </w:pPr>
            <w:r>
              <w:t>Requests the user to confirm the list of selected blood units.</w:t>
            </w:r>
          </w:p>
          <w:p w14:paraId="52499EE8" w14:textId="77777777" w:rsidR="00DA7A2E" w:rsidRDefault="00DA7A2E" w:rsidP="00566A3F">
            <w:pPr>
              <w:pStyle w:val="TableText"/>
            </w:pPr>
          </w:p>
          <w:p w14:paraId="6D620E62" w14:textId="77777777" w:rsidR="00DA7A2E" w:rsidRDefault="00057948" w:rsidP="00566A3F">
            <w:pPr>
              <w:pStyle w:val="TableText"/>
              <w:rPr>
                <w:b/>
                <w:bCs/>
                <w:szCs w:val="18"/>
              </w:rPr>
            </w:pPr>
            <w:r>
              <w:rPr>
                <w:b/>
                <w:bCs/>
                <w:noProof/>
              </w:rPr>
              <mc:AlternateContent>
                <mc:Choice Requires="wps">
                  <w:drawing>
                    <wp:anchor distT="0" distB="0" distL="114300" distR="114300" simplePos="0" relativeHeight="251848192" behindDoc="0" locked="0" layoutInCell="1" allowOverlap="1" wp14:anchorId="04ECEDCC" wp14:editId="56A5BCEB">
                      <wp:simplePos x="0" y="0"/>
                      <wp:positionH relativeFrom="column">
                        <wp:posOffset>457200</wp:posOffset>
                      </wp:positionH>
                      <wp:positionV relativeFrom="paragraph">
                        <wp:posOffset>65405</wp:posOffset>
                      </wp:positionV>
                      <wp:extent cx="3200400" cy="0"/>
                      <wp:effectExtent l="9525" t="17780" r="9525" b="10795"/>
                      <wp:wrapNone/>
                      <wp:docPr id="361" name="Line 1030" descr="P8132C12T8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044066" id="Line 1030" o:spid="_x0000_s1026" alt="&quot;&quot;" style="position:absolute;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JouZiDEAQAAbwMAAA4AAAAAAAAAAAAAAAAA&#10;LgIAAGRycy9lMm9Eb2MueG1sUEsBAi0AFAAGAAgAAAAhABdPMBLbAAAACAEAAA8AAAAAAAAAAAAA&#10;AAAAHgQAAGRycy9kb3ducmV2LnhtbFBLBQYAAAAABAAEAPMAAAAmBQAAAAA=&#10;" strokeweight="1.5pt"/>
                  </w:pict>
                </mc:Fallback>
              </mc:AlternateContent>
            </w:r>
            <w:r w:rsidR="00DA7A2E">
              <w:rPr>
                <w:b/>
                <w:bCs/>
                <w:szCs w:val="18"/>
              </w:rPr>
              <w:t>NOTES</w:t>
            </w:r>
          </w:p>
          <w:p w14:paraId="65CEB937" w14:textId="77777777" w:rsidR="00DA7A2E" w:rsidRDefault="00DA7A2E" w:rsidP="00566A3F">
            <w:pPr>
              <w:pStyle w:val="NotesText"/>
            </w:pPr>
          </w:p>
          <w:p w14:paraId="46A4574F" w14:textId="77777777" w:rsidR="00DA7A2E" w:rsidRDefault="00DA7A2E" w:rsidP="00566A3F">
            <w:pPr>
              <w:pStyle w:val="NotesText"/>
            </w:pPr>
            <w:r>
              <w:t>The user may select or deselect additional units.</w:t>
            </w:r>
          </w:p>
        </w:tc>
      </w:tr>
      <w:tr w:rsidR="00DA7A2E" w14:paraId="35E52BA9" w14:textId="77777777">
        <w:tc>
          <w:tcPr>
            <w:tcW w:w="3240" w:type="dxa"/>
          </w:tcPr>
          <w:p w14:paraId="52BBD073" w14:textId="77777777" w:rsidR="00DA7A2E" w:rsidRDefault="00DA7A2E" w:rsidP="00566A3F">
            <w:pPr>
              <w:pStyle w:val="TableTextNumbers"/>
            </w:pPr>
            <w:r>
              <w:t xml:space="preserve">Click </w:t>
            </w:r>
            <w:r>
              <w:rPr>
                <w:b/>
              </w:rPr>
              <w:t>OK</w:t>
            </w:r>
            <w:r>
              <w:t xml:space="preserve"> to confirm the selection of units.</w:t>
            </w:r>
          </w:p>
        </w:tc>
        <w:tc>
          <w:tcPr>
            <w:tcW w:w="6120" w:type="dxa"/>
          </w:tcPr>
          <w:p w14:paraId="0A38A818" w14:textId="77777777" w:rsidR="00DA7A2E" w:rsidRDefault="00DA7A2E" w:rsidP="00566A3F">
            <w:pPr>
              <w:pStyle w:val="TableTextBullet"/>
            </w:pPr>
            <w:r>
              <w:t xml:space="preserve">Determines whether the units are available for issue or whether they require additional modification and/or testing based on the component class. </w:t>
            </w:r>
          </w:p>
          <w:p w14:paraId="3A954BCE" w14:textId="77777777" w:rsidR="00DA7A2E" w:rsidRDefault="00DA7A2E" w:rsidP="00566A3F">
            <w:pPr>
              <w:pStyle w:val="TableTextBullet"/>
            </w:pPr>
            <w:r>
              <w:t>Updates the database, as appropriate.</w:t>
            </w:r>
          </w:p>
          <w:p w14:paraId="0C89E253" w14:textId="77777777" w:rsidR="00DA7A2E" w:rsidRDefault="00DA7A2E" w:rsidP="00566A3F">
            <w:pPr>
              <w:pStyle w:val="TableText"/>
            </w:pPr>
          </w:p>
          <w:p w14:paraId="20BC3E61" w14:textId="77777777" w:rsidR="00DA7A2E" w:rsidRDefault="00057948" w:rsidP="00566A3F">
            <w:pPr>
              <w:pStyle w:val="TableText"/>
              <w:rPr>
                <w:b/>
                <w:bCs/>
                <w:szCs w:val="18"/>
              </w:rPr>
            </w:pPr>
            <w:r>
              <w:rPr>
                <w:b/>
                <w:bCs/>
                <w:noProof/>
              </w:rPr>
              <mc:AlternateContent>
                <mc:Choice Requires="wps">
                  <w:drawing>
                    <wp:anchor distT="0" distB="0" distL="114300" distR="114300" simplePos="0" relativeHeight="251845120" behindDoc="0" locked="0" layoutInCell="1" allowOverlap="1" wp14:anchorId="00832467" wp14:editId="2F4D5FAF">
                      <wp:simplePos x="0" y="0"/>
                      <wp:positionH relativeFrom="column">
                        <wp:posOffset>457200</wp:posOffset>
                      </wp:positionH>
                      <wp:positionV relativeFrom="paragraph">
                        <wp:posOffset>65405</wp:posOffset>
                      </wp:positionV>
                      <wp:extent cx="3200400" cy="0"/>
                      <wp:effectExtent l="9525" t="17780" r="9525" b="10795"/>
                      <wp:wrapNone/>
                      <wp:docPr id="360" name="Line 1029" descr="P8140C14T8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E5224" id="Line 1029" o:spid="_x0000_s1026" alt="&quot;&quot;" style="position:absolute;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nFBsGMMBAABvAwAADgAAAAAAAAAAAAAAAAAu&#10;AgAAZHJzL2Uyb0RvYy54bWxQSwECLQAUAAYACAAAACEAF08wEtsAAAAIAQAADwAAAAAAAAAAAAAA&#10;AAAdBAAAZHJzL2Rvd25yZXYueG1sUEsFBgAAAAAEAAQA8wAAACUFAAAAAA==&#10;" strokeweight="1.5pt"/>
                  </w:pict>
                </mc:Fallback>
              </mc:AlternateContent>
            </w:r>
            <w:r w:rsidR="00DA7A2E">
              <w:rPr>
                <w:b/>
                <w:bCs/>
                <w:szCs w:val="18"/>
              </w:rPr>
              <w:t>NOTES</w:t>
            </w:r>
          </w:p>
          <w:p w14:paraId="70B1D9DD" w14:textId="77777777" w:rsidR="00DA7A2E" w:rsidRDefault="00DA7A2E" w:rsidP="00566A3F">
            <w:pPr>
              <w:pStyle w:val="NotesText"/>
            </w:pPr>
          </w:p>
          <w:p w14:paraId="71FFF030" w14:textId="0DF477A7" w:rsidR="0021365D" w:rsidRDefault="00DA7A2E" w:rsidP="0021365D">
            <w:pPr>
              <w:pStyle w:val="NotesText"/>
              <w:rPr>
                <w:rFonts w:cs="Arial"/>
                <w:szCs w:val="22"/>
              </w:rPr>
            </w:pPr>
            <w:r w:rsidRPr="00896F17">
              <w:rPr>
                <w:rStyle w:val="BullhornChar"/>
              </w:rPr>
              <w:t></w:t>
            </w:r>
            <w:r w:rsidRPr="00C51C45">
              <w:rPr>
                <w:rFonts w:ascii="Webdings" w:hAnsi="Webdings"/>
                <w:szCs w:val="22"/>
              </w:rPr>
              <w:t></w:t>
            </w:r>
            <w:r>
              <w:rPr>
                <w:rFonts w:cs="Arial"/>
                <w:szCs w:val="22"/>
              </w:rPr>
              <w:t xml:space="preserve">See </w:t>
            </w:r>
            <w:r w:rsidR="00AE2DC1">
              <w:rPr>
                <w:rFonts w:cs="Arial"/>
                <w:szCs w:val="22"/>
              </w:rPr>
              <w:fldChar w:fldCharType="begin" w:fldLock="1"/>
            </w:r>
            <w:r w:rsidR="00AE2DC1">
              <w:rPr>
                <w:rFonts w:cs="Arial"/>
                <w:szCs w:val="22"/>
              </w:rPr>
              <w:instrText xml:space="preserve"> REF _Ref126504413 \h </w:instrText>
            </w:r>
            <w:r w:rsidR="00AE2DC1">
              <w:rPr>
                <w:rFonts w:cs="Arial"/>
                <w:szCs w:val="22"/>
              </w:rPr>
            </w:r>
            <w:r w:rsidR="00AE2DC1">
              <w:rPr>
                <w:rFonts w:cs="Arial"/>
                <w:szCs w:val="22"/>
              </w:rPr>
              <w:fldChar w:fldCharType="separate"/>
            </w:r>
            <w:r w:rsidR="00AB304C">
              <w:t xml:space="preserve">Table </w:t>
            </w:r>
            <w:r w:rsidR="00AB304C">
              <w:rPr>
                <w:noProof/>
              </w:rPr>
              <w:t>11</w:t>
            </w:r>
            <w:r w:rsidR="00AE2DC1">
              <w:rPr>
                <w:rFonts w:cs="Arial"/>
                <w:szCs w:val="22"/>
              </w:rPr>
              <w:fldChar w:fldCharType="end"/>
            </w:r>
            <w:r>
              <w:rPr>
                <w:rFonts w:cs="Arial"/>
                <w:szCs w:val="22"/>
              </w:rPr>
              <w:t xml:space="preserve"> for alerts that may occur during this option.</w:t>
            </w:r>
          </w:p>
          <w:p w14:paraId="02AE59DA" w14:textId="77777777" w:rsidR="0021365D" w:rsidRDefault="0021365D" w:rsidP="0021365D">
            <w:pPr>
              <w:pStyle w:val="NotesText"/>
              <w:rPr>
                <w:rFonts w:cs="Arial"/>
                <w:szCs w:val="22"/>
              </w:rPr>
            </w:pPr>
          </w:p>
          <w:p w14:paraId="75B9AFC6" w14:textId="6ECB5BA3" w:rsidR="0021365D" w:rsidRDefault="0021365D" w:rsidP="0021365D">
            <w:pPr>
              <w:pStyle w:val="NotesText"/>
            </w:pPr>
            <w:r>
              <w:rPr>
                <w:vanish/>
                <w:szCs w:val="18"/>
              </w:rPr>
              <w:t xml:space="preserve">BR_3.17, BR_3.27 </w:t>
            </w:r>
            <w:r>
              <w:t xml:space="preserve">When eXM is enabled at the division and blood units require XM, VBECS determines whether the patient and units are eligible for eXM. All parameters listed in </w:t>
            </w:r>
            <w:r>
              <w:fldChar w:fldCharType="begin" w:fldLock="1"/>
            </w:r>
            <w:r>
              <w:instrText xml:space="preserve"> REF _Ref170004931 \h </w:instrText>
            </w:r>
            <w:r>
              <w:fldChar w:fldCharType="separate"/>
            </w:r>
            <w:r w:rsidR="00AB304C">
              <w:t xml:space="preserve">Appendix </w:t>
            </w:r>
            <w:r w:rsidR="00AB304C">
              <w:rPr>
                <w:noProof/>
              </w:rPr>
              <w:t>B</w:t>
            </w:r>
            <w:r>
              <w:fldChar w:fldCharType="end"/>
            </w:r>
            <w:r>
              <w:t xml:space="preserve">: </w:t>
            </w:r>
            <w:r>
              <w:fldChar w:fldCharType="begin" w:fldLock="1"/>
            </w:r>
            <w:r>
              <w:instrText xml:space="preserve"> REF _Ref317762597 \h </w:instrText>
            </w:r>
            <w:r>
              <w:fldChar w:fldCharType="separate"/>
            </w:r>
            <w:r w:rsidR="00AB304C">
              <w:t xml:space="preserve">Table </w:t>
            </w:r>
            <w:r w:rsidR="00AB304C">
              <w:rPr>
                <w:noProof/>
              </w:rPr>
              <w:t>23</w:t>
            </w:r>
            <w:r w:rsidR="00AB304C">
              <w:t xml:space="preserve">: </w:t>
            </w:r>
            <w:r w:rsidR="00AB304C">
              <w:rPr>
                <w:vanish/>
              </w:rPr>
              <w:t xml:space="preserve">TT_3.05 </w:t>
            </w:r>
            <w:r w:rsidR="00AB304C">
              <w:t>Rules for Electronic and Serologic Crossmatch</w:t>
            </w:r>
            <w:r>
              <w:fldChar w:fldCharType="end"/>
            </w:r>
            <w:r>
              <w:t xml:space="preserve"> must be met. Units not eligible for eXM must have serologic XM performed. </w:t>
            </w:r>
          </w:p>
          <w:p w14:paraId="6F9925E2" w14:textId="77777777" w:rsidR="0021365D" w:rsidRDefault="0021365D" w:rsidP="0021365D">
            <w:pPr>
              <w:pStyle w:val="NotesText"/>
            </w:pPr>
          </w:p>
          <w:p w14:paraId="614F2FAF" w14:textId="77777777" w:rsidR="00DA7A2E" w:rsidRPr="0021365D" w:rsidRDefault="0021365D" w:rsidP="0021365D">
            <w:pPr>
              <w:pStyle w:val="NotesText"/>
              <w:rPr>
                <w:rFonts w:cs="Arial"/>
                <w:szCs w:val="22"/>
              </w:rPr>
            </w:pPr>
            <w:r>
              <w:t>When eXM is not enabled, the user must enter serologic XM results for red blood cell classes or when a user orders an optional XM for OTHER component classes. VBECS does not change the unit status to “crossmatched,” make units available for issue, or allow the Caution Tag or BTRF to be printed until a user enters a valid XM result, unless an emergency-issued unit is being processed.</w:t>
            </w:r>
            <w:r w:rsidR="00DA7A2E">
              <w:rPr>
                <w:vanish/>
                <w:szCs w:val="18"/>
              </w:rPr>
              <w:t>BR_3.17</w:t>
            </w:r>
            <w:r w:rsidR="005D400B">
              <w:rPr>
                <w:vanish/>
                <w:szCs w:val="18"/>
              </w:rPr>
              <w:t>,</w:t>
            </w:r>
            <w:r w:rsidR="00DA7A2E">
              <w:rPr>
                <w:vanish/>
                <w:szCs w:val="18"/>
              </w:rPr>
              <w:t xml:space="preserve"> BR_3.27 </w:t>
            </w:r>
          </w:p>
        </w:tc>
      </w:tr>
      <w:tr w:rsidR="00DA7A2E" w14:paraId="71E5B9DD" w14:textId="77777777">
        <w:tc>
          <w:tcPr>
            <w:tcW w:w="3240" w:type="dxa"/>
          </w:tcPr>
          <w:p w14:paraId="33C8B921" w14:textId="77777777" w:rsidR="00DA7A2E" w:rsidRDefault="00DA7A2E" w:rsidP="00566A3F">
            <w:pPr>
              <w:pStyle w:val="TableTextNumbers"/>
            </w:pPr>
            <w:r>
              <w:t xml:space="preserve">Select another component order to continue selecting units, or exit. </w:t>
            </w:r>
          </w:p>
        </w:tc>
        <w:tc>
          <w:tcPr>
            <w:tcW w:w="6120" w:type="dxa"/>
          </w:tcPr>
          <w:p w14:paraId="3672EC73" w14:textId="77777777" w:rsidR="00DA7A2E" w:rsidRDefault="00DA7A2E" w:rsidP="00566A3F">
            <w:pPr>
              <w:pStyle w:val="TableTextBullet"/>
            </w:pPr>
            <w:r>
              <w:t>Displays orders for the next patient.</w:t>
            </w:r>
          </w:p>
        </w:tc>
      </w:tr>
      <w:tr w:rsidR="002A21AE" w14:paraId="4921E4C0" w14:textId="77777777">
        <w:tc>
          <w:tcPr>
            <w:tcW w:w="3240" w:type="dxa"/>
          </w:tcPr>
          <w:p w14:paraId="15183512" w14:textId="77777777" w:rsidR="002A21AE" w:rsidRDefault="002A21AE">
            <w:pPr>
              <w:pStyle w:val="TableTextNumbers"/>
            </w:pPr>
            <w:r>
              <w:t>Select a unit to begin entering serologic reactions.</w:t>
            </w:r>
          </w:p>
          <w:p w14:paraId="5CB8A8A9" w14:textId="77777777" w:rsidR="002A21AE" w:rsidRDefault="002A21AE">
            <w:pPr>
              <w:pStyle w:val="TableTextNumbersContinued"/>
            </w:pPr>
          </w:p>
          <w:p w14:paraId="332B5348" w14:textId="77777777" w:rsidR="002A21AE" w:rsidRDefault="002A21AE">
            <w:pPr>
              <w:pStyle w:val="TableTextNumbersContinued"/>
              <w:rPr>
                <w:b/>
                <w:bCs/>
              </w:rPr>
            </w:pPr>
            <w:r>
              <w:rPr>
                <w:rFonts w:cs="Arial"/>
                <w:vanish/>
              </w:rPr>
              <w:t xml:space="preserve">BR_2.31 </w:t>
            </w:r>
            <w:r>
              <w:t>Enter valid text, then press</w:t>
            </w:r>
            <w:r w:rsidR="00DF74D1">
              <w:t xml:space="preserve"> the</w:t>
            </w:r>
            <w:r>
              <w:t xml:space="preserve"> </w:t>
            </w:r>
            <w:r>
              <w:rPr>
                <w:b/>
              </w:rPr>
              <w:t>Enter</w:t>
            </w:r>
            <w:r w:rsidR="00DF74D1">
              <w:rPr>
                <w:b/>
              </w:rPr>
              <w:t xml:space="preserve"> key</w:t>
            </w:r>
            <w:r>
              <w:t xml:space="preserve"> to move to the next data grid comment cell.</w:t>
            </w:r>
          </w:p>
        </w:tc>
        <w:tc>
          <w:tcPr>
            <w:tcW w:w="6120" w:type="dxa"/>
          </w:tcPr>
          <w:p w14:paraId="2026BC9C" w14:textId="77777777" w:rsidR="002A21AE" w:rsidRDefault="002A21AE">
            <w:pPr>
              <w:pStyle w:val="TableTextBullet"/>
            </w:pPr>
            <w:r>
              <w:t>Allows only valid data entries in the grid reaction result and interpretation cells.</w:t>
            </w:r>
          </w:p>
          <w:p w14:paraId="091E8325" w14:textId="77777777" w:rsidR="002A21AE" w:rsidRDefault="002A21AE">
            <w:pPr>
              <w:pStyle w:val="TableTextBullet"/>
            </w:pPr>
            <w:r>
              <w:t>Restricts data entry to valid selections for testing results. All testing results and entered interpretations remain on the screen.</w:t>
            </w:r>
          </w:p>
          <w:p w14:paraId="7299C714" w14:textId="77777777" w:rsidR="007A4C70" w:rsidRDefault="007A4C70" w:rsidP="007A4C70">
            <w:pPr>
              <w:pStyle w:val="TableText"/>
            </w:pPr>
          </w:p>
          <w:p w14:paraId="107743A7" w14:textId="77777777" w:rsidR="007A4C70" w:rsidRDefault="00057948" w:rsidP="007A4C70">
            <w:pPr>
              <w:pStyle w:val="TableText"/>
              <w:rPr>
                <w:b/>
                <w:bCs/>
                <w:szCs w:val="18"/>
              </w:rPr>
            </w:pPr>
            <w:r>
              <w:rPr>
                <w:b/>
                <w:bCs/>
                <w:noProof/>
              </w:rPr>
              <mc:AlternateContent>
                <mc:Choice Requires="wps">
                  <w:drawing>
                    <wp:anchor distT="0" distB="0" distL="114300" distR="114300" simplePos="0" relativeHeight="251942400" behindDoc="0" locked="0" layoutInCell="1" allowOverlap="1" wp14:anchorId="36C517F1" wp14:editId="465C8E05">
                      <wp:simplePos x="0" y="0"/>
                      <wp:positionH relativeFrom="column">
                        <wp:posOffset>457200</wp:posOffset>
                      </wp:positionH>
                      <wp:positionV relativeFrom="paragraph">
                        <wp:posOffset>65405</wp:posOffset>
                      </wp:positionV>
                      <wp:extent cx="3200400" cy="0"/>
                      <wp:effectExtent l="9525" t="17780" r="9525" b="10795"/>
                      <wp:wrapNone/>
                      <wp:docPr id="359" name="Line 1082" descr="P8157C18T8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DFD76" id="Line 1082" o:spid="_x0000_s1026" alt="&quot;&quot;" style="position:absolute;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FbPZJXEAQAAbwMAAA4AAAAAAAAAAAAAAAAA&#10;LgIAAGRycy9lMm9Eb2MueG1sUEsBAi0AFAAGAAgAAAAhABdPMBLbAAAACAEAAA8AAAAAAAAAAAAA&#10;AAAAHgQAAGRycy9kb3ducmV2LnhtbFBLBQYAAAAABAAEAPMAAAAmBQAAAAA=&#10;" strokeweight="1.5pt"/>
                  </w:pict>
                </mc:Fallback>
              </mc:AlternateContent>
            </w:r>
            <w:r w:rsidR="007A4C70">
              <w:rPr>
                <w:b/>
                <w:bCs/>
                <w:szCs w:val="18"/>
              </w:rPr>
              <w:t>NOTES</w:t>
            </w:r>
          </w:p>
          <w:p w14:paraId="4A6B1B09" w14:textId="77777777" w:rsidR="007A4C70" w:rsidRDefault="007A4C70" w:rsidP="007A4C70">
            <w:pPr>
              <w:pStyle w:val="NotesText"/>
            </w:pPr>
          </w:p>
          <w:p w14:paraId="09F8F90C" w14:textId="77777777" w:rsidR="002A21AE" w:rsidRDefault="002A21AE">
            <w:pPr>
              <w:pStyle w:val="NotesText"/>
            </w:pPr>
            <w:r>
              <w:rPr>
                <w:vanish/>
                <w:szCs w:val="18"/>
              </w:rPr>
              <w:t>BR_40.03</w:t>
            </w:r>
            <w:r w:rsidR="005D400B">
              <w:rPr>
                <w:vanish/>
                <w:szCs w:val="18"/>
              </w:rPr>
              <w:t>,</w:t>
            </w:r>
            <w:r>
              <w:rPr>
                <w:vanish/>
                <w:szCs w:val="18"/>
              </w:rPr>
              <w:t xml:space="preserve"> BR_40.12 </w:t>
            </w:r>
            <w:r>
              <w:t>During XM result data entry within a given row, the IS phase result must be entered first. Once the IS phase has been entered, data entry may progress and an observed result or NT entered in each phase before the XM interpretation is validated by VBECS.</w:t>
            </w:r>
          </w:p>
          <w:p w14:paraId="2F76ED7E" w14:textId="77777777" w:rsidR="002A21AE" w:rsidRDefault="002A21AE">
            <w:pPr>
              <w:pStyle w:val="NotesText"/>
            </w:pPr>
          </w:p>
          <w:p w14:paraId="0081D418" w14:textId="77777777" w:rsidR="002A21AE" w:rsidRDefault="002A21AE">
            <w:pPr>
              <w:pStyle w:val="NotesText"/>
            </w:pPr>
            <w:r>
              <w:t xml:space="preserve">XM interpretations must be consistent with observed test results based on system rules </w:t>
            </w:r>
            <w:r>
              <w:rPr>
                <w:vanish/>
                <w:szCs w:val="18"/>
              </w:rPr>
              <w:t xml:space="preserve">TT_40.01 Patient Crossmatch Testing </w:t>
            </w:r>
            <w:r>
              <w:t xml:space="preserve">for the testing method. Discrepancies must be resolved before VBECS can verify results and add them to the database. The user may </w:t>
            </w:r>
            <w:r w:rsidR="00EF69E2">
              <w:t>reenter</w:t>
            </w:r>
            <w:r>
              <w:t xml:space="preserve"> valid results or delete entries and start over.</w:t>
            </w:r>
          </w:p>
          <w:p w14:paraId="0FB23D9E" w14:textId="77777777" w:rsidR="002A21AE" w:rsidRDefault="002A21AE">
            <w:pPr>
              <w:pStyle w:val="NotesText"/>
              <w:ind w:left="0"/>
            </w:pPr>
          </w:p>
          <w:p w14:paraId="43F27FE9" w14:textId="77777777" w:rsidR="002A21AE" w:rsidRDefault="002A21AE">
            <w:pPr>
              <w:pStyle w:val="NotesText"/>
            </w:pPr>
            <w:r>
              <w:rPr>
                <w:rFonts w:cs="Arial"/>
                <w:vanish/>
              </w:rPr>
              <w:t xml:space="preserve">BR_40.15 </w:t>
            </w:r>
            <w:r>
              <w:t>If the patient has a history of a clinically significant antibody or a persistent antigen negative requirement, VBECS warns that the patient is not eligible for IS XM and instructs the user to perform the antiglobulin transaction XM on the patient. There is no override. The user must complete all phases of the XM test.</w:t>
            </w:r>
          </w:p>
        </w:tc>
      </w:tr>
      <w:tr w:rsidR="002A21AE" w14:paraId="4A7FF45B" w14:textId="77777777">
        <w:tc>
          <w:tcPr>
            <w:tcW w:w="3240" w:type="dxa"/>
          </w:tcPr>
          <w:p w14:paraId="3451667A" w14:textId="77777777" w:rsidR="002A21AE" w:rsidRDefault="002A21AE">
            <w:pPr>
              <w:pStyle w:val="TableTextNumbers"/>
            </w:pPr>
            <w:r>
              <w:lastRenderedPageBreak/>
              <w:t xml:space="preserve">Repeat Step 3 until the test grid for the selected patient is complete. </w:t>
            </w:r>
          </w:p>
          <w:p w14:paraId="31D53029" w14:textId="77777777" w:rsidR="002A21AE" w:rsidRDefault="002A21AE">
            <w:pPr>
              <w:pStyle w:val="TableTextNumbersContinued"/>
            </w:pPr>
          </w:p>
          <w:p w14:paraId="5AA56691" w14:textId="77777777" w:rsidR="002A21AE" w:rsidRDefault="002A21AE">
            <w:pPr>
              <w:pStyle w:val="TableTextNumbersContinued"/>
            </w:pPr>
            <w:r>
              <w:t>Enter the interpretation for the patient XM test, if desired.</w:t>
            </w:r>
          </w:p>
          <w:p w14:paraId="165CA211" w14:textId="77777777" w:rsidR="002A21AE" w:rsidRDefault="002A21AE">
            <w:pPr>
              <w:pStyle w:val="TableTextNumbersContinued"/>
            </w:pPr>
          </w:p>
          <w:p w14:paraId="7AC23466" w14:textId="77777777" w:rsidR="002A21AE" w:rsidRDefault="002A21AE">
            <w:pPr>
              <w:pStyle w:val="TableTextNumbersContinued"/>
              <w:rPr>
                <w:b/>
                <w:bCs/>
              </w:rPr>
            </w:pPr>
            <w:r>
              <w:t>Respond to warnings and enter comments, when indicated.</w:t>
            </w:r>
          </w:p>
        </w:tc>
        <w:tc>
          <w:tcPr>
            <w:tcW w:w="6120" w:type="dxa"/>
          </w:tcPr>
          <w:p w14:paraId="07611F2D" w14:textId="77777777" w:rsidR="002A21AE" w:rsidRDefault="002A21AE">
            <w:pPr>
              <w:pStyle w:val="TableTextBullet"/>
            </w:pPr>
            <w:r>
              <w:t>Verifies that all appropriate test results have been entered for the patient and the selected unit(s).</w:t>
            </w:r>
          </w:p>
          <w:p w14:paraId="33F5A70A" w14:textId="77777777" w:rsidR="002A21AE" w:rsidRDefault="002A21AE">
            <w:pPr>
              <w:pStyle w:val="TableTextBullet"/>
            </w:pPr>
            <w:r>
              <w:t xml:space="preserve">Displays various warnings based on rules. </w:t>
            </w:r>
          </w:p>
          <w:p w14:paraId="7215EC1E" w14:textId="77777777" w:rsidR="002A21AE" w:rsidRDefault="002A21AE">
            <w:pPr>
              <w:pStyle w:val="TableTextBullet"/>
            </w:pPr>
            <w:r>
              <w:t>Prompts the user to confirm that results were reviewed and are acceptable.</w:t>
            </w:r>
          </w:p>
          <w:p w14:paraId="4E1031A9" w14:textId="77777777" w:rsidR="002A21AE" w:rsidRDefault="002A21AE">
            <w:pPr>
              <w:pStyle w:val="TableText"/>
            </w:pPr>
          </w:p>
          <w:p w14:paraId="5E4DF67C" w14:textId="77777777" w:rsidR="002A21AE" w:rsidRDefault="00057948">
            <w:pPr>
              <w:pStyle w:val="TableText"/>
              <w:rPr>
                <w:b/>
                <w:bCs/>
                <w:szCs w:val="18"/>
              </w:rPr>
            </w:pPr>
            <w:r>
              <w:rPr>
                <w:b/>
                <w:bCs/>
                <w:noProof/>
              </w:rPr>
              <mc:AlternateContent>
                <mc:Choice Requires="wps">
                  <w:drawing>
                    <wp:anchor distT="0" distB="0" distL="114300" distR="114300" simplePos="0" relativeHeight="251401728" behindDoc="0" locked="0" layoutInCell="1" allowOverlap="1" wp14:anchorId="6B91A046" wp14:editId="67C140A9">
                      <wp:simplePos x="0" y="0"/>
                      <wp:positionH relativeFrom="column">
                        <wp:posOffset>457200</wp:posOffset>
                      </wp:positionH>
                      <wp:positionV relativeFrom="paragraph">
                        <wp:posOffset>65405</wp:posOffset>
                      </wp:positionV>
                      <wp:extent cx="3200400" cy="0"/>
                      <wp:effectExtent l="9525" t="17780" r="9525" b="10795"/>
                      <wp:wrapNone/>
                      <wp:docPr id="358" name="Line 733" descr="P8174C20T8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1BD3F" id="Line 733" o:spid="_x0000_s1026" alt="&quot;&quot;" style="position:absolute;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9EcIM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6FF5E7EF" w14:textId="77777777" w:rsidR="002A21AE" w:rsidRDefault="002A21AE">
            <w:pPr>
              <w:pStyle w:val="NotesText"/>
            </w:pPr>
          </w:p>
          <w:p w14:paraId="47CFA373" w14:textId="77777777" w:rsidR="002A21AE" w:rsidRDefault="002A21AE">
            <w:pPr>
              <w:pStyle w:val="NotesText"/>
            </w:pPr>
            <w:r>
              <w:rPr>
                <w:rFonts w:cs="Arial"/>
                <w:vanish/>
                <w:szCs w:val="18"/>
              </w:rPr>
              <w:t>BR_40.18</w:t>
            </w:r>
            <w:r w:rsidR="005D400B">
              <w:rPr>
                <w:rFonts w:cs="Arial"/>
                <w:vanish/>
                <w:szCs w:val="18"/>
              </w:rPr>
              <w:t>,</w:t>
            </w:r>
            <w:r>
              <w:rPr>
                <w:rFonts w:cs="Arial"/>
                <w:vanish/>
                <w:szCs w:val="18"/>
              </w:rPr>
              <w:t xml:space="preserve"> </w:t>
            </w:r>
            <w:r>
              <w:rPr>
                <w:vanish/>
                <w:szCs w:val="18"/>
              </w:rPr>
              <w:t>BR_40.20</w:t>
            </w:r>
            <w:r w:rsidR="004F5F28" w:rsidRPr="00323744">
              <w:rPr>
                <w:rStyle w:val="BullhornChar"/>
              </w:rPr>
              <w:t></w:t>
            </w:r>
            <w:r w:rsidR="004F5F28">
              <w:rPr>
                <w:rFonts w:ascii="Webdings" w:hAnsi="Webdings"/>
              </w:rPr>
              <w:t></w:t>
            </w:r>
            <w:r w:rsidR="004F5F28" w:rsidRPr="00263B24">
              <w:t>Wh</w:t>
            </w:r>
            <w:r w:rsidR="004F5F28">
              <w:t>en</w:t>
            </w:r>
            <w:r>
              <w:t xml:space="preserve"> VBECS emits an audible alert and requires a comment, it captures details for inclusion in an Exception Report (exception type: </w:t>
            </w:r>
            <w:r w:rsidR="00427BD6">
              <w:t>inconclusive crossmatch</w:t>
            </w:r>
            <w:r>
              <w:t>).</w:t>
            </w:r>
          </w:p>
          <w:p w14:paraId="03BE54B6" w14:textId="77777777" w:rsidR="002A21AE" w:rsidRDefault="002A21AE">
            <w:pPr>
              <w:pStyle w:val="NotesText"/>
            </w:pPr>
          </w:p>
          <w:p w14:paraId="37C48D1B" w14:textId="77777777" w:rsidR="002A21AE" w:rsidRDefault="002A21AE">
            <w:pPr>
              <w:pStyle w:val="NotesText"/>
            </w:pPr>
            <w:r>
              <w:rPr>
                <w:rFonts w:cs="Arial"/>
                <w:vanish/>
              </w:rPr>
              <w:t xml:space="preserve">BR_40.05 </w:t>
            </w:r>
            <w:r>
              <w:t xml:space="preserve">A user may enter a “Compatible” XM interpretation only after entering an observed test result for the IS phase (other phases are NT) when the antibody screen on the current specimen is complete and negative </w:t>
            </w:r>
            <w:r>
              <w:rPr>
                <w:i/>
              </w:rPr>
              <w:t>and</w:t>
            </w:r>
            <w:r>
              <w:t xml:space="preserve"> when the patient has no calculated or persistent antigen negative requirement.</w:t>
            </w:r>
          </w:p>
          <w:p w14:paraId="0A660720" w14:textId="77777777" w:rsidR="002A21AE" w:rsidRDefault="002A21AE">
            <w:pPr>
              <w:pStyle w:val="NotesText"/>
            </w:pPr>
          </w:p>
          <w:p w14:paraId="072C0097" w14:textId="77777777" w:rsidR="002A21AE" w:rsidRDefault="002A21AE">
            <w:pPr>
              <w:pStyle w:val="NotesText"/>
            </w:pPr>
            <w:r>
              <w:rPr>
                <w:rFonts w:cs="Arial"/>
                <w:vanish/>
              </w:rPr>
              <w:t xml:space="preserve">BR_40.09 </w:t>
            </w:r>
            <w:r>
              <w:t>When observed test result patterns are invalid, VBECS warns that test results are invalid and that the user must repeat tests. VBECS stores these results as documentation and clears the grid for the user to begin again.</w:t>
            </w:r>
            <w:r>
              <w:tab/>
            </w:r>
          </w:p>
          <w:p w14:paraId="3E1F498B" w14:textId="77777777" w:rsidR="002A21AE" w:rsidRDefault="002A21AE">
            <w:pPr>
              <w:pStyle w:val="NotesText"/>
            </w:pPr>
          </w:p>
          <w:p w14:paraId="5155252C" w14:textId="77777777" w:rsidR="002A21AE" w:rsidRDefault="004F5F28">
            <w:pPr>
              <w:pStyle w:val="NotesText"/>
            </w:pPr>
            <w:r w:rsidRPr="00323744">
              <w:rPr>
                <w:rStyle w:val="BullhornChar"/>
              </w:rPr>
              <w:t></w:t>
            </w:r>
            <w:r>
              <w:rPr>
                <w:rFonts w:ascii="Webdings" w:hAnsi="Webdings"/>
              </w:rPr>
              <w:t></w:t>
            </w:r>
            <w:r w:rsidR="002A21AE">
              <w:t>VBECS emits an audible alert and requires a comment documenting medical director approval, according to site policy. VBECS captures details for inclusion in an Exception Report (exception type: Crossmatch Incompatible: Give Only with Medical Director Approval).</w:t>
            </w:r>
          </w:p>
        </w:tc>
      </w:tr>
      <w:tr w:rsidR="002A21AE" w14:paraId="01E43E4F" w14:textId="77777777">
        <w:tc>
          <w:tcPr>
            <w:tcW w:w="3240" w:type="dxa"/>
          </w:tcPr>
          <w:p w14:paraId="29CE2C10" w14:textId="77777777" w:rsidR="002A21AE" w:rsidRDefault="002A21AE">
            <w:pPr>
              <w:pStyle w:val="TableTextNumbers"/>
            </w:pPr>
            <w:r>
              <w:t>Enter test results in preparation for saving.</w:t>
            </w:r>
          </w:p>
        </w:tc>
        <w:tc>
          <w:tcPr>
            <w:tcW w:w="6120" w:type="dxa"/>
          </w:tcPr>
          <w:p w14:paraId="657D35F4" w14:textId="77777777" w:rsidR="002A21AE" w:rsidRDefault="002A21AE">
            <w:pPr>
              <w:pStyle w:val="TableTextBullet"/>
            </w:pPr>
            <w:r>
              <w:t>Saves data.</w:t>
            </w:r>
          </w:p>
          <w:p w14:paraId="0F8BD12C" w14:textId="77777777" w:rsidR="002A21AE" w:rsidRDefault="002A21AE">
            <w:pPr>
              <w:pStyle w:val="TableTextBullet"/>
            </w:pPr>
            <w:r>
              <w:t>Prompts the user to generate a BTRF and a Caution Tag during Patient Testing: Record Patient Test Results when the crossmatched unit is acceptable for issue.</w:t>
            </w:r>
          </w:p>
        </w:tc>
      </w:tr>
      <w:tr w:rsidR="002A21AE" w14:paraId="3E410CB9" w14:textId="77777777">
        <w:tc>
          <w:tcPr>
            <w:tcW w:w="3240" w:type="dxa"/>
            <w:tcBorders>
              <w:top w:val="single" w:sz="4" w:space="0" w:color="auto"/>
              <w:left w:val="single" w:sz="4" w:space="0" w:color="auto"/>
              <w:bottom w:val="single" w:sz="4" w:space="0" w:color="auto"/>
              <w:right w:val="single" w:sz="4" w:space="0" w:color="auto"/>
            </w:tcBorders>
          </w:tcPr>
          <w:p w14:paraId="2C370E74" w14:textId="77777777" w:rsidR="002A21AE" w:rsidRDefault="002A21AE">
            <w:pPr>
              <w:pStyle w:val="TableTextNumbers"/>
            </w:pPr>
            <w:r>
              <w:t xml:space="preserve">Click </w:t>
            </w:r>
            <w:r>
              <w:rPr>
                <w:b/>
              </w:rPr>
              <w:t>OK</w:t>
            </w:r>
            <w:r>
              <w:t xml:space="preserve"> to exit. </w:t>
            </w:r>
            <w:r w:rsidRPr="009660C3">
              <w:rPr>
                <w:vanish/>
                <w:szCs w:val="18"/>
              </w:rPr>
              <w:fldChar w:fldCharType="begin"/>
            </w:r>
            <w:r w:rsidRPr="009660C3">
              <w:rPr>
                <w:vanish/>
                <w:szCs w:val="18"/>
              </w:rPr>
              <w:instrText xml:space="preserve"> LISTNUM \l 1 \s 0 </w:instrText>
            </w:r>
            <w:r w:rsidRPr="009660C3">
              <w:rPr>
                <w:vanish/>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573242FF" w14:textId="77777777" w:rsidR="002A21AE" w:rsidRDefault="002A21AE" w:rsidP="00E44B03">
            <w:pPr>
              <w:pStyle w:val="TableText"/>
            </w:pPr>
          </w:p>
        </w:tc>
      </w:tr>
    </w:tbl>
    <w:p w14:paraId="6091F81C" w14:textId="77777777" w:rsidR="002A21AE" w:rsidRDefault="002A21AE">
      <w:pPr>
        <w:pStyle w:val="Heading4"/>
      </w:pPr>
      <w:r>
        <w:t>Crossmatch Interpretations</w:t>
      </w:r>
      <w:r>
        <w:fldChar w:fldCharType="begin"/>
      </w:r>
      <w:r>
        <w:instrText xml:space="preserve"> XE </w:instrText>
      </w:r>
      <w:r w:rsidR="00FA7E65">
        <w:instrText>“</w:instrText>
      </w:r>
      <w:r>
        <w:instrText>Crossmatch Interpretations</w:instrText>
      </w:r>
      <w:r w:rsidR="00FA7E65">
        <w:instrText>”</w:instrText>
      </w:r>
      <w:r>
        <w:instrText xml:space="preserve"> </w:instrText>
      </w:r>
      <w:r>
        <w:fldChar w:fldCharType="end"/>
      </w:r>
    </w:p>
    <w:p w14:paraId="5AE84162" w14:textId="77777777" w:rsidR="002A21AE" w:rsidRDefault="002A21AE" w:rsidP="00FA7E65">
      <w:pPr>
        <w:pStyle w:val="BodyText"/>
      </w:pPr>
      <w:r>
        <w:t>In all cases, VBECS saves the crossmatch information to the database.</w:t>
      </w:r>
    </w:p>
    <w:p w14:paraId="1B212612" w14:textId="5CD2EF56" w:rsidR="002A21AE" w:rsidRDefault="002A21AE">
      <w:pPr>
        <w:pStyle w:val="Caption"/>
      </w:pPr>
      <w:bookmarkStart w:id="500" w:name="_Ref126504413"/>
      <w:bookmarkStart w:id="501" w:name="_Toc97523625"/>
      <w:bookmarkStart w:id="502" w:name="_Toc97527595"/>
      <w:bookmarkStart w:id="503" w:name="_Ref446945905"/>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647F4E">
        <w:rPr>
          <w:noProof/>
        </w:rPr>
        <w:t>11</w:t>
      </w:r>
      <w:r w:rsidR="004E20BD">
        <w:rPr>
          <w:noProof/>
        </w:rPr>
        <w:fldChar w:fldCharType="end"/>
      </w:r>
      <w:bookmarkEnd w:id="500"/>
      <w:r>
        <w:t xml:space="preserve">: </w:t>
      </w:r>
      <w:r>
        <w:rPr>
          <w:rFonts w:ascii="Arial" w:hAnsi="Arial" w:cs="Arial"/>
          <w:b w:val="0"/>
          <w:vanish/>
          <w:sz w:val="18"/>
        </w:rPr>
        <w:t xml:space="preserve">BR_40.14 </w:t>
      </w:r>
      <w:r>
        <w:t>Crossmatch Interpretations for Print Unit Caution Tag &amp; Transfusion Record Form</w:t>
      </w:r>
      <w:bookmarkEnd w:id="501"/>
      <w:bookmarkEnd w:id="502"/>
      <w:bookmarkEnd w:id="503"/>
      <w:r>
        <w:fldChar w:fldCharType="begin"/>
      </w:r>
      <w:r>
        <w:instrText xml:space="preserve"> XE </w:instrText>
      </w:r>
      <w:r w:rsidR="00FA7E65">
        <w:instrText>“</w:instrText>
      </w:r>
      <w:r>
        <w:instrText>Tables:Crossmatch Interpretations for Print Unit Caution Tag &amp; Transfusion Record Form</w:instrText>
      </w:r>
      <w:r w:rsidR="00FA7E65">
        <w:instrText>”</w:instrText>
      </w:r>
      <w:r>
        <w:instrText xml:space="preserve"> </w:instrText>
      </w:r>
      <w:r>
        <w:fldChar w:fldCharType="end"/>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
        <w:gridCol w:w="2217"/>
        <w:gridCol w:w="1738"/>
        <w:gridCol w:w="1587"/>
        <w:gridCol w:w="1483"/>
        <w:gridCol w:w="1785"/>
      </w:tblGrid>
      <w:tr w:rsidR="002A21AE" w14:paraId="28B6D310" w14:textId="77777777">
        <w:trPr>
          <w:tblHeader/>
        </w:trPr>
        <w:tc>
          <w:tcPr>
            <w:tcW w:w="0" w:type="auto"/>
            <w:shd w:val="clear" w:color="auto" w:fill="B3B3B3"/>
            <w:vAlign w:val="bottom"/>
          </w:tcPr>
          <w:p w14:paraId="61BE2F5E" w14:textId="77777777" w:rsidR="002A21AE" w:rsidRDefault="002A21AE">
            <w:pPr>
              <w:pStyle w:val="TableText"/>
              <w:rPr>
                <w:b/>
              </w:rPr>
            </w:pPr>
            <w:r>
              <w:rPr>
                <w:b/>
              </w:rPr>
              <w:t>User Entry</w:t>
            </w:r>
          </w:p>
        </w:tc>
        <w:tc>
          <w:tcPr>
            <w:tcW w:w="0" w:type="auto"/>
            <w:shd w:val="clear" w:color="auto" w:fill="B3B3B3"/>
            <w:vAlign w:val="bottom"/>
          </w:tcPr>
          <w:p w14:paraId="582C1724" w14:textId="77777777" w:rsidR="002A21AE" w:rsidRDefault="002A21AE">
            <w:pPr>
              <w:pStyle w:val="TableText"/>
              <w:rPr>
                <w:b/>
              </w:rPr>
            </w:pPr>
            <w:r>
              <w:rPr>
                <w:b/>
              </w:rPr>
              <w:t>Crossmatch Interpretation</w:t>
            </w:r>
          </w:p>
        </w:tc>
        <w:tc>
          <w:tcPr>
            <w:tcW w:w="0" w:type="auto"/>
            <w:shd w:val="clear" w:color="auto" w:fill="B3B3B3"/>
            <w:vAlign w:val="bottom"/>
          </w:tcPr>
          <w:p w14:paraId="2E80B2CB" w14:textId="77777777" w:rsidR="002A21AE" w:rsidRDefault="002A21AE">
            <w:pPr>
              <w:pStyle w:val="TableText"/>
              <w:rPr>
                <w:b/>
              </w:rPr>
            </w:pPr>
            <w:r>
              <w:rPr>
                <w:b/>
              </w:rPr>
              <w:t>VBECS Updates the Unit Status to:</w:t>
            </w:r>
          </w:p>
        </w:tc>
        <w:tc>
          <w:tcPr>
            <w:tcW w:w="0" w:type="auto"/>
            <w:shd w:val="clear" w:color="auto" w:fill="B3B3B3"/>
            <w:vAlign w:val="bottom"/>
          </w:tcPr>
          <w:p w14:paraId="1A57F31C" w14:textId="77777777" w:rsidR="002A21AE" w:rsidRDefault="002A21AE">
            <w:pPr>
              <w:pStyle w:val="TableText"/>
              <w:rPr>
                <w:b/>
              </w:rPr>
            </w:pPr>
            <w:r>
              <w:rPr>
                <w:b/>
              </w:rPr>
              <w:t>Is Information Available to CPRS?</w:t>
            </w:r>
          </w:p>
        </w:tc>
        <w:tc>
          <w:tcPr>
            <w:tcW w:w="0" w:type="auto"/>
            <w:shd w:val="clear" w:color="auto" w:fill="B3B3B3"/>
            <w:vAlign w:val="bottom"/>
          </w:tcPr>
          <w:p w14:paraId="3B163916" w14:textId="77777777" w:rsidR="002A21AE" w:rsidRDefault="002A21AE">
            <w:pPr>
              <w:pStyle w:val="TableText"/>
              <w:rPr>
                <w:b/>
              </w:rPr>
            </w:pPr>
            <w:r>
              <w:rPr>
                <w:b/>
              </w:rPr>
              <w:t>May User Print the BTRF and Caution Tag?</w:t>
            </w:r>
          </w:p>
        </w:tc>
        <w:tc>
          <w:tcPr>
            <w:tcW w:w="0" w:type="auto"/>
            <w:tcBorders>
              <w:bottom w:val="single" w:sz="4" w:space="0" w:color="auto"/>
            </w:tcBorders>
            <w:shd w:val="clear" w:color="auto" w:fill="B3B3B3"/>
            <w:vAlign w:val="bottom"/>
          </w:tcPr>
          <w:p w14:paraId="5E98D882" w14:textId="77777777" w:rsidR="002A21AE" w:rsidRDefault="002A21AE">
            <w:pPr>
              <w:pStyle w:val="TableText"/>
              <w:rPr>
                <w:b/>
              </w:rPr>
            </w:pPr>
            <w:r>
              <w:rPr>
                <w:b/>
              </w:rPr>
              <w:t>Other</w:t>
            </w:r>
          </w:p>
        </w:tc>
      </w:tr>
      <w:tr w:rsidR="002A21AE" w14:paraId="509D48A6" w14:textId="77777777">
        <w:tc>
          <w:tcPr>
            <w:tcW w:w="0" w:type="auto"/>
            <w:vAlign w:val="bottom"/>
          </w:tcPr>
          <w:p w14:paraId="08CBCC81" w14:textId="77777777" w:rsidR="002A21AE" w:rsidRDefault="002A21AE">
            <w:pPr>
              <w:pStyle w:val="TableText"/>
            </w:pPr>
            <w:r>
              <w:t>C</w:t>
            </w:r>
          </w:p>
        </w:tc>
        <w:tc>
          <w:tcPr>
            <w:tcW w:w="0" w:type="auto"/>
            <w:vAlign w:val="bottom"/>
          </w:tcPr>
          <w:p w14:paraId="0D71337A" w14:textId="77777777" w:rsidR="002A21AE" w:rsidRDefault="002A21AE">
            <w:pPr>
              <w:pStyle w:val="TableText"/>
            </w:pPr>
            <w:r>
              <w:t>Crossmatch Compatible</w:t>
            </w:r>
          </w:p>
        </w:tc>
        <w:tc>
          <w:tcPr>
            <w:tcW w:w="0" w:type="auto"/>
            <w:vAlign w:val="bottom"/>
          </w:tcPr>
          <w:p w14:paraId="4AD09527" w14:textId="77777777" w:rsidR="002A21AE" w:rsidRDefault="002A21AE">
            <w:pPr>
              <w:pStyle w:val="TableText"/>
            </w:pPr>
            <w:r>
              <w:t>Crossmatched</w:t>
            </w:r>
          </w:p>
        </w:tc>
        <w:tc>
          <w:tcPr>
            <w:tcW w:w="0" w:type="auto"/>
            <w:vAlign w:val="bottom"/>
          </w:tcPr>
          <w:p w14:paraId="3EF6DE19" w14:textId="77777777" w:rsidR="002A21AE" w:rsidRDefault="002A21AE">
            <w:pPr>
              <w:pStyle w:val="TableText"/>
            </w:pPr>
            <w:r>
              <w:t>Yes (unit is available)</w:t>
            </w:r>
          </w:p>
        </w:tc>
        <w:tc>
          <w:tcPr>
            <w:tcW w:w="0" w:type="auto"/>
            <w:vAlign w:val="bottom"/>
          </w:tcPr>
          <w:p w14:paraId="1FB33243" w14:textId="77777777" w:rsidR="002A21AE" w:rsidRDefault="002A21AE">
            <w:pPr>
              <w:pStyle w:val="TableText"/>
            </w:pPr>
            <w:r>
              <w:t>Yes</w:t>
            </w:r>
          </w:p>
        </w:tc>
        <w:tc>
          <w:tcPr>
            <w:tcW w:w="0" w:type="auto"/>
            <w:shd w:val="clear" w:color="auto" w:fill="B3B3B3"/>
            <w:vAlign w:val="bottom"/>
          </w:tcPr>
          <w:p w14:paraId="389BEB43" w14:textId="77777777" w:rsidR="002A21AE" w:rsidRDefault="002A21AE">
            <w:pPr>
              <w:pStyle w:val="TableText"/>
            </w:pPr>
          </w:p>
        </w:tc>
      </w:tr>
      <w:tr w:rsidR="002A21AE" w14:paraId="5B0A31B7" w14:textId="77777777">
        <w:tc>
          <w:tcPr>
            <w:tcW w:w="0" w:type="auto"/>
            <w:vAlign w:val="bottom"/>
          </w:tcPr>
          <w:p w14:paraId="3CF8E3F1" w14:textId="77777777" w:rsidR="002A21AE" w:rsidRDefault="002A21AE">
            <w:pPr>
              <w:pStyle w:val="TableText"/>
            </w:pPr>
            <w:r>
              <w:t>D</w:t>
            </w:r>
          </w:p>
        </w:tc>
        <w:tc>
          <w:tcPr>
            <w:tcW w:w="0" w:type="auto"/>
            <w:vAlign w:val="bottom"/>
          </w:tcPr>
          <w:p w14:paraId="334D7403" w14:textId="77777777" w:rsidR="002A21AE" w:rsidRDefault="002A21AE">
            <w:pPr>
              <w:pStyle w:val="TableText"/>
            </w:pPr>
            <w:r>
              <w:t>Crossmatch Compatible: Don’t Transfuse</w:t>
            </w:r>
          </w:p>
        </w:tc>
        <w:tc>
          <w:tcPr>
            <w:tcW w:w="0" w:type="auto"/>
            <w:vAlign w:val="bottom"/>
          </w:tcPr>
          <w:p w14:paraId="3D685A4D" w14:textId="77777777" w:rsidR="002A21AE" w:rsidRDefault="002A21AE">
            <w:pPr>
              <w:pStyle w:val="TableText"/>
            </w:pPr>
            <w:r>
              <w:t>Available</w:t>
            </w:r>
          </w:p>
        </w:tc>
        <w:tc>
          <w:tcPr>
            <w:tcW w:w="0" w:type="auto"/>
            <w:vAlign w:val="bottom"/>
          </w:tcPr>
          <w:p w14:paraId="675D1330" w14:textId="77777777" w:rsidR="002A21AE" w:rsidRDefault="002A21AE">
            <w:pPr>
              <w:pStyle w:val="TableText"/>
            </w:pPr>
            <w:r>
              <w:t>No</w:t>
            </w:r>
          </w:p>
        </w:tc>
        <w:tc>
          <w:tcPr>
            <w:tcW w:w="0" w:type="auto"/>
            <w:vAlign w:val="bottom"/>
          </w:tcPr>
          <w:p w14:paraId="78B602C2" w14:textId="77777777" w:rsidR="002A21AE" w:rsidRDefault="002A21AE">
            <w:pPr>
              <w:pStyle w:val="TableText"/>
            </w:pPr>
            <w:r>
              <w:t>No</w:t>
            </w:r>
          </w:p>
        </w:tc>
        <w:tc>
          <w:tcPr>
            <w:tcW w:w="0" w:type="auto"/>
            <w:shd w:val="clear" w:color="auto" w:fill="B3B3B3"/>
            <w:vAlign w:val="bottom"/>
          </w:tcPr>
          <w:p w14:paraId="7994C303" w14:textId="77777777" w:rsidR="002A21AE" w:rsidRDefault="002A21AE">
            <w:pPr>
              <w:pStyle w:val="TableText"/>
            </w:pPr>
          </w:p>
        </w:tc>
      </w:tr>
      <w:tr w:rsidR="002A21AE" w14:paraId="76349BEF" w14:textId="77777777">
        <w:tc>
          <w:tcPr>
            <w:tcW w:w="0" w:type="auto"/>
            <w:vAlign w:val="bottom"/>
          </w:tcPr>
          <w:p w14:paraId="31221B6A" w14:textId="77777777" w:rsidR="002A21AE" w:rsidRDefault="002A21AE">
            <w:pPr>
              <w:pStyle w:val="TableText"/>
            </w:pPr>
            <w:r>
              <w:t>G</w:t>
            </w:r>
          </w:p>
        </w:tc>
        <w:tc>
          <w:tcPr>
            <w:tcW w:w="0" w:type="auto"/>
            <w:vAlign w:val="bottom"/>
          </w:tcPr>
          <w:p w14:paraId="0482747F" w14:textId="77777777" w:rsidR="002A21AE" w:rsidRDefault="002A21AE">
            <w:pPr>
              <w:pStyle w:val="TableText"/>
            </w:pPr>
            <w:r>
              <w:t>Crossmatch Incompatible: Give Only with Medical Director Approval</w:t>
            </w:r>
          </w:p>
        </w:tc>
        <w:tc>
          <w:tcPr>
            <w:tcW w:w="0" w:type="auto"/>
            <w:vAlign w:val="bottom"/>
          </w:tcPr>
          <w:p w14:paraId="1BBBEE73" w14:textId="77777777" w:rsidR="002A21AE" w:rsidRDefault="008723D3">
            <w:pPr>
              <w:pStyle w:val="TableText"/>
            </w:pPr>
            <w:r>
              <w:t>Crossmatched</w:t>
            </w:r>
          </w:p>
        </w:tc>
        <w:tc>
          <w:tcPr>
            <w:tcW w:w="0" w:type="auto"/>
            <w:vAlign w:val="bottom"/>
          </w:tcPr>
          <w:p w14:paraId="13B7821A" w14:textId="77777777" w:rsidR="002A21AE" w:rsidRDefault="002A21AE">
            <w:pPr>
              <w:pStyle w:val="TableText"/>
            </w:pPr>
            <w:r>
              <w:t>Yes (unit is available)</w:t>
            </w:r>
          </w:p>
        </w:tc>
        <w:tc>
          <w:tcPr>
            <w:tcW w:w="0" w:type="auto"/>
            <w:vAlign w:val="bottom"/>
          </w:tcPr>
          <w:p w14:paraId="0206EE80" w14:textId="77777777" w:rsidR="002A21AE" w:rsidRDefault="002A21AE">
            <w:pPr>
              <w:pStyle w:val="TableText"/>
            </w:pPr>
            <w:r>
              <w:t xml:space="preserve">Yes </w:t>
            </w:r>
          </w:p>
        </w:tc>
        <w:tc>
          <w:tcPr>
            <w:tcW w:w="0" w:type="auto"/>
            <w:tcBorders>
              <w:bottom w:val="single" w:sz="4" w:space="0" w:color="auto"/>
            </w:tcBorders>
            <w:vAlign w:val="bottom"/>
          </w:tcPr>
          <w:p w14:paraId="5EF849D0" w14:textId="77777777" w:rsidR="002A21AE" w:rsidRDefault="00EC7489" w:rsidP="00323744">
            <w:pPr>
              <w:pStyle w:val="Bullhorn"/>
            </w:pPr>
            <w:r>
              <w:t></w:t>
            </w:r>
          </w:p>
        </w:tc>
      </w:tr>
      <w:tr w:rsidR="002A21AE" w14:paraId="7412132F" w14:textId="77777777" w:rsidTr="00E90E3C">
        <w:tc>
          <w:tcPr>
            <w:tcW w:w="0" w:type="auto"/>
            <w:vAlign w:val="bottom"/>
          </w:tcPr>
          <w:p w14:paraId="5B4F1BD4" w14:textId="77777777" w:rsidR="002A21AE" w:rsidRDefault="00A138D2" w:rsidP="00A138D2">
            <w:pPr>
              <w:pStyle w:val="TableText"/>
            </w:pPr>
            <w:r>
              <w:t xml:space="preserve"> </w:t>
            </w:r>
            <w:r w:rsidR="002A21AE">
              <w:t>I</w:t>
            </w:r>
          </w:p>
        </w:tc>
        <w:tc>
          <w:tcPr>
            <w:tcW w:w="0" w:type="auto"/>
            <w:vAlign w:val="bottom"/>
          </w:tcPr>
          <w:p w14:paraId="04EB8589" w14:textId="77777777" w:rsidR="002A21AE" w:rsidRDefault="002A21AE">
            <w:pPr>
              <w:pStyle w:val="TableText"/>
            </w:pPr>
            <w:r>
              <w:t>Crossmatch Incompatible</w:t>
            </w:r>
          </w:p>
        </w:tc>
        <w:tc>
          <w:tcPr>
            <w:tcW w:w="0" w:type="auto"/>
            <w:vAlign w:val="bottom"/>
          </w:tcPr>
          <w:p w14:paraId="5A6E935D" w14:textId="77777777" w:rsidR="002A21AE" w:rsidRDefault="002A21AE">
            <w:pPr>
              <w:pStyle w:val="TableText"/>
            </w:pPr>
            <w:r>
              <w:t>Available</w:t>
            </w:r>
          </w:p>
        </w:tc>
        <w:tc>
          <w:tcPr>
            <w:tcW w:w="0" w:type="auto"/>
            <w:vAlign w:val="bottom"/>
          </w:tcPr>
          <w:p w14:paraId="5F183245" w14:textId="77777777" w:rsidR="002A21AE" w:rsidRDefault="002A21AE">
            <w:pPr>
              <w:pStyle w:val="TableText"/>
            </w:pPr>
            <w:r>
              <w:t>No</w:t>
            </w:r>
          </w:p>
        </w:tc>
        <w:tc>
          <w:tcPr>
            <w:tcW w:w="0" w:type="auto"/>
            <w:vAlign w:val="bottom"/>
          </w:tcPr>
          <w:p w14:paraId="3E4D78F4" w14:textId="77777777" w:rsidR="002A21AE" w:rsidRDefault="002A21AE">
            <w:pPr>
              <w:pStyle w:val="TableText"/>
            </w:pPr>
            <w:r>
              <w:t>No</w:t>
            </w:r>
          </w:p>
        </w:tc>
        <w:tc>
          <w:tcPr>
            <w:tcW w:w="0" w:type="auto"/>
            <w:tcBorders>
              <w:bottom w:val="single" w:sz="4" w:space="0" w:color="auto"/>
            </w:tcBorders>
            <w:shd w:val="clear" w:color="auto" w:fill="B3B3B3"/>
            <w:vAlign w:val="bottom"/>
          </w:tcPr>
          <w:p w14:paraId="3D25F418" w14:textId="77777777" w:rsidR="002A21AE" w:rsidRDefault="002A21AE">
            <w:pPr>
              <w:pStyle w:val="TableText"/>
            </w:pPr>
          </w:p>
        </w:tc>
      </w:tr>
      <w:tr w:rsidR="002A21AE" w14:paraId="402ABCD1" w14:textId="77777777" w:rsidTr="00CC01AC">
        <w:tc>
          <w:tcPr>
            <w:tcW w:w="0" w:type="auto"/>
            <w:vAlign w:val="bottom"/>
          </w:tcPr>
          <w:p w14:paraId="7476E370" w14:textId="77777777" w:rsidR="002A21AE" w:rsidRDefault="00E4540D">
            <w:pPr>
              <w:pStyle w:val="TableText"/>
            </w:pPr>
            <w:r>
              <w:lastRenderedPageBreak/>
              <w:t>Z</w:t>
            </w:r>
          </w:p>
        </w:tc>
        <w:tc>
          <w:tcPr>
            <w:tcW w:w="0" w:type="auto"/>
            <w:vAlign w:val="bottom"/>
          </w:tcPr>
          <w:p w14:paraId="10003926" w14:textId="77777777" w:rsidR="002A21AE" w:rsidRDefault="002A21AE">
            <w:pPr>
              <w:pStyle w:val="TableText"/>
            </w:pPr>
            <w:r>
              <w:t>Inconclusive</w:t>
            </w:r>
          </w:p>
        </w:tc>
        <w:tc>
          <w:tcPr>
            <w:tcW w:w="0" w:type="auto"/>
            <w:vAlign w:val="bottom"/>
          </w:tcPr>
          <w:p w14:paraId="739D2B36" w14:textId="77777777" w:rsidR="002A21AE" w:rsidRDefault="002A21AE">
            <w:pPr>
              <w:pStyle w:val="TableText"/>
            </w:pPr>
            <w:r>
              <w:t>Available</w:t>
            </w:r>
          </w:p>
        </w:tc>
        <w:tc>
          <w:tcPr>
            <w:tcW w:w="0" w:type="auto"/>
            <w:vAlign w:val="bottom"/>
          </w:tcPr>
          <w:p w14:paraId="6F8FB099" w14:textId="77777777" w:rsidR="002A21AE" w:rsidRDefault="002A21AE">
            <w:pPr>
              <w:pStyle w:val="TableText"/>
            </w:pPr>
            <w:r>
              <w:t>No</w:t>
            </w:r>
          </w:p>
        </w:tc>
        <w:tc>
          <w:tcPr>
            <w:tcW w:w="0" w:type="auto"/>
            <w:vAlign w:val="bottom"/>
          </w:tcPr>
          <w:p w14:paraId="7676D2B1" w14:textId="77777777" w:rsidR="002A21AE" w:rsidRDefault="002A21AE">
            <w:pPr>
              <w:pStyle w:val="TableText"/>
            </w:pPr>
            <w:r>
              <w:t>No</w:t>
            </w:r>
          </w:p>
        </w:tc>
        <w:tc>
          <w:tcPr>
            <w:tcW w:w="0" w:type="auto"/>
            <w:shd w:val="clear" w:color="auto" w:fill="FFFFFF"/>
            <w:vAlign w:val="bottom"/>
          </w:tcPr>
          <w:p w14:paraId="477DCCE8" w14:textId="77777777" w:rsidR="002A21AE" w:rsidRDefault="00E90E3C">
            <w:pPr>
              <w:pStyle w:val="TableText"/>
            </w:pPr>
            <w:r w:rsidRPr="00E90E3C">
              <w:t>Applies to the manual serologic crossmatch test only</w:t>
            </w:r>
          </w:p>
        </w:tc>
      </w:tr>
    </w:tbl>
    <w:p w14:paraId="3CD17647" w14:textId="77777777" w:rsidR="002A21AE" w:rsidRDefault="002A21AE">
      <w:pPr>
        <w:pStyle w:val="Heading3"/>
      </w:pPr>
      <w:r>
        <w:br w:type="page"/>
      </w:r>
      <w:bookmarkStart w:id="504" w:name="_Toc4588819"/>
      <w:r>
        <w:lastRenderedPageBreak/>
        <w:t>Patient Testing: Record a Patient Antigen Typing</w:t>
      </w:r>
      <w:bookmarkEnd w:id="504"/>
      <w:r>
        <w:fldChar w:fldCharType="begin"/>
      </w:r>
      <w:r>
        <w:instrText xml:space="preserve"> XE </w:instrText>
      </w:r>
      <w:r w:rsidR="00FA7E65">
        <w:instrText>“</w:instrText>
      </w:r>
      <w:r>
        <w:instrText>Patient Testing\: Record a Patient Antigen Typing</w:instrText>
      </w:r>
      <w:r w:rsidR="00FA7E65">
        <w:instrText>”</w:instrText>
      </w:r>
      <w:r>
        <w:instrText xml:space="preserve"> </w:instrText>
      </w:r>
      <w:r>
        <w:fldChar w:fldCharType="end"/>
      </w:r>
      <w:r>
        <w:t xml:space="preserve"> </w:t>
      </w:r>
      <w:r>
        <w:rPr>
          <w:rFonts w:ascii="Times New Roman" w:hAnsi="Times New Roman" w:cs="Times New Roman"/>
          <w:b w:val="0"/>
          <w:vanish/>
          <w:sz w:val="22"/>
        </w:rPr>
        <w:t>UC_98</w:t>
      </w:r>
    </w:p>
    <w:p w14:paraId="4AB35D81" w14:textId="77777777" w:rsidR="002A21AE" w:rsidRDefault="002A21AE" w:rsidP="00FA7E65">
      <w:pPr>
        <w:pStyle w:val="BodyText"/>
      </w:pPr>
      <w:bookmarkStart w:id="505" w:name="_Toc79560671"/>
      <w:bookmarkStart w:id="506" w:name="_Toc75225904"/>
      <w:r>
        <w:t xml:space="preserve">The user records observed results when performing a patient antigen typing test other than the ABO/Rh test. </w:t>
      </w:r>
    </w:p>
    <w:p w14:paraId="5E17044A" w14:textId="77777777" w:rsidR="002A21AE" w:rsidRDefault="002A21AE">
      <w:pPr>
        <w:pStyle w:val="Heading4"/>
      </w:pPr>
      <w:r>
        <w:t>Assumptions</w:t>
      </w:r>
    </w:p>
    <w:p w14:paraId="340C7056" w14:textId="77777777" w:rsidR="002A21AE" w:rsidRDefault="002A21AE">
      <w:pPr>
        <w:pStyle w:val="ListBullet"/>
      </w:pPr>
      <w:r>
        <w:t>Patient antigen typing is ord</w:t>
      </w:r>
      <w:r w:rsidR="00047C2D">
        <w:t>ered through Order Reflex Tests</w:t>
      </w:r>
      <w:r>
        <w:t>.</w:t>
      </w:r>
    </w:p>
    <w:p w14:paraId="5C3E6AD5" w14:textId="77777777" w:rsidR="002A21AE" w:rsidRDefault="002A21AE">
      <w:pPr>
        <w:pStyle w:val="ListBullet"/>
      </w:pPr>
      <w:r>
        <w:t>The user accesses patient antigen typing grids through Patient Testing: Record Patient Test Results.</w:t>
      </w:r>
    </w:p>
    <w:p w14:paraId="6195542E" w14:textId="77777777" w:rsidR="002A21AE" w:rsidRDefault="002A21AE">
      <w:pPr>
        <w:pStyle w:val="ListBullet"/>
      </w:pPr>
      <w:r>
        <w:t xml:space="preserve">Reagent inventory was entered in </w:t>
      </w:r>
      <w:r w:rsidR="005F6016">
        <w:t>Maintain Minimum Levels</w:t>
      </w:r>
      <w:r>
        <w:t>.</w:t>
      </w:r>
    </w:p>
    <w:p w14:paraId="38CB4AA5" w14:textId="77777777" w:rsidR="002A21AE" w:rsidRDefault="002A21AE">
      <w:pPr>
        <w:pStyle w:val="Heading4"/>
      </w:pPr>
      <w:r>
        <w:t>Outcome</w:t>
      </w:r>
      <w:r>
        <w:rPr>
          <w:rFonts w:ascii="Times New Roman" w:hAnsi="Times New Roman"/>
          <w:i/>
          <w:color w:val="0000FF"/>
          <w:sz w:val="24"/>
        </w:rPr>
        <w:t xml:space="preserve"> </w:t>
      </w:r>
    </w:p>
    <w:p w14:paraId="69FB5EED" w14:textId="77777777" w:rsidR="002A21AE" w:rsidRDefault="002A21AE">
      <w:pPr>
        <w:pStyle w:val="ListBullet"/>
      </w:pPr>
      <w:r>
        <w:rPr>
          <w:rFonts w:ascii="Arial" w:hAnsi="Arial" w:cs="Arial"/>
          <w:vanish/>
          <w:spacing w:val="0"/>
          <w:sz w:val="18"/>
        </w:rPr>
        <w:t xml:space="preserve">BR_41.06 </w:t>
      </w:r>
      <w:r>
        <w:t xml:space="preserve">The testing record includes the patient’s antigen typing and the control cell information. </w:t>
      </w:r>
    </w:p>
    <w:p w14:paraId="6B7592C5" w14:textId="77777777" w:rsidR="002A21AE" w:rsidRDefault="002A21AE">
      <w:pPr>
        <w:pStyle w:val="Heading4"/>
      </w:pPr>
      <w:r>
        <w:t>Limitations and Restrictions</w:t>
      </w:r>
      <w:r>
        <w:rPr>
          <w:b w:val="0"/>
        </w:rPr>
        <w:t xml:space="preserve"> </w:t>
      </w:r>
    </w:p>
    <w:p w14:paraId="188C8641" w14:textId="77777777" w:rsidR="002A21AE" w:rsidRDefault="002A21AE">
      <w:pPr>
        <w:pStyle w:val="ListBullet"/>
      </w:pPr>
      <w:r>
        <w:t>Antigen typing applies only to red blood cell antigens. (This option does not address platelet, HLA, or IgA antigens.)</w:t>
      </w:r>
    </w:p>
    <w:p w14:paraId="62073AA9" w14:textId="77777777" w:rsidR="00FC3A2C" w:rsidRDefault="002A21AE">
      <w:pPr>
        <w:pStyle w:val="ListBullet"/>
      </w:pPr>
      <w:r>
        <w:t>VBECS does not check</w:t>
      </w:r>
      <w:r w:rsidR="00FC3A2C">
        <w:t>:</w:t>
      </w:r>
    </w:p>
    <w:p w14:paraId="4A62576F" w14:textId="77777777" w:rsidR="00B84DA4" w:rsidRDefault="00B84DA4" w:rsidP="00FC3A2C">
      <w:pPr>
        <w:pStyle w:val="ListBullet2"/>
      </w:pPr>
      <w:r>
        <w:t>The patient antigen typing with the specificity of a</w:t>
      </w:r>
      <w:r w:rsidR="005C1078">
        <w:t>ny patient’s antibodies entered.</w:t>
      </w:r>
    </w:p>
    <w:p w14:paraId="39C128B2" w14:textId="77777777" w:rsidR="002A21AE" w:rsidRDefault="00FC3A2C" w:rsidP="00FC3A2C">
      <w:pPr>
        <w:pStyle w:val="ListBullet2"/>
      </w:pPr>
      <w:r>
        <w:t>W</w:t>
      </w:r>
      <w:r w:rsidR="002A21AE">
        <w:t>hether the lot and vial numbers selected for the positive control cells differ from those of the negative control cells</w:t>
      </w:r>
      <w:r w:rsidR="005C1078">
        <w:t>.</w:t>
      </w:r>
    </w:p>
    <w:p w14:paraId="424319AB" w14:textId="77777777" w:rsidR="002A21AE" w:rsidRDefault="002A21AE">
      <w:pPr>
        <w:pStyle w:val="ListBullet"/>
      </w:pPr>
      <w:r>
        <w:t>The patient antigen typing result is not available to CPRS.</w:t>
      </w:r>
    </w:p>
    <w:p w14:paraId="233C8945" w14:textId="77777777" w:rsidR="002A21AE" w:rsidRDefault="002A21AE">
      <w:pPr>
        <w:pStyle w:val="Heading4"/>
      </w:pPr>
      <w:r>
        <w:t>Additional Information</w:t>
      </w:r>
      <w:r>
        <w:rPr>
          <w:rFonts w:ascii="Times New Roman" w:hAnsi="Times New Roman"/>
          <w:i/>
          <w:color w:val="0000FF"/>
          <w:sz w:val="24"/>
        </w:rPr>
        <w:t xml:space="preserve"> </w:t>
      </w:r>
    </w:p>
    <w:p w14:paraId="646ACEDE" w14:textId="77777777" w:rsidR="00956196" w:rsidRDefault="00956196" w:rsidP="00956196">
      <w:pPr>
        <w:pStyle w:val="ListBullet"/>
      </w:pPr>
      <w:r>
        <w:t xml:space="preserve">Clinical significance and availability of typing reagents are not implied when antigens are included in the list of </w:t>
      </w:r>
      <w:r w:rsidR="00E32E71">
        <w:t>antigen type tests</w:t>
      </w:r>
      <w:r>
        <w:t>.</w:t>
      </w:r>
    </w:p>
    <w:p w14:paraId="708EFA54" w14:textId="77777777" w:rsidR="00956196" w:rsidRDefault="00FC0074" w:rsidP="00956196">
      <w:pPr>
        <w:pStyle w:val="ListBullet"/>
      </w:pPr>
      <w:r>
        <w:t>U</w:t>
      </w:r>
      <w:r w:rsidR="00956196">
        <w:t>nit antigen tests may be added th</w:t>
      </w:r>
      <w:r>
        <w:t>rough</w:t>
      </w:r>
      <w:r w:rsidR="00956196">
        <w:t xml:space="preserve"> </w:t>
      </w:r>
      <w:r w:rsidR="00CA67F2">
        <w:t>Incoming Shipment</w:t>
      </w:r>
      <w:r w:rsidR="00155471">
        <w:t xml:space="preserve"> </w:t>
      </w:r>
      <w:r>
        <w:t>and</w:t>
      </w:r>
      <w:r w:rsidR="00155471">
        <w:t xml:space="preserve"> </w:t>
      </w:r>
      <w:r w:rsidR="00CA67F2">
        <w:t>Edit Unit Information</w:t>
      </w:r>
      <w:r w:rsidR="00956196">
        <w:t>.</w:t>
      </w:r>
    </w:p>
    <w:p w14:paraId="382666FF" w14:textId="77777777" w:rsidR="002A21AE" w:rsidRDefault="002A21AE">
      <w:pPr>
        <w:pStyle w:val="ListBullet"/>
      </w:pPr>
      <w:r>
        <w:t>The patient antigen typing test is associated with a CPRS patient order.</w:t>
      </w:r>
    </w:p>
    <w:p w14:paraId="344A0F7E" w14:textId="77777777" w:rsidR="002A21AE" w:rsidRDefault="002A21AE">
      <w:pPr>
        <w:pStyle w:val="ListBullet"/>
      </w:pPr>
      <w:r>
        <w:t>The patient’s antigen typing information does not appear as part of the Transfusion Requirements or Special Instructions in the Patient Information Toolbar.</w:t>
      </w:r>
    </w:p>
    <w:p w14:paraId="184119DC" w14:textId="77777777" w:rsidR="002A21AE" w:rsidRDefault="002A21AE">
      <w:pPr>
        <w:pStyle w:val="ListBullet"/>
      </w:pPr>
      <w:r>
        <w:rPr>
          <w:rFonts w:ascii="Arial" w:hAnsi="Arial" w:cs="Arial"/>
          <w:vanish/>
          <w:spacing w:val="0"/>
          <w:sz w:val="18"/>
        </w:rPr>
        <w:t xml:space="preserve">BR_28.23 </w:t>
      </w:r>
      <w:r>
        <w:t>When VBECS displays lot numbers for selection, it checks the inventory for the reagent name and lot numbers in use in a rack. VBECS does not offer reagents with an “unsatisfactory” value in the Inspection field or with a quantity of zero as a selectable reagent. The user may not enter a lot number that VBECS disallowed on the selection list. The user must choose a different reagent.</w:t>
      </w:r>
    </w:p>
    <w:p w14:paraId="1489D289" w14:textId="77777777" w:rsidR="002A21AE" w:rsidRDefault="004A7FC2">
      <w:pPr>
        <w:pStyle w:val="ListBullet"/>
      </w:pPr>
      <w:r>
        <w:rPr>
          <w:rFonts w:ascii="Arial" w:hAnsi="Arial" w:cs="Arial"/>
          <w:vanish/>
          <w:spacing w:val="0"/>
          <w:sz w:val="18"/>
        </w:rPr>
        <w:t>BR_41.</w:t>
      </w:r>
      <w:r w:rsidR="002A21AE">
        <w:rPr>
          <w:rFonts w:ascii="Arial" w:hAnsi="Arial" w:cs="Arial"/>
          <w:vanish/>
          <w:spacing w:val="0"/>
          <w:sz w:val="18"/>
        </w:rPr>
        <w:t>3</w:t>
      </w:r>
      <w:r>
        <w:rPr>
          <w:rFonts w:ascii="Arial" w:hAnsi="Arial" w:cs="Arial"/>
          <w:vanish/>
          <w:spacing w:val="0"/>
          <w:sz w:val="18"/>
        </w:rPr>
        <w:t>0</w:t>
      </w:r>
      <w:r w:rsidR="002A21AE">
        <w:rPr>
          <w:rFonts w:ascii="Arial" w:hAnsi="Arial" w:cs="Arial"/>
          <w:vanish/>
          <w:spacing w:val="0"/>
          <w:sz w:val="18"/>
        </w:rPr>
        <w:t xml:space="preserve"> </w:t>
      </w:r>
      <w:r w:rsidR="002A21AE">
        <w:t>When a user selects a reagent rack that was never QC’d, VBECS warns the user, clears the selection, and allows the user to select a different rack.</w:t>
      </w:r>
    </w:p>
    <w:p w14:paraId="065E7B6F" w14:textId="77777777" w:rsidR="004A7FC2" w:rsidRDefault="004A7FC2">
      <w:pPr>
        <w:pStyle w:val="ListBullet"/>
      </w:pPr>
      <w:r>
        <w:rPr>
          <w:rFonts w:ascii="Arial" w:hAnsi="Arial" w:cs="Arial"/>
          <w:vanish/>
          <w:spacing w:val="0"/>
          <w:sz w:val="18"/>
        </w:rPr>
        <w:t xml:space="preserve">BR_41.03 </w:t>
      </w:r>
      <w:r>
        <w:t xml:space="preserve"> VBECS automatically adds the positive and negative control tests to the selected reagent type worklist if they have not been tested on that calendar date for the selected antisera lot number.</w:t>
      </w:r>
      <w:r w:rsidR="009439F8">
        <w:rPr>
          <w:vanish/>
        </w:rPr>
        <w:t xml:space="preserve"> DR 3717</w:t>
      </w:r>
    </w:p>
    <w:p w14:paraId="71B2047F" w14:textId="77777777" w:rsidR="002A21AE" w:rsidRDefault="002A21AE">
      <w:pPr>
        <w:pStyle w:val="ListBullet"/>
      </w:pPr>
      <w:r>
        <w:rPr>
          <w:rFonts w:ascii="Arial" w:hAnsi="Arial" w:cs="Arial"/>
          <w:vanish/>
          <w:spacing w:val="0"/>
          <w:sz w:val="18"/>
        </w:rPr>
        <w:t xml:space="preserve">BR_41.06 </w:t>
      </w:r>
      <w:r>
        <w:t>VBECS stores the lot number, vial identifier, manufacturer, and expiration date of the positive and negative control cells with the testing record.</w:t>
      </w:r>
    </w:p>
    <w:p w14:paraId="55637EA9" w14:textId="77777777" w:rsidR="002A21AE" w:rsidRDefault="002A21AE">
      <w:pPr>
        <w:pStyle w:val="ListBullet"/>
      </w:pPr>
      <w:r>
        <w:t>The user may not enter “H” (hemolysis) in antigen typing testing.</w:t>
      </w:r>
    </w:p>
    <w:p w14:paraId="64FF036B" w14:textId="77777777" w:rsidR="00786249" w:rsidRPr="00786249" w:rsidRDefault="00786249" w:rsidP="00786249">
      <w:pPr>
        <w:pStyle w:val="ListBullet"/>
        <w:rPr>
          <w:color w:val="1F497D"/>
        </w:rPr>
      </w:pPr>
      <w:r>
        <w:t>Weak D testing results do not interact or change the Rh typing recorded for the patient by an ABO/Rh test.</w:t>
      </w:r>
      <w:r w:rsidRPr="00812458">
        <w:rPr>
          <w:vanish/>
        </w:rPr>
        <w:t xml:space="preserve"> Task 409152</w:t>
      </w:r>
    </w:p>
    <w:p w14:paraId="2632FA89" w14:textId="77777777" w:rsidR="002A21AE" w:rsidRDefault="002A21AE">
      <w:pPr>
        <w:pStyle w:val="Heading4"/>
        <w:rPr>
          <w:b w:val="0"/>
        </w:rPr>
      </w:pPr>
      <w:r>
        <w:t>User Roles with Access to This Option</w:t>
      </w:r>
      <w:r>
        <w:rPr>
          <w:b w:val="0"/>
        </w:rPr>
        <w:t xml:space="preserve"> </w:t>
      </w:r>
    </w:p>
    <w:p w14:paraId="0CC22B5F" w14:textId="77777777" w:rsidR="002A21AE" w:rsidRDefault="007934CF">
      <w:pPr>
        <w:pStyle w:val="Roles"/>
        <w:rPr>
          <w:snapToGrid w:val="0"/>
        </w:rPr>
      </w:pPr>
      <w:r>
        <w:t>All users</w:t>
      </w:r>
    </w:p>
    <w:p w14:paraId="10068793" w14:textId="77777777" w:rsidR="002A21AE" w:rsidRPr="000C2B00" w:rsidRDefault="002A21AE">
      <w:pPr>
        <w:pStyle w:val="Heading4"/>
        <w:rPr>
          <w:rStyle w:val="Heading3Char"/>
          <w:b/>
        </w:rPr>
      </w:pPr>
      <w:r w:rsidRPr="000C2B00">
        <w:rPr>
          <w:rStyle w:val="Heading3Char"/>
          <w:b/>
        </w:rPr>
        <w:lastRenderedPageBreak/>
        <w:t>Patient Testing: Record a Patient Antigen Typing</w:t>
      </w:r>
    </w:p>
    <w:p w14:paraId="658BBE62" w14:textId="77777777" w:rsidR="002A21AE" w:rsidRDefault="002A21AE" w:rsidP="00FA7E65">
      <w:pPr>
        <w:pStyle w:val="BodyText"/>
      </w:pPr>
      <w:r>
        <w:t xml:space="preserve">This option describes a test to determine the patient antigen typing from a blood specimen.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F238CB7" w14:textId="77777777">
        <w:trPr>
          <w:cantSplit/>
          <w:tblHeader/>
        </w:trPr>
        <w:tc>
          <w:tcPr>
            <w:tcW w:w="3240" w:type="dxa"/>
            <w:shd w:val="pct30" w:color="auto" w:fill="FFFFFF"/>
            <w:vAlign w:val="bottom"/>
          </w:tcPr>
          <w:p w14:paraId="3D13A758" w14:textId="77777777" w:rsidR="002A21AE" w:rsidRDefault="002A21AE">
            <w:pPr>
              <w:pStyle w:val="TableText"/>
              <w:rPr>
                <w:b/>
              </w:rPr>
            </w:pPr>
            <w:r>
              <w:rPr>
                <w:b/>
              </w:rPr>
              <w:t>User Action</w:t>
            </w:r>
          </w:p>
        </w:tc>
        <w:tc>
          <w:tcPr>
            <w:tcW w:w="6120" w:type="dxa"/>
            <w:shd w:val="pct30" w:color="auto" w:fill="FFFFFF"/>
            <w:vAlign w:val="bottom"/>
          </w:tcPr>
          <w:p w14:paraId="3607AA78" w14:textId="77777777" w:rsidR="002A21AE" w:rsidRDefault="002A21AE">
            <w:pPr>
              <w:pStyle w:val="TableText"/>
              <w:rPr>
                <w:b/>
              </w:rPr>
            </w:pPr>
            <w:r>
              <w:rPr>
                <w:b/>
              </w:rPr>
              <w:t>VBECS</w:t>
            </w:r>
          </w:p>
        </w:tc>
      </w:tr>
      <w:tr w:rsidR="00141448" w14:paraId="24F43DB4" w14:textId="77777777">
        <w:tc>
          <w:tcPr>
            <w:tcW w:w="3240" w:type="dxa"/>
            <w:tcBorders>
              <w:top w:val="single" w:sz="4" w:space="0" w:color="auto"/>
              <w:left w:val="single" w:sz="4" w:space="0" w:color="auto"/>
              <w:bottom w:val="single" w:sz="4" w:space="0" w:color="auto"/>
              <w:right w:val="single" w:sz="4" w:space="0" w:color="auto"/>
            </w:tcBorders>
          </w:tcPr>
          <w:p w14:paraId="71DA417D" w14:textId="77777777" w:rsidR="00141448" w:rsidRDefault="00141448" w:rsidP="00141448">
            <w:pPr>
              <w:pStyle w:val="TableTextNumbers"/>
            </w:pPr>
            <w:r>
              <w:t xml:space="preserve">Select </w:t>
            </w:r>
            <w:r>
              <w:rPr>
                <w:b/>
              </w:rPr>
              <w:t>Patients</w:t>
            </w:r>
            <w:r>
              <w:t xml:space="preserve"> from the main menu.</w:t>
            </w:r>
          </w:p>
          <w:p w14:paraId="5D0F3FA9" w14:textId="77777777" w:rsidR="00141448" w:rsidRDefault="00141448" w:rsidP="00141448">
            <w:pPr>
              <w:pStyle w:val="TableTextNumbersContinued"/>
            </w:pPr>
          </w:p>
          <w:p w14:paraId="2D0A1BED" w14:textId="77777777" w:rsidR="00141448" w:rsidRDefault="00141448" w:rsidP="00141448">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14:paraId="77DE0B4A" w14:textId="77777777" w:rsidR="00141448" w:rsidRDefault="00141448" w:rsidP="00141448">
            <w:pPr>
              <w:pStyle w:val="TableTextBullet"/>
            </w:pPr>
            <w:r>
              <w:t xml:space="preserve">Displays options for processing patient-related functions. </w:t>
            </w:r>
          </w:p>
          <w:p w14:paraId="1C641EEE" w14:textId="77777777" w:rsidR="00141448" w:rsidRDefault="00141448" w:rsidP="00141448">
            <w:pPr>
              <w:pStyle w:val="TableTextBullet"/>
            </w:pPr>
            <w:r>
              <w:t>Displays the Pending Task List (PTL) in the Diagnostic Tests tab.</w:t>
            </w:r>
          </w:p>
          <w:p w14:paraId="48034C7A" w14:textId="77777777" w:rsidR="00141448" w:rsidRDefault="00141448" w:rsidP="00141448">
            <w:pPr>
              <w:pStyle w:val="NotesText"/>
            </w:pPr>
          </w:p>
          <w:p w14:paraId="4199D11E" w14:textId="77777777" w:rsidR="00141448" w:rsidRDefault="00057948" w:rsidP="00141448">
            <w:pPr>
              <w:pStyle w:val="TableText"/>
              <w:rPr>
                <w:b/>
                <w:bCs/>
                <w:szCs w:val="18"/>
              </w:rPr>
            </w:pPr>
            <w:r>
              <w:rPr>
                <w:b/>
                <w:bCs/>
                <w:noProof/>
              </w:rPr>
              <mc:AlternateContent>
                <mc:Choice Requires="wps">
                  <w:drawing>
                    <wp:anchor distT="0" distB="0" distL="114300" distR="114300" simplePos="0" relativeHeight="251921920" behindDoc="0" locked="0" layoutInCell="1" allowOverlap="1" wp14:anchorId="46E8EAA7" wp14:editId="7BDA9458">
                      <wp:simplePos x="0" y="0"/>
                      <wp:positionH relativeFrom="column">
                        <wp:posOffset>457200</wp:posOffset>
                      </wp:positionH>
                      <wp:positionV relativeFrom="paragraph">
                        <wp:posOffset>65405</wp:posOffset>
                      </wp:positionV>
                      <wp:extent cx="3200400" cy="0"/>
                      <wp:effectExtent l="9525" t="17780" r="9525" b="10795"/>
                      <wp:wrapNone/>
                      <wp:docPr id="357" name="Line 1073" descr="P8274C4T9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8C8A0" id="Line 1073" o:spid="_x0000_s1026" alt="&quot;&quot;" style="position:absolute;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F3+v0TEAQAAbwMAAA4AAAAAAAAAAAAAAAAA&#10;LgIAAGRycy9lMm9Eb2MueG1sUEsBAi0AFAAGAAgAAAAhABdPMBLbAAAACAEAAA8AAAAAAAAAAAAA&#10;AAAAHgQAAGRycy9kb3ducmV2LnhtbFBLBQYAAAAABAAEAPMAAAAmBQAAAAA=&#10;" strokeweight="1.5pt"/>
                  </w:pict>
                </mc:Fallback>
              </mc:AlternateContent>
            </w:r>
            <w:r w:rsidR="00141448">
              <w:rPr>
                <w:b/>
                <w:bCs/>
                <w:szCs w:val="18"/>
              </w:rPr>
              <w:t>NOTES</w:t>
            </w:r>
          </w:p>
          <w:p w14:paraId="44F83BD9" w14:textId="77777777" w:rsidR="00141448" w:rsidRDefault="00141448" w:rsidP="00141448">
            <w:pPr>
              <w:pStyle w:val="NotesText"/>
            </w:pPr>
          </w:p>
          <w:p w14:paraId="021CC668" w14:textId="77777777" w:rsidR="00141448" w:rsidRDefault="00141448" w:rsidP="00141448">
            <w:pPr>
              <w:pStyle w:val="NotesText"/>
            </w:pPr>
            <w:r>
              <w:t>A user may search for specific tasks using search criteria detailed in Pending Task List.</w:t>
            </w:r>
          </w:p>
        </w:tc>
      </w:tr>
      <w:tr w:rsidR="006D7FC0" w14:paraId="5579B6A1" w14:textId="77777777">
        <w:tc>
          <w:tcPr>
            <w:tcW w:w="3240" w:type="dxa"/>
          </w:tcPr>
          <w:p w14:paraId="48EFE587" w14:textId="77777777" w:rsidR="006D7FC0" w:rsidRDefault="006D7FC0">
            <w:pPr>
              <w:pStyle w:val="TableTextNumbers"/>
            </w:pPr>
            <w:r>
              <w:t>Click one to four check boxes in the Pending Task List to select tasks for testing.</w:t>
            </w:r>
          </w:p>
          <w:p w14:paraId="3645534C" w14:textId="77777777" w:rsidR="006D7FC0" w:rsidRDefault="006D7FC0" w:rsidP="006D7FC0">
            <w:pPr>
              <w:pStyle w:val="TableTextNumbersContinued"/>
            </w:pPr>
          </w:p>
          <w:p w14:paraId="1C9949A0" w14:textId="77777777" w:rsidR="006D7FC0" w:rsidRDefault="006D7FC0" w:rsidP="006D7FC0">
            <w:pPr>
              <w:pStyle w:val="TableTextNumbersContinued"/>
            </w:pPr>
            <w:r>
              <w:t xml:space="preserve">Click </w:t>
            </w:r>
            <w:r w:rsidRPr="006D7FC0">
              <w:rPr>
                <w:b/>
              </w:rPr>
              <w:t>OK</w:t>
            </w:r>
            <w:r>
              <w:t>.</w:t>
            </w:r>
          </w:p>
        </w:tc>
        <w:tc>
          <w:tcPr>
            <w:tcW w:w="6120" w:type="dxa"/>
          </w:tcPr>
          <w:p w14:paraId="3FAA4FC0" w14:textId="77777777" w:rsidR="006D7FC0" w:rsidRDefault="006D7FC0" w:rsidP="006D7FC0">
            <w:pPr>
              <w:pStyle w:val="TableTextBullet"/>
            </w:pPr>
            <w:r>
              <w:t>Displays patient names and associated task information.</w:t>
            </w:r>
          </w:p>
          <w:p w14:paraId="03C23D50" w14:textId="77777777" w:rsidR="006D7FC0" w:rsidRDefault="006D7FC0" w:rsidP="006D7FC0">
            <w:pPr>
              <w:pStyle w:val="TableTextBullet"/>
            </w:pPr>
            <w:r>
              <w:t xml:space="preserve">Displays a direct data entry </w:t>
            </w:r>
            <w:r w:rsidR="00917E9F">
              <w:t xml:space="preserve">(DDE) </w:t>
            </w:r>
            <w:r>
              <w:t>grid for entering serologic reaction results for antigen typing testing. This grid may be partially populated from a previous session.</w:t>
            </w:r>
          </w:p>
          <w:p w14:paraId="4DB6E141" w14:textId="77777777" w:rsidR="006D7FC0" w:rsidRDefault="006D7FC0" w:rsidP="006D7FC0">
            <w:pPr>
              <w:pStyle w:val="TableTextBullet"/>
            </w:pPr>
            <w:r>
              <w:t>Allows the user to select a unit and enter a test result for the unit.</w:t>
            </w:r>
          </w:p>
          <w:p w14:paraId="7BEC677B" w14:textId="77777777" w:rsidR="006D7FC0" w:rsidRDefault="006D7FC0" w:rsidP="006D7FC0">
            <w:pPr>
              <w:pStyle w:val="TableTextBullet"/>
            </w:pPr>
            <w:r>
              <w:t>Displays options for finding and selecting tests to process.</w:t>
            </w:r>
          </w:p>
          <w:p w14:paraId="374AD6F7" w14:textId="77777777" w:rsidR="006D7FC0" w:rsidRDefault="006D7FC0" w:rsidP="006D7FC0">
            <w:pPr>
              <w:pStyle w:val="TableText"/>
            </w:pPr>
          </w:p>
          <w:p w14:paraId="4D25902E" w14:textId="77777777" w:rsidR="006D7FC0" w:rsidRDefault="00057948" w:rsidP="006D7FC0">
            <w:pPr>
              <w:pStyle w:val="TableText"/>
              <w:rPr>
                <w:b/>
                <w:bCs/>
                <w:szCs w:val="18"/>
              </w:rPr>
            </w:pPr>
            <w:r>
              <w:rPr>
                <w:b/>
                <w:bCs/>
                <w:noProof/>
              </w:rPr>
              <mc:AlternateContent>
                <mc:Choice Requires="wps">
                  <w:drawing>
                    <wp:anchor distT="0" distB="0" distL="114300" distR="114300" simplePos="0" relativeHeight="251934208" behindDoc="0" locked="0" layoutInCell="1" allowOverlap="1" wp14:anchorId="4CFB5B76" wp14:editId="0B79E4F7">
                      <wp:simplePos x="0" y="0"/>
                      <wp:positionH relativeFrom="column">
                        <wp:posOffset>457200</wp:posOffset>
                      </wp:positionH>
                      <wp:positionV relativeFrom="paragraph">
                        <wp:posOffset>65405</wp:posOffset>
                      </wp:positionV>
                      <wp:extent cx="3200400" cy="0"/>
                      <wp:effectExtent l="9525" t="17780" r="9525" b="10795"/>
                      <wp:wrapNone/>
                      <wp:docPr id="356" name="Line 1078" descr="P8286C6T9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07D8B" id="Line 1078" o:spid="_x0000_s1026" alt="&quot;&quot;" style="position:absolute;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LHnGvnEAQAAbwMAAA4AAAAAAAAAAAAAAAAA&#10;LgIAAGRycy9lMm9Eb2MueG1sUEsBAi0AFAAGAAgAAAAhABdPMBLbAAAACAEAAA8AAAAAAAAAAAAA&#10;AAAAHgQAAGRycy9kb3ducmV2LnhtbFBLBQYAAAAABAAEAPMAAAAmBQAAAAA=&#10;" strokeweight="1.5pt"/>
                  </w:pict>
                </mc:Fallback>
              </mc:AlternateContent>
            </w:r>
            <w:r w:rsidR="006D7FC0">
              <w:rPr>
                <w:b/>
                <w:bCs/>
                <w:szCs w:val="18"/>
              </w:rPr>
              <w:t>NOTES</w:t>
            </w:r>
          </w:p>
          <w:p w14:paraId="3519155F" w14:textId="77777777" w:rsidR="006D7FC0" w:rsidRDefault="006D7FC0" w:rsidP="009368F1">
            <w:pPr>
              <w:pStyle w:val="NotesText"/>
            </w:pPr>
          </w:p>
          <w:p w14:paraId="1E559D21" w14:textId="77777777" w:rsidR="006D7FC0" w:rsidRDefault="006D7FC0" w:rsidP="009368F1">
            <w:pPr>
              <w:pStyle w:val="NotesText"/>
            </w:pPr>
            <w:r>
              <w:rPr>
                <w:rFonts w:cs="Arial"/>
                <w:vanish/>
              </w:rPr>
              <w:t xml:space="preserve">BR_41.15 </w:t>
            </w:r>
            <w:r>
              <w:t>When the user selects a partially completed worksheet, he must verify the lot numbers, manufacturer name, and expiration date of the antiserum and control cells previously selected. These fields may not be edited. (A user who finds a discrepancy must delete the worksheet and start over.)</w:t>
            </w:r>
          </w:p>
        </w:tc>
      </w:tr>
      <w:tr w:rsidR="002A21AE" w14:paraId="229F1062" w14:textId="77777777">
        <w:tc>
          <w:tcPr>
            <w:tcW w:w="3240" w:type="dxa"/>
          </w:tcPr>
          <w:p w14:paraId="39602ECE" w14:textId="77777777" w:rsidR="002A21AE" w:rsidRDefault="002A21AE">
            <w:pPr>
              <w:pStyle w:val="TableTextNumbers"/>
            </w:pPr>
            <w:r>
              <w:t>Confirm the selected patient.</w:t>
            </w:r>
          </w:p>
          <w:p w14:paraId="39F07964" w14:textId="77777777" w:rsidR="002A21AE" w:rsidRDefault="002A21AE">
            <w:pPr>
              <w:pStyle w:val="TableTextNumbersContinued"/>
            </w:pPr>
          </w:p>
          <w:p w14:paraId="596DC206" w14:textId="77777777" w:rsidR="002A21AE" w:rsidRDefault="002A21AE">
            <w:pPr>
              <w:pStyle w:val="TableTextNumbersContinued"/>
            </w:pPr>
            <w:r>
              <w:t xml:space="preserve">When control cells were tested for the antiserum, go to Step </w:t>
            </w:r>
            <w:r w:rsidR="00502986">
              <w:t>7</w:t>
            </w:r>
            <w:r>
              <w:t>.</w:t>
            </w:r>
          </w:p>
        </w:tc>
        <w:tc>
          <w:tcPr>
            <w:tcW w:w="6120" w:type="dxa"/>
          </w:tcPr>
          <w:p w14:paraId="62B95212" w14:textId="77777777" w:rsidR="002A21AE" w:rsidRDefault="002A21AE">
            <w:pPr>
              <w:pStyle w:val="TableTextBullet"/>
            </w:pPr>
            <w:r>
              <w:t xml:space="preserve">Displays an option to select a lot number for each of the antiserum types selected. </w:t>
            </w:r>
          </w:p>
          <w:p w14:paraId="7A8E59F9" w14:textId="77777777" w:rsidR="002A21AE" w:rsidRDefault="002A21AE">
            <w:pPr>
              <w:pStyle w:val="TableText"/>
            </w:pPr>
          </w:p>
          <w:p w14:paraId="421E92B4" w14:textId="77777777" w:rsidR="002A21AE" w:rsidRDefault="00057948">
            <w:pPr>
              <w:pStyle w:val="TableText"/>
              <w:rPr>
                <w:b/>
                <w:bCs/>
                <w:szCs w:val="18"/>
              </w:rPr>
            </w:pPr>
            <w:r>
              <w:rPr>
                <w:b/>
                <w:bCs/>
                <w:noProof/>
              </w:rPr>
              <mc:AlternateContent>
                <mc:Choice Requires="wps">
                  <w:drawing>
                    <wp:anchor distT="0" distB="0" distL="114300" distR="114300" simplePos="0" relativeHeight="251429376" behindDoc="0" locked="0" layoutInCell="1" allowOverlap="1" wp14:anchorId="666047C5" wp14:editId="5E5187E8">
                      <wp:simplePos x="0" y="0"/>
                      <wp:positionH relativeFrom="column">
                        <wp:posOffset>457200</wp:posOffset>
                      </wp:positionH>
                      <wp:positionV relativeFrom="paragraph">
                        <wp:posOffset>65405</wp:posOffset>
                      </wp:positionV>
                      <wp:extent cx="3200400" cy="0"/>
                      <wp:effectExtent l="9525" t="17780" r="9525" b="10795"/>
                      <wp:wrapNone/>
                      <wp:docPr id="355" name="Line 755" descr="P8295C8T9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12FD9" id="Line 755" o:spid="_x0000_s1026" alt="&quot;&quot;" style="position:absolute;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J1eg3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29EED6F0" w14:textId="77777777" w:rsidR="002A21AE" w:rsidRDefault="002A21AE">
            <w:pPr>
              <w:pStyle w:val="NotesText"/>
            </w:pPr>
          </w:p>
          <w:p w14:paraId="4AB87CF8" w14:textId="77777777" w:rsidR="002A21AE" w:rsidRDefault="002A21AE">
            <w:pPr>
              <w:pStyle w:val="NotesText"/>
            </w:pPr>
            <w:r>
              <w:t>VBECS displays grids and quality control cells for each antiserum type.</w:t>
            </w:r>
          </w:p>
        </w:tc>
      </w:tr>
      <w:tr w:rsidR="002A21AE" w14:paraId="5FAB0D09" w14:textId="77777777">
        <w:tc>
          <w:tcPr>
            <w:tcW w:w="3240" w:type="dxa"/>
          </w:tcPr>
          <w:p w14:paraId="4B4454B8" w14:textId="77777777" w:rsidR="002A21AE" w:rsidRDefault="002A21AE">
            <w:pPr>
              <w:pStyle w:val="TableTextNumbers"/>
            </w:pPr>
            <w:r>
              <w:t>Select a lot number for each antiserum specificity.</w:t>
            </w:r>
          </w:p>
        </w:tc>
        <w:tc>
          <w:tcPr>
            <w:tcW w:w="6120" w:type="dxa"/>
          </w:tcPr>
          <w:p w14:paraId="1772FDDF" w14:textId="77777777" w:rsidR="002A21AE" w:rsidRDefault="002A21AE">
            <w:pPr>
              <w:pStyle w:val="TableTextBullet"/>
            </w:pPr>
            <w:r>
              <w:rPr>
                <w:rFonts w:cs="Arial"/>
                <w:vanish/>
              </w:rPr>
              <w:t>BR_41.04</w:t>
            </w:r>
            <w:r w:rsidR="004F5F28" w:rsidRPr="00323744">
              <w:rPr>
                <w:rStyle w:val="BullhornChar"/>
              </w:rPr>
              <w:t></w:t>
            </w:r>
            <w:r w:rsidR="004F5F28">
              <w:rPr>
                <w:rFonts w:ascii="Webdings" w:hAnsi="Webdings"/>
              </w:rPr>
              <w:t></w:t>
            </w:r>
            <w:r w:rsidR="00AA089C">
              <w:t>A</w:t>
            </w:r>
            <w:r>
              <w:t>llows the user to select or enter the lot number and displays the manufacturer and expiration date of each antiserum to be used in this transaction so the user can select the correct antiserum. VBECS displays in-date antisera. When the user selects outdated antisera, VBECS emits an audible alert and requires a comment and an override. VBECS captures details for inclusion in an Exception Report (exception type: expired antisera used).</w:t>
            </w:r>
          </w:p>
          <w:p w14:paraId="3182247C" w14:textId="77777777" w:rsidR="002A21AE" w:rsidRDefault="002A21AE">
            <w:pPr>
              <w:pStyle w:val="TableTextBullet"/>
            </w:pPr>
            <w:r>
              <w:t>Prompts the user to select the correct antiserum entry for the specificity selected.</w:t>
            </w:r>
          </w:p>
          <w:p w14:paraId="68BE8608" w14:textId="77777777" w:rsidR="002A21AE" w:rsidRDefault="002A21AE">
            <w:pPr>
              <w:pStyle w:val="TableTextBullet"/>
            </w:pPr>
            <w:r>
              <w:t xml:space="preserve">Displays the lot number information. </w:t>
            </w:r>
          </w:p>
          <w:p w14:paraId="7028CAB4" w14:textId="77777777" w:rsidR="00AA089C" w:rsidRDefault="00AA089C" w:rsidP="00AA089C">
            <w:pPr>
              <w:pStyle w:val="TableText"/>
            </w:pPr>
          </w:p>
          <w:p w14:paraId="67F54783" w14:textId="77777777" w:rsidR="00AA089C" w:rsidRDefault="00057948" w:rsidP="00AA089C">
            <w:pPr>
              <w:pStyle w:val="TableText"/>
              <w:rPr>
                <w:b/>
                <w:bCs/>
                <w:szCs w:val="18"/>
              </w:rPr>
            </w:pPr>
            <w:r>
              <w:rPr>
                <w:b/>
                <w:bCs/>
                <w:noProof/>
              </w:rPr>
              <mc:AlternateContent>
                <mc:Choice Requires="wps">
                  <w:drawing>
                    <wp:anchor distT="0" distB="0" distL="114300" distR="114300" simplePos="0" relativeHeight="251988480" behindDoc="0" locked="0" layoutInCell="1" allowOverlap="1" wp14:anchorId="334FE170" wp14:editId="78D7C79D">
                      <wp:simplePos x="0" y="0"/>
                      <wp:positionH relativeFrom="column">
                        <wp:posOffset>457200</wp:posOffset>
                      </wp:positionH>
                      <wp:positionV relativeFrom="paragraph">
                        <wp:posOffset>65405</wp:posOffset>
                      </wp:positionV>
                      <wp:extent cx="3200400" cy="0"/>
                      <wp:effectExtent l="9525" t="17780" r="9525" b="10795"/>
                      <wp:wrapNone/>
                      <wp:docPr id="354" name="Line 1191" descr="P8304C10T9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47DB5" id="Line 1191" o:spid="_x0000_s1026" alt="&quot;&quot;" style="position:absolute;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Ftiu4bEAQAAbwMAAA4AAAAAAAAAAAAAAAAA&#10;LgIAAGRycy9lMm9Eb2MueG1sUEsBAi0AFAAGAAgAAAAhABdPMBLbAAAACAEAAA8AAAAAAAAAAAAA&#10;AAAAHgQAAGRycy9kb3ducmV2LnhtbFBLBQYAAAAABAAEAPMAAAAmBQAAAAA=&#10;" strokeweight="1.5pt"/>
                  </w:pict>
                </mc:Fallback>
              </mc:AlternateContent>
            </w:r>
            <w:r w:rsidR="00AA089C">
              <w:rPr>
                <w:b/>
                <w:bCs/>
                <w:szCs w:val="18"/>
              </w:rPr>
              <w:t>NOTES</w:t>
            </w:r>
          </w:p>
          <w:p w14:paraId="47C54AA0" w14:textId="77777777" w:rsidR="00AA089C" w:rsidRDefault="00AA089C" w:rsidP="00AA089C">
            <w:pPr>
              <w:pStyle w:val="NotesText"/>
            </w:pPr>
          </w:p>
          <w:p w14:paraId="76CCB463" w14:textId="77777777" w:rsidR="00AA089C" w:rsidRDefault="00AA089C" w:rsidP="00AA089C">
            <w:pPr>
              <w:pStyle w:val="NotesText"/>
            </w:pPr>
            <w:r>
              <w:t>VBECS r</w:t>
            </w:r>
            <w:r w:rsidRPr="00AA089C">
              <w:t>equest</w:t>
            </w:r>
            <w:r>
              <w:t>s</w:t>
            </w:r>
            <w:r w:rsidRPr="00AA089C">
              <w:t xml:space="preserve"> information about </w:t>
            </w:r>
            <w:r>
              <w:t>an antigen</w:t>
            </w:r>
            <w:r w:rsidRPr="00AA089C">
              <w:t xml:space="preserve"> lot number </w:t>
            </w:r>
            <w:r>
              <w:t xml:space="preserve">only </w:t>
            </w:r>
            <w:r w:rsidRPr="00AA089C">
              <w:t xml:space="preserve">the first time it is used </w:t>
            </w:r>
            <w:r>
              <w:t>on a specific</w:t>
            </w:r>
            <w:r w:rsidRPr="00AA089C">
              <w:t xml:space="preserve"> day. </w:t>
            </w:r>
          </w:p>
          <w:p w14:paraId="2631391F" w14:textId="77777777" w:rsidR="00AA089C" w:rsidRDefault="00AA089C" w:rsidP="00AA089C">
            <w:pPr>
              <w:pStyle w:val="NotesText"/>
            </w:pPr>
          </w:p>
          <w:p w14:paraId="4969172E" w14:textId="77777777" w:rsidR="00AA089C" w:rsidRDefault="00AA089C" w:rsidP="00AA089C">
            <w:pPr>
              <w:pStyle w:val="NotesText"/>
            </w:pPr>
            <w:r w:rsidRPr="00AA089C">
              <w:t xml:space="preserve">If there are multiple test tabs, </w:t>
            </w:r>
            <w:r>
              <w:t>VBECS displays a</w:t>
            </w:r>
            <w:r w:rsidRPr="00AA089C">
              <w:t xml:space="preserve"> </w:t>
            </w:r>
            <w:r>
              <w:t>message</w:t>
            </w:r>
            <w:r w:rsidRPr="00AA089C">
              <w:t xml:space="preserve"> </w:t>
            </w:r>
            <w:r>
              <w:t xml:space="preserve">that </w:t>
            </w:r>
            <w:r w:rsidRPr="00AA089C">
              <w:t xml:space="preserve">may not </w:t>
            </w:r>
            <w:r>
              <w:t>correspond to</w:t>
            </w:r>
            <w:r w:rsidRPr="00AA089C">
              <w:t xml:space="preserve"> the</w:t>
            </w:r>
            <w:r>
              <w:t xml:space="preserve"> selected</w:t>
            </w:r>
            <w:r w:rsidRPr="00AA089C">
              <w:t xml:space="preserve"> tab, but will </w:t>
            </w:r>
            <w:r>
              <w:t xml:space="preserve">correspond to </w:t>
            </w:r>
            <w:r w:rsidRPr="00AA089C">
              <w:t xml:space="preserve">information </w:t>
            </w:r>
            <w:r>
              <w:t xml:space="preserve">required by </w:t>
            </w:r>
            <w:r w:rsidRPr="00AA089C">
              <w:t>one of the requested tests.</w:t>
            </w:r>
          </w:p>
        </w:tc>
      </w:tr>
      <w:tr w:rsidR="002A21AE" w14:paraId="3B37D9A8" w14:textId="77777777">
        <w:tc>
          <w:tcPr>
            <w:tcW w:w="3240" w:type="dxa"/>
          </w:tcPr>
          <w:p w14:paraId="401FFD7E" w14:textId="7874329A" w:rsidR="002A21AE" w:rsidRDefault="002A21AE" w:rsidP="00AA3667">
            <w:pPr>
              <w:pStyle w:val="TableTextNumbers"/>
            </w:pPr>
            <w:r>
              <w:t>Verify the antiserum lot number selected</w:t>
            </w:r>
            <w:r w:rsidR="00AA3667">
              <w:t xml:space="preserve"> (</w:t>
            </w:r>
            <w:r w:rsidR="00AA3667">
              <w:fldChar w:fldCharType="begin" w:fldLock="1"/>
            </w:r>
            <w:r w:rsidR="00AA3667">
              <w:instrText xml:space="preserve"> REF _Ref126727198 \h </w:instrText>
            </w:r>
            <w:r w:rsidR="00AA3667">
              <w:fldChar w:fldCharType="separate"/>
            </w:r>
            <w:r w:rsidR="00AB304C">
              <w:t xml:space="preserve">Figure </w:t>
            </w:r>
            <w:r w:rsidR="00AB304C">
              <w:rPr>
                <w:noProof/>
              </w:rPr>
              <w:t>128</w:t>
            </w:r>
            <w:r w:rsidR="00AA3667">
              <w:fldChar w:fldCharType="end"/>
            </w:r>
            <w:r w:rsidR="00AA3667">
              <w:t>)</w:t>
            </w:r>
            <w:r>
              <w:t xml:space="preserve">. </w:t>
            </w:r>
          </w:p>
        </w:tc>
        <w:tc>
          <w:tcPr>
            <w:tcW w:w="6120" w:type="dxa"/>
          </w:tcPr>
          <w:p w14:paraId="264CA1D8" w14:textId="77777777" w:rsidR="002A21AE" w:rsidRDefault="002A21AE">
            <w:pPr>
              <w:pStyle w:val="TableTextBullet"/>
            </w:pPr>
            <w:r>
              <w:t xml:space="preserve">Allows the user to select the testing phases for the antiserum specificity by lot number. </w:t>
            </w:r>
          </w:p>
          <w:p w14:paraId="64E9917D" w14:textId="77777777" w:rsidR="002A21AE" w:rsidRDefault="002A21AE">
            <w:pPr>
              <w:pStyle w:val="TableTextBullet"/>
            </w:pPr>
            <w:r>
              <w:t xml:space="preserve">Displays a testing grid and disables the phases that are not to be completed. </w:t>
            </w:r>
          </w:p>
          <w:p w14:paraId="6F7F6730" w14:textId="77777777" w:rsidR="002A21AE" w:rsidRDefault="002A21AE">
            <w:pPr>
              <w:pStyle w:val="TableTextBullet"/>
            </w:pPr>
            <w:r>
              <w:lastRenderedPageBreak/>
              <w:t>Stores the antiserum information and checks whether the positive and negative controls are needed.</w:t>
            </w:r>
          </w:p>
          <w:p w14:paraId="05A6832B" w14:textId="77777777" w:rsidR="002A21AE" w:rsidRDefault="002A21AE">
            <w:pPr>
              <w:pStyle w:val="TableText"/>
            </w:pPr>
          </w:p>
          <w:p w14:paraId="6002BD4B" w14:textId="77777777" w:rsidR="002A21AE" w:rsidRDefault="00057948">
            <w:pPr>
              <w:pStyle w:val="TableText"/>
              <w:rPr>
                <w:b/>
                <w:bCs/>
                <w:szCs w:val="18"/>
              </w:rPr>
            </w:pPr>
            <w:r>
              <w:rPr>
                <w:b/>
                <w:bCs/>
                <w:noProof/>
              </w:rPr>
              <mc:AlternateContent>
                <mc:Choice Requires="wps">
                  <w:drawing>
                    <wp:anchor distT="0" distB="0" distL="114300" distR="114300" simplePos="0" relativeHeight="251432448" behindDoc="0" locked="0" layoutInCell="1" allowOverlap="1" wp14:anchorId="78E8BC33" wp14:editId="0911C74D">
                      <wp:simplePos x="0" y="0"/>
                      <wp:positionH relativeFrom="column">
                        <wp:posOffset>457200</wp:posOffset>
                      </wp:positionH>
                      <wp:positionV relativeFrom="paragraph">
                        <wp:posOffset>65405</wp:posOffset>
                      </wp:positionV>
                      <wp:extent cx="3200400" cy="0"/>
                      <wp:effectExtent l="9525" t="17780" r="9525" b="10795"/>
                      <wp:wrapNone/>
                      <wp:docPr id="353" name="Line 756" descr="P8315C12T9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B0472" id="Line 756" o:spid="_x0000_s1026" alt="&quot;&quot;" style="position:absolute;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r8zha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6424DAAF" w14:textId="77777777" w:rsidR="002A21AE" w:rsidRDefault="002A21AE">
            <w:pPr>
              <w:pStyle w:val="NotesText"/>
            </w:pPr>
          </w:p>
          <w:p w14:paraId="74E64FC0" w14:textId="77777777" w:rsidR="002A21AE" w:rsidRDefault="002A21AE">
            <w:pPr>
              <w:pStyle w:val="NotesText"/>
            </w:pPr>
            <w:r>
              <w:rPr>
                <w:rFonts w:cs="Arial"/>
                <w:vanish/>
              </w:rPr>
              <w:t xml:space="preserve">BR_41.02 </w:t>
            </w:r>
            <w:r>
              <w:t xml:space="preserve">The user must indicate the phases of reactivity for each antiserum specificity: </w:t>
            </w:r>
          </w:p>
          <w:p w14:paraId="428E7355" w14:textId="77777777" w:rsidR="002A21AE" w:rsidRDefault="002A21AE">
            <w:pPr>
              <w:pStyle w:val="NotesTextBullet"/>
              <w:tabs>
                <w:tab w:val="clear" w:pos="1008"/>
                <w:tab w:val="num" w:pos="1260"/>
              </w:tabs>
              <w:ind w:left="1188"/>
            </w:pPr>
            <w:r>
              <w:t>IS</w:t>
            </w:r>
          </w:p>
          <w:p w14:paraId="6DEB6402" w14:textId="77777777" w:rsidR="002A21AE" w:rsidRDefault="002A21AE">
            <w:pPr>
              <w:pStyle w:val="NotesTextBullet"/>
              <w:tabs>
                <w:tab w:val="clear" w:pos="1008"/>
                <w:tab w:val="num" w:pos="1260"/>
              </w:tabs>
              <w:ind w:left="1188"/>
            </w:pPr>
            <w:r>
              <w:t>IS/RT</w:t>
            </w:r>
          </w:p>
          <w:p w14:paraId="7A68A2A6" w14:textId="77777777" w:rsidR="002A21AE" w:rsidRDefault="002A21AE">
            <w:pPr>
              <w:pStyle w:val="NotesTextBullet"/>
              <w:tabs>
                <w:tab w:val="clear" w:pos="1008"/>
                <w:tab w:val="num" w:pos="1260"/>
              </w:tabs>
              <w:ind w:left="1188"/>
            </w:pPr>
            <w:r>
              <w:t>IS/37</w:t>
            </w:r>
          </w:p>
          <w:p w14:paraId="1B34B950" w14:textId="77777777" w:rsidR="002A21AE" w:rsidRDefault="002A21AE">
            <w:pPr>
              <w:pStyle w:val="NotesTextBullet"/>
              <w:tabs>
                <w:tab w:val="clear" w:pos="1008"/>
                <w:tab w:val="num" w:pos="1260"/>
              </w:tabs>
              <w:ind w:left="1188"/>
            </w:pPr>
            <w:r>
              <w:t>AHG/CC</w:t>
            </w:r>
          </w:p>
          <w:p w14:paraId="50B5E10B" w14:textId="77777777" w:rsidR="002A21AE" w:rsidRDefault="002A21AE">
            <w:pPr>
              <w:pStyle w:val="NotesText"/>
            </w:pPr>
          </w:p>
          <w:p w14:paraId="6C873890" w14:textId="77777777" w:rsidR="002A21AE" w:rsidRDefault="002A21AE">
            <w:pPr>
              <w:pStyle w:val="NotesText"/>
            </w:pPr>
            <w:r>
              <w:t>VBECS enables the Rack Identifier field when the user selects the weak D or AHG/CC phase. VBECS disables the rack identifier field when the user selects other phases.</w:t>
            </w:r>
          </w:p>
          <w:p w14:paraId="1A91D6CA" w14:textId="77777777" w:rsidR="002A21AE" w:rsidRDefault="002A21AE">
            <w:pPr>
              <w:pStyle w:val="NotesText"/>
            </w:pPr>
          </w:p>
          <w:p w14:paraId="67E9BB34" w14:textId="77777777" w:rsidR="002A21AE" w:rsidRDefault="002A21AE">
            <w:pPr>
              <w:pStyle w:val="NotesText"/>
            </w:pPr>
            <w:r>
              <w:rPr>
                <w:rFonts w:cs="Arial"/>
                <w:vanish/>
              </w:rPr>
              <w:t xml:space="preserve">BR_41.27 </w:t>
            </w:r>
            <w:r>
              <w:t>When the user QC’d the antigen typing reagent lot number and performed patient antigen typing on the same date under different testing phases, VBECS enables the QC grid for the antisera in the phases the user selected.</w:t>
            </w:r>
          </w:p>
          <w:p w14:paraId="0CBFA019" w14:textId="77777777" w:rsidR="002A21AE" w:rsidRDefault="002A21AE">
            <w:pPr>
              <w:pStyle w:val="NotesText"/>
            </w:pPr>
          </w:p>
          <w:p w14:paraId="2E6D8945" w14:textId="77777777" w:rsidR="002A21AE" w:rsidRDefault="002A21AE">
            <w:pPr>
              <w:pStyle w:val="NotesText"/>
            </w:pPr>
            <w:r>
              <w:rPr>
                <w:rFonts w:cs="Arial"/>
                <w:vanish/>
              </w:rPr>
              <w:t>BR_41.26</w:t>
            </w:r>
            <w:r w:rsidR="004F5F28" w:rsidRPr="00323744">
              <w:rPr>
                <w:rStyle w:val="BullhornChar"/>
              </w:rPr>
              <w:t></w:t>
            </w:r>
            <w:r w:rsidR="004F5F28">
              <w:rPr>
                <w:rFonts w:ascii="Webdings" w:hAnsi="Webdings"/>
              </w:rPr>
              <w:t></w:t>
            </w:r>
            <w:r w:rsidR="004F5F28" w:rsidRPr="00263B24">
              <w:t>Wh</w:t>
            </w:r>
            <w:r w:rsidR="004F5F28">
              <w:t>en</w:t>
            </w:r>
            <w:r>
              <w:t xml:space="preserve"> the user attempts to change the phases of reactivity previously recorded for the lot number, VBECS emits an audible alert, warns that the user selected phases that were not used previously for this reagent, and asks whether the user wishes to continue. </w:t>
            </w:r>
            <w:r>
              <w:rPr>
                <w:b/>
              </w:rPr>
              <w:t>No</w:t>
            </w:r>
            <w:r>
              <w:t xml:space="preserve"> requires the user to select the correct testing phases. </w:t>
            </w:r>
            <w:r>
              <w:rPr>
                <w:b/>
              </w:rPr>
              <w:t>Yes</w:t>
            </w:r>
            <w:r>
              <w:t xml:space="preserve"> requires the user to enter a comment explaining why he is selecting different testing phases. VBECS captures details for inclusion in an Exception Report (exception type: antigen testing phase change). VBECS requires a comment and captures details for inclusion in an Exception Report. Antigen testing phase change</w:t>
            </w:r>
          </w:p>
        </w:tc>
      </w:tr>
      <w:tr w:rsidR="002A21AE" w14:paraId="3876B690" w14:textId="77777777">
        <w:tc>
          <w:tcPr>
            <w:tcW w:w="3240" w:type="dxa"/>
          </w:tcPr>
          <w:p w14:paraId="68A5E7B5" w14:textId="77777777" w:rsidR="00B6515C" w:rsidRDefault="00B6515C" w:rsidP="00B6515C">
            <w:pPr>
              <w:pStyle w:val="TableTextNumbers"/>
            </w:pPr>
            <w:r>
              <w:lastRenderedPageBreak/>
              <w:t>Select the lot number for the reagent and the positive and negative control cells. Enter the vial identifiers, if required. Enter “0” when not using panel cells.</w:t>
            </w:r>
          </w:p>
          <w:p w14:paraId="3FB6F740" w14:textId="77777777" w:rsidR="00B6515C" w:rsidRDefault="00B6515C" w:rsidP="00B6515C">
            <w:pPr>
              <w:pStyle w:val="TableTextNumbersContinued"/>
            </w:pPr>
          </w:p>
          <w:p w14:paraId="69382CB0" w14:textId="033C92EC" w:rsidR="00B6515C" w:rsidRDefault="00B6515C" w:rsidP="00B6515C">
            <w:pPr>
              <w:pStyle w:val="TableTextNumbersContinued"/>
            </w:pPr>
            <w:r>
              <w:t>Verify the reagent type and the positive and negative control cell lot numbers selected and vial identifiers entered, if required</w:t>
            </w:r>
            <w:r w:rsidR="001E3E16">
              <w:t xml:space="preserve"> (</w:t>
            </w:r>
            <w:r w:rsidR="001E3E16">
              <w:fldChar w:fldCharType="begin" w:fldLock="1"/>
            </w:r>
            <w:r w:rsidR="001E3E16">
              <w:instrText xml:space="preserve"> REF _Ref126727469 \h </w:instrText>
            </w:r>
            <w:r w:rsidR="001E3E16">
              <w:fldChar w:fldCharType="separate"/>
            </w:r>
            <w:r w:rsidR="00AB304C">
              <w:t xml:space="preserve">Figure </w:t>
            </w:r>
            <w:r w:rsidR="00AB304C">
              <w:rPr>
                <w:noProof/>
              </w:rPr>
              <w:t>129</w:t>
            </w:r>
            <w:r w:rsidR="001E3E16">
              <w:fldChar w:fldCharType="end"/>
            </w:r>
            <w:r w:rsidR="001E3E16">
              <w:t>)</w:t>
            </w:r>
            <w:r>
              <w:t>.</w:t>
            </w:r>
          </w:p>
        </w:tc>
        <w:tc>
          <w:tcPr>
            <w:tcW w:w="6120" w:type="dxa"/>
          </w:tcPr>
          <w:p w14:paraId="2B173EFF" w14:textId="77777777" w:rsidR="002A21AE" w:rsidRDefault="002A21AE">
            <w:pPr>
              <w:pStyle w:val="TableTextBullet"/>
            </w:pPr>
            <w:r>
              <w:t xml:space="preserve">Displays the lot number information, including the vial identifier. </w:t>
            </w:r>
          </w:p>
          <w:p w14:paraId="35D8750F" w14:textId="77777777" w:rsidR="002A21AE" w:rsidRDefault="002A21AE">
            <w:pPr>
              <w:pStyle w:val="TableText"/>
            </w:pPr>
          </w:p>
          <w:p w14:paraId="4C0F91AC" w14:textId="77777777" w:rsidR="002A21AE" w:rsidRDefault="00057948">
            <w:pPr>
              <w:pStyle w:val="TableText"/>
              <w:rPr>
                <w:b/>
                <w:bCs/>
                <w:szCs w:val="18"/>
              </w:rPr>
            </w:pPr>
            <w:r>
              <w:rPr>
                <w:b/>
                <w:bCs/>
                <w:noProof/>
              </w:rPr>
              <mc:AlternateContent>
                <mc:Choice Requires="wps">
                  <w:drawing>
                    <wp:anchor distT="0" distB="0" distL="114300" distR="114300" simplePos="0" relativeHeight="251435520" behindDoc="0" locked="0" layoutInCell="1" allowOverlap="1" wp14:anchorId="0731CB90" wp14:editId="0A1792CB">
                      <wp:simplePos x="0" y="0"/>
                      <wp:positionH relativeFrom="column">
                        <wp:posOffset>457200</wp:posOffset>
                      </wp:positionH>
                      <wp:positionV relativeFrom="paragraph">
                        <wp:posOffset>65405</wp:posOffset>
                      </wp:positionV>
                      <wp:extent cx="3200400" cy="0"/>
                      <wp:effectExtent l="9525" t="17780" r="9525" b="10795"/>
                      <wp:wrapNone/>
                      <wp:docPr id="352" name="Line 757" descr="P8334C14T9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5098E" id="Line 757" o:spid="_x0000_s1026" alt="&quot;&quot;" style="position:absolute;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5q+at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0C54496E" w14:textId="77777777" w:rsidR="002A21AE" w:rsidRDefault="002A21AE">
            <w:pPr>
              <w:pStyle w:val="NotesText"/>
            </w:pPr>
          </w:p>
          <w:p w14:paraId="1891C18D" w14:textId="77777777" w:rsidR="002A21AE" w:rsidRDefault="002A21AE">
            <w:pPr>
              <w:pStyle w:val="NotesText"/>
            </w:pPr>
            <w:r>
              <w:rPr>
                <w:rFonts w:cs="Arial"/>
                <w:vanish/>
              </w:rPr>
              <w:t xml:space="preserve">BR_41.25 </w:t>
            </w:r>
            <w:r>
              <w:t xml:space="preserve">Selectable reagent lot numbers for positive and negative control cells are: </w:t>
            </w:r>
          </w:p>
          <w:p w14:paraId="2ABB07BB" w14:textId="77777777" w:rsidR="002A21AE" w:rsidRDefault="002A21AE">
            <w:pPr>
              <w:pStyle w:val="NotesTextBullet"/>
              <w:tabs>
                <w:tab w:val="clear" w:pos="1008"/>
                <w:tab w:val="num" w:pos="1260"/>
              </w:tabs>
              <w:ind w:left="1188"/>
            </w:pPr>
            <w:r>
              <w:t>Reverse ABO Typing Cells</w:t>
            </w:r>
          </w:p>
          <w:p w14:paraId="64244BAD" w14:textId="77777777" w:rsidR="002A21AE" w:rsidRDefault="002A21AE">
            <w:pPr>
              <w:pStyle w:val="NotesTextBullet"/>
              <w:tabs>
                <w:tab w:val="clear" w:pos="1008"/>
                <w:tab w:val="num" w:pos="1260"/>
              </w:tabs>
              <w:ind w:left="1188"/>
            </w:pPr>
            <w:r>
              <w:t>A2 cell</w:t>
            </w:r>
          </w:p>
          <w:p w14:paraId="5F781545" w14:textId="77777777" w:rsidR="002A21AE" w:rsidRDefault="002A21AE">
            <w:pPr>
              <w:pStyle w:val="NotesTextBullet"/>
              <w:tabs>
                <w:tab w:val="clear" w:pos="1008"/>
                <w:tab w:val="num" w:pos="1260"/>
              </w:tabs>
              <w:ind w:left="1188"/>
            </w:pPr>
            <w:r>
              <w:t xml:space="preserve">Screening Cells </w:t>
            </w:r>
          </w:p>
          <w:p w14:paraId="1CD4E7B6" w14:textId="77777777" w:rsidR="002A21AE" w:rsidRDefault="002A21AE">
            <w:pPr>
              <w:pStyle w:val="NotesTextBullet"/>
              <w:tabs>
                <w:tab w:val="clear" w:pos="1008"/>
                <w:tab w:val="num" w:pos="1260"/>
              </w:tabs>
              <w:ind w:left="1188"/>
            </w:pPr>
            <w:r>
              <w:t>Check Cells</w:t>
            </w:r>
          </w:p>
          <w:p w14:paraId="2EC9FD52" w14:textId="77777777" w:rsidR="002A21AE" w:rsidRDefault="002A21AE">
            <w:pPr>
              <w:pStyle w:val="NotesTextBullet"/>
              <w:tabs>
                <w:tab w:val="clear" w:pos="1008"/>
                <w:tab w:val="num" w:pos="1260"/>
              </w:tabs>
              <w:ind w:left="1188"/>
            </w:pPr>
            <w:r>
              <w:t>Panel</w:t>
            </w:r>
          </w:p>
          <w:p w14:paraId="16080237" w14:textId="77777777" w:rsidR="002A21AE" w:rsidRDefault="002A21AE">
            <w:pPr>
              <w:pStyle w:val="NotesTextBullet"/>
              <w:tabs>
                <w:tab w:val="clear" w:pos="1008"/>
                <w:tab w:val="num" w:pos="1260"/>
              </w:tabs>
              <w:ind w:left="1188"/>
            </w:pPr>
            <w:r>
              <w:t>Other (set)</w:t>
            </w:r>
          </w:p>
          <w:p w14:paraId="4C49C023" w14:textId="77777777" w:rsidR="002A21AE" w:rsidRDefault="002A21AE">
            <w:pPr>
              <w:pStyle w:val="TableText"/>
            </w:pPr>
          </w:p>
          <w:p w14:paraId="445CD57B" w14:textId="77777777" w:rsidR="002A21AE" w:rsidRDefault="00DD6197">
            <w:pPr>
              <w:pStyle w:val="NotesText"/>
            </w:pPr>
            <w:r>
              <w:t xml:space="preserve">The vial identifier, comprising one or two digits, identifies the vial contained in a kit of reagent red blood cells. A vial contains antigen positive or antigen negative blood cells to be used in quality control of the antisera. </w:t>
            </w:r>
          </w:p>
        </w:tc>
      </w:tr>
      <w:tr w:rsidR="002A21AE" w14:paraId="575DA5D3" w14:textId="77777777" w:rsidTr="00B4381D">
        <w:trPr>
          <w:cantSplit/>
        </w:trPr>
        <w:tc>
          <w:tcPr>
            <w:tcW w:w="3240" w:type="dxa"/>
          </w:tcPr>
          <w:p w14:paraId="3D4674D9" w14:textId="77777777" w:rsidR="002A21AE" w:rsidRDefault="002A21AE">
            <w:pPr>
              <w:pStyle w:val="TableTextNumbers"/>
            </w:pPr>
            <w:r>
              <w:lastRenderedPageBreak/>
              <w:t xml:space="preserve">Respond to warnings and continue with antigen typing. </w:t>
            </w:r>
          </w:p>
        </w:tc>
        <w:tc>
          <w:tcPr>
            <w:tcW w:w="6120" w:type="dxa"/>
          </w:tcPr>
          <w:p w14:paraId="52FD8E0F" w14:textId="77777777" w:rsidR="002A21AE" w:rsidRDefault="002A21AE">
            <w:pPr>
              <w:pStyle w:val="TableTextBullet"/>
            </w:pPr>
            <w:r>
              <w:t xml:space="preserve">Displays a </w:t>
            </w:r>
            <w:r w:rsidR="00917E9F">
              <w:t>DDE</w:t>
            </w:r>
            <w:r>
              <w:t xml:space="preserve"> grid for entering serologic reaction results for antigen typing testing. This grid may be partially populated with results from a previous session.</w:t>
            </w:r>
          </w:p>
          <w:p w14:paraId="643FBE7F" w14:textId="77777777" w:rsidR="002A21AE" w:rsidRDefault="002A21AE">
            <w:pPr>
              <w:pStyle w:val="TableText"/>
            </w:pPr>
          </w:p>
          <w:p w14:paraId="7C7C014C" w14:textId="77777777" w:rsidR="002A21AE" w:rsidRDefault="00057948">
            <w:pPr>
              <w:pStyle w:val="TableText"/>
              <w:rPr>
                <w:b/>
                <w:bCs/>
                <w:szCs w:val="18"/>
              </w:rPr>
            </w:pPr>
            <w:r>
              <w:rPr>
                <w:b/>
                <w:bCs/>
                <w:noProof/>
              </w:rPr>
              <mc:AlternateContent>
                <mc:Choice Requires="wps">
                  <w:drawing>
                    <wp:anchor distT="0" distB="0" distL="114300" distR="114300" simplePos="0" relativeHeight="251438592" behindDoc="0" locked="0" layoutInCell="1" allowOverlap="1" wp14:anchorId="6D620B0F" wp14:editId="4567239A">
                      <wp:simplePos x="0" y="0"/>
                      <wp:positionH relativeFrom="column">
                        <wp:posOffset>457200</wp:posOffset>
                      </wp:positionH>
                      <wp:positionV relativeFrom="paragraph">
                        <wp:posOffset>65405</wp:posOffset>
                      </wp:positionV>
                      <wp:extent cx="3200400" cy="0"/>
                      <wp:effectExtent l="9525" t="17780" r="9525" b="10795"/>
                      <wp:wrapNone/>
                      <wp:docPr id="351" name="Line 758" descr="P8349C16T9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C2C4C" id="Line 758" o:spid="_x0000_s1026" alt="&quot;&quot;" style="position:absolute;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0Cp7J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3C4AC7C8" w14:textId="77777777" w:rsidR="002A21AE" w:rsidRDefault="002A21AE">
            <w:pPr>
              <w:pStyle w:val="NotesText"/>
            </w:pPr>
          </w:p>
          <w:p w14:paraId="1BDF1136" w14:textId="77777777" w:rsidR="002A21AE" w:rsidRDefault="002A21AE">
            <w:pPr>
              <w:pStyle w:val="NotesText"/>
            </w:pPr>
            <w:r>
              <w:rPr>
                <w:rFonts w:cs="Arial"/>
                <w:vanish/>
              </w:rPr>
              <w:t xml:space="preserve">BR_41.07 </w:t>
            </w:r>
            <w:r>
              <w:t>VBECS organizes the worklist for the grids by antiserum types.</w:t>
            </w:r>
          </w:p>
          <w:p w14:paraId="57A3F804" w14:textId="77777777" w:rsidR="002A21AE" w:rsidRDefault="002A21AE">
            <w:pPr>
              <w:pStyle w:val="NotesText"/>
            </w:pPr>
          </w:p>
          <w:p w14:paraId="486EA285" w14:textId="77777777" w:rsidR="002A21AE" w:rsidRDefault="002A21AE">
            <w:pPr>
              <w:pStyle w:val="NotesText"/>
            </w:pPr>
            <w:r>
              <w:rPr>
                <w:vanish/>
                <w:szCs w:val="18"/>
              </w:rPr>
              <w:t xml:space="preserve">BR_98.06, </w:t>
            </w:r>
            <w:r>
              <w:rPr>
                <w:rFonts w:cs="Arial"/>
                <w:vanish/>
              </w:rPr>
              <w:t xml:space="preserve">BR_41.17 </w:t>
            </w:r>
            <w:r>
              <w:t>The row title of the data grid specifies the positive and negative control cells; the column title specifies the phases of reactivity that may be used in the test. VBECS fills in this information; the user may not edit it.</w:t>
            </w:r>
          </w:p>
        </w:tc>
      </w:tr>
      <w:tr w:rsidR="002A21AE" w14:paraId="67C7C91D" w14:textId="77777777">
        <w:tc>
          <w:tcPr>
            <w:tcW w:w="3240" w:type="dxa"/>
          </w:tcPr>
          <w:p w14:paraId="3EAF83DE" w14:textId="77777777" w:rsidR="002A21AE" w:rsidRDefault="002A21AE">
            <w:pPr>
              <w:pStyle w:val="TableTextNumbers"/>
            </w:pPr>
            <w:r>
              <w:t>Select one control cell or patient to begin entering serologic reactions and interpretations.</w:t>
            </w:r>
          </w:p>
        </w:tc>
        <w:tc>
          <w:tcPr>
            <w:tcW w:w="6120" w:type="dxa"/>
          </w:tcPr>
          <w:p w14:paraId="6E62AAEC" w14:textId="77777777" w:rsidR="002A21AE" w:rsidRDefault="002A21AE">
            <w:pPr>
              <w:pStyle w:val="TableTextBullet"/>
            </w:pPr>
            <w:r>
              <w:t>Allows the user to select a patient or control cell and enter test results.</w:t>
            </w:r>
          </w:p>
          <w:p w14:paraId="5A440051" w14:textId="77777777" w:rsidR="002A21AE" w:rsidRDefault="002A21AE">
            <w:pPr>
              <w:pStyle w:val="TableText"/>
            </w:pPr>
          </w:p>
          <w:p w14:paraId="7DCD0282" w14:textId="77777777" w:rsidR="002A21AE" w:rsidRDefault="00057948">
            <w:pPr>
              <w:pStyle w:val="TableText"/>
              <w:rPr>
                <w:b/>
                <w:bCs/>
                <w:szCs w:val="18"/>
              </w:rPr>
            </w:pPr>
            <w:r>
              <w:rPr>
                <w:b/>
                <w:bCs/>
                <w:noProof/>
              </w:rPr>
              <mc:AlternateContent>
                <mc:Choice Requires="wps">
                  <w:drawing>
                    <wp:anchor distT="0" distB="0" distL="114300" distR="114300" simplePos="0" relativeHeight="251441664" behindDoc="0" locked="0" layoutInCell="1" allowOverlap="1" wp14:anchorId="28AB2674" wp14:editId="20CDAB15">
                      <wp:simplePos x="0" y="0"/>
                      <wp:positionH relativeFrom="column">
                        <wp:posOffset>457200</wp:posOffset>
                      </wp:positionH>
                      <wp:positionV relativeFrom="paragraph">
                        <wp:posOffset>65405</wp:posOffset>
                      </wp:positionV>
                      <wp:extent cx="3200400" cy="0"/>
                      <wp:effectExtent l="9525" t="17780" r="9525" b="10795"/>
                      <wp:wrapNone/>
                      <wp:docPr id="350" name="Line 759" descr="P8358C18T9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C1A64" id="Line 759" o:spid="_x0000_s1026" alt="&quot;&quot;" style="position:absolute;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" strokeweight="1.5pt"/>
                  </w:pict>
                </mc:Fallback>
              </mc:AlternateContent>
            </w:r>
            <w:r w:rsidR="002A21AE">
              <w:rPr>
                <w:b/>
                <w:bCs/>
                <w:szCs w:val="18"/>
              </w:rPr>
              <w:t>NOTES</w:t>
            </w:r>
          </w:p>
          <w:p w14:paraId="3CE62253" w14:textId="77777777" w:rsidR="002A21AE" w:rsidRDefault="002A21AE">
            <w:pPr>
              <w:pStyle w:val="NotesText"/>
            </w:pPr>
          </w:p>
          <w:p w14:paraId="63BF8F9C" w14:textId="77777777" w:rsidR="002A21AE" w:rsidRDefault="002A21AE">
            <w:pPr>
              <w:pStyle w:val="NotesText"/>
            </w:pPr>
            <w:r>
              <w:rPr>
                <w:rFonts w:cs="Arial"/>
                <w:vanish/>
              </w:rPr>
              <w:t xml:space="preserve">BR_41.09 </w:t>
            </w:r>
            <w:r>
              <w:t xml:space="preserve">Valid observed test results include: </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520"/>
              <w:gridCol w:w="1260"/>
            </w:tblGrid>
            <w:tr w:rsidR="002A21AE" w14:paraId="124EA869" w14:textId="77777777">
              <w:trPr>
                <w:tblHeader/>
              </w:trPr>
              <w:tc>
                <w:tcPr>
                  <w:tcW w:w="720" w:type="dxa"/>
                  <w:shd w:val="clear" w:color="auto" w:fill="B3B3B3"/>
                </w:tcPr>
                <w:p w14:paraId="46F53C1F" w14:textId="77777777" w:rsidR="002A21AE" w:rsidRDefault="002A21AE">
                  <w:pPr>
                    <w:pStyle w:val="TableText"/>
                    <w:jc w:val="center"/>
                    <w:rPr>
                      <w:b/>
                    </w:rPr>
                  </w:pPr>
                  <w:r>
                    <w:rPr>
                      <w:b/>
                    </w:rPr>
                    <w:t>Entry</w:t>
                  </w:r>
                </w:p>
              </w:tc>
              <w:tc>
                <w:tcPr>
                  <w:tcW w:w="3780" w:type="dxa"/>
                  <w:gridSpan w:val="2"/>
                  <w:shd w:val="clear" w:color="auto" w:fill="B3B3B3"/>
                </w:tcPr>
                <w:p w14:paraId="4910530B" w14:textId="77777777" w:rsidR="002A21AE" w:rsidRDefault="002A21AE">
                  <w:pPr>
                    <w:pStyle w:val="TableText"/>
                    <w:jc w:val="center"/>
                    <w:rPr>
                      <w:b/>
                    </w:rPr>
                  </w:pPr>
                  <w:r>
                    <w:rPr>
                      <w:b/>
                    </w:rPr>
                    <w:t>VBECS Translation</w:t>
                  </w:r>
                </w:p>
              </w:tc>
            </w:tr>
            <w:tr w:rsidR="002A21AE" w14:paraId="18A207FA" w14:textId="77777777">
              <w:tc>
                <w:tcPr>
                  <w:tcW w:w="720" w:type="dxa"/>
                </w:tcPr>
                <w:p w14:paraId="6E9F8EB2" w14:textId="77777777" w:rsidR="002A21AE" w:rsidRDefault="002A21AE">
                  <w:pPr>
                    <w:pStyle w:val="TableText"/>
                    <w:jc w:val="center"/>
                  </w:pPr>
                  <w:r>
                    <w:t>1</w:t>
                  </w:r>
                </w:p>
              </w:tc>
              <w:tc>
                <w:tcPr>
                  <w:tcW w:w="2520" w:type="dxa"/>
                </w:tcPr>
                <w:p w14:paraId="7A323899" w14:textId="77777777" w:rsidR="002A21AE" w:rsidRDefault="002A21AE">
                  <w:pPr>
                    <w:pStyle w:val="TableText"/>
                  </w:pPr>
                  <w:r>
                    <w:t>1+</w:t>
                  </w:r>
                </w:p>
              </w:tc>
              <w:tc>
                <w:tcPr>
                  <w:tcW w:w="1260" w:type="dxa"/>
                </w:tcPr>
                <w:p w14:paraId="73B2422F" w14:textId="77777777" w:rsidR="002A21AE" w:rsidRDefault="002A21AE">
                  <w:pPr>
                    <w:pStyle w:val="TableText"/>
                  </w:pPr>
                  <w:r>
                    <w:t>Positive</w:t>
                  </w:r>
                </w:p>
              </w:tc>
            </w:tr>
            <w:tr w:rsidR="002A21AE" w14:paraId="5304C826" w14:textId="77777777">
              <w:tc>
                <w:tcPr>
                  <w:tcW w:w="720" w:type="dxa"/>
                </w:tcPr>
                <w:p w14:paraId="1B18C1E3" w14:textId="77777777" w:rsidR="002A21AE" w:rsidRDefault="002A21AE">
                  <w:pPr>
                    <w:pStyle w:val="TableText"/>
                    <w:jc w:val="center"/>
                  </w:pPr>
                  <w:r>
                    <w:t>2</w:t>
                  </w:r>
                </w:p>
              </w:tc>
              <w:tc>
                <w:tcPr>
                  <w:tcW w:w="2520" w:type="dxa"/>
                </w:tcPr>
                <w:p w14:paraId="1FD2E08F" w14:textId="77777777" w:rsidR="002A21AE" w:rsidRDefault="002A21AE">
                  <w:pPr>
                    <w:pStyle w:val="TableText"/>
                  </w:pPr>
                  <w:r>
                    <w:t>2+</w:t>
                  </w:r>
                </w:p>
              </w:tc>
              <w:tc>
                <w:tcPr>
                  <w:tcW w:w="1260" w:type="dxa"/>
                </w:tcPr>
                <w:p w14:paraId="77FD7F2D" w14:textId="77777777" w:rsidR="002A21AE" w:rsidRDefault="002A21AE">
                  <w:pPr>
                    <w:pStyle w:val="TableText"/>
                  </w:pPr>
                  <w:r>
                    <w:t>Positive</w:t>
                  </w:r>
                </w:p>
              </w:tc>
            </w:tr>
            <w:tr w:rsidR="002A21AE" w14:paraId="4738BB76" w14:textId="77777777">
              <w:tc>
                <w:tcPr>
                  <w:tcW w:w="720" w:type="dxa"/>
                </w:tcPr>
                <w:p w14:paraId="797F3BBC" w14:textId="77777777" w:rsidR="002A21AE" w:rsidRDefault="002A21AE">
                  <w:pPr>
                    <w:pStyle w:val="TableText"/>
                    <w:jc w:val="center"/>
                  </w:pPr>
                  <w:r>
                    <w:t>3</w:t>
                  </w:r>
                </w:p>
              </w:tc>
              <w:tc>
                <w:tcPr>
                  <w:tcW w:w="2520" w:type="dxa"/>
                </w:tcPr>
                <w:p w14:paraId="212384A6" w14:textId="77777777" w:rsidR="002A21AE" w:rsidRDefault="002A21AE">
                  <w:pPr>
                    <w:pStyle w:val="TableText"/>
                  </w:pPr>
                  <w:r>
                    <w:t>3+</w:t>
                  </w:r>
                </w:p>
              </w:tc>
              <w:tc>
                <w:tcPr>
                  <w:tcW w:w="1260" w:type="dxa"/>
                </w:tcPr>
                <w:p w14:paraId="6AA496C4" w14:textId="77777777" w:rsidR="002A21AE" w:rsidRDefault="002A21AE">
                  <w:pPr>
                    <w:pStyle w:val="TableText"/>
                  </w:pPr>
                  <w:r>
                    <w:t>Positive</w:t>
                  </w:r>
                </w:p>
              </w:tc>
            </w:tr>
            <w:tr w:rsidR="002A21AE" w14:paraId="0D38CE74" w14:textId="77777777">
              <w:tc>
                <w:tcPr>
                  <w:tcW w:w="720" w:type="dxa"/>
                </w:tcPr>
                <w:p w14:paraId="667C8B09" w14:textId="77777777" w:rsidR="002A21AE" w:rsidRDefault="002A21AE">
                  <w:pPr>
                    <w:pStyle w:val="TableText"/>
                    <w:jc w:val="center"/>
                  </w:pPr>
                  <w:r>
                    <w:t>4</w:t>
                  </w:r>
                </w:p>
              </w:tc>
              <w:tc>
                <w:tcPr>
                  <w:tcW w:w="2520" w:type="dxa"/>
                </w:tcPr>
                <w:p w14:paraId="52EECB0F" w14:textId="77777777" w:rsidR="002A21AE" w:rsidRDefault="002A21AE">
                  <w:pPr>
                    <w:pStyle w:val="TableText"/>
                  </w:pPr>
                  <w:r>
                    <w:t>4+</w:t>
                  </w:r>
                </w:p>
              </w:tc>
              <w:tc>
                <w:tcPr>
                  <w:tcW w:w="1260" w:type="dxa"/>
                </w:tcPr>
                <w:p w14:paraId="2DF0E2C8" w14:textId="77777777" w:rsidR="002A21AE" w:rsidRDefault="002A21AE">
                  <w:pPr>
                    <w:pStyle w:val="TableText"/>
                  </w:pPr>
                  <w:r>
                    <w:t>Positive</w:t>
                  </w:r>
                </w:p>
              </w:tc>
            </w:tr>
            <w:tr w:rsidR="006D384A" w14:paraId="2863207E" w14:textId="77777777">
              <w:tc>
                <w:tcPr>
                  <w:tcW w:w="720" w:type="dxa"/>
                </w:tcPr>
                <w:p w14:paraId="5754E9AB" w14:textId="77777777" w:rsidR="006D384A" w:rsidRDefault="006D384A">
                  <w:pPr>
                    <w:pStyle w:val="TableText"/>
                    <w:jc w:val="center"/>
                  </w:pPr>
                  <w:r>
                    <w:t>W</w:t>
                  </w:r>
                </w:p>
              </w:tc>
              <w:tc>
                <w:tcPr>
                  <w:tcW w:w="2520" w:type="dxa"/>
                </w:tcPr>
                <w:p w14:paraId="6F95216E" w14:textId="77777777" w:rsidR="006D384A" w:rsidRDefault="006D384A">
                  <w:pPr>
                    <w:pStyle w:val="TableText"/>
                  </w:pPr>
                  <w:r>
                    <w:t>Weak</w:t>
                  </w:r>
                </w:p>
              </w:tc>
              <w:tc>
                <w:tcPr>
                  <w:tcW w:w="1260" w:type="dxa"/>
                </w:tcPr>
                <w:p w14:paraId="473070C5" w14:textId="77777777" w:rsidR="006D384A" w:rsidRDefault="006D384A" w:rsidP="0079413B">
                  <w:pPr>
                    <w:pStyle w:val="TableText"/>
                  </w:pPr>
                  <w:r>
                    <w:t>Positive</w:t>
                  </w:r>
                </w:p>
              </w:tc>
            </w:tr>
            <w:tr w:rsidR="006D384A" w14:paraId="3CA96AAE" w14:textId="77777777">
              <w:tc>
                <w:tcPr>
                  <w:tcW w:w="720" w:type="dxa"/>
                </w:tcPr>
                <w:p w14:paraId="7DE23CF7" w14:textId="77777777" w:rsidR="006D384A" w:rsidRDefault="006D384A">
                  <w:pPr>
                    <w:pStyle w:val="TableText"/>
                    <w:jc w:val="center"/>
                  </w:pPr>
                  <w:r>
                    <w:t>F</w:t>
                  </w:r>
                </w:p>
              </w:tc>
              <w:tc>
                <w:tcPr>
                  <w:tcW w:w="2520" w:type="dxa"/>
                </w:tcPr>
                <w:p w14:paraId="6B49BC99" w14:textId="77777777" w:rsidR="006D384A" w:rsidRDefault="006D384A">
                  <w:pPr>
                    <w:pStyle w:val="TableText"/>
                  </w:pPr>
                  <w:r>
                    <w:t>Mixed Field</w:t>
                  </w:r>
                </w:p>
              </w:tc>
              <w:tc>
                <w:tcPr>
                  <w:tcW w:w="1260" w:type="dxa"/>
                </w:tcPr>
                <w:p w14:paraId="06D536F1" w14:textId="77777777" w:rsidR="006D384A" w:rsidRDefault="006D384A" w:rsidP="0079413B">
                  <w:pPr>
                    <w:pStyle w:val="TableText"/>
                  </w:pPr>
                  <w:r>
                    <w:t>Positive</w:t>
                  </w:r>
                </w:p>
              </w:tc>
            </w:tr>
            <w:tr w:rsidR="006D384A" w14:paraId="5E42F902" w14:textId="77777777">
              <w:tc>
                <w:tcPr>
                  <w:tcW w:w="720" w:type="dxa"/>
                </w:tcPr>
                <w:p w14:paraId="4A6E78B7" w14:textId="77777777" w:rsidR="006D384A" w:rsidRDefault="006D384A">
                  <w:pPr>
                    <w:pStyle w:val="TableText"/>
                    <w:jc w:val="center"/>
                  </w:pPr>
                  <w:r>
                    <w:t>M</w:t>
                  </w:r>
                </w:p>
              </w:tc>
              <w:tc>
                <w:tcPr>
                  <w:tcW w:w="2520" w:type="dxa"/>
                </w:tcPr>
                <w:p w14:paraId="0B19E6B7" w14:textId="77777777" w:rsidR="006D384A" w:rsidRDefault="006D384A">
                  <w:pPr>
                    <w:pStyle w:val="TableText"/>
                  </w:pPr>
                  <w:r>
                    <w:t>Microscopic</w:t>
                  </w:r>
                </w:p>
              </w:tc>
              <w:tc>
                <w:tcPr>
                  <w:tcW w:w="1260" w:type="dxa"/>
                </w:tcPr>
                <w:p w14:paraId="7BB4B2F9" w14:textId="77777777" w:rsidR="006D384A" w:rsidRDefault="006D384A" w:rsidP="0079413B">
                  <w:pPr>
                    <w:pStyle w:val="TableText"/>
                  </w:pPr>
                  <w:r>
                    <w:t>Positive</w:t>
                  </w:r>
                </w:p>
              </w:tc>
            </w:tr>
            <w:tr w:rsidR="002A21AE" w14:paraId="7AF6BFC1" w14:textId="77777777">
              <w:tc>
                <w:tcPr>
                  <w:tcW w:w="720" w:type="dxa"/>
                </w:tcPr>
                <w:p w14:paraId="4A57B9FC" w14:textId="77777777" w:rsidR="002A21AE" w:rsidRDefault="002A21AE">
                  <w:pPr>
                    <w:pStyle w:val="TableText"/>
                    <w:jc w:val="center"/>
                  </w:pPr>
                  <w:r>
                    <w:t>X</w:t>
                  </w:r>
                </w:p>
              </w:tc>
              <w:tc>
                <w:tcPr>
                  <w:tcW w:w="2520" w:type="dxa"/>
                </w:tcPr>
                <w:p w14:paraId="2286E6D8" w14:textId="77777777" w:rsidR="002A21AE" w:rsidRDefault="002A21AE">
                  <w:pPr>
                    <w:pStyle w:val="TableText"/>
                  </w:pPr>
                  <w:r>
                    <w:t>Not Tested</w:t>
                  </w:r>
                  <w:r w:rsidR="002F7FF1">
                    <w:t xml:space="preserve"> X (Not Tested) (does not indicate a disabled cell)</w:t>
                  </w:r>
                </w:p>
              </w:tc>
              <w:tc>
                <w:tcPr>
                  <w:tcW w:w="1260" w:type="dxa"/>
                </w:tcPr>
                <w:p w14:paraId="2C52AE55" w14:textId="77777777" w:rsidR="002A21AE" w:rsidRDefault="002A21AE">
                  <w:pPr>
                    <w:pStyle w:val="TableText"/>
                  </w:pPr>
                  <w:r>
                    <w:t>Not Tested</w:t>
                  </w:r>
                </w:p>
              </w:tc>
            </w:tr>
            <w:tr w:rsidR="002A21AE" w14:paraId="76C457F8" w14:textId="77777777">
              <w:tc>
                <w:tcPr>
                  <w:tcW w:w="720" w:type="dxa"/>
                </w:tcPr>
                <w:p w14:paraId="672736E3" w14:textId="77777777" w:rsidR="002A21AE" w:rsidRDefault="002A21AE">
                  <w:pPr>
                    <w:pStyle w:val="TableText"/>
                    <w:jc w:val="center"/>
                  </w:pPr>
                  <w:r>
                    <w:t>0</w:t>
                  </w:r>
                </w:p>
              </w:tc>
              <w:tc>
                <w:tcPr>
                  <w:tcW w:w="2520" w:type="dxa"/>
                </w:tcPr>
                <w:p w14:paraId="66719255" w14:textId="77777777" w:rsidR="002A21AE" w:rsidRDefault="002A21AE">
                  <w:pPr>
                    <w:pStyle w:val="TableText"/>
                  </w:pPr>
                  <w:r>
                    <w:t>No Agglutination</w:t>
                  </w:r>
                </w:p>
              </w:tc>
              <w:tc>
                <w:tcPr>
                  <w:tcW w:w="1260" w:type="dxa"/>
                </w:tcPr>
                <w:p w14:paraId="2E07A7FD" w14:textId="77777777" w:rsidR="002A21AE" w:rsidRDefault="002A21AE">
                  <w:pPr>
                    <w:pStyle w:val="TableText"/>
                  </w:pPr>
                  <w:r>
                    <w:t>Negative</w:t>
                  </w:r>
                </w:p>
              </w:tc>
            </w:tr>
            <w:tr w:rsidR="002A21AE" w14:paraId="54CF0D0E" w14:textId="77777777">
              <w:tc>
                <w:tcPr>
                  <w:tcW w:w="720" w:type="dxa"/>
                </w:tcPr>
                <w:p w14:paraId="656FB4BC" w14:textId="77777777" w:rsidR="002A21AE" w:rsidRDefault="002A21AE">
                  <w:pPr>
                    <w:pStyle w:val="TableText"/>
                    <w:jc w:val="center"/>
                  </w:pPr>
                  <w:r>
                    <w:t>R</w:t>
                  </w:r>
                </w:p>
              </w:tc>
              <w:tc>
                <w:tcPr>
                  <w:tcW w:w="2520" w:type="dxa"/>
                </w:tcPr>
                <w:p w14:paraId="09758304" w14:textId="77777777" w:rsidR="002A21AE" w:rsidRDefault="002A21AE">
                  <w:pPr>
                    <w:pStyle w:val="TableText"/>
                  </w:pPr>
                  <w:r>
                    <w:t>Rouleaux, No Agglutination</w:t>
                  </w:r>
                </w:p>
              </w:tc>
              <w:tc>
                <w:tcPr>
                  <w:tcW w:w="1260" w:type="dxa"/>
                </w:tcPr>
                <w:p w14:paraId="7C2FE772" w14:textId="77777777" w:rsidR="002A21AE" w:rsidRDefault="002A21AE">
                  <w:pPr>
                    <w:pStyle w:val="TableText"/>
                  </w:pPr>
                  <w:r>
                    <w:t>Negative</w:t>
                  </w:r>
                </w:p>
              </w:tc>
            </w:tr>
          </w:tbl>
          <w:p w14:paraId="2634A9AE" w14:textId="77777777" w:rsidR="002A21AE" w:rsidRDefault="002A21AE">
            <w:pPr>
              <w:pStyle w:val="NotesText"/>
            </w:pPr>
          </w:p>
          <w:p w14:paraId="4D5E38A6" w14:textId="77777777" w:rsidR="002A21AE" w:rsidRDefault="002A21AE">
            <w:pPr>
              <w:pStyle w:val="NotesText"/>
            </w:pPr>
            <w:r>
              <w:rPr>
                <w:rFonts w:cs="Arial"/>
                <w:vanish/>
              </w:rPr>
              <w:t>BR_41.19</w:t>
            </w:r>
            <w:r>
              <w:t>System rules establish row validation for the interpretation vs. reaction results pattern [for all user-indicated phase(s) of reactivity] for blood unit and quality control tests.</w:t>
            </w:r>
          </w:p>
          <w:p w14:paraId="32B01A3D" w14:textId="77777777" w:rsidR="002A21AE" w:rsidRDefault="002A21AE">
            <w:pPr>
              <w:pStyle w:val="NotesText"/>
            </w:pPr>
          </w:p>
          <w:p w14:paraId="28EB5926" w14:textId="77777777" w:rsidR="002A21AE" w:rsidRDefault="002A21AE">
            <w:pPr>
              <w:pStyle w:val="NotesText"/>
            </w:pPr>
            <w:r>
              <w:rPr>
                <w:rFonts w:cs="Arial"/>
                <w:vanish/>
              </w:rPr>
              <w:t xml:space="preserve">BR_41.13 </w:t>
            </w:r>
            <w:r>
              <w:t>When completing previously saved partially completed testing, the user may not change the antiserum lot number, manufacturer name, or expiration date. The user must invalidate the antiserum testing and start over.</w:t>
            </w:r>
          </w:p>
        </w:tc>
      </w:tr>
      <w:tr w:rsidR="002A21AE" w14:paraId="1E189CEB" w14:textId="77777777">
        <w:tc>
          <w:tcPr>
            <w:tcW w:w="3240" w:type="dxa"/>
          </w:tcPr>
          <w:p w14:paraId="767B5438" w14:textId="77777777" w:rsidR="002A21AE" w:rsidRDefault="002A21AE">
            <w:pPr>
              <w:pStyle w:val="TableTextNumbers"/>
            </w:pPr>
            <w:r>
              <w:t>Enter results for selected patients and control cells.</w:t>
            </w:r>
          </w:p>
        </w:tc>
        <w:tc>
          <w:tcPr>
            <w:tcW w:w="6120" w:type="dxa"/>
          </w:tcPr>
          <w:p w14:paraId="745ADDC1" w14:textId="77777777" w:rsidR="002A21AE" w:rsidRDefault="002A21AE">
            <w:pPr>
              <w:pStyle w:val="TableTextBullet"/>
            </w:pPr>
            <w:r>
              <w:t>Prompts the user to confirm that results were reviewed and are acceptable.</w:t>
            </w:r>
          </w:p>
          <w:p w14:paraId="5CFA273A" w14:textId="77777777" w:rsidR="002A21AE" w:rsidRDefault="002A21AE">
            <w:pPr>
              <w:pStyle w:val="TableText"/>
            </w:pPr>
          </w:p>
          <w:p w14:paraId="03BFCE7D" w14:textId="77777777" w:rsidR="002A21AE" w:rsidRDefault="00057948">
            <w:pPr>
              <w:pStyle w:val="TableText"/>
              <w:rPr>
                <w:b/>
                <w:bCs/>
                <w:szCs w:val="18"/>
              </w:rPr>
            </w:pPr>
            <w:r>
              <w:rPr>
                <w:b/>
                <w:bCs/>
                <w:noProof/>
              </w:rPr>
              <mc:AlternateContent>
                <mc:Choice Requires="wps">
                  <w:drawing>
                    <wp:anchor distT="0" distB="0" distL="114300" distR="114300" simplePos="0" relativeHeight="251444736" behindDoc="0" locked="0" layoutInCell="1" allowOverlap="1" wp14:anchorId="12C0F1FE" wp14:editId="0D28F9D5">
                      <wp:simplePos x="0" y="0"/>
                      <wp:positionH relativeFrom="column">
                        <wp:posOffset>457200</wp:posOffset>
                      </wp:positionH>
                      <wp:positionV relativeFrom="paragraph">
                        <wp:posOffset>65405</wp:posOffset>
                      </wp:positionV>
                      <wp:extent cx="3200400" cy="0"/>
                      <wp:effectExtent l="9525" t="17780" r="9525" b="10795"/>
                      <wp:wrapNone/>
                      <wp:docPr id="349" name="Line 760" descr="P8412C20T9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8C174" id="Line 760" o:spid="_x0000_s1026" alt="&quot;&quot;" style="position:absolute;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HuGEKTEAQAAbgMAAA4AAAAAAAAAAAAAAAAA&#10;LgIAAGRycy9lMm9Eb2MueG1sUEsBAi0AFAAGAAgAAAAhABdPMBLbAAAACAEAAA8AAAAAAAAAAAAA&#10;AAAAHgQAAGRycy9kb3ducmV2LnhtbFBLBQYAAAAABAAEAPMAAAAmBQAAAAA=&#10;" strokeweight="1.5pt"/>
                  </w:pict>
                </mc:Fallback>
              </mc:AlternateContent>
            </w:r>
            <w:r w:rsidR="002A21AE">
              <w:rPr>
                <w:b/>
                <w:bCs/>
                <w:szCs w:val="18"/>
              </w:rPr>
              <w:t>NOTES</w:t>
            </w:r>
          </w:p>
          <w:p w14:paraId="706152E5" w14:textId="77777777" w:rsidR="002A21AE" w:rsidRDefault="002A21AE">
            <w:pPr>
              <w:pStyle w:val="NotesText"/>
            </w:pPr>
          </w:p>
          <w:p w14:paraId="60B611F3" w14:textId="77777777" w:rsidR="002A21AE" w:rsidRDefault="002A21AE">
            <w:pPr>
              <w:pStyle w:val="NotesText"/>
              <w:rPr>
                <w:rFonts w:eastAsia="Symbol"/>
              </w:rPr>
            </w:pPr>
            <w:r>
              <w:rPr>
                <w:rFonts w:cs="Arial"/>
                <w:vanish/>
              </w:rPr>
              <w:t>BR_98.01</w:t>
            </w:r>
            <w:r w:rsidR="004F5F28" w:rsidRPr="00323744">
              <w:rPr>
                <w:rStyle w:val="BullhornChar"/>
              </w:rPr>
              <w:t></w:t>
            </w:r>
            <w:r w:rsidR="004F5F28">
              <w:rPr>
                <w:rFonts w:ascii="Webdings" w:hAnsi="Webdings"/>
              </w:rPr>
              <w:t></w:t>
            </w:r>
            <w:r>
              <w:rPr>
                <w:rFonts w:eastAsia="Symbol"/>
              </w:rPr>
              <w:t xml:space="preserve">VBECS searches the current order and the patient’s historical record for previously entered red cell antigen results for each specificity within the user’s division and compares the results to prevent a discrepancy with previous test entries. When a discrepancy is found, VBECS </w:t>
            </w:r>
            <w:r>
              <w:t>emits an audible alert, notifies the user that t</w:t>
            </w:r>
            <w:r>
              <w:rPr>
                <w:rFonts w:eastAsia="Symbol"/>
              </w:rPr>
              <w:t>he current specimen and a previously entered antigen typing on this patient do not match, and asks whether the user wishes to save the current result.</w:t>
            </w:r>
          </w:p>
          <w:p w14:paraId="43DB93BC" w14:textId="77777777" w:rsidR="002A21AE" w:rsidRDefault="002A21AE">
            <w:pPr>
              <w:pStyle w:val="NotesText"/>
              <w:rPr>
                <w:rFonts w:eastAsia="Symbol"/>
                <w:b/>
              </w:rPr>
            </w:pPr>
          </w:p>
          <w:p w14:paraId="59BF61D2" w14:textId="77777777" w:rsidR="002A21AE" w:rsidRDefault="002A21AE">
            <w:pPr>
              <w:pStyle w:val="NotesText"/>
            </w:pPr>
            <w:r>
              <w:rPr>
                <w:rFonts w:eastAsia="Symbol"/>
                <w:b/>
              </w:rPr>
              <w:lastRenderedPageBreak/>
              <w:t>No</w:t>
            </w:r>
            <w:r>
              <w:rPr>
                <w:rFonts w:eastAsia="Symbol"/>
              </w:rPr>
              <w:t xml:space="preserve"> closes the form and returns to the grid. </w:t>
            </w:r>
            <w:r>
              <w:rPr>
                <w:rFonts w:eastAsia="Symbol"/>
                <w:b/>
              </w:rPr>
              <w:t>Yes</w:t>
            </w:r>
            <w:r>
              <w:rPr>
                <w:rFonts w:eastAsia="Symbol"/>
              </w:rPr>
              <w:t xml:space="preserve"> allows the user to update the conflicting results in the database and/or enter a comment explaining why he is accepting this result. VBECS captures details for inclusion in an Exception Report (</w:t>
            </w:r>
            <w:r>
              <w:rPr>
                <w:rFonts w:eastAsia="Symbol"/>
                <w:lang w:val="fr-CA"/>
              </w:rPr>
              <w:t>exception type: discrepant patient antigen typing).</w:t>
            </w:r>
          </w:p>
        </w:tc>
      </w:tr>
      <w:tr w:rsidR="002A21AE" w14:paraId="5BD0DAEC" w14:textId="77777777">
        <w:tc>
          <w:tcPr>
            <w:tcW w:w="3240" w:type="dxa"/>
          </w:tcPr>
          <w:p w14:paraId="31489EDE" w14:textId="77777777" w:rsidR="002A21AE" w:rsidRDefault="002A21AE">
            <w:pPr>
              <w:pStyle w:val="TableTextNumbers"/>
            </w:pPr>
            <w:r>
              <w:lastRenderedPageBreak/>
              <w:t>Repeat Steps 5–9 for each antiserum type.</w:t>
            </w:r>
          </w:p>
        </w:tc>
        <w:tc>
          <w:tcPr>
            <w:tcW w:w="6120" w:type="dxa"/>
          </w:tcPr>
          <w:p w14:paraId="4A0366AA" w14:textId="77777777" w:rsidR="002A21AE" w:rsidRDefault="002A21AE">
            <w:pPr>
              <w:pStyle w:val="TableTextBullet"/>
            </w:pPr>
            <w:r>
              <w:t>Allows the user to save.</w:t>
            </w:r>
          </w:p>
          <w:p w14:paraId="7F86748D" w14:textId="77777777" w:rsidR="002A21AE" w:rsidRDefault="002A21AE">
            <w:pPr>
              <w:pStyle w:val="TableText"/>
            </w:pPr>
          </w:p>
          <w:p w14:paraId="64323B88" w14:textId="77777777" w:rsidR="002A21AE" w:rsidRDefault="00057948">
            <w:pPr>
              <w:pStyle w:val="TableText"/>
              <w:rPr>
                <w:b/>
                <w:bCs/>
                <w:szCs w:val="18"/>
              </w:rPr>
            </w:pPr>
            <w:r>
              <w:rPr>
                <w:b/>
                <w:bCs/>
                <w:noProof/>
              </w:rPr>
              <mc:AlternateContent>
                <mc:Choice Requires="wps">
                  <w:drawing>
                    <wp:anchor distT="0" distB="0" distL="114300" distR="114300" simplePos="0" relativeHeight="251447808" behindDoc="0" locked="0" layoutInCell="1" allowOverlap="1" wp14:anchorId="00108643" wp14:editId="78051281">
                      <wp:simplePos x="0" y="0"/>
                      <wp:positionH relativeFrom="column">
                        <wp:posOffset>457200</wp:posOffset>
                      </wp:positionH>
                      <wp:positionV relativeFrom="paragraph">
                        <wp:posOffset>65405</wp:posOffset>
                      </wp:positionV>
                      <wp:extent cx="3200400" cy="0"/>
                      <wp:effectExtent l="9525" t="17780" r="9525" b="10795"/>
                      <wp:wrapNone/>
                      <wp:docPr id="348" name="Line 761" descr="P8421C22T9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A659D" id="Line 761" o:spid="_x0000_s1026" alt="&quot;&quot;" style="position:absolute;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MuVre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7622C96A" w14:textId="77777777" w:rsidR="002A21AE" w:rsidRDefault="002A21AE">
            <w:pPr>
              <w:pStyle w:val="NotesText"/>
            </w:pPr>
          </w:p>
          <w:p w14:paraId="2F95CEC3" w14:textId="77777777" w:rsidR="009256FE" w:rsidRDefault="009256FE" w:rsidP="009256FE">
            <w:pPr>
              <w:pStyle w:val="NotesText"/>
            </w:pPr>
            <w:r>
              <w:t>The positive and/or negative control cell test results on the date of testing must be a valid positive or negative.</w:t>
            </w:r>
          </w:p>
          <w:p w14:paraId="2129CE02" w14:textId="77777777" w:rsidR="002A21AE" w:rsidRDefault="002A21AE" w:rsidP="009256FE">
            <w:pPr>
              <w:pStyle w:val="NotesText"/>
              <w:ind w:left="0"/>
            </w:pPr>
          </w:p>
        </w:tc>
      </w:tr>
      <w:tr w:rsidR="002A21AE" w14:paraId="153DC765" w14:textId="77777777">
        <w:tc>
          <w:tcPr>
            <w:tcW w:w="3240" w:type="dxa"/>
          </w:tcPr>
          <w:p w14:paraId="766B7269" w14:textId="77777777" w:rsidR="002A21AE" w:rsidRDefault="002A21AE">
            <w:pPr>
              <w:pStyle w:val="TableTextNumbers"/>
            </w:pPr>
            <w:r>
              <w:t xml:space="preserve">Respond to warnings and click </w:t>
            </w:r>
            <w:r>
              <w:rPr>
                <w:b/>
              </w:rPr>
              <w:t>OK</w:t>
            </w:r>
            <w:r>
              <w:t xml:space="preserve"> to save the data.</w:t>
            </w:r>
          </w:p>
        </w:tc>
        <w:tc>
          <w:tcPr>
            <w:tcW w:w="6120" w:type="dxa"/>
          </w:tcPr>
          <w:p w14:paraId="13112ED1" w14:textId="77777777" w:rsidR="002A21AE" w:rsidRDefault="002A21AE">
            <w:pPr>
              <w:pStyle w:val="TableTextBullet"/>
            </w:pPr>
            <w:r>
              <w:t xml:space="preserve">Reconfirms that all appropriate test results are entered, repeats all data validation, and saves the data. </w:t>
            </w:r>
          </w:p>
        </w:tc>
      </w:tr>
      <w:tr w:rsidR="002A21AE" w14:paraId="54617D21" w14:textId="77777777">
        <w:tc>
          <w:tcPr>
            <w:tcW w:w="3240" w:type="dxa"/>
          </w:tcPr>
          <w:p w14:paraId="7E171B65" w14:textId="77777777" w:rsidR="002A21AE" w:rsidRDefault="002A21AE">
            <w:pPr>
              <w:pStyle w:val="TableTextNumbers"/>
            </w:pPr>
            <w:r>
              <w:t xml:space="preserve">Click </w:t>
            </w:r>
            <w:r>
              <w:rPr>
                <w:b/>
              </w:rPr>
              <w:t>OK</w:t>
            </w:r>
            <w:r>
              <w:t xml:space="preserve"> to exit.</w:t>
            </w:r>
            <w:r w:rsidRPr="00B93B42">
              <w:rPr>
                <w:rStyle w:val="StyleTableTextNumbersWhite1Char"/>
              </w:rP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5782EA40" w14:textId="77777777" w:rsidR="002A21AE" w:rsidRDefault="002A21AE">
            <w:pPr>
              <w:pStyle w:val="TableTextBullet"/>
            </w:pPr>
            <w:r>
              <w:t>Saves the data.</w:t>
            </w:r>
          </w:p>
        </w:tc>
      </w:tr>
    </w:tbl>
    <w:p w14:paraId="3B0A39B3" w14:textId="57FFFC1F" w:rsidR="002A21AE" w:rsidRDefault="00AA3667" w:rsidP="00AA3667">
      <w:pPr>
        <w:pStyle w:val="Caption"/>
      </w:pPr>
      <w:bookmarkStart w:id="507" w:name="_Ref126727198"/>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128</w:t>
      </w:r>
      <w:r w:rsidR="004E20BD">
        <w:rPr>
          <w:noProof/>
        </w:rPr>
        <w:fldChar w:fldCharType="end"/>
      </w:r>
      <w:bookmarkEnd w:id="507"/>
      <w:r>
        <w:t>: Patient Testing Antigen Typing</w:t>
      </w:r>
      <w:r w:rsidR="001E3E16">
        <w:t xml:space="preserve"> (1)</w:t>
      </w:r>
    </w:p>
    <w:p w14:paraId="12545249" w14:textId="77777777" w:rsidR="00AA3667" w:rsidRPr="00AA3667" w:rsidRDefault="00057948" w:rsidP="00AA3667">
      <w:pPr>
        <w:pStyle w:val="BodyText"/>
      </w:pPr>
      <w:r>
        <w:rPr>
          <w:noProof/>
        </w:rPr>
        <w:drawing>
          <wp:inline distT="0" distB="0" distL="0" distR="0" wp14:anchorId="0C83A12E" wp14:editId="30CB1B6D">
            <wp:extent cx="5781675" cy="3546475"/>
            <wp:effectExtent l="0" t="0" r="9525" b="0"/>
            <wp:docPr id="241" name="Picture 241" descr="P843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P8433#yIS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781675" cy="3546475"/>
                    </a:xfrm>
                    <a:prstGeom prst="rect">
                      <a:avLst/>
                    </a:prstGeom>
                    <a:noFill/>
                    <a:ln>
                      <a:noFill/>
                    </a:ln>
                  </pic:spPr>
                </pic:pic>
              </a:graphicData>
            </a:graphic>
          </wp:inline>
        </w:drawing>
      </w:r>
    </w:p>
    <w:p w14:paraId="47E56E38" w14:textId="77777777" w:rsidR="002A21AE" w:rsidRDefault="002A21AE">
      <w:pPr>
        <w:pStyle w:val="BodyText"/>
      </w:pPr>
    </w:p>
    <w:p w14:paraId="47C240EC" w14:textId="17A97F0E" w:rsidR="001E3E16" w:rsidRDefault="001E3E16" w:rsidP="001E3E16">
      <w:pPr>
        <w:pStyle w:val="Caption"/>
      </w:pPr>
      <w:bookmarkStart w:id="508" w:name="_Ref126727469"/>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129</w:t>
      </w:r>
      <w:r w:rsidR="004E20BD">
        <w:rPr>
          <w:noProof/>
        </w:rPr>
        <w:fldChar w:fldCharType="end"/>
      </w:r>
      <w:bookmarkEnd w:id="508"/>
      <w:r>
        <w:t>: Patient Testing Antigen Typing (2)</w:t>
      </w:r>
    </w:p>
    <w:p w14:paraId="02416AC4" w14:textId="77777777" w:rsidR="007810A1" w:rsidRDefault="00057948" w:rsidP="007810A1">
      <w:pPr>
        <w:pStyle w:val="BodyText"/>
      </w:pPr>
      <w:r>
        <w:rPr>
          <w:noProof/>
        </w:rPr>
        <w:drawing>
          <wp:inline distT="0" distB="0" distL="0" distR="0" wp14:anchorId="7AE7F157" wp14:editId="75A3CC8E">
            <wp:extent cx="5939155" cy="4442460"/>
            <wp:effectExtent l="0" t="0" r="4445" b="0"/>
            <wp:docPr id="242" name="Picture 242" descr="P8436#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P8436#yIS1">
                      <a:extLst>
                        <a:ext uri="{C183D7F6-B498-43B3-948B-1728B52AA6E4}">
                          <adec:decorative xmlns:adec="http://schemas.microsoft.com/office/drawing/2017/decorative" val="1"/>
                        </a:ext>
                      </a:extLst>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939155" cy="4442460"/>
                    </a:xfrm>
                    <a:prstGeom prst="rect">
                      <a:avLst/>
                    </a:prstGeom>
                    <a:noFill/>
                    <a:ln>
                      <a:noFill/>
                    </a:ln>
                  </pic:spPr>
                </pic:pic>
              </a:graphicData>
            </a:graphic>
          </wp:inline>
        </w:drawing>
      </w:r>
    </w:p>
    <w:p w14:paraId="22A98A31" w14:textId="77777777" w:rsidR="002A21AE" w:rsidRDefault="002A21AE">
      <w:pPr>
        <w:pStyle w:val="Heading3"/>
      </w:pPr>
      <w:r>
        <w:br w:type="page"/>
      </w:r>
      <w:bookmarkStart w:id="509" w:name="_Toc4588820"/>
      <w:r>
        <w:lastRenderedPageBreak/>
        <w:t xml:space="preserve">Patient Testing: </w:t>
      </w:r>
      <w:r w:rsidR="00244FCD">
        <w:t>Enter Antibody Identification Results</w:t>
      </w:r>
      <w:bookmarkEnd w:id="505"/>
      <w:bookmarkEnd w:id="509"/>
      <w:r>
        <w:fldChar w:fldCharType="begin"/>
      </w:r>
      <w:r>
        <w:instrText xml:space="preserve"> XE </w:instrText>
      </w:r>
      <w:r w:rsidR="00FA7E65">
        <w:instrText>“</w:instrText>
      </w:r>
      <w:r>
        <w:instrText xml:space="preserve">Patient Testing\: </w:instrText>
      </w:r>
      <w:r w:rsidR="00244FCD">
        <w:instrText>Enter Antibody Identification Results</w:instrText>
      </w:r>
      <w:r w:rsidR="00FA7E65">
        <w:instrText>”</w:instrText>
      </w:r>
      <w:r>
        <w:instrText xml:space="preserve"> </w:instrText>
      </w:r>
      <w:r>
        <w:fldChar w:fldCharType="end"/>
      </w:r>
      <w:r>
        <w:t xml:space="preserve"> </w:t>
      </w:r>
      <w:r>
        <w:rPr>
          <w:rFonts w:ascii="Times New Roman" w:hAnsi="Times New Roman" w:cs="Times New Roman"/>
          <w:b w:val="0"/>
          <w:vanish/>
          <w:sz w:val="22"/>
        </w:rPr>
        <w:t>UC_57</w:t>
      </w:r>
    </w:p>
    <w:p w14:paraId="5D273AFD" w14:textId="77777777" w:rsidR="002A21AE" w:rsidRDefault="002A21AE" w:rsidP="00FA7E65">
      <w:pPr>
        <w:pStyle w:val="BodyText"/>
      </w:pPr>
      <w:r>
        <w:t>The user records results of reflex tests needed to complete a patient blood bank antibody workup.</w:t>
      </w:r>
    </w:p>
    <w:p w14:paraId="450EEDCD" w14:textId="77777777" w:rsidR="002A21AE" w:rsidRDefault="002A21AE">
      <w:pPr>
        <w:pStyle w:val="Heading4"/>
      </w:pPr>
      <w:r>
        <w:t>Assumptions</w:t>
      </w:r>
    </w:p>
    <w:p w14:paraId="68C5AEE8" w14:textId="77777777" w:rsidR="002A21AE" w:rsidRDefault="002A21AE">
      <w:pPr>
        <w:pStyle w:val="ListBullet"/>
      </w:pPr>
      <w:r>
        <w:t>An order for an antibody identification (ABID) was placed and is opened in the Pending Task List (PTL).</w:t>
      </w:r>
    </w:p>
    <w:p w14:paraId="02D3E788" w14:textId="77777777" w:rsidR="002A21AE" w:rsidRDefault="002A21AE">
      <w:pPr>
        <w:pStyle w:val="Heading4"/>
      </w:pPr>
      <w:r>
        <w:t>Outcome</w:t>
      </w:r>
    </w:p>
    <w:p w14:paraId="1665F971" w14:textId="77777777" w:rsidR="002A21AE" w:rsidRDefault="002A21AE">
      <w:pPr>
        <w:pStyle w:val="ListBullet"/>
      </w:pPr>
      <w:r>
        <w:t>VBECS displays the ABID in the patient’s record, which the user may review by clicking an icon in the Patient Information Toolbar.</w:t>
      </w:r>
    </w:p>
    <w:p w14:paraId="611F1DE5" w14:textId="77777777" w:rsidR="002A21AE" w:rsidRDefault="002A21AE">
      <w:pPr>
        <w:pStyle w:val="ListBullet"/>
      </w:pPr>
      <w:r>
        <w:t>Entry of antibody specificity through this option may automatically set an antigen negative requirement [Transfusion Requirement (TR)] based on the division-specific parameters.</w:t>
      </w:r>
    </w:p>
    <w:p w14:paraId="01CAD3BB" w14:textId="77777777" w:rsidR="002A21AE" w:rsidRDefault="002A21AE">
      <w:pPr>
        <w:pStyle w:val="Heading4"/>
      </w:pPr>
      <w:r>
        <w:t>Limitations and Restrictions</w:t>
      </w:r>
    </w:p>
    <w:p w14:paraId="5D2951DF" w14:textId="77777777" w:rsidR="002A21AE" w:rsidRDefault="00FC0A61">
      <w:pPr>
        <w:pStyle w:val="ListBullet"/>
      </w:pPr>
      <w:r>
        <w:t xml:space="preserve">When an antigen negative requirement is not </w:t>
      </w:r>
      <w:r w:rsidR="00FC3A2C">
        <w:t xml:space="preserve">configured </w:t>
      </w:r>
      <w:r>
        <w:t>for an antibody, the user may enter the requirement for a patient through Special Instructions &amp; Transfusion Requirements: Enter a Transfusion Requirement.</w:t>
      </w:r>
    </w:p>
    <w:p w14:paraId="1536C6E9" w14:textId="77777777" w:rsidR="002A21AE" w:rsidRDefault="002A21AE">
      <w:pPr>
        <w:pStyle w:val="Heading4"/>
      </w:pPr>
      <w:r>
        <w:t>Additional Information</w:t>
      </w:r>
    </w:p>
    <w:p w14:paraId="71799C87" w14:textId="77777777" w:rsidR="002A21AE" w:rsidRDefault="002A21AE">
      <w:pPr>
        <w:pStyle w:val="ListBullet"/>
      </w:pPr>
      <w:r>
        <w:t xml:space="preserve">Correction to verified patient data may be accessed only through </w:t>
      </w:r>
      <w:r>
        <w:rPr>
          <w:snapToGrid w:val="0"/>
        </w:rPr>
        <w:t>Invalidate Test Results</w:t>
      </w:r>
      <w:r w:rsidR="007E549A">
        <w:rPr>
          <w:snapToGrid w:val="0"/>
        </w:rPr>
        <w:t xml:space="preserve"> and does require extensive removal of associated units, even if transfused. As this is the case, optionally record workload and billing here but the antibody specificity identified using Special Instructions Transfusion requirements option to allow for future editing</w:t>
      </w:r>
      <w:r>
        <w:t>.</w:t>
      </w:r>
    </w:p>
    <w:p w14:paraId="6176D69C" w14:textId="77777777" w:rsidR="002A21AE" w:rsidRDefault="002A21AE">
      <w:pPr>
        <w:pStyle w:val="ListBullet"/>
      </w:pPr>
      <w:r>
        <w:t>Only one technologist at a time can enter test results for a selected PTL task.</w:t>
      </w:r>
    </w:p>
    <w:p w14:paraId="27140A58" w14:textId="77777777" w:rsidR="002A21AE" w:rsidRDefault="002A21AE">
      <w:pPr>
        <w:pStyle w:val="ListBullet"/>
      </w:pPr>
      <w:r>
        <w:t>Patient antigen testing is not included in this option.</w:t>
      </w:r>
    </w:p>
    <w:p w14:paraId="46DDAC7B" w14:textId="77777777" w:rsidR="002A21AE" w:rsidRDefault="002A21AE">
      <w:pPr>
        <w:pStyle w:val="Heading4"/>
      </w:pPr>
      <w:r>
        <w:t>User Roles with Access to This Option</w:t>
      </w:r>
    </w:p>
    <w:p w14:paraId="412ED4B5" w14:textId="77777777" w:rsidR="002A21AE" w:rsidRDefault="0062763B">
      <w:pPr>
        <w:pStyle w:val="Roles"/>
        <w:rPr>
          <w:snapToGrid w:val="0"/>
        </w:rPr>
      </w:pPr>
      <w:r>
        <w:t>All users</w:t>
      </w:r>
    </w:p>
    <w:bookmarkEnd w:id="506"/>
    <w:p w14:paraId="3CA2FE6B" w14:textId="77777777" w:rsidR="002A21AE" w:rsidRDefault="002A21AE">
      <w:pPr>
        <w:pStyle w:val="Heading4"/>
      </w:pPr>
      <w:r>
        <w:t xml:space="preserve">Patient Testing: </w:t>
      </w:r>
      <w:r w:rsidR="00244FCD">
        <w:t>Enter Antibody Identification Results</w:t>
      </w:r>
    </w:p>
    <w:p w14:paraId="54072078" w14:textId="77777777" w:rsidR="002A21AE" w:rsidRDefault="002A21AE" w:rsidP="00FA7E65">
      <w:pPr>
        <w:pStyle w:val="BodyText"/>
      </w:pPr>
      <w:r>
        <w:t>The user may select workload codes for work performed on-site during the ABID workup. When the ABID is performed off-site, the user enters the associated charges.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D56C0DA" w14:textId="77777777">
        <w:trPr>
          <w:cantSplit/>
          <w:tblHeader/>
        </w:trPr>
        <w:tc>
          <w:tcPr>
            <w:tcW w:w="3240" w:type="dxa"/>
            <w:shd w:val="pct30" w:color="auto" w:fill="FFFFFF"/>
            <w:vAlign w:val="bottom"/>
          </w:tcPr>
          <w:p w14:paraId="30756E04" w14:textId="77777777" w:rsidR="002A21AE" w:rsidRDefault="002A21AE">
            <w:pPr>
              <w:pStyle w:val="TableText"/>
              <w:rPr>
                <w:b/>
              </w:rPr>
            </w:pPr>
            <w:r>
              <w:rPr>
                <w:b/>
              </w:rPr>
              <w:t>User Action</w:t>
            </w:r>
          </w:p>
        </w:tc>
        <w:tc>
          <w:tcPr>
            <w:tcW w:w="6120" w:type="dxa"/>
            <w:shd w:val="pct30" w:color="auto" w:fill="FFFFFF"/>
            <w:vAlign w:val="bottom"/>
          </w:tcPr>
          <w:p w14:paraId="240A61CD" w14:textId="77777777" w:rsidR="002A21AE" w:rsidRDefault="002A21AE">
            <w:pPr>
              <w:pStyle w:val="TableText"/>
              <w:rPr>
                <w:b/>
              </w:rPr>
            </w:pPr>
            <w:r>
              <w:rPr>
                <w:b/>
              </w:rPr>
              <w:t>VBECS</w:t>
            </w:r>
          </w:p>
        </w:tc>
      </w:tr>
      <w:tr w:rsidR="00141448" w14:paraId="369DAE47" w14:textId="77777777">
        <w:tc>
          <w:tcPr>
            <w:tcW w:w="3240" w:type="dxa"/>
            <w:tcBorders>
              <w:top w:val="single" w:sz="4" w:space="0" w:color="auto"/>
              <w:left w:val="single" w:sz="4" w:space="0" w:color="auto"/>
              <w:bottom w:val="single" w:sz="4" w:space="0" w:color="auto"/>
              <w:right w:val="single" w:sz="4" w:space="0" w:color="auto"/>
            </w:tcBorders>
          </w:tcPr>
          <w:p w14:paraId="44313AB2" w14:textId="77777777" w:rsidR="00141448" w:rsidRDefault="00141448" w:rsidP="00141448">
            <w:pPr>
              <w:pStyle w:val="TableTextNumbers"/>
            </w:pPr>
            <w:r>
              <w:t xml:space="preserve">Select </w:t>
            </w:r>
            <w:r>
              <w:rPr>
                <w:b/>
              </w:rPr>
              <w:t>Patients</w:t>
            </w:r>
            <w:r>
              <w:t xml:space="preserve"> from the main menu.</w:t>
            </w:r>
          </w:p>
          <w:p w14:paraId="2FA58DCA" w14:textId="77777777" w:rsidR="00141448" w:rsidRDefault="00141448" w:rsidP="00141448">
            <w:pPr>
              <w:pStyle w:val="TableTextNumbersContinued"/>
            </w:pPr>
          </w:p>
          <w:p w14:paraId="7D3D5106" w14:textId="77777777" w:rsidR="00141448" w:rsidRDefault="00141448" w:rsidP="00141448">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14:paraId="345A60CC" w14:textId="77777777" w:rsidR="00141448" w:rsidRDefault="00141448" w:rsidP="00141448">
            <w:pPr>
              <w:pStyle w:val="TableTextBullet"/>
            </w:pPr>
            <w:r>
              <w:t xml:space="preserve">Displays options for processing patient-related functions. </w:t>
            </w:r>
          </w:p>
          <w:p w14:paraId="0A403147" w14:textId="77777777" w:rsidR="00141448" w:rsidRDefault="00141448" w:rsidP="00141448">
            <w:pPr>
              <w:pStyle w:val="TableTextBullet"/>
            </w:pPr>
            <w:r>
              <w:t>Displays the Pending Task List (PTL) in the Diagnostic Tests tab.</w:t>
            </w:r>
          </w:p>
          <w:p w14:paraId="5BAF28FD" w14:textId="77777777" w:rsidR="00141448" w:rsidRDefault="00141448" w:rsidP="00141448">
            <w:pPr>
              <w:pStyle w:val="NotesText"/>
            </w:pPr>
          </w:p>
          <w:p w14:paraId="69C45497" w14:textId="77777777" w:rsidR="00141448" w:rsidRDefault="00057948" w:rsidP="00141448">
            <w:pPr>
              <w:pStyle w:val="TableText"/>
              <w:rPr>
                <w:b/>
                <w:bCs/>
                <w:szCs w:val="18"/>
              </w:rPr>
            </w:pPr>
            <w:r>
              <w:rPr>
                <w:b/>
                <w:bCs/>
                <w:noProof/>
              </w:rPr>
              <mc:AlternateContent>
                <mc:Choice Requires="wps">
                  <w:drawing>
                    <wp:anchor distT="0" distB="0" distL="114300" distR="114300" simplePos="0" relativeHeight="251924992" behindDoc="0" locked="0" layoutInCell="1" allowOverlap="1" wp14:anchorId="5BD28299" wp14:editId="27EB60CB">
                      <wp:simplePos x="0" y="0"/>
                      <wp:positionH relativeFrom="column">
                        <wp:posOffset>457200</wp:posOffset>
                      </wp:positionH>
                      <wp:positionV relativeFrom="paragraph">
                        <wp:posOffset>65405</wp:posOffset>
                      </wp:positionV>
                      <wp:extent cx="3200400" cy="0"/>
                      <wp:effectExtent l="9525" t="17780" r="9525" b="10795"/>
                      <wp:wrapNone/>
                      <wp:docPr id="347" name="Line 1074" descr="P8463C4T9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E9B1C" id="Line 1074" o:spid="_x0000_s1026" alt="&quot;&quot;" style="position:absolute;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LfAjSvEAQAAbwMAAA4AAAAAAAAAAAAAAAAA&#10;LgIAAGRycy9lMm9Eb2MueG1sUEsBAi0AFAAGAAgAAAAhABdPMBLbAAAACAEAAA8AAAAAAAAAAAAA&#10;AAAAHgQAAGRycy9kb3ducmV2LnhtbFBLBQYAAAAABAAEAPMAAAAmBQAAAAA=&#10;" strokeweight="1.5pt"/>
                  </w:pict>
                </mc:Fallback>
              </mc:AlternateContent>
            </w:r>
            <w:r w:rsidR="00141448">
              <w:rPr>
                <w:b/>
                <w:bCs/>
                <w:szCs w:val="18"/>
              </w:rPr>
              <w:t>NOTES</w:t>
            </w:r>
          </w:p>
          <w:p w14:paraId="2BEE072A" w14:textId="77777777" w:rsidR="00141448" w:rsidRDefault="00141448" w:rsidP="00141448">
            <w:pPr>
              <w:pStyle w:val="NotesText"/>
            </w:pPr>
          </w:p>
          <w:p w14:paraId="659595B8" w14:textId="77777777" w:rsidR="00141448" w:rsidRDefault="00141448" w:rsidP="00141448">
            <w:pPr>
              <w:pStyle w:val="NotesText"/>
            </w:pPr>
            <w:r>
              <w:t>A user may search for specific tasks using search criteria detailed in Pending Task List.</w:t>
            </w:r>
          </w:p>
        </w:tc>
      </w:tr>
      <w:tr w:rsidR="00082F78" w14:paraId="62FA5451" w14:textId="77777777">
        <w:tc>
          <w:tcPr>
            <w:tcW w:w="3240" w:type="dxa"/>
          </w:tcPr>
          <w:p w14:paraId="5A33ABFD" w14:textId="77777777" w:rsidR="00082F78" w:rsidRDefault="00082F78" w:rsidP="00150254">
            <w:pPr>
              <w:pStyle w:val="TableTextNumbers"/>
            </w:pPr>
            <w:r>
              <w:t xml:space="preserve">Click one to four check boxes in the Pending Task List to select tasks for testing. </w:t>
            </w:r>
          </w:p>
          <w:p w14:paraId="0B59ECB8" w14:textId="77777777" w:rsidR="00082F78" w:rsidRDefault="00082F78" w:rsidP="00150254">
            <w:pPr>
              <w:pStyle w:val="TableTextNumbersContinued"/>
            </w:pPr>
          </w:p>
          <w:p w14:paraId="13DB0039" w14:textId="77777777" w:rsidR="00082F78" w:rsidRDefault="00082F78" w:rsidP="00150254">
            <w:pPr>
              <w:pStyle w:val="TableTextNumbersContinued"/>
            </w:pPr>
            <w:r>
              <w:t xml:space="preserve">Click </w:t>
            </w:r>
            <w:r>
              <w:rPr>
                <w:b/>
              </w:rPr>
              <w:t>OK</w:t>
            </w:r>
            <w:r>
              <w:t>.</w:t>
            </w:r>
          </w:p>
        </w:tc>
        <w:tc>
          <w:tcPr>
            <w:tcW w:w="6120" w:type="dxa"/>
          </w:tcPr>
          <w:p w14:paraId="53A45915" w14:textId="77777777" w:rsidR="00082F78" w:rsidRDefault="00082F78" w:rsidP="00150254">
            <w:pPr>
              <w:pStyle w:val="TableTextBullet"/>
            </w:pPr>
            <w:r>
              <w:t>Displays patient names and associated task information.</w:t>
            </w:r>
          </w:p>
        </w:tc>
      </w:tr>
      <w:tr w:rsidR="004216FC" w14:paraId="19BD584D" w14:textId="77777777" w:rsidTr="00F3651E">
        <w:trPr>
          <w:cantSplit/>
        </w:trPr>
        <w:tc>
          <w:tcPr>
            <w:tcW w:w="3240" w:type="dxa"/>
          </w:tcPr>
          <w:p w14:paraId="38819186" w14:textId="77777777" w:rsidR="004216FC" w:rsidRDefault="004216FC" w:rsidP="00142D18">
            <w:pPr>
              <w:pStyle w:val="TableTextNumbers"/>
            </w:pPr>
            <w:r>
              <w:lastRenderedPageBreak/>
              <w:t>Click a check box to select a reagent rack.</w:t>
            </w:r>
          </w:p>
          <w:p w14:paraId="5DB8A34F" w14:textId="77777777" w:rsidR="004216FC" w:rsidRDefault="004216FC" w:rsidP="00142D18">
            <w:pPr>
              <w:pStyle w:val="TableTextNumbersContinued"/>
            </w:pPr>
          </w:p>
          <w:p w14:paraId="0F5E018B" w14:textId="77777777" w:rsidR="004216FC" w:rsidRDefault="004216FC" w:rsidP="00142D18">
            <w:pPr>
              <w:pStyle w:val="TableTextNumbersContinued"/>
            </w:pPr>
            <w:r>
              <w:t xml:space="preserve">Click </w:t>
            </w:r>
            <w:r>
              <w:rPr>
                <w:b/>
              </w:rPr>
              <w:t>OK</w:t>
            </w:r>
            <w:r>
              <w:t xml:space="preserve"> to continue with testing.</w:t>
            </w:r>
          </w:p>
        </w:tc>
        <w:tc>
          <w:tcPr>
            <w:tcW w:w="6120" w:type="dxa"/>
          </w:tcPr>
          <w:p w14:paraId="246DDDEE" w14:textId="77777777" w:rsidR="004216FC" w:rsidRDefault="004216FC" w:rsidP="00142D18">
            <w:pPr>
              <w:pStyle w:val="TableText"/>
            </w:pPr>
          </w:p>
          <w:p w14:paraId="25E7C24A" w14:textId="77777777" w:rsidR="004216FC" w:rsidRDefault="00057948" w:rsidP="00142D18">
            <w:pPr>
              <w:pStyle w:val="TableText"/>
              <w:rPr>
                <w:b/>
                <w:bCs/>
                <w:szCs w:val="18"/>
              </w:rPr>
            </w:pPr>
            <w:r>
              <w:rPr>
                <w:b/>
                <w:bCs/>
                <w:noProof/>
              </w:rPr>
              <mc:AlternateContent>
                <mc:Choice Requires="wps">
                  <w:drawing>
                    <wp:anchor distT="0" distB="0" distL="114300" distR="114300" simplePos="0" relativeHeight="251937280" behindDoc="0" locked="0" layoutInCell="1" allowOverlap="1" wp14:anchorId="4A88D422" wp14:editId="0BED134E">
                      <wp:simplePos x="0" y="0"/>
                      <wp:positionH relativeFrom="column">
                        <wp:posOffset>457200</wp:posOffset>
                      </wp:positionH>
                      <wp:positionV relativeFrom="paragraph">
                        <wp:posOffset>65405</wp:posOffset>
                      </wp:positionV>
                      <wp:extent cx="3200400" cy="0"/>
                      <wp:effectExtent l="9525" t="17780" r="9525" b="10795"/>
                      <wp:wrapNone/>
                      <wp:docPr id="346" name="Line 1079" descr="P8476C8T9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E367B" id="Line 1079" o:spid="_x0000_s1026" alt="&quot;&quot;" style="position:absolute;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A1KpoLEAQAAbwMAAA4AAAAAAAAAAAAAAAAA&#10;LgIAAGRycy9lMm9Eb2MueG1sUEsBAi0AFAAGAAgAAAAhABdPMBLbAAAACAEAAA8AAAAAAAAAAAAA&#10;AAAAHgQAAGRycy9kb3ducmV2LnhtbFBLBQYAAAAABAAEAPMAAAAmBQAAAAA=&#10;" strokeweight="1.5pt"/>
                  </w:pict>
                </mc:Fallback>
              </mc:AlternateContent>
            </w:r>
            <w:r w:rsidR="004216FC">
              <w:rPr>
                <w:b/>
                <w:bCs/>
                <w:szCs w:val="18"/>
              </w:rPr>
              <w:t>NOTES</w:t>
            </w:r>
          </w:p>
          <w:p w14:paraId="471547A8" w14:textId="77777777" w:rsidR="004216FC" w:rsidRPr="004216FC" w:rsidRDefault="004216FC" w:rsidP="00142D18">
            <w:pPr>
              <w:pStyle w:val="NotesText"/>
              <w:rPr>
                <w:szCs w:val="18"/>
              </w:rPr>
            </w:pPr>
          </w:p>
          <w:p w14:paraId="166AC968" w14:textId="77777777" w:rsidR="004216FC" w:rsidRDefault="004216FC" w:rsidP="00142D18">
            <w:pPr>
              <w:pStyle w:val="NotesText"/>
            </w:pPr>
            <w:r w:rsidRPr="004216FC">
              <w:rPr>
                <w:rFonts w:cs="Arial"/>
                <w:szCs w:val="18"/>
              </w:rPr>
              <w:t>No</w:t>
            </w:r>
            <w:r w:rsidR="00EB1438">
              <w:rPr>
                <w:rFonts w:cs="Arial"/>
                <w:szCs w:val="18"/>
              </w:rPr>
              <w:t xml:space="preserve"> serologic</w:t>
            </w:r>
            <w:r w:rsidRPr="004216FC">
              <w:rPr>
                <w:rFonts w:cs="Arial"/>
                <w:szCs w:val="18"/>
              </w:rPr>
              <w:t xml:space="preserve"> testing is recorded for ABID.</w:t>
            </w:r>
          </w:p>
        </w:tc>
      </w:tr>
      <w:tr w:rsidR="002A21AE" w14:paraId="4C3546FB" w14:textId="77777777">
        <w:tc>
          <w:tcPr>
            <w:tcW w:w="3240" w:type="dxa"/>
          </w:tcPr>
          <w:p w14:paraId="0FF13A52" w14:textId="77777777" w:rsidR="002A21AE" w:rsidRDefault="002A21AE">
            <w:pPr>
              <w:pStyle w:val="TableTextNumbers"/>
            </w:pPr>
            <w:r>
              <w:t>Select antibodies.</w:t>
            </w:r>
          </w:p>
          <w:p w14:paraId="3457260B" w14:textId="77777777" w:rsidR="002A21AE" w:rsidRDefault="002A21AE">
            <w:pPr>
              <w:pStyle w:val="TableTextNumbersContinued"/>
            </w:pPr>
          </w:p>
          <w:p w14:paraId="0E5B4E10" w14:textId="77777777" w:rsidR="002A21AE" w:rsidRDefault="002A21AE">
            <w:pPr>
              <w:pStyle w:val="TableTextNumbersContinued"/>
            </w:pPr>
            <w:r>
              <w:t>Enter associated testing details.</w:t>
            </w:r>
          </w:p>
          <w:p w14:paraId="5FCE7C06" w14:textId="77777777" w:rsidR="002A21AE" w:rsidRDefault="002A21AE">
            <w:pPr>
              <w:pStyle w:val="TableTextNumbersContinued"/>
            </w:pPr>
          </w:p>
          <w:p w14:paraId="0F78E593" w14:textId="77777777" w:rsidR="002A21AE" w:rsidRDefault="002A21AE">
            <w:pPr>
              <w:pStyle w:val="TableTextNumbersContinued"/>
            </w:pPr>
            <w:r>
              <w:t>Respond to comments and continue.</w:t>
            </w:r>
          </w:p>
          <w:p w14:paraId="2C0BE164" w14:textId="77777777" w:rsidR="002A21AE" w:rsidRDefault="002A21AE">
            <w:pPr>
              <w:pStyle w:val="TableTextNumbersContinued"/>
            </w:pPr>
          </w:p>
          <w:p w14:paraId="5ED27A84" w14:textId="77777777" w:rsidR="002A21AE" w:rsidRDefault="002A21AE">
            <w:pPr>
              <w:pStyle w:val="TableTextNumbersContinued"/>
            </w:pPr>
            <w:r>
              <w:t>Verify Patient information.</w:t>
            </w:r>
          </w:p>
          <w:p w14:paraId="4BB2F4D7" w14:textId="77777777" w:rsidR="002A21AE" w:rsidRDefault="002A21AE">
            <w:pPr>
              <w:pStyle w:val="TableTextNumbersContinued"/>
            </w:pPr>
          </w:p>
          <w:p w14:paraId="2B67C29C" w14:textId="77777777" w:rsidR="002A21AE" w:rsidRDefault="002A21AE">
            <w:pPr>
              <w:pStyle w:val="TableTextNumbersContinued"/>
            </w:pPr>
            <w:r>
              <w:t xml:space="preserve">Click </w:t>
            </w:r>
            <w:r>
              <w:rPr>
                <w:b/>
              </w:rPr>
              <w:t>OK</w:t>
            </w:r>
            <w:r>
              <w:t xml:space="preserve">. </w:t>
            </w:r>
          </w:p>
        </w:tc>
        <w:tc>
          <w:tcPr>
            <w:tcW w:w="6120" w:type="dxa"/>
          </w:tcPr>
          <w:p w14:paraId="46A1A0BB" w14:textId="77777777" w:rsidR="002A21AE" w:rsidRDefault="002A21AE">
            <w:pPr>
              <w:pStyle w:val="TableTextBullet"/>
            </w:pPr>
            <w:r>
              <w:rPr>
                <w:rFonts w:cs="Arial"/>
                <w:vanish/>
              </w:rPr>
              <w:t xml:space="preserve">BR_57.02 </w:t>
            </w:r>
            <w:r>
              <w:t xml:space="preserve">Displays the list of antibodies and allows the user to select from the identified specificities and to add antibodies or to indicate that no antibody was identified. </w:t>
            </w:r>
          </w:p>
          <w:p w14:paraId="419FF967" w14:textId="77777777" w:rsidR="002A21AE" w:rsidRDefault="002A21AE">
            <w:pPr>
              <w:pStyle w:val="TableText"/>
            </w:pPr>
          </w:p>
          <w:p w14:paraId="312FCB98" w14:textId="77777777" w:rsidR="002A21AE" w:rsidRDefault="00057948">
            <w:pPr>
              <w:pStyle w:val="TableText"/>
              <w:rPr>
                <w:b/>
                <w:bCs/>
                <w:szCs w:val="18"/>
              </w:rPr>
            </w:pPr>
            <w:r>
              <w:rPr>
                <w:b/>
                <w:bCs/>
                <w:noProof/>
              </w:rPr>
              <mc:AlternateContent>
                <mc:Choice Requires="wps">
                  <w:drawing>
                    <wp:anchor distT="0" distB="0" distL="114300" distR="114300" simplePos="0" relativeHeight="251452928" behindDoc="0" locked="0" layoutInCell="1" allowOverlap="1" wp14:anchorId="5223D434" wp14:editId="210A5CB9">
                      <wp:simplePos x="0" y="0"/>
                      <wp:positionH relativeFrom="column">
                        <wp:posOffset>457200</wp:posOffset>
                      </wp:positionH>
                      <wp:positionV relativeFrom="paragraph">
                        <wp:posOffset>65405</wp:posOffset>
                      </wp:positionV>
                      <wp:extent cx="3200400" cy="0"/>
                      <wp:effectExtent l="9525" t="17780" r="9525" b="10795"/>
                      <wp:wrapNone/>
                      <wp:docPr id="345" name="Line 774" descr="P8491C10T9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A955A" id="Line 774" o:spid="_x0000_s1026" alt="&quot;&quot;" style="position:absolute;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wNBNl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11A264A2" w14:textId="77777777" w:rsidR="002A21AE" w:rsidRDefault="002A21AE">
            <w:pPr>
              <w:pStyle w:val="NotesText"/>
            </w:pPr>
          </w:p>
          <w:p w14:paraId="1DFB493C" w14:textId="77777777" w:rsidR="002A21AE" w:rsidRDefault="002A21AE">
            <w:pPr>
              <w:pStyle w:val="NotesText"/>
            </w:pPr>
            <w:r>
              <w:rPr>
                <w:rFonts w:cs="Arial"/>
                <w:vanish/>
              </w:rPr>
              <w:t xml:space="preserve">BR_57.03 </w:t>
            </w:r>
            <w:r>
              <w:t>Multiple workload codes may apply when work is performed on-site.</w:t>
            </w:r>
          </w:p>
        </w:tc>
      </w:tr>
      <w:tr w:rsidR="002A21AE" w14:paraId="0A8F9788" w14:textId="77777777">
        <w:tc>
          <w:tcPr>
            <w:tcW w:w="3240" w:type="dxa"/>
          </w:tcPr>
          <w:p w14:paraId="32F0F043" w14:textId="77777777" w:rsidR="002A21AE" w:rsidRDefault="002A21AE">
            <w:pPr>
              <w:pStyle w:val="TableTextNumbers"/>
            </w:pPr>
            <w:r>
              <w:t xml:space="preserve">Review the selections displayed. Return to Step 1 to change selections when necessary. </w:t>
            </w:r>
          </w:p>
          <w:p w14:paraId="603E1573" w14:textId="77777777" w:rsidR="002A21AE" w:rsidRDefault="002A21AE">
            <w:pPr>
              <w:pStyle w:val="TableTextNumbersContinued"/>
            </w:pPr>
          </w:p>
          <w:p w14:paraId="48C9D82F" w14:textId="77777777" w:rsidR="002A21AE" w:rsidRDefault="002A21AE">
            <w:pPr>
              <w:pStyle w:val="TableTextNumbersContinued"/>
            </w:pPr>
            <w:r>
              <w:t>Accept the reviewed entries.</w:t>
            </w:r>
          </w:p>
        </w:tc>
        <w:tc>
          <w:tcPr>
            <w:tcW w:w="6120" w:type="dxa"/>
          </w:tcPr>
          <w:p w14:paraId="02776323" w14:textId="77777777" w:rsidR="002A21AE" w:rsidRDefault="002A21AE">
            <w:pPr>
              <w:pStyle w:val="TableTextBullet"/>
            </w:pPr>
            <w:r>
              <w:t>Displays applicable data fields for the ordered ABID.</w:t>
            </w:r>
          </w:p>
          <w:p w14:paraId="3922E3F2" w14:textId="77777777" w:rsidR="002A21AE" w:rsidRDefault="002A21AE">
            <w:pPr>
              <w:pStyle w:val="TableTextBullet"/>
            </w:pPr>
            <w:r>
              <w:t>Allows the user to indicate the testing site and associated billing from outside sources.</w:t>
            </w:r>
          </w:p>
        </w:tc>
      </w:tr>
      <w:tr w:rsidR="002A21AE" w14:paraId="0D9C613D" w14:textId="77777777">
        <w:tc>
          <w:tcPr>
            <w:tcW w:w="3240" w:type="dxa"/>
          </w:tcPr>
          <w:p w14:paraId="41B4F401" w14:textId="77777777" w:rsidR="002A21AE" w:rsidRDefault="002A21AE">
            <w:pPr>
              <w:pStyle w:val="TableTextNumbers"/>
            </w:pPr>
            <w:r>
              <w:t>Enter the location where testing was performed and cost, when off-site.</w:t>
            </w:r>
          </w:p>
        </w:tc>
        <w:tc>
          <w:tcPr>
            <w:tcW w:w="6120" w:type="dxa"/>
          </w:tcPr>
          <w:p w14:paraId="56019BA9" w14:textId="77777777" w:rsidR="002A21AE" w:rsidRDefault="002A21AE">
            <w:pPr>
              <w:pStyle w:val="TableTextBullet"/>
            </w:pPr>
            <w:r>
              <w:t>Requires the user to indicate whether the ABID was performed at the division and/or off-site and saves that information with the ABID.</w:t>
            </w:r>
          </w:p>
          <w:p w14:paraId="16BD7F4F" w14:textId="77777777" w:rsidR="002A21AE" w:rsidRDefault="002A21AE">
            <w:pPr>
              <w:pStyle w:val="TableTextBullet"/>
            </w:pPr>
            <w:r>
              <w:rPr>
                <w:rFonts w:cs="Arial"/>
                <w:vanish/>
              </w:rPr>
              <w:t xml:space="preserve">BR_57.04 </w:t>
            </w:r>
            <w:r>
              <w:t xml:space="preserve">Allows the user to enter a charge, but not the workload, when the ABID work was performed off-site. </w:t>
            </w:r>
          </w:p>
          <w:p w14:paraId="7EC9B62A" w14:textId="77777777" w:rsidR="002A21AE" w:rsidRDefault="002A21AE">
            <w:pPr>
              <w:pStyle w:val="TableTextBullet"/>
            </w:pPr>
            <w:r>
              <w:t>Allows the user to indicate multiples of any processes when a test was performed on-site.</w:t>
            </w:r>
          </w:p>
          <w:p w14:paraId="4A6DD76D" w14:textId="77777777" w:rsidR="002A21AE" w:rsidRDefault="002A21AE">
            <w:pPr>
              <w:pStyle w:val="TableTextBullet"/>
            </w:pPr>
            <w:r>
              <w:t xml:space="preserve">Allows the user to enter comments. </w:t>
            </w:r>
          </w:p>
          <w:p w14:paraId="1B5E5981" w14:textId="24F7D2E7" w:rsidR="00964E4B" w:rsidRDefault="003F3FBD" w:rsidP="00964E4B">
            <w:pPr>
              <w:pStyle w:val="TableTextBullet"/>
            </w:pPr>
            <w:r>
              <w:t>Do not exceed 50 characters when entering</w:t>
            </w:r>
            <w:r w:rsidR="00964E4B" w:rsidRPr="00964E4B">
              <w:t xml:space="preserve"> the name of the off-site testing location.</w:t>
            </w:r>
            <w:r w:rsidR="00244AD3">
              <w:t xml:space="preserve"> </w:t>
            </w:r>
            <w:r w:rsidR="00244AD3" w:rsidRPr="00244AD3">
              <w:rPr>
                <w:vanish/>
              </w:rPr>
              <w:t>Defect 209558</w:t>
            </w:r>
          </w:p>
        </w:tc>
      </w:tr>
      <w:tr w:rsidR="002A21AE" w14:paraId="7D9642E9" w14:textId="77777777">
        <w:tc>
          <w:tcPr>
            <w:tcW w:w="3240" w:type="dxa"/>
          </w:tcPr>
          <w:p w14:paraId="434B1D8D" w14:textId="0E6C9BD7" w:rsidR="002A21AE" w:rsidRDefault="002A21AE">
            <w:pPr>
              <w:pStyle w:val="TableTextNumbers"/>
            </w:pPr>
            <w:r>
              <w:t>Review the antibody tests entered and comments selected and, when necessary, change them before accepting</w:t>
            </w:r>
            <w:r w:rsidR="005D0D2B">
              <w:t xml:space="preserve"> (</w:t>
            </w:r>
            <w:r w:rsidR="005D0D2B">
              <w:fldChar w:fldCharType="begin" w:fldLock="1"/>
            </w:r>
            <w:r w:rsidR="005D0D2B">
              <w:instrText xml:space="preserve"> REF _Ref127092401 \h </w:instrText>
            </w:r>
            <w:r w:rsidR="005D0D2B">
              <w:fldChar w:fldCharType="separate"/>
            </w:r>
            <w:r w:rsidR="00AB304C">
              <w:t xml:space="preserve">Figure </w:t>
            </w:r>
            <w:r w:rsidR="00AB304C">
              <w:rPr>
                <w:noProof/>
              </w:rPr>
              <w:t>130</w:t>
            </w:r>
            <w:r w:rsidR="005D0D2B">
              <w:fldChar w:fldCharType="end"/>
            </w:r>
            <w:r w:rsidR="005D0D2B">
              <w:t>)</w:t>
            </w:r>
            <w:r>
              <w:t xml:space="preserve">. </w:t>
            </w:r>
          </w:p>
        </w:tc>
        <w:tc>
          <w:tcPr>
            <w:tcW w:w="6120" w:type="dxa"/>
          </w:tcPr>
          <w:p w14:paraId="33B9937F" w14:textId="77777777" w:rsidR="002A21AE" w:rsidRDefault="002A21AE">
            <w:pPr>
              <w:pStyle w:val="TableTextBullet"/>
            </w:pPr>
            <w:r>
              <w:t>Displays the requirements for antigen negative blood components, if any, based on the antibody entered.</w:t>
            </w:r>
          </w:p>
          <w:p w14:paraId="715C50D7" w14:textId="77777777" w:rsidR="002A21AE" w:rsidRDefault="002A21AE">
            <w:pPr>
              <w:pStyle w:val="TableText"/>
            </w:pPr>
          </w:p>
        </w:tc>
      </w:tr>
      <w:tr w:rsidR="002A21AE" w14:paraId="008A184F" w14:textId="77777777">
        <w:tc>
          <w:tcPr>
            <w:tcW w:w="3240" w:type="dxa"/>
          </w:tcPr>
          <w:p w14:paraId="0891D9C3" w14:textId="77777777" w:rsidR="002A21AE" w:rsidRDefault="002A21AE">
            <w:pPr>
              <w:pStyle w:val="TableTextNumbers"/>
            </w:pPr>
            <w:r>
              <w:t xml:space="preserve">Click </w:t>
            </w:r>
            <w:r>
              <w:rPr>
                <w:b/>
              </w:rPr>
              <w:t>OK</w:t>
            </w:r>
            <w:r>
              <w:t xml:space="preserve"> to save the information to the database.</w:t>
            </w:r>
          </w:p>
        </w:tc>
        <w:tc>
          <w:tcPr>
            <w:tcW w:w="6120" w:type="dxa"/>
          </w:tcPr>
          <w:p w14:paraId="5E5BBDB8" w14:textId="77777777" w:rsidR="002A21AE" w:rsidRDefault="00B6515C" w:rsidP="00B6515C">
            <w:pPr>
              <w:pStyle w:val="TableTextBullet"/>
            </w:pPr>
            <w:r>
              <w:t>Saves the data.</w:t>
            </w:r>
          </w:p>
        </w:tc>
      </w:tr>
      <w:tr w:rsidR="002A21AE" w14:paraId="407C6294" w14:textId="77777777">
        <w:tc>
          <w:tcPr>
            <w:tcW w:w="3240" w:type="dxa"/>
          </w:tcPr>
          <w:p w14:paraId="4CD347B8" w14:textId="77777777" w:rsidR="002A21AE" w:rsidRDefault="002A21AE">
            <w:pPr>
              <w:pStyle w:val="TableTextNumbers"/>
            </w:pPr>
            <w:r>
              <w:t xml:space="preserve">Click </w:t>
            </w:r>
            <w:r>
              <w:rPr>
                <w:b/>
              </w:rPr>
              <w:t xml:space="preserve">OK </w:t>
            </w:r>
            <w:r>
              <w:t xml:space="preserve">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60734073" w14:textId="77777777" w:rsidR="002A21AE" w:rsidRDefault="002A21AE">
            <w:pPr>
              <w:pStyle w:val="TableText"/>
            </w:pPr>
          </w:p>
        </w:tc>
      </w:tr>
    </w:tbl>
    <w:p w14:paraId="7EDEA9B2" w14:textId="42FC9A14" w:rsidR="005D0D2B" w:rsidRDefault="005D0D2B" w:rsidP="005D0D2B">
      <w:pPr>
        <w:pStyle w:val="Caption"/>
      </w:pPr>
      <w:bookmarkStart w:id="510" w:name="_Ref127092401"/>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130</w:t>
      </w:r>
      <w:r w:rsidR="004E20BD">
        <w:rPr>
          <w:noProof/>
        </w:rPr>
        <w:fldChar w:fldCharType="end"/>
      </w:r>
      <w:bookmarkEnd w:id="510"/>
      <w:r>
        <w:t>: Patient Testing Antibody Identification</w:t>
      </w:r>
    </w:p>
    <w:p w14:paraId="3F20FB03" w14:textId="77777777" w:rsidR="002A21AE" w:rsidRDefault="00057948" w:rsidP="005D0D2B">
      <w:pPr>
        <w:pStyle w:val="BodyText"/>
      </w:pPr>
      <w:r>
        <w:rPr>
          <w:noProof/>
        </w:rPr>
        <w:drawing>
          <wp:inline distT="0" distB="0" distL="0" distR="0" wp14:anchorId="1F8EE0A4" wp14:editId="474CC793">
            <wp:extent cx="5791200" cy="3546475"/>
            <wp:effectExtent l="0" t="0" r="0" b="0"/>
            <wp:docPr id="243" name="Picture 243" descr="P85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P8519#yIS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791200" cy="3546475"/>
                    </a:xfrm>
                    <a:prstGeom prst="rect">
                      <a:avLst/>
                    </a:prstGeom>
                    <a:noFill/>
                    <a:ln>
                      <a:noFill/>
                    </a:ln>
                  </pic:spPr>
                </pic:pic>
              </a:graphicData>
            </a:graphic>
          </wp:inline>
        </w:drawing>
      </w:r>
    </w:p>
    <w:p w14:paraId="6F4A8AE9" w14:textId="77777777" w:rsidR="002A21AE" w:rsidRDefault="00746454">
      <w:pPr>
        <w:pStyle w:val="Heading3"/>
      </w:pPr>
      <w:r>
        <w:br w:type="page"/>
      </w:r>
      <w:bookmarkStart w:id="511" w:name="_Toc4588821"/>
      <w:r w:rsidR="002A21AE">
        <w:lastRenderedPageBreak/>
        <w:t>Patient Testing: Record a Transfusion Reaction Workup</w:t>
      </w:r>
      <w:bookmarkEnd w:id="511"/>
      <w:r w:rsidR="002A21AE">
        <w:fldChar w:fldCharType="begin"/>
      </w:r>
      <w:r w:rsidR="002A21AE">
        <w:instrText xml:space="preserve"> XE </w:instrText>
      </w:r>
      <w:r w:rsidR="00FA7E65">
        <w:instrText>“</w:instrText>
      </w:r>
      <w:r w:rsidR="002A21AE">
        <w:instrText>Patient Testing\: Record a Transfusion Reaction Workup</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UC_21</w:t>
      </w:r>
    </w:p>
    <w:p w14:paraId="19C01145" w14:textId="77777777" w:rsidR="002A21AE" w:rsidRDefault="002A21AE" w:rsidP="00FA7E65">
      <w:pPr>
        <w:pStyle w:val="BodyText"/>
      </w:pPr>
      <w:r>
        <w:t xml:space="preserve">The user documents a transfusion reaction workup (TRW). </w:t>
      </w:r>
    </w:p>
    <w:p w14:paraId="78634B05" w14:textId="77777777" w:rsidR="002A21AE" w:rsidRDefault="002A21AE">
      <w:pPr>
        <w:pStyle w:val="Heading4"/>
      </w:pPr>
      <w:r>
        <w:t>Assumptions</w:t>
      </w:r>
      <w:r>
        <w:rPr>
          <w:b w:val="0"/>
        </w:rPr>
        <w:t xml:space="preserve"> </w:t>
      </w:r>
    </w:p>
    <w:p w14:paraId="1441FF8C" w14:textId="77777777" w:rsidR="002A21AE" w:rsidRDefault="002A21AE">
      <w:pPr>
        <w:pStyle w:val="ListBullet"/>
      </w:pPr>
      <w:r>
        <w:t>A TRW is ordered and is “not started” or “in progress” on the Pending Task List (PTL).</w:t>
      </w:r>
    </w:p>
    <w:p w14:paraId="42F553BC" w14:textId="77777777" w:rsidR="002A21AE" w:rsidRDefault="002A21AE">
      <w:pPr>
        <w:pStyle w:val="Heading4"/>
      </w:pPr>
      <w:r>
        <w:t xml:space="preserve">Outcome </w:t>
      </w:r>
    </w:p>
    <w:p w14:paraId="589A1DC6" w14:textId="77777777" w:rsidR="002A21AE" w:rsidRDefault="002A21AE">
      <w:pPr>
        <w:pStyle w:val="ListBullet"/>
      </w:pPr>
      <w:r>
        <w:t>The user views or prints a preliminary TRW report of findings.</w:t>
      </w:r>
    </w:p>
    <w:p w14:paraId="2B7523E6" w14:textId="77777777" w:rsidR="002A21AE" w:rsidRDefault="002A21AE">
      <w:pPr>
        <w:pStyle w:val="ListBullet"/>
      </w:pPr>
      <w:r>
        <w:t>Preliminary report findings are available for display in CPRS.</w:t>
      </w:r>
    </w:p>
    <w:p w14:paraId="47EF08C5" w14:textId="77777777" w:rsidR="002A21AE" w:rsidRDefault="002A21AE">
      <w:pPr>
        <w:pStyle w:val="Heading4"/>
      </w:pPr>
      <w:r>
        <w:t>Limitations and Restrictions</w:t>
      </w:r>
      <w:r>
        <w:rPr>
          <w:b w:val="0"/>
        </w:rPr>
        <w:t xml:space="preserve"> </w:t>
      </w:r>
    </w:p>
    <w:p w14:paraId="38303BB8" w14:textId="77777777" w:rsidR="002A21AE" w:rsidRDefault="002A21AE">
      <w:pPr>
        <w:pStyle w:val="ListBullet"/>
      </w:pPr>
      <w:r>
        <w:t xml:space="preserve">Adverse reactions to transfusion detected at a later time (disease transmission) are </w:t>
      </w:r>
      <w:r w:rsidR="00814F27">
        <w:t>not recorded</w:t>
      </w:r>
      <w:r>
        <w:t xml:space="preserve"> through </w:t>
      </w:r>
      <w:r w:rsidR="00814F27">
        <w:t xml:space="preserve">this option. Refer </w:t>
      </w:r>
      <w:r w:rsidR="00357A19">
        <w:t>to Transfusion</w:t>
      </w:r>
      <w:r>
        <w:t xml:space="preserve"> Complications Report.</w:t>
      </w:r>
    </w:p>
    <w:p w14:paraId="2D6FC6A1" w14:textId="002C46AB" w:rsidR="007E549A" w:rsidRDefault="007E549A">
      <w:pPr>
        <w:pStyle w:val="ListBullet"/>
      </w:pPr>
      <w:r>
        <w:t>Each tab is completed and saved and is not editable. To change information on a previously completed tab, the TRW must be invalidated and corrected in its entirety.</w:t>
      </w:r>
    </w:p>
    <w:p w14:paraId="3D9FD12F" w14:textId="2C7244D9" w:rsidR="00783514" w:rsidRDefault="00783514" w:rsidP="00783514">
      <w:pPr>
        <w:pStyle w:val="ListBullet"/>
      </w:pPr>
      <w:r>
        <w:t xml:space="preserve">If comments are entered when a TRW is finalized as type "Other,” they won’t show on the CPRS Blood Bank Report. </w:t>
      </w:r>
      <w:r w:rsidRPr="00783514">
        <w:rPr>
          <w:vanish/>
        </w:rPr>
        <w:t>Defect 210332</w:t>
      </w:r>
    </w:p>
    <w:p w14:paraId="3423DE96" w14:textId="77777777" w:rsidR="002A21AE" w:rsidRDefault="002A21AE">
      <w:pPr>
        <w:pStyle w:val="Heading4"/>
      </w:pPr>
      <w:r>
        <w:t xml:space="preserve">Additional Information </w:t>
      </w:r>
    </w:p>
    <w:p w14:paraId="5F1F0100" w14:textId="77777777" w:rsidR="002A21AE" w:rsidRDefault="002A21AE">
      <w:pPr>
        <w:pStyle w:val="ListBullet"/>
      </w:pPr>
      <w:r>
        <w:t xml:space="preserve">All implicated units are added to data grids. </w:t>
      </w:r>
    </w:p>
    <w:p w14:paraId="4376350A" w14:textId="77777777" w:rsidR="002A21AE" w:rsidRDefault="002A21AE">
      <w:pPr>
        <w:pStyle w:val="ListBullet"/>
      </w:pPr>
      <w:r>
        <w:t>Testing is based on local policies.</w:t>
      </w:r>
    </w:p>
    <w:p w14:paraId="28DDAAE2" w14:textId="77777777" w:rsidR="002A21AE" w:rsidRDefault="002A21AE">
      <w:pPr>
        <w:pStyle w:val="ListBullet"/>
      </w:pPr>
      <w:r>
        <w:rPr>
          <w:rFonts w:ascii="Arial" w:hAnsi="Arial" w:cs="Arial"/>
          <w:vanish/>
          <w:spacing w:val="0"/>
          <w:sz w:val="18"/>
        </w:rPr>
        <w:t xml:space="preserve">BR_21.30 </w:t>
      </w:r>
      <w:r>
        <w:rPr>
          <w:color w:val="000000"/>
          <w:szCs w:val="18"/>
        </w:rPr>
        <w:t xml:space="preserve">VBECS allows the user to invalidate previously entered and saved information. When the user invalidates specimen data entered, VBECS invalidates </w:t>
      </w:r>
      <w:r w:rsidR="005B0C5A">
        <w:rPr>
          <w:color w:val="000000"/>
          <w:szCs w:val="18"/>
        </w:rPr>
        <w:t>the TRW</w:t>
      </w:r>
      <w:r>
        <w:rPr>
          <w:color w:val="000000"/>
          <w:szCs w:val="18"/>
        </w:rPr>
        <w:t>.</w:t>
      </w:r>
    </w:p>
    <w:p w14:paraId="5AF1694E" w14:textId="77777777" w:rsidR="002A21AE" w:rsidRDefault="002A21AE">
      <w:pPr>
        <w:pStyle w:val="ListBullet"/>
      </w:pPr>
      <w:r>
        <w:t>A delayed hemolytic transfusion reaction is typically identified about 7 to 10 days post-transfusion</w:t>
      </w:r>
      <w:r w:rsidR="0015352F">
        <w:t xml:space="preserve">. It may be </w:t>
      </w:r>
      <w:r>
        <w:t>addressed in this option</w:t>
      </w:r>
      <w:r w:rsidR="003F3A76">
        <w:t xml:space="preserve"> or as an</w:t>
      </w:r>
      <w:r>
        <w:t xml:space="preserve"> antibody identification.</w:t>
      </w:r>
      <w:r w:rsidR="00BF0C0F">
        <w:t xml:space="preserve"> (See Patient Testing: Enter Antibody Identification Results.)</w:t>
      </w:r>
    </w:p>
    <w:p w14:paraId="7A61C0EE" w14:textId="77777777" w:rsidR="002A21AE" w:rsidRDefault="002A21AE">
      <w:pPr>
        <w:pStyle w:val="ListBullet"/>
      </w:pPr>
      <w:r>
        <w:t>This test record is not editable after the user saves it to the database. When a correction needs to be filed, a corrected report must be generated, as described in Invalidate Test Results.</w:t>
      </w:r>
    </w:p>
    <w:p w14:paraId="1333645F" w14:textId="77777777" w:rsidR="002A21AE" w:rsidRDefault="002A21AE">
      <w:pPr>
        <w:pStyle w:val="ListBullet"/>
      </w:pPr>
      <w:r>
        <w:t>See the printed chart copy for the medical director’s signature and TRW interpretation, as described in Finalize/Print TRW.</w:t>
      </w:r>
    </w:p>
    <w:p w14:paraId="359E585E" w14:textId="77777777" w:rsidR="002A21AE" w:rsidRDefault="002A21AE">
      <w:pPr>
        <w:pStyle w:val="ListBullet"/>
      </w:pPr>
      <w:r>
        <w:t xml:space="preserve">A </w:t>
      </w:r>
      <w:r w:rsidR="00BF0C0F">
        <w:t xml:space="preserve">user may order a </w:t>
      </w:r>
      <w:r>
        <w:t>TRW</w:t>
      </w:r>
      <w:r w:rsidR="005B0C5A">
        <w:t xml:space="preserve"> </w:t>
      </w:r>
      <w:r>
        <w:t>prior to the completion of a unit’s transfusion record.</w:t>
      </w:r>
    </w:p>
    <w:p w14:paraId="16B0EF69" w14:textId="77777777" w:rsidR="005B0C5A" w:rsidRDefault="005B0C5A" w:rsidP="005B0C5A">
      <w:pPr>
        <w:pStyle w:val="ListBullet"/>
      </w:pPr>
      <w:r>
        <w:t xml:space="preserve">The </w:t>
      </w:r>
      <w:r w:rsidR="009771E4">
        <w:t xml:space="preserve">user must complete the </w:t>
      </w:r>
      <w:r>
        <w:t>unit’s transfusion record prior to implicating a unit in a TRW.</w:t>
      </w:r>
    </w:p>
    <w:p w14:paraId="1CDD39C8" w14:textId="77777777" w:rsidR="002A21AE" w:rsidRDefault="002A21AE">
      <w:pPr>
        <w:pStyle w:val="ListBullet"/>
      </w:pPr>
      <w:r>
        <w:t xml:space="preserve">These data remain encapsulated as part of the TRW and </w:t>
      </w:r>
      <w:r w:rsidR="00855A2D">
        <w:t xml:space="preserve">are not saved, compared to the patient record, or </w:t>
      </w:r>
      <w:r>
        <w:t>associated with other pre-transfusion grid testing.</w:t>
      </w:r>
    </w:p>
    <w:p w14:paraId="6DFE6EB1" w14:textId="77777777" w:rsidR="002A21AE" w:rsidRDefault="002A21AE">
      <w:pPr>
        <w:pStyle w:val="ListBullet"/>
      </w:pPr>
      <w:r>
        <w:rPr>
          <w:rFonts w:ascii="Arial" w:hAnsi="Arial" w:cs="Arial"/>
          <w:vanish/>
          <w:spacing w:val="0"/>
          <w:sz w:val="18"/>
        </w:rPr>
        <w:t xml:space="preserve">BR_21.26 </w:t>
      </w:r>
      <w:r>
        <w:t>TRW ABO/Rh typing results are not saved as historical ABO/Rh typing results. These test records are maintained as part of the TRW only.</w:t>
      </w:r>
    </w:p>
    <w:p w14:paraId="54E96F9D" w14:textId="234A3354" w:rsidR="00F317D8" w:rsidRDefault="007B0020">
      <w:pPr>
        <w:pStyle w:val="ListBullet"/>
      </w:pPr>
      <w:r>
        <w:t>A system error occurs when a user attempts to access a locked TRW.</w:t>
      </w:r>
      <w:r w:rsidR="00244AD3">
        <w:t xml:space="preserve"> </w:t>
      </w:r>
      <w:r w:rsidR="00244AD3" w:rsidRPr="00244AD3">
        <w:rPr>
          <w:vanish/>
        </w:rPr>
        <w:t>Defect 209147</w:t>
      </w:r>
    </w:p>
    <w:p w14:paraId="1A6BC8DB" w14:textId="77777777" w:rsidR="002A21AE" w:rsidRDefault="002A21AE">
      <w:pPr>
        <w:pStyle w:val="Heading4"/>
        <w:rPr>
          <w:b w:val="0"/>
        </w:rPr>
      </w:pPr>
      <w:r>
        <w:t>User Roles with Access to This Option</w:t>
      </w:r>
      <w:r>
        <w:rPr>
          <w:b w:val="0"/>
        </w:rPr>
        <w:t xml:space="preserve"> </w:t>
      </w:r>
    </w:p>
    <w:p w14:paraId="340545D6" w14:textId="77777777" w:rsidR="002A21AE" w:rsidRDefault="00A13077">
      <w:pPr>
        <w:pStyle w:val="Roles"/>
        <w:rPr>
          <w:snapToGrid w:val="0"/>
        </w:rPr>
      </w:pPr>
      <w:r>
        <w:t>All users</w:t>
      </w:r>
    </w:p>
    <w:p w14:paraId="4954F922" w14:textId="77777777" w:rsidR="002A21AE" w:rsidRDefault="00746454">
      <w:pPr>
        <w:pStyle w:val="Heading4"/>
      </w:pPr>
      <w:r>
        <w:br w:type="page"/>
      </w:r>
      <w:r w:rsidR="002A21AE">
        <w:lastRenderedPageBreak/>
        <w:t xml:space="preserve">Patient Testing: Record a Transfusion Reaction Workup </w:t>
      </w:r>
    </w:p>
    <w:p w14:paraId="5BE677C0" w14:textId="77777777" w:rsidR="002A21AE" w:rsidRDefault="002A21AE" w:rsidP="00FA7E65">
      <w:pPr>
        <w:pStyle w:val="BodyText"/>
      </w:pPr>
      <w:r>
        <w:t xml:space="preserve">The user accepts the TRW order, inspects the sample for hemolysis, and performs implicated clerical checks. The TRW may require entry of patient data, including vital signs and serologic test results. A signed, printed TRW report must be filed with the patient’s chart. </w:t>
      </w:r>
    </w:p>
    <w:p w14:paraId="338CD7E5" w14:textId="77777777" w:rsidR="002A21AE" w:rsidRDefault="002A21AE" w:rsidP="00FA7E65">
      <w:pPr>
        <w:pStyle w:val="BodyText"/>
      </w:pPr>
      <w:r>
        <w:t>Transfusion reactions may be worked up in stages depending on patient symptoms and serologic findings. The first stage includes the initial clerical and specimen checks. The second stage includes serologic test interpretations, including pre- and post-patient testing, ABO/Rh, ABS, XM, and DAT.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8E6E94" w14:paraId="2A6D3140" w14:textId="77777777">
        <w:trPr>
          <w:cantSplit/>
          <w:tblHeader/>
        </w:trPr>
        <w:tc>
          <w:tcPr>
            <w:tcW w:w="3240" w:type="dxa"/>
            <w:shd w:val="pct30" w:color="auto" w:fill="FFFFFF"/>
            <w:vAlign w:val="bottom"/>
          </w:tcPr>
          <w:p w14:paraId="3D43292F" w14:textId="77777777" w:rsidR="008E6E94" w:rsidRDefault="008E6E94" w:rsidP="007A413F">
            <w:pPr>
              <w:pStyle w:val="TableText"/>
              <w:rPr>
                <w:b/>
              </w:rPr>
            </w:pPr>
            <w:r>
              <w:rPr>
                <w:b/>
              </w:rPr>
              <w:t>User Action</w:t>
            </w:r>
          </w:p>
        </w:tc>
        <w:tc>
          <w:tcPr>
            <w:tcW w:w="6120" w:type="dxa"/>
            <w:shd w:val="pct30" w:color="auto" w:fill="FFFFFF"/>
            <w:vAlign w:val="bottom"/>
          </w:tcPr>
          <w:p w14:paraId="548FC45E" w14:textId="77777777" w:rsidR="008E6E94" w:rsidRDefault="008E6E94" w:rsidP="007A413F">
            <w:pPr>
              <w:pStyle w:val="TableText"/>
              <w:rPr>
                <w:b/>
              </w:rPr>
            </w:pPr>
            <w:r>
              <w:rPr>
                <w:b/>
              </w:rPr>
              <w:t>VBECS</w:t>
            </w:r>
          </w:p>
        </w:tc>
      </w:tr>
      <w:tr w:rsidR="00413A92" w14:paraId="36EC75EF" w14:textId="77777777">
        <w:tc>
          <w:tcPr>
            <w:tcW w:w="3240" w:type="dxa"/>
            <w:tcBorders>
              <w:top w:val="single" w:sz="4" w:space="0" w:color="auto"/>
              <w:left w:val="single" w:sz="4" w:space="0" w:color="auto"/>
              <w:bottom w:val="single" w:sz="4" w:space="0" w:color="auto"/>
              <w:right w:val="single" w:sz="4" w:space="0" w:color="auto"/>
            </w:tcBorders>
          </w:tcPr>
          <w:p w14:paraId="3A073BB1" w14:textId="77777777" w:rsidR="00413A92" w:rsidRDefault="00413A92" w:rsidP="00644B37">
            <w:pPr>
              <w:pStyle w:val="TableTextNumbers"/>
            </w:pPr>
            <w:r>
              <w:t xml:space="preserve">Select </w:t>
            </w:r>
            <w:r>
              <w:rPr>
                <w:b/>
              </w:rPr>
              <w:t>Patients</w:t>
            </w:r>
            <w:r>
              <w:t xml:space="preserve"> from the main menu.</w:t>
            </w:r>
          </w:p>
          <w:p w14:paraId="4289CE2A" w14:textId="77777777" w:rsidR="00413A92" w:rsidRDefault="00413A92" w:rsidP="00644B37">
            <w:pPr>
              <w:pStyle w:val="TableTextNumbersContinued"/>
            </w:pPr>
          </w:p>
          <w:p w14:paraId="3BB70B6F" w14:textId="77777777" w:rsidR="00413A92" w:rsidRDefault="00413A92" w:rsidP="00644B37">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14:paraId="783E638F" w14:textId="77777777" w:rsidR="00413A92" w:rsidRDefault="00413A92" w:rsidP="00644B37">
            <w:pPr>
              <w:pStyle w:val="TableTextBullet"/>
            </w:pPr>
            <w:r>
              <w:t xml:space="preserve">Displays options for processing patient-related functions. </w:t>
            </w:r>
          </w:p>
          <w:p w14:paraId="0C7E54AC" w14:textId="77777777" w:rsidR="00413A92" w:rsidRDefault="00413A92" w:rsidP="00644B37">
            <w:pPr>
              <w:pStyle w:val="TableTextBullet"/>
            </w:pPr>
            <w:r>
              <w:t>Displays the Pending Task List (PTL) in the Diagnostic Tests tab.</w:t>
            </w:r>
          </w:p>
          <w:p w14:paraId="6582F75D" w14:textId="77777777" w:rsidR="00413A92" w:rsidRDefault="00413A92" w:rsidP="00644B37">
            <w:pPr>
              <w:pStyle w:val="NotesText"/>
            </w:pPr>
          </w:p>
          <w:p w14:paraId="6C58A36B" w14:textId="77777777" w:rsidR="00413A92" w:rsidRDefault="00057948" w:rsidP="00644B37">
            <w:pPr>
              <w:pStyle w:val="TableText"/>
              <w:rPr>
                <w:b/>
                <w:bCs/>
                <w:szCs w:val="18"/>
              </w:rPr>
            </w:pPr>
            <w:r>
              <w:rPr>
                <w:b/>
                <w:bCs/>
                <w:noProof/>
              </w:rPr>
              <mc:AlternateContent>
                <mc:Choice Requires="wps">
                  <w:drawing>
                    <wp:anchor distT="0" distB="0" distL="114300" distR="114300" simplePos="0" relativeHeight="251928064" behindDoc="0" locked="0" layoutInCell="1" allowOverlap="1" wp14:anchorId="67911DA1" wp14:editId="2593E054">
                      <wp:simplePos x="0" y="0"/>
                      <wp:positionH relativeFrom="column">
                        <wp:posOffset>457200</wp:posOffset>
                      </wp:positionH>
                      <wp:positionV relativeFrom="paragraph">
                        <wp:posOffset>65405</wp:posOffset>
                      </wp:positionV>
                      <wp:extent cx="3200400" cy="0"/>
                      <wp:effectExtent l="9525" t="17780" r="9525" b="10795"/>
                      <wp:wrapNone/>
                      <wp:docPr id="344" name="Line 1075" descr="P8557C4T9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DF15E" id="Line 1075" o:spid="_x0000_s1026" alt="&quot;&quot;" style="position:absolute;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P5D3XzEAQAAbwMAAA4AAAAAAAAAAAAAAAAA&#10;LgIAAGRycy9lMm9Eb2MueG1sUEsBAi0AFAAGAAgAAAAhABdPMBLbAAAACAEAAA8AAAAAAAAAAAAA&#10;AAAAHgQAAGRycy9kb3ducmV2LnhtbFBLBQYAAAAABAAEAPMAAAAmBQAAAAA=&#10;" strokeweight="1.5pt"/>
                  </w:pict>
                </mc:Fallback>
              </mc:AlternateContent>
            </w:r>
            <w:r w:rsidR="00413A92">
              <w:rPr>
                <w:b/>
                <w:bCs/>
                <w:szCs w:val="18"/>
              </w:rPr>
              <w:t>NOTES</w:t>
            </w:r>
          </w:p>
          <w:p w14:paraId="1F822AA5" w14:textId="77777777" w:rsidR="00413A92" w:rsidRDefault="00413A92" w:rsidP="00644B37">
            <w:pPr>
              <w:pStyle w:val="NotesText"/>
            </w:pPr>
          </w:p>
          <w:p w14:paraId="5FAACFA2" w14:textId="77777777" w:rsidR="00413A92" w:rsidRDefault="00413A92" w:rsidP="00644B37">
            <w:pPr>
              <w:pStyle w:val="NotesText"/>
            </w:pPr>
            <w:r>
              <w:t>A user may search for specific tasks using search criteria detailed in Pending Task List.</w:t>
            </w:r>
          </w:p>
        </w:tc>
      </w:tr>
      <w:tr w:rsidR="008E6E94" w14:paraId="333868ED" w14:textId="77777777">
        <w:tc>
          <w:tcPr>
            <w:tcW w:w="3240" w:type="dxa"/>
          </w:tcPr>
          <w:p w14:paraId="287523DF" w14:textId="77777777" w:rsidR="008E6E94" w:rsidRDefault="008E6E94" w:rsidP="007A413F">
            <w:pPr>
              <w:pStyle w:val="TableTextNumbers"/>
            </w:pPr>
            <w:r>
              <w:t>Click a check box in the PTL to select a task.</w:t>
            </w:r>
          </w:p>
          <w:p w14:paraId="30EDF7E1" w14:textId="77777777" w:rsidR="00432A30" w:rsidRDefault="00432A30" w:rsidP="00432A30">
            <w:pPr>
              <w:pStyle w:val="TableTextNumbersContinued"/>
            </w:pPr>
          </w:p>
          <w:p w14:paraId="344B52B9" w14:textId="77777777" w:rsidR="00432A30" w:rsidRDefault="00432A30" w:rsidP="00432A30">
            <w:pPr>
              <w:pStyle w:val="TableTextNumbersContinued"/>
            </w:pPr>
            <w:r>
              <w:t xml:space="preserve">Click </w:t>
            </w:r>
            <w:r w:rsidRPr="00432A30">
              <w:rPr>
                <w:b/>
              </w:rPr>
              <w:t>OK</w:t>
            </w:r>
            <w:r>
              <w:t>.</w:t>
            </w:r>
          </w:p>
        </w:tc>
        <w:tc>
          <w:tcPr>
            <w:tcW w:w="6120" w:type="dxa"/>
          </w:tcPr>
          <w:p w14:paraId="48B150D5" w14:textId="77777777" w:rsidR="008E6E94" w:rsidRDefault="008E6E94" w:rsidP="001E4DCC">
            <w:pPr>
              <w:pStyle w:val="TableTextBullet"/>
            </w:pPr>
            <w:r>
              <w:t>Displays TRW patient order information and allows the user to indicate which portion of the TRW to perform</w:t>
            </w:r>
            <w:r w:rsidR="001E4DCC">
              <w:t xml:space="preserve"> (i</w:t>
            </w:r>
            <w:r>
              <w:t>nitial clerical and specimen checks</w:t>
            </w:r>
            <w:r w:rsidR="001E4DCC">
              <w:t>).</w:t>
            </w:r>
          </w:p>
          <w:p w14:paraId="5576DC1C" w14:textId="77777777" w:rsidR="008E6E94" w:rsidRDefault="008E6E94" w:rsidP="007A413F">
            <w:pPr>
              <w:pStyle w:val="TableText"/>
            </w:pPr>
          </w:p>
          <w:p w14:paraId="4BE70B1E" w14:textId="77777777" w:rsidR="008E6E94" w:rsidRDefault="00057948" w:rsidP="007A413F">
            <w:pPr>
              <w:pStyle w:val="TableText"/>
              <w:rPr>
                <w:b/>
                <w:bCs/>
                <w:szCs w:val="18"/>
              </w:rPr>
            </w:pPr>
            <w:r>
              <w:rPr>
                <w:b/>
                <w:bCs/>
                <w:noProof/>
              </w:rPr>
              <mc:AlternateContent>
                <mc:Choice Requires="wps">
                  <w:drawing>
                    <wp:anchor distT="0" distB="0" distL="114300" distR="114300" simplePos="0" relativeHeight="251878912" behindDoc="0" locked="0" layoutInCell="1" allowOverlap="1" wp14:anchorId="0D1966E1" wp14:editId="3511B60E">
                      <wp:simplePos x="0" y="0"/>
                      <wp:positionH relativeFrom="column">
                        <wp:posOffset>457200</wp:posOffset>
                      </wp:positionH>
                      <wp:positionV relativeFrom="paragraph">
                        <wp:posOffset>65405</wp:posOffset>
                      </wp:positionV>
                      <wp:extent cx="3200400" cy="0"/>
                      <wp:effectExtent l="9525" t="17780" r="9525" b="10795"/>
                      <wp:wrapNone/>
                      <wp:docPr id="343" name="Line 1055" descr="P8566C6T9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83183" id="Line 1055" o:spid="_x0000_s1026" alt="&quot;&quot;" style="position:absolute;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IIvWkMMBAABvAwAADgAAAAAAAAAAAAAAAAAu&#10;AgAAZHJzL2Uyb0RvYy54bWxQSwECLQAUAAYACAAAACEAF08wEtsAAAAIAQAADwAAAAAAAAAAAAAA&#10;AAAdBAAAZHJzL2Rvd25yZXYueG1sUEsFBgAAAAAEAAQA8wAAACUFAAAAAA==&#10;" strokeweight="1.5pt"/>
                  </w:pict>
                </mc:Fallback>
              </mc:AlternateContent>
            </w:r>
            <w:r w:rsidR="008E6E94">
              <w:rPr>
                <w:b/>
                <w:bCs/>
                <w:szCs w:val="18"/>
              </w:rPr>
              <w:t>NOTES</w:t>
            </w:r>
          </w:p>
          <w:p w14:paraId="79A25BC8" w14:textId="77777777" w:rsidR="008E6E94" w:rsidRDefault="008E6E94" w:rsidP="007A413F">
            <w:pPr>
              <w:pStyle w:val="NotesText"/>
            </w:pPr>
          </w:p>
          <w:p w14:paraId="64A7F859" w14:textId="77777777" w:rsidR="008E6E94" w:rsidRDefault="008E6E94" w:rsidP="007A413F">
            <w:pPr>
              <w:pStyle w:val="NotesText"/>
            </w:pPr>
            <w:r>
              <w:rPr>
                <w:rFonts w:cs="Arial"/>
                <w:vanish/>
              </w:rPr>
              <w:t xml:space="preserve">BR_21.08 </w:t>
            </w:r>
            <w:r>
              <w:t>The TRW patient name and patient ID are visible at all times.</w:t>
            </w:r>
          </w:p>
          <w:p w14:paraId="1AEF4F5E" w14:textId="77777777" w:rsidR="008E6E94" w:rsidRDefault="008E6E94" w:rsidP="007A413F">
            <w:pPr>
              <w:pStyle w:val="NotesText"/>
            </w:pPr>
          </w:p>
          <w:p w14:paraId="69C4853D" w14:textId="77777777" w:rsidR="008E6E94" w:rsidRDefault="008E6E94" w:rsidP="007A413F">
            <w:pPr>
              <w:pStyle w:val="NotesText"/>
            </w:pPr>
            <w:r>
              <w:rPr>
                <w:rFonts w:cs="Arial"/>
                <w:vanish/>
              </w:rPr>
              <w:t xml:space="preserve">BR_21.09 </w:t>
            </w:r>
            <w:r>
              <w:t>Initial clerical and specimen checks must be performed before TRW serologic testing is available.</w:t>
            </w:r>
          </w:p>
        </w:tc>
      </w:tr>
      <w:tr w:rsidR="008E6E94" w14:paraId="66232CC1" w14:textId="77777777">
        <w:tc>
          <w:tcPr>
            <w:tcW w:w="3240" w:type="dxa"/>
            <w:tcBorders>
              <w:top w:val="single" w:sz="4" w:space="0" w:color="auto"/>
              <w:left w:val="single" w:sz="4" w:space="0" w:color="auto"/>
              <w:bottom w:val="single" w:sz="4" w:space="0" w:color="auto"/>
              <w:right w:val="single" w:sz="4" w:space="0" w:color="auto"/>
            </w:tcBorders>
          </w:tcPr>
          <w:p w14:paraId="161E17EE" w14:textId="77777777" w:rsidR="008E6E94" w:rsidRDefault="00A01C54" w:rsidP="00C92B1A">
            <w:pPr>
              <w:pStyle w:val="TableTextNumbers"/>
            </w:pPr>
            <w:r>
              <w:t>Enter the date</w:t>
            </w:r>
            <w:r w:rsidR="00750760">
              <w:t xml:space="preserve"> the</w:t>
            </w:r>
            <w:r>
              <w:t xml:space="preserve"> transfusion reaction was noted and the date it was investigated.</w:t>
            </w:r>
          </w:p>
        </w:tc>
        <w:tc>
          <w:tcPr>
            <w:tcW w:w="6120" w:type="dxa"/>
            <w:tcBorders>
              <w:top w:val="single" w:sz="4" w:space="0" w:color="auto"/>
              <w:left w:val="single" w:sz="4" w:space="0" w:color="auto"/>
              <w:bottom w:val="single" w:sz="4" w:space="0" w:color="auto"/>
              <w:right w:val="single" w:sz="4" w:space="0" w:color="auto"/>
            </w:tcBorders>
          </w:tcPr>
          <w:p w14:paraId="1B88B20C" w14:textId="77777777" w:rsidR="008E6E94" w:rsidRDefault="008E6E94" w:rsidP="007A413F">
            <w:pPr>
              <w:pStyle w:val="TableTextBullet"/>
            </w:pPr>
            <w:r>
              <w:t>Allows the user to document observations about the pre- and post-transfusion specimens.</w:t>
            </w:r>
          </w:p>
        </w:tc>
      </w:tr>
      <w:tr w:rsidR="008E6E94" w14:paraId="1A4B0EC0" w14:textId="77777777">
        <w:tc>
          <w:tcPr>
            <w:tcW w:w="3240" w:type="dxa"/>
            <w:tcBorders>
              <w:top w:val="single" w:sz="4" w:space="0" w:color="auto"/>
              <w:left w:val="single" w:sz="4" w:space="0" w:color="auto"/>
              <w:bottom w:val="single" w:sz="4" w:space="0" w:color="auto"/>
              <w:right w:val="single" w:sz="4" w:space="0" w:color="auto"/>
            </w:tcBorders>
          </w:tcPr>
          <w:p w14:paraId="6E78E35E" w14:textId="1ADDE2DD" w:rsidR="00C92B1A" w:rsidRDefault="00C92B1A" w:rsidP="00C92B1A">
            <w:pPr>
              <w:pStyle w:val="TableTextNumbers"/>
            </w:pPr>
            <w:r>
              <w:t>Click a radio button in the Specimen Checks tab to indicate whether pre- and post-transfusion specimens are available</w:t>
            </w:r>
            <w:r w:rsidR="00750760">
              <w:t xml:space="preserve"> (</w:t>
            </w:r>
            <w:r w:rsidR="008534C3">
              <w:fldChar w:fldCharType="begin" w:fldLock="1"/>
            </w:r>
            <w:r w:rsidR="008534C3">
              <w:instrText xml:space="preserve"> REF _Ref127771180 \h </w:instrText>
            </w:r>
            <w:r w:rsidR="008534C3">
              <w:fldChar w:fldCharType="separate"/>
            </w:r>
            <w:r w:rsidR="00AB304C">
              <w:t xml:space="preserve">Figure </w:t>
            </w:r>
            <w:r w:rsidR="00AB304C">
              <w:rPr>
                <w:noProof/>
              </w:rPr>
              <w:t>131</w:t>
            </w:r>
            <w:r w:rsidR="008534C3">
              <w:fldChar w:fldCharType="end"/>
            </w:r>
            <w:r w:rsidR="00750760">
              <w:t>)</w:t>
            </w:r>
            <w:r>
              <w:t>.</w:t>
            </w:r>
          </w:p>
          <w:p w14:paraId="2EB785A2" w14:textId="77777777" w:rsidR="00C92B1A" w:rsidRPr="00C92B1A" w:rsidRDefault="00C92B1A" w:rsidP="00C92B1A">
            <w:pPr>
              <w:pStyle w:val="TableTextNumbersContinued"/>
            </w:pPr>
          </w:p>
          <w:p w14:paraId="518E74B0" w14:textId="77777777" w:rsidR="008E6E94" w:rsidRDefault="00C92B1A" w:rsidP="00C92B1A">
            <w:pPr>
              <w:pStyle w:val="TableTextNumbersContinued"/>
            </w:pPr>
            <w:r>
              <w:t>Scan or enter specimen UIDs in the Specimen UID field</w:t>
            </w:r>
            <w:r w:rsidR="00880C72">
              <w:t>s</w:t>
            </w:r>
            <w:r>
              <w:t xml:space="preserve"> and enter comments, as required. </w:t>
            </w:r>
          </w:p>
          <w:p w14:paraId="611F5FCC" w14:textId="77777777" w:rsidR="00A36884" w:rsidRDefault="00A36884" w:rsidP="00C92B1A">
            <w:pPr>
              <w:pStyle w:val="TableTextNumbersContinued"/>
            </w:pPr>
          </w:p>
          <w:p w14:paraId="0BAB097A" w14:textId="77777777" w:rsidR="00A36884" w:rsidRDefault="00A36884" w:rsidP="00C92B1A">
            <w:pPr>
              <w:pStyle w:val="TableTextNumbersContinued"/>
            </w:pPr>
            <w:r>
              <w:t>Select an item from the drop-down menu in the Hemolysis Inspection field.</w:t>
            </w:r>
          </w:p>
        </w:tc>
        <w:tc>
          <w:tcPr>
            <w:tcW w:w="6120" w:type="dxa"/>
            <w:tcBorders>
              <w:top w:val="single" w:sz="4" w:space="0" w:color="auto"/>
              <w:left w:val="single" w:sz="4" w:space="0" w:color="auto"/>
              <w:bottom w:val="single" w:sz="4" w:space="0" w:color="auto"/>
              <w:right w:val="single" w:sz="4" w:space="0" w:color="auto"/>
            </w:tcBorders>
          </w:tcPr>
          <w:p w14:paraId="3B97442B" w14:textId="77777777" w:rsidR="008E6E94" w:rsidRDefault="008E6E94" w:rsidP="007A413F">
            <w:pPr>
              <w:pStyle w:val="TableTextBullet"/>
            </w:pPr>
            <w:r>
              <w:t xml:space="preserve">Allows the user to enter the date and time the transfusion reaction was noted (provided by the clinician) and the date and time of the investigation (default: current date and time). </w:t>
            </w:r>
          </w:p>
          <w:p w14:paraId="351EFDF6" w14:textId="77777777" w:rsidR="008E6E94" w:rsidRDefault="008E6E94" w:rsidP="007A413F">
            <w:pPr>
              <w:pStyle w:val="TableText"/>
            </w:pPr>
          </w:p>
          <w:p w14:paraId="0101A621" w14:textId="77777777" w:rsidR="008E6E94" w:rsidRDefault="00057948" w:rsidP="007A413F">
            <w:pPr>
              <w:pStyle w:val="TableText"/>
              <w:rPr>
                <w:b/>
                <w:bCs/>
                <w:szCs w:val="18"/>
              </w:rPr>
            </w:pPr>
            <w:r>
              <w:rPr>
                <w:b/>
                <w:bCs/>
                <w:noProof/>
              </w:rPr>
              <mc:AlternateContent>
                <mc:Choice Requires="wps">
                  <w:drawing>
                    <wp:anchor distT="0" distB="0" distL="114300" distR="114300" simplePos="0" relativeHeight="251891200" behindDoc="0" locked="0" layoutInCell="1" allowOverlap="1" wp14:anchorId="00E2525D" wp14:editId="03821221">
                      <wp:simplePos x="0" y="0"/>
                      <wp:positionH relativeFrom="column">
                        <wp:posOffset>457200</wp:posOffset>
                      </wp:positionH>
                      <wp:positionV relativeFrom="paragraph">
                        <wp:posOffset>65405</wp:posOffset>
                      </wp:positionV>
                      <wp:extent cx="3200400" cy="0"/>
                      <wp:effectExtent l="9525" t="17780" r="9525" b="10795"/>
                      <wp:wrapNone/>
                      <wp:docPr id="342" name="Line 1059" descr="P8582C10T9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C2608" id="Line 1059" o:spid="_x0000_s1026" alt="&quot;&quot;" style="position:absolute;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AM5wD/EAQAAbwMAAA4AAAAAAAAAAAAAAAAA&#10;LgIAAGRycy9lMm9Eb2MueG1sUEsBAi0AFAAGAAgAAAAhABdPMBLbAAAACAEAAA8AAAAAAAAAAAAA&#10;AAAAHgQAAGRycy9kb3ducmV2LnhtbFBLBQYAAAAABAAEAPMAAAAmBQAAAAA=&#10;" strokeweight="1.5pt"/>
                  </w:pict>
                </mc:Fallback>
              </mc:AlternateContent>
            </w:r>
            <w:r w:rsidR="008E6E94">
              <w:rPr>
                <w:b/>
                <w:bCs/>
                <w:szCs w:val="18"/>
              </w:rPr>
              <w:t>NOTES</w:t>
            </w:r>
          </w:p>
          <w:p w14:paraId="374EF8B6" w14:textId="77777777" w:rsidR="008E6E94" w:rsidRDefault="008E6E94" w:rsidP="007A413F">
            <w:pPr>
              <w:pStyle w:val="NotesText"/>
            </w:pPr>
          </w:p>
          <w:p w14:paraId="6BA824D9" w14:textId="77777777" w:rsidR="008E6E94" w:rsidRDefault="008E6E94" w:rsidP="007A413F">
            <w:pPr>
              <w:pStyle w:val="NotesText"/>
            </w:pPr>
            <w:r>
              <w:rPr>
                <w:rFonts w:cs="Arial"/>
                <w:vanish/>
              </w:rPr>
              <w:t xml:space="preserve">BR_21.15 </w:t>
            </w:r>
            <w:r>
              <w:t>When the pre- and/or post-transfusion samples are available to perform the clerical check, VBECS requires the user to indicate whether the clerical check is okay.</w:t>
            </w:r>
          </w:p>
          <w:p w14:paraId="2C9A901F" w14:textId="77777777" w:rsidR="008E6E94" w:rsidRDefault="008E6E94" w:rsidP="007A413F">
            <w:pPr>
              <w:pStyle w:val="NotesText"/>
            </w:pPr>
          </w:p>
          <w:p w14:paraId="4097AF55" w14:textId="77777777" w:rsidR="008E6E94" w:rsidRDefault="008E6E94" w:rsidP="007A413F">
            <w:pPr>
              <w:pStyle w:val="NotesText"/>
            </w:pPr>
            <w:r>
              <w:rPr>
                <w:rFonts w:cs="Arial"/>
                <w:vanish/>
              </w:rPr>
              <w:t xml:space="preserve">BR_21.17 </w:t>
            </w:r>
            <w:r>
              <w:t xml:space="preserve">VBECS allows the user to scan or enter the pre- and post-transfusion specimen UIDs. VBECS compares the patient name and ID associated with each specimen UID to those associated with the TRW workup. </w:t>
            </w:r>
          </w:p>
          <w:p w14:paraId="162E20F4" w14:textId="77777777" w:rsidR="008E6E94" w:rsidRDefault="008E6E94" w:rsidP="007A413F">
            <w:pPr>
              <w:pStyle w:val="NotesText"/>
            </w:pPr>
          </w:p>
          <w:p w14:paraId="02B2F8A7" w14:textId="77777777" w:rsidR="008E6E94" w:rsidRDefault="008E6E94" w:rsidP="007A413F">
            <w:pPr>
              <w:pStyle w:val="NotesText"/>
            </w:pPr>
            <w:r>
              <w:rPr>
                <w:rFonts w:cs="Arial"/>
                <w:vanish/>
              </w:rPr>
              <w:t>BR_21.33</w:t>
            </w:r>
            <w:r w:rsidRPr="00323744">
              <w:rPr>
                <w:rStyle w:val="BullhornChar"/>
              </w:rPr>
              <w:t></w:t>
            </w:r>
            <w:r>
              <w:rPr>
                <w:rFonts w:ascii="Webdings" w:hAnsi="Webdings"/>
              </w:rPr>
              <w:t></w:t>
            </w:r>
            <w:r w:rsidRPr="00263B24">
              <w:t>Wh</w:t>
            </w:r>
            <w:r>
              <w:t>en the patient name does not match VBECS data for the TRW patient, VBECS emits an audible alert, warns the user, and instructs him to notify the physician immediately. VBECS allows the user to reenter the specimen UID or verify that the data are correct. VBECS requires a comment when there is no match and captures details for inclusion in an Exception Report (exception type: Transfusion Reaction Workup Specimen).</w:t>
            </w:r>
          </w:p>
          <w:p w14:paraId="26F9C123" w14:textId="77777777" w:rsidR="008E6E94" w:rsidRDefault="008E6E94" w:rsidP="007A413F">
            <w:pPr>
              <w:pStyle w:val="NotesText"/>
            </w:pPr>
          </w:p>
          <w:p w14:paraId="56732479" w14:textId="77777777" w:rsidR="008E6E94" w:rsidRDefault="008E6E94" w:rsidP="007A413F">
            <w:pPr>
              <w:pStyle w:val="NotesText"/>
            </w:pPr>
            <w:r>
              <w:rPr>
                <w:rFonts w:cs="Arial"/>
                <w:vanish/>
              </w:rPr>
              <w:t xml:space="preserve">BR_21.18 </w:t>
            </w:r>
            <w:r>
              <w:t xml:space="preserve">The user may enter “icteric,” “absent,” “1+,” “2+,” “3+,” or “4+” in the Hemolysis Inspection field to identify the presence or </w:t>
            </w:r>
            <w:r>
              <w:lastRenderedPageBreak/>
              <w:t xml:space="preserve">absence of hemolysis in the pre- and post-transfusion patient specimens or blood container, when available. </w:t>
            </w:r>
          </w:p>
        </w:tc>
      </w:tr>
      <w:tr w:rsidR="00C92B1A" w14:paraId="64F387BE" w14:textId="77777777">
        <w:tc>
          <w:tcPr>
            <w:tcW w:w="3240" w:type="dxa"/>
            <w:tcBorders>
              <w:top w:val="single" w:sz="4" w:space="0" w:color="auto"/>
              <w:left w:val="single" w:sz="4" w:space="0" w:color="auto"/>
              <w:bottom w:val="single" w:sz="4" w:space="0" w:color="auto"/>
              <w:right w:val="single" w:sz="4" w:space="0" w:color="auto"/>
            </w:tcBorders>
          </w:tcPr>
          <w:p w14:paraId="4C819897" w14:textId="3EE9F9F9" w:rsidR="00C92B1A" w:rsidRDefault="00C92B1A" w:rsidP="00A12663">
            <w:pPr>
              <w:pStyle w:val="TableTextNumbers"/>
            </w:pPr>
            <w:r>
              <w:lastRenderedPageBreak/>
              <w:t xml:space="preserve">Click the </w:t>
            </w:r>
            <w:r>
              <w:rPr>
                <w:b/>
              </w:rPr>
              <w:t>Clerical Check OK</w:t>
            </w:r>
            <w:r>
              <w:t xml:space="preserve"> or </w:t>
            </w:r>
            <w:r>
              <w:rPr>
                <w:b/>
              </w:rPr>
              <w:t xml:space="preserve">Clerical Check Failed </w:t>
            </w:r>
            <w:r w:rsidRPr="00BF2E41">
              <w:t>radio button</w:t>
            </w:r>
            <w:r>
              <w:t xml:space="preserve"> to perform initial clerical and identification checks</w:t>
            </w:r>
            <w:r w:rsidR="00750760">
              <w:t xml:space="preserve"> (</w:t>
            </w:r>
            <w:r w:rsidR="007B0EF4">
              <w:fldChar w:fldCharType="begin" w:fldLock="1"/>
            </w:r>
            <w:r w:rsidR="007B0EF4">
              <w:instrText xml:space="preserve"> REF _Ref127771990 \h </w:instrText>
            </w:r>
            <w:r w:rsidR="007B0EF4">
              <w:fldChar w:fldCharType="separate"/>
            </w:r>
            <w:r w:rsidR="00AB304C">
              <w:t xml:space="preserve">Figure </w:t>
            </w:r>
            <w:r w:rsidR="00AB304C">
              <w:rPr>
                <w:noProof/>
              </w:rPr>
              <w:t>132</w:t>
            </w:r>
            <w:r w:rsidR="007B0EF4">
              <w:fldChar w:fldCharType="end"/>
            </w:r>
            <w:r w:rsidR="00750760">
              <w:t>)</w:t>
            </w:r>
            <w:r>
              <w:t>.</w:t>
            </w:r>
          </w:p>
        </w:tc>
        <w:tc>
          <w:tcPr>
            <w:tcW w:w="6120" w:type="dxa"/>
            <w:tcBorders>
              <w:top w:val="single" w:sz="4" w:space="0" w:color="auto"/>
              <w:left w:val="single" w:sz="4" w:space="0" w:color="auto"/>
              <w:bottom w:val="single" w:sz="4" w:space="0" w:color="auto"/>
              <w:right w:val="single" w:sz="4" w:space="0" w:color="auto"/>
            </w:tcBorders>
          </w:tcPr>
          <w:p w14:paraId="22C7C594" w14:textId="77777777" w:rsidR="00C92B1A" w:rsidRDefault="00C92B1A" w:rsidP="007A413F">
            <w:pPr>
              <w:pStyle w:val="TableText"/>
            </w:pPr>
          </w:p>
        </w:tc>
      </w:tr>
      <w:tr w:rsidR="00A12663" w14:paraId="5D3D8D64" w14:textId="77777777">
        <w:tc>
          <w:tcPr>
            <w:tcW w:w="3240" w:type="dxa"/>
            <w:tcBorders>
              <w:top w:val="single" w:sz="4" w:space="0" w:color="auto"/>
              <w:left w:val="single" w:sz="4" w:space="0" w:color="auto"/>
              <w:bottom w:val="single" w:sz="4" w:space="0" w:color="auto"/>
              <w:right w:val="single" w:sz="4" w:space="0" w:color="auto"/>
            </w:tcBorders>
          </w:tcPr>
          <w:p w14:paraId="6DAB8114" w14:textId="77777777" w:rsidR="00A12663" w:rsidRDefault="00A12663" w:rsidP="007A413F">
            <w:pPr>
              <w:pStyle w:val="TableTextNumbers"/>
            </w:pPr>
            <w:r>
              <w:t xml:space="preserve">Click </w:t>
            </w:r>
            <w:r w:rsidRPr="00C92B1A">
              <w:rPr>
                <w:b/>
              </w:rPr>
              <w:t>OK</w:t>
            </w:r>
            <w:r>
              <w:t xml:space="preserve"> to save, and </w:t>
            </w:r>
            <w:r>
              <w:rPr>
                <w:b/>
              </w:rPr>
              <w:t>Yes</w:t>
            </w:r>
            <w:r>
              <w:t xml:space="preserve"> to confirm the save.</w:t>
            </w:r>
          </w:p>
        </w:tc>
        <w:tc>
          <w:tcPr>
            <w:tcW w:w="6120" w:type="dxa"/>
            <w:tcBorders>
              <w:top w:val="single" w:sz="4" w:space="0" w:color="auto"/>
              <w:left w:val="single" w:sz="4" w:space="0" w:color="auto"/>
              <w:bottom w:val="single" w:sz="4" w:space="0" w:color="auto"/>
              <w:right w:val="single" w:sz="4" w:space="0" w:color="auto"/>
            </w:tcBorders>
          </w:tcPr>
          <w:p w14:paraId="6783BC2C" w14:textId="77777777" w:rsidR="00120B78" w:rsidRDefault="00120B78" w:rsidP="00120B78">
            <w:pPr>
              <w:pStyle w:val="TableText"/>
            </w:pPr>
          </w:p>
          <w:p w14:paraId="43D6D101" w14:textId="77777777" w:rsidR="00A12663" w:rsidRDefault="00057948" w:rsidP="00A12663">
            <w:pPr>
              <w:pStyle w:val="TableText"/>
              <w:rPr>
                <w:b/>
                <w:bCs/>
                <w:szCs w:val="18"/>
              </w:rPr>
            </w:pPr>
            <w:r>
              <w:rPr>
                <w:b/>
                <w:bCs/>
                <w:noProof/>
              </w:rPr>
              <mc:AlternateContent>
                <mc:Choice Requires="wps">
                  <w:drawing>
                    <wp:anchor distT="0" distB="0" distL="114300" distR="114300" simplePos="0" relativeHeight="251903488" behindDoc="0" locked="0" layoutInCell="1" allowOverlap="1" wp14:anchorId="605A5C2E" wp14:editId="2FFE23B4">
                      <wp:simplePos x="0" y="0"/>
                      <wp:positionH relativeFrom="column">
                        <wp:posOffset>457200</wp:posOffset>
                      </wp:positionH>
                      <wp:positionV relativeFrom="paragraph">
                        <wp:posOffset>65405</wp:posOffset>
                      </wp:positionV>
                      <wp:extent cx="3200400" cy="0"/>
                      <wp:effectExtent l="9525" t="17780" r="9525" b="10795"/>
                      <wp:wrapNone/>
                      <wp:docPr id="341" name="Line 1065" descr="P8597C14T9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48F6A" id="Line 1065" o:spid="_x0000_s1026" alt="&quot;&quot;" style="position:absolute;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Vpm+BsMBAABvAwAADgAAAAAAAAAAAAAAAAAu&#10;AgAAZHJzL2Uyb0RvYy54bWxQSwECLQAUAAYACAAAACEAF08wEtsAAAAIAQAADwAAAAAAAAAAAAAA&#10;AAAdBAAAZHJzL2Rvd25yZXYueG1sUEsFBgAAAAAEAAQA8wAAACUFAAAAAA==&#10;" strokeweight="1.5pt"/>
                  </w:pict>
                </mc:Fallback>
              </mc:AlternateContent>
            </w:r>
            <w:r w:rsidR="00A12663">
              <w:rPr>
                <w:b/>
                <w:bCs/>
                <w:szCs w:val="18"/>
              </w:rPr>
              <w:t>NOTES</w:t>
            </w:r>
          </w:p>
          <w:p w14:paraId="231CF838" w14:textId="77777777" w:rsidR="00A12663" w:rsidRDefault="00A12663" w:rsidP="00120B78">
            <w:pPr>
              <w:pStyle w:val="NotesText"/>
            </w:pPr>
          </w:p>
          <w:p w14:paraId="296B428E" w14:textId="77777777" w:rsidR="00120B78" w:rsidRDefault="00120B78" w:rsidP="00120B78">
            <w:pPr>
              <w:pStyle w:val="NotesText"/>
            </w:pPr>
            <w:r>
              <w:rPr>
                <w:rFonts w:cs="Arial"/>
                <w:vanish/>
              </w:rPr>
              <w:t xml:space="preserve">BR_21.11 </w:t>
            </w:r>
            <w:r>
              <w:t>When the user exits and saves the data, VBECS changes the task status of the TRW to “partially completed.”</w:t>
            </w:r>
          </w:p>
          <w:p w14:paraId="12E4FCA2" w14:textId="77777777" w:rsidR="00120B78" w:rsidRDefault="00120B78" w:rsidP="00120B78">
            <w:pPr>
              <w:pStyle w:val="NotesText"/>
            </w:pPr>
          </w:p>
          <w:p w14:paraId="75BC8B6B" w14:textId="77777777" w:rsidR="00A12663" w:rsidRDefault="00A12663" w:rsidP="00A12663">
            <w:pPr>
              <w:pStyle w:val="NotesText"/>
            </w:pPr>
            <w:r>
              <w:t>A partially completed TRW may be corrected only by invalidating and reentering the TRW.</w:t>
            </w:r>
          </w:p>
        </w:tc>
      </w:tr>
      <w:tr w:rsidR="008E6E94" w14:paraId="68533B0A" w14:textId="77777777">
        <w:tc>
          <w:tcPr>
            <w:tcW w:w="3240" w:type="dxa"/>
            <w:tcBorders>
              <w:top w:val="single" w:sz="4" w:space="0" w:color="auto"/>
              <w:left w:val="single" w:sz="4" w:space="0" w:color="auto"/>
              <w:bottom w:val="single" w:sz="4" w:space="0" w:color="auto"/>
              <w:right w:val="single" w:sz="4" w:space="0" w:color="auto"/>
            </w:tcBorders>
          </w:tcPr>
          <w:p w14:paraId="1D66298B" w14:textId="77777777" w:rsidR="008E6E94" w:rsidRDefault="008E6E94" w:rsidP="007A413F">
            <w:pPr>
              <w:pStyle w:val="TableTextNumbers"/>
            </w:pPr>
            <w:r>
              <w:t xml:space="preserve">Enter the date and time of the transfusion reaction </w:t>
            </w:r>
            <w:r w:rsidR="00685492">
              <w:t>noted</w:t>
            </w:r>
            <w:r>
              <w:t xml:space="preserve"> by the clinician and the date and time of the reaction investigation.</w:t>
            </w:r>
          </w:p>
        </w:tc>
        <w:tc>
          <w:tcPr>
            <w:tcW w:w="6120" w:type="dxa"/>
            <w:tcBorders>
              <w:top w:val="single" w:sz="4" w:space="0" w:color="auto"/>
              <w:left w:val="single" w:sz="4" w:space="0" w:color="auto"/>
              <w:bottom w:val="single" w:sz="4" w:space="0" w:color="auto"/>
              <w:right w:val="single" w:sz="4" w:space="0" w:color="auto"/>
            </w:tcBorders>
          </w:tcPr>
          <w:p w14:paraId="735488C4" w14:textId="77777777" w:rsidR="008E6E94" w:rsidRDefault="008E6E94" w:rsidP="007A413F">
            <w:pPr>
              <w:pStyle w:val="TableText"/>
            </w:pPr>
          </w:p>
          <w:p w14:paraId="0D0FCE27" w14:textId="77777777" w:rsidR="008E6E94" w:rsidRDefault="00057948" w:rsidP="007A413F">
            <w:pPr>
              <w:pStyle w:val="TableText"/>
              <w:rPr>
                <w:b/>
                <w:bCs/>
                <w:szCs w:val="18"/>
              </w:rPr>
            </w:pPr>
            <w:r>
              <w:rPr>
                <w:b/>
                <w:bCs/>
                <w:noProof/>
              </w:rPr>
              <mc:AlternateContent>
                <mc:Choice Requires="wps">
                  <w:drawing>
                    <wp:anchor distT="0" distB="0" distL="114300" distR="114300" simplePos="0" relativeHeight="251894272" behindDoc="0" locked="0" layoutInCell="1" allowOverlap="1" wp14:anchorId="642FEB05" wp14:editId="43AC6E35">
                      <wp:simplePos x="0" y="0"/>
                      <wp:positionH relativeFrom="column">
                        <wp:posOffset>457200</wp:posOffset>
                      </wp:positionH>
                      <wp:positionV relativeFrom="paragraph">
                        <wp:posOffset>65405</wp:posOffset>
                      </wp:positionV>
                      <wp:extent cx="3200400" cy="0"/>
                      <wp:effectExtent l="9525" t="17780" r="9525" b="10795"/>
                      <wp:wrapNone/>
                      <wp:docPr id="340" name="Line 1060" descr="P8605C16T9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4A98E" id="Line 1060" o:spid="_x0000_s1026" alt="&quot;&quot;" style="position:absolute;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CTXfJ7EAQAAbwMAAA4AAAAAAAAAAAAAAAAA&#10;LgIAAGRycy9lMm9Eb2MueG1sUEsBAi0AFAAGAAgAAAAhABdPMBLbAAAACAEAAA8AAAAAAAAAAAAA&#10;AAAAHgQAAGRycy9kb3ducmV2LnhtbFBLBQYAAAAABAAEAPMAAAAmBQAAAAA=&#10;" strokeweight="1.5pt"/>
                  </w:pict>
                </mc:Fallback>
              </mc:AlternateContent>
            </w:r>
            <w:r w:rsidR="008E6E94">
              <w:rPr>
                <w:b/>
                <w:bCs/>
                <w:szCs w:val="18"/>
              </w:rPr>
              <w:t>NOTES</w:t>
            </w:r>
          </w:p>
          <w:p w14:paraId="326466E4" w14:textId="77777777" w:rsidR="008E6E94" w:rsidRDefault="008E6E94" w:rsidP="007A413F">
            <w:pPr>
              <w:pStyle w:val="NotesText"/>
            </w:pPr>
          </w:p>
          <w:p w14:paraId="50CBFF8F" w14:textId="77777777" w:rsidR="008E6E94" w:rsidRDefault="008E6E94" w:rsidP="007A413F">
            <w:pPr>
              <w:pStyle w:val="NotesText"/>
            </w:pPr>
            <w:r>
              <w:rPr>
                <w:rFonts w:cs="Arial"/>
                <w:vanish/>
              </w:rPr>
              <w:t xml:space="preserve">BR_21.01 </w:t>
            </w:r>
            <w:r>
              <w:t xml:space="preserve">VBECS allows the user to enter the date and time of the reaction noted by the clinician. </w:t>
            </w:r>
          </w:p>
          <w:p w14:paraId="3D17FCC6" w14:textId="77777777" w:rsidR="008E6E94" w:rsidRDefault="008E6E94" w:rsidP="007A413F">
            <w:pPr>
              <w:pStyle w:val="NotesText"/>
            </w:pPr>
          </w:p>
          <w:p w14:paraId="5C48FA04" w14:textId="77777777" w:rsidR="008E6E94" w:rsidRDefault="008E6E94" w:rsidP="007A413F">
            <w:pPr>
              <w:pStyle w:val="NotesText"/>
            </w:pPr>
            <w:r>
              <w:rPr>
                <w:rFonts w:cs="Arial"/>
                <w:vanish/>
              </w:rPr>
              <w:t xml:space="preserve">BR_21.02 </w:t>
            </w:r>
            <w:r>
              <w:t>When the implicated unit is unknown, VBECS allows the user to continue without identifying a unit or entering implicated unit information.</w:t>
            </w:r>
          </w:p>
          <w:p w14:paraId="76AC4D3B" w14:textId="77777777" w:rsidR="008E6E94" w:rsidRDefault="008E6E94" w:rsidP="007A413F">
            <w:pPr>
              <w:pStyle w:val="NotesText"/>
            </w:pPr>
          </w:p>
          <w:p w14:paraId="4B1BD236" w14:textId="77777777" w:rsidR="008E6E94" w:rsidRDefault="008E6E94" w:rsidP="007A413F">
            <w:pPr>
              <w:pStyle w:val="NotesText"/>
            </w:pPr>
            <w:r>
              <w:rPr>
                <w:rFonts w:cs="Arial"/>
                <w:vanish/>
              </w:rPr>
              <w:t xml:space="preserve">BR_21.19 </w:t>
            </w:r>
            <w:r>
              <w:t>VBECS requires the user to enter the date and time of the TRW investigation (default: current date and time), including a date and time in the past for retrospective data entry. The user may not enter a future date and time.</w:t>
            </w:r>
          </w:p>
          <w:p w14:paraId="055C2C2D" w14:textId="77777777" w:rsidR="008E6E94" w:rsidRDefault="008E6E94" w:rsidP="007A413F">
            <w:pPr>
              <w:pStyle w:val="NotesText"/>
            </w:pPr>
          </w:p>
          <w:p w14:paraId="3C17638F" w14:textId="77777777" w:rsidR="008E6E94" w:rsidRDefault="008E6E94" w:rsidP="00E61994">
            <w:pPr>
              <w:pStyle w:val="NotesText"/>
            </w:pPr>
            <w:r>
              <w:t xml:space="preserve">If the user indicates that implicated units are unknown, he continues at Step </w:t>
            </w:r>
            <w:r w:rsidR="00E61994">
              <w:t>10</w:t>
            </w:r>
            <w:r>
              <w:t>.</w:t>
            </w:r>
          </w:p>
        </w:tc>
      </w:tr>
      <w:tr w:rsidR="008E6E94" w14:paraId="18280467" w14:textId="77777777">
        <w:tc>
          <w:tcPr>
            <w:tcW w:w="3240" w:type="dxa"/>
            <w:tcBorders>
              <w:top w:val="single" w:sz="4" w:space="0" w:color="auto"/>
              <w:left w:val="single" w:sz="4" w:space="0" w:color="auto"/>
              <w:bottom w:val="single" w:sz="4" w:space="0" w:color="auto"/>
              <w:right w:val="single" w:sz="4" w:space="0" w:color="auto"/>
            </w:tcBorders>
          </w:tcPr>
          <w:p w14:paraId="5C0CE385" w14:textId="77777777" w:rsidR="008F4AA6" w:rsidRDefault="00B44A92" w:rsidP="007A413F">
            <w:pPr>
              <w:pStyle w:val="TableTextNumbers"/>
            </w:pPr>
            <w:r>
              <w:t>In the Implicated Units tab, c</w:t>
            </w:r>
            <w:r w:rsidR="008E6E94">
              <w:t>lick the</w:t>
            </w:r>
            <w:r w:rsidR="008E6E94">
              <w:rPr>
                <w:b/>
              </w:rPr>
              <w:t xml:space="preserve"> Implicated Unit</w:t>
            </w:r>
            <w:r w:rsidR="00025A9B">
              <w:rPr>
                <w:b/>
              </w:rPr>
              <w:t>(</w:t>
            </w:r>
            <w:r w:rsidR="008E6E94">
              <w:rPr>
                <w:b/>
              </w:rPr>
              <w:t>s</w:t>
            </w:r>
            <w:r w:rsidR="00025A9B">
              <w:rPr>
                <w:b/>
              </w:rPr>
              <w:t>)</w:t>
            </w:r>
            <w:r w:rsidR="008E6E94">
              <w:rPr>
                <w:b/>
              </w:rPr>
              <w:t xml:space="preserve"> Identified </w:t>
            </w:r>
            <w:r w:rsidR="008E6E94" w:rsidRPr="00BF2E41">
              <w:t>radio button</w:t>
            </w:r>
            <w:r w:rsidR="0045387D">
              <w:t xml:space="preserve"> to select an implicated unit.</w:t>
            </w:r>
          </w:p>
          <w:p w14:paraId="75814CF0" w14:textId="77777777" w:rsidR="0045387D" w:rsidRDefault="0045387D" w:rsidP="0045387D">
            <w:pPr>
              <w:pStyle w:val="TableTextNumbersContinued"/>
            </w:pPr>
          </w:p>
          <w:p w14:paraId="7C719B67" w14:textId="77777777" w:rsidR="0045387D" w:rsidRDefault="0045387D" w:rsidP="0045387D">
            <w:pPr>
              <w:pStyle w:val="TableTextNumbersContinued"/>
            </w:pPr>
            <w:r>
              <w:t>Scan or enter the unit ID and product code.</w:t>
            </w:r>
          </w:p>
          <w:p w14:paraId="2D63C750" w14:textId="77777777" w:rsidR="0045387D" w:rsidRDefault="0045387D" w:rsidP="0045387D">
            <w:pPr>
              <w:pStyle w:val="TableTextNumbersContinued"/>
            </w:pPr>
          </w:p>
          <w:p w14:paraId="67E21C81" w14:textId="77777777" w:rsidR="0045387D" w:rsidRDefault="0045387D" w:rsidP="0045387D">
            <w:pPr>
              <w:pStyle w:val="TableTextNumbersContinued"/>
            </w:pPr>
            <w:r>
              <w:t xml:space="preserve">Click the </w:t>
            </w:r>
            <w:r w:rsidRPr="0045387D">
              <w:rPr>
                <w:b/>
              </w:rPr>
              <w:t>Blood Bag Returned</w:t>
            </w:r>
            <w:r>
              <w:t xml:space="preserve"> or </w:t>
            </w:r>
            <w:r w:rsidRPr="0045387D">
              <w:rPr>
                <w:b/>
              </w:rPr>
              <w:t xml:space="preserve">Blood Bank Not Returned </w:t>
            </w:r>
            <w:r w:rsidRPr="00BF2E41">
              <w:t>radio button</w:t>
            </w:r>
            <w:r>
              <w:t>.</w:t>
            </w:r>
          </w:p>
          <w:p w14:paraId="686C75E6" w14:textId="77777777" w:rsidR="00880C72" w:rsidRDefault="00880C72" w:rsidP="0045387D">
            <w:pPr>
              <w:pStyle w:val="TableTextNumbersContinued"/>
            </w:pPr>
          </w:p>
          <w:p w14:paraId="23F3EE1F" w14:textId="77777777" w:rsidR="00880C72" w:rsidRDefault="00880C72" w:rsidP="00880C72">
            <w:pPr>
              <w:pStyle w:val="TableTextNumbersContinued"/>
            </w:pPr>
            <w:r>
              <w:t>Select an item from the drop-down menu in the Hemolysis Inspection field.</w:t>
            </w:r>
          </w:p>
          <w:p w14:paraId="6002CE83" w14:textId="77777777" w:rsidR="00880C72" w:rsidRDefault="00880C72" w:rsidP="00880C72">
            <w:pPr>
              <w:pStyle w:val="TableTextNumbersContinued"/>
            </w:pPr>
          </w:p>
          <w:p w14:paraId="66B95AB8" w14:textId="77777777" w:rsidR="00880C72" w:rsidRDefault="00880C72" w:rsidP="00880C72">
            <w:pPr>
              <w:pStyle w:val="TableTextNumbersContinued"/>
            </w:pPr>
            <w:r>
              <w:t xml:space="preserve">Click the </w:t>
            </w:r>
            <w:r>
              <w:rPr>
                <w:b/>
              </w:rPr>
              <w:t>Clerical Check OK</w:t>
            </w:r>
            <w:r>
              <w:t xml:space="preserve"> or </w:t>
            </w:r>
            <w:r>
              <w:rPr>
                <w:b/>
              </w:rPr>
              <w:t xml:space="preserve">Clerical Check Failed </w:t>
            </w:r>
            <w:r w:rsidRPr="00BF2E41">
              <w:t>radio button</w:t>
            </w:r>
            <w:r>
              <w:t xml:space="preserve"> to perform initial clerical and identification checks.</w:t>
            </w:r>
          </w:p>
          <w:p w14:paraId="6FDA2A98" w14:textId="77777777" w:rsidR="008F4AA6" w:rsidRDefault="008F4AA6" w:rsidP="008F4AA6">
            <w:pPr>
              <w:pStyle w:val="TableTextNumbersContinued"/>
            </w:pPr>
          </w:p>
          <w:p w14:paraId="1FA0FCB0" w14:textId="58E6398A" w:rsidR="00AA7470" w:rsidRDefault="00AA7470" w:rsidP="008F4AA6">
            <w:pPr>
              <w:pStyle w:val="TableTextNumbersContinued"/>
            </w:pPr>
            <w:r>
              <w:t>Enter a comment and details, as required</w:t>
            </w:r>
            <w:r w:rsidR="00750760">
              <w:t xml:space="preserve"> (</w:t>
            </w:r>
            <w:r w:rsidR="00D418A4">
              <w:fldChar w:fldCharType="begin" w:fldLock="1"/>
            </w:r>
            <w:r w:rsidR="00D418A4">
              <w:instrText xml:space="preserve"> REF _Ref127774070 \h </w:instrText>
            </w:r>
            <w:r w:rsidR="00D418A4">
              <w:fldChar w:fldCharType="separate"/>
            </w:r>
            <w:r w:rsidR="00AB304C">
              <w:t xml:space="preserve">Figure </w:t>
            </w:r>
            <w:r w:rsidR="00AB304C">
              <w:rPr>
                <w:noProof/>
              </w:rPr>
              <w:t>133</w:t>
            </w:r>
            <w:r w:rsidR="00D418A4">
              <w:fldChar w:fldCharType="end"/>
            </w:r>
            <w:r w:rsidR="00750760">
              <w:t>)</w:t>
            </w:r>
            <w:r>
              <w:t>.</w:t>
            </w:r>
          </w:p>
          <w:p w14:paraId="7E0A9BF7" w14:textId="77777777" w:rsidR="00006D86" w:rsidRDefault="00006D86" w:rsidP="008F4AA6">
            <w:pPr>
              <w:pStyle w:val="TableTextNumbersContinued"/>
            </w:pPr>
          </w:p>
          <w:p w14:paraId="780E3D20" w14:textId="77777777" w:rsidR="00006D86" w:rsidRDefault="00006D86" w:rsidP="008F4AA6">
            <w:pPr>
              <w:pStyle w:val="TableTextNumbersContinued"/>
            </w:pPr>
            <w:r>
              <w:lastRenderedPageBreak/>
              <w:t xml:space="preserve">Click </w:t>
            </w:r>
            <w:r w:rsidRPr="00006D86">
              <w:rPr>
                <w:b/>
              </w:rPr>
              <w:t>Add</w:t>
            </w:r>
            <w:r>
              <w:t xml:space="preserve"> to add the unit.</w:t>
            </w:r>
          </w:p>
          <w:p w14:paraId="554BF221" w14:textId="77777777" w:rsidR="00AA7470" w:rsidRDefault="00AA7470" w:rsidP="008F4AA6">
            <w:pPr>
              <w:pStyle w:val="TableTextNumbersContinued"/>
            </w:pPr>
          </w:p>
          <w:p w14:paraId="5D94BF6B" w14:textId="77777777" w:rsidR="00025A9B" w:rsidRDefault="008E6E94" w:rsidP="008F4AA6">
            <w:pPr>
              <w:pStyle w:val="TableTextNumbersContinued"/>
            </w:pPr>
            <w:r>
              <w:t xml:space="preserve">or </w:t>
            </w:r>
          </w:p>
          <w:p w14:paraId="2E804723" w14:textId="77777777" w:rsidR="00025A9B" w:rsidRDefault="00025A9B" w:rsidP="008F4AA6">
            <w:pPr>
              <w:pStyle w:val="TableTextNumbersContinued"/>
            </w:pPr>
          </w:p>
          <w:p w14:paraId="0A35C656" w14:textId="77777777" w:rsidR="00025A9B" w:rsidRDefault="007B5D98" w:rsidP="008F4AA6">
            <w:pPr>
              <w:pStyle w:val="TableTextNumbersContinued"/>
            </w:pPr>
            <w:r>
              <w:t>C</w:t>
            </w:r>
            <w:r w:rsidR="008E6E94">
              <w:t xml:space="preserve">lick the </w:t>
            </w:r>
            <w:r w:rsidR="008E6E94">
              <w:rPr>
                <w:b/>
              </w:rPr>
              <w:t xml:space="preserve">No Implicated Units </w:t>
            </w:r>
            <w:r w:rsidR="008E6E94" w:rsidRPr="00BF2E41">
              <w:t>radio button</w:t>
            </w:r>
            <w:r w:rsidR="00025A9B">
              <w:t>.</w:t>
            </w:r>
          </w:p>
          <w:p w14:paraId="4C0682B2" w14:textId="77777777" w:rsidR="00025A9B" w:rsidRDefault="00025A9B" w:rsidP="008F4AA6">
            <w:pPr>
              <w:pStyle w:val="TableTextNumbersContinued"/>
            </w:pPr>
          </w:p>
          <w:p w14:paraId="30D0BC02" w14:textId="77777777" w:rsidR="008E6E94" w:rsidRDefault="00025A9B" w:rsidP="008F4AA6">
            <w:pPr>
              <w:pStyle w:val="TableTextNumbersContinued"/>
            </w:pPr>
            <w:r>
              <w:t xml:space="preserve">Click </w:t>
            </w:r>
            <w:r w:rsidRPr="00025A9B">
              <w:rPr>
                <w:b/>
              </w:rPr>
              <w:t>OK</w:t>
            </w:r>
            <w:r>
              <w:t xml:space="preserve"> to save</w:t>
            </w:r>
            <w:r w:rsidR="00006D86">
              <w:t xml:space="preserve">, and </w:t>
            </w:r>
            <w:r w:rsidR="00006D86" w:rsidRPr="00006D86">
              <w:rPr>
                <w:b/>
              </w:rPr>
              <w:t>Yes</w:t>
            </w:r>
            <w:r w:rsidR="00006D86">
              <w:t xml:space="preserve"> to confirm the save</w:t>
            </w:r>
            <w:r>
              <w:t>.</w:t>
            </w:r>
          </w:p>
        </w:tc>
        <w:tc>
          <w:tcPr>
            <w:tcW w:w="6120" w:type="dxa"/>
            <w:tcBorders>
              <w:top w:val="single" w:sz="4" w:space="0" w:color="auto"/>
              <w:left w:val="single" w:sz="4" w:space="0" w:color="auto"/>
              <w:bottom w:val="single" w:sz="4" w:space="0" w:color="auto"/>
              <w:right w:val="single" w:sz="4" w:space="0" w:color="auto"/>
            </w:tcBorders>
          </w:tcPr>
          <w:p w14:paraId="52C96E4B" w14:textId="77777777" w:rsidR="008E6E94" w:rsidRDefault="008E6E94" w:rsidP="007A413F">
            <w:pPr>
              <w:pStyle w:val="TableTextBullet"/>
            </w:pPr>
            <w:r>
              <w:rPr>
                <w:rFonts w:cs="Arial"/>
                <w:vanish/>
              </w:rPr>
              <w:lastRenderedPageBreak/>
              <w:t xml:space="preserve">BR_21.03 </w:t>
            </w:r>
            <w:r>
              <w:t>Allows the user to:</w:t>
            </w:r>
          </w:p>
          <w:p w14:paraId="14991DB9" w14:textId="77777777" w:rsidR="0045387D" w:rsidRDefault="0045387D" w:rsidP="0045387D">
            <w:pPr>
              <w:pStyle w:val="TableTextBullet1"/>
            </w:pPr>
            <w:r>
              <w:t>Enter implicated unit information.</w:t>
            </w:r>
          </w:p>
          <w:p w14:paraId="5115F9F4" w14:textId="77777777" w:rsidR="008E6E94" w:rsidRDefault="008E6E94" w:rsidP="007A413F">
            <w:pPr>
              <w:pStyle w:val="TableTextBullet1"/>
            </w:pPr>
            <w:r>
              <w:t>Indicate whether the bag and infusion set were returned.</w:t>
            </w:r>
          </w:p>
          <w:p w14:paraId="5322E4E0" w14:textId="77777777" w:rsidR="008E6E94" w:rsidRDefault="008E6E94" w:rsidP="007A413F">
            <w:pPr>
              <w:pStyle w:val="TableTextBullet1"/>
            </w:pPr>
            <w:r>
              <w:t>Review and/or edit the entered information.</w:t>
            </w:r>
          </w:p>
          <w:p w14:paraId="7CB33A0A" w14:textId="77777777" w:rsidR="008E6E94" w:rsidRDefault="008E6E94" w:rsidP="007A413F">
            <w:pPr>
              <w:pStyle w:val="TableText"/>
            </w:pPr>
          </w:p>
          <w:p w14:paraId="02C69B94" w14:textId="77777777" w:rsidR="008E6E94" w:rsidRDefault="00057948" w:rsidP="007A413F">
            <w:pPr>
              <w:pStyle w:val="TableText"/>
              <w:rPr>
                <w:b/>
                <w:bCs/>
                <w:szCs w:val="18"/>
              </w:rPr>
            </w:pPr>
            <w:r>
              <w:rPr>
                <w:b/>
                <w:bCs/>
                <w:noProof/>
              </w:rPr>
              <mc:AlternateContent>
                <mc:Choice Requires="wps">
                  <w:drawing>
                    <wp:anchor distT="0" distB="0" distL="114300" distR="114300" simplePos="0" relativeHeight="251897344" behindDoc="0" locked="0" layoutInCell="1" allowOverlap="1" wp14:anchorId="5363D145" wp14:editId="490CBB79">
                      <wp:simplePos x="0" y="0"/>
                      <wp:positionH relativeFrom="column">
                        <wp:posOffset>457200</wp:posOffset>
                      </wp:positionH>
                      <wp:positionV relativeFrom="paragraph">
                        <wp:posOffset>65405</wp:posOffset>
                      </wp:positionV>
                      <wp:extent cx="3200400" cy="0"/>
                      <wp:effectExtent l="9525" t="17780" r="9525" b="10795"/>
                      <wp:wrapNone/>
                      <wp:docPr id="339" name="Line 1061" descr="P8639C18T9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18E5C" id="Line 1061" o:spid="_x0000_s1026" alt="&quot;&quot;" style="position:absolute;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HYnxV7EAQAAbwMAAA4AAAAAAAAAAAAAAAAA&#10;LgIAAGRycy9lMm9Eb2MueG1sUEsBAi0AFAAGAAgAAAAhABdPMBLbAAAACAEAAA8AAAAAAAAAAAAA&#10;AAAAHgQAAGRycy9kb3ducmV2LnhtbFBLBQYAAAAABAAEAPMAAAAmBQAAAAA=&#10;" strokeweight="1.5pt"/>
                  </w:pict>
                </mc:Fallback>
              </mc:AlternateContent>
            </w:r>
            <w:r w:rsidR="008E6E94">
              <w:rPr>
                <w:b/>
                <w:bCs/>
                <w:szCs w:val="18"/>
              </w:rPr>
              <w:t>NOTES</w:t>
            </w:r>
          </w:p>
          <w:p w14:paraId="184B3FAE" w14:textId="77777777" w:rsidR="008E6E94" w:rsidRDefault="008E6E94" w:rsidP="007A413F">
            <w:pPr>
              <w:pStyle w:val="NotesText"/>
            </w:pPr>
          </w:p>
          <w:p w14:paraId="19D6B18F" w14:textId="77777777" w:rsidR="008E6E94" w:rsidRDefault="008E6E94" w:rsidP="007A413F">
            <w:pPr>
              <w:pStyle w:val="NotesText"/>
            </w:pPr>
            <w:r>
              <w:rPr>
                <w:rFonts w:cs="Arial"/>
                <w:vanish/>
              </w:rPr>
              <w:t xml:space="preserve">BR_21.10 </w:t>
            </w:r>
            <w:r>
              <w:t>When the user indicates that the blood bag was not returned, VBECS disables the hemolysis and clerical checks.</w:t>
            </w:r>
          </w:p>
          <w:p w14:paraId="5C668008" w14:textId="77777777" w:rsidR="008E6E94" w:rsidRDefault="008E6E94" w:rsidP="007A413F">
            <w:pPr>
              <w:pStyle w:val="NotesText"/>
            </w:pPr>
          </w:p>
          <w:p w14:paraId="634A9EE0" w14:textId="77777777" w:rsidR="008E6E94" w:rsidRDefault="008E6E94" w:rsidP="007A413F">
            <w:pPr>
              <w:pStyle w:val="NotesText"/>
            </w:pPr>
            <w:r>
              <w:rPr>
                <w:rFonts w:cs="Arial"/>
                <w:vanish/>
              </w:rPr>
              <w:t xml:space="preserve">BR_21.22 </w:t>
            </w:r>
            <w:r>
              <w:t>All implicated units entered are available for TRW ABO/Rh and TRW crossmatching. Actual data entry of test results for any entries is optional, based on a facility’s local policies and procedures.</w:t>
            </w:r>
          </w:p>
          <w:p w14:paraId="40BDEDC3" w14:textId="77777777" w:rsidR="008E6E94" w:rsidRDefault="008E6E94" w:rsidP="007A413F">
            <w:pPr>
              <w:pStyle w:val="NotesText"/>
            </w:pPr>
          </w:p>
          <w:p w14:paraId="51572B61" w14:textId="77777777" w:rsidR="008E6E94" w:rsidRDefault="008E6E94" w:rsidP="007A413F">
            <w:pPr>
              <w:pStyle w:val="NotesText"/>
            </w:pPr>
            <w:r>
              <w:t>The user may enter a free-text comment to document site-specific information such as other solutions or additives, urinary hemoglobin checks, and whether the product was warmed during transfusion.</w:t>
            </w:r>
          </w:p>
        </w:tc>
      </w:tr>
      <w:tr w:rsidR="008E6E94" w14:paraId="02C5558A" w14:textId="77777777">
        <w:tc>
          <w:tcPr>
            <w:tcW w:w="3240" w:type="dxa"/>
            <w:tcBorders>
              <w:top w:val="single" w:sz="4" w:space="0" w:color="auto"/>
              <w:left w:val="single" w:sz="4" w:space="0" w:color="auto"/>
              <w:bottom w:val="single" w:sz="4" w:space="0" w:color="auto"/>
              <w:right w:val="single" w:sz="4" w:space="0" w:color="auto"/>
            </w:tcBorders>
          </w:tcPr>
          <w:p w14:paraId="523DA6ED" w14:textId="77777777" w:rsidR="008E6E94" w:rsidRDefault="008E6E94" w:rsidP="007A413F">
            <w:pPr>
              <w:pStyle w:val="TableTextNumbers"/>
            </w:pPr>
            <w:r>
              <w:t xml:space="preserve">Repeat Step </w:t>
            </w:r>
            <w:r w:rsidR="00006D86">
              <w:t>8</w:t>
            </w:r>
            <w:r w:rsidR="00BF2379">
              <w:t xml:space="preserve"> for each implicated unit</w:t>
            </w:r>
            <w:r>
              <w:t>.</w:t>
            </w:r>
          </w:p>
        </w:tc>
        <w:tc>
          <w:tcPr>
            <w:tcW w:w="6120" w:type="dxa"/>
            <w:tcBorders>
              <w:top w:val="single" w:sz="4" w:space="0" w:color="auto"/>
              <w:left w:val="single" w:sz="4" w:space="0" w:color="auto"/>
              <w:bottom w:val="single" w:sz="4" w:space="0" w:color="auto"/>
              <w:right w:val="single" w:sz="4" w:space="0" w:color="auto"/>
            </w:tcBorders>
          </w:tcPr>
          <w:p w14:paraId="2239C531" w14:textId="77777777" w:rsidR="008E6E94" w:rsidRDefault="008E6E94" w:rsidP="007A413F">
            <w:pPr>
              <w:pStyle w:val="TableTextBullet"/>
            </w:pPr>
            <w:r>
              <w:t>Allows the user to enter the patient’s symptoms.</w:t>
            </w:r>
          </w:p>
          <w:p w14:paraId="1D4E9C47" w14:textId="77777777" w:rsidR="008E6E94" w:rsidRDefault="008E6E94" w:rsidP="007A413F">
            <w:pPr>
              <w:pStyle w:val="TableText"/>
            </w:pPr>
          </w:p>
          <w:p w14:paraId="6BCE2176" w14:textId="77777777" w:rsidR="008E6E94" w:rsidRDefault="00057948" w:rsidP="007A413F">
            <w:pPr>
              <w:pStyle w:val="TableText"/>
              <w:rPr>
                <w:b/>
                <w:bCs/>
                <w:szCs w:val="18"/>
              </w:rPr>
            </w:pPr>
            <w:r>
              <w:rPr>
                <w:b/>
                <w:bCs/>
                <w:noProof/>
              </w:rPr>
              <mc:AlternateContent>
                <mc:Choice Requires="wps">
                  <w:drawing>
                    <wp:anchor distT="0" distB="0" distL="114300" distR="114300" simplePos="0" relativeHeight="251900416" behindDoc="0" locked="0" layoutInCell="1" allowOverlap="1" wp14:anchorId="00257F67" wp14:editId="0880F118">
                      <wp:simplePos x="0" y="0"/>
                      <wp:positionH relativeFrom="column">
                        <wp:posOffset>457200</wp:posOffset>
                      </wp:positionH>
                      <wp:positionV relativeFrom="paragraph">
                        <wp:posOffset>65405</wp:posOffset>
                      </wp:positionV>
                      <wp:extent cx="3200400" cy="0"/>
                      <wp:effectExtent l="9525" t="17780" r="9525" b="10795"/>
                      <wp:wrapNone/>
                      <wp:docPr id="338" name="Line 1062" descr="P8650C20T9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641F2" id="Line 1062" o:spid="_x0000_s1026" alt="&quot;&quot;" style="position:absolute;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UvqJ0sMBAABvAwAADgAAAAAAAAAAAAAAAAAu&#10;AgAAZHJzL2Uyb0RvYy54bWxQSwECLQAUAAYACAAAACEAF08wEtsAAAAIAQAADwAAAAAAAAAAAAAA&#10;AAAdBAAAZHJzL2Rvd25yZXYueG1sUEsFBgAAAAAEAAQA8wAAACUFAAAAAA==&#10;" strokeweight="1.5pt"/>
                  </w:pict>
                </mc:Fallback>
              </mc:AlternateContent>
            </w:r>
            <w:r w:rsidR="008E6E94">
              <w:rPr>
                <w:b/>
                <w:bCs/>
                <w:szCs w:val="18"/>
              </w:rPr>
              <w:t>NOTES</w:t>
            </w:r>
          </w:p>
          <w:p w14:paraId="5DE6AB9E" w14:textId="77777777" w:rsidR="008E6E94" w:rsidRDefault="008E6E94" w:rsidP="007A413F">
            <w:pPr>
              <w:pStyle w:val="NotesText"/>
            </w:pPr>
          </w:p>
          <w:p w14:paraId="7552C10F" w14:textId="77777777" w:rsidR="008E6E94" w:rsidRDefault="008E6E94" w:rsidP="007A413F">
            <w:pPr>
              <w:pStyle w:val="NotesText"/>
            </w:pPr>
            <w:r>
              <w:rPr>
                <w:rFonts w:cs="Arial"/>
                <w:vanish/>
              </w:rPr>
              <w:t xml:space="preserve">BR_21.07 </w:t>
            </w:r>
            <w:r>
              <w:t>VBECS accepts data for multiple implicated units and stores and reports them as part of the clerical check. When the user enters implicated unit data, VBECS adds the unit to TRW serologic testing.</w:t>
            </w:r>
          </w:p>
        </w:tc>
      </w:tr>
      <w:tr w:rsidR="008E6E94" w14:paraId="76BE7A6B" w14:textId="77777777">
        <w:tc>
          <w:tcPr>
            <w:tcW w:w="3240" w:type="dxa"/>
            <w:tcBorders>
              <w:top w:val="single" w:sz="4" w:space="0" w:color="auto"/>
              <w:left w:val="single" w:sz="4" w:space="0" w:color="auto"/>
              <w:bottom w:val="single" w:sz="4" w:space="0" w:color="auto"/>
              <w:right w:val="single" w:sz="4" w:space="0" w:color="auto"/>
            </w:tcBorders>
          </w:tcPr>
          <w:p w14:paraId="676F30A0" w14:textId="77777777" w:rsidR="0069720B" w:rsidRDefault="0069720B" w:rsidP="007A413F">
            <w:pPr>
              <w:pStyle w:val="TableTextNumbers"/>
            </w:pPr>
            <w:r>
              <w:t xml:space="preserve">In the Symptoms tab, click the </w:t>
            </w:r>
            <w:r w:rsidRPr="0069720B">
              <w:rPr>
                <w:b/>
              </w:rPr>
              <w:t xml:space="preserve">Patient Symptoms Identified </w:t>
            </w:r>
            <w:r w:rsidRPr="00BF2E41">
              <w:t>radio button</w:t>
            </w:r>
            <w:r>
              <w:t>.</w:t>
            </w:r>
          </w:p>
          <w:p w14:paraId="2FA94B63" w14:textId="77777777" w:rsidR="0069720B" w:rsidRDefault="0069720B" w:rsidP="0069720B">
            <w:pPr>
              <w:pStyle w:val="TableTextNumbersContinued"/>
            </w:pPr>
          </w:p>
          <w:p w14:paraId="0CBDD69B" w14:textId="663236E1" w:rsidR="0069720B" w:rsidRDefault="0069720B" w:rsidP="0069720B">
            <w:pPr>
              <w:pStyle w:val="TableTextNumbersContinued"/>
            </w:pPr>
            <w:r>
              <w:t>C</w:t>
            </w:r>
            <w:r w:rsidR="008E6E94">
              <w:t>lick the check boxes to select one or more</w:t>
            </w:r>
            <w:r>
              <w:t xml:space="preserve"> patient symptoms</w:t>
            </w:r>
            <w:r w:rsidR="00750760">
              <w:t xml:space="preserve"> (</w:t>
            </w:r>
            <w:r w:rsidR="00D418A4">
              <w:fldChar w:fldCharType="begin" w:fldLock="1"/>
            </w:r>
            <w:r w:rsidR="00D418A4">
              <w:instrText xml:space="preserve"> REF _Ref127774158 \h </w:instrText>
            </w:r>
            <w:r w:rsidR="00D418A4">
              <w:fldChar w:fldCharType="separate"/>
            </w:r>
            <w:r w:rsidR="00AB304C">
              <w:t xml:space="preserve">Figure </w:t>
            </w:r>
            <w:r w:rsidR="00AB304C">
              <w:rPr>
                <w:noProof/>
              </w:rPr>
              <w:t>134</w:t>
            </w:r>
            <w:r w:rsidR="00D418A4">
              <w:fldChar w:fldCharType="end"/>
            </w:r>
            <w:r w:rsidR="00750760">
              <w:t>)</w:t>
            </w:r>
            <w:r w:rsidR="00F911DD">
              <w:t>,</w:t>
            </w:r>
          </w:p>
          <w:p w14:paraId="69DEB047" w14:textId="77777777" w:rsidR="0069720B" w:rsidRDefault="0069720B" w:rsidP="0069720B">
            <w:pPr>
              <w:pStyle w:val="TableTextNumbersContinued"/>
            </w:pPr>
          </w:p>
          <w:p w14:paraId="1F1D87EF" w14:textId="77777777" w:rsidR="008E6E94" w:rsidRDefault="0069720B" w:rsidP="0069720B">
            <w:pPr>
              <w:pStyle w:val="TableTextNumbersContinued"/>
            </w:pPr>
            <w:r>
              <w:t>or</w:t>
            </w:r>
          </w:p>
          <w:p w14:paraId="4AF4A421" w14:textId="77777777" w:rsidR="0069720B" w:rsidRDefault="0069720B" w:rsidP="0069720B">
            <w:pPr>
              <w:pStyle w:val="TableTextNumbersContinued"/>
            </w:pPr>
          </w:p>
          <w:p w14:paraId="26496AB2" w14:textId="77777777" w:rsidR="0069720B" w:rsidRDefault="0069720B" w:rsidP="0069720B">
            <w:pPr>
              <w:pStyle w:val="TableTextNumbersContinued"/>
            </w:pPr>
            <w:r>
              <w:t xml:space="preserve">Click the </w:t>
            </w:r>
            <w:r w:rsidRPr="0069720B">
              <w:rPr>
                <w:b/>
              </w:rPr>
              <w:t xml:space="preserve">No Patient Symptoms Identified </w:t>
            </w:r>
            <w:r w:rsidRPr="00BF2E41">
              <w:t>radio button</w:t>
            </w:r>
            <w:r>
              <w:t>.</w:t>
            </w:r>
          </w:p>
          <w:p w14:paraId="698EE6EF" w14:textId="77777777" w:rsidR="00F911DD" w:rsidRDefault="00F911DD" w:rsidP="0069720B">
            <w:pPr>
              <w:pStyle w:val="TableTextNumbersContinued"/>
            </w:pPr>
          </w:p>
          <w:p w14:paraId="2A3E487A" w14:textId="77777777" w:rsidR="00F911DD" w:rsidRDefault="00F911DD" w:rsidP="0069720B">
            <w:pPr>
              <w:pStyle w:val="TableTextNumbersContinued"/>
            </w:pPr>
            <w:r>
              <w:t xml:space="preserve">Click </w:t>
            </w:r>
            <w:r w:rsidRPr="0069720B">
              <w:rPr>
                <w:b/>
              </w:rPr>
              <w:t>OK</w:t>
            </w:r>
            <w:r>
              <w:t xml:space="preserve"> to save, and </w:t>
            </w:r>
            <w:r w:rsidRPr="0069720B">
              <w:rPr>
                <w:b/>
              </w:rPr>
              <w:t>Yes</w:t>
            </w:r>
            <w:r>
              <w:t xml:space="preserve"> to confirm the save.</w:t>
            </w:r>
          </w:p>
        </w:tc>
        <w:tc>
          <w:tcPr>
            <w:tcW w:w="6120" w:type="dxa"/>
            <w:tcBorders>
              <w:top w:val="single" w:sz="4" w:space="0" w:color="auto"/>
              <w:left w:val="single" w:sz="4" w:space="0" w:color="auto"/>
              <w:bottom w:val="single" w:sz="4" w:space="0" w:color="auto"/>
              <w:right w:val="single" w:sz="4" w:space="0" w:color="auto"/>
            </w:tcBorders>
          </w:tcPr>
          <w:p w14:paraId="326F2825" w14:textId="77777777" w:rsidR="008E6E94" w:rsidRDefault="008E6E94" w:rsidP="007A413F">
            <w:pPr>
              <w:pStyle w:val="TableTextBullet"/>
            </w:pPr>
            <w:r>
              <w:t xml:space="preserve">Allows the user to review and/or edit the entered data before it saves the record. </w:t>
            </w:r>
          </w:p>
          <w:p w14:paraId="6D63D347" w14:textId="77777777" w:rsidR="008E6E94" w:rsidRDefault="008E6E94" w:rsidP="007A413F">
            <w:pPr>
              <w:pStyle w:val="TableTextBullet"/>
            </w:pPr>
            <w:r>
              <w:rPr>
                <w:rFonts w:cs="Arial"/>
                <w:vanish/>
              </w:rPr>
              <w:t xml:space="preserve">BR_21.12 </w:t>
            </w:r>
            <w:r>
              <w:t xml:space="preserve">Allows the user to indicate that the TRW is complete. </w:t>
            </w:r>
          </w:p>
          <w:p w14:paraId="29AD41B5" w14:textId="77777777" w:rsidR="008E6E94" w:rsidRDefault="008E6E94" w:rsidP="009B1E9C">
            <w:pPr>
              <w:pStyle w:val="NotesText"/>
              <w:ind w:left="0"/>
            </w:pPr>
          </w:p>
        </w:tc>
      </w:tr>
      <w:tr w:rsidR="008E6E94" w14:paraId="67F2F165" w14:textId="77777777">
        <w:tc>
          <w:tcPr>
            <w:tcW w:w="3240" w:type="dxa"/>
          </w:tcPr>
          <w:p w14:paraId="046B4785" w14:textId="77777777" w:rsidR="00470DA1" w:rsidRDefault="00470DA1" w:rsidP="007A413F">
            <w:pPr>
              <w:pStyle w:val="TableTextNumbers"/>
            </w:pPr>
            <w:r>
              <w:t>In the Serologic Tests tab, click a check box to select which tests to perform.</w:t>
            </w:r>
          </w:p>
          <w:p w14:paraId="22A37B7B" w14:textId="77777777" w:rsidR="00470DA1" w:rsidRDefault="00470DA1" w:rsidP="00120B78">
            <w:pPr>
              <w:pStyle w:val="TableTextNumbersContinued"/>
            </w:pPr>
          </w:p>
          <w:p w14:paraId="74C4E011" w14:textId="77777777" w:rsidR="00B81464" w:rsidRDefault="00B81464" w:rsidP="00120B78">
            <w:pPr>
              <w:pStyle w:val="TableTextNumbersContinued"/>
            </w:pPr>
            <w:r>
              <w:t>Select a rack from the drop-down list in the Rack field.</w:t>
            </w:r>
          </w:p>
          <w:p w14:paraId="3FD4E9D5" w14:textId="77777777" w:rsidR="00B81464" w:rsidRDefault="00B81464" w:rsidP="00120B78">
            <w:pPr>
              <w:pStyle w:val="TableTextNumbersContinued"/>
            </w:pPr>
          </w:p>
          <w:p w14:paraId="661B5B61" w14:textId="77777777" w:rsidR="00120B78" w:rsidRDefault="00120B78" w:rsidP="00120B78">
            <w:pPr>
              <w:pStyle w:val="TableTextNumbersContinued"/>
            </w:pPr>
            <w:r>
              <w:t xml:space="preserve">Click the </w:t>
            </w:r>
            <w:r w:rsidRPr="00120B78">
              <w:rPr>
                <w:b/>
              </w:rPr>
              <w:t xml:space="preserve">Using Automated Instrument </w:t>
            </w:r>
            <w:r w:rsidRPr="00D1100E">
              <w:t>check box</w:t>
            </w:r>
            <w:r>
              <w:t xml:space="preserve">, as required. </w:t>
            </w:r>
          </w:p>
          <w:p w14:paraId="428D919F" w14:textId="77777777" w:rsidR="00120B78" w:rsidRDefault="00120B78" w:rsidP="00120B78">
            <w:pPr>
              <w:pStyle w:val="TableTextNumbersContinued"/>
            </w:pPr>
          </w:p>
          <w:p w14:paraId="4C18647E" w14:textId="77777777" w:rsidR="00120B78" w:rsidRDefault="00120B78" w:rsidP="00120B78">
            <w:pPr>
              <w:pStyle w:val="TableTextNumbersContinued"/>
            </w:pPr>
            <w:r>
              <w:t>Enter the name of the instrument in the Name field.</w:t>
            </w:r>
          </w:p>
          <w:p w14:paraId="5ED4068B" w14:textId="77777777" w:rsidR="00120B78" w:rsidRDefault="00120B78" w:rsidP="00120B78">
            <w:pPr>
              <w:pStyle w:val="TableTextNumbersContinued"/>
            </w:pPr>
          </w:p>
          <w:p w14:paraId="070BFB5C" w14:textId="77777777" w:rsidR="00120B78" w:rsidRDefault="00120B78" w:rsidP="00120B78">
            <w:pPr>
              <w:pStyle w:val="TableTextNumbersContinued"/>
            </w:pPr>
            <w:r>
              <w:t xml:space="preserve">Click the </w:t>
            </w:r>
            <w:r w:rsidRPr="00120B78">
              <w:rPr>
                <w:b/>
              </w:rPr>
              <w:t xml:space="preserve">Instrument QC’d? </w:t>
            </w:r>
            <w:r w:rsidRPr="00D1100E">
              <w:t>check box</w:t>
            </w:r>
            <w:r>
              <w:t>, as appropriate.</w:t>
            </w:r>
          </w:p>
          <w:p w14:paraId="71B6AB5F" w14:textId="77777777" w:rsidR="00120B78" w:rsidRDefault="00120B78" w:rsidP="00120B78">
            <w:pPr>
              <w:pStyle w:val="TableTextNumbersContinued"/>
            </w:pPr>
          </w:p>
          <w:p w14:paraId="07D94923" w14:textId="2052DE1C" w:rsidR="008E6E94" w:rsidRDefault="008E6E94" w:rsidP="00120B78">
            <w:pPr>
              <w:pStyle w:val="TableTextNumbersContinued"/>
            </w:pPr>
            <w:r>
              <w:t>Enter interpretations for TRW testing</w:t>
            </w:r>
            <w:r w:rsidR="00750760">
              <w:t xml:space="preserve"> (</w:t>
            </w:r>
            <w:r w:rsidR="00D418A4">
              <w:fldChar w:fldCharType="begin" w:fldLock="1"/>
            </w:r>
            <w:r w:rsidR="00D418A4">
              <w:instrText xml:space="preserve"> REF _Ref127774192 \h </w:instrText>
            </w:r>
            <w:r w:rsidR="00D418A4">
              <w:fldChar w:fldCharType="separate"/>
            </w:r>
            <w:r w:rsidR="00AB304C">
              <w:t xml:space="preserve">Figure </w:t>
            </w:r>
            <w:r w:rsidR="00AB304C">
              <w:rPr>
                <w:noProof/>
              </w:rPr>
              <w:t>135</w:t>
            </w:r>
            <w:r w:rsidR="00D418A4">
              <w:fldChar w:fldCharType="end"/>
            </w:r>
            <w:r w:rsidR="00750760">
              <w:t>)</w:t>
            </w:r>
            <w:r>
              <w:t>.</w:t>
            </w:r>
          </w:p>
          <w:p w14:paraId="35D76D4D" w14:textId="77777777" w:rsidR="00120B78" w:rsidRDefault="00120B78" w:rsidP="00120B78">
            <w:pPr>
              <w:pStyle w:val="TableTextNumbersContinued"/>
              <w:ind w:left="0"/>
            </w:pPr>
          </w:p>
        </w:tc>
        <w:tc>
          <w:tcPr>
            <w:tcW w:w="6120" w:type="dxa"/>
          </w:tcPr>
          <w:p w14:paraId="2488F58C" w14:textId="77777777" w:rsidR="008E6E94" w:rsidRDefault="008E6E94" w:rsidP="007A413F">
            <w:pPr>
              <w:pStyle w:val="TableTextBullet"/>
            </w:pPr>
            <w:r>
              <w:t xml:space="preserve">Allows the user to enter one or more additional TRW test interpretations: </w:t>
            </w:r>
          </w:p>
          <w:p w14:paraId="3540B5C8" w14:textId="77777777" w:rsidR="008E6E94" w:rsidRDefault="008E6E94" w:rsidP="007A413F">
            <w:pPr>
              <w:pStyle w:val="TableTextBullet1"/>
            </w:pPr>
            <w:r>
              <w:t>TRW ABO/Rh testing</w:t>
            </w:r>
          </w:p>
          <w:p w14:paraId="0E8A7CCC" w14:textId="77777777" w:rsidR="008E6E94" w:rsidRDefault="008E6E94" w:rsidP="007A413F">
            <w:pPr>
              <w:pStyle w:val="TableTextBullet1"/>
            </w:pPr>
            <w:r>
              <w:t>TRW ABS testing</w:t>
            </w:r>
          </w:p>
          <w:p w14:paraId="71E247FE" w14:textId="77777777" w:rsidR="008E6E94" w:rsidRDefault="008E6E94" w:rsidP="007A413F">
            <w:pPr>
              <w:pStyle w:val="TableTextBullet1"/>
            </w:pPr>
            <w:r>
              <w:t xml:space="preserve">TRW DAT testing </w:t>
            </w:r>
          </w:p>
          <w:p w14:paraId="10F0C9B9" w14:textId="77777777" w:rsidR="008E6E94" w:rsidRDefault="008E6E94" w:rsidP="007A413F">
            <w:pPr>
              <w:pStyle w:val="TableTextBullet1"/>
            </w:pPr>
            <w:r>
              <w:t>TRW XM testing</w:t>
            </w:r>
          </w:p>
          <w:p w14:paraId="007767CC" w14:textId="77777777" w:rsidR="008E6E94" w:rsidRDefault="008E6E94" w:rsidP="007A413F">
            <w:pPr>
              <w:pStyle w:val="TableTextBullet"/>
            </w:pPr>
            <w:r>
              <w:t xml:space="preserve">Requires the user to enter the rack name and test method to be </w:t>
            </w:r>
            <w:r>
              <w:rPr>
                <w:iCs/>
              </w:rPr>
              <w:t xml:space="preserve">applied to </w:t>
            </w:r>
            <w:r>
              <w:t>the specimens selected in this testing group for serologic testing. The user must also indicate whether an automated instrument was used in testing.</w:t>
            </w:r>
          </w:p>
          <w:p w14:paraId="7FD5A950" w14:textId="77777777" w:rsidR="008E6E94" w:rsidRDefault="008E6E94" w:rsidP="007A413F">
            <w:pPr>
              <w:pStyle w:val="TableTextBullet"/>
            </w:pPr>
            <w:r>
              <w:t>Displays the date and time the testing was performed (default: current date and time), which the user may edit retrospectively.</w:t>
            </w:r>
          </w:p>
          <w:p w14:paraId="42CD68B6" w14:textId="77777777" w:rsidR="008E6E94" w:rsidRDefault="008E6E94" w:rsidP="007A413F">
            <w:pPr>
              <w:pStyle w:val="TableTextBullet"/>
            </w:pPr>
            <w:r>
              <w:t>Displays the testing technologist’s identification (default: current user). Lists valid division users for the user’s selection.</w:t>
            </w:r>
          </w:p>
          <w:p w14:paraId="5D36DCDE" w14:textId="77777777" w:rsidR="008E6E94" w:rsidRDefault="008E6E94" w:rsidP="007A413F">
            <w:pPr>
              <w:pStyle w:val="TableText"/>
            </w:pPr>
          </w:p>
          <w:p w14:paraId="1CC406D2" w14:textId="77777777" w:rsidR="008E6E94" w:rsidRDefault="00057948" w:rsidP="007A413F">
            <w:pPr>
              <w:pStyle w:val="TableText"/>
              <w:rPr>
                <w:b/>
                <w:bCs/>
                <w:szCs w:val="18"/>
              </w:rPr>
            </w:pPr>
            <w:r>
              <w:rPr>
                <w:b/>
                <w:bCs/>
                <w:noProof/>
              </w:rPr>
              <mc:AlternateContent>
                <mc:Choice Requires="wps">
                  <w:drawing>
                    <wp:anchor distT="0" distB="0" distL="114300" distR="114300" simplePos="0" relativeHeight="251881984" behindDoc="0" locked="0" layoutInCell="1" allowOverlap="1" wp14:anchorId="2D5F829C" wp14:editId="55ADDAEB">
                      <wp:simplePos x="0" y="0"/>
                      <wp:positionH relativeFrom="column">
                        <wp:posOffset>457200</wp:posOffset>
                      </wp:positionH>
                      <wp:positionV relativeFrom="paragraph">
                        <wp:posOffset>65405</wp:posOffset>
                      </wp:positionV>
                      <wp:extent cx="3200400" cy="0"/>
                      <wp:effectExtent l="9525" t="17780" r="9525" b="10795"/>
                      <wp:wrapNone/>
                      <wp:docPr id="337" name="Line 1056" descr="P8688C24T9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C8675" id="Line 1056" o:spid="_x0000_s1026" alt="&quot;&quot;" style="position:absolute;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M532UTEAQAAbwMAAA4AAAAAAAAAAAAAAAAA&#10;LgIAAGRycy9lMm9Eb2MueG1sUEsBAi0AFAAGAAgAAAAhABdPMBLbAAAACAEAAA8AAAAAAAAAAAAA&#10;AAAAHgQAAGRycy9kb3ducmV2LnhtbFBLBQYAAAAABAAEAPMAAAAmBQAAAAA=&#10;" strokeweight="1.5pt"/>
                  </w:pict>
                </mc:Fallback>
              </mc:AlternateContent>
            </w:r>
            <w:r w:rsidR="008E6E94">
              <w:rPr>
                <w:b/>
                <w:bCs/>
                <w:szCs w:val="18"/>
              </w:rPr>
              <w:t>NOTES</w:t>
            </w:r>
          </w:p>
          <w:p w14:paraId="2746556C" w14:textId="77777777" w:rsidR="008E6E94" w:rsidRDefault="008E6E94" w:rsidP="007A413F">
            <w:pPr>
              <w:pStyle w:val="NotesText"/>
            </w:pPr>
          </w:p>
          <w:p w14:paraId="5047CD60" w14:textId="77777777" w:rsidR="008E6E94" w:rsidRDefault="008E6E94" w:rsidP="007A413F">
            <w:pPr>
              <w:pStyle w:val="NotesText"/>
            </w:pPr>
            <w:r>
              <w:rPr>
                <w:vanish/>
                <w:szCs w:val="18"/>
              </w:rPr>
              <w:t>BR_21.16</w:t>
            </w:r>
            <w:r w:rsidR="005D400B">
              <w:rPr>
                <w:vanish/>
                <w:szCs w:val="18"/>
              </w:rPr>
              <w:t>,</w:t>
            </w:r>
            <w:r>
              <w:rPr>
                <w:vanish/>
                <w:szCs w:val="18"/>
              </w:rPr>
              <w:t xml:space="preserve"> BR_21.24 </w:t>
            </w:r>
            <w:r>
              <w:t>When no units were implicated or no</w:t>
            </w:r>
            <w:r>
              <w:rPr>
                <w:color w:val="000000"/>
                <w:szCs w:val="18"/>
              </w:rPr>
              <w:t xml:space="preserve"> pre- or post-transfusion specimens are available, VBECS disables those</w:t>
            </w:r>
            <w:r>
              <w:t xml:space="preserve"> portions of the grid.</w:t>
            </w:r>
          </w:p>
          <w:p w14:paraId="6D9EBE1B" w14:textId="77777777" w:rsidR="008E6E94" w:rsidRDefault="008E6E94" w:rsidP="007A413F">
            <w:pPr>
              <w:pStyle w:val="NotesText"/>
            </w:pPr>
          </w:p>
          <w:p w14:paraId="7DEFF0AA" w14:textId="77777777" w:rsidR="008E6E94" w:rsidRDefault="008E6E94" w:rsidP="007A413F">
            <w:pPr>
              <w:pStyle w:val="NotesText"/>
            </w:pPr>
            <w:r>
              <w:rPr>
                <w:rFonts w:cs="Arial"/>
                <w:vanish/>
              </w:rPr>
              <w:t xml:space="preserve">BR_21.13 </w:t>
            </w:r>
            <w:r>
              <w:t>VBECS displays the standard TRW tests for the user to select to perform some</w:t>
            </w:r>
            <w:r w:rsidR="00DB68D8">
              <w:t>, none</w:t>
            </w:r>
            <w:r>
              <w:t xml:space="preserve"> or all.</w:t>
            </w:r>
            <w:r w:rsidR="00DB68D8">
              <w:t xml:space="preserve"> </w:t>
            </w:r>
            <w:r w:rsidR="00DB68D8" w:rsidRPr="00DB68D8">
              <w:rPr>
                <w:vanish/>
              </w:rPr>
              <w:t>DR 5100</w:t>
            </w:r>
          </w:p>
          <w:p w14:paraId="78F0A875" w14:textId="77777777" w:rsidR="008E6E94" w:rsidRDefault="008E6E94" w:rsidP="007A413F">
            <w:pPr>
              <w:pStyle w:val="NotesText"/>
            </w:pPr>
          </w:p>
          <w:p w14:paraId="437B96B3" w14:textId="77777777" w:rsidR="008E6E94" w:rsidRDefault="008E6E94" w:rsidP="007A413F">
            <w:pPr>
              <w:pStyle w:val="NotesText"/>
            </w:pPr>
            <w:r>
              <w:rPr>
                <w:rFonts w:cs="Arial"/>
                <w:vanish/>
              </w:rPr>
              <w:t xml:space="preserve">BR_56.14 </w:t>
            </w:r>
            <w:r>
              <w:t>When a facility is “full service” and an automated instrument was used for testing, a user must enter the name of the instrument and may indicate that successful quality control testing was done for the testing date.</w:t>
            </w:r>
          </w:p>
          <w:p w14:paraId="77513727" w14:textId="77777777" w:rsidR="008E6E94" w:rsidRDefault="008E6E94" w:rsidP="007A413F">
            <w:pPr>
              <w:pStyle w:val="NotesText"/>
            </w:pPr>
          </w:p>
          <w:p w14:paraId="01BDC31D" w14:textId="77777777" w:rsidR="008E6E94" w:rsidRDefault="008E6E94" w:rsidP="007A413F">
            <w:pPr>
              <w:pStyle w:val="NotesText"/>
            </w:pPr>
            <w:r>
              <w:rPr>
                <w:vanish/>
                <w:szCs w:val="18"/>
              </w:rPr>
              <w:t>BR_21.04</w:t>
            </w:r>
            <w:r w:rsidR="009078D6">
              <w:rPr>
                <w:vanish/>
                <w:szCs w:val="18"/>
              </w:rPr>
              <w:t>,</w:t>
            </w:r>
            <w:r>
              <w:rPr>
                <w:vanish/>
                <w:szCs w:val="18"/>
              </w:rPr>
              <w:t xml:space="preserve"> BR_21.22 </w:t>
            </w:r>
            <w:r>
              <w:t>For implicated units, the ABO/Rh TRW, ABS TRW, DAT TRW, and Crossmatch TRW testing data grids are pre-populated with pre- and post-specimen data. Data entry of test results is optional, based on a facility’s local policies and procedures.</w:t>
            </w:r>
          </w:p>
        </w:tc>
      </w:tr>
      <w:tr w:rsidR="008E6E94" w14:paraId="4ECBAD82" w14:textId="77777777">
        <w:tc>
          <w:tcPr>
            <w:tcW w:w="3240" w:type="dxa"/>
          </w:tcPr>
          <w:p w14:paraId="6E23A2EE" w14:textId="77777777" w:rsidR="00120B78" w:rsidRDefault="008E6E94" w:rsidP="007A413F">
            <w:pPr>
              <w:pStyle w:val="TableTextNumbers"/>
            </w:pPr>
            <w:r>
              <w:lastRenderedPageBreak/>
              <w:t>Review the entries</w:t>
            </w:r>
            <w:r w:rsidR="00120B78">
              <w:t>.</w:t>
            </w:r>
          </w:p>
          <w:p w14:paraId="682E833D" w14:textId="77777777" w:rsidR="00120B78" w:rsidRDefault="00120B78" w:rsidP="00120B78">
            <w:pPr>
              <w:pStyle w:val="TableTextNumbersContinued"/>
            </w:pPr>
          </w:p>
          <w:p w14:paraId="5B6DA1E3" w14:textId="77777777" w:rsidR="008E6E94" w:rsidRDefault="00120B78" w:rsidP="00120B78">
            <w:pPr>
              <w:pStyle w:val="TableTextNumbersContinued"/>
            </w:pPr>
            <w:r>
              <w:t xml:space="preserve">Click </w:t>
            </w:r>
            <w:r w:rsidRPr="0069720B">
              <w:rPr>
                <w:b/>
              </w:rPr>
              <w:t>OK</w:t>
            </w:r>
            <w:r>
              <w:t xml:space="preserve"> to save, and </w:t>
            </w:r>
            <w:r w:rsidRPr="0069720B">
              <w:rPr>
                <w:b/>
              </w:rPr>
              <w:t>Yes</w:t>
            </w:r>
            <w:r>
              <w:t xml:space="preserve"> to confirm the save.</w:t>
            </w:r>
          </w:p>
        </w:tc>
        <w:tc>
          <w:tcPr>
            <w:tcW w:w="6120" w:type="dxa"/>
          </w:tcPr>
          <w:p w14:paraId="17E85C6E" w14:textId="77777777" w:rsidR="008E6E94" w:rsidRDefault="008E6E94" w:rsidP="007A413F">
            <w:pPr>
              <w:pStyle w:val="TableTextBullet"/>
            </w:pPr>
            <w:r>
              <w:t>Stores data for retrieval.</w:t>
            </w:r>
          </w:p>
          <w:p w14:paraId="482EAF11" w14:textId="77777777" w:rsidR="008E6E94" w:rsidRDefault="008E6E94" w:rsidP="007A413F">
            <w:pPr>
              <w:pStyle w:val="TableTextBullet"/>
            </w:pPr>
            <w:r>
              <w:t>Makes the findings viewable through a CPRS query.</w:t>
            </w:r>
          </w:p>
          <w:p w14:paraId="41FF077A" w14:textId="77777777" w:rsidR="008E6E94" w:rsidRDefault="008E6E94" w:rsidP="007A413F">
            <w:pPr>
              <w:pStyle w:val="TableText"/>
            </w:pPr>
          </w:p>
          <w:p w14:paraId="6FCEA72A" w14:textId="77777777" w:rsidR="008E6E94" w:rsidRDefault="00057948" w:rsidP="007A413F">
            <w:pPr>
              <w:pStyle w:val="TableText"/>
              <w:rPr>
                <w:b/>
                <w:bCs/>
                <w:szCs w:val="18"/>
              </w:rPr>
            </w:pPr>
            <w:r>
              <w:rPr>
                <w:b/>
                <w:bCs/>
                <w:noProof/>
              </w:rPr>
              <mc:AlternateContent>
                <mc:Choice Requires="wps">
                  <w:drawing>
                    <wp:anchor distT="0" distB="0" distL="114300" distR="114300" simplePos="0" relativeHeight="251885056" behindDoc="0" locked="0" layoutInCell="1" allowOverlap="1" wp14:anchorId="769DB120" wp14:editId="09B441DD">
                      <wp:simplePos x="0" y="0"/>
                      <wp:positionH relativeFrom="column">
                        <wp:posOffset>457200</wp:posOffset>
                      </wp:positionH>
                      <wp:positionV relativeFrom="paragraph">
                        <wp:posOffset>65405</wp:posOffset>
                      </wp:positionV>
                      <wp:extent cx="3200400" cy="0"/>
                      <wp:effectExtent l="9525" t="17780" r="9525" b="10795"/>
                      <wp:wrapNone/>
                      <wp:docPr id="336" name="Line 1057" descr="P8704C26T9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997AA" id="Line 1057" o:spid="_x0000_s1026" alt="&quot;&quot;" style="position:absolute;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Njb78TEAQAAbwMAAA4AAAAAAAAAAAAAAAAA&#10;LgIAAGRycy9lMm9Eb2MueG1sUEsBAi0AFAAGAAgAAAAhABdPMBLbAAAACAEAAA8AAAAAAAAAAAAA&#10;AAAAHgQAAGRycy9kb3ducmV2LnhtbFBLBQYAAAAABAAEAPMAAAAmBQAAAAA=&#10;" strokeweight="1.5pt"/>
                  </w:pict>
                </mc:Fallback>
              </mc:AlternateContent>
            </w:r>
            <w:r w:rsidR="008E6E94">
              <w:rPr>
                <w:b/>
                <w:bCs/>
                <w:szCs w:val="18"/>
              </w:rPr>
              <w:t>NOTES</w:t>
            </w:r>
          </w:p>
          <w:p w14:paraId="65EFD9E9" w14:textId="77777777" w:rsidR="008E6E94" w:rsidRDefault="008E6E94" w:rsidP="007A413F">
            <w:pPr>
              <w:pStyle w:val="NotesText"/>
            </w:pPr>
          </w:p>
          <w:p w14:paraId="3D87AFF6" w14:textId="77777777" w:rsidR="008E6E94" w:rsidRDefault="008E6E94" w:rsidP="007A413F">
            <w:pPr>
              <w:pStyle w:val="NotesText"/>
            </w:pPr>
            <w:r>
              <w:rPr>
                <w:rFonts w:cs="Arial"/>
                <w:vanish/>
              </w:rPr>
              <w:t xml:space="preserve">BR_21.12 </w:t>
            </w:r>
            <w:r>
              <w:t>VBECS allows the user to indicate that the TRW is complete, then updates the TRW task status to “complete.”</w:t>
            </w:r>
          </w:p>
          <w:p w14:paraId="197654EC" w14:textId="77777777" w:rsidR="008E6E94" w:rsidRDefault="008E6E94" w:rsidP="007A413F">
            <w:pPr>
              <w:pStyle w:val="NotesText"/>
            </w:pPr>
          </w:p>
          <w:p w14:paraId="6BA4B26E" w14:textId="77777777" w:rsidR="008E6E94" w:rsidRDefault="008E6E94" w:rsidP="007A413F">
            <w:pPr>
              <w:pStyle w:val="NotesText"/>
            </w:pPr>
            <w:r>
              <w:rPr>
                <w:rFonts w:cs="Arial"/>
                <w:vanish/>
              </w:rPr>
              <w:t xml:space="preserve">BR_21.06 </w:t>
            </w:r>
            <w:r>
              <w:t>Once the TRW is completed, the summary of results and observations includes the comment, “Final report to follow in hard copy with medical director evaluation of the transfusion reaction workup.”</w:t>
            </w:r>
          </w:p>
          <w:p w14:paraId="285E17DB" w14:textId="77777777" w:rsidR="008E6E94" w:rsidRDefault="008E6E94" w:rsidP="007A413F">
            <w:pPr>
              <w:pStyle w:val="NotesText"/>
            </w:pPr>
          </w:p>
          <w:p w14:paraId="3CC5E3A2" w14:textId="77777777" w:rsidR="008E6E94" w:rsidRDefault="008E6E94" w:rsidP="007A413F">
            <w:pPr>
              <w:pStyle w:val="NotesText"/>
              <w:rPr>
                <w:color w:val="000000"/>
                <w:szCs w:val="18"/>
              </w:rPr>
            </w:pPr>
            <w:r>
              <w:rPr>
                <w:rFonts w:cs="Arial"/>
                <w:vanish/>
              </w:rPr>
              <w:t xml:space="preserve">BR_21.21 </w:t>
            </w:r>
            <w:r>
              <w:t xml:space="preserve">VBECS indicates on the </w:t>
            </w:r>
            <w:r>
              <w:rPr>
                <w:color w:val="000000"/>
                <w:szCs w:val="18"/>
              </w:rPr>
              <w:t>implicated unit’s patient transfusion record that it was implicated in a transfusion reaction and notes the patient’s name and ID and the date and time.</w:t>
            </w:r>
          </w:p>
          <w:p w14:paraId="0EBA84BD" w14:textId="77777777" w:rsidR="008E6E94" w:rsidRDefault="008E6E94" w:rsidP="007A413F">
            <w:pPr>
              <w:pStyle w:val="NotesText"/>
            </w:pPr>
          </w:p>
          <w:p w14:paraId="2482F3B2" w14:textId="77777777" w:rsidR="008E6E94" w:rsidRDefault="008E6E94" w:rsidP="007A413F">
            <w:pPr>
              <w:pStyle w:val="NotesText"/>
              <w:rPr>
                <w:szCs w:val="18"/>
              </w:rPr>
            </w:pPr>
            <w:r>
              <w:rPr>
                <w:rFonts w:cs="Arial"/>
                <w:vanish/>
              </w:rPr>
              <w:t>BR_21.28</w:t>
            </w:r>
            <w:r w:rsidRPr="00323744">
              <w:rPr>
                <w:rStyle w:val="BullhornChar"/>
              </w:rPr>
              <w:t></w:t>
            </w:r>
            <w:r>
              <w:rPr>
                <w:rFonts w:ascii="Webdings" w:hAnsi="Webdings"/>
              </w:rPr>
              <w:t></w:t>
            </w:r>
            <w:r>
              <w:rPr>
                <w:szCs w:val="18"/>
              </w:rPr>
              <w:t>VBECS saves the record and one or more clerical checks are marked “failed,” VBECS emits an audible alert, requires a comment, and captures details for inclusion in an Exception Report (exception type: Transfusion Reaction Workup).</w:t>
            </w:r>
          </w:p>
        </w:tc>
      </w:tr>
      <w:tr w:rsidR="008E6E94" w14:paraId="5E947E95" w14:textId="77777777">
        <w:tc>
          <w:tcPr>
            <w:tcW w:w="3240" w:type="dxa"/>
          </w:tcPr>
          <w:p w14:paraId="76CC36C1" w14:textId="48A084C6" w:rsidR="00F676B6" w:rsidRDefault="00F676B6" w:rsidP="007A413F">
            <w:pPr>
              <w:pStyle w:val="TableTextNumbers"/>
            </w:pPr>
            <w:r>
              <w:t xml:space="preserve">Click </w:t>
            </w:r>
            <w:r w:rsidRPr="00F676B6">
              <w:rPr>
                <w:b/>
              </w:rPr>
              <w:t>Finalize/Print TRW</w:t>
            </w:r>
            <w:r>
              <w:t xml:space="preserve"> and continue at Finalize/Print TRW to finalize the TRW</w:t>
            </w:r>
            <w:r w:rsidR="00750760">
              <w:t xml:space="preserve"> (</w:t>
            </w:r>
            <w:r w:rsidR="00D418A4">
              <w:fldChar w:fldCharType="begin" w:fldLock="1"/>
            </w:r>
            <w:r w:rsidR="00D418A4">
              <w:instrText xml:space="preserve"> REF _Ref127774218 \h </w:instrText>
            </w:r>
            <w:r w:rsidR="00D418A4">
              <w:fldChar w:fldCharType="separate"/>
            </w:r>
            <w:r w:rsidR="00AB304C">
              <w:t xml:space="preserve">Figure </w:t>
            </w:r>
            <w:r w:rsidR="00AB304C">
              <w:rPr>
                <w:noProof/>
              </w:rPr>
              <w:t>136</w:t>
            </w:r>
            <w:r w:rsidR="00D418A4">
              <w:fldChar w:fldCharType="end"/>
            </w:r>
            <w:r w:rsidR="00750760">
              <w:t>)</w:t>
            </w:r>
            <w:r>
              <w:t>, or</w:t>
            </w:r>
          </w:p>
          <w:p w14:paraId="135D84D9" w14:textId="77777777" w:rsidR="00F676B6" w:rsidRDefault="00F676B6" w:rsidP="00F676B6">
            <w:pPr>
              <w:pStyle w:val="TableTextNumbersContinued"/>
            </w:pPr>
          </w:p>
          <w:p w14:paraId="05BE40B1" w14:textId="77777777" w:rsidR="008E6E94" w:rsidRDefault="00F676B6" w:rsidP="00F676B6">
            <w:pPr>
              <w:pStyle w:val="TableTextNumbersContinued"/>
            </w:pPr>
            <w:r>
              <w:t>Click</w:t>
            </w:r>
            <w:r w:rsidR="00AA6C54">
              <w:t xml:space="preserve"> </w:t>
            </w:r>
            <w:r w:rsidRPr="00F676B6">
              <w:rPr>
                <w:b/>
              </w:rPr>
              <w:t>Cancel</w:t>
            </w:r>
            <w:r>
              <w:t xml:space="preserve"> to complete the TRW and exit</w:t>
            </w:r>
            <w:r w:rsidR="008E6E94">
              <w:t xml:space="preserve">. </w:t>
            </w:r>
            <w:r w:rsidR="008E6E94">
              <w:rPr>
                <w:vanish/>
                <w:color w:val="FFFFFF"/>
                <w:szCs w:val="18"/>
              </w:rPr>
              <w:fldChar w:fldCharType="begin"/>
            </w:r>
            <w:r w:rsidR="008E6E94">
              <w:rPr>
                <w:vanish/>
                <w:color w:val="FFFFFF"/>
                <w:szCs w:val="18"/>
              </w:rPr>
              <w:instrText xml:space="preserve"> LISTNUM \l 1 \s 0 </w:instrText>
            </w:r>
            <w:r w:rsidR="008E6E94">
              <w:rPr>
                <w:vanish/>
                <w:color w:val="FFFFFF"/>
                <w:szCs w:val="18"/>
              </w:rPr>
              <w:fldChar w:fldCharType="end"/>
            </w:r>
          </w:p>
        </w:tc>
        <w:tc>
          <w:tcPr>
            <w:tcW w:w="6120" w:type="dxa"/>
          </w:tcPr>
          <w:p w14:paraId="6EC48131" w14:textId="77777777" w:rsidR="00503680" w:rsidRPr="00503680" w:rsidRDefault="00503680" w:rsidP="00503680">
            <w:pPr>
              <w:pStyle w:val="TableText"/>
            </w:pPr>
          </w:p>
          <w:p w14:paraId="039D2C2A" w14:textId="77777777" w:rsidR="008E6E94" w:rsidRDefault="00057948" w:rsidP="007A413F">
            <w:pPr>
              <w:pStyle w:val="TableText"/>
              <w:rPr>
                <w:b/>
                <w:bCs/>
                <w:szCs w:val="18"/>
              </w:rPr>
            </w:pPr>
            <w:r>
              <w:rPr>
                <w:b/>
                <w:bCs/>
                <w:noProof/>
              </w:rPr>
              <mc:AlternateContent>
                <mc:Choice Requires="wps">
                  <w:drawing>
                    <wp:anchor distT="0" distB="0" distL="114300" distR="114300" simplePos="0" relativeHeight="251888128" behindDoc="0" locked="0" layoutInCell="1" allowOverlap="1" wp14:anchorId="2E3A31AF" wp14:editId="634F829D">
                      <wp:simplePos x="0" y="0"/>
                      <wp:positionH relativeFrom="column">
                        <wp:posOffset>457200</wp:posOffset>
                      </wp:positionH>
                      <wp:positionV relativeFrom="paragraph">
                        <wp:posOffset>65405</wp:posOffset>
                      </wp:positionV>
                      <wp:extent cx="3200400" cy="0"/>
                      <wp:effectExtent l="9525" t="17780" r="9525" b="10795"/>
                      <wp:wrapNone/>
                      <wp:docPr id="335" name="Line 1058" descr="P8718C28T9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290A2B" id="Line 1058" o:spid="_x0000_s1026" alt="&quot;&quot;" style="position:absolute;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Dw/YtsMBAABvAwAADgAAAAAAAAAAAAAAAAAu&#10;AgAAZHJzL2Uyb0RvYy54bWxQSwECLQAUAAYACAAAACEAF08wEtsAAAAIAQAADwAAAAAAAAAAAAAA&#10;AAAdBAAAZHJzL2Rvd25yZXYueG1sUEsFBgAAAAAEAAQA8wAAACUFAAAAAA==&#10;" strokeweight="1.5pt"/>
                  </w:pict>
                </mc:Fallback>
              </mc:AlternateContent>
            </w:r>
            <w:r w:rsidR="008E6E94">
              <w:rPr>
                <w:b/>
                <w:bCs/>
                <w:szCs w:val="18"/>
              </w:rPr>
              <w:t>NOTES</w:t>
            </w:r>
          </w:p>
          <w:p w14:paraId="3FB4085F" w14:textId="77777777" w:rsidR="008E6E94" w:rsidRPr="007F427E" w:rsidRDefault="008E6E94" w:rsidP="007F427E">
            <w:pPr>
              <w:pStyle w:val="NotesText"/>
            </w:pPr>
          </w:p>
          <w:p w14:paraId="78B1F86E" w14:textId="77777777" w:rsidR="00F676B6" w:rsidRDefault="00F676B6" w:rsidP="007F427E">
            <w:pPr>
              <w:pStyle w:val="NotesText"/>
              <w:rPr>
                <w:color w:val="3366FF"/>
              </w:rPr>
            </w:pPr>
            <w:r w:rsidRPr="007F427E">
              <w:t>A completed TRW indicates that serologic testing was completed. A finalized TRW indicates that the medical director reviewed the TRW, classified the rea</w:t>
            </w:r>
            <w:r w:rsidR="007F427E" w:rsidRPr="007F427E">
              <w:t>ction, and may make recommendations for future transfusions.</w:t>
            </w:r>
          </w:p>
        </w:tc>
      </w:tr>
    </w:tbl>
    <w:p w14:paraId="01C90641" w14:textId="65C02181" w:rsidR="008534C3" w:rsidRDefault="00772DD7" w:rsidP="008534C3">
      <w:pPr>
        <w:pStyle w:val="Caption"/>
      </w:pPr>
      <w:bookmarkStart w:id="512" w:name="_Ref127771180"/>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131</w:t>
      </w:r>
      <w:r w:rsidR="004E20BD">
        <w:rPr>
          <w:noProof/>
        </w:rPr>
        <w:fldChar w:fldCharType="end"/>
      </w:r>
      <w:bookmarkEnd w:id="512"/>
      <w:r>
        <w:t>:</w:t>
      </w:r>
      <w:r w:rsidR="008534C3">
        <w:t xml:space="preserve"> Transfusion Reaction Workup</w:t>
      </w:r>
      <w:r w:rsidR="004645AA">
        <w:t>: Specimen</w:t>
      </w:r>
      <w:r w:rsidR="00A73927">
        <w:t xml:space="preserve"> Check</w:t>
      </w:r>
    </w:p>
    <w:p w14:paraId="1801A336" w14:textId="77777777" w:rsidR="00772DD7" w:rsidRDefault="00057948" w:rsidP="008534C3">
      <w:pPr>
        <w:pStyle w:val="BodyText"/>
      </w:pPr>
      <w:r>
        <w:rPr>
          <w:noProof/>
        </w:rPr>
        <w:drawing>
          <wp:inline distT="0" distB="0" distL="0" distR="0" wp14:anchorId="113E2AE3" wp14:editId="7C52BE3D">
            <wp:extent cx="4340860" cy="3352800"/>
            <wp:effectExtent l="0" t="0" r="2540" b="0"/>
            <wp:docPr id="244" name="Picture 244" descr="P872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P8723#yIS1">
                      <a:extLst>
                        <a:ext uri="{C183D7F6-B498-43B3-948B-1728B52AA6E4}">
                          <adec:decorative xmlns:adec="http://schemas.microsoft.com/office/drawing/2017/decorative" val="1"/>
                        </a:ext>
                      </a:extLst>
                    </pic:cNvP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340860" cy="3352800"/>
                    </a:xfrm>
                    <a:prstGeom prst="rect">
                      <a:avLst/>
                    </a:prstGeom>
                    <a:noFill/>
                    <a:ln>
                      <a:noFill/>
                    </a:ln>
                  </pic:spPr>
                </pic:pic>
              </a:graphicData>
            </a:graphic>
          </wp:inline>
        </w:drawing>
      </w:r>
    </w:p>
    <w:p w14:paraId="11DF1FEB" w14:textId="6A708586" w:rsidR="00772DD7" w:rsidRDefault="00772DD7" w:rsidP="00772DD7">
      <w:pPr>
        <w:pStyle w:val="Caption"/>
      </w:pPr>
      <w:bookmarkStart w:id="513" w:name="_Ref127771990"/>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132</w:t>
      </w:r>
      <w:r w:rsidR="004E20BD">
        <w:rPr>
          <w:noProof/>
        </w:rPr>
        <w:fldChar w:fldCharType="end"/>
      </w:r>
      <w:bookmarkEnd w:id="513"/>
      <w:r>
        <w:t>:</w:t>
      </w:r>
      <w:r w:rsidR="004645AA">
        <w:t xml:space="preserve"> Transfusion </w:t>
      </w:r>
      <w:r w:rsidR="00A73927">
        <w:t>Reaction Workup: Clerical Check</w:t>
      </w:r>
    </w:p>
    <w:p w14:paraId="37D847EC" w14:textId="77777777" w:rsidR="00772DD7" w:rsidRPr="00772DD7" w:rsidRDefault="00057948" w:rsidP="00772DD7">
      <w:pPr>
        <w:pStyle w:val="BodyText"/>
      </w:pPr>
      <w:r>
        <w:rPr>
          <w:noProof/>
        </w:rPr>
        <w:drawing>
          <wp:inline distT="0" distB="0" distL="0" distR="0" wp14:anchorId="3199E7E7" wp14:editId="0D591802">
            <wp:extent cx="4340860" cy="3352800"/>
            <wp:effectExtent l="0" t="0" r="2540" b="0"/>
            <wp:docPr id="245" name="Picture 245" descr="P8725#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P8725#yIS1">
                      <a:extLst>
                        <a:ext uri="{C183D7F6-B498-43B3-948B-1728B52AA6E4}">
                          <adec:decorative xmlns:adec="http://schemas.microsoft.com/office/drawing/2017/decorative" val="1"/>
                        </a:ext>
                      </a:extLst>
                    </pic:cNvPr>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340860" cy="3352800"/>
                    </a:xfrm>
                    <a:prstGeom prst="rect">
                      <a:avLst/>
                    </a:prstGeom>
                    <a:noFill/>
                    <a:ln>
                      <a:noFill/>
                    </a:ln>
                  </pic:spPr>
                </pic:pic>
              </a:graphicData>
            </a:graphic>
          </wp:inline>
        </w:drawing>
      </w:r>
    </w:p>
    <w:p w14:paraId="7F4C027F" w14:textId="0B576512" w:rsidR="00772DD7" w:rsidRDefault="00772DD7" w:rsidP="00772DD7">
      <w:pPr>
        <w:pStyle w:val="Caption"/>
      </w:pPr>
      <w:bookmarkStart w:id="514" w:name="_Ref127774070"/>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133</w:t>
      </w:r>
      <w:r w:rsidR="004E20BD">
        <w:rPr>
          <w:noProof/>
        </w:rPr>
        <w:fldChar w:fldCharType="end"/>
      </w:r>
      <w:bookmarkEnd w:id="514"/>
      <w:r>
        <w:t>:</w:t>
      </w:r>
      <w:r w:rsidR="00390AEF">
        <w:t xml:space="preserve"> Transfusion Reaction Workup: Implicated Units</w:t>
      </w:r>
    </w:p>
    <w:p w14:paraId="2208B335" w14:textId="77777777" w:rsidR="004A2487" w:rsidRPr="004A2487" w:rsidRDefault="00057948" w:rsidP="004A2487">
      <w:pPr>
        <w:pStyle w:val="BodyText"/>
      </w:pPr>
      <w:r>
        <w:rPr>
          <w:noProof/>
        </w:rPr>
        <w:drawing>
          <wp:inline distT="0" distB="0" distL="0" distR="0" wp14:anchorId="6E5D01B6" wp14:editId="2DFAC34B">
            <wp:extent cx="4340860" cy="3334385"/>
            <wp:effectExtent l="0" t="0" r="2540" b="0"/>
            <wp:docPr id="246" name="Picture 246" descr="P8727#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P8727#yIS1">
                      <a:extLst>
                        <a:ext uri="{C183D7F6-B498-43B3-948B-1728B52AA6E4}">
                          <adec:decorative xmlns:adec="http://schemas.microsoft.com/office/drawing/2017/decorative" val="1"/>
                        </a:ext>
                      </a:extLst>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340860" cy="3334385"/>
                    </a:xfrm>
                    <a:prstGeom prst="rect">
                      <a:avLst/>
                    </a:prstGeom>
                    <a:noFill/>
                    <a:ln>
                      <a:noFill/>
                    </a:ln>
                  </pic:spPr>
                </pic:pic>
              </a:graphicData>
            </a:graphic>
          </wp:inline>
        </w:drawing>
      </w:r>
    </w:p>
    <w:p w14:paraId="42CFAF7A" w14:textId="0019EA4C" w:rsidR="00772DD7" w:rsidRDefault="00772DD7" w:rsidP="00772DD7">
      <w:pPr>
        <w:pStyle w:val="Caption"/>
      </w:pPr>
      <w:bookmarkStart w:id="515" w:name="_Ref127774158"/>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134</w:t>
      </w:r>
      <w:r w:rsidR="004E20BD">
        <w:rPr>
          <w:noProof/>
        </w:rPr>
        <w:fldChar w:fldCharType="end"/>
      </w:r>
      <w:bookmarkEnd w:id="515"/>
      <w:r>
        <w:t>:</w:t>
      </w:r>
      <w:r w:rsidR="00390AEF">
        <w:t xml:space="preserve"> Transfusion Reaction Workup: Symptoms</w:t>
      </w:r>
    </w:p>
    <w:p w14:paraId="348BB024" w14:textId="77777777" w:rsidR="00772DD7" w:rsidRPr="00772DD7" w:rsidRDefault="00057948" w:rsidP="00772DD7">
      <w:pPr>
        <w:pStyle w:val="BodyText"/>
      </w:pPr>
      <w:r>
        <w:rPr>
          <w:noProof/>
        </w:rPr>
        <w:drawing>
          <wp:inline distT="0" distB="0" distL="0" distR="0" wp14:anchorId="002F7194" wp14:editId="0822E16D">
            <wp:extent cx="4340860" cy="3352800"/>
            <wp:effectExtent l="0" t="0" r="2540" b="0"/>
            <wp:docPr id="247" name="Picture 247" descr="P8729#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P8729#yIS1">
                      <a:extLst>
                        <a:ext uri="{C183D7F6-B498-43B3-948B-1728B52AA6E4}">
                          <adec:decorative xmlns:adec="http://schemas.microsoft.com/office/drawing/2017/decorative" val="1"/>
                        </a:ext>
                      </a:extLst>
                    </pic:cNvPr>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340860" cy="3352800"/>
                    </a:xfrm>
                    <a:prstGeom prst="rect">
                      <a:avLst/>
                    </a:prstGeom>
                    <a:noFill/>
                    <a:ln>
                      <a:noFill/>
                    </a:ln>
                  </pic:spPr>
                </pic:pic>
              </a:graphicData>
            </a:graphic>
          </wp:inline>
        </w:drawing>
      </w:r>
    </w:p>
    <w:p w14:paraId="6DF1203B" w14:textId="2AEECC55" w:rsidR="00772DD7" w:rsidRDefault="00772DD7" w:rsidP="00772DD7">
      <w:pPr>
        <w:pStyle w:val="Caption"/>
      </w:pPr>
      <w:bookmarkStart w:id="516" w:name="_Ref127774192"/>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135</w:t>
      </w:r>
      <w:r w:rsidR="004E20BD">
        <w:rPr>
          <w:noProof/>
        </w:rPr>
        <w:fldChar w:fldCharType="end"/>
      </w:r>
      <w:bookmarkEnd w:id="516"/>
      <w:r>
        <w:t>:</w:t>
      </w:r>
      <w:r w:rsidR="00390AEF">
        <w:t xml:space="preserve"> Transfusion Reaction Workup: Serologic Tests</w:t>
      </w:r>
    </w:p>
    <w:p w14:paraId="566E5864" w14:textId="77777777" w:rsidR="00772DD7" w:rsidRPr="00772DD7" w:rsidRDefault="00057948" w:rsidP="00772DD7">
      <w:pPr>
        <w:pStyle w:val="BodyText"/>
      </w:pPr>
      <w:r>
        <w:rPr>
          <w:noProof/>
        </w:rPr>
        <w:drawing>
          <wp:inline distT="0" distB="0" distL="0" distR="0" wp14:anchorId="1E8CC0EE" wp14:editId="3D2EC985">
            <wp:extent cx="4340860" cy="3334385"/>
            <wp:effectExtent l="0" t="0" r="2540" b="0"/>
            <wp:docPr id="248" name="Picture 248" descr="P8731#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P8731#yIS1">
                      <a:extLst>
                        <a:ext uri="{C183D7F6-B498-43B3-948B-1728B52AA6E4}">
                          <adec:decorative xmlns:adec="http://schemas.microsoft.com/office/drawing/2017/decorative" val="1"/>
                        </a:ext>
                      </a:extLst>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340860" cy="3334385"/>
                    </a:xfrm>
                    <a:prstGeom prst="rect">
                      <a:avLst/>
                    </a:prstGeom>
                    <a:noFill/>
                    <a:ln>
                      <a:noFill/>
                    </a:ln>
                  </pic:spPr>
                </pic:pic>
              </a:graphicData>
            </a:graphic>
          </wp:inline>
        </w:drawing>
      </w:r>
    </w:p>
    <w:p w14:paraId="6241CFF7" w14:textId="07212D12" w:rsidR="00772DD7" w:rsidRDefault="00772DD7" w:rsidP="00772DD7">
      <w:pPr>
        <w:pStyle w:val="Caption"/>
      </w:pPr>
      <w:bookmarkStart w:id="517" w:name="_Ref127774218"/>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136</w:t>
      </w:r>
      <w:r w:rsidR="004E20BD">
        <w:rPr>
          <w:noProof/>
        </w:rPr>
        <w:fldChar w:fldCharType="end"/>
      </w:r>
      <w:bookmarkEnd w:id="517"/>
      <w:r>
        <w:t>:</w:t>
      </w:r>
      <w:r w:rsidR="00453B6E">
        <w:t xml:space="preserve"> Transfusion Reaction Workup Report</w:t>
      </w:r>
    </w:p>
    <w:p w14:paraId="11D41631" w14:textId="77777777" w:rsidR="00772DD7" w:rsidRPr="00772DD7" w:rsidRDefault="00057948" w:rsidP="00772DD7">
      <w:pPr>
        <w:pStyle w:val="BodyText"/>
      </w:pPr>
      <w:r>
        <w:rPr>
          <w:noProof/>
        </w:rPr>
        <w:drawing>
          <wp:inline distT="0" distB="0" distL="0" distR="0" wp14:anchorId="52E12EAF" wp14:editId="46F5D2A0">
            <wp:extent cx="4340860" cy="3343275"/>
            <wp:effectExtent l="0" t="0" r="2540" b="9525"/>
            <wp:docPr id="249" name="Picture 249" descr="P873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P8733#yIS1">
                      <a:extLst>
                        <a:ext uri="{C183D7F6-B498-43B3-948B-1728B52AA6E4}">
                          <adec:decorative xmlns:adec="http://schemas.microsoft.com/office/drawing/2017/decorative" val="1"/>
                        </a:ext>
                      </a:extLst>
                    </pic:cNvPr>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340860" cy="3343275"/>
                    </a:xfrm>
                    <a:prstGeom prst="rect">
                      <a:avLst/>
                    </a:prstGeom>
                    <a:noFill/>
                    <a:ln>
                      <a:noFill/>
                    </a:ln>
                  </pic:spPr>
                </pic:pic>
              </a:graphicData>
            </a:graphic>
          </wp:inline>
        </w:drawing>
      </w:r>
    </w:p>
    <w:p w14:paraId="10641904" w14:textId="77777777" w:rsidR="002A21AE" w:rsidRDefault="00AA0019">
      <w:pPr>
        <w:pStyle w:val="Heading3"/>
      </w:pPr>
      <w:bookmarkStart w:id="518" w:name="_Toc94938926"/>
      <w:bookmarkStart w:id="519" w:name="_Toc63680366"/>
      <w:r>
        <w:br w:type="page"/>
      </w:r>
      <w:bookmarkStart w:id="520" w:name="_Toc4588822"/>
      <w:r w:rsidR="002A21AE">
        <w:lastRenderedPageBreak/>
        <w:t>Finalize/Print TRW</w:t>
      </w:r>
      <w:bookmarkEnd w:id="520"/>
      <w:r w:rsidR="002A21AE">
        <w:fldChar w:fldCharType="begin"/>
      </w:r>
      <w:r w:rsidR="002A21AE">
        <w:instrText xml:space="preserve"> XE </w:instrText>
      </w:r>
      <w:r w:rsidR="00FA7E65">
        <w:instrText>“</w:instrText>
      </w:r>
      <w:r w:rsidR="002A21AE">
        <w:instrText>Finalize/Print TRW</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UC_78</w:t>
      </w:r>
      <w:bookmarkEnd w:id="518"/>
    </w:p>
    <w:p w14:paraId="6B205F4E" w14:textId="77777777" w:rsidR="002A21AE" w:rsidRDefault="002A21AE" w:rsidP="00FA7E65">
      <w:pPr>
        <w:pStyle w:val="BodyText"/>
      </w:pPr>
      <w:r>
        <w:t>The user finalizes</w:t>
      </w:r>
      <w:r w:rsidR="00EB1E5A">
        <w:t xml:space="preserve"> and</w:t>
      </w:r>
      <w:r>
        <w:t xml:space="preserve"> views </w:t>
      </w:r>
      <w:r w:rsidR="00EB1E5A">
        <w:t xml:space="preserve">and/or </w:t>
      </w:r>
      <w:r>
        <w:t>prints the Transfusion Reaction Workup Report.</w:t>
      </w:r>
    </w:p>
    <w:p w14:paraId="53F51DA9" w14:textId="77777777" w:rsidR="002A21AE" w:rsidRDefault="002A21AE">
      <w:pPr>
        <w:pStyle w:val="Heading4"/>
      </w:pPr>
      <w:r>
        <w:t>Assumptions</w:t>
      </w:r>
      <w:r>
        <w:rPr>
          <w:b w:val="0"/>
        </w:rPr>
        <w:t xml:space="preserve"> </w:t>
      </w:r>
    </w:p>
    <w:p w14:paraId="7D7FACA4" w14:textId="77777777" w:rsidR="002A21AE" w:rsidRDefault="002A21AE">
      <w:pPr>
        <w:pStyle w:val="ListBullet"/>
      </w:pPr>
      <w:r>
        <w:t>Patient Testing: Record a Transfusion Reaction Workup was completed.</w:t>
      </w:r>
    </w:p>
    <w:p w14:paraId="260EFE06" w14:textId="77777777" w:rsidR="002A21AE" w:rsidRDefault="002A21AE">
      <w:pPr>
        <w:pStyle w:val="Heading4"/>
      </w:pPr>
      <w:r>
        <w:t xml:space="preserve">Outcome </w:t>
      </w:r>
    </w:p>
    <w:p w14:paraId="2833FC21" w14:textId="77777777" w:rsidR="002A21AE" w:rsidRDefault="002A21AE">
      <w:pPr>
        <w:pStyle w:val="ListBullet"/>
      </w:pPr>
      <w:r>
        <w:t>The Transfusion Reaction Workup Report is available for printing and signing.</w:t>
      </w:r>
    </w:p>
    <w:p w14:paraId="6D5C508F" w14:textId="77777777" w:rsidR="0015352F" w:rsidRDefault="0015352F" w:rsidP="0015352F">
      <w:pPr>
        <w:pStyle w:val="ListBullet"/>
      </w:pPr>
      <w:r>
        <w:t>Final report findings are available for display in CPRS.</w:t>
      </w:r>
    </w:p>
    <w:p w14:paraId="098B5E3C" w14:textId="77777777" w:rsidR="002A21AE" w:rsidRDefault="002A21AE">
      <w:pPr>
        <w:pStyle w:val="Heading4"/>
        <w:rPr>
          <w:b w:val="0"/>
        </w:rPr>
      </w:pPr>
      <w:r>
        <w:t>Limitations and Restrictions</w:t>
      </w:r>
      <w:r>
        <w:rPr>
          <w:b w:val="0"/>
        </w:rPr>
        <w:t xml:space="preserve"> </w:t>
      </w:r>
    </w:p>
    <w:p w14:paraId="42AAE702" w14:textId="615D2774" w:rsidR="002A21AE" w:rsidRDefault="00D3121D">
      <w:pPr>
        <w:pStyle w:val="ListBullet"/>
      </w:pPr>
      <w:r>
        <w:t>The user cannot</w:t>
      </w:r>
      <w:r w:rsidR="00D23EF9" w:rsidRPr="00D23EF9">
        <w:t xml:space="preserve"> invalidate </w:t>
      </w:r>
      <w:r w:rsidR="00D23EF9">
        <w:t xml:space="preserve">or change </w:t>
      </w:r>
      <w:r w:rsidR="00D23EF9" w:rsidRPr="00D23EF9">
        <w:t>a finalized TRW.</w:t>
      </w:r>
      <w:r w:rsidR="00095CB3">
        <w:t xml:space="preserve"> Contact </w:t>
      </w:r>
      <w:r w:rsidR="00435359">
        <w:t>the Service</w:t>
      </w:r>
      <w:r w:rsidR="00095CB3">
        <w:t xml:space="preserve"> Desk if a TRW needs to be updated after finalization.</w:t>
      </w:r>
      <w:r w:rsidR="00FF7FFA">
        <w:t xml:space="preserve"> </w:t>
      </w:r>
      <w:r w:rsidR="00FF7FFA" w:rsidRPr="00FF7FFA">
        <w:rPr>
          <w:vanish/>
        </w:rPr>
        <w:t>Defect 212150</w:t>
      </w:r>
    </w:p>
    <w:p w14:paraId="316D0EF2" w14:textId="77777777" w:rsidR="003E5C27" w:rsidRDefault="003E5C27">
      <w:pPr>
        <w:pStyle w:val="ListBullet"/>
      </w:pPr>
      <w:r>
        <w:t>Transfusion reaction reports are not available to clinicians through CPRS: they must be printed and filed with patient charts.</w:t>
      </w:r>
    </w:p>
    <w:p w14:paraId="3FE31DE0" w14:textId="77777777" w:rsidR="00FF5006" w:rsidRPr="00764EF1" w:rsidRDefault="00FF5006" w:rsidP="00FF5006">
      <w:pPr>
        <w:pStyle w:val="ListBullet"/>
      </w:pPr>
      <w:r>
        <w:t>VBECS displays these default values for transfusion reactions converted from VistA to VBECS. They do not reflect actual interpretations or results:</w:t>
      </w:r>
      <w:r>
        <w:rPr>
          <w:vanish/>
        </w:rPr>
        <w:t xml:space="preserve"> (DR 2,</w:t>
      </w:r>
      <w:r w:rsidRPr="00FF5006">
        <w:rPr>
          <w:vanish/>
        </w:rPr>
        <w:t>724)</w:t>
      </w:r>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4"/>
        <w:gridCol w:w="3326"/>
      </w:tblGrid>
      <w:tr w:rsidR="00764EF1" w:rsidRPr="00887834" w14:paraId="07138B2A" w14:textId="77777777">
        <w:trPr>
          <w:tblHeader/>
        </w:trPr>
        <w:tc>
          <w:tcPr>
            <w:tcW w:w="4428" w:type="dxa"/>
            <w:shd w:val="clear" w:color="auto" w:fill="B3B3B3"/>
          </w:tcPr>
          <w:p w14:paraId="06FDEA8D" w14:textId="77777777" w:rsidR="00764EF1" w:rsidRPr="00887834" w:rsidRDefault="00764EF1" w:rsidP="00722031">
            <w:pPr>
              <w:pStyle w:val="TableText"/>
              <w:rPr>
                <w:b/>
              </w:rPr>
            </w:pPr>
            <w:r w:rsidRPr="00887834">
              <w:rPr>
                <w:b/>
              </w:rPr>
              <w:t>Converted Transfusion Reaction</w:t>
            </w:r>
          </w:p>
        </w:tc>
        <w:tc>
          <w:tcPr>
            <w:tcW w:w="2772" w:type="dxa"/>
            <w:shd w:val="clear" w:color="auto" w:fill="B3B3B3"/>
          </w:tcPr>
          <w:p w14:paraId="561BE456" w14:textId="77777777" w:rsidR="00764EF1" w:rsidRPr="00887834" w:rsidRDefault="00764EF1" w:rsidP="00722031">
            <w:pPr>
              <w:pStyle w:val="TableText"/>
              <w:rPr>
                <w:b/>
              </w:rPr>
            </w:pPr>
            <w:r w:rsidRPr="00887834">
              <w:rPr>
                <w:b/>
              </w:rPr>
              <w:t>Default</w:t>
            </w:r>
          </w:p>
        </w:tc>
      </w:tr>
      <w:tr w:rsidR="00764EF1" w14:paraId="4EA9B8FE" w14:textId="77777777">
        <w:tc>
          <w:tcPr>
            <w:tcW w:w="4428" w:type="dxa"/>
          </w:tcPr>
          <w:p w14:paraId="13CE8E85" w14:textId="77777777" w:rsidR="00764EF1" w:rsidRDefault="00764EF1" w:rsidP="00722031">
            <w:pPr>
              <w:pStyle w:val="TableText"/>
            </w:pPr>
            <w:r>
              <w:t xml:space="preserve">Pre-Transfusion Specimen Checks, Hemolysis Checks OK? </w:t>
            </w:r>
          </w:p>
        </w:tc>
        <w:tc>
          <w:tcPr>
            <w:tcW w:w="2772" w:type="dxa"/>
          </w:tcPr>
          <w:p w14:paraId="763E49FF" w14:textId="77777777" w:rsidR="00764EF1" w:rsidRDefault="00764EF1" w:rsidP="00722031">
            <w:pPr>
              <w:pStyle w:val="TableText"/>
            </w:pPr>
            <w:r>
              <w:t>Yes</w:t>
            </w:r>
          </w:p>
        </w:tc>
      </w:tr>
      <w:tr w:rsidR="00764EF1" w14:paraId="516560FC" w14:textId="77777777">
        <w:tc>
          <w:tcPr>
            <w:tcW w:w="4428" w:type="dxa"/>
          </w:tcPr>
          <w:p w14:paraId="602ABDC4" w14:textId="77777777" w:rsidR="00764EF1" w:rsidRDefault="00764EF1" w:rsidP="00722031">
            <w:pPr>
              <w:pStyle w:val="TableText"/>
            </w:pPr>
            <w:r>
              <w:t xml:space="preserve">Post-Transfusion Specimen Checks, Hemolysis Checks OK? </w:t>
            </w:r>
          </w:p>
        </w:tc>
        <w:tc>
          <w:tcPr>
            <w:tcW w:w="2772" w:type="dxa"/>
          </w:tcPr>
          <w:p w14:paraId="62BEEBB5" w14:textId="77777777" w:rsidR="00764EF1" w:rsidRDefault="00764EF1" w:rsidP="00722031">
            <w:pPr>
              <w:pStyle w:val="TableText"/>
            </w:pPr>
            <w:r>
              <w:t>Yes</w:t>
            </w:r>
          </w:p>
        </w:tc>
      </w:tr>
      <w:tr w:rsidR="00764EF1" w14:paraId="3109CD48" w14:textId="77777777">
        <w:tc>
          <w:tcPr>
            <w:tcW w:w="4428" w:type="dxa"/>
          </w:tcPr>
          <w:p w14:paraId="39468268" w14:textId="77777777" w:rsidR="00764EF1" w:rsidRDefault="00D35B68" w:rsidP="00722031">
            <w:pPr>
              <w:pStyle w:val="TableText"/>
            </w:pPr>
            <w:r>
              <w:t>Symptom</w:t>
            </w:r>
            <w:r w:rsidR="00764EF1">
              <w:t>s</w:t>
            </w:r>
          </w:p>
        </w:tc>
        <w:tc>
          <w:tcPr>
            <w:tcW w:w="2772" w:type="dxa"/>
          </w:tcPr>
          <w:p w14:paraId="6105A7F8" w14:textId="77777777" w:rsidR="00764EF1" w:rsidRDefault="00764EF1" w:rsidP="00722031">
            <w:pPr>
              <w:pStyle w:val="TableText"/>
            </w:pPr>
            <w:r>
              <w:t>No symptoms identified.</w:t>
            </w:r>
          </w:p>
        </w:tc>
      </w:tr>
      <w:tr w:rsidR="00764EF1" w14:paraId="76C04063" w14:textId="77777777">
        <w:tc>
          <w:tcPr>
            <w:tcW w:w="4428" w:type="dxa"/>
          </w:tcPr>
          <w:p w14:paraId="6015041E" w14:textId="77777777" w:rsidR="00764EF1" w:rsidRDefault="00764EF1" w:rsidP="00722031">
            <w:pPr>
              <w:pStyle w:val="TableText"/>
            </w:pPr>
            <w:r>
              <w:t>Implicated units</w:t>
            </w:r>
          </w:p>
        </w:tc>
        <w:tc>
          <w:tcPr>
            <w:tcW w:w="2772" w:type="dxa"/>
          </w:tcPr>
          <w:p w14:paraId="214BDF3F" w14:textId="77777777" w:rsidR="00764EF1" w:rsidRDefault="00764EF1" w:rsidP="00722031">
            <w:pPr>
              <w:pStyle w:val="TableText"/>
            </w:pPr>
            <w:r>
              <w:t>No units implicated in reaction.</w:t>
            </w:r>
          </w:p>
        </w:tc>
      </w:tr>
      <w:tr w:rsidR="00764EF1" w14:paraId="61E64C24" w14:textId="77777777">
        <w:tc>
          <w:tcPr>
            <w:tcW w:w="4428" w:type="dxa"/>
          </w:tcPr>
          <w:p w14:paraId="48730143" w14:textId="77777777" w:rsidR="00764EF1" w:rsidRDefault="00764EF1" w:rsidP="00722031">
            <w:pPr>
              <w:pStyle w:val="TableText"/>
            </w:pPr>
            <w:r>
              <w:t>Serologic tests</w:t>
            </w:r>
          </w:p>
        </w:tc>
        <w:tc>
          <w:tcPr>
            <w:tcW w:w="2772" w:type="dxa"/>
          </w:tcPr>
          <w:p w14:paraId="7F04455F" w14:textId="77777777" w:rsidR="00764EF1" w:rsidRDefault="00764EF1" w:rsidP="00722031">
            <w:pPr>
              <w:pStyle w:val="TableText"/>
            </w:pPr>
            <w:r>
              <w:t>No serologic tests performed.</w:t>
            </w:r>
          </w:p>
        </w:tc>
      </w:tr>
    </w:tbl>
    <w:p w14:paraId="5B03DA04" w14:textId="77777777" w:rsidR="002A21AE" w:rsidRDefault="002A21AE">
      <w:pPr>
        <w:pStyle w:val="Heading4"/>
      </w:pPr>
      <w:r>
        <w:t xml:space="preserve">Additional Information </w:t>
      </w:r>
    </w:p>
    <w:p w14:paraId="3DCFBC98" w14:textId="77777777" w:rsidR="002A21AE" w:rsidRDefault="002A21AE">
      <w:pPr>
        <w:pStyle w:val="ListBullet"/>
      </w:pPr>
      <w:r>
        <w:t>The medical director’s signature is on the patient’s printed chart.</w:t>
      </w:r>
    </w:p>
    <w:p w14:paraId="6582F7B2" w14:textId="3AE10255" w:rsidR="002A21AE" w:rsidRDefault="002A21AE">
      <w:pPr>
        <w:pStyle w:val="ListBullet"/>
      </w:pPr>
      <w:r>
        <w:t>If a report needs to be replaced, the user may retrieve this report after it is complete. The final report is a printed document with the medical director’s signature.</w:t>
      </w:r>
    </w:p>
    <w:p w14:paraId="652351B1" w14:textId="3FD69A91" w:rsidR="000E5481" w:rsidRDefault="000E5481" w:rsidP="000E5481">
      <w:pPr>
        <w:pStyle w:val="ListBullet"/>
      </w:pPr>
      <w:r w:rsidRPr="000E5481">
        <w:t>Do not use the barcode scanner to enter a transfusion reaction specimen ID.</w:t>
      </w:r>
      <w:r w:rsidR="00DC3A9D">
        <w:t xml:space="preserve"> </w:t>
      </w:r>
      <w:r w:rsidR="00DC3A9D" w:rsidRPr="00DC3A9D">
        <w:rPr>
          <w:vanish/>
        </w:rPr>
        <w:t>Defect 210130</w:t>
      </w:r>
    </w:p>
    <w:p w14:paraId="52BBE7B4" w14:textId="1227321C" w:rsidR="000E5481" w:rsidRDefault="000E5481" w:rsidP="000E5481">
      <w:pPr>
        <w:pStyle w:val="ListBullet"/>
      </w:pPr>
      <w:r>
        <w:t>To avoid a system error, o</w:t>
      </w:r>
      <w:r w:rsidRPr="000E5481">
        <w:t xml:space="preserve">nce testing is entered, </w:t>
      </w:r>
      <w:r>
        <w:t xml:space="preserve">do not </w:t>
      </w:r>
      <w:r w:rsidRPr="000E5481">
        <w:t xml:space="preserve">uncheck the testing box </w:t>
      </w:r>
      <w:r w:rsidR="00DC3A9D">
        <w:t xml:space="preserve">and recheck it. </w:t>
      </w:r>
      <w:r w:rsidR="00DC3A9D" w:rsidRPr="00DC3A9D">
        <w:rPr>
          <w:vanish/>
        </w:rPr>
        <w:t>Defect 209736</w:t>
      </w:r>
    </w:p>
    <w:p w14:paraId="68BD934B" w14:textId="6CEC8903" w:rsidR="00392E5C" w:rsidRDefault="00EB421B" w:rsidP="000E5481">
      <w:pPr>
        <w:pStyle w:val="ListBullet"/>
      </w:pPr>
      <w:r>
        <w:t>Limit F</w:t>
      </w:r>
      <w:r w:rsidR="00392E5C">
        <w:t>inalize TRW comments to &lt;350 characters to allow saving and printing.</w:t>
      </w:r>
      <w:r w:rsidR="00DC3A9D">
        <w:t xml:space="preserve"> </w:t>
      </w:r>
      <w:r w:rsidR="00DC3A9D" w:rsidRPr="00DC3A9D">
        <w:rPr>
          <w:vanish/>
        </w:rPr>
        <w:t>Defect 209784</w:t>
      </w:r>
    </w:p>
    <w:p w14:paraId="49511DEB" w14:textId="19263987" w:rsidR="00DC3A9D" w:rsidRDefault="00DC3A9D" w:rsidP="000E5481">
      <w:pPr>
        <w:pStyle w:val="ListBullet"/>
      </w:pPr>
      <w:r>
        <w:t xml:space="preserve">A system error occurs if a user has a TRW open and then attempts to open a second instance of the same TRW. Restart the VBECS session and open one TRW to result and finalize. </w:t>
      </w:r>
      <w:r w:rsidRPr="00DC3A9D">
        <w:rPr>
          <w:vanish/>
        </w:rPr>
        <w:t>Defect 209747</w:t>
      </w:r>
    </w:p>
    <w:p w14:paraId="6C6557C1" w14:textId="0D60E993" w:rsidR="002A21AE" w:rsidRDefault="002A21AE">
      <w:pPr>
        <w:pStyle w:val="Heading4"/>
        <w:rPr>
          <w:b w:val="0"/>
        </w:rPr>
      </w:pPr>
      <w:r>
        <w:t>User Roles with Access to This Option</w:t>
      </w:r>
      <w:r>
        <w:rPr>
          <w:b w:val="0"/>
        </w:rPr>
        <w:t xml:space="preserve"> </w:t>
      </w:r>
    </w:p>
    <w:p w14:paraId="06E47D21" w14:textId="77777777" w:rsidR="00A13077" w:rsidRDefault="00A13077" w:rsidP="00A13077">
      <w:pPr>
        <w:pStyle w:val="Roles"/>
      </w:pPr>
      <w:r>
        <w:t>All users</w:t>
      </w:r>
    </w:p>
    <w:p w14:paraId="380BA8FF" w14:textId="77777777" w:rsidR="00F3651E" w:rsidRDefault="00F3651E">
      <w:pPr>
        <w:rPr>
          <w:rFonts w:ascii="Arial" w:hAnsi="Arial"/>
          <w:b/>
          <w:sz w:val="22"/>
        </w:rPr>
      </w:pPr>
      <w:r>
        <w:br w:type="page"/>
      </w:r>
    </w:p>
    <w:p w14:paraId="06A111C4" w14:textId="6A436F24" w:rsidR="002A21AE" w:rsidRDefault="002A21AE">
      <w:pPr>
        <w:pStyle w:val="Heading4"/>
      </w:pPr>
      <w:r>
        <w:lastRenderedPageBreak/>
        <w:t>Finalize Transfusion Reaction Workup Report</w:t>
      </w:r>
      <w:r>
        <w:fldChar w:fldCharType="begin"/>
      </w:r>
      <w:r>
        <w:instrText xml:space="preserve"> XE </w:instrText>
      </w:r>
      <w:r w:rsidR="00FA7E65">
        <w:instrText>“</w:instrText>
      </w:r>
      <w:r>
        <w:instrText>Finalize Transfusion Reaction Workup Report</w:instrText>
      </w:r>
      <w:r w:rsidR="00FA7E65">
        <w:instrText>”</w:instrText>
      </w:r>
      <w:r>
        <w:instrText xml:space="preserve"> </w:instrText>
      </w:r>
      <w:r>
        <w:fldChar w:fldCharType="end"/>
      </w:r>
    </w:p>
    <w:p w14:paraId="6C333736" w14:textId="77777777" w:rsidR="002A21AE" w:rsidRDefault="005C768D" w:rsidP="001C322D">
      <w:pPr>
        <w:pStyle w:val="Body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sidR="001C322D">
        <w:t xml:space="preserve">The Lead Technologist </w:t>
      </w:r>
      <w:r w:rsidR="002A21AE">
        <w:t>reviews the TRW details, identifies the type of reaction, and add</w:t>
      </w:r>
      <w:r w:rsidR="00B948D2">
        <w:t>s</w:t>
      </w:r>
      <w:r w:rsidR="002A21AE">
        <w:t xml:space="preserve"> comments, according to the medical director’s instructions. The user prints a copy for the medical director’s signature and </w:t>
      </w:r>
      <w:r w:rsidR="00B948D2">
        <w:t xml:space="preserve">the Lead Technologist </w:t>
      </w:r>
      <w:r w:rsidR="002A21AE">
        <w:t xml:space="preserve">finalizes the TRW, generating a preliminary report. The final printed report requires the signature of the medical director.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CAAE2F5" w14:textId="77777777">
        <w:trPr>
          <w:cantSplit/>
          <w:tblHeader/>
        </w:trPr>
        <w:tc>
          <w:tcPr>
            <w:tcW w:w="3240" w:type="dxa"/>
            <w:shd w:val="pct30" w:color="auto" w:fill="auto"/>
            <w:vAlign w:val="bottom"/>
          </w:tcPr>
          <w:p w14:paraId="03D9F680" w14:textId="77777777" w:rsidR="002A21AE" w:rsidRDefault="002A21AE">
            <w:pPr>
              <w:pStyle w:val="TableText"/>
              <w:rPr>
                <w:b/>
              </w:rPr>
            </w:pPr>
            <w:r>
              <w:rPr>
                <w:b/>
              </w:rPr>
              <w:t>User Action</w:t>
            </w:r>
          </w:p>
        </w:tc>
        <w:tc>
          <w:tcPr>
            <w:tcW w:w="6120" w:type="dxa"/>
            <w:shd w:val="pct30" w:color="auto" w:fill="auto"/>
            <w:vAlign w:val="bottom"/>
          </w:tcPr>
          <w:p w14:paraId="5BD244EB" w14:textId="77777777" w:rsidR="002A21AE" w:rsidRDefault="002A21AE">
            <w:pPr>
              <w:pStyle w:val="TableText"/>
              <w:rPr>
                <w:b/>
              </w:rPr>
            </w:pPr>
            <w:r>
              <w:rPr>
                <w:b/>
              </w:rPr>
              <w:t>VBECS</w:t>
            </w:r>
          </w:p>
        </w:tc>
      </w:tr>
      <w:tr w:rsidR="002A21AE" w14:paraId="2E4C2879" w14:textId="77777777">
        <w:tc>
          <w:tcPr>
            <w:tcW w:w="3240" w:type="dxa"/>
            <w:tcBorders>
              <w:top w:val="single" w:sz="4" w:space="0" w:color="auto"/>
              <w:left w:val="single" w:sz="4" w:space="0" w:color="auto"/>
              <w:bottom w:val="single" w:sz="4" w:space="0" w:color="auto"/>
              <w:right w:val="single" w:sz="4" w:space="0" w:color="auto"/>
            </w:tcBorders>
          </w:tcPr>
          <w:p w14:paraId="32D1A6F3" w14:textId="77777777" w:rsidR="002A21AE" w:rsidRDefault="002A21AE">
            <w:pPr>
              <w:pStyle w:val="TableTextNumbers"/>
            </w:pPr>
            <w:r>
              <w:t xml:space="preserve">Select </w:t>
            </w:r>
            <w:r>
              <w:rPr>
                <w:b/>
              </w:rPr>
              <w:t>Reports</w:t>
            </w:r>
            <w:r>
              <w:t xml:space="preserve"> from the main menu.</w:t>
            </w:r>
          </w:p>
          <w:p w14:paraId="2FFE78DE" w14:textId="77777777" w:rsidR="002A21AE" w:rsidRDefault="002A21AE">
            <w:pPr>
              <w:pStyle w:val="TableTextNumbersContinued"/>
            </w:pPr>
          </w:p>
          <w:p w14:paraId="506FA627" w14:textId="77777777" w:rsidR="002A21AE" w:rsidRDefault="002A21AE">
            <w:pPr>
              <w:pStyle w:val="TableTextNumbersContinued"/>
            </w:pPr>
            <w:r>
              <w:t xml:space="preserve">Select </w:t>
            </w:r>
            <w:r>
              <w:rPr>
                <w:b/>
              </w:rPr>
              <w:t>Finalize/Print TRW</w:t>
            </w:r>
            <w:r>
              <w:t>.</w:t>
            </w:r>
          </w:p>
          <w:p w14:paraId="66460746" w14:textId="77777777" w:rsidR="002A21AE" w:rsidRDefault="002A21AE">
            <w:pPr>
              <w:pStyle w:val="TableTextNumbersContinued"/>
            </w:pPr>
          </w:p>
          <w:p w14:paraId="2791F1DB" w14:textId="08675648" w:rsidR="00741357" w:rsidRDefault="00741357">
            <w:pPr>
              <w:pStyle w:val="TableTextNumbersContinued"/>
            </w:pPr>
            <w:r>
              <w:t xml:space="preserve">Click the </w:t>
            </w:r>
            <w:r w:rsidRPr="00741357">
              <w:rPr>
                <w:b/>
              </w:rPr>
              <w:t xml:space="preserve">Include Non-Finalized TRW Reports </w:t>
            </w:r>
            <w:r w:rsidRPr="00D1100E">
              <w:t>check box</w:t>
            </w:r>
            <w:r w:rsidR="00F40F83" w:rsidRPr="00F40F83">
              <w:t xml:space="preserve"> (</w:t>
            </w:r>
            <w:r w:rsidR="00373926">
              <w:fldChar w:fldCharType="begin" w:fldLock="1"/>
            </w:r>
            <w:r w:rsidR="00373926">
              <w:instrText xml:space="preserve"> REF _Ref127777058 \h </w:instrText>
            </w:r>
            <w:r w:rsidR="00373926">
              <w:fldChar w:fldCharType="separate"/>
            </w:r>
            <w:r w:rsidR="00AB304C">
              <w:t xml:space="preserve">Figure </w:t>
            </w:r>
            <w:r w:rsidR="00AB304C">
              <w:rPr>
                <w:noProof/>
              </w:rPr>
              <w:t>137</w:t>
            </w:r>
            <w:r w:rsidR="00373926">
              <w:fldChar w:fldCharType="end"/>
            </w:r>
            <w:r w:rsidR="00F40F83" w:rsidRPr="00F40F83">
              <w:t>)</w:t>
            </w:r>
            <w:r>
              <w:t>.</w:t>
            </w:r>
          </w:p>
          <w:p w14:paraId="24F827D7" w14:textId="77777777" w:rsidR="00741357" w:rsidRDefault="00741357">
            <w:pPr>
              <w:pStyle w:val="TableTextNumbersContinued"/>
            </w:pPr>
          </w:p>
          <w:p w14:paraId="5F1D2F4E" w14:textId="77777777" w:rsidR="002A21AE" w:rsidRDefault="002A21AE">
            <w:pPr>
              <w:pStyle w:val="TableTextNumbersContinued"/>
            </w:pPr>
            <w:r>
              <w:t>Select a completed TRW</w:t>
            </w:r>
            <w:r w:rsidR="00741357">
              <w:t xml:space="preserve"> to finalize</w:t>
            </w:r>
            <w:r>
              <w:t>.</w:t>
            </w:r>
          </w:p>
          <w:p w14:paraId="7DACB91F" w14:textId="77777777" w:rsidR="00373926" w:rsidRDefault="00373926">
            <w:pPr>
              <w:pStyle w:val="TableTextNumbersContinued"/>
            </w:pPr>
          </w:p>
          <w:p w14:paraId="6646C8C7" w14:textId="77777777" w:rsidR="00373926" w:rsidRDefault="00373926">
            <w:pPr>
              <w:pStyle w:val="TableTextNumbersContinued"/>
            </w:pPr>
            <w:r>
              <w:t xml:space="preserve">Click </w:t>
            </w:r>
            <w:r w:rsidRPr="00373926">
              <w:rPr>
                <w:b/>
              </w:rPr>
              <w:t>OK</w:t>
            </w:r>
            <w:r>
              <w:t>.</w:t>
            </w:r>
          </w:p>
        </w:tc>
        <w:tc>
          <w:tcPr>
            <w:tcW w:w="6120" w:type="dxa"/>
            <w:tcBorders>
              <w:top w:val="single" w:sz="4" w:space="0" w:color="auto"/>
              <w:left w:val="single" w:sz="4" w:space="0" w:color="auto"/>
              <w:bottom w:val="single" w:sz="4" w:space="0" w:color="auto"/>
              <w:right w:val="single" w:sz="4" w:space="0" w:color="auto"/>
            </w:tcBorders>
          </w:tcPr>
          <w:p w14:paraId="44917780" w14:textId="77777777" w:rsidR="002A21AE" w:rsidRDefault="002A21AE">
            <w:pPr>
              <w:pStyle w:val="TableTextBullet"/>
            </w:pPr>
            <w:r>
              <w:t>Lists report names.</w:t>
            </w:r>
          </w:p>
          <w:p w14:paraId="1BA230FC" w14:textId="77777777" w:rsidR="00741357" w:rsidRDefault="00741357">
            <w:pPr>
              <w:pStyle w:val="TableTextBullet"/>
            </w:pPr>
            <w:r>
              <w:t>Lists the completed TRWs for selection.</w:t>
            </w:r>
          </w:p>
          <w:p w14:paraId="383DF1F7" w14:textId="77777777" w:rsidR="002A21AE" w:rsidRDefault="002A21AE" w:rsidP="00741357">
            <w:pPr>
              <w:pStyle w:val="TableText"/>
            </w:pPr>
            <w:r>
              <w:t xml:space="preserve"> </w:t>
            </w:r>
          </w:p>
          <w:p w14:paraId="3B784FF8" w14:textId="77777777" w:rsidR="002A21AE" w:rsidRDefault="00057948">
            <w:pPr>
              <w:pStyle w:val="TableText"/>
              <w:rPr>
                <w:b/>
                <w:bCs/>
                <w:szCs w:val="18"/>
              </w:rPr>
            </w:pPr>
            <w:r>
              <w:rPr>
                <w:b/>
                <w:bCs/>
                <w:noProof/>
              </w:rPr>
              <mc:AlternateContent>
                <mc:Choice Requires="wps">
                  <w:drawing>
                    <wp:anchor distT="0" distB="0" distL="114300" distR="114300" simplePos="0" relativeHeight="251749888" behindDoc="0" locked="0" layoutInCell="1" allowOverlap="1" wp14:anchorId="67908870" wp14:editId="5F9E1FC3">
                      <wp:simplePos x="0" y="0"/>
                      <wp:positionH relativeFrom="column">
                        <wp:posOffset>457200</wp:posOffset>
                      </wp:positionH>
                      <wp:positionV relativeFrom="paragraph">
                        <wp:posOffset>65405</wp:posOffset>
                      </wp:positionV>
                      <wp:extent cx="3200400" cy="0"/>
                      <wp:effectExtent l="9525" t="17780" r="9525" b="10795"/>
                      <wp:wrapNone/>
                      <wp:docPr id="334" name="Line 954" descr="P8790C4T9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766E9" id="Line 954" o:spid="_x0000_s1026" alt="&quot;&quot;" style="position:absolute;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agXNu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11A0C2A0" w14:textId="77777777" w:rsidR="002A21AE" w:rsidRDefault="002A21AE">
            <w:pPr>
              <w:pStyle w:val="NotesText"/>
            </w:pPr>
          </w:p>
          <w:p w14:paraId="5F572C52" w14:textId="77777777" w:rsidR="002A21AE" w:rsidRDefault="0080656D">
            <w:pPr>
              <w:pStyle w:val="NotesText"/>
            </w:pPr>
            <w:r>
              <w:rPr>
                <w:rFonts w:cs="Arial"/>
                <w:vanish/>
              </w:rPr>
              <w:t xml:space="preserve">BR_78.04 </w:t>
            </w:r>
            <w:r w:rsidR="004C00DF">
              <w:t>When the user enters and saves the portion recorded in Patient Testing: Record a Transfusion Reaction Workup, the TRW status is “completed.” When the Transfusion Reaction Workup Report is complete, the TRW status is “finalized.”</w:t>
            </w:r>
          </w:p>
        </w:tc>
      </w:tr>
      <w:tr w:rsidR="002A21AE" w14:paraId="60A60FC1" w14:textId="77777777">
        <w:tc>
          <w:tcPr>
            <w:tcW w:w="3240" w:type="dxa"/>
            <w:tcBorders>
              <w:top w:val="single" w:sz="4" w:space="0" w:color="auto"/>
              <w:left w:val="single" w:sz="4" w:space="0" w:color="auto"/>
              <w:bottom w:val="single" w:sz="4" w:space="0" w:color="auto"/>
              <w:right w:val="single" w:sz="4" w:space="0" w:color="auto"/>
            </w:tcBorders>
          </w:tcPr>
          <w:p w14:paraId="3AB965E6" w14:textId="77777777" w:rsidR="002A21AE" w:rsidRDefault="00F74A56">
            <w:pPr>
              <w:pStyle w:val="TableTextNumbers"/>
            </w:pPr>
            <w:r>
              <w:t xml:space="preserve">Click the </w:t>
            </w:r>
            <w:r w:rsidRPr="00F74A56">
              <w:rPr>
                <w:b/>
              </w:rPr>
              <w:t xml:space="preserve">Finalize Transfusion Reaction Workup Report </w:t>
            </w:r>
            <w:r w:rsidRPr="00D1100E">
              <w:t>check box</w:t>
            </w:r>
            <w:r w:rsidR="002A21AE">
              <w:t>.</w:t>
            </w:r>
          </w:p>
        </w:tc>
        <w:tc>
          <w:tcPr>
            <w:tcW w:w="6120" w:type="dxa"/>
            <w:tcBorders>
              <w:top w:val="single" w:sz="4" w:space="0" w:color="auto"/>
              <w:left w:val="single" w:sz="4" w:space="0" w:color="auto"/>
              <w:bottom w:val="single" w:sz="4" w:space="0" w:color="auto"/>
              <w:right w:val="single" w:sz="4" w:space="0" w:color="auto"/>
            </w:tcBorders>
          </w:tcPr>
          <w:p w14:paraId="75870E61" w14:textId="77777777" w:rsidR="002A21AE" w:rsidRDefault="002A21AE">
            <w:pPr>
              <w:pStyle w:val="TableTextBullet"/>
            </w:pPr>
            <w:r>
              <w:t>Prepares the completed report for review.</w:t>
            </w:r>
          </w:p>
          <w:p w14:paraId="593F99AB" w14:textId="77777777" w:rsidR="00F26AD6" w:rsidRDefault="00F74A56" w:rsidP="00F26AD6">
            <w:pPr>
              <w:pStyle w:val="TableTextBullet"/>
            </w:pPr>
            <w:r>
              <w:t xml:space="preserve">Displays the name of the blood bank medical director to sign the final report. </w:t>
            </w:r>
          </w:p>
          <w:p w14:paraId="77F72DD4" w14:textId="77777777" w:rsidR="002A21AE" w:rsidRDefault="00F26AD6" w:rsidP="00247208">
            <w:pPr>
              <w:pStyle w:val="TableTextBullet"/>
            </w:pPr>
            <w:r>
              <w:rPr>
                <w:rFonts w:cs="Arial"/>
                <w:vanish/>
              </w:rPr>
              <w:t xml:space="preserve">BR_78.03 </w:t>
            </w:r>
            <w:r>
              <w:t>VBECS recreates the final report for viewing or printing in the future.</w:t>
            </w:r>
          </w:p>
        </w:tc>
      </w:tr>
      <w:tr w:rsidR="002A21AE" w14:paraId="62B65692" w14:textId="77777777">
        <w:tc>
          <w:tcPr>
            <w:tcW w:w="3240" w:type="dxa"/>
            <w:tcBorders>
              <w:top w:val="single" w:sz="4" w:space="0" w:color="auto"/>
              <w:left w:val="single" w:sz="4" w:space="0" w:color="auto"/>
              <w:bottom w:val="single" w:sz="4" w:space="0" w:color="auto"/>
              <w:right w:val="single" w:sz="4" w:space="0" w:color="auto"/>
            </w:tcBorders>
          </w:tcPr>
          <w:p w14:paraId="5DB75520" w14:textId="1BB6980F" w:rsidR="002A21AE" w:rsidRDefault="00DC6C19">
            <w:pPr>
              <w:pStyle w:val="TableTextNumbers"/>
            </w:pPr>
            <w:r>
              <w:t>Select the Transfusion Reaction Type and complete the Transfusion Reaction Comments required fields</w:t>
            </w:r>
            <w:r w:rsidR="00F40F83">
              <w:t xml:space="preserve"> (</w:t>
            </w:r>
            <w:r w:rsidR="00373926">
              <w:fldChar w:fldCharType="begin" w:fldLock="1"/>
            </w:r>
            <w:r w:rsidR="00373926">
              <w:instrText xml:space="preserve"> REF _Ref127777300 \h </w:instrText>
            </w:r>
            <w:r w:rsidR="00373926">
              <w:fldChar w:fldCharType="separate"/>
            </w:r>
            <w:r w:rsidR="00AB304C">
              <w:t xml:space="preserve">Figure </w:t>
            </w:r>
            <w:r w:rsidR="00AB304C">
              <w:rPr>
                <w:noProof/>
              </w:rPr>
              <w:t>138</w:t>
            </w:r>
            <w:r w:rsidR="00373926">
              <w:fldChar w:fldCharType="end"/>
            </w:r>
            <w:r w:rsidR="00F40F83">
              <w:t>)</w:t>
            </w:r>
            <w:r>
              <w:t>.</w:t>
            </w:r>
          </w:p>
        </w:tc>
        <w:tc>
          <w:tcPr>
            <w:tcW w:w="6120" w:type="dxa"/>
            <w:tcBorders>
              <w:top w:val="single" w:sz="4" w:space="0" w:color="auto"/>
              <w:left w:val="single" w:sz="4" w:space="0" w:color="auto"/>
              <w:bottom w:val="single" w:sz="4" w:space="0" w:color="auto"/>
              <w:right w:val="single" w:sz="4" w:space="0" w:color="auto"/>
            </w:tcBorders>
          </w:tcPr>
          <w:p w14:paraId="5D4989AF" w14:textId="77777777" w:rsidR="00741357" w:rsidRDefault="00741357" w:rsidP="00741357">
            <w:pPr>
              <w:pStyle w:val="TableTextBullet"/>
            </w:pPr>
            <w:r>
              <w:t xml:space="preserve">Displays the selected Transfusion Reaction Workup Report data. </w:t>
            </w:r>
          </w:p>
          <w:p w14:paraId="7D3ECC0B" w14:textId="77777777" w:rsidR="00AB304C" w:rsidRDefault="00741357">
            <w:pPr>
              <w:pStyle w:val="Caption"/>
            </w:pPr>
            <w:r>
              <w:t xml:space="preserve">Requires the user to select a transfusion reaction type listed in </w:t>
            </w:r>
            <w:r w:rsidR="00AE2DC1">
              <w:fldChar w:fldCharType="begin" w:fldLock="1"/>
            </w:r>
            <w:r w:rsidR="00AE2DC1">
              <w:instrText xml:space="preserve"> REF _Ref126504463 \h </w:instrText>
            </w:r>
            <w:r w:rsidR="00AE2DC1">
              <w:fldChar w:fldCharType="separate"/>
            </w:r>
          </w:p>
          <w:p w14:paraId="6D26C03F" w14:textId="77777777" w:rsidR="00AB304C" w:rsidRDefault="00AB304C">
            <w:pPr>
              <w:rPr>
                <w:b/>
                <w:sz w:val="22"/>
                <w:szCs w:val="22"/>
              </w:rPr>
            </w:pPr>
            <w:r>
              <w:br w:type="page"/>
            </w:r>
          </w:p>
          <w:p w14:paraId="6933EF57" w14:textId="568BCCB4" w:rsidR="00741357" w:rsidRDefault="00AB304C" w:rsidP="00741357">
            <w:pPr>
              <w:pStyle w:val="TableTextBullet"/>
            </w:pPr>
            <w:r>
              <w:t xml:space="preserve">Table </w:t>
            </w:r>
            <w:r>
              <w:rPr>
                <w:noProof/>
              </w:rPr>
              <w:t>12</w:t>
            </w:r>
            <w:r>
              <w:t xml:space="preserve">: </w:t>
            </w:r>
            <w:r>
              <w:rPr>
                <w:vanish/>
              </w:rPr>
              <w:t xml:space="preserve">PT_78.01 </w:t>
            </w:r>
            <w:r>
              <w:t>Transfusion Reaction Types</w:t>
            </w:r>
            <w:r w:rsidR="00AE2DC1">
              <w:fldChar w:fldCharType="end"/>
            </w:r>
            <w:r w:rsidR="00741357">
              <w:t>.</w:t>
            </w:r>
          </w:p>
          <w:p w14:paraId="0871C49C" w14:textId="77777777" w:rsidR="00741357" w:rsidRDefault="00741357" w:rsidP="00741357">
            <w:pPr>
              <w:pStyle w:val="TableTextBullet"/>
            </w:pPr>
            <w:r>
              <w:t xml:space="preserve">Allows the user to enter </w:t>
            </w:r>
            <w:r w:rsidR="009C033B">
              <w:t xml:space="preserve">a TRW comment (maximum 1,000 characters). </w:t>
            </w:r>
            <w:r w:rsidR="009C033B" w:rsidRPr="009C033B">
              <w:rPr>
                <w:vanish/>
              </w:rPr>
              <w:t>DR 4788</w:t>
            </w:r>
          </w:p>
          <w:p w14:paraId="0F904CA6" w14:textId="77777777" w:rsidR="00F74A56" w:rsidRDefault="00F74A56" w:rsidP="00F74A56">
            <w:pPr>
              <w:pStyle w:val="TableTextBullet"/>
            </w:pPr>
            <w:r>
              <w:t>Allows the user to save the data entered.</w:t>
            </w:r>
          </w:p>
          <w:p w14:paraId="2DD923B8" w14:textId="77777777" w:rsidR="00E62B9E" w:rsidRDefault="00E62B9E" w:rsidP="00E62B9E">
            <w:pPr>
              <w:pStyle w:val="TableText"/>
            </w:pPr>
          </w:p>
          <w:p w14:paraId="7E3C1225" w14:textId="77777777" w:rsidR="00E62B9E" w:rsidRDefault="00057948" w:rsidP="00E62B9E">
            <w:pPr>
              <w:pStyle w:val="TableText"/>
              <w:rPr>
                <w:b/>
                <w:bCs/>
                <w:szCs w:val="18"/>
              </w:rPr>
            </w:pPr>
            <w:r>
              <w:rPr>
                <w:b/>
                <w:bCs/>
                <w:noProof/>
              </w:rPr>
              <mc:AlternateContent>
                <mc:Choice Requires="wps">
                  <w:drawing>
                    <wp:anchor distT="0" distB="0" distL="114300" distR="114300" simplePos="0" relativeHeight="251875840" behindDoc="0" locked="0" layoutInCell="1" allowOverlap="1" wp14:anchorId="5BA502BE" wp14:editId="50355B4C">
                      <wp:simplePos x="0" y="0"/>
                      <wp:positionH relativeFrom="column">
                        <wp:posOffset>457200</wp:posOffset>
                      </wp:positionH>
                      <wp:positionV relativeFrom="paragraph">
                        <wp:posOffset>65405</wp:posOffset>
                      </wp:positionV>
                      <wp:extent cx="3200400" cy="0"/>
                      <wp:effectExtent l="9525" t="17780" r="9525" b="10795"/>
                      <wp:wrapNone/>
                      <wp:docPr id="333" name="Line 1045" descr="P8807C8T9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64856" id="Line 1045" o:spid="_x0000_s1026" alt="&quot;&quot;" style="position:absolute;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EJw9rLEAQAAbwMAAA4AAAAAAAAAAAAAAAAA&#10;LgIAAGRycy9lMm9Eb2MueG1sUEsBAi0AFAAGAAgAAAAhABdPMBLbAAAACAEAAA8AAAAAAAAAAAAA&#10;AAAAHgQAAGRycy9kb3ducmV2LnhtbFBLBQYAAAAABAAEAPMAAAAmBQAAAAA=&#10;" strokeweight="1.5pt"/>
                  </w:pict>
                </mc:Fallback>
              </mc:AlternateContent>
            </w:r>
            <w:r w:rsidR="00E62B9E">
              <w:rPr>
                <w:b/>
                <w:bCs/>
                <w:szCs w:val="18"/>
              </w:rPr>
              <w:t>NOTES</w:t>
            </w:r>
          </w:p>
          <w:p w14:paraId="61912082" w14:textId="77777777" w:rsidR="00E62B9E" w:rsidRDefault="00E62B9E" w:rsidP="00E62B9E">
            <w:pPr>
              <w:pStyle w:val="NotesText"/>
            </w:pPr>
          </w:p>
          <w:p w14:paraId="1798F9DD" w14:textId="77777777" w:rsidR="00741357" w:rsidRDefault="00E62B9E" w:rsidP="00E62B9E">
            <w:pPr>
              <w:pStyle w:val="NotesText"/>
            </w:pPr>
            <w:r>
              <w:rPr>
                <w:rFonts w:cs="Arial"/>
                <w:vanish/>
              </w:rPr>
              <w:t xml:space="preserve">BR_78.02 </w:t>
            </w:r>
            <w:r>
              <w:t>The user must indicate one transfusion reaction type. Entry of a comment is optional for all types except O (other), which requires details to be entered.</w:t>
            </w:r>
          </w:p>
        </w:tc>
      </w:tr>
      <w:tr w:rsidR="002A21AE" w14:paraId="19BE3468" w14:textId="77777777">
        <w:tc>
          <w:tcPr>
            <w:tcW w:w="3240" w:type="dxa"/>
            <w:tcBorders>
              <w:top w:val="single" w:sz="4" w:space="0" w:color="auto"/>
              <w:left w:val="single" w:sz="4" w:space="0" w:color="auto"/>
              <w:bottom w:val="single" w:sz="4" w:space="0" w:color="auto"/>
              <w:right w:val="single" w:sz="4" w:space="0" w:color="auto"/>
            </w:tcBorders>
          </w:tcPr>
          <w:p w14:paraId="0823FD3A" w14:textId="77777777" w:rsidR="002A21AE" w:rsidRDefault="0080656D">
            <w:pPr>
              <w:pStyle w:val="TableTextNumbers"/>
            </w:pPr>
            <w:r>
              <w:t xml:space="preserve">Click </w:t>
            </w:r>
            <w:r w:rsidRPr="0080656D">
              <w:rPr>
                <w:b/>
              </w:rPr>
              <w:t>OK</w:t>
            </w:r>
            <w:r>
              <w:t xml:space="preserve"> and </w:t>
            </w:r>
            <w:r w:rsidRPr="0080656D">
              <w:rPr>
                <w:b/>
              </w:rPr>
              <w:t>Yes</w:t>
            </w:r>
            <w:r>
              <w:t xml:space="preserve"> to save.</w:t>
            </w:r>
          </w:p>
        </w:tc>
        <w:tc>
          <w:tcPr>
            <w:tcW w:w="6120" w:type="dxa"/>
            <w:tcBorders>
              <w:top w:val="single" w:sz="4" w:space="0" w:color="auto"/>
              <w:left w:val="single" w:sz="4" w:space="0" w:color="auto"/>
              <w:bottom w:val="single" w:sz="4" w:space="0" w:color="auto"/>
              <w:right w:val="single" w:sz="4" w:space="0" w:color="auto"/>
            </w:tcBorders>
          </w:tcPr>
          <w:p w14:paraId="67B659E8" w14:textId="77777777" w:rsidR="0080656D" w:rsidRDefault="00DC6C19" w:rsidP="00A902A8">
            <w:pPr>
              <w:pStyle w:val="TableTextBullet"/>
            </w:pPr>
            <w:r>
              <w:t>Updates the transfusion reaction to “finalized” in the database and prints a report for the medical director’s signature.</w:t>
            </w:r>
          </w:p>
          <w:p w14:paraId="59A41031" w14:textId="77777777" w:rsidR="00840DB0" w:rsidRDefault="00840DB0" w:rsidP="00840DB0">
            <w:pPr>
              <w:pStyle w:val="TableTextBullet"/>
              <w:numPr>
                <w:ilvl w:val="0"/>
                <w:numId w:val="0"/>
              </w:numPr>
            </w:pPr>
          </w:p>
          <w:p w14:paraId="060E0BC2" w14:textId="77777777" w:rsidR="00840DB0" w:rsidRDefault="00057948" w:rsidP="00840DB0">
            <w:pPr>
              <w:pStyle w:val="TableText"/>
              <w:rPr>
                <w:b/>
                <w:bCs/>
                <w:szCs w:val="18"/>
              </w:rPr>
            </w:pPr>
            <w:r>
              <w:rPr>
                <w:b/>
                <w:bCs/>
                <w:noProof/>
              </w:rPr>
              <mc:AlternateContent>
                <mc:Choice Requires="wps">
                  <w:drawing>
                    <wp:anchor distT="0" distB="0" distL="114300" distR="114300" simplePos="0" relativeHeight="252003840" behindDoc="0" locked="0" layoutInCell="1" allowOverlap="1" wp14:anchorId="63116D2D" wp14:editId="29FC5C2F">
                      <wp:simplePos x="0" y="0"/>
                      <wp:positionH relativeFrom="column">
                        <wp:posOffset>457200</wp:posOffset>
                      </wp:positionH>
                      <wp:positionV relativeFrom="paragraph">
                        <wp:posOffset>65405</wp:posOffset>
                      </wp:positionV>
                      <wp:extent cx="3200400" cy="0"/>
                      <wp:effectExtent l="9525" t="17780" r="9525" b="10795"/>
                      <wp:wrapNone/>
                      <wp:docPr id="332" name="Line 1198" descr="P8814C10T9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B7C2A" id="Line 1198" o:spid="_x0000_s1026" alt="&quot;&quot;" style="position:absolute;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DWRwMXEAQAAbwMAAA4AAAAAAAAAAAAAAAAA&#10;LgIAAGRycy9lMm9Eb2MueG1sUEsBAi0AFAAGAAgAAAAhABdPMBLbAAAACAEAAA8AAAAAAAAAAAAA&#10;AAAAHgQAAGRycy9kb3ducmV2LnhtbFBLBQYAAAAABAAEAPMAAAAmBQAAAAA=&#10;" strokeweight="1.5pt"/>
                  </w:pict>
                </mc:Fallback>
              </mc:AlternateContent>
            </w:r>
            <w:r w:rsidR="00840DB0">
              <w:rPr>
                <w:b/>
                <w:bCs/>
                <w:szCs w:val="18"/>
              </w:rPr>
              <w:t>NOTES</w:t>
            </w:r>
          </w:p>
          <w:p w14:paraId="63E5D0CA" w14:textId="77777777" w:rsidR="00D702AF" w:rsidRDefault="00D702AF" w:rsidP="00D702AF">
            <w:pPr>
              <w:pStyle w:val="NotesText"/>
            </w:pPr>
            <w:r w:rsidRPr="00F91233">
              <w:rPr>
                <w:vanish/>
              </w:rPr>
              <w:t xml:space="preserve">BR_78.06 </w:t>
            </w:r>
            <w:r>
              <w:t>VBECS notifies the user when DSS updates cannot be sent because VistALink is not active.</w:t>
            </w:r>
          </w:p>
          <w:p w14:paraId="0287C1E2" w14:textId="77777777" w:rsidR="00D702AF" w:rsidRDefault="00D702AF" w:rsidP="00D702AF">
            <w:pPr>
              <w:pStyle w:val="NotesText"/>
            </w:pPr>
          </w:p>
          <w:p w14:paraId="2D25AF2E" w14:textId="77777777" w:rsidR="00840DB0" w:rsidRDefault="00D702AF" w:rsidP="00D702AF">
            <w:pPr>
              <w:pStyle w:val="NotesText"/>
            </w:pPr>
            <w:r w:rsidRPr="00CE602E">
              <w:rPr>
                <w:vanish/>
              </w:rPr>
              <w:t xml:space="preserve">BR_102.09 </w:t>
            </w:r>
            <w:r>
              <w:t xml:space="preserve">VBECS will attempt to resend the DSS information when </w:t>
            </w:r>
            <w:r w:rsidR="00A2613A">
              <w:t>VistALink</w:t>
            </w:r>
            <w:r>
              <w:t xml:space="preserve"> is available after any user logs into the VBECS application’s </w:t>
            </w:r>
            <w:r w:rsidR="00A2613A">
              <w:t>VistALink</w:t>
            </w:r>
            <w:r>
              <w:t xml:space="preserve"> connection.</w:t>
            </w:r>
          </w:p>
        </w:tc>
      </w:tr>
      <w:tr w:rsidR="0080656D" w14:paraId="154D18EA" w14:textId="77777777">
        <w:tc>
          <w:tcPr>
            <w:tcW w:w="3240" w:type="dxa"/>
          </w:tcPr>
          <w:p w14:paraId="30ED4935" w14:textId="77777777" w:rsidR="0080656D" w:rsidRDefault="0080656D">
            <w:pPr>
              <w:pStyle w:val="TableTextNumbers"/>
            </w:pPr>
            <w:r>
              <w:t xml:space="preserve">Select </w:t>
            </w:r>
            <w:r w:rsidRPr="0080656D">
              <w:rPr>
                <w:b/>
              </w:rPr>
              <w:t>Schedule Print</w:t>
            </w:r>
            <w:r>
              <w:t xml:space="preserve"> or </w:t>
            </w:r>
            <w:r w:rsidRPr="0080656D">
              <w:rPr>
                <w:b/>
              </w:rPr>
              <w:t>Print Now</w:t>
            </w:r>
            <w:r>
              <w:t xml:space="preserve"> and follow the instructions to print.</w:t>
            </w:r>
          </w:p>
        </w:tc>
        <w:tc>
          <w:tcPr>
            <w:tcW w:w="6120" w:type="dxa"/>
          </w:tcPr>
          <w:p w14:paraId="1A1E3E6A" w14:textId="77777777" w:rsidR="0080656D" w:rsidRDefault="00A902A8" w:rsidP="00A902A8">
            <w:pPr>
              <w:pStyle w:val="TableTextBullet"/>
            </w:pPr>
            <w:r>
              <w:t>Prints the report on the selected printer.</w:t>
            </w:r>
          </w:p>
        </w:tc>
      </w:tr>
      <w:tr w:rsidR="002A21AE" w14:paraId="5806CF35" w14:textId="77777777">
        <w:tc>
          <w:tcPr>
            <w:tcW w:w="3240" w:type="dxa"/>
          </w:tcPr>
          <w:p w14:paraId="49C18985" w14:textId="77777777" w:rsidR="002A21AE" w:rsidRDefault="0080656D">
            <w:pPr>
              <w:pStyle w:val="TableTextNumbers"/>
            </w:pPr>
            <w:r>
              <w:t xml:space="preserve">Click </w:t>
            </w:r>
            <w:r w:rsidRPr="0080656D">
              <w:rPr>
                <w:b/>
              </w:rPr>
              <w:t>Close</w:t>
            </w:r>
            <w:r>
              <w:t xml:space="preserve"> to e</w:t>
            </w:r>
            <w:r w:rsidR="002A21AE">
              <w:t>xit.</w:t>
            </w:r>
            <w:r w:rsidR="002A21AE">
              <w:rPr>
                <w:vanish/>
                <w:szCs w:val="18"/>
              </w:rPr>
              <w:fldChar w:fldCharType="begin"/>
            </w:r>
            <w:r w:rsidR="002A21AE">
              <w:rPr>
                <w:vanish/>
                <w:szCs w:val="18"/>
              </w:rPr>
              <w:instrText xml:space="preserve"> LISTNUM \l 1 \s 0 </w:instrText>
            </w:r>
            <w:r w:rsidR="002A21AE">
              <w:rPr>
                <w:vanish/>
                <w:szCs w:val="18"/>
              </w:rPr>
              <w:fldChar w:fldCharType="end"/>
            </w:r>
          </w:p>
        </w:tc>
        <w:tc>
          <w:tcPr>
            <w:tcW w:w="6120" w:type="dxa"/>
          </w:tcPr>
          <w:p w14:paraId="20C59C38" w14:textId="77777777" w:rsidR="002A21AE" w:rsidRDefault="002A21AE">
            <w:pPr>
              <w:pStyle w:val="NotesText"/>
              <w:ind w:left="0"/>
            </w:pPr>
          </w:p>
        </w:tc>
      </w:tr>
    </w:tbl>
    <w:p w14:paraId="18480D4E" w14:textId="502234A2" w:rsidR="00772DD7" w:rsidRDefault="00772DD7" w:rsidP="00772DD7">
      <w:pPr>
        <w:pStyle w:val="Caption"/>
      </w:pPr>
      <w:bookmarkStart w:id="521" w:name="_Ref127777058"/>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137</w:t>
      </w:r>
      <w:r w:rsidR="004E20BD">
        <w:rPr>
          <w:noProof/>
        </w:rPr>
        <w:fldChar w:fldCharType="end"/>
      </w:r>
      <w:bookmarkEnd w:id="521"/>
      <w:r>
        <w:t>:</w:t>
      </w:r>
      <w:r w:rsidR="00373926">
        <w:t xml:space="preserve"> Select Transfusion Reaction Workup</w:t>
      </w:r>
    </w:p>
    <w:p w14:paraId="1F333624" w14:textId="77777777" w:rsidR="00772DD7" w:rsidRPr="00772DD7" w:rsidRDefault="00057948" w:rsidP="00772DD7">
      <w:pPr>
        <w:pStyle w:val="BodyText"/>
      </w:pPr>
      <w:r>
        <w:rPr>
          <w:noProof/>
        </w:rPr>
        <w:drawing>
          <wp:inline distT="0" distB="0" distL="0" distR="0" wp14:anchorId="5556B42D" wp14:editId="51694E4A">
            <wp:extent cx="4119245" cy="2540000"/>
            <wp:effectExtent l="0" t="0" r="0" b="0"/>
            <wp:docPr id="250" name="Picture 250" descr="P8826#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P8826#yIS1">
                      <a:extLst>
                        <a:ext uri="{C183D7F6-B498-43B3-948B-1728B52AA6E4}">
                          <adec:decorative xmlns:adec="http://schemas.microsoft.com/office/drawing/2017/decorative" val="1"/>
                        </a:ext>
                      </a:extLst>
                    </pic:cNvP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119245" cy="2540000"/>
                    </a:xfrm>
                    <a:prstGeom prst="rect">
                      <a:avLst/>
                    </a:prstGeom>
                    <a:noFill/>
                    <a:ln>
                      <a:noFill/>
                    </a:ln>
                  </pic:spPr>
                </pic:pic>
              </a:graphicData>
            </a:graphic>
          </wp:inline>
        </w:drawing>
      </w:r>
    </w:p>
    <w:p w14:paraId="0AB0BD87" w14:textId="025D46DC" w:rsidR="00772DD7" w:rsidRDefault="00772DD7" w:rsidP="00772DD7">
      <w:pPr>
        <w:pStyle w:val="Caption"/>
      </w:pPr>
      <w:bookmarkStart w:id="522" w:name="_Ref127777300"/>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138</w:t>
      </w:r>
      <w:r w:rsidR="004E20BD">
        <w:rPr>
          <w:noProof/>
        </w:rPr>
        <w:fldChar w:fldCharType="end"/>
      </w:r>
      <w:bookmarkEnd w:id="522"/>
      <w:r>
        <w:t>:</w:t>
      </w:r>
      <w:r w:rsidR="00373926">
        <w:t xml:space="preserve"> Finalize TRW Report </w:t>
      </w:r>
      <w:r w:rsidR="002D59D6" w:rsidRPr="002D59D6">
        <w:rPr>
          <w:vanish/>
        </w:rPr>
        <w:t>DR 5107</w:t>
      </w:r>
    </w:p>
    <w:p w14:paraId="39638B3B" w14:textId="575B2A25" w:rsidR="00772DD7" w:rsidRPr="00772DD7" w:rsidRDefault="00863F6D" w:rsidP="00772DD7">
      <w:pPr>
        <w:pStyle w:val="BodyText"/>
      </w:pPr>
      <w:r>
        <w:rPr>
          <w:rFonts w:ascii="Arial" w:hAnsi="Arial" w:cs="Arial"/>
          <w:vanish/>
          <w:sz w:val="18"/>
          <w:szCs w:val="18"/>
        </w:rPr>
        <w:t>Appendix D: Revised to add new Limitations and Restrictions that were added throughout the document.Appendix D: Revised to add new Limitations and Restrictions that were added throughout the document.</w:t>
      </w:r>
      <w:r w:rsidR="006E065C">
        <w:rPr>
          <w:noProof/>
        </w:rPr>
        <w:drawing>
          <wp:inline distT="0" distB="0" distL="0" distR="0" wp14:anchorId="7A64D5C9" wp14:editId="096A8ACA">
            <wp:extent cx="5135245" cy="3685540"/>
            <wp:effectExtent l="0" t="0" r="8255" b="0"/>
            <wp:docPr id="1185" name="Picture 1" descr="P88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Picture 1" descr="P8828#yIS1"/>
                    <pic:cNvPicPr>
                      <a:picLocks noChangeAspect="1" noChangeArrowheads="1"/>
                    </pic:cNvPicPr>
                  </pic:nvPicPr>
                  <pic:blipFill>
                    <a:blip r:embed="rId228" r:link="rId229">
                      <a:extLst>
                        <a:ext uri="{28A0092B-C50C-407E-A947-70E740481C1C}">
                          <a14:useLocalDpi xmlns:a14="http://schemas.microsoft.com/office/drawing/2010/main" val="0"/>
                        </a:ext>
                      </a:extLst>
                    </a:blip>
                    <a:srcRect/>
                    <a:stretch>
                      <a:fillRect/>
                    </a:stretch>
                  </pic:blipFill>
                  <pic:spPr bwMode="auto">
                    <a:xfrm>
                      <a:off x="0" y="0"/>
                      <a:ext cx="5135245" cy="3685540"/>
                    </a:xfrm>
                    <a:prstGeom prst="rect">
                      <a:avLst/>
                    </a:prstGeom>
                    <a:noFill/>
                    <a:ln>
                      <a:noFill/>
                    </a:ln>
                  </pic:spPr>
                </pic:pic>
              </a:graphicData>
            </a:graphic>
          </wp:inline>
        </w:drawing>
      </w:r>
    </w:p>
    <w:p w14:paraId="730E551E" w14:textId="77777777" w:rsidR="00310DBF" w:rsidRDefault="00310DBF">
      <w:pPr>
        <w:rPr>
          <w:rFonts w:ascii="Arial" w:hAnsi="Arial"/>
          <w:b/>
          <w:sz w:val="22"/>
        </w:rPr>
      </w:pPr>
      <w:r>
        <w:br w:type="page"/>
      </w:r>
    </w:p>
    <w:p w14:paraId="3AE13033" w14:textId="5AB87FDE" w:rsidR="002A21AE" w:rsidRDefault="002A21AE">
      <w:pPr>
        <w:pStyle w:val="Heading4"/>
      </w:pPr>
      <w:r>
        <w:lastRenderedPageBreak/>
        <w:t>View/Print a Finalized Transfusion Reaction Workup Report</w:t>
      </w:r>
      <w:r>
        <w:fldChar w:fldCharType="begin"/>
      </w:r>
      <w:r>
        <w:instrText xml:space="preserve"> XE </w:instrText>
      </w:r>
      <w:r w:rsidR="00FA7E65">
        <w:instrText>“</w:instrText>
      </w:r>
      <w:r>
        <w:instrText>View/Print a Finalized Transfusion Reaction Workup Report</w:instrText>
      </w:r>
      <w:r w:rsidR="00FA7E65">
        <w:instrText>”</w:instrText>
      </w:r>
      <w:r>
        <w:instrText xml:space="preserve"> </w:instrText>
      </w:r>
      <w:r>
        <w:fldChar w:fldCharType="end"/>
      </w:r>
    </w:p>
    <w:p w14:paraId="6C02DF3A" w14:textId="77777777" w:rsidR="002624D5" w:rsidRPr="002624D5" w:rsidRDefault="002624D5" w:rsidP="00DD75E5">
      <w:pPr>
        <w:pStyle w:val="BodyText"/>
      </w:pPr>
      <w:r>
        <w:t>The user views and/or prints the</w:t>
      </w:r>
      <w:r w:rsidR="0016517C">
        <w:t xml:space="preserve"> finalized</w:t>
      </w:r>
      <w:r>
        <w:t xml:space="preserve"> Transfusion Reaction Workup Report.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01B80A7B" w14:textId="77777777">
        <w:trPr>
          <w:tblHeader/>
        </w:trPr>
        <w:tc>
          <w:tcPr>
            <w:tcW w:w="3240" w:type="dxa"/>
            <w:tcBorders>
              <w:top w:val="single" w:sz="4" w:space="0" w:color="auto"/>
              <w:left w:val="single" w:sz="4" w:space="0" w:color="auto"/>
              <w:bottom w:val="single" w:sz="4" w:space="0" w:color="auto"/>
              <w:right w:val="single" w:sz="4" w:space="0" w:color="auto"/>
            </w:tcBorders>
            <w:shd w:val="pct30" w:color="auto" w:fill="auto"/>
            <w:vAlign w:val="bottom"/>
          </w:tcPr>
          <w:p w14:paraId="453AB7F2" w14:textId="77777777" w:rsidR="002A21AE" w:rsidRDefault="002A21AE">
            <w:pPr>
              <w:pStyle w:val="TableText"/>
              <w:rPr>
                <w:b/>
              </w:rPr>
            </w:pPr>
            <w:r>
              <w:rPr>
                <w:b/>
              </w:rPr>
              <w:t>User Action</w:t>
            </w:r>
          </w:p>
        </w:tc>
        <w:tc>
          <w:tcPr>
            <w:tcW w:w="6120" w:type="dxa"/>
            <w:tcBorders>
              <w:top w:val="single" w:sz="4" w:space="0" w:color="auto"/>
              <w:left w:val="single" w:sz="4" w:space="0" w:color="auto"/>
              <w:bottom w:val="single" w:sz="4" w:space="0" w:color="auto"/>
              <w:right w:val="single" w:sz="4" w:space="0" w:color="auto"/>
            </w:tcBorders>
            <w:shd w:val="pct30" w:color="auto" w:fill="auto"/>
            <w:vAlign w:val="bottom"/>
          </w:tcPr>
          <w:p w14:paraId="78AF8CC3" w14:textId="77777777" w:rsidR="002A21AE" w:rsidRDefault="002A21AE">
            <w:pPr>
              <w:pStyle w:val="TableText"/>
              <w:rPr>
                <w:b/>
              </w:rPr>
            </w:pPr>
            <w:r>
              <w:rPr>
                <w:b/>
              </w:rPr>
              <w:t>VBECS</w:t>
            </w:r>
          </w:p>
        </w:tc>
      </w:tr>
      <w:tr w:rsidR="002A21AE" w14:paraId="54F85426" w14:textId="77777777">
        <w:tc>
          <w:tcPr>
            <w:tcW w:w="3240" w:type="dxa"/>
            <w:tcBorders>
              <w:top w:val="single" w:sz="4" w:space="0" w:color="auto"/>
              <w:left w:val="single" w:sz="4" w:space="0" w:color="auto"/>
              <w:bottom w:val="single" w:sz="4" w:space="0" w:color="auto"/>
              <w:right w:val="single" w:sz="4" w:space="0" w:color="auto"/>
            </w:tcBorders>
          </w:tcPr>
          <w:p w14:paraId="0C76CB0E" w14:textId="77777777" w:rsidR="002A21AE" w:rsidRDefault="002A21AE">
            <w:pPr>
              <w:pStyle w:val="TableTextNumbers"/>
            </w:pPr>
            <w:r>
              <w:t xml:space="preserve">Select </w:t>
            </w:r>
            <w:r>
              <w:rPr>
                <w:b/>
              </w:rPr>
              <w:t>Reports</w:t>
            </w:r>
            <w:r>
              <w:t xml:space="preserve"> from the main menu.</w:t>
            </w:r>
          </w:p>
          <w:p w14:paraId="44589EAC" w14:textId="77777777" w:rsidR="002A21AE" w:rsidRDefault="002A21AE">
            <w:pPr>
              <w:pStyle w:val="TableTextNumbersContinued"/>
            </w:pPr>
          </w:p>
          <w:p w14:paraId="16CBFB01" w14:textId="77777777" w:rsidR="002A21AE" w:rsidRDefault="002A21AE">
            <w:pPr>
              <w:pStyle w:val="TableTextNumbersContinued"/>
            </w:pPr>
            <w:r>
              <w:t xml:space="preserve">Select </w:t>
            </w:r>
            <w:r>
              <w:rPr>
                <w:b/>
              </w:rPr>
              <w:t>Finalize/Print TRW</w:t>
            </w:r>
            <w:r>
              <w:t>.</w:t>
            </w:r>
          </w:p>
          <w:p w14:paraId="2A690758" w14:textId="77777777" w:rsidR="002A21AE" w:rsidRDefault="002A21AE">
            <w:pPr>
              <w:pStyle w:val="TableTextNumbersContinued"/>
            </w:pPr>
          </w:p>
          <w:p w14:paraId="1A4B745E" w14:textId="37984B1D" w:rsidR="002A21AE" w:rsidRDefault="002A21AE">
            <w:pPr>
              <w:pStyle w:val="TableTextNumbersContinued"/>
            </w:pPr>
            <w:r>
              <w:t>Select a completed TRW</w:t>
            </w:r>
            <w:r w:rsidR="00F40F83">
              <w:t xml:space="preserve"> (</w:t>
            </w:r>
            <w:r w:rsidR="00EE2299">
              <w:fldChar w:fldCharType="begin" w:fldLock="1"/>
            </w:r>
            <w:r w:rsidR="00EE2299">
              <w:instrText xml:space="preserve"> REF _Ref127774218 \h </w:instrText>
            </w:r>
            <w:r w:rsidR="00EE2299">
              <w:fldChar w:fldCharType="separate"/>
            </w:r>
            <w:r w:rsidR="00AB304C">
              <w:t xml:space="preserve">Figure </w:t>
            </w:r>
            <w:r w:rsidR="00AB304C">
              <w:rPr>
                <w:noProof/>
              </w:rPr>
              <w:t>136</w:t>
            </w:r>
            <w:r w:rsidR="00EE2299">
              <w:fldChar w:fldCharType="end"/>
            </w:r>
            <w:r w:rsidR="00F40F83">
              <w:t>)</w:t>
            </w:r>
            <w:r>
              <w:t>.</w:t>
            </w:r>
          </w:p>
        </w:tc>
        <w:tc>
          <w:tcPr>
            <w:tcW w:w="6120" w:type="dxa"/>
            <w:tcBorders>
              <w:top w:val="single" w:sz="4" w:space="0" w:color="auto"/>
              <w:left w:val="single" w:sz="4" w:space="0" w:color="auto"/>
              <w:bottom w:val="single" w:sz="4" w:space="0" w:color="auto"/>
              <w:right w:val="single" w:sz="4" w:space="0" w:color="auto"/>
            </w:tcBorders>
          </w:tcPr>
          <w:p w14:paraId="5BBBF2DE" w14:textId="77777777" w:rsidR="002A21AE" w:rsidRDefault="002A21AE">
            <w:pPr>
              <w:pStyle w:val="TableTextBullet"/>
            </w:pPr>
            <w:r>
              <w:t>Lists report names.</w:t>
            </w:r>
          </w:p>
          <w:p w14:paraId="54611BBE" w14:textId="77777777" w:rsidR="002A21AE" w:rsidRDefault="002A21AE">
            <w:pPr>
              <w:pStyle w:val="TableTextBullet"/>
            </w:pPr>
            <w:r>
              <w:t xml:space="preserve">Displays the selected Transfusion Reaction Workup Report data. </w:t>
            </w:r>
          </w:p>
          <w:p w14:paraId="2C7233D9" w14:textId="77777777" w:rsidR="002A21AE" w:rsidRDefault="002A21AE">
            <w:pPr>
              <w:pStyle w:val="TableTextBullet"/>
            </w:pPr>
            <w:r>
              <w:t>Displays an option to view and/or print a finalized TRW by selecting a patient.</w:t>
            </w:r>
          </w:p>
          <w:p w14:paraId="343BCDEB" w14:textId="77777777" w:rsidR="002A21AE" w:rsidRDefault="002A21AE">
            <w:pPr>
              <w:pStyle w:val="TableText"/>
            </w:pPr>
          </w:p>
          <w:p w14:paraId="75579226" w14:textId="77777777" w:rsidR="002A21AE" w:rsidRDefault="00057948">
            <w:pPr>
              <w:pStyle w:val="TableText"/>
              <w:rPr>
                <w:b/>
                <w:bCs/>
              </w:rPr>
            </w:pPr>
            <w:r>
              <w:rPr>
                <w:b/>
                <w:bCs/>
                <w:noProof/>
              </w:rPr>
              <mc:AlternateContent>
                <mc:Choice Requires="wps">
                  <w:drawing>
                    <wp:anchor distT="0" distB="0" distL="114300" distR="114300" simplePos="0" relativeHeight="251752960" behindDoc="0" locked="0" layoutInCell="1" allowOverlap="1" wp14:anchorId="7F6F323B" wp14:editId="4FED5735">
                      <wp:simplePos x="0" y="0"/>
                      <wp:positionH relativeFrom="column">
                        <wp:posOffset>457200</wp:posOffset>
                      </wp:positionH>
                      <wp:positionV relativeFrom="paragraph">
                        <wp:posOffset>65405</wp:posOffset>
                      </wp:positionV>
                      <wp:extent cx="3200400" cy="0"/>
                      <wp:effectExtent l="9525" t="17780" r="9525" b="10795"/>
                      <wp:wrapNone/>
                      <wp:docPr id="331" name="Line 956" descr="P8844C4T9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C1A87C" id="Line 956" o:spid="_x0000_s1026" alt="&quot;&quot;" style="position:absolute;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SkwKu8MBAABuAwAADgAAAAAAAAAAAAAAAAAu&#10;AgAAZHJzL2Uyb0RvYy54bWxQSwECLQAUAAYACAAAACEAF08wEtsAAAAIAQAADwAAAAAAAAAAAAAA&#10;AAAdBAAAZHJzL2Rvd25yZXYueG1sUEsFBgAAAAAEAAQA8wAAACUFAAAAAA==&#10;" strokeweight="1.5pt"/>
                  </w:pict>
                </mc:Fallback>
              </mc:AlternateContent>
            </w:r>
            <w:r w:rsidR="002A21AE">
              <w:rPr>
                <w:b/>
                <w:bCs/>
              </w:rPr>
              <w:t>NOTES</w:t>
            </w:r>
          </w:p>
          <w:p w14:paraId="3B8EBD95" w14:textId="77777777" w:rsidR="002A21AE" w:rsidRDefault="002A21AE">
            <w:pPr>
              <w:pStyle w:val="NotesText"/>
            </w:pPr>
          </w:p>
          <w:p w14:paraId="6E0BC7AE" w14:textId="77777777" w:rsidR="002A21AE" w:rsidRDefault="002A21AE">
            <w:pPr>
              <w:pStyle w:val="NotesText"/>
            </w:pPr>
            <w:r>
              <w:rPr>
                <w:rFonts w:cs="Arial"/>
                <w:vanish/>
              </w:rPr>
              <w:t xml:space="preserve">BR_78.01 </w:t>
            </w:r>
            <w:r>
              <w:t>The user finalizing the report may not edit previously entered TRW data.</w:t>
            </w:r>
          </w:p>
        </w:tc>
      </w:tr>
      <w:tr w:rsidR="002A21AE" w14:paraId="1A53BB91" w14:textId="77777777">
        <w:tc>
          <w:tcPr>
            <w:tcW w:w="3240" w:type="dxa"/>
            <w:tcBorders>
              <w:top w:val="single" w:sz="4" w:space="0" w:color="auto"/>
              <w:left w:val="single" w:sz="4" w:space="0" w:color="auto"/>
              <w:bottom w:val="single" w:sz="4" w:space="0" w:color="auto"/>
              <w:right w:val="single" w:sz="4" w:space="0" w:color="auto"/>
            </w:tcBorders>
          </w:tcPr>
          <w:p w14:paraId="55C10C0C" w14:textId="77777777" w:rsidR="002A21AE" w:rsidRDefault="002A21AE">
            <w:pPr>
              <w:pStyle w:val="TableTextNumbers"/>
            </w:pPr>
            <w:r>
              <w:t>Select a patient.</w:t>
            </w:r>
          </w:p>
        </w:tc>
        <w:tc>
          <w:tcPr>
            <w:tcW w:w="6120" w:type="dxa"/>
            <w:tcBorders>
              <w:top w:val="single" w:sz="4" w:space="0" w:color="auto"/>
              <w:left w:val="single" w:sz="4" w:space="0" w:color="auto"/>
              <w:bottom w:val="single" w:sz="4" w:space="0" w:color="auto"/>
              <w:right w:val="single" w:sz="4" w:space="0" w:color="auto"/>
            </w:tcBorders>
          </w:tcPr>
          <w:p w14:paraId="69F804D2" w14:textId="77777777" w:rsidR="002A21AE" w:rsidRDefault="002A21AE">
            <w:pPr>
              <w:pStyle w:val="TableTextBullet"/>
            </w:pPr>
            <w:r>
              <w:t>Compiles the report and displays an option to print the report or exit.</w:t>
            </w:r>
          </w:p>
          <w:p w14:paraId="6ADDCBAC" w14:textId="77777777" w:rsidR="002A21AE" w:rsidRDefault="002A21AE">
            <w:pPr>
              <w:pStyle w:val="TableText"/>
            </w:pPr>
          </w:p>
          <w:p w14:paraId="59DB6817" w14:textId="77777777" w:rsidR="002A21AE" w:rsidRDefault="00057948">
            <w:pPr>
              <w:pStyle w:val="TableText"/>
              <w:rPr>
                <w:b/>
                <w:bCs/>
              </w:rPr>
            </w:pPr>
            <w:r>
              <w:rPr>
                <w:b/>
                <w:bCs/>
                <w:noProof/>
              </w:rPr>
              <mc:AlternateContent>
                <mc:Choice Requires="wps">
                  <w:drawing>
                    <wp:anchor distT="0" distB="0" distL="114300" distR="114300" simplePos="0" relativeHeight="251746816" behindDoc="0" locked="0" layoutInCell="1" allowOverlap="1" wp14:anchorId="22AFAD8D" wp14:editId="5F375C6D">
                      <wp:simplePos x="0" y="0"/>
                      <wp:positionH relativeFrom="column">
                        <wp:posOffset>457200</wp:posOffset>
                      </wp:positionH>
                      <wp:positionV relativeFrom="paragraph">
                        <wp:posOffset>65405</wp:posOffset>
                      </wp:positionV>
                      <wp:extent cx="3200400" cy="0"/>
                      <wp:effectExtent l="9525" t="17780" r="9525" b="10795"/>
                      <wp:wrapNone/>
                      <wp:docPr id="330" name="Line 952" descr="P8851C6T9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453F2" id="Line 952" o:spid="_x0000_s1026" alt="&quot;&quot;" style="position:absolute;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D+9bh7wgEAAG4DAAAOAAAAAAAAAAAAAAAAAC4C&#10;AABkcnMvZTJvRG9jLnhtbFBLAQItABQABgAIAAAAIQAXTzAS2wAAAAgBAAAPAAAAAAAAAAAAAAAA&#10;ABwEAABkcnMvZG93bnJldi54bWxQSwUGAAAAAAQABADzAAAAJAUAAAAA&#10;" strokeweight="1.5pt"/>
                  </w:pict>
                </mc:Fallback>
              </mc:AlternateContent>
            </w:r>
            <w:r w:rsidR="002A21AE">
              <w:rPr>
                <w:b/>
                <w:bCs/>
              </w:rPr>
              <w:t>NOTES</w:t>
            </w:r>
          </w:p>
          <w:p w14:paraId="513515B1" w14:textId="77777777" w:rsidR="002A21AE" w:rsidRDefault="002A21AE">
            <w:pPr>
              <w:pStyle w:val="NotesText"/>
            </w:pPr>
          </w:p>
          <w:p w14:paraId="7C8E113F" w14:textId="77777777" w:rsidR="002A21AE" w:rsidRDefault="002A21AE">
            <w:pPr>
              <w:pStyle w:val="NotesText"/>
            </w:pPr>
            <w:r>
              <w:rPr>
                <w:rFonts w:cs="Arial"/>
                <w:vanish/>
              </w:rPr>
              <w:t xml:space="preserve">BR_78.05 </w:t>
            </w:r>
            <w:r>
              <w:t>Details included in the finalized TRW report:</w:t>
            </w:r>
          </w:p>
          <w:p w14:paraId="713897F1" w14:textId="77777777" w:rsidR="002A21AE" w:rsidRDefault="002A21AE">
            <w:pPr>
              <w:pStyle w:val="NotesTextBullet"/>
            </w:pPr>
            <w:r>
              <w:t>Patient name</w:t>
            </w:r>
          </w:p>
          <w:p w14:paraId="2329F4B6" w14:textId="77777777" w:rsidR="002A21AE" w:rsidRDefault="002A21AE">
            <w:pPr>
              <w:pStyle w:val="NotesTextBullet"/>
            </w:pPr>
            <w:r>
              <w:t>Patient ID</w:t>
            </w:r>
          </w:p>
          <w:p w14:paraId="1B9D9CD9" w14:textId="77777777" w:rsidR="002A21AE" w:rsidRDefault="002A21AE">
            <w:pPr>
              <w:pStyle w:val="NotesTextBullet"/>
            </w:pPr>
            <w:r>
              <w:t>Specimen UID</w:t>
            </w:r>
          </w:p>
          <w:p w14:paraId="0896E330" w14:textId="77777777" w:rsidR="002A21AE" w:rsidRDefault="002A21AE">
            <w:pPr>
              <w:pStyle w:val="NotesTextBullet"/>
            </w:pPr>
            <w:r>
              <w:t>Reported symptoms</w:t>
            </w:r>
          </w:p>
          <w:p w14:paraId="1F965E50" w14:textId="77777777" w:rsidR="002A21AE" w:rsidRDefault="002A21AE">
            <w:pPr>
              <w:pStyle w:val="NotesTextBullet"/>
            </w:pPr>
            <w:r>
              <w:t>Specimen clerical checks (pre-, post-, and unit)</w:t>
            </w:r>
          </w:p>
          <w:p w14:paraId="66ACED8A" w14:textId="77777777" w:rsidR="002A21AE" w:rsidRDefault="002A21AE">
            <w:pPr>
              <w:pStyle w:val="NotesTextBullet"/>
            </w:pPr>
            <w:r>
              <w:t>Serologic testing (if performed, interpretations only)</w:t>
            </w:r>
          </w:p>
          <w:p w14:paraId="1321B61B" w14:textId="77777777" w:rsidR="002A21AE" w:rsidRDefault="002A21AE">
            <w:pPr>
              <w:pStyle w:val="NotesTextBullet"/>
            </w:pPr>
            <w:r>
              <w:t>Transfusion reaction type</w:t>
            </w:r>
          </w:p>
          <w:p w14:paraId="0F53DDAA" w14:textId="77777777" w:rsidR="002A21AE" w:rsidRDefault="002A21AE">
            <w:pPr>
              <w:pStyle w:val="NotesTextBullet"/>
            </w:pPr>
            <w:r>
              <w:t>Comment</w:t>
            </w:r>
          </w:p>
          <w:p w14:paraId="1F6B6A8C" w14:textId="691E39F5" w:rsidR="002A21AE" w:rsidRDefault="002A21AE">
            <w:pPr>
              <w:pStyle w:val="NotesTextBullet"/>
            </w:pPr>
            <w:r>
              <w:t xml:space="preserve">Implicated units (include from Patient Testing: Record a Transfusion Reaction </w:t>
            </w:r>
            <w:r w:rsidR="006549B7">
              <w:t>Workup)</w:t>
            </w:r>
          </w:p>
          <w:p w14:paraId="76E341A4" w14:textId="77777777" w:rsidR="002A21AE" w:rsidRDefault="002A21AE">
            <w:pPr>
              <w:pStyle w:val="NotesTextBullet"/>
            </w:pPr>
            <w:r>
              <w:t>TRW report completed by:</w:t>
            </w:r>
          </w:p>
          <w:p w14:paraId="075A270B" w14:textId="77777777" w:rsidR="002A21AE" w:rsidRDefault="002A21AE">
            <w:pPr>
              <w:pStyle w:val="NotesTextBullet1"/>
            </w:pPr>
            <w:r>
              <w:t>Date and time the report was completed</w:t>
            </w:r>
          </w:p>
          <w:p w14:paraId="28988B38" w14:textId="77777777" w:rsidR="002A21AE" w:rsidRDefault="002A21AE">
            <w:pPr>
              <w:pStyle w:val="NotesTextBullet1"/>
            </w:pPr>
            <w:r>
              <w:t>Signature line for the medical director</w:t>
            </w:r>
          </w:p>
          <w:p w14:paraId="7F219BFC" w14:textId="77777777" w:rsidR="002A21AE" w:rsidRDefault="002A21AE">
            <w:pPr>
              <w:pStyle w:val="NotesTextBullet1"/>
            </w:pPr>
            <w:r>
              <w:t>Line for the date and time the medical director completed the review</w:t>
            </w:r>
          </w:p>
          <w:p w14:paraId="476A1F0A" w14:textId="77777777" w:rsidR="002A21AE" w:rsidRDefault="002A21AE">
            <w:pPr>
              <w:pStyle w:val="NotesTextBullet1"/>
            </w:pPr>
            <w:r>
              <w:t>Finalized by</w:t>
            </w:r>
          </w:p>
          <w:p w14:paraId="4D358C49" w14:textId="77777777" w:rsidR="002A21AE" w:rsidRDefault="002A21AE">
            <w:pPr>
              <w:pStyle w:val="NotesTextBullet1"/>
            </w:pPr>
            <w:r>
              <w:t>Finalized date and time</w:t>
            </w:r>
          </w:p>
        </w:tc>
      </w:tr>
      <w:tr w:rsidR="00A902A8" w14:paraId="46F804C8" w14:textId="77777777">
        <w:tc>
          <w:tcPr>
            <w:tcW w:w="3240" w:type="dxa"/>
          </w:tcPr>
          <w:p w14:paraId="194F647F" w14:textId="77777777" w:rsidR="00A902A8" w:rsidRDefault="00A902A8" w:rsidP="00E21A6B">
            <w:pPr>
              <w:pStyle w:val="TableTextNumbers"/>
            </w:pPr>
            <w:r>
              <w:t xml:space="preserve">Select </w:t>
            </w:r>
            <w:r w:rsidRPr="0080656D">
              <w:rPr>
                <w:b/>
              </w:rPr>
              <w:t>Schedule Print</w:t>
            </w:r>
            <w:r>
              <w:t xml:space="preserve"> or </w:t>
            </w:r>
            <w:r w:rsidRPr="0080656D">
              <w:rPr>
                <w:b/>
              </w:rPr>
              <w:t>Print Now</w:t>
            </w:r>
            <w:r>
              <w:t xml:space="preserve"> and follow the instructions to print.</w:t>
            </w:r>
          </w:p>
        </w:tc>
        <w:tc>
          <w:tcPr>
            <w:tcW w:w="6120" w:type="dxa"/>
          </w:tcPr>
          <w:p w14:paraId="15CF262B" w14:textId="77777777" w:rsidR="00A902A8" w:rsidRDefault="00A902A8" w:rsidP="00E21A6B">
            <w:pPr>
              <w:pStyle w:val="TableTextBullet"/>
            </w:pPr>
            <w:r>
              <w:t>Prints the report on the selected printer.</w:t>
            </w:r>
          </w:p>
        </w:tc>
      </w:tr>
      <w:tr w:rsidR="00A902A8" w14:paraId="02E572F2" w14:textId="77777777">
        <w:tc>
          <w:tcPr>
            <w:tcW w:w="3240" w:type="dxa"/>
          </w:tcPr>
          <w:p w14:paraId="33DC393C" w14:textId="77777777" w:rsidR="00A902A8" w:rsidRDefault="00A902A8" w:rsidP="00E21A6B">
            <w:pPr>
              <w:pStyle w:val="TableTextNumbers"/>
            </w:pPr>
            <w:r>
              <w:t xml:space="preserve">Click </w:t>
            </w:r>
            <w:r w:rsidRPr="0080656D">
              <w:rPr>
                <w:b/>
              </w:rPr>
              <w:t>Close</w:t>
            </w:r>
            <w:r>
              <w:t xml:space="preserve"> to exit.</w:t>
            </w:r>
            <w:r>
              <w:rPr>
                <w:vanish/>
                <w:szCs w:val="18"/>
              </w:rPr>
              <w:fldChar w:fldCharType="begin"/>
            </w:r>
            <w:r>
              <w:rPr>
                <w:vanish/>
                <w:szCs w:val="18"/>
              </w:rPr>
              <w:instrText xml:space="preserve"> LISTNUM \l 1 \s 0 </w:instrText>
            </w:r>
            <w:r>
              <w:rPr>
                <w:vanish/>
                <w:szCs w:val="18"/>
              </w:rPr>
              <w:fldChar w:fldCharType="end"/>
            </w:r>
          </w:p>
        </w:tc>
        <w:tc>
          <w:tcPr>
            <w:tcW w:w="6120" w:type="dxa"/>
          </w:tcPr>
          <w:p w14:paraId="228C7EB4" w14:textId="77777777" w:rsidR="00A902A8" w:rsidRDefault="00A902A8" w:rsidP="00E21A6B">
            <w:pPr>
              <w:pStyle w:val="NotesText"/>
              <w:ind w:left="0"/>
            </w:pPr>
          </w:p>
        </w:tc>
      </w:tr>
    </w:tbl>
    <w:p w14:paraId="7490EC7B" w14:textId="77777777" w:rsidR="009D0008" w:rsidRDefault="009D0008">
      <w:pPr>
        <w:pStyle w:val="Caption"/>
      </w:pPr>
      <w:bookmarkStart w:id="523" w:name="_Toc97523627"/>
      <w:bookmarkStart w:id="524" w:name="_Toc97527597"/>
      <w:bookmarkStart w:id="525" w:name="_Ref126504463"/>
    </w:p>
    <w:p w14:paraId="36EAA41C" w14:textId="77777777" w:rsidR="009D0008" w:rsidRDefault="009D0008">
      <w:pPr>
        <w:rPr>
          <w:b/>
          <w:sz w:val="22"/>
          <w:szCs w:val="22"/>
        </w:rPr>
      </w:pPr>
      <w:r>
        <w:br w:type="page"/>
      </w:r>
    </w:p>
    <w:p w14:paraId="37776031" w14:textId="4B35427C" w:rsidR="002A21AE" w:rsidRDefault="002A21AE">
      <w:pPr>
        <w:pStyle w:val="Caption"/>
      </w:pPr>
      <w:r>
        <w:lastRenderedPageBreak/>
        <w:t xml:space="preserve">Table </w:t>
      </w:r>
      <w:r w:rsidR="004E20BD">
        <w:rPr>
          <w:noProof/>
        </w:rPr>
        <w:fldChar w:fldCharType="begin"/>
      </w:r>
      <w:r w:rsidR="004E20BD">
        <w:rPr>
          <w:noProof/>
        </w:rPr>
        <w:instrText xml:space="preserve"> SEQ Table \* ARABIC </w:instrText>
      </w:r>
      <w:r w:rsidR="004E20BD">
        <w:rPr>
          <w:noProof/>
        </w:rPr>
        <w:fldChar w:fldCharType="separate"/>
      </w:r>
      <w:r w:rsidR="00647F4E">
        <w:rPr>
          <w:noProof/>
        </w:rPr>
        <w:t>12</w:t>
      </w:r>
      <w:r w:rsidR="004E20BD">
        <w:rPr>
          <w:noProof/>
        </w:rPr>
        <w:fldChar w:fldCharType="end"/>
      </w:r>
      <w:r>
        <w:t xml:space="preserve">: </w:t>
      </w:r>
      <w:r>
        <w:rPr>
          <w:vanish/>
        </w:rPr>
        <w:t xml:space="preserve">PT_78.01 </w:t>
      </w:r>
      <w:r>
        <w:t>Transfusion Reaction Types</w:t>
      </w:r>
      <w:bookmarkEnd w:id="523"/>
      <w:bookmarkEnd w:id="524"/>
      <w:bookmarkEnd w:id="525"/>
      <w:r>
        <w:t xml:space="preserve"> </w:t>
      </w:r>
      <w:r>
        <w:fldChar w:fldCharType="begin"/>
      </w:r>
      <w:r>
        <w:instrText xml:space="preserve"> XE </w:instrText>
      </w:r>
      <w:r w:rsidR="00FA7E65">
        <w:instrText>“</w:instrText>
      </w:r>
      <w:r>
        <w:instrText>Tables:Transfusion Reaction Types</w:instrText>
      </w:r>
      <w:r w:rsidR="00FA7E65">
        <w:instrText>”</w:instrText>
      </w:r>
      <w:r>
        <w:instrText xml:space="preserve"> </w:instrText>
      </w:r>
      <w:r>
        <w:fldChar w:fldCharType="end"/>
      </w:r>
    </w:p>
    <w:tbl>
      <w:tblPr>
        <w:tblW w:w="0" w:type="auto"/>
        <w:tblInd w:w="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320"/>
      </w:tblGrid>
      <w:tr w:rsidR="008E18C4" w14:paraId="3EAC5124" w14:textId="77777777">
        <w:trPr>
          <w:tblHeader/>
        </w:trPr>
        <w:tc>
          <w:tcPr>
            <w:tcW w:w="4320" w:type="dxa"/>
            <w:tcBorders>
              <w:top w:val="single" w:sz="4" w:space="0" w:color="auto"/>
              <w:bottom w:val="single" w:sz="6" w:space="0" w:color="auto"/>
            </w:tcBorders>
            <w:shd w:val="clear" w:color="auto" w:fill="B3B3B3"/>
            <w:vAlign w:val="bottom"/>
          </w:tcPr>
          <w:p w14:paraId="79B20D11" w14:textId="77777777" w:rsidR="008E18C4" w:rsidRDefault="008E18C4">
            <w:pPr>
              <w:pStyle w:val="TableText"/>
              <w:rPr>
                <w:b/>
              </w:rPr>
            </w:pPr>
            <w:bookmarkStart w:id="526" w:name="_Toc72723354"/>
            <w:r>
              <w:rPr>
                <w:b/>
              </w:rPr>
              <w:t>Transfusion Reaction Type Text</w:t>
            </w:r>
            <w:bookmarkEnd w:id="526"/>
          </w:p>
        </w:tc>
      </w:tr>
      <w:tr w:rsidR="008E18C4" w14:paraId="03DD93DF" w14:textId="77777777">
        <w:tc>
          <w:tcPr>
            <w:tcW w:w="4320" w:type="dxa"/>
            <w:tcBorders>
              <w:top w:val="single" w:sz="6" w:space="0" w:color="auto"/>
            </w:tcBorders>
            <w:vAlign w:val="bottom"/>
          </w:tcPr>
          <w:p w14:paraId="73B1B79A" w14:textId="77777777" w:rsidR="008E18C4" w:rsidRPr="00B70590" w:rsidRDefault="008E18C4">
            <w:pPr>
              <w:pStyle w:val="TableText"/>
            </w:pPr>
            <w:r w:rsidRPr="00B70590">
              <w:t>Anaphylaxis</w:t>
            </w:r>
          </w:p>
        </w:tc>
      </w:tr>
      <w:tr w:rsidR="00B05CCE" w14:paraId="202CCE91" w14:textId="77777777">
        <w:tc>
          <w:tcPr>
            <w:tcW w:w="4320" w:type="dxa"/>
            <w:vAlign w:val="bottom"/>
          </w:tcPr>
          <w:p w14:paraId="667E8E7A" w14:textId="77777777" w:rsidR="00B05CCE" w:rsidRPr="00B70590" w:rsidRDefault="00B05CCE">
            <w:pPr>
              <w:pStyle w:val="TableText"/>
            </w:pPr>
            <w:r w:rsidRPr="00B70590">
              <w:t>Citrate Toxicity</w:t>
            </w:r>
          </w:p>
        </w:tc>
      </w:tr>
      <w:tr w:rsidR="008E18C4" w14:paraId="1CBC1760" w14:textId="77777777">
        <w:tc>
          <w:tcPr>
            <w:tcW w:w="4320" w:type="dxa"/>
            <w:vAlign w:val="bottom"/>
          </w:tcPr>
          <w:p w14:paraId="71FD47E5" w14:textId="77777777" w:rsidR="008E18C4" w:rsidRPr="00B70590" w:rsidRDefault="008E18C4">
            <w:pPr>
              <w:pStyle w:val="TableText"/>
            </w:pPr>
            <w:r w:rsidRPr="00B70590">
              <w:t>Delayed Hemolytic</w:t>
            </w:r>
          </w:p>
        </w:tc>
      </w:tr>
      <w:tr w:rsidR="008E18C4" w14:paraId="126AB281" w14:textId="77777777">
        <w:tc>
          <w:tcPr>
            <w:tcW w:w="4320" w:type="dxa"/>
            <w:vAlign w:val="bottom"/>
          </w:tcPr>
          <w:p w14:paraId="76D98906" w14:textId="77777777" w:rsidR="008E18C4" w:rsidRPr="00B70590" w:rsidRDefault="008E18C4">
            <w:pPr>
              <w:pStyle w:val="TableText"/>
            </w:pPr>
            <w:r w:rsidRPr="00B70590">
              <w:t>Febrile Nonhemolytic</w:t>
            </w:r>
          </w:p>
        </w:tc>
      </w:tr>
      <w:tr w:rsidR="008E18C4" w14:paraId="4061822C" w14:textId="77777777">
        <w:tc>
          <w:tcPr>
            <w:tcW w:w="4320" w:type="dxa"/>
            <w:vAlign w:val="bottom"/>
          </w:tcPr>
          <w:p w14:paraId="224EB424" w14:textId="77777777" w:rsidR="008E18C4" w:rsidRPr="00B70590" w:rsidRDefault="008E18C4">
            <w:pPr>
              <w:pStyle w:val="TableText"/>
            </w:pPr>
            <w:r w:rsidRPr="00B70590">
              <w:t>Graft vs. Host Disease</w:t>
            </w:r>
          </w:p>
        </w:tc>
      </w:tr>
      <w:tr w:rsidR="008E18C4" w14:paraId="5DE7342A" w14:textId="77777777">
        <w:tc>
          <w:tcPr>
            <w:tcW w:w="4320" w:type="dxa"/>
            <w:vAlign w:val="bottom"/>
          </w:tcPr>
          <w:p w14:paraId="77CBBB8E" w14:textId="77777777" w:rsidR="008E18C4" w:rsidRPr="00B70590" w:rsidRDefault="00B05CCE">
            <w:pPr>
              <w:pStyle w:val="TableText"/>
            </w:pPr>
            <w:r w:rsidRPr="00B70590">
              <w:t>Acute Hemolysis (non ABO)</w:t>
            </w:r>
          </w:p>
        </w:tc>
      </w:tr>
      <w:tr w:rsidR="00B05CCE" w14:paraId="02E7394E" w14:textId="77777777">
        <w:tc>
          <w:tcPr>
            <w:tcW w:w="4320" w:type="dxa"/>
            <w:vAlign w:val="bottom"/>
          </w:tcPr>
          <w:p w14:paraId="09C91996" w14:textId="77777777" w:rsidR="00B05CCE" w:rsidRPr="00B70590" w:rsidRDefault="00B05CCE">
            <w:pPr>
              <w:pStyle w:val="TableText"/>
            </w:pPr>
            <w:r w:rsidRPr="00B70590">
              <w:t>Acute Hemolysis (ABO Incompatibility)</w:t>
            </w:r>
          </w:p>
        </w:tc>
      </w:tr>
      <w:tr w:rsidR="00B05CCE" w14:paraId="1765DDB4" w14:textId="77777777">
        <w:tc>
          <w:tcPr>
            <w:tcW w:w="4320" w:type="dxa"/>
            <w:vAlign w:val="bottom"/>
          </w:tcPr>
          <w:p w14:paraId="7B8E2672" w14:textId="77777777" w:rsidR="00B05CCE" w:rsidRPr="00B70590" w:rsidRDefault="00B05CCE">
            <w:pPr>
              <w:pStyle w:val="TableText"/>
            </w:pPr>
            <w:r w:rsidRPr="00B70590">
              <w:t>Transfusion Associated Circulatory Overload (TACO)</w:t>
            </w:r>
          </w:p>
        </w:tc>
      </w:tr>
      <w:tr w:rsidR="008E18C4" w14:paraId="527C94BC" w14:textId="77777777">
        <w:tc>
          <w:tcPr>
            <w:tcW w:w="4320" w:type="dxa"/>
            <w:vAlign w:val="bottom"/>
          </w:tcPr>
          <w:p w14:paraId="39F6F75E" w14:textId="77777777" w:rsidR="008E18C4" w:rsidRPr="00B70590" w:rsidRDefault="008E18C4">
            <w:pPr>
              <w:pStyle w:val="TableText"/>
            </w:pPr>
            <w:r w:rsidRPr="00B70590">
              <w:t>Transfusion Related Acute Lung Injury</w:t>
            </w:r>
            <w:r w:rsidR="00B05CCE" w:rsidRPr="00B70590">
              <w:t xml:space="preserve"> (TRALI)</w:t>
            </w:r>
          </w:p>
        </w:tc>
      </w:tr>
      <w:tr w:rsidR="00B05CCE" w14:paraId="3805BCFE" w14:textId="77777777">
        <w:tc>
          <w:tcPr>
            <w:tcW w:w="4320" w:type="dxa"/>
            <w:vAlign w:val="bottom"/>
          </w:tcPr>
          <w:p w14:paraId="1062C3FF" w14:textId="77777777" w:rsidR="00B05CCE" w:rsidRPr="00B70590" w:rsidRDefault="00B05CCE">
            <w:pPr>
              <w:pStyle w:val="TableText"/>
            </w:pPr>
            <w:r w:rsidRPr="00B70590">
              <w:t>Transfusion Related Microbial Infection</w:t>
            </w:r>
          </w:p>
        </w:tc>
      </w:tr>
      <w:tr w:rsidR="008E18C4" w14:paraId="066DD5A9" w14:textId="77777777">
        <w:tc>
          <w:tcPr>
            <w:tcW w:w="4320" w:type="dxa"/>
            <w:vAlign w:val="bottom"/>
          </w:tcPr>
          <w:p w14:paraId="4F302E52" w14:textId="77777777" w:rsidR="008E18C4" w:rsidRPr="00B70590" w:rsidRDefault="008E18C4">
            <w:pPr>
              <w:pStyle w:val="TableText"/>
            </w:pPr>
            <w:r w:rsidRPr="00B70590">
              <w:t>Post-Transfusion: Associated Disease</w:t>
            </w:r>
          </w:p>
        </w:tc>
      </w:tr>
      <w:tr w:rsidR="00B05CCE" w14:paraId="2B4B5D15" w14:textId="77777777">
        <w:tc>
          <w:tcPr>
            <w:tcW w:w="4320" w:type="dxa"/>
            <w:vAlign w:val="bottom"/>
          </w:tcPr>
          <w:p w14:paraId="3EAA6E04" w14:textId="77777777" w:rsidR="00B05CCE" w:rsidRPr="00B70590" w:rsidRDefault="00B05CCE">
            <w:pPr>
              <w:pStyle w:val="TableText"/>
            </w:pPr>
            <w:r w:rsidRPr="00B70590">
              <w:t>Unrelated to Transfusion</w:t>
            </w:r>
          </w:p>
        </w:tc>
      </w:tr>
      <w:tr w:rsidR="008E18C4" w14:paraId="4FE62B95" w14:textId="77777777">
        <w:tc>
          <w:tcPr>
            <w:tcW w:w="4320" w:type="dxa"/>
            <w:vAlign w:val="bottom"/>
          </w:tcPr>
          <w:p w14:paraId="053EA901" w14:textId="77777777" w:rsidR="008E18C4" w:rsidRPr="00B70590" w:rsidRDefault="008E18C4">
            <w:pPr>
              <w:pStyle w:val="TableText"/>
            </w:pPr>
            <w:r w:rsidRPr="00B70590">
              <w:t>Urticaria</w:t>
            </w:r>
          </w:p>
        </w:tc>
      </w:tr>
      <w:tr w:rsidR="008E18C4" w14:paraId="6EB950C8" w14:textId="77777777">
        <w:tc>
          <w:tcPr>
            <w:tcW w:w="4320" w:type="dxa"/>
            <w:vAlign w:val="bottom"/>
          </w:tcPr>
          <w:p w14:paraId="4C22D103" w14:textId="77777777" w:rsidR="008E18C4" w:rsidRPr="00B70590" w:rsidRDefault="008E18C4">
            <w:pPr>
              <w:pStyle w:val="TableText"/>
            </w:pPr>
            <w:r w:rsidRPr="00B70590">
              <w:t>Other: free-text data required on new entries</w:t>
            </w:r>
          </w:p>
        </w:tc>
      </w:tr>
    </w:tbl>
    <w:p w14:paraId="457DE778" w14:textId="77777777" w:rsidR="002A21AE" w:rsidRDefault="00EE2299">
      <w:pPr>
        <w:pStyle w:val="Heading2"/>
      </w:pPr>
      <w:bookmarkStart w:id="527" w:name="_Maintain_Specimen"/>
      <w:bookmarkStart w:id="528" w:name="_Maintain_Specimen_1"/>
      <w:bookmarkStart w:id="529" w:name="_Toc63680372"/>
      <w:bookmarkEnd w:id="519"/>
      <w:bookmarkEnd w:id="527"/>
      <w:bookmarkEnd w:id="528"/>
      <w:r>
        <w:br w:type="page"/>
      </w:r>
      <w:bookmarkStart w:id="530" w:name="_Toc4588823"/>
      <w:r w:rsidR="002A21AE">
        <w:lastRenderedPageBreak/>
        <w:t>Maintain Patient Records</w:t>
      </w:r>
      <w:bookmarkEnd w:id="529"/>
      <w:bookmarkEnd w:id="530"/>
      <w:r w:rsidR="002A21AE">
        <w:fldChar w:fldCharType="begin"/>
      </w:r>
      <w:r w:rsidR="002A21AE">
        <w:instrText xml:space="preserve"> XE </w:instrText>
      </w:r>
      <w:r w:rsidR="00FA7E65">
        <w:instrText>“</w:instrText>
      </w:r>
      <w:r w:rsidR="002A21AE">
        <w:instrText>Maintain Patient Records</w:instrText>
      </w:r>
      <w:r w:rsidR="00FA7E65">
        <w:instrText>”</w:instrText>
      </w:r>
      <w:r w:rsidR="002A21AE">
        <w:instrText xml:space="preserve"> </w:instrText>
      </w:r>
      <w:r w:rsidR="002A21AE">
        <w:fldChar w:fldCharType="end"/>
      </w:r>
    </w:p>
    <w:p w14:paraId="0A25BAF7" w14:textId="77777777" w:rsidR="002A21AE" w:rsidRDefault="002A21AE">
      <w:pPr>
        <w:pStyle w:val="Heading3"/>
      </w:pPr>
      <w:bookmarkStart w:id="531" w:name="_Toc4588824"/>
      <w:r>
        <w:t>Special Instructions &amp; Transfusion Requirements: Enter a Transfusion Requirement</w:t>
      </w:r>
      <w:bookmarkEnd w:id="531"/>
      <w:r w:rsidRPr="00523956">
        <w:rPr>
          <w:rFonts w:ascii="Arial Bold" w:hAnsi="Arial Bold"/>
          <w:vanish/>
        </w:rPr>
        <w:fldChar w:fldCharType="begin"/>
      </w:r>
      <w:r w:rsidRPr="00523956">
        <w:rPr>
          <w:rFonts w:ascii="Arial Bold" w:hAnsi="Arial Bold"/>
          <w:vanish/>
        </w:rPr>
        <w:instrText xml:space="preserve"> XE </w:instrText>
      </w:r>
      <w:r w:rsidR="00FA7E65" w:rsidRPr="00523956">
        <w:rPr>
          <w:rFonts w:ascii="Arial Bold" w:hAnsi="Arial Bold"/>
          <w:vanish/>
        </w:rPr>
        <w:instrText>“</w:instrText>
      </w:r>
      <w:r w:rsidRPr="00523956">
        <w:rPr>
          <w:rFonts w:ascii="Arial Bold" w:hAnsi="Arial Bold"/>
          <w:vanish/>
        </w:rPr>
        <w:instrText>Special Instructions &amp; Transfusion Requirements\: Enter a Transfusion Requirement</w:instrText>
      </w:r>
      <w:r w:rsidR="00FA7E65" w:rsidRPr="00523956">
        <w:rPr>
          <w:rFonts w:ascii="Arial Bold" w:hAnsi="Arial Bold"/>
          <w:vanish/>
        </w:rPr>
        <w:instrText>”</w:instrText>
      </w:r>
      <w:r w:rsidRPr="00523956">
        <w:rPr>
          <w:rFonts w:ascii="Arial Bold" w:hAnsi="Arial Bold"/>
          <w:vanish/>
        </w:rPr>
        <w:instrText xml:space="preserve"> </w:instrText>
      </w:r>
      <w:r w:rsidRPr="00523956">
        <w:rPr>
          <w:rFonts w:ascii="Arial Bold" w:hAnsi="Arial Bold"/>
          <w:vanish/>
        </w:rPr>
        <w:fldChar w:fldCharType="end"/>
      </w:r>
      <w:r w:rsidRPr="00523956">
        <w:rPr>
          <w:rFonts w:ascii="Arial Bold" w:hAnsi="Arial Bold"/>
          <w:vanish/>
        </w:rPr>
        <w:t xml:space="preserve"> UC_38</w:t>
      </w:r>
    </w:p>
    <w:p w14:paraId="64825D6F" w14:textId="77777777" w:rsidR="002A21AE" w:rsidRDefault="002A21AE" w:rsidP="00FA7E65">
      <w:pPr>
        <w:pStyle w:val="BodyText"/>
      </w:pPr>
      <w:r>
        <w:t>The user enter</w:t>
      </w:r>
      <w:r w:rsidR="007C7B3C">
        <w:t>s</w:t>
      </w:r>
      <w:r>
        <w:t xml:space="preserve"> or inactivate</w:t>
      </w:r>
      <w:r w:rsidR="007C7B3C">
        <w:t>s</w:t>
      </w:r>
      <w:r>
        <w:t xml:space="preserve"> the Transfusion Requirements (TRs) in the patient’s record by division. </w:t>
      </w:r>
    </w:p>
    <w:p w14:paraId="78476501" w14:textId="77777777" w:rsidR="002A21AE" w:rsidRDefault="002A21AE">
      <w:pPr>
        <w:pStyle w:val="Heading4"/>
      </w:pPr>
      <w:r>
        <w:t>Assumptions</w:t>
      </w:r>
      <w:r>
        <w:rPr>
          <w:b w:val="0"/>
        </w:rPr>
        <w:t xml:space="preserve"> </w:t>
      </w:r>
    </w:p>
    <w:p w14:paraId="65FAD6F7" w14:textId="77777777" w:rsidR="002A21AE" w:rsidRDefault="002A21AE">
      <w:pPr>
        <w:pStyle w:val="ListBullet"/>
      </w:pPr>
      <w:r>
        <w:t>The patient exists in the VBECS database.</w:t>
      </w:r>
    </w:p>
    <w:p w14:paraId="6315A875" w14:textId="77777777" w:rsidR="002A21AE" w:rsidRDefault="002A21AE">
      <w:pPr>
        <w:pStyle w:val="Heading4"/>
      </w:pPr>
      <w:r>
        <w:t>Outcome</w:t>
      </w:r>
    </w:p>
    <w:p w14:paraId="50EC6B77" w14:textId="77777777" w:rsidR="002A21AE" w:rsidRDefault="002A21AE">
      <w:pPr>
        <w:pStyle w:val="ListBullet"/>
      </w:pPr>
      <w:r>
        <w:t>VBECS displays TRs to all divisions within a multidivisional database. The division in which they were entered maintains and controls them.</w:t>
      </w:r>
    </w:p>
    <w:p w14:paraId="18E3A1B4" w14:textId="77777777" w:rsidR="002A21AE" w:rsidRDefault="002A21AE">
      <w:pPr>
        <w:pStyle w:val="ListBullet"/>
      </w:pPr>
      <w:r>
        <w:t>VBECS maintains a historic record of changes to the patient’s TRs.</w:t>
      </w:r>
    </w:p>
    <w:p w14:paraId="6FBF3853" w14:textId="77777777" w:rsidR="002A21AE" w:rsidRDefault="002A21AE">
      <w:pPr>
        <w:pStyle w:val="Heading4"/>
      </w:pPr>
      <w:r>
        <w:t>Limitations and Restrictions</w:t>
      </w:r>
      <w:r>
        <w:rPr>
          <w:b w:val="0"/>
        </w:rPr>
        <w:t xml:space="preserve"> </w:t>
      </w:r>
    </w:p>
    <w:p w14:paraId="15E0C25D" w14:textId="77777777" w:rsidR="002A21AE" w:rsidRDefault="002A21AE">
      <w:pPr>
        <w:pStyle w:val="ListBullet"/>
      </w:pPr>
      <w:r>
        <w:t>Inactivation is defined and restricted by security level.</w:t>
      </w:r>
    </w:p>
    <w:p w14:paraId="6A8D2726" w14:textId="77777777" w:rsidR="002A21AE" w:rsidRDefault="00CA6E27">
      <w:pPr>
        <w:pStyle w:val="ListBullet"/>
      </w:pPr>
      <w:r w:rsidRPr="00CA6E27">
        <w:rPr>
          <w:bCs/>
        </w:rPr>
        <w:t>VistA</w:t>
      </w:r>
      <w:r w:rsidR="002A21AE">
        <w:t xml:space="preserve"> Special Instructions (SIs) from </w:t>
      </w:r>
      <w:r w:rsidR="00150930">
        <w:t>database conversion</w:t>
      </w:r>
      <w:r w:rsidR="002A21AE">
        <w:t xml:space="preserve"> do not become TRs: they remain SIs. SIs are information only and are not enforced unless entered in </w:t>
      </w:r>
      <w:r w:rsidR="001F561F">
        <w:t xml:space="preserve">the </w:t>
      </w:r>
      <w:r w:rsidR="0077268F">
        <w:t>Component</w:t>
      </w:r>
      <w:r w:rsidR="001F561F">
        <w:t xml:space="preserve"> </w:t>
      </w:r>
      <w:r w:rsidR="002A21AE">
        <w:t>R</w:t>
      </w:r>
      <w:r w:rsidR="001F561F">
        <w:t>equirement</w:t>
      </w:r>
      <w:r w:rsidR="002A21AE">
        <w:t>s</w:t>
      </w:r>
      <w:r w:rsidR="001F561F">
        <w:t xml:space="preserve"> tab in Special Instructions &amp; Transfusion Requirements</w:t>
      </w:r>
      <w:r w:rsidR="002A21AE">
        <w:t>.</w:t>
      </w:r>
    </w:p>
    <w:p w14:paraId="4423D3F1" w14:textId="77777777" w:rsidR="002A21AE" w:rsidRDefault="002A21AE">
      <w:pPr>
        <w:pStyle w:val="Heading4"/>
      </w:pPr>
      <w:r>
        <w:t>Additional Information</w:t>
      </w:r>
    </w:p>
    <w:p w14:paraId="2D86970C" w14:textId="77777777" w:rsidR="002A21AE" w:rsidRDefault="002A21AE">
      <w:pPr>
        <w:pStyle w:val="ListBullet"/>
      </w:pPr>
      <w:r>
        <w:t>No current patient specimen or order is required to access this option.</w:t>
      </w:r>
    </w:p>
    <w:p w14:paraId="1F5D80AD" w14:textId="77777777" w:rsidR="002A21AE" w:rsidRDefault="002A21AE">
      <w:pPr>
        <w:pStyle w:val="ListBullet"/>
      </w:pPr>
      <w:r>
        <w:t>When TRs are not met, VBECS prohibits the printing of the Caution Tag and Blood Transfusion Record Form (BTRF) and prevents issue of the blood unit.</w:t>
      </w:r>
    </w:p>
    <w:p w14:paraId="611E341A" w14:textId="77777777" w:rsidR="002A21AE" w:rsidRDefault="002A21AE">
      <w:pPr>
        <w:pStyle w:val="ListBullet"/>
      </w:pPr>
      <w:r>
        <w:rPr>
          <w:rFonts w:ascii="Arial" w:hAnsi="Arial" w:cs="Arial"/>
          <w:vanish/>
          <w:spacing w:val="0"/>
          <w:sz w:val="18"/>
        </w:rPr>
        <w:t xml:space="preserve">BR_38.04 </w:t>
      </w:r>
      <w:r>
        <w:t xml:space="preserve">User-entered antigen negative requirements are persistent. VBECS enforces them even when they are in conflict with the division’s antibody table settings. </w:t>
      </w:r>
    </w:p>
    <w:p w14:paraId="5EC1BFAE" w14:textId="77777777" w:rsidR="002A21AE" w:rsidRDefault="002A21AE">
      <w:pPr>
        <w:pStyle w:val="ListBullet"/>
      </w:pPr>
      <w:r>
        <w:t xml:space="preserve">Patient antibody identifications from </w:t>
      </w:r>
      <w:r w:rsidR="00CA6E27" w:rsidRPr="00CA6E27">
        <w:rPr>
          <w:bCs/>
        </w:rPr>
        <w:t>VistA</w:t>
      </w:r>
      <w:r>
        <w:t xml:space="preserve"> are included in the database conversion. </w:t>
      </w:r>
    </w:p>
    <w:p w14:paraId="49E3682D" w14:textId="77777777" w:rsidR="002A21AE" w:rsidRDefault="002A21AE">
      <w:pPr>
        <w:pStyle w:val="ListBullet"/>
      </w:pPr>
      <w:r>
        <w:t xml:space="preserve">By default, inactivation of an antibody removes requirements for antigen negative blood derived from the antibody entry. </w:t>
      </w:r>
    </w:p>
    <w:p w14:paraId="34206AC1" w14:textId="77777777" w:rsidR="002A21AE" w:rsidRDefault="002A21AE">
      <w:pPr>
        <w:pStyle w:val="Heading4"/>
        <w:rPr>
          <w:b w:val="0"/>
        </w:rPr>
      </w:pPr>
      <w:r>
        <w:t>User Roles with Access to This Option</w:t>
      </w:r>
      <w:r>
        <w:rPr>
          <w:b w:val="0"/>
        </w:rPr>
        <w:t xml:space="preserve"> </w:t>
      </w:r>
    </w:p>
    <w:p w14:paraId="5AAC30E0" w14:textId="77777777" w:rsidR="00AE271A" w:rsidRDefault="00AE271A" w:rsidP="00AE271A">
      <w:pPr>
        <w:pStyle w:val="Roles"/>
      </w:pPr>
      <w:r>
        <w:rPr>
          <w:snapToGrid w:val="0"/>
        </w:rPr>
        <w:t>All users</w:t>
      </w:r>
    </w:p>
    <w:p w14:paraId="1ADBD526" w14:textId="77777777" w:rsidR="002A21AE" w:rsidRDefault="002A21AE">
      <w:pPr>
        <w:pStyle w:val="Heading4"/>
      </w:pPr>
      <w:r>
        <w:t>Special Instructions &amp; Transfusion Requirements: Enter a Transfusion Requirement</w:t>
      </w:r>
    </w:p>
    <w:p w14:paraId="7E8CC920" w14:textId="77777777" w:rsidR="002A21AE" w:rsidRDefault="002A21AE" w:rsidP="00FA7E65">
      <w:pPr>
        <w:pStyle w:val="BodyText"/>
      </w:pPr>
      <w:r>
        <w:t xml:space="preserve">The user assigns patient blood component requirements or indicates the need for antigen negative blood to be applied during blood component selection and issue. </w:t>
      </w:r>
    </w:p>
    <w:p w14:paraId="7A0CC4E9" w14:textId="77777777" w:rsidR="002A21AE" w:rsidRDefault="002A21AE" w:rsidP="00FA7E65">
      <w:pPr>
        <w:pStyle w:val="BodyText"/>
      </w:pPr>
      <w:r>
        <w:t xml:space="preserve">VBECS displays TR data and applies requirements during blood unit selection. </w:t>
      </w:r>
    </w:p>
    <w:p w14:paraId="56EB1B40" w14:textId="77777777" w:rsidR="002A21AE" w:rsidRDefault="002A21AE" w:rsidP="00FA7E65">
      <w:pPr>
        <w:pStyle w:val="BodyText"/>
        <w:rPr>
          <w:b/>
        </w:rPr>
      </w:pPr>
      <w:r>
        <w:t xml:space="preserve">All items in these TR categories indicate the need for pre-transfusion processing of a unit before the unit may be issued to the patient. All users may activate entries. </w:t>
      </w:r>
      <w:r w:rsidR="00E57896" w:rsidRPr="00EC7489">
        <w:rPr>
          <w:rFonts w:ascii="Wingdings 3" w:hAnsi="Wingdings 3" w:cs="Wingdings"/>
        </w:rPr>
        <w:t></w:t>
      </w:r>
      <w:r w:rsidR="00E57896" w:rsidRPr="00EC7489">
        <w:rPr>
          <w:rFonts w:ascii="Wingdings 3" w:hAnsi="Wingdings 3" w:cs="Wingdings"/>
        </w:rPr>
        <w:t></w:t>
      </w:r>
      <w:r w:rsidR="00E57896" w:rsidRPr="00EC7489">
        <w:rPr>
          <w:rFonts w:ascii="Wingdings 3" w:hAnsi="Wingdings 3" w:cs="Wingdings"/>
        </w:rPr>
        <w:t></w:t>
      </w:r>
      <w:r w:rsidR="00E57896" w:rsidRPr="00EC7489">
        <w:rPr>
          <w:rFonts w:ascii="Wingdings 3" w:hAnsi="Wingdings 3" w:cs="Wingdings"/>
        </w:rPr>
        <w:t></w:t>
      </w:r>
      <w:r w:rsidR="00E57896">
        <w:t xml:space="preserve"> </w:t>
      </w:r>
      <w:r>
        <w:t xml:space="preserve">Only a </w:t>
      </w:r>
      <w:r>
        <w:rPr>
          <w:snapToGrid w:val="0"/>
        </w:rPr>
        <w:t xml:space="preserve">Traditional Supervisor </w:t>
      </w:r>
      <w:r>
        <w:t xml:space="preserve">may inactivate a component requirement for a patient. A patient may have one or more TRs: </w:t>
      </w:r>
      <w:r>
        <w:rPr>
          <w:vanish/>
        </w:rPr>
        <w:t>BR_38.01</w:t>
      </w:r>
    </w:p>
    <w:p w14:paraId="148142CA" w14:textId="77777777" w:rsidR="002A21AE" w:rsidRDefault="00095CB3">
      <w:pPr>
        <w:pStyle w:val="ListBullet"/>
      </w:pPr>
      <w:r>
        <w:t>Pre-treated to Prevent G</w:t>
      </w:r>
      <w:r w:rsidR="00363C2C">
        <w:t>VHD</w:t>
      </w:r>
      <w:r w:rsidR="002A21AE">
        <w:t xml:space="preserve"> </w:t>
      </w:r>
    </w:p>
    <w:p w14:paraId="3DEBFF5F" w14:textId="77777777" w:rsidR="002A21AE" w:rsidRDefault="002A21AE">
      <w:pPr>
        <w:pStyle w:val="ListBullet"/>
      </w:pPr>
      <w:r>
        <w:t>Leuko</w:t>
      </w:r>
      <w:r w:rsidR="00363C2C">
        <w:t>-</w:t>
      </w:r>
      <w:r>
        <w:t>reduce cellular products</w:t>
      </w:r>
      <w:r w:rsidR="00363C2C">
        <w:t>*</w:t>
      </w:r>
    </w:p>
    <w:p w14:paraId="21B0BE00" w14:textId="77777777" w:rsidR="002A21AE" w:rsidRDefault="002A21AE">
      <w:pPr>
        <w:pStyle w:val="ListBullet"/>
      </w:pPr>
      <w:r>
        <w:lastRenderedPageBreak/>
        <w:t>Washed RBC products</w:t>
      </w:r>
    </w:p>
    <w:p w14:paraId="1475BB5A" w14:textId="77777777" w:rsidR="002A21AE" w:rsidRDefault="002A21AE">
      <w:pPr>
        <w:pStyle w:val="ListBullet"/>
      </w:pPr>
      <w:r>
        <w:t>Washed PLT products</w:t>
      </w:r>
    </w:p>
    <w:p w14:paraId="03A12BC3" w14:textId="77777777" w:rsidR="002A21AE" w:rsidRDefault="002A21AE">
      <w:pPr>
        <w:pStyle w:val="ListBullet"/>
      </w:pPr>
      <w:r>
        <w:t>Sickle Cell Negative RBC products</w:t>
      </w:r>
    </w:p>
    <w:p w14:paraId="591896EE" w14:textId="77777777" w:rsidR="002A21AE" w:rsidRDefault="002A21AE">
      <w:pPr>
        <w:pStyle w:val="ListBullet"/>
      </w:pPr>
      <w:r>
        <w:t>CMV negative cellular products</w:t>
      </w:r>
      <w:r w:rsidR="00550AB5">
        <w:t>*</w:t>
      </w:r>
    </w:p>
    <w:p w14:paraId="1F63000E" w14:textId="77777777" w:rsidR="002A21AE" w:rsidRDefault="00550AB5">
      <w:pPr>
        <w:pStyle w:val="BodyText"/>
      </w:pPr>
      <w:r>
        <w:t>*All product types in OTHER are evaluated for the requirement including those that are non-cellular.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B6E0905" w14:textId="77777777">
        <w:trPr>
          <w:cantSplit/>
          <w:tblHeader/>
        </w:trPr>
        <w:tc>
          <w:tcPr>
            <w:tcW w:w="3240" w:type="dxa"/>
            <w:shd w:val="pct30" w:color="auto" w:fill="FFFFFF"/>
            <w:vAlign w:val="bottom"/>
          </w:tcPr>
          <w:p w14:paraId="3405D986" w14:textId="77777777" w:rsidR="002A21AE" w:rsidRDefault="002A21AE">
            <w:pPr>
              <w:pStyle w:val="TableText"/>
              <w:rPr>
                <w:b/>
              </w:rPr>
            </w:pPr>
            <w:r>
              <w:rPr>
                <w:b/>
              </w:rPr>
              <w:t>User Action</w:t>
            </w:r>
          </w:p>
        </w:tc>
        <w:tc>
          <w:tcPr>
            <w:tcW w:w="6120" w:type="dxa"/>
            <w:shd w:val="pct30" w:color="auto" w:fill="FFFFFF"/>
            <w:vAlign w:val="bottom"/>
          </w:tcPr>
          <w:p w14:paraId="5F76CB9C" w14:textId="77777777" w:rsidR="002A21AE" w:rsidRDefault="002A21AE">
            <w:pPr>
              <w:pStyle w:val="TableText"/>
              <w:rPr>
                <w:b/>
              </w:rPr>
            </w:pPr>
            <w:r>
              <w:rPr>
                <w:b/>
              </w:rPr>
              <w:t>VBECS</w:t>
            </w:r>
          </w:p>
        </w:tc>
      </w:tr>
      <w:tr w:rsidR="002A21AE" w14:paraId="2BBBB862" w14:textId="77777777">
        <w:tc>
          <w:tcPr>
            <w:tcW w:w="3240" w:type="dxa"/>
          </w:tcPr>
          <w:p w14:paraId="775CED7D" w14:textId="77777777" w:rsidR="002A21AE" w:rsidRDefault="002A21AE">
            <w:pPr>
              <w:pStyle w:val="TableTextNumbers"/>
            </w:pPr>
            <w:r>
              <w:t xml:space="preserve">Select </w:t>
            </w:r>
            <w:r>
              <w:rPr>
                <w:b/>
              </w:rPr>
              <w:t>Patients</w:t>
            </w:r>
            <w:r>
              <w:t xml:space="preserve"> from the main menu.</w:t>
            </w:r>
          </w:p>
          <w:p w14:paraId="430FCB2C" w14:textId="77777777" w:rsidR="002A21AE" w:rsidRDefault="002A21AE">
            <w:pPr>
              <w:pStyle w:val="TableTextNumbersContinued"/>
            </w:pPr>
          </w:p>
          <w:p w14:paraId="4FF22D14" w14:textId="77777777" w:rsidR="002A21AE" w:rsidRDefault="002A21AE" w:rsidP="0044084A">
            <w:pPr>
              <w:pStyle w:val="TableTextNumbersContinued"/>
            </w:pPr>
            <w:r>
              <w:t xml:space="preserve">Select </w:t>
            </w:r>
            <w:r>
              <w:rPr>
                <w:b/>
              </w:rPr>
              <w:t>Special Instructions &amp; Transfusion Requirements</w:t>
            </w:r>
            <w:r>
              <w:t>,</w:t>
            </w:r>
            <w:r w:rsidR="0044084A">
              <w:t xml:space="preserve"> or</w:t>
            </w:r>
          </w:p>
          <w:p w14:paraId="18B826CB" w14:textId="77777777" w:rsidR="0044084A" w:rsidRDefault="0044084A" w:rsidP="0044084A">
            <w:pPr>
              <w:pStyle w:val="TableTextNumbersContinued"/>
            </w:pPr>
          </w:p>
          <w:p w14:paraId="6BB4FB02" w14:textId="77777777" w:rsidR="0044084A" w:rsidRPr="0044084A" w:rsidRDefault="00B3702D" w:rsidP="00B3702D">
            <w:pPr>
              <w:pStyle w:val="TableTextNumbersContinued"/>
            </w:pPr>
            <w:r>
              <w:t xml:space="preserve">Click </w:t>
            </w:r>
            <w:r w:rsidR="00057948">
              <w:rPr>
                <w:noProof/>
              </w:rPr>
              <w:drawing>
                <wp:inline distT="0" distB="0" distL="0" distR="0" wp14:anchorId="020C6A1A" wp14:editId="314F1FCB">
                  <wp:extent cx="156845" cy="156845"/>
                  <wp:effectExtent l="0" t="0" r="0" b="0"/>
                  <wp:docPr id="252" name="Picture 252" descr="P8946C3T9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P8946C3T97#yIS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in the Patient Information Toolbar, when it is active.</w:t>
            </w:r>
          </w:p>
        </w:tc>
        <w:tc>
          <w:tcPr>
            <w:tcW w:w="6120" w:type="dxa"/>
          </w:tcPr>
          <w:p w14:paraId="190E5D96" w14:textId="77777777" w:rsidR="002A21AE" w:rsidRDefault="002A21AE">
            <w:pPr>
              <w:pStyle w:val="TableTextBullet"/>
            </w:pPr>
            <w:r>
              <w:t>Displays options for processing patient-related functions.</w:t>
            </w:r>
          </w:p>
          <w:p w14:paraId="5728FFA9" w14:textId="77777777" w:rsidR="002A21AE" w:rsidRDefault="002A21AE">
            <w:pPr>
              <w:pStyle w:val="TableTextBullet"/>
            </w:pPr>
            <w:r>
              <w:t xml:space="preserve">Displays the option to select a patient, if one is not already selected. </w:t>
            </w:r>
          </w:p>
          <w:p w14:paraId="5AE4CAC3" w14:textId="77777777" w:rsidR="002A21AE" w:rsidRDefault="002A21AE">
            <w:pPr>
              <w:pStyle w:val="TableText"/>
              <w:rPr>
                <w:b/>
                <w:bCs/>
                <w:szCs w:val="18"/>
              </w:rPr>
            </w:pPr>
          </w:p>
          <w:p w14:paraId="164388EA" w14:textId="77777777" w:rsidR="002A21AE" w:rsidRDefault="00057948">
            <w:pPr>
              <w:pStyle w:val="TableText"/>
              <w:rPr>
                <w:b/>
                <w:bCs/>
                <w:szCs w:val="18"/>
              </w:rPr>
            </w:pPr>
            <w:r>
              <w:rPr>
                <w:b/>
                <w:bCs/>
                <w:noProof/>
              </w:rPr>
              <mc:AlternateContent>
                <mc:Choice Requires="wps">
                  <w:drawing>
                    <wp:anchor distT="0" distB="0" distL="114300" distR="114300" simplePos="0" relativeHeight="251484672" behindDoc="0" locked="0" layoutInCell="1" allowOverlap="1" wp14:anchorId="43837901" wp14:editId="69E1A912">
                      <wp:simplePos x="0" y="0"/>
                      <wp:positionH relativeFrom="column">
                        <wp:posOffset>457200</wp:posOffset>
                      </wp:positionH>
                      <wp:positionV relativeFrom="paragraph">
                        <wp:posOffset>65405</wp:posOffset>
                      </wp:positionV>
                      <wp:extent cx="3200400" cy="0"/>
                      <wp:effectExtent l="9525" t="17780" r="9525" b="10795"/>
                      <wp:wrapNone/>
                      <wp:docPr id="329" name="Line 802" descr="P8950C4T9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6C682" id="Line 802" o:spid="_x0000_s1026" alt="&quot;&quot;" style="position:absolute;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7zPhG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37E825F7" w14:textId="77777777" w:rsidR="002A21AE" w:rsidRDefault="002A21AE">
            <w:pPr>
              <w:pStyle w:val="NotesText"/>
            </w:pPr>
          </w:p>
          <w:p w14:paraId="60054DF8" w14:textId="77777777" w:rsidR="002A21AE" w:rsidRDefault="002A21AE">
            <w:pPr>
              <w:pStyle w:val="NotesText"/>
            </w:pPr>
            <w:r>
              <w:t xml:space="preserve">The user may also click </w:t>
            </w:r>
            <w:r>
              <w:rPr>
                <w:b/>
              </w:rPr>
              <w:t>New SI or TR</w:t>
            </w:r>
            <w:r>
              <w:t xml:space="preserve"> in Patient Testing to access this option.</w:t>
            </w:r>
          </w:p>
          <w:p w14:paraId="468D09BF" w14:textId="77777777" w:rsidR="0044084A" w:rsidRDefault="0044084A" w:rsidP="00266B50">
            <w:pPr>
              <w:pStyle w:val="NotesText"/>
            </w:pPr>
            <w:r>
              <w:t xml:space="preserve"> </w:t>
            </w:r>
          </w:p>
        </w:tc>
      </w:tr>
      <w:tr w:rsidR="002A21AE" w14:paraId="1F2A8AF8" w14:textId="77777777">
        <w:tc>
          <w:tcPr>
            <w:tcW w:w="3240" w:type="dxa"/>
          </w:tcPr>
          <w:p w14:paraId="5B9D52D4" w14:textId="70EA16DD" w:rsidR="002A21AE" w:rsidRDefault="002A21AE">
            <w:pPr>
              <w:pStyle w:val="TableTextNumbers"/>
            </w:pPr>
            <w:r>
              <w:t xml:space="preserve">Select the </w:t>
            </w:r>
            <w:r>
              <w:rPr>
                <w:b/>
              </w:rPr>
              <w:t>Antigen Negative RBCs</w:t>
            </w:r>
            <w:r>
              <w:t>,</w:t>
            </w:r>
            <w:r>
              <w:rPr>
                <w:b/>
              </w:rPr>
              <w:t xml:space="preserve"> Component Requirements</w:t>
            </w:r>
            <w:r>
              <w:t>,</w:t>
            </w:r>
            <w:r>
              <w:rPr>
                <w:b/>
              </w:rPr>
              <w:t xml:space="preserve"> </w:t>
            </w:r>
            <w:r>
              <w:t xml:space="preserve">or </w:t>
            </w:r>
            <w:r>
              <w:rPr>
                <w:b/>
              </w:rPr>
              <w:t xml:space="preserve">Antibodies Identified </w:t>
            </w:r>
            <w:r w:rsidRPr="00CC3C89">
              <w:t>tab</w:t>
            </w:r>
            <w:r w:rsidR="00994FF2" w:rsidRPr="00CC3C89">
              <w:t xml:space="preserve"> </w:t>
            </w:r>
            <w:r w:rsidR="00994FF2" w:rsidRPr="00994FF2">
              <w:t>(</w:t>
            </w:r>
            <w:r w:rsidR="00994FF2">
              <w:fldChar w:fldCharType="begin" w:fldLock="1"/>
            </w:r>
            <w:r w:rsidR="00994FF2">
              <w:instrText xml:space="preserve"> REF _Ref127094922 \h </w:instrText>
            </w:r>
            <w:r w:rsidR="00994FF2">
              <w:fldChar w:fldCharType="separate"/>
            </w:r>
            <w:r w:rsidR="00AB304C">
              <w:t xml:space="preserve">Figure </w:t>
            </w:r>
            <w:r w:rsidR="00AB304C">
              <w:rPr>
                <w:noProof/>
              </w:rPr>
              <w:t>139</w:t>
            </w:r>
            <w:r w:rsidR="00994FF2">
              <w:fldChar w:fldCharType="end"/>
            </w:r>
            <w:r w:rsidR="00994FF2" w:rsidRPr="00994FF2">
              <w:t>)</w:t>
            </w:r>
            <w:r>
              <w:t>.</w:t>
            </w:r>
          </w:p>
          <w:p w14:paraId="3D7F76F1" w14:textId="77777777" w:rsidR="002A21AE" w:rsidRDefault="002A21AE">
            <w:pPr>
              <w:pStyle w:val="TableTextNumbersContinued"/>
              <w:rPr>
                <w:b/>
                <w:bCs/>
              </w:rPr>
            </w:pPr>
          </w:p>
          <w:p w14:paraId="5E02D2EA" w14:textId="77777777" w:rsidR="002A21AE" w:rsidRDefault="002A21AE">
            <w:pPr>
              <w:pStyle w:val="TableText"/>
            </w:pPr>
          </w:p>
        </w:tc>
        <w:tc>
          <w:tcPr>
            <w:tcW w:w="6120" w:type="dxa"/>
          </w:tcPr>
          <w:p w14:paraId="2D625345" w14:textId="77777777" w:rsidR="002A21AE" w:rsidRDefault="002A21AE">
            <w:pPr>
              <w:pStyle w:val="TableTextBullet"/>
            </w:pPr>
            <w:r>
              <w:t>Displays the patient’s TRs.</w:t>
            </w:r>
          </w:p>
          <w:p w14:paraId="30214600" w14:textId="77777777" w:rsidR="002A21AE" w:rsidRDefault="002A21AE">
            <w:pPr>
              <w:pStyle w:val="TableTextBullet"/>
            </w:pPr>
            <w:r>
              <w:t>Allows the user to add or inactivate information based on his security level.</w:t>
            </w:r>
          </w:p>
          <w:p w14:paraId="07872FDE" w14:textId="77777777" w:rsidR="002A21AE" w:rsidRDefault="002A21AE">
            <w:pPr>
              <w:pStyle w:val="TableText"/>
            </w:pPr>
          </w:p>
          <w:p w14:paraId="6843FE29" w14:textId="77777777" w:rsidR="002A21AE" w:rsidRDefault="00057948">
            <w:pPr>
              <w:pStyle w:val="TableText"/>
              <w:rPr>
                <w:b/>
                <w:bCs/>
                <w:szCs w:val="18"/>
              </w:rPr>
            </w:pPr>
            <w:r>
              <w:rPr>
                <w:b/>
                <w:bCs/>
                <w:noProof/>
              </w:rPr>
              <mc:AlternateContent>
                <mc:Choice Requires="wps">
                  <w:drawing>
                    <wp:anchor distT="0" distB="0" distL="114300" distR="114300" simplePos="0" relativeHeight="251487744" behindDoc="0" locked="0" layoutInCell="1" allowOverlap="1" wp14:anchorId="3417F7B0" wp14:editId="112011D3">
                      <wp:simplePos x="0" y="0"/>
                      <wp:positionH relativeFrom="column">
                        <wp:posOffset>457200</wp:posOffset>
                      </wp:positionH>
                      <wp:positionV relativeFrom="paragraph">
                        <wp:posOffset>65405</wp:posOffset>
                      </wp:positionV>
                      <wp:extent cx="3200400" cy="0"/>
                      <wp:effectExtent l="9525" t="17780" r="9525" b="10795"/>
                      <wp:wrapNone/>
                      <wp:docPr id="328" name="Line 803" descr="P8961C6T9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08CB5" id="Line 803" o:spid="_x0000_s1026" alt="&quot;&quot;" style="position:absolute;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CmUJrEwgEAAG4DAAAOAAAAAAAAAAAAAAAAAC4C&#10;AABkcnMvZTJvRG9jLnhtbFBLAQItABQABgAIAAAAIQAXTzAS2wAAAAgBAAAPAAAAAAAAAAAAAAAA&#10;ABwEAABkcnMvZG93bnJldi54bWxQSwUGAAAAAAQABADzAAAAJAUAAAAA&#10;" strokeweight="1.5pt"/>
                  </w:pict>
                </mc:Fallback>
              </mc:AlternateContent>
            </w:r>
            <w:r w:rsidR="002A21AE">
              <w:rPr>
                <w:b/>
                <w:bCs/>
                <w:szCs w:val="18"/>
              </w:rPr>
              <w:t>NOTES</w:t>
            </w:r>
          </w:p>
          <w:p w14:paraId="137A52AC" w14:textId="77777777" w:rsidR="002A21AE" w:rsidRDefault="002A21AE">
            <w:pPr>
              <w:pStyle w:val="NotesText"/>
            </w:pPr>
          </w:p>
          <w:p w14:paraId="56C259EA" w14:textId="77777777" w:rsidR="001E4DCC" w:rsidRDefault="002A21AE" w:rsidP="00DB7814">
            <w:pPr>
              <w:pStyle w:val="NotesText"/>
            </w:pPr>
            <w:r>
              <w:rPr>
                <w:rFonts w:cs="Arial"/>
                <w:vanish/>
              </w:rPr>
              <w:t xml:space="preserve">BR_38.10 </w:t>
            </w:r>
            <w:r>
              <w:t xml:space="preserve">When a user accesses antigen negative requirements, </w:t>
            </w:r>
            <w:r w:rsidR="00C93B6B">
              <w:t xml:space="preserve">VBECS </w:t>
            </w:r>
            <w:r w:rsidR="005B2FFA">
              <w:t xml:space="preserve">displays and enforces the antigen negative requirement </w:t>
            </w:r>
            <w:r w:rsidR="00C93B6B">
              <w:t>for the patient, regardless of the division setting for the antibody.</w:t>
            </w:r>
          </w:p>
          <w:p w14:paraId="79004025" w14:textId="77777777" w:rsidR="001E4DCC" w:rsidRDefault="001E4DCC" w:rsidP="00DB7814">
            <w:pPr>
              <w:pStyle w:val="NotesText"/>
            </w:pPr>
          </w:p>
          <w:p w14:paraId="19A9B8FD" w14:textId="77777777" w:rsidR="002A21AE" w:rsidRDefault="00C93B6B" w:rsidP="00DB7814">
            <w:pPr>
              <w:pStyle w:val="NotesText"/>
            </w:pPr>
            <w:r>
              <w:t xml:space="preserve">When a user accesses </w:t>
            </w:r>
            <w:r w:rsidR="00AB225C">
              <w:t xml:space="preserve">the </w:t>
            </w:r>
            <w:r>
              <w:t>Antibodies Identified</w:t>
            </w:r>
            <w:r w:rsidR="00AB225C">
              <w:t xml:space="preserve"> tab</w:t>
            </w:r>
            <w:r>
              <w:t xml:space="preserve">, </w:t>
            </w:r>
            <w:r w:rsidR="00AB225C">
              <w:t>VBECS compares the patient’s a</w:t>
            </w:r>
            <w:r w:rsidR="002A21AE">
              <w:t xml:space="preserve">ntibodies with the division’s antibody table setting. When the antibody is set to require antigen negative blood at issue, VBECS displays and enforces the antigen negative requirement. </w:t>
            </w:r>
          </w:p>
        </w:tc>
      </w:tr>
      <w:tr w:rsidR="002A21AE" w14:paraId="39FAD855" w14:textId="77777777">
        <w:tc>
          <w:tcPr>
            <w:tcW w:w="3240" w:type="dxa"/>
          </w:tcPr>
          <w:p w14:paraId="3E220364" w14:textId="77777777" w:rsidR="002A21AE" w:rsidRDefault="002A21AE">
            <w:pPr>
              <w:pStyle w:val="TableTextNumbers"/>
            </w:pPr>
            <w:r>
              <w:t>Select a TR from the pick list, or enter an antigen or antibody, as the tab allows.</w:t>
            </w:r>
          </w:p>
          <w:p w14:paraId="39E8EF1E" w14:textId="77777777" w:rsidR="002A21AE" w:rsidRDefault="002A21AE">
            <w:pPr>
              <w:pStyle w:val="TableTextNumbersContinued"/>
            </w:pPr>
          </w:p>
          <w:p w14:paraId="382A18EE" w14:textId="77777777" w:rsidR="002A21AE" w:rsidRDefault="002A21AE">
            <w:pPr>
              <w:pStyle w:val="TableTextNumbersContinued"/>
            </w:pPr>
            <w:r>
              <w:t xml:space="preserve">Click </w:t>
            </w:r>
            <w:r>
              <w:rPr>
                <w:b/>
              </w:rPr>
              <w:t>Add</w:t>
            </w:r>
            <w:r>
              <w:t xml:space="preserve"> to move the selection to the patient’s record.</w:t>
            </w:r>
          </w:p>
          <w:p w14:paraId="420B43CB" w14:textId="77777777" w:rsidR="002A21AE" w:rsidRDefault="002A21AE">
            <w:pPr>
              <w:pStyle w:val="TableTextNumbersContinued"/>
            </w:pPr>
          </w:p>
          <w:p w14:paraId="45349AB6" w14:textId="77777777" w:rsidR="002A21AE" w:rsidRDefault="002A21AE">
            <w:pPr>
              <w:pStyle w:val="TableTextNumbersContinued"/>
            </w:pPr>
            <w:r>
              <w:t xml:space="preserve">Click </w:t>
            </w:r>
            <w:r>
              <w:rPr>
                <w:b/>
              </w:rPr>
              <w:t>OK</w:t>
            </w:r>
            <w:r>
              <w:t xml:space="preserve"> when all TRs are selected to save them to the patient’s record.</w:t>
            </w:r>
          </w:p>
          <w:p w14:paraId="0E201B67" w14:textId="77777777" w:rsidR="002A21AE" w:rsidRDefault="002A21AE">
            <w:pPr>
              <w:pStyle w:val="TableTextNumbersContinued"/>
            </w:pPr>
          </w:p>
          <w:p w14:paraId="00C7E563" w14:textId="77777777" w:rsidR="002A21AE" w:rsidRDefault="002A21AE">
            <w:pPr>
              <w:pStyle w:val="TableTextNumbersContinued"/>
            </w:pPr>
            <w:r>
              <w:t xml:space="preserve">Click </w:t>
            </w:r>
            <w:r>
              <w:rPr>
                <w:b/>
              </w:rPr>
              <w:t>Yes</w:t>
            </w:r>
            <w:r>
              <w:t xml:space="preserve"> to confirm changes and exit.</w:t>
            </w:r>
          </w:p>
        </w:tc>
        <w:tc>
          <w:tcPr>
            <w:tcW w:w="6120" w:type="dxa"/>
          </w:tcPr>
          <w:p w14:paraId="0FB7A577" w14:textId="77777777" w:rsidR="002A21AE" w:rsidRDefault="002A21AE">
            <w:pPr>
              <w:pStyle w:val="TableTextBullet"/>
            </w:pPr>
            <w:r>
              <w:rPr>
                <w:rFonts w:cs="Arial"/>
                <w:vanish/>
              </w:rPr>
              <w:t xml:space="preserve">BR_38.06 </w:t>
            </w:r>
            <w:r>
              <w:t xml:space="preserve">Allows multiple selections from the Component Requirements, Antibodies Identified, and Antigen Negative tabs. </w:t>
            </w:r>
          </w:p>
          <w:p w14:paraId="135376F0" w14:textId="77777777" w:rsidR="002A21AE" w:rsidRDefault="002A21AE">
            <w:pPr>
              <w:pStyle w:val="TableText"/>
            </w:pPr>
          </w:p>
          <w:p w14:paraId="040696B7" w14:textId="77777777" w:rsidR="002A21AE" w:rsidRDefault="00057948">
            <w:pPr>
              <w:pStyle w:val="TableText"/>
              <w:rPr>
                <w:b/>
                <w:bCs/>
                <w:szCs w:val="18"/>
              </w:rPr>
            </w:pPr>
            <w:r>
              <w:rPr>
                <w:b/>
                <w:bCs/>
                <w:noProof/>
              </w:rPr>
              <mc:AlternateContent>
                <mc:Choice Requires="wps">
                  <w:drawing>
                    <wp:anchor distT="0" distB="0" distL="114300" distR="114300" simplePos="0" relativeHeight="251478528" behindDoc="0" locked="0" layoutInCell="1" allowOverlap="1" wp14:anchorId="2A405CA9" wp14:editId="16588FEA">
                      <wp:simplePos x="0" y="0"/>
                      <wp:positionH relativeFrom="column">
                        <wp:posOffset>457200</wp:posOffset>
                      </wp:positionH>
                      <wp:positionV relativeFrom="paragraph">
                        <wp:posOffset>65405</wp:posOffset>
                      </wp:positionV>
                      <wp:extent cx="3200400" cy="0"/>
                      <wp:effectExtent l="9525" t="17780" r="9525" b="10795"/>
                      <wp:wrapNone/>
                      <wp:docPr id="327" name="Line 800" descr="P8976C8T9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411E54" id="Line 800" o:spid="_x0000_s1026" alt="&quot;&quot;" style="position:absolute;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O1Ea3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0BD0AB2F" w14:textId="77777777" w:rsidR="002A21AE" w:rsidRDefault="002A21AE">
            <w:pPr>
              <w:pStyle w:val="TableText"/>
            </w:pPr>
          </w:p>
          <w:p w14:paraId="5F43EAD9" w14:textId="77777777" w:rsidR="002A21AE" w:rsidRDefault="002A21AE">
            <w:pPr>
              <w:pStyle w:val="NotesText"/>
            </w:pPr>
            <w:r>
              <w:t>VBECS applies the TR to component classes, as indicated.</w:t>
            </w:r>
          </w:p>
          <w:p w14:paraId="4B9574F0" w14:textId="77777777" w:rsidR="002A21AE" w:rsidRDefault="002A21AE">
            <w:pPr>
              <w:pStyle w:val="NotesText"/>
            </w:pPr>
          </w:p>
          <w:p w14:paraId="3FB40523" w14:textId="77777777" w:rsidR="002A21AE" w:rsidRDefault="002A21AE">
            <w:pPr>
              <w:pStyle w:val="NotesText"/>
            </w:pPr>
            <w:r>
              <w:rPr>
                <w:rFonts w:cs="Arial"/>
                <w:vanish/>
              </w:rPr>
              <w:t xml:space="preserve">BR_38.16 </w:t>
            </w:r>
            <w:r>
              <w:t xml:space="preserve">The user may not add duplicate SIs or TRs in the same session, but may duplicate them in another session. </w:t>
            </w:r>
          </w:p>
          <w:p w14:paraId="7835E368" w14:textId="77777777" w:rsidR="002A21AE" w:rsidRDefault="002A21AE">
            <w:pPr>
              <w:pStyle w:val="NotesText"/>
            </w:pPr>
          </w:p>
          <w:p w14:paraId="466208DD" w14:textId="77777777" w:rsidR="002A21AE" w:rsidRDefault="002A21AE">
            <w:pPr>
              <w:pStyle w:val="NotesText"/>
            </w:pPr>
            <w:r>
              <w:rPr>
                <w:rFonts w:cs="Arial"/>
                <w:vanish/>
              </w:rPr>
              <w:t xml:space="preserve">BR_38.07 </w:t>
            </w:r>
            <w:r>
              <w:t xml:space="preserve">The division code and date of entry are associated with the entered component or antigen negative requirement, or antibody specificity so that other divisions will to know whom to contact for further information, when needed. The original entries may have been made through Patient Testing (associated with an antibody identification) or TRs from any division within a multidivisional database. </w:t>
            </w:r>
          </w:p>
        </w:tc>
      </w:tr>
      <w:tr w:rsidR="002A21AE" w14:paraId="66E4751B" w14:textId="77777777">
        <w:tc>
          <w:tcPr>
            <w:tcW w:w="3240" w:type="dxa"/>
          </w:tcPr>
          <w:p w14:paraId="674A0ABF" w14:textId="34C05727" w:rsidR="002A21AE" w:rsidRDefault="002A21AE">
            <w:pPr>
              <w:pStyle w:val="TableTextNumbers"/>
            </w:pPr>
            <w:r>
              <w:t>Select the TR to be inactivated</w:t>
            </w:r>
            <w:r w:rsidR="005346F4">
              <w:t xml:space="preserve"> (</w:t>
            </w:r>
            <w:r w:rsidR="005346F4">
              <w:fldChar w:fldCharType="begin" w:fldLock="1"/>
            </w:r>
            <w:r w:rsidR="005346F4">
              <w:instrText xml:space="preserve"> REF _Ref127095162 \h </w:instrText>
            </w:r>
            <w:r w:rsidR="005346F4">
              <w:fldChar w:fldCharType="separate"/>
            </w:r>
            <w:r w:rsidR="00AB304C">
              <w:t xml:space="preserve">Figure </w:t>
            </w:r>
            <w:r w:rsidR="00AB304C">
              <w:rPr>
                <w:noProof/>
              </w:rPr>
              <w:t>140</w:t>
            </w:r>
            <w:r w:rsidR="005346F4">
              <w:fldChar w:fldCharType="end"/>
            </w:r>
            <w:r w:rsidR="005346F4">
              <w:t>)</w:t>
            </w:r>
            <w:r>
              <w:t>.</w:t>
            </w:r>
          </w:p>
          <w:p w14:paraId="1E8B215F" w14:textId="77777777" w:rsidR="002A21AE" w:rsidRDefault="002A21AE">
            <w:pPr>
              <w:pStyle w:val="TableTextNumbersContinued"/>
            </w:pPr>
          </w:p>
          <w:p w14:paraId="5A8C0723" w14:textId="77777777" w:rsidR="002A21AE" w:rsidRDefault="002A21AE">
            <w:pPr>
              <w:pStyle w:val="TableTextNumbersContinued"/>
            </w:pPr>
            <w:r>
              <w:t xml:space="preserve">Select and/or enter an explanatory comment and click </w:t>
            </w:r>
            <w:r>
              <w:rPr>
                <w:b/>
              </w:rPr>
              <w:t>OK</w:t>
            </w:r>
            <w:r>
              <w:t xml:space="preserve">. </w:t>
            </w:r>
          </w:p>
        </w:tc>
        <w:tc>
          <w:tcPr>
            <w:tcW w:w="6120" w:type="dxa"/>
          </w:tcPr>
          <w:p w14:paraId="48FAAA72" w14:textId="77777777" w:rsidR="002A21AE" w:rsidRDefault="002A21AE">
            <w:pPr>
              <w:pStyle w:val="TableTextBullet"/>
            </w:pPr>
            <w:r>
              <w:t>Allows the user to enter a comment.</w:t>
            </w:r>
          </w:p>
          <w:p w14:paraId="5369C45C" w14:textId="77777777" w:rsidR="002A21AE" w:rsidRDefault="002A21AE">
            <w:pPr>
              <w:pStyle w:val="TableText"/>
            </w:pPr>
          </w:p>
          <w:p w14:paraId="1B9EDB4F" w14:textId="77777777" w:rsidR="002A21AE" w:rsidRDefault="00057948">
            <w:pPr>
              <w:pStyle w:val="TableText"/>
              <w:rPr>
                <w:b/>
                <w:bCs/>
                <w:szCs w:val="18"/>
              </w:rPr>
            </w:pPr>
            <w:r>
              <w:rPr>
                <w:b/>
                <w:bCs/>
                <w:noProof/>
              </w:rPr>
              <mc:AlternateContent>
                <mc:Choice Requires="wps">
                  <w:drawing>
                    <wp:anchor distT="0" distB="0" distL="114300" distR="114300" simplePos="0" relativeHeight="251481600" behindDoc="0" locked="0" layoutInCell="1" allowOverlap="1" wp14:anchorId="72595B0B" wp14:editId="5E95C9B1">
                      <wp:simplePos x="0" y="0"/>
                      <wp:positionH relativeFrom="column">
                        <wp:posOffset>457200</wp:posOffset>
                      </wp:positionH>
                      <wp:positionV relativeFrom="paragraph">
                        <wp:posOffset>65405</wp:posOffset>
                      </wp:positionV>
                      <wp:extent cx="3200400" cy="0"/>
                      <wp:effectExtent l="9525" t="17780" r="9525" b="10795"/>
                      <wp:wrapNone/>
                      <wp:docPr id="326" name="Line 801" descr="P8989C10T9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F296D" id="Line 801" o:spid="_x0000_s1026" alt="&quot;&quot;" style="position:absolute;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cjJhA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38503007" w14:textId="77777777" w:rsidR="002A21AE" w:rsidRPr="00B31C95" w:rsidRDefault="002A21AE">
            <w:pPr>
              <w:pStyle w:val="NotesText"/>
              <w:rPr>
                <w:rFonts w:cs="Arial"/>
                <w:szCs w:val="18"/>
              </w:rPr>
            </w:pPr>
          </w:p>
          <w:p w14:paraId="774F5D92" w14:textId="77777777" w:rsidR="002D516C" w:rsidRPr="00B31C95" w:rsidRDefault="002A21AE" w:rsidP="002D516C">
            <w:pPr>
              <w:pStyle w:val="TableText"/>
              <w:ind w:left="720"/>
              <w:rPr>
                <w:rFonts w:cs="Arial"/>
                <w:szCs w:val="18"/>
              </w:rPr>
            </w:pPr>
            <w:r w:rsidRPr="00B31C95">
              <w:rPr>
                <w:rFonts w:cs="Arial"/>
                <w:vanish/>
                <w:szCs w:val="18"/>
              </w:rPr>
              <w:t xml:space="preserve">BR_38.13 </w:t>
            </w:r>
            <w:r w:rsidR="002D516C" w:rsidRPr="00B31C95">
              <w:rPr>
                <w:rFonts w:cs="Arial"/>
                <w:szCs w:val="18"/>
              </w:rPr>
              <w:t xml:space="preserve">When a Transfusion Requirement is inactivated in any division in a multidivisional configuration, a comment (free text or from a canned comment with the context: </w:t>
            </w:r>
            <w:r w:rsidR="00B31C95" w:rsidRPr="00B31C95">
              <w:rPr>
                <w:rStyle w:val="StyleTableText9ptCharChar"/>
                <w:rFonts w:cs="Arial"/>
                <w:szCs w:val="18"/>
              </w:rPr>
              <w:t xml:space="preserve">Transfusion Requirement </w:t>
            </w:r>
            <w:r w:rsidR="00B31C95" w:rsidRPr="00B31C95">
              <w:rPr>
                <w:rStyle w:val="StyleTableText9ptCharChar"/>
                <w:rFonts w:cs="Arial"/>
                <w:szCs w:val="18"/>
              </w:rPr>
              <w:lastRenderedPageBreak/>
              <w:t>Inactivation)</w:t>
            </w:r>
            <w:r w:rsidR="00B31C95" w:rsidRPr="00B31C95">
              <w:rPr>
                <w:rFonts w:cs="Arial"/>
                <w:szCs w:val="18"/>
              </w:rPr>
              <w:t xml:space="preserve"> must be added that will be saved and printed on the audit trail of originating division alerting the originating division of the change to the patient’s TR setting if they were not consulted regarding that change. </w:t>
            </w:r>
            <w:r w:rsidR="00B31C95" w:rsidRPr="00B31C95">
              <w:rPr>
                <w:rFonts w:cs="Arial"/>
                <w:vanish/>
                <w:szCs w:val="18"/>
              </w:rPr>
              <w:t>DR 4598</w:t>
            </w:r>
          </w:p>
          <w:p w14:paraId="3AC5B2DC" w14:textId="77777777" w:rsidR="002D516C" w:rsidRPr="00B31C95" w:rsidRDefault="002D516C" w:rsidP="002D516C">
            <w:pPr>
              <w:pStyle w:val="TableText"/>
              <w:rPr>
                <w:rFonts w:cs="Arial"/>
                <w:szCs w:val="18"/>
              </w:rPr>
            </w:pPr>
          </w:p>
          <w:p w14:paraId="4D6B6F79" w14:textId="77777777" w:rsidR="002A21AE" w:rsidRPr="00B31C95" w:rsidRDefault="002D516C" w:rsidP="002D516C">
            <w:pPr>
              <w:pStyle w:val="NotesText"/>
              <w:rPr>
                <w:rFonts w:cs="Arial"/>
                <w:szCs w:val="18"/>
              </w:rPr>
            </w:pPr>
            <w:r w:rsidRPr="00B31C95">
              <w:rPr>
                <w:rFonts w:cs="Arial"/>
                <w:szCs w:val="18"/>
              </w:rPr>
              <w:t xml:space="preserve">Note:  It is best practice that inactivating a TR in the non-originating division involves a consultation with the originating division and allowing the originating to make the change with any </w:t>
            </w:r>
            <w:r w:rsidR="00B31C95" w:rsidRPr="00B31C95">
              <w:rPr>
                <w:rFonts w:cs="Arial"/>
                <w:szCs w:val="18"/>
              </w:rPr>
              <w:t>locally required documentation.</w:t>
            </w:r>
          </w:p>
          <w:p w14:paraId="2DA04EB9" w14:textId="77777777" w:rsidR="00DB7814" w:rsidRPr="00B31C95" w:rsidRDefault="00DB7814">
            <w:pPr>
              <w:pStyle w:val="NotesText"/>
              <w:rPr>
                <w:rFonts w:cs="Arial"/>
                <w:szCs w:val="18"/>
              </w:rPr>
            </w:pPr>
          </w:p>
          <w:p w14:paraId="79F8D9E8" w14:textId="77777777" w:rsidR="00DB7814" w:rsidRPr="00B31C95" w:rsidRDefault="00DB7814" w:rsidP="00DB7814">
            <w:pPr>
              <w:pStyle w:val="NotesText"/>
              <w:rPr>
                <w:rFonts w:cs="Arial"/>
                <w:szCs w:val="18"/>
              </w:rPr>
            </w:pPr>
            <w:r w:rsidRPr="00B31C95">
              <w:rPr>
                <w:rFonts w:cs="Arial"/>
                <w:szCs w:val="18"/>
              </w:rPr>
              <w:t>For inactivation of an item:</w:t>
            </w:r>
          </w:p>
          <w:p w14:paraId="5ACC9D27" w14:textId="77777777" w:rsidR="00DB7814" w:rsidRPr="00B31C95" w:rsidRDefault="00DB7814" w:rsidP="00DB7814">
            <w:pPr>
              <w:pStyle w:val="NotesTextBullet"/>
              <w:rPr>
                <w:rFonts w:cs="Arial"/>
                <w:szCs w:val="18"/>
              </w:rPr>
            </w:pPr>
            <w:r w:rsidRPr="00B31C95">
              <w:rPr>
                <w:rFonts w:cs="Arial"/>
                <w:vanish/>
                <w:szCs w:val="18"/>
              </w:rPr>
              <w:t xml:space="preserve">BR_38.09, BR_38.12, BR_38.14 </w:t>
            </w:r>
            <w:r w:rsidR="00B578C9" w:rsidRPr="00AE271A">
              <w:rPr>
                <w:rFonts w:ascii="Wingdings 3" w:hAnsi="Wingdings 3"/>
              </w:rPr>
              <w:t></w:t>
            </w:r>
            <w:r w:rsidR="00B578C9" w:rsidRPr="00AE271A">
              <w:rPr>
                <w:rFonts w:ascii="Wingdings 3" w:hAnsi="Wingdings 3"/>
              </w:rPr>
              <w:t></w:t>
            </w:r>
            <w:r w:rsidR="00B578C9" w:rsidRPr="00AE271A">
              <w:rPr>
                <w:rFonts w:ascii="Wingdings 3" w:hAnsi="Wingdings 3"/>
              </w:rPr>
              <w:t></w:t>
            </w:r>
            <w:r w:rsidR="00B578C9" w:rsidRPr="00AE271A">
              <w:rPr>
                <w:rFonts w:ascii="Wingdings 3" w:hAnsi="Wingdings 3"/>
              </w:rPr>
              <w:t></w:t>
            </w:r>
            <w:r w:rsidR="00B578C9">
              <w:t xml:space="preserve"> </w:t>
            </w:r>
            <w:r w:rsidRPr="00B31C95">
              <w:rPr>
                <w:rFonts w:cs="Arial"/>
                <w:szCs w:val="18"/>
              </w:rPr>
              <w:t xml:space="preserve">A Traditional Supervisor from any division may inactivate TRs and persistent antigen negative requirements in a multidivisional database regardless of the source of the TR. </w:t>
            </w:r>
          </w:p>
          <w:p w14:paraId="76B5D561" w14:textId="77777777" w:rsidR="00994FF2" w:rsidRPr="00B31C95" w:rsidRDefault="00DB7814" w:rsidP="00994FF2">
            <w:pPr>
              <w:pStyle w:val="NotesTextBullet"/>
              <w:rPr>
                <w:rFonts w:cs="Arial"/>
                <w:szCs w:val="18"/>
              </w:rPr>
            </w:pPr>
            <w:r w:rsidRPr="00B31C95">
              <w:rPr>
                <w:rFonts w:cs="Arial"/>
                <w:vanish/>
                <w:szCs w:val="18"/>
              </w:rPr>
              <w:t xml:space="preserve">BR_38.15 </w:t>
            </w:r>
            <w:r w:rsidRPr="00B31C95">
              <w:rPr>
                <w:rFonts w:cs="Arial"/>
                <w:szCs w:val="18"/>
              </w:rPr>
              <w:t>When an antibody specificity is inactivated, VBECS inactivates the corresponding calculated (VBECS-generated) antigen negative requirement.</w:t>
            </w:r>
          </w:p>
          <w:p w14:paraId="38C7DFE0" w14:textId="77777777" w:rsidR="00DB7814" w:rsidRDefault="00DB7814" w:rsidP="00994FF2">
            <w:pPr>
              <w:pStyle w:val="NotesTextBullet"/>
            </w:pPr>
            <w:r w:rsidRPr="00B31C95">
              <w:rPr>
                <w:rFonts w:cs="Arial"/>
                <w:vanish/>
                <w:szCs w:val="18"/>
              </w:rPr>
              <w:t xml:space="preserve">BR_38.11, BR_38.03 </w:t>
            </w:r>
            <w:r w:rsidRPr="00B31C95">
              <w:rPr>
                <w:rFonts w:cs="Arial"/>
                <w:szCs w:val="18"/>
              </w:rPr>
              <w:t>For antibodies identified, VBECS displays a summary of antibodies currently associated with the patient and identifies their source. Additional antibodies may be added and previously identified antibodies may be inactivated.</w:t>
            </w:r>
          </w:p>
        </w:tc>
      </w:tr>
      <w:tr w:rsidR="002A21AE" w14:paraId="69802D54" w14:textId="77777777">
        <w:tc>
          <w:tcPr>
            <w:tcW w:w="3240" w:type="dxa"/>
          </w:tcPr>
          <w:p w14:paraId="656D79C1" w14:textId="77777777" w:rsidR="002A21AE" w:rsidRDefault="002A21AE">
            <w:pPr>
              <w:pStyle w:val="TableTextNumbers"/>
            </w:pPr>
            <w:r>
              <w:lastRenderedPageBreak/>
              <w:t>Return to Step 2 to continue editing the patient’s TRs.</w:t>
            </w:r>
          </w:p>
        </w:tc>
        <w:tc>
          <w:tcPr>
            <w:tcW w:w="6120" w:type="dxa"/>
          </w:tcPr>
          <w:p w14:paraId="33E4BF00" w14:textId="77777777" w:rsidR="002A21AE" w:rsidRDefault="002A21AE">
            <w:pPr>
              <w:pStyle w:val="TableText"/>
            </w:pPr>
          </w:p>
        </w:tc>
      </w:tr>
      <w:tr w:rsidR="002A21AE" w14:paraId="78C0E631" w14:textId="77777777">
        <w:tc>
          <w:tcPr>
            <w:tcW w:w="3240" w:type="dxa"/>
          </w:tcPr>
          <w:p w14:paraId="7557D08B" w14:textId="77777777" w:rsidR="002A21AE" w:rsidRDefault="002A21AE">
            <w:pPr>
              <w:pStyle w:val="TableTextNumbers"/>
            </w:pPr>
            <w:r>
              <w:t xml:space="preserve">Accept entries and exit, or </w:t>
            </w:r>
          </w:p>
          <w:p w14:paraId="44E86D51" w14:textId="77777777" w:rsidR="002A21AE" w:rsidRDefault="002A21AE">
            <w:pPr>
              <w:pStyle w:val="TableTextNumbersContinued"/>
            </w:pPr>
          </w:p>
          <w:p w14:paraId="23B689FB" w14:textId="77777777" w:rsidR="002A21AE" w:rsidRDefault="002A21AE">
            <w:pPr>
              <w:pStyle w:val="TableTextNumbersContinued"/>
            </w:pPr>
            <w:r>
              <w:t xml:space="preserve">Return to Step 1 to make entries for a different patient.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14:paraId="2CD81596" w14:textId="77777777" w:rsidR="002A21AE" w:rsidRDefault="002A21AE">
            <w:pPr>
              <w:pStyle w:val="TableText"/>
            </w:pPr>
          </w:p>
        </w:tc>
      </w:tr>
    </w:tbl>
    <w:p w14:paraId="1B4BE9AD" w14:textId="36409BA3" w:rsidR="00994FF2" w:rsidRDefault="00994FF2" w:rsidP="00994FF2">
      <w:pPr>
        <w:pStyle w:val="Caption"/>
      </w:pPr>
      <w:bookmarkStart w:id="532" w:name="_Ref127094922"/>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139</w:t>
      </w:r>
      <w:r w:rsidR="004E20BD">
        <w:rPr>
          <w:noProof/>
        </w:rPr>
        <w:fldChar w:fldCharType="end"/>
      </w:r>
      <w:bookmarkEnd w:id="532"/>
      <w:r>
        <w:t>: Enter Patient Special Instructions and Transfusion Requirements</w:t>
      </w:r>
    </w:p>
    <w:p w14:paraId="4A505FB3" w14:textId="77777777" w:rsidR="00994FF2" w:rsidRDefault="00057948" w:rsidP="00994FF2">
      <w:pPr>
        <w:pStyle w:val="BodyText"/>
      </w:pPr>
      <w:r>
        <w:rPr>
          <w:noProof/>
        </w:rPr>
        <w:drawing>
          <wp:inline distT="0" distB="0" distL="0" distR="0" wp14:anchorId="3D79FB35" wp14:editId="3367624B">
            <wp:extent cx="5597525" cy="4313555"/>
            <wp:effectExtent l="0" t="0" r="3175" b="0"/>
            <wp:docPr id="253" name="Picture 253" descr="P9009#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P9009#yIS1">
                      <a:extLst>
                        <a:ext uri="{C183D7F6-B498-43B3-948B-1728B52AA6E4}">
                          <adec:decorative xmlns:adec="http://schemas.microsoft.com/office/drawing/2017/decorative" val="1"/>
                        </a:ext>
                      </a:extLst>
                    </pic:cNvPr>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597525" cy="4313555"/>
                    </a:xfrm>
                    <a:prstGeom prst="rect">
                      <a:avLst/>
                    </a:prstGeom>
                    <a:noFill/>
                    <a:ln>
                      <a:noFill/>
                    </a:ln>
                  </pic:spPr>
                </pic:pic>
              </a:graphicData>
            </a:graphic>
          </wp:inline>
        </w:drawing>
      </w:r>
    </w:p>
    <w:p w14:paraId="0874254E" w14:textId="053833E8" w:rsidR="005346F4" w:rsidRDefault="005346F4" w:rsidP="005346F4">
      <w:pPr>
        <w:pStyle w:val="Caption"/>
      </w:pPr>
      <w:bookmarkStart w:id="533" w:name="_Ref127095162"/>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140</w:t>
      </w:r>
      <w:r w:rsidR="004E20BD">
        <w:rPr>
          <w:noProof/>
        </w:rPr>
        <w:fldChar w:fldCharType="end"/>
      </w:r>
      <w:bookmarkEnd w:id="533"/>
      <w:r>
        <w:t>: Inactivate Component Requirements</w:t>
      </w:r>
    </w:p>
    <w:p w14:paraId="6AC7DB8E" w14:textId="77777777" w:rsidR="005346F4" w:rsidRDefault="00057948" w:rsidP="00994FF2">
      <w:pPr>
        <w:pStyle w:val="BodyText"/>
      </w:pPr>
      <w:r>
        <w:rPr>
          <w:noProof/>
        </w:rPr>
        <w:drawing>
          <wp:inline distT="0" distB="0" distL="0" distR="0" wp14:anchorId="209B9378" wp14:editId="2032ACAB">
            <wp:extent cx="5717540" cy="5089525"/>
            <wp:effectExtent l="0" t="0" r="0" b="0"/>
            <wp:docPr id="254" name="Picture 254" descr="P9011#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P9011#yIS1">
                      <a:extLst>
                        <a:ext uri="{C183D7F6-B498-43B3-948B-1728B52AA6E4}">
                          <adec:decorative xmlns:adec="http://schemas.microsoft.com/office/drawing/2017/decorative" val="1"/>
                        </a:ext>
                      </a:extLst>
                    </pic:cNvPr>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717540" cy="5089525"/>
                    </a:xfrm>
                    <a:prstGeom prst="rect">
                      <a:avLst/>
                    </a:prstGeom>
                    <a:noFill/>
                    <a:ln>
                      <a:noFill/>
                    </a:ln>
                  </pic:spPr>
                </pic:pic>
              </a:graphicData>
            </a:graphic>
          </wp:inline>
        </w:drawing>
      </w:r>
    </w:p>
    <w:p w14:paraId="103EB599" w14:textId="77777777" w:rsidR="002A21AE" w:rsidRDefault="002A21AE">
      <w:pPr>
        <w:pStyle w:val="Heading3"/>
      </w:pPr>
      <w:r>
        <w:br w:type="page"/>
      </w:r>
      <w:bookmarkStart w:id="534" w:name="_Toc4588825"/>
      <w:r>
        <w:lastRenderedPageBreak/>
        <w:t>Special Instructions &amp; Transfusion Requirements: Enter and Remove Special Instructions</w:t>
      </w:r>
      <w:bookmarkEnd w:id="534"/>
      <w:r>
        <w:fldChar w:fldCharType="begin"/>
      </w:r>
      <w:r>
        <w:instrText xml:space="preserve"> XE </w:instrText>
      </w:r>
      <w:r w:rsidR="00FA7E65">
        <w:instrText>“</w:instrText>
      </w:r>
      <w:r>
        <w:instrText>Special Instructions &amp; Transfusion Requirements\: Enter and Remove Special Instructions</w:instrText>
      </w:r>
      <w:r w:rsidR="00FA7E65">
        <w:instrText>”</w:instrText>
      </w:r>
      <w:r>
        <w:instrText xml:space="preserve"> </w:instrText>
      </w:r>
      <w:r>
        <w:fldChar w:fldCharType="end"/>
      </w:r>
      <w:r>
        <w:t xml:space="preserve"> </w:t>
      </w:r>
      <w:r>
        <w:rPr>
          <w:rFonts w:ascii="Times New Roman" w:hAnsi="Times New Roman" w:cs="Times New Roman"/>
          <w:b w:val="0"/>
          <w:vanish/>
          <w:sz w:val="22"/>
        </w:rPr>
        <w:t>UC_37</w:t>
      </w:r>
    </w:p>
    <w:p w14:paraId="50C96E58" w14:textId="77777777" w:rsidR="002A21AE" w:rsidRDefault="002A21AE" w:rsidP="00FA7E65">
      <w:pPr>
        <w:pStyle w:val="BodyText"/>
      </w:pPr>
      <w:r>
        <w:t>The user enter</w:t>
      </w:r>
      <w:r w:rsidR="007C7B3C">
        <w:t>s</w:t>
      </w:r>
      <w:r>
        <w:t xml:space="preserve"> comments in a patient’s file that are not enforced by VBECS.</w:t>
      </w:r>
    </w:p>
    <w:p w14:paraId="5A9B15E9" w14:textId="77777777" w:rsidR="002A21AE" w:rsidRDefault="002A21AE">
      <w:pPr>
        <w:pStyle w:val="Heading4"/>
      </w:pPr>
      <w:r>
        <w:t>Assumptions</w:t>
      </w:r>
      <w:r>
        <w:rPr>
          <w:b w:val="0"/>
        </w:rPr>
        <w:t xml:space="preserve"> </w:t>
      </w:r>
    </w:p>
    <w:p w14:paraId="0AA473B9" w14:textId="77777777" w:rsidR="002A21AE" w:rsidRDefault="002A21AE">
      <w:pPr>
        <w:pStyle w:val="ListBullet"/>
      </w:pPr>
      <w:r>
        <w:t>Fields containing Special Instructions (SIs) may be populated during database conversion.</w:t>
      </w:r>
    </w:p>
    <w:p w14:paraId="61F83F25" w14:textId="77777777" w:rsidR="002A21AE" w:rsidRDefault="002A21AE">
      <w:pPr>
        <w:pStyle w:val="Heading4"/>
      </w:pPr>
      <w:r>
        <w:t xml:space="preserve">Outcome </w:t>
      </w:r>
    </w:p>
    <w:p w14:paraId="0B9B5E76" w14:textId="77777777" w:rsidR="002A21AE" w:rsidRDefault="002A21AE">
      <w:pPr>
        <w:pStyle w:val="ListBullet"/>
      </w:pPr>
      <w:r>
        <w:t xml:space="preserve">When the user searches for a patient or when the Patient Information Toolbar is displayed, VBECS displays </w:t>
      </w:r>
      <w:r w:rsidR="00057948">
        <w:rPr>
          <w:noProof/>
        </w:rPr>
        <w:drawing>
          <wp:inline distT="0" distB="0" distL="0" distR="0" wp14:anchorId="292C7C10" wp14:editId="2AA030C1">
            <wp:extent cx="156845" cy="156845"/>
            <wp:effectExtent l="0" t="0" r="0" b="0"/>
            <wp:docPr id="255" name="Picture 255" descr="P90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P9017#yIS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to alert the user to view the patient’s SI entries.</w:t>
      </w:r>
    </w:p>
    <w:p w14:paraId="62839D8C" w14:textId="77777777" w:rsidR="002A21AE" w:rsidRDefault="002A21AE">
      <w:pPr>
        <w:pStyle w:val="ListBullet"/>
      </w:pPr>
      <w:r>
        <w:t>When a user retrieves a patient record and is in a multidivisional setting, he may view SIs created in all divisions within the database.</w:t>
      </w:r>
    </w:p>
    <w:p w14:paraId="6E3FE50A" w14:textId="77777777" w:rsidR="002A21AE" w:rsidRDefault="002A21AE">
      <w:pPr>
        <w:pStyle w:val="Heading4"/>
      </w:pPr>
      <w:r>
        <w:t>Limitations and Restrictions</w:t>
      </w:r>
      <w:r>
        <w:rPr>
          <w:b w:val="0"/>
        </w:rPr>
        <w:t xml:space="preserve"> </w:t>
      </w:r>
    </w:p>
    <w:p w14:paraId="2442A107" w14:textId="77777777" w:rsidR="002A21AE" w:rsidRDefault="00F632F2">
      <w:pPr>
        <w:pStyle w:val="ListBullet"/>
      </w:pPr>
      <w:r>
        <w:t xml:space="preserve">VBECS does not enforce </w:t>
      </w:r>
      <w:r w:rsidR="002A21AE">
        <w:t xml:space="preserve">Transfusion Requirements (TRs) or antigen negative requirements </w:t>
      </w:r>
      <w:r>
        <w:t xml:space="preserve">entered </w:t>
      </w:r>
      <w:r w:rsidR="002A21AE">
        <w:t>through this option.</w:t>
      </w:r>
    </w:p>
    <w:p w14:paraId="2B284EB4" w14:textId="77777777" w:rsidR="002A21AE" w:rsidRDefault="002A21AE">
      <w:pPr>
        <w:pStyle w:val="ListBullet"/>
      </w:pPr>
      <w:r>
        <w:t xml:space="preserve">SIs moved to VBECS during the </w:t>
      </w:r>
      <w:r w:rsidR="00150930">
        <w:t>database conversion</w:t>
      </w:r>
      <w:r>
        <w:t xml:space="preserve"> </w:t>
      </w:r>
      <w:r w:rsidR="009A4A6D">
        <w:t xml:space="preserve">may contain information that must </w:t>
      </w:r>
      <w:r>
        <w:t xml:space="preserve">be entered as TRs in VBECS. Inactivate the old SI and create a TR and new updated SI: the </w:t>
      </w:r>
      <w:r w:rsidR="00150930">
        <w:t>database conversion</w:t>
      </w:r>
      <w:r>
        <w:t xml:space="preserve"> software cannot automatically translate the SI from database conversion into a rule-based TR.</w:t>
      </w:r>
    </w:p>
    <w:p w14:paraId="44601BF8" w14:textId="77777777" w:rsidR="002A21AE" w:rsidRDefault="009333B1">
      <w:pPr>
        <w:pStyle w:val="ListBullet"/>
      </w:pPr>
      <w:r>
        <w:t xml:space="preserve">VBECS will truncate </w:t>
      </w:r>
      <w:r w:rsidR="00DB7814">
        <w:t xml:space="preserve">SI text from </w:t>
      </w:r>
      <w:r w:rsidR="00837204">
        <w:t xml:space="preserve">the </w:t>
      </w:r>
      <w:r w:rsidR="00DB7814">
        <w:t xml:space="preserve">VistA </w:t>
      </w:r>
      <w:r w:rsidR="00150930">
        <w:t>database conversion</w:t>
      </w:r>
      <w:r w:rsidR="002A21AE">
        <w:t>.</w:t>
      </w:r>
    </w:p>
    <w:p w14:paraId="361DC4FF" w14:textId="77777777" w:rsidR="002A21AE" w:rsidRDefault="002A21AE">
      <w:pPr>
        <w:pStyle w:val="Heading4"/>
      </w:pPr>
      <w:r>
        <w:t>Additional Information</w:t>
      </w:r>
    </w:p>
    <w:p w14:paraId="2F1B448D" w14:textId="77777777" w:rsidR="002A21AE" w:rsidRDefault="002A21AE">
      <w:pPr>
        <w:pStyle w:val="ListBullet"/>
      </w:pPr>
      <w:r>
        <w:t xml:space="preserve">Inactivation of patient SI entries is allowed only in the division of entry. </w:t>
      </w:r>
    </w:p>
    <w:p w14:paraId="4421ADDD" w14:textId="77777777" w:rsidR="002A21AE" w:rsidRDefault="002A21AE">
      <w:pPr>
        <w:pStyle w:val="ListBullet"/>
      </w:pPr>
      <w:r>
        <w:t xml:space="preserve">Only currently active SIs at a division will automatically display via the database to all divisions. </w:t>
      </w:r>
    </w:p>
    <w:p w14:paraId="5B17CC8D" w14:textId="77777777" w:rsidR="002A21AE" w:rsidRDefault="002A21AE">
      <w:pPr>
        <w:pStyle w:val="ListBullet"/>
      </w:pPr>
      <w:r>
        <w:t xml:space="preserve">Inactive SIs are not deleted from the VBECS database. They may not be reactivated but may be viewed in the maintenance fields when requested. </w:t>
      </w:r>
    </w:p>
    <w:p w14:paraId="3B0F3230" w14:textId="77777777" w:rsidR="002A21AE" w:rsidRDefault="002A21AE">
      <w:pPr>
        <w:pStyle w:val="ListBullet"/>
      </w:pPr>
      <w:r>
        <w:t xml:space="preserve">Canned comments in the Special Instructions context must be entered by the division before they can be selected for use. </w:t>
      </w:r>
    </w:p>
    <w:p w14:paraId="510523AB" w14:textId="77777777" w:rsidR="002A21AE" w:rsidRDefault="002A21AE">
      <w:pPr>
        <w:pStyle w:val="ListBullet"/>
      </w:pPr>
      <w:r>
        <w:rPr>
          <w:rFonts w:ascii="Arial" w:hAnsi="Arial" w:cs="Arial"/>
          <w:vanish/>
          <w:spacing w:val="0"/>
          <w:sz w:val="18"/>
        </w:rPr>
        <w:t xml:space="preserve">BR_37.03 </w:t>
      </w:r>
      <w:r>
        <w:t>Previously saved Special Instructions that require editing due to context or spelling errors must be inactivated and reentered in total.</w:t>
      </w:r>
    </w:p>
    <w:p w14:paraId="4D3634DB" w14:textId="77777777" w:rsidR="002A21AE" w:rsidRDefault="00150930">
      <w:pPr>
        <w:pStyle w:val="ListBullet"/>
      </w:pPr>
      <w:r>
        <w:t>Database conversion</w:t>
      </w:r>
      <w:r w:rsidR="002A21AE">
        <w:t xml:space="preserve"> entries are labeled as such. </w:t>
      </w:r>
      <w:r w:rsidR="002A21AE">
        <w:rPr>
          <w:rFonts w:ascii="Arial" w:hAnsi="Arial" w:cs="Arial"/>
          <w:vanish/>
          <w:spacing w:val="0"/>
          <w:sz w:val="18"/>
        </w:rPr>
        <w:t xml:space="preserve">BR_37.05 </w:t>
      </w:r>
    </w:p>
    <w:p w14:paraId="33969851" w14:textId="77777777" w:rsidR="002A21AE" w:rsidRDefault="002A21AE">
      <w:pPr>
        <w:pStyle w:val="ListBullet"/>
      </w:pPr>
      <w:r>
        <w:t>SIs from database conversion may include component or antigen negative requirements that must be entered in TRs so that VBECS can enforce them.</w:t>
      </w:r>
    </w:p>
    <w:p w14:paraId="335E1E56" w14:textId="77777777" w:rsidR="002A21AE" w:rsidRDefault="002A21AE">
      <w:pPr>
        <w:pStyle w:val="Heading4"/>
        <w:rPr>
          <w:b w:val="0"/>
        </w:rPr>
      </w:pPr>
      <w:r>
        <w:t>User Roles with Access to This Option</w:t>
      </w:r>
      <w:r>
        <w:rPr>
          <w:b w:val="0"/>
        </w:rPr>
        <w:t xml:space="preserve"> </w:t>
      </w:r>
    </w:p>
    <w:p w14:paraId="3CBEAAF3" w14:textId="77777777" w:rsidR="001C7911" w:rsidRDefault="001C7911" w:rsidP="001C7911">
      <w:pPr>
        <w:pStyle w:val="Roles"/>
      </w:pPr>
      <w:r>
        <w:t>All users</w:t>
      </w:r>
    </w:p>
    <w:p w14:paraId="03B103B7" w14:textId="77777777" w:rsidR="00F3651E" w:rsidRDefault="00F3651E">
      <w:pPr>
        <w:rPr>
          <w:rFonts w:ascii="Arial" w:hAnsi="Arial"/>
          <w:b/>
          <w:sz w:val="22"/>
        </w:rPr>
      </w:pPr>
      <w:r>
        <w:br w:type="page"/>
      </w:r>
    </w:p>
    <w:p w14:paraId="79B100B8" w14:textId="325F0E36" w:rsidR="002A21AE" w:rsidRDefault="002A21AE">
      <w:pPr>
        <w:pStyle w:val="Heading4"/>
      </w:pPr>
      <w:r>
        <w:lastRenderedPageBreak/>
        <w:t>Special Instructions &amp; Transfusion Requirements: Enter a Special Instruction</w:t>
      </w:r>
    </w:p>
    <w:p w14:paraId="167587E2" w14:textId="77777777" w:rsidR="002A21AE" w:rsidRDefault="002A21AE" w:rsidP="00FA7E65">
      <w:pPr>
        <w:pStyle w:val="BodyText"/>
      </w:pPr>
      <w:r>
        <w:t>A user may add to and inactivate SI comments in a patient’s blood bank record. Users in all divisions in a multidivisional database may view these comments.</w:t>
      </w:r>
    </w:p>
    <w:tbl>
      <w:tblPr>
        <w:tblpPr w:leftFromText="180" w:rightFromText="180" w:vertAnchor="text" w:tblpY="1"/>
        <w:tblOverlap w:val="neve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560A067" w14:textId="77777777">
        <w:tc>
          <w:tcPr>
            <w:tcW w:w="3240" w:type="dxa"/>
            <w:shd w:val="pct30" w:color="auto" w:fill="FFFFFF"/>
            <w:vAlign w:val="bottom"/>
          </w:tcPr>
          <w:p w14:paraId="35EAB874" w14:textId="77777777" w:rsidR="002A21AE" w:rsidRDefault="002A21AE">
            <w:pPr>
              <w:pStyle w:val="TableText"/>
              <w:rPr>
                <w:b/>
              </w:rPr>
            </w:pPr>
            <w:r>
              <w:rPr>
                <w:b/>
              </w:rPr>
              <w:t>User Action</w:t>
            </w:r>
          </w:p>
        </w:tc>
        <w:tc>
          <w:tcPr>
            <w:tcW w:w="6120" w:type="dxa"/>
            <w:shd w:val="pct30" w:color="auto" w:fill="FFFFFF"/>
            <w:vAlign w:val="bottom"/>
          </w:tcPr>
          <w:p w14:paraId="08B2FB55" w14:textId="77777777" w:rsidR="002A21AE" w:rsidRDefault="002A21AE">
            <w:pPr>
              <w:pStyle w:val="TableText"/>
              <w:rPr>
                <w:b/>
              </w:rPr>
            </w:pPr>
            <w:r>
              <w:rPr>
                <w:b/>
              </w:rPr>
              <w:t>VBECS</w:t>
            </w:r>
          </w:p>
        </w:tc>
      </w:tr>
      <w:tr w:rsidR="002A21AE" w14:paraId="02588AFD" w14:textId="77777777">
        <w:tc>
          <w:tcPr>
            <w:tcW w:w="3240" w:type="dxa"/>
          </w:tcPr>
          <w:p w14:paraId="76F675EB" w14:textId="77777777" w:rsidR="002A21AE" w:rsidRDefault="002A21AE">
            <w:pPr>
              <w:pStyle w:val="TableTextNumbers"/>
            </w:pPr>
            <w:r>
              <w:t xml:space="preserve">Select </w:t>
            </w:r>
            <w:r>
              <w:rPr>
                <w:b/>
              </w:rPr>
              <w:t>Patients</w:t>
            </w:r>
            <w:r>
              <w:t xml:space="preserve"> from the main menu.</w:t>
            </w:r>
          </w:p>
          <w:p w14:paraId="6816A4CA" w14:textId="77777777" w:rsidR="002A21AE" w:rsidRDefault="002A21AE">
            <w:pPr>
              <w:pStyle w:val="TableTextNumbersContinued"/>
            </w:pPr>
          </w:p>
          <w:p w14:paraId="47BCD34A" w14:textId="77777777" w:rsidR="002A21AE" w:rsidRDefault="002A21AE">
            <w:pPr>
              <w:pStyle w:val="TableTextNumbersContinued"/>
            </w:pPr>
            <w:r>
              <w:t xml:space="preserve">Select </w:t>
            </w:r>
            <w:r>
              <w:rPr>
                <w:b/>
              </w:rPr>
              <w:t>Special Instructions &amp; Transfusion Requirements</w:t>
            </w:r>
            <w:r>
              <w:t>, or</w:t>
            </w:r>
          </w:p>
          <w:p w14:paraId="3202AC07" w14:textId="77777777" w:rsidR="002A21AE" w:rsidRDefault="002A21AE">
            <w:pPr>
              <w:pStyle w:val="TableTextNumbersContinued"/>
            </w:pPr>
          </w:p>
          <w:p w14:paraId="2B8E62D5" w14:textId="77777777" w:rsidR="002A21AE" w:rsidRDefault="002A21AE">
            <w:pPr>
              <w:pStyle w:val="TableTextNumbersContinued"/>
            </w:pPr>
            <w:r>
              <w:t xml:space="preserve">Click </w:t>
            </w:r>
            <w:r w:rsidR="00057948">
              <w:rPr>
                <w:noProof/>
              </w:rPr>
              <w:drawing>
                <wp:inline distT="0" distB="0" distL="0" distR="0" wp14:anchorId="5E7B25C4" wp14:editId="3564BF3F">
                  <wp:extent cx="156845" cy="156845"/>
                  <wp:effectExtent l="0" t="0" r="0" b="0"/>
                  <wp:docPr id="256" name="Picture 256" descr="P9043C3T9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P9043C3T98#yIS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in the Patient Information Toolbar, when displayed.</w:t>
            </w:r>
          </w:p>
        </w:tc>
        <w:tc>
          <w:tcPr>
            <w:tcW w:w="6120" w:type="dxa"/>
          </w:tcPr>
          <w:p w14:paraId="10725A80" w14:textId="77777777" w:rsidR="002A21AE" w:rsidRDefault="002A21AE">
            <w:pPr>
              <w:pStyle w:val="TableTextBullet"/>
            </w:pPr>
            <w:r>
              <w:t>Displays options for processing patient-related functions.</w:t>
            </w:r>
          </w:p>
          <w:p w14:paraId="0E06A12B" w14:textId="77777777" w:rsidR="002A21AE" w:rsidRDefault="002A21AE">
            <w:pPr>
              <w:pStyle w:val="TableTextBullet"/>
            </w:pPr>
            <w:r>
              <w:t xml:space="preserve">Displays the option to select a patient, if one is not already selected. </w:t>
            </w:r>
          </w:p>
          <w:p w14:paraId="2F6198BB" w14:textId="77777777" w:rsidR="002A21AE" w:rsidRDefault="002A21AE">
            <w:pPr>
              <w:pStyle w:val="TableText"/>
              <w:rPr>
                <w:b/>
                <w:bCs/>
                <w:szCs w:val="18"/>
              </w:rPr>
            </w:pPr>
          </w:p>
          <w:p w14:paraId="4E2D1AEB" w14:textId="77777777" w:rsidR="002A21AE" w:rsidRDefault="00057948">
            <w:pPr>
              <w:pStyle w:val="TableText"/>
              <w:rPr>
                <w:b/>
                <w:bCs/>
                <w:szCs w:val="18"/>
              </w:rPr>
            </w:pPr>
            <w:r>
              <w:rPr>
                <w:b/>
                <w:bCs/>
                <w:noProof/>
              </w:rPr>
              <mc:AlternateContent>
                <mc:Choice Requires="wps">
                  <w:drawing>
                    <wp:anchor distT="0" distB="0" distL="114300" distR="114300" simplePos="0" relativeHeight="251475456" behindDoc="0" locked="0" layoutInCell="1" allowOverlap="1" wp14:anchorId="7509B511" wp14:editId="5316D24B">
                      <wp:simplePos x="0" y="0"/>
                      <wp:positionH relativeFrom="column">
                        <wp:posOffset>457200</wp:posOffset>
                      </wp:positionH>
                      <wp:positionV relativeFrom="paragraph">
                        <wp:posOffset>65405</wp:posOffset>
                      </wp:positionV>
                      <wp:extent cx="3200400" cy="0"/>
                      <wp:effectExtent l="9525" t="17780" r="9525" b="10795"/>
                      <wp:wrapNone/>
                      <wp:docPr id="325" name="Line 799" descr="P9047C4T9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C1ECF" id="Line 799" o:spid="_x0000_s1026" alt="&quot;&quot;" style="position:absolute;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QWAkD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336E932C" w14:textId="77777777" w:rsidR="002A21AE" w:rsidRDefault="002A21AE">
            <w:pPr>
              <w:pStyle w:val="NotesText"/>
            </w:pPr>
          </w:p>
          <w:p w14:paraId="3410C4BE" w14:textId="77777777" w:rsidR="002A21AE" w:rsidRDefault="002A21AE">
            <w:pPr>
              <w:pStyle w:val="NotesText"/>
            </w:pPr>
            <w:r>
              <w:t xml:space="preserve">The user may also click </w:t>
            </w:r>
            <w:r>
              <w:rPr>
                <w:b/>
              </w:rPr>
              <w:t>New SI or TR</w:t>
            </w:r>
            <w:r>
              <w:t xml:space="preserve"> in Patient Testing to access this option.</w:t>
            </w:r>
          </w:p>
        </w:tc>
      </w:tr>
      <w:tr w:rsidR="002A21AE" w14:paraId="2F7F3CAA" w14:textId="77777777">
        <w:tc>
          <w:tcPr>
            <w:tcW w:w="3240" w:type="dxa"/>
          </w:tcPr>
          <w:p w14:paraId="19D8B6D9" w14:textId="77777777" w:rsidR="002A21AE" w:rsidRDefault="002A21AE">
            <w:pPr>
              <w:pStyle w:val="TableTextNumbers"/>
            </w:pPr>
            <w:r>
              <w:t>Select a patient.</w:t>
            </w:r>
          </w:p>
          <w:p w14:paraId="29EB5962" w14:textId="77777777" w:rsidR="00DA5ED4" w:rsidRDefault="00DA5ED4" w:rsidP="00DA5ED4">
            <w:pPr>
              <w:pStyle w:val="TableTextNumbersContinued"/>
            </w:pPr>
          </w:p>
          <w:p w14:paraId="44D0D812" w14:textId="77777777" w:rsidR="00DA5ED4" w:rsidRDefault="00DA5ED4" w:rsidP="00DA5ED4">
            <w:pPr>
              <w:pStyle w:val="TableTextNumbersContinued"/>
            </w:pPr>
            <w:r>
              <w:t xml:space="preserve">Click </w:t>
            </w:r>
            <w:r w:rsidRPr="00DA5ED4">
              <w:rPr>
                <w:b/>
              </w:rPr>
              <w:t>OK</w:t>
            </w:r>
            <w:r>
              <w:t>.</w:t>
            </w:r>
          </w:p>
        </w:tc>
        <w:tc>
          <w:tcPr>
            <w:tcW w:w="6120" w:type="dxa"/>
          </w:tcPr>
          <w:p w14:paraId="1AFE11B8" w14:textId="77777777" w:rsidR="002A21AE" w:rsidRDefault="002A21AE">
            <w:pPr>
              <w:pStyle w:val="TableTextBullet"/>
            </w:pPr>
            <w:r>
              <w:t>Displays options to select a patient.</w:t>
            </w:r>
          </w:p>
          <w:p w14:paraId="1FFA77E4" w14:textId="77777777" w:rsidR="002A21AE" w:rsidRDefault="002A21AE">
            <w:pPr>
              <w:pStyle w:val="TableTextBullet"/>
            </w:pPr>
            <w:r>
              <w:t>Displays the option to enter a new comment or remove an existing comment in the division.</w:t>
            </w:r>
          </w:p>
          <w:p w14:paraId="66D63A92" w14:textId="77777777" w:rsidR="002A21AE" w:rsidRDefault="002A21AE">
            <w:pPr>
              <w:pStyle w:val="TableTextBullet"/>
            </w:pPr>
            <w:r>
              <w:t>Displays the active SI entries in reverse chronological order with all active SIs first, along with date, division code, and text of the entry.</w:t>
            </w:r>
          </w:p>
          <w:p w14:paraId="4391DD96" w14:textId="77777777" w:rsidR="002A21AE" w:rsidRDefault="002A21AE">
            <w:pPr>
              <w:pStyle w:val="TableText"/>
            </w:pPr>
          </w:p>
          <w:p w14:paraId="4DEEA892" w14:textId="77777777" w:rsidR="002A21AE" w:rsidRDefault="00057948">
            <w:pPr>
              <w:pStyle w:val="TableText"/>
              <w:rPr>
                <w:b/>
                <w:bCs/>
                <w:szCs w:val="18"/>
              </w:rPr>
            </w:pPr>
            <w:r>
              <w:rPr>
                <w:b/>
                <w:bCs/>
                <w:noProof/>
              </w:rPr>
              <mc:AlternateContent>
                <mc:Choice Requires="wps">
                  <w:drawing>
                    <wp:anchor distT="0" distB="0" distL="114300" distR="114300" simplePos="0" relativeHeight="251469312" behindDoc="0" locked="0" layoutInCell="1" allowOverlap="1" wp14:anchorId="566ACF32" wp14:editId="2D8E6D99">
                      <wp:simplePos x="0" y="0"/>
                      <wp:positionH relativeFrom="column">
                        <wp:posOffset>457200</wp:posOffset>
                      </wp:positionH>
                      <wp:positionV relativeFrom="paragraph">
                        <wp:posOffset>65405</wp:posOffset>
                      </wp:positionV>
                      <wp:extent cx="3200400" cy="0"/>
                      <wp:effectExtent l="9525" t="17780" r="9525" b="10795"/>
                      <wp:wrapNone/>
                      <wp:docPr id="324" name="Line 797" descr="P9058C6T9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D1FC3" id="Line 797" o:spid="_x0000_s1026" alt="&quot;&quot;" style="position:absolute;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D2wF8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57C5C427" w14:textId="77777777" w:rsidR="002A21AE" w:rsidRDefault="002A21AE">
            <w:pPr>
              <w:pStyle w:val="NotesText"/>
            </w:pPr>
          </w:p>
          <w:p w14:paraId="5902E136" w14:textId="77777777" w:rsidR="002A21AE" w:rsidRDefault="002A21AE">
            <w:pPr>
              <w:pStyle w:val="NotesText"/>
            </w:pPr>
            <w:r>
              <w:t>The need for SIs is usually temporary and may not be required for all transfusions.</w:t>
            </w:r>
          </w:p>
          <w:p w14:paraId="5E86B4AC" w14:textId="77777777" w:rsidR="002A21AE" w:rsidRDefault="002A21AE">
            <w:pPr>
              <w:pStyle w:val="NotesText"/>
            </w:pPr>
          </w:p>
          <w:p w14:paraId="70CE2570" w14:textId="77777777" w:rsidR="002A21AE" w:rsidRDefault="002A21AE">
            <w:pPr>
              <w:pStyle w:val="NotesText"/>
            </w:pPr>
            <w:r>
              <w:t>The user may choose to display inactivated SI comments.</w:t>
            </w:r>
          </w:p>
        </w:tc>
      </w:tr>
      <w:tr w:rsidR="002A21AE" w14:paraId="7250B8E1" w14:textId="77777777">
        <w:tc>
          <w:tcPr>
            <w:tcW w:w="3240" w:type="dxa"/>
          </w:tcPr>
          <w:p w14:paraId="3F470CB7" w14:textId="5EFA0310" w:rsidR="002A21AE" w:rsidRDefault="002A21AE">
            <w:pPr>
              <w:pStyle w:val="TableTextNumbers"/>
            </w:pPr>
            <w:r>
              <w:t xml:space="preserve">Select the </w:t>
            </w:r>
            <w:r>
              <w:rPr>
                <w:b/>
              </w:rPr>
              <w:t xml:space="preserve">Special Instructions </w:t>
            </w:r>
            <w:r w:rsidRPr="00CC3C89">
              <w:t>tab</w:t>
            </w:r>
            <w:r w:rsidR="00DA5ED4" w:rsidRPr="00CC3C89">
              <w:t xml:space="preserve"> </w:t>
            </w:r>
            <w:r w:rsidR="00DA5ED4" w:rsidRPr="00DA5ED4">
              <w:t>(</w:t>
            </w:r>
            <w:r w:rsidR="009142E5">
              <w:fldChar w:fldCharType="begin" w:fldLock="1"/>
            </w:r>
            <w:r w:rsidR="009142E5">
              <w:instrText xml:space="preserve"> REF _Ref127262439 \h </w:instrText>
            </w:r>
            <w:r w:rsidR="009142E5">
              <w:fldChar w:fldCharType="separate"/>
            </w:r>
            <w:r w:rsidR="00AB304C">
              <w:t xml:space="preserve">Figure </w:t>
            </w:r>
            <w:r w:rsidR="00AB304C">
              <w:rPr>
                <w:noProof/>
              </w:rPr>
              <w:t>141</w:t>
            </w:r>
            <w:r w:rsidR="009142E5">
              <w:fldChar w:fldCharType="end"/>
            </w:r>
            <w:r w:rsidR="00DA5ED4" w:rsidRPr="00DA5ED4">
              <w:t>)</w:t>
            </w:r>
            <w:r>
              <w:t>.</w:t>
            </w:r>
          </w:p>
          <w:p w14:paraId="23BFA2D9" w14:textId="77777777" w:rsidR="00595334" w:rsidRDefault="00595334" w:rsidP="00595334">
            <w:pPr>
              <w:pStyle w:val="TableTextNumbersContinued"/>
            </w:pPr>
          </w:p>
          <w:p w14:paraId="09D7148F" w14:textId="77777777" w:rsidR="00595334" w:rsidRDefault="00595334" w:rsidP="00595334">
            <w:pPr>
              <w:pStyle w:val="TableTextNumbersContinued"/>
            </w:pPr>
            <w:r>
              <w:t xml:space="preserve">Click the </w:t>
            </w:r>
            <w:r>
              <w:rPr>
                <w:b/>
              </w:rPr>
              <w:t>Show inactive special instructions</w:t>
            </w:r>
            <w:r>
              <w:t xml:space="preserve"> </w:t>
            </w:r>
            <w:r w:rsidRPr="00D1100E">
              <w:t>check box</w:t>
            </w:r>
            <w:r>
              <w:t xml:space="preserve"> to display inactivated SI entries.</w:t>
            </w:r>
          </w:p>
          <w:p w14:paraId="1B3C6E7E" w14:textId="77777777" w:rsidR="00595334" w:rsidRDefault="00595334" w:rsidP="005A1FF9">
            <w:pPr>
              <w:pStyle w:val="TableTextNumbers"/>
              <w:numPr>
                <w:ilvl w:val="0"/>
                <w:numId w:val="0"/>
              </w:numPr>
            </w:pPr>
          </w:p>
        </w:tc>
        <w:tc>
          <w:tcPr>
            <w:tcW w:w="6120" w:type="dxa"/>
          </w:tcPr>
          <w:p w14:paraId="7867A89E" w14:textId="77777777" w:rsidR="002A21AE" w:rsidRDefault="002A21AE">
            <w:pPr>
              <w:pStyle w:val="TableTextBullet"/>
            </w:pPr>
            <w:r>
              <w:t>Allows the user to enter or inactivate comments.</w:t>
            </w:r>
          </w:p>
          <w:p w14:paraId="3BBCB53A" w14:textId="77777777" w:rsidR="00595334" w:rsidRDefault="00595334">
            <w:pPr>
              <w:pStyle w:val="TableTextBullet"/>
            </w:pPr>
            <w:r>
              <w:t xml:space="preserve">Displays inactive Special Instructions </w:t>
            </w:r>
            <w:r w:rsidR="00E12CB9">
              <w:t>but</w:t>
            </w:r>
            <w:r>
              <w:t xml:space="preserve"> </w:t>
            </w:r>
            <w:r w:rsidR="00E12CB9">
              <w:t>does not allow</w:t>
            </w:r>
            <w:r>
              <w:t xml:space="preserve"> the user to reactivate them.</w:t>
            </w:r>
          </w:p>
          <w:p w14:paraId="5181476A" w14:textId="77777777" w:rsidR="002A21AE" w:rsidRDefault="002A21AE">
            <w:pPr>
              <w:pStyle w:val="TableText"/>
            </w:pPr>
          </w:p>
          <w:p w14:paraId="679D8313" w14:textId="77777777" w:rsidR="002A21AE" w:rsidRDefault="00057948">
            <w:pPr>
              <w:pStyle w:val="TableText"/>
              <w:rPr>
                <w:b/>
                <w:bCs/>
                <w:szCs w:val="18"/>
              </w:rPr>
            </w:pPr>
            <w:r>
              <w:rPr>
                <w:b/>
                <w:bCs/>
                <w:noProof/>
              </w:rPr>
              <mc:AlternateContent>
                <mc:Choice Requires="wps">
                  <w:drawing>
                    <wp:anchor distT="0" distB="0" distL="114300" distR="114300" simplePos="0" relativeHeight="251472384" behindDoc="0" locked="0" layoutInCell="1" allowOverlap="1" wp14:anchorId="1FF36BB7" wp14:editId="4C0F6511">
                      <wp:simplePos x="0" y="0"/>
                      <wp:positionH relativeFrom="column">
                        <wp:posOffset>457200</wp:posOffset>
                      </wp:positionH>
                      <wp:positionV relativeFrom="paragraph">
                        <wp:posOffset>65405</wp:posOffset>
                      </wp:positionV>
                      <wp:extent cx="3200400" cy="0"/>
                      <wp:effectExtent l="9525" t="17780" r="9525" b="10795"/>
                      <wp:wrapNone/>
                      <wp:docPr id="323" name="Line 798" descr="P9071C8T9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E0FB0" id="Line 798" o:spid="_x0000_s1026" alt="&quot;&quot;" style="position:absolute;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4oft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20BA5A61" w14:textId="77777777" w:rsidR="002A21AE" w:rsidRDefault="002A21AE">
            <w:pPr>
              <w:pStyle w:val="NotesText"/>
            </w:pPr>
          </w:p>
          <w:p w14:paraId="2829F2FD" w14:textId="77777777" w:rsidR="002A21AE" w:rsidRDefault="002A21AE">
            <w:pPr>
              <w:pStyle w:val="NotesText"/>
            </w:pPr>
            <w:r>
              <w:rPr>
                <w:rFonts w:cs="Arial"/>
                <w:vanish/>
              </w:rPr>
              <w:t xml:space="preserve">BR_37.01 </w:t>
            </w:r>
            <w:r>
              <w:t xml:space="preserve">A user may add or inactivate a patient-specific comment at any time in the division in which it was entered. </w:t>
            </w:r>
          </w:p>
          <w:p w14:paraId="6C5B8CC7" w14:textId="77777777" w:rsidR="002A21AE" w:rsidRDefault="002A21AE">
            <w:pPr>
              <w:pStyle w:val="NotesText"/>
            </w:pPr>
          </w:p>
          <w:p w14:paraId="0F34A954" w14:textId="77777777" w:rsidR="002A21AE" w:rsidRDefault="002A21AE">
            <w:pPr>
              <w:pStyle w:val="NotesText"/>
            </w:pPr>
            <w:r>
              <w:rPr>
                <w:rFonts w:cs="Arial"/>
                <w:vanish/>
              </w:rPr>
              <w:t xml:space="preserve">BR_37.06 </w:t>
            </w:r>
            <w:r w:rsidRPr="00E4754E">
              <w:rPr>
                <w:rStyle w:val="RolesChar1"/>
                <w:rFonts w:ascii="Wingdings 3" w:hAnsi="Wingdings 3"/>
              </w:rPr>
              <w:t></w:t>
            </w:r>
            <w:r w:rsidRPr="00E4754E">
              <w:rPr>
                <w:rStyle w:val="RolesChar1"/>
                <w:rFonts w:ascii="Wingdings 3" w:hAnsi="Wingdings 3"/>
              </w:rPr>
              <w:t></w:t>
            </w:r>
            <w:r w:rsidRPr="00E4754E">
              <w:rPr>
                <w:rStyle w:val="RolesChar1"/>
                <w:rFonts w:ascii="Wingdings 3" w:hAnsi="Wingdings 3"/>
              </w:rPr>
              <w:t></w:t>
            </w:r>
            <w:r w:rsidRPr="00E4754E">
              <w:rPr>
                <w:rStyle w:val="RolesChar1"/>
                <w:rFonts w:ascii="Wingdings 3" w:hAnsi="Wingdings 3"/>
              </w:rPr>
              <w:t></w:t>
            </w:r>
            <w:r w:rsidRPr="00E4754E">
              <w:t xml:space="preserve"> </w:t>
            </w:r>
            <w:r>
              <w:t>A Traditional Supervisor may inactivate SIs from database conversion.</w:t>
            </w:r>
          </w:p>
        </w:tc>
      </w:tr>
      <w:tr w:rsidR="002A21AE" w14:paraId="7E919B27" w14:textId="77777777">
        <w:trPr>
          <w:trHeight w:val="1988"/>
        </w:trPr>
        <w:tc>
          <w:tcPr>
            <w:tcW w:w="3240" w:type="dxa"/>
          </w:tcPr>
          <w:p w14:paraId="1DD186E0" w14:textId="77777777" w:rsidR="002A21AE" w:rsidRDefault="002A21AE">
            <w:pPr>
              <w:pStyle w:val="TableTextNumbers"/>
            </w:pPr>
            <w:r>
              <w:t>Confirm the activation of the entry and enter a comment.</w:t>
            </w:r>
          </w:p>
          <w:p w14:paraId="0A301206" w14:textId="77777777" w:rsidR="002A21AE" w:rsidRDefault="002A21AE">
            <w:pPr>
              <w:pStyle w:val="TableTextNumbersContinued"/>
            </w:pPr>
          </w:p>
          <w:p w14:paraId="71303111" w14:textId="77777777" w:rsidR="002A21AE" w:rsidRDefault="002A21AE">
            <w:pPr>
              <w:pStyle w:val="TableTextNumbersContinued"/>
            </w:pPr>
            <w:r>
              <w:t xml:space="preserve">Click </w:t>
            </w:r>
            <w:r>
              <w:rPr>
                <w:b/>
              </w:rPr>
              <w:t>OK</w:t>
            </w:r>
            <w:r>
              <w:t xml:space="preserve">. </w:t>
            </w:r>
          </w:p>
          <w:p w14:paraId="60D73E8D" w14:textId="77777777" w:rsidR="002A21AE" w:rsidRDefault="002A21AE">
            <w:pPr>
              <w:pStyle w:val="TableTextNumbersContinued"/>
            </w:pPr>
          </w:p>
          <w:p w14:paraId="3C879E49" w14:textId="77777777" w:rsidR="002A21AE" w:rsidRDefault="002A21AE">
            <w:pPr>
              <w:pStyle w:val="TableTextNumbersContinued"/>
            </w:pPr>
            <w:r>
              <w:t>Return to Step 2 to add more SIs for this patient.</w:t>
            </w:r>
          </w:p>
          <w:p w14:paraId="39D0220C" w14:textId="77777777" w:rsidR="002A21AE" w:rsidRDefault="002A21AE">
            <w:pPr>
              <w:pStyle w:val="TableTextNumbersContinued"/>
            </w:pPr>
          </w:p>
          <w:p w14:paraId="00B703CD" w14:textId="77777777" w:rsidR="002A21AE" w:rsidRDefault="002A21AE">
            <w:pPr>
              <w:pStyle w:val="TableTextNumbersContinued"/>
            </w:pPr>
            <w:r>
              <w:t>Select another patient and return to Step 1, if desired</w:t>
            </w:r>
            <w:r w:rsidR="00DA12E9">
              <w:t>.</w:t>
            </w:r>
          </w:p>
          <w:p w14:paraId="08196FFF" w14:textId="77777777" w:rsidR="002A21AE" w:rsidRDefault="002A21AE">
            <w:pPr>
              <w:pStyle w:val="TableTextNumbersContinued"/>
            </w:pPr>
          </w:p>
          <w:p w14:paraId="52EA36AB" w14:textId="77777777" w:rsidR="002A21AE" w:rsidRDefault="002A21AE">
            <w:pPr>
              <w:pStyle w:val="TableTextNumbersContinued"/>
              <w:rPr>
                <w:b/>
                <w:bCs/>
              </w:rPr>
            </w:pPr>
            <w:r>
              <w:t xml:space="preserve">Exit.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14:paraId="7E4029D4" w14:textId="77777777" w:rsidR="002A21AE" w:rsidRDefault="002A21AE">
            <w:pPr>
              <w:pStyle w:val="TableTextBullet"/>
            </w:pPr>
            <w:r>
              <w:t>Saves the entry in the database.</w:t>
            </w:r>
          </w:p>
        </w:tc>
      </w:tr>
    </w:tbl>
    <w:p w14:paraId="32FA3229" w14:textId="6CCD1C14" w:rsidR="009142E5" w:rsidRDefault="009142E5" w:rsidP="009142E5">
      <w:pPr>
        <w:pStyle w:val="Caption"/>
      </w:pPr>
      <w:bookmarkStart w:id="535" w:name="_Toc63680371"/>
      <w:r>
        <w:br w:type="page"/>
      </w:r>
      <w:bookmarkStart w:id="536" w:name="_Ref127262439"/>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141</w:t>
      </w:r>
      <w:r w:rsidR="004E20BD">
        <w:rPr>
          <w:noProof/>
        </w:rPr>
        <w:fldChar w:fldCharType="end"/>
      </w:r>
      <w:bookmarkEnd w:id="536"/>
      <w:r>
        <w:t xml:space="preserve">: </w:t>
      </w:r>
      <w:r w:rsidRPr="00AB6967">
        <w:t>Enter Patient Special Instructions and Transfusion Requirements</w:t>
      </w:r>
    </w:p>
    <w:p w14:paraId="436326A3" w14:textId="77777777" w:rsidR="002A21AE" w:rsidRDefault="00057948" w:rsidP="00FA7E65">
      <w:pPr>
        <w:pStyle w:val="BodyText"/>
      </w:pPr>
      <w:r>
        <w:rPr>
          <w:noProof/>
        </w:rPr>
        <w:drawing>
          <wp:inline distT="0" distB="0" distL="0" distR="0" wp14:anchorId="0E7FAE8D" wp14:editId="05A518E4">
            <wp:extent cx="5939155" cy="3777615"/>
            <wp:effectExtent l="0" t="0" r="4445" b="0"/>
            <wp:docPr id="257" name="Picture 257" descr="P9089#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P9089#yIS1">
                      <a:extLst>
                        <a:ext uri="{C183D7F6-B498-43B3-948B-1728B52AA6E4}">
                          <adec:decorative xmlns:adec="http://schemas.microsoft.com/office/drawing/2017/decorative" val="1"/>
                        </a:ext>
                      </a:extLst>
                    </pic:cNvP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939155" cy="3777615"/>
                    </a:xfrm>
                    <a:prstGeom prst="rect">
                      <a:avLst/>
                    </a:prstGeom>
                    <a:noFill/>
                    <a:ln>
                      <a:noFill/>
                    </a:ln>
                  </pic:spPr>
                </pic:pic>
              </a:graphicData>
            </a:graphic>
          </wp:inline>
        </w:drawing>
      </w:r>
    </w:p>
    <w:p w14:paraId="4DCE0997" w14:textId="77777777" w:rsidR="00DA5ED4" w:rsidRDefault="00DA5ED4" w:rsidP="00FA7E65">
      <w:pPr>
        <w:pStyle w:val="BodyText"/>
        <w:sectPr w:rsidR="00DA5ED4" w:rsidSect="00EE771C">
          <w:pgSz w:w="12240" w:h="15840" w:code="1"/>
          <w:pgMar w:top="1440" w:right="1440" w:bottom="1440" w:left="1440" w:header="720" w:footer="720" w:gutter="0"/>
          <w:cols w:space="720"/>
          <w:docGrid w:linePitch="360"/>
        </w:sectPr>
      </w:pPr>
    </w:p>
    <w:p w14:paraId="7452BF8B" w14:textId="77777777" w:rsidR="002A21AE" w:rsidRDefault="002A21AE">
      <w:pPr>
        <w:pStyle w:val="Heading2"/>
      </w:pPr>
      <w:bookmarkStart w:id="537" w:name="_Post-Transfusion_Information"/>
      <w:bookmarkStart w:id="538" w:name="_Toc4588826"/>
      <w:bookmarkStart w:id="539" w:name="_Toc63680369"/>
      <w:bookmarkEnd w:id="372"/>
      <w:bookmarkEnd w:id="535"/>
      <w:bookmarkEnd w:id="537"/>
      <w:r>
        <w:lastRenderedPageBreak/>
        <w:t>Post-Transfusion Information</w:t>
      </w:r>
      <w:bookmarkEnd w:id="538"/>
      <w:r>
        <w:fldChar w:fldCharType="begin"/>
      </w:r>
      <w:r>
        <w:instrText xml:space="preserve"> XE </w:instrText>
      </w:r>
      <w:r w:rsidR="00FA7E65">
        <w:instrText>“</w:instrText>
      </w:r>
      <w:r>
        <w:instrText>Post-Transfusion Information</w:instrText>
      </w:r>
      <w:r w:rsidR="00FA7E65">
        <w:instrText>”</w:instrText>
      </w:r>
      <w:r>
        <w:instrText xml:space="preserve"> </w:instrText>
      </w:r>
      <w:r>
        <w:fldChar w:fldCharType="end"/>
      </w:r>
      <w:r>
        <w:rPr>
          <w:snapToGrid w:val="0"/>
        </w:rPr>
        <w:t xml:space="preserve"> </w:t>
      </w:r>
      <w:r w:rsidRPr="00DA5ED4">
        <w:rPr>
          <w:rFonts w:ascii="Arial Bold" w:hAnsi="Arial Bold"/>
          <w:vanish/>
        </w:rPr>
        <w:t>UC_69</w:t>
      </w:r>
    </w:p>
    <w:p w14:paraId="258B2199" w14:textId="77777777" w:rsidR="002A21AE" w:rsidRDefault="002A21AE" w:rsidP="00FA7E65">
      <w:pPr>
        <w:pStyle w:val="BodyText"/>
      </w:pPr>
      <w:r>
        <w:t>The user enters post-transfusion details from the Blood Transfusion Record Form (BTRF)</w:t>
      </w:r>
      <w:r w:rsidR="00EE44F1" w:rsidRPr="00EE44F1">
        <w:t xml:space="preserve"> </w:t>
      </w:r>
      <w:r w:rsidR="00EE44F1">
        <w:t>or VBECS saves post-transfusion det</w:t>
      </w:r>
      <w:r w:rsidR="007163E2">
        <w:t xml:space="preserve">ails received from the Transfusion Verification </w:t>
      </w:r>
      <w:r w:rsidR="00EE44F1">
        <w:t>System</w:t>
      </w:r>
      <w:r>
        <w:t xml:space="preserve">. </w:t>
      </w:r>
    </w:p>
    <w:p w14:paraId="6594A5D9" w14:textId="77777777" w:rsidR="002A21AE" w:rsidRDefault="002A21AE">
      <w:pPr>
        <w:pStyle w:val="Heading4"/>
      </w:pPr>
      <w:r>
        <w:t>Assumptions</w:t>
      </w:r>
    </w:p>
    <w:p w14:paraId="12AB69AD" w14:textId="77777777" w:rsidR="002A21AE" w:rsidRDefault="002A21AE">
      <w:pPr>
        <w:pStyle w:val="ListBullet"/>
        <w:ind w:left="720"/>
      </w:pPr>
      <w:r>
        <w:t>The BTRF is returned and completed for each unit.</w:t>
      </w:r>
    </w:p>
    <w:p w14:paraId="5501BE47" w14:textId="77777777" w:rsidR="002A21AE" w:rsidRDefault="002A21AE">
      <w:pPr>
        <w:pStyle w:val="ListBullet"/>
        <w:ind w:left="720"/>
      </w:pPr>
      <w:r>
        <w:t>The unit status is “issued” or “presumed transfused” in VBECS.</w:t>
      </w:r>
    </w:p>
    <w:p w14:paraId="3EED9EFB" w14:textId="77777777" w:rsidR="00EE44F1" w:rsidRDefault="00EE44F1" w:rsidP="00EE44F1">
      <w:pPr>
        <w:pStyle w:val="ListBullet"/>
        <w:ind w:left="720"/>
      </w:pPr>
      <w:r>
        <w:t>Interface connections to the BCE COTS system are enabled to receive transfusion update messages.</w:t>
      </w:r>
    </w:p>
    <w:p w14:paraId="3CF8E052" w14:textId="77777777" w:rsidR="002A21AE" w:rsidRDefault="002A21AE">
      <w:pPr>
        <w:pStyle w:val="Heading4"/>
      </w:pPr>
      <w:r>
        <w:t>Outcome</w:t>
      </w:r>
    </w:p>
    <w:p w14:paraId="32C27B2A" w14:textId="77777777" w:rsidR="002A21AE" w:rsidRDefault="002A21AE" w:rsidP="004D0C24">
      <w:pPr>
        <w:pStyle w:val="ListBullet"/>
        <w:ind w:left="720"/>
      </w:pPr>
      <w:r>
        <w:t>The unit status is updated to “transfused.”</w:t>
      </w:r>
    </w:p>
    <w:p w14:paraId="69FBB7C6" w14:textId="77777777" w:rsidR="002A21AE" w:rsidRDefault="002A21AE">
      <w:pPr>
        <w:pStyle w:val="ListBullet"/>
        <w:ind w:left="720"/>
      </w:pPr>
      <w:r>
        <w:t>The VBECS patient record includes the blood transfusion information.</w:t>
      </w:r>
    </w:p>
    <w:p w14:paraId="78C605A3" w14:textId="77777777" w:rsidR="002A21AE" w:rsidRDefault="002A21AE">
      <w:pPr>
        <w:pStyle w:val="Heading4"/>
      </w:pPr>
      <w:r>
        <w:t>Limitations and Restrictions</w:t>
      </w:r>
    </w:p>
    <w:p w14:paraId="5FD32ED5" w14:textId="77777777" w:rsidR="00EE44F1" w:rsidRDefault="006D40D4" w:rsidP="004D0C24">
      <w:pPr>
        <w:pStyle w:val="ListBullet"/>
      </w:pPr>
      <w:r>
        <w:t xml:space="preserve">VBECS cannot update a unit record to presumed transfused when a </w:t>
      </w:r>
      <w:r w:rsidR="004D0C24" w:rsidRPr="004D0C24">
        <w:t xml:space="preserve">user has </w:t>
      </w:r>
      <w:r>
        <w:t xml:space="preserve">that </w:t>
      </w:r>
      <w:r w:rsidR="004D0C24" w:rsidRPr="004D0C24">
        <w:t>unit record open (locked) in Enter Post Transfusion Information</w:t>
      </w:r>
      <w:r>
        <w:t xml:space="preserve">. VBECS will attempt to update the unit the next </w:t>
      </w:r>
      <w:r w:rsidR="004D0C24" w:rsidRPr="004D0C24">
        <w:t xml:space="preserve">time the </w:t>
      </w:r>
      <w:r>
        <w:t xml:space="preserve">presumed transfused background routing </w:t>
      </w:r>
      <w:r w:rsidR="004D0C24" w:rsidRPr="004D0C24">
        <w:t>runs if the unit remains in an issued status.</w:t>
      </w:r>
      <w:r w:rsidR="004309FB" w:rsidRPr="004309FB">
        <w:rPr>
          <w:vanish/>
        </w:rPr>
        <w:t xml:space="preserve"> </w:t>
      </w:r>
      <w:r w:rsidR="004309FB" w:rsidRPr="00EE44F1">
        <w:rPr>
          <w:vanish/>
        </w:rPr>
        <w:t>DR 3089</w:t>
      </w:r>
    </w:p>
    <w:p w14:paraId="43B87B85" w14:textId="77777777" w:rsidR="00F854CF" w:rsidRDefault="00EE44F1" w:rsidP="00EE44F1">
      <w:pPr>
        <w:pStyle w:val="ListBullet"/>
      </w:pPr>
      <w:r>
        <w:t>If post-transfusion information is not transmitted to VBECS</w:t>
      </w:r>
      <w:r w:rsidR="007163E2">
        <w:t xml:space="preserve"> by the BCE COTS interface</w:t>
      </w:r>
      <w:r>
        <w:t>, the user will need to enter that information to update the record from presumed transfused to transfused.</w:t>
      </w:r>
    </w:p>
    <w:p w14:paraId="17676480" w14:textId="77777777" w:rsidR="000E2D6A" w:rsidRDefault="000E2D6A" w:rsidP="00EE44F1">
      <w:pPr>
        <w:pStyle w:val="ListBullet"/>
      </w:pPr>
      <w:r>
        <w:t xml:space="preserve">The transfusion comments and volume transfused entered in the Transfusion Verification </w:t>
      </w:r>
      <w:r w:rsidR="00E20BD6">
        <w:t xml:space="preserve">application as an update to a completed transfusion </w:t>
      </w:r>
      <w:r>
        <w:t>are not sent to VBECS.</w:t>
      </w:r>
      <w:r>
        <w:rPr>
          <w:vanish/>
        </w:rPr>
        <w:t xml:space="preserve"> DR 4173</w:t>
      </w:r>
      <w:r>
        <w:t xml:space="preserve"> </w:t>
      </w:r>
    </w:p>
    <w:p w14:paraId="74874B67" w14:textId="77777777" w:rsidR="00D26DD7" w:rsidRDefault="00D26DD7" w:rsidP="00EE44F1">
      <w:pPr>
        <w:pStyle w:val="ListBullet"/>
      </w:pPr>
      <w:r>
        <w:t>Transfu</w:t>
      </w:r>
      <w:r w:rsidR="00A6148D">
        <w:t>sion reaction symptoms are not provided</w:t>
      </w:r>
      <w:r>
        <w:t xml:space="preserve"> to VBECS by the Transfusion Verification application unless a transfusion reaction has also been indicated for that event.</w:t>
      </w:r>
      <w:r>
        <w:rPr>
          <w:vanish/>
        </w:rPr>
        <w:t xml:space="preserve"> DR 4217</w:t>
      </w:r>
    </w:p>
    <w:p w14:paraId="0564A482" w14:textId="77777777" w:rsidR="002A21AE" w:rsidRDefault="002A21AE">
      <w:pPr>
        <w:pStyle w:val="Heading4"/>
      </w:pPr>
      <w:r>
        <w:t>Additional Information</w:t>
      </w:r>
    </w:p>
    <w:p w14:paraId="0107CCE6" w14:textId="77777777" w:rsidR="005F07D8" w:rsidRPr="004C51FE" w:rsidRDefault="00F854CF" w:rsidP="005F07D8">
      <w:pPr>
        <w:pStyle w:val="ListBullet"/>
      </w:pPr>
      <w:r>
        <w:rPr>
          <w:rFonts w:eastAsia="Arial Unicode MS"/>
        </w:rPr>
        <w:t>A</w:t>
      </w:r>
      <w:r w:rsidR="005F07D8">
        <w:rPr>
          <w:rFonts w:eastAsia="Arial Unicode MS"/>
        </w:rPr>
        <w:t xml:space="preserve"> user </w:t>
      </w:r>
      <w:r>
        <w:rPr>
          <w:rFonts w:eastAsia="Arial Unicode MS"/>
        </w:rPr>
        <w:t xml:space="preserve">with the appropriate security level </w:t>
      </w:r>
      <w:r w:rsidR="005F07D8">
        <w:rPr>
          <w:rFonts w:eastAsia="Arial Unicode MS"/>
        </w:rPr>
        <w:t xml:space="preserve">may </w:t>
      </w:r>
      <w:r w:rsidR="005F07D8" w:rsidRPr="005F07D8">
        <w:rPr>
          <w:rFonts w:eastAsia="Arial Unicode MS"/>
        </w:rPr>
        <w:t>enter</w:t>
      </w:r>
      <w:r w:rsidR="005F07D8">
        <w:rPr>
          <w:rFonts w:eastAsia="Arial Unicode MS"/>
        </w:rPr>
        <w:t xml:space="preserve"> </w:t>
      </w:r>
      <w:r>
        <w:rPr>
          <w:rFonts w:eastAsia="Arial Unicode MS"/>
        </w:rPr>
        <w:t xml:space="preserve">or edit </w:t>
      </w:r>
      <w:r w:rsidR="005F07D8">
        <w:rPr>
          <w:rFonts w:eastAsia="Arial Unicode MS"/>
        </w:rPr>
        <w:t>bedside verification information unless it is re</w:t>
      </w:r>
      <w:r w:rsidR="005109EB">
        <w:rPr>
          <w:rFonts w:eastAsia="Arial Unicode MS"/>
        </w:rPr>
        <w:t>ceiv</w:t>
      </w:r>
      <w:r w:rsidR="00CC58D8">
        <w:rPr>
          <w:rFonts w:eastAsia="Arial Unicode MS"/>
        </w:rPr>
        <w:t>ed from BCE COTS interface</w:t>
      </w:r>
      <w:r w:rsidR="005F07D8">
        <w:rPr>
          <w:rFonts w:eastAsia="Arial Unicode MS"/>
        </w:rPr>
        <w:t>.</w:t>
      </w:r>
    </w:p>
    <w:p w14:paraId="234C337A" w14:textId="77777777" w:rsidR="002A21AE" w:rsidRPr="004C51FE" w:rsidRDefault="002A21AE" w:rsidP="004C51FE">
      <w:pPr>
        <w:pStyle w:val="ListBullet"/>
      </w:pPr>
      <w:r w:rsidRPr="00D5161F">
        <w:rPr>
          <w:vanish/>
        </w:rPr>
        <w:t xml:space="preserve">BR_69.09 </w:t>
      </w:r>
      <w:r w:rsidRPr="004C51FE">
        <w:t>The user may indicate that a transfusion reaction and symptoms were noted on the BTRF as free text. Noting a transfusion reaction does not create an order for a transfusion reaction workup (TRW).</w:t>
      </w:r>
    </w:p>
    <w:p w14:paraId="3D5F9155" w14:textId="77777777" w:rsidR="004C51FE" w:rsidRDefault="00776AAE" w:rsidP="004C51FE">
      <w:pPr>
        <w:pStyle w:val="ListBullet"/>
      </w:pPr>
      <w:r>
        <w:t>R</w:t>
      </w:r>
      <w:r w:rsidR="004C51FE">
        <w:t>emove a “transfused” status</w:t>
      </w:r>
      <w:r>
        <w:t xml:space="preserve"> through</w:t>
      </w:r>
      <w:r w:rsidR="004C51FE">
        <w:t xml:space="preserve"> Remove Final Status</w:t>
      </w:r>
      <w:r w:rsidR="00A6148D">
        <w:t xml:space="preserve"> unless that unit was transfused by the Transfusion Verification application. See limitations in Remove Final Status</w:t>
      </w:r>
      <w:r w:rsidR="004C51FE">
        <w:t>.</w:t>
      </w:r>
    </w:p>
    <w:p w14:paraId="16575032" w14:textId="77777777" w:rsidR="002A21AE" w:rsidRDefault="002A21AE">
      <w:pPr>
        <w:pStyle w:val="Heading4"/>
      </w:pPr>
      <w:r>
        <w:t>User Roles with Access to This Option</w:t>
      </w:r>
    </w:p>
    <w:p w14:paraId="2EAC55F2" w14:textId="77777777" w:rsidR="007D4E77" w:rsidRDefault="007D4E77" w:rsidP="007D4E77">
      <w:pPr>
        <w:pStyle w:val="Roles"/>
        <w:rPr>
          <w:snapToGrid w:val="0"/>
        </w:rPr>
      </w:pPr>
      <w:r>
        <w:t>All users</w:t>
      </w:r>
    </w:p>
    <w:p w14:paraId="3DDF1A34" w14:textId="77777777" w:rsidR="00F3651E" w:rsidRDefault="00F3651E">
      <w:pPr>
        <w:rPr>
          <w:rFonts w:ascii="Arial" w:hAnsi="Arial"/>
          <w:b/>
          <w:sz w:val="22"/>
        </w:rPr>
      </w:pPr>
      <w:r>
        <w:br w:type="page"/>
      </w:r>
    </w:p>
    <w:p w14:paraId="2469FF34" w14:textId="38E82BA5" w:rsidR="002A21AE" w:rsidRDefault="002A21AE">
      <w:pPr>
        <w:pStyle w:val="Heading4"/>
      </w:pPr>
      <w:r>
        <w:lastRenderedPageBreak/>
        <w:t>Post-Transfusion Information</w:t>
      </w:r>
    </w:p>
    <w:p w14:paraId="11704303" w14:textId="77777777" w:rsidR="002A21AE" w:rsidRDefault="002A21AE" w:rsidP="00FA7E65">
      <w:pPr>
        <w:pStyle w:val="BodyText"/>
      </w:pPr>
      <w:r>
        <w:t>The user verifies the date and time transfused with a returned BTRF, adds other transfusion details, initiates a system check of the bedside verification information, enters that information, and indicates whether a</w:t>
      </w:r>
      <w:r w:rsidR="00A10483">
        <w:t xml:space="preserve"> </w:t>
      </w:r>
      <w:r>
        <w:t xml:space="preserve">reaction occurred during or immediately after the transfusion, as documented on the BTRF. </w:t>
      </w:r>
      <w:r w:rsidR="006B7AA9">
        <w:t xml:space="preserve">VBECS does not require entry of post-transfusion information: </w:t>
      </w:r>
      <w:r w:rsidR="00CA57D7">
        <w:t xml:space="preserve">once a day, </w:t>
      </w:r>
      <w:r w:rsidR="006B7AA9">
        <w:t xml:space="preserve">without user input, </w:t>
      </w:r>
      <w:r w:rsidR="00CA57D7">
        <w:t>VBECS moves units 48 hours after issue to</w:t>
      </w:r>
      <w:r w:rsidR="006B7AA9">
        <w:t xml:space="preserve"> “presumed transfused” status</w:t>
      </w:r>
      <w:r w:rsidR="005C7822" w:rsidRPr="00FE1F14">
        <w:rPr>
          <w:vanish/>
        </w:rPr>
        <w:t>UserDoc Task 1098</w:t>
      </w:r>
      <w:r w:rsidR="006B7AA9">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78C1FD7A" w14:textId="77777777">
        <w:trPr>
          <w:cantSplit/>
          <w:tblHeader/>
        </w:trPr>
        <w:tc>
          <w:tcPr>
            <w:tcW w:w="3240" w:type="dxa"/>
            <w:shd w:val="pct30" w:color="auto" w:fill="FFFFFF"/>
            <w:vAlign w:val="bottom"/>
          </w:tcPr>
          <w:p w14:paraId="1AC78AC1" w14:textId="77777777" w:rsidR="002A21AE" w:rsidRDefault="002A21AE">
            <w:pPr>
              <w:pStyle w:val="TableText"/>
              <w:rPr>
                <w:b/>
              </w:rPr>
            </w:pPr>
            <w:r>
              <w:rPr>
                <w:b/>
              </w:rPr>
              <w:t>User Action</w:t>
            </w:r>
          </w:p>
        </w:tc>
        <w:tc>
          <w:tcPr>
            <w:tcW w:w="6120" w:type="dxa"/>
            <w:shd w:val="pct30" w:color="auto" w:fill="FFFFFF"/>
            <w:vAlign w:val="bottom"/>
          </w:tcPr>
          <w:p w14:paraId="7422DE95" w14:textId="77777777" w:rsidR="002A21AE" w:rsidRDefault="002A21AE">
            <w:pPr>
              <w:pStyle w:val="TableText"/>
              <w:rPr>
                <w:b/>
              </w:rPr>
            </w:pPr>
            <w:r>
              <w:rPr>
                <w:b/>
              </w:rPr>
              <w:t>VBECS</w:t>
            </w:r>
          </w:p>
        </w:tc>
      </w:tr>
      <w:tr w:rsidR="002A21AE" w14:paraId="5CC12B4F" w14:textId="77777777">
        <w:tc>
          <w:tcPr>
            <w:tcW w:w="3240" w:type="dxa"/>
            <w:tcBorders>
              <w:top w:val="single" w:sz="4" w:space="0" w:color="auto"/>
              <w:left w:val="single" w:sz="4" w:space="0" w:color="auto"/>
              <w:bottom w:val="single" w:sz="4" w:space="0" w:color="auto"/>
              <w:right w:val="single" w:sz="4" w:space="0" w:color="auto"/>
            </w:tcBorders>
          </w:tcPr>
          <w:p w14:paraId="45261B32" w14:textId="77777777" w:rsidR="002A21AE" w:rsidRDefault="002A21AE">
            <w:pPr>
              <w:pStyle w:val="TableTextNumbers"/>
            </w:pPr>
            <w:r>
              <w:t xml:space="preserve">Select </w:t>
            </w:r>
            <w:r>
              <w:rPr>
                <w:b/>
              </w:rPr>
              <w:t>Patients</w:t>
            </w:r>
            <w:r>
              <w:t xml:space="preserve"> from the main menu.</w:t>
            </w:r>
          </w:p>
          <w:p w14:paraId="61EE19F7" w14:textId="77777777" w:rsidR="002A21AE" w:rsidRDefault="002A21AE">
            <w:pPr>
              <w:pStyle w:val="TableTextNumbersContinued"/>
            </w:pPr>
          </w:p>
          <w:p w14:paraId="0666F98B" w14:textId="77777777" w:rsidR="002A21AE" w:rsidRDefault="002A21AE">
            <w:pPr>
              <w:pStyle w:val="TableTextNumbersContinued"/>
            </w:pPr>
            <w:r>
              <w:t xml:space="preserve">Select </w:t>
            </w:r>
            <w:r>
              <w:rPr>
                <w:b/>
              </w:rPr>
              <w:t>Post-Transfusion Information</w:t>
            </w:r>
            <w:r>
              <w:t xml:space="preserve">. </w:t>
            </w:r>
          </w:p>
        </w:tc>
        <w:tc>
          <w:tcPr>
            <w:tcW w:w="6120" w:type="dxa"/>
            <w:tcBorders>
              <w:top w:val="single" w:sz="4" w:space="0" w:color="auto"/>
              <w:left w:val="single" w:sz="4" w:space="0" w:color="auto"/>
              <w:bottom w:val="single" w:sz="4" w:space="0" w:color="auto"/>
              <w:right w:val="single" w:sz="4" w:space="0" w:color="auto"/>
            </w:tcBorders>
          </w:tcPr>
          <w:p w14:paraId="377FF0AF" w14:textId="77777777" w:rsidR="002A21AE" w:rsidRDefault="002A21AE">
            <w:pPr>
              <w:pStyle w:val="TableTextBullet"/>
            </w:pPr>
            <w:r>
              <w:t>Displays options for processing patient-related functions.</w:t>
            </w:r>
          </w:p>
          <w:p w14:paraId="42414357" w14:textId="77777777" w:rsidR="002A21AE" w:rsidRDefault="002A21AE">
            <w:pPr>
              <w:pStyle w:val="TableTextBullet"/>
            </w:pPr>
            <w:r>
              <w:t>Displays an option to scan the Caution Tag or enter a patient name or ID.</w:t>
            </w:r>
          </w:p>
        </w:tc>
      </w:tr>
      <w:tr w:rsidR="002A21AE" w14:paraId="0BE6B769" w14:textId="77777777">
        <w:tc>
          <w:tcPr>
            <w:tcW w:w="3240" w:type="dxa"/>
          </w:tcPr>
          <w:p w14:paraId="79A75335" w14:textId="77777777" w:rsidR="002A21AE" w:rsidRDefault="002A21AE">
            <w:pPr>
              <w:pStyle w:val="TableTextNumbers"/>
            </w:pPr>
            <w:r>
              <w:t xml:space="preserve">Select a patient and click </w:t>
            </w:r>
            <w:r>
              <w:rPr>
                <w:b/>
              </w:rPr>
              <w:t>OK</w:t>
            </w:r>
            <w:r>
              <w:t>.</w:t>
            </w:r>
          </w:p>
        </w:tc>
        <w:tc>
          <w:tcPr>
            <w:tcW w:w="6120" w:type="dxa"/>
          </w:tcPr>
          <w:p w14:paraId="23300C78" w14:textId="77777777" w:rsidR="002A21AE" w:rsidRDefault="002A21AE">
            <w:pPr>
              <w:pStyle w:val="TableTextBullet"/>
            </w:pPr>
            <w:r>
              <w:rPr>
                <w:rFonts w:cs="Arial"/>
                <w:vanish/>
              </w:rPr>
              <w:t xml:space="preserve">BR_69.02 </w:t>
            </w:r>
            <w:r>
              <w:t xml:space="preserve">Lists the units issued to the selected patient. </w:t>
            </w:r>
          </w:p>
          <w:p w14:paraId="055B26F2" w14:textId="77777777" w:rsidR="002A21AE" w:rsidRDefault="002A21AE">
            <w:pPr>
              <w:pStyle w:val="TableTextBullet"/>
            </w:pPr>
            <w:r>
              <w:t>Displays the issue date and time.</w:t>
            </w:r>
          </w:p>
          <w:p w14:paraId="14F1D31B" w14:textId="77777777" w:rsidR="002A21AE" w:rsidRDefault="002A21AE">
            <w:pPr>
              <w:pStyle w:val="TableTextBullet"/>
            </w:pPr>
            <w:r>
              <w:t>Displays the units one at a time for update in the order in which the user selected them.</w:t>
            </w:r>
          </w:p>
          <w:p w14:paraId="1C3C6756" w14:textId="77777777" w:rsidR="002A21AE" w:rsidRDefault="002A21AE">
            <w:pPr>
              <w:pStyle w:val="TableText"/>
            </w:pPr>
          </w:p>
          <w:p w14:paraId="54550E61" w14:textId="77777777" w:rsidR="002A21AE" w:rsidRDefault="00057948">
            <w:pPr>
              <w:pStyle w:val="TableText"/>
              <w:rPr>
                <w:b/>
                <w:bCs/>
                <w:szCs w:val="18"/>
              </w:rPr>
            </w:pPr>
            <w:r>
              <w:rPr>
                <w:b/>
                <w:bCs/>
                <w:noProof/>
              </w:rPr>
              <mc:AlternateContent>
                <mc:Choice Requires="wps">
                  <w:drawing>
                    <wp:anchor distT="0" distB="0" distL="114300" distR="114300" simplePos="0" relativeHeight="251582976" behindDoc="0" locked="0" layoutInCell="1" allowOverlap="1" wp14:anchorId="72EFEE96" wp14:editId="29B8A2E5">
                      <wp:simplePos x="0" y="0"/>
                      <wp:positionH relativeFrom="column">
                        <wp:posOffset>457200</wp:posOffset>
                      </wp:positionH>
                      <wp:positionV relativeFrom="paragraph">
                        <wp:posOffset>65405</wp:posOffset>
                      </wp:positionV>
                      <wp:extent cx="3200400" cy="0"/>
                      <wp:effectExtent l="9525" t="17780" r="9525" b="10795"/>
                      <wp:wrapNone/>
                      <wp:docPr id="322" name="Line 878" descr="P9128C6T9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DD799" id="Line 878" o:spid="_x0000_s1026" alt="&quot;&quot;" style="position:absolute;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a8GH6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5E158BA8" w14:textId="77777777" w:rsidR="002A21AE" w:rsidRDefault="002A21AE">
            <w:pPr>
              <w:pStyle w:val="NotesText"/>
            </w:pPr>
          </w:p>
          <w:p w14:paraId="7B9BA5DD" w14:textId="77777777" w:rsidR="00C341A6" w:rsidRDefault="00C341A6" w:rsidP="00C341A6">
            <w:pPr>
              <w:pStyle w:val="NotesText"/>
            </w:pPr>
            <w:r>
              <w:rPr>
                <w:rFonts w:cs="Arial"/>
                <w:vanish/>
              </w:rPr>
              <w:t xml:space="preserve">BR_69.03 </w:t>
            </w:r>
            <w:r w:rsidRPr="007D4E77">
              <w:rPr>
                <w:rFonts w:ascii="Wingdings 3" w:hAnsi="Wingdings 3"/>
              </w:rPr>
              <w:t></w:t>
            </w:r>
            <w:r w:rsidRPr="007D4E77">
              <w:rPr>
                <w:rFonts w:ascii="Wingdings 3" w:hAnsi="Wingdings 3"/>
              </w:rPr>
              <w:t></w:t>
            </w:r>
            <w:r w:rsidRPr="007D4E77">
              <w:rPr>
                <w:rFonts w:ascii="Wingdings 3" w:hAnsi="Wingdings 3"/>
              </w:rPr>
              <w:t></w:t>
            </w:r>
            <w:r w:rsidRPr="007D4E77">
              <w:rPr>
                <w:rFonts w:ascii="Wingdings 3" w:hAnsi="Wingdings 3"/>
              </w:rPr>
              <w:t></w:t>
            </w:r>
            <w:r>
              <w:t xml:space="preserve"> VBECS displays an option to obtain a list of transfused (those not received by BCE COTS) units for the patient when the user is a Traditional Supervisor or above.</w:t>
            </w:r>
          </w:p>
          <w:p w14:paraId="1D36F677" w14:textId="77777777" w:rsidR="002A21AE" w:rsidRDefault="002A21AE">
            <w:pPr>
              <w:pStyle w:val="NotesText"/>
            </w:pPr>
          </w:p>
          <w:p w14:paraId="6099EB5A" w14:textId="77777777" w:rsidR="00C341A6" w:rsidRDefault="00C341A6">
            <w:pPr>
              <w:pStyle w:val="NotesText"/>
            </w:pPr>
            <w:r w:rsidRPr="00E34E31">
              <w:rPr>
                <w:vanish/>
              </w:rPr>
              <w:t xml:space="preserve">BR_69.01 </w:t>
            </w:r>
            <w:r w:rsidRPr="00E34E31">
              <w:t>When post-transfusion information is not entered into VBECS within 48 hours from the date/time the unit was recorded as “issued”, VBECS will change the unit status to “transfused” with a presumed indicator after the execution of a scheduled background job. The unit will then be considered transfused by the system regarding report generation. If post-transfusion information is entered later, the presumed indicator is deactivated.</w:t>
            </w:r>
          </w:p>
        </w:tc>
      </w:tr>
      <w:tr w:rsidR="00D51EEA" w14:paraId="6EA84874" w14:textId="77777777">
        <w:tc>
          <w:tcPr>
            <w:tcW w:w="3240" w:type="dxa"/>
          </w:tcPr>
          <w:p w14:paraId="2D16F736" w14:textId="474E2CB4" w:rsidR="00D51EEA" w:rsidRDefault="00D51EEA">
            <w:pPr>
              <w:pStyle w:val="TableTextNumbers"/>
            </w:pPr>
            <w:r>
              <w:t>Click one or more check boxes to select units</w:t>
            </w:r>
            <w:r w:rsidR="00DA5ED4">
              <w:t xml:space="preserve"> (</w:t>
            </w:r>
            <w:r w:rsidR="00AF4568">
              <w:fldChar w:fldCharType="begin" w:fldLock="1"/>
            </w:r>
            <w:r w:rsidR="00AF4568">
              <w:instrText xml:space="preserve"> REF _Ref127607637 \h </w:instrText>
            </w:r>
            <w:r w:rsidR="00AF4568">
              <w:fldChar w:fldCharType="separate"/>
            </w:r>
            <w:r w:rsidR="00AB304C">
              <w:t xml:space="preserve">Figure </w:t>
            </w:r>
            <w:r w:rsidR="00AB304C">
              <w:rPr>
                <w:noProof/>
              </w:rPr>
              <w:t>142</w:t>
            </w:r>
            <w:r w:rsidR="00AF4568">
              <w:fldChar w:fldCharType="end"/>
            </w:r>
            <w:r w:rsidR="00DA5ED4">
              <w:t>)</w:t>
            </w:r>
            <w:r>
              <w:t>.</w:t>
            </w:r>
          </w:p>
          <w:p w14:paraId="651691B4" w14:textId="77777777" w:rsidR="00AB0C95" w:rsidRDefault="00AB0C95" w:rsidP="00AB0C95">
            <w:pPr>
              <w:pStyle w:val="TableTextNumbersContinued"/>
            </w:pPr>
          </w:p>
          <w:p w14:paraId="2DE0A459" w14:textId="77777777" w:rsidR="00AB0C95" w:rsidRDefault="00AB0C95" w:rsidP="00AB0C95">
            <w:pPr>
              <w:pStyle w:val="TableTextNumbersContinued"/>
            </w:pPr>
            <w:r>
              <w:t xml:space="preserve">Click </w:t>
            </w:r>
            <w:r w:rsidRPr="00AB0C95">
              <w:rPr>
                <w:b/>
              </w:rPr>
              <w:t>OK</w:t>
            </w:r>
            <w:r>
              <w:t>.</w:t>
            </w:r>
          </w:p>
        </w:tc>
        <w:tc>
          <w:tcPr>
            <w:tcW w:w="6120" w:type="dxa"/>
          </w:tcPr>
          <w:p w14:paraId="1E0DAAC6" w14:textId="77777777" w:rsidR="00D51EEA" w:rsidRDefault="00D51EEA" w:rsidP="00D51EEA">
            <w:pPr>
              <w:pStyle w:val="TableTextBullet"/>
            </w:pPr>
            <w:r>
              <w:t>Allows the user to select units for which to enter post-transfusion information.</w:t>
            </w:r>
          </w:p>
          <w:p w14:paraId="0D5D2980" w14:textId="77777777" w:rsidR="00D51EEA" w:rsidRDefault="00D51EEA" w:rsidP="00D51EEA">
            <w:pPr>
              <w:pStyle w:val="TableText"/>
            </w:pPr>
          </w:p>
          <w:p w14:paraId="4A0DD67C" w14:textId="77777777" w:rsidR="00D51EEA" w:rsidRDefault="00057948" w:rsidP="00D51EEA">
            <w:pPr>
              <w:pStyle w:val="TableText"/>
              <w:rPr>
                <w:b/>
                <w:bCs/>
                <w:szCs w:val="18"/>
              </w:rPr>
            </w:pPr>
            <w:r>
              <w:rPr>
                <w:b/>
                <w:bCs/>
                <w:noProof/>
              </w:rPr>
              <mc:AlternateContent>
                <mc:Choice Requires="wps">
                  <w:drawing>
                    <wp:anchor distT="0" distB="0" distL="114300" distR="114300" simplePos="0" relativeHeight="251952640" behindDoc="0" locked="0" layoutInCell="1" allowOverlap="1" wp14:anchorId="2B9B2CBB" wp14:editId="2B4DEA48">
                      <wp:simplePos x="0" y="0"/>
                      <wp:positionH relativeFrom="column">
                        <wp:posOffset>457200</wp:posOffset>
                      </wp:positionH>
                      <wp:positionV relativeFrom="paragraph">
                        <wp:posOffset>65405</wp:posOffset>
                      </wp:positionV>
                      <wp:extent cx="3200400" cy="0"/>
                      <wp:effectExtent l="9525" t="17780" r="9525" b="10795"/>
                      <wp:wrapNone/>
                      <wp:docPr id="321" name="Line 1090" descr="P9139C8T9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8225A" id="Line 1090" o:spid="_x0000_s1026" alt="&quot;&quot;" style="position:absolute;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Pj0RFDEAQAAbwMAAA4AAAAAAAAAAAAAAAAA&#10;LgIAAGRycy9lMm9Eb2MueG1sUEsBAi0AFAAGAAgAAAAhABdPMBLbAAAACAEAAA8AAAAAAAAAAAAA&#10;AAAAHgQAAGRycy9kb3ducmV2LnhtbFBLBQYAAAAABAAEAPMAAAAmBQAAAAA=&#10;" strokeweight="1.5pt"/>
                  </w:pict>
                </mc:Fallback>
              </mc:AlternateContent>
            </w:r>
            <w:r w:rsidR="00D51EEA">
              <w:rPr>
                <w:b/>
                <w:bCs/>
                <w:szCs w:val="18"/>
              </w:rPr>
              <w:t>NOTES</w:t>
            </w:r>
          </w:p>
          <w:p w14:paraId="0FEA3BBA" w14:textId="77777777" w:rsidR="00D51EEA" w:rsidRDefault="00D51EEA" w:rsidP="00D51EEA">
            <w:pPr>
              <w:pStyle w:val="NotesText"/>
            </w:pPr>
          </w:p>
          <w:p w14:paraId="2801F888" w14:textId="77777777" w:rsidR="00D51EEA" w:rsidRDefault="00D51EEA" w:rsidP="00D51EEA">
            <w:pPr>
              <w:pStyle w:val="NotesText"/>
            </w:pPr>
            <w:r w:rsidRPr="00896F17">
              <w:rPr>
                <w:rStyle w:val="BullhornChar"/>
              </w:rPr>
              <w:t></w:t>
            </w:r>
            <w:r>
              <w:rPr>
                <w:color w:val="000000"/>
                <w:szCs w:val="18"/>
              </w:rPr>
              <w:t xml:space="preserve"> </w:t>
            </w:r>
            <w:r>
              <w:rPr>
                <w:rFonts w:cs="Arial"/>
                <w:vanish/>
              </w:rPr>
              <w:t xml:space="preserve">BR_70.06 </w:t>
            </w:r>
            <w:r>
              <w:t xml:space="preserve">VBECS does not list units (for selection) with a final status. When a user enters a unit with a final status, VBECS </w:t>
            </w:r>
            <w:r w:rsidR="007826D2">
              <w:t>alerts</w:t>
            </w:r>
            <w:r>
              <w:t xml:space="preserve"> the user and clears the screen. The user may select another unit.</w:t>
            </w:r>
          </w:p>
        </w:tc>
      </w:tr>
      <w:tr w:rsidR="002A21AE" w14:paraId="08E1C609" w14:textId="77777777">
        <w:tc>
          <w:tcPr>
            <w:tcW w:w="3240" w:type="dxa"/>
          </w:tcPr>
          <w:p w14:paraId="48F07C2E" w14:textId="77777777" w:rsidR="002A21AE" w:rsidRDefault="002A21AE">
            <w:pPr>
              <w:pStyle w:val="TableTextNumbers"/>
            </w:pPr>
            <w:r>
              <w:t xml:space="preserve">Enter transfusion details for a blood unit. </w:t>
            </w:r>
          </w:p>
          <w:p w14:paraId="4CD8DC3C" w14:textId="77777777" w:rsidR="002A21AE" w:rsidRDefault="002A21AE">
            <w:pPr>
              <w:pStyle w:val="TableTextNumbersContinued"/>
            </w:pPr>
          </w:p>
          <w:p w14:paraId="3685B660" w14:textId="77777777" w:rsidR="002A21AE" w:rsidRDefault="002A21AE">
            <w:pPr>
              <w:pStyle w:val="TableTextNumbersContinued"/>
            </w:pPr>
            <w:r>
              <w:t>Verify the unit selection.</w:t>
            </w:r>
          </w:p>
        </w:tc>
        <w:tc>
          <w:tcPr>
            <w:tcW w:w="6120" w:type="dxa"/>
          </w:tcPr>
          <w:p w14:paraId="42B24CC7" w14:textId="77777777" w:rsidR="00557C79" w:rsidRDefault="00557C79" w:rsidP="00557C79">
            <w:pPr>
              <w:pStyle w:val="TableTextBullet"/>
            </w:pPr>
            <w:r>
              <w:t xml:space="preserve">Displays the unit information entered by the bedside verification check and allows the user to enter to edit the information. </w:t>
            </w:r>
          </w:p>
          <w:p w14:paraId="4D384835" w14:textId="77777777" w:rsidR="00132628" w:rsidRDefault="00132628" w:rsidP="00557C79">
            <w:pPr>
              <w:pStyle w:val="TableTextBullet"/>
            </w:pPr>
            <w:r>
              <w:t>Displays an option to enter or edit unit data.</w:t>
            </w:r>
          </w:p>
          <w:p w14:paraId="0336F1E6" w14:textId="77777777" w:rsidR="00557C79" w:rsidRDefault="00557C79" w:rsidP="00557C79">
            <w:pPr>
              <w:pStyle w:val="TableText"/>
            </w:pPr>
          </w:p>
          <w:p w14:paraId="6DEAB375" w14:textId="77777777" w:rsidR="00557C79" w:rsidRDefault="00057948" w:rsidP="00557C79">
            <w:pPr>
              <w:pStyle w:val="TableText"/>
              <w:rPr>
                <w:b/>
                <w:bCs/>
                <w:szCs w:val="18"/>
              </w:rPr>
            </w:pPr>
            <w:r>
              <w:rPr>
                <w:b/>
                <w:bCs/>
                <w:noProof/>
              </w:rPr>
              <mc:AlternateContent>
                <mc:Choice Requires="wps">
                  <w:drawing>
                    <wp:anchor distT="0" distB="0" distL="114300" distR="114300" simplePos="0" relativeHeight="251955712" behindDoc="0" locked="0" layoutInCell="1" allowOverlap="1" wp14:anchorId="26083F4D" wp14:editId="6721A3BF">
                      <wp:simplePos x="0" y="0"/>
                      <wp:positionH relativeFrom="column">
                        <wp:posOffset>457200</wp:posOffset>
                      </wp:positionH>
                      <wp:positionV relativeFrom="paragraph">
                        <wp:posOffset>65405</wp:posOffset>
                      </wp:positionV>
                      <wp:extent cx="3200400" cy="0"/>
                      <wp:effectExtent l="9525" t="17780" r="9525" b="10795"/>
                      <wp:wrapNone/>
                      <wp:docPr id="320" name="Line 1091" descr="P9149C10T9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35E37" id="Line 1091" o:spid="_x0000_s1026" alt="&quot;&quot;" style="position:absolute;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DuWHLQwgEAAG8DAAAOAAAAAAAAAAAAAAAAAC4C&#10;AABkcnMvZTJvRG9jLnhtbFBLAQItABQABgAIAAAAIQAXTzAS2wAAAAgBAAAPAAAAAAAAAAAAAAAA&#10;ABwEAABkcnMvZG93bnJldi54bWxQSwUGAAAAAAQABADzAAAAJAUAAAAA&#10;" strokeweight="1.5pt"/>
                  </w:pict>
                </mc:Fallback>
              </mc:AlternateContent>
            </w:r>
            <w:r w:rsidR="00557C79">
              <w:rPr>
                <w:b/>
                <w:bCs/>
                <w:szCs w:val="18"/>
              </w:rPr>
              <w:t>NOTES</w:t>
            </w:r>
          </w:p>
          <w:p w14:paraId="5FF38478" w14:textId="77777777" w:rsidR="00557C79" w:rsidRDefault="00557C79" w:rsidP="00557C79">
            <w:pPr>
              <w:pStyle w:val="NotesText"/>
            </w:pPr>
          </w:p>
          <w:p w14:paraId="1C2DCED5" w14:textId="77777777" w:rsidR="002A21AE" w:rsidRDefault="00557C79" w:rsidP="00557C79">
            <w:pPr>
              <w:pStyle w:val="NotesText"/>
            </w:pPr>
            <w:r>
              <w:rPr>
                <w:rFonts w:cs="Arial"/>
                <w:vanish/>
              </w:rPr>
              <w:t xml:space="preserve">BR_69.05 </w:t>
            </w:r>
            <w:r w:rsidR="006D571D" w:rsidRPr="007D4E77">
              <w:rPr>
                <w:rFonts w:ascii="Wingdings 3" w:hAnsi="Wingdings 3"/>
              </w:rPr>
              <w:t></w:t>
            </w:r>
            <w:r w:rsidR="006D571D" w:rsidRPr="007D4E77">
              <w:rPr>
                <w:rFonts w:ascii="Wingdings 3" w:hAnsi="Wingdings 3"/>
              </w:rPr>
              <w:t></w:t>
            </w:r>
            <w:r w:rsidR="006D571D" w:rsidRPr="007D4E77">
              <w:rPr>
                <w:rFonts w:ascii="Wingdings 3" w:hAnsi="Wingdings 3"/>
              </w:rPr>
              <w:t></w:t>
            </w:r>
            <w:r w:rsidR="006D571D" w:rsidRPr="007D4E77">
              <w:rPr>
                <w:rFonts w:ascii="Wingdings 3" w:hAnsi="Wingdings 3"/>
              </w:rPr>
              <w:t></w:t>
            </w:r>
            <w:r w:rsidR="006D571D">
              <w:t xml:space="preserve"> </w:t>
            </w:r>
            <w:r>
              <w:t xml:space="preserve">A user with a security setting of Traditional Supervisor may edit </w:t>
            </w:r>
            <w:r w:rsidR="00DA747E">
              <w:t>user</w:t>
            </w:r>
            <w:r>
              <w:t xml:space="preserve"> entered bedside verification, transfusion reaction, or post-transfusion detail information.</w:t>
            </w:r>
          </w:p>
          <w:p w14:paraId="24646FB0" w14:textId="77777777" w:rsidR="00132628" w:rsidRDefault="00132628" w:rsidP="00132628">
            <w:pPr>
              <w:pStyle w:val="NotesText"/>
            </w:pPr>
          </w:p>
          <w:p w14:paraId="3C1D7028" w14:textId="77777777" w:rsidR="003427EE" w:rsidRDefault="00132628" w:rsidP="003427EE">
            <w:pPr>
              <w:pStyle w:val="NotesText"/>
            </w:pPr>
            <w:r>
              <w:rPr>
                <w:rFonts w:cs="Arial"/>
                <w:vanish/>
              </w:rPr>
              <w:t xml:space="preserve">BR_69.08 </w:t>
            </w:r>
            <w:r>
              <w:t>VBECS displays an option to enter information for each unit.</w:t>
            </w:r>
            <w:r w:rsidR="00FE3062">
              <w:t xml:space="preserve"> This information is available for patient record retrieval.</w:t>
            </w:r>
          </w:p>
          <w:p w14:paraId="5064715E" w14:textId="77777777" w:rsidR="00927825" w:rsidRDefault="00927825" w:rsidP="003427EE">
            <w:pPr>
              <w:pStyle w:val="NotesText"/>
            </w:pPr>
          </w:p>
          <w:p w14:paraId="385DFDE3" w14:textId="77777777" w:rsidR="00927825" w:rsidRPr="003427EE" w:rsidRDefault="00E15CC5" w:rsidP="00E15CC5">
            <w:pPr>
              <w:pStyle w:val="NotesText"/>
            </w:pPr>
            <w:r w:rsidRPr="00E15CC5">
              <w:rPr>
                <w:vanish/>
              </w:rPr>
              <w:lastRenderedPageBreak/>
              <w:t xml:space="preserve">BR_69.08 </w:t>
            </w:r>
            <w:r w:rsidRPr="00E15CC5">
              <w:t>To prevent rejection of transfusion information exchanged between VBECS and the Transfusion Verification system, a variance of +/- five (5) minutes is permitted for time of issue and transfusion start and end times. The variance allows the two systems to communicate even when their internal time is not precisely synced to the minute.</w:t>
            </w:r>
            <w:r w:rsidR="004B714E" w:rsidRPr="004B714E">
              <w:rPr>
                <w:vanish/>
              </w:rPr>
              <w:t xml:space="preserve"> (Defect 371676)</w:t>
            </w:r>
          </w:p>
        </w:tc>
      </w:tr>
      <w:tr w:rsidR="002A21AE" w14:paraId="2225A9EC" w14:textId="77777777">
        <w:tc>
          <w:tcPr>
            <w:tcW w:w="3240" w:type="dxa"/>
          </w:tcPr>
          <w:p w14:paraId="5876EF35" w14:textId="77777777" w:rsidR="002A21AE" w:rsidRDefault="002A21AE">
            <w:pPr>
              <w:pStyle w:val="TableTextNumbers"/>
            </w:pPr>
            <w:r>
              <w:lastRenderedPageBreak/>
              <w:t>Select one or more units. Enter or edit the bedside verification check information with the proper security level.</w:t>
            </w:r>
          </w:p>
        </w:tc>
        <w:tc>
          <w:tcPr>
            <w:tcW w:w="6120" w:type="dxa"/>
          </w:tcPr>
          <w:p w14:paraId="65C396F9" w14:textId="77777777" w:rsidR="002A21AE" w:rsidRDefault="002A21AE">
            <w:pPr>
              <w:pStyle w:val="TableTextBullet"/>
            </w:pPr>
            <w:r>
              <w:t>Displays the entries for review, including the comment, until all details are entered.</w:t>
            </w:r>
          </w:p>
          <w:p w14:paraId="1B83BCAE" w14:textId="77777777" w:rsidR="002A21AE" w:rsidRDefault="002A21AE">
            <w:pPr>
              <w:pStyle w:val="TableTextBullet"/>
            </w:pPr>
            <w:r>
              <w:t>Displays an option to save the data and exit.</w:t>
            </w:r>
          </w:p>
          <w:p w14:paraId="27EA1A1B" w14:textId="77777777" w:rsidR="002A21AE" w:rsidRDefault="002A21AE">
            <w:pPr>
              <w:pStyle w:val="TableText"/>
            </w:pPr>
          </w:p>
          <w:p w14:paraId="5AF84ECE" w14:textId="77777777" w:rsidR="002A21AE" w:rsidRDefault="00057948">
            <w:pPr>
              <w:pStyle w:val="TableText"/>
              <w:rPr>
                <w:b/>
                <w:bCs/>
                <w:szCs w:val="18"/>
              </w:rPr>
            </w:pPr>
            <w:r>
              <w:rPr>
                <w:b/>
                <w:bCs/>
                <w:noProof/>
              </w:rPr>
              <mc:AlternateContent>
                <mc:Choice Requires="wps">
                  <w:drawing>
                    <wp:anchor distT="0" distB="0" distL="114300" distR="114300" simplePos="0" relativeHeight="251579904" behindDoc="0" locked="0" layoutInCell="1" allowOverlap="1" wp14:anchorId="008C26BA" wp14:editId="1093BD31">
                      <wp:simplePos x="0" y="0"/>
                      <wp:positionH relativeFrom="column">
                        <wp:posOffset>457200</wp:posOffset>
                      </wp:positionH>
                      <wp:positionV relativeFrom="paragraph">
                        <wp:posOffset>65405</wp:posOffset>
                      </wp:positionV>
                      <wp:extent cx="3200400" cy="0"/>
                      <wp:effectExtent l="9525" t="17780" r="9525" b="10795"/>
                      <wp:wrapNone/>
                      <wp:docPr id="319" name="Line 876" descr="P9161C12T9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494E2" id="Line 876" o:spid="_x0000_s1026" alt="&quot;&quot;" style="position:absolute;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0QaxW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02F41C3E" w14:textId="77777777" w:rsidR="002A21AE" w:rsidRDefault="002A21AE">
            <w:pPr>
              <w:pStyle w:val="NotesText"/>
            </w:pPr>
          </w:p>
          <w:p w14:paraId="69EC1D1C" w14:textId="77777777" w:rsidR="002A21AE" w:rsidRPr="00D6556D" w:rsidRDefault="002A21AE" w:rsidP="00D6556D">
            <w:pPr>
              <w:pStyle w:val="NotesText"/>
            </w:pPr>
            <w:r>
              <w:rPr>
                <w:rFonts w:cs="Arial"/>
                <w:vanish/>
              </w:rPr>
              <w:t xml:space="preserve">BR_69.12 </w:t>
            </w:r>
            <w:r>
              <w:t>Upon data entry and saving of the post-transfusion information, VBECS assigns a status of “transfused” for the unit of blood assigned to the indicated patient.</w:t>
            </w:r>
          </w:p>
        </w:tc>
      </w:tr>
      <w:tr w:rsidR="002A21AE" w14:paraId="7338AC95" w14:textId="77777777">
        <w:tc>
          <w:tcPr>
            <w:tcW w:w="3240" w:type="dxa"/>
          </w:tcPr>
          <w:p w14:paraId="19F478AF" w14:textId="77777777" w:rsidR="002A21AE" w:rsidRDefault="0014520D">
            <w:pPr>
              <w:pStyle w:val="TableTextNumbers"/>
            </w:pPr>
            <w:r>
              <w:t>Enter post-transfusion details, including:</w:t>
            </w:r>
          </w:p>
          <w:p w14:paraId="52C6A305" w14:textId="77777777" w:rsidR="0014520D" w:rsidRDefault="0014520D" w:rsidP="0014520D">
            <w:pPr>
              <w:pStyle w:val="TableTextNumbersBullet"/>
            </w:pPr>
            <w:r>
              <w:t>Transfusion start and end dates and times</w:t>
            </w:r>
          </w:p>
          <w:p w14:paraId="2968E1AA" w14:textId="77777777" w:rsidR="0014520D" w:rsidRDefault="0014520D" w:rsidP="0014520D">
            <w:pPr>
              <w:pStyle w:val="TableTextNumbersBullet"/>
            </w:pPr>
            <w:r>
              <w:t>Transfusionist ID</w:t>
            </w:r>
          </w:p>
          <w:p w14:paraId="37A61159" w14:textId="77777777" w:rsidR="0014520D" w:rsidRDefault="0014520D" w:rsidP="0014520D">
            <w:pPr>
              <w:pStyle w:val="TableTextNumbersBullet"/>
            </w:pPr>
            <w:r>
              <w:t>Location of transfusion</w:t>
            </w:r>
          </w:p>
          <w:p w14:paraId="78F44DF5" w14:textId="77777777" w:rsidR="0014520D" w:rsidRDefault="0014520D" w:rsidP="0014520D">
            <w:pPr>
              <w:pStyle w:val="TableTextNumbersBullet"/>
            </w:pPr>
            <w:r>
              <w:t>Whether the transfusion was completed or interrupted</w:t>
            </w:r>
          </w:p>
          <w:p w14:paraId="4F5FACE9" w14:textId="77777777" w:rsidR="0014520D" w:rsidRDefault="0014520D" w:rsidP="0014520D">
            <w:pPr>
              <w:pStyle w:val="TableTextNumbersBullet"/>
            </w:pPr>
            <w:r>
              <w:t>If interrupted, the amount transfused</w:t>
            </w:r>
          </w:p>
          <w:p w14:paraId="247938B1" w14:textId="77777777" w:rsidR="0014520D" w:rsidRDefault="0014520D" w:rsidP="0014520D">
            <w:pPr>
              <w:pStyle w:val="TableTextNumbersBullet"/>
            </w:pPr>
            <w:r>
              <w:t>Whether there was a transfusion reaction</w:t>
            </w:r>
          </w:p>
          <w:p w14:paraId="5980B42B" w14:textId="165171D7" w:rsidR="0014520D" w:rsidRDefault="0014520D" w:rsidP="0014520D">
            <w:pPr>
              <w:pStyle w:val="TableTextNumbersBullet"/>
            </w:pPr>
            <w:r>
              <w:t>If there was a reaction, symptoms</w:t>
            </w:r>
            <w:r w:rsidR="00DA5ED4">
              <w:t xml:space="preserve"> (</w:t>
            </w:r>
            <w:r w:rsidR="00AF4568">
              <w:fldChar w:fldCharType="begin" w:fldLock="1"/>
            </w:r>
            <w:r w:rsidR="00AF4568">
              <w:instrText xml:space="preserve"> REF _Ref127607838 \h </w:instrText>
            </w:r>
            <w:r w:rsidR="00AF4568">
              <w:fldChar w:fldCharType="separate"/>
            </w:r>
            <w:r w:rsidR="00AB304C">
              <w:t xml:space="preserve">Figure </w:t>
            </w:r>
            <w:r w:rsidR="00AB304C">
              <w:rPr>
                <w:noProof/>
              </w:rPr>
              <w:t>143</w:t>
            </w:r>
            <w:r w:rsidR="00AF4568">
              <w:fldChar w:fldCharType="end"/>
            </w:r>
            <w:r w:rsidR="00DA5ED4">
              <w:t>)</w:t>
            </w:r>
          </w:p>
          <w:p w14:paraId="398CB59B" w14:textId="77777777" w:rsidR="008A3A5A" w:rsidRDefault="008A3A5A" w:rsidP="008A3A5A">
            <w:pPr>
              <w:pStyle w:val="TableTextNumbersContinued"/>
            </w:pPr>
          </w:p>
          <w:p w14:paraId="661FC8EF" w14:textId="77777777" w:rsidR="008A3A5A" w:rsidRDefault="008A3A5A" w:rsidP="008A3A5A">
            <w:pPr>
              <w:pStyle w:val="TableTextNumbersContinued"/>
            </w:pPr>
            <w:r>
              <w:t xml:space="preserve">Click </w:t>
            </w:r>
            <w:r w:rsidRPr="008A3A5A">
              <w:rPr>
                <w:b/>
              </w:rPr>
              <w:t>OK</w:t>
            </w:r>
            <w:r>
              <w:t xml:space="preserve"> to save.</w:t>
            </w:r>
          </w:p>
        </w:tc>
        <w:tc>
          <w:tcPr>
            <w:tcW w:w="6120" w:type="dxa"/>
          </w:tcPr>
          <w:p w14:paraId="6C6C598E" w14:textId="77777777" w:rsidR="002A21AE" w:rsidRDefault="002A21AE">
            <w:pPr>
              <w:pStyle w:val="TableTextBullet"/>
            </w:pPr>
            <w:r>
              <w:t>Displays an option to enter unit data.</w:t>
            </w:r>
          </w:p>
          <w:p w14:paraId="13B48989" w14:textId="77777777" w:rsidR="002A21AE" w:rsidRDefault="002A21AE">
            <w:pPr>
              <w:pStyle w:val="TableTextBullet"/>
            </w:pPr>
            <w:r>
              <w:t>Warns the user or allows the user to continue to the next selected unit.</w:t>
            </w:r>
          </w:p>
          <w:p w14:paraId="100D0472" w14:textId="77777777" w:rsidR="002A21AE" w:rsidRDefault="002A21AE">
            <w:pPr>
              <w:pStyle w:val="TableText"/>
            </w:pPr>
          </w:p>
          <w:p w14:paraId="5E703B51" w14:textId="77777777" w:rsidR="002A21AE" w:rsidRDefault="00057948">
            <w:pPr>
              <w:pStyle w:val="TableText"/>
              <w:rPr>
                <w:b/>
                <w:bCs/>
                <w:szCs w:val="18"/>
              </w:rPr>
            </w:pPr>
            <w:r>
              <w:rPr>
                <w:b/>
                <w:bCs/>
                <w:noProof/>
              </w:rPr>
              <mc:AlternateContent>
                <mc:Choice Requires="wps">
                  <w:drawing>
                    <wp:anchor distT="0" distB="0" distL="114300" distR="114300" simplePos="0" relativeHeight="251573760" behindDoc="0" locked="0" layoutInCell="1" allowOverlap="1" wp14:anchorId="41060064" wp14:editId="0ECDBC5F">
                      <wp:simplePos x="0" y="0"/>
                      <wp:positionH relativeFrom="column">
                        <wp:posOffset>457200</wp:posOffset>
                      </wp:positionH>
                      <wp:positionV relativeFrom="paragraph">
                        <wp:posOffset>65405</wp:posOffset>
                      </wp:positionV>
                      <wp:extent cx="3200400" cy="0"/>
                      <wp:effectExtent l="9525" t="17780" r="9525" b="10795"/>
                      <wp:wrapNone/>
                      <wp:docPr id="318" name="Line 873" descr="P9178C14T9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B1F89" id="Line 873" o:spid="_x0000_s1026" alt="&quot;&quot;" style="position:absolute;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Ic+n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12A06B38" w14:textId="77777777" w:rsidR="002A21AE" w:rsidRDefault="002A21AE">
            <w:pPr>
              <w:pStyle w:val="NotesText"/>
            </w:pPr>
          </w:p>
          <w:p w14:paraId="2F3E0030" w14:textId="77777777" w:rsidR="008A3A5A" w:rsidRPr="008A3A5A" w:rsidRDefault="008A3A5A">
            <w:pPr>
              <w:pStyle w:val="NotesText"/>
              <w:rPr>
                <w:rFonts w:cs="Arial"/>
                <w:szCs w:val="18"/>
              </w:rPr>
            </w:pPr>
            <w:r w:rsidRPr="008A3A5A">
              <w:rPr>
                <w:rFonts w:cs="Arial"/>
                <w:szCs w:val="18"/>
              </w:rPr>
              <w:t xml:space="preserve">When a user </w:t>
            </w:r>
            <w:r>
              <w:rPr>
                <w:rFonts w:cs="Arial"/>
                <w:szCs w:val="18"/>
              </w:rPr>
              <w:t xml:space="preserve">indicates that </w:t>
            </w:r>
            <w:r w:rsidRPr="008A3A5A">
              <w:rPr>
                <w:rFonts w:cs="Arial"/>
                <w:szCs w:val="18"/>
              </w:rPr>
              <w:t>a transfusion reaction</w:t>
            </w:r>
            <w:r>
              <w:rPr>
                <w:rFonts w:cs="Arial"/>
                <w:szCs w:val="18"/>
              </w:rPr>
              <w:t xml:space="preserve"> occurred</w:t>
            </w:r>
            <w:r w:rsidRPr="008A3A5A">
              <w:rPr>
                <w:rFonts w:cs="Arial"/>
                <w:szCs w:val="18"/>
              </w:rPr>
              <w:t xml:space="preserve">, VBECS does not automatically order a TRW. </w:t>
            </w:r>
          </w:p>
          <w:p w14:paraId="7899F7CB" w14:textId="77777777" w:rsidR="008A3A5A" w:rsidRDefault="008A3A5A">
            <w:pPr>
              <w:pStyle w:val="NotesText"/>
              <w:rPr>
                <w:rFonts w:cs="Arial"/>
              </w:rPr>
            </w:pPr>
          </w:p>
          <w:p w14:paraId="45C41617" w14:textId="77777777" w:rsidR="00965B34" w:rsidRDefault="00965B34">
            <w:pPr>
              <w:pStyle w:val="NotesText"/>
              <w:rPr>
                <w:rFonts w:cs="Arial"/>
                <w:vanish/>
              </w:rPr>
            </w:pPr>
          </w:p>
          <w:p w14:paraId="0E904733" w14:textId="77777777" w:rsidR="002A21AE" w:rsidRDefault="002A21AE">
            <w:pPr>
              <w:pStyle w:val="NotesText"/>
            </w:pPr>
            <w:r>
              <w:rPr>
                <w:rFonts w:cs="Arial"/>
                <w:vanish/>
              </w:rPr>
              <w:t xml:space="preserve">BR_69.06 </w:t>
            </w:r>
            <w:r w:rsidR="00D6556D">
              <w:t xml:space="preserve">VBECS notifies the </w:t>
            </w:r>
            <w:r w:rsidR="00922AD8">
              <w:t>user when</w:t>
            </w:r>
            <w:r>
              <w:t xml:space="preserve"> the transfusion end date and time is earlier than the start or issue time. The user may correct the entry.</w:t>
            </w:r>
          </w:p>
          <w:p w14:paraId="50083702" w14:textId="77777777" w:rsidR="002A21AE" w:rsidRDefault="002A21AE">
            <w:pPr>
              <w:pStyle w:val="NotesText"/>
            </w:pPr>
          </w:p>
          <w:p w14:paraId="66332C81" w14:textId="77777777" w:rsidR="002A21AE" w:rsidRDefault="002A21AE">
            <w:pPr>
              <w:pStyle w:val="NotesText"/>
            </w:pPr>
            <w:r>
              <w:rPr>
                <w:rFonts w:cs="Arial"/>
                <w:vanish/>
              </w:rPr>
              <w:t xml:space="preserve">BR_69.10 </w:t>
            </w:r>
            <w:r>
              <w:t>When the unit was not issued to a remote storage location, VBECS compares the date and time the unit was issued to the start transfusion time entered.</w:t>
            </w:r>
          </w:p>
          <w:p w14:paraId="543F3677" w14:textId="77777777" w:rsidR="002A21AE" w:rsidRDefault="002A21AE">
            <w:pPr>
              <w:pStyle w:val="NotesText"/>
            </w:pPr>
          </w:p>
          <w:p w14:paraId="181958C3" w14:textId="77777777" w:rsidR="002A21AE" w:rsidRDefault="002A21AE">
            <w:pPr>
              <w:pStyle w:val="NotesText"/>
            </w:pPr>
            <w:r>
              <w:t xml:space="preserve">When the difference is greater than 30 minutes, VBECS notifies the user that this is a delayed start time and allows the user to edit the transfusion start date and time. </w:t>
            </w:r>
            <w:r>
              <w:rPr>
                <w:b/>
              </w:rPr>
              <w:t>No</w:t>
            </w:r>
            <w:r>
              <w:t xml:space="preserve"> allows the user to continue. </w:t>
            </w:r>
            <w:r>
              <w:rPr>
                <w:b/>
              </w:rPr>
              <w:t>Yes</w:t>
            </w:r>
            <w:r>
              <w:t xml:space="preserve"> allows the user to edit the date and time the transfusion ended. When the user edits the date and time transfused, VBECS repeats this process until the user stops editing and chooses to continue.</w:t>
            </w:r>
          </w:p>
          <w:p w14:paraId="1F6EE90A" w14:textId="77777777" w:rsidR="002A21AE" w:rsidRDefault="002A21AE">
            <w:pPr>
              <w:pStyle w:val="NotesText"/>
            </w:pPr>
          </w:p>
          <w:p w14:paraId="7CEEE0F2" w14:textId="77777777" w:rsidR="002A21AE" w:rsidRDefault="002A21AE">
            <w:pPr>
              <w:pStyle w:val="NotesText"/>
            </w:pPr>
            <w:r>
              <w:rPr>
                <w:rFonts w:cs="Arial"/>
                <w:vanish/>
              </w:rPr>
              <w:t xml:space="preserve">BR_69.11 </w:t>
            </w:r>
            <w:r>
              <w:t xml:space="preserve">When the unit was not issued to a remote storage location, VBECS compares the date and time recorded as the transfusion end time to the start date, calculates the transfusion time in minutes, and compares this period to the maximum transfusion time for the component class. When the calculated transfusion time for this unit exceeds the defined maximum transfusion time for the component class, VBECS notifies the user that this is a prolonged transfusion and allows the user to edit the transfusion end date and time. </w:t>
            </w:r>
            <w:r>
              <w:rPr>
                <w:b/>
              </w:rPr>
              <w:t>No</w:t>
            </w:r>
            <w:r>
              <w:t xml:space="preserve"> allows the user to continue. </w:t>
            </w:r>
            <w:r>
              <w:rPr>
                <w:b/>
              </w:rPr>
              <w:t>Yes</w:t>
            </w:r>
            <w:r>
              <w:t xml:space="preserve"> allows the user to edit the date and time the transfusion ended. When the user edits the date and time transfused, VBECS repeats this process until the user stops editing and chooses to continue.</w:t>
            </w:r>
          </w:p>
        </w:tc>
      </w:tr>
      <w:tr w:rsidR="002A21AE" w14:paraId="33114C76" w14:textId="77777777">
        <w:tc>
          <w:tcPr>
            <w:tcW w:w="3240" w:type="dxa"/>
          </w:tcPr>
          <w:p w14:paraId="6041B5F4" w14:textId="77777777" w:rsidR="002A21AE" w:rsidRDefault="002A21AE">
            <w:pPr>
              <w:pStyle w:val="TableTextNumbers"/>
            </w:pPr>
            <w:r>
              <w:t>Respond to warnings or continue to enter data for the next unit.</w:t>
            </w:r>
          </w:p>
        </w:tc>
        <w:tc>
          <w:tcPr>
            <w:tcW w:w="6120" w:type="dxa"/>
          </w:tcPr>
          <w:p w14:paraId="53EE4C26" w14:textId="77777777" w:rsidR="002A21AE" w:rsidRDefault="002A21AE">
            <w:pPr>
              <w:pStyle w:val="TableTextBullet"/>
            </w:pPr>
            <w:r>
              <w:t>Allows the user to repeat for subsequent selected units until all details are entered.</w:t>
            </w:r>
          </w:p>
          <w:p w14:paraId="77EC26F7" w14:textId="77777777" w:rsidR="002A21AE" w:rsidRDefault="002A21AE">
            <w:pPr>
              <w:pStyle w:val="TableTextBullet"/>
            </w:pPr>
            <w:r>
              <w:t>Displays an option to save the data and exit.</w:t>
            </w:r>
          </w:p>
          <w:p w14:paraId="399FD7C7" w14:textId="77777777" w:rsidR="002A21AE" w:rsidRDefault="002A21AE">
            <w:pPr>
              <w:pStyle w:val="TableText"/>
            </w:pPr>
          </w:p>
          <w:p w14:paraId="4425C57C" w14:textId="77777777" w:rsidR="002A21AE" w:rsidRDefault="00057948">
            <w:pPr>
              <w:pStyle w:val="TableText"/>
              <w:rPr>
                <w:b/>
                <w:bCs/>
                <w:szCs w:val="18"/>
              </w:rPr>
            </w:pPr>
            <w:r>
              <w:rPr>
                <w:b/>
                <w:bCs/>
                <w:noProof/>
              </w:rPr>
              <w:lastRenderedPageBreak/>
              <mc:AlternateContent>
                <mc:Choice Requires="wps">
                  <w:drawing>
                    <wp:anchor distT="0" distB="0" distL="114300" distR="114300" simplePos="0" relativeHeight="251576832" behindDoc="0" locked="0" layoutInCell="1" allowOverlap="1" wp14:anchorId="129446CB" wp14:editId="05C04B80">
                      <wp:simplePos x="0" y="0"/>
                      <wp:positionH relativeFrom="column">
                        <wp:posOffset>457200</wp:posOffset>
                      </wp:positionH>
                      <wp:positionV relativeFrom="paragraph">
                        <wp:posOffset>65405</wp:posOffset>
                      </wp:positionV>
                      <wp:extent cx="3200400" cy="0"/>
                      <wp:effectExtent l="9525" t="17780" r="9525" b="10795"/>
                      <wp:wrapNone/>
                      <wp:docPr id="317" name="Line 874" descr="P9194C16T9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13BD0" id="Line 874" o:spid="_x0000_s1026" alt="&quot;&quot;" style="position:absolute;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BWRKn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7815F7DE" w14:textId="77777777" w:rsidR="002A21AE" w:rsidRDefault="002A21AE">
            <w:pPr>
              <w:pStyle w:val="NotesText"/>
            </w:pPr>
          </w:p>
          <w:p w14:paraId="7DD2E6F9" w14:textId="77777777" w:rsidR="002A21AE" w:rsidRDefault="002A21AE">
            <w:pPr>
              <w:pStyle w:val="NotesText"/>
            </w:pPr>
            <w:r>
              <w:rPr>
                <w:rFonts w:cs="Arial"/>
                <w:vanish/>
              </w:rPr>
              <w:t xml:space="preserve">BR_69.13 </w:t>
            </w:r>
            <w:r>
              <w:t>VBECS saves all transfusion information for future retrieval and reporting as part of the patient and unit historic records.</w:t>
            </w:r>
          </w:p>
          <w:p w14:paraId="1EF3CAE1" w14:textId="77777777" w:rsidR="00D6556D" w:rsidRDefault="00D6556D">
            <w:pPr>
              <w:pStyle w:val="NotesText"/>
            </w:pPr>
          </w:p>
          <w:p w14:paraId="09BAED49" w14:textId="77777777" w:rsidR="00D6556D" w:rsidRDefault="005759DC" w:rsidP="005759DC">
            <w:pPr>
              <w:pStyle w:val="NotesText"/>
            </w:pPr>
            <w:r w:rsidRPr="00F91233">
              <w:rPr>
                <w:vanish/>
              </w:rPr>
              <w:t xml:space="preserve">BR_78.06 </w:t>
            </w:r>
            <w:r w:rsidR="00F91233">
              <w:t>VBECS notifies the user when DSS updates cannot be sent because Vis</w:t>
            </w:r>
            <w:r w:rsidR="00D6556D">
              <w:t>tALink is not active.</w:t>
            </w:r>
          </w:p>
          <w:p w14:paraId="632DD14D" w14:textId="77777777" w:rsidR="00D6556D" w:rsidRDefault="00D6556D" w:rsidP="005759DC">
            <w:pPr>
              <w:pStyle w:val="NotesText"/>
            </w:pPr>
          </w:p>
          <w:p w14:paraId="6FC35142" w14:textId="77777777" w:rsidR="005759DC" w:rsidRPr="005759DC" w:rsidRDefault="00D6556D" w:rsidP="00A2613A">
            <w:pPr>
              <w:pStyle w:val="NotesText"/>
            </w:pPr>
            <w:r w:rsidRPr="00CE602E">
              <w:rPr>
                <w:vanish/>
              </w:rPr>
              <w:t xml:space="preserve">BR_102.09 </w:t>
            </w:r>
            <w:r>
              <w:t>VBECS will attempt to resend the DSS information when VistA</w:t>
            </w:r>
            <w:r w:rsidR="00A2613A">
              <w:t>L</w:t>
            </w:r>
            <w:r>
              <w:t xml:space="preserve">ink is available after any user logs into the VBECS application’s </w:t>
            </w:r>
            <w:r w:rsidR="00A2613A">
              <w:t>VistALink</w:t>
            </w:r>
            <w:r>
              <w:t xml:space="preserve"> connection</w:t>
            </w:r>
          </w:p>
        </w:tc>
      </w:tr>
      <w:tr w:rsidR="002A21AE" w14:paraId="1E1204BA" w14:textId="77777777">
        <w:tc>
          <w:tcPr>
            <w:tcW w:w="3240" w:type="dxa"/>
          </w:tcPr>
          <w:p w14:paraId="39AF0B88" w14:textId="77777777" w:rsidR="002A21AE" w:rsidRDefault="002A21AE">
            <w:pPr>
              <w:pStyle w:val="TableTextNumbers"/>
            </w:pPr>
            <w:r>
              <w:lastRenderedPageBreak/>
              <w:t xml:space="preserve">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0B5A30E2" w14:textId="77777777" w:rsidR="002A21AE" w:rsidRDefault="002A21AE">
            <w:pPr>
              <w:pStyle w:val="TableText"/>
            </w:pPr>
          </w:p>
        </w:tc>
      </w:tr>
    </w:tbl>
    <w:p w14:paraId="344C1702" w14:textId="492F3BC8" w:rsidR="00AF4568" w:rsidRDefault="00AF4568" w:rsidP="00AF4568">
      <w:pPr>
        <w:pStyle w:val="Caption"/>
      </w:pPr>
      <w:bookmarkStart w:id="540" w:name="_Ref127607637"/>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142</w:t>
      </w:r>
      <w:r w:rsidR="004E20BD">
        <w:rPr>
          <w:noProof/>
        </w:rPr>
        <w:fldChar w:fldCharType="end"/>
      </w:r>
      <w:bookmarkEnd w:id="540"/>
      <w:r>
        <w:t>: Post-Transfusion Information</w:t>
      </w:r>
    </w:p>
    <w:p w14:paraId="661B6D7C" w14:textId="77777777" w:rsidR="002A21AE" w:rsidRDefault="00057948" w:rsidP="00AF4568">
      <w:pPr>
        <w:pStyle w:val="BodyText"/>
      </w:pPr>
      <w:r>
        <w:rPr>
          <w:noProof/>
        </w:rPr>
        <w:drawing>
          <wp:inline distT="0" distB="0" distL="0" distR="0" wp14:anchorId="2A4FBFEA" wp14:editId="3D1D2FD0">
            <wp:extent cx="5597525" cy="2946400"/>
            <wp:effectExtent l="0" t="0" r="3175" b="6350"/>
            <wp:docPr id="258" name="Picture 258" descr="P9206#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P9206#yIS1">
                      <a:extLst>
                        <a:ext uri="{C183D7F6-B498-43B3-948B-1728B52AA6E4}">
                          <adec:decorative xmlns:adec="http://schemas.microsoft.com/office/drawing/2017/decorative" val="1"/>
                        </a:ext>
                      </a:extLst>
                    </pic:cNvP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597525" cy="2946400"/>
                    </a:xfrm>
                    <a:prstGeom prst="rect">
                      <a:avLst/>
                    </a:prstGeom>
                    <a:noFill/>
                    <a:ln>
                      <a:noFill/>
                    </a:ln>
                  </pic:spPr>
                </pic:pic>
              </a:graphicData>
            </a:graphic>
          </wp:inline>
        </w:drawing>
      </w:r>
    </w:p>
    <w:p w14:paraId="45440C02" w14:textId="2946A6DC" w:rsidR="00AF4568" w:rsidRDefault="00AF4568" w:rsidP="00AF4568">
      <w:pPr>
        <w:pStyle w:val="Caption"/>
      </w:pPr>
      <w:bookmarkStart w:id="541" w:name="_Ref127607838"/>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143</w:t>
      </w:r>
      <w:r w:rsidR="004E20BD">
        <w:rPr>
          <w:noProof/>
        </w:rPr>
        <w:fldChar w:fldCharType="end"/>
      </w:r>
      <w:bookmarkEnd w:id="541"/>
      <w:r>
        <w:t>: Post-Transfusion Information Details</w:t>
      </w:r>
    </w:p>
    <w:p w14:paraId="5E8D7A06" w14:textId="77777777" w:rsidR="00B8081D" w:rsidRDefault="00057948" w:rsidP="00B8081D">
      <w:pPr>
        <w:pStyle w:val="BodyText"/>
      </w:pPr>
      <w:r>
        <w:rPr>
          <w:noProof/>
        </w:rPr>
        <w:drawing>
          <wp:inline distT="0" distB="0" distL="0" distR="0" wp14:anchorId="2D178760" wp14:editId="23C00EE3">
            <wp:extent cx="4368800" cy="3380740"/>
            <wp:effectExtent l="0" t="0" r="0" b="0"/>
            <wp:docPr id="259" name="Picture 259" descr="P9208#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P9208#yIS1">
                      <a:extLst>
                        <a:ext uri="{C183D7F6-B498-43B3-948B-1728B52AA6E4}">
                          <adec:decorative xmlns:adec="http://schemas.microsoft.com/office/drawing/2017/decorative" val="1"/>
                        </a:ext>
                      </a:extLst>
                    </pic:cNvPr>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368800" cy="3380740"/>
                    </a:xfrm>
                    <a:prstGeom prst="rect">
                      <a:avLst/>
                    </a:prstGeom>
                    <a:noFill/>
                    <a:ln>
                      <a:noFill/>
                    </a:ln>
                  </pic:spPr>
                </pic:pic>
              </a:graphicData>
            </a:graphic>
          </wp:inline>
        </w:drawing>
      </w:r>
    </w:p>
    <w:p w14:paraId="748F1516" w14:textId="77777777" w:rsidR="00FE1ABC" w:rsidRDefault="00746454" w:rsidP="00FE1ABC">
      <w:pPr>
        <w:pStyle w:val="Heading4"/>
      </w:pPr>
      <w:r w:rsidRPr="008000E5">
        <w:rPr>
          <w:snapToGrid w:val="0"/>
        </w:rPr>
        <w:br w:type="page"/>
      </w:r>
      <w:r w:rsidR="00FE1ABC">
        <w:lastRenderedPageBreak/>
        <w:t>Automated Entry of Post-Transfusion Details from BCE COTS Application</w:t>
      </w:r>
      <w:r w:rsidR="00FE1ABC">
        <w:fldChar w:fldCharType="begin"/>
      </w:r>
      <w:r w:rsidR="00FE1ABC">
        <w:instrText xml:space="preserve"> XE “Automated Entry of Post-Transfusion Details from BCE COTS Application” </w:instrText>
      </w:r>
      <w:r w:rsidR="00FE1ABC">
        <w:fldChar w:fldCharType="end"/>
      </w:r>
    </w:p>
    <w:p w14:paraId="3028F630" w14:textId="77777777" w:rsidR="00FE1ABC" w:rsidRPr="002624D5" w:rsidRDefault="00FE1ABC" w:rsidP="00FE1ABC">
      <w:pPr>
        <w:pStyle w:val="BodyText"/>
      </w:pPr>
      <w:r w:rsidRPr="008D4EF9">
        <w:t xml:space="preserve">VBECS receives and saves the details of </w:t>
      </w:r>
      <w:r>
        <w:t xml:space="preserve">a </w:t>
      </w:r>
      <w:r w:rsidRPr="008D4EF9">
        <w:t>unit transfusion episode as recorded in the BCE COTS system</w:t>
      </w:r>
      <w: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FE1ABC" w14:paraId="128AEFCD" w14:textId="77777777">
        <w:trPr>
          <w:tblHeader/>
        </w:trPr>
        <w:tc>
          <w:tcPr>
            <w:tcW w:w="3240" w:type="dxa"/>
            <w:tcBorders>
              <w:top w:val="single" w:sz="4" w:space="0" w:color="auto"/>
              <w:left w:val="single" w:sz="4" w:space="0" w:color="auto"/>
              <w:bottom w:val="single" w:sz="4" w:space="0" w:color="auto"/>
              <w:right w:val="single" w:sz="4" w:space="0" w:color="auto"/>
            </w:tcBorders>
            <w:shd w:val="pct30" w:color="auto" w:fill="auto"/>
            <w:vAlign w:val="bottom"/>
          </w:tcPr>
          <w:p w14:paraId="2E795965" w14:textId="77777777" w:rsidR="00FE1ABC" w:rsidRDefault="00FE1ABC" w:rsidP="0087088B">
            <w:pPr>
              <w:pStyle w:val="TableText"/>
              <w:rPr>
                <w:b/>
              </w:rPr>
            </w:pPr>
            <w:r>
              <w:rPr>
                <w:b/>
              </w:rPr>
              <w:t>User Action</w:t>
            </w:r>
          </w:p>
        </w:tc>
        <w:tc>
          <w:tcPr>
            <w:tcW w:w="6120" w:type="dxa"/>
            <w:tcBorders>
              <w:top w:val="single" w:sz="4" w:space="0" w:color="auto"/>
              <w:left w:val="single" w:sz="4" w:space="0" w:color="auto"/>
              <w:bottom w:val="single" w:sz="4" w:space="0" w:color="auto"/>
              <w:right w:val="single" w:sz="4" w:space="0" w:color="auto"/>
            </w:tcBorders>
            <w:shd w:val="pct30" w:color="auto" w:fill="auto"/>
            <w:vAlign w:val="bottom"/>
          </w:tcPr>
          <w:p w14:paraId="006735E3" w14:textId="77777777" w:rsidR="00FE1ABC" w:rsidRDefault="00FE1ABC" w:rsidP="0087088B">
            <w:pPr>
              <w:pStyle w:val="TableText"/>
              <w:rPr>
                <w:b/>
              </w:rPr>
            </w:pPr>
            <w:r>
              <w:rPr>
                <w:b/>
              </w:rPr>
              <w:t>VBECS</w:t>
            </w:r>
          </w:p>
        </w:tc>
      </w:tr>
      <w:tr w:rsidR="00FE1ABC" w14:paraId="30EA5E44" w14:textId="77777777">
        <w:tc>
          <w:tcPr>
            <w:tcW w:w="3240" w:type="dxa"/>
            <w:tcBorders>
              <w:top w:val="single" w:sz="4" w:space="0" w:color="auto"/>
              <w:left w:val="single" w:sz="4" w:space="0" w:color="auto"/>
              <w:bottom w:val="single" w:sz="4" w:space="0" w:color="auto"/>
              <w:right w:val="single" w:sz="4" w:space="0" w:color="auto"/>
            </w:tcBorders>
          </w:tcPr>
          <w:p w14:paraId="771E5700" w14:textId="77777777" w:rsidR="00FE1ABC" w:rsidRDefault="00FE1ABC" w:rsidP="0087088B">
            <w:pPr>
              <w:pStyle w:val="TableTextNumbers"/>
            </w:pPr>
            <w:r>
              <w:t>BCE COTS system user completes a transfusion for a patient which triggers a HL7 message containing transfusion information to VBECS</w:t>
            </w:r>
            <w:r w:rsidR="00C62A42">
              <w:t xml:space="preserve"> for a blood unit</w:t>
            </w:r>
            <w:r>
              <w:t>.</w:t>
            </w:r>
          </w:p>
        </w:tc>
        <w:tc>
          <w:tcPr>
            <w:tcW w:w="6120" w:type="dxa"/>
            <w:tcBorders>
              <w:top w:val="single" w:sz="4" w:space="0" w:color="auto"/>
              <w:left w:val="single" w:sz="4" w:space="0" w:color="auto"/>
              <w:bottom w:val="single" w:sz="4" w:space="0" w:color="auto"/>
              <w:right w:val="single" w:sz="4" w:space="0" w:color="auto"/>
            </w:tcBorders>
          </w:tcPr>
          <w:p w14:paraId="61FC86CD" w14:textId="77777777" w:rsidR="00FE1ABC" w:rsidRPr="00B607E6" w:rsidRDefault="00FE1ABC" w:rsidP="0087088B">
            <w:pPr>
              <w:pStyle w:val="TableTextBullet"/>
            </w:pPr>
            <w:r>
              <w:rPr>
                <w:rFonts w:cs="Arial"/>
                <w:vanish/>
                <w:szCs w:val="18"/>
              </w:rPr>
              <w:t>BR_69.23</w:t>
            </w:r>
            <w:r>
              <w:rPr>
                <w:rFonts w:cs="Arial"/>
                <w:szCs w:val="18"/>
              </w:rPr>
              <w:t xml:space="preserve"> </w:t>
            </w:r>
            <w:r w:rsidRPr="003878EB">
              <w:rPr>
                <w:rFonts w:cs="Arial"/>
                <w:szCs w:val="18"/>
              </w:rPr>
              <w:t>VBECS reject</w:t>
            </w:r>
            <w:r>
              <w:rPr>
                <w:rFonts w:cs="Arial"/>
                <w:szCs w:val="18"/>
              </w:rPr>
              <w:t>s</w:t>
            </w:r>
            <w:r w:rsidRPr="003878EB">
              <w:rPr>
                <w:rFonts w:cs="Arial"/>
                <w:szCs w:val="18"/>
              </w:rPr>
              <w:t xml:space="preserve"> a BCE COTS </w:t>
            </w:r>
            <w:r>
              <w:rPr>
                <w:rFonts w:cs="Arial"/>
                <w:szCs w:val="18"/>
              </w:rPr>
              <w:t>HL7</w:t>
            </w:r>
            <w:r w:rsidRPr="003878EB">
              <w:rPr>
                <w:rFonts w:cs="Arial"/>
                <w:szCs w:val="18"/>
              </w:rPr>
              <w:t xml:space="preserve"> message when data elements are not acceptable per the data entry rules for manual entry</w:t>
            </w:r>
            <w:r>
              <w:rPr>
                <w:rFonts w:cs="Arial"/>
                <w:szCs w:val="18"/>
              </w:rPr>
              <w:t>.</w:t>
            </w:r>
          </w:p>
          <w:p w14:paraId="2FCC56CB" w14:textId="77777777" w:rsidR="00FE1ABC" w:rsidRDefault="00FE1ABC" w:rsidP="0087088B">
            <w:pPr>
              <w:pStyle w:val="TableText"/>
            </w:pPr>
          </w:p>
          <w:p w14:paraId="4D2A67F0" w14:textId="77777777" w:rsidR="00FE1ABC" w:rsidRDefault="00057948" w:rsidP="0087088B">
            <w:pPr>
              <w:pStyle w:val="TableText"/>
              <w:rPr>
                <w:b/>
                <w:bCs/>
              </w:rPr>
            </w:pPr>
            <w:r>
              <w:rPr>
                <w:b/>
                <w:bCs/>
                <w:noProof/>
              </w:rPr>
              <mc:AlternateContent>
                <mc:Choice Requires="wps">
                  <w:drawing>
                    <wp:anchor distT="0" distB="0" distL="114300" distR="114300" simplePos="0" relativeHeight="252028416" behindDoc="0" locked="0" layoutInCell="1" allowOverlap="1" wp14:anchorId="7A9DF13D" wp14:editId="1A07E984">
                      <wp:simplePos x="0" y="0"/>
                      <wp:positionH relativeFrom="column">
                        <wp:posOffset>457200</wp:posOffset>
                      </wp:positionH>
                      <wp:positionV relativeFrom="paragraph">
                        <wp:posOffset>65405</wp:posOffset>
                      </wp:positionV>
                      <wp:extent cx="3200400" cy="0"/>
                      <wp:effectExtent l="9525" t="17780" r="9525" b="10795"/>
                      <wp:wrapNone/>
                      <wp:docPr id="316" name="Line 1216" descr="P9217C4T10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80BCAB" id="Line 1216" o:spid="_x0000_s1026" alt="&quot;&quot;" style="position:absolute;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CYFkucMBAABvAwAADgAAAAAAAAAAAAAAAAAu&#10;AgAAZHJzL2Uyb0RvYy54bWxQSwECLQAUAAYACAAAACEAF08wEtsAAAAIAQAADwAAAAAAAAAAAAAA&#10;AAAdBAAAZHJzL2Rvd25yZXYueG1sUEsFBgAAAAAEAAQA8wAAACUFAAAAAA==&#10;" strokeweight="1.5pt"/>
                  </w:pict>
                </mc:Fallback>
              </mc:AlternateContent>
            </w:r>
            <w:r w:rsidR="00FE1ABC">
              <w:rPr>
                <w:b/>
                <w:bCs/>
              </w:rPr>
              <w:t>NOTES</w:t>
            </w:r>
          </w:p>
          <w:p w14:paraId="6EE232E2" w14:textId="77777777" w:rsidR="00FE1ABC" w:rsidRDefault="00FE1ABC" w:rsidP="0087088B">
            <w:pPr>
              <w:pStyle w:val="NotesText"/>
            </w:pPr>
          </w:p>
          <w:p w14:paraId="76C6F9FD" w14:textId="77777777" w:rsidR="00FE1ABC" w:rsidRDefault="00FE1ABC" w:rsidP="0087088B">
            <w:pPr>
              <w:pStyle w:val="NotesText"/>
              <w:rPr>
                <w:rFonts w:cs="Arial"/>
              </w:rPr>
            </w:pPr>
            <w:r w:rsidRPr="00E51FC8">
              <w:rPr>
                <w:rFonts w:cs="Arial"/>
              </w:rPr>
              <w:t>Units that are not updated by a BCE COTS message will be marked presumed transfused 48 hours after issue by a VBECS background process.</w:t>
            </w:r>
          </w:p>
          <w:p w14:paraId="4A7162B5" w14:textId="77777777" w:rsidR="00A55D3A" w:rsidRDefault="00A55D3A" w:rsidP="0087088B">
            <w:pPr>
              <w:pStyle w:val="NotesText"/>
              <w:rPr>
                <w:rFonts w:cs="Arial"/>
              </w:rPr>
            </w:pPr>
          </w:p>
          <w:p w14:paraId="7AE4A712" w14:textId="77777777" w:rsidR="00A55D3A" w:rsidRPr="00E51FC8" w:rsidRDefault="00A55D3A" w:rsidP="0087088B">
            <w:pPr>
              <w:pStyle w:val="NotesText"/>
            </w:pPr>
            <w:r>
              <w:t>Transfusion information is available in the Unit History Report.</w:t>
            </w:r>
          </w:p>
        </w:tc>
      </w:tr>
      <w:tr w:rsidR="00FE1ABC" w14:paraId="79D0E9F6" w14:textId="77777777">
        <w:tc>
          <w:tcPr>
            <w:tcW w:w="3240" w:type="dxa"/>
            <w:tcBorders>
              <w:top w:val="single" w:sz="4" w:space="0" w:color="auto"/>
              <w:left w:val="single" w:sz="4" w:space="0" w:color="auto"/>
              <w:bottom w:val="single" w:sz="4" w:space="0" w:color="auto"/>
              <w:right w:val="single" w:sz="4" w:space="0" w:color="auto"/>
            </w:tcBorders>
          </w:tcPr>
          <w:p w14:paraId="2A2F32F1" w14:textId="77777777" w:rsidR="00FE1ABC" w:rsidRDefault="00FE1ABC" w:rsidP="0087088B">
            <w:pPr>
              <w:pStyle w:val="TableTextNumbers"/>
            </w:pPr>
            <w:r w:rsidRPr="003878EB">
              <w:rPr>
                <w:rFonts w:cs="Arial"/>
                <w:szCs w:val="18"/>
              </w:rPr>
              <w:t xml:space="preserve">VBECS </w:t>
            </w:r>
            <w:r>
              <w:rPr>
                <w:rFonts w:cs="Arial"/>
                <w:szCs w:val="18"/>
              </w:rPr>
              <w:t>updates</w:t>
            </w:r>
            <w:r w:rsidRPr="003878EB">
              <w:rPr>
                <w:rFonts w:cs="Arial"/>
                <w:szCs w:val="18"/>
              </w:rPr>
              <w:t xml:space="preserve"> the patient transfusion record with the details received in the successfully acknowledged HL7 message</w:t>
            </w:r>
            <w:r>
              <w:t xml:space="preserve">.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6FC21207" w14:textId="77777777" w:rsidR="00FE1ABC" w:rsidRDefault="00FE1ABC" w:rsidP="0087088B">
            <w:pPr>
              <w:pStyle w:val="TableTextBullet"/>
            </w:pPr>
            <w:r>
              <w:rPr>
                <w:vanish/>
              </w:rPr>
              <w:t xml:space="preserve">BR_69.21 </w:t>
            </w:r>
            <w:r>
              <w:t xml:space="preserve">VBECS generates an exception report entry: </w:t>
            </w:r>
            <w:r w:rsidRPr="00B6437A">
              <w:t>Electronic Transfusion Record Update when a BCE COTS update to a previously saved manually or electronically entered transfusion record is received.</w:t>
            </w:r>
          </w:p>
          <w:p w14:paraId="033A8584" w14:textId="77777777" w:rsidR="00FE1ABC" w:rsidRDefault="00FE1ABC" w:rsidP="0087088B">
            <w:pPr>
              <w:pStyle w:val="TableTextBullet"/>
            </w:pPr>
            <w:r w:rsidRPr="00E51FC8">
              <w:rPr>
                <w:vanish/>
              </w:rPr>
              <w:t xml:space="preserve">BR_69.20 </w:t>
            </w:r>
            <w:r w:rsidRPr="00E51FC8">
              <w:t>When an update to a previously saved transfusion record is made by BCE COTS or a user, VBECS will display the original entry and the updated details in the Patient History and Unit History Reports.</w:t>
            </w:r>
          </w:p>
          <w:p w14:paraId="7720CCE0" w14:textId="77777777" w:rsidR="00FE1ABC" w:rsidRDefault="00FE1ABC" w:rsidP="0087088B">
            <w:pPr>
              <w:pStyle w:val="TableText"/>
            </w:pPr>
          </w:p>
          <w:p w14:paraId="4060A8DC" w14:textId="77777777" w:rsidR="00FE1ABC" w:rsidRDefault="00057948" w:rsidP="0087088B">
            <w:pPr>
              <w:pStyle w:val="TableText"/>
              <w:rPr>
                <w:b/>
                <w:bCs/>
              </w:rPr>
            </w:pPr>
            <w:r>
              <w:rPr>
                <w:b/>
                <w:bCs/>
                <w:noProof/>
              </w:rPr>
              <mc:AlternateContent>
                <mc:Choice Requires="wps">
                  <w:drawing>
                    <wp:anchor distT="0" distB="0" distL="114300" distR="114300" simplePos="0" relativeHeight="252031488" behindDoc="0" locked="0" layoutInCell="1" allowOverlap="1" wp14:anchorId="6D167B64" wp14:editId="3C9638A2">
                      <wp:simplePos x="0" y="0"/>
                      <wp:positionH relativeFrom="column">
                        <wp:posOffset>457200</wp:posOffset>
                      </wp:positionH>
                      <wp:positionV relativeFrom="paragraph">
                        <wp:posOffset>65405</wp:posOffset>
                      </wp:positionV>
                      <wp:extent cx="3200400" cy="0"/>
                      <wp:effectExtent l="9525" t="17780" r="9525" b="10795"/>
                      <wp:wrapNone/>
                      <wp:docPr id="315" name="Line 1217" descr="P9227C6T10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D6BA2" id="Line 1217" o:spid="_x0000_s1026" alt="&quot;&quot;" style="position:absolute;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EACNO7EAQAAbwMAAA4AAAAAAAAAAAAAAAAA&#10;LgIAAGRycy9lMm9Eb2MueG1sUEsBAi0AFAAGAAgAAAAhABdPMBLbAAAACAEAAA8AAAAAAAAAAAAA&#10;AAAAHgQAAGRycy9kb3ducmV2LnhtbFBLBQYAAAAABAAEAPMAAAAmBQAAAAA=&#10;" strokeweight="1.5pt"/>
                  </w:pict>
                </mc:Fallback>
              </mc:AlternateContent>
            </w:r>
            <w:r w:rsidR="00FE1ABC">
              <w:rPr>
                <w:b/>
                <w:bCs/>
              </w:rPr>
              <w:t>NOTES</w:t>
            </w:r>
          </w:p>
          <w:p w14:paraId="573AD7A9" w14:textId="77777777" w:rsidR="00FE1ABC" w:rsidRDefault="00FE1ABC" w:rsidP="0087088B">
            <w:pPr>
              <w:pStyle w:val="NotesText"/>
            </w:pPr>
          </w:p>
          <w:p w14:paraId="07706323" w14:textId="77777777" w:rsidR="00FE1ABC" w:rsidRDefault="00FE1ABC" w:rsidP="0087088B">
            <w:pPr>
              <w:pStyle w:val="NotesText"/>
            </w:pPr>
            <w:r w:rsidRPr="00847BD8">
              <w:rPr>
                <w:vanish/>
              </w:rPr>
              <w:t xml:space="preserve">BR_69.18 </w:t>
            </w:r>
            <w:r w:rsidRPr="001D3A9F">
              <w:t>The</w:t>
            </w:r>
            <w:r w:rsidRPr="003878EB">
              <w:t xml:space="preserve"> BCE COTS system delivers </w:t>
            </w:r>
            <w:r>
              <w:t xml:space="preserve">these patient and unit specific </w:t>
            </w:r>
            <w:r w:rsidRPr="003878EB">
              <w:t>trans</w:t>
            </w:r>
            <w:r>
              <w:t>fusion data elements to VBECS for update</w:t>
            </w:r>
          </w:p>
          <w:p w14:paraId="7D97E90A" w14:textId="77777777" w:rsidR="00FE1ABC" w:rsidRPr="003878EB" w:rsidRDefault="00FE1ABC" w:rsidP="0087088B">
            <w:pPr>
              <w:pStyle w:val="NotesTextBullet"/>
            </w:pPr>
            <w:r w:rsidRPr="003878EB">
              <w:t>Bedside verification date and time</w:t>
            </w:r>
          </w:p>
          <w:p w14:paraId="47D40EBB" w14:textId="77777777" w:rsidR="00FE1ABC" w:rsidRPr="003878EB" w:rsidRDefault="00FE1ABC" w:rsidP="0087088B">
            <w:pPr>
              <w:pStyle w:val="NotesTextBullet"/>
            </w:pPr>
            <w:r w:rsidRPr="003878EB">
              <w:t xml:space="preserve">Transfusion </w:t>
            </w:r>
            <w:r>
              <w:t>verification m</w:t>
            </w:r>
            <w:r w:rsidRPr="003878EB">
              <w:t>anual</w:t>
            </w:r>
            <w:r>
              <w:t xml:space="preserve"> Unit ID  entry reason </w:t>
            </w:r>
          </w:p>
          <w:p w14:paraId="2D45FD91" w14:textId="77777777" w:rsidR="00FE1ABC" w:rsidRPr="003878EB" w:rsidRDefault="00FE1ABC" w:rsidP="0087088B">
            <w:pPr>
              <w:pStyle w:val="NotesTextBullet"/>
            </w:pPr>
            <w:r w:rsidRPr="003878EB">
              <w:t>Transfusion Start date and time</w:t>
            </w:r>
          </w:p>
          <w:p w14:paraId="711D7126" w14:textId="77777777" w:rsidR="00FE1ABC" w:rsidRPr="003878EB" w:rsidRDefault="00FE1ABC" w:rsidP="0087088B">
            <w:pPr>
              <w:pStyle w:val="NotesTextBullet"/>
            </w:pPr>
            <w:r w:rsidRPr="003878EB">
              <w:t>Transfusionist ID #1</w:t>
            </w:r>
          </w:p>
          <w:p w14:paraId="118AB7F8" w14:textId="77777777" w:rsidR="00FE1ABC" w:rsidRPr="003878EB" w:rsidRDefault="00FE1ABC" w:rsidP="0087088B">
            <w:pPr>
              <w:pStyle w:val="NotesTextBullet"/>
            </w:pPr>
            <w:r w:rsidRPr="003878EB">
              <w:t>Transfusionist ID #2 (may be blank if so configured in BCE COTS application)</w:t>
            </w:r>
          </w:p>
          <w:p w14:paraId="11C04DA2" w14:textId="77777777" w:rsidR="00FE1ABC" w:rsidRPr="003878EB" w:rsidRDefault="00FE1ABC" w:rsidP="0087088B">
            <w:pPr>
              <w:pStyle w:val="NotesTextBullet"/>
            </w:pPr>
            <w:r w:rsidRPr="003878EB">
              <w:t>Transfusion End Date and time</w:t>
            </w:r>
          </w:p>
          <w:p w14:paraId="196EFD98" w14:textId="77777777" w:rsidR="00FE1ABC" w:rsidRPr="003878EB" w:rsidRDefault="00FE1ABC" w:rsidP="0087088B">
            <w:pPr>
              <w:pStyle w:val="NotesTextBullet"/>
            </w:pPr>
            <w:r w:rsidRPr="003878EB">
              <w:t>Patient location at Transfusion</w:t>
            </w:r>
          </w:p>
          <w:p w14:paraId="52037D78" w14:textId="77777777" w:rsidR="00FE1ABC" w:rsidRPr="003878EB" w:rsidRDefault="00FE1ABC" w:rsidP="0087088B">
            <w:pPr>
              <w:pStyle w:val="NotesTextBullet"/>
            </w:pPr>
            <w:r w:rsidRPr="003878EB">
              <w:t>Transfusion interrupted indicator</w:t>
            </w:r>
          </w:p>
          <w:p w14:paraId="6AF148D8" w14:textId="77777777" w:rsidR="00FE1ABC" w:rsidRPr="003878EB" w:rsidRDefault="00FE1ABC" w:rsidP="0087088B">
            <w:pPr>
              <w:pStyle w:val="NotesTextBullet"/>
            </w:pPr>
            <w:r w:rsidRPr="003878EB">
              <w:t>Transfused volume, (ml not in fractions by the BCE COTS)</w:t>
            </w:r>
          </w:p>
          <w:p w14:paraId="45848805" w14:textId="77777777" w:rsidR="00FE1ABC" w:rsidRDefault="00FE1ABC" w:rsidP="0087088B">
            <w:pPr>
              <w:pStyle w:val="NotesTextBullet"/>
            </w:pPr>
            <w:r w:rsidRPr="003878EB">
              <w:t>Transfusion Reaction noted</w:t>
            </w:r>
          </w:p>
          <w:p w14:paraId="086303E8" w14:textId="77777777" w:rsidR="00FE1ABC" w:rsidRPr="003878EB" w:rsidRDefault="00FE1ABC" w:rsidP="0087088B">
            <w:pPr>
              <w:pStyle w:val="NotesTextBullet"/>
            </w:pPr>
            <w:r w:rsidRPr="003878EB">
              <w:t>Transfusion Reactions symptoms entered, if any</w:t>
            </w:r>
          </w:p>
          <w:p w14:paraId="599997D2" w14:textId="77777777" w:rsidR="00FE1ABC" w:rsidRDefault="00FE1ABC" w:rsidP="0087088B">
            <w:pPr>
              <w:pStyle w:val="NotesTextBullet"/>
            </w:pPr>
            <w:r w:rsidRPr="003878EB">
              <w:t>Transfusion comments, if any</w:t>
            </w:r>
          </w:p>
          <w:p w14:paraId="74624A7F" w14:textId="77777777" w:rsidR="00FE1ABC" w:rsidRDefault="00FE1ABC" w:rsidP="0087088B">
            <w:pPr>
              <w:pStyle w:val="NotesTextBullet"/>
              <w:numPr>
                <w:ilvl w:val="0"/>
                <w:numId w:val="0"/>
              </w:numPr>
              <w:ind w:left="1008"/>
            </w:pPr>
          </w:p>
        </w:tc>
      </w:tr>
    </w:tbl>
    <w:p w14:paraId="5EAC7E12" w14:textId="77777777" w:rsidR="002A21AE" w:rsidRPr="008000E5" w:rsidRDefault="00FE1ABC" w:rsidP="00542C41">
      <w:pPr>
        <w:pStyle w:val="Heading2"/>
      </w:pPr>
      <w:r>
        <w:rPr>
          <w:snapToGrid w:val="0"/>
        </w:rPr>
        <w:br w:type="page"/>
      </w:r>
      <w:bookmarkStart w:id="542" w:name="_Toc4588827"/>
      <w:r w:rsidR="002A21AE" w:rsidRPr="008000E5">
        <w:rPr>
          <w:snapToGrid w:val="0"/>
        </w:rPr>
        <w:lastRenderedPageBreak/>
        <w:t>Document ABO Incompatible Transfusions</w:t>
      </w:r>
      <w:bookmarkEnd w:id="542"/>
      <w:r w:rsidR="002A21AE" w:rsidRPr="00014BE4">
        <w:fldChar w:fldCharType="begin"/>
      </w:r>
      <w:r w:rsidR="002A21AE" w:rsidRPr="008000E5">
        <w:instrText xml:space="preserve"> XE </w:instrText>
      </w:r>
      <w:r w:rsidR="00FA7E65" w:rsidRPr="008000E5">
        <w:instrText>“</w:instrText>
      </w:r>
      <w:r w:rsidR="002A21AE" w:rsidRPr="008000E5">
        <w:instrText>Document ABO Incompatible Transfusions</w:instrText>
      </w:r>
      <w:r w:rsidR="00FA7E65" w:rsidRPr="008000E5">
        <w:instrText>”</w:instrText>
      </w:r>
      <w:r w:rsidR="002A21AE" w:rsidRPr="008000E5">
        <w:instrText xml:space="preserve"> </w:instrText>
      </w:r>
      <w:r w:rsidR="002A21AE" w:rsidRPr="00014BE4">
        <w:fldChar w:fldCharType="end"/>
      </w:r>
      <w:r w:rsidR="002A21AE" w:rsidRPr="00F854CF">
        <w:rPr>
          <w:rFonts w:ascii="Arial Bold" w:hAnsi="Arial Bold"/>
          <w:vanish/>
        </w:rPr>
        <w:t xml:space="preserve"> UC_69</w:t>
      </w:r>
    </w:p>
    <w:p w14:paraId="1A6D748C" w14:textId="77777777" w:rsidR="002A21AE" w:rsidRDefault="002A21AE" w:rsidP="00FA7E65">
      <w:pPr>
        <w:pStyle w:val="BodyText"/>
      </w:pPr>
      <w:bookmarkStart w:id="543" w:name="_Toc77405565"/>
      <w:r>
        <w:t>The user enters post-transfusion details from the Blood Transfusion Record Form (BTRF) to document ABO incompatible and other inadvertent transfusions.</w:t>
      </w:r>
    </w:p>
    <w:p w14:paraId="741CE9EF" w14:textId="77777777" w:rsidR="002A21AE" w:rsidRDefault="002A21AE">
      <w:pPr>
        <w:pStyle w:val="Heading4"/>
      </w:pPr>
      <w:r>
        <w:t>Assumptions</w:t>
      </w:r>
    </w:p>
    <w:p w14:paraId="1447762E" w14:textId="77777777" w:rsidR="002A21AE" w:rsidRDefault="007C7B04" w:rsidP="007C7B04">
      <w:pPr>
        <w:pStyle w:val="ListBullet"/>
      </w:pPr>
      <w:r w:rsidRPr="00554296">
        <w:rPr>
          <w:rFonts w:eastAsia="Arial Unicode MS"/>
        </w:rPr>
        <w:t xml:space="preserve">A </w:t>
      </w:r>
      <w:r w:rsidRPr="007C7B04">
        <w:t>unit</w:t>
      </w:r>
      <w:r w:rsidR="00B26579">
        <w:rPr>
          <w:rFonts w:eastAsia="Arial Unicode MS"/>
        </w:rPr>
        <w:t xml:space="preserve"> was transfused to a patient</w:t>
      </w:r>
      <w:r w:rsidRPr="00554296">
        <w:rPr>
          <w:rFonts w:eastAsia="Arial Unicode MS"/>
        </w:rPr>
        <w:t xml:space="preserve"> other than the intended recipient</w:t>
      </w:r>
      <w:r w:rsidR="002A21AE">
        <w:t xml:space="preserve">. </w:t>
      </w:r>
    </w:p>
    <w:p w14:paraId="148D7C09" w14:textId="77777777" w:rsidR="00132F6A" w:rsidRDefault="00132F6A" w:rsidP="00132F6A">
      <w:pPr>
        <w:pStyle w:val="ListBullet"/>
      </w:pPr>
      <w:r>
        <w:t xml:space="preserve">The connection to </w:t>
      </w:r>
      <w:r w:rsidRPr="00CA6E27">
        <w:rPr>
          <w:bCs/>
        </w:rPr>
        <w:t>VistA</w:t>
      </w:r>
      <w:r>
        <w:t xml:space="preserve"> is active.</w:t>
      </w:r>
    </w:p>
    <w:p w14:paraId="12DC1706" w14:textId="77777777" w:rsidR="002A21AE" w:rsidRDefault="002A21AE">
      <w:pPr>
        <w:pStyle w:val="Heading4"/>
      </w:pPr>
      <w:r>
        <w:t>Outcome</w:t>
      </w:r>
    </w:p>
    <w:p w14:paraId="206C0C09" w14:textId="77777777" w:rsidR="002A21AE" w:rsidRDefault="002A21AE">
      <w:pPr>
        <w:pStyle w:val="ListBullet"/>
      </w:pPr>
      <w:r>
        <w:t>The unit status is updated to “transfused.”</w:t>
      </w:r>
    </w:p>
    <w:p w14:paraId="6C167A5A" w14:textId="77777777" w:rsidR="002A21AE" w:rsidRDefault="002A21AE">
      <w:pPr>
        <w:pStyle w:val="ListBullet"/>
      </w:pPr>
      <w:r>
        <w:t>The patient record includes the blood transfusion information.</w:t>
      </w:r>
    </w:p>
    <w:p w14:paraId="3560BAAB" w14:textId="77777777" w:rsidR="002A21AE" w:rsidRDefault="002A21AE">
      <w:pPr>
        <w:pStyle w:val="Heading4"/>
      </w:pPr>
      <w:r>
        <w:t>Limitations and Restrictions</w:t>
      </w:r>
    </w:p>
    <w:p w14:paraId="5AE60238" w14:textId="77777777" w:rsidR="002A21AE" w:rsidRDefault="002A21AE">
      <w:pPr>
        <w:pStyle w:val="ListBullet"/>
      </w:pPr>
      <w:r>
        <w:t>VBECS does not enforce compatibility checks between the patient and the unit.</w:t>
      </w:r>
    </w:p>
    <w:p w14:paraId="44EFFEDA" w14:textId="77777777" w:rsidR="003427EE" w:rsidRDefault="003427EE" w:rsidP="003427EE">
      <w:pPr>
        <w:pStyle w:val="ListBullet"/>
      </w:pPr>
      <w:r>
        <w:t>VBECS does not update CPRS component order status when the Document ABO Incompatible Transfusion option is used.</w:t>
      </w:r>
    </w:p>
    <w:p w14:paraId="4610C93C" w14:textId="77777777" w:rsidR="002A21AE" w:rsidRDefault="002A21AE">
      <w:pPr>
        <w:pStyle w:val="Heading4"/>
      </w:pPr>
      <w:r>
        <w:t>Additional Information</w:t>
      </w:r>
    </w:p>
    <w:p w14:paraId="0D04ED0C" w14:textId="47095CBF" w:rsidR="002A21AE" w:rsidRDefault="001E7158">
      <w:pPr>
        <w:pStyle w:val="ListBullet"/>
      </w:pPr>
      <w:r>
        <w:t xml:space="preserve">FDA </w:t>
      </w:r>
      <w:r w:rsidR="00906BF1">
        <w:t>guidance</w:t>
      </w:r>
      <w:r w:rsidR="005215D6">
        <w:t xml:space="preserve"> govern when to file blood product deviation reports</w:t>
      </w:r>
      <w:r w:rsidR="002A21AE">
        <w:t>.</w:t>
      </w:r>
    </w:p>
    <w:p w14:paraId="1106AE91" w14:textId="77777777" w:rsidR="00774A57" w:rsidRDefault="00774A57">
      <w:pPr>
        <w:pStyle w:val="ListBullet"/>
      </w:pPr>
      <w:r>
        <w:t>Follow local policy</w:t>
      </w:r>
      <w:r w:rsidR="001A0BF6">
        <w:t xml:space="preserve"> and procedures</w:t>
      </w:r>
      <w:r>
        <w:t xml:space="preserve"> for additional reporting requirements.</w:t>
      </w:r>
    </w:p>
    <w:p w14:paraId="4863B5E9" w14:textId="77777777" w:rsidR="00721A8D" w:rsidRDefault="00014BE4">
      <w:pPr>
        <w:pStyle w:val="ListBullet"/>
      </w:pPr>
      <w:r>
        <w:t xml:space="preserve">VBECS requires a specimen and an order placed through CPRS to process transfusions. </w:t>
      </w:r>
      <w:r w:rsidR="00721A8D">
        <w:t>When a patient was transfused and no specimen was collected or order placed for blood components,</w:t>
      </w:r>
      <w:r w:rsidR="003D71A3">
        <w:t xml:space="preserve"> </w:t>
      </w:r>
      <w:r w:rsidR="00721A8D" w:rsidRPr="00014BE4">
        <w:t xml:space="preserve">the user may </w:t>
      </w:r>
      <w:r w:rsidR="00721A8D">
        <w:t>record</w:t>
      </w:r>
      <w:r w:rsidR="00721A8D" w:rsidRPr="00014BE4">
        <w:t xml:space="preserve"> the transfusion using </w:t>
      </w:r>
      <w:r w:rsidR="00721A8D">
        <w:t xml:space="preserve">this </w:t>
      </w:r>
      <w:r w:rsidR="00721A8D" w:rsidRPr="00014BE4">
        <w:t>option</w:t>
      </w:r>
      <w:r w:rsidR="00721A8D">
        <w:t>.</w:t>
      </w:r>
      <w:r w:rsidR="004E7582" w:rsidRPr="004E7582">
        <w:rPr>
          <w:vanish/>
        </w:rPr>
        <w:t xml:space="preserve"> UserDoc Task 1087</w:t>
      </w:r>
    </w:p>
    <w:p w14:paraId="34467F31" w14:textId="77777777" w:rsidR="002A21AE" w:rsidRDefault="002A21AE">
      <w:pPr>
        <w:pStyle w:val="Heading4"/>
      </w:pPr>
      <w:r>
        <w:t>User Roles with Access to This Option</w:t>
      </w:r>
    </w:p>
    <w:p w14:paraId="0F8A4296" w14:textId="77777777" w:rsidR="002A21AE" w:rsidRDefault="007D4E77">
      <w:pPr>
        <w:pStyle w:val="Roles"/>
        <w:rPr>
          <w:snapToGrid w:val="0"/>
        </w:rPr>
      </w:pPr>
      <w:r w:rsidRPr="007D4E77">
        <w:rPr>
          <w:rFonts w:ascii="Wingdings 3" w:hAnsi="Wingdings 3"/>
        </w:rPr>
        <w:t></w:t>
      </w:r>
      <w:r w:rsidRPr="007D4E77">
        <w:rPr>
          <w:rFonts w:ascii="Wingdings 3" w:hAnsi="Wingdings 3"/>
        </w:rPr>
        <w:t></w:t>
      </w:r>
      <w:r w:rsidRPr="007D4E77">
        <w:rPr>
          <w:rFonts w:ascii="Wingdings 3" w:hAnsi="Wingdings 3"/>
        </w:rPr>
        <w:t></w:t>
      </w:r>
      <w:r w:rsidRPr="007D4E77">
        <w:rPr>
          <w:rFonts w:ascii="Wingdings 3" w:hAnsi="Wingdings 3"/>
        </w:rPr>
        <w:t></w:t>
      </w:r>
      <w:r>
        <w:t xml:space="preserve"> Traditional Supervisor</w:t>
      </w:r>
    </w:p>
    <w:bookmarkEnd w:id="543"/>
    <w:p w14:paraId="4629286B" w14:textId="77777777" w:rsidR="002A21AE" w:rsidRDefault="002A21AE">
      <w:pPr>
        <w:pStyle w:val="Heading4"/>
      </w:pPr>
      <w:r>
        <w:t>Document ABO Incompatible Transfusions</w:t>
      </w:r>
    </w:p>
    <w:p w14:paraId="340065FE" w14:textId="77777777" w:rsidR="009D00C1" w:rsidRDefault="009D00C1" w:rsidP="00FA7E65">
      <w:pPr>
        <w:pStyle w:val="BodyText"/>
      </w:pPr>
      <w:r>
        <w:t>When a unit is transfused to the incorrect patient</w:t>
      </w:r>
      <w:r w:rsidR="00F90DFB">
        <w:t xml:space="preserve">, </w:t>
      </w:r>
      <w:r>
        <w:t>t</w:t>
      </w:r>
      <w:r w:rsidR="002A21AE">
        <w:t xml:space="preserve">he user enters transfusion details for </w:t>
      </w:r>
      <w:r>
        <w:t xml:space="preserve">that unit. </w:t>
      </w:r>
    </w:p>
    <w:p w14:paraId="0E5581F1" w14:textId="77777777" w:rsidR="002A21AE" w:rsidRDefault="00057948" w:rsidP="00DC645C">
      <w:pPr>
        <w:pStyle w:val="Caution"/>
      </w:pPr>
      <w:r>
        <w:rPr>
          <w:noProof/>
        </w:rPr>
        <w:drawing>
          <wp:inline distT="0" distB="0" distL="0" distR="0" wp14:anchorId="1BF92278" wp14:editId="6A0763DC">
            <wp:extent cx="267970" cy="221615"/>
            <wp:effectExtent l="0" t="0" r="0" b="6985"/>
            <wp:docPr id="260" name="Picture 260" descr="P926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P9263#yIS1">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DC645C">
        <w:t xml:space="preserve"> </w:t>
      </w:r>
      <w:r w:rsidR="002A21AE">
        <w:t>VBECS does not enforce compatibility checks to allow consistent and accurate online availability of a unit’s final disposition.</w:t>
      </w:r>
      <w:r w:rsidR="002A21AE">
        <w:rPr>
          <w:b/>
        </w:rPr>
        <w:t xml:space="preserve"> </w:t>
      </w:r>
      <w:r w:rsidR="002A21AE">
        <w:t xml:space="preserve">Use of this </w:t>
      </w:r>
      <w:r w:rsidR="00932460">
        <w:t>option</w:t>
      </w:r>
      <w:r w:rsidR="002A21AE">
        <w:t xml:space="preserve"> is restricted to supervisory blood bank personnel who have thoroughly investigated the transfusion and documented the inability to use normal VBECS business processes to enter the transfusion documentation.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FC5A709" w14:textId="77777777">
        <w:trPr>
          <w:cantSplit/>
          <w:tblHeader/>
        </w:trPr>
        <w:tc>
          <w:tcPr>
            <w:tcW w:w="3240" w:type="dxa"/>
            <w:shd w:val="pct30" w:color="auto" w:fill="FFFFFF"/>
            <w:vAlign w:val="bottom"/>
          </w:tcPr>
          <w:p w14:paraId="0166A4AA" w14:textId="77777777" w:rsidR="002A21AE" w:rsidRDefault="002A21AE">
            <w:pPr>
              <w:pStyle w:val="TableText"/>
              <w:rPr>
                <w:b/>
              </w:rPr>
            </w:pPr>
            <w:r>
              <w:rPr>
                <w:b/>
              </w:rPr>
              <w:t>User Action</w:t>
            </w:r>
          </w:p>
        </w:tc>
        <w:tc>
          <w:tcPr>
            <w:tcW w:w="6120" w:type="dxa"/>
            <w:shd w:val="pct30" w:color="auto" w:fill="FFFFFF"/>
            <w:vAlign w:val="bottom"/>
          </w:tcPr>
          <w:p w14:paraId="59C7C461" w14:textId="77777777" w:rsidR="002A21AE" w:rsidRDefault="002A21AE">
            <w:pPr>
              <w:pStyle w:val="TableText"/>
              <w:rPr>
                <w:b/>
              </w:rPr>
            </w:pPr>
            <w:r>
              <w:rPr>
                <w:b/>
              </w:rPr>
              <w:t>VBECS</w:t>
            </w:r>
          </w:p>
        </w:tc>
      </w:tr>
      <w:tr w:rsidR="002A21AE" w14:paraId="7036764C" w14:textId="77777777">
        <w:tc>
          <w:tcPr>
            <w:tcW w:w="3240" w:type="dxa"/>
            <w:tcBorders>
              <w:top w:val="single" w:sz="4" w:space="0" w:color="auto"/>
              <w:left w:val="single" w:sz="4" w:space="0" w:color="auto"/>
              <w:bottom w:val="single" w:sz="4" w:space="0" w:color="auto"/>
              <w:right w:val="single" w:sz="4" w:space="0" w:color="auto"/>
            </w:tcBorders>
          </w:tcPr>
          <w:p w14:paraId="3CA5FBDB" w14:textId="77777777" w:rsidR="002A21AE" w:rsidRDefault="002A21AE">
            <w:pPr>
              <w:pStyle w:val="TableTextNumbers"/>
            </w:pPr>
            <w:r>
              <w:t xml:space="preserve">Select </w:t>
            </w:r>
            <w:r>
              <w:rPr>
                <w:b/>
              </w:rPr>
              <w:t>Supervisor</w:t>
            </w:r>
            <w:r>
              <w:t xml:space="preserve"> from the main menu.</w:t>
            </w:r>
          </w:p>
          <w:p w14:paraId="46BBD680" w14:textId="77777777" w:rsidR="002A21AE" w:rsidRDefault="002A21AE">
            <w:pPr>
              <w:pStyle w:val="TableTextNumbersContinued"/>
            </w:pPr>
          </w:p>
          <w:p w14:paraId="2F20D374" w14:textId="77777777" w:rsidR="002A21AE" w:rsidRPr="001E3F01" w:rsidRDefault="002A21AE">
            <w:pPr>
              <w:pStyle w:val="TableTextNumbersContinued"/>
              <w:rPr>
                <w:lang w:val="fr-CA"/>
              </w:rPr>
            </w:pPr>
            <w:r w:rsidRPr="001E3F01">
              <w:rPr>
                <w:lang w:val="fr-CA"/>
              </w:rPr>
              <w:t xml:space="preserve">Select </w:t>
            </w:r>
            <w:r w:rsidRPr="001E3F01">
              <w:rPr>
                <w:b/>
                <w:lang w:val="fr-CA"/>
              </w:rPr>
              <w:t>Document ABO Incompatible Transfusion</w:t>
            </w:r>
            <w:r w:rsidRPr="001E3F01">
              <w:rPr>
                <w:lang w:val="fr-CA"/>
              </w:rPr>
              <w:t>.</w:t>
            </w:r>
          </w:p>
        </w:tc>
        <w:tc>
          <w:tcPr>
            <w:tcW w:w="6120" w:type="dxa"/>
            <w:tcBorders>
              <w:top w:val="single" w:sz="4" w:space="0" w:color="auto"/>
              <w:left w:val="single" w:sz="4" w:space="0" w:color="auto"/>
              <w:bottom w:val="single" w:sz="4" w:space="0" w:color="auto"/>
              <w:right w:val="single" w:sz="4" w:space="0" w:color="auto"/>
            </w:tcBorders>
          </w:tcPr>
          <w:p w14:paraId="195CD2A6" w14:textId="77777777" w:rsidR="002A21AE" w:rsidRDefault="002A21AE">
            <w:pPr>
              <w:pStyle w:val="TableTextBullet"/>
            </w:pPr>
            <w:r>
              <w:t>Displays options for processing patient-related functions.</w:t>
            </w:r>
          </w:p>
          <w:p w14:paraId="1909E50D" w14:textId="77777777" w:rsidR="002A21AE" w:rsidRDefault="002A21AE">
            <w:pPr>
              <w:pStyle w:val="TableTextBullet"/>
            </w:pPr>
            <w:r>
              <w:t>Displays an option to scan the Caution Tag or enter a patient name or ID.</w:t>
            </w:r>
          </w:p>
          <w:p w14:paraId="2BA4E6C9" w14:textId="77777777" w:rsidR="002A21AE" w:rsidRDefault="002A21AE">
            <w:pPr>
              <w:pStyle w:val="NotesText"/>
            </w:pPr>
          </w:p>
        </w:tc>
      </w:tr>
      <w:tr w:rsidR="002A21AE" w14:paraId="0E85F3BA" w14:textId="77777777" w:rsidTr="00F3651E">
        <w:trPr>
          <w:cantSplit/>
        </w:trPr>
        <w:tc>
          <w:tcPr>
            <w:tcW w:w="3240" w:type="dxa"/>
          </w:tcPr>
          <w:p w14:paraId="7465342C" w14:textId="77777777" w:rsidR="002A21AE" w:rsidRDefault="002A21AE">
            <w:pPr>
              <w:pStyle w:val="TableTextNumbers"/>
            </w:pPr>
            <w:r>
              <w:lastRenderedPageBreak/>
              <w:t xml:space="preserve">Select a patient and click </w:t>
            </w:r>
            <w:r>
              <w:rPr>
                <w:b/>
              </w:rPr>
              <w:t>OK</w:t>
            </w:r>
            <w:r>
              <w:t>.</w:t>
            </w:r>
          </w:p>
        </w:tc>
        <w:tc>
          <w:tcPr>
            <w:tcW w:w="6120" w:type="dxa"/>
          </w:tcPr>
          <w:p w14:paraId="698F71D8" w14:textId="77777777" w:rsidR="001C50C2" w:rsidRDefault="002A21AE" w:rsidP="001C50C2">
            <w:pPr>
              <w:pStyle w:val="TableText"/>
            </w:pPr>
            <w:r>
              <w:t>Displays an option to select a patient that may not be available from the VBECS files.</w:t>
            </w:r>
            <w:r w:rsidR="001C50C2">
              <w:t xml:space="preserve"> </w:t>
            </w:r>
          </w:p>
          <w:p w14:paraId="3F0F6108" w14:textId="77777777" w:rsidR="001C50C2" w:rsidRDefault="001C50C2" w:rsidP="001C50C2">
            <w:pPr>
              <w:pStyle w:val="TableText"/>
            </w:pPr>
          </w:p>
          <w:p w14:paraId="4C0A4985" w14:textId="77777777" w:rsidR="001C50C2" w:rsidRDefault="00057948" w:rsidP="001C50C2">
            <w:pPr>
              <w:pStyle w:val="TableText"/>
            </w:pPr>
            <w:r>
              <w:rPr>
                <w:b/>
                <w:bCs/>
                <w:noProof/>
              </w:rPr>
              <mc:AlternateContent>
                <mc:Choice Requires="wps">
                  <w:drawing>
                    <wp:anchor distT="0" distB="0" distL="114300" distR="114300" simplePos="0" relativeHeight="252021248" behindDoc="0" locked="0" layoutInCell="1" allowOverlap="1" wp14:anchorId="484ECD68" wp14:editId="388ED3ED">
                      <wp:simplePos x="0" y="0"/>
                      <wp:positionH relativeFrom="column">
                        <wp:posOffset>457200</wp:posOffset>
                      </wp:positionH>
                      <wp:positionV relativeFrom="paragraph">
                        <wp:posOffset>65405</wp:posOffset>
                      </wp:positionV>
                      <wp:extent cx="3200400" cy="0"/>
                      <wp:effectExtent l="9525" t="17780" r="9525" b="10795"/>
                      <wp:wrapNone/>
                      <wp:docPr id="314" name="Line 1212" descr="P9277C6T10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2E65B" id="Line 1212" o:spid="_x0000_s1026" alt="&quot;&quot;" style="position:absolute;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DJM9nbEAQAAbwMAAA4AAAAAAAAAAAAAAAAA&#10;LgIAAGRycy9lMm9Eb2MueG1sUEsBAi0AFAAGAAgAAAAhABdPMBLbAAAACAEAAA8AAAAAAAAAAAAA&#10;AAAAHgQAAGRycy9kb3ducmV2LnhtbFBLBQYAAAAABAAEAPMAAAAmBQAAAAA=&#10;" strokeweight="1.5pt"/>
                  </w:pict>
                </mc:Fallback>
              </mc:AlternateContent>
            </w:r>
            <w:r w:rsidR="001C50C2">
              <w:rPr>
                <w:b/>
                <w:bCs/>
                <w:szCs w:val="18"/>
              </w:rPr>
              <w:t>NOTES</w:t>
            </w:r>
          </w:p>
          <w:p w14:paraId="41B35672" w14:textId="77777777" w:rsidR="001C50C2" w:rsidRDefault="001C50C2" w:rsidP="001C50C2">
            <w:pPr>
              <w:pStyle w:val="TableTextBullet"/>
              <w:numPr>
                <w:ilvl w:val="0"/>
                <w:numId w:val="0"/>
              </w:numPr>
              <w:ind w:left="288" w:hanging="288"/>
              <w:rPr>
                <w:rFonts w:cs="Arial"/>
              </w:rPr>
            </w:pPr>
          </w:p>
          <w:p w14:paraId="1808392B" w14:textId="77777777" w:rsidR="001C50C2" w:rsidRDefault="001C50C2" w:rsidP="001C50C2">
            <w:pPr>
              <w:pStyle w:val="TableTextBullet"/>
              <w:numPr>
                <w:ilvl w:val="0"/>
                <w:numId w:val="0"/>
              </w:numPr>
              <w:ind w:left="720"/>
            </w:pPr>
            <w:r w:rsidRPr="001C50C2">
              <w:rPr>
                <w:rFonts w:cs="Arial"/>
              </w:rPr>
              <w:t xml:space="preserve">Displays a message when the user selects a patient with a blank first or last name, or the name is too long. The user is instructed to contact the VBECS Administrator for assistance. </w:t>
            </w:r>
            <w:r w:rsidRPr="001C50C2">
              <w:rPr>
                <w:rFonts w:cs="Arial"/>
                <w:vanish/>
              </w:rPr>
              <w:t>DR 3444</w:t>
            </w:r>
          </w:p>
        </w:tc>
      </w:tr>
      <w:tr w:rsidR="002A21AE" w14:paraId="74FAD4C0" w14:textId="77777777">
        <w:tc>
          <w:tcPr>
            <w:tcW w:w="3240" w:type="dxa"/>
          </w:tcPr>
          <w:p w14:paraId="43E3D686" w14:textId="77777777" w:rsidR="002A21AE" w:rsidRDefault="0087088B" w:rsidP="0087088B">
            <w:pPr>
              <w:pStyle w:val="TableTextNumbers"/>
            </w:pPr>
            <w:r>
              <w:t xml:space="preserve">Select a </w:t>
            </w:r>
            <w:r w:rsidR="00922AD8">
              <w:t>unit to</w:t>
            </w:r>
            <w:r w:rsidR="002A21AE">
              <w:t xml:space="preserve"> document a</w:t>
            </w:r>
            <w:r w:rsidR="00B26579">
              <w:t xml:space="preserve"> </w:t>
            </w:r>
            <w:r w:rsidR="002A21AE">
              <w:t>transfusion</w:t>
            </w:r>
            <w:r w:rsidR="00F37D55">
              <w:t xml:space="preserve"> that does not follow system rules</w:t>
            </w:r>
            <w:r w:rsidR="002A21AE">
              <w:t>.</w:t>
            </w:r>
          </w:p>
        </w:tc>
        <w:tc>
          <w:tcPr>
            <w:tcW w:w="6120" w:type="dxa"/>
          </w:tcPr>
          <w:p w14:paraId="16A9B61D" w14:textId="77777777" w:rsidR="002A21AE" w:rsidRDefault="002A21AE">
            <w:pPr>
              <w:pStyle w:val="TableTextBullet"/>
            </w:pPr>
            <w:r>
              <w:t>Displays an option to enter a unit ID and product code or search for one.</w:t>
            </w:r>
          </w:p>
          <w:p w14:paraId="07BC2B70" w14:textId="77777777" w:rsidR="002A21AE" w:rsidRDefault="002A21AE">
            <w:pPr>
              <w:pStyle w:val="TableText"/>
            </w:pPr>
          </w:p>
          <w:p w14:paraId="58DB244E" w14:textId="77777777" w:rsidR="002A21AE" w:rsidRDefault="00057948">
            <w:pPr>
              <w:pStyle w:val="TableText"/>
              <w:rPr>
                <w:b/>
                <w:bCs/>
                <w:szCs w:val="18"/>
              </w:rPr>
            </w:pPr>
            <w:r>
              <w:rPr>
                <w:b/>
                <w:bCs/>
                <w:noProof/>
              </w:rPr>
              <mc:AlternateContent>
                <mc:Choice Requires="wps">
                  <w:drawing>
                    <wp:anchor distT="0" distB="0" distL="114300" distR="114300" simplePos="0" relativeHeight="251589120" behindDoc="0" locked="0" layoutInCell="1" allowOverlap="1" wp14:anchorId="128CD48D" wp14:editId="5A64FF3E">
                      <wp:simplePos x="0" y="0"/>
                      <wp:positionH relativeFrom="column">
                        <wp:posOffset>457200</wp:posOffset>
                      </wp:positionH>
                      <wp:positionV relativeFrom="paragraph">
                        <wp:posOffset>65405</wp:posOffset>
                      </wp:positionV>
                      <wp:extent cx="3200400" cy="0"/>
                      <wp:effectExtent l="9525" t="17780" r="9525" b="10795"/>
                      <wp:wrapNone/>
                      <wp:docPr id="313" name="Line 880" descr="P9284C8T10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22BD4" id="Line 880" o:spid="_x0000_s1026" alt="&quot;&quot;" style="position:absolute;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byoCz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6A0C9C26" w14:textId="77777777" w:rsidR="002A21AE" w:rsidRDefault="002A21AE">
            <w:pPr>
              <w:pStyle w:val="NotesText"/>
            </w:pPr>
          </w:p>
          <w:p w14:paraId="710ECD4E" w14:textId="4D37EDFE" w:rsidR="007F00C5" w:rsidRPr="002B5E51" w:rsidRDefault="007F00C5" w:rsidP="007F00C5">
            <w:pPr>
              <w:pStyle w:val="NotesText"/>
              <w:rPr>
                <w:rFonts w:cs="Arial"/>
                <w:vanish/>
              </w:rPr>
            </w:pPr>
            <w:r>
              <w:rPr>
                <w:rFonts w:cs="Arial"/>
              </w:rPr>
              <w:t>VBECS presents all units in the system for selection when the search button is used. This search will require time to complete as the number of units to display increases.</w:t>
            </w:r>
            <w:r w:rsidR="00906BF1">
              <w:rPr>
                <w:rFonts w:cs="Arial"/>
              </w:rPr>
              <w:t xml:space="preserve"> </w:t>
            </w:r>
            <w:r>
              <w:rPr>
                <w:rFonts w:cs="Arial"/>
                <w:vanish/>
              </w:rPr>
              <w:t xml:space="preserve"> DR 3516</w:t>
            </w:r>
          </w:p>
          <w:p w14:paraId="5FE725DD" w14:textId="77777777" w:rsidR="007F00C5" w:rsidRDefault="007F00C5" w:rsidP="007F00C5">
            <w:pPr>
              <w:pStyle w:val="NotesText"/>
              <w:rPr>
                <w:rFonts w:cs="Arial"/>
                <w:vanish/>
              </w:rPr>
            </w:pPr>
          </w:p>
          <w:p w14:paraId="41A48B4B" w14:textId="77777777" w:rsidR="007F00C5" w:rsidRDefault="007F00C5" w:rsidP="007F00C5">
            <w:pPr>
              <w:pStyle w:val="NotesText"/>
            </w:pPr>
            <w:r>
              <w:rPr>
                <w:rFonts w:cs="Arial"/>
                <w:vanish/>
              </w:rPr>
              <w:t xml:space="preserve">BR_69.14 </w:t>
            </w:r>
            <w:r>
              <w:t>VBECS does not enforce compatibility checks in this option.</w:t>
            </w:r>
          </w:p>
          <w:p w14:paraId="60808753" w14:textId="77777777" w:rsidR="007F00C5" w:rsidRDefault="007F00C5" w:rsidP="007F00C5">
            <w:pPr>
              <w:pStyle w:val="NotesText"/>
              <w:rPr>
                <w:rFonts w:cs="Arial"/>
              </w:rPr>
            </w:pPr>
          </w:p>
          <w:p w14:paraId="1DB99E4E" w14:textId="3DD45524" w:rsidR="002A21AE" w:rsidRDefault="007F00C5" w:rsidP="007F00C5">
            <w:pPr>
              <w:pStyle w:val="NotesText"/>
              <w:rPr>
                <w:rFonts w:cs="Arial"/>
              </w:rPr>
            </w:pPr>
            <w:r w:rsidRPr="00896F17">
              <w:rPr>
                <w:rStyle w:val="BullhornChar"/>
              </w:rPr>
              <w:t></w:t>
            </w:r>
            <w:r>
              <w:rPr>
                <w:color w:val="000000"/>
                <w:szCs w:val="18"/>
              </w:rPr>
              <w:t xml:space="preserve"> </w:t>
            </w:r>
            <w:r>
              <w:rPr>
                <w:rFonts w:cs="Arial"/>
                <w:vanish/>
              </w:rPr>
              <w:t xml:space="preserve">BR_70.06 </w:t>
            </w:r>
            <w:r>
              <w:t>When a user enters a unit with a final status, VBECS alerts the user and clears the screen. The user may select another unit.</w:t>
            </w:r>
          </w:p>
        </w:tc>
      </w:tr>
      <w:tr w:rsidR="002A21AE" w14:paraId="1B6FB2E9" w14:textId="77777777">
        <w:tc>
          <w:tcPr>
            <w:tcW w:w="3240" w:type="dxa"/>
          </w:tcPr>
          <w:p w14:paraId="55C0AF5A" w14:textId="77777777" w:rsidR="002A21AE" w:rsidRDefault="002A21AE">
            <w:pPr>
              <w:pStyle w:val="TableTextNumbers"/>
            </w:pPr>
            <w:r>
              <w:t>Enter post-transfusion details</w:t>
            </w:r>
            <w:r w:rsidR="00BB5288">
              <w:t xml:space="preserve"> and a comment</w:t>
            </w:r>
            <w:r>
              <w:t>.</w:t>
            </w:r>
          </w:p>
        </w:tc>
        <w:tc>
          <w:tcPr>
            <w:tcW w:w="6120" w:type="dxa"/>
          </w:tcPr>
          <w:p w14:paraId="5C13F539" w14:textId="77777777" w:rsidR="002A21AE" w:rsidRDefault="002A21AE">
            <w:pPr>
              <w:pStyle w:val="TableTextBullet"/>
            </w:pPr>
            <w:r>
              <w:t>Displays an option to enter or edit unit data. See Post-Transfusion Information.</w:t>
            </w:r>
          </w:p>
          <w:p w14:paraId="04B36A45" w14:textId="77777777" w:rsidR="002A21AE" w:rsidRDefault="002A21AE">
            <w:pPr>
              <w:pStyle w:val="TableTextBullet"/>
            </w:pPr>
            <w:r>
              <w:rPr>
                <w:rFonts w:cs="Arial"/>
                <w:vanish/>
              </w:rPr>
              <w:t>BR_69.16</w:t>
            </w:r>
            <w:r w:rsidR="00C549FA" w:rsidRPr="00323744">
              <w:rPr>
                <w:rStyle w:val="BullhornChar"/>
              </w:rPr>
              <w:t></w:t>
            </w:r>
            <w:r w:rsidR="00C549FA">
              <w:rPr>
                <w:rFonts w:ascii="Webdings" w:hAnsi="Webdings"/>
              </w:rPr>
              <w:t></w:t>
            </w:r>
            <w:r>
              <w:t xml:space="preserve">VBECS emits an audible alert, requires a comment, and captures the transaction details for inclusion in </w:t>
            </w:r>
            <w:r w:rsidR="00C549FA">
              <w:t>an Exception Report (exception t</w:t>
            </w:r>
            <w:r>
              <w:t>ype: ABO incompatible unit transfused).</w:t>
            </w:r>
          </w:p>
          <w:p w14:paraId="72009562" w14:textId="77777777" w:rsidR="00BB5288" w:rsidRDefault="00BB5288" w:rsidP="00BB5288">
            <w:pPr>
              <w:pStyle w:val="TableTextBullet"/>
            </w:pPr>
            <w:r>
              <w:t>Displays the entries for review, including the comment, until all details are entered.</w:t>
            </w:r>
          </w:p>
        </w:tc>
      </w:tr>
      <w:tr w:rsidR="00767921" w14:paraId="7FB0FCA5" w14:textId="77777777">
        <w:tc>
          <w:tcPr>
            <w:tcW w:w="3240" w:type="dxa"/>
          </w:tcPr>
          <w:p w14:paraId="272F541C" w14:textId="77777777" w:rsidR="00767921" w:rsidRDefault="00767921">
            <w:pPr>
              <w:pStyle w:val="TableTextNumbers"/>
            </w:pPr>
            <w:r>
              <w:t xml:space="preserve">Click </w:t>
            </w:r>
            <w:r w:rsidRPr="00767921">
              <w:rPr>
                <w:b/>
              </w:rPr>
              <w:t>OK</w:t>
            </w:r>
            <w:r>
              <w:t xml:space="preserve"> and </w:t>
            </w:r>
            <w:r w:rsidRPr="00767921">
              <w:rPr>
                <w:b/>
              </w:rPr>
              <w:t>Yes</w:t>
            </w:r>
            <w:r>
              <w:t xml:space="preserve"> to save.</w:t>
            </w:r>
          </w:p>
        </w:tc>
        <w:tc>
          <w:tcPr>
            <w:tcW w:w="6120" w:type="dxa"/>
          </w:tcPr>
          <w:p w14:paraId="5DBA8A3D" w14:textId="77777777" w:rsidR="00767921" w:rsidRDefault="00767921">
            <w:pPr>
              <w:pStyle w:val="TableTextBullet"/>
            </w:pPr>
            <w:r>
              <w:t>Saves the data.</w:t>
            </w:r>
          </w:p>
          <w:p w14:paraId="58563EB8" w14:textId="77777777" w:rsidR="00BC3647" w:rsidRDefault="00BC3647">
            <w:pPr>
              <w:pStyle w:val="TableTextBullet"/>
            </w:pPr>
            <w:r>
              <w:t>Allows the user to enter comments and details.</w:t>
            </w:r>
          </w:p>
        </w:tc>
      </w:tr>
      <w:tr w:rsidR="002A21AE" w14:paraId="764882E1" w14:textId="77777777">
        <w:tc>
          <w:tcPr>
            <w:tcW w:w="3240" w:type="dxa"/>
          </w:tcPr>
          <w:p w14:paraId="43D9440C" w14:textId="77777777" w:rsidR="00FE39F0" w:rsidRDefault="00FE39F0">
            <w:pPr>
              <w:pStyle w:val="TableTextNumbers"/>
            </w:pPr>
            <w:r>
              <w:t xml:space="preserve">Enter or select a comment and details, in accordance with local policy and procedures. </w:t>
            </w:r>
          </w:p>
          <w:p w14:paraId="01144ED0" w14:textId="77777777" w:rsidR="00FE39F0" w:rsidRDefault="00FE39F0" w:rsidP="00FE39F0">
            <w:pPr>
              <w:pStyle w:val="TableTextNumbersContinued"/>
            </w:pPr>
          </w:p>
          <w:p w14:paraId="03203BDC" w14:textId="77777777" w:rsidR="002A21AE" w:rsidRDefault="00FE39F0" w:rsidP="00FE39F0">
            <w:pPr>
              <w:pStyle w:val="TableTextNumbersContinued"/>
            </w:pPr>
            <w:r>
              <w:t xml:space="preserve">Click </w:t>
            </w:r>
            <w:r w:rsidRPr="00FE39F0">
              <w:rPr>
                <w:b/>
              </w:rPr>
              <w:t>OK</w:t>
            </w:r>
            <w:r>
              <w:t>.</w:t>
            </w:r>
          </w:p>
        </w:tc>
        <w:tc>
          <w:tcPr>
            <w:tcW w:w="6120" w:type="dxa"/>
          </w:tcPr>
          <w:p w14:paraId="06A5268A" w14:textId="77777777" w:rsidR="002A21AE" w:rsidRDefault="002A21AE">
            <w:pPr>
              <w:pStyle w:val="TableText"/>
            </w:pPr>
          </w:p>
          <w:p w14:paraId="08C44347" w14:textId="77777777" w:rsidR="002A21AE" w:rsidRDefault="00057948">
            <w:pPr>
              <w:pStyle w:val="TableText"/>
              <w:rPr>
                <w:b/>
                <w:bCs/>
                <w:szCs w:val="18"/>
              </w:rPr>
            </w:pPr>
            <w:r>
              <w:rPr>
                <w:b/>
                <w:bCs/>
                <w:noProof/>
              </w:rPr>
              <mc:AlternateContent>
                <mc:Choice Requires="wps">
                  <w:drawing>
                    <wp:anchor distT="0" distB="0" distL="114300" distR="114300" simplePos="0" relativeHeight="251586048" behindDoc="0" locked="0" layoutInCell="1" allowOverlap="1" wp14:anchorId="3067C38E" wp14:editId="6FA0C6AF">
                      <wp:simplePos x="0" y="0"/>
                      <wp:positionH relativeFrom="column">
                        <wp:posOffset>457200</wp:posOffset>
                      </wp:positionH>
                      <wp:positionV relativeFrom="paragraph">
                        <wp:posOffset>65405</wp:posOffset>
                      </wp:positionV>
                      <wp:extent cx="3200400" cy="0"/>
                      <wp:effectExtent l="9525" t="17780" r="9525" b="10795"/>
                      <wp:wrapNone/>
                      <wp:docPr id="312" name="Line 879" descr="P9303C14T10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0B733" id="Line 879" o:spid="_x0000_s1026" alt="&quot;&quot;" style="position:absolute;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IkLXv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6C55BC66" w14:textId="77777777" w:rsidR="002A21AE" w:rsidRDefault="002A21AE">
            <w:pPr>
              <w:pStyle w:val="NotesText"/>
            </w:pPr>
          </w:p>
          <w:p w14:paraId="30299258" w14:textId="77777777" w:rsidR="0018209A" w:rsidRDefault="0018209A" w:rsidP="0018209A">
            <w:pPr>
              <w:pStyle w:val="NotesText"/>
            </w:pPr>
            <w:r>
              <w:rPr>
                <w:rFonts w:cs="Arial"/>
                <w:vanish/>
              </w:rPr>
              <w:t xml:space="preserve">BR_69.13 </w:t>
            </w:r>
            <w:r>
              <w:t>VBECS saves transfusion information for future retrieval and reporting as part of the patient and unit historic records.</w:t>
            </w:r>
          </w:p>
          <w:p w14:paraId="45E017B4" w14:textId="77777777" w:rsidR="0018209A" w:rsidRDefault="0018209A">
            <w:pPr>
              <w:pStyle w:val="NotesText"/>
              <w:rPr>
                <w:rFonts w:cs="Arial"/>
              </w:rPr>
            </w:pPr>
          </w:p>
          <w:p w14:paraId="40FA3725" w14:textId="77777777" w:rsidR="002A21AE" w:rsidRDefault="002A21AE">
            <w:pPr>
              <w:pStyle w:val="NotesText"/>
            </w:pPr>
            <w:r>
              <w:rPr>
                <w:rFonts w:cs="Arial"/>
                <w:vanish/>
              </w:rPr>
              <w:t xml:space="preserve">BR_69.12 </w:t>
            </w:r>
            <w:r>
              <w:t xml:space="preserve">Upon data entry and saving of the post-transfusion information, VBECS assigns a status of “transfused” to the unit of </w:t>
            </w:r>
            <w:r w:rsidR="00191CFE">
              <w:t>blood</w:t>
            </w:r>
            <w:r>
              <w:t xml:space="preserve"> for the indicated patient.</w:t>
            </w:r>
          </w:p>
          <w:p w14:paraId="5A226FB7" w14:textId="77777777" w:rsidR="002A21AE" w:rsidRDefault="002A21AE">
            <w:pPr>
              <w:pStyle w:val="NotesText"/>
              <w:rPr>
                <w:rFonts w:cs="Arial"/>
              </w:rPr>
            </w:pPr>
          </w:p>
          <w:p w14:paraId="7624A12F" w14:textId="77777777" w:rsidR="00BC3647" w:rsidRDefault="00BC3647">
            <w:pPr>
              <w:pStyle w:val="NotesText"/>
              <w:rPr>
                <w:rFonts w:cs="Arial"/>
              </w:rPr>
            </w:pPr>
            <w:r>
              <w:rPr>
                <w:rFonts w:cs="Arial"/>
              </w:rPr>
              <w:t>VBECS captures details of this override in an Exception Report.</w:t>
            </w:r>
          </w:p>
        </w:tc>
      </w:tr>
      <w:tr w:rsidR="002A21AE" w14:paraId="77671825" w14:textId="77777777">
        <w:tc>
          <w:tcPr>
            <w:tcW w:w="3240" w:type="dxa"/>
          </w:tcPr>
          <w:p w14:paraId="56D1E6DA" w14:textId="77777777" w:rsidR="002A21AE" w:rsidRDefault="002A21AE">
            <w:pPr>
              <w:pStyle w:val="TableTextNumbers"/>
            </w:pPr>
            <w:r>
              <w:t xml:space="preserve">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4D920F70" w14:textId="77777777" w:rsidR="002A21AE" w:rsidRDefault="002A21AE">
            <w:pPr>
              <w:pStyle w:val="TableText"/>
            </w:pPr>
          </w:p>
        </w:tc>
      </w:tr>
      <w:bookmarkEnd w:id="539"/>
    </w:tbl>
    <w:p w14:paraId="49164930" w14:textId="77777777" w:rsidR="00F55832" w:rsidRDefault="00F55832">
      <w:pPr>
        <w:pStyle w:val="Heading3"/>
      </w:pPr>
    </w:p>
    <w:p w14:paraId="7702991D" w14:textId="77777777" w:rsidR="002A21AE" w:rsidRDefault="00F55832">
      <w:pPr>
        <w:pStyle w:val="Heading3"/>
      </w:pPr>
      <w:r>
        <w:br w:type="page"/>
      </w:r>
      <w:bookmarkStart w:id="544" w:name="_Toc4588828"/>
      <w:r w:rsidR="002A21AE">
        <w:lastRenderedPageBreak/>
        <w:t>Justify ABO/Rh Change</w:t>
      </w:r>
      <w:bookmarkEnd w:id="544"/>
      <w:r w:rsidR="002A21AE">
        <w:fldChar w:fldCharType="begin"/>
      </w:r>
      <w:r w:rsidR="002A21AE">
        <w:instrText xml:space="preserve"> XE </w:instrText>
      </w:r>
      <w:r w:rsidR="00FA7E65">
        <w:instrText>“</w:instrText>
      </w:r>
      <w:r w:rsidR="002A21AE">
        <w:instrText>Justify ABO/Rh Change</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UC_100</w:t>
      </w:r>
    </w:p>
    <w:p w14:paraId="39B8F634" w14:textId="77777777" w:rsidR="002A21AE" w:rsidRDefault="002A21AE" w:rsidP="00FA7E65">
      <w:pPr>
        <w:pStyle w:val="BodyText"/>
      </w:pPr>
      <w:bookmarkStart w:id="545" w:name="_Toc63680378"/>
      <w:r>
        <w:t>The user changes a patient’s historical blood type only when there is a clinical change in blood type, not to correct an error.</w:t>
      </w:r>
      <w:r w:rsidR="005215D6">
        <w:t xml:space="preserve"> (See Invalidate Test Results.)</w:t>
      </w:r>
    </w:p>
    <w:p w14:paraId="07CA0EB9" w14:textId="77777777" w:rsidR="002A21AE" w:rsidRDefault="002A21AE">
      <w:pPr>
        <w:pStyle w:val="Heading4"/>
      </w:pPr>
      <w:r>
        <w:t>Assumptions</w:t>
      </w:r>
      <w:r>
        <w:rPr>
          <w:b w:val="0"/>
        </w:rPr>
        <w:t xml:space="preserve"> </w:t>
      </w:r>
    </w:p>
    <w:p w14:paraId="6DA37CE9" w14:textId="77777777" w:rsidR="002A21AE" w:rsidRDefault="002A21AE">
      <w:pPr>
        <w:pStyle w:val="ListBullet"/>
      </w:pPr>
      <w:r>
        <w:t xml:space="preserve">The patient has a previous ABO/Rh on record from the user’s current division, from a different division within the database, or from </w:t>
      </w:r>
      <w:r w:rsidR="00AB59B8">
        <w:t xml:space="preserve">the </w:t>
      </w:r>
      <w:r>
        <w:t>database conversion.</w:t>
      </w:r>
    </w:p>
    <w:p w14:paraId="33FBEF35" w14:textId="77777777" w:rsidR="002A21AE" w:rsidRDefault="002A21AE">
      <w:pPr>
        <w:pStyle w:val="ListBullet"/>
      </w:pPr>
      <w:r>
        <w:t>The patient has a current specimen test result with an ABO/Rh interpretation that does</w:t>
      </w:r>
      <w:r>
        <w:rPr>
          <w:i/>
        </w:rPr>
        <w:t xml:space="preserve"> </w:t>
      </w:r>
      <w:r>
        <w:t>not match the historical record. Both previous and current specimen test results are valid.</w:t>
      </w:r>
    </w:p>
    <w:p w14:paraId="631481C5" w14:textId="77777777" w:rsidR="002A21AE" w:rsidRDefault="002A21AE">
      <w:pPr>
        <w:pStyle w:val="Heading4"/>
      </w:pPr>
      <w:r>
        <w:t>Outcome</w:t>
      </w:r>
      <w:r>
        <w:rPr>
          <w:rFonts w:ascii="Times New Roman" w:hAnsi="Times New Roman"/>
          <w:i/>
          <w:color w:val="0000FF"/>
          <w:sz w:val="24"/>
        </w:rPr>
        <w:t xml:space="preserve"> </w:t>
      </w:r>
    </w:p>
    <w:p w14:paraId="24C34147" w14:textId="77777777" w:rsidR="002A21AE" w:rsidRDefault="002A21AE">
      <w:pPr>
        <w:pStyle w:val="ListBullet"/>
      </w:pPr>
      <w:r>
        <w:rPr>
          <w:rFonts w:ascii="Arial" w:hAnsi="Arial" w:cs="Arial"/>
          <w:vanish/>
          <w:spacing w:val="0"/>
          <w:sz w:val="18"/>
        </w:rPr>
        <w:t xml:space="preserve">BR_100.03 </w:t>
      </w:r>
      <w:r>
        <w:t xml:space="preserve">VBECS </w:t>
      </w:r>
      <w:r w:rsidR="00326CD8">
        <w:t xml:space="preserve">permanently </w:t>
      </w:r>
      <w:r>
        <w:t xml:space="preserve">marks the patient record and the specimen test to indicate that the patient has a justified ABO/Rh change, regardless of the user’s division. </w:t>
      </w:r>
    </w:p>
    <w:p w14:paraId="71AC0B0B" w14:textId="77777777" w:rsidR="002A21AE" w:rsidRDefault="002A21AE">
      <w:pPr>
        <w:pStyle w:val="ListBullet"/>
      </w:pPr>
      <w:r>
        <w:rPr>
          <w:rFonts w:ascii="Arial" w:hAnsi="Arial" w:cs="Arial"/>
          <w:vanish/>
          <w:spacing w:val="0"/>
          <w:sz w:val="18"/>
        </w:rPr>
        <w:t xml:space="preserve">BR_100.05 </w:t>
      </w:r>
      <w:r>
        <w:t>The justified ABO/Rh on the patient record forces the user’s selection to be used as the new historical record, replacing the current test result as the historic record. VBECS does not check for ABO/Rh discrepancies with tests entered for this patient prior to the justified test result.</w:t>
      </w:r>
    </w:p>
    <w:p w14:paraId="7030A56C" w14:textId="77777777" w:rsidR="002A21AE" w:rsidRDefault="002A21AE">
      <w:pPr>
        <w:pStyle w:val="ListBullet"/>
      </w:pPr>
      <w:r>
        <w:t>VBECS permanently disallows electronic crossmatch (eXM) for this patient.</w:t>
      </w:r>
    </w:p>
    <w:p w14:paraId="154706F7" w14:textId="77777777" w:rsidR="002A21AE" w:rsidRDefault="002A21AE">
      <w:pPr>
        <w:pStyle w:val="Heading4"/>
      </w:pPr>
      <w:r>
        <w:t>Limitations and Restrictions</w:t>
      </w:r>
    </w:p>
    <w:p w14:paraId="60E2E667" w14:textId="77777777" w:rsidR="002A21AE" w:rsidRDefault="002A21AE">
      <w:pPr>
        <w:pStyle w:val="ListBullet"/>
      </w:pPr>
      <w:r>
        <w:t>VBECS does not allow the selection or issue of certain blood components that may appear ABO/Rh compatible when discrepant ABO/Rh results are not justified.</w:t>
      </w:r>
    </w:p>
    <w:p w14:paraId="7BADF1DA" w14:textId="77777777" w:rsidR="002A21AE" w:rsidRDefault="002A21AE">
      <w:pPr>
        <w:pStyle w:val="Heading4"/>
      </w:pPr>
      <w:r>
        <w:t>Additional Information</w:t>
      </w:r>
      <w:r>
        <w:rPr>
          <w:rFonts w:ascii="Times New Roman" w:hAnsi="Times New Roman"/>
          <w:i/>
          <w:color w:val="0000FF"/>
          <w:sz w:val="24"/>
        </w:rPr>
        <w:t xml:space="preserve"> </w:t>
      </w:r>
    </w:p>
    <w:p w14:paraId="5B2442BD" w14:textId="77777777" w:rsidR="002A21AE" w:rsidRDefault="002A21AE">
      <w:pPr>
        <w:pStyle w:val="ListBullet"/>
      </w:pPr>
      <w:r>
        <w:rPr>
          <w:rFonts w:ascii="Arial" w:hAnsi="Arial" w:cs="Arial"/>
          <w:vanish/>
          <w:spacing w:val="0"/>
          <w:sz w:val="18"/>
        </w:rPr>
        <w:t xml:space="preserve">BR_100.07 </w:t>
      </w:r>
      <w:r>
        <w:t>When the discrepant ABO/Rh tests are on the same specimen, the user may not justify the patient’s ABO/Rh.</w:t>
      </w:r>
    </w:p>
    <w:p w14:paraId="192120F5" w14:textId="77777777" w:rsidR="002A21AE" w:rsidRDefault="002A21AE">
      <w:pPr>
        <w:pStyle w:val="ListBullet"/>
      </w:pPr>
      <w:r>
        <w:t xml:space="preserve">Do not use this option for ABO/Rh discrepancies that occur because the patient had a recent transfusion of a component of a type other than his own. </w:t>
      </w:r>
    </w:p>
    <w:p w14:paraId="26FA17BE" w14:textId="77777777" w:rsidR="002A21AE" w:rsidRDefault="002A21AE">
      <w:pPr>
        <w:pStyle w:val="ListBullet"/>
      </w:pPr>
      <w:r>
        <w:t>ABO/Rh discrepancies that occur because the previously tested or current specimen was tested in error are handled by inactivating the previously recorded test results through Invalidate Test Results.</w:t>
      </w:r>
    </w:p>
    <w:p w14:paraId="636DAB77" w14:textId="77777777" w:rsidR="002A21AE" w:rsidRDefault="002A21AE">
      <w:pPr>
        <w:pStyle w:val="ListBullet"/>
      </w:pPr>
      <w:r>
        <w:t xml:space="preserve">Subsequent specimens may need to be justified in the presence of continued discrepant ABO results. </w:t>
      </w:r>
    </w:p>
    <w:p w14:paraId="0157CD19" w14:textId="77777777" w:rsidR="002A21AE" w:rsidRDefault="002A21AE">
      <w:pPr>
        <w:pStyle w:val="ListBullet"/>
      </w:pPr>
      <w:r>
        <w:t>This option is used in rare clinical situations such as following bone marrow transplant.</w:t>
      </w:r>
    </w:p>
    <w:p w14:paraId="2063FBE5" w14:textId="77777777" w:rsidR="002A21AE" w:rsidRDefault="002A21AE">
      <w:pPr>
        <w:pStyle w:val="Heading4"/>
        <w:rPr>
          <w:b w:val="0"/>
        </w:rPr>
      </w:pPr>
      <w:r>
        <w:t>User Roles with Access to This Option</w:t>
      </w:r>
      <w:r>
        <w:rPr>
          <w:b w:val="0"/>
        </w:rPr>
        <w:t xml:space="preserve"> </w:t>
      </w:r>
    </w:p>
    <w:p w14:paraId="36C3426E" w14:textId="77777777" w:rsidR="002A21AE" w:rsidRDefault="00FE459D" w:rsidP="00FE459D">
      <w:pPr>
        <w:pStyle w:val="Roles"/>
        <w:rPr>
          <w:snapToGrid w:val="0"/>
        </w:rPr>
      </w:pPr>
      <w:r w:rsidRPr="00FE459D">
        <w:rPr>
          <w:rFonts w:ascii="Wingdings 3" w:hAnsi="Wingdings 3"/>
        </w:rPr>
        <w:t></w:t>
      </w:r>
      <w:r w:rsidRPr="00FE459D">
        <w:rPr>
          <w:rFonts w:ascii="Wingdings 3" w:hAnsi="Wingdings 3"/>
        </w:rPr>
        <w:t></w:t>
      </w:r>
      <w:r w:rsidRPr="00FE459D">
        <w:rPr>
          <w:rFonts w:ascii="Wingdings 3" w:hAnsi="Wingdings 3"/>
        </w:rPr>
        <w:t></w:t>
      </w:r>
      <w:r w:rsidRPr="00FE459D">
        <w:rPr>
          <w:rFonts w:ascii="Wingdings 3" w:hAnsi="Wingdings 3"/>
        </w:rPr>
        <w:t></w:t>
      </w:r>
      <w:r>
        <w:t xml:space="preserve"> Traditional Supervisor</w:t>
      </w:r>
    </w:p>
    <w:p w14:paraId="7BD84AD0" w14:textId="77777777" w:rsidR="002A21AE" w:rsidRDefault="002A21AE">
      <w:pPr>
        <w:pStyle w:val="Heading4"/>
      </w:pPr>
      <w:r>
        <w:t>Justify ABO/Rh Change</w:t>
      </w:r>
    </w:p>
    <w:p w14:paraId="33BB15C9" w14:textId="77777777" w:rsidR="002A21AE" w:rsidRDefault="002A21AE" w:rsidP="00FA7E65">
      <w:pPr>
        <w:pStyle w:val="BodyText"/>
      </w:pPr>
      <w:r>
        <w:t>The user determines that the patient’s current ABO/Rh testing results are valid, although they differ from previously recorded results, and that the patient requires a justification indicator on his record.</w:t>
      </w:r>
    </w:p>
    <w:p w14:paraId="2B3F7C30" w14:textId="77777777" w:rsidR="00E661A1" w:rsidRDefault="002A21AE" w:rsidP="00FA7E65">
      <w:pPr>
        <w:pStyle w:val="BodyText"/>
      </w:pPr>
      <w:r>
        <w:t>This option is used only when both the previous specimen testing and the current specimen testing are considered valid. There is a valid explanation for why the ABO/Rh interpretations do not match and invalidation of the test result is not appropriate. Once the current patient ABO/Rh result change is justified, VBECS marks the patient’s record so that special handling for component orders for the patient apply from this</w:t>
      </w:r>
      <w:r w:rsidRPr="00D86197">
        <w:rPr>
          <w:b/>
        </w:rPr>
        <w:t xml:space="preserve"> </w:t>
      </w:r>
      <w:r w:rsidRPr="00A752B1">
        <w:t>p</w:t>
      </w:r>
      <w:r>
        <w:t>oint forward and remain in effect until the patient record is inactivated by the recording of his death in VBECS or by removing the justification.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0EDB4930" w14:textId="77777777">
        <w:trPr>
          <w:cantSplit/>
          <w:tblHeader/>
        </w:trPr>
        <w:tc>
          <w:tcPr>
            <w:tcW w:w="3240" w:type="dxa"/>
            <w:shd w:val="pct30" w:color="auto" w:fill="FFFFFF"/>
            <w:vAlign w:val="bottom"/>
          </w:tcPr>
          <w:p w14:paraId="4193F9E8" w14:textId="39C3BD67" w:rsidR="002A21AE" w:rsidRDefault="00E661A1">
            <w:pPr>
              <w:pStyle w:val="TableText"/>
              <w:rPr>
                <w:b/>
              </w:rPr>
            </w:pPr>
            <w:r>
              <w:lastRenderedPageBreak/>
              <w:br w:type="page"/>
            </w:r>
            <w:r w:rsidR="002A21AE">
              <w:rPr>
                <w:b/>
              </w:rPr>
              <w:t>User Action</w:t>
            </w:r>
          </w:p>
        </w:tc>
        <w:tc>
          <w:tcPr>
            <w:tcW w:w="6120" w:type="dxa"/>
            <w:shd w:val="pct30" w:color="auto" w:fill="FFFFFF"/>
            <w:vAlign w:val="bottom"/>
          </w:tcPr>
          <w:p w14:paraId="64E70C99" w14:textId="77777777" w:rsidR="002A21AE" w:rsidRDefault="002A21AE">
            <w:pPr>
              <w:pStyle w:val="TableText"/>
              <w:rPr>
                <w:b/>
              </w:rPr>
            </w:pPr>
            <w:r>
              <w:rPr>
                <w:b/>
              </w:rPr>
              <w:t>VBECS</w:t>
            </w:r>
          </w:p>
        </w:tc>
      </w:tr>
      <w:tr w:rsidR="002A21AE" w14:paraId="14FAC8D7" w14:textId="77777777">
        <w:tc>
          <w:tcPr>
            <w:tcW w:w="3240" w:type="dxa"/>
          </w:tcPr>
          <w:p w14:paraId="0D9376BB" w14:textId="77777777" w:rsidR="002A21AE" w:rsidRDefault="002A21AE">
            <w:pPr>
              <w:pStyle w:val="TableTextNumbers"/>
            </w:pPr>
            <w:r>
              <w:t xml:space="preserve">Select </w:t>
            </w:r>
            <w:r>
              <w:rPr>
                <w:b/>
              </w:rPr>
              <w:t>Supervisor</w:t>
            </w:r>
            <w:r>
              <w:t xml:space="preserve"> from the main menu.</w:t>
            </w:r>
          </w:p>
          <w:p w14:paraId="6D3E9190" w14:textId="77777777" w:rsidR="002A21AE" w:rsidRDefault="002A21AE">
            <w:pPr>
              <w:pStyle w:val="TableTextNumbersContinued"/>
            </w:pPr>
          </w:p>
          <w:p w14:paraId="146332E8" w14:textId="77777777" w:rsidR="002A21AE" w:rsidRDefault="002A21AE">
            <w:pPr>
              <w:pStyle w:val="TableTextNumbersContinued"/>
            </w:pPr>
            <w:r>
              <w:t xml:space="preserve">Select </w:t>
            </w:r>
            <w:r>
              <w:rPr>
                <w:b/>
              </w:rPr>
              <w:t>Justify ABO/Rh Change</w:t>
            </w:r>
            <w:r>
              <w:t>.</w:t>
            </w:r>
          </w:p>
        </w:tc>
        <w:tc>
          <w:tcPr>
            <w:tcW w:w="6120" w:type="dxa"/>
          </w:tcPr>
          <w:p w14:paraId="3CA4AFD8" w14:textId="77777777" w:rsidR="002A21AE" w:rsidRDefault="002A21AE">
            <w:pPr>
              <w:pStyle w:val="TableTextBullet"/>
            </w:pPr>
            <w:r>
              <w:t>Displays options available to supervisors.</w:t>
            </w:r>
          </w:p>
        </w:tc>
      </w:tr>
      <w:tr w:rsidR="002A21AE" w14:paraId="1520E1BB" w14:textId="77777777">
        <w:tc>
          <w:tcPr>
            <w:tcW w:w="3240" w:type="dxa"/>
          </w:tcPr>
          <w:p w14:paraId="73F78BA3" w14:textId="77777777" w:rsidR="002A21AE" w:rsidRDefault="002A21AE">
            <w:pPr>
              <w:pStyle w:val="TableTextNumbers"/>
            </w:pPr>
            <w:r>
              <w:t xml:space="preserve">Enter a patient name in the Patient field and click </w:t>
            </w:r>
            <w:r>
              <w:rPr>
                <w:b/>
                <w:bCs/>
              </w:rPr>
              <w:t>Search</w:t>
            </w:r>
            <w:r>
              <w:t xml:space="preserve"> to select a patient. </w:t>
            </w:r>
          </w:p>
          <w:p w14:paraId="7AB4DA82" w14:textId="77777777" w:rsidR="002A21AE" w:rsidRDefault="002A21AE">
            <w:pPr>
              <w:pStyle w:val="TableTextNumbersContinued"/>
            </w:pPr>
          </w:p>
          <w:p w14:paraId="072F9575" w14:textId="77777777" w:rsidR="002A21AE" w:rsidRDefault="002A21AE">
            <w:pPr>
              <w:pStyle w:val="TableTextNumbersContinued"/>
            </w:pPr>
            <w:r>
              <w:t>Select a patient.</w:t>
            </w:r>
          </w:p>
          <w:p w14:paraId="47855018" w14:textId="77777777" w:rsidR="00D86197" w:rsidRDefault="00D86197">
            <w:pPr>
              <w:pStyle w:val="TableTextNumbersContinued"/>
            </w:pPr>
          </w:p>
          <w:p w14:paraId="605E7119" w14:textId="77777777" w:rsidR="00D86197" w:rsidRDefault="00D86197">
            <w:pPr>
              <w:pStyle w:val="TableTextNumbersContinued"/>
            </w:pPr>
            <w:r>
              <w:t xml:space="preserve">Click </w:t>
            </w:r>
            <w:r w:rsidRPr="00D86197">
              <w:rPr>
                <w:b/>
              </w:rPr>
              <w:t>OK</w:t>
            </w:r>
            <w:r>
              <w:t>.</w:t>
            </w:r>
          </w:p>
        </w:tc>
        <w:tc>
          <w:tcPr>
            <w:tcW w:w="6120" w:type="dxa"/>
          </w:tcPr>
          <w:p w14:paraId="2225B7C2" w14:textId="77777777" w:rsidR="002A21AE" w:rsidRDefault="002A21AE">
            <w:pPr>
              <w:pStyle w:val="TableTextBullet"/>
            </w:pPr>
            <w:r>
              <w:t>Displays a screen for patient selection.</w:t>
            </w:r>
          </w:p>
          <w:p w14:paraId="1C0741A1" w14:textId="77777777" w:rsidR="002A21AE" w:rsidRDefault="002A21AE">
            <w:pPr>
              <w:pStyle w:val="TableTextBullet"/>
            </w:pPr>
            <w:r>
              <w:t>Disallows the justification or allows the user to continue.</w:t>
            </w:r>
          </w:p>
          <w:p w14:paraId="5D6D8126" w14:textId="77777777" w:rsidR="002A21AE" w:rsidRDefault="002A21AE">
            <w:pPr>
              <w:pStyle w:val="TableText"/>
            </w:pPr>
          </w:p>
          <w:p w14:paraId="4D006978" w14:textId="77777777" w:rsidR="002A21AE" w:rsidRDefault="00057948">
            <w:pPr>
              <w:pStyle w:val="TableText"/>
              <w:rPr>
                <w:b/>
                <w:bCs/>
                <w:szCs w:val="18"/>
              </w:rPr>
            </w:pPr>
            <w:r>
              <w:rPr>
                <w:b/>
                <w:bCs/>
                <w:noProof/>
              </w:rPr>
              <mc:AlternateContent>
                <mc:Choice Requires="wps">
                  <w:drawing>
                    <wp:anchor distT="0" distB="0" distL="114300" distR="114300" simplePos="0" relativeHeight="251494912" behindDoc="0" locked="0" layoutInCell="1" allowOverlap="1" wp14:anchorId="1F03B45A" wp14:editId="05F32DA0">
                      <wp:simplePos x="0" y="0"/>
                      <wp:positionH relativeFrom="column">
                        <wp:posOffset>457200</wp:posOffset>
                      </wp:positionH>
                      <wp:positionV relativeFrom="paragraph">
                        <wp:posOffset>65405</wp:posOffset>
                      </wp:positionV>
                      <wp:extent cx="3200400" cy="0"/>
                      <wp:effectExtent l="9525" t="17780" r="9525" b="10795"/>
                      <wp:wrapNone/>
                      <wp:docPr id="311" name="Line 806" descr="P9353C6T10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DBE41" id="Line 806" o:spid="_x0000_s1026" alt="&quot;&quot;" style="position:absolute;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nqv/J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23DAF231" w14:textId="77777777" w:rsidR="002A21AE" w:rsidRDefault="002A21AE">
            <w:pPr>
              <w:pStyle w:val="NotesText"/>
            </w:pPr>
          </w:p>
          <w:p w14:paraId="218A1439" w14:textId="77777777" w:rsidR="002A21AE" w:rsidRDefault="002A21AE">
            <w:pPr>
              <w:pStyle w:val="NotesText"/>
            </w:pPr>
            <w:r>
              <w:rPr>
                <w:rFonts w:cs="Arial"/>
                <w:vanish/>
              </w:rPr>
              <w:t xml:space="preserve">BR_100.01 </w:t>
            </w:r>
            <w:r>
              <w:t>VBECS compares the results of the current ABO/Rh with the previous ABO/Rh results. When there is no discrepancy, VBECS warns that no justification is required. There is no override. VBECS clears the screen and the user may select another patient.</w:t>
            </w:r>
          </w:p>
          <w:p w14:paraId="4936A10E" w14:textId="77777777" w:rsidR="002A21AE" w:rsidRDefault="002A21AE">
            <w:pPr>
              <w:pStyle w:val="NotesText"/>
            </w:pPr>
          </w:p>
          <w:p w14:paraId="301BA815" w14:textId="77777777" w:rsidR="002A21AE" w:rsidRDefault="002A21AE">
            <w:pPr>
              <w:pStyle w:val="NotesText"/>
            </w:pPr>
            <w:r>
              <w:rPr>
                <w:rFonts w:cs="Arial"/>
                <w:vanish/>
              </w:rPr>
              <w:t xml:space="preserve">BR_100.06 </w:t>
            </w:r>
            <w:r>
              <w:t>VBECS warns the user to use this option only when both the current and previous specimen tests are valid, otherwise, use Invalidate</w:t>
            </w:r>
            <w:r w:rsidR="008902F4">
              <w:t xml:space="preserve"> Patient Test</w:t>
            </w:r>
            <w:r>
              <w:t xml:space="preserve"> Results.</w:t>
            </w:r>
          </w:p>
          <w:p w14:paraId="159839E2" w14:textId="77777777" w:rsidR="00DA3007" w:rsidRDefault="00DA3007">
            <w:pPr>
              <w:pStyle w:val="NotesText"/>
            </w:pPr>
          </w:p>
          <w:p w14:paraId="4FCD6177" w14:textId="6A681E3D" w:rsidR="00DA3007" w:rsidRDefault="00DA3007">
            <w:pPr>
              <w:pStyle w:val="NotesText"/>
            </w:pPr>
            <w:r>
              <w:t>W</w:t>
            </w:r>
            <w:r w:rsidRPr="00DA3007">
              <w:t>hen</w:t>
            </w:r>
            <w:r>
              <w:t xml:space="preserve"> initially displayed, the patient name field </w:t>
            </w:r>
            <w:r w:rsidRPr="00DA3007">
              <w:t>may not display the expanded field.</w:t>
            </w:r>
            <w:r>
              <w:t xml:space="preserve"> </w:t>
            </w:r>
            <w:r w:rsidRPr="00DA3007">
              <w:t>Maximize the window to display the expanded (full name) field for long patient names.</w:t>
            </w:r>
            <w:r w:rsidR="00244AD3">
              <w:t xml:space="preserve"> </w:t>
            </w:r>
            <w:r w:rsidR="00244AD3" w:rsidRPr="00244AD3">
              <w:rPr>
                <w:vanish/>
              </w:rPr>
              <w:t>Defect 208846</w:t>
            </w:r>
          </w:p>
        </w:tc>
      </w:tr>
      <w:tr w:rsidR="002A21AE" w14:paraId="2E3B3960" w14:textId="77777777">
        <w:tc>
          <w:tcPr>
            <w:tcW w:w="3240" w:type="dxa"/>
          </w:tcPr>
          <w:p w14:paraId="2980920F" w14:textId="45532D06" w:rsidR="002A21AE" w:rsidRDefault="002A21AE">
            <w:pPr>
              <w:pStyle w:val="TableTextNumbers"/>
            </w:pPr>
            <w:r>
              <w:t>Select an ABO/Rh interpretation as the patient’s justified historical record</w:t>
            </w:r>
            <w:r w:rsidR="0052270D">
              <w:t xml:space="preserve"> (</w:t>
            </w:r>
            <w:r w:rsidR="00830A4C">
              <w:fldChar w:fldCharType="begin" w:fldLock="1"/>
            </w:r>
            <w:r w:rsidR="00830A4C">
              <w:instrText xml:space="preserve"> REF _Ref128535822 \h </w:instrText>
            </w:r>
            <w:r w:rsidR="00830A4C">
              <w:fldChar w:fldCharType="separate"/>
            </w:r>
            <w:r w:rsidR="00AB304C">
              <w:t xml:space="preserve">Figure </w:t>
            </w:r>
            <w:r w:rsidR="00AB304C">
              <w:rPr>
                <w:noProof/>
              </w:rPr>
              <w:t>144</w:t>
            </w:r>
            <w:r w:rsidR="00830A4C">
              <w:fldChar w:fldCharType="end"/>
            </w:r>
            <w:r w:rsidR="0052270D">
              <w:t>)</w:t>
            </w:r>
            <w:r>
              <w:t>.</w:t>
            </w:r>
          </w:p>
        </w:tc>
        <w:tc>
          <w:tcPr>
            <w:tcW w:w="6120" w:type="dxa"/>
          </w:tcPr>
          <w:p w14:paraId="44701C18" w14:textId="77777777" w:rsidR="002A21AE" w:rsidRDefault="002A21AE">
            <w:pPr>
              <w:pStyle w:val="TableTextBullet"/>
            </w:pPr>
            <w:r>
              <w:t xml:space="preserve">Displays details of the historic and current ABO/Rh testing for comparison and a list of available ABO and Rh types for user selection. </w:t>
            </w:r>
          </w:p>
          <w:p w14:paraId="1BF2ABF9" w14:textId="77777777" w:rsidR="002A21AE" w:rsidRDefault="002A21AE">
            <w:pPr>
              <w:pStyle w:val="TableTextBullet"/>
            </w:pPr>
            <w:r>
              <w:t>Requires a comment to continue.</w:t>
            </w:r>
          </w:p>
          <w:p w14:paraId="47BC2E79" w14:textId="77777777" w:rsidR="002A21AE" w:rsidRDefault="002A21AE">
            <w:pPr>
              <w:pStyle w:val="TableText"/>
            </w:pPr>
          </w:p>
          <w:p w14:paraId="194FA895" w14:textId="77777777" w:rsidR="002A21AE" w:rsidRDefault="00057948">
            <w:pPr>
              <w:pStyle w:val="TableText"/>
              <w:rPr>
                <w:b/>
                <w:bCs/>
                <w:szCs w:val="18"/>
              </w:rPr>
            </w:pPr>
            <w:r>
              <w:rPr>
                <w:b/>
                <w:bCs/>
                <w:noProof/>
              </w:rPr>
              <mc:AlternateContent>
                <mc:Choice Requires="wps">
                  <w:drawing>
                    <wp:anchor distT="0" distB="0" distL="114300" distR="114300" simplePos="0" relativeHeight="251492864" behindDoc="0" locked="0" layoutInCell="1" allowOverlap="1" wp14:anchorId="3B602CAE" wp14:editId="5D2A04F3">
                      <wp:simplePos x="0" y="0"/>
                      <wp:positionH relativeFrom="column">
                        <wp:posOffset>457200</wp:posOffset>
                      </wp:positionH>
                      <wp:positionV relativeFrom="paragraph">
                        <wp:posOffset>65405</wp:posOffset>
                      </wp:positionV>
                      <wp:extent cx="3200400" cy="0"/>
                      <wp:effectExtent l="9525" t="17780" r="9525" b="10795"/>
                      <wp:wrapNone/>
                      <wp:docPr id="310" name="Line 805" descr="P9365C8T10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A6525" id="Line 805" o:spid="_x0000_s1026" alt="&quot;&quot;" style="position:absolute;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Dluf71wgEAAG4DAAAOAAAAAAAAAAAAAAAAAC4C&#10;AABkcnMvZTJvRG9jLnhtbFBLAQItABQABgAIAAAAIQAXTzAS2wAAAAgBAAAPAAAAAAAAAAAAAAAA&#10;ABwEAABkcnMvZG93bnJldi54bWxQSwUGAAAAAAQABADzAAAAJAUAAAAA&#10;" strokeweight="1.5pt"/>
                  </w:pict>
                </mc:Fallback>
              </mc:AlternateContent>
            </w:r>
            <w:r w:rsidR="002A21AE">
              <w:rPr>
                <w:b/>
                <w:bCs/>
                <w:szCs w:val="18"/>
              </w:rPr>
              <w:t>NOTES</w:t>
            </w:r>
          </w:p>
          <w:p w14:paraId="200320B1" w14:textId="77777777" w:rsidR="002A21AE" w:rsidRDefault="002A21AE">
            <w:pPr>
              <w:pStyle w:val="NotesText"/>
            </w:pPr>
          </w:p>
          <w:p w14:paraId="3309E17F" w14:textId="77777777" w:rsidR="002A21AE" w:rsidRDefault="002A21AE">
            <w:pPr>
              <w:pStyle w:val="NotesText"/>
            </w:pPr>
            <w:r>
              <w:rPr>
                <w:rFonts w:cs="Arial"/>
                <w:vanish/>
              </w:rPr>
              <w:t xml:space="preserve">BR_100.04 </w:t>
            </w:r>
            <w:r>
              <w:t>The user may select one ABO group and one Rh type for the patient to serve as the justified ABO/Rh typing in the historic record. VBECS displays the current ABO and Rh interpretations as the defaults.</w:t>
            </w:r>
          </w:p>
          <w:p w14:paraId="1D1C8BA6" w14:textId="77777777" w:rsidR="002A21AE" w:rsidRDefault="002A21AE">
            <w:pPr>
              <w:pStyle w:val="NotesText"/>
            </w:pPr>
          </w:p>
          <w:p w14:paraId="6B260FDB" w14:textId="77777777" w:rsidR="002A21AE" w:rsidRDefault="002A21AE">
            <w:pPr>
              <w:pStyle w:val="NotesText"/>
            </w:pPr>
            <w:r>
              <w:rPr>
                <w:rFonts w:cs="Arial"/>
                <w:vanish/>
              </w:rPr>
              <w:t xml:space="preserve">BR_100.02 </w:t>
            </w:r>
            <w:r>
              <w:t>VBECS requires a comment to continue.</w:t>
            </w:r>
          </w:p>
        </w:tc>
      </w:tr>
      <w:tr w:rsidR="002A21AE" w14:paraId="7A2CEF1E" w14:textId="77777777">
        <w:tc>
          <w:tcPr>
            <w:tcW w:w="3240" w:type="dxa"/>
          </w:tcPr>
          <w:p w14:paraId="3114D23F" w14:textId="77777777" w:rsidR="002A21AE" w:rsidRDefault="002A21AE">
            <w:pPr>
              <w:pStyle w:val="TableTextNumbers"/>
            </w:pPr>
            <w:r>
              <w:t xml:space="preserve">Confirm the update of the database with the justified ABO/Rh. </w:t>
            </w:r>
          </w:p>
          <w:p w14:paraId="06D28179" w14:textId="77777777" w:rsidR="002A21AE" w:rsidRDefault="002A21AE">
            <w:pPr>
              <w:pStyle w:val="TableTextNumbersContinued"/>
            </w:pPr>
          </w:p>
          <w:p w14:paraId="54BDB67A" w14:textId="77777777" w:rsidR="002A21AE" w:rsidRDefault="002A21AE">
            <w:pPr>
              <w:pStyle w:val="TableTextNumbersContinued"/>
            </w:pPr>
            <w:r>
              <w:t xml:space="preserve">Exit.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14:paraId="0D0E5704" w14:textId="77777777" w:rsidR="002A21AE" w:rsidRDefault="002A21AE">
            <w:pPr>
              <w:pStyle w:val="TableTextBullet"/>
            </w:pPr>
            <w:r>
              <w:t>Updates the patient record.</w:t>
            </w:r>
          </w:p>
        </w:tc>
      </w:tr>
    </w:tbl>
    <w:p w14:paraId="28DE5AB8" w14:textId="1CCB1C3B" w:rsidR="00830A4C" w:rsidRDefault="00830A4C" w:rsidP="00830A4C">
      <w:pPr>
        <w:pStyle w:val="Caption"/>
      </w:pPr>
      <w:bookmarkStart w:id="546" w:name="_Ref128535822"/>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144</w:t>
      </w:r>
      <w:r w:rsidR="004E20BD">
        <w:rPr>
          <w:noProof/>
        </w:rPr>
        <w:fldChar w:fldCharType="end"/>
      </w:r>
      <w:bookmarkEnd w:id="546"/>
      <w:r>
        <w:t>: Justify ABO/Rh Change</w:t>
      </w:r>
    </w:p>
    <w:p w14:paraId="754B1264" w14:textId="77777777" w:rsidR="00830A4C" w:rsidRDefault="00057948" w:rsidP="00830A4C">
      <w:pPr>
        <w:pStyle w:val="BodyText"/>
      </w:pPr>
      <w:r>
        <w:rPr>
          <w:noProof/>
        </w:rPr>
        <w:drawing>
          <wp:inline distT="0" distB="0" distL="0" distR="0" wp14:anchorId="300F4409" wp14:editId="300CD677">
            <wp:extent cx="4572000" cy="3204845"/>
            <wp:effectExtent l="0" t="0" r="0" b="0"/>
            <wp:docPr id="261" name="Picture 261" descr="P9377#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P9377#yIS1">
                      <a:extLst>
                        <a:ext uri="{C183D7F6-B498-43B3-948B-1728B52AA6E4}">
                          <adec:decorative xmlns:adec="http://schemas.microsoft.com/office/drawing/2017/decorative" val="1"/>
                        </a:ext>
                      </a:extLst>
                    </pic:cNvPr>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572000" cy="3204845"/>
                    </a:xfrm>
                    <a:prstGeom prst="rect">
                      <a:avLst/>
                    </a:prstGeom>
                    <a:noFill/>
                    <a:ln>
                      <a:noFill/>
                    </a:ln>
                  </pic:spPr>
                </pic:pic>
              </a:graphicData>
            </a:graphic>
          </wp:inline>
        </w:drawing>
      </w:r>
    </w:p>
    <w:p w14:paraId="0EBD38B0" w14:textId="75642362" w:rsidR="009D0008" w:rsidRPr="009D0008" w:rsidRDefault="00714F12" w:rsidP="009D0008">
      <w:pPr>
        <w:jc w:val="center"/>
        <w:rPr>
          <w:sz w:val="22"/>
          <w:szCs w:val="22"/>
        </w:rPr>
      </w:pPr>
      <w:r w:rsidRPr="009D0008">
        <w:rPr>
          <w:sz w:val="22"/>
          <w:szCs w:val="22"/>
        </w:rPr>
        <w:br w:type="page"/>
      </w:r>
      <w:r w:rsidR="009D0008" w:rsidRPr="009D0008">
        <w:rPr>
          <w:sz w:val="22"/>
          <w:szCs w:val="22"/>
        </w:rPr>
        <w:lastRenderedPageBreak/>
        <w:t>This page intentionally left blank.</w:t>
      </w:r>
    </w:p>
    <w:p w14:paraId="623B94E9" w14:textId="77777777" w:rsidR="009D0008" w:rsidRDefault="009D0008">
      <w:pPr>
        <w:rPr>
          <w:sz w:val="22"/>
          <w:szCs w:val="22"/>
        </w:rPr>
      </w:pPr>
      <w:r>
        <w:rPr>
          <w:sz w:val="22"/>
          <w:szCs w:val="22"/>
        </w:rPr>
        <w:br w:type="page"/>
      </w:r>
    </w:p>
    <w:p w14:paraId="76845753" w14:textId="77777777" w:rsidR="009D0008" w:rsidRPr="009D0008" w:rsidRDefault="009D0008" w:rsidP="009D0008">
      <w:pPr>
        <w:jc w:val="center"/>
        <w:rPr>
          <w:sz w:val="22"/>
          <w:szCs w:val="22"/>
        </w:rPr>
      </w:pPr>
    </w:p>
    <w:p w14:paraId="5C0D8674" w14:textId="0E147DEF" w:rsidR="007A4841" w:rsidRDefault="007A4841" w:rsidP="007A49E1">
      <w:pPr>
        <w:pStyle w:val="Heading1"/>
      </w:pPr>
      <w:bookmarkStart w:id="547" w:name="_Toc4588829"/>
      <w:r>
        <w:t>Automated Testing</w:t>
      </w:r>
      <w:bookmarkEnd w:id="547"/>
      <w:r w:rsidRPr="00B31DA1">
        <w:rPr>
          <w:vanish/>
        </w:rPr>
        <w:t>{ XE “Automated Testing” }</w:t>
      </w:r>
      <w:r w:rsidRPr="00B31DA1">
        <w:rPr>
          <w:i/>
          <w:vanish/>
        </w:rPr>
        <w:t>UC_114, UC_115</w:t>
      </w:r>
    </w:p>
    <w:p w14:paraId="0DEC015C" w14:textId="77777777" w:rsidR="00B45FA2" w:rsidRDefault="00B45FA2" w:rsidP="007A4841">
      <w:pPr>
        <w:pStyle w:val="Heading2"/>
      </w:pPr>
      <w:bookmarkStart w:id="548" w:name="_Toc4588830"/>
      <w:r>
        <w:t>Automated Testing Interface</w:t>
      </w:r>
      <w:bookmarkEnd w:id="548"/>
      <w:r>
        <w:fldChar w:fldCharType="begin"/>
      </w:r>
      <w:r>
        <w:instrText xml:space="preserve"> XE “Automated Testing Interface” </w:instrText>
      </w:r>
      <w:r>
        <w:fldChar w:fldCharType="end"/>
      </w:r>
      <w:r>
        <w:t xml:space="preserve"> </w:t>
      </w:r>
      <w:r>
        <w:rPr>
          <w:rFonts w:ascii="Times New Roman" w:hAnsi="Times New Roman" w:cs="Times New Roman"/>
          <w:b w:val="0"/>
          <w:i w:val="0"/>
          <w:vanish/>
          <w:sz w:val="22"/>
        </w:rPr>
        <w:t>UC_114</w:t>
      </w:r>
    </w:p>
    <w:p w14:paraId="31FCEB82" w14:textId="77777777" w:rsidR="007B52EA" w:rsidRDefault="00B45FA2" w:rsidP="00B45FA2">
      <w:pPr>
        <w:pStyle w:val="BodyText"/>
      </w:pPr>
      <w:r w:rsidRPr="00311A54">
        <w:t xml:space="preserve">The user </w:t>
      </w:r>
      <w:r w:rsidR="0081699D" w:rsidRPr="00311A54">
        <w:t>sends test results to VBECS</w:t>
      </w:r>
      <w:r w:rsidR="00F27904">
        <w:t xml:space="preserve"> from an automated instrument</w:t>
      </w:r>
      <w:r w:rsidRPr="00311A54">
        <w:t>.</w:t>
      </w:r>
    </w:p>
    <w:p w14:paraId="4EE39FD6" w14:textId="1B42A9DD" w:rsidR="007B52EA" w:rsidRDefault="007B52EA" w:rsidP="007B52EA">
      <w:pPr>
        <w:pStyle w:val="BodyText"/>
      </w:pPr>
      <w:r>
        <w:t xml:space="preserve">For details about interface configuration please refer to the </w:t>
      </w:r>
      <w:r w:rsidR="00531617" w:rsidRPr="00531617">
        <w:rPr>
          <w:i/>
        </w:rPr>
        <w:t>VistA Blood Establishment Computer Software (</w:t>
      </w:r>
      <w:r w:rsidRPr="00531617">
        <w:rPr>
          <w:i/>
        </w:rPr>
        <w:t>VBECS</w:t>
      </w:r>
      <w:r w:rsidR="00B03BDD">
        <w:rPr>
          <w:i/>
        </w:rPr>
        <w:t>) 2.3.1</w:t>
      </w:r>
      <w:r w:rsidRPr="00531617">
        <w:rPr>
          <w:i/>
        </w:rPr>
        <w:t xml:space="preserve"> Technical Manual-Security Guide</w:t>
      </w:r>
      <w:r w:rsidR="004A1C69">
        <w:t>.</w:t>
      </w:r>
    </w:p>
    <w:p w14:paraId="0D77A4C5" w14:textId="77777777" w:rsidR="00B45FA2" w:rsidRDefault="00B45FA2" w:rsidP="00B45FA2">
      <w:pPr>
        <w:pStyle w:val="Heading4"/>
      </w:pPr>
      <w:r>
        <w:t>Assumptions</w:t>
      </w:r>
      <w:r>
        <w:rPr>
          <w:b w:val="0"/>
        </w:rPr>
        <w:t xml:space="preserve"> </w:t>
      </w:r>
    </w:p>
    <w:p w14:paraId="41F8CCBE" w14:textId="77777777" w:rsidR="004926E0" w:rsidRDefault="004926E0" w:rsidP="000409B1">
      <w:pPr>
        <w:pStyle w:val="TableTextBullet"/>
        <w:numPr>
          <w:ilvl w:val="0"/>
          <w:numId w:val="48"/>
        </w:numPr>
        <w:ind w:right="63"/>
        <w:rPr>
          <w:rFonts w:ascii="Times New Roman" w:hAnsi="Times New Roman"/>
          <w:spacing w:val="-5"/>
          <w:sz w:val="22"/>
          <w:szCs w:val="22"/>
        </w:rPr>
      </w:pPr>
      <w:r>
        <w:rPr>
          <w:rFonts w:ascii="Times New Roman" w:hAnsi="Times New Roman"/>
          <w:spacing w:val="-5"/>
          <w:sz w:val="22"/>
          <w:szCs w:val="22"/>
        </w:rPr>
        <w:t>Test Results have been reviewed and released on the instrument to be transmitted to VBECS.</w:t>
      </w:r>
      <w:r w:rsidR="00FC74A0">
        <w:rPr>
          <w:rFonts w:ascii="Times New Roman" w:hAnsi="Times New Roman"/>
          <w:spacing w:val="-5"/>
          <w:sz w:val="22"/>
          <w:szCs w:val="22"/>
        </w:rPr>
        <w:t xml:space="preserve"> </w:t>
      </w:r>
      <w:r w:rsidR="00FC74A0" w:rsidRPr="00FC74A0">
        <w:rPr>
          <w:rFonts w:ascii="Times New Roman" w:hAnsi="Times New Roman"/>
          <w:vanish/>
          <w:spacing w:val="-5"/>
          <w:sz w:val="22"/>
          <w:szCs w:val="22"/>
        </w:rPr>
        <w:t xml:space="preserve">Defect </w:t>
      </w:r>
      <w:r w:rsidR="00FC74A0" w:rsidRPr="00FC74A0">
        <w:rPr>
          <w:vanish/>
        </w:rPr>
        <w:t>357490</w:t>
      </w:r>
    </w:p>
    <w:p w14:paraId="00D37130" w14:textId="77777777" w:rsidR="00B45FA2" w:rsidRPr="00B23B06" w:rsidRDefault="00B45FA2" w:rsidP="000409B1">
      <w:pPr>
        <w:pStyle w:val="TableTextBullet"/>
        <w:numPr>
          <w:ilvl w:val="0"/>
          <w:numId w:val="48"/>
        </w:numPr>
        <w:ind w:right="63"/>
        <w:rPr>
          <w:rFonts w:ascii="Times New Roman" w:hAnsi="Times New Roman"/>
          <w:spacing w:val="-5"/>
          <w:sz w:val="22"/>
          <w:szCs w:val="22"/>
        </w:rPr>
      </w:pPr>
      <w:r w:rsidRPr="00B23B06">
        <w:rPr>
          <w:rFonts w:ascii="Times New Roman" w:hAnsi="Times New Roman"/>
          <w:spacing w:val="-5"/>
          <w:sz w:val="22"/>
          <w:szCs w:val="22"/>
        </w:rPr>
        <w:t>A patient testing order must be accepted in VBECS and pending test results.</w:t>
      </w:r>
    </w:p>
    <w:p w14:paraId="4AAA01F3" w14:textId="77777777" w:rsidR="00B45FA2" w:rsidRPr="00B23B06" w:rsidRDefault="00B45FA2" w:rsidP="000409B1">
      <w:pPr>
        <w:pStyle w:val="TableTextBullet"/>
        <w:numPr>
          <w:ilvl w:val="0"/>
          <w:numId w:val="48"/>
        </w:numPr>
        <w:ind w:right="63"/>
        <w:rPr>
          <w:rFonts w:ascii="Times New Roman" w:hAnsi="Times New Roman"/>
          <w:spacing w:val="-5"/>
          <w:sz w:val="22"/>
          <w:szCs w:val="22"/>
        </w:rPr>
      </w:pPr>
      <w:r w:rsidRPr="00B23B06">
        <w:rPr>
          <w:rFonts w:ascii="Times New Roman" w:hAnsi="Times New Roman"/>
          <w:spacing w:val="-5"/>
          <w:sz w:val="22"/>
          <w:szCs w:val="22"/>
        </w:rPr>
        <w:t>A blood unit must be received in the VBECS division.</w:t>
      </w:r>
    </w:p>
    <w:p w14:paraId="77199401" w14:textId="77777777" w:rsidR="00B45FA2" w:rsidRPr="00B23B06" w:rsidRDefault="00B45FA2" w:rsidP="000409B1">
      <w:pPr>
        <w:pStyle w:val="TableTextBullet"/>
        <w:numPr>
          <w:ilvl w:val="0"/>
          <w:numId w:val="48"/>
        </w:numPr>
        <w:ind w:right="63"/>
        <w:rPr>
          <w:rFonts w:ascii="Times New Roman" w:hAnsi="Times New Roman"/>
          <w:spacing w:val="-5"/>
          <w:sz w:val="22"/>
          <w:szCs w:val="22"/>
        </w:rPr>
      </w:pPr>
      <w:r w:rsidRPr="00B23B06">
        <w:rPr>
          <w:rFonts w:ascii="Times New Roman" w:hAnsi="Times New Roman"/>
          <w:spacing w:val="-5"/>
          <w:sz w:val="22"/>
          <w:szCs w:val="22"/>
        </w:rPr>
        <w:t>The testing instrument is fully functional and available for use:  The instrument QC is completed and valid, no maintenance is required and test results are available for transmission to VBECS.</w:t>
      </w:r>
    </w:p>
    <w:p w14:paraId="2B4FCFAB" w14:textId="77777777" w:rsidR="00B45FA2" w:rsidRDefault="00B45FA2" w:rsidP="000409B1">
      <w:pPr>
        <w:pStyle w:val="TableTextBullet"/>
        <w:numPr>
          <w:ilvl w:val="0"/>
          <w:numId w:val="48"/>
        </w:numPr>
        <w:ind w:right="63"/>
        <w:rPr>
          <w:rFonts w:ascii="Times New Roman" w:hAnsi="Times New Roman"/>
          <w:spacing w:val="-5"/>
          <w:sz w:val="22"/>
          <w:szCs w:val="22"/>
        </w:rPr>
      </w:pPr>
      <w:r w:rsidRPr="00B23B06">
        <w:rPr>
          <w:rFonts w:ascii="Times New Roman" w:hAnsi="Times New Roman"/>
          <w:spacing w:val="-5"/>
          <w:sz w:val="22"/>
          <w:szCs w:val="22"/>
        </w:rPr>
        <w:t xml:space="preserve">Interface Control Parameters </w:t>
      </w:r>
      <w:r>
        <w:rPr>
          <w:rFonts w:ascii="Times New Roman" w:hAnsi="Times New Roman"/>
          <w:spacing w:val="-5"/>
          <w:sz w:val="22"/>
          <w:szCs w:val="22"/>
        </w:rPr>
        <w:t>have</w:t>
      </w:r>
      <w:r w:rsidRPr="00B23B06">
        <w:rPr>
          <w:rFonts w:ascii="Times New Roman" w:hAnsi="Times New Roman"/>
          <w:spacing w:val="-5"/>
          <w:sz w:val="22"/>
          <w:szCs w:val="22"/>
        </w:rPr>
        <w:t xml:space="preserve"> been completed and </w:t>
      </w:r>
      <w:r>
        <w:rPr>
          <w:rFonts w:ascii="Times New Roman" w:hAnsi="Times New Roman"/>
          <w:spacing w:val="-5"/>
          <w:sz w:val="22"/>
          <w:szCs w:val="22"/>
        </w:rPr>
        <w:t>are</w:t>
      </w:r>
      <w:r w:rsidRPr="00B23B06">
        <w:rPr>
          <w:rFonts w:ascii="Times New Roman" w:hAnsi="Times New Roman"/>
          <w:spacing w:val="-5"/>
          <w:sz w:val="22"/>
          <w:szCs w:val="22"/>
        </w:rPr>
        <w:t xml:space="preserve"> enabled for the automated instrument interface</w:t>
      </w:r>
      <w:r w:rsidR="00F27904">
        <w:rPr>
          <w:rFonts w:ascii="Times New Roman" w:hAnsi="Times New Roman"/>
          <w:spacing w:val="-5"/>
          <w:sz w:val="22"/>
          <w:szCs w:val="22"/>
        </w:rPr>
        <w:t xml:space="preserve"> in the VBECS Administrator</w:t>
      </w:r>
      <w:r w:rsidRPr="00B23B06">
        <w:rPr>
          <w:rFonts w:ascii="Times New Roman" w:hAnsi="Times New Roman"/>
          <w:spacing w:val="-5"/>
          <w:sz w:val="22"/>
          <w:szCs w:val="22"/>
        </w:rPr>
        <w:t>.</w:t>
      </w:r>
    </w:p>
    <w:p w14:paraId="2FDE9CC7" w14:textId="77777777" w:rsidR="00B45FA2" w:rsidRPr="00B23B06" w:rsidRDefault="00B45FA2" w:rsidP="000409B1">
      <w:pPr>
        <w:pStyle w:val="TableTextBullet"/>
        <w:numPr>
          <w:ilvl w:val="0"/>
          <w:numId w:val="48"/>
        </w:numPr>
        <w:ind w:right="63"/>
        <w:rPr>
          <w:rFonts w:ascii="Times New Roman" w:hAnsi="Times New Roman"/>
          <w:spacing w:val="-5"/>
          <w:sz w:val="22"/>
          <w:szCs w:val="22"/>
        </w:rPr>
      </w:pPr>
      <w:r>
        <w:rPr>
          <w:rFonts w:ascii="Times New Roman" w:hAnsi="Times New Roman"/>
          <w:spacing w:val="-5"/>
          <w:sz w:val="22"/>
          <w:szCs w:val="22"/>
        </w:rPr>
        <w:t>Data Innovations Instrument Manager message interface is properly and completely configured.</w:t>
      </w:r>
    </w:p>
    <w:p w14:paraId="0A3146FA" w14:textId="77777777" w:rsidR="00B45FA2" w:rsidRDefault="00B45FA2" w:rsidP="00B45FA2">
      <w:pPr>
        <w:pStyle w:val="Heading4"/>
      </w:pPr>
      <w:r>
        <w:t xml:space="preserve">Outcome </w:t>
      </w:r>
    </w:p>
    <w:p w14:paraId="1F7C9FA4" w14:textId="77777777" w:rsidR="00B45FA2" w:rsidRDefault="0081699D" w:rsidP="00B45FA2">
      <w:pPr>
        <w:pStyle w:val="ListBullet"/>
      </w:pPr>
      <w:r w:rsidRPr="00311A54">
        <w:t>Test results are received by VBECS</w:t>
      </w:r>
      <w:r w:rsidR="00B45FA2" w:rsidRPr="00311A54">
        <w:t>.</w:t>
      </w:r>
    </w:p>
    <w:p w14:paraId="0B05209C" w14:textId="77777777" w:rsidR="00F27904" w:rsidRPr="00311A54" w:rsidRDefault="00F27904" w:rsidP="00B45FA2">
      <w:pPr>
        <w:pStyle w:val="ListBullet"/>
      </w:pPr>
      <w:r>
        <w:t>Task status is updated for tests pending completion.</w:t>
      </w:r>
    </w:p>
    <w:p w14:paraId="5EC0C5D4" w14:textId="77777777" w:rsidR="00B45FA2" w:rsidRDefault="00B45FA2" w:rsidP="00B45FA2">
      <w:pPr>
        <w:pStyle w:val="Heading4"/>
      </w:pPr>
      <w:r>
        <w:t>Limitations and Restrictions</w:t>
      </w:r>
      <w:r>
        <w:rPr>
          <w:b w:val="0"/>
        </w:rPr>
        <w:t xml:space="preserve"> </w:t>
      </w:r>
    </w:p>
    <w:p w14:paraId="247248F5" w14:textId="77777777" w:rsidR="00586388" w:rsidRPr="00586388" w:rsidRDefault="00586388" w:rsidP="000409B1">
      <w:pPr>
        <w:pStyle w:val="TableTextBullet"/>
        <w:numPr>
          <w:ilvl w:val="0"/>
          <w:numId w:val="48"/>
        </w:numPr>
        <w:ind w:right="63"/>
        <w:rPr>
          <w:rFonts w:ascii="Times New Roman" w:hAnsi="Times New Roman"/>
          <w:spacing w:val="-5"/>
          <w:sz w:val="22"/>
          <w:szCs w:val="22"/>
        </w:rPr>
      </w:pPr>
      <w:r w:rsidRPr="00586388">
        <w:rPr>
          <w:rFonts w:ascii="Times New Roman" w:hAnsi="Times New Roman"/>
          <w:sz w:val="22"/>
          <w:szCs w:val="22"/>
        </w:rPr>
        <w:t xml:space="preserve">VBECS has only been tested with one automated instrument connected. </w:t>
      </w:r>
      <w:r w:rsidRPr="00586388">
        <w:rPr>
          <w:rFonts w:ascii="Times New Roman" w:hAnsi="Times New Roman"/>
          <w:vanish/>
          <w:sz w:val="22"/>
          <w:szCs w:val="22"/>
        </w:rPr>
        <w:t>Defect 357490</w:t>
      </w:r>
    </w:p>
    <w:p w14:paraId="4F65AAE8" w14:textId="77777777" w:rsidR="00B45FA2" w:rsidRPr="00B23B06" w:rsidRDefault="00B45FA2" w:rsidP="000409B1">
      <w:pPr>
        <w:pStyle w:val="TableTextBullet"/>
        <w:numPr>
          <w:ilvl w:val="0"/>
          <w:numId w:val="48"/>
        </w:numPr>
        <w:ind w:right="63"/>
        <w:rPr>
          <w:rFonts w:ascii="Times New Roman" w:hAnsi="Times New Roman"/>
          <w:spacing w:val="-5"/>
          <w:sz w:val="22"/>
          <w:szCs w:val="22"/>
        </w:rPr>
      </w:pPr>
      <w:r w:rsidRPr="00B23B06">
        <w:rPr>
          <w:rFonts w:ascii="Times New Roman" w:hAnsi="Times New Roman"/>
          <w:spacing w:val="-5"/>
          <w:sz w:val="22"/>
          <w:szCs w:val="22"/>
        </w:rPr>
        <w:t>Not available for transmission to Transfusion only facilities from a blood center due to constraints of VA’s security software.</w:t>
      </w:r>
    </w:p>
    <w:p w14:paraId="0A5A6033" w14:textId="77777777" w:rsidR="00B45FA2" w:rsidRPr="00B23B06" w:rsidRDefault="00B45FA2" w:rsidP="000409B1">
      <w:pPr>
        <w:pStyle w:val="TableTextBullet"/>
        <w:numPr>
          <w:ilvl w:val="0"/>
          <w:numId w:val="48"/>
        </w:numPr>
        <w:ind w:right="63"/>
        <w:rPr>
          <w:rFonts w:ascii="Times New Roman" w:hAnsi="Times New Roman"/>
          <w:spacing w:val="-5"/>
          <w:sz w:val="22"/>
          <w:szCs w:val="22"/>
        </w:rPr>
      </w:pPr>
      <w:r w:rsidRPr="00B23B06">
        <w:rPr>
          <w:rFonts w:ascii="Times New Roman" w:hAnsi="Times New Roman"/>
          <w:spacing w:val="-5"/>
          <w:sz w:val="22"/>
          <w:szCs w:val="22"/>
        </w:rPr>
        <w:t>The results of Antibody Panels (ABID) will not be accepted by the VBECS Automated Interface.</w:t>
      </w:r>
    </w:p>
    <w:p w14:paraId="482936CE" w14:textId="77777777" w:rsidR="00B45FA2" w:rsidRDefault="00B45FA2" w:rsidP="000409B1">
      <w:pPr>
        <w:pStyle w:val="TableTextBullet"/>
        <w:numPr>
          <w:ilvl w:val="0"/>
          <w:numId w:val="48"/>
        </w:numPr>
        <w:ind w:right="63"/>
        <w:rPr>
          <w:rFonts w:ascii="Times New Roman" w:hAnsi="Times New Roman"/>
          <w:spacing w:val="-5"/>
          <w:sz w:val="22"/>
          <w:szCs w:val="22"/>
        </w:rPr>
      </w:pPr>
      <w:r w:rsidRPr="00B23B06">
        <w:rPr>
          <w:rFonts w:ascii="Times New Roman" w:hAnsi="Times New Roman"/>
          <w:spacing w:val="-5"/>
          <w:sz w:val="22"/>
          <w:szCs w:val="22"/>
        </w:rPr>
        <w:t>The results of QC information from automated instruments will not be accepted by the VBECS Automated Interface.</w:t>
      </w:r>
    </w:p>
    <w:p w14:paraId="7028521A" w14:textId="77777777" w:rsidR="00D33B43" w:rsidRPr="004926E0" w:rsidRDefault="00B45FA2" w:rsidP="000409B1">
      <w:pPr>
        <w:pStyle w:val="TableTextBullet"/>
        <w:numPr>
          <w:ilvl w:val="0"/>
          <w:numId w:val="48"/>
        </w:numPr>
        <w:ind w:right="63"/>
        <w:rPr>
          <w:rFonts w:ascii="Times New Roman" w:hAnsi="Times New Roman"/>
          <w:spacing w:val="-5"/>
          <w:sz w:val="22"/>
          <w:szCs w:val="22"/>
        </w:rPr>
      </w:pPr>
      <w:r w:rsidRPr="004926E0">
        <w:rPr>
          <w:rFonts w:ascii="Times New Roman" w:hAnsi="Times New Roman"/>
          <w:spacing w:val="-5"/>
          <w:sz w:val="22"/>
          <w:szCs w:val="22"/>
        </w:rPr>
        <w:t>Time zone will not be included in HL7 message date time from the broadcasting application (Instrument Manager). The time zone is determined from the division code contained in the message header (MSH) segment of the message.</w:t>
      </w:r>
      <w:r w:rsidR="00D33B43" w:rsidRPr="004926E0">
        <w:rPr>
          <w:rFonts w:ascii="Times New Roman" w:hAnsi="Times New Roman"/>
          <w:vanish/>
          <w:spacing w:val="-5"/>
          <w:sz w:val="22"/>
          <w:szCs w:val="22"/>
        </w:rPr>
        <w:t xml:space="preserve">Defects 290088, 290166 </w:t>
      </w:r>
    </w:p>
    <w:p w14:paraId="55E2A468" w14:textId="77777777" w:rsidR="00B45FA2" w:rsidRDefault="00B45FA2" w:rsidP="00B45FA2">
      <w:pPr>
        <w:pStyle w:val="Heading4"/>
      </w:pPr>
      <w:r>
        <w:t xml:space="preserve">Additional Information </w:t>
      </w:r>
    </w:p>
    <w:p w14:paraId="72CA1873" w14:textId="77777777" w:rsidR="00B45FA2" w:rsidRDefault="00B45FA2" w:rsidP="00B45FA2">
      <w:pPr>
        <w:pStyle w:val="ListBullet"/>
      </w:pPr>
      <w:r>
        <w:t xml:space="preserve">VBECS </w:t>
      </w:r>
      <w:r w:rsidRPr="00BA0C95">
        <w:t xml:space="preserve">will accommodate </w:t>
      </w:r>
      <w:r>
        <w:t xml:space="preserve">antigen typing test results </w:t>
      </w:r>
      <w:r w:rsidRPr="00BA0C95">
        <w:t>where antigen typing tests are available in VBECS.</w:t>
      </w:r>
    </w:p>
    <w:p w14:paraId="4E18D87B" w14:textId="77777777" w:rsidR="002C3F2F" w:rsidRDefault="00057948" w:rsidP="002C3F2F">
      <w:pPr>
        <w:pStyle w:val="ListBullet"/>
      </w:pPr>
      <w:r>
        <w:rPr>
          <w:noProof/>
        </w:rPr>
        <w:drawing>
          <wp:inline distT="0" distB="0" distL="0" distR="0" wp14:anchorId="48A86715" wp14:editId="1472CF11">
            <wp:extent cx="276860" cy="221615"/>
            <wp:effectExtent l="0" t="0" r="8890" b="6985"/>
            <wp:docPr id="262" name="Picture 1" descr="P9403L4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1" descr="P9403L43#yIS1">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860" cy="221615"/>
                    </a:xfrm>
                    <a:prstGeom prst="rect">
                      <a:avLst/>
                    </a:prstGeom>
                    <a:noFill/>
                    <a:ln>
                      <a:noFill/>
                    </a:ln>
                  </pic:spPr>
                </pic:pic>
              </a:graphicData>
            </a:graphic>
          </wp:inline>
        </w:drawing>
      </w:r>
      <w:r w:rsidR="002C3F2F">
        <w:t xml:space="preserve"> </w:t>
      </w:r>
      <w:r w:rsidR="002C3F2F" w:rsidRPr="00D52104">
        <w:t>AABB Standards (5.16.1)</w:t>
      </w:r>
      <w:r w:rsidR="002C3F2F">
        <w:t xml:space="preserve"> </w:t>
      </w:r>
      <w:r w:rsidR="002C3F2F" w:rsidRPr="00D52104">
        <w:t>requires a serological XM to detect ABO incompatibility</w:t>
      </w:r>
      <w:r w:rsidR="002C3F2F">
        <w:t>. A</w:t>
      </w:r>
      <w:r w:rsidR="002C3F2F" w:rsidRPr="00D52104">
        <w:t xml:space="preserve"> local policy must be in place if the site is not performing a IS AHG as part of their serologic crossmatch test, manual or using an instrument.</w:t>
      </w:r>
      <w:r w:rsidR="002C3F2F">
        <w:t xml:space="preserve"> </w:t>
      </w:r>
      <w:r w:rsidR="002C3F2F" w:rsidRPr="002C3F2F">
        <w:rPr>
          <w:vanish/>
        </w:rPr>
        <w:t>Defect 362099</w:t>
      </w:r>
    </w:p>
    <w:p w14:paraId="2A35C552" w14:textId="77777777" w:rsidR="00B45FA2" w:rsidRDefault="00B45FA2" w:rsidP="00B45FA2">
      <w:pPr>
        <w:pStyle w:val="Heading4"/>
        <w:rPr>
          <w:b w:val="0"/>
        </w:rPr>
      </w:pPr>
      <w:r>
        <w:lastRenderedPageBreak/>
        <w:t>User Roles with Access to This Option</w:t>
      </w:r>
      <w:r>
        <w:rPr>
          <w:b w:val="0"/>
        </w:rPr>
        <w:t xml:space="preserve"> </w:t>
      </w:r>
    </w:p>
    <w:p w14:paraId="6BDF9E13" w14:textId="77777777" w:rsidR="00B45FA2" w:rsidRDefault="00B45FA2" w:rsidP="00B45FA2">
      <w:pPr>
        <w:pStyle w:val="Roles"/>
      </w:pPr>
      <w:r>
        <w:t>All users</w:t>
      </w:r>
    </w:p>
    <w:p w14:paraId="7CC01D15" w14:textId="77777777" w:rsidR="00B45FA2" w:rsidRDefault="009068D5" w:rsidP="00B45FA2">
      <w:pPr>
        <w:pStyle w:val="Heading4"/>
      </w:pPr>
      <w:r>
        <w:t>Automated Testing Interface</w:t>
      </w:r>
    </w:p>
    <w:p w14:paraId="7128BB44" w14:textId="77777777" w:rsidR="00B45FA2" w:rsidRDefault="00311A54" w:rsidP="00B45FA2">
      <w:pPr>
        <w:pStyle w:val="BodyText"/>
      </w:pPr>
      <w:r>
        <w:t xml:space="preserve">This </w:t>
      </w:r>
      <w:r w:rsidR="00F27904">
        <w:t>feature</w:t>
      </w:r>
      <w:r>
        <w:t xml:space="preserve"> allows the interface of automated blood banking instruments with VBECS through Data Innovat</w:t>
      </w:r>
      <w:r w:rsidR="00F27904">
        <w:t>ions Instrument Manager. It</w:t>
      </w:r>
      <w:r>
        <w:t xml:space="preserve"> eliminate</w:t>
      </w:r>
      <w:r w:rsidR="00F27904">
        <w:t>s</w:t>
      </w:r>
      <w:r>
        <w:t xml:space="preserve"> the potential for human error associated with the manual entry of results from an automated instrument into</w:t>
      </w:r>
      <w:r w:rsidR="00F27904">
        <w:t xml:space="preserve"> </w:t>
      </w:r>
      <w:r>
        <w:t>VBECS</w:t>
      </w:r>
      <w:r w:rsidR="00F27904">
        <w:t xml:space="preserve">. </w:t>
      </w:r>
      <w:r w:rsidR="00640909">
        <w:t>It also eliminates t</w:t>
      </w:r>
      <w:r>
        <w:t>he potential for transcription errors that can lead to a patient safety issue of ABO incompatible transfusion. In addition to safety, these enhancements will also reduce the time spent entering results manually</w:t>
      </w:r>
      <w:r w:rsidR="00B45FA2" w:rsidRPr="00311A54">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B45FA2" w14:paraId="7BE3592D" w14:textId="77777777" w:rsidTr="003F6E8A">
        <w:trPr>
          <w:cantSplit/>
          <w:tblHeader/>
        </w:trPr>
        <w:tc>
          <w:tcPr>
            <w:tcW w:w="3240" w:type="dxa"/>
            <w:shd w:val="pct30" w:color="auto" w:fill="FFFFFF"/>
            <w:vAlign w:val="bottom"/>
          </w:tcPr>
          <w:p w14:paraId="42A51DA8" w14:textId="77777777" w:rsidR="00B45FA2" w:rsidRDefault="00B45FA2" w:rsidP="003F6E8A">
            <w:pPr>
              <w:pStyle w:val="TableText"/>
              <w:rPr>
                <w:b/>
              </w:rPr>
            </w:pPr>
            <w:r>
              <w:rPr>
                <w:b/>
              </w:rPr>
              <w:t>User Action</w:t>
            </w:r>
          </w:p>
        </w:tc>
        <w:tc>
          <w:tcPr>
            <w:tcW w:w="6120" w:type="dxa"/>
            <w:shd w:val="pct30" w:color="auto" w:fill="FFFFFF"/>
            <w:vAlign w:val="bottom"/>
          </w:tcPr>
          <w:p w14:paraId="536F9CE8" w14:textId="77777777" w:rsidR="00B45FA2" w:rsidRDefault="00B45FA2" w:rsidP="003F6E8A">
            <w:pPr>
              <w:pStyle w:val="TableText"/>
              <w:rPr>
                <w:b/>
              </w:rPr>
            </w:pPr>
            <w:r>
              <w:rPr>
                <w:b/>
              </w:rPr>
              <w:t>VBECS</w:t>
            </w:r>
          </w:p>
        </w:tc>
      </w:tr>
      <w:tr w:rsidR="00B45FA2" w14:paraId="0FA84AC9" w14:textId="77777777" w:rsidTr="003F6E8A">
        <w:tc>
          <w:tcPr>
            <w:tcW w:w="3240" w:type="dxa"/>
          </w:tcPr>
          <w:p w14:paraId="5BE11EF0" w14:textId="77777777" w:rsidR="00B45FA2" w:rsidRDefault="007B08C6" w:rsidP="007B08C6">
            <w:pPr>
              <w:pStyle w:val="TableTextNumbers"/>
            </w:pPr>
            <w:r>
              <w:t xml:space="preserve">User sends test results </w:t>
            </w:r>
            <w:r w:rsidR="00D5538E">
              <w:t xml:space="preserve">from the Automated Instrument </w:t>
            </w:r>
            <w:r>
              <w:t>to VBECS.</w:t>
            </w:r>
          </w:p>
        </w:tc>
        <w:tc>
          <w:tcPr>
            <w:tcW w:w="6120" w:type="dxa"/>
          </w:tcPr>
          <w:p w14:paraId="666CC64F" w14:textId="77777777" w:rsidR="00B45FA2" w:rsidRDefault="00D279DE" w:rsidP="003F6E8A">
            <w:pPr>
              <w:pStyle w:val="TableTextBullet"/>
            </w:pPr>
            <w:r>
              <w:t>U</w:t>
            </w:r>
            <w:r w:rsidR="00B45FA2">
              <w:t>pdates the task status on the Pending Task List (PTL) upon successful receipt of testing.</w:t>
            </w:r>
          </w:p>
          <w:p w14:paraId="7600BED4" w14:textId="77777777" w:rsidR="00B45FA2" w:rsidRDefault="00D279DE" w:rsidP="003F6E8A">
            <w:pPr>
              <w:pStyle w:val="TableTextBullet"/>
            </w:pPr>
            <w:r>
              <w:t>S</w:t>
            </w:r>
            <w:r w:rsidR="00B45FA2">
              <w:t>tores received results for review, processing and acceptance by a user.</w:t>
            </w:r>
          </w:p>
          <w:p w14:paraId="15A5CE11" w14:textId="77777777" w:rsidR="00D95812" w:rsidRDefault="00D95812" w:rsidP="00D95812">
            <w:pPr>
              <w:pStyle w:val="TableTextBullet"/>
              <w:numPr>
                <w:ilvl w:val="0"/>
                <w:numId w:val="0"/>
              </w:numPr>
              <w:ind w:left="288" w:hanging="288"/>
            </w:pPr>
          </w:p>
          <w:p w14:paraId="14DF302E" w14:textId="77777777" w:rsidR="00D95812" w:rsidRDefault="00057948" w:rsidP="00D95812">
            <w:pPr>
              <w:pStyle w:val="TableText"/>
              <w:rPr>
                <w:b/>
                <w:bCs/>
                <w:szCs w:val="18"/>
              </w:rPr>
            </w:pPr>
            <w:r>
              <w:rPr>
                <w:b/>
                <w:bCs/>
                <w:noProof/>
              </w:rPr>
              <mc:AlternateContent>
                <mc:Choice Requires="wps">
                  <w:drawing>
                    <wp:anchor distT="0" distB="0" distL="114300" distR="114300" simplePos="0" relativeHeight="252055040" behindDoc="0" locked="0" layoutInCell="1" allowOverlap="1" wp14:anchorId="0C2B6B51" wp14:editId="137E8456">
                      <wp:simplePos x="0" y="0"/>
                      <wp:positionH relativeFrom="column">
                        <wp:posOffset>457200</wp:posOffset>
                      </wp:positionH>
                      <wp:positionV relativeFrom="paragraph">
                        <wp:posOffset>65405</wp:posOffset>
                      </wp:positionV>
                      <wp:extent cx="3200400" cy="0"/>
                      <wp:effectExtent l="9525" t="17780" r="9525" b="10795"/>
                      <wp:wrapNone/>
                      <wp:docPr id="309" name="Line 1278" descr="P9415L43C4T10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87C55" id="Line 1278" o:spid="_x0000_s1026" alt="&quot;&quot;" style="position:absolute;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DFrNKzEAQAAbwMAAA4AAAAAAAAAAAAAAAAA&#10;LgIAAGRycy9lMm9Eb2MueG1sUEsBAi0AFAAGAAgAAAAhABdPMBLbAAAACAEAAA8AAAAAAAAAAAAA&#10;AAAAHgQAAGRycy9kb3ducmV2LnhtbFBLBQYAAAAABAAEAPMAAAAmBQAAAAA=&#10;" strokeweight="1.5pt"/>
                  </w:pict>
                </mc:Fallback>
              </mc:AlternateContent>
            </w:r>
            <w:r w:rsidR="00D95812">
              <w:rPr>
                <w:b/>
                <w:bCs/>
                <w:szCs w:val="18"/>
              </w:rPr>
              <w:t>NOTES</w:t>
            </w:r>
          </w:p>
          <w:p w14:paraId="51480B8F" w14:textId="77777777" w:rsidR="00D95812" w:rsidRDefault="00D95812" w:rsidP="00D95812">
            <w:pPr>
              <w:pStyle w:val="NotesText"/>
            </w:pPr>
          </w:p>
          <w:p w14:paraId="53F0454A" w14:textId="77777777" w:rsidR="00D95812" w:rsidRDefault="00F27904" w:rsidP="00D95812">
            <w:pPr>
              <w:pStyle w:val="NotesText"/>
            </w:pPr>
            <w:r w:rsidRPr="00DC70D1">
              <w:rPr>
                <w:rFonts w:cs="Arial"/>
                <w:vanish/>
              </w:rPr>
              <w:t xml:space="preserve">BR_114.01 </w:t>
            </w:r>
            <w:r w:rsidR="00D95812">
              <w:rPr>
                <w:rFonts w:cs="Arial"/>
                <w:vanish/>
              </w:rPr>
              <w:t xml:space="preserve">BR_85.01 </w:t>
            </w:r>
            <w:r w:rsidR="00D95812">
              <w:t>If the blood unit record is not found, the message is rejected</w:t>
            </w:r>
            <w:r>
              <w:t xml:space="preserve"> and results are not available for review</w:t>
            </w:r>
            <w:r w:rsidR="00D95812">
              <w:t>.</w:t>
            </w:r>
          </w:p>
          <w:p w14:paraId="439F07A4" w14:textId="77777777" w:rsidR="00D95812" w:rsidRDefault="00D95812" w:rsidP="00D95812">
            <w:pPr>
              <w:pStyle w:val="NotesText"/>
            </w:pPr>
          </w:p>
          <w:p w14:paraId="46F4FDA9" w14:textId="77777777" w:rsidR="00D95812" w:rsidRDefault="00F27904" w:rsidP="00D95812">
            <w:pPr>
              <w:pStyle w:val="NotesText"/>
            </w:pPr>
            <w:r w:rsidRPr="00DC70D1">
              <w:rPr>
                <w:vanish/>
              </w:rPr>
              <w:t xml:space="preserve">BR_114.02 </w:t>
            </w:r>
            <w:r w:rsidR="00D95812">
              <w:t>If the patient specimen is not associated with an active patient order, the message is rejected</w:t>
            </w:r>
            <w:r>
              <w:t xml:space="preserve"> and results are not available for review</w:t>
            </w:r>
            <w:r w:rsidR="00D95812">
              <w:t>.</w:t>
            </w:r>
          </w:p>
          <w:p w14:paraId="3FB4297E" w14:textId="77777777" w:rsidR="00D95812" w:rsidRDefault="00D95812" w:rsidP="00D95812">
            <w:pPr>
              <w:pStyle w:val="NotesText"/>
            </w:pPr>
          </w:p>
          <w:p w14:paraId="7DA88C3B" w14:textId="77777777" w:rsidR="00D95812" w:rsidRDefault="00F27904" w:rsidP="00D95812">
            <w:pPr>
              <w:pStyle w:val="NotesText"/>
            </w:pPr>
            <w:r w:rsidRPr="00DC70D1">
              <w:rPr>
                <w:vanish/>
              </w:rPr>
              <w:t xml:space="preserve">BR_114.03 </w:t>
            </w:r>
            <w:r w:rsidR="00D95812">
              <w:t>If the cross-matched units are not assigned to a patient order, the message containing crossmatch results is rejected</w:t>
            </w:r>
            <w:r>
              <w:t xml:space="preserve"> and results are not available for review</w:t>
            </w:r>
            <w:r w:rsidR="00D95812">
              <w:t>.</w:t>
            </w:r>
          </w:p>
          <w:p w14:paraId="46189BE2" w14:textId="77777777" w:rsidR="00D95812" w:rsidRDefault="00D95812" w:rsidP="00D95812">
            <w:pPr>
              <w:pStyle w:val="NotesText"/>
            </w:pPr>
          </w:p>
          <w:p w14:paraId="39210F09" w14:textId="77777777" w:rsidR="00D95812" w:rsidRDefault="00F27904" w:rsidP="00D95812">
            <w:pPr>
              <w:pStyle w:val="NotesText"/>
            </w:pPr>
            <w:r w:rsidRPr="00DC70D1">
              <w:rPr>
                <w:vanish/>
              </w:rPr>
              <w:t xml:space="preserve">BR_114.04 </w:t>
            </w:r>
            <w:r w:rsidR="00D95812">
              <w:t>Patient specimen blood test results pending review must be rejected by the user in VBECS before replacement results can be received.</w:t>
            </w:r>
          </w:p>
          <w:p w14:paraId="444A8F41" w14:textId="77777777" w:rsidR="00D95812" w:rsidRDefault="00D95812" w:rsidP="00D95812">
            <w:pPr>
              <w:pStyle w:val="NotesText"/>
            </w:pPr>
          </w:p>
          <w:p w14:paraId="7B669949" w14:textId="77777777" w:rsidR="00D95812" w:rsidRDefault="00F27904" w:rsidP="00D95812">
            <w:pPr>
              <w:pStyle w:val="NotesText"/>
            </w:pPr>
            <w:r w:rsidRPr="00DC70D1">
              <w:rPr>
                <w:vanish/>
              </w:rPr>
              <w:t xml:space="preserve">BR_114.07 </w:t>
            </w:r>
            <w:r w:rsidR="00D95812">
              <w:t>If test results currently exist for a patient order (entered manually or by the Automated Instrument), the replacement test results will not be accepted into VBECS until the user invalidates the existing test results.</w:t>
            </w:r>
          </w:p>
          <w:p w14:paraId="2A137C35" w14:textId="77777777" w:rsidR="00D95812" w:rsidRDefault="00D95812" w:rsidP="00D95812">
            <w:pPr>
              <w:pStyle w:val="NotesText"/>
            </w:pPr>
          </w:p>
          <w:p w14:paraId="4890CC4E" w14:textId="77777777" w:rsidR="00D95812" w:rsidRDefault="00F27904" w:rsidP="00D95812">
            <w:pPr>
              <w:pStyle w:val="NotesText"/>
              <w:rPr>
                <w:rFonts w:cs="Arial"/>
                <w:bCs/>
                <w:color w:val="000000"/>
                <w:szCs w:val="18"/>
              </w:rPr>
            </w:pPr>
            <w:r w:rsidRPr="00DC70D1">
              <w:rPr>
                <w:rFonts w:cs="Arial"/>
                <w:bCs/>
                <w:vanish/>
                <w:color w:val="000000"/>
                <w:szCs w:val="18"/>
              </w:rPr>
              <w:t xml:space="preserve">BR_114.10 </w:t>
            </w:r>
            <w:r w:rsidR="00D95812">
              <w:rPr>
                <w:rFonts w:cs="Arial"/>
                <w:bCs/>
                <w:color w:val="000000"/>
                <w:szCs w:val="18"/>
              </w:rPr>
              <w:t xml:space="preserve">When patient test results </w:t>
            </w:r>
            <w:r w:rsidR="00D95812" w:rsidRPr="00CA7FBC">
              <w:rPr>
                <w:rFonts w:cs="Arial"/>
                <w:bCs/>
                <w:color w:val="000000"/>
                <w:szCs w:val="18"/>
              </w:rPr>
              <w:t xml:space="preserve">are sent to VBECS and multiple orders </w:t>
            </w:r>
            <w:r w:rsidR="00D95812">
              <w:rPr>
                <w:rFonts w:cs="Arial"/>
                <w:bCs/>
                <w:color w:val="000000"/>
                <w:szCs w:val="18"/>
              </w:rPr>
              <w:t xml:space="preserve">exist </w:t>
            </w:r>
            <w:r w:rsidR="00D95812" w:rsidRPr="00CA7FBC">
              <w:rPr>
                <w:rFonts w:cs="Arial"/>
                <w:bCs/>
                <w:color w:val="000000"/>
                <w:szCs w:val="18"/>
              </w:rPr>
              <w:t xml:space="preserve">for the same test type </w:t>
            </w:r>
            <w:r w:rsidR="00D95812">
              <w:rPr>
                <w:rFonts w:cs="Arial"/>
                <w:bCs/>
                <w:color w:val="000000"/>
                <w:szCs w:val="18"/>
              </w:rPr>
              <w:t>and</w:t>
            </w:r>
            <w:r w:rsidR="00D95812" w:rsidRPr="00CA7FBC">
              <w:rPr>
                <w:rFonts w:cs="Arial"/>
                <w:bCs/>
                <w:color w:val="000000"/>
                <w:szCs w:val="18"/>
              </w:rPr>
              <w:t xml:space="preserve"> the same specimen UID on the VBECS P</w:t>
            </w:r>
            <w:r w:rsidR="00D95812">
              <w:rPr>
                <w:rFonts w:cs="Arial"/>
                <w:bCs/>
                <w:color w:val="000000"/>
                <w:szCs w:val="18"/>
              </w:rPr>
              <w:t>TL</w:t>
            </w:r>
            <w:r w:rsidR="00D95812" w:rsidRPr="00CA7FBC">
              <w:rPr>
                <w:rFonts w:cs="Arial"/>
                <w:bCs/>
                <w:color w:val="000000"/>
                <w:szCs w:val="18"/>
              </w:rPr>
              <w:t>, the message is rejected.</w:t>
            </w:r>
            <w:r w:rsidR="00D95812">
              <w:rPr>
                <w:rFonts w:cs="Arial"/>
                <w:bCs/>
                <w:color w:val="000000"/>
                <w:szCs w:val="18"/>
              </w:rPr>
              <w:t xml:space="preserve"> </w:t>
            </w:r>
            <w:r w:rsidR="00D95812" w:rsidRPr="00CA7FBC">
              <w:rPr>
                <w:rFonts w:cs="Arial"/>
                <w:bCs/>
                <w:color w:val="000000"/>
                <w:szCs w:val="18"/>
              </w:rPr>
              <w:t xml:space="preserve">For example: </w:t>
            </w:r>
            <w:r w:rsidR="00D95812">
              <w:rPr>
                <w:rFonts w:cs="Arial"/>
                <w:bCs/>
                <w:color w:val="000000"/>
                <w:szCs w:val="18"/>
              </w:rPr>
              <w:t>When</w:t>
            </w:r>
            <w:r w:rsidR="00D95812" w:rsidRPr="00CA7FBC">
              <w:rPr>
                <w:rFonts w:cs="Arial"/>
                <w:bCs/>
                <w:color w:val="000000"/>
                <w:szCs w:val="18"/>
              </w:rPr>
              <w:t xml:space="preserve"> ABS </w:t>
            </w:r>
            <w:r w:rsidR="00D95812">
              <w:rPr>
                <w:rFonts w:cs="Arial"/>
                <w:bCs/>
                <w:color w:val="000000"/>
                <w:szCs w:val="18"/>
              </w:rPr>
              <w:t xml:space="preserve">test results </w:t>
            </w:r>
            <w:r w:rsidR="00D95812" w:rsidRPr="00CA7FBC">
              <w:rPr>
                <w:rFonts w:cs="Arial"/>
                <w:bCs/>
                <w:color w:val="000000"/>
                <w:szCs w:val="18"/>
              </w:rPr>
              <w:t xml:space="preserve">and Repeat ABS </w:t>
            </w:r>
            <w:r w:rsidR="00D95812">
              <w:rPr>
                <w:rFonts w:cs="Arial"/>
                <w:bCs/>
                <w:color w:val="000000"/>
                <w:szCs w:val="18"/>
              </w:rPr>
              <w:t>test results for the same speci</w:t>
            </w:r>
            <w:r w:rsidR="00D95812" w:rsidRPr="00CA7FBC">
              <w:rPr>
                <w:rFonts w:cs="Arial"/>
                <w:bCs/>
                <w:color w:val="000000"/>
                <w:szCs w:val="18"/>
              </w:rPr>
              <w:t>men UID</w:t>
            </w:r>
            <w:r w:rsidR="00D95812">
              <w:rPr>
                <w:rFonts w:cs="Arial"/>
                <w:bCs/>
                <w:color w:val="000000"/>
                <w:szCs w:val="18"/>
              </w:rPr>
              <w:t xml:space="preserve"> are sent to VBECS at the same time</w:t>
            </w:r>
            <w:r w:rsidR="00D95812" w:rsidRPr="00CA7FBC">
              <w:rPr>
                <w:rFonts w:cs="Arial"/>
                <w:bCs/>
                <w:color w:val="000000"/>
                <w:szCs w:val="18"/>
              </w:rPr>
              <w:t xml:space="preserve">, </w:t>
            </w:r>
            <w:r w:rsidR="00D95812">
              <w:rPr>
                <w:rFonts w:cs="Arial"/>
                <w:bCs/>
                <w:color w:val="000000"/>
                <w:szCs w:val="18"/>
              </w:rPr>
              <w:t>because the Automated Instrument does not indicate which test is primary and which test is reflex, the message must be rejected.</w:t>
            </w:r>
          </w:p>
          <w:p w14:paraId="75FA9803" w14:textId="77777777" w:rsidR="00D95812" w:rsidRDefault="00D95812" w:rsidP="00D95812">
            <w:pPr>
              <w:pStyle w:val="NotesText"/>
              <w:rPr>
                <w:rFonts w:cs="Arial"/>
                <w:bCs/>
                <w:color w:val="000000"/>
                <w:szCs w:val="18"/>
              </w:rPr>
            </w:pPr>
          </w:p>
          <w:p w14:paraId="29A69677" w14:textId="77777777" w:rsidR="00D95812" w:rsidRDefault="00F27904" w:rsidP="00D95812">
            <w:pPr>
              <w:pStyle w:val="NotesText"/>
              <w:rPr>
                <w:rFonts w:cs="Arial"/>
                <w:szCs w:val="18"/>
              </w:rPr>
            </w:pPr>
            <w:r w:rsidRPr="00DC70D1">
              <w:rPr>
                <w:rFonts w:cs="Arial"/>
                <w:vanish/>
                <w:szCs w:val="18"/>
              </w:rPr>
              <w:t xml:space="preserve">BR_114.08 </w:t>
            </w:r>
            <w:r w:rsidR="00D95812">
              <w:rPr>
                <w:rFonts w:cs="Arial"/>
                <w:szCs w:val="18"/>
              </w:rPr>
              <w:t>When the</w:t>
            </w:r>
            <w:r w:rsidR="00D95812" w:rsidRPr="00F61FA8">
              <w:rPr>
                <w:rFonts w:cs="Arial"/>
                <w:szCs w:val="18"/>
              </w:rPr>
              <w:t xml:space="preserve"> </w:t>
            </w:r>
            <w:r w:rsidR="006E3236">
              <w:rPr>
                <w:rFonts w:cs="Arial"/>
                <w:szCs w:val="18"/>
              </w:rPr>
              <w:t>testing instrument for the patient</w:t>
            </w:r>
            <w:r w:rsidR="00D95812" w:rsidRPr="00F61FA8">
              <w:rPr>
                <w:rFonts w:cs="Arial"/>
                <w:szCs w:val="18"/>
              </w:rPr>
              <w:t xml:space="preserve"> ABO/Rh message contains results for Anti-D1 and Anti-D2 which do not conflict (both are positive or both are negative), </w:t>
            </w:r>
            <w:r w:rsidR="003350E0">
              <w:rPr>
                <w:rFonts w:cs="Arial"/>
                <w:szCs w:val="18"/>
              </w:rPr>
              <w:t xml:space="preserve">the </w:t>
            </w:r>
            <w:r w:rsidR="00D95812" w:rsidRPr="00F61FA8">
              <w:rPr>
                <w:rFonts w:cs="Arial"/>
                <w:szCs w:val="18"/>
              </w:rPr>
              <w:t xml:space="preserve">Anti-D1 </w:t>
            </w:r>
            <w:r w:rsidR="003350E0">
              <w:rPr>
                <w:rFonts w:cs="Arial"/>
                <w:szCs w:val="18"/>
              </w:rPr>
              <w:t>result</w:t>
            </w:r>
            <w:r w:rsidR="00D95812" w:rsidRPr="00F61FA8">
              <w:rPr>
                <w:rFonts w:cs="Arial"/>
                <w:szCs w:val="18"/>
              </w:rPr>
              <w:t xml:space="preserve"> will be stored in VBECS</w:t>
            </w:r>
            <w:r w:rsidR="00D95812">
              <w:rPr>
                <w:rFonts w:cs="Arial"/>
                <w:szCs w:val="18"/>
              </w:rPr>
              <w:t>.</w:t>
            </w:r>
          </w:p>
          <w:p w14:paraId="76E711F1" w14:textId="77777777" w:rsidR="00D95812" w:rsidRDefault="00D95812" w:rsidP="00D95812">
            <w:pPr>
              <w:pStyle w:val="NotesText"/>
              <w:rPr>
                <w:rFonts w:cs="Arial"/>
                <w:szCs w:val="18"/>
              </w:rPr>
            </w:pPr>
          </w:p>
          <w:p w14:paraId="19A84C08" w14:textId="77777777" w:rsidR="00D95812" w:rsidRDefault="006E3236" w:rsidP="00D95812">
            <w:pPr>
              <w:pStyle w:val="NotesText"/>
              <w:rPr>
                <w:rFonts w:cs="Arial"/>
                <w:szCs w:val="18"/>
              </w:rPr>
            </w:pPr>
            <w:r>
              <w:rPr>
                <w:rFonts w:cs="Arial"/>
                <w:szCs w:val="18"/>
              </w:rPr>
              <w:t>When the</w:t>
            </w:r>
            <w:r w:rsidRPr="00F61FA8">
              <w:rPr>
                <w:rFonts w:cs="Arial"/>
                <w:szCs w:val="18"/>
              </w:rPr>
              <w:t xml:space="preserve"> </w:t>
            </w:r>
            <w:r>
              <w:rPr>
                <w:rFonts w:cs="Arial"/>
                <w:szCs w:val="18"/>
              </w:rPr>
              <w:t>testing instrument for the patient</w:t>
            </w:r>
            <w:r w:rsidR="00B5630B">
              <w:rPr>
                <w:rFonts w:cs="Arial"/>
                <w:szCs w:val="18"/>
              </w:rPr>
              <w:t xml:space="preserve"> </w:t>
            </w:r>
            <w:r w:rsidR="00B5630B" w:rsidRPr="00F61FA8">
              <w:rPr>
                <w:rFonts w:cs="Arial"/>
                <w:szCs w:val="18"/>
              </w:rPr>
              <w:t>ABO/Rh message contains conflicting results for Anti-D1 and Anti-D2 (one is positive and the othe</w:t>
            </w:r>
            <w:r w:rsidR="00B5630B">
              <w:rPr>
                <w:rFonts w:cs="Arial"/>
                <w:szCs w:val="18"/>
              </w:rPr>
              <w:t>r negative), the message is</w:t>
            </w:r>
            <w:r w:rsidR="00B5630B" w:rsidRPr="00F61FA8">
              <w:rPr>
                <w:rFonts w:cs="Arial"/>
                <w:szCs w:val="18"/>
              </w:rPr>
              <w:t xml:space="preserve"> rejected</w:t>
            </w:r>
            <w:r w:rsidR="003350E0">
              <w:rPr>
                <w:rFonts w:cs="Arial"/>
                <w:szCs w:val="18"/>
              </w:rPr>
              <w:t xml:space="preserve"> </w:t>
            </w:r>
            <w:r w:rsidR="003350E0">
              <w:t>and results are not available for review</w:t>
            </w:r>
            <w:r w:rsidR="00B5630B" w:rsidRPr="00F61FA8">
              <w:rPr>
                <w:rFonts w:cs="Arial"/>
                <w:szCs w:val="18"/>
              </w:rPr>
              <w:t>.</w:t>
            </w:r>
          </w:p>
          <w:p w14:paraId="68797D96" w14:textId="77777777" w:rsidR="00B5630B" w:rsidRDefault="00B5630B" w:rsidP="00D95812">
            <w:pPr>
              <w:pStyle w:val="NotesText"/>
              <w:rPr>
                <w:rFonts w:cs="Arial"/>
                <w:szCs w:val="18"/>
              </w:rPr>
            </w:pPr>
          </w:p>
          <w:p w14:paraId="17D3C38E" w14:textId="77777777" w:rsidR="00B5630B" w:rsidRDefault="00F27904" w:rsidP="00D95812">
            <w:pPr>
              <w:pStyle w:val="NotesText"/>
              <w:rPr>
                <w:rFonts w:cs="Arial"/>
                <w:szCs w:val="18"/>
              </w:rPr>
            </w:pPr>
            <w:r w:rsidRPr="00DC70D1">
              <w:rPr>
                <w:rFonts w:cs="Arial"/>
                <w:vanish/>
                <w:szCs w:val="18"/>
              </w:rPr>
              <w:t xml:space="preserve">BR_114.05 </w:t>
            </w:r>
            <w:r w:rsidR="00B5630B" w:rsidRPr="00D82F90">
              <w:rPr>
                <w:rFonts w:cs="Arial"/>
                <w:szCs w:val="18"/>
              </w:rPr>
              <w:t xml:space="preserve">The message is </w:t>
            </w:r>
            <w:r w:rsidR="00B5630B">
              <w:rPr>
                <w:rFonts w:cs="Arial"/>
                <w:szCs w:val="18"/>
              </w:rPr>
              <w:t xml:space="preserve">processed by the VBECS system. </w:t>
            </w:r>
            <w:r w:rsidR="00B5630B" w:rsidRPr="00D82F90">
              <w:rPr>
                <w:rFonts w:cs="Arial"/>
                <w:szCs w:val="18"/>
              </w:rPr>
              <w:t>If the message is accept</w:t>
            </w:r>
            <w:r w:rsidR="00B5630B">
              <w:rPr>
                <w:rFonts w:cs="Arial"/>
                <w:szCs w:val="18"/>
              </w:rPr>
              <w:t>ed</w:t>
            </w:r>
            <w:r w:rsidR="00B5630B" w:rsidRPr="00D82F90">
              <w:rPr>
                <w:rFonts w:cs="Arial"/>
                <w:szCs w:val="18"/>
              </w:rPr>
              <w:t xml:space="preserve"> (per the approved HL7 message profile specification), a success reply is sent; otherwise, a rejection reply is sent to the broadcasting application</w:t>
            </w:r>
            <w:r w:rsidR="003350E0">
              <w:rPr>
                <w:rFonts w:cs="Arial"/>
                <w:szCs w:val="18"/>
              </w:rPr>
              <w:t xml:space="preserve"> </w:t>
            </w:r>
            <w:r w:rsidR="003350E0">
              <w:t>and results are not available for review</w:t>
            </w:r>
            <w:r w:rsidR="00B5630B">
              <w:rPr>
                <w:rFonts w:cs="Arial"/>
                <w:szCs w:val="18"/>
              </w:rPr>
              <w:t>.</w:t>
            </w:r>
          </w:p>
          <w:p w14:paraId="3201CCD1" w14:textId="77777777" w:rsidR="00B5630B" w:rsidRDefault="00B5630B" w:rsidP="00D95812">
            <w:pPr>
              <w:pStyle w:val="NotesText"/>
              <w:rPr>
                <w:rFonts w:cs="Arial"/>
                <w:szCs w:val="18"/>
              </w:rPr>
            </w:pPr>
          </w:p>
          <w:p w14:paraId="0A1B4A8A" w14:textId="77777777" w:rsidR="00B5630B" w:rsidRDefault="00F27904" w:rsidP="00B5630B">
            <w:pPr>
              <w:ind w:left="720"/>
              <w:rPr>
                <w:rFonts w:ascii="Arial" w:hAnsi="Arial" w:cs="Arial"/>
                <w:sz w:val="18"/>
                <w:szCs w:val="18"/>
              </w:rPr>
            </w:pPr>
            <w:r w:rsidRPr="00DC70D1">
              <w:rPr>
                <w:rFonts w:ascii="Arial" w:hAnsi="Arial" w:cs="Arial"/>
                <w:vanish/>
                <w:sz w:val="18"/>
                <w:szCs w:val="18"/>
              </w:rPr>
              <w:t xml:space="preserve">BR_114.06 </w:t>
            </w:r>
            <w:r w:rsidR="00B5630B">
              <w:rPr>
                <w:rFonts w:ascii="Arial" w:hAnsi="Arial" w:cs="Arial"/>
                <w:sz w:val="18"/>
                <w:szCs w:val="18"/>
              </w:rPr>
              <w:t>The system associa</w:t>
            </w:r>
            <w:r w:rsidR="006E3236">
              <w:rPr>
                <w:rFonts w:ascii="Arial" w:hAnsi="Arial" w:cs="Arial"/>
                <w:sz w:val="18"/>
                <w:szCs w:val="18"/>
              </w:rPr>
              <w:t xml:space="preserve">tes </w:t>
            </w:r>
            <w:r w:rsidR="00B5630B">
              <w:rPr>
                <w:rFonts w:ascii="Arial" w:hAnsi="Arial" w:cs="Arial"/>
                <w:sz w:val="18"/>
                <w:szCs w:val="18"/>
              </w:rPr>
              <w:t>inte</w:t>
            </w:r>
            <w:r w:rsidR="006E3236">
              <w:rPr>
                <w:rFonts w:ascii="Arial" w:hAnsi="Arial" w:cs="Arial"/>
                <w:sz w:val="18"/>
                <w:szCs w:val="18"/>
              </w:rPr>
              <w:t xml:space="preserve">rpretation with </w:t>
            </w:r>
            <w:r w:rsidR="00B5630B">
              <w:rPr>
                <w:rFonts w:ascii="Arial" w:hAnsi="Arial" w:cs="Arial"/>
                <w:sz w:val="18"/>
                <w:szCs w:val="18"/>
              </w:rPr>
              <w:t>test results received from an Automated Instrument as follows:</w:t>
            </w:r>
          </w:p>
          <w:p w14:paraId="54075717" w14:textId="77777777" w:rsidR="00B5630B" w:rsidRPr="00B5630B" w:rsidRDefault="00B5630B" w:rsidP="000409B1">
            <w:pPr>
              <w:numPr>
                <w:ilvl w:val="0"/>
                <w:numId w:val="51"/>
              </w:numPr>
              <w:rPr>
                <w:rFonts w:ascii="Arial" w:hAnsi="Arial" w:cs="Arial"/>
                <w:sz w:val="18"/>
                <w:szCs w:val="18"/>
              </w:rPr>
            </w:pPr>
            <w:r w:rsidRPr="00B5630B">
              <w:rPr>
                <w:rFonts w:ascii="Arial" w:hAnsi="Arial"/>
                <w:sz w:val="18"/>
              </w:rPr>
              <w:t>1 is a Positive</w:t>
            </w:r>
          </w:p>
          <w:p w14:paraId="38A4E7B8" w14:textId="77777777" w:rsidR="00B5630B" w:rsidRPr="00B5630B" w:rsidRDefault="00B5630B" w:rsidP="000409B1">
            <w:pPr>
              <w:numPr>
                <w:ilvl w:val="0"/>
                <w:numId w:val="51"/>
              </w:numPr>
              <w:rPr>
                <w:rFonts w:ascii="Arial" w:hAnsi="Arial" w:cs="Arial"/>
                <w:sz w:val="18"/>
                <w:szCs w:val="18"/>
              </w:rPr>
            </w:pPr>
            <w:r>
              <w:rPr>
                <w:rFonts w:ascii="Arial" w:hAnsi="Arial"/>
                <w:sz w:val="18"/>
              </w:rPr>
              <w:t>2 is a Positive</w:t>
            </w:r>
          </w:p>
          <w:p w14:paraId="295A59EF" w14:textId="77777777" w:rsidR="00B5630B" w:rsidRPr="00B5630B" w:rsidRDefault="00B5630B" w:rsidP="000409B1">
            <w:pPr>
              <w:numPr>
                <w:ilvl w:val="0"/>
                <w:numId w:val="51"/>
              </w:numPr>
              <w:rPr>
                <w:rFonts w:ascii="Arial" w:hAnsi="Arial" w:cs="Arial"/>
                <w:sz w:val="18"/>
                <w:szCs w:val="18"/>
              </w:rPr>
            </w:pPr>
            <w:r>
              <w:rPr>
                <w:rFonts w:ascii="Arial" w:hAnsi="Arial"/>
                <w:sz w:val="18"/>
              </w:rPr>
              <w:t>3 is a Positive</w:t>
            </w:r>
          </w:p>
          <w:p w14:paraId="0A38E25F" w14:textId="77777777" w:rsidR="00B5630B" w:rsidRPr="00B5630B" w:rsidRDefault="00B5630B" w:rsidP="000409B1">
            <w:pPr>
              <w:numPr>
                <w:ilvl w:val="0"/>
                <w:numId w:val="51"/>
              </w:numPr>
              <w:rPr>
                <w:rFonts w:ascii="Arial" w:hAnsi="Arial" w:cs="Arial"/>
                <w:sz w:val="18"/>
                <w:szCs w:val="18"/>
              </w:rPr>
            </w:pPr>
            <w:r>
              <w:rPr>
                <w:rFonts w:ascii="Arial" w:hAnsi="Arial"/>
                <w:sz w:val="18"/>
              </w:rPr>
              <w:t>4 is a Positive</w:t>
            </w:r>
          </w:p>
          <w:p w14:paraId="435100FF" w14:textId="77777777" w:rsidR="00B5630B" w:rsidRPr="005477A8" w:rsidRDefault="00B5630B" w:rsidP="000409B1">
            <w:pPr>
              <w:numPr>
                <w:ilvl w:val="0"/>
                <w:numId w:val="51"/>
              </w:numPr>
              <w:rPr>
                <w:rFonts w:ascii="Arial" w:hAnsi="Arial" w:cs="Arial"/>
                <w:sz w:val="18"/>
                <w:szCs w:val="18"/>
              </w:rPr>
            </w:pPr>
            <w:r>
              <w:rPr>
                <w:rFonts w:ascii="Arial" w:hAnsi="Arial"/>
                <w:sz w:val="18"/>
              </w:rPr>
              <w:t>0 is a Negative</w:t>
            </w:r>
          </w:p>
          <w:p w14:paraId="15A0101B" w14:textId="77777777" w:rsidR="00D95812" w:rsidRDefault="00D95812" w:rsidP="00D95812">
            <w:pPr>
              <w:pStyle w:val="TableTextBullet"/>
              <w:numPr>
                <w:ilvl w:val="0"/>
                <w:numId w:val="0"/>
              </w:numPr>
              <w:ind w:left="288" w:hanging="288"/>
            </w:pPr>
          </w:p>
          <w:p w14:paraId="0D583BF5" w14:textId="20884A62" w:rsidR="00863F6D" w:rsidRPr="004831F9" w:rsidRDefault="00D5538E" w:rsidP="00863F6D">
            <w:pPr>
              <w:ind w:left="720"/>
              <w:rPr>
                <w:rFonts w:ascii="Arial" w:hAnsi="Arial" w:cs="Arial"/>
                <w:sz w:val="18"/>
                <w:szCs w:val="18"/>
              </w:rPr>
            </w:pPr>
            <w:r w:rsidRPr="004831F9">
              <w:rPr>
                <w:rFonts w:ascii="Arial" w:hAnsi="Arial" w:cs="Arial"/>
                <w:sz w:val="18"/>
                <w:szCs w:val="18"/>
              </w:rPr>
              <w:t>Se</w:t>
            </w:r>
            <w:r w:rsidR="00C931C4" w:rsidRPr="004831F9">
              <w:rPr>
                <w:rFonts w:ascii="Arial" w:hAnsi="Arial" w:cs="Arial"/>
                <w:sz w:val="18"/>
                <w:szCs w:val="18"/>
              </w:rPr>
              <w:t>e</w:t>
            </w:r>
            <w:r w:rsidR="004831F9" w:rsidRPr="004831F9">
              <w:rPr>
                <w:rFonts w:ascii="Arial" w:hAnsi="Arial" w:cs="Arial"/>
                <w:sz w:val="18"/>
                <w:szCs w:val="18"/>
              </w:rPr>
              <w:t xml:space="preserve"> </w:t>
            </w:r>
            <w:r w:rsidR="00863F6D" w:rsidRPr="00863F6D">
              <w:rPr>
                <w:rFonts w:ascii="Arial" w:hAnsi="Arial" w:cs="Arial"/>
                <w:sz w:val="18"/>
                <w:szCs w:val="18"/>
              </w:rPr>
              <w:fldChar w:fldCharType="begin" w:fldLock="1"/>
            </w:r>
            <w:r w:rsidR="00863F6D" w:rsidRPr="00863F6D">
              <w:rPr>
                <w:rFonts w:ascii="Arial" w:hAnsi="Arial" w:cs="Arial"/>
                <w:sz w:val="18"/>
                <w:szCs w:val="18"/>
              </w:rPr>
              <w:instrText xml:space="preserve"> REF _Ref524693853 \h  \* MERGEFORMAT </w:instrText>
            </w:r>
            <w:r w:rsidR="00863F6D" w:rsidRPr="00863F6D">
              <w:rPr>
                <w:rFonts w:ascii="Arial" w:hAnsi="Arial" w:cs="Arial"/>
                <w:sz w:val="18"/>
                <w:szCs w:val="18"/>
              </w:rPr>
            </w:r>
            <w:r w:rsidR="00863F6D" w:rsidRPr="00863F6D">
              <w:rPr>
                <w:rFonts w:ascii="Arial" w:hAnsi="Arial" w:cs="Arial"/>
                <w:sz w:val="18"/>
                <w:szCs w:val="18"/>
              </w:rPr>
              <w:fldChar w:fldCharType="separate"/>
            </w:r>
            <w:r w:rsidR="00AB304C" w:rsidRPr="00AB304C">
              <w:rPr>
                <w:rFonts w:ascii="Arial" w:hAnsi="Arial" w:cs="Arial"/>
                <w:sz w:val="18"/>
                <w:szCs w:val="18"/>
              </w:rPr>
              <w:t xml:space="preserve">Table </w:t>
            </w:r>
            <w:r w:rsidR="00AB304C" w:rsidRPr="00AB304C">
              <w:rPr>
                <w:rFonts w:ascii="Arial" w:hAnsi="Arial" w:cs="Arial"/>
                <w:noProof/>
                <w:sz w:val="18"/>
                <w:szCs w:val="18"/>
              </w:rPr>
              <w:t>13</w:t>
            </w:r>
            <w:r w:rsidR="00AB304C" w:rsidRPr="00AB304C">
              <w:rPr>
                <w:rFonts w:ascii="Arial" w:hAnsi="Arial" w:cs="Arial"/>
                <w:sz w:val="18"/>
                <w:szCs w:val="18"/>
              </w:rPr>
              <w:t>: HL7 Tests Accepted by VBECS</w:t>
            </w:r>
            <w:r w:rsidR="00863F6D" w:rsidRPr="00863F6D">
              <w:rPr>
                <w:rFonts w:ascii="Arial" w:hAnsi="Arial" w:cs="Arial"/>
                <w:sz w:val="18"/>
                <w:szCs w:val="18"/>
              </w:rPr>
              <w:fldChar w:fldCharType="end"/>
            </w:r>
            <w:r w:rsidR="00863F6D" w:rsidRPr="00863F6D">
              <w:rPr>
                <w:rFonts w:ascii="Arial" w:hAnsi="Arial" w:cs="Arial"/>
                <w:sz w:val="18"/>
                <w:szCs w:val="18"/>
              </w:rPr>
              <w:t>.</w:t>
            </w:r>
          </w:p>
          <w:p w14:paraId="38968AA4" w14:textId="1ACDD3D1" w:rsidR="00D5538E" w:rsidRPr="004831F9" w:rsidRDefault="00D5538E" w:rsidP="008964A9">
            <w:pPr>
              <w:ind w:left="720"/>
              <w:rPr>
                <w:rFonts w:ascii="Arial" w:hAnsi="Arial" w:cs="Arial"/>
                <w:sz w:val="18"/>
                <w:szCs w:val="18"/>
              </w:rPr>
            </w:pPr>
          </w:p>
          <w:p w14:paraId="02517D37" w14:textId="77777777" w:rsidR="00D5538E" w:rsidRDefault="00D5538E" w:rsidP="005477A8">
            <w:pPr>
              <w:ind w:left="720"/>
              <w:rPr>
                <w:rFonts w:ascii="Arial" w:hAnsi="Arial" w:cs="Arial"/>
                <w:sz w:val="18"/>
                <w:szCs w:val="18"/>
              </w:rPr>
            </w:pPr>
          </w:p>
          <w:p w14:paraId="0B3D4CF9" w14:textId="77777777" w:rsidR="005477A8" w:rsidRPr="00E85CBB" w:rsidRDefault="00D5538E" w:rsidP="005477A8">
            <w:pPr>
              <w:ind w:left="720"/>
              <w:rPr>
                <w:rFonts w:ascii="Arial" w:hAnsi="Arial" w:cs="Arial"/>
                <w:sz w:val="18"/>
                <w:szCs w:val="18"/>
              </w:rPr>
            </w:pPr>
            <w:r w:rsidRPr="00F47ABD">
              <w:rPr>
                <w:rFonts w:ascii="Arial" w:hAnsi="Arial" w:cs="Arial"/>
                <w:vanish/>
                <w:sz w:val="18"/>
                <w:szCs w:val="18"/>
              </w:rPr>
              <w:t xml:space="preserve">BR_114.09 </w:t>
            </w:r>
            <w:r>
              <w:rPr>
                <w:rFonts w:ascii="Arial" w:hAnsi="Arial" w:cs="Arial"/>
                <w:sz w:val="18"/>
                <w:szCs w:val="18"/>
              </w:rPr>
              <w:t xml:space="preserve">VBECS </w:t>
            </w:r>
            <w:r w:rsidR="005477A8" w:rsidRPr="00E85CBB">
              <w:rPr>
                <w:rFonts w:ascii="Arial" w:hAnsi="Arial" w:cs="Arial"/>
                <w:sz w:val="18"/>
                <w:szCs w:val="18"/>
              </w:rPr>
              <w:t>stores the following information:</w:t>
            </w:r>
          </w:p>
          <w:p w14:paraId="49BEA375" w14:textId="77777777" w:rsidR="005477A8" w:rsidRPr="005477A8" w:rsidRDefault="005477A8" w:rsidP="000409B1">
            <w:pPr>
              <w:numPr>
                <w:ilvl w:val="0"/>
                <w:numId w:val="51"/>
              </w:numPr>
              <w:rPr>
                <w:rFonts w:ascii="Arial" w:hAnsi="Arial"/>
                <w:sz w:val="18"/>
              </w:rPr>
            </w:pPr>
            <w:r w:rsidRPr="005477A8">
              <w:rPr>
                <w:rFonts w:ascii="Arial" w:hAnsi="Arial"/>
                <w:sz w:val="18"/>
              </w:rPr>
              <w:t>Test Results</w:t>
            </w:r>
          </w:p>
          <w:p w14:paraId="3191966A" w14:textId="77777777" w:rsidR="005477A8" w:rsidRPr="005477A8" w:rsidRDefault="005477A8" w:rsidP="000409B1">
            <w:pPr>
              <w:numPr>
                <w:ilvl w:val="0"/>
                <w:numId w:val="51"/>
              </w:numPr>
              <w:rPr>
                <w:rFonts w:ascii="Arial" w:hAnsi="Arial"/>
                <w:sz w:val="18"/>
              </w:rPr>
            </w:pPr>
            <w:r w:rsidRPr="005477A8">
              <w:rPr>
                <w:rFonts w:ascii="Arial" w:hAnsi="Arial"/>
                <w:sz w:val="18"/>
              </w:rPr>
              <w:t>Test Interpretations</w:t>
            </w:r>
          </w:p>
          <w:p w14:paraId="39441FAC" w14:textId="77777777" w:rsidR="005477A8" w:rsidRPr="005477A8" w:rsidRDefault="005477A8" w:rsidP="000409B1">
            <w:pPr>
              <w:numPr>
                <w:ilvl w:val="0"/>
                <w:numId w:val="51"/>
              </w:numPr>
              <w:rPr>
                <w:rFonts w:ascii="Arial" w:hAnsi="Arial"/>
                <w:sz w:val="18"/>
              </w:rPr>
            </w:pPr>
            <w:r w:rsidRPr="005477A8">
              <w:rPr>
                <w:rFonts w:ascii="Arial" w:hAnsi="Arial"/>
                <w:sz w:val="18"/>
              </w:rPr>
              <w:t>Testing Tech ID</w:t>
            </w:r>
          </w:p>
          <w:p w14:paraId="057FE80C" w14:textId="77777777" w:rsidR="005477A8" w:rsidRPr="005477A8" w:rsidRDefault="005477A8" w:rsidP="000409B1">
            <w:pPr>
              <w:numPr>
                <w:ilvl w:val="0"/>
                <w:numId w:val="51"/>
              </w:numPr>
              <w:rPr>
                <w:rFonts w:ascii="Arial" w:hAnsi="Arial"/>
                <w:sz w:val="18"/>
              </w:rPr>
            </w:pPr>
            <w:r w:rsidRPr="005477A8">
              <w:rPr>
                <w:rFonts w:ascii="Arial" w:hAnsi="Arial"/>
                <w:sz w:val="18"/>
              </w:rPr>
              <w:t>Automated Instrument identifier</w:t>
            </w:r>
          </w:p>
          <w:p w14:paraId="16F5D0AE" w14:textId="77777777" w:rsidR="005477A8" w:rsidRPr="005477A8" w:rsidRDefault="005477A8" w:rsidP="000409B1">
            <w:pPr>
              <w:numPr>
                <w:ilvl w:val="0"/>
                <w:numId w:val="51"/>
              </w:numPr>
              <w:rPr>
                <w:rFonts w:ascii="Arial" w:hAnsi="Arial"/>
                <w:sz w:val="18"/>
              </w:rPr>
            </w:pPr>
            <w:r w:rsidRPr="005477A8">
              <w:rPr>
                <w:rFonts w:ascii="Arial" w:hAnsi="Arial"/>
                <w:sz w:val="18"/>
              </w:rPr>
              <w:t>Date and Time Tested</w:t>
            </w:r>
          </w:p>
          <w:p w14:paraId="6F535F27" w14:textId="77777777" w:rsidR="005477A8" w:rsidRPr="005477A8" w:rsidRDefault="005477A8" w:rsidP="000409B1">
            <w:pPr>
              <w:numPr>
                <w:ilvl w:val="0"/>
                <w:numId w:val="51"/>
              </w:numPr>
              <w:rPr>
                <w:rFonts w:ascii="Arial" w:hAnsi="Arial"/>
                <w:sz w:val="18"/>
              </w:rPr>
            </w:pPr>
            <w:r w:rsidRPr="005477A8">
              <w:rPr>
                <w:rFonts w:ascii="Arial" w:hAnsi="Arial"/>
                <w:sz w:val="18"/>
              </w:rPr>
              <w:t>Automated Instrument Test Comments</w:t>
            </w:r>
          </w:p>
          <w:p w14:paraId="6C7640FE" w14:textId="77777777" w:rsidR="005477A8" w:rsidRDefault="005477A8" w:rsidP="005477A8">
            <w:pPr>
              <w:pStyle w:val="TableTextBullet"/>
              <w:numPr>
                <w:ilvl w:val="0"/>
                <w:numId w:val="0"/>
              </w:numPr>
              <w:ind w:left="288" w:hanging="288"/>
            </w:pPr>
          </w:p>
        </w:tc>
      </w:tr>
      <w:tr w:rsidR="00B45FA2" w14:paraId="3A453B54" w14:textId="77777777" w:rsidTr="003F6E8A">
        <w:tc>
          <w:tcPr>
            <w:tcW w:w="3240" w:type="dxa"/>
          </w:tcPr>
          <w:p w14:paraId="4649B3E5" w14:textId="77777777" w:rsidR="00B45FA2" w:rsidRDefault="005477A8" w:rsidP="005477A8">
            <w:pPr>
              <w:pStyle w:val="TableTextNumbers"/>
            </w:pPr>
            <w:r>
              <w:lastRenderedPageBreak/>
              <w:t xml:space="preserve">The </w:t>
            </w:r>
            <w:r w:rsidR="00D5538E">
              <w:t>user logs into VBECS to review and approve messages.</w:t>
            </w:r>
          </w:p>
          <w:p w14:paraId="14873ED9" w14:textId="77777777" w:rsidR="00D5538E" w:rsidRDefault="00D5538E" w:rsidP="00D5538E">
            <w:pPr>
              <w:pStyle w:val="TableTextNumbers"/>
              <w:numPr>
                <w:ilvl w:val="0"/>
                <w:numId w:val="0"/>
              </w:numPr>
              <w:ind w:left="288" w:hanging="288"/>
            </w:pPr>
          </w:p>
          <w:p w14:paraId="2382B877" w14:textId="77777777" w:rsidR="00D5538E" w:rsidRDefault="00D5538E" w:rsidP="00D279DE">
            <w:pPr>
              <w:pStyle w:val="TableTextNumbers"/>
              <w:numPr>
                <w:ilvl w:val="0"/>
                <w:numId w:val="0"/>
              </w:numPr>
              <w:ind w:left="288"/>
            </w:pPr>
            <w:r>
              <w:t xml:space="preserve">Refer to Automated Testing </w:t>
            </w:r>
            <w:r w:rsidR="002A4CB4">
              <w:t>Review for</w:t>
            </w:r>
            <w:r w:rsidR="007B52EA">
              <w:t xml:space="preserve"> Blood Units or Automated T</w:t>
            </w:r>
            <w:r w:rsidR="002275D4">
              <w:t>esting Review for Patient</w:t>
            </w:r>
            <w:r w:rsidR="007B52EA">
              <w:t>s</w:t>
            </w:r>
            <w:r>
              <w:t>.</w:t>
            </w:r>
          </w:p>
          <w:p w14:paraId="68EB7875" w14:textId="77777777" w:rsidR="007160AE" w:rsidRDefault="007160AE" w:rsidP="007B52EA">
            <w:pPr>
              <w:pStyle w:val="TableTextNumbers"/>
              <w:numPr>
                <w:ilvl w:val="0"/>
                <w:numId w:val="0"/>
              </w:numPr>
              <w:ind w:left="288" w:hanging="288"/>
            </w:pPr>
          </w:p>
        </w:tc>
        <w:tc>
          <w:tcPr>
            <w:tcW w:w="6120" w:type="dxa"/>
          </w:tcPr>
          <w:p w14:paraId="2C79086E" w14:textId="77777777" w:rsidR="00B45FA2" w:rsidRDefault="00B45FA2" w:rsidP="005477A8">
            <w:pPr>
              <w:pStyle w:val="TableTextBullet"/>
              <w:numPr>
                <w:ilvl w:val="0"/>
                <w:numId w:val="0"/>
              </w:numPr>
            </w:pPr>
          </w:p>
        </w:tc>
      </w:tr>
    </w:tbl>
    <w:p w14:paraId="0D01D76A" w14:textId="77777777" w:rsidR="008964A9" w:rsidRDefault="008964A9" w:rsidP="008964A9"/>
    <w:p w14:paraId="002A80FF" w14:textId="77777777" w:rsidR="00486D34" w:rsidRDefault="00486D34">
      <w:pPr>
        <w:rPr>
          <w:b/>
          <w:sz w:val="22"/>
          <w:szCs w:val="22"/>
        </w:rPr>
      </w:pPr>
      <w:bookmarkStart w:id="549" w:name="_Ref446932282"/>
      <w:r>
        <w:br w:type="page"/>
      </w:r>
    </w:p>
    <w:p w14:paraId="1AB1C571" w14:textId="39060392" w:rsidR="008964A9" w:rsidRPr="008964A9" w:rsidRDefault="008964A9" w:rsidP="008964A9">
      <w:pPr>
        <w:pStyle w:val="Caption"/>
      </w:pPr>
      <w:bookmarkStart w:id="550" w:name="_Ref524693853"/>
      <w:r w:rsidRPr="008964A9">
        <w:lastRenderedPageBreak/>
        <w:t xml:space="preserve">Table </w:t>
      </w:r>
      <w:r w:rsidR="004E20BD">
        <w:rPr>
          <w:noProof/>
        </w:rPr>
        <w:fldChar w:fldCharType="begin"/>
      </w:r>
      <w:r w:rsidR="004E20BD">
        <w:rPr>
          <w:noProof/>
        </w:rPr>
        <w:instrText xml:space="preserve"> SEQ Table \* ARABIC </w:instrText>
      </w:r>
      <w:r w:rsidR="004E20BD">
        <w:rPr>
          <w:noProof/>
        </w:rPr>
        <w:fldChar w:fldCharType="separate"/>
      </w:r>
      <w:r w:rsidR="00647F4E">
        <w:rPr>
          <w:noProof/>
        </w:rPr>
        <w:t>13</w:t>
      </w:r>
      <w:r w:rsidR="004E20BD">
        <w:rPr>
          <w:noProof/>
        </w:rPr>
        <w:fldChar w:fldCharType="end"/>
      </w:r>
      <w:bookmarkEnd w:id="549"/>
      <w:r w:rsidR="004831F9">
        <w:t>: HL7 Tests Accepted by VBECS</w:t>
      </w:r>
      <w:bookmarkEnd w:id="550"/>
    </w:p>
    <w:p w14:paraId="30F041EA" w14:textId="77777777" w:rsidR="008964A9" w:rsidRPr="008964A9" w:rsidRDefault="008964A9" w:rsidP="008964A9">
      <w:pPr>
        <w:rPr>
          <w:sz w:val="22"/>
          <w:szCs w:val="22"/>
        </w:rPr>
      </w:pPr>
      <w:r w:rsidRPr="008964A9">
        <w:rPr>
          <w:sz w:val="22"/>
          <w:szCs w:val="22"/>
        </w:rPr>
        <w:t>The first result received is considered the primary test. Once the primary test is accepted into VBECS, a second message with the same testing result will fill the repeat test.</w:t>
      </w:r>
    </w:p>
    <w:p w14:paraId="0C1D7AE3" w14:textId="77777777" w:rsidR="008964A9" w:rsidRDefault="008964A9" w:rsidP="008964A9"/>
    <w:tbl>
      <w:tblPr>
        <w:tblW w:w="459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3600"/>
      </w:tblGrid>
      <w:tr w:rsidR="008964A9" w:rsidRPr="002800C8" w14:paraId="0E2B37C3" w14:textId="77777777" w:rsidTr="008964A9">
        <w:trPr>
          <w:trHeight w:val="179"/>
        </w:trPr>
        <w:tc>
          <w:tcPr>
            <w:tcW w:w="990" w:type="dxa"/>
            <w:shd w:val="clear" w:color="auto" w:fill="D9D9D9"/>
            <w:vAlign w:val="bottom"/>
          </w:tcPr>
          <w:p w14:paraId="620017E0" w14:textId="77777777" w:rsidR="008964A9" w:rsidRPr="002800C8" w:rsidRDefault="008964A9" w:rsidP="008964A9">
            <w:pPr>
              <w:rPr>
                <w:rFonts w:ascii="Arial" w:hAnsi="Arial" w:cs="Arial"/>
                <w:b/>
                <w:color w:val="000000"/>
                <w:sz w:val="20"/>
              </w:rPr>
            </w:pPr>
            <w:r w:rsidRPr="002800C8">
              <w:rPr>
                <w:rFonts w:ascii="Arial" w:hAnsi="Arial" w:cs="Arial"/>
                <w:b/>
                <w:color w:val="000000"/>
                <w:sz w:val="20"/>
              </w:rPr>
              <w:t>Row ID</w:t>
            </w:r>
          </w:p>
        </w:tc>
        <w:tc>
          <w:tcPr>
            <w:tcW w:w="3600" w:type="dxa"/>
            <w:shd w:val="clear" w:color="auto" w:fill="D9D9D9"/>
            <w:noWrap/>
            <w:vAlign w:val="bottom"/>
          </w:tcPr>
          <w:p w14:paraId="38A0DC2B" w14:textId="77777777" w:rsidR="008964A9" w:rsidRPr="002800C8" w:rsidRDefault="008964A9" w:rsidP="008964A9">
            <w:pPr>
              <w:rPr>
                <w:rFonts w:ascii="Arial" w:hAnsi="Arial" w:cs="Arial"/>
                <w:b/>
                <w:color w:val="000000"/>
                <w:sz w:val="20"/>
              </w:rPr>
            </w:pPr>
            <w:r w:rsidRPr="002800C8">
              <w:rPr>
                <w:rFonts w:ascii="Arial" w:hAnsi="Arial" w:cs="Arial"/>
                <w:b/>
                <w:color w:val="000000"/>
                <w:sz w:val="20"/>
              </w:rPr>
              <w:t>Tests</w:t>
            </w:r>
          </w:p>
        </w:tc>
      </w:tr>
      <w:tr w:rsidR="008964A9" w:rsidRPr="00490D9B" w14:paraId="2BCCC1B8" w14:textId="77777777" w:rsidTr="008964A9">
        <w:trPr>
          <w:trHeight w:val="259"/>
        </w:trPr>
        <w:tc>
          <w:tcPr>
            <w:tcW w:w="990" w:type="dxa"/>
            <w:vAlign w:val="center"/>
          </w:tcPr>
          <w:p w14:paraId="2B06FB06"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w:t>
            </w:r>
          </w:p>
        </w:tc>
        <w:tc>
          <w:tcPr>
            <w:tcW w:w="3600" w:type="dxa"/>
            <w:shd w:val="clear" w:color="auto" w:fill="auto"/>
            <w:noWrap/>
            <w:vAlign w:val="bottom"/>
            <w:hideMark/>
          </w:tcPr>
          <w:p w14:paraId="45D8DE16"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Patient Type and Screen (TAS)</w:t>
            </w:r>
          </w:p>
        </w:tc>
      </w:tr>
      <w:tr w:rsidR="008964A9" w:rsidRPr="00490D9B" w14:paraId="6FBC5362" w14:textId="77777777" w:rsidTr="008964A9">
        <w:trPr>
          <w:trHeight w:val="259"/>
        </w:trPr>
        <w:tc>
          <w:tcPr>
            <w:tcW w:w="990" w:type="dxa"/>
            <w:vAlign w:val="center"/>
          </w:tcPr>
          <w:p w14:paraId="69306D82"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2.</w:t>
            </w:r>
          </w:p>
        </w:tc>
        <w:tc>
          <w:tcPr>
            <w:tcW w:w="3600" w:type="dxa"/>
            <w:shd w:val="clear" w:color="auto" w:fill="auto"/>
            <w:noWrap/>
            <w:vAlign w:val="bottom"/>
            <w:hideMark/>
          </w:tcPr>
          <w:p w14:paraId="01E600E0"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Patient ABO/Rh</w:t>
            </w:r>
          </w:p>
        </w:tc>
      </w:tr>
      <w:tr w:rsidR="008964A9" w:rsidRPr="00490D9B" w14:paraId="159D035D" w14:textId="77777777" w:rsidTr="008964A9">
        <w:trPr>
          <w:trHeight w:val="259"/>
        </w:trPr>
        <w:tc>
          <w:tcPr>
            <w:tcW w:w="990" w:type="dxa"/>
            <w:vAlign w:val="center"/>
          </w:tcPr>
          <w:p w14:paraId="26D7D7C8"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3.</w:t>
            </w:r>
          </w:p>
        </w:tc>
        <w:tc>
          <w:tcPr>
            <w:tcW w:w="3600" w:type="dxa"/>
            <w:shd w:val="clear" w:color="auto" w:fill="auto"/>
            <w:noWrap/>
            <w:vAlign w:val="bottom"/>
            <w:hideMark/>
          </w:tcPr>
          <w:p w14:paraId="417DE3E8"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Repeat Patient ABO/Rh</w:t>
            </w:r>
          </w:p>
        </w:tc>
      </w:tr>
      <w:tr w:rsidR="008964A9" w:rsidRPr="00490D9B" w14:paraId="49A59D26" w14:textId="77777777" w:rsidTr="008964A9">
        <w:trPr>
          <w:trHeight w:val="259"/>
        </w:trPr>
        <w:tc>
          <w:tcPr>
            <w:tcW w:w="990" w:type="dxa"/>
            <w:vAlign w:val="center"/>
          </w:tcPr>
          <w:p w14:paraId="4396D695"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4.</w:t>
            </w:r>
          </w:p>
        </w:tc>
        <w:tc>
          <w:tcPr>
            <w:tcW w:w="3600" w:type="dxa"/>
            <w:shd w:val="clear" w:color="auto" w:fill="auto"/>
            <w:noWrap/>
            <w:vAlign w:val="bottom"/>
            <w:hideMark/>
          </w:tcPr>
          <w:p w14:paraId="0CB2FD21"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Patient ABS</w:t>
            </w:r>
          </w:p>
        </w:tc>
      </w:tr>
      <w:tr w:rsidR="008964A9" w:rsidRPr="00490D9B" w14:paraId="243863BE" w14:textId="77777777" w:rsidTr="008964A9">
        <w:trPr>
          <w:trHeight w:val="259"/>
        </w:trPr>
        <w:tc>
          <w:tcPr>
            <w:tcW w:w="990" w:type="dxa"/>
            <w:vAlign w:val="center"/>
          </w:tcPr>
          <w:p w14:paraId="718AA38D"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5.</w:t>
            </w:r>
          </w:p>
        </w:tc>
        <w:tc>
          <w:tcPr>
            <w:tcW w:w="3600" w:type="dxa"/>
            <w:shd w:val="clear" w:color="auto" w:fill="auto"/>
            <w:noWrap/>
            <w:vAlign w:val="bottom"/>
            <w:hideMark/>
          </w:tcPr>
          <w:p w14:paraId="6EB155E0"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Repeat Patient ABS</w:t>
            </w:r>
          </w:p>
        </w:tc>
      </w:tr>
      <w:tr w:rsidR="008964A9" w:rsidRPr="00490D9B" w14:paraId="66077A3B" w14:textId="77777777" w:rsidTr="008964A9">
        <w:trPr>
          <w:trHeight w:val="259"/>
        </w:trPr>
        <w:tc>
          <w:tcPr>
            <w:tcW w:w="990" w:type="dxa"/>
            <w:vAlign w:val="center"/>
          </w:tcPr>
          <w:p w14:paraId="2257431F"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6.</w:t>
            </w:r>
          </w:p>
        </w:tc>
        <w:tc>
          <w:tcPr>
            <w:tcW w:w="3600" w:type="dxa"/>
            <w:shd w:val="clear" w:color="auto" w:fill="auto"/>
            <w:noWrap/>
            <w:vAlign w:val="bottom"/>
            <w:hideMark/>
          </w:tcPr>
          <w:p w14:paraId="08B6C09A"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Patient AHG DAT</w:t>
            </w:r>
          </w:p>
        </w:tc>
      </w:tr>
      <w:tr w:rsidR="008964A9" w:rsidRPr="00490D9B" w14:paraId="1FAC1D06" w14:textId="77777777" w:rsidTr="008964A9">
        <w:trPr>
          <w:trHeight w:val="259"/>
        </w:trPr>
        <w:tc>
          <w:tcPr>
            <w:tcW w:w="990" w:type="dxa"/>
            <w:vAlign w:val="center"/>
          </w:tcPr>
          <w:p w14:paraId="47E922AB"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7.</w:t>
            </w:r>
          </w:p>
        </w:tc>
        <w:tc>
          <w:tcPr>
            <w:tcW w:w="3600" w:type="dxa"/>
            <w:shd w:val="clear" w:color="auto" w:fill="auto"/>
            <w:noWrap/>
            <w:vAlign w:val="bottom"/>
            <w:hideMark/>
          </w:tcPr>
          <w:p w14:paraId="55E3CFEA"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Repeat Patient AHG DAT</w:t>
            </w:r>
          </w:p>
        </w:tc>
      </w:tr>
      <w:tr w:rsidR="008964A9" w:rsidRPr="00490D9B" w14:paraId="0D6EE69D" w14:textId="77777777" w:rsidTr="008964A9">
        <w:trPr>
          <w:trHeight w:val="259"/>
        </w:trPr>
        <w:tc>
          <w:tcPr>
            <w:tcW w:w="990" w:type="dxa"/>
            <w:vAlign w:val="center"/>
          </w:tcPr>
          <w:p w14:paraId="28E240EE"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8.</w:t>
            </w:r>
          </w:p>
        </w:tc>
        <w:tc>
          <w:tcPr>
            <w:tcW w:w="3600" w:type="dxa"/>
            <w:shd w:val="clear" w:color="auto" w:fill="auto"/>
            <w:noWrap/>
            <w:vAlign w:val="bottom"/>
            <w:hideMark/>
          </w:tcPr>
          <w:p w14:paraId="0AE1A476"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Crossmatch</w:t>
            </w:r>
          </w:p>
        </w:tc>
      </w:tr>
      <w:tr w:rsidR="008964A9" w:rsidRPr="00490D9B" w14:paraId="3FBB00D0" w14:textId="77777777" w:rsidTr="008964A9">
        <w:trPr>
          <w:trHeight w:val="259"/>
        </w:trPr>
        <w:tc>
          <w:tcPr>
            <w:tcW w:w="990" w:type="dxa"/>
            <w:vAlign w:val="center"/>
          </w:tcPr>
          <w:p w14:paraId="7291BACC"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9.</w:t>
            </w:r>
          </w:p>
        </w:tc>
        <w:tc>
          <w:tcPr>
            <w:tcW w:w="3600" w:type="dxa"/>
            <w:shd w:val="clear" w:color="auto" w:fill="auto"/>
            <w:noWrap/>
            <w:vAlign w:val="bottom"/>
            <w:hideMark/>
          </w:tcPr>
          <w:p w14:paraId="5BB812ED"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Repeat Crossmatch</w:t>
            </w:r>
          </w:p>
        </w:tc>
      </w:tr>
      <w:tr w:rsidR="008964A9" w:rsidRPr="00490D9B" w14:paraId="4BCF469B" w14:textId="77777777" w:rsidTr="008964A9">
        <w:trPr>
          <w:trHeight w:val="259"/>
        </w:trPr>
        <w:tc>
          <w:tcPr>
            <w:tcW w:w="990" w:type="dxa"/>
            <w:vAlign w:val="center"/>
          </w:tcPr>
          <w:p w14:paraId="041B08ED"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10.</w:t>
            </w:r>
          </w:p>
        </w:tc>
        <w:tc>
          <w:tcPr>
            <w:tcW w:w="3600" w:type="dxa"/>
            <w:shd w:val="clear" w:color="auto" w:fill="auto"/>
            <w:noWrap/>
            <w:vAlign w:val="bottom"/>
            <w:hideMark/>
          </w:tcPr>
          <w:p w14:paraId="1C322C04"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Patient IgG DAT AHG</w:t>
            </w:r>
          </w:p>
        </w:tc>
      </w:tr>
      <w:tr w:rsidR="008964A9" w:rsidRPr="00490D9B" w14:paraId="201FE1F7" w14:textId="77777777" w:rsidTr="008964A9">
        <w:trPr>
          <w:trHeight w:val="259"/>
        </w:trPr>
        <w:tc>
          <w:tcPr>
            <w:tcW w:w="990" w:type="dxa"/>
            <w:vAlign w:val="center"/>
          </w:tcPr>
          <w:p w14:paraId="69D48824"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11.</w:t>
            </w:r>
          </w:p>
        </w:tc>
        <w:tc>
          <w:tcPr>
            <w:tcW w:w="3600" w:type="dxa"/>
            <w:shd w:val="clear" w:color="auto" w:fill="auto"/>
            <w:noWrap/>
            <w:vAlign w:val="bottom"/>
            <w:hideMark/>
          </w:tcPr>
          <w:p w14:paraId="1977B322"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Repeat Patient IgG DAT AHG</w:t>
            </w:r>
          </w:p>
        </w:tc>
      </w:tr>
      <w:tr w:rsidR="008964A9" w:rsidRPr="00490D9B" w14:paraId="227542B4" w14:textId="77777777" w:rsidTr="008964A9">
        <w:trPr>
          <w:trHeight w:val="259"/>
        </w:trPr>
        <w:tc>
          <w:tcPr>
            <w:tcW w:w="990" w:type="dxa"/>
            <w:vAlign w:val="center"/>
          </w:tcPr>
          <w:p w14:paraId="022C8691"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12.</w:t>
            </w:r>
          </w:p>
        </w:tc>
        <w:tc>
          <w:tcPr>
            <w:tcW w:w="3600" w:type="dxa"/>
            <w:shd w:val="clear" w:color="auto" w:fill="auto"/>
            <w:noWrap/>
            <w:vAlign w:val="bottom"/>
            <w:hideMark/>
          </w:tcPr>
          <w:p w14:paraId="0133273F"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Patient C3 DAT AHG</w:t>
            </w:r>
          </w:p>
        </w:tc>
      </w:tr>
      <w:tr w:rsidR="008964A9" w:rsidRPr="00490D9B" w14:paraId="76914DD6" w14:textId="77777777" w:rsidTr="008964A9">
        <w:trPr>
          <w:trHeight w:val="259"/>
        </w:trPr>
        <w:tc>
          <w:tcPr>
            <w:tcW w:w="990" w:type="dxa"/>
            <w:vAlign w:val="center"/>
          </w:tcPr>
          <w:p w14:paraId="078CC150"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13.</w:t>
            </w:r>
          </w:p>
        </w:tc>
        <w:tc>
          <w:tcPr>
            <w:tcW w:w="3600" w:type="dxa"/>
            <w:shd w:val="clear" w:color="auto" w:fill="auto"/>
            <w:noWrap/>
            <w:vAlign w:val="bottom"/>
            <w:hideMark/>
          </w:tcPr>
          <w:p w14:paraId="3DE0DD29"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Repeat Patient C3 DAT AHG</w:t>
            </w:r>
          </w:p>
        </w:tc>
      </w:tr>
      <w:tr w:rsidR="008964A9" w:rsidRPr="00490D9B" w14:paraId="1AF6FF7D" w14:textId="77777777" w:rsidTr="008964A9">
        <w:trPr>
          <w:trHeight w:val="259"/>
        </w:trPr>
        <w:tc>
          <w:tcPr>
            <w:tcW w:w="990" w:type="dxa"/>
            <w:vAlign w:val="center"/>
          </w:tcPr>
          <w:p w14:paraId="3F640E77"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14.</w:t>
            </w:r>
          </w:p>
        </w:tc>
        <w:tc>
          <w:tcPr>
            <w:tcW w:w="3600" w:type="dxa"/>
            <w:shd w:val="clear" w:color="auto" w:fill="auto"/>
            <w:noWrap/>
            <w:vAlign w:val="bottom"/>
            <w:hideMark/>
          </w:tcPr>
          <w:p w14:paraId="7C8BD1A7"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Patient Antigen Typing</w:t>
            </w:r>
          </w:p>
        </w:tc>
      </w:tr>
      <w:tr w:rsidR="008964A9" w:rsidRPr="00490D9B" w14:paraId="1C149A2B" w14:textId="77777777" w:rsidTr="008964A9">
        <w:trPr>
          <w:trHeight w:val="259"/>
        </w:trPr>
        <w:tc>
          <w:tcPr>
            <w:tcW w:w="990" w:type="dxa"/>
            <w:vAlign w:val="center"/>
          </w:tcPr>
          <w:p w14:paraId="10B40FCB"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15.</w:t>
            </w:r>
          </w:p>
        </w:tc>
        <w:tc>
          <w:tcPr>
            <w:tcW w:w="3600" w:type="dxa"/>
            <w:shd w:val="clear" w:color="auto" w:fill="auto"/>
            <w:noWrap/>
            <w:vAlign w:val="bottom"/>
            <w:hideMark/>
          </w:tcPr>
          <w:p w14:paraId="66CE86C1"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Repeat Patient Antigen Typing</w:t>
            </w:r>
          </w:p>
        </w:tc>
      </w:tr>
      <w:tr w:rsidR="008964A9" w:rsidRPr="00490D9B" w14:paraId="714DE6C6" w14:textId="77777777" w:rsidTr="008964A9">
        <w:trPr>
          <w:trHeight w:val="259"/>
        </w:trPr>
        <w:tc>
          <w:tcPr>
            <w:tcW w:w="990" w:type="dxa"/>
            <w:vAlign w:val="center"/>
          </w:tcPr>
          <w:p w14:paraId="5D6B275B"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16.</w:t>
            </w:r>
          </w:p>
        </w:tc>
        <w:tc>
          <w:tcPr>
            <w:tcW w:w="3600" w:type="dxa"/>
            <w:shd w:val="clear" w:color="auto" w:fill="auto"/>
            <w:noWrap/>
            <w:vAlign w:val="bottom"/>
            <w:hideMark/>
          </w:tcPr>
          <w:p w14:paraId="72D1AFB0"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Unit ABO/Rh</w:t>
            </w:r>
          </w:p>
        </w:tc>
      </w:tr>
      <w:tr w:rsidR="008964A9" w:rsidRPr="00490D9B" w14:paraId="45B31D80" w14:textId="77777777" w:rsidTr="008964A9">
        <w:trPr>
          <w:trHeight w:val="259"/>
        </w:trPr>
        <w:tc>
          <w:tcPr>
            <w:tcW w:w="990" w:type="dxa"/>
            <w:vAlign w:val="center"/>
          </w:tcPr>
          <w:p w14:paraId="549B333D"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17.</w:t>
            </w:r>
          </w:p>
        </w:tc>
        <w:tc>
          <w:tcPr>
            <w:tcW w:w="3600" w:type="dxa"/>
            <w:shd w:val="clear" w:color="auto" w:fill="auto"/>
            <w:noWrap/>
            <w:vAlign w:val="bottom"/>
            <w:hideMark/>
          </w:tcPr>
          <w:p w14:paraId="610987FF"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Unit Antigen Typing</w:t>
            </w:r>
          </w:p>
        </w:tc>
      </w:tr>
    </w:tbl>
    <w:p w14:paraId="037F8581" w14:textId="77777777" w:rsidR="00B45FA2" w:rsidRDefault="00B45FA2" w:rsidP="007A4841">
      <w:pPr>
        <w:pStyle w:val="Heading2"/>
      </w:pPr>
      <w:r>
        <w:br w:type="page"/>
      </w:r>
      <w:bookmarkStart w:id="551" w:name="_Toc4588831"/>
      <w:r>
        <w:lastRenderedPageBreak/>
        <w:t>Automated Testing Review</w:t>
      </w:r>
      <w:r w:rsidR="00836786">
        <w:t xml:space="preserve"> for Blood Unit</w:t>
      </w:r>
      <w:r w:rsidR="007B52EA">
        <w:t>s</w:t>
      </w:r>
      <w:bookmarkEnd w:id="551"/>
      <w:r w:rsidR="00836786" w:rsidRPr="00836786">
        <w:rPr>
          <w:vanish/>
        </w:rPr>
        <w:t>{ XE “Automated Testing Review f</w:t>
      </w:r>
      <w:r w:rsidR="00BE554D" w:rsidRPr="00836786">
        <w:rPr>
          <w:vanish/>
        </w:rPr>
        <w:t xml:space="preserve">or </w:t>
      </w:r>
      <w:r w:rsidR="00F130A1" w:rsidRPr="00836786">
        <w:rPr>
          <w:vanish/>
        </w:rPr>
        <w:t>Blood Unit ABO/Rh</w:t>
      </w:r>
      <w:r w:rsidR="00836786" w:rsidRPr="00836786">
        <w:rPr>
          <w:vanish/>
        </w:rPr>
        <w:t>” }</w:t>
      </w:r>
      <w:r w:rsidRPr="00836786">
        <w:rPr>
          <w:rFonts w:ascii="Times New Roman" w:hAnsi="Times New Roman" w:cs="Times New Roman"/>
          <w:b w:val="0"/>
          <w:i w:val="0"/>
          <w:vanish/>
          <w:sz w:val="22"/>
        </w:rPr>
        <w:t>UC_115</w:t>
      </w:r>
    </w:p>
    <w:p w14:paraId="4E315CB6" w14:textId="7EF7C50C" w:rsidR="00D23C29" w:rsidRDefault="00D23C29" w:rsidP="00B45FA2">
      <w:pPr>
        <w:pStyle w:val="Heading4"/>
        <w:rPr>
          <w:rFonts w:ascii="Times New Roman" w:hAnsi="Times New Roman"/>
          <w:b w:val="0"/>
          <w:spacing w:val="-5"/>
          <w:szCs w:val="22"/>
        </w:rPr>
      </w:pPr>
      <w:r>
        <w:rPr>
          <w:rFonts w:ascii="Times New Roman" w:hAnsi="Times New Roman"/>
          <w:b w:val="0"/>
          <w:spacing w:val="-5"/>
          <w:szCs w:val="22"/>
        </w:rPr>
        <w:t>A</w:t>
      </w:r>
      <w:r w:rsidRPr="00D23C29">
        <w:rPr>
          <w:rFonts w:ascii="Times New Roman" w:hAnsi="Times New Roman"/>
          <w:b w:val="0"/>
          <w:spacing w:val="-5"/>
          <w:szCs w:val="22"/>
        </w:rPr>
        <w:t>llow</w:t>
      </w:r>
      <w:r>
        <w:rPr>
          <w:rFonts w:ascii="Times New Roman" w:hAnsi="Times New Roman"/>
          <w:b w:val="0"/>
          <w:spacing w:val="-5"/>
          <w:szCs w:val="22"/>
        </w:rPr>
        <w:t>s</w:t>
      </w:r>
      <w:r w:rsidR="00B80078">
        <w:rPr>
          <w:rFonts w:ascii="Times New Roman" w:hAnsi="Times New Roman"/>
          <w:b w:val="0"/>
          <w:spacing w:val="-5"/>
          <w:szCs w:val="22"/>
        </w:rPr>
        <w:t xml:space="preserve"> the user to review and approve testing results completed on an automated instrument and transmitted </w:t>
      </w:r>
      <w:r w:rsidR="006549B7">
        <w:rPr>
          <w:rFonts w:ascii="Times New Roman" w:hAnsi="Times New Roman"/>
          <w:b w:val="0"/>
          <w:spacing w:val="-5"/>
          <w:szCs w:val="22"/>
        </w:rPr>
        <w:t>to VBECS</w:t>
      </w:r>
      <w:r w:rsidRPr="00D23C29">
        <w:rPr>
          <w:rFonts w:ascii="Times New Roman" w:hAnsi="Times New Roman"/>
          <w:b w:val="0"/>
          <w:spacing w:val="-5"/>
          <w:szCs w:val="22"/>
        </w:rPr>
        <w:t>.</w:t>
      </w:r>
    </w:p>
    <w:p w14:paraId="56BE8A75" w14:textId="77777777" w:rsidR="00B45FA2" w:rsidRPr="00D23C29" w:rsidRDefault="00B45FA2" w:rsidP="00B45FA2">
      <w:pPr>
        <w:pStyle w:val="Heading4"/>
      </w:pPr>
      <w:r w:rsidRPr="00D23C29">
        <w:t xml:space="preserve">Assumptions </w:t>
      </w:r>
      <w:r w:rsidR="00A134D8" w:rsidRPr="00A134D8">
        <w:rPr>
          <w:rFonts w:ascii="Arial Bold" w:hAnsi="Arial Bold"/>
          <w:vanish/>
        </w:rPr>
        <w:t>Defect 357490</w:t>
      </w:r>
    </w:p>
    <w:p w14:paraId="66D28A43" w14:textId="77777777" w:rsidR="00B45FA2" w:rsidRPr="009A3F10" w:rsidRDefault="00B45FA2" w:rsidP="000409B1">
      <w:pPr>
        <w:pStyle w:val="TableText"/>
        <w:numPr>
          <w:ilvl w:val="0"/>
          <w:numId w:val="48"/>
        </w:numPr>
        <w:rPr>
          <w:rFonts w:ascii="Times New Roman" w:hAnsi="Times New Roman"/>
          <w:spacing w:val="-5"/>
          <w:sz w:val="22"/>
          <w:szCs w:val="22"/>
        </w:rPr>
      </w:pPr>
      <w:r w:rsidRPr="009A3F10">
        <w:rPr>
          <w:rFonts w:ascii="Times New Roman" w:hAnsi="Times New Roman"/>
          <w:spacing w:val="-5"/>
          <w:sz w:val="22"/>
          <w:szCs w:val="22"/>
        </w:rPr>
        <w:t>Division is defined as full service.</w:t>
      </w:r>
    </w:p>
    <w:p w14:paraId="360F0B6D" w14:textId="77777777" w:rsidR="00B45FA2" w:rsidRPr="009A3F10" w:rsidRDefault="00B45FA2" w:rsidP="000409B1">
      <w:pPr>
        <w:pStyle w:val="TableText"/>
        <w:numPr>
          <w:ilvl w:val="0"/>
          <w:numId w:val="48"/>
        </w:numPr>
        <w:rPr>
          <w:rFonts w:ascii="Times New Roman" w:hAnsi="Times New Roman"/>
          <w:spacing w:val="-5"/>
          <w:sz w:val="22"/>
          <w:szCs w:val="22"/>
        </w:rPr>
      </w:pPr>
      <w:r w:rsidRPr="009A3F10">
        <w:rPr>
          <w:rFonts w:ascii="Times New Roman" w:hAnsi="Times New Roman"/>
          <w:spacing w:val="-5"/>
          <w:sz w:val="22"/>
          <w:szCs w:val="22"/>
        </w:rPr>
        <w:t>The testing instrument is fully functional and available for use. The instrument QC is completed and valid, no maintenance is required. No QC information is transmitted to VBECS in the HL7 message.</w:t>
      </w:r>
    </w:p>
    <w:p w14:paraId="7A361B54" w14:textId="77777777" w:rsidR="00B45FA2" w:rsidRPr="009A3F10" w:rsidRDefault="00B45FA2" w:rsidP="000409B1">
      <w:pPr>
        <w:pStyle w:val="TableText"/>
        <w:numPr>
          <w:ilvl w:val="0"/>
          <w:numId w:val="48"/>
        </w:numPr>
        <w:rPr>
          <w:rFonts w:ascii="Times New Roman" w:hAnsi="Times New Roman"/>
          <w:spacing w:val="-5"/>
          <w:sz w:val="22"/>
          <w:szCs w:val="22"/>
        </w:rPr>
      </w:pPr>
      <w:r w:rsidRPr="009A3F10">
        <w:rPr>
          <w:rFonts w:ascii="Times New Roman" w:hAnsi="Times New Roman"/>
          <w:spacing w:val="-5"/>
          <w:sz w:val="22"/>
          <w:szCs w:val="22"/>
        </w:rPr>
        <w:t>Message is received</w:t>
      </w:r>
      <w:r w:rsidR="00B80078">
        <w:rPr>
          <w:rFonts w:ascii="Times New Roman" w:hAnsi="Times New Roman"/>
          <w:spacing w:val="-5"/>
          <w:sz w:val="22"/>
          <w:szCs w:val="22"/>
        </w:rPr>
        <w:t xml:space="preserve"> successfully as defined in </w:t>
      </w:r>
      <w:r w:rsidRPr="009A3F10">
        <w:rPr>
          <w:rFonts w:ascii="Times New Roman" w:hAnsi="Times New Roman"/>
          <w:spacing w:val="-5"/>
          <w:sz w:val="22"/>
          <w:szCs w:val="22"/>
        </w:rPr>
        <w:t>Automated Testing Interface.</w:t>
      </w:r>
    </w:p>
    <w:p w14:paraId="08C35157" w14:textId="77777777" w:rsidR="00B45FA2" w:rsidRPr="009A3F10" w:rsidRDefault="00B45FA2" w:rsidP="000409B1">
      <w:pPr>
        <w:pStyle w:val="TableTextBullet"/>
        <w:numPr>
          <w:ilvl w:val="0"/>
          <w:numId w:val="48"/>
        </w:numPr>
        <w:rPr>
          <w:rFonts w:ascii="Times New Roman" w:hAnsi="Times New Roman"/>
          <w:spacing w:val="-5"/>
          <w:sz w:val="22"/>
          <w:szCs w:val="22"/>
        </w:rPr>
      </w:pPr>
      <w:r w:rsidRPr="009A3F10">
        <w:rPr>
          <w:rFonts w:ascii="Times New Roman" w:hAnsi="Times New Roman"/>
          <w:spacing w:val="-5"/>
          <w:sz w:val="22"/>
          <w:szCs w:val="22"/>
        </w:rPr>
        <w:t>The blood unit records are in the VBECS database for ABO/Rh confirmation or Unit Antigen Typing.</w:t>
      </w:r>
    </w:p>
    <w:p w14:paraId="481438C4" w14:textId="77777777" w:rsidR="00B45FA2" w:rsidRPr="009A3F10" w:rsidRDefault="00B45FA2" w:rsidP="000409B1">
      <w:pPr>
        <w:numPr>
          <w:ilvl w:val="0"/>
          <w:numId w:val="48"/>
        </w:numPr>
        <w:rPr>
          <w:spacing w:val="-5"/>
          <w:sz w:val="22"/>
          <w:szCs w:val="22"/>
        </w:rPr>
      </w:pPr>
      <w:r w:rsidRPr="009A3F10">
        <w:rPr>
          <w:spacing w:val="-5"/>
          <w:sz w:val="22"/>
          <w:szCs w:val="22"/>
        </w:rPr>
        <w:t>Each transmitted test must include its results and interpretati</w:t>
      </w:r>
      <w:r w:rsidR="00B80078">
        <w:rPr>
          <w:spacing w:val="-5"/>
          <w:sz w:val="22"/>
          <w:szCs w:val="22"/>
        </w:rPr>
        <w:t>on</w:t>
      </w:r>
      <w:r w:rsidRPr="009A3F10">
        <w:rPr>
          <w:spacing w:val="-5"/>
          <w:sz w:val="22"/>
          <w:szCs w:val="22"/>
        </w:rPr>
        <w:t>.</w:t>
      </w:r>
    </w:p>
    <w:p w14:paraId="4AD29FF4" w14:textId="77777777" w:rsidR="00B45FA2" w:rsidRDefault="00B45FA2" w:rsidP="00B45FA2">
      <w:pPr>
        <w:pStyle w:val="Heading4"/>
      </w:pPr>
      <w:r>
        <w:t xml:space="preserve">Outcome </w:t>
      </w:r>
    </w:p>
    <w:p w14:paraId="0D4F2AEF" w14:textId="77777777" w:rsidR="003F0E4F" w:rsidRPr="00D23C29" w:rsidRDefault="003F0E4F" w:rsidP="000409B1">
      <w:pPr>
        <w:pStyle w:val="TableTextBullet"/>
        <w:numPr>
          <w:ilvl w:val="0"/>
          <w:numId w:val="48"/>
        </w:numPr>
        <w:ind w:right="63"/>
        <w:rPr>
          <w:rFonts w:ascii="Times New Roman" w:hAnsi="Times New Roman"/>
          <w:spacing w:val="-5"/>
          <w:sz w:val="22"/>
          <w:szCs w:val="22"/>
        </w:rPr>
      </w:pPr>
      <w:r w:rsidRPr="00D23C29">
        <w:rPr>
          <w:rFonts w:ascii="Times New Roman" w:hAnsi="Times New Roman"/>
          <w:spacing w:val="-5"/>
          <w:sz w:val="22"/>
          <w:szCs w:val="22"/>
        </w:rPr>
        <w:t>The test record will capture the details of the verified testing. Completed, current unit and specimen test results will be available for the life of the system for inclusion in various reports generated to document patient and unit testing.</w:t>
      </w:r>
    </w:p>
    <w:p w14:paraId="312EDDC1" w14:textId="77777777" w:rsidR="003F0E4F" w:rsidRPr="00D23C29" w:rsidRDefault="003F0E4F" w:rsidP="000409B1">
      <w:pPr>
        <w:pStyle w:val="TableTextBullet"/>
        <w:numPr>
          <w:ilvl w:val="0"/>
          <w:numId w:val="48"/>
        </w:numPr>
        <w:ind w:right="63"/>
        <w:rPr>
          <w:rFonts w:ascii="Times New Roman" w:hAnsi="Times New Roman"/>
          <w:spacing w:val="-5"/>
          <w:sz w:val="22"/>
          <w:szCs w:val="22"/>
        </w:rPr>
      </w:pPr>
      <w:r w:rsidRPr="00D23C29">
        <w:rPr>
          <w:rFonts w:ascii="Times New Roman" w:hAnsi="Times New Roman"/>
          <w:spacing w:val="-5"/>
          <w:sz w:val="22"/>
          <w:szCs w:val="22"/>
        </w:rPr>
        <w:t>Unit(s) will have ABO/Rh and antigen test results recorded in the database.</w:t>
      </w:r>
    </w:p>
    <w:p w14:paraId="6DFE012A" w14:textId="77777777" w:rsidR="003F0E4F" w:rsidRPr="00D23C29" w:rsidRDefault="003F0E4F" w:rsidP="000409B1">
      <w:pPr>
        <w:pStyle w:val="TableTextBullet"/>
        <w:numPr>
          <w:ilvl w:val="0"/>
          <w:numId w:val="48"/>
        </w:numPr>
        <w:ind w:right="63"/>
        <w:rPr>
          <w:rFonts w:ascii="Times New Roman" w:hAnsi="Times New Roman"/>
          <w:spacing w:val="-5"/>
          <w:sz w:val="22"/>
          <w:szCs w:val="22"/>
        </w:rPr>
      </w:pPr>
      <w:r w:rsidRPr="00D23C29">
        <w:rPr>
          <w:rFonts w:ascii="Times New Roman" w:hAnsi="Times New Roman"/>
          <w:spacing w:val="-5"/>
          <w:sz w:val="22"/>
          <w:szCs w:val="22"/>
        </w:rPr>
        <w:t>The system updates the workload reporting in VBECS</w:t>
      </w:r>
      <w:r w:rsidR="00A134D8">
        <w:rPr>
          <w:rFonts w:ascii="Times New Roman" w:hAnsi="Times New Roman"/>
          <w:spacing w:val="-5"/>
          <w:sz w:val="22"/>
          <w:szCs w:val="22"/>
        </w:rPr>
        <w:t xml:space="preserve">. </w:t>
      </w:r>
      <w:r w:rsidR="00A134D8" w:rsidRPr="00A134D8">
        <w:rPr>
          <w:rFonts w:ascii="Times New Roman" w:hAnsi="Times New Roman"/>
          <w:vanish/>
          <w:spacing w:val="-5"/>
          <w:sz w:val="22"/>
          <w:szCs w:val="22"/>
        </w:rPr>
        <w:t>Defect 357490</w:t>
      </w:r>
    </w:p>
    <w:p w14:paraId="447F901C" w14:textId="77777777" w:rsidR="00B45FA2" w:rsidRDefault="00B45FA2" w:rsidP="003F0E4F">
      <w:pPr>
        <w:pStyle w:val="Heading4"/>
      </w:pPr>
      <w:r>
        <w:t>Limitations and Restrictions</w:t>
      </w:r>
      <w:r>
        <w:rPr>
          <w:b w:val="0"/>
        </w:rPr>
        <w:t xml:space="preserve"> </w:t>
      </w:r>
    </w:p>
    <w:p w14:paraId="6CC852B8" w14:textId="77777777" w:rsidR="00B45FA2" w:rsidRPr="009A3F10" w:rsidRDefault="00B45FA2" w:rsidP="000409B1">
      <w:pPr>
        <w:pStyle w:val="TableText"/>
        <w:numPr>
          <w:ilvl w:val="0"/>
          <w:numId w:val="48"/>
        </w:numPr>
        <w:rPr>
          <w:rFonts w:ascii="Times New Roman" w:hAnsi="Times New Roman"/>
          <w:spacing w:val="-5"/>
          <w:sz w:val="22"/>
          <w:szCs w:val="22"/>
        </w:rPr>
      </w:pPr>
      <w:r w:rsidRPr="009A3F10">
        <w:rPr>
          <w:rFonts w:ascii="Times New Roman" w:hAnsi="Times New Roman"/>
          <w:spacing w:val="-5"/>
          <w:sz w:val="22"/>
          <w:szCs w:val="22"/>
        </w:rPr>
        <w:t xml:space="preserve">VBECS does not accept inconclusive ABO/Rh test results.  </w:t>
      </w:r>
    </w:p>
    <w:p w14:paraId="5C1A40CC" w14:textId="77777777" w:rsidR="00B45FA2" w:rsidRPr="009A3F10" w:rsidRDefault="00E43DE4" w:rsidP="000409B1">
      <w:pPr>
        <w:pStyle w:val="TableText"/>
        <w:numPr>
          <w:ilvl w:val="0"/>
          <w:numId w:val="48"/>
        </w:numPr>
        <w:rPr>
          <w:rFonts w:ascii="Times New Roman" w:hAnsi="Times New Roman"/>
          <w:spacing w:val="-5"/>
          <w:sz w:val="22"/>
          <w:szCs w:val="22"/>
        </w:rPr>
      </w:pPr>
      <w:r>
        <w:rPr>
          <w:rFonts w:ascii="Times New Roman" w:hAnsi="Times New Roman"/>
          <w:spacing w:val="-5"/>
          <w:sz w:val="22"/>
          <w:szCs w:val="22"/>
        </w:rPr>
        <w:t>Pooled</w:t>
      </w:r>
      <w:r w:rsidR="00B45FA2" w:rsidRPr="009A3F10">
        <w:rPr>
          <w:rFonts w:ascii="Times New Roman" w:hAnsi="Times New Roman"/>
          <w:spacing w:val="-5"/>
          <w:sz w:val="22"/>
          <w:szCs w:val="22"/>
        </w:rPr>
        <w:t xml:space="preserve"> Product Types labeled with an Rh type of “Pooled” is considered an Rh Positive unit which does not require confirmation testing.</w:t>
      </w:r>
    </w:p>
    <w:p w14:paraId="7634B7EF" w14:textId="77777777" w:rsidR="00B45FA2" w:rsidRDefault="00B45FA2" w:rsidP="000409B1">
      <w:pPr>
        <w:pStyle w:val="TableText"/>
        <w:numPr>
          <w:ilvl w:val="0"/>
          <w:numId w:val="48"/>
        </w:numPr>
        <w:rPr>
          <w:rFonts w:ascii="Times New Roman" w:hAnsi="Times New Roman"/>
          <w:spacing w:val="-5"/>
          <w:sz w:val="22"/>
          <w:szCs w:val="22"/>
        </w:rPr>
      </w:pPr>
      <w:r w:rsidRPr="009A3F10">
        <w:rPr>
          <w:rFonts w:ascii="Times New Roman" w:hAnsi="Times New Roman"/>
          <w:spacing w:val="-5"/>
          <w:sz w:val="22"/>
          <w:szCs w:val="22"/>
        </w:rPr>
        <w:t>Pooled Product Types</w:t>
      </w:r>
      <w:r w:rsidRPr="009A3F10" w:rsidDel="00922FC4">
        <w:rPr>
          <w:rFonts w:ascii="Times New Roman" w:hAnsi="Times New Roman"/>
          <w:spacing w:val="-5"/>
          <w:sz w:val="22"/>
          <w:szCs w:val="22"/>
        </w:rPr>
        <w:t xml:space="preserve"> </w:t>
      </w:r>
      <w:r w:rsidRPr="009A3F10">
        <w:rPr>
          <w:rFonts w:ascii="Times New Roman" w:hAnsi="Times New Roman"/>
          <w:spacing w:val="-5"/>
          <w:sz w:val="22"/>
          <w:szCs w:val="22"/>
        </w:rPr>
        <w:t>that require confirmation, labeled with an ABO group of “Pooled” cannot be confirmed. A blood component unit received as “POOLED ABO” will have to be transfused using the Supervisory option, Document ABO Incompatible Transfusion.</w:t>
      </w:r>
    </w:p>
    <w:p w14:paraId="5F814641" w14:textId="77777777" w:rsidR="004926E0" w:rsidRPr="00DA27C7" w:rsidRDefault="00057948" w:rsidP="000409B1">
      <w:pPr>
        <w:pStyle w:val="TableText"/>
        <w:numPr>
          <w:ilvl w:val="0"/>
          <w:numId w:val="48"/>
        </w:numPr>
        <w:rPr>
          <w:rFonts w:ascii="Times New Roman" w:hAnsi="Times New Roman"/>
          <w:spacing w:val="-5"/>
          <w:sz w:val="22"/>
          <w:szCs w:val="22"/>
        </w:rPr>
      </w:pPr>
      <w:r>
        <w:rPr>
          <w:noProof/>
        </w:rPr>
        <w:drawing>
          <wp:inline distT="0" distB="0" distL="0" distR="0" wp14:anchorId="14C72851" wp14:editId="77A7A3D1">
            <wp:extent cx="267970" cy="221615"/>
            <wp:effectExtent l="0" t="0" r="0" b="6985"/>
            <wp:docPr id="263" name="Picture 263" descr="P9535#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P9535#yIS1">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4926E0">
        <w:t xml:space="preserve"> </w:t>
      </w:r>
      <w:r w:rsidR="004926E0" w:rsidRPr="00D33B43">
        <w:rPr>
          <w:rFonts w:ascii="Times New Roman" w:hAnsi="Times New Roman"/>
          <w:spacing w:val="-5"/>
          <w:sz w:val="22"/>
          <w:szCs w:val="22"/>
        </w:rPr>
        <w:t>Users can select and assign multiple units with the same DIN and different product codes for crossmatch. Users can only process one DIN (e.g., W123400345345) on the Automated Instrument at a time. It is incumbent on the user to verify that the crossmatch result from the Automated Instrument matches the product code (e.g., E0134V00) associated with the patient in VBECS. To decrease the risk of a mislabeled unit at issue, local practice may want to have only one on the units selected in VBECS at a time when crossmatch testing is being performed on the automated instrument.</w:t>
      </w:r>
      <w:r w:rsidR="00A134D8">
        <w:rPr>
          <w:rFonts w:ascii="Times New Roman" w:hAnsi="Times New Roman"/>
          <w:spacing w:val="-5"/>
          <w:sz w:val="22"/>
          <w:szCs w:val="22"/>
        </w:rPr>
        <w:t xml:space="preserve"> </w:t>
      </w:r>
      <w:r w:rsidR="00A134D8" w:rsidRPr="005028F8">
        <w:rPr>
          <w:rFonts w:ascii="Times New Roman" w:hAnsi="Times New Roman"/>
          <w:vanish/>
          <w:spacing w:val="-5"/>
          <w:sz w:val="22"/>
          <w:szCs w:val="22"/>
        </w:rPr>
        <w:t>Defect 357490</w:t>
      </w:r>
    </w:p>
    <w:p w14:paraId="7D712452" w14:textId="77777777" w:rsidR="00D31EC9" w:rsidRPr="009A3F10" w:rsidRDefault="00D31EC9" w:rsidP="000409B1">
      <w:pPr>
        <w:pStyle w:val="TableText"/>
        <w:numPr>
          <w:ilvl w:val="0"/>
          <w:numId w:val="48"/>
        </w:numPr>
        <w:rPr>
          <w:rFonts w:ascii="Times New Roman" w:hAnsi="Times New Roman"/>
          <w:spacing w:val="-5"/>
          <w:sz w:val="22"/>
          <w:szCs w:val="22"/>
        </w:rPr>
      </w:pPr>
      <w:r w:rsidRPr="00D31EC9">
        <w:rPr>
          <w:rFonts w:ascii="Times New Roman" w:hAnsi="Times New Roman"/>
          <w:spacing w:val="-5"/>
          <w:sz w:val="22"/>
          <w:szCs w:val="22"/>
        </w:rPr>
        <w:t>When a user chooses to reject a transmitted test, a comment is required. The comment is stored but is not available for review on a report at this time. It is recommended that the test is reviewed in the instrument and not sent to VBECS as a result for rejection.</w:t>
      </w:r>
      <w:r>
        <w:rPr>
          <w:rFonts w:ascii="Times New Roman" w:hAnsi="Times New Roman"/>
          <w:spacing w:val="-5"/>
          <w:sz w:val="22"/>
          <w:szCs w:val="22"/>
        </w:rPr>
        <w:t xml:space="preserve"> </w:t>
      </w:r>
      <w:r w:rsidRPr="005028F8">
        <w:rPr>
          <w:rFonts w:ascii="Times New Roman" w:hAnsi="Times New Roman"/>
          <w:vanish/>
          <w:spacing w:val="-5"/>
          <w:sz w:val="22"/>
          <w:szCs w:val="22"/>
        </w:rPr>
        <w:t>Defect 382981</w:t>
      </w:r>
    </w:p>
    <w:p w14:paraId="788B4F87" w14:textId="77777777" w:rsidR="00B45FA2" w:rsidRDefault="00B45FA2" w:rsidP="00B45FA2">
      <w:pPr>
        <w:pStyle w:val="Heading4"/>
      </w:pPr>
      <w:r>
        <w:t xml:space="preserve">Additional Information </w:t>
      </w:r>
    </w:p>
    <w:p w14:paraId="1376E40F" w14:textId="77777777" w:rsidR="00B45FA2" w:rsidRPr="002275D4" w:rsidRDefault="00B45FA2" w:rsidP="000409B1">
      <w:pPr>
        <w:pStyle w:val="TableText"/>
        <w:numPr>
          <w:ilvl w:val="0"/>
          <w:numId w:val="48"/>
        </w:numPr>
        <w:rPr>
          <w:rFonts w:ascii="Times New Roman" w:hAnsi="Times New Roman"/>
          <w:spacing w:val="-5"/>
          <w:sz w:val="22"/>
          <w:szCs w:val="22"/>
        </w:rPr>
      </w:pPr>
      <w:r w:rsidRPr="006E44D8">
        <w:rPr>
          <w:rFonts w:ascii="Times New Roman" w:hAnsi="Times New Roman"/>
          <w:spacing w:val="-5"/>
          <w:sz w:val="22"/>
          <w:szCs w:val="22"/>
        </w:rPr>
        <w:t>When Workload is</w:t>
      </w:r>
      <w:r w:rsidR="00B80078">
        <w:rPr>
          <w:rFonts w:ascii="Times New Roman" w:hAnsi="Times New Roman"/>
          <w:spacing w:val="-5"/>
          <w:sz w:val="22"/>
          <w:szCs w:val="22"/>
        </w:rPr>
        <w:t xml:space="preserve"> not configured per </w:t>
      </w:r>
      <w:r w:rsidRPr="006E44D8">
        <w:rPr>
          <w:rFonts w:ascii="Times New Roman" w:hAnsi="Times New Roman"/>
          <w:spacing w:val="-5"/>
          <w:sz w:val="22"/>
          <w:szCs w:val="22"/>
        </w:rPr>
        <w:t>Workload Codes, then Workload cannot be collected.</w:t>
      </w:r>
    </w:p>
    <w:p w14:paraId="5317CA39" w14:textId="77777777" w:rsidR="00B45FA2" w:rsidRDefault="00B45FA2" w:rsidP="00B45FA2">
      <w:pPr>
        <w:pStyle w:val="Heading4"/>
        <w:rPr>
          <w:b w:val="0"/>
        </w:rPr>
      </w:pPr>
      <w:r>
        <w:t>User Roles with Access to This Option</w:t>
      </w:r>
      <w:r>
        <w:rPr>
          <w:b w:val="0"/>
        </w:rPr>
        <w:t xml:space="preserve"> </w:t>
      </w:r>
    </w:p>
    <w:p w14:paraId="52B5BE14" w14:textId="77777777" w:rsidR="00B45FA2" w:rsidRDefault="00B45FA2" w:rsidP="00B45FA2">
      <w:pPr>
        <w:pStyle w:val="Roles"/>
      </w:pPr>
      <w:r>
        <w:t>All users</w:t>
      </w:r>
    </w:p>
    <w:p w14:paraId="2149E926" w14:textId="77777777" w:rsidR="00B45FA2" w:rsidRPr="00311A54" w:rsidRDefault="009068D5" w:rsidP="00B45FA2">
      <w:pPr>
        <w:pStyle w:val="Heading4"/>
      </w:pPr>
      <w:r w:rsidRPr="00311A54">
        <w:lastRenderedPageBreak/>
        <w:t>Automated Testing Review</w:t>
      </w:r>
    </w:p>
    <w:p w14:paraId="2B820F27" w14:textId="77777777" w:rsidR="008F1BE0" w:rsidRDefault="00311A54" w:rsidP="00311A54">
      <w:pPr>
        <w:pStyle w:val="BodyText"/>
      </w:pPr>
      <w:r>
        <w:t xml:space="preserve">This </w:t>
      </w:r>
      <w:r w:rsidR="00640909">
        <w:t>feature</w:t>
      </w:r>
      <w:r>
        <w:t xml:space="preserve"> allows the interface of automated blood banking instruments with VBECS through Data Innovati</w:t>
      </w:r>
      <w:r w:rsidR="00640909">
        <w:t xml:space="preserve">ons Instrument Manager. It </w:t>
      </w:r>
      <w:r>
        <w:t>eliminate</w:t>
      </w:r>
      <w:r w:rsidR="00640909">
        <w:t>s</w:t>
      </w:r>
      <w:r>
        <w:t xml:space="preserve"> the potential for human error associated with the manual entry of results from an automated instrument into</w:t>
      </w:r>
      <w:r w:rsidR="00640909">
        <w:t xml:space="preserve"> VBECS. It also eliminates the</w:t>
      </w:r>
      <w:r>
        <w:t xml:space="preserve"> potential for transcription errors that can lead to a patient safety issue of ABO incompatible transfusion. In addition to safety, these enhancements will also reduce the time spent entering results manually</w:t>
      </w:r>
      <w:r w:rsidRPr="00311A54">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B45FA2" w14:paraId="77780C2F" w14:textId="77777777" w:rsidTr="003F6E8A">
        <w:trPr>
          <w:cantSplit/>
          <w:tblHeader/>
        </w:trPr>
        <w:tc>
          <w:tcPr>
            <w:tcW w:w="3240" w:type="dxa"/>
            <w:shd w:val="pct30" w:color="auto" w:fill="FFFFFF"/>
            <w:vAlign w:val="bottom"/>
          </w:tcPr>
          <w:p w14:paraId="378C156C" w14:textId="77777777" w:rsidR="00B45FA2" w:rsidRDefault="00B45FA2" w:rsidP="003F6E8A">
            <w:pPr>
              <w:pStyle w:val="TableText"/>
              <w:rPr>
                <w:b/>
              </w:rPr>
            </w:pPr>
            <w:r>
              <w:rPr>
                <w:b/>
              </w:rPr>
              <w:t>User Action</w:t>
            </w:r>
          </w:p>
        </w:tc>
        <w:tc>
          <w:tcPr>
            <w:tcW w:w="6120" w:type="dxa"/>
            <w:shd w:val="pct30" w:color="auto" w:fill="FFFFFF"/>
            <w:vAlign w:val="bottom"/>
          </w:tcPr>
          <w:p w14:paraId="141EAA4D" w14:textId="77777777" w:rsidR="00B45FA2" w:rsidRDefault="00B45FA2" w:rsidP="003F6E8A">
            <w:pPr>
              <w:pStyle w:val="TableText"/>
              <w:rPr>
                <w:b/>
              </w:rPr>
            </w:pPr>
            <w:r>
              <w:rPr>
                <w:b/>
              </w:rPr>
              <w:t>VBECS</w:t>
            </w:r>
          </w:p>
        </w:tc>
      </w:tr>
      <w:tr w:rsidR="00B45FA2" w14:paraId="6BC96257" w14:textId="77777777" w:rsidTr="003F6E8A">
        <w:tc>
          <w:tcPr>
            <w:tcW w:w="3240" w:type="dxa"/>
          </w:tcPr>
          <w:p w14:paraId="53785A77" w14:textId="77777777" w:rsidR="00B45FA2" w:rsidRDefault="00141AB2" w:rsidP="000409B1">
            <w:pPr>
              <w:pStyle w:val="TableTextNumbers"/>
              <w:numPr>
                <w:ilvl w:val="0"/>
                <w:numId w:val="52"/>
              </w:numPr>
            </w:pPr>
            <w:r>
              <w:t xml:space="preserve">User logs into VBECS and selects </w:t>
            </w:r>
            <w:r w:rsidRPr="00307125">
              <w:rPr>
                <w:b/>
              </w:rPr>
              <w:t xml:space="preserve">Blood Units, </w:t>
            </w:r>
            <w:r w:rsidR="00307125" w:rsidRPr="00307125">
              <w:rPr>
                <w:b/>
              </w:rPr>
              <w:t>Automated Testing</w:t>
            </w:r>
            <w:r w:rsidR="00307125">
              <w:t xml:space="preserve"> from the main menu.</w:t>
            </w:r>
          </w:p>
          <w:p w14:paraId="4B335694" w14:textId="77777777" w:rsidR="00307125" w:rsidRDefault="00307125" w:rsidP="00307125">
            <w:pPr>
              <w:pStyle w:val="TableTextNumbers"/>
              <w:numPr>
                <w:ilvl w:val="0"/>
                <w:numId w:val="0"/>
              </w:numPr>
              <w:ind w:left="288"/>
            </w:pPr>
          </w:p>
          <w:p w14:paraId="0B8D5352" w14:textId="77777777" w:rsidR="00307125" w:rsidRDefault="00307125" w:rsidP="00307125">
            <w:pPr>
              <w:pStyle w:val="TableTextNumbers"/>
              <w:numPr>
                <w:ilvl w:val="0"/>
                <w:numId w:val="0"/>
              </w:numPr>
              <w:ind w:left="288"/>
            </w:pPr>
            <w:r>
              <w:t>Or</w:t>
            </w:r>
          </w:p>
          <w:p w14:paraId="47C22550" w14:textId="77777777" w:rsidR="00307125" w:rsidRDefault="00307125" w:rsidP="00307125">
            <w:pPr>
              <w:pStyle w:val="TableTextNumbers"/>
              <w:numPr>
                <w:ilvl w:val="0"/>
                <w:numId w:val="0"/>
              </w:numPr>
              <w:ind w:left="288"/>
            </w:pPr>
          </w:p>
          <w:p w14:paraId="7E1E5490" w14:textId="301E26FF" w:rsidR="00307125" w:rsidRDefault="00307125" w:rsidP="00307125">
            <w:pPr>
              <w:pStyle w:val="TableTextNumbers"/>
              <w:numPr>
                <w:ilvl w:val="0"/>
                <w:numId w:val="0"/>
              </w:numPr>
              <w:ind w:left="288"/>
            </w:pPr>
            <w:r>
              <w:t xml:space="preserve">User logs into VBECS and clicks on the </w:t>
            </w:r>
            <w:r w:rsidRPr="00307125">
              <w:rPr>
                <w:b/>
              </w:rPr>
              <w:t>Automated Testing Toolbar Icon</w:t>
            </w:r>
            <w:r>
              <w:t xml:space="preserve"> (blood drop with </w:t>
            </w:r>
            <w:r w:rsidR="002E5AC8">
              <w:t>lightning</w:t>
            </w:r>
            <w:r>
              <w:t xml:space="preserve"> bolt).</w:t>
            </w:r>
          </w:p>
        </w:tc>
        <w:tc>
          <w:tcPr>
            <w:tcW w:w="6120" w:type="dxa"/>
          </w:tcPr>
          <w:p w14:paraId="6C9F04BB" w14:textId="77777777" w:rsidR="00DB1497" w:rsidRDefault="00D279DE" w:rsidP="00BA1FF8">
            <w:pPr>
              <w:pStyle w:val="TableTextBullet"/>
            </w:pPr>
            <w:r>
              <w:t>Displays</w:t>
            </w:r>
            <w:r w:rsidR="00307125">
              <w:t xml:space="preserve"> the Automated Testing – Pending Blood Units window.</w:t>
            </w:r>
          </w:p>
          <w:p w14:paraId="2B8573D8" w14:textId="77777777" w:rsidR="00307125" w:rsidRDefault="00307125" w:rsidP="00BA1FF8">
            <w:pPr>
              <w:pStyle w:val="TableTextBullet"/>
            </w:pPr>
            <w:r>
              <w:t>Displays message when no pending blood units were found to review.</w:t>
            </w:r>
          </w:p>
          <w:p w14:paraId="39B9ED53" w14:textId="77777777" w:rsidR="00425938" w:rsidRDefault="00425938" w:rsidP="00425938">
            <w:pPr>
              <w:pStyle w:val="TableTextBullet"/>
              <w:numPr>
                <w:ilvl w:val="0"/>
                <w:numId w:val="0"/>
              </w:numPr>
              <w:ind w:left="288" w:hanging="288"/>
            </w:pPr>
          </w:p>
          <w:p w14:paraId="2CD26A69" w14:textId="77777777" w:rsidR="00425938" w:rsidRDefault="00057948" w:rsidP="00425938">
            <w:pPr>
              <w:pStyle w:val="TableText"/>
              <w:rPr>
                <w:b/>
                <w:bCs/>
                <w:szCs w:val="18"/>
              </w:rPr>
            </w:pPr>
            <w:r>
              <w:rPr>
                <w:b/>
                <w:bCs/>
                <w:noProof/>
              </w:rPr>
              <mc:AlternateContent>
                <mc:Choice Requires="wps">
                  <w:drawing>
                    <wp:anchor distT="0" distB="0" distL="114300" distR="114300" simplePos="0" relativeHeight="252065280" behindDoc="0" locked="0" layoutInCell="1" allowOverlap="1" wp14:anchorId="548C0DD4" wp14:editId="75447B30">
                      <wp:simplePos x="0" y="0"/>
                      <wp:positionH relativeFrom="column">
                        <wp:posOffset>457200</wp:posOffset>
                      </wp:positionH>
                      <wp:positionV relativeFrom="paragraph">
                        <wp:posOffset>65405</wp:posOffset>
                      </wp:positionV>
                      <wp:extent cx="3200400" cy="0"/>
                      <wp:effectExtent l="9525" t="17780" r="9525" b="10795"/>
                      <wp:wrapNone/>
                      <wp:docPr id="308" name="Line 1285" descr="P9554C4T10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BCEA3" id="Line 1285" o:spid="_x0000_s1026" alt="&quot;&quot;" style="position:absolute;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Ry5Ym8MBAABvAwAADgAAAAAAAAAAAAAAAAAu&#10;AgAAZHJzL2Uyb0RvYy54bWxQSwECLQAUAAYACAAAACEAF08wEtsAAAAIAQAADwAAAAAAAAAAAAAA&#10;AAAdBAAAZHJzL2Rvd25yZXYueG1sUEsFBgAAAAAEAAQA8wAAACUFAAAAAA==&#10;" strokeweight="1.5pt"/>
                  </w:pict>
                </mc:Fallback>
              </mc:AlternateContent>
            </w:r>
            <w:r w:rsidR="00425938">
              <w:rPr>
                <w:b/>
                <w:bCs/>
                <w:szCs w:val="18"/>
              </w:rPr>
              <w:t>NOTES</w:t>
            </w:r>
          </w:p>
          <w:p w14:paraId="1F490F25" w14:textId="77777777" w:rsidR="00425938" w:rsidRDefault="00425938" w:rsidP="00425938">
            <w:pPr>
              <w:pStyle w:val="TableTextBullet"/>
              <w:numPr>
                <w:ilvl w:val="0"/>
                <w:numId w:val="0"/>
              </w:numPr>
              <w:ind w:left="288" w:hanging="288"/>
            </w:pPr>
          </w:p>
          <w:p w14:paraId="50D6BF7A" w14:textId="77777777" w:rsidR="00425938" w:rsidRDefault="00425938" w:rsidP="00425938">
            <w:pPr>
              <w:pStyle w:val="TableText"/>
              <w:ind w:left="720"/>
            </w:pPr>
            <w:r w:rsidRPr="00425938">
              <w:rPr>
                <w:vanish/>
              </w:rPr>
              <w:t xml:space="preserve">BR_2.43 </w:t>
            </w:r>
            <w:r>
              <w:t>The functionality is not accessible if division is defined as a Transfusion Only facility.</w:t>
            </w:r>
          </w:p>
          <w:p w14:paraId="597C9EA2" w14:textId="77777777" w:rsidR="00425938" w:rsidRDefault="00425938" w:rsidP="00425938">
            <w:pPr>
              <w:pStyle w:val="TableText"/>
              <w:ind w:left="720"/>
            </w:pPr>
          </w:p>
          <w:p w14:paraId="1CDE9B99" w14:textId="77777777" w:rsidR="00425938" w:rsidRDefault="00425938" w:rsidP="00036095">
            <w:pPr>
              <w:pStyle w:val="TableText"/>
              <w:ind w:left="720"/>
            </w:pPr>
            <w:r w:rsidRPr="00425938">
              <w:rPr>
                <w:vanish/>
              </w:rPr>
              <w:t xml:space="preserve">BR_2.01 </w:t>
            </w:r>
            <w:r w:rsidRPr="00425938">
              <w:t>Only data within the user’s division can be accessed for any type of processing.</w:t>
            </w:r>
          </w:p>
          <w:p w14:paraId="230401E5" w14:textId="77777777" w:rsidR="00425938" w:rsidRPr="00BA1FF8" w:rsidRDefault="00425938" w:rsidP="00425938">
            <w:pPr>
              <w:pStyle w:val="TableText"/>
              <w:ind w:left="720"/>
            </w:pPr>
          </w:p>
        </w:tc>
      </w:tr>
      <w:tr w:rsidR="00B45FA2" w14:paraId="0BD3AC11" w14:textId="77777777" w:rsidTr="003F6E8A">
        <w:tc>
          <w:tcPr>
            <w:tcW w:w="3240" w:type="dxa"/>
          </w:tcPr>
          <w:p w14:paraId="27CE8DA1" w14:textId="65169018" w:rsidR="00665554" w:rsidRDefault="00665554" w:rsidP="003F6E8A">
            <w:pPr>
              <w:pStyle w:val="TableTextNumbers"/>
            </w:pPr>
            <w:r w:rsidRPr="00396B2B">
              <w:t>User selec</w:t>
            </w:r>
            <w:r>
              <w:t>ts from the testing tabs that are enabled on the Automated Testing – Pending Blood Units window</w:t>
            </w:r>
            <w:r w:rsidR="00937534">
              <w:t xml:space="preserve"> (</w:t>
            </w:r>
            <w:r w:rsidR="00937534">
              <w:fldChar w:fldCharType="begin" w:fldLock="1"/>
            </w:r>
            <w:r w:rsidR="00937534">
              <w:instrText xml:space="preserve"> REF _Ref447168071 \h </w:instrText>
            </w:r>
            <w:r w:rsidR="00937534">
              <w:fldChar w:fldCharType="separate"/>
            </w:r>
            <w:r w:rsidR="00AB304C">
              <w:t xml:space="preserve">Figure </w:t>
            </w:r>
            <w:r w:rsidR="00AB304C">
              <w:rPr>
                <w:noProof/>
              </w:rPr>
              <w:t>145</w:t>
            </w:r>
            <w:r w:rsidR="00937534">
              <w:fldChar w:fldCharType="end"/>
            </w:r>
            <w:r w:rsidR="00937534">
              <w:t>)</w:t>
            </w:r>
            <w:r>
              <w:t>.</w:t>
            </w:r>
          </w:p>
          <w:p w14:paraId="3A1C343A" w14:textId="77777777" w:rsidR="00665554" w:rsidRDefault="00665554" w:rsidP="00665554">
            <w:pPr>
              <w:pStyle w:val="TableTextNumbers"/>
              <w:numPr>
                <w:ilvl w:val="0"/>
                <w:numId w:val="0"/>
              </w:numPr>
              <w:ind w:left="288"/>
            </w:pPr>
          </w:p>
          <w:p w14:paraId="670C6DA2" w14:textId="77777777" w:rsidR="00B45FA2" w:rsidRDefault="00602E53" w:rsidP="00665554">
            <w:pPr>
              <w:pStyle w:val="TableTextNumbers"/>
              <w:numPr>
                <w:ilvl w:val="0"/>
                <w:numId w:val="0"/>
              </w:numPr>
              <w:ind w:left="288"/>
            </w:pPr>
            <w:r>
              <w:rPr>
                <w:b/>
              </w:rPr>
              <w:t xml:space="preserve">Unit ABO-Rh </w:t>
            </w:r>
            <w:r w:rsidRPr="00602E53">
              <w:t>tab</w:t>
            </w:r>
          </w:p>
          <w:p w14:paraId="62D6D483" w14:textId="77777777" w:rsidR="00307125" w:rsidRDefault="00307125" w:rsidP="00307125">
            <w:pPr>
              <w:pStyle w:val="TableTextNumbers"/>
              <w:numPr>
                <w:ilvl w:val="0"/>
                <w:numId w:val="0"/>
              </w:numPr>
              <w:ind w:left="288"/>
            </w:pPr>
          </w:p>
          <w:p w14:paraId="66A39EAC" w14:textId="77777777" w:rsidR="00307125" w:rsidRDefault="00307125" w:rsidP="00307125">
            <w:pPr>
              <w:pStyle w:val="TableTextNumbers"/>
              <w:numPr>
                <w:ilvl w:val="0"/>
                <w:numId w:val="0"/>
              </w:numPr>
              <w:ind w:left="288"/>
            </w:pPr>
            <w:r w:rsidRPr="00307125">
              <w:rPr>
                <w:b/>
              </w:rPr>
              <w:t>Unit Antigen Typing</w:t>
            </w:r>
            <w:r w:rsidR="002615AD" w:rsidRPr="002615AD">
              <w:t xml:space="preserve"> tab.</w:t>
            </w:r>
          </w:p>
        </w:tc>
        <w:tc>
          <w:tcPr>
            <w:tcW w:w="6120" w:type="dxa"/>
          </w:tcPr>
          <w:p w14:paraId="2E0B1AB5" w14:textId="77777777" w:rsidR="00602E53" w:rsidRDefault="00D279DE" w:rsidP="00602E53">
            <w:pPr>
              <w:pStyle w:val="TableTextBullet"/>
            </w:pPr>
            <w:r>
              <w:t>D</w:t>
            </w:r>
            <w:r w:rsidR="00602E53">
              <w:t>etermines that all appropriate test results were entered for the blood unit. Row validation and test validation are completed.</w:t>
            </w:r>
          </w:p>
          <w:p w14:paraId="7B0C4CA5" w14:textId="77777777" w:rsidR="00DB1497" w:rsidRDefault="00DB1497" w:rsidP="00DB1497">
            <w:pPr>
              <w:pStyle w:val="TableTextBullet"/>
              <w:numPr>
                <w:ilvl w:val="0"/>
                <w:numId w:val="0"/>
              </w:numPr>
              <w:ind w:left="288" w:hanging="288"/>
            </w:pPr>
          </w:p>
          <w:p w14:paraId="21E54D4E" w14:textId="77777777" w:rsidR="00DB1497" w:rsidRDefault="00057948" w:rsidP="00DB1497">
            <w:pPr>
              <w:pStyle w:val="TableText"/>
              <w:rPr>
                <w:b/>
                <w:bCs/>
                <w:szCs w:val="18"/>
              </w:rPr>
            </w:pPr>
            <w:r>
              <w:rPr>
                <w:b/>
                <w:bCs/>
                <w:noProof/>
              </w:rPr>
              <mc:AlternateContent>
                <mc:Choice Requires="wps">
                  <w:drawing>
                    <wp:anchor distT="0" distB="0" distL="114300" distR="114300" simplePos="0" relativeHeight="252050944" behindDoc="0" locked="0" layoutInCell="1" allowOverlap="1" wp14:anchorId="17855A48" wp14:editId="5F36E0CA">
                      <wp:simplePos x="0" y="0"/>
                      <wp:positionH relativeFrom="column">
                        <wp:posOffset>457200</wp:posOffset>
                      </wp:positionH>
                      <wp:positionV relativeFrom="paragraph">
                        <wp:posOffset>65405</wp:posOffset>
                      </wp:positionV>
                      <wp:extent cx="3200400" cy="0"/>
                      <wp:effectExtent l="9525" t="17780" r="9525" b="10795"/>
                      <wp:wrapNone/>
                      <wp:docPr id="307" name="Line 1276" descr="P9568C6T10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03866" id="Line 1276" o:spid="_x0000_s1026" alt="&quot;&quot;" style="position:absolute;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PH68sDEAQAAbwMAAA4AAAAAAAAAAAAAAAAA&#10;LgIAAGRycy9lMm9Eb2MueG1sUEsBAi0AFAAGAAgAAAAhABdPMBLbAAAACAEAAA8AAAAAAAAAAAAA&#10;AAAAHgQAAGRycy9kb3ducmV2LnhtbFBLBQYAAAAABAAEAPMAAAAmBQAAAAA=&#10;" strokeweight="1.5pt"/>
                  </w:pict>
                </mc:Fallback>
              </mc:AlternateContent>
            </w:r>
            <w:r w:rsidR="00DB1497">
              <w:rPr>
                <w:b/>
                <w:bCs/>
                <w:szCs w:val="18"/>
              </w:rPr>
              <w:t>NOTES</w:t>
            </w:r>
          </w:p>
          <w:p w14:paraId="74D36A72" w14:textId="77777777" w:rsidR="00DB1497" w:rsidRDefault="00DB1497" w:rsidP="00DB1497">
            <w:pPr>
              <w:pStyle w:val="NotesText"/>
            </w:pPr>
          </w:p>
          <w:p w14:paraId="6DA791B2" w14:textId="77777777" w:rsidR="00DB1497" w:rsidRDefault="00602E53" w:rsidP="00DB1497">
            <w:pPr>
              <w:pStyle w:val="TableText"/>
              <w:ind w:left="720"/>
            </w:pPr>
            <w:r w:rsidRPr="00602E53">
              <w:rPr>
                <w:vanish/>
              </w:rPr>
              <w:t xml:space="preserve">BR_115.09 </w:t>
            </w:r>
            <w:r>
              <w:t xml:space="preserve">The unit ID </w:t>
            </w:r>
            <w:r w:rsidRPr="00820C25">
              <w:t>and product code</w:t>
            </w:r>
            <w:r>
              <w:t xml:space="preserve"> are used to identify a specific unit from inventory. The pick list of Units for ABO/Rh or Antigen Typing will only display the product codes of units in an Active status and per the typing requirements.</w:t>
            </w:r>
          </w:p>
          <w:p w14:paraId="508D4449" w14:textId="77777777" w:rsidR="001F08A5" w:rsidRDefault="001F08A5" w:rsidP="00DB1497">
            <w:pPr>
              <w:pStyle w:val="TableText"/>
              <w:ind w:left="720"/>
            </w:pPr>
          </w:p>
          <w:p w14:paraId="568190A4" w14:textId="77777777" w:rsidR="00711E45" w:rsidRDefault="00711E45" w:rsidP="00711E45">
            <w:pPr>
              <w:pStyle w:val="TableText"/>
              <w:ind w:left="720"/>
              <w:rPr>
                <w:rFonts w:cs="Arial"/>
                <w:szCs w:val="18"/>
              </w:rPr>
            </w:pPr>
            <w:r w:rsidRPr="00711E45">
              <w:rPr>
                <w:rFonts w:cs="Arial"/>
                <w:vanish/>
                <w:szCs w:val="18"/>
              </w:rPr>
              <w:t xml:space="preserve">BR_115.10 </w:t>
            </w:r>
            <w:r w:rsidRPr="00E25BE5">
              <w:rPr>
                <w:rFonts w:cs="Arial"/>
                <w:szCs w:val="18"/>
              </w:rPr>
              <w:t xml:space="preserve">When </w:t>
            </w:r>
            <w:r>
              <w:rPr>
                <w:rFonts w:cs="Arial"/>
                <w:szCs w:val="18"/>
              </w:rPr>
              <w:t xml:space="preserve">a </w:t>
            </w:r>
            <w:r w:rsidRPr="00E25BE5">
              <w:rPr>
                <w:rFonts w:cs="Arial"/>
                <w:szCs w:val="18"/>
              </w:rPr>
              <w:t>weak D antigen typing test</w:t>
            </w:r>
            <w:r>
              <w:rPr>
                <w:rFonts w:cs="Arial"/>
                <w:szCs w:val="18"/>
              </w:rPr>
              <w:t xml:space="preserve"> is received on a blood unit that is Rh positive, the test is marked as in error (E) </w:t>
            </w:r>
            <w:r w:rsidRPr="00E25BE5">
              <w:rPr>
                <w:rFonts w:cs="Arial"/>
                <w:szCs w:val="18"/>
              </w:rPr>
              <w:t>the system provides a</w:t>
            </w:r>
            <w:r>
              <w:rPr>
                <w:rFonts w:cs="Arial"/>
                <w:szCs w:val="18"/>
              </w:rPr>
              <w:t xml:space="preserve"> w</w:t>
            </w:r>
            <w:r w:rsidRPr="00E25BE5">
              <w:rPr>
                <w:rFonts w:cs="Arial"/>
                <w:szCs w:val="18"/>
              </w:rPr>
              <w:t>arning message</w:t>
            </w:r>
            <w:r>
              <w:rPr>
                <w:rFonts w:cs="Arial"/>
                <w:szCs w:val="18"/>
              </w:rPr>
              <w:t>:</w:t>
            </w:r>
          </w:p>
          <w:p w14:paraId="4396C18A" w14:textId="77777777" w:rsidR="00711E45" w:rsidRDefault="00711E45" w:rsidP="00711E45">
            <w:pPr>
              <w:pStyle w:val="TableText"/>
              <w:ind w:left="720"/>
              <w:rPr>
                <w:rFonts w:cs="Arial"/>
                <w:szCs w:val="18"/>
              </w:rPr>
            </w:pPr>
          </w:p>
          <w:p w14:paraId="098B9C6F" w14:textId="77777777" w:rsidR="00711E45" w:rsidRDefault="00711E45" w:rsidP="00711E45">
            <w:pPr>
              <w:pStyle w:val="TableText"/>
              <w:ind w:left="720"/>
              <w:rPr>
                <w:rFonts w:cs="Arial"/>
                <w:szCs w:val="18"/>
              </w:rPr>
            </w:pPr>
            <w:r w:rsidRPr="00E25BE5">
              <w:rPr>
                <w:rFonts w:cs="Arial"/>
                <w:szCs w:val="18"/>
              </w:rPr>
              <w:t>“Cannot perform weak D testing on Rh positive unit.”</w:t>
            </w:r>
            <w:r>
              <w:rPr>
                <w:rFonts w:cs="Arial"/>
                <w:szCs w:val="18"/>
              </w:rPr>
              <w:t xml:space="preserve"> </w:t>
            </w:r>
          </w:p>
          <w:p w14:paraId="4BFD04DF" w14:textId="77777777" w:rsidR="00711E45" w:rsidRDefault="00711E45" w:rsidP="00711E45">
            <w:pPr>
              <w:pStyle w:val="TableText"/>
              <w:ind w:left="720"/>
              <w:rPr>
                <w:rFonts w:cs="Arial"/>
                <w:szCs w:val="18"/>
              </w:rPr>
            </w:pPr>
          </w:p>
          <w:p w14:paraId="44B0C1D8" w14:textId="77777777" w:rsidR="00711E45" w:rsidRDefault="00711E45" w:rsidP="00711E45">
            <w:pPr>
              <w:pStyle w:val="TableText"/>
              <w:ind w:left="720"/>
              <w:rPr>
                <w:rFonts w:cs="Arial"/>
                <w:szCs w:val="18"/>
              </w:rPr>
            </w:pPr>
            <w:r>
              <w:rPr>
                <w:rFonts w:cs="Arial"/>
                <w:szCs w:val="18"/>
              </w:rPr>
              <w:t>The test cannot be saved in VBECS and must be rejected.</w:t>
            </w:r>
          </w:p>
          <w:p w14:paraId="4C094559" w14:textId="77777777" w:rsidR="00711E45" w:rsidRDefault="00711E45" w:rsidP="00DB1497">
            <w:pPr>
              <w:pStyle w:val="TableText"/>
              <w:ind w:left="720"/>
            </w:pPr>
          </w:p>
          <w:p w14:paraId="1AB644EC" w14:textId="77777777" w:rsidR="00602E53" w:rsidRDefault="00602E53" w:rsidP="00602E53">
            <w:pPr>
              <w:pStyle w:val="TableText"/>
              <w:ind w:left="720"/>
            </w:pPr>
            <w:r w:rsidRPr="00602E53">
              <w:rPr>
                <w:vanish/>
              </w:rPr>
              <w:t xml:space="preserve">BR_115.11 </w:t>
            </w:r>
            <w:r>
              <w:t>The list view of test results on the Blood Unit windows is sortable by unit ID or date/time of test completion.</w:t>
            </w:r>
          </w:p>
          <w:p w14:paraId="5D7EC030" w14:textId="77777777" w:rsidR="00602E53" w:rsidRDefault="00602E53" w:rsidP="00602E53">
            <w:pPr>
              <w:pStyle w:val="TableText"/>
              <w:ind w:left="720"/>
            </w:pPr>
            <w:r>
              <w:t>Default sort order is on unit ID.</w:t>
            </w:r>
          </w:p>
          <w:p w14:paraId="629FE2F4" w14:textId="77777777" w:rsidR="00602E53" w:rsidRDefault="00602E53" w:rsidP="00602E53">
            <w:pPr>
              <w:pStyle w:val="TableText"/>
              <w:ind w:left="720"/>
            </w:pPr>
          </w:p>
          <w:p w14:paraId="2AD28B99" w14:textId="77777777" w:rsidR="00602E53" w:rsidRDefault="00602E53" w:rsidP="00602E53">
            <w:pPr>
              <w:pStyle w:val="TableText"/>
              <w:ind w:left="720"/>
            </w:pPr>
            <w:r w:rsidRPr="00602E53">
              <w:rPr>
                <w:vanish/>
              </w:rPr>
              <w:t xml:space="preserve">BR_115.16 </w:t>
            </w:r>
            <w:r>
              <w:t xml:space="preserve">When testing is received for an inactivated unit or unit in final status, the system provides a warning message: “Cannot perform testing on an inactivated unit or a unit in final status.” </w:t>
            </w:r>
            <w:r w:rsidRPr="00602E53">
              <w:t>The test cannot be saved in VBECS and must be rejected.</w:t>
            </w:r>
          </w:p>
          <w:p w14:paraId="6A424811" w14:textId="77777777" w:rsidR="00D0496E" w:rsidRPr="00602E53" w:rsidRDefault="00D0496E" w:rsidP="004A39DB">
            <w:pPr>
              <w:pStyle w:val="TableText"/>
            </w:pPr>
          </w:p>
        </w:tc>
      </w:tr>
      <w:tr w:rsidR="00B45FA2" w14:paraId="28CE06A6" w14:textId="77777777" w:rsidTr="003F6E8A">
        <w:tc>
          <w:tcPr>
            <w:tcW w:w="3240" w:type="dxa"/>
          </w:tcPr>
          <w:p w14:paraId="527CAD44" w14:textId="77777777" w:rsidR="00B45FA2" w:rsidRDefault="00602E53" w:rsidP="00665554">
            <w:pPr>
              <w:pStyle w:val="TableTextNumbers"/>
            </w:pPr>
            <w:r>
              <w:rPr>
                <w:rFonts w:cs="Arial"/>
                <w:szCs w:val="18"/>
              </w:rPr>
              <w:t xml:space="preserve">User selects a </w:t>
            </w:r>
            <w:r w:rsidR="00665554">
              <w:rPr>
                <w:rFonts w:cs="Arial"/>
                <w:szCs w:val="18"/>
              </w:rPr>
              <w:t xml:space="preserve">unit </w:t>
            </w:r>
            <w:r>
              <w:rPr>
                <w:rFonts w:cs="Arial"/>
                <w:szCs w:val="18"/>
              </w:rPr>
              <w:t>for review</w:t>
            </w:r>
            <w:r w:rsidR="00C95ED8">
              <w:rPr>
                <w:rFonts w:cs="Arial"/>
                <w:szCs w:val="18"/>
              </w:rPr>
              <w:t xml:space="preserve"> by clicking the check box next to a unit</w:t>
            </w:r>
            <w:r>
              <w:rPr>
                <w:rFonts w:cs="Arial"/>
                <w:szCs w:val="18"/>
              </w:rPr>
              <w:t>.</w:t>
            </w:r>
          </w:p>
        </w:tc>
        <w:tc>
          <w:tcPr>
            <w:tcW w:w="6120" w:type="dxa"/>
          </w:tcPr>
          <w:p w14:paraId="140FE02C" w14:textId="77777777" w:rsidR="00B45FA2" w:rsidRDefault="00B45FA2" w:rsidP="003F6E8A">
            <w:pPr>
              <w:pStyle w:val="TableTextBullet"/>
            </w:pPr>
            <w:r>
              <w:rPr>
                <w:rFonts w:cs="Arial"/>
                <w:vanish/>
              </w:rPr>
              <w:t xml:space="preserve">BR_85.02 </w:t>
            </w:r>
            <w:r w:rsidR="00D279DE">
              <w:t>Al</w:t>
            </w:r>
            <w:r w:rsidR="00602E53">
              <w:t>lows selection of</w:t>
            </w:r>
            <w:r w:rsidR="00D85353">
              <w:t xml:space="preserve"> blood unit test results</w:t>
            </w:r>
            <w:r>
              <w:t>.</w:t>
            </w:r>
          </w:p>
          <w:p w14:paraId="4017C2FD" w14:textId="77777777" w:rsidR="00D85353" w:rsidRDefault="00D85353" w:rsidP="00DB1497">
            <w:pPr>
              <w:pStyle w:val="TableTextBullet"/>
              <w:numPr>
                <w:ilvl w:val="0"/>
                <w:numId w:val="0"/>
              </w:numPr>
              <w:ind w:left="288" w:hanging="288"/>
            </w:pPr>
          </w:p>
          <w:p w14:paraId="6AA036EE" w14:textId="77777777" w:rsidR="00DB1497" w:rsidRDefault="00057948" w:rsidP="00DB1497">
            <w:pPr>
              <w:pStyle w:val="TableText"/>
              <w:rPr>
                <w:b/>
                <w:bCs/>
                <w:szCs w:val="18"/>
              </w:rPr>
            </w:pPr>
            <w:r>
              <w:rPr>
                <w:b/>
                <w:bCs/>
                <w:noProof/>
              </w:rPr>
              <mc:AlternateContent>
                <mc:Choice Requires="wps">
                  <w:drawing>
                    <wp:anchor distT="0" distB="0" distL="114300" distR="114300" simplePos="0" relativeHeight="252048896" behindDoc="0" locked="0" layoutInCell="1" allowOverlap="1" wp14:anchorId="01192340" wp14:editId="575A8511">
                      <wp:simplePos x="0" y="0"/>
                      <wp:positionH relativeFrom="column">
                        <wp:posOffset>457200</wp:posOffset>
                      </wp:positionH>
                      <wp:positionV relativeFrom="paragraph">
                        <wp:posOffset>65405</wp:posOffset>
                      </wp:positionV>
                      <wp:extent cx="3200400" cy="0"/>
                      <wp:effectExtent l="9525" t="17780" r="9525" b="10795"/>
                      <wp:wrapNone/>
                      <wp:docPr id="306" name="Line 1275" descr="P9587C8T10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377DA" id="Line 1275" o:spid="_x0000_s1026" alt="&quot;&quot;" style="position:absolute;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NUnvkzEAQAAbwMAAA4AAAAAAAAAAAAAAAAA&#10;LgIAAGRycy9lMm9Eb2MueG1sUEsBAi0AFAAGAAgAAAAhABdPMBLbAAAACAEAAA8AAAAAAAAAAAAA&#10;AAAAHgQAAGRycy9kb3ducmV2LnhtbFBLBQYAAAAABAAEAPMAAAAmBQAAAAA=&#10;" strokeweight="1.5pt"/>
                  </w:pict>
                </mc:Fallback>
              </mc:AlternateContent>
            </w:r>
            <w:r w:rsidR="00DB1497">
              <w:rPr>
                <w:b/>
                <w:bCs/>
                <w:szCs w:val="18"/>
              </w:rPr>
              <w:t>NOTES</w:t>
            </w:r>
          </w:p>
          <w:p w14:paraId="1F682C31" w14:textId="77777777" w:rsidR="00DB1497" w:rsidRDefault="00DB1497" w:rsidP="00DB1497">
            <w:pPr>
              <w:pStyle w:val="NotesText"/>
            </w:pPr>
          </w:p>
          <w:p w14:paraId="7A742492" w14:textId="77777777" w:rsidR="00DB1497" w:rsidRDefault="00D85353" w:rsidP="00DB1497">
            <w:pPr>
              <w:pStyle w:val="TableText"/>
              <w:ind w:left="720"/>
            </w:pPr>
            <w:r w:rsidRPr="00D85353">
              <w:rPr>
                <w:vanish/>
              </w:rPr>
              <w:t xml:space="preserve">BR_115.13 </w:t>
            </w:r>
            <w:r>
              <w:t>Selection of multiple tests with a Valid indicator is permitted.</w:t>
            </w:r>
          </w:p>
          <w:p w14:paraId="54ABEDE6" w14:textId="77777777" w:rsidR="00D85353" w:rsidRDefault="00D85353" w:rsidP="00DB1497">
            <w:pPr>
              <w:pStyle w:val="TableText"/>
              <w:ind w:left="720"/>
            </w:pPr>
          </w:p>
          <w:p w14:paraId="62D269F1" w14:textId="77777777" w:rsidR="004A39DB" w:rsidRDefault="004A39DB" w:rsidP="00DB1497">
            <w:pPr>
              <w:pStyle w:val="TableText"/>
              <w:ind w:left="720"/>
            </w:pPr>
            <w:r w:rsidRPr="00D85353">
              <w:rPr>
                <w:vanish/>
              </w:rPr>
              <w:t xml:space="preserve">BR_115.25 </w:t>
            </w:r>
            <w:r>
              <w:t xml:space="preserve">Tests with a </w:t>
            </w:r>
            <w:r>
              <w:rPr>
                <w:rFonts w:cs="Arial"/>
              </w:rPr>
              <w:t>Warning or Error indicator can only be selected and processed one at a time (no batch selection).</w:t>
            </w:r>
          </w:p>
          <w:p w14:paraId="3D373724" w14:textId="77777777" w:rsidR="004A39DB" w:rsidRDefault="004A39DB" w:rsidP="00DB1497">
            <w:pPr>
              <w:pStyle w:val="TableText"/>
              <w:ind w:left="720"/>
            </w:pPr>
          </w:p>
          <w:p w14:paraId="0A4B2BD6" w14:textId="77777777" w:rsidR="00711E45" w:rsidRDefault="00711E45" w:rsidP="00711E45">
            <w:pPr>
              <w:pStyle w:val="TableText"/>
              <w:ind w:left="720"/>
            </w:pPr>
            <w:r w:rsidRPr="00B30800">
              <w:rPr>
                <w:vanish/>
              </w:rPr>
              <w:lastRenderedPageBreak/>
              <w:t xml:space="preserve">BR_115.32 </w:t>
            </w:r>
            <w:r>
              <w:t>If the unit id transferred from the instrument does not uniquely identify the unit In VBECS, then the system will prompt the user to select the correct product code for the unit available in VBECS.</w:t>
            </w:r>
          </w:p>
          <w:p w14:paraId="00DD565C" w14:textId="77777777" w:rsidR="00711E45" w:rsidRDefault="00711E45" w:rsidP="00711E45">
            <w:pPr>
              <w:pStyle w:val="TableText"/>
              <w:ind w:left="720"/>
            </w:pPr>
          </w:p>
          <w:p w14:paraId="4646C1F1" w14:textId="77777777" w:rsidR="00D85353" w:rsidRDefault="00D85353" w:rsidP="00D85353">
            <w:pPr>
              <w:pStyle w:val="TableText"/>
              <w:ind w:left="720"/>
            </w:pPr>
            <w:r>
              <w:t>Selection of blood products is based on product codes that require ABO/Rh confirmation.</w:t>
            </w:r>
          </w:p>
          <w:p w14:paraId="238B0F13" w14:textId="77777777" w:rsidR="00D85353" w:rsidRDefault="00D85353" w:rsidP="004A39DB">
            <w:pPr>
              <w:pStyle w:val="TableText"/>
            </w:pPr>
          </w:p>
        </w:tc>
      </w:tr>
      <w:tr w:rsidR="00B45FA2" w14:paraId="714BED40" w14:textId="77777777" w:rsidTr="003F6E8A">
        <w:tc>
          <w:tcPr>
            <w:tcW w:w="3240" w:type="dxa"/>
          </w:tcPr>
          <w:p w14:paraId="02E1D15F" w14:textId="77777777" w:rsidR="00665554" w:rsidRPr="00665554" w:rsidRDefault="00665554" w:rsidP="00665554">
            <w:pPr>
              <w:pStyle w:val="TableTextNumbers"/>
            </w:pPr>
            <w:r>
              <w:rPr>
                <w:rFonts w:cs="Arial"/>
                <w:szCs w:val="18"/>
              </w:rPr>
              <w:lastRenderedPageBreak/>
              <w:t xml:space="preserve">User </w:t>
            </w:r>
            <w:r w:rsidRPr="00665554">
              <w:rPr>
                <w:rFonts w:cs="Arial"/>
                <w:b/>
                <w:szCs w:val="18"/>
              </w:rPr>
              <w:t>Accepts</w:t>
            </w:r>
            <w:r>
              <w:rPr>
                <w:rFonts w:cs="Arial"/>
                <w:szCs w:val="18"/>
              </w:rPr>
              <w:t xml:space="preserve"> or </w:t>
            </w:r>
            <w:r w:rsidRPr="00665554">
              <w:rPr>
                <w:rFonts w:cs="Arial"/>
                <w:b/>
                <w:szCs w:val="18"/>
              </w:rPr>
              <w:t>R</w:t>
            </w:r>
            <w:r w:rsidR="00D85353" w:rsidRPr="00665554">
              <w:rPr>
                <w:rFonts w:cs="Arial"/>
                <w:b/>
                <w:szCs w:val="18"/>
              </w:rPr>
              <w:t>ejects</w:t>
            </w:r>
            <w:r w:rsidR="00D85353" w:rsidRPr="00F130A1">
              <w:rPr>
                <w:rFonts w:cs="Arial"/>
                <w:szCs w:val="18"/>
              </w:rPr>
              <w:t xml:space="preserve"> the selected unit test</w:t>
            </w:r>
            <w:r>
              <w:rPr>
                <w:rFonts w:cs="Arial"/>
                <w:szCs w:val="18"/>
              </w:rPr>
              <w:t xml:space="preserve"> results</w:t>
            </w:r>
            <w:r w:rsidR="00D85353" w:rsidRPr="00F130A1">
              <w:rPr>
                <w:rFonts w:cs="Arial"/>
                <w:szCs w:val="18"/>
              </w:rPr>
              <w:t>.</w:t>
            </w:r>
          </w:p>
          <w:p w14:paraId="2C29CC6E" w14:textId="77777777" w:rsidR="00665554" w:rsidRDefault="00665554" w:rsidP="00665554">
            <w:pPr>
              <w:pStyle w:val="TableTextNumbers"/>
              <w:numPr>
                <w:ilvl w:val="0"/>
                <w:numId w:val="0"/>
              </w:numPr>
              <w:ind w:left="288" w:hanging="288"/>
            </w:pPr>
          </w:p>
        </w:tc>
        <w:tc>
          <w:tcPr>
            <w:tcW w:w="6120" w:type="dxa"/>
          </w:tcPr>
          <w:p w14:paraId="5A94642A" w14:textId="77777777" w:rsidR="00B45FA2" w:rsidRPr="00004A4C" w:rsidRDefault="00B45FA2" w:rsidP="00D85353">
            <w:pPr>
              <w:pStyle w:val="TableTextBullet"/>
            </w:pPr>
            <w:r>
              <w:rPr>
                <w:rFonts w:cs="Arial"/>
                <w:vanish/>
              </w:rPr>
              <w:t xml:space="preserve">BR_74.01 </w:t>
            </w:r>
            <w:r w:rsidR="00D279DE">
              <w:t>P</w:t>
            </w:r>
            <w:r w:rsidR="00D85353">
              <w:t>rocesses any applicable overrides.</w:t>
            </w:r>
          </w:p>
          <w:p w14:paraId="09D385B0" w14:textId="77777777" w:rsidR="00004A4C" w:rsidRDefault="00004A4C" w:rsidP="00004A4C">
            <w:pPr>
              <w:pStyle w:val="TableText"/>
            </w:pPr>
          </w:p>
          <w:p w14:paraId="12BC7008" w14:textId="77777777" w:rsidR="00004A4C" w:rsidRDefault="00057948" w:rsidP="00004A4C">
            <w:pPr>
              <w:pStyle w:val="TableText"/>
              <w:rPr>
                <w:b/>
                <w:bCs/>
                <w:szCs w:val="18"/>
              </w:rPr>
            </w:pPr>
            <w:r>
              <w:rPr>
                <w:b/>
                <w:bCs/>
                <w:noProof/>
              </w:rPr>
              <mc:AlternateContent>
                <mc:Choice Requires="wps">
                  <w:drawing>
                    <wp:anchor distT="0" distB="0" distL="114300" distR="114300" simplePos="0" relativeHeight="252052992" behindDoc="0" locked="0" layoutInCell="1" allowOverlap="1" wp14:anchorId="4A7D867C" wp14:editId="46AFB54B">
                      <wp:simplePos x="0" y="0"/>
                      <wp:positionH relativeFrom="column">
                        <wp:posOffset>457200</wp:posOffset>
                      </wp:positionH>
                      <wp:positionV relativeFrom="paragraph">
                        <wp:posOffset>65405</wp:posOffset>
                      </wp:positionV>
                      <wp:extent cx="3200400" cy="0"/>
                      <wp:effectExtent l="9525" t="17780" r="9525" b="10795"/>
                      <wp:wrapNone/>
                      <wp:docPr id="305" name="Line 1277" descr="P9602C10T10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4BF56" id="Line 1277" o:spid="_x0000_s1026" alt="&quot;&quot;" style="position:absolute;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DftqRHEAQAAbwMAAA4AAAAAAAAAAAAAAAAA&#10;LgIAAGRycy9lMm9Eb2MueG1sUEsBAi0AFAAGAAgAAAAhABdPMBLbAAAACAEAAA8AAAAAAAAAAAAA&#10;AAAAHgQAAGRycy9kb3ducmV2LnhtbFBLBQYAAAAABAAEAPMAAAAmBQAAAAA=&#10;" strokeweight="1.5pt"/>
                  </w:pict>
                </mc:Fallback>
              </mc:AlternateContent>
            </w:r>
            <w:r w:rsidR="00004A4C">
              <w:rPr>
                <w:b/>
                <w:bCs/>
                <w:szCs w:val="18"/>
              </w:rPr>
              <w:t>NOTES</w:t>
            </w:r>
          </w:p>
          <w:p w14:paraId="62229422" w14:textId="77777777" w:rsidR="00004A4C" w:rsidRDefault="00004A4C" w:rsidP="00004A4C">
            <w:pPr>
              <w:pStyle w:val="NotesText"/>
            </w:pPr>
          </w:p>
          <w:p w14:paraId="6399C327" w14:textId="77777777" w:rsidR="00665554" w:rsidRPr="00920163" w:rsidRDefault="00665554" w:rsidP="00665554">
            <w:pPr>
              <w:pStyle w:val="TableText"/>
              <w:ind w:left="720"/>
              <w:rPr>
                <w:rFonts w:eastAsia="Calibri"/>
                <w:szCs w:val="18"/>
              </w:rPr>
            </w:pPr>
            <w:r>
              <w:rPr>
                <w:vanish/>
              </w:rPr>
              <w:t xml:space="preserve">BR_115.05 </w:t>
            </w:r>
            <w:r>
              <w:t xml:space="preserve">When the test is rejected, the system will: </w:t>
            </w:r>
          </w:p>
          <w:p w14:paraId="1CE0911A" w14:textId="77777777" w:rsidR="00665554" w:rsidRPr="00064B9D" w:rsidRDefault="00665554" w:rsidP="000409B1">
            <w:pPr>
              <w:pStyle w:val="TableText"/>
              <w:numPr>
                <w:ilvl w:val="0"/>
                <w:numId w:val="55"/>
              </w:numPr>
              <w:ind w:left="1080"/>
              <w:rPr>
                <w:sz w:val="20"/>
              </w:rPr>
            </w:pPr>
            <w:r>
              <w:t>Prompt user to confirm they want to reject.</w:t>
            </w:r>
          </w:p>
          <w:p w14:paraId="6E2B556E" w14:textId="77777777" w:rsidR="00064B9D" w:rsidRDefault="00064B9D" w:rsidP="000409B1">
            <w:pPr>
              <w:pStyle w:val="TableText"/>
              <w:numPr>
                <w:ilvl w:val="0"/>
                <w:numId w:val="55"/>
              </w:numPr>
              <w:ind w:left="1080"/>
              <w:rPr>
                <w:sz w:val="20"/>
              </w:rPr>
            </w:pPr>
            <w:r>
              <w:t>Prompt user to enter a comment reason for rejection.</w:t>
            </w:r>
            <w:r w:rsidR="00987559">
              <w:t xml:space="preserve"> </w:t>
            </w:r>
            <w:r w:rsidR="00987559" w:rsidRPr="00987559">
              <w:rPr>
                <w:vanish/>
              </w:rPr>
              <w:t>Defect 357490</w:t>
            </w:r>
          </w:p>
          <w:p w14:paraId="0F7945A4" w14:textId="77777777" w:rsidR="00665554" w:rsidRDefault="00665554" w:rsidP="000409B1">
            <w:pPr>
              <w:pStyle w:val="TableText"/>
              <w:numPr>
                <w:ilvl w:val="0"/>
                <w:numId w:val="55"/>
              </w:numPr>
              <w:ind w:left="1080"/>
            </w:pPr>
            <w:r>
              <w:t>Remove the test from the list for acceptance.</w:t>
            </w:r>
          </w:p>
          <w:p w14:paraId="3A714E9D" w14:textId="77777777" w:rsidR="00665554" w:rsidRDefault="00665554" w:rsidP="000409B1">
            <w:pPr>
              <w:pStyle w:val="TableText"/>
              <w:numPr>
                <w:ilvl w:val="0"/>
                <w:numId w:val="55"/>
              </w:numPr>
              <w:ind w:left="1080"/>
            </w:pPr>
            <w:r>
              <w:t>No rejection message is sent to the instrument.</w:t>
            </w:r>
          </w:p>
          <w:p w14:paraId="27E1B30E" w14:textId="77777777" w:rsidR="00665554" w:rsidRDefault="00665554" w:rsidP="000409B1">
            <w:pPr>
              <w:pStyle w:val="TableText"/>
              <w:numPr>
                <w:ilvl w:val="0"/>
                <w:numId w:val="55"/>
              </w:numPr>
              <w:ind w:left="1080"/>
            </w:pPr>
            <w:r>
              <w:t>The Diagnostic test returns to the previous status and ready for testing.</w:t>
            </w:r>
          </w:p>
          <w:p w14:paraId="189EE7A5" w14:textId="77777777" w:rsidR="00064B9D" w:rsidRDefault="00064B9D" w:rsidP="00064B9D">
            <w:pPr>
              <w:pStyle w:val="TableText"/>
              <w:ind w:left="1080"/>
            </w:pPr>
          </w:p>
          <w:p w14:paraId="23296A54" w14:textId="77777777" w:rsidR="00665554" w:rsidRDefault="00665554" w:rsidP="004A39DB">
            <w:pPr>
              <w:pStyle w:val="TableText"/>
              <w:ind w:left="720"/>
            </w:pPr>
          </w:p>
          <w:p w14:paraId="06E0D3A3" w14:textId="77777777" w:rsidR="006020B2" w:rsidRDefault="006020B2" w:rsidP="004A39DB">
            <w:pPr>
              <w:pStyle w:val="TableText"/>
              <w:ind w:left="720"/>
              <w:rPr>
                <w:vanish/>
              </w:rPr>
            </w:pPr>
          </w:p>
          <w:p w14:paraId="7A23D3C0" w14:textId="40494893" w:rsidR="00004A4C" w:rsidRDefault="00D0496E" w:rsidP="004A39DB">
            <w:pPr>
              <w:pStyle w:val="TableText"/>
              <w:ind w:left="720"/>
            </w:pPr>
            <w:r w:rsidRPr="00D0496E">
              <w:rPr>
                <w:vanish/>
              </w:rPr>
              <w:t xml:space="preserve">BR_2.21 </w:t>
            </w:r>
            <w:r>
              <w:t>When an interpretation of “Inconclusive” is verified for either the ABO or Rh interpretation, the unit is given an indicator of “Quarantine” and the details of the testing are captured for inclusion in an exception report. The system provides an audible alert.</w:t>
            </w:r>
          </w:p>
          <w:p w14:paraId="4B7F6E27" w14:textId="77777777" w:rsidR="00D0496E" w:rsidRDefault="00D0496E" w:rsidP="004A39DB">
            <w:pPr>
              <w:pStyle w:val="TableText"/>
              <w:ind w:left="720"/>
              <w:rPr>
                <w:noProof/>
                <w:color w:val="000000"/>
              </w:rPr>
            </w:pPr>
          </w:p>
          <w:p w14:paraId="72B19C51" w14:textId="77777777" w:rsidR="00D0496E" w:rsidRDefault="004A39DB" w:rsidP="004A39DB">
            <w:pPr>
              <w:pStyle w:val="TableText"/>
              <w:ind w:left="720"/>
              <w:rPr>
                <w:noProof/>
              </w:rPr>
            </w:pPr>
            <w:r>
              <w:rPr>
                <w:vanish/>
              </w:rPr>
              <w:t>BR_2.1</w:t>
            </w:r>
            <w:r w:rsidR="00DC7696" w:rsidRPr="00DC7696">
              <w:rPr>
                <w:vanish/>
              </w:rPr>
              <w:t xml:space="preserve">7 </w:t>
            </w:r>
            <w:r w:rsidR="00D0496E">
              <w:t xml:space="preserve">The system provides an audible alert and a warning message requiring override is generated if the ABO and/or Rh confirmation interpretation does not match the ABO and/or Rh of the unit at initial login. Upon user confirmation of the discrepancy (override), inventory units whose ABO/Rh confirmation does not match the ABO/Rh at login are given an indicator of “Quarantine” and the details of the transaction are captured for inclusion in an exception report. </w:t>
            </w:r>
          </w:p>
          <w:p w14:paraId="22C6BA93" w14:textId="77777777" w:rsidR="00F130A1" w:rsidRDefault="00F130A1" w:rsidP="004A39DB">
            <w:pPr>
              <w:pStyle w:val="StyleTableText9ptChar"/>
              <w:ind w:left="720"/>
            </w:pPr>
          </w:p>
          <w:p w14:paraId="3CF069A7" w14:textId="77777777" w:rsidR="00F130A1" w:rsidRDefault="00F130A1" w:rsidP="00F130A1">
            <w:pPr>
              <w:pStyle w:val="TableText"/>
              <w:ind w:left="720"/>
            </w:pPr>
            <w:r w:rsidRPr="00F130A1">
              <w:rPr>
                <w:vanish/>
              </w:rPr>
              <w:t xml:space="preserve">BR_2.18 </w:t>
            </w:r>
            <w:r>
              <w:t>The system displays all data input during the session and accommodates editing prior to the user electing to update the database. The system will warn the user that if he chooses to cancel using the cancel or “X” button</w:t>
            </w:r>
            <w:r w:rsidR="008A7BDA">
              <w:t xml:space="preserve"> or by leaving/refreshing the current page</w:t>
            </w:r>
            <w:r>
              <w:t>, the system will not save any data changes entered during the session.</w:t>
            </w:r>
          </w:p>
          <w:p w14:paraId="6E11F3BF" w14:textId="77777777" w:rsidR="00F130A1" w:rsidRDefault="00F130A1" w:rsidP="00F130A1">
            <w:pPr>
              <w:pStyle w:val="TableText"/>
              <w:ind w:left="720"/>
              <w:rPr>
                <w:noProof/>
                <w:color w:val="000000"/>
              </w:rPr>
            </w:pPr>
          </w:p>
          <w:p w14:paraId="41C0DC8D" w14:textId="77777777" w:rsidR="00F130A1" w:rsidRDefault="00F130A1" w:rsidP="00F130A1">
            <w:pPr>
              <w:pStyle w:val="TableText"/>
              <w:ind w:left="720"/>
            </w:pPr>
            <w:r w:rsidRPr="00F130A1">
              <w:rPr>
                <w:vanish/>
              </w:rPr>
              <w:t xml:space="preserve">BR_27.15 </w:t>
            </w:r>
            <w:r>
              <w:t>The u</w:t>
            </w:r>
            <w:r w:rsidRPr="00C441A9">
              <w:t>nit has had a quarantine indicator assigne</w:t>
            </w:r>
            <w:r>
              <w:t>d. T</w:t>
            </w:r>
            <w:r w:rsidRPr="00C441A9">
              <w:t>he system will release any patient assignment. Any patient restriction associated with the unit remains intact</w:t>
            </w:r>
            <w:r w:rsidR="006020B2">
              <w:t xml:space="preserve"> (e.g., Directed or Autologous)</w:t>
            </w:r>
            <w:r w:rsidRPr="00C441A9">
              <w:t>.</w:t>
            </w:r>
          </w:p>
          <w:p w14:paraId="1ED9D1EF" w14:textId="77777777" w:rsidR="00F130A1" w:rsidRDefault="00F130A1" w:rsidP="00F130A1">
            <w:pPr>
              <w:pStyle w:val="TableText"/>
              <w:ind w:left="720"/>
              <w:rPr>
                <w:noProof/>
                <w:color w:val="000000"/>
              </w:rPr>
            </w:pPr>
          </w:p>
          <w:p w14:paraId="255786F5" w14:textId="77777777" w:rsidR="00711E45" w:rsidRDefault="00711E45" w:rsidP="00711E45">
            <w:pPr>
              <w:pStyle w:val="TableText"/>
              <w:ind w:left="720"/>
            </w:pPr>
            <w:r w:rsidRPr="00DC7696">
              <w:rPr>
                <w:vanish/>
              </w:rPr>
              <w:t xml:space="preserve">BR_41.12 </w:t>
            </w:r>
            <w:r w:rsidRPr="00702789">
              <w:t xml:space="preserve">The system compares the antigen typing interpretation entered by the technologist to any previously assigned antigen typing for the same antigen (Incoming Shipment, Edit Unit Information, or antigen typing test </w:t>
            </w:r>
            <w:r w:rsidRPr="00DC7696">
              <w:t>other than weak D</w:t>
            </w:r>
            <w:r w:rsidRPr="00702789">
              <w:t>). If the current interpretation does not match the previously identified antigen type, the system displays a warning mes</w:t>
            </w:r>
            <w:r>
              <w:t xml:space="preserve">sage and quarantines the unit: </w:t>
            </w:r>
            <w:r w:rsidRPr="00702789">
              <w:t xml:space="preserve">Current antigen type does not match previously </w:t>
            </w:r>
            <w:r w:rsidRPr="00702789">
              <w:lastRenderedPageBreak/>
              <w:t>recorded antigen type (login, update, or test). This must be resolved before this unit can be used. Unit has been quarantined.</w:t>
            </w:r>
          </w:p>
          <w:p w14:paraId="29E12345" w14:textId="77777777" w:rsidR="00711E45" w:rsidRDefault="00711E45" w:rsidP="00711E45">
            <w:pPr>
              <w:pStyle w:val="TableText"/>
              <w:ind w:left="720"/>
            </w:pPr>
          </w:p>
          <w:p w14:paraId="3D12E5BC" w14:textId="77777777" w:rsidR="00711E45" w:rsidRPr="00DC7696" w:rsidRDefault="00711E45" w:rsidP="00711E45">
            <w:pPr>
              <w:pStyle w:val="TableText"/>
              <w:ind w:left="720"/>
            </w:pPr>
            <w:r w:rsidRPr="00DC7696">
              <w:rPr>
                <w:rFonts w:cs="Arial"/>
                <w:vanish/>
              </w:rPr>
              <w:t xml:space="preserve">BR_41.22 </w:t>
            </w:r>
            <w:r w:rsidRPr="00183123">
              <w:rPr>
                <w:rFonts w:cs="Arial"/>
              </w:rPr>
              <w:t xml:space="preserve">When a weak D interpretation is positive or inconclusive and is verified for a tested blood unit that was labeled as (Rh) D negative, display a warning message and add the quarantine indicator to the unit: "Unit is weak D positive or inconclusive: unit </w:t>
            </w:r>
            <w:r>
              <w:rPr>
                <w:rFonts w:cs="Arial"/>
              </w:rPr>
              <w:t>will be</w:t>
            </w:r>
            <w:r w:rsidRPr="00183123">
              <w:rPr>
                <w:rFonts w:cs="Arial"/>
              </w:rPr>
              <w:t xml:space="preserve"> quarantined." No user action is required.</w:t>
            </w:r>
          </w:p>
          <w:p w14:paraId="190424B5" w14:textId="77777777" w:rsidR="00711E45" w:rsidRDefault="00711E45" w:rsidP="00711E45">
            <w:pPr>
              <w:pStyle w:val="TableText"/>
              <w:ind w:left="720"/>
              <w:rPr>
                <w:noProof/>
                <w:color w:val="000000"/>
              </w:rPr>
            </w:pPr>
          </w:p>
          <w:p w14:paraId="4F00EB33" w14:textId="77777777" w:rsidR="00F130A1" w:rsidRPr="00004A4C" w:rsidRDefault="00987559" w:rsidP="00003BE9">
            <w:pPr>
              <w:pStyle w:val="TableText"/>
              <w:ind w:left="720"/>
              <w:rPr>
                <w:noProof/>
                <w:color w:val="000000"/>
              </w:rPr>
            </w:pPr>
            <w:r w:rsidRPr="00987559">
              <w:rPr>
                <w:vanish/>
              </w:rPr>
              <w:t xml:space="preserve">Defect 357490 </w:t>
            </w:r>
            <w:r w:rsidR="00711E45" w:rsidRPr="00DC7696">
              <w:rPr>
                <w:vanish/>
              </w:rPr>
              <w:t xml:space="preserve">BR_56.29 </w:t>
            </w:r>
            <w:r w:rsidR="00711E45">
              <w:t>When a unit was issued and a conflicting test result found that indicates a potential unit incompatibility with the patient, such as a patient ABO/Rh discrepancy, or the unit is antigen positive where antigen negative is required on the tested specimen, VBECS displays a warning message</w:t>
            </w:r>
            <w:r w:rsidR="00711E45" w:rsidRPr="007C05B4">
              <w:t xml:space="preserve"> such as: Unit has been issued. Notify the physician of this potential problem IMMEDIATELY, per hospital policy! </w:t>
            </w:r>
            <w:r w:rsidR="00711E45">
              <w:t>The warning message displays during the execution of the various tests related to the compatibility of a blood unit. An exception report entry is generated at the save.</w:t>
            </w:r>
          </w:p>
        </w:tc>
      </w:tr>
      <w:tr w:rsidR="00C95ED8" w14:paraId="07961710" w14:textId="77777777" w:rsidTr="003F6E8A">
        <w:tc>
          <w:tcPr>
            <w:tcW w:w="3240" w:type="dxa"/>
          </w:tcPr>
          <w:p w14:paraId="08D99568" w14:textId="77777777" w:rsidR="00C95ED8" w:rsidRDefault="00C95ED8" w:rsidP="00307125">
            <w:pPr>
              <w:pStyle w:val="TableTextNumbers"/>
            </w:pPr>
            <w:r>
              <w:lastRenderedPageBreak/>
              <w:t xml:space="preserve">User clicks </w:t>
            </w:r>
            <w:r w:rsidRPr="00C95ED8">
              <w:rPr>
                <w:b/>
              </w:rPr>
              <w:t>Yes</w:t>
            </w:r>
            <w:r>
              <w:t xml:space="preserve"> to acknowledge acceptance or rejection of test results</w:t>
            </w:r>
            <w:r w:rsidR="00DA6624">
              <w:t>.</w:t>
            </w:r>
          </w:p>
        </w:tc>
        <w:tc>
          <w:tcPr>
            <w:tcW w:w="6120" w:type="dxa"/>
          </w:tcPr>
          <w:p w14:paraId="1E4572A7" w14:textId="77777777" w:rsidR="00C95ED8" w:rsidRPr="00004A4C" w:rsidRDefault="00C95ED8" w:rsidP="00C95ED8">
            <w:pPr>
              <w:pStyle w:val="TableTextBullet"/>
            </w:pPr>
            <w:r>
              <w:t>Saves user input.</w:t>
            </w:r>
          </w:p>
          <w:p w14:paraId="694C2929" w14:textId="77777777" w:rsidR="00C95ED8" w:rsidRDefault="00C95ED8" w:rsidP="00C95ED8">
            <w:pPr>
              <w:pStyle w:val="TableText"/>
            </w:pPr>
          </w:p>
          <w:p w14:paraId="29D40873" w14:textId="77777777" w:rsidR="00C95ED8" w:rsidRDefault="00057948" w:rsidP="00C95ED8">
            <w:pPr>
              <w:pStyle w:val="TableText"/>
              <w:rPr>
                <w:b/>
                <w:bCs/>
                <w:szCs w:val="18"/>
              </w:rPr>
            </w:pPr>
            <w:r>
              <w:rPr>
                <w:b/>
                <w:bCs/>
                <w:noProof/>
              </w:rPr>
              <mc:AlternateContent>
                <mc:Choice Requires="wps">
                  <w:drawing>
                    <wp:anchor distT="0" distB="0" distL="114300" distR="114300" simplePos="0" relativeHeight="252067328" behindDoc="0" locked="0" layoutInCell="1" allowOverlap="1" wp14:anchorId="41812C9D" wp14:editId="5DCAC919">
                      <wp:simplePos x="0" y="0"/>
                      <wp:positionH relativeFrom="column">
                        <wp:posOffset>457200</wp:posOffset>
                      </wp:positionH>
                      <wp:positionV relativeFrom="paragraph">
                        <wp:posOffset>65405</wp:posOffset>
                      </wp:positionV>
                      <wp:extent cx="3200400" cy="0"/>
                      <wp:effectExtent l="9525" t="17780" r="9525" b="10795"/>
                      <wp:wrapNone/>
                      <wp:docPr id="304" name="Line 1294" descr="P9629C12T10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1F153" id="Line 1294" o:spid="_x0000_s1026" alt="&quot;&quot;" style="position:absolute;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B+l3isMBAABvAwAADgAAAAAAAAAAAAAAAAAu&#10;AgAAZHJzL2Uyb0RvYy54bWxQSwECLQAUAAYACAAAACEAF08wEtsAAAAIAQAADwAAAAAAAAAAAAAA&#10;AAAdBAAAZHJzL2Rvd25yZXYueG1sUEsFBgAAAAAEAAQA8wAAACUFAAAAAA==&#10;" strokeweight="1.5pt"/>
                  </w:pict>
                </mc:Fallback>
              </mc:AlternateContent>
            </w:r>
            <w:r w:rsidR="00C95ED8">
              <w:rPr>
                <w:b/>
                <w:bCs/>
                <w:szCs w:val="18"/>
              </w:rPr>
              <w:t>NOTES</w:t>
            </w:r>
          </w:p>
          <w:p w14:paraId="4654F599" w14:textId="77777777" w:rsidR="00C95ED8" w:rsidRDefault="00C95ED8" w:rsidP="00C95ED8">
            <w:pPr>
              <w:pStyle w:val="NotesText"/>
            </w:pPr>
          </w:p>
          <w:p w14:paraId="445ED5E9" w14:textId="77777777" w:rsidR="004A39DB" w:rsidRDefault="00987559" w:rsidP="004A39DB">
            <w:pPr>
              <w:pStyle w:val="TableTextBullet"/>
              <w:numPr>
                <w:ilvl w:val="0"/>
                <w:numId w:val="0"/>
              </w:numPr>
              <w:ind w:left="720"/>
            </w:pPr>
            <w:r w:rsidRPr="00987559">
              <w:rPr>
                <w:vanish/>
              </w:rPr>
              <w:t xml:space="preserve">Defect 357490 </w:t>
            </w:r>
            <w:r w:rsidR="00C95ED8" w:rsidRPr="00F130A1">
              <w:rPr>
                <w:vanish/>
              </w:rPr>
              <w:t xml:space="preserve">BR_2.12 </w:t>
            </w:r>
            <w:r w:rsidR="00C95ED8">
              <w:t>Upon successful completion of ABO/Rh confirmation</w:t>
            </w:r>
            <w:r w:rsidR="00064B9D">
              <w:t xml:space="preserve"> and/or Antigen Typing completion</w:t>
            </w:r>
            <w:r w:rsidR="00C95ED8">
              <w:t>, the unit status is updated. Successful completion means that the ABO and Rh (if required) interpretation is consistent with recorded observed results and matches the ABO/Rh at unit login and any repeat ABO/Rh tests on the unit that are not invalidated</w:t>
            </w:r>
          </w:p>
          <w:p w14:paraId="054111A2" w14:textId="77777777" w:rsidR="004A39DB" w:rsidRDefault="004A39DB" w:rsidP="004A39DB">
            <w:pPr>
              <w:pStyle w:val="TableTextBullet"/>
              <w:numPr>
                <w:ilvl w:val="0"/>
                <w:numId w:val="0"/>
              </w:numPr>
              <w:ind w:left="720"/>
            </w:pPr>
          </w:p>
          <w:p w14:paraId="2C4E19FE" w14:textId="77777777" w:rsidR="004A39DB" w:rsidRPr="00920163" w:rsidRDefault="004A39DB" w:rsidP="004A39DB">
            <w:pPr>
              <w:pStyle w:val="TableText"/>
              <w:ind w:left="720"/>
              <w:rPr>
                <w:rFonts w:eastAsia="Calibri"/>
                <w:szCs w:val="18"/>
              </w:rPr>
            </w:pPr>
            <w:r w:rsidRPr="004A39DB">
              <w:rPr>
                <w:vanish/>
              </w:rPr>
              <w:t xml:space="preserve">BR_115.05 </w:t>
            </w:r>
            <w:r>
              <w:t xml:space="preserve">When the test is rejected, the system will: </w:t>
            </w:r>
          </w:p>
          <w:p w14:paraId="4B47EA35" w14:textId="77777777" w:rsidR="004A39DB" w:rsidRDefault="004A39DB" w:rsidP="000409B1">
            <w:pPr>
              <w:pStyle w:val="TableText"/>
              <w:numPr>
                <w:ilvl w:val="0"/>
                <w:numId w:val="55"/>
              </w:numPr>
              <w:ind w:left="1080"/>
              <w:rPr>
                <w:sz w:val="20"/>
              </w:rPr>
            </w:pPr>
            <w:r>
              <w:t>Prompt user to confirm they want to reject.</w:t>
            </w:r>
          </w:p>
          <w:p w14:paraId="20F0D14B" w14:textId="77777777" w:rsidR="004A39DB" w:rsidRDefault="004A39DB" w:rsidP="000409B1">
            <w:pPr>
              <w:pStyle w:val="TableText"/>
              <w:numPr>
                <w:ilvl w:val="0"/>
                <w:numId w:val="55"/>
              </w:numPr>
              <w:ind w:left="1080"/>
            </w:pPr>
            <w:r>
              <w:t>Remove the test from the list for acceptance.</w:t>
            </w:r>
          </w:p>
          <w:p w14:paraId="5199DC26" w14:textId="77777777" w:rsidR="004A39DB" w:rsidRDefault="004A39DB" w:rsidP="000409B1">
            <w:pPr>
              <w:pStyle w:val="TableText"/>
              <w:numPr>
                <w:ilvl w:val="0"/>
                <w:numId w:val="55"/>
              </w:numPr>
              <w:ind w:left="1080"/>
            </w:pPr>
            <w:r>
              <w:t>No rejection message is sent to the instrument.</w:t>
            </w:r>
          </w:p>
          <w:p w14:paraId="169F7699" w14:textId="77777777" w:rsidR="004A39DB" w:rsidRDefault="004A39DB" w:rsidP="000409B1">
            <w:pPr>
              <w:pStyle w:val="TableText"/>
              <w:numPr>
                <w:ilvl w:val="0"/>
                <w:numId w:val="55"/>
              </w:numPr>
              <w:ind w:left="1080"/>
            </w:pPr>
            <w:r>
              <w:t>The Diagnostic test returns to the previous status and ready for testing.</w:t>
            </w:r>
          </w:p>
          <w:p w14:paraId="7E95886C" w14:textId="77777777" w:rsidR="004A39DB" w:rsidRDefault="004A39DB" w:rsidP="004A39DB">
            <w:pPr>
              <w:pStyle w:val="TableTextBullet"/>
              <w:numPr>
                <w:ilvl w:val="0"/>
                <w:numId w:val="0"/>
              </w:numPr>
              <w:ind w:left="720"/>
            </w:pPr>
          </w:p>
          <w:p w14:paraId="499F83F4" w14:textId="77777777" w:rsidR="004A39DB" w:rsidRDefault="004A39DB" w:rsidP="004A39DB">
            <w:pPr>
              <w:pStyle w:val="TableTextBullet"/>
              <w:numPr>
                <w:ilvl w:val="0"/>
                <w:numId w:val="0"/>
              </w:numPr>
              <w:ind w:left="288" w:hanging="288"/>
            </w:pPr>
          </w:p>
        </w:tc>
      </w:tr>
    </w:tbl>
    <w:p w14:paraId="23FF781D" w14:textId="4B3BAD91" w:rsidR="00937534" w:rsidRDefault="00937534" w:rsidP="00937534">
      <w:pPr>
        <w:pStyle w:val="Caption"/>
      </w:pPr>
      <w:bookmarkStart w:id="552" w:name="_Ref447168071"/>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145</w:t>
      </w:r>
      <w:r w:rsidR="004E20BD">
        <w:rPr>
          <w:noProof/>
        </w:rPr>
        <w:fldChar w:fldCharType="end"/>
      </w:r>
      <w:bookmarkEnd w:id="552"/>
      <w:r>
        <w:t>: Automated Testing – Pending Blood Units Window</w:t>
      </w:r>
    </w:p>
    <w:p w14:paraId="1AAFA5F6" w14:textId="77777777" w:rsidR="005E6617" w:rsidRPr="005E6617" w:rsidRDefault="00057948" w:rsidP="005E6617">
      <w:pPr>
        <w:pStyle w:val="BodyText"/>
      </w:pPr>
      <w:r>
        <w:rPr>
          <w:noProof/>
        </w:rPr>
        <w:drawing>
          <wp:inline distT="0" distB="0" distL="0" distR="0" wp14:anchorId="7BC3C39B" wp14:editId="4791AF87">
            <wp:extent cx="5163185" cy="1311275"/>
            <wp:effectExtent l="0" t="0" r="0" b="3175"/>
            <wp:docPr id="264" name="Picture 264" descr="P9642#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P9642#yIS1">
                      <a:extLst>
                        <a:ext uri="{C183D7F6-B498-43B3-948B-1728B52AA6E4}">
                          <adec:decorative xmlns:adec="http://schemas.microsoft.com/office/drawing/2017/decorative" val="1"/>
                        </a:ext>
                      </a:extLst>
                    </pic:cNvPr>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163185" cy="1311275"/>
                    </a:xfrm>
                    <a:prstGeom prst="rect">
                      <a:avLst/>
                    </a:prstGeom>
                    <a:noFill/>
                    <a:ln>
                      <a:noFill/>
                    </a:ln>
                  </pic:spPr>
                </pic:pic>
              </a:graphicData>
            </a:graphic>
          </wp:inline>
        </w:drawing>
      </w:r>
    </w:p>
    <w:p w14:paraId="5F7E9566" w14:textId="77777777" w:rsidR="00BE554D" w:rsidRDefault="005E6617" w:rsidP="005E6617">
      <w:pPr>
        <w:pStyle w:val="Heading2"/>
      </w:pPr>
      <w:r>
        <w:br w:type="page"/>
      </w:r>
      <w:bookmarkStart w:id="553" w:name="_Toc4588832"/>
      <w:r w:rsidR="00BE554D" w:rsidRPr="00937534">
        <w:lastRenderedPageBreak/>
        <w:t>Automated Testing Review for Patients</w:t>
      </w:r>
      <w:bookmarkEnd w:id="553"/>
      <w:r w:rsidR="00B31DA1" w:rsidRPr="00836786">
        <w:rPr>
          <w:vanish/>
        </w:rPr>
        <w:t xml:space="preserve">{ XE “Automated Testing Review for </w:t>
      </w:r>
      <w:r w:rsidR="00B31DA1">
        <w:rPr>
          <w:vanish/>
        </w:rPr>
        <w:t>Patients</w:t>
      </w:r>
      <w:r w:rsidR="00B31DA1" w:rsidRPr="00836786">
        <w:rPr>
          <w:vanish/>
        </w:rPr>
        <w:t>” }</w:t>
      </w:r>
      <w:r w:rsidR="00B31DA1">
        <w:t xml:space="preserve"> </w:t>
      </w:r>
      <w:r w:rsidR="00BE554D">
        <w:rPr>
          <w:vanish/>
        </w:rPr>
        <w:t>UC_115</w:t>
      </w:r>
    </w:p>
    <w:p w14:paraId="16364B64" w14:textId="77777777" w:rsidR="00BE554D" w:rsidRDefault="00BE554D" w:rsidP="00BE554D">
      <w:pPr>
        <w:pStyle w:val="Heading4"/>
        <w:rPr>
          <w:rFonts w:ascii="Times New Roman" w:hAnsi="Times New Roman"/>
          <w:b w:val="0"/>
          <w:spacing w:val="-5"/>
          <w:szCs w:val="22"/>
        </w:rPr>
      </w:pPr>
      <w:r>
        <w:rPr>
          <w:rFonts w:ascii="Times New Roman" w:hAnsi="Times New Roman"/>
          <w:b w:val="0"/>
          <w:spacing w:val="-5"/>
          <w:szCs w:val="22"/>
        </w:rPr>
        <w:t>A</w:t>
      </w:r>
      <w:r w:rsidRPr="00D23C29">
        <w:rPr>
          <w:rFonts w:ascii="Times New Roman" w:hAnsi="Times New Roman"/>
          <w:b w:val="0"/>
          <w:spacing w:val="-5"/>
          <w:szCs w:val="22"/>
        </w:rPr>
        <w:t>llow</w:t>
      </w:r>
      <w:r>
        <w:rPr>
          <w:rFonts w:ascii="Times New Roman" w:hAnsi="Times New Roman"/>
          <w:b w:val="0"/>
          <w:spacing w:val="-5"/>
          <w:szCs w:val="22"/>
        </w:rPr>
        <w:t xml:space="preserve">s the user to review and approve testing results completed on an automated instrument and transmitted to  </w:t>
      </w:r>
      <w:r w:rsidRPr="00D23C29">
        <w:rPr>
          <w:rFonts w:ascii="Times New Roman" w:hAnsi="Times New Roman"/>
          <w:b w:val="0"/>
          <w:spacing w:val="-5"/>
          <w:szCs w:val="22"/>
        </w:rPr>
        <w:t>VBECS.</w:t>
      </w:r>
    </w:p>
    <w:p w14:paraId="3BF6ECEE" w14:textId="77777777" w:rsidR="00BE554D" w:rsidRPr="00D23C29" w:rsidRDefault="00BE554D" w:rsidP="00BE554D">
      <w:pPr>
        <w:pStyle w:val="Heading4"/>
      </w:pPr>
      <w:r w:rsidRPr="00D23C29">
        <w:t xml:space="preserve">Assumptions </w:t>
      </w:r>
    </w:p>
    <w:p w14:paraId="0AEC49BF" w14:textId="77777777" w:rsidR="00BE554D" w:rsidRPr="009A3F10" w:rsidRDefault="00BE554D" w:rsidP="000409B1">
      <w:pPr>
        <w:pStyle w:val="TableText"/>
        <w:numPr>
          <w:ilvl w:val="0"/>
          <w:numId w:val="48"/>
        </w:numPr>
        <w:rPr>
          <w:rFonts w:ascii="Times New Roman" w:hAnsi="Times New Roman"/>
          <w:spacing w:val="-5"/>
          <w:sz w:val="22"/>
          <w:szCs w:val="22"/>
        </w:rPr>
      </w:pPr>
      <w:r w:rsidRPr="009A3F10">
        <w:rPr>
          <w:rFonts w:ascii="Times New Roman" w:hAnsi="Times New Roman"/>
          <w:spacing w:val="-5"/>
          <w:sz w:val="22"/>
          <w:szCs w:val="22"/>
        </w:rPr>
        <w:t>Division is defined as full service.</w:t>
      </w:r>
    </w:p>
    <w:p w14:paraId="25D5CB5A" w14:textId="77777777" w:rsidR="00BE554D" w:rsidRPr="009A3F10" w:rsidRDefault="00BE554D" w:rsidP="000409B1">
      <w:pPr>
        <w:pStyle w:val="TableText"/>
        <w:numPr>
          <w:ilvl w:val="0"/>
          <w:numId w:val="48"/>
        </w:numPr>
        <w:rPr>
          <w:rFonts w:ascii="Times New Roman" w:hAnsi="Times New Roman"/>
          <w:spacing w:val="-5"/>
          <w:sz w:val="22"/>
          <w:szCs w:val="22"/>
        </w:rPr>
      </w:pPr>
      <w:r w:rsidRPr="009A3F10">
        <w:rPr>
          <w:rFonts w:ascii="Times New Roman" w:hAnsi="Times New Roman"/>
          <w:spacing w:val="-5"/>
          <w:sz w:val="22"/>
          <w:szCs w:val="22"/>
        </w:rPr>
        <w:t>The testing instrument is fully functional and available for use. The instrument QC is completed and valid, no maintenance is required. No QC information is transmitted to VBECS in the HL7 message.</w:t>
      </w:r>
    </w:p>
    <w:p w14:paraId="15E7008F" w14:textId="77777777" w:rsidR="00BE554D" w:rsidRPr="009A3F10" w:rsidRDefault="00BE554D" w:rsidP="000409B1">
      <w:pPr>
        <w:pStyle w:val="TableText"/>
        <w:numPr>
          <w:ilvl w:val="0"/>
          <w:numId w:val="48"/>
        </w:numPr>
        <w:rPr>
          <w:rFonts w:ascii="Times New Roman" w:hAnsi="Times New Roman"/>
          <w:spacing w:val="-5"/>
          <w:sz w:val="22"/>
          <w:szCs w:val="22"/>
        </w:rPr>
      </w:pPr>
      <w:r w:rsidRPr="009A3F10">
        <w:rPr>
          <w:rFonts w:ascii="Times New Roman" w:hAnsi="Times New Roman"/>
          <w:spacing w:val="-5"/>
          <w:sz w:val="22"/>
          <w:szCs w:val="22"/>
        </w:rPr>
        <w:t>Message is received</w:t>
      </w:r>
      <w:r>
        <w:rPr>
          <w:rFonts w:ascii="Times New Roman" w:hAnsi="Times New Roman"/>
          <w:spacing w:val="-5"/>
          <w:sz w:val="22"/>
          <w:szCs w:val="22"/>
        </w:rPr>
        <w:t xml:space="preserve"> successfully as defined in </w:t>
      </w:r>
      <w:r w:rsidRPr="009A3F10">
        <w:rPr>
          <w:rFonts w:ascii="Times New Roman" w:hAnsi="Times New Roman"/>
          <w:spacing w:val="-5"/>
          <w:sz w:val="22"/>
          <w:szCs w:val="22"/>
        </w:rPr>
        <w:t>Automated Testing Interface.</w:t>
      </w:r>
    </w:p>
    <w:p w14:paraId="5A0D1EA7" w14:textId="77777777" w:rsidR="00BE554D" w:rsidRPr="009A3F10" w:rsidRDefault="00BE554D" w:rsidP="000409B1">
      <w:pPr>
        <w:pStyle w:val="TableTextBullet"/>
        <w:numPr>
          <w:ilvl w:val="0"/>
          <w:numId w:val="48"/>
        </w:numPr>
        <w:ind w:right="63"/>
        <w:rPr>
          <w:rFonts w:ascii="Times New Roman" w:hAnsi="Times New Roman"/>
          <w:spacing w:val="-5"/>
          <w:sz w:val="22"/>
          <w:szCs w:val="22"/>
        </w:rPr>
      </w:pPr>
      <w:r w:rsidRPr="009A3F10">
        <w:rPr>
          <w:rFonts w:ascii="Times New Roman" w:hAnsi="Times New Roman"/>
          <w:spacing w:val="-5"/>
          <w:sz w:val="22"/>
          <w:szCs w:val="22"/>
        </w:rPr>
        <w:t>VBECS database contains an active patient order for diagnostic tests or blood components including reflex tests that have been accepted and appear on the Pending Task List.</w:t>
      </w:r>
    </w:p>
    <w:p w14:paraId="445DC90E" w14:textId="77777777" w:rsidR="00BE554D" w:rsidRPr="009A3F10" w:rsidRDefault="00BE554D" w:rsidP="000409B1">
      <w:pPr>
        <w:numPr>
          <w:ilvl w:val="0"/>
          <w:numId w:val="48"/>
        </w:numPr>
        <w:rPr>
          <w:spacing w:val="-5"/>
          <w:sz w:val="22"/>
          <w:szCs w:val="22"/>
        </w:rPr>
      </w:pPr>
      <w:r>
        <w:rPr>
          <w:spacing w:val="-5"/>
          <w:sz w:val="22"/>
          <w:szCs w:val="22"/>
        </w:rPr>
        <w:t xml:space="preserve">Blood Units are </w:t>
      </w:r>
      <w:r w:rsidRPr="009A3F10">
        <w:rPr>
          <w:spacing w:val="-5"/>
          <w:sz w:val="22"/>
          <w:szCs w:val="22"/>
        </w:rPr>
        <w:t>selected for a patient for serologic crossmatch testing</w:t>
      </w:r>
      <w:r>
        <w:rPr>
          <w:spacing w:val="-5"/>
          <w:sz w:val="22"/>
          <w:szCs w:val="22"/>
        </w:rPr>
        <w:t xml:space="preserve"> prior to</w:t>
      </w:r>
      <w:r w:rsidRPr="009A3F10">
        <w:rPr>
          <w:spacing w:val="-5"/>
          <w:sz w:val="22"/>
          <w:szCs w:val="22"/>
        </w:rPr>
        <w:t xml:space="preserve"> result transmission</w:t>
      </w:r>
      <w:r>
        <w:rPr>
          <w:spacing w:val="-5"/>
          <w:sz w:val="22"/>
          <w:szCs w:val="22"/>
        </w:rPr>
        <w:t xml:space="preserve"> from an automated instrument</w:t>
      </w:r>
      <w:r w:rsidRPr="009A3F10">
        <w:rPr>
          <w:spacing w:val="-5"/>
          <w:sz w:val="22"/>
          <w:szCs w:val="22"/>
        </w:rPr>
        <w:t>.</w:t>
      </w:r>
    </w:p>
    <w:p w14:paraId="5CF6F680" w14:textId="77777777" w:rsidR="00BE554D" w:rsidRPr="009A3F10" w:rsidRDefault="00BE554D" w:rsidP="000409B1">
      <w:pPr>
        <w:numPr>
          <w:ilvl w:val="0"/>
          <w:numId w:val="48"/>
        </w:numPr>
        <w:rPr>
          <w:spacing w:val="-5"/>
          <w:sz w:val="22"/>
          <w:szCs w:val="22"/>
        </w:rPr>
      </w:pPr>
      <w:r w:rsidRPr="009A3F10">
        <w:rPr>
          <w:spacing w:val="-5"/>
          <w:sz w:val="22"/>
          <w:szCs w:val="22"/>
        </w:rPr>
        <w:t>Each transmitted test must include its results and interpretati</w:t>
      </w:r>
      <w:r>
        <w:rPr>
          <w:spacing w:val="-5"/>
          <w:sz w:val="22"/>
          <w:szCs w:val="22"/>
        </w:rPr>
        <w:t>on</w:t>
      </w:r>
      <w:r w:rsidRPr="009A3F10">
        <w:rPr>
          <w:spacing w:val="-5"/>
          <w:sz w:val="22"/>
          <w:szCs w:val="22"/>
        </w:rPr>
        <w:t>.</w:t>
      </w:r>
    </w:p>
    <w:p w14:paraId="095B733B" w14:textId="77777777" w:rsidR="00BE554D" w:rsidRDefault="00BE554D" w:rsidP="00BE554D">
      <w:pPr>
        <w:pStyle w:val="Heading4"/>
      </w:pPr>
      <w:r>
        <w:t xml:space="preserve">Outcome </w:t>
      </w:r>
    </w:p>
    <w:p w14:paraId="14605309" w14:textId="77777777" w:rsidR="00BE554D" w:rsidRPr="00D23C29" w:rsidRDefault="00BE554D" w:rsidP="000409B1">
      <w:pPr>
        <w:pStyle w:val="TableTextBullet"/>
        <w:numPr>
          <w:ilvl w:val="0"/>
          <w:numId w:val="48"/>
        </w:numPr>
        <w:ind w:right="63"/>
        <w:rPr>
          <w:rFonts w:ascii="Times New Roman" w:hAnsi="Times New Roman"/>
          <w:spacing w:val="-5"/>
          <w:sz w:val="22"/>
          <w:szCs w:val="22"/>
        </w:rPr>
      </w:pPr>
      <w:r w:rsidRPr="00D23C29">
        <w:rPr>
          <w:rFonts w:ascii="Times New Roman" w:hAnsi="Times New Roman"/>
          <w:spacing w:val="-5"/>
          <w:sz w:val="22"/>
          <w:szCs w:val="22"/>
        </w:rPr>
        <w:t>The test record will capture the details of the verified testing. Completed, current unit and specimen test results will be available for the life of the system for inclusion in various reports generated to document patient and unit testing.</w:t>
      </w:r>
    </w:p>
    <w:p w14:paraId="4E5E4760" w14:textId="77777777" w:rsidR="00BE554D" w:rsidRPr="00D23C29" w:rsidRDefault="00BE554D" w:rsidP="000409B1">
      <w:pPr>
        <w:pStyle w:val="TableTextBullet"/>
        <w:numPr>
          <w:ilvl w:val="0"/>
          <w:numId w:val="48"/>
        </w:numPr>
        <w:ind w:right="63"/>
        <w:rPr>
          <w:rFonts w:ascii="Times New Roman" w:hAnsi="Times New Roman"/>
          <w:spacing w:val="-5"/>
          <w:sz w:val="22"/>
          <w:szCs w:val="22"/>
        </w:rPr>
      </w:pPr>
      <w:r w:rsidRPr="00D23C29">
        <w:rPr>
          <w:rFonts w:ascii="Times New Roman" w:hAnsi="Times New Roman"/>
          <w:spacing w:val="-5"/>
          <w:sz w:val="22"/>
          <w:szCs w:val="22"/>
        </w:rPr>
        <w:t>The system updates the task status, the workload reporting in VBECS and the order status in VBECS and VistA.</w:t>
      </w:r>
    </w:p>
    <w:p w14:paraId="11E5162E" w14:textId="77777777" w:rsidR="00BE554D" w:rsidRDefault="00BE554D" w:rsidP="00BE554D">
      <w:pPr>
        <w:pStyle w:val="Heading4"/>
      </w:pPr>
      <w:r>
        <w:t>Limitations and Restrictions</w:t>
      </w:r>
      <w:r>
        <w:rPr>
          <w:b w:val="0"/>
        </w:rPr>
        <w:t xml:space="preserve"> </w:t>
      </w:r>
    </w:p>
    <w:p w14:paraId="1C909032" w14:textId="77777777" w:rsidR="00BE554D" w:rsidRPr="009A3F10" w:rsidRDefault="00BE554D" w:rsidP="000409B1">
      <w:pPr>
        <w:pStyle w:val="TableText"/>
        <w:numPr>
          <w:ilvl w:val="0"/>
          <w:numId w:val="48"/>
        </w:numPr>
        <w:rPr>
          <w:rFonts w:ascii="Times New Roman" w:hAnsi="Times New Roman"/>
          <w:spacing w:val="-5"/>
          <w:sz w:val="22"/>
          <w:szCs w:val="22"/>
        </w:rPr>
      </w:pPr>
      <w:r w:rsidRPr="009A3F10">
        <w:rPr>
          <w:rFonts w:ascii="Times New Roman" w:hAnsi="Times New Roman"/>
          <w:spacing w:val="-5"/>
          <w:sz w:val="22"/>
          <w:szCs w:val="22"/>
        </w:rPr>
        <w:t xml:space="preserve">VBECS does not accept inconclusive ABO/Rh test results.  </w:t>
      </w:r>
    </w:p>
    <w:p w14:paraId="70F88B74" w14:textId="77777777" w:rsidR="00BE554D" w:rsidRPr="009A3F10" w:rsidRDefault="00BE554D" w:rsidP="000409B1">
      <w:pPr>
        <w:pStyle w:val="TableText"/>
        <w:numPr>
          <w:ilvl w:val="0"/>
          <w:numId w:val="48"/>
        </w:numPr>
        <w:rPr>
          <w:rFonts w:ascii="Times New Roman" w:hAnsi="Times New Roman"/>
          <w:spacing w:val="-5"/>
          <w:sz w:val="22"/>
          <w:szCs w:val="22"/>
        </w:rPr>
      </w:pPr>
      <w:r w:rsidRPr="009A3F10">
        <w:rPr>
          <w:rFonts w:ascii="Times New Roman" w:hAnsi="Times New Roman"/>
          <w:spacing w:val="-5"/>
          <w:sz w:val="22"/>
          <w:szCs w:val="22"/>
        </w:rPr>
        <w:t>VBECS does not accept inconclusive interpretations for antibody screen tests.</w:t>
      </w:r>
    </w:p>
    <w:p w14:paraId="0A0AD150" w14:textId="77777777" w:rsidR="00BE554D" w:rsidRPr="009A3F10" w:rsidRDefault="00BE554D" w:rsidP="000409B1">
      <w:pPr>
        <w:pStyle w:val="TableText"/>
        <w:numPr>
          <w:ilvl w:val="0"/>
          <w:numId w:val="48"/>
        </w:numPr>
        <w:rPr>
          <w:rFonts w:ascii="Times New Roman" w:hAnsi="Times New Roman"/>
          <w:spacing w:val="-5"/>
          <w:sz w:val="22"/>
          <w:szCs w:val="22"/>
        </w:rPr>
      </w:pPr>
      <w:r w:rsidRPr="009A3F10">
        <w:rPr>
          <w:rFonts w:ascii="Times New Roman" w:hAnsi="Times New Roman"/>
          <w:spacing w:val="-5"/>
          <w:sz w:val="22"/>
          <w:szCs w:val="22"/>
        </w:rPr>
        <w:t>Immediate spin crossmatch is not allowed via au</w:t>
      </w:r>
      <w:r>
        <w:rPr>
          <w:rFonts w:ascii="Times New Roman" w:hAnsi="Times New Roman"/>
          <w:spacing w:val="-5"/>
          <w:sz w:val="22"/>
          <w:szCs w:val="22"/>
        </w:rPr>
        <w:t xml:space="preserve">tomated test entry. </w:t>
      </w:r>
    </w:p>
    <w:p w14:paraId="5C0C9A64" w14:textId="77777777" w:rsidR="00BE554D" w:rsidRPr="009A3F10" w:rsidRDefault="00BE554D" w:rsidP="000409B1">
      <w:pPr>
        <w:pStyle w:val="TableText"/>
        <w:numPr>
          <w:ilvl w:val="0"/>
          <w:numId w:val="48"/>
        </w:numPr>
        <w:rPr>
          <w:rFonts w:ascii="Times New Roman" w:hAnsi="Times New Roman"/>
          <w:spacing w:val="-5"/>
          <w:sz w:val="22"/>
          <w:szCs w:val="22"/>
        </w:rPr>
      </w:pPr>
      <w:r w:rsidRPr="009A3F10">
        <w:rPr>
          <w:rFonts w:ascii="Times New Roman" w:hAnsi="Times New Roman"/>
          <w:spacing w:val="-5"/>
          <w:sz w:val="22"/>
          <w:szCs w:val="22"/>
        </w:rPr>
        <w:t xml:space="preserve">Patient Antigen typing applies only to patient specimens </w:t>
      </w:r>
      <w:r>
        <w:rPr>
          <w:rFonts w:ascii="Times New Roman" w:hAnsi="Times New Roman"/>
          <w:spacing w:val="-5"/>
          <w:sz w:val="22"/>
          <w:szCs w:val="22"/>
        </w:rPr>
        <w:t>that contain red blood cells.</w:t>
      </w:r>
    </w:p>
    <w:p w14:paraId="6A8BCE3C" w14:textId="77777777" w:rsidR="00BE554D" w:rsidRPr="009A3F10" w:rsidRDefault="00BE554D" w:rsidP="000409B1">
      <w:pPr>
        <w:pStyle w:val="TableText"/>
        <w:numPr>
          <w:ilvl w:val="0"/>
          <w:numId w:val="48"/>
        </w:numPr>
        <w:rPr>
          <w:rFonts w:ascii="Times New Roman" w:hAnsi="Times New Roman"/>
          <w:spacing w:val="-5"/>
          <w:sz w:val="22"/>
          <w:szCs w:val="22"/>
        </w:rPr>
      </w:pPr>
      <w:r w:rsidRPr="009A3F10">
        <w:rPr>
          <w:rFonts w:ascii="Times New Roman" w:hAnsi="Times New Roman"/>
          <w:spacing w:val="-5"/>
          <w:sz w:val="22"/>
          <w:szCs w:val="22"/>
        </w:rPr>
        <w:t>The system does not check the specificity of a patient’s antibody against an existing patient antigen typing.</w:t>
      </w:r>
    </w:p>
    <w:p w14:paraId="1073C0D2" w14:textId="77777777" w:rsidR="00BE554D" w:rsidRDefault="00BE554D" w:rsidP="000409B1">
      <w:pPr>
        <w:pStyle w:val="TableText"/>
        <w:numPr>
          <w:ilvl w:val="0"/>
          <w:numId w:val="48"/>
        </w:numPr>
        <w:rPr>
          <w:rFonts w:ascii="Times New Roman" w:hAnsi="Times New Roman"/>
          <w:spacing w:val="-5"/>
          <w:sz w:val="22"/>
          <w:szCs w:val="22"/>
        </w:rPr>
      </w:pPr>
      <w:r w:rsidRPr="009A3F10">
        <w:rPr>
          <w:rFonts w:ascii="Times New Roman" w:hAnsi="Times New Roman"/>
          <w:spacing w:val="-5"/>
          <w:sz w:val="22"/>
          <w:szCs w:val="22"/>
        </w:rPr>
        <w:t>The patient antigen typing result is not reported to the CPRS record.</w:t>
      </w:r>
    </w:p>
    <w:p w14:paraId="43B8F6C8" w14:textId="77777777" w:rsidR="00DA27C7" w:rsidRDefault="00DA27C7" w:rsidP="000409B1">
      <w:pPr>
        <w:pStyle w:val="TableText"/>
        <w:numPr>
          <w:ilvl w:val="0"/>
          <w:numId w:val="48"/>
        </w:numPr>
        <w:rPr>
          <w:rFonts w:ascii="Times New Roman" w:hAnsi="Times New Roman"/>
          <w:spacing w:val="-5"/>
          <w:sz w:val="22"/>
          <w:szCs w:val="22"/>
        </w:rPr>
      </w:pPr>
      <w:r w:rsidRPr="00DA27C7">
        <w:rPr>
          <w:rFonts w:ascii="Times New Roman" w:hAnsi="Times New Roman"/>
          <w:spacing w:val="-5"/>
          <w:sz w:val="22"/>
          <w:szCs w:val="22"/>
        </w:rPr>
        <w:t>Order Rejection comment entry is required but is not visible on a report.</w:t>
      </w:r>
    </w:p>
    <w:p w14:paraId="29E01CDE" w14:textId="77777777" w:rsidR="00BE554D" w:rsidRDefault="00770FF0" w:rsidP="00BE554D">
      <w:pPr>
        <w:pStyle w:val="Heading4"/>
      </w:pPr>
      <w:r>
        <w:t>Additional Information</w:t>
      </w:r>
    </w:p>
    <w:p w14:paraId="15C02BB2" w14:textId="77777777" w:rsidR="002C3F2F" w:rsidRPr="002C3F2F" w:rsidRDefault="00057948" w:rsidP="000409B1">
      <w:pPr>
        <w:pStyle w:val="ListBullet"/>
        <w:numPr>
          <w:ilvl w:val="0"/>
          <w:numId w:val="48"/>
        </w:numPr>
      </w:pPr>
      <w:r>
        <w:rPr>
          <w:noProof/>
        </w:rPr>
        <w:drawing>
          <wp:inline distT="0" distB="0" distL="0" distR="0" wp14:anchorId="08F53BE4" wp14:editId="3B07BA04">
            <wp:extent cx="276860" cy="221615"/>
            <wp:effectExtent l="0" t="0" r="8890" b="6985"/>
            <wp:docPr id="265" name="Picture 2" descr="P9664#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 descr="P9664#yIS1">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860" cy="221615"/>
                    </a:xfrm>
                    <a:prstGeom prst="rect">
                      <a:avLst/>
                    </a:prstGeom>
                    <a:noFill/>
                    <a:ln>
                      <a:noFill/>
                    </a:ln>
                  </pic:spPr>
                </pic:pic>
              </a:graphicData>
            </a:graphic>
          </wp:inline>
        </w:drawing>
      </w:r>
      <w:r w:rsidR="002C3F2F">
        <w:t xml:space="preserve"> </w:t>
      </w:r>
      <w:r w:rsidR="002C3F2F" w:rsidRPr="00D52104">
        <w:t>AABB Standards (5.16.1)</w:t>
      </w:r>
      <w:r w:rsidR="002C3F2F">
        <w:t xml:space="preserve"> </w:t>
      </w:r>
      <w:r w:rsidR="002C3F2F" w:rsidRPr="00D52104">
        <w:t>requires a serological XM to detect ABO incompatibility</w:t>
      </w:r>
      <w:r w:rsidR="002C3F2F">
        <w:t>. A</w:t>
      </w:r>
      <w:r w:rsidR="002C3F2F" w:rsidRPr="00D52104">
        <w:t xml:space="preserve"> local policy must be in place if the site is not performing a IS AHG as part of their serologic crossmatch test, manual or using an instrument.</w:t>
      </w:r>
      <w:r w:rsidR="002C3F2F">
        <w:t xml:space="preserve"> </w:t>
      </w:r>
      <w:r w:rsidR="002C3F2F" w:rsidRPr="002C3F2F">
        <w:rPr>
          <w:vanish/>
        </w:rPr>
        <w:t>Defect 362099</w:t>
      </w:r>
    </w:p>
    <w:p w14:paraId="0859043D" w14:textId="77777777" w:rsidR="00BE554D" w:rsidRPr="006E44D8" w:rsidRDefault="00BE554D" w:rsidP="000409B1">
      <w:pPr>
        <w:pStyle w:val="TableText"/>
        <w:numPr>
          <w:ilvl w:val="0"/>
          <w:numId w:val="48"/>
        </w:numPr>
        <w:rPr>
          <w:rFonts w:ascii="Times New Roman" w:hAnsi="Times New Roman"/>
          <w:spacing w:val="-5"/>
          <w:sz w:val="22"/>
          <w:szCs w:val="22"/>
        </w:rPr>
      </w:pPr>
      <w:r w:rsidRPr="006E44D8">
        <w:rPr>
          <w:rFonts w:ascii="Times New Roman" w:hAnsi="Times New Roman"/>
          <w:spacing w:val="-5"/>
          <w:sz w:val="22"/>
          <w:szCs w:val="22"/>
        </w:rPr>
        <w:t>The patient’s antigen t</w:t>
      </w:r>
      <w:r>
        <w:rPr>
          <w:rFonts w:ascii="Times New Roman" w:hAnsi="Times New Roman"/>
          <w:spacing w:val="-5"/>
          <w:sz w:val="22"/>
          <w:szCs w:val="22"/>
        </w:rPr>
        <w:t xml:space="preserve">yping information will display in </w:t>
      </w:r>
      <w:r w:rsidRPr="006E44D8">
        <w:rPr>
          <w:rFonts w:ascii="Times New Roman" w:hAnsi="Times New Roman"/>
          <w:spacing w:val="-5"/>
          <w:sz w:val="22"/>
          <w:szCs w:val="22"/>
        </w:rPr>
        <w:t>Display Patient VBECS Data, but will not appear as part of the Transfusion Requirements or Special Instructi</w:t>
      </w:r>
      <w:r>
        <w:rPr>
          <w:rFonts w:ascii="Times New Roman" w:hAnsi="Times New Roman"/>
          <w:spacing w:val="-5"/>
          <w:sz w:val="22"/>
          <w:szCs w:val="22"/>
        </w:rPr>
        <w:t xml:space="preserve">ons that display in </w:t>
      </w:r>
      <w:r w:rsidRPr="006E44D8">
        <w:rPr>
          <w:rFonts w:ascii="Times New Roman" w:hAnsi="Times New Roman"/>
          <w:spacing w:val="-5"/>
          <w:sz w:val="22"/>
          <w:szCs w:val="22"/>
        </w:rPr>
        <w:t>Display Patient Transfusion Requirements and Special Instructions.</w:t>
      </w:r>
    </w:p>
    <w:p w14:paraId="5A0450F4" w14:textId="77777777" w:rsidR="00BE554D" w:rsidRPr="00E82F44" w:rsidRDefault="00E82F44" w:rsidP="000409B1">
      <w:pPr>
        <w:pStyle w:val="TableText"/>
        <w:numPr>
          <w:ilvl w:val="0"/>
          <w:numId w:val="48"/>
        </w:numPr>
        <w:rPr>
          <w:rFonts w:ascii="Times New Roman" w:hAnsi="Times New Roman"/>
          <w:spacing w:val="-5"/>
          <w:sz w:val="22"/>
          <w:szCs w:val="22"/>
        </w:rPr>
      </w:pPr>
      <w:r w:rsidRPr="00E82F44">
        <w:rPr>
          <w:rFonts w:ascii="Times New Roman" w:hAnsi="Times New Roman"/>
          <w:vanish/>
          <w:spacing w:val="-5"/>
          <w:sz w:val="22"/>
          <w:szCs w:val="22"/>
        </w:rPr>
        <w:t xml:space="preserve">Defect 279095 </w:t>
      </w:r>
      <w:r w:rsidR="00BE554D" w:rsidRPr="00E82F44">
        <w:rPr>
          <w:rFonts w:ascii="Times New Roman" w:hAnsi="Times New Roman"/>
          <w:spacing w:val="-5"/>
          <w:sz w:val="22"/>
          <w:szCs w:val="22"/>
        </w:rPr>
        <w:t>When the Antibody Screen test is configured with a Direct Antiglobulin Test (DAT) for manual testing, that DAT test must be executed as a separate test when using an automated instrument for testing and displays on the DAT tab, not the TAS tab.</w:t>
      </w:r>
      <w:r w:rsidR="00770FF0">
        <w:rPr>
          <w:rFonts w:ascii="Times New Roman" w:hAnsi="Times New Roman"/>
          <w:spacing w:val="-5"/>
          <w:sz w:val="22"/>
          <w:szCs w:val="22"/>
        </w:rPr>
        <w:t xml:space="preserve"> </w:t>
      </w:r>
      <w:r w:rsidR="00770FF0" w:rsidRPr="00770FF0">
        <w:rPr>
          <w:rFonts w:ascii="Times New Roman" w:hAnsi="Times New Roman"/>
          <w:spacing w:val="-5"/>
          <w:sz w:val="22"/>
          <w:szCs w:val="22"/>
        </w:rPr>
        <w:t xml:space="preserve">Attempts to send the DAT to VBECS without a separate </w:t>
      </w:r>
      <w:r w:rsidR="00770FF0" w:rsidRPr="00770FF0">
        <w:rPr>
          <w:rFonts w:ascii="Times New Roman" w:hAnsi="Times New Roman"/>
          <w:spacing w:val="-5"/>
          <w:sz w:val="22"/>
          <w:szCs w:val="22"/>
        </w:rPr>
        <w:lastRenderedPageBreak/>
        <w:t>standalone DAT order (either a DAT ordered in CPRS or a Reflex DAT entered in VBECS) will result in a rejection of the DAT result message. Users must have a separate DAT test pending in order to send test results from the Automated Instrument.</w:t>
      </w:r>
    </w:p>
    <w:p w14:paraId="72A294B4" w14:textId="77777777" w:rsidR="00BE554D" w:rsidRDefault="00BE554D" w:rsidP="000409B1">
      <w:pPr>
        <w:pStyle w:val="TableText"/>
        <w:numPr>
          <w:ilvl w:val="0"/>
          <w:numId w:val="48"/>
        </w:numPr>
        <w:rPr>
          <w:rFonts w:ascii="Times New Roman" w:hAnsi="Times New Roman"/>
          <w:spacing w:val="-5"/>
          <w:sz w:val="22"/>
          <w:szCs w:val="22"/>
        </w:rPr>
      </w:pPr>
      <w:r w:rsidRPr="006E44D8">
        <w:rPr>
          <w:rFonts w:ascii="Times New Roman" w:hAnsi="Times New Roman"/>
          <w:spacing w:val="-5"/>
          <w:sz w:val="22"/>
          <w:szCs w:val="22"/>
        </w:rPr>
        <w:t>When Workload is</w:t>
      </w:r>
      <w:r>
        <w:rPr>
          <w:rFonts w:ascii="Times New Roman" w:hAnsi="Times New Roman"/>
          <w:spacing w:val="-5"/>
          <w:sz w:val="22"/>
          <w:szCs w:val="22"/>
        </w:rPr>
        <w:t xml:space="preserve"> not configured per </w:t>
      </w:r>
      <w:r w:rsidRPr="006E44D8">
        <w:rPr>
          <w:rFonts w:ascii="Times New Roman" w:hAnsi="Times New Roman"/>
          <w:spacing w:val="-5"/>
          <w:sz w:val="22"/>
          <w:szCs w:val="22"/>
        </w:rPr>
        <w:t>Workload Codes, then Workload cannot be collected.</w:t>
      </w:r>
    </w:p>
    <w:p w14:paraId="622FA517" w14:textId="77777777" w:rsidR="00ED1FEE" w:rsidRPr="00ED1FEE" w:rsidRDefault="00ED1FEE" w:rsidP="000409B1">
      <w:pPr>
        <w:pStyle w:val="TableText"/>
        <w:numPr>
          <w:ilvl w:val="0"/>
          <w:numId w:val="48"/>
        </w:numPr>
        <w:rPr>
          <w:rFonts w:ascii="Times New Roman" w:hAnsi="Times New Roman"/>
          <w:spacing w:val="-5"/>
          <w:sz w:val="22"/>
          <w:szCs w:val="22"/>
        </w:rPr>
      </w:pPr>
      <w:r w:rsidRPr="00672710">
        <w:rPr>
          <w:rFonts w:ascii="Times New Roman" w:hAnsi="Times New Roman"/>
          <w:spacing w:val="-5"/>
          <w:sz w:val="22"/>
          <w:szCs w:val="22"/>
        </w:rPr>
        <w:t>Review comment entered for ABO/Rh test results from an automated instrument is associated with both ABO and Rh interpretation and will be displayed for both on reports.</w:t>
      </w:r>
      <w:r>
        <w:rPr>
          <w:rFonts w:ascii="Times New Roman" w:hAnsi="Times New Roman"/>
          <w:spacing w:val="-5"/>
          <w:sz w:val="22"/>
          <w:szCs w:val="22"/>
        </w:rPr>
        <w:t xml:space="preserve"> </w:t>
      </w:r>
      <w:r w:rsidRPr="00672710">
        <w:rPr>
          <w:rFonts w:ascii="Times New Roman" w:hAnsi="Times New Roman"/>
          <w:vanish/>
          <w:spacing w:val="-5"/>
          <w:sz w:val="22"/>
          <w:szCs w:val="22"/>
        </w:rPr>
        <w:t>Defect 382981</w:t>
      </w:r>
    </w:p>
    <w:p w14:paraId="58DD4C2E" w14:textId="77777777" w:rsidR="00BE554D" w:rsidRDefault="00BE554D" w:rsidP="00BE554D">
      <w:pPr>
        <w:pStyle w:val="Heading4"/>
        <w:rPr>
          <w:b w:val="0"/>
        </w:rPr>
      </w:pPr>
      <w:r>
        <w:t>User Roles with Access to This Option</w:t>
      </w:r>
      <w:r>
        <w:rPr>
          <w:b w:val="0"/>
        </w:rPr>
        <w:t xml:space="preserve"> </w:t>
      </w:r>
    </w:p>
    <w:p w14:paraId="3CC05EF9" w14:textId="77777777" w:rsidR="00BE554D" w:rsidRDefault="00BE554D" w:rsidP="00BE554D">
      <w:pPr>
        <w:pStyle w:val="Roles"/>
      </w:pPr>
      <w:r>
        <w:t>All users</w:t>
      </w:r>
    </w:p>
    <w:p w14:paraId="3B083D44" w14:textId="77777777" w:rsidR="00BE554D" w:rsidRPr="00311A54" w:rsidRDefault="00BE554D" w:rsidP="00BE554D">
      <w:pPr>
        <w:pStyle w:val="Heading4"/>
      </w:pPr>
      <w:r w:rsidRPr="00311A54">
        <w:t>Automated Testing Review</w:t>
      </w:r>
    </w:p>
    <w:p w14:paraId="46232621" w14:textId="77777777" w:rsidR="00BE554D" w:rsidRDefault="00BE554D" w:rsidP="00BE554D">
      <w:pPr>
        <w:pStyle w:val="BodyText"/>
      </w:pPr>
      <w:r>
        <w:t>This feature allows the interface of automated blood banking instruments with VBECS through Data Innovations Instrument Manager. It eliminates the potential for human error associated with the manual entry of results from an automated instrument into VBECS. It also eliminates the potential for transcription errors that can lead to a patient safety issue of ABO incompatible transfusion. In addition to safety, these enhancements will also reduce the time spent entering results manually</w:t>
      </w:r>
      <w:r w:rsidRPr="00311A54">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BE554D" w14:paraId="6656C105" w14:textId="77777777" w:rsidTr="00381224">
        <w:trPr>
          <w:cantSplit/>
          <w:tblHeader/>
        </w:trPr>
        <w:tc>
          <w:tcPr>
            <w:tcW w:w="3240" w:type="dxa"/>
            <w:shd w:val="pct30" w:color="auto" w:fill="FFFFFF"/>
            <w:vAlign w:val="bottom"/>
          </w:tcPr>
          <w:p w14:paraId="4D7AA451" w14:textId="77777777" w:rsidR="00BE554D" w:rsidRDefault="00BE554D" w:rsidP="00381224">
            <w:pPr>
              <w:pStyle w:val="TableText"/>
              <w:rPr>
                <w:b/>
              </w:rPr>
            </w:pPr>
            <w:r>
              <w:rPr>
                <w:b/>
              </w:rPr>
              <w:t>User Action</w:t>
            </w:r>
          </w:p>
        </w:tc>
        <w:tc>
          <w:tcPr>
            <w:tcW w:w="6120" w:type="dxa"/>
            <w:shd w:val="pct30" w:color="auto" w:fill="FFFFFF"/>
            <w:vAlign w:val="bottom"/>
          </w:tcPr>
          <w:p w14:paraId="74FE9994" w14:textId="77777777" w:rsidR="00BE554D" w:rsidRDefault="00BE554D" w:rsidP="00381224">
            <w:pPr>
              <w:pStyle w:val="TableText"/>
              <w:rPr>
                <w:b/>
              </w:rPr>
            </w:pPr>
            <w:r>
              <w:rPr>
                <w:b/>
              </w:rPr>
              <w:t>VBECS</w:t>
            </w:r>
          </w:p>
        </w:tc>
      </w:tr>
      <w:tr w:rsidR="00BE554D" w14:paraId="6E3DB6DD" w14:textId="77777777" w:rsidTr="00381224">
        <w:tc>
          <w:tcPr>
            <w:tcW w:w="3240" w:type="dxa"/>
          </w:tcPr>
          <w:p w14:paraId="2937B934" w14:textId="77777777" w:rsidR="001631DF" w:rsidRDefault="001631DF" w:rsidP="000409B1">
            <w:pPr>
              <w:pStyle w:val="TableTextNumbers"/>
              <w:numPr>
                <w:ilvl w:val="0"/>
                <w:numId w:val="53"/>
              </w:numPr>
            </w:pPr>
            <w:r>
              <w:t xml:space="preserve">User logs into VBECS and selects </w:t>
            </w:r>
            <w:r>
              <w:rPr>
                <w:b/>
              </w:rPr>
              <w:t>Patients</w:t>
            </w:r>
            <w:r w:rsidRPr="001631DF">
              <w:rPr>
                <w:b/>
              </w:rPr>
              <w:t>, Automated Testing</w:t>
            </w:r>
            <w:r>
              <w:t xml:space="preserve"> from the main menu.</w:t>
            </w:r>
          </w:p>
          <w:p w14:paraId="59C8D84E" w14:textId="77777777" w:rsidR="001631DF" w:rsidRDefault="001631DF" w:rsidP="001631DF">
            <w:pPr>
              <w:pStyle w:val="TableTextNumbers"/>
              <w:numPr>
                <w:ilvl w:val="0"/>
                <w:numId w:val="0"/>
              </w:numPr>
              <w:ind w:left="288"/>
            </w:pPr>
          </w:p>
          <w:p w14:paraId="091F0F11" w14:textId="77777777" w:rsidR="001631DF" w:rsidRDefault="001631DF" w:rsidP="001631DF">
            <w:pPr>
              <w:pStyle w:val="TableTextNumbers"/>
              <w:numPr>
                <w:ilvl w:val="0"/>
                <w:numId w:val="0"/>
              </w:numPr>
              <w:ind w:left="288"/>
            </w:pPr>
            <w:r>
              <w:t>Or</w:t>
            </w:r>
          </w:p>
          <w:p w14:paraId="0791B3C7" w14:textId="77777777" w:rsidR="001631DF" w:rsidRDefault="001631DF" w:rsidP="001631DF">
            <w:pPr>
              <w:pStyle w:val="TableTextNumbers"/>
              <w:numPr>
                <w:ilvl w:val="0"/>
                <w:numId w:val="0"/>
              </w:numPr>
              <w:ind w:left="288"/>
            </w:pPr>
          </w:p>
          <w:p w14:paraId="7BAAA066" w14:textId="671A0058" w:rsidR="00BE554D" w:rsidRDefault="001631DF" w:rsidP="001631DF">
            <w:pPr>
              <w:pStyle w:val="TableTextNumbers"/>
              <w:numPr>
                <w:ilvl w:val="0"/>
                <w:numId w:val="0"/>
              </w:numPr>
              <w:ind w:left="288"/>
            </w:pPr>
            <w:r>
              <w:t xml:space="preserve">User logs into VBECS and clicks on the </w:t>
            </w:r>
            <w:r w:rsidRPr="001631DF">
              <w:rPr>
                <w:b/>
              </w:rPr>
              <w:t>Automated Testing Toolbar Icon</w:t>
            </w:r>
            <w:r>
              <w:t xml:space="preserve"> (patient face with </w:t>
            </w:r>
            <w:r w:rsidR="002E5AC8">
              <w:t>lightning</w:t>
            </w:r>
            <w:r>
              <w:t xml:space="preserve"> bolt)</w:t>
            </w:r>
          </w:p>
        </w:tc>
        <w:tc>
          <w:tcPr>
            <w:tcW w:w="6120" w:type="dxa"/>
          </w:tcPr>
          <w:p w14:paraId="5BD8515A" w14:textId="77777777" w:rsidR="001631DF" w:rsidRDefault="00D279DE" w:rsidP="001631DF">
            <w:pPr>
              <w:pStyle w:val="TableTextBullet"/>
            </w:pPr>
            <w:r>
              <w:t>Displays</w:t>
            </w:r>
            <w:r w:rsidR="001631DF">
              <w:t xml:space="preserve"> the Automated Testing – Pending Patient Orders window.</w:t>
            </w:r>
          </w:p>
          <w:p w14:paraId="14B5E3E8" w14:textId="77777777" w:rsidR="001631DF" w:rsidRDefault="001631DF" w:rsidP="001631DF">
            <w:pPr>
              <w:pStyle w:val="TableTextBullet"/>
            </w:pPr>
            <w:r>
              <w:rPr>
                <w:rFonts w:cs="Arial"/>
                <w:vanish/>
              </w:rPr>
              <w:t xml:space="preserve">BR_85.02 </w:t>
            </w:r>
            <w:r w:rsidR="00D279DE">
              <w:t xml:space="preserve">Allows a user </w:t>
            </w:r>
            <w:r>
              <w:t>to select a patient.</w:t>
            </w:r>
          </w:p>
          <w:p w14:paraId="20F4F893" w14:textId="77777777" w:rsidR="001631DF" w:rsidRDefault="001631DF" w:rsidP="001631DF">
            <w:pPr>
              <w:pStyle w:val="TableTextBullet"/>
            </w:pPr>
            <w:r>
              <w:t xml:space="preserve">Displays message when no pending </w:t>
            </w:r>
            <w:r w:rsidR="004A39DB">
              <w:t>patient specimens</w:t>
            </w:r>
            <w:r>
              <w:t xml:space="preserve"> were found to review.</w:t>
            </w:r>
          </w:p>
          <w:p w14:paraId="70F0E934" w14:textId="77777777" w:rsidR="00BE554D" w:rsidRDefault="00BE554D" w:rsidP="00381224">
            <w:pPr>
              <w:pStyle w:val="TableTextBullet"/>
              <w:numPr>
                <w:ilvl w:val="0"/>
                <w:numId w:val="0"/>
              </w:numPr>
              <w:ind w:left="288" w:hanging="288"/>
            </w:pPr>
          </w:p>
          <w:p w14:paraId="652F6CDE" w14:textId="77777777" w:rsidR="00BE554D" w:rsidRDefault="00057948" w:rsidP="00381224">
            <w:pPr>
              <w:pStyle w:val="TableText"/>
              <w:rPr>
                <w:b/>
                <w:bCs/>
                <w:szCs w:val="18"/>
              </w:rPr>
            </w:pPr>
            <w:r>
              <w:rPr>
                <w:b/>
                <w:bCs/>
                <w:noProof/>
              </w:rPr>
              <mc:AlternateContent>
                <mc:Choice Requires="wps">
                  <w:drawing>
                    <wp:anchor distT="0" distB="0" distL="114300" distR="114300" simplePos="0" relativeHeight="252059136" behindDoc="0" locked="0" layoutInCell="1" allowOverlap="1" wp14:anchorId="07D4B60A" wp14:editId="3277FB7A">
                      <wp:simplePos x="0" y="0"/>
                      <wp:positionH relativeFrom="column">
                        <wp:posOffset>457200</wp:posOffset>
                      </wp:positionH>
                      <wp:positionV relativeFrom="paragraph">
                        <wp:posOffset>65405</wp:posOffset>
                      </wp:positionV>
                      <wp:extent cx="3200400" cy="0"/>
                      <wp:effectExtent l="9525" t="17780" r="9525" b="10795"/>
                      <wp:wrapNone/>
                      <wp:docPr id="303" name="Line 1280" descr="P9685L47C4T10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14366" id="Line 1280" o:spid="_x0000_s1026" alt="&quot;&quot;" style="position:absolute;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JT+hj/EAQAAbwMAAA4AAAAAAAAAAAAAAAAA&#10;LgIAAGRycy9lMm9Eb2MueG1sUEsBAi0AFAAGAAgAAAAhABdPMBLbAAAACAEAAA8AAAAAAAAAAAAA&#10;AAAAHgQAAGRycy9kb3ducmV2LnhtbFBLBQYAAAAABAAEAPMAAAAmBQAAAAA=&#10;" strokeweight="1.5pt"/>
                  </w:pict>
                </mc:Fallback>
              </mc:AlternateContent>
            </w:r>
            <w:r w:rsidR="00BE554D">
              <w:rPr>
                <w:b/>
                <w:bCs/>
                <w:szCs w:val="18"/>
              </w:rPr>
              <w:t>NOTES</w:t>
            </w:r>
          </w:p>
          <w:p w14:paraId="67707FF3" w14:textId="77777777" w:rsidR="00BE554D" w:rsidRDefault="00BE554D" w:rsidP="00381224">
            <w:pPr>
              <w:pStyle w:val="NotesText"/>
            </w:pPr>
          </w:p>
          <w:p w14:paraId="61E97E6B" w14:textId="77777777" w:rsidR="001631DF" w:rsidRDefault="001631DF" w:rsidP="001631DF">
            <w:pPr>
              <w:pStyle w:val="TableText"/>
              <w:ind w:left="720"/>
            </w:pPr>
            <w:r w:rsidRPr="00425938">
              <w:rPr>
                <w:vanish/>
              </w:rPr>
              <w:t xml:space="preserve">BR_2.43 </w:t>
            </w:r>
            <w:r>
              <w:t>The functionality is not accessible if division is defined as a Transfusion Only facility.</w:t>
            </w:r>
          </w:p>
          <w:p w14:paraId="55A3B359" w14:textId="77777777" w:rsidR="001631DF" w:rsidRDefault="001631DF" w:rsidP="001631DF">
            <w:pPr>
              <w:pStyle w:val="NotesText"/>
            </w:pPr>
          </w:p>
          <w:p w14:paraId="04244D6E" w14:textId="77777777" w:rsidR="001631DF" w:rsidRDefault="001631DF" w:rsidP="001631DF">
            <w:pPr>
              <w:pStyle w:val="TableText"/>
              <w:ind w:left="720"/>
            </w:pPr>
            <w:r w:rsidRPr="00F47ABD">
              <w:rPr>
                <w:vanish/>
              </w:rPr>
              <w:t xml:space="preserve">BR_115.03 </w:t>
            </w:r>
            <w:r>
              <w:t>The list displayed contains only those patients associated with pending results from an instrument message.</w:t>
            </w:r>
          </w:p>
          <w:p w14:paraId="7FBB1E3E" w14:textId="77777777" w:rsidR="001631DF" w:rsidRDefault="001631DF" w:rsidP="001631DF">
            <w:pPr>
              <w:pStyle w:val="TableText"/>
              <w:ind w:left="720"/>
            </w:pPr>
          </w:p>
          <w:p w14:paraId="488433F3" w14:textId="77777777" w:rsidR="001631DF" w:rsidRDefault="001631DF" w:rsidP="001631DF">
            <w:pPr>
              <w:pStyle w:val="TableText"/>
              <w:ind w:left="720"/>
            </w:pPr>
            <w:r w:rsidRPr="00F47ABD">
              <w:rPr>
                <w:vanish/>
              </w:rPr>
              <w:t xml:space="preserve">BR_115.04 </w:t>
            </w:r>
            <w:r>
              <w:t>System displays a list of patients who have pending test results from Auto Instrument including the following information:</w:t>
            </w:r>
          </w:p>
          <w:p w14:paraId="12C9BBD6" w14:textId="77777777" w:rsidR="001631DF" w:rsidRDefault="001631DF" w:rsidP="000409B1">
            <w:pPr>
              <w:pStyle w:val="TableText"/>
              <w:numPr>
                <w:ilvl w:val="0"/>
                <w:numId w:val="49"/>
              </w:numPr>
            </w:pPr>
            <w:r>
              <w:t>Patient name</w:t>
            </w:r>
          </w:p>
          <w:p w14:paraId="6037A9F3" w14:textId="77777777" w:rsidR="001631DF" w:rsidRDefault="001631DF" w:rsidP="000409B1">
            <w:pPr>
              <w:pStyle w:val="TableText"/>
              <w:numPr>
                <w:ilvl w:val="0"/>
                <w:numId w:val="49"/>
              </w:numPr>
            </w:pPr>
            <w:r>
              <w:t>Patient ID</w:t>
            </w:r>
          </w:p>
          <w:p w14:paraId="527FCBBC" w14:textId="77777777" w:rsidR="001631DF" w:rsidRDefault="001631DF" w:rsidP="000409B1">
            <w:pPr>
              <w:pStyle w:val="TableText"/>
              <w:numPr>
                <w:ilvl w:val="0"/>
                <w:numId w:val="49"/>
              </w:numPr>
            </w:pPr>
            <w:r>
              <w:t>Patient Historic ABO/Rh</w:t>
            </w:r>
          </w:p>
          <w:p w14:paraId="0BB7B9D3" w14:textId="77777777" w:rsidR="001631DF" w:rsidRDefault="001631DF" w:rsidP="000409B1">
            <w:pPr>
              <w:pStyle w:val="TableText"/>
              <w:numPr>
                <w:ilvl w:val="0"/>
                <w:numId w:val="49"/>
              </w:numPr>
            </w:pPr>
            <w:r>
              <w:t>Specimen UIDs</w:t>
            </w:r>
          </w:p>
          <w:p w14:paraId="226094EB" w14:textId="77777777" w:rsidR="00BE554D" w:rsidRPr="000D7828" w:rsidRDefault="00D00CAC" w:rsidP="000409B1">
            <w:pPr>
              <w:pStyle w:val="TableText"/>
              <w:numPr>
                <w:ilvl w:val="0"/>
                <w:numId w:val="49"/>
              </w:numPr>
            </w:pPr>
            <w:r>
              <w:t>List of pending auto instrument tests for patient</w:t>
            </w:r>
          </w:p>
        </w:tc>
      </w:tr>
      <w:tr w:rsidR="00BE554D" w14:paraId="25FA24B6" w14:textId="77777777" w:rsidTr="00381224">
        <w:tc>
          <w:tcPr>
            <w:tcW w:w="3240" w:type="dxa"/>
          </w:tcPr>
          <w:p w14:paraId="509D1EAA" w14:textId="77777777" w:rsidR="001631DF" w:rsidRPr="00061040" w:rsidRDefault="00BE554D" w:rsidP="00381224">
            <w:pPr>
              <w:pStyle w:val="TableTextNumbers"/>
            </w:pPr>
            <w:r w:rsidRPr="00061040">
              <w:t xml:space="preserve">User selects </w:t>
            </w:r>
            <w:r w:rsidR="00D044A1" w:rsidRPr="00061040">
              <w:t>the</w:t>
            </w:r>
            <w:r w:rsidR="001631DF" w:rsidRPr="00061040">
              <w:t xml:space="preserve"> </w:t>
            </w:r>
            <w:r w:rsidR="00D044A1" w:rsidRPr="00061040">
              <w:t>p</w:t>
            </w:r>
            <w:r w:rsidR="001631DF" w:rsidRPr="00061040">
              <w:t>atient to review from the list of pending results</w:t>
            </w:r>
            <w:r w:rsidR="00D044A1" w:rsidRPr="00061040">
              <w:t xml:space="preserve"> and clicks </w:t>
            </w:r>
            <w:r w:rsidR="00D044A1" w:rsidRPr="00061040">
              <w:rPr>
                <w:b/>
              </w:rPr>
              <w:t>OK</w:t>
            </w:r>
            <w:r w:rsidR="00D044A1" w:rsidRPr="00061040">
              <w:t>.</w:t>
            </w:r>
          </w:p>
          <w:p w14:paraId="36AE4CA1" w14:textId="77777777" w:rsidR="00BE554D" w:rsidRDefault="00BE554D" w:rsidP="001631DF">
            <w:pPr>
              <w:pStyle w:val="TableTextNumbers"/>
              <w:numPr>
                <w:ilvl w:val="0"/>
                <w:numId w:val="0"/>
              </w:numPr>
              <w:ind w:left="288"/>
            </w:pPr>
          </w:p>
        </w:tc>
        <w:tc>
          <w:tcPr>
            <w:tcW w:w="6120" w:type="dxa"/>
          </w:tcPr>
          <w:p w14:paraId="57BE9367" w14:textId="77777777" w:rsidR="00D044A1" w:rsidRDefault="00D044A1" w:rsidP="00D044A1">
            <w:pPr>
              <w:pStyle w:val="TableTextBullet"/>
            </w:pPr>
            <w:r>
              <w:rPr>
                <w:rFonts w:cs="Arial"/>
                <w:vanish/>
              </w:rPr>
              <w:t xml:space="preserve">BR_115.14 </w:t>
            </w:r>
            <w:r w:rsidR="00D279DE">
              <w:t>D</w:t>
            </w:r>
            <w:r>
              <w:t>isplays information about the patient selected.</w:t>
            </w:r>
          </w:p>
          <w:p w14:paraId="4529CB3B" w14:textId="77777777" w:rsidR="00BE554D" w:rsidRDefault="00BE554D" w:rsidP="00381224">
            <w:pPr>
              <w:pStyle w:val="TableTextBullet"/>
              <w:numPr>
                <w:ilvl w:val="0"/>
                <w:numId w:val="0"/>
              </w:numPr>
              <w:ind w:left="288" w:hanging="288"/>
            </w:pPr>
          </w:p>
          <w:p w14:paraId="6F667717" w14:textId="77777777" w:rsidR="00BE554D" w:rsidRDefault="00057948" w:rsidP="00381224">
            <w:pPr>
              <w:pStyle w:val="TableText"/>
              <w:rPr>
                <w:b/>
                <w:bCs/>
                <w:szCs w:val="18"/>
              </w:rPr>
            </w:pPr>
            <w:r>
              <w:rPr>
                <w:b/>
                <w:bCs/>
                <w:noProof/>
              </w:rPr>
              <mc:AlternateContent>
                <mc:Choice Requires="wps">
                  <w:drawing>
                    <wp:anchor distT="0" distB="0" distL="114300" distR="114300" simplePos="0" relativeHeight="252061184" behindDoc="0" locked="0" layoutInCell="1" allowOverlap="1" wp14:anchorId="07B333C0" wp14:editId="3FF750DC">
                      <wp:simplePos x="0" y="0"/>
                      <wp:positionH relativeFrom="column">
                        <wp:posOffset>457200</wp:posOffset>
                      </wp:positionH>
                      <wp:positionV relativeFrom="paragraph">
                        <wp:posOffset>65405</wp:posOffset>
                      </wp:positionV>
                      <wp:extent cx="3200400" cy="0"/>
                      <wp:effectExtent l="9525" t="17780" r="9525" b="10795"/>
                      <wp:wrapNone/>
                      <wp:docPr id="302" name="Line 1281" descr="P9702L48C6T10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1F2B0" id="Line 1281" o:spid="_x0000_s1026" alt="&quot;&quot;" style="position:absolute;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glKwv8MBAABvAwAADgAAAAAAAAAAAAAAAAAu&#10;AgAAZHJzL2Uyb0RvYy54bWxQSwECLQAUAAYACAAAACEAF08wEtsAAAAIAQAADwAAAAAAAAAAAAAA&#10;AAAdBAAAZHJzL2Rvd25yZXYueG1sUEsFBgAAAAAEAAQA8wAAACUFAAAAAA==&#10;" strokeweight="1.5pt"/>
                  </w:pict>
                </mc:Fallback>
              </mc:AlternateContent>
            </w:r>
            <w:r w:rsidR="00BE554D">
              <w:rPr>
                <w:b/>
                <w:bCs/>
                <w:szCs w:val="18"/>
              </w:rPr>
              <w:t>NOTES</w:t>
            </w:r>
          </w:p>
          <w:p w14:paraId="48F39355" w14:textId="77777777" w:rsidR="00BE554D" w:rsidRDefault="00BE554D" w:rsidP="00381224">
            <w:pPr>
              <w:pStyle w:val="NotesText"/>
            </w:pPr>
          </w:p>
          <w:p w14:paraId="436805F6" w14:textId="77777777" w:rsidR="00BE554D" w:rsidRDefault="00BE554D" w:rsidP="00381224">
            <w:pPr>
              <w:pStyle w:val="TableText"/>
              <w:ind w:left="720"/>
            </w:pPr>
            <w:r w:rsidRPr="00F47ABD">
              <w:rPr>
                <w:vanish/>
              </w:rPr>
              <w:t xml:space="preserve">BR_115.03 </w:t>
            </w:r>
            <w:r>
              <w:t>The list displayed contains only those patients associated with pending results from an instrument message.</w:t>
            </w:r>
          </w:p>
          <w:p w14:paraId="08B97F4B" w14:textId="77777777" w:rsidR="00D044A1" w:rsidRDefault="00D044A1" w:rsidP="00381224">
            <w:pPr>
              <w:pStyle w:val="TableText"/>
              <w:ind w:left="720"/>
            </w:pPr>
          </w:p>
          <w:p w14:paraId="4F551A51" w14:textId="77777777" w:rsidR="00BE554D" w:rsidRDefault="00BE554D" w:rsidP="00381224">
            <w:pPr>
              <w:pStyle w:val="TableText"/>
              <w:ind w:left="720"/>
            </w:pPr>
            <w:r w:rsidRPr="00F47ABD">
              <w:rPr>
                <w:vanish/>
              </w:rPr>
              <w:t xml:space="preserve">BR_115.04 </w:t>
            </w:r>
            <w:r>
              <w:t>System displays a list of patients who have pending test results from Auto Instrument including the following information:</w:t>
            </w:r>
          </w:p>
          <w:p w14:paraId="0EDF6680" w14:textId="77777777" w:rsidR="00BE554D" w:rsidRDefault="00BE554D" w:rsidP="000409B1">
            <w:pPr>
              <w:pStyle w:val="TableText"/>
              <w:numPr>
                <w:ilvl w:val="0"/>
                <w:numId w:val="49"/>
              </w:numPr>
            </w:pPr>
            <w:r>
              <w:t>Patient name</w:t>
            </w:r>
          </w:p>
          <w:p w14:paraId="2B6C0482" w14:textId="77777777" w:rsidR="00BE554D" w:rsidRDefault="00BE554D" w:rsidP="000409B1">
            <w:pPr>
              <w:pStyle w:val="TableText"/>
              <w:numPr>
                <w:ilvl w:val="0"/>
                <w:numId w:val="49"/>
              </w:numPr>
            </w:pPr>
            <w:r>
              <w:t>Patient ID</w:t>
            </w:r>
          </w:p>
          <w:p w14:paraId="69F5B80E" w14:textId="77777777" w:rsidR="00BE554D" w:rsidRDefault="00BE554D" w:rsidP="000409B1">
            <w:pPr>
              <w:pStyle w:val="TableText"/>
              <w:numPr>
                <w:ilvl w:val="0"/>
                <w:numId w:val="49"/>
              </w:numPr>
            </w:pPr>
            <w:r>
              <w:t>Patient Historic ABO/Rh</w:t>
            </w:r>
          </w:p>
          <w:p w14:paraId="12A2E035" w14:textId="77777777" w:rsidR="00BE554D" w:rsidRDefault="00BE554D" w:rsidP="000409B1">
            <w:pPr>
              <w:pStyle w:val="TableText"/>
              <w:numPr>
                <w:ilvl w:val="0"/>
                <w:numId w:val="49"/>
              </w:numPr>
            </w:pPr>
            <w:r>
              <w:t>Specimen UIDs</w:t>
            </w:r>
          </w:p>
          <w:p w14:paraId="0D80130B" w14:textId="77777777" w:rsidR="00BE554D" w:rsidRDefault="00BE554D" w:rsidP="000409B1">
            <w:pPr>
              <w:pStyle w:val="TableText"/>
              <w:numPr>
                <w:ilvl w:val="0"/>
                <w:numId w:val="49"/>
              </w:numPr>
            </w:pPr>
            <w:r>
              <w:t>List of pending auto instrument tests for patient</w:t>
            </w:r>
          </w:p>
          <w:p w14:paraId="056752E8" w14:textId="77777777" w:rsidR="00D044A1" w:rsidRDefault="00D044A1" w:rsidP="00D044A1">
            <w:pPr>
              <w:pStyle w:val="TableText"/>
              <w:ind w:left="720"/>
              <w:rPr>
                <w:vanish/>
              </w:rPr>
            </w:pPr>
          </w:p>
          <w:p w14:paraId="67E453D0" w14:textId="77777777" w:rsidR="00D044A1" w:rsidRDefault="00D044A1" w:rsidP="00D044A1">
            <w:pPr>
              <w:pStyle w:val="TableText"/>
              <w:ind w:left="720"/>
            </w:pPr>
            <w:r w:rsidRPr="00F47ABD">
              <w:rPr>
                <w:vanish/>
              </w:rPr>
              <w:t xml:space="preserve">BR_115.14 </w:t>
            </w:r>
            <w:r>
              <w:t>When patient is selected the system displays the following information:</w:t>
            </w:r>
          </w:p>
          <w:p w14:paraId="3D7041FB" w14:textId="77777777" w:rsidR="00D044A1" w:rsidRDefault="00D044A1" w:rsidP="000409B1">
            <w:pPr>
              <w:pStyle w:val="TableText"/>
              <w:numPr>
                <w:ilvl w:val="0"/>
                <w:numId w:val="49"/>
              </w:numPr>
            </w:pPr>
            <w:r>
              <w:t>Patient name</w:t>
            </w:r>
          </w:p>
          <w:p w14:paraId="16A017D9" w14:textId="77777777" w:rsidR="00D044A1" w:rsidRDefault="00D044A1" w:rsidP="000409B1">
            <w:pPr>
              <w:pStyle w:val="TableText"/>
              <w:numPr>
                <w:ilvl w:val="0"/>
                <w:numId w:val="49"/>
              </w:numPr>
            </w:pPr>
            <w:r>
              <w:t>Patient ID</w:t>
            </w:r>
          </w:p>
          <w:p w14:paraId="16BF9542" w14:textId="77777777" w:rsidR="00D044A1" w:rsidRDefault="00D044A1" w:rsidP="000409B1">
            <w:pPr>
              <w:pStyle w:val="TableText"/>
              <w:numPr>
                <w:ilvl w:val="0"/>
                <w:numId w:val="49"/>
              </w:numPr>
            </w:pPr>
            <w:r>
              <w:t>Patient DOB</w:t>
            </w:r>
          </w:p>
          <w:p w14:paraId="4ECDCC02" w14:textId="77777777" w:rsidR="00D044A1" w:rsidRDefault="00D044A1" w:rsidP="000409B1">
            <w:pPr>
              <w:pStyle w:val="TableText"/>
              <w:numPr>
                <w:ilvl w:val="0"/>
                <w:numId w:val="49"/>
              </w:numPr>
            </w:pPr>
            <w:r>
              <w:t>Patient Historic ABO/Rh</w:t>
            </w:r>
          </w:p>
          <w:p w14:paraId="48184A0F" w14:textId="77777777" w:rsidR="00D044A1" w:rsidRDefault="00D044A1" w:rsidP="000409B1">
            <w:pPr>
              <w:pStyle w:val="TableText"/>
              <w:numPr>
                <w:ilvl w:val="0"/>
                <w:numId w:val="49"/>
              </w:numPr>
            </w:pPr>
            <w:r>
              <w:t>Patient Sex</w:t>
            </w:r>
          </w:p>
          <w:p w14:paraId="66DDF96A" w14:textId="77777777" w:rsidR="00D044A1" w:rsidRDefault="00D044A1" w:rsidP="000409B1">
            <w:pPr>
              <w:pStyle w:val="TableText"/>
              <w:numPr>
                <w:ilvl w:val="0"/>
                <w:numId w:val="49"/>
              </w:numPr>
            </w:pPr>
            <w:r>
              <w:t>Patient location</w:t>
            </w:r>
          </w:p>
          <w:p w14:paraId="6CB63AC9" w14:textId="77777777" w:rsidR="00D044A1" w:rsidRDefault="00D044A1" w:rsidP="00D044A1">
            <w:pPr>
              <w:pStyle w:val="TableText"/>
            </w:pPr>
          </w:p>
        </w:tc>
      </w:tr>
      <w:tr w:rsidR="00BE554D" w14:paraId="67E4EC09" w14:textId="77777777" w:rsidTr="00381224">
        <w:tc>
          <w:tcPr>
            <w:tcW w:w="3240" w:type="dxa"/>
          </w:tcPr>
          <w:p w14:paraId="085F1EFB" w14:textId="5FBD0E3D" w:rsidR="0071317D" w:rsidRDefault="00BE554D" w:rsidP="00381224">
            <w:pPr>
              <w:pStyle w:val="TableTextNumbers"/>
            </w:pPr>
            <w:r w:rsidRPr="00396B2B">
              <w:lastRenderedPageBreak/>
              <w:t>User selec</w:t>
            </w:r>
            <w:r>
              <w:t xml:space="preserve">ts </w:t>
            </w:r>
            <w:r w:rsidR="0071317D">
              <w:t>from the testing tabs that are enabled on the Automated Testing – Pending Specimen Tests window</w:t>
            </w:r>
            <w:r w:rsidR="00937534">
              <w:t xml:space="preserve"> (</w:t>
            </w:r>
            <w:r w:rsidR="00937534">
              <w:fldChar w:fldCharType="begin" w:fldLock="1"/>
            </w:r>
            <w:r w:rsidR="00937534">
              <w:instrText xml:space="preserve"> REF _Ref447168245 \h </w:instrText>
            </w:r>
            <w:r w:rsidR="00937534">
              <w:fldChar w:fldCharType="separate"/>
            </w:r>
            <w:r w:rsidR="00AB304C">
              <w:t xml:space="preserve">Figure </w:t>
            </w:r>
            <w:r w:rsidR="00AB304C">
              <w:rPr>
                <w:noProof/>
              </w:rPr>
              <w:t>146</w:t>
            </w:r>
            <w:r w:rsidR="00937534">
              <w:fldChar w:fldCharType="end"/>
            </w:r>
            <w:r w:rsidR="00937534">
              <w:t>)</w:t>
            </w:r>
            <w:r w:rsidR="0071317D">
              <w:t>.</w:t>
            </w:r>
          </w:p>
          <w:p w14:paraId="443433E3" w14:textId="77777777" w:rsidR="0071317D" w:rsidRPr="0071317D" w:rsidRDefault="0071317D" w:rsidP="0071317D">
            <w:pPr>
              <w:pStyle w:val="TableTextNumbers"/>
              <w:numPr>
                <w:ilvl w:val="0"/>
                <w:numId w:val="0"/>
              </w:numPr>
              <w:ind w:left="288"/>
            </w:pPr>
          </w:p>
          <w:p w14:paraId="21B767DB" w14:textId="77777777" w:rsidR="0071317D" w:rsidRDefault="002615AD" w:rsidP="0071317D">
            <w:pPr>
              <w:pStyle w:val="TableTextNumbers"/>
              <w:numPr>
                <w:ilvl w:val="0"/>
                <w:numId w:val="0"/>
              </w:numPr>
              <w:ind w:left="288"/>
            </w:pPr>
            <w:r w:rsidRPr="002615AD">
              <w:rPr>
                <w:b/>
              </w:rPr>
              <w:t>TAS</w:t>
            </w:r>
            <w:r>
              <w:t xml:space="preserve"> tab </w:t>
            </w:r>
          </w:p>
          <w:p w14:paraId="1417EE9D" w14:textId="77777777" w:rsidR="0071317D" w:rsidRPr="002615AD" w:rsidRDefault="0071317D" w:rsidP="0071317D">
            <w:pPr>
              <w:pStyle w:val="TableTextNumbers"/>
              <w:numPr>
                <w:ilvl w:val="0"/>
                <w:numId w:val="0"/>
              </w:numPr>
              <w:ind w:left="288"/>
              <w:rPr>
                <w:b/>
              </w:rPr>
            </w:pPr>
          </w:p>
          <w:p w14:paraId="7529BD65" w14:textId="77777777" w:rsidR="00BE554D" w:rsidRDefault="002615AD" w:rsidP="0071317D">
            <w:pPr>
              <w:pStyle w:val="TableTextNumbers"/>
              <w:numPr>
                <w:ilvl w:val="0"/>
                <w:numId w:val="0"/>
              </w:numPr>
              <w:ind w:left="288"/>
            </w:pPr>
            <w:r w:rsidRPr="002615AD">
              <w:rPr>
                <w:b/>
              </w:rPr>
              <w:t>ABO/Rh</w:t>
            </w:r>
            <w:r>
              <w:t xml:space="preserve"> tab</w:t>
            </w:r>
          </w:p>
          <w:p w14:paraId="5D53CD04" w14:textId="77777777" w:rsidR="002615AD" w:rsidRDefault="002615AD" w:rsidP="0071317D">
            <w:pPr>
              <w:pStyle w:val="TableTextNumbers"/>
              <w:numPr>
                <w:ilvl w:val="0"/>
                <w:numId w:val="0"/>
              </w:numPr>
              <w:ind w:left="288"/>
            </w:pPr>
          </w:p>
          <w:p w14:paraId="72ED0012" w14:textId="77777777" w:rsidR="002615AD" w:rsidRPr="002615AD" w:rsidRDefault="002615AD" w:rsidP="0071317D">
            <w:pPr>
              <w:pStyle w:val="TableTextNumbers"/>
              <w:numPr>
                <w:ilvl w:val="0"/>
                <w:numId w:val="0"/>
              </w:numPr>
              <w:ind w:left="288"/>
            </w:pPr>
            <w:r>
              <w:rPr>
                <w:b/>
              </w:rPr>
              <w:t>ABS</w:t>
            </w:r>
            <w:r>
              <w:t xml:space="preserve"> tab.</w:t>
            </w:r>
          </w:p>
          <w:p w14:paraId="0928A8C8" w14:textId="77777777" w:rsidR="002615AD" w:rsidRDefault="002615AD" w:rsidP="0071317D">
            <w:pPr>
              <w:pStyle w:val="TableTextNumbers"/>
              <w:numPr>
                <w:ilvl w:val="0"/>
                <w:numId w:val="0"/>
              </w:numPr>
              <w:ind w:left="288"/>
              <w:rPr>
                <w:b/>
              </w:rPr>
            </w:pPr>
          </w:p>
          <w:p w14:paraId="77DFA60B" w14:textId="77777777" w:rsidR="002615AD" w:rsidRDefault="002615AD" w:rsidP="0071317D">
            <w:pPr>
              <w:pStyle w:val="TableTextNumbers"/>
              <w:numPr>
                <w:ilvl w:val="0"/>
                <w:numId w:val="0"/>
              </w:numPr>
              <w:ind w:left="288"/>
            </w:pPr>
            <w:r>
              <w:rPr>
                <w:b/>
              </w:rPr>
              <w:t xml:space="preserve">DAT </w:t>
            </w:r>
            <w:r>
              <w:t>tab.</w:t>
            </w:r>
          </w:p>
          <w:p w14:paraId="59F1E656" w14:textId="77777777" w:rsidR="0071317D" w:rsidRDefault="0071317D" w:rsidP="0071317D">
            <w:pPr>
              <w:pStyle w:val="TableTextNumbers"/>
              <w:numPr>
                <w:ilvl w:val="0"/>
                <w:numId w:val="0"/>
              </w:numPr>
              <w:ind w:left="288"/>
              <w:rPr>
                <w:b/>
              </w:rPr>
            </w:pPr>
          </w:p>
          <w:p w14:paraId="301E5247" w14:textId="77777777" w:rsidR="0071317D" w:rsidRPr="0071317D" w:rsidRDefault="0071317D" w:rsidP="0071317D">
            <w:pPr>
              <w:pStyle w:val="TableTextNumbers"/>
              <w:numPr>
                <w:ilvl w:val="0"/>
                <w:numId w:val="0"/>
              </w:numPr>
              <w:ind w:left="288"/>
            </w:pPr>
            <w:r>
              <w:rPr>
                <w:b/>
              </w:rPr>
              <w:t>An</w:t>
            </w:r>
            <w:r w:rsidR="00D3261A">
              <w:rPr>
                <w:b/>
              </w:rPr>
              <w:t>t</w:t>
            </w:r>
            <w:r>
              <w:rPr>
                <w:b/>
              </w:rPr>
              <w:t xml:space="preserve">igen Typing </w:t>
            </w:r>
            <w:r>
              <w:t>tab</w:t>
            </w:r>
          </w:p>
          <w:p w14:paraId="164729E3" w14:textId="77777777" w:rsidR="002615AD" w:rsidRDefault="002615AD" w:rsidP="0071317D">
            <w:pPr>
              <w:pStyle w:val="TableTextNumbers"/>
              <w:numPr>
                <w:ilvl w:val="0"/>
                <w:numId w:val="0"/>
              </w:numPr>
              <w:ind w:left="288"/>
              <w:rPr>
                <w:b/>
              </w:rPr>
            </w:pPr>
          </w:p>
          <w:p w14:paraId="431EB6DE" w14:textId="77777777" w:rsidR="002615AD" w:rsidRPr="002615AD" w:rsidRDefault="00E82F44" w:rsidP="0071317D">
            <w:pPr>
              <w:pStyle w:val="TableTextNumbers"/>
              <w:numPr>
                <w:ilvl w:val="0"/>
                <w:numId w:val="0"/>
              </w:numPr>
              <w:ind w:left="288"/>
            </w:pPr>
            <w:r>
              <w:t>See S</w:t>
            </w:r>
            <w:r w:rsidR="002615AD">
              <w:t xml:space="preserve">tep </w:t>
            </w:r>
            <w:r w:rsidR="00B16194">
              <w:t>7</w:t>
            </w:r>
            <w:r w:rsidR="002615AD">
              <w:t xml:space="preserve"> for process when the User selects </w:t>
            </w:r>
            <w:r w:rsidR="002615AD">
              <w:rPr>
                <w:b/>
              </w:rPr>
              <w:t>XMatch</w:t>
            </w:r>
            <w:r w:rsidR="002615AD">
              <w:t xml:space="preserve"> tab.</w:t>
            </w:r>
          </w:p>
          <w:p w14:paraId="0C5A2E7B" w14:textId="77777777" w:rsidR="002615AD" w:rsidRDefault="002615AD" w:rsidP="0071317D">
            <w:pPr>
              <w:pStyle w:val="TableTextNumbers"/>
              <w:numPr>
                <w:ilvl w:val="0"/>
                <w:numId w:val="0"/>
              </w:numPr>
              <w:ind w:left="288"/>
              <w:rPr>
                <w:b/>
              </w:rPr>
            </w:pPr>
          </w:p>
          <w:p w14:paraId="7AB5D143" w14:textId="77777777" w:rsidR="00BE554D" w:rsidRDefault="00BE554D" w:rsidP="0071317D">
            <w:pPr>
              <w:pStyle w:val="TableTextNumbers"/>
              <w:numPr>
                <w:ilvl w:val="0"/>
                <w:numId w:val="0"/>
              </w:numPr>
              <w:ind w:left="720"/>
            </w:pPr>
          </w:p>
        </w:tc>
        <w:tc>
          <w:tcPr>
            <w:tcW w:w="6120" w:type="dxa"/>
          </w:tcPr>
          <w:p w14:paraId="2C29FA77" w14:textId="77777777" w:rsidR="0071317D" w:rsidRDefault="00D279DE" w:rsidP="00381224">
            <w:pPr>
              <w:pStyle w:val="TableTextBullet"/>
            </w:pPr>
            <w:r>
              <w:t>D</w:t>
            </w:r>
            <w:r w:rsidR="0071317D">
              <w:t>isplays the first tab from the left side of the screen that has test results to review.</w:t>
            </w:r>
          </w:p>
          <w:p w14:paraId="617A7C46" w14:textId="77777777" w:rsidR="0020636F" w:rsidRDefault="00D279DE" w:rsidP="00381224">
            <w:pPr>
              <w:pStyle w:val="TableTextBullet"/>
            </w:pPr>
            <w:r>
              <w:t>D</w:t>
            </w:r>
            <w:r w:rsidR="0020636F">
              <w:t>etermines that all appropriate test results were entered for the patient.</w:t>
            </w:r>
          </w:p>
          <w:p w14:paraId="32FE697D" w14:textId="77777777" w:rsidR="00BE554D" w:rsidRDefault="00D279DE" w:rsidP="00381224">
            <w:pPr>
              <w:pStyle w:val="TableTextBullet"/>
            </w:pPr>
            <w:r>
              <w:t>V</w:t>
            </w:r>
            <w:r w:rsidR="0020636F">
              <w:t>alidates test results and displays Warning or Error indicator when results do not match expected pattern.</w:t>
            </w:r>
          </w:p>
          <w:p w14:paraId="6521B501" w14:textId="77777777" w:rsidR="0020636F" w:rsidRDefault="0020636F" w:rsidP="00381224">
            <w:pPr>
              <w:pStyle w:val="TableTextBullet"/>
            </w:pPr>
            <w:r>
              <w:t>Displays comments from the Automated Instrument.</w:t>
            </w:r>
          </w:p>
          <w:p w14:paraId="5929C3F9" w14:textId="77777777" w:rsidR="00BE554D" w:rsidRDefault="00BE554D" w:rsidP="00381224">
            <w:pPr>
              <w:pStyle w:val="TableText"/>
            </w:pPr>
          </w:p>
          <w:p w14:paraId="325014C7" w14:textId="77777777" w:rsidR="00BE554D" w:rsidRDefault="00057948" w:rsidP="00381224">
            <w:pPr>
              <w:pStyle w:val="TableText"/>
              <w:rPr>
                <w:b/>
                <w:bCs/>
                <w:szCs w:val="18"/>
              </w:rPr>
            </w:pPr>
            <w:r>
              <w:rPr>
                <w:b/>
                <w:bCs/>
                <w:noProof/>
              </w:rPr>
              <mc:AlternateContent>
                <mc:Choice Requires="wps">
                  <w:drawing>
                    <wp:anchor distT="0" distB="0" distL="114300" distR="114300" simplePos="0" relativeHeight="252063232" behindDoc="0" locked="0" layoutInCell="1" allowOverlap="1" wp14:anchorId="056B2EC6" wp14:editId="0DE5E416">
                      <wp:simplePos x="0" y="0"/>
                      <wp:positionH relativeFrom="column">
                        <wp:posOffset>457200</wp:posOffset>
                      </wp:positionH>
                      <wp:positionV relativeFrom="paragraph">
                        <wp:posOffset>65405</wp:posOffset>
                      </wp:positionV>
                      <wp:extent cx="3200400" cy="0"/>
                      <wp:effectExtent l="9525" t="17780" r="9525" b="10795"/>
                      <wp:wrapNone/>
                      <wp:docPr id="301" name="Line 1283" descr="P9741C8T10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DFD6C" id="Line 1283" o:spid="_x0000_s1026" alt="&quot;&quot;" style="position:absolute;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YJin4sMBAABvAwAADgAAAAAAAAAAAAAAAAAu&#10;AgAAZHJzL2Uyb0RvYy54bWxQSwECLQAUAAYACAAAACEAF08wEtsAAAAIAQAADwAAAAAAAAAAAAAA&#10;AAAdBAAAZHJzL2Rvd25yZXYueG1sUEsFBgAAAAAEAAQA8wAAACUFAAAAAA==&#10;" strokeweight="1.5pt"/>
                  </w:pict>
                </mc:Fallback>
              </mc:AlternateContent>
            </w:r>
            <w:r w:rsidR="00BE554D">
              <w:rPr>
                <w:b/>
                <w:bCs/>
                <w:szCs w:val="18"/>
              </w:rPr>
              <w:t>NOTES</w:t>
            </w:r>
          </w:p>
          <w:p w14:paraId="4539F0A8" w14:textId="77777777" w:rsidR="00BE554D" w:rsidRDefault="00BE554D" w:rsidP="00381224">
            <w:pPr>
              <w:pStyle w:val="NotesText"/>
            </w:pPr>
          </w:p>
          <w:p w14:paraId="69870732" w14:textId="73BDE881" w:rsidR="007F00C5" w:rsidRDefault="007F00C5" w:rsidP="007F00C5">
            <w:pPr>
              <w:pStyle w:val="TableText"/>
              <w:ind w:left="720"/>
              <w:rPr>
                <w:vanish/>
              </w:rPr>
            </w:pPr>
            <w:r w:rsidRPr="0020636F">
              <w:rPr>
                <w:vanish/>
              </w:rPr>
              <w:t xml:space="preserve">BR_16.01 </w:t>
            </w:r>
            <w:r>
              <w:t xml:space="preserve">The system provides a visual and audible indication to the user when there are patient Special Instructions or Transfusion Requirements to be viewed. </w:t>
            </w:r>
          </w:p>
          <w:p w14:paraId="7C2BF821" w14:textId="77777777" w:rsidR="007F00C5" w:rsidRDefault="007F00C5" w:rsidP="007F00C5">
            <w:pPr>
              <w:pStyle w:val="TableText"/>
              <w:ind w:left="720"/>
              <w:rPr>
                <w:vanish/>
              </w:rPr>
            </w:pPr>
          </w:p>
          <w:p w14:paraId="0F05ADB0" w14:textId="77777777" w:rsidR="00BE554D" w:rsidRPr="00004A4C" w:rsidRDefault="007F00C5" w:rsidP="007F00C5">
            <w:pPr>
              <w:pStyle w:val="TableText"/>
              <w:ind w:left="720"/>
              <w:rPr>
                <w:noProof/>
                <w:color w:val="000000"/>
              </w:rPr>
            </w:pPr>
            <w:r w:rsidRPr="00F47ABD">
              <w:rPr>
                <w:vanish/>
              </w:rPr>
              <w:t xml:space="preserve">BR_115.15 </w:t>
            </w:r>
            <w:r>
              <w:t xml:space="preserve">When the user has unsaved changes and attempts to close the Automated Testing window, the application will warn the user that the changes will not be saved. Clicking </w:t>
            </w:r>
            <w:r>
              <w:rPr>
                <w:b/>
              </w:rPr>
              <w:t>Yes</w:t>
            </w:r>
            <w:r>
              <w:t xml:space="preserve"> closes the form; clicking </w:t>
            </w:r>
            <w:r>
              <w:rPr>
                <w:b/>
              </w:rPr>
              <w:t>No</w:t>
            </w:r>
            <w:r>
              <w:t xml:space="preserve"> returns the user to the Automated Testing – Pending Specimen Tests window.</w:t>
            </w:r>
          </w:p>
        </w:tc>
      </w:tr>
      <w:tr w:rsidR="0020636F" w14:paraId="00BB0174" w14:textId="77777777" w:rsidTr="00381224">
        <w:tc>
          <w:tcPr>
            <w:tcW w:w="3240" w:type="dxa"/>
          </w:tcPr>
          <w:p w14:paraId="544010D3" w14:textId="77777777" w:rsidR="0020636F" w:rsidRDefault="005F3685" w:rsidP="005F3685">
            <w:pPr>
              <w:pStyle w:val="TableTextNumbers"/>
            </w:pPr>
            <w:r>
              <w:t>User clicks on the checkbox next to the result to be accepted or rejected.</w:t>
            </w:r>
          </w:p>
          <w:p w14:paraId="38D25CA6" w14:textId="77777777" w:rsidR="005F3685" w:rsidRDefault="005F3685" w:rsidP="005F3685">
            <w:pPr>
              <w:pStyle w:val="TableTextNumbers"/>
              <w:numPr>
                <w:ilvl w:val="0"/>
                <w:numId w:val="0"/>
              </w:numPr>
              <w:ind w:left="288"/>
            </w:pPr>
          </w:p>
          <w:p w14:paraId="793918A7" w14:textId="77777777" w:rsidR="008E6859" w:rsidRDefault="005F3685" w:rsidP="00E01AD8">
            <w:pPr>
              <w:pStyle w:val="TableTextNumbers"/>
              <w:numPr>
                <w:ilvl w:val="0"/>
                <w:numId w:val="0"/>
              </w:numPr>
              <w:ind w:left="288"/>
            </w:pPr>
            <w:r>
              <w:t xml:space="preserve">Clicks on the comment balloon to enter </w:t>
            </w:r>
            <w:r w:rsidRPr="005F3685">
              <w:rPr>
                <w:b/>
              </w:rPr>
              <w:t>Review Comments</w:t>
            </w:r>
            <w:r>
              <w:t xml:space="preserve"> as needed.</w:t>
            </w:r>
          </w:p>
        </w:tc>
        <w:tc>
          <w:tcPr>
            <w:tcW w:w="6120" w:type="dxa"/>
          </w:tcPr>
          <w:p w14:paraId="1E73C265" w14:textId="77777777" w:rsidR="0020636F" w:rsidRDefault="00D279DE" w:rsidP="00381224">
            <w:pPr>
              <w:pStyle w:val="TableTextBullet"/>
            </w:pPr>
            <w:r>
              <w:t>P</w:t>
            </w:r>
            <w:r w:rsidR="005F3685">
              <w:t>resents appropriate warning messages to the user.</w:t>
            </w:r>
          </w:p>
          <w:p w14:paraId="59F55CC1" w14:textId="77777777" w:rsidR="008D134F" w:rsidRDefault="00EB70AF" w:rsidP="00381224">
            <w:pPr>
              <w:pStyle w:val="TableTextBullet"/>
            </w:pPr>
            <w:r w:rsidRPr="00EB70AF">
              <w:rPr>
                <w:vanish/>
              </w:rPr>
              <w:t xml:space="preserve">BR_115.13 </w:t>
            </w:r>
            <w:r w:rsidR="00D279DE">
              <w:t>A</w:t>
            </w:r>
            <w:r w:rsidR="008D134F">
              <w:t>llows</w:t>
            </w:r>
            <w:r w:rsidR="00D279DE">
              <w:t xml:space="preserve"> user </w:t>
            </w:r>
            <w:r w:rsidR="008D134F">
              <w:t>selection of multiple tests with a Valid indicator.</w:t>
            </w:r>
          </w:p>
          <w:p w14:paraId="34F43D91" w14:textId="77777777" w:rsidR="008D134F" w:rsidRDefault="00EB70AF" w:rsidP="00381224">
            <w:pPr>
              <w:pStyle w:val="TableTextBullet"/>
            </w:pPr>
            <w:r w:rsidRPr="00EB70AF">
              <w:rPr>
                <w:vanish/>
              </w:rPr>
              <w:t xml:space="preserve">BR_115.25 </w:t>
            </w:r>
            <w:r w:rsidR="00D279DE">
              <w:t>R</w:t>
            </w:r>
            <w:r w:rsidR="008D134F">
              <w:t xml:space="preserve">estricts the processing of tests with a Warning or Error indicator to </w:t>
            </w:r>
            <w:r>
              <w:t>one at a time.</w:t>
            </w:r>
          </w:p>
          <w:p w14:paraId="18EABB45" w14:textId="77777777" w:rsidR="005F3685" w:rsidRDefault="005F3685" w:rsidP="005F3685">
            <w:pPr>
              <w:pStyle w:val="TableText"/>
            </w:pPr>
          </w:p>
          <w:p w14:paraId="001F0682" w14:textId="77777777" w:rsidR="005F3685" w:rsidRDefault="00057948" w:rsidP="005F3685">
            <w:pPr>
              <w:pStyle w:val="TableText"/>
              <w:rPr>
                <w:b/>
                <w:bCs/>
                <w:szCs w:val="18"/>
              </w:rPr>
            </w:pPr>
            <w:r>
              <w:rPr>
                <w:b/>
                <w:bCs/>
                <w:noProof/>
              </w:rPr>
              <mc:AlternateContent>
                <mc:Choice Requires="wps">
                  <w:drawing>
                    <wp:anchor distT="0" distB="0" distL="114300" distR="114300" simplePos="0" relativeHeight="252069376" behindDoc="0" locked="0" layoutInCell="1" allowOverlap="1" wp14:anchorId="7798755F" wp14:editId="476BE381">
                      <wp:simplePos x="0" y="0"/>
                      <wp:positionH relativeFrom="column">
                        <wp:posOffset>457200</wp:posOffset>
                      </wp:positionH>
                      <wp:positionV relativeFrom="paragraph">
                        <wp:posOffset>65405</wp:posOffset>
                      </wp:positionV>
                      <wp:extent cx="3200400" cy="0"/>
                      <wp:effectExtent l="9525" t="17780" r="9525" b="10795"/>
                      <wp:wrapNone/>
                      <wp:docPr id="300" name="Line 1296" descr="P9752C10T10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E41F4" id="Line 1296" o:spid="_x0000_s1026" alt="&quot;&quot;" style="position:absolute;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ysCw88MBAABvAwAADgAAAAAAAAAAAAAAAAAu&#10;AgAAZHJzL2Uyb0RvYy54bWxQSwECLQAUAAYACAAAACEAF08wEtsAAAAIAQAADwAAAAAAAAAAAAAA&#10;AAAdBAAAZHJzL2Rvd25yZXYueG1sUEsFBgAAAAAEAAQA8wAAACUFAAAAAA==&#10;" strokeweight="1.5pt"/>
                  </w:pict>
                </mc:Fallback>
              </mc:AlternateContent>
            </w:r>
            <w:r w:rsidR="005F3685">
              <w:rPr>
                <w:b/>
                <w:bCs/>
                <w:szCs w:val="18"/>
              </w:rPr>
              <w:t>NOTES</w:t>
            </w:r>
          </w:p>
          <w:p w14:paraId="414964CB" w14:textId="77777777" w:rsidR="005F3685" w:rsidRDefault="005F3685" w:rsidP="005F3685">
            <w:pPr>
              <w:pStyle w:val="NotesText"/>
            </w:pPr>
          </w:p>
          <w:p w14:paraId="37ACA919" w14:textId="77777777" w:rsidR="005F3685" w:rsidRDefault="005F3685" w:rsidP="005F3685">
            <w:pPr>
              <w:pStyle w:val="NotesText"/>
            </w:pPr>
            <w:r w:rsidRPr="005F3685">
              <w:rPr>
                <w:vanish/>
              </w:rPr>
              <w:t xml:space="preserve">BR_92.09 </w:t>
            </w:r>
            <w:r>
              <w:t>When the user selects an expired task for processing, the system will provide an audible alert and generate a warning message: “This order is expired. Do you want to continue processing it?” When the user responds “No”, the task is cleared and a new task can be entered. When the user responds “Yes”, he must enter a comment and the system will generate an exception report entry.</w:t>
            </w:r>
          </w:p>
          <w:p w14:paraId="75DFF4C7" w14:textId="77777777" w:rsidR="00C82313" w:rsidRDefault="00C82313" w:rsidP="005F3685">
            <w:pPr>
              <w:pStyle w:val="NotesText"/>
            </w:pPr>
          </w:p>
          <w:p w14:paraId="2BBE682F" w14:textId="77777777" w:rsidR="00501170" w:rsidRDefault="00C82313" w:rsidP="005F3685">
            <w:pPr>
              <w:pStyle w:val="NotesText"/>
              <w:rPr>
                <w:rFonts w:cs="Arial"/>
                <w:szCs w:val="18"/>
              </w:rPr>
            </w:pPr>
            <w:r w:rsidRPr="00C82313">
              <w:rPr>
                <w:rFonts w:cs="Arial"/>
                <w:vanish/>
                <w:szCs w:val="18"/>
              </w:rPr>
              <w:t xml:space="preserve">BR_115.18 </w:t>
            </w:r>
            <w:r w:rsidRPr="00E206E0">
              <w:rPr>
                <w:rFonts w:cs="Arial"/>
                <w:szCs w:val="18"/>
              </w:rPr>
              <w:t xml:space="preserve">When row validation for a patient ABO or Rh test results matches the </w:t>
            </w:r>
            <w:r>
              <w:rPr>
                <w:rFonts w:cs="Arial"/>
                <w:szCs w:val="18"/>
              </w:rPr>
              <w:t>instrument</w:t>
            </w:r>
            <w:r w:rsidRPr="00E206E0">
              <w:rPr>
                <w:rFonts w:cs="Arial"/>
                <w:szCs w:val="18"/>
              </w:rPr>
              <w:t xml:space="preserve"> interpretation and does not match the previous ABO</w:t>
            </w:r>
            <w:r w:rsidR="0001680D">
              <w:rPr>
                <w:rFonts w:cs="Arial"/>
                <w:szCs w:val="18"/>
              </w:rPr>
              <w:t xml:space="preserve"> or Rh interpretation on record, the system emits</w:t>
            </w:r>
          </w:p>
          <w:p w14:paraId="42AFB083" w14:textId="77777777" w:rsidR="00C82313" w:rsidRDefault="00C82313" w:rsidP="005F3685">
            <w:pPr>
              <w:pStyle w:val="NotesText"/>
              <w:rPr>
                <w:rFonts w:cs="Arial"/>
                <w:szCs w:val="18"/>
              </w:rPr>
            </w:pPr>
            <w:r w:rsidRPr="00E206E0">
              <w:rPr>
                <w:rFonts w:cs="Arial"/>
                <w:szCs w:val="18"/>
              </w:rPr>
              <w:t>an audible alert and displays a warning message that the current ABO/Rh does not match previous interpretations. The user is required to enter a comment (free text or canned from the “patient testing” context) to continue. The comment and the details of the transaction are captured for inclusion in an exception report</w:t>
            </w:r>
            <w:r>
              <w:rPr>
                <w:rFonts w:cs="Arial"/>
                <w:szCs w:val="18"/>
              </w:rPr>
              <w:t>.</w:t>
            </w:r>
          </w:p>
          <w:p w14:paraId="69135878" w14:textId="77777777" w:rsidR="00D14444" w:rsidRDefault="00D14444" w:rsidP="005F3685">
            <w:pPr>
              <w:pStyle w:val="NotesText"/>
              <w:rPr>
                <w:rFonts w:cs="Arial"/>
                <w:szCs w:val="18"/>
              </w:rPr>
            </w:pPr>
          </w:p>
          <w:p w14:paraId="2635ED5B" w14:textId="709CB1FF" w:rsidR="00D14444" w:rsidRDefault="00D14444" w:rsidP="005F3685">
            <w:pPr>
              <w:pStyle w:val="NotesText"/>
            </w:pPr>
            <w:r w:rsidRPr="00D14444">
              <w:rPr>
                <w:vanish/>
              </w:rPr>
              <w:lastRenderedPageBreak/>
              <w:t xml:space="preserve">BR_115.27 </w:t>
            </w:r>
            <w:r>
              <w:t>The</w:t>
            </w:r>
            <w:r w:rsidRPr="000E14BF">
              <w:t xml:space="preserve"> system check</w:t>
            </w:r>
            <w:r>
              <w:t>s</w:t>
            </w:r>
            <w:r w:rsidRPr="000E14BF">
              <w:t xml:space="preserve"> if a repeat ABO/Rh was performed on the patient specimen. When performed, the repeat ABO/Rh interpretation must match the original ABO/Rh interpretation. If they do not match, the system will provide an audible warning and display a warning message: “Original a</w:t>
            </w:r>
            <w:r>
              <w:t xml:space="preserve">nd repeat ABO/Rh interpretation </w:t>
            </w:r>
            <w:r w:rsidRPr="000E14BF">
              <w:t>do</w:t>
            </w:r>
            <w:r>
              <w:t>es</w:t>
            </w:r>
            <w:r w:rsidRPr="000E14BF">
              <w:t xml:space="preserve"> not match. You must resolve the discrepancy before this specimen may be used.” Continue to save?” A “No” response clears the ABO/Rh testing results and interpretation from the screen. A “Yes” response requires a comment (free text or canned from the “patient testing” context) and the details of the transaction are captured for inclusion in an exception report</w:t>
            </w:r>
            <w:r>
              <w:t>.</w:t>
            </w:r>
          </w:p>
          <w:p w14:paraId="46657740" w14:textId="3D9CB694" w:rsidR="00065638" w:rsidRDefault="00065638" w:rsidP="005F3685">
            <w:pPr>
              <w:pStyle w:val="NotesText"/>
            </w:pPr>
          </w:p>
          <w:p w14:paraId="40152DEC" w14:textId="45EB73DB" w:rsidR="00065638" w:rsidRDefault="00065638" w:rsidP="005F3685">
            <w:pPr>
              <w:pStyle w:val="NotesText"/>
            </w:pPr>
            <w:r w:rsidRPr="00065638">
              <w:rPr>
                <w:vanish/>
              </w:rPr>
              <w:t xml:space="preserve">BR_53.08 </w:t>
            </w:r>
            <w:r>
              <w:t>If the antibody screen is positive, the system emits an audible alert and warning that displays that the Patient has a POSITIVE Antibody Screen Result. Perform Antibody Identification on this patient prior to issue of blood components.</w:t>
            </w:r>
          </w:p>
          <w:p w14:paraId="7DDF75E6" w14:textId="77777777" w:rsidR="005F3685" w:rsidRDefault="005F3685" w:rsidP="005F3685">
            <w:pPr>
              <w:pStyle w:val="TableTextBullet"/>
              <w:numPr>
                <w:ilvl w:val="0"/>
                <w:numId w:val="0"/>
              </w:numPr>
              <w:ind w:left="288" w:hanging="288"/>
            </w:pPr>
          </w:p>
        </w:tc>
      </w:tr>
      <w:tr w:rsidR="00BE554D" w14:paraId="445F3DBA" w14:textId="77777777" w:rsidTr="00381224">
        <w:tc>
          <w:tcPr>
            <w:tcW w:w="3240" w:type="dxa"/>
          </w:tcPr>
          <w:p w14:paraId="21336D39" w14:textId="77777777" w:rsidR="00A80240" w:rsidRDefault="00BE554D" w:rsidP="00A80240">
            <w:pPr>
              <w:pStyle w:val="TableTextNumbers"/>
            </w:pPr>
            <w:r>
              <w:lastRenderedPageBreak/>
              <w:t xml:space="preserve">User </w:t>
            </w:r>
            <w:r w:rsidR="00B571AC" w:rsidRPr="00B571AC">
              <w:rPr>
                <w:b/>
              </w:rPr>
              <w:t>Accepts</w:t>
            </w:r>
            <w:r w:rsidR="00B571AC">
              <w:t xml:space="preserve"> or </w:t>
            </w:r>
            <w:r w:rsidR="00B571AC" w:rsidRPr="00B571AC">
              <w:rPr>
                <w:b/>
              </w:rPr>
              <w:t>Rejects</w:t>
            </w:r>
            <w:r w:rsidR="00B571AC">
              <w:t xml:space="preserve"> the selected patient test results.</w:t>
            </w:r>
          </w:p>
        </w:tc>
        <w:tc>
          <w:tcPr>
            <w:tcW w:w="6120" w:type="dxa"/>
          </w:tcPr>
          <w:p w14:paraId="4CF1F262" w14:textId="77777777" w:rsidR="00D279DE" w:rsidRDefault="00D279DE" w:rsidP="00381224">
            <w:pPr>
              <w:pStyle w:val="TableTextBullet"/>
            </w:pPr>
            <w:r>
              <w:t>Verifies the results for save.</w:t>
            </w:r>
          </w:p>
          <w:p w14:paraId="78EC744D" w14:textId="77777777" w:rsidR="00BE554D" w:rsidRDefault="00CA1AFE" w:rsidP="00381224">
            <w:pPr>
              <w:pStyle w:val="TableTextBullet"/>
            </w:pPr>
            <w:r>
              <w:t>Gathers comments from user for rejected results prior to saving.</w:t>
            </w:r>
          </w:p>
          <w:p w14:paraId="22369646" w14:textId="77777777" w:rsidR="00BE554D" w:rsidRDefault="00BE554D" w:rsidP="00381224">
            <w:pPr>
              <w:pStyle w:val="TableTextBullet"/>
              <w:numPr>
                <w:ilvl w:val="0"/>
                <w:numId w:val="0"/>
              </w:numPr>
              <w:ind w:left="288" w:hanging="288"/>
            </w:pPr>
          </w:p>
          <w:p w14:paraId="232FCF47" w14:textId="77777777" w:rsidR="00BE554D" w:rsidRDefault="00057948" w:rsidP="00381224">
            <w:pPr>
              <w:pStyle w:val="TableText"/>
              <w:rPr>
                <w:b/>
                <w:bCs/>
                <w:szCs w:val="18"/>
              </w:rPr>
            </w:pPr>
            <w:r>
              <w:rPr>
                <w:b/>
                <w:bCs/>
                <w:noProof/>
              </w:rPr>
              <mc:AlternateContent>
                <mc:Choice Requires="wps">
                  <w:drawing>
                    <wp:anchor distT="0" distB="0" distL="114300" distR="114300" simplePos="0" relativeHeight="252057088" behindDoc="0" locked="0" layoutInCell="1" allowOverlap="1" wp14:anchorId="3B5551E8" wp14:editId="11039898">
                      <wp:simplePos x="0" y="0"/>
                      <wp:positionH relativeFrom="column">
                        <wp:posOffset>457200</wp:posOffset>
                      </wp:positionH>
                      <wp:positionV relativeFrom="paragraph">
                        <wp:posOffset>65405</wp:posOffset>
                      </wp:positionV>
                      <wp:extent cx="3200400" cy="0"/>
                      <wp:effectExtent l="9525" t="17780" r="9525" b="10795"/>
                      <wp:wrapNone/>
                      <wp:docPr id="299" name="Line 1279" descr="P9768C12T10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42E553" id="Line 1279" o:spid="_x0000_s1026" alt="&quot;&quot;" style="position:absolute;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9TYfxsMBAABvAwAADgAAAAAAAAAAAAAAAAAu&#10;AgAAZHJzL2Uyb0RvYy54bWxQSwECLQAUAAYACAAAACEAF08wEtsAAAAIAQAADwAAAAAAAAAAAAAA&#10;AAAdBAAAZHJzL2Rvd25yZXYueG1sUEsFBgAAAAAEAAQA8wAAACUFAAAAAA==&#10;" strokeweight="1.5pt"/>
                  </w:pict>
                </mc:Fallback>
              </mc:AlternateContent>
            </w:r>
            <w:r w:rsidR="00BE554D">
              <w:rPr>
                <w:b/>
                <w:bCs/>
                <w:szCs w:val="18"/>
              </w:rPr>
              <w:t>NOTES</w:t>
            </w:r>
          </w:p>
          <w:p w14:paraId="7C2F9415" w14:textId="77777777" w:rsidR="00BE554D" w:rsidRDefault="00BE554D" w:rsidP="00381224">
            <w:pPr>
              <w:pStyle w:val="NotesText"/>
            </w:pPr>
          </w:p>
          <w:p w14:paraId="4850D9CC" w14:textId="77777777" w:rsidR="00B571AC" w:rsidRPr="00136C64" w:rsidRDefault="00B571AC" w:rsidP="00B571AC">
            <w:pPr>
              <w:pStyle w:val="NotesText"/>
              <w:rPr>
                <w:rFonts w:cs="Arial"/>
              </w:rPr>
            </w:pPr>
            <w:r w:rsidRPr="00F47ABD">
              <w:rPr>
                <w:rFonts w:cs="Arial"/>
                <w:vanish/>
              </w:rPr>
              <w:t xml:space="preserve">BR_115.07 </w:t>
            </w:r>
            <w:r>
              <w:rPr>
                <w:rFonts w:cs="Arial"/>
              </w:rPr>
              <w:t>When</w:t>
            </w:r>
            <w:r w:rsidRPr="00136C64">
              <w:rPr>
                <w:rFonts w:cs="Arial"/>
              </w:rPr>
              <w:t xml:space="preserve"> the test is accepted, the system will save the following:</w:t>
            </w:r>
          </w:p>
          <w:p w14:paraId="60C03DCD" w14:textId="77777777" w:rsidR="00B571AC" w:rsidRPr="00A51E88" w:rsidRDefault="00B571AC" w:rsidP="000409B1">
            <w:pPr>
              <w:pStyle w:val="TableText"/>
              <w:numPr>
                <w:ilvl w:val="0"/>
                <w:numId w:val="49"/>
              </w:numPr>
            </w:pPr>
            <w:r>
              <w:t>R</w:t>
            </w:r>
            <w:r w:rsidRPr="00A51E88">
              <w:t>eviewing Tech ID (Name)</w:t>
            </w:r>
          </w:p>
          <w:p w14:paraId="4A0FC161" w14:textId="77777777" w:rsidR="00B571AC" w:rsidRPr="00A51E88" w:rsidRDefault="00B571AC" w:rsidP="000409B1">
            <w:pPr>
              <w:pStyle w:val="TableText"/>
              <w:numPr>
                <w:ilvl w:val="0"/>
                <w:numId w:val="49"/>
              </w:numPr>
            </w:pPr>
            <w:r w:rsidRPr="00A51E88">
              <w:t>Testing Tech ID (Name)</w:t>
            </w:r>
          </w:p>
          <w:p w14:paraId="597A9342" w14:textId="77777777" w:rsidR="00B571AC" w:rsidRPr="00A51E88" w:rsidRDefault="00B571AC" w:rsidP="000409B1">
            <w:pPr>
              <w:pStyle w:val="TableText"/>
              <w:numPr>
                <w:ilvl w:val="0"/>
                <w:numId w:val="49"/>
              </w:numPr>
            </w:pPr>
            <w:r w:rsidRPr="00A51E88">
              <w:t xml:space="preserve">Interfaced instrument id (Name) as transmitted from instrument, </w:t>
            </w:r>
          </w:p>
          <w:p w14:paraId="4E702FD4" w14:textId="77777777" w:rsidR="00B571AC" w:rsidRDefault="00B571AC" w:rsidP="000409B1">
            <w:pPr>
              <w:pStyle w:val="TableText"/>
              <w:numPr>
                <w:ilvl w:val="0"/>
                <w:numId w:val="49"/>
              </w:numPr>
            </w:pPr>
            <w:r>
              <w:t>D</w:t>
            </w:r>
            <w:r w:rsidRPr="00A51E88">
              <w:t>ate and time te</w:t>
            </w:r>
            <w:r>
              <w:t>sted</w:t>
            </w:r>
          </w:p>
          <w:p w14:paraId="40E7C496" w14:textId="77777777" w:rsidR="00B571AC" w:rsidRDefault="00B571AC" w:rsidP="000409B1">
            <w:pPr>
              <w:pStyle w:val="TableText"/>
              <w:numPr>
                <w:ilvl w:val="0"/>
                <w:numId w:val="49"/>
              </w:numPr>
            </w:pPr>
            <w:r>
              <w:t xml:space="preserve">Date and time reviewed </w:t>
            </w:r>
          </w:p>
          <w:p w14:paraId="166D8FE7" w14:textId="77777777" w:rsidR="00B571AC" w:rsidRPr="00F0612B" w:rsidRDefault="00B571AC" w:rsidP="000409B1">
            <w:pPr>
              <w:pStyle w:val="TableText"/>
              <w:numPr>
                <w:ilvl w:val="0"/>
                <w:numId w:val="49"/>
              </w:numPr>
            </w:pPr>
            <w:r>
              <w:t>Test information: test results, test interpretations, and test comments.</w:t>
            </w:r>
          </w:p>
          <w:p w14:paraId="0436497E" w14:textId="77777777" w:rsidR="00B571AC" w:rsidRDefault="00B571AC" w:rsidP="00381224">
            <w:pPr>
              <w:pStyle w:val="NotesText"/>
              <w:rPr>
                <w:rFonts w:cs="Arial"/>
                <w:vanish/>
              </w:rPr>
            </w:pPr>
          </w:p>
          <w:p w14:paraId="31AE1F92" w14:textId="77777777" w:rsidR="00BE554D" w:rsidRDefault="00BE554D" w:rsidP="00381224">
            <w:pPr>
              <w:pStyle w:val="NotesText"/>
            </w:pPr>
            <w:r w:rsidRPr="00F47ABD">
              <w:rPr>
                <w:rFonts w:cs="Arial"/>
                <w:vanish/>
              </w:rPr>
              <w:t xml:space="preserve">BR_115.05 </w:t>
            </w:r>
            <w:r>
              <w:rPr>
                <w:rFonts w:cs="Arial"/>
              </w:rPr>
              <w:t>When the</w:t>
            </w:r>
            <w:r>
              <w:t xml:space="preserve"> test is rejected, the system will:</w:t>
            </w:r>
          </w:p>
          <w:p w14:paraId="7FFDF1BC" w14:textId="77777777" w:rsidR="00BE554D" w:rsidRDefault="00BE554D" w:rsidP="000409B1">
            <w:pPr>
              <w:pStyle w:val="TableText"/>
              <w:numPr>
                <w:ilvl w:val="0"/>
                <w:numId w:val="49"/>
              </w:numPr>
            </w:pPr>
            <w:r>
              <w:t>Prompt user to confirm they want to reject.</w:t>
            </w:r>
          </w:p>
          <w:p w14:paraId="4C2FC75C" w14:textId="77777777" w:rsidR="00BE554D" w:rsidRDefault="00BE554D" w:rsidP="000409B1">
            <w:pPr>
              <w:pStyle w:val="TableText"/>
              <w:numPr>
                <w:ilvl w:val="0"/>
                <w:numId w:val="49"/>
              </w:numPr>
            </w:pPr>
            <w:r>
              <w:t>Remove the test from the list for acceptance.</w:t>
            </w:r>
          </w:p>
          <w:p w14:paraId="5FFFFD3F" w14:textId="77777777" w:rsidR="00BE554D" w:rsidRDefault="00BE554D" w:rsidP="000409B1">
            <w:pPr>
              <w:pStyle w:val="TableText"/>
              <w:numPr>
                <w:ilvl w:val="0"/>
                <w:numId w:val="49"/>
              </w:numPr>
            </w:pPr>
            <w:r>
              <w:t>No rejection message is sent to the instrument.</w:t>
            </w:r>
          </w:p>
          <w:p w14:paraId="7AA33825" w14:textId="77777777" w:rsidR="00BE554D" w:rsidRDefault="00BE554D" w:rsidP="000409B1">
            <w:pPr>
              <w:pStyle w:val="TableText"/>
              <w:numPr>
                <w:ilvl w:val="0"/>
                <w:numId w:val="49"/>
              </w:numPr>
            </w:pPr>
            <w:r>
              <w:t>The Diagnostic test returns to the previous status and is ready for testing.</w:t>
            </w:r>
          </w:p>
          <w:p w14:paraId="62ADD09C" w14:textId="77777777" w:rsidR="00BE554D" w:rsidRDefault="00BE554D" w:rsidP="00381224">
            <w:pPr>
              <w:pStyle w:val="NotesText"/>
            </w:pPr>
          </w:p>
          <w:p w14:paraId="4128E38A" w14:textId="77777777" w:rsidR="00BE554D" w:rsidRPr="00016C78" w:rsidRDefault="00BE554D" w:rsidP="00381224">
            <w:pPr>
              <w:pStyle w:val="NotesText"/>
            </w:pPr>
            <w:r w:rsidRPr="00016C78">
              <w:rPr>
                <w:vanish/>
              </w:rPr>
              <w:t xml:space="preserve">BR_115.31 </w:t>
            </w:r>
            <w:r w:rsidRPr="00016C78">
              <w:t>Changes test Task status Completed for all tests except for Type and Screen which must have ABO/Rh and ABS saved before the TAS goes to a task status of Completed.</w:t>
            </w:r>
          </w:p>
          <w:p w14:paraId="58ADEA11" w14:textId="77777777" w:rsidR="00BE554D" w:rsidRPr="00016C78" w:rsidRDefault="00BE554D" w:rsidP="00381224">
            <w:pPr>
              <w:pStyle w:val="NotesText"/>
            </w:pPr>
          </w:p>
          <w:p w14:paraId="22F96C36" w14:textId="77777777" w:rsidR="00BE554D" w:rsidRDefault="00BE554D" w:rsidP="00B571AC">
            <w:pPr>
              <w:pStyle w:val="NotesText"/>
            </w:pPr>
            <w:r w:rsidRPr="00016C78">
              <w:rPr>
                <w:vanish/>
              </w:rPr>
              <w:t xml:space="preserve">BR_115.31 </w:t>
            </w:r>
            <w:r w:rsidRPr="00016C78">
              <w:t>If the user saves only the ABO/Rh and rejects ABS or only saves the ABS and rejects the ABO-Rh, the TAS goes to a task status of Partially Completed and is then selectable from the Pending Task List.</w:t>
            </w:r>
          </w:p>
          <w:p w14:paraId="55B92BE2" w14:textId="77777777" w:rsidR="00B571AC" w:rsidRDefault="00B571AC" w:rsidP="00B571AC">
            <w:pPr>
              <w:pStyle w:val="NotesText"/>
            </w:pPr>
          </w:p>
          <w:p w14:paraId="3BD555E4" w14:textId="77777777" w:rsidR="00B571AC" w:rsidRDefault="00B571AC" w:rsidP="00B571AC">
            <w:pPr>
              <w:pStyle w:val="NotesText"/>
            </w:pPr>
            <w:r w:rsidRPr="00B571AC">
              <w:rPr>
                <w:vanish/>
              </w:rPr>
              <w:t xml:space="preserve">BR_56.05 </w:t>
            </w:r>
            <w:r>
              <w:t>The system will update the order status when a valid interpretation is entered and saved for a test, the status of the ordered test is updated to “completed,” and an order status update message is sent to CPRS.</w:t>
            </w:r>
          </w:p>
          <w:p w14:paraId="024CEF0A" w14:textId="77777777" w:rsidR="00DE3FDB" w:rsidRDefault="00DE3FDB" w:rsidP="00B571AC">
            <w:pPr>
              <w:pStyle w:val="NotesText"/>
            </w:pPr>
          </w:p>
          <w:p w14:paraId="5C7AF2A0" w14:textId="77777777" w:rsidR="00DE3FDB" w:rsidRDefault="00DE3FDB" w:rsidP="00B571AC">
            <w:pPr>
              <w:pStyle w:val="NotesText"/>
            </w:pPr>
            <w:r w:rsidRPr="00DE3FDB">
              <w:rPr>
                <w:vanish/>
              </w:rPr>
              <w:t xml:space="preserve">BR_56.29 </w:t>
            </w:r>
            <w:r>
              <w:t xml:space="preserve">When a unit was issued and a conflicting test result found that indicates a potential unit incompatibility with the patient, such as a patient ABO/Rh discrepancy, the unit crossmatch is </w:t>
            </w:r>
            <w:r>
              <w:lastRenderedPageBreak/>
              <w:t>incompatible with the patient, the patient antibody screen test is positive, the patient DAT is positive, or the unit is antigen positive where antigen negative is required on the tested specimen, VBECS displays a warning message</w:t>
            </w:r>
            <w:r w:rsidRPr="007C05B4">
              <w:t xml:space="preserve"> such as: Unit has been emergency issued. Notify the physician of this potential problem IMMEDIATELY, per hospital policy! </w:t>
            </w:r>
            <w:r>
              <w:t>The warning message displays during the execution of the various tests related to the compatibility of a blood unit. An exception report entry is generated at the save.</w:t>
            </w:r>
          </w:p>
          <w:p w14:paraId="73BAD378" w14:textId="77777777" w:rsidR="00DE3FDB" w:rsidRDefault="002275D4" w:rsidP="00B571AC">
            <w:pPr>
              <w:pStyle w:val="NotesText"/>
            </w:pPr>
            <w:r>
              <w:t xml:space="preserve"> </w:t>
            </w:r>
          </w:p>
          <w:p w14:paraId="614F9049" w14:textId="77777777" w:rsidR="00DE3FDB" w:rsidRDefault="002275D4" w:rsidP="0071317D">
            <w:pPr>
              <w:pStyle w:val="NotesText"/>
            </w:pPr>
            <w:r w:rsidRPr="002275D4">
              <w:rPr>
                <w:vanish/>
              </w:rPr>
              <w:t xml:space="preserve">BR_54.07 </w:t>
            </w:r>
            <w:r>
              <w:t xml:space="preserve">A </w:t>
            </w:r>
            <w:r>
              <w:rPr>
                <w:vanish/>
              </w:rPr>
              <w:t>BRBR</w:t>
            </w:r>
            <w:r w:rsidR="00DE3FDB">
              <w:t xml:space="preserve">comment </w:t>
            </w:r>
            <w:r w:rsidR="0071317D">
              <w:t xml:space="preserve">appears on CPRS reports for patients with a </w:t>
            </w:r>
            <w:r w:rsidR="00DE3FDB">
              <w:t xml:space="preserve">positive </w:t>
            </w:r>
            <w:r w:rsidR="0071317D">
              <w:t xml:space="preserve">Antibody Screen or </w:t>
            </w:r>
            <w:r w:rsidR="00DE3FDB">
              <w:t xml:space="preserve">Direct Antiglobulin Test: </w:t>
            </w:r>
            <w:r w:rsidR="00DE3FDB" w:rsidRPr="0093080E">
              <w:t>Preparation of red cell components for transfusion may be delayed due to serologic problems. Contact transfusion service for information on potential clinical significance and availability of blood components</w:t>
            </w:r>
            <w:r>
              <w:t>.</w:t>
            </w:r>
          </w:p>
        </w:tc>
      </w:tr>
      <w:tr w:rsidR="00A80240" w14:paraId="07A0EDFA" w14:textId="77777777" w:rsidTr="00381224">
        <w:tc>
          <w:tcPr>
            <w:tcW w:w="3240" w:type="dxa"/>
          </w:tcPr>
          <w:p w14:paraId="14CFD00E" w14:textId="77777777" w:rsidR="00A80240" w:rsidRPr="00396B2B" w:rsidRDefault="00A80240" w:rsidP="008E6859">
            <w:pPr>
              <w:pStyle w:val="TableTextNumbers"/>
            </w:pPr>
            <w:r>
              <w:lastRenderedPageBreak/>
              <w:t xml:space="preserve">User clicks </w:t>
            </w:r>
            <w:r w:rsidRPr="00A80240">
              <w:rPr>
                <w:b/>
              </w:rPr>
              <w:t>Yes</w:t>
            </w:r>
            <w:r>
              <w:t xml:space="preserve"> to confirm the acceptance or rejection of the selected test(s).</w:t>
            </w:r>
          </w:p>
        </w:tc>
        <w:tc>
          <w:tcPr>
            <w:tcW w:w="6120" w:type="dxa"/>
          </w:tcPr>
          <w:p w14:paraId="036D6781" w14:textId="49804CDF" w:rsidR="00A80240" w:rsidRDefault="00A80240" w:rsidP="00A80240">
            <w:pPr>
              <w:pStyle w:val="TableTextBullet"/>
            </w:pPr>
            <w:r>
              <w:t>Closes the Automated Testing – Pending Specimen Tests window and displays the desktop when there a</w:t>
            </w:r>
            <w:r w:rsidR="0017153D">
              <w:t>re</w:t>
            </w:r>
            <w:r>
              <w:t xml:space="preserve"> no more pending tests to review.</w:t>
            </w:r>
          </w:p>
          <w:p w14:paraId="17287F1B" w14:textId="77777777" w:rsidR="00A80240" w:rsidRDefault="00A80240" w:rsidP="00A80240">
            <w:pPr>
              <w:pStyle w:val="TableTextBullet"/>
            </w:pPr>
            <w:r>
              <w:t>Closes the Automated Testing – Pending Specimen Tests window and displays the Automated Testing – Pending Patient Orders window when there are pending tests to review.</w:t>
            </w:r>
          </w:p>
        </w:tc>
      </w:tr>
      <w:tr w:rsidR="008E6859" w14:paraId="0028F079" w14:textId="77777777" w:rsidTr="00381224">
        <w:tc>
          <w:tcPr>
            <w:tcW w:w="3240" w:type="dxa"/>
          </w:tcPr>
          <w:p w14:paraId="43D64804" w14:textId="77777777" w:rsidR="00B16194" w:rsidRPr="00B16194" w:rsidRDefault="00B16194" w:rsidP="00B16194">
            <w:pPr>
              <w:pStyle w:val="TableTextNumbers"/>
              <w:numPr>
                <w:ilvl w:val="0"/>
                <w:numId w:val="0"/>
              </w:numPr>
              <w:ind w:left="288"/>
              <w:rPr>
                <w:b/>
                <w:i/>
              </w:rPr>
            </w:pPr>
            <w:r w:rsidRPr="00B16194">
              <w:rPr>
                <w:b/>
                <w:i/>
              </w:rPr>
              <w:t>CROSSMATCH</w:t>
            </w:r>
          </w:p>
          <w:p w14:paraId="0E95A423" w14:textId="77777777" w:rsidR="008E6859" w:rsidRDefault="0062092C" w:rsidP="008E6859">
            <w:pPr>
              <w:pStyle w:val="TableTextNumbers"/>
            </w:pPr>
            <w:r w:rsidRPr="00396B2B">
              <w:t>User selec</w:t>
            </w:r>
            <w:r>
              <w:t xml:space="preserve">ts </w:t>
            </w:r>
            <w:r w:rsidRPr="0062092C">
              <w:rPr>
                <w:b/>
              </w:rPr>
              <w:t>XMatch</w:t>
            </w:r>
            <w:r>
              <w:t xml:space="preserve"> from the testing tabs that are enabled on the Automated Testing – Pending Specimen Tests window</w:t>
            </w:r>
            <w:r w:rsidR="008F406C">
              <w:t>.</w:t>
            </w:r>
          </w:p>
        </w:tc>
        <w:tc>
          <w:tcPr>
            <w:tcW w:w="6120" w:type="dxa"/>
          </w:tcPr>
          <w:p w14:paraId="1DC68EA9" w14:textId="77777777" w:rsidR="00274D41" w:rsidRDefault="004A39DB" w:rsidP="00274D41">
            <w:pPr>
              <w:pStyle w:val="TableTextBullet"/>
            </w:pPr>
            <w:r>
              <w:t>D</w:t>
            </w:r>
            <w:r w:rsidR="00274D41">
              <w:t>etermines that all appropriate test results were entered for the patient.</w:t>
            </w:r>
          </w:p>
          <w:p w14:paraId="655BA8DB" w14:textId="77777777" w:rsidR="00274D41" w:rsidRDefault="004A39DB" w:rsidP="00274D41">
            <w:pPr>
              <w:pStyle w:val="TableTextBullet"/>
            </w:pPr>
            <w:r>
              <w:t>V</w:t>
            </w:r>
            <w:r w:rsidR="00274D41">
              <w:t>alidates test results and displays Warning or Error indicator when results do not match expected pattern.</w:t>
            </w:r>
          </w:p>
          <w:p w14:paraId="0869D3FF" w14:textId="77777777" w:rsidR="00274D41" w:rsidRDefault="00274D41" w:rsidP="00274D41">
            <w:pPr>
              <w:pStyle w:val="TableTextBullet"/>
            </w:pPr>
            <w:r>
              <w:t>Displays comments from the Automated Instrument.</w:t>
            </w:r>
          </w:p>
          <w:p w14:paraId="5EF68978" w14:textId="77777777" w:rsidR="0062092C" w:rsidRDefault="0062092C" w:rsidP="0062092C">
            <w:pPr>
              <w:pStyle w:val="TableText"/>
            </w:pPr>
          </w:p>
          <w:p w14:paraId="3304A466" w14:textId="77777777" w:rsidR="0062092C" w:rsidRDefault="00057948" w:rsidP="0062092C">
            <w:pPr>
              <w:pStyle w:val="TableText"/>
              <w:rPr>
                <w:b/>
                <w:bCs/>
                <w:szCs w:val="18"/>
              </w:rPr>
            </w:pPr>
            <w:r>
              <w:rPr>
                <w:b/>
                <w:bCs/>
                <w:noProof/>
              </w:rPr>
              <mc:AlternateContent>
                <mc:Choice Requires="wps">
                  <w:drawing>
                    <wp:anchor distT="0" distB="0" distL="114300" distR="114300" simplePos="0" relativeHeight="252071424" behindDoc="0" locked="0" layoutInCell="1" allowOverlap="1" wp14:anchorId="0C6AEF28" wp14:editId="5201B2B2">
                      <wp:simplePos x="0" y="0"/>
                      <wp:positionH relativeFrom="column">
                        <wp:posOffset>457200</wp:posOffset>
                      </wp:positionH>
                      <wp:positionV relativeFrom="paragraph">
                        <wp:posOffset>65405</wp:posOffset>
                      </wp:positionV>
                      <wp:extent cx="3200400" cy="0"/>
                      <wp:effectExtent l="9525" t="17780" r="9525" b="10795"/>
                      <wp:wrapNone/>
                      <wp:docPr id="298" name="Line 1302" descr="P9803C16T10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A00D2" id="Line 1302" o:spid="_x0000_s1026" alt="&quot;&quot;" style="position:absolute;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Y8zy+MMBAABvAwAADgAAAAAAAAAAAAAAAAAu&#10;AgAAZHJzL2Uyb0RvYy54bWxQSwECLQAUAAYACAAAACEAF08wEtsAAAAIAQAADwAAAAAAAAAAAAAA&#10;AAAdBAAAZHJzL2Rvd25yZXYueG1sUEsFBgAAAAAEAAQA8wAAACUFAAAAAA==&#10;" strokeweight="1.5pt"/>
                  </w:pict>
                </mc:Fallback>
              </mc:AlternateContent>
            </w:r>
            <w:r w:rsidR="0062092C">
              <w:rPr>
                <w:b/>
                <w:bCs/>
                <w:szCs w:val="18"/>
              </w:rPr>
              <w:t>NOTES</w:t>
            </w:r>
          </w:p>
          <w:p w14:paraId="5423B4CB" w14:textId="77777777" w:rsidR="0062092C" w:rsidRDefault="0062092C" w:rsidP="0062092C">
            <w:pPr>
              <w:pStyle w:val="NotesText"/>
            </w:pPr>
          </w:p>
          <w:p w14:paraId="78DBC47B" w14:textId="77777777" w:rsidR="00274D41" w:rsidRPr="00F414D6" w:rsidRDefault="0062092C" w:rsidP="00F414D6">
            <w:pPr>
              <w:pStyle w:val="TableText"/>
              <w:ind w:left="720"/>
              <w:rPr>
                <w:rFonts w:cs="Arial"/>
                <w:szCs w:val="18"/>
              </w:rPr>
            </w:pPr>
            <w:r w:rsidRPr="0062092C">
              <w:rPr>
                <w:rFonts w:cs="Arial"/>
                <w:vanish/>
                <w:szCs w:val="18"/>
              </w:rPr>
              <w:t xml:space="preserve">BR_115.19 </w:t>
            </w:r>
            <w:r>
              <w:rPr>
                <w:rFonts w:cs="Arial"/>
                <w:szCs w:val="18"/>
              </w:rPr>
              <w:t>Units for</w:t>
            </w:r>
            <w:r w:rsidR="00274D41">
              <w:rPr>
                <w:rFonts w:cs="Arial"/>
                <w:szCs w:val="18"/>
              </w:rPr>
              <w:t xml:space="preserve"> crossmatch must be selected for the patient</w:t>
            </w:r>
            <w:r>
              <w:rPr>
                <w:rFonts w:cs="Arial"/>
                <w:szCs w:val="18"/>
              </w:rPr>
              <w:t xml:space="preserve"> prior to results transmission from the Automated Instrument for the results to appear </w:t>
            </w:r>
            <w:r w:rsidR="00274D41">
              <w:rPr>
                <w:rFonts w:cs="Arial"/>
                <w:szCs w:val="18"/>
              </w:rPr>
              <w:t>in</w:t>
            </w:r>
            <w:r>
              <w:rPr>
                <w:rFonts w:cs="Arial"/>
                <w:szCs w:val="18"/>
              </w:rPr>
              <w:t xml:space="preserve"> the </w:t>
            </w:r>
            <w:r w:rsidR="00274D41">
              <w:rPr>
                <w:rFonts w:cs="Arial"/>
                <w:szCs w:val="18"/>
              </w:rPr>
              <w:t xml:space="preserve">Automated Testing – Pending </w:t>
            </w:r>
            <w:r w:rsidR="002A4CB4">
              <w:rPr>
                <w:rFonts w:cs="Arial"/>
                <w:szCs w:val="18"/>
              </w:rPr>
              <w:t>Specimen</w:t>
            </w:r>
            <w:r w:rsidR="00274D41">
              <w:rPr>
                <w:rFonts w:cs="Arial"/>
                <w:szCs w:val="18"/>
              </w:rPr>
              <w:t xml:space="preserve"> Tests window on the XMatch tab</w:t>
            </w:r>
            <w:r>
              <w:rPr>
                <w:rFonts w:cs="Arial"/>
                <w:szCs w:val="18"/>
              </w:rPr>
              <w:t xml:space="preserve"> for review.</w:t>
            </w:r>
          </w:p>
          <w:p w14:paraId="220DA2BD" w14:textId="77777777" w:rsidR="00274D41" w:rsidRPr="00004A4C" w:rsidRDefault="00274D41" w:rsidP="00274D41">
            <w:pPr>
              <w:pStyle w:val="TableText"/>
              <w:ind w:left="720"/>
              <w:rPr>
                <w:noProof/>
                <w:color w:val="000000"/>
              </w:rPr>
            </w:pPr>
          </w:p>
        </w:tc>
      </w:tr>
      <w:tr w:rsidR="00274D41" w14:paraId="19B95070" w14:textId="77777777" w:rsidTr="00381224">
        <w:tc>
          <w:tcPr>
            <w:tcW w:w="3240" w:type="dxa"/>
          </w:tcPr>
          <w:p w14:paraId="3D9E1432" w14:textId="77777777" w:rsidR="00274D41" w:rsidRDefault="00274D41" w:rsidP="00274D41">
            <w:pPr>
              <w:pStyle w:val="TableTextNumbers"/>
            </w:pPr>
            <w:r>
              <w:t>User clicks on the checkbox next to the Unit crossmatch result to be accepted or rejected.</w:t>
            </w:r>
          </w:p>
          <w:p w14:paraId="74798B84" w14:textId="77777777" w:rsidR="00274D41" w:rsidRDefault="00274D41" w:rsidP="00274D41">
            <w:pPr>
              <w:pStyle w:val="TableTextNumbers"/>
              <w:numPr>
                <w:ilvl w:val="0"/>
                <w:numId w:val="0"/>
              </w:numPr>
              <w:ind w:left="288"/>
            </w:pPr>
          </w:p>
          <w:p w14:paraId="75EA4EDF" w14:textId="77777777" w:rsidR="00274D41" w:rsidRDefault="00274D41" w:rsidP="00274D41">
            <w:pPr>
              <w:pStyle w:val="TableTextNumbers"/>
              <w:numPr>
                <w:ilvl w:val="0"/>
                <w:numId w:val="0"/>
              </w:numPr>
              <w:ind w:left="288"/>
            </w:pPr>
            <w:r>
              <w:t xml:space="preserve">Clicks on the comment balloon to enter </w:t>
            </w:r>
            <w:r w:rsidRPr="005F3685">
              <w:rPr>
                <w:b/>
              </w:rPr>
              <w:t>Review Comments</w:t>
            </w:r>
            <w:r>
              <w:t xml:space="preserve"> as needed.</w:t>
            </w:r>
          </w:p>
        </w:tc>
        <w:tc>
          <w:tcPr>
            <w:tcW w:w="6120" w:type="dxa"/>
          </w:tcPr>
          <w:p w14:paraId="38E0AE08" w14:textId="77777777" w:rsidR="00274D41" w:rsidRDefault="004A39DB" w:rsidP="00682345">
            <w:pPr>
              <w:pStyle w:val="TableTextBullet"/>
            </w:pPr>
            <w:r>
              <w:t>P</w:t>
            </w:r>
            <w:r w:rsidR="00274D41">
              <w:t>resents appropriate warning messages to the user.</w:t>
            </w:r>
          </w:p>
          <w:p w14:paraId="1E814DD6" w14:textId="77777777" w:rsidR="00274D41" w:rsidRPr="00274D41" w:rsidRDefault="00274D41" w:rsidP="00682345">
            <w:pPr>
              <w:pStyle w:val="TableTextBullet"/>
            </w:pPr>
            <w:r w:rsidRPr="00274D41">
              <w:rPr>
                <w:vanish/>
              </w:rPr>
              <w:t xml:space="preserve">BR_115.33 </w:t>
            </w:r>
            <w:r w:rsidR="004A39DB">
              <w:t>R</w:t>
            </w:r>
            <w:r>
              <w:t>equires the user to select the product code for the unit crossmatched when there are more than one unit selected for the patient with the same unit ID.</w:t>
            </w:r>
          </w:p>
          <w:p w14:paraId="6193D7EB" w14:textId="77777777" w:rsidR="00274D41" w:rsidRDefault="00274D41" w:rsidP="00682345">
            <w:pPr>
              <w:pStyle w:val="TableTextBullet"/>
            </w:pPr>
            <w:r w:rsidRPr="00EB70AF">
              <w:rPr>
                <w:vanish/>
              </w:rPr>
              <w:t xml:space="preserve">BR_115.13 </w:t>
            </w:r>
            <w:r w:rsidR="004A39DB">
              <w:t>A</w:t>
            </w:r>
            <w:r>
              <w:t>llows selection of multiple tests with a Valid indicator.</w:t>
            </w:r>
          </w:p>
          <w:p w14:paraId="7FCF2FA7" w14:textId="77777777" w:rsidR="00274D41" w:rsidRDefault="00274D41" w:rsidP="00682345">
            <w:pPr>
              <w:pStyle w:val="TableTextBullet"/>
            </w:pPr>
            <w:r w:rsidRPr="00EB70AF">
              <w:rPr>
                <w:vanish/>
              </w:rPr>
              <w:t xml:space="preserve">BR_115.25 </w:t>
            </w:r>
            <w:r w:rsidR="004A39DB">
              <w:t>R</w:t>
            </w:r>
            <w:r>
              <w:t>estricts the processing of tests with a Warning or Error indicator to one at a time.</w:t>
            </w:r>
          </w:p>
          <w:p w14:paraId="4A641F57" w14:textId="77777777" w:rsidR="00274D41" w:rsidRDefault="00274D41" w:rsidP="00682345">
            <w:pPr>
              <w:pStyle w:val="TableText"/>
            </w:pPr>
          </w:p>
          <w:p w14:paraId="7E13283D" w14:textId="77777777" w:rsidR="00274D41" w:rsidRDefault="00057948" w:rsidP="00682345">
            <w:pPr>
              <w:pStyle w:val="TableText"/>
              <w:rPr>
                <w:b/>
                <w:bCs/>
                <w:szCs w:val="18"/>
              </w:rPr>
            </w:pPr>
            <w:r>
              <w:rPr>
                <w:b/>
                <w:bCs/>
                <w:noProof/>
              </w:rPr>
              <mc:AlternateContent>
                <mc:Choice Requires="wps">
                  <w:drawing>
                    <wp:anchor distT="0" distB="0" distL="114300" distR="114300" simplePos="0" relativeHeight="252073472" behindDoc="0" locked="0" layoutInCell="1" allowOverlap="1" wp14:anchorId="3A4D93AB" wp14:editId="26312856">
                      <wp:simplePos x="0" y="0"/>
                      <wp:positionH relativeFrom="column">
                        <wp:posOffset>457200</wp:posOffset>
                      </wp:positionH>
                      <wp:positionV relativeFrom="paragraph">
                        <wp:posOffset>65405</wp:posOffset>
                      </wp:positionV>
                      <wp:extent cx="3200400" cy="0"/>
                      <wp:effectExtent l="9525" t="17780" r="9525" b="10795"/>
                      <wp:wrapNone/>
                      <wp:docPr id="297" name="Line 1303" descr="P9816C18T10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EED8E" id="Line 1303" o:spid="_x0000_s1026" alt="&quot;&quot;" style="position:absolute;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K6ZlMcMBAABvAwAADgAAAAAAAAAAAAAAAAAu&#10;AgAAZHJzL2Uyb0RvYy54bWxQSwECLQAUAAYACAAAACEAF08wEtsAAAAIAQAADwAAAAAAAAAAAAAA&#10;AAAdBAAAZHJzL2Rvd25yZXYueG1sUEsFBgAAAAAEAAQA8wAAACUFAAAAAA==&#10;" strokeweight="1.5pt"/>
                  </w:pict>
                </mc:Fallback>
              </mc:AlternateContent>
            </w:r>
            <w:r w:rsidR="00274D41">
              <w:rPr>
                <w:b/>
                <w:bCs/>
                <w:szCs w:val="18"/>
              </w:rPr>
              <w:t>NOTES</w:t>
            </w:r>
          </w:p>
          <w:p w14:paraId="3FFBB1FC" w14:textId="77777777" w:rsidR="00274D41" w:rsidRDefault="00274D41" w:rsidP="00682345">
            <w:pPr>
              <w:pStyle w:val="NotesText"/>
            </w:pPr>
          </w:p>
          <w:p w14:paraId="35E7D3E9" w14:textId="77777777" w:rsidR="00274D41" w:rsidRDefault="00274D41" w:rsidP="00AF08FF">
            <w:pPr>
              <w:pStyle w:val="NotesText"/>
            </w:pPr>
            <w:r w:rsidRPr="005F3685">
              <w:rPr>
                <w:vanish/>
              </w:rPr>
              <w:t xml:space="preserve">BR_92.09 </w:t>
            </w:r>
            <w:r>
              <w:t>When the user selects an expired task for processing, the system will provide an audible alert and generate a warning message: “This order is expired. Do you want to continue processing it?” When the user responds “No”, the task is cleared and a new task can be entered. When the user responds “Yes”, he must enter a comment and the system will generate an exception report entry.</w:t>
            </w:r>
          </w:p>
        </w:tc>
      </w:tr>
      <w:tr w:rsidR="00F414D6" w14:paraId="0CC5B541" w14:textId="77777777" w:rsidTr="00381224">
        <w:tc>
          <w:tcPr>
            <w:tcW w:w="3240" w:type="dxa"/>
          </w:tcPr>
          <w:p w14:paraId="754F9467" w14:textId="7127EF51" w:rsidR="00F414D6" w:rsidRDefault="00F414D6" w:rsidP="00274D41">
            <w:pPr>
              <w:pStyle w:val="TableTextNumbers"/>
            </w:pPr>
            <w:r>
              <w:t xml:space="preserve">User can change the XMatch Interp by using the </w:t>
            </w:r>
            <w:r w:rsidR="006549B7">
              <w:t>drop-down</w:t>
            </w:r>
            <w:r>
              <w:t xml:space="preserve"> arrow to select another interpretation.</w:t>
            </w:r>
          </w:p>
        </w:tc>
        <w:tc>
          <w:tcPr>
            <w:tcW w:w="6120" w:type="dxa"/>
          </w:tcPr>
          <w:p w14:paraId="08FD2AB5" w14:textId="77777777" w:rsidR="00F414D6" w:rsidRDefault="00F414D6" w:rsidP="00F414D6">
            <w:pPr>
              <w:pStyle w:val="TableTextBullet"/>
            </w:pPr>
            <w:r>
              <w:t xml:space="preserve">Displays the </w:t>
            </w:r>
            <w:r w:rsidR="001809EC">
              <w:t>crossmatch results from the Automated Instrument and allows the user to edit that interpretation before saving.</w:t>
            </w:r>
            <w:r>
              <w:t xml:space="preserve"> </w:t>
            </w:r>
          </w:p>
          <w:p w14:paraId="735C1BD2" w14:textId="77777777" w:rsidR="00F414D6" w:rsidRDefault="00F414D6" w:rsidP="00F414D6">
            <w:pPr>
              <w:pStyle w:val="TableTextBullet"/>
              <w:numPr>
                <w:ilvl w:val="0"/>
                <w:numId w:val="0"/>
              </w:numPr>
              <w:ind w:left="288"/>
            </w:pPr>
          </w:p>
          <w:p w14:paraId="2FA43EBA" w14:textId="77777777" w:rsidR="00F414D6" w:rsidRDefault="00057948" w:rsidP="00F414D6">
            <w:pPr>
              <w:pStyle w:val="TableText"/>
              <w:rPr>
                <w:b/>
                <w:bCs/>
                <w:szCs w:val="18"/>
              </w:rPr>
            </w:pPr>
            <w:r>
              <w:rPr>
                <w:b/>
                <w:bCs/>
                <w:noProof/>
              </w:rPr>
              <mc:AlternateContent>
                <mc:Choice Requires="wps">
                  <w:drawing>
                    <wp:anchor distT="0" distB="0" distL="114300" distR="114300" simplePos="0" relativeHeight="252075520" behindDoc="0" locked="0" layoutInCell="1" allowOverlap="1" wp14:anchorId="64E4EDD1" wp14:editId="46E544A2">
                      <wp:simplePos x="0" y="0"/>
                      <wp:positionH relativeFrom="column">
                        <wp:posOffset>457200</wp:posOffset>
                      </wp:positionH>
                      <wp:positionV relativeFrom="paragraph">
                        <wp:posOffset>65405</wp:posOffset>
                      </wp:positionV>
                      <wp:extent cx="3200400" cy="0"/>
                      <wp:effectExtent l="9525" t="17780" r="9525" b="10795"/>
                      <wp:wrapNone/>
                      <wp:docPr id="296" name="Line 1304" descr="P9823C20T10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48EA7" id="Line 1304" o:spid="_x0000_s1026" alt="&quot;&quot;" style="position:absolute;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GuZ3aXEAQAAbwMAAA4AAAAAAAAAAAAAAAAA&#10;LgIAAGRycy9lMm9Eb2MueG1sUEsBAi0AFAAGAAgAAAAhABdPMBLbAAAACAEAAA8AAAAAAAAAAAAA&#10;AAAAHgQAAGRycy9kb3ducmV2LnhtbFBLBQYAAAAABAAEAPMAAAAmBQAAAAA=&#10;" strokeweight="1.5pt"/>
                  </w:pict>
                </mc:Fallback>
              </mc:AlternateContent>
            </w:r>
            <w:r w:rsidR="00F414D6">
              <w:rPr>
                <w:b/>
                <w:bCs/>
                <w:szCs w:val="18"/>
              </w:rPr>
              <w:t>NOTES</w:t>
            </w:r>
          </w:p>
          <w:p w14:paraId="4B072DBA" w14:textId="77777777" w:rsidR="00F414D6" w:rsidRDefault="00F414D6" w:rsidP="00F414D6">
            <w:pPr>
              <w:pStyle w:val="NotesText"/>
            </w:pPr>
          </w:p>
          <w:p w14:paraId="6D720F56" w14:textId="77777777" w:rsidR="001809EC" w:rsidRDefault="001809EC" w:rsidP="001809EC">
            <w:pPr>
              <w:pStyle w:val="TableTextBullet"/>
              <w:numPr>
                <w:ilvl w:val="0"/>
                <w:numId w:val="0"/>
              </w:numPr>
              <w:ind w:left="720"/>
            </w:pPr>
            <w:r w:rsidRPr="001809EC">
              <w:rPr>
                <w:vanish/>
              </w:rPr>
              <w:t xml:space="preserve">BR_115.29 </w:t>
            </w:r>
            <w:r>
              <w:t xml:space="preserve">The system allows a user to change a final crossmatch interpretation of </w:t>
            </w:r>
            <w:r w:rsidRPr="00815BE1">
              <w:rPr>
                <w:b/>
                <w:i/>
              </w:rPr>
              <w:t>Crossmatch Compatible</w:t>
            </w:r>
            <w:r>
              <w:t xml:space="preserve"> (C) to </w:t>
            </w:r>
            <w:r w:rsidRPr="00815BE1">
              <w:rPr>
                <w:i/>
              </w:rPr>
              <w:t>Crossmatch Compatible: don’t transfuse</w:t>
            </w:r>
            <w:r>
              <w:t xml:space="preserve"> (D) prior to saving. The system re-evaluates changes made to the test interpretation and allows saving.</w:t>
            </w:r>
          </w:p>
          <w:p w14:paraId="4BC33D1E" w14:textId="77777777" w:rsidR="001809EC" w:rsidRDefault="001809EC" w:rsidP="001809EC">
            <w:pPr>
              <w:pStyle w:val="TableTextBullet"/>
              <w:numPr>
                <w:ilvl w:val="0"/>
                <w:numId w:val="0"/>
              </w:numPr>
              <w:ind w:left="720"/>
            </w:pPr>
          </w:p>
          <w:p w14:paraId="1C0C90E0" w14:textId="77777777" w:rsidR="001809EC" w:rsidRDefault="001809EC" w:rsidP="001809EC">
            <w:pPr>
              <w:pStyle w:val="TableTextBullet"/>
              <w:numPr>
                <w:ilvl w:val="0"/>
                <w:numId w:val="0"/>
              </w:numPr>
              <w:ind w:left="720"/>
            </w:pPr>
            <w:r>
              <w:t xml:space="preserve">The system allows a user to change a final crossmatch interpretation of </w:t>
            </w:r>
            <w:r w:rsidRPr="00815BE1">
              <w:rPr>
                <w:b/>
                <w:i/>
              </w:rPr>
              <w:t>Crossmatch Incompatible</w:t>
            </w:r>
            <w:r>
              <w:t xml:space="preserve"> (I) to </w:t>
            </w:r>
            <w:r>
              <w:rPr>
                <w:i/>
              </w:rPr>
              <w:t>Crossmatch Inc</w:t>
            </w:r>
            <w:r w:rsidRPr="00815BE1">
              <w:rPr>
                <w:i/>
              </w:rPr>
              <w:t xml:space="preserve">ompatible: </w:t>
            </w:r>
            <w:r>
              <w:rPr>
                <w:i/>
              </w:rPr>
              <w:t>give only with Medical Director approval</w:t>
            </w:r>
            <w:r>
              <w:t xml:space="preserve"> (G) prior to saving. The system re-evaluates changes made to the test interpretation and allows the user to save with appropriate warning messages and overrides.</w:t>
            </w:r>
          </w:p>
          <w:p w14:paraId="291EA736" w14:textId="77777777" w:rsidR="001809EC" w:rsidRDefault="001809EC" w:rsidP="001809EC">
            <w:pPr>
              <w:pStyle w:val="TableTextBullet"/>
              <w:numPr>
                <w:ilvl w:val="0"/>
                <w:numId w:val="0"/>
              </w:numPr>
              <w:ind w:left="720"/>
            </w:pPr>
          </w:p>
          <w:p w14:paraId="1801812F" w14:textId="4127D7C6" w:rsidR="00F414D6" w:rsidRDefault="00F414D6" w:rsidP="008F1BE0">
            <w:pPr>
              <w:pStyle w:val="TableTextBullet"/>
              <w:numPr>
                <w:ilvl w:val="0"/>
                <w:numId w:val="0"/>
              </w:numPr>
              <w:ind w:left="720"/>
            </w:pPr>
            <w:r>
              <w:t>Refer to</w:t>
            </w:r>
            <w:r w:rsidR="008F1BE0">
              <w:t xml:space="preserve"> </w:t>
            </w:r>
            <w:r w:rsidR="008F1BE0">
              <w:fldChar w:fldCharType="begin" w:fldLock="1"/>
            </w:r>
            <w:r w:rsidR="008F1BE0">
              <w:instrText xml:space="preserve"> REF _Ref446945905 \h </w:instrText>
            </w:r>
            <w:r w:rsidR="008F1BE0">
              <w:fldChar w:fldCharType="separate"/>
            </w:r>
            <w:r w:rsidR="00AB304C">
              <w:t xml:space="preserve">Table </w:t>
            </w:r>
            <w:r w:rsidR="00AB304C">
              <w:rPr>
                <w:noProof/>
              </w:rPr>
              <w:t>11</w:t>
            </w:r>
            <w:r w:rsidR="00AB304C">
              <w:t xml:space="preserve">: </w:t>
            </w:r>
            <w:r w:rsidR="00AB304C">
              <w:rPr>
                <w:rFonts w:cs="Arial"/>
                <w:b/>
                <w:vanish/>
              </w:rPr>
              <w:t xml:space="preserve">BR_40.14 </w:t>
            </w:r>
            <w:r w:rsidR="00AB304C">
              <w:t>Crossmatch Interpretations for Print Unit Caution Tag &amp; Transfusion Record Form</w:t>
            </w:r>
            <w:r w:rsidR="008F1BE0">
              <w:fldChar w:fldCharType="end"/>
            </w:r>
            <w:r w:rsidR="008F1BE0">
              <w:t>.</w:t>
            </w:r>
          </w:p>
        </w:tc>
      </w:tr>
      <w:tr w:rsidR="00A80240" w14:paraId="3405E2E7" w14:textId="77777777" w:rsidTr="00381224">
        <w:tc>
          <w:tcPr>
            <w:tcW w:w="3240" w:type="dxa"/>
          </w:tcPr>
          <w:p w14:paraId="17C7358A" w14:textId="77777777" w:rsidR="00A80240" w:rsidRDefault="00E82F44" w:rsidP="00274D41">
            <w:pPr>
              <w:pStyle w:val="TableTextNumbers"/>
            </w:pPr>
            <w:r>
              <w:lastRenderedPageBreak/>
              <w:t>Refer to S</w:t>
            </w:r>
            <w:r w:rsidR="00B16194">
              <w:t>tep</w:t>
            </w:r>
            <w:r>
              <w:t xml:space="preserve"> 5 and S</w:t>
            </w:r>
            <w:r w:rsidR="00D279DE">
              <w:t>tep 6 for process to save the crossmatch results.</w:t>
            </w:r>
          </w:p>
        </w:tc>
        <w:tc>
          <w:tcPr>
            <w:tcW w:w="6120" w:type="dxa"/>
          </w:tcPr>
          <w:p w14:paraId="505DA814" w14:textId="77777777" w:rsidR="00A80240" w:rsidRDefault="00A80240" w:rsidP="00D279DE">
            <w:pPr>
              <w:pStyle w:val="TableTextBullet"/>
              <w:numPr>
                <w:ilvl w:val="0"/>
                <w:numId w:val="0"/>
              </w:numPr>
              <w:ind w:left="288"/>
            </w:pPr>
          </w:p>
        </w:tc>
      </w:tr>
    </w:tbl>
    <w:p w14:paraId="60DE9760" w14:textId="77777777" w:rsidR="007A4841" w:rsidRDefault="007A4841" w:rsidP="00D65C6C">
      <w:pPr>
        <w:pStyle w:val="Heading1"/>
        <w:rPr>
          <w:rStyle w:val="BodyTextChar"/>
          <w:rFonts w:ascii="Times New Roman" w:hAnsi="Times New Roman" w:cs="Times New Roman"/>
          <w:b w:val="0"/>
        </w:rPr>
      </w:pPr>
    </w:p>
    <w:p w14:paraId="56622773" w14:textId="5CDFFCBA" w:rsidR="00937534" w:rsidRDefault="00937534" w:rsidP="00937534">
      <w:pPr>
        <w:pStyle w:val="Caption"/>
      </w:pPr>
      <w:bookmarkStart w:id="554" w:name="_Ref447168245"/>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146</w:t>
      </w:r>
      <w:r w:rsidR="004E20BD">
        <w:rPr>
          <w:noProof/>
        </w:rPr>
        <w:fldChar w:fldCharType="end"/>
      </w:r>
      <w:bookmarkEnd w:id="554"/>
      <w:r>
        <w:t>: Automated Testing</w:t>
      </w:r>
      <w:r w:rsidR="00B46534">
        <w:t xml:space="preserve"> - Pending Specimen</w:t>
      </w:r>
      <w:r>
        <w:t xml:space="preserve"> Tests Window</w:t>
      </w:r>
    </w:p>
    <w:p w14:paraId="0E903DFF" w14:textId="77777777" w:rsidR="00481912" w:rsidRDefault="00057948" w:rsidP="00481912">
      <w:r>
        <w:rPr>
          <w:noProof/>
        </w:rPr>
        <w:drawing>
          <wp:inline distT="0" distB="0" distL="0" distR="0" wp14:anchorId="197F4026" wp14:editId="6486C913">
            <wp:extent cx="3860800" cy="1920875"/>
            <wp:effectExtent l="0" t="0" r="6350" b="3175"/>
            <wp:docPr id="266" name="Picture 266" descr="P9836#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P9836#yIS1">
                      <a:extLst>
                        <a:ext uri="{C183D7F6-B498-43B3-948B-1728B52AA6E4}">
                          <adec:decorative xmlns:adec="http://schemas.microsoft.com/office/drawing/2017/decorative" val="1"/>
                        </a:ext>
                      </a:extLst>
                    </pic:cNvP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860800" cy="1920875"/>
                    </a:xfrm>
                    <a:prstGeom prst="rect">
                      <a:avLst/>
                    </a:prstGeom>
                    <a:noFill/>
                    <a:ln>
                      <a:noFill/>
                    </a:ln>
                  </pic:spPr>
                </pic:pic>
              </a:graphicData>
            </a:graphic>
          </wp:inline>
        </w:drawing>
      </w:r>
    </w:p>
    <w:p w14:paraId="7D0D74C0" w14:textId="77777777" w:rsidR="00F328F5" w:rsidRPr="00C36D9B" w:rsidRDefault="00C36D9B" w:rsidP="00C36D9B">
      <w:pPr>
        <w:pStyle w:val="Heading1"/>
      </w:pPr>
      <w:r>
        <w:rPr>
          <w:rStyle w:val="BodyTextChar"/>
          <w:rFonts w:ascii="Times New Roman" w:hAnsi="Times New Roman" w:cs="Times New Roman"/>
          <w:b w:val="0"/>
        </w:rPr>
        <w:br w:type="page"/>
      </w:r>
      <w:bookmarkStart w:id="555" w:name="_Toc4588833"/>
      <w:r w:rsidR="002A21AE" w:rsidRPr="00C36D9B">
        <w:lastRenderedPageBreak/>
        <w:t>Reports</w:t>
      </w:r>
      <w:bookmarkEnd w:id="555"/>
    </w:p>
    <w:p w14:paraId="0844F798" w14:textId="644DAE31" w:rsidR="00E22860" w:rsidRDefault="00E22860" w:rsidP="00E22860">
      <w:pPr>
        <w:rPr>
          <w:sz w:val="22"/>
          <w:szCs w:val="22"/>
        </w:rPr>
      </w:pPr>
      <w:r w:rsidRPr="00716B49">
        <w:rPr>
          <w:sz w:val="22"/>
          <w:szCs w:val="22"/>
        </w:rPr>
        <w:t>The report information that is presented on-screen, not the print preview, can be sorted by clicking on each</w:t>
      </w:r>
      <w:r w:rsidR="000B4E47" w:rsidRPr="00716B49">
        <w:rPr>
          <w:sz w:val="22"/>
          <w:szCs w:val="22"/>
        </w:rPr>
        <w:t xml:space="preserve"> column header. The sort changes made do not apply to the printed reports. Reports print in a default sort order.</w:t>
      </w:r>
    </w:p>
    <w:p w14:paraId="132089F6" w14:textId="62595504" w:rsidR="000A0FDE" w:rsidRDefault="000A0FDE" w:rsidP="00E22860">
      <w:pPr>
        <w:rPr>
          <w:sz w:val="22"/>
          <w:szCs w:val="22"/>
        </w:rPr>
      </w:pPr>
    </w:p>
    <w:p w14:paraId="6BC7896C" w14:textId="77777777" w:rsidR="00283DF4" w:rsidRDefault="00CA1FAF" w:rsidP="00E22860">
      <w:pPr>
        <w:rPr>
          <w:sz w:val="22"/>
          <w:szCs w:val="22"/>
        </w:rPr>
      </w:pPr>
      <w:r w:rsidRPr="00716B49">
        <w:rPr>
          <w:b/>
          <w:sz w:val="22"/>
          <w:szCs w:val="22"/>
        </w:rPr>
        <w:t>Note</w:t>
      </w:r>
      <w:r w:rsidR="00283DF4">
        <w:rPr>
          <w:b/>
          <w:sz w:val="22"/>
          <w:szCs w:val="22"/>
        </w:rPr>
        <w:t xml:space="preserve"> 1</w:t>
      </w:r>
      <w:r w:rsidRPr="00716B49">
        <w:rPr>
          <w:b/>
          <w:sz w:val="22"/>
          <w:szCs w:val="22"/>
        </w:rPr>
        <w:t>:</w:t>
      </w:r>
      <w:r w:rsidRPr="00716B49">
        <w:rPr>
          <w:sz w:val="22"/>
          <w:szCs w:val="22"/>
        </w:rPr>
        <w:t xml:space="preserve"> </w:t>
      </w:r>
      <w:r w:rsidR="00422E94">
        <w:rPr>
          <w:sz w:val="22"/>
          <w:szCs w:val="22"/>
        </w:rPr>
        <w:t xml:space="preserve">Switching to Normal layout view from Print layout view so the user can search the report may cause the error message </w:t>
      </w:r>
      <w:r w:rsidR="00422E94" w:rsidRPr="00716B49">
        <w:rPr>
          <w:b/>
          <w:sz w:val="22"/>
          <w:szCs w:val="22"/>
        </w:rPr>
        <w:t>“Error. Thread was being aborted</w:t>
      </w:r>
      <w:r w:rsidR="00422E94">
        <w:rPr>
          <w:b/>
          <w:sz w:val="22"/>
          <w:szCs w:val="22"/>
        </w:rPr>
        <w:t>.</w:t>
      </w:r>
      <w:r w:rsidR="00422E94" w:rsidRPr="00716B49">
        <w:rPr>
          <w:b/>
          <w:sz w:val="22"/>
          <w:szCs w:val="22"/>
        </w:rPr>
        <w:t>”</w:t>
      </w:r>
      <w:r w:rsidR="00422E94">
        <w:rPr>
          <w:sz w:val="22"/>
          <w:szCs w:val="22"/>
        </w:rPr>
        <w:t xml:space="preserve"> to appear for a large report. </w:t>
      </w:r>
      <w:r w:rsidRPr="00716B49">
        <w:rPr>
          <w:sz w:val="22"/>
          <w:szCs w:val="22"/>
        </w:rPr>
        <w:t>The report</w:t>
      </w:r>
      <w:r w:rsidR="00D441C9" w:rsidRPr="00716B49">
        <w:rPr>
          <w:sz w:val="22"/>
          <w:szCs w:val="22"/>
        </w:rPr>
        <w:t xml:space="preserve"> proceeds to load in the different layout </w:t>
      </w:r>
      <w:r w:rsidR="00422E94">
        <w:rPr>
          <w:sz w:val="22"/>
          <w:szCs w:val="22"/>
        </w:rPr>
        <w:t xml:space="preserve">view </w:t>
      </w:r>
      <w:r w:rsidR="00D441C9" w:rsidRPr="00716B49">
        <w:rPr>
          <w:sz w:val="22"/>
          <w:szCs w:val="22"/>
        </w:rPr>
        <w:t>chosen by the user. This is a normal behavior of a report engine and no harm is done.</w:t>
      </w:r>
      <w:r w:rsidR="00716B49" w:rsidRPr="00716B49">
        <w:rPr>
          <w:sz w:val="22"/>
          <w:szCs w:val="22"/>
        </w:rPr>
        <w:t xml:space="preserve"> </w:t>
      </w:r>
      <w:r w:rsidR="00283DF4" w:rsidRPr="00283DF4">
        <w:rPr>
          <w:vanish/>
          <w:sz w:val="22"/>
          <w:szCs w:val="22"/>
        </w:rPr>
        <w:t>DR 5059</w:t>
      </w:r>
    </w:p>
    <w:p w14:paraId="60EFDC29" w14:textId="77777777" w:rsidR="00283DF4" w:rsidRDefault="00283DF4" w:rsidP="00E22860">
      <w:pPr>
        <w:rPr>
          <w:sz w:val="22"/>
          <w:szCs w:val="22"/>
        </w:rPr>
      </w:pPr>
    </w:p>
    <w:p w14:paraId="1A2E17F4" w14:textId="046CEFBF" w:rsidR="00C17377" w:rsidRDefault="00283DF4" w:rsidP="00E22860">
      <w:pPr>
        <w:rPr>
          <w:sz w:val="22"/>
          <w:szCs w:val="22"/>
        </w:rPr>
      </w:pPr>
      <w:r w:rsidRPr="00716B49">
        <w:rPr>
          <w:b/>
          <w:sz w:val="22"/>
          <w:szCs w:val="22"/>
        </w:rPr>
        <w:t>Note</w:t>
      </w:r>
      <w:r>
        <w:rPr>
          <w:b/>
          <w:sz w:val="22"/>
          <w:szCs w:val="22"/>
        </w:rPr>
        <w:t xml:space="preserve"> 2</w:t>
      </w:r>
      <w:r w:rsidRPr="00716B49">
        <w:rPr>
          <w:b/>
          <w:sz w:val="22"/>
          <w:szCs w:val="22"/>
        </w:rPr>
        <w:t>:</w:t>
      </w:r>
      <w:r w:rsidRPr="00716B49">
        <w:rPr>
          <w:sz w:val="22"/>
          <w:szCs w:val="22"/>
        </w:rPr>
        <w:t xml:space="preserve"> </w:t>
      </w:r>
      <w:r>
        <w:rPr>
          <w:sz w:val="22"/>
          <w:szCs w:val="22"/>
        </w:rPr>
        <w:t xml:space="preserve">The transfusion count total may indicate a site needs to complete a National Blood Collection and Utilization Survey if the total transfusions is greater than or equal to 100. </w:t>
      </w:r>
      <w:r w:rsidR="00E605B1" w:rsidRPr="00E605B1">
        <w:rPr>
          <w:vanish/>
          <w:sz w:val="22"/>
          <w:szCs w:val="22"/>
        </w:rPr>
        <w:t>Task 503042</w:t>
      </w:r>
    </w:p>
    <w:p w14:paraId="223986C2" w14:textId="77777777" w:rsidR="00C17377" w:rsidRDefault="00C17377" w:rsidP="00E22860">
      <w:pPr>
        <w:rPr>
          <w:sz w:val="22"/>
          <w:szCs w:val="22"/>
        </w:rPr>
      </w:pPr>
    </w:p>
    <w:p w14:paraId="6CDDE855" w14:textId="22E7A9CD" w:rsidR="00733A12" w:rsidRPr="00716B49" w:rsidRDefault="00244AD3" w:rsidP="00E22860">
      <w:pPr>
        <w:rPr>
          <w:sz w:val="22"/>
          <w:szCs w:val="22"/>
        </w:rPr>
      </w:pPr>
      <w:r w:rsidRPr="00244AD3">
        <w:rPr>
          <w:b/>
          <w:sz w:val="22"/>
          <w:szCs w:val="22"/>
        </w:rPr>
        <w:t>Note 3:</w:t>
      </w:r>
      <w:r>
        <w:rPr>
          <w:sz w:val="22"/>
          <w:szCs w:val="22"/>
        </w:rPr>
        <w:t xml:space="preserve"> </w:t>
      </w:r>
      <w:r w:rsidR="00C17377" w:rsidRPr="00C17377">
        <w:rPr>
          <w:sz w:val="22"/>
          <w:szCs w:val="22"/>
        </w:rPr>
        <w:t>The report search in VBECS is limited to 2000 characters. Requesting a report that exceeds this limit will result in an incomplete report.</w:t>
      </w:r>
      <w:r>
        <w:rPr>
          <w:sz w:val="22"/>
          <w:szCs w:val="22"/>
        </w:rPr>
        <w:t xml:space="preserve"> </w:t>
      </w:r>
      <w:r w:rsidRPr="00244AD3">
        <w:rPr>
          <w:vanish/>
          <w:sz w:val="22"/>
          <w:szCs w:val="22"/>
        </w:rPr>
        <w:t>Defect 210100</w:t>
      </w:r>
    </w:p>
    <w:p w14:paraId="1827041C" w14:textId="77777777" w:rsidR="007A6EB0" w:rsidRDefault="007A6EB0" w:rsidP="007A6EB0">
      <w:pPr>
        <w:pStyle w:val="Heading2"/>
      </w:pPr>
      <w:bookmarkStart w:id="556" w:name="_Toc4588834"/>
      <w:bookmarkStart w:id="557" w:name="_Toc63680379"/>
      <w:bookmarkEnd w:id="545"/>
      <w:r>
        <w:t>Administrative Data Report</w:t>
      </w:r>
      <w:bookmarkEnd w:id="556"/>
      <w:r>
        <w:fldChar w:fldCharType="begin"/>
      </w:r>
      <w:r>
        <w:instrText xml:space="preserve"> XE “Administrative Data Report” </w:instrText>
      </w:r>
      <w:r>
        <w:fldChar w:fldCharType="end"/>
      </w:r>
      <w:r>
        <w:t xml:space="preserve"> </w:t>
      </w:r>
      <w:r>
        <w:rPr>
          <w:rFonts w:ascii="Times New Roman" w:hAnsi="Times New Roman" w:cs="Times New Roman"/>
          <w:b w:val="0"/>
          <w:i w:val="0"/>
          <w:vanish/>
          <w:sz w:val="22"/>
        </w:rPr>
        <w:t>UC_107</w:t>
      </w:r>
    </w:p>
    <w:p w14:paraId="2BD56A22" w14:textId="77777777" w:rsidR="007A6EB0" w:rsidRDefault="007A6EB0" w:rsidP="007A6EB0">
      <w:pPr>
        <w:pStyle w:val="BodyText"/>
      </w:pPr>
      <w:r>
        <w:t>The user views and</w:t>
      </w:r>
      <w:r w:rsidR="00EB1E5A">
        <w:t>/or</w:t>
      </w:r>
      <w:r>
        <w:t xml:space="preserve"> prints the Administrative Data Report.</w:t>
      </w:r>
    </w:p>
    <w:p w14:paraId="35556A87" w14:textId="77777777" w:rsidR="007A6EB0" w:rsidRDefault="007A6EB0" w:rsidP="007A6EB0">
      <w:pPr>
        <w:pStyle w:val="Heading4"/>
      </w:pPr>
      <w:r>
        <w:t>Assumptions</w:t>
      </w:r>
      <w:r>
        <w:rPr>
          <w:b w:val="0"/>
        </w:rPr>
        <w:t xml:space="preserve"> </w:t>
      </w:r>
    </w:p>
    <w:p w14:paraId="28E47E28" w14:textId="77777777" w:rsidR="007A6EB0" w:rsidRDefault="007A6EB0" w:rsidP="007A6EB0">
      <w:pPr>
        <w:pStyle w:val="ListBullet"/>
        <w:rPr>
          <w:b/>
        </w:rPr>
      </w:pPr>
      <w:r>
        <w:t>Data are available for inclusion in the report.</w:t>
      </w:r>
    </w:p>
    <w:p w14:paraId="60C89873" w14:textId="77777777" w:rsidR="00AE521B" w:rsidRDefault="007A6EB0" w:rsidP="007A6EB0">
      <w:pPr>
        <w:pStyle w:val="Heading4"/>
      </w:pPr>
      <w:r>
        <w:t xml:space="preserve">Outcome </w:t>
      </w:r>
    </w:p>
    <w:p w14:paraId="0A8D5E67" w14:textId="77777777" w:rsidR="007A6EB0" w:rsidRDefault="00AE521B" w:rsidP="00AE521B">
      <w:pPr>
        <w:pStyle w:val="ListBullet"/>
      </w:pPr>
      <w:r>
        <w:t>The user views and/or prints the report</w:t>
      </w:r>
      <w:r w:rsidR="007A6EB0">
        <w:t>.</w:t>
      </w:r>
    </w:p>
    <w:p w14:paraId="6C6B5B19" w14:textId="77777777" w:rsidR="007A6EB0" w:rsidRDefault="007A6EB0" w:rsidP="007A6EB0">
      <w:pPr>
        <w:pStyle w:val="Heading4"/>
        <w:rPr>
          <w:b w:val="0"/>
        </w:rPr>
      </w:pPr>
      <w:r>
        <w:t>Limitations and Restrictions</w:t>
      </w:r>
      <w:r>
        <w:rPr>
          <w:b w:val="0"/>
        </w:rPr>
        <w:t xml:space="preserve"> </w:t>
      </w:r>
    </w:p>
    <w:p w14:paraId="6D92CB6F" w14:textId="77777777" w:rsidR="007A6EB0" w:rsidRDefault="007A6EB0" w:rsidP="007A6EB0">
      <w:pPr>
        <w:pStyle w:val="ListBullet"/>
      </w:pPr>
      <w:r>
        <w:t>None</w:t>
      </w:r>
    </w:p>
    <w:p w14:paraId="33935D2F" w14:textId="77777777" w:rsidR="007A6EB0" w:rsidRDefault="007A6EB0" w:rsidP="007A6EB0">
      <w:pPr>
        <w:pStyle w:val="Heading4"/>
      </w:pPr>
      <w:r>
        <w:t xml:space="preserve">Additional Information </w:t>
      </w:r>
    </w:p>
    <w:p w14:paraId="376A914B" w14:textId="77777777" w:rsidR="007A6EB0" w:rsidRDefault="007A6EB0" w:rsidP="007A6EB0">
      <w:pPr>
        <w:pStyle w:val="ListBullet"/>
      </w:pPr>
      <w:r>
        <w:t>The report is available as a single-division or multidivisional (all divisions) report.</w:t>
      </w:r>
    </w:p>
    <w:p w14:paraId="0E54AD16" w14:textId="77777777" w:rsidR="007A6EB0" w:rsidRDefault="007A6EB0" w:rsidP="007A6EB0">
      <w:pPr>
        <w:pStyle w:val="Heading4"/>
        <w:rPr>
          <w:b w:val="0"/>
        </w:rPr>
      </w:pPr>
      <w:r>
        <w:t>User Roles with Access to This Option</w:t>
      </w:r>
      <w:r>
        <w:rPr>
          <w:b w:val="0"/>
        </w:rPr>
        <w:t xml:space="preserve"> </w:t>
      </w:r>
    </w:p>
    <w:p w14:paraId="6180D95E" w14:textId="77777777" w:rsidR="007A6EB0" w:rsidRDefault="007A6EB0" w:rsidP="007A6EB0">
      <w:pPr>
        <w:pStyle w:val="Roles"/>
      </w:pPr>
      <w:r>
        <w:t>All users</w:t>
      </w:r>
    </w:p>
    <w:p w14:paraId="271FC3B7" w14:textId="77777777" w:rsidR="007A6EB0" w:rsidRDefault="007A6EB0" w:rsidP="007A6EB0">
      <w:pPr>
        <w:pStyle w:val="Heading4"/>
      </w:pPr>
      <w:r>
        <w:t xml:space="preserve">Administrative Data Report </w:t>
      </w:r>
    </w:p>
    <w:p w14:paraId="08A411C9" w14:textId="77777777" w:rsidR="007A6EB0" w:rsidRDefault="007A6EB0" w:rsidP="007A6EB0">
      <w:pPr>
        <w:pStyle w:val="BodyText"/>
      </w:pPr>
      <w:r>
        <w:t xml:space="preserve">The user </w:t>
      </w:r>
      <w:r w:rsidR="00FF1708">
        <w:t xml:space="preserve">views </w:t>
      </w:r>
      <w:r w:rsidR="00EB1E5A">
        <w:t>and/or</w:t>
      </w:r>
      <w:r w:rsidR="00FF1708">
        <w:t xml:space="preserve"> prints </w:t>
      </w:r>
      <w:r>
        <w:t>the Administrative Data Report</w:t>
      </w:r>
      <w:r w:rsidR="00A611B6">
        <w:t>, which includes blood product transactions</w:t>
      </w:r>
      <w:r>
        <w:t xml:space="preserve"> for a given date range.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7A6EB0" w14:paraId="3EF79EFA" w14:textId="77777777">
        <w:trPr>
          <w:tblHeader/>
        </w:trPr>
        <w:tc>
          <w:tcPr>
            <w:tcW w:w="3240" w:type="dxa"/>
            <w:shd w:val="pct30" w:color="auto" w:fill="FFFFFF"/>
            <w:vAlign w:val="bottom"/>
          </w:tcPr>
          <w:p w14:paraId="194AF861" w14:textId="77777777" w:rsidR="007A6EB0" w:rsidRDefault="007A6EB0" w:rsidP="007A6EB0">
            <w:pPr>
              <w:pStyle w:val="TableText"/>
              <w:rPr>
                <w:b/>
              </w:rPr>
            </w:pPr>
            <w:r>
              <w:rPr>
                <w:b/>
              </w:rPr>
              <w:t>User Action</w:t>
            </w:r>
          </w:p>
        </w:tc>
        <w:tc>
          <w:tcPr>
            <w:tcW w:w="6120" w:type="dxa"/>
            <w:shd w:val="pct30" w:color="auto" w:fill="FFFFFF"/>
            <w:vAlign w:val="bottom"/>
          </w:tcPr>
          <w:p w14:paraId="6C276918" w14:textId="77777777" w:rsidR="007A6EB0" w:rsidRDefault="007A6EB0" w:rsidP="007A6EB0">
            <w:pPr>
              <w:pStyle w:val="TableText"/>
              <w:rPr>
                <w:b/>
              </w:rPr>
            </w:pPr>
            <w:r>
              <w:rPr>
                <w:b/>
              </w:rPr>
              <w:t>VBECS</w:t>
            </w:r>
          </w:p>
        </w:tc>
      </w:tr>
      <w:tr w:rsidR="007A6EB0" w14:paraId="17BE1CD6" w14:textId="77777777">
        <w:tc>
          <w:tcPr>
            <w:tcW w:w="3240" w:type="dxa"/>
          </w:tcPr>
          <w:p w14:paraId="3C9AADF8" w14:textId="77777777" w:rsidR="007A6EB0" w:rsidRDefault="007A6EB0" w:rsidP="000409B1">
            <w:pPr>
              <w:pStyle w:val="TableTextNumbers"/>
              <w:numPr>
                <w:ilvl w:val="0"/>
                <w:numId w:val="56"/>
              </w:numPr>
            </w:pPr>
            <w:r>
              <w:t xml:space="preserve">Select </w:t>
            </w:r>
            <w:r w:rsidRPr="004831F9">
              <w:rPr>
                <w:b/>
              </w:rPr>
              <w:t>Reports</w:t>
            </w:r>
            <w:r>
              <w:t xml:space="preserve"> from the main menu.</w:t>
            </w:r>
          </w:p>
          <w:p w14:paraId="1510D212" w14:textId="77777777" w:rsidR="007A6EB0" w:rsidRDefault="007A6EB0" w:rsidP="007A6EB0">
            <w:pPr>
              <w:pStyle w:val="TableTextNumbersContinued"/>
            </w:pPr>
          </w:p>
          <w:p w14:paraId="4157C140" w14:textId="77777777" w:rsidR="007A6EB0" w:rsidRDefault="007A6EB0" w:rsidP="007A6EB0">
            <w:pPr>
              <w:pStyle w:val="TableTextNumbersContinued"/>
            </w:pPr>
            <w:r>
              <w:t xml:space="preserve">Select </w:t>
            </w:r>
            <w:r>
              <w:rPr>
                <w:b/>
              </w:rPr>
              <w:t>Administrative Data Report</w:t>
            </w:r>
            <w:r>
              <w:t>.</w:t>
            </w:r>
          </w:p>
        </w:tc>
        <w:tc>
          <w:tcPr>
            <w:tcW w:w="6120" w:type="dxa"/>
          </w:tcPr>
          <w:p w14:paraId="5E9D7D61" w14:textId="77777777" w:rsidR="007A6EB0" w:rsidRDefault="007A6EB0" w:rsidP="007A6EB0">
            <w:pPr>
              <w:pStyle w:val="TableTextBullet"/>
            </w:pPr>
            <w:r>
              <w:t>Lists report names.</w:t>
            </w:r>
          </w:p>
          <w:p w14:paraId="5ADFD6DE" w14:textId="77777777" w:rsidR="007A6EB0" w:rsidRDefault="007A6EB0" w:rsidP="007A6EB0">
            <w:pPr>
              <w:pStyle w:val="TableTextBullet"/>
            </w:pPr>
            <w:r>
              <w:t xml:space="preserve">Displays report compilation criteria. </w:t>
            </w:r>
          </w:p>
          <w:p w14:paraId="5842DA50" w14:textId="77777777" w:rsidR="007A6EB0" w:rsidRDefault="007A6EB0" w:rsidP="007A6EB0">
            <w:pPr>
              <w:pStyle w:val="TableTextBullet"/>
            </w:pPr>
            <w:r>
              <w:t>Displays a date range for selection.</w:t>
            </w:r>
          </w:p>
        </w:tc>
      </w:tr>
      <w:tr w:rsidR="007A6EB0" w14:paraId="469FFE36" w14:textId="77777777">
        <w:tc>
          <w:tcPr>
            <w:tcW w:w="3240" w:type="dxa"/>
          </w:tcPr>
          <w:p w14:paraId="7364F530" w14:textId="77777777" w:rsidR="0038145B" w:rsidRDefault="0038145B" w:rsidP="007A6EB0">
            <w:pPr>
              <w:pStyle w:val="TableTextNumbers"/>
            </w:pPr>
            <w:r>
              <w:t>Enter or select start and end dates.</w:t>
            </w:r>
          </w:p>
          <w:p w14:paraId="031F1C2A" w14:textId="77777777" w:rsidR="0038145B" w:rsidRDefault="0038145B" w:rsidP="0038145B">
            <w:pPr>
              <w:pStyle w:val="TableTextNumbers"/>
              <w:numPr>
                <w:ilvl w:val="0"/>
                <w:numId w:val="0"/>
              </w:numPr>
              <w:ind w:left="288"/>
            </w:pPr>
          </w:p>
          <w:p w14:paraId="5B88361F" w14:textId="77777777" w:rsidR="007A6EB0" w:rsidRDefault="007A6EB0" w:rsidP="0038145B">
            <w:pPr>
              <w:pStyle w:val="TableTextNumbers"/>
              <w:numPr>
                <w:ilvl w:val="0"/>
                <w:numId w:val="0"/>
              </w:numPr>
              <w:ind w:left="288"/>
            </w:pPr>
            <w:r>
              <w:t xml:space="preserve">Click the </w:t>
            </w:r>
            <w:r>
              <w:rPr>
                <w:b/>
              </w:rPr>
              <w:t>Current Divisions</w:t>
            </w:r>
            <w:r>
              <w:t xml:space="preserve"> or</w:t>
            </w:r>
            <w:r>
              <w:rPr>
                <w:b/>
              </w:rPr>
              <w:t xml:space="preserve"> All Divisions </w:t>
            </w:r>
            <w:r w:rsidRPr="00BF2E41">
              <w:t>radio button</w:t>
            </w:r>
            <w:r>
              <w:t>.</w:t>
            </w:r>
          </w:p>
        </w:tc>
        <w:tc>
          <w:tcPr>
            <w:tcW w:w="6120" w:type="dxa"/>
          </w:tcPr>
          <w:p w14:paraId="13912C51" w14:textId="77777777" w:rsidR="007A6EB0" w:rsidRDefault="007A6EB0" w:rsidP="007A6EB0">
            <w:pPr>
              <w:pStyle w:val="TableTextBullet"/>
            </w:pPr>
            <w:r>
              <w:lastRenderedPageBreak/>
              <w:t>Allows the user to select one or all divisions.</w:t>
            </w:r>
          </w:p>
          <w:p w14:paraId="435DDCDE" w14:textId="77777777" w:rsidR="007A6EB0" w:rsidRDefault="007A6EB0" w:rsidP="007A6EB0">
            <w:pPr>
              <w:pStyle w:val="TableText"/>
              <w:rPr>
                <w:b/>
                <w:bCs/>
                <w:szCs w:val="18"/>
              </w:rPr>
            </w:pPr>
          </w:p>
          <w:p w14:paraId="02EF0865" w14:textId="77777777" w:rsidR="007A6EB0" w:rsidRDefault="00057948" w:rsidP="007A6EB0">
            <w:pPr>
              <w:pStyle w:val="TableText"/>
              <w:rPr>
                <w:b/>
                <w:bCs/>
                <w:szCs w:val="18"/>
              </w:rPr>
            </w:pPr>
            <w:r>
              <w:rPr>
                <w:b/>
                <w:bCs/>
                <w:noProof/>
              </w:rPr>
              <w:lastRenderedPageBreak/>
              <mc:AlternateContent>
                <mc:Choice Requires="wps">
                  <w:drawing>
                    <wp:anchor distT="0" distB="0" distL="114300" distR="114300" simplePos="0" relativeHeight="251666944" behindDoc="0" locked="0" layoutInCell="1" allowOverlap="1" wp14:anchorId="65B0AD03" wp14:editId="21DCD005">
                      <wp:simplePos x="0" y="0"/>
                      <wp:positionH relativeFrom="column">
                        <wp:posOffset>457200</wp:posOffset>
                      </wp:positionH>
                      <wp:positionV relativeFrom="paragraph">
                        <wp:posOffset>65405</wp:posOffset>
                      </wp:positionV>
                      <wp:extent cx="3200400" cy="0"/>
                      <wp:effectExtent l="9525" t="17780" r="9525" b="10795"/>
                      <wp:wrapNone/>
                      <wp:docPr id="295" name="Line 1043" descr="P9874C6T10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42F21" id="Line 1043" o:spid="_x0000_s1026" alt="&quot;&quot;"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IZON+7EAQAAbwMAAA4AAAAAAAAAAAAAAAAA&#10;LgIAAGRycy9lMm9Eb2MueG1sUEsBAi0AFAAGAAgAAAAhABdPMBLbAAAACAEAAA8AAAAAAAAAAAAA&#10;AAAAHgQAAGRycy9kb3ducmV2LnhtbFBLBQYAAAAABAAEAPMAAAAmBQAAAAA=&#10;" strokeweight="1.5pt"/>
                  </w:pict>
                </mc:Fallback>
              </mc:AlternateContent>
            </w:r>
            <w:r w:rsidR="007A6EB0">
              <w:rPr>
                <w:b/>
                <w:bCs/>
                <w:szCs w:val="18"/>
              </w:rPr>
              <w:t>NOTES</w:t>
            </w:r>
          </w:p>
          <w:p w14:paraId="2721B2B4" w14:textId="77777777" w:rsidR="007A6EB0" w:rsidRDefault="007A6EB0" w:rsidP="007A6EB0">
            <w:pPr>
              <w:pStyle w:val="NotesText"/>
            </w:pPr>
          </w:p>
          <w:p w14:paraId="52D17D15" w14:textId="77777777" w:rsidR="007A6EB0" w:rsidRDefault="007A6EB0" w:rsidP="007A6EB0">
            <w:pPr>
              <w:pStyle w:val="NotesText"/>
            </w:pPr>
            <w:r>
              <w:t>For each component class and its subdivisions, VBECS tallies:</w:t>
            </w:r>
          </w:p>
          <w:p w14:paraId="49B8695E" w14:textId="77777777" w:rsidR="007A6EB0" w:rsidRDefault="007A6EB0" w:rsidP="007A6EB0">
            <w:pPr>
              <w:pStyle w:val="NotesTextBullet"/>
              <w:tabs>
                <w:tab w:val="clear" w:pos="1008"/>
                <w:tab w:val="num" w:pos="288"/>
              </w:tabs>
            </w:pPr>
            <w:r>
              <w:rPr>
                <w:rFonts w:cs="Arial"/>
                <w:vanish/>
              </w:rPr>
              <w:t xml:space="preserve">BR_107.01 </w:t>
            </w:r>
            <w:r>
              <w:t>Products received</w:t>
            </w:r>
          </w:p>
          <w:p w14:paraId="42AF13B7" w14:textId="77777777" w:rsidR="007A6EB0" w:rsidRDefault="007A6EB0" w:rsidP="007A6EB0">
            <w:pPr>
              <w:pStyle w:val="NotesTextBullet"/>
              <w:tabs>
                <w:tab w:val="clear" w:pos="1008"/>
                <w:tab w:val="num" w:pos="288"/>
              </w:tabs>
            </w:pPr>
            <w:r>
              <w:rPr>
                <w:rFonts w:cs="Arial"/>
                <w:vanish/>
              </w:rPr>
              <w:t xml:space="preserve">BR_107.02 </w:t>
            </w:r>
            <w:r>
              <w:t>Products modified/prepared</w:t>
            </w:r>
          </w:p>
          <w:p w14:paraId="519421C8" w14:textId="77777777" w:rsidR="007A6EB0" w:rsidRDefault="007A6EB0" w:rsidP="007A6EB0">
            <w:pPr>
              <w:pStyle w:val="NotesTextBullet"/>
              <w:tabs>
                <w:tab w:val="clear" w:pos="1008"/>
                <w:tab w:val="num" w:pos="288"/>
              </w:tabs>
            </w:pPr>
            <w:r>
              <w:rPr>
                <w:rFonts w:cs="Arial"/>
                <w:vanish/>
              </w:rPr>
              <w:t xml:space="preserve">BR_107.03 </w:t>
            </w:r>
            <w:r>
              <w:t>Units transfused</w:t>
            </w:r>
          </w:p>
          <w:p w14:paraId="3AE0C861" w14:textId="77777777" w:rsidR="007A6EB0" w:rsidRDefault="007A6EB0" w:rsidP="007A6EB0">
            <w:pPr>
              <w:pStyle w:val="NotesTextBullet"/>
              <w:tabs>
                <w:tab w:val="clear" w:pos="1008"/>
                <w:tab w:val="num" w:pos="288"/>
              </w:tabs>
            </w:pPr>
            <w:r>
              <w:rPr>
                <w:rFonts w:cs="Arial"/>
                <w:vanish/>
              </w:rPr>
              <w:t xml:space="preserve">BR_107.04 </w:t>
            </w:r>
            <w:r>
              <w:t>Units shipped</w:t>
            </w:r>
          </w:p>
          <w:p w14:paraId="5C73F918" w14:textId="77777777" w:rsidR="007A6EB0" w:rsidRDefault="007A6EB0" w:rsidP="007A6EB0">
            <w:pPr>
              <w:pStyle w:val="NotesTextBullet"/>
              <w:tabs>
                <w:tab w:val="clear" w:pos="1008"/>
                <w:tab w:val="num" w:pos="288"/>
              </w:tabs>
            </w:pPr>
            <w:r>
              <w:rPr>
                <w:rFonts w:cs="Arial"/>
                <w:vanish/>
              </w:rPr>
              <w:t xml:space="preserve">BR_107.05 </w:t>
            </w:r>
            <w:r>
              <w:t>Outdated units</w:t>
            </w:r>
          </w:p>
          <w:p w14:paraId="6827EEF9" w14:textId="77777777" w:rsidR="007A6EB0" w:rsidRPr="00CB0319" w:rsidRDefault="007A6EB0" w:rsidP="00CB0319">
            <w:pPr>
              <w:pStyle w:val="NotesTextBullet"/>
              <w:numPr>
                <w:ilvl w:val="0"/>
                <w:numId w:val="0"/>
              </w:numPr>
              <w:ind w:left="720"/>
              <w:rPr>
                <w:rFonts w:cs="Arial"/>
                <w:szCs w:val="18"/>
              </w:rPr>
            </w:pPr>
            <w:r>
              <w:rPr>
                <w:rFonts w:cs="Arial"/>
                <w:vanish/>
              </w:rPr>
              <w:t xml:space="preserve">BR_107.06 </w:t>
            </w:r>
            <w:r w:rsidR="00CB0319" w:rsidRPr="006F59A1">
              <w:rPr>
                <w:rFonts w:cs="Arial"/>
                <w:szCs w:val="18"/>
              </w:rPr>
              <w:t>Tallies are presented for total units received as well as subtotals for donation type categories, allogeneic, directed, and autologous.</w:t>
            </w:r>
          </w:p>
          <w:p w14:paraId="5F07BDD1" w14:textId="77777777" w:rsidR="00623790" w:rsidRDefault="00623790" w:rsidP="00CB0319">
            <w:pPr>
              <w:pStyle w:val="NotesTextBullet"/>
              <w:numPr>
                <w:ilvl w:val="0"/>
                <w:numId w:val="0"/>
              </w:numPr>
              <w:tabs>
                <w:tab w:val="num" w:pos="288"/>
              </w:tabs>
            </w:pPr>
          </w:p>
          <w:p w14:paraId="4709E254" w14:textId="77777777" w:rsidR="00623790" w:rsidRDefault="00623790" w:rsidP="00623790">
            <w:pPr>
              <w:pStyle w:val="NotesTextBullet"/>
              <w:numPr>
                <w:ilvl w:val="0"/>
                <w:numId w:val="0"/>
              </w:numPr>
              <w:ind w:left="720"/>
              <w:rPr>
                <w:rFonts w:cs="Arial"/>
                <w:szCs w:val="18"/>
              </w:rPr>
            </w:pPr>
            <w:r w:rsidRPr="00623790">
              <w:rPr>
                <w:rFonts w:cs="Arial"/>
                <w:vanish/>
                <w:szCs w:val="18"/>
              </w:rPr>
              <w:t xml:space="preserve">BR_107.08 </w:t>
            </w:r>
            <w:r w:rsidRPr="006F59A1">
              <w:rPr>
                <w:rFonts w:cs="Arial"/>
                <w:szCs w:val="18"/>
              </w:rPr>
              <w:t>Tallies are presented for total units received as well as subtotals for donation type categories, allogeneic, directed, and autologous.</w:t>
            </w:r>
          </w:p>
          <w:p w14:paraId="613C7D77" w14:textId="77777777" w:rsidR="00623790" w:rsidRDefault="00623790" w:rsidP="00623790">
            <w:pPr>
              <w:pStyle w:val="NotesTextBullet"/>
              <w:numPr>
                <w:ilvl w:val="0"/>
                <w:numId w:val="0"/>
              </w:numPr>
              <w:ind w:left="1008" w:hanging="288"/>
              <w:rPr>
                <w:rFonts w:cs="Arial"/>
                <w:szCs w:val="18"/>
              </w:rPr>
            </w:pPr>
          </w:p>
          <w:p w14:paraId="68A62CF9" w14:textId="77777777" w:rsidR="00623790" w:rsidRDefault="00623790" w:rsidP="00623790">
            <w:pPr>
              <w:pStyle w:val="NotesTextBullet"/>
              <w:numPr>
                <w:ilvl w:val="0"/>
                <w:numId w:val="0"/>
              </w:numPr>
              <w:ind w:left="720"/>
              <w:rPr>
                <w:rFonts w:cs="Arial"/>
                <w:szCs w:val="18"/>
              </w:rPr>
            </w:pPr>
            <w:r w:rsidRPr="00623790">
              <w:rPr>
                <w:rFonts w:cs="Arial"/>
                <w:vanish/>
                <w:szCs w:val="18"/>
              </w:rPr>
              <w:t xml:space="preserve">BR_107.09 </w:t>
            </w:r>
            <w:r w:rsidRPr="006F59A1">
              <w:rPr>
                <w:rFonts w:cs="Arial"/>
                <w:szCs w:val="18"/>
              </w:rPr>
              <w:t>All categories are calculated within the selected date range, not for a total in the system.</w:t>
            </w:r>
          </w:p>
          <w:p w14:paraId="4A183821" w14:textId="77777777" w:rsidR="00623790" w:rsidRDefault="00623790" w:rsidP="00623790">
            <w:pPr>
              <w:pStyle w:val="NotesTextBullet"/>
              <w:numPr>
                <w:ilvl w:val="0"/>
                <w:numId w:val="0"/>
              </w:numPr>
              <w:ind w:left="1008" w:hanging="288"/>
              <w:rPr>
                <w:rFonts w:cs="Arial"/>
                <w:szCs w:val="18"/>
              </w:rPr>
            </w:pPr>
          </w:p>
          <w:p w14:paraId="1E2E2481" w14:textId="77777777" w:rsidR="00623790" w:rsidRPr="006F59A1" w:rsidRDefault="00623790" w:rsidP="00623790">
            <w:pPr>
              <w:pStyle w:val="NotesTextBullet"/>
              <w:numPr>
                <w:ilvl w:val="0"/>
                <w:numId w:val="0"/>
              </w:numPr>
              <w:ind w:left="720"/>
              <w:rPr>
                <w:rFonts w:cs="Arial"/>
                <w:szCs w:val="18"/>
              </w:rPr>
            </w:pPr>
            <w:r w:rsidRPr="00623790">
              <w:rPr>
                <w:rFonts w:cs="Arial"/>
                <w:vanish/>
                <w:szCs w:val="18"/>
              </w:rPr>
              <w:t xml:space="preserve">BR_107.10 </w:t>
            </w:r>
            <w:r w:rsidRPr="006F59A1">
              <w:rPr>
                <w:rFonts w:cs="Arial"/>
                <w:szCs w:val="18"/>
              </w:rPr>
              <w:t>If there is no calculation for a given field, the system will not display any text.</w:t>
            </w:r>
          </w:p>
          <w:p w14:paraId="6B3B2C85" w14:textId="77777777" w:rsidR="00623790" w:rsidRDefault="00623790" w:rsidP="00623790">
            <w:pPr>
              <w:pStyle w:val="NotesTextBullet"/>
              <w:numPr>
                <w:ilvl w:val="0"/>
                <w:numId w:val="0"/>
              </w:numPr>
              <w:ind w:left="1008" w:hanging="288"/>
            </w:pPr>
          </w:p>
          <w:p w14:paraId="5827EB57" w14:textId="77777777" w:rsidR="00623790" w:rsidRDefault="00623790" w:rsidP="00623790">
            <w:pPr>
              <w:pStyle w:val="NotesTextBullet"/>
              <w:numPr>
                <w:ilvl w:val="0"/>
                <w:numId w:val="0"/>
              </w:numPr>
              <w:ind w:left="720"/>
              <w:rPr>
                <w:rFonts w:cs="Arial"/>
                <w:szCs w:val="18"/>
              </w:rPr>
            </w:pPr>
            <w:r w:rsidRPr="00623790">
              <w:rPr>
                <w:rFonts w:cs="Arial"/>
                <w:vanish/>
                <w:szCs w:val="18"/>
              </w:rPr>
              <w:t xml:space="preserve">BR_107.11 </w:t>
            </w:r>
            <w:r w:rsidRPr="006F59A1">
              <w:rPr>
                <w:rFonts w:cs="Arial"/>
                <w:szCs w:val="18"/>
              </w:rPr>
              <w:t>Identify split/divided units using the unit product code in ISBT 128</w:t>
            </w:r>
            <w:r>
              <w:rPr>
                <w:rFonts w:cs="Arial"/>
                <w:szCs w:val="18"/>
              </w:rPr>
              <w:t>;</w:t>
            </w:r>
            <w:r w:rsidRPr="006F59A1">
              <w:rPr>
                <w:rFonts w:cs="Arial"/>
                <w:szCs w:val="18"/>
              </w:rPr>
              <w:t xml:space="preserve"> labeling contains the unit division code in the seventh and eighth characters or may be a separ</w:t>
            </w:r>
            <w:r>
              <w:rPr>
                <w:rFonts w:cs="Arial"/>
                <w:szCs w:val="18"/>
              </w:rPr>
              <w:t xml:space="preserve">ate product code, indicated as </w:t>
            </w:r>
            <w:r w:rsidRPr="006F59A1">
              <w:rPr>
                <w:rFonts w:cs="Arial"/>
                <w:szCs w:val="18"/>
              </w:rPr>
              <w:t>1st container, 2nd container, and so on.</w:t>
            </w:r>
          </w:p>
          <w:p w14:paraId="0E7C60B8" w14:textId="77777777" w:rsidR="00623790" w:rsidRDefault="00623790" w:rsidP="00623790">
            <w:pPr>
              <w:pStyle w:val="NotesTextBullet"/>
              <w:numPr>
                <w:ilvl w:val="0"/>
                <w:numId w:val="0"/>
              </w:numPr>
              <w:ind w:left="1008" w:hanging="288"/>
              <w:rPr>
                <w:rFonts w:cs="Arial"/>
                <w:szCs w:val="18"/>
              </w:rPr>
            </w:pPr>
          </w:p>
          <w:p w14:paraId="54972CD6" w14:textId="77777777" w:rsidR="00623790" w:rsidRDefault="00623790" w:rsidP="00623790">
            <w:pPr>
              <w:pStyle w:val="NotesTextBullet"/>
              <w:numPr>
                <w:ilvl w:val="0"/>
                <w:numId w:val="0"/>
              </w:numPr>
              <w:ind w:left="720"/>
            </w:pPr>
            <w:r w:rsidRPr="00623790">
              <w:rPr>
                <w:rFonts w:cs="Arial"/>
                <w:vanish/>
                <w:szCs w:val="18"/>
              </w:rPr>
              <w:t xml:space="preserve">BR_107.12 </w:t>
            </w:r>
            <w:r w:rsidRPr="006F59A1">
              <w:rPr>
                <w:rFonts w:cs="Arial"/>
                <w:szCs w:val="18"/>
              </w:rPr>
              <w:t>For Pooled totals PREPARED in VBECS, include two numbers, the first being the total number of units included in those pools. The second number is number of pools created</w:t>
            </w:r>
            <w:r>
              <w:rPr>
                <w:rFonts w:cs="Arial"/>
                <w:szCs w:val="18"/>
              </w:rPr>
              <w:t>, for</w:t>
            </w:r>
            <w:r w:rsidRPr="006F59A1">
              <w:rPr>
                <w:rFonts w:cs="Arial"/>
                <w:szCs w:val="18"/>
              </w:rPr>
              <w:t xml:space="preserve"> example</w:t>
            </w:r>
            <w:r>
              <w:rPr>
                <w:rFonts w:cs="Arial"/>
                <w:szCs w:val="18"/>
              </w:rPr>
              <w:t>,</w:t>
            </w:r>
            <w:r w:rsidRPr="006F59A1">
              <w:rPr>
                <w:rFonts w:cs="Arial"/>
                <w:szCs w:val="18"/>
              </w:rPr>
              <w:t xml:space="preserve"> (2) 1</w:t>
            </w:r>
            <w:r>
              <w:rPr>
                <w:rFonts w:cs="Arial"/>
                <w:szCs w:val="18"/>
              </w:rPr>
              <w:t>.</w:t>
            </w:r>
          </w:p>
        </w:tc>
      </w:tr>
      <w:tr w:rsidR="007A6EB0" w14:paraId="447D023B" w14:textId="77777777">
        <w:tc>
          <w:tcPr>
            <w:tcW w:w="3240" w:type="dxa"/>
          </w:tcPr>
          <w:p w14:paraId="02E829C0" w14:textId="77777777" w:rsidR="007A6EB0" w:rsidRDefault="007A6EB0" w:rsidP="007A6EB0">
            <w:pPr>
              <w:pStyle w:val="TableTextNumbers"/>
            </w:pPr>
            <w:r>
              <w:lastRenderedPageBreak/>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1F964CD8" w14:textId="77777777" w:rsidR="007A6EB0" w:rsidRDefault="007A6EB0" w:rsidP="007A6EB0">
            <w:pPr>
              <w:pStyle w:val="TableTextNumbersContinued"/>
            </w:pPr>
          </w:p>
          <w:p w14:paraId="640EC6BF" w14:textId="77777777" w:rsidR="007A6EB0" w:rsidRDefault="007A6EB0" w:rsidP="007A6EB0">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25EB7AC9" w14:textId="77777777" w:rsidR="005B6A94" w:rsidRDefault="00F64B5C" w:rsidP="00AA2B2E">
            <w:pPr>
              <w:pStyle w:val="TableTextBullet"/>
            </w:pPr>
            <w:r>
              <w:t>Compiles and displays the report.</w:t>
            </w:r>
          </w:p>
          <w:p w14:paraId="55D22BFD" w14:textId="77777777" w:rsidR="00EA1A6F" w:rsidRDefault="00EA1A6F" w:rsidP="00EA1A6F">
            <w:pPr>
              <w:pStyle w:val="TableTextBullet"/>
              <w:numPr>
                <w:ilvl w:val="0"/>
                <w:numId w:val="0"/>
              </w:numPr>
              <w:ind w:left="288" w:hanging="288"/>
            </w:pPr>
          </w:p>
          <w:p w14:paraId="7AEE60DF" w14:textId="77777777" w:rsidR="00EA1A6F" w:rsidRDefault="00057948" w:rsidP="00EA1A6F">
            <w:pPr>
              <w:pStyle w:val="TableText"/>
              <w:rPr>
                <w:b/>
                <w:bCs/>
                <w:szCs w:val="18"/>
              </w:rPr>
            </w:pPr>
            <w:r>
              <w:rPr>
                <w:b/>
                <w:bCs/>
                <w:noProof/>
              </w:rPr>
              <mc:AlternateContent>
                <mc:Choice Requires="wps">
                  <w:drawing>
                    <wp:anchor distT="0" distB="0" distL="114300" distR="114300" simplePos="0" relativeHeight="251715072" behindDoc="0" locked="0" layoutInCell="1" allowOverlap="1" wp14:anchorId="45F9C7E3" wp14:editId="2F251BCC">
                      <wp:simplePos x="0" y="0"/>
                      <wp:positionH relativeFrom="column">
                        <wp:posOffset>457200</wp:posOffset>
                      </wp:positionH>
                      <wp:positionV relativeFrom="paragraph">
                        <wp:posOffset>65405</wp:posOffset>
                      </wp:positionV>
                      <wp:extent cx="3200400" cy="0"/>
                      <wp:effectExtent l="9525" t="17780" r="9525" b="10795"/>
                      <wp:wrapNone/>
                      <wp:docPr id="294" name="Line 1307" descr="P9899C8T10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660A9" id="Line 1307" o:spid="_x0000_s1026" alt="&quot;&quot;"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J///HjEAQAAbwMAAA4AAAAAAAAAAAAAAAAA&#10;LgIAAGRycy9lMm9Eb2MueG1sUEsBAi0AFAAGAAgAAAAhABdPMBLbAAAACAEAAA8AAAAAAAAAAAAA&#10;AAAAHgQAAGRycy9kb3ducmV2LnhtbFBLBQYAAAAABAAEAPMAAAAmBQAAAAA=&#10;" strokeweight="1.5pt"/>
                  </w:pict>
                </mc:Fallback>
              </mc:AlternateContent>
            </w:r>
            <w:r w:rsidR="00EA1A6F">
              <w:rPr>
                <w:b/>
                <w:bCs/>
                <w:szCs w:val="18"/>
              </w:rPr>
              <w:t>NOTES</w:t>
            </w:r>
          </w:p>
          <w:p w14:paraId="260754A8" w14:textId="77777777" w:rsidR="00EA1A6F" w:rsidRDefault="00EA1A6F" w:rsidP="00EA1A6F">
            <w:pPr>
              <w:pStyle w:val="TableTextBullet"/>
              <w:numPr>
                <w:ilvl w:val="0"/>
                <w:numId w:val="0"/>
              </w:numPr>
              <w:ind w:left="288" w:hanging="288"/>
            </w:pPr>
          </w:p>
          <w:p w14:paraId="02477E70" w14:textId="77777777" w:rsidR="00EA1A6F" w:rsidRDefault="00EA1A6F" w:rsidP="00EA1A6F">
            <w:pPr>
              <w:pStyle w:val="NotesText"/>
            </w:pPr>
            <w:r w:rsidRPr="00490777">
              <w:rPr>
                <w:vanish/>
              </w:rPr>
              <w:t xml:space="preserve">BR_77.09 </w:t>
            </w:r>
            <w:r>
              <w:t>When the date range requested for a section of the report does not provide any data, print on the report that no entries are found for the requested criteria.</w:t>
            </w:r>
          </w:p>
          <w:p w14:paraId="0BCA3428" w14:textId="77777777" w:rsidR="00EA1A6F" w:rsidRDefault="00EA1A6F" w:rsidP="00EA1A6F">
            <w:pPr>
              <w:pStyle w:val="NotesText"/>
            </w:pPr>
          </w:p>
          <w:p w14:paraId="673F8F1D" w14:textId="77777777" w:rsidR="00EA1A6F" w:rsidRDefault="00490777" w:rsidP="00EA1A6F">
            <w:pPr>
              <w:pStyle w:val="NotesText"/>
            </w:pPr>
            <w:r w:rsidRPr="00490777">
              <w:rPr>
                <w:vanish/>
              </w:rPr>
              <w:t xml:space="preserve">BR_77.11 </w:t>
            </w:r>
            <w:r>
              <w:t>The user may choose to schedule a report to run at a future date and time and print on a designated printer. The date range requested might include a future date that will occur before the date/time of printing. This applies only when a date range is supplied for reports. The report scheduled to run at the future date/time will start processing the data at the time the report is scheduled to print (future date/time). If the date range spans more than 30 days, the system displays the warning message: “You are requesting more than 30 days of data to be printed. Continue?”</w:t>
            </w:r>
          </w:p>
          <w:p w14:paraId="0C623F4B" w14:textId="77777777" w:rsidR="00490777" w:rsidRDefault="00490777" w:rsidP="00EA1A6F">
            <w:pPr>
              <w:pStyle w:val="NotesText"/>
            </w:pPr>
          </w:p>
          <w:p w14:paraId="3022DCCA" w14:textId="77777777" w:rsidR="00490777" w:rsidRDefault="00490777" w:rsidP="00EA1A6F">
            <w:pPr>
              <w:pStyle w:val="NotesText"/>
            </w:pPr>
            <w:r w:rsidRPr="00490777">
              <w:rPr>
                <w:vanish/>
              </w:rPr>
              <w:t xml:space="preserve">BR_20.17 </w:t>
            </w:r>
            <w:r>
              <w:t>When the user chooses to a view report, the system always displays the report. The user may elect to print a hard copy of the report on a designated printer or exit.</w:t>
            </w:r>
          </w:p>
        </w:tc>
      </w:tr>
      <w:tr w:rsidR="007A6EB0" w14:paraId="3D986362" w14:textId="77777777" w:rsidTr="007E500E">
        <w:trPr>
          <w:cantSplit/>
        </w:trPr>
        <w:tc>
          <w:tcPr>
            <w:tcW w:w="3240" w:type="dxa"/>
          </w:tcPr>
          <w:p w14:paraId="0ACB6AE7" w14:textId="49F8E15D" w:rsidR="007A6EB0" w:rsidRDefault="007A6EB0" w:rsidP="007A6EB0">
            <w:pPr>
              <w:pStyle w:val="TableTextNumbers"/>
            </w:pPr>
            <w:bookmarkStart w:id="558" w:name="_Hlk2774996"/>
            <w:r w:rsidRPr="0076371D">
              <w:lastRenderedPageBreak/>
              <w:t xml:space="preserve">Select </w:t>
            </w:r>
            <w:r w:rsidRPr="0076371D">
              <w:rPr>
                <w:b/>
              </w:rPr>
              <w:t>Print</w:t>
            </w:r>
            <w:r w:rsidR="000A0FDE" w:rsidRPr="0076371D">
              <w:rPr>
                <w:b/>
              </w:rPr>
              <w:t xml:space="preserve"> </w:t>
            </w:r>
            <w:r w:rsidRPr="0076371D">
              <w:t>to print the repor</w:t>
            </w:r>
            <w:r w:rsidR="00E9352F">
              <w:t>t</w:t>
            </w:r>
            <w:r w:rsidR="00D330A4" w:rsidRPr="0076371D">
              <w:t xml:space="preserve">, </w:t>
            </w:r>
            <w:r w:rsidR="00D330A4" w:rsidRPr="0076371D">
              <w:rPr>
                <w:b/>
              </w:rPr>
              <w:t>Export</w:t>
            </w:r>
            <w:r w:rsidR="00D330A4" w:rsidRPr="0076371D">
              <w:t xml:space="preserve"> </w:t>
            </w:r>
            <w:r w:rsidR="00E60477">
              <w:t xml:space="preserve">to export the report </w:t>
            </w:r>
            <w:r w:rsidR="00E9352F" w:rsidRPr="0076371D">
              <w:rPr>
                <w:szCs w:val="18"/>
              </w:rPr>
              <w:t xml:space="preserve">(See </w:t>
            </w:r>
            <w:r w:rsidR="00E9352F" w:rsidRPr="0076371D">
              <w:rPr>
                <w:szCs w:val="18"/>
              </w:rPr>
              <w:fldChar w:fldCharType="begin" w:fldLock="1"/>
            </w:r>
            <w:r w:rsidR="00E9352F" w:rsidRPr="0076371D">
              <w:rPr>
                <w:szCs w:val="18"/>
              </w:rPr>
              <w:instrText xml:space="preserve"> REF _Ref2774509 \h  \* MERGEFORMAT </w:instrText>
            </w:r>
            <w:r w:rsidR="00E9352F" w:rsidRPr="0076371D">
              <w:rPr>
                <w:szCs w:val="18"/>
              </w:rPr>
            </w:r>
            <w:r w:rsidR="00E9352F" w:rsidRPr="0076371D">
              <w:rPr>
                <w:szCs w:val="18"/>
              </w:rPr>
              <w:fldChar w:fldCharType="separate"/>
            </w:r>
            <w:r w:rsidR="00AB304C" w:rsidRPr="00AB304C">
              <w:rPr>
                <w:szCs w:val="18"/>
              </w:rPr>
              <w:t>Report Export</w:t>
            </w:r>
            <w:r w:rsidR="00E9352F" w:rsidRPr="0076371D">
              <w:rPr>
                <w:szCs w:val="18"/>
              </w:rPr>
              <w:fldChar w:fldCharType="end"/>
            </w:r>
            <w:r w:rsidR="00E9352F">
              <w:rPr>
                <w:szCs w:val="18"/>
              </w:rPr>
              <w:t xml:space="preserve"> section</w:t>
            </w:r>
            <w:r w:rsidR="00E9352F" w:rsidRPr="0076371D">
              <w:rPr>
                <w:szCs w:val="18"/>
              </w:rPr>
              <w:t>)</w:t>
            </w:r>
            <w:r w:rsidR="00E9352F">
              <w:t xml:space="preserve">, </w:t>
            </w:r>
            <w:r w:rsidR="00E9352F">
              <w:rPr>
                <w:szCs w:val="18"/>
              </w:rPr>
              <w:t xml:space="preserve">or </w:t>
            </w:r>
            <w:r w:rsidRPr="0076371D">
              <w:t xml:space="preserve">click </w:t>
            </w:r>
            <w:r w:rsidRPr="0076371D">
              <w:rPr>
                <w:b/>
              </w:rPr>
              <w:t>Close</w:t>
            </w:r>
            <w:r w:rsidRPr="0076371D">
              <w:t xml:space="preserve"> to exit</w:t>
            </w:r>
            <w:r w:rsidR="005C22EF">
              <w:t xml:space="preserve"> without printing</w:t>
            </w:r>
            <w:r w:rsidRPr="0076371D">
              <w:t>.</w:t>
            </w:r>
            <w:r w:rsidRPr="0076371D">
              <w:rPr>
                <w:rStyle w:val="StyleTableTextNumbersWhite1Char"/>
              </w:rPr>
              <w:t xml:space="preserve"> </w:t>
            </w:r>
            <w:bookmarkEnd w:id="558"/>
          </w:p>
        </w:tc>
        <w:tc>
          <w:tcPr>
            <w:tcW w:w="6120" w:type="dxa"/>
          </w:tcPr>
          <w:p w14:paraId="7FEAFD0C" w14:textId="70A44A1A" w:rsidR="007A6EB0" w:rsidRDefault="00E9352F" w:rsidP="007A6EB0">
            <w:pPr>
              <w:pStyle w:val="TableTextBullet"/>
            </w:pPr>
            <w:r>
              <w:t>If Print is selected, p</w:t>
            </w:r>
            <w:r w:rsidR="007A6EB0">
              <w:t xml:space="preserve">rints the report on the </w:t>
            </w:r>
            <w:r>
              <w:t>designated</w:t>
            </w:r>
            <w:r w:rsidR="007A6EB0">
              <w:t xml:space="preserve"> printer</w:t>
            </w:r>
            <w:r>
              <w:t>.</w:t>
            </w:r>
          </w:p>
          <w:p w14:paraId="774BAADC" w14:textId="0D0E73D9" w:rsidR="00E9352F" w:rsidRDefault="00E9352F" w:rsidP="007A6EB0">
            <w:pPr>
              <w:pStyle w:val="TableTextBullet"/>
            </w:pPr>
            <w:r>
              <w:t>If Export is selected, exports the report to the designated file.</w:t>
            </w:r>
          </w:p>
          <w:p w14:paraId="38D0CEC0" w14:textId="071F9704" w:rsidR="00E9352F" w:rsidRDefault="00E9352F" w:rsidP="007A6EB0">
            <w:pPr>
              <w:pStyle w:val="TableTextBullet"/>
            </w:pPr>
            <w:r>
              <w:t>If Close is selected, exits the report preview.</w:t>
            </w:r>
          </w:p>
        </w:tc>
      </w:tr>
    </w:tbl>
    <w:p w14:paraId="1A2972F5" w14:textId="77777777" w:rsidR="00F55832" w:rsidRDefault="00F55832" w:rsidP="007A6EB0">
      <w:pPr>
        <w:pStyle w:val="Heading2"/>
      </w:pPr>
    </w:p>
    <w:p w14:paraId="432BD800" w14:textId="77777777" w:rsidR="002A21AE" w:rsidRDefault="00F55832" w:rsidP="007A6EB0">
      <w:pPr>
        <w:pStyle w:val="Heading2"/>
      </w:pPr>
      <w:r>
        <w:br w:type="page"/>
      </w:r>
      <w:bookmarkStart w:id="559" w:name="_Toc4588835"/>
      <w:r w:rsidR="002A21AE">
        <w:lastRenderedPageBreak/>
        <w:t>Audit Trail</w:t>
      </w:r>
      <w:bookmarkEnd w:id="559"/>
      <w:r w:rsidR="002A21AE">
        <w:fldChar w:fldCharType="begin"/>
      </w:r>
      <w:r w:rsidR="002A21AE">
        <w:instrText xml:space="preserve"> XE </w:instrText>
      </w:r>
      <w:r w:rsidR="00FA7E65">
        <w:instrText>“</w:instrText>
      </w:r>
      <w:r w:rsidR="002A21AE">
        <w:instrText>Audit Trail</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UC_77</w:t>
      </w:r>
    </w:p>
    <w:bookmarkEnd w:id="557"/>
    <w:p w14:paraId="040A5E48" w14:textId="77777777" w:rsidR="002A21AE" w:rsidRDefault="002A21AE" w:rsidP="00FA7E65">
      <w:pPr>
        <w:pStyle w:val="BodyText"/>
      </w:pPr>
      <w:r>
        <w:t xml:space="preserve">The user views </w:t>
      </w:r>
      <w:r w:rsidR="00EB1E5A">
        <w:t>and/or</w:t>
      </w:r>
      <w:r>
        <w:t xml:space="preserve"> prints an Audit Trail Report. </w:t>
      </w:r>
    </w:p>
    <w:p w14:paraId="1CCFA150" w14:textId="77777777" w:rsidR="002A21AE" w:rsidRDefault="002A21AE">
      <w:pPr>
        <w:pStyle w:val="Heading4"/>
      </w:pPr>
      <w:r>
        <w:t>Assumptions</w:t>
      </w:r>
    </w:p>
    <w:p w14:paraId="646C3388" w14:textId="77777777" w:rsidR="002A21AE" w:rsidRDefault="002A21AE">
      <w:pPr>
        <w:pStyle w:val="ListBullet"/>
        <w:rPr>
          <w:b/>
        </w:rPr>
      </w:pPr>
      <w:r>
        <w:t>Data are available for inclusion in the report.</w:t>
      </w:r>
    </w:p>
    <w:p w14:paraId="2601CE76" w14:textId="77777777" w:rsidR="002A21AE" w:rsidRDefault="002A21AE">
      <w:pPr>
        <w:pStyle w:val="ListBullet"/>
      </w:pPr>
      <w:r>
        <w:t>The user must be logged into the division in which the report is to be generated.</w:t>
      </w:r>
    </w:p>
    <w:p w14:paraId="2E5A477B" w14:textId="77777777" w:rsidR="002A21AE" w:rsidRDefault="002A21AE">
      <w:pPr>
        <w:pStyle w:val="Heading4"/>
      </w:pPr>
      <w:r>
        <w:t xml:space="preserve">Outcome </w:t>
      </w:r>
    </w:p>
    <w:p w14:paraId="5874FF84" w14:textId="77777777" w:rsidR="002A21AE" w:rsidRDefault="00AE521B">
      <w:pPr>
        <w:pStyle w:val="ListBullet"/>
      </w:pPr>
      <w:r>
        <w:t>The user views and/or prints the report</w:t>
      </w:r>
      <w:r w:rsidR="002A21AE">
        <w:t xml:space="preserve">. </w:t>
      </w:r>
    </w:p>
    <w:p w14:paraId="1B7B4FE2" w14:textId="77777777" w:rsidR="002A21AE" w:rsidRDefault="002A21AE">
      <w:pPr>
        <w:pStyle w:val="Heading4"/>
        <w:rPr>
          <w:b w:val="0"/>
        </w:rPr>
      </w:pPr>
      <w:r>
        <w:t>Limitations and Restrictions</w:t>
      </w:r>
      <w:r>
        <w:rPr>
          <w:b w:val="0"/>
        </w:rPr>
        <w:t xml:space="preserve"> </w:t>
      </w:r>
    </w:p>
    <w:p w14:paraId="64B45E47" w14:textId="77777777" w:rsidR="002A21AE" w:rsidRDefault="00170EEF" w:rsidP="005753B8">
      <w:pPr>
        <w:pStyle w:val="ListBullet"/>
      </w:pPr>
      <w:r>
        <w:t>VBECS does not accommodate online review (verification, signature) of reports.</w:t>
      </w:r>
    </w:p>
    <w:p w14:paraId="7691A713" w14:textId="77777777" w:rsidR="002A21AE" w:rsidRDefault="002A21AE">
      <w:pPr>
        <w:pStyle w:val="Heading4"/>
      </w:pPr>
      <w:r>
        <w:t>Additional Information</w:t>
      </w:r>
    </w:p>
    <w:p w14:paraId="4CC38993" w14:textId="17C0F801" w:rsidR="002A21AE" w:rsidRDefault="002A21AE">
      <w:pPr>
        <w:pStyle w:val="ListBullet"/>
      </w:pPr>
      <w:r>
        <w:t xml:space="preserve">Audit trail entries reflect the actual date and time the change was made. </w:t>
      </w:r>
    </w:p>
    <w:p w14:paraId="60F6F775" w14:textId="2F7456D5" w:rsidR="001C651F" w:rsidRDefault="001C651F" w:rsidP="001C651F">
      <w:pPr>
        <w:pStyle w:val="ListBullet"/>
      </w:pPr>
      <w:r w:rsidRPr="001C651F">
        <w:t>VBECS displays only the ISBT 128 five-digit product code in the sub-header sections of the report. The full eight-digit product code is available in the Unit History Report.</w:t>
      </w:r>
      <w:r w:rsidR="00244AD3">
        <w:t xml:space="preserve"> </w:t>
      </w:r>
      <w:r w:rsidR="00244AD3" w:rsidRPr="00244AD3">
        <w:rPr>
          <w:vanish/>
        </w:rPr>
        <w:t>Defect 208756</w:t>
      </w:r>
    </w:p>
    <w:p w14:paraId="0481A80B" w14:textId="77777777" w:rsidR="002A21AE" w:rsidRDefault="002A21AE">
      <w:pPr>
        <w:pStyle w:val="Heading4"/>
        <w:rPr>
          <w:b w:val="0"/>
        </w:rPr>
      </w:pPr>
      <w:r>
        <w:t>User Roles with Access to This Option</w:t>
      </w:r>
      <w:r>
        <w:rPr>
          <w:b w:val="0"/>
        </w:rPr>
        <w:t xml:space="preserve"> </w:t>
      </w:r>
    </w:p>
    <w:p w14:paraId="7D186717" w14:textId="77777777" w:rsidR="002A21AE" w:rsidRDefault="00080A13">
      <w:pPr>
        <w:pStyle w:val="Roles"/>
        <w:rPr>
          <w:snapToGrid w:val="0"/>
        </w:rPr>
      </w:pPr>
      <w:r>
        <w:t>All users</w:t>
      </w:r>
    </w:p>
    <w:p w14:paraId="2C37C6EE" w14:textId="77777777" w:rsidR="002A21AE" w:rsidRDefault="002A21AE">
      <w:pPr>
        <w:pStyle w:val="Heading4"/>
      </w:pPr>
      <w:r>
        <w:t>Audit Trail</w:t>
      </w:r>
    </w:p>
    <w:p w14:paraId="72D76FC0" w14:textId="77777777" w:rsidR="002A21AE" w:rsidRDefault="00EB1E5A" w:rsidP="00FA7E65">
      <w:pPr>
        <w:pStyle w:val="BodyText"/>
      </w:pPr>
      <w:r>
        <w:t>The user views and/or prints an Audit Trail Report, which</w:t>
      </w:r>
      <w:r w:rsidR="002A21AE">
        <w:t xml:space="preserve"> lists changes to specific patient, unit, and division configuration settings. It is a regulatory requirement to maintain documentation proving that these changes were reviewed. </w:t>
      </w:r>
      <w:r w:rsidR="00B25CE5" w:rsidRPr="00BE7BF6">
        <w:t>Modi</w:t>
      </w:r>
      <w:r w:rsidR="00B25CE5">
        <w:t>f</w:t>
      </w:r>
      <w:r w:rsidR="00B25CE5" w:rsidRPr="00BE7BF6">
        <w:t>y local record retention policy to instruct users to print, review, document, and save these reports.</w:t>
      </w:r>
      <w:r w:rsidR="002A21AE">
        <w:t xml:space="preserve"> The Audit Trail Report contains only data changes generated in the user’s login division.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4702F836" w14:textId="77777777">
        <w:trPr>
          <w:cantSplit/>
          <w:tblHeader/>
        </w:trPr>
        <w:tc>
          <w:tcPr>
            <w:tcW w:w="3240" w:type="dxa"/>
            <w:shd w:val="pct30" w:color="auto" w:fill="FFFFFF"/>
            <w:vAlign w:val="bottom"/>
          </w:tcPr>
          <w:p w14:paraId="4DE70A0B" w14:textId="77777777" w:rsidR="002A21AE" w:rsidRDefault="002A21AE">
            <w:pPr>
              <w:pStyle w:val="TableText"/>
              <w:rPr>
                <w:b/>
              </w:rPr>
            </w:pPr>
            <w:r>
              <w:rPr>
                <w:b/>
              </w:rPr>
              <w:t>User Action</w:t>
            </w:r>
          </w:p>
        </w:tc>
        <w:tc>
          <w:tcPr>
            <w:tcW w:w="6120" w:type="dxa"/>
            <w:shd w:val="pct30" w:color="auto" w:fill="FFFFFF"/>
            <w:vAlign w:val="bottom"/>
          </w:tcPr>
          <w:p w14:paraId="3379140D" w14:textId="77777777" w:rsidR="002A21AE" w:rsidRDefault="002A21AE">
            <w:pPr>
              <w:pStyle w:val="TableText"/>
              <w:rPr>
                <w:b/>
              </w:rPr>
            </w:pPr>
            <w:r>
              <w:rPr>
                <w:b/>
              </w:rPr>
              <w:t>VBECS</w:t>
            </w:r>
          </w:p>
        </w:tc>
      </w:tr>
      <w:tr w:rsidR="002A21AE" w14:paraId="2C667136" w14:textId="77777777">
        <w:tc>
          <w:tcPr>
            <w:tcW w:w="3240" w:type="dxa"/>
          </w:tcPr>
          <w:p w14:paraId="57F90004" w14:textId="77777777" w:rsidR="002A21AE" w:rsidRDefault="002A21AE" w:rsidP="00041E00">
            <w:pPr>
              <w:pStyle w:val="TableTextNumbers"/>
              <w:numPr>
                <w:ilvl w:val="0"/>
                <w:numId w:val="81"/>
              </w:numPr>
            </w:pPr>
            <w:r>
              <w:t xml:space="preserve">Select </w:t>
            </w:r>
            <w:r w:rsidRPr="00946DA2">
              <w:rPr>
                <w:b/>
              </w:rPr>
              <w:t>Reports</w:t>
            </w:r>
            <w:r>
              <w:t xml:space="preserve"> from the main menu.</w:t>
            </w:r>
          </w:p>
          <w:p w14:paraId="06826F7A" w14:textId="77777777" w:rsidR="002A21AE" w:rsidRDefault="002A21AE">
            <w:pPr>
              <w:pStyle w:val="TableTextNumbersContinued"/>
            </w:pPr>
          </w:p>
          <w:p w14:paraId="54FB3C83" w14:textId="77777777" w:rsidR="002A21AE" w:rsidRDefault="002A21AE">
            <w:pPr>
              <w:pStyle w:val="TableTextNumbersContinued"/>
            </w:pPr>
            <w:r>
              <w:t xml:space="preserve">Select </w:t>
            </w:r>
            <w:r>
              <w:rPr>
                <w:b/>
              </w:rPr>
              <w:t>Audit Trail</w:t>
            </w:r>
            <w:r>
              <w:t>.</w:t>
            </w:r>
          </w:p>
        </w:tc>
        <w:tc>
          <w:tcPr>
            <w:tcW w:w="6120" w:type="dxa"/>
          </w:tcPr>
          <w:p w14:paraId="454D5956" w14:textId="77777777" w:rsidR="002A21AE" w:rsidRDefault="002A21AE">
            <w:pPr>
              <w:pStyle w:val="TableTextBullet"/>
            </w:pPr>
            <w:r>
              <w:t>Lists report names.</w:t>
            </w:r>
          </w:p>
          <w:p w14:paraId="436919B9" w14:textId="77777777" w:rsidR="002A21AE" w:rsidRDefault="002A21AE">
            <w:pPr>
              <w:pStyle w:val="TableTextBullet"/>
            </w:pPr>
            <w:r>
              <w:t xml:space="preserve">Displays report compilation criteria. </w:t>
            </w:r>
          </w:p>
          <w:p w14:paraId="320CB41C" w14:textId="77777777" w:rsidR="002A21AE" w:rsidRDefault="002A21AE">
            <w:pPr>
              <w:pStyle w:val="TableTextBullet"/>
            </w:pPr>
            <w:r>
              <w:t>Displays a date range for selection.</w:t>
            </w:r>
          </w:p>
        </w:tc>
      </w:tr>
      <w:tr w:rsidR="002A21AE" w14:paraId="65395DFB" w14:textId="77777777">
        <w:tc>
          <w:tcPr>
            <w:tcW w:w="3240" w:type="dxa"/>
          </w:tcPr>
          <w:p w14:paraId="7111F2B1" w14:textId="77777777" w:rsidR="002A21AE" w:rsidRDefault="002A21AE">
            <w:pPr>
              <w:pStyle w:val="TableTextNumbers"/>
            </w:pPr>
            <w:r>
              <w:t>Enter or select start and end dates.</w:t>
            </w:r>
          </w:p>
        </w:tc>
        <w:tc>
          <w:tcPr>
            <w:tcW w:w="6120" w:type="dxa"/>
          </w:tcPr>
          <w:p w14:paraId="5898547B" w14:textId="77777777" w:rsidR="002A21AE" w:rsidRDefault="002A21AE">
            <w:pPr>
              <w:pStyle w:val="TableText"/>
            </w:pPr>
          </w:p>
          <w:p w14:paraId="66EDC6FA" w14:textId="77777777" w:rsidR="002A21AE" w:rsidRDefault="00057948">
            <w:pPr>
              <w:pStyle w:val="TableText"/>
              <w:rPr>
                <w:b/>
                <w:bCs/>
                <w:szCs w:val="18"/>
              </w:rPr>
            </w:pPr>
            <w:r>
              <w:rPr>
                <w:b/>
                <w:bCs/>
                <w:noProof/>
              </w:rPr>
              <mc:AlternateContent>
                <mc:Choice Requires="wps">
                  <w:drawing>
                    <wp:anchor distT="0" distB="0" distL="114300" distR="114300" simplePos="0" relativeHeight="251655680" behindDoc="0" locked="0" layoutInCell="1" allowOverlap="1" wp14:anchorId="426623A5" wp14:editId="3DA81BA1">
                      <wp:simplePos x="0" y="0"/>
                      <wp:positionH relativeFrom="column">
                        <wp:posOffset>457200</wp:posOffset>
                      </wp:positionH>
                      <wp:positionV relativeFrom="paragraph">
                        <wp:posOffset>65405</wp:posOffset>
                      </wp:positionV>
                      <wp:extent cx="3200400" cy="0"/>
                      <wp:effectExtent l="9525" t="17780" r="9525" b="10795"/>
                      <wp:wrapNone/>
                      <wp:docPr id="293" name="Line 865" descr="P9941C6T10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6DFD4" id="Line 865" o:spid="_x0000_s1026" alt="&quot;&quot;"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XQ2iU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4AF74BEC" w14:textId="77777777" w:rsidR="002A21AE" w:rsidRDefault="002A21AE">
            <w:pPr>
              <w:pStyle w:val="NotesText"/>
            </w:pPr>
          </w:p>
          <w:p w14:paraId="0C28742E" w14:textId="77777777" w:rsidR="002A21AE" w:rsidRDefault="002A21AE">
            <w:pPr>
              <w:pStyle w:val="NotesText"/>
            </w:pPr>
            <w:r>
              <w:rPr>
                <w:rFonts w:cs="Arial"/>
                <w:vanish/>
              </w:rPr>
              <w:t xml:space="preserve">BR_77.06 </w:t>
            </w:r>
            <w:r>
              <w:t xml:space="preserve">The parameter table and Transfusion Requirements </w:t>
            </w:r>
            <w:r w:rsidR="00981F3F">
              <w:t>R</w:t>
            </w:r>
            <w:r>
              <w:t>eport sections include changes from no previous entry to an entry and from an entry to no entry.</w:t>
            </w:r>
          </w:p>
          <w:p w14:paraId="06FDBB37" w14:textId="77777777" w:rsidR="002A21AE" w:rsidRDefault="002A21AE">
            <w:pPr>
              <w:pStyle w:val="NotesText"/>
            </w:pPr>
          </w:p>
          <w:p w14:paraId="4F03F0CA" w14:textId="77777777" w:rsidR="002A21AE" w:rsidRDefault="002A21AE">
            <w:pPr>
              <w:pStyle w:val="NotesText"/>
            </w:pPr>
            <w:r>
              <w:rPr>
                <w:rFonts w:cs="Arial"/>
                <w:vanish/>
              </w:rPr>
              <w:t xml:space="preserve">BR_77.08 </w:t>
            </w:r>
            <w:r>
              <w:t>Each entry includes an area for supervisor acknowledgement (signature or initials and date of review) and comment.</w:t>
            </w:r>
          </w:p>
        </w:tc>
      </w:tr>
      <w:tr w:rsidR="002A21AE" w14:paraId="3207A558" w14:textId="77777777" w:rsidTr="00F3651E">
        <w:trPr>
          <w:cantSplit/>
        </w:trPr>
        <w:tc>
          <w:tcPr>
            <w:tcW w:w="3240" w:type="dxa"/>
          </w:tcPr>
          <w:p w14:paraId="64D755E6" w14:textId="77777777" w:rsidR="002A21AE" w:rsidRDefault="002A21AE">
            <w:pPr>
              <w:pStyle w:val="TableTextNumbers"/>
            </w:pPr>
            <w:r>
              <w:lastRenderedPageBreak/>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34075217" w14:textId="77777777" w:rsidR="002A21AE" w:rsidRDefault="002A21AE">
            <w:pPr>
              <w:pStyle w:val="TableTextNumbersContinued"/>
            </w:pPr>
          </w:p>
          <w:p w14:paraId="17E507A9"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4863A6ED" w14:textId="77777777" w:rsidR="005B6A94" w:rsidRPr="00AA2B2E" w:rsidRDefault="00F64B5C" w:rsidP="00AA2B2E">
            <w:pPr>
              <w:pStyle w:val="TableTextBullet"/>
            </w:pPr>
            <w:r>
              <w:t>Compiles and displays the report.</w:t>
            </w:r>
          </w:p>
        </w:tc>
      </w:tr>
      <w:tr w:rsidR="002A21AE" w14:paraId="3D7B352A" w14:textId="77777777">
        <w:tc>
          <w:tcPr>
            <w:tcW w:w="3240" w:type="dxa"/>
          </w:tcPr>
          <w:p w14:paraId="6A5EF33D" w14:textId="2DD4E4E0" w:rsidR="002A21AE" w:rsidRDefault="005C22EF">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fldLock="1"/>
            </w:r>
            <w:r w:rsidRPr="0076371D">
              <w:rPr>
                <w:szCs w:val="18"/>
              </w:rPr>
              <w:instrText xml:space="preserve"> REF _Ref2774509 \h  \* MERGEFORMAT </w:instrText>
            </w:r>
            <w:r w:rsidRPr="0076371D">
              <w:rPr>
                <w:szCs w:val="18"/>
              </w:rPr>
            </w:r>
            <w:r w:rsidRPr="0076371D">
              <w:rPr>
                <w:szCs w:val="18"/>
              </w:rPr>
              <w:fldChar w:fldCharType="separate"/>
            </w:r>
            <w:r w:rsidR="00AB304C" w:rsidRPr="00AB304C">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2A21AE" w:rsidRPr="00B93B42">
              <w:rPr>
                <w:rStyle w:val="StyleTableTextNumbersWhite1Char"/>
              </w:rPr>
              <w:t xml:space="preserve"> </w:t>
            </w:r>
            <w:r w:rsidR="002A21AE">
              <w:rPr>
                <w:vanish/>
                <w:color w:val="FFFFFF"/>
                <w:szCs w:val="18"/>
              </w:rPr>
              <w:fldChar w:fldCharType="begin"/>
            </w:r>
            <w:r w:rsidR="002A21AE">
              <w:rPr>
                <w:vanish/>
                <w:color w:val="FFFFFF"/>
                <w:szCs w:val="18"/>
              </w:rPr>
              <w:instrText xml:space="preserve"> LISTNUM \l 1 \s 0 </w:instrText>
            </w:r>
            <w:r w:rsidR="002A21AE">
              <w:rPr>
                <w:vanish/>
                <w:color w:val="FFFFFF"/>
                <w:szCs w:val="18"/>
              </w:rPr>
              <w:fldChar w:fldCharType="end"/>
            </w:r>
          </w:p>
        </w:tc>
        <w:tc>
          <w:tcPr>
            <w:tcW w:w="6120" w:type="dxa"/>
          </w:tcPr>
          <w:p w14:paraId="42C2F8AF" w14:textId="77777777" w:rsidR="005C22EF" w:rsidRDefault="005C22EF" w:rsidP="005C22EF">
            <w:pPr>
              <w:pStyle w:val="TableTextBullet"/>
            </w:pPr>
            <w:r>
              <w:t>If Print is selected, prints the report on the designated printer.</w:t>
            </w:r>
          </w:p>
          <w:p w14:paraId="4CCB20FF" w14:textId="77777777" w:rsidR="005C22EF" w:rsidRDefault="005C22EF" w:rsidP="005C22EF">
            <w:pPr>
              <w:pStyle w:val="TableTextBullet"/>
            </w:pPr>
            <w:r>
              <w:t>If Export is selected, exports the report to the designated file.</w:t>
            </w:r>
          </w:p>
          <w:p w14:paraId="05FE587D" w14:textId="77777777" w:rsidR="005C22EF" w:rsidRDefault="005C22EF" w:rsidP="005C22EF">
            <w:pPr>
              <w:pStyle w:val="TableTextBullet"/>
            </w:pPr>
            <w:r>
              <w:t>If Close is selected, exits the report preview.</w:t>
            </w:r>
          </w:p>
          <w:p w14:paraId="233B8572" w14:textId="55FE009A" w:rsidR="002A21AE" w:rsidRDefault="00245B2C" w:rsidP="005C22EF">
            <w:pPr>
              <w:pStyle w:val="TableTextBullet"/>
            </w:pPr>
            <w:r>
              <w:t xml:space="preserve">See </w:t>
            </w:r>
            <w:r w:rsidR="00543DAF">
              <w:fldChar w:fldCharType="begin" w:fldLock="1"/>
            </w:r>
            <w:r w:rsidR="00543DAF">
              <w:instrText xml:space="preserve"> REF _Ref170004931 \h </w:instrText>
            </w:r>
            <w:r w:rsidR="00543DAF">
              <w:fldChar w:fldCharType="separate"/>
            </w:r>
            <w:r w:rsidR="00AB304C">
              <w:t xml:space="preserve">Appendix </w:t>
            </w:r>
            <w:r w:rsidR="00AB304C">
              <w:rPr>
                <w:noProof/>
              </w:rPr>
              <w:t>B</w:t>
            </w:r>
            <w:r w:rsidR="00543DAF">
              <w:fldChar w:fldCharType="end"/>
            </w:r>
            <w:r>
              <w:t xml:space="preserve">: </w:t>
            </w:r>
            <w:r w:rsidR="00AE2DC1">
              <w:fldChar w:fldCharType="begin" w:fldLock="1"/>
            </w:r>
            <w:r w:rsidR="00AE2DC1">
              <w:instrText xml:space="preserve"> REF _Ref126504486 \h </w:instrText>
            </w:r>
            <w:r w:rsidR="00AE2DC1">
              <w:fldChar w:fldCharType="separate"/>
            </w:r>
            <w:r w:rsidR="00AB304C">
              <w:t xml:space="preserve">Table </w:t>
            </w:r>
            <w:r w:rsidR="00AB304C">
              <w:rPr>
                <w:noProof/>
              </w:rPr>
              <w:t>20</w:t>
            </w:r>
            <w:r w:rsidR="00AB304C">
              <w:t xml:space="preserve">: </w:t>
            </w:r>
            <w:r w:rsidR="00AB304C">
              <w:rPr>
                <w:vanish/>
              </w:rPr>
              <w:t xml:space="preserve">TT_77.01 </w:t>
            </w:r>
            <w:r w:rsidR="00AB304C">
              <w:t>Details in Audit Trail Report</w:t>
            </w:r>
            <w:r w:rsidR="00AE2DC1">
              <w:fldChar w:fldCharType="end"/>
            </w:r>
            <w:r w:rsidR="002A21AE">
              <w:t>.</w:t>
            </w:r>
          </w:p>
        </w:tc>
      </w:tr>
    </w:tbl>
    <w:p w14:paraId="3AB3626D" w14:textId="77777777" w:rsidR="002A21AE" w:rsidRDefault="00F55832">
      <w:pPr>
        <w:pStyle w:val="Heading2"/>
      </w:pPr>
      <w:r>
        <w:br w:type="page"/>
      </w:r>
      <w:bookmarkStart w:id="560" w:name="_Toc4588836"/>
      <w:r w:rsidR="002A21AE">
        <w:lastRenderedPageBreak/>
        <w:t>Blood Availability</w:t>
      </w:r>
      <w:bookmarkEnd w:id="560"/>
      <w:r w:rsidR="002A21AE">
        <w:fldChar w:fldCharType="begin"/>
      </w:r>
      <w:r w:rsidR="002A21AE">
        <w:instrText xml:space="preserve"> XE </w:instrText>
      </w:r>
      <w:r w:rsidR="00FA7E65">
        <w:instrText>“</w:instrText>
      </w:r>
      <w:r w:rsidR="002A21AE">
        <w:instrText>Blood Availability</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UC_49</w:t>
      </w:r>
    </w:p>
    <w:p w14:paraId="0ED3C518" w14:textId="77777777" w:rsidR="002A21AE" w:rsidRDefault="002A21AE" w:rsidP="00FA7E65">
      <w:pPr>
        <w:pStyle w:val="BodyText"/>
      </w:pPr>
      <w:r>
        <w:t xml:space="preserve">The user </w:t>
      </w:r>
      <w:r w:rsidR="00FF1708">
        <w:t xml:space="preserve">views </w:t>
      </w:r>
      <w:r w:rsidR="00EB1E5A">
        <w:t>and/or</w:t>
      </w:r>
      <w:r w:rsidR="00FF1708">
        <w:t xml:space="preserve"> prints the Blood Availability Report</w:t>
      </w:r>
      <w:r>
        <w:t>.</w:t>
      </w:r>
    </w:p>
    <w:p w14:paraId="6D3CE6DC" w14:textId="77777777" w:rsidR="002A21AE" w:rsidRDefault="002A21AE">
      <w:pPr>
        <w:pStyle w:val="Heading4"/>
      </w:pPr>
      <w:r>
        <w:t>Assumptions</w:t>
      </w:r>
      <w:r>
        <w:rPr>
          <w:b w:val="0"/>
        </w:rPr>
        <w:t xml:space="preserve"> </w:t>
      </w:r>
    </w:p>
    <w:p w14:paraId="54716827" w14:textId="77777777" w:rsidR="002A21AE" w:rsidRDefault="002A21AE">
      <w:pPr>
        <w:pStyle w:val="ListBullet"/>
      </w:pPr>
      <w:r>
        <w:t>A blood unit is logged into a division in the database.</w:t>
      </w:r>
    </w:p>
    <w:p w14:paraId="1DB57F1B" w14:textId="77777777" w:rsidR="002A21AE" w:rsidRDefault="002A21AE">
      <w:pPr>
        <w:pStyle w:val="Heading4"/>
      </w:pPr>
      <w:r>
        <w:t xml:space="preserve">Outcome </w:t>
      </w:r>
    </w:p>
    <w:p w14:paraId="56D9E79A" w14:textId="77777777" w:rsidR="002A21AE" w:rsidRDefault="002A21AE">
      <w:pPr>
        <w:pStyle w:val="ListBullet"/>
      </w:pPr>
      <w:r>
        <w:t>VBECS users may view available blood unit data in several formats.</w:t>
      </w:r>
    </w:p>
    <w:p w14:paraId="0096F303" w14:textId="77777777" w:rsidR="002A21AE" w:rsidRDefault="002A21AE">
      <w:pPr>
        <w:pStyle w:val="Heading4"/>
      </w:pPr>
      <w:r>
        <w:t>Limitations and Restrictions</w:t>
      </w:r>
      <w:r>
        <w:rPr>
          <w:b w:val="0"/>
        </w:rPr>
        <w:t xml:space="preserve"> </w:t>
      </w:r>
    </w:p>
    <w:p w14:paraId="39F57B6E" w14:textId="77777777" w:rsidR="008F2BFA" w:rsidRDefault="00C3558E">
      <w:pPr>
        <w:pStyle w:val="ListBullet"/>
      </w:pPr>
      <w:r>
        <w:t>None.</w:t>
      </w:r>
    </w:p>
    <w:p w14:paraId="198CED6D" w14:textId="77777777" w:rsidR="002A21AE" w:rsidRDefault="002A21AE">
      <w:pPr>
        <w:pStyle w:val="Heading4"/>
      </w:pPr>
      <w:r>
        <w:t xml:space="preserve">Additional Information </w:t>
      </w:r>
    </w:p>
    <w:p w14:paraId="4E7D31F5" w14:textId="77777777" w:rsidR="002A21AE" w:rsidRDefault="002A21AE">
      <w:pPr>
        <w:pStyle w:val="ListBullet"/>
      </w:pPr>
      <w:r>
        <w:t>VBECS displays the defined reports and allows the user to view an individual Patient Blood Availability Report or to create a custom report.</w:t>
      </w:r>
    </w:p>
    <w:p w14:paraId="33F26928" w14:textId="1C722CCD" w:rsidR="00F86A79" w:rsidRDefault="00F86A79" w:rsidP="00F86A79">
      <w:pPr>
        <w:pStyle w:val="ListBullet"/>
      </w:pPr>
      <w:r>
        <w:t>The report is available as a single-division or multidivisional (all divisions) report.</w:t>
      </w:r>
    </w:p>
    <w:p w14:paraId="75B9059C" w14:textId="77777777" w:rsidR="002A21AE" w:rsidRPr="00C32FB5" w:rsidRDefault="002A21AE" w:rsidP="00A922BB">
      <w:pPr>
        <w:pStyle w:val="Heading4"/>
        <w:rPr>
          <w:b w:val="0"/>
        </w:rPr>
      </w:pPr>
      <w:r>
        <w:t>User Roles with Access to This Option</w:t>
      </w:r>
      <w:r w:rsidRPr="00C32FB5">
        <w:rPr>
          <w:b w:val="0"/>
        </w:rPr>
        <w:t xml:space="preserve"> </w:t>
      </w:r>
    </w:p>
    <w:p w14:paraId="561928F5" w14:textId="77777777" w:rsidR="002A21AE" w:rsidRDefault="00080A13">
      <w:pPr>
        <w:pStyle w:val="Roles"/>
      </w:pPr>
      <w:r>
        <w:t>All users</w:t>
      </w:r>
    </w:p>
    <w:p w14:paraId="1E451F70" w14:textId="77777777" w:rsidR="002A21AE" w:rsidRDefault="002A21AE">
      <w:pPr>
        <w:pStyle w:val="Heading4"/>
      </w:pPr>
      <w:r>
        <w:t>Blood Availability</w:t>
      </w:r>
    </w:p>
    <w:p w14:paraId="5CD3DCC2" w14:textId="77777777" w:rsidR="002A21AE" w:rsidRDefault="002A21AE" w:rsidP="00FA7E65">
      <w:pPr>
        <w:pStyle w:val="BodyText"/>
      </w:pPr>
      <w:r>
        <w:t xml:space="preserve">The user may check the blood availability for a specific patient and view </w:t>
      </w:r>
      <w:r w:rsidR="00EB1E5A">
        <w:t>and/or</w:t>
      </w:r>
      <w:r>
        <w:t xml:space="preserve"> print a variety of Blood Inventory Reports from the user’s and other divisions, as available. Blood </w:t>
      </w:r>
      <w:r w:rsidR="001E776B">
        <w:t>A</w:t>
      </w:r>
      <w:r>
        <w:t xml:space="preserve">vailability </w:t>
      </w:r>
      <w:r w:rsidR="001E776B">
        <w:t>R</w:t>
      </w:r>
      <w:r>
        <w:t>eports include the product’s unit status, indicators, patient information for units in the “assigned” and “issued” statuses, restrictions, and special testing or handling of a unit.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2068784" w14:textId="77777777">
        <w:trPr>
          <w:cantSplit/>
          <w:tblHeader/>
        </w:trPr>
        <w:tc>
          <w:tcPr>
            <w:tcW w:w="3240" w:type="dxa"/>
            <w:shd w:val="pct30" w:color="auto" w:fill="FFFFFF"/>
            <w:vAlign w:val="bottom"/>
          </w:tcPr>
          <w:p w14:paraId="46C8ECD9" w14:textId="77777777" w:rsidR="002A21AE" w:rsidRDefault="002A21AE">
            <w:pPr>
              <w:pStyle w:val="TableText"/>
              <w:rPr>
                <w:b/>
              </w:rPr>
            </w:pPr>
            <w:r>
              <w:rPr>
                <w:b/>
              </w:rPr>
              <w:t>User Action</w:t>
            </w:r>
          </w:p>
        </w:tc>
        <w:tc>
          <w:tcPr>
            <w:tcW w:w="6120" w:type="dxa"/>
            <w:shd w:val="pct30" w:color="auto" w:fill="FFFFFF"/>
            <w:vAlign w:val="bottom"/>
          </w:tcPr>
          <w:p w14:paraId="253309AA" w14:textId="77777777" w:rsidR="002A21AE" w:rsidRDefault="002A21AE">
            <w:pPr>
              <w:pStyle w:val="TableText"/>
              <w:rPr>
                <w:b/>
              </w:rPr>
            </w:pPr>
            <w:r>
              <w:rPr>
                <w:b/>
              </w:rPr>
              <w:t>VBECS</w:t>
            </w:r>
          </w:p>
        </w:tc>
      </w:tr>
      <w:tr w:rsidR="002A21AE" w14:paraId="76C6472E" w14:textId="77777777">
        <w:tc>
          <w:tcPr>
            <w:tcW w:w="3240" w:type="dxa"/>
          </w:tcPr>
          <w:p w14:paraId="3F8994BE" w14:textId="77777777" w:rsidR="002A21AE" w:rsidRDefault="002A21AE">
            <w:pPr>
              <w:pStyle w:val="TableTextNumbers"/>
            </w:pPr>
            <w:r>
              <w:t xml:space="preserve">For a non-individual report, select </w:t>
            </w:r>
            <w:r>
              <w:rPr>
                <w:b/>
              </w:rPr>
              <w:t>Reports</w:t>
            </w:r>
            <w:r>
              <w:t xml:space="preserve"> from the main menu.</w:t>
            </w:r>
          </w:p>
          <w:p w14:paraId="1C1C02EF" w14:textId="77777777" w:rsidR="002A21AE" w:rsidRDefault="002A21AE">
            <w:pPr>
              <w:pStyle w:val="TableTextNumbersContinued"/>
            </w:pPr>
          </w:p>
          <w:p w14:paraId="79A9505B" w14:textId="77777777" w:rsidR="002A21AE" w:rsidRDefault="002A21AE">
            <w:pPr>
              <w:pStyle w:val="TableTextNumbersContinued"/>
            </w:pPr>
            <w:r>
              <w:t xml:space="preserve">Select </w:t>
            </w:r>
            <w:r>
              <w:rPr>
                <w:b/>
              </w:rPr>
              <w:t>Blood Availability</w:t>
            </w:r>
            <w:r>
              <w:t>, or</w:t>
            </w:r>
          </w:p>
          <w:p w14:paraId="6F7CA279" w14:textId="77777777" w:rsidR="002A21AE" w:rsidRDefault="002A21AE">
            <w:pPr>
              <w:pStyle w:val="TableTextNumbersContinued"/>
            </w:pPr>
          </w:p>
          <w:p w14:paraId="1B72000F" w14:textId="77777777" w:rsidR="002A21AE" w:rsidRDefault="002A21AE">
            <w:pPr>
              <w:pStyle w:val="TableTextNumbersContinued"/>
            </w:pPr>
            <w:r>
              <w:t xml:space="preserve">For a patient-specific report, select </w:t>
            </w:r>
            <w:r>
              <w:rPr>
                <w:b/>
              </w:rPr>
              <w:t>Patients</w:t>
            </w:r>
            <w:r>
              <w:t xml:space="preserve"> from the main menu.</w:t>
            </w:r>
          </w:p>
          <w:p w14:paraId="7F78FBEA" w14:textId="77777777" w:rsidR="002A21AE" w:rsidRDefault="002A21AE">
            <w:pPr>
              <w:pStyle w:val="TableTextNumbersContinued"/>
            </w:pPr>
          </w:p>
          <w:p w14:paraId="5F653040" w14:textId="77777777" w:rsidR="002A21AE" w:rsidRDefault="002A21AE">
            <w:pPr>
              <w:pStyle w:val="TableTextNumbersContinued"/>
            </w:pPr>
            <w:r>
              <w:t xml:space="preserve">Select </w:t>
            </w:r>
            <w:r>
              <w:rPr>
                <w:b/>
              </w:rPr>
              <w:t>Blood Availability</w:t>
            </w:r>
            <w:r>
              <w:t>.</w:t>
            </w:r>
          </w:p>
        </w:tc>
        <w:tc>
          <w:tcPr>
            <w:tcW w:w="6120" w:type="dxa"/>
          </w:tcPr>
          <w:p w14:paraId="47F8E4FC" w14:textId="77777777" w:rsidR="002A21AE" w:rsidRDefault="002A21AE">
            <w:pPr>
              <w:pStyle w:val="TableTextBullet"/>
            </w:pPr>
            <w:r>
              <w:t>Displays options for generating, viewing, and printing blood reports.</w:t>
            </w:r>
          </w:p>
          <w:p w14:paraId="32757A4E" w14:textId="77777777" w:rsidR="002A21AE" w:rsidRDefault="002A21AE">
            <w:pPr>
              <w:pStyle w:val="TableTextBullet"/>
            </w:pPr>
            <w:r>
              <w:t xml:space="preserve">Displays non-individual report type and compilation criteria. </w:t>
            </w:r>
          </w:p>
          <w:p w14:paraId="5FE1C53F" w14:textId="77777777" w:rsidR="002A21AE" w:rsidRDefault="002A21AE">
            <w:pPr>
              <w:pStyle w:val="TableTextBullet"/>
            </w:pPr>
            <w:r>
              <w:t>Displays options for generating a patient-specific report.</w:t>
            </w:r>
          </w:p>
          <w:p w14:paraId="2F309B65" w14:textId="67BD8F02" w:rsidR="002A21AE" w:rsidRDefault="002A21AE">
            <w:pPr>
              <w:pStyle w:val="NotesText"/>
            </w:pPr>
          </w:p>
        </w:tc>
      </w:tr>
      <w:tr w:rsidR="002A21AE" w14:paraId="0C7E955A" w14:textId="77777777" w:rsidTr="00305B16">
        <w:trPr>
          <w:cantSplit/>
        </w:trPr>
        <w:tc>
          <w:tcPr>
            <w:tcW w:w="3240" w:type="dxa"/>
          </w:tcPr>
          <w:p w14:paraId="2FA5B995" w14:textId="77777777" w:rsidR="00981244" w:rsidRDefault="00981244" w:rsidP="00981244">
            <w:pPr>
              <w:pStyle w:val="TableTextNumbers"/>
            </w:pPr>
            <w:r>
              <w:lastRenderedPageBreak/>
              <w:t>Click a radio button to select a report format:</w:t>
            </w:r>
          </w:p>
          <w:p w14:paraId="03CD4500" w14:textId="77777777" w:rsidR="007A5DC2" w:rsidRPr="00945BF5" w:rsidRDefault="007A5DC2" w:rsidP="007A5DC2">
            <w:pPr>
              <w:pStyle w:val="TableTextNumbersBullet"/>
              <w:rPr>
                <w:b/>
              </w:rPr>
            </w:pPr>
            <w:r w:rsidRPr="00945BF5">
              <w:rPr>
                <w:b/>
              </w:rPr>
              <w:t>Daily Inventory (All Units)</w:t>
            </w:r>
          </w:p>
          <w:p w14:paraId="74DCC97E" w14:textId="77777777" w:rsidR="007A5DC2" w:rsidRPr="00945BF5" w:rsidRDefault="007A5DC2" w:rsidP="007A5DC2">
            <w:pPr>
              <w:pStyle w:val="TableTextNumbersBullet"/>
              <w:rPr>
                <w:b/>
              </w:rPr>
            </w:pPr>
            <w:r w:rsidRPr="00945BF5">
              <w:rPr>
                <w:b/>
              </w:rPr>
              <w:t>Daily Inventory (Available Units)</w:t>
            </w:r>
          </w:p>
          <w:p w14:paraId="552AE554" w14:textId="77777777" w:rsidR="007A5DC2" w:rsidRPr="00945BF5" w:rsidRDefault="007A5DC2" w:rsidP="007A5DC2">
            <w:pPr>
              <w:pStyle w:val="TableTextNumbersBullet"/>
              <w:rPr>
                <w:b/>
              </w:rPr>
            </w:pPr>
            <w:r w:rsidRPr="00945BF5">
              <w:rPr>
                <w:b/>
              </w:rPr>
              <w:t>Antigen Typed Inventory (Available Units)</w:t>
            </w:r>
          </w:p>
          <w:p w14:paraId="69AC9969" w14:textId="77777777" w:rsidR="007A5DC2" w:rsidRPr="00945BF5" w:rsidRDefault="007A5DC2" w:rsidP="007A5DC2">
            <w:pPr>
              <w:pStyle w:val="TableTextNumbersBullet"/>
              <w:rPr>
                <w:b/>
              </w:rPr>
            </w:pPr>
            <w:r w:rsidRPr="00945BF5">
              <w:rPr>
                <w:b/>
              </w:rPr>
              <w:t>Units with No Disposition</w:t>
            </w:r>
            <w:r w:rsidR="0055440E" w:rsidRPr="00945BF5">
              <w:rPr>
                <w:b/>
              </w:rPr>
              <w:t xml:space="preserve"> (Available Expired)</w:t>
            </w:r>
          </w:p>
          <w:p w14:paraId="1D863F71" w14:textId="77777777" w:rsidR="0055440E" w:rsidRPr="00945BF5" w:rsidRDefault="0055440E" w:rsidP="007A5DC2">
            <w:pPr>
              <w:pStyle w:val="TableTextNumbersBullet"/>
              <w:rPr>
                <w:b/>
              </w:rPr>
            </w:pPr>
            <w:r w:rsidRPr="00945BF5">
              <w:rPr>
                <w:b/>
              </w:rPr>
              <w:t>Units with Final Disposition (Not Transfused)</w:t>
            </w:r>
          </w:p>
          <w:p w14:paraId="423C93EA" w14:textId="77777777" w:rsidR="007A5DC2" w:rsidRPr="00945BF5" w:rsidRDefault="007A5DC2" w:rsidP="007A5DC2">
            <w:pPr>
              <w:pStyle w:val="TableTextNumbersBullet"/>
              <w:rPr>
                <w:b/>
              </w:rPr>
            </w:pPr>
            <w:r w:rsidRPr="00945BF5">
              <w:rPr>
                <w:b/>
              </w:rPr>
              <w:t>Custom Report</w:t>
            </w:r>
          </w:p>
          <w:p w14:paraId="290344E3" w14:textId="77777777" w:rsidR="002A21AE" w:rsidRDefault="007A5DC2" w:rsidP="001E7BDC">
            <w:pPr>
              <w:pStyle w:val="TableTextNumbersBullet"/>
            </w:pPr>
            <w:r w:rsidRPr="00945BF5">
              <w:rPr>
                <w:b/>
              </w:rPr>
              <w:t>Individual Patient Blood Availability</w:t>
            </w:r>
          </w:p>
        </w:tc>
        <w:tc>
          <w:tcPr>
            <w:tcW w:w="6120" w:type="dxa"/>
          </w:tcPr>
          <w:p w14:paraId="7D7679E0" w14:textId="77777777" w:rsidR="002A21AE" w:rsidRDefault="002A21AE">
            <w:pPr>
              <w:pStyle w:val="TableTextBullet"/>
            </w:pPr>
            <w:r>
              <w:t xml:space="preserve">Displays a print preview of the report. </w:t>
            </w:r>
          </w:p>
          <w:p w14:paraId="452E762B" w14:textId="77777777" w:rsidR="002A21AE" w:rsidRDefault="002A21AE">
            <w:pPr>
              <w:pStyle w:val="TableText"/>
            </w:pPr>
          </w:p>
          <w:p w14:paraId="227829C3" w14:textId="77777777" w:rsidR="002A21AE" w:rsidRDefault="00057948">
            <w:pPr>
              <w:pStyle w:val="TableText"/>
              <w:rPr>
                <w:b/>
                <w:bCs/>
                <w:szCs w:val="18"/>
              </w:rPr>
            </w:pPr>
            <w:r>
              <w:rPr>
                <w:b/>
                <w:bCs/>
                <w:noProof/>
              </w:rPr>
              <mc:AlternateContent>
                <mc:Choice Requires="wps">
                  <w:drawing>
                    <wp:anchor distT="0" distB="0" distL="114300" distR="114300" simplePos="0" relativeHeight="251464192" behindDoc="0" locked="0" layoutInCell="1" allowOverlap="1" wp14:anchorId="5E7C45C8" wp14:editId="7538C401">
                      <wp:simplePos x="0" y="0"/>
                      <wp:positionH relativeFrom="column">
                        <wp:posOffset>457200</wp:posOffset>
                      </wp:positionH>
                      <wp:positionV relativeFrom="paragraph">
                        <wp:posOffset>65405</wp:posOffset>
                      </wp:positionV>
                      <wp:extent cx="3200400" cy="0"/>
                      <wp:effectExtent l="9525" t="17780" r="9525" b="10795"/>
                      <wp:wrapNone/>
                      <wp:docPr id="291" name="Line 791" descr="P9998C6T10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E4672" id="Line 791" o:spid="_x0000_s1026" alt="&quot;&quot;" style="position:absolute;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" strokeweight="1.5pt"/>
                  </w:pict>
                </mc:Fallback>
              </mc:AlternateContent>
            </w:r>
            <w:r w:rsidR="002A21AE">
              <w:rPr>
                <w:b/>
                <w:bCs/>
                <w:szCs w:val="18"/>
              </w:rPr>
              <w:t>NOTES</w:t>
            </w:r>
          </w:p>
          <w:p w14:paraId="76E6E505" w14:textId="77777777" w:rsidR="002A21AE" w:rsidRDefault="002A21AE">
            <w:pPr>
              <w:pStyle w:val="NotesText"/>
            </w:pPr>
          </w:p>
          <w:p w14:paraId="12ECE017" w14:textId="77777777" w:rsidR="00B20440" w:rsidRPr="00B20440" w:rsidRDefault="00B20440">
            <w:pPr>
              <w:pStyle w:val="NotesText"/>
              <w:rPr>
                <w:rFonts w:cs="Arial"/>
                <w:szCs w:val="18"/>
              </w:rPr>
            </w:pPr>
            <w:r w:rsidRPr="00B20440">
              <w:rPr>
                <w:rFonts w:cs="Arial"/>
                <w:szCs w:val="18"/>
              </w:rPr>
              <w:t xml:space="preserve">The user may click the </w:t>
            </w:r>
            <w:r w:rsidR="00B90391" w:rsidRPr="00B90391">
              <w:rPr>
                <w:rFonts w:cs="Arial"/>
                <w:b/>
                <w:szCs w:val="18"/>
              </w:rPr>
              <w:t xml:space="preserve">Custom Report </w:t>
            </w:r>
            <w:r w:rsidR="00B90391" w:rsidRPr="00BF2E41">
              <w:rPr>
                <w:rFonts w:cs="Arial"/>
                <w:szCs w:val="18"/>
              </w:rPr>
              <w:t>radio button</w:t>
            </w:r>
            <w:r w:rsidR="00B90391">
              <w:rPr>
                <w:rFonts w:cs="Arial"/>
                <w:szCs w:val="18"/>
              </w:rPr>
              <w:t xml:space="preserve"> and </w:t>
            </w:r>
            <w:r w:rsidR="00B90391" w:rsidRPr="00B90391">
              <w:rPr>
                <w:rFonts w:cs="Arial"/>
                <w:b/>
                <w:szCs w:val="18"/>
              </w:rPr>
              <w:t>OK</w:t>
            </w:r>
            <w:r w:rsidR="00B90391">
              <w:rPr>
                <w:rFonts w:cs="Arial"/>
                <w:szCs w:val="18"/>
              </w:rPr>
              <w:t xml:space="preserve">, and then click the </w:t>
            </w:r>
            <w:r w:rsidRPr="00B20440">
              <w:rPr>
                <w:rFonts w:cs="Arial"/>
                <w:szCs w:val="18"/>
              </w:rPr>
              <w:t xml:space="preserve">appropriate check boxes in the Component Class, Testing, Donation Type, Unit Status, Date Range, ABO/Rh, Product Attributes, and Division tabs </w:t>
            </w:r>
            <w:r w:rsidR="00D42D20">
              <w:rPr>
                <w:rFonts w:cs="Arial"/>
                <w:szCs w:val="18"/>
              </w:rPr>
              <w:t xml:space="preserve">to </w:t>
            </w:r>
            <w:r w:rsidRPr="00B20440">
              <w:rPr>
                <w:rFonts w:cs="Arial"/>
                <w:szCs w:val="18"/>
              </w:rPr>
              <w:t>custom</w:t>
            </w:r>
            <w:r w:rsidR="00D42D20">
              <w:rPr>
                <w:rFonts w:cs="Arial"/>
                <w:szCs w:val="18"/>
              </w:rPr>
              <w:t>ize the</w:t>
            </w:r>
            <w:r w:rsidRPr="00B20440">
              <w:rPr>
                <w:rFonts w:cs="Arial"/>
                <w:szCs w:val="18"/>
              </w:rPr>
              <w:t xml:space="preserve"> report.</w:t>
            </w:r>
          </w:p>
          <w:p w14:paraId="245D7BCB" w14:textId="77777777" w:rsidR="00B20440" w:rsidRDefault="00B20440">
            <w:pPr>
              <w:pStyle w:val="NotesText"/>
              <w:rPr>
                <w:rFonts w:cs="Arial"/>
                <w:vanish/>
              </w:rPr>
            </w:pPr>
          </w:p>
          <w:p w14:paraId="6198013B" w14:textId="77777777" w:rsidR="00DE2677" w:rsidRDefault="00DE2677">
            <w:pPr>
              <w:pStyle w:val="NotesText"/>
              <w:rPr>
                <w:color w:val="000000"/>
              </w:rPr>
            </w:pPr>
          </w:p>
          <w:p w14:paraId="392074C4" w14:textId="0A66E49C" w:rsidR="000D169A" w:rsidRDefault="00DE2677">
            <w:pPr>
              <w:pStyle w:val="NotesText"/>
              <w:rPr>
                <w:color w:val="000000"/>
              </w:rPr>
            </w:pPr>
            <w:r w:rsidRPr="00DE2677">
              <w:rPr>
                <w:vanish/>
                <w:color w:val="000000"/>
              </w:rPr>
              <w:t xml:space="preserve">BR_49.10 </w:t>
            </w:r>
            <w:r w:rsidR="00C82460" w:rsidRPr="00CC1028">
              <w:rPr>
                <w:color w:val="000000"/>
              </w:rPr>
              <w:t>When a user selects the Individual Patient Blood Availability report for his division only, the report includes all units available (unit statuses: assigned, crossmatched, and issued) in his division for the selected patient.</w:t>
            </w:r>
          </w:p>
          <w:p w14:paraId="4F255328" w14:textId="77777777" w:rsidR="00C82460" w:rsidRDefault="00C82460">
            <w:pPr>
              <w:pStyle w:val="NotesText"/>
            </w:pPr>
          </w:p>
          <w:p w14:paraId="2D2C4597" w14:textId="244D9190" w:rsidR="00CC1E5B" w:rsidRDefault="000D169A">
            <w:pPr>
              <w:pStyle w:val="NotesText"/>
            </w:pPr>
            <w:r w:rsidRPr="000D169A">
              <w:rPr>
                <w:vanish/>
                <w:szCs w:val="18"/>
              </w:rPr>
              <w:t>BR_49.22, BR_49.23, BR_49.24</w:t>
            </w:r>
            <w:r w:rsidR="00CC1E5B">
              <w:t xml:space="preserve">When a user selects Units with </w:t>
            </w:r>
            <w:r w:rsidR="00EC6847">
              <w:t>Final</w:t>
            </w:r>
            <w:r w:rsidR="00CC1E5B">
              <w:t xml:space="preserve"> Disposition, the report includes </w:t>
            </w:r>
            <w:r>
              <w:t>units with a status of “discarded,” “modified,” or “</w:t>
            </w:r>
            <w:r w:rsidR="00CC1E5B">
              <w:t xml:space="preserve">transferred.” </w:t>
            </w:r>
          </w:p>
          <w:p w14:paraId="16768926" w14:textId="77777777" w:rsidR="00CC1E5B" w:rsidRDefault="00CC1E5B">
            <w:pPr>
              <w:pStyle w:val="NotesText"/>
            </w:pPr>
          </w:p>
          <w:p w14:paraId="5C7841BB" w14:textId="77777777" w:rsidR="000D169A" w:rsidRDefault="000D169A">
            <w:pPr>
              <w:pStyle w:val="NotesText"/>
            </w:pPr>
            <w:r>
              <w:t>When a user selects Units with No Disposition, the report includes expired units with a status of “limited” or “available</w:t>
            </w:r>
            <w:r w:rsidR="00EC6847">
              <w:t>.</w:t>
            </w:r>
            <w:r>
              <w:t xml:space="preserve">” </w:t>
            </w:r>
          </w:p>
        </w:tc>
      </w:tr>
      <w:tr w:rsidR="001E7BDC" w14:paraId="17F70384" w14:textId="77777777">
        <w:tc>
          <w:tcPr>
            <w:tcW w:w="3240" w:type="dxa"/>
            <w:tcBorders>
              <w:top w:val="single" w:sz="4" w:space="0" w:color="auto"/>
              <w:left w:val="single" w:sz="4" w:space="0" w:color="auto"/>
              <w:bottom w:val="single" w:sz="4" w:space="0" w:color="auto"/>
              <w:right w:val="single" w:sz="4" w:space="0" w:color="auto"/>
            </w:tcBorders>
          </w:tcPr>
          <w:p w14:paraId="6F345F2E" w14:textId="77777777" w:rsidR="001E7BDC" w:rsidRDefault="001E7BDC" w:rsidP="001E7BDC">
            <w:pPr>
              <w:pStyle w:val="TableTextNumbers"/>
            </w:pPr>
            <w:r>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47345E79" w14:textId="77777777" w:rsidR="001E7BDC" w:rsidRDefault="001E7BDC" w:rsidP="001E7BDC">
            <w:pPr>
              <w:pStyle w:val="TableTextNumbersContinued"/>
            </w:pPr>
          </w:p>
          <w:p w14:paraId="3F191E0D" w14:textId="77777777" w:rsidR="001E7BDC" w:rsidRDefault="001E7BDC" w:rsidP="001E7BDC">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Borders>
              <w:top w:val="single" w:sz="4" w:space="0" w:color="auto"/>
              <w:left w:val="single" w:sz="4" w:space="0" w:color="auto"/>
              <w:bottom w:val="single" w:sz="4" w:space="0" w:color="auto"/>
              <w:right w:val="single" w:sz="4" w:space="0" w:color="auto"/>
            </w:tcBorders>
          </w:tcPr>
          <w:p w14:paraId="41A2A73F" w14:textId="77777777" w:rsidR="005B6A94" w:rsidRDefault="001E7BDC" w:rsidP="00AA2B2E">
            <w:pPr>
              <w:pStyle w:val="TableTextBullet"/>
            </w:pPr>
            <w:r>
              <w:t>Compiles and displays the report.</w:t>
            </w:r>
          </w:p>
        </w:tc>
      </w:tr>
      <w:tr w:rsidR="001E7BDC" w14:paraId="5D20FD9E" w14:textId="77777777">
        <w:tc>
          <w:tcPr>
            <w:tcW w:w="3240" w:type="dxa"/>
            <w:tcBorders>
              <w:top w:val="single" w:sz="4" w:space="0" w:color="auto"/>
              <w:left w:val="single" w:sz="4" w:space="0" w:color="auto"/>
              <w:bottom w:val="single" w:sz="4" w:space="0" w:color="auto"/>
              <w:right w:val="single" w:sz="4" w:space="0" w:color="auto"/>
            </w:tcBorders>
          </w:tcPr>
          <w:p w14:paraId="7A4E9A71" w14:textId="2AE50750" w:rsidR="001E7BDC" w:rsidRDefault="005C22EF" w:rsidP="001E7BDC">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fldLock="1"/>
            </w:r>
            <w:r w:rsidRPr="0076371D">
              <w:rPr>
                <w:szCs w:val="18"/>
              </w:rPr>
              <w:instrText xml:space="preserve"> REF _Ref2774509 \h  \* MERGEFORMAT </w:instrText>
            </w:r>
            <w:r w:rsidRPr="0076371D">
              <w:rPr>
                <w:szCs w:val="18"/>
              </w:rPr>
            </w:r>
            <w:r w:rsidRPr="0076371D">
              <w:rPr>
                <w:szCs w:val="18"/>
              </w:rPr>
              <w:fldChar w:fldCharType="separate"/>
            </w:r>
            <w:r w:rsidR="00AB304C" w:rsidRPr="00AB304C">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1E7BDC" w:rsidRPr="00B93B42">
              <w:rPr>
                <w:rStyle w:val="StyleTableTextNumbersWhite1Char"/>
              </w:rPr>
              <w:t xml:space="preserve"> </w:t>
            </w:r>
          </w:p>
        </w:tc>
        <w:tc>
          <w:tcPr>
            <w:tcW w:w="6120" w:type="dxa"/>
            <w:tcBorders>
              <w:top w:val="single" w:sz="4" w:space="0" w:color="auto"/>
              <w:left w:val="single" w:sz="4" w:space="0" w:color="auto"/>
              <w:bottom w:val="single" w:sz="4" w:space="0" w:color="auto"/>
              <w:right w:val="single" w:sz="4" w:space="0" w:color="auto"/>
            </w:tcBorders>
          </w:tcPr>
          <w:p w14:paraId="2E685D1D" w14:textId="77777777" w:rsidR="005C22EF" w:rsidRDefault="005C22EF" w:rsidP="005C22EF">
            <w:pPr>
              <w:pStyle w:val="TableTextBullet"/>
            </w:pPr>
            <w:r>
              <w:t>If Print is selected, prints the report on the designated printer.</w:t>
            </w:r>
          </w:p>
          <w:p w14:paraId="74C8F8AD" w14:textId="77777777" w:rsidR="005C22EF" w:rsidRDefault="005C22EF" w:rsidP="005C22EF">
            <w:pPr>
              <w:pStyle w:val="TableTextBullet"/>
            </w:pPr>
            <w:r>
              <w:t>If Export is selected, exports the report to the designated file.</w:t>
            </w:r>
          </w:p>
          <w:p w14:paraId="3487E9CC" w14:textId="0697A0DE" w:rsidR="00C62C4D" w:rsidRDefault="005C22EF" w:rsidP="005C22EF">
            <w:pPr>
              <w:pStyle w:val="TableTextBullet"/>
            </w:pPr>
            <w:r>
              <w:t>If Close is selected, exits the report preview.</w:t>
            </w:r>
          </w:p>
        </w:tc>
      </w:tr>
    </w:tbl>
    <w:p w14:paraId="55AE6D50" w14:textId="77777777" w:rsidR="002A21AE" w:rsidRDefault="0067521A">
      <w:pPr>
        <w:pStyle w:val="Heading2"/>
      </w:pPr>
      <w:r>
        <w:br w:type="page"/>
      </w:r>
      <w:bookmarkStart w:id="561" w:name="_Toc4588837"/>
      <w:r w:rsidR="002A21AE">
        <w:lastRenderedPageBreak/>
        <w:t>Cost Accounting Report</w:t>
      </w:r>
      <w:bookmarkEnd w:id="561"/>
      <w:r w:rsidR="002A21AE">
        <w:fldChar w:fldCharType="begin"/>
      </w:r>
      <w:r w:rsidR="002A21AE">
        <w:instrText xml:space="preserve"> XE </w:instrText>
      </w:r>
      <w:r w:rsidR="00FA7E65">
        <w:instrText>“</w:instrText>
      </w:r>
      <w:r w:rsidR="002A21AE">
        <w:instrText>Cost Accounting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UC_75</w:t>
      </w:r>
    </w:p>
    <w:p w14:paraId="1FA48AE1" w14:textId="77777777" w:rsidR="002A21AE" w:rsidRDefault="002A21AE" w:rsidP="00FA7E65">
      <w:pPr>
        <w:pStyle w:val="BodyText"/>
      </w:pPr>
      <w:r>
        <w:t xml:space="preserve">The user views </w:t>
      </w:r>
      <w:r w:rsidR="00EB1E5A">
        <w:t xml:space="preserve">and/or </w:t>
      </w:r>
      <w:r>
        <w:t>prints the Cost Accounting Report.</w:t>
      </w:r>
    </w:p>
    <w:p w14:paraId="06709409" w14:textId="77777777" w:rsidR="002A21AE" w:rsidRDefault="002A21AE">
      <w:pPr>
        <w:pStyle w:val="Heading4"/>
      </w:pPr>
      <w:r>
        <w:t>Assumptions</w:t>
      </w:r>
      <w:r>
        <w:rPr>
          <w:b w:val="0"/>
        </w:rPr>
        <w:t xml:space="preserve"> </w:t>
      </w:r>
    </w:p>
    <w:p w14:paraId="27EBDCE3" w14:textId="77777777" w:rsidR="002A21AE" w:rsidRDefault="002A21AE">
      <w:pPr>
        <w:pStyle w:val="ListBullet"/>
      </w:pPr>
      <w:r>
        <w:t>Data for the report were saved in VBECS.</w:t>
      </w:r>
    </w:p>
    <w:p w14:paraId="1E85AC1C" w14:textId="77777777" w:rsidR="002A21AE" w:rsidRDefault="002A21AE">
      <w:pPr>
        <w:pStyle w:val="Heading4"/>
      </w:pPr>
      <w:r>
        <w:t xml:space="preserve">Outcome </w:t>
      </w:r>
    </w:p>
    <w:p w14:paraId="09287821" w14:textId="77777777" w:rsidR="002A21AE" w:rsidRDefault="002A21AE">
      <w:pPr>
        <w:pStyle w:val="ListBullet"/>
      </w:pPr>
      <w:r>
        <w:t>The report is viewable or printed.</w:t>
      </w:r>
    </w:p>
    <w:p w14:paraId="7095482D" w14:textId="77777777" w:rsidR="002A21AE" w:rsidRDefault="002A21AE">
      <w:pPr>
        <w:pStyle w:val="Heading4"/>
      </w:pPr>
      <w:r>
        <w:t>Limitations and Restrictions</w:t>
      </w:r>
      <w:r>
        <w:rPr>
          <w:b w:val="0"/>
        </w:rPr>
        <w:t xml:space="preserve"> </w:t>
      </w:r>
    </w:p>
    <w:p w14:paraId="29FEDD69" w14:textId="77777777" w:rsidR="002A21AE" w:rsidRDefault="006F5AE0">
      <w:pPr>
        <w:pStyle w:val="ListBullet"/>
      </w:pPr>
      <w:r>
        <w:t>None</w:t>
      </w:r>
    </w:p>
    <w:p w14:paraId="3180D0C0" w14:textId="77777777" w:rsidR="002A21AE" w:rsidRDefault="002A21AE">
      <w:pPr>
        <w:pStyle w:val="Heading4"/>
      </w:pPr>
      <w:r>
        <w:t xml:space="preserve">Additional Information </w:t>
      </w:r>
    </w:p>
    <w:p w14:paraId="35D513CB" w14:textId="5B039DA6" w:rsidR="002A21AE" w:rsidRDefault="002A21AE">
      <w:pPr>
        <w:pStyle w:val="ListBullet"/>
      </w:pPr>
      <w:r>
        <w:t>The report is for a single division.</w:t>
      </w:r>
    </w:p>
    <w:p w14:paraId="34C3E217" w14:textId="545B90CF" w:rsidR="00FC4E14" w:rsidRDefault="00FC4E14" w:rsidP="00FC4E14">
      <w:pPr>
        <w:pStyle w:val="ListBullet"/>
      </w:pPr>
      <w:r w:rsidRPr="00FC4E14">
        <w:t>A unit with an edited return credit in final status will not revert to the original return credit amount when the unit’s final status is removed.</w:t>
      </w:r>
      <w:r w:rsidR="007C00C8">
        <w:t xml:space="preserve"> </w:t>
      </w:r>
      <w:r w:rsidR="007C00C8" w:rsidRPr="00FC4E14">
        <w:t>Select Edit Financial Data and correct the return credit amount.</w:t>
      </w:r>
      <w:r w:rsidR="00244AD3">
        <w:t xml:space="preserve"> </w:t>
      </w:r>
      <w:r w:rsidR="00244AD3" w:rsidRPr="00244AD3">
        <w:rPr>
          <w:vanish/>
        </w:rPr>
        <w:t>Defect 208803</w:t>
      </w:r>
    </w:p>
    <w:p w14:paraId="4A651582" w14:textId="77777777" w:rsidR="002A21AE" w:rsidRDefault="002A21AE">
      <w:pPr>
        <w:pStyle w:val="Heading4"/>
        <w:rPr>
          <w:b w:val="0"/>
        </w:rPr>
      </w:pPr>
      <w:r>
        <w:t>User Roles with Access to This Option</w:t>
      </w:r>
      <w:r>
        <w:rPr>
          <w:b w:val="0"/>
        </w:rPr>
        <w:t xml:space="preserve"> </w:t>
      </w:r>
    </w:p>
    <w:p w14:paraId="22F6F000" w14:textId="77777777" w:rsidR="002A21AE" w:rsidRDefault="00606FB0">
      <w:pPr>
        <w:pStyle w:val="Roles"/>
      </w:pPr>
      <w:r>
        <w:t>All users</w:t>
      </w:r>
    </w:p>
    <w:p w14:paraId="7661E652" w14:textId="77777777" w:rsidR="002A21AE" w:rsidRDefault="002A21AE">
      <w:pPr>
        <w:pStyle w:val="Heading4"/>
      </w:pPr>
      <w:r>
        <w:t>Cost Accounting Report</w:t>
      </w:r>
    </w:p>
    <w:p w14:paraId="24CDCC14" w14:textId="77777777" w:rsidR="002A21AE" w:rsidRDefault="002A21AE" w:rsidP="00FA7E65">
      <w:pPr>
        <w:pStyle w:val="BodyText"/>
      </w:pPr>
      <w:r>
        <w:t xml:space="preserve">The user views </w:t>
      </w:r>
      <w:r w:rsidR="00EB1E5A">
        <w:t xml:space="preserve">and/or </w:t>
      </w:r>
      <w:r>
        <w:t xml:space="preserve">prints the Cost Accounting Report for a division. The Cost Accounting Report itemizes incoming and outgoing shipments, modifications of blood products, and patient testing costs for a given period. The report includes base cost, special testing, </w:t>
      </w:r>
      <w:r w:rsidR="006F5AE0">
        <w:t xml:space="preserve">modifications, </w:t>
      </w:r>
      <w:r>
        <w:t>and return credits for units, as applicable.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40E51352" w14:textId="77777777">
        <w:trPr>
          <w:cantSplit/>
          <w:tblHeader/>
        </w:trPr>
        <w:tc>
          <w:tcPr>
            <w:tcW w:w="3240" w:type="dxa"/>
            <w:shd w:val="pct30" w:color="auto" w:fill="FFFFFF"/>
            <w:vAlign w:val="bottom"/>
          </w:tcPr>
          <w:p w14:paraId="061AF183" w14:textId="77777777" w:rsidR="002A21AE" w:rsidRDefault="002A21AE">
            <w:pPr>
              <w:pStyle w:val="TableText"/>
              <w:rPr>
                <w:b/>
              </w:rPr>
            </w:pPr>
            <w:r>
              <w:rPr>
                <w:b/>
              </w:rPr>
              <w:t>User Action</w:t>
            </w:r>
          </w:p>
        </w:tc>
        <w:tc>
          <w:tcPr>
            <w:tcW w:w="6120" w:type="dxa"/>
            <w:shd w:val="pct30" w:color="auto" w:fill="FFFFFF"/>
            <w:vAlign w:val="bottom"/>
          </w:tcPr>
          <w:p w14:paraId="52AFE4B0" w14:textId="77777777" w:rsidR="002A21AE" w:rsidRDefault="002A21AE">
            <w:pPr>
              <w:pStyle w:val="TableText"/>
              <w:rPr>
                <w:b/>
              </w:rPr>
            </w:pPr>
            <w:r>
              <w:rPr>
                <w:b/>
              </w:rPr>
              <w:t>VBECS</w:t>
            </w:r>
          </w:p>
        </w:tc>
      </w:tr>
      <w:tr w:rsidR="002A21AE" w14:paraId="57A11443" w14:textId="77777777">
        <w:tc>
          <w:tcPr>
            <w:tcW w:w="3240" w:type="dxa"/>
          </w:tcPr>
          <w:p w14:paraId="2F231365" w14:textId="77777777" w:rsidR="002A21AE" w:rsidRDefault="002A21AE" w:rsidP="000409B1">
            <w:pPr>
              <w:pStyle w:val="TableTextNumbers"/>
              <w:numPr>
                <w:ilvl w:val="0"/>
                <w:numId w:val="41"/>
              </w:numPr>
            </w:pPr>
            <w:r>
              <w:t xml:space="preserve">Select </w:t>
            </w:r>
            <w:r w:rsidRPr="002F2DF7">
              <w:t>Reports</w:t>
            </w:r>
            <w:r>
              <w:t xml:space="preserve"> from the main menu.</w:t>
            </w:r>
          </w:p>
          <w:p w14:paraId="6FABE507" w14:textId="77777777" w:rsidR="002A21AE" w:rsidRDefault="002A21AE">
            <w:pPr>
              <w:pStyle w:val="TableTextNumbersContinued"/>
            </w:pPr>
          </w:p>
          <w:p w14:paraId="307E277E" w14:textId="77777777" w:rsidR="002A21AE" w:rsidRDefault="002A21AE">
            <w:pPr>
              <w:pStyle w:val="TableTextNumbersContinued"/>
            </w:pPr>
            <w:r>
              <w:t xml:space="preserve">Select </w:t>
            </w:r>
            <w:r>
              <w:rPr>
                <w:b/>
              </w:rPr>
              <w:t>Cost Accounting Report</w:t>
            </w:r>
            <w:r>
              <w:t>.</w:t>
            </w:r>
          </w:p>
        </w:tc>
        <w:tc>
          <w:tcPr>
            <w:tcW w:w="6120" w:type="dxa"/>
          </w:tcPr>
          <w:p w14:paraId="72BDE09E" w14:textId="77777777" w:rsidR="002A21AE" w:rsidRDefault="002A21AE">
            <w:pPr>
              <w:pStyle w:val="TableTextBullet"/>
            </w:pPr>
            <w:r>
              <w:t>Lists report names.</w:t>
            </w:r>
          </w:p>
          <w:p w14:paraId="795EF10D" w14:textId="77777777" w:rsidR="002A21AE" w:rsidRDefault="002A21AE">
            <w:pPr>
              <w:pStyle w:val="TableTextBullet"/>
            </w:pPr>
            <w:r>
              <w:t xml:space="preserve">Displays report compilation criteria. </w:t>
            </w:r>
          </w:p>
          <w:p w14:paraId="4A52700A" w14:textId="77777777" w:rsidR="002A21AE" w:rsidRDefault="002A21AE">
            <w:pPr>
              <w:pStyle w:val="TableTextBullet"/>
            </w:pPr>
            <w:r>
              <w:t>Displays a date range for selection.</w:t>
            </w:r>
          </w:p>
        </w:tc>
      </w:tr>
      <w:tr w:rsidR="002A21AE" w14:paraId="1A73A773" w14:textId="77777777">
        <w:tc>
          <w:tcPr>
            <w:tcW w:w="3240" w:type="dxa"/>
          </w:tcPr>
          <w:p w14:paraId="59932601" w14:textId="77777777" w:rsidR="002A21AE" w:rsidRDefault="002A21AE">
            <w:pPr>
              <w:pStyle w:val="TableTextNumbers"/>
            </w:pPr>
            <w:r>
              <w:t>Enter or select start and end dates.</w:t>
            </w:r>
          </w:p>
        </w:tc>
        <w:tc>
          <w:tcPr>
            <w:tcW w:w="6120" w:type="dxa"/>
          </w:tcPr>
          <w:p w14:paraId="7D25E221" w14:textId="77777777" w:rsidR="002A21AE" w:rsidRDefault="002A21AE">
            <w:pPr>
              <w:pStyle w:val="TableTextBullet"/>
            </w:pPr>
            <w:r>
              <w:t xml:space="preserve">Compiles and displays the report. </w:t>
            </w:r>
          </w:p>
          <w:p w14:paraId="3161102A" w14:textId="77777777" w:rsidR="002A21AE" w:rsidRDefault="002A21AE">
            <w:pPr>
              <w:pStyle w:val="TableText"/>
            </w:pPr>
          </w:p>
          <w:p w14:paraId="73B5DE9E" w14:textId="77777777" w:rsidR="002A21AE" w:rsidRDefault="00057948">
            <w:pPr>
              <w:pStyle w:val="TableText"/>
              <w:rPr>
                <w:b/>
                <w:bCs/>
                <w:szCs w:val="18"/>
              </w:rPr>
            </w:pPr>
            <w:r>
              <w:rPr>
                <w:b/>
                <w:bCs/>
                <w:noProof/>
              </w:rPr>
              <mc:AlternateContent>
                <mc:Choice Requires="wps">
                  <w:drawing>
                    <wp:anchor distT="0" distB="0" distL="114300" distR="114300" simplePos="0" relativeHeight="251761152" behindDoc="0" locked="0" layoutInCell="1" allowOverlap="1" wp14:anchorId="40F832CE" wp14:editId="1DC4565F">
                      <wp:simplePos x="0" y="0"/>
                      <wp:positionH relativeFrom="column">
                        <wp:posOffset>457200</wp:posOffset>
                      </wp:positionH>
                      <wp:positionV relativeFrom="paragraph">
                        <wp:posOffset>65405</wp:posOffset>
                      </wp:positionV>
                      <wp:extent cx="3200400" cy="0"/>
                      <wp:effectExtent l="9525" t="17780" r="9525" b="10795"/>
                      <wp:wrapNone/>
                      <wp:docPr id="290" name="Line 966" descr="P10046L51C6T11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F5794A" id="Line 966" o:spid="_x0000_s1026" alt="&quot;&quot;" style="position:absolute;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A3Id9jwgEAAG4DAAAOAAAAAAAAAAAAAAAAAC4C&#10;AABkcnMvZTJvRG9jLnhtbFBLAQItABQABgAIAAAAIQAXTzAS2wAAAAgBAAAPAAAAAAAAAAAAAAAA&#10;ABwEAABkcnMvZG93bnJldi54bWxQSwUGAAAAAAQABADzAAAAJAUAAAAA&#10;" strokeweight="1.5pt"/>
                  </w:pict>
                </mc:Fallback>
              </mc:AlternateContent>
            </w:r>
            <w:r w:rsidR="002A21AE">
              <w:rPr>
                <w:b/>
                <w:bCs/>
                <w:szCs w:val="18"/>
              </w:rPr>
              <w:t>NOTES</w:t>
            </w:r>
          </w:p>
          <w:p w14:paraId="232A388E" w14:textId="77777777" w:rsidR="002A21AE" w:rsidRDefault="002A21AE">
            <w:pPr>
              <w:pStyle w:val="NotesText"/>
            </w:pPr>
          </w:p>
          <w:p w14:paraId="25C85B75" w14:textId="77777777" w:rsidR="002A21AE" w:rsidRDefault="002A21AE">
            <w:pPr>
              <w:pStyle w:val="NotesText"/>
            </w:pPr>
            <w:r>
              <w:rPr>
                <w:rFonts w:cs="Arial"/>
                <w:vanish/>
              </w:rPr>
              <w:t xml:space="preserve">BR_75.03 </w:t>
            </w:r>
            <w:r>
              <w:t>Final calculations appear at the end of the report:</w:t>
            </w:r>
          </w:p>
          <w:p w14:paraId="12695001" w14:textId="77777777" w:rsidR="002A21AE" w:rsidRDefault="002A21AE">
            <w:pPr>
              <w:pStyle w:val="NotesTextBullet"/>
            </w:pPr>
            <w:r>
              <w:t>Subtotal of base cost per invoice (Incoming Shipment section only)</w:t>
            </w:r>
          </w:p>
          <w:p w14:paraId="6D2EE830" w14:textId="77777777" w:rsidR="002A21AE" w:rsidRDefault="002A21AE">
            <w:pPr>
              <w:pStyle w:val="NotesTextBullet"/>
            </w:pPr>
            <w:r>
              <w:t>Subtotal of special testing cost (Incoming Shipment section only)</w:t>
            </w:r>
          </w:p>
          <w:p w14:paraId="3B8E71A0" w14:textId="77777777" w:rsidR="002A21AE" w:rsidRDefault="002A21AE">
            <w:pPr>
              <w:pStyle w:val="NotesTextBullet"/>
            </w:pPr>
            <w:r>
              <w:t>Subtotal of return credit for an invoice (Outgoing Shipment section only)</w:t>
            </w:r>
          </w:p>
          <w:p w14:paraId="62A9C816" w14:textId="77777777" w:rsidR="002A21AE" w:rsidRDefault="002A21AE">
            <w:pPr>
              <w:pStyle w:val="NotesTextBullet"/>
            </w:pPr>
            <w:r>
              <w:t xml:space="preserve">Total base cost of all units </w:t>
            </w:r>
          </w:p>
          <w:p w14:paraId="266DE057" w14:textId="77777777" w:rsidR="002A21AE" w:rsidRDefault="002A21AE">
            <w:pPr>
              <w:pStyle w:val="NotesTextBullet"/>
            </w:pPr>
            <w:r>
              <w:t xml:space="preserve">Total return credits of all units </w:t>
            </w:r>
          </w:p>
          <w:p w14:paraId="6044361B" w14:textId="77777777" w:rsidR="002A21AE" w:rsidRDefault="002A21AE">
            <w:pPr>
              <w:pStyle w:val="NotesTextBullet"/>
            </w:pPr>
            <w:r>
              <w:t xml:space="preserve">Total special testing cost of all units </w:t>
            </w:r>
          </w:p>
          <w:p w14:paraId="33DC951B" w14:textId="77777777" w:rsidR="002A21AE" w:rsidRDefault="002A21AE">
            <w:pPr>
              <w:pStyle w:val="NotesTextBullet"/>
            </w:pPr>
            <w:r>
              <w:t>Total off-site antibody identification testing cost</w:t>
            </w:r>
          </w:p>
          <w:p w14:paraId="30510AD8" w14:textId="77777777" w:rsidR="002A21AE" w:rsidRDefault="002A21AE">
            <w:pPr>
              <w:pStyle w:val="NotesTextBullet"/>
            </w:pPr>
            <w:r>
              <w:t xml:space="preserve">Total number of units received </w:t>
            </w:r>
          </w:p>
          <w:p w14:paraId="3019D8BC" w14:textId="77777777" w:rsidR="002A21AE" w:rsidRDefault="002A21AE">
            <w:pPr>
              <w:pStyle w:val="NotesTextBullet"/>
            </w:pPr>
            <w:r>
              <w:t xml:space="preserve">Total number of units transferred </w:t>
            </w:r>
          </w:p>
          <w:p w14:paraId="6A9C7D16" w14:textId="77777777" w:rsidR="002A21AE" w:rsidRDefault="002A21AE">
            <w:pPr>
              <w:pStyle w:val="NotesTextBullet"/>
            </w:pPr>
            <w:r>
              <w:t xml:space="preserve">Total number of units modified </w:t>
            </w:r>
          </w:p>
          <w:p w14:paraId="10779833" w14:textId="77777777" w:rsidR="002A21AE" w:rsidRDefault="002A21AE">
            <w:pPr>
              <w:pStyle w:val="NotesTextBullet"/>
            </w:pPr>
            <w:r>
              <w:lastRenderedPageBreak/>
              <w:t>Total cost of modifications</w:t>
            </w:r>
          </w:p>
          <w:p w14:paraId="5716A2E2" w14:textId="77777777" w:rsidR="002A21AE" w:rsidRDefault="002A21AE">
            <w:pPr>
              <w:pStyle w:val="NotesTextBullet"/>
            </w:pPr>
            <w:r>
              <w:rPr>
                <w:color w:val="000000"/>
              </w:rPr>
              <w:t>Total number of units discarded</w:t>
            </w:r>
          </w:p>
        </w:tc>
      </w:tr>
      <w:tr w:rsidR="002A21AE" w14:paraId="022E44EE" w14:textId="77777777">
        <w:tc>
          <w:tcPr>
            <w:tcW w:w="3240" w:type="dxa"/>
          </w:tcPr>
          <w:p w14:paraId="61EB971B" w14:textId="77777777" w:rsidR="002A21AE" w:rsidRDefault="002A21AE">
            <w:pPr>
              <w:pStyle w:val="TableTextNumbers"/>
            </w:pPr>
            <w:r>
              <w:lastRenderedPageBreak/>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2610C6B8" w14:textId="77777777" w:rsidR="002A21AE" w:rsidRDefault="002A21AE">
            <w:pPr>
              <w:pStyle w:val="TableTextNumbersContinued"/>
            </w:pPr>
          </w:p>
          <w:p w14:paraId="6CA44780"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7557DE5A" w14:textId="77777777" w:rsidR="002A21AE" w:rsidRDefault="00F64B5C" w:rsidP="00F64B5C">
            <w:pPr>
              <w:pStyle w:val="TableTextBullet"/>
            </w:pPr>
            <w:r>
              <w:t>Compiles and displays the report.</w:t>
            </w:r>
          </w:p>
          <w:p w14:paraId="46FA0F6B" w14:textId="77777777" w:rsidR="005B6A94" w:rsidRDefault="005B6A94" w:rsidP="00AA2B2E">
            <w:pPr>
              <w:pStyle w:val="TableTextBullet"/>
              <w:numPr>
                <w:ilvl w:val="0"/>
                <w:numId w:val="0"/>
              </w:numPr>
            </w:pPr>
          </w:p>
        </w:tc>
      </w:tr>
      <w:tr w:rsidR="002A21AE" w14:paraId="5E4701BD" w14:textId="77777777">
        <w:tc>
          <w:tcPr>
            <w:tcW w:w="3240" w:type="dxa"/>
          </w:tcPr>
          <w:p w14:paraId="441715C2" w14:textId="6223A85B" w:rsidR="002A21AE" w:rsidRDefault="005C22EF">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fldLock="1"/>
            </w:r>
            <w:r w:rsidRPr="0076371D">
              <w:rPr>
                <w:szCs w:val="18"/>
              </w:rPr>
              <w:instrText xml:space="preserve"> REF _Ref2774509 \h  \* MERGEFORMAT </w:instrText>
            </w:r>
            <w:r w:rsidRPr="0076371D">
              <w:rPr>
                <w:szCs w:val="18"/>
              </w:rPr>
            </w:r>
            <w:r w:rsidRPr="0076371D">
              <w:rPr>
                <w:szCs w:val="18"/>
              </w:rPr>
              <w:fldChar w:fldCharType="separate"/>
            </w:r>
            <w:r w:rsidR="00AB304C" w:rsidRPr="00AB304C">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2A21AE" w:rsidRPr="00B93B42">
              <w:rPr>
                <w:rStyle w:val="StyleTableTextNumbersWhite1Char"/>
              </w:rPr>
              <w:t xml:space="preserve"> </w:t>
            </w:r>
            <w:r w:rsidR="002A21AE">
              <w:rPr>
                <w:vanish/>
                <w:color w:val="FFFFFF"/>
                <w:szCs w:val="18"/>
              </w:rPr>
              <w:fldChar w:fldCharType="begin"/>
            </w:r>
            <w:r w:rsidR="002A21AE">
              <w:rPr>
                <w:vanish/>
                <w:color w:val="FFFFFF"/>
                <w:szCs w:val="18"/>
              </w:rPr>
              <w:instrText xml:space="preserve"> LISTNUM \l 1 \s 0 </w:instrText>
            </w:r>
            <w:r w:rsidR="002A21AE">
              <w:rPr>
                <w:vanish/>
                <w:color w:val="FFFFFF"/>
                <w:szCs w:val="18"/>
              </w:rPr>
              <w:fldChar w:fldCharType="end"/>
            </w:r>
          </w:p>
        </w:tc>
        <w:tc>
          <w:tcPr>
            <w:tcW w:w="6120" w:type="dxa"/>
          </w:tcPr>
          <w:p w14:paraId="49D8AB48" w14:textId="77777777" w:rsidR="005C22EF" w:rsidRDefault="005C22EF" w:rsidP="005C22EF">
            <w:pPr>
              <w:pStyle w:val="TableTextBullet"/>
            </w:pPr>
            <w:r>
              <w:t>If Print is selected, prints the report on the designated printer.</w:t>
            </w:r>
          </w:p>
          <w:p w14:paraId="182FCC97" w14:textId="77777777" w:rsidR="005C22EF" w:rsidRDefault="005C22EF" w:rsidP="005C22EF">
            <w:pPr>
              <w:pStyle w:val="TableTextBullet"/>
            </w:pPr>
            <w:r>
              <w:t>If Export is selected, exports the report to the designated file.</w:t>
            </w:r>
          </w:p>
          <w:p w14:paraId="44AA8F44" w14:textId="0B40C2E7" w:rsidR="002A21AE" w:rsidRDefault="005C22EF" w:rsidP="005C22EF">
            <w:pPr>
              <w:pStyle w:val="TableTextBullet"/>
            </w:pPr>
            <w:r>
              <w:t>If Close is selected, exits the report preview.</w:t>
            </w:r>
          </w:p>
        </w:tc>
      </w:tr>
    </w:tbl>
    <w:p w14:paraId="651A87EC" w14:textId="77777777" w:rsidR="00F55832" w:rsidRDefault="00F55832">
      <w:pPr>
        <w:pStyle w:val="Heading2"/>
      </w:pPr>
    </w:p>
    <w:p w14:paraId="45DD67E3" w14:textId="77777777" w:rsidR="002A21AE" w:rsidRDefault="00F55832">
      <w:pPr>
        <w:pStyle w:val="Heading2"/>
      </w:pPr>
      <w:r>
        <w:br w:type="page"/>
      </w:r>
      <w:bookmarkStart w:id="562" w:name="_Toc4588838"/>
      <w:r w:rsidR="002A21AE">
        <w:lastRenderedPageBreak/>
        <w:t>C:T Ratio Report</w:t>
      </w:r>
      <w:bookmarkEnd w:id="562"/>
      <w:r w:rsidR="002A21AE">
        <w:fldChar w:fldCharType="begin"/>
      </w:r>
      <w:r w:rsidR="002A21AE">
        <w:instrText xml:space="preserve"> XE </w:instrText>
      </w:r>
      <w:r w:rsidR="00FA7E65">
        <w:instrText>“</w:instrText>
      </w:r>
      <w:r w:rsidR="002A21AE">
        <w:instrText>C\:T Ratio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UC_104</w:t>
      </w:r>
      <w:r w:rsidR="002A21AE">
        <w:rPr>
          <w:rStyle w:val="CommentReference"/>
          <w:rFonts w:ascii="Times New Roman" w:hAnsi="Times New Roman" w:cs="Times New Roman"/>
          <w:b w:val="0"/>
          <w:bCs w:val="0"/>
          <w:vanish/>
        </w:rPr>
        <w:t xml:space="preserve"> </w:t>
      </w:r>
    </w:p>
    <w:p w14:paraId="59E752AB" w14:textId="77777777" w:rsidR="002A21AE" w:rsidRDefault="002A21AE" w:rsidP="00FA7E65">
      <w:pPr>
        <w:pStyle w:val="BodyText"/>
      </w:pPr>
      <w:r>
        <w:t xml:space="preserve">The user views </w:t>
      </w:r>
      <w:r w:rsidR="00EB1E5A">
        <w:t xml:space="preserve">and/or </w:t>
      </w:r>
      <w:r w:rsidR="00F86A79">
        <w:t>prints the C:T Ratio Report</w:t>
      </w:r>
      <w:r>
        <w:t>.</w:t>
      </w:r>
    </w:p>
    <w:p w14:paraId="1A5B56D8" w14:textId="77777777" w:rsidR="002A21AE" w:rsidRDefault="002A21AE">
      <w:pPr>
        <w:pStyle w:val="Heading4"/>
      </w:pPr>
      <w:r>
        <w:t>Assumptions</w:t>
      </w:r>
      <w:r>
        <w:rPr>
          <w:b w:val="0"/>
        </w:rPr>
        <w:t xml:space="preserve"> </w:t>
      </w:r>
    </w:p>
    <w:p w14:paraId="3D1F6573" w14:textId="77777777" w:rsidR="002A21AE" w:rsidRDefault="002A21AE">
      <w:pPr>
        <w:pStyle w:val="ListBullet"/>
      </w:pPr>
      <w:r>
        <w:t>Data for the report are available.</w:t>
      </w:r>
    </w:p>
    <w:p w14:paraId="7883C377" w14:textId="77777777" w:rsidR="002A21AE" w:rsidRDefault="002A21AE">
      <w:pPr>
        <w:pStyle w:val="Heading4"/>
      </w:pPr>
      <w:r>
        <w:t xml:space="preserve">Outcome </w:t>
      </w:r>
    </w:p>
    <w:p w14:paraId="71EEB280" w14:textId="77777777" w:rsidR="002A21AE" w:rsidRDefault="002A21AE">
      <w:pPr>
        <w:pStyle w:val="ListBullet"/>
      </w:pPr>
      <w:r>
        <w:t>The report is viewed or printed.</w:t>
      </w:r>
    </w:p>
    <w:p w14:paraId="6D42C585" w14:textId="77777777" w:rsidR="002A21AE" w:rsidRDefault="002A21AE">
      <w:pPr>
        <w:pStyle w:val="Heading4"/>
        <w:rPr>
          <w:b w:val="0"/>
        </w:rPr>
      </w:pPr>
      <w:r>
        <w:t>Limitations and Restrictions</w:t>
      </w:r>
      <w:r>
        <w:rPr>
          <w:b w:val="0"/>
        </w:rPr>
        <w:t xml:space="preserve"> </w:t>
      </w:r>
    </w:p>
    <w:p w14:paraId="35A0643F" w14:textId="77777777" w:rsidR="002A21AE" w:rsidRDefault="002A21AE">
      <w:pPr>
        <w:pStyle w:val="ListBullet"/>
      </w:pPr>
      <w:r>
        <w:t>None</w:t>
      </w:r>
    </w:p>
    <w:p w14:paraId="65329223" w14:textId="77777777" w:rsidR="002A21AE" w:rsidRDefault="002A21AE">
      <w:pPr>
        <w:pStyle w:val="Heading4"/>
      </w:pPr>
      <w:r>
        <w:t xml:space="preserve">Additional Information </w:t>
      </w:r>
    </w:p>
    <w:p w14:paraId="601D2CF8" w14:textId="77777777" w:rsidR="002A21AE" w:rsidRDefault="002A21AE">
      <w:pPr>
        <w:pStyle w:val="ListBullet"/>
      </w:pPr>
      <w:r>
        <w:t>This calculation does not include component classes that do not require XMs</w:t>
      </w:r>
      <w:r w:rsidR="002D3BEC">
        <w:t xml:space="preserve"> [</w:t>
      </w:r>
      <w:r w:rsidR="00095CB3">
        <w:t>FRESH FROZEN PLASMA</w:t>
      </w:r>
      <w:r>
        <w:t>, CRYOPRECIPITATE</w:t>
      </w:r>
      <w:r w:rsidR="00095CB3">
        <w:t>, PLATELETS (</w:t>
      </w:r>
      <w:r w:rsidR="002D3BEC">
        <w:t>&lt; 2 mL RBC contamination</w:t>
      </w:r>
      <w:r>
        <w:t xml:space="preserve"> and component types in the OTHER component class</w:t>
      </w:r>
      <w:r w:rsidR="002D3BEC">
        <w:t>)]</w:t>
      </w:r>
      <w:r>
        <w:t>.</w:t>
      </w:r>
    </w:p>
    <w:p w14:paraId="5A530148" w14:textId="77777777" w:rsidR="00F86A79" w:rsidRDefault="00F86A79" w:rsidP="00F86A79">
      <w:pPr>
        <w:pStyle w:val="ListBullet"/>
      </w:pPr>
      <w:r>
        <w:t>The report is available as a single-division or multidivisional (all divisions) report.</w:t>
      </w:r>
    </w:p>
    <w:p w14:paraId="3D65032B" w14:textId="77777777" w:rsidR="002A21AE" w:rsidRDefault="002A21AE">
      <w:pPr>
        <w:pStyle w:val="Heading4"/>
        <w:rPr>
          <w:b w:val="0"/>
        </w:rPr>
      </w:pPr>
      <w:r>
        <w:t>User Roles with Access to This Option</w:t>
      </w:r>
      <w:r>
        <w:rPr>
          <w:b w:val="0"/>
        </w:rPr>
        <w:t xml:space="preserve"> </w:t>
      </w:r>
    </w:p>
    <w:p w14:paraId="6737648E" w14:textId="77777777" w:rsidR="002A21AE" w:rsidRDefault="00606FB0">
      <w:pPr>
        <w:pStyle w:val="Roles"/>
      </w:pPr>
      <w:r>
        <w:t>All users</w:t>
      </w:r>
    </w:p>
    <w:p w14:paraId="531996EB" w14:textId="77777777" w:rsidR="002A21AE" w:rsidRDefault="002A21AE">
      <w:pPr>
        <w:pStyle w:val="Heading4"/>
      </w:pPr>
      <w:r>
        <w:t>C:T Ratio Report</w:t>
      </w:r>
      <w:r>
        <w:rPr>
          <w:rStyle w:val="CommentReference"/>
          <w:rFonts w:ascii="Times New Roman" w:hAnsi="Times New Roman"/>
          <w:b w:val="0"/>
          <w:bCs/>
          <w:vanish/>
        </w:rPr>
        <w:t xml:space="preserve"> </w:t>
      </w:r>
    </w:p>
    <w:p w14:paraId="17BF8E77" w14:textId="77777777" w:rsidR="002A21AE" w:rsidRDefault="002A21AE" w:rsidP="00FA7E65">
      <w:pPr>
        <w:pStyle w:val="BodyText"/>
      </w:pPr>
      <w:r>
        <w:t>This option compiles and calculates the crossmatch-</w:t>
      </w:r>
      <w:r w:rsidR="00991CFE">
        <w:t>to-transfusion ratio.</w:t>
      </w:r>
      <w:r w:rsidR="00517AC6">
        <w:t xml:space="preserve"> The user may select one of five report formats.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55415A0" w14:textId="77777777">
        <w:trPr>
          <w:cantSplit/>
          <w:tblHeader/>
        </w:trPr>
        <w:tc>
          <w:tcPr>
            <w:tcW w:w="3240" w:type="dxa"/>
            <w:shd w:val="pct30" w:color="auto" w:fill="FFFFFF"/>
            <w:vAlign w:val="bottom"/>
          </w:tcPr>
          <w:p w14:paraId="2AC91D95" w14:textId="77777777" w:rsidR="002A21AE" w:rsidRDefault="002A21AE">
            <w:pPr>
              <w:pStyle w:val="TableText"/>
              <w:rPr>
                <w:b/>
              </w:rPr>
            </w:pPr>
            <w:r>
              <w:rPr>
                <w:b/>
              </w:rPr>
              <w:t>User Action</w:t>
            </w:r>
          </w:p>
        </w:tc>
        <w:tc>
          <w:tcPr>
            <w:tcW w:w="6120" w:type="dxa"/>
            <w:shd w:val="pct30" w:color="auto" w:fill="FFFFFF"/>
            <w:vAlign w:val="bottom"/>
          </w:tcPr>
          <w:p w14:paraId="0080B95F" w14:textId="77777777" w:rsidR="002A21AE" w:rsidRDefault="002A21AE">
            <w:pPr>
              <w:pStyle w:val="TableText"/>
              <w:rPr>
                <w:b/>
              </w:rPr>
            </w:pPr>
            <w:r>
              <w:rPr>
                <w:b/>
              </w:rPr>
              <w:t>VBECS</w:t>
            </w:r>
          </w:p>
        </w:tc>
      </w:tr>
      <w:tr w:rsidR="002A21AE" w14:paraId="4E51CC9C" w14:textId="77777777">
        <w:tc>
          <w:tcPr>
            <w:tcW w:w="3240" w:type="dxa"/>
          </w:tcPr>
          <w:p w14:paraId="65CE8A18" w14:textId="77777777" w:rsidR="002A21AE" w:rsidRDefault="002A21AE">
            <w:pPr>
              <w:pStyle w:val="TableTextNumbers"/>
            </w:pPr>
            <w:r>
              <w:t xml:space="preserve">Select </w:t>
            </w:r>
            <w:r>
              <w:rPr>
                <w:b/>
              </w:rPr>
              <w:t>Reports</w:t>
            </w:r>
            <w:r>
              <w:t xml:space="preserve"> from the main menu.</w:t>
            </w:r>
          </w:p>
          <w:p w14:paraId="3F94A066" w14:textId="77777777" w:rsidR="002A21AE" w:rsidRDefault="002A21AE">
            <w:pPr>
              <w:pStyle w:val="TableTextNumbersContinued"/>
            </w:pPr>
          </w:p>
          <w:p w14:paraId="43DA2F30" w14:textId="77777777" w:rsidR="002A21AE" w:rsidRDefault="002A21AE">
            <w:pPr>
              <w:pStyle w:val="TableTextNumbersContinued"/>
            </w:pPr>
            <w:r>
              <w:t xml:space="preserve">Select </w:t>
            </w:r>
            <w:r>
              <w:rPr>
                <w:b/>
              </w:rPr>
              <w:t>C:T Ratio Report</w:t>
            </w:r>
            <w:r>
              <w:t>.</w:t>
            </w:r>
          </w:p>
        </w:tc>
        <w:tc>
          <w:tcPr>
            <w:tcW w:w="6120" w:type="dxa"/>
          </w:tcPr>
          <w:p w14:paraId="24511EE1" w14:textId="77777777" w:rsidR="002A21AE" w:rsidRDefault="002A21AE">
            <w:pPr>
              <w:pStyle w:val="TableTextBullet"/>
            </w:pPr>
            <w:r>
              <w:t>Lists report names.</w:t>
            </w:r>
          </w:p>
          <w:p w14:paraId="571A5A6E" w14:textId="77777777" w:rsidR="002A21AE" w:rsidRDefault="002A21AE">
            <w:pPr>
              <w:pStyle w:val="TableTextBullet"/>
            </w:pPr>
            <w:r>
              <w:t xml:space="preserve">Displays report type and compilation criteria. </w:t>
            </w:r>
          </w:p>
          <w:p w14:paraId="290C0CBF" w14:textId="77777777" w:rsidR="002A21AE" w:rsidRDefault="002A21AE">
            <w:pPr>
              <w:pStyle w:val="TableTextBullet"/>
            </w:pPr>
            <w:r>
              <w:t xml:space="preserve">Displays a crossmatched date range for selection. </w:t>
            </w:r>
          </w:p>
        </w:tc>
      </w:tr>
      <w:tr w:rsidR="002A21AE" w14:paraId="47E1AE6A" w14:textId="77777777">
        <w:tc>
          <w:tcPr>
            <w:tcW w:w="3240" w:type="dxa"/>
          </w:tcPr>
          <w:p w14:paraId="3323529E" w14:textId="77777777" w:rsidR="002A21AE" w:rsidRDefault="002A21AE">
            <w:pPr>
              <w:pStyle w:val="TableTextNumbers"/>
            </w:pPr>
            <w:r>
              <w:t>Enter a crossmatched date range.</w:t>
            </w:r>
          </w:p>
        </w:tc>
        <w:tc>
          <w:tcPr>
            <w:tcW w:w="6120" w:type="dxa"/>
          </w:tcPr>
          <w:p w14:paraId="6D2537FC" w14:textId="77777777" w:rsidR="002A21AE" w:rsidRDefault="002A21AE" w:rsidP="00960693">
            <w:pPr>
              <w:pStyle w:val="TableTextBullet"/>
            </w:pPr>
            <w:r>
              <w:t>Displays an option to compile the report for one or all divisions in the database.</w:t>
            </w:r>
          </w:p>
        </w:tc>
      </w:tr>
      <w:tr w:rsidR="002A21AE" w14:paraId="759A6601" w14:textId="77777777">
        <w:tc>
          <w:tcPr>
            <w:tcW w:w="3240" w:type="dxa"/>
          </w:tcPr>
          <w:p w14:paraId="37ECF9B1" w14:textId="77777777" w:rsidR="002A21AE" w:rsidRDefault="002A21AE">
            <w:pPr>
              <w:pStyle w:val="TableTextNumbers"/>
            </w:pPr>
            <w:r>
              <w:t xml:space="preserve">Click the </w:t>
            </w:r>
            <w:r>
              <w:rPr>
                <w:b/>
              </w:rPr>
              <w:t>Current Division</w:t>
            </w:r>
            <w:r>
              <w:t xml:space="preserve"> or </w:t>
            </w:r>
            <w:r>
              <w:rPr>
                <w:b/>
              </w:rPr>
              <w:t>All Divisions</w:t>
            </w:r>
            <w:r>
              <w:t xml:space="preserve"> </w:t>
            </w:r>
            <w:r w:rsidRPr="00BF2E41">
              <w:t>radio button</w:t>
            </w:r>
            <w:r>
              <w:t>.</w:t>
            </w:r>
          </w:p>
        </w:tc>
        <w:tc>
          <w:tcPr>
            <w:tcW w:w="6120" w:type="dxa"/>
          </w:tcPr>
          <w:p w14:paraId="1933C555" w14:textId="77777777" w:rsidR="002A21AE" w:rsidRDefault="002A21AE">
            <w:pPr>
              <w:pStyle w:val="TableTextBullet"/>
            </w:pPr>
            <w:r>
              <w:t>Allows the user to select a report format.</w:t>
            </w:r>
          </w:p>
          <w:p w14:paraId="72261309" w14:textId="77777777" w:rsidR="002A21AE" w:rsidRDefault="002A21AE">
            <w:pPr>
              <w:pStyle w:val="TableText"/>
            </w:pPr>
          </w:p>
          <w:p w14:paraId="39B53336" w14:textId="77777777" w:rsidR="002A21AE" w:rsidRDefault="00057948">
            <w:pPr>
              <w:pStyle w:val="TableText"/>
              <w:rPr>
                <w:b/>
                <w:bCs/>
                <w:szCs w:val="18"/>
              </w:rPr>
            </w:pPr>
            <w:r>
              <w:rPr>
                <w:b/>
                <w:bCs/>
                <w:noProof/>
              </w:rPr>
              <mc:AlternateContent>
                <mc:Choice Requires="wps">
                  <w:drawing>
                    <wp:anchor distT="0" distB="0" distL="114300" distR="114300" simplePos="0" relativeHeight="251591168" behindDoc="0" locked="0" layoutInCell="1" allowOverlap="1" wp14:anchorId="05839420" wp14:editId="103245AB">
                      <wp:simplePos x="0" y="0"/>
                      <wp:positionH relativeFrom="column">
                        <wp:posOffset>457200</wp:posOffset>
                      </wp:positionH>
                      <wp:positionV relativeFrom="paragraph">
                        <wp:posOffset>65405</wp:posOffset>
                      </wp:positionV>
                      <wp:extent cx="3200400" cy="0"/>
                      <wp:effectExtent l="9525" t="17780" r="9525" b="10795"/>
                      <wp:wrapNone/>
                      <wp:docPr id="289" name="Line 883" descr="P10105C8T11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361F1" id="Line 883" o:spid="_x0000_s1026" alt="&quot;&quot;" style="position:absolute;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tKPPyM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777A6AAB" w14:textId="77777777" w:rsidR="002A21AE" w:rsidRDefault="002A21AE">
            <w:pPr>
              <w:pStyle w:val="NotesText"/>
            </w:pPr>
          </w:p>
          <w:p w14:paraId="2E5B09F9" w14:textId="77777777" w:rsidR="002A21AE" w:rsidRDefault="002A21AE">
            <w:pPr>
              <w:pStyle w:val="NotesText"/>
            </w:pPr>
            <w:r>
              <w:rPr>
                <w:rFonts w:cs="Arial"/>
                <w:vanish/>
              </w:rPr>
              <w:t xml:space="preserve">BR_104.08 </w:t>
            </w:r>
            <w:r>
              <w:t>The user may request the</w:t>
            </w:r>
            <w:r w:rsidR="003D604B">
              <w:t xml:space="preserve"> Detailed R</w:t>
            </w:r>
            <w:r w:rsidR="0068564B">
              <w:t>eport, Physician Summary Report</w:t>
            </w:r>
            <w:r w:rsidR="003D604B">
              <w:t>, Treating Specialty Summary Report</w:t>
            </w:r>
            <w:r w:rsidR="0068564B">
              <w:t>, Detailed Report with Physician Summary, or Detailed Report with Treating Specialty Summary</w:t>
            </w:r>
            <w:r w:rsidR="003D604B">
              <w:t>.</w:t>
            </w:r>
            <w:r>
              <w:t xml:space="preserve"> </w:t>
            </w:r>
          </w:p>
        </w:tc>
      </w:tr>
      <w:tr w:rsidR="002A21AE" w14:paraId="1E7E545F" w14:textId="77777777">
        <w:tc>
          <w:tcPr>
            <w:tcW w:w="3240" w:type="dxa"/>
          </w:tcPr>
          <w:p w14:paraId="3F481851" w14:textId="77777777" w:rsidR="002A21AE" w:rsidRDefault="002A21AE">
            <w:pPr>
              <w:pStyle w:val="TableTextNumbers"/>
            </w:pPr>
            <w:r>
              <w:t>Click a radio button to select a report format:</w:t>
            </w:r>
          </w:p>
          <w:p w14:paraId="4BD9C141" w14:textId="77777777" w:rsidR="002A21AE" w:rsidRPr="00945BF5" w:rsidRDefault="002A21AE">
            <w:pPr>
              <w:pStyle w:val="TableTextNumbersBullet"/>
              <w:rPr>
                <w:b/>
              </w:rPr>
            </w:pPr>
            <w:r w:rsidRPr="00945BF5">
              <w:rPr>
                <w:b/>
              </w:rPr>
              <w:t>Detailed Report</w:t>
            </w:r>
          </w:p>
          <w:p w14:paraId="7BD7AEAE" w14:textId="77777777" w:rsidR="002A21AE" w:rsidRPr="00945BF5" w:rsidRDefault="002A21AE">
            <w:pPr>
              <w:pStyle w:val="TableTextNumbersBullet"/>
              <w:rPr>
                <w:b/>
              </w:rPr>
            </w:pPr>
            <w:r w:rsidRPr="00945BF5">
              <w:rPr>
                <w:b/>
              </w:rPr>
              <w:t>Physician Summary Report</w:t>
            </w:r>
          </w:p>
          <w:p w14:paraId="1C5541C6" w14:textId="77777777" w:rsidR="002A21AE" w:rsidRPr="00945BF5" w:rsidRDefault="002A21AE">
            <w:pPr>
              <w:pStyle w:val="TableTextNumbersBullet"/>
              <w:rPr>
                <w:b/>
              </w:rPr>
            </w:pPr>
            <w:r w:rsidRPr="00945BF5">
              <w:rPr>
                <w:b/>
              </w:rPr>
              <w:t>Treating Specialty Summary Report</w:t>
            </w:r>
          </w:p>
          <w:p w14:paraId="0DC90673" w14:textId="77777777" w:rsidR="002A21AE" w:rsidRPr="00945BF5" w:rsidRDefault="002A21AE">
            <w:pPr>
              <w:pStyle w:val="TableTextNumbersBullet"/>
              <w:rPr>
                <w:b/>
              </w:rPr>
            </w:pPr>
            <w:r w:rsidRPr="00945BF5">
              <w:rPr>
                <w:b/>
              </w:rPr>
              <w:t>Detailed Report with Physician Summary</w:t>
            </w:r>
          </w:p>
          <w:p w14:paraId="7409221F" w14:textId="77777777" w:rsidR="002A21AE" w:rsidRDefault="002A21AE">
            <w:pPr>
              <w:pStyle w:val="TableTextNumbersBullet"/>
            </w:pPr>
            <w:r w:rsidRPr="00945BF5">
              <w:rPr>
                <w:b/>
              </w:rPr>
              <w:lastRenderedPageBreak/>
              <w:t>Detailed Report with Treating Specialty Summary</w:t>
            </w:r>
          </w:p>
        </w:tc>
        <w:tc>
          <w:tcPr>
            <w:tcW w:w="6120" w:type="dxa"/>
          </w:tcPr>
          <w:p w14:paraId="1D6EEFE2" w14:textId="77777777" w:rsidR="002A21AE" w:rsidRDefault="002A21AE">
            <w:pPr>
              <w:pStyle w:val="TableTextBullet"/>
            </w:pPr>
            <w:r>
              <w:lastRenderedPageBreak/>
              <w:t>Compiles the report and displays an option to print the report or exit.</w:t>
            </w:r>
          </w:p>
          <w:p w14:paraId="43F564E1" w14:textId="77777777" w:rsidR="002A21AE" w:rsidRDefault="002A21AE">
            <w:pPr>
              <w:pStyle w:val="TableText"/>
            </w:pPr>
          </w:p>
          <w:p w14:paraId="382BD2EC" w14:textId="77777777" w:rsidR="002A21AE" w:rsidRDefault="00057948">
            <w:pPr>
              <w:pStyle w:val="TableText"/>
              <w:rPr>
                <w:b/>
                <w:bCs/>
                <w:szCs w:val="18"/>
              </w:rPr>
            </w:pPr>
            <w:r>
              <w:rPr>
                <w:b/>
                <w:bCs/>
                <w:noProof/>
              </w:rPr>
              <mc:AlternateContent>
                <mc:Choice Requires="wps">
                  <w:drawing>
                    <wp:anchor distT="0" distB="0" distL="114300" distR="114300" simplePos="0" relativeHeight="251593216" behindDoc="0" locked="0" layoutInCell="1" allowOverlap="1" wp14:anchorId="6FC777DF" wp14:editId="73A76BB6">
                      <wp:simplePos x="0" y="0"/>
                      <wp:positionH relativeFrom="column">
                        <wp:posOffset>457200</wp:posOffset>
                      </wp:positionH>
                      <wp:positionV relativeFrom="paragraph">
                        <wp:posOffset>65405</wp:posOffset>
                      </wp:positionV>
                      <wp:extent cx="3200400" cy="0"/>
                      <wp:effectExtent l="9525" t="17780" r="9525" b="10795"/>
                      <wp:wrapNone/>
                      <wp:docPr id="288" name="Line 884" descr="P10117C10T11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2A6C7" id="Line 884" o:spid="_x0000_s1026" alt="&quot;&quot;" style="position:absolute;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CrUzoCwgEAAG4DAAAOAAAAAAAAAAAAAAAAAC4C&#10;AABkcnMvZTJvRG9jLnhtbFBLAQItABQABgAIAAAAIQAXTzAS2wAAAAgBAAAPAAAAAAAAAAAAAAAA&#10;ABwEAABkcnMvZG93bnJldi54bWxQSwUGAAAAAAQABADzAAAAJAUAAAAA&#10;" strokeweight="1.5pt"/>
                  </w:pict>
                </mc:Fallback>
              </mc:AlternateContent>
            </w:r>
            <w:r w:rsidR="002A21AE">
              <w:rPr>
                <w:b/>
                <w:bCs/>
                <w:szCs w:val="18"/>
              </w:rPr>
              <w:t>NOTES</w:t>
            </w:r>
          </w:p>
          <w:p w14:paraId="044770A5" w14:textId="77777777" w:rsidR="002A21AE" w:rsidRDefault="002A21AE">
            <w:pPr>
              <w:pStyle w:val="NotesText"/>
            </w:pPr>
          </w:p>
          <w:p w14:paraId="43B9134D" w14:textId="77777777" w:rsidR="00727AC7" w:rsidRDefault="002A21AE" w:rsidP="00727AC7">
            <w:pPr>
              <w:pStyle w:val="NotesText"/>
              <w:rPr>
                <w:rFonts w:cs="Arial"/>
                <w:vanish/>
              </w:rPr>
            </w:pPr>
            <w:r>
              <w:rPr>
                <w:rFonts w:cs="Arial"/>
                <w:vanish/>
              </w:rPr>
              <w:t xml:space="preserve">BR_104.03 </w:t>
            </w:r>
            <w:r>
              <w:t>The physician included in this report is the ordering physician.</w:t>
            </w:r>
            <w:r w:rsidR="00A1063F">
              <w:t xml:space="preserve"> </w:t>
            </w:r>
            <w:r w:rsidR="00727AC7">
              <w:rPr>
                <w:rFonts w:cs="Arial"/>
                <w:vanish/>
              </w:rPr>
              <w:t xml:space="preserve"> </w:t>
            </w:r>
          </w:p>
          <w:p w14:paraId="2E265501" w14:textId="77777777" w:rsidR="00727AC7" w:rsidRDefault="00727AC7" w:rsidP="00727AC7">
            <w:pPr>
              <w:pStyle w:val="NotesText"/>
              <w:rPr>
                <w:rFonts w:cs="Arial"/>
                <w:vanish/>
              </w:rPr>
            </w:pPr>
          </w:p>
          <w:p w14:paraId="0F97CDA6" w14:textId="77777777" w:rsidR="00727AC7" w:rsidRDefault="00727AC7" w:rsidP="00727AC7">
            <w:pPr>
              <w:pStyle w:val="NotesText"/>
            </w:pPr>
            <w:r>
              <w:rPr>
                <w:rFonts w:cs="Arial"/>
                <w:vanish/>
              </w:rPr>
              <w:t xml:space="preserve">BR_104.06 </w:t>
            </w:r>
            <w:r>
              <w:t xml:space="preserve">VBECS compiles the C:T ratio report as a summary or detailed report. All versions include a single C:T ratio for the division. </w:t>
            </w:r>
          </w:p>
          <w:p w14:paraId="4DB91B51" w14:textId="77777777" w:rsidR="00727AC7" w:rsidRDefault="00727AC7" w:rsidP="00727AC7">
            <w:pPr>
              <w:pStyle w:val="NotesText"/>
            </w:pPr>
          </w:p>
          <w:p w14:paraId="5159CD3D" w14:textId="77777777" w:rsidR="00727AC7" w:rsidRDefault="00727AC7" w:rsidP="00727AC7">
            <w:pPr>
              <w:pStyle w:val="NotesText"/>
            </w:pPr>
            <w:r>
              <w:lastRenderedPageBreak/>
              <w:t xml:space="preserve">VBECS determines the C:T ratio for a division by dividing the number of units crossmatched </w:t>
            </w:r>
            <w:r w:rsidR="001F0C1C">
              <w:t>(electronic</w:t>
            </w:r>
            <w:r w:rsidR="00A9622F">
              <w:t>ally</w:t>
            </w:r>
            <w:r w:rsidR="001F0C1C">
              <w:t xml:space="preserve"> or serologic) </w:t>
            </w:r>
            <w:r>
              <w:t xml:space="preserve">during the period selected by the number of units transfused at the division. </w:t>
            </w:r>
          </w:p>
          <w:p w14:paraId="7D237CB1" w14:textId="77777777" w:rsidR="00727AC7" w:rsidRDefault="00727AC7" w:rsidP="00727AC7">
            <w:pPr>
              <w:pStyle w:val="NotesText"/>
            </w:pPr>
          </w:p>
          <w:p w14:paraId="557382D8" w14:textId="77777777" w:rsidR="002A21AE" w:rsidRDefault="00727AC7" w:rsidP="00727AC7">
            <w:pPr>
              <w:pStyle w:val="NotesText"/>
            </w:pPr>
            <w:r>
              <w:t>This calculation does not include units with a XM result of “Compatible - Don’t Transfuse” or “Incompatible - Unsafe to Transfuse.”</w:t>
            </w:r>
          </w:p>
          <w:p w14:paraId="4B6F6BB7" w14:textId="77777777" w:rsidR="00960693" w:rsidRDefault="00960693" w:rsidP="00960693">
            <w:pPr>
              <w:pStyle w:val="NotesText"/>
            </w:pPr>
          </w:p>
          <w:p w14:paraId="0C841DC1" w14:textId="77777777" w:rsidR="00960693" w:rsidRDefault="00960693" w:rsidP="00960693">
            <w:pPr>
              <w:pStyle w:val="NotesText"/>
            </w:pPr>
            <w:r>
              <w:rPr>
                <w:rFonts w:cs="Arial"/>
                <w:vanish/>
              </w:rPr>
              <w:t xml:space="preserve">BR_104.07 </w:t>
            </w:r>
            <w:r>
              <w:t xml:space="preserve">The detailed C:T ratio report includes a list of units crossmatched </w:t>
            </w:r>
            <w:r w:rsidR="00270ABE">
              <w:t>(electronic</w:t>
            </w:r>
            <w:r w:rsidR="00A9622F">
              <w:t>ally</w:t>
            </w:r>
            <w:r w:rsidR="00270ABE">
              <w:t xml:space="preserve"> or serologic) </w:t>
            </w:r>
            <w:r>
              <w:t>for a patient during the selected date range. The report includes the unit ID, physician name, treating specialty, XM interpretation, date and time the XM was completed, product short name, and an indication as to whether the unit was transfused or presumed transfused.</w:t>
            </w:r>
          </w:p>
          <w:p w14:paraId="43763986" w14:textId="77777777" w:rsidR="002A21AE" w:rsidRDefault="002A21AE">
            <w:pPr>
              <w:pStyle w:val="NotesText"/>
            </w:pPr>
          </w:p>
          <w:p w14:paraId="29899D4D" w14:textId="77777777" w:rsidR="002A21AE" w:rsidRDefault="002A21AE">
            <w:pPr>
              <w:pStyle w:val="NotesText"/>
            </w:pPr>
            <w:r>
              <w:rPr>
                <w:rFonts w:cs="Arial"/>
                <w:vanish/>
              </w:rPr>
              <w:t xml:space="preserve">BR_104.04 </w:t>
            </w:r>
            <w:r>
              <w:t xml:space="preserve">VBECS determines the C:T ratio for a physician by dividing the number of units that were crossmatched </w:t>
            </w:r>
            <w:r w:rsidR="00270ABE">
              <w:t>(electronic</w:t>
            </w:r>
            <w:r w:rsidR="00A9622F">
              <w:t>ally</w:t>
            </w:r>
            <w:r w:rsidR="00270ABE">
              <w:t xml:space="preserve"> or serologic) </w:t>
            </w:r>
            <w:r>
              <w:t xml:space="preserve">during the period selected by the number of transfused units. </w:t>
            </w:r>
          </w:p>
          <w:p w14:paraId="1F6461B9" w14:textId="77777777" w:rsidR="002A21AE" w:rsidRDefault="002A21AE">
            <w:pPr>
              <w:pStyle w:val="NotesText"/>
            </w:pPr>
          </w:p>
          <w:p w14:paraId="6905CC5F" w14:textId="77777777" w:rsidR="002A21AE" w:rsidRDefault="002A21AE" w:rsidP="00727AC7">
            <w:pPr>
              <w:pStyle w:val="NotesText"/>
            </w:pPr>
            <w:r>
              <w:rPr>
                <w:rFonts w:cs="Arial"/>
                <w:vanish/>
              </w:rPr>
              <w:t xml:space="preserve">BR_104.05 </w:t>
            </w:r>
            <w:r>
              <w:t xml:space="preserve">VBECS determines the C:T ratio for a treating specialty by dividing the number of units crossmatched </w:t>
            </w:r>
            <w:r w:rsidR="00270ABE">
              <w:t>(electronic</w:t>
            </w:r>
            <w:r w:rsidR="00A9622F">
              <w:t>ally</w:t>
            </w:r>
            <w:r w:rsidR="00270ABE">
              <w:t xml:space="preserve"> or serologic) </w:t>
            </w:r>
            <w:r>
              <w:t xml:space="preserve">for all patients listed in that treating specialty by the number of units transfused to all patients listed for that specialty. </w:t>
            </w:r>
          </w:p>
        </w:tc>
      </w:tr>
      <w:tr w:rsidR="002A21AE" w14:paraId="2BF7BBBE" w14:textId="77777777">
        <w:tc>
          <w:tcPr>
            <w:tcW w:w="3240" w:type="dxa"/>
          </w:tcPr>
          <w:p w14:paraId="6F777DA7" w14:textId="77777777" w:rsidR="002A21AE" w:rsidRDefault="002A21AE">
            <w:pPr>
              <w:pStyle w:val="TableTextNumbers"/>
            </w:pPr>
            <w:r>
              <w:lastRenderedPageBreak/>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561C51E6" w14:textId="77777777" w:rsidR="002A21AE" w:rsidRDefault="002A21AE">
            <w:pPr>
              <w:pStyle w:val="TableTextNumbersContinued"/>
            </w:pPr>
          </w:p>
          <w:p w14:paraId="177EC37E"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751E7191" w14:textId="77777777" w:rsidR="005B6A94" w:rsidRDefault="002A21AE" w:rsidP="00AA2B2E">
            <w:pPr>
              <w:pStyle w:val="TableTextBullet"/>
            </w:pPr>
            <w:r>
              <w:t>Compiles and displays the report.</w:t>
            </w:r>
          </w:p>
        </w:tc>
      </w:tr>
      <w:tr w:rsidR="002A21AE" w14:paraId="689A9409" w14:textId="77777777">
        <w:tc>
          <w:tcPr>
            <w:tcW w:w="3240" w:type="dxa"/>
          </w:tcPr>
          <w:p w14:paraId="59EA296F" w14:textId="4724247F" w:rsidR="002A21AE" w:rsidRDefault="005C22EF">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fldLock="1"/>
            </w:r>
            <w:r w:rsidRPr="0076371D">
              <w:rPr>
                <w:szCs w:val="18"/>
              </w:rPr>
              <w:instrText xml:space="preserve"> REF _Ref2774509 \h  \* MERGEFORMAT </w:instrText>
            </w:r>
            <w:r w:rsidRPr="0076371D">
              <w:rPr>
                <w:szCs w:val="18"/>
              </w:rPr>
            </w:r>
            <w:r w:rsidRPr="0076371D">
              <w:rPr>
                <w:szCs w:val="18"/>
              </w:rPr>
              <w:fldChar w:fldCharType="separate"/>
            </w:r>
            <w:r w:rsidR="00AB304C" w:rsidRPr="00AB304C">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2A21AE" w:rsidRPr="00B93B42">
              <w:rPr>
                <w:rStyle w:val="StyleTableTextNumbersWhite1Char"/>
              </w:rPr>
              <w:t xml:space="preserve"> </w:t>
            </w:r>
            <w:r w:rsidR="002A21AE">
              <w:rPr>
                <w:vanish/>
                <w:color w:val="FFFFFF"/>
                <w:szCs w:val="18"/>
              </w:rPr>
              <w:fldChar w:fldCharType="begin"/>
            </w:r>
            <w:r w:rsidR="002A21AE">
              <w:rPr>
                <w:vanish/>
                <w:color w:val="FFFFFF"/>
                <w:szCs w:val="18"/>
              </w:rPr>
              <w:instrText xml:space="preserve"> LISTNUM \l 1 \s 0 </w:instrText>
            </w:r>
            <w:r w:rsidR="002A21AE">
              <w:rPr>
                <w:vanish/>
                <w:color w:val="FFFFFF"/>
                <w:szCs w:val="18"/>
              </w:rPr>
              <w:fldChar w:fldCharType="end"/>
            </w:r>
          </w:p>
        </w:tc>
        <w:tc>
          <w:tcPr>
            <w:tcW w:w="6120" w:type="dxa"/>
          </w:tcPr>
          <w:p w14:paraId="32D7F4B4" w14:textId="77777777" w:rsidR="005C22EF" w:rsidRDefault="005C22EF" w:rsidP="005C22EF">
            <w:pPr>
              <w:pStyle w:val="TableTextBullet"/>
            </w:pPr>
            <w:r>
              <w:t>If Print is selected, prints the report on the designated printer.</w:t>
            </w:r>
          </w:p>
          <w:p w14:paraId="21D378BB" w14:textId="77777777" w:rsidR="005C22EF" w:rsidRDefault="005C22EF" w:rsidP="005C22EF">
            <w:pPr>
              <w:pStyle w:val="TableTextBullet"/>
            </w:pPr>
            <w:r>
              <w:t>If Export is selected, exports the report to the designated file.</w:t>
            </w:r>
          </w:p>
          <w:p w14:paraId="0744771F" w14:textId="48CB6185" w:rsidR="002A21AE" w:rsidRDefault="005C22EF" w:rsidP="005C22EF">
            <w:pPr>
              <w:pStyle w:val="TableTextBullet"/>
            </w:pPr>
            <w:r>
              <w:t>If Close is selected, exits the report preview.</w:t>
            </w:r>
          </w:p>
        </w:tc>
      </w:tr>
    </w:tbl>
    <w:p w14:paraId="0D2E0AD1" w14:textId="77777777" w:rsidR="00F55832" w:rsidRDefault="00F55832">
      <w:pPr>
        <w:pStyle w:val="Heading2"/>
      </w:pPr>
    </w:p>
    <w:p w14:paraId="3A61BCD5" w14:textId="77777777" w:rsidR="002A21AE" w:rsidRDefault="00F55832">
      <w:pPr>
        <w:pStyle w:val="Heading2"/>
      </w:pPr>
      <w:r>
        <w:br w:type="page"/>
      </w:r>
      <w:bookmarkStart w:id="563" w:name="_Toc4588839"/>
      <w:r w:rsidR="002A21AE">
        <w:lastRenderedPageBreak/>
        <w:t>Division Transfusion Report</w:t>
      </w:r>
      <w:bookmarkEnd w:id="563"/>
      <w:r w:rsidR="002A21AE">
        <w:fldChar w:fldCharType="begin"/>
      </w:r>
      <w:r w:rsidR="002A21AE">
        <w:instrText xml:space="preserve"> XE </w:instrText>
      </w:r>
      <w:r w:rsidR="00FA7E65">
        <w:instrText>“</w:instrText>
      </w:r>
      <w:r w:rsidR="002A21AE">
        <w:instrText>Division Transfusion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UC_74</w:t>
      </w:r>
      <w:r w:rsidR="002A21AE">
        <w:rPr>
          <w:rStyle w:val="CommentReference"/>
          <w:rFonts w:ascii="Times New Roman" w:hAnsi="Times New Roman" w:cs="Times New Roman"/>
          <w:b w:val="0"/>
          <w:bCs w:val="0"/>
          <w:vanish/>
        </w:rPr>
        <w:t xml:space="preserve"> </w:t>
      </w:r>
    </w:p>
    <w:p w14:paraId="5296071A" w14:textId="77777777" w:rsidR="002A21AE" w:rsidRDefault="002A21AE" w:rsidP="00FA7E65">
      <w:pPr>
        <w:pStyle w:val="BodyText"/>
      </w:pPr>
      <w:r>
        <w:t xml:space="preserve">The user views </w:t>
      </w:r>
      <w:r w:rsidR="00EB1E5A">
        <w:t xml:space="preserve">and/or </w:t>
      </w:r>
      <w:r>
        <w:t>prints the Division Transfusion Report.</w:t>
      </w:r>
    </w:p>
    <w:p w14:paraId="609B5479" w14:textId="77777777" w:rsidR="002A21AE" w:rsidRDefault="002A21AE">
      <w:pPr>
        <w:pStyle w:val="Heading4"/>
      </w:pPr>
      <w:r>
        <w:t>Assumptions</w:t>
      </w:r>
      <w:r>
        <w:rPr>
          <w:b w:val="0"/>
        </w:rPr>
        <w:t xml:space="preserve"> </w:t>
      </w:r>
    </w:p>
    <w:p w14:paraId="4204929A" w14:textId="77777777" w:rsidR="002A21AE" w:rsidRDefault="002A21AE">
      <w:pPr>
        <w:pStyle w:val="ListBullet"/>
      </w:pPr>
      <w:r>
        <w:t>Transfused unit data for the report were saved in VBECS.</w:t>
      </w:r>
    </w:p>
    <w:p w14:paraId="44790652" w14:textId="77777777" w:rsidR="002A21AE" w:rsidRDefault="002A21AE">
      <w:pPr>
        <w:pStyle w:val="Heading4"/>
      </w:pPr>
      <w:r>
        <w:t xml:space="preserve">Outcome </w:t>
      </w:r>
    </w:p>
    <w:p w14:paraId="71F45299" w14:textId="77777777" w:rsidR="002A21AE" w:rsidRDefault="00AE521B">
      <w:pPr>
        <w:pStyle w:val="ListBullet"/>
      </w:pPr>
      <w:r>
        <w:t>The user views and/or prints the report</w:t>
      </w:r>
      <w:r w:rsidR="002A21AE">
        <w:t xml:space="preserve">. </w:t>
      </w:r>
    </w:p>
    <w:p w14:paraId="4511BD7B" w14:textId="77777777" w:rsidR="002A21AE" w:rsidRDefault="002A21AE">
      <w:pPr>
        <w:pStyle w:val="Heading4"/>
        <w:rPr>
          <w:b w:val="0"/>
        </w:rPr>
      </w:pPr>
      <w:r>
        <w:t>Limitations and Restrictions</w:t>
      </w:r>
      <w:r>
        <w:rPr>
          <w:b w:val="0"/>
        </w:rPr>
        <w:t xml:space="preserve"> </w:t>
      </w:r>
    </w:p>
    <w:p w14:paraId="549EE1F0" w14:textId="77777777" w:rsidR="002A21AE" w:rsidRDefault="002A21AE">
      <w:pPr>
        <w:pStyle w:val="ListBullet"/>
      </w:pPr>
      <w:r>
        <w:t>None</w:t>
      </w:r>
    </w:p>
    <w:p w14:paraId="6E4E8E40" w14:textId="77777777" w:rsidR="002A21AE" w:rsidRDefault="002A21AE">
      <w:pPr>
        <w:pStyle w:val="Heading4"/>
      </w:pPr>
      <w:r>
        <w:t xml:space="preserve">Additional Information </w:t>
      </w:r>
    </w:p>
    <w:p w14:paraId="56B413D3" w14:textId="77777777" w:rsidR="002A21AE" w:rsidRDefault="002A21AE">
      <w:pPr>
        <w:pStyle w:val="ListBullet"/>
      </w:pPr>
      <w:r>
        <w:rPr>
          <w:rFonts w:ascii="Arial" w:hAnsi="Arial" w:cs="Arial"/>
          <w:vanish/>
          <w:spacing w:val="0"/>
          <w:sz w:val="18"/>
        </w:rPr>
        <w:t xml:space="preserve">BR_74.01 </w:t>
      </w:r>
      <w:r>
        <w:t>VBECS compiles data for the report from the user’s login division.</w:t>
      </w:r>
    </w:p>
    <w:p w14:paraId="5569791E" w14:textId="77777777" w:rsidR="002A21AE" w:rsidRDefault="002A21AE">
      <w:pPr>
        <w:pStyle w:val="Heading4"/>
        <w:rPr>
          <w:b w:val="0"/>
        </w:rPr>
      </w:pPr>
      <w:r>
        <w:t>User Roles with Access to This Option</w:t>
      </w:r>
      <w:r>
        <w:rPr>
          <w:b w:val="0"/>
        </w:rPr>
        <w:t xml:space="preserve"> </w:t>
      </w:r>
    </w:p>
    <w:p w14:paraId="4A584A37" w14:textId="77777777" w:rsidR="002A21AE" w:rsidRDefault="00606FB0">
      <w:pPr>
        <w:pStyle w:val="Roles"/>
      </w:pPr>
      <w:r>
        <w:t>All users</w:t>
      </w:r>
    </w:p>
    <w:p w14:paraId="38240369" w14:textId="77777777" w:rsidR="002A21AE" w:rsidRDefault="002A21AE">
      <w:pPr>
        <w:pStyle w:val="Heading4"/>
      </w:pPr>
      <w:r>
        <w:t xml:space="preserve">Division Transfusion Report </w:t>
      </w:r>
    </w:p>
    <w:p w14:paraId="58A3AE68" w14:textId="77777777" w:rsidR="002A21AE" w:rsidRDefault="002A21AE" w:rsidP="00FA7E65">
      <w:pPr>
        <w:pStyle w:val="BodyText"/>
      </w:pPr>
      <w:r>
        <w:t xml:space="preserve">The user views </w:t>
      </w:r>
      <w:r w:rsidR="00EB1E5A">
        <w:t xml:space="preserve">and/or </w:t>
      </w:r>
      <w:r>
        <w:t>prints a Division Transfusion Report</w:t>
      </w:r>
      <w:r w:rsidR="000E7CF5">
        <w:t>, which lists details of units transfused during a selected period</w:t>
      </w:r>
      <w: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12E27061" w14:textId="77777777">
        <w:trPr>
          <w:cantSplit/>
          <w:tblHeader/>
        </w:trPr>
        <w:tc>
          <w:tcPr>
            <w:tcW w:w="3240" w:type="dxa"/>
            <w:shd w:val="pct30" w:color="auto" w:fill="FFFFFF"/>
            <w:vAlign w:val="bottom"/>
          </w:tcPr>
          <w:p w14:paraId="1A66AEC4" w14:textId="77777777" w:rsidR="002A21AE" w:rsidRDefault="002A21AE">
            <w:pPr>
              <w:pStyle w:val="TableText"/>
              <w:rPr>
                <w:b/>
              </w:rPr>
            </w:pPr>
            <w:r>
              <w:rPr>
                <w:b/>
              </w:rPr>
              <w:t>User Action</w:t>
            </w:r>
          </w:p>
        </w:tc>
        <w:tc>
          <w:tcPr>
            <w:tcW w:w="6120" w:type="dxa"/>
            <w:shd w:val="pct30" w:color="auto" w:fill="FFFFFF"/>
            <w:vAlign w:val="bottom"/>
          </w:tcPr>
          <w:p w14:paraId="704B46A7" w14:textId="77777777" w:rsidR="002A21AE" w:rsidRDefault="002A21AE">
            <w:pPr>
              <w:pStyle w:val="TableText"/>
              <w:rPr>
                <w:b/>
              </w:rPr>
            </w:pPr>
            <w:r>
              <w:rPr>
                <w:b/>
              </w:rPr>
              <w:t>VBECS</w:t>
            </w:r>
          </w:p>
        </w:tc>
      </w:tr>
      <w:tr w:rsidR="002A21AE" w14:paraId="5E49DBA9" w14:textId="77777777">
        <w:tc>
          <w:tcPr>
            <w:tcW w:w="3240" w:type="dxa"/>
            <w:tcBorders>
              <w:top w:val="single" w:sz="4" w:space="0" w:color="auto"/>
              <w:left w:val="single" w:sz="4" w:space="0" w:color="auto"/>
              <w:bottom w:val="single" w:sz="4" w:space="0" w:color="auto"/>
              <w:right w:val="single" w:sz="4" w:space="0" w:color="auto"/>
            </w:tcBorders>
          </w:tcPr>
          <w:p w14:paraId="13FDE885" w14:textId="77777777" w:rsidR="002A21AE" w:rsidRDefault="002A21AE">
            <w:pPr>
              <w:pStyle w:val="TableTextNumbers"/>
            </w:pPr>
            <w:r>
              <w:t xml:space="preserve">Select </w:t>
            </w:r>
            <w:r>
              <w:rPr>
                <w:b/>
              </w:rPr>
              <w:t>Reports</w:t>
            </w:r>
            <w:r>
              <w:t xml:space="preserve"> from the main menu.</w:t>
            </w:r>
          </w:p>
          <w:p w14:paraId="0ECE0166" w14:textId="77777777" w:rsidR="002A21AE" w:rsidRDefault="002A21AE">
            <w:pPr>
              <w:pStyle w:val="TableTextNumbersContinued"/>
            </w:pPr>
          </w:p>
          <w:p w14:paraId="101859AF" w14:textId="77777777" w:rsidR="002A21AE" w:rsidRDefault="002A21AE">
            <w:pPr>
              <w:pStyle w:val="TableTextNumbersContinued"/>
            </w:pPr>
            <w:r>
              <w:t xml:space="preserve">Select </w:t>
            </w:r>
            <w:r>
              <w:rPr>
                <w:b/>
              </w:rPr>
              <w:t>Division Transfusion Report</w:t>
            </w:r>
            <w:r>
              <w:t>.</w:t>
            </w:r>
          </w:p>
        </w:tc>
        <w:tc>
          <w:tcPr>
            <w:tcW w:w="6120" w:type="dxa"/>
            <w:tcBorders>
              <w:top w:val="single" w:sz="4" w:space="0" w:color="auto"/>
              <w:left w:val="single" w:sz="4" w:space="0" w:color="auto"/>
              <w:bottom w:val="single" w:sz="4" w:space="0" w:color="auto"/>
              <w:right w:val="single" w:sz="4" w:space="0" w:color="auto"/>
            </w:tcBorders>
          </w:tcPr>
          <w:p w14:paraId="113547D3" w14:textId="77777777" w:rsidR="002A21AE" w:rsidRDefault="002A21AE">
            <w:pPr>
              <w:pStyle w:val="TableTextBullet"/>
            </w:pPr>
            <w:r>
              <w:t>Lists report names.</w:t>
            </w:r>
          </w:p>
          <w:p w14:paraId="44111470" w14:textId="77777777" w:rsidR="002A21AE" w:rsidRDefault="002A21AE">
            <w:pPr>
              <w:pStyle w:val="TableTextBullet"/>
            </w:pPr>
            <w:r>
              <w:t>Displays fields for entering a report date range.</w:t>
            </w:r>
          </w:p>
        </w:tc>
      </w:tr>
      <w:tr w:rsidR="002A21AE" w14:paraId="5BD79351" w14:textId="77777777">
        <w:tc>
          <w:tcPr>
            <w:tcW w:w="3240" w:type="dxa"/>
          </w:tcPr>
          <w:p w14:paraId="527CCD77" w14:textId="77777777" w:rsidR="002A21AE" w:rsidRDefault="002A21AE">
            <w:pPr>
              <w:pStyle w:val="TableTextNumbers"/>
            </w:pPr>
            <w:r>
              <w:t xml:space="preserve">Enter or select start and end dates. </w:t>
            </w:r>
          </w:p>
          <w:p w14:paraId="18E33DBA" w14:textId="77777777" w:rsidR="002A21AE" w:rsidRDefault="002A21AE">
            <w:pPr>
              <w:pStyle w:val="TableTextNumbersContinued"/>
            </w:pPr>
          </w:p>
          <w:p w14:paraId="60C3C6D6" w14:textId="77777777" w:rsidR="002A21AE" w:rsidRDefault="002A21AE">
            <w:pPr>
              <w:pStyle w:val="TableTextNumbersContinued"/>
            </w:pPr>
            <w:r>
              <w:t xml:space="preserve">In the Report Type area, select the </w:t>
            </w:r>
            <w:r>
              <w:rPr>
                <w:b/>
              </w:rPr>
              <w:t>Issuing Physician Report</w:t>
            </w:r>
            <w:r>
              <w:t xml:space="preserve">, </w:t>
            </w:r>
            <w:r>
              <w:rPr>
                <w:b/>
              </w:rPr>
              <w:t>Treating Specialty Report</w:t>
            </w:r>
            <w:r>
              <w:t xml:space="preserve">, or </w:t>
            </w:r>
            <w:r>
              <w:rPr>
                <w:b/>
              </w:rPr>
              <w:t xml:space="preserve">Issued-To Location Report </w:t>
            </w:r>
            <w:r w:rsidRPr="00BF2E41">
              <w:t>radio button</w:t>
            </w:r>
            <w:r>
              <w:t>.</w:t>
            </w:r>
          </w:p>
        </w:tc>
        <w:tc>
          <w:tcPr>
            <w:tcW w:w="6120" w:type="dxa"/>
          </w:tcPr>
          <w:p w14:paraId="51AFD768" w14:textId="77777777" w:rsidR="002A21AE" w:rsidRDefault="002A21AE">
            <w:pPr>
              <w:pStyle w:val="TableTextBullet"/>
            </w:pPr>
            <w:r>
              <w:rPr>
                <w:rFonts w:cs="Arial"/>
                <w:vanish/>
              </w:rPr>
              <w:t xml:space="preserve">BR_74.05 </w:t>
            </w:r>
            <w:r>
              <w:t>Allows the user to compile the report by issuing physician, by treating specialty, or by issued-to location.</w:t>
            </w:r>
          </w:p>
          <w:p w14:paraId="61E79E8D" w14:textId="77777777" w:rsidR="002A21AE" w:rsidRDefault="002A21AE">
            <w:pPr>
              <w:pStyle w:val="TableTextBullet"/>
            </w:pPr>
            <w:r>
              <w:rPr>
                <w:rFonts w:cs="Arial"/>
                <w:vanish/>
              </w:rPr>
              <w:t xml:space="preserve">BR_74.06 </w:t>
            </w:r>
            <w:r>
              <w:t>Allows the user to include some or all physicians, treating specialties, or issued-to locations.</w:t>
            </w:r>
          </w:p>
          <w:p w14:paraId="0DBA6509" w14:textId="77777777" w:rsidR="002A21AE" w:rsidRDefault="002A21AE">
            <w:pPr>
              <w:pStyle w:val="TableText"/>
            </w:pPr>
          </w:p>
          <w:p w14:paraId="42C2CDA1" w14:textId="77777777" w:rsidR="002A21AE" w:rsidRDefault="00057948">
            <w:pPr>
              <w:pStyle w:val="TableText"/>
              <w:rPr>
                <w:b/>
                <w:bCs/>
                <w:szCs w:val="18"/>
              </w:rPr>
            </w:pPr>
            <w:r>
              <w:rPr>
                <w:b/>
                <w:bCs/>
                <w:noProof/>
              </w:rPr>
              <mc:AlternateContent>
                <mc:Choice Requires="wps">
                  <w:drawing>
                    <wp:anchor distT="0" distB="0" distL="114300" distR="114300" simplePos="0" relativeHeight="251757056" behindDoc="0" locked="0" layoutInCell="1" allowOverlap="1" wp14:anchorId="2B7CBE0F" wp14:editId="78DC26F7">
                      <wp:simplePos x="0" y="0"/>
                      <wp:positionH relativeFrom="column">
                        <wp:posOffset>457200</wp:posOffset>
                      </wp:positionH>
                      <wp:positionV relativeFrom="paragraph">
                        <wp:posOffset>65405</wp:posOffset>
                      </wp:positionV>
                      <wp:extent cx="3200400" cy="0"/>
                      <wp:effectExtent l="9525" t="17780" r="9525" b="10795"/>
                      <wp:wrapNone/>
                      <wp:docPr id="193" name="Line 958" descr="P10171C6T11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90C58" id="Line 958" o:spid="_x0000_s1026" alt="&quot;&quot;" style="position:absolute;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DeHo8ywgEAAG4DAAAOAAAAAAAAAAAAAAAAAC4C&#10;AABkcnMvZTJvRG9jLnhtbFBLAQItABQABgAIAAAAIQAXTzAS2wAAAAgBAAAPAAAAAAAAAAAAAAAA&#10;ABwEAABkcnMvZG93bnJldi54bWxQSwUGAAAAAAQABADzAAAAJAUAAAAA&#10;" strokeweight="1.5pt"/>
                  </w:pict>
                </mc:Fallback>
              </mc:AlternateContent>
            </w:r>
            <w:r w:rsidR="002A21AE">
              <w:rPr>
                <w:b/>
                <w:bCs/>
                <w:szCs w:val="18"/>
              </w:rPr>
              <w:t>NOTES</w:t>
            </w:r>
          </w:p>
          <w:p w14:paraId="46577EA4" w14:textId="77777777" w:rsidR="002A21AE" w:rsidRDefault="002A21AE">
            <w:pPr>
              <w:pStyle w:val="NotesText"/>
            </w:pPr>
          </w:p>
          <w:p w14:paraId="25A23BA9" w14:textId="77777777" w:rsidR="002A21AE" w:rsidRDefault="002A21AE">
            <w:pPr>
              <w:pStyle w:val="NotesText"/>
            </w:pPr>
          </w:p>
        </w:tc>
      </w:tr>
      <w:tr w:rsidR="002A21AE" w14:paraId="5F3D4CFE" w14:textId="77777777">
        <w:tc>
          <w:tcPr>
            <w:tcW w:w="3240" w:type="dxa"/>
          </w:tcPr>
          <w:p w14:paraId="783B6ADB" w14:textId="77777777" w:rsidR="002A21AE" w:rsidRDefault="006738EE">
            <w:pPr>
              <w:pStyle w:val="TableTextNumbers"/>
            </w:pPr>
            <w:r>
              <w:t xml:space="preserve">In the </w:t>
            </w:r>
            <w:r w:rsidRPr="006738EE">
              <w:t>Report Compilation</w:t>
            </w:r>
            <w:r>
              <w:t xml:space="preserve"> area, click the </w:t>
            </w:r>
            <w:r w:rsidRPr="006738EE">
              <w:rPr>
                <w:b/>
              </w:rPr>
              <w:t>Create Report Now</w:t>
            </w:r>
            <w:r>
              <w:t xml:space="preserve"> radio button. Click </w:t>
            </w:r>
            <w:r w:rsidRPr="006738EE">
              <w:rPr>
                <w:b/>
              </w:rPr>
              <w:t>OK</w:t>
            </w:r>
            <w:r>
              <w:t xml:space="preserve"> to review the report, or</w:t>
            </w:r>
          </w:p>
          <w:p w14:paraId="1A7F4AFF" w14:textId="77777777" w:rsidR="006738EE" w:rsidRDefault="006738EE" w:rsidP="006738EE">
            <w:pPr>
              <w:pStyle w:val="TableTextNumbers"/>
              <w:numPr>
                <w:ilvl w:val="0"/>
                <w:numId w:val="0"/>
              </w:numPr>
              <w:ind w:left="288" w:hanging="288"/>
            </w:pPr>
          </w:p>
          <w:p w14:paraId="206CE0CB" w14:textId="77777777" w:rsidR="006738EE" w:rsidRDefault="006738EE" w:rsidP="006738EE">
            <w:pPr>
              <w:pStyle w:val="TableTextNumbers"/>
              <w:numPr>
                <w:ilvl w:val="0"/>
                <w:numId w:val="0"/>
              </w:numPr>
              <w:ind w:left="270" w:firstLine="18"/>
            </w:pPr>
            <w:r>
              <w:t xml:space="preserve">Click the </w:t>
            </w:r>
            <w:r w:rsidRPr="006738EE">
              <w:rPr>
                <w:b/>
              </w:rPr>
              <w:t xml:space="preserve">Schedule Print Job </w:t>
            </w:r>
            <w:r w:rsidRPr="009554A6">
              <w:t xml:space="preserve">radio button </w:t>
            </w:r>
            <w:r>
              <w:t xml:space="preserve">and </w:t>
            </w:r>
            <w:r w:rsidRPr="006738EE">
              <w:rPr>
                <w:b/>
              </w:rPr>
              <w:t>OK</w:t>
            </w:r>
            <w:r>
              <w:t xml:space="preserve">, then enter or select a print date and printer name. Click </w:t>
            </w:r>
            <w:r w:rsidRPr="006738EE">
              <w:rPr>
                <w:b/>
              </w:rPr>
              <w:t>OK</w:t>
            </w:r>
            <w:r>
              <w:t xml:space="preserve"> to view and print the report.</w:t>
            </w:r>
          </w:p>
        </w:tc>
        <w:tc>
          <w:tcPr>
            <w:tcW w:w="6120" w:type="dxa"/>
          </w:tcPr>
          <w:p w14:paraId="0BF8A284" w14:textId="77777777" w:rsidR="002A21AE" w:rsidRDefault="002A21AE">
            <w:pPr>
              <w:pStyle w:val="TableTextBullet"/>
            </w:pPr>
            <w:r>
              <w:t>Compiles and displays the report.</w:t>
            </w:r>
          </w:p>
          <w:p w14:paraId="5C7F6277" w14:textId="77777777" w:rsidR="002A21AE" w:rsidRDefault="002A21AE">
            <w:pPr>
              <w:pStyle w:val="TableText"/>
            </w:pPr>
          </w:p>
          <w:p w14:paraId="1DF15822" w14:textId="77777777" w:rsidR="002A21AE" w:rsidRDefault="00057948">
            <w:pPr>
              <w:pStyle w:val="TableText"/>
              <w:rPr>
                <w:b/>
                <w:bCs/>
                <w:szCs w:val="18"/>
              </w:rPr>
            </w:pPr>
            <w:r>
              <w:rPr>
                <w:b/>
                <w:bCs/>
                <w:noProof/>
              </w:rPr>
              <mc:AlternateContent>
                <mc:Choice Requires="wps">
                  <w:drawing>
                    <wp:anchor distT="0" distB="0" distL="114300" distR="114300" simplePos="0" relativeHeight="251755008" behindDoc="0" locked="0" layoutInCell="1" allowOverlap="1" wp14:anchorId="2CA689E0" wp14:editId="30CFC9B1">
                      <wp:simplePos x="0" y="0"/>
                      <wp:positionH relativeFrom="column">
                        <wp:posOffset>457200</wp:posOffset>
                      </wp:positionH>
                      <wp:positionV relativeFrom="paragraph">
                        <wp:posOffset>65405</wp:posOffset>
                      </wp:positionV>
                      <wp:extent cx="3200400" cy="0"/>
                      <wp:effectExtent l="9525" t="17780" r="9525" b="10795"/>
                      <wp:wrapNone/>
                      <wp:docPr id="64" name="Line 957" descr="P10180C8T11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15875" id="Line 957" o:spid="_x0000_s1026" alt="&quot;&quot;" style="position:absolute;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Yvq4/8MBAABt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4ECECF37" w14:textId="77777777" w:rsidR="002A21AE" w:rsidRDefault="002A21AE">
            <w:pPr>
              <w:pStyle w:val="NotesText"/>
            </w:pPr>
          </w:p>
          <w:p w14:paraId="6EF05A07" w14:textId="77777777" w:rsidR="002A21AE" w:rsidRDefault="002A21AE">
            <w:pPr>
              <w:pStyle w:val="NotesText"/>
            </w:pPr>
            <w:r>
              <w:rPr>
                <w:rFonts w:cs="Arial"/>
                <w:vanish/>
              </w:rPr>
              <w:t xml:space="preserve">BR_74.03 </w:t>
            </w:r>
            <w:r>
              <w:t>The report displays tallies of units transfused by component class within the date range, by:</w:t>
            </w:r>
          </w:p>
          <w:p w14:paraId="15BAB1B6" w14:textId="77777777" w:rsidR="002A21AE" w:rsidRDefault="002A21AE">
            <w:pPr>
              <w:pStyle w:val="NotesTextBullet"/>
            </w:pPr>
            <w:r>
              <w:t>Physician name</w:t>
            </w:r>
          </w:p>
          <w:p w14:paraId="36404DA3" w14:textId="77777777" w:rsidR="002A21AE" w:rsidRDefault="002A21AE">
            <w:pPr>
              <w:pStyle w:val="NotesTextBullet"/>
            </w:pPr>
            <w:r>
              <w:t>Treating specialty</w:t>
            </w:r>
          </w:p>
          <w:p w14:paraId="5BEF3ABC" w14:textId="77777777" w:rsidR="002A21AE" w:rsidRDefault="002A21AE">
            <w:pPr>
              <w:pStyle w:val="NotesTextBullet"/>
            </w:pPr>
            <w:r>
              <w:t>Issued-to location</w:t>
            </w:r>
          </w:p>
          <w:p w14:paraId="03AD13F2" w14:textId="77777777" w:rsidR="002A21AE" w:rsidRDefault="002A21AE">
            <w:pPr>
              <w:pStyle w:val="NotesTextBullet"/>
            </w:pPr>
            <w:r>
              <w:t>Number of units transfused</w:t>
            </w:r>
          </w:p>
          <w:p w14:paraId="21E2CFA2" w14:textId="77777777" w:rsidR="002A21AE" w:rsidRDefault="002A21AE">
            <w:pPr>
              <w:pStyle w:val="NotesTextBullet"/>
            </w:pPr>
            <w:r>
              <w:t>Number of units presumed transfused</w:t>
            </w:r>
          </w:p>
          <w:p w14:paraId="15442D7B" w14:textId="77777777" w:rsidR="002A21AE" w:rsidRDefault="002A21AE">
            <w:pPr>
              <w:pStyle w:val="NotesTextBullet"/>
            </w:pPr>
            <w:r>
              <w:t>Total number of patients transfused</w:t>
            </w:r>
          </w:p>
          <w:p w14:paraId="739180ED" w14:textId="77777777" w:rsidR="002A21AE" w:rsidRDefault="002A21AE">
            <w:pPr>
              <w:pStyle w:val="NotesTextBullet"/>
              <w:rPr>
                <w:rFonts w:cs="Arial"/>
              </w:rPr>
            </w:pPr>
            <w:r>
              <w:t>Total number of units transfused and presumed transfused</w:t>
            </w:r>
          </w:p>
          <w:p w14:paraId="300BFB9C" w14:textId="77777777" w:rsidR="002A21AE" w:rsidRDefault="002A21AE">
            <w:pPr>
              <w:pStyle w:val="NotesText"/>
            </w:pPr>
          </w:p>
          <w:p w14:paraId="56C05EB8" w14:textId="77777777" w:rsidR="002A21AE" w:rsidRDefault="002A21AE">
            <w:pPr>
              <w:pStyle w:val="NotesText"/>
            </w:pPr>
            <w:r>
              <w:rPr>
                <w:rFonts w:cs="Arial"/>
                <w:vanish/>
              </w:rPr>
              <w:lastRenderedPageBreak/>
              <w:t xml:space="preserve">BR_74.04 </w:t>
            </w:r>
            <w:r>
              <w:t>Reports include:</w:t>
            </w:r>
          </w:p>
          <w:p w14:paraId="2CFEAAE3" w14:textId="77777777" w:rsidR="002A21AE" w:rsidRDefault="002A21AE">
            <w:pPr>
              <w:pStyle w:val="NotesTextBullet"/>
            </w:pPr>
            <w:r>
              <w:t>Patient name</w:t>
            </w:r>
          </w:p>
          <w:p w14:paraId="40EE8B79" w14:textId="77777777" w:rsidR="002A21AE" w:rsidRDefault="002A21AE">
            <w:pPr>
              <w:pStyle w:val="NotesTextBullet"/>
            </w:pPr>
            <w:r>
              <w:t>Patient ID</w:t>
            </w:r>
          </w:p>
          <w:p w14:paraId="1A6985F7" w14:textId="77777777" w:rsidR="002A21AE" w:rsidRDefault="002A21AE">
            <w:pPr>
              <w:pStyle w:val="NotesTextBullet"/>
            </w:pPr>
            <w:r>
              <w:t>Unit ID</w:t>
            </w:r>
          </w:p>
          <w:p w14:paraId="5D450283" w14:textId="77777777" w:rsidR="002A21AE" w:rsidRDefault="002A21AE">
            <w:pPr>
              <w:pStyle w:val="NotesTextBullet"/>
            </w:pPr>
            <w:r>
              <w:t>Product short name</w:t>
            </w:r>
          </w:p>
          <w:p w14:paraId="3B7E34C1" w14:textId="77777777" w:rsidR="002A21AE" w:rsidRDefault="002A21AE">
            <w:pPr>
              <w:pStyle w:val="NotesTextBullet"/>
            </w:pPr>
            <w:r>
              <w:t>If pooled, number of participants in pool</w:t>
            </w:r>
          </w:p>
          <w:p w14:paraId="73BAAFCB" w14:textId="77777777" w:rsidR="002A21AE" w:rsidRDefault="002A21AE">
            <w:pPr>
              <w:pStyle w:val="NotesTextBullet"/>
            </w:pPr>
            <w:r>
              <w:t>Date and time Issued</w:t>
            </w:r>
          </w:p>
          <w:p w14:paraId="5BF6FD39" w14:textId="77777777" w:rsidR="002A21AE" w:rsidRDefault="002A21AE">
            <w:pPr>
              <w:pStyle w:val="NotesTextBullet"/>
            </w:pPr>
            <w:r>
              <w:t>Issued-to location</w:t>
            </w:r>
          </w:p>
          <w:p w14:paraId="2D5D64ED" w14:textId="77777777" w:rsidR="002A21AE" w:rsidRDefault="002A21AE">
            <w:pPr>
              <w:pStyle w:val="NotesTextBullet"/>
            </w:pPr>
            <w:r>
              <w:t>Physician</w:t>
            </w:r>
          </w:p>
          <w:p w14:paraId="72F59D2E" w14:textId="77777777" w:rsidR="002A21AE" w:rsidRDefault="002A21AE">
            <w:pPr>
              <w:pStyle w:val="NotesTextBullet"/>
            </w:pPr>
            <w:r>
              <w:t>Treating specialty</w:t>
            </w:r>
          </w:p>
          <w:p w14:paraId="539BD9AF" w14:textId="77777777" w:rsidR="002A21AE" w:rsidRDefault="002A21AE">
            <w:pPr>
              <w:pStyle w:val="NotesTextBullet"/>
            </w:pPr>
            <w:r>
              <w:t>Transfused or presumed transfused indicator, if present</w:t>
            </w:r>
          </w:p>
          <w:p w14:paraId="1CFADEAD" w14:textId="77777777" w:rsidR="00801D1F" w:rsidRPr="00AA2B2E" w:rsidRDefault="002A21AE" w:rsidP="00AA2B2E">
            <w:pPr>
              <w:pStyle w:val="NotesTextBullet"/>
              <w:rPr>
                <w:rFonts w:cs="Arial"/>
              </w:rPr>
            </w:pPr>
            <w:r>
              <w:t>Transfusion comments, if any</w:t>
            </w:r>
          </w:p>
        </w:tc>
      </w:tr>
      <w:tr w:rsidR="002A21AE" w14:paraId="11415545" w14:textId="77777777">
        <w:tc>
          <w:tcPr>
            <w:tcW w:w="3240" w:type="dxa"/>
          </w:tcPr>
          <w:p w14:paraId="4DBF8450" w14:textId="5B8C0886" w:rsidR="002A21AE" w:rsidRDefault="005C22EF">
            <w:pPr>
              <w:pStyle w:val="TableTextNumbers"/>
            </w:pPr>
            <w:r w:rsidRPr="0076371D">
              <w:lastRenderedPageBreak/>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fldLock="1"/>
            </w:r>
            <w:r w:rsidRPr="0076371D">
              <w:rPr>
                <w:szCs w:val="18"/>
              </w:rPr>
              <w:instrText xml:space="preserve"> REF _Ref2774509 \h  \* MERGEFORMAT </w:instrText>
            </w:r>
            <w:r w:rsidRPr="0076371D">
              <w:rPr>
                <w:szCs w:val="18"/>
              </w:rPr>
            </w:r>
            <w:r w:rsidRPr="0076371D">
              <w:rPr>
                <w:szCs w:val="18"/>
              </w:rPr>
              <w:fldChar w:fldCharType="separate"/>
            </w:r>
            <w:r w:rsidR="00AB304C" w:rsidRPr="00AB304C">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2A21AE" w:rsidRPr="00B93B42">
              <w:rPr>
                <w:rStyle w:val="StyleTableTextNumbersWhite1Char"/>
              </w:rPr>
              <w:t xml:space="preserve"> </w:t>
            </w:r>
            <w:r w:rsidR="002A21AE">
              <w:rPr>
                <w:vanish/>
                <w:color w:val="FFFFFF"/>
                <w:szCs w:val="18"/>
              </w:rPr>
              <w:fldChar w:fldCharType="begin"/>
            </w:r>
            <w:r w:rsidR="002A21AE">
              <w:rPr>
                <w:vanish/>
                <w:color w:val="FFFFFF"/>
                <w:szCs w:val="18"/>
              </w:rPr>
              <w:instrText xml:space="preserve"> LISTNUM \l 1 \s 0 </w:instrText>
            </w:r>
            <w:r w:rsidR="002A21AE">
              <w:rPr>
                <w:vanish/>
                <w:color w:val="FFFFFF"/>
                <w:szCs w:val="18"/>
              </w:rPr>
              <w:fldChar w:fldCharType="end"/>
            </w:r>
          </w:p>
        </w:tc>
        <w:tc>
          <w:tcPr>
            <w:tcW w:w="6120" w:type="dxa"/>
          </w:tcPr>
          <w:p w14:paraId="000BEBD0" w14:textId="77777777" w:rsidR="005C22EF" w:rsidRDefault="005C22EF" w:rsidP="005C22EF">
            <w:pPr>
              <w:pStyle w:val="TableTextBullet"/>
            </w:pPr>
            <w:r>
              <w:t>If Print is selected, prints the report on the designated printer.</w:t>
            </w:r>
          </w:p>
          <w:p w14:paraId="6462363E" w14:textId="77777777" w:rsidR="005C22EF" w:rsidRDefault="005C22EF" w:rsidP="005C22EF">
            <w:pPr>
              <w:pStyle w:val="TableTextBullet"/>
            </w:pPr>
            <w:r>
              <w:t>If Export is selected, exports the report to the designated file.</w:t>
            </w:r>
          </w:p>
          <w:p w14:paraId="4743DB50" w14:textId="26C7E4C2" w:rsidR="002A21AE" w:rsidRDefault="005C22EF" w:rsidP="005C22EF">
            <w:pPr>
              <w:pStyle w:val="TableTextBullet"/>
            </w:pPr>
            <w:r>
              <w:t>If Close is selected, exits the report preview.</w:t>
            </w:r>
          </w:p>
        </w:tc>
      </w:tr>
    </w:tbl>
    <w:p w14:paraId="1270FD4E" w14:textId="77777777" w:rsidR="00F55832" w:rsidRDefault="00F55832" w:rsidP="008C5564">
      <w:pPr>
        <w:pStyle w:val="Heading2"/>
      </w:pPr>
    </w:p>
    <w:p w14:paraId="13B24685" w14:textId="77777777" w:rsidR="008C5564" w:rsidRDefault="00F55832" w:rsidP="008C5564">
      <w:pPr>
        <w:pStyle w:val="Heading2"/>
      </w:pPr>
      <w:r>
        <w:br w:type="page"/>
      </w:r>
      <w:bookmarkStart w:id="564" w:name="_Toc4588840"/>
      <w:r w:rsidR="008C5564">
        <w:lastRenderedPageBreak/>
        <w:t>Division Workload Report</w:t>
      </w:r>
      <w:bookmarkEnd w:id="564"/>
      <w:r w:rsidR="008C5564">
        <w:fldChar w:fldCharType="begin"/>
      </w:r>
      <w:r w:rsidR="008C5564">
        <w:instrText xml:space="preserve"> XE </w:instrText>
      </w:r>
      <w:r w:rsidR="00FA7E65">
        <w:instrText>“</w:instrText>
      </w:r>
      <w:r w:rsidR="008C5564">
        <w:instrText>Division Workload Report</w:instrText>
      </w:r>
      <w:r w:rsidR="00FA7E65">
        <w:instrText>”</w:instrText>
      </w:r>
      <w:r w:rsidR="008C5564">
        <w:instrText xml:space="preserve"> </w:instrText>
      </w:r>
      <w:r w:rsidR="008C5564">
        <w:fldChar w:fldCharType="end"/>
      </w:r>
      <w:r w:rsidR="008C5564">
        <w:t xml:space="preserve"> </w:t>
      </w:r>
      <w:r w:rsidR="008C5564">
        <w:rPr>
          <w:vanish/>
        </w:rPr>
        <w:t>UC_79</w:t>
      </w:r>
    </w:p>
    <w:p w14:paraId="39482419" w14:textId="77777777" w:rsidR="008C5564" w:rsidRDefault="008C5564" w:rsidP="00FA7E65">
      <w:pPr>
        <w:pStyle w:val="BodyText"/>
      </w:pPr>
      <w:r>
        <w:t xml:space="preserve">The user views </w:t>
      </w:r>
      <w:r w:rsidR="00EB1E5A">
        <w:t xml:space="preserve">and/or </w:t>
      </w:r>
      <w:r>
        <w:t>prints a workload report.</w:t>
      </w:r>
    </w:p>
    <w:p w14:paraId="1F9DAD5F" w14:textId="77777777" w:rsidR="008C5564" w:rsidRDefault="008C5564" w:rsidP="008C5564">
      <w:pPr>
        <w:pStyle w:val="Heading4"/>
      </w:pPr>
      <w:r>
        <w:t>Assumptions</w:t>
      </w:r>
      <w:r>
        <w:rPr>
          <w:b w:val="0"/>
        </w:rPr>
        <w:t xml:space="preserve"> </w:t>
      </w:r>
    </w:p>
    <w:p w14:paraId="7F10EAA0" w14:textId="77777777" w:rsidR="008C5564" w:rsidRDefault="00CA6E27" w:rsidP="008C5564">
      <w:pPr>
        <w:pStyle w:val="ListBullet"/>
        <w:rPr>
          <w:b/>
        </w:rPr>
      </w:pPr>
      <w:r w:rsidRPr="00CA6E27">
        <w:rPr>
          <w:bCs/>
        </w:rPr>
        <w:t>VistA</w:t>
      </w:r>
      <w:r w:rsidR="008C5564">
        <w:t xml:space="preserve"> workload codes were assigned to VBECS processes through Workload Codes.</w:t>
      </w:r>
    </w:p>
    <w:p w14:paraId="47060984" w14:textId="77777777" w:rsidR="008C5564" w:rsidRDefault="008C5564" w:rsidP="008C5564">
      <w:pPr>
        <w:pStyle w:val="ListBullet"/>
      </w:pPr>
      <w:r>
        <w:t xml:space="preserve">Data for the report were saved in VBECS. </w:t>
      </w:r>
    </w:p>
    <w:p w14:paraId="4DA7DD80" w14:textId="77777777" w:rsidR="008C5564" w:rsidRDefault="008C5564" w:rsidP="008C5564">
      <w:pPr>
        <w:pStyle w:val="Heading4"/>
      </w:pPr>
      <w:r>
        <w:t xml:space="preserve">Outcome </w:t>
      </w:r>
    </w:p>
    <w:p w14:paraId="3BE95B74" w14:textId="77777777" w:rsidR="008C5564" w:rsidRDefault="00AE521B" w:rsidP="008C5564">
      <w:pPr>
        <w:pStyle w:val="ListBullet"/>
      </w:pPr>
      <w:r>
        <w:t>The user views and/or prints the report</w:t>
      </w:r>
      <w:r w:rsidR="008C5564">
        <w:t>.</w:t>
      </w:r>
    </w:p>
    <w:p w14:paraId="026656D3" w14:textId="77777777" w:rsidR="008C5564" w:rsidRDefault="008C5564" w:rsidP="008C5564">
      <w:pPr>
        <w:pStyle w:val="Heading4"/>
        <w:rPr>
          <w:b w:val="0"/>
        </w:rPr>
      </w:pPr>
      <w:r>
        <w:t>Limitations and Restrictions</w:t>
      </w:r>
      <w:r>
        <w:rPr>
          <w:b w:val="0"/>
        </w:rPr>
        <w:t xml:space="preserve"> </w:t>
      </w:r>
    </w:p>
    <w:p w14:paraId="2B1D7C6C" w14:textId="6E88B699" w:rsidR="008C5564" w:rsidRDefault="00B413D4" w:rsidP="008C5564">
      <w:pPr>
        <w:pStyle w:val="ListBullet"/>
      </w:pPr>
      <w:r>
        <w:t xml:space="preserve">A report printed with an end date of today or greater does not print “Preliminary” in the header. Check the subsequent pages of the report and write “PRELIMINARY” on the front page of the report prior to filing. The information included in the report is accurate to the time printed. There is a possibility of a gap of information should the user not overlap the print requests. Generally, this report is printed for the day prior or a time period that does not include the current day. </w:t>
      </w:r>
      <w:r w:rsidRPr="00B413D4">
        <w:rPr>
          <w:vanish/>
        </w:rPr>
        <w:t>Defect 213101</w:t>
      </w:r>
    </w:p>
    <w:p w14:paraId="253B15AD" w14:textId="77777777" w:rsidR="008C5564" w:rsidRDefault="008C5564" w:rsidP="008C5564">
      <w:pPr>
        <w:pStyle w:val="Heading4"/>
      </w:pPr>
      <w:r>
        <w:t xml:space="preserve">Additional Information </w:t>
      </w:r>
    </w:p>
    <w:p w14:paraId="66BB618A" w14:textId="21D0F74B" w:rsidR="00991CFE" w:rsidRDefault="00991CFE" w:rsidP="00991CFE">
      <w:pPr>
        <w:pStyle w:val="ListBullet"/>
      </w:pPr>
      <w:r>
        <w:t>The report is available as a single-division or multidivisional (all divisions) report.</w:t>
      </w:r>
    </w:p>
    <w:p w14:paraId="68ABCC50" w14:textId="6013E7E3" w:rsidR="00C17377" w:rsidRDefault="00C17377" w:rsidP="00C17377">
      <w:pPr>
        <w:pStyle w:val="ListBullet"/>
      </w:pPr>
      <w:r>
        <w:t>The r</w:t>
      </w:r>
      <w:r w:rsidRPr="00C17377">
        <w:t>eport will not print as “Preliminary” when the report contains the current day in the range of data requested.</w:t>
      </w:r>
      <w:r w:rsidR="00244AD3">
        <w:t xml:space="preserve"> </w:t>
      </w:r>
      <w:r w:rsidR="00244AD3" w:rsidRPr="00244AD3">
        <w:rPr>
          <w:vanish/>
        </w:rPr>
        <w:t>Defect 209080</w:t>
      </w:r>
    </w:p>
    <w:p w14:paraId="3D99E737" w14:textId="77777777" w:rsidR="008C5564" w:rsidRDefault="008C5564" w:rsidP="008C5564">
      <w:pPr>
        <w:pStyle w:val="Heading4"/>
      </w:pPr>
      <w:r>
        <w:t>User Roles with Access to This Option</w:t>
      </w:r>
    </w:p>
    <w:p w14:paraId="5447FB07" w14:textId="77777777" w:rsidR="008C5564" w:rsidRDefault="00606FB0" w:rsidP="008C5564">
      <w:pPr>
        <w:pStyle w:val="Roles"/>
      </w:pPr>
      <w:r>
        <w:t>All users</w:t>
      </w:r>
    </w:p>
    <w:p w14:paraId="68761169" w14:textId="77777777" w:rsidR="008C5564" w:rsidRDefault="008C5564" w:rsidP="008C5564">
      <w:pPr>
        <w:pStyle w:val="Heading4"/>
      </w:pPr>
      <w:r>
        <w:t>Division Workload Report</w:t>
      </w:r>
      <w:r>
        <w:rPr>
          <w:rStyle w:val="CommentReference"/>
          <w:rFonts w:ascii="Times New Roman" w:hAnsi="Times New Roman"/>
          <w:b w:val="0"/>
          <w:bCs/>
          <w:vanish/>
        </w:rPr>
        <w:t xml:space="preserve"> </w:t>
      </w:r>
    </w:p>
    <w:p w14:paraId="1486C921" w14:textId="77777777" w:rsidR="008C5564" w:rsidRDefault="008C5564" w:rsidP="00FA7E65">
      <w:pPr>
        <w:pStyle w:val="BodyText"/>
      </w:pPr>
      <w:r>
        <w:t xml:space="preserve">The user views </w:t>
      </w:r>
      <w:r w:rsidR="00EB1E5A">
        <w:t xml:space="preserve">and/or </w:t>
      </w:r>
      <w:r w:rsidR="00DC3B23">
        <w:t>prints</w:t>
      </w:r>
      <w:r>
        <w:t xml:space="preserve"> a workload report</w:t>
      </w:r>
      <w:r w:rsidR="00DC3B23">
        <w:t xml:space="preserve">, which includes totals of workload types, for one or </w:t>
      </w:r>
      <w:r w:rsidR="00DD0E58">
        <w:t>all</w:t>
      </w:r>
      <w:r w:rsidR="00DC3B23">
        <w:t xml:space="preserve"> divisions</w:t>
      </w:r>
      <w: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8C5564" w14:paraId="19499B27" w14:textId="77777777">
        <w:trPr>
          <w:cantSplit/>
          <w:tblHeader/>
        </w:trPr>
        <w:tc>
          <w:tcPr>
            <w:tcW w:w="3240" w:type="dxa"/>
            <w:shd w:val="pct30" w:color="auto" w:fill="FFFFFF"/>
            <w:vAlign w:val="bottom"/>
          </w:tcPr>
          <w:p w14:paraId="11DEC49E" w14:textId="77777777" w:rsidR="008C5564" w:rsidRDefault="008C5564" w:rsidP="008C5564">
            <w:pPr>
              <w:pStyle w:val="TableText"/>
              <w:rPr>
                <w:b/>
              </w:rPr>
            </w:pPr>
            <w:r>
              <w:rPr>
                <w:b/>
              </w:rPr>
              <w:t>User Action</w:t>
            </w:r>
          </w:p>
        </w:tc>
        <w:tc>
          <w:tcPr>
            <w:tcW w:w="6120" w:type="dxa"/>
            <w:shd w:val="pct30" w:color="auto" w:fill="FFFFFF"/>
            <w:vAlign w:val="bottom"/>
          </w:tcPr>
          <w:p w14:paraId="2A299BC5" w14:textId="77777777" w:rsidR="008C5564" w:rsidRDefault="008C5564" w:rsidP="008C5564">
            <w:pPr>
              <w:pStyle w:val="TableText"/>
              <w:rPr>
                <w:b/>
              </w:rPr>
            </w:pPr>
            <w:r>
              <w:rPr>
                <w:b/>
              </w:rPr>
              <w:t>VBECS</w:t>
            </w:r>
          </w:p>
        </w:tc>
      </w:tr>
      <w:tr w:rsidR="008C5564" w14:paraId="2B10FAB3" w14:textId="77777777">
        <w:tc>
          <w:tcPr>
            <w:tcW w:w="3240" w:type="dxa"/>
          </w:tcPr>
          <w:p w14:paraId="37D1DEB1" w14:textId="77777777" w:rsidR="008C5564" w:rsidRDefault="008C5564" w:rsidP="008C5564">
            <w:pPr>
              <w:pStyle w:val="TableTextNumbers"/>
            </w:pPr>
            <w:r>
              <w:t xml:space="preserve">Select </w:t>
            </w:r>
            <w:r>
              <w:rPr>
                <w:b/>
              </w:rPr>
              <w:t>Reports</w:t>
            </w:r>
            <w:r>
              <w:t xml:space="preserve"> from the main menu.</w:t>
            </w:r>
          </w:p>
          <w:p w14:paraId="0958F6A2" w14:textId="77777777" w:rsidR="008C5564" w:rsidRDefault="008C5564" w:rsidP="008C5564">
            <w:pPr>
              <w:pStyle w:val="TableTextNumbersContinued"/>
            </w:pPr>
          </w:p>
          <w:p w14:paraId="34FA5F85" w14:textId="77777777" w:rsidR="008C5564" w:rsidRDefault="008C5564" w:rsidP="008C5564">
            <w:pPr>
              <w:pStyle w:val="TableTextNumbersContinued"/>
            </w:pPr>
            <w:r>
              <w:t xml:space="preserve">Select </w:t>
            </w:r>
            <w:r>
              <w:rPr>
                <w:b/>
              </w:rPr>
              <w:t>Division Workload Report</w:t>
            </w:r>
            <w:r>
              <w:t>.</w:t>
            </w:r>
          </w:p>
        </w:tc>
        <w:tc>
          <w:tcPr>
            <w:tcW w:w="6120" w:type="dxa"/>
          </w:tcPr>
          <w:p w14:paraId="042F53C7" w14:textId="77777777" w:rsidR="008C5564" w:rsidRDefault="008C5564" w:rsidP="008C5564">
            <w:pPr>
              <w:pStyle w:val="TableTextBullet"/>
            </w:pPr>
            <w:r>
              <w:t>Lists report names.</w:t>
            </w:r>
          </w:p>
          <w:p w14:paraId="26ADA055" w14:textId="77777777" w:rsidR="008C5564" w:rsidRDefault="008C5564" w:rsidP="008C5564">
            <w:pPr>
              <w:pStyle w:val="TableTextBullet"/>
            </w:pPr>
            <w:r>
              <w:t xml:space="preserve">Displays report division and compilation criteria. </w:t>
            </w:r>
          </w:p>
          <w:p w14:paraId="6DECA8B4" w14:textId="77777777" w:rsidR="008C5564" w:rsidRDefault="008C5564" w:rsidP="008C5564">
            <w:pPr>
              <w:pStyle w:val="TableTextBullet"/>
            </w:pPr>
            <w:r>
              <w:t>Displays a date range for selection.</w:t>
            </w:r>
          </w:p>
        </w:tc>
      </w:tr>
      <w:tr w:rsidR="008C5564" w14:paraId="0159AE0D" w14:textId="77777777">
        <w:tc>
          <w:tcPr>
            <w:tcW w:w="3240" w:type="dxa"/>
          </w:tcPr>
          <w:p w14:paraId="456E81DD" w14:textId="77777777" w:rsidR="008C5564" w:rsidRDefault="008C5564" w:rsidP="008C5564">
            <w:pPr>
              <w:pStyle w:val="TableTextNumbers"/>
            </w:pPr>
            <w:r>
              <w:t xml:space="preserve">Click the </w:t>
            </w:r>
            <w:r>
              <w:rPr>
                <w:b/>
              </w:rPr>
              <w:t xml:space="preserve">Current Divisions </w:t>
            </w:r>
            <w:r>
              <w:t>or</w:t>
            </w:r>
            <w:r>
              <w:rPr>
                <w:b/>
              </w:rPr>
              <w:t xml:space="preserve"> All Divisions </w:t>
            </w:r>
            <w:r w:rsidRPr="00BF2E41">
              <w:t>radio button</w:t>
            </w:r>
            <w:r>
              <w:t>.</w:t>
            </w:r>
          </w:p>
        </w:tc>
        <w:tc>
          <w:tcPr>
            <w:tcW w:w="6120" w:type="dxa"/>
          </w:tcPr>
          <w:p w14:paraId="3B78D726" w14:textId="77777777" w:rsidR="008C5564" w:rsidRDefault="008C5564" w:rsidP="008C5564">
            <w:pPr>
              <w:pStyle w:val="TableTextBullet"/>
            </w:pPr>
            <w:r>
              <w:t>Allows the user to select one or all divisions.</w:t>
            </w:r>
          </w:p>
          <w:p w14:paraId="25E29ACF" w14:textId="77777777" w:rsidR="008C5564" w:rsidRDefault="008C5564" w:rsidP="008C5564">
            <w:pPr>
              <w:pStyle w:val="TableTextBullet"/>
            </w:pPr>
            <w:r>
              <w:t>Displays a date range for selection.</w:t>
            </w:r>
          </w:p>
        </w:tc>
      </w:tr>
      <w:tr w:rsidR="008C5564" w14:paraId="4989814E" w14:textId="77777777">
        <w:tc>
          <w:tcPr>
            <w:tcW w:w="3240" w:type="dxa"/>
          </w:tcPr>
          <w:p w14:paraId="6876DAB3" w14:textId="77777777" w:rsidR="008C5564" w:rsidRDefault="008C5564" w:rsidP="008C5564">
            <w:pPr>
              <w:pStyle w:val="TableTextNumbers"/>
            </w:pPr>
            <w:r>
              <w:t>Enter or select start and end dates.</w:t>
            </w:r>
          </w:p>
        </w:tc>
        <w:tc>
          <w:tcPr>
            <w:tcW w:w="6120" w:type="dxa"/>
          </w:tcPr>
          <w:p w14:paraId="32B0E4CA" w14:textId="77777777" w:rsidR="008C5564" w:rsidRDefault="008C5564" w:rsidP="008C5564">
            <w:pPr>
              <w:pStyle w:val="TableTextBullet"/>
            </w:pPr>
            <w:r>
              <w:t>Compiles and displays the report.</w:t>
            </w:r>
          </w:p>
          <w:p w14:paraId="4745DD91" w14:textId="77777777" w:rsidR="008C5564" w:rsidRDefault="008C5564" w:rsidP="008C5564">
            <w:pPr>
              <w:pStyle w:val="TableTextBullet"/>
            </w:pPr>
            <w:r>
              <w:t>Allows the user to print the report.</w:t>
            </w:r>
          </w:p>
          <w:p w14:paraId="5E51E8C1" w14:textId="77777777" w:rsidR="008C5564" w:rsidRDefault="008C5564" w:rsidP="008C5564">
            <w:pPr>
              <w:pStyle w:val="TableText"/>
            </w:pPr>
          </w:p>
          <w:p w14:paraId="075B0F3B" w14:textId="77777777" w:rsidR="008C5564" w:rsidRDefault="00057948" w:rsidP="008C5564">
            <w:pPr>
              <w:pStyle w:val="TableText"/>
              <w:rPr>
                <w:b/>
                <w:bCs/>
                <w:szCs w:val="18"/>
              </w:rPr>
            </w:pPr>
            <w:r>
              <w:rPr>
                <w:b/>
                <w:bCs/>
                <w:noProof/>
              </w:rPr>
              <mc:AlternateContent>
                <mc:Choice Requires="wps">
                  <w:drawing>
                    <wp:anchor distT="0" distB="0" distL="114300" distR="114300" simplePos="0" relativeHeight="251776512" behindDoc="0" locked="0" layoutInCell="1" allowOverlap="1" wp14:anchorId="15649A8E" wp14:editId="2E795DCC">
                      <wp:simplePos x="0" y="0"/>
                      <wp:positionH relativeFrom="column">
                        <wp:posOffset>457200</wp:posOffset>
                      </wp:positionH>
                      <wp:positionV relativeFrom="paragraph">
                        <wp:posOffset>65405</wp:posOffset>
                      </wp:positionV>
                      <wp:extent cx="3200400" cy="0"/>
                      <wp:effectExtent l="9525" t="17780" r="9525" b="10795"/>
                      <wp:wrapNone/>
                      <wp:docPr id="59" name="Line 987" descr="P10244C8T11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A9C8F" id="Line 987" o:spid="_x0000_s1026" alt="&quot;&quot;" style="position:absolute;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BYXHODwgEAAG0DAAAOAAAAAAAAAAAAAAAAAC4C&#10;AABkcnMvZTJvRG9jLnhtbFBLAQItABQABgAIAAAAIQAXTzAS2wAAAAgBAAAPAAAAAAAAAAAAAAAA&#10;ABwEAABkcnMvZG93bnJldi54bWxQSwUGAAAAAAQABADzAAAAJAUAAAAA&#10;" strokeweight="1.5pt"/>
                  </w:pict>
                </mc:Fallback>
              </mc:AlternateContent>
            </w:r>
            <w:r w:rsidR="008C5564">
              <w:rPr>
                <w:b/>
                <w:bCs/>
                <w:szCs w:val="18"/>
              </w:rPr>
              <w:t>NOTES</w:t>
            </w:r>
          </w:p>
          <w:p w14:paraId="4B63F91D" w14:textId="77777777" w:rsidR="008C5564" w:rsidRDefault="008C5564" w:rsidP="008C5564">
            <w:pPr>
              <w:pStyle w:val="NotesText"/>
            </w:pPr>
          </w:p>
          <w:p w14:paraId="5558AD98" w14:textId="77777777" w:rsidR="008C5564" w:rsidRDefault="008C5564" w:rsidP="008C5564">
            <w:pPr>
              <w:pStyle w:val="NotesText"/>
            </w:pPr>
            <w:r>
              <w:rPr>
                <w:rFonts w:cs="Arial"/>
                <w:vanish/>
              </w:rPr>
              <w:t xml:space="preserve">BR_79.03 </w:t>
            </w:r>
            <w:r>
              <w:t>A multiple-division workload report includes totals for each type of workload for each division requested in the report.</w:t>
            </w:r>
          </w:p>
          <w:p w14:paraId="460874D0" w14:textId="77777777" w:rsidR="008C5564" w:rsidRDefault="008C5564" w:rsidP="008C5564">
            <w:pPr>
              <w:pStyle w:val="NotesText"/>
            </w:pPr>
          </w:p>
          <w:p w14:paraId="4D762C2C" w14:textId="77777777" w:rsidR="008C5564" w:rsidRDefault="008C5564" w:rsidP="008C5564">
            <w:pPr>
              <w:pStyle w:val="NotesText"/>
            </w:pPr>
            <w:r>
              <w:rPr>
                <w:rFonts w:cs="Arial"/>
                <w:vanish/>
              </w:rPr>
              <w:t xml:space="preserve">BR_79.04 </w:t>
            </w:r>
            <w:r>
              <w:t>VBECS searches its workload file for entries within the selected date range.</w:t>
            </w:r>
          </w:p>
        </w:tc>
      </w:tr>
      <w:tr w:rsidR="008C5564" w14:paraId="1E838905" w14:textId="77777777">
        <w:tc>
          <w:tcPr>
            <w:tcW w:w="3240" w:type="dxa"/>
          </w:tcPr>
          <w:p w14:paraId="3B3267B3" w14:textId="77777777" w:rsidR="008C5564" w:rsidRDefault="008C5564" w:rsidP="008C5564">
            <w:pPr>
              <w:pStyle w:val="TableTextNumbers"/>
            </w:pPr>
            <w:r>
              <w:lastRenderedPageBreak/>
              <w:t xml:space="preserve">In the Report Compilation area, click the </w:t>
            </w:r>
            <w:r>
              <w:rPr>
                <w:b/>
              </w:rPr>
              <w:t xml:space="preserve">Create Report Now </w:t>
            </w:r>
            <w:r w:rsidRPr="00BF2E41">
              <w:t>radio button</w:t>
            </w:r>
            <w:r>
              <w:t xml:space="preserve">. Click </w:t>
            </w:r>
            <w:r>
              <w:rPr>
                <w:b/>
              </w:rPr>
              <w:t>OK</w:t>
            </w:r>
            <w:r>
              <w:t xml:space="preserve"> to view the report, or</w:t>
            </w:r>
          </w:p>
          <w:p w14:paraId="17C11A1E" w14:textId="77777777" w:rsidR="008C5564" w:rsidRDefault="008C5564" w:rsidP="008C5564">
            <w:pPr>
              <w:pStyle w:val="TableTextNumbersContinued"/>
              <w:rPr>
                <w:b/>
                <w:bCs/>
              </w:rPr>
            </w:pPr>
          </w:p>
          <w:p w14:paraId="6613AD70" w14:textId="77777777" w:rsidR="008C5564" w:rsidRDefault="008C5564" w:rsidP="008C5564">
            <w:pPr>
              <w:pStyle w:val="TableTextNumbersContinued"/>
            </w:pPr>
            <w:r>
              <w:t xml:space="preserve">Click the </w:t>
            </w:r>
            <w:r>
              <w:rPr>
                <w:b/>
              </w:rPr>
              <w:t xml:space="preserve">Schedule Print Job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1BF198E7" w14:textId="77777777" w:rsidR="005B6A94" w:rsidRDefault="00F64B5C" w:rsidP="00AA2B2E">
            <w:pPr>
              <w:pStyle w:val="TableTextBullet"/>
            </w:pPr>
            <w:r>
              <w:t>Compiles and displays the report.</w:t>
            </w:r>
          </w:p>
        </w:tc>
      </w:tr>
      <w:tr w:rsidR="008C5564" w14:paraId="1BD74190" w14:textId="77777777">
        <w:tc>
          <w:tcPr>
            <w:tcW w:w="3240" w:type="dxa"/>
          </w:tcPr>
          <w:p w14:paraId="372C5A03" w14:textId="37993713" w:rsidR="008C5564" w:rsidRDefault="005C22EF" w:rsidP="008C5564">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fldLock="1"/>
            </w:r>
            <w:r w:rsidRPr="0076371D">
              <w:rPr>
                <w:szCs w:val="18"/>
              </w:rPr>
              <w:instrText xml:space="preserve"> REF _Ref2774509 \h  \* MERGEFORMAT </w:instrText>
            </w:r>
            <w:r w:rsidRPr="0076371D">
              <w:rPr>
                <w:szCs w:val="18"/>
              </w:rPr>
            </w:r>
            <w:r w:rsidRPr="0076371D">
              <w:rPr>
                <w:szCs w:val="18"/>
              </w:rPr>
              <w:fldChar w:fldCharType="separate"/>
            </w:r>
            <w:r w:rsidR="00AB304C" w:rsidRPr="00AB304C">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p>
        </w:tc>
        <w:tc>
          <w:tcPr>
            <w:tcW w:w="6120" w:type="dxa"/>
          </w:tcPr>
          <w:p w14:paraId="671BBA65" w14:textId="77777777" w:rsidR="005C22EF" w:rsidRDefault="005C22EF" w:rsidP="005C22EF">
            <w:pPr>
              <w:pStyle w:val="TableTextBullet"/>
            </w:pPr>
            <w:r>
              <w:t>If Print is selected, prints the report on the designated printer.</w:t>
            </w:r>
          </w:p>
          <w:p w14:paraId="2DCAB4BF" w14:textId="77777777" w:rsidR="005C22EF" w:rsidRDefault="005C22EF" w:rsidP="005C22EF">
            <w:pPr>
              <w:pStyle w:val="TableTextBullet"/>
            </w:pPr>
            <w:r>
              <w:t>If Export is selected, exports the report to the designated file.</w:t>
            </w:r>
          </w:p>
          <w:p w14:paraId="3B85ECB9" w14:textId="5484C71F" w:rsidR="008C5564" w:rsidRDefault="005C22EF" w:rsidP="005C22EF">
            <w:pPr>
              <w:pStyle w:val="TableTextBullet"/>
            </w:pPr>
            <w:r>
              <w:t>If Close is selected, exits the report preview.</w:t>
            </w:r>
          </w:p>
        </w:tc>
      </w:tr>
    </w:tbl>
    <w:p w14:paraId="2BFAE850" w14:textId="77777777" w:rsidR="00F55832" w:rsidRDefault="00F55832">
      <w:pPr>
        <w:pStyle w:val="Heading2"/>
      </w:pPr>
    </w:p>
    <w:p w14:paraId="53AF04FA" w14:textId="77777777" w:rsidR="002A21AE" w:rsidRDefault="00F55832">
      <w:pPr>
        <w:pStyle w:val="Heading2"/>
      </w:pPr>
      <w:r>
        <w:br w:type="page"/>
      </w:r>
      <w:bookmarkStart w:id="565" w:name="_Toc4588841"/>
      <w:r w:rsidR="002A21AE">
        <w:lastRenderedPageBreak/>
        <w:t>Exception Report</w:t>
      </w:r>
      <w:bookmarkEnd w:id="565"/>
      <w:r w:rsidR="002A21AE">
        <w:fldChar w:fldCharType="begin"/>
      </w:r>
      <w:r w:rsidR="002A21AE">
        <w:instrText xml:space="preserve"> XE </w:instrText>
      </w:r>
      <w:r w:rsidR="00FA7E65">
        <w:instrText>“</w:instrText>
      </w:r>
      <w:r w:rsidR="002A21AE">
        <w:instrText>Exception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UC_82</w:t>
      </w:r>
      <w:r w:rsidR="002A21AE">
        <w:rPr>
          <w:rStyle w:val="CommentReference"/>
          <w:b w:val="0"/>
          <w:vanish/>
        </w:rPr>
        <w:t xml:space="preserve"> </w:t>
      </w:r>
    </w:p>
    <w:p w14:paraId="7C5EC255" w14:textId="77777777" w:rsidR="002A21AE" w:rsidRDefault="002A21AE" w:rsidP="00FA7E65">
      <w:pPr>
        <w:pStyle w:val="BodyText"/>
      </w:pPr>
      <w:r>
        <w:t xml:space="preserve">The user views </w:t>
      </w:r>
      <w:r w:rsidR="00EB1E5A">
        <w:t xml:space="preserve">and/or </w:t>
      </w:r>
      <w:r>
        <w:t xml:space="preserve">prints an Exception Report. </w:t>
      </w:r>
    </w:p>
    <w:p w14:paraId="5A523D13" w14:textId="77777777" w:rsidR="002A21AE" w:rsidRDefault="002A21AE">
      <w:pPr>
        <w:pStyle w:val="Heading4"/>
      </w:pPr>
      <w:r>
        <w:t>Assumptions</w:t>
      </w:r>
      <w:r>
        <w:rPr>
          <w:b w:val="0"/>
        </w:rPr>
        <w:t xml:space="preserve"> </w:t>
      </w:r>
    </w:p>
    <w:p w14:paraId="1FFDE808" w14:textId="77777777" w:rsidR="002A21AE" w:rsidRDefault="002A21AE">
      <w:pPr>
        <w:pStyle w:val="ListBullet"/>
      </w:pPr>
      <w:r>
        <w:t>Data are available for inclusion in the report.</w:t>
      </w:r>
    </w:p>
    <w:p w14:paraId="6ABB447C" w14:textId="77777777" w:rsidR="002A21AE" w:rsidRDefault="002A21AE">
      <w:pPr>
        <w:pStyle w:val="ListBullet"/>
      </w:pPr>
      <w:r>
        <w:t>The user must be logged into the division in which the report is to be generated.</w:t>
      </w:r>
    </w:p>
    <w:p w14:paraId="2D3F3120" w14:textId="77777777" w:rsidR="002A21AE" w:rsidRDefault="002A21AE">
      <w:pPr>
        <w:pStyle w:val="Heading4"/>
      </w:pPr>
      <w:r>
        <w:t xml:space="preserve">Outcome </w:t>
      </w:r>
    </w:p>
    <w:p w14:paraId="6C4C5790" w14:textId="77777777" w:rsidR="002A21AE" w:rsidRDefault="00AE521B">
      <w:pPr>
        <w:pStyle w:val="ListBullet"/>
      </w:pPr>
      <w:r>
        <w:t>The user views and/or prints the report</w:t>
      </w:r>
      <w:r w:rsidR="002A21AE">
        <w:t>.</w:t>
      </w:r>
    </w:p>
    <w:p w14:paraId="47C81F55" w14:textId="77777777" w:rsidR="002A21AE" w:rsidRDefault="002A21AE">
      <w:pPr>
        <w:pStyle w:val="Heading4"/>
        <w:rPr>
          <w:b w:val="0"/>
        </w:rPr>
      </w:pPr>
      <w:r>
        <w:t>Limitations and Restrictions</w:t>
      </w:r>
      <w:r>
        <w:rPr>
          <w:b w:val="0"/>
        </w:rPr>
        <w:t xml:space="preserve"> </w:t>
      </w:r>
    </w:p>
    <w:p w14:paraId="6366C8A2" w14:textId="77777777" w:rsidR="002A21AE" w:rsidRDefault="00ED5339">
      <w:pPr>
        <w:pStyle w:val="ListBullet"/>
      </w:pPr>
      <w:r>
        <w:t xml:space="preserve">VBECS does not accommodate online review </w:t>
      </w:r>
      <w:r w:rsidR="006C1277">
        <w:t xml:space="preserve">(verification, signature) </w:t>
      </w:r>
      <w:r>
        <w:t>of reports.</w:t>
      </w:r>
    </w:p>
    <w:p w14:paraId="792BD700" w14:textId="052CE1F2" w:rsidR="00C30F9C" w:rsidRDefault="00C30F9C">
      <w:pPr>
        <w:pStyle w:val="ListBullet"/>
      </w:pPr>
      <w:r>
        <w:t xml:space="preserve">Only the first twenty patient antigens will print on the report when an exception is generated for a unit issued with unsatisfied antigen negative requirements. </w:t>
      </w:r>
      <w:r w:rsidRPr="00C30F9C">
        <w:rPr>
          <w:vanish/>
        </w:rPr>
        <w:t>DR 4820</w:t>
      </w:r>
    </w:p>
    <w:p w14:paraId="25E4B943" w14:textId="1BC0AB7E" w:rsidR="007A0743" w:rsidRDefault="007A0743">
      <w:pPr>
        <w:pStyle w:val="ListBullet"/>
      </w:pPr>
      <w:r>
        <w:t>In some areas of the report, the user ID is displayed instead of the user name.</w:t>
      </w:r>
      <w:r w:rsidR="00703803">
        <w:t xml:space="preserve"> </w:t>
      </w:r>
      <w:r w:rsidR="00703803" w:rsidRPr="00703803">
        <w:rPr>
          <w:vanish/>
        </w:rPr>
        <w:t>Defect 209133</w:t>
      </w:r>
    </w:p>
    <w:p w14:paraId="497FD1D8" w14:textId="0BFC8F91" w:rsidR="00725EA9" w:rsidRDefault="00746F32">
      <w:pPr>
        <w:pStyle w:val="ListBullet"/>
      </w:pPr>
      <w:r>
        <w:t>The Exception Date displayed</w:t>
      </w:r>
      <w:r w:rsidR="002C5A43">
        <w:t xml:space="preserve"> is not consistently recorded to data records. It will either be the time the user entered the exception comment or the time the user saved the data record.</w:t>
      </w:r>
      <w:r w:rsidR="00BA05F4">
        <w:t xml:space="preserve"> </w:t>
      </w:r>
      <w:r w:rsidR="00BA05F4" w:rsidRPr="00BA05F4">
        <w:rPr>
          <w:vanish/>
        </w:rPr>
        <w:t>Defect 208987</w:t>
      </w:r>
    </w:p>
    <w:p w14:paraId="631AA114" w14:textId="1994AA1F" w:rsidR="00BA05F4" w:rsidRDefault="002C5A43">
      <w:pPr>
        <w:pStyle w:val="ListBullet"/>
      </w:pPr>
      <w:r>
        <w:t>Some</w:t>
      </w:r>
      <w:r w:rsidR="00BA05F4">
        <w:t xml:space="preserve"> exceptions do not display full (eight-digit) product codes for ISBT</w:t>
      </w:r>
      <w:r w:rsidR="00C04D07">
        <w:t xml:space="preserve"> 128 </w:t>
      </w:r>
      <w:r w:rsidR="00BA05F4">
        <w:t>labeled units. The sixth, seventh, and eighth digits are not included</w:t>
      </w:r>
      <w:r w:rsidR="00680B7F">
        <w:t>.</w:t>
      </w:r>
      <w:r w:rsidR="00BA05F4">
        <w:t xml:space="preserve"> </w:t>
      </w:r>
      <w:r w:rsidR="00BA05F4" w:rsidRPr="00BA05F4">
        <w:rPr>
          <w:vanish/>
        </w:rPr>
        <w:t>Defect 208927</w:t>
      </w:r>
    </w:p>
    <w:p w14:paraId="21E40746" w14:textId="77777777" w:rsidR="002A21AE" w:rsidRDefault="002A21AE">
      <w:pPr>
        <w:pStyle w:val="Heading4"/>
      </w:pPr>
      <w:r>
        <w:t xml:space="preserve">Additional Information </w:t>
      </w:r>
    </w:p>
    <w:p w14:paraId="43F7CE0A" w14:textId="77777777" w:rsidR="002A21AE" w:rsidRDefault="00DF389C">
      <w:pPr>
        <w:pStyle w:val="ListBullet"/>
      </w:pPr>
      <w:r>
        <w:t>A supervisor may use a</w:t>
      </w:r>
      <w:r w:rsidRPr="00DF389C">
        <w:t xml:space="preserve"> printed report</w:t>
      </w:r>
      <w:r>
        <w:t xml:space="preserve"> to document</w:t>
      </w:r>
      <w:r w:rsidRPr="00DF389C">
        <w:t xml:space="preserve"> the </w:t>
      </w:r>
      <w:r>
        <w:t>review</w:t>
      </w:r>
      <w:r w:rsidR="002A21AE">
        <w:t xml:space="preserve">. </w:t>
      </w:r>
    </w:p>
    <w:p w14:paraId="14A825A9" w14:textId="77777777" w:rsidR="002A21AE" w:rsidRDefault="002A21AE">
      <w:pPr>
        <w:pStyle w:val="ListBullet"/>
      </w:pPr>
      <w:r>
        <w:t>Exception Report entries reflect the actual date and time an exception occurred.</w:t>
      </w:r>
    </w:p>
    <w:p w14:paraId="11B97793" w14:textId="75EB21F6" w:rsidR="005E27C3" w:rsidRDefault="005E27C3">
      <w:pPr>
        <w:pStyle w:val="ListBullet"/>
      </w:pPr>
      <w:r>
        <w:t xml:space="preserve">Exception report entries associated with testing do not include additional information about method, manual or automated instrument. See the </w:t>
      </w:r>
      <w:r w:rsidRPr="00915EFD">
        <w:rPr>
          <w:i/>
        </w:rPr>
        <w:t xml:space="preserve">Testing Worklist </w:t>
      </w:r>
      <w:r w:rsidR="0024416B" w:rsidRPr="00915EFD">
        <w:rPr>
          <w:i/>
        </w:rPr>
        <w:t>Report,</w:t>
      </w:r>
      <w:r w:rsidRPr="00915EFD">
        <w:rPr>
          <w:i/>
        </w:rPr>
        <w:t xml:space="preserve"> Patient History Report or Unit History Report</w:t>
      </w:r>
      <w:r>
        <w:t xml:space="preserve"> for test method information. </w:t>
      </w:r>
      <w:r w:rsidRPr="005E27C3">
        <w:rPr>
          <w:vanish/>
        </w:rPr>
        <w:t>UC_82</w:t>
      </w:r>
    </w:p>
    <w:p w14:paraId="45CE8F89" w14:textId="333C7463" w:rsidR="00EE28CF" w:rsidRDefault="00EE28CF" w:rsidP="00EE28CF">
      <w:pPr>
        <w:pStyle w:val="ListBullet"/>
      </w:pPr>
      <w:r>
        <w:t xml:space="preserve">In the Emergency Issue section of the report, </w:t>
      </w:r>
      <w:r w:rsidRPr="00EE28CF">
        <w:t>VBECS displays ISBT unit ID and product short name, but not the product code. See the Unit History report for the missing data saved in other options.</w:t>
      </w:r>
      <w:r w:rsidR="0024416B">
        <w:t xml:space="preserve"> </w:t>
      </w:r>
      <w:r w:rsidR="0024416B" w:rsidRPr="0024416B">
        <w:rPr>
          <w:vanish/>
        </w:rPr>
        <w:t>Defect 212840</w:t>
      </w:r>
    </w:p>
    <w:p w14:paraId="132CF834" w14:textId="77777777" w:rsidR="0087596E" w:rsidRDefault="00497307">
      <w:pPr>
        <w:pStyle w:val="ListBullet"/>
      </w:pPr>
      <w:r>
        <w:t>Issue Blood Component exceptions that include the Testing Status field displays numeric values 0, 1,</w:t>
      </w:r>
      <w:r w:rsidR="00494357">
        <w:t xml:space="preserve"> 2 or 3. Those numbers represent</w:t>
      </w:r>
      <w:r>
        <w:t xml:space="preserve"> the unit’s disease marker testing</w:t>
      </w:r>
      <w:r w:rsidR="00494357">
        <w:t>.</w:t>
      </w:r>
    </w:p>
    <w:p w14:paraId="3F3AA667" w14:textId="77777777" w:rsidR="0087596E" w:rsidRDefault="0087596E" w:rsidP="002F6D7B">
      <w:pPr>
        <w:pStyle w:val="ListBullet"/>
        <w:numPr>
          <w:ilvl w:val="1"/>
          <w:numId w:val="15"/>
        </w:numPr>
      </w:pPr>
      <w:r>
        <w:t xml:space="preserve">(0) – </w:t>
      </w:r>
      <w:r w:rsidR="000876E5">
        <w:t>N/A</w:t>
      </w:r>
      <w:r>
        <w:t xml:space="preserve"> </w:t>
      </w:r>
      <w:r w:rsidR="00497307">
        <w:t>for non-autologous units</w:t>
      </w:r>
      <w:r w:rsidR="00756D8E">
        <w:t>,</w:t>
      </w:r>
    </w:p>
    <w:p w14:paraId="480E8A25" w14:textId="77777777" w:rsidR="0087596E" w:rsidRDefault="0087596E" w:rsidP="002F6D7B">
      <w:pPr>
        <w:pStyle w:val="ListBullet"/>
        <w:numPr>
          <w:ilvl w:val="1"/>
          <w:numId w:val="15"/>
        </w:numPr>
      </w:pPr>
      <w:r>
        <w:t xml:space="preserve">(1) – </w:t>
      </w:r>
      <w:r w:rsidR="00497307">
        <w:t>NEG – Unit fully tested and negat</w:t>
      </w:r>
      <w:r>
        <w:t>ive for all disease markers</w:t>
      </w:r>
      <w:r w:rsidR="00756D8E">
        <w:t>,</w:t>
      </w:r>
    </w:p>
    <w:p w14:paraId="70D68747" w14:textId="77777777" w:rsidR="0087596E" w:rsidRDefault="0087596E" w:rsidP="002F6D7B">
      <w:pPr>
        <w:pStyle w:val="ListBullet"/>
        <w:numPr>
          <w:ilvl w:val="1"/>
          <w:numId w:val="15"/>
        </w:numPr>
      </w:pPr>
      <w:r>
        <w:t xml:space="preserve">(2) – </w:t>
      </w:r>
      <w:r w:rsidR="00497307">
        <w:t>POS – Unit tested and positive for one or more disease markers, Biohazard</w:t>
      </w:r>
      <w:r w:rsidR="00756D8E">
        <w:t>,</w:t>
      </w:r>
    </w:p>
    <w:p w14:paraId="7110A6D3" w14:textId="77777777" w:rsidR="00497307" w:rsidRDefault="0087596E" w:rsidP="002F6D7B">
      <w:pPr>
        <w:pStyle w:val="ListBullet"/>
        <w:numPr>
          <w:ilvl w:val="1"/>
          <w:numId w:val="15"/>
        </w:numPr>
      </w:pPr>
      <w:r>
        <w:t xml:space="preserve">(3) – </w:t>
      </w:r>
      <w:r w:rsidR="00497307">
        <w:t>NFT – Unit not fully tested for one or more disease</w:t>
      </w:r>
      <w:r w:rsidR="00756D8E">
        <w:t xml:space="preserve"> markers, Biohazard.</w:t>
      </w:r>
      <w:r>
        <w:t xml:space="preserve"> </w:t>
      </w:r>
      <w:r w:rsidRPr="00756D8E">
        <w:rPr>
          <w:vanish/>
        </w:rPr>
        <w:t>DR 4883</w:t>
      </w:r>
    </w:p>
    <w:p w14:paraId="26DCEC8F" w14:textId="77777777" w:rsidR="002A21AE" w:rsidRDefault="002A21AE">
      <w:pPr>
        <w:pStyle w:val="Heading4"/>
        <w:rPr>
          <w:b w:val="0"/>
        </w:rPr>
      </w:pPr>
      <w:r>
        <w:t>User Roles with Access to This Option</w:t>
      </w:r>
      <w:r>
        <w:rPr>
          <w:b w:val="0"/>
        </w:rPr>
        <w:t xml:space="preserve"> </w:t>
      </w:r>
    </w:p>
    <w:p w14:paraId="046BDFD4" w14:textId="77777777" w:rsidR="002A21AE" w:rsidRDefault="00606FB0">
      <w:pPr>
        <w:pStyle w:val="Roles"/>
        <w:rPr>
          <w:snapToGrid w:val="0"/>
        </w:rPr>
      </w:pPr>
      <w:r>
        <w:t>All users</w:t>
      </w:r>
    </w:p>
    <w:p w14:paraId="39766C22" w14:textId="77777777" w:rsidR="002A21AE" w:rsidRDefault="002A21AE">
      <w:pPr>
        <w:pStyle w:val="Heading4"/>
      </w:pPr>
      <w:r>
        <w:t>Exception Report</w:t>
      </w:r>
    </w:p>
    <w:p w14:paraId="0F1F1CF6" w14:textId="77777777" w:rsidR="002A21AE" w:rsidRDefault="000054DE" w:rsidP="00FA7E65">
      <w:pPr>
        <w:pStyle w:val="BodyText"/>
      </w:pPr>
      <w:r>
        <w:t xml:space="preserve">The user views </w:t>
      </w:r>
      <w:r w:rsidR="00EB1E5A">
        <w:t xml:space="preserve">and/or </w:t>
      </w:r>
      <w:r>
        <w:t xml:space="preserve">prints an Exception Report. </w:t>
      </w:r>
      <w:r w:rsidR="002A21AE">
        <w:t xml:space="preserve">Exception Reports list details of transactions that involve overrides to warnings and selected transactions of interest to the supervisor (for example, quarantined units).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5B25BEB" w14:textId="77777777">
        <w:trPr>
          <w:cantSplit/>
          <w:tblHeader/>
        </w:trPr>
        <w:tc>
          <w:tcPr>
            <w:tcW w:w="3240" w:type="dxa"/>
            <w:shd w:val="pct30" w:color="auto" w:fill="FFFFFF"/>
            <w:vAlign w:val="bottom"/>
          </w:tcPr>
          <w:p w14:paraId="37A6BD38" w14:textId="77777777" w:rsidR="002A21AE" w:rsidRDefault="002A21AE">
            <w:pPr>
              <w:pStyle w:val="TableText"/>
              <w:rPr>
                <w:b/>
              </w:rPr>
            </w:pPr>
            <w:r>
              <w:lastRenderedPageBreak/>
              <w:t>.</w:t>
            </w:r>
            <w:r>
              <w:rPr>
                <w:b/>
              </w:rPr>
              <w:t>User Action</w:t>
            </w:r>
          </w:p>
        </w:tc>
        <w:tc>
          <w:tcPr>
            <w:tcW w:w="6120" w:type="dxa"/>
            <w:shd w:val="pct30" w:color="auto" w:fill="FFFFFF"/>
            <w:vAlign w:val="bottom"/>
          </w:tcPr>
          <w:p w14:paraId="12B5DB7F" w14:textId="77777777" w:rsidR="002A21AE" w:rsidRDefault="002A21AE">
            <w:pPr>
              <w:pStyle w:val="TableText"/>
              <w:rPr>
                <w:b/>
              </w:rPr>
            </w:pPr>
            <w:r>
              <w:rPr>
                <w:b/>
              </w:rPr>
              <w:t>VBECS</w:t>
            </w:r>
          </w:p>
        </w:tc>
      </w:tr>
      <w:tr w:rsidR="002A21AE" w14:paraId="41C89C4E" w14:textId="77777777">
        <w:tc>
          <w:tcPr>
            <w:tcW w:w="3240" w:type="dxa"/>
          </w:tcPr>
          <w:p w14:paraId="067D3CD6" w14:textId="77777777" w:rsidR="002A21AE" w:rsidRDefault="002A21AE" w:rsidP="00041E00">
            <w:pPr>
              <w:pStyle w:val="TableTextNumbers"/>
              <w:numPr>
                <w:ilvl w:val="0"/>
                <w:numId w:val="82"/>
              </w:numPr>
            </w:pPr>
            <w:r>
              <w:t xml:space="preserve">Select </w:t>
            </w:r>
            <w:r w:rsidRPr="00946DA2">
              <w:rPr>
                <w:b/>
              </w:rPr>
              <w:t>Reports</w:t>
            </w:r>
            <w:r>
              <w:t xml:space="preserve"> from the main menu.</w:t>
            </w:r>
          </w:p>
          <w:p w14:paraId="0D9397E4" w14:textId="77777777" w:rsidR="002A21AE" w:rsidRDefault="002A21AE">
            <w:pPr>
              <w:pStyle w:val="TableTextNumbersContinued"/>
            </w:pPr>
          </w:p>
          <w:p w14:paraId="7236B781" w14:textId="77777777" w:rsidR="002A21AE" w:rsidRDefault="002A21AE">
            <w:pPr>
              <w:pStyle w:val="TableTextNumbersContinued"/>
            </w:pPr>
            <w:r>
              <w:t xml:space="preserve">Select </w:t>
            </w:r>
            <w:r>
              <w:rPr>
                <w:b/>
              </w:rPr>
              <w:t>Exception Report</w:t>
            </w:r>
            <w:r>
              <w:t>.</w:t>
            </w:r>
          </w:p>
        </w:tc>
        <w:tc>
          <w:tcPr>
            <w:tcW w:w="6120" w:type="dxa"/>
          </w:tcPr>
          <w:p w14:paraId="382ABA1D" w14:textId="77777777" w:rsidR="002A21AE" w:rsidRDefault="002A21AE">
            <w:pPr>
              <w:pStyle w:val="TableTextBullet"/>
            </w:pPr>
            <w:r>
              <w:t>Lists report names.</w:t>
            </w:r>
          </w:p>
          <w:p w14:paraId="5A32B3E4" w14:textId="77777777" w:rsidR="002A21AE" w:rsidRDefault="002A21AE">
            <w:pPr>
              <w:pStyle w:val="TableTextBullet"/>
            </w:pPr>
            <w:r>
              <w:t xml:space="preserve">Displays report compilation criteria. </w:t>
            </w:r>
          </w:p>
          <w:p w14:paraId="662C04FF" w14:textId="77777777" w:rsidR="002A21AE" w:rsidRDefault="002A21AE">
            <w:pPr>
              <w:pStyle w:val="TableTextBullet"/>
            </w:pPr>
            <w:r>
              <w:t>Displays a date range for selection.</w:t>
            </w:r>
          </w:p>
        </w:tc>
      </w:tr>
      <w:tr w:rsidR="002A21AE" w14:paraId="7333C946" w14:textId="77777777">
        <w:tc>
          <w:tcPr>
            <w:tcW w:w="3240" w:type="dxa"/>
          </w:tcPr>
          <w:p w14:paraId="482124DE" w14:textId="77777777" w:rsidR="002A21AE" w:rsidRDefault="002A21AE">
            <w:pPr>
              <w:pStyle w:val="TableTextNumbers"/>
            </w:pPr>
            <w:r>
              <w:t>Enter or select start and end dates.</w:t>
            </w:r>
          </w:p>
        </w:tc>
        <w:tc>
          <w:tcPr>
            <w:tcW w:w="6120" w:type="dxa"/>
          </w:tcPr>
          <w:p w14:paraId="3A902BE5" w14:textId="77777777" w:rsidR="002A21AE" w:rsidRDefault="002A21AE">
            <w:pPr>
              <w:pStyle w:val="TableText"/>
            </w:pPr>
          </w:p>
          <w:p w14:paraId="47F0C276" w14:textId="77777777" w:rsidR="002A21AE" w:rsidRDefault="00057948">
            <w:pPr>
              <w:pStyle w:val="TableText"/>
              <w:rPr>
                <w:b/>
                <w:bCs/>
                <w:szCs w:val="18"/>
              </w:rPr>
            </w:pPr>
            <w:r>
              <w:rPr>
                <w:b/>
                <w:bCs/>
                <w:noProof/>
              </w:rPr>
              <mc:AlternateContent>
                <mc:Choice Requires="wps">
                  <w:drawing>
                    <wp:anchor distT="0" distB="0" distL="114300" distR="114300" simplePos="0" relativeHeight="251561472" behindDoc="0" locked="0" layoutInCell="1" allowOverlap="1" wp14:anchorId="7B40FA7F" wp14:editId="0110346E">
                      <wp:simplePos x="0" y="0"/>
                      <wp:positionH relativeFrom="column">
                        <wp:posOffset>457200</wp:posOffset>
                      </wp:positionH>
                      <wp:positionV relativeFrom="paragraph">
                        <wp:posOffset>65405</wp:posOffset>
                      </wp:positionV>
                      <wp:extent cx="3200400" cy="0"/>
                      <wp:effectExtent l="9525" t="17780" r="9525" b="10795"/>
                      <wp:wrapNone/>
                      <wp:docPr id="287" name="Line 867" descr="P10300L52C6T11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2F708" id="Line 867" o:spid="_x0000_s1026" alt="&quot;&quot;" style="position:absolute;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IosoD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7A6113A3" w14:textId="77777777" w:rsidR="002A21AE" w:rsidRDefault="002A21AE">
            <w:pPr>
              <w:pStyle w:val="NotesText"/>
            </w:pPr>
          </w:p>
          <w:p w14:paraId="793B4E32" w14:textId="77777777" w:rsidR="002A21AE" w:rsidRDefault="002A21AE">
            <w:pPr>
              <w:pStyle w:val="NotesText"/>
            </w:pPr>
            <w:r>
              <w:rPr>
                <w:rFonts w:cs="Arial"/>
                <w:vanish/>
              </w:rPr>
              <w:t xml:space="preserve">BR_82.01 </w:t>
            </w:r>
            <w:r>
              <w:t>The report is sorted by exception type. Exception types are in chronological order.</w:t>
            </w:r>
          </w:p>
        </w:tc>
      </w:tr>
      <w:tr w:rsidR="002A21AE" w14:paraId="78FF1172" w14:textId="77777777">
        <w:tc>
          <w:tcPr>
            <w:tcW w:w="3240" w:type="dxa"/>
          </w:tcPr>
          <w:p w14:paraId="24BD7F0A" w14:textId="77777777" w:rsidR="002A21AE" w:rsidRDefault="002A21AE">
            <w:pPr>
              <w:pStyle w:val="TableTextNumbers"/>
            </w:pPr>
            <w:r>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14BF58CF" w14:textId="77777777" w:rsidR="002A21AE" w:rsidRDefault="002A21AE">
            <w:pPr>
              <w:pStyle w:val="TableTextNumbersContinued"/>
            </w:pPr>
          </w:p>
          <w:p w14:paraId="0BBEBD31"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2F6CB8EC" w14:textId="77777777" w:rsidR="005B6A94" w:rsidRDefault="00F64B5C" w:rsidP="00AA2B2E">
            <w:pPr>
              <w:pStyle w:val="TableTextBullet"/>
            </w:pPr>
            <w:r>
              <w:t>Compiles and displays the report.</w:t>
            </w:r>
          </w:p>
        </w:tc>
      </w:tr>
      <w:tr w:rsidR="002A21AE" w14:paraId="1FB27CB3" w14:textId="77777777" w:rsidTr="000518ED">
        <w:trPr>
          <w:trHeight w:val="467"/>
        </w:trPr>
        <w:tc>
          <w:tcPr>
            <w:tcW w:w="3240" w:type="dxa"/>
          </w:tcPr>
          <w:p w14:paraId="6C4D28D7" w14:textId="3D180017" w:rsidR="002A21AE" w:rsidRDefault="005C22EF">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fldLock="1"/>
            </w:r>
            <w:r w:rsidRPr="0076371D">
              <w:rPr>
                <w:szCs w:val="18"/>
              </w:rPr>
              <w:instrText xml:space="preserve"> REF _Ref2774509 \h  \* MERGEFORMAT </w:instrText>
            </w:r>
            <w:r w:rsidRPr="0076371D">
              <w:rPr>
                <w:szCs w:val="18"/>
              </w:rPr>
            </w:r>
            <w:r w:rsidRPr="0076371D">
              <w:rPr>
                <w:szCs w:val="18"/>
              </w:rPr>
              <w:fldChar w:fldCharType="separate"/>
            </w:r>
            <w:r w:rsidR="00AB304C" w:rsidRPr="00AB304C">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2A21AE" w:rsidRPr="00B93B42">
              <w:rPr>
                <w:rStyle w:val="StyleTableTextNumbersWhite1Char"/>
              </w:rPr>
              <w:t xml:space="preserve"> </w:t>
            </w:r>
            <w:r w:rsidR="002A21AE">
              <w:rPr>
                <w:vanish/>
                <w:color w:val="FFFFFF"/>
                <w:szCs w:val="18"/>
              </w:rPr>
              <w:fldChar w:fldCharType="begin"/>
            </w:r>
            <w:r w:rsidR="002A21AE">
              <w:rPr>
                <w:vanish/>
                <w:color w:val="FFFFFF"/>
                <w:szCs w:val="18"/>
              </w:rPr>
              <w:instrText xml:space="preserve"> LISTNUM \l 1 \s 0 </w:instrText>
            </w:r>
            <w:r w:rsidR="002A21AE">
              <w:rPr>
                <w:vanish/>
                <w:color w:val="FFFFFF"/>
                <w:szCs w:val="18"/>
              </w:rPr>
              <w:fldChar w:fldCharType="end"/>
            </w:r>
          </w:p>
        </w:tc>
        <w:tc>
          <w:tcPr>
            <w:tcW w:w="6120" w:type="dxa"/>
          </w:tcPr>
          <w:p w14:paraId="04D7D1E6" w14:textId="77777777" w:rsidR="005C22EF" w:rsidRDefault="005C22EF" w:rsidP="005C22EF">
            <w:pPr>
              <w:pStyle w:val="TableTextBullet"/>
            </w:pPr>
            <w:r>
              <w:t>If Print is selected, prints the report on the designated printer.</w:t>
            </w:r>
          </w:p>
          <w:p w14:paraId="669C0BAA" w14:textId="77777777" w:rsidR="005C22EF" w:rsidRDefault="005C22EF" w:rsidP="005C22EF">
            <w:pPr>
              <w:pStyle w:val="TableTextBullet"/>
            </w:pPr>
            <w:r>
              <w:t>If Export is selected, exports the report to the designated file.</w:t>
            </w:r>
          </w:p>
          <w:p w14:paraId="5868424C" w14:textId="77777777" w:rsidR="005C22EF" w:rsidRDefault="005C22EF" w:rsidP="005C22EF">
            <w:pPr>
              <w:pStyle w:val="TableTextBullet"/>
            </w:pPr>
            <w:r>
              <w:t>If Close is selected, exits the report preview.</w:t>
            </w:r>
          </w:p>
          <w:p w14:paraId="03F3167D" w14:textId="61D1405B" w:rsidR="002A21AE" w:rsidRDefault="002A21AE" w:rsidP="005C22EF">
            <w:pPr>
              <w:pStyle w:val="TableTextBullet"/>
            </w:pPr>
            <w:r>
              <w:t xml:space="preserve">See </w:t>
            </w:r>
            <w:r w:rsidR="00543DAF">
              <w:fldChar w:fldCharType="begin" w:fldLock="1"/>
            </w:r>
            <w:r w:rsidR="00543DAF">
              <w:instrText xml:space="preserve"> REF _Ref170004931 \h </w:instrText>
            </w:r>
            <w:r w:rsidR="00543DAF">
              <w:fldChar w:fldCharType="separate"/>
            </w:r>
            <w:r w:rsidR="00AB304C">
              <w:t xml:space="preserve">Appendix </w:t>
            </w:r>
            <w:r w:rsidR="00AB304C">
              <w:rPr>
                <w:noProof/>
              </w:rPr>
              <w:t>B</w:t>
            </w:r>
            <w:r w:rsidR="00543DAF">
              <w:fldChar w:fldCharType="end"/>
            </w:r>
            <w:r>
              <w:t xml:space="preserve">: </w:t>
            </w:r>
            <w:r w:rsidR="00AE2DC1">
              <w:fldChar w:fldCharType="begin" w:fldLock="1"/>
            </w:r>
            <w:r w:rsidR="00AE2DC1">
              <w:instrText xml:space="preserve"> REF _Ref126504543 \h </w:instrText>
            </w:r>
            <w:r w:rsidR="00AE2DC1">
              <w:fldChar w:fldCharType="separate"/>
            </w:r>
            <w:r w:rsidR="00AB304C">
              <w:t xml:space="preserve">Table </w:t>
            </w:r>
            <w:r w:rsidR="00AB304C">
              <w:rPr>
                <w:noProof/>
              </w:rPr>
              <w:t>21</w:t>
            </w:r>
            <w:r w:rsidR="00AB304C">
              <w:t xml:space="preserve">: </w:t>
            </w:r>
            <w:r w:rsidR="00AB304C">
              <w:rPr>
                <w:vanish/>
              </w:rPr>
              <w:t xml:space="preserve">TT_82.01 </w:t>
            </w:r>
            <w:r w:rsidR="00AB304C">
              <w:t>Details in Exception Report</w:t>
            </w:r>
            <w:r w:rsidR="00AE2DC1">
              <w:fldChar w:fldCharType="end"/>
            </w:r>
            <w:r>
              <w:t>.</w:t>
            </w:r>
          </w:p>
        </w:tc>
      </w:tr>
    </w:tbl>
    <w:p w14:paraId="1D6696DA" w14:textId="77777777" w:rsidR="000518ED" w:rsidRDefault="000518ED" w:rsidP="00C400F4">
      <w:pPr>
        <w:pStyle w:val="Heading2"/>
      </w:pPr>
    </w:p>
    <w:p w14:paraId="03B5E90A" w14:textId="77777777" w:rsidR="00C400F4" w:rsidRPr="00C400F4" w:rsidRDefault="000518ED" w:rsidP="000518ED">
      <w:pPr>
        <w:pStyle w:val="Heading2"/>
      </w:pPr>
      <w:r>
        <w:br w:type="page"/>
      </w:r>
      <w:bookmarkStart w:id="566" w:name="_Toc4588842"/>
      <w:r w:rsidR="00C400F4">
        <w:lastRenderedPageBreak/>
        <w:t xml:space="preserve">Finalize/Print TRW </w:t>
      </w:r>
      <w:r w:rsidR="00C400F4" w:rsidRPr="00C400F4">
        <w:rPr>
          <w:rFonts w:ascii="Arial Bold" w:hAnsi="Arial Bold"/>
          <w:vanish/>
        </w:rPr>
        <w:t>UC_96</w:t>
      </w:r>
      <w:r w:rsidR="00C400F4">
        <w:rPr>
          <w:rFonts w:ascii="Arial Bold" w:hAnsi="Arial Bold"/>
          <w:vanish/>
        </w:rPr>
        <w:t xml:space="preserve"> </w:t>
      </w:r>
      <w:r w:rsidR="00BA595C">
        <w:t>(S</w:t>
      </w:r>
      <w:r w:rsidR="00C400F4">
        <w:t>ee Patient Services</w:t>
      </w:r>
      <w:r w:rsidR="00BC05B4">
        <w:t>, Finalize/Print TRW</w:t>
      </w:r>
      <w:r w:rsidR="00C400F4">
        <w:t>)</w:t>
      </w:r>
      <w:bookmarkEnd w:id="566"/>
    </w:p>
    <w:p w14:paraId="74B9CED1" w14:textId="77777777" w:rsidR="002A21AE" w:rsidRDefault="002A21AE">
      <w:pPr>
        <w:pStyle w:val="Heading2"/>
      </w:pPr>
      <w:bookmarkStart w:id="567" w:name="_Toc4588843"/>
      <w:r>
        <w:t>Inappropriate Transfusion Request Report</w:t>
      </w:r>
      <w:bookmarkEnd w:id="567"/>
      <w:r>
        <w:fldChar w:fldCharType="begin"/>
      </w:r>
      <w:r>
        <w:instrText xml:space="preserve"> XE </w:instrText>
      </w:r>
      <w:r w:rsidR="00FA7E65">
        <w:instrText>“</w:instrText>
      </w:r>
      <w:r>
        <w:instrText>Inappropriate Transfusion Request Report</w:instrText>
      </w:r>
      <w:r w:rsidR="00FA7E65">
        <w:instrText>”</w:instrText>
      </w:r>
      <w:r>
        <w:instrText xml:space="preserve"> </w:instrText>
      </w:r>
      <w:r>
        <w:fldChar w:fldCharType="end"/>
      </w:r>
      <w:r>
        <w:t xml:space="preserve"> </w:t>
      </w:r>
      <w:r>
        <w:rPr>
          <w:rFonts w:ascii="Times New Roman" w:hAnsi="Times New Roman" w:cs="Times New Roman"/>
          <w:b w:val="0"/>
          <w:i w:val="0"/>
          <w:vanish/>
          <w:sz w:val="22"/>
        </w:rPr>
        <w:t>UC_96</w:t>
      </w:r>
    </w:p>
    <w:p w14:paraId="17400BE2" w14:textId="77777777" w:rsidR="002A21AE" w:rsidRDefault="002A21AE" w:rsidP="00FA7E65">
      <w:pPr>
        <w:pStyle w:val="BodyText"/>
      </w:pPr>
      <w:r>
        <w:t xml:space="preserve">The user views </w:t>
      </w:r>
      <w:r w:rsidR="00EB1E5A">
        <w:t xml:space="preserve">and/or </w:t>
      </w:r>
      <w:r>
        <w:t>prints the Inappropriate Transfusion Request Report.</w:t>
      </w:r>
    </w:p>
    <w:p w14:paraId="0F149C92" w14:textId="77777777" w:rsidR="002A21AE" w:rsidRDefault="002A21AE">
      <w:pPr>
        <w:pStyle w:val="Heading4"/>
      </w:pPr>
      <w:r>
        <w:t>Assumptions</w:t>
      </w:r>
      <w:r>
        <w:rPr>
          <w:b w:val="0"/>
        </w:rPr>
        <w:t xml:space="preserve"> </w:t>
      </w:r>
    </w:p>
    <w:p w14:paraId="24C73ABF" w14:textId="77777777" w:rsidR="002A21AE" w:rsidRDefault="002A21AE">
      <w:pPr>
        <w:pStyle w:val="ListBullet"/>
      </w:pPr>
      <w:r>
        <w:t xml:space="preserve">The order is flagged as an inappropriate transfusion request during Accepting an Order. </w:t>
      </w:r>
    </w:p>
    <w:p w14:paraId="0A258396" w14:textId="77777777" w:rsidR="002A21AE" w:rsidRDefault="002A21AE">
      <w:pPr>
        <w:pStyle w:val="ListBullet"/>
      </w:pPr>
      <w:r>
        <w:t>Setting Component Requirements was processed and there are inappropriate test indicators associated with the component classes in the login division.</w:t>
      </w:r>
    </w:p>
    <w:p w14:paraId="5C35CEEF" w14:textId="77777777" w:rsidR="002A21AE" w:rsidRDefault="002A21AE">
      <w:pPr>
        <w:pStyle w:val="ListBullet"/>
      </w:pPr>
      <w:r>
        <w:t>Data for the report were saved in VBECS.</w:t>
      </w:r>
    </w:p>
    <w:p w14:paraId="17507E91" w14:textId="77777777" w:rsidR="002A21AE" w:rsidRDefault="002A21AE">
      <w:pPr>
        <w:pStyle w:val="Heading4"/>
      </w:pPr>
      <w:r>
        <w:t xml:space="preserve">Outcome </w:t>
      </w:r>
    </w:p>
    <w:p w14:paraId="06144F0E" w14:textId="77777777" w:rsidR="002A21AE" w:rsidRDefault="002A21AE">
      <w:pPr>
        <w:pStyle w:val="ListBullet"/>
      </w:pPr>
      <w:r>
        <w:t>The user view or prints the report.</w:t>
      </w:r>
    </w:p>
    <w:p w14:paraId="54297F69" w14:textId="77777777" w:rsidR="002A21AE" w:rsidRDefault="002A21AE">
      <w:pPr>
        <w:pStyle w:val="Heading4"/>
        <w:rPr>
          <w:b w:val="0"/>
        </w:rPr>
      </w:pPr>
      <w:r>
        <w:t>Limitations and Restrictions</w:t>
      </w:r>
      <w:r>
        <w:rPr>
          <w:b w:val="0"/>
        </w:rPr>
        <w:t xml:space="preserve"> </w:t>
      </w:r>
    </w:p>
    <w:p w14:paraId="5709C93E" w14:textId="77777777" w:rsidR="002A21AE" w:rsidRDefault="002A21AE">
      <w:pPr>
        <w:pStyle w:val="ListBullet"/>
      </w:pPr>
      <w:r>
        <w:t>None</w:t>
      </w:r>
    </w:p>
    <w:p w14:paraId="2D7A3128" w14:textId="77777777" w:rsidR="002A21AE" w:rsidRDefault="002A21AE">
      <w:pPr>
        <w:pStyle w:val="Heading4"/>
      </w:pPr>
      <w:r>
        <w:t xml:space="preserve">Additional Information </w:t>
      </w:r>
    </w:p>
    <w:p w14:paraId="43BC9902" w14:textId="77777777" w:rsidR="002A21AE" w:rsidRDefault="002A21AE">
      <w:pPr>
        <w:pStyle w:val="ListBullet"/>
      </w:pPr>
      <w:r>
        <w:t>None</w:t>
      </w:r>
    </w:p>
    <w:p w14:paraId="3546B486" w14:textId="77777777" w:rsidR="002A21AE" w:rsidRDefault="002A21AE">
      <w:pPr>
        <w:pStyle w:val="Heading4"/>
        <w:rPr>
          <w:b w:val="0"/>
        </w:rPr>
      </w:pPr>
      <w:r>
        <w:t>User Roles with Access to This Option</w:t>
      </w:r>
      <w:r>
        <w:rPr>
          <w:b w:val="0"/>
        </w:rPr>
        <w:t xml:space="preserve"> </w:t>
      </w:r>
    </w:p>
    <w:p w14:paraId="74884780" w14:textId="77777777" w:rsidR="002A21AE" w:rsidRDefault="00184EA4">
      <w:pPr>
        <w:pStyle w:val="Roles"/>
      </w:pPr>
      <w:r>
        <w:t>All users</w:t>
      </w:r>
    </w:p>
    <w:p w14:paraId="2B2BFD00" w14:textId="77777777" w:rsidR="002A21AE" w:rsidRDefault="002A21AE">
      <w:pPr>
        <w:pStyle w:val="Heading4"/>
      </w:pPr>
      <w:r>
        <w:t xml:space="preserve">Inappropriate Transfusion Request Report </w:t>
      </w:r>
    </w:p>
    <w:p w14:paraId="5195BA72" w14:textId="77777777" w:rsidR="002A21AE" w:rsidRDefault="002A21AE" w:rsidP="00FA7E65">
      <w:pPr>
        <w:pStyle w:val="BodyText"/>
      </w:pPr>
      <w:r>
        <w:t xml:space="preserve">The user views </w:t>
      </w:r>
      <w:r w:rsidR="00EB1E5A">
        <w:t xml:space="preserve">and/or </w:t>
      </w:r>
      <w:r>
        <w:t>prints the Inappropriate Transfusion Request Report</w:t>
      </w:r>
      <w:r w:rsidR="000054DE">
        <w:t>,</w:t>
      </w:r>
      <w:r w:rsidR="000054DE" w:rsidRPr="000054DE">
        <w:t xml:space="preserve"> </w:t>
      </w:r>
      <w:r w:rsidR="000054DE">
        <w:t>which includes inappropriate transfusion orders determined by the division’s configuration of each component class</w:t>
      </w:r>
      <w: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823EB2B" w14:textId="77777777">
        <w:trPr>
          <w:cantSplit/>
          <w:tblHeader/>
        </w:trPr>
        <w:tc>
          <w:tcPr>
            <w:tcW w:w="3240" w:type="dxa"/>
            <w:shd w:val="pct30" w:color="auto" w:fill="FFFFFF"/>
            <w:vAlign w:val="bottom"/>
          </w:tcPr>
          <w:p w14:paraId="781E9242" w14:textId="77777777" w:rsidR="002A21AE" w:rsidRDefault="002A21AE">
            <w:pPr>
              <w:pStyle w:val="TableText"/>
              <w:rPr>
                <w:b/>
              </w:rPr>
            </w:pPr>
            <w:bookmarkStart w:id="568" w:name="_Toc43285442"/>
            <w:bookmarkStart w:id="569" w:name="_Toc71363876"/>
            <w:bookmarkStart w:id="570" w:name="_Toc74366719"/>
            <w:r>
              <w:rPr>
                <w:b/>
              </w:rPr>
              <w:t>User Action</w:t>
            </w:r>
          </w:p>
        </w:tc>
        <w:tc>
          <w:tcPr>
            <w:tcW w:w="6120" w:type="dxa"/>
            <w:shd w:val="pct30" w:color="auto" w:fill="FFFFFF"/>
            <w:vAlign w:val="bottom"/>
          </w:tcPr>
          <w:p w14:paraId="47DDEEEE" w14:textId="77777777" w:rsidR="002A21AE" w:rsidRDefault="002A21AE">
            <w:pPr>
              <w:pStyle w:val="TableText"/>
              <w:rPr>
                <w:b/>
              </w:rPr>
            </w:pPr>
            <w:r>
              <w:rPr>
                <w:b/>
              </w:rPr>
              <w:t>VBECS</w:t>
            </w:r>
          </w:p>
        </w:tc>
      </w:tr>
      <w:tr w:rsidR="002A21AE" w14:paraId="00430656" w14:textId="77777777">
        <w:tc>
          <w:tcPr>
            <w:tcW w:w="3240" w:type="dxa"/>
          </w:tcPr>
          <w:p w14:paraId="050187C6" w14:textId="77777777" w:rsidR="002A21AE" w:rsidRDefault="002A21AE">
            <w:pPr>
              <w:pStyle w:val="TableTextNumbers"/>
            </w:pPr>
            <w:r>
              <w:t xml:space="preserve">Select </w:t>
            </w:r>
            <w:r>
              <w:rPr>
                <w:b/>
              </w:rPr>
              <w:t>Reports</w:t>
            </w:r>
            <w:r>
              <w:t xml:space="preserve"> from the main menu.</w:t>
            </w:r>
          </w:p>
          <w:p w14:paraId="26C25E6B" w14:textId="77777777" w:rsidR="002A21AE" w:rsidRDefault="002A21AE">
            <w:pPr>
              <w:pStyle w:val="TableTextNumbersContinued"/>
            </w:pPr>
          </w:p>
          <w:p w14:paraId="09ACFE26" w14:textId="77777777" w:rsidR="002A21AE" w:rsidRDefault="002A21AE">
            <w:pPr>
              <w:pStyle w:val="TableTextNumbersContinued"/>
            </w:pPr>
            <w:r>
              <w:t xml:space="preserve">Select </w:t>
            </w:r>
            <w:r>
              <w:rPr>
                <w:b/>
              </w:rPr>
              <w:t>Inappropriate Transfusion Request Report</w:t>
            </w:r>
            <w:r>
              <w:t>.</w:t>
            </w:r>
          </w:p>
        </w:tc>
        <w:tc>
          <w:tcPr>
            <w:tcW w:w="6120" w:type="dxa"/>
          </w:tcPr>
          <w:p w14:paraId="4C9EB206" w14:textId="77777777" w:rsidR="002A21AE" w:rsidRDefault="002A21AE">
            <w:pPr>
              <w:pStyle w:val="TableTextBullet"/>
            </w:pPr>
            <w:r>
              <w:t>Lists report names.</w:t>
            </w:r>
          </w:p>
          <w:p w14:paraId="7F206F2F" w14:textId="77777777" w:rsidR="002A21AE" w:rsidRDefault="002A21AE">
            <w:pPr>
              <w:pStyle w:val="TableTextBullet"/>
            </w:pPr>
            <w:r>
              <w:t xml:space="preserve">Displays report compilation criteria. </w:t>
            </w:r>
          </w:p>
          <w:p w14:paraId="1A566A91" w14:textId="77777777" w:rsidR="002A21AE" w:rsidRDefault="002A21AE">
            <w:pPr>
              <w:pStyle w:val="TableTextBullet"/>
            </w:pPr>
            <w:r>
              <w:t>Displays a date range for selection.</w:t>
            </w:r>
          </w:p>
        </w:tc>
      </w:tr>
      <w:tr w:rsidR="002A21AE" w14:paraId="321AFBEE" w14:textId="77777777">
        <w:tc>
          <w:tcPr>
            <w:tcW w:w="3240" w:type="dxa"/>
          </w:tcPr>
          <w:p w14:paraId="2656B390" w14:textId="77777777" w:rsidR="002A21AE" w:rsidRDefault="002A21AE">
            <w:pPr>
              <w:pStyle w:val="TableTextNumbers"/>
            </w:pPr>
            <w:r>
              <w:t>Enter or select start and end dates.</w:t>
            </w:r>
          </w:p>
        </w:tc>
        <w:tc>
          <w:tcPr>
            <w:tcW w:w="6120" w:type="dxa"/>
          </w:tcPr>
          <w:p w14:paraId="67335621" w14:textId="77777777" w:rsidR="002A21AE" w:rsidRDefault="002A21AE">
            <w:pPr>
              <w:pStyle w:val="TableTextBullet"/>
            </w:pPr>
            <w:r>
              <w:t xml:space="preserve">Compiles and displays the report. </w:t>
            </w:r>
          </w:p>
          <w:p w14:paraId="377C2EC5" w14:textId="77777777" w:rsidR="002A21AE" w:rsidRDefault="002A21AE" w:rsidP="0006709D">
            <w:pPr>
              <w:pStyle w:val="NotesText"/>
              <w:ind w:left="0"/>
            </w:pPr>
          </w:p>
        </w:tc>
      </w:tr>
      <w:tr w:rsidR="002A21AE" w14:paraId="71064A18" w14:textId="77777777">
        <w:tc>
          <w:tcPr>
            <w:tcW w:w="3240" w:type="dxa"/>
          </w:tcPr>
          <w:p w14:paraId="503FB46C" w14:textId="77777777" w:rsidR="002A21AE" w:rsidRDefault="002A21AE">
            <w:pPr>
              <w:pStyle w:val="TableTextNumbers"/>
            </w:pPr>
            <w:r>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36F980B5" w14:textId="77777777" w:rsidR="002A21AE" w:rsidRDefault="002A21AE">
            <w:pPr>
              <w:pStyle w:val="TableTextNumbersContinued"/>
            </w:pPr>
          </w:p>
          <w:p w14:paraId="1CCB61B1"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416F9725" w14:textId="77777777" w:rsidR="005B6A94" w:rsidRDefault="00F64B5C" w:rsidP="00AA2B2E">
            <w:pPr>
              <w:pStyle w:val="TableTextBullet"/>
            </w:pPr>
            <w:r>
              <w:t>Compiles and displays the report.</w:t>
            </w:r>
          </w:p>
        </w:tc>
      </w:tr>
      <w:tr w:rsidR="002A21AE" w14:paraId="78ECA770" w14:textId="77777777">
        <w:tc>
          <w:tcPr>
            <w:tcW w:w="3240" w:type="dxa"/>
          </w:tcPr>
          <w:p w14:paraId="19556AE4" w14:textId="0D52B6E1" w:rsidR="002A21AE" w:rsidRDefault="00D45D8C">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fldLock="1"/>
            </w:r>
            <w:r w:rsidRPr="0076371D">
              <w:rPr>
                <w:szCs w:val="18"/>
              </w:rPr>
              <w:instrText xml:space="preserve"> REF _Ref2774509 \h  \* MERGEFORMAT </w:instrText>
            </w:r>
            <w:r w:rsidRPr="0076371D">
              <w:rPr>
                <w:szCs w:val="18"/>
              </w:rPr>
            </w:r>
            <w:r w:rsidRPr="0076371D">
              <w:rPr>
                <w:szCs w:val="18"/>
              </w:rPr>
              <w:fldChar w:fldCharType="separate"/>
            </w:r>
            <w:r w:rsidR="00AB304C" w:rsidRPr="00AB304C">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2A21AE" w:rsidRPr="00B93B42">
              <w:rPr>
                <w:rStyle w:val="StyleTableTextNumbersWhite1Char"/>
              </w:rPr>
              <w:t xml:space="preserve"> </w:t>
            </w:r>
            <w:r w:rsidR="002A21AE" w:rsidRPr="009660C3">
              <w:rPr>
                <w:vanish/>
                <w:szCs w:val="18"/>
              </w:rPr>
              <w:fldChar w:fldCharType="begin"/>
            </w:r>
            <w:r w:rsidR="002A21AE" w:rsidRPr="009660C3">
              <w:rPr>
                <w:vanish/>
                <w:szCs w:val="18"/>
              </w:rPr>
              <w:instrText xml:space="preserve"> LISTNUM \l 1 \s 0 </w:instrText>
            </w:r>
            <w:r w:rsidR="002A21AE" w:rsidRPr="009660C3">
              <w:rPr>
                <w:vanish/>
                <w:szCs w:val="18"/>
              </w:rPr>
              <w:fldChar w:fldCharType="end"/>
            </w:r>
          </w:p>
        </w:tc>
        <w:tc>
          <w:tcPr>
            <w:tcW w:w="6120" w:type="dxa"/>
          </w:tcPr>
          <w:p w14:paraId="53D85857" w14:textId="77777777" w:rsidR="00D45D8C" w:rsidRDefault="00D45D8C" w:rsidP="00D45D8C">
            <w:pPr>
              <w:pStyle w:val="TableTextBullet"/>
            </w:pPr>
            <w:r>
              <w:t>If Print is selected, prints the report on the designated printer.</w:t>
            </w:r>
          </w:p>
          <w:p w14:paraId="2DC1F479" w14:textId="77777777" w:rsidR="00D45D8C" w:rsidRDefault="00D45D8C" w:rsidP="00D45D8C">
            <w:pPr>
              <w:pStyle w:val="TableTextBullet"/>
            </w:pPr>
            <w:r>
              <w:t>If Export is selected, exports the report to the designated file.</w:t>
            </w:r>
          </w:p>
          <w:p w14:paraId="7CF25D27" w14:textId="5702F813" w:rsidR="002A21AE" w:rsidRDefault="00D45D8C" w:rsidP="00D45D8C">
            <w:pPr>
              <w:pStyle w:val="TableTextBullet"/>
            </w:pPr>
            <w:r>
              <w:t>If Close is selected, exits the report preview.</w:t>
            </w:r>
          </w:p>
        </w:tc>
      </w:tr>
      <w:bookmarkEnd w:id="568"/>
      <w:bookmarkEnd w:id="569"/>
      <w:bookmarkEnd w:id="570"/>
    </w:tbl>
    <w:p w14:paraId="1FEAE4AF" w14:textId="77777777" w:rsidR="002A21AE" w:rsidRDefault="002A21AE">
      <w:pPr>
        <w:pStyle w:val="Heading2"/>
      </w:pPr>
      <w:r>
        <w:br w:type="page"/>
      </w:r>
      <w:bookmarkStart w:id="571" w:name="_Toc4588844"/>
      <w:r>
        <w:lastRenderedPageBreak/>
        <w:t>Issued/Returned Unit Report</w:t>
      </w:r>
      <w:bookmarkEnd w:id="571"/>
      <w:r>
        <w:fldChar w:fldCharType="begin"/>
      </w:r>
      <w:r>
        <w:instrText xml:space="preserve"> XE </w:instrText>
      </w:r>
      <w:r w:rsidR="00FA7E65">
        <w:instrText>“</w:instrText>
      </w:r>
      <w:r>
        <w:instrText>Issued/Returned Unit Report</w:instrText>
      </w:r>
      <w:r w:rsidR="00FA7E65">
        <w:instrText>”</w:instrText>
      </w:r>
      <w:r>
        <w:instrText xml:space="preserve"> </w:instrText>
      </w:r>
      <w:r>
        <w:fldChar w:fldCharType="end"/>
      </w:r>
      <w:r>
        <w:t xml:space="preserve"> </w:t>
      </w:r>
      <w:r>
        <w:rPr>
          <w:rFonts w:ascii="Times New Roman" w:hAnsi="Times New Roman" w:cs="Times New Roman"/>
          <w:b w:val="0"/>
          <w:i w:val="0"/>
          <w:vanish/>
          <w:sz w:val="22"/>
        </w:rPr>
        <w:t>UC_76</w:t>
      </w:r>
    </w:p>
    <w:p w14:paraId="1153DAC1" w14:textId="77777777" w:rsidR="002A21AE" w:rsidRDefault="002A21AE" w:rsidP="00FA7E65">
      <w:pPr>
        <w:pStyle w:val="BodyText"/>
      </w:pPr>
      <w:r>
        <w:t xml:space="preserve">The user views </w:t>
      </w:r>
      <w:r w:rsidR="00EB1E5A">
        <w:t xml:space="preserve">and/or </w:t>
      </w:r>
      <w:r>
        <w:t xml:space="preserve">prints the Issued/Returned Unit Report. </w:t>
      </w:r>
    </w:p>
    <w:p w14:paraId="58FBD509" w14:textId="77777777" w:rsidR="002A21AE" w:rsidRDefault="002A21AE">
      <w:pPr>
        <w:pStyle w:val="Heading4"/>
      </w:pPr>
      <w:r>
        <w:t>Assumptions</w:t>
      </w:r>
      <w:r>
        <w:rPr>
          <w:b w:val="0"/>
        </w:rPr>
        <w:t xml:space="preserve"> </w:t>
      </w:r>
    </w:p>
    <w:p w14:paraId="50289994" w14:textId="77777777" w:rsidR="002A21AE" w:rsidRDefault="002A21AE">
      <w:pPr>
        <w:pStyle w:val="ListBullet"/>
      </w:pPr>
      <w:r>
        <w:t>Data for the report were saved in the VBECS database.</w:t>
      </w:r>
    </w:p>
    <w:p w14:paraId="40989E67" w14:textId="77777777" w:rsidR="002A21AE" w:rsidRDefault="002A21AE">
      <w:pPr>
        <w:pStyle w:val="Heading4"/>
      </w:pPr>
      <w:r>
        <w:t xml:space="preserve">Outcome </w:t>
      </w:r>
    </w:p>
    <w:p w14:paraId="3A01B4E1" w14:textId="77777777" w:rsidR="002A21AE" w:rsidRDefault="00AE521B">
      <w:pPr>
        <w:pStyle w:val="ListBullet"/>
      </w:pPr>
      <w:r>
        <w:t>The user views and/or prints the report</w:t>
      </w:r>
      <w:r w:rsidR="002A21AE">
        <w:t xml:space="preserve">. </w:t>
      </w:r>
    </w:p>
    <w:p w14:paraId="6E84DEF2" w14:textId="77777777" w:rsidR="002A21AE" w:rsidRDefault="002A21AE">
      <w:pPr>
        <w:pStyle w:val="Heading4"/>
        <w:rPr>
          <w:b w:val="0"/>
        </w:rPr>
      </w:pPr>
      <w:r>
        <w:t>Limitations and Restrictions</w:t>
      </w:r>
      <w:r>
        <w:rPr>
          <w:b w:val="0"/>
        </w:rPr>
        <w:t xml:space="preserve"> </w:t>
      </w:r>
    </w:p>
    <w:p w14:paraId="7A69E77E" w14:textId="77777777" w:rsidR="002A21AE" w:rsidRDefault="002A21AE">
      <w:pPr>
        <w:pStyle w:val="ListBullet"/>
      </w:pPr>
      <w:r>
        <w:t>None</w:t>
      </w:r>
    </w:p>
    <w:p w14:paraId="4BE2B719" w14:textId="77777777" w:rsidR="002A21AE" w:rsidRDefault="002A21AE">
      <w:pPr>
        <w:pStyle w:val="Heading4"/>
      </w:pPr>
      <w:r>
        <w:t xml:space="preserve">Additional Information </w:t>
      </w:r>
    </w:p>
    <w:p w14:paraId="53970A54" w14:textId="77777777" w:rsidR="002A21AE" w:rsidRDefault="002A21AE">
      <w:pPr>
        <w:pStyle w:val="ListBullet"/>
      </w:pPr>
      <w:r>
        <w:t>The report is compiled for one division.</w:t>
      </w:r>
    </w:p>
    <w:p w14:paraId="647426F5" w14:textId="77777777" w:rsidR="002A21AE" w:rsidRDefault="002A21AE">
      <w:pPr>
        <w:pStyle w:val="ListBullet"/>
      </w:pPr>
      <w:r>
        <w:rPr>
          <w:rFonts w:ascii="Arial" w:hAnsi="Arial" w:cs="Arial"/>
          <w:vanish/>
          <w:spacing w:val="0"/>
          <w:sz w:val="18"/>
        </w:rPr>
        <w:t xml:space="preserve">BR_76.04 </w:t>
      </w:r>
      <w:r>
        <w:t>Pooled units include the number of participants in the pool.</w:t>
      </w:r>
    </w:p>
    <w:p w14:paraId="57077B2A" w14:textId="77777777" w:rsidR="002A21AE" w:rsidRDefault="002A21AE">
      <w:pPr>
        <w:pStyle w:val="Heading4"/>
      </w:pPr>
      <w:r>
        <w:t xml:space="preserve">User Roles with Access to This Option </w:t>
      </w:r>
    </w:p>
    <w:p w14:paraId="550CE541" w14:textId="77777777" w:rsidR="002A21AE" w:rsidRDefault="00184EA4">
      <w:pPr>
        <w:pStyle w:val="Roles"/>
      </w:pPr>
      <w:r>
        <w:t>All users</w:t>
      </w:r>
    </w:p>
    <w:p w14:paraId="6AC3D723" w14:textId="77777777" w:rsidR="002A21AE" w:rsidRDefault="002A21AE">
      <w:pPr>
        <w:pStyle w:val="Heading4"/>
      </w:pPr>
      <w:r>
        <w:t xml:space="preserve">Issued/Returned Unit Report </w:t>
      </w:r>
    </w:p>
    <w:p w14:paraId="76214276" w14:textId="77777777" w:rsidR="002A21AE" w:rsidRDefault="002A21AE" w:rsidP="00FA7E65">
      <w:pPr>
        <w:pStyle w:val="BodyText"/>
      </w:pPr>
      <w:r>
        <w:t xml:space="preserve">The user views </w:t>
      </w:r>
      <w:r w:rsidR="00EB1E5A">
        <w:t xml:space="preserve">and/or </w:t>
      </w:r>
      <w:r>
        <w:t>prints a report of units issued and/or returned to patients within a specified date range for a division.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4B7965AB" w14:textId="77777777">
        <w:trPr>
          <w:cantSplit/>
          <w:tblHeader/>
        </w:trPr>
        <w:tc>
          <w:tcPr>
            <w:tcW w:w="3240" w:type="dxa"/>
            <w:shd w:val="pct30" w:color="auto" w:fill="FFFFFF"/>
            <w:vAlign w:val="bottom"/>
          </w:tcPr>
          <w:p w14:paraId="74FFA685" w14:textId="77777777" w:rsidR="002A21AE" w:rsidRDefault="002A21AE">
            <w:pPr>
              <w:pStyle w:val="TableText"/>
              <w:rPr>
                <w:b/>
              </w:rPr>
            </w:pPr>
            <w:r>
              <w:rPr>
                <w:b/>
              </w:rPr>
              <w:t>User Action</w:t>
            </w:r>
          </w:p>
        </w:tc>
        <w:tc>
          <w:tcPr>
            <w:tcW w:w="6120" w:type="dxa"/>
            <w:shd w:val="pct30" w:color="auto" w:fill="FFFFFF"/>
            <w:vAlign w:val="bottom"/>
          </w:tcPr>
          <w:p w14:paraId="0EA42DB0" w14:textId="77777777" w:rsidR="002A21AE" w:rsidRDefault="002A21AE">
            <w:pPr>
              <w:pStyle w:val="TableText"/>
              <w:rPr>
                <w:b/>
              </w:rPr>
            </w:pPr>
            <w:r>
              <w:rPr>
                <w:b/>
              </w:rPr>
              <w:t>VBECS</w:t>
            </w:r>
          </w:p>
        </w:tc>
      </w:tr>
      <w:tr w:rsidR="002A21AE" w14:paraId="151804A1" w14:textId="77777777">
        <w:tc>
          <w:tcPr>
            <w:tcW w:w="3240" w:type="dxa"/>
            <w:tcBorders>
              <w:top w:val="single" w:sz="4" w:space="0" w:color="auto"/>
              <w:left w:val="single" w:sz="4" w:space="0" w:color="auto"/>
              <w:bottom w:val="single" w:sz="4" w:space="0" w:color="auto"/>
              <w:right w:val="single" w:sz="4" w:space="0" w:color="auto"/>
            </w:tcBorders>
          </w:tcPr>
          <w:p w14:paraId="0B3E3BD3" w14:textId="77777777" w:rsidR="002A21AE" w:rsidRDefault="002A21AE">
            <w:pPr>
              <w:pStyle w:val="TableTextNumbers"/>
            </w:pPr>
            <w:r>
              <w:t xml:space="preserve">Select </w:t>
            </w:r>
            <w:r>
              <w:rPr>
                <w:b/>
              </w:rPr>
              <w:t>Reports</w:t>
            </w:r>
            <w:r>
              <w:t xml:space="preserve"> from the main menu.</w:t>
            </w:r>
          </w:p>
          <w:p w14:paraId="6D89B3F0" w14:textId="77777777" w:rsidR="002A21AE" w:rsidRDefault="002A21AE">
            <w:pPr>
              <w:pStyle w:val="TableTextNumbersContinued"/>
            </w:pPr>
          </w:p>
          <w:p w14:paraId="56C8F76C" w14:textId="77777777" w:rsidR="002A21AE" w:rsidRDefault="002A21AE">
            <w:pPr>
              <w:pStyle w:val="TableTextNumbersContinued"/>
            </w:pPr>
            <w:r>
              <w:t xml:space="preserve">Select </w:t>
            </w:r>
            <w:r>
              <w:rPr>
                <w:b/>
              </w:rPr>
              <w:t>Issued/Returned Report</w:t>
            </w:r>
            <w:r>
              <w:t>.</w:t>
            </w:r>
          </w:p>
        </w:tc>
        <w:tc>
          <w:tcPr>
            <w:tcW w:w="6120" w:type="dxa"/>
            <w:tcBorders>
              <w:top w:val="single" w:sz="4" w:space="0" w:color="auto"/>
              <w:left w:val="single" w:sz="4" w:space="0" w:color="auto"/>
              <w:bottom w:val="single" w:sz="4" w:space="0" w:color="auto"/>
              <w:right w:val="single" w:sz="4" w:space="0" w:color="auto"/>
            </w:tcBorders>
          </w:tcPr>
          <w:p w14:paraId="76C8C02D" w14:textId="77777777" w:rsidR="002A21AE" w:rsidRDefault="002A21AE">
            <w:pPr>
              <w:pStyle w:val="TableTextBullet"/>
            </w:pPr>
            <w:r>
              <w:t>Lists report names.</w:t>
            </w:r>
          </w:p>
          <w:p w14:paraId="0E81654D" w14:textId="77777777" w:rsidR="002A21AE" w:rsidRDefault="002A21AE">
            <w:pPr>
              <w:pStyle w:val="TableTextBullet"/>
            </w:pPr>
            <w:r>
              <w:t>Displays fields for entering a report date range.</w:t>
            </w:r>
          </w:p>
        </w:tc>
      </w:tr>
      <w:tr w:rsidR="002A21AE" w14:paraId="2EF477DE" w14:textId="77777777">
        <w:tc>
          <w:tcPr>
            <w:tcW w:w="3240" w:type="dxa"/>
          </w:tcPr>
          <w:p w14:paraId="55765D2B" w14:textId="77777777" w:rsidR="002A21AE" w:rsidRDefault="002A21AE">
            <w:pPr>
              <w:pStyle w:val="TableTextNumbers"/>
            </w:pPr>
            <w:r>
              <w:t xml:space="preserve">Enter or select start and end dates. </w:t>
            </w:r>
          </w:p>
        </w:tc>
        <w:tc>
          <w:tcPr>
            <w:tcW w:w="6120" w:type="dxa"/>
          </w:tcPr>
          <w:p w14:paraId="38E11BCE" w14:textId="77777777" w:rsidR="002A21AE" w:rsidRDefault="002A21AE">
            <w:pPr>
              <w:pStyle w:val="TableTextBullet"/>
            </w:pPr>
            <w:r>
              <w:t>Allows the user to sort the report by issued date range or by patient name.</w:t>
            </w:r>
          </w:p>
        </w:tc>
      </w:tr>
      <w:tr w:rsidR="00B33FB0" w14:paraId="6B72A20F" w14:textId="77777777">
        <w:tc>
          <w:tcPr>
            <w:tcW w:w="3240" w:type="dxa"/>
          </w:tcPr>
          <w:p w14:paraId="73A744CE" w14:textId="77777777" w:rsidR="00B33FB0" w:rsidRDefault="00B33FB0">
            <w:pPr>
              <w:pStyle w:val="TableTextNumbers"/>
            </w:pPr>
            <w:r>
              <w:t xml:space="preserve">In the Report Sort Order area, select the </w:t>
            </w:r>
            <w:r w:rsidRPr="000D2373">
              <w:rPr>
                <w:b/>
              </w:rPr>
              <w:t>Issue/Return Date</w:t>
            </w:r>
            <w:r>
              <w:t xml:space="preserve"> or </w:t>
            </w:r>
            <w:r w:rsidRPr="000D2373">
              <w:rPr>
                <w:b/>
              </w:rPr>
              <w:t>Patient Name</w:t>
            </w:r>
            <w:r>
              <w:t xml:space="preserve"> radio button.</w:t>
            </w:r>
          </w:p>
        </w:tc>
        <w:tc>
          <w:tcPr>
            <w:tcW w:w="6120" w:type="dxa"/>
          </w:tcPr>
          <w:p w14:paraId="730785C6" w14:textId="77777777" w:rsidR="00B33FB0" w:rsidRDefault="000D2373">
            <w:pPr>
              <w:pStyle w:val="TableTextBullet"/>
            </w:pPr>
            <w:r w:rsidRPr="000D2373">
              <w:rPr>
                <w:vanish/>
              </w:rPr>
              <w:t xml:space="preserve">BR_7601 </w:t>
            </w:r>
            <w:r>
              <w:t>Compiles the report and, for each unit issued and when units are returned, includes return information.</w:t>
            </w:r>
          </w:p>
          <w:p w14:paraId="02A3EF59" w14:textId="77777777" w:rsidR="000D2373" w:rsidRDefault="000D2373" w:rsidP="000D2373">
            <w:pPr>
              <w:pStyle w:val="TableTextBullet"/>
              <w:numPr>
                <w:ilvl w:val="0"/>
                <w:numId w:val="0"/>
              </w:numPr>
              <w:ind w:left="288" w:hanging="288"/>
            </w:pPr>
          </w:p>
          <w:p w14:paraId="6621EAE4" w14:textId="77777777" w:rsidR="000D2373" w:rsidRDefault="00057948" w:rsidP="000D2373">
            <w:pPr>
              <w:pStyle w:val="TableText"/>
              <w:rPr>
                <w:b/>
                <w:bCs/>
                <w:szCs w:val="18"/>
              </w:rPr>
            </w:pPr>
            <w:r>
              <w:rPr>
                <w:b/>
                <w:bCs/>
                <w:noProof/>
              </w:rPr>
              <mc:AlternateContent>
                <mc:Choice Requires="wps">
                  <w:drawing>
                    <wp:anchor distT="0" distB="0" distL="114300" distR="114300" simplePos="0" relativeHeight="252044800" behindDoc="0" locked="0" layoutInCell="1" allowOverlap="1" wp14:anchorId="79F09F74" wp14:editId="65B800DA">
                      <wp:simplePos x="0" y="0"/>
                      <wp:positionH relativeFrom="column">
                        <wp:posOffset>457200</wp:posOffset>
                      </wp:positionH>
                      <wp:positionV relativeFrom="paragraph">
                        <wp:posOffset>65405</wp:posOffset>
                      </wp:positionV>
                      <wp:extent cx="3200400" cy="0"/>
                      <wp:effectExtent l="9525" t="17780" r="9525" b="10795"/>
                      <wp:wrapNone/>
                      <wp:docPr id="286" name="Line 1258" descr="P10387C8T11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15802" id="Line 1258" o:spid="_x0000_s1026" alt="&quot;&quot;" style="position:absolute;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Gni0rrEAQAAbwMAAA4AAAAAAAAAAAAAAAAA&#10;LgIAAGRycy9lMm9Eb2MueG1sUEsBAi0AFAAGAAgAAAAhABdPMBLbAAAACAEAAA8AAAAAAAAAAAAA&#10;AAAAHgQAAGRycy9kb3ducmV2LnhtbFBLBQYAAAAABAAEAPMAAAAmBQAAAAA=&#10;" strokeweight="1.5pt"/>
                  </w:pict>
                </mc:Fallback>
              </mc:AlternateContent>
            </w:r>
            <w:r w:rsidR="000D2373">
              <w:rPr>
                <w:b/>
                <w:bCs/>
                <w:szCs w:val="18"/>
              </w:rPr>
              <w:t>NOTES</w:t>
            </w:r>
          </w:p>
          <w:p w14:paraId="3E3D2A90" w14:textId="77777777" w:rsidR="000D2373" w:rsidRDefault="000D2373" w:rsidP="000D2373">
            <w:pPr>
              <w:pStyle w:val="NotesText"/>
            </w:pPr>
          </w:p>
          <w:p w14:paraId="18E18D20" w14:textId="77777777" w:rsidR="000D2373" w:rsidRDefault="000D2373" w:rsidP="000D2373">
            <w:pPr>
              <w:pStyle w:val="TableTextBullet"/>
              <w:numPr>
                <w:ilvl w:val="0"/>
                <w:numId w:val="0"/>
              </w:numPr>
              <w:ind w:left="738" w:hanging="18"/>
            </w:pPr>
            <w:r>
              <w:rPr>
                <w:rFonts w:cs="Arial"/>
                <w:vanish/>
              </w:rPr>
              <w:t xml:space="preserve">BR_76.02 </w:t>
            </w:r>
            <w:r>
              <w:t>The report includes a unit that is issued or returned within the entered date range. When a unit is identified as issued or returned during the entered date range, the report also includes unit return and issuance data, respectively, even when they fall outside the date range of the report.</w:t>
            </w:r>
          </w:p>
          <w:p w14:paraId="11214253" w14:textId="77777777" w:rsidR="00DA3007" w:rsidRDefault="00DA3007" w:rsidP="000D2373">
            <w:pPr>
              <w:pStyle w:val="TableTextBullet"/>
              <w:numPr>
                <w:ilvl w:val="0"/>
                <w:numId w:val="0"/>
              </w:numPr>
              <w:ind w:left="738" w:hanging="18"/>
            </w:pPr>
          </w:p>
          <w:p w14:paraId="0AEFB457" w14:textId="4DDCF442" w:rsidR="00DA3007" w:rsidRDefault="00DA3007" w:rsidP="000D2373">
            <w:pPr>
              <w:pStyle w:val="TableTextBullet"/>
              <w:numPr>
                <w:ilvl w:val="0"/>
                <w:numId w:val="0"/>
              </w:numPr>
              <w:ind w:left="738" w:hanging="18"/>
            </w:pPr>
            <w:r>
              <w:t xml:space="preserve">If </w:t>
            </w:r>
            <w:r w:rsidRPr="00DA3007">
              <w:t xml:space="preserve">a unit is entered into Incoming Shipment as one product code and then issued, and after issue modified to a new product code, the </w:t>
            </w:r>
            <w:r>
              <w:t xml:space="preserve">report </w:t>
            </w:r>
            <w:r w:rsidRPr="00DA3007">
              <w:t>will not show the original product code. Only the new modified product code displays.</w:t>
            </w:r>
            <w:r>
              <w:t xml:space="preserve"> </w:t>
            </w:r>
            <w:r w:rsidRPr="00DA3007">
              <w:t>A user can determine the original product</w:t>
            </w:r>
            <w:r w:rsidR="00C3611D">
              <w:t xml:space="preserve"> code</w:t>
            </w:r>
            <w:r w:rsidRPr="00DA3007">
              <w:t xml:space="preserve"> by viewing the Unit History Report.</w:t>
            </w:r>
            <w:r w:rsidR="00DC3A9D">
              <w:t xml:space="preserve"> </w:t>
            </w:r>
            <w:r w:rsidR="00DC3A9D" w:rsidRPr="00DC3A9D">
              <w:rPr>
                <w:vanish/>
              </w:rPr>
              <w:t>Defect 209117</w:t>
            </w:r>
          </w:p>
          <w:p w14:paraId="21D03404" w14:textId="77777777" w:rsidR="00F1278D" w:rsidRDefault="00F1278D" w:rsidP="000D2373">
            <w:pPr>
              <w:pStyle w:val="TableTextBullet"/>
              <w:numPr>
                <w:ilvl w:val="0"/>
                <w:numId w:val="0"/>
              </w:numPr>
              <w:ind w:left="738" w:hanging="18"/>
            </w:pPr>
          </w:p>
          <w:p w14:paraId="4B9698D9" w14:textId="54DB344C" w:rsidR="00F1278D" w:rsidRDefault="00F1278D" w:rsidP="000D2373">
            <w:pPr>
              <w:pStyle w:val="TableTextBullet"/>
              <w:numPr>
                <w:ilvl w:val="0"/>
                <w:numId w:val="0"/>
              </w:numPr>
              <w:ind w:left="738" w:hanging="18"/>
            </w:pPr>
            <w:r w:rsidRPr="00F1278D">
              <w:t>The report does not include the selected date/ time or processing date/ time fields. This information is displayed on the Unit History Report in the Issue Information section.</w:t>
            </w:r>
            <w:r w:rsidR="00DC3A9D">
              <w:t xml:space="preserve"> </w:t>
            </w:r>
            <w:r w:rsidR="00DC3A9D" w:rsidRPr="00DC3A9D">
              <w:rPr>
                <w:vanish/>
              </w:rPr>
              <w:t>Defect 208976</w:t>
            </w:r>
          </w:p>
        </w:tc>
      </w:tr>
      <w:tr w:rsidR="00301F2A" w14:paraId="15501C6D" w14:textId="77777777">
        <w:tc>
          <w:tcPr>
            <w:tcW w:w="3240" w:type="dxa"/>
          </w:tcPr>
          <w:p w14:paraId="27C00280" w14:textId="77777777" w:rsidR="00301F2A" w:rsidRDefault="00301F2A">
            <w:pPr>
              <w:pStyle w:val="TableTextNumbers"/>
            </w:pPr>
            <w:r>
              <w:lastRenderedPageBreak/>
              <w:t xml:space="preserve">In the Report Compilation area, click the </w:t>
            </w:r>
            <w:r w:rsidRPr="00B40DDD">
              <w:rPr>
                <w:b/>
              </w:rPr>
              <w:t>Create Report Now</w:t>
            </w:r>
            <w:r>
              <w:t xml:space="preserve"> radio button. Click </w:t>
            </w:r>
            <w:r w:rsidRPr="00B40DDD">
              <w:rPr>
                <w:b/>
              </w:rPr>
              <w:t>OK</w:t>
            </w:r>
            <w:r>
              <w:t xml:space="preserve"> to view the report, or</w:t>
            </w:r>
          </w:p>
          <w:p w14:paraId="0C2CB574" w14:textId="77777777" w:rsidR="00301F2A" w:rsidRDefault="00301F2A" w:rsidP="00301F2A">
            <w:pPr>
              <w:pStyle w:val="TableTextNumbers"/>
              <w:numPr>
                <w:ilvl w:val="0"/>
                <w:numId w:val="0"/>
              </w:numPr>
              <w:ind w:left="288"/>
            </w:pPr>
          </w:p>
          <w:p w14:paraId="2A39EB86" w14:textId="77777777" w:rsidR="00301F2A" w:rsidRDefault="00301F2A" w:rsidP="00301F2A">
            <w:pPr>
              <w:pStyle w:val="TableTextNumbers"/>
              <w:numPr>
                <w:ilvl w:val="0"/>
                <w:numId w:val="0"/>
              </w:numPr>
              <w:ind w:left="288"/>
            </w:pPr>
            <w:r>
              <w:t xml:space="preserve">Click the </w:t>
            </w:r>
            <w:r w:rsidRPr="00B40DDD">
              <w:rPr>
                <w:b/>
              </w:rPr>
              <w:t>Schedule Print Job</w:t>
            </w:r>
            <w:r>
              <w:t xml:space="preserve"> radio button and </w:t>
            </w:r>
            <w:r w:rsidRPr="00B40DDD">
              <w:rPr>
                <w:b/>
              </w:rPr>
              <w:t>OK</w:t>
            </w:r>
            <w:r>
              <w:t xml:space="preserve">, then enter or select a print date and printer name. Click </w:t>
            </w:r>
            <w:r w:rsidRPr="00B40DDD">
              <w:rPr>
                <w:b/>
              </w:rPr>
              <w:t>OK</w:t>
            </w:r>
            <w:r>
              <w:t xml:space="preserve"> to view and print the report.</w:t>
            </w:r>
          </w:p>
        </w:tc>
        <w:tc>
          <w:tcPr>
            <w:tcW w:w="6120" w:type="dxa"/>
          </w:tcPr>
          <w:p w14:paraId="0B0D38FE" w14:textId="77777777" w:rsidR="00B40DDD" w:rsidRDefault="00B40DDD" w:rsidP="00AA2B2E">
            <w:pPr>
              <w:pStyle w:val="TableTextBullet"/>
            </w:pPr>
            <w:r>
              <w:t>Compiles and displays the report.</w:t>
            </w:r>
          </w:p>
        </w:tc>
      </w:tr>
      <w:tr w:rsidR="00301F2A" w14:paraId="535A982D" w14:textId="77777777">
        <w:tc>
          <w:tcPr>
            <w:tcW w:w="3240" w:type="dxa"/>
          </w:tcPr>
          <w:p w14:paraId="3D5F4542" w14:textId="392C2D0C" w:rsidR="00301F2A" w:rsidRDefault="00D45D8C">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fldLock="1"/>
            </w:r>
            <w:r w:rsidRPr="0076371D">
              <w:rPr>
                <w:szCs w:val="18"/>
              </w:rPr>
              <w:instrText xml:space="preserve"> REF _Ref2774509 \h  \* MERGEFORMAT </w:instrText>
            </w:r>
            <w:r w:rsidRPr="0076371D">
              <w:rPr>
                <w:szCs w:val="18"/>
              </w:rPr>
            </w:r>
            <w:r w:rsidRPr="0076371D">
              <w:rPr>
                <w:szCs w:val="18"/>
              </w:rPr>
              <w:fldChar w:fldCharType="separate"/>
            </w:r>
            <w:r w:rsidR="00AB304C" w:rsidRPr="00AB304C">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p>
        </w:tc>
        <w:tc>
          <w:tcPr>
            <w:tcW w:w="6120" w:type="dxa"/>
          </w:tcPr>
          <w:p w14:paraId="4E3CF220" w14:textId="77777777" w:rsidR="00D45D8C" w:rsidRDefault="00D45D8C" w:rsidP="00D45D8C">
            <w:pPr>
              <w:pStyle w:val="TableTextBullet"/>
            </w:pPr>
            <w:r>
              <w:t>If Print is selected, prints the report on the designated printer.</w:t>
            </w:r>
          </w:p>
          <w:p w14:paraId="1321A2A6" w14:textId="77777777" w:rsidR="00D45D8C" w:rsidRDefault="00D45D8C" w:rsidP="00D45D8C">
            <w:pPr>
              <w:pStyle w:val="TableTextBullet"/>
            </w:pPr>
            <w:r>
              <w:t>If Export is selected, exports the report to the designated file.</w:t>
            </w:r>
          </w:p>
          <w:p w14:paraId="0AF0CFA5" w14:textId="2123977C" w:rsidR="00301F2A" w:rsidRDefault="00D45D8C" w:rsidP="00D45D8C">
            <w:pPr>
              <w:pStyle w:val="TableTextBullet"/>
            </w:pPr>
            <w:r>
              <w:t>If Close is selected, exits the report preview.</w:t>
            </w:r>
          </w:p>
        </w:tc>
      </w:tr>
    </w:tbl>
    <w:p w14:paraId="558CC8C5" w14:textId="77777777" w:rsidR="00F55832" w:rsidRDefault="00F55832">
      <w:pPr>
        <w:pStyle w:val="Heading2"/>
      </w:pPr>
    </w:p>
    <w:p w14:paraId="14FEFFEA" w14:textId="77777777" w:rsidR="00BA595C" w:rsidRDefault="00F55832">
      <w:pPr>
        <w:pStyle w:val="Heading2"/>
      </w:pPr>
      <w:r>
        <w:br w:type="page"/>
      </w:r>
      <w:bookmarkStart w:id="572" w:name="_Toc4588845"/>
      <w:r w:rsidR="00BA595C">
        <w:lastRenderedPageBreak/>
        <w:t xml:space="preserve">Medication Profile </w:t>
      </w:r>
      <w:r w:rsidR="00BA595C" w:rsidRPr="00BA595C">
        <w:rPr>
          <w:rFonts w:ascii="Arial Bold" w:hAnsi="Arial Bold"/>
          <w:vanish/>
        </w:rPr>
        <w:t xml:space="preserve">UC_46 </w:t>
      </w:r>
      <w:r w:rsidR="00BA595C">
        <w:t>(</w:t>
      </w:r>
      <w:r w:rsidR="00203702">
        <w:t>See Patient Information Toolbar</w:t>
      </w:r>
      <w:r w:rsidR="00BA595C">
        <w:t>)</w:t>
      </w:r>
      <w:bookmarkEnd w:id="572"/>
    </w:p>
    <w:p w14:paraId="15AC7F63" w14:textId="77777777" w:rsidR="002A21AE" w:rsidRDefault="002A21AE">
      <w:pPr>
        <w:pStyle w:val="Heading2"/>
      </w:pPr>
      <w:bookmarkStart w:id="573" w:name="_Toc4588846"/>
      <w:r>
        <w:t>Order History Report</w:t>
      </w:r>
      <w:bookmarkEnd w:id="573"/>
      <w:r>
        <w:fldChar w:fldCharType="begin"/>
      </w:r>
      <w:r>
        <w:instrText xml:space="preserve"> XE </w:instrText>
      </w:r>
      <w:r w:rsidR="00FA7E65">
        <w:instrText>“</w:instrText>
      </w:r>
      <w:r>
        <w:instrText>Order History Report</w:instrText>
      </w:r>
      <w:r w:rsidR="00FA7E65">
        <w:instrText>”</w:instrText>
      </w:r>
      <w:r>
        <w:instrText xml:space="preserve"> </w:instrText>
      </w:r>
      <w:r>
        <w:fldChar w:fldCharType="end"/>
      </w:r>
      <w:r>
        <w:t xml:space="preserve"> </w:t>
      </w:r>
      <w:r>
        <w:rPr>
          <w:rFonts w:ascii="Times New Roman" w:hAnsi="Times New Roman" w:cs="Times New Roman"/>
          <w:b w:val="0"/>
          <w:i w:val="0"/>
          <w:vanish/>
          <w:sz w:val="22"/>
        </w:rPr>
        <w:t>UC_86</w:t>
      </w:r>
      <w:r>
        <w:rPr>
          <w:rStyle w:val="CommentReference"/>
          <w:rFonts w:ascii="Times New Roman" w:hAnsi="Times New Roman" w:cs="Times New Roman"/>
          <w:b w:val="0"/>
          <w:bCs w:val="0"/>
          <w:vanish/>
        </w:rPr>
        <w:t xml:space="preserve"> </w:t>
      </w:r>
    </w:p>
    <w:p w14:paraId="159FC877" w14:textId="77777777" w:rsidR="002A21AE" w:rsidRDefault="002A21AE" w:rsidP="00FA7E65">
      <w:pPr>
        <w:pStyle w:val="BodyText"/>
      </w:pPr>
      <w:r>
        <w:t xml:space="preserve">The users views </w:t>
      </w:r>
      <w:r w:rsidR="00EB1E5A">
        <w:t xml:space="preserve">and/or </w:t>
      </w:r>
      <w:r>
        <w:t>prints a Single-Order History Report or an Order Summary Report.</w:t>
      </w:r>
    </w:p>
    <w:p w14:paraId="2DDA4C5B" w14:textId="77777777" w:rsidR="002A21AE" w:rsidRDefault="002A21AE">
      <w:pPr>
        <w:pStyle w:val="Heading4"/>
      </w:pPr>
      <w:r>
        <w:t>Assumptions</w:t>
      </w:r>
      <w:r>
        <w:rPr>
          <w:b w:val="0"/>
        </w:rPr>
        <w:t xml:space="preserve"> </w:t>
      </w:r>
    </w:p>
    <w:p w14:paraId="2AB011B5" w14:textId="77777777" w:rsidR="002A21AE" w:rsidRDefault="002A21AE">
      <w:pPr>
        <w:pStyle w:val="ListBullet"/>
      </w:pPr>
      <w:r>
        <w:t>Data for the report are available.</w:t>
      </w:r>
    </w:p>
    <w:p w14:paraId="3FA40DA4" w14:textId="77777777" w:rsidR="002A21AE" w:rsidRDefault="002A21AE">
      <w:pPr>
        <w:pStyle w:val="Heading4"/>
      </w:pPr>
      <w:r>
        <w:t xml:space="preserve">Outcome </w:t>
      </w:r>
    </w:p>
    <w:p w14:paraId="13AC31F6" w14:textId="77777777" w:rsidR="002A21AE" w:rsidRDefault="002A21AE">
      <w:pPr>
        <w:pStyle w:val="ListBullet"/>
      </w:pPr>
      <w:r>
        <w:t>The user may view and/or print a report.</w:t>
      </w:r>
    </w:p>
    <w:p w14:paraId="500554A0" w14:textId="77777777" w:rsidR="002A21AE" w:rsidRDefault="002A21AE">
      <w:pPr>
        <w:pStyle w:val="Heading4"/>
        <w:rPr>
          <w:b w:val="0"/>
        </w:rPr>
      </w:pPr>
      <w:r>
        <w:t>Limitations and Restrictions</w:t>
      </w:r>
      <w:r>
        <w:rPr>
          <w:b w:val="0"/>
        </w:rPr>
        <w:t xml:space="preserve"> </w:t>
      </w:r>
    </w:p>
    <w:p w14:paraId="778C690B" w14:textId="5C30B6D4" w:rsidR="002A21AE" w:rsidRDefault="00C43421">
      <w:pPr>
        <w:pStyle w:val="ListBullet"/>
      </w:pPr>
      <w:r>
        <w:t>VBECS does not display the identity of the CPRS user who discontinues a signed order in CPRS.</w:t>
      </w:r>
      <w:r w:rsidR="00DC0F5E">
        <w:t xml:space="preserve"> The CPRS order detail</w:t>
      </w:r>
      <w:r w:rsidR="00DD73AD">
        <w:t>s option contains all pertinent</w:t>
      </w:r>
      <w:r w:rsidR="00DC0F5E">
        <w:t xml:space="preserve"> order information.</w:t>
      </w:r>
      <w:r>
        <w:rPr>
          <w:vanish/>
        </w:rPr>
        <w:t xml:space="preserve"> DR 3766</w:t>
      </w:r>
      <w:r w:rsidR="00DC0F5E">
        <w:t xml:space="preserve"> </w:t>
      </w:r>
    </w:p>
    <w:p w14:paraId="53E2CEB0" w14:textId="728A0A65" w:rsidR="00D8384F" w:rsidRDefault="000F404E">
      <w:pPr>
        <w:pStyle w:val="ListBullet"/>
      </w:pPr>
      <w:r>
        <w:t>Canceled orders are included on the Order Summary Report without a column/data to help identify them as canceled. The Single Order History Report includes the canceled</w:t>
      </w:r>
      <w:r w:rsidR="0043651F">
        <w:t xml:space="preserve"> order information. When the order is also canceled in VistA, which would be the norm, there is a lab report that can be referenced. </w:t>
      </w:r>
      <w:r w:rsidRPr="0043651F">
        <w:rPr>
          <w:vanish/>
        </w:rPr>
        <w:t>Defect 2088</w:t>
      </w:r>
      <w:r w:rsidR="00CA4C08">
        <w:rPr>
          <w:vanish/>
        </w:rPr>
        <w:t>7</w:t>
      </w:r>
      <w:r w:rsidRPr="0043651F">
        <w:rPr>
          <w:vanish/>
        </w:rPr>
        <w:t>7</w:t>
      </w:r>
    </w:p>
    <w:p w14:paraId="60A6D2EA" w14:textId="77777777" w:rsidR="002A21AE" w:rsidRDefault="002A21AE">
      <w:pPr>
        <w:pStyle w:val="Heading4"/>
      </w:pPr>
      <w:r>
        <w:t xml:space="preserve">Additional Information </w:t>
      </w:r>
    </w:p>
    <w:p w14:paraId="7AF64806" w14:textId="77777777" w:rsidR="002A21AE" w:rsidRDefault="002A21AE">
      <w:pPr>
        <w:pStyle w:val="ListBullet"/>
      </w:pPr>
      <w:r>
        <w:t>Test counts and workload information for other VBECS processes are in the Workload Report.</w:t>
      </w:r>
    </w:p>
    <w:p w14:paraId="55361965" w14:textId="77777777" w:rsidR="002A21AE" w:rsidRDefault="002A21AE">
      <w:pPr>
        <w:pStyle w:val="Heading4"/>
        <w:rPr>
          <w:b w:val="0"/>
        </w:rPr>
      </w:pPr>
      <w:r>
        <w:t>User Roles with Access to This Option</w:t>
      </w:r>
      <w:r>
        <w:rPr>
          <w:b w:val="0"/>
        </w:rPr>
        <w:t xml:space="preserve"> </w:t>
      </w:r>
    </w:p>
    <w:p w14:paraId="1779246A" w14:textId="77777777" w:rsidR="002A21AE" w:rsidRDefault="00184EA4">
      <w:pPr>
        <w:pStyle w:val="Roles"/>
      </w:pPr>
      <w:r>
        <w:t>All users</w:t>
      </w:r>
    </w:p>
    <w:p w14:paraId="1D76BF7E" w14:textId="77777777" w:rsidR="002A21AE" w:rsidRDefault="002A21AE">
      <w:pPr>
        <w:pStyle w:val="Heading4"/>
      </w:pPr>
      <w:r>
        <w:t>Order History Report</w:t>
      </w:r>
      <w:r>
        <w:rPr>
          <w:rStyle w:val="CommentReference"/>
          <w:rFonts w:ascii="Times New Roman" w:hAnsi="Times New Roman"/>
          <w:b w:val="0"/>
          <w:bCs/>
          <w:vanish/>
        </w:rPr>
        <w:t xml:space="preserve"> </w:t>
      </w:r>
    </w:p>
    <w:p w14:paraId="6F9CF51A" w14:textId="77777777" w:rsidR="002A21AE" w:rsidRDefault="002A21AE" w:rsidP="00FA7E65">
      <w:pPr>
        <w:pStyle w:val="BodyText"/>
      </w:pPr>
      <w:r>
        <w:t>The user views and/or prints an Order History Report.</w:t>
      </w:r>
      <w:r w:rsidR="000054DE">
        <w:t xml:space="preserve"> </w:t>
      </w:r>
      <w:r>
        <w:t xml:space="preserve">The user may retrieve a report for a single order or </w:t>
      </w:r>
      <w:r w:rsidR="00C166BB">
        <w:t xml:space="preserve">a summary report </w:t>
      </w:r>
      <w:r>
        <w:t xml:space="preserve">for all VBECS orders within a date range. The user may sort the Order Summary Report by treating specialty or by patient location.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86AEC69" w14:textId="77777777">
        <w:trPr>
          <w:cantSplit/>
          <w:tblHeader/>
        </w:trPr>
        <w:tc>
          <w:tcPr>
            <w:tcW w:w="3240" w:type="dxa"/>
            <w:shd w:val="pct30" w:color="auto" w:fill="FFFFFF"/>
            <w:vAlign w:val="bottom"/>
          </w:tcPr>
          <w:p w14:paraId="7373C65A" w14:textId="77777777" w:rsidR="002A21AE" w:rsidRDefault="002A21AE">
            <w:pPr>
              <w:pStyle w:val="TableText"/>
              <w:rPr>
                <w:b/>
              </w:rPr>
            </w:pPr>
            <w:r>
              <w:rPr>
                <w:b/>
              </w:rPr>
              <w:t>User Action</w:t>
            </w:r>
          </w:p>
        </w:tc>
        <w:tc>
          <w:tcPr>
            <w:tcW w:w="6120" w:type="dxa"/>
            <w:shd w:val="pct30" w:color="auto" w:fill="FFFFFF"/>
            <w:vAlign w:val="bottom"/>
          </w:tcPr>
          <w:p w14:paraId="3B8D57B7" w14:textId="77777777" w:rsidR="002A21AE" w:rsidRDefault="002A21AE">
            <w:pPr>
              <w:pStyle w:val="TableText"/>
              <w:rPr>
                <w:b/>
              </w:rPr>
            </w:pPr>
            <w:r>
              <w:rPr>
                <w:b/>
              </w:rPr>
              <w:t>VBECS</w:t>
            </w:r>
          </w:p>
        </w:tc>
      </w:tr>
      <w:tr w:rsidR="002A21AE" w14:paraId="15031065" w14:textId="77777777">
        <w:trPr>
          <w:trHeight w:val="773"/>
        </w:trPr>
        <w:tc>
          <w:tcPr>
            <w:tcW w:w="3240" w:type="dxa"/>
          </w:tcPr>
          <w:p w14:paraId="78FC4551" w14:textId="77777777" w:rsidR="002A21AE" w:rsidRDefault="002A21AE" w:rsidP="000409B1">
            <w:pPr>
              <w:pStyle w:val="TableTextNumbers"/>
              <w:numPr>
                <w:ilvl w:val="0"/>
                <w:numId w:val="42"/>
              </w:numPr>
            </w:pPr>
            <w:r>
              <w:t xml:space="preserve">Select </w:t>
            </w:r>
            <w:r w:rsidRPr="002F2DF7">
              <w:rPr>
                <w:b/>
              </w:rPr>
              <w:t>Reports</w:t>
            </w:r>
            <w:r>
              <w:t xml:space="preserve"> from the main menu.</w:t>
            </w:r>
          </w:p>
          <w:p w14:paraId="00FC3814" w14:textId="77777777" w:rsidR="002A21AE" w:rsidRDefault="002A21AE">
            <w:pPr>
              <w:pStyle w:val="TableTextNumbersContinued"/>
            </w:pPr>
          </w:p>
          <w:p w14:paraId="67001049" w14:textId="77777777" w:rsidR="002A21AE" w:rsidRDefault="002A21AE">
            <w:pPr>
              <w:pStyle w:val="TableTextNumbersContinued"/>
            </w:pPr>
            <w:r>
              <w:t xml:space="preserve">Select </w:t>
            </w:r>
            <w:r>
              <w:rPr>
                <w:b/>
              </w:rPr>
              <w:t>Order History Report</w:t>
            </w:r>
            <w:r>
              <w:t>.</w:t>
            </w:r>
          </w:p>
        </w:tc>
        <w:tc>
          <w:tcPr>
            <w:tcW w:w="6120" w:type="dxa"/>
          </w:tcPr>
          <w:p w14:paraId="087DA321" w14:textId="77777777" w:rsidR="002A21AE" w:rsidRDefault="002A21AE">
            <w:pPr>
              <w:pStyle w:val="TableTextBullet"/>
            </w:pPr>
            <w:r>
              <w:t>Lists report names.</w:t>
            </w:r>
          </w:p>
          <w:p w14:paraId="56E7E96D" w14:textId="77777777" w:rsidR="002A21AE" w:rsidRDefault="002A21AE">
            <w:pPr>
              <w:pStyle w:val="TableTextBullet"/>
            </w:pPr>
            <w:r>
              <w:t>Displays options for generating, viewing, and printing reports.</w:t>
            </w:r>
          </w:p>
          <w:p w14:paraId="19F2DC88" w14:textId="77777777" w:rsidR="002A21AE" w:rsidRDefault="002A21AE">
            <w:pPr>
              <w:pStyle w:val="TableTextBullet"/>
            </w:pPr>
            <w:r>
              <w:t>Displays report type and compilation criteria.</w:t>
            </w:r>
          </w:p>
        </w:tc>
      </w:tr>
      <w:tr w:rsidR="002A21AE" w14:paraId="14E7A9FD" w14:textId="77777777">
        <w:trPr>
          <w:trHeight w:val="773"/>
        </w:trPr>
        <w:tc>
          <w:tcPr>
            <w:tcW w:w="3240" w:type="dxa"/>
            <w:tcBorders>
              <w:top w:val="single" w:sz="4" w:space="0" w:color="auto"/>
              <w:left w:val="single" w:sz="4" w:space="0" w:color="auto"/>
              <w:bottom w:val="single" w:sz="4" w:space="0" w:color="auto"/>
              <w:right w:val="single" w:sz="4" w:space="0" w:color="auto"/>
            </w:tcBorders>
          </w:tcPr>
          <w:p w14:paraId="3198B501" w14:textId="77777777" w:rsidR="002A21AE" w:rsidRDefault="002A21AE">
            <w:pPr>
              <w:pStyle w:val="TableTextNumbers"/>
            </w:pPr>
            <w:r>
              <w:t xml:space="preserve">Click the </w:t>
            </w:r>
            <w:r>
              <w:rPr>
                <w:b/>
              </w:rPr>
              <w:t>Order Summary Repor</w:t>
            </w:r>
            <w:r>
              <w:t xml:space="preserve">t or </w:t>
            </w:r>
            <w:r>
              <w:rPr>
                <w:b/>
              </w:rPr>
              <w:t>Single-Order History Report</w:t>
            </w:r>
            <w:r>
              <w:t xml:space="preserve"> </w:t>
            </w:r>
            <w:r w:rsidRPr="00BF2E41">
              <w:t>radio button</w:t>
            </w:r>
            <w:r>
              <w:t xml:space="preserve"> to select a report type.</w:t>
            </w:r>
          </w:p>
        </w:tc>
        <w:tc>
          <w:tcPr>
            <w:tcW w:w="6120" w:type="dxa"/>
            <w:tcBorders>
              <w:top w:val="single" w:sz="4" w:space="0" w:color="auto"/>
              <w:left w:val="single" w:sz="4" w:space="0" w:color="auto"/>
              <w:bottom w:val="single" w:sz="4" w:space="0" w:color="auto"/>
              <w:right w:val="single" w:sz="4" w:space="0" w:color="auto"/>
            </w:tcBorders>
          </w:tcPr>
          <w:p w14:paraId="4A64B7B0" w14:textId="77777777" w:rsidR="002A21AE" w:rsidRDefault="002A21AE">
            <w:pPr>
              <w:pStyle w:val="TableText"/>
            </w:pPr>
          </w:p>
        </w:tc>
      </w:tr>
      <w:tr w:rsidR="002A21AE" w14:paraId="52391AB0" w14:textId="77777777">
        <w:tc>
          <w:tcPr>
            <w:tcW w:w="3240" w:type="dxa"/>
            <w:tcBorders>
              <w:top w:val="single" w:sz="4" w:space="0" w:color="auto"/>
              <w:left w:val="single" w:sz="4" w:space="0" w:color="auto"/>
              <w:bottom w:val="single" w:sz="4" w:space="0" w:color="auto"/>
              <w:right w:val="single" w:sz="4" w:space="0" w:color="auto"/>
            </w:tcBorders>
          </w:tcPr>
          <w:p w14:paraId="16711A97" w14:textId="77777777" w:rsidR="002A21AE" w:rsidRDefault="002A21AE">
            <w:pPr>
              <w:pStyle w:val="TableTextNumbers"/>
            </w:pPr>
            <w:r>
              <w:t>For an Order Summary Report, create a report date range:</w:t>
            </w:r>
          </w:p>
          <w:p w14:paraId="0C15D7DE" w14:textId="77777777" w:rsidR="002A21AE" w:rsidRDefault="002A21AE">
            <w:pPr>
              <w:pStyle w:val="TableText"/>
            </w:pPr>
          </w:p>
          <w:p w14:paraId="3D071E4A" w14:textId="77777777" w:rsidR="002A21AE" w:rsidRDefault="002A21AE">
            <w:pPr>
              <w:pStyle w:val="TableTextNumbersContinued"/>
            </w:pPr>
            <w:r>
              <w:t xml:space="preserve">Select or edit the dates and times in the </w:t>
            </w:r>
            <w:r w:rsidRPr="00945BF5">
              <w:t>Start Date</w:t>
            </w:r>
            <w:r>
              <w:t xml:space="preserve"> and </w:t>
            </w:r>
            <w:r w:rsidRPr="00945BF5">
              <w:t>End Date</w:t>
            </w:r>
            <w:r>
              <w:t xml:space="preserve"> fields. </w:t>
            </w:r>
          </w:p>
          <w:p w14:paraId="5521D107" w14:textId="77777777" w:rsidR="002A21AE" w:rsidRDefault="002A21AE">
            <w:pPr>
              <w:pStyle w:val="TableTextNumbersContinued"/>
            </w:pPr>
          </w:p>
          <w:p w14:paraId="0D5CD2B6" w14:textId="77777777" w:rsidR="002A21AE" w:rsidRDefault="002A21AE">
            <w:pPr>
              <w:pStyle w:val="TableTextNumbersContinued"/>
            </w:pPr>
            <w:r>
              <w:t xml:space="preserve">In the </w:t>
            </w:r>
            <w:r w:rsidRPr="00E82663">
              <w:rPr>
                <w:b/>
              </w:rPr>
              <w:t>Report Sort Order</w:t>
            </w:r>
            <w:r>
              <w:t xml:space="preserve"> area, click the </w:t>
            </w:r>
            <w:r>
              <w:rPr>
                <w:b/>
              </w:rPr>
              <w:t>Treating Specialty</w:t>
            </w:r>
            <w:r>
              <w:t xml:space="preserve"> or </w:t>
            </w:r>
            <w:r>
              <w:rPr>
                <w:b/>
              </w:rPr>
              <w:lastRenderedPageBreak/>
              <w:t>Ordering Location</w:t>
            </w:r>
            <w:r>
              <w:t xml:space="preserve"> </w:t>
            </w:r>
            <w:r w:rsidRPr="00BF2E41">
              <w:t>radio button</w:t>
            </w:r>
            <w:r>
              <w:t xml:space="preserve"> and continue at Step 5. </w:t>
            </w:r>
          </w:p>
        </w:tc>
        <w:tc>
          <w:tcPr>
            <w:tcW w:w="6120" w:type="dxa"/>
            <w:tcBorders>
              <w:top w:val="single" w:sz="4" w:space="0" w:color="auto"/>
              <w:left w:val="single" w:sz="4" w:space="0" w:color="auto"/>
              <w:bottom w:val="single" w:sz="4" w:space="0" w:color="auto"/>
              <w:right w:val="single" w:sz="4" w:space="0" w:color="auto"/>
            </w:tcBorders>
          </w:tcPr>
          <w:p w14:paraId="3D0C4970" w14:textId="77777777" w:rsidR="002A21AE" w:rsidRDefault="002A21AE">
            <w:pPr>
              <w:pStyle w:val="TableTextBullet"/>
            </w:pPr>
            <w:r>
              <w:lastRenderedPageBreak/>
              <w:t>Displays the option to enter a date range for the report based on the date and time VBECS acknowledged the order.</w:t>
            </w:r>
          </w:p>
          <w:p w14:paraId="1B6A25CE" w14:textId="77777777" w:rsidR="002A21AE" w:rsidRDefault="002A21AE">
            <w:pPr>
              <w:pStyle w:val="TableTextBullet"/>
            </w:pPr>
            <w:r>
              <w:t>Displays an option to sort the report by treating specialty or by ordering location. The report tallies orders in a given date range by ordering location and treating specialty.</w:t>
            </w:r>
          </w:p>
        </w:tc>
      </w:tr>
      <w:tr w:rsidR="002A21AE" w14:paraId="119E5C66" w14:textId="77777777">
        <w:tc>
          <w:tcPr>
            <w:tcW w:w="3240" w:type="dxa"/>
            <w:tcBorders>
              <w:top w:val="single" w:sz="4" w:space="0" w:color="auto"/>
              <w:left w:val="single" w:sz="4" w:space="0" w:color="auto"/>
              <w:bottom w:val="single" w:sz="4" w:space="0" w:color="auto"/>
              <w:right w:val="single" w:sz="4" w:space="0" w:color="auto"/>
            </w:tcBorders>
          </w:tcPr>
          <w:p w14:paraId="73C1BD62" w14:textId="77777777" w:rsidR="002A21AE" w:rsidRDefault="002A21AE">
            <w:pPr>
              <w:pStyle w:val="TableTextNumbers"/>
            </w:pPr>
            <w:r>
              <w:t>For a Single-Order History Report:</w:t>
            </w:r>
          </w:p>
          <w:p w14:paraId="6A8B4492" w14:textId="77777777" w:rsidR="002A21AE" w:rsidRDefault="002A21AE">
            <w:pPr>
              <w:pStyle w:val="TableTextNumbersContinued"/>
            </w:pPr>
          </w:p>
          <w:p w14:paraId="7BD28B7F" w14:textId="77777777" w:rsidR="002A21AE" w:rsidRDefault="002A21AE">
            <w:pPr>
              <w:pStyle w:val="TableTextNumbersContinued"/>
            </w:pPr>
            <w:r>
              <w:t xml:space="preserve">Enter the search criteria and/or click the </w:t>
            </w:r>
            <w:r w:rsidR="00A6373D" w:rsidRPr="00945BF5">
              <w:rPr>
                <w:b/>
              </w:rPr>
              <w:t>find</w:t>
            </w:r>
            <w:r>
              <w:rPr>
                <w:b/>
              </w:rPr>
              <w:t xml:space="preserve"> </w:t>
            </w:r>
            <w:r w:rsidRPr="00D1100E">
              <w:t>button</w:t>
            </w:r>
            <w:r>
              <w:t xml:space="preserve"> to select an order from the list. </w:t>
            </w:r>
          </w:p>
        </w:tc>
        <w:tc>
          <w:tcPr>
            <w:tcW w:w="6120" w:type="dxa"/>
            <w:tcBorders>
              <w:top w:val="single" w:sz="4" w:space="0" w:color="auto"/>
              <w:left w:val="single" w:sz="4" w:space="0" w:color="auto"/>
              <w:bottom w:val="single" w:sz="4" w:space="0" w:color="auto"/>
              <w:right w:val="single" w:sz="4" w:space="0" w:color="auto"/>
            </w:tcBorders>
          </w:tcPr>
          <w:p w14:paraId="573E8E02" w14:textId="77777777" w:rsidR="002A21AE" w:rsidRDefault="002A21AE">
            <w:pPr>
              <w:pStyle w:val="TableTextBullet"/>
              <w:rPr>
                <w:noProof/>
              </w:rPr>
            </w:pPr>
            <w:r>
              <w:rPr>
                <w:noProof/>
              </w:rPr>
              <w:t xml:space="preserve">Displays the </w:t>
            </w:r>
            <w:r>
              <w:t>Select</w:t>
            </w:r>
            <w:r>
              <w:rPr>
                <w:noProof/>
              </w:rPr>
              <w:t xml:space="preserve"> Patient Order window.</w:t>
            </w:r>
          </w:p>
          <w:p w14:paraId="15DABAC5" w14:textId="77777777" w:rsidR="002A21AE" w:rsidRDefault="002A21AE">
            <w:pPr>
              <w:pStyle w:val="TableText"/>
            </w:pPr>
          </w:p>
          <w:p w14:paraId="033BDB75" w14:textId="77777777" w:rsidR="002A21AE" w:rsidRDefault="00057948">
            <w:pPr>
              <w:pStyle w:val="TableText"/>
            </w:pPr>
            <w:r>
              <w:rPr>
                <w:noProof/>
              </w:rPr>
              <mc:AlternateContent>
                <mc:Choice Requires="wps">
                  <w:drawing>
                    <wp:anchor distT="0" distB="0" distL="114300" distR="114300" simplePos="0" relativeHeight="251381248" behindDoc="0" locked="0" layoutInCell="1" allowOverlap="1" wp14:anchorId="7D3304F3" wp14:editId="5F05A16F">
                      <wp:simplePos x="0" y="0"/>
                      <wp:positionH relativeFrom="column">
                        <wp:posOffset>504190</wp:posOffset>
                      </wp:positionH>
                      <wp:positionV relativeFrom="paragraph">
                        <wp:posOffset>29845</wp:posOffset>
                      </wp:positionV>
                      <wp:extent cx="3200400" cy="0"/>
                      <wp:effectExtent l="18415" t="10795" r="10160" b="17780"/>
                      <wp:wrapNone/>
                      <wp:docPr id="283" name="Line 714" descr="P10448C10T11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9C425" id="Line 714" o:spid="_x0000_s1026" alt="&quot;&quot;" style="position:absolute;z-index:2513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2.35pt" to="291.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" strokeweight="1.5pt"/>
                  </w:pict>
                </mc:Fallback>
              </mc:AlternateContent>
            </w:r>
            <w:r w:rsidR="002A21AE">
              <w:rPr>
                <w:b/>
                <w:bCs/>
                <w:szCs w:val="18"/>
              </w:rPr>
              <w:t>NOTES</w:t>
            </w:r>
          </w:p>
          <w:p w14:paraId="2A5EBA59" w14:textId="77777777" w:rsidR="002A21AE" w:rsidRDefault="002A21AE">
            <w:pPr>
              <w:pStyle w:val="NotesText"/>
            </w:pPr>
          </w:p>
          <w:p w14:paraId="0F1FAD92" w14:textId="77777777" w:rsidR="002A21AE" w:rsidRDefault="002A21AE">
            <w:pPr>
              <w:pStyle w:val="NotesText"/>
            </w:pPr>
            <w:r>
              <w:rPr>
                <w:rFonts w:cs="Arial"/>
                <w:vanish/>
              </w:rPr>
              <w:t xml:space="preserve">BR_86.03 </w:t>
            </w:r>
            <w:r>
              <w:t xml:space="preserve">The user enters a date or a specimen UID, or selects a patient to locate an order. VBECS displays the following information based on the selected search option: </w:t>
            </w:r>
          </w:p>
          <w:p w14:paraId="4D527E39" w14:textId="77777777" w:rsidR="002A21AE" w:rsidRDefault="002A21AE">
            <w:pPr>
              <w:pStyle w:val="NotesTextBullet"/>
            </w:pPr>
            <w:r>
              <w:t xml:space="preserve">When a user enters a date, VBECS displays orders accepted or canceled by VBECS on that date. </w:t>
            </w:r>
          </w:p>
          <w:p w14:paraId="70C135C8" w14:textId="77777777" w:rsidR="002A21AE" w:rsidRDefault="002A21AE">
            <w:pPr>
              <w:pStyle w:val="NotesTextBullet"/>
            </w:pPr>
            <w:r>
              <w:t>When the specimen UID is entered, VBECS displays only orders associated with that specimen.</w:t>
            </w:r>
          </w:p>
          <w:p w14:paraId="3F393B22" w14:textId="77777777" w:rsidR="002A21AE" w:rsidRDefault="002A21AE">
            <w:pPr>
              <w:pStyle w:val="NotesTextBullet"/>
              <w:rPr>
                <w:noProof/>
              </w:rPr>
            </w:pPr>
            <w:r>
              <w:t>When a patient name is selected, VBECS displays the patient’s orders listed in reverse chronological order for the last 90 days with an option to display all of the patient’s accepted and canceled orders.</w:t>
            </w:r>
          </w:p>
        </w:tc>
      </w:tr>
      <w:tr w:rsidR="002A21AE" w14:paraId="34D67C9E" w14:textId="77777777">
        <w:tc>
          <w:tcPr>
            <w:tcW w:w="3240" w:type="dxa"/>
            <w:tcBorders>
              <w:top w:val="single" w:sz="4" w:space="0" w:color="auto"/>
              <w:left w:val="single" w:sz="4" w:space="0" w:color="auto"/>
              <w:bottom w:val="single" w:sz="4" w:space="0" w:color="auto"/>
              <w:right w:val="single" w:sz="4" w:space="0" w:color="auto"/>
            </w:tcBorders>
          </w:tcPr>
          <w:p w14:paraId="034B6EC1" w14:textId="77777777" w:rsidR="002A21AE" w:rsidRDefault="002A21AE">
            <w:pPr>
              <w:pStyle w:val="TableTextNumbers"/>
            </w:pPr>
            <w:r>
              <w:t xml:space="preserve">In the Report Compilation area, click the </w:t>
            </w:r>
            <w:r>
              <w:rPr>
                <w:b/>
              </w:rPr>
              <w:t>Create Report Now</w:t>
            </w:r>
            <w:r>
              <w:t xml:space="preserve"> </w:t>
            </w:r>
            <w:r w:rsidRPr="00BF2E41">
              <w:t>radio button</w:t>
            </w:r>
            <w:r>
              <w:t xml:space="preserve"> and </w:t>
            </w:r>
            <w:r>
              <w:rPr>
                <w:b/>
              </w:rPr>
              <w:t>OK</w:t>
            </w:r>
            <w:r>
              <w:t xml:space="preserve"> to view the report, or </w:t>
            </w:r>
          </w:p>
          <w:p w14:paraId="7FE49057" w14:textId="77777777" w:rsidR="002A21AE" w:rsidRDefault="002A21AE">
            <w:pPr>
              <w:pStyle w:val="TableTextNumbersContinued"/>
            </w:pPr>
          </w:p>
          <w:p w14:paraId="7E825C94"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then click </w:t>
            </w:r>
            <w:r>
              <w:rPr>
                <w:b/>
              </w:rPr>
              <w:t>OK</w:t>
            </w:r>
            <w:r>
              <w:t xml:space="preserve"> to view and print the report.</w:t>
            </w:r>
          </w:p>
        </w:tc>
        <w:tc>
          <w:tcPr>
            <w:tcW w:w="6120" w:type="dxa"/>
            <w:tcBorders>
              <w:top w:val="single" w:sz="4" w:space="0" w:color="auto"/>
              <w:left w:val="single" w:sz="4" w:space="0" w:color="auto"/>
              <w:bottom w:val="single" w:sz="4" w:space="0" w:color="auto"/>
              <w:right w:val="single" w:sz="4" w:space="0" w:color="auto"/>
            </w:tcBorders>
          </w:tcPr>
          <w:p w14:paraId="6A269E29" w14:textId="77777777" w:rsidR="002A21AE" w:rsidRDefault="002A21AE">
            <w:pPr>
              <w:pStyle w:val="TableTextBullet"/>
            </w:pPr>
            <w:r>
              <w:t>Compiles and displays the report.</w:t>
            </w:r>
          </w:p>
          <w:p w14:paraId="668E8999" w14:textId="77777777" w:rsidR="002A21AE" w:rsidRDefault="002A21AE">
            <w:pPr>
              <w:pStyle w:val="TableText"/>
            </w:pPr>
          </w:p>
          <w:p w14:paraId="05419258" w14:textId="77777777" w:rsidR="002A21AE" w:rsidRDefault="00057948">
            <w:pPr>
              <w:pStyle w:val="TableText"/>
              <w:rPr>
                <w:b/>
                <w:bCs/>
                <w:szCs w:val="18"/>
              </w:rPr>
            </w:pPr>
            <w:r>
              <w:rPr>
                <w:noProof/>
              </w:rPr>
              <mc:AlternateContent>
                <mc:Choice Requires="wps">
                  <w:drawing>
                    <wp:anchor distT="0" distB="0" distL="114300" distR="114300" simplePos="0" relativeHeight="251383296" behindDoc="0" locked="0" layoutInCell="1" allowOverlap="1" wp14:anchorId="43FF0FF2" wp14:editId="760EF663">
                      <wp:simplePos x="0" y="0"/>
                      <wp:positionH relativeFrom="column">
                        <wp:posOffset>457200</wp:posOffset>
                      </wp:positionH>
                      <wp:positionV relativeFrom="paragraph">
                        <wp:posOffset>65405</wp:posOffset>
                      </wp:positionV>
                      <wp:extent cx="3200400" cy="0"/>
                      <wp:effectExtent l="9525" t="17780" r="9525" b="10795"/>
                      <wp:wrapNone/>
                      <wp:docPr id="282" name="Line 715" descr="P10460C12T11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07DCE" id="Line 715" o:spid="_x0000_s1026" alt="&quot;&quot;" style="position:absolute;z-index:2513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3Gdqlc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3F97F2B1" w14:textId="77777777" w:rsidR="002A21AE" w:rsidRDefault="002A21AE">
            <w:pPr>
              <w:pStyle w:val="NotesText"/>
            </w:pPr>
          </w:p>
          <w:p w14:paraId="43463709" w14:textId="77777777" w:rsidR="002A21AE" w:rsidRDefault="002A21AE">
            <w:pPr>
              <w:pStyle w:val="NotesText"/>
            </w:pPr>
            <w:r>
              <w:rPr>
                <w:rFonts w:cs="Arial"/>
                <w:vanish/>
              </w:rPr>
              <w:t xml:space="preserve">BR_86.04 </w:t>
            </w:r>
            <w:r>
              <w:t>The Order Summary Report includes a section for each treating specialty or ordering location, including accepted and canceled VBECS orders and the Diagnostic Test or Component Orders for the selected date range. The report lists individual orders by order type, including the Patient Name, ID, CPRS and Lab Order Numbers, and Date.</w:t>
            </w:r>
          </w:p>
          <w:p w14:paraId="77BA19BA" w14:textId="77777777" w:rsidR="002A21AE" w:rsidRDefault="002A21AE">
            <w:pPr>
              <w:pStyle w:val="NotesText"/>
            </w:pPr>
          </w:p>
          <w:p w14:paraId="3979DD05" w14:textId="77777777" w:rsidR="008E4599" w:rsidRDefault="008E4599" w:rsidP="008E4599">
            <w:pPr>
              <w:pStyle w:val="TableText"/>
            </w:pPr>
            <w:r>
              <w:t>The Single-Order History Report contains details of an individual order group, including:</w:t>
            </w:r>
          </w:p>
          <w:p w14:paraId="1320EAC0" w14:textId="77777777" w:rsidR="008E4599" w:rsidRDefault="008E4599" w:rsidP="00041E00">
            <w:pPr>
              <w:pStyle w:val="TableText"/>
              <w:numPr>
                <w:ilvl w:val="0"/>
                <w:numId w:val="69"/>
              </w:numPr>
            </w:pPr>
            <w:r>
              <w:t>Patient Name</w:t>
            </w:r>
          </w:p>
          <w:p w14:paraId="70DA8ABC" w14:textId="77777777" w:rsidR="008E4599" w:rsidRDefault="008E4599" w:rsidP="00041E00">
            <w:pPr>
              <w:pStyle w:val="TableText"/>
              <w:numPr>
                <w:ilvl w:val="0"/>
                <w:numId w:val="69"/>
              </w:numPr>
            </w:pPr>
            <w:r>
              <w:t>Patient ID</w:t>
            </w:r>
          </w:p>
          <w:p w14:paraId="0B0936FA" w14:textId="77777777" w:rsidR="008E4599" w:rsidRDefault="008E4599" w:rsidP="00041E00">
            <w:pPr>
              <w:pStyle w:val="TableText"/>
              <w:numPr>
                <w:ilvl w:val="0"/>
                <w:numId w:val="69"/>
              </w:numPr>
            </w:pPr>
            <w:r>
              <w:t>CPRS Order Name</w:t>
            </w:r>
          </w:p>
          <w:p w14:paraId="7B8EBEDA" w14:textId="77777777" w:rsidR="008E4599" w:rsidRDefault="008E4599" w:rsidP="00041E00">
            <w:pPr>
              <w:pStyle w:val="TableText"/>
              <w:numPr>
                <w:ilvl w:val="0"/>
                <w:numId w:val="69"/>
              </w:numPr>
            </w:pPr>
            <w:r>
              <w:t xml:space="preserve">CPRS and Lab Order Numbers </w:t>
            </w:r>
          </w:p>
          <w:p w14:paraId="2E3CAD94" w14:textId="77777777" w:rsidR="008E4599" w:rsidRDefault="008E4599" w:rsidP="00041E00">
            <w:pPr>
              <w:pStyle w:val="TableText"/>
              <w:numPr>
                <w:ilvl w:val="0"/>
                <w:numId w:val="69"/>
              </w:numPr>
            </w:pPr>
            <w:r>
              <w:t xml:space="preserve">Order Urgency </w:t>
            </w:r>
          </w:p>
          <w:p w14:paraId="68DBCE52" w14:textId="77777777" w:rsidR="008E4599" w:rsidRPr="00266E59" w:rsidRDefault="008E4599" w:rsidP="00041E00">
            <w:pPr>
              <w:pStyle w:val="TableText"/>
              <w:numPr>
                <w:ilvl w:val="0"/>
                <w:numId w:val="69"/>
              </w:numPr>
            </w:pPr>
            <w:r w:rsidRPr="00266E59">
              <w:t>CPRS MODIFIER(S)</w:t>
            </w:r>
          </w:p>
          <w:p w14:paraId="53870B89" w14:textId="77777777" w:rsidR="008E4599" w:rsidRPr="00266E59" w:rsidRDefault="008E4599" w:rsidP="00041E00">
            <w:pPr>
              <w:pStyle w:val="TableText"/>
              <w:numPr>
                <w:ilvl w:val="0"/>
                <w:numId w:val="69"/>
              </w:numPr>
            </w:pPr>
            <w:r w:rsidRPr="00266E59">
              <w:t>CPRS Reason for Request</w:t>
            </w:r>
          </w:p>
          <w:p w14:paraId="7ED2683F" w14:textId="77777777" w:rsidR="008E4599" w:rsidRPr="00266E59" w:rsidRDefault="008E4599" w:rsidP="00041E00">
            <w:pPr>
              <w:pStyle w:val="TableText"/>
              <w:numPr>
                <w:ilvl w:val="0"/>
                <w:numId w:val="69"/>
              </w:numPr>
            </w:pPr>
            <w:r w:rsidRPr="00266E59">
              <w:t>CPRS Order Comment(s)</w:t>
            </w:r>
          </w:p>
          <w:p w14:paraId="68F64526" w14:textId="77777777" w:rsidR="008E4599" w:rsidRDefault="008E4599" w:rsidP="00041E00">
            <w:pPr>
              <w:pStyle w:val="TableText"/>
              <w:numPr>
                <w:ilvl w:val="0"/>
                <w:numId w:val="69"/>
              </w:numPr>
            </w:pPr>
            <w:r>
              <w:t>Specimen Accession Number</w:t>
            </w:r>
          </w:p>
          <w:p w14:paraId="4AC7C435" w14:textId="77777777" w:rsidR="008E4599" w:rsidRDefault="008E4599" w:rsidP="00041E00">
            <w:pPr>
              <w:pStyle w:val="TableText"/>
              <w:numPr>
                <w:ilvl w:val="0"/>
                <w:numId w:val="69"/>
              </w:numPr>
            </w:pPr>
            <w:r>
              <w:t xml:space="preserve">Specimen UID, if any </w:t>
            </w:r>
          </w:p>
          <w:p w14:paraId="6CBEF354" w14:textId="77777777" w:rsidR="008E4599" w:rsidRDefault="008E4599" w:rsidP="00041E00">
            <w:pPr>
              <w:pStyle w:val="TableText"/>
              <w:numPr>
                <w:ilvl w:val="0"/>
                <w:numId w:val="69"/>
              </w:numPr>
            </w:pPr>
            <w:r>
              <w:t>Specimen unacceptable comment, if any</w:t>
            </w:r>
          </w:p>
          <w:p w14:paraId="7489C1B1" w14:textId="77777777" w:rsidR="008E4599" w:rsidRDefault="008E4599" w:rsidP="00041E00">
            <w:pPr>
              <w:pStyle w:val="TableText"/>
              <w:numPr>
                <w:ilvl w:val="0"/>
                <w:numId w:val="69"/>
              </w:numPr>
            </w:pPr>
            <w:r>
              <w:t>Received Date, original and any updates</w:t>
            </w:r>
          </w:p>
          <w:p w14:paraId="63D89DF5" w14:textId="77777777" w:rsidR="008E4599" w:rsidRDefault="008E4599" w:rsidP="00041E00">
            <w:pPr>
              <w:pStyle w:val="TableText"/>
              <w:numPr>
                <w:ilvl w:val="0"/>
                <w:numId w:val="69"/>
              </w:numPr>
            </w:pPr>
            <w:r>
              <w:t>Expiration Date, original and any updates</w:t>
            </w:r>
          </w:p>
          <w:p w14:paraId="0830A72F" w14:textId="77777777" w:rsidR="008E4599" w:rsidRDefault="008E4599" w:rsidP="00041E00">
            <w:pPr>
              <w:pStyle w:val="TableText"/>
              <w:numPr>
                <w:ilvl w:val="0"/>
                <w:numId w:val="69"/>
              </w:numPr>
            </w:pPr>
            <w:r>
              <w:t>Accepting Technologist Name</w:t>
            </w:r>
          </w:p>
          <w:p w14:paraId="4D8A6E1F" w14:textId="77777777" w:rsidR="008E4599" w:rsidRDefault="008E4599" w:rsidP="00041E00">
            <w:pPr>
              <w:pStyle w:val="TableText"/>
              <w:numPr>
                <w:ilvl w:val="0"/>
                <w:numId w:val="69"/>
              </w:numPr>
            </w:pPr>
            <w:r>
              <w:t>Acceptance Date and Time</w:t>
            </w:r>
          </w:p>
          <w:p w14:paraId="52AF7001" w14:textId="77777777" w:rsidR="008E4599" w:rsidRDefault="008E4599" w:rsidP="00041E00">
            <w:pPr>
              <w:pStyle w:val="TableText"/>
              <w:numPr>
                <w:ilvl w:val="0"/>
                <w:numId w:val="69"/>
              </w:numPr>
            </w:pPr>
            <w:r>
              <w:t>Cancellation Date, if any</w:t>
            </w:r>
          </w:p>
          <w:p w14:paraId="2F68C0EA" w14:textId="77777777" w:rsidR="008E4599" w:rsidRDefault="008E4599" w:rsidP="00041E00">
            <w:pPr>
              <w:pStyle w:val="TableText"/>
              <w:numPr>
                <w:ilvl w:val="0"/>
                <w:numId w:val="69"/>
              </w:numPr>
            </w:pPr>
            <w:r>
              <w:t>Cancellation Division</w:t>
            </w:r>
          </w:p>
          <w:p w14:paraId="60BD8FB9" w14:textId="77777777" w:rsidR="008E4599" w:rsidRDefault="008E4599" w:rsidP="00041E00">
            <w:pPr>
              <w:pStyle w:val="TableText"/>
              <w:numPr>
                <w:ilvl w:val="0"/>
                <w:numId w:val="69"/>
              </w:numPr>
            </w:pPr>
            <w:r>
              <w:t>Cancellation Tech ID, if any</w:t>
            </w:r>
          </w:p>
          <w:p w14:paraId="633F8751" w14:textId="77777777" w:rsidR="008E4599" w:rsidRDefault="008E4599" w:rsidP="00041E00">
            <w:pPr>
              <w:pStyle w:val="TableText"/>
              <w:numPr>
                <w:ilvl w:val="0"/>
                <w:numId w:val="69"/>
              </w:numPr>
            </w:pPr>
            <w:r>
              <w:t>Cancellation Comment, if any</w:t>
            </w:r>
          </w:p>
          <w:p w14:paraId="173729D6" w14:textId="77777777" w:rsidR="008E4599" w:rsidRDefault="008E4599" w:rsidP="00041E00">
            <w:pPr>
              <w:pStyle w:val="TableText"/>
              <w:numPr>
                <w:ilvl w:val="0"/>
                <w:numId w:val="69"/>
              </w:numPr>
            </w:pPr>
            <w:r>
              <w:t>Ordering Provider</w:t>
            </w:r>
          </w:p>
          <w:p w14:paraId="3A4CB070" w14:textId="77777777" w:rsidR="008E4599" w:rsidRDefault="008E4599" w:rsidP="00041E00">
            <w:pPr>
              <w:pStyle w:val="TableText"/>
              <w:numPr>
                <w:ilvl w:val="0"/>
                <w:numId w:val="69"/>
              </w:numPr>
            </w:pPr>
            <w:r>
              <w:t>Ordering Location</w:t>
            </w:r>
          </w:p>
          <w:p w14:paraId="2B198D48" w14:textId="77777777" w:rsidR="008E4599" w:rsidRDefault="008E4599" w:rsidP="00041E00">
            <w:pPr>
              <w:pStyle w:val="TableText"/>
              <w:numPr>
                <w:ilvl w:val="0"/>
                <w:numId w:val="69"/>
              </w:numPr>
            </w:pPr>
            <w:r>
              <w:t>Treating Specialty (patient at time of order)</w:t>
            </w:r>
          </w:p>
          <w:p w14:paraId="0E4DDFC5" w14:textId="77777777" w:rsidR="008E4599" w:rsidRDefault="008E4599" w:rsidP="00041E00">
            <w:pPr>
              <w:pStyle w:val="TableText"/>
              <w:numPr>
                <w:ilvl w:val="0"/>
                <w:numId w:val="69"/>
              </w:numPr>
            </w:pPr>
            <w:r>
              <w:rPr>
                <w:snapToGrid w:val="0"/>
              </w:rPr>
              <w:t>Component or Diagnostic Test originally ordered</w:t>
            </w:r>
          </w:p>
          <w:p w14:paraId="5C8E4F86" w14:textId="77777777" w:rsidR="008E4599" w:rsidRDefault="008E4599" w:rsidP="00041E00">
            <w:pPr>
              <w:pStyle w:val="TableText"/>
              <w:numPr>
                <w:ilvl w:val="0"/>
                <w:numId w:val="69"/>
              </w:numPr>
            </w:pPr>
            <w:r>
              <w:t>All Added Reflex Tests, Date(s), and Requesting Tech Name</w:t>
            </w:r>
          </w:p>
          <w:p w14:paraId="5A8DA20B" w14:textId="77777777" w:rsidR="008E4599" w:rsidRDefault="008E4599" w:rsidP="00041E00">
            <w:pPr>
              <w:pStyle w:val="TableText"/>
              <w:numPr>
                <w:ilvl w:val="0"/>
                <w:numId w:val="69"/>
              </w:numPr>
            </w:pPr>
            <w:r>
              <w:lastRenderedPageBreak/>
              <w:t>Inappropriate Request Information, if any</w:t>
            </w:r>
          </w:p>
          <w:p w14:paraId="068E5C16" w14:textId="77777777" w:rsidR="008E4599" w:rsidRDefault="008E4599" w:rsidP="00041E00">
            <w:pPr>
              <w:pStyle w:val="TableText"/>
              <w:numPr>
                <w:ilvl w:val="0"/>
                <w:numId w:val="69"/>
              </w:numPr>
            </w:pPr>
            <w:r>
              <w:t>Workload name and VistA (LMIP) code after completion</w:t>
            </w:r>
          </w:p>
          <w:p w14:paraId="1E6F7489" w14:textId="77777777" w:rsidR="005B6A94" w:rsidRDefault="008E4599" w:rsidP="00041E00">
            <w:pPr>
              <w:pStyle w:val="TableText"/>
              <w:numPr>
                <w:ilvl w:val="0"/>
                <w:numId w:val="69"/>
              </w:numPr>
            </w:pPr>
            <w:r>
              <w:t>Exception report section message: Exception report details are available as part of the patient’s record. Refer to the specimen section of the patient’s record.</w:t>
            </w:r>
          </w:p>
        </w:tc>
      </w:tr>
      <w:tr w:rsidR="00D45D8C" w14:paraId="5A8E1F50" w14:textId="77777777">
        <w:tc>
          <w:tcPr>
            <w:tcW w:w="3240" w:type="dxa"/>
            <w:tcBorders>
              <w:top w:val="single" w:sz="4" w:space="0" w:color="auto"/>
              <w:left w:val="single" w:sz="4" w:space="0" w:color="auto"/>
              <w:bottom w:val="single" w:sz="4" w:space="0" w:color="auto"/>
              <w:right w:val="single" w:sz="4" w:space="0" w:color="auto"/>
            </w:tcBorders>
          </w:tcPr>
          <w:p w14:paraId="237792DD" w14:textId="58307868" w:rsidR="00D45D8C" w:rsidRDefault="00D45D8C" w:rsidP="00D45D8C">
            <w:pPr>
              <w:pStyle w:val="TableTextNumbers"/>
            </w:pPr>
            <w:r w:rsidRPr="0076371D">
              <w:lastRenderedPageBreak/>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fldLock="1"/>
            </w:r>
            <w:r w:rsidRPr="0076371D">
              <w:rPr>
                <w:szCs w:val="18"/>
              </w:rPr>
              <w:instrText xml:space="preserve"> REF _Ref2774509 \h  \* MERGEFORMAT </w:instrText>
            </w:r>
            <w:r w:rsidRPr="0076371D">
              <w:rPr>
                <w:szCs w:val="18"/>
              </w:rPr>
            </w:r>
            <w:r w:rsidRPr="0076371D">
              <w:rPr>
                <w:szCs w:val="18"/>
              </w:rPr>
              <w:fldChar w:fldCharType="separate"/>
            </w:r>
            <w:r w:rsidR="00AB304C" w:rsidRPr="00AB304C">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t xml:space="preserve"> </w:t>
            </w:r>
            <w:r w:rsidRPr="009660C3">
              <w:rPr>
                <w:vanish/>
                <w:szCs w:val="18"/>
              </w:rPr>
              <w:fldChar w:fldCharType="begin"/>
            </w:r>
            <w:r w:rsidRPr="009660C3">
              <w:rPr>
                <w:vanish/>
                <w:szCs w:val="18"/>
              </w:rPr>
              <w:instrText xml:space="preserve"> LISTNUM \l 1 \s 0 </w:instrText>
            </w:r>
            <w:r w:rsidRPr="009660C3">
              <w:rPr>
                <w:vanish/>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2BBAD4C1" w14:textId="77777777" w:rsidR="00D45D8C" w:rsidRDefault="00D45D8C" w:rsidP="00D45D8C">
            <w:pPr>
              <w:pStyle w:val="TableTextBullet"/>
            </w:pPr>
            <w:r>
              <w:t>If Print is selected, prints the report on the designated printer.</w:t>
            </w:r>
          </w:p>
          <w:p w14:paraId="3980B92B" w14:textId="047B99F3" w:rsidR="00D45D8C" w:rsidRDefault="00D45D8C" w:rsidP="00D45D8C">
            <w:pPr>
              <w:pStyle w:val="TableTextBullet"/>
            </w:pPr>
            <w:r>
              <w:t>If Export is selected, exports the report to the designated file.</w:t>
            </w:r>
          </w:p>
          <w:p w14:paraId="3D49FD7B" w14:textId="712EB6FD" w:rsidR="00D45D8C" w:rsidRDefault="00D45D8C" w:rsidP="00D45D8C">
            <w:pPr>
              <w:pStyle w:val="TableTextBullet"/>
            </w:pPr>
            <w:r>
              <w:t>If Close is selected, exits the report preview.</w:t>
            </w:r>
          </w:p>
        </w:tc>
      </w:tr>
    </w:tbl>
    <w:p w14:paraId="195432C8" w14:textId="77777777" w:rsidR="00F55832" w:rsidRDefault="00F55832">
      <w:pPr>
        <w:pStyle w:val="Heading2"/>
      </w:pPr>
    </w:p>
    <w:p w14:paraId="4E2CD9A7" w14:textId="77777777" w:rsidR="002A21AE" w:rsidRDefault="00F55832">
      <w:pPr>
        <w:pStyle w:val="Heading2"/>
      </w:pPr>
      <w:r>
        <w:br w:type="page"/>
      </w:r>
      <w:bookmarkStart w:id="574" w:name="_Toc4588847"/>
      <w:r w:rsidR="002A21AE">
        <w:lastRenderedPageBreak/>
        <w:t>Patient History Report</w:t>
      </w:r>
      <w:bookmarkEnd w:id="574"/>
      <w:r w:rsidR="002A21AE">
        <w:fldChar w:fldCharType="begin"/>
      </w:r>
      <w:r w:rsidR="002A21AE">
        <w:instrText xml:space="preserve"> XE </w:instrText>
      </w:r>
      <w:r w:rsidR="00FA7E65">
        <w:instrText>“</w:instrText>
      </w:r>
      <w:r w:rsidR="002A21AE">
        <w:instrText>Patient History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UC_101</w:t>
      </w:r>
    </w:p>
    <w:p w14:paraId="29A6C1F2" w14:textId="77777777" w:rsidR="002A21AE" w:rsidRDefault="002A21AE" w:rsidP="00FA7E65">
      <w:pPr>
        <w:pStyle w:val="BodyText"/>
      </w:pPr>
      <w:r>
        <w:t>The user views and</w:t>
      </w:r>
      <w:r w:rsidR="000054DE">
        <w:t>/or</w:t>
      </w:r>
      <w:r>
        <w:t xml:space="preserve"> prints </w:t>
      </w:r>
      <w:r w:rsidR="000054DE">
        <w:t>the Patient History Report</w:t>
      </w:r>
      <w:r>
        <w:t>.</w:t>
      </w:r>
    </w:p>
    <w:p w14:paraId="7D6B386D" w14:textId="77777777" w:rsidR="002A21AE" w:rsidRDefault="002A21AE">
      <w:pPr>
        <w:pStyle w:val="Heading4"/>
      </w:pPr>
      <w:bookmarkStart w:id="575" w:name="_Toc94349358"/>
      <w:r>
        <w:t>Assumptions</w:t>
      </w:r>
      <w:bookmarkEnd w:id="575"/>
      <w:r>
        <w:rPr>
          <w:b w:val="0"/>
        </w:rPr>
        <w:t xml:space="preserve"> </w:t>
      </w:r>
    </w:p>
    <w:p w14:paraId="1560B3CC" w14:textId="77777777" w:rsidR="002A21AE" w:rsidRDefault="002A21AE">
      <w:pPr>
        <w:pStyle w:val="ListBullet"/>
      </w:pPr>
      <w:r>
        <w:t>VBECS displays the report header even when there is no information in the report.</w:t>
      </w:r>
    </w:p>
    <w:p w14:paraId="39DE58E0" w14:textId="77777777" w:rsidR="002A21AE" w:rsidRDefault="002A21AE">
      <w:pPr>
        <w:pStyle w:val="Heading4"/>
      </w:pPr>
      <w:bookmarkStart w:id="576" w:name="_Toc94349359"/>
      <w:r>
        <w:t>Outcome</w:t>
      </w:r>
      <w:bookmarkEnd w:id="576"/>
      <w:r>
        <w:t xml:space="preserve"> </w:t>
      </w:r>
    </w:p>
    <w:p w14:paraId="220452F5" w14:textId="77777777" w:rsidR="002A21AE" w:rsidRDefault="002A21AE">
      <w:pPr>
        <w:pStyle w:val="ListBullet"/>
      </w:pPr>
      <w:r>
        <w:t>The user views and prints a patient’s VBECS record.</w:t>
      </w:r>
    </w:p>
    <w:p w14:paraId="1AEF42B8" w14:textId="77777777" w:rsidR="002A21AE" w:rsidRDefault="002A21AE">
      <w:pPr>
        <w:pStyle w:val="Heading4"/>
      </w:pPr>
      <w:bookmarkStart w:id="577" w:name="_Toc94349360"/>
      <w:r>
        <w:t>Limitations and Restrictions</w:t>
      </w:r>
      <w:bookmarkEnd w:id="577"/>
      <w:r>
        <w:rPr>
          <w:b w:val="0"/>
        </w:rPr>
        <w:t xml:space="preserve"> </w:t>
      </w:r>
    </w:p>
    <w:p w14:paraId="67DF4BC8" w14:textId="3D9333ED" w:rsidR="002A21AE" w:rsidRPr="00D94DA3" w:rsidRDefault="00831D8F">
      <w:pPr>
        <w:pStyle w:val="ListBullet"/>
      </w:pPr>
      <w:r>
        <w:t>When units are restricted for a patient during Incoming Shipment, VBECS does not display the</w:t>
      </w:r>
      <w:r w:rsidR="006E3236">
        <w:t>m on the Patient History Report</w:t>
      </w:r>
      <w:r w:rsidR="002A21AE">
        <w:t>.</w:t>
      </w:r>
      <w:r>
        <w:t xml:space="preserve"> </w:t>
      </w:r>
      <w:r w:rsidRPr="00831D8F">
        <w:rPr>
          <w:vanish/>
        </w:rPr>
        <w:t>(</w:t>
      </w:r>
      <w:r w:rsidR="001D3AF6">
        <w:rPr>
          <w:vanish/>
        </w:rPr>
        <w:t>Defect 212160)</w:t>
      </w:r>
    </w:p>
    <w:p w14:paraId="7C6B27AC" w14:textId="77777777" w:rsidR="00D94DA3" w:rsidRDefault="00D94DA3" w:rsidP="00D94DA3">
      <w:pPr>
        <w:pStyle w:val="ListBullet"/>
      </w:pPr>
      <w:r>
        <w:t xml:space="preserve">VBECS displays these default values </w:t>
      </w:r>
      <w:r w:rsidR="00FF5006">
        <w:t>for</w:t>
      </w:r>
      <w:r>
        <w:t xml:space="preserve"> transfusion reactions converted from VistA to VBECS. </w:t>
      </w:r>
      <w:r w:rsidR="00FF5006">
        <w:t>They do not</w:t>
      </w:r>
      <w:r>
        <w:t xml:space="preserve"> </w:t>
      </w:r>
      <w:r w:rsidR="00FF5006">
        <w:t>reflect actual interpretations or results:</w:t>
      </w:r>
      <w:r w:rsidR="00FF5006" w:rsidRPr="00FF5006">
        <w:rPr>
          <w:vanish/>
        </w:rPr>
        <w:t xml:space="preserve"> (DR 2,724)</w:t>
      </w:r>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4"/>
        <w:gridCol w:w="3326"/>
      </w:tblGrid>
      <w:tr w:rsidR="00FF5006" w:rsidRPr="00887834" w14:paraId="19DF46D8" w14:textId="77777777">
        <w:trPr>
          <w:tblHeader/>
        </w:trPr>
        <w:tc>
          <w:tcPr>
            <w:tcW w:w="4428" w:type="dxa"/>
            <w:shd w:val="clear" w:color="auto" w:fill="B3B3B3"/>
          </w:tcPr>
          <w:p w14:paraId="35DDE087" w14:textId="77777777" w:rsidR="00FF5006" w:rsidRPr="00887834" w:rsidRDefault="00FF5006" w:rsidP="00FF5006">
            <w:pPr>
              <w:pStyle w:val="TableText"/>
              <w:rPr>
                <w:b/>
              </w:rPr>
            </w:pPr>
            <w:r w:rsidRPr="00887834">
              <w:rPr>
                <w:b/>
              </w:rPr>
              <w:t>Converted Transfusion Reaction</w:t>
            </w:r>
          </w:p>
        </w:tc>
        <w:tc>
          <w:tcPr>
            <w:tcW w:w="2772" w:type="dxa"/>
            <w:shd w:val="clear" w:color="auto" w:fill="B3B3B3"/>
          </w:tcPr>
          <w:p w14:paraId="1BFB7C61" w14:textId="77777777" w:rsidR="00FF5006" w:rsidRPr="00887834" w:rsidRDefault="00FF5006" w:rsidP="00FF5006">
            <w:pPr>
              <w:pStyle w:val="TableText"/>
              <w:rPr>
                <w:b/>
              </w:rPr>
            </w:pPr>
            <w:r w:rsidRPr="00887834">
              <w:rPr>
                <w:b/>
              </w:rPr>
              <w:t>Default</w:t>
            </w:r>
          </w:p>
        </w:tc>
      </w:tr>
      <w:tr w:rsidR="00FF5006" w14:paraId="78B9CA1A" w14:textId="77777777">
        <w:tc>
          <w:tcPr>
            <w:tcW w:w="4428" w:type="dxa"/>
          </w:tcPr>
          <w:p w14:paraId="25AD8963" w14:textId="77777777" w:rsidR="00FF5006" w:rsidRDefault="00FF5006" w:rsidP="00FF5006">
            <w:pPr>
              <w:pStyle w:val="TableText"/>
            </w:pPr>
            <w:r>
              <w:t xml:space="preserve">Pre-Transfusion Specimen Checks, Hemolysis Checks OK? </w:t>
            </w:r>
          </w:p>
        </w:tc>
        <w:tc>
          <w:tcPr>
            <w:tcW w:w="2772" w:type="dxa"/>
          </w:tcPr>
          <w:p w14:paraId="0D7C684B" w14:textId="77777777" w:rsidR="00FF5006" w:rsidRDefault="00FF5006" w:rsidP="00FF5006">
            <w:pPr>
              <w:pStyle w:val="TableText"/>
            </w:pPr>
            <w:r>
              <w:t>Yes</w:t>
            </w:r>
          </w:p>
        </w:tc>
      </w:tr>
      <w:tr w:rsidR="00FF5006" w14:paraId="33C7CDFF" w14:textId="77777777">
        <w:tc>
          <w:tcPr>
            <w:tcW w:w="4428" w:type="dxa"/>
          </w:tcPr>
          <w:p w14:paraId="0A8B44E1" w14:textId="77777777" w:rsidR="00FF5006" w:rsidRDefault="00FF5006" w:rsidP="00FF5006">
            <w:pPr>
              <w:pStyle w:val="TableText"/>
            </w:pPr>
            <w:r>
              <w:t xml:space="preserve">Post-Transfusion Specimen Checks, Hemolysis Checks OK? </w:t>
            </w:r>
          </w:p>
        </w:tc>
        <w:tc>
          <w:tcPr>
            <w:tcW w:w="2772" w:type="dxa"/>
          </w:tcPr>
          <w:p w14:paraId="1BDE21EA" w14:textId="77777777" w:rsidR="00FF5006" w:rsidRDefault="00FF5006" w:rsidP="00FF5006">
            <w:pPr>
              <w:pStyle w:val="TableText"/>
            </w:pPr>
            <w:r>
              <w:t>Yes</w:t>
            </w:r>
          </w:p>
        </w:tc>
      </w:tr>
      <w:tr w:rsidR="00FF5006" w14:paraId="583934E2" w14:textId="77777777">
        <w:tc>
          <w:tcPr>
            <w:tcW w:w="4428" w:type="dxa"/>
          </w:tcPr>
          <w:p w14:paraId="13368E20" w14:textId="77777777" w:rsidR="00FF5006" w:rsidRDefault="00A1063F" w:rsidP="00FF5006">
            <w:pPr>
              <w:pStyle w:val="TableText"/>
            </w:pPr>
            <w:r>
              <w:t>Symptoms</w:t>
            </w:r>
          </w:p>
        </w:tc>
        <w:tc>
          <w:tcPr>
            <w:tcW w:w="2772" w:type="dxa"/>
          </w:tcPr>
          <w:p w14:paraId="2EF716FA" w14:textId="77777777" w:rsidR="00FF5006" w:rsidRDefault="00FF5006" w:rsidP="00FF5006">
            <w:pPr>
              <w:pStyle w:val="TableText"/>
            </w:pPr>
            <w:r>
              <w:t>No symptoms identified.</w:t>
            </w:r>
          </w:p>
        </w:tc>
      </w:tr>
      <w:tr w:rsidR="00FF5006" w14:paraId="277F0727" w14:textId="77777777">
        <w:tc>
          <w:tcPr>
            <w:tcW w:w="4428" w:type="dxa"/>
          </w:tcPr>
          <w:p w14:paraId="25AEA78E" w14:textId="77777777" w:rsidR="00FF5006" w:rsidRDefault="00FF5006" w:rsidP="00FF5006">
            <w:pPr>
              <w:pStyle w:val="TableText"/>
            </w:pPr>
            <w:r>
              <w:t>Implicated units</w:t>
            </w:r>
          </w:p>
        </w:tc>
        <w:tc>
          <w:tcPr>
            <w:tcW w:w="2772" w:type="dxa"/>
          </w:tcPr>
          <w:p w14:paraId="385ECA2E" w14:textId="77777777" w:rsidR="00FF5006" w:rsidRDefault="00FF5006" w:rsidP="00FF5006">
            <w:pPr>
              <w:pStyle w:val="TableText"/>
            </w:pPr>
            <w:r>
              <w:t>No units implicated in reaction.</w:t>
            </w:r>
          </w:p>
        </w:tc>
      </w:tr>
      <w:tr w:rsidR="00FF5006" w14:paraId="7F3FD19D" w14:textId="77777777">
        <w:tc>
          <w:tcPr>
            <w:tcW w:w="4428" w:type="dxa"/>
          </w:tcPr>
          <w:p w14:paraId="4F421EBC" w14:textId="77777777" w:rsidR="00FF5006" w:rsidRDefault="00FF5006" w:rsidP="00FF5006">
            <w:pPr>
              <w:pStyle w:val="TableText"/>
            </w:pPr>
            <w:r>
              <w:t>Serologic tests</w:t>
            </w:r>
          </w:p>
        </w:tc>
        <w:tc>
          <w:tcPr>
            <w:tcW w:w="2772" w:type="dxa"/>
          </w:tcPr>
          <w:p w14:paraId="36A1FBA6" w14:textId="77777777" w:rsidR="00FF5006" w:rsidRDefault="00FF5006" w:rsidP="00FF5006">
            <w:pPr>
              <w:pStyle w:val="TableText"/>
            </w:pPr>
            <w:r>
              <w:t>No serologic tests performed.</w:t>
            </w:r>
          </w:p>
        </w:tc>
      </w:tr>
    </w:tbl>
    <w:p w14:paraId="4E596AB9" w14:textId="77777777" w:rsidR="002A21AE" w:rsidRDefault="002A21AE">
      <w:pPr>
        <w:pStyle w:val="Heading4"/>
      </w:pPr>
      <w:bookmarkStart w:id="578" w:name="_Toc94349361"/>
      <w:r>
        <w:t>Additional Information</w:t>
      </w:r>
      <w:bookmarkEnd w:id="578"/>
      <w:r>
        <w:t xml:space="preserve"> </w:t>
      </w:r>
    </w:p>
    <w:p w14:paraId="57600A41" w14:textId="77777777" w:rsidR="00831D8F" w:rsidRDefault="00831D8F" w:rsidP="00831D8F">
      <w:pPr>
        <w:pStyle w:val="ListBullet"/>
      </w:pPr>
      <w:r>
        <w:t>The patient record report is divided into sections for report retrieval.</w:t>
      </w:r>
    </w:p>
    <w:p w14:paraId="1A7651A8" w14:textId="77777777" w:rsidR="004F0553" w:rsidRDefault="004F0553">
      <w:pPr>
        <w:pStyle w:val="ListBullet"/>
      </w:pPr>
      <w:r>
        <w:t>This report includes:</w:t>
      </w:r>
    </w:p>
    <w:p w14:paraId="48275F0A" w14:textId="77777777" w:rsidR="004F0553" w:rsidRDefault="004F0553" w:rsidP="004F0553">
      <w:pPr>
        <w:pStyle w:val="ListBullet2"/>
      </w:pPr>
      <w:r>
        <w:t>Post-transfusion details.</w:t>
      </w:r>
    </w:p>
    <w:p w14:paraId="2975E7A3" w14:textId="77777777" w:rsidR="002A21AE" w:rsidRDefault="004F0553" w:rsidP="004F0553">
      <w:pPr>
        <w:pStyle w:val="ListBullet2"/>
      </w:pPr>
      <w:r>
        <w:t>Data</w:t>
      </w:r>
      <w:r w:rsidR="002A21AE">
        <w:t xml:space="preserve"> from all divisions within the database.</w:t>
      </w:r>
    </w:p>
    <w:p w14:paraId="2B442C5C" w14:textId="77777777" w:rsidR="002A21AE" w:rsidRDefault="002A21AE">
      <w:pPr>
        <w:pStyle w:val="Heading4"/>
        <w:rPr>
          <w:b w:val="0"/>
        </w:rPr>
      </w:pPr>
      <w:bookmarkStart w:id="579" w:name="_Toc94349362"/>
      <w:r>
        <w:t>User Roles with Access to This Option</w:t>
      </w:r>
      <w:bookmarkEnd w:id="579"/>
      <w:r>
        <w:rPr>
          <w:b w:val="0"/>
        </w:rPr>
        <w:t xml:space="preserve"> </w:t>
      </w:r>
    </w:p>
    <w:p w14:paraId="71669E95" w14:textId="77777777" w:rsidR="002A21AE" w:rsidRDefault="00184EA4">
      <w:pPr>
        <w:pStyle w:val="Roles"/>
      </w:pPr>
      <w:r>
        <w:t>All users</w:t>
      </w:r>
    </w:p>
    <w:p w14:paraId="08DEC02E" w14:textId="77777777" w:rsidR="002A21AE" w:rsidRDefault="002A21AE">
      <w:pPr>
        <w:pStyle w:val="Heading4"/>
      </w:pPr>
      <w:bookmarkStart w:id="580" w:name="_Toc94349363"/>
      <w:r>
        <w:t>Patient History Report</w:t>
      </w:r>
      <w:bookmarkEnd w:id="580"/>
    </w:p>
    <w:p w14:paraId="647F5689" w14:textId="77777777" w:rsidR="002A21AE" w:rsidRDefault="002A21AE" w:rsidP="00FA7E65">
      <w:pPr>
        <w:pStyle w:val="BodyText"/>
      </w:pPr>
      <w:r>
        <w:t>The user views and/or prints the patient’s VBECS record.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70909013" w14:textId="77777777">
        <w:trPr>
          <w:tblHeader/>
        </w:trPr>
        <w:tc>
          <w:tcPr>
            <w:tcW w:w="3240" w:type="dxa"/>
            <w:shd w:val="pct30" w:color="auto" w:fill="FFFFFF"/>
            <w:vAlign w:val="bottom"/>
          </w:tcPr>
          <w:p w14:paraId="0427BDF5" w14:textId="77777777" w:rsidR="002A21AE" w:rsidRDefault="002A21AE">
            <w:pPr>
              <w:pStyle w:val="TableText"/>
              <w:rPr>
                <w:b/>
              </w:rPr>
            </w:pPr>
            <w:r>
              <w:rPr>
                <w:b/>
              </w:rPr>
              <w:t>User Action</w:t>
            </w:r>
          </w:p>
        </w:tc>
        <w:tc>
          <w:tcPr>
            <w:tcW w:w="6120" w:type="dxa"/>
            <w:shd w:val="pct30" w:color="auto" w:fill="FFFFFF"/>
            <w:vAlign w:val="bottom"/>
          </w:tcPr>
          <w:p w14:paraId="03AF20F9" w14:textId="77777777" w:rsidR="002A21AE" w:rsidRDefault="002A21AE">
            <w:pPr>
              <w:pStyle w:val="TableText"/>
              <w:rPr>
                <w:b/>
              </w:rPr>
            </w:pPr>
            <w:r>
              <w:rPr>
                <w:b/>
              </w:rPr>
              <w:t>VBECS</w:t>
            </w:r>
          </w:p>
        </w:tc>
      </w:tr>
      <w:tr w:rsidR="002A21AE" w14:paraId="6FC27939" w14:textId="77777777">
        <w:tc>
          <w:tcPr>
            <w:tcW w:w="3240" w:type="dxa"/>
          </w:tcPr>
          <w:p w14:paraId="74F41BC4" w14:textId="77777777" w:rsidR="002A21AE" w:rsidRDefault="002A21AE">
            <w:pPr>
              <w:pStyle w:val="TableTextNumbers"/>
            </w:pPr>
            <w:r>
              <w:t xml:space="preserve">Select </w:t>
            </w:r>
            <w:r>
              <w:rPr>
                <w:b/>
              </w:rPr>
              <w:t>Patients</w:t>
            </w:r>
            <w:r>
              <w:t xml:space="preserve"> or </w:t>
            </w:r>
            <w:r>
              <w:rPr>
                <w:b/>
              </w:rPr>
              <w:t>Reports</w:t>
            </w:r>
            <w:r>
              <w:t xml:space="preserve"> from the main menu.</w:t>
            </w:r>
          </w:p>
          <w:p w14:paraId="53DA1993" w14:textId="77777777" w:rsidR="002A21AE" w:rsidRDefault="002A21AE">
            <w:pPr>
              <w:pStyle w:val="TableTextNumbersContinued"/>
            </w:pPr>
          </w:p>
          <w:p w14:paraId="7114017A" w14:textId="77777777" w:rsidR="002A21AE" w:rsidRDefault="002A21AE">
            <w:pPr>
              <w:pStyle w:val="TableTextNumbersContinued"/>
            </w:pPr>
            <w:r>
              <w:t xml:space="preserve">Select </w:t>
            </w:r>
            <w:r>
              <w:rPr>
                <w:b/>
              </w:rPr>
              <w:t>Patient History Report</w:t>
            </w:r>
            <w:r>
              <w:t>.</w:t>
            </w:r>
          </w:p>
        </w:tc>
        <w:tc>
          <w:tcPr>
            <w:tcW w:w="6120" w:type="dxa"/>
          </w:tcPr>
          <w:p w14:paraId="2789A6CC" w14:textId="77777777" w:rsidR="002A21AE" w:rsidRDefault="002A21AE">
            <w:pPr>
              <w:pStyle w:val="TableTextBullet"/>
            </w:pPr>
            <w:r>
              <w:t>Displays options for processing patient-related functions, or for generating, viewing, and printing reports.</w:t>
            </w:r>
          </w:p>
          <w:p w14:paraId="66D0B527" w14:textId="77777777" w:rsidR="002A21AE" w:rsidRDefault="002A21AE">
            <w:pPr>
              <w:pStyle w:val="TableTextBullet"/>
            </w:pPr>
            <w:r>
              <w:t>Displays report sections and compilation criteria.</w:t>
            </w:r>
          </w:p>
        </w:tc>
      </w:tr>
      <w:tr w:rsidR="002A21AE" w14:paraId="115C29AE" w14:textId="77777777" w:rsidTr="00305B16">
        <w:trPr>
          <w:cantSplit/>
        </w:trPr>
        <w:tc>
          <w:tcPr>
            <w:tcW w:w="3240" w:type="dxa"/>
          </w:tcPr>
          <w:p w14:paraId="12B17AAB" w14:textId="77777777" w:rsidR="002A21AE" w:rsidRDefault="002A21AE">
            <w:pPr>
              <w:pStyle w:val="TableTextNumbers"/>
            </w:pPr>
            <w:r>
              <w:lastRenderedPageBreak/>
              <w:t xml:space="preserve">Enter the patient name </w:t>
            </w:r>
            <w:r w:rsidRPr="00945BF5">
              <w:t>and/or ID</w:t>
            </w:r>
            <w:r>
              <w:t xml:space="preserve">, or click the </w:t>
            </w:r>
            <w:r w:rsidR="00A6373D" w:rsidRPr="00945BF5">
              <w:rPr>
                <w:b/>
              </w:rPr>
              <w:t>find</w:t>
            </w:r>
            <w:r>
              <w:rPr>
                <w:b/>
              </w:rPr>
              <w:t xml:space="preserve"> </w:t>
            </w:r>
            <w:r w:rsidRPr="00D1100E">
              <w:t>button</w:t>
            </w:r>
            <w:r>
              <w:t xml:space="preserve"> to search for patient data.</w:t>
            </w:r>
          </w:p>
          <w:p w14:paraId="3DBBA872" w14:textId="77777777" w:rsidR="002A21AE" w:rsidRDefault="002A21AE">
            <w:pPr>
              <w:pStyle w:val="TableTextNumbersContinued"/>
            </w:pPr>
          </w:p>
          <w:p w14:paraId="6339EB56" w14:textId="77777777" w:rsidR="002A21AE" w:rsidRDefault="002A21AE">
            <w:pPr>
              <w:pStyle w:val="TableTextNumbersContinued"/>
            </w:pPr>
            <w:r>
              <w:t xml:space="preserve">Click </w:t>
            </w:r>
            <w:r>
              <w:rPr>
                <w:b/>
              </w:rPr>
              <w:t>OK</w:t>
            </w:r>
            <w:r>
              <w:t>.</w:t>
            </w:r>
          </w:p>
        </w:tc>
        <w:tc>
          <w:tcPr>
            <w:tcW w:w="6120" w:type="dxa"/>
          </w:tcPr>
          <w:p w14:paraId="40063ED9" w14:textId="77777777" w:rsidR="002A21AE" w:rsidRDefault="002A21AE">
            <w:pPr>
              <w:pStyle w:val="TableTextBullet"/>
              <w:tabs>
                <w:tab w:val="num" w:pos="360"/>
              </w:tabs>
            </w:pPr>
            <w:r>
              <w:t>Allows the entry or selection of a patient.</w:t>
            </w:r>
          </w:p>
          <w:p w14:paraId="4AA5E74B" w14:textId="77777777" w:rsidR="002A21AE" w:rsidRDefault="002A21AE">
            <w:pPr>
              <w:pStyle w:val="TableTextBullet"/>
              <w:tabs>
                <w:tab w:val="num" w:pos="360"/>
              </w:tabs>
            </w:pPr>
            <w:r>
              <w:t>Displays the patient report section types for selection:</w:t>
            </w:r>
          </w:p>
          <w:p w14:paraId="59A707A1" w14:textId="77777777" w:rsidR="002A21AE" w:rsidRDefault="002A21AE">
            <w:pPr>
              <w:pStyle w:val="TableTextBullet1"/>
            </w:pPr>
            <w:r>
              <w:t>Patient Demographic History</w:t>
            </w:r>
          </w:p>
          <w:p w14:paraId="77DC8E17" w14:textId="77777777" w:rsidR="002A21AE" w:rsidRDefault="002A21AE">
            <w:pPr>
              <w:pStyle w:val="TableTextBullet1"/>
            </w:pPr>
            <w:r>
              <w:t>Transfusion Requirements</w:t>
            </w:r>
          </w:p>
          <w:p w14:paraId="63440A0E" w14:textId="77777777" w:rsidR="002A21AE" w:rsidRDefault="002A21AE">
            <w:pPr>
              <w:pStyle w:val="TableTextBullet1"/>
            </w:pPr>
            <w:r>
              <w:t>Testing Details</w:t>
            </w:r>
          </w:p>
          <w:p w14:paraId="4442A51C" w14:textId="77777777" w:rsidR="002A21AE" w:rsidRDefault="002A21AE">
            <w:pPr>
              <w:pStyle w:val="TableTextBullet1"/>
            </w:pPr>
            <w:r>
              <w:t>Unit Assignment History</w:t>
            </w:r>
          </w:p>
          <w:p w14:paraId="4BC4FDD6" w14:textId="77777777" w:rsidR="002A21AE" w:rsidRDefault="002A21AE">
            <w:pPr>
              <w:pStyle w:val="TableTextBullet1"/>
            </w:pPr>
            <w:r>
              <w:t>Transfusion History</w:t>
            </w:r>
          </w:p>
          <w:p w14:paraId="5F4ACC56" w14:textId="77777777" w:rsidR="002A21AE" w:rsidRDefault="002A21AE">
            <w:pPr>
              <w:pStyle w:val="TableTextBullet1"/>
            </w:pPr>
            <w:r>
              <w:t>Specimen Details</w:t>
            </w:r>
          </w:p>
          <w:p w14:paraId="538DF807" w14:textId="77777777" w:rsidR="002A21AE" w:rsidRDefault="002A21AE">
            <w:pPr>
              <w:pStyle w:val="TableTextBullet1"/>
            </w:pPr>
            <w:r>
              <w:t>Special Instructions</w:t>
            </w:r>
          </w:p>
          <w:p w14:paraId="0870F6E5" w14:textId="77777777" w:rsidR="002A21AE" w:rsidRDefault="002A21AE">
            <w:pPr>
              <w:pStyle w:val="TableTextBullet1"/>
            </w:pPr>
            <w:r>
              <w:t>Transfusion Reaction Details</w:t>
            </w:r>
          </w:p>
          <w:p w14:paraId="70BC5434" w14:textId="77777777" w:rsidR="002A21AE" w:rsidRDefault="002A21AE">
            <w:pPr>
              <w:pStyle w:val="TableTextBullet1"/>
            </w:pPr>
            <w:r>
              <w:t>Exception Report Entries</w:t>
            </w:r>
          </w:p>
          <w:p w14:paraId="03F744C2" w14:textId="77777777" w:rsidR="002A21AE" w:rsidRDefault="002A21AE">
            <w:pPr>
              <w:pStyle w:val="TableTextBullet1"/>
            </w:pPr>
            <w:r>
              <w:t>Assignments/Releases</w:t>
            </w:r>
          </w:p>
          <w:p w14:paraId="40156F50" w14:textId="77777777" w:rsidR="002A21AE" w:rsidRDefault="002A21AE">
            <w:pPr>
              <w:pStyle w:val="TableTextBullet1"/>
            </w:pPr>
            <w:r>
              <w:t>Audit Trail Report</w:t>
            </w:r>
          </w:p>
        </w:tc>
      </w:tr>
      <w:tr w:rsidR="002A21AE" w14:paraId="01369482" w14:textId="77777777">
        <w:tc>
          <w:tcPr>
            <w:tcW w:w="3240" w:type="dxa"/>
          </w:tcPr>
          <w:p w14:paraId="17B7B4FB" w14:textId="77777777" w:rsidR="002A21AE" w:rsidRDefault="002A21AE">
            <w:pPr>
              <w:pStyle w:val="TableTextNumbers"/>
            </w:pPr>
            <w:r>
              <w:t>Select one or more sections to include in the report.</w:t>
            </w:r>
          </w:p>
        </w:tc>
        <w:tc>
          <w:tcPr>
            <w:tcW w:w="6120" w:type="dxa"/>
          </w:tcPr>
          <w:p w14:paraId="7DA6C092" w14:textId="77777777" w:rsidR="002A21AE" w:rsidRDefault="002A21AE">
            <w:pPr>
              <w:pStyle w:val="TableText"/>
            </w:pPr>
          </w:p>
        </w:tc>
      </w:tr>
      <w:tr w:rsidR="002A21AE" w14:paraId="64011988" w14:textId="77777777">
        <w:tc>
          <w:tcPr>
            <w:tcW w:w="3240" w:type="dxa"/>
          </w:tcPr>
          <w:p w14:paraId="25EBEF42" w14:textId="77777777" w:rsidR="002A21AE" w:rsidRDefault="002A21AE">
            <w:pPr>
              <w:pStyle w:val="TableTextNumbers"/>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67467B03" w14:textId="77777777" w:rsidR="002A21AE" w:rsidRDefault="002A21AE">
            <w:pPr>
              <w:pStyle w:val="TableTextBullet"/>
              <w:tabs>
                <w:tab w:val="num" w:pos="360"/>
              </w:tabs>
            </w:pPr>
            <w:r>
              <w:t>Compiles and displays the report.</w:t>
            </w:r>
          </w:p>
          <w:p w14:paraId="15EA04BC" w14:textId="77777777" w:rsidR="002A21AE" w:rsidRDefault="002A21AE">
            <w:pPr>
              <w:pStyle w:val="TableTextBullet"/>
              <w:tabs>
                <w:tab w:val="num" w:pos="360"/>
              </w:tabs>
            </w:pPr>
            <w:r>
              <w:t xml:space="preserve">Allows the user to print the report. </w:t>
            </w:r>
          </w:p>
          <w:p w14:paraId="4DC46BF9" w14:textId="77777777" w:rsidR="002A21AE" w:rsidRDefault="002A21AE">
            <w:pPr>
              <w:pStyle w:val="TableText"/>
            </w:pPr>
          </w:p>
          <w:p w14:paraId="036F1AD5" w14:textId="77777777" w:rsidR="002A21AE" w:rsidRDefault="00057948">
            <w:pPr>
              <w:pStyle w:val="TableText"/>
              <w:rPr>
                <w:b/>
                <w:bCs/>
              </w:rPr>
            </w:pPr>
            <w:r>
              <w:rPr>
                <w:b/>
                <w:bCs/>
                <w:noProof/>
              </w:rPr>
              <mc:AlternateContent>
                <mc:Choice Requires="wps">
                  <w:drawing>
                    <wp:anchor distT="0" distB="0" distL="114300" distR="114300" simplePos="0" relativeHeight="251713024" behindDoc="0" locked="0" layoutInCell="1" allowOverlap="1" wp14:anchorId="29C1A0FC" wp14:editId="4A439EC2">
                      <wp:simplePos x="0" y="0"/>
                      <wp:positionH relativeFrom="column">
                        <wp:posOffset>457200</wp:posOffset>
                      </wp:positionH>
                      <wp:positionV relativeFrom="paragraph">
                        <wp:posOffset>65405</wp:posOffset>
                      </wp:positionV>
                      <wp:extent cx="3200400" cy="0"/>
                      <wp:effectExtent l="9525" t="17780" r="9525" b="10795"/>
                      <wp:wrapNone/>
                      <wp:docPr id="281" name="Line 924" descr="P10568C10T11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CCBCE" id="Line 924" o:spid="_x0000_s1026" alt="&quot;&quot;"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c4ve8MBAABuAwAADgAAAAAAAAAAAAAAAAAu&#10;AgAAZHJzL2Uyb0RvYy54bWxQSwECLQAUAAYACAAAACEAF08wEtsAAAAIAQAADwAAAAAAAAAAAAAA&#10;AAAdBAAAZHJzL2Rvd25yZXYueG1sUEsFBgAAAAAEAAQA8wAAACUFAAAAAA==&#10;" strokeweight="1.5pt"/>
                  </w:pict>
                </mc:Fallback>
              </mc:AlternateContent>
            </w:r>
            <w:r w:rsidR="002A21AE">
              <w:rPr>
                <w:b/>
                <w:bCs/>
              </w:rPr>
              <w:t>NOTES</w:t>
            </w:r>
          </w:p>
          <w:p w14:paraId="58651C05" w14:textId="77777777" w:rsidR="002A21AE" w:rsidRDefault="002A21AE">
            <w:pPr>
              <w:pStyle w:val="NotesText"/>
            </w:pPr>
          </w:p>
          <w:p w14:paraId="39F0BFF6" w14:textId="77777777" w:rsidR="005B6A94" w:rsidRDefault="002A21AE" w:rsidP="00E90A01">
            <w:pPr>
              <w:pStyle w:val="NotesText"/>
            </w:pPr>
            <w:r>
              <w:rPr>
                <w:rFonts w:cs="Arial"/>
                <w:vanish/>
              </w:rPr>
              <w:t xml:space="preserve">BR_101.04 </w:t>
            </w:r>
            <w:r>
              <w:t xml:space="preserve">When the patient has an ABO/Rh as the result of a conversion, VBECS displays a message in the Transfusion History section instructing the user to check the legacy records for </w:t>
            </w:r>
            <w:r w:rsidR="00E90A01">
              <w:t>additional</w:t>
            </w:r>
            <w:r>
              <w:t xml:space="preserve"> information.</w:t>
            </w:r>
          </w:p>
        </w:tc>
      </w:tr>
      <w:tr w:rsidR="002A21AE" w14:paraId="1EAC54D0" w14:textId="77777777">
        <w:tc>
          <w:tcPr>
            <w:tcW w:w="3240" w:type="dxa"/>
          </w:tcPr>
          <w:p w14:paraId="193D5618" w14:textId="149C320A" w:rsidR="002A21AE" w:rsidRDefault="00D45D8C">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fldLock="1"/>
            </w:r>
            <w:r w:rsidRPr="0076371D">
              <w:rPr>
                <w:szCs w:val="18"/>
              </w:rPr>
              <w:instrText xml:space="preserve"> REF _Ref2774509 \h  \* MERGEFORMAT </w:instrText>
            </w:r>
            <w:r w:rsidRPr="0076371D">
              <w:rPr>
                <w:szCs w:val="18"/>
              </w:rPr>
            </w:r>
            <w:r w:rsidRPr="0076371D">
              <w:rPr>
                <w:szCs w:val="18"/>
              </w:rPr>
              <w:fldChar w:fldCharType="separate"/>
            </w:r>
            <w:r w:rsidR="00AB304C" w:rsidRPr="00AB304C">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t xml:space="preserve"> </w:t>
            </w:r>
            <w:r w:rsidR="002A21AE" w:rsidRPr="009660C3">
              <w:rPr>
                <w:vanish/>
                <w:szCs w:val="18"/>
              </w:rPr>
              <w:fldChar w:fldCharType="begin"/>
            </w:r>
            <w:r w:rsidR="002A21AE" w:rsidRPr="009660C3">
              <w:rPr>
                <w:vanish/>
                <w:szCs w:val="18"/>
              </w:rPr>
              <w:instrText xml:space="preserve"> LISTNUM \l 1 \s 0 </w:instrText>
            </w:r>
            <w:r w:rsidR="002A21AE" w:rsidRPr="009660C3">
              <w:rPr>
                <w:vanish/>
                <w:szCs w:val="18"/>
              </w:rPr>
              <w:fldChar w:fldCharType="end"/>
            </w:r>
          </w:p>
        </w:tc>
        <w:tc>
          <w:tcPr>
            <w:tcW w:w="6120" w:type="dxa"/>
          </w:tcPr>
          <w:p w14:paraId="4E81DE2D" w14:textId="77777777" w:rsidR="00D45D8C" w:rsidRDefault="00D45D8C" w:rsidP="00D45D8C">
            <w:pPr>
              <w:pStyle w:val="TableTextBullet"/>
            </w:pPr>
            <w:r>
              <w:t>If Print is selected, prints the report on the designated printer.</w:t>
            </w:r>
          </w:p>
          <w:p w14:paraId="6735357E" w14:textId="77777777" w:rsidR="00D45D8C" w:rsidRDefault="00D45D8C" w:rsidP="00D45D8C">
            <w:pPr>
              <w:pStyle w:val="TableTextBullet"/>
            </w:pPr>
            <w:r>
              <w:t>If Export is selected, exports the report to the designated file.</w:t>
            </w:r>
          </w:p>
          <w:p w14:paraId="611C8878" w14:textId="7F52181C" w:rsidR="002A21AE" w:rsidRDefault="00D45D8C" w:rsidP="00D45D8C">
            <w:pPr>
              <w:pStyle w:val="TableTextBullet"/>
            </w:pPr>
            <w:r>
              <w:t>If Close is selected, exits the report preview.</w:t>
            </w:r>
          </w:p>
        </w:tc>
      </w:tr>
    </w:tbl>
    <w:p w14:paraId="543E74A5" w14:textId="77777777" w:rsidR="00F55832" w:rsidRDefault="00F55832">
      <w:pPr>
        <w:pStyle w:val="Heading2"/>
      </w:pPr>
    </w:p>
    <w:p w14:paraId="7B0DC9E9" w14:textId="77777777" w:rsidR="002A21AE" w:rsidRDefault="00F55832">
      <w:pPr>
        <w:pStyle w:val="Heading2"/>
      </w:pPr>
      <w:r>
        <w:br w:type="page"/>
      </w:r>
      <w:bookmarkStart w:id="581" w:name="_Toc4588848"/>
      <w:r w:rsidR="002A21AE">
        <w:lastRenderedPageBreak/>
        <w:t>Prolonged Transfusion Time Report</w:t>
      </w:r>
      <w:bookmarkEnd w:id="581"/>
      <w:r w:rsidR="002A21AE">
        <w:fldChar w:fldCharType="begin"/>
      </w:r>
      <w:r w:rsidR="002A21AE">
        <w:instrText xml:space="preserve"> XE </w:instrText>
      </w:r>
      <w:r w:rsidR="00FA7E65">
        <w:instrText>“</w:instrText>
      </w:r>
      <w:r w:rsidR="002A21AE">
        <w:instrText>Prolonged Transfusion Time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UC_105</w:t>
      </w:r>
    </w:p>
    <w:p w14:paraId="5B07E608" w14:textId="77777777" w:rsidR="002A21AE" w:rsidRDefault="002A21AE" w:rsidP="00FA7E65">
      <w:pPr>
        <w:pStyle w:val="BodyText"/>
      </w:pPr>
      <w:r>
        <w:t>The user views and</w:t>
      </w:r>
      <w:r w:rsidR="00587744">
        <w:t>/or</w:t>
      </w:r>
      <w:r>
        <w:t xml:space="preserve"> prints the Prolonged Transfusion Time Report. </w:t>
      </w:r>
    </w:p>
    <w:p w14:paraId="59109A72" w14:textId="77777777" w:rsidR="002A21AE" w:rsidRDefault="002A21AE">
      <w:pPr>
        <w:pStyle w:val="Heading4"/>
      </w:pPr>
      <w:bookmarkStart w:id="582" w:name="_Toc94349365"/>
      <w:r>
        <w:t>Assumptions</w:t>
      </w:r>
      <w:bookmarkEnd w:id="582"/>
      <w:r>
        <w:rPr>
          <w:b w:val="0"/>
        </w:rPr>
        <w:t xml:space="preserve"> </w:t>
      </w:r>
    </w:p>
    <w:p w14:paraId="6D01E393" w14:textId="77777777" w:rsidR="002A21AE" w:rsidRDefault="002A21AE">
      <w:pPr>
        <w:pStyle w:val="ListBullet"/>
      </w:pPr>
      <w:r>
        <w:t>Data for the report were saved in VBECS.</w:t>
      </w:r>
    </w:p>
    <w:p w14:paraId="7C846846" w14:textId="77777777" w:rsidR="002A21AE" w:rsidRDefault="002A21AE">
      <w:pPr>
        <w:pStyle w:val="Heading4"/>
      </w:pPr>
      <w:bookmarkStart w:id="583" w:name="_Toc94349366"/>
      <w:r>
        <w:t>Outcome</w:t>
      </w:r>
      <w:bookmarkEnd w:id="583"/>
      <w:r>
        <w:t xml:space="preserve"> </w:t>
      </w:r>
    </w:p>
    <w:p w14:paraId="7EA13897" w14:textId="77777777" w:rsidR="002A21AE" w:rsidRDefault="002A21AE">
      <w:pPr>
        <w:pStyle w:val="ListBullet"/>
      </w:pPr>
      <w:r>
        <w:t>The user views and prints the report.</w:t>
      </w:r>
    </w:p>
    <w:p w14:paraId="0A05001B" w14:textId="77777777" w:rsidR="002A21AE" w:rsidRDefault="002A21AE">
      <w:pPr>
        <w:pStyle w:val="Heading4"/>
        <w:rPr>
          <w:b w:val="0"/>
        </w:rPr>
      </w:pPr>
      <w:bookmarkStart w:id="584" w:name="_Toc94349367"/>
      <w:r>
        <w:t>Limitations and Restrictions</w:t>
      </w:r>
      <w:bookmarkEnd w:id="584"/>
      <w:r>
        <w:rPr>
          <w:b w:val="0"/>
        </w:rPr>
        <w:t xml:space="preserve"> </w:t>
      </w:r>
    </w:p>
    <w:p w14:paraId="7CE1BA09" w14:textId="40B76FCC" w:rsidR="002A21AE" w:rsidRDefault="002A21AE">
      <w:pPr>
        <w:pStyle w:val="ListBullet"/>
      </w:pPr>
      <w:r>
        <w:t>This report does not include p</w:t>
      </w:r>
      <w:r>
        <w:rPr>
          <w:rStyle w:val="ListBulletChar"/>
        </w:rPr>
        <w:t>r</w:t>
      </w:r>
      <w:r>
        <w:t>esumed transfused units or units issued to a remote storage location.</w:t>
      </w:r>
    </w:p>
    <w:p w14:paraId="4D586BCC" w14:textId="42038415" w:rsidR="00244DDA" w:rsidRPr="00244DDA" w:rsidRDefault="00244DDA" w:rsidP="00244DDA">
      <w:pPr>
        <w:pStyle w:val="ListBullet"/>
        <w:rPr>
          <w:sz w:val="20"/>
          <w:szCs w:val="20"/>
        </w:rPr>
      </w:pPr>
      <w:r>
        <w:t xml:space="preserve">Units issued to a remote storage location will display on the report when the transfusion start time is greater than 30 minutes after issue time. </w:t>
      </w:r>
      <w:r w:rsidRPr="00244DDA">
        <w:rPr>
          <w:vanish/>
        </w:rPr>
        <w:t>Defect 209735</w:t>
      </w:r>
    </w:p>
    <w:p w14:paraId="539608D0" w14:textId="00836A00" w:rsidR="00244DDA" w:rsidRDefault="00244DDA" w:rsidP="00244DDA">
      <w:pPr>
        <w:pStyle w:val="ListBullet"/>
      </w:pPr>
      <w:r>
        <w:t xml:space="preserve">Units issued to a remote storage location should not display to have a prolonged issue time as this setting indicates that the unit is issued to a monitored location maintained at the proper temperature for the product type. </w:t>
      </w:r>
      <w:r w:rsidRPr="00244DDA">
        <w:rPr>
          <w:vanish/>
        </w:rPr>
        <w:t>Defect 209735</w:t>
      </w:r>
    </w:p>
    <w:p w14:paraId="4C863912" w14:textId="1411654D" w:rsidR="009530CA" w:rsidRDefault="009530CA" w:rsidP="00244DDA">
      <w:pPr>
        <w:pStyle w:val="ListBullet"/>
      </w:pPr>
      <w:r>
        <w:t xml:space="preserve">The Delayed (minutes) column on the report is not subtracting 30 minutes when the Transfusion Start time is greater  than 30 minutes from the time of issue. Handwrite the correct Delayed (minutes) on the printed report. </w:t>
      </w:r>
      <w:r w:rsidRPr="00917168">
        <w:rPr>
          <w:vanish/>
        </w:rPr>
        <w:t>Defect 209431</w:t>
      </w:r>
    </w:p>
    <w:p w14:paraId="7AAAEE3E" w14:textId="77777777" w:rsidR="002A21AE" w:rsidRDefault="002A21AE">
      <w:pPr>
        <w:pStyle w:val="Heading4"/>
      </w:pPr>
      <w:bookmarkStart w:id="585" w:name="_Toc94349368"/>
      <w:r>
        <w:t>Additional Information</w:t>
      </w:r>
      <w:bookmarkEnd w:id="585"/>
      <w:r>
        <w:t xml:space="preserve"> </w:t>
      </w:r>
    </w:p>
    <w:p w14:paraId="0A82ADD9" w14:textId="77777777" w:rsidR="002A21AE" w:rsidRPr="00AA647C" w:rsidRDefault="002A21AE" w:rsidP="00AA647C">
      <w:pPr>
        <w:pStyle w:val="Roles"/>
      </w:pPr>
      <w:r>
        <w:rPr>
          <w:vanish/>
        </w:rPr>
        <w:t xml:space="preserve">PT_105.01 </w:t>
      </w:r>
      <w:bookmarkStart w:id="586" w:name="_Toc94349369"/>
      <w:r w:rsidR="00AA647C">
        <w:t>None</w:t>
      </w:r>
    </w:p>
    <w:p w14:paraId="525411E8" w14:textId="77777777" w:rsidR="002A21AE" w:rsidRDefault="002A21AE">
      <w:pPr>
        <w:pStyle w:val="Heading4"/>
      </w:pPr>
      <w:r>
        <w:t>User Roles with Access to This Option</w:t>
      </w:r>
      <w:bookmarkEnd w:id="586"/>
      <w:r>
        <w:t xml:space="preserve"> </w:t>
      </w:r>
    </w:p>
    <w:p w14:paraId="7E3FD455" w14:textId="77777777" w:rsidR="002A21AE" w:rsidRDefault="00184EA4">
      <w:pPr>
        <w:pStyle w:val="Roles"/>
      </w:pPr>
      <w:r>
        <w:t>All users</w:t>
      </w:r>
    </w:p>
    <w:p w14:paraId="71C1C606" w14:textId="77777777" w:rsidR="002A21AE" w:rsidRDefault="002A21AE">
      <w:pPr>
        <w:pStyle w:val="Heading4"/>
      </w:pPr>
      <w:bookmarkStart w:id="587" w:name="_Toc94349370"/>
      <w:r>
        <w:t>Prolonged Transfusion Time Report</w:t>
      </w:r>
      <w:bookmarkEnd w:id="587"/>
    </w:p>
    <w:p w14:paraId="31D6CBD7" w14:textId="77777777" w:rsidR="002A21AE" w:rsidRDefault="002A21AE" w:rsidP="00FA7E65">
      <w:pPr>
        <w:pStyle w:val="BodyText"/>
      </w:pPr>
      <w:r>
        <w:t>The user views and/or prints the Prolonged Transfusion Time Report</w:t>
      </w:r>
      <w:r w:rsidR="003A39EF">
        <w:t>, which shows transfusions started more than 30 minutes after issue and units transfused for more than the maximum transfusion time set by each division</w:t>
      </w:r>
      <w: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405CA44A" w14:textId="77777777">
        <w:trPr>
          <w:cantSplit/>
          <w:tblHeader/>
        </w:trPr>
        <w:tc>
          <w:tcPr>
            <w:tcW w:w="3240" w:type="dxa"/>
            <w:shd w:val="pct30" w:color="auto" w:fill="FFFFFF"/>
            <w:vAlign w:val="bottom"/>
          </w:tcPr>
          <w:p w14:paraId="1856D418" w14:textId="77777777" w:rsidR="002A21AE" w:rsidRDefault="002A21AE">
            <w:pPr>
              <w:pStyle w:val="TableText"/>
              <w:rPr>
                <w:b/>
              </w:rPr>
            </w:pPr>
            <w:r>
              <w:rPr>
                <w:b/>
              </w:rPr>
              <w:t>User Action</w:t>
            </w:r>
          </w:p>
        </w:tc>
        <w:tc>
          <w:tcPr>
            <w:tcW w:w="6120" w:type="dxa"/>
            <w:shd w:val="pct30" w:color="auto" w:fill="FFFFFF"/>
            <w:vAlign w:val="bottom"/>
          </w:tcPr>
          <w:p w14:paraId="56136027" w14:textId="77777777" w:rsidR="002A21AE" w:rsidRDefault="002A21AE">
            <w:pPr>
              <w:pStyle w:val="TableText"/>
              <w:rPr>
                <w:b/>
              </w:rPr>
            </w:pPr>
            <w:r>
              <w:rPr>
                <w:b/>
              </w:rPr>
              <w:t>VBECS</w:t>
            </w:r>
          </w:p>
        </w:tc>
      </w:tr>
      <w:tr w:rsidR="002A21AE" w14:paraId="7ECE00B2" w14:textId="77777777">
        <w:tc>
          <w:tcPr>
            <w:tcW w:w="3240" w:type="dxa"/>
          </w:tcPr>
          <w:p w14:paraId="3D1788D8" w14:textId="77777777" w:rsidR="002A21AE" w:rsidRDefault="002A21AE">
            <w:pPr>
              <w:pStyle w:val="TableTextNumbers"/>
            </w:pPr>
            <w:r>
              <w:t xml:space="preserve">Select </w:t>
            </w:r>
            <w:r>
              <w:rPr>
                <w:b/>
              </w:rPr>
              <w:t>Reports</w:t>
            </w:r>
            <w:r>
              <w:t xml:space="preserve"> from the main menu.</w:t>
            </w:r>
          </w:p>
          <w:p w14:paraId="4AE997C4" w14:textId="77777777" w:rsidR="002A21AE" w:rsidRDefault="002A21AE">
            <w:pPr>
              <w:pStyle w:val="TableTextNumbersContinued"/>
            </w:pPr>
          </w:p>
          <w:p w14:paraId="7E70171C" w14:textId="77777777" w:rsidR="002A21AE" w:rsidRDefault="002A21AE">
            <w:pPr>
              <w:pStyle w:val="TableTextNumbersContinued"/>
            </w:pPr>
            <w:r>
              <w:t xml:space="preserve">Select </w:t>
            </w:r>
            <w:r>
              <w:rPr>
                <w:b/>
              </w:rPr>
              <w:t>Prolonged Transfusion Time Report</w:t>
            </w:r>
            <w:r>
              <w:t>.</w:t>
            </w:r>
          </w:p>
        </w:tc>
        <w:tc>
          <w:tcPr>
            <w:tcW w:w="6120" w:type="dxa"/>
          </w:tcPr>
          <w:p w14:paraId="2D33965E" w14:textId="77777777" w:rsidR="002A21AE" w:rsidRDefault="002A21AE">
            <w:pPr>
              <w:pStyle w:val="TableTextBullet"/>
            </w:pPr>
            <w:r>
              <w:t>Displays options for generating, viewing, and printing reports.</w:t>
            </w:r>
          </w:p>
          <w:p w14:paraId="2F1C5E1B" w14:textId="77777777" w:rsidR="002A21AE" w:rsidRDefault="002A21AE">
            <w:pPr>
              <w:pStyle w:val="TableTextBullet"/>
            </w:pPr>
            <w:r>
              <w:t>Displays a date range for selection.</w:t>
            </w:r>
          </w:p>
          <w:p w14:paraId="6E52EFFF" w14:textId="77777777" w:rsidR="002A21AE" w:rsidRDefault="002A21AE">
            <w:pPr>
              <w:pStyle w:val="TableTextBullet"/>
            </w:pPr>
            <w:r>
              <w:t>Displays report sort order and compilation criteria.</w:t>
            </w:r>
          </w:p>
        </w:tc>
      </w:tr>
      <w:tr w:rsidR="002A21AE" w14:paraId="61A83A08" w14:textId="77777777">
        <w:tc>
          <w:tcPr>
            <w:tcW w:w="3240" w:type="dxa"/>
          </w:tcPr>
          <w:p w14:paraId="3FFD9EA1" w14:textId="77777777" w:rsidR="002A21AE" w:rsidRDefault="002A21AE">
            <w:pPr>
              <w:pStyle w:val="TableTextNumbers"/>
            </w:pPr>
            <w:r>
              <w:t>Enter a date range.</w:t>
            </w:r>
          </w:p>
          <w:p w14:paraId="7FBB6AF7" w14:textId="77777777" w:rsidR="002A21AE" w:rsidRDefault="002A21AE">
            <w:pPr>
              <w:pStyle w:val="TableTextNumbersContinued"/>
            </w:pPr>
          </w:p>
          <w:p w14:paraId="540375D3" w14:textId="77777777" w:rsidR="002A21AE" w:rsidRDefault="002A21AE">
            <w:pPr>
              <w:pStyle w:val="TableTextNumbersContinued"/>
            </w:pPr>
            <w:r>
              <w:t xml:space="preserve">Click the </w:t>
            </w:r>
            <w:r>
              <w:rPr>
                <w:b/>
              </w:rPr>
              <w:t>Transfusion Date (Reverse Chronological)</w:t>
            </w:r>
            <w:r>
              <w:t xml:space="preserve"> or </w:t>
            </w:r>
            <w:r>
              <w:rPr>
                <w:b/>
              </w:rPr>
              <w:t xml:space="preserve">Issue-To Location </w:t>
            </w:r>
            <w:r w:rsidRPr="00BF2E41">
              <w:t>radio button</w:t>
            </w:r>
            <w:r>
              <w:t xml:space="preserve"> to select a sort order.</w:t>
            </w:r>
          </w:p>
        </w:tc>
        <w:tc>
          <w:tcPr>
            <w:tcW w:w="6120" w:type="dxa"/>
          </w:tcPr>
          <w:p w14:paraId="23CBEF4E" w14:textId="77777777" w:rsidR="002A21AE" w:rsidRDefault="002A21AE">
            <w:pPr>
              <w:pStyle w:val="TableText"/>
            </w:pPr>
            <w:r>
              <w:t xml:space="preserve"> </w:t>
            </w:r>
          </w:p>
        </w:tc>
      </w:tr>
      <w:tr w:rsidR="002A21AE" w14:paraId="44BC0BAE" w14:textId="77777777">
        <w:tc>
          <w:tcPr>
            <w:tcW w:w="3240" w:type="dxa"/>
          </w:tcPr>
          <w:p w14:paraId="0DC735AD" w14:textId="77777777" w:rsidR="002A21AE" w:rsidRDefault="002A21AE">
            <w:pPr>
              <w:pStyle w:val="TableTextNumbers"/>
            </w:pPr>
            <w:r>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2E62EF7C" w14:textId="77777777" w:rsidR="002A21AE" w:rsidRDefault="002A21AE">
            <w:pPr>
              <w:pStyle w:val="TableTextNumbersContinued"/>
            </w:pPr>
          </w:p>
          <w:p w14:paraId="248A4662" w14:textId="77777777" w:rsidR="002A21AE" w:rsidRDefault="002A21AE">
            <w:pPr>
              <w:pStyle w:val="TableTextNumbersContinued"/>
            </w:pPr>
            <w:r>
              <w:lastRenderedPageBreak/>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67BAEB60" w14:textId="77777777" w:rsidR="002A21AE" w:rsidRDefault="002A21AE">
            <w:pPr>
              <w:pStyle w:val="TableTextBullet"/>
              <w:rPr>
                <w:b/>
                <w:bCs/>
                <w:szCs w:val="18"/>
              </w:rPr>
            </w:pPr>
            <w:r>
              <w:lastRenderedPageBreak/>
              <w:t>Compiles and displays the report.</w:t>
            </w:r>
            <w:r>
              <w:rPr>
                <w:b/>
                <w:bCs/>
              </w:rPr>
              <w:t xml:space="preserve"> </w:t>
            </w:r>
          </w:p>
          <w:p w14:paraId="08E4B08C" w14:textId="77777777" w:rsidR="002A21AE" w:rsidRDefault="002A21AE">
            <w:pPr>
              <w:pStyle w:val="TableText"/>
            </w:pPr>
          </w:p>
          <w:p w14:paraId="4855A933" w14:textId="77777777" w:rsidR="002A21AE" w:rsidRDefault="00057948">
            <w:pPr>
              <w:pStyle w:val="TableText"/>
              <w:rPr>
                <w:b/>
                <w:bCs/>
              </w:rPr>
            </w:pPr>
            <w:r>
              <w:rPr>
                <w:b/>
                <w:bCs/>
                <w:noProof/>
              </w:rPr>
              <mc:AlternateContent>
                <mc:Choice Requires="wps">
                  <w:drawing>
                    <wp:anchor distT="0" distB="0" distL="114300" distR="114300" simplePos="0" relativeHeight="251717120" behindDoc="0" locked="0" layoutInCell="1" allowOverlap="1" wp14:anchorId="183BDB72" wp14:editId="1F2E5790">
                      <wp:simplePos x="0" y="0"/>
                      <wp:positionH relativeFrom="column">
                        <wp:posOffset>457200</wp:posOffset>
                      </wp:positionH>
                      <wp:positionV relativeFrom="paragraph">
                        <wp:posOffset>65405</wp:posOffset>
                      </wp:positionV>
                      <wp:extent cx="3200400" cy="0"/>
                      <wp:effectExtent l="9525" t="17780" r="9525" b="10795"/>
                      <wp:wrapNone/>
                      <wp:docPr id="280" name="Line 925" descr="P10615C8T12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AEC986" id="Line 925" o:spid="_x0000_s1026" alt="&quot;&quot;"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CwrVSlwgEAAG4DAAAOAAAAAAAAAAAAAAAAAC4C&#10;AABkcnMvZTJvRG9jLnhtbFBLAQItABQABgAIAAAAIQAXTzAS2wAAAAgBAAAPAAAAAAAAAAAAAAAA&#10;ABwEAABkcnMvZG93bnJldi54bWxQSwUGAAAAAAQABADzAAAAJAUAAAAA&#10;" strokeweight="1.5pt"/>
                  </w:pict>
                </mc:Fallback>
              </mc:AlternateContent>
            </w:r>
            <w:r w:rsidR="002A21AE">
              <w:rPr>
                <w:b/>
                <w:bCs/>
              </w:rPr>
              <w:t>NOTES</w:t>
            </w:r>
          </w:p>
          <w:p w14:paraId="1948E82A" w14:textId="77777777" w:rsidR="002A21AE" w:rsidRDefault="002A21AE">
            <w:pPr>
              <w:pStyle w:val="NotesText"/>
            </w:pPr>
          </w:p>
          <w:p w14:paraId="1CFF568C" w14:textId="77777777" w:rsidR="002A21AE" w:rsidRDefault="002A21AE">
            <w:pPr>
              <w:pStyle w:val="NotesText"/>
              <w:rPr>
                <w:rFonts w:cs="Arial"/>
              </w:rPr>
            </w:pPr>
            <w:r>
              <w:t>The report includes:</w:t>
            </w:r>
            <w:r>
              <w:rPr>
                <w:rFonts w:cs="Arial"/>
              </w:rPr>
              <w:t xml:space="preserve"> </w:t>
            </w:r>
          </w:p>
          <w:p w14:paraId="0AA7F0AF" w14:textId="77777777" w:rsidR="002A21AE" w:rsidRDefault="002A21AE">
            <w:pPr>
              <w:pStyle w:val="NotesTextBullet"/>
            </w:pPr>
            <w:r>
              <w:lastRenderedPageBreak/>
              <w:t>Issue-to location</w:t>
            </w:r>
          </w:p>
          <w:p w14:paraId="67C92969" w14:textId="77777777" w:rsidR="002A21AE" w:rsidRDefault="002A21AE">
            <w:pPr>
              <w:pStyle w:val="NotesTextBullet"/>
            </w:pPr>
            <w:r>
              <w:t>Unit ID</w:t>
            </w:r>
          </w:p>
          <w:p w14:paraId="2B46980F" w14:textId="77777777" w:rsidR="002A21AE" w:rsidRDefault="002A21AE">
            <w:pPr>
              <w:pStyle w:val="NotesTextBullet"/>
            </w:pPr>
            <w:r>
              <w:t>Product short name</w:t>
            </w:r>
          </w:p>
          <w:p w14:paraId="4E44350A" w14:textId="77777777" w:rsidR="002A21AE" w:rsidRDefault="002A21AE">
            <w:pPr>
              <w:pStyle w:val="NotesTextBullet"/>
            </w:pPr>
            <w:r>
              <w:t>Issue Date/time</w:t>
            </w:r>
          </w:p>
          <w:p w14:paraId="29B3A650" w14:textId="77777777" w:rsidR="002A21AE" w:rsidRDefault="002A21AE">
            <w:pPr>
              <w:pStyle w:val="NotesTextBullet"/>
            </w:pPr>
            <w:r>
              <w:t xml:space="preserve">Start Date/time </w:t>
            </w:r>
          </w:p>
          <w:p w14:paraId="6C001131" w14:textId="77777777" w:rsidR="002A21AE" w:rsidRDefault="002A21AE">
            <w:pPr>
              <w:pStyle w:val="NotesTextBullet"/>
            </w:pPr>
            <w:r>
              <w:t>End Date/time</w:t>
            </w:r>
          </w:p>
          <w:p w14:paraId="59A0859A" w14:textId="77777777" w:rsidR="002A21AE" w:rsidRDefault="002A21AE">
            <w:pPr>
              <w:pStyle w:val="NotesTextBullet"/>
            </w:pPr>
            <w:r>
              <w:t>Number of minutes elapsed between unit issue and start time, when exceeds 30 minutes</w:t>
            </w:r>
          </w:p>
          <w:p w14:paraId="7E324812" w14:textId="77777777" w:rsidR="002A21AE" w:rsidRDefault="002A21AE">
            <w:pPr>
              <w:pStyle w:val="NotesTextBullet"/>
            </w:pPr>
            <w:r>
              <w:t xml:space="preserve">Number of minutes elapsed between the unit start and end dates and times, when they exceed the maximum transfusion setting for the component class. </w:t>
            </w:r>
          </w:p>
          <w:p w14:paraId="6A03E6A7" w14:textId="77777777" w:rsidR="002A21AE" w:rsidRDefault="002A21AE">
            <w:pPr>
              <w:pStyle w:val="NotesTextBullet"/>
            </w:pPr>
            <w:r>
              <w:t>Patient Name</w:t>
            </w:r>
          </w:p>
          <w:p w14:paraId="32B48849" w14:textId="77777777" w:rsidR="002A21AE" w:rsidRDefault="002A21AE">
            <w:pPr>
              <w:pStyle w:val="NotesTextBullet"/>
            </w:pPr>
            <w:r>
              <w:t>Patient ID</w:t>
            </w:r>
          </w:p>
          <w:p w14:paraId="52DD1669" w14:textId="77777777" w:rsidR="002A21AE" w:rsidRDefault="002A21AE">
            <w:pPr>
              <w:pStyle w:val="NotesTextBullet"/>
            </w:pPr>
            <w:r>
              <w:t>Treating Specialty</w:t>
            </w:r>
          </w:p>
          <w:p w14:paraId="06B19556" w14:textId="77777777" w:rsidR="002A21AE" w:rsidRDefault="002A21AE">
            <w:pPr>
              <w:pStyle w:val="NotesText"/>
            </w:pPr>
          </w:p>
          <w:p w14:paraId="65BAB9E4" w14:textId="77777777" w:rsidR="002A21AE" w:rsidRDefault="002A21AE">
            <w:pPr>
              <w:pStyle w:val="NotesText"/>
            </w:pPr>
            <w:r>
              <w:rPr>
                <w:rFonts w:cs="Arial"/>
                <w:vanish/>
              </w:rPr>
              <w:t xml:space="preserve">BR_105.02 </w:t>
            </w:r>
            <w:r>
              <w:t>The report includes instances of a prolonged start time and/or the prolonged transfusion time.</w:t>
            </w:r>
          </w:p>
          <w:p w14:paraId="477A3BC4" w14:textId="77777777" w:rsidR="002A21AE" w:rsidRDefault="002A21AE">
            <w:pPr>
              <w:pStyle w:val="NotesText"/>
            </w:pPr>
          </w:p>
          <w:p w14:paraId="3753A32C" w14:textId="77777777" w:rsidR="002A21AE" w:rsidRDefault="002A21AE">
            <w:pPr>
              <w:pStyle w:val="NotesText"/>
            </w:pPr>
            <w:r>
              <w:rPr>
                <w:rFonts w:cs="Arial"/>
                <w:vanish/>
              </w:rPr>
              <w:t xml:space="preserve">BR_105.03 </w:t>
            </w:r>
            <w:r>
              <w:t>A prolonged transfusion time is the number of minutes elapsed between the transfusion start and end times and the maximum transfusion time setting for the component class. When the number of minutes exceeds the maximum transfusion time setting for the component class, the unit and its transfusion data are included in the report.</w:t>
            </w:r>
          </w:p>
          <w:p w14:paraId="1EA7A814" w14:textId="77777777" w:rsidR="002A21AE" w:rsidRDefault="002A21AE">
            <w:pPr>
              <w:pStyle w:val="NotesText"/>
            </w:pPr>
          </w:p>
          <w:p w14:paraId="20E7B99F" w14:textId="77777777" w:rsidR="002A21AE" w:rsidRDefault="002A21AE">
            <w:pPr>
              <w:pStyle w:val="NotesText"/>
            </w:pPr>
            <w:r>
              <w:rPr>
                <w:rFonts w:cs="Arial"/>
                <w:vanish/>
              </w:rPr>
              <w:t xml:space="preserve">BR_105.04 </w:t>
            </w:r>
            <w:r>
              <w:t>A delayed start of transfusion is the number of minutes elapsed between the issue time and the transfusion start time. When the start time of the unit</w:t>
            </w:r>
            <w:r w:rsidR="00FA7E65">
              <w:t>’</w:t>
            </w:r>
            <w:r>
              <w:t>s transfusion is greater than 30 minutes from the unit</w:t>
            </w:r>
            <w:r w:rsidR="00FA7E65">
              <w:t>’</w:t>
            </w:r>
            <w:r>
              <w:t xml:space="preserve">s issue time, the unit and its transfusion data are included in the report. When no start time is entered, </w:t>
            </w:r>
            <w:r w:rsidR="0060282D">
              <w:t xml:space="preserve">VBECS records the issue time as the start time; it does not calculate </w:t>
            </w:r>
            <w:r>
              <w:t>a delayed start time.</w:t>
            </w:r>
          </w:p>
          <w:p w14:paraId="74C8BEA2" w14:textId="77777777" w:rsidR="002A21AE" w:rsidRDefault="002A21AE">
            <w:pPr>
              <w:pStyle w:val="NotesText"/>
            </w:pPr>
          </w:p>
          <w:p w14:paraId="54463DB1" w14:textId="77777777" w:rsidR="002A21AE" w:rsidRDefault="002A21AE">
            <w:pPr>
              <w:pStyle w:val="NotesText"/>
            </w:pPr>
            <w:r>
              <w:rPr>
                <w:rFonts w:cs="Arial"/>
                <w:vanish/>
              </w:rPr>
              <w:t xml:space="preserve">BR_105.06 </w:t>
            </w:r>
            <w:r>
              <w:t>The total transfusion time is the number of minutes elapsed between the issue and end times.</w:t>
            </w:r>
          </w:p>
          <w:p w14:paraId="25B99E6C" w14:textId="77777777" w:rsidR="002A21AE" w:rsidRDefault="002A21AE">
            <w:pPr>
              <w:pStyle w:val="NotesText"/>
            </w:pPr>
          </w:p>
          <w:p w14:paraId="5CFF5705" w14:textId="77777777" w:rsidR="002A21AE" w:rsidRDefault="002A21AE">
            <w:pPr>
              <w:pStyle w:val="NotesText"/>
            </w:pPr>
            <w:r>
              <w:rPr>
                <w:rFonts w:cs="Arial"/>
                <w:vanish/>
              </w:rPr>
              <w:t xml:space="preserve">BR_105.05 </w:t>
            </w:r>
            <w:r>
              <w:t>The report includes:</w:t>
            </w:r>
          </w:p>
          <w:p w14:paraId="4ABA4716" w14:textId="77777777" w:rsidR="002A21AE" w:rsidRDefault="002A21AE">
            <w:pPr>
              <w:pStyle w:val="NotesTextBullet"/>
            </w:pPr>
            <w:r>
              <w:t>Issue-To Location</w:t>
            </w:r>
          </w:p>
          <w:p w14:paraId="674602E3" w14:textId="77777777" w:rsidR="002A21AE" w:rsidRDefault="002A21AE">
            <w:pPr>
              <w:pStyle w:val="NotesTextBullet"/>
            </w:pPr>
            <w:r>
              <w:t>Unit ID</w:t>
            </w:r>
          </w:p>
          <w:p w14:paraId="03E9ADE3" w14:textId="77777777" w:rsidR="002A21AE" w:rsidRDefault="002A21AE">
            <w:pPr>
              <w:pStyle w:val="NotesTextBullet"/>
            </w:pPr>
            <w:r>
              <w:t>Product Short Name</w:t>
            </w:r>
          </w:p>
          <w:p w14:paraId="36C094C3" w14:textId="77777777" w:rsidR="002A21AE" w:rsidRDefault="002A21AE">
            <w:pPr>
              <w:pStyle w:val="NotesTextBullet"/>
            </w:pPr>
            <w:r>
              <w:t>Issue Date/Time</w:t>
            </w:r>
          </w:p>
          <w:p w14:paraId="1517D8A1" w14:textId="77777777" w:rsidR="002A21AE" w:rsidRDefault="002A21AE">
            <w:pPr>
              <w:pStyle w:val="NotesTextBullet"/>
            </w:pPr>
            <w:r>
              <w:t xml:space="preserve">Start Date/Time </w:t>
            </w:r>
          </w:p>
          <w:p w14:paraId="4EDE5F85" w14:textId="77777777" w:rsidR="002A21AE" w:rsidRDefault="002A21AE">
            <w:pPr>
              <w:pStyle w:val="NotesTextBullet"/>
            </w:pPr>
            <w:r>
              <w:t>End Date/Time</w:t>
            </w:r>
          </w:p>
          <w:p w14:paraId="440352A6" w14:textId="77777777" w:rsidR="002A21AE" w:rsidRDefault="002A21AE">
            <w:pPr>
              <w:pStyle w:val="NotesTextBullet"/>
            </w:pPr>
            <w:r>
              <w:t>Delayed start interval (the number of minutes elapsed between unit issue and start times, when it exceeds 30 minutes)</w:t>
            </w:r>
          </w:p>
          <w:p w14:paraId="4E868245" w14:textId="77777777" w:rsidR="002A21AE" w:rsidRDefault="002A21AE">
            <w:pPr>
              <w:pStyle w:val="NotesTextBullet"/>
            </w:pPr>
            <w:r>
              <w:t xml:space="preserve">Prolonged </w:t>
            </w:r>
            <w:r w:rsidR="00191CFE">
              <w:t>transfusion</w:t>
            </w:r>
            <w:r>
              <w:t xml:space="preserve"> interval (the number of minutes elapsed between unit start and end dates and times, when they exceed the maximum transfusion setting for the component class)</w:t>
            </w:r>
          </w:p>
          <w:p w14:paraId="19407459" w14:textId="77777777" w:rsidR="002A21AE" w:rsidRDefault="002A21AE">
            <w:pPr>
              <w:pStyle w:val="NotesTextBullet"/>
            </w:pPr>
            <w:r>
              <w:t>Patient Name</w:t>
            </w:r>
          </w:p>
          <w:p w14:paraId="58BC47A8" w14:textId="77777777" w:rsidR="002A21AE" w:rsidRDefault="002A21AE">
            <w:pPr>
              <w:pStyle w:val="NotesTextBullet"/>
            </w:pPr>
            <w:r>
              <w:t xml:space="preserve">Patient ID </w:t>
            </w:r>
          </w:p>
          <w:p w14:paraId="4A15E341" w14:textId="77777777" w:rsidR="000566D6" w:rsidRDefault="002A21AE" w:rsidP="00AA2B2E">
            <w:pPr>
              <w:pStyle w:val="NotesTextBullet"/>
            </w:pPr>
            <w:r>
              <w:t>Treating Specialty</w:t>
            </w:r>
          </w:p>
        </w:tc>
      </w:tr>
      <w:tr w:rsidR="002A21AE" w14:paraId="78B88C5C" w14:textId="77777777" w:rsidTr="00305B16">
        <w:trPr>
          <w:cantSplit/>
        </w:trPr>
        <w:tc>
          <w:tcPr>
            <w:tcW w:w="3240" w:type="dxa"/>
          </w:tcPr>
          <w:p w14:paraId="7D18EE98" w14:textId="634BED38" w:rsidR="002A21AE" w:rsidRDefault="00D45D8C">
            <w:pPr>
              <w:pStyle w:val="TableTextNumbers"/>
            </w:pPr>
            <w:r w:rsidRPr="0076371D">
              <w:lastRenderedPageBreak/>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fldLock="1"/>
            </w:r>
            <w:r w:rsidRPr="0076371D">
              <w:rPr>
                <w:szCs w:val="18"/>
              </w:rPr>
              <w:instrText xml:space="preserve"> REF _Ref2774509 \h  \* MERGEFORMAT </w:instrText>
            </w:r>
            <w:r w:rsidRPr="0076371D">
              <w:rPr>
                <w:szCs w:val="18"/>
              </w:rPr>
            </w:r>
            <w:r w:rsidRPr="0076371D">
              <w:rPr>
                <w:szCs w:val="18"/>
              </w:rPr>
              <w:fldChar w:fldCharType="separate"/>
            </w:r>
            <w:r w:rsidR="00AB304C" w:rsidRPr="00AB304C">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t xml:space="preserve"> </w:t>
            </w:r>
            <w:r w:rsidR="002A21AE" w:rsidRPr="009660C3">
              <w:rPr>
                <w:vanish/>
                <w:szCs w:val="18"/>
              </w:rPr>
              <w:fldChar w:fldCharType="begin"/>
            </w:r>
            <w:r w:rsidR="002A21AE" w:rsidRPr="009660C3">
              <w:rPr>
                <w:vanish/>
                <w:szCs w:val="18"/>
              </w:rPr>
              <w:instrText xml:space="preserve"> LISTNUM \l 1 \s 0 </w:instrText>
            </w:r>
            <w:r w:rsidR="002A21AE" w:rsidRPr="009660C3">
              <w:rPr>
                <w:vanish/>
                <w:szCs w:val="18"/>
              </w:rPr>
              <w:fldChar w:fldCharType="end"/>
            </w:r>
          </w:p>
        </w:tc>
        <w:tc>
          <w:tcPr>
            <w:tcW w:w="6120" w:type="dxa"/>
          </w:tcPr>
          <w:p w14:paraId="0671B2CE" w14:textId="77777777" w:rsidR="00D45D8C" w:rsidRDefault="00D45D8C" w:rsidP="00D45D8C">
            <w:pPr>
              <w:pStyle w:val="TableTextBullet"/>
            </w:pPr>
            <w:r>
              <w:t>If Print is selected, prints the report on the designated printer.</w:t>
            </w:r>
          </w:p>
          <w:p w14:paraId="52E54022" w14:textId="77777777" w:rsidR="00D45D8C" w:rsidRDefault="00D45D8C" w:rsidP="00D45D8C">
            <w:pPr>
              <w:pStyle w:val="TableTextBullet"/>
            </w:pPr>
            <w:r>
              <w:t>If Export is selected, exports the report to the designated file.</w:t>
            </w:r>
          </w:p>
          <w:p w14:paraId="40863BFF" w14:textId="3FDA3424" w:rsidR="002A21AE" w:rsidRDefault="00D45D8C" w:rsidP="00D45D8C">
            <w:pPr>
              <w:pStyle w:val="TableTextBullet"/>
            </w:pPr>
            <w:r>
              <w:t>If Close is selected, exits the report preview.</w:t>
            </w:r>
          </w:p>
        </w:tc>
      </w:tr>
    </w:tbl>
    <w:p w14:paraId="6A22DB01" w14:textId="77777777" w:rsidR="002A21AE" w:rsidRDefault="00F55832">
      <w:pPr>
        <w:pStyle w:val="Heading2"/>
      </w:pPr>
      <w:r>
        <w:br w:type="page"/>
      </w:r>
      <w:bookmarkStart w:id="588" w:name="_Toc4588849"/>
      <w:r w:rsidR="000E7760">
        <w:lastRenderedPageBreak/>
        <w:t>Patient Testing Worklist and Testing Worklist Reports</w:t>
      </w:r>
      <w:bookmarkEnd w:id="588"/>
      <w:r w:rsidR="002A21AE">
        <w:fldChar w:fldCharType="begin"/>
      </w:r>
      <w:r w:rsidR="002A21AE">
        <w:instrText xml:space="preserve"> XE </w:instrText>
      </w:r>
      <w:r w:rsidR="00FA7E65">
        <w:instrText>“</w:instrText>
      </w:r>
      <w:r w:rsidR="000E7760">
        <w:instrText>Patient Testing Worklist and Testing Worklist Reports</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UC_48</w:t>
      </w:r>
    </w:p>
    <w:p w14:paraId="5638AB99" w14:textId="77777777" w:rsidR="002A21AE" w:rsidRDefault="002A21AE" w:rsidP="00FA7E65">
      <w:pPr>
        <w:pStyle w:val="BodyText"/>
      </w:pPr>
      <w:r>
        <w:t>The user views and</w:t>
      </w:r>
      <w:r w:rsidR="003A39EF">
        <w:t>/or</w:t>
      </w:r>
      <w:r>
        <w:t xml:space="preserve"> prints the</w:t>
      </w:r>
      <w:r w:rsidR="003D604B">
        <w:t xml:space="preserve"> Patient Testing Worklist and Testing Worklist Reports.</w:t>
      </w:r>
    </w:p>
    <w:p w14:paraId="571BFE8C" w14:textId="77777777" w:rsidR="002A21AE" w:rsidRDefault="002A21AE">
      <w:pPr>
        <w:pStyle w:val="Heading4"/>
      </w:pPr>
      <w:r>
        <w:t>Assumptions</w:t>
      </w:r>
      <w:r>
        <w:rPr>
          <w:b w:val="0"/>
        </w:rPr>
        <w:t xml:space="preserve"> </w:t>
      </w:r>
    </w:p>
    <w:p w14:paraId="68012543" w14:textId="77777777" w:rsidR="002A21AE" w:rsidRDefault="002A21AE">
      <w:pPr>
        <w:pStyle w:val="ListBullet"/>
      </w:pPr>
      <w:r>
        <w:t>The user must be logged into the division in which the report is to be generated.</w:t>
      </w:r>
    </w:p>
    <w:p w14:paraId="0EFF6478" w14:textId="77777777" w:rsidR="002A21AE" w:rsidRDefault="002A21AE">
      <w:pPr>
        <w:pStyle w:val="Heading4"/>
      </w:pPr>
      <w:r>
        <w:t xml:space="preserve">Outcome </w:t>
      </w:r>
    </w:p>
    <w:p w14:paraId="76BDFCFF" w14:textId="77777777" w:rsidR="002A21AE" w:rsidRDefault="002728D7">
      <w:pPr>
        <w:pStyle w:val="ListBullet"/>
      </w:pPr>
      <w:r>
        <w:t>The user views and/or prints</w:t>
      </w:r>
      <w:r w:rsidR="002A21AE">
        <w:t xml:space="preserve"> a report, or schedules a report for future compilation and printing.</w:t>
      </w:r>
    </w:p>
    <w:p w14:paraId="719FC5AF" w14:textId="77777777" w:rsidR="002A21AE" w:rsidRDefault="002A21AE">
      <w:pPr>
        <w:pStyle w:val="Heading4"/>
      </w:pPr>
      <w:r>
        <w:t>Limitations and Restrictions</w:t>
      </w:r>
      <w:r>
        <w:rPr>
          <w:b w:val="0"/>
        </w:rPr>
        <w:t xml:space="preserve"> </w:t>
      </w:r>
    </w:p>
    <w:p w14:paraId="196FBEF1" w14:textId="77777777" w:rsidR="002A21AE" w:rsidRDefault="000A5167">
      <w:pPr>
        <w:pStyle w:val="ListBullet"/>
      </w:pPr>
      <w:r>
        <w:t>Reports do</w:t>
      </w:r>
      <w:r w:rsidR="002A21AE">
        <w:t xml:space="preserve"> not include Transfusion Reaction Workup (TRW) test results.</w:t>
      </w:r>
    </w:p>
    <w:p w14:paraId="6EFCDA78" w14:textId="739386E6" w:rsidR="002A21AE" w:rsidRDefault="00170EEF">
      <w:pPr>
        <w:pStyle w:val="ListBullet"/>
      </w:pPr>
      <w:r>
        <w:t>VBECS does not accommodate online review (verification, signature) of reports.</w:t>
      </w:r>
    </w:p>
    <w:p w14:paraId="7DAB1DE3" w14:textId="351AF668" w:rsidR="00E47EDD" w:rsidRDefault="00E47EDD">
      <w:pPr>
        <w:pStyle w:val="ListBullet"/>
      </w:pPr>
      <w:r>
        <w:t xml:space="preserve">The Rack QC Testing Worklist Report section of the Testing Worklist Report does not contain a Processed By column. Maintain the original testing records for the QC that was performed offline with the testing tech information.  Do not change the testing tech name when entering results in VBECS so that the logged in tech that enters the results is included on the Testing Worklist report. </w:t>
      </w:r>
      <w:r w:rsidRPr="00E47EDD">
        <w:rPr>
          <w:vanish/>
        </w:rPr>
        <w:t>Defect 214073</w:t>
      </w:r>
    </w:p>
    <w:p w14:paraId="75563343" w14:textId="77777777" w:rsidR="002A21AE" w:rsidRDefault="002A21AE">
      <w:pPr>
        <w:pStyle w:val="Heading4"/>
      </w:pPr>
      <w:r>
        <w:t xml:space="preserve">Additional Information </w:t>
      </w:r>
    </w:p>
    <w:p w14:paraId="06F99358" w14:textId="77777777" w:rsidR="002A21AE" w:rsidRDefault="002A21AE">
      <w:pPr>
        <w:pStyle w:val="ListBullet"/>
      </w:pPr>
      <w:r w:rsidRPr="00D231F7">
        <w:rPr>
          <w:vanish/>
        </w:rPr>
        <w:t xml:space="preserve">BR_48.03 </w:t>
      </w:r>
      <w:r w:rsidR="00D231F7" w:rsidRPr="00D231F7">
        <w:t xml:space="preserve">In a </w:t>
      </w:r>
      <w:r w:rsidRPr="00D231F7">
        <w:t>t</w:t>
      </w:r>
      <w:r w:rsidR="00D231F7" w:rsidRPr="00D231F7">
        <w:t>ransfusi</w:t>
      </w:r>
      <w:r w:rsidR="00D231F7">
        <w:t xml:space="preserve">on-only facility, </w:t>
      </w:r>
      <w:r>
        <w:t>VBECS does not populate the test cell or phase results sections.</w:t>
      </w:r>
    </w:p>
    <w:p w14:paraId="2F965024" w14:textId="77777777" w:rsidR="002A21AE" w:rsidRDefault="002A21AE">
      <w:pPr>
        <w:pStyle w:val="ListBullet"/>
      </w:pPr>
      <w:r>
        <w:t>VBECS collates complete, incomplete, and invalidated unit test results entered in the user’s division when the date tested falls within the supplied date range for the unit testing, reagent QC, and patient testing sections of the report.</w:t>
      </w:r>
    </w:p>
    <w:p w14:paraId="348D3F42" w14:textId="77777777" w:rsidR="002A21AE" w:rsidRDefault="002A21AE">
      <w:pPr>
        <w:pStyle w:val="ListBullet"/>
      </w:pPr>
      <w:r w:rsidRPr="007D540F">
        <w:rPr>
          <w:vanish/>
        </w:rPr>
        <w:t xml:space="preserve">BR_48.10 </w:t>
      </w:r>
      <w:r>
        <w:t xml:space="preserve">VBECS includes test results on all units, regardless of status, for the unit testing section. CMV and Sickle Cell test results are not included in the report. </w:t>
      </w:r>
    </w:p>
    <w:p w14:paraId="29C09A13" w14:textId="77777777" w:rsidR="002A21AE" w:rsidRDefault="002A21AE">
      <w:pPr>
        <w:pStyle w:val="ListBullet"/>
      </w:pPr>
      <w:r w:rsidRPr="007D540F">
        <w:rPr>
          <w:vanish/>
        </w:rPr>
        <w:t xml:space="preserve">BR_48.11 </w:t>
      </w:r>
      <w:r>
        <w:t>VBECS includes the results of the daily rack QC and patient and unit control testing for the reagent QC section.</w:t>
      </w:r>
    </w:p>
    <w:p w14:paraId="5CE38F3C" w14:textId="77777777" w:rsidR="002A21AE" w:rsidRDefault="002A21AE">
      <w:pPr>
        <w:pStyle w:val="ListBullet"/>
      </w:pPr>
      <w:r w:rsidRPr="007D540F">
        <w:rPr>
          <w:vanish/>
        </w:rPr>
        <w:t xml:space="preserve">BR_48.06 </w:t>
      </w:r>
      <w:r>
        <w:t xml:space="preserve">For the patient testing section: </w:t>
      </w:r>
    </w:p>
    <w:p w14:paraId="20FAE3D0" w14:textId="77777777" w:rsidR="002A21AE" w:rsidRDefault="002A21AE" w:rsidP="00927C99">
      <w:pPr>
        <w:pStyle w:val="ListBullet2"/>
        <w:ind w:left="900" w:hanging="252"/>
      </w:pPr>
      <w:r>
        <w:t xml:space="preserve">VBECS collates as above for the selected patient specimens </w:t>
      </w:r>
      <w:r w:rsidR="00665443">
        <w:t>within a</w:t>
      </w:r>
      <w:r w:rsidR="00CC0418">
        <w:t xml:space="preserve"> specified </w:t>
      </w:r>
      <w:r w:rsidR="00665443">
        <w:t>date range</w:t>
      </w:r>
      <w:r>
        <w:t>.</w:t>
      </w:r>
    </w:p>
    <w:p w14:paraId="5402756F" w14:textId="77777777" w:rsidR="002A21AE" w:rsidRDefault="002A21AE" w:rsidP="00927C99">
      <w:pPr>
        <w:pStyle w:val="ListBullet2"/>
        <w:ind w:left="900" w:hanging="252"/>
      </w:pPr>
      <w:r>
        <w:t xml:space="preserve">The report does not include TRW test results. </w:t>
      </w:r>
    </w:p>
    <w:p w14:paraId="7D5FF91D" w14:textId="77777777" w:rsidR="004C1952" w:rsidRDefault="002A21AE" w:rsidP="00927C99">
      <w:pPr>
        <w:pStyle w:val="ListBullet2"/>
        <w:ind w:left="900" w:hanging="252"/>
      </w:pPr>
      <w:r w:rsidRPr="0045199E">
        <w:rPr>
          <w:vanish/>
        </w:rPr>
        <w:t xml:space="preserve">BR_48.08 </w:t>
      </w:r>
      <w:r>
        <w:t>VBECS includes XMs only in the patient testing section.</w:t>
      </w:r>
    </w:p>
    <w:p w14:paraId="65E4CCE9" w14:textId="77777777" w:rsidR="002A21AE" w:rsidRDefault="002A21AE" w:rsidP="004C1952">
      <w:pPr>
        <w:pStyle w:val="ListBullet2"/>
        <w:ind w:left="900" w:hanging="252"/>
      </w:pPr>
      <w:r w:rsidRPr="007D540F">
        <w:rPr>
          <w:vanish/>
          <w:spacing w:val="-5"/>
        </w:rPr>
        <w:t xml:space="preserve">BR_48.12 </w:t>
      </w:r>
      <w:r>
        <w:t>VBECS displays individual tests within the TAS and a statement in the Additional Information Column to this effect.</w:t>
      </w:r>
    </w:p>
    <w:p w14:paraId="1595FEC2" w14:textId="77777777" w:rsidR="002A21AE" w:rsidRDefault="002A21AE" w:rsidP="004C1952">
      <w:pPr>
        <w:pStyle w:val="ListBullet2"/>
        <w:ind w:left="900" w:hanging="252"/>
      </w:pPr>
      <w:r w:rsidRPr="007D540F">
        <w:rPr>
          <w:vanish/>
          <w:spacing w:val="-5"/>
        </w:rPr>
        <w:t xml:space="preserve">BR_48.05 </w:t>
      </w:r>
      <w:r>
        <w:t>When</w:t>
      </w:r>
      <w:r w:rsidR="00FF1406" w:rsidRPr="00FF1406">
        <w:t xml:space="preserve"> </w:t>
      </w:r>
      <w:r w:rsidR="00FF1406">
        <w:t xml:space="preserve">Antibody Identification (ABID) testing </w:t>
      </w:r>
      <w:r>
        <w:t>was performed at an outside facility, VBECS prints the name of the outside facility in the Additional Information column.</w:t>
      </w:r>
    </w:p>
    <w:p w14:paraId="365B1279" w14:textId="77777777" w:rsidR="0088290C" w:rsidRPr="00622C54" w:rsidRDefault="0088290C" w:rsidP="0088290C">
      <w:pPr>
        <w:pStyle w:val="ListBullet"/>
      </w:pPr>
      <w:r w:rsidRPr="00622C54">
        <w:t xml:space="preserve">If a rack has </w:t>
      </w:r>
      <w:r w:rsidR="006D0362">
        <w:t>only</w:t>
      </w:r>
      <w:r w:rsidR="008F5298">
        <w:t xml:space="preserve"> </w:t>
      </w:r>
      <w:r w:rsidRPr="00622C54">
        <w:t xml:space="preserve">been tested offline </w:t>
      </w:r>
      <w:r w:rsidR="006D0362">
        <w:t>(</w:t>
      </w:r>
      <w:r w:rsidR="008F5298">
        <w:t>never tested within VBECS</w:t>
      </w:r>
      <w:r w:rsidR="006D0362">
        <w:t>)</w:t>
      </w:r>
      <w:r w:rsidR="008F5298">
        <w:t xml:space="preserve"> </w:t>
      </w:r>
      <w:r w:rsidRPr="00622C54">
        <w:t>and the QC has expired</w:t>
      </w:r>
      <w:r w:rsidR="006F2884" w:rsidRPr="00622C54">
        <w:t>, the message “Rack was never QC’d and cannot be used.”</w:t>
      </w:r>
      <w:r w:rsidR="00CF410C" w:rsidRPr="00622C54">
        <w:t xml:space="preserve"> is displayed</w:t>
      </w:r>
      <w:r w:rsidR="006F2884" w:rsidRPr="00622C54">
        <w:t>.</w:t>
      </w:r>
      <w:r w:rsidR="001545B8" w:rsidRPr="00622C54">
        <w:t xml:space="preserve"> </w:t>
      </w:r>
      <w:r w:rsidR="001545B8" w:rsidRPr="00622C54">
        <w:rPr>
          <w:vanish/>
        </w:rPr>
        <w:t>DR 4317</w:t>
      </w:r>
    </w:p>
    <w:p w14:paraId="5EE0760F" w14:textId="1F8F2AE4" w:rsidR="00F62041" w:rsidRDefault="00F62041" w:rsidP="0088290C">
      <w:pPr>
        <w:pStyle w:val="ListBullet"/>
      </w:pPr>
      <w:r w:rsidRPr="00622C54">
        <w:t xml:space="preserve">The Testing Worklist Report does not display any information for Rack QC when QC Documentation Offline has been checked for that date. </w:t>
      </w:r>
      <w:r w:rsidRPr="00622C54">
        <w:rPr>
          <w:vanish/>
        </w:rPr>
        <w:t>DR 4317</w:t>
      </w:r>
    </w:p>
    <w:p w14:paraId="641E0FF0" w14:textId="77777777" w:rsidR="002A21AE" w:rsidRDefault="002A21AE">
      <w:pPr>
        <w:pStyle w:val="Heading4"/>
        <w:rPr>
          <w:b w:val="0"/>
          <w:bCs/>
          <w:snapToGrid w:val="0"/>
        </w:rPr>
      </w:pPr>
      <w:r>
        <w:rPr>
          <w:bCs/>
          <w:snapToGrid w:val="0"/>
        </w:rPr>
        <w:t>User Roles with Access to This Option</w:t>
      </w:r>
      <w:r>
        <w:rPr>
          <w:b w:val="0"/>
          <w:bCs/>
          <w:snapToGrid w:val="0"/>
        </w:rPr>
        <w:t xml:space="preserve"> </w:t>
      </w:r>
    </w:p>
    <w:p w14:paraId="70565901" w14:textId="77777777" w:rsidR="002A21AE" w:rsidRDefault="00184EA4">
      <w:pPr>
        <w:pStyle w:val="Roles"/>
      </w:pPr>
      <w:r>
        <w:t>All users</w:t>
      </w:r>
    </w:p>
    <w:p w14:paraId="3BA16E01" w14:textId="77777777" w:rsidR="00752960" w:rsidRDefault="00F55832" w:rsidP="00752960">
      <w:pPr>
        <w:pStyle w:val="Heading4"/>
      </w:pPr>
      <w:r>
        <w:br w:type="page"/>
      </w:r>
      <w:r w:rsidR="00752960">
        <w:lastRenderedPageBreak/>
        <w:t>Patient Testing Worklist and Testing Worklist Reports</w:t>
      </w:r>
    </w:p>
    <w:p w14:paraId="3B05F2E8" w14:textId="0E37FF97" w:rsidR="002A21AE" w:rsidRDefault="002A21AE" w:rsidP="00FA7E65">
      <w:pPr>
        <w:pStyle w:val="BodyText"/>
      </w:pPr>
      <w:r>
        <w:t xml:space="preserve">The user </w:t>
      </w:r>
      <w:r w:rsidR="003A39EF">
        <w:t>views and/or prints</w:t>
      </w:r>
      <w:r>
        <w:t xml:space="preserve"> a</w:t>
      </w:r>
      <w:r w:rsidR="00455261">
        <w:t xml:space="preserve"> Patient Testing Worklist Report for</w:t>
      </w:r>
      <w:r>
        <w:t xml:space="preserve"> a specific patient</w:t>
      </w:r>
      <w:r w:rsidR="00455261">
        <w:t xml:space="preserve"> or a Testing Worklist Report for a division. </w:t>
      </w:r>
      <w:r>
        <w:t>The report</w:t>
      </w:r>
      <w:r w:rsidR="000E7760">
        <w:t>s</w:t>
      </w:r>
      <w:r>
        <w:t xml:space="preserve"> contain both partially completed and completed testing data entries on patients, units, and reagents created in the same division as the user generating the report.</w:t>
      </w:r>
      <w:r w:rsidR="006C3E9C">
        <w:t xml:space="preserve"> Crossmatch test results</w:t>
      </w:r>
      <w:r w:rsidR="007B4C92" w:rsidRPr="007B4C92">
        <w:t xml:space="preserve"> </w:t>
      </w:r>
      <w:r w:rsidR="006C3E9C">
        <w:t xml:space="preserve">are sequenced </w:t>
      </w:r>
      <w:r w:rsidR="007B4C92" w:rsidRPr="007B4C92">
        <w:t>by date and time on the repor</w:t>
      </w:r>
      <w:r w:rsidR="006C3E9C">
        <w:t xml:space="preserve">t. Corrected crossmatch results obtained after an invalidated test are not identified as such. </w:t>
      </w:r>
      <w:r w:rsidR="00FC3506" w:rsidRPr="00FC3506">
        <w:t>The Interp. Column of the Patient Testing Worklist Report displays "Inc", which</w:t>
      </w:r>
      <w:r w:rsidR="007C00C8">
        <w:t xml:space="preserve"> can </w:t>
      </w:r>
      <w:r w:rsidR="00FC3506" w:rsidRPr="00FC3506">
        <w:t xml:space="preserve">mean </w:t>
      </w:r>
      <w:r w:rsidR="00FC3506">
        <w:t>“</w:t>
      </w:r>
      <w:r w:rsidR="00FC3506" w:rsidRPr="00FC3506">
        <w:t>Incompatible</w:t>
      </w:r>
      <w:r w:rsidR="00FC3506">
        <w:t>”</w:t>
      </w:r>
      <w:r w:rsidR="006C3E9C">
        <w:t xml:space="preserve"> or “Inconclusive</w:t>
      </w:r>
      <w:r w:rsidR="001A1374">
        <w:t>”</w:t>
      </w:r>
      <w:r w:rsidR="006C3E9C">
        <w:t>, depending on the test it is displayed with</w:t>
      </w:r>
      <w:r w:rsidR="00FC3506" w:rsidRPr="00FC3506">
        <w:t>.</w:t>
      </w:r>
      <w:r w:rsidR="00DC3A9D">
        <w:t xml:space="preserve"> </w:t>
      </w:r>
      <w:r w:rsidR="00DC3A9D" w:rsidRPr="00DC3A9D">
        <w:rPr>
          <w:vanish/>
        </w:rPr>
        <w:t>Defect 208966, 208964</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7161E1C4" w14:textId="77777777">
        <w:trPr>
          <w:tblHeader/>
        </w:trPr>
        <w:tc>
          <w:tcPr>
            <w:tcW w:w="3240" w:type="dxa"/>
            <w:shd w:val="pct30" w:color="auto" w:fill="FFFFFF"/>
            <w:vAlign w:val="bottom"/>
          </w:tcPr>
          <w:p w14:paraId="6E448040" w14:textId="77777777" w:rsidR="002A21AE" w:rsidRDefault="002A21AE">
            <w:pPr>
              <w:pStyle w:val="TableText"/>
              <w:rPr>
                <w:b/>
              </w:rPr>
            </w:pPr>
            <w:r>
              <w:rPr>
                <w:b/>
              </w:rPr>
              <w:t>User Action</w:t>
            </w:r>
          </w:p>
        </w:tc>
        <w:tc>
          <w:tcPr>
            <w:tcW w:w="6120" w:type="dxa"/>
            <w:shd w:val="pct30" w:color="auto" w:fill="FFFFFF"/>
            <w:vAlign w:val="bottom"/>
          </w:tcPr>
          <w:p w14:paraId="54F90C83" w14:textId="77777777" w:rsidR="002A21AE" w:rsidRDefault="002A21AE">
            <w:pPr>
              <w:pStyle w:val="TableText"/>
              <w:rPr>
                <w:b/>
              </w:rPr>
            </w:pPr>
            <w:r>
              <w:rPr>
                <w:b/>
              </w:rPr>
              <w:t>VBECS</w:t>
            </w:r>
          </w:p>
        </w:tc>
      </w:tr>
      <w:tr w:rsidR="002A21AE" w14:paraId="26F640E9" w14:textId="77777777">
        <w:tc>
          <w:tcPr>
            <w:tcW w:w="3240" w:type="dxa"/>
          </w:tcPr>
          <w:p w14:paraId="531F16C9" w14:textId="77777777" w:rsidR="002A21AE" w:rsidRDefault="002A21AE">
            <w:pPr>
              <w:pStyle w:val="TableTextNumbers"/>
            </w:pPr>
            <w:r>
              <w:t xml:space="preserve">For </w:t>
            </w:r>
            <w:r w:rsidR="00F05FA1">
              <w:t>a Patient Testing Worklist Report (for</w:t>
            </w:r>
            <w:r>
              <w:t xml:space="preserve"> a single patient, select </w:t>
            </w:r>
            <w:r>
              <w:rPr>
                <w:b/>
              </w:rPr>
              <w:t>Patients</w:t>
            </w:r>
            <w:r>
              <w:t xml:space="preserve"> from the main menu. </w:t>
            </w:r>
          </w:p>
          <w:p w14:paraId="6AB9FD26" w14:textId="77777777" w:rsidR="002A21AE" w:rsidRDefault="002A21AE">
            <w:pPr>
              <w:pStyle w:val="TableTextNumbersContinued"/>
            </w:pPr>
          </w:p>
          <w:p w14:paraId="7C319CBA" w14:textId="77777777" w:rsidR="002A21AE" w:rsidRDefault="002A21AE">
            <w:pPr>
              <w:pStyle w:val="TableTextNumbersContinued"/>
            </w:pPr>
            <w:r>
              <w:t xml:space="preserve">Select </w:t>
            </w:r>
            <w:r>
              <w:rPr>
                <w:b/>
              </w:rPr>
              <w:t>Patient</w:t>
            </w:r>
            <w:r>
              <w:t xml:space="preserve"> </w:t>
            </w:r>
            <w:r>
              <w:rPr>
                <w:b/>
              </w:rPr>
              <w:t>Testing Worklist Report</w:t>
            </w:r>
            <w:r>
              <w:t>.</w:t>
            </w:r>
          </w:p>
          <w:p w14:paraId="16568A6D" w14:textId="77777777" w:rsidR="002A21AE" w:rsidRDefault="002A21AE">
            <w:pPr>
              <w:pStyle w:val="TableTextNumbersContinued"/>
            </w:pPr>
          </w:p>
          <w:p w14:paraId="11093F02" w14:textId="77777777" w:rsidR="002A21AE" w:rsidRDefault="002A21AE">
            <w:pPr>
              <w:pStyle w:val="TableTextNumbersContinued"/>
            </w:pPr>
            <w:r>
              <w:t xml:space="preserve">For a </w:t>
            </w:r>
            <w:r w:rsidR="000E7760">
              <w:t>Testing Worklist Report</w:t>
            </w:r>
            <w:r>
              <w:t xml:space="preserve"> for a division, go to Step 5.</w:t>
            </w:r>
          </w:p>
        </w:tc>
        <w:tc>
          <w:tcPr>
            <w:tcW w:w="6120" w:type="dxa"/>
          </w:tcPr>
          <w:p w14:paraId="2AC2E72D" w14:textId="77777777" w:rsidR="002A21AE" w:rsidRDefault="002A21AE">
            <w:pPr>
              <w:pStyle w:val="TableTextBullet"/>
            </w:pPr>
            <w:r>
              <w:t>Displays options for processing patient-related functions.</w:t>
            </w:r>
          </w:p>
          <w:p w14:paraId="122B6CB6" w14:textId="77777777" w:rsidR="002A21AE" w:rsidRDefault="002A21AE">
            <w:pPr>
              <w:pStyle w:val="TableTextBullet"/>
            </w:pPr>
            <w:r>
              <w:t>Displays patient search criteria.</w:t>
            </w:r>
          </w:p>
        </w:tc>
      </w:tr>
      <w:tr w:rsidR="002A21AE" w14:paraId="14BE447E" w14:textId="77777777">
        <w:tc>
          <w:tcPr>
            <w:tcW w:w="3240" w:type="dxa"/>
          </w:tcPr>
          <w:p w14:paraId="5024E65D" w14:textId="77777777" w:rsidR="002A21AE" w:rsidRDefault="002A21AE">
            <w:pPr>
              <w:pStyle w:val="TableTextNumbers"/>
            </w:pPr>
            <w:r>
              <w:t xml:space="preserve">Enter the </w:t>
            </w:r>
            <w:r w:rsidRPr="00945BF5">
              <w:t>patient name or identification number.</w:t>
            </w:r>
            <w:r>
              <w:t xml:space="preserve"> </w:t>
            </w:r>
          </w:p>
          <w:p w14:paraId="32A64EB5" w14:textId="77777777" w:rsidR="002A21AE" w:rsidRDefault="002A21AE">
            <w:pPr>
              <w:pStyle w:val="TableTextNumbersContinued"/>
            </w:pPr>
          </w:p>
          <w:p w14:paraId="31265630" w14:textId="77777777" w:rsidR="002A21AE" w:rsidRDefault="002A21AE">
            <w:pPr>
              <w:pStyle w:val="TableTextNumbersContinued"/>
            </w:pPr>
            <w:r>
              <w:t xml:space="preserve">Click </w:t>
            </w:r>
            <w:r>
              <w:rPr>
                <w:b/>
              </w:rPr>
              <w:t xml:space="preserve">Search, </w:t>
            </w:r>
            <w:r>
              <w:t xml:space="preserve">as required. </w:t>
            </w:r>
          </w:p>
          <w:p w14:paraId="26C54083" w14:textId="77777777" w:rsidR="002A21AE" w:rsidRDefault="002A21AE">
            <w:pPr>
              <w:pStyle w:val="TableTextNumbersContinued"/>
            </w:pPr>
          </w:p>
          <w:p w14:paraId="7848A998" w14:textId="77777777" w:rsidR="002A21AE" w:rsidRDefault="002A21AE">
            <w:pPr>
              <w:pStyle w:val="TableTextNumbersContinued"/>
            </w:pPr>
            <w:r>
              <w:t xml:space="preserve">Select a patient and click </w:t>
            </w:r>
            <w:r>
              <w:rPr>
                <w:b/>
              </w:rPr>
              <w:t>OK</w:t>
            </w:r>
            <w:r>
              <w:t>.</w:t>
            </w:r>
          </w:p>
        </w:tc>
        <w:tc>
          <w:tcPr>
            <w:tcW w:w="6120" w:type="dxa"/>
          </w:tcPr>
          <w:p w14:paraId="169F1B6A" w14:textId="77777777" w:rsidR="002A21AE" w:rsidRDefault="002A21AE">
            <w:pPr>
              <w:pStyle w:val="TableTextBullet"/>
            </w:pPr>
            <w:r>
              <w:t>Requires the user to select a patient.</w:t>
            </w:r>
          </w:p>
          <w:p w14:paraId="70EB7A43" w14:textId="77777777" w:rsidR="002A21AE" w:rsidRDefault="002A21AE">
            <w:pPr>
              <w:pStyle w:val="TableTextBullet"/>
            </w:pPr>
            <w:r>
              <w:t>Displays specimen search criteria.</w:t>
            </w:r>
          </w:p>
        </w:tc>
      </w:tr>
      <w:tr w:rsidR="002A21AE" w14:paraId="29A2A13F" w14:textId="77777777">
        <w:tc>
          <w:tcPr>
            <w:tcW w:w="3240" w:type="dxa"/>
          </w:tcPr>
          <w:p w14:paraId="62565BD4" w14:textId="77777777" w:rsidR="002A21AE" w:rsidRDefault="002A21AE">
            <w:pPr>
              <w:pStyle w:val="TableTextNumbers"/>
            </w:pPr>
            <w:r>
              <w:t>Select or edit the dates and times in the Sp</w:t>
            </w:r>
            <w:r w:rsidRPr="00CE38AA">
              <w:t>ecimen Received Start Date and End Date fields</w:t>
            </w:r>
            <w:r w:rsidRPr="00945BF5">
              <w:t>.</w:t>
            </w:r>
          </w:p>
          <w:p w14:paraId="260DCDDA" w14:textId="77777777" w:rsidR="002A21AE" w:rsidRDefault="002A21AE">
            <w:pPr>
              <w:pStyle w:val="TableTextNumbersContinued"/>
            </w:pPr>
          </w:p>
          <w:p w14:paraId="7A9EE501" w14:textId="77777777" w:rsidR="002A21AE" w:rsidRDefault="002A21AE">
            <w:pPr>
              <w:pStyle w:val="TableTextNumbersContinued"/>
            </w:pPr>
            <w:r>
              <w:t xml:space="preserve">Click </w:t>
            </w:r>
            <w:r>
              <w:rPr>
                <w:b/>
              </w:rPr>
              <w:t>Search</w:t>
            </w:r>
            <w:r>
              <w:t>, as required.</w:t>
            </w:r>
          </w:p>
        </w:tc>
        <w:tc>
          <w:tcPr>
            <w:tcW w:w="6120" w:type="dxa"/>
          </w:tcPr>
          <w:p w14:paraId="3CC45C23" w14:textId="77777777" w:rsidR="002A21AE" w:rsidRDefault="002A21AE">
            <w:pPr>
              <w:pStyle w:val="TableTextBullet"/>
            </w:pPr>
            <w:r>
              <w:t>Allows the user to indicate a date range and patient specimens to include in the report.</w:t>
            </w:r>
          </w:p>
          <w:p w14:paraId="540F7F75" w14:textId="77777777" w:rsidR="002A21AE" w:rsidRDefault="002A21AE">
            <w:pPr>
              <w:pStyle w:val="TableTextBullet"/>
            </w:pPr>
            <w:r>
              <w:t xml:space="preserve">Displays specimens with associated testing for the selected patient. </w:t>
            </w:r>
          </w:p>
          <w:p w14:paraId="7199960D" w14:textId="77777777" w:rsidR="002A21AE" w:rsidRDefault="002A21AE">
            <w:pPr>
              <w:pStyle w:val="TableText"/>
            </w:pPr>
          </w:p>
          <w:p w14:paraId="2C1E55CD" w14:textId="77777777" w:rsidR="002A21AE" w:rsidRDefault="00057948">
            <w:pPr>
              <w:pStyle w:val="TableText"/>
              <w:rPr>
                <w:b/>
                <w:bCs/>
                <w:szCs w:val="18"/>
              </w:rPr>
            </w:pPr>
            <w:r>
              <w:rPr>
                <w:b/>
                <w:bCs/>
                <w:noProof/>
              </w:rPr>
              <mc:AlternateContent>
                <mc:Choice Requires="wps">
                  <w:drawing>
                    <wp:anchor distT="0" distB="0" distL="114300" distR="114300" simplePos="0" relativeHeight="251449856" behindDoc="0" locked="0" layoutInCell="1" allowOverlap="1" wp14:anchorId="0080936C" wp14:editId="4FE1F60B">
                      <wp:simplePos x="0" y="0"/>
                      <wp:positionH relativeFrom="column">
                        <wp:posOffset>457200</wp:posOffset>
                      </wp:positionH>
                      <wp:positionV relativeFrom="paragraph">
                        <wp:posOffset>65405</wp:posOffset>
                      </wp:positionV>
                      <wp:extent cx="3200400" cy="0"/>
                      <wp:effectExtent l="9525" t="17780" r="9525" b="10795"/>
                      <wp:wrapNone/>
                      <wp:docPr id="279" name="Line 773" descr="P10708C8T12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FCF2A" id="Line 773" o:spid="_x0000_s1026" alt="&quot;&quot;" style="position:absolute;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fduC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22CE74AA" w14:textId="77777777" w:rsidR="002A21AE" w:rsidRDefault="002A21AE">
            <w:pPr>
              <w:pStyle w:val="NotesText"/>
            </w:pPr>
          </w:p>
          <w:p w14:paraId="655E5368" w14:textId="77777777" w:rsidR="002A21AE" w:rsidRDefault="002A21AE">
            <w:pPr>
              <w:pStyle w:val="NotesText"/>
            </w:pPr>
            <w:r>
              <w:rPr>
                <w:rFonts w:cs="Arial"/>
                <w:vanish/>
              </w:rPr>
              <w:t xml:space="preserve">BR_48.15 </w:t>
            </w:r>
            <w:r>
              <w:t xml:space="preserve">The individual </w:t>
            </w:r>
            <w:r w:rsidR="00F05FA1">
              <w:t xml:space="preserve">Patient Testing Worklist Report </w:t>
            </w:r>
            <w:r>
              <w:t xml:space="preserve">includes VBECS specimen UIDs from the last 90 days, by default. The user may remove one or more specimen UIDs and/or edit the default date range. </w:t>
            </w:r>
          </w:p>
          <w:p w14:paraId="6EB298B7" w14:textId="77777777" w:rsidR="002A21AE" w:rsidRDefault="002A21AE">
            <w:pPr>
              <w:pStyle w:val="NotesText"/>
            </w:pPr>
          </w:p>
          <w:p w14:paraId="54999FD0" w14:textId="77777777" w:rsidR="002A21AE" w:rsidRDefault="002A21AE">
            <w:pPr>
              <w:pStyle w:val="NotesText"/>
            </w:pPr>
            <w:r>
              <w:rPr>
                <w:rFonts w:cs="Arial"/>
                <w:vanish/>
              </w:rPr>
              <w:t xml:space="preserve">BR_48.04 </w:t>
            </w:r>
            <w:r>
              <w:t>When the patient record is not found, VBECS notifies the user that no matching patients were found.</w:t>
            </w:r>
          </w:p>
          <w:p w14:paraId="2494C7CE" w14:textId="77777777" w:rsidR="002A21AE" w:rsidRDefault="002A21AE">
            <w:pPr>
              <w:pStyle w:val="NotesText"/>
            </w:pPr>
          </w:p>
          <w:p w14:paraId="7AC1EA1F" w14:textId="77777777" w:rsidR="00FC3506" w:rsidRDefault="002A21AE" w:rsidP="00FC3506">
            <w:pPr>
              <w:pStyle w:val="NotesText"/>
            </w:pPr>
            <w:r>
              <w:rPr>
                <w:rFonts w:cs="Arial"/>
                <w:vanish/>
              </w:rPr>
              <w:t xml:space="preserve">BR_48.01 </w:t>
            </w:r>
            <w:r>
              <w:t>When the selected patient has no specimen on file within the division, VBECS warns the user and asks the user to select a different patient.</w:t>
            </w:r>
          </w:p>
          <w:p w14:paraId="7C3FA19E" w14:textId="77777777" w:rsidR="002A21AE" w:rsidRDefault="002A21AE">
            <w:pPr>
              <w:pStyle w:val="NotesText"/>
            </w:pPr>
          </w:p>
          <w:p w14:paraId="30281C11" w14:textId="77777777" w:rsidR="002A21AE" w:rsidRDefault="002A21AE">
            <w:pPr>
              <w:pStyle w:val="NotesText"/>
            </w:pPr>
            <w:r>
              <w:t>Requires the user to indicate the format of the report:</w:t>
            </w:r>
          </w:p>
          <w:p w14:paraId="0DC980C9" w14:textId="77777777" w:rsidR="00661E8D" w:rsidRDefault="00661E8D">
            <w:pPr>
              <w:pStyle w:val="NotesTextBullet"/>
            </w:pPr>
            <w:r>
              <w:t>Patient Testing</w:t>
            </w:r>
          </w:p>
          <w:p w14:paraId="065E52E0" w14:textId="77777777" w:rsidR="00661E8D" w:rsidRDefault="00661E8D">
            <w:pPr>
              <w:pStyle w:val="NotesTextBullet"/>
            </w:pPr>
            <w:r>
              <w:t>Unit Testing</w:t>
            </w:r>
          </w:p>
          <w:p w14:paraId="6B9E0329" w14:textId="77777777" w:rsidR="00661E8D" w:rsidRDefault="00661E8D">
            <w:pPr>
              <w:pStyle w:val="NotesTextBullet"/>
            </w:pPr>
            <w:r>
              <w:t>Daily QC</w:t>
            </w:r>
          </w:p>
          <w:p w14:paraId="27EC270B" w14:textId="77777777" w:rsidR="002A21AE" w:rsidRDefault="00661E8D">
            <w:pPr>
              <w:pStyle w:val="NotesTextBullet"/>
            </w:pPr>
            <w:r>
              <w:t>Miscellaneous Reagent QC</w:t>
            </w:r>
          </w:p>
        </w:tc>
      </w:tr>
      <w:tr w:rsidR="002A21AE" w14:paraId="00BC2F18" w14:textId="77777777">
        <w:tc>
          <w:tcPr>
            <w:tcW w:w="3240" w:type="dxa"/>
          </w:tcPr>
          <w:p w14:paraId="5F10B5F7" w14:textId="77777777" w:rsidR="002A21AE" w:rsidRDefault="002A21AE">
            <w:pPr>
              <w:pStyle w:val="TableTextNumbers"/>
            </w:pPr>
            <w:r>
              <w:t>Click one or more check boxes to select specimens.</w:t>
            </w:r>
          </w:p>
          <w:p w14:paraId="1F21BAE5" w14:textId="77777777" w:rsidR="002A21AE" w:rsidRDefault="002A21AE">
            <w:pPr>
              <w:pStyle w:val="TableTextNumbersContinued"/>
            </w:pPr>
          </w:p>
          <w:p w14:paraId="6C0BA7D3" w14:textId="77777777" w:rsidR="002A21AE" w:rsidRDefault="002A21AE">
            <w:pPr>
              <w:pStyle w:val="TableTextNumbersContinued"/>
            </w:pPr>
            <w:r>
              <w:t xml:space="preserve">Click </w:t>
            </w:r>
            <w:r>
              <w:rPr>
                <w:b/>
              </w:rPr>
              <w:t>OK</w:t>
            </w:r>
            <w:r>
              <w:t>.</w:t>
            </w:r>
          </w:p>
          <w:p w14:paraId="1632322E" w14:textId="77777777" w:rsidR="002A21AE" w:rsidRDefault="002A21AE">
            <w:pPr>
              <w:pStyle w:val="TableTextNumbersContinued"/>
            </w:pPr>
          </w:p>
          <w:p w14:paraId="1EBBD12D" w14:textId="77777777" w:rsidR="002A21AE" w:rsidRDefault="002A21AE">
            <w:pPr>
              <w:pStyle w:val="TableTextNumbersContinued"/>
            </w:pPr>
            <w:r>
              <w:t>Go to Step 8.</w:t>
            </w:r>
          </w:p>
        </w:tc>
        <w:tc>
          <w:tcPr>
            <w:tcW w:w="6120" w:type="dxa"/>
          </w:tcPr>
          <w:p w14:paraId="2654633F" w14:textId="77777777" w:rsidR="002A21AE" w:rsidRDefault="002A21AE">
            <w:pPr>
              <w:pStyle w:val="TableTextBullet"/>
            </w:pPr>
            <w:r>
              <w:t>Displays the report.</w:t>
            </w:r>
          </w:p>
          <w:p w14:paraId="0E702EB3" w14:textId="77777777" w:rsidR="002A21AE" w:rsidRDefault="002A21AE">
            <w:pPr>
              <w:pStyle w:val="TableTextBullet"/>
            </w:pPr>
            <w:r>
              <w:t>Allows the user to print the report.</w:t>
            </w:r>
          </w:p>
        </w:tc>
      </w:tr>
      <w:tr w:rsidR="002A21AE" w14:paraId="30092800" w14:textId="77777777">
        <w:tc>
          <w:tcPr>
            <w:tcW w:w="3240" w:type="dxa"/>
          </w:tcPr>
          <w:p w14:paraId="4E6769AF" w14:textId="77777777" w:rsidR="002A21AE" w:rsidRDefault="002A21AE">
            <w:pPr>
              <w:pStyle w:val="TableTextNumbers"/>
            </w:pPr>
            <w:r>
              <w:lastRenderedPageBreak/>
              <w:t xml:space="preserve">For a Testing Worklist Report for a division, select </w:t>
            </w:r>
            <w:r>
              <w:rPr>
                <w:b/>
              </w:rPr>
              <w:t>Reports</w:t>
            </w:r>
            <w:r>
              <w:t xml:space="preserve"> from the main menu.</w:t>
            </w:r>
          </w:p>
          <w:p w14:paraId="704E40BB" w14:textId="77777777" w:rsidR="002A21AE" w:rsidRDefault="002A21AE">
            <w:pPr>
              <w:pStyle w:val="TableTextNumbersContinued"/>
            </w:pPr>
          </w:p>
          <w:p w14:paraId="0516294B" w14:textId="77777777" w:rsidR="002A21AE" w:rsidRDefault="002A21AE">
            <w:pPr>
              <w:pStyle w:val="TableTextNumbersContinued"/>
            </w:pPr>
            <w:r>
              <w:t xml:space="preserve">Select </w:t>
            </w:r>
            <w:r>
              <w:rPr>
                <w:b/>
              </w:rPr>
              <w:t>Testing Worklist Report</w:t>
            </w:r>
            <w:r>
              <w:t>.</w:t>
            </w:r>
          </w:p>
        </w:tc>
        <w:tc>
          <w:tcPr>
            <w:tcW w:w="6120" w:type="dxa"/>
          </w:tcPr>
          <w:p w14:paraId="3E3AD054" w14:textId="77777777" w:rsidR="002A21AE" w:rsidRDefault="002A21AE">
            <w:pPr>
              <w:pStyle w:val="TableTextBullet"/>
            </w:pPr>
            <w:r>
              <w:t>Lists report names.</w:t>
            </w:r>
          </w:p>
          <w:p w14:paraId="7156F530" w14:textId="77777777" w:rsidR="002A21AE" w:rsidRDefault="002A21AE">
            <w:pPr>
              <w:pStyle w:val="TableTextBullet"/>
            </w:pPr>
            <w:r>
              <w:t>Displays the report date range, sections</w:t>
            </w:r>
            <w:r w:rsidR="00E3701B">
              <w:t xml:space="preserve"> (Patient Testing, Unit Testing, Rack QC, and Miscellaneous Reagent QC)</w:t>
            </w:r>
            <w:r>
              <w:t>, and compilation criteria.</w:t>
            </w:r>
          </w:p>
        </w:tc>
      </w:tr>
      <w:tr w:rsidR="002A21AE" w14:paraId="7D0945E6" w14:textId="77777777">
        <w:tc>
          <w:tcPr>
            <w:tcW w:w="3240" w:type="dxa"/>
          </w:tcPr>
          <w:p w14:paraId="6A5061B0" w14:textId="77777777" w:rsidR="002A21AE" w:rsidRDefault="002A21AE">
            <w:pPr>
              <w:pStyle w:val="TableTextNumbers"/>
            </w:pPr>
            <w:r>
              <w:t xml:space="preserve">Select or edit the dates and times in the </w:t>
            </w:r>
            <w:r w:rsidRPr="00945BF5">
              <w:rPr>
                <w:b/>
              </w:rPr>
              <w:t>Start Date</w:t>
            </w:r>
            <w:r w:rsidRPr="00945BF5">
              <w:t xml:space="preserve"> and </w:t>
            </w:r>
            <w:r w:rsidRPr="00945BF5">
              <w:rPr>
                <w:b/>
              </w:rPr>
              <w:t>End Date</w:t>
            </w:r>
            <w:r>
              <w:t xml:space="preserve"> fields.</w:t>
            </w:r>
          </w:p>
        </w:tc>
        <w:tc>
          <w:tcPr>
            <w:tcW w:w="6120" w:type="dxa"/>
          </w:tcPr>
          <w:p w14:paraId="28C0870A" w14:textId="77777777" w:rsidR="002A21AE" w:rsidRDefault="002A21AE">
            <w:pPr>
              <w:pStyle w:val="TableTextBullet"/>
            </w:pPr>
            <w:r>
              <w:t>Displays the option to enter a date range for the report based on the date and time VBECS acknowledged the order.</w:t>
            </w:r>
          </w:p>
        </w:tc>
      </w:tr>
      <w:tr w:rsidR="002A21AE" w14:paraId="2BB2D39A" w14:textId="77777777">
        <w:tc>
          <w:tcPr>
            <w:tcW w:w="3240" w:type="dxa"/>
          </w:tcPr>
          <w:p w14:paraId="67CB7C64" w14:textId="77777777" w:rsidR="002A21AE" w:rsidRDefault="002A21AE" w:rsidP="001D6377">
            <w:pPr>
              <w:pStyle w:val="TableTextNumbers"/>
            </w:pPr>
            <w:r>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047001A4" w14:textId="77777777" w:rsidR="002A21AE" w:rsidRDefault="002A21AE">
            <w:pPr>
              <w:pStyle w:val="TableTextNumbersContinued"/>
            </w:pPr>
          </w:p>
          <w:p w14:paraId="57FBA6FA"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6C4199B6" w14:textId="77777777" w:rsidR="000566D6" w:rsidRDefault="002A21AE" w:rsidP="00AA2B2E">
            <w:pPr>
              <w:pStyle w:val="TableTextBullet"/>
            </w:pPr>
            <w:r>
              <w:t>Compiles and displays the report.</w:t>
            </w:r>
          </w:p>
        </w:tc>
      </w:tr>
      <w:tr w:rsidR="002A21AE" w14:paraId="34E54F51" w14:textId="77777777">
        <w:tc>
          <w:tcPr>
            <w:tcW w:w="3240" w:type="dxa"/>
          </w:tcPr>
          <w:p w14:paraId="066C97C9" w14:textId="2FBD119F" w:rsidR="002A21AE" w:rsidRDefault="00D45D8C">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fldLock="1"/>
            </w:r>
            <w:r w:rsidRPr="0076371D">
              <w:rPr>
                <w:szCs w:val="18"/>
              </w:rPr>
              <w:instrText xml:space="preserve"> REF _Ref2774509 \h  \* MERGEFORMAT </w:instrText>
            </w:r>
            <w:r w:rsidRPr="0076371D">
              <w:rPr>
                <w:szCs w:val="18"/>
              </w:rPr>
            </w:r>
            <w:r w:rsidRPr="0076371D">
              <w:rPr>
                <w:szCs w:val="18"/>
              </w:rPr>
              <w:fldChar w:fldCharType="separate"/>
            </w:r>
            <w:r w:rsidR="00AB304C" w:rsidRPr="00AB304C">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p>
        </w:tc>
        <w:tc>
          <w:tcPr>
            <w:tcW w:w="6120" w:type="dxa"/>
          </w:tcPr>
          <w:p w14:paraId="29E9E381" w14:textId="77777777" w:rsidR="00D45D8C" w:rsidRDefault="00D45D8C" w:rsidP="00D45D8C">
            <w:pPr>
              <w:pStyle w:val="TableTextBullet"/>
            </w:pPr>
            <w:r>
              <w:t>If Print is selected, prints the report on the designated printer.</w:t>
            </w:r>
          </w:p>
          <w:p w14:paraId="0CC9A3D5" w14:textId="77777777" w:rsidR="00D45D8C" w:rsidRDefault="00D45D8C" w:rsidP="00D45D8C">
            <w:pPr>
              <w:pStyle w:val="TableTextBullet"/>
            </w:pPr>
            <w:r>
              <w:t>If Export is selected, exports the report to the designated file.</w:t>
            </w:r>
          </w:p>
          <w:p w14:paraId="0F07AF86" w14:textId="2E9EDF4C" w:rsidR="002A21AE" w:rsidRDefault="00D45D8C" w:rsidP="00D45D8C">
            <w:pPr>
              <w:pStyle w:val="TableTextBullet"/>
            </w:pPr>
            <w:r>
              <w:t>If Close is selected, exits the report preview.</w:t>
            </w:r>
          </w:p>
        </w:tc>
      </w:tr>
    </w:tbl>
    <w:p w14:paraId="5C20B3A3" w14:textId="77777777" w:rsidR="00F55832" w:rsidRDefault="00F55832">
      <w:pPr>
        <w:pStyle w:val="Heading2"/>
      </w:pPr>
    </w:p>
    <w:p w14:paraId="6D984C8E" w14:textId="77777777" w:rsidR="002A21AE" w:rsidRDefault="00F55832">
      <w:pPr>
        <w:pStyle w:val="Heading2"/>
      </w:pPr>
      <w:r>
        <w:br w:type="page"/>
      </w:r>
      <w:bookmarkStart w:id="589" w:name="_Toc4588850"/>
      <w:r w:rsidR="002A21AE">
        <w:lastRenderedPageBreak/>
        <w:t>Transfusion Complications Report</w:t>
      </w:r>
      <w:bookmarkEnd w:id="589"/>
      <w:r w:rsidR="002A21AE">
        <w:fldChar w:fldCharType="begin"/>
      </w:r>
      <w:r w:rsidR="002A21AE">
        <w:instrText xml:space="preserve"> XE </w:instrText>
      </w:r>
      <w:r w:rsidR="00FA7E65">
        <w:instrText>“</w:instrText>
      </w:r>
      <w:r w:rsidR="002A21AE">
        <w:instrText>Transfusion Complications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UC_90</w:t>
      </w:r>
    </w:p>
    <w:p w14:paraId="06BDC359" w14:textId="77777777" w:rsidR="002A21AE" w:rsidRDefault="002A21AE" w:rsidP="00FA7E65">
      <w:pPr>
        <w:pStyle w:val="BodyText"/>
      </w:pPr>
      <w:r>
        <w:t xml:space="preserve">The user views </w:t>
      </w:r>
      <w:r w:rsidR="003F3B4B">
        <w:t>and</w:t>
      </w:r>
      <w:r w:rsidR="009162DB">
        <w:t>/or</w:t>
      </w:r>
      <w:r>
        <w:t xml:space="preserve"> prints the T</w:t>
      </w:r>
      <w:r w:rsidR="009162DB">
        <w:t>ransfusion Complications Report</w:t>
      </w:r>
      <w:r>
        <w:t xml:space="preserve">. </w:t>
      </w:r>
    </w:p>
    <w:p w14:paraId="38FBE634" w14:textId="77777777" w:rsidR="002A21AE" w:rsidRDefault="002A21AE">
      <w:pPr>
        <w:pStyle w:val="Heading4"/>
      </w:pPr>
      <w:r>
        <w:t>Assumptions</w:t>
      </w:r>
      <w:r>
        <w:rPr>
          <w:b w:val="0"/>
        </w:rPr>
        <w:t xml:space="preserve"> </w:t>
      </w:r>
    </w:p>
    <w:p w14:paraId="32BB2D90" w14:textId="77777777" w:rsidR="00CA6E27" w:rsidRDefault="00CA6E27">
      <w:pPr>
        <w:pStyle w:val="ListBullet"/>
      </w:pPr>
      <w:r w:rsidRPr="00CA6E27">
        <w:rPr>
          <w:bCs/>
        </w:rPr>
        <w:t>VistA</w:t>
      </w:r>
      <w:r w:rsidR="002A21AE">
        <w:t xml:space="preserve"> tests are defined</w:t>
      </w:r>
      <w:r w:rsidR="00DF389C">
        <w:t xml:space="preserve"> in Transfusion Complications</w:t>
      </w:r>
      <w:r>
        <w:t>.</w:t>
      </w:r>
    </w:p>
    <w:p w14:paraId="51CFAA87" w14:textId="77777777" w:rsidR="002A21AE" w:rsidRDefault="00CA6E27">
      <w:pPr>
        <w:pStyle w:val="ListBullet"/>
      </w:pPr>
      <w:r>
        <w:t>T</w:t>
      </w:r>
      <w:r w:rsidR="002A21AE">
        <w:t xml:space="preserve">he connection to </w:t>
      </w:r>
      <w:r w:rsidRPr="00CA6E27">
        <w:rPr>
          <w:bCs/>
        </w:rPr>
        <w:t>VistA</w:t>
      </w:r>
      <w:r w:rsidR="002A21AE">
        <w:t xml:space="preserve"> is active.</w:t>
      </w:r>
    </w:p>
    <w:p w14:paraId="26CDE63F" w14:textId="77777777" w:rsidR="002A21AE" w:rsidRDefault="002A21AE">
      <w:pPr>
        <w:pStyle w:val="ListBullet"/>
      </w:pPr>
      <w:r>
        <w:t>Transfusion Complications was processed and post-transfusion complication tests are defined.</w:t>
      </w:r>
    </w:p>
    <w:p w14:paraId="4406B343" w14:textId="77777777" w:rsidR="002A21AE" w:rsidRDefault="002A21AE">
      <w:pPr>
        <w:pStyle w:val="ListBullet"/>
      </w:pPr>
      <w:r>
        <w:t>Units have a status of presumed transfused or transfused for the patient.</w:t>
      </w:r>
    </w:p>
    <w:p w14:paraId="5017E9E8" w14:textId="77777777" w:rsidR="002A21AE" w:rsidRDefault="002A21AE">
      <w:pPr>
        <w:pStyle w:val="Heading4"/>
      </w:pPr>
      <w:r>
        <w:t xml:space="preserve">Outcome </w:t>
      </w:r>
    </w:p>
    <w:p w14:paraId="40753795" w14:textId="77777777" w:rsidR="002A21AE" w:rsidRDefault="00AE521B">
      <w:pPr>
        <w:pStyle w:val="ListBullet"/>
      </w:pPr>
      <w:r>
        <w:t>The user views and/or prints the report</w:t>
      </w:r>
      <w:r w:rsidR="002A21AE">
        <w:t xml:space="preserve">. </w:t>
      </w:r>
    </w:p>
    <w:p w14:paraId="6BE221D9" w14:textId="77777777" w:rsidR="002A21AE" w:rsidRDefault="002A21AE">
      <w:pPr>
        <w:pStyle w:val="Heading4"/>
      </w:pPr>
      <w:r>
        <w:t>Limitations and Restrictions</w:t>
      </w:r>
      <w:r>
        <w:rPr>
          <w:b w:val="0"/>
        </w:rPr>
        <w:t xml:space="preserve"> </w:t>
      </w:r>
    </w:p>
    <w:p w14:paraId="5D39700D" w14:textId="77777777" w:rsidR="002A21AE" w:rsidRDefault="002A21AE">
      <w:pPr>
        <w:pStyle w:val="ListBullet"/>
      </w:pPr>
      <w:r>
        <w:t>The report does not include units in an issued status.</w:t>
      </w:r>
    </w:p>
    <w:p w14:paraId="7F8C840D" w14:textId="15DB27E1" w:rsidR="00270D6F" w:rsidRDefault="00270D6F" w:rsidP="00270D6F">
      <w:pPr>
        <w:pStyle w:val="ListBullet"/>
      </w:pPr>
      <w:r>
        <w:t xml:space="preserve">The report cannot be </w:t>
      </w:r>
      <w:r w:rsidR="00C73E0E">
        <w:t>scheduled.</w:t>
      </w:r>
      <w:r w:rsidR="00CD5BA1">
        <w:t xml:space="preserve"> </w:t>
      </w:r>
      <w:r w:rsidR="00CD5BA1" w:rsidRPr="00CD5BA1">
        <w:rPr>
          <w:vanish/>
        </w:rPr>
        <w:t>Defect 210264</w:t>
      </w:r>
    </w:p>
    <w:p w14:paraId="4CB2E50D" w14:textId="77777777" w:rsidR="002A21AE" w:rsidRDefault="002A21AE">
      <w:pPr>
        <w:pStyle w:val="Heading4"/>
      </w:pPr>
      <w:r>
        <w:t xml:space="preserve">Additional Information </w:t>
      </w:r>
    </w:p>
    <w:p w14:paraId="060A0728" w14:textId="77777777" w:rsidR="002A21AE" w:rsidRDefault="002A21AE">
      <w:pPr>
        <w:pStyle w:val="ListBullet"/>
      </w:pPr>
      <w:r>
        <w:rPr>
          <w:rFonts w:ascii="Arial" w:hAnsi="Arial" w:cs="Arial"/>
          <w:vanish/>
          <w:spacing w:val="0"/>
          <w:sz w:val="18"/>
        </w:rPr>
        <w:t xml:space="preserve">BR_90.01 </w:t>
      </w:r>
      <w:r>
        <w:t xml:space="preserve">The report searches for evidence of a transfusion in VBECS only. If the user enters a start date that requires a search of </w:t>
      </w:r>
      <w:r w:rsidR="00CA6E27" w:rsidRPr="00CA6E27">
        <w:rPr>
          <w:bCs/>
        </w:rPr>
        <w:t>VistA</w:t>
      </w:r>
      <w:r>
        <w:t xml:space="preserve"> records to check back a full 12 months, the report includes a message indicating that only transfusions documented in VBECS are included in the report and that the user needs to run a supplementary report in </w:t>
      </w:r>
      <w:r w:rsidR="00CA6E27" w:rsidRPr="00CA6E27">
        <w:rPr>
          <w:bCs/>
        </w:rPr>
        <w:t>VistA</w:t>
      </w:r>
      <w:r>
        <w:t>.</w:t>
      </w:r>
    </w:p>
    <w:p w14:paraId="49C13E6E" w14:textId="77777777" w:rsidR="002A21AE" w:rsidRDefault="002A21AE">
      <w:pPr>
        <w:pStyle w:val="ListBullet"/>
      </w:pPr>
      <w:r>
        <w:t xml:space="preserve">The report searches for </w:t>
      </w:r>
      <w:r w:rsidR="00CA6E27" w:rsidRPr="00CA6E27">
        <w:rPr>
          <w:bCs/>
        </w:rPr>
        <w:t>VistA</w:t>
      </w:r>
      <w:r>
        <w:t xml:space="preserve"> tests defined in Transfusion Complications when the report is requested.</w:t>
      </w:r>
    </w:p>
    <w:p w14:paraId="1584E4F2" w14:textId="77777777" w:rsidR="002A21AE" w:rsidRDefault="002A21AE">
      <w:pPr>
        <w:pStyle w:val="ListBullet"/>
      </w:pPr>
      <w:r>
        <w:t>If threshold values are words, they are case insensitive.</w:t>
      </w:r>
    </w:p>
    <w:p w14:paraId="264FC95E" w14:textId="77777777" w:rsidR="002A21AE" w:rsidRDefault="002A21AE">
      <w:pPr>
        <w:pStyle w:val="ListBullet"/>
      </w:pPr>
      <w:r>
        <w:t>A patient’s test results and transfusions are not directly linked by date, episode, or admission event.</w:t>
      </w:r>
    </w:p>
    <w:p w14:paraId="5DECF07E" w14:textId="77777777" w:rsidR="002A21AE" w:rsidRDefault="002A21AE">
      <w:pPr>
        <w:pStyle w:val="ListBullet"/>
      </w:pPr>
      <w:r>
        <w:t>Lab test data retrieved for the report are not saved in VBECS.</w:t>
      </w:r>
    </w:p>
    <w:p w14:paraId="65D2E757" w14:textId="77777777" w:rsidR="002A21AE" w:rsidRDefault="002A21AE">
      <w:pPr>
        <w:pStyle w:val="ListBullet"/>
      </w:pPr>
      <w:r>
        <w:t>The report is not saved in VBECS.</w:t>
      </w:r>
    </w:p>
    <w:p w14:paraId="6701DF14" w14:textId="77777777" w:rsidR="002A21AE" w:rsidRDefault="002A21AE">
      <w:pPr>
        <w:pStyle w:val="Heading4"/>
        <w:rPr>
          <w:b w:val="0"/>
        </w:rPr>
      </w:pPr>
      <w:r>
        <w:t>User Roles with Access to This Option</w:t>
      </w:r>
      <w:r>
        <w:rPr>
          <w:b w:val="0"/>
        </w:rPr>
        <w:t xml:space="preserve"> </w:t>
      </w:r>
    </w:p>
    <w:p w14:paraId="4DD7E060" w14:textId="77777777" w:rsidR="002A21AE" w:rsidRDefault="00184EA4">
      <w:pPr>
        <w:pStyle w:val="Roles"/>
      </w:pPr>
      <w:r>
        <w:t>All users</w:t>
      </w:r>
    </w:p>
    <w:p w14:paraId="6DC7A21B" w14:textId="77777777" w:rsidR="002A21AE" w:rsidRDefault="002A21AE">
      <w:pPr>
        <w:pStyle w:val="Heading4"/>
        <w:tabs>
          <w:tab w:val="left" w:pos="6885"/>
        </w:tabs>
      </w:pPr>
      <w:r>
        <w:t xml:space="preserve">Transfusion Complications Report </w:t>
      </w:r>
      <w:r>
        <w:tab/>
      </w:r>
    </w:p>
    <w:p w14:paraId="1EA2E0D8" w14:textId="77777777" w:rsidR="002A21AE" w:rsidRDefault="002A21AE" w:rsidP="00FA7E65">
      <w:pPr>
        <w:pStyle w:val="BodyText"/>
      </w:pPr>
      <w:r>
        <w:t xml:space="preserve">The user views </w:t>
      </w:r>
      <w:r w:rsidR="009162DB">
        <w:t>and/</w:t>
      </w:r>
      <w:r>
        <w:t>or prints the Transfusion Complications Report</w:t>
      </w:r>
      <w:r w:rsidR="009162DB">
        <w:t>, which includes patients transfused in his division with a test result that exceeds the threshold set in Transfusion Complications for that test</w:t>
      </w:r>
      <w:r>
        <w:t>. Tests associated with possible post-transfusion complications are gathered by searching for results in a user-defined date range for the report. The report also includes the documented patient transfusions from 12 months prior to the start date of the report through the end date of the report.</w:t>
      </w:r>
      <w:r w:rsidR="009162DB">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4824773" w14:textId="77777777">
        <w:trPr>
          <w:cantSplit/>
          <w:tblHeader/>
        </w:trPr>
        <w:tc>
          <w:tcPr>
            <w:tcW w:w="3240" w:type="dxa"/>
            <w:shd w:val="pct30" w:color="auto" w:fill="FFFFFF"/>
            <w:vAlign w:val="bottom"/>
          </w:tcPr>
          <w:p w14:paraId="69987BD5" w14:textId="77777777" w:rsidR="002A21AE" w:rsidRDefault="002A21AE">
            <w:pPr>
              <w:pStyle w:val="TableText"/>
              <w:rPr>
                <w:b/>
              </w:rPr>
            </w:pPr>
            <w:r>
              <w:rPr>
                <w:b/>
              </w:rPr>
              <w:t>User Action</w:t>
            </w:r>
          </w:p>
        </w:tc>
        <w:tc>
          <w:tcPr>
            <w:tcW w:w="6120" w:type="dxa"/>
            <w:shd w:val="pct30" w:color="auto" w:fill="FFFFFF"/>
            <w:vAlign w:val="bottom"/>
          </w:tcPr>
          <w:p w14:paraId="19D39184" w14:textId="77777777" w:rsidR="002A21AE" w:rsidRDefault="002A21AE">
            <w:pPr>
              <w:pStyle w:val="TableText"/>
              <w:rPr>
                <w:b/>
              </w:rPr>
            </w:pPr>
            <w:r>
              <w:rPr>
                <w:b/>
              </w:rPr>
              <w:t>VBECS</w:t>
            </w:r>
          </w:p>
        </w:tc>
      </w:tr>
      <w:tr w:rsidR="002A21AE" w14:paraId="63A9D506" w14:textId="77777777">
        <w:tc>
          <w:tcPr>
            <w:tcW w:w="3240" w:type="dxa"/>
            <w:tcBorders>
              <w:top w:val="single" w:sz="4" w:space="0" w:color="auto"/>
              <w:left w:val="single" w:sz="4" w:space="0" w:color="auto"/>
              <w:bottom w:val="single" w:sz="4" w:space="0" w:color="auto"/>
              <w:right w:val="single" w:sz="4" w:space="0" w:color="auto"/>
            </w:tcBorders>
          </w:tcPr>
          <w:p w14:paraId="74FBE017" w14:textId="77777777" w:rsidR="002A21AE" w:rsidRDefault="002A21AE" w:rsidP="00041E00">
            <w:pPr>
              <w:pStyle w:val="TableTextNumbers"/>
              <w:numPr>
                <w:ilvl w:val="0"/>
                <w:numId w:val="83"/>
              </w:numPr>
            </w:pPr>
            <w:r>
              <w:t xml:space="preserve">Select </w:t>
            </w:r>
            <w:r w:rsidRPr="00946DA2">
              <w:rPr>
                <w:b/>
              </w:rPr>
              <w:t>Reports</w:t>
            </w:r>
            <w:r>
              <w:t xml:space="preserve"> from the main menu.</w:t>
            </w:r>
          </w:p>
          <w:p w14:paraId="7DD0BFF9" w14:textId="77777777" w:rsidR="002A21AE" w:rsidRDefault="002A21AE">
            <w:pPr>
              <w:pStyle w:val="TableTextNumbersContinued"/>
            </w:pPr>
          </w:p>
          <w:p w14:paraId="4C61A9C5" w14:textId="77777777" w:rsidR="002A21AE" w:rsidRDefault="002A21AE">
            <w:pPr>
              <w:pStyle w:val="TableTextNumbersContinued"/>
            </w:pPr>
            <w:r>
              <w:t xml:space="preserve">Select </w:t>
            </w:r>
            <w:r>
              <w:rPr>
                <w:b/>
              </w:rPr>
              <w:t>Transfusion Complications Report</w:t>
            </w:r>
            <w:r>
              <w:t>.</w:t>
            </w:r>
          </w:p>
        </w:tc>
        <w:tc>
          <w:tcPr>
            <w:tcW w:w="6120" w:type="dxa"/>
            <w:tcBorders>
              <w:top w:val="single" w:sz="4" w:space="0" w:color="auto"/>
              <w:left w:val="single" w:sz="4" w:space="0" w:color="auto"/>
              <w:bottom w:val="single" w:sz="4" w:space="0" w:color="auto"/>
              <w:right w:val="single" w:sz="4" w:space="0" w:color="auto"/>
            </w:tcBorders>
          </w:tcPr>
          <w:p w14:paraId="59BABD36" w14:textId="77777777" w:rsidR="002A21AE" w:rsidRDefault="002A21AE">
            <w:pPr>
              <w:pStyle w:val="TableTextBullet"/>
            </w:pPr>
            <w:r>
              <w:t>Lists report names.</w:t>
            </w:r>
          </w:p>
          <w:p w14:paraId="6BF9A7DE" w14:textId="77777777" w:rsidR="002A21AE" w:rsidRDefault="002A21AE">
            <w:pPr>
              <w:pStyle w:val="TableTextBullet"/>
            </w:pPr>
            <w:r>
              <w:t>Displays fields for entering a report date range.</w:t>
            </w:r>
          </w:p>
        </w:tc>
      </w:tr>
      <w:tr w:rsidR="002A21AE" w14:paraId="2686EF75" w14:textId="77777777" w:rsidTr="00305B16">
        <w:trPr>
          <w:cantSplit/>
        </w:trPr>
        <w:tc>
          <w:tcPr>
            <w:tcW w:w="3240" w:type="dxa"/>
          </w:tcPr>
          <w:p w14:paraId="055E3E3F" w14:textId="77777777" w:rsidR="002A21AE" w:rsidRDefault="002A21AE">
            <w:pPr>
              <w:pStyle w:val="TableTextNumbers"/>
            </w:pPr>
            <w:r>
              <w:lastRenderedPageBreak/>
              <w:t>Enter or select start and end dates.</w:t>
            </w:r>
          </w:p>
        </w:tc>
        <w:tc>
          <w:tcPr>
            <w:tcW w:w="6120" w:type="dxa"/>
          </w:tcPr>
          <w:p w14:paraId="0B869C0E" w14:textId="77777777" w:rsidR="002A21AE" w:rsidRDefault="002A21AE">
            <w:pPr>
              <w:pStyle w:val="TableTextBullet"/>
            </w:pPr>
            <w:r>
              <w:t>Compiles and displays the report and allows the user to print it.</w:t>
            </w:r>
          </w:p>
          <w:p w14:paraId="461D7C28" w14:textId="77777777" w:rsidR="002A21AE" w:rsidRDefault="002A21AE">
            <w:pPr>
              <w:pStyle w:val="TableText"/>
            </w:pPr>
          </w:p>
          <w:p w14:paraId="7430F7C6" w14:textId="77777777" w:rsidR="002A21AE" w:rsidRDefault="00057948">
            <w:pPr>
              <w:pStyle w:val="TableText"/>
              <w:rPr>
                <w:b/>
                <w:bCs/>
                <w:szCs w:val="18"/>
              </w:rPr>
            </w:pPr>
            <w:r>
              <w:rPr>
                <w:b/>
                <w:bCs/>
                <w:noProof/>
              </w:rPr>
              <mc:AlternateContent>
                <mc:Choice Requires="wps">
                  <w:drawing>
                    <wp:anchor distT="0" distB="0" distL="114300" distR="114300" simplePos="0" relativeHeight="251759104" behindDoc="0" locked="0" layoutInCell="1" allowOverlap="1" wp14:anchorId="3CC67BA0" wp14:editId="2AA8EFD2">
                      <wp:simplePos x="0" y="0"/>
                      <wp:positionH relativeFrom="column">
                        <wp:posOffset>457200</wp:posOffset>
                      </wp:positionH>
                      <wp:positionV relativeFrom="paragraph">
                        <wp:posOffset>65405</wp:posOffset>
                      </wp:positionV>
                      <wp:extent cx="3200400" cy="0"/>
                      <wp:effectExtent l="9525" t="17780" r="9525" b="10795"/>
                      <wp:wrapNone/>
                      <wp:docPr id="278" name="Line 960" descr="P10785L55C6T12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2A05C" id="Line 960" o:spid="_x0000_s1026" alt="&quot;&quot;" style="position:absolute;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rV3S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159E60B1" w14:textId="77777777" w:rsidR="002A21AE" w:rsidRDefault="002A21AE">
            <w:pPr>
              <w:pStyle w:val="NotesText"/>
            </w:pPr>
          </w:p>
          <w:p w14:paraId="77F02038" w14:textId="77777777" w:rsidR="002A21AE" w:rsidRDefault="002A21AE">
            <w:pPr>
              <w:pStyle w:val="NotesText"/>
            </w:pPr>
            <w:r>
              <w:rPr>
                <w:rFonts w:cs="Arial"/>
                <w:vanish/>
              </w:rPr>
              <w:t xml:space="preserve">BR_90.02 </w:t>
            </w:r>
            <w:r>
              <w:t>VBECS searches the Laboratory files (VistALink) and gathers instances of tests that exceed the threshold result of the tests set in Transfusion Complications within the specified date range. Retrieved test results are then filtered so that the report includes results only</w:t>
            </w:r>
            <w:r>
              <w:rPr>
                <w:b/>
              </w:rPr>
              <w:t xml:space="preserve"> </w:t>
            </w:r>
            <w:r>
              <w:t>for patients who have transfusions documented in VBECS within the last 12 months prior to the start date of the report through the end date.</w:t>
            </w:r>
          </w:p>
          <w:p w14:paraId="5210EDD8" w14:textId="77777777" w:rsidR="002A21AE" w:rsidRDefault="002A21AE">
            <w:pPr>
              <w:pStyle w:val="NotesText"/>
            </w:pPr>
          </w:p>
          <w:p w14:paraId="6E8147B7" w14:textId="77777777" w:rsidR="002A21AE" w:rsidRDefault="002A21AE">
            <w:pPr>
              <w:pStyle w:val="NotesText"/>
            </w:pPr>
            <w:r>
              <w:rPr>
                <w:rFonts w:cs="Arial"/>
                <w:vanish/>
              </w:rPr>
              <w:t xml:space="preserve">BR_90.03 </w:t>
            </w:r>
            <w:r>
              <w:t>VBECS includes the evaluated tests and their threshold values in the report criteria section.</w:t>
            </w:r>
          </w:p>
          <w:p w14:paraId="70A925EC" w14:textId="77777777" w:rsidR="002A21AE" w:rsidRDefault="002A21AE">
            <w:pPr>
              <w:pStyle w:val="NotesText"/>
            </w:pPr>
          </w:p>
          <w:p w14:paraId="2420C50C" w14:textId="77777777" w:rsidR="002A21AE" w:rsidRDefault="002A21AE">
            <w:pPr>
              <w:pStyle w:val="NotesText"/>
            </w:pPr>
            <w:r>
              <w:rPr>
                <w:rFonts w:cs="Arial"/>
                <w:vanish/>
              </w:rPr>
              <w:t xml:space="preserve">BR_90.04 </w:t>
            </w:r>
            <w:r>
              <w:rPr>
                <w:color w:val="000000"/>
              </w:rPr>
              <w:t>Details of the report include</w:t>
            </w:r>
            <w:r>
              <w:t>:</w:t>
            </w:r>
          </w:p>
          <w:p w14:paraId="18343002" w14:textId="77777777" w:rsidR="002A21AE" w:rsidRDefault="002A21AE">
            <w:pPr>
              <w:pStyle w:val="NotesTextBullet"/>
            </w:pPr>
            <w:r>
              <w:t>Patient name</w:t>
            </w:r>
          </w:p>
          <w:p w14:paraId="25227D9E" w14:textId="77777777" w:rsidR="002A21AE" w:rsidRDefault="002A21AE">
            <w:pPr>
              <w:pStyle w:val="NotesTextBullet"/>
            </w:pPr>
            <w:r>
              <w:t>Patient ID</w:t>
            </w:r>
          </w:p>
          <w:p w14:paraId="3739D56A" w14:textId="77777777" w:rsidR="002A21AE" w:rsidRDefault="002A21AE">
            <w:pPr>
              <w:pStyle w:val="NotesTextBullet"/>
            </w:pPr>
            <w:r>
              <w:t>Current hospital location</w:t>
            </w:r>
          </w:p>
          <w:p w14:paraId="40BD1422" w14:textId="77777777" w:rsidR="002A21AE" w:rsidRDefault="002A21AE">
            <w:pPr>
              <w:pStyle w:val="NotesTextBullet"/>
            </w:pPr>
            <w:r>
              <w:t>Date of death (in lieu of location if patient died)</w:t>
            </w:r>
          </w:p>
          <w:p w14:paraId="30BA20EA" w14:textId="77777777" w:rsidR="002A21AE" w:rsidRDefault="002A21AE">
            <w:pPr>
              <w:pStyle w:val="NotesTextBullet"/>
            </w:pPr>
            <w:r>
              <w:t>Unit ID</w:t>
            </w:r>
          </w:p>
          <w:p w14:paraId="6F8D6C33" w14:textId="77777777" w:rsidR="002A21AE" w:rsidRDefault="002A21AE">
            <w:pPr>
              <w:pStyle w:val="NotesTextBullet"/>
            </w:pPr>
            <w:r>
              <w:t>Unit short name</w:t>
            </w:r>
          </w:p>
          <w:p w14:paraId="1F7CCD67" w14:textId="77777777" w:rsidR="002A21AE" w:rsidRDefault="002A21AE">
            <w:pPr>
              <w:pStyle w:val="NotesTextBullet"/>
            </w:pPr>
            <w:r>
              <w:t>End date and time of the unit’s transfusion, if available</w:t>
            </w:r>
          </w:p>
          <w:p w14:paraId="11E0990D" w14:textId="77777777" w:rsidR="002A21AE" w:rsidRDefault="002A21AE">
            <w:pPr>
              <w:pStyle w:val="NotesText"/>
            </w:pPr>
          </w:p>
          <w:p w14:paraId="705C36C6" w14:textId="77777777" w:rsidR="002A21AE" w:rsidRDefault="002A21AE">
            <w:pPr>
              <w:pStyle w:val="NotesText"/>
            </w:pPr>
            <w:r>
              <w:t xml:space="preserve">From </w:t>
            </w:r>
            <w:r w:rsidR="00CA6E27" w:rsidRPr="00CA6E27">
              <w:rPr>
                <w:bCs/>
              </w:rPr>
              <w:t>VistA</w:t>
            </w:r>
            <w:r>
              <w:t xml:space="preserve"> for each patient’s tests:</w:t>
            </w:r>
          </w:p>
          <w:p w14:paraId="1CAE4CD5" w14:textId="77777777" w:rsidR="002A21AE" w:rsidRDefault="002A21AE">
            <w:pPr>
              <w:pStyle w:val="NotesTextBullet"/>
            </w:pPr>
            <w:r>
              <w:t>Test name</w:t>
            </w:r>
          </w:p>
          <w:p w14:paraId="65C64771" w14:textId="77777777" w:rsidR="002A21AE" w:rsidRDefault="002A21AE">
            <w:pPr>
              <w:pStyle w:val="NotesTextBullet"/>
            </w:pPr>
            <w:r>
              <w:t>Associated test result</w:t>
            </w:r>
          </w:p>
          <w:p w14:paraId="02AF9F82" w14:textId="77777777" w:rsidR="002A21AE" w:rsidRDefault="002A21AE">
            <w:pPr>
              <w:pStyle w:val="NotesTextBullet"/>
            </w:pPr>
            <w:r>
              <w:t>Date and time recorded</w:t>
            </w:r>
          </w:p>
        </w:tc>
      </w:tr>
      <w:tr w:rsidR="000D2373" w14:paraId="2B4BA2B3" w14:textId="77777777">
        <w:tc>
          <w:tcPr>
            <w:tcW w:w="3240" w:type="dxa"/>
          </w:tcPr>
          <w:p w14:paraId="219D1BF2" w14:textId="77777777" w:rsidR="000D2373" w:rsidRDefault="000D2373" w:rsidP="000D2373">
            <w:pPr>
              <w:pStyle w:val="TableTextNumbers"/>
            </w:pPr>
            <w:r>
              <w:t xml:space="preserve">In the Report Compilation area, click the </w:t>
            </w:r>
            <w:r w:rsidRPr="00B40DDD">
              <w:rPr>
                <w:b/>
              </w:rPr>
              <w:t>Create Report Now</w:t>
            </w:r>
            <w:r>
              <w:t xml:space="preserve"> radio button. Click </w:t>
            </w:r>
            <w:r w:rsidRPr="00B40DDD">
              <w:rPr>
                <w:b/>
              </w:rPr>
              <w:t>OK</w:t>
            </w:r>
            <w:r>
              <w:t xml:space="preserve"> to view the report, or</w:t>
            </w:r>
          </w:p>
          <w:p w14:paraId="2345E57D" w14:textId="77777777" w:rsidR="000D2373" w:rsidRDefault="000D2373" w:rsidP="000D2373">
            <w:pPr>
              <w:pStyle w:val="TableTextNumbers"/>
              <w:numPr>
                <w:ilvl w:val="0"/>
                <w:numId w:val="0"/>
              </w:numPr>
              <w:ind w:left="288"/>
            </w:pPr>
          </w:p>
          <w:p w14:paraId="4B81A654" w14:textId="77777777" w:rsidR="000D2373" w:rsidRDefault="000D2373" w:rsidP="000D2373">
            <w:pPr>
              <w:pStyle w:val="TableTextNumbers"/>
              <w:numPr>
                <w:ilvl w:val="0"/>
                <w:numId w:val="0"/>
              </w:numPr>
              <w:ind w:left="288"/>
            </w:pPr>
            <w:r>
              <w:t xml:space="preserve">Click the </w:t>
            </w:r>
            <w:r w:rsidRPr="00B40DDD">
              <w:rPr>
                <w:b/>
              </w:rPr>
              <w:t>Schedule Print Job</w:t>
            </w:r>
            <w:r>
              <w:t xml:space="preserve"> radio button and </w:t>
            </w:r>
            <w:r w:rsidRPr="00B40DDD">
              <w:rPr>
                <w:b/>
              </w:rPr>
              <w:t>OK</w:t>
            </w:r>
            <w:r>
              <w:t xml:space="preserve">, then enter or select a print date and printer name. Click </w:t>
            </w:r>
            <w:r w:rsidRPr="00B40DDD">
              <w:rPr>
                <w:b/>
              </w:rPr>
              <w:t>OK</w:t>
            </w:r>
            <w:r>
              <w:t xml:space="preserve"> to view and print the report.</w:t>
            </w:r>
          </w:p>
        </w:tc>
        <w:tc>
          <w:tcPr>
            <w:tcW w:w="6120" w:type="dxa"/>
          </w:tcPr>
          <w:p w14:paraId="47D6CE04" w14:textId="77777777" w:rsidR="000D2373" w:rsidRDefault="000D2373" w:rsidP="000D2373">
            <w:pPr>
              <w:pStyle w:val="TableTextBullet"/>
            </w:pPr>
            <w:r>
              <w:t>Compiles and displays the report.</w:t>
            </w:r>
          </w:p>
          <w:p w14:paraId="16AA3FB4" w14:textId="77777777" w:rsidR="000D2373" w:rsidRDefault="000D2373" w:rsidP="000D2373">
            <w:pPr>
              <w:pStyle w:val="TableText"/>
              <w:rPr>
                <w:b/>
                <w:bCs/>
                <w:szCs w:val="18"/>
              </w:rPr>
            </w:pPr>
          </w:p>
          <w:p w14:paraId="1C5AA479" w14:textId="77777777" w:rsidR="000D2373" w:rsidRDefault="00057948" w:rsidP="000D2373">
            <w:pPr>
              <w:pStyle w:val="TableText"/>
              <w:rPr>
                <w:b/>
                <w:bCs/>
                <w:szCs w:val="18"/>
              </w:rPr>
            </w:pPr>
            <w:r>
              <w:rPr>
                <w:b/>
                <w:bCs/>
                <w:noProof/>
              </w:rPr>
              <mc:AlternateContent>
                <mc:Choice Requires="wps">
                  <w:drawing>
                    <wp:anchor distT="0" distB="0" distL="114300" distR="114300" simplePos="0" relativeHeight="252046848" behindDoc="0" locked="0" layoutInCell="1" allowOverlap="1" wp14:anchorId="76617A31" wp14:editId="2E050D61">
                      <wp:simplePos x="0" y="0"/>
                      <wp:positionH relativeFrom="column">
                        <wp:posOffset>457200</wp:posOffset>
                      </wp:positionH>
                      <wp:positionV relativeFrom="paragraph">
                        <wp:posOffset>65405</wp:posOffset>
                      </wp:positionV>
                      <wp:extent cx="3200400" cy="0"/>
                      <wp:effectExtent l="9525" t="17780" r="9525" b="10795"/>
                      <wp:wrapNone/>
                      <wp:docPr id="277" name="Line 1259" descr="P10810C8T12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3958D" id="Line 1259" o:spid="_x0000_s1026" alt="&quot;&quot;" style="position:absolute;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G8G/8vEAQAAbwMAAA4AAAAAAAAAAAAAAAAA&#10;LgIAAGRycy9lMm9Eb2MueG1sUEsBAi0AFAAGAAgAAAAhABdPMBLbAAAACAEAAA8AAAAAAAAAAAAA&#10;AAAAHgQAAGRycy9kb3ducmV2LnhtbFBLBQYAAAAABAAEAPMAAAAmBQAAAAA=&#10;" strokeweight="1.5pt"/>
                  </w:pict>
                </mc:Fallback>
              </mc:AlternateContent>
            </w:r>
            <w:r w:rsidR="000D2373">
              <w:rPr>
                <w:b/>
                <w:bCs/>
                <w:szCs w:val="18"/>
              </w:rPr>
              <w:t>NOTES</w:t>
            </w:r>
          </w:p>
          <w:p w14:paraId="5C6485C1" w14:textId="77777777" w:rsidR="000D2373" w:rsidRDefault="000D2373" w:rsidP="000D2373">
            <w:pPr>
              <w:pStyle w:val="NotesText"/>
            </w:pPr>
          </w:p>
          <w:p w14:paraId="176C281D" w14:textId="77777777" w:rsidR="00CD40A5" w:rsidRDefault="00CD40A5" w:rsidP="000D2373">
            <w:pPr>
              <w:pStyle w:val="TableTextBullet"/>
            </w:pPr>
            <w:r>
              <w:rPr>
                <w:rFonts w:cs="Arial"/>
              </w:rPr>
              <w:t>This report requires a logged on VistA user to retrieve the lab results.</w:t>
            </w:r>
            <w:r>
              <w:t xml:space="preserve"> It cannot be scheduled to print. </w:t>
            </w:r>
            <w:r w:rsidRPr="00124A3D">
              <w:rPr>
                <w:vanish/>
              </w:rPr>
              <w:t>DR 4810</w:t>
            </w:r>
          </w:p>
        </w:tc>
      </w:tr>
      <w:tr w:rsidR="002A21AE" w14:paraId="632FDF66" w14:textId="77777777">
        <w:tc>
          <w:tcPr>
            <w:tcW w:w="3240" w:type="dxa"/>
          </w:tcPr>
          <w:p w14:paraId="0FAD6F6B" w14:textId="591CEE8F" w:rsidR="002A21AE" w:rsidRDefault="00D45D8C">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fldLock="1"/>
            </w:r>
            <w:r w:rsidRPr="0076371D">
              <w:rPr>
                <w:szCs w:val="18"/>
              </w:rPr>
              <w:instrText xml:space="preserve"> REF _Ref2774509 \h  \* MERGEFORMAT </w:instrText>
            </w:r>
            <w:r w:rsidRPr="0076371D">
              <w:rPr>
                <w:szCs w:val="18"/>
              </w:rPr>
            </w:r>
            <w:r w:rsidRPr="0076371D">
              <w:rPr>
                <w:szCs w:val="18"/>
              </w:rPr>
              <w:fldChar w:fldCharType="separate"/>
            </w:r>
            <w:r w:rsidR="00AB304C" w:rsidRPr="00AB304C">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2A21AE" w:rsidRPr="009660C3">
              <w:rPr>
                <w:vanish/>
                <w:szCs w:val="18"/>
              </w:rPr>
              <w:fldChar w:fldCharType="begin"/>
            </w:r>
            <w:r w:rsidR="002A21AE" w:rsidRPr="009660C3">
              <w:rPr>
                <w:vanish/>
                <w:szCs w:val="18"/>
              </w:rPr>
              <w:instrText xml:space="preserve"> LISTNUM \l 1 \s 0 </w:instrText>
            </w:r>
            <w:r w:rsidR="002A21AE" w:rsidRPr="009660C3">
              <w:rPr>
                <w:vanish/>
                <w:szCs w:val="18"/>
              </w:rPr>
              <w:fldChar w:fldCharType="end"/>
            </w:r>
          </w:p>
        </w:tc>
        <w:tc>
          <w:tcPr>
            <w:tcW w:w="6120" w:type="dxa"/>
          </w:tcPr>
          <w:p w14:paraId="20DFBCC0" w14:textId="77777777" w:rsidR="00D45D8C" w:rsidRDefault="00D45D8C" w:rsidP="00D45D8C">
            <w:pPr>
              <w:pStyle w:val="TableTextBullet"/>
            </w:pPr>
            <w:r>
              <w:t>If Print is selected, prints the report on the designated printer.</w:t>
            </w:r>
          </w:p>
          <w:p w14:paraId="4258C6F3" w14:textId="77777777" w:rsidR="00D45D8C" w:rsidRDefault="00D45D8C" w:rsidP="00D45D8C">
            <w:pPr>
              <w:pStyle w:val="TableTextBullet"/>
            </w:pPr>
            <w:r>
              <w:t>If Export is selected, exports the report to the designated file.</w:t>
            </w:r>
          </w:p>
          <w:p w14:paraId="0B980CCE" w14:textId="62D530C4" w:rsidR="002A21AE" w:rsidRDefault="00D45D8C" w:rsidP="00D45D8C">
            <w:pPr>
              <w:pStyle w:val="TableTextBullet"/>
            </w:pPr>
            <w:r>
              <w:t>If Close is selected, exits the report preview.</w:t>
            </w:r>
          </w:p>
        </w:tc>
      </w:tr>
    </w:tbl>
    <w:p w14:paraId="3E9A3E78" w14:textId="77777777" w:rsidR="00F55832" w:rsidRDefault="00F55832">
      <w:pPr>
        <w:pStyle w:val="Heading2"/>
      </w:pPr>
    </w:p>
    <w:p w14:paraId="3E5B6972" w14:textId="77777777" w:rsidR="002A21AE" w:rsidRDefault="00F55832">
      <w:pPr>
        <w:pStyle w:val="Heading2"/>
      </w:pPr>
      <w:r>
        <w:br w:type="page"/>
      </w:r>
      <w:bookmarkStart w:id="590" w:name="_Toc4588851"/>
      <w:r w:rsidR="002A21AE">
        <w:lastRenderedPageBreak/>
        <w:t>Transfusion Effectiveness Report</w:t>
      </w:r>
      <w:bookmarkEnd w:id="590"/>
      <w:r w:rsidR="002A21AE">
        <w:fldChar w:fldCharType="begin"/>
      </w:r>
      <w:r w:rsidR="002A21AE">
        <w:instrText xml:space="preserve"> XE </w:instrText>
      </w:r>
      <w:r w:rsidR="00FA7E65">
        <w:instrText>“</w:instrText>
      </w:r>
      <w:r w:rsidR="002A21AE">
        <w:instrText>Transfusion Effectiveness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UC_91</w:t>
      </w:r>
    </w:p>
    <w:p w14:paraId="53E90AD0" w14:textId="77777777" w:rsidR="002A21AE" w:rsidRDefault="002A21AE" w:rsidP="00FA7E65">
      <w:pPr>
        <w:pStyle w:val="BodyText"/>
      </w:pPr>
      <w:r>
        <w:t>The user views and</w:t>
      </w:r>
      <w:r w:rsidR="00AF59E4">
        <w:t>/or</w:t>
      </w:r>
      <w:r>
        <w:t xml:space="preserve"> prints a Transfusion Effectiveness Report.</w:t>
      </w:r>
    </w:p>
    <w:p w14:paraId="2E50A395" w14:textId="77777777" w:rsidR="002A21AE" w:rsidRDefault="002A21AE">
      <w:pPr>
        <w:pStyle w:val="Heading4"/>
      </w:pPr>
      <w:r>
        <w:t>Assumptions</w:t>
      </w:r>
      <w:r>
        <w:rPr>
          <w:b w:val="0"/>
        </w:rPr>
        <w:t xml:space="preserve"> </w:t>
      </w:r>
    </w:p>
    <w:p w14:paraId="66A052AF" w14:textId="77777777" w:rsidR="007A48D1" w:rsidRDefault="00CA6E27">
      <w:pPr>
        <w:pStyle w:val="ListBullet"/>
      </w:pPr>
      <w:r w:rsidRPr="00CA6E27">
        <w:rPr>
          <w:bCs/>
        </w:rPr>
        <w:t>VistA</w:t>
      </w:r>
      <w:r w:rsidR="002A21AE">
        <w:t xml:space="preserve"> tests are defined </w:t>
      </w:r>
      <w:r w:rsidR="007A48D1">
        <w:t>in Transfusion Effectiveness.</w:t>
      </w:r>
    </w:p>
    <w:p w14:paraId="2F90EF53" w14:textId="77777777" w:rsidR="002A21AE" w:rsidRDefault="007A48D1">
      <w:pPr>
        <w:pStyle w:val="ListBullet"/>
      </w:pPr>
      <w:r>
        <w:t>Th</w:t>
      </w:r>
      <w:r w:rsidR="002A21AE">
        <w:t xml:space="preserve">e connection to </w:t>
      </w:r>
      <w:r w:rsidR="00CA6E27" w:rsidRPr="00CA6E27">
        <w:rPr>
          <w:bCs/>
        </w:rPr>
        <w:t>VistA</w:t>
      </w:r>
      <w:r w:rsidR="002A21AE">
        <w:t xml:space="preserve"> is active.</w:t>
      </w:r>
    </w:p>
    <w:p w14:paraId="6639FE45" w14:textId="77777777" w:rsidR="007A48D1" w:rsidRDefault="007A48D1">
      <w:pPr>
        <w:pStyle w:val="ListBullet"/>
      </w:pPr>
      <w:r>
        <w:t>Units have a status of presumed transfused or transfused for the patient.</w:t>
      </w:r>
    </w:p>
    <w:p w14:paraId="59DC82F8" w14:textId="77777777" w:rsidR="002A21AE" w:rsidRDefault="002A21AE">
      <w:pPr>
        <w:pStyle w:val="ListBullet"/>
      </w:pPr>
      <w:r>
        <w:t xml:space="preserve">Data for the report were saved in VBECS and in </w:t>
      </w:r>
      <w:r w:rsidR="00CA6E27" w:rsidRPr="00CA6E27">
        <w:rPr>
          <w:bCs/>
        </w:rPr>
        <w:t>VistA</w:t>
      </w:r>
      <w:r>
        <w:t>.</w:t>
      </w:r>
    </w:p>
    <w:p w14:paraId="7B993F21" w14:textId="77777777" w:rsidR="002A21AE" w:rsidRDefault="002A21AE">
      <w:pPr>
        <w:pStyle w:val="Heading4"/>
      </w:pPr>
      <w:r>
        <w:t xml:space="preserve">Outcome </w:t>
      </w:r>
    </w:p>
    <w:p w14:paraId="4117C96D" w14:textId="77777777" w:rsidR="002A21AE" w:rsidRDefault="00AE521B">
      <w:pPr>
        <w:pStyle w:val="ListBullet"/>
      </w:pPr>
      <w:r>
        <w:t>The user views and/or prints the report</w:t>
      </w:r>
      <w:r w:rsidR="002A21AE">
        <w:t>.</w:t>
      </w:r>
    </w:p>
    <w:p w14:paraId="48973EED" w14:textId="77777777" w:rsidR="002A21AE" w:rsidRDefault="002A21AE">
      <w:pPr>
        <w:pStyle w:val="Heading4"/>
      </w:pPr>
      <w:r>
        <w:t>Limitations and Restrictions</w:t>
      </w:r>
      <w:r>
        <w:rPr>
          <w:b w:val="0"/>
        </w:rPr>
        <w:t xml:space="preserve"> </w:t>
      </w:r>
    </w:p>
    <w:p w14:paraId="6D55EC40" w14:textId="77777777" w:rsidR="002A21AE" w:rsidRDefault="002A21AE">
      <w:pPr>
        <w:pStyle w:val="ListBullet"/>
      </w:pPr>
      <w:r>
        <w:t>The report does not include VBECS diagnostic tests.</w:t>
      </w:r>
    </w:p>
    <w:p w14:paraId="14555182" w14:textId="77777777" w:rsidR="002A21AE" w:rsidRDefault="002A21AE">
      <w:pPr>
        <w:pStyle w:val="Heading4"/>
      </w:pPr>
      <w:r>
        <w:t xml:space="preserve">Additional Information </w:t>
      </w:r>
    </w:p>
    <w:p w14:paraId="28249E40" w14:textId="77777777" w:rsidR="002A21AE" w:rsidRDefault="002A21AE">
      <w:pPr>
        <w:pStyle w:val="ListBullet"/>
      </w:pPr>
      <w:r>
        <w:rPr>
          <w:rFonts w:ascii="Arial" w:hAnsi="Arial" w:cs="Arial"/>
          <w:vanish/>
          <w:spacing w:val="0"/>
          <w:sz w:val="18"/>
        </w:rPr>
        <w:t xml:space="preserve">BR_91.01 </w:t>
      </w:r>
      <w:r>
        <w:t xml:space="preserve">Only verified Laboratory test results are available from </w:t>
      </w:r>
      <w:r w:rsidR="00CA6E27" w:rsidRPr="00CA6E27">
        <w:rPr>
          <w:bCs/>
        </w:rPr>
        <w:t>VistA</w:t>
      </w:r>
      <w:r>
        <w:t xml:space="preserve">. </w:t>
      </w:r>
    </w:p>
    <w:p w14:paraId="1FD7D5AB" w14:textId="77777777" w:rsidR="002A21AE" w:rsidRDefault="002A21AE">
      <w:pPr>
        <w:pStyle w:val="ListBullet"/>
      </w:pPr>
      <w:r>
        <w:t xml:space="preserve">Laboratory test data retrieved for the report from </w:t>
      </w:r>
      <w:r w:rsidR="00CA6E27" w:rsidRPr="00CA6E27">
        <w:rPr>
          <w:bCs/>
        </w:rPr>
        <w:t>VistA</w:t>
      </w:r>
      <w:r>
        <w:t xml:space="preserve"> are not saved in VBECS. </w:t>
      </w:r>
    </w:p>
    <w:p w14:paraId="362CC17C" w14:textId="77777777" w:rsidR="002A21AE" w:rsidRDefault="002A21AE">
      <w:pPr>
        <w:pStyle w:val="ListBullet"/>
      </w:pPr>
      <w:r>
        <w:rPr>
          <w:rFonts w:ascii="Arial" w:hAnsi="Arial" w:cs="Arial"/>
          <w:vanish/>
          <w:spacing w:val="0"/>
          <w:sz w:val="18"/>
        </w:rPr>
        <w:t xml:space="preserve">BR_91.03 </w:t>
      </w:r>
      <w:r>
        <w:t>A new page is started for each patient in the report.</w:t>
      </w:r>
    </w:p>
    <w:p w14:paraId="6E078D02" w14:textId="77777777" w:rsidR="002A21AE" w:rsidRDefault="002A21AE">
      <w:pPr>
        <w:pStyle w:val="ListBullet"/>
      </w:pPr>
      <w:r>
        <w:t>Test results in the report do not include units of measure or normal ranges.</w:t>
      </w:r>
    </w:p>
    <w:p w14:paraId="32B97333" w14:textId="77777777" w:rsidR="002A21AE" w:rsidRDefault="002A21AE">
      <w:pPr>
        <w:pStyle w:val="Heading4"/>
        <w:rPr>
          <w:b w:val="0"/>
        </w:rPr>
      </w:pPr>
      <w:r>
        <w:t>User Roles with Access to This Option</w:t>
      </w:r>
      <w:r>
        <w:rPr>
          <w:b w:val="0"/>
        </w:rPr>
        <w:t xml:space="preserve"> </w:t>
      </w:r>
    </w:p>
    <w:p w14:paraId="0F852D8B" w14:textId="77777777" w:rsidR="002A21AE" w:rsidRDefault="00184EA4">
      <w:pPr>
        <w:pStyle w:val="Roles"/>
      </w:pPr>
      <w:r>
        <w:t>All users</w:t>
      </w:r>
    </w:p>
    <w:p w14:paraId="0330E1F3" w14:textId="77777777" w:rsidR="002A21AE" w:rsidRDefault="002A21AE">
      <w:pPr>
        <w:pStyle w:val="Heading4"/>
      </w:pPr>
      <w:r>
        <w:t xml:space="preserve">Transfusion Effectiveness Report </w:t>
      </w:r>
    </w:p>
    <w:p w14:paraId="0558E074" w14:textId="77777777" w:rsidR="002A21AE" w:rsidRDefault="002A21AE" w:rsidP="00FA7E65">
      <w:pPr>
        <w:pStyle w:val="BodyText"/>
      </w:pPr>
      <w:r>
        <w:t xml:space="preserve">The user views </w:t>
      </w:r>
      <w:r w:rsidR="00AF59E4">
        <w:t>and/</w:t>
      </w:r>
      <w:r>
        <w:t>or prints the Transfusion Effectiveness Report</w:t>
      </w:r>
      <w:r w:rsidR="00AF59E4">
        <w:t>, which contains transfusion episodes and Laboratory results for patients for a selected period</w:t>
      </w:r>
      <w: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2FD3511" w14:textId="77777777">
        <w:trPr>
          <w:cantSplit/>
          <w:tblHeader/>
        </w:trPr>
        <w:tc>
          <w:tcPr>
            <w:tcW w:w="3240" w:type="dxa"/>
            <w:shd w:val="pct30" w:color="auto" w:fill="FFFFFF"/>
            <w:vAlign w:val="bottom"/>
          </w:tcPr>
          <w:p w14:paraId="3DA765F6" w14:textId="77777777" w:rsidR="002A21AE" w:rsidRDefault="002A21AE">
            <w:pPr>
              <w:pStyle w:val="TableText"/>
              <w:rPr>
                <w:b/>
              </w:rPr>
            </w:pPr>
            <w:r>
              <w:rPr>
                <w:b/>
              </w:rPr>
              <w:t>User Action</w:t>
            </w:r>
          </w:p>
        </w:tc>
        <w:tc>
          <w:tcPr>
            <w:tcW w:w="6120" w:type="dxa"/>
            <w:shd w:val="pct30" w:color="auto" w:fill="FFFFFF"/>
            <w:vAlign w:val="bottom"/>
          </w:tcPr>
          <w:p w14:paraId="59FF5217" w14:textId="77777777" w:rsidR="002A21AE" w:rsidRDefault="002A21AE">
            <w:pPr>
              <w:pStyle w:val="TableText"/>
              <w:rPr>
                <w:b/>
              </w:rPr>
            </w:pPr>
            <w:r>
              <w:rPr>
                <w:b/>
              </w:rPr>
              <w:t>VBECS</w:t>
            </w:r>
          </w:p>
        </w:tc>
      </w:tr>
      <w:tr w:rsidR="002A21AE" w14:paraId="0C7E860B" w14:textId="77777777">
        <w:tc>
          <w:tcPr>
            <w:tcW w:w="3240" w:type="dxa"/>
          </w:tcPr>
          <w:p w14:paraId="36E9988E" w14:textId="77777777" w:rsidR="002A21AE" w:rsidRDefault="002A21AE">
            <w:pPr>
              <w:pStyle w:val="TableTextNumbers"/>
            </w:pPr>
            <w:r>
              <w:t xml:space="preserve">Select </w:t>
            </w:r>
            <w:r>
              <w:rPr>
                <w:b/>
              </w:rPr>
              <w:t>Reports</w:t>
            </w:r>
            <w:r>
              <w:t xml:space="preserve"> from the main menu.</w:t>
            </w:r>
          </w:p>
          <w:p w14:paraId="3A8E4F16" w14:textId="77777777" w:rsidR="002A21AE" w:rsidRDefault="002A21AE">
            <w:pPr>
              <w:pStyle w:val="TableTextNumbersContinued"/>
            </w:pPr>
          </w:p>
          <w:p w14:paraId="007CCE1F" w14:textId="77777777" w:rsidR="002A21AE" w:rsidRDefault="002A21AE">
            <w:pPr>
              <w:pStyle w:val="TableTextNumbersContinued"/>
            </w:pPr>
            <w:r>
              <w:t xml:space="preserve">Select </w:t>
            </w:r>
            <w:r>
              <w:rPr>
                <w:b/>
              </w:rPr>
              <w:t>Transfusion Effectiveness Report</w:t>
            </w:r>
            <w:r>
              <w:t>.</w:t>
            </w:r>
          </w:p>
        </w:tc>
        <w:tc>
          <w:tcPr>
            <w:tcW w:w="6120" w:type="dxa"/>
          </w:tcPr>
          <w:p w14:paraId="4EFC278B" w14:textId="77777777" w:rsidR="002A21AE" w:rsidRDefault="002A21AE">
            <w:pPr>
              <w:pStyle w:val="TableTextBullet"/>
            </w:pPr>
            <w:r>
              <w:t>Lists report names.</w:t>
            </w:r>
          </w:p>
          <w:p w14:paraId="3A85E6C0" w14:textId="77777777" w:rsidR="002A21AE" w:rsidRDefault="002A21AE">
            <w:pPr>
              <w:pStyle w:val="TableTextBullet"/>
            </w:pPr>
            <w:r>
              <w:t xml:space="preserve">Displays report compilation criteria. </w:t>
            </w:r>
          </w:p>
          <w:p w14:paraId="3DF21E3B" w14:textId="77777777" w:rsidR="002A21AE" w:rsidRDefault="002A21AE">
            <w:pPr>
              <w:pStyle w:val="TableTextBullet"/>
            </w:pPr>
            <w:r>
              <w:t>Displays a date range for selection.</w:t>
            </w:r>
          </w:p>
        </w:tc>
      </w:tr>
      <w:tr w:rsidR="002A21AE" w14:paraId="7AF6D167" w14:textId="77777777">
        <w:tc>
          <w:tcPr>
            <w:tcW w:w="3240" w:type="dxa"/>
          </w:tcPr>
          <w:p w14:paraId="6CE907D8" w14:textId="77777777" w:rsidR="002A21AE" w:rsidRDefault="002A21AE">
            <w:pPr>
              <w:pStyle w:val="TableTextNumbers"/>
            </w:pPr>
            <w:r>
              <w:t>Enter or select start and end dates.</w:t>
            </w:r>
          </w:p>
        </w:tc>
        <w:tc>
          <w:tcPr>
            <w:tcW w:w="6120" w:type="dxa"/>
          </w:tcPr>
          <w:p w14:paraId="42DEDDFB" w14:textId="77777777" w:rsidR="002A21AE" w:rsidRDefault="002A21AE">
            <w:pPr>
              <w:pStyle w:val="NotesText"/>
            </w:pPr>
          </w:p>
        </w:tc>
      </w:tr>
      <w:tr w:rsidR="002A21AE" w14:paraId="16296543" w14:textId="77777777">
        <w:tc>
          <w:tcPr>
            <w:tcW w:w="3240" w:type="dxa"/>
          </w:tcPr>
          <w:p w14:paraId="69CC59D9" w14:textId="77777777" w:rsidR="002A21AE" w:rsidRDefault="002A21AE">
            <w:pPr>
              <w:pStyle w:val="TableTextNumbers"/>
            </w:pPr>
            <w:r>
              <w:t xml:space="preserve">In the Report Type area, select the </w:t>
            </w:r>
            <w:r>
              <w:rPr>
                <w:b/>
              </w:rPr>
              <w:t>All Patients</w:t>
            </w:r>
            <w:r>
              <w:t xml:space="preserve"> </w:t>
            </w:r>
            <w:r w:rsidRPr="00BF2E41">
              <w:t>radio button</w:t>
            </w:r>
            <w:r>
              <w:t xml:space="preserve">, or </w:t>
            </w:r>
          </w:p>
          <w:p w14:paraId="5F9FB65E" w14:textId="77777777" w:rsidR="002A21AE" w:rsidRDefault="002A21AE">
            <w:pPr>
              <w:pStyle w:val="TableTextNumbersContinued"/>
            </w:pPr>
          </w:p>
          <w:p w14:paraId="0D241A81" w14:textId="77777777" w:rsidR="002A21AE" w:rsidRDefault="002A21AE">
            <w:pPr>
              <w:pStyle w:val="TableTextNumbersContinued"/>
            </w:pPr>
            <w:r>
              <w:t xml:space="preserve">Click the </w:t>
            </w:r>
            <w:r>
              <w:rPr>
                <w:b/>
              </w:rPr>
              <w:t xml:space="preserve">Individual Patient Report </w:t>
            </w:r>
            <w:r w:rsidRPr="00ED1C1B">
              <w:t>radio</w:t>
            </w:r>
            <w:r>
              <w:rPr>
                <w:b/>
              </w:rPr>
              <w:t xml:space="preserve"> </w:t>
            </w:r>
            <w:r w:rsidRPr="00BF2E41">
              <w:t>button</w:t>
            </w:r>
            <w:r>
              <w:t xml:space="preserve"> and the </w:t>
            </w:r>
            <w:r w:rsidR="00A6373D" w:rsidRPr="00945BF5">
              <w:rPr>
                <w:b/>
              </w:rPr>
              <w:t>find</w:t>
            </w:r>
            <w:r>
              <w:rPr>
                <w:b/>
              </w:rPr>
              <w:t xml:space="preserve"> </w:t>
            </w:r>
            <w:r w:rsidRPr="00BF2E41">
              <w:t>button</w:t>
            </w:r>
            <w:r>
              <w:rPr>
                <w:b/>
              </w:rPr>
              <w:t xml:space="preserve"> </w:t>
            </w:r>
            <w:r>
              <w:t>to search for a patient.</w:t>
            </w:r>
          </w:p>
        </w:tc>
        <w:tc>
          <w:tcPr>
            <w:tcW w:w="6120" w:type="dxa"/>
          </w:tcPr>
          <w:p w14:paraId="3D197EFC" w14:textId="77777777" w:rsidR="002A21AE" w:rsidRDefault="002A21AE">
            <w:pPr>
              <w:pStyle w:val="TableTextBullet"/>
            </w:pPr>
            <w:r>
              <w:t xml:space="preserve">Compiles and displays the report. </w:t>
            </w:r>
          </w:p>
        </w:tc>
      </w:tr>
      <w:tr w:rsidR="002A21AE" w14:paraId="5C3230E4" w14:textId="77777777" w:rsidTr="00305B16">
        <w:trPr>
          <w:cantSplit/>
        </w:trPr>
        <w:tc>
          <w:tcPr>
            <w:tcW w:w="3240" w:type="dxa"/>
          </w:tcPr>
          <w:p w14:paraId="4D1E7B67" w14:textId="77777777" w:rsidR="002A21AE" w:rsidRDefault="002A21AE">
            <w:pPr>
              <w:pStyle w:val="TableTextNumbers"/>
            </w:pPr>
            <w:r>
              <w:lastRenderedPageBreak/>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257103DF" w14:textId="77777777" w:rsidR="002A21AE" w:rsidRDefault="002A21AE">
            <w:pPr>
              <w:pStyle w:val="TableTextNumbersContinued"/>
            </w:pPr>
          </w:p>
          <w:p w14:paraId="7BAE5999"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6AB04FBF" w14:textId="77777777" w:rsidR="002A21AE" w:rsidRDefault="00F64B5C" w:rsidP="00F64B5C">
            <w:pPr>
              <w:pStyle w:val="TableTextBullet"/>
            </w:pPr>
            <w:r>
              <w:t>Compiles and displays the report.</w:t>
            </w:r>
          </w:p>
          <w:p w14:paraId="08F03452" w14:textId="77777777" w:rsidR="000566D6" w:rsidRDefault="000566D6" w:rsidP="000566D6">
            <w:pPr>
              <w:pStyle w:val="TableTextBullet"/>
              <w:numPr>
                <w:ilvl w:val="0"/>
                <w:numId w:val="0"/>
              </w:numPr>
              <w:ind w:left="288"/>
            </w:pPr>
          </w:p>
          <w:p w14:paraId="0213F0C7" w14:textId="77777777" w:rsidR="000566D6" w:rsidRDefault="00057948" w:rsidP="000566D6">
            <w:pPr>
              <w:pStyle w:val="TableText"/>
              <w:rPr>
                <w:b/>
                <w:bCs/>
                <w:szCs w:val="18"/>
              </w:rPr>
            </w:pPr>
            <w:r>
              <w:rPr>
                <w:b/>
                <w:bCs/>
                <w:noProof/>
              </w:rPr>
              <mc:AlternateContent>
                <mc:Choice Requires="wps">
                  <w:drawing>
                    <wp:anchor distT="0" distB="0" distL="114300" distR="114300" simplePos="0" relativeHeight="252040704" behindDoc="0" locked="0" layoutInCell="1" allowOverlap="1" wp14:anchorId="627E23C0" wp14:editId="12DEFDA9">
                      <wp:simplePos x="0" y="0"/>
                      <wp:positionH relativeFrom="column">
                        <wp:posOffset>457200</wp:posOffset>
                      </wp:positionH>
                      <wp:positionV relativeFrom="paragraph">
                        <wp:posOffset>65405</wp:posOffset>
                      </wp:positionV>
                      <wp:extent cx="3200400" cy="0"/>
                      <wp:effectExtent l="9525" t="17780" r="9525" b="10795"/>
                      <wp:wrapNone/>
                      <wp:docPr id="276" name="Line 1246" descr="P10863C10T12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1F446" id="Line 1246" o:spid="_x0000_s1026" alt="&quot;&quot;" style="position:absolute;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P+t758MBAABvAwAADgAAAAAAAAAAAAAAAAAu&#10;AgAAZHJzL2Uyb0RvYy54bWxQSwECLQAUAAYACAAAACEAF08wEtsAAAAIAQAADwAAAAAAAAAAAAAA&#10;AAAdBAAAZHJzL2Rvd25yZXYueG1sUEsFBgAAAAAEAAQA8wAAACUFAAAAAA==&#10;" strokeweight="1.5pt"/>
                  </w:pict>
                </mc:Fallback>
              </mc:AlternateContent>
            </w:r>
            <w:r w:rsidR="000566D6">
              <w:rPr>
                <w:b/>
                <w:bCs/>
                <w:szCs w:val="18"/>
              </w:rPr>
              <w:t>NOTES</w:t>
            </w:r>
          </w:p>
          <w:p w14:paraId="5208C49B" w14:textId="77777777" w:rsidR="00124A3D" w:rsidRDefault="00124A3D" w:rsidP="00AA2B2E">
            <w:pPr>
              <w:pStyle w:val="TableTextBullet"/>
              <w:numPr>
                <w:ilvl w:val="0"/>
                <w:numId w:val="0"/>
              </w:numPr>
              <w:rPr>
                <w:rFonts w:cs="Arial"/>
              </w:rPr>
            </w:pPr>
          </w:p>
          <w:p w14:paraId="356B3EA3" w14:textId="77777777" w:rsidR="00124A3D" w:rsidRPr="00EF5693" w:rsidRDefault="00124A3D" w:rsidP="00EF5693">
            <w:pPr>
              <w:pStyle w:val="TableTextBullet"/>
              <w:rPr>
                <w:rFonts w:cs="Arial"/>
              </w:rPr>
            </w:pPr>
            <w:r>
              <w:rPr>
                <w:rFonts w:cs="Arial"/>
              </w:rPr>
              <w:t>This report requires a logged on VistA user to retrieve the lab results.</w:t>
            </w:r>
            <w:r w:rsidRPr="00EF5693">
              <w:rPr>
                <w:rFonts w:cs="Arial"/>
              </w:rPr>
              <w:t xml:space="preserve"> It cannot be scheduled to print.</w:t>
            </w:r>
            <w:r w:rsidRPr="00EF5693">
              <w:rPr>
                <w:rFonts w:cs="Arial"/>
                <w:vanish/>
              </w:rPr>
              <w:t xml:space="preserve"> DR 4810</w:t>
            </w:r>
          </w:p>
          <w:p w14:paraId="6E4EB2E7" w14:textId="77777777" w:rsidR="000566D6" w:rsidRDefault="000566D6" w:rsidP="000566D6">
            <w:pPr>
              <w:pStyle w:val="TableTextBullet"/>
              <w:numPr>
                <w:ilvl w:val="0"/>
                <w:numId w:val="0"/>
              </w:numPr>
              <w:ind w:left="720"/>
            </w:pPr>
            <w:r>
              <w:rPr>
                <w:rFonts w:cs="Arial"/>
                <w:vanish/>
              </w:rPr>
              <w:t xml:space="preserve"> DR 4013</w:t>
            </w:r>
          </w:p>
        </w:tc>
      </w:tr>
      <w:tr w:rsidR="002A21AE" w14:paraId="40EB273D" w14:textId="77777777">
        <w:tc>
          <w:tcPr>
            <w:tcW w:w="3240" w:type="dxa"/>
          </w:tcPr>
          <w:p w14:paraId="0C8A871A" w14:textId="395183E2" w:rsidR="002A21AE" w:rsidRDefault="00D45D8C">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fldLock="1"/>
            </w:r>
            <w:r w:rsidRPr="0076371D">
              <w:rPr>
                <w:szCs w:val="18"/>
              </w:rPr>
              <w:instrText xml:space="preserve"> REF _Ref2774509 \h  \* MERGEFORMAT </w:instrText>
            </w:r>
            <w:r w:rsidRPr="0076371D">
              <w:rPr>
                <w:szCs w:val="18"/>
              </w:rPr>
            </w:r>
            <w:r w:rsidRPr="0076371D">
              <w:rPr>
                <w:szCs w:val="18"/>
              </w:rPr>
              <w:fldChar w:fldCharType="separate"/>
            </w:r>
            <w:r w:rsidR="00AB304C" w:rsidRPr="00AB304C">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2A21AE" w:rsidRPr="003F3B4B">
              <w:rPr>
                <w:rFonts w:ascii="Times New Roman" w:hAnsi="Times New Roman"/>
                <w:vanish/>
                <w:szCs w:val="18"/>
              </w:rPr>
              <w:fldChar w:fldCharType="begin"/>
            </w:r>
            <w:r w:rsidR="002A21AE" w:rsidRPr="003F3B4B">
              <w:rPr>
                <w:rFonts w:ascii="Times New Roman" w:hAnsi="Times New Roman"/>
                <w:vanish/>
                <w:szCs w:val="18"/>
              </w:rPr>
              <w:instrText xml:space="preserve"> LISTNUM \l 1 \s 0 </w:instrText>
            </w:r>
            <w:r w:rsidR="002A21AE" w:rsidRPr="003F3B4B">
              <w:rPr>
                <w:rFonts w:ascii="Times New Roman" w:hAnsi="Times New Roman"/>
                <w:vanish/>
                <w:szCs w:val="18"/>
              </w:rPr>
              <w:fldChar w:fldCharType="end"/>
            </w:r>
          </w:p>
        </w:tc>
        <w:tc>
          <w:tcPr>
            <w:tcW w:w="6120" w:type="dxa"/>
          </w:tcPr>
          <w:p w14:paraId="0EA79A66" w14:textId="77777777" w:rsidR="00D45D8C" w:rsidRDefault="00D45D8C" w:rsidP="00D45D8C">
            <w:pPr>
              <w:pStyle w:val="TableTextBullet"/>
            </w:pPr>
            <w:r>
              <w:t>If Print is selected, prints the report on the designated printer.</w:t>
            </w:r>
          </w:p>
          <w:p w14:paraId="4EDB0289" w14:textId="77777777" w:rsidR="00D45D8C" w:rsidRDefault="00D45D8C" w:rsidP="00D45D8C">
            <w:pPr>
              <w:pStyle w:val="TableTextBullet"/>
            </w:pPr>
            <w:r>
              <w:t>If Export is selected, exports the report to the designated file.</w:t>
            </w:r>
          </w:p>
          <w:p w14:paraId="396DB5FB" w14:textId="42FD268C" w:rsidR="002A21AE" w:rsidRDefault="00D45D8C" w:rsidP="00D45D8C">
            <w:pPr>
              <w:pStyle w:val="TableTextBullet"/>
            </w:pPr>
            <w:r>
              <w:t>If Close is selected, exits the report preview.</w:t>
            </w:r>
          </w:p>
        </w:tc>
      </w:tr>
    </w:tbl>
    <w:p w14:paraId="184D2CD3" w14:textId="77777777" w:rsidR="002813A3" w:rsidRDefault="002813A3">
      <w:pPr>
        <w:pStyle w:val="Heading2"/>
      </w:pPr>
    </w:p>
    <w:p w14:paraId="63BD5013" w14:textId="77777777" w:rsidR="002A21AE" w:rsidRDefault="002813A3">
      <w:pPr>
        <w:pStyle w:val="Heading2"/>
      </w:pPr>
      <w:r>
        <w:br w:type="page"/>
      </w:r>
      <w:bookmarkStart w:id="591" w:name="_Toc4588852"/>
      <w:r w:rsidR="002A21AE">
        <w:lastRenderedPageBreak/>
        <w:t>Transfusion Reaction Count Report</w:t>
      </w:r>
      <w:bookmarkEnd w:id="591"/>
      <w:r w:rsidR="002A21AE">
        <w:fldChar w:fldCharType="begin"/>
      </w:r>
      <w:r w:rsidR="002A21AE">
        <w:instrText xml:space="preserve"> XE </w:instrText>
      </w:r>
      <w:r w:rsidR="00FA7E65">
        <w:instrText>“</w:instrText>
      </w:r>
      <w:r w:rsidR="002A21AE">
        <w:instrText>Transfusion Reaction Count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UC_106</w:t>
      </w:r>
    </w:p>
    <w:p w14:paraId="70B5D64C" w14:textId="77777777" w:rsidR="002A21AE" w:rsidRDefault="002A21AE" w:rsidP="00FA7E65">
      <w:pPr>
        <w:pStyle w:val="BodyText"/>
      </w:pPr>
      <w:r>
        <w:t>The user views and</w:t>
      </w:r>
      <w:r w:rsidR="00DD0E58">
        <w:t>/or</w:t>
      </w:r>
      <w:r>
        <w:t xml:space="preserve"> prints a Transfusion Reaction Count Report.</w:t>
      </w:r>
    </w:p>
    <w:p w14:paraId="0AEB02F2" w14:textId="77777777" w:rsidR="002A21AE" w:rsidRDefault="002A21AE">
      <w:pPr>
        <w:pStyle w:val="Heading4"/>
      </w:pPr>
      <w:r>
        <w:t>Assumptions</w:t>
      </w:r>
      <w:r>
        <w:rPr>
          <w:b w:val="0"/>
        </w:rPr>
        <w:t xml:space="preserve"> </w:t>
      </w:r>
    </w:p>
    <w:p w14:paraId="74DCAF97" w14:textId="77777777" w:rsidR="002A21AE" w:rsidRDefault="002A21AE">
      <w:pPr>
        <w:pStyle w:val="ListBullet"/>
      </w:pPr>
      <w:r>
        <w:t>Data for the report were saved in VBECS.</w:t>
      </w:r>
    </w:p>
    <w:p w14:paraId="51491E1A" w14:textId="77777777" w:rsidR="002A21AE" w:rsidRDefault="002A21AE">
      <w:pPr>
        <w:pStyle w:val="Heading4"/>
      </w:pPr>
      <w:r>
        <w:t xml:space="preserve">Outcome </w:t>
      </w:r>
    </w:p>
    <w:p w14:paraId="7D14BB29" w14:textId="77777777" w:rsidR="002A21AE" w:rsidRDefault="00AE521B">
      <w:pPr>
        <w:pStyle w:val="ListBullet"/>
      </w:pPr>
      <w:r>
        <w:t>The user views and/or prints the report</w:t>
      </w:r>
      <w:r w:rsidR="002A21AE">
        <w:t>.</w:t>
      </w:r>
    </w:p>
    <w:p w14:paraId="1F5D0D6E" w14:textId="77777777" w:rsidR="002A21AE" w:rsidRDefault="002A21AE">
      <w:pPr>
        <w:pStyle w:val="Heading4"/>
        <w:rPr>
          <w:b w:val="0"/>
        </w:rPr>
      </w:pPr>
      <w:r>
        <w:t>Limitations and Restrictions</w:t>
      </w:r>
      <w:r>
        <w:rPr>
          <w:b w:val="0"/>
        </w:rPr>
        <w:t xml:space="preserve"> </w:t>
      </w:r>
    </w:p>
    <w:p w14:paraId="4FD9006A" w14:textId="7BAE3775" w:rsidR="002A21AE" w:rsidRDefault="00AC682A">
      <w:pPr>
        <w:pStyle w:val="ListBullet"/>
      </w:pPr>
      <w:r>
        <w:t xml:space="preserve">Transfusion Reactions are only included on the report if the data were entered/updated during the selected date range. This means that retrospective entry of transfusion reactions may not display in the correct date range. The recorded date of the reaction is not considered in the selection criteria. Rerun the report for a date range that includes the date the data was entered or updated. For example, if a transfusion reaction that occurred on February 28 is retrospectively entered on March 1, it will only display on a report that includes March 1 in its date range. </w:t>
      </w:r>
      <w:r w:rsidRPr="00AC682A">
        <w:rPr>
          <w:vanish/>
        </w:rPr>
        <w:t>Defect 209152</w:t>
      </w:r>
    </w:p>
    <w:p w14:paraId="52F1B8F9" w14:textId="77777777" w:rsidR="002A21AE" w:rsidRDefault="002A21AE">
      <w:pPr>
        <w:pStyle w:val="Heading4"/>
      </w:pPr>
      <w:r>
        <w:t xml:space="preserve">Additional Information </w:t>
      </w:r>
    </w:p>
    <w:p w14:paraId="1E5219D3" w14:textId="77777777" w:rsidR="00991CFE" w:rsidRDefault="00991CFE" w:rsidP="00991CFE">
      <w:pPr>
        <w:pStyle w:val="ListBullet"/>
      </w:pPr>
      <w:r>
        <w:t>The report is available as a single-division or multidivisional (all divisions) report.</w:t>
      </w:r>
    </w:p>
    <w:p w14:paraId="4EB586AC" w14:textId="03190B1E" w:rsidR="00B15891" w:rsidRDefault="00B15891" w:rsidP="004210FE">
      <w:pPr>
        <w:pStyle w:val="ListBullet"/>
      </w:pPr>
      <w:r w:rsidRPr="00B15891">
        <w:t>The report only displays text entered in the “details” field of the Finalize T</w:t>
      </w:r>
      <w:r w:rsidR="004210FE">
        <w:t xml:space="preserve">ransfusion </w:t>
      </w:r>
      <w:r w:rsidRPr="00B15891">
        <w:t>R</w:t>
      </w:r>
      <w:r w:rsidR="004210FE">
        <w:t xml:space="preserve">eaction </w:t>
      </w:r>
      <w:r w:rsidRPr="00B15891">
        <w:t>W</w:t>
      </w:r>
      <w:r w:rsidR="004210FE">
        <w:t>orkup</w:t>
      </w:r>
      <w:r w:rsidRPr="00B15891">
        <w:t xml:space="preserve"> screen. The canned comments entered are suppressed on the report.</w:t>
      </w:r>
      <w:r w:rsidR="004210FE">
        <w:t xml:space="preserve"> </w:t>
      </w:r>
      <w:r w:rsidR="004210FE" w:rsidRPr="004210FE">
        <w:t>Enter all comments in the “details” field for them to print on the report.</w:t>
      </w:r>
      <w:r w:rsidR="0045341A">
        <w:t xml:space="preserve"> </w:t>
      </w:r>
      <w:r w:rsidR="0045341A" w:rsidRPr="0045341A">
        <w:rPr>
          <w:vanish/>
        </w:rPr>
        <w:t>Defect 209792</w:t>
      </w:r>
    </w:p>
    <w:p w14:paraId="24FC5837" w14:textId="77777777" w:rsidR="002A21AE" w:rsidRDefault="002A21AE">
      <w:pPr>
        <w:pStyle w:val="Heading4"/>
        <w:tabs>
          <w:tab w:val="left" w:pos="4140"/>
        </w:tabs>
        <w:rPr>
          <w:b w:val="0"/>
        </w:rPr>
      </w:pPr>
      <w:r>
        <w:t>User Roles with Access to This Option</w:t>
      </w:r>
      <w:r>
        <w:rPr>
          <w:b w:val="0"/>
        </w:rPr>
        <w:t xml:space="preserve"> </w:t>
      </w:r>
    </w:p>
    <w:p w14:paraId="7FD106C0" w14:textId="77777777" w:rsidR="002A21AE" w:rsidRDefault="00184EA4">
      <w:pPr>
        <w:pStyle w:val="Roles"/>
      </w:pPr>
      <w:r>
        <w:t>All users</w:t>
      </w:r>
    </w:p>
    <w:p w14:paraId="10FCEC9D" w14:textId="77777777" w:rsidR="002A21AE" w:rsidRDefault="002A21AE">
      <w:pPr>
        <w:pStyle w:val="Heading4"/>
      </w:pPr>
      <w:bookmarkStart w:id="592" w:name="_Hlk523065871"/>
      <w:r>
        <w:t>Transfusion Reaction Count Report</w:t>
      </w:r>
    </w:p>
    <w:bookmarkEnd w:id="592"/>
    <w:p w14:paraId="520DF610" w14:textId="77777777" w:rsidR="002A21AE" w:rsidRDefault="002A21AE" w:rsidP="00FA7E65">
      <w:pPr>
        <w:pStyle w:val="BodyText"/>
      </w:pPr>
      <w:r>
        <w:t>The user views and/or prints the Transfusion Reaction Count Report for a single division or for all divisions in the database.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17388305" w14:textId="77777777">
        <w:trPr>
          <w:cantSplit/>
          <w:tblHeader/>
        </w:trPr>
        <w:tc>
          <w:tcPr>
            <w:tcW w:w="3240" w:type="dxa"/>
            <w:shd w:val="pct30" w:color="auto" w:fill="FFFFFF"/>
            <w:vAlign w:val="bottom"/>
          </w:tcPr>
          <w:p w14:paraId="7CA59209" w14:textId="77777777" w:rsidR="002A21AE" w:rsidRDefault="002A21AE">
            <w:pPr>
              <w:pStyle w:val="TableText"/>
              <w:rPr>
                <w:b/>
              </w:rPr>
            </w:pPr>
            <w:r>
              <w:rPr>
                <w:b/>
              </w:rPr>
              <w:t>User Action</w:t>
            </w:r>
          </w:p>
        </w:tc>
        <w:tc>
          <w:tcPr>
            <w:tcW w:w="6120" w:type="dxa"/>
            <w:shd w:val="pct30" w:color="auto" w:fill="FFFFFF"/>
            <w:vAlign w:val="bottom"/>
          </w:tcPr>
          <w:p w14:paraId="76E05562" w14:textId="77777777" w:rsidR="002A21AE" w:rsidRDefault="002A21AE">
            <w:pPr>
              <w:pStyle w:val="TableText"/>
              <w:rPr>
                <w:b/>
              </w:rPr>
            </w:pPr>
            <w:r>
              <w:rPr>
                <w:b/>
              </w:rPr>
              <w:t>VBECS</w:t>
            </w:r>
          </w:p>
        </w:tc>
      </w:tr>
      <w:tr w:rsidR="002A21AE" w14:paraId="5DAD6685" w14:textId="77777777">
        <w:tc>
          <w:tcPr>
            <w:tcW w:w="3240" w:type="dxa"/>
          </w:tcPr>
          <w:p w14:paraId="6E071860" w14:textId="77777777" w:rsidR="002A21AE" w:rsidRDefault="002A21AE">
            <w:pPr>
              <w:pStyle w:val="TableTextNumbers"/>
            </w:pPr>
            <w:r>
              <w:t xml:space="preserve">Select </w:t>
            </w:r>
            <w:r>
              <w:rPr>
                <w:b/>
              </w:rPr>
              <w:t>Reports</w:t>
            </w:r>
            <w:r>
              <w:t xml:space="preserve"> from the main menu.</w:t>
            </w:r>
          </w:p>
          <w:p w14:paraId="213F189B" w14:textId="77777777" w:rsidR="002A21AE" w:rsidRDefault="002A21AE">
            <w:pPr>
              <w:pStyle w:val="TableTextNumbersContinued"/>
            </w:pPr>
          </w:p>
          <w:p w14:paraId="0C9FC45C" w14:textId="77777777" w:rsidR="002A21AE" w:rsidRDefault="002A21AE">
            <w:pPr>
              <w:pStyle w:val="TableTextNumbersContinued"/>
            </w:pPr>
            <w:r>
              <w:t xml:space="preserve">Select </w:t>
            </w:r>
            <w:r>
              <w:rPr>
                <w:b/>
              </w:rPr>
              <w:t>Transfusion Reaction Count Report</w:t>
            </w:r>
            <w:r>
              <w:t>.</w:t>
            </w:r>
          </w:p>
        </w:tc>
        <w:tc>
          <w:tcPr>
            <w:tcW w:w="6120" w:type="dxa"/>
          </w:tcPr>
          <w:p w14:paraId="683CACED" w14:textId="77777777" w:rsidR="002A21AE" w:rsidRDefault="002A21AE">
            <w:pPr>
              <w:pStyle w:val="TableTextBullet"/>
            </w:pPr>
            <w:r>
              <w:t>Lists report names.</w:t>
            </w:r>
          </w:p>
          <w:p w14:paraId="7AC2E014" w14:textId="77777777" w:rsidR="002A21AE" w:rsidRDefault="002A21AE">
            <w:pPr>
              <w:pStyle w:val="TableTextBullet"/>
            </w:pPr>
            <w:r>
              <w:t xml:space="preserve">Displays report division, format, and compilation criteria. </w:t>
            </w:r>
          </w:p>
          <w:p w14:paraId="211B5342" w14:textId="77777777" w:rsidR="002A21AE" w:rsidRDefault="002A21AE">
            <w:pPr>
              <w:pStyle w:val="TableText"/>
            </w:pPr>
          </w:p>
          <w:p w14:paraId="3055C559" w14:textId="77777777" w:rsidR="002A21AE" w:rsidRDefault="00057948">
            <w:pPr>
              <w:pStyle w:val="TableText"/>
              <w:rPr>
                <w:b/>
                <w:bCs/>
                <w:szCs w:val="18"/>
              </w:rPr>
            </w:pPr>
            <w:r>
              <w:rPr>
                <w:b/>
                <w:bCs/>
                <w:noProof/>
              </w:rPr>
              <mc:AlternateContent>
                <mc:Choice Requires="wps">
                  <w:drawing>
                    <wp:anchor distT="0" distB="0" distL="114300" distR="114300" simplePos="0" relativeHeight="251555328" behindDoc="0" locked="0" layoutInCell="1" allowOverlap="1" wp14:anchorId="3D1ADE38" wp14:editId="0FB5F172">
                      <wp:simplePos x="0" y="0"/>
                      <wp:positionH relativeFrom="column">
                        <wp:posOffset>457200</wp:posOffset>
                      </wp:positionH>
                      <wp:positionV relativeFrom="paragraph">
                        <wp:posOffset>65405</wp:posOffset>
                      </wp:positionV>
                      <wp:extent cx="3200400" cy="0"/>
                      <wp:effectExtent l="9525" t="17780" r="9525" b="10795"/>
                      <wp:wrapNone/>
                      <wp:docPr id="275" name="Line 860" descr="P10898C4T12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D9D94" id="Line 860" o:spid="_x0000_s1026" alt="&quot;&quot;" style="position:absolute;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N3DzLnEAQAAbgMAAA4AAAAAAAAAAAAAAAAA&#10;LgIAAGRycy9lMm9Eb2MueG1sUEsBAi0AFAAGAAgAAAAhABdPMBLbAAAACAEAAA8AAAAAAAAAAAAA&#10;AAAAHgQAAGRycy9kb3ducmV2LnhtbFBLBQYAAAAABAAEAPMAAAAmBQAAAAA=&#10;" strokeweight="1.5pt"/>
                  </w:pict>
                </mc:Fallback>
              </mc:AlternateContent>
            </w:r>
            <w:r w:rsidR="002A21AE">
              <w:rPr>
                <w:b/>
                <w:bCs/>
                <w:szCs w:val="18"/>
              </w:rPr>
              <w:t>NOTES</w:t>
            </w:r>
          </w:p>
          <w:p w14:paraId="6580ADEA" w14:textId="77777777" w:rsidR="002A21AE" w:rsidRDefault="002A21AE">
            <w:pPr>
              <w:pStyle w:val="NotesText"/>
            </w:pPr>
          </w:p>
          <w:p w14:paraId="149CC7E5" w14:textId="77777777" w:rsidR="002A21AE" w:rsidRDefault="002A21AE">
            <w:pPr>
              <w:pStyle w:val="NotesText"/>
            </w:pPr>
            <w:r>
              <w:rPr>
                <w:rFonts w:cs="Arial"/>
                <w:vanish/>
              </w:rPr>
              <w:t xml:space="preserve">BR_106.01 </w:t>
            </w:r>
            <w:bookmarkStart w:id="593" w:name="_Hlk523065851"/>
            <w:r>
              <w:t>The report includes transfusion reactions that are ordered, pending, completed, or finalized</w:t>
            </w:r>
            <w:r w:rsidR="00AF0CB8">
              <w:t>, and those indicated during Post-Transfusion Information.</w:t>
            </w:r>
            <w:bookmarkEnd w:id="593"/>
          </w:p>
        </w:tc>
      </w:tr>
      <w:tr w:rsidR="002A21AE" w14:paraId="0E60BDDA" w14:textId="77777777">
        <w:tc>
          <w:tcPr>
            <w:tcW w:w="3240" w:type="dxa"/>
          </w:tcPr>
          <w:p w14:paraId="6042DD59" w14:textId="77777777" w:rsidR="002A21AE" w:rsidRDefault="002A21AE">
            <w:pPr>
              <w:pStyle w:val="TableTextNumbers"/>
            </w:pPr>
            <w:r>
              <w:t>Enter or select start and end dates.</w:t>
            </w:r>
          </w:p>
        </w:tc>
        <w:tc>
          <w:tcPr>
            <w:tcW w:w="6120" w:type="dxa"/>
          </w:tcPr>
          <w:p w14:paraId="003281CB" w14:textId="77777777" w:rsidR="002A21AE" w:rsidRDefault="002A21AE">
            <w:pPr>
              <w:pStyle w:val="TableTextBullet"/>
            </w:pPr>
            <w:r>
              <w:t>Compiles and displays the report.</w:t>
            </w:r>
          </w:p>
          <w:p w14:paraId="2CA9EFC9" w14:textId="77777777" w:rsidR="002A21AE" w:rsidRDefault="002A21AE">
            <w:pPr>
              <w:pStyle w:val="TableTextBullet"/>
            </w:pPr>
            <w:r>
              <w:t>Allows the user to print the report.</w:t>
            </w:r>
          </w:p>
        </w:tc>
      </w:tr>
      <w:tr w:rsidR="002A21AE" w14:paraId="2EEF4632" w14:textId="77777777" w:rsidTr="00305B16">
        <w:trPr>
          <w:cantSplit/>
        </w:trPr>
        <w:tc>
          <w:tcPr>
            <w:tcW w:w="3240" w:type="dxa"/>
          </w:tcPr>
          <w:p w14:paraId="30600F2A" w14:textId="77777777" w:rsidR="002A21AE" w:rsidRDefault="002A21AE">
            <w:pPr>
              <w:pStyle w:val="TableTextNumbers"/>
            </w:pPr>
            <w:r>
              <w:lastRenderedPageBreak/>
              <w:t xml:space="preserve">Click the </w:t>
            </w:r>
            <w:r>
              <w:rPr>
                <w:b/>
              </w:rPr>
              <w:t xml:space="preserve">Current Divisions </w:t>
            </w:r>
            <w:r>
              <w:t>or</w:t>
            </w:r>
            <w:r>
              <w:rPr>
                <w:b/>
              </w:rPr>
              <w:t xml:space="preserve"> All Divisions </w:t>
            </w:r>
            <w:r w:rsidRPr="00BF2E41">
              <w:t>radio button</w:t>
            </w:r>
            <w:r>
              <w:t>.</w:t>
            </w:r>
          </w:p>
        </w:tc>
        <w:tc>
          <w:tcPr>
            <w:tcW w:w="6120" w:type="dxa"/>
          </w:tcPr>
          <w:p w14:paraId="70329639" w14:textId="77777777" w:rsidR="002A21AE" w:rsidRDefault="002A21AE">
            <w:pPr>
              <w:pStyle w:val="TableTextBullet"/>
            </w:pPr>
            <w:r>
              <w:t>Allows the user to select one or all divisions.</w:t>
            </w:r>
          </w:p>
          <w:p w14:paraId="5FB9EBFC" w14:textId="77777777" w:rsidR="002A21AE" w:rsidRDefault="002A21AE">
            <w:pPr>
              <w:pStyle w:val="TableTextBullet"/>
            </w:pPr>
            <w:r>
              <w:t>Displays a date range for selection.</w:t>
            </w:r>
          </w:p>
          <w:p w14:paraId="7A9F164F" w14:textId="77777777" w:rsidR="002A21AE" w:rsidRDefault="002A21AE">
            <w:pPr>
              <w:pStyle w:val="TableText"/>
              <w:rPr>
                <w:b/>
                <w:bCs/>
                <w:szCs w:val="18"/>
              </w:rPr>
            </w:pPr>
          </w:p>
          <w:p w14:paraId="4427C6E4" w14:textId="77777777" w:rsidR="002A21AE" w:rsidRDefault="00057948">
            <w:pPr>
              <w:pStyle w:val="TableText"/>
              <w:rPr>
                <w:b/>
                <w:bCs/>
                <w:szCs w:val="18"/>
              </w:rPr>
            </w:pPr>
            <w:r>
              <w:rPr>
                <w:b/>
                <w:bCs/>
                <w:noProof/>
              </w:rPr>
              <mc:AlternateContent>
                <mc:Choice Requires="wps">
                  <w:drawing>
                    <wp:anchor distT="0" distB="0" distL="114300" distR="114300" simplePos="0" relativeHeight="251557376" behindDoc="0" locked="0" layoutInCell="1" allowOverlap="1" wp14:anchorId="0C25C36E" wp14:editId="51FC6CF8">
                      <wp:simplePos x="0" y="0"/>
                      <wp:positionH relativeFrom="column">
                        <wp:posOffset>457200</wp:posOffset>
                      </wp:positionH>
                      <wp:positionV relativeFrom="paragraph">
                        <wp:posOffset>65405</wp:posOffset>
                      </wp:positionV>
                      <wp:extent cx="3200400" cy="0"/>
                      <wp:effectExtent l="9525" t="17780" r="9525" b="10795"/>
                      <wp:wrapNone/>
                      <wp:docPr id="274" name="Line 861" descr="P10910C8T12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3489D" id="Line 861" o:spid="_x0000_s1026" alt="&quot;&quot;" style="position:absolute;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lKC3Z8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4505EBC6" w14:textId="77777777" w:rsidR="002A21AE" w:rsidRDefault="002A21AE">
            <w:pPr>
              <w:pStyle w:val="NotesText"/>
            </w:pPr>
          </w:p>
          <w:p w14:paraId="0F32E7B2" w14:textId="77777777" w:rsidR="002A21AE" w:rsidRDefault="002A21AE">
            <w:pPr>
              <w:pStyle w:val="NotesText"/>
            </w:pPr>
            <w:r>
              <w:rPr>
                <w:rFonts w:cs="Arial"/>
                <w:vanish/>
              </w:rPr>
              <w:t xml:space="preserve">BR_106.03 </w:t>
            </w:r>
            <w:r>
              <w:t>The Transfusion Reaction Count Report by type includes specific patient information indicated by the user. The default report setting excludes patient names.</w:t>
            </w:r>
          </w:p>
        </w:tc>
      </w:tr>
      <w:tr w:rsidR="002A21AE" w14:paraId="137C388E" w14:textId="77777777">
        <w:tc>
          <w:tcPr>
            <w:tcW w:w="3240" w:type="dxa"/>
          </w:tcPr>
          <w:p w14:paraId="2C64BE49" w14:textId="77777777" w:rsidR="002A21AE" w:rsidRDefault="002A21AE">
            <w:pPr>
              <w:pStyle w:val="TableTextNumbers"/>
            </w:pPr>
            <w:r>
              <w:t xml:space="preserve">Click the </w:t>
            </w:r>
            <w:r>
              <w:rPr>
                <w:b/>
              </w:rPr>
              <w:t xml:space="preserve">Detailed Report </w:t>
            </w:r>
            <w:r>
              <w:t>or</w:t>
            </w:r>
            <w:r>
              <w:rPr>
                <w:b/>
              </w:rPr>
              <w:t xml:space="preserve"> Summary Report </w:t>
            </w:r>
            <w:r w:rsidRPr="00BF2E41">
              <w:t>radio button</w:t>
            </w:r>
            <w:r>
              <w:t>.</w:t>
            </w:r>
          </w:p>
        </w:tc>
        <w:tc>
          <w:tcPr>
            <w:tcW w:w="6120" w:type="dxa"/>
          </w:tcPr>
          <w:p w14:paraId="2FE4D35B" w14:textId="77777777" w:rsidR="002A21AE" w:rsidRDefault="002A21AE">
            <w:pPr>
              <w:pStyle w:val="TableTextBullet"/>
            </w:pPr>
            <w:r>
              <w:t>Displays an option to compile the report as detailed or summary.</w:t>
            </w:r>
          </w:p>
          <w:p w14:paraId="788D25EB" w14:textId="77777777" w:rsidR="002A21AE" w:rsidRDefault="002A21AE">
            <w:pPr>
              <w:pStyle w:val="TableTextBullet"/>
            </w:pPr>
            <w:r>
              <w:t>Compiles and displays the report.</w:t>
            </w:r>
          </w:p>
          <w:p w14:paraId="59F49CBC" w14:textId="77777777" w:rsidR="002A21AE" w:rsidRDefault="002A21AE">
            <w:pPr>
              <w:pStyle w:val="TableTextBullet"/>
            </w:pPr>
            <w:r>
              <w:t xml:space="preserve">Allows the user to print the report. </w:t>
            </w:r>
          </w:p>
          <w:p w14:paraId="182DB596" w14:textId="77777777" w:rsidR="002A21AE" w:rsidRDefault="002A21AE">
            <w:pPr>
              <w:pStyle w:val="TableText"/>
            </w:pPr>
          </w:p>
          <w:p w14:paraId="2C9BF470" w14:textId="77777777" w:rsidR="002A21AE" w:rsidRDefault="00057948">
            <w:pPr>
              <w:pStyle w:val="TableText"/>
              <w:rPr>
                <w:b/>
                <w:bCs/>
                <w:szCs w:val="18"/>
              </w:rPr>
            </w:pPr>
            <w:r>
              <w:rPr>
                <w:b/>
                <w:bCs/>
                <w:noProof/>
              </w:rPr>
              <mc:AlternateContent>
                <mc:Choice Requires="wps">
                  <w:drawing>
                    <wp:anchor distT="0" distB="0" distL="114300" distR="114300" simplePos="0" relativeHeight="251559424" behindDoc="0" locked="0" layoutInCell="1" allowOverlap="1" wp14:anchorId="30DEAD68" wp14:editId="5BED35AB">
                      <wp:simplePos x="0" y="0"/>
                      <wp:positionH relativeFrom="column">
                        <wp:posOffset>457200</wp:posOffset>
                      </wp:positionH>
                      <wp:positionV relativeFrom="paragraph">
                        <wp:posOffset>65405</wp:posOffset>
                      </wp:positionV>
                      <wp:extent cx="3200400" cy="0"/>
                      <wp:effectExtent l="9525" t="17780" r="9525" b="10795"/>
                      <wp:wrapNone/>
                      <wp:docPr id="271" name="Line 862" descr="P10919C10T12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6C981" id="Line 862" o:spid="_x0000_s1026" alt="&quot;&quot;" style="position:absolute;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LdFNYsMBAABuAwAADgAAAAAAAAAAAAAAAAAu&#10;AgAAZHJzL2Uyb0RvYy54bWxQSwECLQAUAAYACAAAACEAF08wEtsAAAAIAQAADwAAAAAAAAAAAAAA&#10;AAAdBAAAZHJzL2Rvd25yZXYueG1sUEsFBgAAAAAEAAQA8wAAACUFAAAAAA==&#10;" strokeweight="1.5pt"/>
                  </w:pict>
                </mc:Fallback>
              </mc:AlternateContent>
            </w:r>
            <w:r w:rsidR="002A21AE">
              <w:rPr>
                <w:b/>
                <w:bCs/>
                <w:szCs w:val="18"/>
              </w:rPr>
              <w:t>NOTES</w:t>
            </w:r>
          </w:p>
          <w:p w14:paraId="75FD4852" w14:textId="77777777" w:rsidR="002A21AE" w:rsidRDefault="002A21AE">
            <w:pPr>
              <w:pStyle w:val="NotesText"/>
            </w:pPr>
          </w:p>
          <w:p w14:paraId="10CC779D" w14:textId="77777777" w:rsidR="002A21AE" w:rsidRDefault="002A21AE">
            <w:pPr>
              <w:pStyle w:val="NotesText"/>
            </w:pPr>
            <w:r>
              <w:rPr>
                <w:rFonts w:cs="Arial"/>
                <w:vanish/>
              </w:rPr>
              <w:t xml:space="preserve">BR_106.04 </w:t>
            </w:r>
            <w:r>
              <w:t>The Transfusion Reaction Count Report prints the implicated unit numbers or “no implicated units,” as appropriate.</w:t>
            </w:r>
          </w:p>
          <w:p w14:paraId="0F158566" w14:textId="77777777" w:rsidR="002A21AE" w:rsidRDefault="002A21AE">
            <w:pPr>
              <w:pStyle w:val="NotesText"/>
            </w:pPr>
          </w:p>
          <w:p w14:paraId="47AB58D8" w14:textId="77777777" w:rsidR="002A21AE" w:rsidRDefault="002A21AE" w:rsidP="0053173B">
            <w:pPr>
              <w:pStyle w:val="NotesText"/>
            </w:pPr>
            <w:r>
              <w:rPr>
                <w:rFonts w:cs="Arial"/>
                <w:vanish/>
              </w:rPr>
              <w:t xml:space="preserve">BR_106.06 </w:t>
            </w:r>
            <w:r>
              <w:t>VBECS reports the total number of patient transfusion reactions in the selected date range.</w:t>
            </w:r>
          </w:p>
        </w:tc>
      </w:tr>
      <w:tr w:rsidR="002A21AE" w14:paraId="1B7171DA" w14:textId="77777777">
        <w:tc>
          <w:tcPr>
            <w:tcW w:w="3240" w:type="dxa"/>
          </w:tcPr>
          <w:p w14:paraId="1F924A26" w14:textId="77777777" w:rsidR="002A21AE" w:rsidRDefault="002A21AE">
            <w:pPr>
              <w:pStyle w:val="TableTextNumbers"/>
            </w:pPr>
            <w:r>
              <w:t xml:space="preserve">In the Report Compilation area, click the </w:t>
            </w:r>
            <w:r>
              <w:rPr>
                <w:b/>
              </w:rPr>
              <w:t xml:space="preserve">Create Report Now </w:t>
            </w:r>
            <w:r w:rsidRPr="00BF2E41">
              <w:t>radio button</w:t>
            </w:r>
            <w:r>
              <w:t xml:space="preserve">. Click </w:t>
            </w:r>
            <w:r>
              <w:rPr>
                <w:b/>
              </w:rPr>
              <w:t>OK</w:t>
            </w:r>
            <w:r>
              <w:t xml:space="preserve"> to view the report, or</w:t>
            </w:r>
          </w:p>
          <w:p w14:paraId="4A334DE0" w14:textId="77777777" w:rsidR="002A21AE" w:rsidRDefault="002A21AE">
            <w:pPr>
              <w:pStyle w:val="TableTextNumbersContinued"/>
              <w:rPr>
                <w:b/>
                <w:bCs/>
              </w:rPr>
            </w:pPr>
          </w:p>
          <w:p w14:paraId="2D3F5B73"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 or click </w:t>
            </w:r>
            <w:r>
              <w:rPr>
                <w:b/>
              </w:rPr>
              <w:t>Close</w:t>
            </w:r>
            <w:r>
              <w:t xml:space="preserve"> to exit without printing.</w:t>
            </w:r>
            <w:r>
              <w:rPr>
                <w:color w:val="FFFFFF"/>
              </w:rPr>
              <w:t xml:space="preserve"> </w:t>
            </w:r>
          </w:p>
        </w:tc>
        <w:tc>
          <w:tcPr>
            <w:tcW w:w="6120" w:type="dxa"/>
          </w:tcPr>
          <w:p w14:paraId="72A412C8" w14:textId="77777777" w:rsidR="000566D6" w:rsidRDefault="00F64B5C" w:rsidP="00AA2B2E">
            <w:pPr>
              <w:pStyle w:val="TableTextBullet"/>
            </w:pPr>
            <w:r>
              <w:t>Compiles and displays the report.</w:t>
            </w:r>
          </w:p>
        </w:tc>
      </w:tr>
      <w:tr w:rsidR="00F64B5C" w14:paraId="4C498BDE" w14:textId="77777777">
        <w:tc>
          <w:tcPr>
            <w:tcW w:w="3240" w:type="dxa"/>
            <w:tcBorders>
              <w:top w:val="single" w:sz="4" w:space="0" w:color="auto"/>
              <w:left w:val="single" w:sz="4" w:space="0" w:color="auto"/>
              <w:bottom w:val="single" w:sz="4" w:space="0" w:color="auto"/>
              <w:right w:val="single" w:sz="4" w:space="0" w:color="auto"/>
            </w:tcBorders>
          </w:tcPr>
          <w:p w14:paraId="6A2980F3" w14:textId="0328FDA6" w:rsidR="00F64B5C" w:rsidRDefault="00D45D8C" w:rsidP="007E0D91">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fldLock="1"/>
            </w:r>
            <w:r w:rsidRPr="0076371D">
              <w:rPr>
                <w:szCs w:val="18"/>
              </w:rPr>
              <w:instrText xml:space="preserve"> REF _Ref2774509 \h  \* MERGEFORMAT </w:instrText>
            </w:r>
            <w:r w:rsidRPr="0076371D">
              <w:rPr>
                <w:szCs w:val="18"/>
              </w:rPr>
            </w:r>
            <w:r w:rsidRPr="0076371D">
              <w:rPr>
                <w:szCs w:val="18"/>
              </w:rPr>
              <w:fldChar w:fldCharType="separate"/>
            </w:r>
            <w:r w:rsidR="00AB304C" w:rsidRPr="00AB304C">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F64B5C" w:rsidRPr="00200B6D">
              <w:rPr>
                <w:vanish/>
                <w:szCs w:val="18"/>
              </w:rPr>
              <w:t xml:space="preserve"> </w:t>
            </w:r>
            <w:r w:rsidR="00F64B5C" w:rsidRPr="00200B6D">
              <w:rPr>
                <w:vanish/>
                <w:szCs w:val="18"/>
              </w:rPr>
              <w:fldChar w:fldCharType="begin"/>
            </w:r>
            <w:r w:rsidR="00F64B5C" w:rsidRPr="00200B6D">
              <w:rPr>
                <w:vanish/>
                <w:szCs w:val="18"/>
              </w:rPr>
              <w:instrText xml:space="preserve"> LISTNUM \l 1 \s 0 </w:instrText>
            </w:r>
            <w:r w:rsidR="00F64B5C" w:rsidRPr="00200B6D">
              <w:rPr>
                <w:vanish/>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151E0E21" w14:textId="77777777" w:rsidR="00D45D8C" w:rsidRDefault="00D45D8C" w:rsidP="00D45D8C">
            <w:pPr>
              <w:pStyle w:val="TableTextBullet"/>
            </w:pPr>
            <w:r>
              <w:t>If Print is selected, prints the report on the designated printer.</w:t>
            </w:r>
          </w:p>
          <w:p w14:paraId="3D10BE76" w14:textId="77777777" w:rsidR="00D45D8C" w:rsidRDefault="00D45D8C" w:rsidP="00D45D8C">
            <w:pPr>
              <w:pStyle w:val="TableTextBullet"/>
            </w:pPr>
            <w:r>
              <w:t>If Export is selected, exports the report to the designated file.</w:t>
            </w:r>
          </w:p>
          <w:p w14:paraId="5544D26D" w14:textId="466790BB" w:rsidR="00F64B5C" w:rsidRDefault="00D45D8C" w:rsidP="00D45D8C">
            <w:pPr>
              <w:pStyle w:val="TableTextBullet"/>
            </w:pPr>
            <w:r>
              <w:t>If Close is selected, exits the report preview.</w:t>
            </w:r>
          </w:p>
        </w:tc>
      </w:tr>
    </w:tbl>
    <w:p w14:paraId="3C87AF8C" w14:textId="77777777" w:rsidR="002813A3" w:rsidRDefault="002813A3">
      <w:pPr>
        <w:pStyle w:val="Heading2"/>
      </w:pPr>
    </w:p>
    <w:p w14:paraId="3C6656EA" w14:textId="77777777" w:rsidR="002A21AE" w:rsidRDefault="002813A3">
      <w:pPr>
        <w:pStyle w:val="Heading2"/>
      </w:pPr>
      <w:r>
        <w:br w:type="page"/>
      </w:r>
      <w:bookmarkStart w:id="594" w:name="_Toc4588853"/>
      <w:r w:rsidR="002A21AE">
        <w:lastRenderedPageBreak/>
        <w:t>Transfusion Requirements Report</w:t>
      </w:r>
      <w:bookmarkEnd w:id="594"/>
      <w:r w:rsidR="002A21AE">
        <w:fldChar w:fldCharType="begin"/>
      </w:r>
      <w:r w:rsidR="002A21AE">
        <w:instrText xml:space="preserve"> XE </w:instrText>
      </w:r>
      <w:r w:rsidR="00FA7E65">
        <w:instrText>“</w:instrText>
      </w:r>
      <w:r w:rsidR="002A21AE">
        <w:instrText>Transfusion Requirements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UC_89</w:t>
      </w:r>
    </w:p>
    <w:p w14:paraId="3D212CAB" w14:textId="77777777" w:rsidR="002A21AE" w:rsidRDefault="002A21AE" w:rsidP="00FA7E65">
      <w:pPr>
        <w:pStyle w:val="BodyText"/>
      </w:pPr>
      <w:r>
        <w:t xml:space="preserve">The user views </w:t>
      </w:r>
      <w:r w:rsidR="00EB1E5A">
        <w:t xml:space="preserve">and/or </w:t>
      </w:r>
      <w:r>
        <w:t xml:space="preserve">prints a Transfusion Requirements Report. </w:t>
      </w:r>
    </w:p>
    <w:p w14:paraId="3CBB77E9" w14:textId="77777777" w:rsidR="002A21AE" w:rsidRDefault="002A21AE">
      <w:pPr>
        <w:pStyle w:val="Heading4"/>
      </w:pPr>
      <w:r>
        <w:t>Assumptions</w:t>
      </w:r>
      <w:r>
        <w:rPr>
          <w:b w:val="0"/>
        </w:rPr>
        <w:t xml:space="preserve"> </w:t>
      </w:r>
    </w:p>
    <w:p w14:paraId="7EF3ECAC" w14:textId="77777777" w:rsidR="002A21AE" w:rsidRDefault="002A21AE">
      <w:pPr>
        <w:pStyle w:val="ListBullet"/>
      </w:pPr>
      <w:r>
        <w:t xml:space="preserve">The database conversion of </w:t>
      </w:r>
      <w:r w:rsidR="00CA6E27" w:rsidRPr="00CA6E27">
        <w:rPr>
          <w:bCs/>
        </w:rPr>
        <w:t>VistA</w:t>
      </w:r>
      <w:r>
        <w:t xml:space="preserve"> patient files is complete.</w:t>
      </w:r>
    </w:p>
    <w:p w14:paraId="6ECB8A2D" w14:textId="77777777" w:rsidR="002A21AE" w:rsidRDefault="002A21AE">
      <w:pPr>
        <w:pStyle w:val="ListBullet"/>
      </w:pPr>
      <w:r>
        <w:t>Data for the report were saved in VBECS.</w:t>
      </w:r>
    </w:p>
    <w:p w14:paraId="1180DEC1" w14:textId="77777777" w:rsidR="002A21AE" w:rsidRDefault="002A21AE">
      <w:pPr>
        <w:pStyle w:val="Heading4"/>
      </w:pPr>
      <w:r>
        <w:t xml:space="preserve">Outcome </w:t>
      </w:r>
    </w:p>
    <w:p w14:paraId="17EE5613" w14:textId="77777777" w:rsidR="002A21AE" w:rsidRDefault="00AE521B">
      <w:pPr>
        <w:pStyle w:val="ListBullet"/>
      </w:pPr>
      <w:r>
        <w:t>The user views and/or prints the report</w:t>
      </w:r>
      <w:r w:rsidR="002A21AE">
        <w:t>.</w:t>
      </w:r>
    </w:p>
    <w:p w14:paraId="2D68E714" w14:textId="77777777" w:rsidR="002A21AE" w:rsidRDefault="002A21AE">
      <w:pPr>
        <w:pStyle w:val="Heading4"/>
      </w:pPr>
      <w:r>
        <w:t>Limitations and Restrictions</w:t>
      </w:r>
      <w:r>
        <w:rPr>
          <w:b w:val="0"/>
        </w:rPr>
        <w:t xml:space="preserve"> </w:t>
      </w:r>
    </w:p>
    <w:p w14:paraId="2C75AB61" w14:textId="4AEEA982" w:rsidR="002A21AE" w:rsidRPr="00684625" w:rsidRDefault="002A21AE">
      <w:pPr>
        <w:pStyle w:val="ListBullet"/>
      </w:pPr>
      <w:r>
        <w:rPr>
          <w:rFonts w:ascii="Arial" w:hAnsi="Arial" w:cs="Arial"/>
          <w:vanish/>
          <w:spacing w:val="0"/>
          <w:sz w:val="18"/>
        </w:rPr>
        <w:t xml:space="preserve">BR_89.01 </w:t>
      </w:r>
      <w:r w:rsidR="00B93109" w:rsidRPr="00684625">
        <w:rPr>
          <w:spacing w:val="0"/>
        </w:rPr>
        <w:t>Deceased patient records do not appear on the report when they are generated after the patient has been marked</w:t>
      </w:r>
      <w:r w:rsidR="00DB68D8" w:rsidRPr="00684625">
        <w:rPr>
          <w:spacing w:val="0"/>
        </w:rPr>
        <w:t xml:space="preserve"> as deceased</w:t>
      </w:r>
      <w:r w:rsidR="00B93109" w:rsidRPr="00684625">
        <w:rPr>
          <w:spacing w:val="0"/>
        </w:rPr>
        <w:t xml:space="preserve"> in the VBECS database via a VistA Death Notification Update.</w:t>
      </w:r>
      <w:r w:rsidR="00DB68D8" w:rsidRPr="00684625">
        <w:rPr>
          <w:spacing w:val="0"/>
        </w:rPr>
        <w:t xml:space="preserve"> </w:t>
      </w:r>
      <w:r w:rsidR="00DB68D8" w:rsidRPr="00684625">
        <w:rPr>
          <w:vanish/>
          <w:spacing w:val="0"/>
        </w:rPr>
        <w:t>DR 5086</w:t>
      </w:r>
    </w:p>
    <w:p w14:paraId="40E9BFD6" w14:textId="04708542" w:rsidR="00684625" w:rsidRDefault="00684625">
      <w:pPr>
        <w:pStyle w:val="ListBullet"/>
      </w:pPr>
      <w:r w:rsidRPr="00684625">
        <w:rPr>
          <w:vanish/>
          <w:spacing w:val="0"/>
        </w:rPr>
        <w:t>The cumulative report</w:t>
      </w:r>
      <w:r w:rsidRPr="00684625">
        <w:rPr>
          <w:spacing w:val="0"/>
        </w:rPr>
        <w:t xml:space="preserve">The cumulative report is not displaying </w:t>
      </w:r>
      <w:r w:rsidRPr="00684625">
        <w:t>all patients on file. A patient with ABO/Rh testing and no other requirement appears on the partial Transfusion Requirements report, but not on the cumulative report.</w:t>
      </w:r>
      <w:r>
        <w:t xml:space="preserve"> </w:t>
      </w:r>
      <w:r w:rsidRPr="00684625">
        <w:rPr>
          <w:vanish/>
        </w:rPr>
        <w:t>Defect 208903</w:t>
      </w:r>
    </w:p>
    <w:p w14:paraId="6BB4EAD9" w14:textId="17712B70" w:rsidR="00684625" w:rsidRPr="00684625" w:rsidRDefault="00684625">
      <w:pPr>
        <w:pStyle w:val="ListBullet"/>
      </w:pPr>
      <w:r>
        <w:t xml:space="preserve">A report printed with an end date of today or greater does not print “Partial” in the header. </w:t>
      </w:r>
      <w:r w:rsidRPr="00684625">
        <w:rPr>
          <w:vanish/>
        </w:rPr>
        <w:t>Defect 208901</w:t>
      </w:r>
    </w:p>
    <w:p w14:paraId="393C7C29" w14:textId="77777777" w:rsidR="002A21AE" w:rsidRDefault="002A21AE">
      <w:pPr>
        <w:pStyle w:val="Heading4"/>
      </w:pPr>
      <w:r>
        <w:t>Additional Information</w:t>
      </w:r>
      <w:r>
        <w:rPr>
          <w:rFonts w:ascii="Times New Roman" w:hAnsi="Times New Roman"/>
          <w:i/>
          <w:sz w:val="24"/>
        </w:rPr>
        <w:t xml:space="preserve"> </w:t>
      </w:r>
    </w:p>
    <w:p w14:paraId="6073F527" w14:textId="0BFD6913" w:rsidR="002A21AE" w:rsidRPr="00E53D6C" w:rsidRDefault="002A21AE" w:rsidP="00684625">
      <w:pPr>
        <w:pStyle w:val="ListBullet"/>
        <w:tabs>
          <w:tab w:val="clear" w:pos="648"/>
          <w:tab w:val="num" w:pos="630"/>
          <w:tab w:val="num" w:pos="720"/>
        </w:tabs>
        <w:ind w:left="720"/>
      </w:pPr>
      <w:r>
        <w:rPr>
          <w:rFonts w:ascii="Arial" w:hAnsi="Arial" w:cs="Arial"/>
          <w:vanish/>
          <w:spacing w:val="0"/>
          <w:sz w:val="18"/>
        </w:rPr>
        <w:t xml:space="preserve">BR_89.06 </w:t>
      </w:r>
      <w:r w:rsidRPr="00F32AB8">
        <w:rPr>
          <w:vanish/>
        </w:rPr>
        <w:t xml:space="preserve"> </w:t>
      </w:r>
      <w:r w:rsidR="00F32AB8" w:rsidRPr="00E53D6C">
        <w:t xml:space="preserve">A </w:t>
      </w:r>
      <w:r w:rsidRPr="00E53D6C">
        <w:t xml:space="preserve">Transfusion Requirements report is compiled </w:t>
      </w:r>
      <w:r w:rsidR="00875D04" w:rsidRPr="00E53D6C">
        <w:t xml:space="preserve">from </w:t>
      </w:r>
      <w:r w:rsidR="00F32AB8" w:rsidRPr="00E53D6C">
        <w:t xml:space="preserve">all VBECS </w:t>
      </w:r>
      <w:r w:rsidRPr="00E53D6C">
        <w:t>divisions</w:t>
      </w:r>
      <w:r w:rsidR="00F32AB8" w:rsidRPr="00E53D6C">
        <w:t xml:space="preserve"> defined in the VBECS</w:t>
      </w:r>
      <w:r w:rsidR="00684625">
        <w:t xml:space="preserve"> </w:t>
      </w:r>
      <w:r w:rsidR="00F32AB8" w:rsidRPr="00E53D6C">
        <w:t>database.</w:t>
      </w:r>
    </w:p>
    <w:p w14:paraId="5B90C537" w14:textId="77777777" w:rsidR="002A21AE" w:rsidRPr="00E53D6C" w:rsidRDefault="002A21AE">
      <w:pPr>
        <w:pStyle w:val="ListBullet"/>
        <w:tabs>
          <w:tab w:val="num" w:pos="720"/>
        </w:tabs>
        <w:ind w:left="720"/>
      </w:pPr>
      <w:r w:rsidRPr="00E53D6C">
        <w:rPr>
          <w:vanish/>
          <w:spacing w:val="0"/>
        </w:rPr>
        <w:t xml:space="preserve">BR_89.02 </w:t>
      </w:r>
      <w:r w:rsidRPr="00E53D6C">
        <w:t>VBECS does not allow a report to be printed when no data are available.</w:t>
      </w:r>
    </w:p>
    <w:p w14:paraId="5BEAA5F9" w14:textId="77777777" w:rsidR="002A21AE" w:rsidRDefault="002A21AE" w:rsidP="00E53D6C">
      <w:pPr>
        <w:pStyle w:val="ListBullet"/>
        <w:tabs>
          <w:tab w:val="clear" w:pos="648"/>
          <w:tab w:val="left" w:pos="630"/>
          <w:tab w:val="num" w:pos="720"/>
        </w:tabs>
        <w:ind w:left="720"/>
      </w:pPr>
      <w:r w:rsidRPr="00E53D6C">
        <w:rPr>
          <w:vanish/>
          <w:spacing w:val="0"/>
        </w:rPr>
        <w:t xml:space="preserve">BR_89.04 </w:t>
      </w:r>
      <w:r w:rsidRPr="00E53D6C">
        <w:t>When the date range includes a future date and time, VBECS displays “Partial” in the report header on each page of the report.</w:t>
      </w:r>
    </w:p>
    <w:p w14:paraId="6ACEF957" w14:textId="0F2F86C9" w:rsidR="00BD4462" w:rsidRPr="00E53D6C" w:rsidRDefault="00721A9D" w:rsidP="001403D9">
      <w:pPr>
        <w:pStyle w:val="ListBullet"/>
        <w:tabs>
          <w:tab w:val="clear" w:pos="648"/>
          <w:tab w:val="left" w:pos="630"/>
          <w:tab w:val="num" w:pos="720"/>
        </w:tabs>
        <w:ind w:left="720"/>
      </w:pPr>
      <w:r w:rsidRPr="00721A9D">
        <w:t xml:space="preserve">The </w:t>
      </w:r>
      <w:r>
        <w:t>“</w:t>
      </w:r>
      <w:r w:rsidRPr="00721A9D">
        <w:t>Partial</w:t>
      </w:r>
      <w:r>
        <w:t>”</w:t>
      </w:r>
      <w:r w:rsidRPr="00721A9D">
        <w:t xml:space="preserve"> format of the report does not allow scheduling to print in the future</w:t>
      </w:r>
      <w:r w:rsidR="001403D9">
        <w:t xml:space="preserve">; a full report </w:t>
      </w:r>
      <w:r w:rsidR="00571BE3">
        <w:t>will print instead.</w:t>
      </w:r>
      <w:r w:rsidR="0045341A">
        <w:t xml:space="preserve"> </w:t>
      </w:r>
      <w:r w:rsidR="0045341A" w:rsidRPr="0045341A">
        <w:rPr>
          <w:vanish/>
        </w:rPr>
        <w:t>Defect 210519</w:t>
      </w:r>
    </w:p>
    <w:p w14:paraId="6FF06BE9" w14:textId="77777777" w:rsidR="007E0D91" w:rsidRPr="00E53D6C" w:rsidRDefault="002A21AE" w:rsidP="007E0D91">
      <w:pPr>
        <w:pStyle w:val="ListBullet"/>
        <w:tabs>
          <w:tab w:val="num" w:pos="720"/>
        </w:tabs>
        <w:ind w:left="720"/>
      </w:pPr>
      <w:r w:rsidRPr="00E53D6C">
        <w:rPr>
          <w:vanish/>
          <w:spacing w:val="0"/>
        </w:rPr>
        <w:t xml:space="preserve">BR_89.05 </w:t>
      </w:r>
      <w:r w:rsidRPr="00E53D6C">
        <w:t>Each page containing patient information includes the patient name.</w:t>
      </w:r>
    </w:p>
    <w:p w14:paraId="7568AFFE" w14:textId="77777777" w:rsidR="007E0D91" w:rsidRPr="00E53D6C" w:rsidRDefault="007E0D91" w:rsidP="007E0D91">
      <w:pPr>
        <w:pStyle w:val="ListBullet"/>
        <w:tabs>
          <w:tab w:val="num" w:pos="720"/>
        </w:tabs>
        <w:ind w:left="720"/>
      </w:pPr>
      <w:r w:rsidRPr="00E53D6C">
        <w:t>Divisions in a multidivisional database may view each other’s Special Instructions (SI) comments.</w:t>
      </w:r>
    </w:p>
    <w:p w14:paraId="4C34A845" w14:textId="7E42D019" w:rsidR="00E53D6C" w:rsidRPr="00E53D6C" w:rsidRDefault="00E53D6C" w:rsidP="00E53D6C">
      <w:pPr>
        <w:pStyle w:val="ListBullet"/>
        <w:tabs>
          <w:tab w:val="clear" w:pos="648"/>
          <w:tab w:val="left" w:pos="630"/>
          <w:tab w:val="num" w:pos="720"/>
        </w:tabs>
        <w:ind w:left="720"/>
      </w:pPr>
      <w:r w:rsidRPr="00E53D6C">
        <w:t>Important transfusion related information for a patient may</w:t>
      </w:r>
      <w:r>
        <w:t xml:space="preserve"> appear on more than one page. </w:t>
      </w:r>
      <w:r w:rsidR="0045341A">
        <w:t xml:space="preserve">Always </w:t>
      </w:r>
      <w:r w:rsidRPr="00E53D6C">
        <w:t>check the next page for additional patient information.</w:t>
      </w:r>
      <w:r>
        <w:t xml:space="preserve"> </w:t>
      </w:r>
      <w:r w:rsidRPr="00E53D6C">
        <w:rPr>
          <w:vanish/>
        </w:rPr>
        <w:t>DR 5125</w:t>
      </w:r>
    </w:p>
    <w:p w14:paraId="1B2848CB" w14:textId="77777777" w:rsidR="002A21AE" w:rsidRDefault="002A21AE">
      <w:pPr>
        <w:pStyle w:val="Heading4"/>
        <w:rPr>
          <w:b w:val="0"/>
        </w:rPr>
      </w:pPr>
      <w:r>
        <w:t>User Roles with Access to This Option</w:t>
      </w:r>
      <w:r>
        <w:rPr>
          <w:b w:val="0"/>
        </w:rPr>
        <w:t xml:space="preserve"> </w:t>
      </w:r>
    </w:p>
    <w:p w14:paraId="737D5288" w14:textId="77777777" w:rsidR="002A21AE" w:rsidRDefault="00184EA4">
      <w:pPr>
        <w:pStyle w:val="Roles"/>
      </w:pPr>
      <w:r>
        <w:t>All users</w:t>
      </w:r>
    </w:p>
    <w:p w14:paraId="29D433DA" w14:textId="77777777" w:rsidR="002A21AE" w:rsidRDefault="002A21AE">
      <w:pPr>
        <w:pStyle w:val="Heading4"/>
      </w:pPr>
      <w:r>
        <w:t xml:space="preserve">Transfusion Requirements Report </w:t>
      </w:r>
    </w:p>
    <w:p w14:paraId="4CD60331" w14:textId="77777777" w:rsidR="002A21AE" w:rsidRDefault="002A21AE" w:rsidP="00FA7E65">
      <w:pPr>
        <w:pStyle w:val="BodyText"/>
      </w:pPr>
      <w:r>
        <w:t xml:space="preserve">The user views </w:t>
      </w:r>
      <w:r w:rsidR="00EB1E5A">
        <w:t xml:space="preserve">and/or </w:t>
      </w:r>
      <w:r>
        <w:t>prints the Transfusion Requirements Report</w:t>
      </w:r>
      <w:r w:rsidR="00B04E4F">
        <w:t xml:space="preserve"> for a division</w:t>
      </w:r>
      <w:r>
        <w:t>. This option describes the continuous compilation of the complete file of patients in the VBECS database</w:t>
      </w:r>
      <w:r w:rsidR="00B04E4F">
        <w:t xml:space="preserve"> for historic record checking during downtime.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20087D9" w14:textId="77777777">
        <w:trPr>
          <w:cantSplit/>
          <w:tblHeader/>
        </w:trPr>
        <w:tc>
          <w:tcPr>
            <w:tcW w:w="3240" w:type="dxa"/>
            <w:shd w:val="pct30" w:color="auto" w:fill="FFFFFF"/>
            <w:vAlign w:val="bottom"/>
          </w:tcPr>
          <w:p w14:paraId="49455634" w14:textId="77777777" w:rsidR="002A21AE" w:rsidRDefault="002A21AE">
            <w:pPr>
              <w:pStyle w:val="TableText"/>
              <w:rPr>
                <w:b/>
              </w:rPr>
            </w:pPr>
            <w:r>
              <w:rPr>
                <w:b/>
              </w:rPr>
              <w:t>User Action</w:t>
            </w:r>
          </w:p>
        </w:tc>
        <w:tc>
          <w:tcPr>
            <w:tcW w:w="6120" w:type="dxa"/>
            <w:shd w:val="pct30" w:color="auto" w:fill="FFFFFF"/>
            <w:vAlign w:val="bottom"/>
          </w:tcPr>
          <w:p w14:paraId="0408D5D9" w14:textId="77777777" w:rsidR="002A21AE" w:rsidRDefault="002A21AE">
            <w:pPr>
              <w:pStyle w:val="TableText"/>
              <w:rPr>
                <w:b/>
              </w:rPr>
            </w:pPr>
            <w:r>
              <w:rPr>
                <w:b/>
              </w:rPr>
              <w:t>VBECS</w:t>
            </w:r>
          </w:p>
        </w:tc>
      </w:tr>
      <w:tr w:rsidR="002A21AE" w14:paraId="1087BECE" w14:textId="77777777">
        <w:tc>
          <w:tcPr>
            <w:tcW w:w="3240" w:type="dxa"/>
          </w:tcPr>
          <w:p w14:paraId="49687B81" w14:textId="77777777" w:rsidR="002A21AE" w:rsidRDefault="002A21AE">
            <w:pPr>
              <w:pStyle w:val="TableTextNumbers"/>
            </w:pPr>
            <w:r>
              <w:t xml:space="preserve">Select </w:t>
            </w:r>
            <w:r>
              <w:rPr>
                <w:b/>
              </w:rPr>
              <w:t>Reports</w:t>
            </w:r>
            <w:r>
              <w:t xml:space="preserve"> from the main menu.</w:t>
            </w:r>
          </w:p>
          <w:p w14:paraId="4856DE60" w14:textId="77777777" w:rsidR="002A21AE" w:rsidRDefault="002A21AE">
            <w:pPr>
              <w:pStyle w:val="TableTextNumbersContinued"/>
            </w:pPr>
          </w:p>
          <w:p w14:paraId="479DF2E6" w14:textId="77777777" w:rsidR="002A21AE" w:rsidRDefault="002A21AE">
            <w:pPr>
              <w:pStyle w:val="TableTextNumbersContinued"/>
            </w:pPr>
            <w:r>
              <w:t xml:space="preserve">Select </w:t>
            </w:r>
            <w:r>
              <w:rPr>
                <w:b/>
              </w:rPr>
              <w:t>Transfusion Requirements Report</w:t>
            </w:r>
            <w:r>
              <w:t>.</w:t>
            </w:r>
          </w:p>
        </w:tc>
        <w:tc>
          <w:tcPr>
            <w:tcW w:w="6120" w:type="dxa"/>
          </w:tcPr>
          <w:p w14:paraId="117C3C39" w14:textId="77777777" w:rsidR="002A21AE" w:rsidRDefault="002A21AE">
            <w:pPr>
              <w:pStyle w:val="TableTextBullet"/>
            </w:pPr>
            <w:r>
              <w:t>Lists report names.</w:t>
            </w:r>
          </w:p>
          <w:p w14:paraId="661F01F0" w14:textId="77777777" w:rsidR="002A21AE" w:rsidRDefault="002A21AE">
            <w:pPr>
              <w:pStyle w:val="TableTextBullet"/>
            </w:pPr>
            <w:r>
              <w:t xml:space="preserve">Displays report compilation criteria. </w:t>
            </w:r>
          </w:p>
          <w:p w14:paraId="4E9A4CF9" w14:textId="77777777" w:rsidR="002A21AE" w:rsidRDefault="002A21AE">
            <w:pPr>
              <w:pStyle w:val="TableTextBullet"/>
            </w:pPr>
            <w:r>
              <w:t>Displays a date range for selection.</w:t>
            </w:r>
          </w:p>
        </w:tc>
      </w:tr>
      <w:tr w:rsidR="002A21AE" w14:paraId="361834BD" w14:textId="77777777">
        <w:tc>
          <w:tcPr>
            <w:tcW w:w="3240" w:type="dxa"/>
          </w:tcPr>
          <w:p w14:paraId="42AFB037" w14:textId="77777777" w:rsidR="002A21AE" w:rsidRDefault="002A21AE">
            <w:pPr>
              <w:pStyle w:val="TableTextNumbers"/>
            </w:pPr>
            <w:r>
              <w:lastRenderedPageBreak/>
              <w:t xml:space="preserve">In the </w:t>
            </w:r>
            <w:r w:rsidRPr="00B46EEA">
              <w:rPr>
                <w:b/>
              </w:rPr>
              <w:t>Report Type</w:t>
            </w:r>
            <w:r>
              <w:t xml:space="preserve"> area, select the </w:t>
            </w:r>
            <w:r>
              <w:rPr>
                <w:b/>
              </w:rPr>
              <w:t>Cumulative Report</w:t>
            </w:r>
            <w:r>
              <w:t xml:space="preserve"> </w:t>
            </w:r>
            <w:r w:rsidRPr="00BF2E41">
              <w:t>radio button</w:t>
            </w:r>
            <w:r>
              <w:t xml:space="preserve">, or </w:t>
            </w:r>
          </w:p>
          <w:p w14:paraId="6907FD7A" w14:textId="77777777" w:rsidR="002A21AE" w:rsidRDefault="002A21AE">
            <w:pPr>
              <w:pStyle w:val="TableTextNumbersContinued"/>
            </w:pPr>
          </w:p>
          <w:p w14:paraId="729426CE" w14:textId="77777777" w:rsidR="002A21AE" w:rsidRDefault="002A21AE">
            <w:pPr>
              <w:pStyle w:val="TableTextNumbersContinued"/>
            </w:pPr>
            <w:r>
              <w:t xml:space="preserve">Click the </w:t>
            </w:r>
            <w:r>
              <w:rPr>
                <w:b/>
              </w:rPr>
              <w:t xml:space="preserve">Partial Report </w:t>
            </w:r>
            <w:r w:rsidRPr="00BF2E41">
              <w:t>radio button</w:t>
            </w:r>
            <w:r>
              <w:t xml:space="preserve"> and enter or select start and end dates.</w:t>
            </w:r>
          </w:p>
        </w:tc>
        <w:tc>
          <w:tcPr>
            <w:tcW w:w="6120" w:type="dxa"/>
          </w:tcPr>
          <w:p w14:paraId="38A1A5D9" w14:textId="77777777" w:rsidR="00811C5F" w:rsidRDefault="002A21AE">
            <w:pPr>
              <w:pStyle w:val="TableTextBullet"/>
            </w:pPr>
            <w:r>
              <w:t>Compiles and displays the report.</w:t>
            </w:r>
          </w:p>
          <w:p w14:paraId="2C6436CC" w14:textId="77777777" w:rsidR="00811C5F" w:rsidRDefault="00811C5F" w:rsidP="00811C5F">
            <w:pPr>
              <w:pStyle w:val="TableText"/>
              <w:rPr>
                <w:b/>
                <w:bCs/>
                <w:szCs w:val="18"/>
              </w:rPr>
            </w:pPr>
          </w:p>
          <w:p w14:paraId="1B96F618" w14:textId="77777777" w:rsidR="00811C5F" w:rsidRDefault="00057948" w:rsidP="00811C5F">
            <w:pPr>
              <w:pStyle w:val="TableText"/>
              <w:rPr>
                <w:b/>
                <w:bCs/>
                <w:szCs w:val="18"/>
              </w:rPr>
            </w:pPr>
            <w:r>
              <w:rPr>
                <w:b/>
                <w:bCs/>
                <w:noProof/>
              </w:rPr>
              <mc:AlternateContent>
                <mc:Choice Requires="wps">
                  <w:drawing>
                    <wp:anchor distT="0" distB="0" distL="114300" distR="114300" simplePos="0" relativeHeight="252015104" behindDoc="0" locked="0" layoutInCell="1" allowOverlap="1" wp14:anchorId="7FC7A3E0" wp14:editId="3630B737">
                      <wp:simplePos x="0" y="0"/>
                      <wp:positionH relativeFrom="column">
                        <wp:posOffset>457200</wp:posOffset>
                      </wp:positionH>
                      <wp:positionV relativeFrom="paragraph">
                        <wp:posOffset>65405</wp:posOffset>
                      </wp:positionV>
                      <wp:extent cx="3200400" cy="0"/>
                      <wp:effectExtent l="9525" t="17780" r="9525" b="10795"/>
                      <wp:wrapNone/>
                      <wp:docPr id="270" name="Line 1210" descr="P10974C6T12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21BC3" id="Line 1210" o:spid="_x0000_s1026" alt="&quot;&quot;" style="position:absolute;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" strokeweight="1.5pt"/>
                  </w:pict>
                </mc:Fallback>
              </mc:AlternateContent>
            </w:r>
            <w:r w:rsidR="00811C5F">
              <w:rPr>
                <w:b/>
                <w:bCs/>
                <w:szCs w:val="18"/>
              </w:rPr>
              <w:t>NOTES</w:t>
            </w:r>
          </w:p>
          <w:p w14:paraId="096BC339" w14:textId="77777777" w:rsidR="00811C5F" w:rsidRDefault="00811C5F" w:rsidP="00811C5F">
            <w:pPr>
              <w:pStyle w:val="NotesText"/>
              <w:ind w:left="0"/>
            </w:pPr>
          </w:p>
          <w:p w14:paraId="062D26A5" w14:textId="77777777" w:rsidR="00F9149B" w:rsidRPr="00DC4D3E" w:rsidRDefault="00BC7A6E" w:rsidP="00811C5F">
            <w:pPr>
              <w:pStyle w:val="NotesText"/>
            </w:pPr>
            <w:r>
              <w:t>Patients who do not have a blood type, SI, TR, or Transfusion Reaction in their VBECS record do not display on the Transfusion Requirements Report in either the Cumulative or Partial format.</w:t>
            </w:r>
            <w:r w:rsidR="00DC4D3E">
              <w:rPr>
                <w:vanish/>
              </w:rPr>
              <w:t xml:space="preserve"> DR 3356</w:t>
            </w:r>
          </w:p>
          <w:p w14:paraId="0D303F9E" w14:textId="77777777" w:rsidR="00F9149B" w:rsidRDefault="00F9149B" w:rsidP="00811C5F">
            <w:pPr>
              <w:pStyle w:val="NotesText"/>
            </w:pPr>
          </w:p>
          <w:p w14:paraId="0F05424E" w14:textId="77777777" w:rsidR="00F9149B" w:rsidRDefault="00811C5F" w:rsidP="00811C5F">
            <w:pPr>
              <w:pStyle w:val="NotesText"/>
            </w:pPr>
            <w:r>
              <w:t>The Cumulative Report displays patients that have a blood type, SI, TR</w:t>
            </w:r>
            <w:r w:rsidR="00F9149B">
              <w:t>, or Transfusion Reaction.</w:t>
            </w:r>
          </w:p>
          <w:p w14:paraId="57CD5CC3" w14:textId="77777777" w:rsidR="00F9149B" w:rsidRDefault="00F9149B" w:rsidP="00811C5F">
            <w:pPr>
              <w:pStyle w:val="NotesText"/>
            </w:pPr>
          </w:p>
          <w:p w14:paraId="7C6C880B" w14:textId="77777777" w:rsidR="00811C5F" w:rsidRDefault="00811C5F" w:rsidP="00811C5F">
            <w:pPr>
              <w:pStyle w:val="NotesText"/>
            </w:pPr>
            <w:r>
              <w:t xml:space="preserve">The Partial Report displays </w:t>
            </w:r>
            <w:r w:rsidR="00313C6B">
              <w:t>patient</w:t>
            </w:r>
            <w:r w:rsidR="00F9149B">
              <w:t>s that have a change to their VBECS record within the date range of the requested report.</w:t>
            </w:r>
          </w:p>
          <w:p w14:paraId="6AABFAB7" w14:textId="77777777" w:rsidR="00F9149B" w:rsidRDefault="00F9149B" w:rsidP="00811C5F">
            <w:pPr>
              <w:pStyle w:val="NotesText"/>
            </w:pPr>
            <w:r>
              <w:t>Changes are defined as:</w:t>
            </w:r>
          </w:p>
          <w:p w14:paraId="62BE2DE6" w14:textId="77777777" w:rsidR="00F9149B" w:rsidRDefault="00F9149B" w:rsidP="00F9149B">
            <w:pPr>
              <w:pStyle w:val="NotesTextBullet"/>
            </w:pPr>
            <w:r>
              <w:t>New order</w:t>
            </w:r>
          </w:p>
          <w:p w14:paraId="34F3AE37" w14:textId="77777777" w:rsidR="00F9149B" w:rsidRDefault="00F9149B" w:rsidP="00F9149B">
            <w:pPr>
              <w:pStyle w:val="NotesTextBullet"/>
            </w:pPr>
            <w:r>
              <w:t>Record of testing</w:t>
            </w:r>
          </w:p>
          <w:p w14:paraId="036F4FC6" w14:textId="77777777" w:rsidR="00F9149B" w:rsidRDefault="00F9149B" w:rsidP="00F9149B">
            <w:pPr>
              <w:pStyle w:val="NotesTextBullet"/>
            </w:pPr>
            <w:r>
              <w:t>Patient Update event</w:t>
            </w:r>
          </w:p>
          <w:p w14:paraId="6053FF99" w14:textId="77777777" w:rsidR="00F9149B" w:rsidRDefault="00F9149B" w:rsidP="00F9149B">
            <w:pPr>
              <w:pStyle w:val="NotesTextBullet"/>
            </w:pPr>
            <w:r>
              <w:t>New SI entered</w:t>
            </w:r>
          </w:p>
          <w:p w14:paraId="118171EB" w14:textId="77777777" w:rsidR="00F9149B" w:rsidRDefault="00F9149B" w:rsidP="00F9149B">
            <w:pPr>
              <w:pStyle w:val="NotesTextBullet"/>
            </w:pPr>
            <w:r>
              <w:t>New TR entered</w:t>
            </w:r>
          </w:p>
          <w:p w14:paraId="2DFBF5FA" w14:textId="77777777" w:rsidR="00811C5F" w:rsidRDefault="00F9149B" w:rsidP="00DC4D3E">
            <w:pPr>
              <w:pStyle w:val="NotesTextBullet"/>
            </w:pPr>
            <w:r>
              <w:t>New Transfusion Reaction entered</w:t>
            </w:r>
          </w:p>
        </w:tc>
      </w:tr>
      <w:tr w:rsidR="002A21AE" w14:paraId="0D84C894" w14:textId="77777777">
        <w:tc>
          <w:tcPr>
            <w:tcW w:w="3240" w:type="dxa"/>
          </w:tcPr>
          <w:p w14:paraId="59AC03FC" w14:textId="77777777" w:rsidR="002A21AE" w:rsidRDefault="002A21AE">
            <w:pPr>
              <w:pStyle w:val="TableTextNumbers"/>
            </w:pPr>
            <w:r>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3721C5C5" w14:textId="77777777" w:rsidR="002A21AE" w:rsidRDefault="002A21AE">
            <w:pPr>
              <w:pStyle w:val="TableTextNumbersContinued"/>
            </w:pPr>
          </w:p>
          <w:p w14:paraId="25ACEDA3"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76253C3C" w14:textId="77777777" w:rsidR="000566D6" w:rsidRDefault="00F64B5C" w:rsidP="00AA2B2E">
            <w:pPr>
              <w:pStyle w:val="TableTextBullet"/>
            </w:pPr>
            <w:r>
              <w:t>Compiles and displays the report.</w:t>
            </w:r>
          </w:p>
        </w:tc>
      </w:tr>
      <w:tr w:rsidR="002A21AE" w14:paraId="16EB39C0" w14:textId="77777777">
        <w:tc>
          <w:tcPr>
            <w:tcW w:w="3240" w:type="dxa"/>
          </w:tcPr>
          <w:p w14:paraId="3A0F9621" w14:textId="23AD3CE0" w:rsidR="002A21AE" w:rsidRDefault="00D45D8C">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fldLock="1"/>
            </w:r>
            <w:r w:rsidRPr="0076371D">
              <w:rPr>
                <w:szCs w:val="18"/>
              </w:rPr>
              <w:instrText xml:space="preserve"> REF _Ref2774509 \h  \* MERGEFORMAT </w:instrText>
            </w:r>
            <w:r w:rsidRPr="0076371D">
              <w:rPr>
                <w:szCs w:val="18"/>
              </w:rPr>
            </w:r>
            <w:r w:rsidRPr="0076371D">
              <w:rPr>
                <w:szCs w:val="18"/>
              </w:rPr>
              <w:fldChar w:fldCharType="separate"/>
            </w:r>
            <w:r w:rsidR="00AB304C" w:rsidRPr="00AB304C">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2A21AE" w:rsidRPr="00200B6D">
              <w:rPr>
                <w:rFonts w:cs="Arial"/>
                <w:vanish/>
                <w:szCs w:val="18"/>
              </w:rPr>
              <w:fldChar w:fldCharType="begin"/>
            </w:r>
            <w:r w:rsidR="002A21AE" w:rsidRPr="00200B6D">
              <w:rPr>
                <w:rFonts w:cs="Arial"/>
                <w:vanish/>
                <w:szCs w:val="18"/>
              </w:rPr>
              <w:instrText xml:space="preserve"> LISTNUM \l 1 \s 0 </w:instrText>
            </w:r>
            <w:r w:rsidR="002A21AE" w:rsidRPr="00200B6D">
              <w:rPr>
                <w:rFonts w:cs="Arial"/>
                <w:vanish/>
                <w:szCs w:val="18"/>
              </w:rPr>
              <w:fldChar w:fldCharType="end"/>
            </w:r>
          </w:p>
        </w:tc>
        <w:tc>
          <w:tcPr>
            <w:tcW w:w="6120" w:type="dxa"/>
          </w:tcPr>
          <w:p w14:paraId="34F76509" w14:textId="77777777" w:rsidR="00D45D8C" w:rsidRDefault="00D45D8C" w:rsidP="00D45D8C">
            <w:pPr>
              <w:pStyle w:val="TableTextBullet"/>
            </w:pPr>
            <w:r>
              <w:t>If Print is selected, prints the report on the designated printer.</w:t>
            </w:r>
          </w:p>
          <w:p w14:paraId="11EBE29D" w14:textId="77777777" w:rsidR="00D45D8C" w:rsidRDefault="00D45D8C" w:rsidP="00D45D8C">
            <w:pPr>
              <w:pStyle w:val="TableTextBullet"/>
            </w:pPr>
            <w:r>
              <w:t>If Export is selected, exports the report to the designated file.</w:t>
            </w:r>
          </w:p>
          <w:p w14:paraId="02FF4AF5" w14:textId="21615A6F" w:rsidR="002A21AE" w:rsidRDefault="00D45D8C" w:rsidP="00D45D8C">
            <w:pPr>
              <w:pStyle w:val="TableTextBullet"/>
            </w:pPr>
            <w:r>
              <w:t>If Close is selected, exits the report preview.</w:t>
            </w:r>
          </w:p>
        </w:tc>
      </w:tr>
    </w:tbl>
    <w:p w14:paraId="59133CB0" w14:textId="77777777" w:rsidR="002A21AE" w:rsidRDefault="002A21AE">
      <w:pPr>
        <w:pStyle w:val="Heading2"/>
      </w:pPr>
      <w:r>
        <w:br w:type="page"/>
      </w:r>
      <w:bookmarkStart w:id="595" w:name="_Toc4588854"/>
      <w:r>
        <w:lastRenderedPageBreak/>
        <w:t>Unit History Report</w:t>
      </w:r>
      <w:bookmarkEnd w:id="595"/>
      <w:r>
        <w:fldChar w:fldCharType="begin"/>
      </w:r>
      <w:r>
        <w:instrText xml:space="preserve"> XE </w:instrText>
      </w:r>
      <w:r w:rsidR="00FA7E65">
        <w:instrText>“</w:instrText>
      </w:r>
      <w:r>
        <w:instrText>Unit History Report</w:instrText>
      </w:r>
      <w:r w:rsidR="00FA7E65">
        <w:instrText>”</w:instrText>
      </w:r>
      <w:r>
        <w:instrText xml:space="preserve"> </w:instrText>
      </w:r>
      <w:r>
        <w:fldChar w:fldCharType="end"/>
      </w:r>
      <w:r>
        <w:t xml:space="preserve"> </w:t>
      </w:r>
      <w:r>
        <w:rPr>
          <w:rFonts w:ascii="Times New Roman" w:hAnsi="Times New Roman" w:cs="Times New Roman"/>
          <w:b w:val="0"/>
          <w:i w:val="0"/>
          <w:vanish/>
          <w:sz w:val="22"/>
        </w:rPr>
        <w:t>UC_85</w:t>
      </w:r>
    </w:p>
    <w:p w14:paraId="520C16C9" w14:textId="77777777" w:rsidR="002A21AE" w:rsidRDefault="002A21AE" w:rsidP="00FA7E65">
      <w:pPr>
        <w:pStyle w:val="BodyText"/>
      </w:pPr>
      <w:r>
        <w:t xml:space="preserve">The user views </w:t>
      </w:r>
      <w:r w:rsidR="00EB1E5A">
        <w:t xml:space="preserve">and/or </w:t>
      </w:r>
      <w:r>
        <w:t xml:space="preserve">prints a Unit History Report. </w:t>
      </w:r>
    </w:p>
    <w:p w14:paraId="34D2F79C" w14:textId="77777777" w:rsidR="002A21AE" w:rsidRDefault="002A21AE">
      <w:pPr>
        <w:pStyle w:val="Heading4"/>
      </w:pPr>
      <w:r>
        <w:t>Assumptions</w:t>
      </w:r>
      <w:r>
        <w:rPr>
          <w:b w:val="0"/>
        </w:rPr>
        <w:t xml:space="preserve"> </w:t>
      </w:r>
    </w:p>
    <w:p w14:paraId="1C71E64E" w14:textId="77777777" w:rsidR="002A21AE" w:rsidRDefault="002A21AE">
      <w:pPr>
        <w:pStyle w:val="ListBullet"/>
      </w:pPr>
      <w:r>
        <w:t>The unit exists in the user’s division.</w:t>
      </w:r>
    </w:p>
    <w:p w14:paraId="589CEE83" w14:textId="77777777" w:rsidR="002A21AE" w:rsidRDefault="002A21AE">
      <w:pPr>
        <w:pStyle w:val="Heading4"/>
      </w:pPr>
      <w:r>
        <w:t xml:space="preserve">Outcome </w:t>
      </w:r>
    </w:p>
    <w:p w14:paraId="17770FED" w14:textId="77777777" w:rsidR="002A21AE" w:rsidRDefault="00AE521B">
      <w:pPr>
        <w:pStyle w:val="ListBullet"/>
      </w:pPr>
      <w:r>
        <w:t>The user views and/or prints the report</w:t>
      </w:r>
      <w:r w:rsidR="002A21AE">
        <w:t>.</w:t>
      </w:r>
    </w:p>
    <w:p w14:paraId="4DAAC5FF" w14:textId="77777777" w:rsidR="002A21AE" w:rsidRDefault="002A21AE">
      <w:pPr>
        <w:pStyle w:val="Heading4"/>
      </w:pPr>
      <w:r>
        <w:t>Limitations and Restrictions</w:t>
      </w:r>
      <w:r>
        <w:rPr>
          <w:b w:val="0"/>
        </w:rPr>
        <w:t xml:space="preserve"> </w:t>
      </w:r>
    </w:p>
    <w:p w14:paraId="2B7AABBE" w14:textId="77777777" w:rsidR="002A21AE" w:rsidRDefault="002A21AE">
      <w:pPr>
        <w:pStyle w:val="ListBullet"/>
      </w:pPr>
      <w:r>
        <w:t xml:space="preserve">The report is not multidivisional. </w:t>
      </w:r>
    </w:p>
    <w:p w14:paraId="1C1B6547" w14:textId="77777777" w:rsidR="00DD7CAF" w:rsidRDefault="00DD7CAF">
      <w:pPr>
        <w:pStyle w:val="ListBullet"/>
      </w:pPr>
      <w:r>
        <w:t>When a user retroactively updates a unit status through Discard or Quarantine, the Unit History Report displays the updated information, but does not display the date the change was made.</w:t>
      </w:r>
    </w:p>
    <w:p w14:paraId="620912AF" w14:textId="6B6250F4" w:rsidR="001F1DB9" w:rsidRDefault="001F1DB9" w:rsidP="001F1DB9">
      <w:pPr>
        <w:pStyle w:val="ListBullet"/>
      </w:pPr>
      <w:r>
        <w:t>The r</w:t>
      </w:r>
      <w:r w:rsidRPr="001F1DB9">
        <w:t xml:space="preserve">eport </w:t>
      </w:r>
      <w:r>
        <w:t>will not indicate if a unit was returned to shipper, or shipped to another facility. This information can be found in the Cost Accounting Report.</w:t>
      </w:r>
      <w:r w:rsidR="00CD5BA1">
        <w:t xml:space="preserve"> </w:t>
      </w:r>
      <w:r w:rsidR="00CD5BA1" w:rsidRPr="00CD5BA1">
        <w:rPr>
          <w:vanish/>
        </w:rPr>
        <w:t>Defect 212158</w:t>
      </w:r>
    </w:p>
    <w:p w14:paraId="111E9EC4" w14:textId="0BD8AB70" w:rsidR="006B7ADC" w:rsidRDefault="004675C2" w:rsidP="006B7ADC">
      <w:pPr>
        <w:pStyle w:val="ListBullet"/>
      </w:pPr>
      <w:r>
        <w:t xml:space="preserve">The report will display incorrect information in the Cost column for </w:t>
      </w:r>
      <w:r w:rsidRPr="006B7ADC">
        <w:t>Splits/Divides and Pools</w:t>
      </w:r>
      <w:r>
        <w:t>. S</w:t>
      </w:r>
      <w:r w:rsidR="006B7ADC" w:rsidRPr="006B7ADC">
        <w:t>ee the Cost Accounting Report</w:t>
      </w:r>
      <w:r w:rsidR="007C00C8">
        <w:t xml:space="preserve"> for this information.</w:t>
      </w:r>
      <w:r w:rsidR="00CD5BA1">
        <w:t xml:space="preserve"> </w:t>
      </w:r>
      <w:r w:rsidR="00CD5BA1" w:rsidRPr="00CD5BA1">
        <w:rPr>
          <w:vanish/>
        </w:rPr>
        <w:t>Defect 209090</w:t>
      </w:r>
    </w:p>
    <w:p w14:paraId="1235ABF3" w14:textId="53B3CA46" w:rsidR="00CD5BA1" w:rsidRDefault="00CD5BA1" w:rsidP="006B7ADC">
      <w:pPr>
        <w:pStyle w:val="ListBullet"/>
      </w:pPr>
      <w:r>
        <w:t xml:space="preserve">The report does not display the Antigen Testing Phase Change Exception. See the Exception Report for this information. </w:t>
      </w:r>
      <w:r w:rsidRPr="00CD5BA1">
        <w:rPr>
          <w:vanish/>
        </w:rPr>
        <w:t>Defect 209575</w:t>
      </w:r>
    </w:p>
    <w:p w14:paraId="3363C1E3" w14:textId="4268C65D" w:rsidR="00680B7F" w:rsidRDefault="00680B7F" w:rsidP="006B7ADC">
      <w:pPr>
        <w:pStyle w:val="ListBullet"/>
      </w:pPr>
      <w:r>
        <w:t xml:space="preserve">When a user retroactively updates a unit status through the Discard or Quarantine option, the Unit History Report displays the updated information, but does not display the date the change was made. </w:t>
      </w:r>
      <w:r w:rsidRPr="00680B7F">
        <w:rPr>
          <w:vanish/>
        </w:rPr>
        <w:t>Defect 212537</w:t>
      </w:r>
    </w:p>
    <w:p w14:paraId="261ED922" w14:textId="2D8AB749" w:rsidR="002A21AE" w:rsidRDefault="002A21AE" w:rsidP="005B025F">
      <w:pPr>
        <w:pStyle w:val="Heading4"/>
      </w:pPr>
      <w:r>
        <w:t xml:space="preserve">Additional Information </w:t>
      </w:r>
    </w:p>
    <w:p w14:paraId="087CC253" w14:textId="77777777" w:rsidR="002A21AE" w:rsidRDefault="002A21AE">
      <w:pPr>
        <w:pStyle w:val="ListBullet"/>
      </w:pPr>
      <w:r>
        <w:t>There may be multiple instances of the same unit number and product code in the same division. Inactivated unit records may have a unit ID and product code that duplicate an active unit ID and product code.</w:t>
      </w:r>
    </w:p>
    <w:p w14:paraId="35379CE1" w14:textId="77777777" w:rsidR="002A21AE" w:rsidRDefault="002A21AE">
      <w:pPr>
        <w:pStyle w:val="ListBullet"/>
      </w:pPr>
      <w:r>
        <w:t xml:space="preserve">VBECS always displays the current unit status when the user selects a blood unit, so there is no need for a separate report option, as is possible in </w:t>
      </w:r>
      <w:r w:rsidR="00CA6E27" w:rsidRPr="00CA6E27">
        <w:rPr>
          <w:bCs/>
        </w:rPr>
        <w:t>VistA</w:t>
      </w:r>
      <w:r>
        <w:t>.</w:t>
      </w:r>
    </w:p>
    <w:p w14:paraId="318A3C74" w14:textId="77777777" w:rsidR="002A21AE" w:rsidRDefault="002A21AE">
      <w:pPr>
        <w:pStyle w:val="ListBullet"/>
      </w:pPr>
      <w:r>
        <w:t>Unit testing details are included in Testing Worklist Report.</w:t>
      </w:r>
    </w:p>
    <w:p w14:paraId="1F3E0A61" w14:textId="77777777" w:rsidR="002D3BEC" w:rsidRDefault="002D3BEC">
      <w:pPr>
        <w:pStyle w:val="ListBullet"/>
      </w:pPr>
      <w:r>
        <w:t>The report header for RBC and WB products does not display the &gt; = 2 mL RBC contamination information.</w:t>
      </w:r>
    </w:p>
    <w:p w14:paraId="2A20F5B8" w14:textId="77777777" w:rsidR="002A21AE" w:rsidRDefault="002A21AE">
      <w:pPr>
        <w:pStyle w:val="Heading4"/>
        <w:rPr>
          <w:b w:val="0"/>
        </w:rPr>
      </w:pPr>
      <w:r>
        <w:t>User Roles with Access to This Option</w:t>
      </w:r>
      <w:r>
        <w:rPr>
          <w:b w:val="0"/>
        </w:rPr>
        <w:t xml:space="preserve"> </w:t>
      </w:r>
    </w:p>
    <w:p w14:paraId="4D7F5C73" w14:textId="77777777" w:rsidR="002A21AE" w:rsidRDefault="00184EA4">
      <w:pPr>
        <w:pStyle w:val="Roles"/>
      </w:pPr>
      <w:r>
        <w:t>All users</w:t>
      </w:r>
    </w:p>
    <w:p w14:paraId="2A0A81FE" w14:textId="77777777" w:rsidR="002A21AE" w:rsidRDefault="002A21AE">
      <w:pPr>
        <w:pStyle w:val="Heading4"/>
      </w:pPr>
      <w:r>
        <w:t xml:space="preserve">Unit History Report </w:t>
      </w:r>
    </w:p>
    <w:p w14:paraId="7029BB6C" w14:textId="77777777" w:rsidR="002A21AE" w:rsidRDefault="002A21AE" w:rsidP="00FA7E65">
      <w:pPr>
        <w:pStyle w:val="BodyText"/>
      </w:pPr>
      <w:r>
        <w:t xml:space="preserve">The user views </w:t>
      </w:r>
      <w:r w:rsidR="00EB1E5A">
        <w:t xml:space="preserve">and/or </w:t>
      </w:r>
      <w:r>
        <w:t>prints the complete record for a blood unit</w:t>
      </w:r>
      <w:r w:rsidR="00160D7B">
        <w:t>, from incoming shipment through final status, including unit activities saved in the VBECS database</w:t>
      </w:r>
      <w:r>
        <w:t>. VBECS compiles data for that unit for one division.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0F8A747" w14:textId="77777777">
        <w:trPr>
          <w:cantSplit/>
          <w:tblHeader/>
        </w:trPr>
        <w:tc>
          <w:tcPr>
            <w:tcW w:w="3240" w:type="dxa"/>
            <w:shd w:val="pct30" w:color="auto" w:fill="FFFFFF"/>
            <w:vAlign w:val="bottom"/>
          </w:tcPr>
          <w:p w14:paraId="0C080963" w14:textId="77777777" w:rsidR="002A21AE" w:rsidRDefault="002A21AE">
            <w:pPr>
              <w:pStyle w:val="TableText"/>
              <w:rPr>
                <w:b/>
              </w:rPr>
            </w:pPr>
            <w:r>
              <w:rPr>
                <w:b/>
              </w:rPr>
              <w:t>User Action</w:t>
            </w:r>
          </w:p>
        </w:tc>
        <w:tc>
          <w:tcPr>
            <w:tcW w:w="6120" w:type="dxa"/>
            <w:shd w:val="pct30" w:color="auto" w:fill="FFFFFF"/>
            <w:vAlign w:val="bottom"/>
          </w:tcPr>
          <w:p w14:paraId="2B5CC4DA" w14:textId="77777777" w:rsidR="002A21AE" w:rsidRDefault="002A21AE">
            <w:pPr>
              <w:pStyle w:val="TableText"/>
              <w:rPr>
                <w:b/>
              </w:rPr>
            </w:pPr>
            <w:r>
              <w:rPr>
                <w:b/>
              </w:rPr>
              <w:t>VBECS</w:t>
            </w:r>
          </w:p>
        </w:tc>
      </w:tr>
      <w:tr w:rsidR="002A21AE" w14:paraId="4AC01B50" w14:textId="77777777">
        <w:tc>
          <w:tcPr>
            <w:tcW w:w="3240" w:type="dxa"/>
          </w:tcPr>
          <w:p w14:paraId="7E361E97" w14:textId="77777777" w:rsidR="002A21AE" w:rsidRDefault="002A21AE">
            <w:pPr>
              <w:pStyle w:val="TableTextNumbers"/>
            </w:pPr>
            <w:r>
              <w:t xml:space="preserve">Select </w:t>
            </w:r>
            <w:r>
              <w:rPr>
                <w:b/>
              </w:rPr>
              <w:t>Reports</w:t>
            </w:r>
            <w:r>
              <w:t xml:space="preserve"> from the main menu.</w:t>
            </w:r>
          </w:p>
          <w:p w14:paraId="7D4071DA" w14:textId="77777777" w:rsidR="002A21AE" w:rsidRDefault="002A21AE">
            <w:pPr>
              <w:pStyle w:val="TableTextNumbersContinued"/>
            </w:pPr>
          </w:p>
          <w:p w14:paraId="2C5CA0B9" w14:textId="77777777" w:rsidR="002A21AE" w:rsidRDefault="002A21AE">
            <w:pPr>
              <w:pStyle w:val="TableTextNumbersContinued"/>
            </w:pPr>
            <w:r>
              <w:t xml:space="preserve">Select </w:t>
            </w:r>
            <w:r>
              <w:rPr>
                <w:b/>
              </w:rPr>
              <w:t>Unit History Report</w:t>
            </w:r>
            <w:r>
              <w:t>.</w:t>
            </w:r>
          </w:p>
        </w:tc>
        <w:tc>
          <w:tcPr>
            <w:tcW w:w="6120" w:type="dxa"/>
          </w:tcPr>
          <w:p w14:paraId="788E9BAA" w14:textId="77777777" w:rsidR="002A21AE" w:rsidRDefault="002A21AE">
            <w:pPr>
              <w:pStyle w:val="TableTextBullet"/>
            </w:pPr>
            <w:r>
              <w:t>Lists report names.</w:t>
            </w:r>
          </w:p>
          <w:p w14:paraId="11F6CD62" w14:textId="77777777" w:rsidR="002A21AE" w:rsidRDefault="002A21AE">
            <w:pPr>
              <w:pStyle w:val="TableTextBullet"/>
            </w:pPr>
            <w:r>
              <w:t>Allows the user to scan or enter a unit ID and product code.</w:t>
            </w:r>
          </w:p>
          <w:p w14:paraId="4431EF8F" w14:textId="77777777" w:rsidR="002A21AE" w:rsidRDefault="002A21AE" w:rsidP="009D2266">
            <w:pPr>
              <w:pStyle w:val="TableTextBullet"/>
              <w:numPr>
                <w:ilvl w:val="0"/>
                <w:numId w:val="10"/>
              </w:numPr>
              <w:tabs>
                <w:tab w:val="clear" w:pos="720"/>
                <w:tab w:val="num" w:pos="288"/>
              </w:tabs>
              <w:ind w:left="288" w:hanging="288"/>
            </w:pPr>
            <w:r>
              <w:t xml:space="preserve">Displays compilation criteria. </w:t>
            </w:r>
          </w:p>
        </w:tc>
      </w:tr>
      <w:tr w:rsidR="002A21AE" w14:paraId="06D2C6E4" w14:textId="77777777">
        <w:tc>
          <w:tcPr>
            <w:tcW w:w="3240" w:type="dxa"/>
          </w:tcPr>
          <w:p w14:paraId="46E4A826" w14:textId="77777777" w:rsidR="002A21AE" w:rsidRDefault="002A21AE">
            <w:pPr>
              <w:pStyle w:val="TableTextNumbers"/>
            </w:pPr>
            <w:r>
              <w:lastRenderedPageBreak/>
              <w:t xml:space="preserve">Scan or enter the unit ID and product code, or click the </w:t>
            </w:r>
            <w:r w:rsidR="00A6373D" w:rsidRPr="00945BF5">
              <w:rPr>
                <w:b/>
              </w:rPr>
              <w:t>find</w:t>
            </w:r>
            <w:r>
              <w:rPr>
                <w:b/>
              </w:rPr>
              <w:t xml:space="preserve"> </w:t>
            </w:r>
            <w:r w:rsidRPr="00D1100E">
              <w:t>button</w:t>
            </w:r>
            <w:r>
              <w:t xml:space="preserve"> to search for and select a unit.</w:t>
            </w:r>
          </w:p>
        </w:tc>
        <w:tc>
          <w:tcPr>
            <w:tcW w:w="6120" w:type="dxa"/>
          </w:tcPr>
          <w:p w14:paraId="4D139CB6" w14:textId="77777777" w:rsidR="002A21AE" w:rsidRDefault="002A21AE">
            <w:pPr>
              <w:pStyle w:val="TableText"/>
            </w:pPr>
          </w:p>
          <w:p w14:paraId="046FC2F8" w14:textId="77777777" w:rsidR="002A21AE" w:rsidRDefault="00057948">
            <w:pPr>
              <w:pStyle w:val="TableText"/>
              <w:rPr>
                <w:b/>
                <w:bCs/>
                <w:szCs w:val="18"/>
              </w:rPr>
            </w:pPr>
            <w:r>
              <w:rPr>
                <w:b/>
                <w:bCs/>
                <w:noProof/>
              </w:rPr>
              <mc:AlternateContent>
                <mc:Choice Requires="wps">
                  <w:drawing>
                    <wp:anchor distT="0" distB="0" distL="114300" distR="114300" simplePos="0" relativeHeight="251763200" behindDoc="0" locked="0" layoutInCell="1" allowOverlap="1" wp14:anchorId="39E2F957" wp14:editId="05F18782">
                      <wp:simplePos x="0" y="0"/>
                      <wp:positionH relativeFrom="column">
                        <wp:posOffset>457200</wp:posOffset>
                      </wp:positionH>
                      <wp:positionV relativeFrom="paragraph">
                        <wp:posOffset>65405</wp:posOffset>
                      </wp:positionV>
                      <wp:extent cx="3200400" cy="0"/>
                      <wp:effectExtent l="9525" t="17780" r="9525" b="10795"/>
                      <wp:wrapNone/>
                      <wp:docPr id="269" name="Line 969" descr="P11033C6T12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F5F28" id="Line 969" o:spid="_x0000_s1026" alt="&quot;&quot;" style="position:absolute;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D0hu4jwgEAAG4DAAAOAAAAAAAAAAAAAAAAAC4C&#10;AABkcnMvZTJvRG9jLnhtbFBLAQItABQABgAIAAAAIQAXTzAS2wAAAAgBAAAPAAAAAAAAAAAAAAAA&#10;ABwEAABkcnMvZG93bnJldi54bWxQSwUGAAAAAAQABADzAAAAJAUAAAAA&#10;" strokeweight="1.5pt"/>
                  </w:pict>
                </mc:Fallback>
              </mc:AlternateContent>
            </w:r>
            <w:r w:rsidR="002A21AE">
              <w:rPr>
                <w:b/>
                <w:bCs/>
                <w:szCs w:val="18"/>
              </w:rPr>
              <w:t>NOTES</w:t>
            </w:r>
          </w:p>
          <w:p w14:paraId="4E975732" w14:textId="77777777" w:rsidR="002A21AE" w:rsidRDefault="002A21AE">
            <w:pPr>
              <w:pStyle w:val="NotesText"/>
            </w:pPr>
          </w:p>
          <w:p w14:paraId="1EF8EE5C" w14:textId="77777777" w:rsidR="002A21AE" w:rsidRDefault="002A21AE">
            <w:pPr>
              <w:pStyle w:val="NotesText"/>
            </w:pPr>
            <w:r>
              <w:rPr>
                <w:rFonts w:cs="Arial"/>
                <w:vanish/>
              </w:rPr>
              <w:t xml:space="preserve">BR_85.01 </w:t>
            </w:r>
            <w:r>
              <w:t>The user may select any unit (active or inactive) in a division. VBECS marks the units so that the active ones are distinct from the inactive ones.</w:t>
            </w:r>
          </w:p>
          <w:p w14:paraId="4EDD070E" w14:textId="77777777" w:rsidR="005104F5" w:rsidRDefault="005104F5">
            <w:pPr>
              <w:pStyle w:val="NotesText"/>
            </w:pPr>
          </w:p>
          <w:p w14:paraId="10647071" w14:textId="77777777" w:rsidR="005104F5" w:rsidRPr="00FF65BE" w:rsidRDefault="005104F5" w:rsidP="005104F5">
            <w:pPr>
              <w:pStyle w:val="NotesText"/>
            </w:pPr>
            <w:r w:rsidRPr="00FF65BE">
              <w:rPr>
                <w:vanish/>
              </w:rPr>
              <w:t xml:space="preserve">BR_1.34 </w:t>
            </w:r>
            <w:r w:rsidRPr="00FF65BE">
              <w:t xml:space="preserve">When processing an Autologous unit, the user must indicate the testing status of that unit. </w:t>
            </w:r>
          </w:p>
          <w:p w14:paraId="783A560C" w14:textId="77777777" w:rsidR="005104F5" w:rsidRPr="00FF65BE" w:rsidRDefault="005104F5" w:rsidP="005104F5">
            <w:pPr>
              <w:pStyle w:val="NotesText"/>
            </w:pPr>
            <w:r w:rsidRPr="00FF65BE">
              <w:t>There are three valid choices:</w:t>
            </w:r>
          </w:p>
          <w:p w14:paraId="7103F0A2" w14:textId="77777777" w:rsidR="005104F5" w:rsidRPr="00FF65BE" w:rsidRDefault="005104F5" w:rsidP="005104F5">
            <w:pPr>
              <w:pStyle w:val="NotesText"/>
            </w:pPr>
            <w:r w:rsidRPr="00FF65BE">
              <w:t>NEG - Unit fully tested and negative for all disease markers</w:t>
            </w:r>
          </w:p>
          <w:p w14:paraId="3F3374CE" w14:textId="77777777" w:rsidR="005104F5" w:rsidRPr="00FF65BE" w:rsidRDefault="005104F5" w:rsidP="005104F5">
            <w:pPr>
              <w:pStyle w:val="NotesText"/>
            </w:pPr>
            <w:r w:rsidRPr="00FF65BE">
              <w:t xml:space="preserve">POS - Unit tested and positive for one or more disease markers, Biohazard </w:t>
            </w:r>
          </w:p>
          <w:p w14:paraId="3414E9B7" w14:textId="77777777" w:rsidR="005104F5" w:rsidRDefault="005104F5" w:rsidP="005104F5">
            <w:pPr>
              <w:pStyle w:val="NotesText"/>
            </w:pPr>
            <w:r>
              <w:t>NFT - Unit not fully tested for one or more disease markers, Biohazard</w:t>
            </w:r>
          </w:p>
          <w:p w14:paraId="2156D405" w14:textId="77777777" w:rsidR="005104F5" w:rsidRDefault="005104F5" w:rsidP="005104F5">
            <w:pPr>
              <w:pStyle w:val="NotesText"/>
            </w:pPr>
          </w:p>
          <w:p w14:paraId="1B1082AF" w14:textId="77777777" w:rsidR="005104F5" w:rsidRDefault="005104F5" w:rsidP="005104F5">
            <w:pPr>
              <w:pStyle w:val="NotesText"/>
              <w:rPr>
                <w:rFonts w:cs="Arial"/>
                <w:szCs w:val="18"/>
              </w:rPr>
            </w:pPr>
            <w:r w:rsidRPr="00894624">
              <w:rPr>
                <w:rFonts w:cs="Arial"/>
                <w:vanish/>
                <w:szCs w:val="18"/>
              </w:rPr>
              <w:t xml:space="preserve">BR_73.38 </w:t>
            </w:r>
            <w:r>
              <w:rPr>
                <w:rFonts w:cs="Arial"/>
                <w:szCs w:val="18"/>
              </w:rPr>
              <w:t xml:space="preserve">When the component order is for PLATELETS or OTHER the units with = &gt; 2 mL of RBC contamination must be presented </w:t>
            </w:r>
            <w:r w:rsidRPr="005722FA">
              <w:rPr>
                <w:rFonts w:cs="Arial"/>
                <w:szCs w:val="18"/>
              </w:rPr>
              <w:t>and checke</w:t>
            </w:r>
            <w:r>
              <w:rPr>
                <w:rFonts w:cs="Arial"/>
                <w:szCs w:val="18"/>
              </w:rPr>
              <w:t>d for compatibility during Issue Blood Component and will display before products with less than (&lt; ) 2 mL of RBC contamination.</w:t>
            </w:r>
          </w:p>
          <w:p w14:paraId="63723642" w14:textId="77777777" w:rsidR="005104F5" w:rsidRDefault="005104F5" w:rsidP="005104F5">
            <w:pPr>
              <w:pStyle w:val="NotesText"/>
              <w:rPr>
                <w:rFonts w:cs="Arial"/>
                <w:szCs w:val="18"/>
              </w:rPr>
            </w:pPr>
          </w:p>
          <w:p w14:paraId="2F987525" w14:textId="77777777" w:rsidR="005104F5" w:rsidRDefault="005104F5" w:rsidP="005104F5">
            <w:pPr>
              <w:pStyle w:val="NotesText"/>
            </w:pPr>
            <w:r>
              <w:rPr>
                <w:rFonts w:cs="Arial"/>
                <w:szCs w:val="18"/>
              </w:rPr>
              <w:t>The system will present all available units when the Product Type is PLATELETS or OTHER non-plasma components that have &lt; 2 mL RBC contamination.</w:t>
            </w:r>
          </w:p>
        </w:tc>
      </w:tr>
      <w:tr w:rsidR="002A21AE" w14:paraId="2BC06499" w14:textId="77777777">
        <w:tc>
          <w:tcPr>
            <w:tcW w:w="3240" w:type="dxa"/>
          </w:tcPr>
          <w:p w14:paraId="5F24C004" w14:textId="77777777" w:rsidR="002A21AE" w:rsidRDefault="002A21AE">
            <w:pPr>
              <w:pStyle w:val="TableTextNumbers"/>
            </w:pPr>
            <w:r>
              <w:t xml:space="preserve">In the </w:t>
            </w:r>
            <w:r w:rsidRPr="00B46EEA">
              <w:rPr>
                <w:b/>
              </w:rPr>
              <w:t>Include Report Sections</w:t>
            </w:r>
            <w:r>
              <w:t xml:space="preserve"> area, click one or more check boxes to select report sections.</w:t>
            </w:r>
          </w:p>
        </w:tc>
        <w:tc>
          <w:tcPr>
            <w:tcW w:w="6120" w:type="dxa"/>
          </w:tcPr>
          <w:p w14:paraId="1FE73338" w14:textId="77777777" w:rsidR="002A21AE" w:rsidRDefault="002A21AE">
            <w:pPr>
              <w:pStyle w:val="TableTextBullet"/>
            </w:pPr>
            <w:r>
              <w:rPr>
                <w:rFonts w:cs="Arial"/>
                <w:vanish/>
              </w:rPr>
              <w:t xml:space="preserve">BR_85.02 </w:t>
            </w:r>
            <w:r>
              <w:t>Displays the unit report section types for selection:</w:t>
            </w:r>
          </w:p>
          <w:p w14:paraId="03A4B60D" w14:textId="77777777" w:rsidR="00753E10" w:rsidRDefault="00753E10" w:rsidP="00100276">
            <w:pPr>
              <w:pStyle w:val="TableTextBullet1"/>
            </w:pPr>
            <w:r>
              <w:t>Incoming Shipment</w:t>
            </w:r>
          </w:p>
          <w:p w14:paraId="60E8C7DE" w14:textId="77777777" w:rsidR="00753E10" w:rsidRDefault="00753E10" w:rsidP="00AC5D7B">
            <w:pPr>
              <w:pStyle w:val="TableTextBullet1"/>
            </w:pPr>
            <w:r>
              <w:t>Outgoing Shipment</w:t>
            </w:r>
          </w:p>
          <w:p w14:paraId="5D4883DC" w14:textId="77777777" w:rsidR="00753E10" w:rsidRDefault="00753E10" w:rsidP="00AC5D7B">
            <w:pPr>
              <w:pStyle w:val="TableTextBullet1"/>
            </w:pPr>
            <w:r>
              <w:t>Unit Quarantine Information</w:t>
            </w:r>
          </w:p>
          <w:p w14:paraId="41F7848F" w14:textId="77777777" w:rsidR="00753E10" w:rsidRDefault="00753E10" w:rsidP="00AC5D7B">
            <w:pPr>
              <w:pStyle w:val="TableTextBullet1"/>
            </w:pPr>
            <w:r>
              <w:t>Unit Financials</w:t>
            </w:r>
          </w:p>
          <w:p w14:paraId="4FA54288" w14:textId="77777777" w:rsidR="00753E10" w:rsidRDefault="00753E10" w:rsidP="00AC5D7B">
            <w:pPr>
              <w:pStyle w:val="TableTextBullet1"/>
            </w:pPr>
            <w:r>
              <w:t>Patient Associations History</w:t>
            </w:r>
          </w:p>
          <w:p w14:paraId="11F63A6B" w14:textId="77777777" w:rsidR="009D4082" w:rsidRDefault="009D4082" w:rsidP="00AC5D7B">
            <w:pPr>
              <w:pStyle w:val="TableTextBullet1"/>
            </w:pPr>
            <w:r>
              <w:t>Restricted Patient</w:t>
            </w:r>
          </w:p>
          <w:p w14:paraId="2E2BDAA3" w14:textId="77777777" w:rsidR="00753E10" w:rsidRDefault="00753E10" w:rsidP="00AC5D7B">
            <w:pPr>
              <w:pStyle w:val="TableTextBullet1"/>
            </w:pPr>
            <w:r>
              <w:t>Issue Information</w:t>
            </w:r>
          </w:p>
          <w:p w14:paraId="636F68CB" w14:textId="77777777" w:rsidR="00753E10" w:rsidRDefault="00753E10" w:rsidP="00AC5D7B">
            <w:pPr>
              <w:pStyle w:val="TableTextBullet1"/>
            </w:pPr>
            <w:r>
              <w:t>Testing</w:t>
            </w:r>
          </w:p>
          <w:p w14:paraId="44141BD2" w14:textId="77777777" w:rsidR="009D4082" w:rsidRDefault="009D4082" w:rsidP="00AC5D7B">
            <w:pPr>
              <w:pStyle w:val="TableTextBullet1"/>
            </w:pPr>
            <w:r>
              <w:t>Antigen Typing</w:t>
            </w:r>
          </w:p>
          <w:p w14:paraId="527C2C97" w14:textId="77777777" w:rsidR="00753E10" w:rsidRDefault="00753E10" w:rsidP="00AC5D7B">
            <w:pPr>
              <w:pStyle w:val="TableTextBullet1"/>
            </w:pPr>
            <w:r>
              <w:t>Crossmatch</w:t>
            </w:r>
          </w:p>
          <w:p w14:paraId="00C78CE1" w14:textId="77777777" w:rsidR="00753E10" w:rsidRDefault="00753E10" w:rsidP="00AC5D7B">
            <w:pPr>
              <w:pStyle w:val="TableTextBullet1"/>
            </w:pPr>
            <w:r>
              <w:t>Modification</w:t>
            </w:r>
          </w:p>
          <w:p w14:paraId="0274360F" w14:textId="77777777" w:rsidR="00753E10" w:rsidRDefault="00753E10" w:rsidP="00AC5D7B">
            <w:pPr>
              <w:pStyle w:val="TableTextBullet1"/>
            </w:pPr>
            <w:r>
              <w:t>Transfused To</w:t>
            </w:r>
          </w:p>
          <w:p w14:paraId="3F4A9845" w14:textId="77777777" w:rsidR="00753E10" w:rsidRDefault="00753E10" w:rsidP="00AC5D7B">
            <w:pPr>
              <w:pStyle w:val="TableTextBullet1"/>
            </w:pPr>
            <w:r>
              <w:t>Exception Report</w:t>
            </w:r>
          </w:p>
        </w:tc>
      </w:tr>
      <w:tr w:rsidR="002A21AE" w14:paraId="208BD89B" w14:textId="77777777" w:rsidTr="00305B16">
        <w:trPr>
          <w:cantSplit/>
        </w:trPr>
        <w:tc>
          <w:tcPr>
            <w:tcW w:w="3240" w:type="dxa"/>
          </w:tcPr>
          <w:p w14:paraId="0EDFFE6D" w14:textId="77777777" w:rsidR="002A21AE" w:rsidRDefault="002A21AE">
            <w:pPr>
              <w:pStyle w:val="TableTextNumbers"/>
            </w:pPr>
            <w:r>
              <w:lastRenderedPageBreak/>
              <w:t xml:space="preserve">In the </w:t>
            </w:r>
            <w:r w:rsidRPr="009554A6">
              <w:t>Report Compilation</w:t>
            </w:r>
            <w:r>
              <w:t xml:space="preserve"> area, click the </w:t>
            </w:r>
            <w:r>
              <w:rPr>
                <w:b/>
              </w:rPr>
              <w:t xml:space="preserve">Create Report Now </w:t>
            </w:r>
            <w:r w:rsidRPr="00BF2E41">
              <w:t>radio button</w:t>
            </w:r>
            <w:r>
              <w:t xml:space="preserve">. Click </w:t>
            </w:r>
            <w:r>
              <w:rPr>
                <w:b/>
              </w:rPr>
              <w:t>OK</w:t>
            </w:r>
            <w:r>
              <w:t xml:space="preserve"> to view the report, or</w:t>
            </w:r>
          </w:p>
          <w:p w14:paraId="423061F5" w14:textId="77777777" w:rsidR="002A21AE" w:rsidRDefault="002A21AE">
            <w:pPr>
              <w:pStyle w:val="TableTextNumbersContinued"/>
              <w:rPr>
                <w:b/>
                <w:bCs/>
              </w:rPr>
            </w:pPr>
          </w:p>
          <w:p w14:paraId="552ABCFC" w14:textId="77777777" w:rsidR="002A21AE" w:rsidRDefault="002A21AE">
            <w:pPr>
              <w:pStyle w:val="TableTextNumbersContinued"/>
            </w:pPr>
            <w:r>
              <w:t xml:space="preserve">Click the </w:t>
            </w:r>
            <w:r>
              <w:rPr>
                <w:b/>
              </w:rPr>
              <w:t xml:space="preserve">Schedule Print Job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63A0E63D" w14:textId="77777777" w:rsidR="002A21AE" w:rsidRDefault="002A21AE">
            <w:pPr>
              <w:pStyle w:val="TableTextBullet"/>
            </w:pPr>
            <w:r>
              <w:rPr>
                <w:rFonts w:cs="Arial"/>
                <w:vanish/>
              </w:rPr>
              <w:t xml:space="preserve">BR_74.01 </w:t>
            </w:r>
            <w:r>
              <w:t>Compiles and displays the report for the user’s login division.</w:t>
            </w:r>
          </w:p>
          <w:p w14:paraId="2EAD9212" w14:textId="77777777" w:rsidR="002A21AE" w:rsidRDefault="002A21AE">
            <w:pPr>
              <w:pStyle w:val="TableText"/>
            </w:pPr>
          </w:p>
          <w:p w14:paraId="53C98332" w14:textId="77777777" w:rsidR="002A21AE" w:rsidRDefault="00057948">
            <w:pPr>
              <w:pStyle w:val="TableText"/>
              <w:rPr>
                <w:b/>
                <w:bCs/>
                <w:szCs w:val="18"/>
              </w:rPr>
            </w:pPr>
            <w:r>
              <w:rPr>
                <w:b/>
                <w:bCs/>
                <w:noProof/>
              </w:rPr>
              <mc:AlternateContent>
                <mc:Choice Requires="wps">
                  <w:drawing>
                    <wp:anchor distT="0" distB="0" distL="114300" distR="114300" simplePos="0" relativeHeight="251765248" behindDoc="0" locked="0" layoutInCell="1" allowOverlap="1" wp14:anchorId="18DCEC98" wp14:editId="1DE8477E">
                      <wp:simplePos x="0" y="0"/>
                      <wp:positionH relativeFrom="column">
                        <wp:posOffset>457200</wp:posOffset>
                      </wp:positionH>
                      <wp:positionV relativeFrom="paragraph">
                        <wp:posOffset>65405</wp:posOffset>
                      </wp:positionV>
                      <wp:extent cx="3200400" cy="0"/>
                      <wp:effectExtent l="9525" t="17780" r="9525" b="10795"/>
                      <wp:wrapNone/>
                      <wp:docPr id="267" name="Line 970" descr="P11068C10T12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4A337" id="Line 970" o:spid="_x0000_s1026" alt="&quot;&quot;" style="position:absolute;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" strokeweight="1.5pt"/>
                  </w:pict>
                </mc:Fallback>
              </mc:AlternateContent>
            </w:r>
            <w:r w:rsidR="002A21AE">
              <w:rPr>
                <w:b/>
                <w:bCs/>
                <w:szCs w:val="18"/>
              </w:rPr>
              <w:t>NOTES</w:t>
            </w:r>
          </w:p>
          <w:p w14:paraId="74BAFA04" w14:textId="77777777" w:rsidR="002A21AE" w:rsidRDefault="002A21AE" w:rsidP="00AD6A88">
            <w:pPr>
              <w:pStyle w:val="NotesText"/>
            </w:pPr>
          </w:p>
          <w:p w14:paraId="44165806" w14:textId="77777777" w:rsidR="002A21AE" w:rsidRDefault="002A21AE">
            <w:pPr>
              <w:pStyle w:val="NotesText"/>
            </w:pPr>
            <w:r>
              <w:rPr>
                <w:rFonts w:cs="Arial"/>
                <w:vanish/>
              </w:rPr>
              <w:t xml:space="preserve">BR_85.03 </w:t>
            </w:r>
            <w:r>
              <w:t>The page header includes the standard VBECS header, the unit ID, product, donation type, expiration date, restricted for patient, status, ABO/Rh, division, product long name, and user.</w:t>
            </w:r>
          </w:p>
          <w:p w14:paraId="283BBFAA" w14:textId="77777777" w:rsidR="002A21AE" w:rsidRDefault="002A21AE">
            <w:pPr>
              <w:pStyle w:val="NotesText"/>
            </w:pPr>
          </w:p>
          <w:p w14:paraId="17349C4D" w14:textId="77777777" w:rsidR="002A21AE" w:rsidRDefault="002A21AE">
            <w:pPr>
              <w:pStyle w:val="NotesText"/>
            </w:pPr>
            <w:r>
              <w:rPr>
                <w:rFonts w:cs="Arial"/>
                <w:vanish/>
              </w:rPr>
              <w:t xml:space="preserve">BR_85.04 </w:t>
            </w:r>
            <w:r>
              <w:t xml:space="preserve">VBECS displays entries from only the related reports (Audit Trail and Exception Reports) specific to the selected unit or patient. </w:t>
            </w:r>
          </w:p>
          <w:p w14:paraId="585CEAA5" w14:textId="77777777" w:rsidR="002A21AE" w:rsidRDefault="002A21AE">
            <w:pPr>
              <w:pStyle w:val="NotesText"/>
            </w:pPr>
          </w:p>
          <w:p w14:paraId="7FA2B060" w14:textId="77777777" w:rsidR="002A21AE" w:rsidRDefault="002A21AE">
            <w:pPr>
              <w:pStyle w:val="NotesText"/>
            </w:pPr>
            <w:r>
              <w:t>Audit Trail and Exception Reports that record only unit override information are linked to the unit</w:t>
            </w:r>
            <w:r w:rsidR="00FA7E65">
              <w:t>’</w:t>
            </w:r>
            <w:r>
              <w:t xml:space="preserve">s </w:t>
            </w:r>
            <w:r w:rsidR="0051757B">
              <w:t>historic</w:t>
            </w:r>
            <w:r>
              <w:t xml:space="preserve"> record. Those that record only patient override information are linked to the patient</w:t>
            </w:r>
            <w:r w:rsidR="00FA7E65">
              <w:t>’</w:t>
            </w:r>
            <w:r>
              <w:t xml:space="preserve">s </w:t>
            </w:r>
            <w:r w:rsidR="0051757B">
              <w:t>historic</w:t>
            </w:r>
            <w:r>
              <w:t xml:space="preserve"> record. Those that record both are accessible in unit and patient </w:t>
            </w:r>
            <w:r w:rsidR="0051757B">
              <w:t>historic</w:t>
            </w:r>
            <w:r>
              <w:t xml:space="preserve"> records.</w:t>
            </w:r>
          </w:p>
          <w:p w14:paraId="1F555D6B" w14:textId="77777777" w:rsidR="002A21AE" w:rsidRDefault="002A21AE">
            <w:pPr>
              <w:pStyle w:val="NotesText"/>
              <w:rPr>
                <w:rFonts w:eastAsia="Symbol" w:cs="Arial"/>
                <w:sz w:val="20"/>
              </w:rPr>
            </w:pPr>
          </w:p>
          <w:p w14:paraId="28EDA62B" w14:textId="068A93ED" w:rsidR="002A21AE" w:rsidRDefault="002A21AE">
            <w:pPr>
              <w:pStyle w:val="NotesText"/>
            </w:pPr>
            <w:r>
              <w:t xml:space="preserve">See </w:t>
            </w:r>
            <w:r w:rsidR="007D7892">
              <w:fldChar w:fldCharType="begin" w:fldLock="1"/>
            </w:r>
            <w:r w:rsidR="007D7892">
              <w:instrText xml:space="preserve"> REF _Ref170004931 \h </w:instrText>
            </w:r>
            <w:r w:rsidR="007D7892">
              <w:fldChar w:fldCharType="separate"/>
            </w:r>
            <w:r w:rsidR="00AB304C">
              <w:t xml:space="preserve">Appendix </w:t>
            </w:r>
            <w:r w:rsidR="00AB304C">
              <w:rPr>
                <w:noProof/>
              </w:rPr>
              <w:t>B</w:t>
            </w:r>
            <w:r w:rsidR="007D7892">
              <w:fldChar w:fldCharType="end"/>
            </w:r>
            <w:r>
              <w:t xml:space="preserve">: </w:t>
            </w:r>
            <w:r w:rsidR="00CF5477">
              <w:fldChar w:fldCharType="begin" w:fldLock="1"/>
            </w:r>
            <w:r w:rsidR="00CF5477">
              <w:instrText xml:space="preserve"> REF _Ref126504618 \h </w:instrText>
            </w:r>
            <w:r w:rsidR="00CF5477">
              <w:fldChar w:fldCharType="separate"/>
            </w:r>
            <w:r w:rsidR="00AB304C">
              <w:t xml:space="preserve">Table </w:t>
            </w:r>
            <w:r w:rsidR="00AB304C">
              <w:rPr>
                <w:noProof/>
              </w:rPr>
              <w:t>20</w:t>
            </w:r>
            <w:r w:rsidR="00AB304C">
              <w:t xml:space="preserve">: </w:t>
            </w:r>
            <w:r w:rsidR="00AB304C">
              <w:rPr>
                <w:vanish/>
              </w:rPr>
              <w:t xml:space="preserve">TT_77.01 </w:t>
            </w:r>
            <w:r w:rsidR="00AB304C">
              <w:t>Details in Audit Trail Report</w:t>
            </w:r>
            <w:r w:rsidR="00CF5477">
              <w:fldChar w:fldCharType="end"/>
            </w:r>
            <w:r>
              <w:t xml:space="preserve"> and </w:t>
            </w:r>
            <w:r w:rsidR="00CF5477">
              <w:fldChar w:fldCharType="begin" w:fldLock="1"/>
            </w:r>
            <w:r w:rsidR="00CF5477">
              <w:instrText xml:space="preserve"> REF _Ref126504629 \h </w:instrText>
            </w:r>
            <w:r w:rsidR="00CF5477">
              <w:fldChar w:fldCharType="separate"/>
            </w:r>
            <w:r w:rsidR="00AB304C">
              <w:t xml:space="preserve">Table </w:t>
            </w:r>
            <w:r w:rsidR="00AB304C">
              <w:rPr>
                <w:noProof/>
              </w:rPr>
              <w:t>21</w:t>
            </w:r>
            <w:r w:rsidR="00AB304C">
              <w:t xml:space="preserve">: </w:t>
            </w:r>
            <w:r w:rsidR="00AB304C">
              <w:rPr>
                <w:vanish/>
              </w:rPr>
              <w:t xml:space="preserve">TT_82.01 </w:t>
            </w:r>
            <w:r w:rsidR="00AB304C">
              <w:t>Details in Exception Report</w:t>
            </w:r>
            <w:r w:rsidR="00CF5477">
              <w:fldChar w:fldCharType="end"/>
            </w:r>
            <w:r>
              <w:t>.</w:t>
            </w:r>
          </w:p>
          <w:p w14:paraId="400C805C" w14:textId="77777777" w:rsidR="002A21AE" w:rsidRDefault="002A21AE">
            <w:pPr>
              <w:pStyle w:val="NotesText"/>
            </w:pPr>
          </w:p>
          <w:p w14:paraId="3AA520DD" w14:textId="77777777" w:rsidR="002A21AE" w:rsidRDefault="002A21AE">
            <w:pPr>
              <w:pStyle w:val="NotesText"/>
              <w:rPr>
                <w:rFonts w:eastAsia="Symbol" w:cs="Arial"/>
                <w:sz w:val="20"/>
              </w:rPr>
            </w:pPr>
            <w:r>
              <w:rPr>
                <w:rFonts w:cs="Arial"/>
                <w:vanish/>
              </w:rPr>
              <w:t xml:space="preserve">BR_85.05 </w:t>
            </w:r>
            <w:r>
              <w:t>The report displays the product long name.</w:t>
            </w:r>
          </w:p>
          <w:p w14:paraId="6BEA9726" w14:textId="77777777" w:rsidR="002A21AE" w:rsidRDefault="002A21AE">
            <w:pPr>
              <w:pStyle w:val="NotesText"/>
            </w:pPr>
          </w:p>
          <w:p w14:paraId="21B576FB" w14:textId="1252B904" w:rsidR="002A21AE" w:rsidRDefault="002A21AE">
            <w:pPr>
              <w:pStyle w:val="NotesText"/>
              <w:rPr>
                <w:rFonts w:eastAsia="Symbol" w:cs="Arial"/>
                <w:sz w:val="20"/>
              </w:rPr>
            </w:pPr>
            <w:r>
              <w:rPr>
                <w:rFonts w:cs="Arial"/>
                <w:vanish/>
              </w:rPr>
              <w:t xml:space="preserve">BR_85.08 </w:t>
            </w:r>
            <w:r>
              <w:t xml:space="preserve">The </w:t>
            </w:r>
            <w:r w:rsidR="00020B22">
              <w:t>report displays “CMV neg”,</w:t>
            </w:r>
            <w:r>
              <w:t xml:space="preserve"> “SC </w:t>
            </w:r>
            <w:r w:rsidR="006549B7">
              <w:t>neg” and</w:t>
            </w:r>
            <w:r w:rsidR="00452A6C">
              <w:t xml:space="preserve">/or </w:t>
            </w:r>
            <w:r w:rsidR="003723D4">
              <w:t xml:space="preserve">= </w:t>
            </w:r>
            <w:r w:rsidR="00452A6C">
              <w:t xml:space="preserve">&gt; </w:t>
            </w:r>
            <w:r w:rsidR="003723D4">
              <w:t>2</w:t>
            </w:r>
            <w:r w:rsidR="00452A6C">
              <w:t xml:space="preserve"> </w:t>
            </w:r>
            <w:r w:rsidR="003723D4">
              <w:t xml:space="preserve">mL RBC contamination </w:t>
            </w:r>
            <w:r w:rsidR="00B62C7E">
              <w:t xml:space="preserve">(which will display only for non-WB and non-RBC blood products) </w:t>
            </w:r>
            <w:r>
              <w:t>in the “Special Testing” column when a unit qualifies.</w:t>
            </w:r>
          </w:p>
          <w:p w14:paraId="49A23D7F" w14:textId="77777777" w:rsidR="002A21AE" w:rsidRDefault="002A21AE">
            <w:pPr>
              <w:pStyle w:val="NotesText"/>
            </w:pPr>
          </w:p>
          <w:p w14:paraId="701E0175" w14:textId="77777777" w:rsidR="002A21AE" w:rsidRDefault="002A21AE">
            <w:pPr>
              <w:pStyle w:val="NotesText"/>
            </w:pPr>
            <w:r>
              <w:rPr>
                <w:rFonts w:cs="Arial"/>
                <w:vanish/>
              </w:rPr>
              <w:t xml:space="preserve">BR_85.09 </w:t>
            </w:r>
            <w:r>
              <w:t>The report displays the unit’s quarantine indicator in the “Quarantined” column: blank when never quarantined, “Yes” when quarantined, and “No” when released from quarantine.</w:t>
            </w:r>
          </w:p>
          <w:p w14:paraId="4A2ADAEB" w14:textId="77777777" w:rsidR="002A21AE" w:rsidRDefault="002A21AE">
            <w:pPr>
              <w:pStyle w:val="NotesText"/>
              <w:rPr>
                <w:rFonts w:eastAsia="Symbol" w:cs="Arial"/>
                <w:sz w:val="20"/>
              </w:rPr>
            </w:pPr>
          </w:p>
          <w:p w14:paraId="691D351F" w14:textId="77777777" w:rsidR="000566D6" w:rsidRDefault="002A21AE" w:rsidP="00AA2B2E">
            <w:pPr>
              <w:pStyle w:val="NotesText"/>
            </w:pPr>
            <w:r>
              <w:rPr>
                <w:rFonts w:cs="Arial"/>
                <w:vanish/>
              </w:rPr>
              <w:t xml:space="preserve">BR_85.10 </w:t>
            </w:r>
            <w:r>
              <w:t>The report displays the unit’s biohazardous indicator in the “Biohazard” column: blank when never marked as biohazardous, “Yes” when biohazardous, and “No” when the biohazard indicator was removed.</w:t>
            </w:r>
          </w:p>
        </w:tc>
      </w:tr>
      <w:tr w:rsidR="00946DA2" w14:paraId="6AE4BE69" w14:textId="77777777">
        <w:tc>
          <w:tcPr>
            <w:tcW w:w="3240" w:type="dxa"/>
          </w:tcPr>
          <w:p w14:paraId="30016CD4" w14:textId="7343583B" w:rsidR="00946DA2" w:rsidRDefault="00946DA2" w:rsidP="00946DA2">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fldLock="1"/>
            </w:r>
            <w:r w:rsidRPr="0076371D">
              <w:rPr>
                <w:szCs w:val="18"/>
              </w:rPr>
              <w:instrText xml:space="preserve"> REF _Ref2774509 \h  \* MERGEFORMAT </w:instrText>
            </w:r>
            <w:r w:rsidRPr="0076371D">
              <w:rPr>
                <w:szCs w:val="18"/>
              </w:rPr>
            </w:r>
            <w:r w:rsidRPr="0076371D">
              <w:rPr>
                <w:szCs w:val="18"/>
              </w:rPr>
              <w:fldChar w:fldCharType="separate"/>
            </w:r>
            <w:r w:rsidR="00AB304C" w:rsidRPr="00AB304C">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p>
        </w:tc>
        <w:tc>
          <w:tcPr>
            <w:tcW w:w="6120" w:type="dxa"/>
          </w:tcPr>
          <w:p w14:paraId="78C7865B" w14:textId="77777777" w:rsidR="00946DA2" w:rsidRDefault="00946DA2" w:rsidP="00946DA2">
            <w:pPr>
              <w:pStyle w:val="TableTextBullet"/>
            </w:pPr>
            <w:r>
              <w:t>If Print is selected, prints the report on the designated printer.</w:t>
            </w:r>
          </w:p>
          <w:p w14:paraId="197A4C52" w14:textId="77777777" w:rsidR="00946DA2" w:rsidRDefault="00946DA2" w:rsidP="00946DA2">
            <w:pPr>
              <w:pStyle w:val="TableTextBullet"/>
            </w:pPr>
            <w:r>
              <w:t>If Export is selected, exports the report to the designated file.</w:t>
            </w:r>
          </w:p>
          <w:p w14:paraId="41B8D589" w14:textId="03CEA88E" w:rsidR="00946DA2" w:rsidRDefault="00946DA2" w:rsidP="00946DA2">
            <w:pPr>
              <w:pStyle w:val="TableTextBullet"/>
            </w:pPr>
            <w:r>
              <w:t>If Close is selected, exits the report preview.</w:t>
            </w:r>
          </w:p>
        </w:tc>
      </w:tr>
    </w:tbl>
    <w:p w14:paraId="6469B396" w14:textId="77777777" w:rsidR="0015667D" w:rsidRDefault="0015667D" w:rsidP="0015667D"/>
    <w:p w14:paraId="22971D09" w14:textId="77777777" w:rsidR="002A21AE" w:rsidRDefault="00A04F10" w:rsidP="00A04F10">
      <w:pPr>
        <w:pStyle w:val="Heading1"/>
      </w:pPr>
      <w:r>
        <w:br w:type="page"/>
      </w:r>
      <w:bookmarkStart w:id="596" w:name="_Toc4588855"/>
      <w:r w:rsidR="002A21AE">
        <w:lastRenderedPageBreak/>
        <w:t>References</w:t>
      </w:r>
      <w:bookmarkEnd w:id="596"/>
      <w:r w:rsidR="002A21AE">
        <w:fldChar w:fldCharType="begin"/>
      </w:r>
      <w:r w:rsidR="002A21AE">
        <w:instrText xml:space="preserve"> XE </w:instrText>
      </w:r>
      <w:r w:rsidR="00FA7E65">
        <w:instrText>“</w:instrText>
      </w:r>
      <w:r w:rsidR="002A21AE">
        <w:instrText>References</w:instrText>
      </w:r>
      <w:r w:rsidR="00FA7E65">
        <w:instrText>”</w:instrText>
      </w:r>
      <w:r w:rsidR="002A21AE">
        <w:instrText xml:space="preserve"> </w:instrText>
      </w:r>
      <w:r w:rsidR="002A21AE">
        <w:fldChar w:fldCharType="end"/>
      </w:r>
    </w:p>
    <w:p w14:paraId="1A41AB2D" w14:textId="77777777" w:rsidR="002A21AE" w:rsidRDefault="002A21AE">
      <w:pPr>
        <w:pStyle w:val="ListBullet"/>
        <w:rPr>
          <w:i/>
        </w:rPr>
      </w:pPr>
      <w:r>
        <w:t>Association for the Advancement of Medical Instrumentation, Arlington, Virginia.</w:t>
      </w:r>
      <w:r>
        <w:rPr>
          <w:i/>
        </w:rPr>
        <w:t xml:space="preserve"> The Quality System Compendium: GMP Requirements &amp; Industry Practice, </w:t>
      </w:r>
      <w:r>
        <w:t>1998.</w:t>
      </w:r>
    </w:p>
    <w:p w14:paraId="6450AD12" w14:textId="77777777" w:rsidR="002A21AE" w:rsidRPr="0026301E" w:rsidRDefault="002A21AE">
      <w:pPr>
        <w:pStyle w:val="ListBullet"/>
        <w:rPr>
          <w:i/>
        </w:rPr>
      </w:pPr>
      <w:r w:rsidRPr="0026301E">
        <w:t>Association for the Advancement of Medical Instrumentation.</w:t>
      </w:r>
      <w:r>
        <w:rPr>
          <w:i/>
        </w:rPr>
        <w:t xml:space="preserve"> </w:t>
      </w:r>
      <w:r w:rsidRPr="0026301E">
        <w:rPr>
          <w:i/>
        </w:rPr>
        <w:t>Medical device software—Software life cycle processes (ANSI/AAMI SW68:2001), 2001.</w:t>
      </w:r>
    </w:p>
    <w:p w14:paraId="060C6F92" w14:textId="77777777" w:rsidR="002A21AE" w:rsidRDefault="002A21AE">
      <w:pPr>
        <w:pStyle w:val="ListBullet"/>
        <w:rPr>
          <w:i/>
        </w:rPr>
      </w:pPr>
      <w:r w:rsidRPr="0026301E">
        <w:t>Brandt, Gwyneth. ClinicalTrialJobs.com. “Preparing for FDA Inspections.” July 18, 2002.</w:t>
      </w:r>
    </w:p>
    <w:p w14:paraId="2620FA53" w14:textId="77777777" w:rsidR="002A21AE" w:rsidRDefault="002A21AE">
      <w:pPr>
        <w:pStyle w:val="ListBullet"/>
      </w:pPr>
      <w:r>
        <w:rPr>
          <w:i/>
        </w:rPr>
        <w:t>Clinical Laboratory Technical Procedure Manuals</w:t>
      </w:r>
      <w:r>
        <w:rPr>
          <w:i/>
          <w:iCs/>
        </w:rPr>
        <w:t>; Approved Guideline—Fourth Edition</w:t>
      </w:r>
      <w:r>
        <w:t>, NCCLS document GP2-A4 (Wayne, PA: National Committee for Clinical Laboratory Standards, 2002).</w:t>
      </w:r>
    </w:p>
    <w:p w14:paraId="5A30042A" w14:textId="77777777" w:rsidR="002A21AE" w:rsidRDefault="002A21AE">
      <w:pPr>
        <w:pStyle w:val="ListBullet"/>
        <w:rPr>
          <w:i/>
        </w:rPr>
      </w:pPr>
      <w:r w:rsidRPr="0026301E">
        <w:t>CMMI Product Development Team, Carnegie Mellon Software Engineering Institute.</w:t>
      </w:r>
      <w:r>
        <w:rPr>
          <w:i/>
        </w:rPr>
        <w:t xml:space="preserve"> </w:t>
      </w:r>
      <w:r w:rsidRPr="0026301E">
        <w:rPr>
          <w:i/>
        </w:rPr>
        <w:t>CMMI</w:t>
      </w:r>
      <w:r w:rsidRPr="0026301E">
        <w:rPr>
          <w:i/>
          <w:vertAlign w:val="superscript"/>
        </w:rPr>
        <w:t>SM</w:t>
      </w:r>
      <w:r w:rsidRPr="0026301E">
        <w:rPr>
          <w:i/>
        </w:rPr>
        <w:t xml:space="preserve">-SE/SW, V1.0, Capability Maturity Model®—Integrated for Systems Engineering/Software Engineering, Version 1.0 </w:t>
      </w:r>
      <w:r w:rsidRPr="0026301E">
        <w:t>(Pittsburgh, PA: Carnegie Mellon Software Engineering Institute, August 2000).</w:t>
      </w:r>
    </w:p>
    <w:p w14:paraId="7F1C9A11" w14:textId="77777777" w:rsidR="002A21AE" w:rsidRDefault="002A21AE">
      <w:pPr>
        <w:pStyle w:val="ListBullet"/>
      </w:pPr>
      <w:r w:rsidRPr="0026301E">
        <w:t xml:space="preserve">Commission on Laboratory Accreditation, Laboratory Accreditation Program. </w:t>
      </w:r>
      <w:r>
        <w:rPr>
          <w:i/>
        </w:rPr>
        <w:t>Laboratory General Checklist</w:t>
      </w:r>
      <w:r>
        <w:t xml:space="preserve"> (Northfield, IL: </w:t>
      </w:r>
      <w:bookmarkStart w:id="597" w:name="OLE_LINK15"/>
      <w:bookmarkStart w:id="598" w:name="OLE_LINK16"/>
      <w:r>
        <w:t>College of American Pathologists</w:t>
      </w:r>
      <w:bookmarkEnd w:id="597"/>
      <w:bookmarkEnd w:id="598"/>
      <w:r w:rsidR="00680E9A">
        <w:t>, 201</w:t>
      </w:r>
      <w:r w:rsidR="00BE3412">
        <w:t>7</w:t>
      </w:r>
      <w:r>
        <w:t>).</w:t>
      </w:r>
    </w:p>
    <w:p w14:paraId="074F8414" w14:textId="77777777" w:rsidR="002A21AE" w:rsidRDefault="002A21AE">
      <w:pPr>
        <w:pStyle w:val="ListBullet"/>
      </w:pPr>
      <w:r w:rsidRPr="0026301E">
        <w:t xml:space="preserve">Commission on Laboratory Accreditation, Laboratory Accreditation Program. </w:t>
      </w:r>
      <w:r>
        <w:rPr>
          <w:i/>
        </w:rPr>
        <w:t>Transfusion Medicine Checklist</w:t>
      </w:r>
      <w:r>
        <w:t xml:space="preserve"> (Northfield, IL: Colle</w:t>
      </w:r>
      <w:r w:rsidR="00680E9A">
        <w:t>ge of American Pathologists, 201</w:t>
      </w:r>
      <w:r w:rsidR="00BE3412">
        <w:t>7</w:t>
      </w:r>
      <w:r>
        <w:t>).</w:t>
      </w:r>
    </w:p>
    <w:p w14:paraId="108A9729" w14:textId="77777777" w:rsidR="002A21AE" w:rsidRDefault="002A21AE">
      <w:pPr>
        <w:pStyle w:val="ListBullet"/>
        <w:rPr>
          <w:i/>
        </w:rPr>
      </w:pPr>
      <w:r>
        <w:t xml:space="preserve">Joint Commission on Accreditation of Healthcare Organizations. </w:t>
      </w:r>
      <w:r>
        <w:rPr>
          <w:i/>
        </w:rPr>
        <w:t>Comprehensive Accreditation Manual for Hospitals: The Official Handbook (CAMH)</w:t>
      </w:r>
      <w:r>
        <w:t>. (Oakbrook Terrace, Illinois: Joint Commission on Accreditation o</w:t>
      </w:r>
      <w:r w:rsidR="00680E9A">
        <w:t>f Healthcare Organizations, 2013</w:t>
      </w:r>
      <w:r>
        <w:t>).</w:t>
      </w:r>
    </w:p>
    <w:p w14:paraId="2FD5B399" w14:textId="77777777" w:rsidR="00C10667" w:rsidRDefault="00C10667">
      <w:pPr>
        <w:pStyle w:val="ListBullet"/>
      </w:pPr>
      <w:r>
        <w:t xml:space="preserve">Department of Veterans Affairs, </w:t>
      </w:r>
      <w:r w:rsidRPr="005F521F">
        <w:t>Software Engineering Process Group</w:t>
      </w:r>
      <w:r>
        <w:t xml:space="preserve"> (SEPG) and </w:t>
      </w:r>
      <w:r w:rsidRPr="005F521F">
        <w:t>Software Quality Assurance (SQA)</w:t>
      </w:r>
      <w:r>
        <w:t xml:space="preserve">, </w:t>
      </w:r>
      <w:r w:rsidRPr="00FF500D">
        <w:rPr>
          <w:i/>
        </w:rPr>
        <w:t>National Documentation Standards</w:t>
      </w:r>
      <w:r>
        <w:t xml:space="preserve"> (</w:t>
      </w:r>
      <w:r w:rsidR="00C827F9">
        <w:t>October</w:t>
      </w:r>
      <w:r>
        <w:t xml:space="preserve"> 2005).</w:t>
      </w:r>
    </w:p>
    <w:p w14:paraId="3457B4CC" w14:textId="77777777" w:rsidR="00C10667" w:rsidRPr="001C6432" w:rsidRDefault="00C10667">
      <w:pPr>
        <w:pStyle w:val="ListBullet"/>
        <w:rPr>
          <w:i/>
        </w:rPr>
      </w:pPr>
      <w:r>
        <w:t xml:space="preserve">Department of Veterans Affairs, Veterans Health Administration. </w:t>
      </w:r>
      <w:r>
        <w:rPr>
          <w:i/>
        </w:rPr>
        <w:t xml:space="preserve">VHA Directive 99-053, </w:t>
      </w:r>
      <w:r w:rsidR="00DD0D86">
        <w:rPr>
          <w:i/>
        </w:rPr>
        <w:t>VBECS</w:t>
      </w:r>
      <w:r>
        <w:rPr>
          <w:i/>
        </w:rPr>
        <w:t xml:space="preserve"> Blood Bank Software</w:t>
      </w:r>
      <w:r w:rsidR="00DD0D86">
        <w:t>, November 8, 2007</w:t>
      </w:r>
      <w:r>
        <w:t>.</w:t>
      </w:r>
    </w:p>
    <w:p w14:paraId="23BFC323" w14:textId="77777777" w:rsidR="002A21AE" w:rsidRDefault="002A21AE">
      <w:pPr>
        <w:pStyle w:val="ListBullet"/>
        <w:rPr>
          <w:i/>
        </w:rPr>
      </w:pPr>
      <w:r>
        <w:t xml:space="preserve">Galloway, Dianne. </w:t>
      </w:r>
      <w:r>
        <w:rPr>
          <w:i/>
        </w:rPr>
        <w:t>Mapping Work Processes</w:t>
      </w:r>
      <w:r>
        <w:t>. (Milwaukee, Wisconsin: ASQ Quality Press, 1994).</w:t>
      </w:r>
    </w:p>
    <w:p w14:paraId="0EADE511" w14:textId="77777777" w:rsidR="002A21AE" w:rsidRDefault="002A21AE">
      <w:pPr>
        <w:pStyle w:val="ListBullet"/>
        <w:rPr>
          <w:i/>
        </w:rPr>
      </w:pPr>
      <w:r>
        <w:rPr>
          <w:i/>
        </w:rPr>
        <w:t>General Principles of Software Validation; Final Guidance for Industry and FDA Staff</w:t>
      </w:r>
      <w:r>
        <w:t xml:space="preserve"> (U.S. Department Of Health and Human Services, Food and Drug Administration, Center for Devices and Radiological Health, Center for Biologics Evaluation and Research, January 11, 2002).</w:t>
      </w:r>
    </w:p>
    <w:p w14:paraId="40397E5D" w14:textId="77777777" w:rsidR="002A21AE" w:rsidRDefault="002A21AE">
      <w:pPr>
        <w:pStyle w:val="ListBullet"/>
      </w:pPr>
      <w:r>
        <w:rPr>
          <w:i/>
        </w:rPr>
        <w:t>Guidance for Industry and FDA Premarket and Design Control Reviewers, Medical Device Use-Safety: Incorporating Human Factors Engineering into Risk Management</w:t>
      </w:r>
      <w:r>
        <w:t xml:space="preserve"> (U.S. Department of Health and Human Services, Food and Drug Administration, Center for Devices and Radiological Health, Division of Device User Programs and Systems Analysis, Office of Health and Industry Programs, July 18, 2000).</w:t>
      </w:r>
    </w:p>
    <w:p w14:paraId="78B190AC" w14:textId="77777777" w:rsidR="002A21AE" w:rsidRPr="0000295A" w:rsidRDefault="002A21AE">
      <w:pPr>
        <w:pStyle w:val="ListBullet"/>
        <w:rPr>
          <w:i/>
        </w:rPr>
      </w:pPr>
      <w:r>
        <w:rPr>
          <w:i/>
        </w:rPr>
        <w:t>Guidance for Industry, FDA Reviewers and Compliance on Off-The-Shelf Software Use in Medical Devices</w:t>
      </w:r>
      <w:r>
        <w:t xml:space="preserve"> (U.S. Department Of Health And Human Services, Food and Drug Administration, Center for Devices and Radiological Health, Office of Device Evaluation, September 9, 1999).</w:t>
      </w:r>
    </w:p>
    <w:p w14:paraId="4F07FCFC" w14:textId="77777777" w:rsidR="0000295A" w:rsidRDefault="0000295A">
      <w:pPr>
        <w:pStyle w:val="ListBullet"/>
        <w:rPr>
          <w:i/>
        </w:rPr>
      </w:pPr>
      <w:r w:rsidRPr="00257AD6">
        <w:rPr>
          <w:i/>
        </w:rPr>
        <w:t xml:space="preserve">Guidelines for </w:t>
      </w:r>
      <w:r w:rsidRPr="00257AD6">
        <w:rPr>
          <w:bCs/>
          <w:i/>
        </w:rPr>
        <w:t>Implementing the Electronic Crossmatch</w:t>
      </w:r>
      <w:r w:rsidRPr="0026301E">
        <w:t xml:space="preserve"> (Bethesda, MD: American Association of Blood Banks, 200</w:t>
      </w:r>
      <w:r>
        <w:t>3</w:t>
      </w:r>
      <w:r w:rsidRPr="0026301E">
        <w:t>).</w:t>
      </w:r>
    </w:p>
    <w:p w14:paraId="00813BF9" w14:textId="77777777" w:rsidR="002A21AE" w:rsidRPr="0026301E" w:rsidRDefault="002A21AE">
      <w:pPr>
        <w:pStyle w:val="ListBullet"/>
        <w:rPr>
          <w:i/>
        </w:rPr>
      </w:pPr>
      <w:r w:rsidRPr="0026301E">
        <w:rPr>
          <w:i/>
        </w:rPr>
        <w:t xml:space="preserve">Guidelines for the Labeling of Specimens for Compatibility Testing. </w:t>
      </w:r>
      <w:r w:rsidRPr="0026301E">
        <w:t>Ed. James P. AuBuchon, MD. (Bethesda, MD: American Association of Blood Banks, 2002).</w:t>
      </w:r>
    </w:p>
    <w:p w14:paraId="78E66C90" w14:textId="77777777" w:rsidR="002A21AE" w:rsidRDefault="002A21AE">
      <w:pPr>
        <w:pStyle w:val="ListBullet"/>
        <w:rPr>
          <w:i/>
        </w:rPr>
      </w:pPr>
      <w:r>
        <w:rPr>
          <w:i/>
          <w:iCs/>
        </w:rPr>
        <w:t>Guidelines for the Laboratory Evaluation of Transfusion Reactions</w:t>
      </w:r>
      <w:r>
        <w:t xml:space="preserve"> (Bethesda, MD: American Association of Blood Banks, 2003).</w:t>
      </w:r>
    </w:p>
    <w:p w14:paraId="3ADFB77E" w14:textId="77777777" w:rsidR="002A21AE" w:rsidRDefault="002A21AE">
      <w:pPr>
        <w:pStyle w:val="ListBullet"/>
      </w:pPr>
      <w:r>
        <w:rPr>
          <w:i/>
        </w:rPr>
        <w:t>IEEE Standard for Software Configuration Management Plans</w:t>
      </w:r>
      <w:r>
        <w:rPr>
          <w:iCs/>
        </w:rPr>
        <w:t xml:space="preserve"> (IEEE Std 828-1998) (New York: Institute of Electrical and Electronic Engineers, Inc., 1998).</w:t>
      </w:r>
    </w:p>
    <w:p w14:paraId="338F206F" w14:textId="77777777" w:rsidR="002A21AE" w:rsidRDefault="002A21AE">
      <w:pPr>
        <w:pStyle w:val="ListBullet"/>
      </w:pPr>
      <w:r>
        <w:rPr>
          <w:i/>
        </w:rPr>
        <w:t>ISBT 128 Bar Code Symbology and Application Specification for Labeling of Whole Blood and Blood Components,</w:t>
      </w:r>
      <w:r>
        <w:t xml:space="preserve"> Version Number 1.4.0 [York, PA: International Council for Commonality in Blood Banking Automation (ICCBBA), June 2001].</w:t>
      </w:r>
    </w:p>
    <w:p w14:paraId="14DC1CFE" w14:textId="77777777" w:rsidR="002A21AE" w:rsidRDefault="002A21AE">
      <w:pPr>
        <w:pStyle w:val="ListBullet"/>
        <w:rPr>
          <w:i/>
        </w:rPr>
      </w:pPr>
      <w:r>
        <w:lastRenderedPageBreak/>
        <w:t xml:space="preserve">Jacobson, Ivar, Grady Booch, and James Rumbaugh. </w:t>
      </w:r>
      <w:r>
        <w:rPr>
          <w:i/>
        </w:rPr>
        <w:t>The Unified Software Development Process</w:t>
      </w:r>
      <w:r>
        <w:t xml:space="preserve"> (Boston: Addison-Wesley, 1999).</w:t>
      </w:r>
    </w:p>
    <w:p w14:paraId="5B50E781" w14:textId="77777777" w:rsidR="002A21AE" w:rsidRDefault="002A21AE">
      <w:pPr>
        <w:pStyle w:val="ListBullet"/>
        <w:rPr>
          <w:i/>
        </w:rPr>
      </w:pPr>
      <w:r>
        <w:rPr>
          <w:i/>
        </w:rPr>
        <w:t>Medical devices—Application of risk management to medical devices</w:t>
      </w:r>
      <w:r>
        <w:t xml:space="preserve"> (ANSI/AAMI/ISO 14971:2000), 2001. Association for the Advancement of Medical Instrumentation.</w:t>
      </w:r>
    </w:p>
    <w:p w14:paraId="49CE38A6" w14:textId="77777777" w:rsidR="002A21AE" w:rsidRDefault="002A21AE">
      <w:pPr>
        <w:pStyle w:val="ListBullet"/>
      </w:pPr>
      <w:r>
        <w:t xml:space="preserve">Nevalainen, D. E. and M. F. Callery. </w:t>
      </w:r>
      <w:r>
        <w:rPr>
          <w:i/>
        </w:rPr>
        <w:t>Applying Self-Assessment and Process Analysis to Create a Quality System</w:t>
      </w:r>
      <w:r>
        <w:t xml:space="preserve"> (Basel, Switzerland: S. Karger Publishing, 1995).</w:t>
      </w:r>
    </w:p>
    <w:p w14:paraId="07600AA8" w14:textId="77777777" w:rsidR="00994DBA" w:rsidRDefault="00994DBA">
      <w:pPr>
        <w:pStyle w:val="ListBullet"/>
      </w:pPr>
      <w:r>
        <w:t xml:space="preserve">Nozick, Robin F. “Demystifying the Information Systems Validation Process,” </w:t>
      </w:r>
      <w:r w:rsidRPr="008D14C3">
        <w:rPr>
          <w:i/>
        </w:rPr>
        <w:t>AABB News</w:t>
      </w:r>
      <w:r>
        <w:t xml:space="preserve"> 7:6 (</w:t>
      </w:r>
      <w:r w:rsidR="008D14C3">
        <w:t xml:space="preserve">2005): </w:t>
      </w:r>
      <w:r>
        <w:t>50–51.</w:t>
      </w:r>
    </w:p>
    <w:p w14:paraId="0A85740D" w14:textId="77777777" w:rsidR="002A21AE" w:rsidRPr="00BA2FFC" w:rsidRDefault="002A21AE">
      <w:pPr>
        <w:pStyle w:val="ListBullet"/>
      </w:pPr>
      <w:r w:rsidRPr="00BA2FFC">
        <w:rPr>
          <w:i/>
        </w:rPr>
        <w:t>Object-Oriented Analysis and Design Using the UML: Student Manual, Book 1, Version 4.2</w:t>
      </w:r>
      <w:r w:rsidRPr="00BA2FFC">
        <w:t xml:space="preserve"> (Cupertino, CA: Rational Corporation, 1999).</w:t>
      </w:r>
    </w:p>
    <w:p w14:paraId="3CC1BFDC" w14:textId="77777777" w:rsidR="002A21AE" w:rsidRDefault="002A21AE">
      <w:pPr>
        <w:pStyle w:val="ListBullet"/>
      </w:pPr>
      <w:r w:rsidRPr="00BA2FFC">
        <w:rPr>
          <w:i/>
        </w:rPr>
        <w:t xml:space="preserve">Rational </w:t>
      </w:r>
      <w:r w:rsidR="007E56E1">
        <w:rPr>
          <w:i/>
        </w:rPr>
        <w:t>Team Concert. Version 6.0.5</w:t>
      </w:r>
      <w:r w:rsidR="00451526">
        <w:rPr>
          <w:i/>
        </w:rPr>
        <w:t>,</w:t>
      </w:r>
      <w:r w:rsidRPr="00BA2FFC">
        <w:t xml:space="preserve"> Rational Software Corporation.</w:t>
      </w:r>
    </w:p>
    <w:p w14:paraId="6FEA2A0B" w14:textId="77777777" w:rsidR="008D65D0" w:rsidRPr="008D65D0" w:rsidRDefault="008D65D0">
      <w:pPr>
        <w:pStyle w:val="ListBullet"/>
      </w:pPr>
      <w:r w:rsidRPr="008D65D0">
        <w:rPr>
          <w:i/>
        </w:rPr>
        <w:t>Deciding When to Submit a 510(k) for a Software Change to an Existing Device</w:t>
      </w:r>
      <w:r>
        <w:t>, October 25, 2017.</w:t>
      </w:r>
    </w:p>
    <w:p w14:paraId="055BE102" w14:textId="2DCC685B" w:rsidR="002A21AE" w:rsidRDefault="00483FF1">
      <w:pPr>
        <w:pStyle w:val="ListBullet"/>
      </w:pPr>
      <w:r>
        <w:rPr>
          <w:i/>
        </w:rPr>
        <w:t xml:space="preserve">Department of Veterans Affairs, </w:t>
      </w:r>
      <w:r w:rsidR="006549B7">
        <w:rPr>
          <w:i/>
        </w:rPr>
        <w:t>Office</w:t>
      </w:r>
      <w:r>
        <w:rPr>
          <w:i/>
        </w:rPr>
        <w:t xml:space="preserve"> of Information and Technology (OI&amp;T) </w:t>
      </w:r>
      <w:r w:rsidR="002A21AE">
        <w:rPr>
          <w:i/>
        </w:rPr>
        <w:t xml:space="preserve">Documentation Style </w:t>
      </w:r>
      <w:r>
        <w:rPr>
          <w:i/>
        </w:rPr>
        <w:t>Guide</w:t>
      </w:r>
      <w:r>
        <w:t>, October 2016</w:t>
      </w:r>
      <w:r w:rsidR="002A21AE">
        <w:t>.</w:t>
      </w:r>
    </w:p>
    <w:p w14:paraId="30D3CAB1" w14:textId="77777777" w:rsidR="002A21AE" w:rsidRDefault="002A21AE">
      <w:pPr>
        <w:pStyle w:val="ListBullet"/>
        <w:rPr>
          <w:i/>
        </w:rPr>
      </w:pPr>
      <w:r>
        <w:rPr>
          <w:i/>
        </w:rPr>
        <w:t xml:space="preserve">Standards for Blood Banks and Transfusion Services. </w:t>
      </w:r>
      <w:r>
        <w:t>Twenty-</w:t>
      </w:r>
      <w:r w:rsidR="00680E9A">
        <w:t>ninth</w:t>
      </w:r>
      <w:r>
        <w:t xml:space="preserve"> edition (Bethesda, MD: American Association </w:t>
      </w:r>
      <w:r w:rsidR="00680E9A">
        <w:t>of Blood Banks, 2014</w:t>
      </w:r>
      <w:r>
        <w:t>).</w:t>
      </w:r>
    </w:p>
    <w:p w14:paraId="4813AE49" w14:textId="77777777" w:rsidR="002A21AE" w:rsidRDefault="002A21AE">
      <w:pPr>
        <w:pStyle w:val="ListBullet"/>
        <w:rPr>
          <w:i/>
        </w:rPr>
      </w:pPr>
      <w:r>
        <w:rPr>
          <w:i/>
        </w:rPr>
        <w:t xml:space="preserve">Technical Manual. </w:t>
      </w:r>
      <w:r w:rsidR="00680E9A">
        <w:rPr>
          <w:i/>
        </w:rPr>
        <w:t>Eighteenth</w:t>
      </w:r>
      <w:r>
        <w:rPr>
          <w:i/>
        </w:rPr>
        <w:t xml:space="preserve"> edition </w:t>
      </w:r>
      <w:r>
        <w:t>(Bethesda, MD: American</w:t>
      </w:r>
      <w:r w:rsidR="00680E9A">
        <w:t xml:space="preserve"> Association of Blood Banks, 2014</w:t>
      </w:r>
      <w:r>
        <w:t>).</w:t>
      </w:r>
    </w:p>
    <w:p w14:paraId="3611F306" w14:textId="77777777" w:rsidR="00D931C3" w:rsidRPr="00D931C3" w:rsidRDefault="00D931C3" w:rsidP="00D931C3">
      <w:pPr>
        <w:pStyle w:val="ListBullet"/>
      </w:pPr>
      <w:r w:rsidRPr="00D931C3">
        <w:rPr>
          <w:i/>
        </w:rPr>
        <w:t>The Chicago Manual of Style</w:t>
      </w:r>
      <w:r w:rsidR="00680E9A">
        <w:t>, 16</w:t>
      </w:r>
      <w:r w:rsidRPr="00D931C3">
        <w:t>th</w:t>
      </w:r>
      <w:r>
        <w:t xml:space="preserve"> ed., (Chicago: The U</w:t>
      </w:r>
      <w:r w:rsidR="00680E9A">
        <w:t>niversity of Chicago Press, 2014</w:t>
      </w:r>
      <w:r>
        <w:t>).</w:t>
      </w:r>
    </w:p>
    <w:p w14:paraId="69A4F21D" w14:textId="77777777" w:rsidR="002A21AE" w:rsidRDefault="002A21AE">
      <w:pPr>
        <w:pStyle w:val="ListBullet"/>
        <w:rPr>
          <w:i/>
        </w:rPr>
      </w:pPr>
      <w:r>
        <w:rPr>
          <w:i/>
        </w:rPr>
        <w:t>Title 21 Code of Federal Regulations,</w:t>
      </w:r>
      <w:r>
        <w:t xml:space="preserve"> Part 11, Electronic Records; Electronic Signatures.</w:t>
      </w:r>
    </w:p>
    <w:p w14:paraId="77E92091" w14:textId="77777777" w:rsidR="002A21AE" w:rsidRDefault="002A21AE">
      <w:pPr>
        <w:pStyle w:val="ListBullet"/>
        <w:rPr>
          <w:i/>
        </w:rPr>
      </w:pPr>
      <w:r>
        <w:rPr>
          <w:i/>
        </w:rPr>
        <w:t xml:space="preserve">Title 21 Code of Federal Regulations, </w:t>
      </w:r>
      <w:r>
        <w:t>Part 803, Medical Device Reporting.</w:t>
      </w:r>
    </w:p>
    <w:p w14:paraId="4593594E" w14:textId="77777777" w:rsidR="002A21AE" w:rsidRDefault="002A21AE">
      <w:pPr>
        <w:pStyle w:val="ListBullet"/>
        <w:rPr>
          <w:i/>
        </w:rPr>
      </w:pPr>
      <w:r>
        <w:rPr>
          <w:i/>
        </w:rPr>
        <w:t xml:space="preserve">Title 21 Code of Federal Regulations, </w:t>
      </w:r>
      <w:r>
        <w:t>Part 806, Medical Devices; Reports of Corrections and Removals.</w:t>
      </w:r>
    </w:p>
    <w:p w14:paraId="40D5DE47" w14:textId="77777777" w:rsidR="002A21AE" w:rsidRDefault="002A21AE">
      <w:pPr>
        <w:pStyle w:val="ListBullet"/>
        <w:rPr>
          <w:i/>
        </w:rPr>
      </w:pPr>
      <w:r>
        <w:rPr>
          <w:i/>
        </w:rPr>
        <w:t>Title 21 Code of Federal Regulations,</w:t>
      </w:r>
      <w:r>
        <w:t xml:space="preserve"> Part 807, Establishment Registration and Device Listing for Manufacturers and Initial Importers of Devices.</w:t>
      </w:r>
    </w:p>
    <w:p w14:paraId="67BD1492" w14:textId="77777777" w:rsidR="002A21AE" w:rsidRDefault="002A21AE">
      <w:pPr>
        <w:pStyle w:val="ListBullet"/>
        <w:rPr>
          <w:i/>
        </w:rPr>
      </w:pPr>
      <w:r>
        <w:rPr>
          <w:i/>
        </w:rPr>
        <w:t>Title 21 Code of Federal Regulations</w:t>
      </w:r>
      <w:r>
        <w:t>, Part 810, Medical Device Recall Authority.</w:t>
      </w:r>
    </w:p>
    <w:p w14:paraId="5BCB0984" w14:textId="77777777" w:rsidR="002A21AE" w:rsidRDefault="002A21AE">
      <w:pPr>
        <w:pStyle w:val="ListBullet"/>
        <w:rPr>
          <w:i/>
        </w:rPr>
      </w:pPr>
      <w:r>
        <w:rPr>
          <w:i/>
        </w:rPr>
        <w:t xml:space="preserve">Title 21 Code of Federal Regulations, </w:t>
      </w:r>
      <w:r>
        <w:t>Part 820, Quality System Regulation.</w:t>
      </w:r>
    </w:p>
    <w:p w14:paraId="1738FD0C" w14:textId="77777777" w:rsidR="002A21AE" w:rsidRDefault="002A21AE">
      <w:pPr>
        <w:pStyle w:val="ListBullet"/>
        <w:rPr>
          <w:i/>
        </w:rPr>
      </w:pPr>
      <w:r>
        <w:rPr>
          <w:i/>
        </w:rPr>
        <w:t>Title 21 Code of Federal Regulations,</w:t>
      </w:r>
      <w:r>
        <w:t xml:space="preserve"> Parts 200 to 299, Food and Drugs.</w:t>
      </w:r>
    </w:p>
    <w:p w14:paraId="00508503" w14:textId="77777777" w:rsidR="002A21AE" w:rsidRDefault="002A21AE">
      <w:pPr>
        <w:pStyle w:val="ListBullet"/>
        <w:rPr>
          <w:i/>
        </w:rPr>
      </w:pPr>
      <w:r>
        <w:rPr>
          <w:i/>
        </w:rPr>
        <w:t>Title 21 Code of Federal Regulations,</w:t>
      </w:r>
      <w:r>
        <w:t xml:space="preserve"> Parts 600 to 799, Food and Drugs.</w:t>
      </w:r>
    </w:p>
    <w:p w14:paraId="2C0B7ACA" w14:textId="77777777" w:rsidR="002A21AE" w:rsidRDefault="002A21AE">
      <w:pPr>
        <w:pStyle w:val="ListBullet"/>
        <w:rPr>
          <w:i/>
        </w:rPr>
      </w:pPr>
      <w:r>
        <w:rPr>
          <w:i/>
        </w:rPr>
        <w:t>Title 21 Code of Federal Regulations,</w:t>
      </w:r>
      <w:r>
        <w:t xml:space="preserve"> Parts 800 to 1299, Food and Drugs.</w:t>
      </w:r>
    </w:p>
    <w:p w14:paraId="4F7261CA" w14:textId="77777777" w:rsidR="002A21AE" w:rsidRDefault="002A21AE">
      <w:pPr>
        <w:pStyle w:val="ListBullet"/>
      </w:pPr>
      <w:r>
        <w:t xml:space="preserve">Trautman, Kimberly A. </w:t>
      </w:r>
      <w:r>
        <w:rPr>
          <w:i/>
        </w:rPr>
        <w:t xml:space="preserve">The FDA and Worldwide Quality System Requirements Guidebook for Medical Devices </w:t>
      </w:r>
      <w:r>
        <w:t>(Milwaukee, Wisconsin: ASQ Quality Press, 1997).</w:t>
      </w:r>
    </w:p>
    <w:p w14:paraId="721E5267" w14:textId="77777777" w:rsidR="002A21AE" w:rsidRDefault="002A21AE">
      <w:pPr>
        <w:pStyle w:val="ListBullet"/>
      </w:pPr>
      <w:r>
        <w:t xml:space="preserve">U.S. Department Of Health and Human Services, Food and Drug Administration, Center for Devices and Radiological Health. </w:t>
      </w:r>
      <w:r>
        <w:rPr>
          <w:i/>
        </w:rPr>
        <w:t>Design Control Guidance for Medical Device Manufacturers</w:t>
      </w:r>
      <w:r>
        <w:t>, March 11, 1997.</w:t>
      </w:r>
    </w:p>
    <w:p w14:paraId="104C3953" w14:textId="77777777" w:rsidR="002A21AE" w:rsidRDefault="002A21AE">
      <w:pPr>
        <w:pStyle w:val="ListBullet"/>
      </w:pPr>
      <w:r>
        <w:t xml:space="preserve">U.S. Department Of Health and Human Services, Food and Drug Administration, Center for Devices and Radiological Health. </w:t>
      </w:r>
      <w:r>
        <w:rPr>
          <w:i/>
        </w:rPr>
        <w:t>Inspection of Medical Device Manufacturers, Final Guidance for Industry and FDA</w:t>
      </w:r>
      <w:r>
        <w:t>, February 7, 2001.</w:t>
      </w:r>
    </w:p>
    <w:p w14:paraId="573FDB06" w14:textId="77777777" w:rsidR="002A21AE" w:rsidRDefault="002A21AE">
      <w:pPr>
        <w:pStyle w:val="ListBullet"/>
      </w:pPr>
      <w:r>
        <w:t xml:space="preserve">U.S. Department Of Health and Human Services, Food and Drug Administration, Center for Devices and Radiological Health. </w:t>
      </w:r>
      <w:r>
        <w:rPr>
          <w:i/>
        </w:rPr>
        <w:t>Medical Device Quality Systems Manual: A Small Entity Compliance Guide</w:t>
      </w:r>
      <w:r>
        <w:t>. First edition, December 1996.</w:t>
      </w:r>
    </w:p>
    <w:p w14:paraId="47C26606" w14:textId="77777777" w:rsidR="002A21AE" w:rsidRDefault="002A21AE">
      <w:pPr>
        <w:pStyle w:val="ListBullet"/>
        <w:rPr>
          <w:i/>
        </w:rPr>
      </w:pPr>
      <w:r>
        <w:t xml:space="preserve">U.S. Department Of Health And Human Services, Food and Drug Administration, Center for Devices and Radiological Health, Office of Device Evaluation. </w:t>
      </w:r>
      <w:r>
        <w:rPr>
          <w:i/>
        </w:rPr>
        <w:t>Guidance for the Content of Premarket Submissions for Software Contained in Medical Devices</w:t>
      </w:r>
      <w:r>
        <w:t>, May 29, 1998.</w:t>
      </w:r>
    </w:p>
    <w:p w14:paraId="07D0BCCA" w14:textId="77777777" w:rsidR="002A21AE" w:rsidRDefault="002A21AE">
      <w:pPr>
        <w:pStyle w:val="ListBullet"/>
        <w:rPr>
          <w:i/>
        </w:rPr>
      </w:pPr>
      <w:r>
        <w:t xml:space="preserve">U.S. Department Of Health And Human Services, Food and Drug Administration, Center for Devices and Radiological Health, Office of Regulatory Affairs. </w:t>
      </w:r>
      <w:r>
        <w:rPr>
          <w:i/>
        </w:rPr>
        <w:t>Glossary of Computerized System and Software Development Terminology</w:t>
      </w:r>
      <w:r>
        <w:t>, August 1995.</w:t>
      </w:r>
    </w:p>
    <w:p w14:paraId="6DE7453B" w14:textId="77777777" w:rsidR="002A21AE" w:rsidRDefault="002A21AE">
      <w:pPr>
        <w:pStyle w:val="ListBullet"/>
        <w:rPr>
          <w:i/>
        </w:rPr>
      </w:pPr>
      <w:r>
        <w:lastRenderedPageBreak/>
        <w:t xml:space="preserve">U.S. Department Of Health and Human Services, Food and Drug Administration, Center for Devices and Radiological Health. </w:t>
      </w:r>
      <w:r>
        <w:rPr>
          <w:i/>
        </w:rPr>
        <w:t>Premarket Approval Manual</w:t>
      </w:r>
      <w:r>
        <w:t>. January 1998.</w:t>
      </w:r>
    </w:p>
    <w:p w14:paraId="5C57DCF2" w14:textId="77777777" w:rsidR="002A21AE" w:rsidRDefault="002A21AE">
      <w:pPr>
        <w:pStyle w:val="ListBullet"/>
      </w:pPr>
      <w:r>
        <w:t>U.S. Food and Drug Administration, Office of Regulatory Affairs and the Center for Devices and Radiological Health</w:t>
      </w:r>
      <w:r w:rsidR="00845D52">
        <w:t>.</w:t>
      </w:r>
      <w:r>
        <w:t xml:space="preserve"> </w:t>
      </w:r>
      <w:r>
        <w:rPr>
          <w:i/>
        </w:rPr>
        <w:t>Guide to Inspections of Medical Device Manufacturers</w:t>
      </w:r>
      <w:r>
        <w:t>,</w:t>
      </w:r>
      <w:r>
        <w:rPr>
          <w:i/>
        </w:rPr>
        <w:t xml:space="preserve"> </w:t>
      </w:r>
      <w:r>
        <w:t>December 1997.</w:t>
      </w:r>
    </w:p>
    <w:p w14:paraId="31C41B23" w14:textId="77777777" w:rsidR="002A21AE" w:rsidRDefault="002A21AE">
      <w:pPr>
        <w:pStyle w:val="ListBullet"/>
      </w:pPr>
      <w:r>
        <w:t xml:space="preserve">U.S. Food and Drug Administration, ORA Inspectional References, Quality Inspection System Technique. </w:t>
      </w:r>
      <w:r>
        <w:rPr>
          <w:i/>
        </w:rPr>
        <w:t>Guide to Inspections of Quality Systems</w:t>
      </w:r>
      <w:r>
        <w:t>, August 1999.</w:t>
      </w:r>
    </w:p>
    <w:p w14:paraId="4B51E4C8" w14:textId="77777777" w:rsidR="002A21AE" w:rsidRDefault="002A21AE">
      <w:pPr>
        <w:pStyle w:val="ListBullet"/>
      </w:pPr>
      <w:r>
        <w:rPr>
          <w:i/>
        </w:rPr>
        <w:t>United States Industry Consensus Standard for the Uniform Labeling of Blood and Blood Components Using</w:t>
      </w:r>
      <w:r w:rsidRPr="00845D52">
        <w:rPr>
          <w:i/>
        </w:rPr>
        <w:t xml:space="preserve"> ISBT 128, Version 1.2.0</w:t>
      </w:r>
      <w:r>
        <w:t>, prepared by the International Council for Commonality in Blood Banking Automation, Inc. (U.S. Department of Health and Human Services, Food and Drug Administration, Center for Biologics Evaluation and Research, November 1999).</w:t>
      </w:r>
    </w:p>
    <w:p w14:paraId="1FC2A90C" w14:textId="77777777" w:rsidR="00FE1B9A" w:rsidRDefault="00782012">
      <w:pPr>
        <w:pStyle w:val="ListBullet"/>
      </w:pPr>
      <w:r>
        <w:rPr>
          <w:i/>
        </w:rPr>
        <w:t>Office of Enterprise Developme</w:t>
      </w:r>
      <w:r w:rsidR="00FE1B9A">
        <w:rPr>
          <w:i/>
        </w:rPr>
        <w:t>nt Documentation Standards, Version 1</w:t>
      </w:r>
      <w:r w:rsidR="00FE1B9A" w:rsidRPr="00FE1B9A">
        <w:t>.</w:t>
      </w:r>
      <w:r w:rsidR="00FE1B9A">
        <w:t>4, June 2009.</w:t>
      </w:r>
    </w:p>
    <w:p w14:paraId="09DBE36A" w14:textId="77777777" w:rsidR="002A21AE" w:rsidRDefault="002A21AE">
      <w:pPr>
        <w:pStyle w:val="ListBullet"/>
      </w:pPr>
      <w:r>
        <w:t xml:space="preserve">Wilson, Paul F., Larry D. Dell, and Gaylord F. Anderson. </w:t>
      </w:r>
      <w:r>
        <w:rPr>
          <w:i/>
        </w:rPr>
        <w:t>Root Cause Analysis: A Tool for Total Quality Management</w:t>
      </w:r>
      <w:r>
        <w:t xml:space="preserve"> (Milwaukee, Wisconsin: ASQ Quality Press, 1993).</w:t>
      </w:r>
    </w:p>
    <w:p w14:paraId="53B019DF" w14:textId="77777777" w:rsidR="002A21AE" w:rsidRDefault="002A21AE">
      <w:pPr>
        <w:pStyle w:val="ListBullet"/>
      </w:pPr>
      <w:r>
        <w:rPr>
          <w:i/>
        </w:rPr>
        <w:t>ZPL II Programming Guide</w:t>
      </w:r>
      <w:r>
        <w:t>, Customer order # 46530L, Manufacturer part # 46530LB (Zebr</w:t>
      </w:r>
      <w:r w:rsidR="00845B27">
        <w:t>a Technologies Corporation, November 18, 201</w:t>
      </w:r>
      <w:r w:rsidR="00680E9A">
        <w:t>6</w:t>
      </w:r>
      <w:r>
        <w:t>).</w:t>
      </w:r>
    </w:p>
    <w:p w14:paraId="25DD5AFA" w14:textId="77777777" w:rsidR="00CF32F4" w:rsidRDefault="002A21AE" w:rsidP="00CF32F4">
      <w:pPr>
        <w:pStyle w:val="BodyText"/>
        <w:jc w:val="center"/>
      </w:pPr>
      <w:r>
        <w:br w:type="page"/>
      </w:r>
      <w:r w:rsidR="002249FA">
        <w:lastRenderedPageBreak/>
        <w:t>This page intentionally left</w:t>
      </w:r>
      <w:r w:rsidR="000014DD">
        <w:t xml:space="preserve"> </w:t>
      </w:r>
      <w:r w:rsidR="002249FA">
        <w:t>blank.</w:t>
      </w:r>
    </w:p>
    <w:p w14:paraId="37F7EFEE" w14:textId="77777777" w:rsidR="002A21AE" w:rsidRDefault="002A21AE">
      <w:pPr>
        <w:pStyle w:val="Heading1"/>
      </w:pPr>
      <w:r>
        <w:br w:type="page"/>
      </w:r>
      <w:bookmarkStart w:id="599" w:name="_Toc4588856"/>
      <w:r>
        <w:lastRenderedPageBreak/>
        <w:t>Glossary</w:t>
      </w:r>
      <w:bookmarkEnd w:id="599"/>
      <w:r>
        <w:fldChar w:fldCharType="begin"/>
      </w:r>
      <w:r>
        <w:instrText xml:space="preserve"> XE </w:instrText>
      </w:r>
      <w:r w:rsidR="00FA7E65">
        <w:instrText>“</w:instrText>
      </w:r>
      <w:r>
        <w:instrText>Glossary</w:instrText>
      </w:r>
      <w:r w:rsidR="00FA7E65">
        <w:instrText>”</w:instrText>
      </w:r>
      <w:r>
        <w:instrText xml:space="preserve"> </w:instrText>
      </w:r>
      <w:r>
        <w:fldChar w:fldCharType="end"/>
      </w:r>
    </w:p>
    <w:tbl>
      <w:tblPr>
        <w:tblW w:w="4944" w:type="pct"/>
        <w:tblLook w:val="0000" w:firstRow="0" w:lastRow="0" w:firstColumn="0" w:lastColumn="0" w:noHBand="0" w:noVBand="0"/>
      </w:tblPr>
      <w:tblGrid>
        <w:gridCol w:w="3097"/>
        <w:gridCol w:w="6158"/>
      </w:tblGrid>
      <w:tr w:rsidR="00AF274B" w14:paraId="14DDFE36" w14:textId="77777777">
        <w:trPr>
          <w:cantSplit/>
          <w:trHeight w:val="403"/>
          <w:tblHeader/>
        </w:trPr>
        <w:tc>
          <w:tcPr>
            <w:tcW w:w="1673" w:type="pct"/>
            <w:shd w:val="clear" w:color="auto" w:fill="B3B3B3"/>
            <w:vAlign w:val="bottom"/>
          </w:tcPr>
          <w:p w14:paraId="3DBC3F66" w14:textId="77777777" w:rsidR="00AF274B" w:rsidRDefault="00AF274B">
            <w:pPr>
              <w:pStyle w:val="GlossaryTableText"/>
              <w:rPr>
                <w:b/>
                <w:bCs/>
              </w:rPr>
            </w:pPr>
            <w:r>
              <w:rPr>
                <w:b/>
                <w:bCs/>
              </w:rPr>
              <w:t>Acronym, Term</w:t>
            </w:r>
          </w:p>
        </w:tc>
        <w:tc>
          <w:tcPr>
            <w:tcW w:w="3327" w:type="pct"/>
            <w:shd w:val="clear" w:color="auto" w:fill="B3B3B3"/>
            <w:vAlign w:val="bottom"/>
          </w:tcPr>
          <w:p w14:paraId="79D8FFE5" w14:textId="77777777" w:rsidR="00AF274B" w:rsidRDefault="00AF274B">
            <w:pPr>
              <w:pStyle w:val="GlossaryTableText"/>
              <w:rPr>
                <w:b/>
                <w:bCs/>
              </w:rPr>
            </w:pPr>
            <w:r>
              <w:rPr>
                <w:b/>
                <w:bCs/>
              </w:rPr>
              <w:t>Definition</w:t>
            </w:r>
          </w:p>
        </w:tc>
      </w:tr>
      <w:tr w:rsidR="00AF274B" w14:paraId="5D4AC7EA" w14:textId="77777777">
        <w:trPr>
          <w:cantSplit/>
        </w:trPr>
        <w:tc>
          <w:tcPr>
            <w:tcW w:w="1673" w:type="pct"/>
          </w:tcPr>
          <w:p w14:paraId="236E2793" w14:textId="77777777" w:rsidR="00AF274B" w:rsidRDefault="00AF274B">
            <w:pPr>
              <w:pStyle w:val="GlossaryTableText"/>
              <w:rPr>
                <w:rFonts w:ascii="Symbol"/>
                <w:b/>
              </w:rPr>
            </w:pPr>
            <w:r>
              <w:rPr>
                <w:b/>
              </w:rPr>
              <w:t>AABB</w:t>
            </w:r>
          </w:p>
        </w:tc>
        <w:tc>
          <w:tcPr>
            <w:tcW w:w="3327" w:type="pct"/>
          </w:tcPr>
          <w:p w14:paraId="53F0F098" w14:textId="77777777" w:rsidR="00AF274B" w:rsidRDefault="00AF274B">
            <w:pPr>
              <w:pStyle w:val="GlossaryTableText"/>
            </w:pPr>
            <w:r>
              <w:t>American Association of Blood Banks.</w:t>
            </w:r>
          </w:p>
        </w:tc>
      </w:tr>
      <w:tr w:rsidR="001A1559" w14:paraId="0CF5D029" w14:textId="77777777">
        <w:trPr>
          <w:cantSplit/>
        </w:trPr>
        <w:tc>
          <w:tcPr>
            <w:tcW w:w="1673" w:type="pct"/>
          </w:tcPr>
          <w:p w14:paraId="18E44DE7" w14:textId="77777777" w:rsidR="001A1559" w:rsidRDefault="001A1559">
            <w:pPr>
              <w:pStyle w:val="GlossaryTableText"/>
              <w:rPr>
                <w:b/>
              </w:rPr>
            </w:pPr>
            <w:r>
              <w:rPr>
                <w:b/>
              </w:rPr>
              <w:t>ABID</w:t>
            </w:r>
          </w:p>
        </w:tc>
        <w:tc>
          <w:tcPr>
            <w:tcW w:w="3327" w:type="pct"/>
          </w:tcPr>
          <w:p w14:paraId="098D4DFE" w14:textId="77777777" w:rsidR="001A1559" w:rsidRDefault="001A1559">
            <w:pPr>
              <w:pStyle w:val="GlossaryTableText"/>
            </w:pPr>
            <w:r>
              <w:t>Antibody identification.</w:t>
            </w:r>
          </w:p>
        </w:tc>
      </w:tr>
      <w:tr w:rsidR="00AF274B" w14:paraId="7AE50FDD" w14:textId="77777777">
        <w:trPr>
          <w:cantSplit/>
        </w:trPr>
        <w:tc>
          <w:tcPr>
            <w:tcW w:w="1673" w:type="pct"/>
          </w:tcPr>
          <w:p w14:paraId="4D3F61ED" w14:textId="77777777" w:rsidR="00AF274B" w:rsidRDefault="00AF274B">
            <w:pPr>
              <w:pStyle w:val="GlossaryTableText"/>
              <w:rPr>
                <w:b/>
              </w:rPr>
            </w:pPr>
            <w:r>
              <w:rPr>
                <w:b/>
              </w:rPr>
              <w:t>ABO</w:t>
            </w:r>
          </w:p>
        </w:tc>
        <w:tc>
          <w:tcPr>
            <w:tcW w:w="3327" w:type="pct"/>
          </w:tcPr>
          <w:p w14:paraId="139CA14F" w14:textId="77777777" w:rsidR="00AF274B" w:rsidRDefault="00AF274B">
            <w:pPr>
              <w:pStyle w:val="GlossaryTableText"/>
            </w:pPr>
            <w:r>
              <w:t>A group for classifying human blood, based on the presence or absence of specific antigens in the blood, which contains four blood types: A, B, AB, and O. The ABO group is the most critical of the human blood systems. It is used to determine general compatibility of donor units to a recipient.</w:t>
            </w:r>
          </w:p>
        </w:tc>
      </w:tr>
      <w:tr w:rsidR="00AF274B" w14:paraId="2EF29EBE" w14:textId="77777777">
        <w:trPr>
          <w:cantSplit/>
        </w:trPr>
        <w:tc>
          <w:tcPr>
            <w:tcW w:w="1673" w:type="pct"/>
          </w:tcPr>
          <w:p w14:paraId="409E8C05" w14:textId="77777777" w:rsidR="00AF274B" w:rsidRDefault="00AF274B">
            <w:pPr>
              <w:pStyle w:val="GlossaryTableText"/>
              <w:rPr>
                <w:b/>
              </w:rPr>
            </w:pPr>
            <w:r>
              <w:rPr>
                <w:b/>
              </w:rPr>
              <w:t>ABS</w:t>
            </w:r>
          </w:p>
        </w:tc>
        <w:tc>
          <w:tcPr>
            <w:tcW w:w="3327" w:type="pct"/>
          </w:tcPr>
          <w:p w14:paraId="1D6E63AD" w14:textId="77777777" w:rsidR="00AF274B" w:rsidRDefault="00AF274B">
            <w:pPr>
              <w:pStyle w:val="GlossaryTableText"/>
            </w:pPr>
            <w:r>
              <w:t xml:space="preserve">Antibody screen, </w:t>
            </w:r>
            <w:r w:rsidR="008E2E30">
              <w:t>Antibody Screen Test</w:t>
            </w:r>
            <w:r>
              <w:t>.</w:t>
            </w:r>
          </w:p>
        </w:tc>
      </w:tr>
      <w:tr w:rsidR="00AF274B" w14:paraId="2B0F0C4C" w14:textId="77777777">
        <w:trPr>
          <w:cantSplit/>
        </w:trPr>
        <w:tc>
          <w:tcPr>
            <w:tcW w:w="1673" w:type="pct"/>
          </w:tcPr>
          <w:p w14:paraId="2CC0B006" w14:textId="77777777" w:rsidR="00AF274B" w:rsidRDefault="00AF274B">
            <w:pPr>
              <w:pStyle w:val="GlossaryTableText"/>
              <w:rPr>
                <w:b/>
              </w:rPr>
            </w:pPr>
            <w:r>
              <w:rPr>
                <w:b/>
              </w:rPr>
              <w:t>Access Code</w:t>
            </w:r>
          </w:p>
        </w:tc>
        <w:tc>
          <w:tcPr>
            <w:tcW w:w="3327" w:type="pct"/>
          </w:tcPr>
          <w:p w14:paraId="772D9737" w14:textId="77777777" w:rsidR="00AF274B" w:rsidRDefault="00AF274B">
            <w:pPr>
              <w:pStyle w:val="GlossaryTableText"/>
            </w:pPr>
            <w:r>
              <w:t xml:space="preserve">A field in the </w:t>
            </w:r>
            <w:r w:rsidRPr="00CA6E27">
              <w:rPr>
                <w:bCs/>
              </w:rPr>
              <w:t>VistA</w:t>
            </w:r>
            <w:r>
              <w:t xml:space="preserve"> New Person file used to uniquely identify a user on the </w:t>
            </w:r>
            <w:r w:rsidRPr="00CA6E27">
              <w:rPr>
                <w:bCs/>
              </w:rPr>
              <w:t>VistA</w:t>
            </w:r>
            <w:r>
              <w:t xml:space="preserve"> system.</w:t>
            </w:r>
          </w:p>
        </w:tc>
      </w:tr>
      <w:tr w:rsidR="00AF274B" w14:paraId="25E2F8AF" w14:textId="77777777">
        <w:trPr>
          <w:cantSplit/>
        </w:trPr>
        <w:tc>
          <w:tcPr>
            <w:tcW w:w="1673" w:type="pct"/>
          </w:tcPr>
          <w:p w14:paraId="7B578810" w14:textId="77777777" w:rsidR="00AF274B" w:rsidRDefault="00AF274B">
            <w:pPr>
              <w:pStyle w:val="GlossaryTableText"/>
              <w:rPr>
                <w:b/>
              </w:rPr>
            </w:pPr>
            <w:r>
              <w:rPr>
                <w:b/>
              </w:rPr>
              <w:t>Accessioned</w:t>
            </w:r>
          </w:p>
        </w:tc>
        <w:tc>
          <w:tcPr>
            <w:tcW w:w="3327" w:type="pct"/>
          </w:tcPr>
          <w:p w14:paraId="680BC073" w14:textId="77777777" w:rsidR="00AF274B" w:rsidRDefault="00AF274B">
            <w:pPr>
              <w:pStyle w:val="GlossaryTableText"/>
            </w:pPr>
            <w:r>
              <w:t xml:space="preserve">Describes an order when a specimen has been collected or has been placed on a current collection list by the </w:t>
            </w:r>
            <w:r w:rsidRPr="00CA6E27">
              <w:rPr>
                <w:bCs/>
              </w:rPr>
              <w:t>VistA</w:t>
            </w:r>
            <w:r>
              <w:t xml:space="preserve"> Laboratory software. </w:t>
            </w:r>
            <w:r>
              <w:rPr>
                <w:i/>
              </w:rPr>
              <w:t>A mechanism for accessioning orders for blood components that do not require a specimen needs to be designed.</w:t>
            </w:r>
          </w:p>
        </w:tc>
      </w:tr>
      <w:tr w:rsidR="00AF274B" w14:paraId="4B3B7695" w14:textId="77777777">
        <w:trPr>
          <w:cantSplit/>
        </w:trPr>
        <w:tc>
          <w:tcPr>
            <w:tcW w:w="1673" w:type="pct"/>
          </w:tcPr>
          <w:p w14:paraId="0F6B238D" w14:textId="77777777" w:rsidR="00AF274B" w:rsidRDefault="00AF274B">
            <w:pPr>
              <w:pStyle w:val="GlossaryTableText"/>
              <w:rPr>
                <w:b/>
              </w:rPr>
            </w:pPr>
            <w:r>
              <w:rPr>
                <w:b/>
                <w:snapToGrid w:val="0"/>
              </w:rPr>
              <w:t>Active order</w:t>
            </w:r>
          </w:p>
        </w:tc>
        <w:tc>
          <w:tcPr>
            <w:tcW w:w="3327" w:type="pct"/>
          </w:tcPr>
          <w:p w14:paraId="1C3F80C3" w14:textId="77777777" w:rsidR="00AF274B" w:rsidRDefault="00AF274B">
            <w:pPr>
              <w:pStyle w:val="GlossaryTableText"/>
            </w:pPr>
            <w:r>
              <w:t>A patient order for blood product(s) that is not completed or expired. Depending on the component class, an accompanying specimen may be required.</w:t>
            </w:r>
          </w:p>
        </w:tc>
      </w:tr>
      <w:tr w:rsidR="00AF274B" w14:paraId="118F8CF7" w14:textId="77777777">
        <w:trPr>
          <w:cantSplit/>
        </w:trPr>
        <w:tc>
          <w:tcPr>
            <w:tcW w:w="1673" w:type="pct"/>
          </w:tcPr>
          <w:p w14:paraId="4340FF61" w14:textId="77777777" w:rsidR="00AF274B" w:rsidRDefault="00AF274B">
            <w:pPr>
              <w:pStyle w:val="GlossaryTableText"/>
              <w:rPr>
                <w:b/>
              </w:rPr>
            </w:pPr>
            <w:r>
              <w:rPr>
                <w:b/>
              </w:rPr>
              <w:t>Active user</w:t>
            </w:r>
          </w:p>
        </w:tc>
        <w:tc>
          <w:tcPr>
            <w:tcW w:w="3327" w:type="pct"/>
          </w:tcPr>
          <w:p w14:paraId="2F92107E" w14:textId="77777777" w:rsidR="00AF274B" w:rsidRDefault="00AF274B">
            <w:pPr>
              <w:pStyle w:val="GlossaryTableText"/>
            </w:pPr>
            <w:r>
              <w:t xml:space="preserve">A user with a setting in </w:t>
            </w:r>
            <w:r w:rsidRPr="00CA6E27">
              <w:t>VistA</w:t>
            </w:r>
            <w:r>
              <w:t xml:space="preserve"> that allows him to access VBECS. Inactive use</w:t>
            </w:r>
            <w:r w:rsidR="000D6CFB">
              <w:t>rs may no longer access VBECS.</w:t>
            </w:r>
          </w:p>
        </w:tc>
      </w:tr>
      <w:tr w:rsidR="00AF274B" w14:paraId="7CD24150" w14:textId="77777777">
        <w:trPr>
          <w:cantSplit/>
        </w:trPr>
        <w:tc>
          <w:tcPr>
            <w:tcW w:w="1673" w:type="pct"/>
          </w:tcPr>
          <w:p w14:paraId="4B1F9561" w14:textId="77777777" w:rsidR="00AF274B" w:rsidRDefault="00AF274B">
            <w:pPr>
              <w:pStyle w:val="GlossaryTableText"/>
              <w:rPr>
                <w:b/>
              </w:rPr>
            </w:pPr>
            <w:r>
              <w:rPr>
                <w:b/>
              </w:rPr>
              <w:t>Activities</w:t>
            </w:r>
          </w:p>
        </w:tc>
        <w:tc>
          <w:tcPr>
            <w:tcW w:w="3327" w:type="pct"/>
          </w:tcPr>
          <w:p w14:paraId="15B2862E" w14:textId="77777777" w:rsidR="00AF274B" w:rsidRDefault="00AF274B">
            <w:pPr>
              <w:pStyle w:val="GlossaryTableText"/>
            </w:pPr>
            <w:r>
              <w:t>Business processes that the product supports.</w:t>
            </w:r>
          </w:p>
        </w:tc>
      </w:tr>
      <w:tr w:rsidR="00AF274B" w14:paraId="50509D3A" w14:textId="77777777">
        <w:trPr>
          <w:cantSplit/>
        </w:trPr>
        <w:tc>
          <w:tcPr>
            <w:tcW w:w="1673" w:type="pct"/>
          </w:tcPr>
          <w:p w14:paraId="29209984" w14:textId="77777777" w:rsidR="00AF274B" w:rsidRDefault="00AF274B">
            <w:pPr>
              <w:pStyle w:val="GlossaryTableText"/>
              <w:rPr>
                <w:b/>
              </w:rPr>
            </w:pPr>
            <w:r>
              <w:rPr>
                <w:b/>
              </w:rPr>
              <w:t>Activity</w:t>
            </w:r>
          </w:p>
        </w:tc>
        <w:tc>
          <w:tcPr>
            <w:tcW w:w="3327" w:type="pct"/>
          </w:tcPr>
          <w:p w14:paraId="62AE35BE" w14:textId="77777777" w:rsidR="00AF274B" w:rsidRDefault="00AF274B">
            <w:pPr>
              <w:pStyle w:val="GlossaryTableText"/>
            </w:pPr>
            <w:r>
              <w:t>An identified verification and validation task.</w:t>
            </w:r>
          </w:p>
        </w:tc>
      </w:tr>
      <w:tr w:rsidR="00AF274B" w14:paraId="32AEF0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FACA6CB" w14:textId="77777777" w:rsidR="00AF274B" w:rsidRDefault="00AF274B">
            <w:pPr>
              <w:pStyle w:val="GlossaryTableText"/>
              <w:rPr>
                <w:b/>
              </w:rPr>
            </w:pPr>
            <w:r>
              <w:rPr>
                <w:b/>
              </w:rPr>
              <w:t>ADPAC</w:t>
            </w:r>
          </w:p>
        </w:tc>
        <w:tc>
          <w:tcPr>
            <w:tcW w:w="3327" w:type="pct"/>
            <w:tcBorders>
              <w:top w:val="nil"/>
              <w:left w:val="nil"/>
              <w:bottom w:val="nil"/>
              <w:right w:val="nil"/>
            </w:tcBorders>
          </w:tcPr>
          <w:p w14:paraId="5D8782BA" w14:textId="77777777" w:rsidR="00AF274B" w:rsidRDefault="00AF274B">
            <w:pPr>
              <w:pStyle w:val="GlossaryTableText"/>
            </w:pPr>
            <w:r>
              <w:t>Automated Data Processing Application Coordinator.</w:t>
            </w:r>
          </w:p>
        </w:tc>
      </w:tr>
      <w:tr w:rsidR="00AF274B" w14:paraId="02C7DC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C441A3F" w14:textId="77777777" w:rsidR="00AF274B" w:rsidRDefault="00AF274B">
            <w:pPr>
              <w:pStyle w:val="GlossaryTableText"/>
              <w:rPr>
                <w:b/>
              </w:rPr>
            </w:pPr>
            <w:r>
              <w:rPr>
                <w:b/>
              </w:rPr>
              <w:t>AHG</w:t>
            </w:r>
          </w:p>
        </w:tc>
        <w:tc>
          <w:tcPr>
            <w:tcW w:w="3327" w:type="pct"/>
            <w:tcBorders>
              <w:top w:val="nil"/>
              <w:left w:val="nil"/>
              <w:bottom w:val="nil"/>
              <w:right w:val="nil"/>
            </w:tcBorders>
          </w:tcPr>
          <w:p w14:paraId="5BAFCFE8" w14:textId="77777777" w:rsidR="00AF274B" w:rsidRDefault="00AF274B">
            <w:pPr>
              <w:pStyle w:val="GlossaryTableText"/>
            </w:pPr>
            <w:r>
              <w:t>Anti-Human Globulin.</w:t>
            </w:r>
          </w:p>
        </w:tc>
      </w:tr>
      <w:tr w:rsidR="00AF274B" w14:paraId="381FFE3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857D0CB" w14:textId="77777777" w:rsidR="00AF274B" w:rsidRDefault="00AF274B">
            <w:pPr>
              <w:pStyle w:val="GlossaryTableText"/>
              <w:rPr>
                <w:b/>
              </w:rPr>
            </w:pPr>
            <w:r>
              <w:rPr>
                <w:b/>
              </w:rPr>
              <w:t>Aliquot</w:t>
            </w:r>
          </w:p>
        </w:tc>
        <w:tc>
          <w:tcPr>
            <w:tcW w:w="3327" w:type="pct"/>
            <w:tcBorders>
              <w:top w:val="nil"/>
              <w:left w:val="nil"/>
              <w:bottom w:val="nil"/>
              <w:right w:val="nil"/>
            </w:tcBorders>
          </w:tcPr>
          <w:p w14:paraId="6BF1D908" w14:textId="77777777" w:rsidR="00AF274B" w:rsidRDefault="00AF274B">
            <w:pPr>
              <w:pStyle w:val="GlossaryTableText"/>
            </w:pPr>
            <w:r>
              <w:t>A sample/portion divided off or separated as a part of a whole.</w:t>
            </w:r>
          </w:p>
        </w:tc>
      </w:tr>
      <w:tr w:rsidR="00AF274B" w14:paraId="2F2453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E687CFD" w14:textId="77777777" w:rsidR="00AF274B" w:rsidRDefault="00AF274B">
            <w:pPr>
              <w:pStyle w:val="GlossaryTableText"/>
              <w:rPr>
                <w:b/>
              </w:rPr>
            </w:pPr>
            <w:r>
              <w:rPr>
                <w:b/>
              </w:rPr>
              <w:t>Allogeneic</w:t>
            </w:r>
          </w:p>
        </w:tc>
        <w:tc>
          <w:tcPr>
            <w:tcW w:w="3327" w:type="pct"/>
            <w:tcBorders>
              <w:top w:val="nil"/>
              <w:left w:val="nil"/>
              <w:bottom w:val="nil"/>
              <w:right w:val="nil"/>
            </w:tcBorders>
          </w:tcPr>
          <w:p w14:paraId="498FDD29" w14:textId="77777777" w:rsidR="00AF274B" w:rsidRDefault="00AF274B">
            <w:pPr>
              <w:pStyle w:val="GlossaryTableText"/>
            </w:pPr>
            <w:r>
              <w:t>See “Homologous.”</w:t>
            </w:r>
          </w:p>
        </w:tc>
      </w:tr>
      <w:tr w:rsidR="00AF274B" w14:paraId="05C9C18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F9B750E" w14:textId="77777777" w:rsidR="00AF274B" w:rsidRDefault="00AF274B">
            <w:pPr>
              <w:pStyle w:val="GlossaryTableText"/>
              <w:rPr>
                <w:b/>
              </w:rPr>
            </w:pPr>
            <w:r>
              <w:rPr>
                <w:b/>
                <w:snapToGrid w:val="0"/>
              </w:rPr>
              <w:t>Antibody</w:t>
            </w:r>
          </w:p>
        </w:tc>
        <w:tc>
          <w:tcPr>
            <w:tcW w:w="3327" w:type="pct"/>
            <w:tcBorders>
              <w:top w:val="nil"/>
              <w:left w:val="nil"/>
              <w:bottom w:val="nil"/>
              <w:right w:val="nil"/>
            </w:tcBorders>
          </w:tcPr>
          <w:p w14:paraId="29E65EA6" w14:textId="77777777" w:rsidR="00AF274B" w:rsidRDefault="00AF274B">
            <w:pPr>
              <w:pStyle w:val="GlossaryTableText"/>
            </w:pPr>
            <w:r>
              <w:rPr>
                <w:snapToGrid w:val="0"/>
              </w:rPr>
              <w:t xml:space="preserve">A protein in the serum of some people that will react to a specific antigen on the blood cells. </w:t>
            </w:r>
            <w:r>
              <w:rPr>
                <w:i/>
                <w:snapToGrid w:val="0"/>
              </w:rPr>
              <w:t>In the case of a red blood cell transfusion, a patient with a clinically significant (leading to a transfusion reaction and possible patient harm) identified antibody must receive only red cells that are typed and found negative for the associated antigen. Once a clinically significant antibody is identified, antigen-negative cells must always be transfused even if a current specimen no longer shows the presence of the antibody. The antibody table in VBECS addresses the antibodies associated with red cell antigens. Though many antibodies are considered clinically significant, some are more of a nuisance to testing than a problem for transfusion. Many antibodies have documentation that defines their clinical significance; that information is used to define the VBECS table system warnings and overrides.</w:t>
            </w:r>
          </w:p>
        </w:tc>
      </w:tr>
      <w:tr w:rsidR="00AF274B" w14:paraId="5FCE61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8111202" w14:textId="77777777" w:rsidR="00AF274B" w:rsidRDefault="00AF274B">
            <w:pPr>
              <w:pStyle w:val="GlossaryTableText"/>
              <w:rPr>
                <w:b/>
                <w:snapToGrid w:val="0"/>
              </w:rPr>
            </w:pPr>
            <w:r>
              <w:rPr>
                <w:b/>
              </w:rPr>
              <w:t>Antigen</w:t>
            </w:r>
          </w:p>
        </w:tc>
        <w:tc>
          <w:tcPr>
            <w:tcW w:w="3327" w:type="pct"/>
            <w:tcBorders>
              <w:top w:val="nil"/>
              <w:left w:val="nil"/>
              <w:bottom w:val="nil"/>
              <w:right w:val="nil"/>
            </w:tcBorders>
          </w:tcPr>
          <w:p w14:paraId="31ECADA5" w14:textId="77777777" w:rsidR="00AF274B" w:rsidRDefault="00AF274B">
            <w:pPr>
              <w:pStyle w:val="GlossaryTableText"/>
              <w:rPr>
                <w:snapToGrid w:val="0"/>
              </w:rPr>
            </w:pPr>
            <w:r>
              <w:t>A substance on the surface of a red cell that stimulates an immune response (formation of an antibody).</w:t>
            </w:r>
          </w:p>
        </w:tc>
      </w:tr>
      <w:tr w:rsidR="00AF274B" w14:paraId="0DB9FC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B7B19FD" w14:textId="77777777" w:rsidR="00AF274B" w:rsidRDefault="00AF274B">
            <w:pPr>
              <w:pStyle w:val="GlossaryTableText"/>
              <w:rPr>
                <w:b/>
                <w:snapToGrid w:val="0"/>
              </w:rPr>
            </w:pPr>
            <w:r>
              <w:rPr>
                <w:b/>
                <w:snapToGrid w:val="0"/>
              </w:rPr>
              <w:t>Antigen negative requirement</w:t>
            </w:r>
          </w:p>
        </w:tc>
        <w:tc>
          <w:tcPr>
            <w:tcW w:w="3327" w:type="pct"/>
            <w:tcBorders>
              <w:top w:val="nil"/>
              <w:left w:val="nil"/>
              <w:bottom w:val="nil"/>
              <w:right w:val="nil"/>
            </w:tcBorders>
          </w:tcPr>
          <w:p w14:paraId="0CA0BE87" w14:textId="77777777" w:rsidR="00AF274B" w:rsidRDefault="00AF274B">
            <w:pPr>
              <w:pStyle w:val="GlossaryTableText"/>
              <w:rPr>
                <w:snapToGrid w:val="0"/>
              </w:rPr>
            </w:pPr>
            <w:r>
              <w:rPr>
                <w:snapToGrid w:val="0"/>
              </w:rPr>
              <w:t>A prerequisite that specified blood product categories must not contain stated characteristics.</w:t>
            </w:r>
          </w:p>
        </w:tc>
      </w:tr>
      <w:tr w:rsidR="00AF274B" w14:paraId="0EF410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31FB5E5" w14:textId="77777777" w:rsidR="00AF274B" w:rsidRDefault="00AF274B">
            <w:pPr>
              <w:pStyle w:val="GlossaryTableText"/>
              <w:rPr>
                <w:b/>
              </w:rPr>
            </w:pPr>
            <w:r>
              <w:rPr>
                <w:b/>
              </w:rPr>
              <w:lastRenderedPageBreak/>
              <w:t>Antigen typing</w:t>
            </w:r>
          </w:p>
        </w:tc>
        <w:tc>
          <w:tcPr>
            <w:tcW w:w="3327" w:type="pct"/>
            <w:tcBorders>
              <w:top w:val="nil"/>
              <w:left w:val="nil"/>
              <w:bottom w:val="nil"/>
              <w:right w:val="nil"/>
            </w:tcBorders>
          </w:tcPr>
          <w:p w14:paraId="6291D061" w14:textId="77777777" w:rsidR="00AF274B" w:rsidRDefault="00AF274B">
            <w:pPr>
              <w:pStyle w:val="GlossaryTableText"/>
            </w:pPr>
            <w:r>
              <w:t>Testing for the presence or absence of an antigen on a red blood cell.</w:t>
            </w:r>
          </w:p>
        </w:tc>
      </w:tr>
      <w:tr w:rsidR="00AF274B" w14:paraId="0696CA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4222580" w14:textId="77777777" w:rsidR="00AF274B" w:rsidRDefault="00AF274B">
            <w:pPr>
              <w:pStyle w:val="GlossaryTableText"/>
              <w:rPr>
                <w:b/>
                <w:snapToGrid w:val="0"/>
              </w:rPr>
            </w:pPr>
            <w:r>
              <w:rPr>
                <w:b/>
              </w:rPr>
              <w:t>Antiglobulin</w:t>
            </w:r>
          </w:p>
        </w:tc>
        <w:tc>
          <w:tcPr>
            <w:tcW w:w="3327" w:type="pct"/>
            <w:tcBorders>
              <w:top w:val="nil"/>
              <w:left w:val="nil"/>
              <w:bottom w:val="nil"/>
              <w:right w:val="nil"/>
            </w:tcBorders>
          </w:tcPr>
          <w:p w14:paraId="6D057CEF" w14:textId="77777777" w:rsidR="00AF274B" w:rsidRDefault="00AF274B">
            <w:pPr>
              <w:pStyle w:val="GlossaryTableText"/>
              <w:rPr>
                <w:snapToGrid w:val="0"/>
              </w:rPr>
            </w:pPr>
            <w:r>
              <w:t>An antibody that combines with a specific protein on a different type of antibody.</w:t>
            </w:r>
          </w:p>
        </w:tc>
      </w:tr>
      <w:tr w:rsidR="00AF274B" w14:paraId="6EB395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1D2E815" w14:textId="77777777" w:rsidR="00AF274B" w:rsidRDefault="00AF274B">
            <w:pPr>
              <w:pStyle w:val="GlossaryTableText"/>
              <w:rPr>
                <w:b/>
              </w:rPr>
            </w:pPr>
            <w:r>
              <w:rPr>
                <w:b/>
                <w:snapToGrid w:val="0"/>
              </w:rPr>
              <w:t>Anti-Human Globulin</w:t>
            </w:r>
          </w:p>
        </w:tc>
        <w:tc>
          <w:tcPr>
            <w:tcW w:w="3327" w:type="pct"/>
            <w:tcBorders>
              <w:top w:val="nil"/>
              <w:left w:val="nil"/>
              <w:bottom w:val="nil"/>
              <w:right w:val="nil"/>
            </w:tcBorders>
          </w:tcPr>
          <w:p w14:paraId="731E5BC5" w14:textId="77777777" w:rsidR="00AF274B" w:rsidRDefault="00AF274B">
            <w:pPr>
              <w:pStyle w:val="GlossaryTableText"/>
            </w:pPr>
            <w:r>
              <w:rPr>
                <w:snapToGrid w:val="0"/>
              </w:rPr>
              <w:t>A commercial reagent that binds to immunoglobulin molecules attached to the surface of a red blood cell.</w:t>
            </w:r>
          </w:p>
        </w:tc>
      </w:tr>
      <w:tr w:rsidR="00AF274B" w14:paraId="285B36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A705A89" w14:textId="77777777" w:rsidR="00AF274B" w:rsidRDefault="00AF274B">
            <w:pPr>
              <w:pStyle w:val="GlossaryTableText"/>
              <w:rPr>
                <w:b/>
              </w:rPr>
            </w:pPr>
            <w:r>
              <w:rPr>
                <w:b/>
              </w:rPr>
              <w:t>Antisera</w:t>
            </w:r>
          </w:p>
        </w:tc>
        <w:tc>
          <w:tcPr>
            <w:tcW w:w="3327" w:type="pct"/>
            <w:tcBorders>
              <w:top w:val="nil"/>
              <w:left w:val="nil"/>
              <w:bottom w:val="nil"/>
              <w:right w:val="nil"/>
            </w:tcBorders>
          </w:tcPr>
          <w:p w14:paraId="434E27D7" w14:textId="77777777" w:rsidR="00AF274B" w:rsidRDefault="00AF274B">
            <w:pPr>
              <w:pStyle w:val="GlossaryTableText"/>
            </w:pPr>
            <w:r>
              <w:t>Plural of “antiserum.”</w:t>
            </w:r>
          </w:p>
        </w:tc>
      </w:tr>
      <w:tr w:rsidR="00AF274B" w14:paraId="5F658A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E46ACB5" w14:textId="77777777" w:rsidR="00AF274B" w:rsidRDefault="00AF274B">
            <w:pPr>
              <w:pStyle w:val="GlossaryTableText"/>
              <w:rPr>
                <w:b/>
              </w:rPr>
            </w:pPr>
            <w:r>
              <w:rPr>
                <w:b/>
              </w:rPr>
              <w:t>Antiserum</w:t>
            </w:r>
          </w:p>
        </w:tc>
        <w:tc>
          <w:tcPr>
            <w:tcW w:w="3327" w:type="pct"/>
            <w:tcBorders>
              <w:top w:val="nil"/>
              <w:left w:val="nil"/>
              <w:bottom w:val="nil"/>
              <w:right w:val="nil"/>
            </w:tcBorders>
          </w:tcPr>
          <w:p w14:paraId="085C7E4A" w14:textId="77777777" w:rsidR="00AF274B" w:rsidRDefault="00AF274B">
            <w:pPr>
              <w:pStyle w:val="GlossaryTableText"/>
            </w:pPr>
            <w:r>
              <w:t>Blood serum (human, animal, monoclonal) containing antibodies that are specific for one or more antigens.</w:t>
            </w:r>
          </w:p>
        </w:tc>
      </w:tr>
      <w:tr w:rsidR="00AF274B" w14:paraId="67020E9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58E1489" w14:textId="77777777" w:rsidR="00AF274B" w:rsidRDefault="00AF274B">
            <w:pPr>
              <w:pStyle w:val="GlossaryTableText"/>
              <w:rPr>
                <w:b/>
              </w:rPr>
            </w:pPr>
            <w:r>
              <w:rPr>
                <w:b/>
              </w:rPr>
              <w:t>Assigned</w:t>
            </w:r>
          </w:p>
        </w:tc>
        <w:tc>
          <w:tcPr>
            <w:tcW w:w="3327" w:type="pct"/>
            <w:tcBorders>
              <w:top w:val="nil"/>
              <w:left w:val="nil"/>
              <w:bottom w:val="nil"/>
              <w:right w:val="nil"/>
            </w:tcBorders>
          </w:tcPr>
          <w:p w14:paraId="46B69F17" w14:textId="77777777" w:rsidR="00AF274B" w:rsidRDefault="00AF274B">
            <w:pPr>
              <w:pStyle w:val="GlossaryTableText"/>
            </w:pPr>
            <w:r>
              <w:t>Describes a unit of blood in a state that can be issued for transfusion and assign</w:t>
            </w:r>
            <w:r w:rsidR="00534B75">
              <w:t>ed to a patient.</w:t>
            </w:r>
          </w:p>
        </w:tc>
      </w:tr>
      <w:tr w:rsidR="00AF274B" w14:paraId="38EA15F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4F6C3DF" w14:textId="77777777" w:rsidR="00AF274B" w:rsidRDefault="00AF274B">
            <w:pPr>
              <w:pStyle w:val="GlossaryTableText"/>
              <w:rPr>
                <w:b/>
              </w:rPr>
            </w:pPr>
            <w:r>
              <w:rPr>
                <w:b/>
              </w:rPr>
              <w:t>Attribute</w:t>
            </w:r>
          </w:p>
        </w:tc>
        <w:tc>
          <w:tcPr>
            <w:tcW w:w="3327" w:type="pct"/>
            <w:tcBorders>
              <w:top w:val="nil"/>
              <w:left w:val="nil"/>
              <w:bottom w:val="nil"/>
              <w:right w:val="nil"/>
            </w:tcBorders>
          </w:tcPr>
          <w:p w14:paraId="19C51602" w14:textId="77777777" w:rsidR="00AF274B" w:rsidRDefault="00AF274B">
            <w:pPr>
              <w:pStyle w:val="GlossaryTableText"/>
            </w:pPr>
            <w:r>
              <w:t xml:space="preserve">ISBT 128 term that describes a property of a collected blood product. </w:t>
            </w:r>
            <w:r>
              <w:rPr>
                <w:i/>
              </w:rPr>
              <w:t>Examples include “Irradiated” and “Residual Leukocyte Content” (Leukopoor).</w:t>
            </w:r>
          </w:p>
        </w:tc>
      </w:tr>
      <w:tr w:rsidR="00AF274B" w14:paraId="4BB322E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7591992" w14:textId="77777777" w:rsidR="00AF274B" w:rsidRDefault="00AF274B">
            <w:pPr>
              <w:pStyle w:val="GlossaryTableText"/>
              <w:rPr>
                <w:b/>
              </w:rPr>
            </w:pPr>
            <w:r>
              <w:rPr>
                <w:b/>
              </w:rPr>
              <w:t>Audit Trail Report</w:t>
            </w:r>
          </w:p>
        </w:tc>
        <w:tc>
          <w:tcPr>
            <w:tcW w:w="3327" w:type="pct"/>
            <w:tcBorders>
              <w:top w:val="nil"/>
              <w:left w:val="nil"/>
              <w:bottom w:val="nil"/>
              <w:right w:val="nil"/>
            </w:tcBorders>
          </w:tcPr>
          <w:p w14:paraId="0036A70C" w14:textId="77777777" w:rsidR="00AF274B" w:rsidRDefault="00AF274B">
            <w:pPr>
              <w:pStyle w:val="GlossaryTableText"/>
            </w:pPr>
            <w:r>
              <w:t xml:space="preserve">The report of changes made to previously verified data. </w:t>
            </w:r>
            <w:r>
              <w:rPr>
                <w:i/>
              </w:rPr>
              <w:t>Regulations require that a mechanism be in place to prevent “electronic white-out.” An audit report contains details of the change, before and after data, date, and who made the change.</w:t>
            </w:r>
          </w:p>
        </w:tc>
      </w:tr>
      <w:tr w:rsidR="00AF274B" w14:paraId="4514F3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24E7320" w14:textId="77777777" w:rsidR="00AF274B" w:rsidRDefault="00AF274B">
            <w:pPr>
              <w:pStyle w:val="GlossaryTableText"/>
              <w:rPr>
                <w:b/>
                <w:snapToGrid w:val="0"/>
              </w:rPr>
            </w:pPr>
            <w:r>
              <w:rPr>
                <w:b/>
                <w:snapToGrid w:val="0"/>
              </w:rPr>
              <w:t>Autocontrol</w:t>
            </w:r>
          </w:p>
        </w:tc>
        <w:tc>
          <w:tcPr>
            <w:tcW w:w="3327" w:type="pct"/>
            <w:tcBorders>
              <w:top w:val="nil"/>
              <w:left w:val="nil"/>
              <w:bottom w:val="nil"/>
              <w:right w:val="nil"/>
            </w:tcBorders>
          </w:tcPr>
          <w:p w14:paraId="06A362E1" w14:textId="77777777" w:rsidR="00AF274B" w:rsidRDefault="00AF274B">
            <w:pPr>
              <w:pStyle w:val="GlossaryTableText"/>
              <w:rPr>
                <w:snapToGrid w:val="0"/>
              </w:rPr>
            </w:pPr>
            <w:r>
              <w:rPr>
                <w:snapToGrid w:val="0"/>
              </w:rPr>
              <w:t>A test using a patient’s serum (plasma) and cells under the same conditions as the accompanying test.</w:t>
            </w:r>
          </w:p>
        </w:tc>
      </w:tr>
      <w:tr w:rsidR="00AF274B" w14:paraId="6E580D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FCC9F4D" w14:textId="77777777" w:rsidR="00AF274B" w:rsidRDefault="00AF274B">
            <w:pPr>
              <w:pStyle w:val="GlossaryTableText"/>
              <w:rPr>
                <w:b/>
                <w:snapToGrid w:val="0"/>
              </w:rPr>
            </w:pPr>
            <w:r>
              <w:rPr>
                <w:b/>
              </w:rPr>
              <w:t>Autodiscriminate</w:t>
            </w:r>
          </w:p>
        </w:tc>
        <w:tc>
          <w:tcPr>
            <w:tcW w:w="3327" w:type="pct"/>
            <w:tcBorders>
              <w:top w:val="nil"/>
              <w:left w:val="nil"/>
              <w:bottom w:val="nil"/>
              <w:right w:val="nil"/>
            </w:tcBorders>
          </w:tcPr>
          <w:p w14:paraId="780837F8" w14:textId="77777777" w:rsidR="00AF274B" w:rsidRDefault="00AF274B">
            <w:pPr>
              <w:pStyle w:val="GlossaryTableText"/>
              <w:rPr>
                <w:snapToGrid w:val="0"/>
              </w:rPr>
            </w:pPr>
            <w:r>
              <w:t>Describes the ability of a barcode scanner to identify and interpret more than one barcode symbology without having to adjust any software or hardware parameters.</w:t>
            </w:r>
          </w:p>
        </w:tc>
      </w:tr>
      <w:tr w:rsidR="00AF274B" w14:paraId="04C39F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30F4F39" w14:textId="77777777" w:rsidR="00AF274B" w:rsidRDefault="00AF274B">
            <w:pPr>
              <w:pStyle w:val="GlossaryTableText"/>
              <w:rPr>
                <w:b/>
                <w:snapToGrid w:val="0"/>
              </w:rPr>
            </w:pPr>
            <w:r>
              <w:rPr>
                <w:b/>
              </w:rPr>
              <w:t>Autologous</w:t>
            </w:r>
          </w:p>
        </w:tc>
        <w:tc>
          <w:tcPr>
            <w:tcW w:w="3327" w:type="pct"/>
            <w:tcBorders>
              <w:top w:val="nil"/>
              <w:left w:val="nil"/>
              <w:bottom w:val="nil"/>
              <w:right w:val="nil"/>
            </w:tcBorders>
          </w:tcPr>
          <w:p w14:paraId="3D5F1C0B" w14:textId="77777777" w:rsidR="00AF274B" w:rsidRDefault="00AF274B">
            <w:pPr>
              <w:pStyle w:val="GlossaryTableText"/>
              <w:rPr>
                <w:snapToGrid w:val="0"/>
              </w:rPr>
            </w:pPr>
            <w:r>
              <w:t xml:space="preserve">Describes blood donated in advance for use by the donor in the future, often for elective surgery. </w:t>
            </w:r>
            <w:r>
              <w:rPr>
                <w:i/>
              </w:rPr>
              <w:t>Regulations allow for processing patients with diseases that otherwise would preclude them from donating blood to donate for themselves autologously. It is imperative that software guarantee that such blood is never available for use by anyone other than the intended recipient.</w:t>
            </w:r>
          </w:p>
        </w:tc>
      </w:tr>
      <w:tr w:rsidR="00AF274B" w14:paraId="62A2562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FD5373C" w14:textId="77777777" w:rsidR="00AF274B" w:rsidRDefault="00AF274B">
            <w:pPr>
              <w:pStyle w:val="GlossaryTableText"/>
              <w:rPr>
                <w:b/>
              </w:rPr>
            </w:pPr>
            <w:r>
              <w:rPr>
                <w:b/>
              </w:rPr>
              <w:t>Barcode scanner</w:t>
            </w:r>
          </w:p>
        </w:tc>
        <w:tc>
          <w:tcPr>
            <w:tcW w:w="3327" w:type="pct"/>
            <w:tcBorders>
              <w:top w:val="nil"/>
              <w:left w:val="nil"/>
              <w:bottom w:val="nil"/>
              <w:right w:val="nil"/>
            </w:tcBorders>
          </w:tcPr>
          <w:p w14:paraId="11B4DD81" w14:textId="77777777" w:rsidR="00AF274B" w:rsidRDefault="00AF274B">
            <w:pPr>
              <w:pStyle w:val="GlossaryTableText"/>
            </w:pPr>
            <w:r>
              <w:t>An electronic device that uses a finely focused beam of light to sense and transmit the data in a barcode image.</w:t>
            </w:r>
          </w:p>
        </w:tc>
      </w:tr>
      <w:tr w:rsidR="00083B7D" w14:paraId="04ADD74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8CF4001" w14:textId="77777777" w:rsidR="00083B7D" w:rsidRDefault="00083B7D">
            <w:pPr>
              <w:pStyle w:val="GlossaryTableText"/>
              <w:rPr>
                <w:b/>
              </w:rPr>
            </w:pPr>
            <w:r>
              <w:rPr>
                <w:b/>
              </w:rPr>
              <w:t>BCE-PPI</w:t>
            </w:r>
          </w:p>
        </w:tc>
        <w:tc>
          <w:tcPr>
            <w:tcW w:w="3327" w:type="pct"/>
            <w:tcBorders>
              <w:top w:val="nil"/>
              <w:left w:val="nil"/>
              <w:bottom w:val="nil"/>
              <w:right w:val="nil"/>
            </w:tcBorders>
          </w:tcPr>
          <w:p w14:paraId="11D71E30" w14:textId="77777777" w:rsidR="00083B7D" w:rsidRDefault="00083B7D">
            <w:pPr>
              <w:pStyle w:val="GlossaryTableText"/>
            </w:pPr>
            <w:r>
              <w:t>Bar Code Enhancement – Positive Patient Identification.</w:t>
            </w:r>
          </w:p>
        </w:tc>
      </w:tr>
      <w:tr w:rsidR="00AF274B" w14:paraId="0B26B3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C288F58" w14:textId="77777777" w:rsidR="00AF274B" w:rsidRDefault="00AF274B">
            <w:pPr>
              <w:pStyle w:val="GlossaryTableText"/>
              <w:rPr>
                <w:b/>
              </w:rPr>
            </w:pPr>
            <w:r>
              <w:rPr>
                <w:b/>
              </w:rPr>
              <w:t>Billable</w:t>
            </w:r>
          </w:p>
        </w:tc>
        <w:tc>
          <w:tcPr>
            <w:tcW w:w="3327" w:type="pct"/>
            <w:tcBorders>
              <w:top w:val="nil"/>
              <w:left w:val="nil"/>
              <w:bottom w:val="nil"/>
              <w:right w:val="nil"/>
            </w:tcBorders>
          </w:tcPr>
          <w:p w14:paraId="5B0FE08F" w14:textId="77777777" w:rsidR="00AF274B" w:rsidRDefault="00AF274B">
            <w:pPr>
              <w:pStyle w:val="GlossaryTableText"/>
            </w:pPr>
            <w:r>
              <w:t>A characteristic of an LMIP workload code that determines if statistics gathered as a result of that workload code should be included in the monthly report to the Austin Automation Center.</w:t>
            </w:r>
          </w:p>
        </w:tc>
      </w:tr>
      <w:tr w:rsidR="00AF274B" w14:paraId="0D9BD2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6C5ED9E" w14:textId="77777777" w:rsidR="00AF274B" w:rsidRDefault="00AF274B">
            <w:pPr>
              <w:pStyle w:val="GlossaryTableText"/>
              <w:rPr>
                <w:b/>
              </w:rPr>
            </w:pPr>
            <w:r>
              <w:rPr>
                <w:b/>
              </w:rPr>
              <w:t>Blood product</w:t>
            </w:r>
          </w:p>
        </w:tc>
        <w:tc>
          <w:tcPr>
            <w:tcW w:w="3327" w:type="pct"/>
            <w:tcBorders>
              <w:top w:val="nil"/>
              <w:left w:val="nil"/>
              <w:bottom w:val="nil"/>
              <w:right w:val="nil"/>
            </w:tcBorders>
          </w:tcPr>
          <w:p w14:paraId="5239C733" w14:textId="77777777" w:rsidR="00AF274B" w:rsidRDefault="00534B75">
            <w:pPr>
              <w:pStyle w:val="GlossaryTableText"/>
            </w:pPr>
            <w:r>
              <w:t>A specific example of a blood component class (e.g.,</w:t>
            </w:r>
            <w:r>
              <w:rPr>
                <w:i/>
              </w:rPr>
              <w:t xml:space="preserve"> AS-1 Red Blood Cells in the component class Red Blood Cells. (</w:t>
            </w:r>
            <w:r>
              <w:t>BloodProduct</w:t>
            </w:r>
            <w:r>
              <w:rPr>
                <w:i/>
              </w:rPr>
              <w:t xml:space="preserve"> in VBECS model).</w:t>
            </w:r>
          </w:p>
        </w:tc>
      </w:tr>
      <w:tr w:rsidR="00AF274B" w14:paraId="45AE23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DEA7CEA" w14:textId="77777777" w:rsidR="00AF274B" w:rsidRDefault="00AF274B">
            <w:pPr>
              <w:pStyle w:val="GlossaryTableText"/>
              <w:rPr>
                <w:b/>
              </w:rPr>
            </w:pPr>
            <w:r>
              <w:rPr>
                <w:b/>
              </w:rPr>
              <w:t>Blood Transfusion Record Form (BTRF)</w:t>
            </w:r>
          </w:p>
        </w:tc>
        <w:tc>
          <w:tcPr>
            <w:tcW w:w="3327" w:type="pct"/>
            <w:tcBorders>
              <w:top w:val="nil"/>
              <w:left w:val="nil"/>
              <w:bottom w:val="nil"/>
              <w:right w:val="nil"/>
            </w:tcBorders>
          </w:tcPr>
          <w:p w14:paraId="17C6EE3C" w14:textId="77777777" w:rsidR="00AF274B" w:rsidRDefault="00AF274B">
            <w:pPr>
              <w:pStyle w:val="GlossaryTableText"/>
              <w:rPr>
                <w:b/>
                <w:i/>
              </w:rPr>
            </w:pPr>
            <w:r>
              <w:t xml:space="preserve">A form printed in the blood bank used to record the actual events of a transfusion. </w:t>
            </w:r>
            <w:r>
              <w:rPr>
                <w:i/>
              </w:rPr>
              <w:t>Examples: start/stop time, transfusionists, vitals, reaction information. Formerly “SF 518 equivalent”</w:t>
            </w:r>
            <w:r>
              <w:t xml:space="preserve"> (</w:t>
            </w:r>
            <w:r w:rsidRPr="00CA6E27">
              <w:rPr>
                <w:bCs/>
                <w:i/>
              </w:rPr>
              <w:t>VistA</w:t>
            </w:r>
            <w:r>
              <w:rPr>
                <w:i/>
              </w:rPr>
              <w:t xml:space="preserve"> nomenclature).</w:t>
            </w:r>
          </w:p>
        </w:tc>
      </w:tr>
      <w:tr w:rsidR="00AF274B" w14:paraId="3C7465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49000D4" w14:textId="77777777" w:rsidR="00AF274B" w:rsidRDefault="00AF274B">
            <w:pPr>
              <w:pStyle w:val="GlossaryTableText"/>
              <w:rPr>
                <w:b/>
              </w:rPr>
            </w:pPr>
            <w:r>
              <w:rPr>
                <w:b/>
              </w:rPr>
              <w:t>Blood type (blood group)</w:t>
            </w:r>
          </w:p>
        </w:tc>
        <w:tc>
          <w:tcPr>
            <w:tcW w:w="3327" w:type="pct"/>
            <w:tcBorders>
              <w:top w:val="nil"/>
              <w:left w:val="nil"/>
              <w:bottom w:val="nil"/>
              <w:right w:val="nil"/>
            </w:tcBorders>
          </w:tcPr>
          <w:p w14:paraId="637C8E85" w14:textId="77777777" w:rsidR="00AF274B" w:rsidRDefault="00AF274B">
            <w:pPr>
              <w:pStyle w:val="GlossaryTableText"/>
            </w:pPr>
            <w:r>
              <w:t>The ABO and Rh type of blood determined by testing.</w:t>
            </w:r>
          </w:p>
        </w:tc>
      </w:tr>
      <w:tr w:rsidR="00AF274B" w14:paraId="28E4B6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863C9A8" w14:textId="77777777" w:rsidR="00AF274B" w:rsidRDefault="00AF274B">
            <w:pPr>
              <w:pStyle w:val="GlossaryTableText"/>
              <w:rPr>
                <w:b/>
                <w:bCs/>
              </w:rPr>
            </w:pPr>
            <w:r>
              <w:rPr>
                <w:b/>
                <w:bCs/>
              </w:rPr>
              <w:lastRenderedPageBreak/>
              <w:t>Canned comment</w:t>
            </w:r>
          </w:p>
        </w:tc>
        <w:tc>
          <w:tcPr>
            <w:tcW w:w="3327" w:type="pct"/>
            <w:tcBorders>
              <w:top w:val="nil"/>
              <w:left w:val="nil"/>
              <w:bottom w:val="nil"/>
              <w:right w:val="nil"/>
            </w:tcBorders>
          </w:tcPr>
          <w:p w14:paraId="073C21AE" w14:textId="77777777" w:rsidR="00AF274B" w:rsidRDefault="00AF274B">
            <w:pPr>
              <w:pStyle w:val="GlossaryTableText"/>
            </w:pPr>
            <w:r>
              <w:t xml:space="preserve">Defined comments, entered in abbreviated form and displayed as expanded text, used to enter supporting information at a variety of data entry points. </w:t>
            </w:r>
          </w:p>
        </w:tc>
      </w:tr>
      <w:tr w:rsidR="00AF274B" w14:paraId="0D5589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928E025" w14:textId="77777777" w:rsidR="00AF274B" w:rsidRDefault="00AF274B">
            <w:pPr>
              <w:pStyle w:val="GlossaryTableText"/>
              <w:rPr>
                <w:b/>
                <w:bCs/>
              </w:rPr>
            </w:pPr>
            <w:r>
              <w:rPr>
                <w:b/>
                <w:bCs/>
                <w:snapToGrid w:val="0"/>
              </w:rPr>
              <w:t>Category type</w:t>
            </w:r>
          </w:p>
        </w:tc>
        <w:tc>
          <w:tcPr>
            <w:tcW w:w="3327" w:type="pct"/>
            <w:tcBorders>
              <w:top w:val="nil"/>
              <w:left w:val="nil"/>
              <w:bottom w:val="nil"/>
              <w:right w:val="nil"/>
            </w:tcBorders>
          </w:tcPr>
          <w:p w14:paraId="602BD9F6" w14:textId="77777777" w:rsidR="00AF274B" w:rsidRDefault="00AF274B">
            <w:pPr>
              <w:pStyle w:val="GlossaryTableText"/>
            </w:pPr>
            <w:r>
              <w:rPr>
                <w:snapToGrid w:val="0"/>
              </w:rPr>
              <w:t>When used in relation to the file of canned comments, the category of the comment that determines in which functionality the comment may be selected and associated with other data.</w:t>
            </w:r>
          </w:p>
        </w:tc>
      </w:tr>
      <w:tr w:rsidR="00AF274B" w14:paraId="72D8885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57AC43B" w14:textId="77777777" w:rsidR="00AF274B" w:rsidRDefault="00AF274B">
            <w:pPr>
              <w:pStyle w:val="GlossaryTableText"/>
              <w:rPr>
                <w:b/>
                <w:bCs/>
              </w:rPr>
            </w:pPr>
            <w:r>
              <w:rPr>
                <w:b/>
                <w:bCs/>
              </w:rPr>
              <w:t>Caution Tag</w:t>
            </w:r>
          </w:p>
        </w:tc>
        <w:tc>
          <w:tcPr>
            <w:tcW w:w="3327" w:type="pct"/>
            <w:tcBorders>
              <w:top w:val="nil"/>
              <w:left w:val="nil"/>
              <w:bottom w:val="nil"/>
              <w:right w:val="nil"/>
            </w:tcBorders>
          </w:tcPr>
          <w:p w14:paraId="71C6CDF8" w14:textId="77777777" w:rsidR="00AF274B" w:rsidRDefault="00AF274B">
            <w:pPr>
              <w:pStyle w:val="GlossaryTableText"/>
            </w:pPr>
            <w:r>
              <w:t>A blood bank-generated form attached to a unit of blood when the unit is assigned or crossmatched.</w:t>
            </w:r>
          </w:p>
        </w:tc>
      </w:tr>
      <w:tr w:rsidR="00AF274B" w14:paraId="46984CE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7F29AE9" w14:textId="77777777" w:rsidR="00AF274B" w:rsidRDefault="00AF274B">
            <w:pPr>
              <w:pStyle w:val="GlossaryTableText"/>
              <w:rPr>
                <w:b/>
                <w:bCs/>
              </w:rPr>
            </w:pPr>
            <w:r>
              <w:rPr>
                <w:b/>
                <w:bCs/>
              </w:rPr>
              <w:t>CC</w:t>
            </w:r>
          </w:p>
        </w:tc>
        <w:tc>
          <w:tcPr>
            <w:tcW w:w="3327" w:type="pct"/>
            <w:tcBorders>
              <w:top w:val="nil"/>
              <w:left w:val="nil"/>
              <w:bottom w:val="nil"/>
              <w:right w:val="nil"/>
            </w:tcBorders>
          </w:tcPr>
          <w:p w14:paraId="312DD6DB" w14:textId="77777777" w:rsidR="00AF274B" w:rsidRDefault="00AF274B">
            <w:pPr>
              <w:pStyle w:val="GlossaryTableText"/>
            </w:pPr>
            <w:r>
              <w:t>Check Cell.</w:t>
            </w:r>
          </w:p>
        </w:tc>
      </w:tr>
      <w:tr w:rsidR="00AF274B" w14:paraId="0B49ED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BCBF0DE" w14:textId="77777777" w:rsidR="00AF274B" w:rsidRDefault="00AF274B">
            <w:pPr>
              <w:pStyle w:val="GlossaryTableText"/>
              <w:rPr>
                <w:b/>
                <w:bCs/>
              </w:rPr>
            </w:pPr>
            <w:r>
              <w:rPr>
                <w:b/>
                <w:bCs/>
              </w:rPr>
              <w:t>Check Cell (CC)</w:t>
            </w:r>
          </w:p>
        </w:tc>
        <w:tc>
          <w:tcPr>
            <w:tcW w:w="3327" w:type="pct"/>
            <w:tcBorders>
              <w:top w:val="nil"/>
              <w:left w:val="nil"/>
              <w:bottom w:val="nil"/>
              <w:right w:val="nil"/>
            </w:tcBorders>
          </w:tcPr>
          <w:p w14:paraId="39E46D82" w14:textId="77777777" w:rsidR="00AF274B" w:rsidRDefault="00AF274B">
            <w:pPr>
              <w:pStyle w:val="GlossaryTableText"/>
            </w:pPr>
            <w:r>
              <w:t xml:space="preserve">A type of reagent red cell used in the blood bank to verify the reactivity of antiglobulin antisera when the results of an antiglobulin test are negative. </w:t>
            </w:r>
            <w:r>
              <w:rPr>
                <w:i/>
              </w:rPr>
              <w:t>Also referred to as “Coombs Control cells.”</w:t>
            </w:r>
          </w:p>
        </w:tc>
      </w:tr>
      <w:tr w:rsidR="00BE425A" w14:paraId="3D88F8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E2AB4C1" w14:textId="77777777" w:rsidR="00BE425A" w:rsidRDefault="00BE425A">
            <w:pPr>
              <w:pStyle w:val="GlossaryTableText"/>
              <w:rPr>
                <w:b/>
                <w:bCs/>
              </w:rPr>
            </w:pPr>
            <w:r>
              <w:rPr>
                <w:b/>
                <w:bCs/>
              </w:rPr>
              <w:t>Check character</w:t>
            </w:r>
          </w:p>
        </w:tc>
        <w:tc>
          <w:tcPr>
            <w:tcW w:w="3327" w:type="pct"/>
            <w:tcBorders>
              <w:top w:val="nil"/>
              <w:left w:val="nil"/>
              <w:bottom w:val="nil"/>
              <w:right w:val="nil"/>
            </w:tcBorders>
          </w:tcPr>
          <w:p w14:paraId="37651FFD" w14:textId="77777777" w:rsidR="00BE425A" w:rsidRDefault="00BE425A">
            <w:pPr>
              <w:pStyle w:val="GlossaryTableText"/>
            </w:pPr>
            <w:r>
              <w:rPr>
                <w:rFonts w:cs="Arial"/>
              </w:rPr>
              <w:t>A character used to check the integrity of a barcode</w:t>
            </w:r>
            <w:r w:rsidR="005C2D6C">
              <w:rPr>
                <w:rFonts w:cs="Arial"/>
              </w:rPr>
              <w:t xml:space="preserve"> symbol.</w:t>
            </w:r>
          </w:p>
        </w:tc>
      </w:tr>
      <w:tr w:rsidR="00AF274B" w14:paraId="34BCD6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AB29DFE" w14:textId="77777777" w:rsidR="00AF274B" w:rsidRDefault="00AF274B">
            <w:pPr>
              <w:pStyle w:val="GlossaryTableText"/>
              <w:rPr>
                <w:b/>
                <w:bCs/>
              </w:rPr>
            </w:pPr>
            <w:r>
              <w:rPr>
                <w:b/>
                <w:bCs/>
              </w:rPr>
              <w:t>Clinically significant antibodies</w:t>
            </w:r>
          </w:p>
        </w:tc>
        <w:tc>
          <w:tcPr>
            <w:tcW w:w="3327" w:type="pct"/>
            <w:tcBorders>
              <w:top w:val="nil"/>
              <w:left w:val="nil"/>
              <w:bottom w:val="nil"/>
              <w:right w:val="nil"/>
            </w:tcBorders>
          </w:tcPr>
          <w:p w14:paraId="41640266" w14:textId="77777777" w:rsidR="00AF274B" w:rsidRDefault="00AF274B">
            <w:pPr>
              <w:pStyle w:val="GlossaryTableText"/>
              <w:rPr>
                <w:i/>
              </w:rPr>
            </w:pPr>
            <w:r>
              <w:t xml:space="preserve">If there is a chance of an adverse reaction to a transfusion, the antibodies associated with the antigens in that unit are considered clinically significant. </w:t>
            </w:r>
            <w:r>
              <w:rPr>
                <w:i/>
              </w:rPr>
              <w:t>Only clinically significant antibodies require that the patient receive red cells that have been phenotyped as negative for the associated antigen.</w:t>
            </w:r>
          </w:p>
        </w:tc>
      </w:tr>
      <w:tr w:rsidR="00AF274B" w14:paraId="2C0A13A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B8A3957" w14:textId="77777777" w:rsidR="00AF274B" w:rsidRDefault="00AF274B">
            <w:pPr>
              <w:pStyle w:val="GlossaryTableText"/>
              <w:rPr>
                <w:b/>
                <w:bCs/>
              </w:rPr>
            </w:pPr>
            <w:r>
              <w:rPr>
                <w:b/>
                <w:bCs/>
              </w:rPr>
              <w:t>CMS</w:t>
            </w:r>
          </w:p>
        </w:tc>
        <w:tc>
          <w:tcPr>
            <w:tcW w:w="3327" w:type="pct"/>
            <w:tcBorders>
              <w:top w:val="nil"/>
              <w:left w:val="nil"/>
              <w:bottom w:val="nil"/>
              <w:right w:val="nil"/>
            </w:tcBorders>
          </w:tcPr>
          <w:p w14:paraId="10C68C89" w14:textId="77777777" w:rsidR="00AF274B" w:rsidRDefault="00AF274B">
            <w:pPr>
              <w:pStyle w:val="GlossaryTableText"/>
            </w:pPr>
            <w:r>
              <w:t xml:space="preserve">Centers for Medicare and Medicaid Services. </w:t>
            </w:r>
            <w:r w:rsidR="00F13656">
              <w:t xml:space="preserve">The federal agency responsible for administering the Medicare and Medicaid programs as well as certain other healthcare entitlement programs. </w:t>
            </w:r>
            <w:r w:rsidR="00A42B8B">
              <w:t>“</w:t>
            </w:r>
            <w:r w:rsidR="00F13656">
              <w:t>CMS</w:t>
            </w:r>
            <w:r w:rsidR="00A42B8B">
              <w:t>”</w:t>
            </w:r>
            <w:r>
              <w:t xml:space="preserve"> is the new name for HCFA (Health Care Financing Administration) under the Bush administration.</w:t>
            </w:r>
          </w:p>
        </w:tc>
      </w:tr>
      <w:tr w:rsidR="00AF274B" w14:paraId="1326DE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9A0A3C5" w14:textId="77777777" w:rsidR="00AF274B" w:rsidRDefault="00AF274B">
            <w:pPr>
              <w:pStyle w:val="GlossaryTableText"/>
              <w:rPr>
                <w:b/>
                <w:bCs/>
              </w:rPr>
            </w:pPr>
            <w:r>
              <w:rPr>
                <w:b/>
                <w:bCs/>
              </w:rPr>
              <w:t>CMV</w:t>
            </w:r>
          </w:p>
        </w:tc>
        <w:tc>
          <w:tcPr>
            <w:tcW w:w="3327" w:type="pct"/>
            <w:tcBorders>
              <w:top w:val="nil"/>
              <w:left w:val="nil"/>
              <w:bottom w:val="nil"/>
              <w:right w:val="nil"/>
            </w:tcBorders>
          </w:tcPr>
          <w:p w14:paraId="42B77596" w14:textId="77777777" w:rsidR="00AF274B" w:rsidRDefault="00AF274B">
            <w:pPr>
              <w:pStyle w:val="GlossaryTableText"/>
            </w:pPr>
            <w:r>
              <w:t>Cytomegalovirus. Some patients should receive only blood units that have been tested and found negative for CMV.</w:t>
            </w:r>
          </w:p>
        </w:tc>
      </w:tr>
      <w:tr w:rsidR="00083B7D" w14:paraId="5F8975F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523406B" w14:textId="77777777" w:rsidR="00083B7D" w:rsidRDefault="00083B7D">
            <w:pPr>
              <w:pStyle w:val="GlossaryTableText"/>
              <w:rPr>
                <w:b/>
                <w:bCs/>
              </w:rPr>
            </w:pPr>
            <w:r>
              <w:rPr>
                <w:b/>
                <w:bCs/>
              </w:rPr>
              <w:t>COTS</w:t>
            </w:r>
          </w:p>
        </w:tc>
        <w:tc>
          <w:tcPr>
            <w:tcW w:w="3327" w:type="pct"/>
            <w:tcBorders>
              <w:top w:val="nil"/>
              <w:left w:val="nil"/>
              <w:bottom w:val="nil"/>
              <w:right w:val="nil"/>
            </w:tcBorders>
          </w:tcPr>
          <w:p w14:paraId="446B32D2" w14:textId="77777777" w:rsidR="00083B7D" w:rsidRDefault="00083B7D">
            <w:pPr>
              <w:pStyle w:val="GlossaryTableText"/>
            </w:pPr>
            <w:r>
              <w:t>Commercial-Off-The-Shelf.</w:t>
            </w:r>
          </w:p>
        </w:tc>
      </w:tr>
      <w:tr w:rsidR="00AF274B" w14:paraId="6997BF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7801A44" w14:textId="57CB5F42" w:rsidR="00AF274B" w:rsidRDefault="00AF274B" w:rsidP="002E27C1">
            <w:pPr>
              <w:pStyle w:val="GlossaryTableText"/>
              <w:tabs>
                <w:tab w:val="left" w:pos="1170"/>
              </w:tabs>
              <w:rPr>
                <w:b/>
                <w:bCs/>
              </w:rPr>
            </w:pPr>
          </w:p>
        </w:tc>
        <w:tc>
          <w:tcPr>
            <w:tcW w:w="3327" w:type="pct"/>
            <w:tcBorders>
              <w:top w:val="nil"/>
              <w:left w:val="nil"/>
              <w:bottom w:val="nil"/>
              <w:right w:val="nil"/>
            </w:tcBorders>
          </w:tcPr>
          <w:p w14:paraId="487C74C0" w14:textId="6E5ABAB4" w:rsidR="00AF274B" w:rsidRDefault="00AF274B" w:rsidP="002E27C1">
            <w:pPr>
              <w:pStyle w:val="GlossaryTableText"/>
              <w:tabs>
                <w:tab w:val="left" w:pos="1650"/>
              </w:tabs>
            </w:pPr>
          </w:p>
        </w:tc>
      </w:tr>
      <w:tr w:rsidR="00AF274B" w14:paraId="119A6A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D9EF061" w14:textId="77777777" w:rsidR="00AF274B" w:rsidRDefault="00AF274B">
            <w:pPr>
              <w:pStyle w:val="GlossaryTableText"/>
              <w:rPr>
                <w:b/>
                <w:bCs/>
              </w:rPr>
            </w:pPr>
            <w:r>
              <w:rPr>
                <w:b/>
                <w:bCs/>
              </w:rPr>
              <w:t>Compatibility testing</w:t>
            </w:r>
          </w:p>
        </w:tc>
        <w:tc>
          <w:tcPr>
            <w:tcW w:w="3327" w:type="pct"/>
            <w:tcBorders>
              <w:top w:val="nil"/>
              <w:left w:val="nil"/>
              <w:bottom w:val="nil"/>
              <w:right w:val="nil"/>
            </w:tcBorders>
          </w:tcPr>
          <w:p w14:paraId="5578AD3A" w14:textId="77777777" w:rsidR="00AF274B" w:rsidRDefault="00AF274B">
            <w:pPr>
              <w:pStyle w:val="GlossaryTableText"/>
            </w:pPr>
            <w:r>
              <w:t xml:space="preserve">Tests performed in the blood bank to determine the suitability of a unit of blood for a patient. </w:t>
            </w:r>
            <w:r>
              <w:rPr>
                <w:i/>
              </w:rPr>
              <w:t>Depending on the component class, compatibility testing can be as limited as comparing donor and patient ABO/Rh or as complex as requiring crossmatch.</w:t>
            </w:r>
          </w:p>
        </w:tc>
      </w:tr>
      <w:tr w:rsidR="00AF274B" w14:paraId="40B709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C00276B" w14:textId="77777777" w:rsidR="00AF274B" w:rsidRDefault="00AF274B">
            <w:pPr>
              <w:pStyle w:val="GlossaryTableText"/>
              <w:rPr>
                <w:b/>
                <w:bCs/>
              </w:rPr>
            </w:pPr>
            <w:r>
              <w:rPr>
                <w:b/>
                <w:bCs/>
              </w:rPr>
              <w:t>Completed TRW</w:t>
            </w:r>
          </w:p>
        </w:tc>
        <w:tc>
          <w:tcPr>
            <w:tcW w:w="3327" w:type="pct"/>
            <w:tcBorders>
              <w:top w:val="nil"/>
              <w:left w:val="nil"/>
              <w:bottom w:val="nil"/>
              <w:right w:val="nil"/>
            </w:tcBorders>
          </w:tcPr>
          <w:p w14:paraId="5CF511C1" w14:textId="77777777" w:rsidR="00AF274B" w:rsidRDefault="00AF274B">
            <w:pPr>
              <w:pStyle w:val="GlossaryTableText"/>
            </w:pPr>
            <w:r w:rsidRPr="007F427E">
              <w:t xml:space="preserve">A completed TRW indicates that serologic testing was completed. </w:t>
            </w:r>
          </w:p>
        </w:tc>
      </w:tr>
      <w:tr w:rsidR="00AF274B" w14:paraId="27E2786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902E4BD" w14:textId="77777777" w:rsidR="00AF274B" w:rsidRDefault="00AF274B">
            <w:pPr>
              <w:pStyle w:val="GlossaryTableText"/>
              <w:rPr>
                <w:b/>
                <w:bCs/>
              </w:rPr>
            </w:pPr>
            <w:r>
              <w:rPr>
                <w:b/>
                <w:bCs/>
              </w:rPr>
              <w:t>Component</w:t>
            </w:r>
          </w:p>
        </w:tc>
        <w:tc>
          <w:tcPr>
            <w:tcW w:w="3327" w:type="pct"/>
            <w:tcBorders>
              <w:top w:val="nil"/>
              <w:left w:val="nil"/>
              <w:bottom w:val="nil"/>
              <w:right w:val="nil"/>
            </w:tcBorders>
          </w:tcPr>
          <w:p w14:paraId="0F0E0500" w14:textId="77777777" w:rsidR="00AF274B" w:rsidRDefault="00AF274B">
            <w:pPr>
              <w:pStyle w:val="GlossaryTableText"/>
            </w:pPr>
            <w:r>
              <w:t>Any raw material, substance, piece, part, software, firmware, labeling, or assembly that is intended to be included as part of the finished, packaged, and labeled device.</w:t>
            </w:r>
          </w:p>
        </w:tc>
      </w:tr>
      <w:tr w:rsidR="00AF274B" w14:paraId="6AA8B1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63242D1" w14:textId="77777777" w:rsidR="00AF274B" w:rsidRDefault="00AF274B">
            <w:pPr>
              <w:pStyle w:val="GlossaryTableText"/>
              <w:rPr>
                <w:b/>
                <w:bCs/>
              </w:rPr>
            </w:pPr>
            <w:r>
              <w:rPr>
                <w:b/>
                <w:bCs/>
              </w:rPr>
              <w:t>Component class</w:t>
            </w:r>
          </w:p>
        </w:tc>
        <w:tc>
          <w:tcPr>
            <w:tcW w:w="3327" w:type="pct"/>
            <w:tcBorders>
              <w:top w:val="nil"/>
              <w:left w:val="nil"/>
              <w:bottom w:val="nil"/>
              <w:right w:val="nil"/>
            </w:tcBorders>
          </w:tcPr>
          <w:p w14:paraId="413A0A44" w14:textId="77777777" w:rsidR="00AF274B" w:rsidRDefault="00AF274B">
            <w:pPr>
              <w:pStyle w:val="GlossaryTableText"/>
            </w:pPr>
            <w:r>
              <w:t xml:space="preserve">The general form of a specific product produced by a blood supplier. </w:t>
            </w:r>
            <w:r>
              <w:rPr>
                <w:i/>
              </w:rPr>
              <w:t>Example: Red Blood Cells, Fresh Frozen Plasma, and Platelets. (</w:t>
            </w:r>
            <w:r>
              <w:t>Product Type</w:t>
            </w:r>
            <w:r>
              <w:rPr>
                <w:i/>
              </w:rPr>
              <w:t xml:space="preserve"> in VBECS model)</w:t>
            </w:r>
          </w:p>
        </w:tc>
      </w:tr>
      <w:tr w:rsidR="00AF274B" w14:paraId="3FEA3F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4A819E4" w14:textId="77777777" w:rsidR="00AF274B" w:rsidRDefault="00AF274B">
            <w:pPr>
              <w:pStyle w:val="GlossaryTableText"/>
              <w:rPr>
                <w:b/>
                <w:bCs/>
              </w:rPr>
            </w:pPr>
            <w:r>
              <w:rPr>
                <w:b/>
                <w:bCs/>
              </w:rPr>
              <w:t>Coombs test</w:t>
            </w:r>
          </w:p>
        </w:tc>
        <w:tc>
          <w:tcPr>
            <w:tcW w:w="3327" w:type="pct"/>
            <w:tcBorders>
              <w:top w:val="nil"/>
              <w:left w:val="nil"/>
              <w:bottom w:val="nil"/>
              <w:right w:val="nil"/>
            </w:tcBorders>
          </w:tcPr>
          <w:p w14:paraId="1FF61E04" w14:textId="77777777" w:rsidR="00AF274B" w:rsidRPr="00366313" w:rsidRDefault="00AF274B" w:rsidP="00366313">
            <w:pPr>
              <w:pStyle w:val="GlossaryTableText"/>
            </w:pPr>
            <w:r w:rsidRPr="00366313">
              <w:t xml:space="preserve">See </w:t>
            </w:r>
            <w:r>
              <w:t>“</w:t>
            </w:r>
            <w:r w:rsidRPr="00366313">
              <w:t>Anti-Human Globulin.</w:t>
            </w:r>
            <w:r>
              <w:t>”</w:t>
            </w:r>
          </w:p>
        </w:tc>
      </w:tr>
      <w:tr w:rsidR="00AF274B" w14:paraId="4FE3DBB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88AF0CC" w14:textId="77777777" w:rsidR="00AF274B" w:rsidRDefault="00AF274B">
            <w:pPr>
              <w:pStyle w:val="GlossaryTableText"/>
              <w:rPr>
                <w:b/>
                <w:bCs/>
              </w:rPr>
            </w:pPr>
            <w:r>
              <w:rPr>
                <w:b/>
                <w:bCs/>
              </w:rPr>
              <w:t>CPRS</w:t>
            </w:r>
          </w:p>
        </w:tc>
        <w:tc>
          <w:tcPr>
            <w:tcW w:w="3327" w:type="pct"/>
            <w:tcBorders>
              <w:top w:val="nil"/>
              <w:left w:val="nil"/>
              <w:bottom w:val="nil"/>
              <w:right w:val="nil"/>
            </w:tcBorders>
          </w:tcPr>
          <w:p w14:paraId="25447FB4" w14:textId="77777777" w:rsidR="00AF274B" w:rsidRDefault="00AF274B">
            <w:pPr>
              <w:pStyle w:val="GlossaryTableText"/>
            </w:pPr>
            <w:r>
              <w:t xml:space="preserve">Computerized Patient Record System. A </w:t>
            </w:r>
            <w:r w:rsidRPr="00CA6E27">
              <w:rPr>
                <w:bCs/>
              </w:rPr>
              <w:t>VistA</w:t>
            </w:r>
            <w:r>
              <w:t xml:space="preserve"> software application that provides an integrated patient record system for use by clinicians, managers, quality assurance staff, and researchers.</w:t>
            </w:r>
          </w:p>
        </w:tc>
      </w:tr>
      <w:tr w:rsidR="00AF274B" w14:paraId="25193B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37074E2" w14:textId="77777777" w:rsidR="00AF274B" w:rsidRDefault="00AF274B">
            <w:pPr>
              <w:pStyle w:val="GlossaryTableText"/>
              <w:rPr>
                <w:b/>
                <w:bCs/>
              </w:rPr>
            </w:pPr>
            <w:r>
              <w:rPr>
                <w:b/>
                <w:bCs/>
              </w:rPr>
              <w:lastRenderedPageBreak/>
              <w:t>CPT</w:t>
            </w:r>
          </w:p>
        </w:tc>
        <w:tc>
          <w:tcPr>
            <w:tcW w:w="3327" w:type="pct"/>
            <w:tcBorders>
              <w:top w:val="nil"/>
              <w:left w:val="nil"/>
              <w:bottom w:val="nil"/>
              <w:right w:val="nil"/>
            </w:tcBorders>
          </w:tcPr>
          <w:p w14:paraId="3C4102E7" w14:textId="77777777" w:rsidR="00AF274B" w:rsidRDefault="00AF274B">
            <w:pPr>
              <w:pStyle w:val="GlossaryTableText"/>
              <w:rPr>
                <w:i/>
              </w:rPr>
            </w:pPr>
            <w:r>
              <w:t xml:space="preserve">Current Procedural Terminology. A proprietary terminology system owned by the AMA that enumerates medical and surgical services typically provided by physicians. </w:t>
            </w:r>
            <w:r>
              <w:rPr>
                <w:i/>
                <w:iCs/>
              </w:rPr>
              <w:t>Although CPT is proprietary, CMS (formerly HCFA) includes it in HCPCS and requires its use for outpatient claims submitted for Medicare and Medicaid beneficiaries.</w:t>
            </w:r>
          </w:p>
        </w:tc>
      </w:tr>
      <w:tr w:rsidR="00AF274B" w14:paraId="72679D8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3FB211C" w14:textId="77777777" w:rsidR="00AF274B" w:rsidRDefault="00AF274B">
            <w:pPr>
              <w:pStyle w:val="GlossaryTableText"/>
              <w:rPr>
                <w:b/>
                <w:bCs/>
              </w:rPr>
            </w:pPr>
            <w:r>
              <w:rPr>
                <w:b/>
                <w:bCs/>
              </w:rPr>
              <w:t>Crossmatch</w:t>
            </w:r>
          </w:p>
        </w:tc>
        <w:tc>
          <w:tcPr>
            <w:tcW w:w="3327" w:type="pct"/>
            <w:tcBorders>
              <w:top w:val="nil"/>
              <w:left w:val="nil"/>
              <w:bottom w:val="nil"/>
              <w:right w:val="nil"/>
            </w:tcBorders>
          </w:tcPr>
          <w:p w14:paraId="643222A2" w14:textId="77777777" w:rsidR="00AF274B" w:rsidRDefault="00AF274B">
            <w:pPr>
              <w:pStyle w:val="GlossaryTableText"/>
            </w:pPr>
            <w:r>
              <w:t xml:space="preserve">A procedure that demonstrates ABO compatibility and the absence of clinically significant antibody reactions between a patient and a unit of blood. </w:t>
            </w:r>
            <w:r>
              <w:rPr>
                <w:i/>
              </w:rPr>
              <w:t>Traditionally, a crossmatch consists of a serological test between the patient’s blood and a sample of the blood unit to be transfused. New regulations allow for what is called “computer/electronic crossmatch” in defined circumstances.</w:t>
            </w:r>
          </w:p>
        </w:tc>
      </w:tr>
      <w:tr w:rsidR="00AF274B" w14:paraId="539077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C134DD7" w14:textId="77777777" w:rsidR="00AF274B" w:rsidRDefault="00AF274B">
            <w:pPr>
              <w:pStyle w:val="GlossaryTableText"/>
              <w:rPr>
                <w:b/>
                <w:bCs/>
              </w:rPr>
            </w:pPr>
            <w:r>
              <w:rPr>
                <w:b/>
                <w:bCs/>
              </w:rPr>
              <w:t>Crossover</w:t>
            </w:r>
          </w:p>
        </w:tc>
        <w:tc>
          <w:tcPr>
            <w:tcW w:w="3327" w:type="pct"/>
            <w:tcBorders>
              <w:top w:val="nil"/>
              <w:left w:val="nil"/>
              <w:bottom w:val="nil"/>
              <w:right w:val="nil"/>
            </w:tcBorders>
          </w:tcPr>
          <w:p w14:paraId="5B9DE614" w14:textId="77777777" w:rsidR="00AF274B" w:rsidRDefault="00AF274B">
            <w:pPr>
              <w:pStyle w:val="GlossaryTableText"/>
              <w:rPr>
                <w:i/>
              </w:rPr>
            </w:pPr>
            <w:r>
              <w:t xml:space="preserve">A process by which an autologous or directed donor unit is released from the intended recipient and made available for general transfusion. </w:t>
            </w:r>
            <w:r>
              <w:rPr>
                <w:i/>
              </w:rPr>
              <w:t>VBECS supports only directed unit crossover.</w:t>
            </w:r>
          </w:p>
        </w:tc>
      </w:tr>
      <w:tr w:rsidR="00AF274B" w14:paraId="4CE4B2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83A4CAC" w14:textId="77777777" w:rsidR="00AF274B" w:rsidRDefault="00AF274B">
            <w:pPr>
              <w:pStyle w:val="GlossaryTableText"/>
              <w:rPr>
                <w:b/>
                <w:bCs/>
              </w:rPr>
            </w:pPr>
            <w:r>
              <w:rPr>
                <w:b/>
                <w:bCs/>
              </w:rPr>
              <w:t>D</w:t>
            </w:r>
          </w:p>
        </w:tc>
        <w:tc>
          <w:tcPr>
            <w:tcW w:w="3327" w:type="pct"/>
            <w:tcBorders>
              <w:top w:val="nil"/>
              <w:left w:val="nil"/>
              <w:bottom w:val="nil"/>
              <w:right w:val="nil"/>
            </w:tcBorders>
          </w:tcPr>
          <w:p w14:paraId="1F9C5E91" w14:textId="77777777" w:rsidR="00AF274B" w:rsidRDefault="00AF274B">
            <w:pPr>
              <w:pStyle w:val="GlossaryTableText"/>
            </w:pPr>
            <w:r>
              <w:t>The major antigen of the Rh system. Also “Rh</w:t>
            </w:r>
            <w:r>
              <w:rPr>
                <w:vertAlign w:val="subscript"/>
              </w:rPr>
              <w:t>o</w:t>
            </w:r>
            <w:r>
              <w:t xml:space="preserve">.” </w:t>
            </w:r>
            <w:r>
              <w:rPr>
                <w:i/>
              </w:rPr>
              <w:t>The presence of this antigen on red blood cells determines if a patient or donor is Rh Pos or Rh Neg. A weak expression of the D antigen, referred to as “Du” or “weak D,” may require additional testing to determine its presence. “D negative” is another term for “Rh negative”; “D control” is another term for “Rh control.” The convention for VBECS GUIs is D control.</w:t>
            </w:r>
          </w:p>
        </w:tc>
      </w:tr>
      <w:tr w:rsidR="00AF274B" w14:paraId="1C276B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CA93912" w14:textId="77777777" w:rsidR="00AF274B" w:rsidRDefault="00AF274B">
            <w:pPr>
              <w:pStyle w:val="GlossaryTableText"/>
              <w:rPr>
                <w:b/>
              </w:rPr>
            </w:pPr>
            <w:r>
              <w:rPr>
                <w:b/>
                <w:snapToGrid w:val="0"/>
              </w:rPr>
              <w:t>Data entry grid</w:t>
            </w:r>
          </w:p>
        </w:tc>
        <w:tc>
          <w:tcPr>
            <w:tcW w:w="3327" w:type="pct"/>
            <w:tcBorders>
              <w:top w:val="nil"/>
              <w:left w:val="nil"/>
              <w:bottom w:val="nil"/>
              <w:right w:val="nil"/>
            </w:tcBorders>
          </w:tcPr>
          <w:p w14:paraId="02FF6DE4" w14:textId="77777777" w:rsidR="00AF274B" w:rsidRDefault="00AF274B">
            <w:pPr>
              <w:pStyle w:val="GlossaryTableText"/>
              <w:rPr>
                <w:snapToGrid w:val="0"/>
              </w:rPr>
            </w:pPr>
            <w:r>
              <w:rPr>
                <w:snapToGrid w:val="0"/>
              </w:rPr>
              <w:t>A grid that contains observations and interpretations of observations.</w:t>
            </w:r>
          </w:p>
        </w:tc>
      </w:tr>
      <w:tr w:rsidR="00AF274B" w14:paraId="229937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F4711F6" w14:textId="77777777" w:rsidR="00AF274B" w:rsidRDefault="00AF274B">
            <w:pPr>
              <w:pStyle w:val="GlossaryTableText"/>
              <w:rPr>
                <w:b/>
              </w:rPr>
            </w:pPr>
            <w:r>
              <w:rPr>
                <w:b/>
              </w:rPr>
              <w:t>Database</w:t>
            </w:r>
          </w:p>
        </w:tc>
        <w:tc>
          <w:tcPr>
            <w:tcW w:w="3327" w:type="pct"/>
            <w:tcBorders>
              <w:top w:val="nil"/>
              <w:left w:val="nil"/>
              <w:bottom w:val="nil"/>
              <w:right w:val="nil"/>
            </w:tcBorders>
          </w:tcPr>
          <w:p w14:paraId="5488E3D5" w14:textId="77777777" w:rsidR="00AF274B" w:rsidRDefault="00AF274B">
            <w:pPr>
              <w:pStyle w:val="GlossaryTableText"/>
            </w:pPr>
            <w:r>
              <w:t>A collection of data arranged for ease and speed of retrieval that may or may not contain data from multiple VBECS divisions.</w:t>
            </w:r>
          </w:p>
        </w:tc>
      </w:tr>
      <w:tr w:rsidR="00AF274B" w14:paraId="2FE3BC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AF5CA08" w14:textId="77777777" w:rsidR="00AF274B" w:rsidRDefault="00AF274B">
            <w:pPr>
              <w:pStyle w:val="GlossaryTableText"/>
              <w:rPr>
                <w:b/>
              </w:rPr>
            </w:pPr>
            <w:r>
              <w:rPr>
                <w:b/>
              </w:rPr>
              <w:t>Day of use</w:t>
            </w:r>
          </w:p>
        </w:tc>
        <w:tc>
          <w:tcPr>
            <w:tcW w:w="3327" w:type="pct"/>
            <w:tcBorders>
              <w:top w:val="nil"/>
              <w:left w:val="nil"/>
              <w:bottom w:val="nil"/>
              <w:right w:val="nil"/>
            </w:tcBorders>
          </w:tcPr>
          <w:p w14:paraId="7254879E" w14:textId="77777777" w:rsidR="00AF274B" w:rsidRDefault="00AF274B">
            <w:pPr>
              <w:pStyle w:val="GlossaryTableText"/>
              <w:rPr>
                <w:snapToGrid w:val="0"/>
              </w:rPr>
            </w:pPr>
            <w:r>
              <w:t>The calendar date times (0000–2359) a reagent is used.</w:t>
            </w:r>
          </w:p>
        </w:tc>
      </w:tr>
      <w:tr w:rsidR="00AF274B" w14:paraId="195B9A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EB7B77C" w14:textId="77777777" w:rsidR="00AF274B" w:rsidRDefault="00AF274B">
            <w:pPr>
              <w:pStyle w:val="GlossaryTableText"/>
              <w:rPr>
                <w:b/>
              </w:rPr>
            </w:pPr>
            <w:r>
              <w:rPr>
                <w:b/>
              </w:rPr>
              <w:t>DDE</w:t>
            </w:r>
          </w:p>
        </w:tc>
        <w:tc>
          <w:tcPr>
            <w:tcW w:w="3327" w:type="pct"/>
            <w:tcBorders>
              <w:top w:val="nil"/>
              <w:left w:val="nil"/>
              <w:bottom w:val="nil"/>
              <w:right w:val="nil"/>
            </w:tcBorders>
          </w:tcPr>
          <w:p w14:paraId="7906EA68" w14:textId="77777777" w:rsidR="00AF274B" w:rsidRDefault="00AF274B">
            <w:pPr>
              <w:pStyle w:val="GlossaryTableText"/>
            </w:pPr>
            <w:r>
              <w:t xml:space="preserve">Direct data entry. </w:t>
            </w:r>
          </w:p>
        </w:tc>
      </w:tr>
      <w:tr w:rsidR="00AF274B" w14:paraId="499FE3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A38AC69" w14:textId="77777777" w:rsidR="00AF274B" w:rsidRDefault="00AF274B">
            <w:pPr>
              <w:pStyle w:val="GlossaryTableText"/>
              <w:rPr>
                <w:b/>
              </w:rPr>
            </w:pPr>
            <w:r>
              <w:rPr>
                <w:b/>
              </w:rPr>
              <w:t>Delete</w:t>
            </w:r>
          </w:p>
        </w:tc>
        <w:tc>
          <w:tcPr>
            <w:tcW w:w="3327" w:type="pct"/>
            <w:tcBorders>
              <w:top w:val="nil"/>
              <w:left w:val="nil"/>
              <w:bottom w:val="nil"/>
              <w:right w:val="nil"/>
            </w:tcBorders>
          </w:tcPr>
          <w:p w14:paraId="1B3B3654" w14:textId="77777777" w:rsidR="00AF274B" w:rsidRPr="007A099E" w:rsidRDefault="00AF274B" w:rsidP="007A099E">
            <w:pPr>
              <w:pStyle w:val="TableText"/>
            </w:pPr>
            <w:r>
              <w:t>Remove a VBECS record from user access and keep it in the database.</w:t>
            </w:r>
          </w:p>
        </w:tc>
      </w:tr>
      <w:tr w:rsidR="00AF274B" w14:paraId="0C02676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5E754B5" w14:textId="77777777" w:rsidR="00AF274B" w:rsidRDefault="00AF274B">
            <w:pPr>
              <w:pStyle w:val="GlossaryTableText"/>
              <w:rPr>
                <w:b/>
              </w:rPr>
            </w:pPr>
            <w:r>
              <w:rPr>
                <w:b/>
              </w:rPr>
              <w:t>Direct Antiglobulin Test (DAT)</w:t>
            </w:r>
          </w:p>
        </w:tc>
        <w:tc>
          <w:tcPr>
            <w:tcW w:w="3327" w:type="pct"/>
            <w:tcBorders>
              <w:top w:val="nil"/>
              <w:left w:val="nil"/>
              <w:bottom w:val="nil"/>
              <w:right w:val="nil"/>
            </w:tcBorders>
          </w:tcPr>
          <w:p w14:paraId="66A967DD" w14:textId="77777777" w:rsidR="00AF274B" w:rsidRDefault="00AF274B">
            <w:pPr>
              <w:pStyle w:val="GlossaryTableText"/>
              <w:rPr>
                <w:b/>
              </w:rPr>
            </w:pPr>
            <w:r>
              <w:t xml:space="preserve">A laboratory test performed in a blood bank in conjunction with pre-transfusion testing or as a diagnostic test. </w:t>
            </w:r>
            <w:r>
              <w:rPr>
                <w:i/>
              </w:rPr>
              <w:t>A positive DAT indicates that an antibody-antigen reaction may have occurred in vivo, which may be related to medications or previous transfusions. “Direct Coombs” and “DAT” are used interchangeably.</w:t>
            </w:r>
          </w:p>
        </w:tc>
      </w:tr>
      <w:tr w:rsidR="00AF274B" w14:paraId="5F0806C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3456CED" w14:textId="77777777" w:rsidR="00AF274B" w:rsidRDefault="00AF274B">
            <w:pPr>
              <w:pStyle w:val="GlossaryTableText"/>
              <w:rPr>
                <w:b/>
              </w:rPr>
            </w:pPr>
            <w:r>
              <w:rPr>
                <w:b/>
              </w:rPr>
              <w:t>Direct data entry (DDE)</w:t>
            </w:r>
          </w:p>
        </w:tc>
        <w:tc>
          <w:tcPr>
            <w:tcW w:w="3327" w:type="pct"/>
            <w:tcBorders>
              <w:top w:val="nil"/>
              <w:left w:val="nil"/>
              <w:bottom w:val="nil"/>
              <w:right w:val="nil"/>
            </w:tcBorders>
          </w:tcPr>
          <w:p w14:paraId="297094C5" w14:textId="77777777" w:rsidR="00AF274B" w:rsidRDefault="00AF274B">
            <w:pPr>
              <w:pStyle w:val="GlossaryTableText"/>
            </w:pPr>
            <w:r>
              <w:t>The process of entering test results in a computer rather than recording them on paper.</w:t>
            </w:r>
          </w:p>
        </w:tc>
      </w:tr>
      <w:tr w:rsidR="00AF274B" w14:paraId="2FD77F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1F90FDB" w14:textId="77777777" w:rsidR="00AF274B" w:rsidRDefault="00AF274B">
            <w:pPr>
              <w:pStyle w:val="GlossaryTableText"/>
              <w:rPr>
                <w:b/>
              </w:rPr>
            </w:pPr>
            <w:r>
              <w:rPr>
                <w:b/>
              </w:rPr>
              <w:t>Directed</w:t>
            </w:r>
          </w:p>
        </w:tc>
        <w:tc>
          <w:tcPr>
            <w:tcW w:w="3327" w:type="pct"/>
            <w:tcBorders>
              <w:top w:val="nil"/>
              <w:left w:val="nil"/>
              <w:bottom w:val="nil"/>
              <w:right w:val="nil"/>
            </w:tcBorders>
          </w:tcPr>
          <w:p w14:paraId="5AE21F4C" w14:textId="77777777" w:rsidR="00AF274B" w:rsidRDefault="00AF274B">
            <w:pPr>
              <w:pStyle w:val="GlossaryTableText"/>
            </w:pPr>
            <w:r>
              <w:t xml:space="preserve">Blood that is donated in advance to be set aside for a specific patient. </w:t>
            </w:r>
            <w:r>
              <w:rPr>
                <w:i/>
              </w:rPr>
              <w:t>Directed donation units must meet all of the requirements of any regular unit of donated blood (all disease marker testing must be negative). If not needed by the intended recipient, a directed unit may be released for general use.</w:t>
            </w:r>
          </w:p>
        </w:tc>
      </w:tr>
      <w:tr w:rsidR="00AF274B" w14:paraId="2C7442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936AFA5" w14:textId="77777777" w:rsidR="00AF274B" w:rsidRDefault="00AF274B">
            <w:pPr>
              <w:pStyle w:val="GlossaryTableText"/>
              <w:rPr>
                <w:b/>
              </w:rPr>
            </w:pPr>
            <w:r>
              <w:rPr>
                <w:b/>
              </w:rPr>
              <w:t>Disposition</w:t>
            </w:r>
          </w:p>
        </w:tc>
        <w:tc>
          <w:tcPr>
            <w:tcW w:w="3327" w:type="pct"/>
            <w:tcBorders>
              <w:top w:val="nil"/>
              <w:left w:val="nil"/>
              <w:bottom w:val="nil"/>
              <w:right w:val="nil"/>
            </w:tcBorders>
          </w:tcPr>
          <w:p w14:paraId="41FD4607" w14:textId="77777777" w:rsidR="00AF274B" w:rsidRDefault="00AF274B">
            <w:pPr>
              <w:pStyle w:val="GlossaryTableText"/>
            </w:pPr>
            <w:r>
              <w:t xml:space="preserve">The recorded final state of a blood unit. </w:t>
            </w:r>
            <w:r>
              <w:rPr>
                <w:i/>
              </w:rPr>
              <w:t>A blood unit with a disposition is no longer available for routine processing.</w:t>
            </w:r>
          </w:p>
        </w:tc>
      </w:tr>
      <w:tr w:rsidR="00AF274B" w14:paraId="239A40D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3242451" w14:textId="77777777" w:rsidR="00AF274B" w:rsidRDefault="00AF274B">
            <w:pPr>
              <w:pStyle w:val="GlossaryTableText"/>
              <w:rPr>
                <w:b/>
                <w:bCs/>
              </w:rPr>
            </w:pPr>
            <w:r>
              <w:rPr>
                <w:b/>
                <w:bCs/>
              </w:rPr>
              <w:t>Edit</w:t>
            </w:r>
          </w:p>
        </w:tc>
        <w:tc>
          <w:tcPr>
            <w:tcW w:w="3327" w:type="pct"/>
            <w:tcBorders>
              <w:top w:val="nil"/>
              <w:left w:val="nil"/>
              <w:bottom w:val="nil"/>
              <w:right w:val="nil"/>
            </w:tcBorders>
          </w:tcPr>
          <w:p w14:paraId="1C91E210" w14:textId="77777777" w:rsidR="00AF274B" w:rsidRDefault="00AF274B">
            <w:pPr>
              <w:pStyle w:val="GlossaryTableText"/>
            </w:pPr>
            <w:r>
              <w:t xml:space="preserve">To enter or change previously saved information. </w:t>
            </w:r>
            <w:r>
              <w:rPr>
                <w:i/>
              </w:rPr>
              <w:t>VistA overwrites the data and does not create an audit trail. VBECS overlays the data and creates an audit trail.</w:t>
            </w:r>
          </w:p>
        </w:tc>
      </w:tr>
      <w:tr w:rsidR="00AF274B" w14:paraId="51A5BD4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FB6CF26" w14:textId="77777777" w:rsidR="00AF274B" w:rsidRDefault="00AF274B">
            <w:pPr>
              <w:pStyle w:val="GlossaryTableText"/>
              <w:rPr>
                <w:b/>
                <w:bCs/>
              </w:rPr>
            </w:pPr>
            <w:r>
              <w:rPr>
                <w:b/>
                <w:bCs/>
              </w:rPr>
              <w:lastRenderedPageBreak/>
              <w:t>Elution</w:t>
            </w:r>
          </w:p>
        </w:tc>
        <w:tc>
          <w:tcPr>
            <w:tcW w:w="3327" w:type="pct"/>
            <w:tcBorders>
              <w:top w:val="nil"/>
              <w:left w:val="nil"/>
              <w:bottom w:val="nil"/>
              <w:right w:val="nil"/>
            </w:tcBorders>
          </w:tcPr>
          <w:p w14:paraId="5335CA7B" w14:textId="77777777" w:rsidR="00AF274B" w:rsidRDefault="00AF274B">
            <w:pPr>
              <w:pStyle w:val="GlossaryTableText"/>
            </w:pPr>
            <w:r>
              <w:t xml:space="preserve">A procedure performed by a blood bank technologist to investigate a positive DAT. </w:t>
            </w:r>
            <w:r>
              <w:rPr>
                <w:i/>
              </w:rPr>
              <w:t>A positive eluate is further tested to determine the specificity of the antibody, which has been eluted from the patient’s red cells.</w:t>
            </w:r>
          </w:p>
        </w:tc>
      </w:tr>
      <w:tr w:rsidR="00AF274B" w14:paraId="689A92E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E5A4805" w14:textId="77777777" w:rsidR="00AF274B" w:rsidRDefault="00AF274B">
            <w:pPr>
              <w:pStyle w:val="GlossaryTableText"/>
              <w:rPr>
                <w:b/>
                <w:bCs/>
              </w:rPr>
            </w:pPr>
            <w:r>
              <w:rPr>
                <w:b/>
                <w:bCs/>
              </w:rPr>
              <w:t>Emergency issue</w:t>
            </w:r>
          </w:p>
        </w:tc>
        <w:tc>
          <w:tcPr>
            <w:tcW w:w="3327" w:type="pct"/>
            <w:tcBorders>
              <w:top w:val="nil"/>
              <w:left w:val="nil"/>
              <w:bottom w:val="nil"/>
              <w:right w:val="nil"/>
            </w:tcBorders>
          </w:tcPr>
          <w:p w14:paraId="4889C6C0" w14:textId="77777777" w:rsidR="00AF274B" w:rsidRDefault="00AF274B">
            <w:pPr>
              <w:pStyle w:val="GlossaryTableText"/>
            </w:pPr>
            <w:r>
              <w:t xml:space="preserve">The release of blood prior to pre-transfusion testing and crossmatch. </w:t>
            </w:r>
          </w:p>
        </w:tc>
      </w:tr>
      <w:tr w:rsidR="00AF274B" w14:paraId="516F35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D02C259" w14:textId="77777777" w:rsidR="00AF274B" w:rsidRDefault="00AF274B">
            <w:pPr>
              <w:pStyle w:val="GlossaryTableText"/>
              <w:rPr>
                <w:b/>
                <w:bCs/>
              </w:rPr>
            </w:pPr>
            <w:r>
              <w:rPr>
                <w:b/>
                <w:bCs/>
              </w:rPr>
              <w:t>Exception Report</w:t>
            </w:r>
          </w:p>
        </w:tc>
        <w:tc>
          <w:tcPr>
            <w:tcW w:w="3327" w:type="pct"/>
            <w:tcBorders>
              <w:top w:val="nil"/>
              <w:left w:val="nil"/>
              <w:bottom w:val="nil"/>
              <w:right w:val="nil"/>
            </w:tcBorders>
          </w:tcPr>
          <w:p w14:paraId="3DE691AC" w14:textId="77777777" w:rsidR="00AF274B" w:rsidRDefault="00AF274B">
            <w:pPr>
              <w:pStyle w:val="GlossaryTableText"/>
            </w:pPr>
            <w:r>
              <w:t xml:space="preserve">A report that details a user deviation from a standard process. </w:t>
            </w:r>
            <w:r>
              <w:rPr>
                <w:i/>
              </w:rPr>
              <w:t>Example: a user overrides a warning and is required to enter a justification for continuing.</w:t>
            </w:r>
            <w:r>
              <w:t xml:space="preserve"> </w:t>
            </w:r>
          </w:p>
        </w:tc>
      </w:tr>
      <w:tr w:rsidR="00AF274B" w14:paraId="7C29D6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275632D" w14:textId="77777777" w:rsidR="00AF274B" w:rsidRDefault="00AF274B">
            <w:pPr>
              <w:pStyle w:val="GlossaryTableText"/>
              <w:rPr>
                <w:b/>
                <w:bCs/>
              </w:rPr>
            </w:pPr>
            <w:r>
              <w:rPr>
                <w:b/>
                <w:bCs/>
                <w:snapToGrid w:val="0"/>
              </w:rPr>
              <w:t>eXM</w:t>
            </w:r>
          </w:p>
        </w:tc>
        <w:tc>
          <w:tcPr>
            <w:tcW w:w="3327" w:type="pct"/>
            <w:tcBorders>
              <w:top w:val="nil"/>
              <w:left w:val="nil"/>
              <w:bottom w:val="nil"/>
              <w:right w:val="nil"/>
            </w:tcBorders>
          </w:tcPr>
          <w:p w14:paraId="5C6A7C27" w14:textId="77777777" w:rsidR="00AF274B" w:rsidRDefault="00AF274B">
            <w:pPr>
              <w:pStyle w:val="GlossaryTableText"/>
              <w:rPr>
                <w:b/>
              </w:rPr>
            </w:pPr>
            <w:r>
              <w:rPr>
                <w:snapToGrid w:val="0"/>
              </w:rPr>
              <w:t>Electronic crossmatch.</w:t>
            </w:r>
          </w:p>
        </w:tc>
      </w:tr>
      <w:tr w:rsidR="00AF274B" w14:paraId="5D5CB5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C285955" w14:textId="77777777" w:rsidR="00AF274B" w:rsidRDefault="00AF274B">
            <w:pPr>
              <w:pStyle w:val="GlossaryTableText"/>
              <w:rPr>
                <w:b/>
                <w:bCs/>
              </w:rPr>
            </w:pPr>
            <w:r>
              <w:rPr>
                <w:b/>
                <w:bCs/>
              </w:rPr>
              <w:t>Expiration date</w:t>
            </w:r>
          </w:p>
        </w:tc>
        <w:tc>
          <w:tcPr>
            <w:tcW w:w="3327" w:type="pct"/>
            <w:tcBorders>
              <w:top w:val="nil"/>
              <w:left w:val="nil"/>
              <w:bottom w:val="nil"/>
              <w:right w:val="nil"/>
            </w:tcBorders>
          </w:tcPr>
          <w:p w14:paraId="62F7F41C" w14:textId="77777777" w:rsidR="00AF274B" w:rsidRDefault="00AF274B">
            <w:pPr>
              <w:pStyle w:val="GlossaryTableText"/>
            </w:pPr>
            <w:r>
              <w:t xml:space="preserve">The last date during which a blood component can be considered safe for transfusion. </w:t>
            </w:r>
            <w:r>
              <w:rPr>
                <w:i/>
              </w:rPr>
              <w:t>If the expiration date does not include a time, the time is assumed to be midnight.</w:t>
            </w:r>
          </w:p>
        </w:tc>
      </w:tr>
      <w:tr w:rsidR="00AF274B" w14:paraId="293D517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89CABF8" w14:textId="4B58B88E" w:rsidR="00AF274B" w:rsidRDefault="00AF274B">
            <w:pPr>
              <w:pStyle w:val="GlossaryTableText"/>
              <w:rPr>
                <w:b/>
                <w:bCs/>
              </w:rPr>
            </w:pPr>
          </w:p>
        </w:tc>
        <w:tc>
          <w:tcPr>
            <w:tcW w:w="3327" w:type="pct"/>
            <w:tcBorders>
              <w:top w:val="nil"/>
              <w:left w:val="nil"/>
              <w:bottom w:val="nil"/>
              <w:right w:val="nil"/>
            </w:tcBorders>
          </w:tcPr>
          <w:p w14:paraId="3D7E16CB" w14:textId="29B978B6" w:rsidR="00AF274B" w:rsidRDefault="00AF274B">
            <w:pPr>
              <w:pStyle w:val="GlossaryTableText"/>
            </w:pPr>
          </w:p>
        </w:tc>
      </w:tr>
      <w:tr w:rsidR="00AF274B" w14:paraId="1FF4B3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06A6B3D" w14:textId="77777777" w:rsidR="00AF274B" w:rsidRDefault="00AF274B">
            <w:pPr>
              <w:pStyle w:val="GlossaryTableText"/>
              <w:rPr>
                <w:b/>
                <w:bCs/>
              </w:rPr>
            </w:pPr>
            <w:r>
              <w:rPr>
                <w:b/>
                <w:bCs/>
              </w:rPr>
              <w:t>Facility (see “Site”)</w:t>
            </w:r>
          </w:p>
        </w:tc>
        <w:tc>
          <w:tcPr>
            <w:tcW w:w="3327" w:type="pct"/>
            <w:tcBorders>
              <w:top w:val="nil"/>
              <w:left w:val="nil"/>
              <w:bottom w:val="nil"/>
              <w:right w:val="nil"/>
            </w:tcBorders>
          </w:tcPr>
          <w:p w14:paraId="7DA0E16B" w14:textId="77777777" w:rsidR="00AF274B" w:rsidRDefault="00AF274B">
            <w:pPr>
              <w:pStyle w:val="GlossaryTableText"/>
            </w:pPr>
            <w:r>
              <w:t>A blood bank laboratory where a blood unit is located.</w:t>
            </w:r>
          </w:p>
        </w:tc>
      </w:tr>
      <w:tr w:rsidR="00AF274B" w14:paraId="7EEBC85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9857980" w14:textId="77777777" w:rsidR="00AF274B" w:rsidRDefault="00AF274B">
            <w:pPr>
              <w:pStyle w:val="GlossaryTableText"/>
              <w:rPr>
                <w:b/>
                <w:bCs/>
              </w:rPr>
            </w:pPr>
            <w:r>
              <w:rPr>
                <w:b/>
                <w:bCs/>
              </w:rPr>
              <w:t>FDA</w:t>
            </w:r>
          </w:p>
        </w:tc>
        <w:tc>
          <w:tcPr>
            <w:tcW w:w="3327" w:type="pct"/>
            <w:tcBorders>
              <w:top w:val="nil"/>
              <w:left w:val="nil"/>
              <w:bottom w:val="nil"/>
              <w:right w:val="nil"/>
            </w:tcBorders>
          </w:tcPr>
          <w:p w14:paraId="6092E86F" w14:textId="77777777" w:rsidR="00AF274B" w:rsidRDefault="00AF274B">
            <w:pPr>
              <w:pStyle w:val="GlossaryTableText"/>
            </w:pPr>
            <w:r>
              <w:t>Food and Drug Administration.</w:t>
            </w:r>
          </w:p>
        </w:tc>
      </w:tr>
      <w:tr w:rsidR="001A7C4F" w14:paraId="615E2B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67249B0" w14:textId="77777777" w:rsidR="001A7C4F" w:rsidRDefault="001A7C4F">
            <w:pPr>
              <w:pStyle w:val="GlossaryTableText"/>
              <w:rPr>
                <w:b/>
                <w:bCs/>
              </w:rPr>
            </w:pPr>
            <w:r>
              <w:rPr>
                <w:b/>
                <w:bCs/>
              </w:rPr>
              <w:t>FDA UDI</w:t>
            </w:r>
          </w:p>
        </w:tc>
        <w:tc>
          <w:tcPr>
            <w:tcW w:w="3327" w:type="pct"/>
            <w:tcBorders>
              <w:top w:val="nil"/>
              <w:left w:val="nil"/>
              <w:bottom w:val="nil"/>
              <w:right w:val="nil"/>
            </w:tcBorders>
          </w:tcPr>
          <w:p w14:paraId="5981BDE0" w14:textId="77777777" w:rsidR="001A7C4F" w:rsidRDefault="001A7C4F">
            <w:pPr>
              <w:pStyle w:val="GlossaryTableText"/>
            </w:pPr>
            <w:r>
              <w:t>FDA Unique Device Identification.</w:t>
            </w:r>
          </w:p>
        </w:tc>
      </w:tr>
      <w:tr w:rsidR="00AF274B" w14:paraId="7BD907B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4B84B6E" w14:textId="77777777" w:rsidR="00AF274B" w:rsidRDefault="00AF274B">
            <w:pPr>
              <w:pStyle w:val="GlossaryTableText"/>
              <w:rPr>
                <w:b/>
                <w:bCs/>
              </w:rPr>
            </w:pPr>
            <w:r>
              <w:rPr>
                <w:b/>
                <w:bCs/>
              </w:rPr>
              <w:t>File</w:t>
            </w:r>
          </w:p>
        </w:tc>
        <w:tc>
          <w:tcPr>
            <w:tcW w:w="3327" w:type="pct"/>
            <w:tcBorders>
              <w:top w:val="nil"/>
              <w:left w:val="nil"/>
              <w:bottom w:val="nil"/>
              <w:right w:val="nil"/>
            </w:tcBorders>
          </w:tcPr>
          <w:p w14:paraId="5D32AB0D" w14:textId="77777777" w:rsidR="00AF274B" w:rsidRDefault="00AF274B">
            <w:pPr>
              <w:pStyle w:val="GlossaryTableText"/>
            </w:pPr>
            <w:r>
              <w:t>Source code, data, and documentation.</w:t>
            </w:r>
          </w:p>
        </w:tc>
      </w:tr>
      <w:tr w:rsidR="00AF274B" w14:paraId="793DE1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00A945B" w14:textId="77777777" w:rsidR="00AF274B" w:rsidRDefault="00AF274B">
            <w:pPr>
              <w:pStyle w:val="GlossaryTableText"/>
              <w:rPr>
                <w:b/>
                <w:bCs/>
              </w:rPr>
            </w:pPr>
            <w:r>
              <w:rPr>
                <w:b/>
                <w:bCs/>
              </w:rPr>
              <w:t>Finalized TRW</w:t>
            </w:r>
          </w:p>
        </w:tc>
        <w:tc>
          <w:tcPr>
            <w:tcW w:w="3327" w:type="pct"/>
            <w:tcBorders>
              <w:top w:val="nil"/>
              <w:left w:val="nil"/>
              <w:bottom w:val="nil"/>
              <w:right w:val="nil"/>
            </w:tcBorders>
          </w:tcPr>
          <w:p w14:paraId="40EA57FA" w14:textId="77777777" w:rsidR="00AF274B" w:rsidRDefault="00AF274B">
            <w:pPr>
              <w:pStyle w:val="GlossaryTableText"/>
            </w:pPr>
            <w:r w:rsidRPr="007F427E">
              <w:t>A finalized TRW indicates that the medical director reviewed the TRW, classified the reaction, and may make recommendations for future transfusions.</w:t>
            </w:r>
          </w:p>
        </w:tc>
      </w:tr>
      <w:tr w:rsidR="001A1559" w14:paraId="78F5D1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5FCB5C8" w14:textId="77777777" w:rsidR="001A1559" w:rsidRDefault="001A1559">
            <w:pPr>
              <w:pStyle w:val="GlossaryTableText"/>
              <w:rPr>
                <w:b/>
                <w:bCs/>
              </w:rPr>
            </w:pPr>
            <w:r>
              <w:rPr>
                <w:b/>
                <w:bCs/>
              </w:rPr>
              <w:t>FOIA</w:t>
            </w:r>
          </w:p>
        </w:tc>
        <w:tc>
          <w:tcPr>
            <w:tcW w:w="3327" w:type="pct"/>
            <w:tcBorders>
              <w:top w:val="nil"/>
              <w:left w:val="nil"/>
              <w:bottom w:val="nil"/>
              <w:right w:val="nil"/>
            </w:tcBorders>
          </w:tcPr>
          <w:p w14:paraId="5AD6AE9E" w14:textId="77777777" w:rsidR="001A1559" w:rsidRDefault="001A1559">
            <w:pPr>
              <w:pStyle w:val="GlossaryTableText"/>
            </w:pPr>
            <w:r>
              <w:t>Freedom of Information Act.</w:t>
            </w:r>
          </w:p>
        </w:tc>
      </w:tr>
      <w:tr w:rsidR="00AF274B" w14:paraId="15AE3D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985DB03" w14:textId="77777777" w:rsidR="00AF274B" w:rsidRDefault="00AF274B">
            <w:pPr>
              <w:pStyle w:val="GlossaryTableText"/>
              <w:rPr>
                <w:b/>
                <w:bCs/>
              </w:rPr>
            </w:pPr>
            <w:r>
              <w:rPr>
                <w:b/>
                <w:bCs/>
              </w:rPr>
              <w:t>HCPCS</w:t>
            </w:r>
          </w:p>
        </w:tc>
        <w:tc>
          <w:tcPr>
            <w:tcW w:w="3327" w:type="pct"/>
            <w:tcBorders>
              <w:top w:val="nil"/>
              <w:left w:val="nil"/>
              <w:bottom w:val="nil"/>
              <w:right w:val="nil"/>
            </w:tcBorders>
          </w:tcPr>
          <w:p w14:paraId="6F2FBE8E" w14:textId="77777777" w:rsidR="00AF274B" w:rsidRDefault="00AF274B">
            <w:pPr>
              <w:pStyle w:val="GlossaryTableText"/>
              <w:rPr>
                <w:b/>
              </w:rPr>
            </w:pPr>
            <w:r>
              <w:t xml:space="preserve">Healthcare Common Procedure Coding System. Codes used to enumerate medical and surgical services and supplies in the outpatient setting. </w:t>
            </w:r>
            <w:r>
              <w:rPr>
                <w:i/>
                <w:iCs/>
              </w:rPr>
              <w:t>CMS (formerly HCFA) uses HCPCS for Medicare and Medicaid reimbursement. HCPCS are the required code set for medical and surgical services and supplies for the outpatient setting under the final code set standards for HIPAA. There are three levels of HCPCS codes: level I are CPT codes from AMA; level II are additional codes developed by HCFA for services and supplies not covered by CPT; level III are local codes assigned by individual state Medicare carriers. Level III codes are scheduled to be phased out under HIPAA.</w:t>
            </w:r>
          </w:p>
        </w:tc>
      </w:tr>
      <w:tr w:rsidR="00AF274B" w14:paraId="22E6A9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886CBC0" w14:textId="77777777" w:rsidR="00AF274B" w:rsidRDefault="00AF274B">
            <w:pPr>
              <w:pStyle w:val="GlossaryTableText"/>
              <w:rPr>
                <w:b/>
                <w:bCs/>
              </w:rPr>
            </w:pPr>
            <w:r>
              <w:rPr>
                <w:b/>
                <w:bCs/>
              </w:rPr>
              <w:t>HIPAA</w:t>
            </w:r>
          </w:p>
        </w:tc>
        <w:tc>
          <w:tcPr>
            <w:tcW w:w="3327" w:type="pct"/>
            <w:tcBorders>
              <w:top w:val="nil"/>
              <w:left w:val="nil"/>
              <w:bottom w:val="nil"/>
              <w:right w:val="nil"/>
            </w:tcBorders>
          </w:tcPr>
          <w:p w14:paraId="46436781" w14:textId="77777777" w:rsidR="00AF274B" w:rsidRDefault="00AF274B">
            <w:pPr>
              <w:pStyle w:val="GlossaryTableText"/>
            </w:pPr>
            <w:r>
              <w:rPr>
                <w:bCs/>
              </w:rPr>
              <w:t>Health Insurance Portability and Accountability Act</w:t>
            </w:r>
            <w:r w:rsidR="00F717BC">
              <w:rPr>
                <w:bCs/>
              </w:rPr>
              <w:t xml:space="preserve"> of 1996</w:t>
            </w:r>
            <w:r>
              <w:rPr>
                <w:bCs/>
              </w:rPr>
              <w:t>.</w:t>
            </w:r>
          </w:p>
        </w:tc>
      </w:tr>
      <w:tr w:rsidR="00AF274B" w14:paraId="738765E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5F3856D" w14:textId="77777777" w:rsidR="00AF274B" w:rsidRDefault="00AF274B">
            <w:pPr>
              <w:pStyle w:val="GlossaryTableText"/>
              <w:rPr>
                <w:b/>
                <w:bCs/>
              </w:rPr>
            </w:pPr>
            <w:r>
              <w:rPr>
                <w:b/>
                <w:bCs/>
              </w:rPr>
              <w:t>Historical ABO/Rh</w:t>
            </w:r>
          </w:p>
        </w:tc>
        <w:tc>
          <w:tcPr>
            <w:tcW w:w="3327" w:type="pct"/>
            <w:tcBorders>
              <w:top w:val="nil"/>
              <w:left w:val="nil"/>
              <w:bottom w:val="nil"/>
              <w:right w:val="nil"/>
            </w:tcBorders>
          </w:tcPr>
          <w:p w14:paraId="6A5254AD" w14:textId="77777777" w:rsidR="00AF274B" w:rsidRDefault="00AF274B">
            <w:pPr>
              <w:pStyle w:val="GlossaryTableText"/>
              <w:rPr>
                <w:rFonts w:ascii="Symbol"/>
              </w:rPr>
            </w:pPr>
            <w:r>
              <w:t>The most recent valid entry entered in the same division as the current order/treatment record, not from the database conversion.</w:t>
            </w:r>
          </w:p>
        </w:tc>
      </w:tr>
      <w:tr w:rsidR="00AF274B" w14:paraId="4673CA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C5C84AA" w14:textId="77777777" w:rsidR="00AF274B" w:rsidRDefault="00AF274B" w:rsidP="005957FF">
            <w:pPr>
              <w:pStyle w:val="GlossaryTableText"/>
              <w:rPr>
                <w:b/>
                <w:bCs/>
              </w:rPr>
            </w:pPr>
            <w:r>
              <w:rPr>
                <w:b/>
                <w:bCs/>
              </w:rPr>
              <w:t>Historical record</w:t>
            </w:r>
          </w:p>
        </w:tc>
        <w:tc>
          <w:tcPr>
            <w:tcW w:w="3327" w:type="pct"/>
            <w:tcBorders>
              <w:top w:val="nil"/>
              <w:left w:val="nil"/>
              <w:bottom w:val="nil"/>
              <w:right w:val="nil"/>
            </w:tcBorders>
          </w:tcPr>
          <w:p w14:paraId="745A4772" w14:textId="77777777" w:rsidR="00AF274B" w:rsidRDefault="00AF274B" w:rsidP="005957FF">
            <w:pPr>
              <w:pStyle w:val="GlossaryTableText"/>
            </w:pPr>
            <w:r>
              <w:t>Cumulative, redundant data, referenced continually throughout VBECS.</w:t>
            </w:r>
          </w:p>
        </w:tc>
      </w:tr>
      <w:tr w:rsidR="00AF274B" w14:paraId="7B35A2D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32CE538" w14:textId="77777777" w:rsidR="00AF274B" w:rsidRDefault="00AF274B">
            <w:pPr>
              <w:pStyle w:val="GlossaryTableText"/>
              <w:rPr>
                <w:b/>
                <w:bCs/>
              </w:rPr>
            </w:pPr>
            <w:r>
              <w:rPr>
                <w:b/>
                <w:bCs/>
              </w:rPr>
              <w:t>HL7</w:t>
            </w:r>
          </w:p>
        </w:tc>
        <w:tc>
          <w:tcPr>
            <w:tcW w:w="3327" w:type="pct"/>
            <w:tcBorders>
              <w:top w:val="nil"/>
              <w:left w:val="nil"/>
              <w:bottom w:val="nil"/>
              <w:right w:val="nil"/>
            </w:tcBorders>
          </w:tcPr>
          <w:p w14:paraId="4C62892F" w14:textId="77777777" w:rsidR="00AF274B" w:rsidRDefault="00AF274B">
            <w:pPr>
              <w:pStyle w:val="GlossaryTableText"/>
            </w:pPr>
            <w:r>
              <w:t>Health Level 7. An international messaging standard used predominantly in the healthcare industry.</w:t>
            </w:r>
          </w:p>
        </w:tc>
      </w:tr>
      <w:tr w:rsidR="00AF274B" w14:paraId="78D0EA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3B613D6" w14:textId="77777777" w:rsidR="00AF274B" w:rsidRDefault="00AF274B">
            <w:pPr>
              <w:pStyle w:val="GlossaryTableText"/>
              <w:rPr>
                <w:b/>
                <w:bCs/>
              </w:rPr>
            </w:pPr>
            <w:r>
              <w:rPr>
                <w:b/>
                <w:bCs/>
                <w:snapToGrid w:val="0"/>
              </w:rPr>
              <w:t>HLA (histocompatibility locus antigens)</w:t>
            </w:r>
          </w:p>
        </w:tc>
        <w:tc>
          <w:tcPr>
            <w:tcW w:w="3327" w:type="pct"/>
            <w:tcBorders>
              <w:top w:val="nil"/>
              <w:left w:val="nil"/>
              <w:bottom w:val="nil"/>
              <w:right w:val="nil"/>
            </w:tcBorders>
          </w:tcPr>
          <w:p w14:paraId="0B23D5E2" w14:textId="77777777" w:rsidR="00AF274B" w:rsidRDefault="00AF274B">
            <w:pPr>
              <w:pStyle w:val="GlossaryTableText"/>
              <w:rPr>
                <w:b/>
              </w:rPr>
            </w:pPr>
            <w:r>
              <w:rPr>
                <w:snapToGrid w:val="0"/>
              </w:rPr>
              <w:t>Antigens associated with cellular immunity.</w:t>
            </w:r>
          </w:p>
        </w:tc>
      </w:tr>
      <w:tr w:rsidR="00AF274B" w14:paraId="5B15117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1B2180E" w14:textId="77777777" w:rsidR="00AF274B" w:rsidRDefault="00AF274B">
            <w:pPr>
              <w:pStyle w:val="GlossaryTableText"/>
              <w:rPr>
                <w:b/>
                <w:bCs/>
              </w:rPr>
            </w:pPr>
            <w:r>
              <w:rPr>
                <w:b/>
                <w:bCs/>
              </w:rPr>
              <w:t>Homologous (also “allogeneic”)</w:t>
            </w:r>
          </w:p>
        </w:tc>
        <w:tc>
          <w:tcPr>
            <w:tcW w:w="3327" w:type="pct"/>
            <w:tcBorders>
              <w:top w:val="nil"/>
              <w:left w:val="nil"/>
              <w:bottom w:val="nil"/>
              <w:right w:val="nil"/>
            </w:tcBorders>
          </w:tcPr>
          <w:p w14:paraId="28518982" w14:textId="77777777" w:rsidR="00AF274B" w:rsidRDefault="00AF274B">
            <w:pPr>
              <w:pStyle w:val="GlossaryTableText"/>
            </w:pPr>
            <w:r>
              <w:t>The standard type of blood donation: a volunteer donor reports to a blood collection facility and donates a unit of blood. The blood is tested and released for general use.</w:t>
            </w:r>
          </w:p>
        </w:tc>
      </w:tr>
      <w:tr w:rsidR="00B85400" w14:paraId="251FFB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24B55B9" w14:textId="77777777" w:rsidR="00B85400" w:rsidRDefault="00B85400">
            <w:pPr>
              <w:pStyle w:val="GlossaryTableText"/>
              <w:rPr>
                <w:b/>
                <w:bCs/>
              </w:rPr>
            </w:pPr>
            <w:r>
              <w:rPr>
                <w:b/>
                <w:bCs/>
              </w:rPr>
              <w:lastRenderedPageBreak/>
              <w:t>I</w:t>
            </w:r>
            <w:r w:rsidR="00072167">
              <w:rPr>
                <w:b/>
                <w:bCs/>
              </w:rPr>
              <w:t>AM</w:t>
            </w:r>
          </w:p>
        </w:tc>
        <w:tc>
          <w:tcPr>
            <w:tcW w:w="3327" w:type="pct"/>
            <w:tcBorders>
              <w:top w:val="nil"/>
              <w:left w:val="nil"/>
              <w:bottom w:val="nil"/>
              <w:right w:val="nil"/>
            </w:tcBorders>
          </w:tcPr>
          <w:p w14:paraId="2F247818" w14:textId="77777777" w:rsidR="00B85400" w:rsidRDefault="00072167">
            <w:pPr>
              <w:pStyle w:val="GlossaryTableText"/>
            </w:pPr>
            <w:r>
              <w:t>Identity and Access Management</w:t>
            </w:r>
          </w:p>
        </w:tc>
      </w:tr>
      <w:tr w:rsidR="00AF274B" w14:paraId="55354E6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6EEDC64" w14:textId="77777777" w:rsidR="00AF274B" w:rsidRDefault="00AF274B">
            <w:pPr>
              <w:pStyle w:val="GlossaryTableText"/>
              <w:rPr>
                <w:b/>
                <w:bCs/>
              </w:rPr>
            </w:pPr>
            <w:r>
              <w:rPr>
                <w:b/>
                <w:bCs/>
              </w:rPr>
              <w:t>ICCBBA</w:t>
            </w:r>
          </w:p>
        </w:tc>
        <w:tc>
          <w:tcPr>
            <w:tcW w:w="3327" w:type="pct"/>
            <w:tcBorders>
              <w:top w:val="nil"/>
              <w:left w:val="nil"/>
              <w:bottom w:val="nil"/>
              <w:right w:val="nil"/>
            </w:tcBorders>
          </w:tcPr>
          <w:p w14:paraId="2489CAC9" w14:textId="77777777" w:rsidR="00AF274B" w:rsidRDefault="00AF274B">
            <w:pPr>
              <w:pStyle w:val="GlossaryTableText"/>
            </w:pPr>
            <w:r>
              <w:t>International Council for Commonality in Blood Banking Automation, Inc. The governing body that developed and maintained the database that governs the ISBT 128 blood labeling system.</w:t>
            </w:r>
          </w:p>
        </w:tc>
      </w:tr>
      <w:tr w:rsidR="001A1559" w14:paraId="3F0BE05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90E510F" w14:textId="77777777" w:rsidR="001A1559" w:rsidRDefault="001A1559">
            <w:pPr>
              <w:pStyle w:val="GlossaryTableText"/>
              <w:rPr>
                <w:b/>
                <w:bCs/>
                <w:snapToGrid w:val="0"/>
              </w:rPr>
            </w:pPr>
            <w:r>
              <w:rPr>
                <w:b/>
                <w:bCs/>
                <w:snapToGrid w:val="0"/>
              </w:rPr>
              <w:t>IEN</w:t>
            </w:r>
          </w:p>
        </w:tc>
        <w:tc>
          <w:tcPr>
            <w:tcW w:w="3327" w:type="pct"/>
            <w:tcBorders>
              <w:top w:val="nil"/>
              <w:left w:val="nil"/>
              <w:bottom w:val="nil"/>
              <w:right w:val="nil"/>
            </w:tcBorders>
          </w:tcPr>
          <w:p w14:paraId="3548A5C2" w14:textId="77777777" w:rsidR="001A1559" w:rsidRDefault="001A1559">
            <w:pPr>
              <w:pStyle w:val="GlossaryTableText"/>
              <w:rPr>
                <w:snapToGrid w:val="0"/>
              </w:rPr>
            </w:pPr>
            <w:r>
              <w:rPr>
                <w:snapToGrid w:val="0"/>
              </w:rPr>
              <w:t xml:space="preserve">Internal Entry Number. </w:t>
            </w:r>
          </w:p>
        </w:tc>
      </w:tr>
      <w:tr w:rsidR="00AF274B" w14:paraId="0FFF5E4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5A938ED" w14:textId="77777777" w:rsidR="00AF274B" w:rsidRDefault="00AF274B">
            <w:pPr>
              <w:pStyle w:val="GlossaryTableText"/>
              <w:rPr>
                <w:b/>
                <w:bCs/>
              </w:rPr>
            </w:pPr>
            <w:r>
              <w:rPr>
                <w:b/>
                <w:bCs/>
                <w:snapToGrid w:val="0"/>
              </w:rPr>
              <w:t>IgA (Immunoglobulin A)</w:t>
            </w:r>
          </w:p>
        </w:tc>
        <w:tc>
          <w:tcPr>
            <w:tcW w:w="3327" w:type="pct"/>
            <w:tcBorders>
              <w:top w:val="nil"/>
              <w:left w:val="nil"/>
              <w:bottom w:val="nil"/>
              <w:right w:val="nil"/>
            </w:tcBorders>
          </w:tcPr>
          <w:p w14:paraId="07F9AA1A" w14:textId="77777777" w:rsidR="00AF274B" w:rsidRDefault="00AF274B">
            <w:pPr>
              <w:pStyle w:val="GlossaryTableText"/>
              <w:rPr>
                <w:b/>
              </w:rPr>
            </w:pPr>
            <w:r>
              <w:rPr>
                <w:snapToGrid w:val="0"/>
              </w:rPr>
              <w:t>Immune protein usually associated with tissue response (hypersensitivity).</w:t>
            </w:r>
          </w:p>
        </w:tc>
      </w:tr>
      <w:tr w:rsidR="00AF274B" w14:paraId="3A207B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2D13B96" w14:textId="77777777" w:rsidR="00AF274B" w:rsidRDefault="00AF274B">
            <w:pPr>
              <w:pStyle w:val="GlossaryTableText"/>
              <w:rPr>
                <w:b/>
                <w:bCs/>
              </w:rPr>
            </w:pPr>
            <w:r>
              <w:rPr>
                <w:b/>
                <w:bCs/>
              </w:rPr>
              <w:t>In-date</w:t>
            </w:r>
          </w:p>
        </w:tc>
        <w:tc>
          <w:tcPr>
            <w:tcW w:w="3327" w:type="pct"/>
            <w:tcBorders>
              <w:top w:val="nil"/>
              <w:left w:val="nil"/>
              <w:bottom w:val="nil"/>
              <w:right w:val="nil"/>
            </w:tcBorders>
          </w:tcPr>
          <w:p w14:paraId="3FE7C940" w14:textId="77777777" w:rsidR="00AF274B" w:rsidRDefault="00AF274B">
            <w:pPr>
              <w:pStyle w:val="GlossaryTableText"/>
            </w:pPr>
            <w:r>
              <w:t xml:space="preserve">Describes the state of a unit of blood when the expiration date/time of the unit is in the future. </w:t>
            </w:r>
          </w:p>
        </w:tc>
      </w:tr>
      <w:tr w:rsidR="00AF274B" w14:paraId="24E470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B2858FA" w14:textId="77777777" w:rsidR="00AF274B" w:rsidRDefault="00AF274B">
            <w:pPr>
              <w:pStyle w:val="GlossaryTableText"/>
              <w:rPr>
                <w:b/>
                <w:bCs/>
              </w:rPr>
            </w:pPr>
            <w:r>
              <w:rPr>
                <w:b/>
                <w:bCs/>
              </w:rPr>
              <w:t>Interpretation</w:t>
            </w:r>
          </w:p>
        </w:tc>
        <w:tc>
          <w:tcPr>
            <w:tcW w:w="3327" w:type="pct"/>
            <w:tcBorders>
              <w:top w:val="nil"/>
              <w:left w:val="nil"/>
              <w:bottom w:val="nil"/>
              <w:right w:val="nil"/>
            </w:tcBorders>
          </w:tcPr>
          <w:p w14:paraId="25EA3448" w14:textId="77777777" w:rsidR="00AF274B" w:rsidRDefault="00AF274B">
            <w:pPr>
              <w:pStyle w:val="GlossaryTableText"/>
            </w:pPr>
            <w:r>
              <w:t>The evaluation of serologic test reactions.</w:t>
            </w:r>
          </w:p>
        </w:tc>
      </w:tr>
      <w:tr w:rsidR="00AF274B" w14:paraId="0E90CB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AB2DC4D" w14:textId="77777777" w:rsidR="00AF274B" w:rsidRDefault="00AF274B">
            <w:pPr>
              <w:pStyle w:val="GlossaryTableText"/>
              <w:rPr>
                <w:b/>
                <w:bCs/>
              </w:rPr>
            </w:pPr>
            <w:r>
              <w:rPr>
                <w:b/>
                <w:bCs/>
              </w:rPr>
              <w:t>IRM</w:t>
            </w:r>
          </w:p>
        </w:tc>
        <w:tc>
          <w:tcPr>
            <w:tcW w:w="3327" w:type="pct"/>
            <w:tcBorders>
              <w:top w:val="nil"/>
              <w:left w:val="nil"/>
              <w:bottom w:val="nil"/>
              <w:right w:val="nil"/>
            </w:tcBorders>
          </w:tcPr>
          <w:p w14:paraId="6ABA77BF" w14:textId="77777777" w:rsidR="00AF274B" w:rsidRDefault="00AF274B">
            <w:pPr>
              <w:pStyle w:val="GlossaryTableText"/>
              <w:rPr>
                <w:rFonts w:ascii="Symbol"/>
              </w:rPr>
            </w:pPr>
            <w:r>
              <w:t>Information Resource Management.</w:t>
            </w:r>
          </w:p>
        </w:tc>
      </w:tr>
      <w:tr w:rsidR="00AF274B" w14:paraId="676C8F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3D43EE8" w14:textId="77777777" w:rsidR="00AF274B" w:rsidRDefault="00AF274B">
            <w:pPr>
              <w:pStyle w:val="GlossaryTableText"/>
              <w:rPr>
                <w:b/>
                <w:bCs/>
              </w:rPr>
            </w:pPr>
            <w:r>
              <w:rPr>
                <w:b/>
                <w:bCs/>
                <w:snapToGrid w:val="0"/>
              </w:rPr>
              <w:t>Irradiate</w:t>
            </w:r>
          </w:p>
        </w:tc>
        <w:tc>
          <w:tcPr>
            <w:tcW w:w="3327" w:type="pct"/>
            <w:tcBorders>
              <w:top w:val="nil"/>
              <w:left w:val="nil"/>
              <w:bottom w:val="nil"/>
              <w:right w:val="nil"/>
            </w:tcBorders>
          </w:tcPr>
          <w:p w14:paraId="607E46BC" w14:textId="77777777" w:rsidR="00C64C05" w:rsidRPr="00C64C05" w:rsidRDefault="00BB6868" w:rsidP="00BB6868">
            <w:pPr>
              <w:pStyle w:val="GlossaryTableText"/>
            </w:pPr>
            <w:r>
              <w:t xml:space="preserve">To expose blood products to radiation to damage white cells and </w:t>
            </w:r>
            <w:r w:rsidR="00A77C51">
              <w:t>avoid graft-versus-</w:t>
            </w:r>
            <w:r>
              <w:t>host disease.</w:t>
            </w:r>
          </w:p>
        </w:tc>
      </w:tr>
      <w:tr w:rsidR="00AF274B" w14:paraId="197CF1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ABDE5B3" w14:textId="77777777" w:rsidR="00AF274B" w:rsidRDefault="00AF274B">
            <w:pPr>
              <w:pStyle w:val="GlossaryTableText"/>
              <w:rPr>
                <w:b/>
                <w:bCs/>
              </w:rPr>
            </w:pPr>
            <w:r>
              <w:rPr>
                <w:b/>
                <w:bCs/>
              </w:rPr>
              <w:t>ISBT</w:t>
            </w:r>
          </w:p>
        </w:tc>
        <w:tc>
          <w:tcPr>
            <w:tcW w:w="3327" w:type="pct"/>
            <w:tcBorders>
              <w:top w:val="nil"/>
              <w:left w:val="nil"/>
              <w:bottom w:val="nil"/>
              <w:right w:val="nil"/>
            </w:tcBorders>
          </w:tcPr>
          <w:p w14:paraId="7221E5E2" w14:textId="77777777" w:rsidR="00AF274B" w:rsidRDefault="00AF274B">
            <w:pPr>
              <w:pStyle w:val="GlossaryTableText"/>
            </w:pPr>
            <w:r>
              <w:t>International Society of Blood Transfusion.</w:t>
            </w:r>
          </w:p>
        </w:tc>
      </w:tr>
      <w:tr w:rsidR="00AF274B" w14:paraId="1C7F315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948E88D" w14:textId="77777777" w:rsidR="00AF274B" w:rsidRDefault="00AF274B">
            <w:pPr>
              <w:pStyle w:val="GlossaryTableText"/>
              <w:rPr>
                <w:b/>
                <w:bCs/>
              </w:rPr>
            </w:pPr>
            <w:r>
              <w:rPr>
                <w:b/>
                <w:bCs/>
              </w:rPr>
              <w:t>ISBT 128</w:t>
            </w:r>
          </w:p>
        </w:tc>
        <w:tc>
          <w:tcPr>
            <w:tcW w:w="3327" w:type="pct"/>
            <w:tcBorders>
              <w:top w:val="nil"/>
              <w:left w:val="nil"/>
              <w:bottom w:val="nil"/>
              <w:right w:val="nil"/>
            </w:tcBorders>
          </w:tcPr>
          <w:p w14:paraId="2D0E6681" w14:textId="3F9C2811" w:rsidR="00AF274B" w:rsidRDefault="00AF274B">
            <w:pPr>
              <w:pStyle w:val="GlossaryTableText"/>
            </w:pPr>
            <w:r>
              <w:t>New standardized method for labeling blood units</w:t>
            </w:r>
            <w:r w:rsidR="002A6AEA">
              <w:t>,</w:t>
            </w:r>
            <w:r w:rsidR="00646D98">
              <w:t xml:space="preserve"> </w:t>
            </w:r>
            <w:r w:rsidR="0050114F">
              <w:t>that has replaced Codabar</w:t>
            </w:r>
            <w:r>
              <w:t xml:space="preserve"> </w:t>
            </w:r>
            <w:r>
              <w:rPr>
                <w:i/>
              </w:rPr>
              <w:t>It includes much more information within the barcodes than is possible with Codabar. Its rules are much more structured than Codabar. It is not backwards compatible with Codabar.</w:t>
            </w:r>
          </w:p>
        </w:tc>
      </w:tr>
      <w:tr w:rsidR="00AF274B" w14:paraId="4F226C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693AAB8" w14:textId="77777777" w:rsidR="00AF274B" w:rsidRDefault="00AF274B">
            <w:pPr>
              <w:pStyle w:val="GlossaryTableText"/>
              <w:rPr>
                <w:b/>
                <w:bCs/>
                <w:snapToGrid w:val="0"/>
              </w:rPr>
            </w:pPr>
            <w:r>
              <w:rPr>
                <w:b/>
                <w:bCs/>
                <w:snapToGrid w:val="0"/>
              </w:rPr>
              <w:t>Leukopoor</w:t>
            </w:r>
          </w:p>
        </w:tc>
        <w:tc>
          <w:tcPr>
            <w:tcW w:w="3327" w:type="pct"/>
            <w:tcBorders>
              <w:top w:val="nil"/>
              <w:left w:val="nil"/>
              <w:bottom w:val="nil"/>
              <w:right w:val="nil"/>
            </w:tcBorders>
          </w:tcPr>
          <w:p w14:paraId="7A093AD1" w14:textId="77777777" w:rsidR="00AF274B" w:rsidRDefault="00AF274B">
            <w:pPr>
              <w:pStyle w:val="GlossaryTableText"/>
            </w:pPr>
            <w:r>
              <w:t>See “leukoreduce.”</w:t>
            </w:r>
          </w:p>
        </w:tc>
      </w:tr>
      <w:tr w:rsidR="00E85CF4" w14:paraId="10D2C79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6A16990" w14:textId="77777777" w:rsidR="00E85CF4" w:rsidRDefault="00E85CF4" w:rsidP="00AD0B01">
            <w:pPr>
              <w:pStyle w:val="GlossaryTableText"/>
              <w:rPr>
                <w:b/>
                <w:bCs/>
                <w:snapToGrid w:val="0"/>
              </w:rPr>
            </w:pPr>
          </w:p>
          <w:p w14:paraId="295B9DDE" w14:textId="77777777" w:rsidR="00E85CF4" w:rsidRDefault="00E85CF4" w:rsidP="00AD0B01">
            <w:pPr>
              <w:pStyle w:val="GlossaryTableText"/>
              <w:rPr>
                <w:b/>
                <w:bCs/>
                <w:snapToGrid w:val="0"/>
              </w:rPr>
            </w:pPr>
            <w:r>
              <w:rPr>
                <w:b/>
                <w:bCs/>
                <w:snapToGrid w:val="0"/>
              </w:rPr>
              <w:t>Leukoreduce</w:t>
            </w:r>
          </w:p>
        </w:tc>
        <w:tc>
          <w:tcPr>
            <w:tcW w:w="3327" w:type="pct"/>
            <w:tcBorders>
              <w:top w:val="nil"/>
              <w:left w:val="nil"/>
              <w:bottom w:val="nil"/>
              <w:right w:val="nil"/>
            </w:tcBorders>
          </w:tcPr>
          <w:p w14:paraId="3AC41E7F" w14:textId="77777777" w:rsidR="00E85CF4" w:rsidRDefault="00E85CF4" w:rsidP="00AD0B01">
            <w:pPr>
              <w:pStyle w:val="GlossaryTableText"/>
            </w:pPr>
            <w:r>
              <w:t>To remove white cells from a cellular product through filtration. The resulting product is considered “leukoreduced” or “leukopoor.”</w:t>
            </w:r>
          </w:p>
        </w:tc>
      </w:tr>
      <w:tr w:rsidR="0003186D" w14:paraId="5116E27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1403425" w14:textId="77777777" w:rsidR="0003186D" w:rsidRDefault="0003186D">
            <w:pPr>
              <w:pStyle w:val="GlossaryTableText"/>
              <w:rPr>
                <w:b/>
                <w:bCs/>
              </w:rPr>
            </w:pPr>
            <w:r>
              <w:rPr>
                <w:b/>
                <w:bCs/>
              </w:rPr>
              <w:t>ListServ</w:t>
            </w:r>
          </w:p>
        </w:tc>
        <w:tc>
          <w:tcPr>
            <w:tcW w:w="3327" w:type="pct"/>
            <w:tcBorders>
              <w:top w:val="nil"/>
              <w:left w:val="nil"/>
              <w:bottom w:val="nil"/>
              <w:right w:val="nil"/>
            </w:tcBorders>
          </w:tcPr>
          <w:p w14:paraId="171D10B6" w14:textId="77777777" w:rsidR="0003186D" w:rsidRDefault="0003186D">
            <w:pPr>
              <w:pStyle w:val="GlossaryTableText"/>
            </w:pPr>
            <w:r>
              <w:t>A</w:t>
            </w:r>
            <w:r w:rsidRPr="00F05B26">
              <w:t>n email distribution list to manage discussion groups</w:t>
            </w:r>
            <w:r>
              <w:t>.</w:t>
            </w:r>
          </w:p>
        </w:tc>
      </w:tr>
      <w:tr w:rsidR="00AF274B" w14:paraId="6794FD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5FAFE74" w14:textId="77777777" w:rsidR="00AF274B" w:rsidRDefault="00AF274B">
            <w:pPr>
              <w:pStyle w:val="GlossaryTableText"/>
              <w:rPr>
                <w:b/>
                <w:bCs/>
              </w:rPr>
            </w:pPr>
            <w:r>
              <w:rPr>
                <w:b/>
                <w:bCs/>
              </w:rPr>
              <w:t>LMIP</w:t>
            </w:r>
          </w:p>
        </w:tc>
        <w:tc>
          <w:tcPr>
            <w:tcW w:w="3327" w:type="pct"/>
            <w:tcBorders>
              <w:top w:val="nil"/>
              <w:left w:val="nil"/>
              <w:bottom w:val="nil"/>
              <w:right w:val="nil"/>
            </w:tcBorders>
          </w:tcPr>
          <w:p w14:paraId="39009D08" w14:textId="77777777" w:rsidR="00AF274B" w:rsidRDefault="00AF274B">
            <w:pPr>
              <w:pStyle w:val="GlossaryTableText"/>
            </w:pPr>
            <w:r>
              <w:t>Laboratory Management Index Program</w:t>
            </w:r>
            <w:r w:rsidR="003D16EE">
              <w:t xml:space="preserve"> (LMIP) is the name given to the functionality in Veterans Health Information and Technology Architecture (VistA) software designed to capture and tabulate both technical and professional workload as it relates to the performance of ordered/billable tests in VA laboratories</w:t>
            </w:r>
            <w:r>
              <w:t>.</w:t>
            </w:r>
          </w:p>
        </w:tc>
      </w:tr>
      <w:tr w:rsidR="003D16EE" w14:paraId="7BBA1DD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9C13C7A" w14:textId="77777777" w:rsidR="003D16EE" w:rsidRDefault="003D16EE">
            <w:pPr>
              <w:pStyle w:val="GlossaryTableText"/>
              <w:rPr>
                <w:b/>
                <w:bCs/>
              </w:rPr>
            </w:pPr>
            <w:r>
              <w:rPr>
                <w:b/>
                <w:bCs/>
              </w:rPr>
              <w:t>Managerial Cost Accounting</w:t>
            </w:r>
          </w:p>
        </w:tc>
        <w:tc>
          <w:tcPr>
            <w:tcW w:w="3327" w:type="pct"/>
            <w:tcBorders>
              <w:top w:val="nil"/>
              <w:left w:val="nil"/>
              <w:bottom w:val="nil"/>
              <w:right w:val="nil"/>
            </w:tcBorders>
          </w:tcPr>
          <w:p w14:paraId="6539F6B3" w14:textId="77777777" w:rsidR="003D16EE" w:rsidRDefault="003D16EE">
            <w:pPr>
              <w:pStyle w:val="GlossaryTableText"/>
            </w:pPr>
            <w:r>
              <w:t>MCA means the process of accumulating, measuring, analyzing, interpreting and reporting cost information useful to both internal and external groups concerned with the way the organization uses, accounts for, safeguards and controls its resources to meet its objectives. MCA assists budgeting, financial accounting and reporting and provides useful information to leadership.</w:t>
            </w:r>
          </w:p>
        </w:tc>
      </w:tr>
      <w:tr w:rsidR="00AF274B" w14:paraId="38B505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E16F79A" w14:textId="77777777" w:rsidR="00AF274B" w:rsidRDefault="00AF274B" w:rsidP="003004A7">
            <w:pPr>
              <w:pStyle w:val="GlossaryTableText"/>
              <w:rPr>
                <w:b/>
              </w:rPr>
            </w:pPr>
            <w:r>
              <w:rPr>
                <w:b/>
              </w:rPr>
              <w:t>Medical device</w:t>
            </w:r>
          </w:p>
        </w:tc>
        <w:tc>
          <w:tcPr>
            <w:tcW w:w="3327" w:type="pct"/>
            <w:tcBorders>
              <w:top w:val="nil"/>
              <w:left w:val="nil"/>
              <w:bottom w:val="nil"/>
              <w:right w:val="nil"/>
            </w:tcBorders>
          </w:tcPr>
          <w:p w14:paraId="4225A197" w14:textId="77777777" w:rsidR="00AF274B" w:rsidRDefault="00142B16" w:rsidP="00142B16">
            <w:pPr>
              <w:pStyle w:val="GlossaryTableText"/>
            </w:pPr>
            <w:r>
              <w:t>An instrument, apparatus, implement, machine, contrivance, implant, in vitro reagent, or other similar or related article, including a component part, or accessory that is intended for use in the diagnosis of disease or other conditions, or in the cure, mitigation, treatment, or prevention of disease.</w:t>
            </w:r>
          </w:p>
        </w:tc>
      </w:tr>
      <w:tr w:rsidR="00AF274B" w14:paraId="214B36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391C231" w14:textId="77777777" w:rsidR="00AF274B" w:rsidRDefault="00AF274B">
            <w:pPr>
              <w:pStyle w:val="GlossaryTableText"/>
              <w:rPr>
                <w:b/>
                <w:bCs/>
              </w:rPr>
            </w:pPr>
            <w:r>
              <w:rPr>
                <w:b/>
                <w:bCs/>
              </w:rPr>
              <w:t>Modifier</w:t>
            </w:r>
          </w:p>
        </w:tc>
        <w:tc>
          <w:tcPr>
            <w:tcW w:w="3327" w:type="pct"/>
            <w:tcBorders>
              <w:top w:val="nil"/>
              <w:left w:val="nil"/>
              <w:bottom w:val="nil"/>
              <w:right w:val="nil"/>
            </w:tcBorders>
          </w:tcPr>
          <w:p w14:paraId="59D37C0F" w14:textId="77777777" w:rsidR="00AF274B" w:rsidRDefault="00AF274B">
            <w:pPr>
              <w:pStyle w:val="GlossaryTableText"/>
            </w:pPr>
            <w:r>
              <w:t xml:space="preserve">An ISBT 128 term that describes a characteristic of a donated unit of blood that distinguishes it from other members of the component class. </w:t>
            </w:r>
            <w:r>
              <w:rPr>
                <w:i/>
              </w:rPr>
              <w:t>The VBECS application is concerned with the modifiers “Washed,” “Thawed,” “Liquid,” “Frozen,” “Rejuvenated,” and “Deglycerolized.”</w:t>
            </w:r>
          </w:p>
        </w:tc>
      </w:tr>
      <w:tr w:rsidR="00AF274B" w14:paraId="55BC34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D71BC11" w14:textId="77777777" w:rsidR="00AF274B" w:rsidRDefault="00AF274B" w:rsidP="005957FF">
            <w:pPr>
              <w:pStyle w:val="GlossaryTableText"/>
              <w:rPr>
                <w:b/>
                <w:bCs/>
              </w:rPr>
            </w:pPr>
            <w:r>
              <w:rPr>
                <w:b/>
                <w:bCs/>
              </w:rPr>
              <w:lastRenderedPageBreak/>
              <w:t>Modifier (order)</w:t>
            </w:r>
          </w:p>
        </w:tc>
        <w:tc>
          <w:tcPr>
            <w:tcW w:w="3327" w:type="pct"/>
            <w:tcBorders>
              <w:top w:val="nil"/>
              <w:left w:val="nil"/>
              <w:bottom w:val="nil"/>
              <w:right w:val="nil"/>
            </w:tcBorders>
          </w:tcPr>
          <w:p w14:paraId="6F48C50B" w14:textId="77777777" w:rsidR="00AF274B" w:rsidRDefault="00AF274B" w:rsidP="005957FF">
            <w:pPr>
              <w:pStyle w:val="GlossaryTableText"/>
            </w:pPr>
            <w:r>
              <w:t xml:space="preserve">Component requirements associated with a specific component order. </w:t>
            </w:r>
            <w:r>
              <w:rPr>
                <w:i/>
              </w:rPr>
              <w:t>Example: a component order where red blood cells must be leukoreduced. When a component order is accompanied by special requirements, units issued for transfusion must meet specific criteria that translate into “Modifiers” or “Attributes” in ISBT 128.</w:t>
            </w:r>
            <w:r>
              <w:t xml:space="preserve"> </w:t>
            </w:r>
          </w:p>
        </w:tc>
      </w:tr>
      <w:tr w:rsidR="00AF274B" w14:paraId="7062EF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02E563F" w14:textId="77777777" w:rsidR="00AF274B" w:rsidRDefault="00AF274B">
            <w:pPr>
              <w:pStyle w:val="GlossaryTableText"/>
              <w:rPr>
                <w:b/>
                <w:bCs/>
              </w:rPr>
            </w:pPr>
            <w:r>
              <w:rPr>
                <w:b/>
                <w:bCs/>
              </w:rPr>
              <w:t>MSBOS</w:t>
            </w:r>
          </w:p>
        </w:tc>
        <w:tc>
          <w:tcPr>
            <w:tcW w:w="3327" w:type="pct"/>
            <w:tcBorders>
              <w:top w:val="nil"/>
              <w:left w:val="nil"/>
              <w:bottom w:val="nil"/>
              <w:right w:val="nil"/>
            </w:tcBorders>
          </w:tcPr>
          <w:p w14:paraId="7CAF692D" w14:textId="77777777" w:rsidR="00AF274B" w:rsidRDefault="00AF274B">
            <w:pPr>
              <w:pStyle w:val="GlossaryTableText"/>
            </w:pPr>
            <w:r>
              <w:t xml:space="preserve">Maximum Surgical Blood Ordering Schedule. The appropriate number of specific blood components to be ordered for selected surgeries at a facility. </w:t>
            </w:r>
            <w:r>
              <w:rPr>
                <w:i/>
              </w:rPr>
              <w:t>Preoperative blood component orders are compared with this list and details of orders falling outside of these established criteria are recorded and reportable.</w:t>
            </w:r>
          </w:p>
        </w:tc>
      </w:tr>
      <w:tr w:rsidR="00AF274B" w14:paraId="77ACDFF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E921505" w14:textId="77777777" w:rsidR="00AF274B" w:rsidRDefault="00AF274B">
            <w:pPr>
              <w:pStyle w:val="GlossaryTableText"/>
              <w:rPr>
                <w:b/>
                <w:bCs/>
              </w:rPr>
            </w:pPr>
            <w:r>
              <w:rPr>
                <w:b/>
                <w:bCs/>
              </w:rPr>
              <w:t>Multidivisional database</w:t>
            </w:r>
          </w:p>
        </w:tc>
        <w:tc>
          <w:tcPr>
            <w:tcW w:w="3327" w:type="pct"/>
            <w:tcBorders>
              <w:top w:val="nil"/>
              <w:left w:val="nil"/>
              <w:bottom w:val="nil"/>
              <w:right w:val="nil"/>
            </w:tcBorders>
          </w:tcPr>
          <w:p w14:paraId="653D31D0" w14:textId="77777777" w:rsidR="00AF274B" w:rsidRDefault="00AF274B">
            <w:pPr>
              <w:pStyle w:val="GlossaryTableText"/>
            </w:pPr>
            <w:r>
              <w:t>More than one separate transfusion services share a database.</w:t>
            </w:r>
          </w:p>
        </w:tc>
      </w:tr>
      <w:tr w:rsidR="00AF274B" w14:paraId="2372357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E18D3AF" w14:textId="77777777" w:rsidR="00AF274B" w:rsidRDefault="00AF274B">
            <w:pPr>
              <w:pStyle w:val="GlossaryTableText"/>
              <w:rPr>
                <w:b/>
                <w:bCs/>
              </w:rPr>
            </w:pPr>
            <w:r>
              <w:rPr>
                <w:b/>
                <w:bCs/>
              </w:rPr>
              <w:t>Negative control</w:t>
            </w:r>
          </w:p>
        </w:tc>
        <w:tc>
          <w:tcPr>
            <w:tcW w:w="3327" w:type="pct"/>
            <w:tcBorders>
              <w:top w:val="nil"/>
              <w:left w:val="nil"/>
              <w:bottom w:val="nil"/>
              <w:right w:val="nil"/>
            </w:tcBorders>
          </w:tcPr>
          <w:p w14:paraId="597DA907" w14:textId="77777777" w:rsidR="00AF274B" w:rsidRDefault="00AF274B">
            <w:pPr>
              <w:pStyle w:val="GlossaryTableText"/>
            </w:pPr>
            <w:r>
              <w:t>The negative control cell is known to lack the antigen the antiserum type is to detect. This cell should demonstrate negative serologic reaction, and, therefore, have a valid negative interpretation.</w:t>
            </w:r>
          </w:p>
          <w:p w14:paraId="44CA642F" w14:textId="77777777" w:rsidR="00AF274B" w:rsidRDefault="00AF274B">
            <w:pPr>
              <w:pStyle w:val="GlossaryTableText"/>
            </w:pPr>
            <w:r>
              <w:t>The positive and negative control cells must demonstrate a valid positive or negative set of serologic reactions and interpretations for the test of the unit or patient to be considered valid, regardless of the row validation of the unit test itself. (See “Positive control.”</w:t>
            </w:r>
          </w:p>
        </w:tc>
      </w:tr>
      <w:tr w:rsidR="00AF274B" w14:paraId="0D06BE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F7A00A0" w14:textId="77777777" w:rsidR="00AF274B" w:rsidRDefault="00AF274B">
            <w:pPr>
              <w:pStyle w:val="GlossaryTableText"/>
              <w:rPr>
                <w:b/>
                <w:bCs/>
              </w:rPr>
            </w:pPr>
            <w:r>
              <w:rPr>
                <w:b/>
                <w:bCs/>
              </w:rPr>
              <w:t>NFT</w:t>
            </w:r>
          </w:p>
        </w:tc>
        <w:tc>
          <w:tcPr>
            <w:tcW w:w="3327" w:type="pct"/>
            <w:tcBorders>
              <w:top w:val="nil"/>
              <w:left w:val="nil"/>
              <w:bottom w:val="nil"/>
              <w:right w:val="nil"/>
            </w:tcBorders>
          </w:tcPr>
          <w:p w14:paraId="3676F7A1" w14:textId="77777777" w:rsidR="00AF274B" w:rsidRDefault="00AF274B">
            <w:pPr>
              <w:pStyle w:val="GlossaryTableText"/>
              <w:rPr>
                <w:b/>
              </w:rPr>
            </w:pPr>
            <w:r>
              <w:t>Not fully tested.</w:t>
            </w:r>
          </w:p>
        </w:tc>
      </w:tr>
      <w:tr w:rsidR="00AF274B" w14:paraId="5F5C80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6D718A2" w14:textId="77777777" w:rsidR="00AF274B" w:rsidRDefault="00AF274B">
            <w:pPr>
              <w:pStyle w:val="GlossaryTableText"/>
              <w:rPr>
                <w:b/>
                <w:bCs/>
              </w:rPr>
            </w:pPr>
            <w:r>
              <w:rPr>
                <w:b/>
                <w:bCs/>
              </w:rPr>
              <w:t>NLT</w:t>
            </w:r>
          </w:p>
        </w:tc>
        <w:tc>
          <w:tcPr>
            <w:tcW w:w="3327" w:type="pct"/>
            <w:tcBorders>
              <w:top w:val="nil"/>
              <w:left w:val="nil"/>
              <w:bottom w:val="nil"/>
              <w:right w:val="nil"/>
            </w:tcBorders>
          </w:tcPr>
          <w:p w14:paraId="14D8E1D6" w14:textId="77777777" w:rsidR="00AF274B" w:rsidRDefault="00AF274B">
            <w:pPr>
              <w:pStyle w:val="GlossaryTableText"/>
            </w:pPr>
            <w:r>
              <w:t xml:space="preserve">National Laboratory Test code. Coding schema used by the </w:t>
            </w:r>
            <w:r w:rsidRPr="00CA6E27">
              <w:rPr>
                <w:bCs/>
              </w:rPr>
              <w:t>VistA</w:t>
            </w:r>
            <w:r>
              <w:t xml:space="preserve"> Laboratory software to assign numeric </w:t>
            </w:r>
            <w:r>
              <w:rPr>
                <w:color w:val="000000"/>
              </w:rPr>
              <w:t>identifier</w:t>
            </w:r>
            <w:r>
              <w:t xml:space="preserve"> code to specific tests. Also known as Workload Code (WKLD CODE).</w:t>
            </w:r>
          </w:p>
        </w:tc>
      </w:tr>
      <w:tr w:rsidR="00AF274B" w14:paraId="13D3115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AAED381" w14:textId="77777777" w:rsidR="00AF274B" w:rsidRDefault="00AF274B">
            <w:pPr>
              <w:pStyle w:val="GlossaryTableText"/>
              <w:rPr>
                <w:b/>
                <w:bCs/>
              </w:rPr>
            </w:pPr>
            <w:r>
              <w:rPr>
                <w:b/>
                <w:bCs/>
              </w:rPr>
              <w:t>Order</w:t>
            </w:r>
          </w:p>
        </w:tc>
        <w:tc>
          <w:tcPr>
            <w:tcW w:w="3327" w:type="pct"/>
            <w:tcBorders>
              <w:top w:val="nil"/>
              <w:left w:val="nil"/>
              <w:bottom w:val="nil"/>
              <w:right w:val="nil"/>
            </w:tcBorders>
          </w:tcPr>
          <w:p w14:paraId="1FF4F7CC" w14:textId="77777777" w:rsidR="00AF274B" w:rsidRDefault="00AF274B">
            <w:pPr>
              <w:pStyle w:val="GlossaryTableText"/>
            </w:pPr>
            <w:r>
              <w:t xml:space="preserve">Request for a service. </w:t>
            </w:r>
            <w:r>
              <w:rPr>
                <w:i/>
              </w:rPr>
              <w:t>The request may specify when the order is to be completed, e.g., immediately (STAT). VBECS acts on the order when it has been “accessioned.”</w:t>
            </w:r>
          </w:p>
        </w:tc>
      </w:tr>
      <w:tr w:rsidR="001A1559" w14:paraId="78299B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34E2F32" w14:textId="77777777" w:rsidR="001A1559" w:rsidRDefault="001A1559">
            <w:pPr>
              <w:pStyle w:val="GlossaryTableText"/>
              <w:rPr>
                <w:b/>
                <w:bCs/>
              </w:rPr>
            </w:pPr>
            <w:r>
              <w:rPr>
                <w:b/>
                <w:bCs/>
              </w:rPr>
              <w:t>Original unit</w:t>
            </w:r>
          </w:p>
        </w:tc>
        <w:tc>
          <w:tcPr>
            <w:tcW w:w="3327" w:type="pct"/>
            <w:tcBorders>
              <w:top w:val="nil"/>
              <w:left w:val="nil"/>
              <w:bottom w:val="nil"/>
              <w:right w:val="nil"/>
            </w:tcBorders>
          </w:tcPr>
          <w:p w14:paraId="09756829" w14:textId="77777777" w:rsidR="001A1559" w:rsidRDefault="001A1559">
            <w:pPr>
              <w:pStyle w:val="GlossaryTableText"/>
            </w:pPr>
            <w:r>
              <w:rPr>
                <w:snapToGrid w:val="0"/>
              </w:rPr>
              <w:t xml:space="preserve">A unit </w:t>
            </w:r>
            <w:r w:rsidR="004974ED">
              <w:rPr>
                <w:snapToGrid w:val="0"/>
              </w:rPr>
              <w:t>before modification</w:t>
            </w:r>
            <w:r>
              <w:rPr>
                <w:snapToGrid w:val="0"/>
              </w:rPr>
              <w:t>.</w:t>
            </w:r>
          </w:p>
        </w:tc>
      </w:tr>
      <w:tr w:rsidR="00AF274B" w14:paraId="1400F9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F5095D0" w14:textId="77777777" w:rsidR="00AF274B" w:rsidRDefault="00AF274B">
            <w:pPr>
              <w:pStyle w:val="GlossaryTableText"/>
              <w:rPr>
                <w:b/>
                <w:bCs/>
              </w:rPr>
            </w:pPr>
            <w:r>
              <w:rPr>
                <w:b/>
                <w:bCs/>
              </w:rPr>
              <w:t>Outdated</w:t>
            </w:r>
          </w:p>
        </w:tc>
        <w:tc>
          <w:tcPr>
            <w:tcW w:w="3327" w:type="pct"/>
            <w:tcBorders>
              <w:top w:val="nil"/>
              <w:left w:val="nil"/>
              <w:bottom w:val="nil"/>
              <w:right w:val="nil"/>
            </w:tcBorders>
          </w:tcPr>
          <w:p w14:paraId="019032FE" w14:textId="77777777" w:rsidR="00AF274B" w:rsidRDefault="00AF274B">
            <w:pPr>
              <w:pStyle w:val="GlossaryTableText"/>
            </w:pPr>
            <w:r>
              <w:t xml:space="preserve">Describes the state of a unit of blood that has passed the expiration date/time. </w:t>
            </w:r>
          </w:p>
        </w:tc>
      </w:tr>
      <w:tr w:rsidR="00AF274B" w14:paraId="6D69FC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46E1C41" w14:textId="77777777" w:rsidR="00AF274B" w:rsidRDefault="00AF274B">
            <w:pPr>
              <w:pStyle w:val="GlossaryTableText"/>
              <w:rPr>
                <w:b/>
                <w:bCs/>
              </w:rPr>
            </w:pPr>
            <w:r>
              <w:rPr>
                <w:b/>
                <w:bCs/>
              </w:rPr>
              <w:t>Patch</w:t>
            </w:r>
          </w:p>
        </w:tc>
        <w:tc>
          <w:tcPr>
            <w:tcW w:w="3327" w:type="pct"/>
            <w:tcBorders>
              <w:top w:val="nil"/>
              <w:left w:val="nil"/>
              <w:bottom w:val="nil"/>
              <w:right w:val="nil"/>
            </w:tcBorders>
          </w:tcPr>
          <w:p w14:paraId="0F3E8B12" w14:textId="77777777" w:rsidR="00AF274B" w:rsidRDefault="00AF274B">
            <w:pPr>
              <w:pStyle w:val="GlossaryTableText"/>
            </w:pPr>
            <w:r>
              <w:rPr>
                <w:color w:val="000000"/>
              </w:rPr>
              <w:t>Software developed and released to correct a defect, or change or enhance existing functionality; usually a modified subset or small addition to existing software.</w:t>
            </w:r>
          </w:p>
        </w:tc>
      </w:tr>
      <w:tr w:rsidR="00AF274B" w14:paraId="5FF0CB0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5FA643B" w14:textId="77777777" w:rsidR="00AF274B" w:rsidRDefault="00AF274B">
            <w:pPr>
              <w:pStyle w:val="GlossaryTableText"/>
              <w:rPr>
                <w:b/>
                <w:bCs/>
              </w:rPr>
            </w:pPr>
            <w:r>
              <w:rPr>
                <w:b/>
                <w:bCs/>
                <w:snapToGrid w:val="0"/>
              </w:rPr>
              <w:t>Patient care encounter (PCE)</w:t>
            </w:r>
          </w:p>
        </w:tc>
        <w:tc>
          <w:tcPr>
            <w:tcW w:w="3327" w:type="pct"/>
            <w:tcBorders>
              <w:top w:val="nil"/>
              <w:left w:val="nil"/>
              <w:bottom w:val="nil"/>
              <w:right w:val="nil"/>
            </w:tcBorders>
          </w:tcPr>
          <w:p w14:paraId="41E3EC66" w14:textId="77777777" w:rsidR="00AF274B" w:rsidRDefault="00AF274B">
            <w:pPr>
              <w:pStyle w:val="GlossaryTableText"/>
              <w:rPr>
                <w:snapToGrid w:val="0"/>
              </w:rPr>
            </w:pPr>
            <w:r>
              <w:rPr>
                <w:snapToGrid w:val="0"/>
              </w:rPr>
              <w:t>A contact with a patient documented in the patient’s record.</w:t>
            </w:r>
          </w:p>
        </w:tc>
      </w:tr>
      <w:tr w:rsidR="00AF274B" w14:paraId="6CC478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3AA0B23" w14:textId="77777777" w:rsidR="00AF274B" w:rsidRDefault="00AF274B">
            <w:pPr>
              <w:pStyle w:val="GlossaryTableText"/>
              <w:rPr>
                <w:b/>
                <w:bCs/>
              </w:rPr>
            </w:pPr>
            <w:r>
              <w:rPr>
                <w:b/>
                <w:bCs/>
                <w:snapToGrid w:val="0"/>
              </w:rPr>
              <w:t>Pending Order List (POL)</w:t>
            </w:r>
          </w:p>
        </w:tc>
        <w:tc>
          <w:tcPr>
            <w:tcW w:w="3327" w:type="pct"/>
            <w:tcBorders>
              <w:top w:val="nil"/>
              <w:left w:val="nil"/>
              <w:bottom w:val="nil"/>
              <w:right w:val="nil"/>
            </w:tcBorders>
          </w:tcPr>
          <w:p w14:paraId="1D7A02A7" w14:textId="77777777" w:rsidR="00AF274B" w:rsidRDefault="00AF274B">
            <w:pPr>
              <w:pStyle w:val="GlossaryTableText"/>
              <w:rPr>
                <w:snapToGrid w:val="0"/>
              </w:rPr>
            </w:pPr>
            <w:r>
              <w:rPr>
                <w:snapToGrid w:val="0"/>
              </w:rPr>
              <w:t>A list of orders transmitted from CPRS waiting to be processed.</w:t>
            </w:r>
          </w:p>
        </w:tc>
      </w:tr>
      <w:tr w:rsidR="00AF274B" w14:paraId="1FF6B3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84979DF" w14:textId="77777777" w:rsidR="00AF274B" w:rsidRDefault="00AF274B">
            <w:pPr>
              <w:pStyle w:val="GlossaryTableText"/>
              <w:rPr>
                <w:b/>
                <w:bCs/>
              </w:rPr>
            </w:pPr>
            <w:r>
              <w:rPr>
                <w:b/>
                <w:bCs/>
                <w:snapToGrid w:val="0"/>
              </w:rPr>
              <w:t>Pending Task List (PTL)</w:t>
            </w:r>
          </w:p>
        </w:tc>
        <w:tc>
          <w:tcPr>
            <w:tcW w:w="3327" w:type="pct"/>
            <w:tcBorders>
              <w:top w:val="nil"/>
              <w:left w:val="nil"/>
              <w:bottom w:val="nil"/>
              <w:right w:val="nil"/>
            </w:tcBorders>
          </w:tcPr>
          <w:p w14:paraId="45D538F4" w14:textId="77777777" w:rsidR="00AF274B" w:rsidRDefault="00AF274B">
            <w:pPr>
              <w:pStyle w:val="GlossaryTableText"/>
              <w:rPr>
                <w:snapToGrid w:val="0"/>
              </w:rPr>
            </w:pPr>
            <w:r>
              <w:t>A list of tasks to be processed in the blood bank.</w:t>
            </w:r>
          </w:p>
        </w:tc>
      </w:tr>
      <w:tr w:rsidR="00AF274B" w14:paraId="366527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64DF459" w14:textId="77777777" w:rsidR="00AF274B" w:rsidRDefault="00AF274B">
            <w:pPr>
              <w:pStyle w:val="GlossaryTableText"/>
              <w:rPr>
                <w:b/>
                <w:bCs/>
              </w:rPr>
            </w:pPr>
            <w:r>
              <w:rPr>
                <w:b/>
                <w:bCs/>
              </w:rPr>
              <w:t>Phenotype</w:t>
            </w:r>
          </w:p>
        </w:tc>
        <w:tc>
          <w:tcPr>
            <w:tcW w:w="3327" w:type="pct"/>
            <w:tcBorders>
              <w:top w:val="nil"/>
              <w:left w:val="nil"/>
              <w:bottom w:val="nil"/>
              <w:right w:val="nil"/>
            </w:tcBorders>
          </w:tcPr>
          <w:p w14:paraId="07A3EA6E" w14:textId="77777777" w:rsidR="00AF274B" w:rsidRDefault="00AF274B">
            <w:pPr>
              <w:pStyle w:val="GlossaryTableText"/>
            </w:pPr>
            <w:r>
              <w:t>Describes the presence or absence of specific antigens.</w:t>
            </w:r>
          </w:p>
        </w:tc>
      </w:tr>
      <w:tr w:rsidR="00AF274B" w14:paraId="338C17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19F78F2" w14:textId="77777777" w:rsidR="00AF274B" w:rsidRDefault="00AF274B">
            <w:pPr>
              <w:pStyle w:val="GlossaryTableText"/>
              <w:rPr>
                <w:b/>
                <w:bCs/>
              </w:rPr>
            </w:pPr>
            <w:r>
              <w:rPr>
                <w:b/>
                <w:bCs/>
              </w:rPr>
              <w:t>Phenotyping</w:t>
            </w:r>
          </w:p>
        </w:tc>
        <w:tc>
          <w:tcPr>
            <w:tcW w:w="3327" w:type="pct"/>
            <w:tcBorders>
              <w:top w:val="nil"/>
              <w:left w:val="nil"/>
              <w:bottom w:val="nil"/>
              <w:right w:val="nil"/>
            </w:tcBorders>
          </w:tcPr>
          <w:p w14:paraId="3DEFCCAE" w14:textId="77777777" w:rsidR="00AF274B" w:rsidRDefault="00AF274B">
            <w:pPr>
              <w:pStyle w:val="GlossaryTableText"/>
            </w:pPr>
            <w:r>
              <w:t>Testing for the presence or absence of specific antigens. See “Antigen typing.”</w:t>
            </w:r>
          </w:p>
        </w:tc>
      </w:tr>
      <w:tr w:rsidR="00AF274B" w14:paraId="4009C7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06350F4" w14:textId="77777777" w:rsidR="00AF274B" w:rsidRDefault="00AF274B">
            <w:pPr>
              <w:pStyle w:val="GlossaryTableText"/>
              <w:rPr>
                <w:b/>
                <w:bCs/>
              </w:rPr>
            </w:pPr>
            <w:r>
              <w:rPr>
                <w:b/>
                <w:bCs/>
                <w:snapToGrid w:val="0"/>
              </w:rPr>
              <w:t>Pick list</w:t>
            </w:r>
          </w:p>
        </w:tc>
        <w:tc>
          <w:tcPr>
            <w:tcW w:w="3327" w:type="pct"/>
            <w:tcBorders>
              <w:top w:val="nil"/>
              <w:left w:val="nil"/>
              <w:bottom w:val="nil"/>
              <w:right w:val="nil"/>
            </w:tcBorders>
          </w:tcPr>
          <w:p w14:paraId="1D256E6B" w14:textId="77777777" w:rsidR="00AF274B" w:rsidRDefault="00AF274B">
            <w:pPr>
              <w:pStyle w:val="GlossaryTableText"/>
              <w:rPr>
                <w:snapToGrid w:val="0"/>
              </w:rPr>
            </w:pPr>
            <w:r>
              <w:rPr>
                <w:snapToGrid w:val="0"/>
              </w:rPr>
              <w:t>A system-generated list that allows a user to select one or more entries.</w:t>
            </w:r>
          </w:p>
        </w:tc>
      </w:tr>
      <w:tr w:rsidR="00AF274B" w14:paraId="69ED57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22AEE0D" w14:textId="77777777" w:rsidR="00AF274B" w:rsidRDefault="00AF274B">
            <w:pPr>
              <w:pStyle w:val="GlossaryTableText"/>
              <w:rPr>
                <w:b/>
                <w:bCs/>
              </w:rPr>
            </w:pPr>
            <w:r>
              <w:rPr>
                <w:b/>
                <w:bCs/>
              </w:rPr>
              <w:t>Pool</w:t>
            </w:r>
          </w:p>
        </w:tc>
        <w:tc>
          <w:tcPr>
            <w:tcW w:w="3327" w:type="pct"/>
            <w:tcBorders>
              <w:top w:val="nil"/>
              <w:left w:val="nil"/>
              <w:bottom w:val="nil"/>
              <w:right w:val="nil"/>
            </w:tcBorders>
          </w:tcPr>
          <w:p w14:paraId="53FB475B" w14:textId="77777777" w:rsidR="008A6FC3" w:rsidRPr="008A6FC3" w:rsidRDefault="008A6FC3" w:rsidP="008A6FC3">
            <w:pPr>
              <w:pStyle w:val="GlossaryTableText"/>
            </w:pPr>
            <w:r>
              <w:t>A blood product from many donors stored for later use.</w:t>
            </w:r>
          </w:p>
        </w:tc>
      </w:tr>
      <w:tr w:rsidR="00AF274B" w14:paraId="094B0E5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14A98F0" w14:textId="77777777" w:rsidR="00AF274B" w:rsidRDefault="00AF274B">
            <w:pPr>
              <w:pStyle w:val="GlossaryTableText"/>
              <w:rPr>
                <w:b/>
                <w:bCs/>
              </w:rPr>
            </w:pPr>
            <w:r>
              <w:rPr>
                <w:b/>
                <w:bCs/>
              </w:rPr>
              <w:lastRenderedPageBreak/>
              <w:t>Positive control</w:t>
            </w:r>
          </w:p>
        </w:tc>
        <w:tc>
          <w:tcPr>
            <w:tcW w:w="3327" w:type="pct"/>
            <w:tcBorders>
              <w:top w:val="nil"/>
              <w:left w:val="nil"/>
              <w:bottom w:val="nil"/>
              <w:right w:val="nil"/>
            </w:tcBorders>
          </w:tcPr>
          <w:p w14:paraId="35DA1564" w14:textId="77777777" w:rsidR="00AF274B" w:rsidRDefault="00AF274B">
            <w:pPr>
              <w:pStyle w:val="GlossaryTableText"/>
            </w:pPr>
            <w:r>
              <w:t xml:space="preserve">The positive control cell is known to have the antigen that the reagent antiserum type is to detect. This cell should demonstrate positive serologic reaction and, therefore, have a valid positive interpretation. </w:t>
            </w:r>
          </w:p>
          <w:p w14:paraId="0A736DE1" w14:textId="77777777" w:rsidR="00AF274B" w:rsidRDefault="00AF274B">
            <w:pPr>
              <w:pStyle w:val="GlossaryTableText"/>
            </w:pPr>
            <w:r>
              <w:t>The positive and negative control cells must demonstrate a valid positive or negative set of serologic reactions and interpretations for the test of the unit or patient to be considered valid, regardless of the row validation of the unit test itself. (See “Negative control.”)</w:t>
            </w:r>
          </w:p>
        </w:tc>
      </w:tr>
      <w:tr w:rsidR="00AF274B" w14:paraId="6A8294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F719232" w14:textId="77777777" w:rsidR="00AF274B" w:rsidRDefault="00AF274B">
            <w:pPr>
              <w:pStyle w:val="GlossaryTableText"/>
              <w:rPr>
                <w:b/>
                <w:bCs/>
              </w:rPr>
            </w:pPr>
            <w:r>
              <w:rPr>
                <w:b/>
                <w:bCs/>
              </w:rPr>
              <w:t>Potential hazard</w:t>
            </w:r>
          </w:p>
        </w:tc>
        <w:tc>
          <w:tcPr>
            <w:tcW w:w="3327" w:type="pct"/>
            <w:tcBorders>
              <w:top w:val="nil"/>
              <w:left w:val="nil"/>
              <w:bottom w:val="nil"/>
              <w:right w:val="nil"/>
            </w:tcBorders>
          </w:tcPr>
          <w:p w14:paraId="63024E4C" w14:textId="77777777" w:rsidR="00AF274B" w:rsidRDefault="00AF274B">
            <w:pPr>
              <w:pStyle w:val="GlossaryTableText"/>
            </w:pPr>
            <w:r>
              <w:t>An event that compromises the safety of the patient or blood supply.</w:t>
            </w:r>
          </w:p>
        </w:tc>
      </w:tr>
      <w:tr w:rsidR="00AF274B" w14:paraId="741776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E76736A" w14:textId="77777777" w:rsidR="00AF274B" w:rsidRDefault="00AF274B">
            <w:pPr>
              <w:pStyle w:val="GlossaryTableText"/>
              <w:rPr>
                <w:b/>
                <w:bCs/>
              </w:rPr>
            </w:pPr>
            <w:r>
              <w:rPr>
                <w:b/>
                <w:bCs/>
              </w:rPr>
              <w:t>Pre-transfusion testing</w:t>
            </w:r>
          </w:p>
        </w:tc>
        <w:tc>
          <w:tcPr>
            <w:tcW w:w="3327" w:type="pct"/>
            <w:tcBorders>
              <w:top w:val="nil"/>
              <w:left w:val="nil"/>
              <w:bottom w:val="nil"/>
              <w:right w:val="nil"/>
            </w:tcBorders>
          </w:tcPr>
          <w:p w14:paraId="1136884C" w14:textId="77777777" w:rsidR="00AF274B" w:rsidRDefault="00AF274B">
            <w:pPr>
              <w:pStyle w:val="GlossaryTableText"/>
            </w:pPr>
            <w:r>
              <w:t>A group of tests, including ABO/Rh and an antibody screen, that must be performed on a sample of blood prior to crossmatching red cells for transfusion.</w:t>
            </w:r>
          </w:p>
        </w:tc>
      </w:tr>
      <w:tr w:rsidR="00AF274B" w14:paraId="41C8BF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328AF89" w14:textId="77777777" w:rsidR="00AF274B" w:rsidRDefault="00AF274B">
            <w:pPr>
              <w:pStyle w:val="GlossaryTableText"/>
              <w:rPr>
                <w:b/>
                <w:bCs/>
              </w:rPr>
            </w:pPr>
            <w:r>
              <w:rPr>
                <w:b/>
                <w:bCs/>
              </w:rPr>
              <w:t>Product</w:t>
            </w:r>
          </w:p>
        </w:tc>
        <w:tc>
          <w:tcPr>
            <w:tcW w:w="3327" w:type="pct"/>
            <w:tcBorders>
              <w:top w:val="nil"/>
              <w:left w:val="nil"/>
              <w:bottom w:val="nil"/>
              <w:right w:val="nil"/>
            </w:tcBorders>
          </w:tcPr>
          <w:p w14:paraId="0AE301CD" w14:textId="77777777" w:rsidR="00AF274B" w:rsidRDefault="00AF274B">
            <w:pPr>
              <w:pStyle w:val="GlossaryTableText"/>
            </w:pPr>
            <w:r>
              <w:t>Components, manufacturing materials, in-process devices, finished devices, and returned devices.</w:t>
            </w:r>
          </w:p>
        </w:tc>
      </w:tr>
      <w:tr w:rsidR="00AF274B" w14:paraId="641CD7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D6A941D" w14:textId="77777777" w:rsidR="00AF274B" w:rsidRDefault="00AF274B">
            <w:pPr>
              <w:pStyle w:val="GlossaryTableText"/>
              <w:rPr>
                <w:b/>
                <w:bCs/>
              </w:rPr>
            </w:pPr>
            <w:r>
              <w:rPr>
                <w:b/>
                <w:bCs/>
              </w:rPr>
              <w:t>Product type</w:t>
            </w:r>
          </w:p>
        </w:tc>
        <w:tc>
          <w:tcPr>
            <w:tcW w:w="3327" w:type="pct"/>
            <w:tcBorders>
              <w:top w:val="nil"/>
              <w:left w:val="nil"/>
              <w:bottom w:val="nil"/>
              <w:right w:val="nil"/>
            </w:tcBorders>
          </w:tcPr>
          <w:p w14:paraId="0CC10656" w14:textId="77777777" w:rsidR="00AF274B" w:rsidRDefault="00AF274B">
            <w:pPr>
              <w:pStyle w:val="GlossaryTableText"/>
            </w:pPr>
            <w:r>
              <w:t>See “Component class.”</w:t>
            </w:r>
          </w:p>
        </w:tc>
      </w:tr>
      <w:tr w:rsidR="00542729" w14:paraId="2CD144A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170F8F6" w14:textId="77777777" w:rsidR="00542729" w:rsidRDefault="00542729">
            <w:pPr>
              <w:pStyle w:val="GlossaryTableText"/>
              <w:rPr>
                <w:b/>
                <w:bCs/>
              </w:rPr>
            </w:pPr>
            <w:r>
              <w:rPr>
                <w:b/>
                <w:bCs/>
              </w:rPr>
              <w:t>Presumed transfused</w:t>
            </w:r>
          </w:p>
        </w:tc>
        <w:tc>
          <w:tcPr>
            <w:tcW w:w="3327" w:type="pct"/>
            <w:tcBorders>
              <w:top w:val="nil"/>
              <w:left w:val="nil"/>
              <w:bottom w:val="nil"/>
              <w:right w:val="nil"/>
            </w:tcBorders>
          </w:tcPr>
          <w:p w14:paraId="260BC6AB" w14:textId="77777777" w:rsidR="00542729" w:rsidRDefault="00542729">
            <w:pPr>
              <w:pStyle w:val="GlossaryTableText"/>
            </w:pPr>
            <w:r>
              <w:t>Unit status that VBECS assigns 48 hours after issue of a bl</w:t>
            </w:r>
            <w:r w:rsidR="006B7AA9">
              <w:t>ood product.</w:t>
            </w:r>
          </w:p>
        </w:tc>
      </w:tr>
      <w:tr w:rsidR="00AF274B" w14:paraId="75D6E4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34436F3" w14:textId="77777777" w:rsidR="00AF274B" w:rsidRDefault="00AF274B">
            <w:pPr>
              <w:pStyle w:val="GlossaryTableText"/>
              <w:rPr>
                <w:b/>
                <w:bCs/>
              </w:rPr>
            </w:pPr>
            <w:r>
              <w:rPr>
                <w:b/>
                <w:bCs/>
              </w:rPr>
              <w:t>QC</w:t>
            </w:r>
          </w:p>
        </w:tc>
        <w:tc>
          <w:tcPr>
            <w:tcW w:w="3327" w:type="pct"/>
            <w:tcBorders>
              <w:top w:val="nil"/>
              <w:left w:val="nil"/>
              <w:bottom w:val="nil"/>
              <w:right w:val="nil"/>
            </w:tcBorders>
          </w:tcPr>
          <w:p w14:paraId="1AFCF886" w14:textId="77777777" w:rsidR="00AF274B" w:rsidRDefault="00AF274B">
            <w:pPr>
              <w:pStyle w:val="GlossaryTableText"/>
            </w:pPr>
            <w:r>
              <w:t xml:space="preserve">Quality control. Testing routinely performed to ensure the proper functioning of materials, equipment, and methods. </w:t>
            </w:r>
          </w:p>
        </w:tc>
      </w:tr>
      <w:tr w:rsidR="00AF274B" w14:paraId="4EFCE6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FF7A97A" w14:textId="77777777" w:rsidR="00AF274B" w:rsidRDefault="00AF274B">
            <w:pPr>
              <w:pStyle w:val="GlossaryTableText"/>
              <w:rPr>
                <w:b/>
                <w:bCs/>
              </w:rPr>
            </w:pPr>
            <w:r>
              <w:rPr>
                <w:b/>
                <w:bCs/>
              </w:rPr>
              <w:t>Quality</w:t>
            </w:r>
          </w:p>
        </w:tc>
        <w:tc>
          <w:tcPr>
            <w:tcW w:w="3327" w:type="pct"/>
            <w:tcBorders>
              <w:top w:val="nil"/>
              <w:left w:val="nil"/>
              <w:bottom w:val="nil"/>
              <w:right w:val="nil"/>
            </w:tcBorders>
          </w:tcPr>
          <w:p w14:paraId="6B2D96BE" w14:textId="77777777" w:rsidR="00AF274B" w:rsidRDefault="00AF274B">
            <w:pPr>
              <w:pStyle w:val="GlossaryTableText"/>
            </w:pPr>
            <w:r>
              <w:t>The totality of features and characteristics that affect the ability of a device to satisfy fitness-for-use, including safety and performance.</w:t>
            </w:r>
          </w:p>
        </w:tc>
      </w:tr>
      <w:tr w:rsidR="00AF274B" w14:paraId="02BCF6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729FA79" w14:textId="77777777" w:rsidR="00AF274B" w:rsidRDefault="00AF274B">
            <w:pPr>
              <w:pStyle w:val="GlossaryTableText"/>
              <w:rPr>
                <w:b/>
                <w:bCs/>
              </w:rPr>
            </w:pPr>
            <w:r>
              <w:rPr>
                <w:b/>
                <w:bCs/>
              </w:rPr>
              <w:t>Reagent rack (also “rack”)</w:t>
            </w:r>
          </w:p>
        </w:tc>
        <w:tc>
          <w:tcPr>
            <w:tcW w:w="3327" w:type="pct"/>
            <w:tcBorders>
              <w:top w:val="nil"/>
              <w:left w:val="nil"/>
              <w:bottom w:val="nil"/>
              <w:right w:val="nil"/>
            </w:tcBorders>
          </w:tcPr>
          <w:p w14:paraId="007AD152" w14:textId="77777777" w:rsidR="00AF274B" w:rsidRDefault="00AF274B">
            <w:pPr>
              <w:pStyle w:val="GlossaryTableText"/>
            </w:pPr>
            <w:r>
              <w:t>A group of reagents used in routine blood bank testing.</w:t>
            </w:r>
          </w:p>
        </w:tc>
      </w:tr>
      <w:tr w:rsidR="00AF274B" w14:paraId="662415B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6512EE9" w14:textId="77777777" w:rsidR="00AF274B" w:rsidRDefault="00AF274B">
            <w:pPr>
              <w:pStyle w:val="GlossaryTableText"/>
              <w:rPr>
                <w:b/>
                <w:bCs/>
              </w:rPr>
            </w:pPr>
            <w:r>
              <w:rPr>
                <w:b/>
                <w:bCs/>
              </w:rPr>
              <w:t>Reagent red blood cells</w:t>
            </w:r>
          </w:p>
        </w:tc>
        <w:tc>
          <w:tcPr>
            <w:tcW w:w="3327" w:type="pct"/>
            <w:tcBorders>
              <w:top w:val="nil"/>
              <w:left w:val="nil"/>
              <w:bottom w:val="nil"/>
              <w:right w:val="nil"/>
            </w:tcBorders>
          </w:tcPr>
          <w:p w14:paraId="1381659E" w14:textId="77777777" w:rsidR="00AF274B" w:rsidRDefault="00AF274B">
            <w:pPr>
              <w:pStyle w:val="GlossaryTableText"/>
            </w:pPr>
            <w:r>
              <w:t>Non-patient testing materials, usually from a commercial source.</w:t>
            </w:r>
          </w:p>
        </w:tc>
      </w:tr>
      <w:tr w:rsidR="00AF274B" w14:paraId="285147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1629964" w14:textId="77777777" w:rsidR="00AF274B" w:rsidRDefault="00AF274B">
            <w:pPr>
              <w:pStyle w:val="GlossaryTableText"/>
              <w:rPr>
                <w:b/>
                <w:bCs/>
              </w:rPr>
            </w:pPr>
            <w:r>
              <w:rPr>
                <w:b/>
                <w:bCs/>
              </w:rPr>
              <w:t>Reflex order</w:t>
            </w:r>
          </w:p>
        </w:tc>
        <w:tc>
          <w:tcPr>
            <w:tcW w:w="3327" w:type="pct"/>
            <w:tcBorders>
              <w:top w:val="nil"/>
              <w:left w:val="nil"/>
              <w:bottom w:val="nil"/>
              <w:right w:val="nil"/>
            </w:tcBorders>
          </w:tcPr>
          <w:p w14:paraId="0EA34315" w14:textId="77777777" w:rsidR="00AF274B" w:rsidRDefault="00AF274B">
            <w:pPr>
              <w:pStyle w:val="GlossaryTableText"/>
            </w:pPr>
            <w:r>
              <w:t>An order for additional testing to be performed resulting from observations of previous testing.</w:t>
            </w:r>
          </w:p>
        </w:tc>
      </w:tr>
      <w:tr w:rsidR="00AF274B" w14:paraId="7C9B036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1302521" w14:textId="77777777" w:rsidR="00AF274B" w:rsidRDefault="00AF274B">
            <w:pPr>
              <w:pStyle w:val="GlossaryTableText"/>
              <w:rPr>
                <w:b/>
                <w:bCs/>
              </w:rPr>
            </w:pPr>
            <w:r>
              <w:rPr>
                <w:b/>
                <w:bCs/>
              </w:rPr>
              <w:t>Reflex test</w:t>
            </w:r>
          </w:p>
        </w:tc>
        <w:tc>
          <w:tcPr>
            <w:tcW w:w="3327" w:type="pct"/>
            <w:tcBorders>
              <w:top w:val="nil"/>
              <w:left w:val="nil"/>
              <w:bottom w:val="nil"/>
              <w:right w:val="nil"/>
            </w:tcBorders>
          </w:tcPr>
          <w:p w14:paraId="3F0D4EF6" w14:textId="77777777" w:rsidR="00AF274B" w:rsidRDefault="00AF274B">
            <w:pPr>
              <w:pStyle w:val="GlossaryTableText"/>
            </w:pPr>
            <w:r>
              <w:t>A laboratory test not ordered by a physician but performed in response to results of other laboratory tests.</w:t>
            </w:r>
          </w:p>
        </w:tc>
      </w:tr>
      <w:tr w:rsidR="00AF274B" w14:paraId="162ABA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1DDECDE" w14:textId="77777777" w:rsidR="00AF274B" w:rsidRDefault="00AF274B">
            <w:pPr>
              <w:pStyle w:val="GlossaryTableText"/>
              <w:rPr>
                <w:b/>
                <w:bCs/>
              </w:rPr>
            </w:pPr>
            <w:r>
              <w:rPr>
                <w:b/>
                <w:bCs/>
                <w:snapToGrid w:val="0"/>
              </w:rPr>
              <w:t>Rh (also “Rh factor”)</w:t>
            </w:r>
          </w:p>
        </w:tc>
        <w:tc>
          <w:tcPr>
            <w:tcW w:w="3327" w:type="pct"/>
            <w:tcBorders>
              <w:top w:val="nil"/>
              <w:left w:val="nil"/>
              <w:bottom w:val="nil"/>
              <w:right w:val="nil"/>
            </w:tcBorders>
          </w:tcPr>
          <w:p w14:paraId="19D4DCE3" w14:textId="77777777" w:rsidR="00AF274B" w:rsidRDefault="00AF274B">
            <w:pPr>
              <w:pStyle w:val="GlossaryTableText"/>
              <w:rPr>
                <w:snapToGrid w:val="0"/>
              </w:rPr>
            </w:pPr>
            <w:r>
              <w:rPr>
                <w:snapToGrid w:val="0"/>
              </w:rPr>
              <w:t xml:space="preserve">Rhesus factor. </w:t>
            </w:r>
            <w:r>
              <w:t>The major antigen of the Rh system. Also “D.”</w:t>
            </w:r>
            <w:r>
              <w:rPr>
                <w:i/>
              </w:rPr>
              <w:t xml:space="preserve"> The presence of this antigen on red blood cells determines if a patient or donor is Rh Pos or Rh Neg. A weak expression of the D antigen, referred to as “Du” or “weak D,” may require additional testing to determine its presence.</w:t>
            </w:r>
          </w:p>
        </w:tc>
      </w:tr>
      <w:tr w:rsidR="00AF274B" w14:paraId="753DE5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0529E86" w14:textId="77777777" w:rsidR="00AF274B" w:rsidRDefault="00AF274B">
            <w:pPr>
              <w:pStyle w:val="GlossaryTableText"/>
              <w:rPr>
                <w:b/>
                <w:bCs/>
              </w:rPr>
            </w:pPr>
            <w:r>
              <w:rPr>
                <w:b/>
                <w:bCs/>
                <w:snapToGrid w:val="0"/>
              </w:rPr>
              <w:t>SCD</w:t>
            </w:r>
          </w:p>
        </w:tc>
        <w:tc>
          <w:tcPr>
            <w:tcW w:w="3327" w:type="pct"/>
            <w:tcBorders>
              <w:top w:val="nil"/>
              <w:left w:val="nil"/>
              <w:bottom w:val="nil"/>
              <w:right w:val="nil"/>
            </w:tcBorders>
          </w:tcPr>
          <w:p w14:paraId="7C982E87" w14:textId="77777777" w:rsidR="00AF274B" w:rsidRDefault="00AF274B">
            <w:pPr>
              <w:pStyle w:val="GlossaryTableText"/>
              <w:rPr>
                <w:snapToGrid w:val="0"/>
              </w:rPr>
            </w:pPr>
            <w:r>
              <w:rPr>
                <w:snapToGrid w:val="0"/>
              </w:rPr>
              <w:t>Sterile connection device.</w:t>
            </w:r>
          </w:p>
        </w:tc>
      </w:tr>
      <w:tr w:rsidR="00AF274B" w14:paraId="7060FEF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74137D2" w14:textId="77777777" w:rsidR="00AF274B" w:rsidRDefault="00AF274B">
            <w:pPr>
              <w:pStyle w:val="GlossaryTableText"/>
              <w:rPr>
                <w:b/>
                <w:bCs/>
                <w:snapToGrid w:val="0"/>
              </w:rPr>
            </w:pPr>
            <w:r>
              <w:rPr>
                <w:b/>
                <w:bCs/>
                <w:snapToGrid w:val="0"/>
              </w:rPr>
              <w:t>Screening cell (SC)</w:t>
            </w:r>
          </w:p>
          <w:p w14:paraId="629C7231" w14:textId="68D18599" w:rsidR="0022026D" w:rsidRPr="0022026D" w:rsidRDefault="0022026D" w:rsidP="0022026D">
            <w:pPr>
              <w:pStyle w:val="TableText"/>
              <w:rPr>
                <w:b/>
                <w:sz w:val="20"/>
                <w:szCs w:val="20"/>
              </w:rPr>
            </w:pPr>
            <w:r w:rsidRPr="0022026D">
              <w:rPr>
                <w:b/>
                <w:sz w:val="20"/>
                <w:szCs w:val="20"/>
              </w:rPr>
              <w:t>SD</w:t>
            </w:r>
          </w:p>
        </w:tc>
        <w:tc>
          <w:tcPr>
            <w:tcW w:w="3327" w:type="pct"/>
            <w:tcBorders>
              <w:top w:val="nil"/>
              <w:left w:val="nil"/>
              <w:bottom w:val="nil"/>
              <w:right w:val="nil"/>
            </w:tcBorders>
          </w:tcPr>
          <w:p w14:paraId="247FA565" w14:textId="77777777" w:rsidR="00AF274B" w:rsidRDefault="00AF274B">
            <w:pPr>
              <w:pStyle w:val="GlossaryTableText"/>
              <w:rPr>
                <w:snapToGrid w:val="0"/>
              </w:rPr>
            </w:pPr>
            <w:r>
              <w:rPr>
                <w:snapToGrid w:val="0"/>
              </w:rPr>
              <w:t>Antigenically defined cells used to detect alloantibodies.</w:t>
            </w:r>
          </w:p>
          <w:p w14:paraId="26D5BA83" w14:textId="3CE79ADE" w:rsidR="0022026D" w:rsidRPr="0022026D" w:rsidRDefault="0022026D" w:rsidP="0022026D">
            <w:pPr>
              <w:pStyle w:val="TableText"/>
              <w:rPr>
                <w:sz w:val="20"/>
                <w:szCs w:val="20"/>
              </w:rPr>
            </w:pPr>
            <w:r w:rsidRPr="0022026D">
              <w:rPr>
                <w:sz w:val="20"/>
                <w:szCs w:val="20"/>
              </w:rPr>
              <w:t>Service Desk (formerly National Help Desk).</w:t>
            </w:r>
          </w:p>
        </w:tc>
      </w:tr>
      <w:tr w:rsidR="00AF274B" w14:paraId="17B4D7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4223F97" w14:textId="77777777" w:rsidR="00AF274B" w:rsidRDefault="00AF274B">
            <w:pPr>
              <w:pStyle w:val="GlossaryTableText"/>
              <w:rPr>
                <w:b/>
                <w:bCs/>
              </w:rPr>
            </w:pPr>
            <w:r>
              <w:rPr>
                <w:b/>
                <w:bCs/>
              </w:rPr>
              <w:t>Selected</w:t>
            </w:r>
          </w:p>
        </w:tc>
        <w:tc>
          <w:tcPr>
            <w:tcW w:w="3327" w:type="pct"/>
            <w:tcBorders>
              <w:top w:val="nil"/>
              <w:left w:val="nil"/>
              <w:bottom w:val="nil"/>
              <w:right w:val="nil"/>
            </w:tcBorders>
          </w:tcPr>
          <w:p w14:paraId="40EE796B" w14:textId="77777777" w:rsidR="00AF274B" w:rsidRDefault="00AF274B">
            <w:pPr>
              <w:pStyle w:val="GlossaryTableText"/>
            </w:pPr>
            <w:r>
              <w:t xml:space="preserve">Status of a unit of red cells when the blood bank technician selects it from available inventory to be crossmatched with a patient specimen. </w:t>
            </w:r>
            <w:r>
              <w:rPr>
                <w:i/>
              </w:rPr>
              <w:t>A unit in “selected” state is not available to be issued for transfusion. By entering a crossmatch result of “compatible,” the state changes from “selected” to “assigned.”</w:t>
            </w:r>
          </w:p>
        </w:tc>
      </w:tr>
      <w:tr w:rsidR="00AF274B" w14:paraId="5E58B18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FBB932E" w14:textId="77777777" w:rsidR="00AF274B" w:rsidRDefault="00AF274B">
            <w:pPr>
              <w:pStyle w:val="GlossaryTableText"/>
              <w:rPr>
                <w:b/>
                <w:bCs/>
              </w:rPr>
            </w:pPr>
            <w:r>
              <w:rPr>
                <w:b/>
                <w:bCs/>
                <w:snapToGrid w:val="0"/>
              </w:rPr>
              <w:t>Serologic crossmatch</w:t>
            </w:r>
          </w:p>
        </w:tc>
        <w:tc>
          <w:tcPr>
            <w:tcW w:w="3327" w:type="pct"/>
            <w:tcBorders>
              <w:top w:val="nil"/>
              <w:left w:val="nil"/>
              <w:bottom w:val="nil"/>
              <w:right w:val="nil"/>
            </w:tcBorders>
          </w:tcPr>
          <w:p w14:paraId="2A0A0B1A" w14:textId="77777777" w:rsidR="00AF274B" w:rsidRDefault="00AF274B">
            <w:pPr>
              <w:pStyle w:val="GlossaryTableText"/>
              <w:rPr>
                <w:b/>
              </w:rPr>
            </w:pPr>
            <w:r>
              <w:rPr>
                <w:snapToGrid w:val="0"/>
              </w:rPr>
              <w:t>Performance of a laboratory test to predict post-transfusion survival of transfused blood.</w:t>
            </w:r>
          </w:p>
        </w:tc>
      </w:tr>
      <w:tr w:rsidR="00AF274B" w14:paraId="140FB88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BA01E2E" w14:textId="77777777" w:rsidR="00AF274B" w:rsidRDefault="00AF274B">
            <w:pPr>
              <w:pStyle w:val="GlossaryTableText"/>
              <w:rPr>
                <w:b/>
                <w:bCs/>
              </w:rPr>
            </w:pPr>
            <w:r>
              <w:rPr>
                <w:b/>
                <w:bCs/>
              </w:rPr>
              <w:t>Serum</w:t>
            </w:r>
          </w:p>
        </w:tc>
        <w:tc>
          <w:tcPr>
            <w:tcW w:w="3327" w:type="pct"/>
            <w:tcBorders>
              <w:top w:val="nil"/>
              <w:left w:val="nil"/>
              <w:bottom w:val="nil"/>
              <w:right w:val="nil"/>
            </w:tcBorders>
          </w:tcPr>
          <w:p w14:paraId="18B287C8" w14:textId="77777777" w:rsidR="00AF274B" w:rsidRDefault="00AF274B">
            <w:pPr>
              <w:pStyle w:val="GlossaryTableText"/>
            </w:pPr>
            <w:r>
              <w:t>The liquid portion of blood used to detect antibodies.</w:t>
            </w:r>
          </w:p>
        </w:tc>
      </w:tr>
      <w:tr w:rsidR="00AF274B" w14:paraId="493E53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A280291" w14:textId="77777777" w:rsidR="00AF274B" w:rsidRDefault="00AF274B">
            <w:pPr>
              <w:pStyle w:val="GlossaryTableText"/>
              <w:rPr>
                <w:b/>
                <w:bCs/>
              </w:rPr>
            </w:pPr>
            <w:r>
              <w:rPr>
                <w:b/>
                <w:bCs/>
              </w:rPr>
              <w:lastRenderedPageBreak/>
              <w:t>Server</w:t>
            </w:r>
          </w:p>
        </w:tc>
        <w:tc>
          <w:tcPr>
            <w:tcW w:w="3327" w:type="pct"/>
            <w:tcBorders>
              <w:top w:val="nil"/>
              <w:left w:val="nil"/>
              <w:bottom w:val="nil"/>
              <w:right w:val="nil"/>
            </w:tcBorders>
          </w:tcPr>
          <w:p w14:paraId="2BF74C7E" w14:textId="77777777" w:rsidR="00AF274B" w:rsidRDefault="00AF274B">
            <w:pPr>
              <w:pStyle w:val="GlossaryTableText"/>
            </w:pPr>
            <w:r>
              <w:t>A computer system in a network shared by multiple users.</w:t>
            </w:r>
          </w:p>
        </w:tc>
      </w:tr>
      <w:tr w:rsidR="00AF274B" w14:paraId="455BCD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7077B77" w14:textId="77777777" w:rsidR="00AF274B" w:rsidRDefault="00AF274B">
            <w:pPr>
              <w:pStyle w:val="GlossaryTableText"/>
              <w:rPr>
                <w:b/>
                <w:bCs/>
              </w:rPr>
            </w:pPr>
            <w:r>
              <w:rPr>
                <w:b/>
                <w:bCs/>
              </w:rPr>
              <w:t>SF 518 equivalent</w:t>
            </w:r>
          </w:p>
        </w:tc>
        <w:tc>
          <w:tcPr>
            <w:tcW w:w="3327" w:type="pct"/>
            <w:tcBorders>
              <w:top w:val="nil"/>
              <w:left w:val="nil"/>
              <w:bottom w:val="nil"/>
              <w:right w:val="nil"/>
            </w:tcBorders>
          </w:tcPr>
          <w:p w14:paraId="75186EB3" w14:textId="77777777" w:rsidR="00AF274B" w:rsidRDefault="00AF274B">
            <w:pPr>
              <w:pStyle w:val="GlossaryTableText"/>
            </w:pPr>
            <w:r>
              <w:t>See “Blood Transfusion Reaction Form.”</w:t>
            </w:r>
          </w:p>
        </w:tc>
      </w:tr>
      <w:tr w:rsidR="00AF274B" w14:paraId="335FD76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DEA66AD" w14:textId="77777777" w:rsidR="00AF274B" w:rsidRDefault="00AF274B">
            <w:pPr>
              <w:pStyle w:val="GlossaryTableText"/>
              <w:rPr>
                <w:b/>
                <w:bCs/>
              </w:rPr>
            </w:pPr>
            <w:r>
              <w:rPr>
                <w:b/>
                <w:bCs/>
              </w:rPr>
              <w:t>Site (see also “Facility”)</w:t>
            </w:r>
          </w:p>
        </w:tc>
        <w:tc>
          <w:tcPr>
            <w:tcW w:w="3327" w:type="pct"/>
            <w:tcBorders>
              <w:top w:val="nil"/>
              <w:left w:val="nil"/>
              <w:bottom w:val="nil"/>
              <w:right w:val="nil"/>
            </w:tcBorders>
          </w:tcPr>
          <w:p w14:paraId="5471F8BA" w14:textId="77777777" w:rsidR="00AF274B" w:rsidRDefault="00AF274B">
            <w:pPr>
              <w:pStyle w:val="GlossaryTableText"/>
            </w:pPr>
            <w:r>
              <w:t>A blood bank laboratory where a blood unit is located.</w:t>
            </w:r>
          </w:p>
        </w:tc>
      </w:tr>
      <w:tr w:rsidR="001A1559" w14:paraId="400A6A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ED77077" w14:textId="77777777" w:rsidR="001A1559" w:rsidRDefault="001A1559">
            <w:pPr>
              <w:pStyle w:val="GlossaryTableText"/>
              <w:rPr>
                <w:b/>
                <w:bCs/>
              </w:rPr>
            </w:pPr>
            <w:r>
              <w:rPr>
                <w:b/>
                <w:bCs/>
              </w:rPr>
              <w:t>SME</w:t>
            </w:r>
          </w:p>
        </w:tc>
        <w:tc>
          <w:tcPr>
            <w:tcW w:w="3327" w:type="pct"/>
            <w:tcBorders>
              <w:top w:val="nil"/>
              <w:left w:val="nil"/>
              <w:bottom w:val="nil"/>
              <w:right w:val="nil"/>
            </w:tcBorders>
          </w:tcPr>
          <w:p w14:paraId="2A029492" w14:textId="77777777" w:rsidR="001A1559" w:rsidRDefault="001A1559">
            <w:pPr>
              <w:pStyle w:val="GlossaryTableText"/>
            </w:pPr>
            <w:r>
              <w:t>Subject matter expert.</w:t>
            </w:r>
          </w:p>
        </w:tc>
      </w:tr>
      <w:tr w:rsidR="00AF274B" w14:paraId="7BA928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AB5B1CF" w14:textId="77777777" w:rsidR="00AF274B" w:rsidRDefault="00AF274B">
            <w:pPr>
              <w:pStyle w:val="GlossaryTableText"/>
              <w:rPr>
                <w:b/>
                <w:bCs/>
              </w:rPr>
            </w:pPr>
            <w:r>
              <w:rPr>
                <w:b/>
                <w:bCs/>
              </w:rPr>
              <w:t>Software</w:t>
            </w:r>
          </w:p>
        </w:tc>
        <w:tc>
          <w:tcPr>
            <w:tcW w:w="3327" w:type="pct"/>
            <w:tcBorders>
              <w:top w:val="nil"/>
              <w:left w:val="nil"/>
              <w:bottom w:val="nil"/>
              <w:right w:val="nil"/>
            </w:tcBorders>
          </w:tcPr>
          <w:p w14:paraId="5773419E" w14:textId="77777777" w:rsidR="00AF274B" w:rsidRDefault="00AF274B">
            <w:pPr>
              <w:pStyle w:val="GlossaryTableText"/>
              <w:rPr>
                <w:b/>
              </w:rPr>
            </w:pPr>
            <w:r>
              <w:t>Computer programs and associated documentation pertaining to the operation of a system.</w:t>
            </w:r>
          </w:p>
        </w:tc>
      </w:tr>
      <w:tr w:rsidR="00AF274B" w14:paraId="4748730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372A33D" w14:textId="77777777" w:rsidR="00AF274B" w:rsidRDefault="00AF274B">
            <w:pPr>
              <w:pStyle w:val="GlossaryTableText"/>
              <w:rPr>
                <w:b/>
                <w:bCs/>
              </w:rPr>
            </w:pPr>
            <w:r>
              <w:rPr>
                <w:b/>
                <w:bCs/>
                <w:snapToGrid w:val="0"/>
              </w:rPr>
              <w:t>Special Instructions (SIs)</w:t>
            </w:r>
          </w:p>
        </w:tc>
        <w:tc>
          <w:tcPr>
            <w:tcW w:w="3327" w:type="pct"/>
            <w:tcBorders>
              <w:top w:val="nil"/>
              <w:left w:val="nil"/>
              <w:bottom w:val="nil"/>
              <w:right w:val="nil"/>
            </w:tcBorders>
          </w:tcPr>
          <w:p w14:paraId="7FED2243" w14:textId="77777777" w:rsidR="00AF274B" w:rsidRDefault="00AF274B">
            <w:pPr>
              <w:pStyle w:val="GlossaryTableText"/>
              <w:rPr>
                <w:snapToGrid w:val="0"/>
              </w:rPr>
            </w:pPr>
            <w:r>
              <w:rPr>
                <w:snapToGrid w:val="0"/>
              </w:rPr>
              <w:t>Free-text or canned comments entered by the Blood Bank Technologist to communicate problems, restrictions, and considerations not otherwise documented in a patient’s record.</w:t>
            </w:r>
          </w:p>
        </w:tc>
      </w:tr>
      <w:tr w:rsidR="00AF274B" w14:paraId="283D417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170C135" w14:textId="77777777" w:rsidR="00AF274B" w:rsidRDefault="00AF274B">
            <w:pPr>
              <w:pStyle w:val="GlossaryTableText"/>
              <w:rPr>
                <w:b/>
                <w:bCs/>
              </w:rPr>
            </w:pPr>
            <w:r>
              <w:rPr>
                <w:b/>
                <w:bCs/>
              </w:rPr>
              <w:t>Status</w:t>
            </w:r>
          </w:p>
        </w:tc>
        <w:tc>
          <w:tcPr>
            <w:tcW w:w="3327" w:type="pct"/>
            <w:tcBorders>
              <w:top w:val="nil"/>
              <w:left w:val="nil"/>
              <w:bottom w:val="nil"/>
              <w:right w:val="nil"/>
            </w:tcBorders>
          </w:tcPr>
          <w:p w14:paraId="1DB0F1E9" w14:textId="77777777" w:rsidR="00AF274B" w:rsidRDefault="00AF274B">
            <w:pPr>
              <w:pStyle w:val="GlossaryTableText"/>
            </w:pPr>
            <w:r>
              <w:t>The disposition of a unit of blood.</w:t>
            </w:r>
          </w:p>
        </w:tc>
      </w:tr>
      <w:tr w:rsidR="00AF274B" w14:paraId="3E71A7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104AF65" w14:textId="77777777" w:rsidR="00AF274B" w:rsidRDefault="00AF274B">
            <w:pPr>
              <w:pStyle w:val="GlossaryTableText"/>
              <w:rPr>
                <w:b/>
                <w:bCs/>
              </w:rPr>
            </w:pPr>
            <w:r>
              <w:rPr>
                <w:b/>
                <w:bCs/>
                <w:snapToGrid w:val="0"/>
              </w:rPr>
              <w:t>Sterile connection device</w:t>
            </w:r>
          </w:p>
        </w:tc>
        <w:tc>
          <w:tcPr>
            <w:tcW w:w="3327" w:type="pct"/>
            <w:tcBorders>
              <w:top w:val="nil"/>
              <w:left w:val="nil"/>
              <w:bottom w:val="nil"/>
              <w:right w:val="nil"/>
            </w:tcBorders>
          </w:tcPr>
          <w:p w14:paraId="3BC98EA2" w14:textId="77777777" w:rsidR="00AF274B" w:rsidRDefault="00AF274B">
            <w:pPr>
              <w:pStyle w:val="GlossaryTableText"/>
              <w:rPr>
                <w:snapToGrid w:val="0"/>
              </w:rPr>
            </w:pPr>
            <w:r>
              <w:rPr>
                <w:snapToGrid w:val="0"/>
              </w:rPr>
              <w:t>An instrument that connects two plastic tubes while maintaining sterility.</w:t>
            </w:r>
          </w:p>
        </w:tc>
      </w:tr>
      <w:tr w:rsidR="009A6A1E" w14:paraId="2E181C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938AFF8" w14:textId="77777777" w:rsidR="009A6A1E" w:rsidRDefault="009A6A1E">
            <w:pPr>
              <w:pStyle w:val="GlossaryTableText"/>
              <w:rPr>
                <w:b/>
                <w:bCs/>
                <w:snapToGrid w:val="0"/>
              </w:rPr>
            </w:pPr>
            <w:r>
              <w:rPr>
                <w:b/>
                <w:bCs/>
                <w:snapToGrid w:val="0"/>
              </w:rPr>
              <w:t>SSRS</w:t>
            </w:r>
          </w:p>
        </w:tc>
        <w:tc>
          <w:tcPr>
            <w:tcW w:w="3327" w:type="pct"/>
            <w:tcBorders>
              <w:top w:val="nil"/>
              <w:left w:val="nil"/>
              <w:bottom w:val="nil"/>
              <w:right w:val="nil"/>
            </w:tcBorders>
          </w:tcPr>
          <w:p w14:paraId="7EC386D2" w14:textId="77777777" w:rsidR="009A6A1E" w:rsidRDefault="009A6A1E">
            <w:pPr>
              <w:pStyle w:val="GlossaryTableText"/>
              <w:rPr>
                <w:snapToGrid w:val="0"/>
              </w:rPr>
            </w:pPr>
            <w:r>
              <w:rPr>
                <w:snapToGrid w:val="0"/>
              </w:rPr>
              <w:t>SQL Server Reporting Services.</w:t>
            </w:r>
          </w:p>
        </w:tc>
      </w:tr>
      <w:tr w:rsidR="00AF274B" w14:paraId="6A4E3A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E02931B" w14:textId="77777777" w:rsidR="00AF274B" w:rsidRDefault="00AF274B">
            <w:pPr>
              <w:pStyle w:val="GlossaryTableText"/>
              <w:rPr>
                <w:b/>
                <w:bCs/>
                <w:snapToGrid w:val="0"/>
              </w:rPr>
            </w:pPr>
            <w:r>
              <w:rPr>
                <w:b/>
                <w:bCs/>
                <w:snapToGrid w:val="0"/>
              </w:rPr>
              <w:t>Target unit</w:t>
            </w:r>
          </w:p>
        </w:tc>
        <w:tc>
          <w:tcPr>
            <w:tcW w:w="3327" w:type="pct"/>
            <w:tcBorders>
              <w:top w:val="nil"/>
              <w:left w:val="nil"/>
              <w:bottom w:val="nil"/>
              <w:right w:val="nil"/>
            </w:tcBorders>
          </w:tcPr>
          <w:p w14:paraId="73D26A8B" w14:textId="77777777" w:rsidR="00AF274B" w:rsidRDefault="00AF274B">
            <w:pPr>
              <w:pStyle w:val="GlossaryTableText"/>
              <w:rPr>
                <w:snapToGrid w:val="0"/>
              </w:rPr>
            </w:pPr>
            <w:r>
              <w:rPr>
                <w:snapToGrid w:val="0"/>
              </w:rPr>
              <w:t>A unit formed as a result of a pool or split.</w:t>
            </w:r>
          </w:p>
        </w:tc>
      </w:tr>
      <w:tr w:rsidR="00AF274B" w14:paraId="0D2A62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6281366" w14:textId="77777777" w:rsidR="00AF274B" w:rsidRDefault="00AF274B">
            <w:pPr>
              <w:pStyle w:val="GlossaryTableText"/>
              <w:rPr>
                <w:b/>
                <w:bCs/>
              </w:rPr>
            </w:pPr>
            <w:r>
              <w:rPr>
                <w:b/>
                <w:bCs/>
                <w:snapToGrid w:val="0"/>
              </w:rPr>
              <w:t>TAS</w:t>
            </w:r>
          </w:p>
        </w:tc>
        <w:tc>
          <w:tcPr>
            <w:tcW w:w="3327" w:type="pct"/>
            <w:tcBorders>
              <w:top w:val="nil"/>
              <w:left w:val="nil"/>
              <w:bottom w:val="nil"/>
              <w:right w:val="nil"/>
            </w:tcBorders>
          </w:tcPr>
          <w:p w14:paraId="5A7D1F66" w14:textId="77777777" w:rsidR="00AF274B" w:rsidRDefault="00AF274B">
            <w:pPr>
              <w:pStyle w:val="GlossaryTableText"/>
              <w:rPr>
                <w:snapToGrid w:val="0"/>
              </w:rPr>
            </w:pPr>
            <w:r>
              <w:rPr>
                <w:snapToGrid w:val="0"/>
              </w:rPr>
              <w:t>Type &amp; Screen.</w:t>
            </w:r>
          </w:p>
        </w:tc>
      </w:tr>
      <w:tr w:rsidR="00AF274B" w14:paraId="64D5F8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E1B194C" w14:textId="77777777" w:rsidR="00AF274B" w:rsidRDefault="00AF274B">
            <w:pPr>
              <w:pStyle w:val="GlossaryTableText"/>
              <w:rPr>
                <w:b/>
                <w:bCs/>
              </w:rPr>
            </w:pPr>
            <w:r w:rsidRPr="00741C68">
              <w:rPr>
                <w:b/>
                <w:bCs/>
                <w:snapToGrid w:val="0"/>
              </w:rPr>
              <w:t>TCP/IP</w:t>
            </w:r>
          </w:p>
        </w:tc>
        <w:tc>
          <w:tcPr>
            <w:tcW w:w="3327" w:type="pct"/>
            <w:tcBorders>
              <w:top w:val="nil"/>
              <w:left w:val="nil"/>
              <w:bottom w:val="nil"/>
              <w:right w:val="nil"/>
            </w:tcBorders>
          </w:tcPr>
          <w:p w14:paraId="60A63F44" w14:textId="77777777" w:rsidR="00AF274B" w:rsidRDefault="00AF274B">
            <w:pPr>
              <w:pStyle w:val="GlossaryTableText"/>
            </w:pPr>
            <w:r>
              <w:t>Transmission Control Protocol/Internet Protocol.</w:t>
            </w:r>
          </w:p>
        </w:tc>
      </w:tr>
      <w:tr w:rsidR="00AF274B" w14:paraId="2252852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FAD4C27" w14:textId="77777777" w:rsidR="00AF274B" w:rsidRDefault="00AF274B">
            <w:pPr>
              <w:pStyle w:val="GlossaryTableText"/>
              <w:rPr>
                <w:b/>
                <w:bCs/>
              </w:rPr>
            </w:pPr>
            <w:r>
              <w:rPr>
                <w:b/>
                <w:bCs/>
              </w:rPr>
              <w:t>Test (in general and laboratory contexts)</w:t>
            </w:r>
          </w:p>
        </w:tc>
        <w:tc>
          <w:tcPr>
            <w:tcW w:w="3327" w:type="pct"/>
            <w:tcBorders>
              <w:top w:val="nil"/>
              <w:left w:val="nil"/>
              <w:bottom w:val="nil"/>
              <w:right w:val="nil"/>
            </w:tcBorders>
          </w:tcPr>
          <w:p w14:paraId="364F7BF0" w14:textId="77777777" w:rsidR="00AF274B" w:rsidRDefault="00AF274B">
            <w:pPr>
              <w:pStyle w:val="GlossaryTableText"/>
            </w:pPr>
            <w:r>
              <w:t>A means of examination to determine a property. In the context of the VBECS database, the contents of a single grid entry (test cell).</w:t>
            </w:r>
          </w:p>
        </w:tc>
      </w:tr>
      <w:tr w:rsidR="00AF274B" w14:paraId="2FD9818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2C9D56B" w14:textId="77777777" w:rsidR="00AF274B" w:rsidRDefault="00AF274B">
            <w:pPr>
              <w:pStyle w:val="GlossaryTableText"/>
              <w:rPr>
                <w:b/>
                <w:bCs/>
              </w:rPr>
            </w:pPr>
            <w:r>
              <w:rPr>
                <w:b/>
                <w:bCs/>
              </w:rPr>
              <w:t>Test cell</w:t>
            </w:r>
          </w:p>
        </w:tc>
        <w:tc>
          <w:tcPr>
            <w:tcW w:w="3327" w:type="pct"/>
            <w:tcBorders>
              <w:top w:val="nil"/>
              <w:left w:val="nil"/>
              <w:bottom w:val="nil"/>
              <w:right w:val="nil"/>
            </w:tcBorders>
          </w:tcPr>
          <w:p w14:paraId="240D5DF0" w14:textId="77777777" w:rsidR="00AF274B" w:rsidRDefault="00AF274B">
            <w:pPr>
              <w:pStyle w:val="GlossaryTableText"/>
              <w:rPr>
                <w:b/>
              </w:rPr>
            </w:pPr>
            <w:r>
              <w:t>In the context of the VBECS database: A grid space. In a laboratory: Red cells, in a reagent vial, used in a test.</w:t>
            </w:r>
          </w:p>
        </w:tc>
      </w:tr>
      <w:tr w:rsidR="00AF274B" w14:paraId="570D43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64ADA81" w14:textId="77777777" w:rsidR="00AF274B" w:rsidRDefault="00AF274B">
            <w:pPr>
              <w:pStyle w:val="GlossaryTableText"/>
              <w:rPr>
                <w:b/>
                <w:bCs/>
              </w:rPr>
            </w:pPr>
            <w:r>
              <w:rPr>
                <w:b/>
                <w:bCs/>
              </w:rPr>
              <w:t>Testing phase</w:t>
            </w:r>
          </w:p>
        </w:tc>
        <w:tc>
          <w:tcPr>
            <w:tcW w:w="3327" w:type="pct"/>
            <w:tcBorders>
              <w:top w:val="nil"/>
              <w:left w:val="nil"/>
              <w:bottom w:val="nil"/>
              <w:right w:val="nil"/>
            </w:tcBorders>
          </w:tcPr>
          <w:p w14:paraId="40AD6520" w14:textId="77777777" w:rsidR="00AF274B" w:rsidRDefault="00AF274B">
            <w:pPr>
              <w:pStyle w:val="GlossaryTableText"/>
            </w:pPr>
            <w:r>
              <w:t>1. The portion of a laboratory test in which an interpretation is recorded. 2. The phase of the development process in which the functionality is available for testing.</w:t>
            </w:r>
          </w:p>
        </w:tc>
      </w:tr>
      <w:tr w:rsidR="00AF274B" w14:paraId="075A50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2E0C5C1" w14:textId="77777777" w:rsidR="00AF274B" w:rsidRDefault="00AF274B">
            <w:pPr>
              <w:pStyle w:val="GlossaryTableText"/>
              <w:rPr>
                <w:b/>
                <w:bCs/>
              </w:rPr>
            </w:pPr>
            <w:r>
              <w:rPr>
                <w:b/>
                <w:bCs/>
                <w:snapToGrid w:val="0"/>
              </w:rPr>
              <w:t>Transfusion Requirements (TRs)</w:t>
            </w:r>
          </w:p>
        </w:tc>
        <w:tc>
          <w:tcPr>
            <w:tcW w:w="3327" w:type="pct"/>
            <w:tcBorders>
              <w:top w:val="nil"/>
              <w:left w:val="nil"/>
              <w:bottom w:val="nil"/>
              <w:right w:val="nil"/>
            </w:tcBorders>
          </w:tcPr>
          <w:p w14:paraId="740F3B13" w14:textId="77777777" w:rsidR="00AF274B" w:rsidRDefault="00AF274B">
            <w:pPr>
              <w:pStyle w:val="GlossaryTableText"/>
              <w:rPr>
                <w:snapToGrid w:val="0"/>
              </w:rPr>
            </w:pPr>
            <w:r>
              <w:rPr>
                <w:snapToGrid w:val="0"/>
              </w:rPr>
              <w:t>Mandatory blood product attributes applied to every transfusion.</w:t>
            </w:r>
          </w:p>
        </w:tc>
      </w:tr>
      <w:tr w:rsidR="00AF274B" w14:paraId="002A56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ECC1747" w14:textId="77777777" w:rsidR="00AF274B" w:rsidRDefault="00AF274B">
            <w:pPr>
              <w:pStyle w:val="GlossaryTableText"/>
              <w:rPr>
                <w:b/>
                <w:bCs/>
              </w:rPr>
            </w:pPr>
            <w:r>
              <w:rPr>
                <w:b/>
                <w:bCs/>
              </w:rPr>
              <w:t>Truth table</w:t>
            </w:r>
          </w:p>
        </w:tc>
        <w:tc>
          <w:tcPr>
            <w:tcW w:w="3327" w:type="pct"/>
            <w:tcBorders>
              <w:top w:val="nil"/>
              <w:left w:val="nil"/>
              <w:bottom w:val="nil"/>
              <w:right w:val="nil"/>
            </w:tcBorders>
          </w:tcPr>
          <w:p w14:paraId="66A5C2AD" w14:textId="77777777" w:rsidR="00AF274B" w:rsidRDefault="00AF274B">
            <w:pPr>
              <w:pStyle w:val="GlossaryTableText"/>
            </w:pPr>
            <w:r>
              <w:t>A table, specific to a test or action, listing all possible combinations of user inputs and the corresponding acceptable results and/or interpretations. It allows the system to verify user input based on established parameters.</w:t>
            </w:r>
          </w:p>
        </w:tc>
      </w:tr>
      <w:tr w:rsidR="00AF274B" w14:paraId="270CE8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3420C1A" w14:textId="77777777" w:rsidR="00AF274B" w:rsidRDefault="00AF274B">
            <w:pPr>
              <w:pStyle w:val="GlossaryTableText"/>
              <w:rPr>
                <w:b/>
                <w:bCs/>
              </w:rPr>
            </w:pPr>
            <w:r>
              <w:rPr>
                <w:b/>
                <w:bCs/>
              </w:rPr>
              <w:t>TRW</w:t>
            </w:r>
          </w:p>
        </w:tc>
        <w:tc>
          <w:tcPr>
            <w:tcW w:w="3327" w:type="pct"/>
            <w:tcBorders>
              <w:top w:val="nil"/>
              <w:left w:val="nil"/>
              <w:bottom w:val="nil"/>
              <w:right w:val="nil"/>
            </w:tcBorders>
          </w:tcPr>
          <w:p w14:paraId="47D73B5B" w14:textId="77777777" w:rsidR="00AF274B" w:rsidRDefault="00AF274B">
            <w:pPr>
              <w:pStyle w:val="GlossaryTableText"/>
            </w:pPr>
            <w:r>
              <w:t>Transfusion reaction workup.</w:t>
            </w:r>
          </w:p>
        </w:tc>
      </w:tr>
      <w:tr w:rsidR="00AF274B" w14:paraId="49FC7D5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538AE6F" w14:textId="77777777" w:rsidR="00AF274B" w:rsidRDefault="00AF274B">
            <w:pPr>
              <w:pStyle w:val="GlossaryTableText"/>
              <w:rPr>
                <w:b/>
                <w:bCs/>
              </w:rPr>
            </w:pPr>
            <w:r>
              <w:rPr>
                <w:b/>
                <w:bCs/>
              </w:rPr>
              <w:t>UID</w:t>
            </w:r>
          </w:p>
        </w:tc>
        <w:tc>
          <w:tcPr>
            <w:tcW w:w="3327" w:type="pct"/>
            <w:tcBorders>
              <w:top w:val="nil"/>
              <w:left w:val="nil"/>
              <w:bottom w:val="nil"/>
              <w:right w:val="nil"/>
            </w:tcBorders>
          </w:tcPr>
          <w:p w14:paraId="5A88B7B5" w14:textId="77777777" w:rsidR="00AF274B" w:rsidRDefault="00AF274B">
            <w:pPr>
              <w:pStyle w:val="GlossaryTableText"/>
              <w:rPr>
                <w:i/>
              </w:rPr>
            </w:pPr>
            <w:r>
              <w:t xml:space="preserve">Universal ID. An eye-readable and barcode-scannable coded representation of the Accession Number assigned by the laboratory package. </w:t>
            </w:r>
            <w:r>
              <w:rPr>
                <w:i/>
              </w:rPr>
              <w:t>UID is unique to the generating information system where the specimen was received.</w:t>
            </w:r>
          </w:p>
        </w:tc>
      </w:tr>
      <w:tr w:rsidR="00AF274B" w14:paraId="3E5AEA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6620DC2" w14:textId="77777777" w:rsidR="00AF274B" w:rsidRDefault="00AF274B">
            <w:pPr>
              <w:pStyle w:val="GlossaryTableText"/>
              <w:rPr>
                <w:b/>
                <w:bCs/>
              </w:rPr>
            </w:pPr>
            <w:r>
              <w:rPr>
                <w:b/>
                <w:bCs/>
              </w:rPr>
              <w:t>Unit</w:t>
            </w:r>
          </w:p>
        </w:tc>
        <w:tc>
          <w:tcPr>
            <w:tcW w:w="3327" w:type="pct"/>
            <w:tcBorders>
              <w:top w:val="nil"/>
              <w:left w:val="nil"/>
              <w:bottom w:val="nil"/>
              <w:right w:val="nil"/>
            </w:tcBorders>
          </w:tcPr>
          <w:p w14:paraId="2AB6B56D" w14:textId="77777777" w:rsidR="00AF274B" w:rsidRDefault="00AF274B">
            <w:pPr>
              <w:pStyle w:val="GlossaryTableText"/>
            </w:pPr>
            <w:r>
              <w:t>A single example of a blood component type. Example: a single unit of red cells, a unit of plasma, a unit of platelets.</w:t>
            </w:r>
          </w:p>
        </w:tc>
      </w:tr>
      <w:tr w:rsidR="00AF274B" w14:paraId="7E425D9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0E0D4B5" w14:textId="77777777" w:rsidR="00AF274B" w:rsidRDefault="00AF274B">
            <w:pPr>
              <w:pStyle w:val="GlossaryTableText"/>
              <w:rPr>
                <w:b/>
                <w:bCs/>
              </w:rPr>
            </w:pPr>
            <w:r>
              <w:rPr>
                <w:b/>
                <w:bCs/>
              </w:rPr>
              <w:t>Unit ID</w:t>
            </w:r>
          </w:p>
        </w:tc>
        <w:tc>
          <w:tcPr>
            <w:tcW w:w="3327" w:type="pct"/>
            <w:tcBorders>
              <w:top w:val="nil"/>
              <w:left w:val="nil"/>
              <w:bottom w:val="nil"/>
              <w:right w:val="nil"/>
            </w:tcBorders>
          </w:tcPr>
          <w:p w14:paraId="0C4CED90" w14:textId="77777777" w:rsidR="00AF274B" w:rsidRDefault="00AF274B">
            <w:pPr>
              <w:pStyle w:val="GlossaryTableText"/>
            </w:pPr>
            <w:r>
              <w:t>The label identifier, consisting of a string of characters, of the unit of blood, barcoded on the blood bag label and scanned when a blood unit is received in the blood bank in a shipment.</w:t>
            </w:r>
          </w:p>
        </w:tc>
      </w:tr>
      <w:tr w:rsidR="00AF274B" w14:paraId="585BAF8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30C5C9D" w14:textId="77777777" w:rsidR="00AF274B" w:rsidRDefault="00AF274B">
            <w:pPr>
              <w:pStyle w:val="GlossaryTableText"/>
              <w:rPr>
                <w:b/>
                <w:bCs/>
              </w:rPr>
            </w:pPr>
            <w:r>
              <w:rPr>
                <w:b/>
                <w:bCs/>
              </w:rPr>
              <w:lastRenderedPageBreak/>
              <w:t>Unit status</w:t>
            </w:r>
          </w:p>
        </w:tc>
        <w:tc>
          <w:tcPr>
            <w:tcW w:w="3327" w:type="pct"/>
            <w:tcBorders>
              <w:top w:val="nil"/>
              <w:left w:val="nil"/>
              <w:bottom w:val="nil"/>
              <w:right w:val="nil"/>
            </w:tcBorders>
          </w:tcPr>
          <w:p w14:paraId="1C49E441" w14:textId="77777777" w:rsidR="00AF274B" w:rsidRDefault="00AF274B">
            <w:pPr>
              <w:pStyle w:val="GlossaryTableText"/>
              <w:rPr>
                <w:u w:val="single"/>
              </w:rPr>
            </w:pPr>
            <w:r>
              <w:t>The state of a unit of blood at any given time.</w:t>
            </w:r>
          </w:p>
          <w:p w14:paraId="59C656B2" w14:textId="77777777" w:rsidR="00AF274B" w:rsidRDefault="00AF274B">
            <w:pPr>
              <w:pStyle w:val="GlossaryTableTextBullets"/>
            </w:pPr>
            <w:r>
              <w:t>Available: Required processing is complete.</w:t>
            </w:r>
          </w:p>
          <w:p w14:paraId="28F8D6A3" w14:textId="77777777" w:rsidR="00AF274B" w:rsidRDefault="00AF274B">
            <w:pPr>
              <w:pStyle w:val="GlossaryTableTextBullets"/>
            </w:pPr>
            <w:r>
              <w:t>Crossmatched/Assigned: The unit is immediately available for transfusion. All required compatibility testing, including crossmatch if indicated, is performed.</w:t>
            </w:r>
          </w:p>
          <w:p w14:paraId="6D4EFB3C" w14:textId="77777777" w:rsidR="00AF274B" w:rsidRDefault="00AF274B">
            <w:pPr>
              <w:pStyle w:val="GlossaryTableTextBullets"/>
            </w:pPr>
            <w:r>
              <w:t>Discarded: The unit has been destroyed and is no longer available.</w:t>
            </w:r>
          </w:p>
          <w:p w14:paraId="0A092CB4" w14:textId="77777777" w:rsidR="00AF274B" w:rsidRDefault="00AF274B">
            <w:pPr>
              <w:pStyle w:val="GlossaryTableTextBullets"/>
            </w:pPr>
            <w:r>
              <w:t xml:space="preserve">Issued: The unit is not currently located in the blood bank. </w:t>
            </w:r>
          </w:p>
          <w:p w14:paraId="1D04AB44" w14:textId="77777777" w:rsidR="00AF274B" w:rsidRDefault="00AF274B">
            <w:pPr>
              <w:pStyle w:val="GlossaryTableTextBullets"/>
            </w:pPr>
            <w:r>
              <w:t>Limited: Required processing is complete, except for ABO/Rh confirmation</w:t>
            </w:r>
            <w:r w:rsidR="009204CC">
              <w:t>.</w:t>
            </w:r>
          </w:p>
          <w:p w14:paraId="572B1A2E" w14:textId="77777777" w:rsidR="00AF274B" w:rsidRDefault="00AF274B">
            <w:pPr>
              <w:pStyle w:val="GlossaryTableTextBullets"/>
            </w:pPr>
            <w:r>
              <w:t>Quarantine: The unit cannot be selected.</w:t>
            </w:r>
          </w:p>
          <w:p w14:paraId="2B9845AE" w14:textId="77777777" w:rsidR="00AF274B" w:rsidRDefault="00AF274B">
            <w:pPr>
              <w:pStyle w:val="GlossaryTableTextBullets"/>
            </w:pPr>
            <w:r>
              <w:t>Selected: The unit is reserved for one or more patients. Additional compatibility testing is required, such as antigen phenotype, crossmatch, and unit ABO/Rh confirmation.</w:t>
            </w:r>
          </w:p>
          <w:p w14:paraId="0BB5FE6E" w14:textId="77777777" w:rsidR="00AF274B" w:rsidRDefault="00AF274B">
            <w:pPr>
              <w:pStyle w:val="GlossaryTableTextBullets"/>
              <w:rPr>
                <w:b/>
              </w:rPr>
            </w:pPr>
            <w:r>
              <w:t>Transferred: The unit has been returned to the original supplier or transferred to a different facility.</w:t>
            </w:r>
          </w:p>
          <w:p w14:paraId="5FEE69BF" w14:textId="77777777" w:rsidR="00AF274B" w:rsidRDefault="00AF274B">
            <w:pPr>
              <w:pStyle w:val="GlossaryTableTextBullets"/>
              <w:rPr>
                <w:b/>
              </w:rPr>
            </w:pPr>
            <w:r>
              <w:t>Transfused: The unit has been infused into a patient and is no longer available.</w:t>
            </w:r>
          </w:p>
        </w:tc>
      </w:tr>
      <w:tr w:rsidR="00AF274B" w14:paraId="3F3F01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069EADE" w14:textId="77777777" w:rsidR="00AF274B" w:rsidRDefault="00AF274B">
            <w:pPr>
              <w:pStyle w:val="GlossaryTableText"/>
              <w:rPr>
                <w:b/>
                <w:bCs/>
              </w:rPr>
            </w:pPr>
            <w:r>
              <w:rPr>
                <w:b/>
                <w:bCs/>
              </w:rPr>
              <w:t>Validation</w:t>
            </w:r>
          </w:p>
        </w:tc>
        <w:tc>
          <w:tcPr>
            <w:tcW w:w="3327" w:type="pct"/>
            <w:tcBorders>
              <w:top w:val="nil"/>
              <w:left w:val="nil"/>
              <w:bottom w:val="nil"/>
              <w:right w:val="nil"/>
            </w:tcBorders>
          </w:tcPr>
          <w:p w14:paraId="0A642729" w14:textId="77777777" w:rsidR="00AF274B" w:rsidRDefault="00AF274B">
            <w:pPr>
              <w:pStyle w:val="GlossaryTableText"/>
            </w:pPr>
            <w:r>
              <w:t>Establishment by objective evidence that a specific process or device specification conforms to user needs and intended use.</w:t>
            </w:r>
          </w:p>
        </w:tc>
      </w:tr>
      <w:tr w:rsidR="00807BFB" w14:paraId="392FFFA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F2C2849" w14:textId="736398D1" w:rsidR="00807BFB" w:rsidRDefault="00807BFB">
            <w:pPr>
              <w:pStyle w:val="GlossaryTableText"/>
              <w:rPr>
                <w:b/>
                <w:bCs/>
                <w:snapToGrid w:val="0"/>
              </w:rPr>
            </w:pPr>
          </w:p>
        </w:tc>
        <w:tc>
          <w:tcPr>
            <w:tcW w:w="3327" w:type="pct"/>
            <w:tcBorders>
              <w:top w:val="nil"/>
              <w:left w:val="nil"/>
              <w:bottom w:val="nil"/>
              <w:right w:val="nil"/>
            </w:tcBorders>
          </w:tcPr>
          <w:p w14:paraId="0C126817" w14:textId="53227D27" w:rsidR="00807BFB" w:rsidRDefault="00807BFB" w:rsidP="0022026D">
            <w:pPr>
              <w:pStyle w:val="GlossaryTableText"/>
              <w:tabs>
                <w:tab w:val="left" w:pos="1095"/>
              </w:tabs>
              <w:rPr>
                <w:snapToGrid w:val="0"/>
              </w:rPr>
            </w:pPr>
          </w:p>
        </w:tc>
      </w:tr>
      <w:tr w:rsidR="001A1559" w14:paraId="796CD9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16FF746" w14:textId="77777777" w:rsidR="001A1559" w:rsidRDefault="004974ED">
            <w:pPr>
              <w:pStyle w:val="GlossaryTableText"/>
              <w:rPr>
                <w:b/>
                <w:bCs/>
              </w:rPr>
            </w:pPr>
            <w:r>
              <w:rPr>
                <w:b/>
                <w:bCs/>
              </w:rPr>
              <w:t>VDL</w:t>
            </w:r>
          </w:p>
        </w:tc>
        <w:tc>
          <w:tcPr>
            <w:tcW w:w="3327" w:type="pct"/>
            <w:tcBorders>
              <w:top w:val="nil"/>
              <w:left w:val="nil"/>
              <w:bottom w:val="nil"/>
              <w:right w:val="nil"/>
            </w:tcBorders>
          </w:tcPr>
          <w:p w14:paraId="3F6DFC17" w14:textId="77777777" w:rsidR="001A1559" w:rsidRDefault="004974ED">
            <w:pPr>
              <w:pStyle w:val="GlossaryTableText"/>
            </w:pPr>
            <w:r w:rsidRPr="000C7684">
              <w:rPr>
                <w:bCs/>
              </w:rPr>
              <w:t>VistA</w:t>
            </w:r>
            <w:r>
              <w:t xml:space="preserve"> Documentation Library.</w:t>
            </w:r>
          </w:p>
        </w:tc>
      </w:tr>
      <w:tr w:rsidR="00AF274B" w14:paraId="53CCFFD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FCE71E0" w14:textId="77777777" w:rsidR="00AF274B" w:rsidRDefault="00AF274B">
            <w:pPr>
              <w:pStyle w:val="GlossaryTableText"/>
              <w:rPr>
                <w:b/>
                <w:bCs/>
              </w:rPr>
            </w:pPr>
            <w:r>
              <w:rPr>
                <w:b/>
                <w:bCs/>
              </w:rPr>
              <w:t>Verification</w:t>
            </w:r>
          </w:p>
        </w:tc>
        <w:tc>
          <w:tcPr>
            <w:tcW w:w="3327" w:type="pct"/>
            <w:tcBorders>
              <w:top w:val="nil"/>
              <w:left w:val="nil"/>
              <w:bottom w:val="nil"/>
              <w:right w:val="nil"/>
            </w:tcBorders>
          </w:tcPr>
          <w:p w14:paraId="0DF38F4C" w14:textId="77777777" w:rsidR="00AF274B" w:rsidRDefault="00AF274B">
            <w:pPr>
              <w:pStyle w:val="GlossaryTableText"/>
            </w:pPr>
            <w:r>
              <w:t>Confirmation by examination and provision of objective evidence that requirements were fulfilled.</w:t>
            </w:r>
          </w:p>
        </w:tc>
      </w:tr>
      <w:tr w:rsidR="00AF274B" w14:paraId="3D5AB24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A7EF161" w14:textId="77777777" w:rsidR="00AF274B" w:rsidRDefault="00AF274B">
            <w:pPr>
              <w:pStyle w:val="GlossaryTableText"/>
              <w:rPr>
                <w:b/>
                <w:bCs/>
              </w:rPr>
            </w:pPr>
            <w:r>
              <w:rPr>
                <w:b/>
                <w:bCs/>
              </w:rPr>
              <w:t>Verify Code</w:t>
            </w:r>
          </w:p>
        </w:tc>
        <w:tc>
          <w:tcPr>
            <w:tcW w:w="3327" w:type="pct"/>
            <w:tcBorders>
              <w:top w:val="nil"/>
              <w:left w:val="nil"/>
              <w:bottom w:val="nil"/>
              <w:right w:val="nil"/>
            </w:tcBorders>
          </w:tcPr>
          <w:p w14:paraId="72FF0B20" w14:textId="77777777" w:rsidR="00AF274B" w:rsidRDefault="00AF274B">
            <w:pPr>
              <w:pStyle w:val="GlossaryTableText"/>
              <w:rPr>
                <w:b/>
              </w:rPr>
            </w:pPr>
            <w:r>
              <w:t xml:space="preserve">A field in the </w:t>
            </w:r>
            <w:r w:rsidRPr="00CA6E27">
              <w:rPr>
                <w:bCs/>
              </w:rPr>
              <w:t>VistA</w:t>
            </w:r>
            <w:r>
              <w:t xml:space="preserve"> New Person file used to verify the identity of a user associated with an Access Code.</w:t>
            </w:r>
          </w:p>
        </w:tc>
      </w:tr>
      <w:tr w:rsidR="00AF274B" w14:paraId="48A4792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B75232E" w14:textId="77777777" w:rsidR="00AF274B" w:rsidRDefault="00AF274B">
            <w:pPr>
              <w:pStyle w:val="GlossaryTableText"/>
              <w:rPr>
                <w:b/>
                <w:bCs/>
              </w:rPr>
            </w:pPr>
            <w:r>
              <w:rPr>
                <w:b/>
                <w:bCs/>
              </w:rPr>
              <w:t>Vial identifier</w:t>
            </w:r>
          </w:p>
        </w:tc>
        <w:tc>
          <w:tcPr>
            <w:tcW w:w="3327" w:type="pct"/>
            <w:tcBorders>
              <w:top w:val="nil"/>
              <w:left w:val="nil"/>
              <w:bottom w:val="nil"/>
              <w:right w:val="nil"/>
            </w:tcBorders>
          </w:tcPr>
          <w:p w14:paraId="37D38510" w14:textId="77777777" w:rsidR="00AF274B" w:rsidRDefault="00AF274B">
            <w:pPr>
              <w:pStyle w:val="GlossaryTableText"/>
              <w:rPr>
                <w:b/>
              </w:rPr>
            </w:pPr>
            <w:r>
              <w:t xml:space="preserve">A one- or two-character number that identifies a specific vial contained within a kit of reagents. </w:t>
            </w:r>
            <w:r>
              <w:rPr>
                <w:i/>
              </w:rPr>
              <w:t>A vial contains antigen positive or antigen negative blood cells to be used in quality control of antisera. Also referred to as “cell identifier.”</w:t>
            </w:r>
          </w:p>
        </w:tc>
      </w:tr>
      <w:tr w:rsidR="00AF274B" w14:paraId="547127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8C790F2" w14:textId="77777777" w:rsidR="00AF274B" w:rsidRDefault="00AF274B">
            <w:pPr>
              <w:pStyle w:val="GlossaryTableText"/>
              <w:rPr>
                <w:b/>
                <w:bCs/>
              </w:rPr>
            </w:pPr>
            <w:r>
              <w:rPr>
                <w:b/>
                <w:bCs/>
              </w:rPr>
              <w:t>VISN</w:t>
            </w:r>
          </w:p>
        </w:tc>
        <w:tc>
          <w:tcPr>
            <w:tcW w:w="3327" w:type="pct"/>
            <w:tcBorders>
              <w:top w:val="nil"/>
              <w:left w:val="nil"/>
              <w:bottom w:val="nil"/>
              <w:right w:val="nil"/>
            </w:tcBorders>
          </w:tcPr>
          <w:p w14:paraId="4B108954" w14:textId="77777777" w:rsidR="00AF274B" w:rsidRDefault="00AF274B">
            <w:pPr>
              <w:pStyle w:val="GlossaryTableText"/>
            </w:pPr>
            <w:r>
              <w:t>Veterans Integrated Services Network.</w:t>
            </w:r>
          </w:p>
        </w:tc>
      </w:tr>
      <w:tr w:rsidR="00AF274B" w14:paraId="3CBC28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3F96E2D" w14:textId="77777777" w:rsidR="00AF274B" w:rsidRPr="00CA6E27" w:rsidRDefault="00AF274B">
            <w:pPr>
              <w:pStyle w:val="GlossaryTableText"/>
              <w:rPr>
                <w:b/>
                <w:bCs/>
              </w:rPr>
            </w:pPr>
            <w:r w:rsidRPr="00CA6E27">
              <w:rPr>
                <w:b/>
                <w:bCs/>
              </w:rPr>
              <w:t>VistA</w:t>
            </w:r>
          </w:p>
        </w:tc>
        <w:tc>
          <w:tcPr>
            <w:tcW w:w="3327" w:type="pct"/>
            <w:tcBorders>
              <w:top w:val="nil"/>
              <w:left w:val="nil"/>
              <w:bottom w:val="nil"/>
              <w:right w:val="nil"/>
            </w:tcBorders>
          </w:tcPr>
          <w:p w14:paraId="630472FC" w14:textId="77777777" w:rsidR="00AF274B" w:rsidRDefault="00AF274B">
            <w:pPr>
              <w:pStyle w:val="GlossaryTableText"/>
            </w:pPr>
            <w:r>
              <w:t>Veterans Health Information Systems and Technology Architecture.</w:t>
            </w:r>
          </w:p>
        </w:tc>
      </w:tr>
      <w:tr w:rsidR="00AF274B" w14:paraId="443050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9597A41" w14:textId="77777777" w:rsidR="00AF274B" w:rsidRDefault="00AF274B">
            <w:pPr>
              <w:pStyle w:val="GlossaryTableText"/>
              <w:rPr>
                <w:b/>
                <w:bCs/>
              </w:rPr>
            </w:pPr>
            <w:r>
              <w:rPr>
                <w:b/>
                <w:bCs/>
              </w:rPr>
              <w:t>VistALink</w:t>
            </w:r>
          </w:p>
        </w:tc>
        <w:tc>
          <w:tcPr>
            <w:tcW w:w="3327" w:type="pct"/>
            <w:tcBorders>
              <w:top w:val="nil"/>
              <w:left w:val="nil"/>
              <w:bottom w:val="nil"/>
              <w:right w:val="nil"/>
            </w:tcBorders>
          </w:tcPr>
          <w:p w14:paraId="18B3C8F0" w14:textId="77777777" w:rsidR="00AF274B" w:rsidRDefault="00AF274B">
            <w:pPr>
              <w:pStyle w:val="GlossaryTableText"/>
            </w:pPr>
            <w:r>
              <w:t xml:space="preserve">A real-time communication link that provides connectivity and utilities for data exchange between </w:t>
            </w:r>
            <w:r w:rsidRPr="00CA6E27">
              <w:rPr>
                <w:bCs/>
              </w:rPr>
              <w:t>VistA</w:t>
            </w:r>
            <w:r>
              <w:t xml:space="preserve"> and VBECS.</w:t>
            </w:r>
          </w:p>
        </w:tc>
      </w:tr>
      <w:tr w:rsidR="004974ED" w14:paraId="39F674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C9DF868" w14:textId="77777777" w:rsidR="004974ED" w:rsidRDefault="004974ED">
            <w:pPr>
              <w:pStyle w:val="GlossaryTableText"/>
              <w:rPr>
                <w:b/>
                <w:bCs/>
                <w:snapToGrid w:val="0"/>
              </w:rPr>
            </w:pPr>
            <w:r>
              <w:rPr>
                <w:b/>
                <w:bCs/>
                <w:snapToGrid w:val="0"/>
              </w:rPr>
              <w:t>WAN</w:t>
            </w:r>
          </w:p>
        </w:tc>
        <w:tc>
          <w:tcPr>
            <w:tcW w:w="3327" w:type="pct"/>
            <w:tcBorders>
              <w:top w:val="nil"/>
              <w:left w:val="nil"/>
              <w:bottom w:val="nil"/>
              <w:right w:val="nil"/>
            </w:tcBorders>
          </w:tcPr>
          <w:p w14:paraId="234F72DE" w14:textId="77777777" w:rsidR="004974ED" w:rsidRDefault="004974ED">
            <w:pPr>
              <w:pStyle w:val="GlossaryTableText"/>
              <w:rPr>
                <w:snapToGrid w:val="0"/>
              </w:rPr>
            </w:pPr>
            <w:r>
              <w:rPr>
                <w:snapToGrid w:val="0"/>
              </w:rPr>
              <w:t>Wide Area Network.</w:t>
            </w:r>
          </w:p>
        </w:tc>
      </w:tr>
      <w:tr w:rsidR="00AF274B" w14:paraId="7329F7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ED6D800" w14:textId="77777777" w:rsidR="00AF274B" w:rsidRDefault="00AF274B">
            <w:pPr>
              <w:pStyle w:val="GlossaryTableText"/>
              <w:rPr>
                <w:b/>
                <w:bCs/>
              </w:rPr>
            </w:pPr>
            <w:r>
              <w:rPr>
                <w:b/>
                <w:bCs/>
                <w:snapToGrid w:val="0"/>
              </w:rPr>
              <w:t>Worklist</w:t>
            </w:r>
          </w:p>
        </w:tc>
        <w:tc>
          <w:tcPr>
            <w:tcW w:w="3327" w:type="pct"/>
            <w:tcBorders>
              <w:top w:val="nil"/>
              <w:left w:val="nil"/>
              <w:bottom w:val="nil"/>
              <w:right w:val="nil"/>
            </w:tcBorders>
          </w:tcPr>
          <w:p w14:paraId="5329518A" w14:textId="77777777" w:rsidR="00AF274B" w:rsidRDefault="00AF274B">
            <w:pPr>
              <w:pStyle w:val="GlossaryTableText"/>
              <w:rPr>
                <w:snapToGrid w:val="0"/>
              </w:rPr>
            </w:pPr>
            <w:r>
              <w:rPr>
                <w:snapToGrid w:val="0"/>
              </w:rPr>
              <w:t>A list detailing work to be performed.</w:t>
            </w:r>
          </w:p>
        </w:tc>
      </w:tr>
      <w:tr w:rsidR="00AF274B" w14:paraId="58DD22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C00E21F" w14:textId="77777777" w:rsidR="00AF274B" w:rsidRDefault="00AF274B">
            <w:pPr>
              <w:pStyle w:val="GlossaryTableText"/>
              <w:rPr>
                <w:b/>
                <w:bCs/>
              </w:rPr>
            </w:pPr>
            <w:r>
              <w:rPr>
                <w:b/>
                <w:bCs/>
              </w:rPr>
              <w:t>Workload</w:t>
            </w:r>
          </w:p>
        </w:tc>
        <w:tc>
          <w:tcPr>
            <w:tcW w:w="3327" w:type="pct"/>
            <w:tcBorders>
              <w:top w:val="nil"/>
              <w:left w:val="nil"/>
              <w:bottom w:val="nil"/>
              <w:right w:val="nil"/>
            </w:tcBorders>
          </w:tcPr>
          <w:p w14:paraId="38EF8C10" w14:textId="77777777" w:rsidR="00AF274B" w:rsidRDefault="00AF274B">
            <w:pPr>
              <w:pStyle w:val="GlossaryTableText"/>
            </w:pPr>
            <w:r>
              <w:t>Statistical data used to calculate productivity.</w:t>
            </w:r>
          </w:p>
        </w:tc>
      </w:tr>
      <w:tr w:rsidR="00AF274B" w14:paraId="217760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685FB50" w14:textId="77777777" w:rsidR="00AF274B" w:rsidRDefault="00AF274B">
            <w:pPr>
              <w:pStyle w:val="GlossaryTableText"/>
              <w:rPr>
                <w:b/>
                <w:bCs/>
              </w:rPr>
            </w:pPr>
            <w:r>
              <w:rPr>
                <w:b/>
                <w:bCs/>
                <w:snapToGrid w:val="0"/>
              </w:rPr>
              <w:t>XM</w:t>
            </w:r>
          </w:p>
        </w:tc>
        <w:tc>
          <w:tcPr>
            <w:tcW w:w="3327" w:type="pct"/>
            <w:tcBorders>
              <w:top w:val="nil"/>
              <w:left w:val="nil"/>
              <w:bottom w:val="nil"/>
              <w:right w:val="nil"/>
            </w:tcBorders>
          </w:tcPr>
          <w:p w14:paraId="4D0705D3" w14:textId="77777777" w:rsidR="00AF274B" w:rsidRDefault="00AF274B">
            <w:pPr>
              <w:pStyle w:val="GlossaryTableText"/>
              <w:rPr>
                <w:snapToGrid w:val="0"/>
              </w:rPr>
            </w:pPr>
            <w:r>
              <w:rPr>
                <w:snapToGrid w:val="0"/>
              </w:rPr>
              <w:t>Crossmatch.</w:t>
            </w:r>
          </w:p>
        </w:tc>
      </w:tr>
      <w:tr w:rsidR="004974ED" w14:paraId="282F39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BC6505A" w14:textId="77777777" w:rsidR="004974ED" w:rsidRDefault="004974ED">
            <w:pPr>
              <w:pStyle w:val="GlossaryTableText"/>
              <w:rPr>
                <w:b/>
                <w:bCs/>
                <w:snapToGrid w:val="0"/>
              </w:rPr>
            </w:pPr>
            <w:r>
              <w:rPr>
                <w:b/>
                <w:bCs/>
                <w:snapToGrid w:val="0"/>
              </w:rPr>
              <w:t>XML</w:t>
            </w:r>
          </w:p>
        </w:tc>
        <w:tc>
          <w:tcPr>
            <w:tcW w:w="3327" w:type="pct"/>
            <w:tcBorders>
              <w:top w:val="nil"/>
              <w:left w:val="nil"/>
              <w:bottom w:val="nil"/>
              <w:right w:val="nil"/>
            </w:tcBorders>
          </w:tcPr>
          <w:p w14:paraId="020580EA" w14:textId="77777777" w:rsidR="004974ED" w:rsidRDefault="004974ED">
            <w:pPr>
              <w:pStyle w:val="GlossaryTableText"/>
              <w:rPr>
                <w:snapToGrid w:val="0"/>
              </w:rPr>
            </w:pPr>
            <w:r>
              <w:t>Extensible Markup Language.</w:t>
            </w:r>
          </w:p>
        </w:tc>
      </w:tr>
    </w:tbl>
    <w:p w14:paraId="36D0ACD4" w14:textId="77777777" w:rsidR="00D65C6C" w:rsidRDefault="00D65C6C" w:rsidP="00B10AB7"/>
    <w:p w14:paraId="6F97546E" w14:textId="77777777" w:rsidR="00B27FE8" w:rsidRDefault="00B27FE8">
      <w:pPr>
        <w:rPr>
          <w:rFonts w:ascii="Arial" w:hAnsi="Arial" w:cs="Arial"/>
          <w:b/>
          <w:bCs/>
          <w:kern w:val="32"/>
          <w:sz w:val="36"/>
          <w:szCs w:val="32"/>
        </w:rPr>
      </w:pPr>
      <w:r>
        <w:br w:type="page"/>
      </w:r>
    </w:p>
    <w:p w14:paraId="7E830C8A" w14:textId="12BCC9D3" w:rsidR="002A21AE" w:rsidRDefault="002A21AE" w:rsidP="0086066C">
      <w:pPr>
        <w:pStyle w:val="Heading1"/>
      </w:pPr>
      <w:bookmarkStart w:id="600" w:name="_Toc4588857"/>
      <w:r>
        <w:lastRenderedPageBreak/>
        <w:t>Appendices</w:t>
      </w:r>
      <w:bookmarkEnd w:id="600"/>
    </w:p>
    <w:p w14:paraId="04850DF0" w14:textId="065F4C1E" w:rsidR="002A21AE" w:rsidRDefault="002A21AE">
      <w:pPr>
        <w:pStyle w:val="Heading2"/>
      </w:pPr>
      <w:bookmarkStart w:id="601" w:name="_Toc4588858"/>
      <w:r>
        <w:t xml:space="preserve">Appendix </w:t>
      </w:r>
      <w:r w:rsidR="004E20BD">
        <w:rPr>
          <w:noProof/>
        </w:rPr>
        <w:fldChar w:fldCharType="begin"/>
      </w:r>
      <w:r w:rsidR="004E20BD">
        <w:rPr>
          <w:noProof/>
        </w:rPr>
        <w:instrText xml:space="preserve"> SEQ Appendix \* ALPHABETIC </w:instrText>
      </w:r>
      <w:r w:rsidR="004E20BD">
        <w:rPr>
          <w:noProof/>
        </w:rPr>
        <w:fldChar w:fldCharType="separate"/>
      </w:r>
      <w:r w:rsidR="00647F4E">
        <w:rPr>
          <w:noProof/>
        </w:rPr>
        <w:t>A</w:t>
      </w:r>
      <w:r w:rsidR="004E20BD">
        <w:rPr>
          <w:noProof/>
        </w:rPr>
        <w:fldChar w:fldCharType="end"/>
      </w:r>
      <w:r>
        <w:t>: Downtime Forms and Instructions</w:t>
      </w:r>
      <w:bookmarkEnd w:id="601"/>
      <w:r>
        <w:fldChar w:fldCharType="begin"/>
      </w:r>
      <w:r>
        <w:instrText xml:space="preserve"> XE </w:instrText>
      </w:r>
      <w:r w:rsidR="00FA7E65">
        <w:instrText>“</w:instrText>
      </w:r>
      <w:r>
        <w:instrText>Downtime Forms and Instructions</w:instrText>
      </w:r>
      <w:r w:rsidR="00FA7E65">
        <w:instrText>”</w:instrText>
      </w:r>
      <w:r>
        <w:instrText xml:space="preserve"> </w:instrText>
      </w:r>
      <w:r>
        <w:fldChar w:fldCharType="end"/>
      </w:r>
    </w:p>
    <w:p w14:paraId="7F7450C7" w14:textId="77777777" w:rsidR="00270245" w:rsidRDefault="00270245" w:rsidP="00270245">
      <w:pPr>
        <w:pStyle w:val="BodyText"/>
      </w:pPr>
      <w:r>
        <w:t>Each site establishes its own policies, procedures, and processes to address unexpected VBECS downtime issues such as:</w:t>
      </w:r>
      <w:r>
        <w:rPr>
          <w:rStyle w:val="CommentReference"/>
          <w:b/>
          <w:bCs/>
          <w:vanish/>
        </w:rPr>
        <w:t xml:space="preserve"> </w:t>
      </w:r>
    </w:p>
    <w:p w14:paraId="2C4BE305" w14:textId="77777777" w:rsidR="00270245" w:rsidRDefault="00270245" w:rsidP="00270245">
      <w:pPr>
        <w:pStyle w:val="ListBullet"/>
      </w:pPr>
      <w:r>
        <w:t>The interface is unavailable. It is recommended that blood bank staff notify clinicians when messaging between CPRS and VBECS fails during order completion: clinicians may need to know that blood units are ready for pickup and transfusion.</w:t>
      </w:r>
      <w:r>
        <w:rPr>
          <w:vanish/>
        </w:rPr>
        <w:t xml:space="preserve"> (ClearQuest Task 386)</w:t>
      </w:r>
    </w:p>
    <w:p w14:paraId="7651130D" w14:textId="77777777" w:rsidR="00270245" w:rsidRDefault="00270245" w:rsidP="00270245">
      <w:pPr>
        <w:pStyle w:val="ListBullet"/>
      </w:pPr>
      <w:r>
        <w:rPr>
          <w:szCs w:val="20"/>
        </w:rPr>
        <w:t>T</w:t>
      </w:r>
      <w:r>
        <w:t>est order handling and completion when the serologic testing is performed off-site or in a non-VA facility. The CPRS test order must be processed and completed even when testing is done off-site.</w:t>
      </w:r>
    </w:p>
    <w:p w14:paraId="1F54CA91" w14:textId="77777777" w:rsidR="00270245" w:rsidRDefault="00270245" w:rsidP="00270245">
      <w:pPr>
        <w:pStyle w:val="ListBullet"/>
      </w:pPr>
      <w:r>
        <w:t xml:space="preserve">The physical handling of a blood unit when it </w:t>
      </w:r>
      <w:r w:rsidR="00313C6B">
        <w:t>cannot</w:t>
      </w:r>
      <w:r>
        <w:t xml:space="preserve"> be logged into inventory because VistALink is down and the patient is not in the VBECS database. The unit does not exist in VBECS until it is logged in, but is physically available.</w:t>
      </w:r>
      <w:r>
        <w:rPr>
          <w:vanish/>
        </w:rPr>
        <w:t xml:space="preserve"> (ClearQuest Task 387)</w:t>
      </w:r>
    </w:p>
    <w:p w14:paraId="12EBE56F" w14:textId="77777777" w:rsidR="00270245" w:rsidRDefault="00270245" w:rsidP="00270245">
      <w:pPr>
        <w:pStyle w:val="ListBullet"/>
      </w:pPr>
      <w:r>
        <w:t>Manual blood labeling, verification of labels, and tracking documentation of the downtime labeling.</w:t>
      </w:r>
      <w:r>
        <w:rPr>
          <w:vanish/>
        </w:rPr>
        <w:t xml:space="preserve"> (ClearQuest Task 521)</w:t>
      </w:r>
    </w:p>
    <w:p w14:paraId="7ECD951C" w14:textId="77777777" w:rsidR="00270245" w:rsidRDefault="00270245" w:rsidP="00270245">
      <w:pPr>
        <w:pStyle w:val="ListBullet"/>
      </w:pPr>
      <w:r>
        <w:t>Some Special Instructions (SIs) that were moved to VBECS during the database conversion must be entered as Transfusion Requirements (TRs) in VBECS. Inactivate the old SI and create a TR and new updated SI: the database conversion software cannot automatically translate the SI from database conversion into a rule-based TR.</w:t>
      </w:r>
    </w:p>
    <w:p w14:paraId="2FDE3F72" w14:textId="77777777" w:rsidR="00270245" w:rsidRDefault="00270245" w:rsidP="00270245">
      <w:pPr>
        <w:pStyle w:val="ListBullet"/>
      </w:pPr>
      <w:r>
        <w:t>Creating the Audit Trail, Exception, and Testing Worklist Reports.</w:t>
      </w:r>
    </w:p>
    <w:p w14:paraId="7C34BE05" w14:textId="77777777" w:rsidR="00270245" w:rsidRDefault="00270245" w:rsidP="00270245">
      <w:pPr>
        <w:pStyle w:val="ListBullet"/>
      </w:pPr>
      <w:r>
        <w:t>Mitigation of the risk of patient identification conflicts due to patient merge issues (changing patient name or ID). It is recommended that staff submit the patient name and ID in writing to the blood bank when picking up blood products.</w:t>
      </w:r>
      <w:r>
        <w:rPr>
          <w:vanish/>
        </w:rPr>
        <w:t xml:space="preserve"> (ClearQuest Task 395)</w:t>
      </w:r>
    </w:p>
    <w:p w14:paraId="0E6ABC35" w14:textId="77777777" w:rsidR="00270245" w:rsidRDefault="00270245" w:rsidP="00270245">
      <w:pPr>
        <w:pStyle w:val="ListBullet"/>
      </w:pPr>
      <w:r>
        <w:t xml:space="preserve">VBECS is unavailable. To ensure accurate entry of information when VBECS is running, users must record the unit number and ID on their downtime form. </w:t>
      </w:r>
    </w:p>
    <w:p w14:paraId="2FC2F06E" w14:textId="77777777" w:rsidR="00E27E7A" w:rsidRDefault="00640159" w:rsidP="00FA7E65">
      <w:pPr>
        <w:pStyle w:val="BodyText"/>
      </w:pPr>
      <w:r>
        <w:t>It is recommended that e</w:t>
      </w:r>
      <w:r w:rsidR="00780A01">
        <w:t xml:space="preserve">ach site have </w:t>
      </w:r>
      <w:r w:rsidR="001B6D4B">
        <w:t>available</w:t>
      </w:r>
      <w:r w:rsidR="00780A01">
        <w:t>:</w:t>
      </w:r>
    </w:p>
    <w:p w14:paraId="648E881F" w14:textId="77777777" w:rsidR="00112590" w:rsidRDefault="00112590" w:rsidP="00780A01">
      <w:pPr>
        <w:pStyle w:val="ListBullet"/>
      </w:pPr>
      <w:r>
        <w:t>Antibody Workup Forms</w:t>
      </w:r>
    </w:p>
    <w:p w14:paraId="4B08F723" w14:textId="77777777" w:rsidR="00112590" w:rsidRDefault="00112590" w:rsidP="00780A01">
      <w:pPr>
        <w:pStyle w:val="ListBullet"/>
      </w:pPr>
      <w:r>
        <w:t>Antigen Typing Forms (for patient)</w:t>
      </w:r>
    </w:p>
    <w:p w14:paraId="31FDC671" w14:textId="77777777" w:rsidR="00112590" w:rsidRDefault="00112590" w:rsidP="00780A01">
      <w:pPr>
        <w:pStyle w:val="ListBullet"/>
      </w:pPr>
      <w:r>
        <w:t>Antigen Typing Forms (for unit)</w:t>
      </w:r>
    </w:p>
    <w:p w14:paraId="6FB2B6E3" w14:textId="77777777" w:rsidR="00112590" w:rsidRDefault="00112590" w:rsidP="00780A01">
      <w:pPr>
        <w:pStyle w:val="ListBullet"/>
      </w:pPr>
      <w:r>
        <w:t>Blood Transfusion Record Forms</w:t>
      </w:r>
    </w:p>
    <w:p w14:paraId="361F1A80" w14:textId="77777777" w:rsidR="00112590" w:rsidRDefault="00112590" w:rsidP="00780A01">
      <w:pPr>
        <w:pStyle w:val="ListBullet"/>
      </w:pPr>
      <w:r>
        <w:t>Caution Tags</w:t>
      </w:r>
    </w:p>
    <w:p w14:paraId="62487A0A" w14:textId="77777777" w:rsidR="00112590" w:rsidRDefault="00112590" w:rsidP="00780A01">
      <w:pPr>
        <w:pStyle w:val="ListBullet"/>
      </w:pPr>
      <w:r>
        <w:t>Daily QC Forms</w:t>
      </w:r>
    </w:p>
    <w:p w14:paraId="117EADCC" w14:textId="77777777" w:rsidR="00112590" w:rsidRDefault="00112590" w:rsidP="0095796B">
      <w:pPr>
        <w:pStyle w:val="ListBullet"/>
      </w:pPr>
      <w:r>
        <w:t>Emergency Issue Forms: developed by each site to reflect site-specific emergency issue policies and procedures</w:t>
      </w:r>
    </w:p>
    <w:p w14:paraId="43DE2E9F" w14:textId="77777777" w:rsidR="00112590" w:rsidRDefault="00112590" w:rsidP="00780A01">
      <w:pPr>
        <w:pStyle w:val="ListBullet"/>
      </w:pPr>
      <w:r>
        <w:t>Reagent Receipt Log</w:t>
      </w:r>
    </w:p>
    <w:p w14:paraId="3DAF567D" w14:textId="77777777" w:rsidR="00112590" w:rsidRDefault="00112590" w:rsidP="00780A01">
      <w:pPr>
        <w:pStyle w:val="ListBullet"/>
      </w:pPr>
      <w:r>
        <w:t>Supply Receipt Log</w:t>
      </w:r>
    </w:p>
    <w:p w14:paraId="0A95D341" w14:textId="77777777" w:rsidR="00112590" w:rsidRDefault="00112590" w:rsidP="00780A01">
      <w:pPr>
        <w:pStyle w:val="ListBullet"/>
      </w:pPr>
      <w:r>
        <w:t>Transfusion Reaction Forms</w:t>
      </w:r>
    </w:p>
    <w:p w14:paraId="30D60FEC" w14:textId="11982861" w:rsidR="00112590" w:rsidRDefault="00112590" w:rsidP="0095796B">
      <w:pPr>
        <w:pStyle w:val="ListBullet"/>
      </w:pPr>
      <w:r>
        <w:t>Transfusion Requirements Report: current printed version must be available at all times for user</w:t>
      </w:r>
      <w:r w:rsidR="004C1E6C">
        <w:t>s to check patient historic records and Transfusion Requirements</w:t>
      </w:r>
      <w:r>
        <w:t>. (See</w:t>
      </w:r>
      <w:r w:rsidR="00EE4647">
        <w:t xml:space="preserve"> </w:t>
      </w:r>
      <w:r w:rsidR="00EE4647">
        <w:fldChar w:fldCharType="begin" w:fldLock="1"/>
      </w:r>
      <w:r w:rsidR="00EE4647">
        <w:instrText xml:space="preserve"> REF _Ref256684287 \h </w:instrText>
      </w:r>
      <w:r w:rsidR="00EE4647">
        <w:fldChar w:fldCharType="separate"/>
      </w:r>
      <w:r w:rsidR="00AB304C">
        <w:t xml:space="preserve">Appendix </w:t>
      </w:r>
      <w:r w:rsidR="00AB304C">
        <w:rPr>
          <w:noProof/>
        </w:rPr>
        <w:t>I</w:t>
      </w:r>
      <w:r w:rsidR="00AB304C">
        <w:t>: Recommended Report Usage</w:t>
      </w:r>
      <w:r w:rsidR="00EE4647">
        <w:fldChar w:fldCharType="end"/>
      </w:r>
      <w:r>
        <w:t xml:space="preserve">: </w:t>
      </w:r>
      <w:r w:rsidR="00CF5477">
        <w:fldChar w:fldCharType="begin" w:fldLock="1"/>
      </w:r>
      <w:r w:rsidR="00CF5477">
        <w:instrText xml:space="preserve"> REF _Ref126504669 \h </w:instrText>
      </w:r>
      <w:r w:rsidR="00CF5477">
        <w:fldChar w:fldCharType="separate"/>
      </w:r>
      <w:r w:rsidR="00AB304C">
        <w:t xml:space="preserve">Table </w:t>
      </w:r>
      <w:r w:rsidR="00AB304C">
        <w:rPr>
          <w:noProof/>
        </w:rPr>
        <w:t>37</w:t>
      </w:r>
      <w:r w:rsidR="00AB304C">
        <w:t>: Recommended Report Usage</w:t>
      </w:r>
      <w:r w:rsidR="00CF5477">
        <w:fldChar w:fldCharType="end"/>
      </w:r>
      <w:r>
        <w:t>.)</w:t>
      </w:r>
    </w:p>
    <w:p w14:paraId="1F2DAA20" w14:textId="77777777" w:rsidR="004C542E" w:rsidRDefault="0000620B" w:rsidP="004C542E">
      <w:pPr>
        <w:pStyle w:val="BodyText"/>
      </w:pPr>
      <w:r>
        <w:t>Each site may use</w:t>
      </w:r>
      <w:r w:rsidR="004C542E">
        <w:t xml:space="preserve"> and modify</w:t>
      </w:r>
      <w:r>
        <w:t xml:space="preserve"> (included in this appendix)</w:t>
      </w:r>
      <w:r w:rsidR="004C542E">
        <w:t>:</w:t>
      </w:r>
      <w:r w:rsidR="001D72C9">
        <w:t xml:space="preserve"> </w:t>
      </w:r>
    </w:p>
    <w:p w14:paraId="35E45BDA" w14:textId="77777777" w:rsidR="0000620B" w:rsidRDefault="0000620B" w:rsidP="004C542E">
      <w:pPr>
        <w:pStyle w:val="ListBullet"/>
      </w:pPr>
      <w:r>
        <w:t>Patient Testing Forms</w:t>
      </w:r>
    </w:p>
    <w:p w14:paraId="14A485F3" w14:textId="77777777" w:rsidR="0000620B" w:rsidRDefault="0000620B" w:rsidP="004C542E">
      <w:pPr>
        <w:pStyle w:val="ListBullet"/>
      </w:pPr>
      <w:r>
        <w:t>Unit ABO/Rh Confirmation Forms</w:t>
      </w:r>
    </w:p>
    <w:p w14:paraId="06B38742" w14:textId="77777777" w:rsidR="0000620B" w:rsidRDefault="0000620B" w:rsidP="004C542E">
      <w:pPr>
        <w:pStyle w:val="ListBullet"/>
      </w:pPr>
      <w:r>
        <w:lastRenderedPageBreak/>
        <w:t>Unit Issue and Inspection Logs</w:t>
      </w:r>
    </w:p>
    <w:p w14:paraId="3058A97F" w14:textId="77777777" w:rsidR="0000620B" w:rsidRDefault="0000620B" w:rsidP="004C542E">
      <w:pPr>
        <w:pStyle w:val="ListBullet"/>
      </w:pPr>
      <w:r>
        <w:t>Unit Modification Forms</w:t>
      </w:r>
    </w:p>
    <w:p w14:paraId="546B41A8" w14:textId="77777777" w:rsidR="004C542E" w:rsidRDefault="004C542E" w:rsidP="004C542E">
      <w:pPr>
        <w:pStyle w:val="BodyText"/>
      </w:pPr>
      <w:r>
        <w:t>The information on these forms match</w:t>
      </w:r>
      <w:r w:rsidR="00672426">
        <w:t>es</w:t>
      </w:r>
      <w:r>
        <w:t xml:space="preserve"> information to be input in VBECS.</w:t>
      </w:r>
    </w:p>
    <w:p w14:paraId="31C29FAD" w14:textId="77777777" w:rsidR="002A21AE" w:rsidRDefault="002A21AE">
      <w:pPr>
        <w:pStyle w:val="ListBullet"/>
        <w:numPr>
          <w:ilvl w:val="0"/>
          <w:numId w:val="0"/>
        </w:numPr>
        <w:ind w:left="576" w:hanging="288"/>
        <w:sectPr w:rsidR="002A21AE" w:rsidSect="00EE771C">
          <w:pgSz w:w="12240" w:h="15840" w:code="1"/>
          <w:pgMar w:top="1440" w:right="1440" w:bottom="1440" w:left="1440" w:header="720" w:footer="720" w:gutter="0"/>
          <w:cols w:space="720"/>
          <w:docGrid w:linePitch="360"/>
        </w:sectPr>
      </w:pPr>
    </w:p>
    <w:p w14:paraId="12747AEE" w14:textId="77777777" w:rsidR="004A6408" w:rsidRDefault="004A6408" w:rsidP="00266EAB">
      <w:pPr>
        <w:pStyle w:val="Heading3"/>
      </w:pPr>
      <w:bookmarkStart w:id="602" w:name="_Toc4588859"/>
      <w:r w:rsidRPr="009244E2">
        <w:lastRenderedPageBreak/>
        <w:t>Patient Testing Form</w:t>
      </w:r>
      <w:bookmarkEnd w:id="602"/>
      <w:r w:rsidR="00246F04">
        <w:fldChar w:fldCharType="begin"/>
      </w:r>
      <w:r w:rsidR="00246F04">
        <w:instrText xml:space="preserve"> XE "</w:instrText>
      </w:r>
      <w:r w:rsidR="00246F04" w:rsidRPr="004C6254">
        <w:instrText>Patient Testing Form</w:instrText>
      </w:r>
      <w:r w:rsidR="00246F04">
        <w:instrText xml:space="preserve">" </w:instrText>
      </w:r>
      <w:r w:rsidR="00246F04">
        <w:fldChar w:fldCharType="end"/>
      </w:r>
      <w:r w:rsidR="00A95965">
        <w:fldChar w:fldCharType="begin"/>
      </w:r>
      <w:r w:rsidR="00A95965">
        <w:instrText xml:space="preserve"> XE “Forms:Patient Testing Form” </w:instrText>
      </w:r>
      <w:r w:rsidR="00A95965">
        <w:fldChar w:fldCharType="end"/>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5"/>
        <w:gridCol w:w="2189"/>
        <w:gridCol w:w="1244"/>
        <w:gridCol w:w="1420"/>
        <w:gridCol w:w="897"/>
        <w:gridCol w:w="603"/>
        <w:gridCol w:w="1020"/>
        <w:gridCol w:w="694"/>
        <w:gridCol w:w="457"/>
        <w:gridCol w:w="702"/>
        <w:gridCol w:w="1459"/>
      </w:tblGrid>
      <w:tr w:rsidR="003F4F8B" w14:paraId="2B1C1B9A" w14:textId="77777777">
        <w:tc>
          <w:tcPr>
            <w:tcW w:w="12960" w:type="dxa"/>
            <w:gridSpan w:val="11"/>
          </w:tcPr>
          <w:p w14:paraId="199CB017" w14:textId="77777777" w:rsidR="003F4F8B" w:rsidRPr="003F4F8B" w:rsidRDefault="003F4F8B" w:rsidP="00FC4396">
            <w:pPr>
              <w:pStyle w:val="TableText"/>
            </w:pPr>
            <w:r w:rsidRPr="00887834">
              <w:rPr>
                <w:b/>
              </w:rPr>
              <w:t xml:space="preserve">Facility Name: </w:t>
            </w:r>
          </w:p>
        </w:tc>
      </w:tr>
      <w:tr w:rsidR="003F4F8B" w14:paraId="0918CBB2" w14:textId="77777777">
        <w:tc>
          <w:tcPr>
            <w:tcW w:w="12960" w:type="dxa"/>
            <w:gridSpan w:val="11"/>
          </w:tcPr>
          <w:p w14:paraId="705BB417" w14:textId="77777777" w:rsidR="003F4F8B" w:rsidRPr="003F4F8B" w:rsidRDefault="003F4F8B" w:rsidP="00FC4396">
            <w:pPr>
              <w:pStyle w:val="TableText"/>
            </w:pPr>
            <w:r w:rsidRPr="00887834">
              <w:rPr>
                <w:b/>
              </w:rPr>
              <w:t xml:space="preserve">Address: </w:t>
            </w:r>
          </w:p>
        </w:tc>
      </w:tr>
      <w:tr w:rsidR="003F4F8B" w14:paraId="3A915BBF" w14:textId="77777777">
        <w:tc>
          <w:tcPr>
            <w:tcW w:w="12960" w:type="dxa"/>
            <w:gridSpan w:val="11"/>
          </w:tcPr>
          <w:p w14:paraId="174B3087" w14:textId="77777777" w:rsidR="003F4F8B" w:rsidRPr="003F4F8B" w:rsidRDefault="003F4F8B" w:rsidP="00FC4396">
            <w:pPr>
              <w:pStyle w:val="TableText"/>
            </w:pPr>
            <w:r w:rsidRPr="00887834">
              <w:rPr>
                <w:b/>
              </w:rPr>
              <w:t>City, State, Zip Code:</w:t>
            </w:r>
            <w:r>
              <w:t xml:space="preserve"> </w:t>
            </w:r>
          </w:p>
        </w:tc>
      </w:tr>
      <w:tr w:rsidR="004A6408" w:rsidRPr="0085788A" w14:paraId="5D07378C"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231"/>
        </w:trPr>
        <w:tc>
          <w:tcPr>
            <w:tcW w:w="2275" w:type="dxa"/>
            <w:tcBorders>
              <w:bottom w:val="single" w:sz="2" w:space="0" w:color="auto"/>
            </w:tcBorders>
            <w:shd w:val="clear" w:color="auto" w:fill="B3B3B3"/>
            <w:noWrap/>
          </w:tcPr>
          <w:p w14:paraId="75798AC5" w14:textId="77777777" w:rsidR="004A6408" w:rsidRPr="0085788A" w:rsidRDefault="004A6408" w:rsidP="00A95965">
            <w:pPr>
              <w:pStyle w:val="TableText"/>
              <w:rPr>
                <w:b/>
              </w:rPr>
            </w:pPr>
            <w:r w:rsidRPr="0085788A">
              <w:rPr>
                <w:b/>
              </w:rPr>
              <w:t>Patient Name</w:t>
            </w:r>
          </w:p>
        </w:tc>
        <w:tc>
          <w:tcPr>
            <w:tcW w:w="2189" w:type="dxa"/>
            <w:tcBorders>
              <w:bottom w:val="single" w:sz="2" w:space="0" w:color="auto"/>
            </w:tcBorders>
            <w:shd w:val="clear" w:color="auto" w:fill="B3B3B3"/>
            <w:noWrap/>
          </w:tcPr>
          <w:p w14:paraId="52CDA658" w14:textId="77777777" w:rsidR="004A6408" w:rsidRPr="0085788A" w:rsidRDefault="004A6408" w:rsidP="00A95965">
            <w:pPr>
              <w:pStyle w:val="TableText"/>
              <w:rPr>
                <w:b/>
              </w:rPr>
            </w:pPr>
            <w:r w:rsidRPr="0085788A">
              <w:rPr>
                <w:b/>
              </w:rPr>
              <w:t xml:space="preserve">Patient </w:t>
            </w:r>
            <w:r>
              <w:rPr>
                <w:b/>
                <w:szCs w:val="20"/>
              </w:rPr>
              <w:t>Identification Number</w:t>
            </w:r>
            <w:r w:rsidRPr="0085788A">
              <w:rPr>
                <w:b/>
              </w:rPr>
              <w:t xml:space="preserve"> </w:t>
            </w:r>
          </w:p>
        </w:tc>
        <w:tc>
          <w:tcPr>
            <w:tcW w:w="1244" w:type="dxa"/>
            <w:tcBorders>
              <w:bottom w:val="single" w:sz="2" w:space="0" w:color="auto"/>
            </w:tcBorders>
            <w:shd w:val="clear" w:color="auto" w:fill="B3B3B3"/>
            <w:noWrap/>
          </w:tcPr>
          <w:p w14:paraId="367364B2" w14:textId="77777777" w:rsidR="004A6408" w:rsidRPr="0085788A" w:rsidRDefault="004A6408" w:rsidP="00A95965">
            <w:pPr>
              <w:pStyle w:val="TableText"/>
              <w:rPr>
                <w:b/>
              </w:rPr>
            </w:pPr>
            <w:r w:rsidRPr="0085788A">
              <w:rPr>
                <w:b/>
              </w:rPr>
              <w:t>Location</w:t>
            </w:r>
          </w:p>
        </w:tc>
        <w:tc>
          <w:tcPr>
            <w:tcW w:w="2317" w:type="dxa"/>
            <w:gridSpan w:val="2"/>
            <w:tcBorders>
              <w:bottom w:val="single" w:sz="2" w:space="0" w:color="auto"/>
            </w:tcBorders>
            <w:shd w:val="clear" w:color="auto" w:fill="B3B3B3"/>
            <w:noWrap/>
          </w:tcPr>
          <w:p w14:paraId="03EADBA2" w14:textId="77777777" w:rsidR="004A6408" w:rsidRPr="0085788A" w:rsidRDefault="004A6408" w:rsidP="00A95965">
            <w:pPr>
              <w:pStyle w:val="TableText"/>
              <w:rPr>
                <w:b/>
              </w:rPr>
            </w:pPr>
            <w:r w:rsidRPr="0085788A">
              <w:rPr>
                <w:b/>
              </w:rPr>
              <w:t>CPRS Order Number</w:t>
            </w:r>
          </w:p>
        </w:tc>
        <w:tc>
          <w:tcPr>
            <w:tcW w:w="2317" w:type="dxa"/>
            <w:gridSpan w:val="3"/>
            <w:tcBorders>
              <w:bottom w:val="single" w:sz="2" w:space="0" w:color="auto"/>
            </w:tcBorders>
            <w:shd w:val="clear" w:color="auto" w:fill="B3B3B3"/>
            <w:noWrap/>
          </w:tcPr>
          <w:p w14:paraId="63F87698" w14:textId="77777777" w:rsidR="004A6408" w:rsidRPr="0085788A" w:rsidRDefault="004A6408" w:rsidP="00A95965">
            <w:pPr>
              <w:pStyle w:val="TableText"/>
              <w:rPr>
                <w:b/>
              </w:rPr>
            </w:pPr>
            <w:r w:rsidRPr="0085788A">
              <w:rPr>
                <w:b/>
              </w:rPr>
              <w:t>Lab Order Number</w:t>
            </w:r>
          </w:p>
        </w:tc>
        <w:tc>
          <w:tcPr>
            <w:tcW w:w="1159" w:type="dxa"/>
            <w:gridSpan w:val="2"/>
            <w:tcBorders>
              <w:bottom w:val="single" w:sz="2" w:space="0" w:color="auto"/>
            </w:tcBorders>
            <w:shd w:val="clear" w:color="auto" w:fill="B3B3B3"/>
            <w:noWrap/>
          </w:tcPr>
          <w:p w14:paraId="4DEA8D85" w14:textId="77777777" w:rsidR="004A6408" w:rsidRPr="0085788A" w:rsidRDefault="004A6408" w:rsidP="00A95965">
            <w:pPr>
              <w:pStyle w:val="TableText"/>
              <w:rPr>
                <w:b/>
              </w:rPr>
            </w:pPr>
            <w:r w:rsidRPr="0085788A">
              <w:rPr>
                <w:b/>
              </w:rPr>
              <w:t>Urgency</w:t>
            </w:r>
          </w:p>
        </w:tc>
        <w:tc>
          <w:tcPr>
            <w:tcW w:w="1459" w:type="dxa"/>
            <w:tcBorders>
              <w:bottom w:val="single" w:sz="2" w:space="0" w:color="auto"/>
            </w:tcBorders>
            <w:shd w:val="clear" w:color="auto" w:fill="B3B3B3"/>
            <w:noWrap/>
          </w:tcPr>
          <w:p w14:paraId="3A43FB29" w14:textId="77777777" w:rsidR="004A6408" w:rsidRPr="0085788A" w:rsidRDefault="004A6408" w:rsidP="00A95965">
            <w:pPr>
              <w:pStyle w:val="TableText"/>
              <w:rPr>
                <w:b/>
              </w:rPr>
            </w:pPr>
            <w:r w:rsidRPr="0085788A">
              <w:rPr>
                <w:b/>
              </w:rPr>
              <w:t>Appropriate?</w:t>
            </w:r>
            <w:r>
              <w:rPr>
                <w:b/>
              </w:rPr>
              <w:t xml:space="preserve"> (Yes, No)</w:t>
            </w:r>
          </w:p>
        </w:tc>
      </w:tr>
      <w:tr w:rsidR="004A6408" w:rsidRPr="004603A1" w14:paraId="26A35F95"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432"/>
        </w:trPr>
        <w:tc>
          <w:tcPr>
            <w:tcW w:w="2275" w:type="dxa"/>
            <w:tcBorders>
              <w:top w:val="single" w:sz="2" w:space="0" w:color="auto"/>
              <w:left w:val="single" w:sz="2" w:space="0" w:color="auto"/>
              <w:bottom w:val="single" w:sz="2" w:space="0" w:color="auto"/>
              <w:right w:val="single" w:sz="2" w:space="0" w:color="auto"/>
            </w:tcBorders>
            <w:shd w:val="clear" w:color="auto" w:fill="auto"/>
            <w:noWrap/>
          </w:tcPr>
          <w:p w14:paraId="78EAE606" w14:textId="77777777" w:rsidR="004A6408" w:rsidRPr="004603A1" w:rsidRDefault="004A6408" w:rsidP="00A95965">
            <w:pPr>
              <w:pStyle w:val="TableText"/>
            </w:pPr>
          </w:p>
        </w:tc>
        <w:tc>
          <w:tcPr>
            <w:tcW w:w="2189" w:type="dxa"/>
            <w:tcBorders>
              <w:top w:val="single" w:sz="2" w:space="0" w:color="auto"/>
              <w:left w:val="single" w:sz="2" w:space="0" w:color="auto"/>
              <w:bottom w:val="single" w:sz="2" w:space="0" w:color="auto"/>
              <w:right w:val="single" w:sz="2" w:space="0" w:color="auto"/>
            </w:tcBorders>
            <w:shd w:val="clear" w:color="auto" w:fill="auto"/>
            <w:noWrap/>
          </w:tcPr>
          <w:p w14:paraId="66877128" w14:textId="77777777" w:rsidR="004A6408" w:rsidRPr="004603A1" w:rsidRDefault="004A6408" w:rsidP="00A95965">
            <w:pPr>
              <w:pStyle w:val="TableText"/>
            </w:pPr>
          </w:p>
        </w:tc>
        <w:tc>
          <w:tcPr>
            <w:tcW w:w="1244" w:type="dxa"/>
            <w:tcBorders>
              <w:top w:val="single" w:sz="2" w:space="0" w:color="auto"/>
              <w:left w:val="single" w:sz="2" w:space="0" w:color="auto"/>
              <w:bottom w:val="single" w:sz="2" w:space="0" w:color="auto"/>
              <w:right w:val="single" w:sz="2" w:space="0" w:color="auto"/>
            </w:tcBorders>
            <w:shd w:val="clear" w:color="auto" w:fill="auto"/>
            <w:noWrap/>
          </w:tcPr>
          <w:p w14:paraId="750D0AD5" w14:textId="77777777" w:rsidR="004A6408" w:rsidRPr="004603A1" w:rsidRDefault="004A6408" w:rsidP="00A95965">
            <w:pPr>
              <w:pStyle w:val="TableText"/>
            </w:pPr>
          </w:p>
        </w:tc>
        <w:tc>
          <w:tcPr>
            <w:tcW w:w="2317" w:type="dxa"/>
            <w:gridSpan w:val="2"/>
            <w:tcBorders>
              <w:top w:val="single" w:sz="2" w:space="0" w:color="auto"/>
              <w:left w:val="single" w:sz="2" w:space="0" w:color="auto"/>
              <w:bottom w:val="single" w:sz="2" w:space="0" w:color="auto"/>
              <w:right w:val="single" w:sz="2" w:space="0" w:color="auto"/>
            </w:tcBorders>
            <w:shd w:val="clear" w:color="auto" w:fill="auto"/>
            <w:noWrap/>
          </w:tcPr>
          <w:p w14:paraId="10657E86" w14:textId="77777777" w:rsidR="004A6408" w:rsidRPr="004603A1" w:rsidRDefault="004A6408" w:rsidP="00A95965">
            <w:pPr>
              <w:pStyle w:val="TableText"/>
            </w:pPr>
          </w:p>
        </w:tc>
        <w:tc>
          <w:tcPr>
            <w:tcW w:w="2317" w:type="dxa"/>
            <w:gridSpan w:val="3"/>
            <w:tcBorders>
              <w:top w:val="single" w:sz="2" w:space="0" w:color="auto"/>
              <w:left w:val="single" w:sz="2" w:space="0" w:color="auto"/>
              <w:bottom w:val="single" w:sz="2" w:space="0" w:color="auto"/>
              <w:right w:val="single" w:sz="2" w:space="0" w:color="auto"/>
            </w:tcBorders>
            <w:shd w:val="clear" w:color="auto" w:fill="auto"/>
            <w:noWrap/>
          </w:tcPr>
          <w:p w14:paraId="20B398F3" w14:textId="77777777" w:rsidR="004A6408" w:rsidRPr="004603A1" w:rsidRDefault="004A6408" w:rsidP="00A95965">
            <w:pPr>
              <w:pStyle w:val="TableText"/>
            </w:pPr>
          </w:p>
        </w:tc>
        <w:tc>
          <w:tcPr>
            <w:tcW w:w="1159" w:type="dxa"/>
            <w:gridSpan w:val="2"/>
            <w:tcBorders>
              <w:top w:val="single" w:sz="2" w:space="0" w:color="auto"/>
              <w:left w:val="single" w:sz="2" w:space="0" w:color="auto"/>
              <w:bottom w:val="single" w:sz="2" w:space="0" w:color="auto"/>
              <w:right w:val="single" w:sz="2" w:space="0" w:color="auto"/>
            </w:tcBorders>
            <w:shd w:val="clear" w:color="auto" w:fill="auto"/>
            <w:noWrap/>
          </w:tcPr>
          <w:p w14:paraId="24FF5395" w14:textId="77777777" w:rsidR="004A6408" w:rsidRPr="004603A1" w:rsidRDefault="004A6408" w:rsidP="00A95965">
            <w:pPr>
              <w:pStyle w:val="TableText"/>
            </w:pPr>
          </w:p>
        </w:tc>
        <w:tc>
          <w:tcPr>
            <w:tcW w:w="1459" w:type="dxa"/>
            <w:tcBorders>
              <w:top w:val="single" w:sz="2" w:space="0" w:color="auto"/>
              <w:left w:val="single" w:sz="2" w:space="0" w:color="auto"/>
              <w:bottom w:val="single" w:sz="2" w:space="0" w:color="auto"/>
              <w:right w:val="single" w:sz="2" w:space="0" w:color="auto"/>
            </w:tcBorders>
            <w:shd w:val="clear" w:color="auto" w:fill="auto"/>
            <w:noWrap/>
          </w:tcPr>
          <w:p w14:paraId="72364288" w14:textId="77777777" w:rsidR="004A6408" w:rsidRPr="004603A1" w:rsidRDefault="004A6408" w:rsidP="00A95965">
            <w:pPr>
              <w:pStyle w:val="TableText"/>
            </w:pPr>
          </w:p>
        </w:tc>
      </w:tr>
      <w:tr w:rsidR="004A6408" w:rsidRPr="004603A1" w14:paraId="2AEFEB7A"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432"/>
        </w:trPr>
        <w:tc>
          <w:tcPr>
            <w:tcW w:w="2275" w:type="dxa"/>
            <w:tcBorders>
              <w:top w:val="single" w:sz="2" w:space="0" w:color="auto"/>
              <w:left w:val="single" w:sz="2" w:space="0" w:color="auto"/>
              <w:bottom w:val="single" w:sz="2" w:space="0" w:color="auto"/>
              <w:right w:val="single" w:sz="2" w:space="0" w:color="auto"/>
            </w:tcBorders>
            <w:shd w:val="clear" w:color="auto" w:fill="B3B3B3"/>
            <w:noWrap/>
          </w:tcPr>
          <w:p w14:paraId="64969A7D" w14:textId="77777777" w:rsidR="004A6408" w:rsidRPr="0085788A" w:rsidRDefault="004A6408" w:rsidP="00A95965">
            <w:pPr>
              <w:pStyle w:val="TableText"/>
              <w:rPr>
                <w:b/>
              </w:rPr>
            </w:pPr>
            <w:r w:rsidRPr="0085788A">
              <w:rPr>
                <w:b/>
              </w:rPr>
              <w:t>Specimen UID</w:t>
            </w:r>
          </w:p>
        </w:tc>
        <w:tc>
          <w:tcPr>
            <w:tcW w:w="2189" w:type="dxa"/>
            <w:tcBorders>
              <w:top w:val="single" w:sz="2" w:space="0" w:color="auto"/>
              <w:left w:val="single" w:sz="2" w:space="0" w:color="auto"/>
              <w:bottom w:val="single" w:sz="2" w:space="0" w:color="auto"/>
              <w:right w:val="single" w:sz="2" w:space="0" w:color="auto"/>
            </w:tcBorders>
            <w:shd w:val="clear" w:color="auto" w:fill="B3B3B3"/>
            <w:noWrap/>
          </w:tcPr>
          <w:p w14:paraId="00B19291" w14:textId="77777777" w:rsidR="004A6408" w:rsidRPr="0085788A" w:rsidRDefault="004A6408" w:rsidP="00A95965">
            <w:pPr>
              <w:pStyle w:val="TableText"/>
              <w:rPr>
                <w:b/>
              </w:rPr>
            </w:pPr>
            <w:r w:rsidRPr="0085788A">
              <w:rPr>
                <w:rFonts w:eastAsia="Symbol"/>
                <w:b/>
              </w:rPr>
              <w:t>Date</w:t>
            </w:r>
            <w:r>
              <w:rPr>
                <w:rFonts w:eastAsia="Symbol"/>
                <w:b/>
              </w:rPr>
              <w:t xml:space="preserve"> and </w:t>
            </w:r>
            <w:r w:rsidRPr="0085788A">
              <w:rPr>
                <w:rFonts w:eastAsia="Symbol"/>
                <w:b/>
              </w:rPr>
              <w:t>Time Collected</w:t>
            </w:r>
          </w:p>
        </w:tc>
        <w:tc>
          <w:tcPr>
            <w:tcW w:w="2664" w:type="dxa"/>
            <w:gridSpan w:val="2"/>
            <w:tcBorders>
              <w:top w:val="single" w:sz="2" w:space="0" w:color="auto"/>
              <w:left w:val="single" w:sz="2" w:space="0" w:color="auto"/>
              <w:bottom w:val="single" w:sz="2" w:space="0" w:color="auto"/>
              <w:right w:val="single" w:sz="2" w:space="0" w:color="auto"/>
            </w:tcBorders>
            <w:shd w:val="clear" w:color="auto" w:fill="B3B3B3"/>
            <w:noWrap/>
          </w:tcPr>
          <w:p w14:paraId="37508065" w14:textId="77777777" w:rsidR="004A6408" w:rsidRPr="004603A1" w:rsidRDefault="004A6408" w:rsidP="00A95965">
            <w:pPr>
              <w:pStyle w:val="TableText"/>
            </w:pPr>
            <w:r w:rsidRPr="0085788A">
              <w:rPr>
                <w:b/>
              </w:rPr>
              <w:t xml:space="preserve">Phlebotomist </w:t>
            </w:r>
            <w:r>
              <w:rPr>
                <w:b/>
                <w:szCs w:val="20"/>
              </w:rPr>
              <w:t>Name</w:t>
            </w:r>
          </w:p>
        </w:tc>
        <w:tc>
          <w:tcPr>
            <w:tcW w:w="2520" w:type="dxa"/>
            <w:gridSpan w:val="3"/>
            <w:tcBorders>
              <w:top w:val="single" w:sz="2" w:space="0" w:color="auto"/>
              <w:left w:val="single" w:sz="2" w:space="0" w:color="auto"/>
              <w:bottom w:val="single" w:sz="2" w:space="0" w:color="auto"/>
              <w:right w:val="single" w:sz="2" w:space="0" w:color="auto"/>
            </w:tcBorders>
            <w:shd w:val="clear" w:color="auto" w:fill="B3B3B3"/>
            <w:noWrap/>
          </w:tcPr>
          <w:p w14:paraId="265A739E" w14:textId="77777777" w:rsidR="004A6408" w:rsidRPr="004603A1" w:rsidRDefault="004A6408" w:rsidP="00A95965">
            <w:pPr>
              <w:pStyle w:val="TableText"/>
            </w:pPr>
            <w:r w:rsidRPr="0085788A">
              <w:rPr>
                <w:b/>
              </w:rPr>
              <w:t>Date</w:t>
            </w:r>
            <w:r>
              <w:rPr>
                <w:b/>
              </w:rPr>
              <w:t xml:space="preserve"> and </w:t>
            </w:r>
            <w:r w:rsidRPr="0085788A">
              <w:rPr>
                <w:b/>
              </w:rPr>
              <w:t>Time Received</w:t>
            </w:r>
          </w:p>
        </w:tc>
        <w:tc>
          <w:tcPr>
            <w:tcW w:w="1853" w:type="dxa"/>
            <w:gridSpan w:val="3"/>
            <w:tcBorders>
              <w:top w:val="single" w:sz="2" w:space="0" w:color="auto"/>
              <w:left w:val="single" w:sz="2" w:space="0" w:color="auto"/>
              <w:bottom w:val="single" w:sz="2" w:space="0" w:color="auto"/>
              <w:right w:val="single" w:sz="2" w:space="0" w:color="auto"/>
            </w:tcBorders>
            <w:shd w:val="clear" w:color="auto" w:fill="B3B3B3"/>
            <w:noWrap/>
          </w:tcPr>
          <w:p w14:paraId="771239EE" w14:textId="77777777" w:rsidR="004A6408" w:rsidRPr="004603A1" w:rsidRDefault="004A6408" w:rsidP="00A95965">
            <w:pPr>
              <w:pStyle w:val="TableText"/>
            </w:pPr>
            <w:r w:rsidRPr="0085788A">
              <w:rPr>
                <w:b/>
              </w:rPr>
              <w:t xml:space="preserve">Processed </w:t>
            </w:r>
            <w:r>
              <w:rPr>
                <w:b/>
              </w:rPr>
              <w:t>B</w:t>
            </w:r>
            <w:r w:rsidRPr="0085788A">
              <w:rPr>
                <w:b/>
              </w:rPr>
              <w:t>y:</w:t>
            </w:r>
          </w:p>
        </w:tc>
        <w:tc>
          <w:tcPr>
            <w:tcW w:w="1459" w:type="dxa"/>
            <w:tcBorders>
              <w:top w:val="single" w:sz="2" w:space="0" w:color="auto"/>
              <w:left w:val="single" w:sz="2" w:space="0" w:color="auto"/>
              <w:bottom w:val="single" w:sz="2" w:space="0" w:color="auto"/>
              <w:right w:val="single" w:sz="2" w:space="0" w:color="auto"/>
            </w:tcBorders>
            <w:shd w:val="clear" w:color="auto" w:fill="B3B3B3"/>
            <w:noWrap/>
          </w:tcPr>
          <w:p w14:paraId="11454EE2" w14:textId="77777777" w:rsidR="004A6408" w:rsidRPr="004603A1" w:rsidRDefault="004A6408" w:rsidP="00A95965">
            <w:pPr>
              <w:pStyle w:val="TableText"/>
            </w:pPr>
            <w:r w:rsidRPr="0085788A">
              <w:rPr>
                <w:b/>
              </w:rPr>
              <w:t>Acceptable?</w:t>
            </w:r>
            <w:r>
              <w:rPr>
                <w:b/>
              </w:rPr>
              <w:t xml:space="preserve"> (Yes, No)</w:t>
            </w:r>
          </w:p>
        </w:tc>
      </w:tr>
      <w:tr w:rsidR="004A6408" w:rsidRPr="004603A1" w14:paraId="2543F8A0"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432"/>
        </w:trPr>
        <w:tc>
          <w:tcPr>
            <w:tcW w:w="2275" w:type="dxa"/>
            <w:tcBorders>
              <w:top w:val="single" w:sz="2" w:space="0" w:color="auto"/>
              <w:left w:val="single" w:sz="2" w:space="0" w:color="auto"/>
              <w:bottom w:val="single" w:sz="2" w:space="0" w:color="auto"/>
              <w:right w:val="single" w:sz="2" w:space="0" w:color="auto"/>
            </w:tcBorders>
            <w:shd w:val="clear" w:color="auto" w:fill="auto"/>
            <w:noWrap/>
          </w:tcPr>
          <w:p w14:paraId="512963B6" w14:textId="77777777" w:rsidR="004A6408" w:rsidRPr="004603A1" w:rsidRDefault="004A6408" w:rsidP="00A95965">
            <w:pPr>
              <w:pStyle w:val="TableText"/>
            </w:pPr>
          </w:p>
        </w:tc>
        <w:tc>
          <w:tcPr>
            <w:tcW w:w="2189" w:type="dxa"/>
            <w:tcBorders>
              <w:top w:val="single" w:sz="2" w:space="0" w:color="auto"/>
              <w:left w:val="single" w:sz="2" w:space="0" w:color="auto"/>
              <w:bottom w:val="single" w:sz="2" w:space="0" w:color="auto"/>
              <w:right w:val="single" w:sz="2" w:space="0" w:color="auto"/>
            </w:tcBorders>
            <w:shd w:val="clear" w:color="auto" w:fill="auto"/>
            <w:noWrap/>
          </w:tcPr>
          <w:p w14:paraId="3BE32664" w14:textId="77777777" w:rsidR="004A6408" w:rsidRPr="004603A1" w:rsidRDefault="004A6408" w:rsidP="00A95965">
            <w:pPr>
              <w:pStyle w:val="TableText"/>
            </w:pPr>
          </w:p>
        </w:tc>
        <w:tc>
          <w:tcPr>
            <w:tcW w:w="2664" w:type="dxa"/>
            <w:gridSpan w:val="2"/>
            <w:tcBorders>
              <w:top w:val="single" w:sz="2" w:space="0" w:color="auto"/>
              <w:left w:val="single" w:sz="2" w:space="0" w:color="auto"/>
              <w:bottom w:val="single" w:sz="2" w:space="0" w:color="auto"/>
              <w:right w:val="single" w:sz="2" w:space="0" w:color="auto"/>
            </w:tcBorders>
            <w:shd w:val="clear" w:color="auto" w:fill="auto"/>
            <w:noWrap/>
          </w:tcPr>
          <w:p w14:paraId="1444AC0A" w14:textId="77777777" w:rsidR="004A6408" w:rsidRPr="004603A1" w:rsidRDefault="004A6408" w:rsidP="00A95965">
            <w:pPr>
              <w:pStyle w:val="TableText"/>
            </w:pPr>
          </w:p>
        </w:tc>
        <w:tc>
          <w:tcPr>
            <w:tcW w:w="2520" w:type="dxa"/>
            <w:gridSpan w:val="3"/>
            <w:tcBorders>
              <w:top w:val="single" w:sz="2" w:space="0" w:color="auto"/>
              <w:left w:val="single" w:sz="2" w:space="0" w:color="auto"/>
              <w:bottom w:val="single" w:sz="2" w:space="0" w:color="auto"/>
              <w:right w:val="single" w:sz="2" w:space="0" w:color="auto"/>
            </w:tcBorders>
            <w:shd w:val="clear" w:color="auto" w:fill="auto"/>
            <w:noWrap/>
          </w:tcPr>
          <w:p w14:paraId="2988A9B7" w14:textId="77777777" w:rsidR="004A6408" w:rsidRPr="004603A1" w:rsidRDefault="004A6408" w:rsidP="00A95965">
            <w:pPr>
              <w:pStyle w:val="TableText"/>
            </w:pPr>
          </w:p>
        </w:tc>
        <w:tc>
          <w:tcPr>
            <w:tcW w:w="1853" w:type="dxa"/>
            <w:gridSpan w:val="3"/>
            <w:tcBorders>
              <w:top w:val="single" w:sz="2" w:space="0" w:color="auto"/>
              <w:left w:val="single" w:sz="2" w:space="0" w:color="auto"/>
              <w:bottom w:val="single" w:sz="2" w:space="0" w:color="auto"/>
              <w:right w:val="single" w:sz="2" w:space="0" w:color="auto"/>
            </w:tcBorders>
            <w:shd w:val="clear" w:color="auto" w:fill="auto"/>
            <w:noWrap/>
          </w:tcPr>
          <w:p w14:paraId="7AE3A027" w14:textId="77777777" w:rsidR="004A6408" w:rsidRPr="004603A1" w:rsidRDefault="004A6408" w:rsidP="00A95965">
            <w:pPr>
              <w:pStyle w:val="TableText"/>
            </w:pPr>
          </w:p>
        </w:tc>
        <w:tc>
          <w:tcPr>
            <w:tcW w:w="1459" w:type="dxa"/>
            <w:tcBorders>
              <w:top w:val="single" w:sz="2" w:space="0" w:color="auto"/>
              <w:left w:val="single" w:sz="2" w:space="0" w:color="auto"/>
              <w:bottom w:val="single" w:sz="2" w:space="0" w:color="auto"/>
              <w:right w:val="single" w:sz="2" w:space="0" w:color="auto"/>
            </w:tcBorders>
            <w:shd w:val="clear" w:color="auto" w:fill="auto"/>
            <w:noWrap/>
          </w:tcPr>
          <w:p w14:paraId="0983EDBC" w14:textId="77777777" w:rsidR="004A6408" w:rsidRPr="004603A1" w:rsidRDefault="004A6408" w:rsidP="00A95965">
            <w:pPr>
              <w:pStyle w:val="TableText"/>
            </w:pPr>
          </w:p>
        </w:tc>
      </w:tr>
      <w:tr w:rsidR="004A6408" w14:paraId="640A3A8D"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432"/>
        </w:trPr>
        <w:tc>
          <w:tcPr>
            <w:tcW w:w="12960" w:type="dxa"/>
            <w:gridSpan w:val="11"/>
            <w:noWrap/>
          </w:tcPr>
          <w:p w14:paraId="3BA5D5DC" w14:textId="77777777" w:rsidR="004A6408" w:rsidRPr="00547668" w:rsidRDefault="004A6408" w:rsidP="00A95965">
            <w:pPr>
              <w:pStyle w:val="TableText"/>
              <w:rPr>
                <w:b/>
                <w:szCs w:val="20"/>
              </w:rPr>
            </w:pPr>
            <w:r w:rsidRPr="00547668">
              <w:rPr>
                <w:b/>
                <w:szCs w:val="20"/>
              </w:rPr>
              <w:t>Ordered Tests:</w:t>
            </w:r>
          </w:p>
        </w:tc>
      </w:tr>
      <w:tr w:rsidR="004A6408" w14:paraId="1A4E9325"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432"/>
        </w:trPr>
        <w:tc>
          <w:tcPr>
            <w:tcW w:w="8628" w:type="dxa"/>
            <w:gridSpan w:val="6"/>
            <w:noWrap/>
          </w:tcPr>
          <w:p w14:paraId="7775270F" w14:textId="77777777" w:rsidR="004A6408" w:rsidRPr="00547668" w:rsidRDefault="004A6408" w:rsidP="00A95965">
            <w:pPr>
              <w:pStyle w:val="TableText"/>
              <w:rPr>
                <w:b/>
                <w:szCs w:val="20"/>
              </w:rPr>
            </w:pPr>
            <w:r w:rsidRPr="00547668">
              <w:rPr>
                <w:b/>
                <w:szCs w:val="20"/>
              </w:rPr>
              <w:t>Comments:</w:t>
            </w:r>
          </w:p>
        </w:tc>
        <w:tc>
          <w:tcPr>
            <w:tcW w:w="2171" w:type="dxa"/>
            <w:gridSpan w:val="3"/>
          </w:tcPr>
          <w:p w14:paraId="6468639B" w14:textId="77777777" w:rsidR="004A6408" w:rsidRPr="00547668" w:rsidRDefault="004A6408" w:rsidP="00A95965">
            <w:pPr>
              <w:pStyle w:val="TableText"/>
              <w:rPr>
                <w:b/>
                <w:szCs w:val="20"/>
              </w:rPr>
            </w:pPr>
            <w:r w:rsidRPr="00547668">
              <w:rPr>
                <w:b/>
                <w:szCs w:val="20"/>
              </w:rPr>
              <w:t>Entered By:</w:t>
            </w:r>
          </w:p>
        </w:tc>
        <w:tc>
          <w:tcPr>
            <w:tcW w:w="2161" w:type="dxa"/>
            <w:gridSpan w:val="2"/>
          </w:tcPr>
          <w:p w14:paraId="13C22693" w14:textId="77777777" w:rsidR="004A6408" w:rsidRPr="00547668" w:rsidRDefault="004A6408" w:rsidP="00A95965">
            <w:pPr>
              <w:pStyle w:val="TableText"/>
              <w:rPr>
                <w:b/>
                <w:szCs w:val="20"/>
              </w:rPr>
            </w:pPr>
            <w:r w:rsidRPr="00547668">
              <w:rPr>
                <w:b/>
                <w:szCs w:val="20"/>
              </w:rPr>
              <w:t>Date and Time</w:t>
            </w:r>
            <w:r>
              <w:rPr>
                <w:b/>
                <w:szCs w:val="20"/>
              </w:rPr>
              <w:t>:</w:t>
            </w:r>
          </w:p>
        </w:tc>
      </w:tr>
    </w:tbl>
    <w:p w14:paraId="536FBFB1" w14:textId="77777777" w:rsidR="004A6408" w:rsidRDefault="004A6408" w:rsidP="00DD75E5">
      <w:pPr>
        <w:pStyle w:val="BodyText"/>
      </w:pPr>
    </w:p>
    <w:tbl>
      <w:tblPr>
        <w:tblW w:w="129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
      <w:tblGrid>
        <w:gridCol w:w="1455"/>
        <w:gridCol w:w="897"/>
        <w:gridCol w:w="546"/>
        <w:gridCol w:w="1407"/>
        <w:gridCol w:w="28"/>
        <w:gridCol w:w="1434"/>
        <w:gridCol w:w="1434"/>
        <w:gridCol w:w="1441"/>
        <w:gridCol w:w="1433"/>
        <w:gridCol w:w="1433"/>
        <w:gridCol w:w="1452"/>
      </w:tblGrid>
      <w:tr w:rsidR="004A6408" w14:paraId="4D3DC2F4" w14:textId="77777777">
        <w:trPr>
          <w:cantSplit/>
          <w:trHeight w:val="230"/>
        </w:trPr>
        <w:tc>
          <w:tcPr>
            <w:tcW w:w="2352" w:type="dxa"/>
            <w:gridSpan w:val="2"/>
            <w:shd w:val="clear" w:color="auto" w:fill="B3B3B3"/>
            <w:noWrap/>
          </w:tcPr>
          <w:p w14:paraId="0119CD8F" w14:textId="77777777" w:rsidR="004A6408" w:rsidRPr="00DD058C" w:rsidRDefault="004A6408" w:rsidP="00A95965">
            <w:pPr>
              <w:pStyle w:val="TableText"/>
              <w:rPr>
                <w:b/>
                <w:szCs w:val="20"/>
              </w:rPr>
            </w:pPr>
            <w:r>
              <w:rPr>
                <w:b/>
                <w:szCs w:val="20"/>
              </w:rPr>
              <w:t>Reagent Rack</w:t>
            </w:r>
          </w:p>
        </w:tc>
        <w:tc>
          <w:tcPr>
            <w:tcW w:w="1953" w:type="dxa"/>
            <w:gridSpan w:val="2"/>
            <w:shd w:val="clear" w:color="auto" w:fill="B3B3B3"/>
          </w:tcPr>
          <w:p w14:paraId="55EF9BC6" w14:textId="77777777" w:rsidR="004A6408" w:rsidRPr="00DD058C" w:rsidRDefault="004A6408" w:rsidP="00A95965">
            <w:pPr>
              <w:pStyle w:val="TableText"/>
              <w:rPr>
                <w:b/>
                <w:szCs w:val="20"/>
              </w:rPr>
            </w:pPr>
            <w:r>
              <w:rPr>
                <w:b/>
                <w:szCs w:val="20"/>
              </w:rPr>
              <w:t>Date and Time</w:t>
            </w:r>
          </w:p>
        </w:tc>
        <w:tc>
          <w:tcPr>
            <w:tcW w:w="8655" w:type="dxa"/>
            <w:gridSpan w:val="7"/>
            <w:shd w:val="clear" w:color="auto" w:fill="B3B3B3"/>
          </w:tcPr>
          <w:p w14:paraId="6437D6F1" w14:textId="77777777" w:rsidR="004A6408" w:rsidRPr="00DD058C" w:rsidRDefault="004A6408" w:rsidP="00A95965">
            <w:pPr>
              <w:pStyle w:val="TableText"/>
              <w:rPr>
                <w:b/>
                <w:szCs w:val="20"/>
              </w:rPr>
            </w:pPr>
            <w:r>
              <w:rPr>
                <w:b/>
                <w:szCs w:val="20"/>
              </w:rPr>
              <w:t>Tech Name</w:t>
            </w:r>
          </w:p>
        </w:tc>
      </w:tr>
      <w:tr w:rsidR="004A6408" w14:paraId="71E8E720" w14:textId="77777777">
        <w:tblPrEx>
          <w:shd w:val="clear" w:color="auto" w:fill="auto"/>
        </w:tblPrEx>
        <w:trPr>
          <w:cantSplit/>
          <w:trHeight w:val="432"/>
        </w:trPr>
        <w:tc>
          <w:tcPr>
            <w:tcW w:w="2352" w:type="dxa"/>
            <w:gridSpan w:val="2"/>
            <w:noWrap/>
          </w:tcPr>
          <w:p w14:paraId="556CD797" w14:textId="77777777" w:rsidR="004A6408" w:rsidRDefault="004A6408" w:rsidP="00A95965">
            <w:pPr>
              <w:pStyle w:val="TableText"/>
              <w:rPr>
                <w:szCs w:val="20"/>
              </w:rPr>
            </w:pPr>
          </w:p>
        </w:tc>
        <w:tc>
          <w:tcPr>
            <w:tcW w:w="1953" w:type="dxa"/>
            <w:gridSpan w:val="2"/>
          </w:tcPr>
          <w:p w14:paraId="4B97AA99" w14:textId="77777777" w:rsidR="004A6408" w:rsidRDefault="004A6408" w:rsidP="00A95965">
            <w:pPr>
              <w:pStyle w:val="TableText"/>
              <w:rPr>
                <w:szCs w:val="20"/>
              </w:rPr>
            </w:pPr>
          </w:p>
        </w:tc>
        <w:tc>
          <w:tcPr>
            <w:tcW w:w="8655" w:type="dxa"/>
            <w:gridSpan w:val="7"/>
          </w:tcPr>
          <w:p w14:paraId="14789B42" w14:textId="77777777" w:rsidR="004A6408" w:rsidRDefault="004A6408" w:rsidP="00A95965">
            <w:pPr>
              <w:pStyle w:val="TableText"/>
              <w:rPr>
                <w:szCs w:val="20"/>
              </w:rPr>
            </w:pPr>
          </w:p>
        </w:tc>
      </w:tr>
      <w:tr w:rsidR="004A6408" w14:paraId="4E8EB06F" w14:textId="77777777">
        <w:tblPrEx>
          <w:shd w:val="clear" w:color="auto" w:fill="auto"/>
        </w:tblPrEx>
        <w:trPr>
          <w:cantSplit/>
          <w:trHeight w:val="230"/>
          <w:tblHeader/>
        </w:trPr>
        <w:tc>
          <w:tcPr>
            <w:tcW w:w="1455" w:type="dxa"/>
            <w:vMerge w:val="restart"/>
            <w:shd w:val="clear" w:color="auto" w:fill="B3B3B3"/>
            <w:noWrap/>
          </w:tcPr>
          <w:p w14:paraId="0EF7A0A7" w14:textId="77777777" w:rsidR="004A6408" w:rsidRPr="00E42FCF" w:rsidRDefault="004A6408" w:rsidP="00A95965">
            <w:pPr>
              <w:pStyle w:val="TableText"/>
              <w:rPr>
                <w:b/>
                <w:szCs w:val="20"/>
              </w:rPr>
            </w:pPr>
            <w:r>
              <w:rPr>
                <w:b/>
                <w:szCs w:val="20"/>
              </w:rPr>
              <w:t>Historic ABO/Rh Check</w:t>
            </w:r>
          </w:p>
        </w:tc>
        <w:tc>
          <w:tcPr>
            <w:tcW w:w="4312" w:type="dxa"/>
            <w:gridSpan w:val="5"/>
            <w:tcBorders>
              <w:bottom w:val="single" w:sz="2" w:space="0" w:color="auto"/>
            </w:tcBorders>
            <w:shd w:val="clear" w:color="auto" w:fill="B3B3B3"/>
          </w:tcPr>
          <w:p w14:paraId="4CDADB0B" w14:textId="77777777" w:rsidR="004A6408" w:rsidRPr="00E42FCF" w:rsidRDefault="004A6408" w:rsidP="00FC4396">
            <w:pPr>
              <w:pStyle w:val="TableText"/>
              <w:rPr>
                <w:b/>
                <w:szCs w:val="20"/>
              </w:rPr>
            </w:pPr>
            <w:r w:rsidRPr="00E42FCF">
              <w:rPr>
                <w:b/>
                <w:szCs w:val="20"/>
              </w:rPr>
              <w:t>Forward ABO Grouping</w:t>
            </w:r>
          </w:p>
        </w:tc>
        <w:tc>
          <w:tcPr>
            <w:tcW w:w="2875" w:type="dxa"/>
            <w:gridSpan w:val="2"/>
            <w:tcBorders>
              <w:bottom w:val="single" w:sz="2" w:space="0" w:color="auto"/>
            </w:tcBorders>
            <w:shd w:val="clear" w:color="auto" w:fill="B3B3B3"/>
          </w:tcPr>
          <w:p w14:paraId="03120D91" w14:textId="77777777" w:rsidR="004A6408" w:rsidRPr="00E42FCF" w:rsidRDefault="004A6408" w:rsidP="00FC4396">
            <w:pPr>
              <w:pStyle w:val="TableText"/>
              <w:rPr>
                <w:b/>
                <w:szCs w:val="20"/>
              </w:rPr>
            </w:pPr>
            <w:r w:rsidRPr="00E42FCF">
              <w:rPr>
                <w:b/>
                <w:szCs w:val="20"/>
              </w:rPr>
              <w:t>Rh Typing</w:t>
            </w:r>
          </w:p>
        </w:tc>
        <w:tc>
          <w:tcPr>
            <w:tcW w:w="2866" w:type="dxa"/>
            <w:gridSpan w:val="2"/>
            <w:tcBorders>
              <w:bottom w:val="single" w:sz="2" w:space="0" w:color="auto"/>
            </w:tcBorders>
            <w:shd w:val="clear" w:color="auto" w:fill="B3B3B3"/>
          </w:tcPr>
          <w:p w14:paraId="669F1B9C" w14:textId="77777777" w:rsidR="004A6408" w:rsidRPr="00E42FCF" w:rsidRDefault="004A6408" w:rsidP="00FC4396">
            <w:pPr>
              <w:pStyle w:val="TableText"/>
              <w:rPr>
                <w:b/>
                <w:szCs w:val="20"/>
              </w:rPr>
            </w:pPr>
            <w:r w:rsidRPr="00E42FCF">
              <w:rPr>
                <w:b/>
                <w:szCs w:val="20"/>
              </w:rPr>
              <w:t>Reverse ABO Grouping</w:t>
            </w:r>
          </w:p>
        </w:tc>
        <w:tc>
          <w:tcPr>
            <w:tcW w:w="1452" w:type="dxa"/>
            <w:vMerge w:val="restart"/>
            <w:shd w:val="clear" w:color="auto" w:fill="B3B3B3"/>
          </w:tcPr>
          <w:p w14:paraId="00F328C3" w14:textId="77777777" w:rsidR="004A6408" w:rsidRDefault="004A6408" w:rsidP="00A95965">
            <w:pPr>
              <w:pStyle w:val="TableText"/>
              <w:rPr>
                <w:b/>
                <w:szCs w:val="20"/>
              </w:rPr>
            </w:pPr>
            <w:r w:rsidRPr="00E42FCF">
              <w:rPr>
                <w:b/>
                <w:szCs w:val="20"/>
              </w:rPr>
              <w:t>ABO/Rh</w:t>
            </w:r>
          </w:p>
          <w:p w14:paraId="0B6F7957" w14:textId="77777777" w:rsidR="004A6408" w:rsidRPr="00E42FCF" w:rsidRDefault="004A6408" w:rsidP="00A95965">
            <w:pPr>
              <w:pStyle w:val="TableText"/>
              <w:rPr>
                <w:b/>
                <w:szCs w:val="20"/>
              </w:rPr>
            </w:pPr>
            <w:r>
              <w:rPr>
                <w:b/>
                <w:szCs w:val="20"/>
              </w:rPr>
              <w:t>Interpretation</w:t>
            </w:r>
          </w:p>
        </w:tc>
      </w:tr>
      <w:tr w:rsidR="004A6408" w14:paraId="1D5F4665" w14:textId="77777777">
        <w:tblPrEx>
          <w:shd w:val="clear" w:color="auto" w:fill="auto"/>
        </w:tblPrEx>
        <w:trPr>
          <w:cantSplit/>
          <w:trHeight w:val="230"/>
          <w:tblHeader/>
        </w:trPr>
        <w:tc>
          <w:tcPr>
            <w:tcW w:w="1455" w:type="dxa"/>
            <w:vMerge/>
            <w:noWrap/>
          </w:tcPr>
          <w:p w14:paraId="53136FA6" w14:textId="77777777" w:rsidR="004A6408" w:rsidRDefault="004A6408" w:rsidP="00A95965">
            <w:pPr>
              <w:pStyle w:val="TableText"/>
              <w:rPr>
                <w:szCs w:val="20"/>
              </w:rPr>
            </w:pPr>
          </w:p>
        </w:tc>
        <w:tc>
          <w:tcPr>
            <w:tcW w:w="1443" w:type="dxa"/>
            <w:gridSpan w:val="2"/>
            <w:shd w:val="clear" w:color="auto" w:fill="B3B3B3"/>
          </w:tcPr>
          <w:p w14:paraId="2BAF02E1" w14:textId="77777777" w:rsidR="004A6408" w:rsidRPr="00C3237D" w:rsidRDefault="004A6408" w:rsidP="000D14B2">
            <w:pPr>
              <w:pStyle w:val="TableText"/>
              <w:jc w:val="center"/>
              <w:rPr>
                <w:b/>
                <w:szCs w:val="20"/>
              </w:rPr>
            </w:pPr>
            <w:r>
              <w:rPr>
                <w:b/>
                <w:szCs w:val="20"/>
              </w:rPr>
              <w:t>Anti-A</w:t>
            </w:r>
          </w:p>
        </w:tc>
        <w:tc>
          <w:tcPr>
            <w:tcW w:w="1435" w:type="dxa"/>
            <w:gridSpan w:val="2"/>
            <w:shd w:val="clear" w:color="auto" w:fill="B3B3B3"/>
          </w:tcPr>
          <w:p w14:paraId="740E47D4" w14:textId="77777777" w:rsidR="004A6408" w:rsidRPr="00C3237D" w:rsidRDefault="004A6408" w:rsidP="000D14B2">
            <w:pPr>
              <w:pStyle w:val="TableText"/>
              <w:jc w:val="center"/>
              <w:rPr>
                <w:b/>
                <w:szCs w:val="20"/>
              </w:rPr>
            </w:pPr>
            <w:r>
              <w:rPr>
                <w:b/>
                <w:szCs w:val="20"/>
              </w:rPr>
              <w:t>Anti-B</w:t>
            </w:r>
          </w:p>
        </w:tc>
        <w:tc>
          <w:tcPr>
            <w:tcW w:w="1434" w:type="dxa"/>
            <w:shd w:val="clear" w:color="auto" w:fill="B3B3B3"/>
          </w:tcPr>
          <w:p w14:paraId="62E684E7" w14:textId="77777777" w:rsidR="004A6408" w:rsidRPr="00C3237D" w:rsidRDefault="004A6408" w:rsidP="000D14B2">
            <w:pPr>
              <w:pStyle w:val="TableText"/>
              <w:jc w:val="center"/>
              <w:rPr>
                <w:b/>
                <w:szCs w:val="20"/>
              </w:rPr>
            </w:pPr>
            <w:r>
              <w:rPr>
                <w:b/>
                <w:szCs w:val="20"/>
              </w:rPr>
              <w:t>Anti-A,B</w:t>
            </w:r>
          </w:p>
        </w:tc>
        <w:tc>
          <w:tcPr>
            <w:tcW w:w="1434" w:type="dxa"/>
            <w:shd w:val="clear" w:color="auto" w:fill="B3B3B3"/>
          </w:tcPr>
          <w:p w14:paraId="4085798B" w14:textId="77777777" w:rsidR="004A6408" w:rsidRPr="00C3237D" w:rsidRDefault="004A6408" w:rsidP="000D14B2">
            <w:pPr>
              <w:pStyle w:val="TableText"/>
              <w:jc w:val="center"/>
              <w:rPr>
                <w:b/>
                <w:szCs w:val="20"/>
              </w:rPr>
            </w:pPr>
            <w:r>
              <w:rPr>
                <w:b/>
                <w:szCs w:val="20"/>
              </w:rPr>
              <w:t>Anti-D</w:t>
            </w:r>
          </w:p>
        </w:tc>
        <w:tc>
          <w:tcPr>
            <w:tcW w:w="1441" w:type="dxa"/>
            <w:shd w:val="clear" w:color="auto" w:fill="B3B3B3"/>
          </w:tcPr>
          <w:p w14:paraId="5B94AB5A" w14:textId="77777777" w:rsidR="004A6408" w:rsidRPr="00C3237D" w:rsidRDefault="004A6408" w:rsidP="000D14B2">
            <w:pPr>
              <w:pStyle w:val="TableText"/>
              <w:jc w:val="center"/>
              <w:rPr>
                <w:b/>
                <w:szCs w:val="20"/>
              </w:rPr>
            </w:pPr>
            <w:r>
              <w:rPr>
                <w:b/>
                <w:szCs w:val="20"/>
              </w:rPr>
              <w:t>Rh Control</w:t>
            </w:r>
          </w:p>
        </w:tc>
        <w:tc>
          <w:tcPr>
            <w:tcW w:w="1433" w:type="dxa"/>
            <w:shd w:val="clear" w:color="auto" w:fill="B3B3B3"/>
          </w:tcPr>
          <w:p w14:paraId="717E7E13" w14:textId="77777777" w:rsidR="004A6408" w:rsidRPr="00C3237D" w:rsidRDefault="004A6408" w:rsidP="000D14B2">
            <w:pPr>
              <w:pStyle w:val="TableText"/>
              <w:jc w:val="center"/>
              <w:rPr>
                <w:b/>
                <w:szCs w:val="20"/>
              </w:rPr>
            </w:pPr>
            <w:r>
              <w:rPr>
                <w:b/>
                <w:szCs w:val="20"/>
              </w:rPr>
              <w:t>A1 Cell</w:t>
            </w:r>
          </w:p>
        </w:tc>
        <w:tc>
          <w:tcPr>
            <w:tcW w:w="1433" w:type="dxa"/>
            <w:shd w:val="clear" w:color="auto" w:fill="B3B3B3"/>
          </w:tcPr>
          <w:p w14:paraId="1CB78BB3" w14:textId="77777777" w:rsidR="004A6408" w:rsidRPr="00C3237D" w:rsidRDefault="004A6408" w:rsidP="000D14B2">
            <w:pPr>
              <w:pStyle w:val="TableText"/>
              <w:jc w:val="center"/>
              <w:rPr>
                <w:b/>
                <w:szCs w:val="20"/>
              </w:rPr>
            </w:pPr>
            <w:r>
              <w:rPr>
                <w:b/>
                <w:szCs w:val="20"/>
              </w:rPr>
              <w:t>B Cell</w:t>
            </w:r>
          </w:p>
        </w:tc>
        <w:tc>
          <w:tcPr>
            <w:tcW w:w="1452" w:type="dxa"/>
            <w:vMerge/>
          </w:tcPr>
          <w:p w14:paraId="487721FA" w14:textId="77777777" w:rsidR="004A6408" w:rsidRDefault="004A6408" w:rsidP="00A95965">
            <w:pPr>
              <w:pStyle w:val="TableText"/>
              <w:rPr>
                <w:szCs w:val="20"/>
              </w:rPr>
            </w:pPr>
          </w:p>
        </w:tc>
      </w:tr>
      <w:tr w:rsidR="00041C69" w14:paraId="7054D68E" w14:textId="77777777">
        <w:tblPrEx>
          <w:shd w:val="clear" w:color="auto" w:fill="auto"/>
        </w:tblPrEx>
        <w:trPr>
          <w:cantSplit/>
          <w:trHeight w:val="432"/>
        </w:trPr>
        <w:tc>
          <w:tcPr>
            <w:tcW w:w="1455" w:type="dxa"/>
            <w:noWrap/>
          </w:tcPr>
          <w:p w14:paraId="6B1C4A9C" w14:textId="77777777" w:rsidR="00041C69" w:rsidRDefault="00041C69" w:rsidP="00A95965">
            <w:pPr>
              <w:pStyle w:val="TableText"/>
              <w:rPr>
                <w:szCs w:val="20"/>
              </w:rPr>
            </w:pPr>
          </w:p>
        </w:tc>
        <w:tc>
          <w:tcPr>
            <w:tcW w:w="1443" w:type="dxa"/>
            <w:gridSpan w:val="2"/>
          </w:tcPr>
          <w:p w14:paraId="37672C2C" w14:textId="77777777" w:rsidR="00041C69" w:rsidRDefault="00041C69" w:rsidP="00A95965">
            <w:pPr>
              <w:pStyle w:val="TableText"/>
              <w:rPr>
                <w:szCs w:val="20"/>
              </w:rPr>
            </w:pPr>
          </w:p>
        </w:tc>
        <w:tc>
          <w:tcPr>
            <w:tcW w:w="1435" w:type="dxa"/>
            <w:gridSpan w:val="2"/>
          </w:tcPr>
          <w:p w14:paraId="0C16643C" w14:textId="77777777" w:rsidR="00041C69" w:rsidRDefault="00041C69" w:rsidP="00A95965">
            <w:pPr>
              <w:pStyle w:val="TableText"/>
              <w:rPr>
                <w:szCs w:val="20"/>
              </w:rPr>
            </w:pPr>
          </w:p>
        </w:tc>
        <w:tc>
          <w:tcPr>
            <w:tcW w:w="1434" w:type="dxa"/>
          </w:tcPr>
          <w:p w14:paraId="521019E1" w14:textId="77777777" w:rsidR="00041C69" w:rsidRDefault="00041C69" w:rsidP="00A95965">
            <w:pPr>
              <w:pStyle w:val="TableText"/>
              <w:rPr>
                <w:szCs w:val="20"/>
              </w:rPr>
            </w:pPr>
          </w:p>
        </w:tc>
        <w:tc>
          <w:tcPr>
            <w:tcW w:w="1434" w:type="dxa"/>
          </w:tcPr>
          <w:p w14:paraId="4EBD9C89" w14:textId="77777777" w:rsidR="00041C69" w:rsidRDefault="00041C69" w:rsidP="00A95965">
            <w:pPr>
              <w:pStyle w:val="TableText"/>
              <w:rPr>
                <w:szCs w:val="20"/>
              </w:rPr>
            </w:pPr>
          </w:p>
        </w:tc>
        <w:tc>
          <w:tcPr>
            <w:tcW w:w="1441" w:type="dxa"/>
          </w:tcPr>
          <w:p w14:paraId="5B2B1EC4" w14:textId="77777777" w:rsidR="00041C69" w:rsidRDefault="00041C69" w:rsidP="00A95965">
            <w:pPr>
              <w:pStyle w:val="TableText"/>
              <w:rPr>
                <w:szCs w:val="20"/>
              </w:rPr>
            </w:pPr>
          </w:p>
        </w:tc>
        <w:tc>
          <w:tcPr>
            <w:tcW w:w="1433" w:type="dxa"/>
          </w:tcPr>
          <w:p w14:paraId="20482DBB" w14:textId="77777777" w:rsidR="00041C69" w:rsidRDefault="00041C69" w:rsidP="00A95965">
            <w:pPr>
              <w:pStyle w:val="TableText"/>
              <w:rPr>
                <w:szCs w:val="20"/>
              </w:rPr>
            </w:pPr>
          </w:p>
        </w:tc>
        <w:tc>
          <w:tcPr>
            <w:tcW w:w="1433" w:type="dxa"/>
          </w:tcPr>
          <w:p w14:paraId="0C0F2153" w14:textId="77777777" w:rsidR="00041C69" w:rsidRDefault="00041C69" w:rsidP="00A95965">
            <w:pPr>
              <w:pStyle w:val="TableText"/>
              <w:rPr>
                <w:szCs w:val="20"/>
              </w:rPr>
            </w:pPr>
          </w:p>
        </w:tc>
        <w:tc>
          <w:tcPr>
            <w:tcW w:w="1452" w:type="dxa"/>
          </w:tcPr>
          <w:p w14:paraId="3B7E1E15" w14:textId="77777777" w:rsidR="00041C69" w:rsidRDefault="00041C69" w:rsidP="00A95965">
            <w:pPr>
              <w:pStyle w:val="TableText"/>
              <w:rPr>
                <w:szCs w:val="20"/>
              </w:rPr>
            </w:pPr>
          </w:p>
        </w:tc>
      </w:tr>
      <w:tr w:rsidR="00041C69" w14:paraId="5958216A" w14:textId="77777777">
        <w:tblPrEx>
          <w:shd w:val="clear" w:color="auto" w:fill="auto"/>
        </w:tblPrEx>
        <w:trPr>
          <w:cantSplit/>
          <w:trHeight w:val="432"/>
        </w:trPr>
        <w:tc>
          <w:tcPr>
            <w:tcW w:w="1455" w:type="dxa"/>
            <w:noWrap/>
          </w:tcPr>
          <w:p w14:paraId="01B7F801" w14:textId="77777777" w:rsidR="00041C69" w:rsidRDefault="00041C69" w:rsidP="00A95965">
            <w:pPr>
              <w:pStyle w:val="TableText"/>
              <w:rPr>
                <w:szCs w:val="20"/>
              </w:rPr>
            </w:pPr>
          </w:p>
        </w:tc>
        <w:tc>
          <w:tcPr>
            <w:tcW w:w="1443" w:type="dxa"/>
            <w:gridSpan w:val="2"/>
          </w:tcPr>
          <w:p w14:paraId="09B1FFEE" w14:textId="77777777" w:rsidR="00041C69" w:rsidRDefault="00041C69" w:rsidP="00A95965">
            <w:pPr>
              <w:pStyle w:val="TableText"/>
              <w:rPr>
                <w:szCs w:val="20"/>
              </w:rPr>
            </w:pPr>
          </w:p>
        </w:tc>
        <w:tc>
          <w:tcPr>
            <w:tcW w:w="1435" w:type="dxa"/>
            <w:gridSpan w:val="2"/>
          </w:tcPr>
          <w:p w14:paraId="0CB3FE78" w14:textId="77777777" w:rsidR="00041C69" w:rsidRDefault="00041C69" w:rsidP="00A95965">
            <w:pPr>
              <w:pStyle w:val="TableText"/>
              <w:rPr>
                <w:szCs w:val="20"/>
              </w:rPr>
            </w:pPr>
          </w:p>
        </w:tc>
        <w:tc>
          <w:tcPr>
            <w:tcW w:w="1434" w:type="dxa"/>
          </w:tcPr>
          <w:p w14:paraId="7036041E" w14:textId="77777777" w:rsidR="00041C69" w:rsidRDefault="00041C69" w:rsidP="00A95965">
            <w:pPr>
              <w:pStyle w:val="TableText"/>
              <w:rPr>
                <w:szCs w:val="20"/>
              </w:rPr>
            </w:pPr>
          </w:p>
        </w:tc>
        <w:tc>
          <w:tcPr>
            <w:tcW w:w="1434" w:type="dxa"/>
          </w:tcPr>
          <w:p w14:paraId="6348EF3B" w14:textId="77777777" w:rsidR="00041C69" w:rsidRDefault="00041C69" w:rsidP="00A95965">
            <w:pPr>
              <w:pStyle w:val="TableText"/>
              <w:rPr>
                <w:szCs w:val="20"/>
              </w:rPr>
            </w:pPr>
          </w:p>
        </w:tc>
        <w:tc>
          <w:tcPr>
            <w:tcW w:w="1441" w:type="dxa"/>
          </w:tcPr>
          <w:p w14:paraId="000E98CF" w14:textId="77777777" w:rsidR="00041C69" w:rsidRDefault="00041C69" w:rsidP="00A95965">
            <w:pPr>
              <w:pStyle w:val="TableText"/>
              <w:rPr>
                <w:szCs w:val="20"/>
              </w:rPr>
            </w:pPr>
          </w:p>
        </w:tc>
        <w:tc>
          <w:tcPr>
            <w:tcW w:w="1433" w:type="dxa"/>
          </w:tcPr>
          <w:p w14:paraId="4B08DFAA" w14:textId="77777777" w:rsidR="00041C69" w:rsidRDefault="00041C69" w:rsidP="00A95965">
            <w:pPr>
              <w:pStyle w:val="TableText"/>
              <w:rPr>
                <w:szCs w:val="20"/>
              </w:rPr>
            </w:pPr>
          </w:p>
        </w:tc>
        <w:tc>
          <w:tcPr>
            <w:tcW w:w="1433" w:type="dxa"/>
          </w:tcPr>
          <w:p w14:paraId="2E796BE1" w14:textId="77777777" w:rsidR="00041C69" w:rsidRDefault="00041C69" w:rsidP="00A95965">
            <w:pPr>
              <w:pStyle w:val="TableText"/>
              <w:rPr>
                <w:szCs w:val="20"/>
              </w:rPr>
            </w:pPr>
          </w:p>
        </w:tc>
        <w:tc>
          <w:tcPr>
            <w:tcW w:w="1452" w:type="dxa"/>
          </w:tcPr>
          <w:p w14:paraId="032C662B" w14:textId="77777777" w:rsidR="00041C69" w:rsidRDefault="00041C69" w:rsidP="00A95965">
            <w:pPr>
              <w:pStyle w:val="TableText"/>
              <w:rPr>
                <w:szCs w:val="20"/>
              </w:rPr>
            </w:pPr>
          </w:p>
        </w:tc>
      </w:tr>
    </w:tbl>
    <w:p w14:paraId="2506B647" w14:textId="77777777" w:rsidR="00140686" w:rsidRDefault="00140686" w:rsidP="00DD75E5">
      <w:pPr>
        <w:pStyle w:val="BodyText"/>
      </w:pPr>
    </w:p>
    <w:p w14:paraId="0D8B9950" w14:textId="77777777" w:rsidR="003F3F74" w:rsidRDefault="00140686" w:rsidP="00DD75E5">
      <w:pPr>
        <w:pStyle w:val="BodyText"/>
      </w:pPr>
      <w:r>
        <w:br w:type="page"/>
      </w:r>
    </w:p>
    <w:tbl>
      <w:tblPr>
        <w:tblW w:w="129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
      <w:tblGrid>
        <w:gridCol w:w="755"/>
        <w:gridCol w:w="640"/>
        <w:gridCol w:w="695"/>
        <w:gridCol w:w="642"/>
        <w:gridCol w:w="680"/>
        <w:gridCol w:w="639"/>
        <w:gridCol w:w="649"/>
        <w:gridCol w:w="638"/>
        <w:gridCol w:w="680"/>
        <w:gridCol w:w="640"/>
        <w:gridCol w:w="649"/>
        <w:gridCol w:w="640"/>
        <w:gridCol w:w="680"/>
        <w:gridCol w:w="640"/>
        <w:gridCol w:w="649"/>
        <w:gridCol w:w="638"/>
        <w:gridCol w:w="2406"/>
      </w:tblGrid>
      <w:tr w:rsidR="004A6408" w14:paraId="77AF8675" w14:textId="77777777">
        <w:trPr>
          <w:cantSplit/>
          <w:trHeight w:val="230"/>
          <w:tblHeader/>
        </w:trPr>
        <w:tc>
          <w:tcPr>
            <w:tcW w:w="12888" w:type="dxa"/>
            <w:gridSpan w:val="17"/>
            <w:shd w:val="clear" w:color="auto" w:fill="B3B3B3"/>
            <w:noWrap/>
          </w:tcPr>
          <w:p w14:paraId="3F854B88" w14:textId="77777777" w:rsidR="004A6408" w:rsidRPr="006A7FD3" w:rsidRDefault="004A6408" w:rsidP="00FC4396">
            <w:pPr>
              <w:pStyle w:val="TableText"/>
              <w:rPr>
                <w:b/>
                <w:szCs w:val="20"/>
              </w:rPr>
            </w:pPr>
            <w:r>
              <w:rPr>
                <w:b/>
                <w:szCs w:val="20"/>
              </w:rPr>
              <w:lastRenderedPageBreak/>
              <w:t>Antibody Screening</w:t>
            </w:r>
          </w:p>
        </w:tc>
      </w:tr>
      <w:tr w:rsidR="004A6408" w14:paraId="0E4DD13E" w14:textId="77777777">
        <w:tblPrEx>
          <w:shd w:val="clear" w:color="auto" w:fill="auto"/>
        </w:tblPrEx>
        <w:trPr>
          <w:cantSplit/>
          <w:trHeight w:val="230"/>
          <w:tblHeader/>
        </w:trPr>
        <w:tc>
          <w:tcPr>
            <w:tcW w:w="2704" w:type="dxa"/>
            <w:gridSpan w:val="4"/>
            <w:tcBorders>
              <w:top w:val="single" w:sz="2" w:space="0" w:color="auto"/>
              <w:left w:val="single" w:sz="2" w:space="0" w:color="auto"/>
              <w:bottom w:val="single" w:sz="2" w:space="0" w:color="auto"/>
              <w:right w:val="single" w:sz="2" w:space="0" w:color="auto"/>
            </w:tcBorders>
            <w:shd w:val="clear" w:color="auto" w:fill="B3B3B3"/>
            <w:noWrap/>
          </w:tcPr>
          <w:p w14:paraId="23C61F7B" w14:textId="77777777" w:rsidR="004A6408" w:rsidRPr="006A7FD3" w:rsidRDefault="004A6408" w:rsidP="00FC4396">
            <w:pPr>
              <w:pStyle w:val="TableText"/>
              <w:rPr>
                <w:b/>
                <w:szCs w:val="20"/>
              </w:rPr>
            </w:pPr>
            <w:r>
              <w:rPr>
                <w:b/>
                <w:szCs w:val="20"/>
              </w:rPr>
              <w:t>Screen Cell 1</w:t>
            </w:r>
          </w:p>
        </w:tc>
        <w:tc>
          <w:tcPr>
            <w:tcW w:w="2596" w:type="dxa"/>
            <w:gridSpan w:val="4"/>
            <w:tcBorders>
              <w:top w:val="single" w:sz="2" w:space="0" w:color="auto"/>
              <w:left w:val="single" w:sz="2" w:space="0" w:color="auto"/>
              <w:bottom w:val="single" w:sz="2" w:space="0" w:color="auto"/>
              <w:right w:val="single" w:sz="2" w:space="0" w:color="auto"/>
            </w:tcBorders>
            <w:shd w:val="clear" w:color="auto" w:fill="B3B3B3"/>
          </w:tcPr>
          <w:p w14:paraId="02B27799" w14:textId="77777777" w:rsidR="004A6408" w:rsidRPr="006A7FD3" w:rsidRDefault="004A6408" w:rsidP="00FC4396">
            <w:pPr>
              <w:pStyle w:val="TableText"/>
              <w:rPr>
                <w:b/>
                <w:szCs w:val="20"/>
              </w:rPr>
            </w:pPr>
            <w:r>
              <w:rPr>
                <w:b/>
                <w:szCs w:val="20"/>
              </w:rPr>
              <w:t>Screen Cell 2</w:t>
            </w:r>
          </w:p>
        </w:tc>
        <w:tc>
          <w:tcPr>
            <w:tcW w:w="2597" w:type="dxa"/>
            <w:gridSpan w:val="4"/>
            <w:tcBorders>
              <w:top w:val="single" w:sz="2" w:space="0" w:color="auto"/>
              <w:left w:val="single" w:sz="2" w:space="0" w:color="auto"/>
              <w:bottom w:val="single" w:sz="2" w:space="0" w:color="auto"/>
              <w:right w:val="single" w:sz="2" w:space="0" w:color="auto"/>
            </w:tcBorders>
            <w:shd w:val="clear" w:color="auto" w:fill="B3B3B3"/>
          </w:tcPr>
          <w:p w14:paraId="13A2C7C1" w14:textId="77777777" w:rsidR="004A6408" w:rsidRPr="006A7FD3" w:rsidRDefault="004A6408" w:rsidP="00FC4396">
            <w:pPr>
              <w:pStyle w:val="TableText"/>
              <w:rPr>
                <w:b/>
                <w:szCs w:val="20"/>
              </w:rPr>
            </w:pPr>
            <w:r>
              <w:rPr>
                <w:b/>
                <w:szCs w:val="20"/>
              </w:rPr>
              <w:t>Screen Cell 3</w:t>
            </w:r>
          </w:p>
        </w:tc>
        <w:tc>
          <w:tcPr>
            <w:tcW w:w="2595" w:type="dxa"/>
            <w:gridSpan w:val="4"/>
            <w:tcBorders>
              <w:top w:val="single" w:sz="2" w:space="0" w:color="auto"/>
              <w:left w:val="single" w:sz="2" w:space="0" w:color="auto"/>
              <w:bottom w:val="single" w:sz="2" w:space="0" w:color="auto"/>
              <w:right w:val="single" w:sz="2" w:space="0" w:color="auto"/>
            </w:tcBorders>
            <w:shd w:val="clear" w:color="auto" w:fill="B3B3B3"/>
          </w:tcPr>
          <w:p w14:paraId="66D6002B" w14:textId="77777777" w:rsidR="004A6408" w:rsidRPr="006A7FD3" w:rsidRDefault="004A6408" w:rsidP="00FC4396">
            <w:pPr>
              <w:pStyle w:val="TableText"/>
              <w:rPr>
                <w:b/>
                <w:szCs w:val="20"/>
              </w:rPr>
            </w:pPr>
            <w:r>
              <w:rPr>
                <w:b/>
                <w:szCs w:val="20"/>
              </w:rPr>
              <w:t>Screen Cell 4</w:t>
            </w:r>
          </w:p>
        </w:tc>
        <w:tc>
          <w:tcPr>
            <w:tcW w:w="2396" w:type="dxa"/>
            <w:vMerge w:val="restart"/>
            <w:tcBorders>
              <w:top w:val="single" w:sz="2" w:space="0" w:color="auto"/>
              <w:left w:val="single" w:sz="2" w:space="0" w:color="auto"/>
              <w:right w:val="single" w:sz="2" w:space="0" w:color="auto"/>
            </w:tcBorders>
            <w:shd w:val="clear" w:color="auto" w:fill="B3B3B3"/>
          </w:tcPr>
          <w:p w14:paraId="3AD16649" w14:textId="77777777" w:rsidR="004A6408" w:rsidRPr="006A7FD3" w:rsidRDefault="004A6408" w:rsidP="00FC4396">
            <w:pPr>
              <w:pStyle w:val="TableText"/>
              <w:rPr>
                <w:b/>
                <w:szCs w:val="20"/>
              </w:rPr>
            </w:pPr>
            <w:r>
              <w:rPr>
                <w:b/>
                <w:szCs w:val="20"/>
              </w:rPr>
              <w:t>Screen Interpretation</w:t>
            </w:r>
          </w:p>
        </w:tc>
      </w:tr>
      <w:tr w:rsidR="004A6408" w14:paraId="20F9E86A" w14:textId="77777777">
        <w:tblPrEx>
          <w:shd w:val="clear" w:color="auto" w:fill="auto"/>
        </w:tblPrEx>
        <w:trPr>
          <w:cantSplit/>
          <w:trHeight w:val="230"/>
          <w:tblHeader/>
        </w:trPr>
        <w:tc>
          <w:tcPr>
            <w:tcW w:w="743" w:type="dxa"/>
            <w:shd w:val="clear" w:color="auto" w:fill="B3B3B3"/>
            <w:noWrap/>
          </w:tcPr>
          <w:p w14:paraId="5A60FF61" w14:textId="25BF943C" w:rsidR="004A6408" w:rsidRPr="006A7FD3" w:rsidRDefault="004A6408" w:rsidP="00FC4396">
            <w:pPr>
              <w:pStyle w:val="TableText"/>
              <w:jc w:val="both"/>
              <w:rPr>
                <w:b/>
                <w:szCs w:val="20"/>
              </w:rPr>
            </w:pPr>
            <w:r w:rsidRPr="006A7FD3">
              <w:rPr>
                <w:b/>
                <w:szCs w:val="20"/>
              </w:rPr>
              <w:t>RT/IS</w:t>
            </w:r>
            <w:r w:rsidR="00647F4E">
              <w:rPr>
                <w:rFonts w:ascii="ZWAdobeF" w:hAnsi="ZWAdobeF" w:cs="ZWAdobeF"/>
                <w:sz w:val="2"/>
                <w:szCs w:val="2"/>
              </w:rPr>
              <w:t>4F</w:t>
            </w:r>
            <w:r>
              <w:rPr>
                <w:rStyle w:val="FootnoteReference"/>
                <w:b/>
                <w:szCs w:val="20"/>
              </w:rPr>
              <w:footnoteReference w:id="5"/>
            </w:r>
          </w:p>
        </w:tc>
        <w:tc>
          <w:tcPr>
            <w:tcW w:w="638" w:type="dxa"/>
            <w:shd w:val="clear" w:color="auto" w:fill="B3B3B3"/>
          </w:tcPr>
          <w:p w14:paraId="56320D7F" w14:textId="77777777" w:rsidR="004A6408" w:rsidRPr="006A7FD3" w:rsidRDefault="004A6408" w:rsidP="00FC4396">
            <w:pPr>
              <w:pStyle w:val="TableText"/>
              <w:jc w:val="both"/>
              <w:rPr>
                <w:b/>
                <w:szCs w:val="20"/>
              </w:rPr>
            </w:pPr>
            <w:r w:rsidRPr="006A7FD3">
              <w:rPr>
                <w:b/>
                <w:szCs w:val="20"/>
              </w:rPr>
              <w:t>37</w:t>
            </w:r>
            <w:r w:rsidRPr="006A7FD3">
              <w:rPr>
                <w:rFonts w:cs="Arial"/>
                <w:b/>
                <w:szCs w:val="20"/>
              </w:rPr>
              <w:t>°</w:t>
            </w:r>
          </w:p>
        </w:tc>
        <w:tc>
          <w:tcPr>
            <w:tcW w:w="683" w:type="dxa"/>
            <w:shd w:val="clear" w:color="auto" w:fill="B3B3B3"/>
          </w:tcPr>
          <w:p w14:paraId="593C9222" w14:textId="41A68A07" w:rsidR="004A6408" w:rsidRPr="006A7FD3" w:rsidRDefault="004A6408" w:rsidP="00FC4396">
            <w:pPr>
              <w:pStyle w:val="TableText"/>
              <w:jc w:val="both"/>
              <w:rPr>
                <w:b/>
                <w:szCs w:val="20"/>
              </w:rPr>
            </w:pPr>
            <w:r w:rsidRPr="006A7FD3">
              <w:rPr>
                <w:b/>
                <w:szCs w:val="20"/>
              </w:rPr>
              <w:t>AHG</w:t>
            </w:r>
            <w:r w:rsidR="00647F4E">
              <w:rPr>
                <w:rFonts w:ascii="ZWAdobeF" w:hAnsi="ZWAdobeF" w:cs="ZWAdobeF"/>
                <w:sz w:val="2"/>
                <w:szCs w:val="2"/>
              </w:rPr>
              <w:t>5F</w:t>
            </w:r>
            <w:r>
              <w:rPr>
                <w:rStyle w:val="FootnoteReference"/>
                <w:b/>
                <w:szCs w:val="20"/>
              </w:rPr>
              <w:footnoteReference w:id="6"/>
            </w:r>
          </w:p>
        </w:tc>
        <w:tc>
          <w:tcPr>
            <w:tcW w:w="640" w:type="dxa"/>
            <w:shd w:val="clear" w:color="auto" w:fill="B3B3B3"/>
          </w:tcPr>
          <w:p w14:paraId="03BF09C2" w14:textId="2D0A0C48" w:rsidR="004A6408" w:rsidRPr="006A7FD3" w:rsidRDefault="004A6408" w:rsidP="00FC4396">
            <w:pPr>
              <w:pStyle w:val="TableText"/>
              <w:jc w:val="both"/>
              <w:rPr>
                <w:b/>
                <w:szCs w:val="20"/>
              </w:rPr>
            </w:pPr>
            <w:r w:rsidRPr="006A7FD3">
              <w:rPr>
                <w:b/>
                <w:szCs w:val="20"/>
              </w:rPr>
              <w:t>CC</w:t>
            </w:r>
            <w:r w:rsidR="00647F4E">
              <w:rPr>
                <w:rFonts w:ascii="ZWAdobeF" w:hAnsi="ZWAdobeF" w:cs="ZWAdobeF"/>
                <w:sz w:val="2"/>
                <w:szCs w:val="2"/>
              </w:rPr>
              <w:t>6F</w:t>
            </w:r>
            <w:r>
              <w:rPr>
                <w:rStyle w:val="FootnoteReference"/>
                <w:b/>
                <w:szCs w:val="20"/>
              </w:rPr>
              <w:footnoteReference w:id="7"/>
            </w:r>
          </w:p>
        </w:tc>
        <w:tc>
          <w:tcPr>
            <w:tcW w:w="678" w:type="dxa"/>
            <w:shd w:val="clear" w:color="auto" w:fill="B3B3B3"/>
          </w:tcPr>
          <w:p w14:paraId="52E5FE10" w14:textId="77777777" w:rsidR="004A6408" w:rsidRPr="006A7FD3" w:rsidRDefault="004A6408" w:rsidP="00FC4396">
            <w:pPr>
              <w:pStyle w:val="TableText"/>
              <w:jc w:val="both"/>
              <w:rPr>
                <w:b/>
                <w:szCs w:val="20"/>
              </w:rPr>
            </w:pPr>
            <w:r w:rsidRPr="006A7FD3">
              <w:rPr>
                <w:b/>
                <w:szCs w:val="20"/>
              </w:rPr>
              <w:t>RT/IS</w:t>
            </w:r>
          </w:p>
        </w:tc>
        <w:tc>
          <w:tcPr>
            <w:tcW w:w="637" w:type="dxa"/>
            <w:shd w:val="clear" w:color="auto" w:fill="B3B3B3"/>
          </w:tcPr>
          <w:p w14:paraId="5C509A8E" w14:textId="77777777" w:rsidR="004A6408" w:rsidRPr="006A7FD3" w:rsidRDefault="004A6408" w:rsidP="00FC4396">
            <w:pPr>
              <w:pStyle w:val="TableText"/>
              <w:jc w:val="both"/>
              <w:rPr>
                <w:b/>
                <w:szCs w:val="20"/>
              </w:rPr>
            </w:pPr>
            <w:r w:rsidRPr="006A7FD3">
              <w:rPr>
                <w:b/>
                <w:szCs w:val="20"/>
              </w:rPr>
              <w:t>37</w:t>
            </w:r>
            <w:r w:rsidRPr="006A7FD3">
              <w:rPr>
                <w:rFonts w:cs="Arial"/>
                <w:b/>
                <w:szCs w:val="20"/>
              </w:rPr>
              <w:t>°</w:t>
            </w:r>
          </w:p>
        </w:tc>
        <w:tc>
          <w:tcPr>
            <w:tcW w:w="646" w:type="dxa"/>
            <w:shd w:val="clear" w:color="auto" w:fill="B3B3B3"/>
          </w:tcPr>
          <w:p w14:paraId="1B462543" w14:textId="77777777" w:rsidR="004A6408" w:rsidRPr="006A7FD3" w:rsidRDefault="004A6408" w:rsidP="00FC4396">
            <w:pPr>
              <w:pStyle w:val="TableText"/>
              <w:jc w:val="both"/>
              <w:rPr>
                <w:b/>
                <w:szCs w:val="20"/>
              </w:rPr>
            </w:pPr>
            <w:r w:rsidRPr="006A7FD3">
              <w:rPr>
                <w:b/>
                <w:szCs w:val="20"/>
              </w:rPr>
              <w:t>AHG</w:t>
            </w:r>
          </w:p>
        </w:tc>
        <w:tc>
          <w:tcPr>
            <w:tcW w:w="635" w:type="dxa"/>
            <w:shd w:val="clear" w:color="auto" w:fill="B3B3B3"/>
          </w:tcPr>
          <w:p w14:paraId="6D102F7D" w14:textId="77777777" w:rsidR="004A6408" w:rsidRPr="006A7FD3" w:rsidRDefault="004A6408" w:rsidP="00FC4396">
            <w:pPr>
              <w:pStyle w:val="TableText"/>
              <w:jc w:val="both"/>
              <w:rPr>
                <w:b/>
                <w:szCs w:val="20"/>
              </w:rPr>
            </w:pPr>
            <w:r w:rsidRPr="006A7FD3">
              <w:rPr>
                <w:b/>
                <w:szCs w:val="20"/>
              </w:rPr>
              <w:t>CC</w:t>
            </w:r>
          </w:p>
        </w:tc>
        <w:tc>
          <w:tcPr>
            <w:tcW w:w="677" w:type="dxa"/>
            <w:shd w:val="clear" w:color="auto" w:fill="B3B3B3"/>
          </w:tcPr>
          <w:p w14:paraId="20FAB870" w14:textId="77777777" w:rsidR="004A6408" w:rsidRPr="006A7FD3" w:rsidRDefault="004A6408" w:rsidP="00FC4396">
            <w:pPr>
              <w:pStyle w:val="TableText"/>
              <w:jc w:val="both"/>
              <w:rPr>
                <w:b/>
                <w:szCs w:val="20"/>
              </w:rPr>
            </w:pPr>
            <w:r w:rsidRPr="006A7FD3">
              <w:rPr>
                <w:b/>
                <w:szCs w:val="20"/>
              </w:rPr>
              <w:t>RT/IS</w:t>
            </w:r>
          </w:p>
        </w:tc>
        <w:tc>
          <w:tcPr>
            <w:tcW w:w="637" w:type="dxa"/>
            <w:shd w:val="clear" w:color="auto" w:fill="B3B3B3"/>
          </w:tcPr>
          <w:p w14:paraId="4D825510" w14:textId="77777777" w:rsidR="004A6408" w:rsidRPr="006A7FD3" w:rsidRDefault="004A6408" w:rsidP="00FC4396">
            <w:pPr>
              <w:pStyle w:val="TableText"/>
              <w:jc w:val="both"/>
              <w:rPr>
                <w:b/>
                <w:szCs w:val="20"/>
              </w:rPr>
            </w:pPr>
            <w:r w:rsidRPr="006A7FD3">
              <w:rPr>
                <w:b/>
                <w:szCs w:val="20"/>
              </w:rPr>
              <w:t>37</w:t>
            </w:r>
            <w:r w:rsidRPr="006A7FD3">
              <w:rPr>
                <w:rFonts w:cs="Arial"/>
                <w:b/>
                <w:szCs w:val="20"/>
              </w:rPr>
              <w:t>°</w:t>
            </w:r>
          </w:p>
        </w:tc>
        <w:tc>
          <w:tcPr>
            <w:tcW w:w="646" w:type="dxa"/>
            <w:shd w:val="clear" w:color="auto" w:fill="B3B3B3"/>
          </w:tcPr>
          <w:p w14:paraId="1C061F61" w14:textId="77777777" w:rsidR="004A6408" w:rsidRPr="006A7FD3" w:rsidRDefault="004A6408" w:rsidP="00FC4396">
            <w:pPr>
              <w:pStyle w:val="TableText"/>
              <w:jc w:val="both"/>
              <w:rPr>
                <w:b/>
                <w:szCs w:val="20"/>
              </w:rPr>
            </w:pPr>
            <w:r w:rsidRPr="006A7FD3">
              <w:rPr>
                <w:b/>
                <w:szCs w:val="20"/>
              </w:rPr>
              <w:t>AHG</w:t>
            </w:r>
          </w:p>
        </w:tc>
        <w:tc>
          <w:tcPr>
            <w:tcW w:w="637" w:type="dxa"/>
            <w:shd w:val="clear" w:color="auto" w:fill="B3B3B3"/>
          </w:tcPr>
          <w:p w14:paraId="31EE9A8A" w14:textId="77777777" w:rsidR="004A6408" w:rsidRPr="006A7FD3" w:rsidRDefault="004A6408" w:rsidP="00FC4396">
            <w:pPr>
              <w:pStyle w:val="TableText"/>
              <w:jc w:val="both"/>
              <w:rPr>
                <w:b/>
                <w:szCs w:val="20"/>
              </w:rPr>
            </w:pPr>
            <w:r w:rsidRPr="006A7FD3">
              <w:rPr>
                <w:b/>
                <w:szCs w:val="20"/>
              </w:rPr>
              <w:t>CC</w:t>
            </w:r>
          </w:p>
        </w:tc>
        <w:tc>
          <w:tcPr>
            <w:tcW w:w="677" w:type="dxa"/>
            <w:shd w:val="clear" w:color="auto" w:fill="B3B3B3"/>
          </w:tcPr>
          <w:p w14:paraId="29AB72DB" w14:textId="77777777" w:rsidR="004A6408" w:rsidRPr="006A7FD3" w:rsidRDefault="004A6408" w:rsidP="00FC4396">
            <w:pPr>
              <w:pStyle w:val="TableText"/>
              <w:jc w:val="both"/>
              <w:rPr>
                <w:b/>
                <w:szCs w:val="20"/>
              </w:rPr>
            </w:pPr>
            <w:r w:rsidRPr="006A7FD3">
              <w:rPr>
                <w:b/>
                <w:szCs w:val="20"/>
              </w:rPr>
              <w:t>RT/IS</w:t>
            </w:r>
          </w:p>
        </w:tc>
        <w:tc>
          <w:tcPr>
            <w:tcW w:w="637" w:type="dxa"/>
            <w:shd w:val="clear" w:color="auto" w:fill="B3B3B3"/>
          </w:tcPr>
          <w:p w14:paraId="3162036B" w14:textId="77777777" w:rsidR="004A6408" w:rsidRPr="006A7FD3" w:rsidRDefault="004A6408" w:rsidP="00FC4396">
            <w:pPr>
              <w:pStyle w:val="TableText"/>
              <w:jc w:val="both"/>
              <w:rPr>
                <w:b/>
                <w:szCs w:val="20"/>
              </w:rPr>
            </w:pPr>
            <w:r w:rsidRPr="006A7FD3">
              <w:rPr>
                <w:b/>
                <w:szCs w:val="20"/>
              </w:rPr>
              <w:t>37</w:t>
            </w:r>
            <w:r w:rsidRPr="006A7FD3">
              <w:rPr>
                <w:rFonts w:cs="Arial"/>
                <w:b/>
                <w:szCs w:val="20"/>
              </w:rPr>
              <w:t>°</w:t>
            </w:r>
          </w:p>
        </w:tc>
        <w:tc>
          <w:tcPr>
            <w:tcW w:w="646" w:type="dxa"/>
            <w:shd w:val="clear" w:color="auto" w:fill="B3B3B3"/>
          </w:tcPr>
          <w:p w14:paraId="1829DAC4" w14:textId="77777777" w:rsidR="004A6408" w:rsidRPr="006A7FD3" w:rsidRDefault="004A6408" w:rsidP="00FC4396">
            <w:pPr>
              <w:pStyle w:val="TableText"/>
              <w:jc w:val="both"/>
              <w:rPr>
                <w:b/>
                <w:szCs w:val="20"/>
              </w:rPr>
            </w:pPr>
            <w:r w:rsidRPr="006A7FD3">
              <w:rPr>
                <w:b/>
                <w:szCs w:val="20"/>
              </w:rPr>
              <w:t>AHG</w:t>
            </w:r>
          </w:p>
        </w:tc>
        <w:tc>
          <w:tcPr>
            <w:tcW w:w="635" w:type="dxa"/>
            <w:tcBorders>
              <w:right w:val="single" w:sz="2" w:space="0" w:color="auto"/>
            </w:tcBorders>
            <w:shd w:val="clear" w:color="auto" w:fill="B3B3B3"/>
          </w:tcPr>
          <w:p w14:paraId="18BA6234" w14:textId="77777777" w:rsidR="004A6408" w:rsidRPr="006A7FD3" w:rsidRDefault="004A6408" w:rsidP="00FC4396">
            <w:pPr>
              <w:pStyle w:val="TableText"/>
              <w:jc w:val="both"/>
              <w:rPr>
                <w:b/>
                <w:szCs w:val="20"/>
              </w:rPr>
            </w:pPr>
            <w:r w:rsidRPr="006A7FD3">
              <w:rPr>
                <w:b/>
                <w:szCs w:val="20"/>
              </w:rPr>
              <w:t>CC</w:t>
            </w:r>
          </w:p>
        </w:tc>
        <w:tc>
          <w:tcPr>
            <w:tcW w:w="2396" w:type="dxa"/>
            <w:vMerge/>
            <w:tcBorders>
              <w:left w:val="single" w:sz="2" w:space="0" w:color="auto"/>
              <w:right w:val="single" w:sz="2" w:space="0" w:color="auto"/>
            </w:tcBorders>
          </w:tcPr>
          <w:p w14:paraId="415625EE" w14:textId="77777777" w:rsidR="004A6408" w:rsidRPr="006A7FD3" w:rsidRDefault="004A6408" w:rsidP="00FC4396">
            <w:pPr>
              <w:pStyle w:val="TableText"/>
              <w:jc w:val="both"/>
              <w:rPr>
                <w:b/>
                <w:szCs w:val="20"/>
              </w:rPr>
            </w:pPr>
          </w:p>
        </w:tc>
      </w:tr>
      <w:tr w:rsidR="004A6408" w14:paraId="172CE6F9" w14:textId="77777777">
        <w:tblPrEx>
          <w:shd w:val="clear" w:color="auto" w:fill="auto"/>
        </w:tblPrEx>
        <w:trPr>
          <w:cantSplit/>
          <w:trHeight w:val="432"/>
        </w:trPr>
        <w:tc>
          <w:tcPr>
            <w:tcW w:w="743" w:type="dxa"/>
            <w:noWrap/>
          </w:tcPr>
          <w:p w14:paraId="2E55F2E4" w14:textId="77777777" w:rsidR="004A6408" w:rsidRDefault="004A6408" w:rsidP="00A95965">
            <w:pPr>
              <w:pStyle w:val="TableText"/>
              <w:rPr>
                <w:szCs w:val="20"/>
              </w:rPr>
            </w:pPr>
          </w:p>
        </w:tc>
        <w:tc>
          <w:tcPr>
            <w:tcW w:w="638" w:type="dxa"/>
          </w:tcPr>
          <w:p w14:paraId="3253DA23" w14:textId="77777777" w:rsidR="004A6408" w:rsidRDefault="004A6408" w:rsidP="00A95965">
            <w:pPr>
              <w:pStyle w:val="TableText"/>
              <w:rPr>
                <w:szCs w:val="20"/>
              </w:rPr>
            </w:pPr>
          </w:p>
        </w:tc>
        <w:tc>
          <w:tcPr>
            <w:tcW w:w="683" w:type="dxa"/>
          </w:tcPr>
          <w:p w14:paraId="55E44B3A" w14:textId="77777777" w:rsidR="004A6408" w:rsidRDefault="004A6408" w:rsidP="00A95965">
            <w:pPr>
              <w:pStyle w:val="TableText"/>
              <w:rPr>
                <w:szCs w:val="20"/>
              </w:rPr>
            </w:pPr>
          </w:p>
        </w:tc>
        <w:tc>
          <w:tcPr>
            <w:tcW w:w="640" w:type="dxa"/>
          </w:tcPr>
          <w:p w14:paraId="3226DA18" w14:textId="77777777" w:rsidR="004A6408" w:rsidRDefault="004A6408" w:rsidP="00A95965">
            <w:pPr>
              <w:pStyle w:val="TableText"/>
              <w:rPr>
                <w:szCs w:val="20"/>
              </w:rPr>
            </w:pPr>
          </w:p>
        </w:tc>
        <w:tc>
          <w:tcPr>
            <w:tcW w:w="678" w:type="dxa"/>
          </w:tcPr>
          <w:p w14:paraId="1789A563" w14:textId="77777777" w:rsidR="004A6408" w:rsidRDefault="004A6408" w:rsidP="00A95965">
            <w:pPr>
              <w:pStyle w:val="TableText"/>
              <w:rPr>
                <w:szCs w:val="20"/>
              </w:rPr>
            </w:pPr>
          </w:p>
        </w:tc>
        <w:tc>
          <w:tcPr>
            <w:tcW w:w="637" w:type="dxa"/>
          </w:tcPr>
          <w:p w14:paraId="169A7234" w14:textId="77777777" w:rsidR="004A6408" w:rsidRDefault="004A6408" w:rsidP="00A95965">
            <w:pPr>
              <w:pStyle w:val="TableText"/>
              <w:rPr>
                <w:szCs w:val="20"/>
              </w:rPr>
            </w:pPr>
          </w:p>
        </w:tc>
        <w:tc>
          <w:tcPr>
            <w:tcW w:w="646" w:type="dxa"/>
          </w:tcPr>
          <w:p w14:paraId="3E1BE0F3" w14:textId="77777777" w:rsidR="004A6408" w:rsidRDefault="004A6408" w:rsidP="00A95965">
            <w:pPr>
              <w:pStyle w:val="TableText"/>
              <w:rPr>
                <w:szCs w:val="20"/>
              </w:rPr>
            </w:pPr>
          </w:p>
        </w:tc>
        <w:tc>
          <w:tcPr>
            <w:tcW w:w="635" w:type="dxa"/>
          </w:tcPr>
          <w:p w14:paraId="4E919C9F" w14:textId="77777777" w:rsidR="004A6408" w:rsidRDefault="004A6408" w:rsidP="00A95965">
            <w:pPr>
              <w:pStyle w:val="TableText"/>
              <w:rPr>
                <w:szCs w:val="20"/>
              </w:rPr>
            </w:pPr>
          </w:p>
        </w:tc>
        <w:tc>
          <w:tcPr>
            <w:tcW w:w="677" w:type="dxa"/>
          </w:tcPr>
          <w:p w14:paraId="43327181" w14:textId="77777777" w:rsidR="004A6408" w:rsidRDefault="004A6408" w:rsidP="00A95965">
            <w:pPr>
              <w:pStyle w:val="TableText"/>
              <w:rPr>
                <w:szCs w:val="20"/>
              </w:rPr>
            </w:pPr>
          </w:p>
        </w:tc>
        <w:tc>
          <w:tcPr>
            <w:tcW w:w="637" w:type="dxa"/>
          </w:tcPr>
          <w:p w14:paraId="0139315E" w14:textId="77777777" w:rsidR="004A6408" w:rsidRDefault="004A6408" w:rsidP="00A95965">
            <w:pPr>
              <w:pStyle w:val="TableText"/>
              <w:rPr>
                <w:szCs w:val="20"/>
              </w:rPr>
            </w:pPr>
          </w:p>
        </w:tc>
        <w:tc>
          <w:tcPr>
            <w:tcW w:w="646" w:type="dxa"/>
          </w:tcPr>
          <w:p w14:paraId="0A278BEA" w14:textId="77777777" w:rsidR="004A6408" w:rsidRDefault="004A6408" w:rsidP="00A95965">
            <w:pPr>
              <w:pStyle w:val="TableText"/>
              <w:rPr>
                <w:szCs w:val="20"/>
              </w:rPr>
            </w:pPr>
          </w:p>
        </w:tc>
        <w:tc>
          <w:tcPr>
            <w:tcW w:w="637" w:type="dxa"/>
          </w:tcPr>
          <w:p w14:paraId="2A2F3C4B" w14:textId="77777777" w:rsidR="004A6408" w:rsidRDefault="004A6408" w:rsidP="00A95965">
            <w:pPr>
              <w:pStyle w:val="TableText"/>
              <w:rPr>
                <w:szCs w:val="20"/>
              </w:rPr>
            </w:pPr>
          </w:p>
        </w:tc>
        <w:tc>
          <w:tcPr>
            <w:tcW w:w="677" w:type="dxa"/>
          </w:tcPr>
          <w:p w14:paraId="7128D5A2" w14:textId="77777777" w:rsidR="004A6408" w:rsidRDefault="004A6408" w:rsidP="00A95965">
            <w:pPr>
              <w:pStyle w:val="TableText"/>
              <w:rPr>
                <w:szCs w:val="20"/>
              </w:rPr>
            </w:pPr>
          </w:p>
        </w:tc>
        <w:tc>
          <w:tcPr>
            <w:tcW w:w="637" w:type="dxa"/>
          </w:tcPr>
          <w:p w14:paraId="46989BE1" w14:textId="77777777" w:rsidR="004A6408" w:rsidRDefault="004A6408" w:rsidP="00A95965">
            <w:pPr>
              <w:pStyle w:val="TableText"/>
              <w:rPr>
                <w:szCs w:val="20"/>
              </w:rPr>
            </w:pPr>
          </w:p>
        </w:tc>
        <w:tc>
          <w:tcPr>
            <w:tcW w:w="646" w:type="dxa"/>
          </w:tcPr>
          <w:p w14:paraId="67A0D7E2" w14:textId="77777777" w:rsidR="004A6408" w:rsidRDefault="004A6408" w:rsidP="00A95965">
            <w:pPr>
              <w:pStyle w:val="TableText"/>
              <w:rPr>
                <w:szCs w:val="20"/>
              </w:rPr>
            </w:pPr>
          </w:p>
        </w:tc>
        <w:tc>
          <w:tcPr>
            <w:tcW w:w="635" w:type="dxa"/>
          </w:tcPr>
          <w:p w14:paraId="2086EE71" w14:textId="77777777" w:rsidR="004A6408" w:rsidRDefault="004A6408" w:rsidP="00A95965">
            <w:pPr>
              <w:pStyle w:val="TableText"/>
              <w:rPr>
                <w:szCs w:val="20"/>
              </w:rPr>
            </w:pPr>
          </w:p>
        </w:tc>
        <w:tc>
          <w:tcPr>
            <w:tcW w:w="2396" w:type="dxa"/>
          </w:tcPr>
          <w:p w14:paraId="737629C2" w14:textId="77777777" w:rsidR="004A6408" w:rsidRDefault="004A6408" w:rsidP="00A95965">
            <w:pPr>
              <w:pStyle w:val="TableText"/>
              <w:rPr>
                <w:szCs w:val="20"/>
              </w:rPr>
            </w:pPr>
          </w:p>
        </w:tc>
      </w:tr>
      <w:tr w:rsidR="004A6408" w14:paraId="67711F5F" w14:textId="77777777">
        <w:tblPrEx>
          <w:shd w:val="clear" w:color="auto" w:fill="auto"/>
        </w:tblPrEx>
        <w:trPr>
          <w:cantSplit/>
          <w:trHeight w:val="432"/>
        </w:trPr>
        <w:tc>
          <w:tcPr>
            <w:tcW w:w="743" w:type="dxa"/>
            <w:noWrap/>
          </w:tcPr>
          <w:p w14:paraId="30A59CB9" w14:textId="77777777" w:rsidR="004A6408" w:rsidRDefault="004A6408" w:rsidP="00A95965">
            <w:pPr>
              <w:pStyle w:val="TableText"/>
              <w:rPr>
                <w:szCs w:val="20"/>
              </w:rPr>
            </w:pPr>
          </w:p>
        </w:tc>
        <w:tc>
          <w:tcPr>
            <w:tcW w:w="638" w:type="dxa"/>
          </w:tcPr>
          <w:p w14:paraId="5C7A3CDF" w14:textId="77777777" w:rsidR="004A6408" w:rsidRDefault="004A6408" w:rsidP="00A95965">
            <w:pPr>
              <w:pStyle w:val="TableText"/>
              <w:rPr>
                <w:szCs w:val="20"/>
              </w:rPr>
            </w:pPr>
          </w:p>
        </w:tc>
        <w:tc>
          <w:tcPr>
            <w:tcW w:w="683" w:type="dxa"/>
          </w:tcPr>
          <w:p w14:paraId="587E24C8" w14:textId="77777777" w:rsidR="004A6408" w:rsidRDefault="004A6408" w:rsidP="00A95965">
            <w:pPr>
              <w:pStyle w:val="TableText"/>
              <w:rPr>
                <w:szCs w:val="20"/>
              </w:rPr>
            </w:pPr>
          </w:p>
        </w:tc>
        <w:tc>
          <w:tcPr>
            <w:tcW w:w="640" w:type="dxa"/>
          </w:tcPr>
          <w:p w14:paraId="7A55EA77" w14:textId="77777777" w:rsidR="004A6408" w:rsidRDefault="004A6408" w:rsidP="00A95965">
            <w:pPr>
              <w:pStyle w:val="TableText"/>
              <w:rPr>
                <w:szCs w:val="20"/>
              </w:rPr>
            </w:pPr>
          </w:p>
        </w:tc>
        <w:tc>
          <w:tcPr>
            <w:tcW w:w="678" w:type="dxa"/>
          </w:tcPr>
          <w:p w14:paraId="4D10C0F4" w14:textId="77777777" w:rsidR="004A6408" w:rsidRDefault="004A6408" w:rsidP="00A95965">
            <w:pPr>
              <w:pStyle w:val="TableText"/>
              <w:rPr>
                <w:szCs w:val="20"/>
              </w:rPr>
            </w:pPr>
          </w:p>
        </w:tc>
        <w:tc>
          <w:tcPr>
            <w:tcW w:w="637" w:type="dxa"/>
          </w:tcPr>
          <w:p w14:paraId="16C735DF" w14:textId="77777777" w:rsidR="004A6408" w:rsidRDefault="004A6408" w:rsidP="00A95965">
            <w:pPr>
              <w:pStyle w:val="TableText"/>
              <w:rPr>
                <w:szCs w:val="20"/>
              </w:rPr>
            </w:pPr>
          </w:p>
        </w:tc>
        <w:tc>
          <w:tcPr>
            <w:tcW w:w="646" w:type="dxa"/>
          </w:tcPr>
          <w:p w14:paraId="736A6EB2" w14:textId="77777777" w:rsidR="004A6408" w:rsidRDefault="004A6408" w:rsidP="00A95965">
            <w:pPr>
              <w:pStyle w:val="TableText"/>
              <w:rPr>
                <w:szCs w:val="20"/>
              </w:rPr>
            </w:pPr>
          </w:p>
        </w:tc>
        <w:tc>
          <w:tcPr>
            <w:tcW w:w="635" w:type="dxa"/>
          </w:tcPr>
          <w:p w14:paraId="552595D4" w14:textId="77777777" w:rsidR="004A6408" w:rsidRDefault="004A6408" w:rsidP="00A95965">
            <w:pPr>
              <w:pStyle w:val="TableText"/>
              <w:rPr>
                <w:szCs w:val="20"/>
              </w:rPr>
            </w:pPr>
          </w:p>
        </w:tc>
        <w:tc>
          <w:tcPr>
            <w:tcW w:w="677" w:type="dxa"/>
          </w:tcPr>
          <w:p w14:paraId="1DF1C6E6" w14:textId="77777777" w:rsidR="004A6408" w:rsidRDefault="004A6408" w:rsidP="00A95965">
            <w:pPr>
              <w:pStyle w:val="TableText"/>
              <w:rPr>
                <w:szCs w:val="20"/>
              </w:rPr>
            </w:pPr>
          </w:p>
        </w:tc>
        <w:tc>
          <w:tcPr>
            <w:tcW w:w="637" w:type="dxa"/>
          </w:tcPr>
          <w:p w14:paraId="5F683A12" w14:textId="77777777" w:rsidR="004A6408" w:rsidRDefault="004A6408" w:rsidP="00A95965">
            <w:pPr>
              <w:pStyle w:val="TableText"/>
              <w:rPr>
                <w:szCs w:val="20"/>
              </w:rPr>
            </w:pPr>
          </w:p>
        </w:tc>
        <w:tc>
          <w:tcPr>
            <w:tcW w:w="646" w:type="dxa"/>
          </w:tcPr>
          <w:p w14:paraId="3C88C08C" w14:textId="77777777" w:rsidR="004A6408" w:rsidRDefault="004A6408" w:rsidP="00A95965">
            <w:pPr>
              <w:pStyle w:val="TableText"/>
              <w:rPr>
                <w:szCs w:val="20"/>
              </w:rPr>
            </w:pPr>
          </w:p>
        </w:tc>
        <w:tc>
          <w:tcPr>
            <w:tcW w:w="637" w:type="dxa"/>
          </w:tcPr>
          <w:p w14:paraId="654F85F0" w14:textId="77777777" w:rsidR="004A6408" w:rsidRDefault="004A6408" w:rsidP="00A95965">
            <w:pPr>
              <w:pStyle w:val="TableText"/>
              <w:rPr>
                <w:szCs w:val="20"/>
              </w:rPr>
            </w:pPr>
          </w:p>
        </w:tc>
        <w:tc>
          <w:tcPr>
            <w:tcW w:w="677" w:type="dxa"/>
          </w:tcPr>
          <w:p w14:paraId="36D2222D" w14:textId="77777777" w:rsidR="004A6408" w:rsidRDefault="004A6408" w:rsidP="00A95965">
            <w:pPr>
              <w:pStyle w:val="TableText"/>
              <w:rPr>
                <w:szCs w:val="20"/>
              </w:rPr>
            </w:pPr>
          </w:p>
        </w:tc>
        <w:tc>
          <w:tcPr>
            <w:tcW w:w="637" w:type="dxa"/>
          </w:tcPr>
          <w:p w14:paraId="3675F7F5" w14:textId="77777777" w:rsidR="004A6408" w:rsidRDefault="004A6408" w:rsidP="00A95965">
            <w:pPr>
              <w:pStyle w:val="TableText"/>
              <w:rPr>
                <w:szCs w:val="20"/>
              </w:rPr>
            </w:pPr>
          </w:p>
        </w:tc>
        <w:tc>
          <w:tcPr>
            <w:tcW w:w="646" w:type="dxa"/>
          </w:tcPr>
          <w:p w14:paraId="66B64326" w14:textId="77777777" w:rsidR="004A6408" w:rsidRDefault="004A6408" w:rsidP="00A95965">
            <w:pPr>
              <w:pStyle w:val="TableText"/>
              <w:rPr>
                <w:szCs w:val="20"/>
              </w:rPr>
            </w:pPr>
          </w:p>
        </w:tc>
        <w:tc>
          <w:tcPr>
            <w:tcW w:w="635" w:type="dxa"/>
          </w:tcPr>
          <w:p w14:paraId="793AFE24" w14:textId="77777777" w:rsidR="004A6408" w:rsidRDefault="004A6408" w:rsidP="00A95965">
            <w:pPr>
              <w:pStyle w:val="TableText"/>
              <w:rPr>
                <w:szCs w:val="20"/>
              </w:rPr>
            </w:pPr>
          </w:p>
        </w:tc>
        <w:tc>
          <w:tcPr>
            <w:tcW w:w="2396" w:type="dxa"/>
          </w:tcPr>
          <w:p w14:paraId="67349626" w14:textId="77777777" w:rsidR="004A6408" w:rsidRDefault="004A6408" w:rsidP="00A95965">
            <w:pPr>
              <w:pStyle w:val="TableText"/>
              <w:rPr>
                <w:szCs w:val="20"/>
              </w:rPr>
            </w:pPr>
          </w:p>
        </w:tc>
      </w:tr>
      <w:tr w:rsidR="004A6408" w14:paraId="5892E4B7" w14:textId="77777777">
        <w:tblPrEx>
          <w:shd w:val="clear" w:color="auto" w:fill="auto"/>
        </w:tblPrEx>
        <w:trPr>
          <w:cantSplit/>
          <w:trHeight w:val="432"/>
        </w:trPr>
        <w:tc>
          <w:tcPr>
            <w:tcW w:w="12888" w:type="dxa"/>
            <w:gridSpan w:val="17"/>
            <w:noWrap/>
          </w:tcPr>
          <w:p w14:paraId="79CD6B1B" w14:textId="77777777" w:rsidR="004A6408" w:rsidRPr="00AC5C64" w:rsidRDefault="004A6408" w:rsidP="00A95965">
            <w:pPr>
              <w:pStyle w:val="TableText"/>
              <w:rPr>
                <w:b/>
                <w:szCs w:val="20"/>
              </w:rPr>
            </w:pPr>
            <w:r>
              <w:rPr>
                <w:b/>
                <w:szCs w:val="20"/>
              </w:rPr>
              <w:t>Comments:</w:t>
            </w:r>
          </w:p>
        </w:tc>
      </w:tr>
    </w:tbl>
    <w:p w14:paraId="165D2EB4" w14:textId="77777777" w:rsidR="003F3F74" w:rsidRDefault="003F3F74" w:rsidP="00DD75E5">
      <w:pPr>
        <w:pStyle w:val="BodyText"/>
      </w:pPr>
    </w:p>
    <w:tbl>
      <w:tblPr>
        <w:tblW w:w="129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402"/>
        <w:gridCol w:w="19"/>
        <w:gridCol w:w="969"/>
        <w:gridCol w:w="970"/>
        <w:gridCol w:w="970"/>
        <w:gridCol w:w="971"/>
        <w:gridCol w:w="970"/>
        <w:gridCol w:w="970"/>
        <w:gridCol w:w="21"/>
        <w:gridCol w:w="1938"/>
        <w:gridCol w:w="1760"/>
      </w:tblGrid>
      <w:tr w:rsidR="004A6408" w14:paraId="1344A179" w14:textId="77777777">
        <w:trPr>
          <w:cantSplit/>
          <w:trHeight w:val="230"/>
        </w:trPr>
        <w:tc>
          <w:tcPr>
            <w:tcW w:w="3402" w:type="dxa"/>
            <w:shd w:val="clear" w:color="auto" w:fill="B3B3B3"/>
            <w:noWrap/>
          </w:tcPr>
          <w:p w14:paraId="0FD56A4A" w14:textId="77777777" w:rsidR="004A6408" w:rsidRPr="00AC5C64" w:rsidRDefault="004A6408" w:rsidP="00A95965">
            <w:pPr>
              <w:pStyle w:val="TableText"/>
              <w:rPr>
                <w:b/>
                <w:szCs w:val="20"/>
              </w:rPr>
            </w:pPr>
            <w:r>
              <w:rPr>
                <w:b/>
                <w:szCs w:val="20"/>
              </w:rPr>
              <w:t>Patient Name</w:t>
            </w:r>
          </w:p>
        </w:tc>
        <w:tc>
          <w:tcPr>
            <w:tcW w:w="3899" w:type="dxa"/>
            <w:gridSpan w:val="5"/>
            <w:shd w:val="clear" w:color="auto" w:fill="B3B3B3"/>
          </w:tcPr>
          <w:p w14:paraId="095B4385" w14:textId="77777777" w:rsidR="004A6408" w:rsidRPr="00AC5C64" w:rsidRDefault="004A6408" w:rsidP="00A95965">
            <w:pPr>
              <w:pStyle w:val="TableText"/>
              <w:rPr>
                <w:b/>
                <w:szCs w:val="20"/>
              </w:rPr>
            </w:pPr>
            <w:r>
              <w:rPr>
                <w:b/>
                <w:szCs w:val="20"/>
              </w:rPr>
              <w:t>Patient Identification Number</w:t>
            </w:r>
          </w:p>
        </w:tc>
        <w:tc>
          <w:tcPr>
            <w:tcW w:w="1961" w:type="dxa"/>
            <w:gridSpan w:val="3"/>
            <w:shd w:val="clear" w:color="auto" w:fill="B3B3B3"/>
          </w:tcPr>
          <w:p w14:paraId="0D3A065C" w14:textId="77777777" w:rsidR="004A6408" w:rsidRPr="00AC5C64" w:rsidRDefault="004A6408" w:rsidP="00A95965">
            <w:pPr>
              <w:pStyle w:val="TableText"/>
              <w:rPr>
                <w:b/>
                <w:szCs w:val="20"/>
              </w:rPr>
            </w:pPr>
            <w:r>
              <w:rPr>
                <w:b/>
                <w:szCs w:val="20"/>
              </w:rPr>
              <w:t>Location</w:t>
            </w:r>
          </w:p>
        </w:tc>
        <w:tc>
          <w:tcPr>
            <w:tcW w:w="3698" w:type="dxa"/>
            <w:gridSpan w:val="2"/>
            <w:shd w:val="clear" w:color="auto" w:fill="B3B3B3"/>
          </w:tcPr>
          <w:p w14:paraId="06129E04" w14:textId="77777777" w:rsidR="004A6408" w:rsidRPr="00AC5C64" w:rsidRDefault="004A6408" w:rsidP="00A95965">
            <w:pPr>
              <w:pStyle w:val="TableText"/>
              <w:rPr>
                <w:b/>
                <w:szCs w:val="20"/>
              </w:rPr>
            </w:pPr>
            <w:r>
              <w:rPr>
                <w:b/>
                <w:szCs w:val="20"/>
              </w:rPr>
              <w:t>Specimen UID</w:t>
            </w:r>
          </w:p>
        </w:tc>
      </w:tr>
      <w:tr w:rsidR="004A6408" w14:paraId="4E105E03" w14:textId="77777777">
        <w:trPr>
          <w:cantSplit/>
          <w:trHeight w:val="432"/>
        </w:trPr>
        <w:tc>
          <w:tcPr>
            <w:tcW w:w="3402" w:type="dxa"/>
            <w:noWrap/>
          </w:tcPr>
          <w:p w14:paraId="4AF36444" w14:textId="77777777" w:rsidR="004A6408" w:rsidRDefault="004A6408" w:rsidP="00A95965">
            <w:pPr>
              <w:pStyle w:val="TableText"/>
              <w:rPr>
                <w:szCs w:val="20"/>
              </w:rPr>
            </w:pPr>
          </w:p>
        </w:tc>
        <w:tc>
          <w:tcPr>
            <w:tcW w:w="3899" w:type="dxa"/>
            <w:gridSpan w:val="5"/>
          </w:tcPr>
          <w:p w14:paraId="765A5F37" w14:textId="77777777" w:rsidR="004A6408" w:rsidRDefault="004A6408" w:rsidP="00A95965">
            <w:pPr>
              <w:pStyle w:val="TableText"/>
              <w:rPr>
                <w:szCs w:val="20"/>
              </w:rPr>
            </w:pPr>
          </w:p>
        </w:tc>
        <w:tc>
          <w:tcPr>
            <w:tcW w:w="1961" w:type="dxa"/>
            <w:gridSpan w:val="3"/>
          </w:tcPr>
          <w:p w14:paraId="0403AB02" w14:textId="77777777" w:rsidR="004A6408" w:rsidRDefault="004A6408" w:rsidP="00A95965">
            <w:pPr>
              <w:pStyle w:val="TableText"/>
              <w:rPr>
                <w:szCs w:val="20"/>
              </w:rPr>
            </w:pPr>
          </w:p>
        </w:tc>
        <w:tc>
          <w:tcPr>
            <w:tcW w:w="3698" w:type="dxa"/>
            <w:gridSpan w:val="2"/>
          </w:tcPr>
          <w:p w14:paraId="1BC4201B" w14:textId="77777777" w:rsidR="004A6408" w:rsidRDefault="004A6408" w:rsidP="00A95965">
            <w:pPr>
              <w:pStyle w:val="TableText"/>
              <w:rPr>
                <w:szCs w:val="20"/>
              </w:rPr>
            </w:pPr>
          </w:p>
        </w:tc>
      </w:tr>
      <w:tr w:rsidR="004A6408" w14:paraId="68D23A0C" w14:textId="77777777">
        <w:trPr>
          <w:cantSplit/>
          <w:trHeight w:val="230"/>
          <w:tblHeader/>
        </w:trPr>
        <w:tc>
          <w:tcPr>
            <w:tcW w:w="12960" w:type="dxa"/>
            <w:gridSpan w:val="11"/>
            <w:shd w:val="clear" w:color="auto" w:fill="B3B3B3"/>
            <w:noWrap/>
          </w:tcPr>
          <w:p w14:paraId="64F36763" w14:textId="77777777" w:rsidR="004A6408" w:rsidRPr="00035A4D" w:rsidRDefault="004A6408" w:rsidP="00FC4396">
            <w:pPr>
              <w:pStyle w:val="TableText"/>
              <w:rPr>
                <w:b/>
                <w:szCs w:val="20"/>
              </w:rPr>
            </w:pPr>
            <w:r>
              <w:rPr>
                <w:b/>
                <w:szCs w:val="20"/>
              </w:rPr>
              <w:t>Compatibility Testing</w:t>
            </w:r>
          </w:p>
        </w:tc>
      </w:tr>
      <w:tr w:rsidR="006304EB" w14:paraId="5135CEE4" w14:textId="77777777">
        <w:trPr>
          <w:cantSplit/>
          <w:trHeight w:val="230"/>
          <w:tblHeader/>
        </w:trPr>
        <w:tc>
          <w:tcPr>
            <w:tcW w:w="3421" w:type="dxa"/>
            <w:gridSpan w:val="2"/>
            <w:shd w:val="clear" w:color="auto" w:fill="B3B3B3"/>
            <w:noWrap/>
          </w:tcPr>
          <w:p w14:paraId="6409CC94" w14:textId="77777777" w:rsidR="006304EB" w:rsidRPr="00035A4D" w:rsidRDefault="006304EB" w:rsidP="00FC4396">
            <w:pPr>
              <w:pStyle w:val="TableText"/>
              <w:rPr>
                <w:b/>
                <w:szCs w:val="20"/>
              </w:rPr>
            </w:pPr>
            <w:r w:rsidRPr="00035A4D">
              <w:rPr>
                <w:b/>
                <w:szCs w:val="20"/>
              </w:rPr>
              <w:t>Unit Identification Number</w:t>
            </w:r>
          </w:p>
        </w:tc>
        <w:tc>
          <w:tcPr>
            <w:tcW w:w="969" w:type="dxa"/>
            <w:shd w:val="clear" w:color="auto" w:fill="B3B3B3"/>
          </w:tcPr>
          <w:p w14:paraId="66FA2B05" w14:textId="77777777" w:rsidR="006304EB" w:rsidRPr="00035A4D" w:rsidRDefault="006304EB" w:rsidP="00FC4396">
            <w:pPr>
              <w:pStyle w:val="TableText"/>
              <w:rPr>
                <w:b/>
                <w:szCs w:val="20"/>
              </w:rPr>
            </w:pPr>
            <w:r>
              <w:rPr>
                <w:b/>
                <w:szCs w:val="20"/>
              </w:rPr>
              <w:t>Product Code</w:t>
            </w:r>
          </w:p>
        </w:tc>
        <w:tc>
          <w:tcPr>
            <w:tcW w:w="970" w:type="dxa"/>
            <w:shd w:val="clear" w:color="auto" w:fill="B3B3B3"/>
          </w:tcPr>
          <w:p w14:paraId="2651562E" w14:textId="77777777" w:rsidR="006304EB" w:rsidRPr="00035A4D" w:rsidRDefault="006304EB" w:rsidP="00FC4396">
            <w:pPr>
              <w:pStyle w:val="TableText"/>
              <w:rPr>
                <w:b/>
                <w:szCs w:val="20"/>
              </w:rPr>
            </w:pPr>
            <w:r w:rsidRPr="00035A4D">
              <w:rPr>
                <w:b/>
                <w:szCs w:val="20"/>
              </w:rPr>
              <w:t>ABO/Rh</w:t>
            </w:r>
          </w:p>
        </w:tc>
        <w:tc>
          <w:tcPr>
            <w:tcW w:w="970" w:type="dxa"/>
            <w:shd w:val="clear" w:color="auto" w:fill="B3B3B3"/>
          </w:tcPr>
          <w:p w14:paraId="1963E3C0" w14:textId="77777777" w:rsidR="006304EB" w:rsidRPr="00035A4D" w:rsidRDefault="006304EB" w:rsidP="00FC4396">
            <w:pPr>
              <w:pStyle w:val="TableText"/>
              <w:rPr>
                <w:b/>
                <w:szCs w:val="20"/>
              </w:rPr>
            </w:pPr>
            <w:r w:rsidRPr="00035A4D">
              <w:rPr>
                <w:b/>
                <w:szCs w:val="20"/>
              </w:rPr>
              <w:t>RT/IS</w:t>
            </w:r>
          </w:p>
        </w:tc>
        <w:tc>
          <w:tcPr>
            <w:tcW w:w="971" w:type="dxa"/>
            <w:shd w:val="clear" w:color="auto" w:fill="B3B3B3"/>
          </w:tcPr>
          <w:p w14:paraId="282509B4" w14:textId="77777777" w:rsidR="006304EB" w:rsidRPr="00035A4D" w:rsidRDefault="006304EB" w:rsidP="00FC4396">
            <w:pPr>
              <w:pStyle w:val="TableText"/>
              <w:rPr>
                <w:b/>
                <w:szCs w:val="20"/>
              </w:rPr>
            </w:pPr>
            <w:r w:rsidRPr="00035A4D">
              <w:rPr>
                <w:b/>
                <w:szCs w:val="20"/>
              </w:rPr>
              <w:t>37</w:t>
            </w:r>
            <w:r w:rsidRPr="00035A4D">
              <w:rPr>
                <w:rFonts w:cs="Arial"/>
                <w:b/>
                <w:szCs w:val="20"/>
              </w:rPr>
              <w:t>°</w:t>
            </w:r>
          </w:p>
        </w:tc>
        <w:tc>
          <w:tcPr>
            <w:tcW w:w="970" w:type="dxa"/>
            <w:shd w:val="clear" w:color="auto" w:fill="B3B3B3"/>
          </w:tcPr>
          <w:p w14:paraId="2FF206C6" w14:textId="77777777" w:rsidR="006304EB" w:rsidRPr="00035A4D" w:rsidRDefault="006304EB" w:rsidP="00FC4396">
            <w:pPr>
              <w:pStyle w:val="TableText"/>
              <w:rPr>
                <w:b/>
                <w:szCs w:val="20"/>
              </w:rPr>
            </w:pPr>
            <w:r w:rsidRPr="00035A4D">
              <w:rPr>
                <w:b/>
                <w:szCs w:val="20"/>
              </w:rPr>
              <w:t>AHG</w:t>
            </w:r>
          </w:p>
        </w:tc>
        <w:tc>
          <w:tcPr>
            <w:tcW w:w="970" w:type="dxa"/>
            <w:shd w:val="clear" w:color="auto" w:fill="B3B3B3"/>
          </w:tcPr>
          <w:p w14:paraId="72FA9F3C" w14:textId="77777777" w:rsidR="006304EB" w:rsidRPr="00035A4D" w:rsidRDefault="006304EB" w:rsidP="00FC4396">
            <w:pPr>
              <w:pStyle w:val="TableText"/>
              <w:rPr>
                <w:b/>
                <w:szCs w:val="20"/>
              </w:rPr>
            </w:pPr>
            <w:r w:rsidRPr="00035A4D">
              <w:rPr>
                <w:b/>
                <w:szCs w:val="20"/>
              </w:rPr>
              <w:t>CC</w:t>
            </w:r>
          </w:p>
        </w:tc>
        <w:tc>
          <w:tcPr>
            <w:tcW w:w="1959" w:type="dxa"/>
            <w:gridSpan w:val="2"/>
            <w:shd w:val="clear" w:color="auto" w:fill="B3B3B3"/>
          </w:tcPr>
          <w:p w14:paraId="13BBC1AD" w14:textId="77777777" w:rsidR="006304EB" w:rsidRPr="00035A4D" w:rsidRDefault="006304EB" w:rsidP="00FC4396">
            <w:pPr>
              <w:pStyle w:val="TableText"/>
              <w:rPr>
                <w:b/>
                <w:szCs w:val="20"/>
              </w:rPr>
            </w:pPr>
            <w:r w:rsidRPr="00035A4D">
              <w:rPr>
                <w:b/>
                <w:szCs w:val="20"/>
              </w:rPr>
              <w:t>Interpretation</w:t>
            </w:r>
          </w:p>
        </w:tc>
        <w:tc>
          <w:tcPr>
            <w:tcW w:w="1760" w:type="dxa"/>
            <w:shd w:val="clear" w:color="auto" w:fill="B3B3B3"/>
          </w:tcPr>
          <w:p w14:paraId="2501CD83" w14:textId="77777777" w:rsidR="006304EB" w:rsidRPr="00035A4D" w:rsidRDefault="006304EB" w:rsidP="00FC4396">
            <w:pPr>
              <w:pStyle w:val="TableText"/>
              <w:rPr>
                <w:b/>
                <w:szCs w:val="20"/>
              </w:rPr>
            </w:pPr>
            <w:r w:rsidRPr="00035A4D">
              <w:rPr>
                <w:b/>
                <w:szCs w:val="20"/>
              </w:rPr>
              <w:t>Tech Name</w:t>
            </w:r>
          </w:p>
        </w:tc>
      </w:tr>
      <w:tr w:rsidR="006304EB" w14:paraId="6E9BC5E0" w14:textId="77777777">
        <w:trPr>
          <w:cantSplit/>
          <w:trHeight w:val="432"/>
        </w:trPr>
        <w:tc>
          <w:tcPr>
            <w:tcW w:w="3421" w:type="dxa"/>
            <w:gridSpan w:val="2"/>
            <w:noWrap/>
          </w:tcPr>
          <w:p w14:paraId="184ED26E" w14:textId="77777777" w:rsidR="006304EB" w:rsidRDefault="006304EB" w:rsidP="00A95965">
            <w:pPr>
              <w:pStyle w:val="TableText"/>
              <w:rPr>
                <w:szCs w:val="20"/>
              </w:rPr>
            </w:pPr>
          </w:p>
        </w:tc>
        <w:tc>
          <w:tcPr>
            <w:tcW w:w="969" w:type="dxa"/>
          </w:tcPr>
          <w:p w14:paraId="22EB7205" w14:textId="77777777" w:rsidR="006304EB" w:rsidRDefault="006304EB" w:rsidP="00A95965">
            <w:pPr>
              <w:pStyle w:val="TableText"/>
              <w:rPr>
                <w:szCs w:val="20"/>
              </w:rPr>
            </w:pPr>
          </w:p>
        </w:tc>
        <w:tc>
          <w:tcPr>
            <w:tcW w:w="970" w:type="dxa"/>
          </w:tcPr>
          <w:p w14:paraId="3D81FC2A" w14:textId="77777777" w:rsidR="006304EB" w:rsidRDefault="006304EB" w:rsidP="00A95965">
            <w:pPr>
              <w:pStyle w:val="TableText"/>
              <w:rPr>
                <w:szCs w:val="20"/>
              </w:rPr>
            </w:pPr>
          </w:p>
        </w:tc>
        <w:tc>
          <w:tcPr>
            <w:tcW w:w="970" w:type="dxa"/>
          </w:tcPr>
          <w:p w14:paraId="3EB3A2A3" w14:textId="77777777" w:rsidR="006304EB" w:rsidRDefault="006304EB" w:rsidP="00A95965">
            <w:pPr>
              <w:pStyle w:val="TableText"/>
              <w:rPr>
                <w:szCs w:val="20"/>
              </w:rPr>
            </w:pPr>
          </w:p>
        </w:tc>
        <w:tc>
          <w:tcPr>
            <w:tcW w:w="971" w:type="dxa"/>
          </w:tcPr>
          <w:p w14:paraId="0C7316B8" w14:textId="77777777" w:rsidR="006304EB" w:rsidRPr="006A7FD3" w:rsidRDefault="006304EB" w:rsidP="00A95965">
            <w:pPr>
              <w:pStyle w:val="TableText"/>
              <w:jc w:val="center"/>
              <w:rPr>
                <w:b/>
                <w:szCs w:val="20"/>
              </w:rPr>
            </w:pPr>
          </w:p>
        </w:tc>
        <w:tc>
          <w:tcPr>
            <w:tcW w:w="970" w:type="dxa"/>
          </w:tcPr>
          <w:p w14:paraId="363B399B" w14:textId="77777777" w:rsidR="006304EB" w:rsidRPr="006A7FD3" w:rsidRDefault="006304EB" w:rsidP="00A95965">
            <w:pPr>
              <w:pStyle w:val="TableText"/>
              <w:jc w:val="center"/>
              <w:rPr>
                <w:b/>
                <w:szCs w:val="20"/>
              </w:rPr>
            </w:pPr>
          </w:p>
        </w:tc>
        <w:tc>
          <w:tcPr>
            <w:tcW w:w="970" w:type="dxa"/>
          </w:tcPr>
          <w:p w14:paraId="191DC1F5" w14:textId="77777777" w:rsidR="006304EB" w:rsidRPr="006A7FD3" w:rsidRDefault="006304EB" w:rsidP="00A95965">
            <w:pPr>
              <w:pStyle w:val="TableText"/>
              <w:jc w:val="center"/>
              <w:rPr>
                <w:b/>
                <w:szCs w:val="20"/>
              </w:rPr>
            </w:pPr>
          </w:p>
        </w:tc>
        <w:tc>
          <w:tcPr>
            <w:tcW w:w="1959" w:type="dxa"/>
            <w:gridSpan w:val="2"/>
          </w:tcPr>
          <w:p w14:paraId="25A694E5" w14:textId="77777777" w:rsidR="006304EB" w:rsidRDefault="006304EB" w:rsidP="00A95965">
            <w:pPr>
              <w:pStyle w:val="TableText"/>
              <w:rPr>
                <w:szCs w:val="20"/>
              </w:rPr>
            </w:pPr>
          </w:p>
        </w:tc>
        <w:tc>
          <w:tcPr>
            <w:tcW w:w="1760" w:type="dxa"/>
          </w:tcPr>
          <w:p w14:paraId="02AAD436" w14:textId="77777777" w:rsidR="006304EB" w:rsidRDefault="006304EB" w:rsidP="00A95965">
            <w:pPr>
              <w:pStyle w:val="TableText"/>
              <w:rPr>
                <w:szCs w:val="20"/>
              </w:rPr>
            </w:pPr>
          </w:p>
        </w:tc>
      </w:tr>
      <w:tr w:rsidR="006304EB" w14:paraId="688116C3" w14:textId="77777777">
        <w:trPr>
          <w:cantSplit/>
          <w:trHeight w:val="432"/>
        </w:trPr>
        <w:tc>
          <w:tcPr>
            <w:tcW w:w="3421" w:type="dxa"/>
            <w:gridSpan w:val="2"/>
            <w:noWrap/>
          </w:tcPr>
          <w:p w14:paraId="69030D4C" w14:textId="77777777" w:rsidR="006304EB" w:rsidRDefault="006304EB" w:rsidP="00A95965">
            <w:pPr>
              <w:pStyle w:val="TableText"/>
              <w:rPr>
                <w:szCs w:val="20"/>
              </w:rPr>
            </w:pPr>
          </w:p>
        </w:tc>
        <w:tc>
          <w:tcPr>
            <w:tcW w:w="969" w:type="dxa"/>
          </w:tcPr>
          <w:p w14:paraId="3522152C" w14:textId="77777777" w:rsidR="006304EB" w:rsidRDefault="006304EB" w:rsidP="00A95965">
            <w:pPr>
              <w:pStyle w:val="TableText"/>
              <w:rPr>
                <w:szCs w:val="20"/>
              </w:rPr>
            </w:pPr>
          </w:p>
        </w:tc>
        <w:tc>
          <w:tcPr>
            <w:tcW w:w="970" w:type="dxa"/>
          </w:tcPr>
          <w:p w14:paraId="7792F66C" w14:textId="77777777" w:rsidR="006304EB" w:rsidRDefault="006304EB" w:rsidP="00A95965">
            <w:pPr>
              <w:pStyle w:val="TableText"/>
              <w:rPr>
                <w:szCs w:val="20"/>
              </w:rPr>
            </w:pPr>
          </w:p>
        </w:tc>
        <w:tc>
          <w:tcPr>
            <w:tcW w:w="970" w:type="dxa"/>
          </w:tcPr>
          <w:p w14:paraId="5C048B56" w14:textId="77777777" w:rsidR="006304EB" w:rsidRDefault="006304EB" w:rsidP="00A95965">
            <w:pPr>
              <w:pStyle w:val="TableText"/>
              <w:rPr>
                <w:szCs w:val="20"/>
              </w:rPr>
            </w:pPr>
          </w:p>
        </w:tc>
        <w:tc>
          <w:tcPr>
            <w:tcW w:w="971" w:type="dxa"/>
          </w:tcPr>
          <w:p w14:paraId="3562570E" w14:textId="77777777" w:rsidR="006304EB" w:rsidRPr="006A7FD3" w:rsidRDefault="006304EB" w:rsidP="00A95965">
            <w:pPr>
              <w:pStyle w:val="TableText"/>
              <w:jc w:val="center"/>
              <w:rPr>
                <w:b/>
                <w:szCs w:val="20"/>
              </w:rPr>
            </w:pPr>
          </w:p>
        </w:tc>
        <w:tc>
          <w:tcPr>
            <w:tcW w:w="970" w:type="dxa"/>
          </w:tcPr>
          <w:p w14:paraId="18B294BF" w14:textId="77777777" w:rsidR="006304EB" w:rsidRPr="006A7FD3" w:rsidRDefault="006304EB" w:rsidP="00A95965">
            <w:pPr>
              <w:pStyle w:val="TableText"/>
              <w:jc w:val="center"/>
              <w:rPr>
                <w:b/>
                <w:szCs w:val="20"/>
              </w:rPr>
            </w:pPr>
          </w:p>
        </w:tc>
        <w:tc>
          <w:tcPr>
            <w:tcW w:w="970" w:type="dxa"/>
          </w:tcPr>
          <w:p w14:paraId="16012301" w14:textId="77777777" w:rsidR="006304EB" w:rsidRPr="006A7FD3" w:rsidRDefault="006304EB" w:rsidP="00A95965">
            <w:pPr>
              <w:pStyle w:val="TableText"/>
              <w:jc w:val="center"/>
              <w:rPr>
                <w:b/>
                <w:szCs w:val="20"/>
              </w:rPr>
            </w:pPr>
          </w:p>
        </w:tc>
        <w:tc>
          <w:tcPr>
            <w:tcW w:w="1959" w:type="dxa"/>
            <w:gridSpan w:val="2"/>
          </w:tcPr>
          <w:p w14:paraId="44A89902" w14:textId="77777777" w:rsidR="006304EB" w:rsidRDefault="006304EB" w:rsidP="00A95965">
            <w:pPr>
              <w:pStyle w:val="TableText"/>
              <w:rPr>
                <w:szCs w:val="20"/>
              </w:rPr>
            </w:pPr>
          </w:p>
        </w:tc>
        <w:tc>
          <w:tcPr>
            <w:tcW w:w="1760" w:type="dxa"/>
          </w:tcPr>
          <w:p w14:paraId="1302ABAF" w14:textId="77777777" w:rsidR="006304EB" w:rsidRDefault="006304EB" w:rsidP="00A95965">
            <w:pPr>
              <w:pStyle w:val="TableText"/>
              <w:rPr>
                <w:szCs w:val="20"/>
              </w:rPr>
            </w:pPr>
          </w:p>
        </w:tc>
      </w:tr>
      <w:tr w:rsidR="006304EB" w14:paraId="7D09D4DE" w14:textId="77777777">
        <w:trPr>
          <w:cantSplit/>
          <w:trHeight w:val="432"/>
        </w:trPr>
        <w:tc>
          <w:tcPr>
            <w:tcW w:w="3421" w:type="dxa"/>
            <w:gridSpan w:val="2"/>
            <w:noWrap/>
          </w:tcPr>
          <w:p w14:paraId="3B532DE7" w14:textId="77777777" w:rsidR="006304EB" w:rsidRDefault="006304EB" w:rsidP="00A95965">
            <w:pPr>
              <w:pStyle w:val="TableText"/>
              <w:rPr>
                <w:szCs w:val="20"/>
              </w:rPr>
            </w:pPr>
          </w:p>
        </w:tc>
        <w:tc>
          <w:tcPr>
            <w:tcW w:w="969" w:type="dxa"/>
          </w:tcPr>
          <w:p w14:paraId="0114C273" w14:textId="77777777" w:rsidR="006304EB" w:rsidRDefault="006304EB" w:rsidP="00A95965">
            <w:pPr>
              <w:pStyle w:val="TableText"/>
              <w:rPr>
                <w:szCs w:val="20"/>
              </w:rPr>
            </w:pPr>
          </w:p>
        </w:tc>
        <w:tc>
          <w:tcPr>
            <w:tcW w:w="970" w:type="dxa"/>
          </w:tcPr>
          <w:p w14:paraId="14746CDA" w14:textId="77777777" w:rsidR="006304EB" w:rsidRDefault="006304EB" w:rsidP="00A95965">
            <w:pPr>
              <w:pStyle w:val="TableText"/>
              <w:rPr>
                <w:szCs w:val="20"/>
              </w:rPr>
            </w:pPr>
          </w:p>
        </w:tc>
        <w:tc>
          <w:tcPr>
            <w:tcW w:w="970" w:type="dxa"/>
          </w:tcPr>
          <w:p w14:paraId="5180AE14" w14:textId="77777777" w:rsidR="006304EB" w:rsidRDefault="006304EB" w:rsidP="00A95965">
            <w:pPr>
              <w:pStyle w:val="TableText"/>
              <w:rPr>
                <w:szCs w:val="20"/>
              </w:rPr>
            </w:pPr>
          </w:p>
        </w:tc>
        <w:tc>
          <w:tcPr>
            <w:tcW w:w="971" w:type="dxa"/>
          </w:tcPr>
          <w:p w14:paraId="50A31429" w14:textId="77777777" w:rsidR="006304EB" w:rsidRPr="006A7FD3" w:rsidRDefault="006304EB" w:rsidP="00A95965">
            <w:pPr>
              <w:pStyle w:val="TableText"/>
              <w:jc w:val="center"/>
              <w:rPr>
                <w:b/>
                <w:szCs w:val="20"/>
              </w:rPr>
            </w:pPr>
          </w:p>
        </w:tc>
        <w:tc>
          <w:tcPr>
            <w:tcW w:w="970" w:type="dxa"/>
          </w:tcPr>
          <w:p w14:paraId="1B4957CA" w14:textId="77777777" w:rsidR="006304EB" w:rsidRPr="006A7FD3" w:rsidRDefault="006304EB" w:rsidP="00A95965">
            <w:pPr>
              <w:pStyle w:val="TableText"/>
              <w:jc w:val="center"/>
              <w:rPr>
                <w:b/>
                <w:szCs w:val="20"/>
              </w:rPr>
            </w:pPr>
          </w:p>
        </w:tc>
        <w:tc>
          <w:tcPr>
            <w:tcW w:w="970" w:type="dxa"/>
          </w:tcPr>
          <w:p w14:paraId="67B9B3A0" w14:textId="77777777" w:rsidR="006304EB" w:rsidRPr="006A7FD3" w:rsidRDefault="006304EB" w:rsidP="00A95965">
            <w:pPr>
              <w:pStyle w:val="TableText"/>
              <w:jc w:val="center"/>
              <w:rPr>
                <w:b/>
                <w:szCs w:val="20"/>
              </w:rPr>
            </w:pPr>
          </w:p>
        </w:tc>
        <w:tc>
          <w:tcPr>
            <w:tcW w:w="1959" w:type="dxa"/>
            <w:gridSpan w:val="2"/>
          </w:tcPr>
          <w:p w14:paraId="5A2CF9C2" w14:textId="77777777" w:rsidR="006304EB" w:rsidRDefault="006304EB" w:rsidP="00A95965">
            <w:pPr>
              <w:pStyle w:val="TableText"/>
              <w:rPr>
                <w:szCs w:val="20"/>
              </w:rPr>
            </w:pPr>
          </w:p>
        </w:tc>
        <w:tc>
          <w:tcPr>
            <w:tcW w:w="1760" w:type="dxa"/>
          </w:tcPr>
          <w:p w14:paraId="0A767241" w14:textId="77777777" w:rsidR="006304EB" w:rsidRDefault="006304EB" w:rsidP="00A95965">
            <w:pPr>
              <w:pStyle w:val="TableText"/>
              <w:rPr>
                <w:szCs w:val="20"/>
              </w:rPr>
            </w:pPr>
          </w:p>
        </w:tc>
      </w:tr>
      <w:tr w:rsidR="006304EB" w14:paraId="302873A3" w14:textId="77777777">
        <w:trPr>
          <w:cantSplit/>
          <w:trHeight w:val="432"/>
        </w:trPr>
        <w:tc>
          <w:tcPr>
            <w:tcW w:w="3421" w:type="dxa"/>
            <w:gridSpan w:val="2"/>
            <w:noWrap/>
          </w:tcPr>
          <w:p w14:paraId="7D383DC2" w14:textId="77777777" w:rsidR="006304EB" w:rsidRDefault="006304EB" w:rsidP="00A95965">
            <w:pPr>
              <w:pStyle w:val="TableText"/>
              <w:rPr>
                <w:szCs w:val="20"/>
              </w:rPr>
            </w:pPr>
          </w:p>
        </w:tc>
        <w:tc>
          <w:tcPr>
            <w:tcW w:w="969" w:type="dxa"/>
          </w:tcPr>
          <w:p w14:paraId="71A63814" w14:textId="77777777" w:rsidR="006304EB" w:rsidRDefault="006304EB" w:rsidP="00A95965">
            <w:pPr>
              <w:pStyle w:val="TableText"/>
              <w:rPr>
                <w:szCs w:val="20"/>
              </w:rPr>
            </w:pPr>
          </w:p>
        </w:tc>
        <w:tc>
          <w:tcPr>
            <w:tcW w:w="970" w:type="dxa"/>
          </w:tcPr>
          <w:p w14:paraId="10C25A2B" w14:textId="77777777" w:rsidR="006304EB" w:rsidRDefault="006304EB" w:rsidP="00A95965">
            <w:pPr>
              <w:pStyle w:val="TableText"/>
              <w:rPr>
                <w:szCs w:val="20"/>
              </w:rPr>
            </w:pPr>
          </w:p>
        </w:tc>
        <w:tc>
          <w:tcPr>
            <w:tcW w:w="970" w:type="dxa"/>
          </w:tcPr>
          <w:p w14:paraId="0B09E3B0" w14:textId="77777777" w:rsidR="006304EB" w:rsidRDefault="006304EB" w:rsidP="00A95965">
            <w:pPr>
              <w:pStyle w:val="TableText"/>
              <w:rPr>
                <w:szCs w:val="20"/>
              </w:rPr>
            </w:pPr>
          </w:p>
        </w:tc>
        <w:tc>
          <w:tcPr>
            <w:tcW w:w="971" w:type="dxa"/>
          </w:tcPr>
          <w:p w14:paraId="15709608" w14:textId="77777777" w:rsidR="006304EB" w:rsidRPr="006A7FD3" w:rsidRDefault="006304EB" w:rsidP="00A95965">
            <w:pPr>
              <w:pStyle w:val="TableText"/>
              <w:jc w:val="center"/>
              <w:rPr>
                <w:b/>
                <w:szCs w:val="20"/>
              </w:rPr>
            </w:pPr>
          </w:p>
        </w:tc>
        <w:tc>
          <w:tcPr>
            <w:tcW w:w="970" w:type="dxa"/>
          </w:tcPr>
          <w:p w14:paraId="1B386223" w14:textId="77777777" w:rsidR="006304EB" w:rsidRPr="006A7FD3" w:rsidRDefault="006304EB" w:rsidP="00A95965">
            <w:pPr>
              <w:pStyle w:val="TableText"/>
              <w:jc w:val="center"/>
              <w:rPr>
                <w:b/>
                <w:szCs w:val="20"/>
              </w:rPr>
            </w:pPr>
          </w:p>
        </w:tc>
        <w:tc>
          <w:tcPr>
            <w:tcW w:w="970" w:type="dxa"/>
          </w:tcPr>
          <w:p w14:paraId="5D199927" w14:textId="77777777" w:rsidR="006304EB" w:rsidRPr="006A7FD3" w:rsidRDefault="006304EB" w:rsidP="00A95965">
            <w:pPr>
              <w:pStyle w:val="TableText"/>
              <w:jc w:val="center"/>
              <w:rPr>
                <w:b/>
                <w:szCs w:val="20"/>
              </w:rPr>
            </w:pPr>
          </w:p>
        </w:tc>
        <w:tc>
          <w:tcPr>
            <w:tcW w:w="1959" w:type="dxa"/>
            <w:gridSpan w:val="2"/>
          </w:tcPr>
          <w:p w14:paraId="3A154F1A" w14:textId="77777777" w:rsidR="006304EB" w:rsidRDefault="006304EB" w:rsidP="00A95965">
            <w:pPr>
              <w:pStyle w:val="TableText"/>
              <w:rPr>
                <w:szCs w:val="20"/>
              </w:rPr>
            </w:pPr>
          </w:p>
        </w:tc>
        <w:tc>
          <w:tcPr>
            <w:tcW w:w="1760" w:type="dxa"/>
          </w:tcPr>
          <w:p w14:paraId="5E885B6E" w14:textId="77777777" w:rsidR="006304EB" w:rsidRDefault="006304EB" w:rsidP="00A95965">
            <w:pPr>
              <w:pStyle w:val="TableText"/>
              <w:rPr>
                <w:szCs w:val="20"/>
              </w:rPr>
            </w:pPr>
          </w:p>
        </w:tc>
      </w:tr>
      <w:tr w:rsidR="006304EB" w14:paraId="217B9172" w14:textId="77777777">
        <w:trPr>
          <w:cantSplit/>
          <w:trHeight w:val="432"/>
        </w:trPr>
        <w:tc>
          <w:tcPr>
            <w:tcW w:w="3421" w:type="dxa"/>
            <w:gridSpan w:val="2"/>
            <w:noWrap/>
          </w:tcPr>
          <w:p w14:paraId="1AE9048A" w14:textId="77777777" w:rsidR="006304EB" w:rsidRDefault="006304EB" w:rsidP="00A95965">
            <w:pPr>
              <w:pStyle w:val="TableText"/>
              <w:rPr>
                <w:szCs w:val="20"/>
              </w:rPr>
            </w:pPr>
          </w:p>
        </w:tc>
        <w:tc>
          <w:tcPr>
            <w:tcW w:w="969" w:type="dxa"/>
          </w:tcPr>
          <w:p w14:paraId="785FF12E" w14:textId="77777777" w:rsidR="006304EB" w:rsidRDefault="006304EB" w:rsidP="00A95965">
            <w:pPr>
              <w:pStyle w:val="TableText"/>
              <w:rPr>
                <w:szCs w:val="20"/>
              </w:rPr>
            </w:pPr>
          </w:p>
        </w:tc>
        <w:tc>
          <w:tcPr>
            <w:tcW w:w="970" w:type="dxa"/>
          </w:tcPr>
          <w:p w14:paraId="13B463C1" w14:textId="77777777" w:rsidR="006304EB" w:rsidRDefault="006304EB" w:rsidP="00A95965">
            <w:pPr>
              <w:pStyle w:val="TableText"/>
              <w:rPr>
                <w:szCs w:val="20"/>
              </w:rPr>
            </w:pPr>
          </w:p>
        </w:tc>
        <w:tc>
          <w:tcPr>
            <w:tcW w:w="970" w:type="dxa"/>
          </w:tcPr>
          <w:p w14:paraId="0A63A847" w14:textId="77777777" w:rsidR="006304EB" w:rsidRDefault="006304EB" w:rsidP="00A95965">
            <w:pPr>
              <w:pStyle w:val="TableText"/>
              <w:rPr>
                <w:szCs w:val="20"/>
              </w:rPr>
            </w:pPr>
          </w:p>
        </w:tc>
        <w:tc>
          <w:tcPr>
            <w:tcW w:w="971" w:type="dxa"/>
          </w:tcPr>
          <w:p w14:paraId="2C3B5202" w14:textId="77777777" w:rsidR="006304EB" w:rsidRPr="006A7FD3" w:rsidRDefault="006304EB" w:rsidP="00A95965">
            <w:pPr>
              <w:pStyle w:val="TableText"/>
              <w:jc w:val="center"/>
              <w:rPr>
                <w:b/>
                <w:szCs w:val="20"/>
              </w:rPr>
            </w:pPr>
          </w:p>
        </w:tc>
        <w:tc>
          <w:tcPr>
            <w:tcW w:w="970" w:type="dxa"/>
          </w:tcPr>
          <w:p w14:paraId="7AC5E2A0" w14:textId="77777777" w:rsidR="006304EB" w:rsidRPr="006A7FD3" w:rsidRDefault="006304EB" w:rsidP="00A95965">
            <w:pPr>
              <w:pStyle w:val="TableText"/>
              <w:jc w:val="center"/>
              <w:rPr>
                <w:b/>
                <w:szCs w:val="20"/>
              </w:rPr>
            </w:pPr>
          </w:p>
        </w:tc>
        <w:tc>
          <w:tcPr>
            <w:tcW w:w="970" w:type="dxa"/>
          </w:tcPr>
          <w:p w14:paraId="14941468" w14:textId="77777777" w:rsidR="006304EB" w:rsidRPr="006A7FD3" w:rsidRDefault="006304EB" w:rsidP="00A95965">
            <w:pPr>
              <w:pStyle w:val="TableText"/>
              <w:jc w:val="center"/>
              <w:rPr>
                <w:b/>
                <w:szCs w:val="20"/>
              </w:rPr>
            </w:pPr>
          </w:p>
        </w:tc>
        <w:tc>
          <w:tcPr>
            <w:tcW w:w="1959" w:type="dxa"/>
            <w:gridSpan w:val="2"/>
          </w:tcPr>
          <w:p w14:paraId="0FDF8C10" w14:textId="77777777" w:rsidR="006304EB" w:rsidRDefault="006304EB" w:rsidP="00A95965">
            <w:pPr>
              <w:pStyle w:val="TableText"/>
              <w:rPr>
                <w:szCs w:val="20"/>
              </w:rPr>
            </w:pPr>
          </w:p>
        </w:tc>
        <w:tc>
          <w:tcPr>
            <w:tcW w:w="1760" w:type="dxa"/>
          </w:tcPr>
          <w:p w14:paraId="0E0CF0B9" w14:textId="77777777" w:rsidR="006304EB" w:rsidRDefault="006304EB" w:rsidP="00A95965">
            <w:pPr>
              <w:pStyle w:val="TableText"/>
              <w:rPr>
                <w:szCs w:val="20"/>
              </w:rPr>
            </w:pPr>
          </w:p>
        </w:tc>
      </w:tr>
      <w:tr w:rsidR="006304EB" w14:paraId="5F48C799" w14:textId="77777777">
        <w:trPr>
          <w:cantSplit/>
          <w:trHeight w:val="432"/>
        </w:trPr>
        <w:tc>
          <w:tcPr>
            <w:tcW w:w="3421" w:type="dxa"/>
            <w:gridSpan w:val="2"/>
            <w:noWrap/>
          </w:tcPr>
          <w:p w14:paraId="1C878AA6" w14:textId="77777777" w:rsidR="006304EB" w:rsidRDefault="006304EB" w:rsidP="00A95965">
            <w:pPr>
              <w:pStyle w:val="TableText"/>
              <w:rPr>
                <w:szCs w:val="20"/>
              </w:rPr>
            </w:pPr>
          </w:p>
        </w:tc>
        <w:tc>
          <w:tcPr>
            <w:tcW w:w="969" w:type="dxa"/>
          </w:tcPr>
          <w:p w14:paraId="16DEB9AE" w14:textId="77777777" w:rsidR="006304EB" w:rsidRDefault="006304EB" w:rsidP="00A95965">
            <w:pPr>
              <w:pStyle w:val="TableText"/>
              <w:rPr>
                <w:szCs w:val="20"/>
              </w:rPr>
            </w:pPr>
          </w:p>
        </w:tc>
        <w:tc>
          <w:tcPr>
            <w:tcW w:w="970" w:type="dxa"/>
          </w:tcPr>
          <w:p w14:paraId="7986049A" w14:textId="77777777" w:rsidR="006304EB" w:rsidRDefault="006304EB" w:rsidP="00A95965">
            <w:pPr>
              <w:pStyle w:val="TableText"/>
              <w:rPr>
                <w:szCs w:val="20"/>
              </w:rPr>
            </w:pPr>
          </w:p>
        </w:tc>
        <w:tc>
          <w:tcPr>
            <w:tcW w:w="970" w:type="dxa"/>
          </w:tcPr>
          <w:p w14:paraId="256B7139" w14:textId="77777777" w:rsidR="006304EB" w:rsidRDefault="006304EB" w:rsidP="00A95965">
            <w:pPr>
              <w:pStyle w:val="TableText"/>
              <w:rPr>
                <w:szCs w:val="20"/>
              </w:rPr>
            </w:pPr>
          </w:p>
        </w:tc>
        <w:tc>
          <w:tcPr>
            <w:tcW w:w="971" w:type="dxa"/>
          </w:tcPr>
          <w:p w14:paraId="25E35321" w14:textId="77777777" w:rsidR="006304EB" w:rsidRPr="006A7FD3" w:rsidRDefault="006304EB" w:rsidP="00A95965">
            <w:pPr>
              <w:pStyle w:val="TableText"/>
              <w:jc w:val="center"/>
              <w:rPr>
                <w:b/>
                <w:szCs w:val="20"/>
              </w:rPr>
            </w:pPr>
          </w:p>
        </w:tc>
        <w:tc>
          <w:tcPr>
            <w:tcW w:w="970" w:type="dxa"/>
          </w:tcPr>
          <w:p w14:paraId="1CF8CE0A" w14:textId="77777777" w:rsidR="006304EB" w:rsidRPr="006A7FD3" w:rsidRDefault="006304EB" w:rsidP="00A95965">
            <w:pPr>
              <w:pStyle w:val="TableText"/>
              <w:jc w:val="center"/>
              <w:rPr>
                <w:b/>
                <w:szCs w:val="20"/>
              </w:rPr>
            </w:pPr>
          </w:p>
        </w:tc>
        <w:tc>
          <w:tcPr>
            <w:tcW w:w="970" w:type="dxa"/>
          </w:tcPr>
          <w:p w14:paraId="10052031" w14:textId="77777777" w:rsidR="006304EB" w:rsidRPr="006A7FD3" w:rsidRDefault="006304EB" w:rsidP="00A95965">
            <w:pPr>
              <w:pStyle w:val="TableText"/>
              <w:jc w:val="center"/>
              <w:rPr>
                <w:b/>
                <w:szCs w:val="20"/>
              </w:rPr>
            </w:pPr>
          </w:p>
        </w:tc>
        <w:tc>
          <w:tcPr>
            <w:tcW w:w="1959" w:type="dxa"/>
            <w:gridSpan w:val="2"/>
          </w:tcPr>
          <w:p w14:paraId="2FB0A103" w14:textId="77777777" w:rsidR="006304EB" w:rsidRDefault="006304EB" w:rsidP="00A95965">
            <w:pPr>
              <w:pStyle w:val="TableText"/>
              <w:rPr>
                <w:szCs w:val="20"/>
              </w:rPr>
            </w:pPr>
          </w:p>
        </w:tc>
        <w:tc>
          <w:tcPr>
            <w:tcW w:w="1760" w:type="dxa"/>
          </w:tcPr>
          <w:p w14:paraId="261DC62F" w14:textId="77777777" w:rsidR="006304EB" w:rsidRDefault="006304EB" w:rsidP="00A95965">
            <w:pPr>
              <w:pStyle w:val="TableText"/>
              <w:rPr>
                <w:szCs w:val="20"/>
              </w:rPr>
            </w:pPr>
          </w:p>
        </w:tc>
      </w:tr>
      <w:tr w:rsidR="006304EB" w14:paraId="735C6AE2" w14:textId="77777777">
        <w:trPr>
          <w:cantSplit/>
          <w:trHeight w:val="432"/>
        </w:trPr>
        <w:tc>
          <w:tcPr>
            <w:tcW w:w="3421" w:type="dxa"/>
            <w:gridSpan w:val="2"/>
            <w:noWrap/>
          </w:tcPr>
          <w:p w14:paraId="061E2036" w14:textId="77777777" w:rsidR="006304EB" w:rsidRDefault="006304EB" w:rsidP="00A95965">
            <w:pPr>
              <w:pStyle w:val="TableText"/>
              <w:rPr>
                <w:szCs w:val="20"/>
              </w:rPr>
            </w:pPr>
          </w:p>
        </w:tc>
        <w:tc>
          <w:tcPr>
            <w:tcW w:w="969" w:type="dxa"/>
          </w:tcPr>
          <w:p w14:paraId="4CC6731C" w14:textId="77777777" w:rsidR="006304EB" w:rsidRDefault="006304EB" w:rsidP="00A95965">
            <w:pPr>
              <w:pStyle w:val="TableText"/>
              <w:rPr>
                <w:szCs w:val="20"/>
              </w:rPr>
            </w:pPr>
          </w:p>
        </w:tc>
        <w:tc>
          <w:tcPr>
            <w:tcW w:w="970" w:type="dxa"/>
          </w:tcPr>
          <w:p w14:paraId="743ADB8D" w14:textId="77777777" w:rsidR="006304EB" w:rsidRDefault="006304EB" w:rsidP="00A95965">
            <w:pPr>
              <w:pStyle w:val="TableText"/>
              <w:rPr>
                <w:szCs w:val="20"/>
              </w:rPr>
            </w:pPr>
          </w:p>
        </w:tc>
        <w:tc>
          <w:tcPr>
            <w:tcW w:w="970" w:type="dxa"/>
          </w:tcPr>
          <w:p w14:paraId="11059D06" w14:textId="77777777" w:rsidR="006304EB" w:rsidRDefault="006304EB" w:rsidP="00A95965">
            <w:pPr>
              <w:pStyle w:val="TableText"/>
              <w:rPr>
                <w:szCs w:val="20"/>
              </w:rPr>
            </w:pPr>
          </w:p>
        </w:tc>
        <w:tc>
          <w:tcPr>
            <w:tcW w:w="971" w:type="dxa"/>
          </w:tcPr>
          <w:p w14:paraId="1F6598C4" w14:textId="77777777" w:rsidR="006304EB" w:rsidRPr="006A7FD3" w:rsidRDefault="006304EB" w:rsidP="00A95965">
            <w:pPr>
              <w:pStyle w:val="TableText"/>
              <w:jc w:val="center"/>
              <w:rPr>
                <w:b/>
                <w:szCs w:val="20"/>
              </w:rPr>
            </w:pPr>
          </w:p>
        </w:tc>
        <w:tc>
          <w:tcPr>
            <w:tcW w:w="970" w:type="dxa"/>
          </w:tcPr>
          <w:p w14:paraId="17A269C7" w14:textId="77777777" w:rsidR="006304EB" w:rsidRPr="006A7FD3" w:rsidRDefault="006304EB" w:rsidP="00A95965">
            <w:pPr>
              <w:pStyle w:val="TableText"/>
              <w:jc w:val="center"/>
              <w:rPr>
                <w:b/>
                <w:szCs w:val="20"/>
              </w:rPr>
            </w:pPr>
          </w:p>
        </w:tc>
        <w:tc>
          <w:tcPr>
            <w:tcW w:w="970" w:type="dxa"/>
          </w:tcPr>
          <w:p w14:paraId="4CC0B136" w14:textId="77777777" w:rsidR="006304EB" w:rsidRPr="006A7FD3" w:rsidRDefault="006304EB" w:rsidP="00A95965">
            <w:pPr>
              <w:pStyle w:val="TableText"/>
              <w:jc w:val="center"/>
              <w:rPr>
                <w:b/>
                <w:szCs w:val="20"/>
              </w:rPr>
            </w:pPr>
          </w:p>
        </w:tc>
        <w:tc>
          <w:tcPr>
            <w:tcW w:w="1959" w:type="dxa"/>
            <w:gridSpan w:val="2"/>
          </w:tcPr>
          <w:p w14:paraId="175B4E1E" w14:textId="77777777" w:rsidR="006304EB" w:rsidRDefault="006304EB" w:rsidP="00A95965">
            <w:pPr>
              <w:pStyle w:val="TableText"/>
              <w:rPr>
                <w:szCs w:val="20"/>
              </w:rPr>
            </w:pPr>
          </w:p>
        </w:tc>
        <w:tc>
          <w:tcPr>
            <w:tcW w:w="1760" w:type="dxa"/>
          </w:tcPr>
          <w:p w14:paraId="24D0A526" w14:textId="77777777" w:rsidR="006304EB" w:rsidRDefault="006304EB" w:rsidP="00A95965">
            <w:pPr>
              <w:pStyle w:val="TableText"/>
              <w:rPr>
                <w:szCs w:val="20"/>
              </w:rPr>
            </w:pPr>
          </w:p>
        </w:tc>
      </w:tr>
    </w:tbl>
    <w:p w14:paraId="3B7D5644" w14:textId="77777777" w:rsidR="004A6408" w:rsidRDefault="004A6408" w:rsidP="00DD75E5">
      <w:pPr>
        <w:pStyle w:val="BodyText"/>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2044"/>
        <w:gridCol w:w="2044"/>
        <w:gridCol w:w="1973"/>
        <w:gridCol w:w="2432"/>
        <w:gridCol w:w="2091"/>
      </w:tblGrid>
      <w:tr w:rsidR="00902D46" w:rsidRPr="00887834" w14:paraId="42B832A3" w14:textId="77777777">
        <w:trPr>
          <w:tblHeader/>
        </w:trPr>
        <w:tc>
          <w:tcPr>
            <w:tcW w:w="12960" w:type="dxa"/>
            <w:gridSpan w:val="6"/>
            <w:shd w:val="clear" w:color="auto" w:fill="B3B3B3"/>
          </w:tcPr>
          <w:p w14:paraId="52633369" w14:textId="77777777" w:rsidR="00902D46" w:rsidRPr="00887834" w:rsidRDefault="00902D46" w:rsidP="00FC4396">
            <w:pPr>
              <w:pStyle w:val="TableText"/>
              <w:rPr>
                <w:b/>
              </w:rPr>
            </w:pPr>
            <w:r w:rsidRPr="00887834">
              <w:rPr>
                <w:b/>
              </w:rPr>
              <w:lastRenderedPageBreak/>
              <w:t>Direct Antiglobulin Test</w:t>
            </w:r>
          </w:p>
        </w:tc>
      </w:tr>
      <w:tr w:rsidR="00887834" w:rsidRPr="00887834" w14:paraId="3AAE88DB" w14:textId="77777777">
        <w:trPr>
          <w:tblHeader/>
        </w:trPr>
        <w:tc>
          <w:tcPr>
            <w:tcW w:w="2376" w:type="dxa"/>
            <w:shd w:val="clear" w:color="auto" w:fill="B3B3B3"/>
          </w:tcPr>
          <w:p w14:paraId="2F7B7BD8" w14:textId="77777777" w:rsidR="008B5CC4" w:rsidRPr="00887834" w:rsidRDefault="008B5CC4" w:rsidP="00FC4396">
            <w:pPr>
              <w:pStyle w:val="TableText"/>
              <w:rPr>
                <w:b/>
              </w:rPr>
            </w:pPr>
            <w:r w:rsidRPr="00887834">
              <w:rPr>
                <w:b/>
              </w:rPr>
              <w:t>Reagent</w:t>
            </w:r>
            <w:r w:rsidR="00CB127B" w:rsidRPr="00887834">
              <w:rPr>
                <w:b/>
              </w:rPr>
              <w:t xml:space="preserve"> Antiserum</w:t>
            </w:r>
          </w:p>
        </w:tc>
        <w:tc>
          <w:tcPr>
            <w:tcW w:w="2044" w:type="dxa"/>
            <w:shd w:val="clear" w:color="auto" w:fill="B3B3B3"/>
          </w:tcPr>
          <w:p w14:paraId="2F4AE523" w14:textId="77777777" w:rsidR="008B5CC4" w:rsidRPr="00887834" w:rsidRDefault="008B5CC4" w:rsidP="00FC4396">
            <w:pPr>
              <w:pStyle w:val="TableText"/>
              <w:rPr>
                <w:b/>
              </w:rPr>
            </w:pPr>
            <w:r w:rsidRPr="00887834">
              <w:rPr>
                <w:b/>
                <w:szCs w:val="20"/>
              </w:rPr>
              <w:t>Lot Number</w:t>
            </w:r>
          </w:p>
        </w:tc>
        <w:tc>
          <w:tcPr>
            <w:tcW w:w="2044" w:type="dxa"/>
            <w:shd w:val="clear" w:color="auto" w:fill="B3B3B3"/>
          </w:tcPr>
          <w:p w14:paraId="6745371F" w14:textId="77777777" w:rsidR="008B5CC4" w:rsidRPr="00887834" w:rsidRDefault="008B5CC4" w:rsidP="00FC4396">
            <w:pPr>
              <w:pStyle w:val="TableText"/>
              <w:rPr>
                <w:b/>
              </w:rPr>
            </w:pPr>
            <w:r w:rsidRPr="00887834">
              <w:rPr>
                <w:b/>
                <w:szCs w:val="20"/>
              </w:rPr>
              <w:t>AHG</w:t>
            </w:r>
          </w:p>
        </w:tc>
        <w:tc>
          <w:tcPr>
            <w:tcW w:w="1973" w:type="dxa"/>
            <w:shd w:val="clear" w:color="auto" w:fill="B3B3B3"/>
          </w:tcPr>
          <w:p w14:paraId="65607E12" w14:textId="77777777" w:rsidR="008B5CC4" w:rsidRPr="00887834" w:rsidRDefault="008B5CC4" w:rsidP="00FC4396">
            <w:pPr>
              <w:pStyle w:val="TableText"/>
              <w:rPr>
                <w:b/>
              </w:rPr>
            </w:pPr>
            <w:r w:rsidRPr="00887834">
              <w:rPr>
                <w:b/>
                <w:szCs w:val="20"/>
              </w:rPr>
              <w:t>CC</w:t>
            </w:r>
          </w:p>
        </w:tc>
        <w:tc>
          <w:tcPr>
            <w:tcW w:w="2432" w:type="dxa"/>
            <w:shd w:val="clear" w:color="auto" w:fill="B3B3B3"/>
          </w:tcPr>
          <w:p w14:paraId="41D16243" w14:textId="77777777" w:rsidR="008B5CC4" w:rsidRPr="00887834" w:rsidRDefault="008B5CC4" w:rsidP="00FC4396">
            <w:pPr>
              <w:pStyle w:val="TableText"/>
              <w:rPr>
                <w:b/>
              </w:rPr>
            </w:pPr>
            <w:r w:rsidRPr="00887834">
              <w:rPr>
                <w:b/>
                <w:szCs w:val="20"/>
              </w:rPr>
              <w:t>Interpretation</w:t>
            </w:r>
          </w:p>
        </w:tc>
        <w:tc>
          <w:tcPr>
            <w:tcW w:w="2091" w:type="dxa"/>
            <w:shd w:val="clear" w:color="auto" w:fill="B3B3B3"/>
          </w:tcPr>
          <w:p w14:paraId="18B3897F" w14:textId="77777777" w:rsidR="008B5CC4" w:rsidRPr="00887834" w:rsidRDefault="008B5CC4" w:rsidP="00FC4396">
            <w:pPr>
              <w:pStyle w:val="TableText"/>
              <w:rPr>
                <w:b/>
              </w:rPr>
            </w:pPr>
            <w:r w:rsidRPr="00887834">
              <w:rPr>
                <w:b/>
                <w:szCs w:val="20"/>
              </w:rPr>
              <w:t>Tech Name</w:t>
            </w:r>
          </w:p>
        </w:tc>
      </w:tr>
      <w:tr w:rsidR="00887834" w14:paraId="382D7AD4" w14:textId="77777777">
        <w:trPr>
          <w:trHeight w:val="432"/>
        </w:trPr>
        <w:tc>
          <w:tcPr>
            <w:tcW w:w="2376" w:type="dxa"/>
          </w:tcPr>
          <w:p w14:paraId="54C50A7B" w14:textId="77777777" w:rsidR="008B5CC4" w:rsidRPr="00887834" w:rsidRDefault="008B5CC4" w:rsidP="00902D46">
            <w:pPr>
              <w:pStyle w:val="TableText"/>
              <w:rPr>
                <w:b/>
              </w:rPr>
            </w:pPr>
            <w:r w:rsidRPr="00887834">
              <w:rPr>
                <w:b/>
              </w:rPr>
              <w:t>Polyspecific</w:t>
            </w:r>
          </w:p>
        </w:tc>
        <w:tc>
          <w:tcPr>
            <w:tcW w:w="2044" w:type="dxa"/>
          </w:tcPr>
          <w:p w14:paraId="262FF11E" w14:textId="77777777" w:rsidR="008B5CC4" w:rsidRDefault="008B5CC4" w:rsidP="00571D70">
            <w:pPr>
              <w:pStyle w:val="TableText"/>
            </w:pPr>
          </w:p>
        </w:tc>
        <w:tc>
          <w:tcPr>
            <w:tcW w:w="2044" w:type="dxa"/>
          </w:tcPr>
          <w:p w14:paraId="1841DCF9" w14:textId="77777777" w:rsidR="008B5CC4" w:rsidRDefault="008B5CC4" w:rsidP="00902D46">
            <w:pPr>
              <w:pStyle w:val="TableText"/>
            </w:pPr>
          </w:p>
        </w:tc>
        <w:tc>
          <w:tcPr>
            <w:tcW w:w="1973" w:type="dxa"/>
          </w:tcPr>
          <w:p w14:paraId="31C70477" w14:textId="77777777" w:rsidR="008B5CC4" w:rsidRDefault="008B5CC4" w:rsidP="00902D46">
            <w:pPr>
              <w:pStyle w:val="TableText"/>
            </w:pPr>
          </w:p>
        </w:tc>
        <w:tc>
          <w:tcPr>
            <w:tcW w:w="2432" w:type="dxa"/>
          </w:tcPr>
          <w:p w14:paraId="3B031210" w14:textId="77777777" w:rsidR="008B5CC4" w:rsidRDefault="008B5CC4" w:rsidP="00902D46">
            <w:pPr>
              <w:pStyle w:val="TableText"/>
            </w:pPr>
          </w:p>
        </w:tc>
        <w:tc>
          <w:tcPr>
            <w:tcW w:w="2091" w:type="dxa"/>
          </w:tcPr>
          <w:p w14:paraId="7FD8B890" w14:textId="77777777" w:rsidR="008B5CC4" w:rsidRDefault="008B5CC4" w:rsidP="00902D46">
            <w:pPr>
              <w:pStyle w:val="TableText"/>
            </w:pPr>
          </w:p>
        </w:tc>
      </w:tr>
      <w:tr w:rsidR="00887834" w14:paraId="570534BA" w14:textId="77777777">
        <w:trPr>
          <w:trHeight w:val="432"/>
        </w:trPr>
        <w:tc>
          <w:tcPr>
            <w:tcW w:w="2376" w:type="dxa"/>
          </w:tcPr>
          <w:p w14:paraId="43CDDD13" w14:textId="77777777" w:rsidR="008B5CC4" w:rsidRPr="00887834" w:rsidRDefault="008B5CC4" w:rsidP="00902D46">
            <w:pPr>
              <w:pStyle w:val="TableText"/>
              <w:rPr>
                <w:b/>
              </w:rPr>
            </w:pPr>
            <w:r w:rsidRPr="00887834">
              <w:rPr>
                <w:b/>
              </w:rPr>
              <w:t>Anti-IgG</w:t>
            </w:r>
          </w:p>
        </w:tc>
        <w:tc>
          <w:tcPr>
            <w:tcW w:w="2044" w:type="dxa"/>
          </w:tcPr>
          <w:p w14:paraId="4BA6F55F" w14:textId="77777777" w:rsidR="008B5CC4" w:rsidRDefault="008B5CC4" w:rsidP="00571D70">
            <w:pPr>
              <w:pStyle w:val="TableText"/>
            </w:pPr>
          </w:p>
        </w:tc>
        <w:tc>
          <w:tcPr>
            <w:tcW w:w="2044" w:type="dxa"/>
          </w:tcPr>
          <w:p w14:paraId="5F2024B0" w14:textId="77777777" w:rsidR="008B5CC4" w:rsidRDefault="008B5CC4" w:rsidP="00902D46">
            <w:pPr>
              <w:pStyle w:val="TableText"/>
            </w:pPr>
          </w:p>
        </w:tc>
        <w:tc>
          <w:tcPr>
            <w:tcW w:w="1973" w:type="dxa"/>
          </w:tcPr>
          <w:p w14:paraId="6F2C5258" w14:textId="77777777" w:rsidR="008B5CC4" w:rsidRDefault="008B5CC4" w:rsidP="00902D46">
            <w:pPr>
              <w:pStyle w:val="TableText"/>
            </w:pPr>
          </w:p>
        </w:tc>
        <w:tc>
          <w:tcPr>
            <w:tcW w:w="2432" w:type="dxa"/>
          </w:tcPr>
          <w:p w14:paraId="125FF514" w14:textId="77777777" w:rsidR="008B5CC4" w:rsidRDefault="008B5CC4" w:rsidP="00902D46">
            <w:pPr>
              <w:pStyle w:val="TableText"/>
            </w:pPr>
          </w:p>
        </w:tc>
        <w:tc>
          <w:tcPr>
            <w:tcW w:w="2091" w:type="dxa"/>
          </w:tcPr>
          <w:p w14:paraId="0649C487" w14:textId="77777777" w:rsidR="008B5CC4" w:rsidRDefault="008B5CC4" w:rsidP="00902D46">
            <w:pPr>
              <w:pStyle w:val="TableText"/>
            </w:pPr>
          </w:p>
        </w:tc>
      </w:tr>
      <w:tr w:rsidR="00887834" w14:paraId="65B081D5" w14:textId="77777777">
        <w:trPr>
          <w:trHeight w:val="432"/>
        </w:trPr>
        <w:tc>
          <w:tcPr>
            <w:tcW w:w="2376" w:type="dxa"/>
          </w:tcPr>
          <w:p w14:paraId="7DC49A8F" w14:textId="77777777" w:rsidR="008B5CC4" w:rsidRPr="00887834" w:rsidRDefault="008B5CC4" w:rsidP="00902D46">
            <w:pPr>
              <w:pStyle w:val="TableText"/>
              <w:rPr>
                <w:b/>
              </w:rPr>
            </w:pPr>
            <w:r w:rsidRPr="00887834">
              <w:rPr>
                <w:b/>
              </w:rPr>
              <w:t>Anti-C3d</w:t>
            </w:r>
          </w:p>
        </w:tc>
        <w:tc>
          <w:tcPr>
            <w:tcW w:w="2044" w:type="dxa"/>
          </w:tcPr>
          <w:p w14:paraId="7A6A5BBA" w14:textId="77777777" w:rsidR="008B5CC4" w:rsidRDefault="008B5CC4" w:rsidP="00571D70">
            <w:pPr>
              <w:pStyle w:val="TableText"/>
            </w:pPr>
          </w:p>
        </w:tc>
        <w:tc>
          <w:tcPr>
            <w:tcW w:w="2044" w:type="dxa"/>
          </w:tcPr>
          <w:p w14:paraId="5D4DF178" w14:textId="77777777" w:rsidR="008B5CC4" w:rsidRDefault="008B5CC4" w:rsidP="00902D46">
            <w:pPr>
              <w:pStyle w:val="TableText"/>
            </w:pPr>
          </w:p>
        </w:tc>
        <w:tc>
          <w:tcPr>
            <w:tcW w:w="1973" w:type="dxa"/>
          </w:tcPr>
          <w:p w14:paraId="12356F06" w14:textId="77777777" w:rsidR="008B5CC4" w:rsidRDefault="008B5CC4" w:rsidP="00902D46">
            <w:pPr>
              <w:pStyle w:val="TableText"/>
            </w:pPr>
          </w:p>
        </w:tc>
        <w:tc>
          <w:tcPr>
            <w:tcW w:w="2432" w:type="dxa"/>
          </w:tcPr>
          <w:p w14:paraId="26F0F845" w14:textId="77777777" w:rsidR="008B5CC4" w:rsidRDefault="008B5CC4" w:rsidP="00902D46">
            <w:pPr>
              <w:pStyle w:val="TableText"/>
            </w:pPr>
          </w:p>
        </w:tc>
        <w:tc>
          <w:tcPr>
            <w:tcW w:w="2091" w:type="dxa"/>
          </w:tcPr>
          <w:p w14:paraId="057146A9" w14:textId="77777777" w:rsidR="008B5CC4" w:rsidRDefault="008B5CC4" w:rsidP="00902D46">
            <w:pPr>
              <w:pStyle w:val="TableText"/>
            </w:pPr>
          </w:p>
        </w:tc>
      </w:tr>
    </w:tbl>
    <w:p w14:paraId="3F71AA4F" w14:textId="77777777" w:rsidR="00902D46" w:rsidRDefault="00902D46" w:rsidP="00902D46">
      <w:pPr>
        <w:rPr>
          <w:rFonts w:ascii="Arial" w:hAnsi="Arial" w:cs="Arial"/>
          <w:sz w:val="18"/>
          <w:szCs w:val="18"/>
        </w:rPr>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8"/>
        <w:gridCol w:w="1099"/>
        <w:gridCol w:w="1099"/>
        <w:gridCol w:w="1100"/>
        <w:gridCol w:w="1100"/>
        <w:gridCol w:w="1100"/>
        <w:gridCol w:w="1100"/>
        <w:gridCol w:w="1100"/>
        <w:gridCol w:w="1410"/>
        <w:gridCol w:w="1434"/>
      </w:tblGrid>
      <w:tr w:rsidR="00C54677" w:rsidRPr="00887834" w14:paraId="304CEF09" w14:textId="77777777">
        <w:trPr>
          <w:tblHeader/>
        </w:trPr>
        <w:tc>
          <w:tcPr>
            <w:tcW w:w="12960" w:type="dxa"/>
            <w:gridSpan w:val="10"/>
            <w:shd w:val="clear" w:color="auto" w:fill="B3B3B3"/>
          </w:tcPr>
          <w:p w14:paraId="069F820D" w14:textId="77777777" w:rsidR="00C54677" w:rsidRPr="00887834" w:rsidRDefault="00C54677" w:rsidP="00FC4396">
            <w:pPr>
              <w:pStyle w:val="TableText"/>
              <w:rPr>
                <w:b/>
              </w:rPr>
            </w:pPr>
            <w:r w:rsidRPr="00887834">
              <w:rPr>
                <w:b/>
              </w:rPr>
              <w:t>Direct Antiglobulin QC</w:t>
            </w:r>
          </w:p>
        </w:tc>
      </w:tr>
      <w:tr w:rsidR="00887834" w:rsidRPr="00887834" w14:paraId="6A0C388A" w14:textId="77777777">
        <w:trPr>
          <w:tblHeader/>
        </w:trPr>
        <w:tc>
          <w:tcPr>
            <w:tcW w:w="2418" w:type="dxa"/>
            <w:shd w:val="clear" w:color="auto" w:fill="B3B3B3"/>
          </w:tcPr>
          <w:p w14:paraId="127AFC99" w14:textId="77777777" w:rsidR="007375B1" w:rsidRPr="00887834" w:rsidRDefault="007375B1" w:rsidP="00FC4396">
            <w:pPr>
              <w:pStyle w:val="TableText"/>
              <w:rPr>
                <w:b/>
              </w:rPr>
            </w:pPr>
            <w:r w:rsidRPr="00887834">
              <w:rPr>
                <w:b/>
              </w:rPr>
              <w:t>Reagent Antiserum</w:t>
            </w:r>
          </w:p>
        </w:tc>
        <w:tc>
          <w:tcPr>
            <w:tcW w:w="1099" w:type="dxa"/>
            <w:shd w:val="clear" w:color="auto" w:fill="B3B3B3"/>
          </w:tcPr>
          <w:p w14:paraId="13392245" w14:textId="77777777" w:rsidR="007375B1" w:rsidRPr="00887834" w:rsidRDefault="007375B1" w:rsidP="00FC4396">
            <w:pPr>
              <w:pStyle w:val="TableText"/>
              <w:rPr>
                <w:b/>
              </w:rPr>
            </w:pPr>
            <w:r w:rsidRPr="00887834">
              <w:rPr>
                <w:b/>
                <w:szCs w:val="20"/>
              </w:rPr>
              <w:t>Lot Number</w:t>
            </w:r>
          </w:p>
        </w:tc>
        <w:tc>
          <w:tcPr>
            <w:tcW w:w="1099" w:type="dxa"/>
            <w:shd w:val="clear" w:color="auto" w:fill="B3B3B3"/>
          </w:tcPr>
          <w:p w14:paraId="11E47CBF" w14:textId="77777777" w:rsidR="007375B1" w:rsidRPr="00887834" w:rsidRDefault="007375B1" w:rsidP="00FC4396">
            <w:pPr>
              <w:pStyle w:val="TableText"/>
              <w:rPr>
                <w:b/>
                <w:szCs w:val="20"/>
              </w:rPr>
            </w:pPr>
            <w:r w:rsidRPr="00887834">
              <w:rPr>
                <w:b/>
                <w:szCs w:val="20"/>
              </w:rPr>
              <w:t>Expiration Date</w:t>
            </w:r>
          </w:p>
        </w:tc>
        <w:tc>
          <w:tcPr>
            <w:tcW w:w="1100" w:type="dxa"/>
            <w:shd w:val="clear" w:color="auto" w:fill="B3B3B3"/>
          </w:tcPr>
          <w:p w14:paraId="05927066" w14:textId="77777777" w:rsidR="007375B1" w:rsidRPr="00887834" w:rsidRDefault="007375B1" w:rsidP="00FC4396">
            <w:pPr>
              <w:pStyle w:val="TableText"/>
              <w:rPr>
                <w:b/>
                <w:szCs w:val="20"/>
              </w:rPr>
            </w:pPr>
            <w:r w:rsidRPr="00887834">
              <w:rPr>
                <w:b/>
                <w:szCs w:val="20"/>
              </w:rPr>
              <w:t>Reagent Red Cells</w:t>
            </w:r>
          </w:p>
        </w:tc>
        <w:tc>
          <w:tcPr>
            <w:tcW w:w="1100" w:type="dxa"/>
            <w:shd w:val="clear" w:color="auto" w:fill="B3B3B3"/>
          </w:tcPr>
          <w:p w14:paraId="5DEEB7B1" w14:textId="77777777" w:rsidR="007375B1" w:rsidRPr="00887834" w:rsidRDefault="007375B1" w:rsidP="00FC4396">
            <w:pPr>
              <w:pStyle w:val="TableText"/>
              <w:rPr>
                <w:b/>
                <w:szCs w:val="20"/>
              </w:rPr>
            </w:pPr>
            <w:r w:rsidRPr="00887834">
              <w:rPr>
                <w:b/>
                <w:szCs w:val="20"/>
              </w:rPr>
              <w:t>Lot Number</w:t>
            </w:r>
          </w:p>
        </w:tc>
        <w:tc>
          <w:tcPr>
            <w:tcW w:w="1100" w:type="dxa"/>
            <w:shd w:val="clear" w:color="auto" w:fill="B3B3B3"/>
          </w:tcPr>
          <w:p w14:paraId="2A09FBCF" w14:textId="77777777" w:rsidR="007375B1" w:rsidRPr="00887834" w:rsidRDefault="007375B1" w:rsidP="00FC4396">
            <w:pPr>
              <w:pStyle w:val="TableText"/>
              <w:rPr>
                <w:b/>
                <w:szCs w:val="20"/>
              </w:rPr>
            </w:pPr>
            <w:r w:rsidRPr="00887834">
              <w:rPr>
                <w:b/>
                <w:szCs w:val="20"/>
              </w:rPr>
              <w:t>Expiration Date</w:t>
            </w:r>
          </w:p>
        </w:tc>
        <w:tc>
          <w:tcPr>
            <w:tcW w:w="1100" w:type="dxa"/>
            <w:shd w:val="clear" w:color="auto" w:fill="B3B3B3"/>
          </w:tcPr>
          <w:p w14:paraId="5C0E0D5D" w14:textId="77777777" w:rsidR="007375B1" w:rsidRPr="00887834" w:rsidRDefault="007375B1" w:rsidP="00FC4396">
            <w:pPr>
              <w:pStyle w:val="TableText"/>
              <w:rPr>
                <w:b/>
              </w:rPr>
            </w:pPr>
            <w:r w:rsidRPr="00887834">
              <w:rPr>
                <w:b/>
                <w:szCs w:val="20"/>
              </w:rPr>
              <w:t>AHG</w:t>
            </w:r>
          </w:p>
        </w:tc>
        <w:tc>
          <w:tcPr>
            <w:tcW w:w="1100" w:type="dxa"/>
            <w:shd w:val="clear" w:color="auto" w:fill="B3B3B3"/>
          </w:tcPr>
          <w:p w14:paraId="22238879" w14:textId="77777777" w:rsidR="007375B1" w:rsidRPr="00887834" w:rsidRDefault="007375B1" w:rsidP="00FC4396">
            <w:pPr>
              <w:pStyle w:val="TableText"/>
              <w:rPr>
                <w:b/>
              </w:rPr>
            </w:pPr>
            <w:r w:rsidRPr="00887834">
              <w:rPr>
                <w:b/>
                <w:szCs w:val="20"/>
              </w:rPr>
              <w:t>CC</w:t>
            </w:r>
          </w:p>
        </w:tc>
        <w:tc>
          <w:tcPr>
            <w:tcW w:w="1410" w:type="dxa"/>
            <w:shd w:val="clear" w:color="auto" w:fill="B3B3B3"/>
          </w:tcPr>
          <w:p w14:paraId="48373BB6" w14:textId="77777777" w:rsidR="007375B1" w:rsidRPr="00887834" w:rsidRDefault="007375B1" w:rsidP="00FC4396">
            <w:pPr>
              <w:pStyle w:val="TableText"/>
              <w:rPr>
                <w:b/>
              </w:rPr>
            </w:pPr>
            <w:r w:rsidRPr="00887834">
              <w:rPr>
                <w:b/>
                <w:szCs w:val="20"/>
              </w:rPr>
              <w:t>Interpretation</w:t>
            </w:r>
          </w:p>
        </w:tc>
        <w:tc>
          <w:tcPr>
            <w:tcW w:w="1434" w:type="dxa"/>
            <w:shd w:val="clear" w:color="auto" w:fill="B3B3B3"/>
          </w:tcPr>
          <w:p w14:paraId="09FA7FF9" w14:textId="77777777" w:rsidR="007375B1" w:rsidRPr="00887834" w:rsidRDefault="007375B1" w:rsidP="00FC4396">
            <w:pPr>
              <w:pStyle w:val="TableText"/>
              <w:rPr>
                <w:b/>
              </w:rPr>
            </w:pPr>
            <w:r w:rsidRPr="00887834">
              <w:rPr>
                <w:b/>
                <w:szCs w:val="20"/>
              </w:rPr>
              <w:t>Tech Name</w:t>
            </w:r>
          </w:p>
        </w:tc>
      </w:tr>
      <w:tr w:rsidR="00887834" w14:paraId="39F05340" w14:textId="77777777">
        <w:trPr>
          <w:trHeight w:val="432"/>
        </w:trPr>
        <w:tc>
          <w:tcPr>
            <w:tcW w:w="2418" w:type="dxa"/>
          </w:tcPr>
          <w:p w14:paraId="71E1F21A" w14:textId="77777777" w:rsidR="007375B1" w:rsidRPr="00887834" w:rsidRDefault="007375B1" w:rsidP="00DF12C8">
            <w:pPr>
              <w:pStyle w:val="TableText"/>
              <w:rPr>
                <w:b/>
              </w:rPr>
            </w:pPr>
            <w:r w:rsidRPr="00887834">
              <w:rPr>
                <w:b/>
              </w:rPr>
              <w:t>Polyspecific</w:t>
            </w:r>
          </w:p>
        </w:tc>
        <w:tc>
          <w:tcPr>
            <w:tcW w:w="1099" w:type="dxa"/>
          </w:tcPr>
          <w:p w14:paraId="0411C5D6" w14:textId="77777777" w:rsidR="007375B1" w:rsidRDefault="007375B1" w:rsidP="00DF12C8">
            <w:pPr>
              <w:pStyle w:val="TableText"/>
            </w:pPr>
          </w:p>
        </w:tc>
        <w:tc>
          <w:tcPr>
            <w:tcW w:w="1099" w:type="dxa"/>
          </w:tcPr>
          <w:p w14:paraId="38DF55EB" w14:textId="77777777" w:rsidR="007375B1" w:rsidRDefault="007375B1" w:rsidP="00DF12C8">
            <w:pPr>
              <w:pStyle w:val="TableText"/>
            </w:pPr>
          </w:p>
        </w:tc>
        <w:tc>
          <w:tcPr>
            <w:tcW w:w="1100" w:type="dxa"/>
          </w:tcPr>
          <w:p w14:paraId="6AEFF488" w14:textId="77777777" w:rsidR="007375B1" w:rsidRDefault="007375B1" w:rsidP="00DF12C8">
            <w:pPr>
              <w:pStyle w:val="TableText"/>
            </w:pPr>
          </w:p>
        </w:tc>
        <w:tc>
          <w:tcPr>
            <w:tcW w:w="1100" w:type="dxa"/>
          </w:tcPr>
          <w:p w14:paraId="1284EF48" w14:textId="77777777" w:rsidR="007375B1" w:rsidRDefault="007375B1" w:rsidP="00DF12C8">
            <w:pPr>
              <w:pStyle w:val="TableText"/>
            </w:pPr>
          </w:p>
        </w:tc>
        <w:tc>
          <w:tcPr>
            <w:tcW w:w="1100" w:type="dxa"/>
          </w:tcPr>
          <w:p w14:paraId="10DC69F6" w14:textId="77777777" w:rsidR="007375B1" w:rsidRDefault="007375B1" w:rsidP="00DF12C8">
            <w:pPr>
              <w:pStyle w:val="TableText"/>
            </w:pPr>
          </w:p>
        </w:tc>
        <w:tc>
          <w:tcPr>
            <w:tcW w:w="1100" w:type="dxa"/>
          </w:tcPr>
          <w:p w14:paraId="72D9BCCF" w14:textId="77777777" w:rsidR="007375B1" w:rsidRDefault="007375B1" w:rsidP="00DF12C8">
            <w:pPr>
              <w:pStyle w:val="TableText"/>
            </w:pPr>
          </w:p>
        </w:tc>
        <w:tc>
          <w:tcPr>
            <w:tcW w:w="1100" w:type="dxa"/>
          </w:tcPr>
          <w:p w14:paraId="262D451D" w14:textId="77777777" w:rsidR="007375B1" w:rsidRDefault="007375B1" w:rsidP="00DF12C8">
            <w:pPr>
              <w:pStyle w:val="TableText"/>
            </w:pPr>
          </w:p>
        </w:tc>
        <w:tc>
          <w:tcPr>
            <w:tcW w:w="1410" w:type="dxa"/>
          </w:tcPr>
          <w:p w14:paraId="31C14360" w14:textId="77777777" w:rsidR="007375B1" w:rsidRDefault="007375B1" w:rsidP="00DF12C8">
            <w:pPr>
              <w:pStyle w:val="TableText"/>
            </w:pPr>
          </w:p>
        </w:tc>
        <w:tc>
          <w:tcPr>
            <w:tcW w:w="1434" w:type="dxa"/>
          </w:tcPr>
          <w:p w14:paraId="5E428B8C" w14:textId="77777777" w:rsidR="007375B1" w:rsidRDefault="007375B1" w:rsidP="00DF12C8">
            <w:pPr>
              <w:pStyle w:val="TableText"/>
            </w:pPr>
          </w:p>
        </w:tc>
      </w:tr>
      <w:tr w:rsidR="00887834" w14:paraId="07769D52" w14:textId="77777777">
        <w:trPr>
          <w:trHeight w:val="432"/>
        </w:trPr>
        <w:tc>
          <w:tcPr>
            <w:tcW w:w="2418" w:type="dxa"/>
          </w:tcPr>
          <w:p w14:paraId="53B68C79" w14:textId="77777777" w:rsidR="007375B1" w:rsidRPr="00887834" w:rsidRDefault="007375B1" w:rsidP="00DF12C8">
            <w:pPr>
              <w:pStyle w:val="TableText"/>
              <w:rPr>
                <w:b/>
              </w:rPr>
            </w:pPr>
            <w:r w:rsidRPr="00887834">
              <w:rPr>
                <w:b/>
              </w:rPr>
              <w:t>Anti-IgG</w:t>
            </w:r>
          </w:p>
        </w:tc>
        <w:tc>
          <w:tcPr>
            <w:tcW w:w="1099" w:type="dxa"/>
          </w:tcPr>
          <w:p w14:paraId="1D37F013" w14:textId="77777777" w:rsidR="007375B1" w:rsidRDefault="007375B1" w:rsidP="00DF12C8">
            <w:pPr>
              <w:pStyle w:val="TableText"/>
            </w:pPr>
          </w:p>
        </w:tc>
        <w:tc>
          <w:tcPr>
            <w:tcW w:w="1099" w:type="dxa"/>
          </w:tcPr>
          <w:p w14:paraId="0601D4E2" w14:textId="77777777" w:rsidR="007375B1" w:rsidRDefault="007375B1" w:rsidP="00DF12C8">
            <w:pPr>
              <w:pStyle w:val="TableText"/>
            </w:pPr>
          </w:p>
        </w:tc>
        <w:tc>
          <w:tcPr>
            <w:tcW w:w="1100" w:type="dxa"/>
          </w:tcPr>
          <w:p w14:paraId="0F509CA0" w14:textId="77777777" w:rsidR="007375B1" w:rsidRDefault="007375B1" w:rsidP="00DF12C8">
            <w:pPr>
              <w:pStyle w:val="TableText"/>
            </w:pPr>
          </w:p>
        </w:tc>
        <w:tc>
          <w:tcPr>
            <w:tcW w:w="1100" w:type="dxa"/>
          </w:tcPr>
          <w:p w14:paraId="22955448" w14:textId="77777777" w:rsidR="007375B1" w:rsidRDefault="007375B1" w:rsidP="00DF12C8">
            <w:pPr>
              <w:pStyle w:val="TableText"/>
            </w:pPr>
          </w:p>
        </w:tc>
        <w:tc>
          <w:tcPr>
            <w:tcW w:w="1100" w:type="dxa"/>
          </w:tcPr>
          <w:p w14:paraId="55CF23CC" w14:textId="77777777" w:rsidR="007375B1" w:rsidRDefault="007375B1" w:rsidP="00DF12C8">
            <w:pPr>
              <w:pStyle w:val="TableText"/>
            </w:pPr>
          </w:p>
        </w:tc>
        <w:tc>
          <w:tcPr>
            <w:tcW w:w="1100" w:type="dxa"/>
          </w:tcPr>
          <w:p w14:paraId="069D3A8E" w14:textId="77777777" w:rsidR="007375B1" w:rsidRDefault="007375B1" w:rsidP="00DF12C8">
            <w:pPr>
              <w:pStyle w:val="TableText"/>
            </w:pPr>
          </w:p>
        </w:tc>
        <w:tc>
          <w:tcPr>
            <w:tcW w:w="1100" w:type="dxa"/>
          </w:tcPr>
          <w:p w14:paraId="58DC0D36" w14:textId="77777777" w:rsidR="007375B1" w:rsidRDefault="007375B1" w:rsidP="00DF12C8">
            <w:pPr>
              <w:pStyle w:val="TableText"/>
            </w:pPr>
          </w:p>
        </w:tc>
        <w:tc>
          <w:tcPr>
            <w:tcW w:w="1410" w:type="dxa"/>
          </w:tcPr>
          <w:p w14:paraId="0CF3B03B" w14:textId="77777777" w:rsidR="007375B1" w:rsidRDefault="007375B1" w:rsidP="00DF12C8">
            <w:pPr>
              <w:pStyle w:val="TableText"/>
            </w:pPr>
          </w:p>
        </w:tc>
        <w:tc>
          <w:tcPr>
            <w:tcW w:w="1434" w:type="dxa"/>
          </w:tcPr>
          <w:p w14:paraId="7BBC7237" w14:textId="77777777" w:rsidR="007375B1" w:rsidRDefault="007375B1" w:rsidP="00DF12C8">
            <w:pPr>
              <w:pStyle w:val="TableText"/>
            </w:pPr>
          </w:p>
        </w:tc>
      </w:tr>
      <w:tr w:rsidR="00887834" w14:paraId="7E125E34" w14:textId="77777777">
        <w:trPr>
          <w:trHeight w:val="432"/>
        </w:trPr>
        <w:tc>
          <w:tcPr>
            <w:tcW w:w="2418" w:type="dxa"/>
          </w:tcPr>
          <w:p w14:paraId="6C7E17A5" w14:textId="77777777" w:rsidR="007375B1" w:rsidRPr="00887834" w:rsidRDefault="007375B1" w:rsidP="00DF12C8">
            <w:pPr>
              <w:pStyle w:val="TableText"/>
              <w:rPr>
                <w:b/>
              </w:rPr>
            </w:pPr>
            <w:r w:rsidRPr="00887834">
              <w:rPr>
                <w:b/>
              </w:rPr>
              <w:t>Anti-C3d</w:t>
            </w:r>
          </w:p>
        </w:tc>
        <w:tc>
          <w:tcPr>
            <w:tcW w:w="1099" w:type="dxa"/>
          </w:tcPr>
          <w:p w14:paraId="3C5E125F" w14:textId="77777777" w:rsidR="007375B1" w:rsidRDefault="007375B1" w:rsidP="00DF12C8">
            <w:pPr>
              <w:pStyle w:val="TableText"/>
            </w:pPr>
          </w:p>
        </w:tc>
        <w:tc>
          <w:tcPr>
            <w:tcW w:w="1099" w:type="dxa"/>
          </w:tcPr>
          <w:p w14:paraId="7FF3A30B" w14:textId="77777777" w:rsidR="007375B1" w:rsidRDefault="007375B1" w:rsidP="00DF12C8">
            <w:pPr>
              <w:pStyle w:val="TableText"/>
            </w:pPr>
          </w:p>
        </w:tc>
        <w:tc>
          <w:tcPr>
            <w:tcW w:w="1100" w:type="dxa"/>
          </w:tcPr>
          <w:p w14:paraId="40C2E9B6" w14:textId="77777777" w:rsidR="007375B1" w:rsidRDefault="007375B1" w:rsidP="00DF12C8">
            <w:pPr>
              <w:pStyle w:val="TableText"/>
            </w:pPr>
          </w:p>
        </w:tc>
        <w:tc>
          <w:tcPr>
            <w:tcW w:w="1100" w:type="dxa"/>
          </w:tcPr>
          <w:p w14:paraId="108CC9C1" w14:textId="77777777" w:rsidR="007375B1" w:rsidRDefault="007375B1" w:rsidP="00DF12C8">
            <w:pPr>
              <w:pStyle w:val="TableText"/>
            </w:pPr>
          </w:p>
        </w:tc>
        <w:tc>
          <w:tcPr>
            <w:tcW w:w="1100" w:type="dxa"/>
          </w:tcPr>
          <w:p w14:paraId="0424B467" w14:textId="77777777" w:rsidR="007375B1" w:rsidRDefault="007375B1" w:rsidP="00DF12C8">
            <w:pPr>
              <w:pStyle w:val="TableText"/>
            </w:pPr>
          </w:p>
        </w:tc>
        <w:tc>
          <w:tcPr>
            <w:tcW w:w="1100" w:type="dxa"/>
          </w:tcPr>
          <w:p w14:paraId="0F298B3E" w14:textId="77777777" w:rsidR="007375B1" w:rsidRDefault="007375B1" w:rsidP="00DF12C8">
            <w:pPr>
              <w:pStyle w:val="TableText"/>
            </w:pPr>
          </w:p>
        </w:tc>
        <w:tc>
          <w:tcPr>
            <w:tcW w:w="1100" w:type="dxa"/>
          </w:tcPr>
          <w:p w14:paraId="47CF895D" w14:textId="77777777" w:rsidR="007375B1" w:rsidRDefault="007375B1" w:rsidP="00DF12C8">
            <w:pPr>
              <w:pStyle w:val="TableText"/>
            </w:pPr>
          </w:p>
        </w:tc>
        <w:tc>
          <w:tcPr>
            <w:tcW w:w="1410" w:type="dxa"/>
          </w:tcPr>
          <w:p w14:paraId="7FD58554" w14:textId="77777777" w:rsidR="007375B1" w:rsidRDefault="007375B1" w:rsidP="00DF12C8">
            <w:pPr>
              <w:pStyle w:val="TableText"/>
            </w:pPr>
          </w:p>
        </w:tc>
        <w:tc>
          <w:tcPr>
            <w:tcW w:w="1434" w:type="dxa"/>
          </w:tcPr>
          <w:p w14:paraId="3D68F1D5" w14:textId="77777777" w:rsidR="007375B1" w:rsidRDefault="007375B1" w:rsidP="00DF12C8">
            <w:pPr>
              <w:pStyle w:val="TableText"/>
            </w:pPr>
          </w:p>
        </w:tc>
      </w:tr>
    </w:tbl>
    <w:p w14:paraId="21B4EB53" w14:textId="77777777" w:rsidR="00C54677" w:rsidRDefault="00C54677" w:rsidP="00C54677">
      <w:pPr>
        <w:pStyle w:val="BodyText"/>
      </w:pPr>
      <w:r>
        <w:t>Test Results: Positive, Graded = M, F, W, 1+, 2+, 3+, 4+; Negative = 0; NT = Not Tested</w:t>
      </w:r>
    </w:p>
    <w:p w14:paraId="34B4A180" w14:textId="77777777" w:rsidR="0050722E" w:rsidRDefault="0050722E" w:rsidP="00C54677">
      <w:pPr>
        <w:pStyle w:val="BodyText"/>
      </w:pPr>
    </w:p>
    <w:p w14:paraId="10A476E2" w14:textId="77777777" w:rsidR="00E7240A" w:rsidRDefault="00E7240A" w:rsidP="0050722E">
      <w:pPr>
        <w:pStyle w:val="Heading3"/>
      </w:pPr>
      <w:r>
        <w:br w:type="page"/>
      </w:r>
      <w:bookmarkStart w:id="603" w:name="_Toc4588860"/>
      <w:r>
        <w:lastRenderedPageBreak/>
        <w:t>Unit ABO/Rh Confirmation Form</w:t>
      </w:r>
      <w:bookmarkEnd w:id="603"/>
      <w:r w:rsidR="00246F04">
        <w:fldChar w:fldCharType="begin"/>
      </w:r>
      <w:r w:rsidR="00246F04">
        <w:instrText xml:space="preserve"> XE "</w:instrText>
      </w:r>
      <w:r w:rsidR="00246F04" w:rsidRPr="005960AD">
        <w:instrText>Unit ABO/Rh Confirmation Form</w:instrText>
      </w:r>
      <w:r w:rsidR="00246F04">
        <w:instrText xml:space="preserve">" </w:instrText>
      </w:r>
      <w:r w:rsidR="00246F04">
        <w:fldChar w:fldCharType="end"/>
      </w:r>
      <w:r w:rsidR="00A95965">
        <w:fldChar w:fldCharType="begin"/>
      </w:r>
      <w:r w:rsidR="00A95965">
        <w:instrText xml:space="preserve"> XE “Forms:Unit ABO/Rh Confirmation Form” </w:instrText>
      </w:r>
      <w:r w:rsidR="00A95965">
        <w:fldChar w:fldCharType="end"/>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0"/>
        <w:gridCol w:w="3161"/>
        <w:gridCol w:w="1588"/>
        <w:gridCol w:w="1584"/>
        <w:gridCol w:w="3157"/>
      </w:tblGrid>
      <w:tr w:rsidR="003F4F8B" w14:paraId="6945A448" w14:textId="77777777">
        <w:tc>
          <w:tcPr>
            <w:tcW w:w="12960" w:type="dxa"/>
            <w:gridSpan w:val="5"/>
          </w:tcPr>
          <w:p w14:paraId="1071653E" w14:textId="77777777" w:rsidR="003F4F8B" w:rsidRPr="003F4F8B" w:rsidRDefault="003F4F8B" w:rsidP="003F4F8B">
            <w:pPr>
              <w:pStyle w:val="TableText"/>
            </w:pPr>
            <w:r w:rsidRPr="00887834">
              <w:rPr>
                <w:b/>
              </w:rPr>
              <w:t xml:space="preserve">Facility Name: </w:t>
            </w:r>
          </w:p>
        </w:tc>
      </w:tr>
      <w:tr w:rsidR="003F4F8B" w14:paraId="6768CD82" w14:textId="77777777">
        <w:tc>
          <w:tcPr>
            <w:tcW w:w="12960" w:type="dxa"/>
            <w:gridSpan w:val="5"/>
          </w:tcPr>
          <w:p w14:paraId="2FBC572B" w14:textId="77777777" w:rsidR="003F4F8B" w:rsidRPr="003F4F8B" w:rsidRDefault="003F4F8B" w:rsidP="003F4F8B">
            <w:pPr>
              <w:pStyle w:val="TableText"/>
            </w:pPr>
            <w:r w:rsidRPr="00887834">
              <w:rPr>
                <w:b/>
              </w:rPr>
              <w:t xml:space="preserve">Address: </w:t>
            </w:r>
          </w:p>
        </w:tc>
      </w:tr>
      <w:tr w:rsidR="003F4F8B" w14:paraId="47C8DFEE" w14:textId="77777777">
        <w:tc>
          <w:tcPr>
            <w:tcW w:w="12960" w:type="dxa"/>
            <w:gridSpan w:val="5"/>
          </w:tcPr>
          <w:p w14:paraId="3AA0D99B" w14:textId="77777777" w:rsidR="003F4F8B" w:rsidRPr="003F4F8B" w:rsidRDefault="003F4F8B" w:rsidP="003F4F8B">
            <w:pPr>
              <w:pStyle w:val="TableText"/>
            </w:pPr>
            <w:r w:rsidRPr="00887834">
              <w:rPr>
                <w:b/>
              </w:rPr>
              <w:t>City, State, Zip Code:</w:t>
            </w:r>
            <w:r>
              <w:t xml:space="preserve"> </w:t>
            </w:r>
          </w:p>
        </w:tc>
      </w:tr>
      <w:tr w:rsidR="00E7240A" w14:paraId="6675C4F7"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Ex>
        <w:trPr>
          <w:cantSplit/>
          <w:trHeight w:val="230"/>
        </w:trPr>
        <w:tc>
          <w:tcPr>
            <w:tcW w:w="3470" w:type="dxa"/>
            <w:tcBorders>
              <w:bottom w:val="single" w:sz="2" w:space="0" w:color="auto"/>
            </w:tcBorders>
            <w:shd w:val="clear" w:color="auto" w:fill="B3B3B3"/>
            <w:noWrap/>
          </w:tcPr>
          <w:p w14:paraId="00439863" w14:textId="77777777" w:rsidR="00E7240A" w:rsidRPr="00E8564A" w:rsidRDefault="00E7240A" w:rsidP="00A95965">
            <w:pPr>
              <w:pStyle w:val="TableText"/>
              <w:rPr>
                <w:b/>
                <w:szCs w:val="20"/>
              </w:rPr>
            </w:pPr>
            <w:r w:rsidRPr="00E8564A">
              <w:rPr>
                <w:b/>
                <w:szCs w:val="20"/>
              </w:rPr>
              <w:t>Invoice Number</w:t>
            </w:r>
          </w:p>
        </w:tc>
        <w:tc>
          <w:tcPr>
            <w:tcW w:w="3161" w:type="dxa"/>
            <w:tcBorders>
              <w:bottom w:val="single" w:sz="2" w:space="0" w:color="auto"/>
            </w:tcBorders>
            <w:shd w:val="clear" w:color="auto" w:fill="B3B3B3"/>
          </w:tcPr>
          <w:p w14:paraId="3C39C929" w14:textId="77777777" w:rsidR="00E7240A" w:rsidRPr="00E8564A" w:rsidRDefault="00E7240A" w:rsidP="00A95965">
            <w:pPr>
              <w:pStyle w:val="TableText"/>
              <w:rPr>
                <w:b/>
                <w:szCs w:val="20"/>
              </w:rPr>
            </w:pPr>
            <w:r w:rsidRPr="00E8564A">
              <w:rPr>
                <w:b/>
                <w:szCs w:val="20"/>
              </w:rPr>
              <w:t>Source (Shipper) Name</w:t>
            </w:r>
          </w:p>
        </w:tc>
        <w:tc>
          <w:tcPr>
            <w:tcW w:w="1588" w:type="dxa"/>
            <w:tcBorders>
              <w:bottom w:val="single" w:sz="2" w:space="0" w:color="auto"/>
            </w:tcBorders>
            <w:shd w:val="clear" w:color="auto" w:fill="B3B3B3"/>
          </w:tcPr>
          <w:p w14:paraId="0FE6F068" w14:textId="77777777" w:rsidR="00E7240A" w:rsidRPr="00E8564A" w:rsidRDefault="00E7240A" w:rsidP="00A95965">
            <w:pPr>
              <w:pStyle w:val="TableText"/>
              <w:rPr>
                <w:b/>
                <w:szCs w:val="20"/>
              </w:rPr>
            </w:pPr>
            <w:r w:rsidRPr="00E8564A">
              <w:rPr>
                <w:b/>
                <w:szCs w:val="20"/>
              </w:rPr>
              <w:t>Reagent Rack</w:t>
            </w:r>
          </w:p>
        </w:tc>
        <w:tc>
          <w:tcPr>
            <w:tcW w:w="1584" w:type="dxa"/>
            <w:tcBorders>
              <w:bottom w:val="single" w:sz="2" w:space="0" w:color="auto"/>
            </w:tcBorders>
            <w:shd w:val="clear" w:color="auto" w:fill="B3B3B3"/>
          </w:tcPr>
          <w:p w14:paraId="29A184B9" w14:textId="77777777" w:rsidR="00E7240A" w:rsidRPr="00E8564A" w:rsidRDefault="00E7240A" w:rsidP="00A95965">
            <w:pPr>
              <w:pStyle w:val="TableText"/>
              <w:rPr>
                <w:b/>
                <w:szCs w:val="20"/>
              </w:rPr>
            </w:pPr>
            <w:r w:rsidRPr="00E8564A">
              <w:rPr>
                <w:b/>
                <w:szCs w:val="20"/>
              </w:rPr>
              <w:t>Date</w:t>
            </w:r>
            <w:r>
              <w:rPr>
                <w:b/>
                <w:szCs w:val="20"/>
              </w:rPr>
              <w:t xml:space="preserve"> and Time</w:t>
            </w:r>
          </w:p>
        </w:tc>
        <w:tc>
          <w:tcPr>
            <w:tcW w:w="3157" w:type="dxa"/>
            <w:tcBorders>
              <w:bottom w:val="single" w:sz="2" w:space="0" w:color="auto"/>
            </w:tcBorders>
            <w:shd w:val="clear" w:color="auto" w:fill="B3B3B3"/>
          </w:tcPr>
          <w:p w14:paraId="346D76DD" w14:textId="77777777" w:rsidR="00E7240A" w:rsidRPr="00E8564A" w:rsidRDefault="00E7240A" w:rsidP="00A95965">
            <w:pPr>
              <w:pStyle w:val="TableText"/>
              <w:rPr>
                <w:b/>
                <w:szCs w:val="20"/>
              </w:rPr>
            </w:pPr>
            <w:r w:rsidRPr="00E8564A">
              <w:rPr>
                <w:b/>
                <w:szCs w:val="20"/>
              </w:rPr>
              <w:t>Tech Name</w:t>
            </w:r>
          </w:p>
        </w:tc>
      </w:tr>
      <w:tr w:rsidR="00E7240A" w14:paraId="1064CDBF"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Ex>
        <w:trPr>
          <w:cantSplit/>
          <w:trHeight w:val="432"/>
        </w:trPr>
        <w:tc>
          <w:tcPr>
            <w:tcW w:w="3470" w:type="dxa"/>
            <w:shd w:val="clear" w:color="auto" w:fill="auto"/>
            <w:noWrap/>
          </w:tcPr>
          <w:p w14:paraId="4F1218E9" w14:textId="77777777" w:rsidR="00E7240A" w:rsidRPr="00E8564A" w:rsidRDefault="00E7240A" w:rsidP="00A95965">
            <w:pPr>
              <w:pStyle w:val="TableText"/>
              <w:rPr>
                <w:b/>
                <w:szCs w:val="20"/>
              </w:rPr>
            </w:pPr>
          </w:p>
        </w:tc>
        <w:tc>
          <w:tcPr>
            <w:tcW w:w="3161" w:type="dxa"/>
            <w:shd w:val="clear" w:color="auto" w:fill="auto"/>
          </w:tcPr>
          <w:p w14:paraId="0452930A" w14:textId="77777777" w:rsidR="00E7240A" w:rsidRPr="00E8564A" w:rsidRDefault="00E7240A" w:rsidP="00A95965">
            <w:pPr>
              <w:pStyle w:val="TableText"/>
              <w:rPr>
                <w:b/>
                <w:szCs w:val="20"/>
              </w:rPr>
            </w:pPr>
          </w:p>
        </w:tc>
        <w:tc>
          <w:tcPr>
            <w:tcW w:w="1588" w:type="dxa"/>
            <w:shd w:val="clear" w:color="auto" w:fill="auto"/>
          </w:tcPr>
          <w:p w14:paraId="6EDFABCA" w14:textId="77777777" w:rsidR="00E7240A" w:rsidRPr="00E8564A" w:rsidRDefault="00E7240A" w:rsidP="00A95965">
            <w:pPr>
              <w:pStyle w:val="TableText"/>
              <w:rPr>
                <w:b/>
                <w:szCs w:val="20"/>
              </w:rPr>
            </w:pPr>
          </w:p>
        </w:tc>
        <w:tc>
          <w:tcPr>
            <w:tcW w:w="1584" w:type="dxa"/>
            <w:shd w:val="clear" w:color="auto" w:fill="auto"/>
          </w:tcPr>
          <w:p w14:paraId="15CE5753" w14:textId="77777777" w:rsidR="00E7240A" w:rsidRPr="00E8564A" w:rsidRDefault="00E7240A" w:rsidP="00A95965">
            <w:pPr>
              <w:pStyle w:val="TableText"/>
              <w:rPr>
                <w:b/>
                <w:szCs w:val="20"/>
              </w:rPr>
            </w:pPr>
          </w:p>
        </w:tc>
        <w:tc>
          <w:tcPr>
            <w:tcW w:w="3157" w:type="dxa"/>
            <w:shd w:val="clear" w:color="auto" w:fill="auto"/>
          </w:tcPr>
          <w:p w14:paraId="27F8D735" w14:textId="77777777" w:rsidR="00E7240A" w:rsidRPr="00E8564A" w:rsidRDefault="00E7240A" w:rsidP="00A95965">
            <w:pPr>
              <w:pStyle w:val="TableText"/>
              <w:rPr>
                <w:b/>
                <w:szCs w:val="20"/>
              </w:rPr>
            </w:pPr>
          </w:p>
        </w:tc>
      </w:tr>
    </w:tbl>
    <w:p w14:paraId="0635C26D" w14:textId="77777777" w:rsidR="00E7240A" w:rsidRDefault="00E7240A" w:rsidP="00DD75E5">
      <w:pPr>
        <w:pStyle w:val="BodyText"/>
      </w:pPr>
    </w:p>
    <w:tbl>
      <w:tblPr>
        <w:tblW w:w="129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973"/>
        <w:gridCol w:w="1127"/>
        <w:gridCol w:w="1132"/>
        <w:gridCol w:w="971"/>
        <w:gridCol w:w="971"/>
        <w:gridCol w:w="971"/>
        <w:gridCol w:w="971"/>
        <w:gridCol w:w="1103"/>
        <w:gridCol w:w="1741"/>
      </w:tblGrid>
      <w:tr w:rsidR="006304EB" w14:paraId="10B5B47E" w14:textId="77777777">
        <w:trPr>
          <w:cantSplit/>
          <w:trHeight w:val="230"/>
          <w:tblHeader/>
        </w:trPr>
        <w:tc>
          <w:tcPr>
            <w:tcW w:w="3973" w:type="dxa"/>
            <w:shd w:val="clear" w:color="auto" w:fill="B3B3B3"/>
            <w:noWrap/>
          </w:tcPr>
          <w:p w14:paraId="57707F40" w14:textId="77777777" w:rsidR="006304EB" w:rsidRPr="005F4649" w:rsidRDefault="006304EB" w:rsidP="00A95965">
            <w:pPr>
              <w:pStyle w:val="TableText"/>
              <w:rPr>
                <w:b/>
                <w:szCs w:val="20"/>
              </w:rPr>
            </w:pPr>
            <w:r w:rsidRPr="005F4649">
              <w:rPr>
                <w:b/>
                <w:szCs w:val="20"/>
              </w:rPr>
              <w:t>Unit Identification Number</w:t>
            </w:r>
          </w:p>
        </w:tc>
        <w:tc>
          <w:tcPr>
            <w:tcW w:w="1127" w:type="dxa"/>
            <w:shd w:val="clear" w:color="auto" w:fill="B3B3B3"/>
          </w:tcPr>
          <w:p w14:paraId="11CEA82C" w14:textId="77777777" w:rsidR="006304EB" w:rsidRPr="005F4649" w:rsidRDefault="006304EB" w:rsidP="006304EB">
            <w:pPr>
              <w:pStyle w:val="TableText"/>
              <w:rPr>
                <w:b/>
                <w:szCs w:val="20"/>
              </w:rPr>
            </w:pPr>
            <w:r>
              <w:rPr>
                <w:b/>
                <w:szCs w:val="20"/>
              </w:rPr>
              <w:t xml:space="preserve">Product Code </w:t>
            </w:r>
          </w:p>
        </w:tc>
        <w:tc>
          <w:tcPr>
            <w:tcW w:w="1132" w:type="dxa"/>
            <w:shd w:val="clear" w:color="auto" w:fill="B3B3B3"/>
          </w:tcPr>
          <w:p w14:paraId="4016655E" w14:textId="77777777" w:rsidR="006304EB" w:rsidRPr="005F4649" w:rsidRDefault="006304EB" w:rsidP="00A95965">
            <w:pPr>
              <w:pStyle w:val="TableText"/>
              <w:rPr>
                <w:b/>
                <w:szCs w:val="20"/>
              </w:rPr>
            </w:pPr>
            <w:r w:rsidRPr="005F4649">
              <w:rPr>
                <w:b/>
                <w:szCs w:val="20"/>
              </w:rPr>
              <w:t>Unit ABO/Rh</w:t>
            </w:r>
          </w:p>
        </w:tc>
        <w:tc>
          <w:tcPr>
            <w:tcW w:w="971" w:type="dxa"/>
            <w:shd w:val="clear" w:color="auto" w:fill="B3B3B3"/>
          </w:tcPr>
          <w:p w14:paraId="363BA8A2" w14:textId="77777777" w:rsidR="006304EB" w:rsidRPr="005F4649" w:rsidRDefault="006304EB" w:rsidP="00A95965">
            <w:pPr>
              <w:pStyle w:val="TableText"/>
              <w:rPr>
                <w:b/>
                <w:szCs w:val="20"/>
              </w:rPr>
            </w:pPr>
            <w:r w:rsidRPr="005F4649">
              <w:rPr>
                <w:b/>
                <w:szCs w:val="20"/>
              </w:rPr>
              <w:t>Anti-A</w:t>
            </w:r>
          </w:p>
        </w:tc>
        <w:tc>
          <w:tcPr>
            <w:tcW w:w="971" w:type="dxa"/>
            <w:shd w:val="clear" w:color="auto" w:fill="B3B3B3"/>
          </w:tcPr>
          <w:p w14:paraId="29C10E64" w14:textId="77777777" w:rsidR="006304EB" w:rsidRPr="005F4649" w:rsidRDefault="006304EB" w:rsidP="00A95965">
            <w:pPr>
              <w:pStyle w:val="TableText"/>
              <w:rPr>
                <w:b/>
                <w:szCs w:val="20"/>
              </w:rPr>
            </w:pPr>
            <w:r w:rsidRPr="005F4649">
              <w:rPr>
                <w:b/>
                <w:szCs w:val="20"/>
              </w:rPr>
              <w:t>Anti-B</w:t>
            </w:r>
          </w:p>
        </w:tc>
        <w:tc>
          <w:tcPr>
            <w:tcW w:w="971" w:type="dxa"/>
            <w:shd w:val="clear" w:color="auto" w:fill="B3B3B3"/>
          </w:tcPr>
          <w:p w14:paraId="6E51ED5D" w14:textId="77777777" w:rsidR="006304EB" w:rsidRPr="005F4649" w:rsidRDefault="006304EB" w:rsidP="00A95965">
            <w:pPr>
              <w:pStyle w:val="TableText"/>
              <w:rPr>
                <w:b/>
                <w:szCs w:val="20"/>
              </w:rPr>
            </w:pPr>
            <w:r w:rsidRPr="005F4649">
              <w:rPr>
                <w:b/>
                <w:szCs w:val="20"/>
              </w:rPr>
              <w:t>Anti-A,B</w:t>
            </w:r>
          </w:p>
        </w:tc>
        <w:tc>
          <w:tcPr>
            <w:tcW w:w="971" w:type="dxa"/>
            <w:shd w:val="clear" w:color="auto" w:fill="B3B3B3"/>
          </w:tcPr>
          <w:p w14:paraId="580BFD39" w14:textId="77777777" w:rsidR="006304EB" w:rsidRPr="005F4649" w:rsidRDefault="006304EB" w:rsidP="00A95965">
            <w:pPr>
              <w:pStyle w:val="TableText"/>
              <w:rPr>
                <w:b/>
                <w:szCs w:val="20"/>
              </w:rPr>
            </w:pPr>
            <w:r w:rsidRPr="005F4649">
              <w:rPr>
                <w:b/>
                <w:szCs w:val="20"/>
              </w:rPr>
              <w:t>Anti-D</w:t>
            </w:r>
          </w:p>
        </w:tc>
        <w:tc>
          <w:tcPr>
            <w:tcW w:w="1103" w:type="dxa"/>
            <w:shd w:val="clear" w:color="auto" w:fill="B3B3B3"/>
          </w:tcPr>
          <w:p w14:paraId="5EFE5809" w14:textId="77777777" w:rsidR="006304EB" w:rsidRPr="005F4649" w:rsidRDefault="006304EB" w:rsidP="00A95965">
            <w:pPr>
              <w:pStyle w:val="TableText"/>
              <w:rPr>
                <w:b/>
                <w:szCs w:val="20"/>
              </w:rPr>
            </w:pPr>
            <w:r>
              <w:rPr>
                <w:b/>
                <w:szCs w:val="20"/>
              </w:rPr>
              <w:t>Rh C</w:t>
            </w:r>
            <w:r w:rsidRPr="005F4649">
              <w:rPr>
                <w:b/>
                <w:szCs w:val="20"/>
              </w:rPr>
              <w:t>ontrol</w:t>
            </w:r>
          </w:p>
        </w:tc>
        <w:tc>
          <w:tcPr>
            <w:tcW w:w="1741" w:type="dxa"/>
            <w:shd w:val="clear" w:color="auto" w:fill="B3B3B3"/>
          </w:tcPr>
          <w:p w14:paraId="5E84336D" w14:textId="77777777" w:rsidR="006304EB" w:rsidRPr="005F4649" w:rsidRDefault="006304EB" w:rsidP="00A95965">
            <w:pPr>
              <w:pStyle w:val="TableText"/>
              <w:rPr>
                <w:b/>
                <w:szCs w:val="20"/>
              </w:rPr>
            </w:pPr>
            <w:r w:rsidRPr="005F4649">
              <w:rPr>
                <w:b/>
                <w:szCs w:val="20"/>
              </w:rPr>
              <w:t>ABO/Rh Interpretation</w:t>
            </w:r>
          </w:p>
        </w:tc>
      </w:tr>
      <w:tr w:rsidR="006304EB" w14:paraId="772D3865" w14:textId="77777777">
        <w:trPr>
          <w:cantSplit/>
          <w:trHeight w:val="432"/>
        </w:trPr>
        <w:tc>
          <w:tcPr>
            <w:tcW w:w="3973" w:type="dxa"/>
            <w:noWrap/>
          </w:tcPr>
          <w:p w14:paraId="25D9FBB9" w14:textId="77777777" w:rsidR="006304EB" w:rsidRPr="005F4649" w:rsidRDefault="006304EB" w:rsidP="00A95965">
            <w:pPr>
              <w:pStyle w:val="TableText"/>
              <w:rPr>
                <w:b/>
                <w:szCs w:val="20"/>
              </w:rPr>
            </w:pPr>
          </w:p>
        </w:tc>
        <w:tc>
          <w:tcPr>
            <w:tcW w:w="1127" w:type="dxa"/>
          </w:tcPr>
          <w:p w14:paraId="369AB9A8" w14:textId="77777777" w:rsidR="006304EB" w:rsidRPr="005F4649" w:rsidRDefault="006304EB" w:rsidP="006304EB">
            <w:pPr>
              <w:pStyle w:val="TableText"/>
              <w:rPr>
                <w:b/>
                <w:szCs w:val="20"/>
              </w:rPr>
            </w:pPr>
          </w:p>
        </w:tc>
        <w:tc>
          <w:tcPr>
            <w:tcW w:w="1132" w:type="dxa"/>
          </w:tcPr>
          <w:p w14:paraId="68D12683" w14:textId="77777777" w:rsidR="006304EB" w:rsidRPr="005F4649" w:rsidRDefault="006304EB" w:rsidP="00A95965">
            <w:pPr>
              <w:pStyle w:val="TableText"/>
              <w:rPr>
                <w:b/>
                <w:szCs w:val="20"/>
              </w:rPr>
            </w:pPr>
          </w:p>
        </w:tc>
        <w:tc>
          <w:tcPr>
            <w:tcW w:w="971" w:type="dxa"/>
          </w:tcPr>
          <w:p w14:paraId="3ABF708B" w14:textId="77777777" w:rsidR="006304EB" w:rsidRPr="005F4649" w:rsidRDefault="006304EB" w:rsidP="00A95965">
            <w:pPr>
              <w:pStyle w:val="TableText"/>
              <w:rPr>
                <w:b/>
                <w:szCs w:val="20"/>
              </w:rPr>
            </w:pPr>
          </w:p>
        </w:tc>
        <w:tc>
          <w:tcPr>
            <w:tcW w:w="971" w:type="dxa"/>
          </w:tcPr>
          <w:p w14:paraId="5D4D4F20" w14:textId="77777777" w:rsidR="006304EB" w:rsidRPr="005F4649" w:rsidRDefault="006304EB" w:rsidP="00A95965">
            <w:pPr>
              <w:pStyle w:val="TableText"/>
              <w:rPr>
                <w:b/>
                <w:szCs w:val="20"/>
              </w:rPr>
            </w:pPr>
          </w:p>
        </w:tc>
        <w:tc>
          <w:tcPr>
            <w:tcW w:w="971" w:type="dxa"/>
          </w:tcPr>
          <w:p w14:paraId="79E1552A" w14:textId="77777777" w:rsidR="006304EB" w:rsidRPr="005F4649" w:rsidRDefault="006304EB" w:rsidP="00A95965">
            <w:pPr>
              <w:pStyle w:val="TableText"/>
              <w:rPr>
                <w:b/>
                <w:szCs w:val="20"/>
              </w:rPr>
            </w:pPr>
          </w:p>
        </w:tc>
        <w:tc>
          <w:tcPr>
            <w:tcW w:w="971" w:type="dxa"/>
          </w:tcPr>
          <w:p w14:paraId="548D2497" w14:textId="77777777" w:rsidR="006304EB" w:rsidRPr="005F4649" w:rsidRDefault="006304EB" w:rsidP="00A95965">
            <w:pPr>
              <w:pStyle w:val="TableText"/>
              <w:rPr>
                <w:b/>
                <w:szCs w:val="20"/>
              </w:rPr>
            </w:pPr>
          </w:p>
        </w:tc>
        <w:tc>
          <w:tcPr>
            <w:tcW w:w="1103" w:type="dxa"/>
          </w:tcPr>
          <w:p w14:paraId="45C1AA45" w14:textId="77777777" w:rsidR="006304EB" w:rsidRDefault="006304EB" w:rsidP="00A95965">
            <w:pPr>
              <w:pStyle w:val="TableText"/>
              <w:rPr>
                <w:b/>
                <w:szCs w:val="20"/>
              </w:rPr>
            </w:pPr>
          </w:p>
        </w:tc>
        <w:tc>
          <w:tcPr>
            <w:tcW w:w="1741" w:type="dxa"/>
          </w:tcPr>
          <w:p w14:paraId="31ADE4BF" w14:textId="77777777" w:rsidR="006304EB" w:rsidRPr="005F4649" w:rsidRDefault="006304EB" w:rsidP="00A95965">
            <w:pPr>
              <w:pStyle w:val="TableText"/>
              <w:rPr>
                <w:b/>
                <w:szCs w:val="20"/>
              </w:rPr>
            </w:pPr>
          </w:p>
        </w:tc>
      </w:tr>
      <w:tr w:rsidR="006304EB" w14:paraId="7D363DC9" w14:textId="77777777">
        <w:trPr>
          <w:cantSplit/>
          <w:trHeight w:val="432"/>
        </w:trPr>
        <w:tc>
          <w:tcPr>
            <w:tcW w:w="3973" w:type="dxa"/>
            <w:noWrap/>
          </w:tcPr>
          <w:p w14:paraId="1CD95FB2" w14:textId="77777777" w:rsidR="006304EB" w:rsidRPr="005F4649" w:rsidRDefault="006304EB" w:rsidP="00A95965">
            <w:pPr>
              <w:pStyle w:val="TableText"/>
              <w:rPr>
                <w:b/>
                <w:szCs w:val="20"/>
              </w:rPr>
            </w:pPr>
          </w:p>
        </w:tc>
        <w:tc>
          <w:tcPr>
            <w:tcW w:w="1127" w:type="dxa"/>
          </w:tcPr>
          <w:p w14:paraId="5A3903CF" w14:textId="77777777" w:rsidR="006304EB" w:rsidRPr="005F4649" w:rsidRDefault="006304EB" w:rsidP="006304EB">
            <w:pPr>
              <w:pStyle w:val="TableText"/>
              <w:rPr>
                <w:b/>
                <w:szCs w:val="20"/>
              </w:rPr>
            </w:pPr>
          </w:p>
        </w:tc>
        <w:tc>
          <w:tcPr>
            <w:tcW w:w="1132" w:type="dxa"/>
          </w:tcPr>
          <w:p w14:paraId="5853F55D" w14:textId="77777777" w:rsidR="006304EB" w:rsidRPr="005F4649" w:rsidRDefault="006304EB" w:rsidP="00A95965">
            <w:pPr>
              <w:pStyle w:val="TableText"/>
              <w:rPr>
                <w:b/>
                <w:szCs w:val="20"/>
              </w:rPr>
            </w:pPr>
          </w:p>
        </w:tc>
        <w:tc>
          <w:tcPr>
            <w:tcW w:w="971" w:type="dxa"/>
          </w:tcPr>
          <w:p w14:paraId="27F8D078" w14:textId="77777777" w:rsidR="006304EB" w:rsidRPr="005F4649" w:rsidRDefault="006304EB" w:rsidP="00A95965">
            <w:pPr>
              <w:pStyle w:val="TableText"/>
              <w:rPr>
                <w:b/>
                <w:szCs w:val="20"/>
              </w:rPr>
            </w:pPr>
          </w:p>
        </w:tc>
        <w:tc>
          <w:tcPr>
            <w:tcW w:w="971" w:type="dxa"/>
          </w:tcPr>
          <w:p w14:paraId="0F6263B6" w14:textId="77777777" w:rsidR="006304EB" w:rsidRPr="005F4649" w:rsidRDefault="006304EB" w:rsidP="00A95965">
            <w:pPr>
              <w:pStyle w:val="TableText"/>
              <w:rPr>
                <w:b/>
                <w:szCs w:val="20"/>
              </w:rPr>
            </w:pPr>
          </w:p>
        </w:tc>
        <w:tc>
          <w:tcPr>
            <w:tcW w:w="971" w:type="dxa"/>
          </w:tcPr>
          <w:p w14:paraId="4C9807F8" w14:textId="77777777" w:rsidR="006304EB" w:rsidRPr="005F4649" w:rsidRDefault="006304EB" w:rsidP="00A95965">
            <w:pPr>
              <w:pStyle w:val="TableText"/>
              <w:rPr>
                <w:b/>
                <w:szCs w:val="20"/>
              </w:rPr>
            </w:pPr>
          </w:p>
        </w:tc>
        <w:tc>
          <w:tcPr>
            <w:tcW w:w="971" w:type="dxa"/>
          </w:tcPr>
          <w:p w14:paraId="7F76A08A" w14:textId="77777777" w:rsidR="006304EB" w:rsidRPr="005F4649" w:rsidRDefault="006304EB" w:rsidP="00A95965">
            <w:pPr>
              <w:pStyle w:val="TableText"/>
              <w:rPr>
                <w:b/>
                <w:szCs w:val="20"/>
              </w:rPr>
            </w:pPr>
          </w:p>
        </w:tc>
        <w:tc>
          <w:tcPr>
            <w:tcW w:w="1103" w:type="dxa"/>
          </w:tcPr>
          <w:p w14:paraId="04F9BA1C" w14:textId="77777777" w:rsidR="006304EB" w:rsidRDefault="006304EB" w:rsidP="00A95965">
            <w:pPr>
              <w:pStyle w:val="TableText"/>
              <w:rPr>
                <w:b/>
                <w:szCs w:val="20"/>
              </w:rPr>
            </w:pPr>
          </w:p>
        </w:tc>
        <w:tc>
          <w:tcPr>
            <w:tcW w:w="1741" w:type="dxa"/>
          </w:tcPr>
          <w:p w14:paraId="7B656DE7" w14:textId="77777777" w:rsidR="006304EB" w:rsidRPr="005F4649" w:rsidRDefault="006304EB" w:rsidP="00A95965">
            <w:pPr>
              <w:pStyle w:val="TableText"/>
              <w:rPr>
                <w:b/>
                <w:szCs w:val="20"/>
              </w:rPr>
            </w:pPr>
          </w:p>
        </w:tc>
      </w:tr>
      <w:tr w:rsidR="006304EB" w14:paraId="4AD12AE5" w14:textId="77777777">
        <w:trPr>
          <w:cantSplit/>
          <w:trHeight w:val="432"/>
        </w:trPr>
        <w:tc>
          <w:tcPr>
            <w:tcW w:w="3973" w:type="dxa"/>
            <w:noWrap/>
          </w:tcPr>
          <w:p w14:paraId="24ED466D" w14:textId="77777777" w:rsidR="006304EB" w:rsidRPr="005F4649" w:rsidRDefault="006304EB" w:rsidP="00A95965">
            <w:pPr>
              <w:pStyle w:val="TableText"/>
              <w:rPr>
                <w:b/>
                <w:szCs w:val="20"/>
              </w:rPr>
            </w:pPr>
          </w:p>
        </w:tc>
        <w:tc>
          <w:tcPr>
            <w:tcW w:w="1127" w:type="dxa"/>
          </w:tcPr>
          <w:p w14:paraId="3DB3878F" w14:textId="77777777" w:rsidR="006304EB" w:rsidRPr="005F4649" w:rsidRDefault="006304EB" w:rsidP="006304EB">
            <w:pPr>
              <w:pStyle w:val="TableText"/>
              <w:rPr>
                <w:b/>
                <w:szCs w:val="20"/>
              </w:rPr>
            </w:pPr>
          </w:p>
        </w:tc>
        <w:tc>
          <w:tcPr>
            <w:tcW w:w="1132" w:type="dxa"/>
          </w:tcPr>
          <w:p w14:paraId="2B644920" w14:textId="77777777" w:rsidR="006304EB" w:rsidRPr="005F4649" w:rsidRDefault="006304EB" w:rsidP="00A95965">
            <w:pPr>
              <w:pStyle w:val="TableText"/>
              <w:rPr>
                <w:b/>
                <w:szCs w:val="20"/>
              </w:rPr>
            </w:pPr>
          </w:p>
        </w:tc>
        <w:tc>
          <w:tcPr>
            <w:tcW w:w="971" w:type="dxa"/>
          </w:tcPr>
          <w:p w14:paraId="415611BD" w14:textId="77777777" w:rsidR="006304EB" w:rsidRPr="005F4649" w:rsidRDefault="006304EB" w:rsidP="00A95965">
            <w:pPr>
              <w:pStyle w:val="TableText"/>
              <w:rPr>
                <w:b/>
                <w:szCs w:val="20"/>
              </w:rPr>
            </w:pPr>
          </w:p>
        </w:tc>
        <w:tc>
          <w:tcPr>
            <w:tcW w:w="971" w:type="dxa"/>
          </w:tcPr>
          <w:p w14:paraId="1DF35395" w14:textId="77777777" w:rsidR="006304EB" w:rsidRPr="005F4649" w:rsidRDefault="006304EB" w:rsidP="00A95965">
            <w:pPr>
              <w:pStyle w:val="TableText"/>
              <w:rPr>
                <w:b/>
                <w:szCs w:val="20"/>
              </w:rPr>
            </w:pPr>
          </w:p>
        </w:tc>
        <w:tc>
          <w:tcPr>
            <w:tcW w:w="971" w:type="dxa"/>
          </w:tcPr>
          <w:p w14:paraId="1ADA3F64" w14:textId="77777777" w:rsidR="006304EB" w:rsidRPr="005F4649" w:rsidRDefault="006304EB" w:rsidP="00A95965">
            <w:pPr>
              <w:pStyle w:val="TableText"/>
              <w:rPr>
                <w:b/>
                <w:szCs w:val="20"/>
              </w:rPr>
            </w:pPr>
          </w:p>
        </w:tc>
        <w:tc>
          <w:tcPr>
            <w:tcW w:w="971" w:type="dxa"/>
          </w:tcPr>
          <w:p w14:paraId="41BEA503" w14:textId="77777777" w:rsidR="006304EB" w:rsidRPr="005F4649" w:rsidRDefault="006304EB" w:rsidP="00A95965">
            <w:pPr>
              <w:pStyle w:val="TableText"/>
              <w:rPr>
                <w:b/>
                <w:szCs w:val="20"/>
              </w:rPr>
            </w:pPr>
          </w:p>
        </w:tc>
        <w:tc>
          <w:tcPr>
            <w:tcW w:w="1103" w:type="dxa"/>
          </w:tcPr>
          <w:p w14:paraId="49CD3B15" w14:textId="77777777" w:rsidR="006304EB" w:rsidRDefault="006304EB" w:rsidP="00A95965">
            <w:pPr>
              <w:pStyle w:val="TableText"/>
              <w:rPr>
                <w:b/>
                <w:szCs w:val="20"/>
              </w:rPr>
            </w:pPr>
          </w:p>
        </w:tc>
        <w:tc>
          <w:tcPr>
            <w:tcW w:w="1741" w:type="dxa"/>
          </w:tcPr>
          <w:p w14:paraId="61606A0C" w14:textId="77777777" w:rsidR="006304EB" w:rsidRPr="005F4649" w:rsidRDefault="006304EB" w:rsidP="00A95965">
            <w:pPr>
              <w:pStyle w:val="TableText"/>
              <w:rPr>
                <w:b/>
                <w:szCs w:val="20"/>
              </w:rPr>
            </w:pPr>
          </w:p>
        </w:tc>
      </w:tr>
      <w:tr w:rsidR="006304EB" w14:paraId="6C15B4F9" w14:textId="77777777">
        <w:trPr>
          <w:cantSplit/>
          <w:trHeight w:val="432"/>
        </w:trPr>
        <w:tc>
          <w:tcPr>
            <w:tcW w:w="3973" w:type="dxa"/>
            <w:noWrap/>
          </w:tcPr>
          <w:p w14:paraId="5567798B" w14:textId="77777777" w:rsidR="006304EB" w:rsidRPr="005F4649" w:rsidRDefault="006304EB" w:rsidP="00A95965">
            <w:pPr>
              <w:pStyle w:val="TableText"/>
              <w:rPr>
                <w:b/>
                <w:szCs w:val="20"/>
              </w:rPr>
            </w:pPr>
          </w:p>
        </w:tc>
        <w:tc>
          <w:tcPr>
            <w:tcW w:w="1127" w:type="dxa"/>
          </w:tcPr>
          <w:p w14:paraId="7DAEA7FA" w14:textId="77777777" w:rsidR="006304EB" w:rsidRPr="005F4649" w:rsidRDefault="006304EB" w:rsidP="006304EB">
            <w:pPr>
              <w:pStyle w:val="TableText"/>
              <w:rPr>
                <w:b/>
                <w:szCs w:val="20"/>
              </w:rPr>
            </w:pPr>
          </w:p>
        </w:tc>
        <w:tc>
          <w:tcPr>
            <w:tcW w:w="1132" w:type="dxa"/>
          </w:tcPr>
          <w:p w14:paraId="306F23E6" w14:textId="77777777" w:rsidR="006304EB" w:rsidRPr="005F4649" w:rsidRDefault="006304EB" w:rsidP="00A95965">
            <w:pPr>
              <w:pStyle w:val="TableText"/>
              <w:rPr>
                <w:b/>
                <w:szCs w:val="20"/>
              </w:rPr>
            </w:pPr>
          </w:p>
        </w:tc>
        <w:tc>
          <w:tcPr>
            <w:tcW w:w="971" w:type="dxa"/>
          </w:tcPr>
          <w:p w14:paraId="32C0EE9F" w14:textId="77777777" w:rsidR="006304EB" w:rsidRPr="005F4649" w:rsidRDefault="006304EB" w:rsidP="00A95965">
            <w:pPr>
              <w:pStyle w:val="TableText"/>
              <w:rPr>
                <w:b/>
                <w:szCs w:val="20"/>
              </w:rPr>
            </w:pPr>
          </w:p>
        </w:tc>
        <w:tc>
          <w:tcPr>
            <w:tcW w:w="971" w:type="dxa"/>
          </w:tcPr>
          <w:p w14:paraId="2E8F08DA" w14:textId="77777777" w:rsidR="006304EB" w:rsidRPr="005F4649" w:rsidRDefault="006304EB" w:rsidP="00A95965">
            <w:pPr>
              <w:pStyle w:val="TableText"/>
              <w:rPr>
                <w:b/>
                <w:szCs w:val="20"/>
              </w:rPr>
            </w:pPr>
          </w:p>
        </w:tc>
        <w:tc>
          <w:tcPr>
            <w:tcW w:w="971" w:type="dxa"/>
          </w:tcPr>
          <w:p w14:paraId="40536AC9" w14:textId="77777777" w:rsidR="006304EB" w:rsidRPr="005F4649" w:rsidRDefault="006304EB" w:rsidP="00A95965">
            <w:pPr>
              <w:pStyle w:val="TableText"/>
              <w:rPr>
                <w:b/>
                <w:szCs w:val="20"/>
              </w:rPr>
            </w:pPr>
          </w:p>
        </w:tc>
        <w:tc>
          <w:tcPr>
            <w:tcW w:w="971" w:type="dxa"/>
          </w:tcPr>
          <w:p w14:paraId="5B3487D2" w14:textId="77777777" w:rsidR="006304EB" w:rsidRPr="005F4649" w:rsidRDefault="006304EB" w:rsidP="00A95965">
            <w:pPr>
              <w:pStyle w:val="TableText"/>
              <w:rPr>
                <w:b/>
                <w:szCs w:val="20"/>
              </w:rPr>
            </w:pPr>
          </w:p>
        </w:tc>
        <w:tc>
          <w:tcPr>
            <w:tcW w:w="1103" w:type="dxa"/>
          </w:tcPr>
          <w:p w14:paraId="094B6539" w14:textId="77777777" w:rsidR="006304EB" w:rsidRDefault="006304EB" w:rsidP="00A95965">
            <w:pPr>
              <w:pStyle w:val="TableText"/>
              <w:rPr>
                <w:b/>
                <w:szCs w:val="20"/>
              </w:rPr>
            </w:pPr>
          </w:p>
        </w:tc>
        <w:tc>
          <w:tcPr>
            <w:tcW w:w="1741" w:type="dxa"/>
          </w:tcPr>
          <w:p w14:paraId="2C76FEB2" w14:textId="77777777" w:rsidR="006304EB" w:rsidRPr="005F4649" w:rsidRDefault="006304EB" w:rsidP="00A95965">
            <w:pPr>
              <w:pStyle w:val="TableText"/>
              <w:rPr>
                <w:b/>
                <w:szCs w:val="20"/>
              </w:rPr>
            </w:pPr>
          </w:p>
        </w:tc>
      </w:tr>
      <w:tr w:rsidR="006304EB" w14:paraId="714F72D1" w14:textId="77777777">
        <w:trPr>
          <w:cantSplit/>
          <w:trHeight w:val="432"/>
        </w:trPr>
        <w:tc>
          <w:tcPr>
            <w:tcW w:w="3973" w:type="dxa"/>
            <w:noWrap/>
          </w:tcPr>
          <w:p w14:paraId="17CCAB25" w14:textId="77777777" w:rsidR="006304EB" w:rsidRPr="005F4649" w:rsidRDefault="006304EB" w:rsidP="00A95965">
            <w:pPr>
              <w:pStyle w:val="TableText"/>
              <w:rPr>
                <w:b/>
                <w:szCs w:val="20"/>
              </w:rPr>
            </w:pPr>
          </w:p>
        </w:tc>
        <w:tc>
          <w:tcPr>
            <w:tcW w:w="1127" w:type="dxa"/>
          </w:tcPr>
          <w:p w14:paraId="21CE797E" w14:textId="77777777" w:rsidR="006304EB" w:rsidRPr="005F4649" w:rsidRDefault="006304EB" w:rsidP="006304EB">
            <w:pPr>
              <w:pStyle w:val="TableText"/>
              <w:rPr>
                <w:b/>
                <w:szCs w:val="20"/>
              </w:rPr>
            </w:pPr>
          </w:p>
        </w:tc>
        <w:tc>
          <w:tcPr>
            <w:tcW w:w="1132" w:type="dxa"/>
          </w:tcPr>
          <w:p w14:paraId="0917A274" w14:textId="77777777" w:rsidR="006304EB" w:rsidRPr="005F4649" w:rsidRDefault="006304EB" w:rsidP="00A95965">
            <w:pPr>
              <w:pStyle w:val="TableText"/>
              <w:rPr>
                <w:b/>
                <w:szCs w:val="20"/>
              </w:rPr>
            </w:pPr>
          </w:p>
        </w:tc>
        <w:tc>
          <w:tcPr>
            <w:tcW w:w="971" w:type="dxa"/>
          </w:tcPr>
          <w:p w14:paraId="6AC00126" w14:textId="77777777" w:rsidR="006304EB" w:rsidRPr="005F4649" w:rsidRDefault="006304EB" w:rsidP="00A95965">
            <w:pPr>
              <w:pStyle w:val="TableText"/>
              <w:rPr>
                <w:b/>
                <w:szCs w:val="20"/>
              </w:rPr>
            </w:pPr>
          </w:p>
        </w:tc>
        <w:tc>
          <w:tcPr>
            <w:tcW w:w="971" w:type="dxa"/>
          </w:tcPr>
          <w:p w14:paraId="62F8F3CE" w14:textId="77777777" w:rsidR="006304EB" w:rsidRPr="005F4649" w:rsidRDefault="006304EB" w:rsidP="00A95965">
            <w:pPr>
              <w:pStyle w:val="TableText"/>
              <w:rPr>
                <w:b/>
                <w:szCs w:val="20"/>
              </w:rPr>
            </w:pPr>
          </w:p>
        </w:tc>
        <w:tc>
          <w:tcPr>
            <w:tcW w:w="971" w:type="dxa"/>
          </w:tcPr>
          <w:p w14:paraId="03AE2059" w14:textId="77777777" w:rsidR="006304EB" w:rsidRPr="005F4649" w:rsidRDefault="006304EB" w:rsidP="00A95965">
            <w:pPr>
              <w:pStyle w:val="TableText"/>
              <w:rPr>
                <w:b/>
                <w:szCs w:val="20"/>
              </w:rPr>
            </w:pPr>
          </w:p>
        </w:tc>
        <w:tc>
          <w:tcPr>
            <w:tcW w:w="971" w:type="dxa"/>
          </w:tcPr>
          <w:p w14:paraId="4A1BA922" w14:textId="77777777" w:rsidR="006304EB" w:rsidRPr="005F4649" w:rsidRDefault="006304EB" w:rsidP="00A95965">
            <w:pPr>
              <w:pStyle w:val="TableText"/>
              <w:rPr>
                <w:b/>
                <w:szCs w:val="20"/>
              </w:rPr>
            </w:pPr>
          </w:p>
        </w:tc>
        <w:tc>
          <w:tcPr>
            <w:tcW w:w="1103" w:type="dxa"/>
          </w:tcPr>
          <w:p w14:paraId="22345D0A" w14:textId="77777777" w:rsidR="006304EB" w:rsidRDefault="006304EB" w:rsidP="00A95965">
            <w:pPr>
              <w:pStyle w:val="TableText"/>
              <w:rPr>
                <w:b/>
                <w:szCs w:val="20"/>
              </w:rPr>
            </w:pPr>
          </w:p>
        </w:tc>
        <w:tc>
          <w:tcPr>
            <w:tcW w:w="1741" w:type="dxa"/>
          </w:tcPr>
          <w:p w14:paraId="4DE1FA62" w14:textId="77777777" w:rsidR="006304EB" w:rsidRPr="005F4649" w:rsidRDefault="006304EB" w:rsidP="00A95965">
            <w:pPr>
              <w:pStyle w:val="TableText"/>
              <w:rPr>
                <w:b/>
                <w:szCs w:val="20"/>
              </w:rPr>
            </w:pPr>
          </w:p>
        </w:tc>
      </w:tr>
      <w:tr w:rsidR="006304EB" w14:paraId="33626256" w14:textId="77777777">
        <w:trPr>
          <w:cantSplit/>
          <w:trHeight w:val="432"/>
        </w:trPr>
        <w:tc>
          <w:tcPr>
            <w:tcW w:w="3973" w:type="dxa"/>
            <w:noWrap/>
          </w:tcPr>
          <w:p w14:paraId="0FF4A760" w14:textId="77777777" w:rsidR="006304EB" w:rsidRPr="005F4649" w:rsidRDefault="006304EB" w:rsidP="00A95965">
            <w:pPr>
              <w:pStyle w:val="TableText"/>
              <w:rPr>
                <w:b/>
                <w:szCs w:val="20"/>
              </w:rPr>
            </w:pPr>
          </w:p>
        </w:tc>
        <w:tc>
          <w:tcPr>
            <w:tcW w:w="1127" w:type="dxa"/>
          </w:tcPr>
          <w:p w14:paraId="37C5D3A2" w14:textId="77777777" w:rsidR="006304EB" w:rsidRPr="005F4649" w:rsidRDefault="006304EB" w:rsidP="006304EB">
            <w:pPr>
              <w:pStyle w:val="TableText"/>
              <w:rPr>
                <w:b/>
                <w:szCs w:val="20"/>
              </w:rPr>
            </w:pPr>
          </w:p>
        </w:tc>
        <w:tc>
          <w:tcPr>
            <w:tcW w:w="1132" w:type="dxa"/>
          </w:tcPr>
          <w:p w14:paraId="3B54CBD0" w14:textId="77777777" w:rsidR="006304EB" w:rsidRPr="005F4649" w:rsidRDefault="006304EB" w:rsidP="00A95965">
            <w:pPr>
              <w:pStyle w:val="TableText"/>
              <w:rPr>
                <w:b/>
                <w:szCs w:val="20"/>
              </w:rPr>
            </w:pPr>
          </w:p>
        </w:tc>
        <w:tc>
          <w:tcPr>
            <w:tcW w:w="971" w:type="dxa"/>
          </w:tcPr>
          <w:p w14:paraId="3F1BBBDC" w14:textId="77777777" w:rsidR="006304EB" w:rsidRPr="005F4649" w:rsidRDefault="006304EB" w:rsidP="00A95965">
            <w:pPr>
              <w:pStyle w:val="TableText"/>
              <w:rPr>
                <w:b/>
                <w:szCs w:val="20"/>
              </w:rPr>
            </w:pPr>
          </w:p>
        </w:tc>
        <w:tc>
          <w:tcPr>
            <w:tcW w:w="971" w:type="dxa"/>
          </w:tcPr>
          <w:p w14:paraId="2602C3D6" w14:textId="77777777" w:rsidR="006304EB" w:rsidRPr="005F4649" w:rsidRDefault="006304EB" w:rsidP="00A95965">
            <w:pPr>
              <w:pStyle w:val="TableText"/>
              <w:rPr>
                <w:b/>
                <w:szCs w:val="20"/>
              </w:rPr>
            </w:pPr>
          </w:p>
        </w:tc>
        <w:tc>
          <w:tcPr>
            <w:tcW w:w="971" w:type="dxa"/>
          </w:tcPr>
          <w:p w14:paraId="531FA535" w14:textId="77777777" w:rsidR="006304EB" w:rsidRPr="005F4649" w:rsidRDefault="006304EB" w:rsidP="00A95965">
            <w:pPr>
              <w:pStyle w:val="TableText"/>
              <w:rPr>
                <w:b/>
                <w:szCs w:val="20"/>
              </w:rPr>
            </w:pPr>
          </w:p>
        </w:tc>
        <w:tc>
          <w:tcPr>
            <w:tcW w:w="971" w:type="dxa"/>
          </w:tcPr>
          <w:p w14:paraId="0011D280" w14:textId="77777777" w:rsidR="006304EB" w:rsidRPr="005F4649" w:rsidRDefault="006304EB" w:rsidP="00A95965">
            <w:pPr>
              <w:pStyle w:val="TableText"/>
              <w:rPr>
                <w:b/>
                <w:szCs w:val="20"/>
              </w:rPr>
            </w:pPr>
          </w:p>
        </w:tc>
        <w:tc>
          <w:tcPr>
            <w:tcW w:w="1103" w:type="dxa"/>
          </w:tcPr>
          <w:p w14:paraId="46C52FB9" w14:textId="77777777" w:rsidR="006304EB" w:rsidRDefault="006304EB" w:rsidP="00A95965">
            <w:pPr>
              <w:pStyle w:val="TableText"/>
              <w:rPr>
                <w:b/>
                <w:szCs w:val="20"/>
              </w:rPr>
            </w:pPr>
          </w:p>
        </w:tc>
        <w:tc>
          <w:tcPr>
            <w:tcW w:w="1741" w:type="dxa"/>
          </w:tcPr>
          <w:p w14:paraId="15C4A108" w14:textId="77777777" w:rsidR="006304EB" w:rsidRPr="005F4649" w:rsidRDefault="006304EB" w:rsidP="00A95965">
            <w:pPr>
              <w:pStyle w:val="TableText"/>
              <w:rPr>
                <w:b/>
                <w:szCs w:val="20"/>
              </w:rPr>
            </w:pPr>
          </w:p>
        </w:tc>
      </w:tr>
      <w:tr w:rsidR="006304EB" w14:paraId="3FB535F2" w14:textId="77777777">
        <w:trPr>
          <w:cantSplit/>
          <w:trHeight w:val="432"/>
        </w:trPr>
        <w:tc>
          <w:tcPr>
            <w:tcW w:w="3973" w:type="dxa"/>
            <w:noWrap/>
          </w:tcPr>
          <w:p w14:paraId="60633A15" w14:textId="77777777" w:rsidR="006304EB" w:rsidRPr="005F4649" w:rsidRDefault="006304EB" w:rsidP="00A95965">
            <w:pPr>
              <w:pStyle w:val="TableText"/>
              <w:rPr>
                <w:b/>
                <w:szCs w:val="20"/>
              </w:rPr>
            </w:pPr>
          </w:p>
        </w:tc>
        <w:tc>
          <w:tcPr>
            <w:tcW w:w="1127" w:type="dxa"/>
          </w:tcPr>
          <w:p w14:paraId="59B82459" w14:textId="77777777" w:rsidR="006304EB" w:rsidRPr="005F4649" w:rsidRDefault="006304EB" w:rsidP="006304EB">
            <w:pPr>
              <w:pStyle w:val="TableText"/>
              <w:rPr>
                <w:b/>
                <w:szCs w:val="20"/>
              </w:rPr>
            </w:pPr>
          </w:p>
        </w:tc>
        <w:tc>
          <w:tcPr>
            <w:tcW w:w="1132" w:type="dxa"/>
          </w:tcPr>
          <w:p w14:paraId="085759AE" w14:textId="77777777" w:rsidR="006304EB" w:rsidRPr="005F4649" w:rsidRDefault="006304EB" w:rsidP="00A95965">
            <w:pPr>
              <w:pStyle w:val="TableText"/>
              <w:rPr>
                <w:b/>
                <w:szCs w:val="20"/>
              </w:rPr>
            </w:pPr>
          </w:p>
        </w:tc>
        <w:tc>
          <w:tcPr>
            <w:tcW w:w="971" w:type="dxa"/>
          </w:tcPr>
          <w:p w14:paraId="1A18188B" w14:textId="77777777" w:rsidR="006304EB" w:rsidRPr="005F4649" w:rsidRDefault="006304EB" w:rsidP="00A95965">
            <w:pPr>
              <w:pStyle w:val="TableText"/>
              <w:rPr>
                <w:b/>
                <w:szCs w:val="20"/>
              </w:rPr>
            </w:pPr>
          </w:p>
        </w:tc>
        <w:tc>
          <w:tcPr>
            <w:tcW w:w="971" w:type="dxa"/>
          </w:tcPr>
          <w:p w14:paraId="2972460B" w14:textId="77777777" w:rsidR="006304EB" w:rsidRPr="005F4649" w:rsidRDefault="006304EB" w:rsidP="00A95965">
            <w:pPr>
              <w:pStyle w:val="TableText"/>
              <w:rPr>
                <w:b/>
                <w:szCs w:val="20"/>
              </w:rPr>
            </w:pPr>
          </w:p>
        </w:tc>
        <w:tc>
          <w:tcPr>
            <w:tcW w:w="971" w:type="dxa"/>
          </w:tcPr>
          <w:p w14:paraId="1FF5DAA8" w14:textId="77777777" w:rsidR="006304EB" w:rsidRPr="005F4649" w:rsidRDefault="006304EB" w:rsidP="00A95965">
            <w:pPr>
              <w:pStyle w:val="TableText"/>
              <w:rPr>
                <w:b/>
                <w:szCs w:val="20"/>
              </w:rPr>
            </w:pPr>
          </w:p>
        </w:tc>
        <w:tc>
          <w:tcPr>
            <w:tcW w:w="971" w:type="dxa"/>
          </w:tcPr>
          <w:p w14:paraId="35D21D86" w14:textId="77777777" w:rsidR="006304EB" w:rsidRPr="005F4649" w:rsidRDefault="006304EB" w:rsidP="00A95965">
            <w:pPr>
              <w:pStyle w:val="TableText"/>
              <w:rPr>
                <w:b/>
                <w:szCs w:val="20"/>
              </w:rPr>
            </w:pPr>
          </w:p>
        </w:tc>
        <w:tc>
          <w:tcPr>
            <w:tcW w:w="1103" w:type="dxa"/>
          </w:tcPr>
          <w:p w14:paraId="58C363E3" w14:textId="77777777" w:rsidR="006304EB" w:rsidRDefault="006304EB" w:rsidP="00A95965">
            <w:pPr>
              <w:pStyle w:val="TableText"/>
              <w:rPr>
                <w:b/>
                <w:szCs w:val="20"/>
              </w:rPr>
            </w:pPr>
          </w:p>
        </w:tc>
        <w:tc>
          <w:tcPr>
            <w:tcW w:w="1741" w:type="dxa"/>
          </w:tcPr>
          <w:p w14:paraId="5ADBDCDF" w14:textId="77777777" w:rsidR="006304EB" w:rsidRPr="005F4649" w:rsidRDefault="006304EB" w:rsidP="00A95965">
            <w:pPr>
              <w:pStyle w:val="TableText"/>
              <w:rPr>
                <w:b/>
                <w:szCs w:val="20"/>
              </w:rPr>
            </w:pPr>
          </w:p>
        </w:tc>
      </w:tr>
      <w:tr w:rsidR="006304EB" w14:paraId="04CD2994" w14:textId="77777777">
        <w:trPr>
          <w:cantSplit/>
          <w:trHeight w:val="432"/>
        </w:trPr>
        <w:tc>
          <w:tcPr>
            <w:tcW w:w="3973" w:type="dxa"/>
            <w:noWrap/>
          </w:tcPr>
          <w:p w14:paraId="25E36413" w14:textId="77777777" w:rsidR="006304EB" w:rsidRPr="005F4649" w:rsidRDefault="006304EB" w:rsidP="00A95965">
            <w:pPr>
              <w:pStyle w:val="TableText"/>
              <w:rPr>
                <w:b/>
                <w:szCs w:val="20"/>
              </w:rPr>
            </w:pPr>
          </w:p>
        </w:tc>
        <w:tc>
          <w:tcPr>
            <w:tcW w:w="1127" w:type="dxa"/>
          </w:tcPr>
          <w:p w14:paraId="1F82FA9B" w14:textId="77777777" w:rsidR="006304EB" w:rsidRPr="005F4649" w:rsidRDefault="006304EB" w:rsidP="006304EB">
            <w:pPr>
              <w:pStyle w:val="TableText"/>
              <w:rPr>
                <w:b/>
                <w:szCs w:val="20"/>
              </w:rPr>
            </w:pPr>
          </w:p>
        </w:tc>
        <w:tc>
          <w:tcPr>
            <w:tcW w:w="1132" w:type="dxa"/>
          </w:tcPr>
          <w:p w14:paraId="7ED4CDA4" w14:textId="77777777" w:rsidR="006304EB" w:rsidRPr="005F4649" w:rsidRDefault="006304EB" w:rsidP="00A95965">
            <w:pPr>
              <w:pStyle w:val="TableText"/>
              <w:rPr>
                <w:b/>
                <w:szCs w:val="20"/>
              </w:rPr>
            </w:pPr>
          </w:p>
        </w:tc>
        <w:tc>
          <w:tcPr>
            <w:tcW w:w="971" w:type="dxa"/>
          </w:tcPr>
          <w:p w14:paraId="44E21BC4" w14:textId="77777777" w:rsidR="006304EB" w:rsidRPr="005F4649" w:rsidRDefault="006304EB" w:rsidP="00A95965">
            <w:pPr>
              <w:pStyle w:val="TableText"/>
              <w:rPr>
                <w:b/>
                <w:szCs w:val="20"/>
              </w:rPr>
            </w:pPr>
          </w:p>
        </w:tc>
        <w:tc>
          <w:tcPr>
            <w:tcW w:w="971" w:type="dxa"/>
          </w:tcPr>
          <w:p w14:paraId="31500C8A" w14:textId="77777777" w:rsidR="006304EB" w:rsidRPr="005F4649" w:rsidRDefault="006304EB" w:rsidP="00A95965">
            <w:pPr>
              <w:pStyle w:val="TableText"/>
              <w:rPr>
                <w:b/>
                <w:szCs w:val="20"/>
              </w:rPr>
            </w:pPr>
          </w:p>
        </w:tc>
        <w:tc>
          <w:tcPr>
            <w:tcW w:w="971" w:type="dxa"/>
          </w:tcPr>
          <w:p w14:paraId="66FDD7E8" w14:textId="77777777" w:rsidR="006304EB" w:rsidRPr="005F4649" w:rsidRDefault="006304EB" w:rsidP="00A95965">
            <w:pPr>
              <w:pStyle w:val="TableText"/>
              <w:rPr>
                <w:b/>
                <w:szCs w:val="20"/>
              </w:rPr>
            </w:pPr>
          </w:p>
        </w:tc>
        <w:tc>
          <w:tcPr>
            <w:tcW w:w="971" w:type="dxa"/>
          </w:tcPr>
          <w:p w14:paraId="3350CDF4" w14:textId="77777777" w:rsidR="006304EB" w:rsidRPr="005F4649" w:rsidRDefault="006304EB" w:rsidP="00A95965">
            <w:pPr>
              <w:pStyle w:val="TableText"/>
              <w:rPr>
                <w:b/>
                <w:szCs w:val="20"/>
              </w:rPr>
            </w:pPr>
          </w:p>
        </w:tc>
        <w:tc>
          <w:tcPr>
            <w:tcW w:w="1103" w:type="dxa"/>
          </w:tcPr>
          <w:p w14:paraId="3DF9C7FB" w14:textId="77777777" w:rsidR="006304EB" w:rsidRDefault="006304EB" w:rsidP="00A95965">
            <w:pPr>
              <w:pStyle w:val="TableText"/>
              <w:rPr>
                <w:b/>
                <w:szCs w:val="20"/>
              </w:rPr>
            </w:pPr>
          </w:p>
        </w:tc>
        <w:tc>
          <w:tcPr>
            <w:tcW w:w="1741" w:type="dxa"/>
          </w:tcPr>
          <w:p w14:paraId="3279C6D2" w14:textId="77777777" w:rsidR="006304EB" w:rsidRPr="005F4649" w:rsidRDefault="006304EB" w:rsidP="00A95965">
            <w:pPr>
              <w:pStyle w:val="TableText"/>
              <w:rPr>
                <w:b/>
                <w:szCs w:val="20"/>
              </w:rPr>
            </w:pPr>
          </w:p>
        </w:tc>
      </w:tr>
      <w:tr w:rsidR="006304EB" w14:paraId="2B8332EE" w14:textId="77777777">
        <w:trPr>
          <w:cantSplit/>
          <w:trHeight w:val="432"/>
        </w:trPr>
        <w:tc>
          <w:tcPr>
            <w:tcW w:w="3973" w:type="dxa"/>
            <w:noWrap/>
          </w:tcPr>
          <w:p w14:paraId="4DC0CA96" w14:textId="77777777" w:rsidR="006304EB" w:rsidRPr="005F4649" w:rsidRDefault="006304EB" w:rsidP="00A95965">
            <w:pPr>
              <w:pStyle w:val="TableText"/>
              <w:rPr>
                <w:b/>
                <w:szCs w:val="20"/>
              </w:rPr>
            </w:pPr>
          </w:p>
        </w:tc>
        <w:tc>
          <w:tcPr>
            <w:tcW w:w="1127" w:type="dxa"/>
          </w:tcPr>
          <w:p w14:paraId="7828C2B1" w14:textId="77777777" w:rsidR="006304EB" w:rsidRPr="005F4649" w:rsidRDefault="006304EB" w:rsidP="006304EB">
            <w:pPr>
              <w:pStyle w:val="TableText"/>
              <w:rPr>
                <w:b/>
                <w:szCs w:val="20"/>
              </w:rPr>
            </w:pPr>
          </w:p>
        </w:tc>
        <w:tc>
          <w:tcPr>
            <w:tcW w:w="1132" w:type="dxa"/>
          </w:tcPr>
          <w:p w14:paraId="4EC1F736" w14:textId="77777777" w:rsidR="006304EB" w:rsidRPr="005F4649" w:rsidRDefault="006304EB" w:rsidP="00A95965">
            <w:pPr>
              <w:pStyle w:val="TableText"/>
              <w:rPr>
                <w:b/>
                <w:szCs w:val="20"/>
              </w:rPr>
            </w:pPr>
          </w:p>
        </w:tc>
        <w:tc>
          <w:tcPr>
            <w:tcW w:w="971" w:type="dxa"/>
          </w:tcPr>
          <w:p w14:paraId="0235B6A7" w14:textId="77777777" w:rsidR="006304EB" w:rsidRPr="005F4649" w:rsidRDefault="006304EB" w:rsidP="00A95965">
            <w:pPr>
              <w:pStyle w:val="TableText"/>
              <w:rPr>
                <w:b/>
                <w:szCs w:val="20"/>
              </w:rPr>
            </w:pPr>
          </w:p>
        </w:tc>
        <w:tc>
          <w:tcPr>
            <w:tcW w:w="971" w:type="dxa"/>
          </w:tcPr>
          <w:p w14:paraId="61ACC496" w14:textId="77777777" w:rsidR="006304EB" w:rsidRPr="005F4649" w:rsidRDefault="006304EB" w:rsidP="00A95965">
            <w:pPr>
              <w:pStyle w:val="TableText"/>
              <w:rPr>
                <w:b/>
                <w:szCs w:val="20"/>
              </w:rPr>
            </w:pPr>
          </w:p>
        </w:tc>
        <w:tc>
          <w:tcPr>
            <w:tcW w:w="971" w:type="dxa"/>
          </w:tcPr>
          <w:p w14:paraId="3BFE96DF" w14:textId="77777777" w:rsidR="006304EB" w:rsidRPr="005F4649" w:rsidRDefault="006304EB" w:rsidP="00A95965">
            <w:pPr>
              <w:pStyle w:val="TableText"/>
              <w:rPr>
                <w:b/>
                <w:szCs w:val="20"/>
              </w:rPr>
            </w:pPr>
          </w:p>
        </w:tc>
        <w:tc>
          <w:tcPr>
            <w:tcW w:w="971" w:type="dxa"/>
          </w:tcPr>
          <w:p w14:paraId="30EEB477" w14:textId="77777777" w:rsidR="006304EB" w:rsidRPr="005F4649" w:rsidRDefault="006304EB" w:rsidP="00A95965">
            <w:pPr>
              <w:pStyle w:val="TableText"/>
              <w:rPr>
                <w:b/>
                <w:szCs w:val="20"/>
              </w:rPr>
            </w:pPr>
          </w:p>
        </w:tc>
        <w:tc>
          <w:tcPr>
            <w:tcW w:w="1103" w:type="dxa"/>
          </w:tcPr>
          <w:p w14:paraId="508E0FB2" w14:textId="77777777" w:rsidR="006304EB" w:rsidRDefault="006304EB" w:rsidP="00A95965">
            <w:pPr>
              <w:pStyle w:val="TableText"/>
              <w:rPr>
                <w:b/>
                <w:szCs w:val="20"/>
              </w:rPr>
            </w:pPr>
          </w:p>
        </w:tc>
        <w:tc>
          <w:tcPr>
            <w:tcW w:w="1741" w:type="dxa"/>
          </w:tcPr>
          <w:p w14:paraId="74FD1107" w14:textId="77777777" w:rsidR="006304EB" w:rsidRPr="005F4649" w:rsidRDefault="006304EB" w:rsidP="00A95965">
            <w:pPr>
              <w:pStyle w:val="TableText"/>
              <w:rPr>
                <w:b/>
                <w:szCs w:val="20"/>
              </w:rPr>
            </w:pPr>
          </w:p>
        </w:tc>
      </w:tr>
      <w:tr w:rsidR="006304EB" w14:paraId="000F378F" w14:textId="77777777">
        <w:trPr>
          <w:cantSplit/>
          <w:trHeight w:val="432"/>
        </w:trPr>
        <w:tc>
          <w:tcPr>
            <w:tcW w:w="3973" w:type="dxa"/>
            <w:noWrap/>
          </w:tcPr>
          <w:p w14:paraId="634591D3" w14:textId="77777777" w:rsidR="006304EB" w:rsidRPr="005F4649" w:rsidRDefault="006304EB" w:rsidP="00A95965">
            <w:pPr>
              <w:pStyle w:val="TableText"/>
              <w:rPr>
                <w:b/>
                <w:szCs w:val="20"/>
              </w:rPr>
            </w:pPr>
          </w:p>
        </w:tc>
        <w:tc>
          <w:tcPr>
            <w:tcW w:w="1127" w:type="dxa"/>
          </w:tcPr>
          <w:p w14:paraId="7EF842C9" w14:textId="77777777" w:rsidR="006304EB" w:rsidRPr="005F4649" w:rsidRDefault="006304EB" w:rsidP="006304EB">
            <w:pPr>
              <w:pStyle w:val="TableText"/>
              <w:rPr>
                <w:b/>
                <w:szCs w:val="20"/>
              </w:rPr>
            </w:pPr>
          </w:p>
        </w:tc>
        <w:tc>
          <w:tcPr>
            <w:tcW w:w="1132" w:type="dxa"/>
          </w:tcPr>
          <w:p w14:paraId="152711E2" w14:textId="77777777" w:rsidR="006304EB" w:rsidRPr="005F4649" w:rsidRDefault="006304EB" w:rsidP="00A95965">
            <w:pPr>
              <w:pStyle w:val="TableText"/>
              <w:rPr>
                <w:b/>
                <w:szCs w:val="20"/>
              </w:rPr>
            </w:pPr>
          </w:p>
        </w:tc>
        <w:tc>
          <w:tcPr>
            <w:tcW w:w="971" w:type="dxa"/>
          </w:tcPr>
          <w:p w14:paraId="16E5BE21" w14:textId="77777777" w:rsidR="006304EB" w:rsidRPr="005F4649" w:rsidRDefault="006304EB" w:rsidP="00A95965">
            <w:pPr>
              <w:pStyle w:val="TableText"/>
              <w:rPr>
                <w:b/>
                <w:szCs w:val="20"/>
              </w:rPr>
            </w:pPr>
          </w:p>
        </w:tc>
        <w:tc>
          <w:tcPr>
            <w:tcW w:w="971" w:type="dxa"/>
          </w:tcPr>
          <w:p w14:paraId="06BBC638" w14:textId="77777777" w:rsidR="006304EB" w:rsidRPr="005F4649" w:rsidRDefault="006304EB" w:rsidP="00A95965">
            <w:pPr>
              <w:pStyle w:val="TableText"/>
              <w:rPr>
                <w:b/>
                <w:szCs w:val="20"/>
              </w:rPr>
            </w:pPr>
          </w:p>
        </w:tc>
        <w:tc>
          <w:tcPr>
            <w:tcW w:w="971" w:type="dxa"/>
          </w:tcPr>
          <w:p w14:paraId="6CAFF7BB" w14:textId="77777777" w:rsidR="006304EB" w:rsidRPr="005F4649" w:rsidRDefault="006304EB" w:rsidP="00A95965">
            <w:pPr>
              <w:pStyle w:val="TableText"/>
              <w:rPr>
                <w:b/>
                <w:szCs w:val="20"/>
              </w:rPr>
            </w:pPr>
          </w:p>
        </w:tc>
        <w:tc>
          <w:tcPr>
            <w:tcW w:w="971" w:type="dxa"/>
          </w:tcPr>
          <w:p w14:paraId="35BFB346" w14:textId="77777777" w:rsidR="006304EB" w:rsidRPr="005F4649" w:rsidRDefault="006304EB" w:rsidP="00A95965">
            <w:pPr>
              <w:pStyle w:val="TableText"/>
              <w:rPr>
                <w:b/>
                <w:szCs w:val="20"/>
              </w:rPr>
            </w:pPr>
          </w:p>
        </w:tc>
        <w:tc>
          <w:tcPr>
            <w:tcW w:w="1103" w:type="dxa"/>
          </w:tcPr>
          <w:p w14:paraId="164D6577" w14:textId="77777777" w:rsidR="006304EB" w:rsidRDefault="006304EB" w:rsidP="00A95965">
            <w:pPr>
              <w:pStyle w:val="TableText"/>
              <w:rPr>
                <w:b/>
                <w:szCs w:val="20"/>
              </w:rPr>
            </w:pPr>
          </w:p>
        </w:tc>
        <w:tc>
          <w:tcPr>
            <w:tcW w:w="1741" w:type="dxa"/>
          </w:tcPr>
          <w:p w14:paraId="323A4253" w14:textId="77777777" w:rsidR="006304EB" w:rsidRPr="005F4649" w:rsidRDefault="006304EB" w:rsidP="00A95965">
            <w:pPr>
              <w:pStyle w:val="TableText"/>
              <w:rPr>
                <w:b/>
                <w:szCs w:val="20"/>
              </w:rPr>
            </w:pPr>
          </w:p>
        </w:tc>
      </w:tr>
      <w:tr w:rsidR="006304EB" w14:paraId="43198127" w14:textId="77777777">
        <w:trPr>
          <w:cantSplit/>
          <w:trHeight w:val="432"/>
        </w:trPr>
        <w:tc>
          <w:tcPr>
            <w:tcW w:w="3973" w:type="dxa"/>
            <w:noWrap/>
          </w:tcPr>
          <w:p w14:paraId="62D30E69" w14:textId="77777777" w:rsidR="006304EB" w:rsidRPr="005F4649" w:rsidRDefault="006304EB" w:rsidP="00A95965">
            <w:pPr>
              <w:pStyle w:val="TableText"/>
              <w:rPr>
                <w:b/>
                <w:szCs w:val="20"/>
              </w:rPr>
            </w:pPr>
          </w:p>
        </w:tc>
        <w:tc>
          <w:tcPr>
            <w:tcW w:w="1127" w:type="dxa"/>
          </w:tcPr>
          <w:p w14:paraId="55DCCB74" w14:textId="77777777" w:rsidR="006304EB" w:rsidRPr="005F4649" w:rsidRDefault="006304EB" w:rsidP="006304EB">
            <w:pPr>
              <w:pStyle w:val="TableText"/>
              <w:rPr>
                <w:b/>
                <w:szCs w:val="20"/>
              </w:rPr>
            </w:pPr>
          </w:p>
        </w:tc>
        <w:tc>
          <w:tcPr>
            <w:tcW w:w="1132" w:type="dxa"/>
          </w:tcPr>
          <w:p w14:paraId="12760B8B" w14:textId="77777777" w:rsidR="006304EB" w:rsidRPr="005F4649" w:rsidRDefault="006304EB" w:rsidP="00A95965">
            <w:pPr>
              <w:pStyle w:val="TableText"/>
              <w:rPr>
                <w:b/>
                <w:szCs w:val="20"/>
              </w:rPr>
            </w:pPr>
          </w:p>
        </w:tc>
        <w:tc>
          <w:tcPr>
            <w:tcW w:w="971" w:type="dxa"/>
          </w:tcPr>
          <w:p w14:paraId="55A58446" w14:textId="77777777" w:rsidR="006304EB" w:rsidRPr="005F4649" w:rsidRDefault="006304EB" w:rsidP="00A95965">
            <w:pPr>
              <w:pStyle w:val="TableText"/>
              <w:rPr>
                <w:b/>
                <w:szCs w:val="20"/>
              </w:rPr>
            </w:pPr>
          </w:p>
        </w:tc>
        <w:tc>
          <w:tcPr>
            <w:tcW w:w="971" w:type="dxa"/>
          </w:tcPr>
          <w:p w14:paraId="49D054C9" w14:textId="77777777" w:rsidR="006304EB" w:rsidRPr="005F4649" w:rsidRDefault="006304EB" w:rsidP="00A95965">
            <w:pPr>
              <w:pStyle w:val="TableText"/>
              <w:rPr>
                <w:b/>
                <w:szCs w:val="20"/>
              </w:rPr>
            </w:pPr>
          </w:p>
        </w:tc>
        <w:tc>
          <w:tcPr>
            <w:tcW w:w="971" w:type="dxa"/>
          </w:tcPr>
          <w:p w14:paraId="58517750" w14:textId="77777777" w:rsidR="006304EB" w:rsidRPr="005F4649" w:rsidRDefault="006304EB" w:rsidP="00A95965">
            <w:pPr>
              <w:pStyle w:val="TableText"/>
              <w:rPr>
                <w:b/>
                <w:szCs w:val="20"/>
              </w:rPr>
            </w:pPr>
          </w:p>
        </w:tc>
        <w:tc>
          <w:tcPr>
            <w:tcW w:w="971" w:type="dxa"/>
          </w:tcPr>
          <w:p w14:paraId="485B1F2A" w14:textId="77777777" w:rsidR="006304EB" w:rsidRPr="005F4649" w:rsidRDefault="006304EB" w:rsidP="00A95965">
            <w:pPr>
              <w:pStyle w:val="TableText"/>
              <w:rPr>
                <w:b/>
                <w:szCs w:val="20"/>
              </w:rPr>
            </w:pPr>
          </w:p>
        </w:tc>
        <w:tc>
          <w:tcPr>
            <w:tcW w:w="1103" w:type="dxa"/>
          </w:tcPr>
          <w:p w14:paraId="6AC765B2" w14:textId="77777777" w:rsidR="006304EB" w:rsidRDefault="006304EB" w:rsidP="00A95965">
            <w:pPr>
              <w:pStyle w:val="TableText"/>
              <w:rPr>
                <w:b/>
                <w:szCs w:val="20"/>
              </w:rPr>
            </w:pPr>
          </w:p>
        </w:tc>
        <w:tc>
          <w:tcPr>
            <w:tcW w:w="1741" w:type="dxa"/>
          </w:tcPr>
          <w:p w14:paraId="7E955CE4" w14:textId="77777777" w:rsidR="006304EB" w:rsidRPr="005F4649" w:rsidRDefault="006304EB" w:rsidP="00A95965">
            <w:pPr>
              <w:pStyle w:val="TableText"/>
              <w:rPr>
                <w:b/>
                <w:szCs w:val="20"/>
              </w:rPr>
            </w:pPr>
          </w:p>
        </w:tc>
      </w:tr>
      <w:tr w:rsidR="006304EB" w14:paraId="79A0BBD2" w14:textId="77777777">
        <w:trPr>
          <w:cantSplit/>
          <w:trHeight w:val="432"/>
        </w:trPr>
        <w:tc>
          <w:tcPr>
            <w:tcW w:w="3973" w:type="dxa"/>
            <w:noWrap/>
          </w:tcPr>
          <w:p w14:paraId="447C856B" w14:textId="77777777" w:rsidR="006304EB" w:rsidRPr="005F4649" w:rsidRDefault="006304EB" w:rsidP="00A95965">
            <w:pPr>
              <w:pStyle w:val="TableText"/>
              <w:rPr>
                <w:b/>
                <w:szCs w:val="20"/>
              </w:rPr>
            </w:pPr>
          </w:p>
        </w:tc>
        <w:tc>
          <w:tcPr>
            <w:tcW w:w="1127" w:type="dxa"/>
          </w:tcPr>
          <w:p w14:paraId="781721F3" w14:textId="77777777" w:rsidR="006304EB" w:rsidRPr="005F4649" w:rsidRDefault="006304EB" w:rsidP="006304EB">
            <w:pPr>
              <w:pStyle w:val="TableText"/>
              <w:rPr>
                <w:b/>
                <w:szCs w:val="20"/>
              </w:rPr>
            </w:pPr>
          </w:p>
        </w:tc>
        <w:tc>
          <w:tcPr>
            <w:tcW w:w="1132" w:type="dxa"/>
          </w:tcPr>
          <w:p w14:paraId="2A7E5D71" w14:textId="77777777" w:rsidR="006304EB" w:rsidRPr="005F4649" w:rsidRDefault="006304EB" w:rsidP="00A95965">
            <w:pPr>
              <w:pStyle w:val="TableText"/>
              <w:rPr>
                <w:b/>
                <w:szCs w:val="20"/>
              </w:rPr>
            </w:pPr>
          </w:p>
        </w:tc>
        <w:tc>
          <w:tcPr>
            <w:tcW w:w="971" w:type="dxa"/>
          </w:tcPr>
          <w:p w14:paraId="4CD37CC2" w14:textId="77777777" w:rsidR="006304EB" w:rsidRPr="005F4649" w:rsidRDefault="006304EB" w:rsidP="00A95965">
            <w:pPr>
              <w:pStyle w:val="TableText"/>
              <w:rPr>
                <w:b/>
                <w:szCs w:val="20"/>
              </w:rPr>
            </w:pPr>
          </w:p>
        </w:tc>
        <w:tc>
          <w:tcPr>
            <w:tcW w:w="971" w:type="dxa"/>
          </w:tcPr>
          <w:p w14:paraId="68660DF8" w14:textId="77777777" w:rsidR="006304EB" w:rsidRPr="005F4649" w:rsidRDefault="006304EB" w:rsidP="00A95965">
            <w:pPr>
              <w:pStyle w:val="TableText"/>
              <w:rPr>
                <w:b/>
                <w:szCs w:val="20"/>
              </w:rPr>
            </w:pPr>
          </w:p>
        </w:tc>
        <w:tc>
          <w:tcPr>
            <w:tcW w:w="971" w:type="dxa"/>
          </w:tcPr>
          <w:p w14:paraId="2E32C7B9" w14:textId="77777777" w:rsidR="006304EB" w:rsidRPr="005F4649" w:rsidRDefault="006304EB" w:rsidP="00A95965">
            <w:pPr>
              <w:pStyle w:val="TableText"/>
              <w:rPr>
                <w:b/>
                <w:szCs w:val="20"/>
              </w:rPr>
            </w:pPr>
          </w:p>
        </w:tc>
        <w:tc>
          <w:tcPr>
            <w:tcW w:w="971" w:type="dxa"/>
          </w:tcPr>
          <w:p w14:paraId="6D24DBDF" w14:textId="77777777" w:rsidR="006304EB" w:rsidRPr="005F4649" w:rsidRDefault="006304EB" w:rsidP="00A95965">
            <w:pPr>
              <w:pStyle w:val="TableText"/>
              <w:rPr>
                <w:b/>
                <w:szCs w:val="20"/>
              </w:rPr>
            </w:pPr>
          </w:p>
        </w:tc>
        <w:tc>
          <w:tcPr>
            <w:tcW w:w="1103" w:type="dxa"/>
          </w:tcPr>
          <w:p w14:paraId="3A13E7C8" w14:textId="77777777" w:rsidR="006304EB" w:rsidRDefault="006304EB" w:rsidP="00A95965">
            <w:pPr>
              <w:pStyle w:val="TableText"/>
              <w:rPr>
                <w:b/>
                <w:szCs w:val="20"/>
              </w:rPr>
            </w:pPr>
          </w:p>
        </w:tc>
        <w:tc>
          <w:tcPr>
            <w:tcW w:w="1741" w:type="dxa"/>
          </w:tcPr>
          <w:p w14:paraId="28AFC18B" w14:textId="77777777" w:rsidR="006304EB" w:rsidRPr="005F4649" w:rsidRDefault="006304EB" w:rsidP="00A95965">
            <w:pPr>
              <w:pStyle w:val="TableText"/>
              <w:rPr>
                <w:b/>
                <w:szCs w:val="20"/>
              </w:rPr>
            </w:pPr>
          </w:p>
        </w:tc>
      </w:tr>
    </w:tbl>
    <w:p w14:paraId="26526EB0" w14:textId="77777777" w:rsidR="00E7240A" w:rsidRDefault="00E7240A" w:rsidP="00E7240A">
      <w:pPr>
        <w:pStyle w:val="Heading3"/>
      </w:pPr>
      <w:bookmarkStart w:id="604" w:name="_Toc4588861"/>
      <w:r>
        <w:lastRenderedPageBreak/>
        <w:t>Unit Issue and Inspection Log</w:t>
      </w:r>
      <w:bookmarkEnd w:id="604"/>
      <w:r w:rsidR="00246F04">
        <w:fldChar w:fldCharType="begin"/>
      </w:r>
      <w:r w:rsidR="00246F04">
        <w:instrText xml:space="preserve"> XE "</w:instrText>
      </w:r>
      <w:r w:rsidR="00246F04" w:rsidRPr="003C3810">
        <w:instrText>Unit Issue and Inspection Log</w:instrText>
      </w:r>
      <w:r w:rsidR="00246F04">
        <w:instrText xml:space="preserve">" </w:instrText>
      </w:r>
      <w:r w:rsidR="00246F04">
        <w:fldChar w:fldCharType="end"/>
      </w:r>
      <w:r w:rsidR="00A95965">
        <w:fldChar w:fldCharType="begin"/>
      </w:r>
      <w:r w:rsidR="00A95965">
        <w:instrText xml:space="preserve"> XE “Forms:Unit Issue and Inspection Log” </w:instrText>
      </w:r>
      <w:r w:rsidR="00A95965">
        <w:fldChar w:fldCharType="end"/>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2290"/>
        <w:gridCol w:w="897"/>
        <w:gridCol w:w="797"/>
        <w:gridCol w:w="835"/>
        <w:gridCol w:w="905"/>
        <w:gridCol w:w="1357"/>
        <w:gridCol w:w="747"/>
        <w:gridCol w:w="708"/>
        <w:gridCol w:w="1026"/>
      </w:tblGrid>
      <w:tr w:rsidR="003F4F8B" w14:paraId="4A5C6A2D" w14:textId="77777777">
        <w:tc>
          <w:tcPr>
            <w:tcW w:w="12960" w:type="dxa"/>
            <w:gridSpan w:val="10"/>
          </w:tcPr>
          <w:p w14:paraId="436D121B" w14:textId="77777777" w:rsidR="003F4F8B" w:rsidRPr="003F4F8B" w:rsidRDefault="003F4F8B" w:rsidP="003F4F8B">
            <w:pPr>
              <w:pStyle w:val="TableText"/>
            </w:pPr>
            <w:r w:rsidRPr="00887834">
              <w:rPr>
                <w:b/>
              </w:rPr>
              <w:t xml:space="preserve">Facility Name: </w:t>
            </w:r>
          </w:p>
        </w:tc>
      </w:tr>
      <w:tr w:rsidR="003F4F8B" w14:paraId="0F9B9232" w14:textId="77777777">
        <w:tc>
          <w:tcPr>
            <w:tcW w:w="12960" w:type="dxa"/>
            <w:gridSpan w:val="10"/>
          </w:tcPr>
          <w:p w14:paraId="56622E6B" w14:textId="77777777" w:rsidR="003F4F8B" w:rsidRPr="003F4F8B" w:rsidRDefault="003F4F8B" w:rsidP="003F4F8B">
            <w:pPr>
              <w:pStyle w:val="TableText"/>
            </w:pPr>
            <w:r w:rsidRPr="00887834">
              <w:rPr>
                <w:b/>
              </w:rPr>
              <w:t xml:space="preserve">Address: </w:t>
            </w:r>
          </w:p>
        </w:tc>
      </w:tr>
      <w:tr w:rsidR="003F4F8B" w14:paraId="7A99D548" w14:textId="77777777">
        <w:tc>
          <w:tcPr>
            <w:tcW w:w="12960" w:type="dxa"/>
            <w:gridSpan w:val="10"/>
          </w:tcPr>
          <w:p w14:paraId="5E443B0A" w14:textId="77777777" w:rsidR="003F4F8B" w:rsidRPr="003F4F8B" w:rsidRDefault="003F4F8B" w:rsidP="003F4F8B">
            <w:pPr>
              <w:pStyle w:val="TableText"/>
            </w:pPr>
            <w:r w:rsidRPr="00887834">
              <w:rPr>
                <w:b/>
              </w:rPr>
              <w:t>City, State, Zip Code:</w:t>
            </w:r>
            <w:r>
              <w:t xml:space="preserve"> </w:t>
            </w:r>
          </w:p>
        </w:tc>
      </w:tr>
      <w:tr w:rsidR="00695EBA" w14:paraId="54FBB575"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230"/>
          <w:tblHeader/>
        </w:trPr>
        <w:tc>
          <w:tcPr>
            <w:tcW w:w="3398" w:type="dxa"/>
            <w:vMerge w:val="restart"/>
            <w:shd w:val="clear" w:color="auto" w:fill="B3B3B3"/>
            <w:noWrap/>
          </w:tcPr>
          <w:p w14:paraId="7A982583" w14:textId="77777777" w:rsidR="00695EBA" w:rsidRPr="003521C6" w:rsidRDefault="00695EBA" w:rsidP="00F72DE4">
            <w:pPr>
              <w:pStyle w:val="TableText"/>
              <w:rPr>
                <w:b/>
                <w:szCs w:val="20"/>
              </w:rPr>
            </w:pPr>
            <w:r w:rsidRPr="003521C6">
              <w:rPr>
                <w:b/>
                <w:szCs w:val="20"/>
              </w:rPr>
              <w:t>Patient Last Name</w:t>
            </w:r>
            <w:r>
              <w:rPr>
                <w:b/>
                <w:szCs w:val="20"/>
              </w:rPr>
              <w:t>, Last Four Digits</w:t>
            </w:r>
            <w:r w:rsidRPr="003521C6">
              <w:rPr>
                <w:b/>
                <w:szCs w:val="20"/>
              </w:rPr>
              <w:t xml:space="preserve"> of SSN</w:t>
            </w:r>
          </w:p>
        </w:tc>
        <w:tc>
          <w:tcPr>
            <w:tcW w:w="2290" w:type="dxa"/>
            <w:vMerge w:val="restart"/>
            <w:shd w:val="clear" w:color="auto" w:fill="B3B3B3"/>
          </w:tcPr>
          <w:p w14:paraId="39E40442" w14:textId="77777777" w:rsidR="00695EBA" w:rsidRPr="003521C6" w:rsidRDefault="00695EBA" w:rsidP="00F72DE4">
            <w:pPr>
              <w:pStyle w:val="TableText"/>
              <w:rPr>
                <w:b/>
                <w:szCs w:val="20"/>
              </w:rPr>
            </w:pPr>
            <w:r w:rsidRPr="003521C6">
              <w:rPr>
                <w:b/>
                <w:szCs w:val="20"/>
              </w:rPr>
              <w:t>Unit Number</w:t>
            </w:r>
          </w:p>
        </w:tc>
        <w:tc>
          <w:tcPr>
            <w:tcW w:w="897" w:type="dxa"/>
            <w:vMerge w:val="restart"/>
            <w:shd w:val="clear" w:color="auto" w:fill="B3B3B3"/>
          </w:tcPr>
          <w:p w14:paraId="7B842094" w14:textId="77777777" w:rsidR="00695EBA" w:rsidRPr="003521C6" w:rsidRDefault="00695EBA" w:rsidP="00F72DE4">
            <w:pPr>
              <w:pStyle w:val="TableText"/>
              <w:rPr>
                <w:b/>
                <w:szCs w:val="20"/>
              </w:rPr>
            </w:pPr>
            <w:r>
              <w:rPr>
                <w:b/>
                <w:szCs w:val="20"/>
              </w:rPr>
              <w:t>Product Code</w:t>
            </w:r>
          </w:p>
        </w:tc>
        <w:tc>
          <w:tcPr>
            <w:tcW w:w="797" w:type="dxa"/>
            <w:vMerge w:val="restart"/>
            <w:shd w:val="clear" w:color="auto" w:fill="B3B3B3"/>
          </w:tcPr>
          <w:p w14:paraId="16E2CE58" w14:textId="77777777" w:rsidR="00695EBA" w:rsidRPr="003521C6" w:rsidRDefault="00695EBA" w:rsidP="00F72DE4">
            <w:pPr>
              <w:pStyle w:val="TableText"/>
              <w:rPr>
                <w:b/>
                <w:szCs w:val="20"/>
              </w:rPr>
            </w:pPr>
            <w:r w:rsidRPr="003521C6">
              <w:rPr>
                <w:b/>
                <w:szCs w:val="20"/>
              </w:rPr>
              <w:t>Date</w:t>
            </w:r>
          </w:p>
        </w:tc>
        <w:tc>
          <w:tcPr>
            <w:tcW w:w="1740" w:type="dxa"/>
            <w:gridSpan w:val="2"/>
            <w:tcBorders>
              <w:bottom w:val="single" w:sz="2" w:space="0" w:color="auto"/>
            </w:tcBorders>
            <w:shd w:val="clear" w:color="auto" w:fill="B3B3B3"/>
          </w:tcPr>
          <w:p w14:paraId="1612D41F" w14:textId="77777777" w:rsidR="00695EBA" w:rsidRPr="003521C6" w:rsidRDefault="00695EBA" w:rsidP="00F72DE4">
            <w:pPr>
              <w:pStyle w:val="TableText"/>
              <w:rPr>
                <w:b/>
                <w:szCs w:val="20"/>
              </w:rPr>
            </w:pPr>
            <w:r w:rsidRPr="003521C6">
              <w:rPr>
                <w:b/>
                <w:szCs w:val="20"/>
              </w:rPr>
              <w:t>Time</w:t>
            </w:r>
          </w:p>
        </w:tc>
        <w:tc>
          <w:tcPr>
            <w:tcW w:w="1357" w:type="dxa"/>
            <w:vMerge w:val="restart"/>
            <w:shd w:val="clear" w:color="auto" w:fill="B3B3B3"/>
          </w:tcPr>
          <w:p w14:paraId="6B606E0B" w14:textId="77777777" w:rsidR="00695EBA" w:rsidRPr="003521C6" w:rsidRDefault="00695EBA" w:rsidP="00F72DE4">
            <w:pPr>
              <w:pStyle w:val="TableText"/>
              <w:rPr>
                <w:b/>
                <w:szCs w:val="20"/>
              </w:rPr>
            </w:pPr>
            <w:r>
              <w:rPr>
                <w:b/>
                <w:szCs w:val="20"/>
              </w:rPr>
              <w:t xml:space="preserve">Unit </w:t>
            </w:r>
            <w:r w:rsidRPr="003521C6">
              <w:rPr>
                <w:b/>
                <w:szCs w:val="20"/>
              </w:rPr>
              <w:t>Satisfactory</w:t>
            </w:r>
            <w:r>
              <w:rPr>
                <w:b/>
                <w:szCs w:val="20"/>
              </w:rPr>
              <w:t>?</w:t>
            </w:r>
          </w:p>
          <w:p w14:paraId="6D6A9275" w14:textId="77777777" w:rsidR="00695EBA" w:rsidRPr="003521C6" w:rsidRDefault="00695EBA" w:rsidP="00F72DE4">
            <w:pPr>
              <w:pStyle w:val="TableText"/>
              <w:rPr>
                <w:b/>
                <w:szCs w:val="20"/>
              </w:rPr>
            </w:pPr>
            <w:r w:rsidRPr="003521C6">
              <w:rPr>
                <w:b/>
                <w:szCs w:val="20"/>
              </w:rPr>
              <w:t>(Yes</w:t>
            </w:r>
            <w:r>
              <w:rPr>
                <w:b/>
                <w:szCs w:val="20"/>
              </w:rPr>
              <w:t>,</w:t>
            </w:r>
            <w:r w:rsidRPr="003521C6">
              <w:rPr>
                <w:b/>
                <w:szCs w:val="20"/>
              </w:rPr>
              <w:t xml:space="preserve"> No)</w:t>
            </w:r>
          </w:p>
        </w:tc>
        <w:tc>
          <w:tcPr>
            <w:tcW w:w="747" w:type="dxa"/>
            <w:vMerge w:val="restart"/>
            <w:shd w:val="clear" w:color="auto" w:fill="B3B3B3"/>
          </w:tcPr>
          <w:p w14:paraId="2C817317" w14:textId="77777777" w:rsidR="00695EBA" w:rsidRPr="003521C6" w:rsidRDefault="00695EBA" w:rsidP="00F72DE4">
            <w:pPr>
              <w:pStyle w:val="TableText"/>
              <w:rPr>
                <w:b/>
                <w:szCs w:val="20"/>
              </w:rPr>
            </w:pPr>
            <w:r w:rsidRPr="003521C6">
              <w:rPr>
                <w:b/>
                <w:szCs w:val="20"/>
              </w:rPr>
              <w:t>Ward</w:t>
            </w:r>
          </w:p>
        </w:tc>
        <w:tc>
          <w:tcPr>
            <w:tcW w:w="708" w:type="dxa"/>
            <w:vMerge w:val="restart"/>
            <w:shd w:val="clear" w:color="auto" w:fill="B3B3B3"/>
          </w:tcPr>
          <w:p w14:paraId="7D28F213" w14:textId="77777777" w:rsidR="00695EBA" w:rsidRPr="003521C6" w:rsidRDefault="00695EBA" w:rsidP="00F72DE4">
            <w:pPr>
              <w:pStyle w:val="TableText"/>
              <w:rPr>
                <w:b/>
                <w:szCs w:val="20"/>
              </w:rPr>
            </w:pPr>
            <w:r w:rsidRPr="003521C6">
              <w:rPr>
                <w:b/>
                <w:szCs w:val="20"/>
              </w:rPr>
              <w:t>Tech</w:t>
            </w:r>
          </w:p>
        </w:tc>
        <w:tc>
          <w:tcPr>
            <w:tcW w:w="1026" w:type="dxa"/>
            <w:vMerge w:val="restart"/>
            <w:shd w:val="clear" w:color="auto" w:fill="B3B3B3"/>
          </w:tcPr>
          <w:p w14:paraId="26DBB000" w14:textId="77777777" w:rsidR="00695EBA" w:rsidRPr="003521C6" w:rsidRDefault="00695EBA" w:rsidP="00F72DE4">
            <w:pPr>
              <w:pStyle w:val="TableText"/>
              <w:rPr>
                <w:b/>
                <w:szCs w:val="20"/>
              </w:rPr>
            </w:pPr>
            <w:r w:rsidRPr="003521C6">
              <w:rPr>
                <w:b/>
                <w:szCs w:val="20"/>
              </w:rPr>
              <w:t>Issued To</w:t>
            </w:r>
            <w:r>
              <w:rPr>
                <w:b/>
                <w:szCs w:val="20"/>
              </w:rPr>
              <w:t>:</w:t>
            </w:r>
          </w:p>
        </w:tc>
      </w:tr>
      <w:tr w:rsidR="00695EBA" w14:paraId="11501E35"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230"/>
          <w:tblHeader/>
        </w:trPr>
        <w:tc>
          <w:tcPr>
            <w:tcW w:w="3398" w:type="dxa"/>
            <w:vMerge/>
            <w:noWrap/>
          </w:tcPr>
          <w:p w14:paraId="576D31F4" w14:textId="77777777" w:rsidR="00695EBA" w:rsidRDefault="00695EBA" w:rsidP="00F72DE4">
            <w:pPr>
              <w:pStyle w:val="TableText"/>
              <w:rPr>
                <w:szCs w:val="20"/>
              </w:rPr>
            </w:pPr>
          </w:p>
        </w:tc>
        <w:tc>
          <w:tcPr>
            <w:tcW w:w="2290" w:type="dxa"/>
            <w:vMerge/>
          </w:tcPr>
          <w:p w14:paraId="13223F6D" w14:textId="77777777" w:rsidR="00695EBA" w:rsidRDefault="00695EBA" w:rsidP="00F72DE4">
            <w:pPr>
              <w:pStyle w:val="TableText"/>
              <w:rPr>
                <w:szCs w:val="20"/>
              </w:rPr>
            </w:pPr>
          </w:p>
        </w:tc>
        <w:tc>
          <w:tcPr>
            <w:tcW w:w="897" w:type="dxa"/>
            <w:vMerge/>
          </w:tcPr>
          <w:p w14:paraId="23E7EDA6" w14:textId="77777777" w:rsidR="00695EBA" w:rsidRDefault="00695EBA" w:rsidP="00F72DE4">
            <w:pPr>
              <w:pStyle w:val="TableText"/>
              <w:rPr>
                <w:szCs w:val="20"/>
              </w:rPr>
            </w:pPr>
          </w:p>
        </w:tc>
        <w:tc>
          <w:tcPr>
            <w:tcW w:w="797" w:type="dxa"/>
            <w:vMerge/>
          </w:tcPr>
          <w:p w14:paraId="1394C3DD" w14:textId="77777777" w:rsidR="00695EBA" w:rsidRDefault="00695EBA" w:rsidP="00F72DE4">
            <w:pPr>
              <w:pStyle w:val="TableText"/>
              <w:rPr>
                <w:szCs w:val="20"/>
              </w:rPr>
            </w:pPr>
          </w:p>
        </w:tc>
        <w:tc>
          <w:tcPr>
            <w:tcW w:w="835" w:type="dxa"/>
            <w:shd w:val="clear" w:color="auto" w:fill="B3B3B3"/>
          </w:tcPr>
          <w:p w14:paraId="4D2A9E7F" w14:textId="77777777" w:rsidR="00695EBA" w:rsidRPr="003521C6" w:rsidRDefault="00695EBA" w:rsidP="00F72DE4">
            <w:pPr>
              <w:pStyle w:val="TableText"/>
              <w:rPr>
                <w:b/>
                <w:szCs w:val="20"/>
              </w:rPr>
            </w:pPr>
            <w:r w:rsidRPr="003521C6">
              <w:rPr>
                <w:b/>
                <w:szCs w:val="20"/>
              </w:rPr>
              <w:t>Issue</w:t>
            </w:r>
          </w:p>
        </w:tc>
        <w:tc>
          <w:tcPr>
            <w:tcW w:w="905" w:type="dxa"/>
            <w:shd w:val="clear" w:color="auto" w:fill="B3B3B3"/>
          </w:tcPr>
          <w:p w14:paraId="770F443A" w14:textId="77777777" w:rsidR="00695EBA" w:rsidRPr="003521C6" w:rsidRDefault="00695EBA" w:rsidP="00F72DE4">
            <w:pPr>
              <w:pStyle w:val="TableText"/>
              <w:rPr>
                <w:b/>
                <w:szCs w:val="20"/>
              </w:rPr>
            </w:pPr>
            <w:r w:rsidRPr="003521C6">
              <w:rPr>
                <w:b/>
                <w:szCs w:val="20"/>
              </w:rPr>
              <w:t>Return</w:t>
            </w:r>
          </w:p>
        </w:tc>
        <w:tc>
          <w:tcPr>
            <w:tcW w:w="1357" w:type="dxa"/>
            <w:vMerge/>
          </w:tcPr>
          <w:p w14:paraId="1FB959F6" w14:textId="77777777" w:rsidR="00695EBA" w:rsidRDefault="00695EBA" w:rsidP="00F72DE4">
            <w:pPr>
              <w:pStyle w:val="TableText"/>
              <w:rPr>
                <w:szCs w:val="20"/>
              </w:rPr>
            </w:pPr>
          </w:p>
        </w:tc>
        <w:tc>
          <w:tcPr>
            <w:tcW w:w="747" w:type="dxa"/>
            <w:vMerge/>
          </w:tcPr>
          <w:p w14:paraId="24BCF3A2" w14:textId="77777777" w:rsidR="00695EBA" w:rsidRDefault="00695EBA" w:rsidP="00F72DE4">
            <w:pPr>
              <w:pStyle w:val="TableText"/>
              <w:rPr>
                <w:szCs w:val="20"/>
              </w:rPr>
            </w:pPr>
          </w:p>
        </w:tc>
        <w:tc>
          <w:tcPr>
            <w:tcW w:w="708" w:type="dxa"/>
            <w:vMerge/>
          </w:tcPr>
          <w:p w14:paraId="7FDB4957" w14:textId="77777777" w:rsidR="00695EBA" w:rsidRDefault="00695EBA" w:rsidP="00F72DE4">
            <w:pPr>
              <w:pStyle w:val="TableText"/>
              <w:rPr>
                <w:szCs w:val="20"/>
              </w:rPr>
            </w:pPr>
          </w:p>
        </w:tc>
        <w:tc>
          <w:tcPr>
            <w:tcW w:w="1026" w:type="dxa"/>
            <w:vMerge/>
          </w:tcPr>
          <w:p w14:paraId="1A99975A" w14:textId="77777777" w:rsidR="00695EBA" w:rsidRDefault="00695EBA" w:rsidP="00F72DE4">
            <w:pPr>
              <w:pStyle w:val="TableText"/>
              <w:rPr>
                <w:szCs w:val="20"/>
              </w:rPr>
            </w:pPr>
          </w:p>
        </w:tc>
      </w:tr>
      <w:tr w:rsidR="00695EBA" w14:paraId="609C234B"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49A387CF" w14:textId="77777777" w:rsidR="00695EBA" w:rsidRDefault="00695EBA" w:rsidP="00A95965">
            <w:pPr>
              <w:pStyle w:val="TableText"/>
              <w:rPr>
                <w:szCs w:val="20"/>
              </w:rPr>
            </w:pPr>
          </w:p>
        </w:tc>
        <w:tc>
          <w:tcPr>
            <w:tcW w:w="2290" w:type="dxa"/>
          </w:tcPr>
          <w:p w14:paraId="219DDEA7" w14:textId="77777777" w:rsidR="00695EBA" w:rsidRDefault="00695EBA" w:rsidP="00A95965">
            <w:pPr>
              <w:pStyle w:val="TableText"/>
              <w:rPr>
                <w:szCs w:val="20"/>
              </w:rPr>
            </w:pPr>
          </w:p>
        </w:tc>
        <w:tc>
          <w:tcPr>
            <w:tcW w:w="897" w:type="dxa"/>
          </w:tcPr>
          <w:p w14:paraId="407366F6" w14:textId="77777777" w:rsidR="00695EBA" w:rsidRDefault="00695EBA" w:rsidP="00571D70">
            <w:pPr>
              <w:pStyle w:val="TableText"/>
              <w:rPr>
                <w:szCs w:val="20"/>
              </w:rPr>
            </w:pPr>
          </w:p>
        </w:tc>
        <w:tc>
          <w:tcPr>
            <w:tcW w:w="797" w:type="dxa"/>
          </w:tcPr>
          <w:p w14:paraId="2641D159" w14:textId="77777777" w:rsidR="00695EBA" w:rsidRDefault="00695EBA" w:rsidP="00A95965">
            <w:pPr>
              <w:pStyle w:val="TableText"/>
              <w:rPr>
                <w:szCs w:val="20"/>
              </w:rPr>
            </w:pPr>
          </w:p>
        </w:tc>
        <w:tc>
          <w:tcPr>
            <w:tcW w:w="835" w:type="dxa"/>
          </w:tcPr>
          <w:p w14:paraId="4608FEFA" w14:textId="77777777" w:rsidR="00695EBA" w:rsidRDefault="00695EBA" w:rsidP="00A95965">
            <w:pPr>
              <w:pStyle w:val="TableText"/>
              <w:rPr>
                <w:szCs w:val="20"/>
              </w:rPr>
            </w:pPr>
          </w:p>
        </w:tc>
        <w:tc>
          <w:tcPr>
            <w:tcW w:w="905" w:type="dxa"/>
          </w:tcPr>
          <w:p w14:paraId="622A86C6" w14:textId="77777777" w:rsidR="00695EBA" w:rsidRDefault="00695EBA" w:rsidP="00A95965">
            <w:pPr>
              <w:pStyle w:val="TableText"/>
              <w:rPr>
                <w:szCs w:val="20"/>
              </w:rPr>
            </w:pPr>
          </w:p>
        </w:tc>
        <w:tc>
          <w:tcPr>
            <w:tcW w:w="1357" w:type="dxa"/>
          </w:tcPr>
          <w:p w14:paraId="14813E7D" w14:textId="77777777" w:rsidR="00695EBA" w:rsidRDefault="00695EBA" w:rsidP="00A95965">
            <w:pPr>
              <w:pStyle w:val="TableText"/>
              <w:rPr>
                <w:szCs w:val="20"/>
              </w:rPr>
            </w:pPr>
          </w:p>
        </w:tc>
        <w:tc>
          <w:tcPr>
            <w:tcW w:w="747" w:type="dxa"/>
          </w:tcPr>
          <w:p w14:paraId="3D46EBBF" w14:textId="77777777" w:rsidR="00695EBA" w:rsidRDefault="00695EBA" w:rsidP="00A95965">
            <w:pPr>
              <w:pStyle w:val="TableText"/>
              <w:rPr>
                <w:szCs w:val="20"/>
              </w:rPr>
            </w:pPr>
          </w:p>
        </w:tc>
        <w:tc>
          <w:tcPr>
            <w:tcW w:w="708" w:type="dxa"/>
          </w:tcPr>
          <w:p w14:paraId="64CEC9EA" w14:textId="77777777" w:rsidR="00695EBA" w:rsidRDefault="00695EBA" w:rsidP="00A95965">
            <w:pPr>
              <w:pStyle w:val="TableText"/>
              <w:rPr>
                <w:szCs w:val="20"/>
              </w:rPr>
            </w:pPr>
          </w:p>
        </w:tc>
        <w:tc>
          <w:tcPr>
            <w:tcW w:w="1026" w:type="dxa"/>
          </w:tcPr>
          <w:p w14:paraId="6C24F371" w14:textId="77777777" w:rsidR="00695EBA" w:rsidRDefault="00695EBA" w:rsidP="00A95965">
            <w:pPr>
              <w:pStyle w:val="TableText"/>
              <w:rPr>
                <w:szCs w:val="20"/>
              </w:rPr>
            </w:pPr>
          </w:p>
        </w:tc>
      </w:tr>
      <w:tr w:rsidR="00695EBA" w14:paraId="749DD2B0"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6102EE27" w14:textId="77777777" w:rsidR="00695EBA" w:rsidRDefault="00695EBA" w:rsidP="00A95965">
            <w:pPr>
              <w:pStyle w:val="TableText"/>
              <w:rPr>
                <w:szCs w:val="20"/>
              </w:rPr>
            </w:pPr>
          </w:p>
        </w:tc>
        <w:tc>
          <w:tcPr>
            <w:tcW w:w="2290" w:type="dxa"/>
          </w:tcPr>
          <w:p w14:paraId="48773C50" w14:textId="77777777" w:rsidR="00695EBA" w:rsidRDefault="00695EBA" w:rsidP="00A95965">
            <w:pPr>
              <w:pStyle w:val="TableText"/>
              <w:rPr>
                <w:szCs w:val="20"/>
              </w:rPr>
            </w:pPr>
          </w:p>
        </w:tc>
        <w:tc>
          <w:tcPr>
            <w:tcW w:w="897" w:type="dxa"/>
          </w:tcPr>
          <w:p w14:paraId="2151A35A" w14:textId="77777777" w:rsidR="00695EBA" w:rsidRDefault="00695EBA" w:rsidP="00571D70">
            <w:pPr>
              <w:pStyle w:val="TableText"/>
              <w:rPr>
                <w:szCs w:val="20"/>
              </w:rPr>
            </w:pPr>
          </w:p>
        </w:tc>
        <w:tc>
          <w:tcPr>
            <w:tcW w:w="797" w:type="dxa"/>
          </w:tcPr>
          <w:p w14:paraId="53F488D0" w14:textId="77777777" w:rsidR="00695EBA" w:rsidRDefault="00695EBA" w:rsidP="00A95965">
            <w:pPr>
              <w:pStyle w:val="TableText"/>
              <w:rPr>
                <w:szCs w:val="20"/>
              </w:rPr>
            </w:pPr>
          </w:p>
        </w:tc>
        <w:tc>
          <w:tcPr>
            <w:tcW w:w="835" w:type="dxa"/>
          </w:tcPr>
          <w:p w14:paraId="67317A96" w14:textId="77777777" w:rsidR="00695EBA" w:rsidRDefault="00695EBA" w:rsidP="00A95965">
            <w:pPr>
              <w:pStyle w:val="TableText"/>
              <w:rPr>
                <w:szCs w:val="20"/>
              </w:rPr>
            </w:pPr>
          </w:p>
        </w:tc>
        <w:tc>
          <w:tcPr>
            <w:tcW w:w="905" w:type="dxa"/>
          </w:tcPr>
          <w:p w14:paraId="7038C353" w14:textId="77777777" w:rsidR="00695EBA" w:rsidRDefault="00695EBA" w:rsidP="00A95965">
            <w:pPr>
              <w:pStyle w:val="TableText"/>
              <w:rPr>
                <w:szCs w:val="20"/>
              </w:rPr>
            </w:pPr>
          </w:p>
        </w:tc>
        <w:tc>
          <w:tcPr>
            <w:tcW w:w="1357" w:type="dxa"/>
          </w:tcPr>
          <w:p w14:paraId="4CAA4A80" w14:textId="77777777" w:rsidR="00695EBA" w:rsidRDefault="00695EBA" w:rsidP="00A95965">
            <w:pPr>
              <w:pStyle w:val="TableText"/>
              <w:rPr>
                <w:szCs w:val="20"/>
              </w:rPr>
            </w:pPr>
          </w:p>
        </w:tc>
        <w:tc>
          <w:tcPr>
            <w:tcW w:w="747" w:type="dxa"/>
          </w:tcPr>
          <w:p w14:paraId="3BF8FA60" w14:textId="77777777" w:rsidR="00695EBA" w:rsidRDefault="00695EBA" w:rsidP="00A95965">
            <w:pPr>
              <w:pStyle w:val="TableText"/>
              <w:rPr>
                <w:szCs w:val="20"/>
              </w:rPr>
            </w:pPr>
          </w:p>
        </w:tc>
        <w:tc>
          <w:tcPr>
            <w:tcW w:w="708" w:type="dxa"/>
          </w:tcPr>
          <w:p w14:paraId="59AA019A" w14:textId="77777777" w:rsidR="00695EBA" w:rsidRDefault="00695EBA" w:rsidP="00A95965">
            <w:pPr>
              <w:pStyle w:val="TableText"/>
              <w:rPr>
                <w:szCs w:val="20"/>
              </w:rPr>
            </w:pPr>
          </w:p>
        </w:tc>
        <w:tc>
          <w:tcPr>
            <w:tcW w:w="1026" w:type="dxa"/>
          </w:tcPr>
          <w:p w14:paraId="6A0C4AC8" w14:textId="77777777" w:rsidR="00695EBA" w:rsidRDefault="00695EBA" w:rsidP="00A95965">
            <w:pPr>
              <w:pStyle w:val="TableText"/>
              <w:rPr>
                <w:szCs w:val="20"/>
              </w:rPr>
            </w:pPr>
          </w:p>
        </w:tc>
      </w:tr>
      <w:tr w:rsidR="00695EBA" w14:paraId="2258F60B"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65A8A9B0" w14:textId="77777777" w:rsidR="00695EBA" w:rsidRDefault="00695EBA" w:rsidP="00A95965">
            <w:pPr>
              <w:pStyle w:val="TableText"/>
              <w:rPr>
                <w:szCs w:val="20"/>
              </w:rPr>
            </w:pPr>
          </w:p>
        </w:tc>
        <w:tc>
          <w:tcPr>
            <w:tcW w:w="2290" w:type="dxa"/>
          </w:tcPr>
          <w:p w14:paraId="1282B99B" w14:textId="77777777" w:rsidR="00695EBA" w:rsidRDefault="00695EBA" w:rsidP="00A95965">
            <w:pPr>
              <w:pStyle w:val="TableText"/>
              <w:rPr>
                <w:szCs w:val="20"/>
              </w:rPr>
            </w:pPr>
          </w:p>
        </w:tc>
        <w:tc>
          <w:tcPr>
            <w:tcW w:w="897" w:type="dxa"/>
          </w:tcPr>
          <w:p w14:paraId="3C171BAB" w14:textId="77777777" w:rsidR="00695EBA" w:rsidRDefault="00695EBA" w:rsidP="00571D70">
            <w:pPr>
              <w:pStyle w:val="TableText"/>
              <w:rPr>
                <w:szCs w:val="20"/>
              </w:rPr>
            </w:pPr>
          </w:p>
        </w:tc>
        <w:tc>
          <w:tcPr>
            <w:tcW w:w="797" w:type="dxa"/>
          </w:tcPr>
          <w:p w14:paraId="5D8D36FA" w14:textId="77777777" w:rsidR="00695EBA" w:rsidRDefault="00695EBA" w:rsidP="00A95965">
            <w:pPr>
              <w:pStyle w:val="TableText"/>
              <w:rPr>
                <w:szCs w:val="20"/>
              </w:rPr>
            </w:pPr>
          </w:p>
        </w:tc>
        <w:tc>
          <w:tcPr>
            <w:tcW w:w="835" w:type="dxa"/>
          </w:tcPr>
          <w:p w14:paraId="0D82F615" w14:textId="77777777" w:rsidR="00695EBA" w:rsidRDefault="00695EBA" w:rsidP="00A95965">
            <w:pPr>
              <w:pStyle w:val="TableText"/>
              <w:rPr>
                <w:szCs w:val="20"/>
              </w:rPr>
            </w:pPr>
          </w:p>
        </w:tc>
        <w:tc>
          <w:tcPr>
            <w:tcW w:w="905" w:type="dxa"/>
          </w:tcPr>
          <w:p w14:paraId="74272E43" w14:textId="77777777" w:rsidR="00695EBA" w:rsidRDefault="00695EBA" w:rsidP="00A95965">
            <w:pPr>
              <w:pStyle w:val="TableText"/>
              <w:rPr>
                <w:szCs w:val="20"/>
              </w:rPr>
            </w:pPr>
          </w:p>
        </w:tc>
        <w:tc>
          <w:tcPr>
            <w:tcW w:w="1357" w:type="dxa"/>
          </w:tcPr>
          <w:p w14:paraId="1E26A7BE" w14:textId="77777777" w:rsidR="00695EBA" w:rsidRDefault="00695EBA" w:rsidP="00A95965">
            <w:pPr>
              <w:pStyle w:val="TableText"/>
              <w:rPr>
                <w:szCs w:val="20"/>
              </w:rPr>
            </w:pPr>
          </w:p>
        </w:tc>
        <w:tc>
          <w:tcPr>
            <w:tcW w:w="747" w:type="dxa"/>
          </w:tcPr>
          <w:p w14:paraId="4BFDF0F9" w14:textId="77777777" w:rsidR="00695EBA" w:rsidRDefault="00695EBA" w:rsidP="00A95965">
            <w:pPr>
              <w:pStyle w:val="TableText"/>
              <w:rPr>
                <w:szCs w:val="20"/>
              </w:rPr>
            </w:pPr>
          </w:p>
        </w:tc>
        <w:tc>
          <w:tcPr>
            <w:tcW w:w="708" w:type="dxa"/>
          </w:tcPr>
          <w:p w14:paraId="68126F33" w14:textId="77777777" w:rsidR="00695EBA" w:rsidRDefault="00695EBA" w:rsidP="00A95965">
            <w:pPr>
              <w:pStyle w:val="TableText"/>
              <w:rPr>
                <w:szCs w:val="20"/>
              </w:rPr>
            </w:pPr>
          </w:p>
        </w:tc>
        <w:tc>
          <w:tcPr>
            <w:tcW w:w="1026" w:type="dxa"/>
          </w:tcPr>
          <w:p w14:paraId="2640E334" w14:textId="77777777" w:rsidR="00695EBA" w:rsidRDefault="00695EBA" w:rsidP="00A95965">
            <w:pPr>
              <w:pStyle w:val="TableText"/>
              <w:rPr>
                <w:szCs w:val="20"/>
              </w:rPr>
            </w:pPr>
          </w:p>
        </w:tc>
      </w:tr>
      <w:tr w:rsidR="00695EBA" w14:paraId="545C7FCB"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49E3C7A8" w14:textId="77777777" w:rsidR="00695EBA" w:rsidRDefault="00695EBA" w:rsidP="00A95965">
            <w:pPr>
              <w:pStyle w:val="TableText"/>
              <w:rPr>
                <w:szCs w:val="20"/>
              </w:rPr>
            </w:pPr>
          </w:p>
        </w:tc>
        <w:tc>
          <w:tcPr>
            <w:tcW w:w="2290" w:type="dxa"/>
          </w:tcPr>
          <w:p w14:paraId="426F52B2" w14:textId="77777777" w:rsidR="00695EBA" w:rsidRDefault="00695EBA" w:rsidP="00A95965">
            <w:pPr>
              <w:pStyle w:val="TableText"/>
              <w:rPr>
                <w:szCs w:val="20"/>
              </w:rPr>
            </w:pPr>
          </w:p>
        </w:tc>
        <w:tc>
          <w:tcPr>
            <w:tcW w:w="897" w:type="dxa"/>
          </w:tcPr>
          <w:p w14:paraId="43C44843" w14:textId="77777777" w:rsidR="00695EBA" w:rsidRDefault="00695EBA" w:rsidP="00571D70">
            <w:pPr>
              <w:pStyle w:val="TableText"/>
              <w:rPr>
                <w:szCs w:val="20"/>
              </w:rPr>
            </w:pPr>
          </w:p>
        </w:tc>
        <w:tc>
          <w:tcPr>
            <w:tcW w:w="797" w:type="dxa"/>
          </w:tcPr>
          <w:p w14:paraId="5C1504C2" w14:textId="77777777" w:rsidR="00695EBA" w:rsidRDefault="00695EBA" w:rsidP="00A95965">
            <w:pPr>
              <w:pStyle w:val="TableText"/>
              <w:rPr>
                <w:szCs w:val="20"/>
              </w:rPr>
            </w:pPr>
          </w:p>
        </w:tc>
        <w:tc>
          <w:tcPr>
            <w:tcW w:w="835" w:type="dxa"/>
          </w:tcPr>
          <w:p w14:paraId="2D647F30" w14:textId="77777777" w:rsidR="00695EBA" w:rsidRDefault="00695EBA" w:rsidP="00A95965">
            <w:pPr>
              <w:pStyle w:val="TableText"/>
              <w:rPr>
                <w:szCs w:val="20"/>
              </w:rPr>
            </w:pPr>
          </w:p>
        </w:tc>
        <w:tc>
          <w:tcPr>
            <w:tcW w:w="905" w:type="dxa"/>
          </w:tcPr>
          <w:p w14:paraId="03701FD2" w14:textId="77777777" w:rsidR="00695EBA" w:rsidRDefault="00695EBA" w:rsidP="00A95965">
            <w:pPr>
              <w:pStyle w:val="TableText"/>
              <w:rPr>
                <w:szCs w:val="20"/>
              </w:rPr>
            </w:pPr>
          </w:p>
        </w:tc>
        <w:tc>
          <w:tcPr>
            <w:tcW w:w="1357" w:type="dxa"/>
          </w:tcPr>
          <w:p w14:paraId="7F81646C" w14:textId="77777777" w:rsidR="00695EBA" w:rsidRDefault="00695EBA" w:rsidP="00A95965">
            <w:pPr>
              <w:pStyle w:val="TableText"/>
              <w:rPr>
                <w:szCs w:val="20"/>
              </w:rPr>
            </w:pPr>
          </w:p>
        </w:tc>
        <w:tc>
          <w:tcPr>
            <w:tcW w:w="747" w:type="dxa"/>
          </w:tcPr>
          <w:p w14:paraId="21F678B9" w14:textId="77777777" w:rsidR="00695EBA" w:rsidRDefault="00695EBA" w:rsidP="00A95965">
            <w:pPr>
              <w:pStyle w:val="TableText"/>
              <w:rPr>
                <w:szCs w:val="20"/>
              </w:rPr>
            </w:pPr>
          </w:p>
        </w:tc>
        <w:tc>
          <w:tcPr>
            <w:tcW w:w="708" w:type="dxa"/>
          </w:tcPr>
          <w:p w14:paraId="078223DB" w14:textId="77777777" w:rsidR="00695EBA" w:rsidRDefault="00695EBA" w:rsidP="00A95965">
            <w:pPr>
              <w:pStyle w:val="TableText"/>
              <w:rPr>
                <w:szCs w:val="20"/>
              </w:rPr>
            </w:pPr>
          </w:p>
        </w:tc>
        <w:tc>
          <w:tcPr>
            <w:tcW w:w="1026" w:type="dxa"/>
          </w:tcPr>
          <w:p w14:paraId="26A64973" w14:textId="77777777" w:rsidR="00695EBA" w:rsidRDefault="00695EBA" w:rsidP="00A95965">
            <w:pPr>
              <w:pStyle w:val="TableText"/>
              <w:rPr>
                <w:szCs w:val="20"/>
              </w:rPr>
            </w:pPr>
          </w:p>
        </w:tc>
      </w:tr>
      <w:tr w:rsidR="00695EBA" w14:paraId="3F72F762"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7B9F5F5E" w14:textId="77777777" w:rsidR="00695EBA" w:rsidRDefault="00695EBA" w:rsidP="00A95965">
            <w:pPr>
              <w:pStyle w:val="TableText"/>
              <w:rPr>
                <w:szCs w:val="20"/>
              </w:rPr>
            </w:pPr>
          </w:p>
        </w:tc>
        <w:tc>
          <w:tcPr>
            <w:tcW w:w="2290" w:type="dxa"/>
          </w:tcPr>
          <w:p w14:paraId="2C1A8413" w14:textId="77777777" w:rsidR="00695EBA" w:rsidRDefault="00695EBA" w:rsidP="00A95965">
            <w:pPr>
              <w:pStyle w:val="TableText"/>
              <w:rPr>
                <w:szCs w:val="20"/>
              </w:rPr>
            </w:pPr>
          </w:p>
        </w:tc>
        <w:tc>
          <w:tcPr>
            <w:tcW w:w="897" w:type="dxa"/>
          </w:tcPr>
          <w:p w14:paraId="1049882D" w14:textId="77777777" w:rsidR="00695EBA" w:rsidRDefault="00695EBA" w:rsidP="00571D70">
            <w:pPr>
              <w:pStyle w:val="TableText"/>
              <w:rPr>
                <w:szCs w:val="20"/>
              </w:rPr>
            </w:pPr>
          </w:p>
        </w:tc>
        <w:tc>
          <w:tcPr>
            <w:tcW w:w="797" w:type="dxa"/>
          </w:tcPr>
          <w:p w14:paraId="6FF9CD75" w14:textId="77777777" w:rsidR="00695EBA" w:rsidRDefault="00695EBA" w:rsidP="00A95965">
            <w:pPr>
              <w:pStyle w:val="TableText"/>
              <w:rPr>
                <w:szCs w:val="20"/>
              </w:rPr>
            </w:pPr>
          </w:p>
        </w:tc>
        <w:tc>
          <w:tcPr>
            <w:tcW w:w="835" w:type="dxa"/>
          </w:tcPr>
          <w:p w14:paraId="5D4BFAA9" w14:textId="77777777" w:rsidR="00695EBA" w:rsidRDefault="00695EBA" w:rsidP="00A95965">
            <w:pPr>
              <w:pStyle w:val="TableText"/>
              <w:rPr>
                <w:szCs w:val="20"/>
              </w:rPr>
            </w:pPr>
          </w:p>
        </w:tc>
        <w:tc>
          <w:tcPr>
            <w:tcW w:w="905" w:type="dxa"/>
          </w:tcPr>
          <w:p w14:paraId="46DC1AA8" w14:textId="77777777" w:rsidR="00695EBA" w:rsidRDefault="00695EBA" w:rsidP="00A95965">
            <w:pPr>
              <w:pStyle w:val="TableText"/>
              <w:rPr>
                <w:szCs w:val="20"/>
              </w:rPr>
            </w:pPr>
          </w:p>
        </w:tc>
        <w:tc>
          <w:tcPr>
            <w:tcW w:w="1357" w:type="dxa"/>
          </w:tcPr>
          <w:p w14:paraId="04F78324" w14:textId="77777777" w:rsidR="00695EBA" w:rsidRDefault="00695EBA" w:rsidP="00A95965">
            <w:pPr>
              <w:pStyle w:val="TableText"/>
              <w:rPr>
                <w:szCs w:val="20"/>
              </w:rPr>
            </w:pPr>
          </w:p>
        </w:tc>
        <w:tc>
          <w:tcPr>
            <w:tcW w:w="747" w:type="dxa"/>
          </w:tcPr>
          <w:p w14:paraId="266EA2F8" w14:textId="77777777" w:rsidR="00695EBA" w:rsidRDefault="00695EBA" w:rsidP="00A95965">
            <w:pPr>
              <w:pStyle w:val="TableText"/>
              <w:rPr>
                <w:szCs w:val="20"/>
              </w:rPr>
            </w:pPr>
          </w:p>
        </w:tc>
        <w:tc>
          <w:tcPr>
            <w:tcW w:w="708" w:type="dxa"/>
          </w:tcPr>
          <w:p w14:paraId="7D6EC1FB" w14:textId="77777777" w:rsidR="00695EBA" w:rsidRDefault="00695EBA" w:rsidP="00A95965">
            <w:pPr>
              <w:pStyle w:val="TableText"/>
              <w:rPr>
                <w:szCs w:val="20"/>
              </w:rPr>
            </w:pPr>
          </w:p>
        </w:tc>
        <w:tc>
          <w:tcPr>
            <w:tcW w:w="1026" w:type="dxa"/>
          </w:tcPr>
          <w:p w14:paraId="1D14BBBD" w14:textId="77777777" w:rsidR="00695EBA" w:rsidRDefault="00695EBA" w:rsidP="00A95965">
            <w:pPr>
              <w:pStyle w:val="TableText"/>
              <w:rPr>
                <w:szCs w:val="20"/>
              </w:rPr>
            </w:pPr>
          </w:p>
        </w:tc>
      </w:tr>
      <w:tr w:rsidR="00695EBA" w14:paraId="7C061EE0"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38894D82" w14:textId="77777777" w:rsidR="00695EBA" w:rsidRDefault="00695EBA" w:rsidP="00A95965">
            <w:pPr>
              <w:pStyle w:val="TableText"/>
              <w:rPr>
                <w:szCs w:val="20"/>
              </w:rPr>
            </w:pPr>
          </w:p>
        </w:tc>
        <w:tc>
          <w:tcPr>
            <w:tcW w:w="2290" w:type="dxa"/>
          </w:tcPr>
          <w:p w14:paraId="066F4514" w14:textId="77777777" w:rsidR="00695EBA" w:rsidRDefault="00695EBA" w:rsidP="00A95965">
            <w:pPr>
              <w:pStyle w:val="TableText"/>
              <w:rPr>
                <w:szCs w:val="20"/>
              </w:rPr>
            </w:pPr>
          </w:p>
        </w:tc>
        <w:tc>
          <w:tcPr>
            <w:tcW w:w="897" w:type="dxa"/>
          </w:tcPr>
          <w:p w14:paraId="75B9C35D" w14:textId="77777777" w:rsidR="00695EBA" w:rsidRDefault="00695EBA" w:rsidP="00571D70">
            <w:pPr>
              <w:pStyle w:val="TableText"/>
              <w:rPr>
                <w:szCs w:val="20"/>
              </w:rPr>
            </w:pPr>
          </w:p>
        </w:tc>
        <w:tc>
          <w:tcPr>
            <w:tcW w:w="797" w:type="dxa"/>
          </w:tcPr>
          <w:p w14:paraId="7288C257" w14:textId="77777777" w:rsidR="00695EBA" w:rsidRDefault="00695EBA" w:rsidP="00A95965">
            <w:pPr>
              <w:pStyle w:val="TableText"/>
              <w:rPr>
                <w:szCs w:val="20"/>
              </w:rPr>
            </w:pPr>
          </w:p>
        </w:tc>
        <w:tc>
          <w:tcPr>
            <w:tcW w:w="835" w:type="dxa"/>
          </w:tcPr>
          <w:p w14:paraId="039471AE" w14:textId="77777777" w:rsidR="00695EBA" w:rsidRDefault="00695EBA" w:rsidP="00A95965">
            <w:pPr>
              <w:pStyle w:val="TableText"/>
              <w:rPr>
                <w:szCs w:val="20"/>
              </w:rPr>
            </w:pPr>
          </w:p>
        </w:tc>
        <w:tc>
          <w:tcPr>
            <w:tcW w:w="905" w:type="dxa"/>
          </w:tcPr>
          <w:p w14:paraId="70D9CD3D" w14:textId="77777777" w:rsidR="00695EBA" w:rsidRDefault="00695EBA" w:rsidP="00A95965">
            <w:pPr>
              <w:pStyle w:val="TableText"/>
              <w:rPr>
                <w:szCs w:val="20"/>
              </w:rPr>
            </w:pPr>
          </w:p>
        </w:tc>
        <w:tc>
          <w:tcPr>
            <w:tcW w:w="1357" w:type="dxa"/>
          </w:tcPr>
          <w:p w14:paraId="6EA3A3BB" w14:textId="77777777" w:rsidR="00695EBA" w:rsidRDefault="00695EBA" w:rsidP="00A95965">
            <w:pPr>
              <w:pStyle w:val="TableText"/>
              <w:rPr>
                <w:szCs w:val="20"/>
              </w:rPr>
            </w:pPr>
          </w:p>
        </w:tc>
        <w:tc>
          <w:tcPr>
            <w:tcW w:w="747" w:type="dxa"/>
          </w:tcPr>
          <w:p w14:paraId="16CD1F78" w14:textId="77777777" w:rsidR="00695EBA" w:rsidRDefault="00695EBA" w:rsidP="00A95965">
            <w:pPr>
              <w:pStyle w:val="TableText"/>
              <w:rPr>
                <w:szCs w:val="20"/>
              </w:rPr>
            </w:pPr>
          </w:p>
        </w:tc>
        <w:tc>
          <w:tcPr>
            <w:tcW w:w="708" w:type="dxa"/>
          </w:tcPr>
          <w:p w14:paraId="563CECAC" w14:textId="77777777" w:rsidR="00695EBA" w:rsidRDefault="00695EBA" w:rsidP="00A95965">
            <w:pPr>
              <w:pStyle w:val="TableText"/>
              <w:rPr>
                <w:szCs w:val="20"/>
              </w:rPr>
            </w:pPr>
          </w:p>
        </w:tc>
        <w:tc>
          <w:tcPr>
            <w:tcW w:w="1026" w:type="dxa"/>
          </w:tcPr>
          <w:p w14:paraId="7A507785" w14:textId="77777777" w:rsidR="00695EBA" w:rsidRDefault="00695EBA" w:rsidP="00A95965">
            <w:pPr>
              <w:pStyle w:val="TableText"/>
              <w:rPr>
                <w:szCs w:val="20"/>
              </w:rPr>
            </w:pPr>
          </w:p>
        </w:tc>
      </w:tr>
      <w:tr w:rsidR="00695EBA" w14:paraId="2383ACD2"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11DB776E" w14:textId="77777777" w:rsidR="00695EBA" w:rsidRDefault="00695EBA" w:rsidP="00A95965">
            <w:pPr>
              <w:pStyle w:val="TableText"/>
              <w:rPr>
                <w:szCs w:val="20"/>
              </w:rPr>
            </w:pPr>
          </w:p>
        </w:tc>
        <w:tc>
          <w:tcPr>
            <w:tcW w:w="2290" w:type="dxa"/>
          </w:tcPr>
          <w:p w14:paraId="2B817AC6" w14:textId="77777777" w:rsidR="00695EBA" w:rsidRDefault="00695EBA" w:rsidP="00A95965">
            <w:pPr>
              <w:pStyle w:val="TableText"/>
              <w:rPr>
                <w:szCs w:val="20"/>
              </w:rPr>
            </w:pPr>
          </w:p>
        </w:tc>
        <w:tc>
          <w:tcPr>
            <w:tcW w:w="897" w:type="dxa"/>
          </w:tcPr>
          <w:p w14:paraId="214FC02B" w14:textId="77777777" w:rsidR="00695EBA" w:rsidRDefault="00695EBA" w:rsidP="00571D70">
            <w:pPr>
              <w:pStyle w:val="TableText"/>
              <w:rPr>
                <w:szCs w:val="20"/>
              </w:rPr>
            </w:pPr>
          </w:p>
        </w:tc>
        <w:tc>
          <w:tcPr>
            <w:tcW w:w="797" w:type="dxa"/>
          </w:tcPr>
          <w:p w14:paraId="0B8BFAFB" w14:textId="77777777" w:rsidR="00695EBA" w:rsidRDefault="00695EBA" w:rsidP="00A95965">
            <w:pPr>
              <w:pStyle w:val="TableText"/>
              <w:rPr>
                <w:szCs w:val="20"/>
              </w:rPr>
            </w:pPr>
          </w:p>
        </w:tc>
        <w:tc>
          <w:tcPr>
            <w:tcW w:w="835" w:type="dxa"/>
          </w:tcPr>
          <w:p w14:paraId="14281BFE" w14:textId="77777777" w:rsidR="00695EBA" w:rsidRDefault="00695EBA" w:rsidP="00A95965">
            <w:pPr>
              <w:pStyle w:val="TableText"/>
              <w:rPr>
                <w:szCs w:val="20"/>
              </w:rPr>
            </w:pPr>
          </w:p>
        </w:tc>
        <w:tc>
          <w:tcPr>
            <w:tcW w:w="905" w:type="dxa"/>
          </w:tcPr>
          <w:p w14:paraId="61C6AA93" w14:textId="77777777" w:rsidR="00695EBA" w:rsidRDefault="00695EBA" w:rsidP="00A95965">
            <w:pPr>
              <w:pStyle w:val="TableText"/>
              <w:rPr>
                <w:szCs w:val="20"/>
              </w:rPr>
            </w:pPr>
          </w:p>
        </w:tc>
        <w:tc>
          <w:tcPr>
            <w:tcW w:w="1357" w:type="dxa"/>
          </w:tcPr>
          <w:p w14:paraId="1D8AB84C" w14:textId="77777777" w:rsidR="00695EBA" w:rsidRDefault="00695EBA" w:rsidP="00A95965">
            <w:pPr>
              <w:pStyle w:val="TableText"/>
              <w:rPr>
                <w:szCs w:val="20"/>
              </w:rPr>
            </w:pPr>
          </w:p>
        </w:tc>
        <w:tc>
          <w:tcPr>
            <w:tcW w:w="747" w:type="dxa"/>
          </w:tcPr>
          <w:p w14:paraId="6DCD0EDA" w14:textId="77777777" w:rsidR="00695EBA" w:rsidRDefault="00695EBA" w:rsidP="00A95965">
            <w:pPr>
              <w:pStyle w:val="TableText"/>
              <w:rPr>
                <w:szCs w:val="20"/>
              </w:rPr>
            </w:pPr>
          </w:p>
        </w:tc>
        <w:tc>
          <w:tcPr>
            <w:tcW w:w="708" w:type="dxa"/>
          </w:tcPr>
          <w:p w14:paraId="6EBFB9D4" w14:textId="77777777" w:rsidR="00695EBA" w:rsidRDefault="00695EBA" w:rsidP="00A95965">
            <w:pPr>
              <w:pStyle w:val="TableText"/>
              <w:rPr>
                <w:szCs w:val="20"/>
              </w:rPr>
            </w:pPr>
          </w:p>
        </w:tc>
        <w:tc>
          <w:tcPr>
            <w:tcW w:w="1026" w:type="dxa"/>
          </w:tcPr>
          <w:p w14:paraId="4C48E4F0" w14:textId="77777777" w:rsidR="00695EBA" w:rsidRDefault="00695EBA" w:rsidP="00A95965">
            <w:pPr>
              <w:pStyle w:val="TableText"/>
              <w:rPr>
                <w:szCs w:val="20"/>
              </w:rPr>
            </w:pPr>
          </w:p>
        </w:tc>
      </w:tr>
      <w:tr w:rsidR="00695EBA" w14:paraId="6F578B19"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0D89C1C5" w14:textId="77777777" w:rsidR="00695EBA" w:rsidRDefault="00695EBA" w:rsidP="00A95965">
            <w:pPr>
              <w:pStyle w:val="TableText"/>
              <w:rPr>
                <w:szCs w:val="20"/>
              </w:rPr>
            </w:pPr>
          </w:p>
        </w:tc>
        <w:tc>
          <w:tcPr>
            <w:tcW w:w="2290" w:type="dxa"/>
          </w:tcPr>
          <w:p w14:paraId="78DB4EFF" w14:textId="77777777" w:rsidR="00695EBA" w:rsidRDefault="00695EBA" w:rsidP="00A95965">
            <w:pPr>
              <w:pStyle w:val="TableText"/>
              <w:rPr>
                <w:szCs w:val="20"/>
              </w:rPr>
            </w:pPr>
          </w:p>
        </w:tc>
        <w:tc>
          <w:tcPr>
            <w:tcW w:w="897" w:type="dxa"/>
          </w:tcPr>
          <w:p w14:paraId="107281D4" w14:textId="77777777" w:rsidR="00695EBA" w:rsidRDefault="00695EBA" w:rsidP="00571D70">
            <w:pPr>
              <w:pStyle w:val="TableText"/>
              <w:rPr>
                <w:szCs w:val="20"/>
              </w:rPr>
            </w:pPr>
          </w:p>
        </w:tc>
        <w:tc>
          <w:tcPr>
            <w:tcW w:w="797" w:type="dxa"/>
          </w:tcPr>
          <w:p w14:paraId="13EB58CB" w14:textId="77777777" w:rsidR="00695EBA" w:rsidRDefault="00695EBA" w:rsidP="00A95965">
            <w:pPr>
              <w:pStyle w:val="TableText"/>
              <w:rPr>
                <w:szCs w:val="20"/>
              </w:rPr>
            </w:pPr>
          </w:p>
        </w:tc>
        <w:tc>
          <w:tcPr>
            <w:tcW w:w="835" w:type="dxa"/>
          </w:tcPr>
          <w:p w14:paraId="46BA0EC1" w14:textId="77777777" w:rsidR="00695EBA" w:rsidRDefault="00695EBA" w:rsidP="00A95965">
            <w:pPr>
              <w:pStyle w:val="TableText"/>
              <w:rPr>
                <w:szCs w:val="20"/>
              </w:rPr>
            </w:pPr>
          </w:p>
        </w:tc>
        <w:tc>
          <w:tcPr>
            <w:tcW w:w="905" w:type="dxa"/>
          </w:tcPr>
          <w:p w14:paraId="6AD4E5FE" w14:textId="77777777" w:rsidR="00695EBA" w:rsidRDefault="00695EBA" w:rsidP="00A95965">
            <w:pPr>
              <w:pStyle w:val="TableText"/>
              <w:rPr>
                <w:szCs w:val="20"/>
              </w:rPr>
            </w:pPr>
          </w:p>
        </w:tc>
        <w:tc>
          <w:tcPr>
            <w:tcW w:w="1357" w:type="dxa"/>
          </w:tcPr>
          <w:p w14:paraId="04881FFD" w14:textId="77777777" w:rsidR="00695EBA" w:rsidRDefault="00695EBA" w:rsidP="00A95965">
            <w:pPr>
              <w:pStyle w:val="TableText"/>
              <w:rPr>
                <w:szCs w:val="20"/>
              </w:rPr>
            </w:pPr>
          </w:p>
        </w:tc>
        <w:tc>
          <w:tcPr>
            <w:tcW w:w="747" w:type="dxa"/>
          </w:tcPr>
          <w:p w14:paraId="753FD0CC" w14:textId="77777777" w:rsidR="00695EBA" w:rsidRDefault="00695EBA" w:rsidP="00A95965">
            <w:pPr>
              <w:pStyle w:val="TableText"/>
              <w:rPr>
                <w:szCs w:val="20"/>
              </w:rPr>
            </w:pPr>
          </w:p>
        </w:tc>
        <w:tc>
          <w:tcPr>
            <w:tcW w:w="708" w:type="dxa"/>
          </w:tcPr>
          <w:p w14:paraId="2C3A228A" w14:textId="77777777" w:rsidR="00695EBA" w:rsidRDefault="00695EBA" w:rsidP="00A95965">
            <w:pPr>
              <w:pStyle w:val="TableText"/>
              <w:rPr>
                <w:szCs w:val="20"/>
              </w:rPr>
            </w:pPr>
          </w:p>
        </w:tc>
        <w:tc>
          <w:tcPr>
            <w:tcW w:w="1026" w:type="dxa"/>
          </w:tcPr>
          <w:p w14:paraId="4D4BC87F" w14:textId="77777777" w:rsidR="00695EBA" w:rsidRDefault="00695EBA" w:rsidP="00A95965">
            <w:pPr>
              <w:pStyle w:val="TableText"/>
              <w:rPr>
                <w:szCs w:val="20"/>
              </w:rPr>
            </w:pPr>
          </w:p>
        </w:tc>
      </w:tr>
      <w:tr w:rsidR="00695EBA" w14:paraId="3E70C289"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0C802B8E" w14:textId="77777777" w:rsidR="00695EBA" w:rsidRDefault="00695EBA" w:rsidP="00A95965">
            <w:pPr>
              <w:pStyle w:val="TableText"/>
              <w:rPr>
                <w:szCs w:val="20"/>
              </w:rPr>
            </w:pPr>
          </w:p>
        </w:tc>
        <w:tc>
          <w:tcPr>
            <w:tcW w:w="2290" w:type="dxa"/>
          </w:tcPr>
          <w:p w14:paraId="2C13A899" w14:textId="77777777" w:rsidR="00695EBA" w:rsidRDefault="00695EBA" w:rsidP="00A95965">
            <w:pPr>
              <w:pStyle w:val="TableText"/>
              <w:rPr>
                <w:szCs w:val="20"/>
              </w:rPr>
            </w:pPr>
          </w:p>
        </w:tc>
        <w:tc>
          <w:tcPr>
            <w:tcW w:w="897" w:type="dxa"/>
          </w:tcPr>
          <w:p w14:paraId="0937D066" w14:textId="77777777" w:rsidR="00695EBA" w:rsidRDefault="00695EBA" w:rsidP="00571D70">
            <w:pPr>
              <w:pStyle w:val="TableText"/>
              <w:rPr>
                <w:szCs w:val="20"/>
              </w:rPr>
            </w:pPr>
          </w:p>
        </w:tc>
        <w:tc>
          <w:tcPr>
            <w:tcW w:w="797" w:type="dxa"/>
          </w:tcPr>
          <w:p w14:paraId="3D42923A" w14:textId="77777777" w:rsidR="00695EBA" w:rsidRDefault="00695EBA" w:rsidP="00A95965">
            <w:pPr>
              <w:pStyle w:val="TableText"/>
              <w:rPr>
                <w:szCs w:val="20"/>
              </w:rPr>
            </w:pPr>
          </w:p>
        </w:tc>
        <w:tc>
          <w:tcPr>
            <w:tcW w:w="835" w:type="dxa"/>
          </w:tcPr>
          <w:p w14:paraId="3DF08540" w14:textId="77777777" w:rsidR="00695EBA" w:rsidRDefault="00695EBA" w:rsidP="00A95965">
            <w:pPr>
              <w:pStyle w:val="TableText"/>
              <w:rPr>
                <w:szCs w:val="20"/>
              </w:rPr>
            </w:pPr>
          </w:p>
        </w:tc>
        <w:tc>
          <w:tcPr>
            <w:tcW w:w="905" w:type="dxa"/>
          </w:tcPr>
          <w:p w14:paraId="4F34BB58" w14:textId="77777777" w:rsidR="00695EBA" w:rsidRDefault="00695EBA" w:rsidP="00A95965">
            <w:pPr>
              <w:pStyle w:val="TableText"/>
              <w:rPr>
                <w:szCs w:val="20"/>
              </w:rPr>
            </w:pPr>
          </w:p>
        </w:tc>
        <w:tc>
          <w:tcPr>
            <w:tcW w:w="1357" w:type="dxa"/>
          </w:tcPr>
          <w:p w14:paraId="350409AB" w14:textId="77777777" w:rsidR="00695EBA" w:rsidRDefault="00695EBA" w:rsidP="00A95965">
            <w:pPr>
              <w:pStyle w:val="TableText"/>
              <w:rPr>
                <w:szCs w:val="20"/>
              </w:rPr>
            </w:pPr>
          </w:p>
        </w:tc>
        <w:tc>
          <w:tcPr>
            <w:tcW w:w="747" w:type="dxa"/>
          </w:tcPr>
          <w:p w14:paraId="76F3B1C5" w14:textId="77777777" w:rsidR="00695EBA" w:rsidRDefault="00695EBA" w:rsidP="00A95965">
            <w:pPr>
              <w:pStyle w:val="TableText"/>
              <w:rPr>
                <w:szCs w:val="20"/>
              </w:rPr>
            </w:pPr>
          </w:p>
        </w:tc>
        <w:tc>
          <w:tcPr>
            <w:tcW w:w="708" w:type="dxa"/>
          </w:tcPr>
          <w:p w14:paraId="7DF7CBCC" w14:textId="77777777" w:rsidR="00695EBA" w:rsidRDefault="00695EBA" w:rsidP="00A95965">
            <w:pPr>
              <w:pStyle w:val="TableText"/>
              <w:rPr>
                <w:szCs w:val="20"/>
              </w:rPr>
            </w:pPr>
          </w:p>
        </w:tc>
        <w:tc>
          <w:tcPr>
            <w:tcW w:w="1026" w:type="dxa"/>
          </w:tcPr>
          <w:p w14:paraId="26524D6B" w14:textId="77777777" w:rsidR="00695EBA" w:rsidRDefault="00695EBA" w:rsidP="00A95965">
            <w:pPr>
              <w:pStyle w:val="TableText"/>
              <w:rPr>
                <w:szCs w:val="20"/>
              </w:rPr>
            </w:pPr>
          </w:p>
        </w:tc>
      </w:tr>
      <w:tr w:rsidR="00695EBA" w14:paraId="3E1AFC0E"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06E3D23F" w14:textId="77777777" w:rsidR="00695EBA" w:rsidRDefault="00695EBA" w:rsidP="00A95965">
            <w:pPr>
              <w:pStyle w:val="TableText"/>
              <w:rPr>
                <w:szCs w:val="20"/>
              </w:rPr>
            </w:pPr>
          </w:p>
        </w:tc>
        <w:tc>
          <w:tcPr>
            <w:tcW w:w="2290" w:type="dxa"/>
          </w:tcPr>
          <w:p w14:paraId="6D057182" w14:textId="77777777" w:rsidR="00695EBA" w:rsidRDefault="00695EBA" w:rsidP="00A95965">
            <w:pPr>
              <w:pStyle w:val="TableText"/>
              <w:rPr>
                <w:szCs w:val="20"/>
              </w:rPr>
            </w:pPr>
          </w:p>
        </w:tc>
        <w:tc>
          <w:tcPr>
            <w:tcW w:w="897" w:type="dxa"/>
          </w:tcPr>
          <w:p w14:paraId="04E07207" w14:textId="77777777" w:rsidR="00695EBA" w:rsidRDefault="00695EBA" w:rsidP="00571D70">
            <w:pPr>
              <w:pStyle w:val="TableText"/>
              <w:rPr>
                <w:szCs w:val="20"/>
              </w:rPr>
            </w:pPr>
          </w:p>
        </w:tc>
        <w:tc>
          <w:tcPr>
            <w:tcW w:w="797" w:type="dxa"/>
          </w:tcPr>
          <w:p w14:paraId="31833C4D" w14:textId="77777777" w:rsidR="00695EBA" w:rsidRDefault="00695EBA" w:rsidP="00A95965">
            <w:pPr>
              <w:pStyle w:val="TableText"/>
              <w:rPr>
                <w:szCs w:val="20"/>
              </w:rPr>
            </w:pPr>
          </w:p>
        </w:tc>
        <w:tc>
          <w:tcPr>
            <w:tcW w:w="835" w:type="dxa"/>
          </w:tcPr>
          <w:p w14:paraId="12AD33F0" w14:textId="77777777" w:rsidR="00695EBA" w:rsidRDefault="00695EBA" w:rsidP="00A95965">
            <w:pPr>
              <w:pStyle w:val="TableText"/>
              <w:rPr>
                <w:szCs w:val="20"/>
              </w:rPr>
            </w:pPr>
          </w:p>
        </w:tc>
        <w:tc>
          <w:tcPr>
            <w:tcW w:w="905" w:type="dxa"/>
          </w:tcPr>
          <w:p w14:paraId="19AE2920" w14:textId="77777777" w:rsidR="00695EBA" w:rsidRDefault="00695EBA" w:rsidP="00A95965">
            <w:pPr>
              <w:pStyle w:val="TableText"/>
              <w:rPr>
                <w:szCs w:val="20"/>
              </w:rPr>
            </w:pPr>
          </w:p>
        </w:tc>
        <w:tc>
          <w:tcPr>
            <w:tcW w:w="1357" w:type="dxa"/>
          </w:tcPr>
          <w:p w14:paraId="496C672C" w14:textId="77777777" w:rsidR="00695EBA" w:rsidRDefault="00695EBA" w:rsidP="00A95965">
            <w:pPr>
              <w:pStyle w:val="TableText"/>
              <w:rPr>
                <w:szCs w:val="20"/>
              </w:rPr>
            </w:pPr>
          </w:p>
        </w:tc>
        <w:tc>
          <w:tcPr>
            <w:tcW w:w="747" w:type="dxa"/>
          </w:tcPr>
          <w:p w14:paraId="5EBEE5D0" w14:textId="77777777" w:rsidR="00695EBA" w:rsidRDefault="00695EBA" w:rsidP="00A95965">
            <w:pPr>
              <w:pStyle w:val="TableText"/>
              <w:rPr>
                <w:szCs w:val="20"/>
              </w:rPr>
            </w:pPr>
          </w:p>
        </w:tc>
        <w:tc>
          <w:tcPr>
            <w:tcW w:w="708" w:type="dxa"/>
          </w:tcPr>
          <w:p w14:paraId="5C834CCE" w14:textId="77777777" w:rsidR="00695EBA" w:rsidRDefault="00695EBA" w:rsidP="00A95965">
            <w:pPr>
              <w:pStyle w:val="TableText"/>
              <w:rPr>
                <w:szCs w:val="20"/>
              </w:rPr>
            </w:pPr>
          </w:p>
        </w:tc>
        <w:tc>
          <w:tcPr>
            <w:tcW w:w="1026" w:type="dxa"/>
          </w:tcPr>
          <w:p w14:paraId="3426586C" w14:textId="77777777" w:rsidR="00695EBA" w:rsidRDefault="00695EBA" w:rsidP="00A95965">
            <w:pPr>
              <w:pStyle w:val="TableText"/>
              <w:rPr>
                <w:szCs w:val="20"/>
              </w:rPr>
            </w:pPr>
          </w:p>
        </w:tc>
      </w:tr>
      <w:tr w:rsidR="00695EBA" w14:paraId="4D9E2BD7"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2C44703E" w14:textId="77777777" w:rsidR="00695EBA" w:rsidRDefault="00695EBA" w:rsidP="00A95965">
            <w:pPr>
              <w:pStyle w:val="TableText"/>
              <w:rPr>
                <w:szCs w:val="20"/>
              </w:rPr>
            </w:pPr>
          </w:p>
        </w:tc>
        <w:tc>
          <w:tcPr>
            <w:tcW w:w="2290" w:type="dxa"/>
          </w:tcPr>
          <w:p w14:paraId="5892B51E" w14:textId="77777777" w:rsidR="00695EBA" w:rsidRDefault="00695EBA" w:rsidP="00A95965">
            <w:pPr>
              <w:pStyle w:val="TableText"/>
              <w:rPr>
                <w:szCs w:val="20"/>
              </w:rPr>
            </w:pPr>
          </w:p>
        </w:tc>
        <w:tc>
          <w:tcPr>
            <w:tcW w:w="897" w:type="dxa"/>
          </w:tcPr>
          <w:p w14:paraId="0F3B1B64" w14:textId="77777777" w:rsidR="00695EBA" w:rsidRDefault="00695EBA" w:rsidP="00571D70">
            <w:pPr>
              <w:pStyle w:val="TableText"/>
              <w:rPr>
                <w:szCs w:val="20"/>
              </w:rPr>
            </w:pPr>
          </w:p>
        </w:tc>
        <w:tc>
          <w:tcPr>
            <w:tcW w:w="797" w:type="dxa"/>
          </w:tcPr>
          <w:p w14:paraId="6996767C" w14:textId="77777777" w:rsidR="00695EBA" w:rsidRDefault="00695EBA" w:rsidP="00A95965">
            <w:pPr>
              <w:pStyle w:val="TableText"/>
              <w:rPr>
                <w:szCs w:val="20"/>
              </w:rPr>
            </w:pPr>
          </w:p>
        </w:tc>
        <w:tc>
          <w:tcPr>
            <w:tcW w:w="835" w:type="dxa"/>
          </w:tcPr>
          <w:p w14:paraId="4C4C64DD" w14:textId="77777777" w:rsidR="00695EBA" w:rsidRDefault="00695EBA" w:rsidP="00A95965">
            <w:pPr>
              <w:pStyle w:val="TableText"/>
              <w:rPr>
                <w:szCs w:val="20"/>
              </w:rPr>
            </w:pPr>
          </w:p>
        </w:tc>
        <w:tc>
          <w:tcPr>
            <w:tcW w:w="905" w:type="dxa"/>
          </w:tcPr>
          <w:p w14:paraId="29C648C1" w14:textId="77777777" w:rsidR="00695EBA" w:rsidRDefault="00695EBA" w:rsidP="00A95965">
            <w:pPr>
              <w:pStyle w:val="TableText"/>
              <w:rPr>
                <w:szCs w:val="20"/>
              </w:rPr>
            </w:pPr>
          </w:p>
        </w:tc>
        <w:tc>
          <w:tcPr>
            <w:tcW w:w="1357" w:type="dxa"/>
          </w:tcPr>
          <w:p w14:paraId="36E1DF1E" w14:textId="77777777" w:rsidR="00695EBA" w:rsidRDefault="00695EBA" w:rsidP="00A95965">
            <w:pPr>
              <w:pStyle w:val="TableText"/>
              <w:rPr>
                <w:szCs w:val="20"/>
              </w:rPr>
            </w:pPr>
          </w:p>
        </w:tc>
        <w:tc>
          <w:tcPr>
            <w:tcW w:w="747" w:type="dxa"/>
          </w:tcPr>
          <w:p w14:paraId="123954EC" w14:textId="77777777" w:rsidR="00695EBA" w:rsidRDefault="00695EBA" w:rsidP="00A95965">
            <w:pPr>
              <w:pStyle w:val="TableText"/>
              <w:rPr>
                <w:szCs w:val="20"/>
              </w:rPr>
            </w:pPr>
          </w:p>
        </w:tc>
        <w:tc>
          <w:tcPr>
            <w:tcW w:w="708" w:type="dxa"/>
          </w:tcPr>
          <w:p w14:paraId="3C7B9F1A" w14:textId="77777777" w:rsidR="00695EBA" w:rsidRDefault="00695EBA" w:rsidP="00A95965">
            <w:pPr>
              <w:pStyle w:val="TableText"/>
              <w:rPr>
                <w:szCs w:val="20"/>
              </w:rPr>
            </w:pPr>
          </w:p>
        </w:tc>
        <w:tc>
          <w:tcPr>
            <w:tcW w:w="1026" w:type="dxa"/>
          </w:tcPr>
          <w:p w14:paraId="6D937937" w14:textId="77777777" w:rsidR="00695EBA" w:rsidRDefault="00695EBA" w:rsidP="00A95965">
            <w:pPr>
              <w:pStyle w:val="TableText"/>
              <w:rPr>
                <w:szCs w:val="20"/>
              </w:rPr>
            </w:pPr>
          </w:p>
        </w:tc>
      </w:tr>
      <w:tr w:rsidR="00695EBA" w14:paraId="4721B9B4"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4804B07F" w14:textId="77777777" w:rsidR="00695EBA" w:rsidRDefault="00695EBA" w:rsidP="00A95965">
            <w:pPr>
              <w:pStyle w:val="TableText"/>
              <w:rPr>
                <w:szCs w:val="20"/>
              </w:rPr>
            </w:pPr>
          </w:p>
        </w:tc>
        <w:tc>
          <w:tcPr>
            <w:tcW w:w="2290" w:type="dxa"/>
          </w:tcPr>
          <w:p w14:paraId="76F3C65C" w14:textId="77777777" w:rsidR="00695EBA" w:rsidRDefault="00695EBA" w:rsidP="00A95965">
            <w:pPr>
              <w:pStyle w:val="TableText"/>
              <w:rPr>
                <w:szCs w:val="20"/>
              </w:rPr>
            </w:pPr>
          </w:p>
        </w:tc>
        <w:tc>
          <w:tcPr>
            <w:tcW w:w="897" w:type="dxa"/>
          </w:tcPr>
          <w:p w14:paraId="010DA98B" w14:textId="77777777" w:rsidR="00695EBA" w:rsidRDefault="00695EBA" w:rsidP="00571D70">
            <w:pPr>
              <w:pStyle w:val="TableText"/>
              <w:rPr>
                <w:szCs w:val="20"/>
              </w:rPr>
            </w:pPr>
          </w:p>
        </w:tc>
        <w:tc>
          <w:tcPr>
            <w:tcW w:w="797" w:type="dxa"/>
          </w:tcPr>
          <w:p w14:paraId="042DDF30" w14:textId="77777777" w:rsidR="00695EBA" w:rsidRDefault="00695EBA" w:rsidP="00A95965">
            <w:pPr>
              <w:pStyle w:val="TableText"/>
              <w:rPr>
                <w:szCs w:val="20"/>
              </w:rPr>
            </w:pPr>
          </w:p>
        </w:tc>
        <w:tc>
          <w:tcPr>
            <w:tcW w:w="835" w:type="dxa"/>
          </w:tcPr>
          <w:p w14:paraId="6ED7F5EC" w14:textId="77777777" w:rsidR="00695EBA" w:rsidRDefault="00695EBA" w:rsidP="00A95965">
            <w:pPr>
              <w:pStyle w:val="TableText"/>
              <w:rPr>
                <w:szCs w:val="20"/>
              </w:rPr>
            </w:pPr>
          </w:p>
        </w:tc>
        <w:tc>
          <w:tcPr>
            <w:tcW w:w="905" w:type="dxa"/>
          </w:tcPr>
          <w:p w14:paraId="6E0260FD" w14:textId="77777777" w:rsidR="00695EBA" w:rsidRDefault="00695EBA" w:rsidP="00A95965">
            <w:pPr>
              <w:pStyle w:val="TableText"/>
              <w:rPr>
                <w:szCs w:val="20"/>
              </w:rPr>
            </w:pPr>
          </w:p>
        </w:tc>
        <w:tc>
          <w:tcPr>
            <w:tcW w:w="1357" w:type="dxa"/>
          </w:tcPr>
          <w:p w14:paraId="6C4FCD68" w14:textId="77777777" w:rsidR="00695EBA" w:rsidRDefault="00695EBA" w:rsidP="00A95965">
            <w:pPr>
              <w:pStyle w:val="TableText"/>
              <w:rPr>
                <w:szCs w:val="20"/>
              </w:rPr>
            </w:pPr>
          </w:p>
        </w:tc>
        <w:tc>
          <w:tcPr>
            <w:tcW w:w="747" w:type="dxa"/>
          </w:tcPr>
          <w:p w14:paraId="4C880697" w14:textId="77777777" w:rsidR="00695EBA" w:rsidRDefault="00695EBA" w:rsidP="00A95965">
            <w:pPr>
              <w:pStyle w:val="TableText"/>
              <w:rPr>
                <w:szCs w:val="20"/>
              </w:rPr>
            </w:pPr>
          </w:p>
        </w:tc>
        <w:tc>
          <w:tcPr>
            <w:tcW w:w="708" w:type="dxa"/>
          </w:tcPr>
          <w:p w14:paraId="1971B9C8" w14:textId="77777777" w:rsidR="00695EBA" w:rsidRDefault="00695EBA" w:rsidP="00A95965">
            <w:pPr>
              <w:pStyle w:val="TableText"/>
              <w:rPr>
                <w:szCs w:val="20"/>
              </w:rPr>
            </w:pPr>
          </w:p>
        </w:tc>
        <w:tc>
          <w:tcPr>
            <w:tcW w:w="1026" w:type="dxa"/>
          </w:tcPr>
          <w:p w14:paraId="3AF0E8DA" w14:textId="77777777" w:rsidR="00695EBA" w:rsidRDefault="00695EBA" w:rsidP="00A95965">
            <w:pPr>
              <w:pStyle w:val="TableText"/>
              <w:rPr>
                <w:szCs w:val="20"/>
              </w:rPr>
            </w:pPr>
          </w:p>
        </w:tc>
      </w:tr>
      <w:tr w:rsidR="00695EBA" w14:paraId="30A3D660"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73DE054E" w14:textId="77777777" w:rsidR="00695EBA" w:rsidRDefault="00695EBA" w:rsidP="00A95965">
            <w:pPr>
              <w:pStyle w:val="TableText"/>
              <w:rPr>
                <w:szCs w:val="20"/>
              </w:rPr>
            </w:pPr>
          </w:p>
        </w:tc>
        <w:tc>
          <w:tcPr>
            <w:tcW w:w="2290" w:type="dxa"/>
          </w:tcPr>
          <w:p w14:paraId="277E7627" w14:textId="77777777" w:rsidR="00695EBA" w:rsidRDefault="00695EBA" w:rsidP="00A95965">
            <w:pPr>
              <w:pStyle w:val="TableText"/>
              <w:rPr>
                <w:szCs w:val="20"/>
              </w:rPr>
            </w:pPr>
          </w:p>
        </w:tc>
        <w:tc>
          <w:tcPr>
            <w:tcW w:w="897" w:type="dxa"/>
          </w:tcPr>
          <w:p w14:paraId="3987708A" w14:textId="77777777" w:rsidR="00695EBA" w:rsidRDefault="00695EBA" w:rsidP="00571D70">
            <w:pPr>
              <w:pStyle w:val="TableText"/>
              <w:rPr>
                <w:szCs w:val="20"/>
              </w:rPr>
            </w:pPr>
          </w:p>
        </w:tc>
        <w:tc>
          <w:tcPr>
            <w:tcW w:w="797" w:type="dxa"/>
          </w:tcPr>
          <w:p w14:paraId="1BF524B8" w14:textId="77777777" w:rsidR="00695EBA" w:rsidRDefault="00695EBA" w:rsidP="00A95965">
            <w:pPr>
              <w:pStyle w:val="TableText"/>
              <w:rPr>
                <w:szCs w:val="20"/>
              </w:rPr>
            </w:pPr>
          </w:p>
        </w:tc>
        <w:tc>
          <w:tcPr>
            <w:tcW w:w="835" w:type="dxa"/>
          </w:tcPr>
          <w:p w14:paraId="268E5E5E" w14:textId="77777777" w:rsidR="00695EBA" w:rsidRDefault="00695EBA" w:rsidP="00A95965">
            <w:pPr>
              <w:pStyle w:val="TableText"/>
              <w:rPr>
                <w:szCs w:val="20"/>
              </w:rPr>
            </w:pPr>
          </w:p>
        </w:tc>
        <w:tc>
          <w:tcPr>
            <w:tcW w:w="905" w:type="dxa"/>
          </w:tcPr>
          <w:p w14:paraId="3EC7067A" w14:textId="77777777" w:rsidR="00695EBA" w:rsidRDefault="00695EBA" w:rsidP="00A95965">
            <w:pPr>
              <w:pStyle w:val="TableText"/>
              <w:rPr>
                <w:szCs w:val="20"/>
              </w:rPr>
            </w:pPr>
          </w:p>
        </w:tc>
        <w:tc>
          <w:tcPr>
            <w:tcW w:w="1357" w:type="dxa"/>
          </w:tcPr>
          <w:p w14:paraId="74505759" w14:textId="77777777" w:rsidR="00695EBA" w:rsidRDefault="00695EBA" w:rsidP="00A95965">
            <w:pPr>
              <w:pStyle w:val="TableText"/>
              <w:rPr>
                <w:szCs w:val="20"/>
              </w:rPr>
            </w:pPr>
          </w:p>
        </w:tc>
        <w:tc>
          <w:tcPr>
            <w:tcW w:w="747" w:type="dxa"/>
          </w:tcPr>
          <w:p w14:paraId="4933FA27" w14:textId="77777777" w:rsidR="00695EBA" w:rsidRDefault="00695EBA" w:rsidP="00A95965">
            <w:pPr>
              <w:pStyle w:val="TableText"/>
              <w:rPr>
                <w:szCs w:val="20"/>
              </w:rPr>
            </w:pPr>
          </w:p>
        </w:tc>
        <w:tc>
          <w:tcPr>
            <w:tcW w:w="708" w:type="dxa"/>
          </w:tcPr>
          <w:p w14:paraId="6A1077B7" w14:textId="77777777" w:rsidR="00695EBA" w:rsidRDefault="00695EBA" w:rsidP="00A95965">
            <w:pPr>
              <w:pStyle w:val="TableText"/>
              <w:rPr>
                <w:szCs w:val="20"/>
              </w:rPr>
            </w:pPr>
          </w:p>
        </w:tc>
        <w:tc>
          <w:tcPr>
            <w:tcW w:w="1026" w:type="dxa"/>
          </w:tcPr>
          <w:p w14:paraId="14CDA79C" w14:textId="77777777" w:rsidR="00695EBA" w:rsidRDefault="00695EBA" w:rsidP="00A95965">
            <w:pPr>
              <w:pStyle w:val="TableText"/>
              <w:rPr>
                <w:szCs w:val="20"/>
              </w:rPr>
            </w:pPr>
          </w:p>
        </w:tc>
      </w:tr>
      <w:tr w:rsidR="00695EBA" w14:paraId="61634816"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1863FE63" w14:textId="77777777" w:rsidR="00695EBA" w:rsidRDefault="00695EBA" w:rsidP="00A95965">
            <w:pPr>
              <w:pStyle w:val="TableText"/>
              <w:rPr>
                <w:szCs w:val="20"/>
              </w:rPr>
            </w:pPr>
          </w:p>
        </w:tc>
        <w:tc>
          <w:tcPr>
            <w:tcW w:w="2290" w:type="dxa"/>
          </w:tcPr>
          <w:p w14:paraId="4F22E9D1" w14:textId="77777777" w:rsidR="00695EBA" w:rsidRDefault="00695EBA" w:rsidP="00A95965">
            <w:pPr>
              <w:pStyle w:val="TableText"/>
              <w:rPr>
                <w:szCs w:val="20"/>
              </w:rPr>
            </w:pPr>
          </w:p>
        </w:tc>
        <w:tc>
          <w:tcPr>
            <w:tcW w:w="897" w:type="dxa"/>
          </w:tcPr>
          <w:p w14:paraId="0970C634" w14:textId="77777777" w:rsidR="00695EBA" w:rsidRDefault="00695EBA" w:rsidP="00571D70">
            <w:pPr>
              <w:pStyle w:val="TableText"/>
              <w:rPr>
                <w:szCs w:val="20"/>
              </w:rPr>
            </w:pPr>
          </w:p>
        </w:tc>
        <w:tc>
          <w:tcPr>
            <w:tcW w:w="797" w:type="dxa"/>
          </w:tcPr>
          <w:p w14:paraId="4670731C" w14:textId="77777777" w:rsidR="00695EBA" w:rsidRDefault="00695EBA" w:rsidP="00A95965">
            <w:pPr>
              <w:pStyle w:val="TableText"/>
              <w:rPr>
                <w:szCs w:val="20"/>
              </w:rPr>
            </w:pPr>
          </w:p>
        </w:tc>
        <w:tc>
          <w:tcPr>
            <w:tcW w:w="835" w:type="dxa"/>
          </w:tcPr>
          <w:p w14:paraId="62FCD82E" w14:textId="77777777" w:rsidR="00695EBA" w:rsidRDefault="00695EBA" w:rsidP="00A95965">
            <w:pPr>
              <w:pStyle w:val="TableText"/>
              <w:rPr>
                <w:szCs w:val="20"/>
              </w:rPr>
            </w:pPr>
          </w:p>
        </w:tc>
        <w:tc>
          <w:tcPr>
            <w:tcW w:w="905" w:type="dxa"/>
          </w:tcPr>
          <w:p w14:paraId="18FE42D7" w14:textId="77777777" w:rsidR="00695EBA" w:rsidRDefault="00695EBA" w:rsidP="00A95965">
            <w:pPr>
              <w:pStyle w:val="TableText"/>
              <w:rPr>
                <w:szCs w:val="20"/>
              </w:rPr>
            </w:pPr>
          </w:p>
        </w:tc>
        <w:tc>
          <w:tcPr>
            <w:tcW w:w="1357" w:type="dxa"/>
          </w:tcPr>
          <w:p w14:paraId="6D56FBAF" w14:textId="77777777" w:rsidR="00695EBA" w:rsidRDefault="00695EBA" w:rsidP="00A95965">
            <w:pPr>
              <w:pStyle w:val="TableText"/>
              <w:rPr>
                <w:szCs w:val="20"/>
              </w:rPr>
            </w:pPr>
          </w:p>
        </w:tc>
        <w:tc>
          <w:tcPr>
            <w:tcW w:w="747" w:type="dxa"/>
          </w:tcPr>
          <w:p w14:paraId="3D0250A6" w14:textId="77777777" w:rsidR="00695EBA" w:rsidRDefault="00695EBA" w:rsidP="00A95965">
            <w:pPr>
              <w:pStyle w:val="TableText"/>
              <w:rPr>
                <w:szCs w:val="20"/>
              </w:rPr>
            </w:pPr>
          </w:p>
        </w:tc>
        <w:tc>
          <w:tcPr>
            <w:tcW w:w="708" w:type="dxa"/>
          </w:tcPr>
          <w:p w14:paraId="1CDCD5AF" w14:textId="77777777" w:rsidR="00695EBA" w:rsidRDefault="00695EBA" w:rsidP="00A95965">
            <w:pPr>
              <w:pStyle w:val="TableText"/>
              <w:rPr>
                <w:szCs w:val="20"/>
              </w:rPr>
            </w:pPr>
          </w:p>
        </w:tc>
        <w:tc>
          <w:tcPr>
            <w:tcW w:w="1026" w:type="dxa"/>
          </w:tcPr>
          <w:p w14:paraId="5EFE6B32" w14:textId="77777777" w:rsidR="00695EBA" w:rsidRDefault="00695EBA" w:rsidP="00A95965">
            <w:pPr>
              <w:pStyle w:val="TableText"/>
              <w:rPr>
                <w:szCs w:val="20"/>
              </w:rPr>
            </w:pPr>
          </w:p>
        </w:tc>
      </w:tr>
    </w:tbl>
    <w:p w14:paraId="38D1558D" w14:textId="77777777" w:rsidR="00E7240A" w:rsidRDefault="00E7240A" w:rsidP="00DD75E5">
      <w:pPr>
        <w:pStyle w:val="BodyText"/>
      </w:pPr>
    </w:p>
    <w:p w14:paraId="51CBC8BB" w14:textId="77777777" w:rsidR="00E7240A" w:rsidRDefault="00E7240A" w:rsidP="00E7240A">
      <w:pPr>
        <w:pStyle w:val="Heading3"/>
      </w:pPr>
      <w:r>
        <w:br w:type="page"/>
      </w:r>
      <w:bookmarkStart w:id="605" w:name="_Toc4588862"/>
      <w:r>
        <w:lastRenderedPageBreak/>
        <w:t>Unit Modification Form</w:t>
      </w:r>
      <w:bookmarkEnd w:id="605"/>
      <w:r w:rsidR="00246F04">
        <w:fldChar w:fldCharType="begin"/>
      </w:r>
      <w:r w:rsidR="00246F04">
        <w:instrText xml:space="preserve"> XE "</w:instrText>
      </w:r>
      <w:r w:rsidR="00246F04" w:rsidRPr="00775C8B">
        <w:instrText>Unit Modification Form</w:instrText>
      </w:r>
      <w:r w:rsidR="00246F04">
        <w:instrText xml:space="preserve">" </w:instrText>
      </w:r>
      <w:r w:rsidR="00246F04">
        <w:fldChar w:fldCharType="end"/>
      </w:r>
      <w:r w:rsidR="00A95965">
        <w:fldChar w:fldCharType="begin"/>
      </w:r>
      <w:r w:rsidR="00A95965">
        <w:instrText xml:space="preserve"> XE “Forms:Unit Modification Form” </w:instrText>
      </w:r>
      <w:r w:rsidR="00A95965">
        <w:fldChar w:fldCharType="end"/>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2"/>
        <w:gridCol w:w="1609"/>
        <w:gridCol w:w="2039"/>
        <w:gridCol w:w="1201"/>
        <w:gridCol w:w="2639"/>
        <w:gridCol w:w="600"/>
        <w:gridCol w:w="3240"/>
      </w:tblGrid>
      <w:tr w:rsidR="003F4F8B" w14:paraId="6D556DA5" w14:textId="77777777">
        <w:tc>
          <w:tcPr>
            <w:tcW w:w="12960" w:type="dxa"/>
            <w:gridSpan w:val="7"/>
          </w:tcPr>
          <w:p w14:paraId="11E084DB" w14:textId="77777777" w:rsidR="003F4F8B" w:rsidRPr="003F4F8B" w:rsidRDefault="003F4F8B" w:rsidP="003F4F8B">
            <w:pPr>
              <w:pStyle w:val="TableText"/>
            </w:pPr>
            <w:r w:rsidRPr="00887834">
              <w:rPr>
                <w:b/>
              </w:rPr>
              <w:t xml:space="preserve">Facility Name: </w:t>
            </w:r>
          </w:p>
        </w:tc>
      </w:tr>
      <w:tr w:rsidR="003F4F8B" w14:paraId="49345AB6" w14:textId="77777777">
        <w:tc>
          <w:tcPr>
            <w:tcW w:w="12960" w:type="dxa"/>
            <w:gridSpan w:val="7"/>
          </w:tcPr>
          <w:p w14:paraId="015C339A" w14:textId="77777777" w:rsidR="003F4F8B" w:rsidRPr="003F4F8B" w:rsidRDefault="003F4F8B" w:rsidP="003F4F8B">
            <w:pPr>
              <w:pStyle w:val="TableText"/>
            </w:pPr>
            <w:r w:rsidRPr="00887834">
              <w:rPr>
                <w:b/>
              </w:rPr>
              <w:t xml:space="preserve">Address: </w:t>
            </w:r>
          </w:p>
        </w:tc>
      </w:tr>
      <w:tr w:rsidR="003F4F8B" w14:paraId="317BBD34" w14:textId="77777777">
        <w:tc>
          <w:tcPr>
            <w:tcW w:w="12960" w:type="dxa"/>
            <w:gridSpan w:val="7"/>
          </w:tcPr>
          <w:p w14:paraId="7888C1B2" w14:textId="77777777" w:rsidR="003F4F8B" w:rsidRPr="003F4F8B" w:rsidRDefault="003F4F8B" w:rsidP="003F4F8B">
            <w:pPr>
              <w:pStyle w:val="TableText"/>
            </w:pPr>
            <w:r w:rsidRPr="00887834">
              <w:rPr>
                <w:b/>
              </w:rPr>
              <w:t>City, State, Zip Code:</w:t>
            </w:r>
            <w:r>
              <w:t xml:space="preserve"> </w:t>
            </w:r>
          </w:p>
        </w:tc>
      </w:tr>
      <w:tr w:rsidR="00E7240A" w14:paraId="46653702"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230"/>
        </w:trPr>
        <w:tc>
          <w:tcPr>
            <w:tcW w:w="3241" w:type="dxa"/>
            <w:gridSpan w:val="2"/>
            <w:shd w:val="clear" w:color="auto" w:fill="B3B3B3"/>
            <w:noWrap/>
          </w:tcPr>
          <w:p w14:paraId="73165153" w14:textId="77777777" w:rsidR="00E7240A" w:rsidRPr="005F4649" w:rsidRDefault="00E7240A" w:rsidP="00A95965">
            <w:pPr>
              <w:pStyle w:val="TableText"/>
              <w:rPr>
                <w:b/>
                <w:szCs w:val="20"/>
              </w:rPr>
            </w:pPr>
            <w:r>
              <w:rPr>
                <w:b/>
                <w:szCs w:val="20"/>
              </w:rPr>
              <w:t>Modification Date and Time</w:t>
            </w:r>
          </w:p>
        </w:tc>
        <w:tc>
          <w:tcPr>
            <w:tcW w:w="3240" w:type="dxa"/>
            <w:gridSpan w:val="2"/>
            <w:shd w:val="clear" w:color="auto" w:fill="B3B3B3"/>
          </w:tcPr>
          <w:p w14:paraId="3A3ACA66" w14:textId="77777777" w:rsidR="00E7240A" w:rsidRPr="005F4649" w:rsidRDefault="00E7240A" w:rsidP="00A95965">
            <w:pPr>
              <w:pStyle w:val="TableText"/>
              <w:rPr>
                <w:b/>
                <w:szCs w:val="20"/>
              </w:rPr>
            </w:pPr>
            <w:r>
              <w:rPr>
                <w:b/>
                <w:szCs w:val="20"/>
              </w:rPr>
              <w:t>Modification Type</w:t>
            </w:r>
          </w:p>
        </w:tc>
        <w:tc>
          <w:tcPr>
            <w:tcW w:w="3239" w:type="dxa"/>
            <w:gridSpan w:val="2"/>
            <w:shd w:val="clear" w:color="auto" w:fill="B3B3B3"/>
          </w:tcPr>
          <w:p w14:paraId="7C737E99" w14:textId="77777777" w:rsidR="00E7240A" w:rsidRDefault="00E7240A" w:rsidP="00A95965">
            <w:pPr>
              <w:pStyle w:val="TableText"/>
              <w:rPr>
                <w:b/>
                <w:szCs w:val="20"/>
              </w:rPr>
            </w:pPr>
            <w:r>
              <w:rPr>
                <w:b/>
                <w:szCs w:val="20"/>
              </w:rPr>
              <w:t>Method (Open, Closed, SCD)</w:t>
            </w:r>
          </w:p>
        </w:tc>
        <w:tc>
          <w:tcPr>
            <w:tcW w:w="3240" w:type="dxa"/>
            <w:shd w:val="clear" w:color="auto" w:fill="B3B3B3"/>
          </w:tcPr>
          <w:p w14:paraId="75CCA1B9" w14:textId="77777777" w:rsidR="00E7240A" w:rsidRPr="005F4649" w:rsidRDefault="00E7240A" w:rsidP="00A95965">
            <w:pPr>
              <w:pStyle w:val="TableText"/>
              <w:rPr>
                <w:b/>
                <w:szCs w:val="20"/>
              </w:rPr>
            </w:pPr>
            <w:r>
              <w:rPr>
                <w:b/>
                <w:szCs w:val="20"/>
              </w:rPr>
              <w:t>Modified By:</w:t>
            </w:r>
          </w:p>
        </w:tc>
      </w:tr>
      <w:tr w:rsidR="00E7240A" w14:paraId="4B383EB4"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432"/>
        </w:trPr>
        <w:tc>
          <w:tcPr>
            <w:tcW w:w="3241" w:type="dxa"/>
            <w:gridSpan w:val="2"/>
            <w:noWrap/>
          </w:tcPr>
          <w:p w14:paraId="33FC2ADC" w14:textId="77777777" w:rsidR="00E7240A" w:rsidRDefault="00E7240A" w:rsidP="00A95965">
            <w:pPr>
              <w:pStyle w:val="TableText"/>
              <w:rPr>
                <w:b/>
                <w:szCs w:val="20"/>
              </w:rPr>
            </w:pPr>
          </w:p>
        </w:tc>
        <w:tc>
          <w:tcPr>
            <w:tcW w:w="3240" w:type="dxa"/>
            <w:gridSpan w:val="2"/>
          </w:tcPr>
          <w:p w14:paraId="6C04F94F" w14:textId="77777777" w:rsidR="00E7240A" w:rsidRDefault="00E7240A" w:rsidP="00A95965">
            <w:pPr>
              <w:pStyle w:val="TableText"/>
              <w:rPr>
                <w:b/>
                <w:szCs w:val="20"/>
              </w:rPr>
            </w:pPr>
          </w:p>
        </w:tc>
        <w:tc>
          <w:tcPr>
            <w:tcW w:w="3239" w:type="dxa"/>
            <w:gridSpan w:val="2"/>
          </w:tcPr>
          <w:p w14:paraId="15DD3F2B" w14:textId="77777777" w:rsidR="00E7240A" w:rsidRDefault="00E7240A" w:rsidP="00A95965">
            <w:pPr>
              <w:pStyle w:val="TableText"/>
              <w:rPr>
                <w:b/>
                <w:szCs w:val="20"/>
              </w:rPr>
            </w:pPr>
          </w:p>
        </w:tc>
        <w:tc>
          <w:tcPr>
            <w:tcW w:w="3240" w:type="dxa"/>
          </w:tcPr>
          <w:p w14:paraId="63CD04A6" w14:textId="77777777" w:rsidR="00E7240A" w:rsidRDefault="00E7240A" w:rsidP="00A95965">
            <w:pPr>
              <w:pStyle w:val="TableText"/>
              <w:rPr>
                <w:b/>
                <w:szCs w:val="20"/>
              </w:rPr>
            </w:pPr>
          </w:p>
        </w:tc>
      </w:tr>
      <w:tr w:rsidR="00E7240A" w14:paraId="04AF9B96"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Ex>
        <w:trPr>
          <w:cantSplit/>
          <w:trHeight w:val="230"/>
        </w:trPr>
        <w:tc>
          <w:tcPr>
            <w:tcW w:w="1632" w:type="dxa"/>
            <w:tcBorders>
              <w:bottom w:val="single" w:sz="2" w:space="0" w:color="auto"/>
            </w:tcBorders>
            <w:shd w:val="clear" w:color="auto" w:fill="B3B3B3"/>
            <w:noWrap/>
          </w:tcPr>
          <w:p w14:paraId="47CA5688" w14:textId="77777777" w:rsidR="00E7240A" w:rsidRDefault="00E7240A" w:rsidP="00A95965">
            <w:pPr>
              <w:pStyle w:val="TableText"/>
              <w:rPr>
                <w:b/>
                <w:szCs w:val="20"/>
              </w:rPr>
            </w:pPr>
            <w:r>
              <w:rPr>
                <w:b/>
                <w:szCs w:val="20"/>
              </w:rPr>
              <w:t>Unit Assigned? (Yes, No)</w:t>
            </w:r>
          </w:p>
        </w:tc>
        <w:tc>
          <w:tcPr>
            <w:tcW w:w="3648" w:type="dxa"/>
            <w:gridSpan w:val="2"/>
            <w:tcBorders>
              <w:bottom w:val="single" w:sz="2" w:space="0" w:color="auto"/>
            </w:tcBorders>
            <w:shd w:val="clear" w:color="auto" w:fill="B3B3B3"/>
          </w:tcPr>
          <w:p w14:paraId="386682C3" w14:textId="77777777" w:rsidR="00E7240A" w:rsidRDefault="00E7240A" w:rsidP="00A95965">
            <w:pPr>
              <w:pStyle w:val="TableText"/>
              <w:rPr>
                <w:b/>
                <w:szCs w:val="20"/>
              </w:rPr>
            </w:pPr>
            <w:r>
              <w:rPr>
                <w:b/>
                <w:szCs w:val="20"/>
              </w:rPr>
              <w:t>Patient Name</w:t>
            </w:r>
          </w:p>
        </w:tc>
        <w:tc>
          <w:tcPr>
            <w:tcW w:w="3840" w:type="dxa"/>
            <w:gridSpan w:val="2"/>
            <w:tcBorders>
              <w:bottom w:val="single" w:sz="2" w:space="0" w:color="auto"/>
            </w:tcBorders>
            <w:shd w:val="clear" w:color="auto" w:fill="B3B3B3"/>
          </w:tcPr>
          <w:p w14:paraId="4FB34722" w14:textId="77777777" w:rsidR="00E7240A" w:rsidRDefault="00E7240A" w:rsidP="00A95965">
            <w:pPr>
              <w:pStyle w:val="TableText"/>
              <w:rPr>
                <w:b/>
                <w:szCs w:val="20"/>
              </w:rPr>
            </w:pPr>
            <w:r>
              <w:rPr>
                <w:b/>
                <w:szCs w:val="20"/>
              </w:rPr>
              <w:t>Patient Identification Number</w:t>
            </w:r>
          </w:p>
        </w:tc>
        <w:tc>
          <w:tcPr>
            <w:tcW w:w="3840" w:type="dxa"/>
            <w:gridSpan w:val="2"/>
            <w:tcBorders>
              <w:bottom w:val="single" w:sz="2" w:space="0" w:color="auto"/>
            </w:tcBorders>
            <w:shd w:val="clear" w:color="auto" w:fill="B3B3B3"/>
          </w:tcPr>
          <w:p w14:paraId="2BBCCA74" w14:textId="77777777" w:rsidR="00E7240A" w:rsidRDefault="00E7240A" w:rsidP="00A95965">
            <w:pPr>
              <w:pStyle w:val="TableText"/>
              <w:rPr>
                <w:b/>
                <w:szCs w:val="20"/>
              </w:rPr>
            </w:pPr>
            <w:r>
              <w:rPr>
                <w:b/>
                <w:szCs w:val="20"/>
              </w:rPr>
              <w:t>Specimen UID</w:t>
            </w:r>
          </w:p>
        </w:tc>
      </w:tr>
      <w:tr w:rsidR="00E7240A" w14:paraId="3AC72D5F"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Ex>
        <w:trPr>
          <w:cantSplit/>
          <w:trHeight w:val="432"/>
        </w:trPr>
        <w:tc>
          <w:tcPr>
            <w:tcW w:w="1632" w:type="dxa"/>
            <w:shd w:val="clear" w:color="auto" w:fill="auto"/>
            <w:noWrap/>
          </w:tcPr>
          <w:p w14:paraId="5FF07BFE" w14:textId="77777777" w:rsidR="00E7240A" w:rsidRDefault="00E7240A" w:rsidP="00A95965">
            <w:pPr>
              <w:pStyle w:val="TableText"/>
              <w:rPr>
                <w:b/>
                <w:szCs w:val="20"/>
              </w:rPr>
            </w:pPr>
          </w:p>
        </w:tc>
        <w:tc>
          <w:tcPr>
            <w:tcW w:w="3648" w:type="dxa"/>
            <w:gridSpan w:val="2"/>
            <w:shd w:val="clear" w:color="auto" w:fill="auto"/>
          </w:tcPr>
          <w:p w14:paraId="27D1A973" w14:textId="77777777" w:rsidR="00E7240A" w:rsidRDefault="00E7240A" w:rsidP="00A95965">
            <w:pPr>
              <w:pStyle w:val="TableText"/>
              <w:rPr>
                <w:b/>
                <w:szCs w:val="20"/>
              </w:rPr>
            </w:pPr>
          </w:p>
        </w:tc>
        <w:tc>
          <w:tcPr>
            <w:tcW w:w="3840" w:type="dxa"/>
            <w:gridSpan w:val="2"/>
            <w:shd w:val="clear" w:color="auto" w:fill="auto"/>
          </w:tcPr>
          <w:p w14:paraId="315E6304" w14:textId="77777777" w:rsidR="00E7240A" w:rsidRDefault="00E7240A" w:rsidP="00A95965">
            <w:pPr>
              <w:pStyle w:val="TableText"/>
              <w:rPr>
                <w:b/>
                <w:szCs w:val="20"/>
              </w:rPr>
            </w:pPr>
          </w:p>
        </w:tc>
        <w:tc>
          <w:tcPr>
            <w:tcW w:w="3840" w:type="dxa"/>
            <w:gridSpan w:val="2"/>
            <w:shd w:val="clear" w:color="auto" w:fill="auto"/>
          </w:tcPr>
          <w:p w14:paraId="0D0959D0" w14:textId="77777777" w:rsidR="00E7240A" w:rsidRDefault="00E7240A" w:rsidP="00A95965">
            <w:pPr>
              <w:pStyle w:val="TableText"/>
              <w:rPr>
                <w:b/>
                <w:szCs w:val="20"/>
              </w:rPr>
            </w:pPr>
          </w:p>
        </w:tc>
      </w:tr>
    </w:tbl>
    <w:p w14:paraId="062460D2" w14:textId="77777777" w:rsidR="00E7240A" w:rsidRDefault="00E7240A" w:rsidP="00DD75E5">
      <w:pPr>
        <w:pStyle w:val="BodyText"/>
      </w:pPr>
    </w:p>
    <w:tbl>
      <w:tblPr>
        <w:tblW w:w="129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
      <w:tblGrid>
        <w:gridCol w:w="3793"/>
        <w:gridCol w:w="2330"/>
        <w:gridCol w:w="2111"/>
        <w:gridCol w:w="2330"/>
        <w:gridCol w:w="2396"/>
      </w:tblGrid>
      <w:tr w:rsidR="00E7240A" w14:paraId="536F2DC0" w14:textId="77777777">
        <w:trPr>
          <w:cantSplit/>
          <w:trHeight w:val="235"/>
          <w:tblHeader/>
        </w:trPr>
        <w:tc>
          <w:tcPr>
            <w:tcW w:w="12960" w:type="dxa"/>
            <w:gridSpan w:val="5"/>
            <w:shd w:val="clear" w:color="auto" w:fill="B3B3B3"/>
            <w:noWrap/>
          </w:tcPr>
          <w:p w14:paraId="3CA2FA75" w14:textId="77777777" w:rsidR="00E7240A" w:rsidRPr="005F4649" w:rsidRDefault="00E7240A" w:rsidP="00CA119C">
            <w:pPr>
              <w:pStyle w:val="TableText"/>
              <w:rPr>
                <w:b/>
                <w:szCs w:val="20"/>
              </w:rPr>
            </w:pPr>
            <w:r>
              <w:rPr>
                <w:b/>
                <w:szCs w:val="20"/>
              </w:rPr>
              <w:t>Unit(s) to Be Modified</w:t>
            </w:r>
          </w:p>
        </w:tc>
      </w:tr>
      <w:tr w:rsidR="00E7240A" w14:paraId="3218E773" w14:textId="77777777">
        <w:tblPrEx>
          <w:shd w:val="clear" w:color="auto" w:fill="auto"/>
        </w:tblPrEx>
        <w:trPr>
          <w:cantSplit/>
          <w:trHeight w:val="230"/>
          <w:tblHeader/>
        </w:trPr>
        <w:tc>
          <w:tcPr>
            <w:tcW w:w="3793" w:type="dxa"/>
            <w:shd w:val="clear" w:color="auto" w:fill="B3B3B3"/>
            <w:noWrap/>
          </w:tcPr>
          <w:p w14:paraId="6B3AF105" w14:textId="77777777" w:rsidR="00E7240A" w:rsidRPr="005F4649" w:rsidRDefault="00E7240A" w:rsidP="00CA119C">
            <w:pPr>
              <w:pStyle w:val="TableText"/>
              <w:rPr>
                <w:b/>
                <w:szCs w:val="20"/>
              </w:rPr>
            </w:pPr>
            <w:r>
              <w:rPr>
                <w:b/>
                <w:szCs w:val="20"/>
              </w:rPr>
              <w:t>Unit Identification Number</w:t>
            </w:r>
          </w:p>
        </w:tc>
        <w:tc>
          <w:tcPr>
            <w:tcW w:w="2330" w:type="dxa"/>
            <w:shd w:val="clear" w:color="auto" w:fill="B3B3B3"/>
          </w:tcPr>
          <w:p w14:paraId="4F3D3797" w14:textId="77777777" w:rsidR="00E7240A" w:rsidRPr="005F4649" w:rsidRDefault="00E7240A" w:rsidP="00CA119C">
            <w:pPr>
              <w:pStyle w:val="TableText"/>
              <w:rPr>
                <w:b/>
                <w:szCs w:val="20"/>
              </w:rPr>
            </w:pPr>
            <w:r>
              <w:rPr>
                <w:b/>
                <w:szCs w:val="20"/>
              </w:rPr>
              <w:t>Product Code</w:t>
            </w:r>
          </w:p>
        </w:tc>
        <w:tc>
          <w:tcPr>
            <w:tcW w:w="2111" w:type="dxa"/>
            <w:shd w:val="clear" w:color="auto" w:fill="B3B3B3"/>
          </w:tcPr>
          <w:p w14:paraId="7A8A6F8C" w14:textId="77777777" w:rsidR="00E7240A" w:rsidRDefault="00E7240A" w:rsidP="00CA119C">
            <w:pPr>
              <w:pStyle w:val="TableText"/>
              <w:rPr>
                <w:b/>
                <w:szCs w:val="20"/>
              </w:rPr>
            </w:pPr>
            <w:r>
              <w:rPr>
                <w:b/>
                <w:szCs w:val="20"/>
              </w:rPr>
              <w:t>ABO/Rh</w:t>
            </w:r>
          </w:p>
        </w:tc>
        <w:tc>
          <w:tcPr>
            <w:tcW w:w="2330" w:type="dxa"/>
            <w:shd w:val="clear" w:color="auto" w:fill="B3B3B3"/>
          </w:tcPr>
          <w:p w14:paraId="2BE649F1" w14:textId="77777777" w:rsidR="00E7240A" w:rsidRPr="005F4649" w:rsidRDefault="00E7240A" w:rsidP="00CA119C">
            <w:pPr>
              <w:pStyle w:val="TableText"/>
              <w:rPr>
                <w:b/>
                <w:szCs w:val="20"/>
              </w:rPr>
            </w:pPr>
            <w:r>
              <w:rPr>
                <w:b/>
                <w:szCs w:val="20"/>
              </w:rPr>
              <w:t>Container Lot Number</w:t>
            </w:r>
          </w:p>
        </w:tc>
        <w:tc>
          <w:tcPr>
            <w:tcW w:w="2396" w:type="dxa"/>
            <w:shd w:val="clear" w:color="auto" w:fill="B3B3B3"/>
          </w:tcPr>
          <w:p w14:paraId="3CAF7499" w14:textId="77777777" w:rsidR="00E7240A" w:rsidRPr="005F4649" w:rsidRDefault="00E7240A" w:rsidP="00CA119C">
            <w:pPr>
              <w:pStyle w:val="TableText"/>
              <w:rPr>
                <w:b/>
                <w:szCs w:val="20"/>
              </w:rPr>
            </w:pPr>
            <w:r>
              <w:rPr>
                <w:b/>
                <w:szCs w:val="20"/>
              </w:rPr>
              <w:t>Expiration Date and Time</w:t>
            </w:r>
          </w:p>
        </w:tc>
      </w:tr>
      <w:tr w:rsidR="00E7240A" w14:paraId="77FC1AA8" w14:textId="77777777">
        <w:tblPrEx>
          <w:shd w:val="clear" w:color="auto" w:fill="auto"/>
        </w:tblPrEx>
        <w:trPr>
          <w:cantSplit/>
          <w:trHeight w:val="432"/>
        </w:trPr>
        <w:tc>
          <w:tcPr>
            <w:tcW w:w="3793" w:type="dxa"/>
            <w:noWrap/>
          </w:tcPr>
          <w:p w14:paraId="007406C4" w14:textId="77777777" w:rsidR="00E7240A" w:rsidRDefault="00E7240A" w:rsidP="00A95965">
            <w:pPr>
              <w:pStyle w:val="TableText"/>
              <w:rPr>
                <w:b/>
                <w:szCs w:val="20"/>
              </w:rPr>
            </w:pPr>
          </w:p>
        </w:tc>
        <w:tc>
          <w:tcPr>
            <w:tcW w:w="2330" w:type="dxa"/>
          </w:tcPr>
          <w:p w14:paraId="7E343476" w14:textId="77777777" w:rsidR="00E7240A" w:rsidRDefault="00E7240A" w:rsidP="00A95965">
            <w:pPr>
              <w:pStyle w:val="TableText"/>
              <w:rPr>
                <w:b/>
                <w:szCs w:val="20"/>
              </w:rPr>
            </w:pPr>
          </w:p>
        </w:tc>
        <w:tc>
          <w:tcPr>
            <w:tcW w:w="2111" w:type="dxa"/>
          </w:tcPr>
          <w:p w14:paraId="33CD99F7" w14:textId="77777777" w:rsidR="00E7240A" w:rsidRDefault="00E7240A" w:rsidP="00A95965">
            <w:pPr>
              <w:pStyle w:val="TableText"/>
              <w:rPr>
                <w:b/>
                <w:szCs w:val="20"/>
              </w:rPr>
            </w:pPr>
          </w:p>
        </w:tc>
        <w:tc>
          <w:tcPr>
            <w:tcW w:w="2330" w:type="dxa"/>
          </w:tcPr>
          <w:p w14:paraId="71986AED" w14:textId="77777777" w:rsidR="00E7240A" w:rsidRDefault="00E7240A" w:rsidP="00A95965">
            <w:pPr>
              <w:pStyle w:val="TableText"/>
              <w:rPr>
                <w:b/>
                <w:szCs w:val="20"/>
              </w:rPr>
            </w:pPr>
          </w:p>
        </w:tc>
        <w:tc>
          <w:tcPr>
            <w:tcW w:w="2396" w:type="dxa"/>
          </w:tcPr>
          <w:p w14:paraId="7F4AE9E6" w14:textId="77777777" w:rsidR="00E7240A" w:rsidRDefault="00E7240A" w:rsidP="00A95965">
            <w:pPr>
              <w:pStyle w:val="TableText"/>
              <w:rPr>
                <w:b/>
                <w:szCs w:val="20"/>
              </w:rPr>
            </w:pPr>
          </w:p>
        </w:tc>
      </w:tr>
      <w:tr w:rsidR="00E7240A" w14:paraId="1C5BA426" w14:textId="77777777">
        <w:tblPrEx>
          <w:shd w:val="clear" w:color="auto" w:fill="auto"/>
        </w:tblPrEx>
        <w:trPr>
          <w:cantSplit/>
          <w:trHeight w:val="432"/>
        </w:trPr>
        <w:tc>
          <w:tcPr>
            <w:tcW w:w="3793" w:type="dxa"/>
            <w:noWrap/>
          </w:tcPr>
          <w:p w14:paraId="1D9793D9" w14:textId="77777777" w:rsidR="00E7240A" w:rsidRDefault="00E7240A" w:rsidP="00A95965">
            <w:pPr>
              <w:pStyle w:val="TableText"/>
              <w:rPr>
                <w:b/>
                <w:szCs w:val="20"/>
              </w:rPr>
            </w:pPr>
          </w:p>
        </w:tc>
        <w:tc>
          <w:tcPr>
            <w:tcW w:w="2330" w:type="dxa"/>
          </w:tcPr>
          <w:p w14:paraId="5B0FA633" w14:textId="77777777" w:rsidR="00E7240A" w:rsidRDefault="00E7240A" w:rsidP="00A95965">
            <w:pPr>
              <w:pStyle w:val="TableText"/>
              <w:rPr>
                <w:b/>
                <w:szCs w:val="20"/>
              </w:rPr>
            </w:pPr>
          </w:p>
        </w:tc>
        <w:tc>
          <w:tcPr>
            <w:tcW w:w="2111" w:type="dxa"/>
          </w:tcPr>
          <w:p w14:paraId="0267DF7A" w14:textId="77777777" w:rsidR="00E7240A" w:rsidRDefault="00E7240A" w:rsidP="00A95965">
            <w:pPr>
              <w:pStyle w:val="TableText"/>
              <w:rPr>
                <w:b/>
                <w:szCs w:val="20"/>
              </w:rPr>
            </w:pPr>
          </w:p>
        </w:tc>
        <w:tc>
          <w:tcPr>
            <w:tcW w:w="2330" w:type="dxa"/>
          </w:tcPr>
          <w:p w14:paraId="65F502D7" w14:textId="77777777" w:rsidR="00E7240A" w:rsidRDefault="00E7240A" w:rsidP="00A95965">
            <w:pPr>
              <w:pStyle w:val="TableText"/>
              <w:rPr>
                <w:b/>
                <w:szCs w:val="20"/>
              </w:rPr>
            </w:pPr>
          </w:p>
        </w:tc>
        <w:tc>
          <w:tcPr>
            <w:tcW w:w="2396" w:type="dxa"/>
          </w:tcPr>
          <w:p w14:paraId="037AE2CE" w14:textId="77777777" w:rsidR="00E7240A" w:rsidRDefault="00E7240A" w:rsidP="00A95965">
            <w:pPr>
              <w:pStyle w:val="TableText"/>
              <w:rPr>
                <w:b/>
                <w:szCs w:val="20"/>
              </w:rPr>
            </w:pPr>
          </w:p>
        </w:tc>
      </w:tr>
      <w:tr w:rsidR="00E7240A" w14:paraId="08F307A9" w14:textId="77777777">
        <w:tblPrEx>
          <w:shd w:val="clear" w:color="auto" w:fill="auto"/>
        </w:tblPrEx>
        <w:trPr>
          <w:cantSplit/>
          <w:trHeight w:val="432"/>
        </w:trPr>
        <w:tc>
          <w:tcPr>
            <w:tcW w:w="3793" w:type="dxa"/>
            <w:noWrap/>
          </w:tcPr>
          <w:p w14:paraId="02B4F8D6" w14:textId="77777777" w:rsidR="00E7240A" w:rsidRDefault="00E7240A" w:rsidP="00A95965">
            <w:pPr>
              <w:pStyle w:val="TableText"/>
              <w:rPr>
                <w:b/>
                <w:szCs w:val="20"/>
              </w:rPr>
            </w:pPr>
          </w:p>
        </w:tc>
        <w:tc>
          <w:tcPr>
            <w:tcW w:w="2330" w:type="dxa"/>
          </w:tcPr>
          <w:p w14:paraId="73BAD19A" w14:textId="77777777" w:rsidR="00E7240A" w:rsidRDefault="00E7240A" w:rsidP="00A95965">
            <w:pPr>
              <w:pStyle w:val="TableText"/>
              <w:rPr>
                <w:b/>
                <w:szCs w:val="20"/>
              </w:rPr>
            </w:pPr>
          </w:p>
        </w:tc>
        <w:tc>
          <w:tcPr>
            <w:tcW w:w="2111" w:type="dxa"/>
          </w:tcPr>
          <w:p w14:paraId="6107F310" w14:textId="77777777" w:rsidR="00E7240A" w:rsidRDefault="00E7240A" w:rsidP="00A95965">
            <w:pPr>
              <w:pStyle w:val="TableText"/>
              <w:rPr>
                <w:b/>
                <w:szCs w:val="20"/>
              </w:rPr>
            </w:pPr>
          </w:p>
        </w:tc>
        <w:tc>
          <w:tcPr>
            <w:tcW w:w="2330" w:type="dxa"/>
          </w:tcPr>
          <w:p w14:paraId="09048FCC" w14:textId="77777777" w:rsidR="00E7240A" w:rsidRDefault="00E7240A" w:rsidP="00A95965">
            <w:pPr>
              <w:pStyle w:val="TableText"/>
              <w:rPr>
                <w:b/>
                <w:szCs w:val="20"/>
              </w:rPr>
            </w:pPr>
          </w:p>
        </w:tc>
        <w:tc>
          <w:tcPr>
            <w:tcW w:w="2396" w:type="dxa"/>
          </w:tcPr>
          <w:p w14:paraId="0F0D3691" w14:textId="77777777" w:rsidR="00E7240A" w:rsidRDefault="00E7240A" w:rsidP="00A95965">
            <w:pPr>
              <w:pStyle w:val="TableText"/>
              <w:rPr>
                <w:b/>
                <w:szCs w:val="20"/>
              </w:rPr>
            </w:pPr>
          </w:p>
        </w:tc>
      </w:tr>
      <w:tr w:rsidR="00E7240A" w14:paraId="14212F11" w14:textId="77777777">
        <w:tblPrEx>
          <w:shd w:val="clear" w:color="auto" w:fill="auto"/>
        </w:tblPrEx>
        <w:trPr>
          <w:cantSplit/>
          <w:trHeight w:val="432"/>
        </w:trPr>
        <w:tc>
          <w:tcPr>
            <w:tcW w:w="3793" w:type="dxa"/>
            <w:noWrap/>
          </w:tcPr>
          <w:p w14:paraId="6E798D99" w14:textId="77777777" w:rsidR="00E7240A" w:rsidRDefault="00E7240A" w:rsidP="00A95965">
            <w:pPr>
              <w:pStyle w:val="TableText"/>
              <w:rPr>
                <w:b/>
                <w:szCs w:val="20"/>
              </w:rPr>
            </w:pPr>
          </w:p>
        </w:tc>
        <w:tc>
          <w:tcPr>
            <w:tcW w:w="2330" w:type="dxa"/>
          </w:tcPr>
          <w:p w14:paraId="483A110E" w14:textId="77777777" w:rsidR="00E7240A" w:rsidRDefault="00E7240A" w:rsidP="00A95965">
            <w:pPr>
              <w:pStyle w:val="TableText"/>
              <w:rPr>
                <w:b/>
                <w:szCs w:val="20"/>
              </w:rPr>
            </w:pPr>
          </w:p>
        </w:tc>
        <w:tc>
          <w:tcPr>
            <w:tcW w:w="2111" w:type="dxa"/>
          </w:tcPr>
          <w:p w14:paraId="76AD2445" w14:textId="77777777" w:rsidR="00E7240A" w:rsidRDefault="00E7240A" w:rsidP="00A95965">
            <w:pPr>
              <w:pStyle w:val="TableText"/>
              <w:rPr>
                <w:b/>
                <w:szCs w:val="20"/>
              </w:rPr>
            </w:pPr>
          </w:p>
        </w:tc>
        <w:tc>
          <w:tcPr>
            <w:tcW w:w="2330" w:type="dxa"/>
          </w:tcPr>
          <w:p w14:paraId="6B555144" w14:textId="77777777" w:rsidR="00E7240A" w:rsidRDefault="00E7240A" w:rsidP="00A95965">
            <w:pPr>
              <w:pStyle w:val="TableText"/>
              <w:rPr>
                <w:b/>
                <w:szCs w:val="20"/>
              </w:rPr>
            </w:pPr>
          </w:p>
        </w:tc>
        <w:tc>
          <w:tcPr>
            <w:tcW w:w="2396" w:type="dxa"/>
          </w:tcPr>
          <w:p w14:paraId="431B949D" w14:textId="77777777" w:rsidR="00E7240A" w:rsidRDefault="00E7240A" w:rsidP="00A95965">
            <w:pPr>
              <w:pStyle w:val="TableText"/>
              <w:rPr>
                <w:b/>
                <w:szCs w:val="20"/>
              </w:rPr>
            </w:pPr>
          </w:p>
        </w:tc>
      </w:tr>
      <w:tr w:rsidR="00E7240A" w14:paraId="1C6BB747" w14:textId="77777777">
        <w:tblPrEx>
          <w:shd w:val="clear" w:color="auto" w:fill="auto"/>
        </w:tblPrEx>
        <w:trPr>
          <w:cantSplit/>
          <w:trHeight w:val="432"/>
        </w:trPr>
        <w:tc>
          <w:tcPr>
            <w:tcW w:w="3793" w:type="dxa"/>
            <w:noWrap/>
          </w:tcPr>
          <w:p w14:paraId="58176575" w14:textId="77777777" w:rsidR="00E7240A" w:rsidRDefault="00E7240A" w:rsidP="00A95965">
            <w:pPr>
              <w:pStyle w:val="TableText"/>
              <w:rPr>
                <w:b/>
                <w:szCs w:val="20"/>
              </w:rPr>
            </w:pPr>
          </w:p>
        </w:tc>
        <w:tc>
          <w:tcPr>
            <w:tcW w:w="2330" w:type="dxa"/>
          </w:tcPr>
          <w:p w14:paraId="149C21E2" w14:textId="77777777" w:rsidR="00E7240A" w:rsidRDefault="00E7240A" w:rsidP="00A95965">
            <w:pPr>
              <w:pStyle w:val="TableText"/>
              <w:rPr>
                <w:b/>
                <w:szCs w:val="20"/>
              </w:rPr>
            </w:pPr>
          </w:p>
        </w:tc>
        <w:tc>
          <w:tcPr>
            <w:tcW w:w="2111" w:type="dxa"/>
          </w:tcPr>
          <w:p w14:paraId="44CC8F8D" w14:textId="77777777" w:rsidR="00E7240A" w:rsidRDefault="00E7240A" w:rsidP="00A95965">
            <w:pPr>
              <w:pStyle w:val="TableText"/>
              <w:rPr>
                <w:b/>
                <w:szCs w:val="20"/>
              </w:rPr>
            </w:pPr>
          </w:p>
        </w:tc>
        <w:tc>
          <w:tcPr>
            <w:tcW w:w="2330" w:type="dxa"/>
          </w:tcPr>
          <w:p w14:paraId="76ABF3C1" w14:textId="77777777" w:rsidR="00E7240A" w:rsidRDefault="00E7240A" w:rsidP="00A95965">
            <w:pPr>
              <w:pStyle w:val="TableText"/>
              <w:rPr>
                <w:b/>
                <w:szCs w:val="20"/>
              </w:rPr>
            </w:pPr>
          </w:p>
        </w:tc>
        <w:tc>
          <w:tcPr>
            <w:tcW w:w="2396" w:type="dxa"/>
          </w:tcPr>
          <w:p w14:paraId="3DB323A8" w14:textId="77777777" w:rsidR="00E7240A" w:rsidRDefault="00E7240A" w:rsidP="00A95965">
            <w:pPr>
              <w:pStyle w:val="TableText"/>
              <w:rPr>
                <w:b/>
                <w:szCs w:val="20"/>
              </w:rPr>
            </w:pPr>
          </w:p>
        </w:tc>
      </w:tr>
      <w:tr w:rsidR="00E7240A" w14:paraId="09A305B6" w14:textId="77777777">
        <w:tblPrEx>
          <w:shd w:val="clear" w:color="auto" w:fill="auto"/>
        </w:tblPrEx>
        <w:trPr>
          <w:cantSplit/>
          <w:trHeight w:val="432"/>
        </w:trPr>
        <w:tc>
          <w:tcPr>
            <w:tcW w:w="3793" w:type="dxa"/>
            <w:noWrap/>
          </w:tcPr>
          <w:p w14:paraId="6B62F110" w14:textId="77777777" w:rsidR="00E7240A" w:rsidRDefault="00E7240A" w:rsidP="00A95965">
            <w:pPr>
              <w:pStyle w:val="TableText"/>
              <w:rPr>
                <w:b/>
                <w:szCs w:val="20"/>
              </w:rPr>
            </w:pPr>
          </w:p>
        </w:tc>
        <w:tc>
          <w:tcPr>
            <w:tcW w:w="2330" w:type="dxa"/>
          </w:tcPr>
          <w:p w14:paraId="4DC6DD96" w14:textId="77777777" w:rsidR="00E7240A" w:rsidRDefault="00E7240A" w:rsidP="00A95965">
            <w:pPr>
              <w:pStyle w:val="TableText"/>
              <w:rPr>
                <w:b/>
                <w:szCs w:val="20"/>
              </w:rPr>
            </w:pPr>
          </w:p>
        </w:tc>
        <w:tc>
          <w:tcPr>
            <w:tcW w:w="2111" w:type="dxa"/>
          </w:tcPr>
          <w:p w14:paraId="612F972F" w14:textId="77777777" w:rsidR="00E7240A" w:rsidRDefault="00E7240A" w:rsidP="00A95965">
            <w:pPr>
              <w:pStyle w:val="TableText"/>
              <w:rPr>
                <w:b/>
                <w:szCs w:val="20"/>
              </w:rPr>
            </w:pPr>
          </w:p>
        </w:tc>
        <w:tc>
          <w:tcPr>
            <w:tcW w:w="2330" w:type="dxa"/>
          </w:tcPr>
          <w:p w14:paraId="79C7E227" w14:textId="77777777" w:rsidR="00E7240A" w:rsidRDefault="00E7240A" w:rsidP="00A95965">
            <w:pPr>
              <w:pStyle w:val="TableText"/>
              <w:rPr>
                <w:b/>
                <w:szCs w:val="20"/>
              </w:rPr>
            </w:pPr>
          </w:p>
        </w:tc>
        <w:tc>
          <w:tcPr>
            <w:tcW w:w="2396" w:type="dxa"/>
          </w:tcPr>
          <w:p w14:paraId="043BEA95" w14:textId="77777777" w:rsidR="00E7240A" w:rsidRDefault="00E7240A" w:rsidP="00A95965">
            <w:pPr>
              <w:pStyle w:val="TableText"/>
              <w:rPr>
                <w:b/>
                <w:szCs w:val="20"/>
              </w:rPr>
            </w:pPr>
          </w:p>
        </w:tc>
      </w:tr>
      <w:tr w:rsidR="00E7240A" w14:paraId="15DCE05A" w14:textId="77777777">
        <w:tblPrEx>
          <w:shd w:val="clear" w:color="auto" w:fill="auto"/>
        </w:tblPrEx>
        <w:trPr>
          <w:cantSplit/>
          <w:trHeight w:val="432"/>
        </w:trPr>
        <w:tc>
          <w:tcPr>
            <w:tcW w:w="3793" w:type="dxa"/>
            <w:noWrap/>
          </w:tcPr>
          <w:p w14:paraId="4E1ED7B4" w14:textId="77777777" w:rsidR="00E7240A" w:rsidRDefault="00E7240A" w:rsidP="00A95965">
            <w:pPr>
              <w:pStyle w:val="TableText"/>
              <w:rPr>
                <w:b/>
                <w:szCs w:val="20"/>
              </w:rPr>
            </w:pPr>
          </w:p>
        </w:tc>
        <w:tc>
          <w:tcPr>
            <w:tcW w:w="2330" w:type="dxa"/>
          </w:tcPr>
          <w:p w14:paraId="10460443" w14:textId="77777777" w:rsidR="00E7240A" w:rsidRDefault="00E7240A" w:rsidP="00A95965">
            <w:pPr>
              <w:pStyle w:val="TableText"/>
              <w:rPr>
                <w:b/>
                <w:szCs w:val="20"/>
              </w:rPr>
            </w:pPr>
          </w:p>
        </w:tc>
        <w:tc>
          <w:tcPr>
            <w:tcW w:w="2111" w:type="dxa"/>
          </w:tcPr>
          <w:p w14:paraId="691E3915" w14:textId="77777777" w:rsidR="00E7240A" w:rsidRDefault="00E7240A" w:rsidP="00A95965">
            <w:pPr>
              <w:pStyle w:val="TableText"/>
              <w:rPr>
                <w:b/>
                <w:szCs w:val="20"/>
              </w:rPr>
            </w:pPr>
          </w:p>
        </w:tc>
        <w:tc>
          <w:tcPr>
            <w:tcW w:w="2330" w:type="dxa"/>
          </w:tcPr>
          <w:p w14:paraId="4780C40E" w14:textId="77777777" w:rsidR="00E7240A" w:rsidRDefault="00E7240A" w:rsidP="00A95965">
            <w:pPr>
              <w:pStyle w:val="TableText"/>
              <w:rPr>
                <w:b/>
                <w:szCs w:val="20"/>
              </w:rPr>
            </w:pPr>
          </w:p>
        </w:tc>
        <w:tc>
          <w:tcPr>
            <w:tcW w:w="2396" w:type="dxa"/>
          </w:tcPr>
          <w:p w14:paraId="31EE165E" w14:textId="77777777" w:rsidR="00E7240A" w:rsidRDefault="00E7240A" w:rsidP="00A95965">
            <w:pPr>
              <w:pStyle w:val="TableText"/>
              <w:rPr>
                <w:b/>
                <w:szCs w:val="20"/>
              </w:rPr>
            </w:pPr>
          </w:p>
        </w:tc>
      </w:tr>
      <w:tr w:rsidR="00E7240A" w14:paraId="0F7439D8" w14:textId="77777777">
        <w:tblPrEx>
          <w:shd w:val="clear" w:color="auto" w:fill="auto"/>
        </w:tblPrEx>
        <w:trPr>
          <w:cantSplit/>
          <w:trHeight w:val="432"/>
        </w:trPr>
        <w:tc>
          <w:tcPr>
            <w:tcW w:w="3793" w:type="dxa"/>
            <w:noWrap/>
          </w:tcPr>
          <w:p w14:paraId="5597AC1E" w14:textId="77777777" w:rsidR="00E7240A" w:rsidRDefault="00E7240A" w:rsidP="00A95965">
            <w:pPr>
              <w:pStyle w:val="TableText"/>
              <w:rPr>
                <w:b/>
                <w:szCs w:val="20"/>
              </w:rPr>
            </w:pPr>
          </w:p>
        </w:tc>
        <w:tc>
          <w:tcPr>
            <w:tcW w:w="2330" w:type="dxa"/>
          </w:tcPr>
          <w:p w14:paraId="36B2E96B" w14:textId="77777777" w:rsidR="00E7240A" w:rsidRDefault="00E7240A" w:rsidP="00A95965">
            <w:pPr>
              <w:pStyle w:val="TableText"/>
              <w:rPr>
                <w:b/>
                <w:szCs w:val="20"/>
              </w:rPr>
            </w:pPr>
          </w:p>
        </w:tc>
        <w:tc>
          <w:tcPr>
            <w:tcW w:w="2111" w:type="dxa"/>
          </w:tcPr>
          <w:p w14:paraId="08B184A4" w14:textId="77777777" w:rsidR="00E7240A" w:rsidRDefault="00E7240A" w:rsidP="00A95965">
            <w:pPr>
              <w:pStyle w:val="TableText"/>
              <w:rPr>
                <w:b/>
                <w:szCs w:val="20"/>
              </w:rPr>
            </w:pPr>
          </w:p>
        </w:tc>
        <w:tc>
          <w:tcPr>
            <w:tcW w:w="2330" w:type="dxa"/>
          </w:tcPr>
          <w:p w14:paraId="1D3A4818" w14:textId="77777777" w:rsidR="00E7240A" w:rsidRDefault="00E7240A" w:rsidP="00A95965">
            <w:pPr>
              <w:pStyle w:val="TableText"/>
              <w:rPr>
                <w:b/>
                <w:szCs w:val="20"/>
              </w:rPr>
            </w:pPr>
          </w:p>
        </w:tc>
        <w:tc>
          <w:tcPr>
            <w:tcW w:w="2396" w:type="dxa"/>
          </w:tcPr>
          <w:p w14:paraId="5FEC8341" w14:textId="77777777" w:rsidR="00E7240A" w:rsidRDefault="00E7240A" w:rsidP="00A95965">
            <w:pPr>
              <w:pStyle w:val="TableText"/>
              <w:rPr>
                <w:b/>
                <w:szCs w:val="20"/>
              </w:rPr>
            </w:pPr>
          </w:p>
        </w:tc>
      </w:tr>
      <w:tr w:rsidR="00E7240A" w14:paraId="3DCC3941" w14:textId="77777777">
        <w:tblPrEx>
          <w:shd w:val="clear" w:color="auto" w:fill="auto"/>
        </w:tblPrEx>
        <w:trPr>
          <w:cantSplit/>
          <w:trHeight w:val="432"/>
        </w:trPr>
        <w:tc>
          <w:tcPr>
            <w:tcW w:w="3793" w:type="dxa"/>
            <w:noWrap/>
          </w:tcPr>
          <w:p w14:paraId="78DBD627" w14:textId="77777777" w:rsidR="00E7240A" w:rsidRDefault="00E7240A" w:rsidP="00A95965">
            <w:pPr>
              <w:pStyle w:val="TableText"/>
              <w:rPr>
                <w:b/>
                <w:szCs w:val="20"/>
              </w:rPr>
            </w:pPr>
          </w:p>
        </w:tc>
        <w:tc>
          <w:tcPr>
            <w:tcW w:w="2330" w:type="dxa"/>
          </w:tcPr>
          <w:p w14:paraId="24B38956" w14:textId="77777777" w:rsidR="00E7240A" w:rsidRDefault="00E7240A" w:rsidP="00A95965">
            <w:pPr>
              <w:pStyle w:val="TableText"/>
              <w:rPr>
                <w:b/>
                <w:szCs w:val="20"/>
              </w:rPr>
            </w:pPr>
          </w:p>
        </w:tc>
        <w:tc>
          <w:tcPr>
            <w:tcW w:w="2111" w:type="dxa"/>
          </w:tcPr>
          <w:p w14:paraId="16A862C4" w14:textId="77777777" w:rsidR="00E7240A" w:rsidRDefault="00E7240A" w:rsidP="00A95965">
            <w:pPr>
              <w:pStyle w:val="TableText"/>
              <w:rPr>
                <w:b/>
                <w:szCs w:val="20"/>
              </w:rPr>
            </w:pPr>
          </w:p>
        </w:tc>
        <w:tc>
          <w:tcPr>
            <w:tcW w:w="2330" w:type="dxa"/>
          </w:tcPr>
          <w:p w14:paraId="54E1A75C" w14:textId="77777777" w:rsidR="00E7240A" w:rsidRDefault="00E7240A" w:rsidP="00A95965">
            <w:pPr>
              <w:pStyle w:val="TableText"/>
              <w:rPr>
                <w:b/>
                <w:szCs w:val="20"/>
              </w:rPr>
            </w:pPr>
          </w:p>
        </w:tc>
        <w:tc>
          <w:tcPr>
            <w:tcW w:w="2396" w:type="dxa"/>
          </w:tcPr>
          <w:p w14:paraId="6FDE4A10" w14:textId="77777777" w:rsidR="00E7240A" w:rsidRDefault="00E7240A" w:rsidP="00A95965">
            <w:pPr>
              <w:pStyle w:val="TableText"/>
              <w:rPr>
                <w:b/>
                <w:szCs w:val="20"/>
              </w:rPr>
            </w:pPr>
          </w:p>
        </w:tc>
      </w:tr>
      <w:tr w:rsidR="00E7240A" w14:paraId="23320386" w14:textId="77777777">
        <w:tblPrEx>
          <w:shd w:val="clear" w:color="auto" w:fill="auto"/>
        </w:tblPrEx>
        <w:trPr>
          <w:cantSplit/>
          <w:trHeight w:val="432"/>
        </w:trPr>
        <w:tc>
          <w:tcPr>
            <w:tcW w:w="3793" w:type="dxa"/>
            <w:noWrap/>
          </w:tcPr>
          <w:p w14:paraId="5EBD4CC0" w14:textId="77777777" w:rsidR="00E7240A" w:rsidRDefault="00E7240A" w:rsidP="00A95965">
            <w:pPr>
              <w:pStyle w:val="TableText"/>
              <w:rPr>
                <w:b/>
                <w:szCs w:val="20"/>
              </w:rPr>
            </w:pPr>
          </w:p>
        </w:tc>
        <w:tc>
          <w:tcPr>
            <w:tcW w:w="2330" w:type="dxa"/>
          </w:tcPr>
          <w:p w14:paraId="1F364F4C" w14:textId="77777777" w:rsidR="00E7240A" w:rsidRDefault="00E7240A" w:rsidP="00A95965">
            <w:pPr>
              <w:pStyle w:val="TableText"/>
              <w:rPr>
                <w:b/>
                <w:szCs w:val="20"/>
              </w:rPr>
            </w:pPr>
          </w:p>
        </w:tc>
        <w:tc>
          <w:tcPr>
            <w:tcW w:w="2111" w:type="dxa"/>
          </w:tcPr>
          <w:p w14:paraId="018CDF85" w14:textId="77777777" w:rsidR="00E7240A" w:rsidRDefault="00E7240A" w:rsidP="00A95965">
            <w:pPr>
              <w:pStyle w:val="TableText"/>
              <w:rPr>
                <w:b/>
                <w:szCs w:val="20"/>
              </w:rPr>
            </w:pPr>
          </w:p>
        </w:tc>
        <w:tc>
          <w:tcPr>
            <w:tcW w:w="2330" w:type="dxa"/>
          </w:tcPr>
          <w:p w14:paraId="14679AAE" w14:textId="77777777" w:rsidR="00E7240A" w:rsidRDefault="00E7240A" w:rsidP="00A95965">
            <w:pPr>
              <w:pStyle w:val="TableText"/>
              <w:rPr>
                <w:b/>
                <w:szCs w:val="20"/>
              </w:rPr>
            </w:pPr>
          </w:p>
        </w:tc>
        <w:tc>
          <w:tcPr>
            <w:tcW w:w="2396" w:type="dxa"/>
          </w:tcPr>
          <w:p w14:paraId="65A5C2E0" w14:textId="77777777" w:rsidR="00E7240A" w:rsidRDefault="00E7240A" w:rsidP="00A95965">
            <w:pPr>
              <w:pStyle w:val="TableText"/>
              <w:rPr>
                <w:b/>
                <w:szCs w:val="20"/>
              </w:rPr>
            </w:pPr>
          </w:p>
        </w:tc>
      </w:tr>
      <w:tr w:rsidR="00246F04" w14:paraId="659897A4" w14:textId="77777777">
        <w:tblPrEx>
          <w:shd w:val="clear" w:color="auto" w:fill="auto"/>
        </w:tblPrEx>
        <w:trPr>
          <w:cantSplit/>
          <w:trHeight w:val="432"/>
        </w:trPr>
        <w:tc>
          <w:tcPr>
            <w:tcW w:w="3793" w:type="dxa"/>
            <w:noWrap/>
          </w:tcPr>
          <w:p w14:paraId="50BDFC4D" w14:textId="77777777" w:rsidR="00246F04" w:rsidRDefault="00246F04" w:rsidP="00A95965">
            <w:pPr>
              <w:pStyle w:val="TableText"/>
              <w:rPr>
                <w:b/>
                <w:szCs w:val="20"/>
              </w:rPr>
            </w:pPr>
          </w:p>
        </w:tc>
        <w:tc>
          <w:tcPr>
            <w:tcW w:w="2330" w:type="dxa"/>
          </w:tcPr>
          <w:p w14:paraId="238500E6" w14:textId="77777777" w:rsidR="00246F04" w:rsidRDefault="00246F04" w:rsidP="00A95965">
            <w:pPr>
              <w:pStyle w:val="TableText"/>
              <w:rPr>
                <w:b/>
                <w:szCs w:val="20"/>
              </w:rPr>
            </w:pPr>
          </w:p>
        </w:tc>
        <w:tc>
          <w:tcPr>
            <w:tcW w:w="2111" w:type="dxa"/>
          </w:tcPr>
          <w:p w14:paraId="408032C0" w14:textId="77777777" w:rsidR="00246F04" w:rsidRDefault="00246F04" w:rsidP="00A95965">
            <w:pPr>
              <w:pStyle w:val="TableText"/>
              <w:rPr>
                <w:b/>
                <w:szCs w:val="20"/>
              </w:rPr>
            </w:pPr>
          </w:p>
        </w:tc>
        <w:tc>
          <w:tcPr>
            <w:tcW w:w="2330" w:type="dxa"/>
          </w:tcPr>
          <w:p w14:paraId="1127B643" w14:textId="77777777" w:rsidR="00246F04" w:rsidRDefault="00246F04" w:rsidP="00A95965">
            <w:pPr>
              <w:pStyle w:val="TableText"/>
              <w:rPr>
                <w:b/>
                <w:szCs w:val="20"/>
              </w:rPr>
            </w:pPr>
          </w:p>
        </w:tc>
        <w:tc>
          <w:tcPr>
            <w:tcW w:w="2396" w:type="dxa"/>
          </w:tcPr>
          <w:p w14:paraId="3B87D8E5" w14:textId="77777777" w:rsidR="00246F04" w:rsidRDefault="00246F04" w:rsidP="00A95965">
            <w:pPr>
              <w:pStyle w:val="TableText"/>
              <w:rPr>
                <w:b/>
                <w:szCs w:val="20"/>
              </w:rPr>
            </w:pPr>
          </w:p>
        </w:tc>
      </w:tr>
      <w:tr w:rsidR="00E7240A" w14:paraId="1B075C8D" w14:textId="77777777">
        <w:tblPrEx>
          <w:shd w:val="clear" w:color="auto" w:fill="auto"/>
        </w:tblPrEx>
        <w:trPr>
          <w:cantSplit/>
          <w:trHeight w:val="432"/>
        </w:trPr>
        <w:tc>
          <w:tcPr>
            <w:tcW w:w="3793" w:type="dxa"/>
            <w:noWrap/>
          </w:tcPr>
          <w:p w14:paraId="29FE4F3D" w14:textId="77777777" w:rsidR="00E7240A" w:rsidRDefault="00E7240A" w:rsidP="00A95965">
            <w:pPr>
              <w:pStyle w:val="TableText"/>
              <w:rPr>
                <w:b/>
                <w:szCs w:val="20"/>
              </w:rPr>
            </w:pPr>
          </w:p>
        </w:tc>
        <w:tc>
          <w:tcPr>
            <w:tcW w:w="2330" w:type="dxa"/>
          </w:tcPr>
          <w:p w14:paraId="1C3296C7" w14:textId="77777777" w:rsidR="00E7240A" w:rsidRDefault="00E7240A" w:rsidP="00A95965">
            <w:pPr>
              <w:pStyle w:val="TableText"/>
              <w:rPr>
                <w:b/>
                <w:szCs w:val="20"/>
              </w:rPr>
            </w:pPr>
          </w:p>
        </w:tc>
        <w:tc>
          <w:tcPr>
            <w:tcW w:w="2111" w:type="dxa"/>
          </w:tcPr>
          <w:p w14:paraId="5BCF0BEF" w14:textId="77777777" w:rsidR="00E7240A" w:rsidRDefault="00E7240A" w:rsidP="00A95965">
            <w:pPr>
              <w:pStyle w:val="TableText"/>
              <w:rPr>
                <w:b/>
                <w:szCs w:val="20"/>
              </w:rPr>
            </w:pPr>
          </w:p>
        </w:tc>
        <w:tc>
          <w:tcPr>
            <w:tcW w:w="2330" w:type="dxa"/>
          </w:tcPr>
          <w:p w14:paraId="3109C025" w14:textId="77777777" w:rsidR="00E7240A" w:rsidRDefault="00E7240A" w:rsidP="00A95965">
            <w:pPr>
              <w:pStyle w:val="TableText"/>
              <w:rPr>
                <w:b/>
                <w:szCs w:val="20"/>
              </w:rPr>
            </w:pPr>
          </w:p>
        </w:tc>
        <w:tc>
          <w:tcPr>
            <w:tcW w:w="2396" w:type="dxa"/>
          </w:tcPr>
          <w:p w14:paraId="5E1D09A1" w14:textId="77777777" w:rsidR="00E7240A" w:rsidRDefault="00E7240A" w:rsidP="00A95965">
            <w:pPr>
              <w:pStyle w:val="TableText"/>
              <w:rPr>
                <w:b/>
                <w:szCs w:val="20"/>
              </w:rPr>
            </w:pPr>
          </w:p>
        </w:tc>
      </w:tr>
      <w:tr w:rsidR="00E7240A" w14:paraId="0B3D33B1" w14:textId="77777777">
        <w:tblPrEx>
          <w:shd w:val="clear" w:color="auto" w:fill="auto"/>
        </w:tblPrEx>
        <w:trPr>
          <w:cantSplit/>
          <w:trHeight w:val="432"/>
        </w:trPr>
        <w:tc>
          <w:tcPr>
            <w:tcW w:w="3793" w:type="dxa"/>
            <w:noWrap/>
          </w:tcPr>
          <w:p w14:paraId="047658C1" w14:textId="77777777" w:rsidR="00E7240A" w:rsidRDefault="00E7240A" w:rsidP="00A95965">
            <w:pPr>
              <w:pStyle w:val="TableText"/>
              <w:rPr>
                <w:b/>
                <w:szCs w:val="20"/>
              </w:rPr>
            </w:pPr>
          </w:p>
        </w:tc>
        <w:tc>
          <w:tcPr>
            <w:tcW w:w="2330" w:type="dxa"/>
          </w:tcPr>
          <w:p w14:paraId="4B379B2F" w14:textId="77777777" w:rsidR="00E7240A" w:rsidRDefault="00E7240A" w:rsidP="00A95965">
            <w:pPr>
              <w:pStyle w:val="TableText"/>
              <w:rPr>
                <w:b/>
                <w:szCs w:val="20"/>
              </w:rPr>
            </w:pPr>
          </w:p>
        </w:tc>
        <w:tc>
          <w:tcPr>
            <w:tcW w:w="2111" w:type="dxa"/>
          </w:tcPr>
          <w:p w14:paraId="2F494752" w14:textId="77777777" w:rsidR="00E7240A" w:rsidRDefault="00E7240A" w:rsidP="00A95965">
            <w:pPr>
              <w:pStyle w:val="TableText"/>
              <w:rPr>
                <w:b/>
                <w:szCs w:val="20"/>
              </w:rPr>
            </w:pPr>
          </w:p>
        </w:tc>
        <w:tc>
          <w:tcPr>
            <w:tcW w:w="2330" w:type="dxa"/>
          </w:tcPr>
          <w:p w14:paraId="2941E830" w14:textId="77777777" w:rsidR="00E7240A" w:rsidRDefault="00E7240A" w:rsidP="00A95965">
            <w:pPr>
              <w:pStyle w:val="TableText"/>
              <w:rPr>
                <w:b/>
                <w:szCs w:val="20"/>
              </w:rPr>
            </w:pPr>
          </w:p>
        </w:tc>
        <w:tc>
          <w:tcPr>
            <w:tcW w:w="2396" w:type="dxa"/>
          </w:tcPr>
          <w:p w14:paraId="60753348" w14:textId="77777777" w:rsidR="00E7240A" w:rsidRDefault="00E7240A" w:rsidP="00A95965">
            <w:pPr>
              <w:pStyle w:val="TableText"/>
              <w:rPr>
                <w:b/>
                <w:szCs w:val="20"/>
              </w:rPr>
            </w:pPr>
          </w:p>
        </w:tc>
      </w:tr>
    </w:tbl>
    <w:p w14:paraId="45F4BB4F" w14:textId="77777777" w:rsidR="00E7240A" w:rsidRDefault="00E7240A" w:rsidP="00DD75E5">
      <w:pPr>
        <w:pStyle w:val="BodyText"/>
      </w:pPr>
    </w:p>
    <w:tbl>
      <w:tblPr>
        <w:tblW w:w="129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ayout w:type="fixed"/>
        <w:tblLook w:val="0000" w:firstRow="0" w:lastRow="0" w:firstColumn="0" w:lastColumn="0" w:noHBand="0" w:noVBand="0"/>
      </w:tblPr>
      <w:tblGrid>
        <w:gridCol w:w="1632"/>
        <w:gridCol w:w="3648"/>
        <w:gridCol w:w="3840"/>
        <w:gridCol w:w="3840"/>
      </w:tblGrid>
      <w:tr w:rsidR="00E7240A" w14:paraId="479D7D11" w14:textId="77777777">
        <w:trPr>
          <w:cantSplit/>
          <w:trHeight w:val="230"/>
        </w:trPr>
        <w:tc>
          <w:tcPr>
            <w:tcW w:w="1632" w:type="dxa"/>
            <w:tcBorders>
              <w:bottom w:val="single" w:sz="2" w:space="0" w:color="auto"/>
            </w:tcBorders>
            <w:shd w:val="clear" w:color="auto" w:fill="B3B3B3"/>
            <w:noWrap/>
          </w:tcPr>
          <w:p w14:paraId="58C28D68" w14:textId="77777777" w:rsidR="00E7240A" w:rsidRDefault="00E7240A" w:rsidP="00A95965">
            <w:pPr>
              <w:pStyle w:val="TableText"/>
              <w:rPr>
                <w:b/>
                <w:szCs w:val="20"/>
              </w:rPr>
            </w:pPr>
            <w:r>
              <w:br w:type="page"/>
            </w:r>
            <w:r>
              <w:rPr>
                <w:b/>
                <w:szCs w:val="20"/>
              </w:rPr>
              <w:t xml:space="preserve"> Unit Assigned? (Yes, No)</w:t>
            </w:r>
          </w:p>
        </w:tc>
        <w:tc>
          <w:tcPr>
            <w:tcW w:w="3648" w:type="dxa"/>
            <w:tcBorders>
              <w:bottom w:val="single" w:sz="2" w:space="0" w:color="auto"/>
            </w:tcBorders>
            <w:shd w:val="clear" w:color="auto" w:fill="B3B3B3"/>
          </w:tcPr>
          <w:p w14:paraId="3AB7A21A" w14:textId="77777777" w:rsidR="00E7240A" w:rsidRDefault="00E7240A" w:rsidP="00A95965">
            <w:pPr>
              <w:pStyle w:val="TableText"/>
              <w:rPr>
                <w:b/>
                <w:szCs w:val="20"/>
              </w:rPr>
            </w:pPr>
            <w:r>
              <w:rPr>
                <w:b/>
                <w:szCs w:val="20"/>
              </w:rPr>
              <w:t>Patient Name</w:t>
            </w:r>
          </w:p>
        </w:tc>
        <w:tc>
          <w:tcPr>
            <w:tcW w:w="3840" w:type="dxa"/>
            <w:tcBorders>
              <w:bottom w:val="single" w:sz="2" w:space="0" w:color="auto"/>
            </w:tcBorders>
            <w:shd w:val="clear" w:color="auto" w:fill="B3B3B3"/>
          </w:tcPr>
          <w:p w14:paraId="31D298B0" w14:textId="77777777" w:rsidR="00E7240A" w:rsidRDefault="00E7240A" w:rsidP="00A95965">
            <w:pPr>
              <w:pStyle w:val="TableText"/>
              <w:rPr>
                <w:b/>
                <w:szCs w:val="20"/>
              </w:rPr>
            </w:pPr>
            <w:r>
              <w:rPr>
                <w:b/>
                <w:szCs w:val="20"/>
              </w:rPr>
              <w:t>Patient Identification Number</w:t>
            </w:r>
          </w:p>
        </w:tc>
        <w:tc>
          <w:tcPr>
            <w:tcW w:w="3840" w:type="dxa"/>
            <w:tcBorders>
              <w:bottom w:val="single" w:sz="2" w:space="0" w:color="auto"/>
            </w:tcBorders>
            <w:shd w:val="clear" w:color="auto" w:fill="B3B3B3"/>
          </w:tcPr>
          <w:p w14:paraId="77385839" w14:textId="77777777" w:rsidR="00E7240A" w:rsidRDefault="00E7240A" w:rsidP="00A95965">
            <w:pPr>
              <w:pStyle w:val="TableText"/>
              <w:rPr>
                <w:b/>
                <w:szCs w:val="20"/>
              </w:rPr>
            </w:pPr>
            <w:r>
              <w:rPr>
                <w:b/>
                <w:szCs w:val="20"/>
              </w:rPr>
              <w:t>Specimen UID</w:t>
            </w:r>
          </w:p>
        </w:tc>
      </w:tr>
      <w:tr w:rsidR="00E7240A" w14:paraId="712A973F" w14:textId="77777777">
        <w:trPr>
          <w:cantSplit/>
          <w:trHeight w:val="432"/>
        </w:trPr>
        <w:tc>
          <w:tcPr>
            <w:tcW w:w="1632" w:type="dxa"/>
            <w:shd w:val="clear" w:color="auto" w:fill="auto"/>
            <w:noWrap/>
          </w:tcPr>
          <w:p w14:paraId="7FD3C07A" w14:textId="77777777" w:rsidR="00E7240A" w:rsidRDefault="00E7240A" w:rsidP="00A95965">
            <w:pPr>
              <w:pStyle w:val="TableText"/>
              <w:rPr>
                <w:b/>
                <w:szCs w:val="20"/>
              </w:rPr>
            </w:pPr>
          </w:p>
        </w:tc>
        <w:tc>
          <w:tcPr>
            <w:tcW w:w="3648" w:type="dxa"/>
            <w:shd w:val="clear" w:color="auto" w:fill="auto"/>
          </w:tcPr>
          <w:p w14:paraId="798BF736" w14:textId="77777777" w:rsidR="00E7240A" w:rsidRDefault="00E7240A" w:rsidP="00A95965">
            <w:pPr>
              <w:pStyle w:val="TableText"/>
              <w:rPr>
                <w:b/>
                <w:szCs w:val="20"/>
              </w:rPr>
            </w:pPr>
          </w:p>
        </w:tc>
        <w:tc>
          <w:tcPr>
            <w:tcW w:w="3840" w:type="dxa"/>
            <w:shd w:val="clear" w:color="auto" w:fill="auto"/>
          </w:tcPr>
          <w:p w14:paraId="0997CC3B" w14:textId="77777777" w:rsidR="00E7240A" w:rsidRDefault="00E7240A" w:rsidP="00A95965">
            <w:pPr>
              <w:pStyle w:val="TableText"/>
              <w:rPr>
                <w:b/>
                <w:szCs w:val="20"/>
              </w:rPr>
            </w:pPr>
          </w:p>
        </w:tc>
        <w:tc>
          <w:tcPr>
            <w:tcW w:w="3840" w:type="dxa"/>
            <w:shd w:val="clear" w:color="auto" w:fill="auto"/>
          </w:tcPr>
          <w:p w14:paraId="1F829F6B" w14:textId="77777777" w:rsidR="00E7240A" w:rsidRDefault="00E7240A" w:rsidP="00A95965">
            <w:pPr>
              <w:pStyle w:val="TableText"/>
              <w:rPr>
                <w:b/>
                <w:szCs w:val="20"/>
              </w:rPr>
            </w:pPr>
          </w:p>
        </w:tc>
      </w:tr>
    </w:tbl>
    <w:p w14:paraId="09F941C1" w14:textId="77777777" w:rsidR="00E7240A" w:rsidRDefault="00E7240A" w:rsidP="00DD75E5">
      <w:pPr>
        <w:pStyle w:val="BodyText"/>
      </w:pPr>
    </w:p>
    <w:tbl>
      <w:tblPr>
        <w:tblW w:w="129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
      <w:tblGrid>
        <w:gridCol w:w="3793"/>
        <w:gridCol w:w="2330"/>
        <w:gridCol w:w="2111"/>
        <w:gridCol w:w="2330"/>
        <w:gridCol w:w="2396"/>
      </w:tblGrid>
      <w:tr w:rsidR="00E7240A" w14:paraId="7DF510E3" w14:textId="77777777">
        <w:trPr>
          <w:cantSplit/>
          <w:trHeight w:val="235"/>
          <w:tblHeader/>
        </w:trPr>
        <w:tc>
          <w:tcPr>
            <w:tcW w:w="12960" w:type="dxa"/>
            <w:gridSpan w:val="5"/>
            <w:shd w:val="clear" w:color="auto" w:fill="B3B3B3"/>
            <w:noWrap/>
          </w:tcPr>
          <w:p w14:paraId="3A5C31F3" w14:textId="77777777" w:rsidR="00E7240A" w:rsidRPr="005F4649" w:rsidRDefault="00E7240A" w:rsidP="00CA119C">
            <w:pPr>
              <w:pStyle w:val="TableText"/>
              <w:rPr>
                <w:b/>
                <w:szCs w:val="20"/>
              </w:rPr>
            </w:pPr>
            <w:r>
              <w:rPr>
                <w:b/>
                <w:szCs w:val="20"/>
              </w:rPr>
              <w:t>Modified Unit(s)</w:t>
            </w:r>
          </w:p>
        </w:tc>
      </w:tr>
      <w:tr w:rsidR="00E7240A" w14:paraId="78A2AB14" w14:textId="77777777">
        <w:tblPrEx>
          <w:shd w:val="clear" w:color="auto" w:fill="auto"/>
        </w:tblPrEx>
        <w:trPr>
          <w:cantSplit/>
          <w:trHeight w:val="230"/>
          <w:tblHeader/>
        </w:trPr>
        <w:tc>
          <w:tcPr>
            <w:tcW w:w="3793" w:type="dxa"/>
            <w:shd w:val="clear" w:color="auto" w:fill="B3B3B3"/>
            <w:noWrap/>
          </w:tcPr>
          <w:p w14:paraId="3D95DDF5" w14:textId="77777777" w:rsidR="00E7240A" w:rsidRPr="005F4649" w:rsidRDefault="00E7240A" w:rsidP="00CA119C">
            <w:pPr>
              <w:pStyle w:val="TableText"/>
              <w:rPr>
                <w:b/>
                <w:szCs w:val="20"/>
              </w:rPr>
            </w:pPr>
            <w:r>
              <w:rPr>
                <w:b/>
                <w:szCs w:val="20"/>
              </w:rPr>
              <w:t>Unit Identification Number</w:t>
            </w:r>
          </w:p>
        </w:tc>
        <w:tc>
          <w:tcPr>
            <w:tcW w:w="2330" w:type="dxa"/>
            <w:shd w:val="clear" w:color="auto" w:fill="B3B3B3"/>
          </w:tcPr>
          <w:p w14:paraId="3970E5D5" w14:textId="77777777" w:rsidR="00E7240A" w:rsidRPr="005F4649" w:rsidRDefault="00E7240A" w:rsidP="00CA119C">
            <w:pPr>
              <w:pStyle w:val="TableText"/>
              <w:rPr>
                <w:b/>
                <w:szCs w:val="20"/>
              </w:rPr>
            </w:pPr>
            <w:r>
              <w:rPr>
                <w:b/>
                <w:szCs w:val="20"/>
              </w:rPr>
              <w:t>Product Code</w:t>
            </w:r>
          </w:p>
        </w:tc>
        <w:tc>
          <w:tcPr>
            <w:tcW w:w="2111" w:type="dxa"/>
            <w:shd w:val="clear" w:color="auto" w:fill="B3B3B3"/>
          </w:tcPr>
          <w:p w14:paraId="3B2DF073" w14:textId="77777777" w:rsidR="00E7240A" w:rsidRDefault="00E7240A" w:rsidP="00CA119C">
            <w:pPr>
              <w:pStyle w:val="TableText"/>
              <w:rPr>
                <w:b/>
                <w:szCs w:val="20"/>
              </w:rPr>
            </w:pPr>
            <w:r>
              <w:rPr>
                <w:b/>
                <w:szCs w:val="20"/>
              </w:rPr>
              <w:t>ABO/Rh</w:t>
            </w:r>
          </w:p>
        </w:tc>
        <w:tc>
          <w:tcPr>
            <w:tcW w:w="2330" w:type="dxa"/>
            <w:shd w:val="clear" w:color="auto" w:fill="B3B3B3"/>
          </w:tcPr>
          <w:p w14:paraId="6C6E3DF9" w14:textId="77777777" w:rsidR="00E7240A" w:rsidRPr="005F4649" w:rsidRDefault="00E7240A" w:rsidP="00CA119C">
            <w:pPr>
              <w:pStyle w:val="TableText"/>
              <w:rPr>
                <w:b/>
                <w:szCs w:val="20"/>
              </w:rPr>
            </w:pPr>
            <w:r>
              <w:rPr>
                <w:b/>
                <w:szCs w:val="20"/>
              </w:rPr>
              <w:t>Container Lot Number</w:t>
            </w:r>
          </w:p>
        </w:tc>
        <w:tc>
          <w:tcPr>
            <w:tcW w:w="2396" w:type="dxa"/>
            <w:shd w:val="clear" w:color="auto" w:fill="B3B3B3"/>
          </w:tcPr>
          <w:p w14:paraId="5C4C5D43" w14:textId="77777777" w:rsidR="00E7240A" w:rsidRPr="005F4649" w:rsidRDefault="00E7240A" w:rsidP="00CA119C">
            <w:pPr>
              <w:pStyle w:val="TableText"/>
              <w:rPr>
                <w:b/>
                <w:szCs w:val="20"/>
              </w:rPr>
            </w:pPr>
            <w:r>
              <w:rPr>
                <w:b/>
                <w:szCs w:val="20"/>
              </w:rPr>
              <w:t>Expiration Date and Time</w:t>
            </w:r>
          </w:p>
        </w:tc>
      </w:tr>
      <w:tr w:rsidR="00E7240A" w14:paraId="584DFC26" w14:textId="77777777">
        <w:tblPrEx>
          <w:shd w:val="clear" w:color="auto" w:fill="auto"/>
        </w:tblPrEx>
        <w:trPr>
          <w:cantSplit/>
          <w:trHeight w:val="432"/>
        </w:trPr>
        <w:tc>
          <w:tcPr>
            <w:tcW w:w="3793" w:type="dxa"/>
            <w:noWrap/>
          </w:tcPr>
          <w:p w14:paraId="138A1302" w14:textId="77777777" w:rsidR="00E7240A" w:rsidRDefault="00E7240A" w:rsidP="00A95965">
            <w:pPr>
              <w:pStyle w:val="TableText"/>
              <w:rPr>
                <w:b/>
                <w:szCs w:val="20"/>
              </w:rPr>
            </w:pPr>
          </w:p>
        </w:tc>
        <w:tc>
          <w:tcPr>
            <w:tcW w:w="2330" w:type="dxa"/>
          </w:tcPr>
          <w:p w14:paraId="3307E734" w14:textId="77777777" w:rsidR="00E7240A" w:rsidRDefault="00E7240A" w:rsidP="00A95965">
            <w:pPr>
              <w:pStyle w:val="TableText"/>
              <w:rPr>
                <w:b/>
                <w:szCs w:val="20"/>
              </w:rPr>
            </w:pPr>
          </w:p>
        </w:tc>
        <w:tc>
          <w:tcPr>
            <w:tcW w:w="2111" w:type="dxa"/>
          </w:tcPr>
          <w:p w14:paraId="513D8790" w14:textId="77777777" w:rsidR="00E7240A" w:rsidRDefault="00E7240A" w:rsidP="00A95965">
            <w:pPr>
              <w:pStyle w:val="TableText"/>
              <w:rPr>
                <w:b/>
                <w:szCs w:val="20"/>
              </w:rPr>
            </w:pPr>
          </w:p>
        </w:tc>
        <w:tc>
          <w:tcPr>
            <w:tcW w:w="2330" w:type="dxa"/>
          </w:tcPr>
          <w:p w14:paraId="408678B4" w14:textId="77777777" w:rsidR="00E7240A" w:rsidRDefault="00E7240A" w:rsidP="00A95965">
            <w:pPr>
              <w:pStyle w:val="TableText"/>
              <w:rPr>
                <w:b/>
                <w:szCs w:val="20"/>
              </w:rPr>
            </w:pPr>
          </w:p>
        </w:tc>
        <w:tc>
          <w:tcPr>
            <w:tcW w:w="2396" w:type="dxa"/>
          </w:tcPr>
          <w:p w14:paraId="01D15F9F" w14:textId="77777777" w:rsidR="00E7240A" w:rsidRDefault="00E7240A" w:rsidP="00A95965">
            <w:pPr>
              <w:pStyle w:val="TableText"/>
              <w:rPr>
                <w:b/>
                <w:szCs w:val="20"/>
              </w:rPr>
            </w:pPr>
          </w:p>
        </w:tc>
      </w:tr>
      <w:tr w:rsidR="00E7240A" w14:paraId="311F8130" w14:textId="77777777">
        <w:tblPrEx>
          <w:shd w:val="clear" w:color="auto" w:fill="auto"/>
        </w:tblPrEx>
        <w:trPr>
          <w:cantSplit/>
          <w:trHeight w:val="432"/>
        </w:trPr>
        <w:tc>
          <w:tcPr>
            <w:tcW w:w="3793" w:type="dxa"/>
            <w:noWrap/>
          </w:tcPr>
          <w:p w14:paraId="42CF3026" w14:textId="77777777" w:rsidR="00E7240A" w:rsidRDefault="00E7240A" w:rsidP="00A95965">
            <w:pPr>
              <w:pStyle w:val="TableText"/>
              <w:rPr>
                <w:b/>
                <w:szCs w:val="20"/>
              </w:rPr>
            </w:pPr>
          </w:p>
        </w:tc>
        <w:tc>
          <w:tcPr>
            <w:tcW w:w="2330" w:type="dxa"/>
          </w:tcPr>
          <w:p w14:paraId="2176F354" w14:textId="77777777" w:rsidR="00E7240A" w:rsidRDefault="00E7240A" w:rsidP="00A95965">
            <w:pPr>
              <w:pStyle w:val="TableText"/>
              <w:rPr>
                <w:b/>
                <w:szCs w:val="20"/>
              </w:rPr>
            </w:pPr>
          </w:p>
        </w:tc>
        <w:tc>
          <w:tcPr>
            <w:tcW w:w="2111" w:type="dxa"/>
          </w:tcPr>
          <w:p w14:paraId="6B61A8F7" w14:textId="77777777" w:rsidR="00E7240A" w:rsidRDefault="00E7240A" w:rsidP="00A95965">
            <w:pPr>
              <w:pStyle w:val="TableText"/>
              <w:rPr>
                <w:b/>
                <w:szCs w:val="20"/>
              </w:rPr>
            </w:pPr>
          </w:p>
        </w:tc>
        <w:tc>
          <w:tcPr>
            <w:tcW w:w="2330" w:type="dxa"/>
          </w:tcPr>
          <w:p w14:paraId="1C9C0890" w14:textId="77777777" w:rsidR="00E7240A" w:rsidRDefault="00E7240A" w:rsidP="00A95965">
            <w:pPr>
              <w:pStyle w:val="TableText"/>
              <w:rPr>
                <w:b/>
                <w:szCs w:val="20"/>
              </w:rPr>
            </w:pPr>
          </w:p>
        </w:tc>
        <w:tc>
          <w:tcPr>
            <w:tcW w:w="2396" w:type="dxa"/>
          </w:tcPr>
          <w:p w14:paraId="29014778" w14:textId="77777777" w:rsidR="00E7240A" w:rsidRDefault="00E7240A" w:rsidP="00A95965">
            <w:pPr>
              <w:pStyle w:val="TableText"/>
              <w:rPr>
                <w:b/>
                <w:szCs w:val="20"/>
              </w:rPr>
            </w:pPr>
          </w:p>
        </w:tc>
      </w:tr>
      <w:tr w:rsidR="00E7240A" w14:paraId="69684C91" w14:textId="77777777">
        <w:tblPrEx>
          <w:shd w:val="clear" w:color="auto" w:fill="auto"/>
        </w:tblPrEx>
        <w:trPr>
          <w:cantSplit/>
          <w:trHeight w:val="432"/>
        </w:trPr>
        <w:tc>
          <w:tcPr>
            <w:tcW w:w="3793" w:type="dxa"/>
            <w:noWrap/>
          </w:tcPr>
          <w:p w14:paraId="20ABE9ED" w14:textId="77777777" w:rsidR="00E7240A" w:rsidRDefault="00E7240A" w:rsidP="00A95965">
            <w:pPr>
              <w:pStyle w:val="TableText"/>
              <w:rPr>
                <w:b/>
                <w:szCs w:val="20"/>
              </w:rPr>
            </w:pPr>
          </w:p>
        </w:tc>
        <w:tc>
          <w:tcPr>
            <w:tcW w:w="2330" w:type="dxa"/>
          </w:tcPr>
          <w:p w14:paraId="7E39FA9E" w14:textId="77777777" w:rsidR="00E7240A" w:rsidRDefault="00E7240A" w:rsidP="00A95965">
            <w:pPr>
              <w:pStyle w:val="TableText"/>
              <w:rPr>
                <w:b/>
                <w:szCs w:val="20"/>
              </w:rPr>
            </w:pPr>
          </w:p>
        </w:tc>
        <w:tc>
          <w:tcPr>
            <w:tcW w:w="2111" w:type="dxa"/>
          </w:tcPr>
          <w:p w14:paraId="11507138" w14:textId="77777777" w:rsidR="00E7240A" w:rsidRDefault="00E7240A" w:rsidP="00A95965">
            <w:pPr>
              <w:pStyle w:val="TableText"/>
              <w:rPr>
                <w:b/>
                <w:szCs w:val="20"/>
              </w:rPr>
            </w:pPr>
          </w:p>
        </w:tc>
        <w:tc>
          <w:tcPr>
            <w:tcW w:w="2330" w:type="dxa"/>
          </w:tcPr>
          <w:p w14:paraId="56142186" w14:textId="77777777" w:rsidR="00E7240A" w:rsidRDefault="00E7240A" w:rsidP="00A95965">
            <w:pPr>
              <w:pStyle w:val="TableText"/>
              <w:rPr>
                <w:b/>
                <w:szCs w:val="20"/>
              </w:rPr>
            </w:pPr>
          </w:p>
        </w:tc>
        <w:tc>
          <w:tcPr>
            <w:tcW w:w="2396" w:type="dxa"/>
          </w:tcPr>
          <w:p w14:paraId="5D56E3A6" w14:textId="77777777" w:rsidR="00E7240A" w:rsidRDefault="00E7240A" w:rsidP="00A95965">
            <w:pPr>
              <w:pStyle w:val="TableText"/>
              <w:rPr>
                <w:b/>
                <w:szCs w:val="20"/>
              </w:rPr>
            </w:pPr>
          </w:p>
        </w:tc>
      </w:tr>
      <w:tr w:rsidR="00246F04" w14:paraId="1AD19D65" w14:textId="77777777">
        <w:tblPrEx>
          <w:shd w:val="clear" w:color="auto" w:fill="auto"/>
        </w:tblPrEx>
        <w:trPr>
          <w:cantSplit/>
          <w:trHeight w:val="432"/>
        </w:trPr>
        <w:tc>
          <w:tcPr>
            <w:tcW w:w="3793" w:type="dxa"/>
            <w:noWrap/>
          </w:tcPr>
          <w:p w14:paraId="614E3AC7" w14:textId="77777777" w:rsidR="00246F04" w:rsidRDefault="00246F04" w:rsidP="00A95965">
            <w:pPr>
              <w:pStyle w:val="TableText"/>
              <w:rPr>
                <w:b/>
                <w:szCs w:val="20"/>
              </w:rPr>
            </w:pPr>
          </w:p>
        </w:tc>
        <w:tc>
          <w:tcPr>
            <w:tcW w:w="2330" w:type="dxa"/>
          </w:tcPr>
          <w:p w14:paraId="1131D7E9" w14:textId="77777777" w:rsidR="00246F04" w:rsidRDefault="00246F04" w:rsidP="00A95965">
            <w:pPr>
              <w:pStyle w:val="TableText"/>
              <w:rPr>
                <w:b/>
                <w:szCs w:val="20"/>
              </w:rPr>
            </w:pPr>
          </w:p>
        </w:tc>
        <w:tc>
          <w:tcPr>
            <w:tcW w:w="2111" w:type="dxa"/>
          </w:tcPr>
          <w:p w14:paraId="4034C389" w14:textId="77777777" w:rsidR="00246F04" w:rsidRDefault="00246F04" w:rsidP="00A95965">
            <w:pPr>
              <w:pStyle w:val="TableText"/>
              <w:rPr>
                <w:b/>
                <w:szCs w:val="20"/>
              </w:rPr>
            </w:pPr>
          </w:p>
        </w:tc>
        <w:tc>
          <w:tcPr>
            <w:tcW w:w="2330" w:type="dxa"/>
          </w:tcPr>
          <w:p w14:paraId="433E39F5" w14:textId="77777777" w:rsidR="00246F04" w:rsidRDefault="00246F04" w:rsidP="00A95965">
            <w:pPr>
              <w:pStyle w:val="TableText"/>
              <w:rPr>
                <w:b/>
                <w:szCs w:val="20"/>
              </w:rPr>
            </w:pPr>
          </w:p>
        </w:tc>
        <w:tc>
          <w:tcPr>
            <w:tcW w:w="2396" w:type="dxa"/>
          </w:tcPr>
          <w:p w14:paraId="45424804" w14:textId="77777777" w:rsidR="00246F04" w:rsidRDefault="00246F04" w:rsidP="00A95965">
            <w:pPr>
              <w:pStyle w:val="TableText"/>
              <w:rPr>
                <w:b/>
                <w:szCs w:val="20"/>
              </w:rPr>
            </w:pPr>
          </w:p>
        </w:tc>
      </w:tr>
      <w:tr w:rsidR="00246F04" w14:paraId="0400771A" w14:textId="77777777">
        <w:tblPrEx>
          <w:shd w:val="clear" w:color="auto" w:fill="auto"/>
        </w:tblPrEx>
        <w:trPr>
          <w:cantSplit/>
          <w:trHeight w:val="432"/>
        </w:trPr>
        <w:tc>
          <w:tcPr>
            <w:tcW w:w="3793" w:type="dxa"/>
            <w:noWrap/>
          </w:tcPr>
          <w:p w14:paraId="768FDA4B" w14:textId="77777777" w:rsidR="00246F04" w:rsidRDefault="00246F04" w:rsidP="00A95965">
            <w:pPr>
              <w:pStyle w:val="TableText"/>
              <w:rPr>
                <w:b/>
                <w:szCs w:val="20"/>
              </w:rPr>
            </w:pPr>
          </w:p>
        </w:tc>
        <w:tc>
          <w:tcPr>
            <w:tcW w:w="2330" w:type="dxa"/>
          </w:tcPr>
          <w:p w14:paraId="07B66EB4" w14:textId="77777777" w:rsidR="00246F04" w:rsidRDefault="00246F04" w:rsidP="00A95965">
            <w:pPr>
              <w:pStyle w:val="TableText"/>
              <w:rPr>
                <w:b/>
                <w:szCs w:val="20"/>
              </w:rPr>
            </w:pPr>
          </w:p>
        </w:tc>
        <w:tc>
          <w:tcPr>
            <w:tcW w:w="2111" w:type="dxa"/>
          </w:tcPr>
          <w:p w14:paraId="7CC1A1D0" w14:textId="77777777" w:rsidR="00246F04" w:rsidRDefault="00246F04" w:rsidP="00A95965">
            <w:pPr>
              <w:pStyle w:val="TableText"/>
              <w:rPr>
                <w:b/>
                <w:szCs w:val="20"/>
              </w:rPr>
            </w:pPr>
          </w:p>
        </w:tc>
        <w:tc>
          <w:tcPr>
            <w:tcW w:w="2330" w:type="dxa"/>
          </w:tcPr>
          <w:p w14:paraId="2B69B222" w14:textId="77777777" w:rsidR="00246F04" w:rsidRDefault="00246F04" w:rsidP="00A95965">
            <w:pPr>
              <w:pStyle w:val="TableText"/>
              <w:rPr>
                <w:b/>
                <w:szCs w:val="20"/>
              </w:rPr>
            </w:pPr>
          </w:p>
        </w:tc>
        <w:tc>
          <w:tcPr>
            <w:tcW w:w="2396" w:type="dxa"/>
          </w:tcPr>
          <w:p w14:paraId="10E388B6" w14:textId="77777777" w:rsidR="00246F04" w:rsidRDefault="00246F04" w:rsidP="00A95965">
            <w:pPr>
              <w:pStyle w:val="TableText"/>
              <w:rPr>
                <w:b/>
                <w:szCs w:val="20"/>
              </w:rPr>
            </w:pPr>
          </w:p>
        </w:tc>
      </w:tr>
      <w:tr w:rsidR="00246F04" w14:paraId="2F693C29" w14:textId="77777777">
        <w:tblPrEx>
          <w:shd w:val="clear" w:color="auto" w:fill="auto"/>
        </w:tblPrEx>
        <w:trPr>
          <w:cantSplit/>
          <w:trHeight w:val="432"/>
        </w:trPr>
        <w:tc>
          <w:tcPr>
            <w:tcW w:w="3793" w:type="dxa"/>
            <w:noWrap/>
          </w:tcPr>
          <w:p w14:paraId="20E5D0C7" w14:textId="77777777" w:rsidR="00246F04" w:rsidRDefault="00246F04" w:rsidP="00A95965">
            <w:pPr>
              <w:pStyle w:val="TableText"/>
              <w:rPr>
                <w:b/>
                <w:szCs w:val="20"/>
              </w:rPr>
            </w:pPr>
          </w:p>
        </w:tc>
        <w:tc>
          <w:tcPr>
            <w:tcW w:w="2330" w:type="dxa"/>
          </w:tcPr>
          <w:p w14:paraId="2B871BD7" w14:textId="77777777" w:rsidR="00246F04" w:rsidRDefault="00246F04" w:rsidP="00A95965">
            <w:pPr>
              <w:pStyle w:val="TableText"/>
              <w:rPr>
                <w:b/>
                <w:szCs w:val="20"/>
              </w:rPr>
            </w:pPr>
          </w:p>
        </w:tc>
        <w:tc>
          <w:tcPr>
            <w:tcW w:w="2111" w:type="dxa"/>
          </w:tcPr>
          <w:p w14:paraId="7943CDC2" w14:textId="77777777" w:rsidR="00246F04" w:rsidRDefault="00246F04" w:rsidP="00A95965">
            <w:pPr>
              <w:pStyle w:val="TableText"/>
              <w:rPr>
                <w:b/>
                <w:szCs w:val="20"/>
              </w:rPr>
            </w:pPr>
          </w:p>
        </w:tc>
        <w:tc>
          <w:tcPr>
            <w:tcW w:w="2330" w:type="dxa"/>
          </w:tcPr>
          <w:p w14:paraId="393996B2" w14:textId="77777777" w:rsidR="00246F04" w:rsidRDefault="00246F04" w:rsidP="00A95965">
            <w:pPr>
              <w:pStyle w:val="TableText"/>
              <w:rPr>
                <w:b/>
                <w:szCs w:val="20"/>
              </w:rPr>
            </w:pPr>
          </w:p>
        </w:tc>
        <w:tc>
          <w:tcPr>
            <w:tcW w:w="2396" w:type="dxa"/>
          </w:tcPr>
          <w:p w14:paraId="7156F105" w14:textId="77777777" w:rsidR="00246F04" w:rsidRDefault="00246F04" w:rsidP="00A95965">
            <w:pPr>
              <w:pStyle w:val="TableText"/>
              <w:rPr>
                <w:b/>
                <w:szCs w:val="20"/>
              </w:rPr>
            </w:pPr>
          </w:p>
        </w:tc>
      </w:tr>
      <w:tr w:rsidR="00E7240A" w14:paraId="33B74B18" w14:textId="77777777">
        <w:tblPrEx>
          <w:shd w:val="clear" w:color="auto" w:fill="auto"/>
        </w:tblPrEx>
        <w:trPr>
          <w:cantSplit/>
          <w:trHeight w:val="432"/>
        </w:trPr>
        <w:tc>
          <w:tcPr>
            <w:tcW w:w="3793" w:type="dxa"/>
            <w:noWrap/>
          </w:tcPr>
          <w:p w14:paraId="7335C7BC" w14:textId="77777777" w:rsidR="00E7240A" w:rsidRDefault="00E7240A" w:rsidP="00A95965">
            <w:pPr>
              <w:pStyle w:val="TableText"/>
              <w:rPr>
                <w:b/>
                <w:szCs w:val="20"/>
              </w:rPr>
            </w:pPr>
          </w:p>
        </w:tc>
        <w:tc>
          <w:tcPr>
            <w:tcW w:w="2330" w:type="dxa"/>
          </w:tcPr>
          <w:p w14:paraId="713C6524" w14:textId="77777777" w:rsidR="00E7240A" w:rsidRDefault="00E7240A" w:rsidP="00A95965">
            <w:pPr>
              <w:pStyle w:val="TableText"/>
              <w:rPr>
                <w:b/>
                <w:szCs w:val="20"/>
              </w:rPr>
            </w:pPr>
          </w:p>
        </w:tc>
        <w:tc>
          <w:tcPr>
            <w:tcW w:w="2111" w:type="dxa"/>
          </w:tcPr>
          <w:p w14:paraId="3500FB02" w14:textId="77777777" w:rsidR="00E7240A" w:rsidRDefault="00E7240A" w:rsidP="00A95965">
            <w:pPr>
              <w:pStyle w:val="TableText"/>
              <w:rPr>
                <w:b/>
                <w:szCs w:val="20"/>
              </w:rPr>
            </w:pPr>
          </w:p>
        </w:tc>
        <w:tc>
          <w:tcPr>
            <w:tcW w:w="2330" w:type="dxa"/>
          </w:tcPr>
          <w:p w14:paraId="01AA48FB" w14:textId="77777777" w:rsidR="00E7240A" w:rsidRDefault="00E7240A" w:rsidP="00A95965">
            <w:pPr>
              <w:pStyle w:val="TableText"/>
              <w:rPr>
                <w:b/>
                <w:szCs w:val="20"/>
              </w:rPr>
            </w:pPr>
          </w:p>
        </w:tc>
        <w:tc>
          <w:tcPr>
            <w:tcW w:w="2396" w:type="dxa"/>
          </w:tcPr>
          <w:p w14:paraId="7CBE8312" w14:textId="77777777" w:rsidR="00E7240A" w:rsidRDefault="00E7240A" w:rsidP="00A95965">
            <w:pPr>
              <w:pStyle w:val="TableText"/>
              <w:rPr>
                <w:b/>
                <w:szCs w:val="20"/>
              </w:rPr>
            </w:pPr>
          </w:p>
        </w:tc>
      </w:tr>
      <w:tr w:rsidR="00E7240A" w14:paraId="59B9A127" w14:textId="77777777">
        <w:tblPrEx>
          <w:shd w:val="clear" w:color="auto" w:fill="auto"/>
        </w:tblPrEx>
        <w:trPr>
          <w:cantSplit/>
          <w:trHeight w:val="432"/>
        </w:trPr>
        <w:tc>
          <w:tcPr>
            <w:tcW w:w="3793" w:type="dxa"/>
            <w:noWrap/>
          </w:tcPr>
          <w:p w14:paraId="19C898FC" w14:textId="77777777" w:rsidR="00E7240A" w:rsidRDefault="00E7240A" w:rsidP="00A95965">
            <w:pPr>
              <w:pStyle w:val="TableText"/>
              <w:rPr>
                <w:b/>
                <w:szCs w:val="20"/>
              </w:rPr>
            </w:pPr>
          </w:p>
        </w:tc>
        <w:tc>
          <w:tcPr>
            <w:tcW w:w="2330" w:type="dxa"/>
          </w:tcPr>
          <w:p w14:paraId="3FA1B70A" w14:textId="77777777" w:rsidR="00E7240A" w:rsidRDefault="00E7240A" w:rsidP="00A95965">
            <w:pPr>
              <w:pStyle w:val="TableText"/>
              <w:rPr>
                <w:b/>
                <w:szCs w:val="20"/>
              </w:rPr>
            </w:pPr>
          </w:p>
        </w:tc>
        <w:tc>
          <w:tcPr>
            <w:tcW w:w="2111" w:type="dxa"/>
          </w:tcPr>
          <w:p w14:paraId="39F7DD04" w14:textId="77777777" w:rsidR="00E7240A" w:rsidRDefault="00E7240A" w:rsidP="00A95965">
            <w:pPr>
              <w:pStyle w:val="TableText"/>
              <w:rPr>
                <w:b/>
                <w:szCs w:val="20"/>
              </w:rPr>
            </w:pPr>
          </w:p>
        </w:tc>
        <w:tc>
          <w:tcPr>
            <w:tcW w:w="2330" w:type="dxa"/>
          </w:tcPr>
          <w:p w14:paraId="74E6A8E2" w14:textId="77777777" w:rsidR="00E7240A" w:rsidRDefault="00E7240A" w:rsidP="00A95965">
            <w:pPr>
              <w:pStyle w:val="TableText"/>
              <w:rPr>
                <w:b/>
                <w:szCs w:val="20"/>
              </w:rPr>
            </w:pPr>
          </w:p>
        </w:tc>
        <w:tc>
          <w:tcPr>
            <w:tcW w:w="2396" w:type="dxa"/>
          </w:tcPr>
          <w:p w14:paraId="4FE9DC6A" w14:textId="77777777" w:rsidR="00E7240A" w:rsidRDefault="00E7240A" w:rsidP="00A95965">
            <w:pPr>
              <w:pStyle w:val="TableText"/>
              <w:rPr>
                <w:b/>
                <w:szCs w:val="20"/>
              </w:rPr>
            </w:pPr>
          </w:p>
        </w:tc>
      </w:tr>
      <w:tr w:rsidR="00E7240A" w14:paraId="0231BA1D" w14:textId="77777777">
        <w:tblPrEx>
          <w:shd w:val="clear" w:color="auto" w:fill="auto"/>
        </w:tblPrEx>
        <w:trPr>
          <w:cantSplit/>
          <w:trHeight w:val="432"/>
        </w:trPr>
        <w:tc>
          <w:tcPr>
            <w:tcW w:w="3793" w:type="dxa"/>
            <w:noWrap/>
          </w:tcPr>
          <w:p w14:paraId="41683C6B" w14:textId="77777777" w:rsidR="00E7240A" w:rsidRDefault="00E7240A" w:rsidP="00A95965">
            <w:pPr>
              <w:pStyle w:val="TableText"/>
              <w:rPr>
                <w:b/>
                <w:szCs w:val="20"/>
              </w:rPr>
            </w:pPr>
          </w:p>
        </w:tc>
        <w:tc>
          <w:tcPr>
            <w:tcW w:w="2330" w:type="dxa"/>
          </w:tcPr>
          <w:p w14:paraId="56E2BA3F" w14:textId="77777777" w:rsidR="00E7240A" w:rsidRDefault="00E7240A" w:rsidP="00A95965">
            <w:pPr>
              <w:pStyle w:val="TableText"/>
              <w:rPr>
                <w:b/>
                <w:szCs w:val="20"/>
              </w:rPr>
            </w:pPr>
          </w:p>
        </w:tc>
        <w:tc>
          <w:tcPr>
            <w:tcW w:w="2111" w:type="dxa"/>
          </w:tcPr>
          <w:p w14:paraId="530FF9DF" w14:textId="77777777" w:rsidR="00E7240A" w:rsidRDefault="00E7240A" w:rsidP="00A95965">
            <w:pPr>
              <w:pStyle w:val="TableText"/>
              <w:rPr>
                <w:b/>
                <w:szCs w:val="20"/>
              </w:rPr>
            </w:pPr>
          </w:p>
        </w:tc>
        <w:tc>
          <w:tcPr>
            <w:tcW w:w="2330" w:type="dxa"/>
          </w:tcPr>
          <w:p w14:paraId="26F1CAF0" w14:textId="77777777" w:rsidR="00E7240A" w:rsidRDefault="00E7240A" w:rsidP="00A95965">
            <w:pPr>
              <w:pStyle w:val="TableText"/>
              <w:rPr>
                <w:b/>
                <w:szCs w:val="20"/>
              </w:rPr>
            </w:pPr>
          </w:p>
        </w:tc>
        <w:tc>
          <w:tcPr>
            <w:tcW w:w="2396" w:type="dxa"/>
          </w:tcPr>
          <w:p w14:paraId="25031462" w14:textId="77777777" w:rsidR="00E7240A" w:rsidRDefault="00E7240A" w:rsidP="00A95965">
            <w:pPr>
              <w:pStyle w:val="TableText"/>
              <w:rPr>
                <w:b/>
                <w:szCs w:val="20"/>
              </w:rPr>
            </w:pPr>
          </w:p>
        </w:tc>
      </w:tr>
    </w:tbl>
    <w:p w14:paraId="48BD9B17" w14:textId="77777777" w:rsidR="00902D46" w:rsidRDefault="00902D46" w:rsidP="00CF32F4">
      <w:pPr>
        <w:pStyle w:val="BodyText"/>
        <w:jc w:val="center"/>
        <w:sectPr w:rsidR="00902D46" w:rsidSect="00EE771C">
          <w:footerReference w:type="default" r:id="rId238"/>
          <w:pgSz w:w="15840" w:h="12240" w:orient="landscape" w:code="1"/>
          <w:pgMar w:top="1440" w:right="1440" w:bottom="1440" w:left="1440" w:header="720" w:footer="720" w:gutter="0"/>
          <w:cols w:space="720"/>
          <w:docGrid w:linePitch="360"/>
        </w:sectPr>
      </w:pPr>
    </w:p>
    <w:p w14:paraId="2CF38FCF" w14:textId="77777777" w:rsidR="000C342D" w:rsidRDefault="000C342D" w:rsidP="000C342D">
      <w:pPr>
        <w:pStyle w:val="BodyText"/>
        <w:jc w:val="center"/>
      </w:pPr>
      <w:r>
        <w:lastRenderedPageBreak/>
        <w:t>This page intentionally left blank.</w:t>
      </w:r>
    </w:p>
    <w:p w14:paraId="16E0C980" w14:textId="53B58AE9" w:rsidR="002A21AE" w:rsidRDefault="000C342D">
      <w:pPr>
        <w:pStyle w:val="Heading2"/>
      </w:pPr>
      <w:r>
        <w:br w:type="page"/>
      </w:r>
      <w:bookmarkStart w:id="606" w:name="_Ref170004931"/>
      <w:bookmarkStart w:id="607" w:name="_Toc4588863"/>
      <w:r w:rsidR="002A21AE">
        <w:lastRenderedPageBreak/>
        <w:t xml:space="preserve">Appendix </w:t>
      </w:r>
      <w:r w:rsidR="004E20BD">
        <w:rPr>
          <w:noProof/>
        </w:rPr>
        <w:fldChar w:fldCharType="begin"/>
      </w:r>
      <w:r w:rsidR="004E20BD">
        <w:rPr>
          <w:noProof/>
        </w:rPr>
        <w:instrText xml:space="preserve"> SEQ Appendix \* ALPHABETIC </w:instrText>
      </w:r>
      <w:r w:rsidR="004E20BD">
        <w:rPr>
          <w:noProof/>
        </w:rPr>
        <w:fldChar w:fldCharType="separate"/>
      </w:r>
      <w:r w:rsidR="00647F4E">
        <w:rPr>
          <w:noProof/>
        </w:rPr>
        <w:t>B</w:t>
      </w:r>
      <w:r w:rsidR="004E20BD">
        <w:rPr>
          <w:noProof/>
        </w:rPr>
        <w:fldChar w:fldCharType="end"/>
      </w:r>
      <w:bookmarkEnd w:id="606"/>
      <w:r w:rsidR="002A21AE">
        <w:t>: Database Table Information</w:t>
      </w:r>
      <w:bookmarkEnd w:id="607"/>
      <w:r w:rsidR="00681D23">
        <w:fldChar w:fldCharType="begin"/>
      </w:r>
      <w:r w:rsidR="00681D23">
        <w:instrText xml:space="preserve"> XE "</w:instrText>
      </w:r>
      <w:r w:rsidR="00681D23" w:rsidRPr="00FB2A0A">
        <w:instrText>Database Table Information</w:instrText>
      </w:r>
      <w:r w:rsidR="00681D23">
        <w:instrText xml:space="preserve">" </w:instrText>
      </w:r>
      <w:r w:rsidR="00681D23">
        <w:fldChar w:fldCharType="end"/>
      </w:r>
    </w:p>
    <w:p w14:paraId="489EEA0C" w14:textId="77777777" w:rsidR="002A21AE" w:rsidRDefault="002A21AE">
      <w:pPr>
        <w:pStyle w:val="Heading3"/>
      </w:pPr>
      <w:bookmarkStart w:id="608" w:name="_Toc77663546"/>
      <w:bookmarkStart w:id="609" w:name="_Toc91323761"/>
      <w:bookmarkStart w:id="610" w:name="_Toc77663549"/>
      <w:bookmarkStart w:id="611" w:name="_Toc91323764"/>
      <w:bookmarkStart w:id="612" w:name="_Toc91323735"/>
      <w:r w:rsidRPr="00302434">
        <w:rPr>
          <w:rFonts w:ascii="Arial Bold" w:hAnsi="Arial Bold"/>
          <w:vanish/>
        </w:rPr>
        <w:t xml:space="preserve">TT_23.01 </w:t>
      </w:r>
      <w:bookmarkStart w:id="613" w:name="_Toc4588864"/>
      <w:r>
        <w:t>Antibody and Antigen Tables</w:t>
      </w:r>
      <w:bookmarkEnd w:id="608"/>
      <w:bookmarkEnd w:id="609"/>
      <w:bookmarkEnd w:id="613"/>
    </w:p>
    <w:p w14:paraId="1385B131" w14:textId="77777777" w:rsidR="002A21AE" w:rsidRDefault="002A21AE" w:rsidP="0065062F">
      <w:pPr>
        <w:pStyle w:val="Heading3"/>
      </w:pPr>
      <w:bookmarkStart w:id="614" w:name="table13"/>
      <w:bookmarkStart w:id="615" w:name="_Toc77663547"/>
      <w:bookmarkStart w:id="616" w:name="_Toc91323762"/>
      <w:bookmarkStart w:id="617" w:name="_Toc4588865"/>
      <w:bookmarkEnd w:id="614"/>
      <w:r>
        <w:t>Antibody and Antigen Table: Irregular Antibodies</w:t>
      </w:r>
      <w:bookmarkEnd w:id="615"/>
      <w:bookmarkEnd w:id="616"/>
      <w:bookmarkEnd w:id="617"/>
      <w:r>
        <w:fldChar w:fldCharType="begin"/>
      </w:r>
      <w:r>
        <w:instrText xml:space="preserve"> XE </w:instrText>
      </w:r>
      <w:r w:rsidR="00FA7E65">
        <w:instrText>“</w:instrText>
      </w:r>
      <w:r>
        <w:instrText>Tables:Antibody and Antigen Table, Irregular Antibodies</w:instrText>
      </w:r>
      <w:r w:rsidR="00FA7E65">
        <w:instrText>”</w:instrText>
      </w:r>
      <w:r>
        <w:instrText xml:space="preserve"> </w:instrText>
      </w:r>
      <w:r>
        <w:fldChar w:fldCharType="end"/>
      </w:r>
    </w:p>
    <w:p w14:paraId="0AEB6EAF" w14:textId="77777777" w:rsidR="006C5E3A" w:rsidRDefault="00247207" w:rsidP="006C5E3A">
      <w:pPr>
        <w:pStyle w:val="BodyText"/>
      </w:pPr>
      <w:r>
        <w:t xml:space="preserve">VBECS </w:t>
      </w:r>
      <w:r w:rsidR="006C5E3A">
        <w:t xml:space="preserve">creates a division-specific copy in each division in the database. Setting Antibody Parameters allows the division to reset the calculated antigen negative requirement of antibodies to its medical director’s policy. </w:t>
      </w:r>
      <w:r w:rsidR="009A11C7">
        <w:t>Each orderable test name has a corresponding repeat test.</w:t>
      </w:r>
    </w:p>
    <w:p w14:paraId="0501E6CD" w14:textId="77777777" w:rsidR="002A21AE" w:rsidRDefault="002A21AE" w:rsidP="00FA7E65">
      <w:pPr>
        <w:pStyle w:val="BodyText"/>
      </w:pPr>
      <w:r>
        <w:t>Clinical significance of antibody specificity is set using the 14th edition of the AABB Technical Manual. A specific instance of an antibody for certain patients or different treatment conditions may behave quite differently, requiring antigen negative or crossmatch-compatible blood for the patient. The user may edit these settings for an individual patient.</w:t>
      </w:r>
    </w:p>
    <w:p w14:paraId="34FFF4EE" w14:textId="77777777" w:rsidR="002A21AE" w:rsidRDefault="002A21AE" w:rsidP="00FA7E65">
      <w:pPr>
        <w:pStyle w:val="BodyText"/>
      </w:pPr>
      <w:r>
        <w:t xml:space="preserve">The antigen negative required settings apply to all instances of the antibody. Individual hospital policy may indicate that a setting of “OPT” should be made “REQ.” A policy of a global OPT may remain in the event of a specific clinically significant instance of a specificity in a particular patient. The individual patient’s antigen negative requirement may be set for the specificity in Entering and Removing Transfusion Requirements. </w:t>
      </w:r>
      <w:r>
        <w:rPr>
          <w:szCs w:val="16"/>
        </w:rPr>
        <w:t>In the Antigen Negative Requirement column:</w:t>
      </w:r>
    </w:p>
    <w:p w14:paraId="5A64199D" w14:textId="77777777" w:rsidR="002A21AE" w:rsidRDefault="002A21AE">
      <w:pPr>
        <w:pStyle w:val="ListBullet"/>
      </w:pPr>
      <w:r>
        <w:t>“REQ” sets an antigen negative requirement that is not editable because these are generally considered to require the provision of antigen negative blood for patient transfusion.</w:t>
      </w:r>
    </w:p>
    <w:p w14:paraId="4D377CFE" w14:textId="77777777" w:rsidR="002A21AE" w:rsidRDefault="002A21AE">
      <w:pPr>
        <w:pStyle w:val="ListBullet"/>
      </w:pPr>
      <w:r>
        <w:t xml:space="preserve">“NO” does not set an antigen negative requirement and is not editable. </w:t>
      </w:r>
    </w:p>
    <w:p w14:paraId="64C2F7C2" w14:textId="77777777" w:rsidR="002A21AE" w:rsidRDefault="002A21AE">
      <w:pPr>
        <w:pStyle w:val="ListBullet"/>
      </w:pPr>
      <w:r>
        <w:t xml:space="preserve">“OPT” in the Antibody sets an antigen negative requirement is editable and may be reset repeatedly on the division’s copy of the table. </w:t>
      </w:r>
    </w:p>
    <w:p w14:paraId="26A7C55D" w14:textId="0ED6A6E5" w:rsidR="002A21AE" w:rsidRDefault="00896B41">
      <w:pPr>
        <w:pStyle w:val="Caption"/>
      </w:pPr>
      <w:bookmarkStart w:id="618" w:name="_Toc97523630"/>
      <w:bookmarkStart w:id="619" w:name="_Toc97527600"/>
      <w:r>
        <w:br w:type="page"/>
      </w:r>
      <w:bookmarkStart w:id="620" w:name="_Ref126730855"/>
      <w:bookmarkStart w:id="621" w:name="_Ref126484449"/>
      <w:r w:rsidR="002A21AE">
        <w:lastRenderedPageBreak/>
        <w:t xml:space="preserve">Table </w:t>
      </w:r>
      <w:r w:rsidR="004E20BD">
        <w:rPr>
          <w:noProof/>
        </w:rPr>
        <w:fldChar w:fldCharType="begin"/>
      </w:r>
      <w:r w:rsidR="004E20BD">
        <w:rPr>
          <w:noProof/>
        </w:rPr>
        <w:instrText xml:space="preserve"> SEQ Table \* ARABIC </w:instrText>
      </w:r>
      <w:r w:rsidR="004E20BD">
        <w:rPr>
          <w:noProof/>
        </w:rPr>
        <w:fldChar w:fldCharType="separate"/>
      </w:r>
      <w:r w:rsidR="00647F4E">
        <w:rPr>
          <w:noProof/>
        </w:rPr>
        <w:t>14</w:t>
      </w:r>
      <w:r w:rsidR="004E20BD">
        <w:rPr>
          <w:noProof/>
        </w:rPr>
        <w:fldChar w:fldCharType="end"/>
      </w:r>
      <w:bookmarkEnd w:id="620"/>
      <w:r w:rsidR="002A21AE">
        <w:t xml:space="preserve">: </w:t>
      </w:r>
      <w:r w:rsidR="002A21AE">
        <w:rPr>
          <w:vanish/>
        </w:rPr>
        <w:t xml:space="preserve">TT_23.01A </w:t>
      </w:r>
      <w:r w:rsidR="002A21AE">
        <w:t>Antibody and Antigen Table: Irregular Antibodies</w:t>
      </w:r>
      <w:bookmarkEnd w:id="618"/>
      <w:bookmarkEnd w:id="619"/>
      <w:bookmarkEnd w:id="621"/>
    </w:p>
    <w:tbl>
      <w:tblPr>
        <w:tblW w:w="936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253"/>
        <w:gridCol w:w="1253"/>
        <w:gridCol w:w="878"/>
        <w:gridCol w:w="878"/>
        <w:gridCol w:w="1253"/>
        <w:gridCol w:w="1253"/>
        <w:gridCol w:w="1296"/>
        <w:gridCol w:w="1296"/>
      </w:tblGrid>
      <w:tr w:rsidR="00B769D3" w:rsidRPr="00F77B4F" w14:paraId="7760C45D" w14:textId="77777777">
        <w:trPr>
          <w:cantSplit/>
          <w:tblHeader/>
        </w:trPr>
        <w:tc>
          <w:tcPr>
            <w:tcW w:w="2506" w:type="dxa"/>
            <w:gridSpan w:val="2"/>
            <w:tcBorders>
              <w:top w:val="single" w:sz="4" w:space="0" w:color="auto"/>
              <w:left w:val="single" w:sz="4" w:space="0" w:color="auto"/>
              <w:bottom w:val="single" w:sz="4" w:space="0" w:color="auto"/>
              <w:right w:val="single" w:sz="4" w:space="0" w:color="auto"/>
            </w:tcBorders>
            <w:shd w:val="clear" w:color="auto" w:fill="B3B3B3"/>
          </w:tcPr>
          <w:p w14:paraId="0D4B4C3E" w14:textId="77777777" w:rsidR="00824338" w:rsidRPr="00F77B4F" w:rsidRDefault="00824338" w:rsidP="004D0818">
            <w:pPr>
              <w:pStyle w:val="TableText"/>
              <w:jc w:val="center"/>
              <w:rPr>
                <w:b/>
              </w:rPr>
            </w:pPr>
            <w:r w:rsidRPr="00F77B4F">
              <w:rPr>
                <w:b/>
              </w:rPr>
              <w:t>Antibody Name</w:t>
            </w:r>
          </w:p>
        </w:tc>
        <w:tc>
          <w:tcPr>
            <w:tcW w:w="878" w:type="dxa"/>
            <w:vMerge w:val="restart"/>
            <w:tcBorders>
              <w:top w:val="single" w:sz="4" w:space="0" w:color="auto"/>
              <w:left w:val="single" w:sz="4" w:space="0" w:color="auto"/>
              <w:right w:val="single" w:sz="4" w:space="0" w:color="auto"/>
            </w:tcBorders>
            <w:shd w:val="clear" w:color="auto" w:fill="B3B3B3"/>
            <w:textDirection w:val="btLr"/>
          </w:tcPr>
          <w:p w14:paraId="1CB896A1" w14:textId="77777777" w:rsidR="00824338" w:rsidRPr="00F77B4F" w:rsidRDefault="00824338" w:rsidP="0088039E">
            <w:pPr>
              <w:pStyle w:val="TableText"/>
              <w:rPr>
                <w:b/>
                <w:szCs w:val="16"/>
              </w:rPr>
            </w:pPr>
            <w:r>
              <w:rPr>
                <w:b/>
                <w:szCs w:val="16"/>
              </w:rPr>
              <w:t>Clinically Significant?</w:t>
            </w:r>
            <w:r w:rsidR="00F528F3" w:rsidRPr="00191509">
              <w:rPr>
                <w:rFonts w:ascii="Arial Bold" w:hAnsi="Arial Bold"/>
                <w:b/>
                <w:szCs w:val="18"/>
              </w:rPr>
              <w:t>§</w:t>
            </w:r>
            <w:r w:rsidR="00191509" w:rsidRPr="00191509">
              <w:rPr>
                <w:rFonts w:ascii="Arial Bold" w:hAnsi="Arial Bold"/>
                <w:b/>
                <w:vanish/>
                <w:szCs w:val="18"/>
              </w:rPr>
              <w:t>UserDoc Task 1096</w:t>
            </w:r>
          </w:p>
        </w:tc>
        <w:tc>
          <w:tcPr>
            <w:tcW w:w="878" w:type="dxa"/>
            <w:vMerge w:val="restart"/>
            <w:tcBorders>
              <w:top w:val="single" w:sz="4" w:space="0" w:color="auto"/>
              <w:left w:val="single" w:sz="4" w:space="0" w:color="auto"/>
              <w:right w:val="single" w:sz="4" w:space="0" w:color="auto"/>
            </w:tcBorders>
            <w:shd w:val="clear" w:color="auto" w:fill="B3B3B3"/>
            <w:textDirection w:val="btLr"/>
          </w:tcPr>
          <w:p w14:paraId="7077697D" w14:textId="77777777" w:rsidR="00824338" w:rsidRPr="00F77B4F" w:rsidRDefault="00824338" w:rsidP="0088039E">
            <w:pPr>
              <w:pStyle w:val="TableText"/>
              <w:rPr>
                <w:b/>
                <w:szCs w:val="16"/>
              </w:rPr>
            </w:pPr>
            <w:r w:rsidRPr="00F77B4F">
              <w:rPr>
                <w:b/>
                <w:szCs w:val="16"/>
              </w:rPr>
              <w:t>Does Antibody Set a</w:t>
            </w:r>
            <w:r>
              <w:rPr>
                <w:b/>
                <w:szCs w:val="16"/>
              </w:rPr>
              <w:t>n Antigen Negative Requirement?</w:t>
            </w:r>
          </w:p>
        </w:tc>
        <w:tc>
          <w:tcPr>
            <w:tcW w:w="2506" w:type="dxa"/>
            <w:gridSpan w:val="2"/>
            <w:tcBorders>
              <w:top w:val="single" w:sz="4" w:space="0" w:color="auto"/>
              <w:left w:val="single" w:sz="4" w:space="0" w:color="auto"/>
              <w:bottom w:val="single" w:sz="4" w:space="0" w:color="auto"/>
              <w:right w:val="single" w:sz="4" w:space="0" w:color="auto"/>
            </w:tcBorders>
            <w:shd w:val="clear" w:color="auto" w:fill="B3B3B3"/>
          </w:tcPr>
          <w:p w14:paraId="3016D9CC" w14:textId="77777777" w:rsidR="00824338" w:rsidRPr="00F77B4F" w:rsidRDefault="00824338" w:rsidP="004D0818">
            <w:pPr>
              <w:pStyle w:val="TableText"/>
              <w:jc w:val="center"/>
              <w:rPr>
                <w:b/>
              </w:rPr>
            </w:pPr>
            <w:r w:rsidRPr="00F77B4F">
              <w:rPr>
                <w:b/>
              </w:rPr>
              <w:t>Associated Antigen</w:t>
            </w:r>
          </w:p>
        </w:tc>
        <w:tc>
          <w:tcPr>
            <w:tcW w:w="1296" w:type="dxa"/>
            <w:vMerge w:val="restart"/>
            <w:tcBorders>
              <w:top w:val="single" w:sz="4" w:space="0" w:color="auto"/>
              <w:left w:val="single" w:sz="4" w:space="0" w:color="auto"/>
              <w:right w:val="single" w:sz="4" w:space="0" w:color="auto"/>
            </w:tcBorders>
            <w:shd w:val="clear" w:color="auto" w:fill="B3B3B3"/>
            <w:textDirection w:val="btLr"/>
          </w:tcPr>
          <w:p w14:paraId="77AE2479" w14:textId="77777777" w:rsidR="00824338" w:rsidRPr="00F77B4F" w:rsidRDefault="00824338" w:rsidP="0088039E">
            <w:pPr>
              <w:pStyle w:val="TableText"/>
              <w:rPr>
                <w:b/>
              </w:rPr>
            </w:pPr>
            <w:r w:rsidRPr="00F77B4F">
              <w:rPr>
                <w:b/>
              </w:rPr>
              <w:t>Antigen Negative Compatibility Percentage</w:t>
            </w:r>
          </w:p>
        </w:tc>
        <w:tc>
          <w:tcPr>
            <w:tcW w:w="1296" w:type="dxa"/>
            <w:vMerge w:val="restart"/>
            <w:tcBorders>
              <w:top w:val="single" w:sz="4" w:space="0" w:color="auto"/>
              <w:left w:val="single" w:sz="4" w:space="0" w:color="auto"/>
              <w:right w:val="single" w:sz="4" w:space="0" w:color="auto"/>
            </w:tcBorders>
            <w:shd w:val="clear" w:color="auto" w:fill="B3B3B3"/>
            <w:textDirection w:val="btLr"/>
          </w:tcPr>
          <w:p w14:paraId="6EBA2D17" w14:textId="77777777" w:rsidR="00824338" w:rsidRPr="00F77B4F" w:rsidRDefault="00824338" w:rsidP="0088039E">
            <w:pPr>
              <w:pStyle w:val="TableText"/>
              <w:rPr>
                <w:b/>
              </w:rPr>
            </w:pPr>
            <w:r w:rsidRPr="00F77B4F">
              <w:rPr>
                <w:b/>
              </w:rPr>
              <w:t>VBECS Antigen Typing Orderable Test</w:t>
            </w:r>
          </w:p>
        </w:tc>
      </w:tr>
      <w:tr w:rsidR="00824338" w:rsidRPr="00F77B4F" w14:paraId="2A445DF4" w14:textId="77777777">
        <w:trPr>
          <w:cantSplit/>
          <w:trHeight w:val="1358"/>
          <w:tblHeader/>
        </w:trPr>
        <w:tc>
          <w:tcPr>
            <w:tcW w:w="1253" w:type="dxa"/>
            <w:tcBorders>
              <w:top w:val="single" w:sz="4" w:space="0" w:color="auto"/>
              <w:left w:val="single" w:sz="4" w:space="0" w:color="auto"/>
              <w:bottom w:val="single" w:sz="4" w:space="0" w:color="auto"/>
              <w:right w:val="single" w:sz="4" w:space="0" w:color="auto"/>
            </w:tcBorders>
            <w:shd w:val="clear" w:color="auto" w:fill="B3B3B3"/>
            <w:vAlign w:val="bottom"/>
          </w:tcPr>
          <w:p w14:paraId="565A0B1C" w14:textId="77777777" w:rsidR="00824338" w:rsidRPr="00F77B4F" w:rsidRDefault="00824338" w:rsidP="00AD0B01">
            <w:pPr>
              <w:pStyle w:val="TableText"/>
              <w:rPr>
                <w:rFonts w:eastAsia="Symbol"/>
                <w:b/>
              </w:rPr>
            </w:pPr>
            <w:r w:rsidRPr="00F77B4F">
              <w:rPr>
                <w:b/>
              </w:rPr>
              <w:t>VBECS*</w:t>
            </w:r>
          </w:p>
        </w:tc>
        <w:tc>
          <w:tcPr>
            <w:tcW w:w="1253" w:type="dxa"/>
            <w:tcBorders>
              <w:top w:val="single" w:sz="4" w:space="0" w:color="auto"/>
              <w:left w:val="single" w:sz="4" w:space="0" w:color="auto"/>
              <w:bottom w:val="single" w:sz="4" w:space="0" w:color="auto"/>
              <w:right w:val="single" w:sz="4" w:space="0" w:color="auto"/>
            </w:tcBorders>
            <w:shd w:val="clear" w:color="auto" w:fill="B3B3B3"/>
            <w:vAlign w:val="bottom"/>
          </w:tcPr>
          <w:p w14:paraId="57691D98" w14:textId="77777777" w:rsidR="00824338" w:rsidRPr="00F77B4F" w:rsidRDefault="00824338" w:rsidP="00AD0B01">
            <w:pPr>
              <w:pStyle w:val="TableText"/>
              <w:rPr>
                <w:b/>
              </w:rPr>
            </w:pPr>
            <w:r w:rsidRPr="00F77B4F">
              <w:rPr>
                <w:b/>
              </w:rPr>
              <w:t>VistA</w:t>
            </w:r>
            <w:r>
              <w:rPr>
                <w:b/>
              </w:rPr>
              <w:t>†</w:t>
            </w:r>
          </w:p>
        </w:tc>
        <w:tc>
          <w:tcPr>
            <w:tcW w:w="878" w:type="dxa"/>
            <w:vMerge/>
            <w:tcBorders>
              <w:left w:val="single" w:sz="4" w:space="0" w:color="auto"/>
              <w:bottom w:val="single" w:sz="4" w:space="0" w:color="auto"/>
              <w:right w:val="single" w:sz="4" w:space="0" w:color="auto"/>
            </w:tcBorders>
            <w:shd w:val="clear" w:color="auto" w:fill="B3B3B3"/>
            <w:textDirection w:val="btLr"/>
          </w:tcPr>
          <w:p w14:paraId="76A123B0" w14:textId="77777777" w:rsidR="00824338" w:rsidRPr="00F77B4F" w:rsidRDefault="00824338" w:rsidP="00AD0B01">
            <w:pPr>
              <w:pStyle w:val="TableText"/>
              <w:rPr>
                <w:b/>
                <w:szCs w:val="16"/>
              </w:rPr>
            </w:pPr>
          </w:p>
        </w:tc>
        <w:tc>
          <w:tcPr>
            <w:tcW w:w="878" w:type="dxa"/>
            <w:vMerge/>
            <w:tcBorders>
              <w:left w:val="single" w:sz="4" w:space="0" w:color="auto"/>
              <w:bottom w:val="single" w:sz="4" w:space="0" w:color="auto"/>
              <w:right w:val="single" w:sz="4" w:space="0" w:color="auto"/>
            </w:tcBorders>
            <w:shd w:val="clear" w:color="auto" w:fill="B3B3B3"/>
            <w:textDirection w:val="btLr"/>
          </w:tcPr>
          <w:p w14:paraId="1EE2FE1E" w14:textId="77777777" w:rsidR="00824338" w:rsidRPr="00F77B4F" w:rsidRDefault="00824338" w:rsidP="00AD0B01">
            <w:pPr>
              <w:pStyle w:val="TableText"/>
              <w:rPr>
                <w:rFonts w:eastAsia="Symbol"/>
                <w:b/>
                <w:szCs w:val="16"/>
              </w:rPr>
            </w:pPr>
          </w:p>
        </w:tc>
        <w:tc>
          <w:tcPr>
            <w:tcW w:w="1253" w:type="dxa"/>
            <w:tcBorders>
              <w:top w:val="single" w:sz="4" w:space="0" w:color="auto"/>
              <w:left w:val="single" w:sz="4" w:space="0" w:color="auto"/>
              <w:bottom w:val="single" w:sz="4" w:space="0" w:color="auto"/>
              <w:right w:val="single" w:sz="4" w:space="0" w:color="auto"/>
            </w:tcBorders>
            <w:shd w:val="clear" w:color="auto" w:fill="B3B3B3"/>
            <w:vAlign w:val="bottom"/>
          </w:tcPr>
          <w:p w14:paraId="053B7D06" w14:textId="77777777" w:rsidR="00824338" w:rsidRPr="006831BE" w:rsidRDefault="00824338" w:rsidP="006831BE">
            <w:pPr>
              <w:pStyle w:val="TableText"/>
              <w:rPr>
                <w:b/>
              </w:rPr>
            </w:pPr>
            <w:r w:rsidRPr="006831BE">
              <w:rPr>
                <w:b/>
              </w:rPr>
              <w:t>VBECS</w:t>
            </w:r>
          </w:p>
        </w:tc>
        <w:tc>
          <w:tcPr>
            <w:tcW w:w="1253" w:type="dxa"/>
            <w:tcBorders>
              <w:top w:val="single" w:sz="4" w:space="0" w:color="auto"/>
              <w:left w:val="single" w:sz="4" w:space="0" w:color="auto"/>
              <w:bottom w:val="single" w:sz="4" w:space="0" w:color="auto"/>
              <w:right w:val="single" w:sz="4" w:space="0" w:color="auto"/>
            </w:tcBorders>
            <w:shd w:val="clear" w:color="auto" w:fill="B3B3B3"/>
            <w:vAlign w:val="bottom"/>
          </w:tcPr>
          <w:p w14:paraId="56380487" w14:textId="77777777" w:rsidR="00824338" w:rsidRPr="006831BE" w:rsidRDefault="00824338" w:rsidP="006831BE">
            <w:pPr>
              <w:pStyle w:val="TableText"/>
              <w:rPr>
                <w:b/>
              </w:rPr>
            </w:pPr>
            <w:r w:rsidRPr="006831BE">
              <w:rPr>
                <w:b/>
              </w:rPr>
              <w:t>VistA†</w:t>
            </w:r>
          </w:p>
        </w:tc>
        <w:tc>
          <w:tcPr>
            <w:tcW w:w="1296" w:type="dxa"/>
            <w:vMerge/>
            <w:tcBorders>
              <w:left w:val="single" w:sz="4" w:space="0" w:color="auto"/>
              <w:bottom w:val="single" w:sz="4" w:space="0" w:color="auto"/>
              <w:right w:val="single" w:sz="4" w:space="0" w:color="auto"/>
            </w:tcBorders>
            <w:shd w:val="clear" w:color="auto" w:fill="B3B3B3"/>
            <w:textDirection w:val="btLr"/>
          </w:tcPr>
          <w:p w14:paraId="3E129578" w14:textId="77777777" w:rsidR="00824338" w:rsidRPr="00F77B4F" w:rsidRDefault="00824338" w:rsidP="00AD0B01">
            <w:pPr>
              <w:pStyle w:val="TableText"/>
              <w:rPr>
                <w:rFonts w:eastAsia="Symbol"/>
                <w:b/>
              </w:rPr>
            </w:pPr>
          </w:p>
        </w:tc>
        <w:tc>
          <w:tcPr>
            <w:tcW w:w="1296" w:type="dxa"/>
            <w:vMerge/>
            <w:tcBorders>
              <w:left w:val="single" w:sz="4" w:space="0" w:color="auto"/>
              <w:bottom w:val="single" w:sz="4" w:space="0" w:color="auto"/>
              <w:right w:val="single" w:sz="4" w:space="0" w:color="auto"/>
            </w:tcBorders>
            <w:shd w:val="clear" w:color="auto" w:fill="B3B3B3"/>
            <w:textDirection w:val="btLr"/>
          </w:tcPr>
          <w:p w14:paraId="69FD020B" w14:textId="77777777" w:rsidR="00824338" w:rsidRPr="00F77B4F" w:rsidRDefault="00824338" w:rsidP="00AD0B01">
            <w:pPr>
              <w:pStyle w:val="TableText"/>
              <w:rPr>
                <w:b/>
              </w:rPr>
            </w:pPr>
          </w:p>
        </w:tc>
      </w:tr>
      <w:tr w:rsidR="00824338" w14:paraId="5A4E9F51" w14:textId="77777777">
        <w:tblPrEx>
          <w:tblBorders>
            <w:insideH w:val="single" w:sz="4" w:space="0" w:color="auto"/>
            <w:insideV w:val="single" w:sz="4" w:space="0" w:color="auto"/>
          </w:tblBorders>
        </w:tblPrEx>
        <w:tc>
          <w:tcPr>
            <w:tcW w:w="1253" w:type="dxa"/>
            <w:shd w:val="clear" w:color="auto" w:fill="auto"/>
          </w:tcPr>
          <w:p w14:paraId="1BD51A15" w14:textId="77777777" w:rsidR="003E3D07" w:rsidRDefault="003E3D07">
            <w:pPr>
              <w:pStyle w:val="TableText"/>
              <w:rPr>
                <w:rFonts w:eastAsia="Symbol"/>
              </w:rPr>
            </w:pPr>
            <w:bookmarkStart w:id="622" w:name="_Toc77663548"/>
            <w:r>
              <w:t>Anti-D</w:t>
            </w:r>
          </w:p>
        </w:tc>
        <w:tc>
          <w:tcPr>
            <w:tcW w:w="1253" w:type="dxa"/>
            <w:shd w:val="clear" w:color="auto" w:fill="auto"/>
          </w:tcPr>
          <w:p w14:paraId="59565332" w14:textId="77777777" w:rsidR="003E3D07" w:rsidRDefault="003E3D07">
            <w:pPr>
              <w:pStyle w:val="TableText"/>
              <w:rPr>
                <w:rFonts w:eastAsia="Symbol"/>
              </w:rPr>
            </w:pPr>
            <w:r>
              <w:t>Anti-D</w:t>
            </w:r>
          </w:p>
        </w:tc>
        <w:tc>
          <w:tcPr>
            <w:tcW w:w="878" w:type="dxa"/>
            <w:shd w:val="clear" w:color="auto" w:fill="auto"/>
          </w:tcPr>
          <w:p w14:paraId="5FC28E83" w14:textId="77777777" w:rsidR="003E3D07" w:rsidRDefault="003E3D07">
            <w:pPr>
              <w:pStyle w:val="TableText"/>
              <w:rPr>
                <w:b/>
                <w:bCs/>
              </w:rPr>
            </w:pPr>
            <w:r>
              <w:rPr>
                <w:bCs/>
              </w:rPr>
              <w:t>Yes</w:t>
            </w:r>
          </w:p>
        </w:tc>
        <w:tc>
          <w:tcPr>
            <w:tcW w:w="878" w:type="dxa"/>
            <w:shd w:val="clear" w:color="auto" w:fill="auto"/>
          </w:tcPr>
          <w:p w14:paraId="45E22044" w14:textId="77777777" w:rsidR="003E3D07" w:rsidRDefault="003E3D07">
            <w:pPr>
              <w:pStyle w:val="TableText"/>
              <w:rPr>
                <w:rFonts w:eastAsia="Symbol"/>
                <w:b/>
                <w:bCs/>
              </w:rPr>
            </w:pPr>
            <w:r>
              <w:rPr>
                <w:bCs/>
              </w:rPr>
              <w:t>Yes</w:t>
            </w:r>
          </w:p>
        </w:tc>
        <w:tc>
          <w:tcPr>
            <w:tcW w:w="1253" w:type="dxa"/>
            <w:shd w:val="clear" w:color="auto" w:fill="auto"/>
          </w:tcPr>
          <w:p w14:paraId="0EFCA108" w14:textId="77777777" w:rsidR="003E3D07" w:rsidRDefault="003E3D07">
            <w:pPr>
              <w:pStyle w:val="TableText"/>
              <w:rPr>
                <w:rFonts w:eastAsia="Symbol"/>
              </w:rPr>
            </w:pPr>
            <w:r>
              <w:t>D</w:t>
            </w:r>
          </w:p>
        </w:tc>
        <w:tc>
          <w:tcPr>
            <w:tcW w:w="1253" w:type="dxa"/>
            <w:shd w:val="clear" w:color="auto" w:fill="auto"/>
          </w:tcPr>
          <w:p w14:paraId="0CBA5899" w14:textId="77777777" w:rsidR="003E3D07" w:rsidRDefault="003E3D07">
            <w:pPr>
              <w:pStyle w:val="TableText"/>
              <w:rPr>
                <w:rFonts w:eastAsia="Symbol"/>
              </w:rPr>
            </w:pPr>
            <w:r>
              <w:t>D</w:t>
            </w:r>
          </w:p>
        </w:tc>
        <w:tc>
          <w:tcPr>
            <w:tcW w:w="1296" w:type="dxa"/>
            <w:shd w:val="clear" w:color="auto" w:fill="auto"/>
          </w:tcPr>
          <w:p w14:paraId="63E58AE5" w14:textId="77777777" w:rsidR="003E3D07" w:rsidRDefault="003E3D07">
            <w:pPr>
              <w:pStyle w:val="TableText"/>
              <w:rPr>
                <w:rFonts w:eastAsia="Symbol"/>
              </w:rPr>
            </w:pPr>
            <w:r>
              <w:t>13</w:t>
            </w:r>
          </w:p>
        </w:tc>
        <w:tc>
          <w:tcPr>
            <w:tcW w:w="1296" w:type="dxa"/>
            <w:shd w:val="clear" w:color="auto" w:fill="auto"/>
          </w:tcPr>
          <w:p w14:paraId="780E5E90" w14:textId="77777777" w:rsidR="003E3D07" w:rsidRDefault="003E3D07">
            <w:pPr>
              <w:pStyle w:val="TableText"/>
              <w:rPr>
                <w:rFonts w:eastAsia="Symbol"/>
              </w:rPr>
            </w:pPr>
            <w:r>
              <w:t>AGD</w:t>
            </w:r>
          </w:p>
        </w:tc>
      </w:tr>
      <w:tr w:rsidR="00824338" w14:paraId="774ED68D" w14:textId="77777777">
        <w:tblPrEx>
          <w:tblBorders>
            <w:insideH w:val="single" w:sz="4" w:space="0" w:color="auto"/>
            <w:insideV w:val="single" w:sz="4" w:space="0" w:color="auto"/>
          </w:tblBorders>
        </w:tblPrEx>
        <w:tc>
          <w:tcPr>
            <w:tcW w:w="1253" w:type="dxa"/>
            <w:shd w:val="clear" w:color="auto" w:fill="auto"/>
          </w:tcPr>
          <w:p w14:paraId="1542BA93" w14:textId="77777777" w:rsidR="003E3D07" w:rsidRDefault="003E3D07">
            <w:pPr>
              <w:pStyle w:val="TableText"/>
            </w:pPr>
            <w:r>
              <w:t>N/A</w:t>
            </w:r>
          </w:p>
        </w:tc>
        <w:tc>
          <w:tcPr>
            <w:tcW w:w="1253" w:type="dxa"/>
            <w:shd w:val="clear" w:color="auto" w:fill="auto"/>
          </w:tcPr>
          <w:p w14:paraId="3BFC4C34" w14:textId="77777777" w:rsidR="003E3D07" w:rsidRDefault="003E3D07">
            <w:pPr>
              <w:pStyle w:val="TableText"/>
            </w:pPr>
            <w:r>
              <w:t>N/A</w:t>
            </w:r>
          </w:p>
        </w:tc>
        <w:tc>
          <w:tcPr>
            <w:tcW w:w="878" w:type="dxa"/>
            <w:shd w:val="clear" w:color="auto" w:fill="auto"/>
          </w:tcPr>
          <w:p w14:paraId="59044693" w14:textId="77777777" w:rsidR="003E3D07" w:rsidRDefault="003E3D07">
            <w:pPr>
              <w:pStyle w:val="TableText"/>
              <w:rPr>
                <w:b/>
                <w:bCs/>
              </w:rPr>
            </w:pPr>
            <w:r>
              <w:t>N/A</w:t>
            </w:r>
          </w:p>
        </w:tc>
        <w:tc>
          <w:tcPr>
            <w:tcW w:w="878" w:type="dxa"/>
            <w:shd w:val="clear" w:color="auto" w:fill="auto"/>
          </w:tcPr>
          <w:p w14:paraId="14144D85" w14:textId="77777777" w:rsidR="003E3D07" w:rsidRDefault="003E3D07">
            <w:pPr>
              <w:pStyle w:val="TableText"/>
              <w:rPr>
                <w:b/>
                <w:bCs/>
              </w:rPr>
            </w:pPr>
            <w:r>
              <w:t>N/A</w:t>
            </w:r>
          </w:p>
        </w:tc>
        <w:tc>
          <w:tcPr>
            <w:tcW w:w="1253" w:type="dxa"/>
            <w:shd w:val="clear" w:color="auto" w:fill="auto"/>
          </w:tcPr>
          <w:p w14:paraId="69EEB22B" w14:textId="77777777" w:rsidR="003E3D07" w:rsidRDefault="003E3D07">
            <w:pPr>
              <w:pStyle w:val="TableText"/>
            </w:pPr>
            <w:r>
              <w:t>N/A</w:t>
            </w:r>
          </w:p>
        </w:tc>
        <w:tc>
          <w:tcPr>
            <w:tcW w:w="1253" w:type="dxa"/>
            <w:shd w:val="clear" w:color="auto" w:fill="auto"/>
          </w:tcPr>
          <w:p w14:paraId="05360712" w14:textId="77777777" w:rsidR="003E3D07" w:rsidRDefault="003E3D07">
            <w:pPr>
              <w:pStyle w:val="TableText"/>
            </w:pPr>
            <w:r>
              <w:t>N/A</w:t>
            </w:r>
          </w:p>
        </w:tc>
        <w:tc>
          <w:tcPr>
            <w:tcW w:w="1296" w:type="dxa"/>
            <w:shd w:val="clear" w:color="auto" w:fill="auto"/>
          </w:tcPr>
          <w:p w14:paraId="04BA0327" w14:textId="77777777" w:rsidR="003E3D07" w:rsidRDefault="003E3D07">
            <w:pPr>
              <w:pStyle w:val="TableText"/>
            </w:pPr>
            <w:r>
              <w:t>N/A</w:t>
            </w:r>
          </w:p>
        </w:tc>
        <w:tc>
          <w:tcPr>
            <w:tcW w:w="1296" w:type="dxa"/>
            <w:shd w:val="clear" w:color="auto" w:fill="auto"/>
          </w:tcPr>
          <w:p w14:paraId="6F1798D3" w14:textId="77777777" w:rsidR="003E3D07" w:rsidRDefault="003E3D07">
            <w:pPr>
              <w:pStyle w:val="TableText"/>
            </w:pPr>
            <w:r>
              <w:t>AGwD</w:t>
            </w:r>
          </w:p>
        </w:tc>
      </w:tr>
      <w:tr w:rsidR="00824338" w14:paraId="3C767DF3" w14:textId="77777777">
        <w:tblPrEx>
          <w:tblBorders>
            <w:insideH w:val="single" w:sz="4" w:space="0" w:color="auto"/>
            <w:insideV w:val="single" w:sz="4" w:space="0" w:color="auto"/>
          </w:tblBorders>
        </w:tblPrEx>
        <w:tc>
          <w:tcPr>
            <w:tcW w:w="1253" w:type="dxa"/>
            <w:shd w:val="clear" w:color="auto" w:fill="auto"/>
          </w:tcPr>
          <w:p w14:paraId="2689E1D3" w14:textId="77777777" w:rsidR="003E3D07" w:rsidRDefault="003E3D07">
            <w:pPr>
              <w:pStyle w:val="TableText"/>
              <w:rPr>
                <w:rFonts w:eastAsia="Symbol"/>
              </w:rPr>
            </w:pPr>
            <w:r>
              <w:t>Anti-C</w:t>
            </w:r>
          </w:p>
        </w:tc>
        <w:tc>
          <w:tcPr>
            <w:tcW w:w="1253" w:type="dxa"/>
            <w:shd w:val="clear" w:color="auto" w:fill="auto"/>
          </w:tcPr>
          <w:p w14:paraId="12A92636" w14:textId="77777777" w:rsidR="003E3D07" w:rsidRDefault="003E3D07">
            <w:pPr>
              <w:pStyle w:val="TableText"/>
              <w:rPr>
                <w:rFonts w:eastAsia="Symbol"/>
              </w:rPr>
            </w:pPr>
            <w:r>
              <w:t>Anti-C</w:t>
            </w:r>
          </w:p>
        </w:tc>
        <w:tc>
          <w:tcPr>
            <w:tcW w:w="878" w:type="dxa"/>
            <w:shd w:val="clear" w:color="auto" w:fill="auto"/>
          </w:tcPr>
          <w:p w14:paraId="7E2B8ED3" w14:textId="77777777" w:rsidR="003E3D07" w:rsidRDefault="003E3D07">
            <w:pPr>
              <w:pStyle w:val="TableText"/>
              <w:rPr>
                <w:b/>
                <w:bCs/>
              </w:rPr>
            </w:pPr>
            <w:r>
              <w:rPr>
                <w:bCs/>
              </w:rPr>
              <w:t>Yes</w:t>
            </w:r>
          </w:p>
        </w:tc>
        <w:tc>
          <w:tcPr>
            <w:tcW w:w="878" w:type="dxa"/>
            <w:shd w:val="clear" w:color="auto" w:fill="auto"/>
          </w:tcPr>
          <w:p w14:paraId="6813311B" w14:textId="77777777" w:rsidR="003E3D07" w:rsidRDefault="003E3D07">
            <w:pPr>
              <w:pStyle w:val="TableText"/>
              <w:rPr>
                <w:rFonts w:eastAsia="Symbol"/>
                <w:b/>
                <w:bCs/>
              </w:rPr>
            </w:pPr>
            <w:r>
              <w:rPr>
                <w:bCs/>
              </w:rPr>
              <w:t>Yes</w:t>
            </w:r>
          </w:p>
        </w:tc>
        <w:tc>
          <w:tcPr>
            <w:tcW w:w="1253" w:type="dxa"/>
            <w:shd w:val="clear" w:color="auto" w:fill="auto"/>
          </w:tcPr>
          <w:p w14:paraId="434FCDC6" w14:textId="77777777" w:rsidR="003E3D07" w:rsidRDefault="003E3D07">
            <w:pPr>
              <w:pStyle w:val="TableText"/>
              <w:rPr>
                <w:rFonts w:eastAsia="Symbol"/>
              </w:rPr>
            </w:pPr>
            <w:r>
              <w:t>C</w:t>
            </w:r>
          </w:p>
        </w:tc>
        <w:tc>
          <w:tcPr>
            <w:tcW w:w="1253" w:type="dxa"/>
            <w:shd w:val="clear" w:color="auto" w:fill="auto"/>
          </w:tcPr>
          <w:p w14:paraId="6795ED29" w14:textId="77777777" w:rsidR="003E3D07" w:rsidRDefault="003E3D07">
            <w:pPr>
              <w:pStyle w:val="TableText"/>
              <w:rPr>
                <w:rFonts w:eastAsia="Symbol"/>
              </w:rPr>
            </w:pPr>
            <w:r>
              <w:t>C</w:t>
            </w:r>
          </w:p>
        </w:tc>
        <w:tc>
          <w:tcPr>
            <w:tcW w:w="1296" w:type="dxa"/>
            <w:shd w:val="clear" w:color="auto" w:fill="auto"/>
          </w:tcPr>
          <w:p w14:paraId="7DB81BA0" w14:textId="77777777" w:rsidR="003E3D07" w:rsidRDefault="003E3D07">
            <w:pPr>
              <w:pStyle w:val="TableText"/>
              <w:rPr>
                <w:rFonts w:eastAsia="Symbol"/>
              </w:rPr>
            </w:pPr>
            <w:r>
              <w:t>53</w:t>
            </w:r>
          </w:p>
        </w:tc>
        <w:tc>
          <w:tcPr>
            <w:tcW w:w="1296" w:type="dxa"/>
            <w:shd w:val="clear" w:color="auto" w:fill="auto"/>
          </w:tcPr>
          <w:p w14:paraId="1B08D23F" w14:textId="77777777" w:rsidR="003E3D07" w:rsidRDefault="003E3D07">
            <w:pPr>
              <w:pStyle w:val="TableText"/>
              <w:rPr>
                <w:rFonts w:eastAsia="Symbol"/>
              </w:rPr>
            </w:pPr>
            <w:r>
              <w:t>AGC</w:t>
            </w:r>
          </w:p>
        </w:tc>
      </w:tr>
      <w:tr w:rsidR="00824338" w14:paraId="60CE930B" w14:textId="77777777">
        <w:tblPrEx>
          <w:tblBorders>
            <w:insideH w:val="single" w:sz="4" w:space="0" w:color="auto"/>
            <w:insideV w:val="single" w:sz="4" w:space="0" w:color="auto"/>
          </w:tblBorders>
        </w:tblPrEx>
        <w:tc>
          <w:tcPr>
            <w:tcW w:w="1253" w:type="dxa"/>
            <w:shd w:val="clear" w:color="auto" w:fill="auto"/>
          </w:tcPr>
          <w:p w14:paraId="28CA9C8F" w14:textId="77777777" w:rsidR="003E3D07" w:rsidRDefault="003E3D07">
            <w:pPr>
              <w:pStyle w:val="TableText"/>
              <w:rPr>
                <w:rFonts w:eastAsia="Symbol"/>
              </w:rPr>
            </w:pPr>
            <w:r>
              <w:t>Anti-E</w:t>
            </w:r>
          </w:p>
        </w:tc>
        <w:tc>
          <w:tcPr>
            <w:tcW w:w="1253" w:type="dxa"/>
            <w:shd w:val="clear" w:color="auto" w:fill="auto"/>
          </w:tcPr>
          <w:p w14:paraId="7FE4E626" w14:textId="77777777" w:rsidR="003E3D07" w:rsidRDefault="003E3D07">
            <w:pPr>
              <w:pStyle w:val="TableText"/>
              <w:rPr>
                <w:rFonts w:eastAsia="Symbol"/>
              </w:rPr>
            </w:pPr>
            <w:r>
              <w:t>Anti-E</w:t>
            </w:r>
          </w:p>
        </w:tc>
        <w:tc>
          <w:tcPr>
            <w:tcW w:w="878" w:type="dxa"/>
            <w:shd w:val="clear" w:color="auto" w:fill="auto"/>
          </w:tcPr>
          <w:p w14:paraId="0B5E3598" w14:textId="77777777" w:rsidR="003E3D07" w:rsidRDefault="003E3D07">
            <w:pPr>
              <w:pStyle w:val="TableText"/>
              <w:rPr>
                <w:b/>
                <w:bCs/>
              </w:rPr>
            </w:pPr>
            <w:r>
              <w:rPr>
                <w:bCs/>
              </w:rPr>
              <w:t>Yes</w:t>
            </w:r>
          </w:p>
        </w:tc>
        <w:tc>
          <w:tcPr>
            <w:tcW w:w="878" w:type="dxa"/>
            <w:shd w:val="clear" w:color="auto" w:fill="auto"/>
          </w:tcPr>
          <w:p w14:paraId="383AD060" w14:textId="77777777" w:rsidR="003E3D07" w:rsidRDefault="003E3D07">
            <w:pPr>
              <w:pStyle w:val="TableText"/>
              <w:rPr>
                <w:rFonts w:eastAsia="Symbol"/>
                <w:b/>
                <w:bCs/>
              </w:rPr>
            </w:pPr>
            <w:r>
              <w:rPr>
                <w:bCs/>
              </w:rPr>
              <w:t>Yes</w:t>
            </w:r>
          </w:p>
        </w:tc>
        <w:tc>
          <w:tcPr>
            <w:tcW w:w="1253" w:type="dxa"/>
            <w:shd w:val="clear" w:color="auto" w:fill="auto"/>
          </w:tcPr>
          <w:p w14:paraId="4358C9A4" w14:textId="77777777" w:rsidR="003E3D07" w:rsidRDefault="003E3D07">
            <w:pPr>
              <w:pStyle w:val="TableText"/>
              <w:rPr>
                <w:rFonts w:eastAsia="Symbol"/>
              </w:rPr>
            </w:pPr>
            <w:r>
              <w:t>E</w:t>
            </w:r>
          </w:p>
        </w:tc>
        <w:tc>
          <w:tcPr>
            <w:tcW w:w="1253" w:type="dxa"/>
            <w:shd w:val="clear" w:color="auto" w:fill="auto"/>
          </w:tcPr>
          <w:p w14:paraId="403C7F74" w14:textId="77777777" w:rsidR="003E3D07" w:rsidRDefault="003E3D07">
            <w:pPr>
              <w:pStyle w:val="TableText"/>
              <w:rPr>
                <w:rFonts w:eastAsia="Symbol"/>
              </w:rPr>
            </w:pPr>
            <w:r>
              <w:t>E</w:t>
            </w:r>
          </w:p>
        </w:tc>
        <w:tc>
          <w:tcPr>
            <w:tcW w:w="1296" w:type="dxa"/>
            <w:shd w:val="clear" w:color="auto" w:fill="auto"/>
          </w:tcPr>
          <w:p w14:paraId="6BF26E0A" w14:textId="77777777" w:rsidR="003E3D07" w:rsidRDefault="003E3D07">
            <w:pPr>
              <w:pStyle w:val="TableText"/>
              <w:rPr>
                <w:rFonts w:eastAsia="Symbol"/>
              </w:rPr>
            </w:pPr>
            <w:r>
              <w:t>75</w:t>
            </w:r>
          </w:p>
        </w:tc>
        <w:tc>
          <w:tcPr>
            <w:tcW w:w="1296" w:type="dxa"/>
            <w:shd w:val="clear" w:color="auto" w:fill="auto"/>
          </w:tcPr>
          <w:p w14:paraId="4E745ADC" w14:textId="77777777" w:rsidR="003E3D07" w:rsidRDefault="003E3D07">
            <w:pPr>
              <w:pStyle w:val="TableText"/>
              <w:rPr>
                <w:rFonts w:eastAsia="Symbol"/>
              </w:rPr>
            </w:pPr>
            <w:r>
              <w:t>AGE</w:t>
            </w:r>
          </w:p>
        </w:tc>
      </w:tr>
      <w:tr w:rsidR="00824338" w14:paraId="060D2408" w14:textId="77777777">
        <w:tblPrEx>
          <w:tblBorders>
            <w:insideH w:val="single" w:sz="4" w:space="0" w:color="auto"/>
            <w:insideV w:val="single" w:sz="4" w:space="0" w:color="auto"/>
          </w:tblBorders>
        </w:tblPrEx>
        <w:tc>
          <w:tcPr>
            <w:tcW w:w="1253" w:type="dxa"/>
            <w:shd w:val="clear" w:color="auto" w:fill="auto"/>
          </w:tcPr>
          <w:p w14:paraId="6FEC0720" w14:textId="77777777" w:rsidR="003E3D07" w:rsidRDefault="003E3D07">
            <w:pPr>
              <w:pStyle w:val="TableText"/>
              <w:rPr>
                <w:rFonts w:eastAsia="Symbol"/>
              </w:rPr>
            </w:pPr>
            <w:r>
              <w:t>Anti-c</w:t>
            </w:r>
          </w:p>
        </w:tc>
        <w:tc>
          <w:tcPr>
            <w:tcW w:w="1253" w:type="dxa"/>
            <w:shd w:val="clear" w:color="auto" w:fill="auto"/>
          </w:tcPr>
          <w:p w14:paraId="4CDA59AD" w14:textId="77777777" w:rsidR="003E3D07" w:rsidRDefault="003E3D07">
            <w:pPr>
              <w:pStyle w:val="TableText"/>
              <w:rPr>
                <w:rFonts w:eastAsia="Symbol"/>
              </w:rPr>
            </w:pPr>
            <w:r>
              <w:t>Anti-c</w:t>
            </w:r>
          </w:p>
        </w:tc>
        <w:tc>
          <w:tcPr>
            <w:tcW w:w="878" w:type="dxa"/>
            <w:shd w:val="clear" w:color="auto" w:fill="auto"/>
          </w:tcPr>
          <w:p w14:paraId="6FAF0FD8" w14:textId="77777777" w:rsidR="003E3D07" w:rsidRDefault="003E3D07">
            <w:pPr>
              <w:pStyle w:val="TableText"/>
              <w:rPr>
                <w:b/>
                <w:bCs/>
              </w:rPr>
            </w:pPr>
            <w:r>
              <w:rPr>
                <w:bCs/>
              </w:rPr>
              <w:t>Yes</w:t>
            </w:r>
          </w:p>
        </w:tc>
        <w:tc>
          <w:tcPr>
            <w:tcW w:w="878" w:type="dxa"/>
            <w:shd w:val="clear" w:color="auto" w:fill="auto"/>
          </w:tcPr>
          <w:p w14:paraId="29FFD50B" w14:textId="77777777" w:rsidR="003E3D07" w:rsidRDefault="003E3D07">
            <w:pPr>
              <w:pStyle w:val="TableText"/>
              <w:rPr>
                <w:rFonts w:eastAsia="Symbol"/>
                <w:b/>
                <w:bCs/>
              </w:rPr>
            </w:pPr>
            <w:r>
              <w:rPr>
                <w:bCs/>
              </w:rPr>
              <w:t>Yes</w:t>
            </w:r>
          </w:p>
        </w:tc>
        <w:tc>
          <w:tcPr>
            <w:tcW w:w="1253" w:type="dxa"/>
            <w:shd w:val="clear" w:color="auto" w:fill="auto"/>
          </w:tcPr>
          <w:p w14:paraId="569CDF56" w14:textId="77777777" w:rsidR="003E3D07" w:rsidRDefault="003E3D07">
            <w:pPr>
              <w:pStyle w:val="TableText"/>
              <w:rPr>
                <w:rFonts w:eastAsia="Symbol"/>
              </w:rPr>
            </w:pPr>
            <w:r>
              <w:t>c</w:t>
            </w:r>
          </w:p>
        </w:tc>
        <w:tc>
          <w:tcPr>
            <w:tcW w:w="1253" w:type="dxa"/>
            <w:shd w:val="clear" w:color="auto" w:fill="auto"/>
          </w:tcPr>
          <w:p w14:paraId="5B30C600" w14:textId="77777777" w:rsidR="003E3D07" w:rsidRDefault="003E3D07">
            <w:pPr>
              <w:pStyle w:val="TableText"/>
              <w:rPr>
                <w:rFonts w:eastAsia="Symbol"/>
              </w:rPr>
            </w:pPr>
            <w:r>
              <w:t>c</w:t>
            </w:r>
          </w:p>
        </w:tc>
        <w:tc>
          <w:tcPr>
            <w:tcW w:w="1296" w:type="dxa"/>
            <w:shd w:val="clear" w:color="auto" w:fill="auto"/>
          </w:tcPr>
          <w:p w14:paraId="7928CD15" w14:textId="77777777" w:rsidR="003E3D07" w:rsidRDefault="003E3D07">
            <w:pPr>
              <w:pStyle w:val="TableText"/>
              <w:rPr>
                <w:rFonts w:eastAsia="Symbol"/>
              </w:rPr>
            </w:pPr>
            <w:r>
              <w:t>12</w:t>
            </w:r>
          </w:p>
        </w:tc>
        <w:tc>
          <w:tcPr>
            <w:tcW w:w="1296" w:type="dxa"/>
            <w:shd w:val="clear" w:color="auto" w:fill="auto"/>
          </w:tcPr>
          <w:p w14:paraId="2D508BBA" w14:textId="77777777" w:rsidR="003E3D07" w:rsidRDefault="003E3D07">
            <w:pPr>
              <w:pStyle w:val="TableText"/>
              <w:rPr>
                <w:rFonts w:eastAsia="Symbol"/>
              </w:rPr>
            </w:pPr>
            <w:r>
              <w:t>AGc</w:t>
            </w:r>
          </w:p>
        </w:tc>
      </w:tr>
      <w:tr w:rsidR="00824338" w14:paraId="0563970B" w14:textId="77777777">
        <w:tblPrEx>
          <w:tblBorders>
            <w:insideH w:val="single" w:sz="4" w:space="0" w:color="auto"/>
            <w:insideV w:val="single" w:sz="4" w:space="0" w:color="auto"/>
          </w:tblBorders>
        </w:tblPrEx>
        <w:tc>
          <w:tcPr>
            <w:tcW w:w="1253" w:type="dxa"/>
            <w:shd w:val="clear" w:color="auto" w:fill="auto"/>
          </w:tcPr>
          <w:p w14:paraId="412C08FE" w14:textId="77777777" w:rsidR="003E3D07" w:rsidRDefault="003E3D07">
            <w:pPr>
              <w:pStyle w:val="TableText"/>
              <w:rPr>
                <w:rFonts w:eastAsia="Symbol"/>
              </w:rPr>
            </w:pPr>
            <w:r>
              <w:t>Anti-e</w:t>
            </w:r>
          </w:p>
        </w:tc>
        <w:tc>
          <w:tcPr>
            <w:tcW w:w="1253" w:type="dxa"/>
            <w:shd w:val="clear" w:color="auto" w:fill="auto"/>
          </w:tcPr>
          <w:p w14:paraId="5161DA0E" w14:textId="77777777" w:rsidR="003E3D07" w:rsidRDefault="003E3D07">
            <w:pPr>
              <w:pStyle w:val="TableText"/>
              <w:rPr>
                <w:rFonts w:eastAsia="Symbol"/>
              </w:rPr>
            </w:pPr>
            <w:r>
              <w:t>Anti-e</w:t>
            </w:r>
          </w:p>
        </w:tc>
        <w:tc>
          <w:tcPr>
            <w:tcW w:w="878" w:type="dxa"/>
            <w:shd w:val="clear" w:color="auto" w:fill="auto"/>
          </w:tcPr>
          <w:p w14:paraId="31F72680" w14:textId="77777777" w:rsidR="003E3D07" w:rsidRDefault="003E3D07">
            <w:pPr>
              <w:pStyle w:val="TableText"/>
              <w:rPr>
                <w:b/>
                <w:bCs/>
              </w:rPr>
            </w:pPr>
            <w:r>
              <w:rPr>
                <w:bCs/>
              </w:rPr>
              <w:t>Yes</w:t>
            </w:r>
          </w:p>
        </w:tc>
        <w:tc>
          <w:tcPr>
            <w:tcW w:w="878" w:type="dxa"/>
            <w:shd w:val="clear" w:color="auto" w:fill="auto"/>
          </w:tcPr>
          <w:p w14:paraId="718CC70D" w14:textId="77777777" w:rsidR="003E3D07" w:rsidRDefault="003E3D07">
            <w:pPr>
              <w:pStyle w:val="TableText"/>
              <w:rPr>
                <w:rFonts w:eastAsia="Symbol"/>
                <w:b/>
                <w:bCs/>
              </w:rPr>
            </w:pPr>
            <w:r>
              <w:rPr>
                <w:bCs/>
              </w:rPr>
              <w:t>Yes</w:t>
            </w:r>
          </w:p>
        </w:tc>
        <w:tc>
          <w:tcPr>
            <w:tcW w:w="1253" w:type="dxa"/>
            <w:shd w:val="clear" w:color="auto" w:fill="auto"/>
          </w:tcPr>
          <w:p w14:paraId="40BD33A9" w14:textId="77777777" w:rsidR="003E3D07" w:rsidRDefault="003E3D07">
            <w:pPr>
              <w:pStyle w:val="TableText"/>
              <w:rPr>
                <w:rFonts w:eastAsia="Symbol"/>
              </w:rPr>
            </w:pPr>
            <w:r>
              <w:t>e</w:t>
            </w:r>
          </w:p>
        </w:tc>
        <w:tc>
          <w:tcPr>
            <w:tcW w:w="1253" w:type="dxa"/>
            <w:shd w:val="clear" w:color="auto" w:fill="auto"/>
          </w:tcPr>
          <w:p w14:paraId="3573B0A3" w14:textId="77777777" w:rsidR="003E3D07" w:rsidRDefault="003E3D07">
            <w:pPr>
              <w:pStyle w:val="TableText"/>
              <w:rPr>
                <w:rFonts w:eastAsia="Symbol"/>
              </w:rPr>
            </w:pPr>
            <w:r>
              <w:t>e</w:t>
            </w:r>
          </w:p>
        </w:tc>
        <w:tc>
          <w:tcPr>
            <w:tcW w:w="1296" w:type="dxa"/>
            <w:shd w:val="clear" w:color="auto" w:fill="auto"/>
          </w:tcPr>
          <w:p w14:paraId="324C39AD" w14:textId="77777777" w:rsidR="003E3D07" w:rsidRDefault="003E3D07">
            <w:pPr>
              <w:pStyle w:val="TableText"/>
              <w:rPr>
                <w:rFonts w:eastAsia="Symbol"/>
              </w:rPr>
            </w:pPr>
            <w:r>
              <w:t>2</w:t>
            </w:r>
          </w:p>
        </w:tc>
        <w:tc>
          <w:tcPr>
            <w:tcW w:w="1296" w:type="dxa"/>
            <w:shd w:val="clear" w:color="auto" w:fill="auto"/>
          </w:tcPr>
          <w:p w14:paraId="314D813C" w14:textId="77777777" w:rsidR="003E3D07" w:rsidRDefault="003E3D07">
            <w:pPr>
              <w:pStyle w:val="TableText"/>
              <w:rPr>
                <w:rFonts w:eastAsia="Symbol"/>
              </w:rPr>
            </w:pPr>
            <w:r>
              <w:t>AGe</w:t>
            </w:r>
          </w:p>
        </w:tc>
      </w:tr>
      <w:tr w:rsidR="00824338" w14:paraId="582E595A" w14:textId="77777777">
        <w:tblPrEx>
          <w:tblBorders>
            <w:insideH w:val="single" w:sz="4" w:space="0" w:color="auto"/>
            <w:insideV w:val="single" w:sz="4" w:space="0" w:color="auto"/>
          </w:tblBorders>
        </w:tblPrEx>
        <w:tc>
          <w:tcPr>
            <w:tcW w:w="1253" w:type="dxa"/>
            <w:shd w:val="clear" w:color="auto" w:fill="auto"/>
          </w:tcPr>
          <w:p w14:paraId="58A635F8" w14:textId="77777777" w:rsidR="003E3D07" w:rsidRDefault="003E3D07">
            <w:pPr>
              <w:pStyle w:val="TableText"/>
              <w:rPr>
                <w:rFonts w:eastAsia="Symbol"/>
              </w:rPr>
            </w:pPr>
            <w:r>
              <w:t>Anti-f</w:t>
            </w:r>
          </w:p>
        </w:tc>
        <w:tc>
          <w:tcPr>
            <w:tcW w:w="1253" w:type="dxa"/>
            <w:shd w:val="clear" w:color="auto" w:fill="auto"/>
          </w:tcPr>
          <w:p w14:paraId="7B71550A" w14:textId="77777777" w:rsidR="003E3D07" w:rsidRDefault="003E3D07">
            <w:pPr>
              <w:pStyle w:val="TableText"/>
              <w:rPr>
                <w:rFonts w:eastAsia="Symbol"/>
              </w:rPr>
            </w:pPr>
            <w:r>
              <w:t>Anti-f</w:t>
            </w:r>
          </w:p>
        </w:tc>
        <w:tc>
          <w:tcPr>
            <w:tcW w:w="878" w:type="dxa"/>
            <w:shd w:val="clear" w:color="auto" w:fill="auto"/>
          </w:tcPr>
          <w:p w14:paraId="45D85AB1" w14:textId="77777777" w:rsidR="003E3D07" w:rsidRDefault="003E3D07">
            <w:pPr>
              <w:pStyle w:val="TableText"/>
              <w:rPr>
                <w:b/>
                <w:bCs/>
              </w:rPr>
            </w:pPr>
            <w:r>
              <w:rPr>
                <w:bCs/>
              </w:rPr>
              <w:t>Yes</w:t>
            </w:r>
          </w:p>
        </w:tc>
        <w:tc>
          <w:tcPr>
            <w:tcW w:w="878" w:type="dxa"/>
            <w:shd w:val="clear" w:color="auto" w:fill="auto"/>
          </w:tcPr>
          <w:p w14:paraId="181C0E19" w14:textId="77777777" w:rsidR="003E3D07" w:rsidRDefault="003E3D07">
            <w:pPr>
              <w:pStyle w:val="TableText"/>
              <w:rPr>
                <w:rFonts w:eastAsia="Symbol"/>
                <w:b/>
                <w:bCs/>
              </w:rPr>
            </w:pPr>
            <w:r>
              <w:rPr>
                <w:bCs/>
              </w:rPr>
              <w:t>Yes</w:t>
            </w:r>
          </w:p>
        </w:tc>
        <w:tc>
          <w:tcPr>
            <w:tcW w:w="1253" w:type="dxa"/>
            <w:shd w:val="clear" w:color="auto" w:fill="auto"/>
          </w:tcPr>
          <w:p w14:paraId="075587BD" w14:textId="77777777" w:rsidR="003E3D07" w:rsidRDefault="003E3D07">
            <w:pPr>
              <w:pStyle w:val="TableText"/>
              <w:rPr>
                <w:rFonts w:eastAsia="Symbol"/>
              </w:rPr>
            </w:pPr>
            <w:r>
              <w:t>c and e</w:t>
            </w:r>
          </w:p>
        </w:tc>
        <w:tc>
          <w:tcPr>
            <w:tcW w:w="1253" w:type="dxa"/>
            <w:shd w:val="clear" w:color="auto" w:fill="auto"/>
          </w:tcPr>
          <w:p w14:paraId="7745090A" w14:textId="77777777" w:rsidR="003E3D07" w:rsidRDefault="003E3D07">
            <w:pPr>
              <w:pStyle w:val="TableText"/>
              <w:rPr>
                <w:rFonts w:eastAsia="Symbol"/>
              </w:rPr>
            </w:pPr>
            <w:r>
              <w:t>f</w:t>
            </w:r>
          </w:p>
        </w:tc>
        <w:tc>
          <w:tcPr>
            <w:tcW w:w="1296" w:type="dxa"/>
            <w:shd w:val="clear" w:color="auto" w:fill="auto"/>
          </w:tcPr>
          <w:p w14:paraId="2E78CB5B" w14:textId="77777777" w:rsidR="003E3D07" w:rsidRDefault="003E3D07">
            <w:pPr>
              <w:pStyle w:val="TableText"/>
              <w:rPr>
                <w:rFonts w:eastAsia="Symbol"/>
              </w:rPr>
            </w:pPr>
            <w:r>
              <w:t>N/A</w:t>
            </w:r>
          </w:p>
        </w:tc>
        <w:tc>
          <w:tcPr>
            <w:tcW w:w="1296" w:type="dxa"/>
            <w:shd w:val="clear" w:color="auto" w:fill="auto"/>
          </w:tcPr>
          <w:p w14:paraId="6B1E2C4F" w14:textId="77777777" w:rsidR="003E3D07" w:rsidRDefault="003E3D07">
            <w:pPr>
              <w:pStyle w:val="TableText"/>
            </w:pPr>
            <w:r>
              <w:t>AGc</w:t>
            </w:r>
          </w:p>
          <w:p w14:paraId="7F96D31F" w14:textId="77777777" w:rsidR="003E3D07" w:rsidRDefault="003E3D07">
            <w:pPr>
              <w:pStyle w:val="TableText"/>
              <w:rPr>
                <w:rFonts w:eastAsia="Symbol"/>
              </w:rPr>
            </w:pPr>
            <w:r>
              <w:t>AGe</w:t>
            </w:r>
          </w:p>
        </w:tc>
      </w:tr>
      <w:tr w:rsidR="00824338" w14:paraId="5A7FA011" w14:textId="77777777">
        <w:tblPrEx>
          <w:tblBorders>
            <w:insideH w:val="single" w:sz="4" w:space="0" w:color="auto"/>
            <w:insideV w:val="single" w:sz="4" w:space="0" w:color="auto"/>
          </w:tblBorders>
        </w:tblPrEx>
        <w:tc>
          <w:tcPr>
            <w:tcW w:w="1253" w:type="dxa"/>
            <w:shd w:val="clear" w:color="auto" w:fill="auto"/>
          </w:tcPr>
          <w:p w14:paraId="0526ACBD" w14:textId="77777777" w:rsidR="003E3D07" w:rsidRDefault="003E3D07">
            <w:pPr>
              <w:pStyle w:val="TableText"/>
              <w:rPr>
                <w:rFonts w:eastAsia="Symbol"/>
              </w:rPr>
            </w:pPr>
            <w:r>
              <w:t>Anti-G</w:t>
            </w:r>
          </w:p>
        </w:tc>
        <w:tc>
          <w:tcPr>
            <w:tcW w:w="1253" w:type="dxa"/>
            <w:shd w:val="clear" w:color="auto" w:fill="auto"/>
          </w:tcPr>
          <w:p w14:paraId="37BD765F" w14:textId="77777777" w:rsidR="003E3D07" w:rsidRDefault="003E3D07">
            <w:pPr>
              <w:pStyle w:val="TableText"/>
              <w:rPr>
                <w:rFonts w:eastAsia="Symbol"/>
              </w:rPr>
            </w:pPr>
            <w:r>
              <w:t>Anti-G</w:t>
            </w:r>
          </w:p>
        </w:tc>
        <w:tc>
          <w:tcPr>
            <w:tcW w:w="878" w:type="dxa"/>
            <w:shd w:val="clear" w:color="auto" w:fill="auto"/>
          </w:tcPr>
          <w:p w14:paraId="7A72FEB0" w14:textId="77777777" w:rsidR="003E3D07" w:rsidRDefault="003E3D07">
            <w:pPr>
              <w:pStyle w:val="TableText"/>
              <w:rPr>
                <w:b/>
                <w:bCs/>
              </w:rPr>
            </w:pPr>
            <w:r>
              <w:rPr>
                <w:bCs/>
              </w:rPr>
              <w:t>Yes</w:t>
            </w:r>
          </w:p>
        </w:tc>
        <w:tc>
          <w:tcPr>
            <w:tcW w:w="878" w:type="dxa"/>
            <w:shd w:val="clear" w:color="auto" w:fill="auto"/>
          </w:tcPr>
          <w:p w14:paraId="28A1A086" w14:textId="77777777" w:rsidR="003E3D07" w:rsidRDefault="003E3D07">
            <w:pPr>
              <w:pStyle w:val="TableText"/>
              <w:rPr>
                <w:rFonts w:eastAsia="Symbol"/>
                <w:b/>
                <w:bCs/>
              </w:rPr>
            </w:pPr>
            <w:r>
              <w:rPr>
                <w:bCs/>
              </w:rPr>
              <w:t>Yes</w:t>
            </w:r>
          </w:p>
        </w:tc>
        <w:tc>
          <w:tcPr>
            <w:tcW w:w="1253" w:type="dxa"/>
            <w:shd w:val="clear" w:color="auto" w:fill="auto"/>
          </w:tcPr>
          <w:p w14:paraId="5B97EE73" w14:textId="77777777" w:rsidR="003E3D07" w:rsidRDefault="003E3D07">
            <w:pPr>
              <w:pStyle w:val="TableText"/>
              <w:rPr>
                <w:rFonts w:eastAsia="Symbol"/>
              </w:rPr>
            </w:pPr>
            <w:r>
              <w:rPr>
                <w:rFonts w:eastAsia="Symbol"/>
              </w:rPr>
              <w:t>C and D</w:t>
            </w:r>
          </w:p>
        </w:tc>
        <w:tc>
          <w:tcPr>
            <w:tcW w:w="1253" w:type="dxa"/>
            <w:shd w:val="clear" w:color="auto" w:fill="auto"/>
          </w:tcPr>
          <w:p w14:paraId="6EA38D56" w14:textId="77777777" w:rsidR="003E3D07" w:rsidRDefault="003E3D07">
            <w:pPr>
              <w:pStyle w:val="TableText"/>
              <w:rPr>
                <w:rFonts w:eastAsia="Symbol"/>
              </w:rPr>
            </w:pPr>
            <w:r>
              <w:t>G</w:t>
            </w:r>
          </w:p>
        </w:tc>
        <w:tc>
          <w:tcPr>
            <w:tcW w:w="1296" w:type="dxa"/>
            <w:shd w:val="clear" w:color="auto" w:fill="auto"/>
          </w:tcPr>
          <w:p w14:paraId="13721B19" w14:textId="77777777" w:rsidR="003E3D07" w:rsidRDefault="003E3D07">
            <w:pPr>
              <w:pStyle w:val="TableText"/>
              <w:rPr>
                <w:rFonts w:eastAsia="Symbol"/>
              </w:rPr>
            </w:pPr>
            <w:r>
              <w:t>N/A</w:t>
            </w:r>
          </w:p>
        </w:tc>
        <w:tc>
          <w:tcPr>
            <w:tcW w:w="1296" w:type="dxa"/>
            <w:shd w:val="clear" w:color="auto" w:fill="auto"/>
          </w:tcPr>
          <w:p w14:paraId="1B86557E" w14:textId="77777777" w:rsidR="003E3D07" w:rsidRDefault="003E3D07">
            <w:pPr>
              <w:pStyle w:val="TableText"/>
            </w:pPr>
            <w:r>
              <w:t>AGD</w:t>
            </w:r>
          </w:p>
          <w:p w14:paraId="0B8A7A39" w14:textId="77777777" w:rsidR="003E3D07" w:rsidRDefault="003E3D07">
            <w:pPr>
              <w:pStyle w:val="TableText"/>
              <w:rPr>
                <w:rFonts w:eastAsia="Symbol"/>
              </w:rPr>
            </w:pPr>
            <w:r>
              <w:t>AGC</w:t>
            </w:r>
          </w:p>
        </w:tc>
      </w:tr>
      <w:tr w:rsidR="00824338" w14:paraId="15659884" w14:textId="77777777">
        <w:tblPrEx>
          <w:tblBorders>
            <w:insideH w:val="single" w:sz="4" w:space="0" w:color="auto"/>
            <w:insideV w:val="single" w:sz="4" w:space="0" w:color="auto"/>
          </w:tblBorders>
        </w:tblPrEx>
        <w:tc>
          <w:tcPr>
            <w:tcW w:w="1253" w:type="dxa"/>
            <w:shd w:val="clear" w:color="auto" w:fill="auto"/>
          </w:tcPr>
          <w:p w14:paraId="6D2C9154" w14:textId="77777777" w:rsidR="003E3D07" w:rsidRDefault="003E3D07">
            <w:pPr>
              <w:pStyle w:val="TableText"/>
              <w:rPr>
                <w:rFonts w:eastAsia="Symbol"/>
              </w:rPr>
            </w:pPr>
            <w:r>
              <w:t>Anti-K</w:t>
            </w:r>
          </w:p>
        </w:tc>
        <w:tc>
          <w:tcPr>
            <w:tcW w:w="1253" w:type="dxa"/>
            <w:shd w:val="clear" w:color="auto" w:fill="auto"/>
          </w:tcPr>
          <w:p w14:paraId="61D02598" w14:textId="77777777" w:rsidR="003E3D07" w:rsidRDefault="003E3D07">
            <w:pPr>
              <w:pStyle w:val="TableText"/>
              <w:rPr>
                <w:b/>
                <w:bCs/>
              </w:rPr>
            </w:pPr>
            <w:r>
              <w:t>Anti-K</w:t>
            </w:r>
          </w:p>
        </w:tc>
        <w:tc>
          <w:tcPr>
            <w:tcW w:w="878" w:type="dxa"/>
            <w:shd w:val="clear" w:color="auto" w:fill="auto"/>
          </w:tcPr>
          <w:p w14:paraId="093F2F95" w14:textId="77777777" w:rsidR="003E3D07" w:rsidRDefault="003E3D07">
            <w:pPr>
              <w:pStyle w:val="TableText"/>
              <w:rPr>
                <w:b/>
                <w:bCs/>
              </w:rPr>
            </w:pPr>
            <w:r>
              <w:rPr>
                <w:bCs/>
              </w:rPr>
              <w:t>Yes</w:t>
            </w:r>
          </w:p>
        </w:tc>
        <w:tc>
          <w:tcPr>
            <w:tcW w:w="878" w:type="dxa"/>
            <w:shd w:val="clear" w:color="auto" w:fill="auto"/>
          </w:tcPr>
          <w:p w14:paraId="5811282A" w14:textId="77777777" w:rsidR="003E3D07" w:rsidRDefault="003E3D07">
            <w:pPr>
              <w:pStyle w:val="TableText"/>
              <w:rPr>
                <w:rFonts w:eastAsia="Symbol"/>
                <w:b/>
                <w:bCs/>
              </w:rPr>
            </w:pPr>
            <w:r>
              <w:rPr>
                <w:bCs/>
              </w:rPr>
              <w:t>Yes</w:t>
            </w:r>
          </w:p>
        </w:tc>
        <w:tc>
          <w:tcPr>
            <w:tcW w:w="1253" w:type="dxa"/>
            <w:shd w:val="clear" w:color="auto" w:fill="auto"/>
          </w:tcPr>
          <w:p w14:paraId="253EC693" w14:textId="77777777" w:rsidR="003E3D07" w:rsidRDefault="003E3D07">
            <w:pPr>
              <w:pStyle w:val="TableText"/>
              <w:rPr>
                <w:rFonts w:eastAsia="Symbol"/>
              </w:rPr>
            </w:pPr>
            <w:r>
              <w:t>K</w:t>
            </w:r>
          </w:p>
        </w:tc>
        <w:tc>
          <w:tcPr>
            <w:tcW w:w="1253" w:type="dxa"/>
            <w:shd w:val="clear" w:color="auto" w:fill="auto"/>
          </w:tcPr>
          <w:p w14:paraId="7454BDC8" w14:textId="77777777" w:rsidR="003E3D07" w:rsidRDefault="003E3D07">
            <w:pPr>
              <w:pStyle w:val="TableText"/>
            </w:pPr>
            <w:r>
              <w:t>K</w:t>
            </w:r>
          </w:p>
        </w:tc>
        <w:tc>
          <w:tcPr>
            <w:tcW w:w="1296" w:type="dxa"/>
            <w:shd w:val="clear" w:color="auto" w:fill="auto"/>
          </w:tcPr>
          <w:p w14:paraId="72018D53" w14:textId="77777777" w:rsidR="003E3D07" w:rsidRDefault="003E3D07">
            <w:pPr>
              <w:pStyle w:val="TableText"/>
              <w:rPr>
                <w:rFonts w:eastAsia="Symbol"/>
              </w:rPr>
            </w:pPr>
            <w:r>
              <w:t>91</w:t>
            </w:r>
          </w:p>
        </w:tc>
        <w:tc>
          <w:tcPr>
            <w:tcW w:w="1296" w:type="dxa"/>
            <w:shd w:val="clear" w:color="auto" w:fill="auto"/>
          </w:tcPr>
          <w:p w14:paraId="4097AA1B" w14:textId="77777777" w:rsidR="003E3D07" w:rsidRDefault="003E3D07">
            <w:pPr>
              <w:pStyle w:val="TableText"/>
              <w:rPr>
                <w:rFonts w:eastAsia="Symbol"/>
              </w:rPr>
            </w:pPr>
            <w:r>
              <w:t>AGK</w:t>
            </w:r>
          </w:p>
        </w:tc>
      </w:tr>
      <w:tr w:rsidR="00824338" w14:paraId="5AF96BC2" w14:textId="77777777">
        <w:tblPrEx>
          <w:tblBorders>
            <w:insideH w:val="single" w:sz="4" w:space="0" w:color="auto"/>
            <w:insideV w:val="single" w:sz="4" w:space="0" w:color="auto"/>
          </w:tblBorders>
        </w:tblPrEx>
        <w:tc>
          <w:tcPr>
            <w:tcW w:w="1253" w:type="dxa"/>
            <w:shd w:val="clear" w:color="auto" w:fill="auto"/>
          </w:tcPr>
          <w:p w14:paraId="7598B719" w14:textId="77777777" w:rsidR="003E3D07" w:rsidRDefault="003E3D07">
            <w:pPr>
              <w:pStyle w:val="TableText"/>
              <w:rPr>
                <w:rFonts w:eastAsia="Symbol"/>
              </w:rPr>
            </w:pPr>
            <w:r>
              <w:t>Anti-k</w:t>
            </w:r>
          </w:p>
        </w:tc>
        <w:tc>
          <w:tcPr>
            <w:tcW w:w="1253" w:type="dxa"/>
            <w:shd w:val="clear" w:color="auto" w:fill="auto"/>
          </w:tcPr>
          <w:p w14:paraId="7EB52E4B" w14:textId="77777777" w:rsidR="003E3D07" w:rsidRDefault="003E3D07">
            <w:pPr>
              <w:pStyle w:val="TableText"/>
              <w:rPr>
                <w:rFonts w:eastAsia="Symbol"/>
              </w:rPr>
            </w:pPr>
            <w:r>
              <w:t>Anti-k</w:t>
            </w:r>
          </w:p>
        </w:tc>
        <w:tc>
          <w:tcPr>
            <w:tcW w:w="878" w:type="dxa"/>
            <w:shd w:val="clear" w:color="auto" w:fill="auto"/>
          </w:tcPr>
          <w:p w14:paraId="07BDE8F6" w14:textId="77777777" w:rsidR="003E3D07" w:rsidRDefault="003E3D07">
            <w:pPr>
              <w:pStyle w:val="TableText"/>
              <w:rPr>
                <w:b/>
                <w:bCs/>
              </w:rPr>
            </w:pPr>
            <w:r>
              <w:rPr>
                <w:bCs/>
              </w:rPr>
              <w:t>Yes</w:t>
            </w:r>
          </w:p>
        </w:tc>
        <w:tc>
          <w:tcPr>
            <w:tcW w:w="878" w:type="dxa"/>
            <w:shd w:val="clear" w:color="auto" w:fill="auto"/>
          </w:tcPr>
          <w:p w14:paraId="1B9EE6A2" w14:textId="77777777" w:rsidR="003E3D07" w:rsidRDefault="003E3D07">
            <w:pPr>
              <w:pStyle w:val="TableText"/>
              <w:rPr>
                <w:rFonts w:eastAsia="Symbol"/>
                <w:b/>
                <w:bCs/>
              </w:rPr>
            </w:pPr>
            <w:r>
              <w:rPr>
                <w:bCs/>
              </w:rPr>
              <w:t>Yes</w:t>
            </w:r>
          </w:p>
        </w:tc>
        <w:tc>
          <w:tcPr>
            <w:tcW w:w="1253" w:type="dxa"/>
            <w:shd w:val="clear" w:color="auto" w:fill="auto"/>
          </w:tcPr>
          <w:p w14:paraId="3A029058" w14:textId="77777777" w:rsidR="003E3D07" w:rsidRDefault="003E3D07">
            <w:pPr>
              <w:pStyle w:val="TableText"/>
              <w:rPr>
                <w:rFonts w:eastAsia="Symbol"/>
              </w:rPr>
            </w:pPr>
            <w:r>
              <w:t>k</w:t>
            </w:r>
          </w:p>
        </w:tc>
        <w:tc>
          <w:tcPr>
            <w:tcW w:w="1253" w:type="dxa"/>
            <w:shd w:val="clear" w:color="auto" w:fill="auto"/>
          </w:tcPr>
          <w:p w14:paraId="0F68625A" w14:textId="77777777" w:rsidR="003E3D07" w:rsidRDefault="003E3D07">
            <w:pPr>
              <w:pStyle w:val="TableText"/>
              <w:rPr>
                <w:rFonts w:eastAsia="Symbol"/>
              </w:rPr>
            </w:pPr>
            <w:r>
              <w:t>k</w:t>
            </w:r>
          </w:p>
        </w:tc>
        <w:tc>
          <w:tcPr>
            <w:tcW w:w="1296" w:type="dxa"/>
            <w:shd w:val="clear" w:color="auto" w:fill="auto"/>
          </w:tcPr>
          <w:p w14:paraId="3291DD21" w14:textId="77777777" w:rsidR="003E3D07" w:rsidRDefault="003E3D07">
            <w:pPr>
              <w:pStyle w:val="TableText"/>
              <w:rPr>
                <w:rFonts w:eastAsia="Symbol"/>
              </w:rPr>
            </w:pPr>
            <w:r>
              <w:t>1</w:t>
            </w:r>
          </w:p>
        </w:tc>
        <w:tc>
          <w:tcPr>
            <w:tcW w:w="1296" w:type="dxa"/>
            <w:shd w:val="clear" w:color="auto" w:fill="auto"/>
          </w:tcPr>
          <w:p w14:paraId="20DD0AF0" w14:textId="77777777" w:rsidR="003E3D07" w:rsidRDefault="003E3D07">
            <w:pPr>
              <w:pStyle w:val="TableText"/>
              <w:rPr>
                <w:rFonts w:eastAsia="Symbol"/>
              </w:rPr>
            </w:pPr>
            <w:r>
              <w:t>AGk</w:t>
            </w:r>
          </w:p>
        </w:tc>
      </w:tr>
      <w:tr w:rsidR="00824338" w14:paraId="657F0CEC" w14:textId="77777777">
        <w:tblPrEx>
          <w:tblBorders>
            <w:insideH w:val="single" w:sz="4" w:space="0" w:color="auto"/>
            <w:insideV w:val="single" w:sz="4" w:space="0" w:color="auto"/>
          </w:tblBorders>
        </w:tblPrEx>
        <w:tc>
          <w:tcPr>
            <w:tcW w:w="1253" w:type="dxa"/>
            <w:shd w:val="clear" w:color="auto" w:fill="auto"/>
          </w:tcPr>
          <w:p w14:paraId="2DA7D1C3" w14:textId="77777777" w:rsidR="003E3D07" w:rsidRDefault="003E3D07">
            <w:pPr>
              <w:pStyle w:val="TableText"/>
              <w:rPr>
                <w:rFonts w:eastAsia="Symbol"/>
              </w:rPr>
            </w:pPr>
            <w:r>
              <w:t xml:space="preserve">Anti-Kp(a) </w:t>
            </w:r>
          </w:p>
        </w:tc>
        <w:tc>
          <w:tcPr>
            <w:tcW w:w="1253" w:type="dxa"/>
            <w:shd w:val="clear" w:color="auto" w:fill="auto"/>
          </w:tcPr>
          <w:p w14:paraId="1A26E8FA" w14:textId="77777777" w:rsidR="003E3D07" w:rsidRDefault="003E3D07">
            <w:pPr>
              <w:pStyle w:val="TableText"/>
              <w:rPr>
                <w:rFonts w:eastAsia="Symbol"/>
              </w:rPr>
            </w:pPr>
            <w:r>
              <w:t>Anti-Kp(a)</w:t>
            </w:r>
          </w:p>
        </w:tc>
        <w:tc>
          <w:tcPr>
            <w:tcW w:w="878" w:type="dxa"/>
            <w:shd w:val="clear" w:color="auto" w:fill="auto"/>
          </w:tcPr>
          <w:p w14:paraId="61C48F11" w14:textId="77777777" w:rsidR="003E3D07" w:rsidRDefault="003E3D07">
            <w:pPr>
              <w:pStyle w:val="TableText"/>
              <w:rPr>
                <w:b/>
                <w:bCs/>
              </w:rPr>
            </w:pPr>
            <w:r>
              <w:rPr>
                <w:bCs/>
              </w:rPr>
              <w:t>Yes</w:t>
            </w:r>
          </w:p>
        </w:tc>
        <w:tc>
          <w:tcPr>
            <w:tcW w:w="878" w:type="dxa"/>
            <w:shd w:val="clear" w:color="auto" w:fill="auto"/>
          </w:tcPr>
          <w:p w14:paraId="4CB16D9F" w14:textId="77777777" w:rsidR="003E3D07" w:rsidRDefault="003E3D07">
            <w:pPr>
              <w:pStyle w:val="TableText"/>
              <w:rPr>
                <w:rFonts w:eastAsia="Symbol"/>
              </w:rPr>
            </w:pPr>
            <w:r>
              <w:t>Optional</w:t>
            </w:r>
          </w:p>
        </w:tc>
        <w:tc>
          <w:tcPr>
            <w:tcW w:w="1253" w:type="dxa"/>
            <w:shd w:val="clear" w:color="auto" w:fill="auto"/>
          </w:tcPr>
          <w:p w14:paraId="4DC73C8F" w14:textId="77777777" w:rsidR="003E3D07" w:rsidRDefault="003E3D07">
            <w:pPr>
              <w:pStyle w:val="TableText"/>
              <w:rPr>
                <w:rFonts w:eastAsia="Symbol"/>
              </w:rPr>
            </w:pPr>
            <w:r>
              <w:t>Kp(a)</w:t>
            </w:r>
          </w:p>
        </w:tc>
        <w:tc>
          <w:tcPr>
            <w:tcW w:w="1253" w:type="dxa"/>
            <w:shd w:val="clear" w:color="auto" w:fill="auto"/>
          </w:tcPr>
          <w:p w14:paraId="6F6B24F2" w14:textId="77777777" w:rsidR="003E3D07" w:rsidRDefault="003E3D07">
            <w:pPr>
              <w:pStyle w:val="TableText"/>
              <w:rPr>
                <w:rFonts w:eastAsia="Symbol"/>
              </w:rPr>
            </w:pPr>
            <w:r>
              <w:t>Kp(a)</w:t>
            </w:r>
          </w:p>
        </w:tc>
        <w:tc>
          <w:tcPr>
            <w:tcW w:w="1296" w:type="dxa"/>
            <w:shd w:val="clear" w:color="auto" w:fill="auto"/>
          </w:tcPr>
          <w:p w14:paraId="7C754070" w14:textId="77777777" w:rsidR="003E3D07" w:rsidRDefault="003E3D07">
            <w:pPr>
              <w:pStyle w:val="TableText"/>
              <w:rPr>
                <w:rFonts w:eastAsia="Symbol"/>
              </w:rPr>
            </w:pPr>
            <w:r>
              <w:t>98</w:t>
            </w:r>
          </w:p>
        </w:tc>
        <w:tc>
          <w:tcPr>
            <w:tcW w:w="1296" w:type="dxa"/>
            <w:shd w:val="clear" w:color="auto" w:fill="auto"/>
          </w:tcPr>
          <w:p w14:paraId="3935F183" w14:textId="77777777" w:rsidR="003E3D07" w:rsidRDefault="003E3D07">
            <w:pPr>
              <w:pStyle w:val="TableText"/>
              <w:rPr>
                <w:rFonts w:eastAsia="Symbol"/>
              </w:rPr>
            </w:pPr>
            <w:r>
              <w:t xml:space="preserve">AGKp(a) </w:t>
            </w:r>
          </w:p>
        </w:tc>
      </w:tr>
      <w:tr w:rsidR="00824338" w14:paraId="45858648" w14:textId="77777777">
        <w:tblPrEx>
          <w:tblBorders>
            <w:insideH w:val="single" w:sz="4" w:space="0" w:color="auto"/>
            <w:insideV w:val="single" w:sz="4" w:space="0" w:color="auto"/>
          </w:tblBorders>
        </w:tblPrEx>
        <w:tc>
          <w:tcPr>
            <w:tcW w:w="1253" w:type="dxa"/>
            <w:shd w:val="clear" w:color="auto" w:fill="auto"/>
          </w:tcPr>
          <w:p w14:paraId="561FADDF" w14:textId="77777777" w:rsidR="003E3D07" w:rsidRDefault="003E3D07">
            <w:pPr>
              <w:pStyle w:val="TableText"/>
              <w:rPr>
                <w:rFonts w:eastAsia="Symbol"/>
              </w:rPr>
            </w:pPr>
            <w:r>
              <w:t>Anti-Kp(b)</w:t>
            </w:r>
          </w:p>
        </w:tc>
        <w:tc>
          <w:tcPr>
            <w:tcW w:w="1253" w:type="dxa"/>
            <w:shd w:val="clear" w:color="auto" w:fill="auto"/>
          </w:tcPr>
          <w:p w14:paraId="185E32AF" w14:textId="77777777" w:rsidR="003E3D07" w:rsidRDefault="003E3D07">
            <w:pPr>
              <w:pStyle w:val="TableText"/>
              <w:rPr>
                <w:rFonts w:eastAsia="Symbol"/>
              </w:rPr>
            </w:pPr>
            <w:r>
              <w:t>Anti-Kp(b)</w:t>
            </w:r>
          </w:p>
        </w:tc>
        <w:tc>
          <w:tcPr>
            <w:tcW w:w="878" w:type="dxa"/>
            <w:shd w:val="clear" w:color="auto" w:fill="auto"/>
          </w:tcPr>
          <w:p w14:paraId="70CB21E9" w14:textId="77777777" w:rsidR="003E3D07" w:rsidRDefault="003E3D07">
            <w:pPr>
              <w:pStyle w:val="TableText"/>
              <w:rPr>
                <w:b/>
                <w:bCs/>
              </w:rPr>
            </w:pPr>
            <w:r>
              <w:rPr>
                <w:bCs/>
              </w:rPr>
              <w:t>Yes</w:t>
            </w:r>
          </w:p>
        </w:tc>
        <w:tc>
          <w:tcPr>
            <w:tcW w:w="878" w:type="dxa"/>
            <w:shd w:val="clear" w:color="auto" w:fill="auto"/>
          </w:tcPr>
          <w:p w14:paraId="3BE0ECA5" w14:textId="77777777" w:rsidR="003E3D07" w:rsidRDefault="003E3D07">
            <w:pPr>
              <w:pStyle w:val="TableText"/>
              <w:rPr>
                <w:rFonts w:eastAsia="Symbol"/>
              </w:rPr>
            </w:pPr>
            <w:r>
              <w:t>Optional</w:t>
            </w:r>
          </w:p>
        </w:tc>
        <w:tc>
          <w:tcPr>
            <w:tcW w:w="1253" w:type="dxa"/>
            <w:shd w:val="clear" w:color="auto" w:fill="auto"/>
          </w:tcPr>
          <w:p w14:paraId="3EE3394D" w14:textId="77777777" w:rsidR="003E3D07" w:rsidRDefault="003E3D07">
            <w:pPr>
              <w:pStyle w:val="TableText"/>
              <w:rPr>
                <w:rFonts w:eastAsia="Symbol"/>
              </w:rPr>
            </w:pPr>
            <w:r>
              <w:t>Kp(b)</w:t>
            </w:r>
          </w:p>
        </w:tc>
        <w:tc>
          <w:tcPr>
            <w:tcW w:w="1253" w:type="dxa"/>
            <w:shd w:val="clear" w:color="auto" w:fill="auto"/>
          </w:tcPr>
          <w:p w14:paraId="2E1A2421" w14:textId="77777777" w:rsidR="003E3D07" w:rsidRDefault="003E3D07">
            <w:pPr>
              <w:pStyle w:val="TableText"/>
              <w:rPr>
                <w:rFonts w:eastAsia="Symbol"/>
              </w:rPr>
            </w:pPr>
            <w:r>
              <w:t>Kp(b)</w:t>
            </w:r>
          </w:p>
        </w:tc>
        <w:tc>
          <w:tcPr>
            <w:tcW w:w="1296" w:type="dxa"/>
            <w:shd w:val="clear" w:color="auto" w:fill="auto"/>
          </w:tcPr>
          <w:p w14:paraId="3BE8C1B5" w14:textId="77777777" w:rsidR="003E3D07" w:rsidRDefault="003E3D07">
            <w:pPr>
              <w:pStyle w:val="TableText"/>
              <w:rPr>
                <w:rFonts w:eastAsia="Symbol"/>
              </w:rPr>
            </w:pPr>
            <w:r>
              <w:t>2</w:t>
            </w:r>
          </w:p>
        </w:tc>
        <w:tc>
          <w:tcPr>
            <w:tcW w:w="1296" w:type="dxa"/>
            <w:shd w:val="clear" w:color="auto" w:fill="auto"/>
          </w:tcPr>
          <w:p w14:paraId="6B5C0DAD" w14:textId="77777777" w:rsidR="003E3D07" w:rsidRDefault="003E3D07">
            <w:pPr>
              <w:pStyle w:val="TableText"/>
              <w:rPr>
                <w:rFonts w:eastAsia="Symbol"/>
              </w:rPr>
            </w:pPr>
            <w:r>
              <w:t>AGKp(b)</w:t>
            </w:r>
          </w:p>
        </w:tc>
      </w:tr>
      <w:tr w:rsidR="00824338" w14:paraId="40995D3F" w14:textId="77777777">
        <w:tblPrEx>
          <w:tblBorders>
            <w:insideH w:val="single" w:sz="4" w:space="0" w:color="auto"/>
            <w:insideV w:val="single" w:sz="4" w:space="0" w:color="auto"/>
          </w:tblBorders>
        </w:tblPrEx>
        <w:tc>
          <w:tcPr>
            <w:tcW w:w="1253" w:type="dxa"/>
            <w:shd w:val="clear" w:color="auto" w:fill="auto"/>
          </w:tcPr>
          <w:p w14:paraId="2E7D494E" w14:textId="77777777" w:rsidR="003E3D07" w:rsidRDefault="003E3D07">
            <w:pPr>
              <w:pStyle w:val="TableText"/>
              <w:rPr>
                <w:rFonts w:eastAsia="Symbol"/>
              </w:rPr>
            </w:pPr>
            <w:r>
              <w:t>Anti-Jk(a)</w:t>
            </w:r>
          </w:p>
        </w:tc>
        <w:tc>
          <w:tcPr>
            <w:tcW w:w="1253" w:type="dxa"/>
            <w:shd w:val="clear" w:color="auto" w:fill="auto"/>
          </w:tcPr>
          <w:p w14:paraId="17720450" w14:textId="77777777" w:rsidR="003E3D07" w:rsidRDefault="003E3D07">
            <w:pPr>
              <w:pStyle w:val="TableText"/>
              <w:rPr>
                <w:rFonts w:eastAsia="Symbol"/>
              </w:rPr>
            </w:pPr>
            <w:r>
              <w:t>Anti-Jk(a)</w:t>
            </w:r>
          </w:p>
        </w:tc>
        <w:tc>
          <w:tcPr>
            <w:tcW w:w="878" w:type="dxa"/>
            <w:shd w:val="clear" w:color="auto" w:fill="auto"/>
          </w:tcPr>
          <w:p w14:paraId="0C1C35C6" w14:textId="77777777" w:rsidR="003E3D07" w:rsidRDefault="003E3D07">
            <w:pPr>
              <w:pStyle w:val="TableText"/>
              <w:rPr>
                <w:b/>
                <w:bCs/>
              </w:rPr>
            </w:pPr>
            <w:r>
              <w:rPr>
                <w:bCs/>
              </w:rPr>
              <w:t>Yes</w:t>
            </w:r>
          </w:p>
        </w:tc>
        <w:tc>
          <w:tcPr>
            <w:tcW w:w="878" w:type="dxa"/>
            <w:shd w:val="clear" w:color="auto" w:fill="auto"/>
          </w:tcPr>
          <w:p w14:paraId="3147B610" w14:textId="77777777" w:rsidR="003E3D07" w:rsidRDefault="003E3D07">
            <w:pPr>
              <w:pStyle w:val="TableText"/>
              <w:rPr>
                <w:rFonts w:eastAsia="Symbol"/>
                <w:b/>
                <w:bCs/>
              </w:rPr>
            </w:pPr>
            <w:r>
              <w:rPr>
                <w:bCs/>
              </w:rPr>
              <w:t>Yes</w:t>
            </w:r>
          </w:p>
        </w:tc>
        <w:tc>
          <w:tcPr>
            <w:tcW w:w="1253" w:type="dxa"/>
            <w:shd w:val="clear" w:color="auto" w:fill="auto"/>
          </w:tcPr>
          <w:p w14:paraId="27204214" w14:textId="77777777" w:rsidR="003E3D07" w:rsidRDefault="003E3D07">
            <w:pPr>
              <w:pStyle w:val="TableText"/>
              <w:rPr>
                <w:rFonts w:eastAsia="Symbol"/>
              </w:rPr>
            </w:pPr>
            <w:r>
              <w:t>Jk(a)</w:t>
            </w:r>
          </w:p>
        </w:tc>
        <w:tc>
          <w:tcPr>
            <w:tcW w:w="1253" w:type="dxa"/>
            <w:shd w:val="clear" w:color="auto" w:fill="auto"/>
          </w:tcPr>
          <w:p w14:paraId="1B93D0EF" w14:textId="77777777" w:rsidR="003E3D07" w:rsidRDefault="003E3D07">
            <w:pPr>
              <w:pStyle w:val="TableText"/>
              <w:rPr>
                <w:rFonts w:eastAsia="Symbol"/>
              </w:rPr>
            </w:pPr>
            <w:r>
              <w:t>Jk(a)</w:t>
            </w:r>
          </w:p>
        </w:tc>
        <w:tc>
          <w:tcPr>
            <w:tcW w:w="1296" w:type="dxa"/>
            <w:shd w:val="clear" w:color="auto" w:fill="auto"/>
          </w:tcPr>
          <w:p w14:paraId="10C3283C" w14:textId="77777777" w:rsidR="003E3D07" w:rsidRDefault="003E3D07">
            <w:pPr>
              <w:pStyle w:val="TableText"/>
              <w:rPr>
                <w:rFonts w:eastAsia="Symbol"/>
              </w:rPr>
            </w:pPr>
            <w:r>
              <w:t>15</w:t>
            </w:r>
          </w:p>
        </w:tc>
        <w:tc>
          <w:tcPr>
            <w:tcW w:w="1296" w:type="dxa"/>
            <w:shd w:val="clear" w:color="auto" w:fill="auto"/>
          </w:tcPr>
          <w:p w14:paraId="29EB3D3F" w14:textId="77777777" w:rsidR="003E3D07" w:rsidRDefault="003E3D07">
            <w:pPr>
              <w:pStyle w:val="TableText"/>
              <w:rPr>
                <w:rFonts w:eastAsia="Symbol"/>
              </w:rPr>
            </w:pPr>
            <w:r>
              <w:t>AGJk(a)</w:t>
            </w:r>
          </w:p>
        </w:tc>
      </w:tr>
      <w:tr w:rsidR="00824338" w14:paraId="7EACA7DF" w14:textId="77777777">
        <w:tblPrEx>
          <w:tblBorders>
            <w:insideH w:val="single" w:sz="4" w:space="0" w:color="auto"/>
            <w:insideV w:val="single" w:sz="4" w:space="0" w:color="auto"/>
          </w:tblBorders>
        </w:tblPrEx>
        <w:tc>
          <w:tcPr>
            <w:tcW w:w="1253" w:type="dxa"/>
            <w:shd w:val="clear" w:color="auto" w:fill="auto"/>
          </w:tcPr>
          <w:p w14:paraId="569B1F0A" w14:textId="77777777" w:rsidR="003E3D07" w:rsidRDefault="003E3D07">
            <w:pPr>
              <w:pStyle w:val="TableText"/>
              <w:rPr>
                <w:rFonts w:eastAsia="Symbol"/>
              </w:rPr>
            </w:pPr>
            <w:r>
              <w:t>Anti-Jk(b)</w:t>
            </w:r>
          </w:p>
        </w:tc>
        <w:tc>
          <w:tcPr>
            <w:tcW w:w="1253" w:type="dxa"/>
            <w:shd w:val="clear" w:color="auto" w:fill="auto"/>
          </w:tcPr>
          <w:p w14:paraId="1802A4B7" w14:textId="77777777" w:rsidR="003E3D07" w:rsidRDefault="003E3D07">
            <w:pPr>
              <w:pStyle w:val="TableText"/>
              <w:rPr>
                <w:rFonts w:eastAsia="Symbol"/>
              </w:rPr>
            </w:pPr>
            <w:r>
              <w:t>Anti-Jk(b)</w:t>
            </w:r>
          </w:p>
        </w:tc>
        <w:tc>
          <w:tcPr>
            <w:tcW w:w="878" w:type="dxa"/>
            <w:shd w:val="clear" w:color="auto" w:fill="auto"/>
          </w:tcPr>
          <w:p w14:paraId="3875D167" w14:textId="77777777" w:rsidR="003E3D07" w:rsidRDefault="003E3D07">
            <w:pPr>
              <w:pStyle w:val="TableText"/>
              <w:rPr>
                <w:b/>
                <w:bCs/>
              </w:rPr>
            </w:pPr>
            <w:r>
              <w:rPr>
                <w:bCs/>
              </w:rPr>
              <w:t>Yes</w:t>
            </w:r>
          </w:p>
        </w:tc>
        <w:tc>
          <w:tcPr>
            <w:tcW w:w="878" w:type="dxa"/>
            <w:shd w:val="clear" w:color="auto" w:fill="auto"/>
          </w:tcPr>
          <w:p w14:paraId="1AEF3CDA" w14:textId="77777777" w:rsidR="003E3D07" w:rsidRDefault="003E3D07">
            <w:pPr>
              <w:pStyle w:val="TableText"/>
              <w:rPr>
                <w:rFonts w:eastAsia="Symbol"/>
                <w:b/>
                <w:bCs/>
              </w:rPr>
            </w:pPr>
            <w:r>
              <w:rPr>
                <w:bCs/>
              </w:rPr>
              <w:t>Yes</w:t>
            </w:r>
          </w:p>
        </w:tc>
        <w:tc>
          <w:tcPr>
            <w:tcW w:w="1253" w:type="dxa"/>
            <w:shd w:val="clear" w:color="auto" w:fill="auto"/>
          </w:tcPr>
          <w:p w14:paraId="66FE4844" w14:textId="77777777" w:rsidR="003E3D07" w:rsidRDefault="003E3D07">
            <w:pPr>
              <w:pStyle w:val="TableText"/>
              <w:rPr>
                <w:rFonts w:eastAsia="Symbol"/>
              </w:rPr>
            </w:pPr>
            <w:r>
              <w:t>Jk(b)</w:t>
            </w:r>
          </w:p>
        </w:tc>
        <w:tc>
          <w:tcPr>
            <w:tcW w:w="1253" w:type="dxa"/>
            <w:shd w:val="clear" w:color="auto" w:fill="auto"/>
          </w:tcPr>
          <w:p w14:paraId="44274713" w14:textId="77777777" w:rsidR="003E3D07" w:rsidRDefault="003E3D07">
            <w:pPr>
              <w:pStyle w:val="TableText"/>
              <w:rPr>
                <w:rFonts w:eastAsia="Symbol"/>
              </w:rPr>
            </w:pPr>
            <w:r>
              <w:t>Jk(b)</w:t>
            </w:r>
          </w:p>
        </w:tc>
        <w:tc>
          <w:tcPr>
            <w:tcW w:w="1296" w:type="dxa"/>
            <w:shd w:val="clear" w:color="auto" w:fill="auto"/>
          </w:tcPr>
          <w:p w14:paraId="31DE6CBC" w14:textId="77777777" w:rsidR="003E3D07" w:rsidRDefault="003E3D07">
            <w:pPr>
              <w:pStyle w:val="TableText"/>
              <w:rPr>
                <w:rFonts w:eastAsia="Symbol"/>
              </w:rPr>
            </w:pPr>
            <w:r>
              <w:t>42</w:t>
            </w:r>
          </w:p>
        </w:tc>
        <w:tc>
          <w:tcPr>
            <w:tcW w:w="1296" w:type="dxa"/>
            <w:shd w:val="clear" w:color="auto" w:fill="auto"/>
          </w:tcPr>
          <w:p w14:paraId="3CFE310E" w14:textId="77777777" w:rsidR="003E3D07" w:rsidRDefault="003E3D07">
            <w:pPr>
              <w:pStyle w:val="TableText"/>
              <w:rPr>
                <w:rFonts w:eastAsia="Symbol"/>
              </w:rPr>
            </w:pPr>
            <w:r>
              <w:t>AGJk(b)</w:t>
            </w:r>
          </w:p>
        </w:tc>
      </w:tr>
      <w:tr w:rsidR="00824338" w14:paraId="64C487C6" w14:textId="77777777">
        <w:tblPrEx>
          <w:tblBorders>
            <w:insideH w:val="single" w:sz="4" w:space="0" w:color="auto"/>
            <w:insideV w:val="single" w:sz="4" w:space="0" w:color="auto"/>
          </w:tblBorders>
        </w:tblPrEx>
        <w:tc>
          <w:tcPr>
            <w:tcW w:w="1253" w:type="dxa"/>
            <w:shd w:val="clear" w:color="auto" w:fill="auto"/>
          </w:tcPr>
          <w:p w14:paraId="40B10249" w14:textId="77777777" w:rsidR="003E3D07" w:rsidRDefault="003E3D07">
            <w:pPr>
              <w:pStyle w:val="TableText"/>
              <w:rPr>
                <w:rFonts w:eastAsia="Symbol"/>
              </w:rPr>
            </w:pPr>
            <w:r>
              <w:t>Anti-Jk3</w:t>
            </w:r>
          </w:p>
        </w:tc>
        <w:tc>
          <w:tcPr>
            <w:tcW w:w="1253" w:type="dxa"/>
            <w:shd w:val="clear" w:color="auto" w:fill="auto"/>
          </w:tcPr>
          <w:p w14:paraId="61B17020" w14:textId="77777777" w:rsidR="003E3D07" w:rsidRDefault="003E3D07">
            <w:pPr>
              <w:pStyle w:val="TableText"/>
              <w:rPr>
                <w:rFonts w:eastAsia="Symbol"/>
              </w:rPr>
            </w:pPr>
            <w:r>
              <w:rPr>
                <w:rFonts w:eastAsia="Symbol"/>
              </w:rPr>
              <w:t>Anti-Jk(a)Jk(b)</w:t>
            </w:r>
          </w:p>
        </w:tc>
        <w:tc>
          <w:tcPr>
            <w:tcW w:w="878" w:type="dxa"/>
            <w:shd w:val="clear" w:color="auto" w:fill="auto"/>
          </w:tcPr>
          <w:p w14:paraId="6F277202" w14:textId="77777777" w:rsidR="003E3D07" w:rsidRDefault="003E3D07">
            <w:pPr>
              <w:pStyle w:val="TableText"/>
              <w:rPr>
                <w:rFonts w:eastAsia="Symbol"/>
              </w:rPr>
            </w:pPr>
            <w:r>
              <w:rPr>
                <w:bCs/>
              </w:rPr>
              <w:t>Yes</w:t>
            </w:r>
          </w:p>
        </w:tc>
        <w:tc>
          <w:tcPr>
            <w:tcW w:w="878" w:type="dxa"/>
            <w:shd w:val="clear" w:color="auto" w:fill="auto"/>
          </w:tcPr>
          <w:p w14:paraId="574DB6A1" w14:textId="77777777" w:rsidR="003E3D07" w:rsidRDefault="003E3D07">
            <w:pPr>
              <w:pStyle w:val="TableText"/>
              <w:rPr>
                <w:rFonts w:eastAsia="Symbol"/>
              </w:rPr>
            </w:pPr>
            <w:r>
              <w:rPr>
                <w:bCs/>
              </w:rPr>
              <w:t>Yes</w:t>
            </w:r>
          </w:p>
        </w:tc>
        <w:tc>
          <w:tcPr>
            <w:tcW w:w="1253" w:type="dxa"/>
            <w:shd w:val="clear" w:color="auto" w:fill="auto"/>
          </w:tcPr>
          <w:p w14:paraId="5B641AB9" w14:textId="77777777" w:rsidR="003E3D07" w:rsidRDefault="003E3D07">
            <w:pPr>
              <w:pStyle w:val="TableText"/>
              <w:rPr>
                <w:rFonts w:eastAsia="Symbol"/>
              </w:rPr>
            </w:pPr>
            <w:r>
              <w:t>Jk(a) and Jk(b)</w:t>
            </w:r>
          </w:p>
        </w:tc>
        <w:tc>
          <w:tcPr>
            <w:tcW w:w="1253" w:type="dxa"/>
            <w:shd w:val="clear" w:color="auto" w:fill="auto"/>
          </w:tcPr>
          <w:p w14:paraId="2A621C0D" w14:textId="77777777" w:rsidR="003E3D07" w:rsidRDefault="003E3D07">
            <w:pPr>
              <w:pStyle w:val="TableText"/>
              <w:rPr>
                <w:rFonts w:eastAsia="Symbol"/>
              </w:rPr>
            </w:pPr>
            <w:r>
              <w:rPr>
                <w:rFonts w:eastAsia="Symbol"/>
              </w:rPr>
              <w:t>None</w:t>
            </w:r>
          </w:p>
        </w:tc>
        <w:tc>
          <w:tcPr>
            <w:tcW w:w="1296" w:type="dxa"/>
            <w:shd w:val="clear" w:color="auto" w:fill="auto"/>
          </w:tcPr>
          <w:p w14:paraId="10DAE755" w14:textId="77777777" w:rsidR="003E3D07" w:rsidRDefault="003E3D07">
            <w:pPr>
              <w:pStyle w:val="TableText"/>
              <w:rPr>
                <w:rFonts w:eastAsia="Symbol"/>
              </w:rPr>
            </w:pPr>
            <w:r>
              <w:t>N/A</w:t>
            </w:r>
          </w:p>
        </w:tc>
        <w:tc>
          <w:tcPr>
            <w:tcW w:w="1296" w:type="dxa"/>
            <w:shd w:val="clear" w:color="auto" w:fill="auto"/>
          </w:tcPr>
          <w:p w14:paraId="38E95BBB" w14:textId="77777777" w:rsidR="003E3D07" w:rsidRDefault="003E3D07">
            <w:pPr>
              <w:pStyle w:val="TableText"/>
            </w:pPr>
            <w:r>
              <w:t>AGJk(a)</w:t>
            </w:r>
          </w:p>
          <w:p w14:paraId="6B70E315" w14:textId="77777777" w:rsidR="003E3D07" w:rsidRDefault="003E3D07">
            <w:pPr>
              <w:pStyle w:val="TableText"/>
              <w:rPr>
                <w:rFonts w:eastAsia="Symbol"/>
              </w:rPr>
            </w:pPr>
            <w:r>
              <w:t>AGJk(b)</w:t>
            </w:r>
          </w:p>
        </w:tc>
      </w:tr>
      <w:tr w:rsidR="00824338" w14:paraId="3D9D9A8E" w14:textId="77777777">
        <w:tblPrEx>
          <w:tblBorders>
            <w:insideH w:val="single" w:sz="4" w:space="0" w:color="auto"/>
            <w:insideV w:val="single" w:sz="4" w:space="0" w:color="auto"/>
          </w:tblBorders>
        </w:tblPrEx>
        <w:tc>
          <w:tcPr>
            <w:tcW w:w="1253" w:type="dxa"/>
            <w:shd w:val="clear" w:color="auto" w:fill="auto"/>
          </w:tcPr>
          <w:p w14:paraId="6299AD8A" w14:textId="77777777" w:rsidR="003E3D07" w:rsidRDefault="003E3D07">
            <w:pPr>
              <w:pStyle w:val="TableText"/>
              <w:rPr>
                <w:rFonts w:eastAsia="Symbol"/>
              </w:rPr>
            </w:pPr>
            <w:r>
              <w:t>Anti-Fy(a)</w:t>
            </w:r>
          </w:p>
        </w:tc>
        <w:tc>
          <w:tcPr>
            <w:tcW w:w="1253" w:type="dxa"/>
            <w:shd w:val="clear" w:color="auto" w:fill="auto"/>
          </w:tcPr>
          <w:p w14:paraId="3CA37594" w14:textId="77777777" w:rsidR="003E3D07" w:rsidRDefault="003E3D07">
            <w:pPr>
              <w:pStyle w:val="TableText"/>
              <w:rPr>
                <w:rFonts w:eastAsia="Symbol"/>
              </w:rPr>
            </w:pPr>
            <w:r>
              <w:t>Anti-Fy(a)</w:t>
            </w:r>
          </w:p>
        </w:tc>
        <w:tc>
          <w:tcPr>
            <w:tcW w:w="878" w:type="dxa"/>
            <w:shd w:val="clear" w:color="auto" w:fill="auto"/>
          </w:tcPr>
          <w:p w14:paraId="65E27E90" w14:textId="77777777" w:rsidR="003E3D07" w:rsidRDefault="003E3D07">
            <w:pPr>
              <w:pStyle w:val="TableText"/>
              <w:rPr>
                <w:b/>
                <w:bCs/>
              </w:rPr>
            </w:pPr>
            <w:r>
              <w:rPr>
                <w:bCs/>
              </w:rPr>
              <w:t>Yes</w:t>
            </w:r>
          </w:p>
        </w:tc>
        <w:tc>
          <w:tcPr>
            <w:tcW w:w="878" w:type="dxa"/>
            <w:shd w:val="clear" w:color="auto" w:fill="auto"/>
          </w:tcPr>
          <w:p w14:paraId="3D1E4550" w14:textId="77777777" w:rsidR="003E3D07" w:rsidRDefault="003E3D07">
            <w:pPr>
              <w:pStyle w:val="TableText"/>
              <w:rPr>
                <w:rFonts w:eastAsia="Symbol"/>
                <w:b/>
                <w:bCs/>
              </w:rPr>
            </w:pPr>
            <w:r>
              <w:rPr>
                <w:bCs/>
              </w:rPr>
              <w:t>Yes</w:t>
            </w:r>
          </w:p>
        </w:tc>
        <w:tc>
          <w:tcPr>
            <w:tcW w:w="1253" w:type="dxa"/>
            <w:shd w:val="clear" w:color="auto" w:fill="auto"/>
          </w:tcPr>
          <w:p w14:paraId="4D55D039" w14:textId="77777777" w:rsidR="003E3D07" w:rsidRDefault="003E3D07">
            <w:pPr>
              <w:pStyle w:val="TableText"/>
              <w:rPr>
                <w:rFonts w:eastAsia="Symbol"/>
              </w:rPr>
            </w:pPr>
            <w:r>
              <w:t>Fy(a)</w:t>
            </w:r>
          </w:p>
        </w:tc>
        <w:tc>
          <w:tcPr>
            <w:tcW w:w="1253" w:type="dxa"/>
            <w:shd w:val="clear" w:color="auto" w:fill="auto"/>
          </w:tcPr>
          <w:p w14:paraId="70220374" w14:textId="77777777" w:rsidR="003E3D07" w:rsidRDefault="003E3D07">
            <w:pPr>
              <w:pStyle w:val="TableText"/>
              <w:rPr>
                <w:rFonts w:eastAsia="Symbol"/>
              </w:rPr>
            </w:pPr>
            <w:r>
              <w:t>Fy(a)</w:t>
            </w:r>
          </w:p>
        </w:tc>
        <w:tc>
          <w:tcPr>
            <w:tcW w:w="1296" w:type="dxa"/>
            <w:shd w:val="clear" w:color="auto" w:fill="auto"/>
          </w:tcPr>
          <w:p w14:paraId="63EB76CB" w14:textId="77777777" w:rsidR="003E3D07" w:rsidRDefault="003E3D07">
            <w:pPr>
              <w:pStyle w:val="TableText"/>
              <w:rPr>
                <w:rFonts w:eastAsia="Symbol"/>
              </w:rPr>
            </w:pPr>
            <w:r>
              <w:t>63</w:t>
            </w:r>
          </w:p>
        </w:tc>
        <w:tc>
          <w:tcPr>
            <w:tcW w:w="1296" w:type="dxa"/>
            <w:shd w:val="clear" w:color="auto" w:fill="auto"/>
          </w:tcPr>
          <w:p w14:paraId="5B393B1C" w14:textId="77777777" w:rsidR="003E3D07" w:rsidRDefault="003E3D07">
            <w:pPr>
              <w:pStyle w:val="TableText"/>
              <w:rPr>
                <w:rFonts w:eastAsia="Symbol"/>
              </w:rPr>
            </w:pPr>
            <w:r>
              <w:t>AGFy(a)</w:t>
            </w:r>
          </w:p>
        </w:tc>
      </w:tr>
      <w:tr w:rsidR="00824338" w14:paraId="50724538" w14:textId="77777777">
        <w:tblPrEx>
          <w:tblBorders>
            <w:insideH w:val="single" w:sz="4" w:space="0" w:color="auto"/>
            <w:insideV w:val="single" w:sz="4" w:space="0" w:color="auto"/>
          </w:tblBorders>
        </w:tblPrEx>
        <w:tc>
          <w:tcPr>
            <w:tcW w:w="1253" w:type="dxa"/>
            <w:shd w:val="clear" w:color="auto" w:fill="auto"/>
          </w:tcPr>
          <w:p w14:paraId="623F1D50" w14:textId="77777777" w:rsidR="003E3D07" w:rsidRDefault="003E3D07">
            <w:pPr>
              <w:pStyle w:val="TableText"/>
              <w:rPr>
                <w:rFonts w:eastAsia="Symbol"/>
              </w:rPr>
            </w:pPr>
            <w:r>
              <w:t>Anti-Fy(b)</w:t>
            </w:r>
          </w:p>
        </w:tc>
        <w:tc>
          <w:tcPr>
            <w:tcW w:w="1253" w:type="dxa"/>
            <w:shd w:val="clear" w:color="auto" w:fill="auto"/>
          </w:tcPr>
          <w:p w14:paraId="2A547D33" w14:textId="77777777" w:rsidR="003E3D07" w:rsidRDefault="003E3D07">
            <w:pPr>
              <w:pStyle w:val="TableText"/>
              <w:rPr>
                <w:rFonts w:eastAsia="Symbol"/>
              </w:rPr>
            </w:pPr>
            <w:r>
              <w:t>Anti-Fy(b)</w:t>
            </w:r>
          </w:p>
        </w:tc>
        <w:tc>
          <w:tcPr>
            <w:tcW w:w="878" w:type="dxa"/>
            <w:shd w:val="clear" w:color="auto" w:fill="auto"/>
          </w:tcPr>
          <w:p w14:paraId="0653E007" w14:textId="77777777" w:rsidR="003E3D07" w:rsidRDefault="003E3D07">
            <w:pPr>
              <w:pStyle w:val="TableText"/>
              <w:rPr>
                <w:b/>
                <w:bCs/>
              </w:rPr>
            </w:pPr>
            <w:r>
              <w:rPr>
                <w:bCs/>
              </w:rPr>
              <w:t>Yes</w:t>
            </w:r>
          </w:p>
        </w:tc>
        <w:tc>
          <w:tcPr>
            <w:tcW w:w="878" w:type="dxa"/>
            <w:shd w:val="clear" w:color="auto" w:fill="auto"/>
          </w:tcPr>
          <w:p w14:paraId="5AC61F7E" w14:textId="77777777" w:rsidR="003E3D07" w:rsidRDefault="003E3D07">
            <w:pPr>
              <w:pStyle w:val="TableText"/>
              <w:rPr>
                <w:rFonts w:eastAsia="Symbol"/>
                <w:b/>
                <w:bCs/>
              </w:rPr>
            </w:pPr>
            <w:r>
              <w:rPr>
                <w:bCs/>
              </w:rPr>
              <w:t>Yes</w:t>
            </w:r>
          </w:p>
        </w:tc>
        <w:tc>
          <w:tcPr>
            <w:tcW w:w="1253" w:type="dxa"/>
            <w:shd w:val="clear" w:color="auto" w:fill="auto"/>
          </w:tcPr>
          <w:p w14:paraId="7DB31264" w14:textId="77777777" w:rsidR="003E3D07" w:rsidRDefault="003E3D07">
            <w:pPr>
              <w:pStyle w:val="TableText"/>
              <w:rPr>
                <w:rFonts w:eastAsia="Symbol"/>
              </w:rPr>
            </w:pPr>
            <w:r>
              <w:t>Fy(b)</w:t>
            </w:r>
          </w:p>
        </w:tc>
        <w:tc>
          <w:tcPr>
            <w:tcW w:w="1253" w:type="dxa"/>
            <w:shd w:val="clear" w:color="auto" w:fill="auto"/>
          </w:tcPr>
          <w:p w14:paraId="59D57C90" w14:textId="77777777" w:rsidR="003E3D07" w:rsidRDefault="003E3D07">
            <w:pPr>
              <w:pStyle w:val="TableText"/>
              <w:rPr>
                <w:rFonts w:eastAsia="Symbol"/>
              </w:rPr>
            </w:pPr>
            <w:r>
              <w:t>Fy(b)</w:t>
            </w:r>
          </w:p>
        </w:tc>
        <w:tc>
          <w:tcPr>
            <w:tcW w:w="1296" w:type="dxa"/>
            <w:shd w:val="clear" w:color="auto" w:fill="auto"/>
          </w:tcPr>
          <w:p w14:paraId="6E18926D" w14:textId="77777777" w:rsidR="003E3D07" w:rsidRDefault="003E3D07">
            <w:pPr>
              <w:pStyle w:val="TableText"/>
              <w:rPr>
                <w:rFonts w:eastAsia="Symbol"/>
              </w:rPr>
            </w:pPr>
            <w:r>
              <w:t>47</w:t>
            </w:r>
          </w:p>
        </w:tc>
        <w:tc>
          <w:tcPr>
            <w:tcW w:w="1296" w:type="dxa"/>
            <w:shd w:val="clear" w:color="auto" w:fill="auto"/>
          </w:tcPr>
          <w:p w14:paraId="3FB651F0" w14:textId="77777777" w:rsidR="003E3D07" w:rsidRDefault="003E3D07">
            <w:pPr>
              <w:pStyle w:val="TableText"/>
              <w:rPr>
                <w:rFonts w:eastAsia="Symbol"/>
              </w:rPr>
            </w:pPr>
            <w:r>
              <w:t>AGFy(b)</w:t>
            </w:r>
          </w:p>
        </w:tc>
      </w:tr>
      <w:tr w:rsidR="00824338" w14:paraId="7BB473CE" w14:textId="77777777">
        <w:tblPrEx>
          <w:tblBorders>
            <w:insideH w:val="single" w:sz="4" w:space="0" w:color="auto"/>
            <w:insideV w:val="single" w:sz="4" w:space="0" w:color="auto"/>
          </w:tblBorders>
        </w:tblPrEx>
        <w:tc>
          <w:tcPr>
            <w:tcW w:w="1253" w:type="dxa"/>
            <w:shd w:val="clear" w:color="auto" w:fill="auto"/>
          </w:tcPr>
          <w:p w14:paraId="4AD657CD" w14:textId="77777777" w:rsidR="003E3D07" w:rsidRDefault="003E3D07">
            <w:pPr>
              <w:pStyle w:val="TableText"/>
              <w:rPr>
                <w:rFonts w:eastAsia="Symbol"/>
              </w:rPr>
            </w:pPr>
            <w:r>
              <w:t>Anti-M</w:t>
            </w:r>
          </w:p>
        </w:tc>
        <w:tc>
          <w:tcPr>
            <w:tcW w:w="1253" w:type="dxa"/>
            <w:shd w:val="clear" w:color="auto" w:fill="auto"/>
          </w:tcPr>
          <w:p w14:paraId="1BF320E0" w14:textId="77777777" w:rsidR="003E3D07" w:rsidRDefault="003E3D07">
            <w:pPr>
              <w:pStyle w:val="TableText"/>
            </w:pPr>
            <w:r>
              <w:t>Anti-M</w:t>
            </w:r>
          </w:p>
        </w:tc>
        <w:tc>
          <w:tcPr>
            <w:tcW w:w="878" w:type="dxa"/>
            <w:shd w:val="clear" w:color="auto" w:fill="auto"/>
          </w:tcPr>
          <w:p w14:paraId="5940FD34" w14:textId="77777777" w:rsidR="003E3D07" w:rsidRDefault="003E3D07">
            <w:pPr>
              <w:pStyle w:val="TableText"/>
            </w:pPr>
            <w:r>
              <w:t>No</w:t>
            </w:r>
          </w:p>
        </w:tc>
        <w:tc>
          <w:tcPr>
            <w:tcW w:w="878" w:type="dxa"/>
            <w:shd w:val="clear" w:color="auto" w:fill="auto"/>
          </w:tcPr>
          <w:p w14:paraId="2D3E86D6" w14:textId="77777777" w:rsidR="003E3D07" w:rsidRDefault="003E3D07">
            <w:pPr>
              <w:pStyle w:val="TableText"/>
              <w:rPr>
                <w:rFonts w:eastAsia="Symbol"/>
              </w:rPr>
            </w:pPr>
            <w:r w:rsidRPr="00035BA7">
              <w:t>Optional</w:t>
            </w:r>
          </w:p>
        </w:tc>
        <w:tc>
          <w:tcPr>
            <w:tcW w:w="1253" w:type="dxa"/>
            <w:shd w:val="clear" w:color="auto" w:fill="auto"/>
          </w:tcPr>
          <w:p w14:paraId="52C79C81" w14:textId="77777777" w:rsidR="003E3D07" w:rsidRDefault="003E3D07">
            <w:pPr>
              <w:pStyle w:val="TableText"/>
              <w:rPr>
                <w:rFonts w:eastAsia="Symbol"/>
              </w:rPr>
            </w:pPr>
            <w:r>
              <w:t>M</w:t>
            </w:r>
          </w:p>
        </w:tc>
        <w:tc>
          <w:tcPr>
            <w:tcW w:w="1253" w:type="dxa"/>
            <w:shd w:val="clear" w:color="auto" w:fill="auto"/>
          </w:tcPr>
          <w:p w14:paraId="4ECBD5C2" w14:textId="77777777" w:rsidR="003E3D07" w:rsidRDefault="003E3D07">
            <w:pPr>
              <w:pStyle w:val="TableText"/>
            </w:pPr>
            <w:r>
              <w:t>M</w:t>
            </w:r>
          </w:p>
        </w:tc>
        <w:tc>
          <w:tcPr>
            <w:tcW w:w="1296" w:type="dxa"/>
            <w:shd w:val="clear" w:color="auto" w:fill="auto"/>
          </w:tcPr>
          <w:p w14:paraId="7CD44598" w14:textId="77777777" w:rsidR="003E3D07" w:rsidRDefault="003E3D07">
            <w:pPr>
              <w:pStyle w:val="TableText"/>
              <w:rPr>
                <w:rFonts w:eastAsia="Symbol"/>
              </w:rPr>
            </w:pPr>
            <w:r>
              <w:t>26</w:t>
            </w:r>
          </w:p>
        </w:tc>
        <w:tc>
          <w:tcPr>
            <w:tcW w:w="1296" w:type="dxa"/>
            <w:shd w:val="clear" w:color="auto" w:fill="auto"/>
          </w:tcPr>
          <w:p w14:paraId="767EDB6A" w14:textId="77777777" w:rsidR="003E3D07" w:rsidRDefault="003E3D07">
            <w:pPr>
              <w:pStyle w:val="TableText"/>
              <w:rPr>
                <w:rFonts w:eastAsia="Symbol"/>
              </w:rPr>
            </w:pPr>
            <w:r>
              <w:t>AGM</w:t>
            </w:r>
          </w:p>
        </w:tc>
      </w:tr>
      <w:tr w:rsidR="00824338" w14:paraId="3986DA93" w14:textId="77777777">
        <w:tblPrEx>
          <w:tblBorders>
            <w:insideH w:val="single" w:sz="4" w:space="0" w:color="auto"/>
            <w:insideV w:val="single" w:sz="4" w:space="0" w:color="auto"/>
          </w:tblBorders>
        </w:tblPrEx>
        <w:tc>
          <w:tcPr>
            <w:tcW w:w="1253" w:type="dxa"/>
            <w:shd w:val="clear" w:color="auto" w:fill="auto"/>
          </w:tcPr>
          <w:p w14:paraId="54CBA13E" w14:textId="77777777" w:rsidR="003E3D07" w:rsidRDefault="003E3D07">
            <w:pPr>
              <w:pStyle w:val="TableText"/>
              <w:rPr>
                <w:rFonts w:eastAsia="Symbol"/>
              </w:rPr>
            </w:pPr>
            <w:r>
              <w:t>Anti-N</w:t>
            </w:r>
          </w:p>
        </w:tc>
        <w:tc>
          <w:tcPr>
            <w:tcW w:w="1253" w:type="dxa"/>
            <w:shd w:val="clear" w:color="auto" w:fill="auto"/>
          </w:tcPr>
          <w:p w14:paraId="22F5A7A9" w14:textId="77777777" w:rsidR="003E3D07" w:rsidRDefault="003E3D07">
            <w:pPr>
              <w:pStyle w:val="TableText"/>
            </w:pPr>
            <w:r>
              <w:t>Anti-N</w:t>
            </w:r>
          </w:p>
        </w:tc>
        <w:tc>
          <w:tcPr>
            <w:tcW w:w="878" w:type="dxa"/>
            <w:shd w:val="clear" w:color="auto" w:fill="auto"/>
          </w:tcPr>
          <w:p w14:paraId="452DB398" w14:textId="77777777" w:rsidR="003E3D07" w:rsidRDefault="003E3D07">
            <w:pPr>
              <w:pStyle w:val="TableText"/>
            </w:pPr>
            <w:r>
              <w:t>No</w:t>
            </w:r>
          </w:p>
        </w:tc>
        <w:tc>
          <w:tcPr>
            <w:tcW w:w="878" w:type="dxa"/>
            <w:shd w:val="clear" w:color="auto" w:fill="auto"/>
          </w:tcPr>
          <w:p w14:paraId="054FA6B7" w14:textId="77777777" w:rsidR="003E3D07" w:rsidRDefault="003E3D07">
            <w:pPr>
              <w:pStyle w:val="TableText"/>
              <w:rPr>
                <w:rFonts w:eastAsia="Symbol"/>
              </w:rPr>
            </w:pPr>
            <w:r>
              <w:t>Optional</w:t>
            </w:r>
          </w:p>
        </w:tc>
        <w:tc>
          <w:tcPr>
            <w:tcW w:w="1253" w:type="dxa"/>
            <w:shd w:val="clear" w:color="auto" w:fill="auto"/>
          </w:tcPr>
          <w:p w14:paraId="5BBB5B73" w14:textId="77777777" w:rsidR="003E3D07" w:rsidRDefault="003E3D07">
            <w:pPr>
              <w:pStyle w:val="TableText"/>
              <w:rPr>
                <w:rFonts w:eastAsia="Symbol"/>
              </w:rPr>
            </w:pPr>
            <w:r>
              <w:t>N</w:t>
            </w:r>
          </w:p>
        </w:tc>
        <w:tc>
          <w:tcPr>
            <w:tcW w:w="1253" w:type="dxa"/>
            <w:shd w:val="clear" w:color="auto" w:fill="auto"/>
          </w:tcPr>
          <w:p w14:paraId="3DB0219F" w14:textId="77777777" w:rsidR="003E3D07" w:rsidRDefault="003E3D07">
            <w:pPr>
              <w:pStyle w:val="TableText"/>
            </w:pPr>
            <w:r>
              <w:t>N</w:t>
            </w:r>
          </w:p>
        </w:tc>
        <w:tc>
          <w:tcPr>
            <w:tcW w:w="1296" w:type="dxa"/>
            <w:shd w:val="clear" w:color="auto" w:fill="auto"/>
          </w:tcPr>
          <w:p w14:paraId="2906983F" w14:textId="77777777" w:rsidR="003E3D07" w:rsidRDefault="003E3D07">
            <w:pPr>
              <w:pStyle w:val="TableText"/>
              <w:rPr>
                <w:rFonts w:eastAsia="Symbol"/>
              </w:rPr>
            </w:pPr>
            <w:r>
              <w:t>27</w:t>
            </w:r>
          </w:p>
        </w:tc>
        <w:tc>
          <w:tcPr>
            <w:tcW w:w="1296" w:type="dxa"/>
            <w:shd w:val="clear" w:color="auto" w:fill="auto"/>
          </w:tcPr>
          <w:p w14:paraId="7D0B674C" w14:textId="77777777" w:rsidR="003E3D07" w:rsidRDefault="003E3D07">
            <w:pPr>
              <w:pStyle w:val="TableText"/>
              <w:rPr>
                <w:rFonts w:eastAsia="Symbol"/>
              </w:rPr>
            </w:pPr>
            <w:r>
              <w:t>AGN</w:t>
            </w:r>
          </w:p>
        </w:tc>
      </w:tr>
      <w:tr w:rsidR="00824338" w14:paraId="10FD6535" w14:textId="77777777">
        <w:tblPrEx>
          <w:tblBorders>
            <w:insideH w:val="single" w:sz="4" w:space="0" w:color="auto"/>
            <w:insideV w:val="single" w:sz="4" w:space="0" w:color="auto"/>
          </w:tblBorders>
        </w:tblPrEx>
        <w:tc>
          <w:tcPr>
            <w:tcW w:w="1253" w:type="dxa"/>
            <w:shd w:val="clear" w:color="auto" w:fill="auto"/>
          </w:tcPr>
          <w:p w14:paraId="057C1EEF" w14:textId="77777777" w:rsidR="003E3D07" w:rsidRDefault="003E3D07">
            <w:pPr>
              <w:pStyle w:val="TableText"/>
              <w:rPr>
                <w:rFonts w:eastAsia="Symbol"/>
              </w:rPr>
            </w:pPr>
            <w:r>
              <w:t>Anti-S</w:t>
            </w:r>
          </w:p>
        </w:tc>
        <w:tc>
          <w:tcPr>
            <w:tcW w:w="1253" w:type="dxa"/>
            <w:shd w:val="clear" w:color="auto" w:fill="auto"/>
          </w:tcPr>
          <w:p w14:paraId="05BB6F06" w14:textId="77777777" w:rsidR="003E3D07" w:rsidRDefault="003E3D07">
            <w:pPr>
              <w:pStyle w:val="TableText"/>
              <w:rPr>
                <w:rFonts w:eastAsia="Symbol"/>
              </w:rPr>
            </w:pPr>
            <w:r>
              <w:t>Anti-S</w:t>
            </w:r>
          </w:p>
        </w:tc>
        <w:tc>
          <w:tcPr>
            <w:tcW w:w="878" w:type="dxa"/>
            <w:shd w:val="clear" w:color="auto" w:fill="auto"/>
          </w:tcPr>
          <w:p w14:paraId="029EF580" w14:textId="77777777" w:rsidR="003E3D07" w:rsidRDefault="003E3D07">
            <w:pPr>
              <w:pStyle w:val="TableText"/>
              <w:rPr>
                <w:b/>
                <w:bCs/>
              </w:rPr>
            </w:pPr>
            <w:r>
              <w:rPr>
                <w:bCs/>
              </w:rPr>
              <w:t>Yes</w:t>
            </w:r>
          </w:p>
        </w:tc>
        <w:tc>
          <w:tcPr>
            <w:tcW w:w="878" w:type="dxa"/>
            <w:shd w:val="clear" w:color="auto" w:fill="auto"/>
          </w:tcPr>
          <w:p w14:paraId="273CEB72" w14:textId="77777777" w:rsidR="003E3D07" w:rsidRDefault="003E3D07">
            <w:pPr>
              <w:pStyle w:val="TableText"/>
              <w:rPr>
                <w:rFonts w:eastAsia="Symbol"/>
                <w:b/>
                <w:bCs/>
              </w:rPr>
            </w:pPr>
            <w:r>
              <w:rPr>
                <w:bCs/>
              </w:rPr>
              <w:t>Yes</w:t>
            </w:r>
          </w:p>
        </w:tc>
        <w:tc>
          <w:tcPr>
            <w:tcW w:w="1253" w:type="dxa"/>
            <w:shd w:val="clear" w:color="auto" w:fill="auto"/>
          </w:tcPr>
          <w:p w14:paraId="672133E1" w14:textId="77777777" w:rsidR="003E3D07" w:rsidRDefault="003E3D07">
            <w:pPr>
              <w:pStyle w:val="TableText"/>
              <w:rPr>
                <w:rFonts w:eastAsia="Symbol"/>
              </w:rPr>
            </w:pPr>
            <w:r>
              <w:t>S</w:t>
            </w:r>
          </w:p>
        </w:tc>
        <w:tc>
          <w:tcPr>
            <w:tcW w:w="1253" w:type="dxa"/>
            <w:shd w:val="clear" w:color="auto" w:fill="auto"/>
          </w:tcPr>
          <w:p w14:paraId="7FD029CF" w14:textId="77777777" w:rsidR="003E3D07" w:rsidRDefault="003E3D07">
            <w:pPr>
              <w:pStyle w:val="TableText"/>
              <w:rPr>
                <w:rFonts w:eastAsia="Symbol"/>
              </w:rPr>
            </w:pPr>
            <w:r>
              <w:t>S</w:t>
            </w:r>
          </w:p>
        </w:tc>
        <w:tc>
          <w:tcPr>
            <w:tcW w:w="1296" w:type="dxa"/>
            <w:shd w:val="clear" w:color="auto" w:fill="auto"/>
          </w:tcPr>
          <w:p w14:paraId="6FE0D9B1" w14:textId="77777777" w:rsidR="003E3D07" w:rsidRDefault="003E3D07">
            <w:pPr>
              <w:pStyle w:val="TableText"/>
              <w:rPr>
                <w:rFonts w:eastAsia="Symbol"/>
              </w:rPr>
            </w:pPr>
            <w:r>
              <w:t>58</w:t>
            </w:r>
          </w:p>
        </w:tc>
        <w:tc>
          <w:tcPr>
            <w:tcW w:w="1296" w:type="dxa"/>
            <w:shd w:val="clear" w:color="auto" w:fill="auto"/>
          </w:tcPr>
          <w:p w14:paraId="200C3FEF" w14:textId="77777777" w:rsidR="003E3D07" w:rsidRDefault="003E3D07">
            <w:pPr>
              <w:pStyle w:val="TableText"/>
              <w:rPr>
                <w:rFonts w:eastAsia="Symbol"/>
              </w:rPr>
            </w:pPr>
            <w:r>
              <w:t>AGS</w:t>
            </w:r>
          </w:p>
        </w:tc>
      </w:tr>
      <w:tr w:rsidR="00824338" w14:paraId="42DB3B35" w14:textId="77777777">
        <w:tblPrEx>
          <w:tblBorders>
            <w:insideH w:val="single" w:sz="4" w:space="0" w:color="auto"/>
            <w:insideV w:val="single" w:sz="4" w:space="0" w:color="auto"/>
          </w:tblBorders>
        </w:tblPrEx>
        <w:tc>
          <w:tcPr>
            <w:tcW w:w="1253" w:type="dxa"/>
            <w:shd w:val="clear" w:color="auto" w:fill="auto"/>
          </w:tcPr>
          <w:p w14:paraId="64204A44" w14:textId="77777777" w:rsidR="003E3D07" w:rsidRDefault="003E3D07">
            <w:pPr>
              <w:pStyle w:val="TableText"/>
              <w:rPr>
                <w:rFonts w:eastAsia="Symbol"/>
              </w:rPr>
            </w:pPr>
            <w:r>
              <w:t>Anti-s</w:t>
            </w:r>
          </w:p>
        </w:tc>
        <w:tc>
          <w:tcPr>
            <w:tcW w:w="1253" w:type="dxa"/>
            <w:shd w:val="clear" w:color="auto" w:fill="auto"/>
          </w:tcPr>
          <w:p w14:paraId="45CDEC64" w14:textId="77777777" w:rsidR="003E3D07" w:rsidRDefault="003E3D07">
            <w:pPr>
              <w:pStyle w:val="TableText"/>
              <w:rPr>
                <w:rFonts w:eastAsia="Symbol"/>
              </w:rPr>
            </w:pPr>
            <w:r>
              <w:t>Anti-s</w:t>
            </w:r>
          </w:p>
        </w:tc>
        <w:tc>
          <w:tcPr>
            <w:tcW w:w="878" w:type="dxa"/>
            <w:shd w:val="clear" w:color="auto" w:fill="auto"/>
          </w:tcPr>
          <w:p w14:paraId="07F2A26E" w14:textId="77777777" w:rsidR="003E3D07" w:rsidRDefault="003E3D07">
            <w:pPr>
              <w:pStyle w:val="TableText"/>
              <w:rPr>
                <w:b/>
                <w:bCs/>
              </w:rPr>
            </w:pPr>
            <w:r>
              <w:rPr>
                <w:bCs/>
              </w:rPr>
              <w:t>Yes</w:t>
            </w:r>
          </w:p>
        </w:tc>
        <w:tc>
          <w:tcPr>
            <w:tcW w:w="878" w:type="dxa"/>
            <w:shd w:val="clear" w:color="auto" w:fill="auto"/>
          </w:tcPr>
          <w:p w14:paraId="024E113C" w14:textId="77777777" w:rsidR="003E3D07" w:rsidRDefault="003E3D07">
            <w:pPr>
              <w:pStyle w:val="TableText"/>
              <w:rPr>
                <w:rFonts w:eastAsia="Symbol"/>
                <w:b/>
                <w:bCs/>
              </w:rPr>
            </w:pPr>
            <w:r>
              <w:rPr>
                <w:bCs/>
              </w:rPr>
              <w:t>Yes</w:t>
            </w:r>
          </w:p>
        </w:tc>
        <w:tc>
          <w:tcPr>
            <w:tcW w:w="1253" w:type="dxa"/>
            <w:shd w:val="clear" w:color="auto" w:fill="auto"/>
          </w:tcPr>
          <w:p w14:paraId="07F7D1EA" w14:textId="77777777" w:rsidR="003E3D07" w:rsidRDefault="003E3D07">
            <w:pPr>
              <w:pStyle w:val="TableText"/>
              <w:rPr>
                <w:rFonts w:eastAsia="Symbol"/>
              </w:rPr>
            </w:pPr>
            <w:r>
              <w:t>s</w:t>
            </w:r>
          </w:p>
        </w:tc>
        <w:tc>
          <w:tcPr>
            <w:tcW w:w="1253" w:type="dxa"/>
            <w:shd w:val="clear" w:color="auto" w:fill="auto"/>
          </w:tcPr>
          <w:p w14:paraId="493CAA71" w14:textId="77777777" w:rsidR="003E3D07" w:rsidRDefault="003E3D07">
            <w:pPr>
              <w:pStyle w:val="TableText"/>
              <w:rPr>
                <w:rFonts w:eastAsia="Symbol"/>
              </w:rPr>
            </w:pPr>
            <w:r>
              <w:t>s</w:t>
            </w:r>
          </w:p>
        </w:tc>
        <w:tc>
          <w:tcPr>
            <w:tcW w:w="1296" w:type="dxa"/>
            <w:shd w:val="clear" w:color="auto" w:fill="auto"/>
          </w:tcPr>
          <w:p w14:paraId="376396DF" w14:textId="77777777" w:rsidR="003E3D07" w:rsidRDefault="003E3D07">
            <w:pPr>
              <w:pStyle w:val="TableText"/>
              <w:rPr>
                <w:rFonts w:eastAsia="Symbol"/>
              </w:rPr>
            </w:pPr>
            <w:r>
              <w:t>7</w:t>
            </w:r>
          </w:p>
        </w:tc>
        <w:tc>
          <w:tcPr>
            <w:tcW w:w="1296" w:type="dxa"/>
            <w:shd w:val="clear" w:color="auto" w:fill="auto"/>
          </w:tcPr>
          <w:p w14:paraId="029FADCD" w14:textId="77777777" w:rsidR="003E3D07" w:rsidRDefault="003E3D07">
            <w:pPr>
              <w:pStyle w:val="TableText"/>
              <w:rPr>
                <w:rFonts w:eastAsia="Symbol"/>
              </w:rPr>
            </w:pPr>
            <w:r>
              <w:t>AGs</w:t>
            </w:r>
          </w:p>
        </w:tc>
      </w:tr>
      <w:tr w:rsidR="00824338" w14:paraId="13473369" w14:textId="77777777">
        <w:tblPrEx>
          <w:tblBorders>
            <w:insideH w:val="single" w:sz="4" w:space="0" w:color="auto"/>
            <w:insideV w:val="single" w:sz="4" w:space="0" w:color="auto"/>
          </w:tblBorders>
        </w:tblPrEx>
        <w:tc>
          <w:tcPr>
            <w:tcW w:w="1253" w:type="dxa"/>
            <w:shd w:val="clear" w:color="auto" w:fill="auto"/>
          </w:tcPr>
          <w:p w14:paraId="6F7B40C3" w14:textId="77777777" w:rsidR="003E3D07" w:rsidRDefault="003E3D07">
            <w:pPr>
              <w:pStyle w:val="TableText"/>
              <w:rPr>
                <w:rFonts w:eastAsia="Symbol"/>
              </w:rPr>
            </w:pPr>
            <w:r>
              <w:t>Anti-U</w:t>
            </w:r>
          </w:p>
        </w:tc>
        <w:tc>
          <w:tcPr>
            <w:tcW w:w="1253" w:type="dxa"/>
            <w:shd w:val="clear" w:color="auto" w:fill="auto"/>
          </w:tcPr>
          <w:p w14:paraId="667067E2" w14:textId="77777777" w:rsidR="003E3D07" w:rsidRDefault="003E3D07">
            <w:pPr>
              <w:pStyle w:val="TableText"/>
              <w:rPr>
                <w:b/>
                <w:bCs/>
              </w:rPr>
            </w:pPr>
            <w:r>
              <w:t>Anti-U</w:t>
            </w:r>
          </w:p>
        </w:tc>
        <w:tc>
          <w:tcPr>
            <w:tcW w:w="878" w:type="dxa"/>
            <w:shd w:val="clear" w:color="auto" w:fill="auto"/>
          </w:tcPr>
          <w:p w14:paraId="014E2A70" w14:textId="77777777" w:rsidR="003E3D07" w:rsidRDefault="003E3D07">
            <w:pPr>
              <w:pStyle w:val="TableText"/>
              <w:rPr>
                <w:b/>
                <w:bCs/>
              </w:rPr>
            </w:pPr>
            <w:r>
              <w:rPr>
                <w:bCs/>
              </w:rPr>
              <w:t>Yes</w:t>
            </w:r>
          </w:p>
        </w:tc>
        <w:tc>
          <w:tcPr>
            <w:tcW w:w="878" w:type="dxa"/>
            <w:shd w:val="clear" w:color="auto" w:fill="auto"/>
          </w:tcPr>
          <w:p w14:paraId="2EBEBC4B" w14:textId="77777777" w:rsidR="003E3D07" w:rsidRDefault="003E3D07">
            <w:pPr>
              <w:pStyle w:val="TableText"/>
              <w:rPr>
                <w:rFonts w:eastAsia="Symbol"/>
              </w:rPr>
            </w:pPr>
            <w:r>
              <w:t>Optional</w:t>
            </w:r>
          </w:p>
        </w:tc>
        <w:tc>
          <w:tcPr>
            <w:tcW w:w="1253" w:type="dxa"/>
            <w:shd w:val="clear" w:color="auto" w:fill="auto"/>
          </w:tcPr>
          <w:p w14:paraId="664A4629" w14:textId="77777777" w:rsidR="003E3D07" w:rsidRDefault="003E3D07">
            <w:pPr>
              <w:pStyle w:val="TableText"/>
              <w:rPr>
                <w:rFonts w:eastAsia="Symbol"/>
              </w:rPr>
            </w:pPr>
            <w:r>
              <w:t>U</w:t>
            </w:r>
          </w:p>
        </w:tc>
        <w:tc>
          <w:tcPr>
            <w:tcW w:w="1253" w:type="dxa"/>
            <w:shd w:val="clear" w:color="auto" w:fill="auto"/>
          </w:tcPr>
          <w:p w14:paraId="4A729216" w14:textId="77777777" w:rsidR="003E3D07" w:rsidRDefault="003E3D07">
            <w:pPr>
              <w:pStyle w:val="TableText"/>
            </w:pPr>
            <w:r>
              <w:t>U</w:t>
            </w:r>
          </w:p>
        </w:tc>
        <w:tc>
          <w:tcPr>
            <w:tcW w:w="1296" w:type="dxa"/>
            <w:shd w:val="clear" w:color="auto" w:fill="auto"/>
          </w:tcPr>
          <w:p w14:paraId="285B2977" w14:textId="77777777" w:rsidR="003E3D07" w:rsidRDefault="003E3D07">
            <w:pPr>
              <w:pStyle w:val="TableText"/>
              <w:rPr>
                <w:rFonts w:eastAsia="Symbol"/>
              </w:rPr>
            </w:pPr>
            <w:r>
              <w:t>0</w:t>
            </w:r>
          </w:p>
        </w:tc>
        <w:tc>
          <w:tcPr>
            <w:tcW w:w="1296" w:type="dxa"/>
            <w:shd w:val="clear" w:color="auto" w:fill="auto"/>
          </w:tcPr>
          <w:p w14:paraId="4C527B0B" w14:textId="77777777" w:rsidR="003E3D07" w:rsidRDefault="003E3D07">
            <w:pPr>
              <w:pStyle w:val="TableText"/>
              <w:rPr>
                <w:rFonts w:eastAsia="Symbol"/>
              </w:rPr>
            </w:pPr>
            <w:r>
              <w:t>AGU</w:t>
            </w:r>
          </w:p>
        </w:tc>
      </w:tr>
      <w:tr w:rsidR="00824338" w14:paraId="79275613" w14:textId="77777777">
        <w:tblPrEx>
          <w:tblBorders>
            <w:insideH w:val="single" w:sz="4" w:space="0" w:color="auto"/>
            <w:insideV w:val="single" w:sz="4" w:space="0" w:color="auto"/>
          </w:tblBorders>
        </w:tblPrEx>
        <w:tc>
          <w:tcPr>
            <w:tcW w:w="1253" w:type="dxa"/>
            <w:shd w:val="clear" w:color="auto" w:fill="auto"/>
          </w:tcPr>
          <w:p w14:paraId="2D8BF187" w14:textId="77777777" w:rsidR="003E3D07" w:rsidRDefault="003E3D07">
            <w:pPr>
              <w:pStyle w:val="TableText"/>
              <w:rPr>
                <w:rFonts w:eastAsia="Symbol"/>
              </w:rPr>
            </w:pPr>
            <w:r>
              <w:t>Anti-P1</w:t>
            </w:r>
          </w:p>
        </w:tc>
        <w:tc>
          <w:tcPr>
            <w:tcW w:w="1253" w:type="dxa"/>
            <w:shd w:val="clear" w:color="auto" w:fill="auto"/>
          </w:tcPr>
          <w:p w14:paraId="6CBD8C3A" w14:textId="77777777" w:rsidR="003E3D07" w:rsidRDefault="003E3D07">
            <w:pPr>
              <w:pStyle w:val="TableText"/>
            </w:pPr>
            <w:r>
              <w:t>Anti-P1</w:t>
            </w:r>
          </w:p>
        </w:tc>
        <w:tc>
          <w:tcPr>
            <w:tcW w:w="878" w:type="dxa"/>
            <w:shd w:val="clear" w:color="auto" w:fill="auto"/>
          </w:tcPr>
          <w:p w14:paraId="3EB97226" w14:textId="77777777" w:rsidR="003E3D07" w:rsidRDefault="003E3D07">
            <w:pPr>
              <w:pStyle w:val="TableText"/>
            </w:pPr>
            <w:r>
              <w:t>No</w:t>
            </w:r>
          </w:p>
        </w:tc>
        <w:tc>
          <w:tcPr>
            <w:tcW w:w="878" w:type="dxa"/>
            <w:shd w:val="clear" w:color="auto" w:fill="auto"/>
          </w:tcPr>
          <w:p w14:paraId="6B5CF6FD" w14:textId="77777777" w:rsidR="003E3D07" w:rsidRDefault="003E3D07">
            <w:pPr>
              <w:pStyle w:val="TableText"/>
              <w:rPr>
                <w:rFonts w:eastAsia="Symbol"/>
              </w:rPr>
            </w:pPr>
            <w:r>
              <w:t>Optional</w:t>
            </w:r>
          </w:p>
        </w:tc>
        <w:tc>
          <w:tcPr>
            <w:tcW w:w="1253" w:type="dxa"/>
            <w:shd w:val="clear" w:color="auto" w:fill="auto"/>
          </w:tcPr>
          <w:p w14:paraId="687C4A49" w14:textId="77777777" w:rsidR="003E3D07" w:rsidRDefault="003E3D07">
            <w:pPr>
              <w:pStyle w:val="TableText"/>
              <w:rPr>
                <w:rFonts w:eastAsia="Symbol"/>
              </w:rPr>
            </w:pPr>
            <w:r>
              <w:t>P1</w:t>
            </w:r>
          </w:p>
        </w:tc>
        <w:tc>
          <w:tcPr>
            <w:tcW w:w="1253" w:type="dxa"/>
            <w:shd w:val="clear" w:color="auto" w:fill="auto"/>
          </w:tcPr>
          <w:p w14:paraId="033AAE76" w14:textId="77777777" w:rsidR="003E3D07" w:rsidRDefault="003E3D07">
            <w:pPr>
              <w:pStyle w:val="TableText"/>
              <w:rPr>
                <w:rFonts w:eastAsia="Symbol"/>
              </w:rPr>
            </w:pPr>
            <w:r>
              <w:t>P1</w:t>
            </w:r>
          </w:p>
        </w:tc>
        <w:tc>
          <w:tcPr>
            <w:tcW w:w="1296" w:type="dxa"/>
            <w:shd w:val="clear" w:color="auto" w:fill="auto"/>
          </w:tcPr>
          <w:p w14:paraId="7D439378" w14:textId="77777777" w:rsidR="003E3D07" w:rsidRDefault="003E3D07">
            <w:pPr>
              <w:pStyle w:val="TableText"/>
              <w:rPr>
                <w:rFonts w:eastAsia="Symbol"/>
              </w:rPr>
            </w:pPr>
            <w:r>
              <w:rPr>
                <w:rFonts w:eastAsia="Symbol"/>
              </w:rPr>
              <w:t>21</w:t>
            </w:r>
          </w:p>
        </w:tc>
        <w:tc>
          <w:tcPr>
            <w:tcW w:w="1296" w:type="dxa"/>
            <w:shd w:val="clear" w:color="auto" w:fill="auto"/>
          </w:tcPr>
          <w:p w14:paraId="247D620D" w14:textId="77777777" w:rsidR="003E3D07" w:rsidRDefault="003E3D07">
            <w:pPr>
              <w:pStyle w:val="TableText"/>
              <w:rPr>
                <w:rFonts w:eastAsia="Symbol"/>
              </w:rPr>
            </w:pPr>
            <w:r>
              <w:t>AGP1</w:t>
            </w:r>
          </w:p>
        </w:tc>
      </w:tr>
      <w:tr w:rsidR="00824338" w14:paraId="498FCCEB" w14:textId="77777777">
        <w:tblPrEx>
          <w:tblBorders>
            <w:insideH w:val="single" w:sz="4" w:space="0" w:color="auto"/>
            <w:insideV w:val="single" w:sz="4" w:space="0" w:color="auto"/>
          </w:tblBorders>
        </w:tblPrEx>
        <w:tc>
          <w:tcPr>
            <w:tcW w:w="1253" w:type="dxa"/>
            <w:shd w:val="clear" w:color="auto" w:fill="auto"/>
          </w:tcPr>
          <w:p w14:paraId="751E106F" w14:textId="77777777" w:rsidR="003E3D07" w:rsidRDefault="003E3D07">
            <w:pPr>
              <w:pStyle w:val="TableText"/>
              <w:rPr>
                <w:rFonts w:eastAsia="Symbol"/>
              </w:rPr>
            </w:pPr>
            <w:r>
              <w:t>Anti-Le(a)</w:t>
            </w:r>
          </w:p>
        </w:tc>
        <w:tc>
          <w:tcPr>
            <w:tcW w:w="1253" w:type="dxa"/>
            <w:shd w:val="clear" w:color="auto" w:fill="auto"/>
          </w:tcPr>
          <w:p w14:paraId="1D696425" w14:textId="77777777" w:rsidR="003E3D07" w:rsidRDefault="003E3D07">
            <w:pPr>
              <w:pStyle w:val="TableText"/>
              <w:rPr>
                <w:rFonts w:eastAsia="Symbol"/>
              </w:rPr>
            </w:pPr>
            <w:r>
              <w:t>Anti-Le(a)</w:t>
            </w:r>
          </w:p>
        </w:tc>
        <w:tc>
          <w:tcPr>
            <w:tcW w:w="878" w:type="dxa"/>
            <w:shd w:val="clear" w:color="auto" w:fill="auto"/>
          </w:tcPr>
          <w:p w14:paraId="6F338F9E" w14:textId="77777777" w:rsidR="003E3D07" w:rsidRDefault="003E3D07">
            <w:pPr>
              <w:pStyle w:val="TableText"/>
            </w:pPr>
            <w:r>
              <w:t>No</w:t>
            </w:r>
          </w:p>
        </w:tc>
        <w:tc>
          <w:tcPr>
            <w:tcW w:w="878" w:type="dxa"/>
            <w:shd w:val="clear" w:color="auto" w:fill="auto"/>
          </w:tcPr>
          <w:p w14:paraId="281998BC" w14:textId="77777777" w:rsidR="003E3D07" w:rsidRDefault="003E3D07">
            <w:pPr>
              <w:pStyle w:val="TableText"/>
              <w:rPr>
                <w:rFonts w:eastAsia="Symbol"/>
              </w:rPr>
            </w:pPr>
            <w:r>
              <w:t>Optional</w:t>
            </w:r>
          </w:p>
        </w:tc>
        <w:tc>
          <w:tcPr>
            <w:tcW w:w="1253" w:type="dxa"/>
            <w:shd w:val="clear" w:color="auto" w:fill="auto"/>
          </w:tcPr>
          <w:p w14:paraId="79053358" w14:textId="77777777" w:rsidR="003E3D07" w:rsidRDefault="003E3D07">
            <w:pPr>
              <w:pStyle w:val="TableText"/>
              <w:rPr>
                <w:rFonts w:eastAsia="Symbol"/>
              </w:rPr>
            </w:pPr>
            <w:r>
              <w:t>Le(a)</w:t>
            </w:r>
          </w:p>
        </w:tc>
        <w:tc>
          <w:tcPr>
            <w:tcW w:w="1253" w:type="dxa"/>
            <w:shd w:val="clear" w:color="auto" w:fill="auto"/>
          </w:tcPr>
          <w:p w14:paraId="578FA902" w14:textId="77777777" w:rsidR="003E3D07" w:rsidRDefault="003E3D07">
            <w:pPr>
              <w:pStyle w:val="TableText"/>
              <w:rPr>
                <w:rFonts w:eastAsia="Symbol"/>
              </w:rPr>
            </w:pPr>
            <w:r>
              <w:t>Le(a)</w:t>
            </w:r>
          </w:p>
        </w:tc>
        <w:tc>
          <w:tcPr>
            <w:tcW w:w="1296" w:type="dxa"/>
            <w:shd w:val="clear" w:color="auto" w:fill="auto"/>
          </w:tcPr>
          <w:p w14:paraId="3D539D40" w14:textId="77777777" w:rsidR="003E3D07" w:rsidRDefault="003E3D07">
            <w:pPr>
              <w:pStyle w:val="TableText"/>
              <w:rPr>
                <w:rFonts w:eastAsia="Symbol"/>
              </w:rPr>
            </w:pPr>
            <w:r>
              <w:t>78</w:t>
            </w:r>
          </w:p>
        </w:tc>
        <w:tc>
          <w:tcPr>
            <w:tcW w:w="1296" w:type="dxa"/>
            <w:shd w:val="clear" w:color="auto" w:fill="auto"/>
          </w:tcPr>
          <w:p w14:paraId="4BC46CD4" w14:textId="77777777" w:rsidR="003E3D07" w:rsidRDefault="003E3D07">
            <w:pPr>
              <w:pStyle w:val="TableText"/>
              <w:rPr>
                <w:rFonts w:eastAsia="Symbol"/>
              </w:rPr>
            </w:pPr>
            <w:r>
              <w:t>AGLe(a)</w:t>
            </w:r>
          </w:p>
        </w:tc>
      </w:tr>
      <w:tr w:rsidR="00824338" w14:paraId="4444A92F" w14:textId="77777777">
        <w:tblPrEx>
          <w:tblBorders>
            <w:insideH w:val="single" w:sz="4" w:space="0" w:color="auto"/>
            <w:insideV w:val="single" w:sz="4" w:space="0" w:color="auto"/>
          </w:tblBorders>
        </w:tblPrEx>
        <w:tc>
          <w:tcPr>
            <w:tcW w:w="1253" w:type="dxa"/>
            <w:shd w:val="clear" w:color="auto" w:fill="auto"/>
          </w:tcPr>
          <w:p w14:paraId="2CB52D49" w14:textId="77777777" w:rsidR="003E3D07" w:rsidRDefault="003E3D07">
            <w:pPr>
              <w:pStyle w:val="TableText"/>
              <w:rPr>
                <w:rFonts w:eastAsia="Symbol"/>
              </w:rPr>
            </w:pPr>
            <w:r>
              <w:t>Anti-Le(b)</w:t>
            </w:r>
          </w:p>
        </w:tc>
        <w:tc>
          <w:tcPr>
            <w:tcW w:w="1253" w:type="dxa"/>
            <w:shd w:val="clear" w:color="auto" w:fill="auto"/>
          </w:tcPr>
          <w:p w14:paraId="3D972229" w14:textId="77777777" w:rsidR="003E3D07" w:rsidRDefault="003E3D07">
            <w:pPr>
              <w:pStyle w:val="TableText"/>
              <w:rPr>
                <w:rFonts w:eastAsia="Symbol"/>
              </w:rPr>
            </w:pPr>
            <w:r>
              <w:t>Anti-Le(b)</w:t>
            </w:r>
          </w:p>
        </w:tc>
        <w:tc>
          <w:tcPr>
            <w:tcW w:w="878" w:type="dxa"/>
            <w:shd w:val="clear" w:color="auto" w:fill="auto"/>
          </w:tcPr>
          <w:p w14:paraId="6A065429" w14:textId="77777777" w:rsidR="003E3D07" w:rsidRDefault="003E3D07">
            <w:pPr>
              <w:pStyle w:val="TableText"/>
            </w:pPr>
            <w:r>
              <w:t>No</w:t>
            </w:r>
          </w:p>
        </w:tc>
        <w:tc>
          <w:tcPr>
            <w:tcW w:w="878" w:type="dxa"/>
            <w:shd w:val="clear" w:color="auto" w:fill="auto"/>
          </w:tcPr>
          <w:p w14:paraId="0FD79DDC" w14:textId="77777777" w:rsidR="003E3D07" w:rsidRDefault="003E3D07">
            <w:pPr>
              <w:pStyle w:val="TableText"/>
              <w:rPr>
                <w:rFonts w:eastAsia="Symbol"/>
              </w:rPr>
            </w:pPr>
            <w:r>
              <w:t>Optional</w:t>
            </w:r>
          </w:p>
        </w:tc>
        <w:tc>
          <w:tcPr>
            <w:tcW w:w="1253" w:type="dxa"/>
            <w:shd w:val="clear" w:color="auto" w:fill="auto"/>
          </w:tcPr>
          <w:p w14:paraId="5DCFC927" w14:textId="77777777" w:rsidR="003E3D07" w:rsidRDefault="003E3D07">
            <w:pPr>
              <w:pStyle w:val="TableText"/>
              <w:rPr>
                <w:rFonts w:eastAsia="Symbol"/>
              </w:rPr>
            </w:pPr>
            <w:r>
              <w:t>Le(b)</w:t>
            </w:r>
          </w:p>
        </w:tc>
        <w:tc>
          <w:tcPr>
            <w:tcW w:w="1253" w:type="dxa"/>
            <w:shd w:val="clear" w:color="auto" w:fill="auto"/>
          </w:tcPr>
          <w:p w14:paraId="0764BAE8" w14:textId="77777777" w:rsidR="003E3D07" w:rsidRDefault="003E3D07">
            <w:pPr>
              <w:pStyle w:val="TableText"/>
              <w:rPr>
                <w:rFonts w:eastAsia="Symbol"/>
              </w:rPr>
            </w:pPr>
            <w:r>
              <w:t>Le(b)</w:t>
            </w:r>
          </w:p>
        </w:tc>
        <w:tc>
          <w:tcPr>
            <w:tcW w:w="1296" w:type="dxa"/>
            <w:shd w:val="clear" w:color="auto" w:fill="auto"/>
          </w:tcPr>
          <w:p w14:paraId="3E6312AD" w14:textId="77777777" w:rsidR="003E3D07" w:rsidRDefault="003E3D07">
            <w:pPr>
              <w:pStyle w:val="TableText"/>
              <w:rPr>
                <w:rFonts w:eastAsia="Symbol"/>
              </w:rPr>
            </w:pPr>
            <w:r>
              <w:t>37</w:t>
            </w:r>
          </w:p>
        </w:tc>
        <w:tc>
          <w:tcPr>
            <w:tcW w:w="1296" w:type="dxa"/>
            <w:shd w:val="clear" w:color="auto" w:fill="auto"/>
          </w:tcPr>
          <w:p w14:paraId="79D039C1" w14:textId="77777777" w:rsidR="003E3D07" w:rsidRDefault="003E3D07">
            <w:pPr>
              <w:pStyle w:val="TableText"/>
              <w:rPr>
                <w:rFonts w:eastAsia="Symbol"/>
              </w:rPr>
            </w:pPr>
            <w:r>
              <w:t>AGLe(b)</w:t>
            </w:r>
          </w:p>
        </w:tc>
      </w:tr>
      <w:tr w:rsidR="00824338" w14:paraId="6CCDEF03" w14:textId="77777777">
        <w:tblPrEx>
          <w:tblBorders>
            <w:insideH w:val="single" w:sz="4" w:space="0" w:color="auto"/>
            <w:insideV w:val="single" w:sz="4" w:space="0" w:color="auto"/>
          </w:tblBorders>
        </w:tblPrEx>
        <w:tc>
          <w:tcPr>
            <w:tcW w:w="1253" w:type="dxa"/>
            <w:shd w:val="clear" w:color="auto" w:fill="auto"/>
          </w:tcPr>
          <w:p w14:paraId="191B4485" w14:textId="77777777" w:rsidR="003E3D07" w:rsidRDefault="003E3D07">
            <w:pPr>
              <w:pStyle w:val="TableText"/>
              <w:rPr>
                <w:rFonts w:eastAsia="Symbol"/>
              </w:rPr>
            </w:pPr>
            <w:r>
              <w:t>Anti-Js(a)</w:t>
            </w:r>
          </w:p>
        </w:tc>
        <w:tc>
          <w:tcPr>
            <w:tcW w:w="1253" w:type="dxa"/>
            <w:shd w:val="clear" w:color="auto" w:fill="auto"/>
          </w:tcPr>
          <w:p w14:paraId="462070FE" w14:textId="77777777" w:rsidR="003E3D07" w:rsidRDefault="003E3D07">
            <w:pPr>
              <w:pStyle w:val="TableText"/>
              <w:rPr>
                <w:rFonts w:eastAsia="Symbol"/>
              </w:rPr>
            </w:pPr>
            <w:r>
              <w:t>Anti-Js(a)</w:t>
            </w:r>
          </w:p>
        </w:tc>
        <w:tc>
          <w:tcPr>
            <w:tcW w:w="878" w:type="dxa"/>
            <w:shd w:val="clear" w:color="auto" w:fill="auto"/>
          </w:tcPr>
          <w:p w14:paraId="659B8F78" w14:textId="77777777" w:rsidR="003E3D07" w:rsidRDefault="003E3D07">
            <w:pPr>
              <w:pStyle w:val="TableText"/>
              <w:rPr>
                <w:b/>
                <w:bCs/>
              </w:rPr>
            </w:pPr>
            <w:r>
              <w:rPr>
                <w:bCs/>
              </w:rPr>
              <w:t>Yes</w:t>
            </w:r>
          </w:p>
        </w:tc>
        <w:tc>
          <w:tcPr>
            <w:tcW w:w="878" w:type="dxa"/>
            <w:shd w:val="clear" w:color="auto" w:fill="auto"/>
          </w:tcPr>
          <w:p w14:paraId="1BDBEE93" w14:textId="77777777" w:rsidR="003E3D07" w:rsidRDefault="003E3D07">
            <w:pPr>
              <w:pStyle w:val="TableText"/>
              <w:rPr>
                <w:rFonts w:eastAsia="Symbol"/>
              </w:rPr>
            </w:pPr>
            <w:r>
              <w:t>Optional</w:t>
            </w:r>
          </w:p>
        </w:tc>
        <w:tc>
          <w:tcPr>
            <w:tcW w:w="1253" w:type="dxa"/>
            <w:shd w:val="clear" w:color="auto" w:fill="auto"/>
          </w:tcPr>
          <w:p w14:paraId="5F5C3A2B" w14:textId="77777777" w:rsidR="003E3D07" w:rsidRDefault="003E3D07">
            <w:pPr>
              <w:pStyle w:val="TableText"/>
              <w:rPr>
                <w:rFonts w:eastAsia="Symbol"/>
              </w:rPr>
            </w:pPr>
            <w:r>
              <w:t>Js(a)</w:t>
            </w:r>
          </w:p>
        </w:tc>
        <w:tc>
          <w:tcPr>
            <w:tcW w:w="1253" w:type="dxa"/>
            <w:shd w:val="clear" w:color="auto" w:fill="auto"/>
          </w:tcPr>
          <w:p w14:paraId="7030695F" w14:textId="77777777" w:rsidR="003E3D07" w:rsidRDefault="003E3D07">
            <w:pPr>
              <w:pStyle w:val="TableText"/>
              <w:rPr>
                <w:rFonts w:eastAsia="Symbol"/>
              </w:rPr>
            </w:pPr>
            <w:r>
              <w:t>Js(a)</w:t>
            </w:r>
          </w:p>
        </w:tc>
        <w:tc>
          <w:tcPr>
            <w:tcW w:w="1296" w:type="dxa"/>
            <w:shd w:val="clear" w:color="auto" w:fill="auto"/>
          </w:tcPr>
          <w:p w14:paraId="0C4754FB" w14:textId="77777777" w:rsidR="003E3D07" w:rsidRDefault="003E3D07">
            <w:pPr>
              <w:pStyle w:val="TableText"/>
              <w:rPr>
                <w:rFonts w:eastAsia="Symbol"/>
              </w:rPr>
            </w:pPr>
            <w:r>
              <w:t>90</w:t>
            </w:r>
          </w:p>
        </w:tc>
        <w:tc>
          <w:tcPr>
            <w:tcW w:w="1296" w:type="dxa"/>
            <w:shd w:val="clear" w:color="auto" w:fill="auto"/>
          </w:tcPr>
          <w:p w14:paraId="2793D137" w14:textId="77777777" w:rsidR="003E3D07" w:rsidRDefault="003E3D07">
            <w:pPr>
              <w:pStyle w:val="TableText"/>
              <w:rPr>
                <w:rFonts w:eastAsia="Symbol"/>
              </w:rPr>
            </w:pPr>
            <w:r>
              <w:t>AGJs(a)</w:t>
            </w:r>
          </w:p>
        </w:tc>
      </w:tr>
      <w:tr w:rsidR="00824338" w14:paraId="483CC55D" w14:textId="77777777">
        <w:tblPrEx>
          <w:tblBorders>
            <w:insideH w:val="single" w:sz="4" w:space="0" w:color="auto"/>
            <w:insideV w:val="single" w:sz="4" w:space="0" w:color="auto"/>
          </w:tblBorders>
        </w:tblPrEx>
        <w:tc>
          <w:tcPr>
            <w:tcW w:w="1253" w:type="dxa"/>
            <w:shd w:val="clear" w:color="auto" w:fill="auto"/>
          </w:tcPr>
          <w:p w14:paraId="33574399" w14:textId="77777777" w:rsidR="003E3D07" w:rsidRDefault="003E3D07">
            <w:pPr>
              <w:pStyle w:val="TableText"/>
              <w:rPr>
                <w:rFonts w:eastAsia="Symbol"/>
              </w:rPr>
            </w:pPr>
            <w:r>
              <w:t>Anti-Js(b)</w:t>
            </w:r>
          </w:p>
        </w:tc>
        <w:tc>
          <w:tcPr>
            <w:tcW w:w="1253" w:type="dxa"/>
            <w:shd w:val="clear" w:color="auto" w:fill="auto"/>
          </w:tcPr>
          <w:p w14:paraId="35C901A6" w14:textId="77777777" w:rsidR="003E3D07" w:rsidRDefault="003E3D07">
            <w:pPr>
              <w:pStyle w:val="TableText"/>
              <w:rPr>
                <w:rFonts w:eastAsia="Symbol"/>
              </w:rPr>
            </w:pPr>
            <w:r>
              <w:t>Anti-Js(b)</w:t>
            </w:r>
          </w:p>
        </w:tc>
        <w:tc>
          <w:tcPr>
            <w:tcW w:w="878" w:type="dxa"/>
            <w:shd w:val="clear" w:color="auto" w:fill="auto"/>
          </w:tcPr>
          <w:p w14:paraId="7B511890" w14:textId="77777777" w:rsidR="003E3D07" w:rsidRDefault="003E3D07">
            <w:pPr>
              <w:pStyle w:val="TableText"/>
              <w:rPr>
                <w:b/>
                <w:bCs/>
              </w:rPr>
            </w:pPr>
            <w:r>
              <w:rPr>
                <w:bCs/>
              </w:rPr>
              <w:t>Yes</w:t>
            </w:r>
          </w:p>
        </w:tc>
        <w:tc>
          <w:tcPr>
            <w:tcW w:w="878" w:type="dxa"/>
            <w:shd w:val="clear" w:color="auto" w:fill="auto"/>
          </w:tcPr>
          <w:p w14:paraId="712855A7" w14:textId="77777777" w:rsidR="003E3D07" w:rsidRDefault="003E3D07">
            <w:pPr>
              <w:pStyle w:val="TableText"/>
              <w:rPr>
                <w:rFonts w:eastAsia="Symbol"/>
              </w:rPr>
            </w:pPr>
            <w:r>
              <w:t>Optional</w:t>
            </w:r>
          </w:p>
        </w:tc>
        <w:tc>
          <w:tcPr>
            <w:tcW w:w="1253" w:type="dxa"/>
            <w:shd w:val="clear" w:color="auto" w:fill="auto"/>
          </w:tcPr>
          <w:p w14:paraId="336AE5EC" w14:textId="77777777" w:rsidR="003E3D07" w:rsidRDefault="003E3D07">
            <w:pPr>
              <w:pStyle w:val="TableText"/>
              <w:rPr>
                <w:rFonts w:eastAsia="Symbol"/>
              </w:rPr>
            </w:pPr>
            <w:r>
              <w:t>Js(b)</w:t>
            </w:r>
          </w:p>
        </w:tc>
        <w:tc>
          <w:tcPr>
            <w:tcW w:w="1253" w:type="dxa"/>
            <w:shd w:val="clear" w:color="auto" w:fill="auto"/>
          </w:tcPr>
          <w:p w14:paraId="27036B1F" w14:textId="77777777" w:rsidR="003E3D07" w:rsidRDefault="003E3D07">
            <w:pPr>
              <w:pStyle w:val="TableText"/>
              <w:rPr>
                <w:rFonts w:eastAsia="Symbol"/>
              </w:rPr>
            </w:pPr>
            <w:r>
              <w:t>Js(b)</w:t>
            </w:r>
          </w:p>
        </w:tc>
        <w:tc>
          <w:tcPr>
            <w:tcW w:w="1296" w:type="dxa"/>
            <w:shd w:val="clear" w:color="auto" w:fill="auto"/>
          </w:tcPr>
          <w:p w14:paraId="49315CAD" w14:textId="77777777" w:rsidR="003E3D07" w:rsidRDefault="003E3D07">
            <w:pPr>
              <w:pStyle w:val="TableText"/>
              <w:rPr>
                <w:rFonts w:eastAsia="Symbol"/>
              </w:rPr>
            </w:pPr>
            <w:r>
              <w:t>10</w:t>
            </w:r>
          </w:p>
        </w:tc>
        <w:tc>
          <w:tcPr>
            <w:tcW w:w="1296" w:type="dxa"/>
            <w:shd w:val="clear" w:color="auto" w:fill="auto"/>
          </w:tcPr>
          <w:p w14:paraId="05BD3F94" w14:textId="77777777" w:rsidR="003E3D07" w:rsidRDefault="003E3D07">
            <w:pPr>
              <w:pStyle w:val="TableText"/>
              <w:rPr>
                <w:rFonts w:eastAsia="Symbol"/>
              </w:rPr>
            </w:pPr>
            <w:r>
              <w:t>AGJs(b)</w:t>
            </w:r>
          </w:p>
        </w:tc>
      </w:tr>
      <w:tr w:rsidR="00824338" w14:paraId="48713D53" w14:textId="77777777">
        <w:tblPrEx>
          <w:tblBorders>
            <w:insideH w:val="single" w:sz="4" w:space="0" w:color="auto"/>
            <w:insideV w:val="single" w:sz="4" w:space="0" w:color="auto"/>
          </w:tblBorders>
        </w:tblPrEx>
        <w:tc>
          <w:tcPr>
            <w:tcW w:w="1253" w:type="dxa"/>
            <w:shd w:val="clear" w:color="auto" w:fill="auto"/>
          </w:tcPr>
          <w:p w14:paraId="5E6C6E41" w14:textId="77777777" w:rsidR="003E3D07" w:rsidRDefault="003E3D07">
            <w:pPr>
              <w:pStyle w:val="TableText"/>
              <w:rPr>
                <w:rFonts w:eastAsia="Symbol"/>
              </w:rPr>
            </w:pPr>
            <w:r>
              <w:t>Anti-Lu(a)</w:t>
            </w:r>
          </w:p>
        </w:tc>
        <w:tc>
          <w:tcPr>
            <w:tcW w:w="1253" w:type="dxa"/>
            <w:shd w:val="clear" w:color="auto" w:fill="auto"/>
          </w:tcPr>
          <w:p w14:paraId="00CE9BEB" w14:textId="77777777" w:rsidR="003E3D07" w:rsidRDefault="003E3D07">
            <w:pPr>
              <w:pStyle w:val="TableText"/>
            </w:pPr>
            <w:r>
              <w:t>Anti-Lu(a)</w:t>
            </w:r>
          </w:p>
        </w:tc>
        <w:tc>
          <w:tcPr>
            <w:tcW w:w="878" w:type="dxa"/>
            <w:shd w:val="clear" w:color="auto" w:fill="auto"/>
          </w:tcPr>
          <w:p w14:paraId="114033DB" w14:textId="77777777" w:rsidR="003E3D07" w:rsidRDefault="003E3D07">
            <w:pPr>
              <w:pStyle w:val="TableText"/>
            </w:pPr>
            <w:r>
              <w:t>No</w:t>
            </w:r>
          </w:p>
        </w:tc>
        <w:tc>
          <w:tcPr>
            <w:tcW w:w="878" w:type="dxa"/>
            <w:shd w:val="clear" w:color="auto" w:fill="auto"/>
          </w:tcPr>
          <w:p w14:paraId="671215D9" w14:textId="77777777" w:rsidR="003E3D07" w:rsidRDefault="003E3D07">
            <w:pPr>
              <w:pStyle w:val="TableText"/>
              <w:rPr>
                <w:rFonts w:eastAsia="Symbol"/>
              </w:rPr>
            </w:pPr>
            <w:r>
              <w:t>Optional</w:t>
            </w:r>
          </w:p>
        </w:tc>
        <w:tc>
          <w:tcPr>
            <w:tcW w:w="1253" w:type="dxa"/>
            <w:shd w:val="clear" w:color="auto" w:fill="auto"/>
          </w:tcPr>
          <w:p w14:paraId="3BDD2180" w14:textId="77777777" w:rsidR="003E3D07" w:rsidRDefault="003E3D07">
            <w:pPr>
              <w:pStyle w:val="TableText"/>
              <w:rPr>
                <w:rFonts w:eastAsia="Symbol"/>
              </w:rPr>
            </w:pPr>
            <w:r>
              <w:t>Lu(a)</w:t>
            </w:r>
          </w:p>
        </w:tc>
        <w:tc>
          <w:tcPr>
            <w:tcW w:w="1253" w:type="dxa"/>
            <w:shd w:val="clear" w:color="auto" w:fill="auto"/>
          </w:tcPr>
          <w:p w14:paraId="2D5B10CE" w14:textId="77777777" w:rsidR="003E3D07" w:rsidRDefault="003E3D07">
            <w:pPr>
              <w:pStyle w:val="TableText"/>
            </w:pPr>
            <w:r>
              <w:t>Lu(a)</w:t>
            </w:r>
          </w:p>
        </w:tc>
        <w:tc>
          <w:tcPr>
            <w:tcW w:w="1296" w:type="dxa"/>
            <w:shd w:val="clear" w:color="auto" w:fill="auto"/>
          </w:tcPr>
          <w:p w14:paraId="19A0787E" w14:textId="77777777" w:rsidR="003E3D07" w:rsidRDefault="003E3D07">
            <w:pPr>
              <w:pStyle w:val="TableText"/>
              <w:rPr>
                <w:rFonts w:eastAsia="Symbol"/>
              </w:rPr>
            </w:pPr>
            <w:r>
              <w:t>92</w:t>
            </w:r>
          </w:p>
        </w:tc>
        <w:tc>
          <w:tcPr>
            <w:tcW w:w="1296" w:type="dxa"/>
            <w:shd w:val="clear" w:color="auto" w:fill="auto"/>
          </w:tcPr>
          <w:p w14:paraId="3C3B4274" w14:textId="77777777" w:rsidR="003E3D07" w:rsidRDefault="003E3D07">
            <w:pPr>
              <w:pStyle w:val="TableText"/>
              <w:rPr>
                <w:rFonts w:eastAsia="Symbol"/>
              </w:rPr>
            </w:pPr>
            <w:r>
              <w:t>AGLu(a)</w:t>
            </w:r>
          </w:p>
        </w:tc>
      </w:tr>
      <w:tr w:rsidR="00824338" w14:paraId="309FFED3" w14:textId="77777777">
        <w:tblPrEx>
          <w:tblBorders>
            <w:insideH w:val="single" w:sz="4" w:space="0" w:color="auto"/>
            <w:insideV w:val="single" w:sz="4" w:space="0" w:color="auto"/>
          </w:tblBorders>
        </w:tblPrEx>
        <w:tc>
          <w:tcPr>
            <w:tcW w:w="1253" w:type="dxa"/>
            <w:shd w:val="clear" w:color="auto" w:fill="auto"/>
          </w:tcPr>
          <w:p w14:paraId="3B4A632F" w14:textId="77777777" w:rsidR="003E3D07" w:rsidRDefault="003E3D07">
            <w:pPr>
              <w:pStyle w:val="TableText"/>
              <w:rPr>
                <w:rFonts w:eastAsia="Symbol"/>
              </w:rPr>
            </w:pPr>
            <w:r>
              <w:t>Anti-Lu(b)</w:t>
            </w:r>
          </w:p>
        </w:tc>
        <w:tc>
          <w:tcPr>
            <w:tcW w:w="1253" w:type="dxa"/>
            <w:shd w:val="clear" w:color="auto" w:fill="auto"/>
          </w:tcPr>
          <w:p w14:paraId="2FCBC73C" w14:textId="77777777" w:rsidR="003E3D07" w:rsidRDefault="003E3D07">
            <w:pPr>
              <w:pStyle w:val="TableText"/>
            </w:pPr>
            <w:r>
              <w:t>Anti-Lu(b)</w:t>
            </w:r>
          </w:p>
        </w:tc>
        <w:tc>
          <w:tcPr>
            <w:tcW w:w="878" w:type="dxa"/>
            <w:shd w:val="clear" w:color="auto" w:fill="auto"/>
          </w:tcPr>
          <w:p w14:paraId="37A71560" w14:textId="77777777" w:rsidR="003E3D07" w:rsidRDefault="003E3D07">
            <w:pPr>
              <w:pStyle w:val="TableText"/>
            </w:pPr>
            <w:r>
              <w:t>No</w:t>
            </w:r>
          </w:p>
        </w:tc>
        <w:tc>
          <w:tcPr>
            <w:tcW w:w="878" w:type="dxa"/>
            <w:shd w:val="clear" w:color="auto" w:fill="auto"/>
          </w:tcPr>
          <w:p w14:paraId="1FEBCFC8" w14:textId="77777777" w:rsidR="003E3D07" w:rsidRDefault="003E3D07">
            <w:pPr>
              <w:pStyle w:val="TableText"/>
              <w:rPr>
                <w:rFonts w:eastAsia="Symbol"/>
              </w:rPr>
            </w:pPr>
            <w:r>
              <w:t>Optional</w:t>
            </w:r>
          </w:p>
        </w:tc>
        <w:tc>
          <w:tcPr>
            <w:tcW w:w="1253" w:type="dxa"/>
            <w:shd w:val="clear" w:color="auto" w:fill="auto"/>
          </w:tcPr>
          <w:p w14:paraId="348EDF35" w14:textId="77777777" w:rsidR="003E3D07" w:rsidRDefault="003E3D07">
            <w:pPr>
              <w:pStyle w:val="TableText"/>
              <w:rPr>
                <w:rFonts w:eastAsia="Symbol"/>
              </w:rPr>
            </w:pPr>
            <w:r>
              <w:t>Lu(b)</w:t>
            </w:r>
          </w:p>
        </w:tc>
        <w:tc>
          <w:tcPr>
            <w:tcW w:w="1253" w:type="dxa"/>
            <w:shd w:val="clear" w:color="auto" w:fill="auto"/>
          </w:tcPr>
          <w:p w14:paraId="6815CCE4" w14:textId="77777777" w:rsidR="003E3D07" w:rsidRDefault="003E3D07">
            <w:pPr>
              <w:pStyle w:val="TableText"/>
            </w:pPr>
            <w:r>
              <w:t>Lu(b)</w:t>
            </w:r>
          </w:p>
        </w:tc>
        <w:tc>
          <w:tcPr>
            <w:tcW w:w="1296" w:type="dxa"/>
            <w:shd w:val="clear" w:color="auto" w:fill="auto"/>
          </w:tcPr>
          <w:p w14:paraId="27624276" w14:textId="77777777" w:rsidR="003E3D07" w:rsidRDefault="003E3D07">
            <w:pPr>
              <w:pStyle w:val="TableText"/>
              <w:rPr>
                <w:rFonts w:eastAsia="Symbol"/>
              </w:rPr>
            </w:pPr>
            <w:r>
              <w:t>2</w:t>
            </w:r>
          </w:p>
        </w:tc>
        <w:tc>
          <w:tcPr>
            <w:tcW w:w="1296" w:type="dxa"/>
            <w:shd w:val="clear" w:color="auto" w:fill="auto"/>
          </w:tcPr>
          <w:p w14:paraId="7F9C7777" w14:textId="77777777" w:rsidR="003E3D07" w:rsidRDefault="003E3D07">
            <w:pPr>
              <w:pStyle w:val="TableText"/>
              <w:rPr>
                <w:rFonts w:eastAsia="Symbol"/>
              </w:rPr>
            </w:pPr>
            <w:r>
              <w:t>AGLu(b)</w:t>
            </w:r>
          </w:p>
        </w:tc>
      </w:tr>
      <w:tr w:rsidR="00824338" w:rsidRPr="00584AF9" w14:paraId="4A4B6F06" w14:textId="77777777">
        <w:tblPrEx>
          <w:tblBorders>
            <w:insideH w:val="single" w:sz="4" w:space="0" w:color="auto"/>
            <w:insideV w:val="single" w:sz="4" w:space="0" w:color="auto"/>
          </w:tblBorders>
        </w:tblPrEx>
        <w:tc>
          <w:tcPr>
            <w:tcW w:w="1253" w:type="dxa"/>
            <w:shd w:val="clear" w:color="auto" w:fill="auto"/>
          </w:tcPr>
          <w:p w14:paraId="04FFC264" w14:textId="77777777" w:rsidR="003E3D07" w:rsidRPr="00584AF9" w:rsidRDefault="003E3D07" w:rsidP="00584AF9">
            <w:pPr>
              <w:pStyle w:val="TableText"/>
              <w:rPr>
                <w:rFonts w:eastAsia="Symbol"/>
              </w:rPr>
            </w:pPr>
            <w:r w:rsidRPr="00584AF9">
              <w:t>Anti-Lu3</w:t>
            </w:r>
          </w:p>
        </w:tc>
        <w:tc>
          <w:tcPr>
            <w:tcW w:w="1253" w:type="dxa"/>
            <w:shd w:val="clear" w:color="auto" w:fill="auto"/>
          </w:tcPr>
          <w:p w14:paraId="62D132B8" w14:textId="77777777" w:rsidR="003E3D07" w:rsidRPr="006E05B3" w:rsidRDefault="003E3D07" w:rsidP="00584AF9">
            <w:pPr>
              <w:pStyle w:val="TableText"/>
              <w:rPr>
                <w:lang w:val="fr-FR"/>
              </w:rPr>
            </w:pPr>
            <w:r w:rsidRPr="006E05B3">
              <w:rPr>
                <w:lang w:val="fr-FR"/>
              </w:rPr>
              <w:t>Anti-Lu(a)Lu(b)</w:t>
            </w:r>
          </w:p>
        </w:tc>
        <w:tc>
          <w:tcPr>
            <w:tcW w:w="878" w:type="dxa"/>
            <w:shd w:val="clear" w:color="auto" w:fill="auto"/>
          </w:tcPr>
          <w:p w14:paraId="0E93A61F" w14:textId="77777777" w:rsidR="003E3D07" w:rsidRPr="00584AF9" w:rsidRDefault="003E3D07" w:rsidP="00584AF9">
            <w:pPr>
              <w:pStyle w:val="TableText"/>
            </w:pPr>
            <w:r w:rsidRPr="00584AF9">
              <w:t>No</w:t>
            </w:r>
          </w:p>
        </w:tc>
        <w:tc>
          <w:tcPr>
            <w:tcW w:w="878" w:type="dxa"/>
            <w:shd w:val="clear" w:color="auto" w:fill="auto"/>
          </w:tcPr>
          <w:p w14:paraId="5158AE9B" w14:textId="77777777" w:rsidR="003E3D07" w:rsidRPr="00584AF9" w:rsidRDefault="003E3D07" w:rsidP="00584AF9">
            <w:pPr>
              <w:pStyle w:val="TableText"/>
              <w:rPr>
                <w:rFonts w:eastAsia="Symbol"/>
              </w:rPr>
            </w:pPr>
            <w:r w:rsidRPr="00584AF9">
              <w:t>Optional</w:t>
            </w:r>
          </w:p>
        </w:tc>
        <w:tc>
          <w:tcPr>
            <w:tcW w:w="1253" w:type="dxa"/>
            <w:shd w:val="clear" w:color="auto" w:fill="auto"/>
          </w:tcPr>
          <w:p w14:paraId="522F44C1" w14:textId="77777777" w:rsidR="003E3D07" w:rsidRPr="00584AF9" w:rsidRDefault="003E3D07" w:rsidP="00584AF9">
            <w:pPr>
              <w:pStyle w:val="TableText"/>
              <w:rPr>
                <w:rFonts w:eastAsia="Symbol"/>
              </w:rPr>
            </w:pPr>
            <w:r w:rsidRPr="00584AF9">
              <w:t>Lu (a) and Lu(b)</w:t>
            </w:r>
          </w:p>
        </w:tc>
        <w:tc>
          <w:tcPr>
            <w:tcW w:w="1253" w:type="dxa"/>
            <w:shd w:val="clear" w:color="auto" w:fill="auto"/>
          </w:tcPr>
          <w:p w14:paraId="7A6D6EC9" w14:textId="77777777" w:rsidR="003E3D07" w:rsidRPr="00584AF9" w:rsidRDefault="003E3D07" w:rsidP="00584AF9">
            <w:pPr>
              <w:pStyle w:val="TableText"/>
              <w:rPr>
                <w:rFonts w:eastAsia="Symbol"/>
              </w:rPr>
            </w:pPr>
            <w:r w:rsidRPr="00584AF9">
              <w:rPr>
                <w:rFonts w:eastAsia="Symbol"/>
              </w:rPr>
              <w:t>None</w:t>
            </w:r>
          </w:p>
        </w:tc>
        <w:tc>
          <w:tcPr>
            <w:tcW w:w="1296" w:type="dxa"/>
            <w:shd w:val="clear" w:color="auto" w:fill="auto"/>
          </w:tcPr>
          <w:p w14:paraId="53400A95" w14:textId="77777777" w:rsidR="003E3D07" w:rsidRPr="00584AF9" w:rsidRDefault="003E3D07" w:rsidP="00584AF9">
            <w:pPr>
              <w:pStyle w:val="TableText"/>
              <w:rPr>
                <w:rFonts w:eastAsia="Symbol"/>
              </w:rPr>
            </w:pPr>
            <w:r w:rsidRPr="00584AF9">
              <w:t>N/A</w:t>
            </w:r>
          </w:p>
        </w:tc>
        <w:tc>
          <w:tcPr>
            <w:tcW w:w="1296" w:type="dxa"/>
            <w:shd w:val="clear" w:color="auto" w:fill="auto"/>
          </w:tcPr>
          <w:p w14:paraId="5AE2CFD1" w14:textId="77777777" w:rsidR="003E3D07" w:rsidRPr="00584AF9" w:rsidRDefault="003E3D07" w:rsidP="00584AF9">
            <w:pPr>
              <w:pStyle w:val="TableText"/>
              <w:rPr>
                <w:rFonts w:eastAsia="Symbol"/>
              </w:rPr>
            </w:pPr>
            <w:r w:rsidRPr="00584AF9">
              <w:t>AGLu(a) AGLu(b)</w:t>
            </w:r>
          </w:p>
        </w:tc>
      </w:tr>
      <w:tr w:rsidR="00824338" w14:paraId="63EC4D8B" w14:textId="77777777">
        <w:tblPrEx>
          <w:tblBorders>
            <w:insideH w:val="single" w:sz="4" w:space="0" w:color="auto"/>
            <w:insideV w:val="single" w:sz="4" w:space="0" w:color="auto"/>
          </w:tblBorders>
        </w:tblPrEx>
        <w:tc>
          <w:tcPr>
            <w:tcW w:w="1253" w:type="dxa"/>
            <w:shd w:val="clear" w:color="auto" w:fill="auto"/>
          </w:tcPr>
          <w:p w14:paraId="4AEF1AD0" w14:textId="77777777" w:rsidR="003E3D07" w:rsidRDefault="003E3D07">
            <w:pPr>
              <w:pStyle w:val="TableText"/>
              <w:rPr>
                <w:rFonts w:eastAsia="Symbol"/>
              </w:rPr>
            </w:pPr>
            <w:r>
              <w:t>Anti-C(w)</w:t>
            </w:r>
          </w:p>
        </w:tc>
        <w:tc>
          <w:tcPr>
            <w:tcW w:w="1253" w:type="dxa"/>
            <w:shd w:val="clear" w:color="auto" w:fill="auto"/>
          </w:tcPr>
          <w:p w14:paraId="51E46B0A" w14:textId="77777777" w:rsidR="003E3D07" w:rsidRDefault="003E3D07">
            <w:pPr>
              <w:pStyle w:val="TableText"/>
            </w:pPr>
            <w:r>
              <w:t>Anti-Cw</w:t>
            </w:r>
          </w:p>
        </w:tc>
        <w:tc>
          <w:tcPr>
            <w:tcW w:w="878" w:type="dxa"/>
            <w:shd w:val="clear" w:color="auto" w:fill="auto"/>
          </w:tcPr>
          <w:p w14:paraId="42EB316E" w14:textId="77777777" w:rsidR="003E3D07" w:rsidRDefault="003E3D07">
            <w:pPr>
              <w:pStyle w:val="TableText"/>
            </w:pPr>
            <w:r>
              <w:rPr>
                <w:bCs/>
              </w:rPr>
              <w:t>Yes</w:t>
            </w:r>
          </w:p>
        </w:tc>
        <w:tc>
          <w:tcPr>
            <w:tcW w:w="878" w:type="dxa"/>
            <w:shd w:val="clear" w:color="auto" w:fill="auto"/>
          </w:tcPr>
          <w:p w14:paraId="53D417C9" w14:textId="77777777" w:rsidR="003E3D07" w:rsidRDefault="003E3D07">
            <w:pPr>
              <w:pStyle w:val="TableText"/>
              <w:rPr>
                <w:rFonts w:eastAsia="Symbol"/>
              </w:rPr>
            </w:pPr>
            <w:r>
              <w:t>Optional</w:t>
            </w:r>
          </w:p>
        </w:tc>
        <w:tc>
          <w:tcPr>
            <w:tcW w:w="1253" w:type="dxa"/>
            <w:shd w:val="clear" w:color="auto" w:fill="auto"/>
          </w:tcPr>
          <w:p w14:paraId="0AA15729" w14:textId="77777777" w:rsidR="003E3D07" w:rsidRDefault="003E3D07">
            <w:pPr>
              <w:pStyle w:val="TableText"/>
              <w:rPr>
                <w:rFonts w:eastAsia="Symbol"/>
              </w:rPr>
            </w:pPr>
            <w:r>
              <w:t>C(w)</w:t>
            </w:r>
          </w:p>
        </w:tc>
        <w:tc>
          <w:tcPr>
            <w:tcW w:w="1253" w:type="dxa"/>
            <w:shd w:val="clear" w:color="auto" w:fill="auto"/>
          </w:tcPr>
          <w:p w14:paraId="6A996AE7" w14:textId="77777777" w:rsidR="003E3D07" w:rsidRDefault="003E3D07">
            <w:pPr>
              <w:pStyle w:val="TableText"/>
            </w:pPr>
            <w:r>
              <w:t>Cw</w:t>
            </w:r>
          </w:p>
        </w:tc>
        <w:tc>
          <w:tcPr>
            <w:tcW w:w="1296" w:type="dxa"/>
            <w:shd w:val="clear" w:color="auto" w:fill="auto"/>
          </w:tcPr>
          <w:p w14:paraId="1AA703CD" w14:textId="77777777" w:rsidR="003E3D07" w:rsidRDefault="003E3D07">
            <w:pPr>
              <w:pStyle w:val="TableText"/>
              <w:rPr>
                <w:rFonts w:eastAsia="Symbol"/>
              </w:rPr>
            </w:pPr>
            <w:r>
              <w:t>99</w:t>
            </w:r>
          </w:p>
        </w:tc>
        <w:tc>
          <w:tcPr>
            <w:tcW w:w="1296" w:type="dxa"/>
            <w:shd w:val="clear" w:color="auto" w:fill="auto"/>
          </w:tcPr>
          <w:p w14:paraId="144987D2" w14:textId="77777777" w:rsidR="003E3D07" w:rsidRDefault="003E3D07">
            <w:pPr>
              <w:pStyle w:val="TableText"/>
              <w:rPr>
                <w:rFonts w:eastAsia="Symbol"/>
              </w:rPr>
            </w:pPr>
            <w:r>
              <w:t>AGC(w)</w:t>
            </w:r>
          </w:p>
        </w:tc>
      </w:tr>
      <w:tr w:rsidR="00824338" w14:paraId="08EB2C05" w14:textId="77777777">
        <w:tblPrEx>
          <w:tblBorders>
            <w:insideH w:val="single" w:sz="4" w:space="0" w:color="auto"/>
            <w:insideV w:val="single" w:sz="4" w:space="0" w:color="auto"/>
          </w:tblBorders>
        </w:tblPrEx>
        <w:tc>
          <w:tcPr>
            <w:tcW w:w="1253" w:type="dxa"/>
            <w:shd w:val="clear" w:color="auto" w:fill="auto"/>
          </w:tcPr>
          <w:p w14:paraId="7B67A78E" w14:textId="77777777" w:rsidR="003E3D07" w:rsidRDefault="003E3D07">
            <w:pPr>
              <w:pStyle w:val="TableText"/>
              <w:rPr>
                <w:rFonts w:eastAsia="Symbol"/>
              </w:rPr>
            </w:pPr>
            <w:r>
              <w:t>Anti-Ce</w:t>
            </w:r>
          </w:p>
        </w:tc>
        <w:tc>
          <w:tcPr>
            <w:tcW w:w="1253" w:type="dxa"/>
            <w:shd w:val="clear" w:color="auto" w:fill="auto"/>
          </w:tcPr>
          <w:p w14:paraId="5293FF86" w14:textId="77777777" w:rsidR="003E3D07" w:rsidRDefault="003E3D07">
            <w:pPr>
              <w:pStyle w:val="TableText"/>
              <w:rPr>
                <w:rFonts w:eastAsia="Symbol"/>
              </w:rPr>
            </w:pPr>
            <w:r>
              <w:t>Anti-Ce</w:t>
            </w:r>
          </w:p>
        </w:tc>
        <w:tc>
          <w:tcPr>
            <w:tcW w:w="878" w:type="dxa"/>
            <w:shd w:val="clear" w:color="auto" w:fill="auto"/>
          </w:tcPr>
          <w:p w14:paraId="12BEAB26" w14:textId="77777777" w:rsidR="003E3D07" w:rsidRDefault="003E3D07">
            <w:pPr>
              <w:pStyle w:val="TableText"/>
            </w:pPr>
            <w:r>
              <w:rPr>
                <w:bCs/>
              </w:rPr>
              <w:t>Yes</w:t>
            </w:r>
          </w:p>
        </w:tc>
        <w:tc>
          <w:tcPr>
            <w:tcW w:w="878" w:type="dxa"/>
            <w:shd w:val="clear" w:color="auto" w:fill="auto"/>
          </w:tcPr>
          <w:p w14:paraId="37B880C2" w14:textId="77777777" w:rsidR="003E3D07" w:rsidRDefault="003E3D07">
            <w:pPr>
              <w:pStyle w:val="TableText"/>
              <w:rPr>
                <w:rFonts w:eastAsia="Symbol"/>
              </w:rPr>
            </w:pPr>
            <w:r>
              <w:rPr>
                <w:bCs/>
              </w:rPr>
              <w:t>Yes</w:t>
            </w:r>
          </w:p>
        </w:tc>
        <w:tc>
          <w:tcPr>
            <w:tcW w:w="1253" w:type="dxa"/>
            <w:shd w:val="clear" w:color="auto" w:fill="auto"/>
          </w:tcPr>
          <w:p w14:paraId="3C3075E8" w14:textId="77777777" w:rsidR="003E3D07" w:rsidRDefault="003E3D07">
            <w:pPr>
              <w:pStyle w:val="TableText"/>
              <w:rPr>
                <w:rFonts w:eastAsia="Symbol"/>
              </w:rPr>
            </w:pPr>
            <w:r>
              <w:t>C and e</w:t>
            </w:r>
          </w:p>
        </w:tc>
        <w:tc>
          <w:tcPr>
            <w:tcW w:w="1253" w:type="dxa"/>
            <w:shd w:val="clear" w:color="auto" w:fill="auto"/>
          </w:tcPr>
          <w:p w14:paraId="2A28208C" w14:textId="77777777" w:rsidR="003E3D07" w:rsidRDefault="003E3D07">
            <w:pPr>
              <w:pStyle w:val="TableText"/>
              <w:rPr>
                <w:rFonts w:eastAsia="Symbol"/>
              </w:rPr>
            </w:pPr>
            <w:r>
              <w:t>Ce</w:t>
            </w:r>
          </w:p>
        </w:tc>
        <w:tc>
          <w:tcPr>
            <w:tcW w:w="1296" w:type="dxa"/>
            <w:shd w:val="clear" w:color="auto" w:fill="auto"/>
          </w:tcPr>
          <w:p w14:paraId="6075577A" w14:textId="77777777" w:rsidR="003E3D07" w:rsidRDefault="003E3D07">
            <w:pPr>
              <w:pStyle w:val="TableText"/>
              <w:rPr>
                <w:rFonts w:eastAsia="Symbol"/>
              </w:rPr>
            </w:pPr>
            <w:r>
              <w:t>N/A</w:t>
            </w:r>
          </w:p>
        </w:tc>
        <w:tc>
          <w:tcPr>
            <w:tcW w:w="1296" w:type="dxa"/>
            <w:shd w:val="clear" w:color="auto" w:fill="auto"/>
          </w:tcPr>
          <w:p w14:paraId="10A9BB24" w14:textId="77777777" w:rsidR="003E3D07" w:rsidRDefault="003E3D07">
            <w:pPr>
              <w:pStyle w:val="TableText"/>
            </w:pPr>
            <w:r>
              <w:t>AGC</w:t>
            </w:r>
          </w:p>
          <w:p w14:paraId="5A7D030F" w14:textId="77777777" w:rsidR="003E3D07" w:rsidRDefault="003E3D07">
            <w:pPr>
              <w:pStyle w:val="TableText"/>
              <w:rPr>
                <w:rFonts w:eastAsia="Symbol"/>
              </w:rPr>
            </w:pPr>
            <w:r>
              <w:t>AGe</w:t>
            </w:r>
          </w:p>
        </w:tc>
      </w:tr>
      <w:tr w:rsidR="00824338" w14:paraId="765E51DB" w14:textId="77777777">
        <w:tblPrEx>
          <w:tblBorders>
            <w:insideH w:val="single" w:sz="4" w:space="0" w:color="auto"/>
            <w:insideV w:val="single" w:sz="4" w:space="0" w:color="auto"/>
          </w:tblBorders>
        </w:tblPrEx>
        <w:tc>
          <w:tcPr>
            <w:tcW w:w="1253" w:type="dxa"/>
            <w:shd w:val="clear" w:color="auto" w:fill="auto"/>
          </w:tcPr>
          <w:p w14:paraId="41047FED" w14:textId="77777777" w:rsidR="003E3D07" w:rsidRDefault="003E3D07">
            <w:pPr>
              <w:pStyle w:val="TableText"/>
              <w:rPr>
                <w:rFonts w:eastAsia="Symbol"/>
              </w:rPr>
            </w:pPr>
            <w:r>
              <w:t>Anti-C(x)</w:t>
            </w:r>
          </w:p>
        </w:tc>
        <w:tc>
          <w:tcPr>
            <w:tcW w:w="1253" w:type="dxa"/>
            <w:shd w:val="clear" w:color="auto" w:fill="auto"/>
          </w:tcPr>
          <w:p w14:paraId="64AC8535" w14:textId="77777777" w:rsidR="003E3D07" w:rsidRDefault="003E3D07">
            <w:pPr>
              <w:pStyle w:val="TableText"/>
              <w:rPr>
                <w:rFonts w:eastAsia="Symbol"/>
              </w:rPr>
            </w:pPr>
            <w:r>
              <w:t>Anti-Cx</w:t>
            </w:r>
          </w:p>
        </w:tc>
        <w:tc>
          <w:tcPr>
            <w:tcW w:w="878" w:type="dxa"/>
            <w:shd w:val="clear" w:color="auto" w:fill="auto"/>
          </w:tcPr>
          <w:p w14:paraId="497F217D" w14:textId="77777777" w:rsidR="003E3D07" w:rsidRDefault="003E3D07">
            <w:pPr>
              <w:pStyle w:val="TableText"/>
            </w:pPr>
            <w:r>
              <w:rPr>
                <w:bCs/>
              </w:rPr>
              <w:t>Yes</w:t>
            </w:r>
          </w:p>
        </w:tc>
        <w:tc>
          <w:tcPr>
            <w:tcW w:w="878" w:type="dxa"/>
            <w:shd w:val="clear" w:color="auto" w:fill="auto"/>
          </w:tcPr>
          <w:p w14:paraId="2D348D15" w14:textId="77777777" w:rsidR="003E3D07" w:rsidRDefault="003E3D07">
            <w:pPr>
              <w:pStyle w:val="TableText"/>
              <w:rPr>
                <w:rFonts w:eastAsia="Symbol"/>
              </w:rPr>
            </w:pPr>
            <w:r>
              <w:t>Optional</w:t>
            </w:r>
          </w:p>
        </w:tc>
        <w:tc>
          <w:tcPr>
            <w:tcW w:w="1253" w:type="dxa"/>
            <w:shd w:val="clear" w:color="auto" w:fill="auto"/>
          </w:tcPr>
          <w:p w14:paraId="54151BD8" w14:textId="77777777" w:rsidR="003E3D07" w:rsidRDefault="003E3D07">
            <w:pPr>
              <w:pStyle w:val="TableText"/>
              <w:rPr>
                <w:rFonts w:eastAsia="Symbol"/>
              </w:rPr>
            </w:pPr>
            <w:r>
              <w:t>C(x)</w:t>
            </w:r>
          </w:p>
        </w:tc>
        <w:tc>
          <w:tcPr>
            <w:tcW w:w="1253" w:type="dxa"/>
            <w:shd w:val="clear" w:color="auto" w:fill="auto"/>
          </w:tcPr>
          <w:p w14:paraId="48DA16AB" w14:textId="77777777" w:rsidR="003E3D07" w:rsidRDefault="003E3D07">
            <w:pPr>
              <w:pStyle w:val="TableText"/>
              <w:rPr>
                <w:rFonts w:eastAsia="Symbol"/>
              </w:rPr>
            </w:pPr>
            <w:r>
              <w:t>Cx</w:t>
            </w:r>
          </w:p>
        </w:tc>
        <w:tc>
          <w:tcPr>
            <w:tcW w:w="1296" w:type="dxa"/>
            <w:shd w:val="clear" w:color="auto" w:fill="auto"/>
          </w:tcPr>
          <w:p w14:paraId="71A478DB" w14:textId="77777777" w:rsidR="003E3D07" w:rsidRDefault="003E3D07">
            <w:pPr>
              <w:pStyle w:val="TableText"/>
              <w:rPr>
                <w:rFonts w:eastAsia="Symbol"/>
              </w:rPr>
            </w:pPr>
            <w:r>
              <w:t>99</w:t>
            </w:r>
          </w:p>
        </w:tc>
        <w:tc>
          <w:tcPr>
            <w:tcW w:w="1296" w:type="dxa"/>
            <w:shd w:val="clear" w:color="auto" w:fill="auto"/>
          </w:tcPr>
          <w:p w14:paraId="4DBD687D" w14:textId="77777777" w:rsidR="003E3D07" w:rsidRDefault="003E3D07">
            <w:pPr>
              <w:pStyle w:val="TableText"/>
              <w:rPr>
                <w:rFonts w:eastAsia="Symbol"/>
              </w:rPr>
            </w:pPr>
            <w:r>
              <w:rPr>
                <w:rFonts w:eastAsia="Symbol"/>
              </w:rPr>
              <w:t>AGC(x)</w:t>
            </w:r>
          </w:p>
        </w:tc>
      </w:tr>
      <w:tr w:rsidR="00824338" w14:paraId="7EEDCE82" w14:textId="77777777">
        <w:tblPrEx>
          <w:tblBorders>
            <w:insideH w:val="single" w:sz="4" w:space="0" w:color="auto"/>
            <w:insideV w:val="single" w:sz="4" w:space="0" w:color="auto"/>
          </w:tblBorders>
        </w:tblPrEx>
        <w:tc>
          <w:tcPr>
            <w:tcW w:w="1253" w:type="dxa"/>
            <w:shd w:val="clear" w:color="auto" w:fill="auto"/>
          </w:tcPr>
          <w:p w14:paraId="1B774595" w14:textId="77777777" w:rsidR="003E3D07" w:rsidRDefault="003E3D07">
            <w:pPr>
              <w:pStyle w:val="TableText"/>
              <w:rPr>
                <w:rFonts w:eastAsia="Symbol"/>
              </w:rPr>
            </w:pPr>
            <w:r>
              <w:t>Anti-E(w)</w:t>
            </w:r>
          </w:p>
        </w:tc>
        <w:tc>
          <w:tcPr>
            <w:tcW w:w="1253" w:type="dxa"/>
            <w:shd w:val="clear" w:color="auto" w:fill="auto"/>
          </w:tcPr>
          <w:p w14:paraId="49B524E5" w14:textId="77777777" w:rsidR="003E3D07" w:rsidRDefault="003E3D07">
            <w:pPr>
              <w:pStyle w:val="TableText"/>
              <w:rPr>
                <w:rFonts w:eastAsia="Symbol"/>
              </w:rPr>
            </w:pPr>
            <w:r>
              <w:t>Anti-E(w)</w:t>
            </w:r>
          </w:p>
        </w:tc>
        <w:tc>
          <w:tcPr>
            <w:tcW w:w="878" w:type="dxa"/>
            <w:shd w:val="clear" w:color="auto" w:fill="auto"/>
          </w:tcPr>
          <w:p w14:paraId="45552EC5" w14:textId="77777777" w:rsidR="003E3D07" w:rsidRDefault="003E3D07">
            <w:pPr>
              <w:pStyle w:val="TableText"/>
            </w:pPr>
            <w:r>
              <w:rPr>
                <w:bCs/>
              </w:rPr>
              <w:t>Yes</w:t>
            </w:r>
          </w:p>
        </w:tc>
        <w:tc>
          <w:tcPr>
            <w:tcW w:w="878" w:type="dxa"/>
            <w:shd w:val="clear" w:color="auto" w:fill="auto"/>
          </w:tcPr>
          <w:p w14:paraId="6FF023A4" w14:textId="77777777" w:rsidR="003E3D07" w:rsidRDefault="003E3D07">
            <w:pPr>
              <w:pStyle w:val="TableText"/>
              <w:rPr>
                <w:rFonts w:eastAsia="Symbol"/>
              </w:rPr>
            </w:pPr>
            <w:r>
              <w:t>Optional</w:t>
            </w:r>
          </w:p>
        </w:tc>
        <w:tc>
          <w:tcPr>
            <w:tcW w:w="1253" w:type="dxa"/>
            <w:shd w:val="clear" w:color="auto" w:fill="auto"/>
          </w:tcPr>
          <w:p w14:paraId="6A942FE1" w14:textId="77777777" w:rsidR="003E3D07" w:rsidRDefault="003E3D07">
            <w:pPr>
              <w:pStyle w:val="TableText"/>
              <w:rPr>
                <w:rFonts w:eastAsia="Symbol"/>
              </w:rPr>
            </w:pPr>
            <w:r>
              <w:t>E(w)</w:t>
            </w:r>
          </w:p>
        </w:tc>
        <w:tc>
          <w:tcPr>
            <w:tcW w:w="1253" w:type="dxa"/>
            <w:shd w:val="clear" w:color="auto" w:fill="auto"/>
          </w:tcPr>
          <w:p w14:paraId="51FDBAC1" w14:textId="77777777" w:rsidR="003E3D07" w:rsidRDefault="003E3D07">
            <w:pPr>
              <w:pStyle w:val="TableText"/>
              <w:rPr>
                <w:rFonts w:eastAsia="Symbol"/>
              </w:rPr>
            </w:pPr>
            <w:r>
              <w:t>E(w)</w:t>
            </w:r>
          </w:p>
        </w:tc>
        <w:tc>
          <w:tcPr>
            <w:tcW w:w="1296" w:type="dxa"/>
            <w:shd w:val="clear" w:color="auto" w:fill="auto"/>
          </w:tcPr>
          <w:p w14:paraId="0DF26D29" w14:textId="77777777" w:rsidR="003E3D07" w:rsidRDefault="003E3D07">
            <w:pPr>
              <w:pStyle w:val="TableText"/>
              <w:rPr>
                <w:rFonts w:eastAsia="Symbol"/>
              </w:rPr>
            </w:pPr>
            <w:r>
              <w:t>99</w:t>
            </w:r>
          </w:p>
        </w:tc>
        <w:tc>
          <w:tcPr>
            <w:tcW w:w="1296" w:type="dxa"/>
            <w:shd w:val="clear" w:color="auto" w:fill="auto"/>
          </w:tcPr>
          <w:p w14:paraId="285278B7" w14:textId="77777777" w:rsidR="003E3D07" w:rsidRDefault="003E3D07">
            <w:pPr>
              <w:pStyle w:val="TableText"/>
              <w:rPr>
                <w:rFonts w:eastAsia="Symbol"/>
              </w:rPr>
            </w:pPr>
            <w:r>
              <w:rPr>
                <w:rFonts w:eastAsia="Symbol"/>
              </w:rPr>
              <w:t>AGE(w)</w:t>
            </w:r>
          </w:p>
        </w:tc>
      </w:tr>
      <w:tr w:rsidR="00824338" w14:paraId="2E30B754" w14:textId="77777777">
        <w:tblPrEx>
          <w:tblBorders>
            <w:insideH w:val="single" w:sz="4" w:space="0" w:color="auto"/>
            <w:insideV w:val="single" w:sz="4" w:space="0" w:color="auto"/>
          </w:tblBorders>
        </w:tblPrEx>
        <w:tc>
          <w:tcPr>
            <w:tcW w:w="1253" w:type="dxa"/>
            <w:shd w:val="clear" w:color="auto" w:fill="auto"/>
          </w:tcPr>
          <w:p w14:paraId="04183CC1" w14:textId="77777777" w:rsidR="003E3D07" w:rsidRDefault="003E3D07">
            <w:pPr>
              <w:pStyle w:val="TableText"/>
              <w:rPr>
                <w:rFonts w:eastAsia="Symbol"/>
              </w:rPr>
            </w:pPr>
            <w:r>
              <w:t>Anti-V</w:t>
            </w:r>
          </w:p>
        </w:tc>
        <w:tc>
          <w:tcPr>
            <w:tcW w:w="1253" w:type="dxa"/>
            <w:shd w:val="clear" w:color="auto" w:fill="auto"/>
          </w:tcPr>
          <w:p w14:paraId="30DF5E67" w14:textId="77777777" w:rsidR="003E3D07" w:rsidRDefault="003E3D07">
            <w:pPr>
              <w:pStyle w:val="TableText"/>
            </w:pPr>
            <w:r>
              <w:t>Anti-V</w:t>
            </w:r>
          </w:p>
        </w:tc>
        <w:tc>
          <w:tcPr>
            <w:tcW w:w="878" w:type="dxa"/>
            <w:shd w:val="clear" w:color="auto" w:fill="auto"/>
          </w:tcPr>
          <w:p w14:paraId="0435684B" w14:textId="77777777" w:rsidR="003E3D07" w:rsidRDefault="003E3D07">
            <w:pPr>
              <w:pStyle w:val="TableText"/>
            </w:pPr>
            <w:r>
              <w:rPr>
                <w:bCs/>
              </w:rPr>
              <w:t>Yes</w:t>
            </w:r>
          </w:p>
        </w:tc>
        <w:tc>
          <w:tcPr>
            <w:tcW w:w="878" w:type="dxa"/>
            <w:shd w:val="clear" w:color="auto" w:fill="auto"/>
          </w:tcPr>
          <w:p w14:paraId="0FEEB4AE" w14:textId="77777777" w:rsidR="003E3D07" w:rsidRDefault="003E3D07">
            <w:pPr>
              <w:pStyle w:val="TableText"/>
              <w:rPr>
                <w:rFonts w:eastAsia="Symbol"/>
              </w:rPr>
            </w:pPr>
            <w:r>
              <w:t>Optional</w:t>
            </w:r>
          </w:p>
        </w:tc>
        <w:tc>
          <w:tcPr>
            <w:tcW w:w="1253" w:type="dxa"/>
            <w:shd w:val="clear" w:color="auto" w:fill="auto"/>
          </w:tcPr>
          <w:p w14:paraId="539629DD" w14:textId="77777777" w:rsidR="003E3D07" w:rsidRDefault="003E3D07">
            <w:pPr>
              <w:pStyle w:val="TableText"/>
              <w:rPr>
                <w:rFonts w:eastAsia="Symbol"/>
              </w:rPr>
            </w:pPr>
            <w:r>
              <w:t>V</w:t>
            </w:r>
          </w:p>
        </w:tc>
        <w:tc>
          <w:tcPr>
            <w:tcW w:w="1253" w:type="dxa"/>
            <w:shd w:val="clear" w:color="auto" w:fill="auto"/>
          </w:tcPr>
          <w:p w14:paraId="42D0D508" w14:textId="77777777" w:rsidR="003E3D07" w:rsidRDefault="003E3D07">
            <w:pPr>
              <w:pStyle w:val="TableText"/>
              <w:rPr>
                <w:rFonts w:eastAsia="Symbol"/>
              </w:rPr>
            </w:pPr>
            <w:r>
              <w:t>V</w:t>
            </w:r>
          </w:p>
        </w:tc>
        <w:tc>
          <w:tcPr>
            <w:tcW w:w="1296" w:type="dxa"/>
            <w:shd w:val="clear" w:color="auto" w:fill="auto"/>
          </w:tcPr>
          <w:p w14:paraId="60897443" w14:textId="77777777" w:rsidR="003E3D07" w:rsidRDefault="003E3D07">
            <w:pPr>
              <w:pStyle w:val="TableText"/>
              <w:rPr>
                <w:rFonts w:eastAsia="Symbol"/>
              </w:rPr>
            </w:pPr>
            <w:r>
              <w:t>85</w:t>
            </w:r>
          </w:p>
        </w:tc>
        <w:tc>
          <w:tcPr>
            <w:tcW w:w="1296" w:type="dxa"/>
            <w:shd w:val="clear" w:color="auto" w:fill="auto"/>
          </w:tcPr>
          <w:p w14:paraId="143E1ECF" w14:textId="77777777" w:rsidR="003E3D07" w:rsidRDefault="003E3D07">
            <w:pPr>
              <w:pStyle w:val="TableText"/>
              <w:rPr>
                <w:rFonts w:eastAsia="Symbol"/>
              </w:rPr>
            </w:pPr>
            <w:r>
              <w:rPr>
                <w:rFonts w:eastAsia="Symbol"/>
              </w:rPr>
              <w:t>AGV</w:t>
            </w:r>
          </w:p>
        </w:tc>
      </w:tr>
      <w:tr w:rsidR="00824338" w14:paraId="50219277" w14:textId="77777777">
        <w:tblPrEx>
          <w:tblBorders>
            <w:insideH w:val="single" w:sz="4" w:space="0" w:color="auto"/>
            <w:insideV w:val="single" w:sz="4" w:space="0" w:color="auto"/>
          </w:tblBorders>
        </w:tblPrEx>
        <w:tc>
          <w:tcPr>
            <w:tcW w:w="1253" w:type="dxa"/>
            <w:shd w:val="clear" w:color="auto" w:fill="auto"/>
          </w:tcPr>
          <w:p w14:paraId="1DF5D9F9" w14:textId="77777777" w:rsidR="003E3D07" w:rsidRDefault="003E3D07">
            <w:pPr>
              <w:pStyle w:val="TableText"/>
              <w:rPr>
                <w:rFonts w:eastAsia="Symbol"/>
              </w:rPr>
            </w:pPr>
            <w:r>
              <w:t>Anti-Xg(a)</w:t>
            </w:r>
          </w:p>
        </w:tc>
        <w:tc>
          <w:tcPr>
            <w:tcW w:w="1253" w:type="dxa"/>
            <w:shd w:val="clear" w:color="auto" w:fill="auto"/>
          </w:tcPr>
          <w:p w14:paraId="7BB7F1BB" w14:textId="77777777" w:rsidR="003E3D07" w:rsidRDefault="003E3D07">
            <w:pPr>
              <w:pStyle w:val="TableText"/>
            </w:pPr>
            <w:r>
              <w:t>Anti-Xg(a)</w:t>
            </w:r>
          </w:p>
        </w:tc>
        <w:tc>
          <w:tcPr>
            <w:tcW w:w="878" w:type="dxa"/>
            <w:shd w:val="clear" w:color="auto" w:fill="auto"/>
          </w:tcPr>
          <w:p w14:paraId="5AC18FB0" w14:textId="77777777" w:rsidR="003E3D07" w:rsidRDefault="003E3D07">
            <w:pPr>
              <w:pStyle w:val="TableText"/>
            </w:pPr>
            <w:r>
              <w:t>No</w:t>
            </w:r>
          </w:p>
        </w:tc>
        <w:tc>
          <w:tcPr>
            <w:tcW w:w="878" w:type="dxa"/>
            <w:shd w:val="clear" w:color="auto" w:fill="auto"/>
          </w:tcPr>
          <w:p w14:paraId="4EB23D69" w14:textId="77777777" w:rsidR="003E3D07" w:rsidRDefault="003E3D07">
            <w:pPr>
              <w:pStyle w:val="TableText"/>
              <w:rPr>
                <w:rFonts w:eastAsia="Symbol"/>
              </w:rPr>
            </w:pPr>
            <w:r>
              <w:t>Optional</w:t>
            </w:r>
          </w:p>
        </w:tc>
        <w:tc>
          <w:tcPr>
            <w:tcW w:w="1253" w:type="dxa"/>
            <w:shd w:val="clear" w:color="auto" w:fill="auto"/>
          </w:tcPr>
          <w:p w14:paraId="26EAC342" w14:textId="77777777" w:rsidR="003E3D07" w:rsidRDefault="003E3D07">
            <w:pPr>
              <w:pStyle w:val="TableText"/>
              <w:rPr>
                <w:rFonts w:eastAsia="Symbol"/>
              </w:rPr>
            </w:pPr>
            <w:r>
              <w:t>Xg(a)</w:t>
            </w:r>
          </w:p>
        </w:tc>
        <w:tc>
          <w:tcPr>
            <w:tcW w:w="1253" w:type="dxa"/>
            <w:shd w:val="clear" w:color="auto" w:fill="auto"/>
          </w:tcPr>
          <w:p w14:paraId="175173DA" w14:textId="77777777" w:rsidR="003E3D07" w:rsidRDefault="003E3D07">
            <w:pPr>
              <w:pStyle w:val="TableText"/>
            </w:pPr>
            <w:r>
              <w:t>Xg(a)</w:t>
            </w:r>
          </w:p>
        </w:tc>
        <w:tc>
          <w:tcPr>
            <w:tcW w:w="1296" w:type="dxa"/>
            <w:shd w:val="clear" w:color="auto" w:fill="auto"/>
          </w:tcPr>
          <w:p w14:paraId="2AD62081" w14:textId="77777777" w:rsidR="003E3D07" w:rsidRDefault="003E3D07">
            <w:pPr>
              <w:pStyle w:val="TableText"/>
              <w:rPr>
                <w:rFonts w:eastAsia="Symbol"/>
              </w:rPr>
            </w:pPr>
            <w:r>
              <w:t>25</w:t>
            </w:r>
          </w:p>
        </w:tc>
        <w:tc>
          <w:tcPr>
            <w:tcW w:w="1296" w:type="dxa"/>
            <w:shd w:val="clear" w:color="auto" w:fill="auto"/>
          </w:tcPr>
          <w:p w14:paraId="73A9B214" w14:textId="77777777" w:rsidR="003E3D07" w:rsidRDefault="003E3D07">
            <w:pPr>
              <w:pStyle w:val="TableText"/>
              <w:rPr>
                <w:rFonts w:eastAsia="Symbol"/>
              </w:rPr>
            </w:pPr>
            <w:r>
              <w:t>AGXg(a)</w:t>
            </w:r>
          </w:p>
        </w:tc>
      </w:tr>
      <w:tr w:rsidR="00824338" w14:paraId="64BF1E51" w14:textId="77777777">
        <w:tblPrEx>
          <w:tblBorders>
            <w:insideH w:val="single" w:sz="4" w:space="0" w:color="auto"/>
            <w:insideV w:val="single" w:sz="4" w:space="0" w:color="auto"/>
          </w:tblBorders>
        </w:tblPrEx>
        <w:tc>
          <w:tcPr>
            <w:tcW w:w="1253" w:type="dxa"/>
            <w:shd w:val="clear" w:color="auto" w:fill="auto"/>
          </w:tcPr>
          <w:p w14:paraId="32FCB9F8" w14:textId="77777777" w:rsidR="003E3D07" w:rsidRDefault="003E3D07">
            <w:pPr>
              <w:pStyle w:val="TableText"/>
              <w:rPr>
                <w:rFonts w:eastAsia="Symbol"/>
              </w:rPr>
            </w:pPr>
            <w:r>
              <w:t>Anti-M(g)</w:t>
            </w:r>
          </w:p>
        </w:tc>
        <w:tc>
          <w:tcPr>
            <w:tcW w:w="1253" w:type="dxa"/>
            <w:shd w:val="clear" w:color="auto" w:fill="auto"/>
          </w:tcPr>
          <w:p w14:paraId="247737A9" w14:textId="77777777" w:rsidR="003E3D07" w:rsidRDefault="003E3D07">
            <w:pPr>
              <w:pStyle w:val="TableText"/>
            </w:pPr>
            <w:r>
              <w:t>Anti-M(g)</w:t>
            </w:r>
          </w:p>
        </w:tc>
        <w:tc>
          <w:tcPr>
            <w:tcW w:w="878" w:type="dxa"/>
            <w:shd w:val="clear" w:color="auto" w:fill="auto"/>
          </w:tcPr>
          <w:p w14:paraId="0C9F1CB3" w14:textId="77777777" w:rsidR="003E3D07" w:rsidRDefault="003E3D07">
            <w:pPr>
              <w:pStyle w:val="TableText"/>
            </w:pPr>
            <w:r>
              <w:t>No</w:t>
            </w:r>
          </w:p>
        </w:tc>
        <w:tc>
          <w:tcPr>
            <w:tcW w:w="878" w:type="dxa"/>
            <w:shd w:val="clear" w:color="auto" w:fill="auto"/>
          </w:tcPr>
          <w:p w14:paraId="4F1CAB62" w14:textId="77777777" w:rsidR="003E3D07" w:rsidRDefault="003E3D07">
            <w:pPr>
              <w:pStyle w:val="TableText"/>
              <w:rPr>
                <w:rFonts w:eastAsia="Symbol"/>
              </w:rPr>
            </w:pPr>
            <w:r>
              <w:t>Optional</w:t>
            </w:r>
          </w:p>
        </w:tc>
        <w:tc>
          <w:tcPr>
            <w:tcW w:w="1253" w:type="dxa"/>
            <w:shd w:val="clear" w:color="auto" w:fill="auto"/>
          </w:tcPr>
          <w:p w14:paraId="19E7BCD3" w14:textId="77777777" w:rsidR="003E3D07" w:rsidRDefault="003E3D07">
            <w:pPr>
              <w:pStyle w:val="TableText"/>
              <w:rPr>
                <w:rFonts w:eastAsia="Symbol"/>
              </w:rPr>
            </w:pPr>
            <w:r>
              <w:t>M(g)</w:t>
            </w:r>
          </w:p>
        </w:tc>
        <w:tc>
          <w:tcPr>
            <w:tcW w:w="1253" w:type="dxa"/>
            <w:shd w:val="clear" w:color="auto" w:fill="auto"/>
          </w:tcPr>
          <w:p w14:paraId="6A43A58B" w14:textId="77777777" w:rsidR="003E3D07" w:rsidRDefault="003E3D07">
            <w:pPr>
              <w:pStyle w:val="TableText"/>
              <w:rPr>
                <w:rFonts w:eastAsia="Symbol"/>
              </w:rPr>
            </w:pPr>
            <w:r>
              <w:t>M(g)</w:t>
            </w:r>
          </w:p>
        </w:tc>
        <w:tc>
          <w:tcPr>
            <w:tcW w:w="1296" w:type="dxa"/>
            <w:shd w:val="clear" w:color="auto" w:fill="auto"/>
          </w:tcPr>
          <w:p w14:paraId="4032BCDB" w14:textId="77777777" w:rsidR="003E3D07" w:rsidRDefault="003E3D07">
            <w:pPr>
              <w:pStyle w:val="TableText"/>
              <w:rPr>
                <w:rFonts w:eastAsia="Symbol"/>
              </w:rPr>
            </w:pPr>
            <w:r>
              <w:rPr>
                <w:rFonts w:eastAsia="Symbol"/>
              </w:rPr>
              <w:t>99</w:t>
            </w:r>
          </w:p>
        </w:tc>
        <w:tc>
          <w:tcPr>
            <w:tcW w:w="1296" w:type="dxa"/>
            <w:shd w:val="clear" w:color="auto" w:fill="auto"/>
          </w:tcPr>
          <w:p w14:paraId="758404F5" w14:textId="77777777" w:rsidR="003E3D07" w:rsidRDefault="003E3D07">
            <w:pPr>
              <w:pStyle w:val="TableText"/>
              <w:rPr>
                <w:rFonts w:eastAsia="Symbol"/>
              </w:rPr>
            </w:pPr>
            <w:r>
              <w:rPr>
                <w:rFonts w:eastAsia="Symbol"/>
              </w:rPr>
              <w:t>AGM(g)</w:t>
            </w:r>
          </w:p>
        </w:tc>
      </w:tr>
      <w:tr w:rsidR="00824338" w14:paraId="71D46994" w14:textId="77777777">
        <w:tblPrEx>
          <w:tblBorders>
            <w:insideH w:val="single" w:sz="4" w:space="0" w:color="auto"/>
            <w:insideV w:val="single" w:sz="4" w:space="0" w:color="auto"/>
          </w:tblBorders>
        </w:tblPrEx>
        <w:tc>
          <w:tcPr>
            <w:tcW w:w="1253" w:type="dxa"/>
            <w:shd w:val="clear" w:color="auto" w:fill="auto"/>
          </w:tcPr>
          <w:p w14:paraId="12FAF83F" w14:textId="77777777" w:rsidR="003E3D07" w:rsidRDefault="003E3D07">
            <w:pPr>
              <w:pStyle w:val="TableText"/>
              <w:rPr>
                <w:rFonts w:eastAsia="Symbol"/>
              </w:rPr>
            </w:pPr>
            <w:r>
              <w:t>Anti-Mi(a)</w:t>
            </w:r>
          </w:p>
        </w:tc>
        <w:tc>
          <w:tcPr>
            <w:tcW w:w="1253" w:type="dxa"/>
            <w:shd w:val="clear" w:color="auto" w:fill="auto"/>
          </w:tcPr>
          <w:p w14:paraId="4112552A" w14:textId="77777777" w:rsidR="003E3D07" w:rsidRDefault="003E3D07">
            <w:pPr>
              <w:pStyle w:val="TableText"/>
            </w:pPr>
            <w:r>
              <w:t>Anti-Mi(a)</w:t>
            </w:r>
          </w:p>
        </w:tc>
        <w:tc>
          <w:tcPr>
            <w:tcW w:w="878" w:type="dxa"/>
            <w:shd w:val="clear" w:color="auto" w:fill="auto"/>
          </w:tcPr>
          <w:p w14:paraId="775A02A6" w14:textId="77777777" w:rsidR="003E3D07" w:rsidRDefault="003E3D07">
            <w:pPr>
              <w:pStyle w:val="TableText"/>
            </w:pPr>
            <w:r>
              <w:t>No</w:t>
            </w:r>
          </w:p>
        </w:tc>
        <w:tc>
          <w:tcPr>
            <w:tcW w:w="878" w:type="dxa"/>
            <w:shd w:val="clear" w:color="auto" w:fill="auto"/>
          </w:tcPr>
          <w:p w14:paraId="532484B4" w14:textId="77777777" w:rsidR="003E3D07" w:rsidRDefault="003E3D07">
            <w:pPr>
              <w:pStyle w:val="TableText"/>
              <w:rPr>
                <w:rFonts w:eastAsia="Symbol"/>
              </w:rPr>
            </w:pPr>
            <w:r>
              <w:t>Optional</w:t>
            </w:r>
          </w:p>
        </w:tc>
        <w:tc>
          <w:tcPr>
            <w:tcW w:w="1253" w:type="dxa"/>
            <w:shd w:val="clear" w:color="auto" w:fill="auto"/>
          </w:tcPr>
          <w:p w14:paraId="3B03C488" w14:textId="77777777" w:rsidR="003E3D07" w:rsidRDefault="003E3D07">
            <w:pPr>
              <w:pStyle w:val="TableText"/>
              <w:rPr>
                <w:rFonts w:eastAsia="Symbol"/>
              </w:rPr>
            </w:pPr>
            <w:r>
              <w:t>Mi(a)</w:t>
            </w:r>
          </w:p>
        </w:tc>
        <w:tc>
          <w:tcPr>
            <w:tcW w:w="1253" w:type="dxa"/>
            <w:shd w:val="clear" w:color="auto" w:fill="auto"/>
          </w:tcPr>
          <w:p w14:paraId="1A9778C4" w14:textId="77777777" w:rsidR="003E3D07" w:rsidRDefault="003E3D07">
            <w:pPr>
              <w:pStyle w:val="TableText"/>
              <w:rPr>
                <w:rFonts w:eastAsia="Symbol"/>
              </w:rPr>
            </w:pPr>
            <w:r>
              <w:t>Mi(a)</w:t>
            </w:r>
          </w:p>
        </w:tc>
        <w:tc>
          <w:tcPr>
            <w:tcW w:w="1296" w:type="dxa"/>
            <w:shd w:val="clear" w:color="auto" w:fill="auto"/>
          </w:tcPr>
          <w:p w14:paraId="4000A522" w14:textId="77777777" w:rsidR="003E3D07" w:rsidRDefault="003E3D07">
            <w:pPr>
              <w:pStyle w:val="TableText"/>
              <w:rPr>
                <w:rFonts w:eastAsia="Symbol"/>
              </w:rPr>
            </w:pPr>
            <w:r>
              <w:rPr>
                <w:rFonts w:eastAsia="Symbol"/>
              </w:rPr>
              <w:t>99</w:t>
            </w:r>
          </w:p>
        </w:tc>
        <w:tc>
          <w:tcPr>
            <w:tcW w:w="1296" w:type="dxa"/>
            <w:shd w:val="clear" w:color="auto" w:fill="auto"/>
          </w:tcPr>
          <w:p w14:paraId="73CBF073" w14:textId="77777777" w:rsidR="003E3D07" w:rsidRDefault="003E3D07">
            <w:pPr>
              <w:pStyle w:val="TableText"/>
              <w:rPr>
                <w:rFonts w:eastAsia="Symbol"/>
              </w:rPr>
            </w:pPr>
            <w:r>
              <w:rPr>
                <w:rFonts w:eastAsia="Symbol"/>
              </w:rPr>
              <w:t>AGMi(a)</w:t>
            </w:r>
          </w:p>
        </w:tc>
      </w:tr>
      <w:tr w:rsidR="00824338" w14:paraId="4907B9C4" w14:textId="77777777">
        <w:tblPrEx>
          <w:tblBorders>
            <w:insideH w:val="single" w:sz="4" w:space="0" w:color="auto"/>
            <w:insideV w:val="single" w:sz="4" w:space="0" w:color="auto"/>
          </w:tblBorders>
        </w:tblPrEx>
        <w:tc>
          <w:tcPr>
            <w:tcW w:w="1253" w:type="dxa"/>
            <w:shd w:val="clear" w:color="auto" w:fill="auto"/>
          </w:tcPr>
          <w:p w14:paraId="7CE35211" w14:textId="77777777" w:rsidR="003E3D07" w:rsidRDefault="003E3D07">
            <w:pPr>
              <w:pStyle w:val="TableText"/>
              <w:rPr>
                <w:rFonts w:eastAsia="Symbol"/>
              </w:rPr>
            </w:pPr>
            <w:r>
              <w:t>Anti-P</w:t>
            </w:r>
          </w:p>
        </w:tc>
        <w:tc>
          <w:tcPr>
            <w:tcW w:w="1253" w:type="dxa"/>
            <w:shd w:val="clear" w:color="auto" w:fill="auto"/>
          </w:tcPr>
          <w:p w14:paraId="37D04765" w14:textId="77777777" w:rsidR="003E3D07" w:rsidRDefault="003E3D07">
            <w:pPr>
              <w:pStyle w:val="TableText"/>
            </w:pPr>
            <w:r>
              <w:t>Anti-P</w:t>
            </w:r>
          </w:p>
        </w:tc>
        <w:tc>
          <w:tcPr>
            <w:tcW w:w="878" w:type="dxa"/>
            <w:shd w:val="clear" w:color="auto" w:fill="auto"/>
          </w:tcPr>
          <w:p w14:paraId="4C4FB2DA" w14:textId="77777777" w:rsidR="003E3D07" w:rsidRDefault="003E3D07">
            <w:pPr>
              <w:pStyle w:val="TableText"/>
            </w:pPr>
            <w:r>
              <w:t>No</w:t>
            </w:r>
          </w:p>
        </w:tc>
        <w:tc>
          <w:tcPr>
            <w:tcW w:w="878" w:type="dxa"/>
            <w:shd w:val="clear" w:color="auto" w:fill="auto"/>
          </w:tcPr>
          <w:p w14:paraId="288D21C6" w14:textId="77777777" w:rsidR="003E3D07" w:rsidRDefault="003E3D07">
            <w:pPr>
              <w:pStyle w:val="TableText"/>
              <w:rPr>
                <w:rFonts w:eastAsia="Symbol"/>
              </w:rPr>
            </w:pPr>
            <w:r>
              <w:t>Optional</w:t>
            </w:r>
          </w:p>
        </w:tc>
        <w:tc>
          <w:tcPr>
            <w:tcW w:w="1253" w:type="dxa"/>
            <w:shd w:val="clear" w:color="auto" w:fill="auto"/>
          </w:tcPr>
          <w:p w14:paraId="495574D5" w14:textId="77777777" w:rsidR="003E3D07" w:rsidRDefault="003E3D07">
            <w:pPr>
              <w:pStyle w:val="TableText"/>
              <w:rPr>
                <w:rFonts w:eastAsia="Symbol"/>
              </w:rPr>
            </w:pPr>
            <w:r>
              <w:t>P</w:t>
            </w:r>
          </w:p>
        </w:tc>
        <w:tc>
          <w:tcPr>
            <w:tcW w:w="1253" w:type="dxa"/>
            <w:shd w:val="clear" w:color="auto" w:fill="auto"/>
          </w:tcPr>
          <w:p w14:paraId="6E6FE94A" w14:textId="77777777" w:rsidR="003E3D07" w:rsidRDefault="003E3D07">
            <w:pPr>
              <w:pStyle w:val="TableText"/>
              <w:rPr>
                <w:rFonts w:eastAsia="Symbol"/>
              </w:rPr>
            </w:pPr>
            <w:r>
              <w:t>P (not otherwise specified)</w:t>
            </w:r>
          </w:p>
        </w:tc>
        <w:tc>
          <w:tcPr>
            <w:tcW w:w="1296" w:type="dxa"/>
            <w:shd w:val="clear" w:color="auto" w:fill="auto"/>
          </w:tcPr>
          <w:p w14:paraId="5655BAE3" w14:textId="77777777" w:rsidR="003E3D07" w:rsidRDefault="003E3D07">
            <w:pPr>
              <w:pStyle w:val="TableText"/>
              <w:rPr>
                <w:rFonts w:eastAsia="Symbol"/>
              </w:rPr>
            </w:pPr>
            <w:r>
              <w:rPr>
                <w:rFonts w:eastAsia="Symbol"/>
              </w:rPr>
              <w:t>25</w:t>
            </w:r>
          </w:p>
        </w:tc>
        <w:tc>
          <w:tcPr>
            <w:tcW w:w="1296" w:type="dxa"/>
            <w:shd w:val="clear" w:color="auto" w:fill="auto"/>
          </w:tcPr>
          <w:p w14:paraId="31EF6BCF" w14:textId="77777777" w:rsidR="003E3D07" w:rsidRDefault="003E3D07">
            <w:pPr>
              <w:pStyle w:val="TableText"/>
              <w:rPr>
                <w:rFonts w:eastAsia="Symbol"/>
              </w:rPr>
            </w:pPr>
            <w:r>
              <w:t>AGP</w:t>
            </w:r>
          </w:p>
        </w:tc>
      </w:tr>
      <w:tr w:rsidR="00824338" w14:paraId="5FB98875" w14:textId="77777777">
        <w:tblPrEx>
          <w:tblBorders>
            <w:insideH w:val="single" w:sz="4" w:space="0" w:color="auto"/>
            <w:insideV w:val="single" w:sz="4" w:space="0" w:color="auto"/>
          </w:tblBorders>
        </w:tblPrEx>
        <w:tc>
          <w:tcPr>
            <w:tcW w:w="1253" w:type="dxa"/>
            <w:shd w:val="clear" w:color="auto" w:fill="auto"/>
          </w:tcPr>
          <w:p w14:paraId="486E7EAD" w14:textId="77777777" w:rsidR="003E3D07" w:rsidRDefault="003E3D07">
            <w:pPr>
              <w:pStyle w:val="TableText"/>
              <w:rPr>
                <w:rFonts w:eastAsia="Symbol"/>
              </w:rPr>
            </w:pPr>
            <w:r>
              <w:t>Anti-A1</w:t>
            </w:r>
          </w:p>
        </w:tc>
        <w:tc>
          <w:tcPr>
            <w:tcW w:w="1253" w:type="dxa"/>
            <w:shd w:val="clear" w:color="auto" w:fill="auto"/>
          </w:tcPr>
          <w:p w14:paraId="51FE90F5" w14:textId="77777777" w:rsidR="003E3D07" w:rsidRDefault="003E3D07">
            <w:pPr>
              <w:pStyle w:val="TableText"/>
            </w:pPr>
            <w:r>
              <w:t>Anti-A-1</w:t>
            </w:r>
          </w:p>
        </w:tc>
        <w:tc>
          <w:tcPr>
            <w:tcW w:w="878" w:type="dxa"/>
            <w:shd w:val="clear" w:color="auto" w:fill="auto"/>
          </w:tcPr>
          <w:p w14:paraId="2E0BE63D" w14:textId="77777777" w:rsidR="003E3D07" w:rsidRDefault="003E3D07">
            <w:pPr>
              <w:pStyle w:val="TableText"/>
            </w:pPr>
            <w:r>
              <w:t>No</w:t>
            </w:r>
          </w:p>
        </w:tc>
        <w:tc>
          <w:tcPr>
            <w:tcW w:w="878" w:type="dxa"/>
            <w:shd w:val="clear" w:color="auto" w:fill="auto"/>
          </w:tcPr>
          <w:p w14:paraId="198C86D5" w14:textId="77777777" w:rsidR="003E3D07" w:rsidRDefault="003E3D07">
            <w:pPr>
              <w:pStyle w:val="TableText"/>
              <w:rPr>
                <w:rFonts w:eastAsia="Symbol"/>
              </w:rPr>
            </w:pPr>
            <w:r>
              <w:t>Optional</w:t>
            </w:r>
          </w:p>
        </w:tc>
        <w:tc>
          <w:tcPr>
            <w:tcW w:w="1253" w:type="dxa"/>
            <w:shd w:val="clear" w:color="auto" w:fill="auto"/>
          </w:tcPr>
          <w:p w14:paraId="3F1D5699" w14:textId="77777777" w:rsidR="003E3D07" w:rsidRDefault="003E3D07">
            <w:pPr>
              <w:pStyle w:val="TableText"/>
              <w:rPr>
                <w:rFonts w:eastAsia="Symbol"/>
              </w:rPr>
            </w:pPr>
            <w:r>
              <w:t>A1</w:t>
            </w:r>
          </w:p>
        </w:tc>
        <w:tc>
          <w:tcPr>
            <w:tcW w:w="1253" w:type="dxa"/>
            <w:shd w:val="clear" w:color="auto" w:fill="auto"/>
          </w:tcPr>
          <w:p w14:paraId="638FEE6B" w14:textId="77777777" w:rsidR="003E3D07" w:rsidRDefault="003E3D07">
            <w:pPr>
              <w:pStyle w:val="TableText"/>
              <w:rPr>
                <w:rFonts w:eastAsia="Symbol"/>
              </w:rPr>
            </w:pPr>
            <w:r>
              <w:t>A-1</w:t>
            </w:r>
          </w:p>
        </w:tc>
        <w:tc>
          <w:tcPr>
            <w:tcW w:w="1296" w:type="dxa"/>
            <w:shd w:val="clear" w:color="auto" w:fill="auto"/>
          </w:tcPr>
          <w:p w14:paraId="23BA599C" w14:textId="77777777" w:rsidR="003E3D07" w:rsidRDefault="003E3D07">
            <w:pPr>
              <w:pStyle w:val="TableText"/>
              <w:rPr>
                <w:rFonts w:eastAsia="Symbol"/>
              </w:rPr>
            </w:pPr>
            <w:r>
              <w:rPr>
                <w:rFonts w:eastAsia="Symbol"/>
              </w:rPr>
              <w:t>10</w:t>
            </w:r>
          </w:p>
        </w:tc>
        <w:tc>
          <w:tcPr>
            <w:tcW w:w="1296" w:type="dxa"/>
            <w:shd w:val="clear" w:color="auto" w:fill="auto"/>
          </w:tcPr>
          <w:p w14:paraId="3F0C8E3D" w14:textId="77777777" w:rsidR="003E3D07" w:rsidRDefault="003E3D07">
            <w:pPr>
              <w:pStyle w:val="TableText"/>
              <w:rPr>
                <w:rFonts w:eastAsia="Symbol"/>
              </w:rPr>
            </w:pPr>
            <w:r>
              <w:t>AGA1</w:t>
            </w:r>
          </w:p>
        </w:tc>
      </w:tr>
      <w:tr w:rsidR="00824338" w14:paraId="63C3A7D1" w14:textId="77777777">
        <w:tblPrEx>
          <w:tblBorders>
            <w:insideH w:val="single" w:sz="4" w:space="0" w:color="auto"/>
            <w:insideV w:val="single" w:sz="4" w:space="0" w:color="auto"/>
          </w:tblBorders>
        </w:tblPrEx>
        <w:tc>
          <w:tcPr>
            <w:tcW w:w="1253" w:type="dxa"/>
            <w:shd w:val="clear" w:color="auto" w:fill="auto"/>
          </w:tcPr>
          <w:p w14:paraId="6BB4E996" w14:textId="77777777" w:rsidR="003E3D07" w:rsidRDefault="003E3D07">
            <w:pPr>
              <w:pStyle w:val="TableText"/>
              <w:rPr>
                <w:rFonts w:eastAsia="Symbol"/>
              </w:rPr>
            </w:pPr>
            <w:r>
              <w:lastRenderedPageBreak/>
              <w:t>Anti-H</w:t>
            </w:r>
          </w:p>
        </w:tc>
        <w:tc>
          <w:tcPr>
            <w:tcW w:w="1253" w:type="dxa"/>
            <w:shd w:val="clear" w:color="auto" w:fill="auto"/>
          </w:tcPr>
          <w:p w14:paraId="16720DB7" w14:textId="77777777" w:rsidR="003E3D07" w:rsidRDefault="003E3D07">
            <w:pPr>
              <w:pStyle w:val="TableText"/>
              <w:rPr>
                <w:rFonts w:eastAsia="Symbol"/>
              </w:rPr>
            </w:pPr>
            <w:r>
              <w:t>Anti-H</w:t>
            </w:r>
          </w:p>
        </w:tc>
        <w:tc>
          <w:tcPr>
            <w:tcW w:w="878" w:type="dxa"/>
            <w:shd w:val="clear" w:color="auto" w:fill="auto"/>
          </w:tcPr>
          <w:p w14:paraId="3084E073" w14:textId="77777777" w:rsidR="003E3D07" w:rsidRDefault="003E3D07">
            <w:pPr>
              <w:pStyle w:val="TableText"/>
            </w:pPr>
            <w:r>
              <w:t>No</w:t>
            </w:r>
          </w:p>
        </w:tc>
        <w:tc>
          <w:tcPr>
            <w:tcW w:w="878" w:type="dxa"/>
            <w:shd w:val="clear" w:color="auto" w:fill="auto"/>
          </w:tcPr>
          <w:p w14:paraId="74A373BE" w14:textId="77777777" w:rsidR="003E3D07" w:rsidRDefault="003E3D07">
            <w:pPr>
              <w:pStyle w:val="TableText"/>
              <w:rPr>
                <w:rFonts w:eastAsia="Symbol"/>
              </w:rPr>
            </w:pPr>
            <w:r>
              <w:t>Optional</w:t>
            </w:r>
          </w:p>
        </w:tc>
        <w:tc>
          <w:tcPr>
            <w:tcW w:w="1253" w:type="dxa"/>
            <w:shd w:val="clear" w:color="auto" w:fill="auto"/>
          </w:tcPr>
          <w:p w14:paraId="3D9C234E" w14:textId="77777777" w:rsidR="003E3D07" w:rsidRDefault="003E3D07">
            <w:pPr>
              <w:pStyle w:val="TableText"/>
              <w:rPr>
                <w:rFonts w:eastAsia="Symbol"/>
              </w:rPr>
            </w:pPr>
            <w:r>
              <w:t>H</w:t>
            </w:r>
          </w:p>
        </w:tc>
        <w:tc>
          <w:tcPr>
            <w:tcW w:w="1253" w:type="dxa"/>
            <w:shd w:val="clear" w:color="auto" w:fill="auto"/>
          </w:tcPr>
          <w:p w14:paraId="2A0334BD" w14:textId="77777777" w:rsidR="003E3D07" w:rsidRDefault="003E3D07">
            <w:pPr>
              <w:pStyle w:val="TableText"/>
              <w:rPr>
                <w:rFonts w:eastAsia="Symbol"/>
              </w:rPr>
            </w:pPr>
            <w:r>
              <w:t>H</w:t>
            </w:r>
          </w:p>
        </w:tc>
        <w:tc>
          <w:tcPr>
            <w:tcW w:w="1296" w:type="dxa"/>
            <w:shd w:val="clear" w:color="auto" w:fill="auto"/>
          </w:tcPr>
          <w:p w14:paraId="580B027D" w14:textId="77777777" w:rsidR="003E3D07" w:rsidRDefault="003E3D07">
            <w:pPr>
              <w:pStyle w:val="TableText"/>
              <w:rPr>
                <w:rFonts w:eastAsia="Symbol"/>
              </w:rPr>
            </w:pPr>
            <w:r>
              <w:t>0</w:t>
            </w:r>
          </w:p>
        </w:tc>
        <w:tc>
          <w:tcPr>
            <w:tcW w:w="1296" w:type="dxa"/>
            <w:shd w:val="clear" w:color="auto" w:fill="auto"/>
          </w:tcPr>
          <w:p w14:paraId="396B485B" w14:textId="77777777" w:rsidR="003E3D07" w:rsidRDefault="003E3D07">
            <w:pPr>
              <w:pStyle w:val="TableText"/>
              <w:rPr>
                <w:rFonts w:eastAsia="Symbol"/>
              </w:rPr>
            </w:pPr>
            <w:r>
              <w:rPr>
                <w:rFonts w:eastAsia="Symbol"/>
              </w:rPr>
              <w:t>AGH</w:t>
            </w:r>
          </w:p>
        </w:tc>
      </w:tr>
      <w:tr w:rsidR="00824338" w14:paraId="4C6B89D6" w14:textId="77777777">
        <w:tblPrEx>
          <w:tblBorders>
            <w:insideH w:val="single" w:sz="4" w:space="0" w:color="auto"/>
            <w:insideV w:val="single" w:sz="4" w:space="0" w:color="auto"/>
          </w:tblBorders>
        </w:tblPrEx>
        <w:trPr>
          <w:trHeight w:val="720"/>
        </w:trPr>
        <w:tc>
          <w:tcPr>
            <w:tcW w:w="1253" w:type="dxa"/>
            <w:shd w:val="clear" w:color="auto" w:fill="auto"/>
          </w:tcPr>
          <w:p w14:paraId="6409F82E" w14:textId="77777777" w:rsidR="003E3D07" w:rsidRDefault="003E3D07">
            <w:pPr>
              <w:pStyle w:val="TableText"/>
              <w:rPr>
                <w:rFonts w:eastAsia="Symbol"/>
              </w:rPr>
            </w:pPr>
            <w:r>
              <w:t>Anti-I</w:t>
            </w:r>
          </w:p>
        </w:tc>
        <w:tc>
          <w:tcPr>
            <w:tcW w:w="1253" w:type="dxa"/>
            <w:shd w:val="clear" w:color="auto" w:fill="auto"/>
          </w:tcPr>
          <w:p w14:paraId="6D82F531" w14:textId="77777777" w:rsidR="003E3D07" w:rsidRDefault="003E3D07">
            <w:pPr>
              <w:pStyle w:val="TableText"/>
              <w:rPr>
                <w:rFonts w:eastAsia="Symbol"/>
              </w:rPr>
            </w:pPr>
            <w:r>
              <w:t>Anti-I</w:t>
            </w:r>
          </w:p>
        </w:tc>
        <w:tc>
          <w:tcPr>
            <w:tcW w:w="878" w:type="dxa"/>
            <w:shd w:val="clear" w:color="auto" w:fill="auto"/>
          </w:tcPr>
          <w:p w14:paraId="54055C00" w14:textId="77777777" w:rsidR="003E3D07" w:rsidRDefault="003E3D07">
            <w:pPr>
              <w:pStyle w:val="TableText"/>
            </w:pPr>
            <w:r>
              <w:t>No</w:t>
            </w:r>
          </w:p>
        </w:tc>
        <w:tc>
          <w:tcPr>
            <w:tcW w:w="878" w:type="dxa"/>
            <w:shd w:val="clear" w:color="auto" w:fill="auto"/>
          </w:tcPr>
          <w:p w14:paraId="6CA747EF" w14:textId="77777777" w:rsidR="003E3D07" w:rsidRDefault="003E3D07">
            <w:pPr>
              <w:pStyle w:val="TableText"/>
              <w:rPr>
                <w:rFonts w:eastAsia="Symbol"/>
              </w:rPr>
            </w:pPr>
            <w:r>
              <w:t>No</w:t>
            </w:r>
          </w:p>
        </w:tc>
        <w:tc>
          <w:tcPr>
            <w:tcW w:w="1253" w:type="dxa"/>
            <w:shd w:val="clear" w:color="auto" w:fill="auto"/>
          </w:tcPr>
          <w:p w14:paraId="687F9727" w14:textId="77777777" w:rsidR="003E3D07" w:rsidRDefault="003E3D07">
            <w:pPr>
              <w:pStyle w:val="TableText"/>
              <w:rPr>
                <w:rFonts w:eastAsia="Symbol"/>
              </w:rPr>
            </w:pPr>
            <w:r>
              <w:t>None</w:t>
            </w:r>
          </w:p>
        </w:tc>
        <w:tc>
          <w:tcPr>
            <w:tcW w:w="1253" w:type="dxa"/>
            <w:shd w:val="clear" w:color="auto" w:fill="auto"/>
          </w:tcPr>
          <w:p w14:paraId="01D6B2C6" w14:textId="77777777" w:rsidR="003E3D07" w:rsidRDefault="003E3D07">
            <w:pPr>
              <w:pStyle w:val="TableText"/>
              <w:rPr>
                <w:rFonts w:eastAsia="Symbol"/>
              </w:rPr>
            </w:pPr>
            <w:r>
              <w:t>None</w:t>
            </w:r>
          </w:p>
        </w:tc>
        <w:tc>
          <w:tcPr>
            <w:tcW w:w="1296" w:type="dxa"/>
            <w:shd w:val="clear" w:color="auto" w:fill="auto"/>
          </w:tcPr>
          <w:p w14:paraId="24951638" w14:textId="77777777" w:rsidR="003E3D07" w:rsidRDefault="003E3D07">
            <w:pPr>
              <w:pStyle w:val="TableText"/>
              <w:rPr>
                <w:rFonts w:eastAsia="Symbol"/>
              </w:rPr>
            </w:pPr>
            <w:r>
              <w:t>0</w:t>
            </w:r>
          </w:p>
        </w:tc>
        <w:tc>
          <w:tcPr>
            <w:tcW w:w="1296" w:type="dxa"/>
            <w:vMerge w:val="restart"/>
            <w:shd w:val="clear" w:color="auto" w:fill="auto"/>
          </w:tcPr>
          <w:p w14:paraId="06823658" w14:textId="77777777" w:rsidR="003E3D07" w:rsidRDefault="003E3D07">
            <w:pPr>
              <w:pStyle w:val="TableText"/>
              <w:rPr>
                <w:rFonts w:eastAsia="Symbol"/>
              </w:rPr>
            </w:pPr>
            <w:r>
              <w:rPr>
                <w:rFonts w:eastAsia="Symbol"/>
              </w:rPr>
              <w:t>None</w:t>
            </w:r>
          </w:p>
        </w:tc>
      </w:tr>
      <w:tr w:rsidR="00824338" w14:paraId="0B07AE97" w14:textId="77777777">
        <w:tblPrEx>
          <w:tblBorders>
            <w:insideH w:val="single" w:sz="4" w:space="0" w:color="auto"/>
            <w:insideV w:val="single" w:sz="4" w:space="0" w:color="auto"/>
          </w:tblBorders>
        </w:tblPrEx>
        <w:trPr>
          <w:trHeight w:val="720"/>
        </w:trPr>
        <w:tc>
          <w:tcPr>
            <w:tcW w:w="1253" w:type="dxa"/>
            <w:shd w:val="clear" w:color="auto" w:fill="auto"/>
          </w:tcPr>
          <w:p w14:paraId="5493B59A" w14:textId="77777777" w:rsidR="003E3D07" w:rsidRDefault="003E3D07">
            <w:pPr>
              <w:pStyle w:val="TableText"/>
              <w:rPr>
                <w:rFonts w:eastAsia="Symbol"/>
              </w:rPr>
            </w:pPr>
            <w:r>
              <w:t>Anti-i</w:t>
            </w:r>
          </w:p>
        </w:tc>
        <w:tc>
          <w:tcPr>
            <w:tcW w:w="1253" w:type="dxa"/>
            <w:shd w:val="clear" w:color="auto" w:fill="auto"/>
          </w:tcPr>
          <w:p w14:paraId="41AAAD23" w14:textId="77777777" w:rsidR="003E3D07" w:rsidRDefault="003E3D07">
            <w:pPr>
              <w:pStyle w:val="TableText"/>
              <w:rPr>
                <w:rFonts w:eastAsia="Symbol"/>
              </w:rPr>
            </w:pPr>
            <w:r>
              <w:t>Anti-i</w:t>
            </w:r>
          </w:p>
        </w:tc>
        <w:tc>
          <w:tcPr>
            <w:tcW w:w="878" w:type="dxa"/>
            <w:shd w:val="clear" w:color="auto" w:fill="auto"/>
          </w:tcPr>
          <w:p w14:paraId="4BC0E989" w14:textId="77777777" w:rsidR="003E3D07" w:rsidRDefault="003E3D07">
            <w:pPr>
              <w:pStyle w:val="TableText"/>
            </w:pPr>
            <w:r>
              <w:t>No</w:t>
            </w:r>
          </w:p>
        </w:tc>
        <w:tc>
          <w:tcPr>
            <w:tcW w:w="878" w:type="dxa"/>
            <w:shd w:val="clear" w:color="auto" w:fill="auto"/>
          </w:tcPr>
          <w:p w14:paraId="42CC1419" w14:textId="77777777" w:rsidR="003E3D07" w:rsidRDefault="003E3D07">
            <w:pPr>
              <w:pStyle w:val="TableText"/>
              <w:rPr>
                <w:rFonts w:eastAsia="Symbol"/>
              </w:rPr>
            </w:pPr>
            <w:r>
              <w:t>No</w:t>
            </w:r>
          </w:p>
        </w:tc>
        <w:tc>
          <w:tcPr>
            <w:tcW w:w="1253" w:type="dxa"/>
            <w:shd w:val="clear" w:color="auto" w:fill="auto"/>
          </w:tcPr>
          <w:p w14:paraId="2A2BC911" w14:textId="77777777" w:rsidR="003E3D07" w:rsidRDefault="003E3D07">
            <w:pPr>
              <w:pStyle w:val="TableText"/>
              <w:rPr>
                <w:rFonts w:eastAsia="Symbol"/>
              </w:rPr>
            </w:pPr>
            <w:r>
              <w:t>None</w:t>
            </w:r>
          </w:p>
        </w:tc>
        <w:tc>
          <w:tcPr>
            <w:tcW w:w="1253" w:type="dxa"/>
            <w:shd w:val="clear" w:color="auto" w:fill="auto"/>
          </w:tcPr>
          <w:p w14:paraId="6CCD5DAD" w14:textId="77777777" w:rsidR="003E3D07" w:rsidRDefault="003E3D07">
            <w:pPr>
              <w:pStyle w:val="TableText"/>
              <w:rPr>
                <w:rFonts w:eastAsia="Symbol"/>
              </w:rPr>
            </w:pPr>
            <w:r>
              <w:t>None</w:t>
            </w:r>
          </w:p>
        </w:tc>
        <w:tc>
          <w:tcPr>
            <w:tcW w:w="1296" w:type="dxa"/>
            <w:shd w:val="clear" w:color="auto" w:fill="auto"/>
          </w:tcPr>
          <w:p w14:paraId="1D8FA126" w14:textId="77777777" w:rsidR="003E3D07" w:rsidRDefault="003E3D07">
            <w:pPr>
              <w:pStyle w:val="TableText"/>
              <w:rPr>
                <w:rFonts w:eastAsia="Symbol"/>
              </w:rPr>
            </w:pPr>
            <w:r>
              <w:rPr>
                <w:rFonts w:eastAsia="Symbol"/>
              </w:rPr>
              <w:t>99</w:t>
            </w:r>
          </w:p>
        </w:tc>
        <w:tc>
          <w:tcPr>
            <w:tcW w:w="1296" w:type="dxa"/>
            <w:vMerge/>
            <w:shd w:val="clear" w:color="auto" w:fill="auto"/>
          </w:tcPr>
          <w:p w14:paraId="2A25E67A" w14:textId="77777777" w:rsidR="003E3D07" w:rsidRDefault="003E3D07">
            <w:pPr>
              <w:pStyle w:val="TableText"/>
              <w:rPr>
                <w:rFonts w:eastAsia="Symbol"/>
              </w:rPr>
            </w:pPr>
          </w:p>
        </w:tc>
      </w:tr>
      <w:tr w:rsidR="00824338" w14:paraId="01F2EAB7" w14:textId="77777777">
        <w:tblPrEx>
          <w:tblBorders>
            <w:insideH w:val="single" w:sz="4" w:space="0" w:color="auto"/>
            <w:insideV w:val="single" w:sz="4" w:space="0" w:color="auto"/>
          </w:tblBorders>
        </w:tblPrEx>
        <w:trPr>
          <w:trHeight w:val="720"/>
        </w:trPr>
        <w:tc>
          <w:tcPr>
            <w:tcW w:w="1253" w:type="dxa"/>
            <w:shd w:val="clear" w:color="auto" w:fill="auto"/>
          </w:tcPr>
          <w:p w14:paraId="40C18948" w14:textId="77777777" w:rsidR="003E3D07" w:rsidRDefault="003E3D07">
            <w:pPr>
              <w:pStyle w:val="TableText"/>
            </w:pPr>
            <w:r>
              <w:t>Warm autoantibody</w:t>
            </w:r>
          </w:p>
        </w:tc>
        <w:tc>
          <w:tcPr>
            <w:tcW w:w="1253" w:type="dxa"/>
            <w:shd w:val="clear" w:color="auto" w:fill="auto"/>
          </w:tcPr>
          <w:p w14:paraId="5BBC725C" w14:textId="77777777" w:rsidR="003E3D07" w:rsidRDefault="003E3D07">
            <w:pPr>
              <w:pStyle w:val="TableText"/>
            </w:pPr>
            <w:r>
              <w:t>Warm autoantibody</w:t>
            </w:r>
          </w:p>
        </w:tc>
        <w:tc>
          <w:tcPr>
            <w:tcW w:w="878" w:type="dxa"/>
            <w:shd w:val="clear" w:color="auto" w:fill="auto"/>
          </w:tcPr>
          <w:p w14:paraId="677C2024" w14:textId="77777777" w:rsidR="003E3D07" w:rsidRDefault="003E3D07">
            <w:pPr>
              <w:pStyle w:val="TableText"/>
            </w:pPr>
            <w:r>
              <w:t>Unknown</w:t>
            </w:r>
            <w:r w:rsidR="00F528F3" w:rsidRPr="00191509">
              <w:rPr>
                <w:szCs w:val="18"/>
              </w:rPr>
              <w:t>§</w:t>
            </w:r>
          </w:p>
        </w:tc>
        <w:tc>
          <w:tcPr>
            <w:tcW w:w="878" w:type="dxa"/>
            <w:shd w:val="clear" w:color="auto" w:fill="auto"/>
          </w:tcPr>
          <w:p w14:paraId="1FE9F46D" w14:textId="77777777" w:rsidR="003E3D07" w:rsidRDefault="003E3D07">
            <w:pPr>
              <w:pStyle w:val="TableText"/>
            </w:pPr>
            <w:r>
              <w:t>No</w:t>
            </w:r>
          </w:p>
        </w:tc>
        <w:tc>
          <w:tcPr>
            <w:tcW w:w="1253" w:type="dxa"/>
            <w:shd w:val="clear" w:color="auto" w:fill="auto"/>
          </w:tcPr>
          <w:p w14:paraId="6D52A9ED" w14:textId="77777777" w:rsidR="003E3D07" w:rsidRDefault="003E3D07">
            <w:pPr>
              <w:pStyle w:val="TableText"/>
              <w:rPr>
                <w:rFonts w:eastAsia="Symbol"/>
              </w:rPr>
            </w:pPr>
            <w:r>
              <w:rPr>
                <w:rFonts w:eastAsia="Symbol"/>
              </w:rPr>
              <w:t>None</w:t>
            </w:r>
          </w:p>
        </w:tc>
        <w:tc>
          <w:tcPr>
            <w:tcW w:w="1253" w:type="dxa"/>
            <w:shd w:val="clear" w:color="auto" w:fill="auto"/>
          </w:tcPr>
          <w:p w14:paraId="174DC902" w14:textId="77777777" w:rsidR="003E3D07" w:rsidRDefault="003E3D07">
            <w:pPr>
              <w:pStyle w:val="TableText"/>
              <w:rPr>
                <w:rFonts w:eastAsia="Symbol"/>
              </w:rPr>
            </w:pPr>
            <w:r>
              <w:rPr>
                <w:rFonts w:eastAsia="Symbol"/>
              </w:rPr>
              <w:t>None</w:t>
            </w:r>
          </w:p>
        </w:tc>
        <w:tc>
          <w:tcPr>
            <w:tcW w:w="1296" w:type="dxa"/>
            <w:shd w:val="clear" w:color="auto" w:fill="auto"/>
          </w:tcPr>
          <w:p w14:paraId="1E251863" w14:textId="77777777" w:rsidR="003E3D07" w:rsidRDefault="003E3D07">
            <w:pPr>
              <w:pStyle w:val="TableText"/>
            </w:pPr>
            <w:r>
              <w:rPr>
                <w:rFonts w:eastAsia="Symbol"/>
              </w:rPr>
              <w:t>0</w:t>
            </w:r>
          </w:p>
        </w:tc>
        <w:tc>
          <w:tcPr>
            <w:tcW w:w="1296" w:type="dxa"/>
            <w:vMerge/>
            <w:shd w:val="clear" w:color="auto" w:fill="auto"/>
          </w:tcPr>
          <w:p w14:paraId="10254C75" w14:textId="77777777" w:rsidR="003E3D07" w:rsidRDefault="003E3D07">
            <w:pPr>
              <w:pStyle w:val="TableText"/>
              <w:rPr>
                <w:rFonts w:eastAsia="Symbol"/>
              </w:rPr>
            </w:pPr>
          </w:p>
        </w:tc>
      </w:tr>
      <w:tr w:rsidR="00824338" w14:paraId="0912AA9A" w14:textId="77777777">
        <w:tblPrEx>
          <w:tblBorders>
            <w:insideH w:val="single" w:sz="4" w:space="0" w:color="auto"/>
            <w:insideV w:val="single" w:sz="4" w:space="0" w:color="auto"/>
          </w:tblBorders>
        </w:tblPrEx>
        <w:trPr>
          <w:trHeight w:val="720"/>
        </w:trPr>
        <w:tc>
          <w:tcPr>
            <w:tcW w:w="1253" w:type="dxa"/>
            <w:shd w:val="clear" w:color="auto" w:fill="auto"/>
          </w:tcPr>
          <w:p w14:paraId="5F232986" w14:textId="77777777" w:rsidR="003E3D07" w:rsidRDefault="003E3D07">
            <w:pPr>
              <w:pStyle w:val="TableText"/>
              <w:rPr>
                <w:rFonts w:eastAsia="Symbol"/>
              </w:rPr>
            </w:pPr>
            <w:r>
              <w:t>Cold autoantibody</w:t>
            </w:r>
          </w:p>
        </w:tc>
        <w:tc>
          <w:tcPr>
            <w:tcW w:w="1253" w:type="dxa"/>
            <w:shd w:val="clear" w:color="auto" w:fill="auto"/>
          </w:tcPr>
          <w:p w14:paraId="62FCD89D" w14:textId="77777777" w:rsidR="003E3D07" w:rsidRDefault="003E3D07">
            <w:pPr>
              <w:pStyle w:val="TableText"/>
            </w:pPr>
            <w:r>
              <w:t>Cold autoantibody</w:t>
            </w:r>
          </w:p>
        </w:tc>
        <w:tc>
          <w:tcPr>
            <w:tcW w:w="878" w:type="dxa"/>
            <w:shd w:val="clear" w:color="auto" w:fill="auto"/>
          </w:tcPr>
          <w:p w14:paraId="190EF533" w14:textId="77777777" w:rsidR="003E3D07" w:rsidRDefault="003E3D07">
            <w:pPr>
              <w:pStyle w:val="TableText"/>
            </w:pPr>
            <w:r>
              <w:t>No</w:t>
            </w:r>
          </w:p>
        </w:tc>
        <w:tc>
          <w:tcPr>
            <w:tcW w:w="878" w:type="dxa"/>
            <w:shd w:val="clear" w:color="auto" w:fill="auto"/>
          </w:tcPr>
          <w:p w14:paraId="6DE16A29" w14:textId="77777777" w:rsidR="003E3D07" w:rsidRDefault="003E3D07">
            <w:pPr>
              <w:pStyle w:val="TableText"/>
              <w:rPr>
                <w:rFonts w:eastAsia="Symbol"/>
              </w:rPr>
            </w:pPr>
            <w:r>
              <w:t>No</w:t>
            </w:r>
          </w:p>
        </w:tc>
        <w:tc>
          <w:tcPr>
            <w:tcW w:w="1253" w:type="dxa"/>
            <w:shd w:val="clear" w:color="auto" w:fill="auto"/>
          </w:tcPr>
          <w:p w14:paraId="7BB28F6B" w14:textId="77777777" w:rsidR="003E3D07" w:rsidRDefault="003E3D07">
            <w:pPr>
              <w:pStyle w:val="TableText"/>
              <w:rPr>
                <w:rFonts w:eastAsia="Symbol"/>
              </w:rPr>
            </w:pPr>
            <w:r>
              <w:rPr>
                <w:rFonts w:eastAsia="Symbol"/>
              </w:rPr>
              <w:t>None</w:t>
            </w:r>
          </w:p>
        </w:tc>
        <w:tc>
          <w:tcPr>
            <w:tcW w:w="1253" w:type="dxa"/>
            <w:shd w:val="clear" w:color="auto" w:fill="auto"/>
          </w:tcPr>
          <w:p w14:paraId="0C34E4B3" w14:textId="77777777" w:rsidR="003E3D07" w:rsidRDefault="003E3D07">
            <w:pPr>
              <w:pStyle w:val="TableText"/>
              <w:rPr>
                <w:rFonts w:eastAsia="Symbol"/>
              </w:rPr>
            </w:pPr>
            <w:r>
              <w:rPr>
                <w:rFonts w:eastAsia="Symbol"/>
              </w:rPr>
              <w:t>None</w:t>
            </w:r>
          </w:p>
        </w:tc>
        <w:tc>
          <w:tcPr>
            <w:tcW w:w="1296" w:type="dxa"/>
            <w:shd w:val="clear" w:color="auto" w:fill="auto"/>
          </w:tcPr>
          <w:p w14:paraId="64365EFF" w14:textId="77777777" w:rsidR="003E3D07" w:rsidRDefault="003E3D07">
            <w:pPr>
              <w:pStyle w:val="TableText"/>
              <w:rPr>
                <w:rFonts w:eastAsia="Symbol"/>
              </w:rPr>
            </w:pPr>
            <w:r>
              <w:t>0</w:t>
            </w:r>
          </w:p>
        </w:tc>
        <w:tc>
          <w:tcPr>
            <w:tcW w:w="1296" w:type="dxa"/>
            <w:vMerge/>
            <w:shd w:val="clear" w:color="auto" w:fill="auto"/>
          </w:tcPr>
          <w:p w14:paraId="14E750C7" w14:textId="77777777" w:rsidR="003E3D07" w:rsidRDefault="003E3D07">
            <w:pPr>
              <w:pStyle w:val="TableText"/>
              <w:rPr>
                <w:rFonts w:eastAsia="Symbol"/>
              </w:rPr>
            </w:pPr>
          </w:p>
        </w:tc>
      </w:tr>
      <w:tr w:rsidR="00824338" w14:paraId="0B275F59" w14:textId="77777777">
        <w:tblPrEx>
          <w:tblBorders>
            <w:insideH w:val="single" w:sz="4" w:space="0" w:color="auto"/>
            <w:insideV w:val="single" w:sz="4" w:space="0" w:color="auto"/>
          </w:tblBorders>
        </w:tblPrEx>
        <w:tc>
          <w:tcPr>
            <w:tcW w:w="1253" w:type="dxa"/>
            <w:shd w:val="clear" w:color="auto" w:fill="auto"/>
          </w:tcPr>
          <w:p w14:paraId="2C27944A" w14:textId="77777777" w:rsidR="003E3D07" w:rsidRDefault="003E3D07">
            <w:pPr>
              <w:pStyle w:val="TableText"/>
              <w:rPr>
                <w:rFonts w:eastAsia="Symbol"/>
              </w:rPr>
            </w:pPr>
            <w:r>
              <w:t>Anti-Le(ab)</w:t>
            </w:r>
          </w:p>
        </w:tc>
        <w:tc>
          <w:tcPr>
            <w:tcW w:w="1253" w:type="dxa"/>
            <w:shd w:val="clear" w:color="auto" w:fill="auto"/>
          </w:tcPr>
          <w:p w14:paraId="05709328" w14:textId="77777777" w:rsidR="003E3D07" w:rsidRDefault="003E3D07">
            <w:pPr>
              <w:pStyle w:val="TableText"/>
            </w:pPr>
            <w:r>
              <w:t>Anti-Le(x)</w:t>
            </w:r>
          </w:p>
        </w:tc>
        <w:tc>
          <w:tcPr>
            <w:tcW w:w="878" w:type="dxa"/>
            <w:shd w:val="clear" w:color="auto" w:fill="auto"/>
          </w:tcPr>
          <w:p w14:paraId="4ACA28D1" w14:textId="77777777" w:rsidR="003E3D07" w:rsidRDefault="003E3D07">
            <w:pPr>
              <w:pStyle w:val="TableText"/>
            </w:pPr>
            <w:r>
              <w:t>N</w:t>
            </w:r>
            <w:r w:rsidR="004D0818">
              <w:t>o</w:t>
            </w:r>
          </w:p>
        </w:tc>
        <w:tc>
          <w:tcPr>
            <w:tcW w:w="878" w:type="dxa"/>
            <w:shd w:val="clear" w:color="auto" w:fill="auto"/>
          </w:tcPr>
          <w:p w14:paraId="488CB81C" w14:textId="77777777" w:rsidR="003E3D07" w:rsidRDefault="003E3D07">
            <w:pPr>
              <w:pStyle w:val="TableText"/>
              <w:rPr>
                <w:rFonts w:eastAsia="Symbol"/>
              </w:rPr>
            </w:pPr>
            <w:r>
              <w:t>Optional</w:t>
            </w:r>
          </w:p>
        </w:tc>
        <w:tc>
          <w:tcPr>
            <w:tcW w:w="1253" w:type="dxa"/>
            <w:shd w:val="clear" w:color="auto" w:fill="auto"/>
          </w:tcPr>
          <w:p w14:paraId="597FF05F" w14:textId="77777777" w:rsidR="003E3D07" w:rsidRDefault="003E3D07">
            <w:pPr>
              <w:pStyle w:val="TableText"/>
              <w:rPr>
                <w:rFonts w:eastAsia="Symbol"/>
              </w:rPr>
            </w:pPr>
            <w:r>
              <w:rPr>
                <w:rFonts w:eastAsia="Symbol"/>
              </w:rPr>
              <w:t>Le(a) and Le(b)</w:t>
            </w:r>
          </w:p>
        </w:tc>
        <w:tc>
          <w:tcPr>
            <w:tcW w:w="1253" w:type="dxa"/>
            <w:shd w:val="clear" w:color="auto" w:fill="auto"/>
          </w:tcPr>
          <w:p w14:paraId="1C35636D" w14:textId="77777777" w:rsidR="003E3D07" w:rsidRDefault="003E3D07">
            <w:pPr>
              <w:pStyle w:val="TableText"/>
              <w:rPr>
                <w:rFonts w:eastAsia="Symbol"/>
              </w:rPr>
            </w:pPr>
            <w:r>
              <w:rPr>
                <w:rFonts w:eastAsia="Symbol"/>
              </w:rPr>
              <w:t>None</w:t>
            </w:r>
          </w:p>
        </w:tc>
        <w:tc>
          <w:tcPr>
            <w:tcW w:w="1296" w:type="dxa"/>
            <w:shd w:val="clear" w:color="auto" w:fill="auto"/>
          </w:tcPr>
          <w:p w14:paraId="47340A30" w14:textId="77777777" w:rsidR="003E3D07" w:rsidRDefault="003E3D07">
            <w:pPr>
              <w:pStyle w:val="TableText"/>
              <w:rPr>
                <w:rFonts w:eastAsia="Symbol"/>
              </w:rPr>
            </w:pPr>
            <w:r>
              <w:t>N/A</w:t>
            </w:r>
          </w:p>
        </w:tc>
        <w:tc>
          <w:tcPr>
            <w:tcW w:w="1296" w:type="dxa"/>
            <w:shd w:val="clear" w:color="auto" w:fill="auto"/>
          </w:tcPr>
          <w:p w14:paraId="3277B91E" w14:textId="77777777" w:rsidR="003E3D07" w:rsidRDefault="003E3D07">
            <w:pPr>
              <w:pStyle w:val="TableText"/>
            </w:pPr>
            <w:r>
              <w:t>AGLe(a)</w:t>
            </w:r>
          </w:p>
          <w:p w14:paraId="36057A08" w14:textId="77777777" w:rsidR="003E3D07" w:rsidRDefault="003E3D07">
            <w:pPr>
              <w:pStyle w:val="TableText"/>
              <w:rPr>
                <w:rFonts w:eastAsia="Symbol"/>
              </w:rPr>
            </w:pPr>
            <w:r>
              <w:t>AGLe(b)</w:t>
            </w:r>
          </w:p>
        </w:tc>
      </w:tr>
      <w:tr w:rsidR="00824338" w14:paraId="556A385E" w14:textId="77777777">
        <w:tblPrEx>
          <w:tblBorders>
            <w:insideH w:val="single" w:sz="4" w:space="0" w:color="auto"/>
            <w:insideV w:val="single" w:sz="4" w:space="0" w:color="auto"/>
          </w:tblBorders>
        </w:tblPrEx>
        <w:tc>
          <w:tcPr>
            <w:tcW w:w="1253" w:type="dxa"/>
            <w:shd w:val="clear" w:color="auto" w:fill="auto"/>
          </w:tcPr>
          <w:p w14:paraId="00819607" w14:textId="77777777" w:rsidR="003E3D07" w:rsidRDefault="003E3D07">
            <w:pPr>
              <w:pStyle w:val="TableText"/>
              <w:rPr>
                <w:rFonts w:eastAsia="Symbol"/>
              </w:rPr>
            </w:pPr>
            <w:r>
              <w:t>Anti-Di(a)</w:t>
            </w:r>
          </w:p>
        </w:tc>
        <w:tc>
          <w:tcPr>
            <w:tcW w:w="1253" w:type="dxa"/>
            <w:shd w:val="clear" w:color="auto" w:fill="auto"/>
          </w:tcPr>
          <w:p w14:paraId="066542F8" w14:textId="77777777" w:rsidR="003E3D07" w:rsidRDefault="003E3D07">
            <w:pPr>
              <w:pStyle w:val="TableText"/>
              <w:rPr>
                <w:rFonts w:eastAsia="Symbol"/>
              </w:rPr>
            </w:pPr>
            <w:r>
              <w:t>Anti-Di(a)</w:t>
            </w:r>
          </w:p>
        </w:tc>
        <w:tc>
          <w:tcPr>
            <w:tcW w:w="878" w:type="dxa"/>
            <w:shd w:val="clear" w:color="auto" w:fill="auto"/>
          </w:tcPr>
          <w:p w14:paraId="75C6CEF3" w14:textId="77777777" w:rsidR="003E3D07" w:rsidRDefault="003E3D07">
            <w:pPr>
              <w:pStyle w:val="TableText"/>
            </w:pPr>
            <w:r>
              <w:t>No</w:t>
            </w:r>
          </w:p>
        </w:tc>
        <w:tc>
          <w:tcPr>
            <w:tcW w:w="878" w:type="dxa"/>
            <w:shd w:val="clear" w:color="auto" w:fill="auto"/>
          </w:tcPr>
          <w:p w14:paraId="66FE4814" w14:textId="77777777" w:rsidR="003E3D07" w:rsidRDefault="003E3D07">
            <w:pPr>
              <w:pStyle w:val="TableText"/>
              <w:rPr>
                <w:rFonts w:eastAsia="Symbol"/>
              </w:rPr>
            </w:pPr>
            <w:r>
              <w:t>Optional</w:t>
            </w:r>
          </w:p>
        </w:tc>
        <w:tc>
          <w:tcPr>
            <w:tcW w:w="1253" w:type="dxa"/>
            <w:shd w:val="clear" w:color="auto" w:fill="auto"/>
          </w:tcPr>
          <w:p w14:paraId="44201556" w14:textId="77777777" w:rsidR="003E3D07" w:rsidRDefault="003E3D07">
            <w:pPr>
              <w:pStyle w:val="TableText"/>
              <w:rPr>
                <w:rFonts w:eastAsia="Symbol"/>
              </w:rPr>
            </w:pPr>
            <w:r>
              <w:t>Di(a)</w:t>
            </w:r>
          </w:p>
        </w:tc>
        <w:tc>
          <w:tcPr>
            <w:tcW w:w="1253" w:type="dxa"/>
            <w:shd w:val="clear" w:color="auto" w:fill="auto"/>
          </w:tcPr>
          <w:p w14:paraId="1DDF5791" w14:textId="77777777" w:rsidR="003E3D07" w:rsidRDefault="003E3D07">
            <w:pPr>
              <w:pStyle w:val="TableText"/>
              <w:rPr>
                <w:rFonts w:eastAsia="Symbol"/>
              </w:rPr>
            </w:pPr>
            <w:r>
              <w:t>Di(a)</w:t>
            </w:r>
          </w:p>
        </w:tc>
        <w:tc>
          <w:tcPr>
            <w:tcW w:w="1296" w:type="dxa"/>
            <w:shd w:val="clear" w:color="auto" w:fill="auto"/>
          </w:tcPr>
          <w:p w14:paraId="1C2F088E" w14:textId="77777777" w:rsidR="003E3D07" w:rsidRDefault="003E3D07">
            <w:pPr>
              <w:pStyle w:val="TableText"/>
              <w:rPr>
                <w:rFonts w:eastAsia="Symbol"/>
              </w:rPr>
            </w:pPr>
            <w:r>
              <w:t>0</w:t>
            </w:r>
          </w:p>
        </w:tc>
        <w:tc>
          <w:tcPr>
            <w:tcW w:w="1296" w:type="dxa"/>
            <w:shd w:val="clear" w:color="auto" w:fill="auto"/>
          </w:tcPr>
          <w:p w14:paraId="5367EFE0" w14:textId="77777777" w:rsidR="003E3D07" w:rsidRDefault="003E3D07">
            <w:pPr>
              <w:pStyle w:val="TableText"/>
              <w:rPr>
                <w:rFonts w:eastAsia="Symbol"/>
              </w:rPr>
            </w:pPr>
            <w:r>
              <w:t>AGDi(a)</w:t>
            </w:r>
          </w:p>
        </w:tc>
      </w:tr>
      <w:tr w:rsidR="00824338" w14:paraId="1F99D031" w14:textId="77777777">
        <w:tblPrEx>
          <w:tblBorders>
            <w:insideH w:val="single" w:sz="4" w:space="0" w:color="auto"/>
            <w:insideV w:val="single" w:sz="4" w:space="0" w:color="auto"/>
          </w:tblBorders>
        </w:tblPrEx>
        <w:tc>
          <w:tcPr>
            <w:tcW w:w="1253" w:type="dxa"/>
            <w:shd w:val="clear" w:color="auto" w:fill="auto"/>
          </w:tcPr>
          <w:p w14:paraId="67015FBD" w14:textId="77777777" w:rsidR="003E3D07" w:rsidRDefault="003E3D07">
            <w:pPr>
              <w:pStyle w:val="TableText"/>
              <w:rPr>
                <w:rFonts w:eastAsia="Symbol"/>
              </w:rPr>
            </w:pPr>
            <w:r>
              <w:t>Anti-Di(b)</w:t>
            </w:r>
          </w:p>
        </w:tc>
        <w:tc>
          <w:tcPr>
            <w:tcW w:w="1253" w:type="dxa"/>
            <w:shd w:val="clear" w:color="auto" w:fill="auto"/>
          </w:tcPr>
          <w:p w14:paraId="3AC2BD96" w14:textId="77777777" w:rsidR="003E3D07" w:rsidRDefault="003E3D07">
            <w:pPr>
              <w:pStyle w:val="TableText"/>
              <w:rPr>
                <w:rFonts w:eastAsia="Symbol"/>
              </w:rPr>
            </w:pPr>
            <w:r>
              <w:t>Anti-Di(b)</w:t>
            </w:r>
          </w:p>
        </w:tc>
        <w:tc>
          <w:tcPr>
            <w:tcW w:w="878" w:type="dxa"/>
            <w:shd w:val="clear" w:color="auto" w:fill="auto"/>
          </w:tcPr>
          <w:p w14:paraId="5BEFFADB" w14:textId="77777777" w:rsidR="003E3D07" w:rsidRDefault="003E3D07">
            <w:pPr>
              <w:pStyle w:val="TableText"/>
            </w:pPr>
            <w:r>
              <w:t>No</w:t>
            </w:r>
          </w:p>
        </w:tc>
        <w:tc>
          <w:tcPr>
            <w:tcW w:w="878" w:type="dxa"/>
            <w:shd w:val="clear" w:color="auto" w:fill="auto"/>
          </w:tcPr>
          <w:p w14:paraId="20779BD2" w14:textId="77777777" w:rsidR="003E3D07" w:rsidRDefault="003E3D07">
            <w:pPr>
              <w:pStyle w:val="TableText"/>
              <w:rPr>
                <w:rFonts w:eastAsia="Symbol"/>
              </w:rPr>
            </w:pPr>
            <w:r>
              <w:t>Optional</w:t>
            </w:r>
          </w:p>
        </w:tc>
        <w:tc>
          <w:tcPr>
            <w:tcW w:w="1253" w:type="dxa"/>
            <w:shd w:val="clear" w:color="auto" w:fill="auto"/>
          </w:tcPr>
          <w:p w14:paraId="27A18F39" w14:textId="77777777" w:rsidR="003E3D07" w:rsidRDefault="003E3D07">
            <w:pPr>
              <w:pStyle w:val="TableText"/>
              <w:rPr>
                <w:rFonts w:eastAsia="Symbol"/>
              </w:rPr>
            </w:pPr>
            <w:r>
              <w:t>Di(b)</w:t>
            </w:r>
          </w:p>
        </w:tc>
        <w:tc>
          <w:tcPr>
            <w:tcW w:w="1253" w:type="dxa"/>
            <w:shd w:val="clear" w:color="auto" w:fill="auto"/>
          </w:tcPr>
          <w:p w14:paraId="7C003F91" w14:textId="77777777" w:rsidR="003E3D07" w:rsidRDefault="003E3D07">
            <w:pPr>
              <w:pStyle w:val="TableText"/>
              <w:rPr>
                <w:rFonts w:eastAsia="Symbol"/>
              </w:rPr>
            </w:pPr>
            <w:r>
              <w:t>Di(b)</w:t>
            </w:r>
          </w:p>
        </w:tc>
        <w:tc>
          <w:tcPr>
            <w:tcW w:w="1296" w:type="dxa"/>
            <w:shd w:val="clear" w:color="auto" w:fill="auto"/>
          </w:tcPr>
          <w:p w14:paraId="309390EB" w14:textId="77777777" w:rsidR="003E3D07" w:rsidRDefault="003E3D07">
            <w:pPr>
              <w:pStyle w:val="TableText"/>
              <w:rPr>
                <w:rFonts w:eastAsia="Symbol"/>
              </w:rPr>
            </w:pPr>
            <w:r>
              <w:rPr>
                <w:rFonts w:eastAsia="Symbol"/>
              </w:rPr>
              <w:t>99</w:t>
            </w:r>
          </w:p>
        </w:tc>
        <w:tc>
          <w:tcPr>
            <w:tcW w:w="1296" w:type="dxa"/>
            <w:shd w:val="clear" w:color="auto" w:fill="auto"/>
          </w:tcPr>
          <w:p w14:paraId="282B48EF" w14:textId="77777777" w:rsidR="003E3D07" w:rsidRDefault="003E3D07">
            <w:pPr>
              <w:pStyle w:val="TableText"/>
              <w:rPr>
                <w:rFonts w:eastAsia="Symbol"/>
              </w:rPr>
            </w:pPr>
            <w:r>
              <w:t>AGDi(b)</w:t>
            </w:r>
          </w:p>
        </w:tc>
      </w:tr>
      <w:tr w:rsidR="00824338" w14:paraId="012E08E8" w14:textId="77777777">
        <w:tblPrEx>
          <w:tblBorders>
            <w:insideH w:val="single" w:sz="4" w:space="0" w:color="auto"/>
            <w:insideV w:val="single" w:sz="4" w:space="0" w:color="auto"/>
          </w:tblBorders>
        </w:tblPrEx>
        <w:tc>
          <w:tcPr>
            <w:tcW w:w="1253" w:type="dxa"/>
            <w:shd w:val="clear" w:color="auto" w:fill="auto"/>
          </w:tcPr>
          <w:p w14:paraId="6AD4B9B2" w14:textId="77777777" w:rsidR="003E3D07" w:rsidRDefault="003E3D07">
            <w:pPr>
              <w:pStyle w:val="TableText"/>
              <w:rPr>
                <w:rFonts w:eastAsia="Symbol"/>
              </w:rPr>
            </w:pPr>
            <w:r>
              <w:t>Anti-Do(a)</w:t>
            </w:r>
          </w:p>
        </w:tc>
        <w:tc>
          <w:tcPr>
            <w:tcW w:w="1253" w:type="dxa"/>
            <w:shd w:val="clear" w:color="auto" w:fill="auto"/>
          </w:tcPr>
          <w:p w14:paraId="7DE4CFF4" w14:textId="77777777" w:rsidR="003E3D07" w:rsidRDefault="003E3D07">
            <w:pPr>
              <w:pStyle w:val="TableText"/>
              <w:rPr>
                <w:rFonts w:eastAsia="Symbol"/>
              </w:rPr>
            </w:pPr>
            <w:r>
              <w:t>Anti-Do(a)</w:t>
            </w:r>
          </w:p>
        </w:tc>
        <w:tc>
          <w:tcPr>
            <w:tcW w:w="878" w:type="dxa"/>
            <w:shd w:val="clear" w:color="auto" w:fill="auto"/>
          </w:tcPr>
          <w:p w14:paraId="4E0AD23B" w14:textId="77777777" w:rsidR="003E3D07" w:rsidRDefault="003E3D07">
            <w:pPr>
              <w:pStyle w:val="TableText"/>
            </w:pPr>
            <w:r>
              <w:t>No</w:t>
            </w:r>
          </w:p>
        </w:tc>
        <w:tc>
          <w:tcPr>
            <w:tcW w:w="878" w:type="dxa"/>
            <w:shd w:val="clear" w:color="auto" w:fill="auto"/>
          </w:tcPr>
          <w:p w14:paraId="102FEE63" w14:textId="77777777" w:rsidR="003E3D07" w:rsidRDefault="003E3D07">
            <w:pPr>
              <w:pStyle w:val="TableText"/>
              <w:rPr>
                <w:rFonts w:eastAsia="Symbol"/>
              </w:rPr>
            </w:pPr>
            <w:r>
              <w:t>Optional</w:t>
            </w:r>
          </w:p>
        </w:tc>
        <w:tc>
          <w:tcPr>
            <w:tcW w:w="1253" w:type="dxa"/>
            <w:shd w:val="clear" w:color="auto" w:fill="auto"/>
          </w:tcPr>
          <w:p w14:paraId="19D91459" w14:textId="77777777" w:rsidR="003E3D07" w:rsidRDefault="003E3D07">
            <w:pPr>
              <w:pStyle w:val="TableText"/>
              <w:rPr>
                <w:rFonts w:eastAsia="Symbol"/>
              </w:rPr>
            </w:pPr>
            <w:r>
              <w:t>Do(a)</w:t>
            </w:r>
          </w:p>
        </w:tc>
        <w:tc>
          <w:tcPr>
            <w:tcW w:w="1253" w:type="dxa"/>
            <w:shd w:val="clear" w:color="auto" w:fill="auto"/>
          </w:tcPr>
          <w:p w14:paraId="37EE5FA4" w14:textId="77777777" w:rsidR="003E3D07" w:rsidRDefault="003E3D07">
            <w:pPr>
              <w:pStyle w:val="TableText"/>
              <w:rPr>
                <w:rFonts w:eastAsia="Symbol"/>
              </w:rPr>
            </w:pPr>
            <w:r>
              <w:t>Do(a)</w:t>
            </w:r>
          </w:p>
        </w:tc>
        <w:tc>
          <w:tcPr>
            <w:tcW w:w="1296" w:type="dxa"/>
            <w:shd w:val="clear" w:color="auto" w:fill="auto"/>
          </w:tcPr>
          <w:p w14:paraId="4ED7F117" w14:textId="77777777" w:rsidR="003E3D07" w:rsidRDefault="003E3D07">
            <w:pPr>
              <w:pStyle w:val="TableText"/>
              <w:rPr>
                <w:rFonts w:eastAsia="Symbol"/>
              </w:rPr>
            </w:pPr>
            <w:r>
              <w:t>33</w:t>
            </w:r>
          </w:p>
        </w:tc>
        <w:tc>
          <w:tcPr>
            <w:tcW w:w="1296" w:type="dxa"/>
            <w:shd w:val="clear" w:color="auto" w:fill="auto"/>
          </w:tcPr>
          <w:p w14:paraId="4D48E961" w14:textId="77777777" w:rsidR="003E3D07" w:rsidRDefault="003E3D07">
            <w:pPr>
              <w:pStyle w:val="TableText"/>
            </w:pPr>
            <w:r>
              <w:t>AGDo(a)</w:t>
            </w:r>
          </w:p>
        </w:tc>
      </w:tr>
      <w:tr w:rsidR="00824338" w14:paraId="0C18C74E" w14:textId="77777777">
        <w:tblPrEx>
          <w:tblBorders>
            <w:insideH w:val="single" w:sz="4" w:space="0" w:color="auto"/>
            <w:insideV w:val="single" w:sz="4" w:space="0" w:color="auto"/>
          </w:tblBorders>
        </w:tblPrEx>
        <w:tc>
          <w:tcPr>
            <w:tcW w:w="1253" w:type="dxa"/>
            <w:shd w:val="clear" w:color="auto" w:fill="auto"/>
          </w:tcPr>
          <w:p w14:paraId="5E185783" w14:textId="77777777" w:rsidR="003E3D07" w:rsidRDefault="003E3D07">
            <w:pPr>
              <w:pStyle w:val="TableText"/>
              <w:rPr>
                <w:rFonts w:eastAsia="Symbol"/>
              </w:rPr>
            </w:pPr>
            <w:r>
              <w:t>Anti-Do(b)</w:t>
            </w:r>
          </w:p>
        </w:tc>
        <w:tc>
          <w:tcPr>
            <w:tcW w:w="1253" w:type="dxa"/>
            <w:shd w:val="clear" w:color="auto" w:fill="auto"/>
          </w:tcPr>
          <w:p w14:paraId="66E23560" w14:textId="77777777" w:rsidR="003E3D07" w:rsidRDefault="003E3D07">
            <w:pPr>
              <w:pStyle w:val="TableText"/>
              <w:rPr>
                <w:rFonts w:eastAsia="Symbol"/>
              </w:rPr>
            </w:pPr>
            <w:r>
              <w:t>None</w:t>
            </w:r>
          </w:p>
        </w:tc>
        <w:tc>
          <w:tcPr>
            <w:tcW w:w="878" w:type="dxa"/>
            <w:shd w:val="clear" w:color="auto" w:fill="auto"/>
          </w:tcPr>
          <w:p w14:paraId="0F2681B0" w14:textId="77777777" w:rsidR="003E3D07" w:rsidRDefault="003E3D07">
            <w:pPr>
              <w:pStyle w:val="TableText"/>
            </w:pPr>
            <w:r>
              <w:t>No</w:t>
            </w:r>
          </w:p>
        </w:tc>
        <w:tc>
          <w:tcPr>
            <w:tcW w:w="878" w:type="dxa"/>
            <w:shd w:val="clear" w:color="auto" w:fill="auto"/>
          </w:tcPr>
          <w:p w14:paraId="534A004C" w14:textId="77777777" w:rsidR="003E3D07" w:rsidRDefault="003E3D07">
            <w:pPr>
              <w:pStyle w:val="TableText"/>
              <w:rPr>
                <w:rFonts w:eastAsia="Symbol"/>
              </w:rPr>
            </w:pPr>
            <w:r>
              <w:t>Optional</w:t>
            </w:r>
          </w:p>
        </w:tc>
        <w:tc>
          <w:tcPr>
            <w:tcW w:w="1253" w:type="dxa"/>
            <w:shd w:val="clear" w:color="auto" w:fill="auto"/>
          </w:tcPr>
          <w:p w14:paraId="58FA48C3" w14:textId="77777777" w:rsidR="003E3D07" w:rsidRDefault="003E3D07">
            <w:pPr>
              <w:pStyle w:val="TableText"/>
              <w:rPr>
                <w:rFonts w:eastAsia="Symbol"/>
              </w:rPr>
            </w:pPr>
            <w:r>
              <w:t>Do(b)</w:t>
            </w:r>
          </w:p>
        </w:tc>
        <w:tc>
          <w:tcPr>
            <w:tcW w:w="1253" w:type="dxa"/>
            <w:shd w:val="clear" w:color="auto" w:fill="auto"/>
          </w:tcPr>
          <w:p w14:paraId="14C642ED" w14:textId="77777777" w:rsidR="003E3D07" w:rsidRDefault="003E3D07">
            <w:pPr>
              <w:pStyle w:val="TableText"/>
              <w:rPr>
                <w:rFonts w:eastAsia="Symbol"/>
              </w:rPr>
            </w:pPr>
            <w:r>
              <w:t>None</w:t>
            </w:r>
          </w:p>
        </w:tc>
        <w:tc>
          <w:tcPr>
            <w:tcW w:w="1296" w:type="dxa"/>
            <w:shd w:val="clear" w:color="auto" w:fill="auto"/>
          </w:tcPr>
          <w:p w14:paraId="150228A9" w14:textId="77777777" w:rsidR="003E3D07" w:rsidRDefault="003E3D07">
            <w:pPr>
              <w:pStyle w:val="TableText"/>
              <w:rPr>
                <w:rFonts w:eastAsia="Symbol"/>
              </w:rPr>
            </w:pPr>
            <w:r>
              <w:t>17</w:t>
            </w:r>
          </w:p>
        </w:tc>
        <w:tc>
          <w:tcPr>
            <w:tcW w:w="1296" w:type="dxa"/>
            <w:shd w:val="clear" w:color="auto" w:fill="auto"/>
          </w:tcPr>
          <w:p w14:paraId="0EDE9578" w14:textId="77777777" w:rsidR="003E3D07" w:rsidRDefault="003E3D07">
            <w:pPr>
              <w:pStyle w:val="TableText"/>
            </w:pPr>
            <w:r>
              <w:t>AGDo(b)</w:t>
            </w:r>
          </w:p>
        </w:tc>
      </w:tr>
      <w:tr w:rsidR="00824338" w14:paraId="6E9829D7" w14:textId="77777777">
        <w:tblPrEx>
          <w:tblBorders>
            <w:insideH w:val="single" w:sz="4" w:space="0" w:color="auto"/>
            <w:insideV w:val="single" w:sz="4" w:space="0" w:color="auto"/>
          </w:tblBorders>
        </w:tblPrEx>
        <w:tc>
          <w:tcPr>
            <w:tcW w:w="1253" w:type="dxa"/>
            <w:shd w:val="clear" w:color="auto" w:fill="auto"/>
          </w:tcPr>
          <w:p w14:paraId="2DA2C358" w14:textId="77777777" w:rsidR="003E3D07" w:rsidRDefault="003E3D07">
            <w:pPr>
              <w:pStyle w:val="TableText"/>
              <w:rPr>
                <w:rFonts w:eastAsia="Symbol"/>
              </w:rPr>
            </w:pPr>
            <w:r>
              <w:t>Anti-Co(a)</w:t>
            </w:r>
          </w:p>
        </w:tc>
        <w:tc>
          <w:tcPr>
            <w:tcW w:w="1253" w:type="dxa"/>
            <w:shd w:val="clear" w:color="auto" w:fill="auto"/>
          </w:tcPr>
          <w:p w14:paraId="582CCFCC" w14:textId="77777777" w:rsidR="003E3D07" w:rsidRDefault="003E3D07">
            <w:pPr>
              <w:pStyle w:val="TableText"/>
              <w:rPr>
                <w:rFonts w:eastAsia="Symbol"/>
              </w:rPr>
            </w:pPr>
            <w:r>
              <w:t>None</w:t>
            </w:r>
          </w:p>
        </w:tc>
        <w:tc>
          <w:tcPr>
            <w:tcW w:w="878" w:type="dxa"/>
            <w:shd w:val="clear" w:color="auto" w:fill="auto"/>
          </w:tcPr>
          <w:p w14:paraId="4A2CB43A" w14:textId="77777777" w:rsidR="003E3D07" w:rsidRDefault="003E3D07">
            <w:pPr>
              <w:pStyle w:val="TableText"/>
            </w:pPr>
            <w:r>
              <w:t>No</w:t>
            </w:r>
          </w:p>
        </w:tc>
        <w:tc>
          <w:tcPr>
            <w:tcW w:w="878" w:type="dxa"/>
            <w:shd w:val="clear" w:color="auto" w:fill="auto"/>
          </w:tcPr>
          <w:p w14:paraId="300AFD39" w14:textId="77777777" w:rsidR="003E3D07" w:rsidRDefault="003E3D07">
            <w:pPr>
              <w:pStyle w:val="TableText"/>
              <w:rPr>
                <w:rFonts w:eastAsia="Symbol"/>
              </w:rPr>
            </w:pPr>
            <w:r>
              <w:t>Optional</w:t>
            </w:r>
          </w:p>
        </w:tc>
        <w:tc>
          <w:tcPr>
            <w:tcW w:w="1253" w:type="dxa"/>
            <w:shd w:val="clear" w:color="auto" w:fill="auto"/>
          </w:tcPr>
          <w:p w14:paraId="30A1399E" w14:textId="77777777" w:rsidR="003E3D07" w:rsidRDefault="003E3D07">
            <w:pPr>
              <w:pStyle w:val="TableText"/>
              <w:rPr>
                <w:rFonts w:eastAsia="Symbol"/>
              </w:rPr>
            </w:pPr>
            <w:r>
              <w:t>Co(a)</w:t>
            </w:r>
          </w:p>
        </w:tc>
        <w:tc>
          <w:tcPr>
            <w:tcW w:w="1253" w:type="dxa"/>
            <w:shd w:val="clear" w:color="auto" w:fill="auto"/>
          </w:tcPr>
          <w:p w14:paraId="342C27EF" w14:textId="77777777" w:rsidR="003E3D07" w:rsidRDefault="003E3D07">
            <w:pPr>
              <w:pStyle w:val="TableText"/>
              <w:rPr>
                <w:rFonts w:eastAsia="Symbol"/>
              </w:rPr>
            </w:pPr>
            <w:r>
              <w:t>None</w:t>
            </w:r>
          </w:p>
        </w:tc>
        <w:tc>
          <w:tcPr>
            <w:tcW w:w="1296" w:type="dxa"/>
            <w:shd w:val="clear" w:color="auto" w:fill="auto"/>
          </w:tcPr>
          <w:p w14:paraId="1D04C4E2" w14:textId="77777777" w:rsidR="003E3D07" w:rsidRDefault="003E3D07">
            <w:pPr>
              <w:pStyle w:val="TableText"/>
              <w:rPr>
                <w:rFonts w:eastAsia="Symbol"/>
              </w:rPr>
            </w:pPr>
            <w:r>
              <w:t>33</w:t>
            </w:r>
          </w:p>
        </w:tc>
        <w:tc>
          <w:tcPr>
            <w:tcW w:w="1296" w:type="dxa"/>
            <w:shd w:val="clear" w:color="auto" w:fill="auto"/>
          </w:tcPr>
          <w:p w14:paraId="5B01C966" w14:textId="77777777" w:rsidR="003E3D07" w:rsidRDefault="003E3D07">
            <w:pPr>
              <w:pStyle w:val="TableText"/>
            </w:pPr>
            <w:r>
              <w:t>AGCo(a)</w:t>
            </w:r>
          </w:p>
        </w:tc>
      </w:tr>
      <w:tr w:rsidR="00824338" w14:paraId="5AD011AA" w14:textId="77777777">
        <w:tblPrEx>
          <w:tblBorders>
            <w:insideH w:val="single" w:sz="4" w:space="0" w:color="auto"/>
            <w:insideV w:val="single" w:sz="4" w:space="0" w:color="auto"/>
          </w:tblBorders>
        </w:tblPrEx>
        <w:tc>
          <w:tcPr>
            <w:tcW w:w="1253" w:type="dxa"/>
            <w:shd w:val="clear" w:color="auto" w:fill="auto"/>
          </w:tcPr>
          <w:p w14:paraId="5E8A0A80" w14:textId="77777777" w:rsidR="003E3D07" w:rsidRDefault="003E3D07">
            <w:pPr>
              <w:pStyle w:val="TableText"/>
              <w:rPr>
                <w:rFonts w:eastAsia="Symbol"/>
              </w:rPr>
            </w:pPr>
            <w:r>
              <w:t>Anti-Co(b)</w:t>
            </w:r>
          </w:p>
        </w:tc>
        <w:tc>
          <w:tcPr>
            <w:tcW w:w="1253" w:type="dxa"/>
            <w:shd w:val="clear" w:color="auto" w:fill="auto"/>
          </w:tcPr>
          <w:p w14:paraId="70C1B1D4" w14:textId="77777777" w:rsidR="003E3D07" w:rsidRDefault="003E3D07">
            <w:pPr>
              <w:pStyle w:val="TableText"/>
              <w:rPr>
                <w:rFonts w:eastAsia="Symbol"/>
              </w:rPr>
            </w:pPr>
            <w:r>
              <w:t>None</w:t>
            </w:r>
          </w:p>
        </w:tc>
        <w:tc>
          <w:tcPr>
            <w:tcW w:w="878" w:type="dxa"/>
            <w:shd w:val="clear" w:color="auto" w:fill="auto"/>
          </w:tcPr>
          <w:p w14:paraId="51D01058" w14:textId="77777777" w:rsidR="003E3D07" w:rsidRDefault="003E3D07">
            <w:pPr>
              <w:pStyle w:val="TableText"/>
            </w:pPr>
            <w:r>
              <w:t>No</w:t>
            </w:r>
          </w:p>
        </w:tc>
        <w:tc>
          <w:tcPr>
            <w:tcW w:w="878" w:type="dxa"/>
            <w:shd w:val="clear" w:color="auto" w:fill="auto"/>
          </w:tcPr>
          <w:p w14:paraId="360FE366" w14:textId="77777777" w:rsidR="003E3D07" w:rsidRDefault="003E3D07">
            <w:pPr>
              <w:pStyle w:val="TableText"/>
              <w:rPr>
                <w:rFonts w:eastAsia="Symbol"/>
              </w:rPr>
            </w:pPr>
            <w:r>
              <w:t>Optional</w:t>
            </w:r>
          </w:p>
        </w:tc>
        <w:tc>
          <w:tcPr>
            <w:tcW w:w="1253" w:type="dxa"/>
            <w:shd w:val="clear" w:color="auto" w:fill="auto"/>
          </w:tcPr>
          <w:p w14:paraId="1A939B52" w14:textId="77777777" w:rsidR="003E3D07" w:rsidRDefault="003E3D07">
            <w:pPr>
              <w:pStyle w:val="TableText"/>
              <w:rPr>
                <w:rFonts w:eastAsia="Symbol"/>
              </w:rPr>
            </w:pPr>
            <w:r>
              <w:t>Co(b)</w:t>
            </w:r>
          </w:p>
        </w:tc>
        <w:tc>
          <w:tcPr>
            <w:tcW w:w="1253" w:type="dxa"/>
            <w:shd w:val="clear" w:color="auto" w:fill="auto"/>
          </w:tcPr>
          <w:p w14:paraId="2BBA5568" w14:textId="77777777" w:rsidR="003E3D07" w:rsidRDefault="003E3D07">
            <w:pPr>
              <w:pStyle w:val="TableText"/>
              <w:rPr>
                <w:rFonts w:eastAsia="Symbol"/>
              </w:rPr>
            </w:pPr>
            <w:r>
              <w:t>None</w:t>
            </w:r>
          </w:p>
        </w:tc>
        <w:tc>
          <w:tcPr>
            <w:tcW w:w="1296" w:type="dxa"/>
            <w:shd w:val="clear" w:color="auto" w:fill="auto"/>
          </w:tcPr>
          <w:p w14:paraId="266B4E99" w14:textId="77777777" w:rsidR="003E3D07" w:rsidRDefault="003E3D07">
            <w:pPr>
              <w:pStyle w:val="TableText"/>
              <w:rPr>
                <w:rFonts w:eastAsia="Symbol"/>
              </w:rPr>
            </w:pPr>
            <w:r>
              <w:t>17</w:t>
            </w:r>
          </w:p>
        </w:tc>
        <w:tc>
          <w:tcPr>
            <w:tcW w:w="1296" w:type="dxa"/>
            <w:shd w:val="clear" w:color="auto" w:fill="auto"/>
          </w:tcPr>
          <w:p w14:paraId="7DB318EC" w14:textId="77777777" w:rsidR="003E3D07" w:rsidRDefault="003E3D07">
            <w:pPr>
              <w:pStyle w:val="TableText"/>
            </w:pPr>
            <w:r>
              <w:t>AGCo(b)</w:t>
            </w:r>
          </w:p>
        </w:tc>
      </w:tr>
      <w:tr w:rsidR="00824338" w14:paraId="13052F8B" w14:textId="77777777">
        <w:tblPrEx>
          <w:tblBorders>
            <w:insideH w:val="single" w:sz="4" w:space="0" w:color="auto"/>
            <w:insideV w:val="single" w:sz="4" w:space="0" w:color="auto"/>
          </w:tblBorders>
        </w:tblPrEx>
        <w:tc>
          <w:tcPr>
            <w:tcW w:w="1253" w:type="dxa"/>
            <w:shd w:val="clear" w:color="auto" w:fill="auto"/>
          </w:tcPr>
          <w:p w14:paraId="7B429161" w14:textId="77777777" w:rsidR="003E3D07" w:rsidRDefault="003E3D07">
            <w:pPr>
              <w:pStyle w:val="TableText"/>
              <w:rPr>
                <w:rFonts w:eastAsia="Symbol"/>
              </w:rPr>
            </w:pPr>
            <w:r>
              <w:t>Anti-LW(a)</w:t>
            </w:r>
          </w:p>
        </w:tc>
        <w:tc>
          <w:tcPr>
            <w:tcW w:w="1253" w:type="dxa"/>
            <w:shd w:val="clear" w:color="auto" w:fill="auto"/>
          </w:tcPr>
          <w:p w14:paraId="43D02249" w14:textId="77777777" w:rsidR="003E3D07" w:rsidRDefault="003E3D07">
            <w:pPr>
              <w:pStyle w:val="TableText"/>
            </w:pPr>
            <w:r>
              <w:t>None</w:t>
            </w:r>
          </w:p>
        </w:tc>
        <w:tc>
          <w:tcPr>
            <w:tcW w:w="878" w:type="dxa"/>
            <w:shd w:val="clear" w:color="auto" w:fill="auto"/>
          </w:tcPr>
          <w:p w14:paraId="22C021AA" w14:textId="77777777" w:rsidR="003E3D07" w:rsidRDefault="003E3D07">
            <w:pPr>
              <w:pStyle w:val="TableText"/>
            </w:pPr>
            <w:r>
              <w:t>No</w:t>
            </w:r>
          </w:p>
        </w:tc>
        <w:tc>
          <w:tcPr>
            <w:tcW w:w="878" w:type="dxa"/>
            <w:shd w:val="clear" w:color="auto" w:fill="auto"/>
          </w:tcPr>
          <w:p w14:paraId="3FD833C0" w14:textId="77777777" w:rsidR="003E3D07" w:rsidRDefault="003E3D07">
            <w:pPr>
              <w:pStyle w:val="TableText"/>
              <w:rPr>
                <w:rFonts w:eastAsia="Symbol"/>
              </w:rPr>
            </w:pPr>
            <w:r>
              <w:t>Optional</w:t>
            </w:r>
          </w:p>
        </w:tc>
        <w:tc>
          <w:tcPr>
            <w:tcW w:w="1253" w:type="dxa"/>
            <w:shd w:val="clear" w:color="auto" w:fill="auto"/>
          </w:tcPr>
          <w:p w14:paraId="6446210B" w14:textId="77777777" w:rsidR="003E3D07" w:rsidRDefault="003E3D07">
            <w:pPr>
              <w:pStyle w:val="TableText"/>
              <w:rPr>
                <w:rFonts w:eastAsia="Symbol"/>
              </w:rPr>
            </w:pPr>
            <w:r>
              <w:t>LW(a)</w:t>
            </w:r>
          </w:p>
        </w:tc>
        <w:tc>
          <w:tcPr>
            <w:tcW w:w="1253" w:type="dxa"/>
            <w:shd w:val="clear" w:color="auto" w:fill="auto"/>
          </w:tcPr>
          <w:p w14:paraId="716E8A18" w14:textId="77777777" w:rsidR="003E3D07" w:rsidRDefault="003E3D07">
            <w:pPr>
              <w:pStyle w:val="TableText"/>
              <w:rPr>
                <w:rFonts w:eastAsia="Symbol"/>
              </w:rPr>
            </w:pPr>
            <w:r>
              <w:t>None</w:t>
            </w:r>
          </w:p>
        </w:tc>
        <w:tc>
          <w:tcPr>
            <w:tcW w:w="1296" w:type="dxa"/>
            <w:shd w:val="clear" w:color="auto" w:fill="auto"/>
          </w:tcPr>
          <w:p w14:paraId="38B4B886" w14:textId="77777777" w:rsidR="003E3D07" w:rsidRDefault="003E3D07">
            <w:pPr>
              <w:pStyle w:val="TableText"/>
              <w:rPr>
                <w:rFonts w:eastAsia="Symbol"/>
              </w:rPr>
            </w:pPr>
            <w:r>
              <w:t>0</w:t>
            </w:r>
          </w:p>
        </w:tc>
        <w:tc>
          <w:tcPr>
            <w:tcW w:w="1296" w:type="dxa"/>
            <w:shd w:val="clear" w:color="auto" w:fill="auto"/>
          </w:tcPr>
          <w:p w14:paraId="0817C5A0" w14:textId="77777777" w:rsidR="003E3D07" w:rsidRDefault="003E3D07">
            <w:pPr>
              <w:pStyle w:val="TableText"/>
            </w:pPr>
            <w:r>
              <w:t>AG LW(a)</w:t>
            </w:r>
          </w:p>
        </w:tc>
      </w:tr>
      <w:tr w:rsidR="00824338" w14:paraId="5B63CA50" w14:textId="77777777">
        <w:tblPrEx>
          <w:tblBorders>
            <w:insideH w:val="single" w:sz="4" w:space="0" w:color="auto"/>
            <w:insideV w:val="single" w:sz="4" w:space="0" w:color="auto"/>
          </w:tblBorders>
        </w:tblPrEx>
        <w:tc>
          <w:tcPr>
            <w:tcW w:w="1253" w:type="dxa"/>
            <w:shd w:val="clear" w:color="auto" w:fill="auto"/>
          </w:tcPr>
          <w:p w14:paraId="48FDA59D" w14:textId="77777777" w:rsidR="003E3D07" w:rsidRDefault="003E3D07">
            <w:pPr>
              <w:pStyle w:val="TableText"/>
              <w:rPr>
                <w:rFonts w:eastAsia="Symbol"/>
              </w:rPr>
            </w:pPr>
            <w:r>
              <w:t>Anti-LW(b)</w:t>
            </w:r>
          </w:p>
        </w:tc>
        <w:tc>
          <w:tcPr>
            <w:tcW w:w="1253" w:type="dxa"/>
            <w:shd w:val="clear" w:color="auto" w:fill="auto"/>
          </w:tcPr>
          <w:p w14:paraId="45C741C4" w14:textId="77777777" w:rsidR="003E3D07" w:rsidRDefault="003E3D07">
            <w:pPr>
              <w:pStyle w:val="TableText"/>
            </w:pPr>
            <w:r>
              <w:t>None</w:t>
            </w:r>
          </w:p>
        </w:tc>
        <w:tc>
          <w:tcPr>
            <w:tcW w:w="878" w:type="dxa"/>
            <w:shd w:val="clear" w:color="auto" w:fill="auto"/>
          </w:tcPr>
          <w:p w14:paraId="0832CBDB" w14:textId="77777777" w:rsidR="003E3D07" w:rsidRDefault="003E3D07">
            <w:pPr>
              <w:pStyle w:val="TableText"/>
            </w:pPr>
            <w:r>
              <w:t>No</w:t>
            </w:r>
          </w:p>
        </w:tc>
        <w:tc>
          <w:tcPr>
            <w:tcW w:w="878" w:type="dxa"/>
            <w:shd w:val="clear" w:color="auto" w:fill="auto"/>
          </w:tcPr>
          <w:p w14:paraId="1FC34742" w14:textId="77777777" w:rsidR="003E3D07" w:rsidRDefault="003E3D07">
            <w:pPr>
              <w:pStyle w:val="TableText"/>
              <w:rPr>
                <w:rFonts w:eastAsia="Symbol"/>
              </w:rPr>
            </w:pPr>
            <w:r>
              <w:t>Optional</w:t>
            </w:r>
          </w:p>
        </w:tc>
        <w:tc>
          <w:tcPr>
            <w:tcW w:w="1253" w:type="dxa"/>
            <w:shd w:val="clear" w:color="auto" w:fill="auto"/>
          </w:tcPr>
          <w:p w14:paraId="21917962" w14:textId="77777777" w:rsidR="003E3D07" w:rsidRDefault="003E3D07">
            <w:pPr>
              <w:pStyle w:val="TableText"/>
              <w:rPr>
                <w:rFonts w:eastAsia="Symbol"/>
              </w:rPr>
            </w:pPr>
            <w:r>
              <w:t>LW(b)</w:t>
            </w:r>
          </w:p>
        </w:tc>
        <w:tc>
          <w:tcPr>
            <w:tcW w:w="1253" w:type="dxa"/>
            <w:shd w:val="clear" w:color="auto" w:fill="auto"/>
          </w:tcPr>
          <w:p w14:paraId="64EA663D" w14:textId="77777777" w:rsidR="003E3D07" w:rsidRDefault="003E3D07">
            <w:pPr>
              <w:pStyle w:val="TableText"/>
              <w:rPr>
                <w:rFonts w:eastAsia="Symbol"/>
              </w:rPr>
            </w:pPr>
            <w:r>
              <w:t>None</w:t>
            </w:r>
          </w:p>
        </w:tc>
        <w:tc>
          <w:tcPr>
            <w:tcW w:w="1296" w:type="dxa"/>
            <w:shd w:val="clear" w:color="auto" w:fill="auto"/>
          </w:tcPr>
          <w:p w14:paraId="0F611080" w14:textId="77777777" w:rsidR="003E3D07" w:rsidRDefault="003E3D07">
            <w:pPr>
              <w:pStyle w:val="TableText"/>
              <w:rPr>
                <w:rFonts w:eastAsia="Symbol"/>
              </w:rPr>
            </w:pPr>
            <w:r>
              <w:t>99</w:t>
            </w:r>
          </w:p>
        </w:tc>
        <w:tc>
          <w:tcPr>
            <w:tcW w:w="1296" w:type="dxa"/>
            <w:shd w:val="clear" w:color="auto" w:fill="auto"/>
          </w:tcPr>
          <w:p w14:paraId="19C2A5EA" w14:textId="77777777" w:rsidR="003E3D07" w:rsidRDefault="003E3D07">
            <w:pPr>
              <w:pStyle w:val="TableText"/>
            </w:pPr>
            <w:r>
              <w:t>AG LW(b)</w:t>
            </w:r>
          </w:p>
        </w:tc>
      </w:tr>
      <w:tr w:rsidR="00824338" w14:paraId="7E3475C1" w14:textId="77777777">
        <w:tblPrEx>
          <w:tblBorders>
            <w:insideH w:val="single" w:sz="4" w:space="0" w:color="auto"/>
            <w:insideV w:val="single" w:sz="4" w:space="0" w:color="auto"/>
          </w:tblBorders>
        </w:tblPrEx>
        <w:tc>
          <w:tcPr>
            <w:tcW w:w="1253" w:type="dxa"/>
            <w:shd w:val="clear" w:color="auto" w:fill="auto"/>
          </w:tcPr>
          <w:p w14:paraId="1E5543C5" w14:textId="77777777" w:rsidR="003E3D07" w:rsidRDefault="003E3D07">
            <w:pPr>
              <w:pStyle w:val="TableText"/>
              <w:rPr>
                <w:rFonts w:eastAsia="Symbol"/>
              </w:rPr>
            </w:pPr>
            <w:r>
              <w:t>Anti-Sc1</w:t>
            </w:r>
          </w:p>
        </w:tc>
        <w:tc>
          <w:tcPr>
            <w:tcW w:w="1253" w:type="dxa"/>
            <w:shd w:val="clear" w:color="auto" w:fill="auto"/>
          </w:tcPr>
          <w:p w14:paraId="481594D6" w14:textId="77777777" w:rsidR="003E3D07" w:rsidRDefault="003E3D07">
            <w:pPr>
              <w:pStyle w:val="TableText"/>
              <w:rPr>
                <w:rFonts w:eastAsia="Symbol"/>
              </w:rPr>
            </w:pPr>
            <w:r>
              <w:t>None</w:t>
            </w:r>
          </w:p>
        </w:tc>
        <w:tc>
          <w:tcPr>
            <w:tcW w:w="878" w:type="dxa"/>
            <w:shd w:val="clear" w:color="auto" w:fill="auto"/>
          </w:tcPr>
          <w:p w14:paraId="7EFBBF63" w14:textId="77777777" w:rsidR="003E3D07" w:rsidRDefault="003E3D07">
            <w:pPr>
              <w:pStyle w:val="TableText"/>
            </w:pPr>
            <w:r>
              <w:t>No</w:t>
            </w:r>
          </w:p>
        </w:tc>
        <w:tc>
          <w:tcPr>
            <w:tcW w:w="878" w:type="dxa"/>
            <w:shd w:val="clear" w:color="auto" w:fill="auto"/>
          </w:tcPr>
          <w:p w14:paraId="1AEA3D84" w14:textId="77777777" w:rsidR="003E3D07" w:rsidRDefault="003E3D07">
            <w:pPr>
              <w:pStyle w:val="TableText"/>
              <w:rPr>
                <w:rFonts w:eastAsia="Symbol"/>
              </w:rPr>
            </w:pPr>
            <w:r>
              <w:t>Optional</w:t>
            </w:r>
          </w:p>
        </w:tc>
        <w:tc>
          <w:tcPr>
            <w:tcW w:w="1253" w:type="dxa"/>
            <w:shd w:val="clear" w:color="auto" w:fill="auto"/>
          </w:tcPr>
          <w:p w14:paraId="2746B0DE" w14:textId="77777777" w:rsidR="003E3D07" w:rsidRDefault="003E3D07">
            <w:pPr>
              <w:pStyle w:val="TableText"/>
              <w:rPr>
                <w:rFonts w:eastAsia="Symbol"/>
              </w:rPr>
            </w:pPr>
            <w:r>
              <w:t>Sc1</w:t>
            </w:r>
          </w:p>
        </w:tc>
        <w:tc>
          <w:tcPr>
            <w:tcW w:w="1253" w:type="dxa"/>
            <w:shd w:val="clear" w:color="auto" w:fill="auto"/>
          </w:tcPr>
          <w:p w14:paraId="5DFC0C2A" w14:textId="77777777" w:rsidR="003E3D07" w:rsidRDefault="003E3D07">
            <w:pPr>
              <w:pStyle w:val="TableText"/>
              <w:rPr>
                <w:rFonts w:eastAsia="Symbol"/>
              </w:rPr>
            </w:pPr>
            <w:r>
              <w:t>None</w:t>
            </w:r>
          </w:p>
        </w:tc>
        <w:tc>
          <w:tcPr>
            <w:tcW w:w="1296" w:type="dxa"/>
            <w:shd w:val="clear" w:color="auto" w:fill="auto"/>
          </w:tcPr>
          <w:p w14:paraId="296B8718" w14:textId="77777777" w:rsidR="003E3D07" w:rsidRDefault="003E3D07">
            <w:pPr>
              <w:pStyle w:val="TableText"/>
              <w:rPr>
                <w:rFonts w:eastAsia="Symbol"/>
              </w:rPr>
            </w:pPr>
            <w:r>
              <w:t>0</w:t>
            </w:r>
          </w:p>
        </w:tc>
        <w:tc>
          <w:tcPr>
            <w:tcW w:w="1296" w:type="dxa"/>
            <w:shd w:val="clear" w:color="auto" w:fill="auto"/>
          </w:tcPr>
          <w:p w14:paraId="1D2A6369" w14:textId="77777777" w:rsidR="003E3D07" w:rsidRDefault="003E3D07">
            <w:pPr>
              <w:pStyle w:val="TableText"/>
              <w:rPr>
                <w:rFonts w:eastAsia="Symbol"/>
              </w:rPr>
            </w:pPr>
            <w:r>
              <w:t>AGSc1</w:t>
            </w:r>
          </w:p>
        </w:tc>
      </w:tr>
      <w:tr w:rsidR="00824338" w14:paraId="6B6D9A3C" w14:textId="77777777">
        <w:tblPrEx>
          <w:tblBorders>
            <w:insideH w:val="single" w:sz="4" w:space="0" w:color="auto"/>
            <w:insideV w:val="single" w:sz="4" w:space="0" w:color="auto"/>
          </w:tblBorders>
        </w:tblPrEx>
        <w:tc>
          <w:tcPr>
            <w:tcW w:w="1253" w:type="dxa"/>
            <w:shd w:val="clear" w:color="auto" w:fill="auto"/>
          </w:tcPr>
          <w:p w14:paraId="3D96594F" w14:textId="77777777" w:rsidR="003E3D07" w:rsidRDefault="003E3D07">
            <w:pPr>
              <w:pStyle w:val="TableText"/>
              <w:rPr>
                <w:rFonts w:eastAsia="Symbol"/>
              </w:rPr>
            </w:pPr>
            <w:r>
              <w:t>Anti-Sc2</w:t>
            </w:r>
          </w:p>
        </w:tc>
        <w:tc>
          <w:tcPr>
            <w:tcW w:w="1253" w:type="dxa"/>
            <w:shd w:val="clear" w:color="auto" w:fill="auto"/>
          </w:tcPr>
          <w:p w14:paraId="4BED10A1" w14:textId="77777777" w:rsidR="003E3D07" w:rsidRDefault="003E3D07">
            <w:pPr>
              <w:pStyle w:val="TableText"/>
              <w:rPr>
                <w:rFonts w:eastAsia="Symbol"/>
              </w:rPr>
            </w:pPr>
            <w:r>
              <w:t>None</w:t>
            </w:r>
          </w:p>
        </w:tc>
        <w:tc>
          <w:tcPr>
            <w:tcW w:w="878" w:type="dxa"/>
            <w:shd w:val="clear" w:color="auto" w:fill="auto"/>
          </w:tcPr>
          <w:p w14:paraId="60A3BDAA" w14:textId="77777777" w:rsidR="003E3D07" w:rsidRDefault="003E3D07">
            <w:pPr>
              <w:pStyle w:val="TableText"/>
            </w:pPr>
            <w:r>
              <w:t>No</w:t>
            </w:r>
          </w:p>
        </w:tc>
        <w:tc>
          <w:tcPr>
            <w:tcW w:w="878" w:type="dxa"/>
            <w:shd w:val="clear" w:color="auto" w:fill="auto"/>
          </w:tcPr>
          <w:p w14:paraId="04B0000C" w14:textId="77777777" w:rsidR="003E3D07" w:rsidRDefault="003E3D07">
            <w:pPr>
              <w:pStyle w:val="TableText"/>
              <w:rPr>
                <w:rFonts w:eastAsia="Symbol"/>
              </w:rPr>
            </w:pPr>
            <w:r>
              <w:t>Optional</w:t>
            </w:r>
          </w:p>
        </w:tc>
        <w:tc>
          <w:tcPr>
            <w:tcW w:w="1253" w:type="dxa"/>
            <w:shd w:val="clear" w:color="auto" w:fill="auto"/>
          </w:tcPr>
          <w:p w14:paraId="6EFE854D" w14:textId="77777777" w:rsidR="003E3D07" w:rsidRDefault="003E3D07">
            <w:pPr>
              <w:pStyle w:val="TableText"/>
              <w:rPr>
                <w:rFonts w:eastAsia="Symbol"/>
              </w:rPr>
            </w:pPr>
            <w:r>
              <w:t>Sc2</w:t>
            </w:r>
          </w:p>
        </w:tc>
        <w:tc>
          <w:tcPr>
            <w:tcW w:w="1253" w:type="dxa"/>
            <w:shd w:val="clear" w:color="auto" w:fill="auto"/>
          </w:tcPr>
          <w:p w14:paraId="354CDCF9" w14:textId="77777777" w:rsidR="003E3D07" w:rsidRDefault="003E3D07">
            <w:pPr>
              <w:pStyle w:val="TableText"/>
              <w:rPr>
                <w:rFonts w:eastAsia="Symbol"/>
              </w:rPr>
            </w:pPr>
            <w:r>
              <w:t>None</w:t>
            </w:r>
          </w:p>
        </w:tc>
        <w:tc>
          <w:tcPr>
            <w:tcW w:w="1296" w:type="dxa"/>
            <w:shd w:val="clear" w:color="auto" w:fill="auto"/>
          </w:tcPr>
          <w:p w14:paraId="60C61BFD" w14:textId="77777777" w:rsidR="003E3D07" w:rsidRDefault="003E3D07">
            <w:pPr>
              <w:pStyle w:val="TableText"/>
              <w:rPr>
                <w:rFonts w:eastAsia="Symbol"/>
              </w:rPr>
            </w:pPr>
            <w:r>
              <w:t>99</w:t>
            </w:r>
          </w:p>
        </w:tc>
        <w:tc>
          <w:tcPr>
            <w:tcW w:w="1296" w:type="dxa"/>
            <w:shd w:val="clear" w:color="auto" w:fill="auto"/>
          </w:tcPr>
          <w:p w14:paraId="2B2CA974" w14:textId="77777777" w:rsidR="003E3D07" w:rsidRDefault="003E3D07">
            <w:pPr>
              <w:pStyle w:val="TableText"/>
              <w:rPr>
                <w:rFonts w:eastAsia="Symbol"/>
              </w:rPr>
            </w:pPr>
            <w:r>
              <w:t>AGSc2</w:t>
            </w:r>
          </w:p>
        </w:tc>
      </w:tr>
      <w:tr w:rsidR="00824338" w14:paraId="28FE1473" w14:textId="77777777">
        <w:tblPrEx>
          <w:tblBorders>
            <w:insideH w:val="single" w:sz="4" w:space="0" w:color="auto"/>
            <w:insideV w:val="single" w:sz="4" w:space="0" w:color="auto"/>
          </w:tblBorders>
        </w:tblPrEx>
        <w:tc>
          <w:tcPr>
            <w:tcW w:w="1253" w:type="dxa"/>
            <w:shd w:val="clear" w:color="auto" w:fill="auto"/>
          </w:tcPr>
          <w:p w14:paraId="66C2DA7E" w14:textId="77777777" w:rsidR="003E3D07" w:rsidRDefault="003E3D07">
            <w:pPr>
              <w:pStyle w:val="TableText"/>
              <w:rPr>
                <w:rFonts w:eastAsia="Symbol"/>
              </w:rPr>
            </w:pPr>
            <w:r>
              <w:t>Anti-Sd(a)</w:t>
            </w:r>
          </w:p>
        </w:tc>
        <w:tc>
          <w:tcPr>
            <w:tcW w:w="1253" w:type="dxa"/>
            <w:shd w:val="clear" w:color="auto" w:fill="auto"/>
          </w:tcPr>
          <w:p w14:paraId="5C4506C9" w14:textId="77777777" w:rsidR="003E3D07" w:rsidRDefault="003E3D07">
            <w:pPr>
              <w:pStyle w:val="TableText"/>
              <w:rPr>
                <w:rFonts w:eastAsia="Symbol"/>
              </w:rPr>
            </w:pPr>
            <w:r>
              <w:t>None</w:t>
            </w:r>
          </w:p>
        </w:tc>
        <w:tc>
          <w:tcPr>
            <w:tcW w:w="878" w:type="dxa"/>
            <w:shd w:val="clear" w:color="auto" w:fill="auto"/>
          </w:tcPr>
          <w:p w14:paraId="5F224640" w14:textId="77777777" w:rsidR="003E3D07" w:rsidRDefault="003E3D07">
            <w:pPr>
              <w:pStyle w:val="TableText"/>
            </w:pPr>
            <w:r>
              <w:t>No</w:t>
            </w:r>
          </w:p>
        </w:tc>
        <w:tc>
          <w:tcPr>
            <w:tcW w:w="878" w:type="dxa"/>
            <w:shd w:val="clear" w:color="auto" w:fill="auto"/>
          </w:tcPr>
          <w:p w14:paraId="40EE0168" w14:textId="77777777" w:rsidR="003E3D07" w:rsidRDefault="003E3D07">
            <w:pPr>
              <w:pStyle w:val="TableText"/>
              <w:rPr>
                <w:rFonts w:eastAsia="Symbol"/>
              </w:rPr>
            </w:pPr>
            <w:r>
              <w:t>Optional</w:t>
            </w:r>
          </w:p>
        </w:tc>
        <w:tc>
          <w:tcPr>
            <w:tcW w:w="1253" w:type="dxa"/>
            <w:shd w:val="clear" w:color="auto" w:fill="auto"/>
          </w:tcPr>
          <w:p w14:paraId="05B8CBCD" w14:textId="77777777" w:rsidR="003E3D07" w:rsidRDefault="003E3D07">
            <w:pPr>
              <w:pStyle w:val="TableText"/>
              <w:rPr>
                <w:rFonts w:eastAsia="Symbol"/>
              </w:rPr>
            </w:pPr>
            <w:r>
              <w:t>Sd(a)</w:t>
            </w:r>
          </w:p>
        </w:tc>
        <w:tc>
          <w:tcPr>
            <w:tcW w:w="1253" w:type="dxa"/>
            <w:shd w:val="clear" w:color="auto" w:fill="auto"/>
          </w:tcPr>
          <w:p w14:paraId="1D6F22DC" w14:textId="77777777" w:rsidR="003E3D07" w:rsidRDefault="003E3D07">
            <w:pPr>
              <w:pStyle w:val="TableText"/>
            </w:pPr>
            <w:r>
              <w:t>None</w:t>
            </w:r>
          </w:p>
        </w:tc>
        <w:tc>
          <w:tcPr>
            <w:tcW w:w="1296" w:type="dxa"/>
            <w:shd w:val="clear" w:color="auto" w:fill="auto"/>
          </w:tcPr>
          <w:p w14:paraId="4B990BEA" w14:textId="77777777" w:rsidR="003E3D07" w:rsidRDefault="003E3D07">
            <w:pPr>
              <w:pStyle w:val="TableText"/>
              <w:rPr>
                <w:rFonts w:eastAsia="Symbol"/>
              </w:rPr>
            </w:pPr>
            <w:r>
              <w:t>1</w:t>
            </w:r>
          </w:p>
        </w:tc>
        <w:tc>
          <w:tcPr>
            <w:tcW w:w="1296" w:type="dxa"/>
            <w:shd w:val="clear" w:color="auto" w:fill="auto"/>
          </w:tcPr>
          <w:p w14:paraId="496B007A" w14:textId="77777777" w:rsidR="003E3D07" w:rsidRDefault="003E3D07">
            <w:pPr>
              <w:pStyle w:val="TableText"/>
              <w:rPr>
                <w:rFonts w:eastAsia="Symbol"/>
              </w:rPr>
            </w:pPr>
            <w:r>
              <w:t>AGSd(a)</w:t>
            </w:r>
          </w:p>
        </w:tc>
      </w:tr>
      <w:tr w:rsidR="00824338" w14:paraId="2BE12FB2" w14:textId="77777777">
        <w:tblPrEx>
          <w:tblBorders>
            <w:insideH w:val="single" w:sz="4" w:space="0" w:color="auto"/>
            <w:insideV w:val="single" w:sz="4" w:space="0" w:color="auto"/>
          </w:tblBorders>
        </w:tblPrEx>
        <w:tc>
          <w:tcPr>
            <w:tcW w:w="1253" w:type="dxa"/>
            <w:shd w:val="clear" w:color="auto" w:fill="auto"/>
          </w:tcPr>
          <w:p w14:paraId="3663483C" w14:textId="77777777" w:rsidR="003E3D07" w:rsidRDefault="003E3D07">
            <w:pPr>
              <w:pStyle w:val="TableText"/>
              <w:rPr>
                <w:rFonts w:eastAsia="Symbol"/>
              </w:rPr>
            </w:pPr>
            <w:r>
              <w:t>Anti-Au(a)</w:t>
            </w:r>
          </w:p>
        </w:tc>
        <w:tc>
          <w:tcPr>
            <w:tcW w:w="1253" w:type="dxa"/>
            <w:shd w:val="clear" w:color="auto" w:fill="auto"/>
          </w:tcPr>
          <w:p w14:paraId="19D6F214" w14:textId="77777777" w:rsidR="003E3D07" w:rsidRDefault="003E3D07">
            <w:pPr>
              <w:pStyle w:val="TableText"/>
              <w:rPr>
                <w:rFonts w:eastAsia="Symbol"/>
              </w:rPr>
            </w:pPr>
            <w:r>
              <w:t>Anti-Au(a)</w:t>
            </w:r>
          </w:p>
        </w:tc>
        <w:tc>
          <w:tcPr>
            <w:tcW w:w="878" w:type="dxa"/>
            <w:shd w:val="clear" w:color="auto" w:fill="auto"/>
          </w:tcPr>
          <w:p w14:paraId="6611994B" w14:textId="77777777" w:rsidR="003E3D07" w:rsidRDefault="003E3D07">
            <w:pPr>
              <w:pStyle w:val="TableText"/>
            </w:pPr>
            <w:r>
              <w:t>No</w:t>
            </w:r>
          </w:p>
        </w:tc>
        <w:tc>
          <w:tcPr>
            <w:tcW w:w="878" w:type="dxa"/>
            <w:shd w:val="clear" w:color="auto" w:fill="auto"/>
          </w:tcPr>
          <w:p w14:paraId="4C32BCA5" w14:textId="77777777" w:rsidR="003E3D07" w:rsidRDefault="003E3D07">
            <w:pPr>
              <w:pStyle w:val="TableText"/>
              <w:rPr>
                <w:rFonts w:eastAsia="Symbol"/>
              </w:rPr>
            </w:pPr>
            <w:r>
              <w:t>Optional</w:t>
            </w:r>
          </w:p>
        </w:tc>
        <w:tc>
          <w:tcPr>
            <w:tcW w:w="1253" w:type="dxa"/>
            <w:shd w:val="clear" w:color="auto" w:fill="auto"/>
          </w:tcPr>
          <w:p w14:paraId="517BDD15" w14:textId="77777777" w:rsidR="003E3D07" w:rsidRDefault="003E3D07">
            <w:pPr>
              <w:pStyle w:val="TableText"/>
              <w:rPr>
                <w:rFonts w:eastAsia="Symbol"/>
              </w:rPr>
            </w:pPr>
            <w:r>
              <w:t>Au(a)</w:t>
            </w:r>
          </w:p>
        </w:tc>
        <w:tc>
          <w:tcPr>
            <w:tcW w:w="1253" w:type="dxa"/>
            <w:shd w:val="clear" w:color="auto" w:fill="auto"/>
          </w:tcPr>
          <w:p w14:paraId="17DD51FD" w14:textId="77777777" w:rsidR="003E3D07" w:rsidRDefault="003E3D07">
            <w:pPr>
              <w:pStyle w:val="TableText"/>
              <w:rPr>
                <w:rFonts w:eastAsia="Symbol"/>
              </w:rPr>
            </w:pPr>
            <w:r>
              <w:t>Au(a)</w:t>
            </w:r>
          </w:p>
        </w:tc>
        <w:tc>
          <w:tcPr>
            <w:tcW w:w="1296" w:type="dxa"/>
            <w:shd w:val="clear" w:color="auto" w:fill="auto"/>
          </w:tcPr>
          <w:p w14:paraId="209F04D8" w14:textId="77777777" w:rsidR="003E3D07" w:rsidRDefault="003E3D07">
            <w:pPr>
              <w:pStyle w:val="TableText"/>
              <w:rPr>
                <w:rFonts w:eastAsia="Symbol"/>
              </w:rPr>
            </w:pPr>
            <w:r>
              <w:t>20</w:t>
            </w:r>
          </w:p>
        </w:tc>
        <w:tc>
          <w:tcPr>
            <w:tcW w:w="1296" w:type="dxa"/>
            <w:shd w:val="clear" w:color="auto" w:fill="auto"/>
          </w:tcPr>
          <w:p w14:paraId="0F899336" w14:textId="77777777" w:rsidR="003E3D07" w:rsidRDefault="003E3D07">
            <w:pPr>
              <w:pStyle w:val="TableText"/>
            </w:pPr>
            <w:r>
              <w:t>AGAu(a)</w:t>
            </w:r>
          </w:p>
        </w:tc>
      </w:tr>
      <w:tr w:rsidR="00824338" w14:paraId="61753B56" w14:textId="77777777">
        <w:tblPrEx>
          <w:tblBorders>
            <w:insideH w:val="single" w:sz="4" w:space="0" w:color="auto"/>
            <w:insideV w:val="single" w:sz="4" w:space="0" w:color="auto"/>
          </w:tblBorders>
        </w:tblPrEx>
        <w:tc>
          <w:tcPr>
            <w:tcW w:w="1253" w:type="dxa"/>
            <w:shd w:val="clear" w:color="auto" w:fill="auto"/>
          </w:tcPr>
          <w:p w14:paraId="78EF9887" w14:textId="77777777" w:rsidR="003E3D07" w:rsidRDefault="003E3D07">
            <w:pPr>
              <w:pStyle w:val="TableText"/>
            </w:pPr>
            <w:r>
              <w:t>Anti-Au(b)</w:t>
            </w:r>
          </w:p>
        </w:tc>
        <w:tc>
          <w:tcPr>
            <w:tcW w:w="1253" w:type="dxa"/>
            <w:shd w:val="clear" w:color="auto" w:fill="auto"/>
          </w:tcPr>
          <w:p w14:paraId="1ABB5D38" w14:textId="77777777" w:rsidR="003E3D07" w:rsidRDefault="003E3D07">
            <w:pPr>
              <w:pStyle w:val="TableText"/>
              <w:rPr>
                <w:rFonts w:eastAsia="Symbol"/>
              </w:rPr>
            </w:pPr>
            <w:r>
              <w:t>None</w:t>
            </w:r>
          </w:p>
        </w:tc>
        <w:tc>
          <w:tcPr>
            <w:tcW w:w="878" w:type="dxa"/>
            <w:shd w:val="clear" w:color="auto" w:fill="auto"/>
          </w:tcPr>
          <w:p w14:paraId="20F3EFA8" w14:textId="77777777" w:rsidR="003E3D07" w:rsidRDefault="003E3D07">
            <w:pPr>
              <w:pStyle w:val="TableText"/>
            </w:pPr>
            <w:r>
              <w:t>No</w:t>
            </w:r>
          </w:p>
        </w:tc>
        <w:tc>
          <w:tcPr>
            <w:tcW w:w="878" w:type="dxa"/>
            <w:shd w:val="clear" w:color="auto" w:fill="auto"/>
          </w:tcPr>
          <w:p w14:paraId="493DD05B" w14:textId="77777777" w:rsidR="003E3D07" w:rsidRDefault="003E3D07">
            <w:pPr>
              <w:pStyle w:val="TableText"/>
            </w:pPr>
            <w:r>
              <w:t>Optional</w:t>
            </w:r>
          </w:p>
        </w:tc>
        <w:tc>
          <w:tcPr>
            <w:tcW w:w="1253" w:type="dxa"/>
            <w:shd w:val="clear" w:color="auto" w:fill="auto"/>
          </w:tcPr>
          <w:p w14:paraId="636F021B" w14:textId="77777777" w:rsidR="003E3D07" w:rsidRDefault="003E3D07">
            <w:pPr>
              <w:pStyle w:val="TableText"/>
            </w:pPr>
            <w:r>
              <w:t>Au(b)</w:t>
            </w:r>
          </w:p>
        </w:tc>
        <w:tc>
          <w:tcPr>
            <w:tcW w:w="1253" w:type="dxa"/>
            <w:shd w:val="clear" w:color="auto" w:fill="auto"/>
          </w:tcPr>
          <w:p w14:paraId="34B0B7DA" w14:textId="77777777" w:rsidR="003E3D07" w:rsidRDefault="003E3D07">
            <w:pPr>
              <w:pStyle w:val="TableText"/>
            </w:pPr>
            <w:r>
              <w:t>None</w:t>
            </w:r>
          </w:p>
        </w:tc>
        <w:tc>
          <w:tcPr>
            <w:tcW w:w="1296" w:type="dxa"/>
            <w:shd w:val="clear" w:color="auto" w:fill="auto"/>
          </w:tcPr>
          <w:p w14:paraId="7A89EB33" w14:textId="77777777" w:rsidR="003E3D07" w:rsidRDefault="003E3D07">
            <w:pPr>
              <w:pStyle w:val="TableText"/>
              <w:rPr>
                <w:rFonts w:eastAsia="Symbol"/>
              </w:rPr>
            </w:pPr>
            <w:r>
              <w:t>50</w:t>
            </w:r>
          </w:p>
        </w:tc>
        <w:tc>
          <w:tcPr>
            <w:tcW w:w="1296" w:type="dxa"/>
            <w:shd w:val="clear" w:color="auto" w:fill="auto"/>
          </w:tcPr>
          <w:p w14:paraId="18110EE6" w14:textId="77777777" w:rsidR="003E3D07" w:rsidRDefault="003E3D07">
            <w:pPr>
              <w:pStyle w:val="TableText"/>
            </w:pPr>
            <w:r>
              <w:t>AGAu(b)</w:t>
            </w:r>
          </w:p>
        </w:tc>
      </w:tr>
      <w:tr w:rsidR="00824338" w14:paraId="05598B58" w14:textId="77777777">
        <w:tblPrEx>
          <w:tblBorders>
            <w:insideH w:val="single" w:sz="4" w:space="0" w:color="auto"/>
            <w:insideV w:val="single" w:sz="4" w:space="0" w:color="auto"/>
          </w:tblBorders>
        </w:tblPrEx>
        <w:tc>
          <w:tcPr>
            <w:tcW w:w="1253" w:type="dxa"/>
            <w:shd w:val="clear" w:color="auto" w:fill="auto"/>
          </w:tcPr>
          <w:p w14:paraId="69722B68" w14:textId="77777777" w:rsidR="003E3D07" w:rsidRDefault="003E3D07">
            <w:pPr>
              <w:pStyle w:val="TableText"/>
              <w:rPr>
                <w:rFonts w:eastAsia="Symbol"/>
              </w:rPr>
            </w:pPr>
            <w:r>
              <w:t>Anti-Ch</w:t>
            </w:r>
          </w:p>
        </w:tc>
        <w:tc>
          <w:tcPr>
            <w:tcW w:w="1253" w:type="dxa"/>
            <w:shd w:val="clear" w:color="auto" w:fill="auto"/>
          </w:tcPr>
          <w:p w14:paraId="5BF81477" w14:textId="77777777" w:rsidR="003E3D07" w:rsidRDefault="003E3D07">
            <w:pPr>
              <w:pStyle w:val="TableText"/>
              <w:rPr>
                <w:rFonts w:eastAsia="Symbol"/>
              </w:rPr>
            </w:pPr>
            <w:r>
              <w:t>None</w:t>
            </w:r>
          </w:p>
        </w:tc>
        <w:tc>
          <w:tcPr>
            <w:tcW w:w="878" w:type="dxa"/>
            <w:shd w:val="clear" w:color="auto" w:fill="auto"/>
          </w:tcPr>
          <w:p w14:paraId="5735F158" w14:textId="77777777" w:rsidR="003E3D07" w:rsidRDefault="003E3D07">
            <w:pPr>
              <w:pStyle w:val="TableText"/>
            </w:pPr>
            <w:r>
              <w:t>No</w:t>
            </w:r>
          </w:p>
        </w:tc>
        <w:tc>
          <w:tcPr>
            <w:tcW w:w="878" w:type="dxa"/>
            <w:shd w:val="clear" w:color="auto" w:fill="auto"/>
          </w:tcPr>
          <w:p w14:paraId="4B78AE2F" w14:textId="77777777" w:rsidR="003E3D07" w:rsidRDefault="003E3D07">
            <w:pPr>
              <w:pStyle w:val="TableText"/>
              <w:rPr>
                <w:rFonts w:eastAsia="Symbol"/>
              </w:rPr>
            </w:pPr>
            <w:r>
              <w:t>Optional</w:t>
            </w:r>
          </w:p>
        </w:tc>
        <w:tc>
          <w:tcPr>
            <w:tcW w:w="1253" w:type="dxa"/>
            <w:shd w:val="clear" w:color="auto" w:fill="auto"/>
          </w:tcPr>
          <w:p w14:paraId="6FBF2C85" w14:textId="77777777" w:rsidR="003E3D07" w:rsidRDefault="003E3D07">
            <w:pPr>
              <w:pStyle w:val="TableText"/>
              <w:rPr>
                <w:rFonts w:eastAsia="Symbol"/>
              </w:rPr>
            </w:pPr>
            <w:r>
              <w:t>Ch</w:t>
            </w:r>
          </w:p>
        </w:tc>
        <w:tc>
          <w:tcPr>
            <w:tcW w:w="1253" w:type="dxa"/>
            <w:shd w:val="clear" w:color="auto" w:fill="auto"/>
          </w:tcPr>
          <w:p w14:paraId="141BD64B" w14:textId="77777777" w:rsidR="003E3D07" w:rsidRDefault="003E3D07">
            <w:pPr>
              <w:pStyle w:val="TableText"/>
            </w:pPr>
            <w:r>
              <w:t>None</w:t>
            </w:r>
          </w:p>
        </w:tc>
        <w:tc>
          <w:tcPr>
            <w:tcW w:w="1296" w:type="dxa"/>
            <w:shd w:val="clear" w:color="auto" w:fill="auto"/>
          </w:tcPr>
          <w:p w14:paraId="0AF8A4FC" w14:textId="77777777" w:rsidR="003E3D07" w:rsidRDefault="003E3D07">
            <w:pPr>
              <w:pStyle w:val="TableText"/>
              <w:rPr>
                <w:rFonts w:eastAsia="Symbol"/>
              </w:rPr>
            </w:pPr>
            <w:r>
              <w:t>2</w:t>
            </w:r>
          </w:p>
        </w:tc>
        <w:tc>
          <w:tcPr>
            <w:tcW w:w="1296" w:type="dxa"/>
            <w:shd w:val="clear" w:color="auto" w:fill="auto"/>
          </w:tcPr>
          <w:p w14:paraId="7FDE11B0" w14:textId="77777777" w:rsidR="003E3D07" w:rsidRDefault="003E3D07">
            <w:pPr>
              <w:pStyle w:val="TableText"/>
            </w:pPr>
            <w:r>
              <w:t>AGCh</w:t>
            </w:r>
          </w:p>
        </w:tc>
      </w:tr>
      <w:tr w:rsidR="00824338" w14:paraId="0A08A2EB" w14:textId="77777777">
        <w:tblPrEx>
          <w:tblBorders>
            <w:insideH w:val="single" w:sz="4" w:space="0" w:color="auto"/>
            <w:insideV w:val="single" w:sz="4" w:space="0" w:color="auto"/>
          </w:tblBorders>
        </w:tblPrEx>
        <w:tc>
          <w:tcPr>
            <w:tcW w:w="1253" w:type="dxa"/>
            <w:shd w:val="clear" w:color="auto" w:fill="auto"/>
          </w:tcPr>
          <w:p w14:paraId="574372ED" w14:textId="77777777" w:rsidR="003E3D07" w:rsidRDefault="003E3D07">
            <w:pPr>
              <w:pStyle w:val="TableText"/>
              <w:rPr>
                <w:rFonts w:eastAsia="Symbol"/>
              </w:rPr>
            </w:pPr>
            <w:r>
              <w:t>Anti-Rg</w:t>
            </w:r>
          </w:p>
        </w:tc>
        <w:tc>
          <w:tcPr>
            <w:tcW w:w="1253" w:type="dxa"/>
            <w:shd w:val="clear" w:color="auto" w:fill="auto"/>
          </w:tcPr>
          <w:p w14:paraId="519CE4A2" w14:textId="77777777" w:rsidR="003E3D07" w:rsidRDefault="003E3D07">
            <w:pPr>
              <w:pStyle w:val="TableText"/>
              <w:rPr>
                <w:rFonts w:eastAsia="Symbol"/>
              </w:rPr>
            </w:pPr>
            <w:r>
              <w:t>None</w:t>
            </w:r>
          </w:p>
        </w:tc>
        <w:tc>
          <w:tcPr>
            <w:tcW w:w="878" w:type="dxa"/>
            <w:shd w:val="clear" w:color="auto" w:fill="auto"/>
          </w:tcPr>
          <w:p w14:paraId="0AFC0255" w14:textId="77777777" w:rsidR="003E3D07" w:rsidRDefault="003E3D07">
            <w:pPr>
              <w:pStyle w:val="TableText"/>
            </w:pPr>
            <w:r>
              <w:t>No</w:t>
            </w:r>
          </w:p>
        </w:tc>
        <w:tc>
          <w:tcPr>
            <w:tcW w:w="878" w:type="dxa"/>
            <w:shd w:val="clear" w:color="auto" w:fill="auto"/>
          </w:tcPr>
          <w:p w14:paraId="00F22471" w14:textId="77777777" w:rsidR="003E3D07" w:rsidRDefault="003E3D07">
            <w:pPr>
              <w:pStyle w:val="TableText"/>
              <w:rPr>
                <w:rFonts w:eastAsia="Symbol"/>
              </w:rPr>
            </w:pPr>
            <w:r>
              <w:t>Optional</w:t>
            </w:r>
          </w:p>
        </w:tc>
        <w:tc>
          <w:tcPr>
            <w:tcW w:w="1253" w:type="dxa"/>
            <w:shd w:val="clear" w:color="auto" w:fill="auto"/>
          </w:tcPr>
          <w:p w14:paraId="646CA0F2" w14:textId="77777777" w:rsidR="003E3D07" w:rsidRDefault="003E3D07">
            <w:pPr>
              <w:pStyle w:val="TableText"/>
              <w:rPr>
                <w:rFonts w:eastAsia="Symbol"/>
              </w:rPr>
            </w:pPr>
            <w:r>
              <w:t>Rg</w:t>
            </w:r>
          </w:p>
        </w:tc>
        <w:tc>
          <w:tcPr>
            <w:tcW w:w="1253" w:type="dxa"/>
            <w:shd w:val="clear" w:color="auto" w:fill="auto"/>
          </w:tcPr>
          <w:p w14:paraId="36674FF6" w14:textId="77777777" w:rsidR="003E3D07" w:rsidRDefault="003E3D07">
            <w:pPr>
              <w:pStyle w:val="TableText"/>
            </w:pPr>
            <w:r>
              <w:t>None</w:t>
            </w:r>
          </w:p>
        </w:tc>
        <w:tc>
          <w:tcPr>
            <w:tcW w:w="1296" w:type="dxa"/>
            <w:shd w:val="clear" w:color="auto" w:fill="auto"/>
          </w:tcPr>
          <w:p w14:paraId="347372D3" w14:textId="77777777" w:rsidR="003E3D07" w:rsidRDefault="003E3D07">
            <w:pPr>
              <w:pStyle w:val="TableText"/>
              <w:rPr>
                <w:rFonts w:eastAsia="Symbol"/>
              </w:rPr>
            </w:pPr>
            <w:r>
              <w:t>3</w:t>
            </w:r>
          </w:p>
        </w:tc>
        <w:tc>
          <w:tcPr>
            <w:tcW w:w="1296" w:type="dxa"/>
            <w:shd w:val="clear" w:color="auto" w:fill="auto"/>
          </w:tcPr>
          <w:p w14:paraId="4C08D60E" w14:textId="77777777" w:rsidR="003E3D07" w:rsidRDefault="003E3D07">
            <w:pPr>
              <w:pStyle w:val="TableText"/>
            </w:pPr>
            <w:r>
              <w:t>AGRg</w:t>
            </w:r>
          </w:p>
        </w:tc>
      </w:tr>
      <w:tr w:rsidR="00824338" w14:paraId="1CCA1380" w14:textId="77777777">
        <w:tblPrEx>
          <w:tblBorders>
            <w:insideH w:val="single" w:sz="4" w:space="0" w:color="auto"/>
            <w:insideV w:val="single" w:sz="4" w:space="0" w:color="auto"/>
          </w:tblBorders>
        </w:tblPrEx>
        <w:tc>
          <w:tcPr>
            <w:tcW w:w="1253" w:type="dxa"/>
            <w:shd w:val="clear" w:color="auto" w:fill="auto"/>
          </w:tcPr>
          <w:p w14:paraId="085EBDF5" w14:textId="77777777" w:rsidR="003E3D07" w:rsidRDefault="003E3D07">
            <w:pPr>
              <w:pStyle w:val="TableText"/>
              <w:rPr>
                <w:rFonts w:eastAsia="Symbol"/>
              </w:rPr>
            </w:pPr>
            <w:r>
              <w:t>Anti-Cs(a)</w:t>
            </w:r>
          </w:p>
        </w:tc>
        <w:tc>
          <w:tcPr>
            <w:tcW w:w="1253" w:type="dxa"/>
            <w:shd w:val="clear" w:color="auto" w:fill="auto"/>
          </w:tcPr>
          <w:p w14:paraId="35AA1667" w14:textId="77777777" w:rsidR="003E3D07" w:rsidRDefault="003E3D07">
            <w:pPr>
              <w:pStyle w:val="TableText"/>
              <w:rPr>
                <w:rFonts w:eastAsia="Symbol"/>
              </w:rPr>
            </w:pPr>
            <w:r>
              <w:t>None</w:t>
            </w:r>
          </w:p>
        </w:tc>
        <w:tc>
          <w:tcPr>
            <w:tcW w:w="878" w:type="dxa"/>
            <w:shd w:val="clear" w:color="auto" w:fill="auto"/>
          </w:tcPr>
          <w:p w14:paraId="592A424F" w14:textId="77777777" w:rsidR="003E3D07" w:rsidRDefault="003E3D07">
            <w:pPr>
              <w:pStyle w:val="TableText"/>
            </w:pPr>
            <w:r>
              <w:t>No</w:t>
            </w:r>
          </w:p>
        </w:tc>
        <w:tc>
          <w:tcPr>
            <w:tcW w:w="878" w:type="dxa"/>
            <w:shd w:val="clear" w:color="auto" w:fill="auto"/>
          </w:tcPr>
          <w:p w14:paraId="453EC92F" w14:textId="77777777" w:rsidR="003E3D07" w:rsidRDefault="003E3D07">
            <w:pPr>
              <w:pStyle w:val="TableText"/>
              <w:rPr>
                <w:rFonts w:eastAsia="Symbol"/>
              </w:rPr>
            </w:pPr>
            <w:r>
              <w:t>Optional</w:t>
            </w:r>
          </w:p>
        </w:tc>
        <w:tc>
          <w:tcPr>
            <w:tcW w:w="1253" w:type="dxa"/>
            <w:shd w:val="clear" w:color="auto" w:fill="auto"/>
          </w:tcPr>
          <w:p w14:paraId="14B8ECEA" w14:textId="77777777" w:rsidR="003E3D07" w:rsidRDefault="003E3D07">
            <w:pPr>
              <w:pStyle w:val="TableText"/>
              <w:rPr>
                <w:rFonts w:eastAsia="Symbol"/>
              </w:rPr>
            </w:pPr>
            <w:r>
              <w:t>Cs(a)</w:t>
            </w:r>
          </w:p>
        </w:tc>
        <w:tc>
          <w:tcPr>
            <w:tcW w:w="1253" w:type="dxa"/>
            <w:shd w:val="clear" w:color="auto" w:fill="auto"/>
          </w:tcPr>
          <w:p w14:paraId="15658282" w14:textId="77777777" w:rsidR="003E3D07" w:rsidRDefault="003E3D07">
            <w:pPr>
              <w:pStyle w:val="TableText"/>
            </w:pPr>
            <w:r>
              <w:t>None</w:t>
            </w:r>
          </w:p>
        </w:tc>
        <w:tc>
          <w:tcPr>
            <w:tcW w:w="1296" w:type="dxa"/>
            <w:shd w:val="clear" w:color="auto" w:fill="auto"/>
          </w:tcPr>
          <w:p w14:paraId="724C8339" w14:textId="77777777" w:rsidR="003E3D07" w:rsidRDefault="003E3D07">
            <w:pPr>
              <w:pStyle w:val="TableText"/>
              <w:rPr>
                <w:rFonts w:eastAsia="Symbol"/>
              </w:rPr>
            </w:pPr>
            <w:r>
              <w:t>4</w:t>
            </w:r>
          </w:p>
        </w:tc>
        <w:tc>
          <w:tcPr>
            <w:tcW w:w="1296" w:type="dxa"/>
            <w:shd w:val="clear" w:color="auto" w:fill="auto"/>
          </w:tcPr>
          <w:p w14:paraId="7C532547" w14:textId="77777777" w:rsidR="003E3D07" w:rsidRDefault="003E3D07">
            <w:pPr>
              <w:pStyle w:val="TableText"/>
            </w:pPr>
            <w:r>
              <w:t>AGCs(a)</w:t>
            </w:r>
          </w:p>
        </w:tc>
      </w:tr>
      <w:tr w:rsidR="00824338" w14:paraId="74F9F96B" w14:textId="77777777">
        <w:tblPrEx>
          <w:tblBorders>
            <w:insideH w:val="single" w:sz="4" w:space="0" w:color="auto"/>
            <w:insideV w:val="single" w:sz="4" w:space="0" w:color="auto"/>
          </w:tblBorders>
        </w:tblPrEx>
        <w:tc>
          <w:tcPr>
            <w:tcW w:w="1253" w:type="dxa"/>
            <w:shd w:val="clear" w:color="auto" w:fill="auto"/>
          </w:tcPr>
          <w:p w14:paraId="0F5ACEF9" w14:textId="77777777" w:rsidR="003E3D07" w:rsidRDefault="003E3D07">
            <w:pPr>
              <w:pStyle w:val="TableText"/>
              <w:rPr>
                <w:rFonts w:eastAsia="Symbol"/>
              </w:rPr>
            </w:pPr>
            <w:r>
              <w:t>Anti-Yk(a)</w:t>
            </w:r>
          </w:p>
        </w:tc>
        <w:tc>
          <w:tcPr>
            <w:tcW w:w="1253" w:type="dxa"/>
            <w:shd w:val="clear" w:color="auto" w:fill="auto"/>
          </w:tcPr>
          <w:p w14:paraId="29C2E626" w14:textId="77777777" w:rsidR="003E3D07" w:rsidRDefault="003E3D07">
            <w:pPr>
              <w:pStyle w:val="TableText"/>
              <w:rPr>
                <w:rFonts w:eastAsia="Symbol"/>
              </w:rPr>
            </w:pPr>
            <w:r>
              <w:t>None</w:t>
            </w:r>
          </w:p>
        </w:tc>
        <w:tc>
          <w:tcPr>
            <w:tcW w:w="878" w:type="dxa"/>
            <w:shd w:val="clear" w:color="auto" w:fill="auto"/>
          </w:tcPr>
          <w:p w14:paraId="3504026B" w14:textId="77777777" w:rsidR="003E3D07" w:rsidRDefault="003E3D07">
            <w:pPr>
              <w:pStyle w:val="TableText"/>
            </w:pPr>
            <w:r>
              <w:t>No</w:t>
            </w:r>
          </w:p>
        </w:tc>
        <w:tc>
          <w:tcPr>
            <w:tcW w:w="878" w:type="dxa"/>
            <w:shd w:val="clear" w:color="auto" w:fill="auto"/>
          </w:tcPr>
          <w:p w14:paraId="75DD88B4" w14:textId="77777777" w:rsidR="003E3D07" w:rsidRDefault="003E3D07">
            <w:pPr>
              <w:pStyle w:val="TableText"/>
              <w:rPr>
                <w:rFonts w:eastAsia="Symbol"/>
              </w:rPr>
            </w:pPr>
            <w:r>
              <w:t>Optional</w:t>
            </w:r>
          </w:p>
        </w:tc>
        <w:tc>
          <w:tcPr>
            <w:tcW w:w="1253" w:type="dxa"/>
            <w:shd w:val="clear" w:color="auto" w:fill="auto"/>
          </w:tcPr>
          <w:p w14:paraId="4ED24652" w14:textId="77777777" w:rsidR="003E3D07" w:rsidRDefault="003E3D07">
            <w:pPr>
              <w:pStyle w:val="TableText"/>
              <w:rPr>
                <w:rFonts w:eastAsia="Symbol"/>
              </w:rPr>
            </w:pPr>
            <w:r>
              <w:t>Yk(a)</w:t>
            </w:r>
          </w:p>
        </w:tc>
        <w:tc>
          <w:tcPr>
            <w:tcW w:w="1253" w:type="dxa"/>
            <w:shd w:val="clear" w:color="auto" w:fill="auto"/>
          </w:tcPr>
          <w:p w14:paraId="73E0850A" w14:textId="77777777" w:rsidR="003E3D07" w:rsidRDefault="003E3D07">
            <w:pPr>
              <w:pStyle w:val="TableText"/>
            </w:pPr>
            <w:r>
              <w:t>None</w:t>
            </w:r>
          </w:p>
        </w:tc>
        <w:tc>
          <w:tcPr>
            <w:tcW w:w="1296" w:type="dxa"/>
            <w:shd w:val="clear" w:color="auto" w:fill="auto"/>
          </w:tcPr>
          <w:p w14:paraId="075CB4E4" w14:textId="77777777" w:rsidR="003E3D07" w:rsidRDefault="003E3D07">
            <w:pPr>
              <w:pStyle w:val="TableText"/>
              <w:rPr>
                <w:rFonts w:eastAsia="Symbol"/>
              </w:rPr>
            </w:pPr>
            <w:r>
              <w:t>4</w:t>
            </w:r>
          </w:p>
        </w:tc>
        <w:tc>
          <w:tcPr>
            <w:tcW w:w="1296" w:type="dxa"/>
            <w:shd w:val="clear" w:color="auto" w:fill="auto"/>
          </w:tcPr>
          <w:p w14:paraId="0A9443CE" w14:textId="77777777" w:rsidR="003E3D07" w:rsidRDefault="003E3D07">
            <w:pPr>
              <w:pStyle w:val="TableText"/>
            </w:pPr>
            <w:r>
              <w:t>AGYk(a)</w:t>
            </w:r>
          </w:p>
        </w:tc>
      </w:tr>
      <w:tr w:rsidR="00824338" w14:paraId="705DD3BE" w14:textId="77777777">
        <w:tblPrEx>
          <w:tblBorders>
            <w:insideH w:val="single" w:sz="4" w:space="0" w:color="auto"/>
            <w:insideV w:val="single" w:sz="4" w:space="0" w:color="auto"/>
          </w:tblBorders>
        </w:tblPrEx>
        <w:tc>
          <w:tcPr>
            <w:tcW w:w="1253" w:type="dxa"/>
            <w:shd w:val="clear" w:color="auto" w:fill="auto"/>
          </w:tcPr>
          <w:p w14:paraId="34E277EE" w14:textId="77777777" w:rsidR="003E3D07" w:rsidRDefault="003E3D07">
            <w:pPr>
              <w:pStyle w:val="TableText"/>
              <w:rPr>
                <w:rFonts w:eastAsia="Symbol"/>
              </w:rPr>
            </w:pPr>
            <w:r>
              <w:t>Anti-Kn(a)</w:t>
            </w:r>
          </w:p>
        </w:tc>
        <w:tc>
          <w:tcPr>
            <w:tcW w:w="1253" w:type="dxa"/>
            <w:shd w:val="clear" w:color="auto" w:fill="auto"/>
          </w:tcPr>
          <w:p w14:paraId="6F1FBB40" w14:textId="77777777" w:rsidR="003E3D07" w:rsidRDefault="003E3D07">
            <w:pPr>
              <w:pStyle w:val="TableText"/>
              <w:rPr>
                <w:rFonts w:eastAsia="Symbol"/>
              </w:rPr>
            </w:pPr>
            <w:r>
              <w:t>None</w:t>
            </w:r>
          </w:p>
        </w:tc>
        <w:tc>
          <w:tcPr>
            <w:tcW w:w="878" w:type="dxa"/>
            <w:shd w:val="clear" w:color="auto" w:fill="auto"/>
          </w:tcPr>
          <w:p w14:paraId="2F5F85A1" w14:textId="77777777" w:rsidR="003E3D07" w:rsidRDefault="003E3D07">
            <w:pPr>
              <w:pStyle w:val="TableText"/>
            </w:pPr>
            <w:r>
              <w:t>No</w:t>
            </w:r>
          </w:p>
        </w:tc>
        <w:tc>
          <w:tcPr>
            <w:tcW w:w="878" w:type="dxa"/>
            <w:shd w:val="clear" w:color="auto" w:fill="auto"/>
          </w:tcPr>
          <w:p w14:paraId="7E96433B" w14:textId="77777777" w:rsidR="003E3D07" w:rsidRDefault="003E3D07">
            <w:pPr>
              <w:pStyle w:val="TableText"/>
              <w:rPr>
                <w:rFonts w:eastAsia="Symbol"/>
              </w:rPr>
            </w:pPr>
            <w:r>
              <w:t>Optional</w:t>
            </w:r>
          </w:p>
        </w:tc>
        <w:tc>
          <w:tcPr>
            <w:tcW w:w="1253" w:type="dxa"/>
            <w:shd w:val="clear" w:color="auto" w:fill="auto"/>
          </w:tcPr>
          <w:p w14:paraId="659E3527" w14:textId="77777777" w:rsidR="003E3D07" w:rsidRDefault="003E3D07">
            <w:pPr>
              <w:pStyle w:val="TableText"/>
              <w:rPr>
                <w:rFonts w:eastAsia="Symbol"/>
              </w:rPr>
            </w:pPr>
            <w:r>
              <w:t>Kn(a)</w:t>
            </w:r>
          </w:p>
        </w:tc>
        <w:tc>
          <w:tcPr>
            <w:tcW w:w="1253" w:type="dxa"/>
            <w:shd w:val="clear" w:color="auto" w:fill="auto"/>
          </w:tcPr>
          <w:p w14:paraId="016A09CA" w14:textId="77777777" w:rsidR="003E3D07" w:rsidRDefault="003E3D07">
            <w:pPr>
              <w:pStyle w:val="TableText"/>
            </w:pPr>
            <w:r>
              <w:t>None</w:t>
            </w:r>
          </w:p>
        </w:tc>
        <w:tc>
          <w:tcPr>
            <w:tcW w:w="1296" w:type="dxa"/>
            <w:shd w:val="clear" w:color="auto" w:fill="auto"/>
          </w:tcPr>
          <w:p w14:paraId="5C063E15" w14:textId="77777777" w:rsidR="003E3D07" w:rsidRDefault="003E3D07">
            <w:pPr>
              <w:pStyle w:val="TableText"/>
              <w:rPr>
                <w:rFonts w:eastAsia="Symbol"/>
              </w:rPr>
            </w:pPr>
            <w:r>
              <w:t>1</w:t>
            </w:r>
          </w:p>
        </w:tc>
        <w:tc>
          <w:tcPr>
            <w:tcW w:w="1296" w:type="dxa"/>
            <w:shd w:val="clear" w:color="auto" w:fill="auto"/>
          </w:tcPr>
          <w:p w14:paraId="76889234" w14:textId="77777777" w:rsidR="003E3D07" w:rsidRDefault="003E3D07">
            <w:pPr>
              <w:pStyle w:val="TableText"/>
            </w:pPr>
            <w:r>
              <w:t>AGKn(a)</w:t>
            </w:r>
          </w:p>
        </w:tc>
      </w:tr>
      <w:tr w:rsidR="00824338" w14:paraId="7275D38E" w14:textId="77777777">
        <w:tblPrEx>
          <w:tblBorders>
            <w:insideH w:val="single" w:sz="4" w:space="0" w:color="auto"/>
            <w:insideV w:val="single" w:sz="4" w:space="0" w:color="auto"/>
          </w:tblBorders>
        </w:tblPrEx>
        <w:tc>
          <w:tcPr>
            <w:tcW w:w="1253" w:type="dxa"/>
            <w:shd w:val="clear" w:color="auto" w:fill="auto"/>
          </w:tcPr>
          <w:p w14:paraId="5A910DCB" w14:textId="77777777" w:rsidR="003E3D07" w:rsidRDefault="003E3D07">
            <w:pPr>
              <w:pStyle w:val="TableText"/>
              <w:rPr>
                <w:rFonts w:eastAsia="Symbol"/>
              </w:rPr>
            </w:pPr>
            <w:r>
              <w:t>Anti-McC(a)</w:t>
            </w:r>
          </w:p>
        </w:tc>
        <w:tc>
          <w:tcPr>
            <w:tcW w:w="1253" w:type="dxa"/>
            <w:shd w:val="clear" w:color="auto" w:fill="auto"/>
          </w:tcPr>
          <w:p w14:paraId="09CB02A3" w14:textId="77777777" w:rsidR="003E3D07" w:rsidRDefault="003E3D07">
            <w:pPr>
              <w:pStyle w:val="TableText"/>
            </w:pPr>
            <w:r>
              <w:t>None</w:t>
            </w:r>
          </w:p>
        </w:tc>
        <w:tc>
          <w:tcPr>
            <w:tcW w:w="878" w:type="dxa"/>
            <w:shd w:val="clear" w:color="auto" w:fill="auto"/>
          </w:tcPr>
          <w:p w14:paraId="4C30CB2E" w14:textId="77777777" w:rsidR="003E3D07" w:rsidRDefault="003E3D07">
            <w:pPr>
              <w:pStyle w:val="TableText"/>
            </w:pPr>
            <w:r>
              <w:t>No</w:t>
            </w:r>
          </w:p>
        </w:tc>
        <w:tc>
          <w:tcPr>
            <w:tcW w:w="878" w:type="dxa"/>
            <w:shd w:val="clear" w:color="auto" w:fill="auto"/>
          </w:tcPr>
          <w:p w14:paraId="06EF84BF" w14:textId="77777777" w:rsidR="003E3D07" w:rsidRDefault="003E3D07">
            <w:pPr>
              <w:pStyle w:val="TableText"/>
              <w:rPr>
                <w:rFonts w:eastAsia="Symbol"/>
              </w:rPr>
            </w:pPr>
            <w:r>
              <w:t>Optional</w:t>
            </w:r>
          </w:p>
        </w:tc>
        <w:tc>
          <w:tcPr>
            <w:tcW w:w="1253" w:type="dxa"/>
            <w:shd w:val="clear" w:color="auto" w:fill="auto"/>
          </w:tcPr>
          <w:p w14:paraId="2DC44F7B" w14:textId="77777777" w:rsidR="003E3D07" w:rsidRDefault="003E3D07">
            <w:pPr>
              <w:pStyle w:val="TableText"/>
              <w:rPr>
                <w:rFonts w:eastAsia="Symbol"/>
              </w:rPr>
            </w:pPr>
            <w:r>
              <w:t>McC(a)</w:t>
            </w:r>
          </w:p>
        </w:tc>
        <w:tc>
          <w:tcPr>
            <w:tcW w:w="1253" w:type="dxa"/>
            <w:shd w:val="clear" w:color="auto" w:fill="auto"/>
          </w:tcPr>
          <w:p w14:paraId="5F29EF15" w14:textId="77777777" w:rsidR="003E3D07" w:rsidRDefault="003E3D07">
            <w:pPr>
              <w:pStyle w:val="TableText"/>
            </w:pPr>
            <w:r>
              <w:t>None</w:t>
            </w:r>
          </w:p>
        </w:tc>
        <w:tc>
          <w:tcPr>
            <w:tcW w:w="1296" w:type="dxa"/>
            <w:shd w:val="clear" w:color="auto" w:fill="auto"/>
          </w:tcPr>
          <w:p w14:paraId="66C5EAD1" w14:textId="77777777" w:rsidR="003E3D07" w:rsidRDefault="003E3D07">
            <w:pPr>
              <w:pStyle w:val="TableText"/>
              <w:rPr>
                <w:rFonts w:eastAsia="Symbol"/>
              </w:rPr>
            </w:pPr>
            <w:r>
              <w:t>1</w:t>
            </w:r>
          </w:p>
        </w:tc>
        <w:tc>
          <w:tcPr>
            <w:tcW w:w="1296" w:type="dxa"/>
            <w:shd w:val="clear" w:color="auto" w:fill="auto"/>
          </w:tcPr>
          <w:p w14:paraId="51CE4D3C" w14:textId="77777777" w:rsidR="003E3D07" w:rsidRDefault="003E3D07">
            <w:pPr>
              <w:pStyle w:val="TableText"/>
            </w:pPr>
            <w:r>
              <w:t>AGMcC(a)</w:t>
            </w:r>
          </w:p>
        </w:tc>
      </w:tr>
      <w:tr w:rsidR="00824338" w14:paraId="0352CFBC" w14:textId="77777777">
        <w:tblPrEx>
          <w:tblBorders>
            <w:insideH w:val="single" w:sz="4" w:space="0" w:color="auto"/>
            <w:insideV w:val="single" w:sz="4" w:space="0" w:color="auto"/>
          </w:tblBorders>
        </w:tblPrEx>
        <w:tc>
          <w:tcPr>
            <w:tcW w:w="1253" w:type="dxa"/>
            <w:shd w:val="clear" w:color="auto" w:fill="auto"/>
          </w:tcPr>
          <w:p w14:paraId="2D41E9D8" w14:textId="77777777" w:rsidR="003E3D07" w:rsidRDefault="003E3D07" w:rsidP="009C5939">
            <w:pPr>
              <w:pStyle w:val="TableText"/>
              <w:rPr>
                <w:rFonts w:eastAsia="Symbol"/>
              </w:rPr>
            </w:pPr>
            <w:r>
              <w:t>Anti-JMH</w:t>
            </w:r>
          </w:p>
        </w:tc>
        <w:tc>
          <w:tcPr>
            <w:tcW w:w="1253" w:type="dxa"/>
            <w:shd w:val="clear" w:color="auto" w:fill="auto"/>
          </w:tcPr>
          <w:p w14:paraId="54B4D5AA" w14:textId="77777777" w:rsidR="003E3D07" w:rsidRDefault="003E3D07" w:rsidP="009C5939">
            <w:pPr>
              <w:pStyle w:val="TableText"/>
            </w:pPr>
            <w:r>
              <w:t>None</w:t>
            </w:r>
          </w:p>
        </w:tc>
        <w:tc>
          <w:tcPr>
            <w:tcW w:w="878" w:type="dxa"/>
            <w:shd w:val="clear" w:color="auto" w:fill="auto"/>
          </w:tcPr>
          <w:p w14:paraId="3875BE90" w14:textId="77777777" w:rsidR="003E3D07" w:rsidRDefault="003E3D07" w:rsidP="009C5939">
            <w:pPr>
              <w:pStyle w:val="TableText"/>
            </w:pPr>
            <w:r>
              <w:t>No</w:t>
            </w:r>
          </w:p>
        </w:tc>
        <w:tc>
          <w:tcPr>
            <w:tcW w:w="878" w:type="dxa"/>
            <w:shd w:val="clear" w:color="auto" w:fill="auto"/>
          </w:tcPr>
          <w:p w14:paraId="181C720E" w14:textId="77777777" w:rsidR="003E3D07" w:rsidRDefault="003E3D07" w:rsidP="009C5939">
            <w:pPr>
              <w:pStyle w:val="TableText"/>
              <w:rPr>
                <w:rFonts w:eastAsia="Symbol"/>
              </w:rPr>
            </w:pPr>
            <w:r>
              <w:t>Optional</w:t>
            </w:r>
          </w:p>
        </w:tc>
        <w:tc>
          <w:tcPr>
            <w:tcW w:w="1253" w:type="dxa"/>
            <w:shd w:val="clear" w:color="auto" w:fill="auto"/>
          </w:tcPr>
          <w:p w14:paraId="16505177" w14:textId="77777777" w:rsidR="003E3D07" w:rsidRDefault="003E3D07" w:rsidP="009C5939">
            <w:pPr>
              <w:pStyle w:val="TableText"/>
              <w:rPr>
                <w:rFonts w:eastAsia="Symbol"/>
              </w:rPr>
            </w:pPr>
            <w:r>
              <w:t>JMH</w:t>
            </w:r>
          </w:p>
        </w:tc>
        <w:tc>
          <w:tcPr>
            <w:tcW w:w="1253" w:type="dxa"/>
            <w:shd w:val="clear" w:color="auto" w:fill="auto"/>
          </w:tcPr>
          <w:p w14:paraId="2251F58F" w14:textId="77777777" w:rsidR="003E3D07" w:rsidRDefault="003E3D07" w:rsidP="009C5939">
            <w:pPr>
              <w:pStyle w:val="TableText"/>
            </w:pPr>
            <w:r>
              <w:t>None</w:t>
            </w:r>
          </w:p>
        </w:tc>
        <w:tc>
          <w:tcPr>
            <w:tcW w:w="1296" w:type="dxa"/>
            <w:shd w:val="clear" w:color="auto" w:fill="auto"/>
          </w:tcPr>
          <w:p w14:paraId="3D4632AF" w14:textId="77777777" w:rsidR="003E3D07" w:rsidRDefault="003E3D07" w:rsidP="009C5939">
            <w:pPr>
              <w:pStyle w:val="TableText"/>
              <w:rPr>
                <w:rFonts w:eastAsia="Symbol"/>
              </w:rPr>
            </w:pPr>
            <w:r>
              <w:t>1</w:t>
            </w:r>
          </w:p>
        </w:tc>
        <w:tc>
          <w:tcPr>
            <w:tcW w:w="1296" w:type="dxa"/>
            <w:shd w:val="clear" w:color="auto" w:fill="auto"/>
          </w:tcPr>
          <w:p w14:paraId="49134535" w14:textId="77777777" w:rsidR="003E3D07" w:rsidRDefault="003E3D07" w:rsidP="009C5939">
            <w:pPr>
              <w:pStyle w:val="TableText"/>
            </w:pPr>
            <w:r>
              <w:t>AGJMH</w:t>
            </w:r>
          </w:p>
        </w:tc>
      </w:tr>
      <w:tr w:rsidR="00824338" w14:paraId="5C81B15E" w14:textId="77777777">
        <w:tblPrEx>
          <w:tblBorders>
            <w:insideH w:val="single" w:sz="4" w:space="0" w:color="auto"/>
            <w:insideV w:val="single" w:sz="4" w:space="0" w:color="auto"/>
          </w:tblBorders>
        </w:tblPrEx>
        <w:tc>
          <w:tcPr>
            <w:tcW w:w="1253" w:type="dxa"/>
            <w:shd w:val="clear" w:color="auto" w:fill="auto"/>
          </w:tcPr>
          <w:p w14:paraId="1AF80BBB" w14:textId="77777777" w:rsidR="003E3D07" w:rsidRDefault="003E3D07" w:rsidP="009C5939">
            <w:pPr>
              <w:pStyle w:val="TableText"/>
              <w:rPr>
                <w:rFonts w:eastAsia="Symbol"/>
              </w:rPr>
            </w:pPr>
            <w:r>
              <w:t>Anti-Yt(a)</w:t>
            </w:r>
          </w:p>
        </w:tc>
        <w:tc>
          <w:tcPr>
            <w:tcW w:w="1253" w:type="dxa"/>
            <w:shd w:val="clear" w:color="auto" w:fill="auto"/>
          </w:tcPr>
          <w:p w14:paraId="38E6D3C3" w14:textId="77777777" w:rsidR="003E3D07" w:rsidRDefault="003E3D07" w:rsidP="009C5939">
            <w:pPr>
              <w:pStyle w:val="TableText"/>
              <w:rPr>
                <w:rFonts w:eastAsia="Symbol"/>
              </w:rPr>
            </w:pPr>
            <w:r>
              <w:t>None</w:t>
            </w:r>
          </w:p>
        </w:tc>
        <w:tc>
          <w:tcPr>
            <w:tcW w:w="878" w:type="dxa"/>
            <w:shd w:val="clear" w:color="auto" w:fill="auto"/>
          </w:tcPr>
          <w:p w14:paraId="0A56AD9E" w14:textId="77777777" w:rsidR="003E3D07" w:rsidRDefault="003E3D07" w:rsidP="009C5939">
            <w:pPr>
              <w:pStyle w:val="TableText"/>
            </w:pPr>
            <w:r>
              <w:t>No</w:t>
            </w:r>
          </w:p>
        </w:tc>
        <w:tc>
          <w:tcPr>
            <w:tcW w:w="878" w:type="dxa"/>
            <w:shd w:val="clear" w:color="auto" w:fill="auto"/>
          </w:tcPr>
          <w:p w14:paraId="3A4F4EB4" w14:textId="77777777" w:rsidR="003E3D07" w:rsidRDefault="003E3D07" w:rsidP="009C5939">
            <w:pPr>
              <w:pStyle w:val="TableText"/>
              <w:rPr>
                <w:rFonts w:eastAsia="Symbol"/>
              </w:rPr>
            </w:pPr>
            <w:r>
              <w:t>Optional</w:t>
            </w:r>
          </w:p>
        </w:tc>
        <w:tc>
          <w:tcPr>
            <w:tcW w:w="1253" w:type="dxa"/>
            <w:shd w:val="clear" w:color="auto" w:fill="auto"/>
          </w:tcPr>
          <w:p w14:paraId="0F8B3419" w14:textId="77777777" w:rsidR="003E3D07" w:rsidRDefault="003E3D07" w:rsidP="009C5939">
            <w:pPr>
              <w:pStyle w:val="TableText"/>
              <w:rPr>
                <w:rFonts w:eastAsia="Symbol"/>
              </w:rPr>
            </w:pPr>
            <w:r>
              <w:t>Yt(a)</w:t>
            </w:r>
          </w:p>
        </w:tc>
        <w:tc>
          <w:tcPr>
            <w:tcW w:w="1253" w:type="dxa"/>
            <w:shd w:val="clear" w:color="auto" w:fill="auto"/>
          </w:tcPr>
          <w:p w14:paraId="6A5A5B5A" w14:textId="77777777" w:rsidR="003E3D07" w:rsidRDefault="003E3D07" w:rsidP="009C5939">
            <w:pPr>
              <w:pStyle w:val="TableText"/>
              <w:rPr>
                <w:rFonts w:eastAsia="Symbol"/>
              </w:rPr>
            </w:pPr>
            <w:r>
              <w:t>None</w:t>
            </w:r>
          </w:p>
        </w:tc>
        <w:tc>
          <w:tcPr>
            <w:tcW w:w="1296" w:type="dxa"/>
            <w:shd w:val="clear" w:color="auto" w:fill="auto"/>
          </w:tcPr>
          <w:p w14:paraId="276F7559" w14:textId="77777777" w:rsidR="003E3D07" w:rsidRDefault="003E3D07" w:rsidP="009C5939">
            <w:pPr>
              <w:pStyle w:val="TableText"/>
              <w:rPr>
                <w:rFonts w:eastAsia="Symbol"/>
              </w:rPr>
            </w:pPr>
            <w:r>
              <w:t>1</w:t>
            </w:r>
          </w:p>
        </w:tc>
        <w:tc>
          <w:tcPr>
            <w:tcW w:w="1296" w:type="dxa"/>
            <w:shd w:val="clear" w:color="auto" w:fill="auto"/>
          </w:tcPr>
          <w:p w14:paraId="79F58F27" w14:textId="77777777" w:rsidR="003E3D07" w:rsidRDefault="003E3D07" w:rsidP="009C5939">
            <w:pPr>
              <w:pStyle w:val="TableText"/>
              <w:rPr>
                <w:rFonts w:eastAsia="Symbol"/>
              </w:rPr>
            </w:pPr>
            <w:r>
              <w:t>AGYt(a)</w:t>
            </w:r>
          </w:p>
        </w:tc>
      </w:tr>
      <w:tr w:rsidR="00824338" w14:paraId="30CF6168" w14:textId="77777777">
        <w:tblPrEx>
          <w:tblBorders>
            <w:insideH w:val="single" w:sz="4" w:space="0" w:color="auto"/>
            <w:insideV w:val="single" w:sz="4" w:space="0" w:color="auto"/>
          </w:tblBorders>
        </w:tblPrEx>
        <w:tc>
          <w:tcPr>
            <w:tcW w:w="1253" w:type="dxa"/>
            <w:shd w:val="clear" w:color="auto" w:fill="auto"/>
          </w:tcPr>
          <w:p w14:paraId="767E5A0E" w14:textId="77777777" w:rsidR="003E3D07" w:rsidRDefault="003E3D07" w:rsidP="009C5939">
            <w:pPr>
              <w:pStyle w:val="TableText"/>
              <w:rPr>
                <w:rFonts w:eastAsia="Symbol"/>
              </w:rPr>
            </w:pPr>
            <w:r>
              <w:t>Anti-Yt(b)</w:t>
            </w:r>
          </w:p>
        </w:tc>
        <w:tc>
          <w:tcPr>
            <w:tcW w:w="1253" w:type="dxa"/>
            <w:shd w:val="clear" w:color="auto" w:fill="auto"/>
          </w:tcPr>
          <w:p w14:paraId="6851D567" w14:textId="77777777" w:rsidR="003E3D07" w:rsidRDefault="003E3D07" w:rsidP="009C5939">
            <w:pPr>
              <w:pStyle w:val="TableText"/>
              <w:rPr>
                <w:rFonts w:eastAsia="Symbol"/>
              </w:rPr>
            </w:pPr>
            <w:r>
              <w:t>None</w:t>
            </w:r>
          </w:p>
        </w:tc>
        <w:tc>
          <w:tcPr>
            <w:tcW w:w="878" w:type="dxa"/>
            <w:shd w:val="clear" w:color="auto" w:fill="auto"/>
          </w:tcPr>
          <w:p w14:paraId="2674B63F" w14:textId="77777777" w:rsidR="003E3D07" w:rsidRDefault="003E3D07" w:rsidP="009C5939">
            <w:pPr>
              <w:pStyle w:val="TableText"/>
            </w:pPr>
            <w:r>
              <w:t>No</w:t>
            </w:r>
          </w:p>
        </w:tc>
        <w:tc>
          <w:tcPr>
            <w:tcW w:w="878" w:type="dxa"/>
            <w:shd w:val="clear" w:color="auto" w:fill="auto"/>
          </w:tcPr>
          <w:p w14:paraId="668062F4" w14:textId="77777777" w:rsidR="003E3D07" w:rsidRDefault="003E3D07" w:rsidP="009C5939">
            <w:pPr>
              <w:pStyle w:val="TableText"/>
              <w:rPr>
                <w:rFonts w:eastAsia="Symbol"/>
              </w:rPr>
            </w:pPr>
            <w:r>
              <w:t>Optional</w:t>
            </w:r>
          </w:p>
        </w:tc>
        <w:tc>
          <w:tcPr>
            <w:tcW w:w="1253" w:type="dxa"/>
            <w:shd w:val="clear" w:color="auto" w:fill="auto"/>
          </w:tcPr>
          <w:p w14:paraId="66612333" w14:textId="77777777" w:rsidR="003E3D07" w:rsidRDefault="003E3D07" w:rsidP="009C5939">
            <w:pPr>
              <w:pStyle w:val="TableText"/>
              <w:rPr>
                <w:rFonts w:eastAsia="Symbol"/>
              </w:rPr>
            </w:pPr>
            <w:r>
              <w:t>Yt(b)</w:t>
            </w:r>
          </w:p>
        </w:tc>
        <w:tc>
          <w:tcPr>
            <w:tcW w:w="1253" w:type="dxa"/>
            <w:shd w:val="clear" w:color="auto" w:fill="auto"/>
          </w:tcPr>
          <w:p w14:paraId="37903F55" w14:textId="77777777" w:rsidR="003E3D07" w:rsidRDefault="003E3D07" w:rsidP="009C5939">
            <w:pPr>
              <w:pStyle w:val="TableText"/>
              <w:rPr>
                <w:rFonts w:eastAsia="Symbol"/>
              </w:rPr>
            </w:pPr>
            <w:r>
              <w:t>None</w:t>
            </w:r>
          </w:p>
        </w:tc>
        <w:tc>
          <w:tcPr>
            <w:tcW w:w="1296" w:type="dxa"/>
            <w:shd w:val="clear" w:color="auto" w:fill="auto"/>
          </w:tcPr>
          <w:p w14:paraId="33DA779F" w14:textId="77777777" w:rsidR="003E3D07" w:rsidRDefault="003E3D07" w:rsidP="009C5939">
            <w:pPr>
              <w:pStyle w:val="TableText"/>
              <w:rPr>
                <w:rFonts w:eastAsia="Symbol"/>
              </w:rPr>
            </w:pPr>
            <w:r>
              <w:t>92</w:t>
            </w:r>
          </w:p>
        </w:tc>
        <w:tc>
          <w:tcPr>
            <w:tcW w:w="1296" w:type="dxa"/>
            <w:shd w:val="clear" w:color="auto" w:fill="auto"/>
          </w:tcPr>
          <w:p w14:paraId="5F2BDD23" w14:textId="77777777" w:rsidR="003E3D07" w:rsidRDefault="003E3D07" w:rsidP="009C5939">
            <w:pPr>
              <w:pStyle w:val="TableText"/>
              <w:rPr>
                <w:rFonts w:eastAsia="Symbol"/>
              </w:rPr>
            </w:pPr>
            <w:r>
              <w:t>AGYt(b)</w:t>
            </w:r>
          </w:p>
        </w:tc>
      </w:tr>
      <w:tr w:rsidR="00824338" w14:paraId="67FC33DF" w14:textId="77777777">
        <w:tblPrEx>
          <w:tblBorders>
            <w:insideH w:val="single" w:sz="4" w:space="0" w:color="auto"/>
            <w:insideV w:val="single" w:sz="4" w:space="0" w:color="auto"/>
          </w:tblBorders>
        </w:tblPrEx>
        <w:tc>
          <w:tcPr>
            <w:tcW w:w="1253" w:type="dxa"/>
            <w:shd w:val="clear" w:color="auto" w:fill="auto"/>
          </w:tcPr>
          <w:p w14:paraId="1ED89685" w14:textId="77777777" w:rsidR="003E3D07" w:rsidRDefault="003E3D07" w:rsidP="009C5939">
            <w:pPr>
              <w:pStyle w:val="TableText"/>
              <w:rPr>
                <w:rFonts w:eastAsia="Symbol"/>
              </w:rPr>
            </w:pPr>
            <w:r>
              <w:t>HTLA (probable)</w:t>
            </w:r>
          </w:p>
        </w:tc>
        <w:tc>
          <w:tcPr>
            <w:tcW w:w="1253" w:type="dxa"/>
            <w:shd w:val="clear" w:color="auto" w:fill="auto"/>
          </w:tcPr>
          <w:p w14:paraId="76132795" w14:textId="77777777" w:rsidR="003E3D07" w:rsidRDefault="003E3D07" w:rsidP="009C5939">
            <w:pPr>
              <w:pStyle w:val="TableText"/>
            </w:pPr>
            <w:r>
              <w:t>None</w:t>
            </w:r>
          </w:p>
        </w:tc>
        <w:tc>
          <w:tcPr>
            <w:tcW w:w="878" w:type="dxa"/>
            <w:shd w:val="clear" w:color="auto" w:fill="auto"/>
          </w:tcPr>
          <w:p w14:paraId="57E272F8" w14:textId="77777777" w:rsidR="003E3D07" w:rsidRDefault="003E3D07" w:rsidP="009C5939">
            <w:pPr>
              <w:pStyle w:val="TableText"/>
            </w:pPr>
            <w:r>
              <w:t>No</w:t>
            </w:r>
          </w:p>
        </w:tc>
        <w:tc>
          <w:tcPr>
            <w:tcW w:w="878" w:type="dxa"/>
            <w:shd w:val="clear" w:color="auto" w:fill="auto"/>
          </w:tcPr>
          <w:p w14:paraId="2561670B" w14:textId="77777777" w:rsidR="003E3D07" w:rsidRDefault="003E3D07" w:rsidP="009C5939">
            <w:pPr>
              <w:pStyle w:val="TableText"/>
              <w:rPr>
                <w:rFonts w:eastAsia="Symbol"/>
              </w:rPr>
            </w:pPr>
            <w:r>
              <w:t>No</w:t>
            </w:r>
          </w:p>
        </w:tc>
        <w:tc>
          <w:tcPr>
            <w:tcW w:w="1253" w:type="dxa"/>
            <w:shd w:val="clear" w:color="auto" w:fill="auto"/>
          </w:tcPr>
          <w:p w14:paraId="24BAC765" w14:textId="77777777" w:rsidR="003E3D07" w:rsidRDefault="003E3D07" w:rsidP="009C5939">
            <w:pPr>
              <w:pStyle w:val="TableText"/>
              <w:rPr>
                <w:rFonts w:eastAsia="Symbol"/>
              </w:rPr>
            </w:pPr>
            <w:r>
              <w:t>None</w:t>
            </w:r>
          </w:p>
        </w:tc>
        <w:tc>
          <w:tcPr>
            <w:tcW w:w="1253" w:type="dxa"/>
            <w:shd w:val="clear" w:color="auto" w:fill="auto"/>
          </w:tcPr>
          <w:p w14:paraId="2C804296" w14:textId="77777777" w:rsidR="003E3D07" w:rsidRDefault="003E3D07" w:rsidP="009C5939">
            <w:pPr>
              <w:pStyle w:val="TableText"/>
              <w:rPr>
                <w:rFonts w:eastAsia="Symbol"/>
              </w:rPr>
            </w:pPr>
            <w:r>
              <w:t>None</w:t>
            </w:r>
          </w:p>
        </w:tc>
        <w:tc>
          <w:tcPr>
            <w:tcW w:w="1296" w:type="dxa"/>
            <w:shd w:val="clear" w:color="auto" w:fill="auto"/>
          </w:tcPr>
          <w:p w14:paraId="4F87469D" w14:textId="77777777" w:rsidR="003E3D07" w:rsidRDefault="003E3D07" w:rsidP="009C5939">
            <w:pPr>
              <w:pStyle w:val="TableText"/>
              <w:rPr>
                <w:rFonts w:eastAsia="Symbol"/>
              </w:rPr>
            </w:pPr>
            <w:r>
              <w:rPr>
                <w:rFonts w:eastAsia="Symbol"/>
              </w:rPr>
              <w:t>0</w:t>
            </w:r>
          </w:p>
        </w:tc>
        <w:tc>
          <w:tcPr>
            <w:tcW w:w="1296" w:type="dxa"/>
            <w:vMerge w:val="restart"/>
            <w:shd w:val="clear" w:color="auto" w:fill="auto"/>
          </w:tcPr>
          <w:p w14:paraId="13ACD1E0" w14:textId="77777777" w:rsidR="003E3D07" w:rsidRDefault="003E3D07" w:rsidP="009C5939">
            <w:pPr>
              <w:pStyle w:val="TableText"/>
            </w:pPr>
            <w:r>
              <w:rPr>
                <w:rFonts w:eastAsia="Symbol"/>
              </w:rPr>
              <w:t>None</w:t>
            </w:r>
          </w:p>
        </w:tc>
      </w:tr>
      <w:tr w:rsidR="00824338" w14:paraId="7845CE28" w14:textId="77777777">
        <w:tblPrEx>
          <w:tblBorders>
            <w:insideH w:val="single" w:sz="4" w:space="0" w:color="auto"/>
            <w:insideV w:val="single" w:sz="4" w:space="0" w:color="auto"/>
          </w:tblBorders>
        </w:tblPrEx>
        <w:tc>
          <w:tcPr>
            <w:tcW w:w="1253" w:type="dxa"/>
            <w:shd w:val="clear" w:color="auto" w:fill="auto"/>
          </w:tcPr>
          <w:p w14:paraId="515EE660" w14:textId="77777777" w:rsidR="003E3D07" w:rsidRDefault="003E3D07" w:rsidP="009C5939">
            <w:pPr>
              <w:pStyle w:val="TableText"/>
            </w:pPr>
            <w:r>
              <w:t>Antibody, No Specificity</w:t>
            </w:r>
          </w:p>
          <w:p w14:paraId="40B8CE16" w14:textId="77777777" w:rsidR="003E3D07" w:rsidRDefault="003E3D07" w:rsidP="009C5939">
            <w:pPr>
              <w:pStyle w:val="TableText"/>
              <w:rPr>
                <w:sz w:val="20"/>
              </w:rPr>
            </w:pPr>
            <w:r>
              <w:t>Identified</w:t>
            </w:r>
          </w:p>
        </w:tc>
        <w:tc>
          <w:tcPr>
            <w:tcW w:w="1253" w:type="dxa"/>
            <w:shd w:val="clear" w:color="auto" w:fill="auto"/>
          </w:tcPr>
          <w:p w14:paraId="0CC6FA56" w14:textId="77777777" w:rsidR="003E3D07" w:rsidRDefault="003E3D07" w:rsidP="009C5939">
            <w:pPr>
              <w:pStyle w:val="TableText"/>
              <w:rPr>
                <w:sz w:val="20"/>
              </w:rPr>
            </w:pPr>
            <w:r>
              <w:t>Antibody (not otherwise specified)</w:t>
            </w:r>
          </w:p>
        </w:tc>
        <w:tc>
          <w:tcPr>
            <w:tcW w:w="878" w:type="dxa"/>
            <w:shd w:val="clear" w:color="auto" w:fill="auto"/>
          </w:tcPr>
          <w:p w14:paraId="487E6EA3" w14:textId="77777777" w:rsidR="003E3D07" w:rsidRDefault="003E3D07" w:rsidP="009C5939">
            <w:pPr>
              <w:pStyle w:val="TableText"/>
            </w:pPr>
            <w:r>
              <w:t>Unknown</w:t>
            </w:r>
            <w:r w:rsidR="00191509" w:rsidRPr="00191509">
              <w:rPr>
                <w:szCs w:val="18"/>
              </w:rPr>
              <w:t>§</w:t>
            </w:r>
          </w:p>
        </w:tc>
        <w:tc>
          <w:tcPr>
            <w:tcW w:w="878" w:type="dxa"/>
            <w:shd w:val="clear" w:color="auto" w:fill="auto"/>
          </w:tcPr>
          <w:p w14:paraId="3567424D" w14:textId="77777777" w:rsidR="003E3D07" w:rsidRDefault="003E3D07" w:rsidP="009C5939">
            <w:pPr>
              <w:pStyle w:val="TableText"/>
            </w:pPr>
            <w:r>
              <w:t>No</w:t>
            </w:r>
          </w:p>
        </w:tc>
        <w:tc>
          <w:tcPr>
            <w:tcW w:w="1253" w:type="dxa"/>
            <w:shd w:val="clear" w:color="auto" w:fill="auto"/>
          </w:tcPr>
          <w:p w14:paraId="55674AB4" w14:textId="77777777" w:rsidR="003E3D07" w:rsidRDefault="003E3D07" w:rsidP="009C5939">
            <w:pPr>
              <w:pStyle w:val="TableText"/>
            </w:pPr>
            <w:r>
              <w:t>None</w:t>
            </w:r>
          </w:p>
        </w:tc>
        <w:tc>
          <w:tcPr>
            <w:tcW w:w="1253" w:type="dxa"/>
            <w:shd w:val="clear" w:color="auto" w:fill="auto"/>
          </w:tcPr>
          <w:p w14:paraId="76A9C736" w14:textId="77777777" w:rsidR="003E3D07" w:rsidRDefault="003E3D07" w:rsidP="009C5939">
            <w:pPr>
              <w:pStyle w:val="TableText"/>
            </w:pPr>
            <w:r>
              <w:t>None</w:t>
            </w:r>
          </w:p>
        </w:tc>
        <w:tc>
          <w:tcPr>
            <w:tcW w:w="1296" w:type="dxa"/>
            <w:shd w:val="clear" w:color="auto" w:fill="auto"/>
          </w:tcPr>
          <w:p w14:paraId="6A4C4B11" w14:textId="77777777" w:rsidR="003E3D07" w:rsidRDefault="003E3D07" w:rsidP="009C5939">
            <w:pPr>
              <w:pStyle w:val="TableText"/>
              <w:rPr>
                <w:rFonts w:eastAsia="Symbol"/>
              </w:rPr>
            </w:pPr>
            <w:r>
              <w:rPr>
                <w:rFonts w:eastAsia="Symbol"/>
              </w:rPr>
              <w:t>0</w:t>
            </w:r>
          </w:p>
        </w:tc>
        <w:tc>
          <w:tcPr>
            <w:tcW w:w="1296" w:type="dxa"/>
            <w:vMerge/>
            <w:shd w:val="clear" w:color="auto" w:fill="auto"/>
          </w:tcPr>
          <w:p w14:paraId="0BE8AD1C" w14:textId="77777777" w:rsidR="003E3D07" w:rsidRDefault="003E3D07" w:rsidP="009C5939">
            <w:pPr>
              <w:pStyle w:val="TableText"/>
              <w:rPr>
                <w:rFonts w:eastAsia="Symbol"/>
              </w:rPr>
            </w:pPr>
          </w:p>
        </w:tc>
      </w:tr>
      <w:tr w:rsidR="00824338" w14:paraId="3ECAFF10" w14:textId="77777777">
        <w:tblPrEx>
          <w:tblBorders>
            <w:insideH w:val="single" w:sz="4" w:space="0" w:color="auto"/>
            <w:insideV w:val="single" w:sz="4" w:space="0" w:color="auto"/>
          </w:tblBorders>
        </w:tblPrEx>
        <w:tc>
          <w:tcPr>
            <w:tcW w:w="1253" w:type="dxa"/>
            <w:shd w:val="clear" w:color="auto" w:fill="auto"/>
          </w:tcPr>
          <w:p w14:paraId="2902BD35" w14:textId="77777777" w:rsidR="003E3D07" w:rsidRDefault="003E3D07" w:rsidP="009C5939">
            <w:pPr>
              <w:pStyle w:val="TableText"/>
            </w:pPr>
            <w:r>
              <w:t>Antibody to Low-Incidence Antigen</w:t>
            </w:r>
          </w:p>
        </w:tc>
        <w:tc>
          <w:tcPr>
            <w:tcW w:w="1253" w:type="dxa"/>
            <w:shd w:val="clear" w:color="auto" w:fill="auto"/>
          </w:tcPr>
          <w:p w14:paraId="69216AA6" w14:textId="77777777" w:rsidR="003E3D07" w:rsidRDefault="003E3D07" w:rsidP="009C5939">
            <w:pPr>
              <w:pStyle w:val="TableText"/>
            </w:pPr>
            <w:r>
              <w:t>Antibody, private (not otherwise specified)</w:t>
            </w:r>
          </w:p>
        </w:tc>
        <w:tc>
          <w:tcPr>
            <w:tcW w:w="878" w:type="dxa"/>
            <w:shd w:val="clear" w:color="auto" w:fill="auto"/>
          </w:tcPr>
          <w:p w14:paraId="42055EB0" w14:textId="77777777" w:rsidR="003E3D07" w:rsidRDefault="003E3D07" w:rsidP="009C5939">
            <w:pPr>
              <w:pStyle w:val="TableText"/>
            </w:pPr>
            <w:r>
              <w:t>Unknown</w:t>
            </w:r>
            <w:r w:rsidR="00191509" w:rsidRPr="00191509">
              <w:rPr>
                <w:szCs w:val="18"/>
              </w:rPr>
              <w:t>§</w:t>
            </w:r>
          </w:p>
        </w:tc>
        <w:tc>
          <w:tcPr>
            <w:tcW w:w="878" w:type="dxa"/>
            <w:shd w:val="clear" w:color="auto" w:fill="auto"/>
          </w:tcPr>
          <w:p w14:paraId="630E4D7E" w14:textId="77777777" w:rsidR="003E3D07" w:rsidRDefault="003E3D07" w:rsidP="009C5939">
            <w:pPr>
              <w:pStyle w:val="TableText"/>
            </w:pPr>
            <w:r>
              <w:t>No</w:t>
            </w:r>
          </w:p>
        </w:tc>
        <w:tc>
          <w:tcPr>
            <w:tcW w:w="1253" w:type="dxa"/>
            <w:shd w:val="clear" w:color="auto" w:fill="auto"/>
          </w:tcPr>
          <w:p w14:paraId="36BFC685" w14:textId="77777777" w:rsidR="003E3D07" w:rsidRDefault="003E3D07" w:rsidP="009C5939">
            <w:pPr>
              <w:pStyle w:val="TableText"/>
            </w:pPr>
            <w:r>
              <w:t>None</w:t>
            </w:r>
          </w:p>
        </w:tc>
        <w:tc>
          <w:tcPr>
            <w:tcW w:w="1253" w:type="dxa"/>
            <w:shd w:val="clear" w:color="auto" w:fill="auto"/>
          </w:tcPr>
          <w:p w14:paraId="762FBDCC" w14:textId="77777777" w:rsidR="003E3D07" w:rsidRDefault="003E3D07" w:rsidP="009C5939">
            <w:pPr>
              <w:pStyle w:val="TableText"/>
            </w:pPr>
            <w:r>
              <w:t>None</w:t>
            </w:r>
          </w:p>
        </w:tc>
        <w:tc>
          <w:tcPr>
            <w:tcW w:w="1296" w:type="dxa"/>
            <w:shd w:val="clear" w:color="auto" w:fill="auto"/>
          </w:tcPr>
          <w:p w14:paraId="20912104" w14:textId="77777777" w:rsidR="003E3D07" w:rsidRDefault="003E3D07" w:rsidP="009C5939">
            <w:pPr>
              <w:pStyle w:val="TableText"/>
              <w:rPr>
                <w:rFonts w:eastAsia="Symbol"/>
              </w:rPr>
            </w:pPr>
            <w:r>
              <w:rPr>
                <w:rFonts w:eastAsia="Symbol"/>
              </w:rPr>
              <w:t>99</w:t>
            </w:r>
          </w:p>
        </w:tc>
        <w:tc>
          <w:tcPr>
            <w:tcW w:w="1296" w:type="dxa"/>
            <w:vMerge/>
            <w:shd w:val="clear" w:color="auto" w:fill="auto"/>
          </w:tcPr>
          <w:p w14:paraId="7AAC4B20" w14:textId="77777777" w:rsidR="003E3D07" w:rsidRDefault="003E3D07" w:rsidP="009C5939">
            <w:pPr>
              <w:pStyle w:val="TableText"/>
              <w:rPr>
                <w:rFonts w:eastAsia="Symbol"/>
              </w:rPr>
            </w:pPr>
          </w:p>
        </w:tc>
      </w:tr>
      <w:tr w:rsidR="00824338" w14:paraId="3F4996E0" w14:textId="77777777">
        <w:tblPrEx>
          <w:tblBorders>
            <w:insideH w:val="single" w:sz="4" w:space="0" w:color="auto"/>
            <w:insideV w:val="single" w:sz="4" w:space="0" w:color="auto"/>
          </w:tblBorders>
        </w:tblPrEx>
        <w:tc>
          <w:tcPr>
            <w:tcW w:w="1253" w:type="dxa"/>
            <w:shd w:val="clear" w:color="auto" w:fill="auto"/>
          </w:tcPr>
          <w:p w14:paraId="0CA7ED25" w14:textId="77777777" w:rsidR="003E3D07" w:rsidRDefault="003E3D07" w:rsidP="009C5939">
            <w:pPr>
              <w:pStyle w:val="TableText"/>
              <w:rPr>
                <w:sz w:val="20"/>
              </w:rPr>
            </w:pPr>
            <w:r>
              <w:lastRenderedPageBreak/>
              <w:t>Antibody to High-Incidence Antigen</w:t>
            </w:r>
          </w:p>
        </w:tc>
        <w:tc>
          <w:tcPr>
            <w:tcW w:w="1253" w:type="dxa"/>
            <w:shd w:val="clear" w:color="auto" w:fill="auto"/>
          </w:tcPr>
          <w:p w14:paraId="2141603D" w14:textId="77777777" w:rsidR="003E3D07" w:rsidRDefault="003E3D07" w:rsidP="009C5939">
            <w:pPr>
              <w:pStyle w:val="TableText"/>
              <w:rPr>
                <w:sz w:val="20"/>
              </w:rPr>
            </w:pPr>
            <w:r>
              <w:t>Antibody, public (not otherwise specified)</w:t>
            </w:r>
          </w:p>
        </w:tc>
        <w:tc>
          <w:tcPr>
            <w:tcW w:w="878" w:type="dxa"/>
            <w:shd w:val="clear" w:color="auto" w:fill="auto"/>
          </w:tcPr>
          <w:p w14:paraId="6415B5B0" w14:textId="77777777" w:rsidR="003E3D07" w:rsidRDefault="003E3D07" w:rsidP="009C5939">
            <w:pPr>
              <w:pStyle w:val="TableText"/>
            </w:pPr>
            <w:r>
              <w:t>Unknown</w:t>
            </w:r>
            <w:r w:rsidR="00191509" w:rsidRPr="00191509">
              <w:rPr>
                <w:szCs w:val="18"/>
              </w:rPr>
              <w:t>§</w:t>
            </w:r>
          </w:p>
        </w:tc>
        <w:tc>
          <w:tcPr>
            <w:tcW w:w="878" w:type="dxa"/>
            <w:shd w:val="clear" w:color="auto" w:fill="auto"/>
          </w:tcPr>
          <w:p w14:paraId="2FE7FD40" w14:textId="77777777" w:rsidR="003E3D07" w:rsidRDefault="003E3D07" w:rsidP="009C5939">
            <w:pPr>
              <w:pStyle w:val="TableText"/>
            </w:pPr>
            <w:r>
              <w:t>No</w:t>
            </w:r>
          </w:p>
        </w:tc>
        <w:tc>
          <w:tcPr>
            <w:tcW w:w="1253" w:type="dxa"/>
            <w:shd w:val="clear" w:color="auto" w:fill="auto"/>
          </w:tcPr>
          <w:p w14:paraId="71EB51B2" w14:textId="77777777" w:rsidR="003E3D07" w:rsidRDefault="003E3D07" w:rsidP="009C5939">
            <w:pPr>
              <w:pStyle w:val="TableText"/>
            </w:pPr>
            <w:r>
              <w:t>None</w:t>
            </w:r>
          </w:p>
        </w:tc>
        <w:tc>
          <w:tcPr>
            <w:tcW w:w="1253" w:type="dxa"/>
            <w:shd w:val="clear" w:color="auto" w:fill="auto"/>
          </w:tcPr>
          <w:p w14:paraId="6BAA0482" w14:textId="77777777" w:rsidR="003E3D07" w:rsidRDefault="003E3D07" w:rsidP="009C5939">
            <w:pPr>
              <w:pStyle w:val="TableText"/>
            </w:pPr>
            <w:r>
              <w:t>None</w:t>
            </w:r>
          </w:p>
        </w:tc>
        <w:tc>
          <w:tcPr>
            <w:tcW w:w="1296" w:type="dxa"/>
            <w:shd w:val="clear" w:color="auto" w:fill="auto"/>
          </w:tcPr>
          <w:p w14:paraId="747BF053" w14:textId="77777777" w:rsidR="003E3D07" w:rsidRDefault="003E3D07" w:rsidP="009C5939">
            <w:pPr>
              <w:pStyle w:val="TableText"/>
              <w:rPr>
                <w:rFonts w:eastAsia="Symbol"/>
              </w:rPr>
            </w:pPr>
            <w:r>
              <w:rPr>
                <w:rFonts w:eastAsia="Symbol"/>
              </w:rPr>
              <w:t>0</w:t>
            </w:r>
          </w:p>
        </w:tc>
        <w:tc>
          <w:tcPr>
            <w:tcW w:w="1296" w:type="dxa"/>
            <w:vMerge/>
            <w:shd w:val="clear" w:color="auto" w:fill="auto"/>
          </w:tcPr>
          <w:p w14:paraId="51BF9F28" w14:textId="77777777" w:rsidR="003E3D07" w:rsidRDefault="003E3D07" w:rsidP="009C5939">
            <w:pPr>
              <w:pStyle w:val="TableText"/>
              <w:rPr>
                <w:rFonts w:eastAsia="Symbol"/>
              </w:rPr>
            </w:pPr>
          </w:p>
        </w:tc>
      </w:tr>
      <w:tr w:rsidR="00A447A2" w14:paraId="3D20AD8A" w14:textId="77777777">
        <w:tblPrEx>
          <w:tblBorders>
            <w:insideH w:val="single" w:sz="4" w:space="0" w:color="auto"/>
            <w:insideV w:val="single" w:sz="4" w:space="0" w:color="auto"/>
          </w:tblBorders>
        </w:tblPrEx>
        <w:tc>
          <w:tcPr>
            <w:tcW w:w="1253" w:type="dxa"/>
            <w:shd w:val="clear" w:color="auto" w:fill="auto"/>
          </w:tcPr>
          <w:p w14:paraId="052DE4F2" w14:textId="77777777" w:rsidR="00A447A2" w:rsidRDefault="00A447A2" w:rsidP="009C5939">
            <w:pPr>
              <w:pStyle w:val="TableText"/>
            </w:pPr>
            <w:r>
              <w:t xml:space="preserve">Serologic Crossmatch Test Required </w:t>
            </w:r>
            <w:r w:rsidRPr="00A447A2">
              <w:rPr>
                <w:vanish/>
              </w:rPr>
              <w:t>DR 3145</w:t>
            </w:r>
          </w:p>
        </w:tc>
        <w:tc>
          <w:tcPr>
            <w:tcW w:w="1253" w:type="dxa"/>
            <w:shd w:val="clear" w:color="auto" w:fill="auto"/>
          </w:tcPr>
          <w:p w14:paraId="4CB4DC06" w14:textId="77777777" w:rsidR="00A447A2" w:rsidRDefault="00A447A2" w:rsidP="009C5939">
            <w:pPr>
              <w:pStyle w:val="TableText"/>
            </w:pPr>
            <w:r>
              <w:t>N/A</w:t>
            </w:r>
          </w:p>
        </w:tc>
        <w:tc>
          <w:tcPr>
            <w:tcW w:w="878" w:type="dxa"/>
            <w:shd w:val="clear" w:color="auto" w:fill="auto"/>
          </w:tcPr>
          <w:p w14:paraId="5169B04A" w14:textId="77777777" w:rsidR="00A447A2" w:rsidRDefault="00A447A2" w:rsidP="009C5939">
            <w:pPr>
              <w:pStyle w:val="TableText"/>
            </w:pPr>
            <w:r>
              <w:t>No</w:t>
            </w:r>
          </w:p>
        </w:tc>
        <w:tc>
          <w:tcPr>
            <w:tcW w:w="878" w:type="dxa"/>
            <w:shd w:val="clear" w:color="auto" w:fill="auto"/>
          </w:tcPr>
          <w:p w14:paraId="5E9CE61D" w14:textId="77777777" w:rsidR="00A447A2" w:rsidRDefault="00A447A2" w:rsidP="009C5939">
            <w:pPr>
              <w:pStyle w:val="TableText"/>
            </w:pPr>
            <w:r>
              <w:t>No</w:t>
            </w:r>
          </w:p>
        </w:tc>
        <w:tc>
          <w:tcPr>
            <w:tcW w:w="1253" w:type="dxa"/>
            <w:shd w:val="clear" w:color="auto" w:fill="auto"/>
          </w:tcPr>
          <w:p w14:paraId="4434E191" w14:textId="77777777" w:rsidR="00A447A2" w:rsidRDefault="00A447A2" w:rsidP="009C5939">
            <w:pPr>
              <w:pStyle w:val="TableText"/>
            </w:pPr>
            <w:r>
              <w:t>None</w:t>
            </w:r>
          </w:p>
        </w:tc>
        <w:tc>
          <w:tcPr>
            <w:tcW w:w="1253" w:type="dxa"/>
            <w:shd w:val="clear" w:color="auto" w:fill="auto"/>
          </w:tcPr>
          <w:p w14:paraId="3BBE5B42" w14:textId="77777777" w:rsidR="00A447A2" w:rsidRDefault="00A447A2" w:rsidP="009C5939">
            <w:pPr>
              <w:pStyle w:val="TableText"/>
            </w:pPr>
            <w:r>
              <w:t>None</w:t>
            </w:r>
          </w:p>
        </w:tc>
        <w:tc>
          <w:tcPr>
            <w:tcW w:w="1296" w:type="dxa"/>
            <w:shd w:val="clear" w:color="auto" w:fill="auto"/>
          </w:tcPr>
          <w:p w14:paraId="10BFB5D1" w14:textId="77777777" w:rsidR="00A447A2" w:rsidRDefault="00A447A2" w:rsidP="009C5939">
            <w:pPr>
              <w:pStyle w:val="TableText"/>
              <w:rPr>
                <w:rFonts w:eastAsia="Symbol"/>
              </w:rPr>
            </w:pPr>
            <w:r>
              <w:rPr>
                <w:rFonts w:eastAsia="Symbol"/>
              </w:rPr>
              <w:t>N/A</w:t>
            </w:r>
          </w:p>
        </w:tc>
        <w:tc>
          <w:tcPr>
            <w:tcW w:w="1296" w:type="dxa"/>
            <w:shd w:val="clear" w:color="auto" w:fill="auto"/>
          </w:tcPr>
          <w:p w14:paraId="25AEC74D" w14:textId="77777777" w:rsidR="00A447A2" w:rsidRDefault="00A447A2" w:rsidP="009C5939">
            <w:pPr>
              <w:pStyle w:val="TableText"/>
              <w:rPr>
                <w:rFonts w:eastAsia="Symbol"/>
              </w:rPr>
            </w:pPr>
            <w:r>
              <w:rPr>
                <w:rFonts w:eastAsia="Symbol"/>
              </w:rPr>
              <w:t>None</w:t>
            </w:r>
          </w:p>
        </w:tc>
      </w:tr>
    </w:tbl>
    <w:bookmarkEnd w:id="622"/>
    <w:p w14:paraId="29AE556F" w14:textId="77777777" w:rsidR="00460F61" w:rsidRDefault="00460F61" w:rsidP="00460F61">
      <w:pPr>
        <w:pStyle w:val="BodyText"/>
      </w:pPr>
      <w:r>
        <w:t xml:space="preserve">*Specificities written </w:t>
      </w:r>
      <w:r w:rsidR="00C732CF">
        <w:t>as</w:t>
      </w:r>
      <w:r>
        <w:t xml:space="preserve"> superscript</w:t>
      </w:r>
      <w:r w:rsidR="000C01A8">
        <w:t xml:space="preserve"> or subscript</w:t>
      </w:r>
      <w:r>
        <w:t xml:space="preserve"> </w:t>
      </w:r>
      <w:r w:rsidR="00C732CF">
        <w:t xml:space="preserve">letters </w:t>
      </w:r>
      <w:r>
        <w:t xml:space="preserve">in blood bank literature are </w:t>
      </w:r>
      <w:r w:rsidR="00C732CF">
        <w:t>shown as</w:t>
      </w:r>
      <w:r>
        <w:t xml:space="preserve"> letters enclosed in parentheses in VBECS </w:t>
      </w:r>
      <w:r w:rsidR="00C732CF">
        <w:t>(</w:t>
      </w:r>
      <w:r>
        <w:t>the GUI cannot display superscript</w:t>
      </w:r>
      <w:r w:rsidR="000C01A8">
        <w:t xml:space="preserve"> or subscript</w:t>
      </w:r>
      <w:r>
        <w:t xml:space="preserve"> letter</w:t>
      </w:r>
      <w:r w:rsidR="00C732CF">
        <w:t>s)</w:t>
      </w:r>
      <w:r>
        <w:t xml:space="preserve">. Specificities written </w:t>
      </w:r>
      <w:r w:rsidR="00C732CF">
        <w:t>as</w:t>
      </w:r>
      <w:r>
        <w:t xml:space="preserve"> subscript</w:t>
      </w:r>
      <w:r w:rsidR="00C732CF">
        <w:t xml:space="preserve"> characters</w:t>
      </w:r>
      <w:r>
        <w:t xml:space="preserve"> in blood bank literature are</w:t>
      </w:r>
      <w:r w:rsidR="00C732CF">
        <w:t xml:space="preserve"> shown as</w:t>
      </w:r>
      <w:r>
        <w:t xml:space="preserve"> numbers or letters not enclosed in parentheses.</w:t>
      </w:r>
    </w:p>
    <w:p w14:paraId="2010560C" w14:textId="77777777" w:rsidR="00460F61" w:rsidRDefault="001116E3" w:rsidP="00460F61">
      <w:pPr>
        <w:pStyle w:val="BodyText"/>
      </w:pPr>
      <w:r w:rsidRPr="00191509">
        <w:rPr>
          <w:rFonts w:eastAsia="Symbol"/>
        </w:rPr>
        <w:t>†</w:t>
      </w:r>
      <w:r w:rsidR="00460F61">
        <w:t xml:space="preserve">Examples of common </w:t>
      </w:r>
      <w:r w:rsidR="00460F61" w:rsidRPr="00CA6E27">
        <w:rPr>
          <w:bCs/>
        </w:rPr>
        <w:t>VistA</w:t>
      </w:r>
      <w:r w:rsidR="00460F61">
        <w:t xml:space="preserve"> antibody</w:t>
      </w:r>
      <w:r w:rsidR="00EB4BDF">
        <w:t xml:space="preserve"> and </w:t>
      </w:r>
      <w:r w:rsidR="00460F61">
        <w:t xml:space="preserve">antigen terminology. Individual sites may vary. Refer to </w:t>
      </w:r>
      <w:r w:rsidR="00EB4BDF">
        <w:t>division-specific</w:t>
      </w:r>
      <w:r w:rsidR="00460F61">
        <w:t xml:space="preserve"> </w:t>
      </w:r>
      <w:r w:rsidR="00EB4BDF">
        <w:t xml:space="preserve">mapping </w:t>
      </w:r>
      <w:r w:rsidR="00460F61">
        <w:t>documents.</w:t>
      </w:r>
    </w:p>
    <w:p w14:paraId="2DC1D238" w14:textId="77777777" w:rsidR="001116E3" w:rsidRDefault="001116E3" w:rsidP="00460F61">
      <w:pPr>
        <w:pStyle w:val="BodyText"/>
        <w:rPr>
          <w:rFonts w:eastAsia="Symbol"/>
        </w:rPr>
      </w:pPr>
      <w:r>
        <w:rPr>
          <w:rFonts w:eastAsia="Symbol"/>
        </w:rPr>
        <w:t>‡The user will order the tests for each antigen separately; VBECS does not display a duplicate antigen typing for this com</w:t>
      </w:r>
      <w:r w:rsidR="00C15725">
        <w:rPr>
          <w:rFonts w:eastAsia="Symbol"/>
        </w:rPr>
        <w:t>bination antibody specificity.</w:t>
      </w:r>
    </w:p>
    <w:p w14:paraId="7FAA693C" w14:textId="77777777" w:rsidR="004D0818" w:rsidRDefault="00F528F3" w:rsidP="00270245">
      <w:pPr>
        <w:pStyle w:val="BodyText"/>
      </w:pPr>
      <w:r w:rsidRPr="00191509">
        <w:t>§</w:t>
      </w:r>
      <w:r w:rsidR="004D0818" w:rsidRPr="00663162">
        <w:t>When the clinical significance is unknow</w:t>
      </w:r>
      <w:r w:rsidR="004D0818">
        <w:t>n,</w:t>
      </w:r>
      <w:r w:rsidR="004D0818" w:rsidRPr="00663162">
        <w:t xml:space="preserve"> it is displayed as "No" due to the limitations of the system</w:t>
      </w:r>
      <w:r w:rsidR="004D0818">
        <w:t>.</w:t>
      </w:r>
    </w:p>
    <w:p w14:paraId="47941A28" w14:textId="77777777" w:rsidR="002A21AE" w:rsidRDefault="0065062F" w:rsidP="0065062F">
      <w:pPr>
        <w:pStyle w:val="Heading3"/>
      </w:pPr>
      <w:bookmarkStart w:id="623" w:name="table14"/>
      <w:bookmarkStart w:id="624" w:name="_Toc4588866"/>
      <w:bookmarkEnd w:id="623"/>
      <w:r w:rsidRPr="00F628FE">
        <w:t>Antibody and Antigen Table: Database Conversion</w:t>
      </w:r>
      <w:bookmarkEnd w:id="624"/>
      <w:r w:rsidR="002A21AE">
        <w:t xml:space="preserve"> </w:t>
      </w:r>
      <w:r w:rsidR="002A21AE">
        <w:rPr>
          <w:rFonts w:ascii="Geneva" w:hAnsi="Geneva"/>
          <w:vanish/>
        </w:rPr>
        <w:t xml:space="preserve">TT_23.01C </w:t>
      </w:r>
      <w:bookmarkEnd w:id="610"/>
      <w:bookmarkEnd w:id="611"/>
      <w:r w:rsidR="002A21AE">
        <w:fldChar w:fldCharType="begin"/>
      </w:r>
      <w:r w:rsidR="002A21AE">
        <w:instrText xml:space="preserve"> XE </w:instrText>
      </w:r>
      <w:r w:rsidR="00FA7E65">
        <w:instrText>“</w:instrText>
      </w:r>
      <w:r w:rsidR="002A21AE">
        <w:instrText>Tables:Antibody and Antigen Table, Database Conversion</w:instrText>
      </w:r>
      <w:r w:rsidR="00FA7E65">
        <w:instrText>”</w:instrText>
      </w:r>
      <w:r w:rsidR="002A21AE">
        <w:instrText xml:space="preserve"> </w:instrText>
      </w:r>
      <w:r w:rsidR="002A21AE">
        <w:fldChar w:fldCharType="end"/>
      </w:r>
    </w:p>
    <w:p w14:paraId="17BC5803" w14:textId="6FED5CCB" w:rsidR="00D7283A" w:rsidRDefault="00E105E6" w:rsidP="00D7283A">
      <w:pPr>
        <w:pStyle w:val="BodyText"/>
      </w:pPr>
      <w:r>
        <w:t>Users cannot set antigen negative requirements for these antibodies in VBECS</w:t>
      </w:r>
      <w:r w:rsidR="004764F4">
        <w:t xml:space="preserve"> (</w:t>
      </w:r>
      <w:r w:rsidR="004764F4">
        <w:fldChar w:fldCharType="begin" w:fldLock="1"/>
      </w:r>
      <w:r w:rsidR="004764F4">
        <w:instrText xml:space="preserve"> REF _Ref126730915 \h </w:instrText>
      </w:r>
      <w:r w:rsidR="004764F4">
        <w:fldChar w:fldCharType="separate"/>
      </w:r>
      <w:r w:rsidR="00AB304C">
        <w:t xml:space="preserve">Table </w:t>
      </w:r>
      <w:r w:rsidR="00AB304C">
        <w:rPr>
          <w:noProof/>
        </w:rPr>
        <w:t>15</w:t>
      </w:r>
      <w:r w:rsidR="004764F4">
        <w:fldChar w:fldCharType="end"/>
      </w:r>
      <w:r w:rsidR="004764F4">
        <w:t>)</w:t>
      </w:r>
      <w:r>
        <w:t xml:space="preserve">. </w:t>
      </w:r>
      <w:r w:rsidR="00D7283A">
        <w:t xml:space="preserve">Clinical significance of antibody specificity is set using the 14th edition of the AABB Technical Manual. </w:t>
      </w:r>
    </w:p>
    <w:p w14:paraId="2F8918A6" w14:textId="62FA94A0" w:rsidR="002A21AE" w:rsidRDefault="002A21AE">
      <w:pPr>
        <w:pStyle w:val="Caption"/>
      </w:pPr>
      <w:bookmarkStart w:id="625" w:name="_Ref126730915"/>
      <w:bookmarkStart w:id="626" w:name="_Toc97523632"/>
      <w:bookmarkStart w:id="627" w:name="_Toc97527602"/>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647F4E">
        <w:rPr>
          <w:noProof/>
        </w:rPr>
        <w:t>15</w:t>
      </w:r>
      <w:r w:rsidR="004E20BD">
        <w:rPr>
          <w:noProof/>
        </w:rPr>
        <w:fldChar w:fldCharType="end"/>
      </w:r>
      <w:bookmarkEnd w:id="625"/>
      <w:r>
        <w:t xml:space="preserve">: </w:t>
      </w:r>
      <w:r>
        <w:rPr>
          <w:vanish/>
        </w:rPr>
        <w:t xml:space="preserve">TT_23.01C </w:t>
      </w:r>
      <w:r>
        <w:t>Antibody and Antigen Table: Database Conversion</w:t>
      </w:r>
      <w:bookmarkEnd w:id="626"/>
      <w:bookmarkEnd w:id="627"/>
    </w:p>
    <w:tbl>
      <w:tblPr>
        <w:tblW w:w="936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339"/>
        <w:gridCol w:w="2339"/>
        <w:gridCol w:w="2341"/>
        <w:gridCol w:w="2341"/>
      </w:tblGrid>
      <w:tr w:rsidR="0012237C" w14:paraId="5CB25C6A" w14:textId="77777777">
        <w:trPr>
          <w:tblHeader/>
        </w:trPr>
        <w:tc>
          <w:tcPr>
            <w:tcW w:w="3740" w:type="dxa"/>
            <w:gridSpan w:val="2"/>
            <w:tcBorders>
              <w:top w:val="single" w:sz="4" w:space="0" w:color="auto"/>
              <w:left w:val="single" w:sz="4" w:space="0" w:color="auto"/>
              <w:bottom w:val="single" w:sz="4" w:space="0" w:color="auto"/>
              <w:right w:val="single" w:sz="4" w:space="0" w:color="auto"/>
            </w:tcBorders>
            <w:shd w:val="clear" w:color="auto" w:fill="C0C0C0"/>
          </w:tcPr>
          <w:p w14:paraId="39835C91" w14:textId="77777777" w:rsidR="0012237C" w:rsidRPr="00CA6E27" w:rsidRDefault="0012237C" w:rsidP="00084E6B">
            <w:pPr>
              <w:pStyle w:val="TableText"/>
              <w:rPr>
                <w:b/>
              </w:rPr>
            </w:pPr>
            <w:r>
              <w:rPr>
                <w:b/>
              </w:rPr>
              <w:t>Antibody Name</w:t>
            </w:r>
          </w:p>
        </w:tc>
        <w:tc>
          <w:tcPr>
            <w:tcW w:w="3742" w:type="dxa"/>
            <w:gridSpan w:val="2"/>
            <w:tcBorders>
              <w:top w:val="single" w:sz="4" w:space="0" w:color="auto"/>
              <w:left w:val="single" w:sz="4" w:space="0" w:color="auto"/>
              <w:bottom w:val="single" w:sz="4" w:space="0" w:color="auto"/>
              <w:right w:val="single" w:sz="4" w:space="0" w:color="auto"/>
            </w:tcBorders>
            <w:shd w:val="clear" w:color="auto" w:fill="C0C0C0"/>
          </w:tcPr>
          <w:p w14:paraId="7F82EC5B" w14:textId="77777777" w:rsidR="0012237C" w:rsidRPr="00CA6E27" w:rsidRDefault="0012237C" w:rsidP="00084E6B">
            <w:pPr>
              <w:pStyle w:val="TableText"/>
              <w:rPr>
                <w:b/>
              </w:rPr>
            </w:pPr>
            <w:r>
              <w:rPr>
                <w:b/>
              </w:rPr>
              <w:t>Associated Antigen</w:t>
            </w:r>
          </w:p>
        </w:tc>
      </w:tr>
      <w:tr w:rsidR="0012237C" w14:paraId="367042F5" w14:textId="77777777">
        <w:trPr>
          <w:tblHeader/>
        </w:trPr>
        <w:tc>
          <w:tcPr>
            <w:tcW w:w="1870" w:type="dxa"/>
            <w:tcBorders>
              <w:top w:val="single" w:sz="4" w:space="0" w:color="auto"/>
              <w:left w:val="single" w:sz="4" w:space="0" w:color="auto"/>
              <w:bottom w:val="single" w:sz="4" w:space="0" w:color="auto"/>
              <w:right w:val="single" w:sz="4" w:space="0" w:color="auto"/>
            </w:tcBorders>
            <w:shd w:val="clear" w:color="auto" w:fill="C0C0C0"/>
          </w:tcPr>
          <w:p w14:paraId="41902400" w14:textId="77777777" w:rsidR="0012237C" w:rsidRPr="003B5F9B" w:rsidRDefault="0012237C" w:rsidP="00084E6B">
            <w:pPr>
              <w:pStyle w:val="TableText"/>
              <w:rPr>
                <w:b/>
              </w:rPr>
            </w:pPr>
            <w:r>
              <w:rPr>
                <w:b/>
              </w:rPr>
              <w:t>VBECS</w:t>
            </w:r>
            <w:r w:rsidR="00E047E8">
              <w:rPr>
                <w:b/>
              </w:rPr>
              <w:t>*</w:t>
            </w:r>
          </w:p>
        </w:tc>
        <w:tc>
          <w:tcPr>
            <w:tcW w:w="1870" w:type="dxa"/>
            <w:tcBorders>
              <w:top w:val="single" w:sz="4" w:space="0" w:color="auto"/>
              <w:left w:val="single" w:sz="4" w:space="0" w:color="auto"/>
              <w:bottom w:val="single" w:sz="4" w:space="0" w:color="auto"/>
              <w:right w:val="single" w:sz="4" w:space="0" w:color="auto"/>
            </w:tcBorders>
            <w:shd w:val="clear" w:color="auto" w:fill="C0C0C0"/>
          </w:tcPr>
          <w:p w14:paraId="51C1F781" w14:textId="77777777" w:rsidR="0012237C" w:rsidRDefault="0012237C" w:rsidP="00084E6B">
            <w:pPr>
              <w:pStyle w:val="TableText"/>
              <w:rPr>
                <w:b/>
              </w:rPr>
            </w:pPr>
            <w:r w:rsidRPr="00CA6E27">
              <w:rPr>
                <w:b/>
              </w:rPr>
              <w:t>VistA</w:t>
            </w:r>
            <w:r w:rsidR="00E047E8">
              <w:rPr>
                <w:rFonts w:cs="Arial"/>
                <w:b/>
              </w:rPr>
              <w:t>†</w:t>
            </w:r>
          </w:p>
        </w:tc>
        <w:tc>
          <w:tcPr>
            <w:tcW w:w="1871" w:type="dxa"/>
            <w:tcBorders>
              <w:top w:val="single" w:sz="4" w:space="0" w:color="auto"/>
              <w:left w:val="single" w:sz="4" w:space="0" w:color="auto"/>
              <w:bottom w:val="single" w:sz="4" w:space="0" w:color="auto"/>
              <w:right w:val="single" w:sz="4" w:space="0" w:color="auto"/>
            </w:tcBorders>
            <w:shd w:val="clear" w:color="auto" w:fill="C0C0C0"/>
          </w:tcPr>
          <w:p w14:paraId="1940F219" w14:textId="77777777" w:rsidR="0012237C" w:rsidRPr="003B5F9B" w:rsidRDefault="0012237C" w:rsidP="00084E6B">
            <w:pPr>
              <w:pStyle w:val="TableText"/>
              <w:rPr>
                <w:b/>
              </w:rPr>
            </w:pPr>
            <w:r>
              <w:rPr>
                <w:b/>
              </w:rPr>
              <w:t>VBECS</w:t>
            </w:r>
            <w:r w:rsidR="00E047E8">
              <w:rPr>
                <w:b/>
              </w:rPr>
              <w:t>*</w:t>
            </w:r>
          </w:p>
        </w:tc>
        <w:tc>
          <w:tcPr>
            <w:tcW w:w="1871" w:type="dxa"/>
            <w:tcBorders>
              <w:top w:val="single" w:sz="4" w:space="0" w:color="auto"/>
              <w:left w:val="single" w:sz="4" w:space="0" w:color="auto"/>
              <w:bottom w:val="single" w:sz="4" w:space="0" w:color="auto"/>
              <w:right w:val="single" w:sz="4" w:space="0" w:color="auto"/>
            </w:tcBorders>
            <w:shd w:val="clear" w:color="auto" w:fill="C0C0C0"/>
          </w:tcPr>
          <w:p w14:paraId="6B946193" w14:textId="77777777" w:rsidR="0012237C" w:rsidRDefault="0012237C" w:rsidP="00084E6B">
            <w:pPr>
              <w:pStyle w:val="TableText"/>
              <w:rPr>
                <w:b/>
              </w:rPr>
            </w:pPr>
            <w:r w:rsidRPr="00CA6E27">
              <w:rPr>
                <w:b/>
              </w:rPr>
              <w:t>VistA</w:t>
            </w:r>
            <w:r w:rsidR="00E047E8">
              <w:rPr>
                <w:rFonts w:cs="Arial"/>
                <w:b/>
              </w:rPr>
              <w:t>†</w:t>
            </w:r>
          </w:p>
        </w:tc>
      </w:tr>
      <w:tr w:rsidR="0012237C" w14:paraId="7FDE63ED"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0BC582E7" w14:textId="77777777" w:rsidR="0012237C" w:rsidRDefault="00E047E8">
            <w:pPr>
              <w:pStyle w:val="TableText"/>
            </w:pPr>
            <w:r>
              <w:t>Anti-P1+P+P(k)</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333B9FDA" w14:textId="77777777" w:rsidR="0012237C" w:rsidRDefault="0012237C">
            <w:pPr>
              <w:pStyle w:val="TableText"/>
            </w:pPr>
            <w:r>
              <w:t>Anti-PP1</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1170300F" w14:textId="77777777" w:rsidR="0012237C" w:rsidRDefault="0012237C">
            <w:pPr>
              <w:pStyle w:val="TableText"/>
              <w:rPr>
                <w:rFonts w:eastAsia="Symbol"/>
              </w:rPr>
            </w:pPr>
            <w:r>
              <w:t>P1+P+P(k)</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17F07C54" w14:textId="77777777" w:rsidR="0012237C" w:rsidRDefault="0012237C">
            <w:pPr>
              <w:pStyle w:val="TableText"/>
              <w:rPr>
                <w:rFonts w:eastAsia="Symbol"/>
              </w:rPr>
            </w:pPr>
            <w:r>
              <w:rPr>
                <w:rFonts w:eastAsia="Symbol"/>
              </w:rPr>
              <w:t>PP1</w:t>
            </w:r>
          </w:p>
        </w:tc>
      </w:tr>
      <w:tr w:rsidR="0012237C" w14:paraId="1048B5C1"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11AC6AE5" w14:textId="77777777" w:rsidR="0012237C" w:rsidRDefault="0012237C">
            <w:pPr>
              <w:pStyle w:val="TableText"/>
            </w:pPr>
            <w:r>
              <w:t>Anti-Pk</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1E8D86F8" w14:textId="77777777" w:rsidR="0012237C" w:rsidRDefault="0012237C">
            <w:pPr>
              <w:pStyle w:val="TableText"/>
            </w:pPr>
            <w:r>
              <w:t>Anti-p(k)</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367F9F47" w14:textId="77777777" w:rsidR="0012237C" w:rsidRDefault="0012237C">
            <w:pPr>
              <w:pStyle w:val="TableText"/>
              <w:rPr>
                <w:rFonts w:eastAsia="Symbol"/>
              </w:rPr>
            </w:pPr>
            <w:r>
              <w:t>P(k)</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590E2FB2" w14:textId="77777777" w:rsidR="0012237C" w:rsidRDefault="0012237C">
            <w:pPr>
              <w:pStyle w:val="TableText"/>
              <w:rPr>
                <w:rFonts w:eastAsia="Symbol"/>
              </w:rPr>
            </w:pPr>
            <w:r>
              <w:t>p(k)</w:t>
            </w:r>
          </w:p>
        </w:tc>
      </w:tr>
      <w:tr w:rsidR="0012237C" w14:paraId="76935528"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50716AC7" w14:textId="77777777" w:rsidR="0012237C" w:rsidRDefault="0012237C">
            <w:pPr>
              <w:pStyle w:val="TableText"/>
            </w:pPr>
            <w:r>
              <w:t>Anti -M, other</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2A1A40F1" w14:textId="77777777" w:rsidR="0012237C" w:rsidRDefault="0012237C">
            <w:pPr>
              <w:pStyle w:val="TableText"/>
            </w:pPr>
            <w:r>
              <w:t>Anti-M, other</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4C3A1F90" w14:textId="77777777" w:rsidR="0012237C" w:rsidRDefault="0012237C">
            <w:pPr>
              <w:pStyle w:val="TableText"/>
              <w:rPr>
                <w:szCs w:val="18"/>
              </w:rPr>
            </w:pPr>
            <w:r>
              <w:rPr>
                <w:rFonts w:eastAsia="Symbol"/>
              </w:rPr>
              <w:t>None</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6CD9B220" w14:textId="77777777" w:rsidR="0012237C" w:rsidRDefault="0012237C">
            <w:pPr>
              <w:pStyle w:val="TableText"/>
            </w:pPr>
            <w:r>
              <w:rPr>
                <w:rFonts w:eastAsia="Symbol"/>
              </w:rPr>
              <w:t>None</w:t>
            </w:r>
          </w:p>
        </w:tc>
      </w:tr>
      <w:tr w:rsidR="0012237C" w14:paraId="1442EEA3"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0D36D027" w14:textId="77777777" w:rsidR="0012237C" w:rsidRDefault="0012237C">
            <w:pPr>
              <w:pStyle w:val="TableText"/>
            </w:pPr>
            <w:r>
              <w:t>Anti-LW</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0ADC1BF2" w14:textId="77777777" w:rsidR="0012237C" w:rsidRDefault="0012237C">
            <w:pPr>
              <w:pStyle w:val="TableText"/>
            </w:pPr>
            <w:r>
              <w:t>Anti-LW</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3928DA19" w14:textId="77777777" w:rsidR="0012237C" w:rsidRDefault="0012237C">
            <w:pPr>
              <w:pStyle w:val="TableText"/>
              <w:rPr>
                <w:szCs w:val="18"/>
              </w:rPr>
            </w:pPr>
            <w:r>
              <w:rPr>
                <w:szCs w:val="18"/>
              </w:rPr>
              <w:t>None</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6F43B9FC" w14:textId="77777777" w:rsidR="0012237C" w:rsidRDefault="0012237C">
            <w:pPr>
              <w:pStyle w:val="TableText"/>
            </w:pPr>
            <w:r>
              <w:t>LW</w:t>
            </w:r>
          </w:p>
        </w:tc>
      </w:tr>
      <w:tr w:rsidR="0012237C" w14:paraId="729BF662"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66C9A0E1" w14:textId="77777777" w:rsidR="0012237C" w:rsidRDefault="0012237C">
            <w:pPr>
              <w:pStyle w:val="TableText"/>
              <w:rPr>
                <w:szCs w:val="18"/>
              </w:rPr>
            </w:pPr>
            <w:r>
              <w:t>Anti-Lu</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602DC462" w14:textId="77777777" w:rsidR="0012237C" w:rsidRDefault="0012237C">
            <w:pPr>
              <w:pStyle w:val="TableText"/>
              <w:rPr>
                <w:szCs w:val="18"/>
              </w:rPr>
            </w:pPr>
            <w:r>
              <w:t>Anti-Lu</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56D3CBFA" w14:textId="77777777" w:rsidR="0012237C" w:rsidRDefault="0012237C">
            <w:pPr>
              <w:pStyle w:val="TableText"/>
              <w:rPr>
                <w:szCs w:val="18"/>
              </w:rPr>
            </w:pPr>
            <w:r>
              <w:rPr>
                <w:szCs w:val="18"/>
              </w:rPr>
              <w:t>None</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164510A3" w14:textId="77777777" w:rsidR="0012237C" w:rsidRDefault="0012237C">
            <w:pPr>
              <w:pStyle w:val="TableText"/>
              <w:rPr>
                <w:szCs w:val="18"/>
              </w:rPr>
            </w:pPr>
            <w:r>
              <w:t>Lu</w:t>
            </w:r>
          </w:p>
        </w:tc>
      </w:tr>
      <w:tr w:rsidR="0012237C" w14:paraId="0ABE422B"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6447FE24" w14:textId="77777777" w:rsidR="0012237C" w:rsidRDefault="0012237C">
            <w:pPr>
              <w:pStyle w:val="TableText"/>
              <w:rPr>
                <w:rFonts w:eastAsia="Symbol"/>
                <w:szCs w:val="18"/>
              </w:rPr>
            </w:pPr>
            <w:r>
              <w:rPr>
                <w:szCs w:val="18"/>
              </w:rPr>
              <w:t>Anti-Le, other</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38EDA4B0" w14:textId="77777777" w:rsidR="0012237C" w:rsidRDefault="0012237C">
            <w:pPr>
              <w:pStyle w:val="TableText"/>
              <w:rPr>
                <w:szCs w:val="18"/>
              </w:rPr>
            </w:pPr>
            <w:r>
              <w:rPr>
                <w:szCs w:val="18"/>
              </w:rPr>
              <w:t>Anti-Le, other</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0FD3C636" w14:textId="77777777" w:rsidR="0012237C" w:rsidRDefault="0012237C">
            <w:pPr>
              <w:pStyle w:val="TableText"/>
              <w:rPr>
                <w:rFonts w:eastAsia="Symbol"/>
                <w:szCs w:val="18"/>
              </w:rPr>
            </w:pPr>
            <w:r>
              <w:rPr>
                <w:szCs w:val="18"/>
              </w:rPr>
              <w:t>None</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4A67CA07" w14:textId="77777777" w:rsidR="0012237C" w:rsidRDefault="0012237C">
            <w:pPr>
              <w:pStyle w:val="TableText"/>
              <w:rPr>
                <w:szCs w:val="18"/>
              </w:rPr>
            </w:pPr>
            <w:r>
              <w:rPr>
                <w:szCs w:val="18"/>
              </w:rPr>
              <w:t>None</w:t>
            </w:r>
          </w:p>
        </w:tc>
      </w:tr>
      <w:tr w:rsidR="0012237C" w14:paraId="28241E5E"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3FFD1402" w14:textId="77777777" w:rsidR="0012237C" w:rsidRDefault="0012237C">
            <w:pPr>
              <w:pStyle w:val="TableText"/>
              <w:rPr>
                <w:rFonts w:eastAsia="Symbol"/>
                <w:szCs w:val="18"/>
              </w:rPr>
            </w:pPr>
            <w:r>
              <w:rPr>
                <w:szCs w:val="18"/>
              </w:rPr>
              <w:t>Anti-N, other</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6AF566E4" w14:textId="77777777" w:rsidR="0012237C" w:rsidRDefault="0012237C">
            <w:pPr>
              <w:pStyle w:val="TableText"/>
              <w:rPr>
                <w:szCs w:val="18"/>
              </w:rPr>
            </w:pPr>
            <w:r>
              <w:rPr>
                <w:szCs w:val="18"/>
              </w:rPr>
              <w:t>Anti-N, other</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637934AF" w14:textId="77777777" w:rsidR="0012237C" w:rsidRDefault="0012237C">
            <w:pPr>
              <w:pStyle w:val="TableText"/>
              <w:rPr>
                <w:rFonts w:eastAsia="Symbol"/>
                <w:szCs w:val="18"/>
              </w:rPr>
            </w:pPr>
            <w:r>
              <w:rPr>
                <w:szCs w:val="18"/>
              </w:rPr>
              <w:t>None</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3BE70128" w14:textId="77777777" w:rsidR="0012237C" w:rsidRDefault="0012237C">
            <w:pPr>
              <w:pStyle w:val="TableText"/>
              <w:rPr>
                <w:szCs w:val="18"/>
              </w:rPr>
            </w:pPr>
            <w:r>
              <w:rPr>
                <w:szCs w:val="18"/>
              </w:rPr>
              <w:t>None</w:t>
            </w:r>
          </w:p>
        </w:tc>
      </w:tr>
      <w:tr w:rsidR="0012237C" w14:paraId="3102E5AE"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0CADD6E4" w14:textId="77777777" w:rsidR="0012237C" w:rsidRDefault="0012237C">
            <w:pPr>
              <w:pStyle w:val="TableText"/>
              <w:rPr>
                <w:rFonts w:eastAsia="Symbol"/>
                <w:szCs w:val="18"/>
              </w:rPr>
            </w:pPr>
            <w:r>
              <w:rPr>
                <w:szCs w:val="18"/>
              </w:rPr>
              <w:t>Anti-I(int)</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04199B09" w14:textId="77777777" w:rsidR="0012237C" w:rsidRDefault="0012237C">
            <w:pPr>
              <w:pStyle w:val="TableText"/>
              <w:rPr>
                <w:rFonts w:eastAsia="Symbol"/>
                <w:szCs w:val="18"/>
              </w:rPr>
            </w:pPr>
            <w:r>
              <w:rPr>
                <w:szCs w:val="18"/>
              </w:rPr>
              <w:t>Anti-I(int)</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655D5034" w14:textId="77777777" w:rsidR="0012237C" w:rsidRDefault="0012237C">
            <w:pPr>
              <w:pStyle w:val="TableText"/>
              <w:rPr>
                <w:rFonts w:eastAsia="Symbol"/>
                <w:szCs w:val="18"/>
              </w:rPr>
            </w:pPr>
            <w:r>
              <w:rPr>
                <w:szCs w:val="18"/>
              </w:rPr>
              <w:t>None</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47DAD3F9" w14:textId="77777777" w:rsidR="0012237C" w:rsidRDefault="0012237C">
            <w:pPr>
              <w:pStyle w:val="TableText"/>
              <w:rPr>
                <w:rFonts w:eastAsia="Symbol"/>
                <w:szCs w:val="18"/>
              </w:rPr>
            </w:pPr>
            <w:r>
              <w:rPr>
                <w:szCs w:val="18"/>
              </w:rPr>
              <w:t>I(int)</w:t>
            </w:r>
          </w:p>
        </w:tc>
      </w:tr>
      <w:tr w:rsidR="0012237C" w14:paraId="48FA9EEA"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5731FF1A" w14:textId="77777777" w:rsidR="0012237C" w:rsidRDefault="0012237C">
            <w:pPr>
              <w:pStyle w:val="TableText"/>
              <w:rPr>
                <w:rFonts w:eastAsia="Symbol"/>
                <w:szCs w:val="18"/>
              </w:rPr>
            </w:pPr>
            <w:r>
              <w:rPr>
                <w:szCs w:val="18"/>
              </w:rPr>
              <w:t>Anti-rhesus (not otherwise specified)</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34147FCF" w14:textId="77777777" w:rsidR="0012237C" w:rsidRDefault="0012237C">
            <w:pPr>
              <w:pStyle w:val="TableText"/>
              <w:rPr>
                <w:rFonts w:eastAsia="Symbol"/>
                <w:szCs w:val="18"/>
              </w:rPr>
            </w:pPr>
            <w:r>
              <w:rPr>
                <w:szCs w:val="18"/>
              </w:rPr>
              <w:t>Anti-rhesus</w:t>
            </w:r>
            <w:r w:rsidR="00B70069">
              <w:rPr>
                <w:szCs w:val="18"/>
              </w:rPr>
              <w:t xml:space="preserve"> </w:t>
            </w:r>
            <w:r>
              <w:rPr>
                <w:szCs w:val="18"/>
              </w:rPr>
              <w:t>(not otherwise specified)</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1177E93D" w14:textId="77777777" w:rsidR="0012237C" w:rsidRDefault="0012237C">
            <w:pPr>
              <w:pStyle w:val="TableText"/>
              <w:rPr>
                <w:rFonts w:eastAsia="Symbol"/>
                <w:szCs w:val="18"/>
              </w:rPr>
            </w:pPr>
            <w:r>
              <w:rPr>
                <w:szCs w:val="18"/>
              </w:rPr>
              <w:t>None</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403B961D" w14:textId="77777777" w:rsidR="0012237C" w:rsidRDefault="0012237C">
            <w:pPr>
              <w:pStyle w:val="TableText"/>
              <w:rPr>
                <w:szCs w:val="18"/>
              </w:rPr>
            </w:pPr>
            <w:r>
              <w:rPr>
                <w:szCs w:val="18"/>
              </w:rPr>
              <w:t>None</w:t>
            </w:r>
          </w:p>
        </w:tc>
      </w:tr>
    </w:tbl>
    <w:p w14:paraId="51AF62AE" w14:textId="77777777" w:rsidR="00DB0629" w:rsidRDefault="00DB0629" w:rsidP="00DB0629">
      <w:pPr>
        <w:pStyle w:val="BodyText"/>
      </w:pPr>
      <w:bookmarkStart w:id="628" w:name="_Toc30328380"/>
      <w:bookmarkStart w:id="629" w:name="_Toc40167869"/>
      <w:bookmarkStart w:id="630" w:name="_Toc91323806"/>
      <w:r>
        <w:t xml:space="preserve">*Specificities written as superscript </w:t>
      </w:r>
      <w:r w:rsidR="00F60E07">
        <w:t>or</w:t>
      </w:r>
      <w:r w:rsidR="00776377">
        <w:t xml:space="preserve"> subscript </w:t>
      </w:r>
      <w:r>
        <w:t xml:space="preserve">letters in blood bank literature are shown as letters enclosed in parentheses in VBECS (the GUI cannot display superscript </w:t>
      </w:r>
      <w:r w:rsidR="00F60E07">
        <w:t>or</w:t>
      </w:r>
      <w:r w:rsidR="00776377">
        <w:t xml:space="preserve"> subscript </w:t>
      </w:r>
      <w:r>
        <w:t>letters). Specificities written as subscript characters in blood bank literature are shown as numbers or letters not enclosed in parentheses.</w:t>
      </w:r>
    </w:p>
    <w:p w14:paraId="506987B9" w14:textId="77777777" w:rsidR="00D7283A" w:rsidRDefault="00E047E8" w:rsidP="00D7283A">
      <w:pPr>
        <w:pStyle w:val="BodyText"/>
      </w:pPr>
      <w:r>
        <w:t>†</w:t>
      </w:r>
      <w:r w:rsidR="00DB0629">
        <w:t xml:space="preserve">Examples of common </w:t>
      </w:r>
      <w:r w:rsidR="00DB0629" w:rsidRPr="00CA6E27">
        <w:rPr>
          <w:bCs/>
        </w:rPr>
        <w:t>VistA</w:t>
      </w:r>
      <w:r w:rsidR="00DB0629">
        <w:t xml:space="preserve"> antibody and antigen terminology. Individual sites may vary. Refer to division-specific mapping documents.</w:t>
      </w:r>
    </w:p>
    <w:p w14:paraId="7B88AE3A" w14:textId="77777777" w:rsidR="002A21AE" w:rsidRDefault="00D7283A" w:rsidP="0054285E">
      <w:pPr>
        <w:pStyle w:val="Heading3"/>
      </w:pPr>
      <w:r>
        <w:br w:type="page"/>
      </w:r>
      <w:bookmarkStart w:id="631" w:name="tables"/>
      <w:bookmarkEnd w:id="631"/>
      <w:r w:rsidR="00966400">
        <w:rPr>
          <w:rFonts w:ascii="Geneva" w:hAnsi="Geneva"/>
          <w:vanish/>
        </w:rPr>
        <w:lastRenderedPageBreak/>
        <w:t xml:space="preserve"> </w:t>
      </w:r>
      <w:r w:rsidR="002A21AE">
        <w:rPr>
          <w:rFonts w:ascii="Geneva" w:hAnsi="Geneva"/>
          <w:vanish/>
        </w:rPr>
        <w:t xml:space="preserve">TT_53.02 </w:t>
      </w:r>
      <w:bookmarkStart w:id="632" w:name="_Toc4588867"/>
      <w:r w:rsidR="002A21AE">
        <w:t>Antibody Screen Test Interpretation</w:t>
      </w:r>
      <w:bookmarkEnd w:id="628"/>
      <w:bookmarkEnd w:id="629"/>
      <w:bookmarkEnd w:id="630"/>
      <w:bookmarkEnd w:id="632"/>
      <w:r w:rsidR="002A21AE">
        <w:fldChar w:fldCharType="begin"/>
      </w:r>
      <w:r w:rsidR="002A21AE">
        <w:instrText xml:space="preserve"> XE </w:instrText>
      </w:r>
      <w:r w:rsidR="00FA7E65">
        <w:instrText>“</w:instrText>
      </w:r>
      <w:r w:rsidR="002A21AE">
        <w:instrText>Tables:Antibody Screen Test Interpretation</w:instrText>
      </w:r>
      <w:r w:rsidR="00FA7E65">
        <w:instrText>”</w:instrText>
      </w:r>
      <w:r w:rsidR="002A21AE">
        <w:instrText xml:space="preserve"> </w:instrText>
      </w:r>
      <w:r w:rsidR="002A21AE">
        <w:fldChar w:fldCharType="end"/>
      </w:r>
      <w:r w:rsidR="002A21AE">
        <w:t xml:space="preserve"> </w:t>
      </w:r>
    </w:p>
    <w:p w14:paraId="4590E819" w14:textId="039AAC99" w:rsidR="002A21AE" w:rsidRDefault="002A21AE" w:rsidP="00FA7E65">
      <w:pPr>
        <w:pStyle w:val="BodyText"/>
      </w:pPr>
      <w:r>
        <w:t xml:space="preserve">For an </w:t>
      </w:r>
      <w:r w:rsidR="008E2E30">
        <w:t>Antibody Screen Test (ABS)</w:t>
      </w:r>
      <w:r w:rsidR="0023261D">
        <w:t xml:space="preserve"> </w:t>
      </w:r>
      <w:r>
        <w:t>to be correctly interpreted, the system must take the row validation (</w:t>
      </w:r>
      <w:r w:rsidR="00800320">
        <w:fldChar w:fldCharType="begin" w:fldLock="1"/>
      </w:r>
      <w:r w:rsidR="00800320">
        <w:instrText xml:space="preserve"> REF _Ref126732000 \h </w:instrText>
      </w:r>
      <w:r w:rsidR="00800320">
        <w:fldChar w:fldCharType="separate"/>
      </w:r>
      <w:r w:rsidR="00AB304C">
        <w:t xml:space="preserve">Table </w:t>
      </w:r>
      <w:r w:rsidR="00AB304C">
        <w:rPr>
          <w:noProof/>
        </w:rPr>
        <w:t>16</w:t>
      </w:r>
      <w:r w:rsidR="00800320">
        <w:fldChar w:fldCharType="end"/>
      </w:r>
      <w:r>
        <w:t>) for each screening cell and test method and determine whether the screening in total is positive</w:t>
      </w:r>
      <w:r w:rsidR="00760B98">
        <w:t xml:space="preserve"> or ne</w:t>
      </w:r>
      <w:r>
        <w:t xml:space="preserve">gative. This table is the input from the Blood Bank Technologist. Interpreting the </w:t>
      </w:r>
      <w:r w:rsidR="008E2E30">
        <w:t>ABS</w:t>
      </w:r>
      <w:r>
        <w:t>: The Blood Bank Technologist does not enter an interpretation for each row/cell of the antibody screen. The technologist enters an interpretation for the combination of screening cells including the autocontrol when tested. The system must correlate the information from the rows in the test, as described in system rules</w:t>
      </w:r>
      <w:r w:rsidR="0047520D">
        <w:t xml:space="preserve"> </w:t>
      </w:r>
      <w:r>
        <w:rPr>
          <w:vanish/>
        </w:rPr>
        <w:t>TT_53.01</w:t>
      </w:r>
      <w:r>
        <w:t xml:space="preserve">, to determine the proper interpretation for the </w:t>
      </w:r>
      <w:r w:rsidR="008E2E30">
        <w:t>ABS</w:t>
      </w:r>
      <w:r>
        <w:t>. Valid interpretations are positive or negative. A technologist may enter an antibody screen comment with the interpretation.</w:t>
      </w:r>
    </w:p>
    <w:p w14:paraId="6324D8D4" w14:textId="77777777" w:rsidR="002A21AE" w:rsidRDefault="002A21AE" w:rsidP="000E3E6B">
      <w:pPr>
        <w:pStyle w:val="BodyText"/>
        <w:ind w:leftChars="120" w:left="288"/>
      </w:pPr>
      <w:r w:rsidRPr="00D1343E">
        <w:rPr>
          <w:rFonts w:ascii="Wingdings 2" w:hAnsi="Wingdings 2" w:cs="Arial"/>
          <w:sz w:val="27"/>
          <w:szCs w:val="27"/>
        </w:rPr>
        <w:t></w:t>
      </w:r>
      <w:r w:rsidRPr="00D1343E">
        <w:rPr>
          <w:rStyle w:val="BodyTextChar"/>
        </w:rPr>
        <w:t xml:space="preserve"> SR 1: Valid interpretation. Update database.</w:t>
      </w:r>
    </w:p>
    <w:p w14:paraId="179F1D60" w14:textId="77777777" w:rsidR="002A21AE" w:rsidRDefault="00D1343E" w:rsidP="000E3E6B">
      <w:pPr>
        <w:pStyle w:val="BodyText"/>
        <w:ind w:leftChars="120" w:left="288"/>
        <w:rPr>
          <w:rStyle w:val="BodyTextChar"/>
        </w:rPr>
      </w:pPr>
      <w:r w:rsidRPr="00D1343E">
        <w:rPr>
          <w:rFonts w:ascii="Wingdings 2" w:hAnsi="Wingdings 2" w:cs="Arial"/>
          <w:sz w:val="27"/>
          <w:szCs w:val="27"/>
        </w:rPr>
        <w:t></w:t>
      </w:r>
      <w:r w:rsidRPr="00D1343E">
        <w:rPr>
          <w:rStyle w:val="BodyTextChar"/>
        </w:rPr>
        <w:t xml:space="preserve"> </w:t>
      </w:r>
      <w:r w:rsidR="002A21AE" w:rsidRPr="00D1343E">
        <w:rPr>
          <w:rStyle w:val="BodyTextChar"/>
        </w:rPr>
        <w:t>SR 2: Warning message. No override. Do not update database at this time.</w:t>
      </w:r>
    </w:p>
    <w:p w14:paraId="4E36B5FB" w14:textId="77777777" w:rsidR="00760B98" w:rsidRDefault="00760B98" w:rsidP="000E3E6B">
      <w:pPr>
        <w:pStyle w:val="BodyText"/>
        <w:ind w:leftChars="120" w:left="288"/>
      </w:pPr>
      <w:r w:rsidRPr="00D1343E">
        <w:rPr>
          <w:rFonts w:ascii="Wingdings 2" w:hAnsi="Wingdings 2" w:cs="Arial"/>
          <w:sz w:val="27"/>
          <w:szCs w:val="27"/>
        </w:rPr>
        <w:t></w:t>
      </w:r>
      <w:r w:rsidRPr="00D1343E">
        <w:rPr>
          <w:rStyle w:val="BodyTextChar"/>
        </w:rPr>
        <w:t xml:space="preserve"> </w:t>
      </w:r>
      <w:r>
        <w:t>SR 3: Valid interpretation. Update database. Collect comment and exception.</w:t>
      </w:r>
    </w:p>
    <w:p w14:paraId="23F02A50" w14:textId="77777777" w:rsidR="002A21AE" w:rsidRDefault="00D1343E" w:rsidP="000E3E6B">
      <w:pPr>
        <w:pStyle w:val="BodyText"/>
        <w:ind w:leftChars="120" w:left="288"/>
        <w:rPr>
          <w:rStyle w:val="BodyTextChar"/>
        </w:rPr>
      </w:pPr>
      <w:r w:rsidRPr="00D1343E">
        <w:rPr>
          <w:rFonts w:ascii="Wingdings 2" w:hAnsi="Wingdings 2" w:cs="Arial"/>
          <w:sz w:val="27"/>
          <w:szCs w:val="27"/>
        </w:rPr>
        <w:t></w:t>
      </w:r>
      <w:r w:rsidRPr="00D1343E">
        <w:rPr>
          <w:rStyle w:val="BodyTextChar"/>
        </w:rPr>
        <w:t xml:space="preserve"> </w:t>
      </w:r>
      <w:r w:rsidR="002A21AE" w:rsidRPr="00D1343E">
        <w:rPr>
          <w:rStyle w:val="BodyTextChar"/>
        </w:rPr>
        <w:t>EM 1: “Interpretation does not match your results.”</w:t>
      </w:r>
    </w:p>
    <w:p w14:paraId="4F940784" w14:textId="77777777" w:rsidR="00FF176A" w:rsidRDefault="00FF176A" w:rsidP="000E3E6B">
      <w:pPr>
        <w:pStyle w:val="BodyText"/>
        <w:ind w:leftChars="120" w:left="288"/>
      </w:pPr>
      <w:r w:rsidRPr="00D1343E">
        <w:rPr>
          <w:rFonts w:ascii="Wingdings 2" w:hAnsi="Wingdings 2" w:cs="Arial"/>
          <w:sz w:val="27"/>
          <w:szCs w:val="27"/>
        </w:rPr>
        <w:t></w:t>
      </w:r>
      <w:r w:rsidRPr="00D1343E">
        <w:rPr>
          <w:rStyle w:val="BodyTextChar"/>
        </w:rPr>
        <w:t xml:space="preserve"> </w:t>
      </w:r>
      <w:r>
        <w:rPr>
          <w:rStyle w:val="BodyTextChar"/>
        </w:rPr>
        <w:t xml:space="preserve">EM 2: </w:t>
      </w:r>
      <w:r w:rsidR="00AD0B01" w:rsidRPr="00AD0B01">
        <w:rPr>
          <w:rStyle w:val="BodyTextChar"/>
        </w:rPr>
        <w:t>“You are attempting to file an invalid antibody screen. This is not allowed.”</w:t>
      </w:r>
    </w:p>
    <w:p w14:paraId="7CF14597" w14:textId="70D90091" w:rsidR="002A21AE" w:rsidRDefault="002A21AE">
      <w:pPr>
        <w:pStyle w:val="Caption"/>
      </w:pPr>
      <w:bookmarkStart w:id="633" w:name="_Ref126732000"/>
      <w:bookmarkStart w:id="634" w:name="_Toc97523633"/>
      <w:bookmarkStart w:id="635" w:name="_Toc97527603"/>
      <w:bookmarkStart w:id="636" w:name="_Ref126504351"/>
      <w:bookmarkStart w:id="637" w:name="_Ref126504384"/>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647F4E">
        <w:rPr>
          <w:noProof/>
        </w:rPr>
        <w:t>16</w:t>
      </w:r>
      <w:r w:rsidR="004E20BD">
        <w:rPr>
          <w:noProof/>
        </w:rPr>
        <w:fldChar w:fldCharType="end"/>
      </w:r>
      <w:bookmarkEnd w:id="633"/>
      <w:r>
        <w:t xml:space="preserve">: </w:t>
      </w:r>
      <w:r>
        <w:rPr>
          <w:vanish/>
        </w:rPr>
        <w:t xml:space="preserve">TT_53.02 </w:t>
      </w:r>
      <w:r>
        <w:t>Antibody Screen Test Interpretation</w:t>
      </w:r>
      <w:bookmarkEnd w:id="634"/>
      <w:bookmarkEnd w:id="635"/>
      <w:bookmarkEnd w:id="636"/>
      <w:bookmarkEnd w:id="637"/>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5"/>
        <w:gridCol w:w="2938"/>
        <w:gridCol w:w="1209"/>
        <w:gridCol w:w="1572"/>
        <w:gridCol w:w="1088"/>
        <w:gridCol w:w="1028"/>
      </w:tblGrid>
      <w:tr w:rsidR="00FA5AF0" w:rsidRPr="00FC17CF" w14:paraId="74C28124" w14:textId="77777777">
        <w:trPr>
          <w:cantSplit/>
          <w:tblHeader/>
        </w:trPr>
        <w:tc>
          <w:tcPr>
            <w:tcW w:w="9288" w:type="dxa"/>
            <w:gridSpan w:val="6"/>
            <w:tcBorders>
              <w:bottom w:val="nil"/>
            </w:tcBorders>
            <w:shd w:val="clear" w:color="auto" w:fill="C0C0C0"/>
          </w:tcPr>
          <w:p w14:paraId="4F07AE9C" w14:textId="77777777" w:rsidR="00FA5AF0" w:rsidRPr="00FC17CF" w:rsidRDefault="00FA5AF0" w:rsidP="00CD34EB">
            <w:pPr>
              <w:pStyle w:val="TableText"/>
              <w:rPr>
                <w:b/>
              </w:rPr>
            </w:pPr>
            <w:r w:rsidRPr="00FC17CF">
              <w:rPr>
                <w:b/>
              </w:rPr>
              <w:t>Antibody Screen Test Interpretation</w:t>
            </w:r>
          </w:p>
        </w:tc>
      </w:tr>
      <w:tr w:rsidR="00FA5AF0" w:rsidRPr="00FC17CF" w14:paraId="42B3CA15" w14:textId="77777777">
        <w:trPr>
          <w:cantSplit/>
        </w:trPr>
        <w:tc>
          <w:tcPr>
            <w:tcW w:w="1513" w:type="dxa"/>
            <w:vMerge w:val="restart"/>
            <w:shd w:val="clear" w:color="auto" w:fill="C0C0C0"/>
          </w:tcPr>
          <w:p w14:paraId="64E1468D" w14:textId="77777777" w:rsidR="00FA5AF0" w:rsidRPr="00FC17CF" w:rsidRDefault="00FA5AF0" w:rsidP="00CD34EB">
            <w:pPr>
              <w:pStyle w:val="TableText"/>
              <w:rPr>
                <w:b/>
              </w:rPr>
            </w:pPr>
            <w:r>
              <w:rPr>
                <w:b/>
              </w:rPr>
              <w:t>Antibody Screen I</w:t>
            </w:r>
            <w:r w:rsidRPr="00FC17CF">
              <w:rPr>
                <w:b/>
              </w:rPr>
              <w:t xml:space="preserve">nterpretation: includes all cells tested; might be SC 1 and SC 2 only, or SC 1, 2, 3, or SC 1, 2, 3, 4, as indicated by site parameter in </w:t>
            </w:r>
            <w:r w:rsidR="00C73BF5" w:rsidRPr="00C73BF5">
              <w:rPr>
                <w:b/>
              </w:rPr>
              <w:t>Configure Daily QC</w:t>
            </w:r>
            <w:r w:rsidRPr="00FC17CF">
              <w:rPr>
                <w:b/>
              </w:rPr>
              <w:t>. Method of Tube, Gel, or Solid Phase</w:t>
            </w:r>
          </w:p>
        </w:tc>
        <w:tc>
          <w:tcPr>
            <w:tcW w:w="2915" w:type="dxa"/>
            <w:tcBorders>
              <w:bottom w:val="nil"/>
            </w:tcBorders>
            <w:shd w:val="clear" w:color="auto" w:fill="C0C0C0"/>
            <w:vAlign w:val="bottom"/>
          </w:tcPr>
          <w:p w14:paraId="315C6E75" w14:textId="77777777" w:rsidR="00FA5AF0" w:rsidRPr="00FC17CF" w:rsidRDefault="00FA5AF0" w:rsidP="00CD34EB">
            <w:pPr>
              <w:pStyle w:val="TableText"/>
              <w:rPr>
                <w:b/>
              </w:rPr>
            </w:pPr>
            <w:r w:rsidRPr="00FC17CF">
              <w:rPr>
                <w:b/>
              </w:rPr>
              <w:t>SC 1</w:t>
            </w:r>
            <w:r>
              <w:rPr>
                <w:b/>
              </w:rPr>
              <w:t xml:space="preserve">, </w:t>
            </w:r>
            <w:r w:rsidRPr="00FC17CF">
              <w:rPr>
                <w:b/>
              </w:rPr>
              <w:t>SC 2</w:t>
            </w:r>
            <w:r>
              <w:rPr>
                <w:b/>
              </w:rPr>
              <w:t xml:space="preserve">, </w:t>
            </w:r>
            <w:r w:rsidRPr="00FC17CF">
              <w:rPr>
                <w:b/>
              </w:rPr>
              <w:t>SC 3</w:t>
            </w:r>
            <w:r>
              <w:rPr>
                <w:b/>
              </w:rPr>
              <w:t xml:space="preserve">, </w:t>
            </w:r>
            <w:r w:rsidRPr="00FC17CF">
              <w:rPr>
                <w:b/>
              </w:rPr>
              <w:t>SC 4</w:t>
            </w:r>
            <w:r>
              <w:rPr>
                <w:b/>
              </w:rPr>
              <w:t xml:space="preserve">, </w:t>
            </w:r>
            <w:r w:rsidRPr="00FC17CF">
              <w:rPr>
                <w:b/>
              </w:rPr>
              <w:t>Autocontrol Interpretation</w:t>
            </w:r>
          </w:p>
        </w:tc>
        <w:tc>
          <w:tcPr>
            <w:tcW w:w="1200" w:type="dxa"/>
            <w:tcBorders>
              <w:bottom w:val="nil"/>
            </w:tcBorders>
            <w:shd w:val="clear" w:color="auto" w:fill="C0C0C0"/>
            <w:vAlign w:val="bottom"/>
          </w:tcPr>
          <w:p w14:paraId="4206532C" w14:textId="77777777" w:rsidR="00FA5AF0" w:rsidRPr="00FC17CF" w:rsidRDefault="00FA5AF0" w:rsidP="00CD34EB">
            <w:pPr>
              <w:pStyle w:val="TableText"/>
              <w:rPr>
                <w:b/>
              </w:rPr>
            </w:pPr>
            <w:r w:rsidRPr="00FC17CF">
              <w:rPr>
                <w:b/>
              </w:rPr>
              <w:t>Tech Entry</w:t>
            </w:r>
          </w:p>
        </w:tc>
        <w:tc>
          <w:tcPr>
            <w:tcW w:w="1560" w:type="dxa"/>
            <w:tcBorders>
              <w:bottom w:val="nil"/>
            </w:tcBorders>
            <w:shd w:val="clear" w:color="auto" w:fill="C0C0C0"/>
            <w:vAlign w:val="bottom"/>
          </w:tcPr>
          <w:p w14:paraId="07B1A291" w14:textId="77777777" w:rsidR="00FA5AF0" w:rsidRPr="00FC17CF" w:rsidRDefault="00FA5AF0" w:rsidP="00CD34EB">
            <w:pPr>
              <w:pStyle w:val="TableText"/>
              <w:rPr>
                <w:b/>
              </w:rPr>
            </w:pPr>
            <w:r w:rsidRPr="00FC17CF">
              <w:rPr>
                <w:b/>
              </w:rPr>
              <w:t>System Interpretation of Screening Cell Test</w:t>
            </w:r>
          </w:p>
        </w:tc>
        <w:tc>
          <w:tcPr>
            <w:tcW w:w="1080" w:type="dxa"/>
            <w:tcBorders>
              <w:bottom w:val="nil"/>
            </w:tcBorders>
            <w:shd w:val="clear" w:color="auto" w:fill="C0C0C0"/>
            <w:vAlign w:val="bottom"/>
          </w:tcPr>
          <w:p w14:paraId="44B65783" w14:textId="77777777" w:rsidR="00FA5AF0" w:rsidRPr="00FC17CF" w:rsidRDefault="00FA5AF0" w:rsidP="00CD34EB">
            <w:pPr>
              <w:pStyle w:val="TableText"/>
              <w:rPr>
                <w:b/>
              </w:rPr>
            </w:pPr>
            <w:r w:rsidRPr="00FC17CF">
              <w:rPr>
                <w:b/>
              </w:rPr>
              <w:t>System Response</w:t>
            </w:r>
          </w:p>
        </w:tc>
        <w:tc>
          <w:tcPr>
            <w:tcW w:w="1020" w:type="dxa"/>
            <w:tcBorders>
              <w:bottom w:val="nil"/>
            </w:tcBorders>
            <w:shd w:val="clear" w:color="auto" w:fill="C0C0C0"/>
            <w:vAlign w:val="bottom"/>
          </w:tcPr>
          <w:p w14:paraId="22481755" w14:textId="77777777" w:rsidR="00FA5AF0" w:rsidRPr="00FC17CF" w:rsidRDefault="00FA5AF0" w:rsidP="00CD34EB">
            <w:pPr>
              <w:pStyle w:val="TableText"/>
              <w:rPr>
                <w:b/>
              </w:rPr>
            </w:pPr>
            <w:r w:rsidRPr="00FC17CF">
              <w:rPr>
                <w:b/>
              </w:rPr>
              <w:t>Error Message</w:t>
            </w:r>
          </w:p>
        </w:tc>
      </w:tr>
      <w:tr w:rsidR="00FA5AF0" w14:paraId="12E6752E" w14:textId="77777777">
        <w:trPr>
          <w:cantSplit/>
        </w:trPr>
        <w:tc>
          <w:tcPr>
            <w:tcW w:w="1513" w:type="dxa"/>
            <w:vMerge/>
          </w:tcPr>
          <w:p w14:paraId="065C55EF" w14:textId="77777777" w:rsidR="00FA5AF0" w:rsidRDefault="00FA5AF0" w:rsidP="00FA5AF0">
            <w:pPr>
              <w:pStyle w:val="TableText"/>
            </w:pPr>
          </w:p>
        </w:tc>
        <w:tc>
          <w:tcPr>
            <w:tcW w:w="2915" w:type="dxa"/>
            <w:vMerge w:val="restart"/>
            <w:tcBorders>
              <w:top w:val="single" w:sz="4" w:space="0" w:color="auto"/>
            </w:tcBorders>
          </w:tcPr>
          <w:p w14:paraId="1F595E2F" w14:textId="77777777" w:rsidR="00FA5AF0" w:rsidRPr="00565DBF" w:rsidRDefault="00FA5AF0" w:rsidP="00FA5AF0">
            <w:pPr>
              <w:pStyle w:val="TableText"/>
            </w:pPr>
            <w:r w:rsidRPr="00565DBF">
              <w:t>System interpretation if all individual row validations are negative.</w:t>
            </w:r>
          </w:p>
        </w:tc>
        <w:tc>
          <w:tcPr>
            <w:tcW w:w="1200" w:type="dxa"/>
            <w:tcBorders>
              <w:top w:val="single" w:sz="4" w:space="0" w:color="auto"/>
            </w:tcBorders>
          </w:tcPr>
          <w:p w14:paraId="427EF8EE" w14:textId="77777777" w:rsidR="00FA5AF0" w:rsidRPr="00565DBF" w:rsidRDefault="00FA5AF0" w:rsidP="00FA5AF0">
            <w:pPr>
              <w:pStyle w:val="TableText"/>
            </w:pPr>
            <w:r w:rsidRPr="00565DBF">
              <w:t>Negative</w:t>
            </w:r>
          </w:p>
        </w:tc>
        <w:tc>
          <w:tcPr>
            <w:tcW w:w="1560" w:type="dxa"/>
            <w:tcBorders>
              <w:top w:val="single" w:sz="4" w:space="0" w:color="auto"/>
            </w:tcBorders>
            <w:shd w:val="clear" w:color="auto" w:fill="auto"/>
          </w:tcPr>
          <w:p w14:paraId="1C20A3B8" w14:textId="77777777" w:rsidR="00FA5AF0" w:rsidRPr="00565DBF" w:rsidRDefault="00FA5AF0" w:rsidP="00FA5AF0">
            <w:pPr>
              <w:pStyle w:val="TableText"/>
              <w:rPr>
                <w:szCs w:val="20"/>
              </w:rPr>
            </w:pPr>
            <w:r w:rsidRPr="00565DBF">
              <w:rPr>
                <w:szCs w:val="20"/>
              </w:rPr>
              <w:t>Negative (N)</w:t>
            </w:r>
          </w:p>
        </w:tc>
        <w:tc>
          <w:tcPr>
            <w:tcW w:w="1080" w:type="dxa"/>
            <w:tcBorders>
              <w:top w:val="single" w:sz="4" w:space="0" w:color="auto"/>
            </w:tcBorders>
          </w:tcPr>
          <w:p w14:paraId="2B359AD8" w14:textId="77777777" w:rsidR="00FA5AF0" w:rsidRPr="00565DBF" w:rsidRDefault="00FA5AF0" w:rsidP="00FA5AF0">
            <w:pPr>
              <w:pStyle w:val="TableText"/>
            </w:pPr>
            <w:r w:rsidRPr="00565DBF">
              <w:t>SR 1</w:t>
            </w:r>
          </w:p>
        </w:tc>
        <w:tc>
          <w:tcPr>
            <w:tcW w:w="1020" w:type="dxa"/>
            <w:tcBorders>
              <w:top w:val="single" w:sz="4" w:space="0" w:color="auto"/>
            </w:tcBorders>
          </w:tcPr>
          <w:p w14:paraId="42821182" w14:textId="77777777" w:rsidR="00FA5AF0" w:rsidRPr="00565DBF" w:rsidRDefault="00FA5AF0" w:rsidP="00FA5AF0">
            <w:pPr>
              <w:pStyle w:val="TableText"/>
            </w:pPr>
            <w:r w:rsidRPr="00565DBF">
              <w:t>N/A</w:t>
            </w:r>
          </w:p>
        </w:tc>
      </w:tr>
      <w:tr w:rsidR="00FA5AF0" w14:paraId="5BF3E906" w14:textId="77777777">
        <w:trPr>
          <w:cantSplit/>
        </w:trPr>
        <w:tc>
          <w:tcPr>
            <w:tcW w:w="1513" w:type="dxa"/>
            <w:vMerge/>
          </w:tcPr>
          <w:p w14:paraId="2E2A2E18" w14:textId="77777777" w:rsidR="00FA5AF0" w:rsidRDefault="00FA5AF0" w:rsidP="00FA5AF0">
            <w:pPr>
              <w:pStyle w:val="TableText"/>
            </w:pPr>
          </w:p>
        </w:tc>
        <w:tc>
          <w:tcPr>
            <w:tcW w:w="2915" w:type="dxa"/>
            <w:vMerge/>
          </w:tcPr>
          <w:p w14:paraId="23371408" w14:textId="77777777" w:rsidR="00FA5AF0" w:rsidRPr="00565DBF" w:rsidRDefault="00FA5AF0" w:rsidP="00FA5AF0">
            <w:pPr>
              <w:pStyle w:val="TableText"/>
            </w:pPr>
          </w:p>
        </w:tc>
        <w:tc>
          <w:tcPr>
            <w:tcW w:w="1200" w:type="dxa"/>
          </w:tcPr>
          <w:p w14:paraId="13082B0F" w14:textId="77777777" w:rsidR="00FA5AF0" w:rsidRPr="00565DBF" w:rsidRDefault="00760B98" w:rsidP="00FA5AF0">
            <w:pPr>
              <w:pStyle w:val="TableText"/>
            </w:pPr>
            <w:r>
              <w:t>Positive</w:t>
            </w:r>
          </w:p>
        </w:tc>
        <w:tc>
          <w:tcPr>
            <w:tcW w:w="1560" w:type="dxa"/>
            <w:shd w:val="clear" w:color="auto" w:fill="auto"/>
          </w:tcPr>
          <w:p w14:paraId="3B68A21C" w14:textId="77777777" w:rsidR="00FA5AF0" w:rsidRPr="00565DBF" w:rsidRDefault="00FA5AF0" w:rsidP="00FA5AF0">
            <w:pPr>
              <w:pStyle w:val="TableText"/>
              <w:rPr>
                <w:szCs w:val="20"/>
              </w:rPr>
            </w:pPr>
            <w:r w:rsidRPr="00565DBF">
              <w:rPr>
                <w:szCs w:val="20"/>
              </w:rPr>
              <w:t>Negative (N)</w:t>
            </w:r>
          </w:p>
        </w:tc>
        <w:tc>
          <w:tcPr>
            <w:tcW w:w="1080" w:type="dxa"/>
          </w:tcPr>
          <w:p w14:paraId="381FE6D6" w14:textId="77777777" w:rsidR="00FA5AF0" w:rsidRPr="00565DBF" w:rsidRDefault="00FA5AF0" w:rsidP="00FA5AF0">
            <w:pPr>
              <w:pStyle w:val="TableText"/>
            </w:pPr>
            <w:r w:rsidRPr="00565DBF">
              <w:t>SR 2</w:t>
            </w:r>
          </w:p>
        </w:tc>
        <w:tc>
          <w:tcPr>
            <w:tcW w:w="1020" w:type="dxa"/>
          </w:tcPr>
          <w:p w14:paraId="3AE77157" w14:textId="77777777" w:rsidR="00FA5AF0" w:rsidRPr="00565DBF" w:rsidRDefault="00FA5AF0" w:rsidP="00FA5AF0">
            <w:pPr>
              <w:pStyle w:val="TableText"/>
            </w:pPr>
            <w:r w:rsidRPr="00565DBF">
              <w:t>EM 1</w:t>
            </w:r>
          </w:p>
        </w:tc>
      </w:tr>
      <w:tr w:rsidR="00FA5AF0" w14:paraId="20163560" w14:textId="77777777">
        <w:trPr>
          <w:cantSplit/>
        </w:trPr>
        <w:tc>
          <w:tcPr>
            <w:tcW w:w="1513" w:type="dxa"/>
            <w:vMerge/>
          </w:tcPr>
          <w:p w14:paraId="373F83E4" w14:textId="77777777" w:rsidR="00FA5AF0" w:rsidRDefault="00FA5AF0" w:rsidP="00FA5AF0">
            <w:pPr>
              <w:pStyle w:val="TableText"/>
            </w:pPr>
          </w:p>
        </w:tc>
        <w:tc>
          <w:tcPr>
            <w:tcW w:w="2915" w:type="dxa"/>
            <w:tcBorders>
              <w:top w:val="single" w:sz="4" w:space="0" w:color="auto"/>
            </w:tcBorders>
          </w:tcPr>
          <w:p w14:paraId="1AB38D35" w14:textId="77777777" w:rsidR="00FA5AF0" w:rsidRPr="00565DBF" w:rsidRDefault="00FA5AF0" w:rsidP="00FA5AF0">
            <w:pPr>
              <w:pStyle w:val="TableText"/>
            </w:pPr>
            <w:r w:rsidRPr="00565DBF">
              <w:t xml:space="preserve">System interpretation if all individual row validations are negative and indicates that a comment is required. </w:t>
            </w:r>
          </w:p>
        </w:tc>
        <w:tc>
          <w:tcPr>
            <w:tcW w:w="1200" w:type="dxa"/>
            <w:tcBorders>
              <w:top w:val="single" w:sz="4" w:space="0" w:color="auto"/>
            </w:tcBorders>
          </w:tcPr>
          <w:p w14:paraId="753CF9C0" w14:textId="77777777" w:rsidR="00FA5AF0" w:rsidRPr="00565DBF" w:rsidRDefault="00FA5AF0" w:rsidP="00FA5AF0">
            <w:pPr>
              <w:pStyle w:val="TableText"/>
            </w:pPr>
            <w:r w:rsidRPr="00565DBF">
              <w:t>Negative</w:t>
            </w:r>
          </w:p>
        </w:tc>
        <w:tc>
          <w:tcPr>
            <w:tcW w:w="1560" w:type="dxa"/>
            <w:tcBorders>
              <w:top w:val="single" w:sz="4" w:space="0" w:color="auto"/>
            </w:tcBorders>
          </w:tcPr>
          <w:p w14:paraId="3F46303D" w14:textId="77777777" w:rsidR="00FA5AF0" w:rsidRPr="00565DBF" w:rsidRDefault="00FA5AF0" w:rsidP="00FA5AF0">
            <w:pPr>
              <w:pStyle w:val="TableText"/>
              <w:rPr>
                <w:szCs w:val="20"/>
              </w:rPr>
            </w:pPr>
            <w:r w:rsidRPr="00565DBF">
              <w:rPr>
                <w:szCs w:val="16"/>
              </w:rPr>
              <w:t>Negative (N</w:t>
            </w:r>
            <w:r w:rsidRPr="00565DBF">
              <w:rPr>
                <w:szCs w:val="20"/>
              </w:rPr>
              <w:t>)</w:t>
            </w:r>
          </w:p>
        </w:tc>
        <w:tc>
          <w:tcPr>
            <w:tcW w:w="1080" w:type="dxa"/>
            <w:tcBorders>
              <w:top w:val="single" w:sz="4" w:space="0" w:color="auto"/>
            </w:tcBorders>
          </w:tcPr>
          <w:p w14:paraId="02B566CF" w14:textId="77777777" w:rsidR="00FA5AF0" w:rsidRPr="00565DBF" w:rsidRDefault="00FA5AF0" w:rsidP="00FA5AF0">
            <w:pPr>
              <w:pStyle w:val="TableText"/>
            </w:pPr>
            <w:r w:rsidRPr="00565DBF">
              <w:t>SR 3</w:t>
            </w:r>
          </w:p>
        </w:tc>
        <w:tc>
          <w:tcPr>
            <w:tcW w:w="1020" w:type="dxa"/>
            <w:tcBorders>
              <w:top w:val="single" w:sz="4" w:space="0" w:color="auto"/>
            </w:tcBorders>
          </w:tcPr>
          <w:p w14:paraId="0435D417" w14:textId="77777777" w:rsidR="00FA5AF0" w:rsidRPr="00565DBF" w:rsidRDefault="00604046" w:rsidP="00FA5AF0">
            <w:pPr>
              <w:pStyle w:val="TableText"/>
            </w:pPr>
            <w:r>
              <w:t>N/A</w:t>
            </w:r>
          </w:p>
        </w:tc>
      </w:tr>
      <w:tr w:rsidR="00FA5AF0" w14:paraId="2C4831BF" w14:textId="77777777">
        <w:trPr>
          <w:cantSplit/>
        </w:trPr>
        <w:tc>
          <w:tcPr>
            <w:tcW w:w="1513" w:type="dxa"/>
            <w:vMerge/>
          </w:tcPr>
          <w:p w14:paraId="0F0A6522" w14:textId="77777777" w:rsidR="00FA5AF0" w:rsidRDefault="00FA5AF0" w:rsidP="00FA5AF0">
            <w:pPr>
              <w:pStyle w:val="TableText"/>
            </w:pPr>
          </w:p>
        </w:tc>
        <w:tc>
          <w:tcPr>
            <w:tcW w:w="2915" w:type="dxa"/>
            <w:vMerge w:val="restart"/>
            <w:tcBorders>
              <w:top w:val="single" w:sz="4" w:space="0" w:color="auto"/>
            </w:tcBorders>
          </w:tcPr>
          <w:p w14:paraId="1CD67599" w14:textId="77777777" w:rsidR="00FA5AF0" w:rsidRPr="00565DBF" w:rsidRDefault="00FA5AF0" w:rsidP="00FA5AF0">
            <w:pPr>
              <w:pStyle w:val="TableText"/>
            </w:pPr>
            <w:r w:rsidRPr="00565DBF">
              <w:t>System interpretation if one, several, or all rows are positive (P).</w:t>
            </w:r>
          </w:p>
        </w:tc>
        <w:tc>
          <w:tcPr>
            <w:tcW w:w="1200" w:type="dxa"/>
            <w:tcBorders>
              <w:top w:val="single" w:sz="4" w:space="0" w:color="auto"/>
            </w:tcBorders>
          </w:tcPr>
          <w:p w14:paraId="6A6A3F2A" w14:textId="77777777" w:rsidR="00FA5AF0" w:rsidRPr="00565DBF" w:rsidRDefault="00FA5AF0" w:rsidP="00FA5AF0">
            <w:pPr>
              <w:pStyle w:val="TableText"/>
            </w:pPr>
            <w:r w:rsidRPr="00565DBF">
              <w:t>Positive</w:t>
            </w:r>
          </w:p>
        </w:tc>
        <w:tc>
          <w:tcPr>
            <w:tcW w:w="1560" w:type="dxa"/>
            <w:tcBorders>
              <w:top w:val="single" w:sz="4" w:space="0" w:color="auto"/>
            </w:tcBorders>
            <w:shd w:val="clear" w:color="auto" w:fill="auto"/>
          </w:tcPr>
          <w:p w14:paraId="090628E2" w14:textId="77777777" w:rsidR="00FA5AF0" w:rsidRPr="00565DBF" w:rsidRDefault="00FA5AF0" w:rsidP="00FA5AF0">
            <w:pPr>
              <w:pStyle w:val="TableText"/>
              <w:rPr>
                <w:szCs w:val="20"/>
              </w:rPr>
            </w:pPr>
            <w:r w:rsidRPr="00565DBF">
              <w:rPr>
                <w:szCs w:val="20"/>
              </w:rPr>
              <w:t>Positive (P)</w:t>
            </w:r>
          </w:p>
        </w:tc>
        <w:tc>
          <w:tcPr>
            <w:tcW w:w="1080" w:type="dxa"/>
            <w:tcBorders>
              <w:top w:val="single" w:sz="4" w:space="0" w:color="auto"/>
            </w:tcBorders>
          </w:tcPr>
          <w:p w14:paraId="4C5B1036" w14:textId="77777777" w:rsidR="00FA5AF0" w:rsidRPr="00565DBF" w:rsidRDefault="00FA5AF0" w:rsidP="00FA5AF0">
            <w:pPr>
              <w:pStyle w:val="TableText"/>
            </w:pPr>
            <w:r w:rsidRPr="00565DBF">
              <w:t>SR 1</w:t>
            </w:r>
          </w:p>
        </w:tc>
        <w:tc>
          <w:tcPr>
            <w:tcW w:w="1020" w:type="dxa"/>
            <w:tcBorders>
              <w:top w:val="single" w:sz="4" w:space="0" w:color="auto"/>
            </w:tcBorders>
          </w:tcPr>
          <w:p w14:paraId="5C89C49A" w14:textId="77777777" w:rsidR="00FA5AF0" w:rsidRPr="00565DBF" w:rsidRDefault="00FA5AF0" w:rsidP="00FA5AF0">
            <w:pPr>
              <w:pStyle w:val="TableText"/>
            </w:pPr>
            <w:r w:rsidRPr="00565DBF">
              <w:t>N/A</w:t>
            </w:r>
          </w:p>
        </w:tc>
      </w:tr>
      <w:tr w:rsidR="00FA5AF0" w14:paraId="47D2DA84" w14:textId="77777777">
        <w:trPr>
          <w:cantSplit/>
        </w:trPr>
        <w:tc>
          <w:tcPr>
            <w:tcW w:w="1513" w:type="dxa"/>
            <w:vMerge/>
          </w:tcPr>
          <w:p w14:paraId="68A93225" w14:textId="77777777" w:rsidR="00FA5AF0" w:rsidRDefault="00FA5AF0" w:rsidP="00FA5AF0">
            <w:pPr>
              <w:pStyle w:val="TableText"/>
            </w:pPr>
          </w:p>
        </w:tc>
        <w:tc>
          <w:tcPr>
            <w:tcW w:w="2915" w:type="dxa"/>
            <w:vMerge/>
          </w:tcPr>
          <w:p w14:paraId="3DF59367" w14:textId="77777777" w:rsidR="00FA5AF0" w:rsidRPr="00565DBF" w:rsidRDefault="00FA5AF0" w:rsidP="00FA5AF0">
            <w:pPr>
              <w:pStyle w:val="TableText"/>
            </w:pPr>
          </w:p>
        </w:tc>
        <w:tc>
          <w:tcPr>
            <w:tcW w:w="1200" w:type="dxa"/>
          </w:tcPr>
          <w:p w14:paraId="1124A7B8" w14:textId="77777777" w:rsidR="00FA5AF0" w:rsidRPr="00565DBF" w:rsidRDefault="00FA5AF0" w:rsidP="00FA5AF0">
            <w:pPr>
              <w:pStyle w:val="TableText"/>
            </w:pPr>
            <w:r w:rsidRPr="00565DBF">
              <w:t>Negative</w:t>
            </w:r>
          </w:p>
        </w:tc>
        <w:tc>
          <w:tcPr>
            <w:tcW w:w="1560" w:type="dxa"/>
            <w:shd w:val="clear" w:color="auto" w:fill="auto"/>
          </w:tcPr>
          <w:p w14:paraId="4642F464" w14:textId="77777777" w:rsidR="00FA5AF0" w:rsidRPr="00565DBF" w:rsidRDefault="00FA5AF0" w:rsidP="00FA5AF0">
            <w:pPr>
              <w:pStyle w:val="TableText"/>
              <w:rPr>
                <w:szCs w:val="20"/>
              </w:rPr>
            </w:pPr>
            <w:r w:rsidRPr="00565DBF">
              <w:rPr>
                <w:szCs w:val="20"/>
              </w:rPr>
              <w:t>Positive (P)</w:t>
            </w:r>
          </w:p>
        </w:tc>
        <w:tc>
          <w:tcPr>
            <w:tcW w:w="1080" w:type="dxa"/>
          </w:tcPr>
          <w:p w14:paraId="11A68329" w14:textId="77777777" w:rsidR="00FA5AF0" w:rsidRPr="00565DBF" w:rsidRDefault="00FA5AF0" w:rsidP="00FA5AF0">
            <w:pPr>
              <w:pStyle w:val="TableText"/>
            </w:pPr>
            <w:r w:rsidRPr="00565DBF">
              <w:t>SR 2</w:t>
            </w:r>
          </w:p>
        </w:tc>
        <w:tc>
          <w:tcPr>
            <w:tcW w:w="1020" w:type="dxa"/>
          </w:tcPr>
          <w:p w14:paraId="3C0285C6" w14:textId="77777777" w:rsidR="00FA5AF0" w:rsidRPr="00565DBF" w:rsidRDefault="00FA5AF0" w:rsidP="00FA5AF0">
            <w:pPr>
              <w:pStyle w:val="TableText"/>
            </w:pPr>
            <w:r w:rsidRPr="00565DBF">
              <w:t>EM 1</w:t>
            </w:r>
          </w:p>
        </w:tc>
      </w:tr>
      <w:tr w:rsidR="00FA5AF0" w14:paraId="2C243086" w14:textId="77777777">
        <w:trPr>
          <w:cantSplit/>
        </w:trPr>
        <w:tc>
          <w:tcPr>
            <w:tcW w:w="1513" w:type="dxa"/>
            <w:vMerge/>
          </w:tcPr>
          <w:p w14:paraId="7F15CEC5" w14:textId="77777777" w:rsidR="00FA5AF0" w:rsidRDefault="00FA5AF0" w:rsidP="00FA5AF0">
            <w:pPr>
              <w:pStyle w:val="TableText"/>
            </w:pPr>
          </w:p>
        </w:tc>
        <w:tc>
          <w:tcPr>
            <w:tcW w:w="2915" w:type="dxa"/>
          </w:tcPr>
          <w:p w14:paraId="02AA4D16" w14:textId="77777777" w:rsidR="00FA5AF0" w:rsidRPr="00565DBF" w:rsidRDefault="00FA5AF0" w:rsidP="00FA5AF0">
            <w:pPr>
              <w:pStyle w:val="TableText"/>
            </w:pPr>
            <w:r w:rsidRPr="00565DBF">
              <w:t>System interpretation if one, several, or all rows are positive (P) and indicates that a comment is required.</w:t>
            </w:r>
          </w:p>
        </w:tc>
        <w:tc>
          <w:tcPr>
            <w:tcW w:w="1200" w:type="dxa"/>
          </w:tcPr>
          <w:p w14:paraId="5A5BFFA9" w14:textId="77777777" w:rsidR="00FA5AF0" w:rsidRPr="00565DBF" w:rsidRDefault="00FA5AF0" w:rsidP="00FA5AF0">
            <w:pPr>
              <w:pStyle w:val="TableText"/>
              <w:rPr>
                <w:szCs w:val="16"/>
              </w:rPr>
            </w:pPr>
            <w:r w:rsidRPr="00565DBF">
              <w:rPr>
                <w:szCs w:val="16"/>
              </w:rPr>
              <w:t>Positive</w:t>
            </w:r>
          </w:p>
        </w:tc>
        <w:tc>
          <w:tcPr>
            <w:tcW w:w="1560" w:type="dxa"/>
          </w:tcPr>
          <w:p w14:paraId="166BD8DB" w14:textId="77777777" w:rsidR="00FA5AF0" w:rsidRPr="00565DBF" w:rsidRDefault="00FA5AF0" w:rsidP="00FA5AF0">
            <w:pPr>
              <w:pStyle w:val="TableText"/>
              <w:rPr>
                <w:szCs w:val="16"/>
              </w:rPr>
            </w:pPr>
            <w:r w:rsidRPr="00565DBF">
              <w:rPr>
                <w:szCs w:val="16"/>
              </w:rPr>
              <w:t>Positive (P)</w:t>
            </w:r>
          </w:p>
        </w:tc>
        <w:tc>
          <w:tcPr>
            <w:tcW w:w="1080" w:type="dxa"/>
          </w:tcPr>
          <w:p w14:paraId="426B0799" w14:textId="77777777" w:rsidR="00FA5AF0" w:rsidRPr="00565DBF" w:rsidRDefault="00FA5AF0" w:rsidP="00FA5AF0">
            <w:pPr>
              <w:pStyle w:val="TableText"/>
            </w:pPr>
            <w:r w:rsidRPr="00565DBF">
              <w:t>SR 3</w:t>
            </w:r>
          </w:p>
        </w:tc>
        <w:tc>
          <w:tcPr>
            <w:tcW w:w="1020" w:type="dxa"/>
          </w:tcPr>
          <w:p w14:paraId="1F0F61B5" w14:textId="77777777" w:rsidR="00FA5AF0" w:rsidRPr="00565DBF" w:rsidRDefault="00CB127B" w:rsidP="00FA5AF0">
            <w:pPr>
              <w:pStyle w:val="TableText"/>
            </w:pPr>
            <w:r w:rsidRPr="00565DBF">
              <w:t>N/A</w:t>
            </w:r>
          </w:p>
        </w:tc>
      </w:tr>
      <w:tr w:rsidR="00FA5AF0" w14:paraId="09CBF01C" w14:textId="77777777">
        <w:trPr>
          <w:cantSplit/>
        </w:trPr>
        <w:tc>
          <w:tcPr>
            <w:tcW w:w="1513" w:type="dxa"/>
            <w:vMerge/>
          </w:tcPr>
          <w:p w14:paraId="0366615F" w14:textId="77777777" w:rsidR="00FA5AF0" w:rsidRDefault="00FA5AF0" w:rsidP="00FA5AF0">
            <w:pPr>
              <w:pStyle w:val="TableText"/>
            </w:pPr>
          </w:p>
        </w:tc>
        <w:tc>
          <w:tcPr>
            <w:tcW w:w="2915" w:type="dxa"/>
          </w:tcPr>
          <w:p w14:paraId="09B22114" w14:textId="77777777" w:rsidR="00FA5AF0" w:rsidRPr="00565DBF" w:rsidRDefault="00FA5AF0" w:rsidP="00FA5AF0">
            <w:pPr>
              <w:pStyle w:val="TableText"/>
            </w:pPr>
            <w:r w:rsidRPr="00565DBF">
              <w:t>System interpretation if one, several, or all rows are invalid (I).</w:t>
            </w:r>
          </w:p>
        </w:tc>
        <w:tc>
          <w:tcPr>
            <w:tcW w:w="1200" w:type="dxa"/>
          </w:tcPr>
          <w:p w14:paraId="11ABAC26" w14:textId="77777777" w:rsidR="00FA5AF0" w:rsidRPr="00565DBF" w:rsidRDefault="00FA5AF0" w:rsidP="00FA5AF0">
            <w:pPr>
              <w:pStyle w:val="TableText"/>
            </w:pPr>
            <w:r w:rsidRPr="00565DBF">
              <w:t>Positive or Negative</w:t>
            </w:r>
          </w:p>
        </w:tc>
        <w:tc>
          <w:tcPr>
            <w:tcW w:w="1560" w:type="dxa"/>
          </w:tcPr>
          <w:p w14:paraId="01F7E3E8" w14:textId="77777777" w:rsidR="00FA5AF0" w:rsidRPr="00565DBF" w:rsidRDefault="00FA5AF0" w:rsidP="00FA5AF0">
            <w:pPr>
              <w:pStyle w:val="TableText"/>
              <w:rPr>
                <w:szCs w:val="20"/>
              </w:rPr>
            </w:pPr>
            <w:r w:rsidRPr="00565DBF">
              <w:rPr>
                <w:szCs w:val="20"/>
              </w:rPr>
              <w:t>Invalid (I)</w:t>
            </w:r>
          </w:p>
        </w:tc>
        <w:tc>
          <w:tcPr>
            <w:tcW w:w="1080" w:type="dxa"/>
          </w:tcPr>
          <w:p w14:paraId="1DEEF44E" w14:textId="77777777" w:rsidR="00FA5AF0" w:rsidRPr="00565DBF" w:rsidRDefault="00FA5AF0" w:rsidP="00FA5AF0">
            <w:pPr>
              <w:pStyle w:val="TableText"/>
            </w:pPr>
            <w:r w:rsidRPr="00565DBF">
              <w:t>SR 2</w:t>
            </w:r>
          </w:p>
        </w:tc>
        <w:tc>
          <w:tcPr>
            <w:tcW w:w="1020" w:type="dxa"/>
          </w:tcPr>
          <w:p w14:paraId="731F1094" w14:textId="77777777" w:rsidR="00FA5AF0" w:rsidRPr="00565DBF" w:rsidRDefault="00FA5AF0" w:rsidP="00FA5AF0">
            <w:pPr>
              <w:pStyle w:val="TableText"/>
            </w:pPr>
            <w:r w:rsidRPr="00565DBF">
              <w:t>EM2</w:t>
            </w:r>
          </w:p>
        </w:tc>
      </w:tr>
    </w:tbl>
    <w:p w14:paraId="6FC71CD7" w14:textId="77777777" w:rsidR="001200B8" w:rsidRPr="001200B8" w:rsidRDefault="001200B8" w:rsidP="001200B8">
      <w:pPr>
        <w:pStyle w:val="Heading3"/>
      </w:pPr>
      <w:r>
        <w:rPr>
          <w:rFonts w:ascii="Geneva" w:hAnsi="Geneva"/>
          <w:vanish/>
        </w:rPr>
        <w:br w:type="page"/>
      </w:r>
      <w:r>
        <w:rPr>
          <w:rFonts w:ascii="Geneva" w:hAnsi="Geneva"/>
        </w:rPr>
        <w:br w:type="page"/>
      </w:r>
      <w:r>
        <w:rPr>
          <w:rFonts w:ascii="Geneva" w:hAnsi="Geneva"/>
          <w:vanish/>
        </w:rPr>
        <w:lastRenderedPageBreak/>
        <w:t xml:space="preserve">PT_31.01 </w:t>
      </w:r>
      <w:bookmarkStart w:id="638" w:name="_Toc4588868"/>
      <w:r>
        <w:t>Canned Comment Category Types and Text</w:t>
      </w:r>
      <w:bookmarkEnd w:id="638"/>
    </w:p>
    <w:p w14:paraId="44AA4690" w14:textId="07603C56" w:rsidR="00CE2820" w:rsidRDefault="002A21AE" w:rsidP="001200B8">
      <w:pPr>
        <w:pStyle w:val="BodyText"/>
        <w:keepNext/>
      </w:pPr>
      <w:r>
        <w:t xml:space="preserve">Canned comments are defined comments that can be inserted in a record during execution of a variety of functions. The canned comments available in a function are restricted to the category type associated with that function. </w:t>
      </w:r>
      <w:r w:rsidR="00800320">
        <w:fldChar w:fldCharType="begin" w:fldLock="1"/>
      </w:r>
      <w:r w:rsidR="00800320">
        <w:instrText xml:space="preserve"> REF _Ref126732112 \h </w:instrText>
      </w:r>
      <w:r w:rsidR="00800320">
        <w:fldChar w:fldCharType="separate"/>
      </w:r>
      <w:r w:rsidR="00AB304C">
        <w:t xml:space="preserve">Table </w:t>
      </w:r>
      <w:r w:rsidR="00AB304C">
        <w:rPr>
          <w:noProof/>
        </w:rPr>
        <w:t>17</w:t>
      </w:r>
      <w:r w:rsidR="00800320">
        <w:fldChar w:fldCharType="end"/>
      </w:r>
      <w:r>
        <w:t xml:space="preserve"> lists the category types available when defining canned comments.</w:t>
      </w:r>
    </w:p>
    <w:p w14:paraId="5361CFDD" w14:textId="18373473" w:rsidR="0077267A" w:rsidRDefault="002A21AE">
      <w:pPr>
        <w:pStyle w:val="Caption"/>
      </w:pPr>
      <w:bookmarkStart w:id="639" w:name="_Ref126732112"/>
      <w:bookmarkStart w:id="640" w:name="_Toc97523634"/>
      <w:bookmarkStart w:id="641" w:name="_Toc97527604"/>
      <w:bookmarkStart w:id="642" w:name="_Ref126484498"/>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647F4E">
        <w:rPr>
          <w:noProof/>
        </w:rPr>
        <w:t>17</w:t>
      </w:r>
      <w:r w:rsidR="004E20BD">
        <w:rPr>
          <w:noProof/>
        </w:rPr>
        <w:fldChar w:fldCharType="end"/>
      </w:r>
      <w:bookmarkEnd w:id="639"/>
      <w:r>
        <w:t xml:space="preserve">: </w:t>
      </w:r>
      <w:r>
        <w:rPr>
          <w:vanish/>
        </w:rPr>
        <w:t xml:space="preserve">PT_31.01 </w:t>
      </w:r>
      <w:r>
        <w:t xml:space="preserve">Canned Comment Category Types and </w:t>
      </w:r>
      <w:r w:rsidR="004F2549">
        <w:t xml:space="preserve">Message </w:t>
      </w:r>
      <w:r>
        <w:t>Text</w:t>
      </w:r>
      <w:bookmarkEnd w:id="640"/>
      <w:bookmarkEnd w:id="641"/>
      <w:bookmarkEnd w:id="642"/>
      <w:r w:rsidR="00562075">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5490"/>
      </w:tblGrid>
      <w:tr w:rsidR="00CE2820" w:rsidRPr="00575988" w14:paraId="16569F1C" w14:textId="77777777" w:rsidTr="00CE2820">
        <w:trPr>
          <w:cantSplit/>
          <w:tblHeader/>
        </w:trPr>
        <w:tc>
          <w:tcPr>
            <w:tcW w:w="3168" w:type="dxa"/>
            <w:shd w:val="pct25" w:color="auto" w:fill="auto"/>
          </w:tcPr>
          <w:p w14:paraId="6A702B0C" w14:textId="77777777" w:rsidR="00CE2820" w:rsidRPr="00CE2820" w:rsidRDefault="00562075" w:rsidP="00CA1F44">
            <w:pPr>
              <w:pStyle w:val="Caption"/>
              <w:keepNext w:val="0"/>
              <w:spacing w:before="0" w:after="0"/>
              <w:rPr>
                <w:rFonts w:ascii="Arial" w:hAnsi="Arial" w:cs="Arial"/>
                <w:sz w:val="18"/>
                <w:szCs w:val="18"/>
              </w:rPr>
            </w:pPr>
            <w:r w:rsidRPr="00CE2820">
              <w:rPr>
                <w:rFonts w:ascii="Arial" w:hAnsi="Arial" w:cs="Arial"/>
                <w:sz w:val="18"/>
                <w:szCs w:val="18"/>
              </w:rPr>
              <w:fldChar w:fldCharType="begin"/>
            </w:r>
            <w:r w:rsidRPr="00CE2820">
              <w:rPr>
                <w:rFonts w:ascii="Arial" w:hAnsi="Arial" w:cs="Arial"/>
                <w:sz w:val="18"/>
                <w:szCs w:val="18"/>
              </w:rPr>
              <w:instrText xml:space="preserve"> XE “Tables:Canned Comment Category Types and Text” </w:instrText>
            </w:r>
            <w:r w:rsidRPr="00CE2820">
              <w:rPr>
                <w:rFonts w:ascii="Arial" w:hAnsi="Arial" w:cs="Arial"/>
                <w:sz w:val="18"/>
                <w:szCs w:val="18"/>
              </w:rPr>
              <w:fldChar w:fldCharType="end"/>
            </w:r>
            <w:r w:rsidR="00CE2820" w:rsidRPr="00CE2820">
              <w:rPr>
                <w:rFonts w:ascii="Arial" w:hAnsi="Arial" w:cs="Arial"/>
                <w:sz w:val="18"/>
                <w:szCs w:val="18"/>
              </w:rPr>
              <w:t>Canned Comment Category Type</w:t>
            </w:r>
          </w:p>
        </w:tc>
        <w:tc>
          <w:tcPr>
            <w:tcW w:w="5490" w:type="dxa"/>
            <w:shd w:val="pct25" w:color="auto" w:fill="auto"/>
          </w:tcPr>
          <w:p w14:paraId="6C305C6C" w14:textId="77777777" w:rsidR="00CE2820" w:rsidRPr="00CE2820" w:rsidRDefault="00CE2820" w:rsidP="00CA1F44">
            <w:pPr>
              <w:pStyle w:val="Caption"/>
              <w:keepNext w:val="0"/>
              <w:spacing w:before="0" w:after="0"/>
              <w:ind w:left="162" w:hanging="180"/>
              <w:rPr>
                <w:rFonts w:ascii="Arial" w:hAnsi="Arial" w:cs="Arial"/>
                <w:sz w:val="18"/>
                <w:szCs w:val="18"/>
              </w:rPr>
            </w:pPr>
            <w:r w:rsidRPr="00CE2820">
              <w:rPr>
                <w:rFonts w:ascii="Arial" w:hAnsi="Arial" w:cs="Arial"/>
                <w:sz w:val="18"/>
                <w:szCs w:val="18"/>
              </w:rPr>
              <w:t>Message Text</w:t>
            </w:r>
          </w:p>
        </w:tc>
      </w:tr>
      <w:tr w:rsidR="00CE2820" w:rsidRPr="00575988" w14:paraId="6F0296D3" w14:textId="77777777" w:rsidTr="00CE2820">
        <w:trPr>
          <w:cantSplit/>
        </w:trPr>
        <w:tc>
          <w:tcPr>
            <w:tcW w:w="3168" w:type="dxa"/>
            <w:shd w:val="clear" w:color="auto" w:fill="auto"/>
          </w:tcPr>
          <w:p w14:paraId="1422C306"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ABO Incompatible Issue</w:t>
            </w:r>
          </w:p>
        </w:tc>
        <w:tc>
          <w:tcPr>
            <w:tcW w:w="5490" w:type="dxa"/>
            <w:shd w:val="clear" w:color="auto" w:fill="auto"/>
          </w:tcPr>
          <w:p w14:paraId="14A08C7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Blood shortage</w:t>
            </w:r>
          </w:p>
          <w:p w14:paraId="6E391EB8"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Issued to ER</w:t>
            </w:r>
          </w:p>
          <w:p w14:paraId="205C7E38"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Massive transfusion</w:t>
            </w:r>
          </w:p>
          <w:p w14:paraId="1762EA1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Trauma</w:t>
            </w:r>
          </w:p>
          <w:p w14:paraId="48BBFDC0"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6F1B94CE" w14:textId="77777777" w:rsidTr="00CE2820">
        <w:trPr>
          <w:cantSplit/>
        </w:trPr>
        <w:tc>
          <w:tcPr>
            <w:tcW w:w="3168" w:type="dxa"/>
            <w:shd w:val="clear" w:color="auto" w:fill="auto"/>
          </w:tcPr>
          <w:p w14:paraId="516101F4"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Automated Testing Review</w:t>
            </w:r>
          </w:p>
        </w:tc>
        <w:tc>
          <w:tcPr>
            <w:tcW w:w="5490" w:type="dxa"/>
            <w:shd w:val="clear" w:color="auto" w:fill="auto"/>
          </w:tcPr>
          <w:p w14:paraId="1194DDA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Control NEG</w:t>
            </w:r>
          </w:p>
          <w:p w14:paraId="1708651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Control POS</w:t>
            </w:r>
          </w:p>
          <w:p w14:paraId="381A6B16"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Post-transfusion reaction</w:t>
            </w:r>
          </w:p>
          <w:p w14:paraId="688AF50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Remote Data Record reviewed, history</w:t>
            </w:r>
          </w:p>
          <w:p w14:paraId="35E6AC57"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Remote Data Record reviewed, no history</w:t>
            </w:r>
          </w:p>
          <w:p w14:paraId="6D6E522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Results confirmed with tube testing</w:t>
            </w:r>
          </w:p>
          <w:p w14:paraId="3C53A0F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Rh (D) control negative</w:t>
            </w:r>
          </w:p>
          <w:p w14:paraId="6F5370C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64ABD647" w14:textId="77777777" w:rsidTr="00CE2820">
        <w:trPr>
          <w:cantSplit/>
        </w:trPr>
        <w:tc>
          <w:tcPr>
            <w:tcW w:w="3168" w:type="dxa"/>
            <w:shd w:val="clear" w:color="auto" w:fill="auto"/>
          </w:tcPr>
          <w:p w14:paraId="10289A5A"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Crossmatch</w:t>
            </w:r>
          </w:p>
        </w:tc>
        <w:tc>
          <w:tcPr>
            <w:tcW w:w="5490" w:type="dxa"/>
            <w:shd w:val="clear" w:color="auto" w:fill="auto"/>
          </w:tcPr>
          <w:p w14:paraId="00B61763"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53941BE5" w14:textId="77777777" w:rsidTr="00CE2820">
        <w:trPr>
          <w:cantSplit/>
        </w:trPr>
        <w:tc>
          <w:tcPr>
            <w:tcW w:w="3168" w:type="dxa"/>
            <w:shd w:val="clear" w:color="auto" w:fill="auto"/>
          </w:tcPr>
          <w:p w14:paraId="2F484D2B"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Incoming Shipment</w:t>
            </w:r>
          </w:p>
        </w:tc>
        <w:tc>
          <w:tcPr>
            <w:tcW w:w="5490" w:type="dxa"/>
            <w:shd w:val="clear" w:color="auto" w:fill="auto"/>
          </w:tcPr>
          <w:p w14:paraId="03C534B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Prolonged storage outside of monitored storage area</w:t>
            </w:r>
          </w:p>
          <w:p w14:paraId="3F848FB3"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Spiked or damaged</w:t>
            </w:r>
          </w:p>
          <w:p w14:paraId="5B898E7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Unit returned unused</w:t>
            </w:r>
          </w:p>
          <w:p w14:paraId="472BF753"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Visual inspection unsatisfactory</w:t>
            </w:r>
          </w:p>
          <w:p w14:paraId="7CBC018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59AFE13D" w14:textId="77777777" w:rsidTr="00CE2820">
        <w:trPr>
          <w:cantSplit/>
        </w:trPr>
        <w:tc>
          <w:tcPr>
            <w:tcW w:w="3168" w:type="dxa"/>
            <w:shd w:val="clear" w:color="auto" w:fill="auto"/>
          </w:tcPr>
          <w:p w14:paraId="73FEF755"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Justify ABO/Rh Change</w:t>
            </w:r>
          </w:p>
        </w:tc>
        <w:tc>
          <w:tcPr>
            <w:tcW w:w="5490" w:type="dxa"/>
            <w:shd w:val="clear" w:color="auto" w:fill="auto"/>
          </w:tcPr>
          <w:p w14:paraId="17635B3D" w14:textId="77777777" w:rsidR="00CE2820" w:rsidRPr="00575988" w:rsidRDefault="00CE2820" w:rsidP="00CA1F44">
            <w:pPr>
              <w:pStyle w:val="Caption"/>
              <w:keepNext w:val="0"/>
              <w:tabs>
                <w:tab w:val="center" w:pos="1962"/>
              </w:tabs>
              <w:spacing w:before="0" w:after="0"/>
              <w:ind w:left="162" w:hanging="180"/>
              <w:rPr>
                <w:rFonts w:ascii="Arial" w:hAnsi="Arial" w:cs="Arial"/>
                <w:b w:val="0"/>
                <w:sz w:val="18"/>
                <w:szCs w:val="18"/>
              </w:rPr>
            </w:pPr>
            <w:r w:rsidRPr="00575988">
              <w:rPr>
                <w:rFonts w:ascii="Arial" w:hAnsi="Arial" w:cs="Arial"/>
                <w:b w:val="0"/>
                <w:sz w:val="18"/>
                <w:szCs w:val="18"/>
              </w:rPr>
              <w:t>Other</w:t>
            </w:r>
            <w:r w:rsidRPr="00575988">
              <w:rPr>
                <w:rFonts w:ascii="Arial" w:hAnsi="Arial" w:cs="Arial"/>
                <w:b w:val="0"/>
                <w:sz w:val="18"/>
                <w:szCs w:val="18"/>
              </w:rPr>
              <w:tab/>
            </w:r>
          </w:p>
        </w:tc>
      </w:tr>
      <w:tr w:rsidR="00CE2820" w:rsidRPr="00575988" w14:paraId="5B9B5CA4" w14:textId="77777777" w:rsidTr="00CE2820">
        <w:trPr>
          <w:cantSplit/>
        </w:trPr>
        <w:tc>
          <w:tcPr>
            <w:tcW w:w="3168" w:type="dxa"/>
            <w:shd w:val="clear" w:color="auto" w:fill="auto"/>
          </w:tcPr>
          <w:p w14:paraId="4B60D633"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Justify ABO/Rh Discrepancy</w:t>
            </w:r>
          </w:p>
        </w:tc>
        <w:tc>
          <w:tcPr>
            <w:tcW w:w="5490" w:type="dxa"/>
            <w:shd w:val="clear" w:color="auto" w:fill="auto"/>
          </w:tcPr>
          <w:p w14:paraId="5D0631BA" w14:textId="77777777" w:rsidR="00CE2820" w:rsidRPr="00575988" w:rsidRDefault="00CE2820" w:rsidP="00CA1F44">
            <w:pPr>
              <w:pStyle w:val="Caption"/>
              <w:keepNext w:val="0"/>
              <w:tabs>
                <w:tab w:val="center" w:pos="1962"/>
              </w:tabs>
              <w:spacing w:before="0" w:after="0"/>
              <w:ind w:left="162" w:hanging="180"/>
              <w:rPr>
                <w:rFonts w:ascii="Arial" w:hAnsi="Arial" w:cs="Arial"/>
                <w:b w:val="0"/>
                <w:sz w:val="18"/>
                <w:szCs w:val="18"/>
              </w:rPr>
            </w:pPr>
            <w:r w:rsidRPr="00575988">
              <w:rPr>
                <w:rFonts w:ascii="Arial" w:hAnsi="Arial" w:cs="Arial"/>
                <w:b w:val="0"/>
                <w:sz w:val="18"/>
                <w:szCs w:val="18"/>
              </w:rPr>
              <w:t>ABO inconclusive</w:t>
            </w:r>
          </w:p>
          <w:p w14:paraId="51AE862F" w14:textId="77777777" w:rsidR="00CE2820" w:rsidRPr="00575988" w:rsidRDefault="00CE2820" w:rsidP="00CA1F44">
            <w:pPr>
              <w:pStyle w:val="Caption"/>
              <w:keepNext w:val="0"/>
              <w:tabs>
                <w:tab w:val="center" w:pos="1962"/>
              </w:tabs>
              <w:spacing w:before="0" w:after="0"/>
              <w:ind w:left="162" w:hanging="180"/>
              <w:rPr>
                <w:rFonts w:ascii="Arial" w:hAnsi="Arial" w:cs="Arial"/>
                <w:b w:val="0"/>
                <w:sz w:val="18"/>
                <w:szCs w:val="18"/>
              </w:rPr>
            </w:pPr>
            <w:r w:rsidRPr="00575988">
              <w:rPr>
                <w:rFonts w:ascii="Arial" w:hAnsi="Arial" w:cs="Arial"/>
                <w:b w:val="0"/>
                <w:sz w:val="18"/>
                <w:szCs w:val="18"/>
              </w:rPr>
              <w:t>Massive transfusion</w:t>
            </w:r>
          </w:p>
          <w:p w14:paraId="2F5E9C35" w14:textId="77777777" w:rsidR="00CE2820" w:rsidRPr="00575988" w:rsidRDefault="00CE2820" w:rsidP="00CA1F44">
            <w:pPr>
              <w:pStyle w:val="Caption"/>
              <w:keepNext w:val="0"/>
              <w:tabs>
                <w:tab w:val="center" w:pos="1962"/>
              </w:tabs>
              <w:spacing w:before="0" w:after="0"/>
              <w:ind w:left="162" w:hanging="180"/>
              <w:rPr>
                <w:rFonts w:ascii="Arial" w:hAnsi="Arial" w:cs="Arial"/>
                <w:b w:val="0"/>
                <w:sz w:val="18"/>
                <w:szCs w:val="18"/>
              </w:rPr>
            </w:pPr>
            <w:r w:rsidRPr="00575988">
              <w:rPr>
                <w:rFonts w:ascii="Arial" w:hAnsi="Arial" w:cs="Arial"/>
                <w:b w:val="0"/>
                <w:sz w:val="18"/>
                <w:szCs w:val="18"/>
              </w:rPr>
              <w:t>Other</w:t>
            </w:r>
            <w:r w:rsidRPr="00575988">
              <w:rPr>
                <w:rFonts w:ascii="Arial" w:hAnsi="Arial" w:cs="Arial"/>
                <w:b w:val="0"/>
                <w:sz w:val="18"/>
                <w:szCs w:val="18"/>
              </w:rPr>
              <w:tab/>
            </w:r>
          </w:p>
        </w:tc>
      </w:tr>
      <w:tr w:rsidR="00CE2820" w:rsidRPr="00575988" w14:paraId="4CA56D07" w14:textId="77777777" w:rsidTr="00CE2820">
        <w:trPr>
          <w:cantSplit/>
        </w:trPr>
        <w:tc>
          <w:tcPr>
            <w:tcW w:w="3168" w:type="dxa"/>
            <w:shd w:val="clear" w:color="auto" w:fill="auto"/>
          </w:tcPr>
          <w:p w14:paraId="723DF30A"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Order Cancellation</w:t>
            </w:r>
          </w:p>
        </w:tc>
        <w:tc>
          <w:tcPr>
            <w:tcW w:w="5490" w:type="dxa"/>
            <w:shd w:val="clear" w:color="auto" w:fill="auto"/>
          </w:tcPr>
          <w:p w14:paraId="4DA1C350"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Inappropriate blood component ordered</w:t>
            </w:r>
          </w:p>
          <w:p w14:paraId="51CEB77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Inappropriate test ordered</w:t>
            </w:r>
          </w:p>
          <w:p w14:paraId="0262380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Max time for active orders exceeded</w:t>
            </w:r>
          </w:p>
          <w:p w14:paraId="0D0C9441"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deceased</w:t>
            </w:r>
          </w:p>
          <w:p w14:paraId="36A0331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discharged or transferred</w:t>
            </w:r>
          </w:p>
          <w:p w14:paraId="3AD3FF83"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refuses treatment</w:t>
            </w:r>
          </w:p>
          <w:p w14:paraId="71FE282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unavailable</w:t>
            </w:r>
          </w:p>
          <w:p w14:paraId="3E57E2D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3E0D0092" w14:textId="77777777" w:rsidTr="00CE2820">
        <w:trPr>
          <w:cantSplit/>
        </w:trPr>
        <w:tc>
          <w:tcPr>
            <w:tcW w:w="3168" w:type="dxa"/>
            <w:shd w:val="clear" w:color="auto" w:fill="auto"/>
          </w:tcPr>
          <w:p w14:paraId="01547E1D"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Order Processing</w:t>
            </w:r>
          </w:p>
        </w:tc>
        <w:tc>
          <w:tcPr>
            <w:tcW w:w="5490" w:type="dxa"/>
            <w:shd w:val="clear" w:color="auto" w:fill="auto"/>
          </w:tcPr>
          <w:p w14:paraId="2176C67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Verbal order</w:t>
            </w:r>
          </w:p>
          <w:p w14:paraId="64A8E2AD"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0531D865" w14:textId="77777777" w:rsidTr="00CE2820">
        <w:trPr>
          <w:cantSplit/>
        </w:trPr>
        <w:tc>
          <w:tcPr>
            <w:tcW w:w="3168" w:type="dxa"/>
            <w:shd w:val="clear" w:color="auto" w:fill="auto"/>
          </w:tcPr>
          <w:p w14:paraId="13DBAA9F"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Parameter Setting Change</w:t>
            </w:r>
          </w:p>
        </w:tc>
        <w:tc>
          <w:tcPr>
            <w:tcW w:w="5490" w:type="dxa"/>
            <w:shd w:val="clear" w:color="auto" w:fill="auto"/>
          </w:tcPr>
          <w:p w14:paraId="6D2D577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No longer applies</w:t>
            </w:r>
          </w:p>
          <w:p w14:paraId="7F81A24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Resetting due to policy change</w:t>
            </w:r>
          </w:p>
          <w:p w14:paraId="2B3AADFF"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18E90C2B" w14:textId="77777777" w:rsidTr="00CE2820">
        <w:trPr>
          <w:cantSplit/>
        </w:trPr>
        <w:tc>
          <w:tcPr>
            <w:tcW w:w="3168" w:type="dxa"/>
            <w:shd w:val="clear" w:color="auto" w:fill="auto"/>
          </w:tcPr>
          <w:p w14:paraId="64475C7A"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Patient Testing</w:t>
            </w:r>
          </w:p>
        </w:tc>
        <w:tc>
          <w:tcPr>
            <w:tcW w:w="5490" w:type="dxa"/>
            <w:shd w:val="clear" w:color="auto" w:fill="auto"/>
          </w:tcPr>
          <w:p w14:paraId="20B3A098"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Lab equipment failure</w:t>
            </w:r>
          </w:p>
          <w:p w14:paraId="2624ACC1"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New lot numbers in use</w:t>
            </w:r>
          </w:p>
          <w:p w14:paraId="6804312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New specimen required</w:t>
            </w:r>
          </w:p>
          <w:p w14:paraId="03DF1C4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ruined during test process</w:t>
            </w:r>
          </w:p>
          <w:p w14:paraId="214CD1F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Test cancelled</w:t>
            </w:r>
          </w:p>
          <w:p w14:paraId="1B1EF7F3"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Test complete, results inconclusive</w:t>
            </w:r>
          </w:p>
          <w:p w14:paraId="0E1AE040"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Test compromised</w:t>
            </w:r>
          </w:p>
          <w:p w14:paraId="3819A8D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Testing inconclusive</w:t>
            </w:r>
          </w:p>
          <w:p w14:paraId="4B6F967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Testing interrupted</w:t>
            </w:r>
          </w:p>
          <w:p w14:paraId="12EC93A6"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4F4169D9" w14:textId="77777777" w:rsidTr="00CE2820">
        <w:trPr>
          <w:cantSplit/>
        </w:trPr>
        <w:tc>
          <w:tcPr>
            <w:tcW w:w="3168" w:type="dxa"/>
            <w:shd w:val="clear" w:color="auto" w:fill="auto"/>
          </w:tcPr>
          <w:p w14:paraId="3F847E53"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lastRenderedPageBreak/>
              <w:t>Quarantine/Discard</w:t>
            </w:r>
          </w:p>
        </w:tc>
        <w:tc>
          <w:tcPr>
            <w:tcW w:w="5490" w:type="dxa"/>
            <w:shd w:val="clear" w:color="auto" w:fill="auto"/>
          </w:tcPr>
          <w:p w14:paraId="58EF128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ABO inconclusive</w:t>
            </w:r>
          </w:p>
          <w:p w14:paraId="66A7108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Disposition for research</w:t>
            </w:r>
          </w:p>
          <w:p w14:paraId="3232B196"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Expired</w:t>
            </w:r>
          </w:p>
          <w:p w14:paraId="5DD3A27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Incinerated</w:t>
            </w:r>
          </w:p>
          <w:p w14:paraId="1B0C299D"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Incomplete donor screening tests</w:t>
            </w:r>
          </w:p>
          <w:p w14:paraId="3CA52DF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Positive donor screening test(s)</w:t>
            </w:r>
          </w:p>
          <w:p w14:paraId="27E17D4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Prolonged storage outside of monitored storage area</w:t>
            </w:r>
          </w:p>
          <w:p w14:paraId="1090D6A1"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Punctured</w:t>
            </w:r>
          </w:p>
          <w:p w14:paraId="1F86A84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Ruptured during thaw</w:t>
            </w:r>
          </w:p>
          <w:p w14:paraId="0BF31BD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Visual inspection unsatisfactory</w:t>
            </w:r>
          </w:p>
          <w:p w14:paraId="0880C63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04909510" w14:textId="77777777" w:rsidTr="00CE2820">
        <w:trPr>
          <w:cantSplit/>
        </w:trPr>
        <w:tc>
          <w:tcPr>
            <w:tcW w:w="3168" w:type="dxa"/>
            <w:shd w:val="clear" w:color="auto" w:fill="auto"/>
          </w:tcPr>
          <w:p w14:paraId="1B868E50"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Reagent and Supply</w:t>
            </w:r>
          </w:p>
        </w:tc>
        <w:tc>
          <w:tcPr>
            <w:tcW w:w="5490" w:type="dxa"/>
            <w:shd w:val="clear" w:color="auto" w:fill="auto"/>
          </w:tcPr>
          <w:p w14:paraId="140E5CC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Broken upon receipt</w:t>
            </w:r>
          </w:p>
          <w:p w14:paraId="060AA766"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Contaminated</w:t>
            </w:r>
          </w:p>
          <w:p w14:paraId="61C4AAC0"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Improperly stored</w:t>
            </w:r>
          </w:p>
          <w:p w14:paraId="50D7788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Product shortage</w:t>
            </w:r>
          </w:p>
          <w:p w14:paraId="753747F3"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Spilled</w:t>
            </w:r>
          </w:p>
          <w:p w14:paraId="64D039F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Unsatisfactory, return to supplier</w:t>
            </w:r>
          </w:p>
          <w:p w14:paraId="234CF9A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Updated inventory</w:t>
            </w:r>
          </w:p>
          <w:p w14:paraId="5B130AC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1DC67D6F" w14:textId="77777777" w:rsidTr="00CE2820">
        <w:trPr>
          <w:cantSplit/>
        </w:trPr>
        <w:tc>
          <w:tcPr>
            <w:tcW w:w="3168" w:type="dxa"/>
            <w:shd w:val="clear" w:color="auto" w:fill="auto"/>
          </w:tcPr>
          <w:p w14:paraId="39B33F76"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Release from Quarantine</w:t>
            </w:r>
          </w:p>
        </w:tc>
        <w:tc>
          <w:tcPr>
            <w:tcW w:w="5490" w:type="dxa"/>
            <w:shd w:val="clear" w:color="auto" w:fill="auto"/>
          </w:tcPr>
          <w:p w14:paraId="2C9651A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0A5BAD6B" w14:textId="77777777" w:rsidTr="00CE2820">
        <w:trPr>
          <w:cantSplit/>
        </w:trPr>
        <w:tc>
          <w:tcPr>
            <w:tcW w:w="3168" w:type="dxa"/>
            <w:shd w:val="clear" w:color="auto" w:fill="auto"/>
          </w:tcPr>
          <w:p w14:paraId="62C6CD09"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Reason for Release</w:t>
            </w:r>
          </w:p>
        </w:tc>
        <w:tc>
          <w:tcPr>
            <w:tcW w:w="5490" w:type="dxa"/>
            <w:shd w:val="clear" w:color="auto" w:fill="auto"/>
          </w:tcPr>
          <w:p w14:paraId="7FB4B792" w14:textId="25804C0C" w:rsidR="00CE2820" w:rsidRPr="00575988" w:rsidRDefault="006549B7"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24-hour</w:t>
            </w:r>
            <w:r w:rsidR="00CE2820" w:rsidRPr="00575988">
              <w:rPr>
                <w:rFonts w:ascii="Arial" w:hAnsi="Arial" w:cs="Arial"/>
                <w:b w:val="0"/>
                <w:sz w:val="18"/>
                <w:szCs w:val="18"/>
              </w:rPr>
              <w:t xml:space="preserve"> post-op</w:t>
            </w:r>
          </w:p>
          <w:p w14:paraId="52F34C0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Biohazardous</w:t>
            </w:r>
          </w:p>
          <w:p w14:paraId="5AB9A43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Counts or levels exceed transfusion trigger</w:t>
            </w:r>
          </w:p>
          <w:p w14:paraId="1EDD470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For use by another patient</w:t>
            </w:r>
          </w:p>
          <w:p w14:paraId="29FB36E8"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Order cancelled</w:t>
            </w:r>
          </w:p>
          <w:p w14:paraId="257627D1"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deceased</w:t>
            </w:r>
          </w:p>
          <w:p w14:paraId="40E245F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discharged or transferred</w:t>
            </w:r>
          </w:p>
          <w:p w14:paraId="43A38BD8"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expired</w:t>
            </w:r>
          </w:p>
          <w:p w14:paraId="7438B941"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Transfusion reaction</w:t>
            </w:r>
          </w:p>
          <w:p w14:paraId="3F27E00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Unit expired</w:t>
            </w:r>
          </w:p>
          <w:p w14:paraId="77C98E0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57DE8808" w14:textId="77777777" w:rsidTr="00CE2820">
        <w:trPr>
          <w:cantSplit/>
        </w:trPr>
        <w:tc>
          <w:tcPr>
            <w:tcW w:w="3168" w:type="dxa"/>
            <w:shd w:val="clear" w:color="auto" w:fill="auto"/>
          </w:tcPr>
          <w:p w14:paraId="7A189EEF"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Special Instruction Inactivation</w:t>
            </w:r>
          </w:p>
        </w:tc>
        <w:tc>
          <w:tcPr>
            <w:tcW w:w="5490" w:type="dxa"/>
            <w:shd w:val="clear" w:color="auto" w:fill="auto"/>
          </w:tcPr>
          <w:p w14:paraId="1D96387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No longer applies</w:t>
            </w:r>
          </w:p>
          <w:p w14:paraId="270076E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2764AFE9" w14:textId="77777777" w:rsidTr="00CE2820">
        <w:trPr>
          <w:cantSplit/>
        </w:trPr>
        <w:tc>
          <w:tcPr>
            <w:tcW w:w="3168" w:type="dxa"/>
            <w:shd w:val="clear" w:color="auto" w:fill="auto"/>
          </w:tcPr>
          <w:p w14:paraId="0F158E60"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Special Instructions</w:t>
            </w:r>
          </w:p>
        </w:tc>
        <w:tc>
          <w:tcPr>
            <w:tcW w:w="5490" w:type="dxa"/>
            <w:shd w:val="clear" w:color="auto" w:fill="auto"/>
          </w:tcPr>
          <w:p w14:paraId="4903A8D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Check the patient’s blood counts before selecting units, use often exceeds original order</w:t>
            </w:r>
          </w:p>
          <w:p w14:paraId="2C70B07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has rouleaux; saline replacement crossmatches are needed</w:t>
            </w:r>
          </w:p>
          <w:p w14:paraId="7A2DE0A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Split units for transfusion today</w:t>
            </w:r>
          </w:p>
          <w:p w14:paraId="4D112FD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Volume reduce platelet pools over 300 mL</w:t>
            </w:r>
          </w:p>
        </w:tc>
      </w:tr>
      <w:tr w:rsidR="00CE2820" w:rsidRPr="00575988" w14:paraId="6BA8A52E" w14:textId="77777777" w:rsidTr="00CE2820">
        <w:trPr>
          <w:cantSplit/>
        </w:trPr>
        <w:tc>
          <w:tcPr>
            <w:tcW w:w="3168" w:type="dxa"/>
            <w:shd w:val="clear" w:color="auto" w:fill="auto"/>
          </w:tcPr>
          <w:p w14:paraId="5CBD3397"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Specimen Extension</w:t>
            </w:r>
          </w:p>
        </w:tc>
        <w:tc>
          <w:tcPr>
            <w:tcW w:w="5490" w:type="dxa"/>
            <w:shd w:val="clear" w:color="auto" w:fill="auto"/>
          </w:tcPr>
          <w:p w14:paraId="61711FA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Pre-op Workup</w:t>
            </w:r>
          </w:p>
          <w:p w14:paraId="4BD8A79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Surgery rescheduled</w:t>
            </w:r>
          </w:p>
          <w:p w14:paraId="51A2BFE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48E064B4" w14:textId="77777777" w:rsidTr="00CE2820">
        <w:trPr>
          <w:cantSplit/>
        </w:trPr>
        <w:tc>
          <w:tcPr>
            <w:tcW w:w="3168" w:type="dxa"/>
            <w:shd w:val="clear" w:color="auto" w:fill="auto"/>
          </w:tcPr>
          <w:p w14:paraId="3FD5D29E"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Specimen General</w:t>
            </w:r>
          </w:p>
        </w:tc>
        <w:tc>
          <w:tcPr>
            <w:tcW w:w="5490" w:type="dxa"/>
            <w:shd w:val="clear" w:color="auto" w:fill="auto"/>
          </w:tcPr>
          <w:p w14:paraId="08FDC973"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eligible for specimen extension</w:t>
            </w:r>
          </w:p>
          <w:p w14:paraId="0B25F04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recollected</w:t>
            </w:r>
          </w:p>
          <w:p w14:paraId="497FDA2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355DA605" w14:textId="77777777" w:rsidTr="00CE2820">
        <w:trPr>
          <w:cantSplit/>
        </w:trPr>
        <w:tc>
          <w:tcPr>
            <w:tcW w:w="3168" w:type="dxa"/>
            <w:shd w:val="clear" w:color="auto" w:fill="auto"/>
          </w:tcPr>
          <w:p w14:paraId="63842E1F"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Specimen Processing</w:t>
            </w:r>
          </w:p>
        </w:tc>
        <w:tc>
          <w:tcPr>
            <w:tcW w:w="5490" w:type="dxa"/>
            <w:shd w:val="clear" w:color="auto" w:fill="auto"/>
          </w:tcPr>
          <w:p w14:paraId="60EA483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eligible for specimen extension</w:t>
            </w:r>
          </w:p>
          <w:p w14:paraId="16E0F72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misplaced</w:t>
            </w:r>
          </w:p>
          <w:p w14:paraId="4F75EA68"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recollected</w:t>
            </w:r>
          </w:p>
          <w:p w14:paraId="79AE78CF"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519343A0" w14:textId="77777777" w:rsidTr="00CE2820">
        <w:trPr>
          <w:cantSplit/>
        </w:trPr>
        <w:tc>
          <w:tcPr>
            <w:tcW w:w="3168" w:type="dxa"/>
            <w:shd w:val="clear" w:color="auto" w:fill="auto"/>
          </w:tcPr>
          <w:p w14:paraId="64B6DB5E"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lastRenderedPageBreak/>
              <w:t>Specimen Unacceptable</w:t>
            </w:r>
          </w:p>
        </w:tc>
        <w:tc>
          <w:tcPr>
            <w:tcW w:w="5490" w:type="dxa"/>
            <w:shd w:val="clear" w:color="auto" w:fill="auto"/>
          </w:tcPr>
          <w:p w14:paraId="560A7EE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Broken during processing</w:t>
            </w:r>
          </w:p>
          <w:p w14:paraId="6BB3A1B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Incomplete label</w:t>
            </w:r>
          </w:p>
          <w:p w14:paraId="654FA0A0"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Incomplete or unreadable Phlebotomist ID</w:t>
            </w:r>
          </w:p>
          <w:p w14:paraId="3AD20E57"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Incorrectly labeled</w:t>
            </w:r>
          </w:p>
          <w:p w14:paraId="277CEEE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No phlebotomist ID</w:t>
            </w:r>
          </w:p>
          <w:p w14:paraId="7EE50E51"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QNS (quantity not sufficient)</w:t>
            </w:r>
          </w:p>
          <w:p w14:paraId="34633ECD"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and paperwork do not match</w:t>
            </w:r>
          </w:p>
          <w:p w14:paraId="5E6CFE3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hemolyzed</w:t>
            </w:r>
          </w:p>
          <w:p w14:paraId="166233B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misplaced</w:t>
            </w:r>
          </w:p>
          <w:p w14:paraId="5067C1B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not received</w:t>
            </w:r>
          </w:p>
          <w:p w14:paraId="37802E9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Wrong specimen type collected</w:t>
            </w:r>
          </w:p>
          <w:p w14:paraId="4B88939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62B22D17" w14:textId="77777777" w:rsidTr="00CE2820">
        <w:trPr>
          <w:cantSplit/>
        </w:trPr>
        <w:tc>
          <w:tcPr>
            <w:tcW w:w="3168" w:type="dxa"/>
            <w:shd w:val="clear" w:color="auto" w:fill="auto"/>
          </w:tcPr>
          <w:p w14:paraId="1996324F"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Transfusion Processing</w:t>
            </w:r>
          </w:p>
        </w:tc>
        <w:tc>
          <w:tcPr>
            <w:tcW w:w="5490" w:type="dxa"/>
            <w:shd w:val="clear" w:color="auto" w:fill="auto"/>
          </w:tcPr>
          <w:p w14:paraId="3214CAB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76F6BC80" w14:textId="77777777" w:rsidTr="00CE2820">
        <w:trPr>
          <w:cantSplit/>
        </w:trPr>
        <w:tc>
          <w:tcPr>
            <w:tcW w:w="3168" w:type="dxa"/>
            <w:shd w:val="clear" w:color="auto" w:fill="auto"/>
          </w:tcPr>
          <w:p w14:paraId="6878BE4B"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Transfusion Reaction Workup</w:t>
            </w:r>
          </w:p>
        </w:tc>
        <w:tc>
          <w:tcPr>
            <w:tcW w:w="5490" w:type="dxa"/>
            <w:shd w:val="clear" w:color="auto" w:fill="auto"/>
          </w:tcPr>
          <w:p w14:paraId="7B29358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0F3E87A3" w14:textId="77777777" w:rsidTr="00CE2820">
        <w:trPr>
          <w:cantSplit/>
        </w:trPr>
        <w:tc>
          <w:tcPr>
            <w:tcW w:w="3168" w:type="dxa"/>
            <w:shd w:val="clear" w:color="auto" w:fill="auto"/>
          </w:tcPr>
          <w:p w14:paraId="72AA7980"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Specimen Required</w:t>
            </w:r>
          </w:p>
        </w:tc>
        <w:tc>
          <w:tcPr>
            <w:tcW w:w="5490" w:type="dxa"/>
            <w:shd w:val="clear" w:color="auto" w:fill="auto"/>
          </w:tcPr>
          <w:p w14:paraId="11041F36"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and paperwork do not match</w:t>
            </w:r>
          </w:p>
          <w:p w14:paraId="662E09E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06EB9CD8" w14:textId="77777777" w:rsidTr="00CE2820">
        <w:trPr>
          <w:cantSplit/>
        </w:trPr>
        <w:tc>
          <w:tcPr>
            <w:tcW w:w="3168" w:type="dxa"/>
            <w:shd w:val="clear" w:color="auto" w:fill="auto"/>
          </w:tcPr>
          <w:p w14:paraId="6CE62BD7"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Pre-Transfusion Specimen Checks</w:t>
            </w:r>
          </w:p>
        </w:tc>
        <w:tc>
          <w:tcPr>
            <w:tcW w:w="5490" w:type="dxa"/>
            <w:shd w:val="clear" w:color="auto" w:fill="auto"/>
          </w:tcPr>
          <w:p w14:paraId="552CB6B7"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Incomplete label</w:t>
            </w:r>
          </w:p>
          <w:p w14:paraId="2F6A5BA1"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Incorrectly labeled</w:t>
            </w:r>
          </w:p>
          <w:p w14:paraId="1E49FE77"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and paperwork do not match</w:t>
            </w:r>
          </w:p>
          <w:p w14:paraId="17B3DFF1"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misplaced</w:t>
            </w:r>
          </w:p>
          <w:p w14:paraId="6AA2E9A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71A67065" w14:textId="77777777" w:rsidTr="00CE2820">
        <w:trPr>
          <w:cantSplit/>
        </w:trPr>
        <w:tc>
          <w:tcPr>
            <w:tcW w:w="3168" w:type="dxa"/>
            <w:shd w:val="clear" w:color="auto" w:fill="auto"/>
          </w:tcPr>
          <w:p w14:paraId="17ECBBC6"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Post-Transfusion Specimen Checks</w:t>
            </w:r>
          </w:p>
        </w:tc>
        <w:tc>
          <w:tcPr>
            <w:tcW w:w="5490" w:type="dxa"/>
            <w:shd w:val="clear" w:color="auto" w:fill="auto"/>
          </w:tcPr>
          <w:p w14:paraId="6FEC6255"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Incomplete label</w:t>
            </w:r>
          </w:p>
          <w:p w14:paraId="5A855B0D"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Incorrectly labeled</w:t>
            </w:r>
          </w:p>
          <w:p w14:paraId="4902EB72"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and paperwork do not match</w:t>
            </w:r>
          </w:p>
          <w:p w14:paraId="100F5992"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misplaced</w:t>
            </w:r>
          </w:p>
          <w:p w14:paraId="37EBF1C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6AB73624" w14:textId="77777777" w:rsidTr="00CE2820">
        <w:trPr>
          <w:cantSplit/>
        </w:trPr>
        <w:tc>
          <w:tcPr>
            <w:tcW w:w="3168" w:type="dxa"/>
            <w:shd w:val="clear" w:color="auto" w:fill="auto"/>
          </w:tcPr>
          <w:p w14:paraId="1932D97D"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Implicated Units</w:t>
            </w:r>
          </w:p>
        </w:tc>
        <w:tc>
          <w:tcPr>
            <w:tcW w:w="5490" w:type="dxa"/>
            <w:shd w:val="clear" w:color="auto" w:fill="auto"/>
          </w:tcPr>
          <w:p w14:paraId="4ECE618F"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Biohazardous</w:t>
            </w:r>
          </w:p>
          <w:p w14:paraId="5E8179E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No longer applies</w:t>
            </w:r>
          </w:p>
          <w:p w14:paraId="282F3DCF"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Transfusion reaction</w:t>
            </w:r>
          </w:p>
          <w:p w14:paraId="3762F75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608E4993" w14:textId="77777777" w:rsidTr="00CE2820">
        <w:trPr>
          <w:cantSplit/>
        </w:trPr>
        <w:tc>
          <w:tcPr>
            <w:tcW w:w="3168" w:type="dxa"/>
            <w:shd w:val="clear" w:color="auto" w:fill="auto"/>
          </w:tcPr>
          <w:p w14:paraId="11A5011C"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Symptom Details</w:t>
            </w:r>
          </w:p>
        </w:tc>
        <w:tc>
          <w:tcPr>
            <w:tcW w:w="5490" w:type="dxa"/>
            <w:shd w:val="clear" w:color="auto" w:fill="auto"/>
          </w:tcPr>
          <w:p w14:paraId="0228569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3455C2AC" w14:textId="77777777" w:rsidTr="00CE2820">
        <w:trPr>
          <w:cantSplit/>
        </w:trPr>
        <w:tc>
          <w:tcPr>
            <w:tcW w:w="3168" w:type="dxa"/>
            <w:shd w:val="clear" w:color="auto" w:fill="auto"/>
          </w:tcPr>
          <w:p w14:paraId="4DA97621"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Transfusion Blood Bag Not Returned</w:t>
            </w:r>
          </w:p>
        </w:tc>
        <w:tc>
          <w:tcPr>
            <w:tcW w:w="5490" w:type="dxa"/>
            <w:shd w:val="clear" w:color="auto" w:fill="auto"/>
          </w:tcPr>
          <w:p w14:paraId="7925A5C7"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4DFAD2DA" w14:textId="77777777" w:rsidTr="00CE2820">
        <w:trPr>
          <w:cantSplit/>
        </w:trPr>
        <w:tc>
          <w:tcPr>
            <w:tcW w:w="3168" w:type="dxa"/>
            <w:shd w:val="clear" w:color="auto" w:fill="auto"/>
          </w:tcPr>
          <w:p w14:paraId="591A123B"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Transfusion Clerical Checks Failed</w:t>
            </w:r>
          </w:p>
        </w:tc>
        <w:tc>
          <w:tcPr>
            <w:tcW w:w="5490" w:type="dxa"/>
            <w:shd w:val="clear" w:color="auto" w:fill="auto"/>
          </w:tcPr>
          <w:p w14:paraId="583A41C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57DE7D9F" w14:textId="77777777" w:rsidTr="00CE2820">
        <w:trPr>
          <w:cantSplit/>
        </w:trPr>
        <w:tc>
          <w:tcPr>
            <w:tcW w:w="3168" w:type="dxa"/>
            <w:shd w:val="clear" w:color="auto" w:fill="auto"/>
          </w:tcPr>
          <w:p w14:paraId="2A77C153"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Transfusion Requirement Inactivation</w:t>
            </w:r>
          </w:p>
        </w:tc>
        <w:tc>
          <w:tcPr>
            <w:tcW w:w="5490" w:type="dxa"/>
            <w:shd w:val="clear" w:color="auto" w:fill="auto"/>
          </w:tcPr>
          <w:p w14:paraId="4F40559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Clerical error</w:t>
            </w:r>
          </w:p>
          <w:p w14:paraId="72210DF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No longer applied</w:t>
            </w:r>
          </w:p>
          <w:p w14:paraId="7920F9A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Order cancelled</w:t>
            </w:r>
          </w:p>
          <w:p w14:paraId="0116FF99"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Typographical error</w:t>
            </w:r>
          </w:p>
          <w:p w14:paraId="6A584867"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6E62DDDD" w14:textId="77777777" w:rsidTr="00CE2820">
        <w:trPr>
          <w:cantSplit/>
        </w:trPr>
        <w:tc>
          <w:tcPr>
            <w:tcW w:w="3168" w:type="dxa"/>
            <w:shd w:val="clear" w:color="auto" w:fill="auto"/>
          </w:tcPr>
          <w:p w14:paraId="0D8618C7"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Unit Inactivation</w:t>
            </w:r>
          </w:p>
        </w:tc>
        <w:tc>
          <w:tcPr>
            <w:tcW w:w="5490" w:type="dxa"/>
            <w:shd w:val="clear" w:color="auto" w:fill="auto"/>
          </w:tcPr>
          <w:p w14:paraId="6C713FDD"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Clerical error</w:t>
            </w:r>
          </w:p>
          <w:p w14:paraId="4FABFC9E"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Typographical error</w:t>
            </w:r>
          </w:p>
          <w:p w14:paraId="140712A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257CC82C" w14:textId="77777777" w:rsidTr="00CE2820">
        <w:trPr>
          <w:cantSplit/>
        </w:trPr>
        <w:tc>
          <w:tcPr>
            <w:tcW w:w="3168" w:type="dxa"/>
            <w:shd w:val="clear" w:color="auto" w:fill="auto"/>
          </w:tcPr>
          <w:p w14:paraId="61E661A4"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Unit Data Invalidation</w:t>
            </w:r>
          </w:p>
        </w:tc>
        <w:tc>
          <w:tcPr>
            <w:tcW w:w="5490" w:type="dxa"/>
            <w:shd w:val="clear" w:color="auto" w:fill="auto"/>
          </w:tcPr>
          <w:p w14:paraId="5E3CC23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Clerical error</w:t>
            </w:r>
          </w:p>
          <w:p w14:paraId="5BF4B36A"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Typographical error</w:t>
            </w:r>
          </w:p>
          <w:p w14:paraId="5593E31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340A4F84" w14:textId="77777777" w:rsidTr="00CE2820">
        <w:trPr>
          <w:cantSplit/>
        </w:trPr>
        <w:tc>
          <w:tcPr>
            <w:tcW w:w="3168" w:type="dxa"/>
            <w:shd w:val="clear" w:color="auto" w:fill="auto"/>
          </w:tcPr>
          <w:p w14:paraId="3F180465"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Unit Issue</w:t>
            </w:r>
          </w:p>
        </w:tc>
        <w:tc>
          <w:tcPr>
            <w:tcW w:w="5490" w:type="dxa"/>
            <w:shd w:val="clear" w:color="auto" w:fill="auto"/>
          </w:tcPr>
          <w:p w14:paraId="176D6A50"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Blood shortage</w:t>
            </w:r>
          </w:p>
          <w:p w14:paraId="5B944DD0"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Critical need</w:t>
            </w:r>
          </w:p>
          <w:p w14:paraId="6379FAB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Incomplete donor screening tests</w:t>
            </w:r>
          </w:p>
          <w:p w14:paraId="5994AD6D"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Issued to ER</w:t>
            </w:r>
          </w:p>
          <w:p w14:paraId="37CE121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Massive transfusion</w:t>
            </w:r>
          </w:p>
          <w:p w14:paraId="779951A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Positive donor screening test(s)</w:t>
            </w:r>
          </w:p>
          <w:p w14:paraId="4FDF38B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Remote storage cooler A</w:t>
            </w:r>
          </w:p>
          <w:p w14:paraId="418F5018"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Trauma</w:t>
            </w:r>
          </w:p>
          <w:p w14:paraId="3200887A"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Visual inspection unsatisfactory</w:t>
            </w:r>
          </w:p>
          <w:p w14:paraId="59808F67"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1465A4" w14:paraId="07E77264" w14:textId="77777777" w:rsidTr="00CE2820">
        <w:trPr>
          <w:cantSplit/>
        </w:trPr>
        <w:tc>
          <w:tcPr>
            <w:tcW w:w="3168" w:type="dxa"/>
            <w:shd w:val="clear" w:color="auto" w:fill="auto"/>
          </w:tcPr>
          <w:p w14:paraId="0A99406A"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lastRenderedPageBreak/>
              <w:t>Unit Modification</w:t>
            </w:r>
          </w:p>
        </w:tc>
        <w:tc>
          <w:tcPr>
            <w:tcW w:w="5490" w:type="dxa"/>
            <w:shd w:val="clear" w:color="auto" w:fill="auto"/>
          </w:tcPr>
          <w:p w14:paraId="3448E498"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Contaminated</w:t>
            </w:r>
          </w:p>
          <w:p w14:paraId="6B767CFF"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Punctured</w:t>
            </w:r>
          </w:p>
          <w:p w14:paraId="3BA6446A"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Ruptured during thaw</w:t>
            </w:r>
          </w:p>
          <w:p w14:paraId="749B610F" w14:textId="77777777" w:rsidR="00CE2820" w:rsidRPr="001465A4"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1465A4" w14:paraId="1C2D7183" w14:textId="77777777" w:rsidTr="00CE2820">
        <w:trPr>
          <w:cantSplit/>
        </w:trPr>
        <w:tc>
          <w:tcPr>
            <w:tcW w:w="3168" w:type="dxa"/>
            <w:shd w:val="clear" w:color="auto" w:fill="auto"/>
          </w:tcPr>
          <w:p w14:paraId="551C1635"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Unit Return</w:t>
            </w:r>
          </w:p>
        </w:tc>
        <w:tc>
          <w:tcPr>
            <w:tcW w:w="5490" w:type="dxa"/>
            <w:shd w:val="clear" w:color="auto" w:fill="auto"/>
          </w:tcPr>
          <w:p w14:paraId="318CCBB7"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Blood shortage</w:t>
            </w:r>
          </w:p>
          <w:p w14:paraId="01700AD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Broken during processing</w:t>
            </w:r>
          </w:p>
          <w:p w14:paraId="425DA2E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Broken upon receipt</w:t>
            </w:r>
          </w:p>
          <w:p w14:paraId="1D3EE02B"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Expired</w:t>
            </w:r>
          </w:p>
          <w:p w14:paraId="102AA0A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Improperly stored</w:t>
            </w:r>
          </w:p>
          <w:p w14:paraId="4E62B22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Massive transfusion</w:t>
            </w:r>
          </w:p>
          <w:p w14:paraId="3B59BA4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deceased</w:t>
            </w:r>
          </w:p>
          <w:p w14:paraId="7C4BA7B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discharged or transferred</w:t>
            </w:r>
          </w:p>
          <w:p w14:paraId="7D6D9EE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refuses treatment</w:t>
            </w:r>
          </w:p>
          <w:p w14:paraId="7175B6C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unavailable</w:t>
            </w:r>
          </w:p>
          <w:p w14:paraId="4BF2707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Punctured</w:t>
            </w:r>
          </w:p>
          <w:p w14:paraId="2ED1ACFF"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Ruptured during thaw</w:t>
            </w:r>
          </w:p>
          <w:p w14:paraId="3CE680B6"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Spiked or damaged</w:t>
            </w:r>
          </w:p>
          <w:p w14:paraId="71E4AA4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Surgery rescheduled</w:t>
            </w:r>
          </w:p>
          <w:p w14:paraId="6C65F9D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Trauma</w:t>
            </w:r>
          </w:p>
          <w:p w14:paraId="1F2E1A27"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Unsatisfactory, return to supplier</w:t>
            </w:r>
          </w:p>
          <w:p w14:paraId="46ADFF71" w14:textId="77777777" w:rsidR="00CE2820" w:rsidRPr="001465A4"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1465A4" w14:paraId="27713884" w14:textId="77777777" w:rsidTr="00CE2820">
        <w:trPr>
          <w:cantSplit/>
        </w:trPr>
        <w:tc>
          <w:tcPr>
            <w:tcW w:w="3168" w:type="dxa"/>
            <w:shd w:val="clear" w:color="auto" w:fill="auto"/>
          </w:tcPr>
          <w:p w14:paraId="166871CE"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Unit Restriction</w:t>
            </w:r>
          </w:p>
        </w:tc>
        <w:tc>
          <w:tcPr>
            <w:tcW w:w="5490" w:type="dxa"/>
            <w:shd w:val="clear" w:color="auto" w:fill="auto"/>
          </w:tcPr>
          <w:p w14:paraId="3FE29CB1"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No longer applied</w:t>
            </w:r>
          </w:p>
          <w:p w14:paraId="73A1F642" w14:textId="77777777" w:rsidR="00CE2820" w:rsidRPr="001465A4" w:rsidRDefault="00CE2820" w:rsidP="00CA1F44">
            <w:pPr>
              <w:pStyle w:val="Caption"/>
              <w:keepNext w:val="0"/>
              <w:spacing w:before="0" w:after="0"/>
              <w:ind w:left="162" w:hanging="180"/>
            </w:pPr>
            <w:r w:rsidRPr="00575988">
              <w:rPr>
                <w:rFonts w:ascii="Arial" w:hAnsi="Arial" w:cs="Arial"/>
                <w:b w:val="0"/>
                <w:sz w:val="18"/>
                <w:szCs w:val="18"/>
              </w:rPr>
              <w:t>Other</w:t>
            </w:r>
          </w:p>
        </w:tc>
      </w:tr>
      <w:tr w:rsidR="00CE2820" w:rsidRPr="001465A4" w14:paraId="2F69C148" w14:textId="77777777" w:rsidTr="00CE2820">
        <w:trPr>
          <w:cantSplit/>
        </w:trPr>
        <w:tc>
          <w:tcPr>
            <w:tcW w:w="3168" w:type="dxa"/>
            <w:shd w:val="clear" w:color="auto" w:fill="auto"/>
          </w:tcPr>
          <w:p w14:paraId="3D91E137"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Unit Selection</w:t>
            </w:r>
          </w:p>
        </w:tc>
        <w:tc>
          <w:tcPr>
            <w:tcW w:w="5490" w:type="dxa"/>
            <w:shd w:val="clear" w:color="auto" w:fill="auto"/>
          </w:tcPr>
          <w:p w14:paraId="2079DCD7"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Blood shortage</w:t>
            </w:r>
          </w:p>
          <w:p w14:paraId="7E19E01F"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Critical need</w:t>
            </w:r>
          </w:p>
          <w:p w14:paraId="41B7F20F"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Massive transfusion</w:t>
            </w:r>
          </w:p>
          <w:p w14:paraId="48CDF966"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Rh mismatch selection necessary</w:t>
            </w:r>
          </w:p>
          <w:p w14:paraId="20E590A1"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Trauma</w:t>
            </w:r>
          </w:p>
          <w:p w14:paraId="21EA2A69" w14:textId="77777777" w:rsidR="00CE2820" w:rsidRPr="001465A4"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615C6615" w14:textId="77777777" w:rsidTr="00CE2820">
        <w:trPr>
          <w:cantSplit/>
        </w:trPr>
        <w:tc>
          <w:tcPr>
            <w:tcW w:w="3168" w:type="dxa"/>
            <w:shd w:val="clear" w:color="auto" w:fill="auto"/>
          </w:tcPr>
          <w:p w14:paraId="0728B769"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Unit Status Removal</w:t>
            </w:r>
          </w:p>
        </w:tc>
        <w:tc>
          <w:tcPr>
            <w:tcW w:w="5490" w:type="dxa"/>
            <w:shd w:val="clear" w:color="auto" w:fill="auto"/>
          </w:tcPr>
          <w:p w14:paraId="4010D8DD"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42EABC56" w14:textId="77777777" w:rsidTr="00CE2820">
        <w:trPr>
          <w:cantSplit/>
        </w:trPr>
        <w:tc>
          <w:tcPr>
            <w:tcW w:w="3168" w:type="dxa"/>
            <w:shd w:val="clear" w:color="auto" w:fill="auto"/>
          </w:tcPr>
          <w:p w14:paraId="30C51EA1"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Unit Testing</w:t>
            </w:r>
          </w:p>
        </w:tc>
        <w:tc>
          <w:tcPr>
            <w:tcW w:w="5490" w:type="dxa"/>
            <w:shd w:val="clear" w:color="auto" w:fill="auto"/>
          </w:tcPr>
          <w:p w14:paraId="1534C8A7"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Incomplete donor screening tests</w:t>
            </w:r>
          </w:p>
          <w:p w14:paraId="2502710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Lab equipment failure</w:t>
            </w:r>
          </w:p>
          <w:p w14:paraId="69B7FD60"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Positive donor screening test(s)</w:t>
            </w:r>
          </w:p>
          <w:p w14:paraId="52803D2A"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Unit test cancelle</w:t>
            </w:r>
            <w:r>
              <w:rPr>
                <w:rFonts w:ascii="Arial" w:hAnsi="Arial" w:cs="Arial"/>
                <w:b w:val="0"/>
                <w:sz w:val="18"/>
                <w:szCs w:val="18"/>
              </w:rPr>
              <w:t>d</w:t>
            </w:r>
          </w:p>
          <w:p w14:paraId="1CB766AD"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bl>
    <w:p w14:paraId="4247FFA4" w14:textId="77777777" w:rsidR="00667BEE" w:rsidRDefault="00667BEE" w:rsidP="00E73261">
      <w:pPr>
        <w:pStyle w:val="Caption"/>
        <w:sectPr w:rsidR="00667BEE" w:rsidSect="004C5759">
          <w:footerReference w:type="default" r:id="rId239"/>
          <w:pgSz w:w="12240" w:h="15840" w:code="1"/>
          <w:pgMar w:top="1440" w:right="1440" w:bottom="1440" w:left="1440" w:header="720" w:footer="720" w:gutter="0"/>
          <w:cols w:space="720"/>
          <w:docGrid w:linePitch="360"/>
        </w:sectPr>
      </w:pPr>
    </w:p>
    <w:p w14:paraId="5F270C98" w14:textId="77777777" w:rsidR="00E73261" w:rsidRDefault="00E73261" w:rsidP="00E73261">
      <w:pPr>
        <w:pStyle w:val="Caption"/>
      </w:pPr>
    </w:p>
    <w:p w14:paraId="781B1123" w14:textId="431F05BA" w:rsidR="00E73261" w:rsidRDefault="00667BEE" w:rsidP="00E73261">
      <w:pPr>
        <w:rPr>
          <w:sz w:val="22"/>
          <w:szCs w:val="22"/>
        </w:rPr>
      </w:pPr>
      <w:r w:rsidRPr="00667BEE">
        <w:rPr>
          <w:sz w:val="22"/>
          <w:szCs w:val="22"/>
        </w:rPr>
        <w:fldChar w:fldCharType="begin" w:fldLock="1"/>
      </w:r>
      <w:r w:rsidRPr="00667BEE">
        <w:rPr>
          <w:sz w:val="22"/>
          <w:szCs w:val="22"/>
        </w:rPr>
        <w:instrText xml:space="preserve"> REF _Ref507070009 \h </w:instrText>
      </w:r>
      <w:r>
        <w:rPr>
          <w:sz w:val="22"/>
          <w:szCs w:val="22"/>
        </w:rPr>
        <w:instrText xml:space="preserve"> \* MERGEFORMAT </w:instrText>
      </w:r>
      <w:r w:rsidRPr="00667BEE">
        <w:rPr>
          <w:sz w:val="22"/>
          <w:szCs w:val="22"/>
        </w:rPr>
      </w:r>
      <w:r w:rsidRPr="00667BEE">
        <w:rPr>
          <w:sz w:val="22"/>
          <w:szCs w:val="22"/>
        </w:rPr>
        <w:fldChar w:fldCharType="separate"/>
      </w:r>
      <w:r w:rsidR="00AB304C" w:rsidRPr="00AB304C">
        <w:rPr>
          <w:sz w:val="22"/>
          <w:szCs w:val="22"/>
        </w:rPr>
        <w:t xml:space="preserve">Table </w:t>
      </w:r>
      <w:r w:rsidR="00AB304C" w:rsidRPr="00AB304C">
        <w:rPr>
          <w:noProof/>
          <w:sz w:val="22"/>
          <w:szCs w:val="22"/>
        </w:rPr>
        <w:t>18</w:t>
      </w:r>
      <w:r w:rsidRPr="00667BEE">
        <w:rPr>
          <w:sz w:val="22"/>
          <w:szCs w:val="22"/>
        </w:rPr>
        <w:fldChar w:fldCharType="end"/>
      </w:r>
      <w:r w:rsidRPr="00667BEE">
        <w:rPr>
          <w:sz w:val="22"/>
          <w:szCs w:val="22"/>
        </w:rPr>
        <w:t xml:space="preserve"> </w:t>
      </w:r>
      <w:r w:rsidR="00E73261" w:rsidRPr="00667BEE">
        <w:rPr>
          <w:sz w:val="22"/>
          <w:szCs w:val="22"/>
        </w:rPr>
        <w:t>is a</w:t>
      </w:r>
      <w:r w:rsidR="00D323CF" w:rsidRPr="00667BEE">
        <w:rPr>
          <w:sz w:val="22"/>
          <w:szCs w:val="22"/>
        </w:rPr>
        <w:t xml:space="preserve"> partial</w:t>
      </w:r>
      <w:r w:rsidR="00E73261" w:rsidRPr="00667BEE">
        <w:rPr>
          <w:sz w:val="22"/>
          <w:szCs w:val="22"/>
        </w:rPr>
        <w:t xml:space="preserve"> list of where comments appear in the options based on the requirements documents. </w:t>
      </w:r>
    </w:p>
    <w:p w14:paraId="416D5776" w14:textId="77777777" w:rsidR="00D72BC1" w:rsidRPr="00667BEE" w:rsidRDefault="00D72BC1" w:rsidP="00E73261">
      <w:pPr>
        <w:rPr>
          <w:sz w:val="22"/>
          <w:szCs w:val="22"/>
        </w:rPr>
      </w:pPr>
      <w:r>
        <w:rPr>
          <w:sz w:val="22"/>
          <w:szCs w:val="22"/>
        </w:rPr>
        <w:t>The comment list that appears in the “Reason for Change” field in Update Reagent Inventory is a fixed list and is not locally editable.</w:t>
      </w:r>
    </w:p>
    <w:p w14:paraId="1AC12B80" w14:textId="436D4063" w:rsidR="002A21AE" w:rsidRDefault="00E73261" w:rsidP="00E73261">
      <w:pPr>
        <w:pStyle w:val="Caption"/>
      </w:pPr>
      <w:bookmarkStart w:id="643" w:name="_Ref507070009"/>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647F4E">
        <w:rPr>
          <w:noProof/>
        </w:rPr>
        <w:t>18</w:t>
      </w:r>
      <w:r w:rsidR="004E20BD">
        <w:rPr>
          <w:noProof/>
        </w:rPr>
        <w:fldChar w:fldCharType="end"/>
      </w:r>
      <w:bookmarkEnd w:id="643"/>
      <w:r>
        <w:t xml:space="preserve">: </w:t>
      </w:r>
      <w:r w:rsidRPr="00C05D94">
        <w:t>Canned Comment Category vs Option</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6059"/>
      </w:tblGrid>
      <w:tr w:rsidR="00E73261" w:rsidRPr="009F2938" w14:paraId="0107EB4D" w14:textId="77777777" w:rsidTr="00E73261">
        <w:trPr>
          <w:cantSplit/>
          <w:trHeight w:val="20"/>
          <w:tblHeader/>
        </w:trPr>
        <w:tc>
          <w:tcPr>
            <w:tcW w:w="0" w:type="auto"/>
            <w:shd w:val="pct25" w:color="auto" w:fill="auto"/>
            <w:noWrap/>
            <w:vAlign w:val="bottom"/>
            <w:hideMark/>
          </w:tcPr>
          <w:p w14:paraId="7FAE9AF9"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Canned Comment Category</w:t>
            </w:r>
          </w:p>
        </w:tc>
        <w:tc>
          <w:tcPr>
            <w:tcW w:w="0" w:type="auto"/>
            <w:shd w:val="pct25" w:color="auto" w:fill="auto"/>
            <w:vAlign w:val="bottom"/>
          </w:tcPr>
          <w:p w14:paraId="687C3B9D"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Option Appears In</w:t>
            </w:r>
          </w:p>
        </w:tc>
      </w:tr>
      <w:tr w:rsidR="00E73261" w:rsidRPr="009F2938" w14:paraId="027600B1" w14:textId="77777777" w:rsidTr="00E73261">
        <w:trPr>
          <w:cantSplit/>
          <w:trHeight w:val="20"/>
        </w:trPr>
        <w:tc>
          <w:tcPr>
            <w:tcW w:w="0" w:type="auto"/>
            <w:shd w:val="clear" w:color="auto" w:fill="auto"/>
            <w:noWrap/>
            <w:vAlign w:val="bottom"/>
            <w:hideMark/>
          </w:tcPr>
          <w:p w14:paraId="27DAA6B7"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ABO Incompatible Issue</w:t>
            </w:r>
          </w:p>
        </w:tc>
        <w:tc>
          <w:tcPr>
            <w:tcW w:w="0" w:type="auto"/>
            <w:vAlign w:val="bottom"/>
          </w:tcPr>
          <w:p w14:paraId="0A3A87BC" w14:textId="77777777" w:rsidR="00E73261" w:rsidRPr="00ED5636" w:rsidRDefault="00E73261" w:rsidP="00E73261">
            <w:pPr>
              <w:rPr>
                <w:rFonts w:ascii="Arial" w:hAnsi="Arial" w:cs="Arial"/>
                <w:color w:val="000000"/>
                <w:sz w:val="18"/>
                <w:szCs w:val="18"/>
              </w:rPr>
            </w:pPr>
            <w:r w:rsidRPr="00ED5636">
              <w:rPr>
                <w:rFonts w:ascii="Arial" w:hAnsi="Arial" w:cs="Arial"/>
                <w:sz w:val="18"/>
                <w:szCs w:val="18"/>
              </w:rPr>
              <w:t>ABO Incompatible Unit Transfused override during Issue Unit</w:t>
            </w:r>
          </w:p>
        </w:tc>
      </w:tr>
      <w:tr w:rsidR="00CC6656" w:rsidRPr="009F2938" w14:paraId="4FC93BC5" w14:textId="77777777" w:rsidTr="00E73261">
        <w:trPr>
          <w:cantSplit/>
          <w:trHeight w:val="20"/>
        </w:trPr>
        <w:tc>
          <w:tcPr>
            <w:tcW w:w="0" w:type="auto"/>
            <w:shd w:val="clear" w:color="auto" w:fill="auto"/>
            <w:noWrap/>
            <w:vAlign w:val="bottom"/>
          </w:tcPr>
          <w:p w14:paraId="040549C7" w14:textId="77777777" w:rsidR="00CC6656" w:rsidRPr="00ED5636" w:rsidRDefault="00CC6656" w:rsidP="00E73261">
            <w:pPr>
              <w:rPr>
                <w:rFonts w:ascii="Arial" w:hAnsi="Arial" w:cs="Arial"/>
                <w:color w:val="000000"/>
                <w:sz w:val="18"/>
                <w:szCs w:val="18"/>
              </w:rPr>
            </w:pPr>
            <w:r w:rsidRPr="00CC6656">
              <w:rPr>
                <w:rFonts w:ascii="Arial" w:hAnsi="Arial" w:cs="Arial"/>
                <w:color w:val="000000"/>
                <w:sz w:val="18"/>
                <w:szCs w:val="18"/>
              </w:rPr>
              <w:t>Automated Testing Review</w:t>
            </w:r>
          </w:p>
        </w:tc>
        <w:tc>
          <w:tcPr>
            <w:tcW w:w="0" w:type="auto"/>
            <w:vAlign w:val="bottom"/>
          </w:tcPr>
          <w:p w14:paraId="59EC0D5B" w14:textId="77777777" w:rsidR="00CC6656" w:rsidRPr="00ED5636" w:rsidRDefault="00797E11" w:rsidP="00D323CF">
            <w:pPr>
              <w:rPr>
                <w:rFonts w:ascii="Arial" w:hAnsi="Arial" w:cs="Arial"/>
                <w:sz w:val="18"/>
                <w:szCs w:val="18"/>
              </w:rPr>
            </w:pPr>
            <w:r>
              <w:rPr>
                <w:rFonts w:ascii="Arial" w:hAnsi="Arial" w:cs="Arial"/>
                <w:sz w:val="18"/>
                <w:szCs w:val="18"/>
              </w:rPr>
              <w:t>Automated Testing</w:t>
            </w:r>
          </w:p>
        </w:tc>
      </w:tr>
      <w:tr w:rsidR="00E73261" w:rsidRPr="009F2938" w14:paraId="4C0ED45F" w14:textId="77777777" w:rsidTr="00E73261">
        <w:trPr>
          <w:cantSplit/>
          <w:trHeight w:val="20"/>
        </w:trPr>
        <w:tc>
          <w:tcPr>
            <w:tcW w:w="0" w:type="auto"/>
            <w:shd w:val="clear" w:color="auto" w:fill="auto"/>
            <w:noWrap/>
            <w:vAlign w:val="bottom"/>
            <w:hideMark/>
          </w:tcPr>
          <w:p w14:paraId="7606D419"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Crossmatch</w:t>
            </w:r>
          </w:p>
        </w:tc>
        <w:tc>
          <w:tcPr>
            <w:tcW w:w="0" w:type="auto"/>
            <w:vAlign w:val="bottom"/>
          </w:tcPr>
          <w:p w14:paraId="7F03B39F"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“G” (Give with Medical Director Approval) compatibility Override</w:t>
            </w:r>
          </w:p>
        </w:tc>
      </w:tr>
      <w:tr w:rsidR="00E73261" w:rsidRPr="009F2938" w14:paraId="4728529F" w14:textId="77777777" w:rsidTr="00E73261">
        <w:trPr>
          <w:cantSplit/>
          <w:trHeight w:val="20"/>
        </w:trPr>
        <w:tc>
          <w:tcPr>
            <w:tcW w:w="0" w:type="auto"/>
            <w:shd w:val="clear" w:color="auto" w:fill="auto"/>
            <w:noWrap/>
            <w:vAlign w:val="bottom"/>
            <w:hideMark/>
          </w:tcPr>
          <w:p w14:paraId="6FF612DB"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Incoming Shipment</w:t>
            </w:r>
          </w:p>
        </w:tc>
        <w:tc>
          <w:tcPr>
            <w:tcW w:w="0" w:type="auto"/>
            <w:vAlign w:val="bottom"/>
          </w:tcPr>
          <w:p w14:paraId="4E3E4D4D"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Expired Unit Received override</w:t>
            </w:r>
          </w:p>
        </w:tc>
      </w:tr>
      <w:tr w:rsidR="00E73261" w:rsidRPr="00836B93" w14:paraId="415EF029" w14:textId="77777777" w:rsidTr="00E73261">
        <w:trPr>
          <w:cantSplit/>
          <w:trHeight w:val="20"/>
        </w:trPr>
        <w:tc>
          <w:tcPr>
            <w:tcW w:w="0" w:type="auto"/>
            <w:shd w:val="clear" w:color="auto" w:fill="auto"/>
            <w:noWrap/>
            <w:vAlign w:val="bottom"/>
            <w:hideMark/>
          </w:tcPr>
          <w:p w14:paraId="70F67AD2"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Justify ABO/Rh Change</w:t>
            </w:r>
          </w:p>
        </w:tc>
        <w:tc>
          <w:tcPr>
            <w:tcW w:w="0" w:type="auto"/>
            <w:vAlign w:val="bottom"/>
          </w:tcPr>
          <w:p w14:paraId="3AD2BB0F"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No use identified at this time.</w:t>
            </w:r>
          </w:p>
        </w:tc>
      </w:tr>
      <w:tr w:rsidR="00E73261" w:rsidRPr="00836B93" w14:paraId="028353D5" w14:textId="77777777" w:rsidTr="00E73261">
        <w:trPr>
          <w:cantSplit/>
          <w:trHeight w:val="20"/>
        </w:trPr>
        <w:tc>
          <w:tcPr>
            <w:tcW w:w="0" w:type="auto"/>
            <w:shd w:val="clear" w:color="auto" w:fill="auto"/>
            <w:noWrap/>
            <w:vAlign w:val="bottom"/>
            <w:hideMark/>
          </w:tcPr>
          <w:p w14:paraId="72303A32"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Justify ABO/Rh Discrepancy</w:t>
            </w:r>
          </w:p>
        </w:tc>
        <w:tc>
          <w:tcPr>
            <w:tcW w:w="0" w:type="auto"/>
            <w:vAlign w:val="bottom"/>
          </w:tcPr>
          <w:p w14:paraId="3F35802F"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Override to accept a real blood type when the testing is Inconclusive with a previous blood type on file.</w:t>
            </w:r>
          </w:p>
        </w:tc>
      </w:tr>
      <w:tr w:rsidR="00E73261" w:rsidRPr="00836B93" w14:paraId="3E7BACF0" w14:textId="77777777" w:rsidTr="00E73261">
        <w:trPr>
          <w:cantSplit/>
          <w:trHeight w:val="20"/>
        </w:trPr>
        <w:tc>
          <w:tcPr>
            <w:tcW w:w="0" w:type="auto"/>
            <w:shd w:val="clear" w:color="auto" w:fill="auto"/>
            <w:noWrap/>
            <w:vAlign w:val="bottom"/>
            <w:hideMark/>
          </w:tcPr>
          <w:p w14:paraId="0333D42C"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Order Cancellation</w:t>
            </w:r>
          </w:p>
        </w:tc>
        <w:tc>
          <w:tcPr>
            <w:tcW w:w="0" w:type="auto"/>
            <w:vAlign w:val="bottom"/>
          </w:tcPr>
          <w:p w14:paraId="765F3B87"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Accept Order, Patient Testing Task List</w:t>
            </w:r>
          </w:p>
        </w:tc>
      </w:tr>
      <w:tr w:rsidR="00E73261" w:rsidRPr="00836B93" w14:paraId="59A57F27" w14:textId="77777777" w:rsidTr="00E73261">
        <w:trPr>
          <w:cantSplit/>
          <w:trHeight w:val="20"/>
        </w:trPr>
        <w:tc>
          <w:tcPr>
            <w:tcW w:w="0" w:type="auto"/>
            <w:shd w:val="clear" w:color="auto" w:fill="auto"/>
            <w:noWrap/>
            <w:vAlign w:val="bottom"/>
            <w:hideMark/>
          </w:tcPr>
          <w:p w14:paraId="29A651F9"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Order Processing</w:t>
            </w:r>
          </w:p>
        </w:tc>
        <w:tc>
          <w:tcPr>
            <w:tcW w:w="0" w:type="auto"/>
            <w:vAlign w:val="bottom"/>
          </w:tcPr>
          <w:p w14:paraId="6CA38EAD"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Accept Order, Patient Testing Task List</w:t>
            </w:r>
          </w:p>
        </w:tc>
      </w:tr>
      <w:tr w:rsidR="00E73261" w:rsidRPr="00836B93" w14:paraId="47481233" w14:textId="77777777" w:rsidTr="00E73261">
        <w:trPr>
          <w:cantSplit/>
          <w:trHeight w:val="20"/>
        </w:trPr>
        <w:tc>
          <w:tcPr>
            <w:tcW w:w="0" w:type="auto"/>
            <w:shd w:val="clear" w:color="auto" w:fill="auto"/>
            <w:noWrap/>
            <w:vAlign w:val="bottom"/>
            <w:hideMark/>
          </w:tcPr>
          <w:p w14:paraId="3D0BE232"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Parameter Setting Change</w:t>
            </w:r>
          </w:p>
        </w:tc>
        <w:tc>
          <w:tcPr>
            <w:tcW w:w="0" w:type="auto"/>
            <w:vAlign w:val="bottom"/>
          </w:tcPr>
          <w:p w14:paraId="0BF168A4"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All the configure division options</w:t>
            </w:r>
          </w:p>
        </w:tc>
      </w:tr>
      <w:tr w:rsidR="00E73261" w:rsidRPr="00836B93" w14:paraId="21679F64" w14:textId="77777777" w:rsidTr="00E73261">
        <w:trPr>
          <w:cantSplit/>
          <w:trHeight w:val="20"/>
        </w:trPr>
        <w:tc>
          <w:tcPr>
            <w:tcW w:w="0" w:type="auto"/>
            <w:shd w:val="clear" w:color="auto" w:fill="auto"/>
            <w:noWrap/>
            <w:vAlign w:val="bottom"/>
            <w:hideMark/>
          </w:tcPr>
          <w:p w14:paraId="32EF1854"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Patient Testing</w:t>
            </w:r>
          </w:p>
        </w:tc>
        <w:tc>
          <w:tcPr>
            <w:tcW w:w="0" w:type="auto"/>
            <w:vAlign w:val="bottom"/>
          </w:tcPr>
          <w:p w14:paraId="19851447"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All patient test grid comment boxes including crossmatch test and ABID comment, TRW Serologic test entry. Invalidate patient testing in grid and option. Discrepant Repeat ABO/Rh Typing override.</w:t>
            </w:r>
          </w:p>
        </w:tc>
      </w:tr>
      <w:tr w:rsidR="00E73261" w:rsidRPr="00836B93" w14:paraId="59C56719" w14:textId="77777777" w:rsidTr="00E73261">
        <w:trPr>
          <w:cantSplit/>
          <w:trHeight w:val="20"/>
        </w:trPr>
        <w:tc>
          <w:tcPr>
            <w:tcW w:w="0" w:type="auto"/>
            <w:shd w:val="clear" w:color="auto" w:fill="auto"/>
            <w:noWrap/>
            <w:vAlign w:val="bottom"/>
            <w:hideMark/>
          </w:tcPr>
          <w:p w14:paraId="1F5A90A1"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Quarantine/Discard</w:t>
            </w:r>
          </w:p>
        </w:tc>
        <w:tc>
          <w:tcPr>
            <w:tcW w:w="0" w:type="auto"/>
            <w:vAlign w:val="bottom"/>
          </w:tcPr>
          <w:p w14:paraId="706B2709" w14:textId="7BAEACF8" w:rsidR="00E73261" w:rsidRPr="00ED5636" w:rsidRDefault="006549B7" w:rsidP="00E73261">
            <w:pPr>
              <w:rPr>
                <w:rFonts w:ascii="Arial" w:hAnsi="Arial" w:cs="Arial"/>
                <w:color w:val="000000"/>
                <w:sz w:val="18"/>
                <w:szCs w:val="18"/>
              </w:rPr>
            </w:pPr>
            <w:r w:rsidRPr="00ED5636">
              <w:rPr>
                <w:rFonts w:ascii="Arial" w:hAnsi="Arial" w:cs="Arial"/>
                <w:color w:val="000000"/>
                <w:sz w:val="18"/>
                <w:szCs w:val="18"/>
              </w:rPr>
              <w:t>Discard, Quarantine</w:t>
            </w:r>
          </w:p>
        </w:tc>
      </w:tr>
      <w:tr w:rsidR="00E73261" w:rsidRPr="00836B93" w14:paraId="23ADF45F" w14:textId="77777777" w:rsidTr="00E73261">
        <w:trPr>
          <w:cantSplit/>
          <w:trHeight w:val="20"/>
        </w:trPr>
        <w:tc>
          <w:tcPr>
            <w:tcW w:w="0" w:type="auto"/>
            <w:shd w:val="clear" w:color="auto" w:fill="auto"/>
            <w:noWrap/>
            <w:vAlign w:val="bottom"/>
            <w:hideMark/>
          </w:tcPr>
          <w:p w14:paraId="05111A67"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Reagent and Supply</w:t>
            </w:r>
          </w:p>
        </w:tc>
        <w:tc>
          <w:tcPr>
            <w:tcW w:w="0" w:type="auto"/>
            <w:vAlign w:val="bottom"/>
          </w:tcPr>
          <w:p w14:paraId="7C2E9F9B"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Enter Reagents, when unacceptable, when unacceptable, QC overrides</w:t>
            </w:r>
          </w:p>
        </w:tc>
      </w:tr>
      <w:tr w:rsidR="00E73261" w:rsidRPr="00836B93" w14:paraId="6982B84F" w14:textId="77777777" w:rsidTr="00E73261">
        <w:trPr>
          <w:cantSplit/>
          <w:trHeight w:val="20"/>
        </w:trPr>
        <w:tc>
          <w:tcPr>
            <w:tcW w:w="0" w:type="auto"/>
            <w:shd w:val="clear" w:color="auto" w:fill="auto"/>
            <w:noWrap/>
            <w:vAlign w:val="bottom"/>
            <w:hideMark/>
          </w:tcPr>
          <w:p w14:paraId="6384AC1D"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Release from Quarantine</w:t>
            </w:r>
          </w:p>
        </w:tc>
        <w:tc>
          <w:tcPr>
            <w:tcW w:w="0" w:type="auto"/>
            <w:vAlign w:val="bottom"/>
          </w:tcPr>
          <w:p w14:paraId="73CBB8F0"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Release from Quarantine.</w:t>
            </w:r>
          </w:p>
        </w:tc>
      </w:tr>
      <w:tr w:rsidR="00E73261" w:rsidRPr="00836B93" w14:paraId="2DA353FE" w14:textId="77777777" w:rsidTr="00E73261">
        <w:trPr>
          <w:cantSplit/>
          <w:trHeight w:val="20"/>
        </w:trPr>
        <w:tc>
          <w:tcPr>
            <w:tcW w:w="0" w:type="auto"/>
            <w:shd w:val="clear" w:color="auto" w:fill="auto"/>
            <w:noWrap/>
            <w:vAlign w:val="bottom"/>
            <w:hideMark/>
          </w:tcPr>
          <w:p w14:paraId="56E5A8E8"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Reason for Release</w:t>
            </w:r>
          </w:p>
        </w:tc>
        <w:tc>
          <w:tcPr>
            <w:tcW w:w="0" w:type="auto"/>
            <w:vAlign w:val="bottom"/>
          </w:tcPr>
          <w:p w14:paraId="438DAFF0"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Release unit from assignment</w:t>
            </w:r>
          </w:p>
        </w:tc>
      </w:tr>
      <w:tr w:rsidR="00E73261" w:rsidRPr="00836B93" w14:paraId="647D9C6B" w14:textId="77777777" w:rsidTr="00E73261">
        <w:trPr>
          <w:cantSplit/>
          <w:trHeight w:val="20"/>
        </w:trPr>
        <w:tc>
          <w:tcPr>
            <w:tcW w:w="0" w:type="auto"/>
            <w:shd w:val="clear" w:color="auto" w:fill="auto"/>
            <w:noWrap/>
            <w:vAlign w:val="bottom"/>
            <w:hideMark/>
          </w:tcPr>
          <w:p w14:paraId="6DDA0DE3"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Special Instruction Inactivation</w:t>
            </w:r>
          </w:p>
        </w:tc>
        <w:tc>
          <w:tcPr>
            <w:tcW w:w="0" w:type="auto"/>
            <w:vAlign w:val="bottom"/>
          </w:tcPr>
          <w:p w14:paraId="6153BCC4"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SI when inactivating an SI entry.</w:t>
            </w:r>
          </w:p>
        </w:tc>
      </w:tr>
      <w:tr w:rsidR="00E73261" w:rsidRPr="00836B93" w14:paraId="0DA42C15" w14:textId="77777777" w:rsidTr="00E73261">
        <w:trPr>
          <w:cantSplit/>
          <w:trHeight w:val="20"/>
        </w:trPr>
        <w:tc>
          <w:tcPr>
            <w:tcW w:w="0" w:type="auto"/>
            <w:shd w:val="clear" w:color="auto" w:fill="auto"/>
            <w:noWrap/>
            <w:vAlign w:val="bottom"/>
            <w:hideMark/>
          </w:tcPr>
          <w:p w14:paraId="41E6A052"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Special Instructions</w:t>
            </w:r>
          </w:p>
        </w:tc>
        <w:tc>
          <w:tcPr>
            <w:tcW w:w="0" w:type="auto"/>
            <w:vAlign w:val="bottom"/>
          </w:tcPr>
          <w:p w14:paraId="47A12F66"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SI actual message is considered a canned comment.</w:t>
            </w:r>
          </w:p>
        </w:tc>
      </w:tr>
      <w:tr w:rsidR="00E73261" w:rsidRPr="00836B93" w14:paraId="5C2F26A9" w14:textId="77777777" w:rsidTr="00E73261">
        <w:trPr>
          <w:cantSplit/>
          <w:trHeight w:val="20"/>
        </w:trPr>
        <w:tc>
          <w:tcPr>
            <w:tcW w:w="0" w:type="auto"/>
            <w:shd w:val="clear" w:color="auto" w:fill="auto"/>
            <w:noWrap/>
            <w:vAlign w:val="bottom"/>
            <w:hideMark/>
          </w:tcPr>
          <w:p w14:paraId="6E3BD4CD"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Specimen Extension</w:t>
            </w:r>
          </w:p>
        </w:tc>
        <w:tc>
          <w:tcPr>
            <w:tcW w:w="0" w:type="auto"/>
            <w:vAlign w:val="bottom"/>
          </w:tcPr>
          <w:p w14:paraId="085FBF00"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Maintain specimen</w:t>
            </w:r>
          </w:p>
        </w:tc>
      </w:tr>
      <w:tr w:rsidR="00E73261" w:rsidRPr="00836B93" w14:paraId="7399A7C7" w14:textId="77777777" w:rsidTr="00E73261">
        <w:trPr>
          <w:cantSplit/>
          <w:trHeight w:val="20"/>
        </w:trPr>
        <w:tc>
          <w:tcPr>
            <w:tcW w:w="0" w:type="auto"/>
            <w:shd w:val="clear" w:color="auto" w:fill="auto"/>
            <w:noWrap/>
            <w:vAlign w:val="bottom"/>
            <w:hideMark/>
          </w:tcPr>
          <w:p w14:paraId="17EAFC0F"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Specimen General</w:t>
            </w:r>
          </w:p>
        </w:tc>
        <w:tc>
          <w:tcPr>
            <w:tcW w:w="0" w:type="auto"/>
            <w:vAlign w:val="bottom"/>
          </w:tcPr>
          <w:p w14:paraId="2CD49D0C"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Accept Order</w:t>
            </w:r>
          </w:p>
        </w:tc>
      </w:tr>
      <w:tr w:rsidR="00E73261" w:rsidRPr="00836B93" w14:paraId="2D965B65" w14:textId="77777777" w:rsidTr="00E73261">
        <w:trPr>
          <w:cantSplit/>
          <w:trHeight w:val="20"/>
        </w:trPr>
        <w:tc>
          <w:tcPr>
            <w:tcW w:w="0" w:type="auto"/>
            <w:shd w:val="clear" w:color="auto" w:fill="auto"/>
            <w:noWrap/>
            <w:vAlign w:val="bottom"/>
            <w:hideMark/>
          </w:tcPr>
          <w:p w14:paraId="68C67600"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Specimen Processing</w:t>
            </w:r>
          </w:p>
        </w:tc>
        <w:tc>
          <w:tcPr>
            <w:tcW w:w="0" w:type="auto"/>
            <w:vAlign w:val="bottom"/>
          </w:tcPr>
          <w:p w14:paraId="20A9CFD1"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Accept Order</w:t>
            </w:r>
          </w:p>
        </w:tc>
      </w:tr>
      <w:tr w:rsidR="00E73261" w:rsidRPr="00836B93" w14:paraId="6B481C4D" w14:textId="77777777" w:rsidTr="00E73261">
        <w:trPr>
          <w:cantSplit/>
          <w:trHeight w:val="20"/>
        </w:trPr>
        <w:tc>
          <w:tcPr>
            <w:tcW w:w="0" w:type="auto"/>
            <w:shd w:val="clear" w:color="auto" w:fill="auto"/>
            <w:noWrap/>
            <w:vAlign w:val="bottom"/>
            <w:hideMark/>
          </w:tcPr>
          <w:p w14:paraId="7C3CFCB1"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Specimen Unacceptable</w:t>
            </w:r>
          </w:p>
        </w:tc>
        <w:tc>
          <w:tcPr>
            <w:tcW w:w="0" w:type="auto"/>
            <w:vAlign w:val="bottom"/>
          </w:tcPr>
          <w:p w14:paraId="4AB70BAF"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Accept Order</w:t>
            </w:r>
          </w:p>
        </w:tc>
      </w:tr>
      <w:tr w:rsidR="00E73261" w:rsidRPr="00836B93" w14:paraId="15B5822E" w14:textId="77777777" w:rsidTr="00E73261">
        <w:trPr>
          <w:cantSplit/>
          <w:trHeight w:val="20"/>
        </w:trPr>
        <w:tc>
          <w:tcPr>
            <w:tcW w:w="0" w:type="auto"/>
            <w:shd w:val="clear" w:color="auto" w:fill="auto"/>
            <w:noWrap/>
            <w:vAlign w:val="bottom"/>
            <w:hideMark/>
          </w:tcPr>
          <w:p w14:paraId="4872AD1C"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Transfusion Processing</w:t>
            </w:r>
          </w:p>
        </w:tc>
        <w:tc>
          <w:tcPr>
            <w:tcW w:w="0" w:type="auto"/>
            <w:vAlign w:val="bottom"/>
          </w:tcPr>
          <w:p w14:paraId="7267DDD1"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Post transfusion data</w:t>
            </w:r>
          </w:p>
        </w:tc>
      </w:tr>
      <w:tr w:rsidR="00E73261" w:rsidRPr="00836B93" w14:paraId="1E668BA8" w14:textId="77777777" w:rsidTr="00E73261">
        <w:trPr>
          <w:cantSplit/>
          <w:trHeight w:val="20"/>
        </w:trPr>
        <w:tc>
          <w:tcPr>
            <w:tcW w:w="0" w:type="auto"/>
            <w:shd w:val="clear" w:color="auto" w:fill="auto"/>
            <w:noWrap/>
            <w:vAlign w:val="bottom"/>
            <w:hideMark/>
          </w:tcPr>
          <w:p w14:paraId="6F4FDDDF"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Transfusion Reaction Workup</w:t>
            </w:r>
          </w:p>
        </w:tc>
        <w:tc>
          <w:tcPr>
            <w:tcW w:w="0" w:type="auto"/>
            <w:vAlign w:val="bottom"/>
          </w:tcPr>
          <w:p w14:paraId="65FFB8EF"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TRW Finalization Canned Comment</w:t>
            </w:r>
          </w:p>
        </w:tc>
      </w:tr>
      <w:tr w:rsidR="00E73261" w:rsidRPr="00836B93" w14:paraId="3A263141" w14:textId="77777777" w:rsidTr="00E73261">
        <w:trPr>
          <w:cantSplit/>
          <w:trHeight w:val="20"/>
        </w:trPr>
        <w:tc>
          <w:tcPr>
            <w:tcW w:w="0" w:type="auto"/>
            <w:shd w:val="clear" w:color="auto" w:fill="auto"/>
            <w:noWrap/>
            <w:vAlign w:val="bottom"/>
            <w:hideMark/>
          </w:tcPr>
          <w:p w14:paraId="5F0875E9"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Specimen Required</w:t>
            </w:r>
          </w:p>
        </w:tc>
        <w:tc>
          <w:tcPr>
            <w:tcW w:w="0" w:type="auto"/>
            <w:vAlign w:val="bottom"/>
          </w:tcPr>
          <w:p w14:paraId="62A0493A"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No use identified at this time.</w:t>
            </w:r>
          </w:p>
        </w:tc>
      </w:tr>
      <w:tr w:rsidR="00E73261" w:rsidRPr="00836B93" w14:paraId="7A0BFD61" w14:textId="77777777" w:rsidTr="00E73261">
        <w:trPr>
          <w:cantSplit/>
          <w:trHeight w:val="20"/>
        </w:trPr>
        <w:tc>
          <w:tcPr>
            <w:tcW w:w="0" w:type="auto"/>
            <w:shd w:val="clear" w:color="auto" w:fill="auto"/>
            <w:noWrap/>
            <w:vAlign w:val="bottom"/>
            <w:hideMark/>
          </w:tcPr>
          <w:p w14:paraId="663C55C4"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Pre-Transfusion Specimen Checks</w:t>
            </w:r>
          </w:p>
        </w:tc>
        <w:tc>
          <w:tcPr>
            <w:tcW w:w="0" w:type="auto"/>
            <w:vAlign w:val="bottom"/>
          </w:tcPr>
          <w:p w14:paraId="33B32129"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TRW when pre is marked not available</w:t>
            </w:r>
          </w:p>
        </w:tc>
      </w:tr>
      <w:tr w:rsidR="00E73261" w:rsidRPr="00836B93" w14:paraId="2996EABC" w14:textId="77777777" w:rsidTr="00E73261">
        <w:trPr>
          <w:cantSplit/>
          <w:trHeight w:val="20"/>
        </w:trPr>
        <w:tc>
          <w:tcPr>
            <w:tcW w:w="0" w:type="auto"/>
            <w:shd w:val="clear" w:color="auto" w:fill="auto"/>
            <w:noWrap/>
            <w:vAlign w:val="bottom"/>
            <w:hideMark/>
          </w:tcPr>
          <w:p w14:paraId="39046A20"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Post-Transfusion Specimen Checks</w:t>
            </w:r>
          </w:p>
        </w:tc>
        <w:tc>
          <w:tcPr>
            <w:tcW w:w="0" w:type="auto"/>
            <w:vAlign w:val="bottom"/>
          </w:tcPr>
          <w:p w14:paraId="79681913"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TRW when post is marked not available</w:t>
            </w:r>
          </w:p>
        </w:tc>
      </w:tr>
      <w:tr w:rsidR="00E73261" w:rsidRPr="00836B93" w14:paraId="5C88B4C8" w14:textId="77777777" w:rsidTr="00E73261">
        <w:trPr>
          <w:cantSplit/>
          <w:trHeight w:val="20"/>
        </w:trPr>
        <w:tc>
          <w:tcPr>
            <w:tcW w:w="0" w:type="auto"/>
            <w:shd w:val="clear" w:color="auto" w:fill="auto"/>
            <w:noWrap/>
            <w:vAlign w:val="bottom"/>
            <w:hideMark/>
          </w:tcPr>
          <w:p w14:paraId="1DB7F974"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Implicated Units</w:t>
            </w:r>
          </w:p>
        </w:tc>
        <w:tc>
          <w:tcPr>
            <w:tcW w:w="0" w:type="auto"/>
          </w:tcPr>
          <w:p w14:paraId="35E991BC" w14:textId="77777777" w:rsidR="00E73261" w:rsidRPr="00ED5636" w:rsidRDefault="00E73261" w:rsidP="00E73261">
            <w:pPr>
              <w:rPr>
                <w:rFonts w:ascii="Arial" w:hAnsi="Arial" w:cs="Arial"/>
                <w:sz w:val="18"/>
                <w:szCs w:val="18"/>
              </w:rPr>
            </w:pPr>
            <w:r w:rsidRPr="00ED5636">
              <w:rPr>
                <w:rFonts w:ascii="Arial" w:hAnsi="Arial" w:cs="Arial"/>
                <w:color w:val="000000"/>
                <w:sz w:val="18"/>
                <w:szCs w:val="18"/>
              </w:rPr>
              <w:t>No use identified at this time.</w:t>
            </w:r>
          </w:p>
        </w:tc>
      </w:tr>
      <w:tr w:rsidR="00E73261" w:rsidRPr="00836B93" w14:paraId="0333F7C0" w14:textId="77777777" w:rsidTr="00E73261">
        <w:trPr>
          <w:cantSplit/>
          <w:trHeight w:val="20"/>
        </w:trPr>
        <w:tc>
          <w:tcPr>
            <w:tcW w:w="0" w:type="auto"/>
            <w:shd w:val="clear" w:color="auto" w:fill="auto"/>
            <w:noWrap/>
            <w:vAlign w:val="bottom"/>
            <w:hideMark/>
          </w:tcPr>
          <w:p w14:paraId="038C548C"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Symptom Details</w:t>
            </w:r>
          </w:p>
        </w:tc>
        <w:tc>
          <w:tcPr>
            <w:tcW w:w="0" w:type="auto"/>
          </w:tcPr>
          <w:p w14:paraId="399423F3" w14:textId="77777777" w:rsidR="00E73261" w:rsidRPr="00ED5636" w:rsidRDefault="00E73261" w:rsidP="00E73261">
            <w:pPr>
              <w:rPr>
                <w:rFonts w:ascii="Arial" w:hAnsi="Arial" w:cs="Arial"/>
                <w:sz w:val="18"/>
                <w:szCs w:val="18"/>
              </w:rPr>
            </w:pPr>
            <w:r w:rsidRPr="00ED5636">
              <w:rPr>
                <w:rFonts w:ascii="Arial" w:hAnsi="Arial" w:cs="Arial"/>
                <w:color w:val="000000"/>
                <w:sz w:val="18"/>
                <w:szCs w:val="18"/>
              </w:rPr>
              <w:t>No use identified at this time.</w:t>
            </w:r>
          </w:p>
        </w:tc>
      </w:tr>
      <w:tr w:rsidR="00E73261" w:rsidRPr="00836B93" w14:paraId="4FB09124" w14:textId="77777777" w:rsidTr="00E73261">
        <w:trPr>
          <w:cantSplit/>
          <w:trHeight w:val="20"/>
        </w:trPr>
        <w:tc>
          <w:tcPr>
            <w:tcW w:w="0" w:type="auto"/>
            <w:shd w:val="clear" w:color="auto" w:fill="auto"/>
            <w:noWrap/>
            <w:vAlign w:val="bottom"/>
            <w:hideMark/>
          </w:tcPr>
          <w:p w14:paraId="7BB42563"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Transfusion Blood Bag Not Returned</w:t>
            </w:r>
          </w:p>
        </w:tc>
        <w:tc>
          <w:tcPr>
            <w:tcW w:w="0" w:type="auto"/>
            <w:vAlign w:val="bottom"/>
          </w:tcPr>
          <w:p w14:paraId="490B405A"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TRW when an implicated unit is entered and marked as not returned.</w:t>
            </w:r>
          </w:p>
        </w:tc>
      </w:tr>
      <w:tr w:rsidR="00E73261" w:rsidRPr="00836B93" w14:paraId="4C73C0FA" w14:textId="77777777" w:rsidTr="00E73261">
        <w:trPr>
          <w:cantSplit/>
          <w:trHeight w:val="20"/>
        </w:trPr>
        <w:tc>
          <w:tcPr>
            <w:tcW w:w="0" w:type="auto"/>
            <w:shd w:val="clear" w:color="auto" w:fill="auto"/>
            <w:noWrap/>
            <w:vAlign w:val="bottom"/>
            <w:hideMark/>
          </w:tcPr>
          <w:p w14:paraId="43BCE0C1"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Transfusion Clerical Checks Failed</w:t>
            </w:r>
          </w:p>
        </w:tc>
        <w:tc>
          <w:tcPr>
            <w:tcW w:w="0" w:type="auto"/>
            <w:vAlign w:val="bottom"/>
          </w:tcPr>
          <w:p w14:paraId="40071B50"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TRW when specimen is marked available</w:t>
            </w:r>
          </w:p>
          <w:p w14:paraId="6BAFA5AD"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TRW when an implicated unit is entered and marked as returned</w:t>
            </w:r>
          </w:p>
        </w:tc>
      </w:tr>
      <w:tr w:rsidR="00E73261" w:rsidRPr="00836B93" w14:paraId="693E9512" w14:textId="77777777" w:rsidTr="00E73261">
        <w:trPr>
          <w:cantSplit/>
          <w:trHeight w:val="20"/>
        </w:trPr>
        <w:tc>
          <w:tcPr>
            <w:tcW w:w="0" w:type="auto"/>
            <w:shd w:val="clear" w:color="auto" w:fill="auto"/>
            <w:noWrap/>
            <w:vAlign w:val="bottom"/>
            <w:hideMark/>
          </w:tcPr>
          <w:p w14:paraId="0FBF1CA7"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Transfusion Requirement Inactivation</w:t>
            </w:r>
          </w:p>
        </w:tc>
        <w:tc>
          <w:tcPr>
            <w:tcW w:w="0" w:type="auto"/>
            <w:vAlign w:val="bottom"/>
          </w:tcPr>
          <w:p w14:paraId="31BAE060"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 tabs, including antigen negative requirement, Transfusion requirement and antibody identified tabs.</w:t>
            </w:r>
          </w:p>
        </w:tc>
      </w:tr>
      <w:tr w:rsidR="00E73261" w:rsidRPr="00836B93" w14:paraId="3D424E7E" w14:textId="77777777" w:rsidTr="00E73261">
        <w:trPr>
          <w:cantSplit/>
          <w:trHeight w:val="20"/>
        </w:trPr>
        <w:tc>
          <w:tcPr>
            <w:tcW w:w="0" w:type="auto"/>
            <w:shd w:val="clear" w:color="auto" w:fill="auto"/>
            <w:noWrap/>
            <w:vAlign w:val="bottom"/>
            <w:hideMark/>
          </w:tcPr>
          <w:p w14:paraId="20E9B759"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Inactivation</w:t>
            </w:r>
          </w:p>
        </w:tc>
        <w:tc>
          <w:tcPr>
            <w:tcW w:w="0" w:type="auto"/>
          </w:tcPr>
          <w:p w14:paraId="412B82B6" w14:textId="77777777" w:rsidR="00E73261" w:rsidRPr="00ED5636" w:rsidRDefault="0055121B" w:rsidP="00E73261">
            <w:pPr>
              <w:rPr>
                <w:rFonts w:ascii="Arial" w:hAnsi="Arial" w:cs="Arial"/>
                <w:sz w:val="18"/>
                <w:szCs w:val="18"/>
              </w:rPr>
            </w:pPr>
            <w:r>
              <w:rPr>
                <w:rFonts w:ascii="Arial" w:hAnsi="Arial" w:cs="Arial"/>
                <w:color w:val="000000"/>
                <w:sz w:val="18"/>
                <w:szCs w:val="18"/>
              </w:rPr>
              <w:t>Edit Unit Information.</w:t>
            </w:r>
          </w:p>
        </w:tc>
      </w:tr>
      <w:tr w:rsidR="00E73261" w:rsidRPr="00836B93" w14:paraId="0713765E" w14:textId="77777777" w:rsidTr="00E73261">
        <w:trPr>
          <w:cantSplit/>
          <w:trHeight w:val="20"/>
        </w:trPr>
        <w:tc>
          <w:tcPr>
            <w:tcW w:w="0" w:type="auto"/>
            <w:shd w:val="clear" w:color="auto" w:fill="auto"/>
            <w:noWrap/>
            <w:vAlign w:val="bottom"/>
            <w:hideMark/>
          </w:tcPr>
          <w:p w14:paraId="33CA1177"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Data Invalidation</w:t>
            </w:r>
          </w:p>
        </w:tc>
        <w:tc>
          <w:tcPr>
            <w:tcW w:w="0" w:type="auto"/>
          </w:tcPr>
          <w:p w14:paraId="6A0CC5F7" w14:textId="77777777" w:rsidR="00E73261" w:rsidRPr="00ED5636" w:rsidRDefault="00E73261" w:rsidP="00E73261">
            <w:pPr>
              <w:rPr>
                <w:rFonts w:ascii="Arial" w:hAnsi="Arial" w:cs="Arial"/>
                <w:sz w:val="18"/>
                <w:szCs w:val="18"/>
              </w:rPr>
            </w:pPr>
            <w:r w:rsidRPr="00ED5636">
              <w:rPr>
                <w:rFonts w:ascii="Arial" w:hAnsi="Arial" w:cs="Arial"/>
                <w:color w:val="000000"/>
                <w:sz w:val="18"/>
                <w:szCs w:val="18"/>
              </w:rPr>
              <w:t>No use identified at this time.</w:t>
            </w:r>
          </w:p>
        </w:tc>
      </w:tr>
      <w:tr w:rsidR="00E73261" w:rsidRPr="00836B93" w14:paraId="79470989" w14:textId="77777777" w:rsidTr="00E73261">
        <w:trPr>
          <w:cantSplit/>
          <w:trHeight w:val="20"/>
        </w:trPr>
        <w:tc>
          <w:tcPr>
            <w:tcW w:w="0" w:type="auto"/>
            <w:shd w:val="clear" w:color="auto" w:fill="auto"/>
            <w:noWrap/>
            <w:vAlign w:val="bottom"/>
            <w:hideMark/>
          </w:tcPr>
          <w:p w14:paraId="10B09B44"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Issue</w:t>
            </w:r>
          </w:p>
        </w:tc>
        <w:tc>
          <w:tcPr>
            <w:tcW w:w="0" w:type="auto"/>
            <w:vAlign w:val="bottom"/>
          </w:tcPr>
          <w:p w14:paraId="62412C22"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Issue Override for TR not satisfied.</w:t>
            </w:r>
          </w:p>
        </w:tc>
      </w:tr>
      <w:tr w:rsidR="00E73261" w:rsidRPr="00836B93" w14:paraId="70DA646F" w14:textId="77777777" w:rsidTr="00E73261">
        <w:trPr>
          <w:cantSplit/>
          <w:trHeight w:val="20"/>
        </w:trPr>
        <w:tc>
          <w:tcPr>
            <w:tcW w:w="0" w:type="auto"/>
            <w:shd w:val="clear" w:color="auto" w:fill="auto"/>
            <w:noWrap/>
            <w:vAlign w:val="bottom"/>
            <w:hideMark/>
          </w:tcPr>
          <w:p w14:paraId="3545D045"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Modification</w:t>
            </w:r>
          </w:p>
        </w:tc>
        <w:tc>
          <w:tcPr>
            <w:tcW w:w="0" w:type="auto"/>
            <w:vAlign w:val="bottom"/>
          </w:tcPr>
          <w:p w14:paraId="5253B883"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Any modification override</w:t>
            </w:r>
          </w:p>
        </w:tc>
      </w:tr>
      <w:tr w:rsidR="00E73261" w:rsidRPr="00836B93" w14:paraId="73F6CAA5" w14:textId="77777777" w:rsidTr="00E73261">
        <w:trPr>
          <w:cantSplit/>
          <w:trHeight w:val="20"/>
        </w:trPr>
        <w:tc>
          <w:tcPr>
            <w:tcW w:w="0" w:type="auto"/>
            <w:shd w:val="clear" w:color="auto" w:fill="auto"/>
            <w:noWrap/>
            <w:vAlign w:val="bottom"/>
            <w:hideMark/>
          </w:tcPr>
          <w:p w14:paraId="054BF748"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Return</w:t>
            </w:r>
          </w:p>
        </w:tc>
        <w:tc>
          <w:tcPr>
            <w:tcW w:w="0" w:type="auto"/>
            <w:vAlign w:val="bottom"/>
          </w:tcPr>
          <w:p w14:paraId="4E5A297F"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Return unit from Issue when unit is marked unsatisfactory</w:t>
            </w:r>
          </w:p>
        </w:tc>
      </w:tr>
      <w:tr w:rsidR="00E73261" w:rsidRPr="00836B93" w14:paraId="3F1EA84A" w14:textId="77777777" w:rsidTr="00E73261">
        <w:trPr>
          <w:cantSplit/>
          <w:trHeight w:val="20"/>
        </w:trPr>
        <w:tc>
          <w:tcPr>
            <w:tcW w:w="0" w:type="auto"/>
            <w:shd w:val="clear" w:color="auto" w:fill="auto"/>
            <w:noWrap/>
            <w:vAlign w:val="bottom"/>
            <w:hideMark/>
          </w:tcPr>
          <w:p w14:paraId="5DC91027"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Restriction</w:t>
            </w:r>
          </w:p>
        </w:tc>
        <w:tc>
          <w:tcPr>
            <w:tcW w:w="0" w:type="auto"/>
            <w:vAlign w:val="bottom"/>
          </w:tcPr>
          <w:p w14:paraId="057D9DE2"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No use identified at this time.</w:t>
            </w:r>
          </w:p>
        </w:tc>
      </w:tr>
      <w:tr w:rsidR="00E73261" w:rsidRPr="00836B93" w14:paraId="2E133599" w14:textId="77777777" w:rsidTr="00E73261">
        <w:trPr>
          <w:cantSplit/>
          <w:trHeight w:val="20"/>
        </w:trPr>
        <w:tc>
          <w:tcPr>
            <w:tcW w:w="0" w:type="auto"/>
            <w:shd w:val="clear" w:color="auto" w:fill="auto"/>
            <w:noWrap/>
            <w:vAlign w:val="bottom"/>
            <w:hideMark/>
          </w:tcPr>
          <w:p w14:paraId="162AF9C6"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Selection</w:t>
            </w:r>
          </w:p>
        </w:tc>
        <w:tc>
          <w:tcPr>
            <w:tcW w:w="0" w:type="auto"/>
            <w:vAlign w:val="bottom"/>
          </w:tcPr>
          <w:p w14:paraId="09BCE112"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Select Unit</w:t>
            </w:r>
          </w:p>
        </w:tc>
      </w:tr>
      <w:tr w:rsidR="00E73261" w:rsidRPr="00836B93" w14:paraId="6E21BCF6" w14:textId="77777777" w:rsidTr="00E73261">
        <w:trPr>
          <w:cantSplit/>
          <w:trHeight w:val="20"/>
        </w:trPr>
        <w:tc>
          <w:tcPr>
            <w:tcW w:w="0" w:type="auto"/>
            <w:shd w:val="clear" w:color="auto" w:fill="auto"/>
            <w:noWrap/>
            <w:vAlign w:val="bottom"/>
            <w:hideMark/>
          </w:tcPr>
          <w:p w14:paraId="31FC020E"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Status Removal</w:t>
            </w:r>
          </w:p>
        </w:tc>
        <w:tc>
          <w:tcPr>
            <w:tcW w:w="0" w:type="auto"/>
            <w:vAlign w:val="bottom"/>
          </w:tcPr>
          <w:p w14:paraId="2BE793E7"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 xml:space="preserve">Remove Final </w:t>
            </w:r>
            <w:r w:rsidR="0055121B">
              <w:rPr>
                <w:rFonts w:ascii="Arial" w:hAnsi="Arial" w:cs="Arial"/>
                <w:color w:val="000000"/>
                <w:sz w:val="18"/>
                <w:szCs w:val="18"/>
              </w:rPr>
              <w:t>Status</w:t>
            </w:r>
            <w:r w:rsidRPr="00ED5636">
              <w:rPr>
                <w:rFonts w:ascii="Arial" w:hAnsi="Arial" w:cs="Arial"/>
                <w:color w:val="000000"/>
                <w:sz w:val="18"/>
                <w:szCs w:val="18"/>
              </w:rPr>
              <w:t>, Inactivate unit</w:t>
            </w:r>
          </w:p>
        </w:tc>
      </w:tr>
      <w:tr w:rsidR="00E73261" w:rsidRPr="009F2938" w14:paraId="54C6378E" w14:textId="77777777" w:rsidTr="00E73261">
        <w:trPr>
          <w:cantSplit/>
          <w:trHeight w:val="20"/>
        </w:trPr>
        <w:tc>
          <w:tcPr>
            <w:tcW w:w="0" w:type="auto"/>
            <w:shd w:val="clear" w:color="auto" w:fill="auto"/>
            <w:noWrap/>
            <w:vAlign w:val="bottom"/>
            <w:hideMark/>
          </w:tcPr>
          <w:p w14:paraId="1F5B247A"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Testing</w:t>
            </w:r>
          </w:p>
        </w:tc>
        <w:tc>
          <w:tcPr>
            <w:tcW w:w="0" w:type="auto"/>
            <w:vAlign w:val="bottom"/>
          </w:tcPr>
          <w:p w14:paraId="06932095"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ABO/RH confirmation and Unit Antigen Typing Testing</w:t>
            </w:r>
          </w:p>
          <w:p w14:paraId="5555B9D0"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Edit Unit Information (Invalidate test results and unit inactivation)</w:t>
            </w:r>
          </w:p>
        </w:tc>
      </w:tr>
    </w:tbl>
    <w:p w14:paraId="534E1801" w14:textId="77777777" w:rsidR="002A21AE" w:rsidRDefault="00ED5636" w:rsidP="00ED5636">
      <w:pPr>
        <w:pStyle w:val="Heading3"/>
      </w:pPr>
      <w:bookmarkStart w:id="644" w:name="_Toc91323799"/>
      <w:r>
        <w:rPr>
          <w:rFonts w:ascii="Geneva" w:hAnsi="Geneva"/>
        </w:rPr>
        <w:br w:type="page"/>
      </w:r>
      <w:r w:rsidR="002548EA">
        <w:rPr>
          <w:rFonts w:ascii="Geneva" w:hAnsi="Geneva"/>
          <w:vanish/>
        </w:rPr>
        <w:lastRenderedPageBreak/>
        <w:t>PT_1</w:t>
      </w:r>
      <w:r w:rsidR="002A21AE">
        <w:rPr>
          <w:rFonts w:ascii="Geneva" w:hAnsi="Geneva"/>
          <w:vanish/>
        </w:rPr>
        <w:t>.0</w:t>
      </w:r>
      <w:r w:rsidR="002548EA">
        <w:rPr>
          <w:rFonts w:ascii="Geneva" w:hAnsi="Geneva"/>
          <w:vanish/>
        </w:rPr>
        <w:t>6</w:t>
      </w:r>
      <w:r w:rsidR="002A21AE">
        <w:rPr>
          <w:rFonts w:ascii="Geneva" w:hAnsi="Geneva"/>
          <w:vanish/>
        </w:rPr>
        <w:t xml:space="preserve"> </w:t>
      </w:r>
      <w:bookmarkStart w:id="645" w:name="_Toc4588869"/>
      <w:r w:rsidR="002A21AE">
        <w:t>CPRS Orderable Blood Components (Component Classes) Mapped to ICCBBA Component Classes</w:t>
      </w:r>
      <w:bookmarkEnd w:id="644"/>
      <w:bookmarkEnd w:id="645"/>
      <w:r w:rsidR="002A21AE">
        <w:fldChar w:fldCharType="begin"/>
      </w:r>
      <w:r w:rsidR="002A21AE">
        <w:instrText xml:space="preserve"> XE </w:instrText>
      </w:r>
      <w:r w:rsidR="00FA7E65">
        <w:instrText>“</w:instrText>
      </w:r>
      <w:r w:rsidR="002A21AE">
        <w:instrText>Tables:CPRS Orderable Blood Components (Component Classes) Mapped to ICCBBA Component Classes</w:instrText>
      </w:r>
      <w:r w:rsidR="00FA7E65">
        <w:instrText>”</w:instrText>
      </w:r>
      <w:r w:rsidR="002A21AE">
        <w:instrText xml:space="preserve"> </w:instrText>
      </w:r>
      <w:r w:rsidR="002A21AE">
        <w:fldChar w:fldCharType="end"/>
      </w:r>
    </w:p>
    <w:p w14:paraId="75FBBAE6" w14:textId="6039E661" w:rsidR="002A21AE" w:rsidRDefault="00E73261" w:rsidP="00FA7E65">
      <w:pPr>
        <w:pStyle w:val="BodyText"/>
      </w:pPr>
      <w:r>
        <w:fldChar w:fldCharType="begin" w:fldLock="1"/>
      </w:r>
      <w:r>
        <w:instrText xml:space="preserve"> REF _Ref507069801 \h </w:instrText>
      </w:r>
      <w:r>
        <w:fldChar w:fldCharType="separate"/>
      </w:r>
      <w:r w:rsidR="00AB304C" w:rsidRPr="00575E6D">
        <w:t xml:space="preserve">Table </w:t>
      </w:r>
      <w:r w:rsidR="00AB304C">
        <w:rPr>
          <w:noProof/>
        </w:rPr>
        <w:t>19</w:t>
      </w:r>
      <w:r>
        <w:fldChar w:fldCharType="end"/>
      </w:r>
      <w:r>
        <w:t xml:space="preserve"> </w:t>
      </w:r>
      <w:r w:rsidR="002A21AE">
        <w:t>is used to map the CPRS/</w:t>
      </w:r>
      <w:r w:rsidR="00CA6E27" w:rsidRPr="00CA6E27">
        <w:rPr>
          <w:bCs/>
        </w:rPr>
        <w:t>VistA</w:t>
      </w:r>
      <w:r w:rsidR="002A21AE">
        <w:t xml:space="preserve"> orderables available to clinicians to the ICCBBA component classes.</w:t>
      </w:r>
      <w:r w:rsidR="00F04185">
        <w:t xml:space="preserve"> </w:t>
      </w:r>
      <w:r w:rsidR="00F04185" w:rsidRPr="00F04185">
        <w:rPr>
          <w:vanish/>
        </w:rPr>
        <w:t>DR 4481</w:t>
      </w:r>
    </w:p>
    <w:p w14:paraId="553DEFE8" w14:textId="2C4F73C9" w:rsidR="002A21AE" w:rsidRDefault="002A21AE">
      <w:pPr>
        <w:pStyle w:val="Caption"/>
        <w:rPr>
          <w:rFonts w:ascii="Arial" w:hAnsi="Arial"/>
          <w:sz w:val="16"/>
        </w:rPr>
      </w:pPr>
      <w:bookmarkStart w:id="646" w:name="_Ref507069801"/>
      <w:bookmarkStart w:id="647" w:name="_Ref507152797"/>
      <w:r w:rsidRPr="00575E6D">
        <w:t xml:space="preserve">Table </w:t>
      </w:r>
      <w:r w:rsidR="004E20BD">
        <w:rPr>
          <w:noProof/>
        </w:rPr>
        <w:fldChar w:fldCharType="begin"/>
      </w:r>
      <w:r w:rsidR="004E20BD">
        <w:rPr>
          <w:noProof/>
        </w:rPr>
        <w:instrText xml:space="preserve"> SEQ Table \* ARABIC </w:instrText>
      </w:r>
      <w:r w:rsidR="004E20BD">
        <w:rPr>
          <w:noProof/>
        </w:rPr>
        <w:fldChar w:fldCharType="separate"/>
      </w:r>
      <w:r w:rsidR="00647F4E">
        <w:rPr>
          <w:noProof/>
        </w:rPr>
        <w:t>19</w:t>
      </w:r>
      <w:r w:rsidR="004E20BD">
        <w:rPr>
          <w:noProof/>
        </w:rPr>
        <w:fldChar w:fldCharType="end"/>
      </w:r>
      <w:bookmarkEnd w:id="646"/>
      <w:r w:rsidRPr="00575E6D">
        <w:t xml:space="preserve">: </w:t>
      </w:r>
      <w:r w:rsidRPr="00575E6D">
        <w:rPr>
          <w:vanish/>
        </w:rPr>
        <w:t>PT_</w:t>
      </w:r>
      <w:r w:rsidR="002548EA" w:rsidRPr="00575E6D">
        <w:rPr>
          <w:vanish/>
        </w:rPr>
        <w:t>1</w:t>
      </w:r>
      <w:r w:rsidRPr="00575E6D">
        <w:rPr>
          <w:vanish/>
        </w:rPr>
        <w:t>.0</w:t>
      </w:r>
      <w:r w:rsidR="002548EA" w:rsidRPr="00575E6D">
        <w:rPr>
          <w:vanish/>
        </w:rPr>
        <w:t>6</w:t>
      </w:r>
      <w:r w:rsidRPr="00575E6D">
        <w:rPr>
          <w:vanish/>
        </w:rPr>
        <w:t xml:space="preserve"> </w:t>
      </w:r>
      <w:r w:rsidRPr="00575E6D">
        <w:t>CPRS Orderable Blood Components (Component Classes) Mapped to ICCBBA Component Classes</w:t>
      </w:r>
      <w:bookmarkEnd w:id="647"/>
    </w:p>
    <w:tbl>
      <w:tblPr>
        <w:tblW w:w="7128" w:type="dxa"/>
        <w:tblInd w:w="604" w:type="dxa"/>
        <w:tblCellMar>
          <w:left w:w="0" w:type="dxa"/>
          <w:right w:w="0" w:type="dxa"/>
        </w:tblCellMar>
        <w:tblLook w:val="04A0" w:firstRow="1" w:lastRow="0" w:firstColumn="1" w:lastColumn="0" w:noHBand="0" w:noVBand="1"/>
      </w:tblPr>
      <w:tblGrid>
        <w:gridCol w:w="2988"/>
        <w:gridCol w:w="4140"/>
      </w:tblGrid>
      <w:tr w:rsidR="002202D4" w14:paraId="059DBA38" w14:textId="77777777" w:rsidTr="002202D4">
        <w:trPr>
          <w:trHeight w:val="255"/>
        </w:trPr>
        <w:tc>
          <w:tcPr>
            <w:tcW w:w="2988" w:type="dxa"/>
            <w:tcBorders>
              <w:top w:val="single" w:sz="8" w:space="0" w:color="auto"/>
              <w:left w:val="single" w:sz="8" w:space="0" w:color="auto"/>
              <w:bottom w:val="single" w:sz="8" w:space="0" w:color="auto"/>
              <w:right w:val="single" w:sz="8" w:space="0" w:color="auto"/>
            </w:tcBorders>
            <w:shd w:val="clear" w:color="auto" w:fill="CCCCCC"/>
            <w:noWrap/>
            <w:tcMar>
              <w:top w:w="0" w:type="dxa"/>
              <w:left w:w="108" w:type="dxa"/>
              <w:bottom w:w="0" w:type="dxa"/>
              <w:right w:w="108" w:type="dxa"/>
            </w:tcMar>
            <w:vAlign w:val="bottom"/>
            <w:hideMark/>
          </w:tcPr>
          <w:p w14:paraId="442975EA" w14:textId="77777777" w:rsidR="002202D4" w:rsidRPr="002202D4" w:rsidRDefault="002202D4">
            <w:pPr>
              <w:jc w:val="center"/>
              <w:rPr>
                <w:rFonts w:ascii="Arial" w:eastAsia="Calibri" w:hAnsi="Arial" w:cs="Arial"/>
                <w:b/>
                <w:bCs/>
                <w:sz w:val="18"/>
                <w:szCs w:val="18"/>
              </w:rPr>
            </w:pPr>
            <w:r w:rsidRPr="002202D4">
              <w:rPr>
                <w:rFonts w:ascii="Arial" w:hAnsi="Arial" w:cs="Arial"/>
                <w:b/>
                <w:bCs/>
                <w:sz w:val="18"/>
                <w:szCs w:val="18"/>
              </w:rPr>
              <w:t>CPRS Orderable Item</w:t>
            </w:r>
          </w:p>
        </w:tc>
        <w:tc>
          <w:tcPr>
            <w:tcW w:w="4140" w:type="dxa"/>
            <w:tcBorders>
              <w:top w:val="single" w:sz="8" w:space="0" w:color="auto"/>
              <w:left w:val="nil"/>
              <w:bottom w:val="single" w:sz="8" w:space="0" w:color="auto"/>
              <w:right w:val="single" w:sz="8" w:space="0" w:color="auto"/>
            </w:tcBorders>
            <w:shd w:val="clear" w:color="auto" w:fill="CCCCCC"/>
            <w:noWrap/>
            <w:tcMar>
              <w:top w:w="0" w:type="dxa"/>
              <w:left w:w="108" w:type="dxa"/>
              <w:bottom w:w="0" w:type="dxa"/>
              <w:right w:w="108" w:type="dxa"/>
            </w:tcMar>
            <w:vAlign w:val="bottom"/>
            <w:hideMark/>
          </w:tcPr>
          <w:p w14:paraId="059D7BA9" w14:textId="77777777" w:rsidR="002202D4" w:rsidRPr="002202D4" w:rsidRDefault="002202D4">
            <w:pPr>
              <w:jc w:val="center"/>
              <w:rPr>
                <w:rFonts w:ascii="Arial" w:eastAsia="Calibri" w:hAnsi="Arial" w:cs="Arial"/>
                <w:b/>
                <w:bCs/>
                <w:sz w:val="18"/>
                <w:szCs w:val="18"/>
              </w:rPr>
            </w:pPr>
            <w:r w:rsidRPr="002202D4">
              <w:rPr>
                <w:rFonts w:ascii="Arial" w:hAnsi="Arial" w:cs="Arial"/>
                <w:b/>
                <w:bCs/>
                <w:sz w:val="18"/>
                <w:szCs w:val="18"/>
              </w:rPr>
              <w:t>Blood Product Component Class</w:t>
            </w:r>
          </w:p>
        </w:tc>
      </w:tr>
      <w:tr w:rsidR="002202D4" w14:paraId="426F2CB7" w14:textId="77777777" w:rsidTr="002202D4">
        <w:trPr>
          <w:trHeight w:val="255"/>
        </w:trPr>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EFDB630"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WHOLE BLOOD</w:t>
            </w:r>
          </w:p>
        </w:tc>
        <w:tc>
          <w:tcPr>
            <w:tcW w:w="4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42F9A0"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RED BLOOD CELLS</w:t>
            </w:r>
          </w:p>
        </w:tc>
      </w:tr>
      <w:tr w:rsidR="002202D4" w14:paraId="6F8D83FB" w14:textId="77777777" w:rsidTr="002202D4">
        <w:trPr>
          <w:trHeight w:val="255"/>
        </w:trPr>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E134E29"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WHOLE BLOOD</w:t>
            </w:r>
          </w:p>
        </w:tc>
        <w:tc>
          <w:tcPr>
            <w:tcW w:w="4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AA4108"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WHOLE BLOOD</w:t>
            </w:r>
          </w:p>
        </w:tc>
      </w:tr>
      <w:tr w:rsidR="002202D4" w14:paraId="0EC39DE2" w14:textId="77777777" w:rsidTr="002202D4">
        <w:trPr>
          <w:trHeight w:val="255"/>
        </w:trPr>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30D173E"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RED BLOOD CELLS</w:t>
            </w:r>
          </w:p>
        </w:tc>
        <w:tc>
          <w:tcPr>
            <w:tcW w:w="4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415E18"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RED BLOOD CELLS</w:t>
            </w:r>
          </w:p>
        </w:tc>
      </w:tr>
      <w:tr w:rsidR="002202D4" w14:paraId="4B362CCA" w14:textId="77777777" w:rsidTr="002202D4">
        <w:trPr>
          <w:trHeight w:val="255"/>
        </w:trPr>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18C8E71"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RED BLOOD CELLS</w:t>
            </w:r>
          </w:p>
        </w:tc>
        <w:tc>
          <w:tcPr>
            <w:tcW w:w="4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414664"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WHOLE BLOOD</w:t>
            </w:r>
          </w:p>
        </w:tc>
      </w:tr>
      <w:tr w:rsidR="002202D4" w14:paraId="01247776" w14:textId="77777777" w:rsidTr="002202D4">
        <w:trPr>
          <w:trHeight w:val="255"/>
        </w:trPr>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8612B24"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FRESH FROZEN PLASMA</w:t>
            </w:r>
          </w:p>
        </w:tc>
        <w:tc>
          <w:tcPr>
            <w:tcW w:w="4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C0FFDC"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FRESH FROZEN PLASMA</w:t>
            </w:r>
          </w:p>
        </w:tc>
      </w:tr>
      <w:tr w:rsidR="002202D4" w14:paraId="2E902E53" w14:textId="77777777" w:rsidTr="002202D4">
        <w:trPr>
          <w:trHeight w:val="255"/>
        </w:trPr>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F07A9DA"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PLATELETS</w:t>
            </w:r>
          </w:p>
        </w:tc>
        <w:tc>
          <w:tcPr>
            <w:tcW w:w="4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0C150C"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PLATELETS</w:t>
            </w:r>
          </w:p>
        </w:tc>
      </w:tr>
      <w:tr w:rsidR="002202D4" w14:paraId="42AF745A" w14:textId="77777777" w:rsidTr="002202D4">
        <w:trPr>
          <w:trHeight w:val="255"/>
        </w:trPr>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C4DEC22"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CRYOPRECIPITATE</w:t>
            </w:r>
          </w:p>
        </w:tc>
        <w:tc>
          <w:tcPr>
            <w:tcW w:w="4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68C738"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CRYOPRECIPITATE</w:t>
            </w:r>
          </w:p>
        </w:tc>
      </w:tr>
      <w:tr w:rsidR="002202D4" w14:paraId="77A58925" w14:textId="77777777" w:rsidTr="002202D4">
        <w:trPr>
          <w:trHeight w:val="255"/>
        </w:trPr>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00F85B2"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OTHER</w:t>
            </w:r>
          </w:p>
        </w:tc>
        <w:tc>
          <w:tcPr>
            <w:tcW w:w="4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88F82C"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OTHER</w:t>
            </w:r>
          </w:p>
        </w:tc>
      </w:tr>
    </w:tbl>
    <w:p w14:paraId="248B567D" w14:textId="77777777" w:rsidR="002A21AE" w:rsidRDefault="002A21AE">
      <w:pPr>
        <w:pStyle w:val="Heading3"/>
      </w:pPr>
      <w:r w:rsidRPr="00691DFF">
        <w:rPr>
          <w:rFonts w:ascii="Geneva" w:hAnsi="Geneva"/>
          <w:vanish/>
        </w:rPr>
        <w:t xml:space="preserve">TT_77.01 </w:t>
      </w:r>
      <w:bookmarkStart w:id="648" w:name="_Toc4588870"/>
      <w:r w:rsidRPr="00691DFF">
        <w:t>Details in Audit Trail Report</w:t>
      </w:r>
      <w:bookmarkEnd w:id="648"/>
      <w:r w:rsidRPr="00691DFF">
        <w:fldChar w:fldCharType="begin"/>
      </w:r>
      <w:r w:rsidRPr="00691DFF">
        <w:instrText xml:space="preserve"> XE </w:instrText>
      </w:r>
      <w:r w:rsidR="00FA7E65" w:rsidRPr="00691DFF">
        <w:instrText>“</w:instrText>
      </w:r>
      <w:r w:rsidRPr="00691DFF">
        <w:instrText>Tables:Details in Audit Trail Report</w:instrText>
      </w:r>
      <w:r w:rsidR="00FA7E65" w:rsidRPr="00691DFF">
        <w:instrText>”</w:instrText>
      </w:r>
      <w:r w:rsidRPr="00691DFF">
        <w:instrText xml:space="preserve"> </w:instrText>
      </w:r>
      <w:r w:rsidRPr="00691DFF">
        <w:fldChar w:fldCharType="end"/>
      </w:r>
    </w:p>
    <w:p w14:paraId="1081D19B" w14:textId="5B2230F6" w:rsidR="00264588" w:rsidRPr="00264588" w:rsidRDefault="00264588" w:rsidP="00264588">
      <w:pPr>
        <w:pStyle w:val="BodyText"/>
      </w:pPr>
      <w:r>
        <w:t>Changes include the date and time of the change, ID of the user who made the change, and required comments</w:t>
      </w:r>
      <w:r w:rsidR="00E531AC">
        <w:t xml:space="preserve"> (</w:t>
      </w:r>
      <w:r w:rsidR="00E531AC">
        <w:fldChar w:fldCharType="begin" w:fldLock="1"/>
      </w:r>
      <w:r w:rsidR="00E531AC">
        <w:instrText xml:space="preserve"> REF _Ref126732219 \h </w:instrText>
      </w:r>
      <w:r w:rsidR="00E531AC">
        <w:fldChar w:fldCharType="separate"/>
      </w:r>
      <w:r w:rsidR="00AB304C">
        <w:t xml:space="preserve">Table </w:t>
      </w:r>
      <w:r w:rsidR="00AB304C">
        <w:rPr>
          <w:noProof/>
        </w:rPr>
        <w:t>20</w:t>
      </w:r>
      <w:r w:rsidR="00E531AC">
        <w:fldChar w:fldCharType="end"/>
      </w:r>
      <w:r w:rsidR="00E531AC">
        <w:t>)</w:t>
      </w:r>
      <w:r>
        <w:t>.</w:t>
      </w:r>
    </w:p>
    <w:p w14:paraId="5F52D2C4" w14:textId="5E9C6A90" w:rsidR="002A21AE" w:rsidRDefault="002A21AE">
      <w:pPr>
        <w:pStyle w:val="Caption"/>
      </w:pPr>
      <w:bookmarkStart w:id="649" w:name="_Ref126732219"/>
      <w:bookmarkStart w:id="650" w:name="_Toc97523637"/>
      <w:bookmarkStart w:id="651" w:name="_Toc97527607"/>
      <w:bookmarkStart w:id="652" w:name="_Ref126504486"/>
      <w:bookmarkStart w:id="653" w:name="_Ref126504618"/>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647F4E">
        <w:rPr>
          <w:noProof/>
        </w:rPr>
        <w:t>20</w:t>
      </w:r>
      <w:r w:rsidR="004E20BD">
        <w:rPr>
          <w:noProof/>
        </w:rPr>
        <w:fldChar w:fldCharType="end"/>
      </w:r>
      <w:bookmarkEnd w:id="649"/>
      <w:r>
        <w:t xml:space="preserve">: </w:t>
      </w:r>
      <w:r>
        <w:rPr>
          <w:vanish/>
        </w:rPr>
        <w:t xml:space="preserve">TT_77.01 </w:t>
      </w:r>
      <w:r>
        <w:t>Details in Audit Trail Report</w:t>
      </w:r>
      <w:bookmarkEnd w:id="650"/>
      <w:bookmarkEnd w:id="651"/>
      <w:bookmarkEnd w:id="652"/>
      <w:bookmarkEnd w:id="653"/>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3"/>
        <w:gridCol w:w="1979"/>
        <w:gridCol w:w="3470"/>
        <w:gridCol w:w="1243"/>
        <w:gridCol w:w="1295"/>
      </w:tblGrid>
      <w:tr w:rsidR="002A21AE" w14:paraId="709F05F7" w14:textId="77777777">
        <w:trPr>
          <w:tblHeader/>
        </w:trPr>
        <w:tc>
          <w:tcPr>
            <w:tcW w:w="1373" w:type="dxa"/>
            <w:vMerge w:val="restart"/>
            <w:shd w:val="clear" w:color="auto" w:fill="B3B3B3"/>
            <w:vAlign w:val="bottom"/>
          </w:tcPr>
          <w:p w14:paraId="076C9088" w14:textId="77777777" w:rsidR="002A21AE" w:rsidRDefault="002A21AE" w:rsidP="00CD34EB">
            <w:pPr>
              <w:pStyle w:val="TableText"/>
              <w:rPr>
                <w:b/>
                <w:bCs/>
              </w:rPr>
            </w:pPr>
            <w:r>
              <w:rPr>
                <w:b/>
                <w:bCs/>
              </w:rPr>
              <w:t>Report Section</w:t>
            </w:r>
          </w:p>
        </w:tc>
        <w:tc>
          <w:tcPr>
            <w:tcW w:w="1979" w:type="dxa"/>
            <w:vMerge w:val="restart"/>
            <w:shd w:val="clear" w:color="auto" w:fill="B3B3B3"/>
            <w:vAlign w:val="bottom"/>
          </w:tcPr>
          <w:p w14:paraId="6AF17763" w14:textId="77777777" w:rsidR="002A21AE" w:rsidRDefault="002A21AE">
            <w:pPr>
              <w:pStyle w:val="TableText"/>
              <w:rPr>
                <w:b/>
                <w:bCs/>
              </w:rPr>
            </w:pPr>
            <w:r>
              <w:rPr>
                <w:b/>
                <w:bCs/>
              </w:rPr>
              <w:t>Generating Options</w:t>
            </w:r>
          </w:p>
        </w:tc>
        <w:tc>
          <w:tcPr>
            <w:tcW w:w="3470" w:type="dxa"/>
            <w:vMerge w:val="restart"/>
            <w:shd w:val="clear" w:color="auto" w:fill="B3B3B3"/>
            <w:vAlign w:val="bottom"/>
          </w:tcPr>
          <w:p w14:paraId="4C7E03D4" w14:textId="77777777" w:rsidR="002A21AE" w:rsidRDefault="002A21AE">
            <w:pPr>
              <w:pStyle w:val="TableText"/>
              <w:rPr>
                <w:b/>
                <w:bCs/>
              </w:rPr>
            </w:pPr>
            <w:r>
              <w:rPr>
                <w:b/>
                <w:bCs/>
              </w:rPr>
              <w:t>GUI Fields Monitored</w:t>
            </w:r>
          </w:p>
        </w:tc>
        <w:tc>
          <w:tcPr>
            <w:tcW w:w="2538" w:type="dxa"/>
            <w:gridSpan w:val="2"/>
            <w:tcBorders>
              <w:bottom w:val="single" w:sz="4" w:space="0" w:color="auto"/>
            </w:tcBorders>
            <w:shd w:val="clear" w:color="auto" w:fill="B3B3B3"/>
            <w:vAlign w:val="bottom"/>
          </w:tcPr>
          <w:p w14:paraId="1965C764" w14:textId="77777777" w:rsidR="002A21AE" w:rsidRDefault="002A21AE" w:rsidP="0058499D">
            <w:pPr>
              <w:pStyle w:val="TableText"/>
              <w:jc w:val="center"/>
              <w:rPr>
                <w:rFonts w:eastAsia="Symbol"/>
                <w:b/>
                <w:bCs/>
              </w:rPr>
            </w:pPr>
            <w:r>
              <w:rPr>
                <w:rFonts w:eastAsia="Symbol"/>
                <w:b/>
                <w:bCs/>
              </w:rPr>
              <w:t>Accessible in:</w:t>
            </w:r>
          </w:p>
        </w:tc>
      </w:tr>
      <w:tr w:rsidR="002A21AE" w14:paraId="52686887" w14:textId="77777777">
        <w:trPr>
          <w:tblHeader/>
        </w:trPr>
        <w:tc>
          <w:tcPr>
            <w:tcW w:w="1373" w:type="dxa"/>
            <w:vMerge/>
            <w:tcBorders>
              <w:bottom w:val="single" w:sz="4" w:space="0" w:color="auto"/>
            </w:tcBorders>
            <w:shd w:val="clear" w:color="auto" w:fill="B3B3B3"/>
            <w:vAlign w:val="bottom"/>
          </w:tcPr>
          <w:p w14:paraId="1FB4CF3E" w14:textId="77777777" w:rsidR="002A21AE" w:rsidRDefault="002A21AE" w:rsidP="00CD34EB">
            <w:pPr>
              <w:pStyle w:val="TableText"/>
              <w:rPr>
                <w:b/>
                <w:bCs/>
              </w:rPr>
            </w:pPr>
          </w:p>
        </w:tc>
        <w:tc>
          <w:tcPr>
            <w:tcW w:w="1979" w:type="dxa"/>
            <w:vMerge/>
            <w:tcBorders>
              <w:bottom w:val="single" w:sz="4" w:space="0" w:color="auto"/>
            </w:tcBorders>
            <w:shd w:val="clear" w:color="auto" w:fill="B3B3B3"/>
            <w:vAlign w:val="bottom"/>
          </w:tcPr>
          <w:p w14:paraId="767F3066" w14:textId="77777777" w:rsidR="002A21AE" w:rsidRDefault="002A21AE">
            <w:pPr>
              <w:pStyle w:val="TableText"/>
              <w:rPr>
                <w:b/>
                <w:bCs/>
              </w:rPr>
            </w:pPr>
          </w:p>
        </w:tc>
        <w:tc>
          <w:tcPr>
            <w:tcW w:w="3470" w:type="dxa"/>
            <w:vMerge/>
            <w:tcBorders>
              <w:bottom w:val="single" w:sz="4" w:space="0" w:color="auto"/>
            </w:tcBorders>
            <w:shd w:val="clear" w:color="auto" w:fill="B3B3B3"/>
            <w:vAlign w:val="bottom"/>
          </w:tcPr>
          <w:p w14:paraId="08709FB6" w14:textId="77777777" w:rsidR="002A21AE" w:rsidRDefault="002A21AE">
            <w:pPr>
              <w:pStyle w:val="TableText"/>
              <w:rPr>
                <w:b/>
                <w:bCs/>
              </w:rPr>
            </w:pPr>
          </w:p>
        </w:tc>
        <w:tc>
          <w:tcPr>
            <w:tcW w:w="1243" w:type="dxa"/>
            <w:tcBorders>
              <w:bottom w:val="single" w:sz="4" w:space="0" w:color="auto"/>
            </w:tcBorders>
            <w:shd w:val="clear" w:color="auto" w:fill="B3B3B3"/>
            <w:vAlign w:val="bottom"/>
          </w:tcPr>
          <w:p w14:paraId="63ABB6E6" w14:textId="77777777" w:rsidR="002A21AE" w:rsidRDefault="002A21AE">
            <w:pPr>
              <w:pStyle w:val="TableText"/>
              <w:rPr>
                <w:rFonts w:eastAsia="Symbol"/>
                <w:b/>
                <w:bCs/>
              </w:rPr>
            </w:pPr>
            <w:r>
              <w:rPr>
                <w:rFonts w:eastAsia="Symbol"/>
                <w:b/>
                <w:bCs/>
              </w:rPr>
              <w:t>Unit History Report?</w:t>
            </w:r>
          </w:p>
        </w:tc>
        <w:tc>
          <w:tcPr>
            <w:tcW w:w="1295" w:type="dxa"/>
            <w:tcBorders>
              <w:bottom w:val="single" w:sz="4" w:space="0" w:color="auto"/>
            </w:tcBorders>
            <w:shd w:val="clear" w:color="auto" w:fill="B3B3B3"/>
            <w:vAlign w:val="bottom"/>
          </w:tcPr>
          <w:p w14:paraId="4D946EB8" w14:textId="77777777" w:rsidR="002A21AE" w:rsidRDefault="002A21AE">
            <w:pPr>
              <w:pStyle w:val="TableText"/>
              <w:rPr>
                <w:rFonts w:eastAsia="Symbol"/>
                <w:b/>
                <w:bCs/>
              </w:rPr>
            </w:pPr>
            <w:r>
              <w:rPr>
                <w:rFonts w:eastAsia="Symbol"/>
                <w:b/>
                <w:bCs/>
              </w:rPr>
              <w:t>Patient History Report?</w:t>
            </w:r>
          </w:p>
        </w:tc>
      </w:tr>
      <w:tr w:rsidR="002A21AE" w14:paraId="42D14CED" w14:textId="77777777">
        <w:tc>
          <w:tcPr>
            <w:tcW w:w="1373" w:type="dxa"/>
            <w:vMerge w:val="restart"/>
          </w:tcPr>
          <w:p w14:paraId="0A7EDB2A" w14:textId="77777777" w:rsidR="002A21AE" w:rsidRDefault="002A21AE" w:rsidP="00CD34EB">
            <w:pPr>
              <w:pStyle w:val="TableText"/>
            </w:pPr>
            <w:r>
              <w:t>Blood Unit Changes</w:t>
            </w:r>
          </w:p>
        </w:tc>
        <w:tc>
          <w:tcPr>
            <w:tcW w:w="1979" w:type="dxa"/>
          </w:tcPr>
          <w:p w14:paraId="3FAA7EC0" w14:textId="77777777" w:rsidR="002A21AE" w:rsidRDefault="002A21AE">
            <w:pPr>
              <w:pStyle w:val="TableText"/>
            </w:pPr>
            <w:r>
              <w:t>Modify Units: Pool Units</w:t>
            </w:r>
            <w:r w:rsidR="0030405B">
              <w:t xml:space="preserve"> (when a previously pooled unit is edited)</w:t>
            </w:r>
          </w:p>
        </w:tc>
        <w:tc>
          <w:tcPr>
            <w:tcW w:w="3470" w:type="dxa"/>
          </w:tcPr>
          <w:p w14:paraId="0ACD50D6" w14:textId="77777777" w:rsidR="00EC2271" w:rsidRDefault="00EC2271" w:rsidP="00EC2271">
            <w:pPr>
              <w:pStyle w:val="TableText"/>
            </w:pPr>
            <w:r>
              <w:t>For each pooled unit edited (unit ID, long name, product code):</w:t>
            </w:r>
          </w:p>
          <w:p w14:paraId="01A2E75B" w14:textId="77777777" w:rsidR="002A21AE" w:rsidRDefault="002A21AE">
            <w:pPr>
              <w:pStyle w:val="TableTextBullet"/>
            </w:pPr>
            <w:r>
              <w:t xml:space="preserve">Added </w:t>
            </w:r>
            <w:r w:rsidR="00BD6C59">
              <w:t xml:space="preserve">or Removed </w:t>
            </w:r>
            <w:r>
              <w:t>Unit IDs and Product Codes</w:t>
            </w:r>
          </w:p>
          <w:p w14:paraId="619237B8" w14:textId="77777777" w:rsidR="002A21AE" w:rsidRDefault="002A21AE">
            <w:pPr>
              <w:pStyle w:val="TableTextBullet"/>
            </w:pPr>
            <w:r>
              <w:t>Comment</w:t>
            </w:r>
          </w:p>
        </w:tc>
        <w:tc>
          <w:tcPr>
            <w:tcW w:w="1243" w:type="dxa"/>
          </w:tcPr>
          <w:p w14:paraId="41706762" w14:textId="77777777" w:rsidR="002A21AE" w:rsidRDefault="002A21AE">
            <w:pPr>
              <w:pStyle w:val="TableText"/>
            </w:pPr>
            <w:r>
              <w:rPr>
                <w:rFonts w:eastAsia="Symbol"/>
              </w:rPr>
              <w:t>Yes</w:t>
            </w:r>
          </w:p>
        </w:tc>
        <w:tc>
          <w:tcPr>
            <w:tcW w:w="1295" w:type="dxa"/>
          </w:tcPr>
          <w:p w14:paraId="103B023B" w14:textId="77777777" w:rsidR="002A21AE" w:rsidRDefault="002A21AE">
            <w:pPr>
              <w:pStyle w:val="TableText"/>
            </w:pPr>
            <w:r>
              <w:t>No</w:t>
            </w:r>
          </w:p>
        </w:tc>
      </w:tr>
      <w:tr w:rsidR="002A21AE" w14:paraId="303E1540" w14:textId="77777777">
        <w:tc>
          <w:tcPr>
            <w:tcW w:w="1373" w:type="dxa"/>
            <w:vMerge/>
          </w:tcPr>
          <w:p w14:paraId="7281027A" w14:textId="77777777" w:rsidR="002A21AE" w:rsidRDefault="002A21AE" w:rsidP="00CD34EB">
            <w:pPr>
              <w:pStyle w:val="TableText"/>
            </w:pPr>
          </w:p>
        </w:tc>
        <w:tc>
          <w:tcPr>
            <w:tcW w:w="1979" w:type="dxa"/>
          </w:tcPr>
          <w:p w14:paraId="5A48EF1D" w14:textId="77777777" w:rsidR="002A21AE" w:rsidRDefault="002A21AE">
            <w:pPr>
              <w:pStyle w:val="TableText"/>
            </w:pPr>
            <w:r>
              <w:t>Editing A Unit</w:t>
            </w:r>
          </w:p>
        </w:tc>
        <w:tc>
          <w:tcPr>
            <w:tcW w:w="3470" w:type="dxa"/>
          </w:tcPr>
          <w:p w14:paraId="3B0A21D9" w14:textId="77777777" w:rsidR="00EC2271" w:rsidRDefault="00EC2271" w:rsidP="00EC2271">
            <w:pPr>
              <w:pStyle w:val="TableText"/>
            </w:pPr>
            <w:r>
              <w:t>For each unit edited (unit ID, long name, product code):</w:t>
            </w:r>
          </w:p>
          <w:p w14:paraId="0EC15468" w14:textId="77777777" w:rsidR="002A21AE" w:rsidRDefault="002A21AE">
            <w:pPr>
              <w:pStyle w:val="TableTextBullet"/>
            </w:pPr>
            <w:r>
              <w:t xml:space="preserve">Unit </w:t>
            </w:r>
            <w:r w:rsidR="0083176A">
              <w:t xml:space="preserve">Antigen </w:t>
            </w:r>
            <w:r>
              <w:t>Information</w:t>
            </w:r>
          </w:p>
          <w:p w14:paraId="29CFD3B4" w14:textId="77777777" w:rsidR="0083176A" w:rsidRDefault="0083176A">
            <w:pPr>
              <w:pStyle w:val="TableTextBullet"/>
            </w:pPr>
            <w:r>
              <w:t>Special Testing Information</w:t>
            </w:r>
          </w:p>
          <w:p w14:paraId="24F96387" w14:textId="77777777" w:rsidR="0083176A" w:rsidRDefault="0083176A">
            <w:pPr>
              <w:pStyle w:val="TableTextBullet"/>
            </w:pPr>
            <w:r>
              <w:t>Discarded Plasma Volume</w:t>
            </w:r>
          </w:p>
          <w:p w14:paraId="0E6C024B" w14:textId="77777777" w:rsidR="0083176A" w:rsidRDefault="0083176A">
            <w:pPr>
              <w:pStyle w:val="TableTextBullet"/>
            </w:pPr>
            <w:r>
              <w:t>Unit Volume</w:t>
            </w:r>
          </w:p>
          <w:p w14:paraId="60A0BF53" w14:textId="77777777" w:rsidR="0083176A" w:rsidRDefault="0083176A">
            <w:pPr>
              <w:pStyle w:val="TableTextBullet"/>
            </w:pPr>
            <w:r>
              <w:t>Biohazardous Indicator</w:t>
            </w:r>
          </w:p>
          <w:p w14:paraId="11D8C951" w14:textId="77777777" w:rsidR="002A21AE" w:rsidRDefault="002A21AE">
            <w:pPr>
              <w:pStyle w:val="TableTextBullet"/>
            </w:pPr>
            <w:r>
              <w:t>Unit ABO/Rh Confirmation Test</w:t>
            </w:r>
            <w:r w:rsidR="00A047A4">
              <w:t xml:space="preserve">, </w:t>
            </w:r>
            <w:r w:rsidR="0083176A">
              <w:t>Invalidation Indicator</w:t>
            </w:r>
          </w:p>
          <w:p w14:paraId="44AFED0F" w14:textId="77777777" w:rsidR="002A21AE" w:rsidRDefault="002A21AE">
            <w:pPr>
              <w:pStyle w:val="TableTextBullet"/>
            </w:pPr>
            <w:r>
              <w:t>Unit Antigen Typing Test</w:t>
            </w:r>
            <w:r w:rsidR="00A047A4">
              <w:t xml:space="preserve">, </w:t>
            </w:r>
            <w:r w:rsidR="0083176A">
              <w:t>Invalidation Indicator</w:t>
            </w:r>
          </w:p>
          <w:p w14:paraId="2C2640FA" w14:textId="77777777" w:rsidR="002A21AE" w:rsidRDefault="002A21AE">
            <w:pPr>
              <w:pStyle w:val="TableTextBullet"/>
            </w:pPr>
            <w:r>
              <w:t>Unit Record Inactivation Indicator</w:t>
            </w:r>
          </w:p>
          <w:p w14:paraId="52977935" w14:textId="77777777" w:rsidR="0083176A" w:rsidRDefault="002F766E">
            <w:pPr>
              <w:pStyle w:val="TableTextBullet"/>
            </w:pPr>
            <w:r>
              <w:t>Restricted For</w:t>
            </w:r>
            <w:r w:rsidR="0083176A">
              <w:t xml:space="preserve"> Patient Name and Patient ID</w:t>
            </w:r>
          </w:p>
          <w:p w14:paraId="1811BD8C" w14:textId="77777777" w:rsidR="002A21AE" w:rsidRDefault="002A21AE">
            <w:pPr>
              <w:pStyle w:val="TableTextBullet"/>
            </w:pPr>
            <w:r>
              <w:t>Comment</w:t>
            </w:r>
          </w:p>
        </w:tc>
        <w:tc>
          <w:tcPr>
            <w:tcW w:w="1243" w:type="dxa"/>
          </w:tcPr>
          <w:p w14:paraId="7BA16EC9" w14:textId="77777777" w:rsidR="002A21AE" w:rsidRDefault="002A21AE">
            <w:pPr>
              <w:pStyle w:val="TableText"/>
            </w:pPr>
            <w:r>
              <w:rPr>
                <w:rFonts w:eastAsia="Symbol"/>
              </w:rPr>
              <w:t>Yes</w:t>
            </w:r>
          </w:p>
        </w:tc>
        <w:tc>
          <w:tcPr>
            <w:tcW w:w="1295" w:type="dxa"/>
          </w:tcPr>
          <w:p w14:paraId="7B24076F" w14:textId="77777777" w:rsidR="002A21AE" w:rsidRDefault="002A21AE">
            <w:pPr>
              <w:pStyle w:val="TableText"/>
            </w:pPr>
            <w:r>
              <w:t>No</w:t>
            </w:r>
          </w:p>
        </w:tc>
      </w:tr>
      <w:tr w:rsidR="002A21AE" w14:paraId="06BDD35D" w14:textId="77777777">
        <w:tc>
          <w:tcPr>
            <w:tcW w:w="1373" w:type="dxa"/>
          </w:tcPr>
          <w:p w14:paraId="58C20FB1" w14:textId="77777777" w:rsidR="002A21AE" w:rsidRDefault="002A21AE" w:rsidP="00CD34EB">
            <w:pPr>
              <w:pStyle w:val="TableText"/>
            </w:pPr>
            <w:r>
              <w:t>Blood Unit Financial Changes</w:t>
            </w:r>
          </w:p>
        </w:tc>
        <w:tc>
          <w:tcPr>
            <w:tcW w:w="1979" w:type="dxa"/>
          </w:tcPr>
          <w:p w14:paraId="27E0D22B" w14:textId="77777777" w:rsidR="002A21AE" w:rsidRDefault="002A21AE">
            <w:pPr>
              <w:pStyle w:val="TableText"/>
            </w:pPr>
            <w:r>
              <w:t>Edit Financial Data</w:t>
            </w:r>
          </w:p>
        </w:tc>
        <w:tc>
          <w:tcPr>
            <w:tcW w:w="3470" w:type="dxa"/>
          </w:tcPr>
          <w:p w14:paraId="76EB7F6E" w14:textId="77777777" w:rsidR="00F0285D" w:rsidRDefault="00F0285D" w:rsidP="00F0285D">
            <w:pPr>
              <w:pStyle w:val="TableText"/>
            </w:pPr>
            <w:r>
              <w:t>For each unit edited (unit ID, long name, product code):</w:t>
            </w:r>
          </w:p>
          <w:p w14:paraId="43848790" w14:textId="77777777" w:rsidR="002A21AE" w:rsidRDefault="002A21AE">
            <w:pPr>
              <w:pStyle w:val="TableTextBullet"/>
            </w:pPr>
            <w:r>
              <w:t xml:space="preserve">Unit Base Cost </w:t>
            </w:r>
          </w:p>
          <w:p w14:paraId="4E5168AB" w14:textId="77777777" w:rsidR="002A21AE" w:rsidRDefault="002A21AE">
            <w:pPr>
              <w:pStyle w:val="TableTextBullet"/>
            </w:pPr>
            <w:r>
              <w:t>Special Test Cost</w:t>
            </w:r>
          </w:p>
          <w:p w14:paraId="24293B4B" w14:textId="77777777" w:rsidR="002A21AE" w:rsidRDefault="002A21AE">
            <w:pPr>
              <w:pStyle w:val="TableTextBullet"/>
            </w:pPr>
            <w:r>
              <w:lastRenderedPageBreak/>
              <w:t>Return Credit</w:t>
            </w:r>
          </w:p>
        </w:tc>
        <w:tc>
          <w:tcPr>
            <w:tcW w:w="1243" w:type="dxa"/>
          </w:tcPr>
          <w:p w14:paraId="5CD4778C" w14:textId="77777777" w:rsidR="002A21AE" w:rsidRDefault="002A21AE">
            <w:pPr>
              <w:pStyle w:val="TableText"/>
            </w:pPr>
            <w:r>
              <w:rPr>
                <w:rFonts w:eastAsia="Symbol"/>
              </w:rPr>
              <w:lastRenderedPageBreak/>
              <w:t>Yes</w:t>
            </w:r>
          </w:p>
        </w:tc>
        <w:tc>
          <w:tcPr>
            <w:tcW w:w="1295" w:type="dxa"/>
          </w:tcPr>
          <w:p w14:paraId="5DFB24C0" w14:textId="77777777" w:rsidR="002A21AE" w:rsidRDefault="002A21AE">
            <w:pPr>
              <w:pStyle w:val="TableText"/>
            </w:pPr>
            <w:r>
              <w:t>No</w:t>
            </w:r>
          </w:p>
        </w:tc>
      </w:tr>
      <w:tr w:rsidR="002A21AE" w14:paraId="4D3BB8AB" w14:textId="77777777">
        <w:tc>
          <w:tcPr>
            <w:tcW w:w="1373" w:type="dxa"/>
            <w:vMerge w:val="restart"/>
          </w:tcPr>
          <w:p w14:paraId="3B6242B2" w14:textId="77777777" w:rsidR="002A21AE" w:rsidRDefault="002A21AE" w:rsidP="00CD34EB">
            <w:pPr>
              <w:pStyle w:val="TableText"/>
            </w:pPr>
            <w:r>
              <w:t>Patient Testing Changes</w:t>
            </w:r>
          </w:p>
        </w:tc>
        <w:tc>
          <w:tcPr>
            <w:tcW w:w="1979" w:type="dxa"/>
          </w:tcPr>
          <w:p w14:paraId="43A56B13" w14:textId="77777777" w:rsidR="002A21AE" w:rsidRDefault="002A21AE">
            <w:pPr>
              <w:pStyle w:val="TableText"/>
            </w:pPr>
            <w:r>
              <w:t>Invalidate Test Results</w:t>
            </w:r>
          </w:p>
        </w:tc>
        <w:tc>
          <w:tcPr>
            <w:tcW w:w="3470" w:type="dxa"/>
          </w:tcPr>
          <w:p w14:paraId="3C098B86" w14:textId="77777777" w:rsidR="004F2A5E" w:rsidRDefault="004F2A5E" w:rsidP="004F2A5E">
            <w:pPr>
              <w:pStyle w:val="TableText"/>
            </w:pPr>
            <w:r>
              <w:t>For each patient (name, ID):</w:t>
            </w:r>
          </w:p>
          <w:p w14:paraId="553A626E" w14:textId="77777777" w:rsidR="002A21AE" w:rsidRDefault="002A21AE" w:rsidP="00691DFF">
            <w:pPr>
              <w:pStyle w:val="TableTextBullet"/>
            </w:pPr>
            <w:r>
              <w:t>Ordered Test Original Results</w:t>
            </w:r>
            <w:r w:rsidR="00A047A4">
              <w:t xml:space="preserve">, </w:t>
            </w:r>
            <w:r w:rsidR="004F2A5E">
              <w:t>Invalidation Indicator</w:t>
            </w:r>
          </w:p>
          <w:p w14:paraId="3BDEEC21" w14:textId="77777777" w:rsidR="002A21AE" w:rsidRDefault="002A21AE">
            <w:pPr>
              <w:pStyle w:val="TableTextBullet"/>
            </w:pPr>
            <w:r>
              <w:t>Comment</w:t>
            </w:r>
          </w:p>
        </w:tc>
        <w:tc>
          <w:tcPr>
            <w:tcW w:w="1243" w:type="dxa"/>
          </w:tcPr>
          <w:p w14:paraId="7215837B" w14:textId="77777777" w:rsidR="002A21AE" w:rsidRDefault="002A21AE">
            <w:pPr>
              <w:pStyle w:val="TableText"/>
            </w:pPr>
            <w:r>
              <w:t>No</w:t>
            </w:r>
          </w:p>
        </w:tc>
        <w:tc>
          <w:tcPr>
            <w:tcW w:w="1295" w:type="dxa"/>
          </w:tcPr>
          <w:p w14:paraId="3E61E930" w14:textId="77777777" w:rsidR="002A21AE" w:rsidRDefault="002A21AE">
            <w:pPr>
              <w:pStyle w:val="TableText"/>
            </w:pPr>
            <w:r>
              <w:rPr>
                <w:rFonts w:eastAsia="Symbol"/>
              </w:rPr>
              <w:t>Yes</w:t>
            </w:r>
          </w:p>
        </w:tc>
      </w:tr>
      <w:tr w:rsidR="002A21AE" w14:paraId="4430E637" w14:textId="77777777">
        <w:tc>
          <w:tcPr>
            <w:tcW w:w="1373" w:type="dxa"/>
            <w:vMerge/>
          </w:tcPr>
          <w:p w14:paraId="072856FC" w14:textId="77777777" w:rsidR="002A21AE" w:rsidRDefault="002A21AE" w:rsidP="00CD34EB">
            <w:pPr>
              <w:pStyle w:val="TableText"/>
            </w:pPr>
          </w:p>
        </w:tc>
        <w:tc>
          <w:tcPr>
            <w:tcW w:w="1979" w:type="dxa"/>
          </w:tcPr>
          <w:p w14:paraId="319DB360" w14:textId="77777777" w:rsidR="002A21AE" w:rsidRDefault="002A21AE">
            <w:pPr>
              <w:pStyle w:val="TableText"/>
            </w:pPr>
            <w:r>
              <w:t>Justify ABO/Rh Change</w:t>
            </w:r>
          </w:p>
        </w:tc>
        <w:tc>
          <w:tcPr>
            <w:tcW w:w="3470" w:type="dxa"/>
          </w:tcPr>
          <w:p w14:paraId="09F73BB3" w14:textId="77777777" w:rsidR="00C46FA2" w:rsidRDefault="00C46FA2" w:rsidP="00C46FA2">
            <w:pPr>
              <w:pStyle w:val="TableText"/>
            </w:pPr>
            <w:r>
              <w:t>For each patient (name, ID):</w:t>
            </w:r>
          </w:p>
          <w:p w14:paraId="6CBA02FD" w14:textId="77777777" w:rsidR="002A21AE" w:rsidRDefault="002A21AE">
            <w:pPr>
              <w:pStyle w:val="TableTextBullet"/>
            </w:pPr>
            <w:r>
              <w:t>Patient ABO/Rh</w:t>
            </w:r>
          </w:p>
          <w:p w14:paraId="37119042" w14:textId="77777777" w:rsidR="002A21AE" w:rsidRDefault="002A21AE">
            <w:pPr>
              <w:pStyle w:val="TableTextBullet"/>
            </w:pPr>
            <w:r>
              <w:t>Comment</w:t>
            </w:r>
          </w:p>
        </w:tc>
        <w:tc>
          <w:tcPr>
            <w:tcW w:w="1243" w:type="dxa"/>
          </w:tcPr>
          <w:p w14:paraId="37D800A1" w14:textId="77777777" w:rsidR="002A21AE" w:rsidRDefault="002A21AE">
            <w:pPr>
              <w:pStyle w:val="TableText"/>
            </w:pPr>
            <w:r>
              <w:t>No</w:t>
            </w:r>
          </w:p>
        </w:tc>
        <w:tc>
          <w:tcPr>
            <w:tcW w:w="1295" w:type="dxa"/>
          </w:tcPr>
          <w:p w14:paraId="749CF35B" w14:textId="77777777" w:rsidR="002A21AE" w:rsidRDefault="002A21AE">
            <w:pPr>
              <w:pStyle w:val="TableText"/>
            </w:pPr>
            <w:r>
              <w:rPr>
                <w:rFonts w:eastAsia="Symbol"/>
              </w:rPr>
              <w:t>Yes</w:t>
            </w:r>
          </w:p>
        </w:tc>
      </w:tr>
      <w:tr w:rsidR="002A21AE" w14:paraId="3B3C2363" w14:textId="77777777">
        <w:tc>
          <w:tcPr>
            <w:tcW w:w="1373" w:type="dxa"/>
          </w:tcPr>
          <w:p w14:paraId="22FCA513" w14:textId="77777777" w:rsidR="002A21AE" w:rsidRDefault="002A21AE" w:rsidP="00CD34EB">
            <w:pPr>
              <w:pStyle w:val="TableText"/>
            </w:pPr>
            <w:r>
              <w:t>Patient Transfusion Requirements</w:t>
            </w:r>
          </w:p>
        </w:tc>
        <w:tc>
          <w:tcPr>
            <w:tcW w:w="1979" w:type="dxa"/>
          </w:tcPr>
          <w:p w14:paraId="51557C41" w14:textId="77777777" w:rsidR="0030405B" w:rsidRDefault="002A21AE">
            <w:pPr>
              <w:pStyle w:val="TableText"/>
            </w:pPr>
            <w:r>
              <w:t xml:space="preserve">Special Instructions &amp; Transfusion Requirements: </w:t>
            </w:r>
            <w:r w:rsidR="00526D93">
              <w:t>Enter a Transfusion Requirement</w:t>
            </w:r>
          </w:p>
          <w:p w14:paraId="578CA5D9" w14:textId="77777777" w:rsidR="0030405B" w:rsidRDefault="0030405B">
            <w:pPr>
              <w:pStyle w:val="TableText"/>
            </w:pPr>
            <w:r>
              <w:t>Patient Testing: Record Patient Test Results (new TR created from ABID data entry)</w:t>
            </w:r>
          </w:p>
        </w:tc>
        <w:tc>
          <w:tcPr>
            <w:tcW w:w="3470" w:type="dxa"/>
          </w:tcPr>
          <w:p w14:paraId="49C366AC" w14:textId="77777777" w:rsidR="0030405B" w:rsidRDefault="0030405B" w:rsidP="0030405B">
            <w:pPr>
              <w:pStyle w:val="TableText"/>
            </w:pPr>
            <w:r>
              <w:t>For each Transfusion Requirement category or Special Instruction:</w:t>
            </w:r>
          </w:p>
          <w:p w14:paraId="6846C373" w14:textId="77777777" w:rsidR="002A21AE" w:rsidRDefault="0030405B">
            <w:pPr>
              <w:pStyle w:val="TableTextBullet"/>
            </w:pPr>
            <w:r>
              <w:t>Status</w:t>
            </w:r>
            <w:r w:rsidR="002A21AE">
              <w:t xml:space="preserve"> Indicator</w:t>
            </w:r>
          </w:p>
          <w:p w14:paraId="7DC5135A" w14:textId="77777777" w:rsidR="002A21AE" w:rsidRDefault="002A21AE">
            <w:pPr>
              <w:pStyle w:val="TableTextBullet"/>
            </w:pPr>
            <w:r>
              <w:t>Comment</w:t>
            </w:r>
          </w:p>
        </w:tc>
        <w:tc>
          <w:tcPr>
            <w:tcW w:w="1243" w:type="dxa"/>
          </w:tcPr>
          <w:p w14:paraId="0C845836" w14:textId="77777777" w:rsidR="002A21AE" w:rsidRDefault="002A21AE">
            <w:pPr>
              <w:pStyle w:val="TableText"/>
            </w:pPr>
            <w:r>
              <w:t>No</w:t>
            </w:r>
          </w:p>
        </w:tc>
        <w:tc>
          <w:tcPr>
            <w:tcW w:w="1295" w:type="dxa"/>
          </w:tcPr>
          <w:p w14:paraId="4C38D47A" w14:textId="77777777" w:rsidR="002A21AE" w:rsidRDefault="002A21AE">
            <w:pPr>
              <w:pStyle w:val="TableText"/>
            </w:pPr>
            <w:r>
              <w:rPr>
                <w:rFonts w:eastAsia="Symbol"/>
              </w:rPr>
              <w:t>Yes</w:t>
            </w:r>
          </w:p>
        </w:tc>
      </w:tr>
      <w:tr w:rsidR="002A21AE" w14:paraId="31DBE5FE" w14:textId="77777777">
        <w:tc>
          <w:tcPr>
            <w:tcW w:w="1373" w:type="dxa"/>
          </w:tcPr>
          <w:p w14:paraId="0D26695B" w14:textId="77777777" w:rsidR="002A21AE" w:rsidRDefault="002A21AE" w:rsidP="00CD34EB">
            <w:pPr>
              <w:pStyle w:val="TableText"/>
            </w:pPr>
            <w:r>
              <w:t>Maintenance: Local Facilities</w:t>
            </w:r>
          </w:p>
        </w:tc>
        <w:tc>
          <w:tcPr>
            <w:tcW w:w="1979" w:type="dxa"/>
          </w:tcPr>
          <w:p w14:paraId="15A47A1D" w14:textId="77777777" w:rsidR="002A21AE" w:rsidRDefault="002A21AE" w:rsidP="0030405B">
            <w:pPr>
              <w:pStyle w:val="TableText"/>
            </w:pPr>
            <w:r>
              <w:t>Local Facilities</w:t>
            </w:r>
          </w:p>
        </w:tc>
        <w:tc>
          <w:tcPr>
            <w:tcW w:w="3470" w:type="dxa"/>
          </w:tcPr>
          <w:p w14:paraId="61ED6AE6" w14:textId="77777777" w:rsidR="0030405B" w:rsidRDefault="0030405B" w:rsidP="0030405B">
            <w:pPr>
              <w:pStyle w:val="TableText"/>
            </w:pPr>
            <w:r>
              <w:t xml:space="preserve">For each </w:t>
            </w:r>
            <w:r w:rsidR="00B059A9">
              <w:t>f</w:t>
            </w:r>
            <w:r>
              <w:t xml:space="preserve">acility </w:t>
            </w:r>
            <w:r w:rsidR="00B059A9">
              <w:t>n</w:t>
            </w:r>
            <w:r>
              <w:t>ame and FDA Registration Number:</w:t>
            </w:r>
          </w:p>
          <w:p w14:paraId="6C2AD484" w14:textId="77777777" w:rsidR="002A21AE" w:rsidRDefault="002A21AE">
            <w:pPr>
              <w:pStyle w:val="TableTextBullet"/>
            </w:pPr>
            <w:r>
              <w:t>Eye-readable prefix</w:t>
            </w:r>
          </w:p>
          <w:p w14:paraId="4227B96C" w14:textId="77777777" w:rsidR="0030405B" w:rsidRDefault="0030405B">
            <w:pPr>
              <w:pStyle w:val="TableTextBullet"/>
            </w:pPr>
            <w:r>
              <w:t>ICCBBA Registration Number</w:t>
            </w:r>
          </w:p>
          <w:p w14:paraId="09014C9D" w14:textId="77777777" w:rsidR="002A21AE" w:rsidRDefault="002A21AE">
            <w:pPr>
              <w:pStyle w:val="TableTextBullet"/>
            </w:pPr>
            <w:r>
              <w:t xml:space="preserve">Alpha </w:t>
            </w:r>
            <w:r w:rsidR="00765991">
              <w:t>C</w:t>
            </w:r>
            <w:r>
              <w:t>haracters</w:t>
            </w:r>
            <w:r w:rsidR="0030405B">
              <w:t xml:space="preserve"> Indicator</w:t>
            </w:r>
          </w:p>
          <w:p w14:paraId="11E4D77D" w14:textId="77777777" w:rsidR="002A21AE" w:rsidRDefault="002A21AE">
            <w:pPr>
              <w:pStyle w:val="TableTextBullet"/>
            </w:pPr>
            <w:r>
              <w:t>Active</w:t>
            </w:r>
            <w:r w:rsidR="0030405B">
              <w:t xml:space="preserve"> Facility</w:t>
            </w:r>
            <w:r>
              <w:t xml:space="preserve"> Indicator</w:t>
            </w:r>
          </w:p>
          <w:p w14:paraId="132B8F95" w14:textId="77777777" w:rsidR="002A21AE" w:rsidRDefault="002A21AE">
            <w:pPr>
              <w:pStyle w:val="TableTextBullet"/>
            </w:pPr>
            <w:r>
              <w:t xml:space="preserve">Collection Facility Indicator </w:t>
            </w:r>
          </w:p>
          <w:p w14:paraId="09301150" w14:textId="77777777" w:rsidR="002A21AE" w:rsidRDefault="002A21AE">
            <w:pPr>
              <w:pStyle w:val="TableTextBullet"/>
            </w:pPr>
            <w:r>
              <w:t xml:space="preserve">Testing Facility Indicator </w:t>
            </w:r>
          </w:p>
          <w:p w14:paraId="1414D6CC" w14:textId="77777777" w:rsidR="002B6A72" w:rsidRDefault="002A21AE">
            <w:pPr>
              <w:pStyle w:val="TableTextBullet"/>
            </w:pPr>
            <w:r>
              <w:t>Address Line</w:t>
            </w:r>
            <w:r w:rsidR="002B6A72">
              <w:t xml:space="preserve"> 1</w:t>
            </w:r>
          </w:p>
          <w:p w14:paraId="7E811471" w14:textId="77777777" w:rsidR="002B6A72" w:rsidRDefault="002B6A72">
            <w:pPr>
              <w:pStyle w:val="TableTextBullet"/>
            </w:pPr>
            <w:r>
              <w:t>Address Line2</w:t>
            </w:r>
          </w:p>
          <w:p w14:paraId="38FA2611" w14:textId="77777777" w:rsidR="002A21AE" w:rsidRDefault="002B6A72">
            <w:pPr>
              <w:pStyle w:val="TableTextBullet"/>
            </w:pPr>
            <w:r>
              <w:t>Address Line 3</w:t>
            </w:r>
          </w:p>
          <w:p w14:paraId="6F932D1E" w14:textId="77777777" w:rsidR="002A21AE" w:rsidRDefault="002A21AE">
            <w:pPr>
              <w:pStyle w:val="TableTextBullet"/>
            </w:pPr>
            <w:r>
              <w:t>City</w:t>
            </w:r>
          </w:p>
          <w:p w14:paraId="7C36DB05" w14:textId="77777777" w:rsidR="002A21AE" w:rsidRDefault="002A21AE">
            <w:pPr>
              <w:pStyle w:val="TableTextBullet"/>
            </w:pPr>
            <w:r>
              <w:t>State</w:t>
            </w:r>
          </w:p>
          <w:p w14:paraId="5F7D4A39" w14:textId="77777777" w:rsidR="002A21AE" w:rsidRDefault="002A21AE">
            <w:pPr>
              <w:pStyle w:val="TableTextBullet"/>
            </w:pPr>
            <w:r>
              <w:t>Zip</w:t>
            </w:r>
          </w:p>
          <w:p w14:paraId="64954CD7" w14:textId="77777777" w:rsidR="0030405B" w:rsidRDefault="0030405B">
            <w:pPr>
              <w:pStyle w:val="TableTextBullet"/>
            </w:pPr>
            <w:r>
              <w:t>Phone</w:t>
            </w:r>
          </w:p>
          <w:p w14:paraId="4EB1AFAB" w14:textId="77777777" w:rsidR="0030405B" w:rsidRDefault="0030405B">
            <w:pPr>
              <w:pStyle w:val="TableTextBullet"/>
            </w:pPr>
            <w:r>
              <w:t>Fax</w:t>
            </w:r>
          </w:p>
        </w:tc>
        <w:tc>
          <w:tcPr>
            <w:tcW w:w="1243" w:type="dxa"/>
          </w:tcPr>
          <w:p w14:paraId="11AD0B9D" w14:textId="77777777" w:rsidR="002A21AE" w:rsidRDefault="002A21AE">
            <w:pPr>
              <w:pStyle w:val="TableText"/>
            </w:pPr>
            <w:r>
              <w:t>No</w:t>
            </w:r>
          </w:p>
        </w:tc>
        <w:tc>
          <w:tcPr>
            <w:tcW w:w="1295" w:type="dxa"/>
          </w:tcPr>
          <w:p w14:paraId="36A34D5E" w14:textId="77777777" w:rsidR="002A21AE" w:rsidRDefault="002A21AE">
            <w:pPr>
              <w:pStyle w:val="TableText"/>
            </w:pPr>
            <w:r>
              <w:t>No</w:t>
            </w:r>
          </w:p>
        </w:tc>
      </w:tr>
      <w:tr w:rsidR="002A21AE" w14:paraId="0E5E8262" w14:textId="77777777">
        <w:tc>
          <w:tcPr>
            <w:tcW w:w="1373" w:type="dxa"/>
          </w:tcPr>
          <w:p w14:paraId="5C1308C1" w14:textId="77777777" w:rsidR="002A21AE" w:rsidRDefault="002A21AE" w:rsidP="00CD34EB">
            <w:pPr>
              <w:pStyle w:val="TableText"/>
            </w:pPr>
            <w:r>
              <w:t>Maintenance: Blood Product</w:t>
            </w:r>
          </w:p>
        </w:tc>
        <w:tc>
          <w:tcPr>
            <w:tcW w:w="1979" w:type="dxa"/>
          </w:tcPr>
          <w:p w14:paraId="6143B8E4" w14:textId="77777777" w:rsidR="002A21AE" w:rsidRDefault="002A21AE">
            <w:pPr>
              <w:pStyle w:val="TableText"/>
            </w:pPr>
            <w:r>
              <w:t>Blood Products</w:t>
            </w:r>
          </w:p>
        </w:tc>
        <w:tc>
          <w:tcPr>
            <w:tcW w:w="3470" w:type="dxa"/>
          </w:tcPr>
          <w:p w14:paraId="7E18E86D" w14:textId="77777777" w:rsidR="007F2C58" w:rsidRDefault="007F2C58" w:rsidP="007F2C58">
            <w:pPr>
              <w:pStyle w:val="TableText"/>
            </w:pPr>
            <w:r>
              <w:t xml:space="preserve">For each </w:t>
            </w:r>
            <w:r w:rsidR="00B059A9">
              <w:t>blood p</w:t>
            </w:r>
            <w:r>
              <w:t>roduct (name, code):</w:t>
            </w:r>
          </w:p>
          <w:p w14:paraId="1C99A97E" w14:textId="77777777" w:rsidR="007F2C58" w:rsidRDefault="007F2C58" w:rsidP="007F2C58">
            <w:pPr>
              <w:pStyle w:val="TableTextBullet"/>
            </w:pPr>
            <w:r>
              <w:t>HCPCS Code and Text</w:t>
            </w:r>
          </w:p>
          <w:p w14:paraId="4E07FF0B" w14:textId="77777777" w:rsidR="007F2C58" w:rsidRDefault="007F2C58" w:rsidP="007F2C58">
            <w:pPr>
              <w:pStyle w:val="TableText"/>
            </w:pPr>
            <w:r>
              <w:t>For each shipper of this product code (name, ID):</w:t>
            </w:r>
          </w:p>
          <w:p w14:paraId="23D032A6" w14:textId="77777777" w:rsidR="002A21AE" w:rsidRDefault="007F2C58">
            <w:pPr>
              <w:pStyle w:val="TableTextBullet"/>
            </w:pPr>
            <w:r>
              <w:t>Cost</w:t>
            </w:r>
          </w:p>
          <w:p w14:paraId="0533C221" w14:textId="77777777" w:rsidR="002A21AE" w:rsidRDefault="002A21AE">
            <w:pPr>
              <w:pStyle w:val="TableTextBullet"/>
            </w:pPr>
            <w:r>
              <w:t xml:space="preserve">Return Credit </w:t>
            </w:r>
            <w:r w:rsidR="007F2C58">
              <w:t>Percentage</w:t>
            </w:r>
          </w:p>
          <w:p w14:paraId="2DAB2BD4" w14:textId="77777777" w:rsidR="007F2C58" w:rsidRDefault="007F2C58">
            <w:pPr>
              <w:pStyle w:val="TableTextBullet"/>
            </w:pPr>
            <w:r>
              <w:t>Status Indicator</w:t>
            </w:r>
          </w:p>
        </w:tc>
        <w:tc>
          <w:tcPr>
            <w:tcW w:w="1243" w:type="dxa"/>
          </w:tcPr>
          <w:p w14:paraId="1ABD3491" w14:textId="77777777" w:rsidR="002A21AE" w:rsidRDefault="002A21AE">
            <w:pPr>
              <w:pStyle w:val="TableText"/>
            </w:pPr>
            <w:r>
              <w:t>No</w:t>
            </w:r>
          </w:p>
        </w:tc>
        <w:tc>
          <w:tcPr>
            <w:tcW w:w="1295" w:type="dxa"/>
          </w:tcPr>
          <w:p w14:paraId="67965C44" w14:textId="77777777" w:rsidR="002A21AE" w:rsidRDefault="002A21AE">
            <w:pPr>
              <w:pStyle w:val="TableText"/>
            </w:pPr>
            <w:r>
              <w:t>No</w:t>
            </w:r>
          </w:p>
        </w:tc>
      </w:tr>
      <w:tr w:rsidR="002A21AE" w14:paraId="70BC2EEF" w14:textId="77777777">
        <w:tc>
          <w:tcPr>
            <w:tcW w:w="1373" w:type="dxa"/>
          </w:tcPr>
          <w:p w14:paraId="5ABCAFBC" w14:textId="77777777" w:rsidR="002A21AE" w:rsidRDefault="002A21AE" w:rsidP="00CD34EB">
            <w:pPr>
              <w:pStyle w:val="TableText"/>
            </w:pPr>
            <w:r>
              <w:t>Maintenance: Division Configuration</w:t>
            </w:r>
          </w:p>
        </w:tc>
        <w:tc>
          <w:tcPr>
            <w:tcW w:w="1979" w:type="dxa"/>
          </w:tcPr>
          <w:p w14:paraId="13AE99BD" w14:textId="77777777" w:rsidR="002A21AE" w:rsidRDefault="00D567C9">
            <w:pPr>
              <w:pStyle w:val="TableText"/>
            </w:pPr>
            <w:r>
              <w:t>Configure Division</w:t>
            </w:r>
          </w:p>
        </w:tc>
        <w:tc>
          <w:tcPr>
            <w:tcW w:w="3470" w:type="dxa"/>
          </w:tcPr>
          <w:p w14:paraId="2C4CA45B" w14:textId="77777777" w:rsidR="005773E9" w:rsidRDefault="005773E9" w:rsidP="005773E9">
            <w:pPr>
              <w:pStyle w:val="TableText"/>
            </w:pPr>
            <w:r>
              <w:t>For each Division (Name and Code):</w:t>
            </w:r>
          </w:p>
          <w:p w14:paraId="1349EF7C" w14:textId="77777777" w:rsidR="005773E9" w:rsidRDefault="005773E9" w:rsidP="000409B1">
            <w:pPr>
              <w:pStyle w:val="TableText"/>
              <w:numPr>
                <w:ilvl w:val="0"/>
                <w:numId w:val="33"/>
              </w:numPr>
            </w:pPr>
            <w:r>
              <w:t>Full Service, Transfusion Only Indicator</w:t>
            </w:r>
          </w:p>
          <w:p w14:paraId="167512E9" w14:textId="77777777" w:rsidR="005773E9" w:rsidRDefault="005773E9" w:rsidP="000409B1">
            <w:pPr>
              <w:pStyle w:val="TableText"/>
              <w:numPr>
                <w:ilvl w:val="0"/>
                <w:numId w:val="33"/>
              </w:numPr>
            </w:pPr>
            <w:r>
              <w:t>Facility Name</w:t>
            </w:r>
          </w:p>
          <w:p w14:paraId="2463243A" w14:textId="77777777" w:rsidR="005773E9" w:rsidRDefault="005773E9" w:rsidP="000409B1">
            <w:pPr>
              <w:pStyle w:val="TableText"/>
              <w:numPr>
                <w:ilvl w:val="0"/>
                <w:numId w:val="33"/>
              </w:numPr>
            </w:pPr>
            <w:r>
              <w:t xml:space="preserve">Active Status </w:t>
            </w:r>
          </w:p>
          <w:p w14:paraId="0A7185A9" w14:textId="77777777" w:rsidR="005773E9" w:rsidRDefault="00691DFF" w:rsidP="000409B1">
            <w:pPr>
              <w:pStyle w:val="TableText"/>
              <w:numPr>
                <w:ilvl w:val="0"/>
                <w:numId w:val="33"/>
              </w:numPr>
            </w:pPr>
            <w:r>
              <w:t>Full-Face-</w:t>
            </w:r>
            <w:r w:rsidR="005773E9">
              <w:t>Label Printer Status</w:t>
            </w:r>
          </w:p>
          <w:p w14:paraId="40216DE6" w14:textId="77777777" w:rsidR="005773E9" w:rsidRDefault="00691DFF" w:rsidP="000409B1">
            <w:pPr>
              <w:pStyle w:val="TableText"/>
              <w:numPr>
                <w:ilvl w:val="0"/>
                <w:numId w:val="33"/>
              </w:numPr>
            </w:pPr>
            <w:r>
              <w:t>Full-Face-</w:t>
            </w:r>
            <w:r w:rsidR="005773E9">
              <w:t>Label Printer Port Number</w:t>
            </w:r>
          </w:p>
          <w:p w14:paraId="5D81F1A9" w14:textId="77777777" w:rsidR="005773E9" w:rsidRDefault="00691DFF" w:rsidP="000409B1">
            <w:pPr>
              <w:pStyle w:val="TableText"/>
              <w:numPr>
                <w:ilvl w:val="0"/>
                <w:numId w:val="33"/>
              </w:numPr>
            </w:pPr>
            <w:r>
              <w:t>Full-Face-</w:t>
            </w:r>
            <w:r w:rsidR="005773E9">
              <w:t>Label Printer IP address</w:t>
            </w:r>
          </w:p>
          <w:p w14:paraId="5D20C9D1" w14:textId="77777777" w:rsidR="005773E9" w:rsidRDefault="00691DFF" w:rsidP="000409B1">
            <w:pPr>
              <w:pStyle w:val="TableText"/>
              <w:numPr>
                <w:ilvl w:val="0"/>
                <w:numId w:val="33"/>
              </w:numPr>
            </w:pPr>
            <w:r>
              <w:t>Full-Face-</w:t>
            </w:r>
            <w:r w:rsidR="005773E9">
              <w:t xml:space="preserve">Label Printer COM </w:t>
            </w:r>
          </w:p>
          <w:p w14:paraId="4DEB4692" w14:textId="77777777" w:rsidR="005773E9" w:rsidRDefault="005773E9" w:rsidP="000409B1">
            <w:pPr>
              <w:pStyle w:val="TableText"/>
              <w:numPr>
                <w:ilvl w:val="0"/>
                <w:numId w:val="33"/>
              </w:numPr>
            </w:pPr>
            <w:r>
              <w:t>Report Printer Name</w:t>
            </w:r>
            <w:r w:rsidR="006D54AE">
              <w:t xml:space="preserve"> </w:t>
            </w:r>
            <w:r w:rsidR="00892C58" w:rsidRPr="00892C58">
              <w:rPr>
                <w:vanish/>
              </w:rPr>
              <w:t>DR 2,882</w:t>
            </w:r>
          </w:p>
          <w:p w14:paraId="55FF1B3D" w14:textId="77777777" w:rsidR="005773E9" w:rsidRDefault="005773E9" w:rsidP="000409B1">
            <w:pPr>
              <w:pStyle w:val="TableText"/>
              <w:numPr>
                <w:ilvl w:val="0"/>
                <w:numId w:val="33"/>
              </w:numPr>
            </w:pPr>
            <w:r>
              <w:lastRenderedPageBreak/>
              <w:t>Accession Area Name</w:t>
            </w:r>
          </w:p>
          <w:p w14:paraId="36C4E8F3" w14:textId="77777777" w:rsidR="005773E9" w:rsidRDefault="005773E9" w:rsidP="000409B1">
            <w:pPr>
              <w:pStyle w:val="TableText"/>
              <w:numPr>
                <w:ilvl w:val="0"/>
                <w:numId w:val="34"/>
              </w:numPr>
              <w:ind w:left="0" w:firstLine="0"/>
            </w:pPr>
            <w:r>
              <w:t>Lock Inactivity Timeout Setting</w:t>
            </w:r>
          </w:p>
          <w:p w14:paraId="3B297A6F" w14:textId="77777777" w:rsidR="005773E9" w:rsidRDefault="005773E9" w:rsidP="000409B1">
            <w:pPr>
              <w:pStyle w:val="TableText"/>
              <w:numPr>
                <w:ilvl w:val="0"/>
                <w:numId w:val="34"/>
              </w:numPr>
              <w:ind w:left="0" w:firstLine="0"/>
            </w:pPr>
            <w:r>
              <w:t>Time Zone Setting</w:t>
            </w:r>
          </w:p>
          <w:p w14:paraId="414ACB17" w14:textId="77777777" w:rsidR="005773E9" w:rsidRDefault="005773E9" w:rsidP="000409B1">
            <w:pPr>
              <w:pStyle w:val="TableText"/>
              <w:numPr>
                <w:ilvl w:val="0"/>
                <w:numId w:val="35"/>
              </w:numPr>
            </w:pPr>
            <w:r>
              <w:t>Daylight savings time Setting</w:t>
            </w:r>
          </w:p>
          <w:p w14:paraId="6D5E183B" w14:textId="77777777" w:rsidR="005773E9" w:rsidRPr="00756ABF" w:rsidRDefault="005773E9" w:rsidP="000409B1">
            <w:pPr>
              <w:pStyle w:val="TableText"/>
              <w:numPr>
                <w:ilvl w:val="0"/>
                <w:numId w:val="35"/>
              </w:numPr>
              <w:rPr>
                <w:rFonts w:cs="Arial"/>
              </w:rPr>
            </w:pPr>
            <w:r w:rsidRPr="00756ABF">
              <w:rPr>
                <w:rFonts w:cs="Arial"/>
              </w:rPr>
              <w:t>Daylight savings time start date</w:t>
            </w:r>
          </w:p>
          <w:p w14:paraId="4DD47855" w14:textId="77777777" w:rsidR="005773E9" w:rsidRPr="00756ABF" w:rsidRDefault="005773E9" w:rsidP="000409B1">
            <w:pPr>
              <w:pStyle w:val="TableText"/>
              <w:numPr>
                <w:ilvl w:val="0"/>
                <w:numId w:val="35"/>
              </w:numPr>
              <w:rPr>
                <w:rFonts w:cs="Arial"/>
              </w:rPr>
            </w:pPr>
            <w:r w:rsidRPr="00756ABF">
              <w:rPr>
                <w:rFonts w:cs="Arial"/>
              </w:rPr>
              <w:t>Daylight savings time end date</w:t>
            </w:r>
          </w:p>
          <w:p w14:paraId="6B193A1B" w14:textId="77777777" w:rsidR="005773E9" w:rsidRPr="00756ABF" w:rsidRDefault="005773E9" w:rsidP="005773E9">
            <w:pPr>
              <w:rPr>
                <w:rFonts w:ascii="Arial" w:hAnsi="Arial" w:cs="Arial"/>
                <w:sz w:val="18"/>
                <w:szCs w:val="18"/>
              </w:rPr>
            </w:pPr>
            <w:r w:rsidRPr="00756ABF">
              <w:rPr>
                <w:rFonts w:ascii="Arial" w:hAnsi="Arial" w:cs="Arial"/>
                <w:sz w:val="18"/>
                <w:szCs w:val="18"/>
              </w:rPr>
              <w:t>For each Associated Institution (Division Code)</w:t>
            </w:r>
          </w:p>
          <w:p w14:paraId="41D706DC" w14:textId="77777777" w:rsidR="005773E9" w:rsidRDefault="005773E9" w:rsidP="000409B1">
            <w:pPr>
              <w:pStyle w:val="TableText"/>
              <w:numPr>
                <w:ilvl w:val="0"/>
                <w:numId w:val="33"/>
              </w:numPr>
            </w:pPr>
            <w:r w:rsidRPr="00892C58">
              <w:t>Status indicator</w:t>
            </w:r>
            <w:r w:rsidR="006D54AE">
              <w:t xml:space="preserve"> </w:t>
            </w:r>
            <w:r w:rsidR="006D54AE" w:rsidRPr="006D54AE">
              <w:rPr>
                <w:vanish/>
              </w:rPr>
              <w:t>DR 2,723</w:t>
            </w:r>
          </w:p>
        </w:tc>
        <w:tc>
          <w:tcPr>
            <w:tcW w:w="1243" w:type="dxa"/>
          </w:tcPr>
          <w:p w14:paraId="712EF2DF" w14:textId="77777777" w:rsidR="002A21AE" w:rsidRDefault="002A21AE">
            <w:pPr>
              <w:pStyle w:val="TableText"/>
            </w:pPr>
            <w:r>
              <w:lastRenderedPageBreak/>
              <w:t>No</w:t>
            </w:r>
          </w:p>
        </w:tc>
        <w:tc>
          <w:tcPr>
            <w:tcW w:w="1295" w:type="dxa"/>
          </w:tcPr>
          <w:p w14:paraId="312843C2" w14:textId="77777777" w:rsidR="002A21AE" w:rsidRDefault="002A21AE">
            <w:pPr>
              <w:pStyle w:val="TableText"/>
            </w:pPr>
            <w:r>
              <w:t>No</w:t>
            </w:r>
          </w:p>
        </w:tc>
      </w:tr>
      <w:tr w:rsidR="007F2C58" w14:paraId="7D28710F" w14:textId="77777777">
        <w:tc>
          <w:tcPr>
            <w:tcW w:w="1373" w:type="dxa"/>
          </w:tcPr>
          <w:p w14:paraId="7E616F45" w14:textId="77777777" w:rsidR="007F2C58" w:rsidRDefault="007F2C58" w:rsidP="00CD34EB">
            <w:pPr>
              <w:pStyle w:val="TableText"/>
            </w:pPr>
            <w:r>
              <w:t>Maintenance: Division Configuration</w:t>
            </w:r>
          </w:p>
        </w:tc>
        <w:tc>
          <w:tcPr>
            <w:tcW w:w="1979" w:type="dxa"/>
          </w:tcPr>
          <w:p w14:paraId="7AF6B25C" w14:textId="77777777" w:rsidR="007F2C58" w:rsidRDefault="007F2C58">
            <w:pPr>
              <w:pStyle w:val="TableText"/>
            </w:pPr>
            <w:r>
              <w:t>Configure Division</w:t>
            </w:r>
          </w:p>
        </w:tc>
        <w:tc>
          <w:tcPr>
            <w:tcW w:w="3470" w:type="dxa"/>
          </w:tcPr>
          <w:p w14:paraId="65255CD8" w14:textId="77777777" w:rsidR="007F2C58" w:rsidRDefault="007F2C58" w:rsidP="007F2C58">
            <w:pPr>
              <w:pStyle w:val="TableText"/>
            </w:pPr>
            <w:r>
              <w:t xml:space="preserve">For each </w:t>
            </w:r>
            <w:r w:rsidR="00067C65">
              <w:t>d</w:t>
            </w:r>
            <w:r>
              <w:t>ivision (name, code):</w:t>
            </w:r>
          </w:p>
          <w:p w14:paraId="6567BA2F" w14:textId="77777777" w:rsidR="007F2C58" w:rsidRDefault="007F2C58" w:rsidP="007F2C58">
            <w:pPr>
              <w:pStyle w:val="TableTextBullet"/>
            </w:pPr>
            <w:r>
              <w:t>Electronic Crossmatch Enabled Indicator</w:t>
            </w:r>
          </w:p>
          <w:p w14:paraId="575E969B" w14:textId="77777777" w:rsidR="007F2C58" w:rsidRDefault="007F2C58" w:rsidP="007F2C58">
            <w:pPr>
              <w:pStyle w:val="TableTextBullet"/>
            </w:pPr>
            <w:r>
              <w:t>ICCBBA Registration Number</w:t>
            </w:r>
          </w:p>
          <w:p w14:paraId="62C4A9F9" w14:textId="77777777" w:rsidR="007F2C58" w:rsidRDefault="007F2C58" w:rsidP="007F2C58">
            <w:pPr>
              <w:pStyle w:val="TableTextBullet"/>
            </w:pPr>
            <w:r>
              <w:t>Maximum Specimen Expiration Days</w:t>
            </w:r>
          </w:p>
          <w:p w14:paraId="2DB9A45A" w14:textId="77777777" w:rsidR="007F2C58" w:rsidRDefault="007F2C58" w:rsidP="009C0ACB">
            <w:pPr>
              <w:pStyle w:val="TableTextBullet"/>
            </w:pPr>
            <w:r>
              <w:t>Blood Bank MD</w:t>
            </w:r>
          </w:p>
        </w:tc>
        <w:tc>
          <w:tcPr>
            <w:tcW w:w="1243" w:type="dxa"/>
          </w:tcPr>
          <w:p w14:paraId="45E2E3F1" w14:textId="77777777" w:rsidR="007F2C58" w:rsidRDefault="007F2C58">
            <w:pPr>
              <w:pStyle w:val="TableText"/>
            </w:pPr>
            <w:r>
              <w:t>No</w:t>
            </w:r>
          </w:p>
        </w:tc>
        <w:tc>
          <w:tcPr>
            <w:tcW w:w="1295" w:type="dxa"/>
          </w:tcPr>
          <w:p w14:paraId="2C4F66D3" w14:textId="77777777" w:rsidR="007F2C58" w:rsidRDefault="007F2C58">
            <w:pPr>
              <w:pStyle w:val="TableText"/>
            </w:pPr>
            <w:r>
              <w:t>No</w:t>
            </w:r>
          </w:p>
        </w:tc>
      </w:tr>
      <w:tr w:rsidR="00C64288" w14:paraId="3140E7BC" w14:textId="77777777">
        <w:tc>
          <w:tcPr>
            <w:tcW w:w="1373" w:type="dxa"/>
          </w:tcPr>
          <w:p w14:paraId="1386466F" w14:textId="77777777" w:rsidR="00C64288" w:rsidRDefault="00C64288" w:rsidP="00CD34EB">
            <w:pPr>
              <w:pStyle w:val="TableText"/>
            </w:pPr>
            <w:r>
              <w:t>Maintenance: Division Configuration</w:t>
            </w:r>
          </w:p>
        </w:tc>
        <w:tc>
          <w:tcPr>
            <w:tcW w:w="1979" w:type="dxa"/>
          </w:tcPr>
          <w:p w14:paraId="2148DF13" w14:textId="77777777" w:rsidR="00C64288" w:rsidRDefault="00C64288" w:rsidP="000B284D">
            <w:pPr>
              <w:pStyle w:val="TableText"/>
            </w:pPr>
            <w:r>
              <w:t>Edit Invoice Text</w:t>
            </w:r>
          </w:p>
        </w:tc>
        <w:tc>
          <w:tcPr>
            <w:tcW w:w="3470" w:type="dxa"/>
          </w:tcPr>
          <w:p w14:paraId="03A2B213" w14:textId="77777777" w:rsidR="00C64288" w:rsidRDefault="00C64288" w:rsidP="000B284D">
            <w:pPr>
              <w:pStyle w:val="TableText"/>
            </w:pPr>
            <w:r>
              <w:t xml:space="preserve">For each </w:t>
            </w:r>
            <w:r w:rsidR="002713C2">
              <w:t>d</w:t>
            </w:r>
            <w:r>
              <w:t>ivision (name, code):</w:t>
            </w:r>
          </w:p>
          <w:p w14:paraId="13963209" w14:textId="77777777" w:rsidR="00C64288" w:rsidRDefault="00C64288" w:rsidP="000B284D">
            <w:pPr>
              <w:pStyle w:val="TableTextBullet"/>
            </w:pPr>
            <w:r>
              <w:t>Invoice Text</w:t>
            </w:r>
          </w:p>
        </w:tc>
        <w:tc>
          <w:tcPr>
            <w:tcW w:w="1243" w:type="dxa"/>
          </w:tcPr>
          <w:p w14:paraId="040A406A" w14:textId="77777777" w:rsidR="00C64288" w:rsidRDefault="00C64288" w:rsidP="000B284D">
            <w:pPr>
              <w:pStyle w:val="TableText"/>
            </w:pPr>
            <w:r>
              <w:t>No</w:t>
            </w:r>
          </w:p>
        </w:tc>
        <w:tc>
          <w:tcPr>
            <w:tcW w:w="1295" w:type="dxa"/>
          </w:tcPr>
          <w:p w14:paraId="1855DE61" w14:textId="77777777" w:rsidR="00C64288" w:rsidRDefault="00C64288" w:rsidP="000B284D">
            <w:pPr>
              <w:pStyle w:val="TableText"/>
            </w:pPr>
            <w:r>
              <w:t>No</w:t>
            </w:r>
          </w:p>
        </w:tc>
      </w:tr>
      <w:tr w:rsidR="009C0ACB" w14:paraId="08B3BD57" w14:textId="77777777">
        <w:tc>
          <w:tcPr>
            <w:tcW w:w="1373" w:type="dxa"/>
          </w:tcPr>
          <w:p w14:paraId="2206EF7D" w14:textId="77777777" w:rsidR="009C0ACB" w:rsidRDefault="009C0ACB" w:rsidP="005C03DD">
            <w:pPr>
              <w:pStyle w:val="TableText"/>
            </w:pPr>
            <w:r>
              <w:t>Maintenance: Division Configuration</w:t>
            </w:r>
          </w:p>
        </w:tc>
        <w:tc>
          <w:tcPr>
            <w:tcW w:w="1979" w:type="dxa"/>
          </w:tcPr>
          <w:p w14:paraId="7F1E603A" w14:textId="77777777" w:rsidR="009C0ACB" w:rsidRDefault="009C0ACB" w:rsidP="005C03DD">
            <w:pPr>
              <w:pStyle w:val="TableText"/>
            </w:pPr>
            <w:r>
              <w:t>Configure Testing</w:t>
            </w:r>
          </w:p>
        </w:tc>
        <w:tc>
          <w:tcPr>
            <w:tcW w:w="3470" w:type="dxa"/>
          </w:tcPr>
          <w:p w14:paraId="4B5E9EC2" w14:textId="77777777" w:rsidR="009C0ACB" w:rsidRDefault="009C0ACB" w:rsidP="005C03DD">
            <w:pPr>
              <w:pStyle w:val="TableText"/>
            </w:pPr>
            <w:r>
              <w:t>For each division (name, code):</w:t>
            </w:r>
          </w:p>
          <w:p w14:paraId="07FD64E7" w14:textId="77777777" w:rsidR="009C0ACB" w:rsidRDefault="009C0ACB" w:rsidP="005C03DD">
            <w:pPr>
              <w:pStyle w:val="TableTextBullet"/>
            </w:pPr>
            <w:r>
              <w:t>Antibody Screen Indicator</w:t>
            </w:r>
          </w:p>
          <w:p w14:paraId="1F149F07" w14:textId="77777777" w:rsidR="006F4516" w:rsidRDefault="006F4516" w:rsidP="005C03DD">
            <w:pPr>
              <w:pStyle w:val="TableTextBullet"/>
            </w:pPr>
            <w:r>
              <w:t>ABS and XM Testing Phases</w:t>
            </w:r>
          </w:p>
        </w:tc>
        <w:tc>
          <w:tcPr>
            <w:tcW w:w="1243" w:type="dxa"/>
          </w:tcPr>
          <w:p w14:paraId="7525905A" w14:textId="77777777" w:rsidR="009C0ACB" w:rsidRDefault="009C0ACB" w:rsidP="005C03DD">
            <w:pPr>
              <w:pStyle w:val="TableText"/>
            </w:pPr>
            <w:r>
              <w:t>No</w:t>
            </w:r>
          </w:p>
        </w:tc>
        <w:tc>
          <w:tcPr>
            <w:tcW w:w="1295" w:type="dxa"/>
          </w:tcPr>
          <w:p w14:paraId="3D1FD178" w14:textId="77777777" w:rsidR="009C0ACB" w:rsidRDefault="009C0ACB" w:rsidP="005C03DD">
            <w:pPr>
              <w:pStyle w:val="TableText"/>
            </w:pPr>
            <w:r>
              <w:t>No</w:t>
            </w:r>
          </w:p>
        </w:tc>
      </w:tr>
      <w:tr w:rsidR="00EE6F41" w14:paraId="1EA64A43" w14:textId="77777777">
        <w:tc>
          <w:tcPr>
            <w:tcW w:w="1373" w:type="dxa"/>
          </w:tcPr>
          <w:p w14:paraId="727376CA" w14:textId="77777777" w:rsidR="00EE6F41" w:rsidRDefault="00EE6F41" w:rsidP="00CD34EB">
            <w:pPr>
              <w:pStyle w:val="TableText"/>
            </w:pPr>
            <w:r>
              <w:t>Maintenance: Division Configuration</w:t>
            </w:r>
          </w:p>
        </w:tc>
        <w:tc>
          <w:tcPr>
            <w:tcW w:w="1979" w:type="dxa"/>
          </w:tcPr>
          <w:p w14:paraId="52A10876" w14:textId="77777777" w:rsidR="00EE6F41" w:rsidRDefault="009C0ACB" w:rsidP="00EE6F41">
            <w:pPr>
              <w:pStyle w:val="TableText"/>
            </w:pPr>
            <w:r>
              <w:t>Order Alerts</w:t>
            </w:r>
          </w:p>
        </w:tc>
        <w:tc>
          <w:tcPr>
            <w:tcW w:w="3470" w:type="dxa"/>
          </w:tcPr>
          <w:p w14:paraId="06CE720F" w14:textId="77777777" w:rsidR="00EE6F41" w:rsidRDefault="00EE6F41" w:rsidP="00EE6F41">
            <w:pPr>
              <w:pStyle w:val="TableText"/>
            </w:pPr>
            <w:r>
              <w:t xml:space="preserve">For each </w:t>
            </w:r>
            <w:r w:rsidR="002713C2">
              <w:t>d</w:t>
            </w:r>
            <w:r>
              <w:t>ivision (name, code):</w:t>
            </w:r>
          </w:p>
          <w:p w14:paraId="38FA5F19" w14:textId="77777777" w:rsidR="00EE6F41" w:rsidRDefault="009C0ACB" w:rsidP="00EE6F41">
            <w:pPr>
              <w:pStyle w:val="TableTextBullet"/>
            </w:pPr>
            <w:r>
              <w:t>Login Message</w:t>
            </w:r>
          </w:p>
        </w:tc>
        <w:tc>
          <w:tcPr>
            <w:tcW w:w="1243" w:type="dxa"/>
          </w:tcPr>
          <w:p w14:paraId="781F1E04" w14:textId="77777777" w:rsidR="00EE6F41" w:rsidRDefault="00EE6F41" w:rsidP="00EE6F41">
            <w:pPr>
              <w:pStyle w:val="TableText"/>
            </w:pPr>
            <w:r>
              <w:t>No</w:t>
            </w:r>
          </w:p>
        </w:tc>
        <w:tc>
          <w:tcPr>
            <w:tcW w:w="1295" w:type="dxa"/>
          </w:tcPr>
          <w:p w14:paraId="5CCF7AC9" w14:textId="77777777" w:rsidR="00EE6F41" w:rsidRDefault="00EE6F41" w:rsidP="00EE6F41">
            <w:pPr>
              <w:pStyle w:val="TableText"/>
            </w:pPr>
            <w:r>
              <w:t>No</w:t>
            </w:r>
          </w:p>
        </w:tc>
      </w:tr>
      <w:tr w:rsidR="002A21AE" w14:paraId="33C48D4F" w14:textId="77777777">
        <w:tc>
          <w:tcPr>
            <w:tcW w:w="1373" w:type="dxa"/>
          </w:tcPr>
          <w:p w14:paraId="6C7BACA0" w14:textId="77777777" w:rsidR="002A21AE" w:rsidRDefault="002A21AE" w:rsidP="00CD34EB">
            <w:pPr>
              <w:pStyle w:val="TableText"/>
            </w:pPr>
            <w:r>
              <w:t>Maintenance: Modifications Configuration</w:t>
            </w:r>
          </w:p>
        </w:tc>
        <w:tc>
          <w:tcPr>
            <w:tcW w:w="1979" w:type="dxa"/>
          </w:tcPr>
          <w:p w14:paraId="5F9A707B" w14:textId="77777777" w:rsidR="002A21AE" w:rsidRDefault="00046402">
            <w:pPr>
              <w:pStyle w:val="TableText"/>
            </w:pPr>
            <w:r>
              <w:t>Product Modifications</w:t>
            </w:r>
          </w:p>
        </w:tc>
        <w:tc>
          <w:tcPr>
            <w:tcW w:w="3470" w:type="dxa"/>
          </w:tcPr>
          <w:p w14:paraId="42DA105A" w14:textId="77777777" w:rsidR="00563120" w:rsidRDefault="00563120" w:rsidP="00563120">
            <w:pPr>
              <w:pStyle w:val="TableText"/>
            </w:pPr>
            <w:r>
              <w:t>For each modification type:</w:t>
            </w:r>
          </w:p>
          <w:p w14:paraId="42B2153A" w14:textId="77777777" w:rsidR="002A21AE" w:rsidRDefault="002A21AE">
            <w:pPr>
              <w:pStyle w:val="TableTextBullet"/>
            </w:pPr>
            <w:r>
              <w:t>Enabled</w:t>
            </w:r>
            <w:r w:rsidR="00A047A4">
              <w:t xml:space="preserve"> or </w:t>
            </w:r>
            <w:r>
              <w:t>Disabled Indicator</w:t>
            </w:r>
          </w:p>
          <w:p w14:paraId="44E52551" w14:textId="77777777" w:rsidR="002A21AE" w:rsidRDefault="00563120">
            <w:pPr>
              <w:pStyle w:val="TableTextBullet"/>
            </w:pPr>
            <w:r>
              <w:t>Cost</w:t>
            </w:r>
          </w:p>
        </w:tc>
        <w:tc>
          <w:tcPr>
            <w:tcW w:w="1243" w:type="dxa"/>
          </w:tcPr>
          <w:p w14:paraId="25D566B3" w14:textId="77777777" w:rsidR="002A21AE" w:rsidRDefault="002A21AE">
            <w:pPr>
              <w:pStyle w:val="TableText"/>
            </w:pPr>
            <w:r>
              <w:t>No</w:t>
            </w:r>
          </w:p>
        </w:tc>
        <w:tc>
          <w:tcPr>
            <w:tcW w:w="1295" w:type="dxa"/>
          </w:tcPr>
          <w:p w14:paraId="06D1A571" w14:textId="77777777" w:rsidR="002A21AE" w:rsidRDefault="002A21AE">
            <w:pPr>
              <w:pStyle w:val="TableText"/>
            </w:pPr>
            <w:r>
              <w:t>No</w:t>
            </w:r>
          </w:p>
        </w:tc>
      </w:tr>
      <w:tr w:rsidR="002A21AE" w14:paraId="4F01DFDD" w14:textId="77777777">
        <w:tc>
          <w:tcPr>
            <w:tcW w:w="1373" w:type="dxa"/>
            <w:tcBorders>
              <w:bottom w:val="single" w:sz="4" w:space="0" w:color="auto"/>
            </w:tcBorders>
          </w:tcPr>
          <w:p w14:paraId="166DDE74" w14:textId="77777777" w:rsidR="002A21AE" w:rsidRDefault="002A21AE" w:rsidP="00CD34EB">
            <w:pPr>
              <w:pStyle w:val="TableText"/>
            </w:pPr>
            <w:r>
              <w:t>Maintenance: User Role Changes</w:t>
            </w:r>
          </w:p>
        </w:tc>
        <w:tc>
          <w:tcPr>
            <w:tcW w:w="1979" w:type="dxa"/>
            <w:tcBorders>
              <w:bottom w:val="single" w:sz="4" w:space="0" w:color="auto"/>
            </w:tcBorders>
          </w:tcPr>
          <w:p w14:paraId="0FFBB7F3" w14:textId="77777777" w:rsidR="002A21AE" w:rsidRDefault="002A21AE">
            <w:pPr>
              <w:pStyle w:val="TableText"/>
            </w:pPr>
            <w:r>
              <w:t>Update User Roles</w:t>
            </w:r>
          </w:p>
        </w:tc>
        <w:tc>
          <w:tcPr>
            <w:tcW w:w="3470" w:type="dxa"/>
            <w:tcBorders>
              <w:bottom w:val="single" w:sz="4" w:space="0" w:color="auto"/>
            </w:tcBorders>
          </w:tcPr>
          <w:p w14:paraId="46CC9468" w14:textId="77777777" w:rsidR="00563120" w:rsidRDefault="00563120" w:rsidP="00563120">
            <w:pPr>
              <w:pStyle w:val="TableText"/>
            </w:pPr>
            <w:r>
              <w:t>For each user:</w:t>
            </w:r>
          </w:p>
          <w:p w14:paraId="31663D4A" w14:textId="77777777" w:rsidR="002A21AE" w:rsidRDefault="002A21AE">
            <w:pPr>
              <w:pStyle w:val="TableTextBullet"/>
            </w:pPr>
            <w:r>
              <w:t xml:space="preserve">User Role Security Setting </w:t>
            </w:r>
          </w:p>
        </w:tc>
        <w:tc>
          <w:tcPr>
            <w:tcW w:w="1243" w:type="dxa"/>
            <w:tcBorders>
              <w:bottom w:val="single" w:sz="4" w:space="0" w:color="auto"/>
            </w:tcBorders>
          </w:tcPr>
          <w:p w14:paraId="3A49FBC0" w14:textId="77777777" w:rsidR="002A21AE" w:rsidRDefault="002A21AE">
            <w:pPr>
              <w:pStyle w:val="TableText"/>
            </w:pPr>
            <w:r>
              <w:t>No</w:t>
            </w:r>
          </w:p>
        </w:tc>
        <w:tc>
          <w:tcPr>
            <w:tcW w:w="1295" w:type="dxa"/>
            <w:tcBorders>
              <w:bottom w:val="single" w:sz="4" w:space="0" w:color="auto"/>
            </w:tcBorders>
          </w:tcPr>
          <w:p w14:paraId="434BD39C" w14:textId="77777777" w:rsidR="002A21AE" w:rsidRDefault="002A21AE">
            <w:pPr>
              <w:pStyle w:val="TableText"/>
            </w:pPr>
            <w:r>
              <w:t>No</w:t>
            </w:r>
          </w:p>
        </w:tc>
      </w:tr>
      <w:tr w:rsidR="00C644E6" w14:paraId="199DC208" w14:textId="77777777">
        <w:tc>
          <w:tcPr>
            <w:tcW w:w="1373" w:type="dxa"/>
          </w:tcPr>
          <w:p w14:paraId="15F5F31C" w14:textId="77777777" w:rsidR="00C644E6" w:rsidRDefault="00C644E6" w:rsidP="00CD34EB">
            <w:pPr>
              <w:pStyle w:val="TableText"/>
            </w:pPr>
            <w:r>
              <w:t>Maintenance: User Role Changes</w:t>
            </w:r>
          </w:p>
        </w:tc>
        <w:tc>
          <w:tcPr>
            <w:tcW w:w="1979" w:type="dxa"/>
          </w:tcPr>
          <w:p w14:paraId="177C3A23" w14:textId="77777777" w:rsidR="00C644E6" w:rsidRDefault="00F453CE" w:rsidP="000B284D">
            <w:pPr>
              <w:pStyle w:val="TableText"/>
            </w:pPr>
            <w:r>
              <w:t>Configure</w:t>
            </w:r>
            <w:r w:rsidR="00C644E6">
              <w:t xml:space="preserve"> Users</w:t>
            </w:r>
            <w:r w:rsidR="00DE4FF7" w:rsidRPr="00DE4FF7">
              <w:rPr>
                <w:vanish/>
                <w:szCs w:val="18"/>
              </w:rPr>
              <w:t xml:space="preserve"> MUC_03</w:t>
            </w:r>
          </w:p>
        </w:tc>
        <w:tc>
          <w:tcPr>
            <w:tcW w:w="3470" w:type="dxa"/>
          </w:tcPr>
          <w:p w14:paraId="13CF16B3" w14:textId="77777777" w:rsidR="00C644E6" w:rsidRDefault="00C644E6" w:rsidP="00C644E6">
            <w:pPr>
              <w:pStyle w:val="TableText"/>
            </w:pPr>
            <w:r>
              <w:t>For each NT user (name, ID):</w:t>
            </w:r>
          </w:p>
          <w:p w14:paraId="0AA69D88" w14:textId="77777777" w:rsidR="00C644E6" w:rsidRDefault="00C644E6" w:rsidP="000B284D">
            <w:pPr>
              <w:pStyle w:val="TableTextBullet"/>
            </w:pPr>
            <w:r>
              <w:t>VistA DUZ</w:t>
            </w:r>
          </w:p>
          <w:p w14:paraId="34F62F57" w14:textId="77777777" w:rsidR="00C644E6" w:rsidRDefault="00C644E6" w:rsidP="000B284D">
            <w:pPr>
              <w:pStyle w:val="TableTextBullet"/>
            </w:pPr>
            <w:r>
              <w:t>VistA User Name</w:t>
            </w:r>
          </w:p>
          <w:p w14:paraId="6382FAA3" w14:textId="77777777" w:rsidR="00C644E6" w:rsidRDefault="00C644E6" w:rsidP="000B284D">
            <w:pPr>
              <w:pStyle w:val="TableTextBullet"/>
            </w:pPr>
            <w:r>
              <w:t>Email Address</w:t>
            </w:r>
          </w:p>
          <w:p w14:paraId="32D63DD8" w14:textId="77777777" w:rsidR="00C644E6" w:rsidRDefault="00C644E6" w:rsidP="000B284D">
            <w:pPr>
              <w:pStyle w:val="TableTextBullet"/>
            </w:pPr>
            <w:r>
              <w:t>User Initials</w:t>
            </w:r>
          </w:p>
          <w:p w14:paraId="600F6042" w14:textId="77777777" w:rsidR="00C644E6" w:rsidRDefault="00C644E6" w:rsidP="000B284D">
            <w:pPr>
              <w:pStyle w:val="TableTextBullet"/>
            </w:pPr>
            <w:r>
              <w:t>Active VBECS User Indicator</w:t>
            </w:r>
          </w:p>
          <w:p w14:paraId="48ECA72E" w14:textId="77777777" w:rsidR="00C644E6" w:rsidRDefault="00342C0E" w:rsidP="000B284D">
            <w:pPr>
              <w:pStyle w:val="TableTextBullet"/>
            </w:pPr>
            <w:r>
              <w:t>Active Division Indicator</w:t>
            </w:r>
          </w:p>
        </w:tc>
        <w:tc>
          <w:tcPr>
            <w:tcW w:w="1243" w:type="dxa"/>
          </w:tcPr>
          <w:p w14:paraId="39D67C6F" w14:textId="77777777" w:rsidR="00C644E6" w:rsidRDefault="00C644E6" w:rsidP="000B284D">
            <w:pPr>
              <w:pStyle w:val="TableText"/>
            </w:pPr>
            <w:r>
              <w:t>No</w:t>
            </w:r>
          </w:p>
        </w:tc>
        <w:tc>
          <w:tcPr>
            <w:tcW w:w="1295" w:type="dxa"/>
          </w:tcPr>
          <w:p w14:paraId="7470774D" w14:textId="77777777" w:rsidR="00C644E6" w:rsidRDefault="00C644E6" w:rsidP="000B284D">
            <w:pPr>
              <w:pStyle w:val="TableText"/>
            </w:pPr>
            <w:r>
              <w:t>No</w:t>
            </w:r>
          </w:p>
        </w:tc>
      </w:tr>
      <w:tr w:rsidR="002A21AE" w14:paraId="7418B723" w14:textId="77777777">
        <w:tc>
          <w:tcPr>
            <w:tcW w:w="1373" w:type="dxa"/>
          </w:tcPr>
          <w:p w14:paraId="54296686" w14:textId="77777777" w:rsidR="002A21AE" w:rsidRDefault="002A21AE" w:rsidP="00CD34EB">
            <w:pPr>
              <w:pStyle w:val="TableText"/>
            </w:pPr>
            <w:r>
              <w:t>Maintenance: Antibody Configuration</w:t>
            </w:r>
          </w:p>
        </w:tc>
        <w:tc>
          <w:tcPr>
            <w:tcW w:w="1979" w:type="dxa"/>
          </w:tcPr>
          <w:p w14:paraId="534F16AB" w14:textId="77777777" w:rsidR="002A21AE" w:rsidRDefault="002A21AE">
            <w:pPr>
              <w:pStyle w:val="TableText"/>
            </w:pPr>
            <w:r>
              <w:t>Antibodies</w:t>
            </w:r>
          </w:p>
        </w:tc>
        <w:tc>
          <w:tcPr>
            <w:tcW w:w="3470" w:type="dxa"/>
          </w:tcPr>
          <w:p w14:paraId="1C257EDB" w14:textId="77777777" w:rsidR="00A71D77" w:rsidRDefault="00A71D77" w:rsidP="00A71D77">
            <w:pPr>
              <w:pStyle w:val="TableText"/>
            </w:pPr>
            <w:r>
              <w:t>For each antibody specificity:</w:t>
            </w:r>
          </w:p>
          <w:p w14:paraId="65805E24" w14:textId="77777777" w:rsidR="002A21AE" w:rsidRDefault="002A21AE">
            <w:pPr>
              <w:pStyle w:val="TableTextBullet"/>
            </w:pPr>
            <w:r>
              <w:t>Compatibility Percentage</w:t>
            </w:r>
          </w:p>
          <w:p w14:paraId="08A868F8" w14:textId="77777777" w:rsidR="002A21AE" w:rsidRDefault="00A71D77">
            <w:pPr>
              <w:pStyle w:val="TableTextBullet"/>
            </w:pPr>
            <w:r>
              <w:t>Higher Level Override Required Indicator</w:t>
            </w:r>
          </w:p>
        </w:tc>
        <w:tc>
          <w:tcPr>
            <w:tcW w:w="1243" w:type="dxa"/>
          </w:tcPr>
          <w:p w14:paraId="3FCF960F" w14:textId="77777777" w:rsidR="002A21AE" w:rsidRDefault="002A21AE">
            <w:pPr>
              <w:pStyle w:val="TableText"/>
            </w:pPr>
            <w:r>
              <w:t>No</w:t>
            </w:r>
          </w:p>
        </w:tc>
        <w:tc>
          <w:tcPr>
            <w:tcW w:w="1295" w:type="dxa"/>
          </w:tcPr>
          <w:p w14:paraId="19BC9E7C" w14:textId="77777777" w:rsidR="002A21AE" w:rsidRDefault="002A21AE">
            <w:pPr>
              <w:pStyle w:val="TableText"/>
            </w:pPr>
            <w:r>
              <w:t>No</w:t>
            </w:r>
          </w:p>
        </w:tc>
      </w:tr>
      <w:tr w:rsidR="002A21AE" w14:paraId="21EE63DB" w14:textId="77777777">
        <w:tc>
          <w:tcPr>
            <w:tcW w:w="1373" w:type="dxa"/>
          </w:tcPr>
          <w:p w14:paraId="7336AD7A" w14:textId="77777777" w:rsidR="002A21AE" w:rsidRDefault="002A21AE" w:rsidP="00CD34EB">
            <w:pPr>
              <w:pStyle w:val="TableText"/>
            </w:pPr>
            <w:r>
              <w:t>Maintenance: Workload Configuration</w:t>
            </w:r>
          </w:p>
        </w:tc>
        <w:tc>
          <w:tcPr>
            <w:tcW w:w="1979" w:type="dxa"/>
          </w:tcPr>
          <w:p w14:paraId="13AA1397" w14:textId="77777777" w:rsidR="002A21AE" w:rsidRDefault="002A21AE">
            <w:pPr>
              <w:pStyle w:val="TableText"/>
            </w:pPr>
            <w:r>
              <w:t>Workload Codes</w:t>
            </w:r>
          </w:p>
        </w:tc>
        <w:tc>
          <w:tcPr>
            <w:tcW w:w="3470" w:type="dxa"/>
          </w:tcPr>
          <w:p w14:paraId="7EBE3B7A" w14:textId="77777777" w:rsidR="00B320F4" w:rsidRDefault="00B320F4" w:rsidP="00B320F4">
            <w:pPr>
              <w:pStyle w:val="TableText"/>
            </w:pPr>
            <w:r>
              <w:t>For each workload process and for each LMIP procedure and LMIP/NLT code:</w:t>
            </w:r>
          </w:p>
          <w:p w14:paraId="62FCBD4A" w14:textId="77777777" w:rsidR="00B320F4" w:rsidRDefault="00B320F4" w:rsidP="00B320F4">
            <w:pPr>
              <w:pStyle w:val="TableTextBullet"/>
            </w:pPr>
            <w:r>
              <w:t>Start Date</w:t>
            </w:r>
          </w:p>
          <w:p w14:paraId="14F6B765" w14:textId="77777777" w:rsidR="00B320F4" w:rsidRDefault="00B320F4" w:rsidP="00B320F4">
            <w:pPr>
              <w:pStyle w:val="TableTextBullet"/>
            </w:pPr>
            <w:r>
              <w:t>Stop Date</w:t>
            </w:r>
          </w:p>
          <w:p w14:paraId="57E66CAA" w14:textId="77777777" w:rsidR="0098047D" w:rsidRDefault="00B320F4" w:rsidP="00B320F4">
            <w:pPr>
              <w:pStyle w:val="TableTextBullet"/>
            </w:pPr>
            <w:r>
              <w:t>Status Indicator</w:t>
            </w:r>
          </w:p>
        </w:tc>
        <w:tc>
          <w:tcPr>
            <w:tcW w:w="1243" w:type="dxa"/>
          </w:tcPr>
          <w:p w14:paraId="3DE3A0D5" w14:textId="77777777" w:rsidR="002A21AE" w:rsidRDefault="002A21AE">
            <w:pPr>
              <w:pStyle w:val="TableText"/>
            </w:pPr>
            <w:r>
              <w:t>No</w:t>
            </w:r>
          </w:p>
        </w:tc>
        <w:tc>
          <w:tcPr>
            <w:tcW w:w="1295" w:type="dxa"/>
          </w:tcPr>
          <w:p w14:paraId="609DD482" w14:textId="77777777" w:rsidR="002A21AE" w:rsidRDefault="002A21AE">
            <w:pPr>
              <w:pStyle w:val="TableText"/>
            </w:pPr>
            <w:r>
              <w:t>No</w:t>
            </w:r>
          </w:p>
        </w:tc>
      </w:tr>
      <w:tr w:rsidR="002A21AE" w14:paraId="07409DFB" w14:textId="77777777">
        <w:tc>
          <w:tcPr>
            <w:tcW w:w="1373" w:type="dxa"/>
          </w:tcPr>
          <w:p w14:paraId="5179A039" w14:textId="77777777" w:rsidR="002A21AE" w:rsidRDefault="002A21AE" w:rsidP="00CD34EB">
            <w:pPr>
              <w:pStyle w:val="TableText"/>
            </w:pPr>
            <w:r>
              <w:t>Maintenance: MSBOS Configuration</w:t>
            </w:r>
          </w:p>
        </w:tc>
        <w:tc>
          <w:tcPr>
            <w:tcW w:w="1979" w:type="dxa"/>
          </w:tcPr>
          <w:p w14:paraId="4204987A" w14:textId="77777777" w:rsidR="002A21AE" w:rsidRDefault="002A21AE">
            <w:pPr>
              <w:pStyle w:val="TableText"/>
            </w:pPr>
            <w:r>
              <w:t>MSBOS</w:t>
            </w:r>
          </w:p>
        </w:tc>
        <w:tc>
          <w:tcPr>
            <w:tcW w:w="3470" w:type="dxa"/>
          </w:tcPr>
          <w:p w14:paraId="455A5E21" w14:textId="77777777" w:rsidR="002A21AE" w:rsidRDefault="00F06D63" w:rsidP="00F06D63">
            <w:pPr>
              <w:pStyle w:val="TableText"/>
            </w:pPr>
            <w:r>
              <w:t xml:space="preserve">For each </w:t>
            </w:r>
            <w:r w:rsidR="00B63E26">
              <w:t>s</w:t>
            </w:r>
            <w:r w:rsidR="002A21AE">
              <w:t xml:space="preserve">urgery </w:t>
            </w:r>
            <w:r w:rsidR="00B63E26">
              <w:t>n</w:t>
            </w:r>
            <w:r>
              <w:t xml:space="preserve">ame: </w:t>
            </w:r>
          </w:p>
          <w:p w14:paraId="36DA01B7" w14:textId="77777777" w:rsidR="002A21AE" w:rsidRDefault="00F06D63">
            <w:pPr>
              <w:pStyle w:val="TableTextBullet"/>
            </w:pPr>
            <w:r>
              <w:t xml:space="preserve">Surgery Status </w:t>
            </w:r>
            <w:r w:rsidR="002A21AE">
              <w:t>Indicator</w:t>
            </w:r>
          </w:p>
          <w:p w14:paraId="64808845" w14:textId="77777777" w:rsidR="00F06D63" w:rsidRDefault="00F06D63" w:rsidP="00F06D63">
            <w:pPr>
              <w:pStyle w:val="TableText"/>
            </w:pPr>
            <w:r>
              <w:t xml:space="preserve">For each </w:t>
            </w:r>
            <w:r w:rsidR="002A21AE">
              <w:t xml:space="preserve">MSBOS </w:t>
            </w:r>
            <w:r w:rsidR="00B63E26">
              <w:t>r</w:t>
            </w:r>
            <w:r w:rsidR="002A21AE">
              <w:t>ecommendation</w:t>
            </w:r>
            <w:r>
              <w:t>:</w:t>
            </w:r>
          </w:p>
          <w:p w14:paraId="31F8A126" w14:textId="77777777" w:rsidR="002A21AE" w:rsidRDefault="002A21AE" w:rsidP="00F06D63">
            <w:pPr>
              <w:pStyle w:val="TableTextBullet"/>
            </w:pPr>
            <w:r>
              <w:t xml:space="preserve">TAS </w:t>
            </w:r>
            <w:r w:rsidR="00F06D63">
              <w:t>Indicator</w:t>
            </w:r>
          </w:p>
          <w:p w14:paraId="2A4AFFBB" w14:textId="77777777" w:rsidR="00F06D63" w:rsidRDefault="00F06D63" w:rsidP="00F06D63">
            <w:pPr>
              <w:pStyle w:val="TableTextBullet"/>
            </w:pPr>
            <w:r>
              <w:t>No Blood Required Indicator</w:t>
            </w:r>
          </w:p>
          <w:p w14:paraId="1A416301" w14:textId="77777777" w:rsidR="00F06D63" w:rsidRDefault="00F06D63" w:rsidP="00F06D63">
            <w:pPr>
              <w:pStyle w:val="TableText"/>
            </w:pPr>
            <w:r>
              <w:t>For each selected component class:</w:t>
            </w:r>
          </w:p>
          <w:p w14:paraId="597FEE6F" w14:textId="77777777" w:rsidR="00F06D63" w:rsidRDefault="00F06D63" w:rsidP="00F06D63">
            <w:pPr>
              <w:pStyle w:val="TableTextBullet"/>
            </w:pPr>
            <w:r>
              <w:lastRenderedPageBreak/>
              <w:t>Number of Units</w:t>
            </w:r>
          </w:p>
          <w:p w14:paraId="1BEB06B2" w14:textId="77777777" w:rsidR="00F06D63" w:rsidRDefault="00F06D63" w:rsidP="00F06D63">
            <w:pPr>
              <w:pStyle w:val="TableTextBullet"/>
            </w:pPr>
            <w:r>
              <w:t>Recommendation Status Indicator</w:t>
            </w:r>
          </w:p>
        </w:tc>
        <w:tc>
          <w:tcPr>
            <w:tcW w:w="1243" w:type="dxa"/>
          </w:tcPr>
          <w:p w14:paraId="226CA37F" w14:textId="77777777" w:rsidR="002A21AE" w:rsidRDefault="002A21AE">
            <w:pPr>
              <w:pStyle w:val="TableText"/>
            </w:pPr>
            <w:r>
              <w:lastRenderedPageBreak/>
              <w:t>No</w:t>
            </w:r>
          </w:p>
        </w:tc>
        <w:tc>
          <w:tcPr>
            <w:tcW w:w="1295" w:type="dxa"/>
          </w:tcPr>
          <w:p w14:paraId="3CC907E5" w14:textId="77777777" w:rsidR="002A21AE" w:rsidRDefault="002A21AE">
            <w:pPr>
              <w:pStyle w:val="TableText"/>
            </w:pPr>
            <w:r>
              <w:t>No</w:t>
            </w:r>
          </w:p>
        </w:tc>
      </w:tr>
      <w:tr w:rsidR="002A21AE" w14:paraId="1B100FF4" w14:textId="77777777">
        <w:tc>
          <w:tcPr>
            <w:tcW w:w="1373" w:type="dxa"/>
          </w:tcPr>
          <w:p w14:paraId="54F96C17" w14:textId="77777777" w:rsidR="002A21AE" w:rsidRDefault="002A21AE" w:rsidP="00CD34EB">
            <w:pPr>
              <w:pStyle w:val="TableText"/>
            </w:pPr>
            <w:r>
              <w:t>Maintenance: Transfusion Effectiveness Changes</w:t>
            </w:r>
          </w:p>
        </w:tc>
        <w:tc>
          <w:tcPr>
            <w:tcW w:w="1979" w:type="dxa"/>
          </w:tcPr>
          <w:p w14:paraId="7FB49A40" w14:textId="77777777" w:rsidR="002A21AE" w:rsidRDefault="002A21AE">
            <w:pPr>
              <w:pStyle w:val="TableText"/>
            </w:pPr>
            <w:r>
              <w:t>Transfusion Effectiveness</w:t>
            </w:r>
          </w:p>
        </w:tc>
        <w:tc>
          <w:tcPr>
            <w:tcW w:w="3470" w:type="dxa"/>
          </w:tcPr>
          <w:p w14:paraId="4E8E78AB" w14:textId="77777777" w:rsidR="004E501B" w:rsidRDefault="008945EE" w:rsidP="004E501B">
            <w:pPr>
              <w:pStyle w:val="TableText"/>
            </w:pPr>
            <w:r>
              <w:t>For each Laboratory t</w:t>
            </w:r>
            <w:r w:rsidR="004E501B">
              <w:t xml:space="preserve">est </w:t>
            </w:r>
            <w:r>
              <w:t>n</w:t>
            </w:r>
            <w:r w:rsidR="004E501B">
              <w:t xml:space="preserve">ame, for each VistA Laboratory </w:t>
            </w:r>
            <w:r>
              <w:t>t</w:t>
            </w:r>
            <w:r w:rsidR="004E501B">
              <w:t xml:space="preserve">est Internal Entry Number (IEN), and for each </w:t>
            </w:r>
            <w:r>
              <w:t>s</w:t>
            </w:r>
            <w:r w:rsidR="004E501B">
              <w:t xml:space="preserve">pecimen </w:t>
            </w:r>
            <w:r>
              <w:t>t</w:t>
            </w:r>
            <w:r w:rsidR="004E501B">
              <w:t xml:space="preserve">ype: </w:t>
            </w:r>
          </w:p>
          <w:p w14:paraId="4AB815DB" w14:textId="77777777" w:rsidR="002A21AE" w:rsidRDefault="004E501B">
            <w:pPr>
              <w:pStyle w:val="TableTextBullet"/>
            </w:pPr>
            <w:r>
              <w:t>Status Indicator</w:t>
            </w:r>
          </w:p>
        </w:tc>
        <w:tc>
          <w:tcPr>
            <w:tcW w:w="1243" w:type="dxa"/>
          </w:tcPr>
          <w:p w14:paraId="132B5551" w14:textId="77777777" w:rsidR="002A21AE" w:rsidRDefault="002A21AE">
            <w:pPr>
              <w:pStyle w:val="TableText"/>
            </w:pPr>
            <w:r>
              <w:t>No</w:t>
            </w:r>
          </w:p>
        </w:tc>
        <w:tc>
          <w:tcPr>
            <w:tcW w:w="1295" w:type="dxa"/>
          </w:tcPr>
          <w:p w14:paraId="0074C757" w14:textId="77777777" w:rsidR="002A21AE" w:rsidRDefault="002A21AE">
            <w:pPr>
              <w:pStyle w:val="TableText"/>
            </w:pPr>
            <w:r>
              <w:t>No</w:t>
            </w:r>
          </w:p>
        </w:tc>
      </w:tr>
      <w:tr w:rsidR="002A21AE" w14:paraId="38E86C78" w14:textId="77777777">
        <w:tc>
          <w:tcPr>
            <w:tcW w:w="1373" w:type="dxa"/>
          </w:tcPr>
          <w:p w14:paraId="5240B1B9" w14:textId="77777777" w:rsidR="002A21AE" w:rsidRDefault="002A21AE" w:rsidP="00CD34EB">
            <w:pPr>
              <w:pStyle w:val="TableText"/>
            </w:pPr>
            <w:r>
              <w:t>Maintenance: Transfusion Complications Changes</w:t>
            </w:r>
          </w:p>
        </w:tc>
        <w:tc>
          <w:tcPr>
            <w:tcW w:w="1979" w:type="dxa"/>
          </w:tcPr>
          <w:p w14:paraId="16EEE063" w14:textId="77777777" w:rsidR="002A21AE" w:rsidRDefault="002A21AE">
            <w:pPr>
              <w:pStyle w:val="TableText"/>
            </w:pPr>
            <w:r>
              <w:t>Transfusion Complications</w:t>
            </w:r>
          </w:p>
        </w:tc>
        <w:tc>
          <w:tcPr>
            <w:tcW w:w="3470" w:type="dxa"/>
          </w:tcPr>
          <w:p w14:paraId="6522ED69" w14:textId="77777777" w:rsidR="004E501B" w:rsidRDefault="004E501B" w:rsidP="004E501B">
            <w:pPr>
              <w:pStyle w:val="TableText"/>
            </w:pPr>
            <w:r>
              <w:t xml:space="preserve">For each Laboratory </w:t>
            </w:r>
            <w:r w:rsidR="008945EE">
              <w:t>te</w:t>
            </w:r>
            <w:r>
              <w:t xml:space="preserve">st </w:t>
            </w:r>
            <w:r w:rsidR="008945EE">
              <w:t>n</w:t>
            </w:r>
            <w:r>
              <w:t xml:space="preserve">ame, for each VistA Laboratory </w:t>
            </w:r>
            <w:r w:rsidR="008945EE">
              <w:t>t</w:t>
            </w:r>
            <w:r>
              <w:t xml:space="preserve">est IEN, and for each </w:t>
            </w:r>
            <w:r w:rsidR="008945EE">
              <w:t>s</w:t>
            </w:r>
            <w:r>
              <w:t xml:space="preserve">pecimen </w:t>
            </w:r>
            <w:r w:rsidR="008945EE">
              <w:t>t</w:t>
            </w:r>
            <w:r>
              <w:t xml:space="preserve">ype: </w:t>
            </w:r>
          </w:p>
          <w:p w14:paraId="07FABEDF" w14:textId="77777777" w:rsidR="004E501B" w:rsidRDefault="004E501B" w:rsidP="004E501B">
            <w:pPr>
              <w:pStyle w:val="TableTextBullet"/>
            </w:pPr>
            <w:r>
              <w:t>Threshold Result</w:t>
            </w:r>
          </w:p>
          <w:p w14:paraId="39792FCD" w14:textId="77777777" w:rsidR="004E501B" w:rsidRDefault="004E501B" w:rsidP="004E501B">
            <w:pPr>
              <w:pStyle w:val="TableTextBullet"/>
            </w:pPr>
            <w:r>
              <w:t>Threshold Setting Status</w:t>
            </w:r>
          </w:p>
          <w:p w14:paraId="792BAD8D" w14:textId="77777777" w:rsidR="002A21AE" w:rsidRDefault="004E501B" w:rsidP="004E501B">
            <w:pPr>
              <w:pStyle w:val="TableTextBullet"/>
            </w:pPr>
            <w:r>
              <w:t>Status indicator</w:t>
            </w:r>
            <w:r w:rsidDel="003933CD">
              <w:t xml:space="preserve"> </w:t>
            </w:r>
          </w:p>
        </w:tc>
        <w:tc>
          <w:tcPr>
            <w:tcW w:w="1243" w:type="dxa"/>
          </w:tcPr>
          <w:p w14:paraId="1BADF183" w14:textId="77777777" w:rsidR="002A21AE" w:rsidRDefault="002A21AE">
            <w:pPr>
              <w:pStyle w:val="TableText"/>
            </w:pPr>
            <w:r>
              <w:t>No</w:t>
            </w:r>
          </w:p>
        </w:tc>
        <w:tc>
          <w:tcPr>
            <w:tcW w:w="1295" w:type="dxa"/>
          </w:tcPr>
          <w:p w14:paraId="7B16E8A8" w14:textId="77777777" w:rsidR="002A21AE" w:rsidRDefault="002A21AE">
            <w:pPr>
              <w:pStyle w:val="TableText"/>
            </w:pPr>
            <w:r>
              <w:t>No</w:t>
            </w:r>
          </w:p>
        </w:tc>
      </w:tr>
      <w:tr w:rsidR="002A21AE" w14:paraId="2CA76DEE" w14:textId="77777777">
        <w:tc>
          <w:tcPr>
            <w:tcW w:w="1373" w:type="dxa"/>
          </w:tcPr>
          <w:p w14:paraId="4795FFC0" w14:textId="77777777" w:rsidR="002A21AE" w:rsidRDefault="002A21AE" w:rsidP="00CD34EB">
            <w:pPr>
              <w:pStyle w:val="TableText"/>
            </w:pPr>
            <w:r>
              <w:t>Maintenance: Component Class</w:t>
            </w:r>
          </w:p>
        </w:tc>
        <w:tc>
          <w:tcPr>
            <w:tcW w:w="1979" w:type="dxa"/>
          </w:tcPr>
          <w:p w14:paraId="60813F84" w14:textId="77777777" w:rsidR="002A21AE" w:rsidRDefault="002A21AE">
            <w:pPr>
              <w:pStyle w:val="TableText"/>
            </w:pPr>
            <w:r>
              <w:t xml:space="preserve">Component Classes </w:t>
            </w:r>
          </w:p>
        </w:tc>
        <w:tc>
          <w:tcPr>
            <w:tcW w:w="3470" w:type="dxa"/>
          </w:tcPr>
          <w:p w14:paraId="596E91D4" w14:textId="77777777" w:rsidR="002A21AE" w:rsidRDefault="002A21AE">
            <w:pPr>
              <w:pStyle w:val="TableText"/>
            </w:pPr>
            <w:r>
              <w:t>For each component class configured:</w:t>
            </w:r>
          </w:p>
          <w:p w14:paraId="01DD5AEB" w14:textId="77777777" w:rsidR="002A21AE" w:rsidRDefault="0072124A">
            <w:pPr>
              <w:pStyle w:val="TableTextBullet"/>
            </w:pPr>
            <w:r>
              <w:t>Current ABO/Rh Specimen Results Required Indicator</w:t>
            </w:r>
          </w:p>
          <w:p w14:paraId="23F5A83D" w14:textId="77777777" w:rsidR="0072124A" w:rsidRDefault="0072124A">
            <w:pPr>
              <w:pStyle w:val="TableTextBullet"/>
            </w:pPr>
            <w:r>
              <w:t>M</w:t>
            </w:r>
            <w:r w:rsidR="002A21AE">
              <w:t xml:space="preserve">aximum </w:t>
            </w:r>
            <w:r>
              <w:t>T</w:t>
            </w:r>
            <w:r w:rsidR="002A21AE">
              <w:t xml:space="preserve">ransfusion </w:t>
            </w:r>
            <w:r>
              <w:t>T</w:t>
            </w:r>
            <w:r w:rsidR="002A21AE">
              <w:t>ime</w:t>
            </w:r>
          </w:p>
          <w:p w14:paraId="2243EEDA" w14:textId="77777777" w:rsidR="0072124A" w:rsidRDefault="002B6A72">
            <w:pPr>
              <w:pStyle w:val="TableTextBullet"/>
            </w:pPr>
            <w:r>
              <w:t>For each Laboratory Test Name, for each VistA Laboratory Test Internal Entry Number (IEN), and for each Specimen Type:</w:t>
            </w:r>
            <w:r w:rsidR="00B63E26">
              <w:t xml:space="preserve"> </w:t>
            </w:r>
            <w:r w:rsidR="0072124A">
              <w:t>Lab Test Status</w:t>
            </w:r>
          </w:p>
          <w:p w14:paraId="232EDEA3" w14:textId="77777777" w:rsidR="0072124A" w:rsidRDefault="0072124A">
            <w:pPr>
              <w:pStyle w:val="TableTextBullet"/>
            </w:pPr>
            <w:r>
              <w:t>Threshold Result</w:t>
            </w:r>
          </w:p>
        </w:tc>
        <w:tc>
          <w:tcPr>
            <w:tcW w:w="1243" w:type="dxa"/>
          </w:tcPr>
          <w:p w14:paraId="581FEAF4" w14:textId="77777777" w:rsidR="002A21AE" w:rsidRDefault="002A21AE">
            <w:pPr>
              <w:pStyle w:val="TableText"/>
            </w:pPr>
            <w:r>
              <w:t>No</w:t>
            </w:r>
          </w:p>
        </w:tc>
        <w:tc>
          <w:tcPr>
            <w:tcW w:w="1295" w:type="dxa"/>
          </w:tcPr>
          <w:p w14:paraId="5B858761" w14:textId="77777777" w:rsidR="002A21AE" w:rsidRDefault="002A21AE">
            <w:pPr>
              <w:pStyle w:val="TableText"/>
            </w:pPr>
            <w:r>
              <w:t>No</w:t>
            </w:r>
          </w:p>
        </w:tc>
      </w:tr>
      <w:tr w:rsidR="002A21AE" w14:paraId="4474E54C" w14:textId="77777777">
        <w:tc>
          <w:tcPr>
            <w:tcW w:w="1373" w:type="dxa"/>
          </w:tcPr>
          <w:p w14:paraId="2E310733" w14:textId="77777777" w:rsidR="002A21AE" w:rsidRDefault="002A21AE" w:rsidP="00CD34EB">
            <w:pPr>
              <w:pStyle w:val="TableText"/>
            </w:pPr>
            <w:r>
              <w:t>Maintenance: Daily QC Configuration</w:t>
            </w:r>
          </w:p>
        </w:tc>
        <w:tc>
          <w:tcPr>
            <w:tcW w:w="1979" w:type="dxa"/>
          </w:tcPr>
          <w:p w14:paraId="29EDEACC" w14:textId="77777777" w:rsidR="002A21AE" w:rsidRDefault="002A21AE">
            <w:pPr>
              <w:pStyle w:val="TableText"/>
            </w:pPr>
            <w:r>
              <w:t>Configure Daily QC</w:t>
            </w:r>
          </w:p>
        </w:tc>
        <w:tc>
          <w:tcPr>
            <w:tcW w:w="3470" w:type="dxa"/>
          </w:tcPr>
          <w:p w14:paraId="27556196" w14:textId="77777777" w:rsidR="002B6A72" w:rsidRDefault="002838D6" w:rsidP="002B6A72">
            <w:pPr>
              <w:pStyle w:val="TableText"/>
            </w:pPr>
            <w:r>
              <w:t>For each d</w:t>
            </w:r>
            <w:r w:rsidR="002B6A72">
              <w:t xml:space="preserve">aily QC </w:t>
            </w:r>
            <w:r w:rsidR="00B63E26">
              <w:t>s</w:t>
            </w:r>
            <w:r w:rsidR="002B6A72">
              <w:t xml:space="preserve">etup </w:t>
            </w:r>
            <w:r w:rsidR="00B63E26">
              <w:t>c</w:t>
            </w:r>
            <w:r w:rsidR="002B6A72">
              <w:t>hanged:</w:t>
            </w:r>
          </w:p>
          <w:p w14:paraId="118D8A4B" w14:textId="77777777" w:rsidR="002A21AE" w:rsidRPr="00584AF9" w:rsidRDefault="002A21AE">
            <w:pPr>
              <w:pStyle w:val="TableTextBullet"/>
              <w:rPr>
                <w:lang w:val="fr-FR"/>
              </w:rPr>
            </w:pPr>
            <w:r w:rsidRPr="00584AF9">
              <w:rPr>
                <w:lang w:val="fr-FR"/>
              </w:rPr>
              <w:t>Commercial or Non-Commercial QC Indicator</w:t>
            </w:r>
          </w:p>
          <w:p w14:paraId="7DFF07B4" w14:textId="77777777" w:rsidR="002A21AE" w:rsidRDefault="002A21AE">
            <w:pPr>
              <w:pStyle w:val="TableTextBullet"/>
            </w:pPr>
            <w:r>
              <w:t>Rack Nam</w:t>
            </w:r>
            <w:r w:rsidR="00155120">
              <w:t>e</w:t>
            </w:r>
            <w:r>
              <w:t xml:space="preserve"> Indicator</w:t>
            </w:r>
            <w:r w:rsidR="00155120">
              <w:t xml:space="preserve"> (</w:t>
            </w:r>
            <w:r>
              <w:t>A through Z or 1 through 26</w:t>
            </w:r>
            <w:r w:rsidR="00155120">
              <w:t>)</w:t>
            </w:r>
          </w:p>
          <w:p w14:paraId="3BD787E4" w14:textId="77777777" w:rsidR="00155120" w:rsidRDefault="00155120">
            <w:pPr>
              <w:pStyle w:val="TableTextBullet"/>
            </w:pPr>
            <w:r>
              <w:t>Number of Racks to Test</w:t>
            </w:r>
          </w:p>
          <w:p w14:paraId="56850746" w14:textId="77777777" w:rsidR="00155120" w:rsidRDefault="00155120">
            <w:pPr>
              <w:pStyle w:val="TableTextBullet"/>
            </w:pPr>
            <w:r>
              <w:t>Daily Alert Time</w:t>
            </w:r>
          </w:p>
          <w:p w14:paraId="4874F347" w14:textId="77777777" w:rsidR="00155120" w:rsidRDefault="00155120">
            <w:pPr>
              <w:pStyle w:val="TableTextBullet"/>
            </w:pPr>
            <w:r>
              <w:t>Primary Enhancement Media</w:t>
            </w:r>
          </w:p>
          <w:p w14:paraId="49A5C562" w14:textId="77777777" w:rsidR="00155120" w:rsidRDefault="00155120">
            <w:pPr>
              <w:pStyle w:val="TableTextBullet"/>
            </w:pPr>
            <w:r>
              <w:t>Secondary Enhancement Media</w:t>
            </w:r>
          </w:p>
          <w:p w14:paraId="77920B3A" w14:textId="77777777" w:rsidR="00155120" w:rsidRDefault="00155120">
            <w:pPr>
              <w:pStyle w:val="TableTextBullet"/>
            </w:pPr>
            <w:r>
              <w:t>Comment</w:t>
            </w:r>
          </w:p>
          <w:p w14:paraId="38C5ACFA" w14:textId="77777777" w:rsidR="00155120" w:rsidRDefault="00155120" w:rsidP="00155120">
            <w:pPr>
              <w:pStyle w:val="TableText"/>
            </w:pPr>
            <w:r>
              <w:t xml:space="preserve">For each </w:t>
            </w:r>
            <w:r w:rsidR="00B63E26">
              <w:t>reagent t</w:t>
            </w:r>
            <w:r>
              <w:t xml:space="preserve">ype and </w:t>
            </w:r>
            <w:r w:rsidR="00B63E26">
              <w:t>t</w:t>
            </w:r>
            <w:r>
              <w:t xml:space="preserve">est </w:t>
            </w:r>
            <w:r w:rsidR="00B63E26">
              <w:t>w</w:t>
            </w:r>
            <w:r>
              <w:t>ith combination:</w:t>
            </w:r>
          </w:p>
          <w:p w14:paraId="1289C4DF" w14:textId="77777777" w:rsidR="002A21AE" w:rsidRDefault="00155120">
            <w:pPr>
              <w:pStyle w:val="TableTextBullet"/>
            </w:pPr>
            <w:r>
              <w:t>Sta</w:t>
            </w:r>
            <w:r w:rsidR="00B63E26">
              <w:t>t</w:t>
            </w:r>
            <w:r>
              <w:t>us Indicator</w:t>
            </w:r>
          </w:p>
          <w:p w14:paraId="4A524E84" w14:textId="77777777" w:rsidR="00155120" w:rsidRDefault="00155120">
            <w:pPr>
              <w:pStyle w:val="TableTextBullet"/>
            </w:pPr>
            <w:r>
              <w:t>Minimum Reaction Entry</w:t>
            </w:r>
          </w:p>
        </w:tc>
        <w:tc>
          <w:tcPr>
            <w:tcW w:w="1243" w:type="dxa"/>
          </w:tcPr>
          <w:p w14:paraId="529AFDEF" w14:textId="77777777" w:rsidR="002A21AE" w:rsidRDefault="002A21AE">
            <w:pPr>
              <w:pStyle w:val="TableText"/>
            </w:pPr>
            <w:r>
              <w:t>No</w:t>
            </w:r>
          </w:p>
        </w:tc>
        <w:tc>
          <w:tcPr>
            <w:tcW w:w="1295" w:type="dxa"/>
          </w:tcPr>
          <w:p w14:paraId="1F0CADD1" w14:textId="77777777" w:rsidR="002A21AE" w:rsidRDefault="002A21AE">
            <w:pPr>
              <w:pStyle w:val="TableText"/>
            </w:pPr>
            <w:r>
              <w:t>No</w:t>
            </w:r>
          </w:p>
        </w:tc>
      </w:tr>
      <w:tr w:rsidR="002A21AE" w14:paraId="344A59C8" w14:textId="77777777">
        <w:tc>
          <w:tcPr>
            <w:tcW w:w="1373" w:type="dxa"/>
          </w:tcPr>
          <w:p w14:paraId="538D5B31" w14:textId="77777777" w:rsidR="002A21AE" w:rsidRDefault="002A21AE" w:rsidP="00CD34EB">
            <w:pPr>
              <w:pStyle w:val="TableText"/>
            </w:pPr>
            <w:r>
              <w:t>Maintenance: Minimum Reagent Inventory Levels</w:t>
            </w:r>
          </w:p>
        </w:tc>
        <w:tc>
          <w:tcPr>
            <w:tcW w:w="1979" w:type="dxa"/>
          </w:tcPr>
          <w:p w14:paraId="70F044AF" w14:textId="77777777" w:rsidR="002A21AE" w:rsidRDefault="002A21AE">
            <w:pPr>
              <w:pStyle w:val="TableText"/>
            </w:pPr>
            <w:r>
              <w:t>Maintain Minimum Levels</w:t>
            </w:r>
          </w:p>
        </w:tc>
        <w:tc>
          <w:tcPr>
            <w:tcW w:w="3470" w:type="dxa"/>
          </w:tcPr>
          <w:p w14:paraId="4C87DE44" w14:textId="77777777" w:rsidR="002A21AE" w:rsidRDefault="00BE1AC3">
            <w:pPr>
              <w:pStyle w:val="TableText"/>
            </w:pPr>
            <w:r>
              <w:t>For each reagent type:</w:t>
            </w:r>
          </w:p>
          <w:p w14:paraId="1366B7BD" w14:textId="77777777" w:rsidR="00BE1AC3" w:rsidRDefault="00BE1AC3" w:rsidP="00BE1AC3">
            <w:pPr>
              <w:pStyle w:val="TableTextBullet"/>
            </w:pPr>
            <w:r>
              <w:t>Minimum Inventory Level</w:t>
            </w:r>
          </w:p>
        </w:tc>
        <w:tc>
          <w:tcPr>
            <w:tcW w:w="1243" w:type="dxa"/>
          </w:tcPr>
          <w:p w14:paraId="66A389C0" w14:textId="77777777" w:rsidR="002A21AE" w:rsidRDefault="002A21AE">
            <w:pPr>
              <w:pStyle w:val="TableText"/>
            </w:pPr>
            <w:r>
              <w:t>No</w:t>
            </w:r>
          </w:p>
        </w:tc>
        <w:tc>
          <w:tcPr>
            <w:tcW w:w="1295" w:type="dxa"/>
          </w:tcPr>
          <w:p w14:paraId="2AE87E84" w14:textId="77777777" w:rsidR="002A21AE" w:rsidRDefault="002A21AE">
            <w:pPr>
              <w:pStyle w:val="TableText"/>
            </w:pPr>
            <w:r>
              <w:t>No</w:t>
            </w:r>
          </w:p>
        </w:tc>
      </w:tr>
      <w:tr w:rsidR="002A21AE" w14:paraId="6E459EBF" w14:textId="77777777">
        <w:tc>
          <w:tcPr>
            <w:tcW w:w="1373" w:type="dxa"/>
          </w:tcPr>
          <w:p w14:paraId="2363209B" w14:textId="77777777" w:rsidR="002A21AE" w:rsidRDefault="002A21AE" w:rsidP="00CD34EB">
            <w:pPr>
              <w:pStyle w:val="TableText"/>
            </w:pPr>
            <w:r>
              <w:t>Maintenance: User Alert Configuration</w:t>
            </w:r>
          </w:p>
        </w:tc>
        <w:tc>
          <w:tcPr>
            <w:tcW w:w="1979" w:type="dxa"/>
          </w:tcPr>
          <w:p w14:paraId="2CE690B5" w14:textId="77777777" w:rsidR="002A21AE" w:rsidRDefault="006068DE">
            <w:pPr>
              <w:pStyle w:val="TableText"/>
            </w:pPr>
            <w:r>
              <w:t>Order Alerts</w:t>
            </w:r>
          </w:p>
        </w:tc>
        <w:tc>
          <w:tcPr>
            <w:tcW w:w="3470" w:type="dxa"/>
          </w:tcPr>
          <w:p w14:paraId="244A44A6" w14:textId="77777777" w:rsidR="00BE1AC3" w:rsidRDefault="00BE1AC3" w:rsidP="00BE1AC3">
            <w:pPr>
              <w:pStyle w:val="TableText"/>
            </w:pPr>
            <w:r>
              <w:t xml:space="preserve">For each </w:t>
            </w:r>
            <w:r w:rsidR="00B63E26">
              <w:t>d</w:t>
            </w:r>
            <w:r>
              <w:t>ivision (name, code):</w:t>
            </w:r>
          </w:p>
          <w:p w14:paraId="5038666D" w14:textId="77777777" w:rsidR="00AC7D2D" w:rsidRDefault="00AC7D2D" w:rsidP="00AC7D2D">
            <w:pPr>
              <w:pStyle w:val="TableTextBullet"/>
            </w:pPr>
            <w:r>
              <w:t>Printer Alerts On</w:t>
            </w:r>
          </w:p>
          <w:p w14:paraId="1EBE4070" w14:textId="77777777" w:rsidR="00AC7D2D" w:rsidRDefault="00AC7D2D" w:rsidP="00AC7D2D">
            <w:pPr>
              <w:pStyle w:val="TableTextBullet"/>
            </w:pPr>
            <w:r>
              <w:t>Printer Name</w:t>
            </w:r>
          </w:p>
          <w:p w14:paraId="03BABE31" w14:textId="77777777" w:rsidR="00AC7D2D" w:rsidRDefault="00AC7D2D" w:rsidP="00AC7D2D">
            <w:pPr>
              <w:pStyle w:val="TableTextBullet"/>
            </w:pPr>
            <w:r>
              <w:t xml:space="preserve">(Printer) Order Alert Type </w:t>
            </w:r>
          </w:p>
          <w:p w14:paraId="2E1F0570" w14:textId="77777777" w:rsidR="00AC7D2D" w:rsidRDefault="00AC7D2D" w:rsidP="00AC7D2D">
            <w:pPr>
              <w:pStyle w:val="TableTextBullet"/>
            </w:pPr>
            <w:r>
              <w:t>(Printer) Orders Needed In</w:t>
            </w:r>
          </w:p>
          <w:p w14:paraId="772076E5" w14:textId="77777777" w:rsidR="00AC7D2D" w:rsidRDefault="00AC7D2D" w:rsidP="00AC7D2D">
            <w:pPr>
              <w:pStyle w:val="TableTextBullet"/>
            </w:pPr>
            <w:r>
              <w:t>Icon Alerts On</w:t>
            </w:r>
          </w:p>
          <w:p w14:paraId="337E2DE5" w14:textId="77777777" w:rsidR="00AC7D2D" w:rsidRDefault="00AC7D2D" w:rsidP="00AC7D2D">
            <w:pPr>
              <w:pStyle w:val="TableTextBullet"/>
            </w:pPr>
            <w:r>
              <w:t>Refresh Rate</w:t>
            </w:r>
          </w:p>
          <w:p w14:paraId="0AB38A07" w14:textId="77777777" w:rsidR="00AC7D2D" w:rsidRDefault="00AC7D2D" w:rsidP="00AC7D2D">
            <w:pPr>
              <w:pStyle w:val="TableTextBullet"/>
            </w:pPr>
            <w:r>
              <w:t xml:space="preserve">(Icon) Order Alert Type </w:t>
            </w:r>
          </w:p>
          <w:p w14:paraId="24C2EE3C" w14:textId="77777777" w:rsidR="002A21AE" w:rsidRDefault="00AC7D2D" w:rsidP="00AC7D2D">
            <w:pPr>
              <w:pStyle w:val="TableTextBullet"/>
            </w:pPr>
            <w:r>
              <w:t>(Icon) Orders Needed In</w:t>
            </w:r>
          </w:p>
        </w:tc>
        <w:tc>
          <w:tcPr>
            <w:tcW w:w="1243" w:type="dxa"/>
          </w:tcPr>
          <w:p w14:paraId="653A3668" w14:textId="77777777" w:rsidR="002A21AE" w:rsidRDefault="002A21AE">
            <w:pPr>
              <w:pStyle w:val="TableText"/>
            </w:pPr>
            <w:r>
              <w:t>No</w:t>
            </w:r>
          </w:p>
        </w:tc>
        <w:tc>
          <w:tcPr>
            <w:tcW w:w="1295" w:type="dxa"/>
          </w:tcPr>
          <w:p w14:paraId="05461FFB" w14:textId="77777777" w:rsidR="002A21AE" w:rsidRDefault="002A21AE">
            <w:pPr>
              <w:pStyle w:val="TableText"/>
            </w:pPr>
            <w:r>
              <w:t>No</w:t>
            </w:r>
          </w:p>
        </w:tc>
      </w:tr>
      <w:tr w:rsidR="002A21AE" w14:paraId="722604EC" w14:textId="77777777">
        <w:tc>
          <w:tcPr>
            <w:tcW w:w="1373" w:type="dxa"/>
          </w:tcPr>
          <w:p w14:paraId="7FE7F8EC" w14:textId="77777777" w:rsidR="002A21AE" w:rsidRDefault="002A21AE" w:rsidP="00CD34EB">
            <w:pPr>
              <w:pStyle w:val="TableText"/>
            </w:pPr>
            <w:r>
              <w:lastRenderedPageBreak/>
              <w:t>Maintenance: Interface Control</w:t>
            </w:r>
          </w:p>
        </w:tc>
        <w:tc>
          <w:tcPr>
            <w:tcW w:w="1979" w:type="dxa"/>
          </w:tcPr>
          <w:p w14:paraId="0145798A" w14:textId="77777777" w:rsidR="002A21AE" w:rsidRDefault="00706DB3">
            <w:pPr>
              <w:pStyle w:val="TableText"/>
            </w:pPr>
            <w:r>
              <w:t>Configure Interfaces</w:t>
            </w:r>
            <w:r w:rsidRPr="00706DB3">
              <w:rPr>
                <w:vanish/>
                <w:szCs w:val="18"/>
              </w:rPr>
              <w:t xml:space="preserve"> MUC_01</w:t>
            </w:r>
          </w:p>
        </w:tc>
        <w:tc>
          <w:tcPr>
            <w:tcW w:w="3470" w:type="dxa"/>
          </w:tcPr>
          <w:p w14:paraId="615443BA" w14:textId="77777777" w:rsidR="002A21AE" w:rsidRDefault="00BE1AC3">
            <w:pPr>
              <w:pStyle w:val="TableTextBullet"/>
            </w:pPr>
            <w:r>
              <w:t xml:space="preserve">VistA </w:t>
            </w:r>
            <w:r w:rsidR="00A615EC">
              <w:t>IP Address or Server Name</w:t>
            </w:r>
          </w:p>
          <w:p w14:paraId="78B710EF" w14:textId="77777777" w:rsidR="002A21AE" w:rsidRDefault="00BE1AC3">
            <w:pPr>
              <w:pStyle w:val="TableTextBullet"/>
            </w:pPr>
            <w:r>
              <w:t xml:space="preserve">VistA </w:t>
            </w:r>
            <w:r w:rsidR="002A21AE">
              <w:t>Port Number</w:t>
            </w:r>
          </w:p>
          <w:p w14:paraId="22118861" w14:textId="77777777" w:rsidR="005773E9" w:rsidRDefault="00A615EC">
            <w:pPr>
              <w:pStyle w:val="TableTextBullet"/>
            </w:pPr>
            <w:r>
              <w:t>VBECS VistALink Service IP Address or Server Name</w:t>
            </w:r>
          </w:p>
          <w:p w14:paraId="15A9A5EA" w14:textId="77777777" w:rsidR="00A615EC" w:rsidRDefault="00A615EC">
            <w:pPr>
              <w:pStyle w:val="TableTextBullet"/>
            </w:pPr>
            <w:r>
              <w:t>VBECS VistALink Service Port Number</w:t>
            </w:r>
          </w:p>
          <w:p w14:paraId="284ED016" w14:textId="77777777" w:rsidR="00A615EC" w:rsidRDefault="00A615EC">
            <w:pPr>
              <w:pStyle w:val="TableTextBullet"/>
            </w:pPr>
            <w:r>
              <w:t>Broker IP Address or Server Name</w:t>
            </w:r>
          </w:p>
          <w:p w14:paraId="729199CE" w14:textId="77777777" w:rsidR="00A615EC" w:rsidRDefault="00A615EC">
            <w:pPr>
              <w:pStyle w:val="TableTextBullet"/>
            </w:pPr>
            <w:r>
              <w:t>Broker Port Number</w:t>
            </w:r>
          </w:p>
        </w:tc>
        <w:tc>
          <w:tcPr>
            <w:tcW w:w="1243" w:type="dxa"/>
          </w:tcPr>
          <w:p w14:paraId="56C66E6B" w14:textId="77777777" w:rsidR="002A21AE" w:rsidRDefault="002A21AE">
            <w:pPr>
              <w:pStyle w:val="TableText"/>
            </w:pPr>
            <w:r>
              <w:t>No</w:t>
            </w:r>
          </w:p>
        </w:tc>
        <w:tc>
          <w:tcPr>
            <w:tcW w:w="1295" w:type="dxa"/>
          </w:tcPr>
          <w:p w14:paraId="1586DF02" w14:textId="77777777" w:rsidR="002A21AE" w:rsidRDefault="002A21AE">
            <w:pPr>
              <w:pStyle w:val="TableText"/>
            </w:pPr>
            <w:r>
              <w:t>No</w:t>
            </w:r>
          </w:p>
        </w:tc>
      </w:tr>
      <w:tr w:rsidR="002A21AE" w14:paraId="0B53FE79" w14:textId="77777777">
        <w:tc>
          <w:tcPr>
            <w:tcW w:w="1373" w:type="dxa"/>
          </w:tcPr>
          <w:p w14:paraId="3797D097" w14:textId="77777777" w:rsidR="002A21AE" w:rsidRDefault="002A21AE" w:rsidP="00CD34EB">
            <w:pPr>
              <w:pStyle w:val="TableText"/>
            </w:pPr>
            <w:r>
              <w:t>Maintenance: Interface Control</w:t>
            </w:r>
          </w:p>
        </w:tc>
        <w:tc>
          <w:tcPr>
            <w:tcW w:w="1979" w:type="dxa"/>
          </w:tcPr>
          <w:p w14:paraId="5629F843" w14:textId="77777777" w:rsidR="002A21AE" w:rsidRDefault="00DE4FF7">
            <w:pPr>
              <w:pStyle w:val="TableText"/>
            </w:pPr>
            <w:r w:rsidRPr="00DE4FF7">
              <w:rPr>
                <w:szCs w:val="18"/>
              </w:rPr>
              <w:t>Configure Interfaces</w:t>
            </w:r>
            <w:r>
              <w:rPr>
                <w:vanish/>
                <w:szCs w:val="18"/>
              </w:rPr>
              <w:t xml:space="preserve"> </w:t>
            </w:r>
            <w:r w:rsidR="002A21AE" w:rsidRPr="00DE4FF7">
              <w:rPr>
                <w:vanish/>
                <w:szCs w:val="18"/>
              </w:rPr>
              <w:t>Define Interface Control Parameters</w:t>
            </w:r>
            <w:r w:rsidRPr="00DE4FF7">
              <w:rPr>
                <w:vanish/>
                <w:szCs w:val="18"/>
              </w:rPr>
              <w:t xml:space="preserve"> MUC_0</w:t>
            </w:r>
            <w:r w:rsidR="00EC2E09">
              <w:rPr>
                <w:vanish/>
                <w:szCs w:val="18"/>
              </w:rPr>
              <w:t>1</w:t>
            </w:r>
          </w:p>
        </w:tc>
        <w:tc>
          <w:tcPr>
            <w:tcW w:w="3470" w:type="dxa"/>
          </w:tcPr>
          <w:p w14:paraId="23260027" w14:textId="77777777" w:rsidR="00BE1AC3" w:rsidRPr="00BE1AC3" w:rsidRDefault="00BE1AC3" w:rsidP="00BE1AC3">
            <w:pPr>
              <w:pStyle w:val="TableText"/>
            </w:pPr>
            <w:r>
              <w:t>For each interface defined:</w:t>
            </w:r>
          </w:p>
          <w:p w14:paraId="03E09B88" w14:textId="77777777" w:rsidR="005773E9" w:rsidRDefault="00BE1AC3" w:rsidP="00A615EC">
            <w:pPr>
              <w:pStyle w:val="TableTextBullet"/>
            </w:pPr>
            <w:r>
              <w:rPr>
                <w:bCs/>
              </w:rPr>
              <w:t>Interface</w:t>
            </w:r>
            <w:r>
              <w:t xml:space="preserve"> </w:t>
            </w:r>
            <w:r w:rsidR="002A21AE">
              <w:t>IP Address</w:t>
            </w:r>
            <w:r w:rsidR="00A615EC">
              <w:t xml:space="preserve"> or Server Name</w:t>
            </w:r>
          </w:p>
          <w:p w14:paraId="5ABB6F32" w14:textId="77777777" w:rsidR="002A21AE" w:rsidRDefault="00BE1AC3">
            <w:pPr>
              <w:pStyle w:val="TableTextBullet"/>
            </w:pPr>
            <w:r>
              <w:rPr>
                <w:bCs/>
              </w:rPr>
              <w:t>Interface</w:t>
            </w:r>
            <w:r>
              <w:t xml:space="preserve"> </w:t>
            </w:r>
            <w:r w:rsidR="002A21AE">
              <w:t>Port Number</w:t>
            </w:r>
          </w:p>
          <w:p w14:paraId="63A5B33E" w14:textId="77777777" w:rsidR="00BE1AC3" w:rsidRDefault="00BE1AC3">
            <w:pPr>
              <w:pStyle w:val="TableTextBullet"/>
            </w:pPr>
            <w:r>
              <w:t>Interface Facility ID</w:t>
            </w:r>
          </w:p>
          <w:p w14:paraId="66DA48CF" w14:textId="77777777" w:rsidR="00BE1AC3" w:rsidRDefault="0009266F" w:rsidP="00A615EC">
            <w:pPr>
              <w:pStyle w:val="TableTextBullet"/>
            </w:pPr>
            <w:r>
              <w:t>Interface Status</w:t>
            </w:r>
          </w:p>
          <w:p w14:paraId="5F280DA1" w14:textId="77777777" w:rsidR="0009266F" w:rsidRDefault="0009266F" w:rsidP="0009266F">
            <w:pPr>
              <w:pStyle w:val="TableTextBullet"/>
              <w:numPr>
                <w:ilvl w:val="0"/>
                <w:numId w:val="0"/>
              </w:numPr>
              <w:ind w:left="288" w:hanging="288"/>
            </w:pPr>
          </w:p>
          <w:p w14:paraId="1E9FD0ED" w14:textId="77777777" w:rsidR="0013678B" w:rsidRDefault="0013678B" w:rsidP="0013678B">
            <w:pPr>
              <w:pStyle w:val="TableTextBullet"/>
              <w:numPr>
                <w:ilvl w:val="0"/>
                <w:numId w:val="0"/>
              </w:numPr>
              <w:ind w:left="288" w:hanging="288"/>
            </w:pPr>
            <w:r>
              <w:t>Common Interface settings</w:t>
            </w:r>
          </w:p>
          <w:p w14:paraId="741EDC1A" w14:textId="77777777" w:rsidR="00BE1AC3" w:rsidRDefault="0009266F" w:rsidP="00B85891">
            <w:pPr>
              <w:pStyle w:val="TableTextBullet"/>
            </w:pPr>
            <w:r>
              <w:t>VBECS IP Address or Server Name</w:t>
            </w:r>
          </w:p>
          <w:p w14:paraId="5EEEC0A3" w14:textId="77777777" w:rsidR="0009266F" w:rsidRDefault="0009266F" w:rsidP="00B85891">
            <w:pPr>
              <w:pStyle w:val="TableTextBullet"/>
            </w:pPr>
            <w:r>
              <w:t>VBECS Port Number</w:t>
            </w:r>
          </w:p>
          <w:p w14:paraId="08611C56" w14:textId="77777777" w:rsidR="002A21AE" w:rsidRDefault="002A21AE">
            <w:pPr>
              <w:pStyle w:val="TableTextBullet"/>
            </w:pPr>
            <w:r>
              <w:t>Ack Timeout</w:t>
            </w:r>
          </w:p>
          <w:p w14:paraId="1088D108" w14:textId="77777777" w:rsidR="002A21AE" w:rsidRDefault="002A21AE">
            <w:pPr>
              <w:pStyle w:val="TableTextBullet"/>
            </w:pPr>
            <w:r>
              <w:t xml:space="preserve">Retransmit Attempts </w:t>
            </w:r>
          </w:p>
          <w:p w14:paraId="6BC7E5D0" w14:textId="77777777" w:rsidR="00ED67B4" w:rsidRDefault="002A21AE" w:rsidP="0009266F">
            <w:pPr>
              <w:pStyle w:val="TableTextBullet"/>
            </w:pPr>
            <w:r>
              <w:t>Interface Administrator Email</w:t>
            </w:r>
          </w:p>
        </w:tc>
        <w:tc>
          <w:tcPr>
            <w:tcW w:w="1243" w:type="dxa"/>
          </w:tcPr>
          <w:p w14:paraId="6EC84875" w14:textId="77777777" w:rsidR="002A21AE" w:rsidRDefault="002A21AE">
            <w:pPr>
              <w:pStyle w:val="TableText"/>
            </w:pPr>
            <w:r>
              <w:t>No</w:t>
            </w:r>
          </w:p>
        </w:tc>
        <w:tc>
          <w:tcPr>
            <w:tcW w:w="1295" w:type="dxa"/>
          </w:tcPr>
          <w:p w14:paraId="14909FED" w14:textId="77777777" w:rsidR="002A21AE" w:rsidRDefault="002A21AE">
            <w:pPr>
              <w:pStyle w:val="TableText"/>
            </w:pPr>
            <w:r>
              <w:t>No</w:t>
            </w:r>
          </w:p>
        </w:tc>
      </w:tr>
    </w:tbl>
    <w:p w14:paraId="3056245A" w14:textId="77777777" w:rsidR="002A21AE" w:rsidRDefault="002A21AE">
      <w:pPr>
        <w:pStyle w:val="Heading3"/>
        <w:sectPr w:rsidR="002A21AE" w:rsidSect="00667BEE">
          <w:pgSz w:w="12240" w:h="15840" w:code="1"/>
          <w:pgMar w:top="1440" w:right="1440" w:bottom="1440" w:left="1440" w:header="720" w:footer="720" w:gutter="0"/>
          <w:cols w:space="720"/>
          <w:docGrid w:linePitch="360"/>
        </w:sectPr>
      </w:pPr>
    </w:p>
    <w:p w14:paraId="73BD539A" w14:textId="77777777" w:rsidR="002A21AE" w:rsidRDefault="002A21AE">
      <w:pPr>
        <w:pStyle w:val="Heading3"/>
      </w:pPr>
      <w:r>
        <w:rPr>
          <w:rFonts w:ascii="Geneva" w:hAnsi="Geneva"/>
          <w:vanish/>
        </w:rPr>
        <w:lastRenderedPageBreak/>
        <w:t xml:space="preserve">TT_82.01 </w:t>
      </w:r>
      <w:bookmarkStart w:id="654" w:name="_Toc4588871"/>
      <w:r>
        <w:t>Details in Exception Report</w:t>
      </w:r>
      <w:bookmarkEnd w:id="654"/>
      <w:r>
        <w:fldChar w:fldCharType="begin"/>
      </w:r>
      <w:r>
        <w:instrText xml:space="preserve"> XE </w:instrText>
      </w:r>
      <w:r w:rsidR="00FA7E65">
        <w:instrText>“</w:instrText>
      </w:r>
      <w:r>
        <w:instrText>Tables:Details in Exception Report</w:instrText>
      </w:r>
      <w:r w:rsidR="00FA7E65">
        <w:instrText>”</w:instrText>
      </w:r>
      <w:r>
        <w:instrText xml:space="preserve"> </w:instrText>
      </w:r>
      <w:r>
        <w:fldChar w:fldCharType="end"/>
      </w:r>
    </w:p>
    <w:p w14:paraId="413D4304" w14:textId="6085B78C" w:rsidR="002A21AE" w:rsidRDefault="003C5356" w:rsidP="00FA7E65">
      <w:pPr>
        <w:pStyle w:val="BodyText"/>
      </w:pPr>
      <w:r>
        <w:fldChar w:fldCharType="begin" w:fldLock="1"/>
      </w:r>
      <w:r>
        <w:instrText xml:space="preserve"> REF _Ref126732272 \h </w:instrText>
      </w:r>
      <w:r>
        <w:fldChar w:fldCharType="separate"/>
      </w:r>
      <w:r w:rsidR="00AB304C">
        <w:t xml:space="preserve">Table </w:t>
      </w:r>
      <w:r w:rsidR="00AB304C">
        <w:rPr>
          <w:noProof/>
        </w:rPr>
        <w:t>21</w:t>
      </w:r>
      <w:r>
        <w:fldChar w:fldCharType="end"/>
      </w:r>
      <w:r w:rsidR="002A21AE">
        <w:t xml:space="preserve"> </w:t>
      </w:r>
      <w:r w:rsidR="008D0E7B">
        <w:t>lists exception types and the reports in which they appear.</w:t>
      </w:r>
    </w:p>
    <w:p w14:paraId="6640C4E5" w14:textId="60986482" w:rsidR="002A21AE" w:rsidRDefault="002A21AE">
      <w:pPr>
        <w:pStyle w:val="Caption"/>
      </w:pPr>
      <w:bookmarkStart w:id="655" w:name="_Ref126732272"/>
      <w:bookmarkStart w:id="656" w:name="_Toc97523638"/>
      <w:bookmarkStart w:id="657" w:name="_Toc97527608"/>
      <w:bookmarkStart w:id="658" w:name="_Ref126504543"/>
      <w:bookmarkStart w:id="659" w:name="_Ref126504629"/>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647F4E">
        <w:rPr>
          <w:noProof/>
        </w:rPr>
        <w:t>21</w:t>
      </w:r>
      <w:r w:rsidR="004E20BD">
        <w:rPr>
          <w:noProof/>
        </w:rPr>
        <w:fldChar w:fldCharType="end"/>
      </w:r>
      <w:bookmarkEnd w:id="655"/>
      <w:r>
        <w:t xml:space="preserve">: </w:t>
      </w:r>
      <w:r>
        <w:rPr>
          <w:vanish/>
        </w:rPr>
        <w:t xml:space="preserve">TT_82.01 </w:t>
      </w:r>
      <w:r>
        <w:t>Details in Exception Report</w:t>
      </w:r>
      <w:bookmarkEnd w:id="656"/>
      <w:bookmarkEnd w:id="657"/>
      <w:bookmarkEnd w:id="658"/>
      <w:bookmarkEnd w:id="659"/>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1620"/>
        <w:gridCol w:w="2520"/>
        <w:gridCol w:w="1080"/>
        <w:gridCol w:w="1152"/>
      </w:tblGrid>
      <w:tr w:rsidR="00C045C1" w14:paraId="491D7F2D" w14:textId="77777777">
        <w:trPr>
          <w:cantSplit/>
          <w:tblHeader/>
        </w:trPr>
        <w:tc>
          <w:tcPr>
            <w:tcW w:w="2988" w:type="dxa"/>
            <w:vMerge w:val="restart"/>
            <w:shd w:val="clear" w:color="auto" w:fill="B3B3B3"/>
            <w:vAlign w:val="bottom"/>
          </w:tcPr>
          <w:p w14:paraId="5DCE7A3A" w14:textId="77777777" w:rsidR="00C045C1" w:rsidRDefault="00C045C1" w:rsidP="00C045C1">
            <w:pPr>
              <w:pStyle w:val="TableText"/>
              <w:rPr>
                <w:rFonts w:ascii="Symbol" w:eastAsia="Symbol" w:hAnsi="Symbol"/>
                <w:b/>
              </w:rPr>
            </w:pPr>
            <w:r>
              <w:rPr>
                <w:b/>
              </w:rPr>
              <w:t>Exception Type</w:t>
            </w:r>
          </w:p>
        </w:tc>
        <w:tc>
          <w:tcPr>
            <w:tcW w:w="1620" w:type="dxa"/>
            <w:vMerge w:val="restart"/>
            <w:shd w:val="clear" w:color="auto" w:fill="B3B3B3"/>
            <w:vAlign w:val="bottom"/>
          </w:tcPr>
          <w:p w14:paraId="5533F8A2" w14:textId="77777777" w:rsidR="00C045C1" w:rsidRPr="0095633D" w:rsidRDefault="00C045C1" w:rsidP="00C045C1">
            <w:pPr>
              <w:pStyle w:val="TableText"/>
              <w:rPr>
                <w:rFonts w:eastAsia="Symbol" w:cs="Arial"/>
                <w:b/>
              </w:rPr>
            </w:pPr>
            <w:r>
              <w:rPr>
                <w:rFonts w:eastAsia="Symbol" w:cs="Arial"/>
                <w:b/>
              </w:rPr>
              <w:t>Available to Role</w:t>
            </w:r>
          </w:p>
        </w:tc>
        <w:tc>
          <w:tcPr>
            <w:tcW w:w="2520" w:type="dxa"/>
            <w:vMerge w:val="restart"/>
            <w:shd w:val="clear" w:color="auto" w:fill="B3B3B3"/>
            <w:vAlign w:val="bottom"/>
          </w:tcPr>
          <w:p w14:paraId="45D63877" w14:textId="77777777" w:rsidR="00C045C1" w:rsidRPr="00A7231C" w:rsidRDefault="00C045C1" w:rsidP="00C045C1">
            <w:pPr>
              <w:pStyle w:val="TableText"/>
              <w:rPr>
                <w:rFonts w:eastAsia="Symbol" w:cs="Arial"/>
                <w:b/>
              </w:rPr>
            </w:pPr>
            <w:r>
              <w:rPr>
                <w:rFonts w:eastAsia="Symbol" w:cs="Arial"/>
                <w:b/>
              </w:rPr>
              <w:t>Available in Option</w:t>
            </w:r>
          </w:p>
        </w:tc>
        <w:tc>
          <w:tcPr>
            <w:tcW w:w="2232" w:type="dxa"/>
            <w:gridSpan w:val="2"/>
            <w:shd w:val="clear" w:color="auto" w:fill="B3B3B3"/>
          </w:tcPr>
          <w:p w14:paraId="4641105C" w14:textId="77777777" w:rsidR="00C045C1" w:rsidRDefault="00C045C1" w:rsidP="0058499D">
            <w:pPr>
              <w:pStyle w:val="TableText"/>
              <w:jc w:val="center"/>
              <w:rPr>
                <w:rFonts w:eastAsia="Symbol"/>
                <w:b/>
                <w:bCs/>
              </w:rPr>
            </w:pPr>
            <w:r>
              <w:rPr>
                <w:rFonts w:eastAsia="Symbol"/>
                <w:b/>
                <w:bCs/>
              </w:rPr>
              <w:t>Accessible in:</w:t>
            </w:r>
          </w:p>
        </w:tc>
      </w:tr>
      <w:tr w:rsidR="00C045C1" w14:paraId="7511D216" w14:textId="77777777">
        <w:trPr>
          <w:cantSplit/>
          <w:tblHeader/>
        </w:trPr>
        <w:tc>
          <w:tcPr>
            <w:tcW w:w="2988" w:type="dxa"/>
            <w:vMerge/>
            <w:shd w:val="clear" w:color="auto" w:fill="C0C0C0"/>
          </w:tcPr>
          <w:p w14:paraId="0BA4AE74" w14:textId="77777777" w:rsidR="00C045C1" w:rsidRDefault="00C045C1" w:rsidP="00C045C1">
            <w:pPr>
              <w:pStyle w:val="TableText"/>
              <w:rPr>
                <w:b/>
              </w:rPr>
            </w:pPr>
          </w:p>
        </w:tc>
        <w:tc>
          <w:tcPr>
            <w:tcW w:w="1620" w:type="dxa"/>
            <w:vMerge/>
            <w:shd w:val="clear" w:color="auto" w:fill="C0C0C0"/>
          </w:tcPr>
          <w:p w14:paraId="47C54818" w14:textId="77777777" w:rsidR="00C045C1" w:rsidRDefault="00C045C1" w:rsidP="00C045C1">
            <w:pPr>
              <w:pStyle w:val="TableText"/>
              <w:rPr>
                <w:b/>
              </w:rPr>
            </w:pPr>
          </w:p>
        </w:tc>
        <w:tc>
          <w:tcPr>
            <w:tcW w:w="2520" w:type="dxa"/>
            <w:vMerge/>
            <w:shd w:val="clear" w:color="auto" w:fill="C0C0C0"/>
          </w:tcPr>
          <w:p w14:paraId="766BA425" w14:textId="77777777" w:rsidR="00C045C1" w:rsidRDefault="00C045C1" w:rsidP="00C045C1">
            <w:pPr>
              <w:pStyle w:val="TableText"/>
              <w:rPr>
                <w:b/>
              </w:rPr>
            </w:pPr>
          </w:p>
        </w:tc>
        <w:tc>
          <w:tcPr>
            <w:tcW w:w="1080" w:type="dxa"/>
            <w:shd w:val="clear" w:color="auto" w:fill="B3B3B3"/>
          </w:tcPr>
          <w:p w14:paraId="1A852112" w14:textId="77777777" w:rsidR="00C045C1" w:rsidRDefault="00C045C1" w:rsidP="00C045C1">
            <w:pPr>
              <w:pStyle w:val="TableText"/>
              <w:rPr>
                <w:rFonts w:eastAsia="Symbol"/>
                <w:b/>
                <w:bCs/>
              </w:rPr>
            </w:pPr>
            <w:r>
              <w:rPr>
                <w:rFonts w:eastAsia="Symbol"/>
                <w:b/>
                <w:bCs/>
              </w:rPr>
              <w:t>Unit History Report?</w:t>
            </w:r>
          </w:p>
        </w:tc>
        <w:tc>
          <w:tcPr>
            <w:tcW w:w="1152" w:type="dxa"/>
            <w:shd w:val="clear" w:color="auto" w:fill="B3B3B3"/>
          </w:tcPr>
          <w:p w14:paraId="00526C4F" w14:textId="77777777" w:rsidR="00C045C1" w:rsidRDefault="00C045C1" w:rsidP="00C045C1">
            <w:pPr>
              <w:pStyle w:val="TableText"/>
              <w:rPr>
                <w:rFonts w:eastAsia="Symbol"/>
                <w:b/>
                <w:bCs/>
              </w:rPr>
            </w:pPr>
            <w:r>
              <w:rPr>
                <w:rFonts w:eastAsia="Symbol"/>
                <w:b/>
                <w:bCs/>
              </w:rPr>
              <w:t>Patient History Report?</w:t>
            </w:r>
          </w:p>
        </w:tc>
      </w:tr>
      <w:tr w:rsidR="00C045C1" w14:paraId="4E1AA96A" w14:textId="77777777">
        <w:trPr>
          <w:cantSplit/>
        </w:trPr>
        <w:tc>
          <w:tcPr>
            <w:tcW w:w="2988" w:type="dxa"/>
          </w:tcPr>
          <w:p w14:paraId="47B58975" w14:textId="77777777" w:rsidR="00C045C1" w:rsidRDefault="00C045C1" w:rsidP="00C045C1">
            <w:pPr>
              <w:pStyle w:val="TableText"/>
            </w:pPr>
            <w:r>
              <w:t>ABO discrepant unit issue</w:t>
            </w:r>
          </w:p>
        </w:tc>
        <w:tc>
          <w:tcPr>
            <w:tcW w:w="1620" w:type="dxa"/>
          </w:tcPr>
          <w:p w14:paraId="1A673249" w14:textId="77777777" w:rsidR="00C045C1" w:rsidRDefault="00C045C1" w:rsidP="00C045C1">
            <w:pPr>
              <w:pStyle w:val="TableText"/>
            </w:pPr>
            <w:r>
              <w:t>All</w:t>
            </w:r>
          </w:p>
        </w:tc>
        <w:tc>
          <w:tcPr>
            <w:tcW w:w="2520" w:type="dxa"/>
          </w:tcPr>
          <w:p w14:paraId="0400D9C3" w14:textId="77777777" w:rsidR="00C045C1" w:rsidRDefault="00C045C1" w:rsidP="00C045C1">
            <w:pPr>
              <w:pStyle w:val="TableText"/>
            </w:pPr>
            <w:r>
              <w:t>Issue Unit</w:t>
            </w:r>
          </w:p>
        </w:tc>
        <w:tc>
          <w:tcPr>
            <w:tcW w:w="1080" w:type="dxa"/>
          </w:tcPr>
          <w:p w14:paraId="2FAECD01" w14:textId="77777777" w:rsidR="00C045C1" w:rsidRDefault="00C045C1" w:rsidP="00C045C1">
            <w:pPr>
              <w:pStyle w:val="TableText"/>
            </w:pPr>
            <w:r>
              <w:t>No</w:t>
            </w:r>
          </w:p>
        </w:tc>
        <w:tc>
          <w:tcPr>
            <w:tcW w:w="1152" w:type="dxa"/>
          </w:tcPr>
          <w:p w14:paraId="5FFB7DEC" w14:textId="77777777" w:rsidR="00C045C1" w:rsidRDefault="00C045C1" w:rsidP="00C045C1">
            <w:pPr>
              <w:pStyle w:val="TableText"/>
            </w:pPr>
            <w:r>
              <w:rPr>
                <w:rFonts w:eastAsia="Symbol"/>
              </w:rPr>
              <w:t>Yes</w:t>
            </w:r>
          </w:p>
        </w:tc>
      </w:tr>
      <w:tr w:rsidR="00C045C1" w14:paraId="3E25C8C6" w14:textId="77777777">
        <w:trPr>
          <w:cantSplit/>
        </w:trPr>
        <w:tc>
          <w:tcPr>
            <w:tcW w:w="2988" w:type="dxa"/>
          </w:tcPr>
          <w:p w14:paraId="6FE229D0" w14:textId="77777777" w:rsidR="00C045C1" w:rsidRDefault="00C045C1" w:rsidP="00C045C1">
            <w:pPr>
              <w:pStyle w:val="TableText"/>
              <w:rPr>
                <w:rFonts w:eastAsia="Symbol"/>
              </w:rPr>
            </w:pPr>
            <w:r>
              <w:t>ABO incompatible unit selected</w:t>
            </w:r>
          </w:p>
        </w:tc>
        <w:tc>
          <w:tcPr>
            <w:tcW w:w="1620" w:type="dxa"/>
          </w:tcPr>
          <w:p w14:paraId="526AF664" w14:textId="77777777" w:rsidR="00C045C1" w:rsidRDefault="00C045C1" w:rsidP="00C045C1">
            <w:pPr>
              <w:pStyle w:val="TableText"/>
              <w:rPr>
                <w:rFonts w:eastAsia="Symbol"/>
              </w:rPr>
            </w:pPr>
            <w:r>
              <w:rPr>
                <w:rFonts w:eastAsia="Symbol"/>
              </w:rPr>
              <w:t>None</w:t>
            </w:r>
          </w:p>
        </w:tc>
        <w:tc>
          <w:tcPr>
            <w:tcW w:w="2520" w:type="dxa"/>
          </w:tcPr>
          <w:p w14:paraId="6C7B2E78" w14:textId="77777777" w:rsidR="00C045C1" w:rsidRDefault="00C045C1" w:rsidP="00C045C1">
            <w:pPr>
              <w:pStyle w:val="TableText"/>
              <w:rPr>
                <w:rFonts w:eastAsia="Symbol"/>
              </w:rPr>
            </w:pPr>
            <w:r>
              <w:rPr>
                <w:rFonts w:eastAsia="Symbol"/>
              </w:rPr>
              <w:t>Select Unit</w:t>
            </w:r>
          </w:p>
        </w:tc>
        <w:tc>
          <w:tcPr>
            <w:tcW w:w="1080" w:type="dxa"/>
          </w:tcPr>
          <w:p w14:paraId="4CB2B11F" w14:textId="77777777" w:rsidR="00C045C1" w:rsidRDefault="00C045C1" w:rsidP="00C045C1">
            <w:pPr>
              <w:pStyle w:val="TableText"/>
              <w:rPr>
                <w:rFonts w:eastAsia="Symbol"/>
              </w:rPr>
            </w:pPr>
            <w:r>
              <w:t>No</w:t>
            </w:r>
          </w:p>
        </w:tc>
        <w:tc>
          <w:tcPr>
            <w:tcW w:w="1152" w:type="dxa"/>
          </w:tcPr>
          <w:p w14:paraId="7E41D217" w14:textId="77777777" w:rsidR="00C045C1" w:rsidRDefault="00C045C1" w:rsidP="00C045C1">
            <w:pPr>
              <w:pStyle w:val="TableText"/>
              <w:rPr>
                <w:rFonts w:eastAsia="Symbol"/>
              </w:rPr>
            </w:pPr>
            <w:r>
              <w:t>Yes</w:t>
            </w:r>
          </w:p>
        </w:tc>
      </w:tr>
      <w:tr w:rsidR="00C045C1" w14:paraId="40048133" w14:textId="77777777">
        <w:trPr>
          <w:cantSplit/>
        </w:trPr>
        <w:tc>
          <w:tcPr>
            <w:tcW w:w="2988" w:type="dxa"/>
          </w:tcPr>
          <w:p w14:paraId="4A9416B1" w14:textId="77777777" w:rsidR="00C045C1" w:rsidRDefault="00C045C1" w:rsidP="00C045C1">
            <w:pPr>
              <w:pStyle w:val="TableText"/>
            </w:pPr>
            <w:r>
              <w:t>ABO Incompatible Unit Transfused</w:t>
            </w:r>
          </w:p>
        </w:tc>
        <w:tc>
          <w:tcPr>
            <w:tcW w:w="1620" w:type="dxa"/>
          </w:tcPr>
          <w:p w14:paraId="2E375812" w14:textId="77777777" w:rsidR="00C045C1" w:rsidRPr="0095633D" w:rsidRDefault="00C045C1" w:rsidP="00C045C1">
            <w:pPr>
              <w:pStyle w:val="TableText"/>
            </w:pPr>
            <w:r>
              <w:rPr>
                <w:u w:val="single"/>
              </w:rPr>
              <w:t>&gt;</w:t>
            </w:r>
            <w:r>
              <w:t xml:space="preserve"> Traditional Supervisor</w:t>
            </w:r>
          </w:p>
        </w:tc>
        <w:tc>
          <w:tcPr>
            <w:tcW w:w="2520" w:type="dxa"/>
          </w:tcPr>
          <w:p w14:paraId="1C3A873A" w14:textId="77777777" w:rsidR="00C045C1" w:rsidRDefault="00C045C1" w:rsidP="00C045C1">
            <w:pPr>
              <w:pStyle w:val="TableText"/>
            </w:pPr>
            <w:r>
              <w:t>Document ABO Incompatible Transfusion</w:t>
            </w:r>
          </w:p>
        </w:tc>
        <w:tc>
          <w:tcPr>
            <w:tcW w:w="1080" w:type="dxa"/>
          </w:tcPr>
          <w:p w14:paraId="0C628A00" w14:textId="77777777" w:rsidR="00C045C1" w:rsidRDefault="00C045C1" w:rsidP="00C045C1">
            <w:pPr>
              <w:pStyle w:val="TableText"/>
            </w:pPr>
            <w:r>
              <w:t>No</w:t>
            </w:r>
          </w:p>
        </w:tc>
        <w:tc>
          <w:tcPr>
            <w:tcW w:w="1152" w:type="dxa"/>
          </w:tcPr>
          <w:p w14:paraId="3B54D1E1" w14:textId="77777777" w:rsidR="00C045C1" w:rsidRDefault="00C045C1" w:rsidP="00C045C1">
            <w:pPr>
              <w:pStyle w:val="TableText"/>
            </w:pPr>
            <w:r>
              <w:rPr>
                <w:rFonts w:eastAsia="Symbol"/>
              </w:rPr>
              <w:t>Yes</w:t>
            </w:r>
          </w:p>
        </w:tc>
      </w:tr>
      <w:tr w:rsidR="00C045C1" w14:paraId="19D5EA1B" w14:textId="77777777">
        <w:trPr>
          <w:cantSplit/>
        </w:trPr>
        <w:tc>
          <w:tcPr>
            <w:tcW w:w="2988" w:type="dxa"/>
          </w:tcPr>
          <w:p w14:paraId="07DD60EA" w14:textId="77777777" w:rsidR="00C045C1" w:rsidRDefault="00C045C1" w:rsidP="00C045C1">
            <w:pPr>
              <w:pStyle w:val="TableText"/>
              <w:rPr>
                <w:rFonts w:eastAsia="Symbol"/>
              </w:rPr>
            </w:pPr>
            <w:r>
              <w:t>Antigen positive unit crossmatched</w:t>
            </w:r>
          </w:p>
        </w:tc>
        <w:tc>
          <w:tcPr>
            <w:tcW w:w="1620" w:type="dxa"/>
          </w:tcPr>
          <w:p w14:paraId="52DBAD40" w14:textId="77777777" w:rsidR="00C045C1" w:rsidRPr="0095633D" w:rsidRDefault="00C045C1" w:rsidP="00C045C1">
            <w:pPr>
              <w:pStyle w:val="TableText"/>
              <w:rPr>
                <w:rFonts w:eastAsia="Symbol"/>
              </w:rPr>
            </w:pPr>
            <w:r>
              <w:rPr>
                <w:u w:val="single"/>
              </w:rPr>
              <w:t>&gt;</w:t>
            </w:r>
            <w:r>
              <w:t xml:space="preserve"> Lead Tech</w:t>
            </w:r>
          </w:p>
        </w:tc>
        <w:tc>
          <w:tcPr>
            <w:tcW w:w="2520" w:type="dxa"/>
          </w:tcPr>
          <w:p w14:paraId="50924B96" w14:textId="77777777" w:rsidR="00C045C1" w:rsidRDefault="00C045C1" w:rsidP="00C045C1">
            <w:pPr>
              <w:pStyle w:val="TableText"/>
              <w:rPr>
                <w:rFonts w:eastAsia="Symbol"/>
              </w:rPr>
            </w:pPr>
            <w:r>
              <w:rPr>
                <w:rFonts w:eastAsia="Symbol"/>
              </w:rPr>
              <w:t>Select Unit (when crossmatched)</w:t>
            </w:r>
          </w:p>
        </w:tc>
        <w:tc>
          <w:tcPr>
            <w:tcW w:w="1080" w:type="dxa"/>
          </w:tcPr>
          <w:p w14:paraId="176AA372" w14:textId="77777777" w:rsidR="00C045C1" w:rsidRDefault="00C045C1" w:rsidP="00C045C1">
            <w:pPr>
              <w:pStyle w:val="TableText"/>
              <w:rPr>
                <w:rFonts w:eastAsia="Symbol"/>
              </w:rPr>
            </w:pPr>
            <w:r>
              <w:t>No</w:t>
            </w:r>
          </w:p>
        </w:tc>
        <w:tc>
          <w:tcPr>
            <w:tcW w:w="1152" w:type="dxa"/>
          </w:tcPr>
          <w:p w14:paraId="710CF9BE" w14:textId="77777777" w:rsidR="00C045C1" w:rsidRDefault="00C045C1" w:rsidP="00C045C1">
            <w:pPr>
              <w:pStyle w:val="TableText"/>
              <w:rPr>
                <w:rFonts w:eastAsia="Symbol"/>
              </w:rPr>
            </w:pPr>
            <w:r>
              <w:rPr>
                <w:rFonts w:eastAsia="Symbol"/>
              </w:rPr>
              <w:t>Yes</w:t>
            </w:r>
          </w:p>
        </w:tc>
      </w:tr>
      <w:tr w:rsidR="00C045C1" w14:paraId="0DF3236B" w14:textId="77777777">
        <w:trPr>
          <w:cantSplit/>
        </w:trPr>
        <w:tc>
          <w:tcPr>
            <w:tcW w:w="2988" w:type="dxa"/>
          </w:tcPr>
          <w:p w14:paraId="3E82DFDB" w14:textId="77777777" w:rsidR="00C045C1" w:rsidRDefault="00C045C1" w:rsidP="00C045C1">
            <w:pPr>
              <w:pStyle w:val="TableText"/>
              <w:rPr>
                <w:rFonts w:eastAsia="Symbol"/>
              </w:rPr>
            </w:pPr>
            <w:r>
              <w:t>Antigen positive unit selected</w:t>
            </w:r>
          </w:p>
        </w:tc>
        <w:tc>
          <w:tcPr>
            <w:tcW w:w="1620" w:type="dxa"/>
          </w:tcPr>
          <w:p w14:paraId="3DD2AA6D" w14:textId="77777777" w:rsidR="00C045C1" w:rsidRDefault="00C045C1" w:rsidP="00C045C1">
            <w:pPr>
              <w:pStyle w:val="TableText"/>
              <w:rPr>
                <w:rFonts w:eastAsia="Symbol"/>
              </w:rPr>
            </w:pPr>
            <w:r>
              <w:rPr>
                <w:u w:val="single"/>
              </w:rPr>
              <w:t>&gt;</w:t>
            </w:r>
            <w:r>
              <w:t xml:space="preserve"> Lead Tech</w:t>
            </w:r>
          </w:p>
        </w:tc>
        <w:tc>
          <w:tcPr>
            <w:tcW w:w="2520" w:type="dxa"/>
          </w:tcPr>
          <w:p w14:paraId="55E0F794" w14:textId="77777777" w:rsidR="00C045C1" w:rsidRDefault="00C045C1" w:rsidP="00C045C1">
            <w:pPr>
              <w:pStyle w:val="TableText"/>
              <w:rPr>
                <w:rFonts w:eastAsia="Symbol"/>
              </w:rPr>
            </w:pPr>
            <w:r>
              <w:rPr>
                <w:rFonts w:eastAsia="Symbol"/>
              </w:rPr>
              <w:t>Select Unit</w:t>
            </w:r>
          </w:p>
        </w:tc>
        <w:tc>
          <w:tcPr>
            <w:tcW w:w="1080" w:type="dxa"/>
          </w:tcPr>
          <w:p w14:paraId="3286DCC1" w14:textId="77777777" w:rsidR="00C045C1" w:rsidRDefault="00C045C1" w:rsidP="00C045C1">
            <w:pPr>
              <w:pStyle w:val="TableText"/>
              <w:rPr>
                <w:rFonts w:eastAsia="Symbol"/>
              </w:rPr>
            </w:pPr>
            <w:r>
              <w:t>No</w:t>
            </w:r>
          </w:p>
        </w:tc>
        <w:tc>
          <w:tcPr>
            <w:tcW w:w="1152" w:type="dxa"/>
          </w:tcPr>
          <w:p w14:paraId="7ACFB8D8" w14:textId="77777777" w:rsidR="00C045C1" w:rsidRDefault="00C045C1" w:rsidP="00C045C1">
            <w:pPr>
              <w:pStyle w:val="TableText"/>
              <w:rPr>
                <w:rFonts w:eastAsia="Symbol"/>
              </w:rPr>
            </w:pPr>
            <w:r>
              <w:t>Yes</w:t>
            </w:r>
          </w:p>
        </w:tc>
      </w:tr>
      <w:tr w:rsidR="00C045C1" w14:paraId="1D52BD2A" w14:textId="77777777">
        <w:trPr>
          <w:cantSplit/>
        </w:trPr>
        <w:tc>
          <w:tcPr>
            <w:tcW w:w="2988" w:type="dxa"/>
          </w:tcPr>
          <w:p w14:paraId="43A2778B" w14:textId="77777777" w:rsidR="00C045C1" w:rsidRDefault="00C045C1" w:rsidP="00C045C1">
            <w:pPr>
              <w:pStyle w:val="TableText"/>
            </w:pPr>
            <w:r>
              <w:t>Antigen testing phase change</w:t>
            </w:r>
          </w:p>
        </w:tc>
        <w:tc>
          <w:tcPr>
            <w:tcW w:w="1620" w:type="dxa"/>
          </w:tcPr>
          <w:p w14:paraId="4AD0E7C3" w14:textId="77777777" w:rsidR="00C045C1" w:rsidRDefault="00C045C1" w:rsidP="00C045C1">
            <w:pPr>
              <w:pStyle w:val="TableText"/>
            </w:pPr>
            <w:r>
              <w:t>All</w:t>
            </w:r>
          </w:p>
        </w:tc>
        <w:tc>
          <w:tcPr>
            <w:tcW w:w="2520" w:type="dxa"/>
          </w:tcPr>
          <w:p w14:paraId="4B57FCA1" w14:textId="77777777" w:rsidR="00C045C1" w:rsidRDefault="00C045C1" w:rsidP="00C045C1">
            <w:pPr>
              <w:pStyle w:val="TableText"/>
            </w:pPr>
            <w:r>
              <w:t xml:space="preserve">Unit or Patient Antigen typing </w:t>
            </w:r>
          </w:p>
        </w:tc>
        <w:tc>
          <w:tcPr>
            <w:tcW w:w="1080" w:type="dxa"/>
          </w:tcPr>
          <w:p w14:paraId="09838FB2" w14:textId="77777777" w:rsidR="00C045C1" w:rsidRDefault="00C045C1" w:rsidP="00C045C1">
            <w:pPr>
              <w:pStyle w:val="TableText"/>
              <w:rPr>
                <w:rFonts w:eastAsia="Symbol"/>
              </w:rPr>
            </w:pPr>
            <w:r>
              <w:rPr>
                <w:rFonts w:eastAsia="Symbol"/>
              </w:rPr>
              <w:t>Yes (Antigen Typing)</w:t>
            </w:r>
          </w:p>
        </w:tc>
        <w:tc>
          <w:tcPr>
            <w:tcW w:w="1152" w:type="dxa"/>
          </w:tcPr>
          <w:p w14:paraId="172C6606" w14:textId="77777777" w:rsidR="00C045C1" w:rsidRDefault="00C045C1" w:rsidP="00C045C1">
            <w:pPr>
              <w:pStyle w:val="TableText"/>
              <w:rPr>
                <w:rFonts w:eastAsia="Symbol"/>
              </w:rPr>
            </w:pPr>
            <w:r>
              <w:rPr>
                <w:rFonts w:eastAsia="Symbol"/>
              </w:rPr>
              <w:t>Yes (Patient Testing: Record a Patient Antigen Typing)</w:t>
            </w:r>
          </w:p>
        </w:tc>
      </w:tr>
      <w:tr w:rsidR="00C045C1" w14:paraId="27A953FC" w14:textId="77777777">
        <w:trPr>
          <w:cantSplit/>
        </w:trPr>
        <w:tc>
          <w:tcPr>
            <w:tcW w:w="2988" w:type="dxa"/>
          </w:tcPr>
          <w:p w14:paraId="0A2FA497" w14:textId="77777777" w:rsidR="00C045C1" w:rsidRDefault="00C045C1" w:rsidP="00C045C1">
            <w:pPr>
              <w:pStyle w:val="TableText"/>
            </w:pPr>
            <w:r>
              <w:t>Antigen-positive/untested units issued</w:t>
            </w:r>
          </w:p>
        </w:tc>
        <w:tc>
          <w:tcPr>
            <w:tcW w:w="1620" w:type="dxa"/>
          </w:tcPr>
          <w:p w14:paraId="60C9EE66" w14:textId="77777777" w:rsidR="00C045C1" w:rsidRDefault="00C045C1" w:rsidP="00C045C1">
            <w:pPr>
              <w:pStyle w:val="TableText"/>
            </w:pPr>
            <w:r>
              <w:rPr>
                <w:u w:val="single"/>
              </w:rPr>
              <w:t>&gt;</w:t>
            </w:r>
            <w:r>
              <w:t xml:space="preserve"> Lead Tech</w:t>
            </w:r>
          </w:p>
        </w:tc>
        <w:tc>
          <w:tcPr>
            <w:tcW w:w="2520" w:type="dxa"/>
          </w:tcPr>
          <w:p w14:paraId="3DCBAC13" w14:textId="77777777" w:rsidR="00C045C1" w:rsidRDefault="00C045C1" w:rsidP="00C045C1">
            <w:pPr>
              <w:pStyle w:val="TableText"/>
            </w:pPr>
            <w:r>
              <w:t>Issue Blood</w:t>
            </w:r>
          </w:p>
        </w:tc>
        <w:tc>
          <w:tcPr>
            <w:tcW w:w="1080" w:type="dxa"/>
          </w:tcPr>
          <w:p w14:paraId="499539C1" w14:textId="77777777" w:rsidR="00C045C1" w:rsidRDefault="00C045C1" w:rsidP="00C045C1">
            <w:pPr>
              <w:pStyle w:val="TableText"/>
            </w:pPr>
            <w:r>
              <w:t>No</w:t>
            </w:r>
          </w:p>
        </w:tc>
        <w:tc>
          <w:tcPr>
            <w:tcW w:w="1152" w:type="dxa"/>
          </w:tcPr>
          <w:p w14:paraId="7CD58DAE" w14:textId="77777777" w:rsidR="00C045C1" w:rsidRDefault="00C045C1" w:rsidP="00C045C1">
            <w:pPr>
              <w:pStyle w:val="TableText"/>
            </w:pPr>
            <w:r>
              <w:rPr>
                <w:rFonts w:eastAsia="Symbol"/>
              </w:rPr>
              <w:t>Yes</w:t>
            </w:r>
          </w:p>
        </w:tc>
      </w:tr>
      <w:tr w:rsidR="00C045C1" w14:paraId="53B36E45" w14:textId="77777777">
        <w:trPr>
          <w:cantSplit/>
        </w:trPr>
        <w:tc>
          <w:tcPr>
            <w:tcW w:w="2988" w:type="dxa"/>
          </w:tcPr>
          <w:p w14:paraId="2607A31F" w14:textId="77777777" w:rsidR="00C045C1" w:rsidRDefault="00C045C1" w:rsidP="00C045C1">
            <w:pPr>
              <w:pStyle w:val="TableText"/>
            </w:pPr>
            <w:r>
              <w:t>Biohazardous unit issued</w:t>
            </w:r>
          </w:p>
        </w:tc>
        <w:tc>
          <w:tcPr>
            <w:tcW w:w="1620" w:type="dxa"/>
          </w:tcPr>
          <w:p w14:paraId="0E099510" w14:textId="77777777" w:rsidR="00C045C1" w:rsidRDefault="00C045C1" w:rsidP="00C045C1">
            <w:pPr>
              <w:pStyle w:val="TableText"/>
            </w:pPr>
            <w:r>
              <w:t>All</w:t>
            </w:r>
          </w:p>
        </w:tc>
        <w:tc>
          <w:tcPr>
            <w:tcW w:w="2520" w:type="dxa"/>
          </w:tcPr>
          <w:p w14:paraId="20A82E27" w14:textId="77777777" w:rsidR="00C045C1" w:rsidRDefault="00C045C1" w:rsidP="00C045C1">
            <w:pPr>
              <w:pStyle w:val="TableText"/>
            </w:pPr>
            <w:r>
              <w:t>Issue Blood</w:t>
            </w:r>
          </w:p>
        </w:tc>
        <w:tc>
          <w:tcPr>
            <w:tcW w:w="1080" w:type="dxa"/>
          </w:tcPr>
          <w:p w14:paraId="6EFF4F81" w14:textId="77777777" w:rsidR="00C045C1" w:rsidRDefault="00C045C1" w:rsidP="00C045C1">
            <w:pPr>
              <w:pStyle w:val="TableText"/>
            </w:pPr>
            <w:r>
              <w:t>No</w:t>
            </w:r>
          </w:p>
        </w:tc>
        <w:tc>
          <w:tcPr>
            <w:tcW w:w="1152" w:type="dxa"/>
          </w:tcPr>
          <w:p w14:paraId="5399F0B0" w14:textId="77777777" w:rsidR="00C045C1" w:rsidRDefault="00C045C1" w:rsidP="00C045C1">
            <w:pPr>
              <w:pStyle w:val="TableText"/>
            </w:pPr>
            <w:r>
              <w:rPr>
                <w:rFonts w:eastAsia="Symbol"/>
              </w:rPr>
              <w:t>Yes</w:t>
            </w:r>
          </w:p>
        </w:tc>
      </w:tr>
      <w:tr w:rsidR="00C045C1" w14:paraId="7F8CF5E3" w14:textId="77777777">
        <w:trPr>
          <w:cantSplit/>
        </w:trPr>
        <w:tc>
          <w:tcPr>
            <w:tcW w:w="2988" w:type="dxa"/>
          </w:tcPr>
          <w:p w14:paraId="259A4135" w14:textId="77777777" w:rsidR="00C045C1" w:rsidRDefault="00C045C1" w:rsidP="00C045C1">
            <w:pPr>
              <w:pStyle w:val="TableText"/>
              <w:rPr>
                <w:rFonts w:eastAsia="Symbol"/>
              </w:rPr>
            </w:pPr>
            <w:r>
              <w:t>Biohazardous unit modified</w:t>
            </w:r>
          </w:p>
        </w:tc>
        <w:tc>
          <w:tcPr>
            <w:tcW w:w="1620" w:type="dxa"/>
          </w:tcPr>
          <w:p w14:paraId="29C45690" w14:textId="77777777" w:rsidR="00C045C1" w:rsidRDefault="00C045C1" w:rsidP="00C045C1">
            <w:pPr>
              <w:pStyle w:val="TableText"/>
              <w:rPr>
                <w:rFonts w:eastAsia="Symbol"/>
              </w:rPr>
            </w:pPr>
            <w:r>
              <w:t>All</w:t>
            </w:r>
          </w:p>
        </w:tc>
        <w:tc>
          <w:tcPr>
            <w:tcW w:w="2520" w:type="dxa"/>
          </w:tcPr>
          <w:p w14:paraId="6C3990A7" w14:textId="77777777" w:rsidR="00C045C1" w:rsidRDefault="00C045C1" w:rsidP="00C045C1">
            <w:pPr>
              <w:pStyle w:val="TableText"/>
              <w:rPr>
                <w:rFonts w:eastAsia="Symbol"/>
              </w:rPr>
            </w:pPr>
            <w:r>
              <w:rPr>
                <w:rFonts w:eastAsia="Symbol"/>
              </w:rPr>
              <w:t>Modification</w:t>
            </w:r>
          </w:p>
        </w:tc>
        <w:tc>
          <w:tcPr>
            <w:tcW w:w="1080" w:type="dxa"/>
          </w:tcPr>
          <w:p w14:paraId="776F354D" w14:textId="77777777" w:rsidR="00C045C1" w:rsidRDefault="00C045C1" w:rsidP="00C045C1">
            <w:pPr>
              <w:pStyle w:val="TableText"/>
              <w:rPr>
                <w:rFonts w:eastAsia="Symbol"/>
              </w:rPr>
            </w:pPr>
            <w:r>
              <w:t>Yes</w:t>
            </w:r>
          </w:p>
        </w:tc>
        <w:tc>
          <w:tcPr>
            <w:tcW w:w="1152" w:type="dxa"/>
          </w:tcPr>
          <w:p w14:paraId="005CB4B3" w14:textId="77777777" w:rsidR="00C045C1" w:rsidRDefault="00C045C1" w:rsidP="00C045C1">
            <w:pPr>
              <w:pStyle w:val="TableText"/>
              <w:rPr>
                <w:rFonts w:eastAsia="Symbol"/>
              </w:rPr>
            </w:pPr>
            <w:r>
              <w:t>No</w:t>
            </w:r>
          </w:p>
        </w:tc>
      </w:tr>
      <w:tr w:rsidR="00C045C1" w14:paraId="4D175D2B" w14:textId="77777777">
        <w:trPr>
          <w:cantSplit/>
        </w:trPr>
        <w:tc>
          <w:tcPr>
            <w:tcW w:w="2988" w:type="dxa"/>
          </w:tcPr>
          <w:p w14:paraId="5DC214E1" w14:textId="77777777" w:rsidR="00C045C1" w:rsidRDefault="00C045C1" w:rsidP="00C045C1">
            <w:pPr>
              <w:pStyle w:val="TableText"/>
              <w:rPr>
                <w:rFonts w:eastAsia="Symbol"/>
              </w:rPr>
            </w:pPr>
            <w:r>
              <w:t>Biohazardous unit selected</w:t>
            </w:r>
          </w:p>
        </w:tc>
        <w:tc>
          <w:tcPr>
            <w:tcW w:w="1620" w:type="dxa"/>
          </w:tcPr>
          <w:p w14:paraId="79A7D6EC" w14:textId="77777777" w:rsidR="00C045C1" w:rsidRDefault="00C045C1" w:rsidP="00C045C1">
            <w:pPr>
              <w:pStyle w:val="TableText"/>
              <w:rPr>
                <w:rFonts w:eastAsia="Symbol"/>
              </w:rPr>
            </w:pPr>
            <w:r>
              <w:t>All</w:t>
            </w:r>
          </w:p>
        </w:tc>
        <w:tc>
          <w:tcPr>
            <w:tcW w:w="2520" w:type="dxa"/>
          </w:tcPr>
          <w:p w14:paraId="36ED1E1C" w14:textId="77777777" w:rsidR="00C045C1" w:rsidRDefault="00C045C1" w:rsidP="00C045C1">
            <w:pPr>
              <w:pStyle w:val="TableText"/>
              <w:rPr>
                <w:rFonts w:eastAsia="Symbol"/>
              </w:rPr>
            </w:pPr>
            <w:r>
              <w:rPr>
                <w:rFonts w:eastAsia="Symbol"/>
              </w:rPr>
              <w:t>Select Unit</w:t>
            </w:r>
          </w:p>
        </w:tc>
        <w:tc>
          <w:tcPr>
            <w:tcW w:w="1080" w:type="dxa"/>
          </w:tcPr>
          <w:p w14:paraId="41A8F41C" w14:textId="77777777" w:rsidR="00C045C1" w:rsidRDefault="00C045C1" w:rsidP="00C045C1">
            <w:pPr>
              <w:pStyle w:val="TableText"/>
              <w:rPr>
                <w:rFonts w:eastAsia="Symbol"/>
              </w:rPr>
            </w:pPr>
            <w:r>
              <w:t>No</w:t>
            </w:r>
          </w:p>
        </w:tc>
        <w:tc>
          <w:tcPr>
            <w:tcW w:w="1152" w:type="dxa"/>
          </w:tcPr>
          <w:p w14:paraId="09A9AB25" w14:textId="77777777" w:rsidR="00C045C1" w:rsidRDefault="00C045C1" w:rsidP="00C045C1">
            <w:pPr>
              <w:pStyle w:val="TableText"/>
              <w:rPr>
                <w:rFonts w:eastAsia="Symbol"/>
              </w:rPr>
            </w:pPr>
            <w:r>
              <w:rPr>
                <w:rFonts w:eastAsia="Symbol"/>
              </w:rPr>
              <w:t>Yes</w:t>
            </w:r>
          </w:p>
        </w:tc>
      </w:tr>
      <w:tr w:rsidR="00C045C1" w14:paraId="4C3E7695" w14:textId="77777777">
        <w:trPr>
          <w:cantSplit/>
        </w:trPr>
        <w:tc>
          <w:tcPr>
            <w:tcW w:w="2988" w:type="dxa"/>
          </w:tcPr>
          <w:p w14:paraId="145E1357" w14:textId="77777777" w:rsidR="00C045C1" w:rsidRDefault="00C045C1" w:rsidP="00C045C1">
            <w:pPr>
              <w:pStyle w:val="TableText"/>
            </w:pPr>
            <w:r>
              <w:t>Caution Tag or Blood Transfusion Record Form printed for antigen positive or untested unit</w:t>
            </w:r>
          </w:p>
        </w:tc>
        <w:tc>
          <w:tcPr>
            <w:tcW w:w="1620" w:type="dxa"/>
          </w:tcPr>
          <w:p w14:paraId="7818A67A" w14:textId="77777777" w:rsidR="00C045C1" w:rsidRDefault="00C045C1" w:rsidP="00C045C1">
            <w:pPr>
              <w:pStyle w:val="TableText"/>
            </w:pPr>
            <w:r>
              <w:rPr>
                <w:u w:val="single"/>
              </w:rPr>
              <w:t>&gt;</w:t>
            </w:r>
            <w:r>
              <w:t xml:space="preserve"> Lead Tech</w:t>
            </w:r>
          </w:p>
        </w:tc>
        <w:tc>
          <w:tcPr>
            <w:tcW w:w="2520" w:type="dxa"/>
          </w:tcPr>
          <w:p w14:paraId="64B78729" w14:textId="77777777" w:rsidR="00C045C1" w:rsidRDefault="00C045C1" w:rsidP="00C045C1">
            <w:pPr>
              <w:pStyle w:val="TableText"/>
            </w:pPr>
          </w:p>
        </w:tc>
        <w:tc>
          <w:tcPr>
            <w:tcW w:w="1080" w:type="dxa"/>
          </w:tcPr>
          <w:p w14:paraId="6FC91F03" w14:textId="77777777" w:rsidR="00C045C1" w:rsidRDefault="00C045C1" w:rsidP="00C045C1">
            <w:pPr>
              <w:pStyle w:val="TableText"/>
              <w:rPr>
                <w:rFonts w:eastAsia="Symbol"/>
              </w:rPr>
            </w:pPr>
            <w:r>
              <w:t>No</w:t>
            </w:r>
          </w:p>
        </w:tc>
        <w:tc>
          <w:tcPr>
            <w:tcW w:w="1152" w:type="dxa"/>
          </w:tcPr>
          <w:p w14:paraId="11B79E3E" w14:textId="77777777" w:rsidR="00C045C1" w:rsidRDefault="00C045C1" w:rsidP="00C045C1">
            <w:pPr>
              <w:pStyle w:val="TableText"/>
              <w:rPr>
                <w:rFonts w:eastAsia="Symbol"/>
              </w:rPr>
            </w:pPr>
            <w:r>
              <w:rPr>
                <w:rFonts w:eastAsia="Symbol"/>
              </w:rPr>
              <w:t>Yes</w:t>
            </w:r>
          </w:p>
        </w:tc>
      </w:tr>
      <w:tr w:rsidR="00C045C1" w14:paraId="7F44F28C" w14:textId="77777777">
        <w:trPr>
          <w:cantSplit/>
        </w:trPr>
        <w:tc>
          <w:tcPr>
            <w:tcW w:w="2988" w:type="dxa"/>
          </w:tcPr>
          <w:p w14:paraId="1358059A" w14:textId="77777777" w:rsidR="00C045C1" w:rsidRDefault="00C045C1" w:rsidP="00C045C1">
            <w:pPr>
              <w:pStyle w:val="TableText"/>
            </w:pPr>
            <w:r>
              <w:t>Caution Tag or Blood Transfusion Record Form printed on expired specimen</w:t>
            </w:r>
          </w:p>
        </w:tc>
        <w:tc>
          <w:tcPr>
            <w:tcW w:w="1620" w:type="dxa"/>
          </w:tcPr>
          <w:p w14:paraId="32DBA5C2" w14:textId="77777777" w:rsidR="00C045C1" w:rsidRDefault="00C045C1" w:rsidP="00C045C1">
            <w:pPr>
              <w:pStyle w:val="TableText"/>
            </w:pPr>
            <w:r>
              <w:rPr>
                <w:u w:val="single"/>
              </w:rPr>
              <w:t>&gt;</w:t>
            </w:r>
            <w:r>
              <w:t xml:space="preserve"> Enhanced Tech</w:t>
            </w:r>
          </w:p>
        </w:tc>
        <w:tc>
          <w:tcPr>
            <w:tcW w:w="2520" w:type="dxa"/>
          </w:tcPr>
          <w:p w14:paraId="2F72E1E3" w14:textId="77777777" w:rsidR="00C045C1" w:rsidRDefault="00C045C1" w:rsidP="00C045C1">
            <w:pPr>
              <w:pStyle w:val="TableText"/>
            </w:pPr>
          </w:p>
        </w:tc>
        <w:tc>
          <w:tcPr>
            <w:tcW w:w="1080" w:type="dxa"/>
          </w:tcPr>
          <w:p w14:paraId="65509635" w14:textId="77777777" w:rsidR="00C045C1" w:rsidRDefault="00C045C1" w:rsidP="00C045C1">
            <w:pPr>
              <w:pStyle w:val="TableText"/>
              <w:rPr>
                <w:rFonts w:eastAsia="Symbol"/>
              </w:rPr>
            </w:pPr>
            <w:r>
              <w:t>No</w:t>
            </w:r>
          </w:p>
        </w:tc>
        <w:tc>
          <w:tcPr>
            <w:tcW w:w="1152" w:type="dxa"/>
          </w:tcPr>
          <w:p w14:paraId="5F9F59CD" w14:textId="77777777" w:rsidR="00C045C1" w:rsidRDefault="00C045C1" w:rsidP="00C045C1">
            <w:pPr>
              <w:pStyle w:val="TableText"/>
              <w:rPr>
                <w:rFonts w:eastAsia="Symbol"/>
              </w:rPr>
            </w:pPr>
            <w:r>
              <w:rPr>
                <w:rFonts w:eastAsia="Symbol"/>
              </w:rPr>
              <w:t>Yes</w:t>
            </w:r>
          </w:p>
        </w:tc>
      </w:tr>
      <w:tr w:rsidR="00C045C1" w14:paraId="203A1619" w14:textId="77777777">
        <w:trPr>
          <w:cantSplit/>
        </w:trPr>
        <w:tc>
          <w:tcPr>
            <w:tcW w:w="2988" w:type="dxa"/>
          </w:tcPr>
          <w:p w14:paraId="1319E657" w14:textId="77777777" w:rsidR="00C045C1" w:rsidRDefault="00C045C1" w:rsidP="00C045C1">
            <w:pPr>
              <w:pStyle w:val="TableText"/>
            </w:pPr>
            <w:r>
              <w:t>Caution Tag or Blood Transfusion Record Form printed on expired unit</w:t>
            </w:r>
          </w:p>
        </w:tc>
        <w:tc>
          <w:tcPr>
            <w:tcW w:w="1620" w:type="dxa"/>
          </w:tcPr>
          <w:p w14:paraId="63A64649" w14:textId="77777777" w:rsidR="00C045C1" w:rsidRDefault="00C045C1" w:rsidP="00C045C1">
            <w:pPr>
              <w:pStyle w:val="TableText"/>
            </w:pPr>
            <w:r>
              <w:rPr>
                <w:u w:val="single"/>
              </w:rPr>
              <w:t>&gt;</w:t>
            </w:r>
            <w:r>
              <w:t xml:space="preserve"> Enhanced Tech</w:t>
            </w:r>
          </w:p>
        </w:tc>
        <w:tc>
          <w:tcPr>
            <w:tcW w:w="2520" w:type="dxa"/>
          </w:tcPr>
          <w:p w14:paraId="7CE33E93" w14:textId="77777777" w:rsidR="00C045C1" w:rsidRDefault="00C045C1" w:rsidP="00C045C1">
            <w:pPr>
              <w:pStyle w:val="TableText"/>
            </w:pPr>
          </w:p>
        </w:tc>
        <w:tc>
          <w:tcPr>
            <w:tcW w:w="1080" w:type="dxa"/>
          </w:tcPr>
          <w:p w14:paraId="34E4885C" w14:textId="77777777" w:rsidR="00C045C1" w:rsidRDefault="00C045C1" w:rsidP="00C045C1">
            <w:pPr>
              <w:pStyle w:val="TableText"/>
              <w:rPr>
                <w:rFonts w:eastAsia="Symbol"/>
              </w:rPr>
            </w:pPr>
            <w:r>
              <w:t>No</w:t>
            </w:r>
          </w:p>
        </w:tc>
        <w:tc>
          <w:tcPr>
            <w:tcW w:w="1152" w:type="dxa"/>
          </w:tcPr>
          <w:p w14:paraId="3E500E1C" w14:textId="77777777" w:rsidR="00C045C1" w:rsidRDefault="00C045C1" w:rsidP="00C045C1">
            <w:pPr>
              <w:pStyle w:val="TableText"/>
              <w:rPr>
                <w:rFonts w:eastAsia="Symbol"/>
              </w:rPr>
            </w:pPr>
            <w:r>
              <w:rPr>
                <w:rFonts w:eastAsia="Symbol"/>
              </w:rPr>
              <w:t>Yes</w:t>
            </w:r>
          </w:p>
        </w:tc>
      </w:tr>
      <w:tr w:rsidR="00C045C1" w14:paraId="3372F2CC" w14:textId="77777777">
        <w:trPr>
          <w:cantSplit/>
        </w:trPr>
        <w:tc>
          <w:tcPr>
            <w:tcW w:w="2988" w:type="dxa"/>
          </w:tcPr>
          <w:p w14:paraId="6F6E9352" w14:textId="77777777" w:rsidR="00C045C1" w:rsidRDefault="00C045C1" w:rsidP="00C045C1">
            <w:pPr>
              <w:pStyle w:val="TableText"/>
            </w:pPr>
            <w:r>
              <w:t>Caution Tag or Blood Transfusion Record Form printed with unsatisfied Transfusion Requirement</w:t>
            </w:r>
          </w:p>
        </w:tc>
        <w:tc>
          <w:tcPr>
            <w:tcW w:w="1620" w:type="dxa"/>
          </w:tcPr>
          <w:p w14:paraId="0016B39E" w14:textId="77777777" w:rsidR="00C045C1" w:rsidRDefault="00C045C1" w:rsidP="00C045C1">
            <w:pPr>
              <w:pStyle w:val="TableText"/>
            </w:pPr>
            <w:r>
              <w:rPr>
                <w:u w:val="single"/>
              </w:rPr>
              <w:t>&gt;</w:t>
            </w:r>
            <w:r>
              <w:t xml:space="preserve"> Lead Tech</w:t>
            </w:r>
          </w:p>
        </w:tc>
        <w:tc>
          <w:tcPr>
            <w:tcW w:w="2520" w:type="dxa"/>
          </w:tcPr>
          <w:p w14:paraId="01F56D93" w14:textId="77777777" w:rsidR="00C045C1" w:rsidRDefault="00C045C1" w:rsidP="00C045C1">
            <w:pPr>
              <w:pStyle w:val="TableText"/>
            </w:pPr>
          </w:p>
        </w:tc>
        <w:tc>
          <w:tcPr>
            <w:tcW w:w="1080" w:type="dxa"/>
          </w:tcPr>
          <w:p w14:paraId="3F794438" w14:textId="77777777" w:rsidR="00C045C1" w:rsidRDefault="00C045C1" w:rsidP="00C045C1">
            <w:pPr>
              <w:pStyle w:val="TableText"/>
              <w:rPr>
                <w:rFonts w:eastAsia="Symbol"/>
              </w:rPr>
            </w:pPr>
            <w:r>
              <w:t>No</w:t>
            </w:r>
          </w:p>
        </w:tc>
        <w:tc>
          <w:tcPr>
            <w:tcW w:w="1152" w:type="dxa"/>
          </w:tcPr>
          <w:p w14:paraId="2A3AF919" w14:textId="77777777" w:rsidR="00C045C1" w:rsidRDefault="00C045C1" w:rsidP="00C045C1">
            <w:pPr>
              <w:pStyle w:val="TableText"/>
              <w:rPr>
                <w:rFonts w:eastAsia="Symbol"/>
              </w:rPr>
            </w:pPr>
            <w:r>
              <w:rPr>
                <w:rFonts w:eastAsia="Symbol"/>
              </w:rPr>
              <w:t>Yes</w:t>
            </w:r>
          </w:p>
        </w:tc>
      </w:tr>
      <w:tr w:rsidR="00C045C1" w14:paraId="6DA36C60" w14:textId="77777777">
        <w:trPr>
          <w:cantSplit/>
        </w:trPr>
        <w:tc>
          <w:tcPr>
            <w:tcW w:w="2988" w:type="dxa"/>
          </w:tcPr>
          <w:p w14:paraId="5BD95739" w14:textId="77777777" w:rsidR="00C045C1" w:rsidRDefault="00C045C1" w:rsidP="00C045C1">
            <w:pPr>
              <w:pStyle w:val="TableText"/>
              <w:rPr>
                <w:rFonts w:eastAsia="Symbol"/>
              </w:rPr>
            </w:pPr>
            <w:r>
              <w:t>Crossmatch incompatible: Give only with MD approval</w:t>
            </w:r>
          </w:p>
        </w:tc>
        <w:tc>
          <w:tcPr>
            <w:tcW w:w="1620" w:type="dxa"/>
          </w:tcPr>
          <w:p w14:paraId="3BF3FAC0" w14:textId="77777777" w:rsidR="00C045C1" w:rsidRDefault="00C045C1" w:rsidP="00C045C1">
            <w:pPr>
              <w:pStyle w:val="TableText"/>
              <w:rPr>
                <w:rFonts w:eastAsia="Symbol"/>
              </w:rPr>
            </w:pPr>
            <w:r>
              <w:t>All</w:t>
            </w:r>
          </w:p>
        </w:tc>
        <w:tc>
          <w:tcPr>
            <w:tcW w:w="2520" w:type="dxa"/>
          </w:tcPr>
          <w:p w14:paraId="19E777D0" w14:textId="77777777" w:rsidR="00C045C1" w:rsidRDefault="00C045C1" w:rsidP="00C045C1">
            <w:pPr>
              <w:pStyle w:val="TableText"/>
              <w:rPr>
                <w:rFonts w:eastAsia="Symbol"/>
              </w:rPr>
            </w:pPr>
          </w:p>
        </w:tc>
        <w:tc>
          <w:tcPr>
            <w:tcW w:w="1080" w:type="dxa"/>
          </w:tcPr>
          <w:p w14:paraId="5FEC14CB" w14:textId="77777777" w:rsidR="00C045C1" w:rsidRDefault="00C045C1" w:rsidP="00C045C1">
            <w:pPr>
              <w:pStyle w:val="TableText"/>
              <w:rPr>
                <w:rFonts w:eastAsia="Symbol"/>
              </w:rPr>
            </w:pPr>
            <w:r>
              <w:t>No</w:t>
            </w:r>
          </w:p>
        </w:tc>
        <w:tc>
          <w:tcPr>
            <w:tcW w:w="1152" w:type="dxa"/>
          </w:tcPr>
          <w:p w14:paraId="7EE68C5B" w14:textId="77777777" w:rsidR="00C045C1" w:rsidRDefault="00C045C1" w:rsidP="00C045C1">
            <w:pPr>
              <w:pStyle w:val="TableText"/>
              <w:rPr>
                <w:rFonts w:eastAsia="Symbol"/>
              </w:rPr>
            </w:pPr>
            <w:r>
              <w:rPr>
                <w:rFonts w:eastAsia="Symbol"/>
              </w:rPr>
              <w:t>Yes</w:t>
            </w:r>
          </w:p>
        </w:tc>
      </w:tr>
      <w:tr w:rsidR="00C045C1" w14:paraId="609CB903" w14:textId="77777777">
        <w:trPr>
          <w:cantSplit/>
        </w:trPr>
        <w:tc>
          <w:tcPr>
            <w:tcW w:w="2988" w:type="dxa"/>
          </w:tcPr>
          <w:p w14:paraId="31819FAE" w14:textId="77777777" w:rsidR="00C045C1" w:rsidRDefault="00C045C1" w:rsidP="00C045C1">
            <w:pPr>
              <w:pStyle w:val="TableText"/>
            </w:pPr>
            <w:r>
              <w:t>Deletion of partially completed QC</w:t>
            </w:r>
          </w:p>
        </w:tc>
        <w:tc>
          <w:tcPr>
            <w:tcW w:w="1620" w:type="dxa"/>
          </w:tcPr>
          <w:p w14:paraId="54D792FA" w14:textId="77777777" w:rsidR="00C045C1" w:rsidRDefault="00C045C1" w:rsidP="00C045C1">
            <w:pPr>
              <w:pStyle w:val="TableText"/>
            </w:pPr>
            <w:r>
              <w:t>All</w:t>
            </w:r>
          </w:p>
        </w:tc>
        <w:tc>
          <w:tcPr>
            <w:tcW w:w="2520" w:type="dxa"/>
          </w:tcPr>
          <w:p w14:paraId="6D2E6692" w14:textId="77777777" w:rsidR="00C045C1" w:rsidRDefault="00C045C1" w:rsidP="00C045C1">
            <w:pPr>
              <w:pStyle w:val="TableText"/>
            </w:pPr>
            <w:r>
              <w:t>Enter Daily QC</w:t>
            </w:r>
          </w:p>
        </w:tc>
        <w:tc>
          <w:tcPr>
            <w:tcW w:w="1080" w:type="dxa"/>
          </w:tcPr>
          <w:p w14:paraId="2821E281" w14:textId="77777777" w:rsidR="00C045C1" w:rsidRDefault="00C045C1" w:rsidP="00C045C1">
            <w:pPr>
              <w:pStyle w:val="TableText"/>
            </w:pPr>
            <w:r>
              <w:t>No</w:t>
            </w:r>
          </w:p>
        </w:tc>
        <w:tc>
          <w:tcPr>
            <w:tcW w:w="1152" w:type="dxa"/>
          </w:tcPr>
          <w:p w14:paraId="36FB4542" w14:textId="77777777" w:rsidR="00C045C1" w:rsidRDefault="00C045C1" w:rsidP="00C045C1">
            <w:pPr>
              <w:pStyle w:val="TableText"/>
            </w:pPr>
            <w:r>
              <w:t>No</w:t>
            </w:r>
          </w:p>
        </w:tc>
      </w:tr>
      <w:tr w:rsidR="00C045C1" w14:paraId="0E0AA802" w14:textId="77777777">
        <w:trPr>
          <w:cantSplit/>
        </w:trPr>
        <w:tc>
          <w:tcPr>
            <w:tcW w:w="2988" w:type="dxa"/>
          </w:tcPr>
          <w:p w14:paraId="77727F3A" w14:textId="77777777" w:rsidR="00C045C1" w:rsidRDefault="00C045C1" w:rsidP="00C045C1">
            <w:pPr>
              <w:pStyle w:val="TableText"/>
              <w:rPr>
                <w:rFonts w:eastAsia="Symbol"/>
              </w:rPr>
            </w:pPr>
            <w:r>
              <w:t>Discrepant ABO/Rh override</w:t>
            </w:r>
          </w:p>
        </w:tc>
        <w:tc>
          <w:tcPr>
            <w:tcW w:w="1620" w:type="dxa"/>
          </w:tcPr>
          <w:p w14:paraId="7E87DDC9" w14:textId="77777777" w:rsidR="00C045C1" w:rsidRDefault="00C045C1" w:rsidP="00C045C1">
            <w:pPr>
              <w:pStyle w:val="TableText"/>
              <w:rPr>
                <w:rFonts w:eastAsia="Symbol"/>
              </w:rPr>
            </w:pPr>
            <w:r>
              <w:rPr>
                <w:u w:val="single"/>
              </w:rPr>
              <w:t>&gt;</w:t>
            </w:r>
            <w:r>
              <w:t xml:space="preserve"> Enhanced Tech</w:t>
            </w:r>
          </w:p>
        </w:tc>
        <w:tc>
          <w:tcPr>
            <w:tcW w:w="2520" w:type="dxa"/>
          </w:tcPr>
          <w:p w14:paraId="3D5462D4" w14:textId="77777777" w:rsidR="00C045C1" w:rsidRDefault="00C045C1" w:rsidP="00C045C1">
            <w:pPr>
              <w:pStyle w:val="TableText"/>
              <w:rPr>
                <w:rFonts w:eastAsia="Symbol"/>
              </w:rPr>
            </w:pPr>
            <w:r>
              <w:rPr>
                <w:rFonts w:eastAsia="Symbol"/>
              </w:rPr>
              <w:t>Patient Testing</w:t>
            </w:r>
          </w:p>
        </w:tc>
        <w:tc>
          <w:tcPr>
            <w:tcW w:w="1080" w:type="dxa"/>
          </w:tcPr>
          <w:p w14:paraId="69602DC3" w14:textId="77777777" w:rsidR="00C045C1" w:rsidRDefault="00C045C1" w:rsidP="00C045C1">
            <w:pPr>
              <w:pStyle w:val="TableText"/>
              <w:rPr>
                <w:rFonts w:eastAsia="Symbol"/>
              </w:rPr>
            </w:pPr>
            <w:r>
              <w:t>No</w:t>
            </w:r>
          </w:p>
        </w:tc>
        <w:tc>
          <w:tcPr>
            <w:tcW w:w="1152" w:type="dxa"/>
          </w:tcPr>
          <w:p w14:paraId="29C88E5F" w14:textId="77777777" w:rsidR="00C045C1" w:rsidRDefault="00C045C1" w:rsidP="00C045C1">
            <w:pPr>
              <w:pStyle w:val="TableText"/>
              <w:rPr>
                <w:rFonts w:eastAsia="Symbol"/>
              </w:rPr>
            </w:pPr>
            <w:r>
              <w:rPr>
                <w:rFonts w:eastAsia="Symbol"/>
              </w:rPr>
              <w:t>Yes</w:t>
            </w:r>
          </w:p>
        </w:tc>
      </w:tr>
      <w:tr w:rsidR="00C045C1" w14:paraId="16F853F3" w14:textId="77777777">
        <w:trPr>
          <w:cantSplit/>
        </w:trPr>
        <w:tc>
          <w:tcPr>
            <w:tcW w:w="2988" w:type="dxa"/>
          </w:tcPr>
          <w:p w14:paraId="49DC11DE" w14:textId="77777777" w:rsidR="00C045C1" w:rsidRDefault="00C045C1" w:rsidP="00C045C1">
            <w:pPr>
              <w:pStyle w:val="TableText"/>
              <w:rPr>
                <w:rFonts w:eastAsia="Symbol"/>
              </w:rPr>
            </w:pPr>
            <w:r>
              <w:t>Discrepant patient antigen typing</w:t>
            </w:r>
          </w:p>
        </w:tc>
        <w:tc>
          <w:tcPr>
            <w:tcW w:w="1620" w:type="dxa"/>
          </w:tcPr>
          <w:p w14:paraId="1AA653E2" w14:textId="77777777" w:rsidR="00C045C1" w:rsidRDefault="00C045C1" w:rsidP="00C045C1">
            <w:pPr>
              <w:pStyle w:val="TableText"/>
              <w:rPr>
                <w:rFonts w:eastAsia="Symbol"/>
              </w:rPr>
            </w:pPr>
            <w:r>
              <w:t>All</w:t>
            </w:r>
          </w:p>
        </w:tc>
        <w:tc>
          <w:tcPr>
            <w:tcW w:w="2520" w:type="dxa"/>
          </w:tcPr>
          <w:p w14:paraId="79ECBD98" w14:textId="77777777" w:rsidR="00C045C1" w:rsidRDefault="00C045C1" w:rsidP="00C045C1">
            <w:pPr>
              <w:pStyle w:val="TableText"/>
              <w:rPr>
                <w:rFonts w:eastAsia="Symbol"/>
              </w:rPr>
            </w:pPr>
            <w:r>
              <w:rPr>
                <w:rFonts w:eastAsia="Symbol"/>
              </w:rPr>
              <w:t>Patient Testing</w:t>
            </w:r>
          </w:p>
        </w:tc>
        <w:tc>
          <w:tcPr>
            <w:tcW w:w="1080" w:type="dxa"/>
          </w:tcPr>
          <w:p w14:paraId="0A326EC7" w14:textId="77777777" w:rsidR="00C045C1" w:rsidRDefault="00C045C1" w:rsidP="00C045C1">
            <w:pPr>
              <w:pStyle w:val="TableText"/>
              <w:rPr>
                <w:rFonts w:eastAsia="Symbol"/>
              </w:rPr>
            </w:pPr>
            <w:r>
              <w:t>No</w:t>
            </w:r>
          </w:p>
        </w:tc>
        <w:tc>
          <w:tcPr>
            <w:tcW w:w="1152" w:type="dxa"/>
          </w:tcPr>
          <w:p w14:paraId="4BD073D3" w14:textId="77777777" w:rsidR="00C045C1" w:rsidRDefault="00C045C1" w:rsidP="00C045C1">
            <w:pPr>
              <w:pStyle w:val="TableText"/>
              <w:rPr>
                <w:rFonts w:eastAsia="Symbol"/>
              </w:rPr>
            </w:pPr>
            <w:r>
              <w:rPr>
                <w:rFonts w:eastAsia="Symbol"/>
              </w:rPr>
              <w:t>Yes</w:t>
            </w:r>
          </w:p>
        </w:tc>
      </w:tr>
      <w:tr w:rsidR="008A701E" w14:paraId="433E85B8" w14:textId="77777777">
        <w:trPr>
          <w:cantSplit/>
        </w:trPr>
        <w:tc>
          <w:tcPr>
            <w:tcW w:w="2988" w:type="dxa"/>
          </w:tcPr>
          <w:p w14:paraId="4FB95324" w14:textId="77777777" w:rsidR="008A701E" w:rsidRDefault="008A701E" w:rsidP="00C045C1">
            <w:pPr>
              <w:pStyle w:val="TableText"/>
            </w:pPr>
            <w:r>
              <w:t>Electronic Transfusion Record Update</w:t>
            </w:r>
          </w:p>
        </w:tc>
        <w:tc>
          <w:tcPr>
            <w:tcW w:w="1620" w:type="dxa"/>
          </w:tcPr>
          <w:p w14:paraId="13B758F5" w14:textId="77777777" w:rsidR="008A701E" w:rsidRDefault="008A701E" w:rsidP="00C045C1">
            <w:pPr>
              <w:pStyle w:val="TableText"/>
            </w:pPr>
            <w:r>
              <w:t>BCE COTS system</w:t>
            </w:r>
          </w:p>
        </w:tc>
        <w:tc>
          <w:tcPr>
            <w:tcW w:w="2520" w:type="dxa"/>
          </w:tcPr>
          <w:p w14:paraId="7BDC706A" w14:textId="77777777" w:rsidR="008A701E" w:rsidRDefault="008A701E" w:rsidP="00C045C1">
            <w:pPr>
              <w:pStyle w:val="TableText"/>
            </w:pPr>
            <w:r>
              <w:t>Post –Transfusion Information</w:t>
            </w:r>
          </w:p>
        </w:tc>
        <w:tc>
          <w:tcPr>
            <w:tcW w:w="1080" w:type="dxa"/>
          </w:tcPr>
          <w:p w14:paraId="52D1824D" w14:textId="77777777" w:rsidR="008A701E" w:rsidRDefault="008A701E" w:rsidP="00C045C1">
            <w:pPr>
              <w:pStyle w:val="TableText"/>
            </w:pPr>
            <w:r>
              <w:t>No</w:t>
            </w:r>
          </w:p>
        </w:tc>
        <w:tc>
          <w:tcPr>
            <w:tcW w:w="1152" w:type="dxa"/>
          </w:tcPr>
          <w:p w14:paraId="4A809E1C" w14:textId="77777777" w:rsidR="008A701E" w:rsidRDefault="008A701E" w:rsidP="00C045C1">
            <w:pPr>
              <w:pStyle w:val="TableText"/>
              <w:rPr>
                <w:rFonts w:eastAsia="Symbol"/>
              </w:rPr>
            </w:pPr>
            <w:r>
              <w:rPr>
                <w:rFonts w:eastAsia="Symbol"/>
              </w:rPr>
              <w:t>No</w:t>
            </w:r>
          </w:p>
        </w:tc>
      </w:tr>
      <w:tr w:rsidR="00C045C1" w14:paraId="0B74C2FB" w14:textId="77777777">
        <w:trPr>
          <w:cantSplit/>
        </w:trPr>
        <w:tc>
          <w:tcPr>
            <w:tcW w:w="2988" w:type="dxa"/>
          </w:tcPr>
          <w:p w14:paraId="509CACC0" w14:textId="77777777" w:rsidR="00C045C1" w:rsidRDefault="00C045C1" w:rsidP="00C045C1">
            <w:pPr>
              <w:pStyle w:val="TableText"/>
            </w:pPr>
            <w:r>
              <w:t>Emergency issue request (no specimen)</w:t>
            </w:r>
          </w:p>
        </w:tc>
        <w:tc>
          <w:tcPr>
            <w:tcW w:w="1620" w:type="dxa"/>
          </w:tcPr>
          <w:p w14:paraId="259C117A" w14:textId="77777777" w:rsidR="00C045C1" w:rsidRDefault="00C045C1" w:rsidP="00C045C1">
            <w:pPr>
              <w:pStyle w:val="TableText"/>
            </w:pPr>
            <w:r>
              <w:t>All</w:t>
            </w:r>
          </w:p>
        </w:tc>
        <w:tc>
          <w:tcPr>
            <w:tcW w:w="2520" w:type="dxa"/>
          </w:tcPr>
          <w:p w14:paraId="6F5732FC" w14:textId="77777777" w:rsidR="00C045C1" w:rsidRDefault="00C045C1" w:rsidP="00C045C1">
            <w:pPr>
              <w:pStyle w:val="TableText"/>
            </w:pPr>
            <w:r>
              <w:t>Accept Order</w:t>
            </w:r>
          </w:p>
        </w:tc>
        <w:tc>
          <w:tcPr>
            <w:tcW w:w="1080" w:type="dxa"/>
          </w:tcPr>
          <w:p w14:paraId="7F4BDA30" w14:textId="77777777" w:rsidR="00C045C1" w:rsidRDefault="00C045C1" w:rsidP="00C045C1">
            <w:pPr>
              <w:pStyle w:val="TableText"/>
              <w:rPr>
                <w:rFonts w:eastAsia="Symbol"/>
              </w:rPr>
            </w:pPr>
            <w:r>
              <w:t>No</w:t>
            </w:r>
          </w:p>
        </w:tc>
        <w:tc>
          <w:tcPr>
            <w:tcW w:w="1152" w:type="dxa"/>
          </w:tcPr>
          <w:p w14:paraId="1BFE7254" w14:textId="77777777" w:rsidR="00C045C1" w:rsidRDefault="00C045C1" w:rsidP="00C045C1">
            <w:pPr>
              <w:pStyle w:val="TableText"/>
              <w:rPr>
                <w:rFonts w:eastAsia="Symbol"/>
              </w:rPr>
            </w:pPr>
            <w:r>
              <w:rPr>
                <w:rFonts w:eastAsia="Symbol"/>
              </w:rPr>
              <w:t>Yes</w:t>
            </w:r>
          </w:p>
        </w:tc>
      </w:tr>
      <w:tr w:rsidR="00C045C1" w14:paraId="2FA31B18" w14:textId="77777777">
        <w:trPr>
          <w:cantSplit/>
        </w:trPr>
        <w:tc>
          <w:tcPr>
            <w:tcW w:w="2988" w:type="dxa"/>
          </w:tcPr>
          <w:p w14:paraId="1968CF15" w14:textId="77777777" w:rsidR="00C045C1" w:rsidRDefault="00C045C1" w:rsidP="00C045C1">
            <w:pPr>
              <w:pStyle w:val="TableText"/>
            </w:pPr>
            <w:r>
              <w:t>Emergency issue, require testing incomplete</w:t>
            </w:r>
          </w:p>
        </w:tc>
        <w:tc>
          <w:tcPr>
            <w:tcW w:w="1620" w:type="dxa"/>
          </w:tcPr>
          <w:p w14:paraId="64DD1F6F" w14:textId="77777777" w:rsidR="00C045C1" w:rsidRDefault="00C045C1" w:rsidP="00C045C1">
            <w:pPr>
              <w:pStyle w:val="TableText"/>
            </w:pPr>
            <w:r>
              <w:t>All</w:t>
            </w:r>
          </w:p>
        </w:tc>
        <w:tc>
          <w:tcPr>
            <w:tcW w:w="2520" w:type="dxa"/>
          </w:tcPr>
          <w:p w14:paraId="120BD81E" w14:textId="77777777" w:rsidR="00C045C1" w:rsidRDefault="00C045C1" w:rsidP="00C045C1">
            <w:pPr>
              <w:pStyle w:val="TableText"/>
            </w:pPr>
            <w:r>
              <w:t>Patient Testing</w:t>
            </w:r>
          </w:p>
        </w:tc>
        <w:tc>
          <w:tcPr>
            <w:tcW w:w="1080" w:type="dxa"/>
          </w:tcPr>
          <w:p w14:paraId="6B6EB4DD" w14:textId="77777777" w:rsidR="00C045C1" w:rsidRDefault="00C045C1" w:rsidP="00C045C1">
            <w:pPr>
              <w:pStyle w:val="TableText"/>
            </w:pPr>
            <w:r>
              <w:t>No</w:t>
            </w:r>
          </w:p>
        </w:tc>
        <w:tc>
          <w:tcPr>
            <w:tcW w:w="1152" w:type="dxa"/>
          </w:tcPr>
          <w:p w14:paraId="111D6472" w14:textId="77777777" w:rsidR="00C045C1" w:rsidRDefault="00C045C1" w:rsidP="00C045C1">
            <w:pPr>
              <w:pStyle w:val="TableText"/>
            </w:pPr>
            <w:r>
              <w:rPr>
                <w:rFonts w:eastAsia="Symbol"/>
              </w:rPr>
              <w:t>Yes</w:t>
            </w:r>
          </w:p>
        </w:tc>
      </w:tr>
      <w:tr w:rsidR="00C045C1" w14:paraId="02BC16F5" w14:textId="77777777">
        <w:trPr>
          <w:cantSplit/>
        </w:trPr>
        <w:tc>
          <w:tcPr>
            <w:tcW w:w="2988" w:type="dxa"/>
          </w:tcPr>
          <w:p w14:paraId="1F532B9B" w14:textId="77777777" w:rsidR="00C045C1" w:rsidRDefault="00C045C1" w:rsidP="00C045C1">
            <w:pPr>
              <w:pStyle w:val="TableText"/>
              <w:rPr>
                <w:rFonts w:eastAsia="Symbol"/>
              </w:rPr>
            </w:pPr>
            <w:r>
              <w:lastRenderedPageBreak/>
              <w:t>Expired antisera used</w:t>
            </w:r>
          </w:p>
        </w:tc>
        <w:tc>
          <w:tcPr>
            <w:tcW w:w="1620" w:type="dxa"/>
          </w:tcPr>
          <w:p w14:paraId="54BCA283" w14:textId="77777777" w:rsidR="00C045C1" w:rsidRDefault="00C045C1" w:rsidP="00C045C1">
            <w:pPr>
              <w:pStyle w:val="TableText"/>
              <w:rPr>
                <w:rFonts w:eastAsia="Symbol"/>
              </w:rPr>
            </w:pPr>
            <w:r>
              <w:t>All</w:t>
            </w:r>
          </w:p>
        </w:tc>
        <w:tc>
          <w:tcPr>
            <w:tcW w:w="2520" w:type="dxa"/>
          </w:tcPr>
          <w:p w14:paraId="63B3672F" w14:textId="77777777" w:rsidR="00C045C1" w:rsidRDefault="00C045C1" w:rsidP="00C045C1">
            <w:pPr>
              <w:pStyle w:val="TableText"/>
              <w:rPr>
                <w:rFonts w:eastAsia="Symbol"/>
              </w:rPr>
            </w:pPr>
            <w:r>
              <w:rPr>
                <w:rFonts w:eastAsia="Symbol"/>
              </w:rPr>
              <w:t>Enter Rack QC, Patient and Unit Antigen typing</w:t>
            </w:r>
          </w:p>
        </w:tc>
        <w:tc>
          <w:tcPr>
            <w:tcW w:w="1080" w:type="dxa"/>
          </w:tcPr>
          <w:p w14:paraId="748A6FFB" w14:textId="77777777" w:rsidR="00C045C1" w:rsidRDefault="00C045C1" w:rsidP="00C045C1">
            <w:pPr>
              <w:pStyle w:val="TableText"/>
              <w:rPr>
                <w:rFonts w:eastAsia="Symbol"/>
              </w:rPr>
            </w:pPr>
            <w:r>
              <w:rPr>
                <w:rFonts w:eastAsia="Symbol"/>
              </w:rPr>
              <w:t>Yes (Antigen Typing)</w:t>
            </w:r>
          </w:p>
        </w:tc>
        <w:tc>
          <w:tcPr>
            <w:tcW w:w="1152" w:type="dxa"/>
          </w:tcPr>
          <w:p w14:paraId="7DF6DE53" w14:textId="77777777" w:rsidR="00C045C1" w:rsidRDefault="00C045C1" w:rsidP="00C045C1">
            <w:pPr>
              <w:pStyle w:val="TableText"/>
              <w:rPr>
                <w:rFonts w:eastAsia="Symbol"/>
              </w:rPr>
            </w:pPr>
            <w:r>
              <w:rPr>
                <w:rFonts w:eastAsia="Symbol"/>
              </w:rPr>
              <w:t>Yes (Patient Testing: Record a Patient Antigen Typing)</w:t>
            </w:r>
          </w:p>
        </w:tc>
      </w:tr>
      <w:tr w:rsidR="00C045C1" w14:paraId="7F6EA7C9" w14:textId="77777777">
        <w:trPr>
          <w:cantSplit/>
        </w:trPr>
        <w:tc>
          <w:tcPr>
            <w:tcW w:w="2988" w:type="dxa"/>
          </w:tcPr>
          <w:p w14:paraId="04C971C6" w14:textId="77777777" w:rsidR="00C045C1" w:rsidRDefault="00C045C1" w:rsidP="00C045C1">
            <w:pPr>
              <w:pStyle w:val="TableText"/>
              <w:rPr>
                <w:rFonts w:eastAsia="Symbol"/>
              </w:rPr>
            </w:pPr>
            <w:r>
              <w:t>Expired reagent QC’d</w:t>
            </w:r>
          </w:p>
        </w:tc>
        <w:tc>
          <w:tcPr>
            <w:tcW w:w="1620" w:type="dxa"/>
          </w:tcPr>
          <w:p w14:paraId="3F1E7852" w14:textId="77777777" w:rsidR="00C045C1" w:rsidRDefault="00C045C1" w:rsidP="00C045C1">
            <w:pPr>
              <w:pStyle w:val="TableText"/>
              <w:rPr>
                <w:rFonts w:eastAsia="Symbol"/>
              </w:rPr>
            </w:pPr>
            <w:r>
              <w:t>All</w:t>
            </w:r>
          </w:p>
        </w:tc>
        <w:tc>
          <w:tcPr>
            <w:tcW w:w="2520" w:type="dxa"/>
          </w:tcPr>
          <w:p w14:paraId="0EFAC5E3" w14:textId="77777777" w:rsidR="00C045C1" w:rsidRDefault="00C045C1" w:rsidP="00C045C1">
            <w:pPr>
              <w:pStyle w:val="TableText"/>
              <w:rPr>
                <w:rFonts w:eastAsia="Symbol"/>
              </w:rPr>
            </w:pPr>
            <w:r>
              <w:rPr>
                <w:rFonts w:eastAsia="Symbol"/>
              </w:rPr>
              <w:t>Enter Daily QC</w:t>
            </w:r>
          </w:p>
        </w:tc>
        <w:tc>
          <w:tcPr>
            <w:tcW w:w="1080" w:type="dxa"/>
          </w:tcPr>
          <w:p w14:paraId="4586536E" w14:textId="77777777" w:rsidR="00C045C1" w:rsidRDefault="00C045C1" w:rsidP="00C045C1">
            <w:pPr>
              <w:pStyle w:val="TableText"/>
              <w:rPr>
                <w:rFonts w:eastAsia="Symbol"/>
              </w:rPr>
            </w:pPr>
            <w:r>
              <w:t>No</w:t>
            </w:r>
          </w:p>
        </w:tc>
        <w:tc>
          <w:tcPr>
            <w:tcW w:w="1152" w:type="dxa"/>
          </w:tcPr>
          <w:p w14:paraId="4D3B851E" w14:textId="77777777" w:rsidR="00C045C1" w:rsidRDefault="00C045C1" w:rsidP="00C045C1">
            <w:pPr>
              <w:pStyle w:val="TableText"/>
              <w:rPr>
                <w:rFonts w:eastAsia="Symbol"/>
              </w:rPr>
            </w:pPr>
            <w:r>
              <w:t>No</w:t>
            </w:r>
          </w:p>
        </w:tc>
      </w:tr>
      <w:tr w:rsidR="00C045C1" w14:paraId="52A0A7B0" w14:textId="77777777">
        <w:trPr>
          <w:cantSplit/>
        </w:trPr>
        <w:tc>
          <w:tcPr>
            <w:tcW w:w="2988" w:type="dxa"/>
          </w:tcPr>
          <w:p w14:paraId="5327CCB2" w14:textId="77777777" w:rsidR="00C045C1" w:rsidRDefault="00C045C1" w:rsidP="00C045C1">
            <w:pPr>
              <w:pStyle w:val="TableText"/>
            </w:pPr>
            <w:r>
              <w:t>Expired supply used in modification</w:t>
            </w:r>
          </w:p>
        </w:tc>
        <w:tc>
          <w:tcPr>
            <w:tcW w:w="1620" w:type="dxa"/>
          </w:tcPr>
          <w:p w14:paraId="38E49A1D" w14:textId="77777777" w:rsidR="00C045C1" w:rsidRDefault="00C045C1" w:rsidP="00C045C1">
            <w:pPr>
              <w:pStyle w:val="TableText"/>
            </w:pPr>
            <w:r>
              <w:t>All</w:t>
            </w:r>
          </w:p>
        </w:tc>
        <w:tc>
          <w:tcPr>
            <w:tcW w:w="2520" w:type="dxa"/>
          </w:tcPr>
          <w:p w14:paraId="34F90F05" w14:textId="77777777" w:rsidR="00C045C1" w:rsidRDefault="00C045C1" w:rsidP="00C045C1">
            <w:pPr>
              <w:pStyle w:val="TableText"/>
            </w:pPr>
            <w:r>
              <w:t>Modify Units</w:t>
            </w:r>
          </w:p>
        </w:tc>
        <w:tc>
          <w:tcPr>
            <w:tcW w:w="1080" w:type="dxa"/>
          </w:tcPr>
          <w:p w14:paraId="51C20D67" w14:textId="77777777" w:rsidR="00C045C1" w:rsidRDefault="00C045C1" w:rsidP="00C045C1">
            <w:pPr>
              <w:pStyle w:val="TableText"/>
            </w:pPr>
            <w:r>
              <w:t>No</w:t>
            </w:r>
          </w:p>
        </w:tc>
        <w:tc>
          <w:tcPr>
            <w:tcW w:w="1152" w:type="dxa"/>
          </w:tcPr>
          <w:p w14:paraId="1C89196A" w14:textId="77777777" w:rsidR="00C045C1" w:rsidRDefault="00C045C1" w:rsidP="00C045C1">
            <w:pPr>
              <w:pStyle w:val="TableText"/>
              <w:rPr>
                <w:rFonts w:eastAsia="Symbol"/>
              </w:rPr>
            </w:pPr>
            <w:r>
              <w:t>No</w:t>
            </w:r>
          </w:p>
        </w:tc>
      </w:tr>
      <w:tr w:rsidR="00C045C1" w14:paraId="4917C443" w14:textId="77777777">
        <w:trPr>
          <w:cantSplit/>
        </w:trPr>
        <w:tc>
          <w:tcPr>
            <w:tcW w:w="2988" w:type="dxa"/>
          </w:tcPr>
          <w:p w14:paraId="784DDCE8" w14:textId="77777777" w:rsidR="00C045C1" w:rsidRDefault="00C045C1" w:rsidP="00C045C1">
            <w:pPr>
              <w:pStyle w:val="TableText"/>
            </w:pPr>
            <w:r>
              <w:t xml:space="preserve">Expired task processed </w:t>
            </w:r>
          </w:p>
        </w:tc>
        <w:tc>
          <w:tcPr>
            <w:tcW w:w="1620" w:type="dxa"/>
          </w:tcPr>
          <w:p w14:paraId="5E20A58B" w14:textId="77777777" w:rsidR="00C045C1" w:rsidRDefault="000075A9" w:rsidP="00C045C1">
            <w:pPr>
              <w:pStyle w:val="TableText"/>
            </w:pPr>
            <w:r>
              <w:t>All</w:t>
            </w:r>
          </w:p>
        </w:tc>
        <w:tc>
          <w:tcPr>
            <w:tcW w:w="2520" w:type="dxa"/>
          </w:tcPr>
          <w:p w14:paraId="257BA9AD" w14:textId="77777777" w:rsidR="00C045C1" w:rsidRDefault="000075A9" w:rsidP="00C045C1">
            <w:pPr>
              <w:pStyle w:val="TableText"/>
            </w:pPr>
            <w:r>
              <w:t>Pending Task List</w:t>
            </w:r>
          </w:p>
        </w:tc>
        <w:tc>
          <w:tcPr>
            <w:tcW w:w="1080" w:type="dxa"/>
          </w:tcPr>
          <w:p w14:paraId="14292612" w14:textId="77777777" w:rsidR="00C045C1" w:rsidRDefault="00C045C1" w:rsidP="00C045C1">
            <w:pPr>
              <w:pStyle w:val="TableText"/>
            </w:pPr>
            <w:r>
              <w:t>No</w:t>
            </w:r>
          </w:p>
        </w:tc>
        <w:tc>
          <w:tcPr>
            <w:tcW w:w="1152" w:type="dxa"/>
          </w:tcPr>
          <w:p w14:paraId="09A63A50" w14:textId="77777777" w:rsidR="00C045C1" w:rsidRDefault="00C045C1" w:rsidP="00C045C1">
            <w:pPr>
              <w:pStyle w:val="TableText"/>
            </w:pPr>
            <w:r>
              <w:rPr>
                <w:rFonts w:eastAsia="Symbol"/>
              </w:rPr>
              <w:t>Yes</w:t>
            </w:r>
          </w:p>
        </w:tc>
      </w:tr>
      <w:tr w:rsidR="00C045C1" w14:paraId="35CA2B18" w14:textId="77777777">
        <w:trPr>
          <w:cantSplit/>
        </w:trPr>
        <w:tc>
          <w:tcPr>
            <w:tcW w:w="2988" w:type="dxa"/>
          </w:tcPr>
          <w:p w14:paraId="2FD116D5" w14:textId="77777777" w:rsidR="00C045C1" w:rsidRDefault="00C045C1" w:rsidP="00C045C1">
            <w:pPr>
              <w:pStyle w:val="TableText"/>
              <w:rPr>
                <w:rFonts w:eastAsia="Symbol"/>
              </w:rPr>
            </w:pPr>
            <w:r>
              <w:t>Expired unit modified</w:t>
            </w:r>
          </w:p>
        </w:tc>
        <w:tc>
          <w:tcPr>
            <w:tcW w:w="1620" w:type="dxa"/>
          </w:tcPr>
          <w:p w14:paraId="0365B0B7" w14:textId="77777777" w:rsidR="00C045C1" w:rsidRDefault="00C045C1" w:rsidP="00C045C1">
            <w:pPr>
              <w:pStyle w:val="TableText"/>
              <w:rPr>
                <w:rFonts w:eastAsia="Symbol"/>
              </w:rPr>
            </w:pPr>
            <w:r>
              <w:rPr>
                <w:u w:val="single"/>
              </w:rPr>
              <w:t>&gt;</w:t>
            </w:r>
            <w:r>
              <w:t xml:space="preserve"> Enhanced Tech</w:t>
            </w:r>
          </w:p>
        </w:tc>
        <w:tc>
          <w:tcPr>
            <w:tcW w:w="2520" w:type="dxa"/>
          </w:tcPr>
          <w:p w14:paraId="6F390CF5" w14:textId="77777777" w:rsidR="00C045C1" w:rsidRDefault="00C045C1" w:rsidP="00C045C1">
            <w:pPr>
              <w:pStyle w:val="TableText"/>
              <w:rPr>
                <w:rFonts w:eastAsia="Symbol"/>
              </w:rPr>
            </w:pPr>
            <w:r>
              <w:rPr>
                <w:rFonts w:eastAsia="Symbol"/>
              </w:rPr>
              <w:t>Modify Units</w:t>
            </w:r>
          </w:p>
        </w:tc>
        <w:tc>
          <w:tcPr>
            <w:tcW w:w="1080" w:type="dxa"/>
          </w:tcPr>
          <w:p w14:paraId="7AB300D8" w14:textId="77777777" w:rsidR="00C045C1" w:rsidRDefault="00C045C1" w:rsidP="00C045C1">
            <w:pPr>
              <w:pStyle w:val="TableText"/>
              <w:rPr>
                <w:rFonts w:eastAsia="Symbol"/>
              </w:rPr>
            </w:pPr>
            <w:r>
              <w:t>Yes</w:t>
            </w:r>
          </w:p>
        </w:tc>
        <w:tc>
          <w:tcPr>
            <w:tcW w:w="1152" w:type="dxa"/>
          </w:tcPr>
          <w:p w14:paraId="403469C3" w14:textId="77777777" w:rsidR="00C045C1" w:rsidRDefault="00C045C1" w:rsidP="00C045C1">
            <w:pPr>
              <w:pStyle w:val="TableText"/>
              <w:rPr>
                <w:rFonts w:eastAsia="Symbol"/>
              </w:rPr>
            </w:pPr>
            <w:r>
              <w:t>No</w:t>
            </w:r>
          </w:p>
        </w:tc>
      </w:tr>
      <w:tr w:rsidR="00C045C1" w14:paraId="0997BE4B" w14:textId="77777777">
        <w:trPr>
          <w:cantSplit/>
        </w:trPr>
        <w:tc>
          <w:tcPr>
            <w:tcW w:w="2988" w:type="dxa"/>
          </w:tcPr>
          <w:p w14:paraId="27E3F59C" w14:textId="77777777" w:rsidR="00C045C1" w:rsidRDefault="00C045C1" w:rsidP="00C045C1">
            <w:pPr>
              <w:pStyle w:val="TableText"/>
            </w:pPr>
            <w:r>
              <w:t>Expired unit received</w:t>
            </w:r>
          </w:p>
        </w:tc>
        <w:tc>
          <w:tcPr>
            <w:tcW w:w="1620" w:type="dxa"/>
          </w:tcPr>
          <w:p w14:paraId="6F523CDB" w14:textId="77777777" w:rsidR="00C045C1" w:rsidRDefault="00C045C1" w:rsidP="00C045C1">
            <w:pPr>
              <w:pStyle w:val="TableText"/>
            </w:pPr>
            <w:r>
              <w:t>All</w:t>
            </w:r>
          </w:p>
        </w:tc>
        <w:tc>
          <w:tcPr>
            <w:tcW w:w="2520" w:type="dxa"/>
          </w:tcPr>
          <w:p w14:paraId="40F59FEF" w14:textId="77777777" w:rsidR="00C045C1" w:rsidRDefault="00C045C1" w:rsidP="00C045C1">
            <w:pPr>
              <w:pStyle w:val="TableText"/>
            </w:pPr>
            <w:r>
              <w:t>Incoming Shipment</w:t>
            </w:r>
          </w:p>
        </w:tc>
        <w:tc>
          <w:tcPr>
            <w:tcW w:w="1080" w:type="dxa"/>
          </w:tcPr>
          <w:p w14:paraId="2A056FC3" w14:textId="77777777" w:rsidR="00C045C1" w:rsidRDefault="00C045C1" w:rsidP="00C045C1">
            <w:pPr>
              <w:pStyle w:val="TableText"/>
            </w:pPr>
            <w:r>
              <w:t>Yes</w:t>
            </w:r>
          </w:p>
        </w:tc>
        <w:tc>
          <w:tcPr>
            <w:tcW w:w="1152" w:type="dxa"/>
          </w:tcPr>
          <w:p w14:paraId="2D9D60CF" w14:textId="77777777" w:rsidR="00C045C1" w:rsidRDefault="00C045C1" w:rsidP="00C045C1">
            <w:pPr>
              <w:pStyle w:val="TableText"/>
            </w:pPr>
            <w:r>
              <w:t>No</w:t>
            </w:r>
          </w:p>
        </w:tc>
      </w:tr>
      <w:tr w:rsidR="00C045C1" w14:paraId="503F4EAD" w14:textId="77777777">
        <w:trPr>
          <w:cantSplit/>
        </w:trPr>
        <w:tc>
          <w:tcPr>
            <w:tcW w:w="2988" w:type="dxa"/>
          </w:tcPr>
          <w:p w14:paraId="1D6BF59A" w14:textId="77777777" w:rsidR="00C045C1" w:rsidRDefault="00C045C1" w:rsidP="00C045C1">
            <w:pPr>
              <w:pStyle w:val="TableText"/>
              <w:rPr>
                <w:rFonts w:eastAsia="Symbol"/>
              </w:rPr>
            </w:pPr>
            <w:r>
              <w:t>Expired unit released from quarantine</w:t>
            </w:r>
          </w:p>
        </w:tc>
        <w:tc>
          <w:tcPr>
            <w:tcW w:w="1620" w:type="dxa"/>
          </w:tcPr>
          <w:p w14:paraId="51B9CAD1" w14:textId="77777777" w:rsidR="00C045C1" w:rsidRDefault="00C045C1" w:rsidP="00C045C1">
            <w:pPr>
              <w:pStyle w:val="TableText"/>
              <w:rPr>
                <w:rFonts w:eastAsia="Symbol"/>
              </w:rPr>
            </w:pPr>
            <w:r>
              <w:rPr>
                <w:u w:val="single"/>
              </w:rPr>
              <w:t>&gt;</w:t>
            </w:r>
            <w:r>
              <w:t xml:space="preserve"> Enhanced Tech</w:t>
            </w:r>
          </w:p>
        </w:tc>
        <w:tc>
          <w:tcPr>
            <w:tcW w:w="2520" w:type="dxa"/>
          </w:tcPr>
          <w:p w14:paraId="5FA6A4C4" w14:textId="77777777" w:rsidR="00C045C1" w:rsidRDefault="00C045C1" w:rsidP="00C045C1">
            <w:pPr>
              <w:pStyle w:val="TableText"/>
              <w:rPr>
                <w:rFonts w:eastAsia="Symbol"/>
              </w:rPr>
            </w:pPr>
            <w:r>
              <w:rPr>
                <w:rFonts w:eastAsia="Symbol"/>
              </w:rPr>
              <w:t>Release from Quarantine</w:t>
            </w:r>
          </w:p>
        </w:tc>
        <w:tc>
          <w:tcPr>
            <w:tcW w:w="1080" w:type="dxa"/>
          </w:tcPr>
          <w:p w14:paraId="170BE22D" w14:textId="77777777" w:rsidR="00C045C1" w:rsidRDefault="00C045C1" w:rsidP="00C045C1">
            <w:pPr>
              <w:pStyle w:val="TableText"/>
              <w:rPr>
                <w:rFonts w:eastAsia="Symbol"/>
              </w:rPr>
            </w:pPr>
            <w:r>
              <w:t>Yes</w:t>
            </w:r>
          </w:p>
        </w:tc>
        <w:tc>
          <w:tcPr>
            <w:tcW w:w="1152" w:type="dxa"/>
          </w:tcPr>
          <w:p w14:paraId="3DF08C33" w14:textId="77777777" w:rsidR="00C045C1" w:rsidRDefault="00C045C1" w:rsidP="00C045C1">
            <w:pPr>
              <w:pStyle w:val="TableText"/>
              <w:rPr>
                <w:rFonts w:eastAsia="Symbol"/>
              </w:rPr>
            </w:pPr>
            <w:r>
              <w:t>No</w:t>
            </w:r>
          </w:p>
        </w:tc>
      </w:tr>
      <w:tr w:rsidR="00C045C1" w14:paraId="55A02354" w14:textId="77777777">
        <w:trPr>
          <w:cantSplit/>
        </w:trPr>
        <w:tc>
          <w:tcPr>
            <w:tcW w:w="2988" w:type="dxa"/>
          </w:tcPr>
          <w:p w14:paraId="27BA2DFF" w14:textId="77777777" w:rsidR="00C045C1" w:rsidRDefault="00C045C1" w:rsidP="00C045C1">
            <w:pPr>
              <w:pStyle w:val="TableText"/>
            </w:pPr>
            <w:r>
              <w:t>Expired unit selected</w:t>
            </w:r>
          </w:p>
        </w:tc>
        <w:tc>
          <w:tcPr>
            <w:tcW w:w="1620" w:type="dxa"/>
          </w:tcPr>
          <w:p w14:paraId="2C835FBD" w14:textId="77777777" w:rsidR="00C045C1" w:rsidRDefault="00C045C1" w:rsidP="00C045C1">
            <w:pPr>
              <w:pStyle w:val="TableText"/>
            </w:pPr>
            <w:r>
              <w:rPr>
                <w:u w:val="single"/>
              </w:rPr>
              <w:t>&gt;</w:t>
            </w:r>
            <w:r>
              <w:t xml:space="preserve"> Enhanced Tech</w:t>
            </w:r>
          </w:p>
        </w:tc>
        <w:tc>
          <w:tcPr>
            <w:tcW w:w="2520" w:type="dxa"/>
          </w:tcPr>
          <w:p w14:paraId="46FC8FCE" w14:textId="77777777" w:rsidR="00C045C1" w:rsidRDefault="00C045C1" w:rsidP="00C045C1">
            <w:pPr>
              <w:pStyle w:val="TableText"/>
            </w:pPr>
            <w:r>
              <w:t>Select Unit</w:t>
            </w:r>
          </w:p>
        </w:tc>
        <w:tc>
          <w:tcPr>
            <w:tcW w:w="1080" w:type="dxa"/>
          </w:tcPr>
          <w:p w14:paraId="6225A9E0" w14:textId="77777777" w:rsidR="00C045C1" w:rsidRDefault="00C045C1" w:rsidP="00C045C1">
            <w:pPr>
              <w:pStyle w:val="TableText"/>
            </w:pPr>
            <w:r>
              <w:t>No</w:t>
            </w:r>
          </w:p>
        </w:tc>
        <w:tc>
          <w:tcPr>
            <w:tcW w:w="1152" w:type="dxa"/>
          </w:tcPr>
          <w:p w14:paraId="59F2E09F" w14:textId="77777777" w:rsidR="00C045C1" w:rsidRDefault="00C045C1" w:rsidP="00C045C1">
            <w:pPr>
              <w:pStyle w:val="TableText"/>
              <w:rPr>
                <w:rFonts w:eastAsia="Symbol"/>
              </w:rPr>
            </w:pPr>
            <w:r>
              <w:rPr>
                <w:rFonts w:eastAsia="Symbol"/>
              </w:rPr>
              <w:t>Yes</w:t>
            </w:r>
          </w:p>
        </w:tc>
      </w:tr>
      <w:tr w:rsidR="00C045C1" w14:paraId="4D517948" w14:textId="77777777">
        <w:trPr>
          <w:cantSplit/>
        </w:trPr>
        <w:tc>
          <w:tcPr>
            <w:tcW w:w="2988" w:type="dxa"/>
          </w:tcPr>
          <w:p w14:paraId="7B78391C" w14:textId="77777777" w:rsidR="00C045C1" w:rsidRDefault="00C045C1" w:rsidP="00C045C1">
            <w:pPr>
              <w:pStyle w:val="TableText"/>
            </w:pPr>
            <w:r>
              <w:t>Final unit status or modification removed</w:t>
            </w:r>
          </w:p>
        </w:tc>
        <w:tc>
          <w:tcPr>
            <w:tcW w:w="1620" w:type="dxa"/>
          </w:tcPr>
          <w:p w14:paraId="4E33E114" w14:textId="77777777" w:rsidR="00C045C1" w:rsidRDefault="00C045C1" w:rsidP="00C045C1">
            <w:pPr>
              <w:pStyle w:val="TableText"/>
            </w:pPr>
            <w:r>
              <w:rPr>
                <w:u w:val="single"/>
              </w:rPr>
              <w:t>&gt;</w:t>
            </w:r>
            <w:r>
              <w:t xml:space="preserve"> Traditional Supervisor</w:t>
            </w:r>
          </w:p>
        </w:tc>
        <w:tc>
          <w:tcPr>
            <w:tcW w:w="2520" w:type="dxa"/>
          </w:tcPr>
          <w:p w14:paraId="374EAA7C" w14:textId="77777777" w:rsidR="00C045C1" w:rsidRDefault="00C045C1" w:rsidP="00C045C1">
            <w:pPr>
              <w:pStyle w:val="TableText"/>
            </w:pPr>
            <w:r>
              <w:t>Remove Final Status</w:t>
            </w:r>
          </w:p>
        </w:tc>
        <w:tc>
          <w:tcPr>
            <w:tcW w:w="1080" w:type="dxa"/>
          </w:tcPr>
          <w:p w14:paraId="5FEF384D" w14:textId="77777777" w:rsidR="00C045C1" w:rsidRDefault="00C045C1" w:rsidP="00C045C1">
            <w:pPr>
              <w:pStyle w:val="TableText"/>
            </w:pPr>
            <w:r>
              <w:t>Yes</w:t>
            </w:r>
          </w:p>
        </w:tc>
        <w:tc>
          <w:tcPr>
            <w:tcW w:w="1152" w:type="dxa"/>
          </w:tcPr>
          <w:p w14:paraId="774FD955" w14:textId="77777777" w:rsidR="00C045C1" w:rsidRDefault="00C045C1" w:rsidP="00C045C1">
            <w:pPr>
              <w:pStyle w:val="TableText"/>
              <w:rPr>
                <w:rFonts w:eastAsia="Symbol"/>
              </w:rPr>
            </w:pPr>
            <w:r>
              <w:rPr>
                <w:rFonts w:eastAsia="Symbol"/>
              </w:rPr>
              <w:t>No</w:t>
            </w:r>
          </w:p>
        </w:tc>
      </w:tr>
      <w:tr w:rsidR="00C045C1" w14:paraId="7C8FE92B" w14:textId="77777777">
        <w:trPr>
          <w:cantSplit/>
        </w:trPr>
        <w:tc>
          <w:tcPr>
            <w:tcW w:w="2988" w:type="dxa"/>
          </w:tcPr>
          <w:p w14:paraId="49A68C1B" w14:textId="77777777" w:rsidR="00C045C1" w:rsidRPr="002C66CF" w:rsidRDefault="00C045C1" w:rsidP="00C045C1">
            <w:pPr>
              <w:pStyle w:val="TableText"/>
            </w:pPr>
            <w:r w:rsidRPr="002C66CF">
              <w:t xml:space="preserve">Inconclusive </w:t>
            </w:r>
            <w:r>
              <w:t>c</w:t>
            </w:r>
            <w:r w:rsidRPr="002C66CF">
              <w:t>rossmatch</w:t>
            </w:r>
          </w:p>
        </w:tc>
        <w:tc>
          <w:tcPr>
            <w:tcW w:w="1620" w:type="dxa"/>
          </w:tcPr>
          <w:p w14:paraId="1559D68E" w14:textId="77777777" w:rsidR="00C045C1" w:rsidRPr="002C66CF" w:rsidRDefault="00C045C1" w:rsidP="00C045C1">
            <w:pPr>
              <w:pStyle w:val="TableText"/>
            </w:pPr>
            <w:r>
              <w:t>All</w:t>
            </w:r>
          </w:p>
        </w:tc>
        <w:tc>
          <w:tcPr>
            <w:tcW w:w="2520" w:type="dxa"/>
          </w:tcPr>
          <w:p w14:paraId="3288CAE5" w14:textId="77777777" w:rsidR="00C045C1" w:rsidRPr="002C66CF" w:rsidRDefault="00C045C1" w:rsidP="00C045C1">
            <w:pPr>
              <w:pStyle w:val="TableText"/>
            </w:pPr>
            <w:r>
              <w:t>Patient Testing, serologic crossmatch grid</w:t>
            </w:r>
          </w:p>
        </w:tc>
        <w:tc>
          <w:tcPr>
            <w:tcW w:w="1080" w:type="dxa"/>
          </w:tcPr>
          <w:p w14:paraId="44DC8DB4" w14:textId="77777777" w:rsidR="00C045C1" w:rsidRDefault="00C045C1" w:rsidP="00C045C1">
            <w:pPr>
              <w:pStyle w:val="TableText"/>
            </w:pPr>
            <w:r>
              <w:t>No</w:t>
            </w:r>
          </w:p>
        </w:tc>
        <w:tc>
          <w:tcPr>
            <w:tcW w:w="1152" w:type="dxa"/>
          </w:tcPr>
          <w:p w14:paraId="5C351C6A" w14:textId="77777777" w:rsidR="00C045C1" w:rsidRDefault="00C045C1" w:rsidP="00C045C1">
            <w:pPr>
              <w:pStyle w:val="TableText"/>
            </w:pPr>
            <w:r>
              <w:rPr>
                <w:rFonts w:eastAsia="Symbol"/>
              </w:rPr>
              <w:t>Yes</w:t>
            </w:r>
          </w:p>
        </w:tc>
      </w:tr>
      <w:tr w:rsidR="00C045C1" w14:paraId="356B2228" w14:textId="77777777">
        <w:trPr>
          <w:cantSplit/>
        </w:trPr>
        <w:tc>
          <w:tcPr>
            <w:tcW w:w="2988" w:type="dxa"/>
          </w:tcPr>
          <w:p w14:paraId="37F10E95" w14:textId="77777777" w:rsidR="00C045C1" w:rsidRDefault="00C045C1" w:rsidP="00C045C1">
            <w:pPr>
              <w:pStyle w:val="TableText"/>
            </w:pPr>
            <w:r>
              <w:t>Issued expired unit</w:t>
            </w:r>
          </w:p>
        </w:tc>
        <w:tc>
          <w:tcPr>
            <w:tcW w:w="1620" w:type="dxa"/>
          </w:tcPr>
          <w:p w14:paraId="35C93CA0" w14:textId="77777777" w:rsidR="00C045C1" w:rsidRDefault="00C045C1" w:rsidP="00C045C1">
            <w:pPr>
              <w:pStyle w:val="TableText"/>
            </w:pPr>
            <w:r>
              <w:rPr>
                <w:u w:val="single"/>
              </w:rPr>
              <w:t>&gt;</w:t>
            </w:r>
            <w:r>
              <w:t xml:space="preserve"> Enhanced Tech</w:t>
            </w:r>
          </w:p>
        </w:tc>
        <w:tc>
          <w:tcPr>
            <w:tcW w:w="2520" w:type="dxa"/>
          </w:tcPr>
          <w:p w14:paraId="04279F72" w14:textId="77777777" w:rsidR="00C045C1" w:rsidRDefault="00C045C1" w:rsidP="00C045C1">
            <w:pPr>
              <w:pStyle w:val="TableText"/>
            </w:pPr>
            <w:r>
              <w:t>Issue Blood</w:t>
            </w:r>
          </w:p>
        </w:tc>
        <w:tc>
          <w:tcPr>
            <w:tcW w:w="1080" w:type="dxa"/>
          </w:tcPr>
          <w:p w14:paraId="7F1C794E" w14:textId="77777777" w:rsidR="00C045C1" w:rsidRDefault="00C045C1" w:rsidP="00C045C1">
            <w:pPr>
              <w:pStyle w:val="TableText"/>
            </w:pPr>
            <w:r>
              <w:t>No</w:t>
            </w:r>
          </w:p>
        </w:tc>
        <w:tc>
          <w:tcPr>
            <w:tcW w:w="1152" w:type="dxa"/>
          </w:tcPr>
          <w:p w14:paraId="02669B94" w14:textId="77777777" w:rsidR="00C045C1" w:rsidRDefault="00C045C1" w:rsidP="00C045C1">
            <w:pPr>
              <w:pStyle w:val="TableText"/>
            </w:pPr>
            <w:r>
              <w:rPr>
                <w:rFonts w:eastAsia="Symbol"/>
              </w:rPr>
              <w:t>Yes</w:t>
            </w:r>
          </w:p>
        </w:tc>
      </w:tr>
      <w:tr w:rsidR="00C045C1" w14:paraId="0258478C" w14:textId="77777777">
        <w:trPr>
          <w:cantSplit/>
        </w:trPr>
        <w:tc>
          <w:tcPr>
            <w:tcW w:w="2988" w:type="dxa"/>
          </w:tcPr>
          <w:p w14:paraId="6A0A2482" w14:textId="77777777" w:rsidR="00C045C1" w:rsidRDefault="00C045C1" w:rsidP="00C045C1">
            <w:pPr>
              <w:pStyle w:val="TableText"/>
            </w:pPr>
            <w:r>
              <w:t>Less restrictive unit issued</w:t>
            </w:r>
          </w:p>
        </w:tc>
        <w:tc>
          <w:tcPr>
            <w:tcW w:w="1620" w:type="dxa"/>
          </w:tcPr>
          <w:p w14:paraId="2227871D" w14:textId="77777777" w:rsidR="00C045C1" w:rsidRDefault="00C045C1" w:rsidP="00C045C1">
            <w:pPr>
              <w:pStyle w:val="TableText"/>
            </w:pPr>
            <w:r>
              <w:t>All</w:t>
            </w:r>
          </w:p>
        </w:tc>
        <w:tc>
          <w:tcPr>
            <w:tcW w:w="2520" w:type="dxa"/>
          </w:tcPr>
          <w:p w14:paraId="61772EFC" w14:textId="77777777" w:rsidR="00C045C1" w:rsidRDefault="00C045C1" w:rsidP="00C045C1">
            <w:pPr>
              <w:pStyle w:val="TableText"/>
            </w:pPr>
            <w:r>
              <w:t>Issue Blood</w:t>
            </w:r>
          </w:p>
        </w:tc>
        <w:tc>
          <w:tcPr>
            <w:tcW w:w="1080" w:type="dxa"/>
          </w:tcPr>
          <w:p w14:paraId="34527661" w14:textId="77777777" w:rsidR="00C045C1" w:rsidRDefault="00C045C1" w:rsidP="00C045C1">
            <w:pPr>
              <w:pStyle w:val="TableText"/>
            </w:pPr>
            <w:r>
              <w:t>No</w:t>
            </w:r>
          </w:p>
        </w:tc>
        <w:tc>
          <w:tcPr>
            <w:tcW w:w="1152" w:type="dxa"/>
          </w:tcPr>
          <w:p w14:paraId="5A94323D" w14:textId="77777777" w:rsidR="00C045C1" w:rsidRDefault="00C045C1" w:rsidP="00C045C1">
            <w:pPr>
              <w:pStyle w:val="TableText"/>
            </w:pPr>
            <w:r>
              <w:rPr>
                <w:rFonts w:eastAsia="Symbol"/>
              </w:rPr>
              <w:t>Yes</w:t>
            </w:r>
          </w:p>
        </w:tc>
      </w:tr>
      <w:tr w:rsidR="00C045C1" w14:paraId="2C931FAC" w14:textId="77777777">
        <w:trPr>
          <w:cantSplit/>
        </w:trPr>
        <w:tc>
          <w:tcPr>
            <w:tcW w:w="2988" w:type="dxa"/>
          </w:tcPr>
          <w:p w14:paraId="0FBD833B" w14:textId="77777777" w:rsidR="00C045C1" w:rsidRDefault="00C045C1" w:rsidP="00C045C1">
            <w:pPr>
              <w:pStyle w:val="TableText"/>
            </w:pPr>
            <w:r>
              <w:t>Less restrictive unit selected</w:t>
            </w:r>
          </w:p>
        </w:tc>
        <w:tc>
          <w:tcPr>
            <w:tcW w:w="1620" w:type="dxa"/>
          </w:tcPr>
          <w:p w14:paraId="746018D8" w14:textId="77777777" w:rsidR="00C045C1" w:rsidRDefault="00C045C1" w:rsidP="00C045C1">
            <w:pPr>
              <w:pStyle w:val="TableText"/>
            </w:pPr>
            <w:r>
              <w:t>All</w:t>
            </w:r>
          </w:p>
        </w:tc>
        <w:tc>
          <w:tcPr>
            <w:tcW w:w="2520" w:type="dxa"/>
          </w:tcPr>
          <w:p w14:paraId="25A5FFF8" w14:textId="77777777" w:rsidR="00C045C1" w:rsidRDefault="00C045C1" w:rsidP="00C045C1">
            <w:pPr>
              <w:pStyle w:val="TableText"/>
            </w:pPr>
            <w:r>
              <w:t>Select Unit</w:t>
            </w:r>
          </w:p>
        </w:tc>
        <w:tc>
          <w:tcPr>
            <w:tcW w:w="1080" w:type="dxa"/>
          </w:tcPr>
          <w:p w14:paraId="6C599D57" w14:textId="77777777" w:rsidR="00C045C1" w:rsidRDefault="00C045C1" w:rsidP="00C045C1">
            <w:pPr>
              <w:pStyle w:val="TableText"/>
            </w:pPr>
            <w:r>
              <w:t>No</w:t>
            </w:r>
          </w:p>
        </w:tc>
        <w:tc>
          <w:tcPr>
            <w:tcW w:w="1152" w:type="dxa"/>
          </w:tcPr>
          <w:p w14:paraId="44F6010D" w14:textId="77777777" w:rsidR="00C045C1" w:rsidRDefault="00C045C1" w:rsidP="00C045C1">
            <w:pPr>
              <w:pStyle w:val="TableText"/>
            </w:pPr>
            <w:r>
              <w:rPr>
                <w:rFonts w:eastAsia="Symbol"/>
              </w:rPr>
              <w:t>Yes</w:t>
            </w:r>
          </w:p>
        </w:tc>
      </w:tr>
      <w:tr w:rsidR="00C045C1" w14:paraId="7916E2CA" w14:textId="77777777">
        <w:trPr>
          <w:cantSplit/>
        </w:trPr>
        <w:tc>
          <w:tcPr>
            <w:tcW w:w="2988" w:type="dxa"/>
          </w:tcPr>
          <w:p w14:paraId="2332DC0F" w14:textId="77777777" w:rsidR="00C045C1" w:rsidRDefault="00C045C1" w:rsidP="00C045C1">
            <w:pPr>
              <w:pStyle w:val="TableText"/>
              <w:rPr>
                <w:rFonts w:eastAsia="Symbol"/>
              </w:rPr>
            </w:pPr>
            <w:r>
              <w:t>Non-standard test procedure</w:t>
            </w:r>
          </w:p>
        </w:tc>
        <w:tc>
          <w:tcPr>
            <w:tcW w:w="1620" w:type="dxa"/>
          </w:tcPr>
          <w:p w14:paraId="7130E55E" w14:textId="77777777" w:rsidR="00C045C1" w:rsidRDefault="00C045C1" w:rsidP="00C045C1">
            <w:pPr>
              <w:pStyle w:val="TableText"/>
              <w:rPr>
                <w:rFonts w:eastAsia="Symbol"/>
              </w:rPr>
            </w:pPr>
            <w:r>
              <w:rPr>
                <w:rFonts w:eastAsia="Symbol"/>
              </w:rPr>
              <w:t>All</w:t>
            </w:r>
          </w:p>
        </w:tc>
        <w:tc>
          <w:tcPr>
            <w:tcW w:w="2520" w:type="dxa"/>
          </w:tcPr>
          <w:p w14:paraId="7BDC30A5" w14:textId="77777777" w:rsidR="00C045C1" w:rsidRDefault="00C045C1" w:rsidP="00C045C1">
            <w:pPr>
              <w:pStyle w:val="TableText"/>
              <w:rPr>
                <w:rFonts w:eastAsia="Symbol"/>
              </w:rPr>
            </w:pPr>
            <w:r>
              <w:rPr>
                <w:rFonts w:eastAsia="Symbol"/>
              </w:rPr>
              <w:t>Patient Testing, Antibody screen, serologic crossmatch</w:t>
            </w:r>
          </w:p>
        </w:tc>
        <w:tc>
          <w:tcPr>
            <w:tcW w:w="1080" w:type="dxa"/>
          </w:tcPr>
          <w:p w14:paraId="4943208D" w14:textId="77777777" w:rsidR="00C045C1" w:rsidRDefault="00C045C1" w:rsidP="00C045C1">
            <w:pPr>
              <w:pStyle w:val="TableText"/>
              <w:rPr>
                <w:rFonts w:eastAsia="Symbol"/>
              </w:rPr>
            </w:pPr>
            <w:r>
              <w:t>No</w:t>
            </w:r>
          </w:p>
        </w:tc>
        <w:tc>
          <w:tcPr>
            <w:tcW w:w="1152" w:type="dxa"/>
          </w:tcPr>
          <w:p w14:paraId="2F44AFBE" w14:textId="77777777" w:rsidR="00C045C1" w:rsidRDefault="00C045C1" w:rsidP="00C045C1">
            <w:pPr>
              <w:pStyle w:val="TableText"/>
              <w:rPr>
                <w:rFonts w:eastAsia="Symbol"/>
              </w:rPr>
            </w:pPr>
            <w:r>
              <w:rPr>
                <w:rFonts w:eastAsia="Symbol"/>
              </w:rPr>
              <w:t>Yes</w:t>
            </w:r>
          </w:p>
        </w:tc>
      </w:tr>
      <w:tr w:rsidR="00C045C1" w14:paraId="6384D5F5" w14:textId="77777777">
        <w:trPr>
          <w:cantSplit/>
        </w:trPr>
        <w:tc>
          <w:tcPr>
            <w:tcW w:w="2988" w:type="dxa"/>
          </w:tcPr>
          <w:p w14:paraId="7E074642" w14:textId="77777777" w:rsidR="00C045C1" w:rsidRDefault="00C045C1" w:rsidP="00C045C1">
            <w:pPr>
              <w:pStyle w:val="TableText"/>
              <w:rPr>
                <w:rFonts w:eastAsia="Symbol"/>
              </w:rPr>
            </w:pPr>
            <w:r>
              <w:t>(Patient) ABO/Rh discrepancy</w:t>
            </w:r>
          </w:p>
        </w:tc>
        <w:tc>
          <w:tcPr>
            <w:tcW w:w="1620" w:type="dxa"/>
          </w:tcPr>
          <w:p w14:paraId="781F3AF3" w14:textId="77777777" w:rsidR="00C045C1" w:rsidRDefault="00C045C1" w:rsidP="00C045C1">
            <w:pPr>
              <w:pStyle w:val="TableText"/>
              <w:rPr>
                <w:rFonts w:eastAsia="Symbol"/>
              </w:rPr>
            </w:pPr>
            <w:r>
              <w:rPr>
                <w:rFonts w:eastAsia="Symbol"/>
              </w:rPr>
              <w:t>All</w:t>
            </w:r>
          </w:p>
        </w:tc>
        <w:tc>
          <w:tcPr>
            <w:tcW w:w="2520" w:type="dxa"/>
          </w:tcPr>
          <w:p w14:paraId="6125688C" w14:textId="77777777" w:rsidR="00C045C1" w:rsidRDefault="00C045C1" w:rsidP="00C045C1">
            <w:pPr>
              <w:pStyle w:val="TableText"/>
              <w:rPr>
                <w:rFonts w:eastAsia="Symbol"/>
              </w:rPr>
            </w:pPr>
            <w:r>
              <w:rPr>
                <w:rFonts w:eastAsia="Symbol"/>
              </w:rPr>
              <w:t>Patient testing, ABO/Rh test</w:t>
            </w:r>
          </w:p>
        </w:tc>
        <w:tc>
          <w:tcPr>
            <w:tcW w:w="1080" w:type="dxa"/>
          </w:tcPr>
          <w:p w14:paraId="7328AED4" w14:textId="77777777" w:rsidR="00C045C1" w:rsidRDefault="00C045C1" w:rsidP="00C045C1">
            <w:pPr>
              <w:pStyle w:val="TableText"/>
              <w:rPr>
                <w:rFonts w:eastAsia="Symbol"/>
              </w:rPr>
            </w:pPr>
            <w:r>
              <w:t>No</w:t>
            </w:r>
          </w:p>
        </w:tc>
        <w:tc>
          <w:tcPr>
            <w:tcW w:w="1152" w:type="dxa"/>
          </w:tcPr>
          <w:p w14:paraId="7AC7F166" w14:textId="77777777" w:rsidR="00C045C1" w:rsidRDefault="00C045C1" w:rsidP="00C045C1">
            <w:pPr>
              <w:pStyle w:val="TableText"/>
              <w:rPr>
                <w:rFonts w:eastAsia="Symbol"/>
              </w:rPr>
            </w:pPr>
            <w:r>
              <w:rPr>
                <w:rFonts w:eastAsia="Symbol"/>
              </w:rPr>
              <w:t>Yes</w:t>
            </w:r>
          </w:p>
        </w:tc>
      </w:tr>
      <w:tr w:rsidR="00C045C1" w14:paraId="0B1DE147" w14:textId="77777777">
        <w:trPr>
          <w:cantSplit/>
        </w:trPr>
        <w:tc>
          <w:tcPr>
            <w:tcW w:w="2988" w:type="dxa"/>
          </w:tcPr>
          <w:p w14:paraId="7A10F43D" w14:textId="77777777" w:rsidR="00C045C1" w:rsidRDefault="00C045C1" w:rsidP="00C045C1">
            <w:pPr>
              <w:pStyle w:val="TableText"/>
              <w:rPr>
                <w:rFonts w:eastAsia="Symbol"/>
              </w:rPr>
            </w:pPr>
            <w:r>
              <w:t>Previously recorded results inactivated</w:t>
            </w:r>
          </w:p>
        </w:tc>
        <w:tc>
          <w:tcPr>
            <w:tcW w:w="1620" w:type="dxa"/>
          </w:tcPr>
          <w:p w14:paraId="7776B900" w14:textId="77777777" w:rsidR="00C045C1" w:rsidRPr="0095633D" w:rsidRDefault="00C045C1" w:rsidP="00C045C1">
            <w:pPr>
              <w:rPr>
                <w:rFonts w:ascii="Arial" w:hAnsi="Arial" w:cs="Arial"/>
                <w:sz w:val="18"/>
                <w:szCs w:val="18"/>
              </w:rPr>
            </w:pPr>
            <w:r w:rsidRPr="0095633D">
              <w:rPr>
                <w:rFonts w:ascii="Arial" w:eastAsia="Symbol" w:hAnsi="Arial" w:cs="Arial"/>
                <w:sz w:val="18"/>
                <w:szCs w:val="18"/>
              </w:rPr>
              <w:t>All</w:t>
            </w:r>
          </w:p>
        </w:tc>
        <w:tc>
          <w:tcPr>
            <w:tcW w:w="2520" w:type="dxa"/>
          </w:tcPr>
          <w:p w14:paraId="20A4241F" w14:textId="77777777" w:rsidR="00C045C1" w:rsidRDefault="00C045C1" w:rsidP="00C045C1">
            <w:pPr>
              <w:pStyle w:val="TableText"/>
              <w:rPr>
                <w:rFonts w:eastAsia="Symbol"/>
              </w:rPr>
            </w:pPr>
            <w:r>
              <w:rPr>
                <w:rFonts w:eastAsia="Symbol"/>
              </w:rPr>
              <w:t>All testing grids where the red x is used to clear a grid.</w:t>
            </w:r>
          </w:p>
        </w:tc>
        <w:tc>
          <w:tcPr>
            <w:tcW w:w="1080" w:type="dxa"/>
          </w:tcPr>
          <w:p w14:paraId="540A7B1F" w14:textId="77777777" w:rsidR="00C045C1" w:rsidRDefault="00C045C1" w:rsidP="00C045C1">
            <w:pPr>
              <w:pStyle w:val="TableText"/>
              <w:rPr>
                <w:rFonts w:eastAsia="Symbol"/>
              </w:rPr>
            </w:pPr>
            <w:r>
              <w:t>No</w:t>
            </w:r>
          </w:p>
        </w:tc>
        <w:tc>
          <w:tcPr>
            <w:tcW w:w="1152" w:type="dxa"/>
          </w:tcPr>
          <w:p w14:paraId="31224781" w14:textId="77777777" w:rsidR="00C045C1" w:rsidRDefault="00C045C1" w:rsidP="00C045C1">
            <w:pPr>
              <w:pStyle w:val="TableText"/>
              <w:rPr>
                <w:rFonts w:eastAsia="Symbol"/>
              </w:rPr>
            </w:pPr>
            <w:r>
              <w:rPr>
                <w:rFonts w:eastAsia="Symbol"/>
              </w:rPr>
              <w:t>Yes</w:t>
            </w:r>
          </w:p>
        </w:tc>
      </w:tr>
      <w:tr w:rsidR="00C045C1" w14:paraId="0AB9F879" w14:textId="77777777">
        <w:trPr>
          <w:cantSplit/>
        </w:trPr>
        <w:tc>
          <w:tcPr>
            <w:tcW w:w="2988" w:type="dxa"/>
          </w:tcPr>
          <w:p w14:paraId="14582A3A" w14:textId="77777777" w:rsidR="00C045C1" w:rsidRDefault="00C045C1" w:rsidP="00C045C1">
            <w:pPr>
              <w:pStyle w:val="TableText"/>
            </w:pPr>
            <w:r>
              <w:t>Previously recorded results invalidated</w:t>
            </w:r>
          </w:p>
        </w:tc>
        <w:tc>
          <w:tcPr>
            <w:tcW w:w="1620" w:type="dxa"/>
          </w:tcPr>
          <w:p w14:paraId="1558A6D9" w14:textId="77777777" w:rsidR="00C045C1" w:rsidRPr="0095633D" w:rsidRDefault="00C045C1" w:rsidP="00C045C1">
            <w:pPr>
              <w:rPr>
                <w:rFonts w:ascii="Arial" w:hAnsi="Arial" w:cs="Arial"/>
                <w:sz w:val="18"/>
                <w:szCs w:val="18"/>
              </w:rPr>
            </w:pPr>
            <w:r w:rsidRPr="0095633D">
              <w:rPr>
                <w:rFonts w:ascii="Arial" w:eastAsia="Symbol" w:hAnsi="Arial" w:cs="Arial"/>
                <w:sz w:val="18"/>
                <w:szCs w:val="18"/>
              </w:rPr>
              <w:t>All</w:t>
            </w:r>
          </w:p>
        </w:tc>
        <w:tc>
          <w:tcPr>
            <w:tcW w:w="2520" w:type="dxa"/>
          </w:tcPr>
          <w:p w14:paraId="05059A05" w14:textId="77777777" w:rsidR="00C045C1" w:rsidRDefault="00C045C1" w:rsidP="00C045C1">
            <w:pPr>
              <w:pStyle w:val="TableText"/>
            </w:pPr>
            <w:r>
              <w:rPr>
                <w:rFonts w:eastAsia="Symbol"/>
              </w:rPr>
              <w:t>Invalidate Patient Testing</w:t>
            </w:r>
          </w:p>
        </w:tc>
        <w:tc>
          <w:tcPr>
            <w:tcW w:w="1080" w:type="dxa"/>
          </w:tcPr>
          <w:p w14:paraId="42F2545C" w14:textId="77777777" w:rsidR="00C045C1" w:rsidRDefault="00C045C1" w:rsidP="00C045C1">
            <w:pPr>
              <w:pStyle w:val="TableText"/>
              <w:rPr>
                <w:rFonts w:eastAsia="Symbol"/>
              </w:rPr>
            </w:pPr>
            <w:r>
              <w:rPr>
                <w:rFonts w:eastAsia="Symbol"/>
              </w:rPr>
              <w:t xml:space="preserve">Yes </w:t>
            </w:r>
          </w:p>
        </w:tc>
        <w:tc>
          <w:tcPr>
            <w:tcW w:w="1152" w:type="dxa"/>
          </w:tcPr>
          <w:p w14:paraId="659B1D25" w14:textId="77777777" w:rsidR="00C045C1" w:rsidRDefault="00C045C1" w:rsidP="00C045C1">
            <w:pPr>
              <w:pStyle w:val="TableText"/>
              <w:rPr>
                <w:rFonts w:eastAsia="Symbol"/>
              </w:rPr>
            </w:pPr>
            <w:r>
              <w:t>No</w:t>
            </w:r>
          </w:p>
        </w:tc>
      </w:tr>
      <w:tr w:rsidR="00C045C1" w14:paraId="5803E248" w14:textId="77777777">
        <w:trPr>
          <w:cantSplit/>
        </w:trPr>
        <w:tc>
          <w:tcPr>
            <w:tcW w:w="2988" w:type="dxa"/>
          </w:tcPr>
          <w:p w14:paraId="1B7E003E" w14:textId="77777777" w:rsidR="00C045C1" w:rsidRDefault="00C045C1" w:rsidP="00C045C1">
            <w:pPr>
              <w:pStyle w:val="TableText"/>
              <w:rPr>
                <w:rFonts w:eastAsia="Symbol"/>
              </w:rPr>
            </w:pPr>
            <w:r>
              <w:t xml:space="preserve">QC decrease reagent reactivity </w:t>
            </w:r>
            <w:r w:rsidRPr="004D0684">
              <w:rPr>
                <w:rStyle w:val="Char"/>
                <w:sz w:val="18"/>
                <w:szCs w:val="18"/>
              </w:rPr>
              <w:t>≥2</w:t>
            </w:r>
          </w:p>
        </w:tc>
        <w:tc>
          <w:tcPr>
            <w:tcW w:w="1620" w:type="dxa"/>
          </w:tcPr>
          <w:p w14:paraId="4BDC0C89" w14:textId="77777777" w:rsidR="00C045C1" w:rsidRDefault="00C045C1" w:rsidP="00C045C1">
            <w:pPr>
              <w:pStyle w:val="TableText"/>
              <w:rPr>
                <w:rFonts w:eastAsia="Symbol"/>
              </w:rPr>
            </w:pPr>
            <w:r>
              <w:rPr>
                <w:rFonts w:eastAsia="Symbol"/>
              </w:rPr>
              <w:t>All</w:t>
            </w:r>
          </w:p>
        </w:tc>
        <w:tc>
          <w:tcPr>
            <w:tcW w:w="2520" w:type="dxa"/>
          </w:tcPr>
          <w:p w14:paraId="53D9BE95" w14:textId="77777777" w:rsidR="00C045C1" w:rsidRDefault="00C045C1" w:rsidP="00C045C1">
            <w:pPr>
              <w:pStyle w:val="TableText"/>
              <w:rPr>
                <w:rFonts w:eastAsia="Symbol"/>
              </w:rPr>
            </w:pPr>
            <w:r>
              <w:rPr>
                <w:rFonts w:eastAsia="Symbol"/>
              </w:rPr>
              <w:t>All testing where Rack is selected</w:t>
            </w:r>
          </w:p>
        </w:tc>
        <w:tc>
          <w:tcPr>
            <w:tcW w:w="1080" w:type="dxa"/>
          </w:tcPr>
          <w:p w14:paraId="637139A9" w14:textId="77777777" w:rsidR="00C045C1" w:rsidRDefault="00C045C1" w:rsidP="00C045C1">
            <w:pPr>
              <w:pStyle w:val="TableText"/>
              <w:rPr>
                <w:rFonts w:eastAsia="Symbol"/>
              </w:rPr>
            </w:pPr>
            <w:r>
              <w:t>No</w:t>
            </w:r>
          </w:p>
        </w:tc>
        <w:tc>
          <w:tcPr>
            <w:tcW w:w="1152" w:type="dxa"/>
          </w:tcPr>
          <w:p w14:paraId="09BDF8F1" w14:textId="77777777" w:rsidR="00C045C1" w:rsidRDefault="00C045C1" w:rsidP="00C045C1">
            <w:pPr>
              <w:pStyle w:val="TableText"/>
              <w:rPr>
                <w:rFonts w:eastAsia="Symbol"/>
              </w:rPr>
            </w:pPr>
            <w:r>
              <w:t>No</w:t>
            </w:r>
          </w:p>
        </w:tc>
      </w:tr>
      <w:tr w:rsidR="00C045C1" w14:paraId="50E1EC07" w14:textId="77777777">
        <w:trPr>
          <w:cantSplit/>
        </w:trPr>
        <w:tc>
          <w:tcPr>
            <w:tcW w:w="2988" w:type="dxa"/>
          </w:tcPr>
          <w:p w14:paraId="280CCEDB" w14:textId="77777777" w:rsidR="00C045C1" w:rsidRDefault="00C045C1" w:rsidP="00C045C1">
            <w:pPr>
              <w:pStyle w:val="TableText"/>
              <w:rPr>
                <w:rFonts w:eastAsia="Symbol"/>
              </w:rPr>
            </w:pPr>
            <w:r>
              <w:t>QC not performed on rack used for testing</w:t>
            </w:r>
          </w:p>
        </w:tc>
        <w:tc>
          <w:tcPr>
            <w:tcW w:w="1620" w:type="dxa"/>
          </w:tcPr>
          <w:p w14:paraId="0E687437" w14:textId="77777777" w:rsidR="00C045C1" w:rsidRDefault="00C045C1" w:rsidP="00C045C1">
            <w:pPr>
              <w:pStyle w:val="TableText"/>
              <w:rPr>
                <w:rFonts w:eastAsia="Symbol"/>
              </w:rPr>
            </w:pPr>
            <w:r>
              <w:rPr>
                <w:rFonts w:eastAsia="Symbol"/>
              </w:rPr>
              <w:t>All</w:t>
            </w:r>
          </w:p>
        </w:tc>
        <w:tc>
          <w:tcPr>
            <w:tcW w:w="2520" w:type="dxa"/>
          </w:tcPr>
          <w:p w14:paraId="583F0E7D" w14:textId="77777777" w:rsidR="00C045C1" w:rsidRDefault="00C045C1" w:rsidP="00C045C1">
            <w:pPr>
              <w:pStyle w:val="TableText"/>
              <w:rPr>
                <w:rFonts w:eastAsia="Symbol"/>
              </w:rPr>
            </w:pPr>
            <w:r>
              <w:rPr>
                <w:rFonts w:eastAsia="Symbol"/>
              </w:rPr>
              <w:t>All testing where Rack is selected</w:t>
            </w:r>
          </w:p>
        </w:tc>
        <w:tc>
          <w:tcPr>
            <w:tcW w:w="1080" w:type="dxa"/>
          </w:tcPr>
          <w:p w14:paraId="061BA735" w14:textId="77777777" w:rsidR="00C045C1" w:rsidRDefault="00C045C1" w:rsidP="00C045C1">
            <w:pPr>
              <w:pStyle w:val="TableText"/>
              <w:rPr>
                <w:rFonts w:eastAsia="Symbol"/>
              </w:rPr>
            </w:pPr>
            <w:r>
              <w:t>No</w:t>
            </w:r>
          </w:p>
        </w:tc>
        <w:tc>
          <w:tcPr>
            <w:tcW w:w="1152" w:type="dxa"/>
          </w:tcPr>
          <w:p w14:paraId="6DEA4EE7" w14:textId="77777777" w:rsidR="00C045C1" w:rsidRDefault="00C045C1" w:rsidP="00C045C1">
            <w:pPr>
              <w:pStyle w:val="TableText"/>
              <w:rPr>
                <w:rFonts w:eastAsia="Symbol"/>
              </w:rPr>
            </w:pPr>
            <w:r>
              <w:rPr>
                <w:rFonts w:eastAsia="Symbol"/>
              </w:rPr>
              <w:t>Yes</w:t>
            </w:r>
          </w:p>
        </w:tc>
      </w:tr>
      <w:tr w:rsidR="00C045C1" w14:paraId="0BFD4180" w14:textId="77777777">
        <w:trPr>
          <w:cantSplit/>
        </w:trPr>
        <w:tc>
          <w:tcPr>
            <w:tcW w:w="2988" w:type="dxa"/>
          </w:tcPr>
          <w:p w14:paraId="0628A8FB" w14:textId="77777777" w:rsidR="00C045C1" w:rsidRDefault="00C045C1" w:rsidP="00C045C1">
            <w:pPr>
              <w:pStyle w:val="TableText"/>
              <w:rPr>
                <w:rFonts w:eastAsia="Symbol"/>
              </w:rPr>
            </w:pPr>
            <w:r>
              <w:t>Reflex test ordered on expired specimen</w:t>
            </w:r>
          </w:p>
        </w:tc>
        <w:tc>
          <w:tcPr>
            <w:tcW w:w="1620" w:type="dxa"/>
          </w:tcPr>
          <w:p w14:paraId="60E74FE4" w14:textId="77777777" w:rsidR="00C045C1" w:rsidRDefault="00C045C1" w:rsidP="00C045C1">
            <w:pPr>
              <w:pStyle w:val="TableText"/>
              <w:rPr>
                <w:rFonts w:eastAsia="Symbol"/>
              </w:rPr>
            </w:pPr>
            <w:r>
              <w:rPr>
                <w:rFonts w:eastAsia="Symbol"/>
              </w:rPr>
              <w:t>All</w:t>
            </w:r>
          </w:p>
        </w:tc>
        <w:tc>
          <w:tcPr>
            <w:tcW w:w="2520" w:type="dxa"/>
          </w:tcPr>
          <w:p w14:paraId="24F0CC33" w14:textId="77777777" w:rsidR="00C045C1" w:rsidRDefault="00C045C1" w:rsidP="00C045C1">
            <w:pPr>
              <w:pStyle w:val="TableText"/>
              <w:rPr>
                <w:rFonts w:eastAsia="Symbol"/>
              </w:rPr>
            </w:pPr>
            <w:r>
              <w:rPr>
                <w:rFonts w:eastAsia="Symbol"/>
              </w:rPr>
              <w:t>Order Reflex Test</w:t>
            </w:r>
          </w:p>
        </w:tc>
        <w:tc>
          <w:tcPr>
            <w:tcW w:w="1080" w:type="dxa"/>
          </w:tcPr>
          <w:p w14:paraId="44D6895C" w14:textId="77777777" w:rsidR="00C045C1" w:rsidRDefault="00C045C1" w:rsidP="00C045C1">
            <w:pPr>
              <w:pStyle w:val="TableText"/>
              <w:rPr>
                <w:rFonts w:eastAsia="Symbol"/>
              </w:rPr>
            </w:pPr>
            <w:r>
              <w:t>No</w:t>
            </w:r>
          </w:p>
        </w:tc>
        <w:tc>
          <w:tcPr>
            <w:tcW w:w="1152" w:type="dxa"/>
          </w:tcPr>
          <w:p w14:paraId="7560572D" w14:textId="77777777" w:rsidR="00C045C1" w:rsidRDefault="00C045C1" w:rsidP="00C045C1">
            <w:pPr>
              <w:pStyle w:val="TableText"/>
              <w:rPr>
                <w:rFonts w:eastAsia="Symbol"/>
              </w:rPr>
            </w:pPr>
            <w:r>
              <w:rPr>
                <w:rFonts w:eastAsia="Symbol"/>
              </w:rPr>
              <w:t>Yes</w:t>
            </w:r>
          </w:p>
        </w:tc>
      </w:tr>
      <w:tr w:rsidR="00C045C1" w14:paraId="4E5BEB3F" w14:textId="77777777">
        <w:trPr>
          <w:cantSplit/>
        </w:trPr>
        <w:tc>
          <w:tcPr>
            <w:tcW w:w="2988" w:type="dxa"/>
          </w:tcPr>
          <w:p w14:paraId="0DC69190" w14:textId="77777777" w:rsidR="00C045C1" w:rsidRDefault="00C045C1" w:rsidP="00C045C1">
            <w:pPr>
              <w:pStyle w:val="TableText"/>
            </w:pPr>
            <w:r>
              <w:t>Released patient restriction</w:t>
            </w:r>
          </w:p>
        </w:tc>
        <w:tc>
          <w:tcPr>
            <w:tcW w:w="1620" w:type="dxa"/>
          </w:tcPr>
          <w:p w14:paraId="15CAEE6C" w14:textId="77777777" w:rsidR="00C045C1" w:rsidRDefault="00C045C1" w:rsidP="00C045C1">
            <w:pPr>
              <w:pStyle w:val="TableText"/>
            </w:pPr>
            <w:r>
              <w:rPr>
                <w:u w:val="single"/>
              </w:rPr>
              <w:t>&gt;</w:t>
            </w:r>
            <w:r>
              <w:t xml:space="preserve"> Enhanced Tech</w:t>
            </w:r>
          </w:p>
        </w:tc>
        <w:tc>
          <w:tcPr>
            <w:tcW w:w="2520" w:type="dxa"/>
          </w:tcPr>
          <w:p w14:paraId="2529660D" w14:textId="77777777" w:rsidR="00C045C1" w:rsidRDefault="00C045C1" w:rsidP="00C045C1">
            <w:pPr>
              <w:pStyle w:val="TableText"/>
            </w:pPr>
            <w:r>
              <w:t>Free Directed Donor</w:t>
            </w:r>
          </w:p>
        </w:tc>
        <w:tc>
          <w:tcPr>
            <w:tcW w:w="1080" w:type="dxa"/>
          </w:tcPr>
          <w:p w14:paraId="403CB8C5" w14:textId="77777777" w:rsidR="00C045C1" w:rsidRDefault="00C045C1" w:rsidP="00C045C1">
            <w:pPr>
              <w:pStyle w:val="TableText"/>
            </w:pPr>
            <w:r>
              <w:t>No</w:t>
            </w:r>
          </w:p>
        </w:tc>
        <w:tc>
          <w:tcPr>
            <w:tcW w:w="1152" w:type="dxa"/>
          </w:tcPr>
          <w:p w14:paraId="7489324F" w14:textId="77777777" w:rsidR="00C045C1" w:rsidRDefault="00C045C1" w:rsidP="00C045C1">
            <w:pPr>
              <w:pStyle w:val="TableText"/>
            </w:pPr>
            <w:r>
              <w:rPr>
                <w:rFonts w:eastAsia="Symbol"/>
              </w:rPr>
              <w:t>Yes</w:t>
            </w:r>
          </w:p>
        </w:tc>
      </w:tr>
      <w:tr w:rsidR="00C045C1" w14:paraId="2C36B1BE" w14:textId="77777777">
        <w:trPr>
          <w:cantSplit/>
        </w:trPr>
        <w:tc>
          <w:tcPr>
            <w:tcW w:w="2988" w:type="dxa"/>
          </w:tcPr>
          <w:p w14:paraId="375CB51E" w14:textId="77777777" w:rsidR="00C045C1" w:rsidRDefault="00C045C1" w:rsidP="00C045C1">
            <w:pPr>
              <w:pStyle w:val="TableText"/>
              <w:rPr>
                <w:rFonts w:eastAsia="Symbol"/>
              </w:rPr>
            </w:pPr>
            <w:r>
              <w:t>Retrospective update prior to last record update</w:t>
            </w:r>
          </w:p>
        </w:tc>
        <w:tc>
          <w:tcPr>
            <w:tcW w:w="1620" w:type="dxa"/>
          </w:tcPr>
          <w:p w14:paraId="7A9D0295" w14:textId="77777777" w:rsidR="00C045C1" w:rsidRDefault="00C045C1" w:rsidP="00C045C1">
            <w:pPr>
              <w:pStyle w:val="TableText"/>
              <w:rPr>
                <w:rFonts w:eastAsia="Symbol"/>
              </w:rPr>
            </w:pPr>
            <w:r>
              <w:rPr>
                <w:u w:val="single"/>
              </w:rPr>
              <w:t>&gt;</w:t>
            </w:r>
            <w:r>
              <w:t xml:space="preserve"> Lead Tech</w:t>
            </w:r>
          </w:p>
        </w:tc>
        <w:tc>
          <w:tcPr>
            <w:tcW w:w="2520" w:type="dxa"/>
          </w:tcPr>
          <w:p w14:paraId="7479014A" w14:textId="77777777" w:rsidR="00C045C1" w:rsidRDefault="00C045C1" w:rsidP="00C045C1">
            <w:pPr>
              <w:pStyle w:val="TableText"/>
              <w:rPr>
                <w:rFonts w:eastAsia="Symbol"/>
              </w:rPr>
            </w:pPr>
            <w:r>
              <w:rPr>
                <w:rFonts w:eastAsia="Symbol"/>
              </w:rPr>
              <w:t>Discard/Quarantine</w:t>
            </w:r>
          </w:p>
        </w:tc>
        <w:tc>
          <w:tcPr>
            <w:tcW w:w="1080" w:type="dxa"/>
          </w:tcPr>
          <w:p w14:paraId="61337B20" w14:textId="77777777" w:rsidR="00C045C1" w:rsidRDefault="00C045C1" w:rsidP="00C045C1">
            <w:pPr>
              <w:pStyle w:val="TableText"/>
              <w:rPr>
                <w:rFonts w:eastAsia="Symbol"/>
              </w:rPr>
            </w:pPr>
            <w:r>
              <w:rPr>
                <w:rFonts w:eastAsia="Symbol"/>
              </w:rPr>
              <w:t>Yes</w:t>
            </w:r>
          </w:p>
        </w:tc>
        <w:tc>
          <w:tcPr>
            <w:tcW w:w="1152" w:type="dxa"/>
          </w:tcPr>
          <w:p w14:paraId="0F077596" w14:textId="77777777" w:rsidR="00C045C1" w:rsidRDefault="00C045C1" w:rsidP="00C045C1">
            <w:pPr>
              <w:pStyle w:val="TableText"/>
              <w:rPr>
                <w:rFonts w:eastAsia="Symbol"/>
              </w:rPr>
            </w:pPr>
            <w:r>
              <w:t>No</w:t>
            </w:r>
          </w:p>
        </w:tc>
      </w:tr>
      <w:tr w:rsidR="00C045C1" w14:paraId="3C2B642E" w14:textId="77777777">
        <w:trPr>
          <w:cantSplit/>
        </w:trPr>
        <w:tc>
          <w:tcPr>
            <w:tcW w:w="2988" w:type="dxa"/>
          </w:tcPr>
          <w:p w14:paraId="494D8CFB" w14:textId="77777777" w:rsidR="00C045C1" w:rsidRDefault="00C045C1" w:rsidP="00C045C1">
            <w:pPr>
              <w:pStyle w:val="TableText"/>
            </w:pPr>
            <w:r>
              <w:t xml:space="preserve">Rh positive units selected </w:t>
            </w:r>
          </w:p>
        </w:tc>
        <w:tc>
          <w:tcPr>
            <w:tcW w:w="1620" w:type="dxa"/>
          </w:tcPr>
          <w:p w14:paraId="3F26538C" w14:textId="77777777" w:rsidR="00C045C1" w:rsidRDefault="00C045C1" w:rsidP="00C045C1">
            <w:pPr>
              <w:pStyle w:val="TableText"/>
            </w:pPr>
            <w:r>
              <w:rPr>
                <w:rFonts w:eastAsia="Symbol"/>
              </w:rPr>
              <w:t>All</w:t>
            </w:r>
          </w:p>
        </w:tc>
        <w:tc>
          <w:tcPr>
            <w:tcW w:w="2520" w:type="dxa"/>
          </w:tcPr>
          <w:p w14:paraId="3C5FFDF2" w14:textId="77777777" w:rsidR="00C045C1" w:rsidRDefault="00C045C1" w:rsidP="00C045C1">
            <w:pPr>
              <w:pStyle w:val="TableText"/>
            </w:pPr>
            <w:r>
              <w:t>Select Units</w:t>
            </w:r>
          </w:p>
        </w:tc>
        <w:tc>
          <w:tcPr>
            <w:tcW w:w="1080" w:type="dxa"/>
          </w:tcPr>
          <w:p w14:paraId="499E0FD2" w14:textId="77777777" w:rsidR="00C045C1" w:rsidRDefault="00C045C1" w:rsidP="00C045C1">
            <w:pPr>
              <w:pStyle w:val="TableText"/>
            </w:pPr>
            <w:r>
              <w:t>No</w:t>
            </w:r>
          </w:p>
        </w:tc>
        <w:tc>
          <w:tcPr>
            <w:tcW w:w="1152" w:type="dxa"/>
          </w:tcPr>
          <w:p w14:paraId="4FD1BC23" w14:textId="77777777" w:rsidR="00C045C1" w:rsidRDefault="00C045C1" w:rsidP="00C045C1">
            <w:pPr>
              <w:pStyle w:val="TableText"/>
            </w:pPr>
            <w:r>
              <w:rPr>
                <w:rFonts w:eastAsia="Symbol"/>
              </w:rPr>
              <w:t>Yes</w:t>
            </w:r>
          </w:p>
        </w:tc>
      </w:tr>
      <w:tr w:rsidR="00C045C1" w14:paraId="4C217957" w14:textId="77777777">
        <w:trPr>
          <w:cantSplit/>
        </w:trPr>
        <w:tc>
          <w:tcPr>
            <w:tcW w:w="2988" w:type="dxa"/>
          </w:tcPr>
          <w:p w14:paraId="67AF0DE7" w14:textId="77777777" w:rsidR="00C045C1" w:rsidRDefault="00C045C1" w:rsidP="00C045C1">
            <w:pPr>
              <w:pStyle w:val="TableText"/>
              <w:rPr>
                <w:rFonts w:eastAsia="Symbol"/>
              </w:rPr>
            </w:pPr>
            <w:r>
              <w:t>Specimen expiration date extended</w:t>
            </w:r>
          </w:p>
        </w:tc>
        <w:tc>
          <w:tcPr>
            <w:tcW w:w="1620" w:type="dxa"/>
          </w:tcPr>
          <w:p w14:paraId="41B544EA" w14:textId="77777777" w:rsidR="00C045C1" w:rsidRDefault="00C045C1" w:rsidP="00C045C1">
            <w:pPr>
              <w:pStyle w:val="TableText"/>
              <w:rPr>
                <w:rFonts w:eastAsia="Symbol"/>
              </w:rPr>
            </w:pPr>
            <w:r>
              <w:rPr>
                <w:rFonts w:eastAsia="Symbol"/>
              </w:rPr>
              <w:t>All</w:t>
            </w:r>
          </w:p>
        </w:tc>
        <w:tc>
          <w:tcPr>
            <w:tcW w:w="2520" w:type="dxa"/>
          </w:tcPr>
          <w:p w14:paraId="6221915C" w14:textId="77777777" w:rsidR="00C045C1" w:rsidRDefault="00C045C1" w:rsidP="00C045C1">
            <w:pPr>
              <w:pStyle w:val="TableText"/>
              <w:rPr>
                <w:rFonts w:eastAsia="Symbol"/>
              </w:rPr>
            </w:pPr>
            <w:r>
              <w:rPr>
                <w:rFonts w:eastAsia="Symbol"/>
              </w:rPr>
              <w:t>Maintain Specimen</w:t>
            </w:r>
          </w:p>
        </w:tc>
        <w:tc>
          <w:tcPr>
            <w:tcW w:w="1080" w:type="dxa"/>
          </w:tcPr>
          <w:p w14:paraId="3CD253C8" w14:textId="77777777" w:rsidR="00C045C1" w:rsidRDefault="00C045C1" w:rsidP="00C045C1">
            <w:pPr>
              <w:pStyle w:val="TableText"/>
              <w:rPr>
                <w:rFonts w:eastAsia="Symbol"/>
              </w:rPr>
            </w:pPr>
            <w:r>
              <w:t>No</w:t>
            </w:r>
          </w:p>
        </w:tc>
        <w:tc>
          <w:tcPr>
            <w:tcW w:w="1152" w:type="dxa"/>
          </w:tcPr>
          <w:p w14:paraId="6BE505EE" w14:textId="77777777" w:rsidR="00C045C1" w:rsidRDefault="00C045C1" w:rsidP="00C045C1">
            <w:pPr>
              <w:pStyle w:val="TableText"/>
              <w:rPr>
                <w:rFonts w:eastAsia="Symbol"/>
              </w:rPr>
            </w:pPr>
            <w:r>
              <w:rPr>
                <w:rFonts w:eastAsia="Symbol"/>
              </w:rPr>
              <w:t>Yes</w:t>
            </w:r>
          </w:p>
        </w:tc>
      </w:tr>
      <w:tr w:rsidR="00C045C1" w14:paraId="1F60F710" w14:textId="77777777">
        <w:trPr>
          <w:cantSplit/>
        </w:trPr>
        <w:tc>
          <w:tcPr>
            <w:tcW w:w="2988" w:type="dxa"/>
          </w:tcPr>
          <w:p w14:paraId="3B38DE70" w14:textId="77777777" w:rsidR="00C045C1" w:rsidRDefault="00C045C1" w:rsidP="00C045C1">
            <w:pPr>
              <w:pStyle w:val="TableText"/>
              <w:rPr>
                <w:rFonts w:eastAsia="Symbol"/>
              </w:rPr>
            </w:pPr>
            <w:r>
              <w:t>Target product label failed checks</w:t>
            </w:r>
          </w:p>
        </w:tc>
        <w:tc>
          <w:tcPr>
            <w:tcW w:w="1620" w:type="dxa"/>
          </w:tcPr>
          <w:p w14:paraId="0FBA54BE" w14:textId="77777777" w:rsidR="00C045C1" w:rsidRDefault="00C045C1" w:rsidP="00C045C1">
            <w:pPr>
              <w:pStyle w:val="TableText"/>
              <w:rPr>
                <w:rFonts w:eastAsia="Symbol"/>
              </w:rPr>
            </w:pPr>
            <w:r>
              <w:rPr>
                <w:rFonts w:eastAsia="Symbol"/>
              </w:rPr>
              <w:t>All</w:t>
            </w:r>
          </w:p>
        </w:tc>
        <w:tc>
          <w:tcPr>
            <w:tcW w:w="2520" w:type="dxa"/>
          </w:tcPr>
          <w:p w14:paraId="7A51BFA2" w14:textId="77777777" w:rsidR="00C045C1" w:rsidRDefault="00C045C1" w:rsidP="00C045C1">
            <w:pPr>
              <w:pStyle w:val="TableText"/>
              <w:rPr>
                <w:rFonts w:eastAsia="Symbol"/>
              </w:rPr>
            </w:pPr>
            <w:r>
              <w:rPr>
                <w:rFonts w:eastAsia="Symbol"/>
              </w:rPr>
              <w:t>All modification processes</w:t>
            </w:r>
          </w:p>
        </w:tc>
        <w:tc>
          <w:tcPr>
            <w:tcW w:w="1080" w:type="dxa"/>
          </w:tcPr>
          <w:p w14:paraId="2D31960D" w14:textId="77777777" w:rsidR="00C045C1" w:rsidRDefault="00C045C1" w:rsidP="00C045C1">
            <w:pPr>
              <w:pStyle w:val="TableText"/>
              <w:rPr>
                <w:rFonts w:eastAsia="Symbol"/>
              </w:rPr>
            </w:pPr>
            <w:r>
              <w:t>Yes</w:t>
            </w:r>
          </w:p>
        </w:tc>
        <w:tc>
          <w:tcPr>
            <w:tcW w:w="1152" w:type="dxa"/>
          </w:tcPr>
          <w:p w14:paraId="62562F49" w14:textId="77777777" w:rsidR="00C045C1" w:rsidRDefault="00C045C1" w:rsidP="00C045C1">
            <w:pPr>
              <w:pStyle w:val="TableText"/>
              <w:rPr>
                <w:rFonts w:eastAsia="Symbol"/>
              </w:rPr>
            </w:pPr>
            <w:r>
              <w:t>No</w:t>
            </w:r>
          </w:p>
        </w:tc>
      </w:tr>
      <w:tr w:rsidR="00C045C1" w14:paraId="29BCDB36" w14:textId="77777777">
        <w:trPr>
          <w:cantSplit/>
        </w:trPr>
        <w:tc>
          <w:tcPr>
            <w:tcW w:w="2988" w:type="dxa"/>
          </w:tcPr>
          <w:p w14:paraId="65F2D7BC" w14:textId="77777777" w:rsidR="00C045C1" w:rsidRDefault="00C045C1" w:rsidP="00C045C1">
            <w:pPr>
              <w:pStyle w:val="TableText"/>
              <w:rPr>
                <w:rFonts w:eastAsia="Symbol"/>
              </w:rPr>
            </w:pPr>
            <w:r>
              <w:t>Target product outdate extended</w:t>
            </w:r>
          </w:p>
        </w:tc>
        <w:tc>
          <w:tcPr>
            <w:tcW w:w="1620" w:type="dxa"/>
          </w:tcPr>
          <w:p w14:paraId="304B269B" w14:textId="77777777" w:rsidR="00C045C1" w:rsidRDefault="00C045C1" w:rsidP="00C045C1">
            <w:pPr>
              <w:pStyle w:val="TableText"/>
              <w:rPr>
                <w:rFonts w:eastAsia="Symbol"/>
              </w:rPr>
            </w:pPr>
            <w:r>
              <w:rPr>
                <w:u w:val="single"/>
              </w:rPr>
              <w:t>&gt;</w:t>
            </w:r>
            <w:r>
              <w:t xml:space="preserve"> Enhanced Tech</w:t>
            </w:r>
          </w:p>
        </w:tc>
        <w:tc>
          <w:tcPr>
            <w:tcW w:w="2520" w:type="dxa"/>
          </w:tcPr>
          <w:p w14:paraId="4E14E3F2" w14:textId="77777777" w:rsidR="00C045C1" w:rsidRDefault="00C045C1" w:rsidP="00C045C1">
            <w:pPr>
              <w:pStyle w:val="TableText"/>
              <w:rPr>
                <w:rFonts w:eastAsia="Symbol"/>
              </w:rPr>
            </w:pPr>
            <w:r>
              <w:rPr>
                <w:rFonts w:eastAsia="Symbol"/>
              </w:rPr>
              <w:t>All modification processes</w:t>
            </w:r>
          </w:p>
        </w:tc>
        <w:tc>
          <w:tcPr>
            <w:tcW w:w="1080" w:type="dxa"/>
          </w:tcPr>
          <w:p w14:paraId="12799A60" w14:textId="77777777" w:rsidR="00C045C1" w:rsidRDefault="00C045C1" w:rsidP="00C045C1">
            <w:pPr>
              <w:pStyle w:val="TableText"/>
              <w:rPr>
                <w:rFonts w:eastAsia="Symbol"/>
              </w:rPr>
            </w:pPr>
            <w:r>
              <w:t>Yes</w:t>
            </w:r>
          </w:p>
        </w:tc>
        <w:tc>
          <w:tcPr>
            <w:tcW w:w="1152" w:type="dxa"/>
          </w:tcPr>
          <w:p w14:paraId="5E241816" w14:textId="77777777" w:rsidR="00C045C1" w:rsidRDefault="00C045C1" w:rsidP="00C045C1">
            <w:pPr>
              <w:pStyle w:val="TableText"/>
              <w:rPr>
                <w:rFonts w:eastAsia="Symbol"/>
              </w:rPr>
            </w:pPr>
            <w:r>
              <w:t>No</w:t>
            </w:r>
          </w:p>
        </w:tc>
      </w:tr>
      <w:tr w:rsidR="00C045C1" w14:paraId="5B547CA4" w14:textId="77777777">
        <w:trPr>
          <w:cantSplit/>
        </w:trPr>
        <w:tc>
          <w:tcPr>
            <w:tcW w:w="2988" w:type="dxa"/>
          </w:tcPr>
          <w:p w14:paraId="4D326A94" w14:textId="77777777" w:rsidR="00C045C1" w:rsidRDefault="00C045C1" w:rsidP="00C045C1">
            <w:pPr>
              <w:pStyle w:val="TableText"/>
            </w:pPr>
            <w:r>
              <w:t>Transfusion Reaction Workup</w:t>
            </w:r>
          </w:p>
        </w:tc>
        <w:tc>
          <w:tcPr>
            <w:tcW w:w="1620" w:type="dxa"/>
          </w:tcPr>
          <w:p w14:paraId="222F7FF1" w14:textId="77777777" w:rsidR="00C045C1" w:rsidRDefault="00C045C1" w:rsidP="00C045C1">
            <w:pPr>
              <w:pStyle w:val="TableText"/>
            </w:pPr>
            <w:r>
              <w:rPr>
                <w:rFonts w:eastAsia="Symbol"/>
              </w:rPr>
              <w:t>All</w:t>
            </w:r>
          </w:p>
        </w:tc>
        <w:tc>
          <w:tcPr>
            <w:tcW w:w="2520" w:type="dxa"/>
          </w:tcPr>
          <w:p w14:paraId="134C01AB" w14:textId="77777777" w:rsidR="00C045C1" w:rsidRDefault="00C045C1" w:rsidP="00C045C1">
            <w:pPr>
              <w:pStyle w:val="TableText"/>
            </w:pPr>
            <w:r>
              <w:t>Transfusion Reaction Workup</w:t>
            </w:r>
          </w:p>
        </w:tc>
        <w:tc>
          <w:tcPr>
            <w:tcW w:w="1080" w:type="dxa"/>
          </w:tcPr>
          <w:p w14:paraId="65E8AAAD" w14:textId="77777777" w:rsidR="00C045C1" w:rsidRDefault="00C045C1" w:rsidP="00C045C1">
            <w:pPr>
              <w:pStyle w:val="TableText"/>
              <w:rPr>
                <w:rFonts w:eastAsia="Symbol"/>
              </w:rPr>
            </w:pPr>
            <w:r>
              <w:t>No</w:t>
            </w:r>
          </w:p>
        </w:tc>
        <w:tc>
          <w:tcPr>
            <w:tcW w:w="1152" w:type="dxa"/>
          </w:tcPr>
          <w:p w14:paraId="29E89979" w14:textId="77777777" w:rsidR="00C045C1" w:rsidRDefault="00C045C1" w:rsidP="00C045C1">
            <w:pPr>
              <w:pStyle w:val="TableText"/>
              <w:rPr>
                <w:rFonts w:eastAsia="Symbol"/>
              </w:rPr>
            </w:pPr>
            <w:r>
              <w:rPr>
                <w:rFonts w:eastAsia="Symbol"/>
              </w:rPr>
              <w:t>Yes</w:t>
            </w:r>
          </w:p>
        </w:tc>
      </w:tr>
      <w:tr w:rsidR="00C045C1" w14:paraId="41E9029E" w14:textId="77777777">
        <w:trPr>
          <w:cantSplit/>
        </w:trPr>
        <w:tc>
          <w:tcPr>
            <w:tcW w:w="2988" w:type="dxa"/>
          </w:tcPr>
          <w:p w14:paraId="533E7692" w14:textId="77777777" w:rsidR="00C045C1" w:rsidRDefault="00C045C1" w:rsidP="00C045C1">
            <w:pPr>
              <w:pStyle w:val="TableText"/>
              <w:rPr>
                <w:rFonts w:eastAsia="Symbol"/>
              </w:rPr>
            </w:pPr>
            <w:r>
              <w:t>Transfusion Requirement incompatible unit selected</w:t>
            </w:r>
          </w:p>
        </w:tc>
        <w:tc>
          <w:tcPr>
            <w:tcW w:w="1620" w:type="dxa"/>
          </w:tcPr>
          <w:p w14:paraId="1E579476" w14:textId="77777777" w:rsidR="00C045C1" w:rsidRDefault="00C045C1" w:rsidP="00C045C1">
            <w:pPr>
              <w:pStyle w:val="TableText"/>
              <w:rPr>
                <w:rFonts w:eastAsia="Symbol"/>
              </w:rPr>
            </w:pPr>
            <w:r>
              <w:rPr>
                <w:u w:val="single"/>
              </w:rPr>
              <w:t>&gt;</w:t>
            </w:r>
            <w:r>
              <w:t xml:space="preserve"> Lead Tech</w:t>
            </w:r>
          </w:p>
        </w:tc>
        <w:tc>
          <w:tcPr>
            <w:tcW w:w="2520" w:type="dxa"/>
          </w:tcPr>
          <w:p w14:paraId="20E7290B" w14:textId="77777777" w:rsidR="00C045C1" w:rsidRDefault="00C045C1" w:rsidP="00C045C1">
            <w:pPr>
              <w:pStyle w:val="TableText"/>
              <w:rPr>
                <w:rFonts w:eastAsia="Symbol"/>
              </w:rPr>
            </w:pPr>
            <w:r>
              <w:rPr>
                <w:rFonts w:eastAsia="Symbol"/>
              </w:rPr>
              <w:t>Select Unit</w:t>
            </w:r>
          </w:p>
        </w:tc>
        <w:tc>
          <w:tcPr>
            <w:tcW w:w="1080" w:type="dxa"/>
          </w:tcPr>
          <w:p w14:paraId="5F1E4AFC" w14:textId="77777777" w:rsidR="00C045C1" w:rsidRDefault="00C045C1" w:rsidP="00C045C1">
            <w:pPr>
              <w:pStyle w:val="TableText"/>
              <w:rPr>
                <w:rFonts w:eastAsia="Symbol"/>
              </w:rPr>
            </w:pPr>
            <w:r>
              <w:t>No</w:t>
            </w:r>
          </w:p>
        </w:tc>
        <w:tc>
          <w:tcPr>
            <w:tcW w:w="1152" w:type="dxa"/>
          </w:tcPr>
          <w:p w14:paraId="282F8409" w14:textId="77777777" w:rsidR="00C045C1" w:rsidRDefault="00C045C1" w:rsidP="00C045C1">
            <w:pPr>
              <w:pStyle w:val="TableText"/>
              <w:rPr>
                <w:rFonts w:eastAsia="Symbol"/>
              </w:rPr>
            </w:pPr>
            <w:r>
              <w:rPr>
                <w:rFonts w:eastAsia="Symbol"/>
              </w:rPr>
              <w:t>Yes</w:t>
            </w:r>
          </w:p>
        </w:tc>
      </w:tr>
      <w:tr w:rsidR="00C045C1" w14:paraId="08710EC3" w14:textId="77777777">
        <w:trPr>
          <w:cantSplit/>
        </w:trPr>
        <w:tc>
          <w:tcPr>
            <w:tcW w:w="2988" w:type="dxa"/>
          </w:tcPr>
          <w:p w14:paraId="23164DD4" w14:textId="77777777" w:rsidR="00C045C1" w:rsidRDefault="00C045C1" w:rsidP="00C045C1">
            <w:pPr>
              <w:pStyle w:val="TableText"/>
              <w:rPr>
                <w:rFonts w:eastAsia="Symbol"/>
              </w:rPr>
            </w:pPr>
            <w:r>
              <w:lastRenderedPageBreak/>
              <w:t>Unacceptable/expired specimen used</w:t>
            </w:r>
          </w:p>
        </w:tc>
        <w:tc>
          <w:tcPr>
            <w:tcW w:w="1620" w:type="dxa"/>
          </w:tcPr>
          <w:p w14:paraId="29B47D1B" w14:textId="77777777" w:rsidR="00C045C1" w:rsidRDefault="00C045C1" w:rsidP="00C045C1">
            <w:pPr>
              <w:pStyle w:val="TableText"/>
              <w:rPr>
                <w:rFonts w:eastAsia="Symbol"/>
              </w:rPr>
            </w:pPr>
            <w:r>
              <w:rPr>
                <w:rFonts w:eastAsia="Symbol"/>
              </w:rPr>
              <w:t>All</w:t>
            </w:r>
          </w:p>
        </w:tc>
        <w:tc>
          <w:tcPr>
            <w:tcW w:w="2520" w:type="dxa"/>
          </w:tcPr>
          <w:p w14:paraId="0C304C67" w14:textId="77777777" w:rsidR="00C045C1" w:rsidRDefault="00C045C1" w:rsidP="00C045C1">
            <w:pPr>
              <w:pStyle w:val="TableText"/>
              <w:rPr>
                <w:rFonts w:eastAsia="Symbol"/>
              </w:rPr>
            </w:pPr>
            <w:r>
              <w:rPr>
                <w:rFonts w:eastAsia="Symbol"/>
              </w:rPr>
              <w:t>Patient Testing</w:t>
            </w:r>
          </w:p>
        </w:tc>
        <w:tc>
          <w:tcPr>
            <w:tcW w:w="1080" w:type="dxa"/>
          </w:tcPr>
          <w:p w14:paraId="33EFCBDB" w14:textId="77777777" w:rsidR="00C045C1" w:rsidRDefault="00C045C1" w:rsidP="00C045C1">
            <w:pPr>
              <w:pStyle w:val="TableText"/>
              <w:rPr>
                <w:rFonts w:eastAsia="Symbol"/>
              </w:rPr>
            </w:pPr>
            <w:r>
              <w:t>No</w:t>
            </w:r>
          </w:p>
        </w:tc>
        <w:tc>
          <w:tcPr>
            <w:tcW w:w="1152" w:type="dxa"/>
          </w:tcPr>
          <w:p w14:paraId="116C727E" w14:textId="77777777" w:rsidR="00C045C1" w:rsidRDefault="00C045C1" w:rsidP="00C045C1">
            <w:pPr>
              <w:pStyle w:val="TableText"/>
              <w:rPr>
                <w:rFonts w:eastAsia="Symbol"/>
              </w:rPr>
            </w:pPr>
            <w:r>
              <w:rPr>
                <w:rFonts w:eastAsia="Symbol"/>
              </w:rPr>
              <w:t>Yes</w:t>
            </w:r>
          </w:p>
        </w:tc>
      </w:tr>
      <w:tr w:rsidR="00C045C1" w14:paraId="70475577" w14:textId="77777777">
        <w:trPr>
          <w:cantSplit/>
        </w:trPr>
        <w:tc>
          <w:tcPr>
            <w:tcW w:w="2988" w:type="dxa"/>
          </w:tcPr>
          <w:p w14:paraId="74501126" w14:textId="77777777" w:rsidR="00C045C1" w:rsidRDefault="00C045C1" w:rsidP="00C045C1">
            <w:pPr>
              <w:pStyle w:val="TableText"/>
              <w:rPr>
                <w:rFonts w:eastAsia="Symbol"/>
              </w:rPr>
            </w:pPr>
            <w:r>
              <w:t>Unit ABO/Rh confirmation inconclusive, unit quarantined</w:t>
            </w:r>
          </w:p>
        </w:tc>
        <w:tc>
          <w:tcPr>
            <w:tcW w:w="1620" w:type="dxa"/>
          </w:tcPr>
          <w:p w14:paraId="3EAED57E" w14:textId="77777777" w:rsidR="00C045C1" w:rsidRDefault="00C045C1" w:rsidP="00C045C1">
            <w:pPr>
              <w:pStyle w:val="TableText"/>
              <w:rPr>
                <w:rFonts w:eastAsia="Symbol"/>
              </w:rPr>
            </w:pPr>
            <w:r>
              <w:rPr>
                <w:rFonts w:eastAsia="Symbol"/>
              </w:rPr>
              <w:t>All</w:t>
            </w:r>
          </w:p>
        </w:tc>
        <w:tc>
          <w:tcPr>
            <w:tcW w:w="2520" w:type="dxa"/>
          </w:tcPr>
          <w:p w14:paraId="544111D2" w14:textId="77777777" w:rsidR="00C045C1" w:rsidRDefault="00C045C1" w:rsidP="00C045C1">
            <w:pPr>
              <w:pStyle w:val="TableText"/>
              <w:rPr>
                <w:rFonts w:eastAsia="Symbol"/>
              </w:rPr>
            </w:pPr>
            <w:r>
              <w:rPr>
                <w:rFonts w:eastAsia="Symbol"/>
              </w:rPr>
              <w:t>ABO/Rh Confirmation</w:t>
            </w:r>
          </w:p>
        </w:tc>
        <w:tc>
          <w:tcPr>
            <w:tcW w:w="1080" w:type="dxa"/>
          </w:tcPr>
          <w:p w14:paraId="5F559754" w14:textId="77777777" w:rsidR="00C045C1" w:rsidRDefault="00C045C1" w:rsidP="00C045C1">
            <w:pPr>
              <w:pStyle w:val="TableText"/>
              <w:rPr>
                <w:rFonts w:eastAsia="Symbol"/>
              </w:rPr>
            </w:pPr>
            <w:r>
              <w:t>Yes</w:t>
            </w:r>
          </w:p>
        </w:tc>
        <w:tc>
          <w:tcPr>
            <w:tcW w:w="1152" w:type="dxa"/>
          </w:tcPr>
          <w:p w14:paraId="719B5CE3" w14:textId="77777777" w:rsidR="00C045C1" w:rsidRDefault="00C045C1" w:rsidP="00C045C1">
            <w:pPr>
              <w:pStyle w:val="TableText"/>
              <w:rPr>
                <w:rFonts w:eastAsia="Symbol"/>
              </w:rPr>
            </w:pPr>
            <w:r>
              <w:t>No</w:t>
            </w:r>
          </w:p>
        </w:tc>
      </w:tr>
      <w:tr w:rsidR="00C045C1" w14:paraId="7EAFA872" w14:textId="77777777">
        <w:trPr>
          <w:cantSplit/>
        </w:trPr>
        <w:tc>
          <w:tcPr>
            <w:tcW w:w="2988" w:type="dxa"/>
          </w:tcPr>
          <w:p w14:paraId="7BA6B0BC" w14:textId="77777777" w:rsidR="00C045C1" w:rsidRDefault="00C045C1" w:rsidP="00C045C1">
            <w:pPr>
              <w:pStyle w:val="TableText"/>
              <w:rPr>
                <w:rFonts w:eastAsia="Symbol"/>
              </w:rPr>
            </w:pPr>
            <w:r>
              <w:t>Unit ABO/Rh log-in vs. confirmation do not match, unit quarantined</w:t>
            </w:r>
          </w:p>
        </w:tc>
        <w:tc>
          <w:tcPr>
            <w:tcW w:w="1620" w:type="dxa"/>
          </w:tcPr>
          <w:p w14:paraId="44D71BE6" w14:textId="77777777" w:rsidR="00C045C1" w:rsidRDefault="00C045C1" w:rsidP="00C045C1">
            <w:pPr>
              <w:pStyle w:val="TableText"/>
              <w:rPr>
                <w:rFonts w:eastAsia="Symbol"/>
              </w:rPr>
            </w:pPr>
            <w:r>
              <w:rPr>
                <w:rFonts w:eastAsia="Symbol"/>
              </w:rPr>
              <w:t>All</w:t>
            </w:r>
          </w:p>
        </w:tc>
        <w:tc>
          <w:tcPr>
            <w:tcW w:w="2520" w:type="dxa"/>
          </w:tcPr>
          <w:p w14:paraId="0B562D49" w14:textId="77777777" w:rsidR="00C045C1" w:rsidRDefault="00C045C1" w:rsidP="00C045C1">
            <w:pPr>
              <w:pStyle w:val="TableText"/>
              <w:rPr>
                <w:rFonts w:eastAsia="Symbol"/>
              </w:rPr>
            </w:pPr>
            <w:r>
              <w:rPr>
                <w:rFonts w:eastAsia="Symbol"/>
              </w:rPr>
              <w:t>ABO/Rh Confirmation</w:t>
            </w:r>
          </w:p>
        </w:tc>
        <w:tc>
          <w:tcPr>
            <w:tcW w:w="1080" w:type="dxa"/>
          </w:tcPr>
          <w:p w14:paraId="0413FE20" w14:textId="77777777" w:rsidR="00C045C1" w:rsidRDefault="00C045C1" w:rsidP="00C045C1">
            <w:pPr>
              <w:pStyle w:val="TableText"/>
              <w:rPr>
                <w:rFonts w:eastAsia="Symbol"/>
              </w:rPr>
            </w:pPr>
            <w:r>
              <w:t>Yes</w:t>
            </w:r>
          </w:p>
        </w:tc>
        <w:tc>
          <w:tcPr>
            <w:tcW w:w="1152" w:type="dxa"/>
          </w:tcPr>
          <w:p w14:paraId="0E08B25F" w14:textId="77777777" w:rsidR="00C045C1" w:rsidRDefault="00C045C1" w:rsidP="00C045C1">
            <w:pPr>
              <w:pStyle w:val="TableText"/>
              <w:rPr>
                <w:rFonts w:eastAsia="Symbol"/>
              </w:rPr>
            </w:pPr>
            <w:r>
              <w:t>No</w:t>
            </w:r>
          </w:p>
        </w:tc>
      </w:tr>
      <w:tr w:rsidR="00C045C1" w14:paraId="25CD5722" w14:textId="77777777">
        <w:trPr>
          <w:cantSplit/>
        </w:trPr>
        <w:tc>
          <w:tcPr>
            <w:tcW w:w="2988" w:type="dxa"/>
          </w:tcPr>
          <w:p w14:paraId="33DE17A0" w14:textId="77777777" w:rsidR="00C045C1" w:rsidRDefault="00C045C1" w:rsidP="00C045C1">
            <w:pPr>
              <w:pStyle w:val="TableText"/>
              <w:rPr>
                <w:rFonts w:eastAsia="Symbol"/>
              </w:rPr>
            </w:pPr>
            <w:r>
              <w:t>Unit discarded</w:t>
            </w:r>
          </w:p>
        </w:tc>
        <w:tc>
          <w:tcPr>
            <w:tcW w:w="1620" w:type="dxa"/>
          </w:tcPr>
          <w:p w14:paraId="6A3D127D" w14:textId="77777777" w:rsidR="00C045C1" w:rsidRDefault="00C045C1" w:rsidP="00C045C1">
            <w:pPr>
              <w:pStyle w:val="TableText"/>
              <w:rPr>
                <w:rFonts w:eastAsia="Symbol"/>
              </w:rPr>
            </w:pPr>
            <w:r>
              <w:rPr>
                <w:rFonts w:eastAsia="Symbol"/>
              </w:rPr>
              <w:t>All</w:t>
            </w:r>
          </w:p>
        </w:tc>
        <w:tc>
          <w:tcPr>
            <w:tcW w:w="2520" w:type="dxa"/>
          </w:tcPr>
          <w:p w14:paraId="43FB3C8C" w14:textId="77777777" w:rsidR="00C045C1" w:rsidRDefault="00C045C1" w:rsidP="00C045C1">
            <w:pPr>
              <w:pStyle w:val="TableText"/>
              <w:rPr>
                <w:rFonts w:eastAsia="Symbol"/>
              </w:rPr>
            </w:pPr>
            <w:r>
              <w:rPr>
                <w:rFonts w:eastAsia="Symbol"/>
              </w:rPr>
              <w:t>Discard</w:t>
            </w:r>
          </w:p>
        </w:tc>
        <w:tc>
          <w:tcPr>
            <w:tcW w:w="1080" w:type="dxa"/>
          </w:tcPr>
          <w:p w14:paraId="184E995C" w14:textId="77777777" w:rsidR="00C045C1" w:rsidRDefault="00C045C1" w:rsidP="00C045C1">
            <w:pPr>
              <w:pStyle w:val="TableText"/>
              <w:rPr>
                <w:rFonts w:eastAsia="Symbol"/>
              </w:rPr>
            </w:pPr>
            <w:r>
              <w:t>Yes</w:t>
            </w:r>
          </w:p>
        </w:tc>
        <w:tc>
          <w:tcPr>
            <w:tcW w:w="1152" w:type="dxa"/>
          </w:tcPr>
          <w:p w14:paraId="1A5E1160" w14:textId="77777777" w:rsidR="00C045C1" w:rsidRDefault="00C045C1" w:rsidP="00C045C1">
            <w:pPr>
              <w:pStyle w:val="TableText"/>
              <w:rPr>
                <w:rFonts w:eastAsia="Symbol"/>
              </w:rPr>
            </w:pPr>
            <w:r>
              <w:t>No</w:t>
            </w:r>
          </w:p>
        </w:tc>
      </w:tr>
      <w:tr w:rsidR="00C045C1" w14:paraId="46BFE4F6" w14:textId="77777777">
        <w:trPr>
          <w:cantSplit/>
        </w:trPr>
        <w:tc>
          <w:tcPr>
            <w:tcW w:w="2988" w:type="dxa"/>
          </w:tcPr>
          <w:p w14:paraId="51948339" w14:textId="77777777" w:rsidR="00C045C1" w:rsidRDefault="00C045C1" w:rsidP="00C045C1">
            <w:pPr>
              <w:pStyle w:val="TableText"/>
            </w:pPr>
            <w:r>
              <w:t>Unit ER issued, testing problem</w:t>
            </w:r>
          </w:p>
        </w:tc>
        <w:tc>
          <w:tcPr>
            <w:tcW w:w="1620" w:type="dxa"/>
          </w:tcPr>
          <w:p w14:paraId="497B13AC" w14:textId="77777777" w:rsidR="00C045C1" w:rsidRDefault="00C045C1" w:rsidP="00C045C1">
            <w:pPr>
              <w:pStyle w:val="TableText"/>
            </w:pPr>
            <w:r>
              <w:rPr>
                <w:rFonts w:eastAsia="Symbol"/>
              </w:rPr>
              <w:t>All</w:t>
            </w:r>
          </w:p>
        </w:tc>
        <w:tc>
          <w:tcPr>
            <w:tcW w:w="2520" w:type="dxa"/>
          </w:tcPr>
          <w:p w14:paraId="11AE91E4" w14:textId="77777777" w:rsidR="00C045C1" w:rsidRDefault="00C045C1" w:rsidP="00C045C1">
            <w:pPr>
              <w:pStyle w:val="TableText"/>
            </w:pPr>
            <w:r>
              <w:t>Patient testing, unit antigen typing</w:t>
            </w:r>
          </w:p>
        </w:tc>
        <w:tc>
          <w:tcPr>
            <w:tcW w:w="1080" w:type="dxa"/>
          </w:tcPr>
          <w:p w14:paraId="711F9A96" w14:textId="77777777" w:rsidR="00C045C1" w:rsidRDefault="00C045C1" w:rsidP="00C045C1">
            <w:pPr>
              <w:pStyle w:val="TableText"/>
              <w:rPr>
                <w:rFonts w:eastAsia="Symbol"/>
              </w:rPr>
            </w:pPr>
            <w:r>
              <w:t>No</w:t>
            </w:r>
          </w:p>
        </w:tc>
        <w:tc>
          <w:tcPr>
            <w:tcW w:w="1152" w:type="dxa"/>
          </w:tcPr>
          <w:p w14:paraId="647A66A0" w14:textId="77777777" w:rsidR="00C045C1" w:rsidRDefault="00C045C1" w:rsidP="00C045C1">
            <w:pPr>
              <w:pStyle w:val="TableText"/>
              <w:rPr>
                <w:rFonts w:eastAsia="Symbol"/>
              </w:rPr>
            </w:pPr>
            <w:r>
              <w:rPr>
                <w:rFonts w:eastAsia="Symbol"/>
              </w:rPr>
              <w:t>Yes</w:t>
            </w:r>
          </w:p>
        </w:tc>
      </w:tr>
      <w:tr w:rsidR="00C045C1" w14:paraId="70BCAF6A" w14:textId="77777777">
        <w:trPr>
          <w:cantSplit/>
        </w:trPr>
        <w:tc>
          <w:tcPr>
            <w:tcW w:w="2988" w:type="dxa"/>
          </w:tcPr>
          <w:p w14:paraId="4ABF8D3B" w14:textId="77777777" w:rsidR="00C045C1" w:rsidRDefault="00C045C1" w:rsidP="00C045C1">
            <w:pPr>
              <w:pStyle w:val="TableText"/>
            </w:pPr>
            <w:r>
              <w:t>Unit issued on expired specimen</w:t>
            </w:r>
          </w:p>
        </w:tc>
        <w:tc>
          <w:tcPr>
            <w:tcW w:w="1620" w:type="dxa"/>
          </w:tcPr>
          <w:p w14:paraId="3199DE6F" w14:textId="77777777" w:rsidR="00C045C1" w:rsidRDefault="00C045C1" w:rsidP="00C045C1">
            <w:pPr>
              <w:pStyle w:val="TableText"/>
            </w:pPr>
            <w:r>
              <w:rPr>
                <w:u w:val="single"/>
              </w:rPr>
              <w:t>&gt;</w:t>
            </w:r>
            <w:r>
              <w:t xml:space="preserve"> Enhanced Tech</w:t>
            </w:r>
          </w:p>
        </w:tc>
        <w:tc>
          <w:tcPr>
            <w:tcW w:w="2520" w:type="dxa"/>
          </w:tcPr>
          <w:p w14:paraId="76F72588" w14:textId="77777777" w:rsidR="00C045C1" w:rsidRDefault="00C045C1" w:rsidP="00C045C1">
            <w:pPr>
              <w:pStyle w:val="TableText"/>
            </w:pPr>
            <w:r>
              <w:t>Issue Unit</w:t>
            </w:r>
          </w:p>
        </w:tc>
        <w:tc>
          <w:tcPr>
            <w:tcW w:w="1080" w:type="dxa"/>
          </w:tcPr>
          <w:p w14:paraId="0267D11D" w14:textId="77777777" w:rsidR="00C045C1" w:rsidRDefault="00C045C1" w:rsidP="00C045C1">
            <w:pPr>
              <w:pStyle w:val="TableText"/>
            </w:pPr>
            <w:r>
              <w:t>No</w:t>
            </w:r>
          </w:p>
        </w:tc>
        <w:tc>
          <w:tcPr>
            <w:tcW w:w="1152" w:type="dxa"/>
          </w:tcPr>
          <w:p w14:paraId="63CDFF01" w14:textId="77777777" w:rsidR="00C045C1" w:rsidRDefault="00C045C1" w:rsidP="00C045C1">
            <w:pPr>
              <w:pStyle w:val="TableText"/>
            </w:pPr>
            <w:r>
              <w:rPr>
                <w:rFonts w:eastAsia="Symbol"/>
              </w:rPr>
              <w:t>Yes</w:t>
            </w:r>
          </w:p>
        </w:tc>
      </w:tr>
      <w:tr w:rsidR="00C045C1" w14:paraId="5DB5CDC7" w14:textId="77777777">
        <w:trPr>
          <w:cantSplit/>
        </w:trPr>
        <w:tc>
          <w:tcPr>
            <w:tcW w:w="2988" w:type="dxa"/>
          </w:tcPr>
          <w:p w14:paraId="11A2757D" w14:textId="77777777" w:rsidR="00C045C1" w:rsidRDefault="00C045C1" w:rsidP="00C045C1">
            <w:pPr>
              <w:pStyle w:val="TableText"/>
            </w:pPr>
            <w:r>
              <w:t>Unit issued with unsatisfied Transfusion Requirement</w:t>
            </w:r>
          </w:p>
        </w:tc>
        <w:tc>
          <w:tcPr>
            <w:tcW w:w="1620" w:type="dxa"/>
          </w:tcPr>
          <w:p w14:paraId="2081F92E" w14:textId="77777777" w:rsidR="00C045C1" w:rsidRDefault="00C045C1" w:rsidP="00C045C1">
            <w:pPr>
              <w:pStyle w:val="TableText"/>
            </w:pPr>
            <w:r>
              <w:rPr>
                <w:u w:val="single"/>
              </w:rPr>
              <w:t>&gt;</w:t>
            </w:r>
            <w:r>
              <w:t xml:space="preserve"> Lead Tech</w:t>
            </w:r>
          </w:p>
        </w:tc>
        <w:tc>
          <w:tcPr>
            <w:tcW w:w="2520" w:type="dxa"/>
          </w:tcPr>
          <w:p w14:paraId="3541191A" w14:textId="77777777" w:rsidR="00C045C1" w:rsidRDefault="00C045C1" w:rsidP="00C045C1">
            <w:pPr>
              <w:pStyle w:val="TableText"/>
            </w:pPr>
            <w:r>
              <w:t>Issue Unit</w:t>
            </w:r>
          </w:p>
        </w:tc>
        <w:tc>
          <w:tcPr>
            <w:tcW w:w="1080" w:type="dxa"/>
          </w:tcPr>
          <w:p w14:paraId="1D6CC78D" w14:textId="77777777" w:rsidR="00C045C1" w:rsidRDefault="00C045C1" w:rsidP="00C045C1">
            <w:pPr>
              <w:pStyle w:val="TableText"/>
            </w:pPr>
            <w:r>
              <w:t>No</w:t>
            </w:r>
          </w:p>
        </w:tc>
        <w:tc>
          <w:tcPr>
            <w:tcW w:w="1152" w:type="dxa"/>
          </w:tcPr>
          <w:p w14:paraId="71301C2D" w14:textId="77777777" w:rsidR="00C045C1" w:rsidRDefault="00C045C1" w:rsidP="00C045C1">
            <w:pPr>
              <w:pStyle w:val="TableText"/>
            </w:pPr>
            <w:r>
              <w:rPr>
                <w:rFonts w:eastAsia="Symbol"/>
              </w:rPr>
              <w:t>Yes</w:t>
            </w:r>
          </w:p>
        </w:tc>
      </w:tr>
      <w:tr w:rsidR="00C045C1" w14:paraId="01B0879D" w14:textId="77777777">
        <w:trPr>
          <w:cantSplit/>
        </w:trPr>
        <w:tc>
          <w:tcPr>
            <w:tcW w:w="2988" w:type="dxa"/>
          </w:tcPr>
          <w:p w14:paraId="22A426A2" w14:textId="77777777" w:rsidR="00C045C1" w:rsidRDefault="00C045C1" w:rsidP="00C045C1">
            <w:pPr>
              <w:pStyle w:val="TableText"/>
              <w:rPr>
                <w:rFonts w:eastAsia="Symbol"/>
              </w:rPr>
            </w:pPr>
            <w:r>
              <w:t>Unit quarantined</w:t>
            </w:r>
          </w:p>
        </w:tc>
        <w:tc>
          <w:tcPr>
            <w:tcW w:w="1620" w:type="dxa"/>
          </w:tcPr>
          <w:p w14:paraId="0E6AD871" w14:textId="77777777" w:rsidR="00C045C1" w:rsidRDefault="00C045C1" w:rsidP="00C045C1">
            <w:pPr>
              <w:pStyle w:val="TableText"/>
              <w:rPr>
                <w:rFonts w:eastAsia="Symbol"/>
              </w:rPr>
            </w:pPr>
            <w:r>
              <w:rPr>
                <w:rFonts w:eastAsia="Symbol"/>
              </w:rPr>
              <w:t>All</w:t>
            </w:r>
          </w:p>
        </w:tc>
        <w:tc>
          <w:tcPr>
            <w:tcW w:w="2520" w:type="dxa"/>
          </w:tcPr>
          <w:p w14:paraId="33FE1462" w14:textId="77777777" w:rsidR="00C045C1" w:rsidRDefault="00C045C1" w:rsidP="00C045C1">
            <w:pPr>
              <w:pStyle w:val="TableText"/>
              <w:rPr>
                <w:rFonts w:eastAsia="Symbol"/>
              </w:rPr>
            </w:pPr>
            <w:r>
              <w:rPr>
                <w:rFonts w:eastAsia="Symbol"/>
              </w:rPr>
              <w:t>Quarantine</w:t>
            </w:r>
          </w:p>
        </w:tc>
        <w:tc>
          <w:tcPr>
            <w:tcW w:w="1080" w:type="dxa"/>
          </w:tcPr>
          <w:p w14:paraId="3560C952" w14:textId="77777777" w:rsidR="00C045C1" w:rsidRDefault="00C045C1" w:rsidP="00C045C1">
            <w:pPr>
              <w:pStyle w:val="TableText"/>
              <w:rPr>
                <w:rFonts w:eastAsia="Symbol"/>
              </w:rPr>
            </w:pPr>
            <w:r>
              <w:t>Yes</w:t>
            </w:r>
          </w:p>
        </w:tc>
        <w:tc>
          <w:tcPr>
            <w:tcW w:w="1152" w:type="dxa"/>
          </w:tcPr>
          <w:p w14:paraId="5D1820D6" w14:textId="77777777" w:rsidR="00C045C1" w:rsidRDefault="00C045C1" w:rsidP="00C045C1">
            <w:pPr>
              <w:pStyle w:val="TableText"/>
              <w:rPr>
                <w:rFonts w:eastAsia="Symbol"/>
              </w:rPr>
            </w:pPr>
            <w:r>
              <w:t>No</w:t>
            </w:r>
          </w:p>
        </w:tc>
      </w:tr>
      <w:tr w:rsidR="00C045C1" w14:paraId="04677011" w14:textId="77777777">
        <w:trPr>
          <w:cantSplit/>
        </w:trPr>
        <w:tc>
          <w:tcPr>
            <w:tcW w:w="2988" w:type="dxa"/>
          </w:tcPr>
          <w:p w14:paraId="6C4F4BA7" w14:textId="77777777" w:rsidR="00C045C1" w:rsidRDefault="00C045C1" w:rsidP="00C045C1">
            <w:pPr>
              <w:pStyle w:val="TableText"/>
              <w:rPr>
                <w:rFonts w:eastAsia="Symbol"/>
              </w:rPr>
            </w:pPr>
            <w:r>
              <w:t>Unit released from quarantine</w:t>
            </w:r>
          </w:p>
        </w:tc>
        <w:tc>
          <w:tcPr>
            <w:tcW w:w="1620" w:type="dxa"/>
          </w:tcPr>
          <w:p w14:paraId="391639A9" w14:textId="77777777" w:rsidR="00C045C1" w:rsidRDefault="00C045C1" w:rsidP="00C045C1">
            <w:pPr>
              <w:pStyle w:val="TableText"/>
              <w:rPr>
                <w:rFonts w:eastAsia="Symbol"/>
              </w:rPr>
            </w:pPr>
            <w:r>
              <w:rPr>
                <w:u w:val="single"/>
              </w:rPr>
              <w:t>&gt;</w:t>
            </w:r>
            <w:r>
              <w:t xml:space="preserve"> Enhanced Tech</w:t>
            </w:r>
          </w:p>
        </w:tc>
        <w:tc>
          <w:tcPr>
            <w:tcW w:w="2520" w:type="dxa"/>
          </w:tcPr>
          <w:p w14:paraId="24AED9D8" w14:textId="77777777" w:rsidR="00C045C1" w:rsidRDefault="00C045C1" w:rsidP="00C045C1">
            <w:pPr>
              <w:pStyle w:val="TableText"/>
              <w:rPr>
                <w:rFonts w:eastAsia="Symbol"/>
              </w:rPr>
            </w:pPr>
            <w:r>
              <w:rPr>
                <w:rFonts w:eastAsia="Symbol"/>
              </w:rPr>
              <w:t>Release Unit from Quarantine</w:t>
            </w:r>
          </w:p>
        </w:tc>
        <w:tc>
          <w:tcPr>
            <w:tcW w:w="1080" w:type="dxa"/>
          </w:tcPr>
          <w:p w14:paraId="62E7F7F4" w14:textId="77777777" w:rsidR="00C045C1" w:rsidRDefault="00C045C1" w:rsidP="00C045C1">
            <w:pPr>
              <w:pStyle w:val="TableText"/>
              <w:rPr>
                <w:rFonts w:eastAsia="Symbol"/>
              </w:rPr>
            </w:pPr>
            <w:r>
              <w:t>Yes</w:t>
            </w:r>
          </w:p>
        </w:tc>
        <w:tc>
          <w:tcPr>
            <w:tcW w:w="1152" w:type="dxa"/>
          </w:tcPr>
          <w:p w14:paraId="7820263A" w14:textId="77777777" w:rsidR="00C045C1" w:rsidRDefault="00C045C1" w:rsidP="00C045C1">
            <w:pPr>
              <w:pStyle w:val="TableText"/>
              <w:rPr>
                <w:rFonts w:eastAsia="Symbol"/>
              </w:rPr>
            </w:pPr>
            <w:r>
              <w:t>No</w:t>
            </w:r>
          </w:p>
        </w:tc>
      </w:tr>
      <w:tr w:rsidR="00C045C1" w14:paraId="7F40F6B9" w14:textId="77777777">
        <w:trPr>
          <w:cantSplit/>
        </w:trPr>
        <w:tc>
          <w:tcPr>
            <w:tcW w:w="2988" w:type="dxa"/>
            <w:vMerge w:val="restart"/>
          </w:tcPr>
          <w:p w14:paraId="0F42EC5C" w14:textId="77777777" w:rsidR="00C045C1" w:rsidRDefault="00C045C1" w:rsidP="00C045C1">
            <w:pPr>
              <w:pStyle w:val="TableText"/>
            </w:pPr>
            <w:r>
              <w:t>Unit unsatisfactory upon return from issue</w:t>
            </w:r>
          </w:p>
        </w:tc>
        <w:tc>
          <w:tcPr>
            <w:tcW w:w="1620" w:type="dxa"/>
            <w:vMerge w:val="restart"/>
          </w:tcPr>
          <w:p w14:paraId="15723108" w14:textId="77777777" w:rsidR="00C045C1" w:rsidRDefault="00C045C1" w:rsidP="00C045C1">
            <w:pPr>
              <w:pStyle w:val="TableText"/>
            </w:pPr>
            <w:r>
              <w:rPr>
                <w:rFonts w:eastAsia="Symbol"/>
              </w:rPr>
              <w:t>All</w:t>
            </w:r>
          </w:p>
        </w:tc>
        <w:tc>
          <w:tcPr>
            <w:tcW w:w="2520" w:type="dxa"/>
            <w:vMerge w:val="restart"/>
          </w:tcPr>
          <w:p w14:paraId="58CFCECE" w14:textId="77777777" w:rsidR="00C045C1" w:rsidRDefault="00C045C1" w:rsidP="00C045C1">
            <w:pPr>
              <w:pStyle w:val="TableText"/>
            </w:pPr>
            <w:r>
              <w:t>Return Issued Units to Blood Bank</w:t>
            </w:r>
          </w:p>
        </w:tc>
        <w:tc>
          <w:tcPr>
            <w:tcW w:w="1080" w:type="dxa"/>
          </w:tcPr>
          <w:p w14:paraId="373D98F1" w14:textId="77777777" w:rsidR="00C045C1" w:rsidRDefault="00C045C1" w:rsidP="00C045C1">
            <w:pPr>
              <w:pStyle w:val="TableText"/>
            </w:pPr>
            <w:r>
              <w:rPr>
                <w:rFonts w:eastAsia="Symbol"/>
              </w:rPr>
              <w:t>Yes</w:t>
            </w:r>
            <w:r w:rsidR="00E31FC6">
              <w:rPr>
                <w:rFonts w:eastAsia="Symbol"/>
              </w:rPr>
              <w:t xml:space="preserve"> </w:t>
            </w:r>
            <w:r>
              <w:rPr>
                <w:rFonts w:eastAsia="Symbol"/>
                <w:vanish/>
                <w:szCs w:val="18"/>
              </w:rPr>
              <w:t xml:space="preserve"> BR_59.08 </w:t>
            </w:r>
            <w:r w:rsidRPr="00C4235F">
              <w:rPr>
                <w:rFonts w:eastAsia="Symbol"/>
                <w:szCs w:val="18"/>
              </w:rPr>
              <w:t>(quarantined)</w:t>
            </w:r>
          </w:p>
        </w:tc>
        <w:tc>
          <w:tcPr>
            <w:tcW w:w="1152" w:type="dxa"/>
          </w:tcPr>
          <w:p w14:paraId="512122CD" w14:textId="77777777" w:rsidR="00C045C1" w:rsidRDefault="00C045C1" w:rsidP="00C045C1">
            <w:pPr>
              <w:pStyle w:val="TableText"/>
            </w:pPr>
            <w:r>
              <w:t>No</w:t>
            </w:r>
          </w:p>
        </w:tc>
      </w:tr>
      <w:tr w:rsidR="00C045C1" w14:paraId="2B3302FE" w14:textId="77777777">
        <w:trPr>
          <w:cantSplit/>
        </w:trPr>
        <w:tc>
          <w:tcPr>
            <w:tcW w:w="2988" w:type="dxa"/>
            <w:vMerge/>
          </w:tcPr>
          <w:p w14:paraId="7A4618C1" w14:textId="77777777" w:rsidR="00C045C1" w:rsidRDefault="00C045C1" w:rsidP="00C045C1">
            <w:pPr>
              <w:pStyle w:val="TableText"/>
            </w:pPr>
          </w:p>
        </w:tc>
        <w:tc>
          <w:tcPr>
            <w:tcW w:w="1620" w:type="dxa"/>
            <w:vMerge/>
          </w:tcPr>
          <w:p w14:paraId="6E30A690" w14:textId="77777777" w:rsidR="00C045C1" w:rsidRDefault="00C045C1" w:rsidP="00C045C1">
            <w:pPr>
              <w:pStyle w:val="TableText"/>
            </w:pPr>
          </w:p>
        </w:tc>
        <w:tc>
          <w:tcPr>
            <w:tcW w:w="2520" w:type="dxa"/>
            <w:vMerge/>
          </w:tcPr>
          <w:p w14:paraId="5B72C54B" w14:textId="77777777" w:rsidR="00C045C1" w:rsidRDefault="00C045C1" w:rsidP="00C045C1">
            <w:pPr>
              <w:pStyle w:val="TableText"/>
            </w:pPr>
          </w:p>
        </w:tc>
        <w:tc>
          <w:tcPr>
            <w:tcW w:w="1080" w:type="dxa"/>
          </w:tcPr>
          <w:p w14:paraId="5D07A623" w14:textId="77777777" w:rsidR="00C045C1" w:rsidRDefault="00C045C1" w:rsidP="00C045C1">
            <w:pPr>
              <w:pStyle w:val="TableText"/>
              <w:rPr>
                <w:rFonts w:eastAsia="Symbol"/>
              </w:rPr>
            </w:pPr>
            <w:r>
              <w:rPr>
                <w:rFonts w:eastAsia="Symbol"/>
              </w:rPr>
              <w:t>Yes</w:t>
            </w:r>
            <w:r w:rsidR="00E31FC6">
              <w:rPr>
                <w:rFonts w:eastAsia="Symbol"/>
              </w:rPr>
              <w:t xml:space="preserve"> </w:t>
            </w:r>
            <w:r>
              <w:rPr>
                <w:rFonts w:eastAsia="Symbol"/>
                <w:vanish/>
                <w:szCs w:val="18"/>
              </w:rPr>
              <w:t xml:space="preserve"> BR_59.09 </w:t>
            </w:r>
            <w:r w:rsidRPr="00C4235F">
              <w:rPr>
                <w:rFonts w:eastAsia="Symbol"/>
                <w:szCs w:val="18"/>
              </w:rPr>
              <w:t>(quarantined with patient assignment)</w:t>
            </w:r>
          </w:p>
        </w:tc>
        <w:tc>
          <w:tcPr>
            <w:tcW w:w="1152" w:type="dxa"/>
          </w:tcPr>
          <w:p w14:paraId="097D6908" w14:textId="77777777" w:rsidR="00C045C1" w:rsidRDefault="00C045C1" w:rsidP="00C045C1">
            <w:pPr>
              <w:pStyle w:val="TableText"/>
            </w:pPr>
            <w:r>
              <w:rPr>
                <w:rFonts w:eastAsia="Symbol"/>
              </w:rPr>
              <w:t>Yes</w:t>
            </w:r>
          </w:p>
        </w:tc>
      </w:tr>
      <w:tr w:rsidR="001A049C" w14:paraId="05E4B385" w14:textId="77777777" w:rsidTr="009C25B8">
        <w:trPr>
          <w:cantSplit/>
        </w:trPr>
        <w:tc>
          <w:tcPr>
            <w:tcW w:w="2988" w:type="dxa"/>
            <w:vAlign w:val="bottom"/>
          </w:tcPr>
          <w:p w14:paraId="5F068EC2" w14:textId="77777777" w:rsidR="001A049C" w:rsidRDefault="001A049C" w:rsidP="009C25B8">
            <w:pPr>
              <w:pStyle w:val="TableText"/>
            </w:pPr>
            <w:r w:rsidRPr="001C1687">
              <w:rPr>
                <w:rFonts w:cs="Arial"/>
              </w:rPr>
              <w:t>Unit out of controlled storage found acceptable</w:t>
            </w:r>
          </w:p>
        </w:tc>
        <w:tc>
          <w:tcPr>
            <w:tcW w:w="1620" w:type="dxa"/>
            <w:vAlign w:val="bottom"/>
          </w:tcPr>
          <w:p w14:paraId="199F8311" w14:textId="77777777" w:rsidR="001A049C" w:rsidRDefault="001A049C" w:rsidP="009C25B8">
            <w:pPr>
              <w:pStyle w:val="TableText"/>
            </w:pPr>
            <w:r>
              <w:t>All</w:t>
            </w:r>
          </w:p>
        </w:tc>
        <w:tc>
          <w:tcPr>
            <w:tcW w:w="2520" w:type="dxa"/>
          </w:tcPr>
          <w:p w14:paraId="1773EDCF" w14:textId="77777777" w:rsidR="001A049C" w:rsidRDefault="001A049C" w:rsidP="009C25B8">
            <w:pPr>
              <w:pStyle w:val="TableText"/>
            </w:pPr>
            <w:r>
              <w:t>Return Issued Units to Blood Bank</w:t>
            </w:r>
          </w:p>
        </w:tc>
        <w:tc>
          <w:tcPr>
            <w:tcW w:w="1080" w:type="dxa"/>
            <w:vAlign w:val="bottom"/>
          </w:tcPr>
          <w:p w14:paraId="5576CE61" w14:textId="77777777" w:rsidR="001A049C" w:rsidRDefault="001A049C" w:rsidP="009C25B8">
            <w:pPr>
              <w:pStyle w:val="TableText"/>
              <w:rPr>
                <w:rFonts w:eastAsia="Arial Unicode MS"/>
              </w:rPr>
            </w:pPr>
            <w:r>
              <w:rPr>
                <w:rFonts w:eastAsia="Arial Unicode MS"/>
              </w:rPr>
              <w:t>Yes</w:t>
            </w:r>
          </w:p>
        </w:tc>
        <w:tc>
          <w:tcPr>
            <w:tcW w:w="1152" w:type="dxa"/>
            <w:vAlign w:val="bottom"/>
          </w:tcPr>
          <w:p w14:paraId="49D83136" w14:textId="77777777" w:rsidR="001A049C" w:rsidRPr="00FD55BB" w:rsidRDefault="001A049C" w:rsidP="009C25B8">
            <w:pPr>
              <w:pStyle w:val="TableText"/>
            </w:pPr>
            <w:r>
              <w:t>No</w:t>
            </w:r>
          </w:p>
        </w:tc>
      </w:tr>
    </w:tbl>
    <w:p w14:paraId="31C7B30F" w14:textId="77777777" w:rsidR="002A21AE" w:rsidRDefault="002A21AE">
      <w:pPr>
        <w:pStyle w:val="Heading3"/>
      </w:pPr>
      <w:r>
        <w:br w:type="page"/>
      </w:r>
      <w:r w:rsidR="00966400">
        <w:rPr>
          <w:rFonts w:ascii="Geneva" w:hAnsi="Geneva"/>
          <w:vanish/>
        </w:rPr>
        <w:lastRenderedPageBreak/>
        <w:t xml:space="preserve"> </w:t>
      </w:r>
      <w:r>
        <w:rPr>
          <w:rFonts w:ascii="Geneva" w:hAnsi="Geneva"/>
          <w:vanish/>
        </w:rPr>
        <w:t xml:space="preserve">TT_26.02A </w:t>
      </w:r>
      <w:bookmarkStart w:id="660" w:name="_Toc4588872"/>
      <w:r>
        <w:t>Allowable Product Modifications by Original Product Type</w:t>
      </w:r>
      <w:bookmarkEnd w:id="660"/>
      <w:r>
        <w:fldChar w:fldCharType="begin"/>
      </w:r>
      <w:r>
        <w:instrText xml:space="preserve"> XE </w:instrText>
      </w:r>
      <w:r w:rsidR="00FA7E65">
        <w:instrText>“</w:instrText>
      </w:r>
      <w:r>
        <w:instrText>Tables:Allowable Product Modifications by Original Product Type</w:instrText>
      </w:r>
      <w:r w:rsidR="00FA7E65">
        <w:instrText>”</w:instrText>
      </w:r>
      <w:r>
        <w:instrText xml:space="preserve"> </w:instrText>
      </w:r>
      <w:r>
        <w:fldChar w:fldCharType="end"/>
      </w:r>
    </w:p>
    <w:p w14:paraId="552D13B3" w14:textId="10C3FA26" w:rsidR="002A21AE" w:rsidRDefault="002A21AE" w:rsidP="00FA7E65">
      <w:pPr>
        <w:pStyle w:val="BodyText"/>
        <w:rPr>
          <w:color w:val="800080"/>
        </w:rPr>
      </w:pPr>
      <w:r>
        <w:t>ICCBBA provides a comprehensive database with every known blood product type that includes a five-digit product code, Product Type classification, and the Product Attribute for each blood product.</w:t>
      </w:r>
    </w:p>
    <w:p w14:paraId="3D599E48" w14:textId="77777777" w:rsidR="002A21AE" w:rsidRDefault="002A21AE">
      <w:pPr>
        <w:pStyle w:val="Heading4"/>
      </w:pPr>
      <w:r>
        <w:t>Calculation of the Expiration Date</w:t>
      </w:r>
    </w:p>
    <w:p w14:paraId="321A0B58" w14:textId="77777777" w:rsidR="002A21AE" w:rsidRDefault="002A21AE" w:rsidP="00FA7E65">
      <w:pPr>
        <w:pStyle w:val="BodyText"/>
      </w:pPr>
      <w:r>
        <w:t xml:space="preserve">VBECS calculates the expiration date of the new unit based on system rules specific to the blood product and modification types, and on whether the system is open or closed. The user may accept or edit this expiration date. </w:t>
      </w:r>
    </w:p>
    <w:p w14:paraId="2C320AFB" w14:textId="28AB1675" w:rsidR="002A21AE" w:rsidRDefault="003C5356" w:rsidP="00FA7E65">
      <w:pPr>
        <w:pStyle w:val="BodyText"/>
        <w:rPr>
          <w:highlight w:val="cyan"/>
        </w:rPr>
      </w:pPr>
      <w:r>
        <w:fldChar w:fldCharType="begin" w:fldLock="1"/>
      </w:r>
      <w:r>
        <w:instrText xml:space="preserve"> REF _Ref126732350 \h </w:instrText>
      </w:r>
      <w:r>
        <w:fldChar w:fldCharType="separate"/>
      </w:r>
      <w:r w:rsidR="00AB304C">
        <w:t xml:space="preserve">Table </w:t>
      </w:r>
      <w:r w:rsidR="00AB304C">
        <w:rPr>
          <w:noProof/>
        </w:rPr>
        <w:t>22</w:t>
      </w:r>
      <w:r>
        <w:fldChar w:fldCharType="end"/>
      </w:r>
      <w:r w:rsidR="002A21AE">
        <w:t xml:space="preserve"> shows which kind of modifications are allowed for a specific product type. The first column contains product types; the second set of columns contains allowable modifications. Blank cells indicate that a modification type cannot be performed on an original product type. Modifications are not allowed for product types not listed.</w:t>
      </w:r>
    </w:p>
    <w:p w14:paraId="16DC1B20" w14:textId="080A34AE" w:rsidR="002A21AE" w:rsidRDefault="002A21AE">
      <w:pPr>
        <w:pStyle w:val="Caption"/>
      </w:pPr>
      <w:bookmarkStart w:id="661" w:name="_Ref126732350"/>
      <w:bookmarkStart w:id="662" w:name="_Toc97523640"/>
      <w:bookmarkStart w:id="663" w:name="_Toc97527610"/>
      <w:bookmarkStart w:id="664" w:name="_Ref126485019"/>
      <w:bookmarkStart w:id="665" w:name="_Ref126485828"/>
      <w:bookmarkStart w:id="666" w:name="_Ref126485880"/>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647F4E">
        <w:rPr>
          <w:noProof/>
        </w:rPr>
        <w:t>22</w:t>
      </w:r>
      <w:r w:rsidR="004E20BD">
        <w:rPr>
          <w:noProof/>
        </w:rPr>
        <w:fldChar w:fldCharType="end"/>
      </w:r>
      <w:bookmarkEnd w:id="661"/>
      <w:r>
        <w:t xml:space="preserve">: </w:t>
      </w:r>
      <w:r>
        <w:rPr>
          <w:vanish/>
        </w:rPr>
        <w:t xml:space="preserve">TT_26.02A </w:t>
      </w:r>
      <w:r>
        <w:t>Allowable Product Modifications by Original Product Type</w:t>
      </w:r>
      <w:bookmarkEnd w:id="662"/>
      <w:bookmarkEnd w:id="663"/>
      <w:bookmarkEnd w:id="664"/>
      <w:bookmarkEnd w:id="665"/>
      <w:bookmarkEnd w:id="666"/>
    </w:p>
    <w:tbl>
      <w:tblPr>
        <w:tblW w:w="8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45"/>
        <w:gridCol w:w="611"/>
        <w:gridCol w:w="522"/>
        <w:gridCol w:w="444"/>
        <w:gridCol w:w="577"/>
        <w:gridCol w:w="800"/>
        <w:gridCol w:w="666"/>
        <w:gridCol w:w="733"/>
        <w:gridCol w:w="544"/>
        <w:gridCol w:w="700"/>
        <w:gridCol w:w="810"/>
        <w:gridCol w:w="810"/>
      </w:tblGrid>
      <w:tr w:rsidR="00147059" w:rsidRPr="0012237E" w14:paraId="2488BE71" w14:textId="77777777" w:rsidTr="00147059">
        <w:trPr>
          <w:cantSplit/>
          <w:trHeight w:val="432"/>
          <w:tblHeader/>
        </w:trPr>
        <w:tc>
          <w:tcPr>
            <w:tcW w:w="1445" w:type="dxa"/>
            <w:shd w:val="clear" w:color="auto" w:fill="808080"/>
            <w:vAlign w:val="bottom"/>
          </w:tcPr>
          <w:p w14:paraId="1509493C" w14:textId="77777777" w:rsidR="00147059" w:rsidRPr="0012237E" w:rsidRDefault="00147059" w:rsidP="006F7FC5">
            <w:pPr>
              <w:rPr>
                <w:rFonts w:ascii="Arial" w:hAnsi="Arial" w:cs="Arial"/>
                <w:b/>
                <w:sz w:val="20"/>
                <w:szCs w:val="20"/>
              </w:rPr>
            </w:pPr>
            <w:r w:rsidRPr="0012237E">
              <w:rPr>
                <w:rFonts w:ascii="Arial" w:hAnsi="Arial" w:cs="Arial"/>
                <w:b/>
                <w:sz w:val="20"/>
                <w:szCs w:val="20"/>
              </w:rPr>
              <w:t xml:space="preserve"> Product Type Name</w:t>
            </w:r>
          </w:p>
        </w:tc>
        <w:tc>
          <w:tcPr>
            <w:tcW w:w="611" w:type="dxa"/>
            <w:shd w:val="clear" w:color="auto" w:fill="808080"/>
            <w:vAlign w:val="center"/>
          </w:tcPr>
          <w:p w14:paraId="204B3587" w14:textId="77777777" w:rsidR="00147059" w:rsidRPr="0012237E" w:rsidRDefault="00147059" w:rsidP="006F7FC5">
            <w:pPr>
              <w:jc w:val="center"/>
              <w:rPr>
                <w:rFonts w:ascii="Arial" w:hAnsi="Arial" w:cs="Arial"/>
                <w:b/>
                <w:sz w:val="20"/>
                <w:szCs w:val="20"/>
              </w:rPr>
            </w:pPr>
            <w:r w:rsidRPr="0012237E">
              <w:rPr>
                <w:rFonts w:ascii="Arial" w:hAnsi="Arial" w:cs="Arial"/>
                <w:b/>
                <w:sz w:val="20"/>
                <w:szCs w:val="20"/>
              </w:rPr>
              <w:t>Split/</w:t>
            </w:r>
          </w:p>
          <w:p w14:paraId="00512E66" w14:textId="77777777" w:rsidR="00147059" w:rsidRPr="0012237E" w:rsidRDefault="00147059" w:rsidP="006F7FC5">
            <w:pPr>
              <w:jc w:val="center"/>
              <w:rPr>
                <w:rFonts w:ascii="Arial" w:hAnsi="Arial" w:cs="Arial"/>
                <w:b/>
                <w:sz w:val="20"/>
                <w:szCs w:val="20"/>
              </w:rPr>
            </w:pPr>
            <w:r w:rsidRPr="0012237E">
              <w:rPr>
                <w:rFonts w:ascii="Arial" w:hAnsi="Arial" w:cs="Arial"/>
                <w:b/>
                <w:sz w:val="20"/>
                <w:szCs w:val="20"/>
              </w:rPr>
              <w:t>Divide</w:t>
            </w:r>
          </w:p>
        </w:tc>
        <w:tc>
          <w:tcPr>
            <w:tcW w:w="522" w:type="dxa"/>
            <w:tcBorders>
              <w:bottom w:val="single" w:sz="4" w:space="0" w:color="auto"/>
            </w:tcBorders>
            <w:shd w:val="clear" w:color="auto" w:fill="808080"/>
            <w:vAlign w:val="center"/>
          </w:tcPr>
          <w:p w14:paraId="456DB4EE" w14:textId="77777777" w:rsidR="00147059" w:rsidRPr="0012237E" w:rsidRDefault="00147059" w:rsidP="006F7FC5">
            <w:pPr>
              <w:jc w:val="center"/>
              <w:rPr>
                <w:rFonts w:ascii="Arial" w:hAnsi="Arial" w:cs="Arial"/>
                <w:b/>
                <w:sz w:val="20"/>
                <w:szCs w:val="20"/>
              </w:rPr>
            </w:pPr>
            <w:r w:rsidRPr="0012237E">
              <w:rPr>
                <w:rFonts w:ascii="Arial" w:hAnsi="Arial" w:cs="Arial"/>
                <w:b/>
                <w:sz w:val="20"/>
                <w:szCs w:val="20"/>
              </w:rPr>
              <w:t>Thaw</w:t>
            </w:r>
          </w:p>
        </w:tc>
        <w:tc>
          <w:tcPr>
            <w:tcW w:w="444" w:type="dxa"/>
            <w:tcBorders>
              <w:bottom w:val="single" w:sz="4" w:space="0" w:color="auto"/>
            </w:tcBorders>
            <w:shd w:val="clear" w:color="auto" w:fill="808080"/>
            <w:vAlign w:val="center"/>
          </w:tcPr>
          <w:p w14:paraId="1CC2D8F2" w14:textId="77777777" w:rsidR="00147059" w:rsidRPr="0012237E" w:rsidRDefault="00147059" w:rsidP="006F7FC5">
            <w:pPr>
              <w:jc w:val="center"/>
              <w:rPr>
                <w:rFonts w:ascii="Arial" w:hAnsi="Arial" w:cs="Arial"/>
                <w:b/>
                <w:sz w:val="20"/>
                <w:szCs w:val="20"/>
              </w:rPr>
            </w:pPr>
            <w:r w:rsidRPr="0012237E">
              <w:rPr>
                <w:rFonts w:ascii="Arial" w:hAnsi="Arial" w:cs="Arial"/>
                <w:b/>
                <w:sz w:val="20"/>
                <w:szCs w:val="20"/>
              </w:rPr>
              <w:t>Pool</w:t>
            </w:r>
          </w:p>
        </w:tc>
        <w:tc>
          <w:tcPr>
            <w:tcW w:w="577" w:type="dxa"/>
            <w:tcBorders>
              <w:bottom w:val="single" w:sz="4" w:space="0" w:color="auto"/>
            </w:tcBorders>
            <w:shd w:val="clear" w:color="auto" w:fill="808080"/>
            <w:vAlign w:val="center"/>
          </w:tcPr>
          <w:p w14:paraId="7A096C8A" w14:textId="77777777" w:rsidR="00147059" w:rsidRPr="0012237E" w:rsidRDefault="00147059" w:rsidP="006F7FC5">
            <w:pPr>
              <w:jc w:val="center"/>
              <w:rPr>
                <w:rFonts w:ascii="Arial" w:hAnsi="Arial" w:cs="Arial"/>
                <w:b/>
                <w:sz w:val="20"/>
                <w:szCs w:val="20"/>
              </w:rPr>
            </w:pPr>
            <w:r w:rsidRPr="0012237E">
              <w:rPr>
                <w:rFonts w:ascii="Arial" w:hAnsi="Arial" w:cs="Arial"/>
                <w:b/>
                <w:sz w:val="20"/>
                <w:szCs w:val="20"/>
              </w:rPr>
              <w:t>Thaw/</w:t>
            </w:r>
          </w:p>
          <w:p w14:paraId="5695E5EA" w14:textId="77777777" w:rsidR="00147059" w:rsidRPr="0012237E" w:rsidRDefault="00147059" w:rsidP="006F7FC5">
            <w:pPr>
              <w:jc w:val="center"/>
              <w:rPr>
                <w:rFonts w:ascii="Arial" w:hAnsi="Arial" w:cs="Arial"/>
                <w:b/>
                <w:sz w:val="20"/>
                <w:szCs w:val="20"/>
              </w:rPr>
            </w:pPr>
            <w:r w:rsidRPr="0012237E">
              <w:rPr>
                <w:rFonts w:ascii="Arial" w:hAnsi="Arial" w:cs="Arial"/>
                <w:b/>
                <w:sz w:val="20"/>
                <w:szCs w:val="20"/>
              </w:rPr>
              <w:t>Pool</w:t>
            </w:r>
          </w:p>
        </w:tc>
        <w:tc>
          <w:tcPr>
            <w:tcW w:w="800" w:type="dxa"/>
            <w:shd w:val="clear" w:color="auto" w:fill="808080"/>
            <w:vAlign w:val="center"/>
          </w:tcPr>
          <w:p w14:paraId="4FA21E8B" w14:textId="77777777" w:rsidR="00147059" w:rsidRPr="0012237E" w:rsidRDefault="00147059" w:rsidP="006F7FC5">
            <w:pPr>
              <w:jc w:val="center"/>
              <w:rPr>
                <w:rFonts w:ascii="Arial" w:hAnsi="Arial" w:cs="Arial"/>
                <w:b/>
                <w:sz w:val="20"/>
                <w:szCs w:val="20"/>
              </w:rPr>
            </w:pPr>
            <w:r w:rsidRPr="0012237E">
              <w:rPr>
                <w:rFonts w:ascii="Arial" w:hAnsi="Arial" w:cs="Arial"/>
                <w:b/>
                <w:sz w:val="20"/>
                <w:szCs w:val="20"/>
              </w:rPr>
              <w:t>Irradiate</w:t>
            </w:r>
          </w:p>
        </w:tc>
        <w:tc>
          <w:tcPr>
            <w:tcW w:w="666" w:type="dxa"/>
            <w:shd w:val="clear" w:color="auto" w:fill="808080"/>
            <w:vAlign w:val="center"/>
          </w:tcPr>
          <w:p w14:paraId="197AA0DA" w14:textId="77777777" w:rsidR="00147059" w:rsidRPr="0012237E" w:rsidRDefault="00147059" w:rsidP="006F7FC5">
            <w:pPr>
              <w:jc w:val="center"/>
              <w:rPr>
                <w:rFonts w:ascii="Arial" w:hAnsi="Arial" w:cs="Arial"/>
                <w:b/>
                <w:sz w:val="20"/>
                <w:szCs w:val="20"/>
              </w:rPr>
            </w:pPr>
            <w:r w:rsidRPr="0012237E">
              <w:rPr>
                <w:rFonts w:ascii="Arial" w:hAnsi="Arial" w:cs="Arial"/>
                <w:b/>
                <w:sz w:val="20"/>
                <w:szCs w:val="20"/>
              </w:rPr>
              <w:t>Leuko-reduce</w:t>
            </w:r>
          </w:p>
        </w:tc>
        <w:tc>
          <w:tcPr>
            <w:tcW w:w="733" w:type="dxa"/>
            <w:shd w:val="clear" w:color="auto" w:fill="808080"/>
            <w:vAlign w:val="center"/>
          </w:tcPr>
          <w:p w14:paraId="10798352" w14:textId="77777777" w:rsidR="00147059" w:rsidRPr="0012237E" w:rsidRDefault="00147059" w:rsidP="006F7FC5">
            <w:pPr>
              <w:jc w:val="center"/>
              <w:rPr>
                <w:rFonts w:ascii="Arial" w:hAnsi="Arial" w:cs="Arial"/>
                <w:b/>
                <w:sz w:val="20"/>
                <w:szCs w:val="20"/>
              </w:rPr>
            </w:pPr>
            <w:r w:rsidRPr="0012237E">
              <w:rPr>
                <w:rFonts w:ascii="Arial" w:hAnsi="Arial" w:cs="Arial"/>
                <w:b/>
                <w:sz w:val="20"/>
                <w:szCs w:val="20"/>
              </w:rPr>
              <w:t>Volume Reduce</w:t>
            </w:r>
          </w:p>
        </w:tc>
        <w:tc>
          <w:tcPr>
            <w:tcW w:w="544" w:type="dxa"/>
            <w:shd w:val="clear" w:color="auto" w:fill="808080"/>
            <w:vAlign w:val="center"/>
          </w:tcPr>
          <w:p w14:paraId="20AF9624" w14:textId="77777777" w:rsidR="00147059" w:rsidRPr="0012237E" w:rsidRDefault="00147059" w:rsidP="006F7FC5">
            <w:pPr>
              <w:jc w:val="center"/>
              <w:rPr>
                <w:rFonts w:ascii="Arial" w:hAnsi="Arial" w:cs="Arial"/>
                <w:b/>
                <w:sz w:val="20"/>
                <w:szCs w:val="20"/>
              </w:rPr>
            </w:pPr>
            <w:r w:rsidRPr="0012237E">
              <w:rPr>
                <w:rFonts w:ascii="Arial" w:hAnsi="Arial" w:cs="Arial"/>
                <w:b/>
                <w:sz w:val="20"/>
                <w:szCs w:val="20"/>
              </w:rPr>
              <w:t>Wash</w:t>
            </w:r>
          </w:p>
        </w:tc>
        <w:tc>
          <w:tcPr>
            <w:tcW w:w="700" w:type="dxa"/>
            <w:tcBorders>
              <w:bottom w:val="single" w:sz="4" w:space="0" w:color="auto"/>
            </w:tcBorders>
            <w:shd w:val="clear" w:color="auto" w:fill="808080"/>
            <w:vAlign w:val="center"/>
          </w:tcPr>
          <w:p w14:paraId="0B1FA325" w14:textId="77777777" w:rsidR="00147059" w:rsidRPr="0012237E" w:rsidRDefault="00147059" w:rsidP="006F7FC5">
            <w:pPr>
              <w:jc w:val="center"/>
              <w:rPr>
                <w:rFonts w:ascii="Arial" w:hAnsi="Arial" w:cs="Arial"/>
                <w:b/>
                <w:sz w:val="20"/>
                <w:szCs w:val="20"/>
              </w:rPr>
            </w:pPr>
            <w:r w:rsidRPr="0012237E">
              <w:rPr>
                <w:rFonts w:ascii="Arial" w:hAnsi="Arial" w:cs="Arial"/>
                <w:b/>
                <w:sz w:val="20"/>
                <w:szCs w:val="20"/>
              </w:rPr>
              <w:t>Rejuvenate</w:t>
            </w:r>
          </w:p>
        </w:tc>
        <w:tc>
          <w:tcPr>
            <w:tcW w:w="810" w:type="dxa"/>
            <w:shd w:val="clear" w:color="auto" w:fill="808080"/>
            <w:vAlign w:val="center"/>
          </w:tcPr>
          <w:p w14:paraId="57C28188" w14:textId="77777777" w:rsidR="00147059" w:rsidRPr="0012237E" w:rsidRDefault="00147059" w:rsidP="006F7FC5">
            <w:pPr>
              <w:jc w:val="center"/>
              <w:rPr>
                <w:rFonts w:ascii="Arial" w:hAnsi="Arial" w:cs="Arial"/>
                <w:b/>
                <w:sz w:val="20"/>
                <w:szCs w:val="20"/>
              </w:rPr>
            </w:pPr>
            <w:r w:rsidRPr="0012237E">
              <w:rPr>
                <w:rFonts w:ascii="Arial" w:hAnsi="Arial" w:cs="Arial"/>
                <w:b/>
                <w:sz w:val="20"/>
                <w:szCs w:val="20"/>
              </w:rPr>
              <w:t>Freeze</w:t>
            </w:r>
          </w:p>
        </w:tc>
        <w:tc>
          <w:tcPr>
            <w:tcW w:w="810" w:type="dxa"/>
            <w:tcBorders>
              <w:bottom w:val="single" w:sz="4" w:space="0" w:color="auto"/>
            </w:tcBorders>
            <w:shd w:val="clear" w:color="auto" w:fill="808080"/>
            <w:vAlign w:val="center"/>
          </w:tcPr>
          <w:p w14:paraId="5BF015FF" w14:textId="77777777" w:rsidR="00147059" w:rsidRPr="0012237E" w:rsidRDefault="00147059" w:rsidP="006F7FC5">
            <w:pPr>
              <w:jc w:val="center"/>
              <w:rPr>
                <w:rFonts w:ascii="Arial" w:hAnsi="Arial" w:cs="Arial"/>
                <w:b/>
                <w:sz w:val="20"/>
                <w:szCs w:val="20"/>
              </w:rPr>
            </w:pPr>
            <w:r w:rsidRPr="0012237E">
              <w:rPr>
                <w:rFonts w:ascii="Arial" w:hAnsi="Arial" w:cs="Arial"/>
                <w:b/>
                <w:sz w:val="20"/>
                <w:szCs w:val="20"/>
              </w:rPr>
              <w:t>Deglycerolize</w:t>
            </w:r>
          </w:p>
        </w:tc>
      </w:tr>
      <w:tr w:rsidR="00147059" w:rsidRPr="004F2C12" w14:paraId="2EB646D8" w14:textId="77777777" w:rsidTr="00147059">
        <w:trPr>
          <w:cantSplit/>
          <w:trHeight w:val="432"/>
        </w:trPr>
        <w:tc>
          <w:tcPr>
            <w:tcW w:w="1445" w:type="dxa"/>
            <w:vAlign w:val="bottom"/>
          </w:tcPr>
          <w:p w14:paraId="2CFEB09F" w14:textId="77777777" w:rsidR="00147059" w:rsidRPr="0012237E" w:rsidRDefault="00147059" w:rsidP="006F7FC5">
            <w:pPr>
              <w:rPr>
                <w:rFonts w:ascii="Arial" w:hAnsi="Arial" w:cs="Arial"/>
                <w:sz w:val="20"/>
                <w:szCs w:val="20"/>
              </w:rPr>
            </w:pPr>
            <w:r w:rsidRPr="0012237E">
              <w:rPr>
                <w:rFonts w:ascii="Arial" w:hAnsi="Arial" w:cs="Arial"/>
                <w:sz w:val="20"/>
                <w:szCs w:val="20"/>
              </w:rPr>
              <w:t>WHOLE BLOOD</w:t>
            </w:r>
          </w:p>
        </w:tc>
        <w:tc>
          <w:tcPr>
            <w:tcW w:w="611" w:type="dxa"/>
            <w:vAlign w:val="center"/>
          </w:tcPr>
          <w:p w14:paraId="41CA86BF"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11A03611"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4A46D423"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1A4511C4" w14:textId="77777777" w:rsidR="00147059" w:rsidRPr="004F2C12" w:rsidRDefault="00147059" w:rsidP="006F7FC5">
            <w:pPr>
              <w:jc w:val="center"/>
              <w:rPr>
                <w:rFonts w:ascii="Arial" w:hAnsi="Arial" w:cs="Arial"/>
                <w:b/>
                <w:sz w:val="28"/>
                <w:szCs w:val="28"/>
              </w:rPr>
            </w:pPr>
          </w:p>
        </w:tc>
        <w:tc>
          <w:tcPr>
            <w:tcW w:w="800" w:type="dxa"/>
            <w:vAlign w:val="center"/>
          </w:tcPr>
          <w:p w14:paraId="66C757E1"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vAlign w:val="center"/>
          </w:tcPr>
          <w:p w14:paraId="08833E1D"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vAlign w:val="center"/>
          </w:tcPr>
          <w:p w14:paraId="2DF29D2D"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44" w:type="dxa"/>
            <w:vAlign w:val="center"/>
          </w:tcPr>
          <w:p w14:paraId="4F849B7E"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00" w:type="dxa"/>
            <w:vAlign w:val="center"/>
          </w:tcPr>
          <w:p w14:paraId="2D4E09F1"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810" w:type="dxa"/>
            <w:vAlign w:val="center"/>
          </w:tcPr>
          <w:p w14:paraId="25E01BDF"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810" w:type="dxa"/>
            <w:shd w:val="clear" w:color="auto" w:fill="C0C0C0"/>
            <w:vAlign w:val="center"/>
          </w:tcPr>
          <w:p w14:paraId="219A1221" w14:textId="77777777" w:rsidR="00147059" w:rsidRPr="004F2C12" w:rsidRDefault="00147059" w:rsidP="006F7FC5">
            <w:pPr>
              <w:jc w:val="center"/>
              <w:rPr>
                <w:rFonts w:ascii="Arial" w:hAnsi="Arial" w:cs="Arial"/>
                <w:b/>
                <w:sz w:val="28"/>
                <w:szCs w:val="28"/>
              </w:rPr>
            </w:pPr>
          </w:p>
        </w:tc>
      </w:tr>
      <w:tr w:rsidR="00147059" w:rsidRPr="004F2C12" w14:paraId="3952064A" w14:textId="77777777" w:rsidTr="00147059">
        <w:trPr>
          <w:cantSplit/>
          <w:trHeight w:val="432"/>
        </w:trPr>
        <w:tc>
          <w:tcPr>
            <w:tcW w:w="1445" w:type="dxa"/>
            <w:vAlign w:val="bottom"/>
          </w:tcPr>
          <w:p w14:paraId="21C8918E" w14:textId="77777777" w:rsidR="00147059" w:rsidRPr="0012237E" w:rsidRDefault="00147059" w:rsidP="006F7FC5">
            <w:pPr>
              <w:rPr>
                <w:rFonts w:ascii="Arial" w:hAnsi="Arial" w:cs="Arial"/>
                <w:sz w:val="20"/>
                <w:szCs w:val="20"/>
              </w:rPr>
            </w:pPr>
            <w:r w:rsidRPr="0012237E">
              <w:rPr>
                <w:rFonts w:ascii="Arial" w:hAnsi="Arial" w:cs="Arial"/>
                <w:sz w:val="20"/>
                <w:szCs w:val="20"/>
              </w:rPr>
              <w:t>RED BLOOD CELLS</w:t>
            </w:r>
          </w:p>
        </w:tc>
        <w:tc>
          <w:tcPr>
            <w:tcW w:w="611" w:type="dxa"/>
            <w:vAlign w:val="center"/>
          </w:tcPr>
          <w:p w14:paraId="2684BA32"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4CE7E030"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76906AF9"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1D64D4FC" w14:textId="77777777" w:rsidR="00147059" w:rsidRPr="004F2C12" w:rsidRDefault="00147059" w:rsidP="006F7FC5">
            <w:pPr>
              <w:jc w:val="center"/>
              <w:rPr>
                <w:rFonts w:ascii="Arial" w:hAnsi="Arial" w:cs="Arial"/>
                <w:b/>
                <w:sz w:val="28"/>
                <w:szCs w:val="28"/>
              </w:rPr>
            </w:pPr>
          </w:p>
        </w:tc>
        <w:tc>
          <w:tcPr>
            <w:tcW w:w="800" w:type="dxa"/>
            <w:vAlign w:val="center"/>
          </w:tcPr>
          <w:p w14:paraId="404B8B35"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vAlign w:val="center"/>
          </w:tcPr>
          <w:p w14:paraId="2D284AEB"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tcBorders>
              <w:bottom w:val="single" w:sz="4" w:space="0" w:color="auto"/>
            </w:tcBorders>
            <w:vAlign w:val="center"/>
          </w:tcPr>
          <w:p w14:paraId="7DCEEAF7"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44" w:type="dxa"/>
            <w:tcBorders>
              <w:bottom w:val="single" w:sz="4" w:space="0" w:color="auto"/>
            </w:tcBorders>
            <w:vAlign w:val="center"/>
          </w:tcPr>
          <w:p w14:paraId="0618FE85"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00" w:type="dxa"/>
            <w:vAlign w:val="center"/>
          </w:tcPr>
          <w:p w14:paraId="07E8E04E"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810" w:type="dxa"/>
            <w:vAlign w:val="center"/>
          </w:tcPr>
          <w:p w14:paraId="0BF1B55B"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810" w:type="dxa"/>
            <w:shd w:val="clear" w:color="auto" w:fill="C0C0C0"/>
            <w:vAlign w:val="center"/>
          </w:tcPr>
          <w:p w14:paraId="52C70D32" w14:textId="77777777" w:rsidR="00147059" w:rsidRPr="004F2C12" w:rsidRDefault="00147059" w:rsidP="006F7FC5">
            <w:pPr>
              <w:jc w:val="center"/>
              <w:rPr>
                <w:rFonts w:ascii="Arial" w:hAnsi="Arial" w:cs="Arial"/>
                <w:b/>
                <w:sz w:val="28"/>
                <w:szCs w:val="28"/>
              </w:rPr>
            </w:pPr>
          </w:p>
        </w:tc>
      </w:tr>
      <w:tr w:rsidR="00147059" w:rsidRPr="004F2C12" w14:paraId="1881EDBB" w14:textId="77777777" w:rsidTr="00147059">
        <w:trPr>
          <w:cantSplit/>
          <w:trHeight w:val="432"/>
        </w:trPr>
        <w:tc>
          <w:tcPr>
            <w:tcW w:w="1445" w:type="dxa"/>
            <w:vAlign w:val="bottom"/>
          </w:tcPr>
          <w:p w14:paraId="1AC81788" w14:textId="77777777" w:rsidR="00147059" w:rsidRPr="0012237E" w:rsidRDefault="00147059" w:rsidP="006F7FC5">
            <w:pPr>
              <w:rPr>
                <w:rFonts w:ascii="Arial" w:hAnsi="Arial" w:cs="Arial"/>
                <w:sz w:val="20"/>
                <w:szCs w:val="20"/>
              </w:rPr>
            </w:pPr>
            <w:r w:rsidRPr="0012237E">
              <w:rPr>
                <w:rFonts w:ascii="Arial" w:hAnsi="Arial" w:cs="Arial"/>
                <w:sz w:val="20"/>
                <w:szCs w:val="20"/>
              </w:rPr>
              <w:t>Washed RED BLOOD CELLS</w:t>
            </w:r>
          </w:p>
        </w:tc>
        <w:tc>
          <w:tcPr>
            <w:tcW w:w="611" w:type="dxa"/>
            <w:tcBorders>
              <w:bottom w:val="single" w:sz="4" w:space="0" w:color="auto"/>
            </w:tcBorders>
            <w:vAlign w:val="center"/>
          </w:tcPr>
          <w:p w14:paraId="093B7D4C"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4A428BA0"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75F349BF"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11610F50" w14:textId="77777777" w:rsidR="00147059" w:rsidRPr="004F2C12" w:rsidRDefault="00147059" w:rsidP="006F7FC5">
            <w:pPr>
              <w:jc w:val="center"/>
              <w:rPr>
                <w:rFonts w:ascii="Arial" w:hAnsi="Arial" w:cs="Arial"/>
                <w:b/>
                <w:sz w:val="28"/>
                <w:szCs w:val="28"/>
              </w:rPr>
            </w:pPr>
          </w:p>
        </w:tc>
        <w:tc>
          <w:tcPr>
            <w:tcW w:w="800" w:type="dxa"/>
            <w:tcBorders>
              <w:bottom w:val="single" w:sz="4" w:space="0" w:color="auto"/>
            </w:tcBorders>
            <w:vAlign w:val="center"/>
          </w:tcPr>
          <w:p w14:paraId="53952B54"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tcBorders>
              <w:bottom w:val="single" w:sz="4" w:space="0" w:color="auto"/>
            </w:tcBorders>
            <w:vAlign w:val="center"/>
          </w:tcPr>
          <w:p w14:paraId="1CAC295B"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tcBorders>
              <w:bottom w:val="single" w:sz="4" w:space="0" w:color="auto"/>
            </w:tcBorders>
            <w:shd w:val="clear" w:color="auto" w:fill="C0C0C0"/>
            <w:vAlign w:val="center"/>
          </w:tcPr>
          <w:p w14:paraId="13BB5ADB" w14:textId="77777777" w:rsidR="00147059" w:rsidRPr="004F2C12" w:rsidRDefault="00147059" w:rsidP="006F7FC5">
            <w:pPr>
              <w:jc w:val="center"/>
              <w:rPr>
                <w:rFonts w:ascii="Arial" w:hAnsi="Arial" w:cs="Arial"/>
                <w:b/>
                <w:sz w:val="28"/>
                <w:szCs w:val="28"/>
              </w:rPr>
            </w:pPr>
          </w:p>
        </w:tc>
        <w:tc>
          <w:tcPr>
            <w:tcW w:w="544" w:type="dxa"/>
            <w:tcBorders>
              <w:bottom w:val="single" w:sz="4" w:space="0" w:color="auto"/>
            </w:tcBorders>
            <w:shd w:val="clear" w:color="auto" w:fill="C0C0C0"/>
            <w:vAlign w:val="center"/>
          </w:tcPr>
          <w:p w14:paraId="15995263" w14:textId="77777777" w:rsidR="00147059" w:rsidRPr="004F2C12" w:rsidRDefault="00147059" w:rsidP="006F7FC5">
            <w:pPr>
              <w:jc w:val="center"/>
              <w:rPr>
                <w:rFonts w:ascii="Arial" w:hAnsi="Arial" w:cs="Arial"/>
                <w:b/>
                <w:sz w:val="28"/>
                <w:szCs w:val="28"/>
              </w:rPr>
            </w:pPr>
          </w:p>
        </w:tc>
        <w:tc>
          <w:tcPr>
            <w:tcW w:w="700" w:type="dxa"/>
            <w:tcBorders>
              <w:bottom w:val="single" w:sz="4" w:space="0" w:color="auto"/>
            </w:tcBorders>
            <w:vAlign w:val="center"/>
          </w:tcPr>
          <w:p w14:paraId="35FA56BD"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810" w:type="dxa"/>
            <w:tcBorders>
              <w:bottom w:val="single" w:sz="4" w:space="0" w:color="auto"/>
            </w:tcBorders>
            <w:vAlign w:val="center"/>
          </w:tcPr>
          <w:p w14:paraId="5FDE6208"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810" w:type="dxa"/>
            <w:shd w:val="clear" w:color="auto" w:fill="C0C0C0"/>
            <w:vAlign w:val="center"/>
          </w:tcPr>
          <w:p w14:paraId="7163B0C8" w14:textId="77777777" w:rsidR="00147059" w:rsidRPr="004F2C12" w:rsidRDefault="00147059" w:rsidP="006F7FC5">
            <w:pPr>
              <w:jc w:val="center"/>
              <w:rPr>
                <w:rFonts w:ascii="Arial" w:hAnsi="Arial" w:cs="Arial"/>
                <w:b/>
                <w:sz w:val="28"/>
                <w:szCs w:val="28"/>
              </w:rPr>
            </w:pPr>
          </w:p>
        </w:tc>
      </w:tr>
      <w:tr w:rsidR="00147059" w:rsidRPr="004F2C12" w14:paraId="62F456DF" w14:textId="77777777" w:rsidTr="00147059">
        <w:trPr>
          <w:cantSplit/>
          <w:trHeight w:val="432"/>
        </w:trPr>
        <w:tc>
          <w:tcPr>
            <w:tcW w:w="1445" w:type="dxa"/>
            <w:vAlign w:val="bottom"/>
          </w:tcPr>
          <w:p w14:paraId="4B89E930" w14:textId="77777777" w:rsidR="00147059" w:rsidRPr="0012237E" w:rsidRDefault="00147059" w:rsidP="006F7FC5">
            <w:pPr>
              <w:rPr>
                <w:rFonts w:ascii="Arial" w:hAnsi="Arial" w:cs="Arial"/>
                <w:sz w:val="20"/>
                <w:szCs w:val="20"/>
              </w:rPr>
            </w:pPr>
            <w:r w:rsidRPr="0012237E">
              <w:rPr>
                <w:rFonts w:ascii="Arial" w:hAnsi="Arial" w:cs="Arial"/>
                <w:sz w:val="20"/>
                <w:szCs w:val="20"/>
              </w:rPr>
              <w:t>Frozen RED BLOOD CELLS</w:t>
            </w:r>
          </w:p>
        </w:tc>
        <w:tc>
          <w:tcPr>
            <w:tcW w:w="611" w:type="dxa"/>
            <w:shd w:val="clear" w:color="auto" w:fill="C0C0C0"/>
            <w:vAlign w:val="center"/>
          </w:tcPr>
          <w:p w14:paraId="04C3B081" w14:textId="77777777" w:rsidR="00147059" w:rsidRPr="004F2C12" w:rsidRDefault="00147059" w:rsidP="006F7FC5">
            <w:pPr>
              <w:jc w:val="center"/>
              <w:rPr>
                <w:rFonts w:ascii="Arial" w:hAnsi="Arial" w:cs="Arial"/>
                <w:b/>
                <w:sz w:val="28"/>
                <w:szCs w:val="28"/>
              </w:rPr>
            </w:pPr>
          </w:p>
        </w:tc>
        <w:tc>
          <w:tcPr>
            <w:tcW w:w="522" w:type="dxa"/>
            <w:shd w:val="clear" w:color="auto" w:fill="C0C0C0"/>
            <w:vAlign w:val="center"/>
          </w:tcPr>
          <w:p w14:paraId="62570513"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3F6A9D4B"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78211598" w14:textId="77777777" w:rsidR="00147059" w:rsidRPr="004F2C12" w:rsidRDefault="00147059" w:rsidP="006F7FC5">
            <w:pPr>
              <w:jc w:val="center"/>
              <w:rPr>
                <w:rFonts w:ascii="Arial" w:hAnsi="Arial" w:cs="Arial"/>
                <w:b/>
                <w:sz w:val="28"/>
                <w:szCs w:val="28"/>
              </w:rPr>
            </w:pPr>
          </w:p>
        </w:tc>
        <w:tc>
          <w:tcPr>
            <w:tcW w:w="800" w:type="dxa"/>
            <w:shd w:val="clear" w:color="auto" w:fill="C0C0C0"/>
            <w:vAlign w:val="center"/>
          </w:tcPr>
          <w:p w14:paraId="28464FC5" w14:textId="77777777" w:rsidR="00147059" w:rsidRPr="004F2C12" w:rsidRDefault="00147059" w:rsidP="006F7FC5">
            <w:pPr>
              <w:jc w:val="center"/>
              <w:rPr>
                <w:rFonts w:ascii="Arial" w:hAnsi="Arial" w:cs="Arial"/>
                <w:b/>
                <w:sz w:val="28"/>
                <w:szCs w:val="28"/>
              </w:rPr>
            </w:pPr>
          </w:p>
        </w:tc>
        <w:tc>
          <w:tcPr>
            <w:tcW w:w="666" w:type="dxa"/>
            <w:shd w:val="clear" w:color="auto" w:fill="C0C0C0"/>
            <w:vAlign w:val="center"/>
          </w:tcPr>
          <w:p w14:paraId="2C6F139B" w14:textId="77777777" w:rsidR="00147059" w:rsidRPr="004F2C12" w:rsidRDefault="00147059" w:rsidP="006F7FC5">
            <w:pPr>
              <w:jc w:val="center"/>
              <w:rPr>
                <w:rFonts w:ascii="Arial" w:hAnsi="Arial" w:cs="Arial"/>
                <w:b/>
                <w:sz w:val="28"/>
                <w:szCs w:val="28"/>
              </w:rPr>
            </w:pPr>
          </w:p>
        </w:tc>
        <w:tc>
          <w:tcPr>
            <w:tcW w:w="733" w:type="dxa"/>
            <w:shd w:val="clear" w:color="auto" w:fill="C0C0C0"/>
            <w:vAlign w:val="center"/>
          </w:tcPr>
          <w:p w14:paraId="3C4FEF62"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619F66C7"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3B36DAE0"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4277A382" w14:textId="77777777" w:rsidR="00147059" w:rsidRPr="004F2C12" w:rsidRDefault="00147059" w:rsidP="006F7FC5">
            <w:pPr>
              <w:jc w:val="center"/>
              <w:rPr>
                <w:rFonts w:ascii="Arial" w:hAnsi="Arial" w:cs="Arial"/>
                <w:b/>
                <w:sz w:val="28"/>
                <w:szCs w:val="28"/>
              </w:rPr>
            </w:pPr>
          </w:p>
        </w:tc>
        <w:tc>
          <w:tcPr>
            <w:tcW w:w="810" w:type="dxa"/>
            <w:vAlign w:val="center"/>
          </w:tcPr>
          <w:p w14:paraId="02C88DCB"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r>
      <w:tr w:rsidR="00147059" w:rsidRPr="004F2C12" w14:paraId="7D1DE0C4" w14:textId="77777777" w:rsidTr="00147059">
        <w:trPr>
          <w:cantSplit/>
          <w:trHeight w:val="432"/>
        </w:trPr>
        <w:tc>
          <w:tcPr>
            <w:tcW w:w="1445" w:type="dxa"/>
            <w:vAlign w:val="bottom"/>
          </w:tcPr>
          <w:p w14:paraId="52B596B5" w14:textId="77777777" w:rsidR="00147059" w:rsidRPr="0012237E" w:rsidRDefault="00147059" w:rsidP="006F7FC5">
            <w:pPr>
              <w:rPr>
                <w:rFonts w:ascii="Arial" w:hAnsi="Arial" w:cs="Arial"/>
                <w:sz w:val="20"/>
                <w:szCs w:val="20"/>
              </w:rPr>
            </w:pPr>
            <w:r w:rsidRPr="0012237E">
              <w:rPr>
                <w:rFonts w:ascii="Arial" w:hAnsi="Arial" w:cs="Arial"/>
                <w:sz w:val="20"/>
                <w:szCs w:val="20"/>
              </w:rPr>
              <w:t>Frozen Rejuvenated RED BLOOD CELLS</w:t>
            </w:r>
          </w:p>
        </w:tc>
        <w:tc>
          <w:tcPr>
            <w:tcW w:w="611" w:type="dxa"/>
            <w:shd w:val="clear" w:color="auto" w:fill="C0C0C0"/>
            <w:vAlign w:val="center"/>
          </w:tcPr>
          <w:p w14:paraId="1B638B9A" w14:textId="77777777" w:rsidR="00147059" w:rsidRPr="004F2C12" w:rsidRDefault="00147059" w:rsidP="006F7FC5">
            <w:pPr>
              <w:jc w:val="center"/>
              <w:rPr>
                <w:rFonts w:ascii="Arial" w:hAnsi="Arial" w:cs="Arial"/>
                <w:b/>
                <w:sz w:val="28"/>
                <w:szCs w:val="28"/>
              </w:rPr>
            </w:pPr>
          </w:p>
        </w:tc>
        <w:tc>
          <w:tcPr>
            <w:tcW w:w="522" w:type="dxa"/>
            <w:shd w:val="clear" w:color="auto" w:fill="C0C0C0"/>
            <w:vAlign w:val="center"/>
          </w:tcPr>
          <w:p w14:paraId="54EF515C"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7C111C05"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376CF7B5" w14:textId="77777777" w:rsidR="00147059" w:rsidRPr="004F2C12" w:rsidRDefault="00147059" w:rsidP="006F7FC5">
            <w:pPr>
              <w:jc w:val="center"/>
              <w:rPr>
                <w:rFonts w:ascii="Arial" w:hAnsi="Arial" w:cs="Arial"/>
                <w:b/>
                <w:sz w:val="28"/>
                <w:szCs w:val="28"/>
              </w:rPr>
            </w:pPr>
          </w:p>
        </w:tc>
        <w:tc>
          <w:tcPr>
            <w:tcW w:w="800" w:type="dxa"/>
            <w:shd w:val="clear" w:color="auto" w:fill="C0C0C0"/>
            <w:vAlign w:val="center"/>
          </w:tcPr>
          <w:p w14:paraId="6A67B963" w14:textId="77777777" w:rsidR="00147059" w:rsidRPr="004F2C12" w:rsidRDefault="00147059" w:rsidP="006F7FC5">
            <w:pPr>
              <w:jc w:val="center"/>
              <w:rPr>
                <w:rFonts w:ascii="Arial" w:hAnsi="Arial" w:cs="Arial"/>
                <w:b/>
                <w:sz w:val="28"/>
                <w:szCs w:val="28"/>
              </w:rPr>
            </w:pPr>
          </w:p>
        </w:tc>
        <w:tc>
          <w:tcPr>
            <w:tcW w:w="666" w:type="dxa"/>
            <w:shd w:val="clear" w:color="auto" w:fill="C0C0C0"/>
            <w:vAlign w:val="center"/>
          </w:tcPr>
          <w:p w14:paraId="283FF49E" w14:textId="77777777" w:rsidR="00147059" w:rsidRPr="004F2C12" w:rsidRDefault="00147059" w:rsidP="006F7FC5">
            <w:pPr>
              <w:jc w:val="center"/>
              <w:rPr>
                <w:rFonts w:ascii="Arial" w:hAnsi="Arial" w:cs="Arial"/>
                <w:b/>
                <w:sz w:val="28"/>
                <w:szCs w:val="28"/>
              </w:rPr>
            </w:pPr>
          </w:p>
        </w:tc>
        <w:tc>
          <w:tcPr>
            <w:tcW w:w="733" w:type="dxa"/>
            <w:tcBorders>
              <w:bottom w:val="single" w:sz="4" w:space="0" w:color="auto"/>
            </w:tcBorders>
            <w:shd w:val="clear" w:color="auto" w:fill="C0C0C0"/>
            <w:vAlign w:val="center"/>
          </w:tcPr>
          <w:p w14:paraId="38980939" w14:textId="77777777" w:rsidR="00147059" w:rsidRPr="004F2C12" w:rsidRDefault="00147059" w:rsidP="006F7FC5">
            <w:pPr>
              <w:jc w:val="center"/>
              <w:rPr>
                <w:rFonts w:ascii="Arial" w:hAnsi="Arial" w:cs="Arial"/>
                <w:b/>
                <w:sz w:val="28"/>
                <w:szCs w:val="28"/>
              </w:rPr>
            </w:pPr>
          </w:p>
        </w:tc>
        <w:tc>
          <w:tcPr>
            <w:tcW w:w="544" w:type="dxa"/>
            <w:tcBorders>
              <w:bottom w:val="single" w:sz="4" w:space="0" w:color="auto"/>
            </w:tcBorders>
            <w:shd w:val="clear" w:color="auto" w:fill="C0C0C0"/>
            <w:vAlign w:val="center"/>
          </w:tcPr>
          <w:p w14:paraId="3BA68F8C" w14:textId="77777777" w:rsidR="00147059" w:rsidRPr="004F2C12" w:rsidRDefault="00147059" w:rsidP="006F7FC5">
            <w:pPr>
              <w:jc w:val="center"/>
              <w:rPr>
                <w:rFonts w:ascii="Arial" w:hAnsi="Arial" w:cs="Arial"/>
                <w:b/>
                <w:sz w:val="28"/>
                <w:szCs w:val="28"/>
              </w:rPr>
            </w:pPr>
          </w:p>
        </w:tc>
        <w:tc>
          <w:tcPr>
            <w:tcW w:w="700" w:type="dxa"/>
            <w:tcBorders>
              <w:bottom w:val="single" w:sz="4" w:space="0" w:color="auto"/>
            </w:tcBorders>
            <w:shd w:val="clear" w:color="auto" w:fill="C0C0C0"/>
            <w:vAlign w:val="center"/>
          </w:tcPr>
          <w:p w14:paraId="7FDDBE67" w14:textId="77777777" w:rsidR="00147059" w:rsidRPr="004F2C12" w:rsidRDefault="00147059"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14:paraId="78DE7FBC" w14:textId="77777777" w:rsidR="00147059" w:rsidRPr="004F2C12" w:rsidRDefault="00147059" w:rsidP="006F7FC5">
            <w:pPr>
              <w:jc w:val="center"/>
              <w:rPr>
                <w:rFonts w:ascii="Arial" w:hAnsi="Arial" w:cs="Arial"/>
                <w:b/>
                <w:sz w:val="28"/>
                <w:szCs w:val="28"/>
              </w:rPr>
            </w:pPr>
          </w:p>
        </w:tc>
        <w:tc>
          <w:tcPr>
            <w:tcW w:w="810" w:type="dxa"/>
            <w:tcBorders>
              <w:bottom w:val="single" w:sz="4" w:space="0" w:color="auto"/>
            </w:tcBorders>
            <w:vAlign w:val="center"/>
          </w:tcPr>
          <w:p w14:paraId="0AD73521"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r>
      <w:tr w:rsidR="00147059" w:rsidRPr="004F2C12" w14:paraId="14F4CC19" w14:textId="77777777" w:rsidTr="00147059">
        <w:trPr>
          <w:cantSplit/>
          <w:trHeight w:val="432"/>
        </w:trPr>
        <w:tc>
          <w:tcPr>
            <w:tcW w:w="1445" w:type="dxa"/>
            <w:vAlign w:val="bottom"/>
          </w:tcPr>
          <w:p w14:paraId="7E44BEBA" w14:textId="77777777" w:rsidR="00147059" w:rsidRPr="0012237E" w:rsidRDefault="00147059" w:rsidP="006F7FC5">
            <w:pPr>
              <w:rPr>
                <w:rFonts w:ascii="Arial" w:hAnsi="Arial" w:cs="Arial"/>
                <w:sz w:val="20"/>
                <w:szCs w:val="20"/>
              </w:rPr>
            </w:pPr>
            <w:r w:rsidRPr="0012237E">
              <w:rPr>
                <w:rFonts w:ascii="Arial" w:hAnsi="Arial" w:cs="Arial"/>
                <w:sz w:val="20"/>
                <w:szCs w:val="20"/>
              </w:rPr>
              <w:t>Deglycerolized RED BLOOD CELLS</w:t>
            </w:r>
          </w:p>
        </w:tc>
        <w:tc>
          <w:tcPr>
            <w:tcW w:w="611" w:type="dxa"/>
            <w:vAlign w:val="center"/>
          </w:tcPr>
          <w:p w14:paraId="2E55EBC5"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3142A455"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64A71A75"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79AEE293" w14:textId="77777777" w:rsidR="00147059" w:rsidRPr="004F2C12" w:rsidRDefault="00147059" w:rsidP="006F7FC5">
            <w:pPr>
              <w:jc w:val="center"/>
              <w:rPr>
                <w:rFonts w:ascii="Arial" w:hAnsi="Arial" w:cs="Arial"/>
                <w:b/>
                <w:sz w:val="28"/>
                <w:szCs w:val="28"/>
              </w:rPr>
            </w:pPr>
          </w:p>
        </w:tc>
        <w:tc>
          <w:tcPr>
            <w:tcW w:w="800" w:type="dxa"/>
            <w:vAlign w:val="center"/>
          </w:tcPr>
          <w:p w14:paraId="45372D12"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vAlign w:val="center"/>
          </w:tcPr>
          <w:p w14:paraId="70C8D531"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shd w:val="pct25" w:color="auto" w:fill="auto"/>
            <w:vAlign w:val="center"/>
          </w:tcPr>
          <w:p w14:paraId="63A7A7D8"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31DEEACD"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4FE29270"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4218B5F8"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4909B86B" w14:textId="77777777" w:rsidR="00147059" w:rsidRPr="004F2C12" w:rsidRDefault="00147059" w:rsidP="006F7FC5">
            <w:pPr>
              <w:jc w:val="center"/>
              <w:rPr>
                <w:rFonts w:ascii="Arial" w:hAnsi="Arial" w:cs="Arial"/>
                <w:b/>
                <w:sz w:val="28"/>
                <w:szCs w:val="28"/>
              </w:rPr>
            </w:pPr>
          </w:p>
        </w:tc>
      </w:tr>
      <w:tr w:rsidR="00147059" w:rsidRPr="004F2C12" w14:paraId="713960DA" w14:textId="77777777" w:rsidTr="00147059">
        <w:trPr>
          <w:cantSplit/>
          <w:trHeight w:val="432"/>
        </w:trPr>
        <w:tc>
          <w:tcPr>
            <w:tcW w:w="1445" w:type="dxa"/>
            <w:vAlign w:val="bottom"/>
          </w:tcPr>
          <w:p w14:paraId="0E468BCA" w14:textId="77777777" w:rsidR="00147059" w:rsidRPr="0012237E" w:rsidRDefault="00147059" w:rsidP="006F7FC5">
            <w:pPr>
              <w:rPr>
                <w:rFonts w:ascii="Arial" w:hAnsi="Arial" w:cs="Arial"/>
                <w:sz w:val="20"/>
                <w:szCs w:val="20"/>
              </w:rPr>
            </w:pPr>
            <w:r w:rsidRPr="0012237E">
              <w:rPr>
                <w:rFonts w:ascii="Arial" w:hAnsi="Arial" w:cs="Arial"/>
                <w:sz w:val="20"/>
                <w:szCs w:val="20"/>
              </w:rPr>
              <w:t>Deglycerolized Rejuvenated RED BLOOD CELLS</w:t>
            </w:r>
          </w:p>
        </w:tc>
        <w:tc>
          <w:tcPr>
            <w:tcW w:w="611" w:type="dxa"/>
            <w:vAlign w:val="center"/>
          </w:tcPr>
          <w:p w14:paraId="436D7A68"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59FDC032"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76C324E3"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376B19CB" w14:textId="77777777" w:rsidR="00147059" w:rsidRPr="004F2C12" w:rsidRDefault="00147059" w:rsidP="006F7FC5">
            <w:pPr>
              <w:jc w:val="center"/>
              <w:rPr>
                <w:rFonts w:ascii="Arial" w:hAnsi="Arial" w:cs="Arial"/>
                <w:b/>
                <w:sz w:val="28"/>
                <w:szCs w:val="28"/>
              </w:rPr>
            </w:pPr>
          </w:p>
        </w:tc>
        <w:tc>
          <w:tcPr>
            <w:tcW w:w="800" w:type="dxa"/>
            <w:vAlign w:val="center"/>
          </w:tcPr>
          <w:p w14:paraId="22C94801"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vAlign w:val="center"/>
          </w:tcPr>
          <w:p w14:paraId="1EDC1E3D"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shd w:val="pct25" w:color="auto" w:fill="auto"/>
            <w:vAlign w:val="center"/>
          </w:tcPr>
          <w:p w14:paraId="7D80D5C2" w14:textId="77777777" w:rsidR="00147059" w:rsidRPr="004F2C12" w:rsidRDefault="00147059" w:rsidP="006F7FC5">
            <w:pPr>
              <w:jc w:val="center"/>
              <w:rPr>
                <w:rFonts w:ascii="Arial" w:hAnsi="Arial" w:cs="Arial"/>
                <w:b/>
                <w:sz w:val="28"/>
                <w:szCs w:val="28"/>
              </w:rPr>
            </w:pPr>
          </w:p>
        </w:tc>
        <w:tc>
          <w:tcPr>
            <w:tcW w:w="544" w:type="dxa"/>
            <w:tcBorders>
              <w:bottom w:val="single" w:sz="4" w:space="0" w:color="auto"/>
            </w:tcBorders>
            <w:shd w:val="clear" w:color="auto" w:fill="C0C0C0"/>
            <w:vAlign w:val="center"/>
          </w:tcPr>
          <w:p w14:paraId="52957E3E"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4C18F9A6"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752E2912" w14:textId="77777777" w:rsidR="00147059" w:rsidRPr="004F2C12" w:rsidRDefault="00147059"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14:paraId="06EA9A98" w14:textId="77777777" w:rsidR="00147059" w:rsidRPr="004F2C12" w:rsidRDefault="00147059" w:rsidP="006F7FC5">
            <w:pPr>
              <w:jc w:val="center"/>
              <w:rPr>
                <w:rFonts w:ascii="Arial" w:hAnsi="Arial" w:cs="Arial"/>
                <w:b/>
                <w:sz w:val="28"/>
                <w:szCs w:val="28"/>
              </w:rPr>
            </w:pPr>
          </w:p>
        </w:tc>
      </w:tr>
      <w:tr w:rsidR="00147059" w:rsidRPr="004F2C12" w14:paraId="2049290A" w14:textId="77777777" w:rsidTr="00147059">
        <w:trPr>
          <w:cantSplit/>
          <w:trHeight w:val="432"/>
        </w:trPr>
        <w:tc>
          <w:tcPr>
            <w:tcW w:w="1445" w:type="dxa"/>
            <w:vAlign w:val="bottom"/>
          </w:tcPr>
          <w:p w14:paraId="41458EC5" w14:textId="77777777" w:rsidR="00147059" w:rsidRPr="0012237E" w:rsidRDefault="00147059" w:rsidP="006F7FC5">
            <w:pPr>
              <w:rPr>
                <w:rFonts w:ascii="Arial" w:hAnsi="Arial" w:cs="Arial"/>
                <w:sz w:val="20"/>
                <w:szCs w:val="20"/>
              </w:rPr>
            </w:pPr>
            <w:r w:rsidRPr="0012237E">
              <w:rPr>
                <w:rFonts w:ascii="Arial" w:hAnsi="Arial" w:cs="Arial"/>
                <w:sz w:val="20"/>
                <w:szCs w:val="20"/>
              </w:rPr>
              <w:t>Rejuvenated RED BLOOD CELLS</w:t>
            </w:r>
          </w:p>
        </w:tc>
        <w:tc>
          <w:tcPr>
            <w:tcW w:w="611" w:type="dxa"/>
            <w:vAlign w:val="center"/>
          </w:tcPr>
          <w:p w14:paraId="2482F3E9"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4ED3EB0A"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32ECBDB8"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3F370294" w14:textId="77777777" w:rsidR="00147059" w:rsidRPr="004F2C12" w:rsidRDefault="00147059" w:rsidP="006F7FC5">
            <w:pPr>
              <w:jc w:val="center"/>
              <w:rPr>
                <w:rFonts w:ascii="Arial" w:hAnsi="Arial" w:cs="Arial"/>
                <w:b/>
                <w:sz w:val="28"/>
                <w:szCs w:val="28"/>
              </w:rPr>
            </w:pPr>
          </w:p>
        </w:tc>
        <w:tc>
          <w:tcPr>
            <w:tcW w:w="800" w:type="dxa"/>
            <w:vAlign w:val="center"/>
          </w:tcPr>
          <w:p w14:paraId="3C6AAD3A"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vAlign w:val="center"/>
          </w:tcPr>
          <w:p w14:paraId="63844C28"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shd w:val="pct25" w:color="auto" w:fill="auto"/>
            <w:vAlign w:val="center"/>
          </w:tcPr>
          <w:p w14:paraId="656A7C50"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412FE47A"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655CE6DF" w14:textId="77777777" w:rsidR="00147059" w:rsidRPr="004F2C12" w:rsidRDefault="00147059" w:rsidP="006F7FC5">
            <w:pPr>
              <w:jc w:val="center"/>
              <w:rPr>
                <w:rFonts w:ascii="Arial" w:hAnsi="Arial" w:cs="Arial"/>
                <w:b/>
                <w:sz w:val="28"/>
                <w:szCs w:val="28"/>
              </w:rPr>
            </w:pPr>
          </w:p>
        </w:tc>
        <w:tc>
          <w:tcPr>
            <w:tcW w:w="810" w:type="dxa"/>
            <w:vAlign w:val="center"/>
          </w:tcPr>
          <w:p w14:paraId="3811EEF3"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810" w:type="dxa"/>
            <w:shd w:val="clear" w:color="auto" w:fill="C0C0C0"/>
            <w:vAlign w:val="center"/>
          </w:tcPr>
          <w:p w14:paraId="2308B65F" w14:textId="77777777" w:rsidR="00147059" w:rsidRPr="004F2C12" w:rsidRDefault="00147059" w:rsidP="006F7FC5">
            <w:pPr>
              <w:jc w:val="center"/>
              <w:rPr>
                <w:rFonts w:ascii="Arial" w:hAnsi="Arial" w:cs="Arial"/>
                <w:b/>
                <w:sz w:val="28"/>
                <w:szCs w:val="28"/>
              </w:rPr>
            </w:pPr>
          </w:p>
        </w:tc>
      </w:tr>
      <w:tr w:rsidR="00147059" w:rsidRPr="004F2C12" w14:paraId="28D49F59" w14:textId="77777777" w:rsidTr="00147059">
        <w:trPr>
          <w:cantSplit/>
          <w:trHeight w:val="432"/>
        </w:trPr>
        <w:tc>
          <w:tcPr>
            <w:tcW w:w="1445" w:type="dxa"/>
            <w:vAlign w:val="bottom"/>
          </w:tcPr>
          <w:p w14:paraId="31B825E6" w14:textId="77777777" w:rsidR="00147059" w:rsidRPr="0012237E" w:rsidRDefault="00147059" w:rsidP="006F7FC5">
            <w:pPr>
              <w:rPr>
                <w:rFonts w:ascii="Arial" w:hAnsi="Arial" w:cs="Arial"/>
                <w:sz w:val="20"/>
                <w:szCs w:val="20"/>
              </w:rPr>
            </w:pPr>
            <w:r w:rsidRPr="0012237E">
              <w:rPr>
                <w:rFonts w:ascii="Arial" w:hAnsi="Arial" w:cs="Arial"/>
                <w:sz w:val="20"/>
                <w:szCs w:val="20"/>
              </w:rPr>
              <w:t>APHERESIS RED BLOOD CELLS</w:t>
            </w:r>
          </w:p>
        </w:tc>
        <w:tc>
          <w:tcPr>
            <w:tcW w:w="611" w:type="dxa"/>
            <w:tcBorders>
              <w:bottom w:val="single" w:sz="4" w:space="0" w:color="auto"/>
            </w:tcBorders>
            <w:vAlign w:val="center"/>
          </w:tcPr>
          <w:p w14:paraId="0092A40D"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14AC42BE" w14:textId="77777777" w:rsidR="00147059" w:rsidRPr="004F2C12" w:rsidRDefault="00147059" w:rsidP="006F7FC5">
            <w:pPr>
              <w:jc w:val="center"/>
              <w:rPr>
                <w:rFonts w:ascii="Arial" w:hAnsi="Arial" w:cs="Arial"/>
                <w:b/>
                <w:sz w:val="28"/>
                <w:szCs w:val="28"/>
              </w:rPr>
            </w:pPr>
          </w:p>
        </w:tc>
        <w:tc>
          <w:tcPr>
            <w:tcW w:w="444" w:type="dxa"/>
            <w:tcBorders>
              <w:bottom w:val="single" w:sz="4" w:space="0" w:color="auto"/>
            </w:tcBorders>
            <w:shd w:val="clear" w:color="auto" w:fill="C0C0C0"/>
            <w:vAlign w:val="center"/>
          </w:tcPr>
          <w:p w14:paraId="2F893975" w14:textId="77777777" w:rsidR="00147059" w:rsidRPr="004F2C12" w:rsidRDefault="00147059"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14:paraId="3E6E18F4" w14:textId="77777777" w:rsidR="00147059" w:rsidRPr="004F2C12" w:rsidRDefault="00147059" w:rsidP="006F7FC5">
            <w:pPr>
              <w:jc w:val="center"/>
              <w:rPr>
                <w:rFonts w:ascii="Arial" w:hAnsi="Arial" w:cs="Arial"/>
                <w:b/>
                <w:sz w:val="28"/>
                <w:szCs w:val="28"/>
              </w:rPr>
            </w:pPr>
          </w:p>
        </w:tc>
        <w:tc>
          <w:tcPr>
            <w:tcW w:w="800" w:type="dxa"/>
            <w:tcBorders>
              <w:bottom w:val="single" w:sz="4" w:space="0" w:color="auto"/>
            </w:tcBorders>
            <w:vAlign w:val="center"/>
          </w:tcPr>
          <w:p w14:paraId="20C029DD"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tcBorders>
              <w:bottom w:val="single" w:sz="4" w:space="0" w:color="auto"/>
            </w:tcBorders>
            <w:vAlign w:val="center"/>
          </w:tcPr>
          <w:p w14:paraId="0712BD95"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tcBorders>
              <w:bottom w:val="single" w:sz="4" w:space="0" w:color="auto"/>
            </w:tcBorders>
            <w:shd w:val="pct25" w:color="auto" w:fill="auto"/>
            <w:vAlign w:val="center"/>
          </w:tcPr>
          <w:p w14:paraId="74FFBCBD" w14:textId="77777777" w:rsidR="00147059" w:rsidRPr="004F2C12" w:rsidRDefault="00147059" w:rsidP="006F7FC5">
            <w:pPr>
              <w:jc w:val="center"/>
              <w:rPr>
                <w:rFonts w:ascii="Arial" w:hAnsi="Arial" w:cs="Arial"/>
                <w:b/>
                <w:sz w:val="28"/>
                <w:szCs w:val="28"/>
              </w:rPr>
            </w:pPr>
          </w:p>
        </w:tc>
        <w:tc>
          <w:tcPr>
            <w:tcW w:w="544" w:type="dxa"/>
            <w:tcBorders>
              <w:bottom w:val="single" w:sz="4" w:space="0" w:color="auto"/>
            </w:tcBorders>
            <w:vAlign w:val="center"/>
          </w:tcPr>
          <w:p w14:paraId="11F8A708"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00" w:type="dxa"/>
            <w:tcBorders>
              <w:bottom w:val="single" w:sz="4" w:space="0" w:color="auto"/>
            </w:tcBorders>
            <w:vAlign w:val="center"/>
          </w:tcPr>
          <w:p w14:paraId="0B2CA7DD" w14:textId="77777777" w:rsidR="00147059" w:rsidRPr="004F2C12" w:rsidRDefault="00147059" w:rsidP="00F42A5B">
            <w:pPr>
              <w:jc w:val="center"/>
              <w:rPr>
                <w:rFonts w:ascii="Arial" w:hAnsi="Arial" w:cs="Arial"/>
                <w:b/>
                <w:sz w:val="28"/>
                <w:szCs w:val="28"/>
              </w:rPr>
            </w:pPr>
            <w:r w:rsidRPr="004F2C12">
              <w:rPr>
                <w:rFonts w:ascii="Arial" w:hAnsi="Arial" w:cs="Arial"/>
                <w:b/>
                <w:sz w:val="28"/>
                <w:szCs w:val="28"/>
              </w:rPr>
              <w:t>X</w:t>
            </w:r>
          </w:p>
        </w:tc>
        <w:tc>
          <w:tcPr>
            <w:tcW w:w="810" w:type="dxa"/>
            <w:tcBorders>
              <w:bottom w:val="single" w:sz="4" w:space="0" w:color="auto"/>
            </w:tcBorders>
            <w:vAlign w:val="center"/>
          </w:tcPr>
          <w:p w14:paraId="4B30877A"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810" w:type="dxa"/>
            <w:tcBorders>
              <w:bottom w:val="single" w:sz="4" w:space="0" w:color="auto"/>
            </w:tcBorders>
            <w:shd w:val="clear" w:color="auto" w:fill="C0C0C0"/>
            <w:vAlign w:val="center"/>
          </w:tcPr>
          <w:p w14:paraId="1FCA2405" w14:textId="77777777" w:rsidR="00147059" w:rsidRPr="004F2C12" w:rsidRDefault="00147059" w:rsidP="006F7FC5">
            <w:pPr>
              <w:jc w:val="center"/>
              <w:rPr>
                <w:rFonts w:ascii="Arial" w:hAnsi="Arial" w:cs="Arial"/>
                <w:b/>
                <w:sz w:val="28"/>
                <w:szCs w:val="28"/>
              </w:rPr>
            </w:pPr>
          </w:p>
        </w:tc>
      </w:tr>
      <w:tr w:rsidR="00147059" w:rsidRPr="004F2C12" w14:paraId="6F610471" w14:textId="77777777" w:rsidTr="00147059">
        <w:trPr>
          <w:cantSplit/>
          <w:trHeight w:val="432"/>
        </w:trPr>
        <w:tc>
          <w:tcPr>
            <w:tcW w:w="1445" w:type="dxa"/>
            <w:vAlign w:val="bottom"/>
          </w:tcPr>
          <w:p w14:paraId="7FF1D067" w14:textId="77777777" w:rsidR="00147059" w:rsidRPr="0012237E" w:rsidRDefault="00147059" w:rsidP="006F7FC5">
            <w:pPr>
              <w:rPr>
                <w:rFonts w:ascii="Arial" w:hAnsi="Arial" w:cs="Arial"/>
                <w:sz w:val="20"/>
                <w:szCs w:val="20"/>
              </w:rPr>
            </w:pPr>
            <w:r w:rsidRPr="0012237E">
              <w:rPr>
                <w:rFonts w:ascii="Arial" w:hAnsi="Arial" w:cs="Arial"/>
                <w:sz w:val="20"/>
                <w:szCs w:val="20"/>
              </w:rPr>
              <w:t>FRESH FROZEN PLASMA</w:t>
            </w:r>
          </w:p>
        </w:tc>
        <w:tc>
          <w:tcPr>
            <w:tcW w:w="611" w:type="dxa"/>
            <w:shd w:val="clear" w:color="auto" w:fill="C0C0C0"/>
            <w:vAlign w:val="center"/>
          </w:tcPr>
          <w:p w14:paraId="7AD4ECA9" w14:textId="77777777" w:rsidR="00147059" w:rsidRPr="004F2C12" w:rsidRDefault="00147059" w:rsidP="006F7FC5">
            <w:pPr>
              <w:jc w:val="center"/>
              <w:rPr>
                <w:rFonts w:ascii="Arial" w:hAnsi="Arial" w:cs="Arial"/>
                <w:b/>
                <w:sz w:val="28"/>
                <w:szCs w:val="28"/>
              </w:rPr>
            </w:pPr>
          </w:p>
        </w:tc>
        <w:tc>
          <w:tcPr>
            <w:tcW w:w="522" w:type="dxa"/>
            <w:tcBorders>
              <w:bottom w:val="single" w:sz="4" w:space="0" w:color="auto"/>
            </w:tcBorders>
            <w:vAlign w:val="center"/>
          </w:tcPr>
          <w:p w14:paraId="5588094D"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444" w:type="dxa"/>
            <w:tcBorders>
              <w:bottom w:val="single" w:sz="4" w:space="0" w:color="auto"/>
            </w:tcBorders>
            <w:shd w:val="clear" w:color="auto" w:fill="C0C0C0"/>
            <w:vAlign w:val="center"/>
          </w:tcPr>
          <w:p w14:paraId="5ED9BD31" w14:textId="77777777" w:rsidR="00147059" w:rsidRPr="004F2C12" w:rsidRDefault="00147059"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14:paraId="623BE20E" w14:textId="77777777" w:rsidR="00147059" w:rsidRPr="004F2C12" w:rsidRDefault="00147059" w:rsidP="006F7FC5">
            <w:pPr>
              <w:jc w:val="center"/>
              <w:rPr>
                <w:rFonts w:ascii="Arial" w:hAnsi="Arial" w:cs="Arial"/>
                <w:b/>
                <w:sz w:val="28"/>
                <w:szCs w:val="28"/>
              </w:rPr>
            </w:pPr>
          </w:p>
        </w:tc>
        <w:tc>
          <w:tcPr>
            <w:tcW w:w="800" w:type="dxa"/>
            <w:shd w:val="clear" w:color="auto" w:fill="C0C0C0"/>
            <w:vAlign w:val="center"/>
          </w:tcPr>
          <w:p w14:paraId="2E5C2A73" w14:textId="77777777" w:rsidR="00147059" w:rsidRPr="004F2C12" w:rsidRDefault="00147059" w:rsidP="006F7FC5">
            <w:pPr>
              <w:jc w:val="center"/>
              <w:rPr>
                <w:rFonts w:ascii="Arial" w:hAnsi="Arial" w:cs="Arial"/>
                <w:b/>
                <w:sz w:val="28"/>
                <w:szCs w:val="28"/>
              </w:rPr>
            </w:pPr>
          </w:p>
        </w:tc>
        <w:tc>
          <w:tcPr>
            <w:tcW w:w="666" w:type="dxa"/>
            <w:shd w:val="clear" w:color="auto" w:fill="C0C0C0"/>
            <w:vAlign w:val="center"/>
          </w:tcPr>
          <w:p w14:paraId="20D53ED1" w14:textId="77777777" w:rsidR="00147059" w:rsidRPr="004F2C12" w:rsidRDefault="00147059" w:rsidP="006F7FC5">
            <w:pPr>
              <w:jc w:val="center"/>
              <w:rPr>
                <w:rFonts w:ascii="Arial" w:hAnsi="Arial" w:cs="Arial"/>
                <w:b/>
                <w:sz w:val="28"/>
                <w:szCs w:val="28"/>
              </w:rPr>
            </w:pPr>
          </w:p>
        </w:tc>
        <w:tc>
          <w:tcPr>
            <w:tcW w:w="733" w:type="dxa"/>
            <w:tcBorders>
              <w:bottom w:val="single" w:sz="4" w:space="0" w:color="auto"/>
            </w:tcBorders>
            <w:shd w:val="clear" w:color="auto" w:fill="C0C0C0"/>
            <w:vAlign w:val="center"/>
          </w:tcPr>
          <w:p w14:paraId="2FD7A4E1" w14:textId="77777777" w:rsidR="00147059" w:rsidRPr="004F2C12" w:rsidRDefault="00147059" w:rsidP="006F7FC5">
            <w:pPr>
              <w:jc w:val="center"/>
              <w:rPr>
                <w:rFonts w:ascii="Arial" w:hAnsi="Arial" w:cs="Arial"/>
                <w:b/>
                <w:sz w:val="28"/>
                <w:szCs w:val="28"/>
              </w:rPr>
            </w:pPr>
          </w:p>
        </w:tc>
        <w:tc>
          <w:tcPr>
            <w:tcW w:w="544" w:type="dxa"/>
            <w:tcBorders>
              <w:bottom w:val="single" w:sz="4" w:space="0" w:color="auto"/>
            </w:tcBorders>
            <w:shd w:val="clear" w:color="auto" w:fill="C0C0C0"/>
            <w:vAlign w:val="center"/>
          </w:tcPr>
          <w:p w14:paraId="7EDD141E" w14:textId="77777777" w:rsidR="00147059" w:rsidRPr="004F2C12" w:rsidRDefault="00147059" w:rsidP="006F7FC5">
            <w:pPr>
              <w:jc w:val="center"/>
              <w:rPr>
                <w:rFonts w:ascii="Arial" w:hAnsi="Arial" w:cs="Arial"/>
                <w:b/>
                <w:sz w:val="28"/>
                <w:szCs w:val="28"/>
              </w:rPr>
            </w:pPr>
          </w:p>
        </w:tc>
        <w:tc>
          <w:tcPr>
            <w:tcW w:w="700" w:type="dxa"/>
            <w:tcBorders>
              <w:bottom w:val="single" w:sz="4" w:space="0" w:color="auto"/>
            </w:tcBorders>
            <w:shd w:val="clear" w:color="auto" w:fill="C0C0C0"/>
            <w:vAlign w:val="center"/>
          </w:tcPr>
          <w:p w14:paraId="0259AE93" w14:textId="77777777" w:rsidR="00147059" w:rsidRPr="004F2C12" w:rsidRDefault="00147059"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14:paraId="458AF1A1" w14:textId="77777777" w:rsidR="00147059" w:rsidRPr="004F2C12" w:rsidRDefault="00147059"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14:paraId="7E64781E" w14:textId="77777777" w:rsidR="00147059" w:rsidRPr="004F2C12" w:rsidRDefault="00147059" w:rsidP="006F7FC5">
            <w:pPr>
              <w:jc w:val="center"/>
              <w:rPr>
                <w:rFonts w:ascii="Arial" w:hAnsi="Arial" w:cs="Arial"/>
                <w:b/>
                <w:sz w:val="28"/>
                <w:szCs w:val="28"/>
              </w:rPr>
            </w:pPr>
          </w:p>
        </w:tc>
      </w:tr>
      <w:tr w:rsidR="00147059" w:rsidRPr="004F2C12" w14:paraId="7B32E5C6" w14:textId="77777777" w:rsidTr="00147059">
        <w:trPr>
          <w:cantSplit/>
          <w:trHeight w:val="432"/>
        </w:trPr>
        <w:tc>
          <w:tcPr>
            <w:tcW w:w="1445" w:type="dxa"/>
            <w:vAlign w:val="bottom"/>
          </w:tcPr>
          <w:p w14:paraId="77F45277" w14:textId="77777777" w:rsidR="00147059" w:rsidRPr="0012237E" w:rsidRDefault="00147059" w:rsidP="006F7FC5">
            <w:pPr>
              <w:rPr>
                <w:rFonts w:ascii="Arial" w:hAnsi="Arial" w:cs="Arial"/>
                <w:sz w:val="20"/>
                <w:szCs w:val="20"/>
                <w:lang w:val="de-DE"/>
              </w:rPr>
            </w:pPr>
            <w:r w:rsidRPr="0012237E">
              <w:rPr>
                <w:rFonts w:ascii="Arial" w:hAnsi="Arial" w:cs="Arial"/>
                <w:sz w:val="20"/>
                <w:szCs w:val="20"/>
                <w:lang w:val="de-DE"/>
              </w:rPr>
              <w:t>Thawed FRESH FROZEN PLASMA</w:t>
            </w:r>
          </w:p>
        </w:tc>
        <w:tc>
          <w:tcPr>
            <w:tcW w:w="611" w:type="dxa"/>
            <w:tcBorders>
              <w:bottom w:val="single" w:sz="4" w:space="0" w:color="auto"/>
            </w:tcBorders>
            <w:vAlign w:val="center"/>
          </w:tcPr>
          <w:p w14:paraId="730CA354"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46E2B059" w14:textId="77777777" w:rsidR="00147059" w:rsidRPr="004F2C12" w:rsidRDefault="00147059" w:rsidP="006F7FC5">
            <w:pPr>
              <w:jc w:val="center"/>
              <w:rPr>
                <w:rFonts w:ascii="Arial" w:hAnsi="Arial" w:cs="Arial"/>
                <w:b/>
                <w:sz w:val="28"/>
                <w:szCs w:val="28"/>
              </w:rPr>
            </w:pPr>
          </w:p>
        </w:tc>
        <w:tc>
          <w:tcPr>
            <w:tcW w:w="444" w:type="dxa"/>
            <w:tcBorders>
              <w:bottom w:val="single" w:sz="4" w:space="0" w:color="auto"/>
            </w:tcBorders>
            <w:shd w:val="clear" w:color="auto" w:fill="C0C0C0"/>
            <w:vAlign w:val="center"/>
          </w:tcPr>
          <w:p w14:paraId="0194104A" w14:textId="77777777" w:rsidR="00147059" w:rsidRPr="004F2C12" w:rsidRDefault="00147059"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14:paraId="2841A513" w14:textId="77777777" w:rsidR="00147059" w:rsidRPr="004F2C12" w:rsidRDefault="00147059" w:rsidP="006F7FC5">
            <w:pPr>
              <w:jc w:val="center"/>
              <w:rPr>
                <w:rFonts w:ascii="Arial" w:hAnsi="Arial" w:cs="Arial"/>
                <w:b/>
                <w:sz w:val="28"/>
                <w:szCs w:val="28"/>
              </w:rPr>
            </w:pPr>
          </w:p>
        </w:tc>
        <w:tc>
          <w:tcPr>
            <w:tcW w:w="800" w:type="dxa"/>
            <w:tcBorders>
              <w:bottom w:val="single" w:sz="4" w:space="0" w:color="auto"/>
            </w:tcBorders>
            <w:vAlign w:val="center"/>
          </w:tcPr>
          <w:p w14:paraId="79669A99"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tcBorders>
              <w:bottom w:val="single" w:sz="4" w:space="0" w:color="auto"/>
            </w:tcBorders>
            <w:vAlign w:val="center"/>
          </w:tcPr>
          <w:p w14:paraId="7045DCF9"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shd w:val="clear" w:color="auto" w:fill="C0C0C0"/>
            <w:vAlign w:val="center"/>
          </w:tcPr>
          <w:p w14:paraId="433B2894"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4F9093CD"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7882F7BC"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5366E673"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2DA3AD0F" w14:textId="77777777" w:rsidR="00147059" w:rsidRPr="004F2C12" w:rsidRDefault="00147059" w:rsidP="006F7FC5">
            <w:pPr>
              <w:jc w:val="center"/>
              <w:rPr>
                <w:rFonts w:ascii="Arial" w:hAnsi="Arial" w:cs="Arial"/>
                <w:b/>
                <w:sz w:val="28"/>
                <w:szCs w:val="28"/>
              </w:rPr>
            </w:pPr>
          </w:p>
        </w:tc>
      </w:tr>
      <w:tr w:rsidR="00147059" w:rsidRPr="004F2C12" w14:paraId="76F5053E" w14:textId="77777777" w:rsidTr="00147059">
        <w:trPr>
          <w:cantSplit/>
          <w:trHeight w:val="432"/>
        </w:trPr>
        <w:tc>
          <w:tcPr>
            <w:tcW w:w="1445" w:type="dxa"/>
            <w:vAlign w:val="bottom"/>
          </w:tcPr>
          <w:p w14:paraId="6AA5C826" w14:textId="77777777" w:rsidR="00147059" w:rsidRPr="0012237E" w:rsidRDefault="00147059" w:rsidP="006F7FC5">
            <w:pPr>
              <w:rPr>
                <w:rFonts w:ascii="Arial" w:hAnsi="Arial" w:cs="Arial"/>
                <w:sz w:val="20"/>
                <w:szCs w:val="20"/>
                <w:lang w:val="de-DE"/>
              </w:rPr>
            </w:pPr>
            <w:r w:rsidRPr="0012237E">
              <w:rPr>
                <w:rFonts w:ascii="Arial" w:hAnsi="Arial" w:cs="Arial"/>
                <w:sz w:val="20"/>
                <w:szCs w:val="20"/>
                <w:lang w:val="de-DE"/>
              </w:rPr>
              <w:lastRenderedPageBreak/>
              <w:t>APHERESIS FRESH FROZEN PLASMA</w:t>
            </w:r>
          </w:p>
        </w:tc>
        <w:tc>
          <w:tcPr>
            <w:tcW w:w="611" w:type="dxa"/>
            <w:shd w:val="clear" w:color="auto" w:fill="C0C0C0"/>
            <w:vAlign w:val="center"/>
          </w:tcPr>
          <w:p w14:paraId="74FC574F" w14:textId="77777777" w:rsidR="00147059" w:rsidRPr="004F2C12" w:rsidRDefault="00147059" w:rsidP="006F7FC5">
            <w:pPr>
              <w:jc w:val="center"/>
              <w:rPr>
                <w:rFonts w:ascii="Arial" w:hAnsi="Arial" w:cs="Arial"/>
                <w:b/>
                <w:sz w:val="28"/>
                <w:szCs w:val="28"/>
                <w:lang w:val="de-DE"/>
              </w:rPr>
            </w:pPr>
          </w:p>
        </w:tc>
        <w:tc>
          <w:tcPr>
            <w:tcW w:w="522" w:type="dxa"/>
            <w:tcBorders>
              <w:bottom w:val="single" w:sz="4" w:space="0" w:color="auto"/>
            </w:tcBorders>
            <w:vAlign w:val="center"/>
          </w:tcPr>
          <w:p w14:paraId="0FAE550F"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444" w:type="dxa"/>
            <w:tcBorders>
              <w:bottom w:val="single" w:sz="4" w:space="0" w:color="auto"/>
            </w:tcBorders>
            <w:shd w:val="clear" w:color="auto" w:fill="C0C0C0"/>
            <w:vAlign w:val="center"/>
          </w:tcPr>
          <w:p w14:paraId="2E01CE88" w14:textId="77777777" w:rsidR="00147059" w:rsidRPr="004F2C12" w:rsidRDefault="00147059" w:rsidP="006F7FC5">
            <w:pPr>
              <w:jc w:val="center"/>
              <w:rPr>
                <w:rFonts w:ascii="Arial" w:hAnsi="Arial" w:cs="Arial"/>
                <w:b/>
                <w:sz w:val="28"/>
                <w:szCs w:val="28"/>
              </w:rPr>
            </w:pPr>
          </w:p>
        </w:tc>
        <w:tc>
          <w:tcPr>
            <w:tcW w:w="577" w:type="dxa"/>
            <w:tcBorders>
              <w:bottom w:val="single" w:sz="4" w:space="0" w:color="auto"/>
            </w:tcBorders>
            <w:shd w:val="clear" w:color="auto" w:fill="auto"/>
            <w:vAlign w:val="center"/>
          </w:tcPr>
          <w:p w14:paraId="165D0615"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800" w:type="dxa"/>
            <w:shd w:val="clear" w:color="auto" w:fill="C0C0C0"/>
            <w:vAlign w:val="center"/>
          </w:tcPr>
          <w:p w14:paraId="09BF22D5" w14:textId="77777777" w:rsidR="00147059" w:rsidRPr="004F2C12" w:rsidRDefault="00147059" w:rsidP="006F7FC5">
            <w:pPr>
              <w:jc w:val="center"/>
              <w:rPr>
                <w:rFonts w:ascii="Arial" w:hAnsi="Arial" w:cs="Arial"/>
                <w:b/>
                <w:sz w:val="28"/>
                <w:szCs w:val="28"/>
              </w:rPr>
            </w:pPr>
          </w:p>
        </w:tc>
        <w:tc>
          <w:tcPr>
            <w:tcW w:w="666" w:type="dxa"/>
            <w:shd w:val="clear" w:color="auto" w:fill="C0C0C0"/>
            <w:vAlign w:val="center"/>
          </w:tcPr>
          <w:p w14:paraId="04A7F8A2" w14:textId="77777777" w:rsidR="00147059" w:rsidRPr="004F2C12" w:rsidRDefault="00147059" w:rsidP="006F7FC5">
            <w:pPr>
              <w:jc w:val="center"/>
              <w:rPr>
                <w:rFonts w:ascii="Arial" w:hAnsi="Arial" w:cs="Arial"/>
                <w:b/>
                <w:sz w:val="28"/>
                <w:szCs w:val="28"/>
              </w:rPr>
            </w:pPr>
          </w:p>
        </w:tc>
        <w:tc>
          <w:tcPr>
            <w:tcW w:w="733" w:type="dxa"/>
            <w:shd w:val="clear" w:color="auto" w:fill="C0C0C0"/>
            <w:vAlign w:val="center"/>
          </w:tcPr>
          <w:p w14:paraId="3AFA1B9E"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28026227"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7E7C3F44"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7F941061"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6E456307" w14:textId="77777777" w:rsidR="00147059" w:rsidRPr="004F2C12" w:rsidRDefault="00147059" w:rsidP="006F7FC5">
            <w:pPr>
              <w:jc w:val="center"/>
              <w:rPr>
                <w:rFonts w:ascii="Arial" w:hAnsi="Arial" w:cs="Arial"/>
                <w:b/>
                <w:sz w:val="28"/>
                <w:szCs w:val="28"/>
              </w:rPr>
            </w:pPr>
          </w:p>
        </w:tc>
      </w:tr>
      <w:tr w:rsidR="00147059" w:rsidRPr="004F2C12" w14:paraId="2ADB9EBC" w14:textId="77777777" w:rsidTr="00147059">
        <w:trPr>
          <w:cantSplit/>
          <w:trHeight w:val="432"/>
        </w:trPr>
        <w:tc>
          <w:tcPr>
            <w:tcW w:w="1445" w:type="dxa"/>
            <w:vAlign w:val="bottom"/>
          </w:tcPr>
          <w:p w14:paraId="30D7058C" w14:textId="77777777" w:rsidR="00147059" w:rsidRPr="0012237E" w:rsidRDefault="00147059" w:rsidP="006F7FC5">
            <w:pPr>
              <w:rPr>
                <w:rFonts w:ascii="Arial" w:hAnsi="Arial" w:cs="Arial"/>
              </w:rPr>
            </w:pPr>
            <w:r w:rsidRPr="006F7FC5">
              <w:rPr>
                <w:rFonts w:ascii="Arial" w:hAnsi="Arial" w:cs="Arial"/>
                <w:sz w:val="20"/>
                <w:szCs w:val="20"/>
              </w:rPr>
              <w:t>Thawed APHERESIS FRESH FROZEN PLASMA</w:t>
            </w:r>
          </w:p>
        </w:tc>
        <w:tc>
          <w:tcPr>
            <w:tcW w:w="611" w:type="dxa"/>
            <w:tcBorders>
              <w:bottom w:val="single" w:sz="4" w:space="0" w:color="auto"/>
            </w:tcBorders>
            <w:vAlign w:val="center"/>
          </w:tcPr>
          <w:p w14:paraId="43FCA699"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4E901426" w14:textId="77777777" w:rsidR="00147059" w:rsidRPr="004F2C12" w:rsidRDefault="00147059" w:rsidP="006F7FC5">
            <w:pPr>
              <w:jc w:val="center"/>
              <w:rPr>
                <w:rFonts w:ascii="Arial" w:hAnsi="Arial" w:cs="Arial"/>
                <w:b/>
                <w:sz w:val="28"/>
                <w:szCs w:val="28"/>
              </w:rPr>
            </w:pPr>
          </w:p>
        </w:tc>
        <w:tc>
          <w:tcPr>
            <w:tcW w:w="444" w:type="dxa"/>
            <w:tcBorders>
              <w:bottom w:val="single" w:sz="4" w:space="0" w:color="auto"/>
            </w:tcBorders>
            <w:shd w:val="clear" w:color="auto" w:fill="auto"/>
            <w:vAlign w:val="center"/>
          </w:tcPr>
          <w:p w14:paraId="0861C41C"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77" w:type="dxa"/>
            <w:tcBorders>
              <w:bottom w:val="single" w:sz="4" w:space="0" w:color="auto"/>
            </w:tcBorders>
            <w:shd w:val="clear" w:color="auto" w:fill="C0C0C0"/>
            <w:vAlign w:val="center"/>
          </w:tcPr>
          <w:p w14:paraId="29AD1288" w14:textId="77777777" w:rsidR="00147059" w:rsidRPr="004F2C12" w:rsidRDefault="00147059" w:rsidP="006F7FC5">
            <w:pPr>
              <w:jc w:val="center"/>
              <w:rPr>
                <w:rFonts w:ascii="Arial" w:hAnsi="Arial" w:cs="Arial"/>
                <w:b/>
                <w:sz w:val="28"/>
                <w:szCs w:val="28"/>
              </w:rPr>
            </w:pPr>
          </w:p>
        </w:tc>
        <w:tc>
          <w:tcPr>
            <w:tcW w:w="800" w:type="dxa"/>
            <w:tcBorders>
              <w:bottom w:val="single" w:sz="4" w:space="0" w:color="auto"/>
            </w:tcBorders>
            <w:vAlign w:val="center"/>
          </w:tcPr>
          <w:p w14:paraId="6FACB343"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tcBorders>
              <w:bottom w:val="single" w:sz="4" w:space="0" w:color="auto"/>
            </w:tcBorders>
            <w:vAlign w:val="center"/>
          </w:tcPr>
          <w:p w14:paraId="4F65F299"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shd w:val="clear" w:color="auto" w:fill="C0C0C0"/>
            <w:vAlign w:val="center"/>
          </w:tcPr>
          <w:p w14:paraId="1518A8BB"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6E0DDCE8"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24E09B5B"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57B4BB43"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4B80E4F0" w14:textId="77777777" w:rsidR="00147059" w:rsidRPr="004F2C12" w:rsidRDefault="00147059" w:rsidP="006F7FC5">
            <w:pPr>
              <w:jc w:val="center"/>
              <w:rPr>
                <w:rFonts w:ascii="Arial" w:hAnsi="Arial" w:cs="Arial"/>
                <w:b/>
                <w:sz w:val="28"/>
                <w:szCs w:val="28"/>
              </w:rPr>
            </w:pPr>
          </w:p>
        </w:tc>
      </w:tr>
      <w:tr w:rsidR="00147059" w:rsidRPr="004F2C12" w14:paraId="2C914790" w14:textId="77777777" w:rsidTr="00147059">
        <w:trPr>
          <w:cantSplit/>
          <w:trHeight w:val="432"/>
        </w:trPr>
        <w:tc>
          <w:tcPr>
            <w:tcW w:w="1445" w:type="dxa"/>
            <w:vAlign w:val="bottom"/>
          </w:tcPr>
          <w:p w14:paraId="46655A14" w14:textId="77777777" w:rsidR="00147059" w:rsidRPr="0012237E" w:rsidRDefault="00147059" w:rsidP="006F7FC5">
            <w:pPr>
              <w:rPr>
                <w:rFonts w:ascii="Arial" w:hAnsi="Arial" w:cs="Arial"/>
                <w:sz w:val="20"/>
                <w:szCs w:val="20"/>
              </w:rPr>
            </w:pPr>
            <w:r w:rsidRPr="0012237E">
              <w:rPr>
                <w:rFonts w:ascii="Arial" w:hAnsi="Arial" w:cs="Arial"/>
                <w:sz w:val="20"/>
                <w:szCs w:val="20"/>
              </w:rPr>
              <w:t>APHERESIS PLASMA</w:t>
            </w:r>
          </w:p>
        </w:tc>
        <w:tc>
          <w:tcPr>
            <w:tcW w:w="611" w:type="dxa"/>
            <w:shd w:val="clear" w:color="auto" w:fill="C0C0C0"/>
            <w:vAlign w:val="center"/>
          </w:tcPr>
          <w:p w14:paraId="393D8B8E" w14:textId="77777777" w:rsidR="00147059" w:rsidRPr="004F2C12" w:rsidRDefault="00147059" w:rsidP="006F7FC5">
            <w:pPr>
              <w:jc w:val="center"/>
              <w:rPr>
                <w:rFonts w:ascii="Arial" w:hAnsi="Arial" w:cs="Arial"/>
                <w:b/>
                <w:sz w:val="28"/>
                <w:szCs w:val="28"/>
              </w:rPr>
            </w:pPr>
          </w:p>
        </w:tc>
        <w:tc>
          <w:tcPr>
            <w:tcW w:w="522" w:type="dxa"/>
            <w:tcBorders>
              <w:bottom w:val="single" w:sz="4" w:space="0" w:color="auto"/>
            </w:tcBorders>
            <w:vAlign w:val="center"/>
          </w:tcPr>
          <w:p w14:paraId="091F9BB5"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444" w:type="dxa"/>
            <w:tcBorders>
              <w:bottom w:val="single" w:sz="4" w:space="0" w:color="auto"/>
            </w:tcBorders>
            <w:shd w:val="clear" w:color="auto" w:fill="C0C0C0"/>
            <w:vAlign w:val="center"/>
          </w:tcPr>
          <w:p w14:paraId="1CA52F6B" w14:textId="77777777" w:rsidR="00147059" w:rsidRPr="004F2C12" w:rsidRDefault="00147059" w:rsidP="006F7FC5">
            <w:pPr>
              <w:jc w:val="center"/>
              <w:rPr>
                <w:rFonts w:ascii="Arial" w:hAnsi="Arial" w:cs="Arial"/>
                <w:b/>
                <w:sz w:val="28"/>
                <w:szCs w:val="28"/>
              </w:rPr>
            </w:pPr>
          </w:p>
        </w:tc>
        <w:tc>
          <w:tcPr>
            <w:tcW w:w="577" w:type="dxa"/>
            <w:tcBorders>
              <w:bottom w:val="single" w:sz="4" w:space="0" w:color="auto"/>
            </w:tcBorders>
            <w:shd w:val="clear" w:color="auto" w:fill="auto"/>
            <w:vAlign w:val="center"/>
          </w:tcPr>
          <w:p w14:paraId="0818EC59"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800" w:type="dxa"/>
            <w:shd w:val="clear" w:color="auto" w:fill="C0C0C0"/>
            <w:vAlign w:val="center"/>
          </w:tcPr>
          <w:p w14:paraId="3F2FC8F5" w14:textId="77777777" w:rsidR="00147059" w:rsidRPr="004F2C12" w:rsidRDefault="00147059" w:rsidP="006F7FC5">
            <w:pPr>
              <w:jc w:val="center"/>
              <w:rPr>
                <w:rFonts w:ascii="Arial" w:hAnsi="Arial" w:cs="Arial"/>
                <w:b/>
                <w:sz w:val="28"/>
                <w:szCs w:val="28"/>
              </w:rPr>
            </w:pPr>
          </w:p>
        </w:tc>
        <w:tc>
          <w:tcPr>
            <w:tcW w:w="666" w:type="dxa"/>
            <w:shd w:val="clear" w:color="auto" w:fill="C0C0C0"/>
            <w:vAlign w:val="center"/>
          </w:tcPr>
          <w:p w14:paraId="273D2271" w14:textId="77777777" w:rsidR="00147059" w:rsidRPr="004F2C12" w:rsidRDefault="00147059" w:rsidP="006F7FC5">
            <w:pPr>
              <w:jc w:val="center"/>
              <w:rPr>
                <w:rFonts w:ascii="Arial" w:hAnsi="Arial" w:cs="Arial"/>
                <w:b/>
                <w:sz w:val="28"/>
                <w:szCs w:val="28"/>
              </w:rPr>
            </w:pPr>
          </w:p>
        </w:tc>
        <w:tc>
          <w:tcPr>
            <w:tcW w:w="733" w:type="dxa"/>
            <w:shd w:val="clear" w:color="auto" w:fill="C0C0C0"/>
            <w:vAlign w:val="center"/>
          </w:tcPr>
          <w:p w14:paraId="6F5F0ECE"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2CC7F929"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0EAE6B58"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5458D374"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6EB4E3BA" w14:textId="77777777" w:rsidR="00147059" w:rsidRPr="004F2C12" w:rsidRDefault="00147059" w:rsidP="006F7FC5">
            <w:pPr>
              <w:jc w:val="center"/>
              <w:rPr>
                <w:rFonts w:ascii="Arial" w:hAnsi="Arial" w:cs="Arial"/>
                <w:b/>
                <w:sz w:val="28"/>
                <w:szCs w:val="28"/>
              </w:rPr>
            </w:pPr>
          </w:p>
        </w:tc>
      </w:tr>
      <w:tr w:rsidR="00147059" w:rsidRPr="004F2C12" w14:paraId="708695C7" w14:textId="77777777" w:rsidTr="00147059">
        <w:trPr>
          <w:cantSplit/>
          <w:trHeight w:val="432"/>
        </w:trPr>
        <w:tc>
          <w:tcPr>
            <w:tcW w:w="1445" w:type="dxa"/>
            <w:vAlign w:val="bottom"/>
          </w:tcPr>
          <w:p w14:paraId="5C7335DA" w14:textId="77777777" w:rsidR="00147059" w:rsidRPr="0012237E" w:rsidRDefault="00147059" w:rsidP="006F7FC5">
            <w:pPr>
              <w:rPr>
                <w:rFonts w:ascii="Arial" w:hAnsi="Arial" w:cs="Arial"/>
                <w:sz w:val="20"/>
                <w:szCs w:val="20"/>
              </w:rPr>
            </w:pPr>
            <w:r w:rsidRPr="0012237E">
              <w:rPr>
                <w:rFonts w:ascii="Arial" w:hAnsi="Arial" w:cs="Arial"/>
                <w:sz w:val="20"/>
                <w:szCs w:val="20"/>
              </w:rPr>
              <w:t>Thawed APHERESIS PLASMA</w:t>
            </w:r>
          </w:p>
        </w:tc>
        <w:tc>
          <w:tcPr>
            <w:tcW w:w="611" w:type="dxa"/>
            <w:vAlign w:val="center"/>
          </w:tcPr>
          <w:p w14:paraId="4AE5E488"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707D044E" w14:textId="77777777" w:rsidR="00147059" w:rsidRPr="004F2C12" w:rsidRDefault="00147059" w:rsidP="006F7FC5">
            <w:pPr>
              <w:jc w:val="center"/>
              <w:rPr>
                <w:rFonts w:ascii="Arial" w:hAnsi="Arial" w:cs="Arial"/>
                <w:b/>
                <w:sz w:val="28"/>
                <w:szCs w:val="28"/>
              </w:rPr>
            </w:pPr>
          </w:p>
        </w:tc>
        <w:tc>
          <w:tcPr>
            <w:tcW w:w="444" w:type="dxa"/>
            <w:shd w:val="clear" w:color="auto" w:fill="auto"/>
            <w:vAlign w:val="center"/>
          </w:tcPr>
          <w:p w14:paraId="071B0872"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77" w:type="dxa"/>
            <w:shd w:val="clear" w:color="auto" w:fill="C0C0C0"/>
            <w:vAlign w:val="center"/>
          </w:tcPr>
          <w:p w14:paraId="331FA44E" w14:textId="77777777" w:rsidR="00147059" w:rsidRPr="004F2C12" w:rsidRDefault="00147059" w:rsidP="006F7FC5">
            <w:pPr>
              <w:jc w:val="center"/>
              <w:rPr>
                <w:rFonts w:ascii="Arial" w:hAnsi="Arial" w:cs="Arial"/>
                <w:b/>
                <w:sz w:val="28"/>
                <w:szCs w:val="28"/>
              </w:rPr>
            </w:pPr>
          </w:p>
        </w:tc>
        <w:tc>
          <w:tcPr>
            <w:tcW w:w="800" w:type="dxa"/>
            <w:vAlign w:val="center"/>
          </w:tcPr>
          <w:p w14:paraId="5FEF023A"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vAlign w:val="center"/>
          </w:tcPr>
          <w:p w14:paraId="6F354641"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shd w:val="clear" w:color="auto" w:fill="C0C0C0"/>
            <w:vAlign w:val="center"/>
          </w:tcPr>
          <w:p w14:paraId="69D52DFC"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32521ED9"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13763FCE"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3A7A7490"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06D69108" w14:textId="77777777" w:rsidR="00147059" w:rsidRPr="004F2C12" w:rsidRDefault="00147059" w:rsidP="006F7FC5">
            <w:pPr>
              <w:jc w:val="center"/>
              <w:rPr>
                <w:rFonts w:ascii="Arial" w:hAnsi="Arial" w:cs="Arial"/>
                <w:b/>
                <w:sz w:val="28"/>
                <w:szCs w:val="28"/>
              </w:rPr>
            </w:pPr>
          </w:p>
        </w:tc>
      </w:tr>
      <w:tr w:rsidR="00147059" w:rsidRPr="004F2C12" w14:paraId="1F564949" w14:textId="77777777" w:rsidTr="00147059">
        <w:trPr>
          <w:cantSplit/>
          <w:trHeight w:val="432"/>
        </w:trPr>
        <w:tc>
          <w:tcPr>
            <w:tcW w:w="1445" w:type="dxa"/>
            <w:vAlign w:val="bottom"/>
          </w:tcPr>
          <w:p w14:paraId="762CE422" w14:textId="77777777" w:rsidR="00147059" w:rsidRPr="0012237E" w:rsidRDefault="00147059" w:rsidP="006F7FC5">
            <w:pPr>
              <w:rPr>
                <w:rFonts w:ascii="Arial" w:hAnsi="Arial" w:cs="Arial"/>
                <w:sz w:val="20"/>
                <w:szCs w:val="20"/>
              </w:rPr>
            </w:pPr>
            <w:r w:rsidRPr="0012237E">
              <w:rPr>
                <w:rFonts w:ascii="Arial" w:hAnsi="Arial" w:cs="Arial"/>
                <w:sz w:val="20"/>
                <w:szCs w:val="20"/>
              </w:rPr>
              <w:t>Liquid PLASMA</w:t>
            </w:r>
          </w:p>
        </w:tc>
        <w:tc>
          <w:tcPr>
            <w:tcW w:w="611" w:type="dxa"/>
            <w:tcBorders>
              <w:bottom w:val="single" w:sz="4" w:space="0" w:color="auto"/>
            </w:tcBorders>
            <w:vAlign w:val="center"/>
          </w:tcPr>
          <w:p w14:paraId="3338DB79"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274872D2" w14:textId="77777777" w:rsidR="00147059" w:rsidRPr="004F2C12" w:rsidRDefault="00147059" w:rsidP="006F7FC5">
            <w:pPr>
              <w:jc w:val="center"/>
              <w:rPr>
                <w:rFonts w:ascii="Arial" w:hAnsi="Arial" w:cs="Arial"/>
                <w:b/>
                <w:sz w:val="28"/>
                <w:szCs w:val="28"/>
              </w:rPr>
            </w:pPr>
          </w:p>
        </w:tc>
        <w:tc>
          <w:tcPr>
            <w:tcW w:w="444" w:type="dxa"/>
            <w:tcBorders>
              <w:bottom w:val="single" w:sz="4" w:space="0" w:color="auto"/>
            </w:tcBorders>
            <w:shd w:val="clear" w:color="auto" w:fill="C0C0C0"/>
            <w:vAlign w:val="center"/>
          </w:tcPr>
          <w:p w14:paraId="2169AF2B" w14:textId="77777777" w:rsidR="00147059" w:rsidRPr="004F2C12" w:rsidRDefault="00147059"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14:paraId="6E71C608" w14:textId="77777777" w:rsidR="00147059" w:rsidRPr="004F2C12" w:rsidRDefault="00147059" w:rsidP="006F7FC5">
            <w:pPr>
              <w:jc w:val="center"/>
              <w:rPr>
                <w:rFonts w:ascii="Arial" w:hAnsi="Arial" w:cs="Arial"/>
                <w:b/>
                <w:sz w:val="28"/>
                <w:szCs w:val="28"/>
              </w:rPr>
            </w:pPr>
          </w:p>
        </w:tc>
        <w:tc>
          <w:tcPr>
            <w:tcW w:w="800" w:type="dxa"/>
            <w:tcBorders>
              <w:bottom w:val="single" w:sz="4" w:space="0" w:color="auto"/>
            </w:tcBorders>
            <w:vAlign w:val="center"/>
          </w:tcPr>
          <w:p w14:paraId="1DC710B4"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tcBorders>
              <w:bottom w:val="single" w:sz="4" w:space="0" w:color="auto"/>
            </w:tcBorders>
            <w:vAlign w:val="center"/>
          </w:tcPr>
          <w:p w14:paraId="78D87D2A"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tcBorders>
              <w:bottom w:val="single" w:sz="4" w:space="0" w:color="auto"/>
            </w:tcBorders>
            <w:shd w:val="clear" w:color="auto" w:fill="C0C0C0"/>
            <w:vAlign w:val="center"/>
          </w:tcPr>
          <w:p w14:paraId="2446A1CE"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44BA24E4"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34261C7D"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351FC333"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1E904290" w14:textId="77777777" w:rsidR="00147059" w:rsidRPr="004F2C12" w:rsidRDefault="00147059" w:rsidP="006F7FC5">
            <w:pPr>
              <w:jc w:val="center"/>
              <w:rPr>
                <w:rFonts w:ascii="Arial" w:hAnsi="Arial" w:cs="Arial"/>
                <w:b/>
                <w:sz w:val="28"/>
                <w:szCs w:val="28"/>
              </w:rPr>
            </w:pPr>
          </w:p>
        </w:tc>
      </w:tr>
      <w:tr w:rsidR="00147059" w:rsidRPr="004F2C12" w14:paraId="1509A3D2" w14:textId="77777777" w:rsidTr="00147059">
        <w:trPr>
          <w:cantSplit/>
          <w:trHeight w:val="432"/>
        </w:trPr>
        <w:tc>
          <w:tcPr>
            <w:tcW w:w="1445" w:type="dxa"/>
            <w:vAlign w:val="bottom"/>
          </w:tcPr>
          <w:p w14:paraId="4C46271F" w14:textId="77777777" w:rsidR="00147059" w:rsidRPr="0012237E" w:rsidRDefault="00147059" w:rsidP="006F7FC5">
            <w:pPr>
              <w:rPr>
                <w:rFonts w:ascii="Arial" w:hAnsi="Arial" w:cs="Arial"/>
                <w:sz w:val="20"/>
                <w:szCs w:val="20"/>
              </w:rPr>
            </w:pPr>
            <w:r w:rsidRPr="0012237E">
              <w:rPr>
                <w:rFonts w:ascii="Arial" w:hAnsi="Arial" w:cs="Arial"/>
                <w:sz w:val="20"/>
                <w:szCs w:val="20"/>
              </w:rPr>
              <w:t>PLASMA</w:t>
            </w:r>
          </w:p>
        </w:tc>
        <w:tc>
          <w:tcPr>
            <w:tcW w:w="611" w:type="dxa"/>
            <w:shd w:val="clear" w:color="auto" w:fill="C0C0C0"/>
            <w:vAlign w:val="center"/>
          </w:tcPr>
          <w:p w14:paraId="3A57B38B" w14:textId="77777777" w:rsidR="00147059" w:rsidRPr="004F2C12" w:rsidRDefault="00147059" w:rsidP="006F7FC5">
            <w:pPr>
              <w:jc w:val="center"/>
              <w:rPr>
                <w:rFonts w:ascii="Arial" w:hAnsi="Arial" w:cs="Arial"/>
                <w:b/>
                <w:sz w:val="28"/>
                <w:szCs w:val="28"/>
              </w:rPr>
            </w:pPr>
          </w:p>
        </w:tc>
        <w:tc>
          <w:tcPr>
            <w:tcW w:w="522" w:type="dxa"/>
            <w:tcBorders>
              <w:bottom w:val="single" w:sz="4" w:space="0" w:color="auto"/>
            </w:tcBorders>
            <w:vAlign w:val="center"/>
          </w:tcPr>
          <w:p w14:paraId="518FA8D2"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444" w:type="dxa"/>
            <w:tcBorders>
              <w:bottom w:val="single" w:sz="4" w:space="0" w:color="auto"/>
            </w:tcBorders>
            <w:shd w:val="clear" w:color="auto" w:fill="C0C0C0"/>
            <w:vAlign w:val="center"/>
          </w:tcPr>
          <w:p w14:paraId="0F4C6B84" w14:textId="77777777" w:rsidR="00147059" w:rsidRPr="004F2C12" w:rsidRDefault="00147059"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14:paraId="01C557A9" w14:textId="77777777" w:rsidR="00147059" w:rsidRPr="004F2C12" w:rsidRDefault="00147059" w:rsidP="006F7FC5">
            <w:pPr>
              <w:jc w:val="center"/>
              <w:rPr>
                <w:rFonts w:ascii="Arial" w:hAnsi="Arial" w:cs="Arial"/>
                <w:b/>
                <w:sz w:val="28"/>
                <w:szCs w:val="28"/>
              </w:rPr>
            </w:pPr>
          </w:p>
        </w:tc>
        <w:tc>
          <w:tcPr>
            <w:tcW w:w="800" w:type="dxa"/>
            <w:shd w:val="clear" w:color="auto" w:fill="C0C0C0"/>
            <w:vAlign w:val="center"/>
          </w:tcPr>
          <w:p w14:paraId="0AC0A46C" w14:textId="77777777" w:rsidR="00147059" w:rsidRPr="004F2C12" w:rsidRDefault="00147059" w:rsidP="006F7FC5">
            <w:pPr>
              <w:jc w:val="center"/>
              <w:rPr>
                <w:rFonts w:ascii="Arial" w:hAnsi="Arial" w:cs="Arial"/>
                <w:b/>
                <w:sz w:val="28"/>
                <w:szCs w:val="28"/>
              </w:rPr>
            </w:pPr>
          </w:p>
        </w:tc>
        <w:tc>
          <w:tcPr>
            <w:tcW w:w="666" w:type="dxa"/>
            <w:shd w:val="clear" w:color="auto" w:fill="C0C0C0"/>
            <w:vAlign w:val="center"/>
          </w:tcPr>
          <w:p w14:paraId="1B70754B" w14:textId="77777777" w:rsidR="00147059" w:rsidRPr="004F2C12" w:rsidRDefault="00147059" w:rsidP="006F7FC5">
            <w:pPr>
              <w:jc w:val="center"/>
              <w:rPr>
                <w:rFonts w:ascii="Arial" w:hAnsi="Arial" w:cs="Arial"/>
                <w:b/>
                <w:sz w:val="28"/>
                <w:szCs w:val="28"/>
              </w:rPr>
            </w:pPr>
          </w:p>
        </w:tc>
        <w:tc>
          <w:tcPr>
            <w:tcW w:w="733" w:type="dxa"/>
            <w:shd w:val="clear" w:color="auto" w:fill="C0C0C0"/>
            <w:vAlign w:val="center"/>
          </w:tcPr>
          <w:p w14:paraId="44506F3D"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5CC8602C"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0E1E5473"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3C9A78CC"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0D190CB8" w14:textId="77777777" w:rsidR="00147059" w:rsidRPr="004F2C12" w:rsidRDefault="00147059" w:rsidP="006F7FC5">
            <w:pPr>
              <w:jc w:val="center"/>
              <w:rPr>
                <w:rFonts w:ascii="Arial" w:hAnsi="Arial" w:cs="Arial"/>
                <w:b/>
                <w:sz w:val="28"/>
                <w:szCs w:val="28"/>
              </w:rPr>
            </w:pPr>
          </w:p>
        </w:tc>
      </w:tr>
      <w:tr w:rsidR="00147059" w:rsidRPr="004F2C12" w14:paraId="4552272D" w14:textId="77777777" w:rsidTr="00147059">
        <w:trPr>
          <w:cantSplit/>
          <w:trHeight w:val="432"/>
        </w:trPr>
        <w:tc>
          <w:tcPr>
            <w:tcW w:w="1445" w:type="dxa"/>
            <w:vAlign w:val="bottom"/>
          </w:tcPr>
          <w:p w14:paraId="2DDE72E0" w14:textId="77777777" w:rsidR="00147059" w:rsidRPr="0012237E" w:rsidRDefault="00147059" w:rsidP="006F7FC5">
            <w:pPr>
              <w:rPr>
                <w:rFonts w:ascii="Arial" w:hAnsi="Arial" w:cs="Arial"/>
                <w:sz w:val="20"/>
                <w:szCs w:val="20"/>
              </w:rPr>
            </w:pPr>
            <w:r w:rsidRPr="0012237E">
              <w:rPr>
                <w:rFonts w:ascii="Arial" w:hAnsi="Arial" w:cs="Arial"/>
                <w:sz w:val="20"/>
                <w:szCs w:val="20"/>
              </w:rPr>
              <w:t>Thawed PLASMA</w:t>
            </w:r>
          </w:p>
        </w:tc>
        <w:tc>
          <w:tcPr>
            <w:tcW w:w="611" w:type="dxa"/>
            <w:vAlign w:val="center"/>
          </w:tcPr>
          <w:p w14:paraId="49E9CF12"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29B9BB42"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5551A506"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3834AD0C" w14:textId="77777777" w:rsidR="00147059" w:rsidRPr="004F2C12" w:rsidRDefault="00147059" w:rsidP="006F7FC5">
            <w:pPr>
              <w:jc w:val="center"/>
              <w:rPr>
                <w:rFonts w:ascii="Arial" w:hAnsi="Arial" w:cs="Arial"/>
                <w:b/>
                <w:sz w:val="28"/>
                <w:szCs w:val="28"/>
              </w:rPr>
            </w:pPr>
          </w:p>
        </w:tc>
        <w:tc>
          <w:tcPr>
            <w:tcW w:w="800" w:type="dxa"/>
            <w:tcBorders>
              <w:bottom w:val="single" w:sz="4" w:space="0" w:color="auto"/>
            </w:tcBorders>
            <w:vAlign w:val="center"/>
          </w:tcPr>
          <w:p w14:paraId="57DF8557"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tcBorders>
              <w:bottom w:val="single" w:sz="4" w:space="0" w:color="auto"/>
            </w:tcBorders>
            <w:vAlign w:val="center"/>
          </w:tcPr>
          <w:p w14:paraId="350B4E98"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shd w:val="clear" w:color="auto" w:fill="C0C0C0"/>
            <w:vAlign w:val="center"/>
          </w:tcPr>
          <w:p w14:paraId="0DD2FDF4"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72654038"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315DA898"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7119999F"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7E2750C2" w14:textId="77777777" w:rsidR="00147059" w:rsidRPr="004F2C12" w:rsidRDefault="00147059" w:rsidP="006F7FC5">
            <w:pPr>
              <w:jc w:val="center"/>
              <w:rPr>
                <w:rFonts w:ascii="Arial" w:hAnsi="Arial" w:cs="Arial"/>
                <w:b/>
                <w:sz w:val="28"/>
                <w:szCs w:val="28"/>
              </w:rPr>
            </w:pPr>
          </w:p>
        </w:tc>
      </w:tr>
      <w:tr w:rsidR="00147059" w:rsidRPr="004F2C12" w14:paraId="6C10C18F" w14:textId="77777777" w:rsidTr="00147059">
        <w:trPr>
          <w:cantSplit/>
          <w:trHeight w:val="432"/>
        </w:trPr>
        <w:tc>
          <w:tcPr>
            <w:tcW w:w="1445" w:type="dxa"/>
            <w:vAlign w:val="bottom"/>
          </w:tcPr>
          <w:p w14:paraId="7BB5B732" w14:textId="77777777" w:rsidR="00147059" w:rsidRPr="0012237E" w:rsidRDefault="00147059" w:rsidP="006F7FC5">
            <w:pPr>
              <w:rPr>
                <w:rFonts w:ascii="Arial" w:hAnsi="Arial" w:cs="Arial"/>
                <w:sz w:val="20"/>
                <w:szCs w:val="20"/>
              </w:rPr>
            </w:pPr>
            <w:r w:rsidRPr="0012237E">
              <w:rPr>
                <w:rFonts w:ascii="Arial" w:hAnsi="Arial" w:cs="Arial"/>
                <w:sz w:val="20"/>
                <w:szCs w:val="20"/>
              </w:rPr>
              <w:t>PLATELET-RICH PLASMA</w:t>
            </w:r>
          </w:p>
        </w:tc>
        <w:tc>
          <w:tcPr>
            <w:tcW w:w="611" w:type="dxa"/>
            <w:vAlign w:val="center"/>
          </w:tcPr>
          <w:p w14:paraId="0541EECE"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tcBorders>
              <w:bottom w:val="single" w:sz="4" w:space="0" w:color="auto"/>
            </w:tcBorders>
            <w:shd w:val="clear" w:color="auto" w:fill="C0C0C0"/>
            <w:vAlign w:val="center"/>
          </w:tcPr>
          <w:p w14:paraId="4D730F34"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521B2AD6" w14:textId="77777777" w:rsidR="00147059" w:rsidRPr="004F2C12" w:rsidRDefault="00147059"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14:paraId="774731A0" w14:textId="77777777" w:rsidR="00147059" w:rsidRPr="004F2C12" w:rsidRDefault="00147059" w:rsidP="006F7FC5">
            <w:pPr>
              <w:jc w:val="center"/>
              <w:rPr>
                <w:rFonts w:ascii="Arial" w:hAnsi="Arial" w:cs="Arial"/>
                <w:b/>
                <w:sz w:val="28"/>
                <w:szCs w:val="28"/>
              </w:rPr>
            </w:pPr>
          </w:p>
        </w:tc>
        <w:tc>
          <w:tcPr>
            <w:tcW w:w="800" w:type="dxa"/>
            <w:shd w:val="clear" w:color="auto" w:fill="C0C0C0"/>
            <w:vAlign w:val="center"/>
          </w:tcPr>
          <w:p w14:paraId="0147B7D2" w14:textId="77777777" w:rsidR="00147059" w:rsidRPr="004F2C12" w:rsidRDefault="00147059" w:rsidP="006F7FC5">
            <w:pPr>
              <w:jc w:val="center"/>
              <w:rPr>
                <w:rFonts w:ascii="Arial" w:hAnsi="Arial" w:cs="Arial"/>
                <w:b/>
                <w:sz w:val="28"/>
                <w:szCs w:val="28"/>
              </w:rPr>
            </w:pPr>
          </w:p>
        </w:tc>
        <w:tc>
          <w:tcPr>
            <w:tcW w:w="666" w:type="dxa"/>
            <w:shd w:val="clear" w:color="auto" w:fill="C0C0C0"/>
            <w:vAlign w:val="center"/>
          </w:tcPr>
          <w:p w14:paraId="3763ADF5" w14:textId="77777777" w:rsidR="00147059" w:rsidRPr="004F2C12" w:rsidRDefault="00147059" w:rsidP="006F7FC5">
            <w:pPr>
              <w:jc w:val="center"/>
              <w:rPr>
                <w:rFonts w:ascii="Arial" w:hAnsi="Arial" w:cs="Arial"/>
                <w:b/>
                <w:sz w:val="28"/>
                <w:szCs w:val="28"/>
              </w:rPr>
            </w:pPr>
          </w:p>
        </w:tc>
        <w:tc>
          <w:tcPr>
            <w:tcW w:w="733" w:type="dxa"/>
            <w:tcBorders>
              <w:bottom w:val="single" w:sz="4" w:space="0" w:color="auto"/>
            </w:tcBorders>
            <w:shd w:val="clear" w:color="auto" w:fill="C0C0C0"/>
            <w:vAlign w:val="center"/>
          </w:tcPr>
          <w:p w14:paraId="06157277"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7FD4F1BB" w14:textId="77777777" w:rsidR="00147059" w:rsidRPr="004F2C12" w:rsidRDefault="00147059" w:rsidP="006F7FC5">
            <w:pPr>
              <w:jc w:val="center"/>
              <w:rPr>
                <w:rFonts w:ascii="Arial" w:hAnsi="Arial" w:cs="Arial"/>
                <w:b/>
                <w:sz w:val="28"/>
                <w:szCs w:val="28"/>
              </w:rPr>
            </w:pPr>
          </w:p>
        </w:tc>
        <w:tc>
          <w:tcPr>
            <w:tcW w:w="700" w:type="dxa"/>
            <w:tcBorders>
              <w:bottom w:val="single" w:sz="4" w:space="0" w:color="auto"/>
            </w:tcBorders>
            <w:shd w:val="clear" w:color="auto" w:fill="C0C0C0"/>
            <w:vAlign w:val="center"/>
          </w:tcPr>
          <w:p w14:paraId="274A7D1C" w14:textId="77777777" w:rsidR="00147059" w:rsidRPr="004F2C12" w:rsidRDefault="00147059"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14:paraId="6FAE5D7B" w14:textId="77777777" w:rsidR="00147059" w:rsidRPr="004F2C12" w:rsidRDefault="00147059"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14:paraId="0F452E60" w14:textId="77777777" w:rsidR="00147059" w:rsidRPr="004F2C12" w:rsidRDefault="00147059" w:rsidP="006F7FC5">
            <w:pPr>
              <w:jc w:val="center"/>
              <w:rPr>
                <w:rFonts w:ascii="Arial" w:hAnsi="Arial" w:cs="Arial"/>
                <w:b/>
                <w:sz w:val="28"/>
                <w:szCs w:val="28"/>
              </w:rPr>
            </w:pPr>
          </w:p>
        </w:tc>
      </w:tr>
      <w:tr w:rsidR="00147059" w:rsidRPr="004F2C12" w14:paraId="19D45ABD" w14:textId="77777777" w:rsidTr="00147059">
        <w:trPr>
          <w:cantSplit/>
          <w:trHeight w:val="432"/>
        </w:trPr>
        <w:tc>
          <w:tcPr>
            <w:tcW w:w="1445" w:type="dxa"/>
            <w:vAlign w:val="bottom"/>
          </w:tcPr>
          <w:p w14:paraId="59DE7CFD" w14:textId="77777777" w:rsidR="00147059" w:rsidRPr="0012237E" w:rsidRDefault="00147059" w:rsidP="006F7FC5">
            <w:pPr>
              <w:rPr>
                <w:rFonts w:ascii="Arial" w:hAnsi="Arial" w:cs="Arial"/>
                <w:sz w:val="20"/>
                <w:szCs w:val="20"/>
              </w:rPr>
            </w:pPr>
            <w:r w:rsidRPr="0012237E">
              <w:rPr>
                <w:rFonts w:ascii="Arial" w:hAnsi="Arial" w:cs="Arial"/>
                <w:sz w:val="20"/>
                <w:szCs w:val="20"/>
              </w:rPr>
              <w:t>PLATELETS</w:t>
            </w:r>
          </w:p>
        </w:tc>
        <w:tc>
          <w:tcPr>
            <w:tcW w:w="611" w:type="dxa"/>
            <w:vAlign w:val="center"/>
          </w:tcPr>
          <w:p w14:paraId="476DE16F"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5D6E2BE6" w14:textId="77777777" w:rsidR="00147059" w:rsidRPr="004F2C12" w:rsidRDefault="00147059" w:rsidP="006F7FC5">
            <w:pPr>
              <w:jc w:val="center"/>
              <w:rPr>
                <w:rFonts w:ascii="Arial" w:hAnsi="Arial" w:cs="Arial"/>
                <w:b/>
                <w:sz w:val="28"/>
                <w:szCs w:val="28"/>
              </w:rPr>
            </w:pPr>
          </w:p>
        </w:tc>
        <w:tc>
          <w:tcPr>
            <w:tcW w:w="444" w:type="dxa"/>
            <w:vAlign w:val="center"/>
          </w:tcPr>
          <w:p w14:paraId="669708D1"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77" w:type="dxa"/>
            <w:shd w:val="clear" w:color="auto" w:fill="C0C0C0"/>
            <w:vAlign w:val="center"/>
          </w:tcPr>
          <w:p w14:paraId="4B3A3A34" w14:textId="77777777" w:rsidR="00147059" w:rsidRPr="004F2C12" w:rsidRDefault="00147059" w:rsidP="006F7FC5">
            <w:pPr>
              <w:jc w:val="center"/>
              <w:rPr>
                <w:rFonts w:ascii="Arial" w:hAnsi="Arial" w:cs="Arial"/>
                <w:b/>
                <w:sz w:val="28"/>
                <w:szCs w:val="28"/>
              </w:rPr>
            </w:pPr>
          </w:p>
        </w:tc>
        <w:tc>
          <w:tcPr>
            <w:tcW w:w="800" w:type="dxa"/>
            <w:vAlign w:val="center"/>
          </w:tcPr>
          <w:p w14:paraId="13D7B589"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vAlign w:val="center"/>
          </w:tcPr>
          <w:p w14:paraId="555BF7AC"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tcBorders>
              <w:bottom w:val="single" w:sz="4" w:space="0" w:color="auto"/>
            </w:tcBorders>
            <w:shd w:val="pct25" w:color="auto" w:fill="auto"/>
            <w:vAlign w:val="center"/>
          </w:tcPr>
          <w:p w14:paraId="44397673" w14:textId="77777777" w:rsidR="00147059" w:rsidRPr="004F2C12" w:rsidRDefault="00147059" w:rsidP="006F7FC5">
            <w:pPr>
              <w:jc w:val="center"/>
              <w:rPr>
                <w:rFonts w:ascii="Arial" w:hAnsi="Arial" w:cs="Arial"/>
                <w:b/>
                <w:sz w:val="28"/>
                <w:szCs w:val="28"/>
              </w:rPr>
            </w:pPr>
          </w:p>
        </w:tc>
        <w:tc>
          <w:tcPr>
            <w:tcW w:w="544" w:type="dxa"/>
            <w:tcBorders>
              <w:bottom w:val="single" w:sz="4" w:space="0" w:color="auto"/>
            </w:tcBorders>
            <w:vAlign w:val="center"/>
          </w:tcPr>
          <w:p w14:paraId="6B81E202"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00" w:type="dxa"/>
            <w:tcBorders>
              <w:bottom w:val="single" w:sz="4" w:space="0" w:color="auto"/>
            </w:tcBorders>
            <w:shd w:val="clear" w:color="auto" w:fill="C0C0C0"/>
            <w:vAlign w:val="center"/>
          </w:tcPr>
          <w:p w14:paraId="70C84476" w14:textId="77777777" w:rsidR="00147059" w:rsidRPr="004F2C12" w:rsidRDefault="00147059"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14:paraId="4DF745B2" w14:textId="77777777" w:rsidR="00147059" w:rsidRPr="004F2C12" w:rsidRDefault="00147059"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14:paraId="2239ADFC" w14:textId="77777777" w:rsidR="00147059" w:rsidRPr="004F2C12" w:rsidRDefault="00147059" w:rsidP="006F7FC5">
            <w:pPr>
              <w:jc w:val="center"/>
              <w:rPr>
                <w:rFonts w:ascii="Arial" w:hAnsi="Arial" w:cs="Arial"/>
                <w:b/>
                <w:sz w:val="28"/>
                <w:szCs w:val="28"/>
              </w:rPr>
            </w:pPr>
          </w:p>
        </w:tc>
      </w:tr>
      <w:tr w:rsidR="00147059" w:rsidRPr="004F2C12" w14:paraId="06226E48" w14:textId="77777777" w:rsidTr="00147059">
        <w:trPr>
          <w:cantSplit/>
          <w:trHeight w:val="432"/>
        </w:trPr>
        <w:tc>
          <w:tcPr>
            <w:tcW w:w="1445" w:type="dxa"/>
            <w:vAlign w:val="bottom"/>
          </w:tcPr>
          <w:p w14:paraId="02A9D55D" w14:textId="77777777" w:rsidR="00147059" w:rsidRPr="0012237E" w:rsidRDefault="00147059" w:rsidP="006F7FC5">
            <w:pPr>
              <w:rPr>
                <w:rFonts w:ascii="Arial" w:hAnsi="Arial" w:cs="Arial"/>
                <w:sz w:val="20"/>
                <w:szCs w:val="20"/>
              </w:rPr>
            </w:pPr>
            <w:r w:rsidRPr="0012237E">
              <w:rPr>
                <w:rFonts w:ascii="Arial" w:hAnsi="Arial" w:cs="Arial"/>
                <w:sz w:val="20"/>
                <w:szCs w:val="20"/>
              </w:rPr>
              <w:t>Washed PLATELETS</w:t>
            </w:r>
          </w:p>
        </w:tc>
        <w:tc>
          <w:tcPr>
            <w:tcW w:w="611" w:type="dxa"/>
            <w:tcBorders>
              <w:bottom w:val="single" w:sz="4" w:space="0" w:color="auto"/>
            </w:tcBorders>
            <w:vAlign w:val="center"/>
          </w:tcPr>
          <w:p w14:paraId="486AF5F3"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tcBorders>
              <w:bottom w:val="single" w:sz="4" w:space="0" w:color="auto"/>
            </w:tcBorders>
            <w:shd w:val="clear" w:color="auto" w:fill="C0C0C0"/>
            <w:vAlign w:val="center"/>
          </w:tcPr>
          <w:p w14:paraId="4A6A48B7" w14:textId="77777777" w:rsidR="00147059" w:rsidRPr="004F2C12" w:rsidRDefault="00147059" w:rsidP="006F7FC5">
            <w:pPr>
              <w:jc w:val="center"/>
              <w:rPr>
                <w:rFonts w:ascii="Arial" w:hAnsi="Arial" w:cs="Arial"/>
                <w:b/>
                <w:sz w:val="28"/>
                <w:szCs w:val="28"/>
              </w:rPr>
            </w:pPr>
          </w:p>
        </w:tc>
        <w:tc>
          <w:tcPr>
            <w:tcW w:w="444" w:type="dxa"/>
            <w:tcBorders>
              <w:bottom w:val="single" w:sz="4" w:space="0" w:color="auto"/>
            </w:tcBorders>
            <w:vAlign w:val="center"/>
          </w:tcPr>
          <w:p w14:paraId="6A74725D"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77" w:type="dxa"/>
            <w:tcBorders>
              <w:bottom w:val="single" w:sz="4" w:space="0" w:color="auto"/>
            </w:tcBorders>
            <w:shd w:val="clear" w:color="auto" w:fill="C0C0C0"/>
            <w:vAlign w:val="center"/>
          </w:tcPr>
          <w:p w14:paraId="10544A7B" w14:textId="77777777" w:rsidR="00147059" w:rsidRPr="004F2C12" w:rsidRDefault="00147059" w:rsidP="006F7FC5">
            <w:pPr>
              <w:jc w:val="center"/>
              <w:rPr>
                <w:rFonts w:ascii="Arial" w:hAnsi="Arial" w:cs="Arial"/>
                <w:b/>
                <w:sz w:val="28"/>
                <w:szCs w:val="28"/>
              </w:rPr>
            </w:pPr>
          </w:p>
        </w:tc>
        <w:tc>
          <w:tcPr>
            <w:tcW w:w="800" w:type="dxa"/>
            <w:vAlign w:val="center"/>
          </w:tcPr>
          <w:p w14:paraId="0CBA0B5B"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vAlign w:val="center"/>
          </w:tcPr>
          <w:p w14:paraId="58525E26"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shd w:val="pct25" w:color="auto" w:fill="auto"/>
            <w:vAlign w:val="center"/>
          </w:tcPr>
          <w:p w14:paraId="6AF2CB91"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7F786BDD"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49CEF698" w14:textId="77777777" w:rsidR="00147059" w:rsidRPr="004F2C12" w:rsidRDefault="00147059" w:rsidP="006F7FC5">
            <w:pPr>
              <w:pStyle w:val="CommentText"/>
              <w:jc w:val="center"/>
              <w:rPr>
                <w:rFonts w:ascii="Arial" w:hAnsi="Arial" w:cs="Arial"/>
                <w:b/>
                <w:sz w:val="28"/>
                <w:szCs w:val="28"/>
              </w:rPr>
            </w:pPr>
          </w:p>
        </w:tc>
        <w:tc>
          <w:tcPr>
            <w:tcW w:w="810" w:type="dxa"/>
            <w:shd w:val="clear" w:color="auto" w:fill="C0C0C0"/>
            <w:vAlign w:val="center"/>
          </w:tcPr>
          <w:p w14:paraId="23D7020F"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0A76AEF4" w14:textId="77777777" w:rsidR="00147059" w:rsidRPr="004F2C12" w:rsidRDefault="00147059" w:rsidP="006F7FC5">
            <w:pPr>
              <w:jc w:val="center"/>
              <w:rPr>
                <w:rFonts w:ascii="Arial" w:hAnsi="Arial" w:cs="Arial"/>
                <w:b/>
                <w:sz w:val="28"/>
                <w:szCs w:val="28"/>
              </w:rPr>
            </w:pPr>
          </w:p>
        </w:tc>
      </w:tr>
      <w:tr w:rsidR="00147059" w:rsidRPr="004F2C12" w14:paraId="31FA74E6" w14:textId="77777777" w:rsidTr="00147059">
        <w:trPr>
          <w:cantSplit/>
          <w:trHeight w:val="432"/>
        </w:trPr>
        <w:tc>
          <w:tcPr>
            <w:tcW w:w="1445" w:type="dxa"/>
            <w:vAlign w:val="bottom"/>
          </w:tcPr>
          <w:p w14:paraId="71ED7700" w14:textId="77777777" w:rsidR="00147059" w:rsidRPr="0012237E" w:rsidRDefault="00147059" w:rsidP="006F7FC5">
            <w:pPr>
              <w:rPr>
                <w:rFonts w:ascii="Arial" w:hAnsi="Arial" w:cs="Arial"/>
                <w:sz w:val="20"/>
                <w:szCs w:val="20"/>
              </w:rPr>
            </w:pPr>
            <w:r w:rsidRPr="0012237E">
              <w:rPr>
                <w:rFonts w:ascii="Arial" w:hAnsi="Arial" w:cs="Arial"/>
                <w:sz w:val="20"/>
                <w:szCs w:val="20"/>
              </w:rPr>
              <w:t>POOLED PLATELETS</w:t>
            </w:r>
          </w:p>
        </w:tc>
        <w:tc>
          <w:tcPr>
            <w:tcW w:w="611" w:type="dxa"/>
            <w:shd w:val="pct25" w:color="auto" w:fill="auto"/>
            <w:vAlign w:val="center"/>
          </w:tcPr>
          <w:p w14:paraId="3DFB39B4" w14:textId="77777777" w:rsidR="00147059" w:rsidRPr="004F2C12" w:rsidRDefault="00147059" w:rsidP="006F7FC5">
            <w:pPr>
              <w:jc w:val="center"/>
              <w:rPr>
                <w:rFonts w:ascii="Arial" w:hAnsi="Arial" w:cs="Arial"/>
                <w:b/>
                <w:sz w:val="28"/>
                <w:szCs w:val="28"/>
              </w:rPr>
            </w:pPr>
          </w:p>
        </w:tc>
        <w:tc>
          <w:tcPr>
            <w:tcW w:w="522" w:type="dxa"/>
            <w:shd w:val="pct25" w:color="auto" w:fill="auto"/>
            <w:vAlign w:val="center"/>
          </w:tcPr>
          <w:p w14:paraId="69E18E39" w14:textId="77777777" w:rsidR="00147059" w:rsidRPr="004F2C12" w:rsidRDefault="00147059" w:rsidP="006F7FC5">
            <w:pPr>
              <w:jc w:val="center"/>
              <w:rPr>
                <w:rFonts w:ascii="Arial" w:hAnsi="Arial" w:cs="Arial"/>
                <w:b/>
                <w:sz w:val="28"/>
                <w:szCs w:val="28"/>
              </w:rPr>
            </w:pPr>
          </w:p>
        </w:tc>
        <w:tc>
          <w:tcPr>
            <w:tcW w:w="444" w:type="dxa"/>
            <w:vAlign w:val="center"/>
          </w:tcPr>
          <w:p w14:paraId="0D1A06C3"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77" w:type="dxa"/>
            <w:shd w:val="clear" w:color="auto" w:fill="C0C0C0"/>
            <w:vAlign w:val="center"/>
          </w:tcPr>
          <w:p w14:paraId="3A822974" w14:textId="77777777" w:rsidR="00147059" w:rsidRPr="004F2C12" w:rsidRDefault="00147059" w:rsidP="006F7FC5">
            <w:pPr>
              <w:jc w:val="center"/>
              <w:rPr>
                <w:rFonts w:ascii="Arial" w:hAnsi="Arial" w:cs="Arial"/>
                <w:b/>
                <w:sz w:val="28"/>
                <w:szCs w:val="28"/>
              </w:rPr>
            </w:pPr>
          </w:p>
        </w:tc>
        <w:tc>
          <w:tcPr>
            <w:tcW w:w="800" w:type="dxa"/>
            <w:vAlign w:val="center"/>
          </w:tcPr>
          <w:p w14:paraId="2E7D0CFA"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vAlign w:val="center"/>
          </w:tcPr>
          <w:p w14:paraId="0E679164"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tcBorders>
              <w:bottom w:val="single" w:sz="4" w:space="0" w:color="auto"/>
            </w:tcBorders>
            <w:shd w:val="pct25" w:color="auto" w:fill="auto"/>
            <w:vAlign w:val="center"/>
          </w:tcPr>
          <w:p w14:paraId="36415024" w14:textId="77777777" w:rsidR="00147059" w:rsidRPr="004F2C12" w:rsidRDefault="00147059" w:rsidP="006F7FC5">
            <w:pPr>
              <w:jc w:val="center"/>
              <w:rPr>
                <w:rFonts w:ascii="Arial" w:hAnsi="Arial" w:cs="Arial"/>
                <w:b/>
                <w:sz w:val="28"/>
                <w:szCs w:val="28"/>
              </w:rPr>
            </w:pPr>
          </w:p>
        </w:tc>
        <w:tc>
          <w:tcPr>
            <w:tcW w:w="544" w:type="dxa"/>
            <w:tcBorders>
              <w:bottom w:val="single" w:sz="4" w:space="0" w:color="auto"/>
            </w:tcBorders>
            <w:vAlign w:val="center"/>
          </w:tcPr>
          <w:p w14:paraId="02AC525E"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00" w:type="dxa"/>
            <w:shd w:val="clear" w:color="auto" w:fill="C0C0C0"/>
            <w:vAlign w:val="center"/>
          </w:tcPr>
          <w:p w14:paraId="27E09919"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6E5E095B"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2899DE86" w14:textId="77777777" w:rsidR="00147059" w:rsidRPr="004F2C12" w:rsidRDefault="00147059" w:rsidP="006F7FC5">
            <w:pPr>
              <w:jc w:val="center"/>
              <w:rPr>
                <w:rFonts w:ascii="Arial" w:hAnsi="Arial" w:cs="Arial"/>
                <w:b/>
                <w:sz w:val="28"/>
                <w:szCs w:val="28"/>
              </w:rPr>
            </w:pPr>
          </w:p>
        </w:tc>
      </w:tr>
      <w:tr w:rsidR="00147059" w:rsidRPr="004F2C12" w14:paraId="5C1E7F2D" w14:textId="77777777" w:rsidTr="00147059">
        <w:trPr>
          <w:cantSplit/>
          <w:trHeight w:val="432"/>
        </w:trPr>
        <w:tc>
          <w:tcPr>
            <w:tcW w:w="1445" w:type="dxa"/>
            <w:vAlign w:val="bottom"/>
          </w:tcPr>
          <w:p w14:paraId="70637A90" w14:textId="77777777" w:rsidR="00147059" w:rsidRPr="0012237E" w:rsidRDefault="00147059" w:rsidP="006F7FC5">
            <w:pPr>
              <w:rPr>
                <w:rFonts w:ascii="Arial" w:hAnsi="Arial" w:cs="Arial"/>
                <w:sz w:val="20"/>
                <w:szCs w:val="20"/>
              </w:rPr>
            </w:pPr>
            <w:r w:rsidRPr="0012237E">
              <w:rPr>
                <w:rFonts w:ascii="Arial" w:hAnsi="Arial" w:cs="Arial"/>
                <w:sz w:val="20"/>
                <w:szCs w:val="20"/>
              </w:rPr>
              <w:t>Washed POOLED PLATELETS</w:t>
            </w:r>
          </w:p>
        </w:tc>
        <w:tc>
          <w:tcPr>
            <w:tcW w:w="611" w:type="dxa"/>
            <w:shd w:val="pct25" w:color="auto" w:fill="auto"/>
            <w:vAlign w:val="center"/>
          </w:tcPr>
          <w:p w14:paraId="3361CC71" w14:textId="77777777" w:rsidR="00147059" w:rsidRPr="004F2C12" w:rsidRDefault="00147059" w:rsidP="006F7FC5">
            <w:pPr>
              <w:jc w:val="center"/>
              <w:rPr>
                <w:rFonts w:ascii="Arial" w:hAnsi="Arial" w:cs="Arial"/>
                <w:b/>
                <w:sz w:val="28"/>
                <w:szCs w:val="28"/>
              </w:rPr>
            </w:pPr>
          </w:p>
        </w:tc>
        <w:tc>
          <w:tcPr>
            <w:tcW w:w="522" w:type="dxa"/>
            <w:shd w:val="pct25" w:color="auto" w:fill="auto"/>
            <w:vAlign w:val="center"/>
          </w:tcPr>
          <w:p w14:paraId="49ECD4B4" w14:textId="77777777" w:rsidR="00147059" w:rsidRPr="004F2C12" w:rsidRDefault="00147059" w:rsidP="006F7FC5">
            <w:pPr>
              <w:jc w:val="center"/>
              <w:rPr>
                <w:rFonts w:ascii="Arial" w:hAnsi="Arial" w:cs="Arial"/>
                <w:b/>
                <w:sz w:val="28"/>
                <w:szCs w:val="28"/>
              </w:rPr>
            </w:pPr>
          </w:p>
        </w:tc>
        <w:tc>
          <w:tcPr>
            <w:tcW w:w="444" w:type="dxa"/>
            <w:vAlign w:val="center"/>
          </w:tcPr>
          <w:p w14:paraId="1DA8EC70"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77" w:type="dxa"/>
            <w:shd w:val="clear" w:color="auto" w:fill="C0C0C0"/>
            <w:vAlign w:val="center"/>
          </w:tcPr>
          <w:p w14:paraId="74833F81" w14:textId="77777777" w:rsidR="00147059" w:rsidRPr="004F2C12" w:rsidRDefault="00147059" w:rsidP="006F7FC5">
            <w:pPr>
              <w:jc w:val="center"/>
              <w:rPr>
                <w:rFonts w:ascii="Arial" w:hAnsi="Arial" w:cs="Arial"/>
                <w:b/>
                <w:sz w:val="28"/>
                <w:szCs w:val="28"/>
              </w:rPr>
            </w:pPr>
          </w:p>
        </w:tc>
        <w:tc>
          <w:tcPr>
            <w:tcW w:w="800" w:type="dxa"/>
            <w:vAlign w:val="center"/>
          </w:tcPr>
          <w:p w14:paraId="6A282841"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vAlign w:val="center"/>
          </w:tcPr>
          <w:p w14:paraId="219D3123"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shd w:val="pct25" w:color="auto" w:fill="auto"/>
            <w:vAlign w:val="center"/>
          </w:tcPr>
          <w:p w14:paraId="2672D84B"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1EE08127"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25C768B8"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6E09337B"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7208F150" w14:textId="77777777" w:rsidR="00147059" w:rsidRPr="004F2C12" w:rsidRDefault="00147059" w:rsidP="006F7FC5">
            <w:pPr>
              <w:jc w:val="center"/>
              <w:rPr>
                <w:rFonts w:ascii="Arial" w:hAnsi="Arial" w:cs="Arial"/>
                <w:b/>
                <w:sz w:val="28"/>
                <w:szCs w:val="28"/>
              </w:rPr>
            </w:pPr>
          </w:p>
        </w:tc>
      </w:tr>
      <w:tr w:rsidR="00147059" w:rsidRPr="004F2C12" w14:paraId="5DDC858C" w14:textId="77777777" w:rsidTr="00147059">
        <w:trPr>
          <w:cantSplit/>
          <w:trHeight w:val="432"/>
        </w:trPr>
        <w:tc>
          <w:tcPr>
            <w:tcW w:w="1445" w:type="dxa"/>
            <w:vAlign w:val="bottom"/>
          </w:tcPr>
          <w:p w14:paraId="1901B798" w14:textId="77777777" w:rsidR="00147059" w:rsidRPr="0012237E" w:rsidRDefault="00147059" w:rsidP="006F7FC5">
            <w:pPr>
              <w:rPr>
                <w:rFonts w:ascii="Arial" w:hAnsi="Arial" w:cs="Arial"/>
                <w:sz w:val="20"/>
                <w:szCs w:val="20"/>
              </w:rPr>
            </w:pPr>
            <w:r w:rsidRPr="0012237E">
              <w:rPr>
                <w:rFonts w:ascii="Arial" w:hAnsi="Arial" w:cs="Arial"/>
                <w:sz w:val="20"/>
                <w:szCs w:val="20"/>
              </w:rPr>
              <w:t>APHERESIS PLATELETS</w:t>
            </w:r>
          </w:p>
        </w:tc>
        <w:tc>
          <w:tcPr>
            <w:tcW w:w="611" w:type="dxa"/>
            <w:tcBorders>
              <w:bottom w:val="single" w:sz="4" w:space="0" w:color="auto"/>
            </w:tcBorders>
            <w:vAlign w:val="center"/>
          </w:tcPr>
          <w:p w14:paraId="71ECF850"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2AFF1AD0" w14:textId="77777777" w:rsidR="00147059" w:rsidRPr="004F2C12" w:rsidRDefault="00147059" w:rsidP="006F7FC5">
            <w:pPr>
              <w:jc w:val="center"/>
              <w:rPr>
                <w:rFonts w:ascii="Arial" w:hAnsi="Arial" w:cs="Arial"/>
                <w:b/>
                <w:sz w:val="28"/>
                <w:szCs w:val="28"/>
              </w:rPr>
            </w:pPr>
          </w:p>
        </w:tc>
        <w:tc>
          <w:tcPr>
            <w:tcW w:w="444" w:type="dxa"/>
            <w:tcBorders>
              <w:bottom w:val="single" w:sz="4" w:space="0" w:color="auto"/>
            </w:tcBorders>
            <w:shd w:val="clear" w:color="auto" w:fill="C0C0C0"/>
            <w:vAlign w:val="center"/>
          </w:tcPr>
          <w:p w14:paraId="17B459E2" w14:textId="77777777" w:rsidR="00147059" w:rsidRPr="004F2C12" w:rsidRDefault="00147059"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14:paraId="7CE8EF0A" w14:textId="77777777" w:rsidR="00147059" w:rsidRPr="004F2C12" w:rsidRDefault="00147059" w:rsidP="006F7FC5">
            <w:pPr>
              <w:jc w:val="center"/>
              <w:rPr>
                <w:rFonts w:ascii="Arial" w:hAnsi="Arial" w:cs="Arial"/>
                <w:b/>
                <w:sz w:val="28"/>
                <w:szCs w:val="28"/>
              </w:rPr>
            </w:pPr>
          </w:p>
        </w:tc>
        <w:tc>
          <w:tcPr>
            <w:tcW w:w="800" w:type="dxa"/>
            <w:tcBorders>
              <w:bottom w:val="single" w:sz="4" w:space="0" w:color="auto"/>
            </w:tcBorders>
            <w:vAlign w:val="center"/>
          </w:tcPr>
          <w:p w14:paraId="0F275ED4"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tcBorders>
              <w:bottom w:val="single" w:sz="4" w:space="0" w:color="auto"/>
            </w:tcBorders>
            <w:vAlign w:val="center"/>
          </w:tcPr>
          <w:p w14:paraId="746D98CB"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tcBorders>
              <w:bottom w:val="single" w:sz="4" w:space="0" w:color="auto"/>
            </w:tcBorders>
            <w:shd w:val="pct25" w:color="auto" w:fill="auto"/>
            <w:vAlign w:val="center"/>
          </w:tcPr>
          <w:p w14:paraId="2B8BA347" w14:textId="77777777" w:rsidR="00147059" w:rsidRPr="004F2C12" w:rsidRDefault="00147059" w:rsidP="006F7FC5">
            <w:pPr>
              <w:jc w:val="center"/>
              <w:rPr>
                <w:rFonts w:ascii="Arial" w:hAnsi="Arial" w:cs="Arial"/>
                <w:b/>
                <w:sz w:val="28"/>
                <w:szCs w:val="28"/>
              </w:rPr>
            </w:pPr>
          </w:p>
        </w:tc>
        <w:tc>
          <w:tcPr>
            <w:tcW w:w="544" w:type="dxa"/>
            <w:tcBorders>
              <w:bottom w:val="single" w:sz="4" w:space="0" w:color="auto"/>
            </w:tcBorders>
            <w:vAlign w:val="center"/>
          </w:tcPr>
          <w:p w14:paraId="27039444"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00" w:type="dxa"/>
            <w:shd w:val="clear" w:color="auto" w:fill="C0C0C0"/>
            <w:vAlign w:val="center"/>
          </w:tcPr>
          <w:p w14:paraId="4F5BB464"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0C24494E"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671CFB2B" w14:textId="77777777" w:rsidR="00147059" w:rsidRPr="004F2C12" w:rsidRDefault="00147059" w:rsidP="006F7FC5">
            <w:pPr>
              <w:jc w:val="center"/>
              <w:rPr>
                <w:rFonts w:ascii="Arial" w:hAnsi="Arial" w:cs="Arial"/>
                <w:b/>
                <w:sz w:val="28"/>
                <w:szCs w:val="28"/>
              </w:rPr>
            </w:pPr>
          </w:p>
        </w:tc>
      </w:tr>
      <w:tr w:rsidR="00147059" w:rsidRPr="004F2C12" w14:paraId="06DA4A59" w14:textId="77777777" w:rsidTr="00147059">
        <w:trPr>
          <w:cantSplit/>
          <w:trHeight w:val="432"/>
        </w:trPr>
        <w:tc>
          <w:tcPr>
            <w:tcW w:w="1445" w:type="dxa"/>
            <w:vAlign w:val="bottom"/>
          </w:tcPr>
          <w:p w14:paraId="6FFC3F65" w14:textId="77777777" w:rsidR="00147059" w:rsidRPr="0012237E" w:rsidRDefault="00147059" w:rsidP="006F7FC5">
            <w:pPr>
              <w:rPr>
                <w:rFonts w:ascii="Arial" w:hAnsi="Arial" w:cs="Arial"/>
                <w:sz w:val="20"/>
                <w:szCs w:val="20"/>
              </w:rPr>
            </w:pPr>
            <w:r w:rsidRPr="0012237E">
              <w:rPr>
                <w:rFonts w:ascii="Arial" w:hAnsi="Arial" w:cs="Arial"/>
                <w:sz w:val="20"/>
                <w:szCs w:val="20"/>
              </w:rPr>
              <w:t>Frozen APHERESIS PLATELETS</w:t>
            </w:r>
          </w:p>
        </w:tc>
        <w:tc>
          <w:tcPr>
            <w:tcW w:w="611" w:type="dxa"/>
            <w:shd w:val="clear" w:color="auto" w:fill="C0C0C0"/>
            <w:vAlign w:val="center"/>
          </w:tcPr>
          <w:p w14:paraId="3B190957" w14:textId="77777777" w:rsidR="00147059" w:rsidRPr="004F2C12" w:rsidRDefault="00147059" w:rsidP="006F7FC5">
            <w:pPr>
              <w:jc w:val="center"/>
              <w:rPr>
                <w:rFonts w:ascii="Arial" w:hAnsi="Arial" w:cs="Arial"/>
                <w:b/>
                <w:sz w:val="28"/>
                <w:szCs w:val="28"/>
              </w:rPr>
            </w:pPr>
          </w:p>
        </w:tc>
        <w:tc>
          <w:tcPr>
            <w:tcW w:w="522" w:type="dxa"/>
            <w:tcBorders>
              <w:bottom w:val="single" w:sz="4" w:space="0" w:color="auto"/>
            </w:tcBorders>
            <w:vAlign w:val="center"/>
          </w:tcPr>
          <w:p w14:paraId="4A882DFD"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444" w:type="dxa"/>
            <w:tcBorders>
              <w:bottom w:val="single" w:sz="4" w:space="0" w:color="auto"/>
            </w:tcBorders>
            <w:shd w:val="clear" w:color="auto" w:fill="C0C0C0"/>
            <w:vAlign w:val="center"/>
          </w:tcPr>
          <w:p w14:paraId="65592584" w14:textId="77777777" w:rsidR="00147059" w:rsidRPr="004F2C12" w:rsidRDefault="00147059"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14:paraId="2801144B" w14:textId="77777777" w:rsidR="00147059" w:rsidRPr="004F2C12" w:rsidRDefault="00147059" w:rsidP="006F7FC5">
            <w:pPr>
              <w:jc w:val="center"/>
              <w:rPr>
                <w:rFonts w:ascii="Arial" w:hAnsi="Arial" w:cs="Arial"/>
                <w:b/>
                <w:sz w:val="28"/>
                <w:szCs w:val="28"/>
              </w:rPr>
            </w:pPr>
          </w:p>
        </w:tc>
        <w:tc>
          <w:tcPr>
            <w:tcW w:w="800" w:type="dxa"/>
            <w:shd w:val="clear" w:color="auto" w:fill="C0C0C0"/>
            <w:vAlign w:val="center"/>
          </w:tcPr>
          <w:p w14:paraId="4C7444D5" w14:textId="77777777" w:rsidR="00147059" w:rsidRPr="004F2C12" w:rsidRDefault="00147059" w:rsidP="006F7FC5">
            <w:pPr>
              <w:jc w:val="center"/>
              <w:rPr>
                <w:rFonts w:ascii="Arial" w:hAnsi="Arial" w:cs="Arial"/>
                <w:b/>
                <w:sz w:val="28"/>
                <w:szCs w:val="28"/>
              </w:rPr>
            </w:pPr>
          </w:p>
        </w:tc>
        <w:tc>
          <w:tcPr>
            <w:tcW w:w="666" w:type="dxa"/>
            <w:shd w:val="clear" w:color="auto" w:fill="C0C0C0"/>
            <w:vAlign w:val="center"/>
          </w:tcPr>
          <w:p w14:paraId="23817313" w14:textId="77777777" w:rsidR="00147059" w:rsidRPr="004F2C12" w:rsidRDefault="00147059" w:rsidP="006F7FC5">
            <w:pPr>
              <w:jc w:val="center"/>
              <w:rPr>
                <w:rFonts w:ascii="Arial" w:hAnsi="Arial" w:cs="Arial"/>
                <w:b/>
                <w:sz w:val="28"/>
                <w:szCs w:val="28"/>
              </w:rPr>
            </w:pPr>
          </w:p>
        </w:tc>
        <w:tc>
          <w:tcPr>
            <w:tcW w:w="733" w:type="dxa"/>
            <w:shd w:val="clear" w:color="auto" w:fill="C0C0C0"/>
            <w:vAlign w:val="center"/>
          </w:tcPr>
          <w:p w14:paraId="3828759F"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033526D0"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291EA912"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1848D12A"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3C8CF686" w14:textId="77777777" w:rsidR="00147059" w:rsidRPr="004F2C12" w:rsidRDefault="00147059" w:rsidP="006F7FC5">
            <w:pPr>
              <w:jc w:val="center"/>
              <w:rPr>
                <w:rFonts w:ascii="Arial" w:hAnsi="Arial" w:cs="Arial"/>
                <w:b/>
                <w:sz w:val="28"/>
                <w:szCs w:val="28"/>
              </w:rPr>
            </w:pPr>
          </w:p>
        </w:tc>
      </w:tr>
      <w:tr w:rsidR="00147059" w:rsidRPr="004F2C12" w14:paraId="1941514A" w14:textId="77777777" w:rsidTr="00147059">
        <w:trPr>
          <w:cantSplit/>
          <w:trHeight w:val="432"/>
        </w:trPr>
        <w:tc>
          <w:tcPr>
            <w:tcW w:w="1445" w:type="dxa"/>
            <w:vAlign w:val="bottom"/>
          </w:tcPr>
          <w:p w14:paraId="7F62FFBC" w14:textId="77777777" w:rsidR="00147059" w:rsidRPr="0012237E" w:rsidRDefault="00147059" w:rsidP="006F7FC5">
            <w:pPr>
              <w:rPr>
                <w:rFonts w:ascii="Arial" w:hAnsi="Arial" w:cs="Arial"/>
                <w:sz w:val="20"/>
                <w:szCs w:val="20"/>
              </w:rPr>
            </w:pPr>
            <w:r w:rsidRPr="0012237E">
              <w:rPr>
                <w:rFonts w:ascii="Arial" w:hAnsi="Arial" w:cs="Arial"/>
                <w:sz w:val="20"/>
                <w:szCs w:val="20"/>
              </w:rPr>
              <w:t>Thawed APHERESIS PLATELETS</w:t>
            </w:r>
          </w:p>
        </w:tc>
        <w:tc>
          <w:tcPr>
            <w:tcW w:w="611" w:type="dxa"/>
            <w:vAlign w:val="center"/>
          </w:tcPr>
          <w:p w14:paraId="13F9D379"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72328C51" w14:textId="77777777" w:rsidR="00147059" w:rsidRPr="004F2C12" w:rsidRDefault="00147059" w:rsidP="006F7FC5">
            <w:pPr>
              <w:jc w:val="center"/>
              <w:rPr>
                <w:rFonts w:ascii="Arial" w:hAnsi="Arial" w:cs="Arial"/>
                <w:b/>
                <w:sz w:val="28"/>
                <w:szCs w:val="28"/>
              </w:rPr>
            </w:pPr>
          </w:p>
        </w:tc>
        <w:tc>
          <w:tcPr>
            <w:tcW w:w="444" w:type="dxa"/>
            <w:tcBorders>
              <w:bottom w:val="single" w:sz="4" w:space="0" w:color="auto"/>
            </w:tcBorders>
            <w:shd w:val="clear" w:color="auto" w:fill="C0C0C0"/>
            <w:vAlign w:val="center"/>
          </w:tcPr>
          <w:p w14:paraId="183DE495"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1976E400" w14:textId="77777777" w:rsidR="00147059" w:rsidRPr="004F2C12" w:rsidRDefault="00147059" w:rsidP="006F7FC5">
            <w:pPr>
              <w:jc w:val="center"/>
              <w:rPr>
                <w:rFonts w:ascii="Arial" w:hAnsi="Arial" w:cs="Arial"/>
                <w:b/>
                <w:sz w:val="28"/>
                <w:szCs w:val="28"/>
              </w:rPr>
            </w:pPr>
          </w:p>
        </w:tc>
        <w:tc>
          <w:tcPr>
            <w:tcW w:w="800" w:type="dxa"/>
            <w:vAlign w:val="center"/>
          </w:tcPr>
          <w:p w14:paraId="01158C80"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vAlign w:val="center"/>
          </w:tcPr>
          <w:p w14:paraId="32BBBC54"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shd w:val="clear" w:color="auto" w:fill="C0C0C0"/>
            <w:vAlign w:val="center"/>
          </w:tcPr>
          <w:p w14:paraId="6734B456"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6BF73A11"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067B9936"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4EB169FC"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073BB953" w14:textId="77777777" w:rsidR="00147059" w:rsidRPr="004F2C12" w:rsidRDefault="00147059" w:rsidP="006F7FC5">
            <w:pPr>
              <w:jc w:val="center"/>
              <w:rPr>
                <w:rFonts w:ascii="Arial" w:hAnsi="Arial" w:cs="Arial"/>
                <w:b/>
                <w:sz w:val="28"/>
                <w:szCs w:val="28"/>
              </w:rPr>
            </w:pPr>
          </w:p>
        </w:tc>
      </w:tr>
      <w:tr w:rsidR="00147059" w:rsidRPr="004F2C12" w14:paraId="5943EC11" w14:textId="77777777" w:rsidTr="00147059">
        <w:trPr>
          <w:cantSplit/>
          <w:trHeight w:val="432"/>
        </w:trPr>
        <w:tc>
          <w:tcPr>
            <w:tcW w:w="1445" w:type="dxa"/>
            <w:vAlign w:val="bottom"/>
          </w:tcPr>
          <w:p w14:paraId="79D836D5" w14:textId="77777777" w:rsidR="00147059" w:rsidRPr="0012237E" w:rsidRDefault="00147059" w:rsidP="006F7FC5">
            <w:pPr>
              <w:rPr>
                <w:rFonts w:ascii="Arial" w:hAnsi="Arial" w:cs="Arial"/>
                <w:sz w:val="20"/>
                <w:szCs w:val="20"/>
              </w:rPr>
            </w:pPr>
            <w:r w:rsidRPr="0012237E">
              <w:rPr>
                <w:rFonts w:ascii="Arial" w:hAnsi="Arial" w:cs="Arial"/>
                <w:sz w:val="20"/>
                <w:szCs w:val="20"/>
              </w:rPr>
              <w:t>Washed APHERESIS PLATELETS</w:t>
            </w:r>
          </w:p>
        </w:tc>
        <w:tc>
          <w:tcPr>
            <w:tcW w:w="611" w:type="dxa"/>
            <w:tcBorders>
              <w:bottom w:val="single" w:sz="4" w:space="0" w:color="auto"/>
            </w:tcBorders>
            <w:vAlign w:val="center"/>
          </w:tcPr>
          <w:p w14:paraId="76BC76FF"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372E0AF3"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7C66DEEB"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1182EAFD" w14:textId="77777777" w:rsidR="00147059" w:rsidRPr="004F2C12" w:rsidRDefault="00147059" w:rsidP="006F7FC5">
            <w:pPr>
              <w:jc w:val="center"/>
              <w:rPr>
                <w:rFonts w:ascii="Arial" w:hAnsi="Arial" w:cs="Arial"/>
                <w:b/>
                <w:sz w:val="28"/>
                <w:szCs w:val="28"/>
              </w:rPr>
            </w:pPr>
          </w:p>
        </w:tc>
        <w:tc>
          <w:tcPr>
            <w:tcW w:w="800" w:type="dxa"/>
            <w:tcBorders>
              <w:bottom w:val="single" w:sz="4" w:space="0" w:color="auto"/>
            </w:tcBorders>
            <w:vAlign w:val="center"/>
          </w:tcPr>
          <w:p w14:paraId="667DAB13"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tcBorders>
              <w:bottom w:val="single" w:sz="4" w:space="0" w:color="auto"/>
            </w:tcBorders>
            <w:vAlign w:val="center"/>
          </w:tcPr>
          <w:p w14:paraId="7E18D675"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shd w:val="clear" w:color="auto" w:fill="C0C0C0"/>
            <w:vAlign w:val="center"/>
          </w:tcPr>
          <w:p w14:paraId="19E84F8D"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0040903F"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47EA60F5"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059666F5"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75F87F98" w14:textId="77777777" w:rsidR="00147059" w:rsidRPr="004F2C12" w:rsidRDefault="00147059" w:rsidP="006F7FC5">
            <w:pPr>
              <w:jc w:val="center"/>
              <w:rPr>
                <w:rFonts w:ascii="Arial" w:hAnsi="Arial" w:cs="Arial"/>
                <w:b/>
                <w:sz w:val="28"/>
                <w:szCs w:val="28"/>
              </w:rPr>
            </w:pPr>
          </w:p>
        </w:tc>
      </w:tr>
      <w:tr w:rsidR="00147059" w:rsidRPr="004F2C12" w14:paraId="308F1777" w14:textId="77777777" w:rsidTr="00147059">
        <w:trPr>
          <w:cantSplit/>
          <w:trHeight w:val="432"/>
        </w:trPr>
        <w:tc>
          <w:tcPr>
            <w:tcW w:w="1445" w:type="dxa"/>
            <w:vAlign w:val="bottom"/>
          </w:tcPr>
          <w:p w14:paraId="1DC44023" w14:textId="77777777" w:rsidR="00147059" w:rsidRPr="0012237E" w:rsidRDefault="00147059" w:rsidP="006F7FC5">
            <w:pPr>
              <w:rPr>
                <w:rFonts w:ascii="Arial" w:hAnsi="Arial" w:cs="Arial"/>
                <w:sz w:val="20"/>
                <w:szCs w:val="20"/>
              </w:rPr>
            </w:pPr>
            <w:r w:rsidRPr="0012237E">
              <w:rPr>
                <w:rFonts w:ascii="Arial" w:hAnsi="Arial" w:cs="Arial"/>
                <w:sz w:val="20"/>
                <w:szCs w:val="20"/>
              </w:rPr>
              <w:t>CRYOPRECIPITATE</w:t>
            </w:r>
          </w:p>
        </w:tc>
        <w:tc>
          <w:tcPr>
            <w:tcW w:w="611" w:type="dxa"/>
            <w:shd w:val="clear" w:color="auto" w:fill="C0C0C0"/>
            <w:vAlign w:val="center"/>
          </w:tcPr>
          <w:p w14:paraId="0CDD5124" w14:textId="77777777" w:rsidR="00147059" w:rsidRPr="004F2C12" w:rsidRDefault="00147059" w:rsidP="006F7FC5">
            <w:pPr>
              <w:jc w:val="center"/>
              <w:rPr>
                <w:rFonts w:ascii="Arial" w:hAnsi="Arial" w:cs="Arial"/>
                <w:b/>
                <w:sz w:val="28"/>
                <w:szCs w:val="28"/>
              </w:rPr>
            </w:pPr>
          </w:p>
        </w:tc>
        <w:tc>
          <w:tcPr>
            <w:tcW w:w="522" w:type="dxa"/>
            <w:tcBorders>
              <w:bottom w:val="single" w:sz="4" w:space="0" w:color="auto"/>
            </w:tcBorders>
            <w:vAlign w:val="center"/>
          </w:tcPr>
          <w:p w14:paraId="217E7E10"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444" w:type="dxa"/>
            <w:tcBorders>
              <w:bottom w:val="single" w:sz="4" w:space="0" w:color="auto"/>
            </w:tcBorders>
            <w:shd w:val="clear" w:color="auto" w:fill="C0C0C0"/>
            <w:vAlign w:val="center"/>
          </w:tcPr>
          <w:p w14:paraId="0CB6F732" w14:textId="77777777" w:rsidR="00147059" w:rsidRPr="004F2C12" w:rsidRDefault="00147059" w:rsidP="006F7FC5">
            <w:pPr>
              <w:jc w:val="center"/>
              <w:rPr>
                <w:rFonts w:ascii="Arial" w:hAnsi="Arial" w:cs="Arial"/>
                <w:b/>
                <w:sz w:val="28"/>
                <w:szCs w:val="28"/>
              </w:rPr>
            </w:pPr>
          </w:p>
        </w:tc>
        <w:tc>
          <w:tcPr>
            <w:tcW w:w="577" w:type="dxa"/>
            <w:tcBorders>
              <w:bottom w:val="single" w:sz="4" w:space="0" w:color="auto"/>
            </w:tcBorders>
            <w:vAlign w:val="center"/>
          </w:tcPr>
          <w:p w14:paraId="6235E24C"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800" w:type="dxa"/>
            <w:shd w:val="clear" w:color="auto" w:fill="C0C0C0"/>
            <w:vAlign w:val="center"/>
          </w:tcPr>
          <w:p w14:paraId="48377319" w14:textId="77777777" w:rsidR="00147059" w:rsidRPr="004F2C12" w:rsidRDefault="00147059" w:rsidP="006F7FC5">
            <w:pPr>
              <w:jc w:val="center"/>
              <w:rPr>
                <w:rFonts w:ascii="Arial" w:hAnsi="Arial" w:cs="Arial"/>
                <w:b/>
                <w:sz w:val="28"/>
                <w:szCs w:val="28"/>
              </w:rPr>
            </w:pPr>
          </w:p>
        </w:tc>
        <w:tc>
          <w:tcPr>
            <w:tcW w:w="666" w:type="dxa"/>
            <w:shd w:val="clear" w:color="auto" w:fill="C0C0C0"/>
            <w:vAlign w:val="center"/>
          </w:tcPr>
          <w:p w14:paraId="124758BB" w14:textId="77777777" w:rsidR="00147059" w:rsidRPr="004F2C12" w:rsidRDefault="00147059" w:rsidP="006F7FC5">
            <w:pPr>
              <w:jc w:val="center"/>
              <w:rPr>
                <w:rFonts w:ascii="Arial" w:hAnsi="Arial" w:cs="Arial"/>
                <w:b/>
                <w:sz w:val="28"/>
                <w:szCs w:val="28"/>
              </w:rPr>
            </w:pPr>
          </w:p>
        </w:tc>
        <w:tc>
          <w:tcPr>
            <w:tcW w:w="733" w:type="dxa"/>
            <w:shd w:val="clear" w:color="auto" w:fill="C0C0C0"/>
            <w:vAlign w:val="center"/>
          </w:tcPr>
          <w:p w14:paraId="5623BED2"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345C63AB"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576867BE"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5B60CEF2"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2BEFFB79" w14:textId="77777777" w:rsidR="00147059" w:rsidRPr="004F2C12" w:rsidRDefault="00147059" w:rsidP="006F7FC5">
            <w:pPr>
              <w:jc w:val="center"/>
              <w:rPr>
                <w:rFonts w:ascii="Arial" w:hAnsi="Arial" w:cs="Arial"/>
                <w:b/>
                <w:sz w:val="28"/>
                <w:szCs w:val="28"/>
              </w:rPr>
            </w:pPr>
          </w:p>
        </w:tc>
      </w:tr>
      <w:tr w:rsidR="00147059" w:rsidRPr="004F2C12" w14:paraId="165CBCD4" w14:textId="77777777" w:rsidTr="00147059">
        <w:trPr>
          <w:cantSplit/>
          <w:trHeight w:val="432"/>
        </w:trPr>
        <w:tc>
          <w:tcPr>
            <w:tcW w:w="1445" w:type="dxa"/>
            <w:vAlign w:val="bottom"/>
          </w:tcPr>
          <w:p w14:paraId="7C840725" w14:textId="77777777" w:rsidR="00147059" w:rsidRPr="0012237E" w:rsidRDefault="00147059" w:rsidP="006F7FC5">
            <w:pPr>
              <w:rPr>
                <w:rFonts w:ascii="Arial" w:hAnsi="Arial" w:cs="Arial"/>
                <w:sz w:val="20"/>
                <w:szCs w:val="20"/>
              </w:rPr>
            </w:pPr>
            <w:r w:rsidRPr="0012237E">
              <w:rPr>
                <w:rFonts w:ascii="Arial" w:hAnsi="Arial" w:cs="Arial"/>
                <w:sz w:val="20"/>
                <w:szCs w:val="20"/>
              </w:rPr>
              <w:t>Thawed CRYOPRECIPITATE</w:t>
            </w:r>
          </w:p>
        </w:tc>
        <w:tc>
          <w:tcPr>
            <w:tcW w:w="611" w:type="dxa"/>
            <w:tcBorders>
              <w:bottom w:val="single" w:sz="4" w:space="0" w:color="auto"/>
            </w:tcBorders>
            <w:vAlign w:val="center"/>
          </w:tcPr>
          <w:p w14:paraId="70130B41"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tcBorders>
              <w:bottom w:val="single" w:sz="4" w:space="0" w:color="auto"/>
            </w:tcBorders>
            <w:shd w:val="clear" w:color="auto" w:fill="C0C0C0"/>
            <w:vAlign w:val="center"/>
          </w:tcPr>
          <w:p w14:paraId="25A39D59" w14:textId="77777777" w:rsidR="00147059" w:rsidRPr="004F2C12" w:rsidRDefault="00147059" w:rsidP="006F7FC5">
            <w:pPr>
              <w:jc w:val="center"/>
              <w:rPr>
                <w:rFonts w:ascii="Arial" w:hAnsi="Arial" w:cs="Arial"/>
                <w:b/>
                <w:sz w:val="28"/>
                <w:szCs w:val="28"/>
              </w:rPr>
            </w:pPr>
          </w:p>
        </w:tc>
        <w:tc>
          <w:tcPr>
            <w:tcW w:w="444" w:type="dxa"/>
            <w:tcBorders>
              <w:bottom w:val="single" w:sz="4" w:space="0" w:color="auto"/>
            </w:tcBorders>
            <w:vAlign w:val="center"/>
          </w:tcPr>
          <w:p w14:paraId="10D825FE" w14:textId="77777777" w:rsidR="00147059" w:rsidRPr="004F2C12" w:rsidRDefault="00147059" w:rsidP="006F7FC5">
            <w:pPr>
              <w:tabs>
                <w:tab w:val="center" w:pos="261"/>
              </w:tabs>
              <w:jc w:val="center"/>
              <w:rPr>
                <w:rFonts w:ascii="Arial" w:hAnsi="Arial" w:cs="Arial"/>
                <w:b/>
                <w:sz w:val="28"/>
                <w:szCs w:val="28"/>
              </w:rPr>
            </w:pPr>
            <w:r w:rsidRPr="004F2C12">
              <w:rPr>
                <w:rFonts w:ascii="Arial" w:hAnsi="Arial" w:cs="Arial"/>
                <w:b/>
                <w:sz w:val="28"/>
                <w:szCs w:val="28"/>
              </w:rPr>
              <w:t>X</w:t>
            </w:r>
          </w:p>
        </w:tc>
        <w:tc>
          <w:tcPr>
            <w:tcW w:w="577" w:type="dxa"/>
            <w:tcBorders>
              <w:bottom w:val="single" w:sz="4" w:space="0" w:color="auto"/>
            </w:tcBorders>
            <w:shd w:val="clear" w:color="auto" w:fill="C0C0C0"/>
            <w:vAlign w:val="center"/>
          </w:tcPr>
          <w:p w14:paraId="4F363FC3" w14:textId="77777777" w:rsidR="00147059" w:rsidRPr="004F2C12" w:rsidRDefault="00147059" w:rsidP="006F7FC5">
            <w:pPr>
              <w:jc w:val="center"/>
              <w:rPr>
                <w:rFonts w:ascii="Arial" w:hAnsi="Arial" w:cs="Arial"/>
                <w:b/>
                <w:sz w:val="28"/>
                <w:szCs w:val="28"/>
              </w:rPr>
            </w:pPr>
          </w:p>
        </w:tc>
        <w:tc>
          <w:tcPr>
            <w:tcW w:w="800" w:type="dxa"/>
            <w:tcBorders>
              <w:bottom w:val="single" w:sz="4" w:space="0" w:color="auto"/>
            </w:tcBorders>
            <w:vAlign w:val="center"/>
          </w:tcPr>
          <w:p w14:paraId="6F390869"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tcBorders>
              <w:bottom w:val="single" w:sz="4" w:space="0" w:color="auto"/>
            </w:tcBorders>
            <w:shd w:val="clear" w:color="auto" w:fill="C0C0C0"/>
            <w:vAlign w:val="center"/>
          </w:tcPr>
          <w:p w14:paraId="7A04858C" w14:textId="77777777" w:rsidR="00147059" w:rsidRPr="004F2C12" w:rsidRDefault="00147059" w:rsidP="006F7FC5">
            <w:pPr>
              <w:jc w:val="center"/>
              <w:rPr>
                <w:rFonts w:ascii="Arial" w:hAnsi="Arial" w:cs="Arial"/>
                <w:b/>
                <w:sz w:val="28"/>
                <w:szCs w:val="28"/>
              </w:rPr>
            </w:pPr>
          </w:p>
        </w:tc>
        <w:tc>
          <w:tcPr>
            <w:tcW w:w="733" w:type="dxa"/>
            <w:tcBorders>
              <w:bottom w:val="single" w:sz="4" w:space="0" w:color="auto"/>
            </w:tcBorders>
            <w:shd w:val="clear" w:color="auto" w:fill="C0C0C0"/>
            <w:vAlign w:val="center"/>
          </w:tcPr>
          <w:p w14:paraId="1A845129" w14:textId="77777777" w:rsidR="00147059" w:rsidRPr="004F2C12" w:rsidRDefault="00147059" w:rsidP="006F7FC5">
            <w:pPr>
              <w:jc w:val="center"/>
              <w:rPr>
                <w:rFonts w:ascii="Arial" w:hAnsi="Arial" w:cs="Arial"/>
                <w:b/>
                <w:sz w:val="28"/>
                <w:szCs w:val="28"/>
              </w:rPr>
            </w:pPr>
          </w:p>
        </w:tc>
        <w:tc>
          <w:tcPr>
            <w:tcW w:w="544" w:type="dxa"/>
            <w:tcBorders>
              <w:bottom w:val="single" w:sz="4" w:space="0" w:color="auto"/>
            </w:tcBorders>
            <w:shd w:val="clear" w:color="auto" w:fill="C0C0C0"/>
            <w:vAlign w:val="center"/>
          </w:tcPr>
          <w:p w14:paraId="612A4AC3" w14:textId="77777777" w:rsidR="00147059" w:rsidRPr="004F2C12" w:rsidRDefault="00147059" w:rsidP="006F7FC5">
            <w:pPr>
              <w:jc w:val="center"/>
              <w:rPr>
                <w:rFonts w:ascii="Arial" w:hAnsi="Arial" w:cs="Arial"/>
                <w:b/>
                <w:sz w:val="28"/>
                <w:szCs w:val="28"/>
              </w:rPr>
            </w:pPr>
          </w:p>
        </w:tc>
        <w:tc>
          <w:tcPr>
            <w:tcW w:w="700" w:type="dxa"/>
            <w:tcBorders>
              <w:bottom w:val="single" w:sz="4" w:space="0" w:color="auto"/>
            </w:tcBorders>
            <w:shd w:val="clear" w:color="auto" w:fill="C0C0C0"/>
            <w:vAlign w:val="center"/>
          </w:tcPr>
          <w:p w14:paraId="2E8315E0" w14:textId="77777777" w:rsidR="00147059" w:rsidRPr="004F2C12" w:rsidRDefault="00147059"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14:paraId="75EAEF97" w14:textId="77777777" w:rsidR="00147059" w:rsidRPr="004F2C12" w:rsidRDefault="00147059"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14:paraId="50F65D0E" w14:textId="77777777" w:rsidR="00147059" w:rsidRPr="004F2C12" w:rsidRDefault="00147059" w:rsidP="006F7FC5">
            <w:pPr>
              <w:jc w:val="center"/>
              <w:rPr>
                <w:rFonts w:ascii="Arial" w:hAnsi="Arial" w:cs="Arial"/>
                <w:b/>
                <w:sz w:val="28"/>
                <w:szCs w:val="28"/>
              </w:rPr>
            </w:pPr>
          </w:p>
        </w:tc>
      </w:tr>
      <w:tr w:rsidR="00147059" w:rsidRPr="004F2C12" w14:paraId="1085A133" w14:textId="77777777" w:rsidTr="00147059">
        <w:trPr>
          <w:cantSplit/>
          <w:trHeight w:val="432"/>
        </w:trPr>
        <w:tc>
          <w:tcPr>
            <w:tcW w:w="1445" w:type="dxa"/>
            <w:vAlign w:val="bottom"/>
          </w:tcPr>
          <w:p w14:paraId="7EC4C337" w14:textId="77777777" w:rsidR="00147059" w:rsidRPr="0012237E" w:rsidRDefault="00147059" w:rsidP="006F7FC5">
            <w:pPr>
              <w:rPr>
                <w:rFonts w:ascii="Arial" w:hAnsi="Arial" w:cs="Arial"/>
                <w:sz w:val="20"/>
                <w:szCs w:val="20"/>
              </w:rPr>
            </w:pPr>
            <w:r w:rsidRPr="0012237E">
              <w:rPr>
                <w:rFonts w:ascii="Arial" w:hAnsi="Arial" w:cs="Arial"/>
                <w:sz w:val="20"/>
                <w:szCs w:val="20"/>
              </w:rPr>
              <w:t>POOLED CRYOPRECIPITATE</w:t>
            </w:r>
          </w:p>
        </w:tc>
        <w:tc>
          <w:tcPr>
            <w:tcW w:w="611" w:type="dxa"/>
            <w:tcBorders>
              <w:bottom w:val="single" w:sz="4" w:space="0" w:color="auto"/>
            </w:tcBorders>
            <w:shd w:val="clear" w:color="auto" w:fill="C0C0C0"/>
            <w:vAlign w:val="center"/>
          </w:tcPr>
          <w:p w14:paraId="5D8209A4" w14:textId="77777777" w:rsidR="00147059" w:rsidRPr="004F2C12" w:rsidRDefault="00147059" w:rsidP="006F7FC5">
            <w:pPr>
              <w:jc w:val="center"/>
              <w:rPr>
                <w:rFonts w:ascii="Arial" w:hAnsi="Arial" w:cs="Arial"/>
                <w:b/>
                <w:sz w:val="28"/>
                <w:szCs w:val="28"/>
              </w:rPr>
            </w:pPr>
          </w:p>
        </w:tc>
        <w:tc>
          <w:tcPr>
            <w:tcW w:w="522" w:type="dxa"/>
            <w:tcBorders>
              <w:bottom w:val="single" w:sz="4" w:space="0" w:color="auto"/>
            </w:tcBorders>
            <w:vAlign w:val="center"/>
          </w:tcPr>
          <w:p w14:paraId="60B8D1BC"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444" w:type="dxa"/>
            <w:tcBorders>
              <w:bottom w:val="single" w:sz="4" w:space="0" w:color="auto"/>
            </w:tcBorders>
            <w:shd w:val="clear" w:color="auto" w:fill="C0C0C0"/>
            <w:vAlign w:val="center"/>
          </w:tcPr>
          <w:p w14:paraId="2D530E7C" w14:textId="77777777" w:rsidR="00147059" w:rsidRPr="004F2C12" w:rsidRDefault="00147059"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14:paraId="665F882E" w14:textId="77777777" w:rsidR="00147059" w:rsidRPr="004F2C12" w:rsidRDefault="00147059" w:rsidP="006F7FC5">
            <w:pPr>
              <w:jc w:val="center"/>
              <w:rPr>
                <w:rFonts w:ascii="Arial" w:hAnsi="Arial" w:cs="Arial"/>
                <w:b/>
                <w:sz w:val="28"/>
                <w:szCs w:val="28"/>
              </w:rPr>
            </w:pPr>
          </w:p>
        </w:tc>
        <w:tc>
          <w:tcPr>
            <w:tcW w:w="800" w:type="dxa"/>
            <w:shd w:val="clear" w:color="auto" w:fill="C0C0C0"/>
            <w:vAlign w:val="center"/>
          </w:tcPr>
          <w:p w14:paraId="79F84471" w14:textId="77777777" w:rsidR="00147059" w:rsidRPr="004F2C12" w:rsidRDefault="00147059" w:rsidP="006F7FC5">
            <w:pPr>
              <w:jc w:val="center"/>
              <w:rPr>
                <w:rFonts w:ascii="Arial" w:hAnsi="Arial" w:cs="Arial"/>
                <w:b/>
                <w:sz w:val="28"/>
                <w:szCs w:val="28"/>
              </w:rPr>
            </w:pPr>
          </w:p>
        </w:tc>
        <w:tc>
          <w:tcPr>
            <w:tcW w:w="666" w:type="dxa"/>
            <w:tcBorders>
              <w:bottom w:val="single" w:sz="4" w:space="0" w:color="auto"/>
            </w:tcBorders>
            <w:shd w:val="clear" w:color="auto" w:fill="C0C0C0"/>
            <w:vAlign w:val="center"/>
          </w:tcPr>
          <w:p w14:paraId="4466AD4B" w14:textId="77777777" w:rsidR="00147059" w:rsidRPr="004F2C12" w:rsidRDefault="00147059" w:rsidP="006F7FC5">
            <w:pPr>
              <w:jc w:val="center"/>
              <w:rPr>
                <w:rFonts w:ascii="Arial" w:hAnsi="Arial" w:cs="Arial"/>
                <w:b/>
                <w:sz w:val="28"/>
                <w:szCs w:val="28"/>
              </w:rPr>
            </w:pPr>
          </w:p>
        </w:tc>
        <w:tc>
          <w:tcPr>
            <w:tcW w:w="733" w:type="dxa"/>
            <w:tcBorders>
              <w:bottom w:val="single" w:sz="4" w:space="0" w:color="auto"/>
            </w:tcBorders>
            <w:shd w:val="clear" w:color="auto" w:fill="C0C0C0"/>
            <w:vAlign w:val="center"/>
          </w:tcPr>
          <w:p w14:paraId="3212F508" w14:textId="77777777" w:rsidR="00147059" w:rsidRPr="004F2C12" w:rsidRDefault="00147059" w:rsidP="006F7FC5">
            <w:pPr>
              <w:jc w:val="center"/>
              <w:rPr>
                <w:rFonts w:ascii="Arial" w:hAnsi="Arial" w:cs="Arial"/>
                <w:b/>
                <w:sz w:val="28"/>
                <w:szCs w:val="28"/>
              </w:rPr>
            </w:pPr>
          </w:p>
        </w:tc>
        <w:tc>
          <w:tcPr>
            <w:tcW w:w="544" w:type="dxa"/>
            <w:tcBorders>
              <w:bottom w:val="single" w:sz="4" w:space="0" w:color="auto"/>
            </w:tcBorders>
            <w:shd w:val="clear" w:color="auto" w:fill="C0C0C0"/>
            <w:vAlign w:val="center"/>
          </w:tcPr>
          <w:p w14:paraId="1C4F0522" w14:textId="77777777" w:rsidR="00147059" w:rsidRPr="004F2C12" w:rsidRDefault="00147059" w:rsidP="006F7FC5">
            <w:pPr>
              <w:jc w:val="center"/>
              <w:rPr>
                <w:rFonts w:ascii="Arial" w:hAnsi="Arial" w:cs="Arial"/>
                <w:b/>
                <w:sz w:val="28"/>
                <w:szCs w:val="28"/>
              </w:rPr>
            </w:pPr>
          </w:p>
        </w:tc>
        <w:tc>
          <w:tcPr>
            <w:tcW w:w="700" w:type="dxa"/>
            <w:tcBorders>
              <w:bottom w:val="single" w:sz="4" w:space="0" w:color="auto"/>
            </w:tcBorders>
            <w:shd w:val="clear" w:color="auto" w:fill="C0C0C0"/>
            <w:vAlign w:val="center"/>
          </w:tcPr>
          <w:p w14:paraId="1E8498EF" w14:textId="77777777" w:rsidR="00147059" w:rsidRPr="004F2C12" w:rsidRDefault="00147059"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14:paraId="5FEBC969" w14:textId="77777777" w:rsidR="00147059" w:rsidRPr="004F2C12" w:rsidRDefault="00147059"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14:paraId="739AB102" w14:textId="77777777" w:rsidR="00147059" w:rsidRPr="004F2C12" w:rsidRDefault="00147059" w:rsidP="006F7FC5">
            <w:pPr>
              <w:jc w:val="center"/>
              <w:rPr>
                <w:rFonts w:ascii="Arial" w:hAnsi="Arial" w:cs="Arial"/>
                <w:b/>
                <w:sz w:val="28"/>
                <w:szCs w:val="28"/>
              </w:rPr>
            </w:pPr>
          </w:p>
        </w:tc>
      </w:tr>
      <w:tr w:rsidR="00147059" w:rsidRPr="004F2C12" w14:paraId="494954FA" w14:textId="77777777" w:rsidTr="00147059">
        <w:trPr>
          <w:cantSplit/>
          <w:trHeight w:val="432"/>
        </w:trPr>
        <w:tc>
          <w:tcPr>
            <w:tcW w:w="1445" w:type="dxa"/>
            <w:vAlign w:val="bottom"/>
          </w:tcPr>
          <w:p w14:paraId="7185E496" w14:textId="77777777" w:rsidR="00147059" w:rsidRPr="0012237E" w:rsidRDefault="00147059" w:rsidP="006F7FC5">
            <w:pPr>
              <w:rPr>
                <w:rFonts w:ascii="Arial" w:hAnsi="Arial" w:cs="Arial"/>
                <w:sz w:val="20"/>
                <w:szCs w:val="20"/>
              </w:rPr>
            </w:pPr>
            <w:r w:rsidRPr="0012237E">
              <w:rPr>
                <w:rFonts w:ascii="Arial" w:hAnsi="Arial" w:cs="Arial"/>
                <w:sz w:val="20"/>
                <w:szCs w:val="20"/>
              </w:rPr>
              <w:lastRenderedPageBreak/>
              <w:t>Thawed POOLED CRYOPRECIPITATE</w:t>
            </w:r>
          </w:p>
        </w:tc>
        <w:tc>
          <w:tcPr>
            <w:tcW w:w="611" w:type="dxa"/>
            <w:shd w:val="pct25" w:color="auto" w:fill="auto"/>
            <w:vAlign w:val="center"/>
          </w:tcPr>
          <w:p w14:paraId="389F3E23" w14:textId="77777777" w:rsidR="00147059" w:rsidRDefault="00147059" w:rsidP="006F7FC5">
            <w:pPr>
              <w:jc w:val="center"/>
              <w:rPr>
                <w:rFonts w:ascii="Arial" w:hAnsi="Arial" w:cs="Arial"/>
                <w:b/>
                <w:sz w:val="28"/>
                <w:szCs w:val="28"/>
              </w:rPr>
            </w:pPr>
          </w:p>
          <w:p w14:paraId="501F9111" w14:textId="77777777" w:rsidR="00147059" w:rsidRPr="004F2C12" w:rsidRDefault="00147059" w:rsidP="006F7FC5">
            <w:pPr>
              <w:jc w:val="center"/>
              <w:rPr>
                <w:rFonts w:ascii="Arial" w:hAnsi="Arial" w:cs="Arial"/>
                <w:b/>
                <w:sz w:val="28"/>
                <w:szCs w:val="28"/>
              </w:rPr>
            </w:pPr>
          </w:p>
        </w:tc>
        <w:tc>
          <w:tcPr>
            <w:tcW w:w="522" w:type="dxa"/>
            <w:shd w:val="pct25" w:color="auto" w:fill="auto"/>
            <w:vAlign w:val="center"/>
          </w:tcPr>
          <w:p w14:paraId="660D1689" w14:textId="77777777" w:rsidR="00147059" w:rsidRPr="004F2C12" w:rsidRDefault="00147059" w:rsidP="006F7FC5">
            <w:pPr>
              <w:jc w:val="center"/>
              <w:rPr>
                <w:rFonts w:ascii="Arial" w:hAnsi="Arial" w:cs="Arial"/>
                <w:b/>
                <w:sz w:val="28"/>
                <w:szCs w:val="28"/>
              </w:rPr>
            </w:pPr>
          </w:p>
        </w:tc>
        <w:tc>
          <w:tcPr>
            <w:tcW w:w="444" w:type="dxa"/>
            <w:tcBorders>
              <w:bottom w:val="single" w:sz="4" w:space="0" w:color="auto"/>
            </w:tcBorders>
            <w:vAlign w:val="center"/>
          </w:tcPr>
          <w:p w14:paraId="1F266C0D"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77" w:type="dxa"/>
            <w:tcBorders>
              <w:bottom w:val="single" w:sz="4" w:space="0" w:color="auto"/>
            </w:tcBorders>
            <w:shd w:val="clear" w:color="auto" w:fill="C0C0C0"/>
            <w:vAlign w:val="center"/>
          </w:tcPr>
          <w:p w14:paraId="200BDFE1" w14:textId="77777777" w:rsidR="00147059" w:rsidRPr="004F2C12" w:rsidRDefault="00147059" w:rsidP="006F7FC5">
            <w:pPr>
              <w:jc w:val="center"/>
              <w:rPr>
                <w:rFonts w:ascii="Arial" w:hAnsi="Arial" w:cs="Arial"/>
                <w:b/>
                <w:sz w:val="28"/>
                <w:szCs w:val="28"/>
              </w:rPr>
            </w:pPr>
          </w:p>
        </w:tc>
        <w:tc>
          <w:tcPr>
            <w:tcW w:w="800" w:type="dxa"/>
            <w:tcBorders>
              <w:bottom w:val="single" w:sz="4" w:space="0" w:color="auto"/>
            </w:tcBorders>
            <w:vAlign w:val="center"/>
          </w:tcPr>
          <w:p w14:paraId="02987436"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shd w:val="clear" w:color="auto" w:fill="C0C0C0"/>
            <w:vAlign w:val="center"/>
          </w:tcPr>
          <w:p w14:paraId="2DAEFB4F" w14:textId="77777777" w:rsidR="00147059" w:rsidRPr="004F2C12" w:rsidRDefault="00147059" w:rsidP="006F7FC5">
            <w:pPr>
              <w:jc w:val="center"/>
              <w:rPr>
                <w:rFonts w:ascii="Arial" w:hAnsi="Arial" w:cs="Arial"/>
                <w:b/>
                <w:sz w:val="28"/>
                <w:szCs w:val="28"/>
              </w:rPr>
            </w:pPr>
          </w:p>
        </w:tc>
        <w:tc>
          <w:tcPr>
            <w:tcW w:w="733" w:type="dxa"/>
            <w:shd w:val="clear" w:color="auto" w:fill="C0C0C0"/>
            <w:vAlign w:val="center"/>
          </w:tcPr>
          <w:p w14:paraId="2CEBC850"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6C7081E5"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3334306B"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74324705"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47DB75F7" w14:textId="77777777" w:rsidR="00147059" w:rsidRPr="004F2C12" w:rsidRDefault="00147059" w:rsidP="006F7FC5">
            <w:pPr>
              <w:jc w:val="center"/>
              <w:rPr>
                <w:rFonts w:ascii="Arial" w:hAnsi="Arial" w:cs="Arial"/>
                <w:b/>
                <w:sz w:val="28"/>
                <w:szCs w:val="28"/>
              </w:rPr>
            </w:pPr>
          </w:p>
        </w:tc>
      </w:tr>
      <w:tr w:rsidR="00147059" w:rsidRPr="004F2C12" w14:paraId="0E901CC7" w14:textId="77777777" w:rsidTr="00147059">
        <w:trPr>
          <w:cantSplit/>
          <w:trHeight w:val="432"/>
        </w:trPr>
        <w:tc>
          <w:tcPr>
            <w:tcW w:w="1445" w:type="dxa"/>
            <w:vAlign w:val="bottom"/>
          </w:tcPr>
          <w:p w14:paraId="1D4DE944" w14:textId="77777777" w:rsidR="00147059" w:rsidRPr="0012237E" w:rsidRDefault="00147059" w:rsidP="006F7FC5">
            <w:pPr>
              <w:rPr>
                <w:rFonts w:ascii="Arial" w:hAnsi="Arial" w:cs="Arial"/>
                <w:sz w:val="20"/>
                <w:szCs w:val="20"/>
              </w:rPr>
            </w:pPr>
            <w:r w:rsidRPr="0012237E">
              <w:rPr>
                <w:rFonts w:ascii="Arial" w:hAnsi="Arial" w:cs="Arial"/>
                <w:sz w:val="20"/>
                <w:szCs w:val="20"/>
              </w:rPr>
              <w:t>APHERESIS CRYOPRECIPITATE</w:t>
            </w:r>
          </w:p>
        </w:tc>
        <w:tc>
          <w:tcPr>
            <w:tcW w:w="611" w:type="dxa"/>
            <w:shd w:val="clear" w:color="auto" w:fill="C0C0C0"/>
            <w:vAlign w:val="center"/>
          </w:tcPr>
          <w:p w14:paraId="50FAA580" w14:textId="77777777" w:rsidR="00147059" w:rsidRPr="004F2C12" w:rsidRDefault="00147059" w:rsidP="006F7FC5">
            <w:pPr>
              <w:jc w:val="center"/>
              <w:rPr>
                <w:rFonts w:ascii="Arial" w:hAnsi="Arial" w:cs="Arial"/>
                <w:b/>
                <w:sz w:val="28"/>
                <w:szCs w:val="28"/>
              </w:rPr>
            </w:pPr>
          </w:p>
        </w:tc>
        <w:tc>
          <w:tcPr>
            <w:tcW w:w="522" w:type="dxa"/>
            <w:tcBorders>
              <w:bottom w:val="single" w:sz="4" w:space="0" w:color="auto"/>
            </w:tcBorders>
            <w:vAlign w:val="center"/>
          </w:tcPr>
          <w:p w14:paraId="3AAC0A80"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444" w:type="dxa"/>
            <w:tcBorders>
              <w:bottom w:val="single" w:sz="4" w:space="0" w:color="auto"/>
            </w:tcBorders>
            <w:shd w:val="clear" w:color="auto" w:fill="C0C0C0"/>
            <w:vAlign w:val="center"/>
          </w:tcPr>
          <w:p w14:paraId="751B92A9" w14:textId="77777777" w:rsidR="00147059" w:rsidRPr="004F2C12" w:rsidRDefault="00147059"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14:paraId="3DD64625" w14:textId="77777777" w:rsidR="00147059" w:rsidRPr="004F2C12" w:rsidRDefault="00147059" w:rsidP="006F7FC5">
            <w:pPr>
              <w:jc w:val="center"/>
              <w:rPr>
                <w:rFonts w:ascii="Arial" w:hAnsi="Arial" w:cs="Arial"/>
                <w:b/>
                <w:sz w:val="28"/>
                <w:szCs w:val="28"/>
              </w:rPr>
            </w:pPr>
          </w:p>
        </w:tc>
        <w:tc>
          <w:tcPr>
            <w:tcW w:w="800" w:type="dxa"/>
            <w:shd w:val="clear" w:color="auto" w:fill="C0C0C0"/>
            <w:vAlign w:val="center"/>
          </w:tcPr>
          <w:p w14:paraId="604DD0E2" w14:textId="77777777" w:rsidR="00147059" w:rsidRPr="004F2C12" w:rsidRDefault="00147059" w:rsidP="006F7FC5">
            <w:pPr>
              <w:jc w:val="center"/>
              <w:rPr>
                <w:rFonts w:ascii="Arial" w:hAnsi="Arial" w:cs="Arial"/>
                <w:b/>
                <w:sz w:val="28"/>
                <w:szCs w:val="28"/>
              </w:rPr>
            </w:pPr>
          </w:p>
        </w:tc>
        <w:tc>
          <w:tcPr>
            <w:tcW w:w="666" w:type="dxa"/>
            <w:shd w:val="clear" w:color="auto" w:fill="C0C0C0"/>
            <w:vAlign w:val="center"/>
          </w:tcPr>
          <w:p w14:paraId="245346F8" w14:textId="77777777" w:rsidR="00147059" w:rsidRPr="004F2C12" w:rsidRDefault="00147059" w:rsidP="006F7FC5">
            <w:pPr>
              <w:jc w:val="center"/>
              <w:rPr>
                <w:rFonts w:ascii="Arial" w:hAnsi="Arial" w:cs="Arial"/>
                <w:b/>
                <w:sz w:val="28"/>
                <w:szCs w:val="28"/>
              </w:rPr>
            </w:pPr>
          </w:p>
        </w:tc>
        <w:tc>
          <w:tcPr>
            <w:tcW w:w="733" w:type="dxa"/>
            <w:shd w:val="clear" w:color="auto" w:fill="C0C0C0"/>
            <w:vAlign w:val="center"/>
          </w:tcPr>
          <w:p w14:paraId="29D65BE8"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1F909585"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08C4D8AD"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02B911A9"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10E72556" w14:textId="77777777" w:rsidR="00147059" w:rsidRPr="004F2C12" w:rsidRDefault="00147059" w:rsidP="006F7FC5">
            <w:pPr>
              <w:jc w:val="center"/>
              <w:rPr>
                <w:rFonts w:ascii="Arial" w:hAnsi="Arial" w:cs="Arial"/>
                <w:b/>
                <w:sz w:val="28"/>
                <w:szCs w:val="28"/>
              </w:rPr>
            </w:pPr>
          </w:p>
        </w:tc>
      </w:tr>
      <w:tr w:rsidR="00147059" w:rsidRPr="004F2C12" w14:paraId="664CB2D8" w14:textId="77777777" w:rsidTr="00147059">
        <w:trPr>
          <w:cantSplit/>
          <w:trHeight w:val="432"/>
        </w:trPr>
        <w:tc>
          <w:tcPr>
            <w:tcW w:w="1445" w:type="dxa"/>
            <w:vAlign w:val="bottom"/>
          </w:tcPr>
          <w:p w14:paraId="49ACC22E" w14:textId="77777777" w:rsidR="00147059" w:rsidRPr="0012237E" w:rsidRDefault="00147059" w:rsidP="006F7FC5">
            <w:pPr>
              <w:rPr>
                <w:rFonts w:ascii="Arial" w:hAnsi="Arial" w:cs="Arial"/>
                <w:sz w:val="20"/>
                <w:szCs w:val="20"/>
              </w:rPr>
            </w:pPr>
            <w:r w:rsidRPr="0012237E">
              <w:rPr>
                <w:rFonts w:ascii="Arial" w:hAnsi="Arial" w:cs="Arial"/>
                <w:sz w:val="20"/>
                <w:szCs w:val="20"/>
              </w:rPr>
              <w:t>Thawed APHERESIS CRYOPRECIPITATE</w:t>
            </w:r>
          </w:p>
        </w:tc>
        <w:tc>
          <w:tcPr>
            <w:tcW w:w="611" w:type="dxa"/>
            <w:vAlign w:val="center"/>
          </w:tcPr>
          <w:p w14:paraId="03A227EB"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tcBorders>
              <w:bottom w:val="single" w:sz="4" w:space="0" w:color="auto"/>
            </w:tcBorders>
            <w:shd w:val="clear" w:color="auto" w:fill="C0C0C0"/>
            <w:vAlign w:val="center"/>
          </w:tcPr>
          <w:p w14:paraId="7EE2279A"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451638DB" w14:textId="77777777" w:rsidR="00147059" w:rsidRPr="004F2C12" w:rsidRDefault="00147059"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14:paraId="008FF16B" w14:textId="77777777" w:rsidR="00147059" w:rsidRPr="004F2C12" w:rsidRDefault="00147059" w:rsidP="006F7FC5">
            <w:pPr>
              <w:jc w:val="center"/>
              <w:rPr>
                <w:rFonts w:ascii="Arial" w:hAnsi="Arial" w:cs="Arial"/>
                <w:b/>
                <w:sz w:val="28"/>
                <w:szCs w:val="28"/>
              </w:rPr>
            </w:pPr>
          </w:p>
        </w:tc>
        <w:tc>
          <w:tcPr>
            <w:tcW w:w="800" w:type="dxa"/>
            <w:vAlign w:val="center"/>
          </w:tcPr>
          <w:p w14:paraId="2D2D50C4"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shd w:val="clear" w:color="auto" w:fill="C0C0C0"/>
            <w:vAlign w:val="center"/>
          </w:tcPr>
          <w:p w14:paraId="3E804034" w14:textId="77777777" w:rsidR="00147059" w:rsidRPr="004F2C12" w:rsidRDefault="00147059" w:rsidP="006F7FC5">
            <w:pPr>
              <w:jc w:val="center"/>
              <w:rPr>
                <w:rFonts w:ascii="Arial" w:hAnsi="Arial" w:cs="Arial"/>
                <w:b/>
                <w:sz w:val="28"/>
                <w:szCs w:val="28"/>
              </w:rPr>
            </w:pPr>
          </w:p>
        </w:tc>
        <w:tc>
          <w:tcPr>
            <w:tcW w:w="733" w:type="dxa"/>
            <w:shd w:val="clear" w:color="auto" w:fill="C0C0C0"/>
            <w:vAlign w:val="center"/>
          </w:tcPr>
          <w:p w14:paraId="592BD76E"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01F47287"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19DA572C"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684EFA51"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38E5E345" w14:textId="77777777" w:rsidR="00147059" w:rsidRPr="004F2C12" w:rsidRDefault="00147059" w:rsidP="006F7FC5">
            <w:pPr>
              <w:jc w:val="center"/>
              <w:rPr>
                <w:rFonts w:ascii="Arial" w:hAnsi="Arial" w:cs="Arial"/>
                <w:b/>
                <w:sz w:val="28"/>
                <w:szCs w:val="28"/>
              </w:rPr>
            </w:pPr>
          </w:p>
        </w:tc>
      </w:tr>
      <w:tr w:rsidR="00147059" w:rsidRPr="004F2C12" w14:paraId="63A0187F" w14:textId="77777777" w:rsidTr="00147059">
        <w:trPr>
          <w:cantSplit/>
          <w:trHeight w:val="432"/>
        </w:trPr>
        <w:tc>
          <w:tcPr>
            <w:tcW w:w="1445" w:type="dxa"/>
            <w:vAlign w:val="bottom"/>
          </w:tcPr>
          <w:p w14:paraId="2775EE13" w14:textId="77777777" w:rsidR="00147059" w:rsidRPr="0012237E" w:rsidRDefault="00147059" w:rsidP="006F7FC5">
            <w:pPr>
              <w:rPr>
                <w:rFonts w:ascii="Arial" w:hAnsi="Arial" w:cs="Arial"/>
                <w:sz w:val="20"/>
                <w:szCs w:val="20"/>
              </w:rPr>
            </w:pPr>
            <w:r w:rsidRPr="0012237E">
              <w:rPr>
                <w:rFonts w:ascii="Arial" w:hAnsi="Arial" w:cs="Arial"/>
                <w:sz w:val="20"/>
                <w:szCs w:val="20"/>
              </w:rPr>
              <w:t>GRANULOCYTES</w:t>
            </w:r>
          </w:p>
        </w:tc>
        <w:tc>
          <w:tcPr>
            <w:tcW w:w="611" w:type="dxa"/>
            <w:vAlign w:val="center"/>
          </w:tcPr>
          <w:p w14:paraId="723B0E10"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5E9780BC" w14:textId="77777777" w:rsidR="00147059" w:rsidRPr="004F2C12" w:rsidRDefault="00147059" w:rsidP="006F7FC5">
            <w:pPr>
              <w:jc w:val="center"/>
              <w:rPr>
                <w:rFonts w:ascii="Arial" w:hAnsi="Arial" w:cs="Arial"/>
                <w:b/>
                <w:sz w:val="28"/>
                <w:szCs w:val="28"/>
              </w:rPr>
            </w:pPr>
          </w:p>
        </w:tc>
        <w:tc>
          <w:tcPr>
            <w:tcW w:w="444" w:type="dxa"/>
            <w:tcBorders>
              <w:bottom w:val="single" w:sz="4" w:space="0" w:color="auto"/>
            </w:tcBorders>
            <w:vAlign w:val="center"/>
          </w:tcPr>
          <w:p w14:paraId="75328F20"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77" w:type="dxa"/>
            <w:shd w:val="clear" w:color="auto" w:fill="C0C0C0"/>
            <w:vAlign w:val="center"/>
          </w:tcPr>
          <w:p w14:paraId="2FA9AEDE" w14:textId="77777777" w:rsidR="00147059" w:rsidRPr="004F2C12" w:rsidRDefault="00147059" w:rsidP="006F7FC5">
            <w:pPr>
              <w:jc w:val="center"/>
              <w:rPr>
                <w:rFonts w:ascii="Arial" w:hAnsi="Arial" w:cs="Arial"/>
                <w:b/>
                <w:sz w:val="28"/>
                <w:szCs w:val="28"/>
              </w:rPr>
            </w:pPr>
          </w:p>
        </w:tc>
        <w:tc>
          <w:tcPr>
            <w:tcW w:w="800" w:type="dxa"/>
            <w:vAlign w:val="center"/>
          </w:tcPr>
          <w:p w14:paraId="1BA65863"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shd w:val="clear" w:color="auto" w:fill="C0C0C0"/>
            <w:vAlign w:val="center"/>
          </w:tcPr>
          <w:p w14:paraId="57998A5B" w14:textId="77777777" w:rsidR="00147059" w:rsidRPr="004F2C12" w:rsidRDefault="00147059" w:rsidP="006F7FC5">
            <w:pPr>
              <w:jc w:val="center"/>
              <w:rPr>
                <w:rFonts w:ascii="Arial" w:hAnsi="Arial" w:cs="Arial"/>
                <w:b/>
                <w:sz w:val="28"/>
                <w:szCs w:val="28"/>
              </w:rPr>
            </w:pPr>
          </w:p>
        </w:tc>
        <w:tc>
          <w:tcPr>
            <w:tcW w:w="733" w:type="dxa"/>
            <w:shd w:val="clear" w:color="auto" w:fill="C0C0C0"/>
            <w:vAlign w:val="center"/>
          </w:tcPr>
          <w:p w14:paraId="385DAE55"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7CF5D495"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7DE952EF"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7B1F8FEF"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04E1C06F" w14:textId="77777777" w:rsidR="00147059" w:rsidRPr="004F2C12" w:rsidRDefault="00147059" w:rsidP="006F7FC5">
            <w:pPr>
              <w:jc w:val="center"/>
              <w:rPr>
                <w:rFonts w:ascii="Arial" w:hAnsi="Arial" w:cs="Arial"/>
                <w:b/>
                <w:sz w:val="28"/>
                <w:szCs w:val="28"/>
              </w:rPr>
            </w:pPr>
          </w:p>
        </w:tc>
      </w:tr>
      <w:tr w:rsidR="00147059" w:rsidRPr="004F2C12" w14:paraId="383A3DAD" w14:textId="77777777" w:rsidTr="00147059">
        <w:trPr>
          <w:cantSplit/>
          <w:trHeight w:val="576"/>
        </w:trPr>
        <w:tc>
          <w:tcPr>
            <w:tcW w:w="1445" w:type="dxa"/>
            <w:vAlign w:val="bottom"/>
          </w:tcPr>
          <w:p w14:paraId="0FD8A67E" w14:textId="77777777" w:rsidR="00147059" w:rsidRPr="0012237E" w:rsidRDefault="00147059" w:rsidP="006F7FC5">
            <w:pPr>
              <w:rPr>
                <w:rFonts w:ascii="Arial" w:hAnsi="Arial" w:cs="Arial"/>
                <w:sz w:val="20"/>
                <w:szCs w:val="20"/>
              </w:rPr>
            </w:pPr>
            <w:r w:rsidRPr="0012237E">
              <w:rPr>
                <w:rFonts w:ascii="Arial" w:hAnsi="Arial" w:cs="Arial"/>
                <w:sz w:val="20"/>
                <w:szCs w:val="20"/>
              </w:rPr>
              <w:t>APHERESIS GRANULOCYTES</w:t>
            </w:r>
          </w:p>
        </w:tc>
        <w:tc>
          <w:tcPr>
            <w:tcW w:w="611" w:type="dxa"/>
            <w:tcBorders>
              <w:bottom w:val="single" w:sz="4" w:space="0" w:color="auto"/>
            </w:tcBorders>
            <w:vAlign w:val="center"/>
          </w:tcPr>
          <w:p w14:paraId="0577E7E6"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tcBorders>
              <w:bottom w:val="single" w:sz="4" w:space="0" w:color="auto"/>
            </w:tcBorders>
            <w:shd w:val="clear" w:color="auto" w:fill="C0C0C0"/>
            <w:vAlign w:val="center"/>
          </w:tcPr>
          <w:p w14:paraId="640817E7" w14:textId="77777777" w:rsidR="00147059" w:rsidRPr="004F2C12" w:rsidRDefault="00147059" w:rsidP="006F7FC5">
            <w:pPr>
              <w:jc w:val="center"/>
              <w:rPr>
                <w:rFonts w:ascii="Arial" w:hAnsi="Arial" w:cs="Arial"/>
                <w:b/>
                <w:sz w:val="28"/>
                <w:szCs w:val="28"/>
              </w:rPr>
            </w:pPr>
          </w:p>
        </w:tc>
        <w:tc>
          <w:tcPr>
            <w:tcW w:w="444" w:type="dxa"/>
            <w:tcBorders>
              <w:bottom w:val="single" w:sz="4" w:space="0" w:color="auto"/>
            </w:tcBorders>
            <w:shd w:val="clear" w:color="auto" w:fill="C0C0C0"/>
            <w:vAlign w:val="center"/>
          </w:tcPr>
          <w:p w14:paraId="2589DF59"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354A186C" w14:textId="77777777" w:rsidR="00147059" w:rsidRPr="004F2C12" w:rsidRDefault="00147059" w:rsidP="006F7FC5">
            <w:pPr>
              <w:jc w:val="center"/>
              <w:rPr>
                <w:rFonts w:ascii="Arial" w:hAnsi="Arial" w:cs="Arial"/>
                <w:b/>
                <w:sz w:val="28"/>
                <w:szCs w:val="28"/>
              </w:rPr>
            </w:pPr>
          </w:p>
        </w:tc>
        <w:tc>
          <w:tcPr>
            <w:tcW w:w="800" w:type="dxa"/>
            <w:vAlign w:val="center"/>
          </w:tcPr>
          <w:p w14:paraId="7697BED3"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shd w:val="clear" w:color="auto" w:fill="C0C0C0"/>
            <w:vAlign w:val="center"/>
          </w:tcPr>
          <w:p w14:paraId="36808B74" w14:textId="77777777" w:rsidR="00147059" w:rsidRPr="004F2C12" w:rsidRDefault="00147059" w:rsidP="006F7FC5">
            <w:pPr>
              <w:jc w:val="center"/>
              <w:rPr>
                <w:rFonts w:ascii="Arial" w:hAnsi="Arial" w:cs="Arial"/>
                <w:b/>
                <w:sz w:val="28"/>
                <w:szCs w:val="28"/>
              </w:rPr>
            </w:pPr>
          </w:p>
        </w:tc>
        <w:tc>
          <w:tcPr>
            <w:tcW w:w="733" w:type="dxa"/>
            <w:shd w:val="clear" w:color="auto" w:fill="C0C0C0"/>
            <w:vAlign w:val="center"/>
          </w:tcPr>
          <w:p w14:paraId="7C72C312"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59B272E3"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2DEE574A"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2B979025"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7081A23F" w14:textId="77777777" w:rsidR="00147059" w:rsidRPr="004F2C12" w:rsidRDefault="00147059" w:rsidP="006F7FC5">
            <w:pPr>
              <w:jc w:val="center"/>
              <w:rPr>
                <w:rFonts w:ascii="Arial" w:hAnsi="Arial" w:cs="Arial"/>
                <w:b/>
                <w:sz w:val="28"/>
                <w:szCs w:val="28"/>
              </w:rPr>
            </w:pPr>
          </w:p>
        </w:tc>
      </w:tr>
      <w:tr w:rsidR="00147059" w:rsidRPr="004F2C12" w14:paraId="2FED2B95" w14:textId="77777777" w:rsidTr="00147059">
        <w:trPr>
          <w:cantSplit/>
          <w:trHeight w:val="576"/>
        </w:trPr>
        <w:tc>
          <w:tcPr>
            <w:tcW w:w="1445" w:type="dxa"/>
            <w:vAlign w:val="bottom"/>
          </w:tcPr>
          <w:p w14:paraId="2D5CFA2E" w14:textId="77777777" w:rsidR="00147059" w:rsidRPr="0012237E" w:rsidRDefault="00147059" w:rsidP="006F7FC5">
            <w:pPr>
              <w:rPr>
                <w:rFonts w:ascii="Arial" w:hAnsi="Arial" w:cs="Arial"/>
                <w:sz w:val="20"/>
                <w:szCs w:val="20"/>
              </w:rPr>
            </w:pPr>
            <w:r w:rsidRPr="0012237E">
              <w:rPr>
                <w:rFonts w:ascii="Arial" w:hAnsi="Arial" w:cs="Arial"/>
                <w:sz w:val="20"/>
                <w:szCs w:val="20"/>
              </w:rPr>
              <w:t>POOLED GRANULOCYTES</w:t>
            </w:r>
          </w:p>
        </w:tc>
        <w:tc>
          <w:tcPr>
            <w:tcW w:w="611" w:type="dxa"/>
            <w:shd w:val="pct25" w:color="auto" w:fill="auto"/>
            <w:vAlign w:val="center"/>
          </w:tcPr>
          <w:p w14:paraId="62F67280" w14:textId="77777777" w:rsidR="00147059" w:rsidRPr="004F2C12" w:rsidRDefault="00147059" w:rsidP="006F7FC5">
            <w:pPr>
              <w:jc w:val="center"/>
              <w:rPr>
                <w:rFonts w:ascii="Arial" w:hAnsi="Arial" w:cs="Arial"/>
                <w:b/>
                <w:sz w:val="28"/>
                <w:szCs w:val="28"/>
              </w:rPr>
            </w:pPr>
          </w:p>
        </w:tc>
        <w:tc>
          <w:tcPr>
            <w:tcW w:w="522" w:type="dxa"/>
            <w:shd w:val="pct25" w:color="auto" w:fill="auto"/>
            <w:vAlign w:val="center"/>
          </w:tcPr>
          <w:p w14:paraId="239396C2" w14:textId="77777777" w:rsidR="00147059" w:rsidRPr="004F2C12" w:rsidRDefault="00147059" w:rsidP="006F7FC5">
            <w:pPr>
              <w:jc w:val="center"/>
              <w:rPr>
                <w:rFonts w:ascii="Arial" w:hAnsi="Arial" w:cs="Arial"/>
                <w:b/>
                <w:sz w:val="28"/>
                <w:szCs w:val="28"/>
              </w:rPr>
            </w:pPr>
          </w:p>
        </w:tc>
        <w:tc>
          <w:tcPr>
            <w:tcW w:w="444" w:type="dxa"/>
            <w:vAlign w:val="center"/>
          </w:tcPr>
          <w:p w14:paraId="700B466C"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77" w:type="dxa"/>
            <w:shd w:val="clear" w:color="auto" w:fill="C0C0C0"/>
            <w:vAlign w:val="center"/>
          </w:tcPr>
          <w:p w14:paraId="7B99950B" w14:textId="77777777" w:rsidR="00147059" w:rsidRPr="004F2C12" w:rsidRDefault="00147059" w:rsidP="006F7FC5">
            <w:pPr>
              <w:jc w:val="center"/>
              <w:rPr>
                <w:rFonts w:ascii="Arial" w:hAnsi="Arial" w:cs="Arial"/>
                <w:b/>
                <w:sz w:val="28"/>
                <w:szCs w:val="28"/>
              </w:rPr>
            </w:pPr>
          </w:p>
        </w:tc>
        <w:tc>
          <w:tcPr>
            <w:tcW w:w="800" w:type="dxa"/>
            <w:vAlign w:val="center"/>
          </w:tcPr>
          <w:p w14:paraId="4DF7B1EB"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shd w:val="clear" w:color="auto" w:fill="C0C0C0"/>
            <w:vAlign w:val="center"/>
          </w:tcPr>
          <w:p w14:paraId="32716601" w14:textId="77777777" w:rsidR="00147059" w:rsidRPr="004F2C12" w:rsidRDefault="00147059" w:rsidP="006F7FC5">
            <w:pPr>
              <w:jc w:val="center"/>
              <w:rPr>
                <w:rFonts w:ascii="Arial" w:hAnsi="Arial" w:cs="Arial"/>
                <w:b/>
                <w:sz w:val="28"/>
                <w:szCs w:val="28"/>
              </w:rPr>
            </w:pPr>
          </w:p>
        </w:tc>
        <w:tc>
          <w:tcPr>
            <w:tcW w:w="733" w:type="dxa"/>
            <w:shd w:val="clear" w:color="auto" w:fill="C0C0C0"/>
            <w:vAlign w:val="center"/>
          </w:tcPr>
          <w:p w14:paraId="436301D7"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484A67E7"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6980D7BE"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0EE1712A"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79BF0343" w14:textId="77777777" w:rsidR="00147059" w:rsidRPr="004F2C12" w:rsidRDefault="00147059" w:rsidP="006F7FC5">
            <w:pPr>
              <w:jc w:val="center"/>
              <w:rPr>
                <w:rFonts w:ascii="Arial" w:hAnsi="Arial" w:cs="Arial"/>
                <w:b/>
                <w:sz w:val="28"/>
                <w:szCs w:val="28"/>
              </w:rPr>
            </w:pPr>
          </w:p>
        </w:tc>
      </w:tr>
      <w:tr w:rsidR="00147059" w:rsidRPr="004F2C12" w14:paraId="6F5915C7" w14:textId="77777777" w:rsidTr="00147059">
        <w:trPr>
          <w:cantSplit/>
          <w:trHeight w:val="432"/>
        </w:trPr>
        <w:tc>
          <w:tcPr>
            <w:tcW w:w="1445" w:type="dxa"/>
            <w:vAlign w:val="bottom"/>
          </w:tcPr>
          <w:p w14:paraId="38ADD1EA" w14:textId="77777777" w:rsidR="00147059" w:rsidRPr="0012237E" w:rsidRDefault="00147059" w:rsidP="006F7FC5">
            <w:pPr>
              <w:rPr>
                <w:rFonts w:ascii="Arial" w:hAnsi="Arial" w:cs="Arial"/>
                <w:sz w:val="20"/>
                <w:szCs w:val="20"/>
              </w:rPr>
            </w:pPr>
            <w:r w:rsidRPr="0012237E">
              <w:rPr>
                <w:rFonts w:ascii="Arial" w:hAnsi="Arial" w:cs="Arial"/>
                <w:sz w:val="20"/>
                <w:szCs w:val="20"/>
              </w:rPr>
              <w:t>APHERESIS GRANULOCYTES – PLATELETS</w:t>
            </w:r>
          </w:p>
        </w:tc>
        <w:tc>
          <w:tcPr>
            <w:tcW w:w="611" w:type="dxa"/>
            <w:vAlign w:val="center"/>
          </w:tcPr>
          <w:p w14:paraId="7F5ACF3A"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59CCE060" w14:textId="77777777" w:rsidR="00147059" w:rsidRPr="004F2C12" w:rsidRDefault="00147059" w:rsidP="006F7FC5">
            <w:pPr>
              <w:jc w:val="center"/>
              <w:rPr>
                <w:rFonts w:ascii="Arial" w:hAnsi="Arial" w:cs="Arial"/>
                <w:b/>
                <w:sz w:val="28"/>
                <w:szCs w:val="28"/>
              </w:rPr>
            </w:pPr>
          </w:p>
        </w:tc>
        <w:tc>
          <w:tcPr>
            <w:tcW w:w="444" w:type="dxa"/>
            <w:tcBorders>
              <w:bottom w:val="single" w:sz="4" w:space="0" w:color="auto"/>
            </w:tcBorders>
            <w:shd w:val="clear" w:color="auto" w:fill="C0C0C0"/>
            <w:vAlign w:val="center"/>
          </w:tcPr>
          <w:p w14:paraId="23C8A9E7"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642AD364" w14:textId="77777777" w:rsidR="00147059" w:rsidRPr="004F2C12" w:rsidRDefault="00147059" w:rsidP="006F7FC5">
            <w:pPr>
              <w:jc w:val="center"/>
              <w:rPr>
                <w:rFonts w:ascii="Arial" w:hAnsi="Arial" w:cs="Arial"/>
                <w:b/>
                <w:sz w:val="28"/>
                <w:szCs w:val="28"/>
              </w:rPr>
            </w:pPr>
          </w:p>
        </w:tc>
        <w:tc>
          <w:tcPr>
            <w:tcW w:w="800" w:type="dxa"/>
            <w:vAlign w:val="center"/>
          </w:tcPr>
          <w:p w14:paraId="59FC8050"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shd w:val="clear" w:color="auto" w:fill="C0C0C0"/>
            <w:vAlign w:val="center"/>
          </w:tcPr>
          <w:p w14:paraId="46D366DC" w14:textId="77777777" w:rsidR="00147059" w:rsidRPr="004F2C12" w:rsidRDefault="00147059" w:rsidP="006F7FC5">
            <w:pPr>
              <w:jc w:val="center"/>
              <w:rPr>
                <w:rFonts w:ascii="Arial" w:hAnsi="Arial" w:cs="Arial"/>
                <w:b/>
                <w:sz w:val="28"/>
                <w:szCs w:val="28"/>
              </w:rPr>
            </w:pPr>
          </w:p>
        </w:tc>
        <w:tc>
          <w:tcPr>
            <w:tcW w:w="733" w:type="dxa"/>
            <w:shd w:val="clear" w:color="auto" w:fill="C0C0C0"/>
            <w:vAlign w:val="center"/>
          </w:tcPr>
          <w:p w14:paraId="371DF20B"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12DB6DF6"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0716214E"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770863E1"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17ECB7EF" w14:textId="77777777" w:rsidR="00147059" w:rsidRPr="004F2C12" w:rsidRDefault="00147059" w:rsidP="006F7FC5">
            <w:pPr>
              <w:jc w:val="center"/>
              <w:rPr>
                <w:rFonts w:ascii="Arial" w:hAnsi="Arial" w:cs="Arial"/>
                <w:b/>
                <w:sz w:val="28"/>
                <w:szCs w:val="28"/>
              </w:rPr>
            </w:pPr>
          </w:p>
        </w:tc>
      </w:tr>
      <w:tr w:rsidR="00147059" w:rsidRPr="004F2C12" w14:paraId="3047B4F0" w14:textId="77777777" w:rsidTr="00147059">
        <w:trPr>
          <w:cantSplit/>
          <w:trHeight w:val="432"/>
        </w:trPr>
        <w:tc>
          <w:tcPr>
            <w:tcW w:w="1445" w:type="dxa"/>
            <w:vAlign w:val="bottom"/>
          </w:tcPr>
          <w:p w14:paraId="47A557D9" w14:textId="77777777" w:rsidR="00147059" w:rsidRPr="0012237E" w:rsidRDefault="00147059" w:rsidP="006F7FC5">
            <w:pPr>
              <w:rPr>
                <w:rFonts w:ascii="Arial" w:hAnsi="Arial" w:cs="Arial"/>
                <w:sz w:val="20"/>
                <w:szCs w:val="20"/>
              </w:rPr>
            </w:pPr>
            <w:r w:rsidRPr="0012237E">
              <w:rPr>
                <w:rFonts w:ascii="Arial" w:hAnsi="Arial" w:cs="Arial"/>
                <w:color w:val="000000"/>
                <w:sz w:val="20"/>
                <w:szCs w:val="20"/>
              </w:rPr>
              <w:t>LEUKOCYTES</w:t>
            </w:r>
          </w:p>
        </w:tc>
        <w:tc>
          <w:tcPr>
            <w:tcW w:w="611" w:type="dxa"/>
            <w:vAlign w:val="center"/>
          </w:tcPr>
          <w:p w14:paraId="2D27F0AE"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70491CAC" w14:textId="77777777" w:rsidR="00147059" w:rsidRPr="004F2C12" w:rsidRDefault="00147059" w:rsidP="006F7FC5">
            <w:pPr>
              <w:jc w:val="center"/>
              <w:rPr>
                <w:rFonts w:ascii="Arial" w:hAnsi="Arial" w:cs="Arial"/>
                <w:b/>
                <w:sz w:val="28"/>
                <w:szCs w:val="28"/>
              </w:rPr>
            </w:pPr>
          </w:p>
        </w:tc>
        <w:tc>
          <w:tcPr>
            <w:tcW w:w="444" w:type="dxa"/>
            <w:tcBorders>
              <w:bottom w:val="single" w:sz="4" w:space="0" w:color="auto"/>
            </w:tcBorders>
            <w:shd w:val="clear" w:color="auto" w:fill="C0C0C0"/>
            <w:vAlign w:val="center"/>
          </w:tcPr>
          <w:p w14:paraId="3FDDEE0B" w14:textId="77777777" w:rsidR="00147059" w:rsidRPr="004F2C12" w:rsidRDefault="00147059"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14:paraId="4001E3B4" w14:textId="77777777" w:rsidR="00147059" w:rsidRPr="004F2C12" w:rsidRDefault="00147059" w:rsidP="006F7FC5">
            <w:pPr>
              <w:jc w:val="center"/>
              <w:rPr>
                <w:rFonts w:ascii="Arial" w:hAnsi="Arial" w:cs="Arial"/>
                <w:b/>
                <w:sz w:val="28"/>
                <w:szCs w:val="28"/>
              </w:rPr>
            </w:pPr>
          </w:p>
        </w:tc>
        <w:tc>
          <w:tcPr>
            <w:tcW w:w="800" w:type="dxa"/>
            <w:tcBorders>
              <w:bottom w:val="single" w:sz="4" w:space="0" w:color="auto"/>
            </w:tcBorders>
            <w:vAlign w:val="center"/>
          </w:tcPr>
          <w:p w14:paraId="238943B7"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shd w:val="clear" w:color="auto" w:fill="C0C0C0"/>
            <w:vAlign w:val="center"/>
          </w:tcPr>
          <w:p w14:paraId="63F7765B" w14:textId="77777777" w:rsidR="00147059" w:rsidRPr="004F2C12" w:rsidRDefault="00147059" w:rsidP="006F7FC5">
            <w:pPr>
              <w:jc w:val="center"/>
              <w:rPr>
                <w:rFonts w:ascii="Arial" w:hAnsi="Arial" w:cs="Arial"/>
                <w:b/>
                <w:sz w:val="28"/>
                <w:szCs w:val="28"/>
              </w:rPr>
            </w:pPr>
          </w:p>
        </w:tc>
        <w:tc>
          <w:tcPr>
            <w:tcW w:w="733" w:type="dxa"/>
            <w:shd w:val="clear" w:color="auto" w:fill="C0C0C0"/>
            <w:vAlign w:val="center"/>
          </w:tcPr>
          <w:p w14:paraId="278467B6"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1D8B851D"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0C7E74C4"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6A5244C3"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7124EA91" w14:textId="77777777" w:rsidR="00147059" w:rsidRPr="004F2C12" w:rsidRDefault="00147059" w:rsidP="006F7FC5">
            <w:pPr>
              <w:jc w:val="center"/>
              <w:rPr>
                <w:rFonts w:ascii="Arial" w:hAnsi="Arial" w:cs="Arial"/>
                <w:b/>
                <w:sz w:val="28"/>
                <w:szCs w:val="28"/>
              </w:rPr>
            </w:pPr>
          </w:p>
        </w:tc>
      </w:tr>
      <w:tr w:rsidR="00147059" w:rsidRPr="004F2C12" w14:paraId="0D4D73AF" w14:textId="77777777" w:rsidTr="00147059">
        <w:trPr>
          <w:cantSplit/>
          <w:trHeight w:val="602"/>
        </w:trPr>
        <w:tc>
          <w:tcPr>
            <w:tcW w:w="1445" w:type="dxa"/>
            <w:vAlign w:val="bottom"/>
          </w:tcPr>
          <w:p w14:paraId="49F52331" w14:textId="77777777" w:rsidR="00147059" w:rsidRPr="0012237E" w:rsidRDefault="00147059" w:rsidP="006F7FC5">
            <w:pPr>
              <w:rPr>
                <w:rFonts w:ascii="Arial" w:hAnsi="Arial" w:cs="Arial"/>
                <w:sz w:val="20"/>
                <w:szCs w:val="20"/>
              </w:rPr>
            </w:pPr>
            <w:r w:rsidRPr="0012237E">
              <w:rPr>
                <w:rFonts w:ascii="Arial" w:hAnsi="Arial" w:cs="Arial"/>
                <w:sz w:val="20"/>
                <w:szCs w:val="20"/>
              </w:rPr>
              <w:t>APHERESIS LEUKOCYTES</w:t>
            </w:r>
          </w:p>
        </w:tc>
        <w:tc>
          <w:tcPr>
            <w:tcW w:w="611" w:type="dxa"/>
            <w:tcBorders>
              <w:bottom w:val="single" w:sz="4" w:space="0" w:color="auto"/>
            </w:tcBorders>
            <w:vAlign w:val="center"/>
          </w:tcPr>
          <w:p w14:paraId="5C53FDFE"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1D43E865" w14:textId="77777777" w:rsidR="00147059" w:rsidRPr="004F2C12" w:rsidRDefault="00147059" w:rsidP="006F7FC5">
            <w:pPr>
              <w:jc w:val="center"/>
              <w:rPr>
                <w:rFonts w:ascii="Arial" w:hAnsi="Arial" w:cs="Arial"/>
                <w:b/>
                <w:sz w:val="28"/>
                <w:szCs w:val="28"/>
              </w:rPr>
            </w:pPr>
          </w:p>
        </w:tc>
        <w:tc>
          <w:tcPr>
            <w:tcW w:w="444" w:type="dxa"/>
            <w:tcBorders>
              <w:bottom w:val="single" w:sz="4" w:space="0" w:color="auto"/>
            </w:tcBorders>
            <w:shd w:val="clear" w:color="auto" w:fill="C0C0C0"/>
            <w:vAlign w:val="center"/>
          </w:tcPr>
          <w:p w14:paraId="51372C7A" w14:textId="77777777" w:rsidR="00147059" w:rsidRPr="004F2C12" w:rsidRDefault="00147059"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14:paraId="4CB23097" w14:textId="77777777" w:rsidR="00147059" w:rsidRPr="004F2C12" w:rsidRDefault="00147059" w:rsidP="006F7FC5">
            <w:pPr>
              <w:jc w:val="center"/>
              <w:rPr>
                <w:rFonts w:ascii="Arial" w:hAnsi="Arial" w:cs="Arial"/>
                <w:b/>
                <w:sz w:val="28"/>
                <w:szCs w:val="28"/>
              </w:rPr>
            </w:pPr>
          </w:p>
        </w:tc>
        <w:tc>
          <w:tcPr>
            <w:tcW w:w="800" w:type="dxa"/>
            <w:tcBorders>
              <w:bottom w:val="single" w:sz="4" w:space="0" w:color="auto"/>
            </w:tcBorders>
            <w:vAlign w:val="center"/>
          </w:tcPr>
          <w:p w14:paraId="6AFEFCC0"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shd w:val="clear" w:color="auto" w:fill="C0C0C0"/>
            <w:vAlign w:val="center"/>
          </w:tcPr>
          <w:p w14:paraId="5333412B" w14:textId="77777777" w:rsidR="00147059" w:rsidRPr="004F2C12" w:rsidRDefault="00147059" w:rsidP="006F7FC5">
            <w:pPr>
              <w:jc w:val="center"/>
              <w:rPr>
                <w:rFonts w:ascii="Arial" w:hAnsi="Arial" w:cs="Arial"/>
                <w:b/>
                <w:sz w:val="28"/>
                <w:szCs w:val="28"/>
              </w:rPr>
            </w:pPr>
          </w:p>
        </w:tc>
        <w:tc>
          <w:tcPr>
            <w:tcW w:w="733" w:type="dxa"/>
            <w:shd w:val="clear" w:color="auto" w:fill="C0C0C0"/>
            <w:vAlign w:val="center"/>
          </w:tcPr>
          <w:p w14:paraId="7057EC5B"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781341D0"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15D0B1FD"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02490045"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459C03E0" w14:textId="77777777" w:rsidR="00147059" w:rsidRPr="004F2C12" w:rsidRDefault="00147059" w:rsidP="006F7FC5">
            <w:pPr>
              <w:jc w:val="center"/>
              <w:rPr>
                <w:rFonts w:ascii="Arial" w:hAnsi="Arial" w:cs="Arial"/>
                <w:b/>
                <w:sz w:val="28"/>
                <w:szCs w:val="28"/>
              </w:rPr>
            </w:pPr>
          </w:p>
        </w:tc>
      </w:tr>
      <w:tr w:rsidR="00147059" w:rsidRPr="004F2C12" w14:paraId="37DB8C4A" w14:textId="77777777" w:rsidTr="00147059">
        <w:trPr>
          <w:cantSplit/>
          <w:trHeight w:val="432"/>
        </w:trPr>
        <w:tc>
          <w:tcPr>
            <w:tcW w:w="1445" w:type="dxa"/>
            <w:vAlign w:val="bottom"/>
          </w:tcPr>
          <w:p w14:paraId="6F5BB9BE" w14:textId="77777777" w:rsidR="00147059" w:rsidRPr="0012237E" w:rsidRDefault="00147059" w:rsidP="006F7FC5">
            <w:pPr>
              <w:rPr>
                <w:rFonts w:ascii="Arial" w:hAnsi="Arial" w:cs="Arial"/>
                <w:sz w:val="20"/>
                <w:szCs w:val="20"/>
              </w:rPr>
            </w:pPr>
            <w:r w:rsidRPr="0012237E">
              <w:rPr>
                <w:rFonts w:ascii="Arial" w:hAnsi="Arial" w:cs="Arial"/>
                <w:sz w:val="20"/>
                <w:szCs w:val="20"/>
              </w:rPr>
              <w:t>POOLED PLASMA</w:t>
            </w:r>
          </w:p>
        </w:tc>
        <w:tc>
          <w:tcPr>
            <w:tcW w:w="611" w:type="dxa"/>
            <w:shd w:val="clear" w:color="auto" w:fill="C0C0C0"/>
            <w:vAlign w:val="center"/>
          </w:tcPr>
          <w:p w14:paraId="2CF19E91" w14:textId="77777777" w:rsidR="00147059" w:rsidRPr="004F2C12" w:rsidRDefault="00147059" w:rsidP="006F7FC5">
            <w:pPr>
              <w:jc w:val="center"/>
              <w:rPr>
                <w:rFonts w:ascii="Arial" w:hAnsi="Arial" w:cs="Arial"/>
                <w:b/>
                <w:sz w:val="28"/>
                <w:szCs w:val="28"/>
              </w:rPr>
            </w:pPr>
          </w:p>
        </w:tc>
        <w:tc>
          <w:tcPr>
            <w:tcW w:w="522" w:type="dxa"/>
            <w:tcBorders>
              <w:bottom w:val="single" w:sz="4" w:space="0" w:color="auto"/>
            </w:tcBorders>
            <w:vAlign w:val="center"/>
          </w:tcPr>
          <w:p w14:paraId="4C5CF3EC"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444" w:type="dxa"/>
            <w:tcBorders>
              <w:bottom w:val="single" w:sz="4" w:space="0" w:color="auto"/>
            </w:tcBorders>
            <w:shd w:val="clear" w:color="auto" w:fill="C0C0C0"/>
            <w:vAlign w:val="center"/>
          </w:tcPr>
          <w:p w14:paraId="25067702" w14:textId="77777777" w:rsidR="00147059" w:rsidRPr="004F2C12" w:rsidRDefault="00147059"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14:paraId="04104C24" w14:textId="77777777" w:rsidR="00147059" w:rsidRPr="004F2C12" w:rsidRDefault="00147059" w:rsidP="006F7FC5">
            <w:pPr>
              <w:jc w:val="center"/>
              <w:rPr>
                <w:rFonts w:ascii="Arial" w:hAnsi="Arial" w:cs="Arial"/>
                <w:b/>
                <w:sz w:val="28"/>
                <w:szCs w:val="28"/>
              </w:rPr>
            </w:pPr>
          </w:p>
        </w:tc>
        <w:tc>
          <w:tcPr>
            <w:tcW w:w="800" w:type="dxa"/>
            <w:vAlign w:val="center"/>
          </w:tcPr>
          <w:p w14:paraId="0045AE57"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shd w:val="clear" w:color="auto" w:fill="C0C0C0"/>
            <w:vAlign w:val="center"/>
          </w:tcPr>
          <w:p w14:paraId="0C3DE7FF" w14:textId="77777777" w:rsidR="00147059" w:rsidRPr="004F2C12" w:rsidRDefault="00147059" w:rsidP="006F7FC5">
            <w:pPr>
              <w:jc w:val="center"/>
              <w:rPr>
                <w:rFonts w:ascii="Arial" w:hAnsi="Arial" w:cs="Arial"/>
                <w:b/>
                <w:sz w:val="28"/>
                <w:szCs w:val="28"/>
              </w:rPr>
            </w:pPr>
          </w:p>
        </w:tc>
        <w:tc>
          <w:tcPr>
            <w:tcW w:w="733" w:type="dxa"/>
            <w:shd w:val="clear" w:color="auto" w:fill="C0C0C0"/>
            <w:vAlign w:val="center"/>
          </w:tcPr>
          <w:p w14:paraId="3DF9D171"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33E4BFEC"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69A39028"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42DE3D0D"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62D8F27D" w14:textId="77777777" w:rsidR="00147059" w:rsidRPr="004F2C12" w:rsidRDefault="00147059" w:rsidP="006F7FC5">
            <w:pPr>
              <w:jc w:val="center"/>
              <w:rPr>
                <w:rFonts w:ascii="Arial" w:hAnsi="Arial" w:cs="Arial"/>
                <w:b/>
                <w:sz w:val="28"/>
                <w:szCs w:val="28"/>
              </w:rPr>
            </w:pPr>
          </w:p>
        </w:tc>
      </w:tr>
      <w:tr w:rsidR="00147059" w:rsidRPr="004F2C12" w14:paraId="14883FE4" w14:textId="77777777" w:rsidTr="00147059">
        <w:trPr>
          <w:cantSplit/>
          <w:trHeight w:val="432"/>
        </w:trPr>
        <w:tc>
          <w:tcPr>
            <w:tcW w:w="1445" w:type="dxa"/>
            <w:vAlign w:val="bottom"/>
          </w:tcPr>
          <w:p w14:paraId="7CA1B56A" w14:textId="77777777" w:rsidR="00147059" w:rsidRPr="0012237E" w:rsidRDefault="00147059" w:rsidP="006F7FC5">
            <w:pPr>
              <w:rPr>
                <w:rFonts w:ascii="Arial" w:hAnsi="Arial" w:cs="Arial"/>
                <w:sz w:val="20"/>
                <w:szCs w:val="20"/>
              </w:rPr>
            </w:pPr>
            <w:r w:rsidRPr="0012237E">
              <w:rPr>
                <w:rFonts w:ascii="Arial" w:hAnsi="Arial" w:cs="Arial"/>
                <w:color w:val="000000"/>
                <w:sz w:val="20"/>
                <w:szCs w:val="20"/>
              </w:rPr>
              <w:t>Liquid APHERESIS PLASMA</w:t>
            </w:r>
          </w:p>
        </w:tc>
        <w:tc>
          <w:tcPr>
            <w:tcW w:w="611" w:type="dxa"/>
            <w:vAlign w:val="center"/>
          </w:tcPr>
          <w:p w14:paraId="62B9AF19"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087F3B36" w14:textId="77777777" w:rsidR="00147059" w:rsidRPr="004F2C12" w:rsidRDefault="00147059" w:rsidP="006F7FC5">
            <w:pPr>
              <w:jc w:val="center"/>
              <w:rPr>
                <w:rFonts w:ascii="Arial" w:hAnsi="Arial" w:cs="Arial"/>
                <w:b/>
                <w:sz w:val="28"/>
                <w:szCs w:val="28"/>
              </w:rPr>
            </w:pPr>
          </w:p>
        </w:tc>
        <w:tc>
          <w:tcPr>
            <w:tcW w:w="444" w:type="dxa"/>
            <w:tcBorders>
              <w:bottom w:val="single" w:sz="4" w:space="0" w:color="auto"/>
            </w:tcBorders>
            <w:shd w:val="clear" w:color="auto" w:fill="C0C0C0"/>
            <w:vAlign w:val="center"/>
          </w:tcPr>
          <w:p w14:paraId="140F3407"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264BA6DE" w14:textId="77777777" w:rsidR="00147059" w:rsidRPr="004F2C12" w:rsidRDefault="00147059" w:rsidP="006F7FC5">
            <w:pPr>
              <w:jc w:val="center"/>
              <w:rPr>
                <w:rFonts w:ascii="Arial" w:hAnsi="Arial" w:cs="Arial"/>
                <w:b/>
                <w:sz w:val="28"/>
                <w:szCs w:val="28"/>
              </w:rPr>
            </w:pPr>
          </w:p>
        </w:tc>
        <w:tc>
          <w:tcPr>
            <w:tcW w:w="800" w:type="dxa"/>
            <w:vAlign w:val="center"/>
          </w:tcPr>
          <w:p w14:paraId="3F4D6093"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shd w:val="clear" w:color="auto" w:fill="C0C0C0"/>
            <w:vAlign w:val="center"/>
          </w:tcPr>
          <w:p w14:paraId="167EBDA6" w14:textId="77777777" w:rsidR="00147059" w:rsidRPr="004F2C12" w:rsidRDefault="00147059" w:rsidP="006F7FC5">
            <w:pPr>
              <w:jc w:val="center"/>
              <w:rPr>
                <w:rFonts w:ascii="Arial" w:hAnsi="Arial" w:cs="Arial"/>
                <w:b/>
                <w:sz w:val="28"/>
                <w:szCs w:val="28"/>
              </w:rPr>
            </w:pPr>
          </w:p>
        </w:tc>
        <w:tc>
          <w:tcPr>
            <w:tcW w:w="733" w:type="dxa"/>
            <w:shd w:val="clear" w:color="auto" w:fill="C0C0C0"/>
            <w:vAlign w:val="center"/>
          </w:tcPr>
          <w:p w14:paraId="173E3F68"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4A1331CD"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5D6A6814"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5627A29A"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4995D7E5" w14:textId="77777777" w:rsidR="00147059" w:rsidRPr="004F2C12" w:rsidRDefault="00147059" w:rsidP="006F7FC5">
            <w:pPr>
              <w:jc w:val="center"/>
              <w:rPr>
                <w:rFonts w:ascii="Arial" w:hAnsi="Arial" w:cs="Arial"/>
                <w:b/>
                <w:sz w:val="28"/>
                <w:szCs w:val="28"/>
              </w:rPr>
            </w:pPr>
          </w:p>
        </w:tc>
      </w:tr>
      <w:tr w:rsidR="00147059" w:rsidRPr="004F2C12" w14:paraId="6D057510" w14:textId="77777777" w:rsidTr="00147059">
        <w:trPr>
          <w:cantSplit/>
          <w:trHeight w:val="432"/>
        </w:trPr>
        <w:tc>
          <w:tcPr>
            <w:tcW w:w="1445" w:type="dxa"/>
            <w:vAlign w:val="bottom"/>
          </w:tcPr>
          <w:p w14:paraId="4A07BD2F" w14:textId="77777777" w:rsidR="00147059" w:rsidRPr="0012237E" w:rsidRDefault="00147059" w:rsidP="006F7FC5">
            <w:pPr>
              <w:rPr>
                <w:rFonts w:ascii="Arial" w:hAnsi="Arial" w:cs="Arial"/>
                <w:sz w:val="20"/>
                <w:szCs w:val="20"/>
              </w:rPr>
            </w:pPr>
            <w:r w:rsidRPr="0012237E">
              <w:rPr>
                <w:rFonts w:ascii="Arial" w:hAnsi="Arial" w:cs="Arial"/>
                <w:sz w:val="20"/>
                <w:szCs w:val="20"/>
              </w:rPr>
              <w:t>PLATELET - RICH BUFFY COAT</w:t>
            </w:r>
          </w:p>
        </w:tc>
        <w:tc>
          <w:tcPr>
            <w:tcW w:w="611" w:type="dxa"/>
            <w:tcBorders>
              <w:bottom w:val="single" w:sz="4" w:space="0" w:color="auto"/>
            </w:tcBorders>
            <w:vAlign w:val="center"/>
          </w:tcPr>
          <w:p w14:paraId="25F1861F"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tcBorders>
              <w:bottom w:val="single" w:sz="4" w:space="0" w:color="auto"/>
            </w:tcBorders>
            <w:shd w:val="clear" w:color="auto" w:fill="C0C0C0"/>
            <w:vAlign w:val="center"/>
          </w:tcPr>
          <w:p w14:paraId="3DB32921"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1D3DB6F9"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63A13C15" w14:textId="77777777" w:rsidR="00147059" w:rsidRPr="004F2C12" w:rsidRDefault="00147059" w:rsidP="006F7FC5">
            <w:pPr>
              <w:jc w:val="center"/>
              <w:rPr>
                <w:rFonts w:ascii="Arial" w:hAnsi="Arial" w:cs="Arial"/>
                <w:b/>
                <w:sz w:val="28"/>
                <w:szCs w:val="28"/>
              </w:rPr>
            </w:pPr>
          </w:p>
        </w:tc>
        <w:tc>
          <w:tcPr>
            <w:tcW w:w="800" w:type="dxa"/>
            <w:tcBorders>
              <w:bottom w:val="single" w:sz="4" w:space="0" w:color="auto"/>
            </w:tcBorders>
            <w:vAlign w:val="center"/>
          </w:tcPr>
          <w:p w14:paraId="3B8AD25D"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tcBorders>
              <w:bottom w:val="single" w:sz="4" w:space="0" w:color="auto"/>
            </w:tcBorders>
            <w:shd w:val="clear" w:color="auto" w:fill="C0C0C0"/>
            <w:vAlign w:val="center"/>
          </w:tcPr>
          <w:p w14:paraId="57B5005E" w14:textId="77777777" w:rsidR="00147059" w:rsidRPr="004F2C12" w:rsidRDefault="00147059" w:rsidP="006F7FC5">
            <w:pPr>
              <w:jc w:val="center"/>
              <w:rPr>
                <w:rFonts w:ascii="Arial" w:hAnsi="Arial" w:cs="Arial"/>
                <w:b/>
                <w:sz w:val="28"/>
                <w:szCs w:val="28"/>
              </w:rPr>
            </w:pPr>
          </w:p>
        </w:tc>
        <w:tc>
          <w:tcPr>
            <w:tcW w:w="733" w:type="dxa"/>
            <w:shd w:val="clear" w:color="auto" w:fill="C0C0C0"/>
            <w:vAlign w:val="center"/>
          </w:tcPr>
          <w:p w14:paraId="55DBF408"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722DC798"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614F199D"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32967E91"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5282550B" w14:textId="77777777" w:rsidR="00147059" w:rsidRPr="004F2C12" w:rsidRDefault="00147059" w:rsidP="006F7FC5">
            <w:pPr>
              <w:jc w:val="center"/>
              <w:rPr>
                <w:rFonts w:ascii="Arial" w:hAnsi="Arial" w:cs="Arial"/>
                <w:b/>
                <w:sz w:val="28"/>
                <w:szCs w:val="28"/>
              </w:rPr>
            </w:pPr>
          </w:p>
        </w:tc>
      </w:tr>
      <w:tr w:rsidR="00147059" w:rsidRPr="004F2C12" w14:paraId="390BA5BE" w14:textId="77777777" w:rsidTr="00147059">
        <w:trPr>
          <w:cantSplit/>
          <w:trHeight w:val="432"/>
        </w:trPr>
        <w:tc>
          <w:tcPr>
            <w:tcW w:w="1445" w:type="dxa"/>
            <w:vAlign w:val="bottom"/>
          </w:tcPr>
          <w:p w14:paraId="0568E080" w14:textId="77777777" w:rsidR="00147059" w:rsidRPr="0012237E" w:rsidRDefault="00147059" w:rsidP="006F7FC5">
            <w:pPr>
              <w:rPr>
                <w:rFonts w:ascii="Arial" w:hAnsi="Arial" w:cs="Arial"/>
                <w:sz w:val="20"/>
                <w:szCs w:val="20"/>
              </w:rPr>
            </w:pPr>
            <w:r w:rsidRPr="0012237E">
              <w:rPr>
                <w:rFonts w:ascii="Arial" w:hAnsi="Arial" w:cs="Arial"/>
                <w:sz w:val="20"/>
                <w:szCs w:val="20"/>
              </w:rPr>
              <w:t>POOLED PLATELET - RICH BUFFY COAT</w:t>
            </w:r>
          </w:p>
        </w:tc>
        <w:tc>
          <w:tcPr>
            <w:tcW w:w="611" w:type="dxa"/>
            <w:shd w:val="pct25" w:color="auto" w:fill="auto"/>
            <w:vAlign w:val="center"/>
          </w:tcPr>
          <w:p w14:paraId="23794161" w14:textId="77777777" w:rsidR="00147059" w:rsidRPr="004F2C12" w:rsidRDefault="00147059" w:rsidP="006F7FC5">
            <w:pPr>
              <w:jc w:val="center"/>
              <w:rPr>
                <w:rFonts w:ascii="Arial" w:hAnsi="Arial" w:cs="Arial"/>
                <w:b/>
                <w:sz w:val="28"/>
                <w:szCs w:val="28"/>
              </w:rPr>
            </w:pPr>
          </w:p>
        </w:tc>
        <w:tc>
          <w:tcPr>
            <w:tcW w:w="522" w:type="dxa"/>
            <w:shd w:val="pct25" w:color="auto" w:fill="auto"/>
            <w:vAlign w:val="center"/>
          </w:tcPr>
          <w:p w14:paraId="7DCDE686"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5F119D09"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41C253F0" w14:textId="77777777" w:rsidR="00147059" w:rsidRPr="004F2C12" w:rsidRDefault="00147059" w:rsidP="006F7FC5">
            <w:pPr>
              <w:jc w:val="center"/>
              <w:rPr>
                <w:rFonts w:ascii="Arial" w:hAnsi="Arial" w:cs="Arial"/>
                <w:b/>
                <w:sz w:val="28"/>
                <w:szCs w:val="28"/>
              </w:rPr>
            </w:pPr>
          </w:p>
        </w:tc>
        <w:tc>
          <w:tcPr>
            <w:tcW w:w="800" w:type="dxa"/>
            <w:shd w:val="clear" w:color="auto" w:fill="auto"/>
            <w:vAlign w:val="center"/>
          </w:tcPr>
          <w:p w14:paraId="571AE6B8"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tcBorders>
              <w:bottom w:val="single" w:sz="4" w:space="0" w:color="auto"/>
            </w:tcBorders>
            <w:shd w:val="clear" w:color="auto" w:fill="C0C0C0"/>
            <w:vAlign w:val="center"/>
          </w:tcPr>
          <w:p w14:paraId="3E11F417" w14:textId="77777777" w:rsidR="00147059" w:rsidRPr="004F2C12" w:rsidRDefault="00147059" w:rsidP="006F7FC5">
            <w:pPr>
              <w:jc w:val="center"/>
              <w:rPr>
                <w:rFonts w:ascii="Arial" w:hAnsi="Arial" w:cs="Arial"/>
                <w:b/>
                <w:sz w:val="28"/>
                <w:szCs w:val="28"/>
              </w:rPr>
            </w:pPr>
          </w:p>
        </w:tc>
        <w:tc>
          <w:tcPr>
            <w:tcW w:w="733" w:type="dxa"/>
            <w:tcBorders>
              <w:bottom w:val="single" w:sz="4" w:space="0" w:color="auto"/>
            </w:tcBorders>
            <w:shd w:val="clear" w:color="auto" w:fill="C0C0C0"/>
            <w:vAlign w:val="center"/>
          </w:tcPr>
          <w:p w14:paraId="51CDE8A0" w14:textId="77777777" w:rsidR="00147059" w:rsidRPr="004F2C12" w:rsidRDefault="00147059" w:rsidP="006F7FC5">
            <w:pPr>
              <w:jc w:val="center"/>
              <w:rPr>
                <w:rFonts w:ascii="Arial" w:hAnsi="Arial" w:cs="Arial"/>
                <w:b/>
                <w:sz w:val="28"/>
                <w:szCs w:val="28"/>
              </w:rPr>
            </w:pPr>
          </w:p>
        </w:tc>
        <w:tc>
          <w:tcPr>
            <w:tcW w:w="544" w:type="dxa"/>
            <w:tcBorders>
              <w:bottom w:val="single" w:sz="4" w:space="0" w:color="auto"/>
            </w:tcBorders>
            <w:shd w:val="clear" w:color="auto" w:fill="C0C0C0"/>
            <w:vAlign w:val="center"/>
          </w:tcPr>
          <w:p w14:paraId="63622CE5" w14:textId="77777777" w:rsidR="00147059" w:rsidRPr="004F2C12" w:rsidRDefault="00147059" w:rsidP="006F7FC5">
            <w:pPr>
              <w:jc w:val="center"/>
              <w:rPr>
                <w:rFonts w:ascii="Arial" w:hAnsi="Arial" w:cs="Arial"/>
                <w:b/>
                <w:sz w:val="28"/>
                <w:szCs w:val="28"/>
              </w:rPr>
            </w:pPr>
          </w:p>
        </w:tc>
        <w:tc>
          <w:tcPr>
            <w:tcW w:w="700" w:type="dxa"/>
            <w:tcBorders>
              <w:bottom w:val="single" w:sz="4" w:space="0" w:color="auto"/>
            </w:tcBorders>
            <w:shd w:val="clear" w:color="auto" w:fill="C0C0C0"/>
            <w:vAlign w:val="center"/>
          </w:tcPr>
          <w:p w14:paraId="4861472D" w14:textId="77777777" w:rsidR="00147059" w:rsidRPr="004F2C12" w:rsidRDefault="00147059"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14:paraId="56F45819" w14:textId="77777777" w:rsidR="00147059" w:rsidRPr="004F2C12" w:rsidRDefault="00147059"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14:paraId="76E48D3F" w14:textId="77777777" w:rsidR="00147059" w:rsidRPr="004F2C12" w:rsidRDefault="00147059" w:rsidP="006F7FC5">
            <w:pPr>
              <w:jc w:val="center"/>
              <w:rPr>
                <w:rFonts w:ascii="Arial" w:hAnsi="Arial" w:cs="Arial"/>
                <w:b/>
                <w:sz w:val="28"/>
                <w:szCs w:val="28"/>
              </w:rPr>
            </w:pPr>
          </w:p>
        </w:tc>
      </w:tr>
      <w:tr w:rsidR="00147059" w:rsidRPr="004F2C12" w14:paraId="2142E798" w14:textId="77777777" w:rsidTr="00147059">
        <w:trPr>
          <w:cantSplit/>
          <w:trHeight w:val="432"/>
        </w:trPr>
        <w:tc>
          <w:tcPr>
            <w:tcW w:w="1445" w:type="dxa"/>
            <w:vAlign w:val="bottom"/>
          </w:tcPr>
          <w:p w14:paraId="0EE24D9B" w14:textId="77777777" w:rsidR="00147059" w:rsidRPr="0012237E" w:rsidRDefault="00147059" w:rsidP="006F7FC5">
            <w:pPr>
              <w:rPr>
                <w:rFonts w:ascii="Arial" w:hAnsi="Arial" w:cs="Arial"/>
                <w:sz w:val="20"/>
                <w:szCs w:val="20"/>
              </w:rPr>
            </w:pPr>
            <w:r w:rsidRPr="0012237E">
              <w:rPr>
                <w:rFonts w:ascii="Arial" w:hAnsi="Arial" w:cs="Arial"/>
                <w:color w:val="000000"/>
                <w:sz w:val="20"/>
                <w:szCs w:val="20"/>
              </w:rPr>
              <w:t>APHERESIS LYMPHOCYTES</w:t>
            </w:r>
          </w:p>
        </w:tc>
        <w:tc>
          <w:tcPr>
            <w:tcW w:w="611" w:type="dxa"/>
            <w:vAlign w:val="center"/>
          </w:tcPr>
          <w:p w14:paraId="1AC7F626"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043AC42F"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5D84F146"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5028FF18" w14:textId="77777777" w:rsidR="00147059" w:rsidRPr="004F2C12" w:rsidRDefault="00147059" w:rsidP="006F7FC5">
            <w:pPr>
              <w:jc w:val="center"/>
              <w:rPr>
                <w:rFonts w:ascii="Arial" w:hAnsi="Arial" w:cs="Arial"/>
                <w:b/>
                <w:sz w:val="28"/>
                <w:szCs w:val="28"/>
              </w:rPr>
            </w:pPr>
          </w:p>
        </w:tc>
        <w:tc>
          <w:tcPr>
            <w:tcW w:w="800" w:type="dxa"/>
            <w:tcBorders>
              <w:bottom w:val="single" w:sz="4" w:space="0" w:color="auto"/>
            </w:tcBorders>
            <w:vAlign w:val="center"/>
          </w:tcPr>
          <w:p w14:paraId="4FCF0E70"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tcBorders>
              <w:bottom w:val="single" w:sz="4" w:space="0" w:color="auto"/>
            </w:tcBorders>
            <w:shd w:val="clear" w:color="auto" w:fill="C0C0C0"/>
            <w:vAlign w:val="center"/>
          </w:tcPr>
          <w:p w14:paraId="5569CCE8" w14:textId="77777777" w:rsidR="00147059" w:rsidRPr="004F2C12" w:rsidRDefault="00147059" w:rsidP="006F7FC5">
            <w:pPr>
              <w:jc w:val="center"/>
              <w:rPr>
                <w:rFonts w:ascii="Arial" w:hAnsi="Arial" w:cs="Arial"/>
                <w:b/>
                <w:sz w:val="28"/>
                <w:szCs w:val="28"/>
              </w:rPr>
            </w:pPr>
          </w:p>
        </w:tc>
        <w:tc>
          <w:tcPr>
            <w:tcW w:w="733" w:type="dxa"/>
            <w:tcBorders>
              <w:bottom w:val="single" w:sz="4" w:space="0" w:color="auto"/>
            </w:tcBorders>
            <w:shd w:val="clear" w:color="auto" w:fill="C0C0C0"/>
            <w:vAlign w:val="center"/>
          </w:tcPr>
          <w:p w14:paraId="56E6C189" w14:textId="77777777" w:rsidR="00147059" w:rsidRPr="004F2C12" w:rsidRDefault="00147059" w:rsidP="006F7FC5">
            <w:pPr>
              <w:jc w:val="center"/>
              <w:rPr>
                <w:rFonts w:ascii="Arial" w:hAnsi="Arial" w:cs="Arial"/>
                <w:b/>
                <w:sz w:val="28"/>
                <w:szCs w:val="28"/>
              </w:rPr>
            </w:pPr>
          </w:p>
        </w:tc>
        <w:tc>
          <w:tcPr>
            <w:tcW w:w="544" w:type="dxa"/>
            <w:tcBorders>
              <w:bottom w:val="single" w:sz="4" w:space="0" w:color="auto"/>
            </w:tcBorders>
            <w:shd w:val="clear" w:color="auto" w:fill="C0C0C0"/>
            <w:vAlign w:val="center"/>
          </w:tcPr>
          <w:p w14:paraId="6D9B9C21" w14:textId="77777777" w:rsidR="00147059" w:rsidRPr="004F2C12" w:rsidRDefault="00147059" w:rsidP="006F7FC5">
            <w:pPr>
              <w:jc w:val="center"/>
              <w:rPr>
                <w:rFonts w:ascii="Arial" w:hAnsi="Arial" w:cs="Arial"/>
                <w:b/>
                <w:sz w:val="28"/>
                <w:szCs w:val="28"/>
              </w:rPr>
            </w:pPr>
          </w:p>
        </w:tc>
        <w:tc>
          <w:tcPr>
            <w:tcW w:w="700" w:type="dxa"/>
            <w:tcBorders>
              <w:bottom w:val="single" w:sz="4" w:space="0" w:color="auto"/>
            </w:tcBorders>
            <w:shd w:val="clear" w:color="auto" w:fill="C0C0C0"/>
            <w:vAlign w:val="center"/>
          </w:tcPr>
          <w:p w14:paraId="05C18565" w14:textId="77777777" w:rsidR="00147059" w:rsidRPr="004F2C12" w:rsidRDefault="00147059"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14:paraId="6C271A47"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3328048A" w14:textId="77777777" w:rsidR="00147059" w:rsidRPr="004F2C12" w:rsidRDefault="00147059" w:rsidP="006F7FC5">
            <w:pPr>
              <w:pStyle w:val="CommentText"/>
              <w:jc w:val="center"/>
              <w:rPr>
                <w:rFonts w:ascii="Arial" w:hAnsi="Arial" w:cs="Arial"/>
                <w:b/>
                <w:sz w:val="28"/>
                <w:szCs w:val="28"/>
              </w:rPr>
            </w:pPr>
          </w:p>
        </w:tc>
      </w:tr>
      <w:tr w:rsidR="00147059" w:rsidRPr="004F2C12" w14:paraId="40D3B27C" w14:textId="77777777" w:rsidTr="00147059">
        <w:trPr>
          <w:cantSplit/>
          <w:trHeight w:val="432"/>
        </w:trPr>
        <w:tc>
          <w:tcPr>
            <w:tcW w:w="1445" w:type="dxa"/>
            <w:vAlign w:val="bottom"/>
          </w:tcPr>
          <w:p w14:paraId="1EBB744F" w14:textId="77777777" w:rsidR="00147059" w:rsidRPr="0012237E" w:rsidRDefault="00147059" w:rsidP="006F7FC5">
            <w:pPr>
              <w:rPr>
                <w:rFonts w:ascii="Arial" w:hAnsi="Arial" w:cs="Arial"/>
                <w:sz w:val="20"/>
                <w:szCs w:val="20"/>
              </w:rPr>
            </w:pPr>
            <w:r w:rsidRPr="0012237E">
              <w:rPr>
                <w:rFonts w:ascii="Arial" w:hAnsi="Arial" w:cs="Arial"/>
                <w:color w:val="000000"/>
                <w:sz w:val="20"/>
                <w:szCs w:val="20"/>
              </w:rPr>
              <w:t>APHERESIS MONOCYTES</w:t>
            </w:r>
            <w:r>
              <w:rPr>
                <w:rFonts w:ascii="Arial" w:hAnsi="Arial" w:cs="Arial"/>
                <w:color w:val="000000"/>
                <w:sz w:val="20"/>
                <w:szCs w:val="20"/>
              </w:rPr>
              <w:t>**</w:t>
            </w:r>
          </w:p>
        </w:tc>
        <w:tc>
          <w:tcPr>
            <w:tcW w:w="611" w:type="dxa"/>
            <w:tcBorders>
              <w:bottom w:val="single" w:sz="4" w:space="0" w:color="auto"/>
            </w:tcBorders>
            <w:vAlign w:val="center"/>
          </w:tcPr>
          <w:p w14:paraId="1869B61F"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2A7C7850"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04205F9F" w14:textId="77777777" w:rsidR="00147059" w:rsidRPr="004F2C12" w:rsidRDefault="00147059"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14:paraId="6900FFF8" w14:textId="77777777" w:rsidR="00147059" w:rsidRPr="004F2C12" w:rsidRDefault="00147059" w:rsidP="006F7FC5">
            <w:pPr>
              <w:jc w:val="center"/>
              <w:rPr>
                <w:rFonts w:ascii="Arial" w:hAnsi="Arial" w:cs="Arial"/>
                <w:b/>
                <w:sz w:val="28"/>
                <w:szCs w:val="28"/>
              </w:rPr>
            </w:pPr>
          </w:p>
        </w:tc>
        <w:tc>
          <w:tcPr>
            <w:tcW w:w="800" w:type="dxa"/>
            <w:tcBorders>
              <w:bottom w:val="single" w:sz="4" w:space="0" w:color="auto"/>
            </w:tcBorders>
            <w:vAlign w:val="center"/>
          </w:tcPr>
          <w:p w14:paraId="6668C98C"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tcBorders>
              <w:bottom w:val="single" w:sz="4" w:space="0" w:color="auto"/>
            </w:tcBorders>
            <w:shd w:val="clear" w:color="auto" w:fill="C0C0C0"/>
            <w:vAlign w:val="center"/>
          </w:tcPr>
          <w:p w14:paraId="5D08F4BF" w14:textId="77777777" w:rsidR="00147059" w:rsidRPr="004F2C12" w:rsidRDefault="00147059" w:rsidP="006F7FC5">
            <w:pPr>
              <w:jc w:val="center"/>
              <w:rPr>
                <w:rFonts w:ascii="Arial" w:hAnsi="Arial" w:cs="Arial"/>
                <w:b/>
                <w:sz w:val="28"/>
                <w:szCs w:val="28"/>
              </w:rPr>
            </w:pPr>
          </w:p>
        </w:tc>
        <w:tc>
          <w:tcPr>
            <w:tcW w:w="733" w:type="dxa"/>
            <w:tcBorders>
              <w:bottom w:val="single" w:sz="4" w:space="0" w:color="auto"/>
            </w:tcBorders>
            <w:shd w:val="clear" w:color="auto" w:fill="C0C0C0"/>
            <w:vAlign w:val="center"/>
          </w:tcPr>
          <w:p w14:paraId="3BA22B03" w14:textId="77777777" w:rsidR="00147059" w:rsidRPr="004F2C12" w:rsidRDefault="00147059" w:rsidP="006F7FC5">
            <w:pPr>
              <w:jc w:val="center"/>
              <w:rPr>
                <w:rFonts w:ascii="Arial" w:hAnsi="Arial" w:cs="Arial"/>
                <w:b/>
                <w:sz w:val="28"/>
                <w:szCs w:val="28"/>
              </w:rPr>
            </w:pPr>
          </w:p>
        </w:tc>
        <w:tc>
          <w:tcPr>
            <w:tcW w:w="544" w:type="dxa"/>
            <w:tcBorders>
              <w:bottom w:val="single" w:sz="4" w:space="0" w:color="auto"/>
            </w:tcBorders>
            <w:shd w:val="clear" w:color="auto" w:fill="C0C0C0"/>
            <w:vAlign w:val="center"/>
          </w:tcPr>
          <w:p w14:paraId="5758F3F2" w14:textId="77777777" w:rsidR="00147059" w:rsidRPr="004F2C12" w:rsidRDefault="00147059" w:rsidP="006F7FC5">
            <w:pPr>
              <w:jc w:val="center"/>
              <w:rPr>
                <w:rFonts w:ascii="Arial" w:hAnsi="Arial" w:cs="Arial"/>
                <w:b/>
                <w:sz w:val="28"/>
                <w:szCs w:val="28"/>
              </w:rPr>
            </w:pPr>
          </w:p>
        </w:tc>
        <w:tc>
          <w:tcPr>
            <w:tcW w:w="700" w:type="dxa"/>
            <w:tcBorders>
              <w:bottom w:val="single" w:sz="4" w:space="0" w:color="auto"/>
            </w:tcBorders>
            <w:shd w:val="clear" w:color="auto" w:fill="C0C0C0"/>
            <w:vAlign w:val="center"/>
          </w:tcPr>
          <w:p w14:paraId="0A936D4C" w14:textId="77777777" w:rsidR="00147059" w:rsidRPr="004F2C12" w:rsidRDefault="00147059"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14:paraId="54D4C30B"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014B4CF3" w14:textId="77777777" w:rsidR="00147059" w:rsidRPr="004F2C12" w:rsidRDefault="00147059" w:rsidP="006F7FC5">
            <w:pPr>
              <w:pStyle w:val="CommentText"/>
              <w:jc w:val="center"/>
              <w:rPr>
                <w:rFonts w:ascii="Arial" w:hAnsi="Arial" w:cs="Arial"/>
                <w:b/>
                <w:sz w:val="28"/>
                <w:szCs w:val="28"/>
              </w:rPr>
            </w:pPr>
          </w:p>
        </w:tc>
      </w:tr>
      <w:tr w:rsidR="00147059" w:rsidRPr="004F2C12" w14:paraId="7FDA3326" w14:textId="77777777" w:rsidTr="00147059">
        <w:trPr>
          <w:cantSplit/>
          <w:trHeight w:val="432"/>
        </w:trPr>
        <w:tc>
          <w:tcPr>
            <w:tcW w:w="1445" w:type="dxa"/>
            <w:vAlign w:val="bottom"/>
          </w:tcPr>
          <w:p w14:paraId="14731F55" w14:textId="77777777" w:rsidR="00147059" w:rsidRPr="0012237E" w:rsidRDefault="00147059" w:rsidP="006F7FC5">
            <w:pPr>
              <w:rPr>
                <w:rFonts w:ascii="Arial" w:hAnsi="Arial" w:cs="Arial"/>
                <w:sz w:val="20"/>
                <w:szCs w:val="20"/>
              </w:rPr>
            </w:pPr>
            <w:r w:rsidRPr="0012237E">
              <w:rPr>
                <w:rFonts w:ascii="Arial" w:hAnsi="Arial" w:cs="Arial"/>
                <w:color w:val="000000"/>
                <w:sz w:val="20"/>
                <w:szCs w:val="20"/>
              </w:rPr>
              <w:t>SERUM</w:t>
            </w:r>
          </w:p>
        </w:tc>
        <w:tc>
          <w:tcPr>
            <w:tcW w:w="611" w:type="dxa"/>
            <w:shd w:val="clear" w:color="auto" w:fill="C0C0C0"/>
            <w:vAlign w:val="center"/>
          </w:tcPr>
          <w:p w14:paraId="1F85CE7B" w14:textId="77777777" w:rsidR="00147059" w:rsidRPr="004F2C12" w:rsidRDefault="00147059" w:rsidP="006F7FC5">
            <w:pPr>
              <w:jc w:val="center"/>
              <w:rPr>
                <w:rFonts w:ascii="Arial" w:hAnsi="Arial" w:cs="Arial"/>
                <w:b/>
                <w:sz w:val="28"/>
                <w:szCs w:val="28"/>
              </w:rPr>
            </w:pPr>
          </w:p>
        </w:tc>
        <w:tc>
          <w:tcPr>
            <w:tcW w:w="522" w:type="dxa"/>
            <w:shd w:val="clear" w:color="auto" w:fill="C0C0C0"/>
            <w:vAlign w:val="center"/>
          </w:tcPr>
          <w:p w14:paraId="6B4F0CEA"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52AF4ABE"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29D33DDB" w14:textId="77777777" w:rsidR="00147059" w:rsidRPr="004F2C12" w:rsidRDefault="00147059" w:rsidP="006F7FC5">
            <w:pPr>
              <w:jc w:val="center"/>
              <w:rPr>
                <w:rFonts w:ascii="Arial" w:hAnsi="Arial" w:cs="Arial"/>
                <w:b/>
                <w:sz w:val="28"/>
                <w:szCs w:val="28"/>
              </w:rPr>
            </w:pPr>
          </w:p>
        </w:tc>
        <w:tc>
          <w:tcPr>
            <w:tcW w:w="800" w:type="dxa"/>
            <w:tcBorders>
              <w:bottom w:val="single" w:sz="4" w:space="0" w:color="auto"/>
            </w:tcBorders>
            <w:shd w:val="clear" w:color="auto" w:fill="C0C0C0"/>
            <w:vAlign w:val="center"/>
          </w:tcPr>
          <w:p w14:paraId="27F8C471" w14:textId="77777777" w:rsidR="00147059" w:rsidRPr="004F2C12" w:rsidRDefault="00147059" w:rsidP="006F7FC5">
            <w:pPr>
              <w:jc w:val="center"/>
              <w:rPr>
                <w:rFonts w:ascii="Arial" w:hAnsi="Arial" w:cs="Arial"/>
                <w:b/>
                <w:sz w:val="28"/>
                <w:szCs w:val="28"/>
              </w:rPr>
            </w:pPr>
          </w:p>
        </w:tc>
        <w:tc>
          <w:tcPr>
            <w:tcW w:w="666" w:type="dxa"/>
            <w:tcBorders>
              <w:bottom w:val="single" w:sz="4" w:space="0" w:color="auto"/>
            </w:tcBorders>
            <w:shd w:val="clear" w:color="auto" w:fill="C0C0C0"/>
            <w:vAlign w:val="center"/>
          </w:tcPr>
          <w:p w14:paraId="0D94DA47" w14:textId="77777777" w:rsidR="00147059" w:rsidRPr="004F2C12" w:rsidRDefault="00147059" w:rsidP="006F7FC5">
            <w:pPr>
              <w:jc w:val="center"/>
              <w:rPr>
                <w:rFonts w:ascii="Arial" w:hAnsi="Arial" w:cs="Arial"/>
                <w:b/>
                <w:sz w:val="28"/>
                <w:szCs w:val="28"/>
              </w:rPr>
            </w:pPr>
          </w:p>
        </w:tc>
        <w:tc>
          <w:tcPr>
            <w:tcW w:w="733" w:type="dxa"/>
            <w:tcBorders>
              <w:bottom w:val="single" w:sz="4" w:space="0" w:color="auto"/>
            </w:tcBorders>
            <w:shd w:val="clear" w:color="auto" w:fill="C0C0C0"/>
            <w:vAlign w:val="center"/>
          </w:tcPr>
          <w:p w14:paraId="22868440" w14:textId="77777777" w:rsidR="00147059" w:rsidRPr="004F2C12" w:rsidRDefault="00147059" w:rsidP="006F7FC5">
            <w:pPr>
              <w:jc w:val="center"/>
              <w:rPr>
                <w:rFonts w:ascii="Arial" w:hAnsi="Arial" w:cs="Arial"/>
                <w:b/>
                <w:sz w:val="28"/>
                <w:szCs w:val="28"/>
              </w:rPr>
            </w:pPr>
          </w:p>
        </w:tc>
        <w:tc>
          <w:tcPr>
            <w:tcW w:w="544" w:type="dxa"/>
            <w:tcBorders>
              <w:bottom w:val="single" w:sz="4" w:space="0" w:color="auto"/>
            </w:tcBorders>
            <w:shd w:val="clear" w:color="auto" w:fill="C0C0C0"/>
            <w:vAlign w:val="center"/>
          </w:tcPr>
          <w:p w14:paraId="1D8C5668" w14:textId="77777777" w:rsidR="00147059" w:rsidRPr="004F2C12" w:rsidRDefault="00147059" w:rsidP="006F7FC5">
            <w:pPr>
              <w:jc w:val="center"/>
              <w:rPr>
                <w:rFonts w:ascii="Arial" w:hAnsi="Arial" w:cs="Arial"/>
                <w:b/>
                <w:sz w:val="28"/>
                <w:szCs w:val="28"/>
              </w:rPr>
            </w:pPr>
          </w:p>
        </w:tc>
        <w:tc>
          <w:tcPr>
            <w:tcW w:w="700" w:type="dxa"/>
            <w:tcBorders>
              <w:bottom w:val="single" w:sz="4" w:space="0" w:color="auto"/>
            </w:tcBorders>
            <w:shd w:val="clear" w:color="auto" w:fill="C0C0C0"/>
            <w:vAlign w:val="center"/>
          </w:tcPr>
          <w:p w14:paraId="2BDB8E60" w14:textId="77777777" w:rsidR="00147059" w:rsidRPr="004F2C12" w:rsidRDefault="00147059"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14:paraId="20F1D45D"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786CC54E" w14:textId="77777777" w:rsidR="00147059" w:rsidRPr="004F2C12" w:rsidRDefault="00147059" w:rsidP="006F7FC5">
            <w:pPr>
              <w:pStyle w:val="CommentText"/>
              <w:jc w:val="center"/>
              <w:rPr>
                <w:rFonts w:ascii="Arial" w:hAnsi="Arial" w:cs="Arial"/>
                <w:b/>
                <w:sz w:val="28"/>
                <w:szCs w:val="28"/>
              </w:rPr>
            </w:pPr>
          </w:p>
        </w:tc>
      </w:tr>
      <w:tr w:rsidR="00147059" w:rsidRPr="004F2C12" w14:paraId="1CAC05C6" w14:textId="77777777" w:rsidTr="00147059">
        <w:trPr>
          <w:cantSplit/>
          <w:trHeight w:val="432"/>
        </w:trPr>
        <w:tc>
          <w:tcPr>
            <w:tcW w:w="1445" w:type="dxa"/>
            <w:vAlign w:val="bottom"/>
          </w:tcPr>
          <w:p w14:paraId="70E935B5" w14:textId="77777777" w:rsidR="00147059" w:rsidRPr="0012237E" w:rsidRDefault="00147059" w:rsidP="006F7FC5">
            <w:pPr>
              <w:rPr>
                <w:rFonts w:ascii="Arial" w:hAnsi="Arial" w:cs="Arial"/>
                <w:sz w:val="20"/>
                <w:szCs w:val="20"/>
              </w:rPr>
            </w:pPr>
            <w:r w:rsidRPr="0012237E">
              <w:rPr>
                <w:rFonts w:ascii="Arial" w:hAnsi="Arial" w:cs="Arial"/>
                <w:color w:val="000000"/>
                <w:sz w:val="20"/>
                <w:szCs w:val="20"/>
              </w:rPr>
              <w:t>POOLED SERUM</w:t>
            </w:r>
            <w:r>
              <w:rPr>
                <w:rFonts w:ascii="Arial" w:hAnsi="Arial" w:cs="Arial"/>
                <w:color w:val="000000"/>
                <w:sz w:val="20"/>
                <w:szCs w:val="20"/>
              </w:rPr>
              <w:t>**</w:t>
            </w:r>
          </w:p>
        </w:tc>
        <w:tc>
          <w:tcPr>
            <w:tcW w:w="611" w:type="dxa"/>
            <w:shd w:val="clear" w:color="auto" w:fill="C0C0C0"/>
            <w:vAlign w:val="center"/>
          </w:tcPr>
          <w:p w14:paraId="3DBE592A" w14:textId="77777777" w:rsidR="00147059" w:rsidRPr="004F2C12" w:rsidRDefault="00147059" w:rsidP="006F7FC5">
            <w:pPr>
              <w:jc w:val="center"/>
              <w:rPr>
                <w:rFonts w:ascii="Arial" w:hAnsi="Arial" w:cs="Arial"/>
                <w:b/>
                <w:sz w:val="28"/>
                <w:szCs w:val="28"/>
              </w:rPr>
            </w:pPr>
          </w:p>
        </w:tc>
        <w:tc>
          <w:tcPr>
            <w:tcW w:w="522" w:type="dxa"/>
            <w:shd w:val="clear" w:color="auto" w:fill="C0C0C0"/>
            <w:vAlign w:val="center"/>
          </w:tcPr>
          <w:p w14:paraId="4A6F7633"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3116697B"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43D95D30" w14:textId="77777777" w:rsidR="00147059" w:rsidRPr="004F2C12" w:rsidRDefault="00147059" w:rsidP="006F7FC5">
            <w:pPr>
              <w:jc w:val="center"/>
              <w:rPr>
                <w:rFonts w:ascii="Arial" w:hAnsi="Arial" w:cs="Arial"/>
                <w:b/>
                <w:sz w:val="28"/>
                <w:szCs w:val="28"/>
              </w:rPr>
            </w:pPr>
          </w:p>
        </w:tc>
        <w:tc>
          <w:tcPr>
            <w:tcW w:w="800" w:type="dxa"/>
            <w:tcBorders>
              <w:bottom w:val="single" w:sz="4" w:space="0" w:color="auto"/>
            </w:tcBorders>
            <w:shd w:val="clear" w:color="auto" w:fill="C0C0C0"/>
            <w:vAlign w:val="center"/>
          </w:tcPr>
          <w:p w14:paraId="04D8DB8C" w14:textId="77777777" w:rsidR="00147059" w:rsidRPr="004F2C12" w:rsidRDefault="00147059" w:rsidP="006F7FC5">
            <w:pPr>
              <w:jc w:val="center"/>
              <w:rPr>
                <w:rFonts w:ascii="Arial" w:hAnsi="Arial" w:cs="Arial"/>
                <w:b/>
                <w:sz w:val="28"/>
                <w:szCs w:val="28"/>
              </w:rPr>
            </w:pPr>
          </w:p>
        </w:tc>
        <w:tc>
          <w:tcPr>
            <w:tcW w:w="666" w:type="dxa"/>
            <w:tcBorders>
              <w:bottom w:val="single" w:sz="4" w:space="0" w:color="auto"/>
            </w:tcBorders>
            <w:shd w:val="clear" w:color="auto" w:fill="C0C0C0"/>
            <w:vAlign w:val="center"/>
          </w:tcPr>
          <w:p w14:paraId="0E6B4CEC" w14:textId="77777777" w:rsidR="00147059" w:rsidRPr="004F2C12" w:rsidRDefault="00147059" w:rsidP="006F7FC5">
            <w:pPr>
              <w:jc w:val="center"/>
              <w:rPr>
                <w:rFonts w:ascii="Arial" w:hAnsi="Arial" w:cs="Arial"/>
                <w:b/>
                <w:sz w:val="28"/>
                <w:szCs w:val="28"/>
              </w:rPr>
            </w:pPr>
          </w:p>
        </w:tc>
        <w:tc>
          <w:tcPr>
            <w:tcW w:w="733" w:type="dxa"/>
            <w:tcBorders>
              <w:bottom w:val="single" w:sz="4" w:space="0" w:color="auto"/>
            </w:tcBorders>
            <w:shd w:val="clear" w:color="auto" w:fill="C0C0C0"/>
            <w:vAlign w:val="center"/>
          </w:tcPr>
          <w:p w14:paraId="4572C304" w14:textId="77777777" w:rsidR="00147059" w:rsidRPr="004F2C12" w:rsidRDefault="00147059" w:rsidP="006F7FC5">
            <w:pPr>
              <w:jc w:val="center"/>
              <w:rPr>
                <w:rFonts w:ascii="Arial" w:hAnsi="Arial" w:cs="Arial"/>
                <w:b/>
                <w:sz w:val="28"/>
                <w:szCs w:val="28"/>
              </w:rPr>
            </w:pPr>
          </w:p>
        </w:tc>
        <w:tc>
          <w:tcPr>
            <w:tcW w:w="544" w:type="dxa"/>
            <w:tcBorders>
              <w:bottom w:val="single" w:sz="4" w:space="0" w:color="auto"/>
            </w:tcBorders>
            <w:shd w:val="clear" w:color="auto" w:fill="C0C0C0"/>
            <w:vAlign w:val="center"/>
          </w:tcPr>
          <w:p w14:paraId="5EB03CA7" w14:textId="77777777" w:rsidR="00147059" w:rsidRPr="004F2C12" w:rsidRDefault="00147059" w:rsidP="006F7FC5">
            <w:pPr>
              <w:jc w:val="center"/>
              <w:rPr>
                <w:rFonts w:ascii="Arial" w:hAnsi="Arial" w:cs="Arial"/>
                <w:b/>
                <w:sz w:val="28"/>
                <w:szCs w:val="28"/>
              </w:rPr>
            </w:pPr>
          </w:p>
        </w:tc>
        <w:tc>
          <w:tcPr>
            <w:tcW w:w="700" w:type="dxa"/>
            <w:tcBorders>
              <w:bottom w:val="single" w:sz="4" w:space="0" w:color="auto"/>
            </w:tcBorders>
            <w:shd w:val="clear" w:color="auto" w:fill="C0C0C0"/>
            <w:vAlign w:val="center"/>
          </w:tcPr>
          <w:p w14:paraId="2A13C875" w14:textId="77777777" w:rsidR="00147059" w:rsidRPr="004F2C12" w:rsidRDefault="00147059"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14:paraId="53FDF8A9"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51394229" w14:textId="77777777" w:rsidR="00147059" w:rsidRPr="004F2C12" w:rsidRDefault="00147059" w:rsidP="006F7FC5">
            <w:pPr>
              <w:pStyle w:val="CommentText"/>
              <w:jc w:val="center"/>
              <w:rPr>
                <w:rFonts w:ascii="Arial" w:hAnsi="Arial" w:cs="Arial"/>
                <w:b/>
                <w:sz w:val="28"/>
                <w:szCs w:val="28"/>
              </w:rPr>
            </w:pPr>
          </w:p>
        </w:tc>
      </w:tr>
      <w:tr w:rsidR="00147059" w:rsidRPr="004F2C12" w14:paraId="3E096E2D" w14:textId="77777777" w:rsidTr="00147059">
        <w:trPr>
          <w:cantSplit/>
          <w:trHeight w:val="432"/>
        </w:trPr>
        <w:tc>
          <w:tcPr>
            <w:tcW w:w="1445" w:type="dxa"/>
            <w:vAlign w:val="bottom"/>
          </w:tcPr>
          <w:p w14:paraId="0E663F78" w14:textId="77777777" w:rsidR="00147059" w:rsidRPr="0012237E" w:rsidRDefault="00147059" w:rsidP="006F7FC5">
            <w:pPr>
              <w:rPr>
                <w:rFonts w:ascii="Arial" w:hAnsi="Arial" w:cs="Arial"/>
                <w:sz w:val="20"/>
                <w:szCs w:val="20"/>
              </w:rPr>
            </w:pPr>
            <w:r w:rsidRPr="0012237E">
              <w:rPr>
                <w:rFonts w:ascii="Arial" w:hAnsi="Arial" w:cs="Arial"/>
                <w:color w:val="000000"/>
                <w:sz w:val="20"/>
                <w:szCs w:val="20"/>
              </w:rPr>
              <w:lastRenderedPageBreak/>
              <w:t>Frozen POOLED SERUM</w:t>
            </w:r>
          </w:p>
        </w:tc>
        <w:tc>
          <w:tcPr>
            <w:tcW w:w="611" w:type="dxa"/>
            <w:shd w:val="clear" w:color="auto" w:fill="C0C0C0"/>
            <w:vAlign w:val="center"/>
          </w:tcPr>
          <w:p w14:paraId="039D9D76" w14:textId="77777777" w:rsidR="00147059" w:rsidRPr="004F2C12" w:rsidRDefault="00147059" w:rsidP="006F7FC5">
            <w:pPr>
              <w:jc w:val="center"/>
              <w:rPr>
                <w:rFonts w:ascii="Arial" w:hAnsi="Arial" w:cs="Arial"/>
                <w:b/>
                <w:sz w:val="28"/>
                <w:szCs w:val="28"/>
              </w:rPr>
            </w:pPr>
          </w:p>
        </w:tc>
        <w:tc>
          <w:tcPr>
            <w:tcW w:w="522" w:type="dxa"/>
            <w:shd w:val="clear" w:color="auto" w:fill="C0C0C0"/>
            <w:vAlign w:val="center"/>
          </w:tcPr>
          <w:p w14:paraId="50AE7A8D"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50A06663"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3484C4C6" w14:textId="77777777" w:rsidR="00147059" w:rsidRPr="004F2C12" w:rsidRDefault="00147059" w:rsidP="006F7FC5">
            <w:pPr>
              <w:jc w:val="center"/>
              <w:rPr>
                <w:rFonts w:ascii="Arial" w:hAnsi="Arial" w:cs="Arial"/>
                <w:b/>
                <w:sz w:val="28"/>
                <w:szCs w:val="28"/>
              </w:rPr>
            </w:pPr>
          </w:p>
        </w:tc>
        <w:tc>
          <w:tcPr>
            <w:tcW w:w="800" w:type="dxa"/>
            <w:shd w:val="clear" w:color="auto" w:fill="C0C0C0"/>
            <w:vAlign w:val="center"/>
          </w:tcPr>
          <w:p w14:paraId="647DAD7B" w14:textId="77777777" w:rsidR="00147059" w:rsidRPr="004F2C12" w:rsidRDefault="00147059" w:rsidP="006F7FC5">
            <w:pPr>
              <w:jc w:val="center"/>
              <w:rPr>
                <w:rFonts w:ascii="Arial" w:hAnsi="Arial" w:cs="Arial"/>
                <w:b/>
                <w:sz w:val="28"/>
                <w:szCs w:val="28"/>
              </w:rPr>
            </w:pPr>
          </w:p>
        </w:tc>
        <w:tc>
          <w:tcPr>
            <w:tcW w:w="666" w:type="dxa"/>
            <w:shd w:val="clear" w:color="auto" w:fill="C0C0C0"/>
            <w:vAlign w:val="center"/>
          </w:tcPr>
          <w:p w14:paraId="44752173" w14:textId="77777777" w:rsidR="00147059" w:rsidRPr="004F2C12" w:rsidRDefault="00147059" w:rsidP="006F7FC5">
            <w:pPr>
              <w:jc w:val="center"/>
              <w:rPr>
                <w:rFonts w:ascii="Arial" w:hAnsi="Arial" w:cs="Arial"/>
                <w:b/>
                <w:sz w:val="28"/>
                <w:szCs w:val="28"/>
              </w:rPr>
            </w:pPr>
          </w:p>
        </w:tc>
        <w:tc>
          <w:tcPr>
            <w:tcW w:w="733" w:type="dxa"/>
            <w:shd w:val="clear" w:color="auto" w:fill="C0C0C0"/>
            <w:vAlign w:val="center"/>
          </w:tcPr>
          <w:p w14:paraId="5C91037B"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423F6332"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14CD4304" w14:textId="77777777" w:rsidR="00147059" w:rsidRPr="004F2C12" w:rsidRDefault="00147059"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14:paraId="2190BFBB"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49182327" w14:textId="77777777" w:rsidR="00147059" w:rsidRPr="004F2C12" w:rsidRDefault="00147059" w:rsidP="006F7FC5">
            <w:pPr>
              <w:pStyle w:val="CommentText"/>
              <w:jc w:val="center"/>
              <w:rPr>
                <w:rFonts w:ascii="Arial" w:hAnsi="Arial" w:cs="Arial"/>
                <w:b/>
                <w:sz w:val="28"/>
                <w:szCs w:val="28"/>
              </w:rPr>
            </w:pPr>
          </w:p>
        </w:tc>
      </w:tr>
      <w:tr w:rsidR="00147059" w:rsidRPr="004F2C12" w14:paraId="48EBDE36" w14:textId="77777777" w:rsidTr="00147059">
        <w:trPr>
          <w:cantSplit/>
          <w:trHeight w:val="432"/>
        </w:trPr>
        <w:tc>
          <w:tcPr>
            <w:tcW w:w="1445" w:type="dxa"/>
            <w:vAlign w:val="bottom"/>
          </w:tcPr>
          <w:p w14:paraId="0AD49A7A" w14:textId="77777777" w:rsidR="00147059" w:rsidRPr="0012237E" w:rsidRDefault="00147059" w:rsidP="006F7FC5">
            <w:pPr>
              <w:rPr>
                <w:rFonts w:ascii="Arial" w:hAnsi="Arial" w:cs="Arial"/>
                <w:sz w:val="20"/>
                <w:szCs w:val="20"/>
              </w:rPr>
            </w:pPr>
            <w:r w:rsidRPr="0012237E">
              <w:rPr>
                <w:rFonts w:ascii="Arial" w:hAnsi="Arial" w:cs="Arial"/>
                <w:sz w:val="20"/>
                <w:szCs w:val="20"/>
              </w:rPr>
              <w:t>Washed APHERESIS RED BLOOD CELLS</w:t>
            </w:r>
          </w:p>
        </w:tc>
        <w:tc>
          <w:tcPr>
            <w:tcW w:w="611" w:type="dxa"/>
            <w:tcBorders>
              <w:bottom w:val="single" w:sz="4" w:space="0" w:color="auto"/>
            </w:tcBorders>
            <w:vAlign w:val="center"/>
          </w:tcPr>
          <w:p w14:paraId="193703E7"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6E9D76A1"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29DCE3CB"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1A1BAC67" w14:textId="77777777" w:rsidR="00147059" w:rsidRPr="004F2C12" w:rsidRDefault="00147059" w:rsidP="006F7FC5">
            <w:pPr>
              <w:jc w:val="center"/>
              <w:rPr>
                <w:rFonts w:ascii="Arial" w:hAnsi="Arial" w:cs="Arial"/>
                <w:b/>
                <w:sz w:val="28"/>
                <w:szCs w:val="28"/>
              </w:rPr>
            </w:pPr>
          </w:p>
        </w:tc>
        <w:tc>
          <w:tcPr>
            <w:tcW w:w="800" w:type="dxa"/>
            <w:tcBorders>
              <w:bottom w:val="single" w:sz="4" w:space="0" w:color="auto"/>
            </w:tcBorders>
            <w:vAlign w:val="center"/>
          </w:tcPr>
          <w:p w14:paraId="32B1B419"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tcBorders>
              <w:bottom w:val="single" w:sz="4" w:space="0" w:color="auto"/>
            </w:tcBorders>
            <w:vAlign w:val="center"/>
          </w:tcPr>
          <w:p w14:paraId="66570443"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tcBorders>
              <w:bottom w:val="single" w:sz="4" w:space="0" w:color="auto"/>
            </w:tcBorders>
            <w:shd w:val="clear" w:color="auto" w:fill="C0C0C0"/>
            <w:vAlign w:val="center"/>
          </w:tcPr>
          <w:p w14:paraId="334B6EBC" w14:textId="77777777" w:rsidR="00147059" w:rsidRPr="004F2C12" w:rsidRDefault="00147059" w:rsidP="006F7FC5">
            <w:pPr>
              <w:jc w:val="center"/>
              <w:rPr>
                <w:rFonts w:ascii="Arial" w:hAnsi="Arial" w:cs="Arial"/>
                <w:b/>
                <w:sz w:val="28"/>
                <w:szCs w:val="28"/>
              </w:rPr>
            </w:pPr>
          </w:p>
        </w:tc>
        <w:tc>
          <w:tcPr>
            <w:tcW w:w="544" w:type="dxa"/>
            <w:tcBorders>
              <w:bottom w:val="single" w:sz="4" w:space="0" w:color="auto"/>
            </w:tcBorders>
            <w:shd w:val="clear" w:color="auto" w:fill="C0C0C0"/>
            <w:vAlign w:val="center"/>
          </w:tcPr>
          <w:p w14:paraId="6FE3E774" w14:textId="77777777" w:rsidR="00147059" w:rsidRPr="004F2C12" w:rsidRDefault="00147059" w:rsidP="006F7FC5">
            <w:pPr>
              <w:jc w:val="center"/>
              <w:rPr>
                <w:rFonts w:ascii="Arial" w:hAnsi="Arial" w:cs="Arial"/>
                <w:b/>
                <w:sz w:val="28"/>
                <w:szCs w:val="28"/>
              </w:rPr>
            </w:pPr>
          </w:p>
        </w:tc>
        <w:tc>
          <w:tcPr>
            <w:tcW w:w="700" w:type="dxa"/>
            <w:tcBorders>
              <w:bottom w:val="single" w:sz="4" w:space="0" w:color="auto"/>
            </w:tcBorders>
            <w:vAlign w:val="center"/>
          </w:tcPr>
          <w:p w14:paraId="15334015"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810" w:type="dxa"/>
            <w:tcBorders>
              <w:bottom w:val="single" w:sz="4" w:space="0" w:color="auto"/>
            </w:tcBorders>
            <w:shd w:val="clear" w:color="auto" w:fill="C0C0C0"/>
            <w:vAlign w:val="center"/>
          </w:tcPr>
          <w:p w14:paraId="6A2E31AE"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0934C811" w14:textId="77777777" w:rsidR="00147059" w:rsidRPr="004F2C12" w:rsidRDefault="00147059" w:rsidP="006F7FC5">
            <w:pPr>
              <w:jc w:val="center"/>
              <w:rPr>
                <w:rFonts w:ascii="Arial" w:hAnsi="Arial" w:cs="Arial"/>
                <w:b/>
                <w:sz w:val="28"/>
                <w:szCs w:val="28"/>
              </w:rPr>
            </w:pPr>
          </w:p>
        </w:tc>
      </w:tr>
      <w:tr w:rsidR="00147059" w:rsidRPr="004F2C12" w14:paraId="63BFA3F5" w14:textId="77777777" w:rsidTr="00147059">
        <w:trPr>
          <w:cantSplit/>
          <w:trHeight w:val="432"/>
        </w:trPr>
        <w:tc>
          <w:tcPr>
            <w:tcW w:w="1445" w:type="dxa"/>
            <w:vAlign w:val="bottom"/>
          </w:tcPr>
          <w:p w14:paraId="1BB893A3" w14:textId="77777777" w:rsidR="00147059" w:rsidRPr="0012237E" w:rsidRDefault="00147059" w:rsidP="006F7FC5">
            <w:pPr>
              <w:rPr>
                <w:rFonts w:ascii="Arial" w:hAnsi="Arial" w:cs="Arial"/>
                <w:sz w:val="20"/>
                <w:szCs w:val="20"/>
              </w:rPr>
            </w:pPr>
            <w:r w:rsidRPr="0012237E">
              <w:rPr>
                <w:rFonts w:ascii="Arial" w:hAnsi="Arial" w:cs="Arial"/>
                <w:sz w:val="20"/>
                <w:szCs w:val="20"/>
              </w:rPr>
              <w:t>Frozen APHERESIS RED BLOOD CELLS</w:t>
            </w:r>
          </w:p>
        </w:tc>
        <w:tc>
          <w:tcPr>
            <w:tcW w:w="611" w:type="dxa"/>
            <w:shd w:val="clear" w:color="auto" w:fill="C0C0C0"/>
            <w:vAlign w:val="center"/>
          </w:tcPr>
          <w:p w14:paraId="13049BC6" w14:textId="77777777" w:rsidR="00147059" w:rsidRPr="004F2C12" w:rsidRDefault="00147059" w:rsidP="006F7FC5">
            <w:pPr>
              <w:jc w:val="center"/>
              <w:rPr>
                <w:rFonts w:ascii="Arial" w:hAnsi="Arial" w:cs="Arial"/>
                <w:b/>
                <w:sz w:val="28"/>
                <w:szCs w:val="28"/>
              </w:rPr>
            </w:pPr>
          </w:p>
        </w:tc>
        <w:tc>
          <w:tcPr>
            <w:tcW w:w="522" w:type="dxa"/>
            <w:shd w:val="clear" w:color="auto" w:fill="C0C0C0"/>
            <w:vAlign w:val="center"/>
          </w:tcPr>
          <w:p w14:paraId="32D8C050"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40569E8B"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560D2066" w14:textId="77777777" w:rsidR="00147059" w:rsidRPr="004F2C12" w:rsidRDefault="00147059" w:rsidP="006F7FC5">
            <w:pPr>
              <w:jc w:val="center"/>
              <w:rPr>
                <w:rFonts w:ascii="Arial" w:hAnsi="Arial" w:cs="Arial"/>
                <w:b/>
                <w:sz w:val="28"/>
                <w:szCs w:val="28"/>
              </w:rPr>
            </w:pPr>
          </w:p>
        </w:tc>
        <w:tc>
          <w:tcPr>
            <w:tcW w:w="800" w:type="dxa"/>
            <w:shd w:val="clear" w:color="auto" w:fill="C0C0C0"/>
            <w:vAlign w:val="center"/>
          </w:tcPr>
          <w:p w14:paraId="50A0C418" w14:textId="77777777" w:rsidR="00147059" w:rsidRPr="004F2C12" w:rsidRDefault="00147059" w:rsidP="006F7FC5">
            <w:pPr>
              <w:jc w:val="center"/>
              <w:rPr>
                <w:rFonts w:ascii="Arial" w:hAnsi="Arial" w:cs="Arial"/>
                <w:b/>
                <w:sz w:val="28"/>
                <w:szCs w:val="28"/>
              </w:rPr>
            </w:pPr>
          </w:p>
        </w:tc>
        <w:tc>
          <w:tcPr>
            <w:tcW w:w="666" w:type="dxa"/>
            <w:shd w:val="clear" w:color="auto" w:fill="C0C0C0"/>
            <w:vAlign w:val="center"/>
          </w:tcPr>
          <w:p w14:paraId="428F9ACB" w14:textId="77777777" w:rsidR="00147059" w:rsidRPr="004F2C12" w:rsidRDefault="00147059" w:rsidP="006F7FC5">
            <w:pPr>
              <w:jc w:val="center"/>
              <w:rPr>
                <w:rFonts w:ascii="Arial" w:hAnsi="Arial" w:cs="Arial"/>
                <w:b/>
                <w:sz w:val="28"/>
                <w:szCs w:val="28"/>
              </w:rPr>
            </w:pPr>
          </w:p>
        </w:tc>
        <w:tc>
          <w:tcPr>
            <w:tcW w:w="733" w:type="dxa"/>
            <w:tcBorders>
              <w:bottom w:val="single" w:sz="4" w:space="0" w:color="auto"/>
            </w:tcBorders>
            <w:shd w:val="clear" w:color="auto" w:fill="C0C0C0"/>
            <w:vAlign w:val="center"/>
          </w:tcPr>
          <w:p w14:paraId="1A3241EE"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1517F552" w14:textId="77777777" w:rsidR="00147059" w:rsidRPr="004F2C12" w:rsidRDefault="00147059" w:rsidP="006F7FC5">
            <w:pPr>
              <w:jc w:val="center"/>
              <w:rPr>
                <w:rFonts w:ascii="Arial" w:hAnsi="Arial" w:cs="Arial"/>
                <w:b/>
                <w:sz w:val="28"/>
                <w:szCs w:val="28"/>
              </w:rPr>
            </w:pPr>
          </w:p>
        </w:tc>
        <w:tc>
          <w:tcPr>
            <w:tcW w:w="700" w:type="dxa"/>
            <w:tcBorders>
              <w:bottom w:val="single" w:sz="4" w:space="0" w:color="auto"/>
            </w:tcBorders>
            <w:shd w:val="clear" w:color="auto" w:fill="C0C0C0"/>
            <w:vAlign w:val="center"/>
          </w:tcPr>
          <w:p w14:paraId="532B048F" w14:textId="77777777" w:rsidR="00147059" w:rsidRPr="004F2C12" w:rsidRDefault="00147059"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14:paraId="345ABD83" w14:textId="77777777" w:rsidR="00147059" w:rsidRPr="004F2C12" w:rsidRDefault="00147059" w:rsidP="006F7FC5">
            <w:pPr>
              <w:jc w:val="center"/>
              <w:rPr>
                <w:rFonts w:ascii="Arial" w:hAnsi="Arial" w:cs="Arial"/>
                <w:b/>
                <w:sz w:val="28"/>
                <w:szCs w:val="28"/>
              </w:rPr>
            </w:pPr>
          </w:p>
        </w:tc>
        <w:tc>
          <w:tcPr>
            <w:tcW w:w="810" w:type="dxa"/>
            <w:vAlign w:val="center"/>
          </w:tcPr>
          <w:p w14:paraId="18252315"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r>
      <w:tr w:rsidR="00147059" w:rsidRPr="004F2C12" w14:paraId="6132C087" w14:textId="77777777" w:rsidTr="00147059">
        <w:trPr>
          <w:cantSplit/>
          <w:trHeight w:val="432"/>
        </w:trPr>
        <w:tc>
          <w:tcPr>
            <w:tcW w:w="1445" w:type="dxa"/>
            <w:vAlign w:val="bottom"/>
          </w:tcPr>
          <w:p w14:paraId="4A01EB35" w14:textId="77777777" w:rsidR="00147059" w:rsidRPr="0012237E" w:rsidRDefault="00147059" w:rsidP="006F7FC5">
            <w:pPr>
              <w:rPr>
                <w:rFonts w:ascii="Arial" w:hAnsi="Arial" w:cs="Arial"/>
                <w:sz w:val="20"/>
                <w:szCs w:val="20"/>
              </w:rPr>
            </w:pPr>
            <w:r w:rsidRPr="0012237E">
              <w:rPr>
                <w:rFonts w:ascii="Arial" w:hAnsi="Arial" w:cs="Arial"/>
                <w:sz w:val="20"/>
                <w:szCs w:val="20"/>
              </w:rPr>
              <w:t>Deglycerolized APHERESIS RED BLOOD CELLS</w:t>
            </w:r>
          </w:p>
        </w:tc>
        <w:tc>
          <w:tcPr>
            <w:tcW w:w="611" w:type="dxa"/>
            <w:vAlign w:val="center"/>
          </w:tcPr>
          <w:p w14:paraId="46A93E19"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65C029DC"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1812C287"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22BD7436" w14:textId="77777777" w:rsidR="00147059" w:rsidRPr="004F2C12" w:rsidRDefault="00147059" w:rsidP="006F7FC5">
            <w:pPr>
              <w:jc w:val="center"/>
              <w:rPr>
                <w:rFonts w:ascii="Arial" w:hAnsi="Arial" w:cs="Arial"/>
                <w:b/>
                <w:sz w:val="28"/>
                <w:szCs w:val="28"/>
              </w:rPr>
            </w:pPr>
          </w:p>
        </w:tc>
        <w:tc>
          <w:tcPr>
            <w:tcW w:w="800" w:type="dxa"/>
            <w:vAlign w:val="center"/>
          </w:tcPr>
          <w:p w14:paraId="591FF3D0"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vAlign w:val="center"/>
          </w:tcPr>
          <w:p w14:paraId="39D9553E"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shd w:val="pct25" w:color="auto" w:fill="auto"/>
            <w:vAlign w:val="center"/>
          </w:tcPr>
          <w:p w14:paraId="61A80DD4" w14:textId="77777777" w:rsidR="00147059" w:rsidRPr="004F2C12" w:rsidRDefault="00147059" w:rsidP="006F7FC5">
            <w:pPr>
              <w:jc w:val="center"/>
              <w:rPr>
                <w:rFonts w:ascii="Arial" w:hAnsi="Arial" w:cs="Arial"/>
                <w:b/>
                <w:sz w:val="28"/>
                <w:szCs w:val="28"/>
              </w:rPr>
            </w:pPr>
          </w:p>
        </w:tc>
        <w:tc>
          <w:tcPr>
            <w:tcW w:w="544" w:type="dxa"/>
            <w:tcBorders>
              <w:bottom w:val="single" w:sz="4" w:space="0" w:color="auto"/>
            </w:tcBorders>
            <w:shd w:val="clear" w:color="auto" w:fill="C0C0C0"/>
            <w:vAlign w:val="center"/>
          </w:tcPr>
          <w:p w14:paraId="072763D9" w14:textId="77777777" w:rsidR="00147059" w:rsidRPr="004F2C12" w:rsidRDefault="00147059" w:rsidP="006F7FC5">
            <w:pPr>
              <w:jc w:val="center"/>
              <w:rPr>
                <w:rFonts w:ascii="Arial" w:hAnsi="Arial" w:cs="Arial"/>
                <w:b/>
                <w:sz w:val="28"/>
                <w:szCs w:val="28"/>
              </w:rPr>
            </w:pPr>
          </w:p>
        </w:tc>
        <w:tc>
          <w:tcPr>
            <w:tcW w:w="700" w:type="dxa"/>
            <w:shd w:val="clear" w:color="auto" w:fill="auto"/>
            <w:vAlign w:val="center"/>
          </w:tcPr>
          <w:p w14:paraId="0D2E298B"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 xml:space="preserve"> X</w:t>
            </w:r>
            <w:r>
              <w:rPr>
                <w:rStyle w:val="CommentReference"/>
              </w:rPr>
              <w:t xml:space="preserve"> </w:t>
            </w:r>
          </w:p>
        </w:tc>
        <w:tc>
          <w:tcPr>
            <w:tcW w:w="810" w:type="dxa"/>
            <w:shd w:val="clear" w:color="auto" w:fill="C0C0C0"/>
            <w:vAlign w:val="center"/>
          </w:tcPr>
          <w:p w14:paraId="3EFC6554"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73C82B51" w14:textId="77777777" w:rsidR="00147059" w:rsidRPr="004F2C12" w:rsidRDefault="00147059" w:rsidP="006F7FC5">
            <w:pPr>
              <w:jc w:val="center"/>
              <w:rPr>
                <w:rFonts w:ascii="Arial" w:hAnsi="Arial" w:cs="Arial"/>
                <w:b/>
                <w:sz w:val="28"/>
                <w:szCs w:val="28"/>
              </w:rPr>
            </w:pPr>
          </w:p>
        </w:tc>
      </w:tr>
      <w:tr w:rsidR="00147059" w:rsidRPr="004F2C12" w14:paraId="4D726D10" w14:textId="77777777" w:rsidTr="00147059">
        <w:trPr>
          <w:cantSplit/>
          <w:trHeight w:val="432"/>
        </w:trPr>
        <w:tc>
          <w:tcPr>
            <w:tcW w:w="1445" w:type="dxa"/>
            <w:vAlign w:val="bottom"/>
          </w:tcPr>
          <w:p w14:paraId="7310EFDA" w14:textId="77777777" w:rsidR="00147059" w:rsidRPr="0012237E" w:rsidRDefault="00147059" w:rsidP="006F7FC5">
            <w:pPr>
              <w:rPr>
                <w:rFonts w:ascii="Arial" w:hAnsi="Arial" w:cs="Arial"/>
                <w:sz w:val="20"/>
                <w:szCs w:val="20"/>
              </w:rPr>
            </w:pPr>
            <w:r w:rsidRPr="0012237E">
              <w:rPr>
                <w:rFonts w:ascii="Arial" w:hAnsi="Arial" w:cs="Arial"/>
                <w:sz w:val="20"/>
                <w:szCs w:val="20"/>
              </w:rPr>
              <w:t>Rejuvenated APHERESIS RED BLOOD CELLS</w:t>
            </w:r>
          </w:p>
        </w:tc>
        <w:tc>
          <w:tcPr>
            <w:tcW w:w="611" w:type="dxa"/>
            <w:vAlign w:val="center"/>
          </w:tcPr>
          <w:p w14:paraId="6BCE8537"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6CD9751B"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6D6E7CD3"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42B799C5" w14:textId="77777777" w:rsidR="00147059" w:rsidRPr="004F2C12" w:rsidRDefault="00147059" w:rsidP="006F7FC5">
            <w:pPr>
              <w:jc w:val="center"/>
              <w:rPr>
                <w:rFonts w:ascii="Arial" w:hAnsi="Arial" w:cs="Arial"/>
                <w:b/>
                <w:sz w:val="28"/>
                <w:szCs w:val="28"/>
              </w:rPr>
            </w:pPr>
          </w:p>
        </w:tc>
        <w:tc>
          <w:tcPr>
            <w:tcW w:w="800" w:type="dxa"/>
            <w:vAlign w:val="center"/>
          </w:tcPr>
          <w:p w14:paraId="189302CB"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vAlign w:val="center"/>
          </w:tcPr>
          <w:p w14:paraId="5ADEF29F"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shd w:val="clear" w:color="auto" w:fill="C0C0C0"/>
            <w:vAlign w:val="center"/>
          </w:tcPr>
          <w:p w14:paraId="360EA58A"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6AF1688F"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4A453673" w14:textId="77777777" w:rsidR="00147059" w:rsidRPr="004F2C12" w:rsidRDefault="00147059" w:rsidP="006F7FC5">
            <w:pPr>
              <w:jc w:val="center"/>
              <w:rPr>
                <w:rFonts w:ascii="Arial" w:hAnsi="Arial" w:cs="Arial"/>
                <w:b/>
                <w:sz w:val="28"/>
                <w:szCs w:val="28"/>
              </w:rPr>
            </w:pPr>
          </w:p>
        </w:tc>
        <w:tc>
          <w:tcPr>
            <w:tcW w:w="810" w:type="dxa"/>
            <w:vAlign w:val="center"/>
          </w:tcPr>
          <w:p w14:paraId="5C46C765"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810" w:type="dxa"/>
            <w:shd w:val="clear" w:color="auto" w:fill="C0C0C0"/>
            <w:vAlign w:val="center"/>
          </w:tcPr>
          <w:p w14:paraId="225C63EE" w14:textId="77777777" w:rsidR="00147059" w:rsidRPr="004F2C12" w:rsidRDefault="00147059" w:rsidP="006F7FC5">
            <w:pPr>
              <w:jc w:val="center"/>
              <w:rPr>
                <w:rFonts w:ascii="Arial" w:hAnsi="Arial" w:cs="Arial"/>
                <w:b/>
                <w:sz w:val="28"/>
                <w:szCs w:val="28"/>
              </w:rPr>
            </w:pPr>
          </w:p>
        </w:tc>
      </w:tr>
      <w:tr w:rsidR="00147059" w:rsidRPr="004F2C12" w14:paraId="7B607A2A" w14:textId="77777777" w:rsidTr="00147059">
        <w:trPr>
          <w:cantSplit/>
          <w:trHeight w:val="432"/>
        </w:trPr>
        <w:tc>
          <w:tcPr>
            <w:tcW w:w="1445" w:type="dxa"/>
            <w:vAlign w:val="bottom"/>
          </w:tcPr>
          <w:p w14:paraId="39CEE338" w14:textId="77777777" w:rsidR="00147059" w:rsidRPr="0012237E" w:rsidRDefault="00147059" w:rsidP="006F7FC5">
            <w:pPr>
              <w:rPr>
                <w:rFonts w:ascii="Arial" w:hAnsi="Arial" w:cs="Arial"/>
                <w:sz w:val="20"/>
                <w:szCs w:val="20"/>
              </w:rPr>
            </w:pPr>
            <w:r w:rsidRPr="0012237E">
              <w:rPr>
                <w:rFonts w:ascii="Arial" w:hAnsi="Arial" w:cs="Arial"/>
                <w:sz w:val="20"/>
                <w:szCs w:val="20"/>
              </w:rPr>
              <w:t>Frozen Rejuvenated APHERESIS RED BLOOD CELLS</w:t>
            </w:r>
          </w:p>
        </w:tc>
        <w:tc>
          <w:tcPr>
            <w:tcW w:w="611" w:type="dxa"/>
            <w:shd w:val="clear" w:color="auto" w:fill="C0C0C0"/>
            <w:vAlign w:val="center"/>
          </w:tcPr>
          <w:p w14:paraId="50EF9E1B" w14:textId="77777777" w:rsidR="00147059" w:rsidRPr="004F2C12" w:rsidRDefault="00147059" w:rsidP="006F7FC5">
            <w:pPr>
              <w:jc w:val="center"/>
              <w:rPr>
                <w:rFonts w:ascii="Arial" w:hAnsi="Arial" w:cs="Arial"/>
                <w:b/>
                <w:sz w:val="28"/>
                <w:szCs w:val="28"/>
              </w:rPr>
            </w:pPr>
          </w:p>
        </w:tc>
        <w:tc>
          <w:tcPr>
            <w:tcW w:w="522" w:type="dxa"/>
            <w:shd w:val="clear" w:color="auto" w:fill="C0C0C0"/>
            <w:vAlign w:val="center"/>
          </w:tcPr>
          <w:p w14:paraId="13914595"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47271B74"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4254FF11" w14:textId="77777777" w:rsidR="00147059" w:rsidRPr="004F2C12" w:rsidRDefault="00147059" w:rsidP="006F7FC5">
            <w:pPr>
              <w:jc w:val="center"/>
              <w:rPr>
                <w:rFonts w:ascii="Arial" w:hAnsi="Arial" w:cs="Arial"/>
                <w:b/>
                <w:sz w:val="28"/>
                <w:szCs w:val="28"/>
              </w:rPr>
            </w:pPr>
          </w:p>
        </w:tc>
        <w:tc>
          <w:tcPr>
            <w:tcW w:w="800" w:type="dxa"/>
            <w:shd w:val="clear" w:color="auto" w:fill="C0C0C0"/>
            <w:vAlign w:val="center"/>
          </w:tcPr>
          <w:p w14:paraId="51CA056B" w14:textId="77777777" w:rsidR="00147059" w:rsidRPr="004F2C12" w:rsidRDefault="00147059" w:rsidP="006F7FC5">
            <w:pPr>
              <w:jc w:val="center"/>
              <w:rPr>
                <w:rFonts w:ascii="Arial" w:hAnsi="Arial" w:cs="Arial"/>
                <w:b/>
                <w:sz w:val="28"/>
                <w:szCs w:val="28"/>
              </w:rPr>
            </w:pPr>
          </w:p>
        </w:tc>
        <w:tc>
          <w:tcPr>
            <w:tcW w:w="666" w:type="dxa"/>
            <w:shd w:val="clear" w:color="auto" w:fill="C0C0C0"/>
            <w:vAlign w:val="center"/>
          </w:tcPr>
          <w:p w14:paraId="4E3EB655" w14:textId="77777777" w:rsidR="00147059" w:rsidRPr="004F2C12" w:rsidRDefault="00147059" w:rsidP="006F7FC5">
            <w:pPr>
              <w:jc w:val="center"/>
              <w:rPr>
                <w:rFonts w:ascii="Arial" w:hAnsi="Arial" w:cs="Arial"/>
                <w:b/>
                <w:sz w:val="28"/>
                <w:szCs w:val="28"/>
              </w:rPr>
            </w:pPr>
          </w:p>
        </w:tc>
        <w:tc>
          <w:tcPr>
            <w:tcW w:w="733" w:type="dxa"/>
            <w:tcBorders>
              <w:bottom w:val="single" w:sz="4" w:space="0" w:color="auto"/>
            </w:tcBorders>
            <w:shd w:val="clear" w:color="auto" w:fill="C0C0C0"/>
            <w:vAlign w:val="center"/>
          </w:tcPr>
          <w:p w14:paraId="56E5BA43" w14:textId="77777777" w:rsidR="00147059" w:rsidRPr="004F2C12" w:rsidRDefault="00147059" w:rsidP="006F7FC5">
            <w:pPr>
              <w:jc w:val="center"/>
              <w:rPr>
                <w:rFonts w:ascii="Arial" w:hAnsi="Arial" w:cs="Arial"/>
                <w:b/>
                <w:sz w:val="28"/>
                <w:szCs w:val="28"/>
              </w:rPr>
            </w:pPr>
          </w:p>
        </w:tc>
        <w:tc>
          <w:tcPr>
            <w:tcW w:w="544" w:type="dxa"/>
            <w:tcBorders>
              <w:bottom w:val="single" w:sz="4" w:space="0" w:color="auto"/>
            </w:tcBorders>
            <w:shd w:val="clear" w:color="auto" w:fill="C0C0C0"/>
            <w:vAlign w:val="center"/>
          </w:tcPr>
          <w:p w14:paraId="46277EF2" w14:textId="77777777" w:rsidR="00147059" w:rsidRPr="004F2C12" w:rsidRDefault="00147059" w:rsidP="006F7FC5">
            <w:pPr>
              <w:jc w:val="center"/>
              <w:rPr>
                <w:rFonts w:ascii="Arial" w:hAnsi="Arial" w:cs="Arial"/>
                <w:b/>
                <w:sz w:val="28"/>
                <w:szCs w:val="28"/>
              </w:rPr>
            </w:pPr>
          </w:p>
        </w:tc>
        <w:tc>
          <w:tcPr>
            <w:tcW w:w="700" w:type="dxa"/>
            <w:tcBorders>
              <w:bottom w:val="single" w:sz="4" w:space="0" w:color="auto"/>
            </w:tcBorders>
            <w:shd w:val="clear" w:color="auto" w:fill="C0C0C0"/>
            <w:vAlign w:val="center"/>
          </w:tcPr>
          <w:p w14:paraId="743DE540" w14:textId="77777777" w:rsidR="00147059" w:rsidRPr="004F2C12" w:rsidRDefault="00147059"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14:paraId="0590B234" w14:textId="77777777" w:rsidR="00147059" w:rsidRPr="004F2C12" w:rsidRDefault="00147059" w:rsidP="006F7FC5">
            <w:pPr>
              <w:jc w:val="center"/>
              <w:rPr>
                <w:rFonts w:ascii="Arial" w:hAnsi="Arial" w:cs="Arial"/>
                <w:b/>
                <w:sz w:val="28"/>
                <w:szCs w:val="28"/>
              </w:rPr>
            </w:pPr>
          </w:p>
        </w:tc>
        <w:tc>
          <w:tcPr>
            <w:tcW w:w="810" w:type="dxa"/>
            <w:tcBorders>
              <w:bottom w:val="single" w:sz="4" w:space="0" w:color="auto"/>
            </w:tcBorders>
            <w:vAlign w:val="center"/>
          </w:tcPr>
          <w:p w14:paraId="1B112260"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r>
      <w:tr w:rsidR="00147059" w:rsidRPr="004F2C12" w14:paraId="6290CE1A" w14:textId="77777777" w:rsidTr="00147059">
        <w:trPr>
          <w:cantSplit/>
          <w:trHeight w:val="432"/>
        </w:trPr>
        <w:tc>
          <w:tcPr>
            <w:tcW w:w="1445" w:type="dxa"/>
            <w:vAlign w:val="bottom"/>
          </w:tcPr>
          <w:p w14:paraId="3F3B8D6D" w14:textId="77777777" w:rsidR="00147059" w:rsidRPr="0012237E" w:rsidRDefault="00147059" w:rsidP="006F7FC5">
            <w:pPr>
              <w:rPr>
                <w:rFonts w:ascii="Arial" w:hAnsi="Arial" w:cs="Arial"/>
                <w:sz w:val="20"/>
                <w:szCs w:val="20"/>
              </w:rPr>
            </w:pPr>
            <w:r w:rsidRPr="0012237E">
              <w:rPr>
                <w:rFonts w:ascii="Arial" w:hAnsi="Arial" w:cs="Arial"/>
                <w:sz w:val="20"/>
                <w:szCs w:val="20"/>
              </w:rPr>
              <w:t>Deglycerolized Rejuvenated APHERESIS RED BLOOD CELLS</w:t>
            </w:r>
          </w:p>
        </w:tc>
        <w:tc>
          <w:tcPr>
            <w:tcW w:w="611" w:type="dxa"/>
            <w:tcBorders>
              <w:bottom w:val="single" w:sz="4" w:space="0" w:color="auto"/>
            </w:tcBorders>
            <w:vAlign w:val="center"/>
          </w:tcPr>
          <w:p w14:paraId="6AAD654A"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14:paraId="1913A7CB"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2218DD68"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2EF29D46" w14:textId="77777777" w:rsidR="00147059" w:rsidRPr="004F2C12" w:rsidRDefault="00147059" w:rsidP="006F7FC5">
            <w:pPr>
              <w:jc w:val="center"/>
              <w:rPr>
                <w:rFonts w:ascii="Arial" w:hAnsi="Arial" w:cs="Arial"/>
                <w:b/>
                <w:sz w:val="28"/>
                <w:szCs w:val="28"/>
              </w:rPr>
            </w:pPr>
          </w:p>
        </w:tc>
        <w:tc>
          <w:tcPr>
            <w:tcW w:w="800" w:type="dxa"/>
            <w:vAlign w:val="center"/>
          </w:tcPr>
          <w:p w14:paraId="2C884CA4"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vAlign w:val="center"/>
          </w:tcPr>
          <w:p w14:paraId="03F0EAA0"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shd w:val="clear" w:color="auto" w:fill="C0C0C0"/>
            <w:vAlign w:val="center"/>
          </w:tcPr>
          <w:p w14:paraId="4C65B4B2"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74D1EFD2"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34EA3F5B"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198D4779"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5BFBB663" w14:textId="77777777" w:rsidR="00147059" w:rsidRPr="004F2C12" w:rsidRDefault="00147059" w:rsidP="006F7FC5">
            <w:pPr>
              <w:jc w:val="center"/>
              <w:rPr>
                <w:rFonts w:ascii="Arial" w:hAnsi="Arial" w:cs="Arial"/>
                <w:b/>
                <w:sz w:val="28"/>
                <w:szCs w:val="28"/>
              </w:rPr>
            </w:pPr>
          </w:p>
        </w:tc>
      </w:tr>
      <w:tr w:rsidR="00147059" w:rsidRPr="004F2C12" w14:paraId="04267F40" w14:textId="77777777" w:rsidTr="00147059">
        <w:trPr>
          <w:cantSplit/>
          <w:trHeight w:val="432"/>
        </w:trPr>
        <w:tc>
          <w:tcPr>
            <w:tcW w:w="1445" w:type="dxa"/>
            <w:vAlign w:val="bottom"/>
          </w:tcPr>
          <w:p w14:paraId="683FA8FD" w14:textId="77777777" w:rsidR="00147059" w:rsidRPr="0012237E" w:rsidRDefault="00147059" w:rsidP="006F7FC5">
            <w:pPr>
              <w:pStyle w:val="TableText"/>
              <w:rPr>
                <w:rFonts w:cs="Arial"/>
                <w:sz w:val="20"/>
                <w:szCs w:val="20"/>
              </w:rPr>
            </w:pPr>
            <w:r w:rsidRPr="0012237E">
              <w:rPr>
                <w:rFonts w:cs="Arial"/>
                <w:bCs/>
                <w:sz w:val="20"/>
                <w:szCs w:val="20"/>
              </w:rPr>
              <w:t>Thawed POOLED PLASMA</w:t>
            </w:r>
          </w:p>
        </w:tc>
        <w:tc>
          <w:tcPr>
            <w:tcW w:w="611" w:type="dxa"/>
            <w:tcBorders>
              <w:bottom w:val="single" w:sz="4" w:space="0" w:color="auto"/>
            </w:tcBorders>
            <w:shd w:val="pct25" w:color="auto" w:fill="auto"/>
            <w:vAlign w:val="center"/>
          </w:tcPr>
          <w:p w14:paraId="6D42E12D" w14:textId="77777777" w:rsidR="00147059" w:rsidRPr="004F2C12" w:rsidRDefault="00147059" w:rsidP="006F7FC5">
            <w:pPr>
              <w:jc w:val="center"/>
              <w:rPr>
                <w:rFonts w:ascii="Arial" w:hAnsi="Arial" w:cs="Arial"/>
                <w:b/>
                <w:sz w:val="28"/>
                <w:szCs w:val="28"/>
              </w:rPr>
            </w:pPr>
          </w:p>
        </w:tc>
        <w:tc>
          <w:tcPr>
            <w:tcW w:w="522" w:type="dxa"/>
            <w:shd w:val="clear" w:color="auto" w:fill="C0C0C0"/>
            <w:vAlign w:val="center"/>
          </w:tcPr>
          <w:p w14:paraId="39C5716F"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669D935A"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462AD057" w14:textId="77777777" w:rsidR="00147059" w:rsidRPr="004F2C12" w:rsidRDefault="00147059" w:rsidP="006F7FC5">
            <w:pPr>
              <w:jc w:val="center"/>
              <w:rPr>
                <w:rFonts w:ascii="Arial" w:hAnsi="Arial" w:cs="Arial"/>
                <w:b/>
                <w:sz w:val="28"/>
                <w:szCs w:val="28"/>
              </w:rPr>
            </w:pPr>
          </w:p>
        </w:tc>
        <w:tc>
          <w:tcPr>
            <w:tcW w:w="800" w:type="dxa"/>
            <w:vAlign w:val="center"/>
          </w:tcPr>
          <w:p w14:paraId="738781FA"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vAlign w:val="center"/>
          </w:tcPr>
          <w:p w14:paraId="309254FF"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shd w:val="clear" w:color="auto" w:fill="C0C0C0"/>
            <w:vAlign w:val="center"/>
          </w:tcPr>
          <w:p w14:paraId="78D39A2B"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68CE5429"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4E7FA281"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118A0123"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765A601F" w14:textId="77777777" w:rsidR="00147059" w:rsidRPr="004F2C12" w:rsidRDefault="00147059" w:rsidP="006F7FC5">
            <w:pPr>
              <w:jc w:val="center"/>
              <w:rPr>
                <w:rFonts w:ascii="Arial" w:hAnsi="Arial" w:cs="Arial"/>
                <w:b/>
                <w:sz w:val="28"/>
                <w:szCs w:val="28"/>
              </w:rPr>
            </w:pPr>
          </w:p>
        </w:tc>
      </w:tr>
      <w:tr w:rsidR="00147059" w:rsidRPr="004F2C12" w14:paraId="7C86210D" w14:textId="77777777" w:rsidTr="00147059">
        <w:trPr>
          <w:cantSplit/>
          <w:trHeight w:val="432"/>
        </w:trPr>
        <w:tc>
          <w:tcPr>
            <w:tcW w:w="1445" w:type="dxa"/>
            <w:vAlign w:val="bottom"/>
          </w:tcPr>
          <w:p w14:paraId="53EC62A3" w14:textId="77777777" w:rsidR="00147059" w:rsidRPr="0012237E" w:rsidRDefault="00147059" w:rsidP="006F7FC5">
            <w:pPr>
              <w:pStyle w:val="TableText"/>
              <w:rPr>
                <w:rFonts w:cs="Arial"/>
                <w:sz w:val="20"/>
                <w:szCs w:val="20"/>
              </w:rPr>
            </w:pPr>
            <w:r w:rsidRPr="0012237E">
              <w:rPr>
                <w:rFonts w:cs="Arial"/>
                <w:sz w:val="20"/>
                <w:szCs w:val="20"/>
              </w:rPr>
              <w:t>Thawed POOLED FRESH FROZEN PLASMA</w:t>
            </w:r>
          </w:p>
        </w:tc>
        <w:tc>
          <w:tcPr>
            <w:tcW w:w="611" w:type="dxa"/>
            <w:shd w:val="pct25" w:color="auto" w:fill="auto"/>
            <w:vAlign w:val="center"/>
          </w:tcPr>
          <w:p w14:paraId="2E90DD62" w14:textId="77777777" w:rsidR="00147059" w:rsidRPr="004F2C12" w:rsidRDefault="00147059" w:rsidP="006F7FC5">
            <w:pPr>
              <w:jc w:val="center"/>
              <w:rPr>
                <w:rFonts w:ascii="Arial" w:hAnsi="Arial" w:cs="Arial"/>
                <w:b/>
                <w:sz w:val="28"/>
                <w:szCs w:val="28"/>
              </w:rPr>
            </w:pPr>
          </w:p>
        </w:tc>
        <w:tc>
          <w:tcPr>
            <w:tcW w:w="522" w:type="dxa"/>
            <w:tcBorders>
              <w:bottom w:val="single" w:sz="4" w:space="0" w:color="auto"/>
            </w:tcBorders>
            <w:shd w:val="clear" w:color="auto" w:fill="C0C0C0"/>
            <w:vAlign w:val="center"/>
          </w:tcPr>
          <w:p w14:paraId="0689CE19" w14:textId="77777777" w:rsidR="00147059" w:rsidRPr="004F2C12" w:rsidRDefault="00147059" w:rsidP="006F7FC5">
            <w:pPr>
              <w:jc w:val="center"/>
              <w:rPr>
                <w:rFonts w:ascii="Arial" w:hAnsi="Arial" w:cs="Arial"/>
                <w:b/>
                <w:sz w:val="28"/>
                <w:szCs w:val="28"/>
              </w:rPr>
            </w:pPr>
          </w:p>
        </w:tc>
        <w:tc>
          <w:tcPr>
            <w:tcW w:w="444" w:type="dxa"/>
            <w:tcBorders>
              <w:bottom w:val="single" w:sz="4" w:space="0" w:color="auto"/>
            </w:tcBorders>
            <w:shd w:val="clear" w:color="auto" w:fill="C0C0C0"/>
            <w:vAlign w:val="center"/>
          </w:tcPr>
          <w:p w14:paraId="6FB45239" w14:textId="77777777" w:rsidR="00147059" w:rsidRPr="004F2C12" w:rsidRDefault="00147059"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14:paraId="73C336EF" w14:textId="77777777" w:rsidR="00147059" w:rsidRPr="004F2C12" w:rsidRDefault="00147059" w:rsidP="006F7FC5">
            <w:pPr>
              <w:jc w:val="center"/>
              <w:rPr>
                <w:rFonts w:ascii="Arial" w:hAnsi="Arial" w:cs="Arial"/>
                <w:b/>
                <w:sz w:val="28"/>
                <w:szCs w:val="28"/>
              </w:rPr>
            </w:pPr>
          </w:p>
        </w:tc>
        <w:tc>
          <w:tcPr>
            <w:tcW w:w="800" w:type="dxa"/>
            <w:vAlign w:val="center"/>
          </w:tcPr>
          <w:p w14:paraId="231F7420"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tcBorders>
              <w:bottom w:val="single" w:sz="4" w:space="0" w:color="auto"/>
            </w:tcBorders>
            <w:vAlign w:val="center"/>
          </w:tcPr>
          <w:p w14:paraId="08B6A880"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tcBorders>
              <w:bottom w:val="single" w:sz="4" w:space="0" w:color="auto"/>
            </w:tcBorders>
            <w:shd w:val="clear" w:color="auto" w:fill="C0C0C0"/>
            <w:vAlign w:val="center"/>
          </w:tcPr>
          <w:p w14:paraId="626AE4CE"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39D8966B"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450F49B5"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768B7F7D"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60A6DD56" w14:textId="77777777" w:rsidR="00147059" w:rsidRPr="004F2C12" w:rsidRDefault="00147059" w:rsidP="006F7FC5">
            <w:pPr>
              <w:jc w:val="center"/>
              <w:rPr>
                <w:rFonts w:ascii="Arial" w:hAnsi="Arial" w:cs="Arial"/>
                <w:b/>
                <w:sz w:val="28"/>
                <w:szCs w:val="28"/>
              </w:rPr>
            </w:pPr>
          </w:p>
        </w:tc>
      </w:tr>
      <w:tr w:rsidR="00147059" w:rsidRPr="004F2C12" w14:paraId="098EE9D9" w14:textId="77777777" w:rsidTr="00147059">
        <w:trPr>
          <w:cantSplit/>
          <w:trHeight w:val="432"/>
        </w:trPr>
        <w:tc>
          <w:tcPr>
            <w:tcW w:w="1445" w:type="dxa"/>
            <w:vAlign w:val="bottom"/>
          </w:tcPr>
          <w:p w14:paraId="40AEF6BE" w14:textId="77777777" w:rsidR="00147059" w:rsidRPr="0012237E" w:rsidRDefault="00147059" w:rsidP="006F7FC5">
            <w:pPr>
              <w:pStyle w:val="TableText"/>
              <w:rPr>
                <w:rFonts w:cs="Arial"/>
                <w:sz w:val="20"/>
                <w:szCs w:val="20"/>
              </w:rPr>
            </w:pPr>
            <w:r w:rsidRPr="0012237E">
              <w:rPr>
                <w:rFonts w:cs="Arial"/>
                <w:sz w:val="20"/>
                <w:szCs w:val="20"/>
              </w:rPr>
              <w:t>Washed GRANULOCYTES</w:t>
            </w:r>
          </w:p>
        </w:tc>
        <w:tc>
          <w:tcPr>
            <w:tcW w:w="611" w:type="dxa"/>
            <w:tcBorders>
              <w:bottom w:val="single" w:sz="4" w:space="0" w:color="auto"/>
            </w:tcBorders>
            <w:vAlign w:val="center"/>
          </w:tcPr>
          <w:p w14:paraId="133CBD27"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522" w:type="dxa"/>
            <w:tcBorders>
              <w:bottom w:val="single" w:sz="4" w:space="0" w:color="auto"/>
            </w:tcBorders>
            <w:shd w:val="pct25" w:color="auto" w:fill="auto"/>
            <w:vAlign w:val="center"/>
          </w:tcPr>
          <w:p w14:paraId="1C314AC0" w14:textId="77777777" w:rsidR="00147059" w:rsidRPr="004F2C12" w:rsidRDefault="00147059" w:rsidP="006F7FC5">
            <w:pPr>
              <w:jc w:val="center"/>
              <w:rPr>
                <w:rFonts w:ascii="Arial" w:hAnsi="Arial" w:cs="Arial"/>
                <w:b/>
                <w:sz w:val="28"/>
                <w:szCs w:val="28"/>
              </w:rPr>
            </w:pPr>
          </w:p>
        </w:tc>
        <w:tc>
          <w:tcPr>
            <w:tcW w:w="444" w:type="dxa"/>
            <w:shd w:val="pct25" w:color="auto" w:fill="auto"/>
            <w:vAlign w:val="center"/>
          </w:tcPr>
          <w:p w14:paraId="2A0D6977" w14:textId="77777777" w:rsidR="00147059" w:rsidRPr="004F2C12" w:rsidRDefault="00147059" w:rsidP="006F7FC5">
            <w:pPr>
              <w:jc w:val="center"/>
              <w:rPr>
                <w:rFonts w:ascii="Arial" w:hAnsi="Arial" w:cs="Arial"/>
                <w:b/>
                <w:sz w:val="28"/>
                <w:szCs w:val="28"/>
              </w:rPr>
            </w:pPr>
          </w:p>
        </w:tc>
        <w:tc>
          <w:tcPr>
            <w:tcW w:w="577" w:type="dxa"/>
            <w:shd w:val="pct25" w:color="auto" w:fill="auto"/>
            <w:vAlign w:val="center"/>
          </w:tcPr>
          <w:p w14:paraId="5F93B92B" w14:textId="77777777" w:rsidR="00147059" w:rsidRPr="004F2C12" w:rsidRDefault="00147059" w:rsidP="006F7FC5">
            <w:pPr>
              <w:jc w:val="center"/>
              <w:rPr>
                <w:rFonts w:ascii="Arial" w:hAnsi="Arial" w:cs="Arial"/>
                <w:b/>
                <w:sz w:val="28"/>
                <w:szCs w:val="28"/>
              </w:rPr>
            </w:pPr>
          </w:p>
        </w:tc>
        <w:tc>
          <w:tcPr>
            <w:tcW w:w="800" w:type="dxa"/>
            <w:vAlign w:val="center"/>
          </w:tcPr>
          <w:p w14:paraId="413396A4"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shd w:val="clear" w:color="auto" w:fill="BFBFBF"/>
            <w:vAlign w:val="center"/>
          </w:tcPr>
          <w:p w14:paraId="7326DA41" w14:textId="77777777" w:rsidR="00147059" w:rsidRPr="004F2C12" w:rsidRDefault="00147059" w:rsidP="006F7FC5">
            <w:pPr>
              <w:jc w:val="center"/>
              <w:rPr>
                <w:rFonts w:ascii="Arial" w:hAnsi="Arial" w:cs="Arial"/>
                <w:b/>
                <w:sz w:val="28"/>
                <w:szCs w:val="28"/>
              </w:rPr>
            </w:pPr>
          </w:p>
        </w:tc>
        <w:tc>
          <w:tcPr>
            <w:tcW w:w="733" w:type="dxa"/>
            <w:shd w:val="clear" w:color="auto" w:fill="BFBFBF"/>
            <w:vAlign w:val="center"/>
          </w:tcPr>
          <w:p w14:paraId="348FF729"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1209AA00"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17CB8E21"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77185071"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7AD2F1B0" w14:textId="77777777" w:rsidR="00147059" w:rsidRPr="004F2C12" w:rsidRDefault="00147059" w:rsidP="006F7FC5">
            <w:pPr>
              <w:jc w:val="center"/>
              <w:rPr>
                <w:rFonts w:ascii="Arial" w:hAnsi="Arial" w:cs="Arial"/>
                <w:b/>
                <w:sz w:val="28"/>
                <w:szCs w:val="28"/>
              </w:rPr>
            </w:pPr>
          </w:p>
        </w:tc>
      </w:tr>
      <w:tr w:rsidR="00147059" w:rsidRPr="004F2C12" w14:paraId="392FD627" w14:textId="77777777" w:rsidTr="00147059">
        <w:trPr>
          <w:cantSplit/>
          <w:trHeight w:val="432"/>
        </w:trPr>
        <w:tc>
          <w:tcPr>
            <w:tcW w:w="1445" w:type="dxa"/>
            <w:vAlign w:val="bottom"/>
          </w:tcPr>
          <w:p w14:paraId="4AADD584" w14:textId="77777777" w:rsidR="00147059" w:rsidRPr="0012237E" w:rsidRDefault="00147059" w:rsidP="006F7FC5">
            <w:pPr>
              <w:rPr>
                <w:rFonts w:ascii="Arial" w:hAnsi="Arial" w:cs="Arial"/>
                <w:bCs/>
                <w:sz w:val="20"/>
                <w:szCs w:val="20"/>
              </w:rPr>
            </w:pPr>
            <w:r w:rsidRPr="0012237E">
              <w:rPr>
                <w:rFonts w:ascii="Arial" w:hAnsi="Arial" w:cs="Arial"/>
                <w:bCs/>
                <w:sz w:val="20"/>
                <w:szCs w:val="20"/>
              </w:rPr>
              <w:t>Liquid POOLED PLASMA</w:t>
            </w:r>
          </w:p>
        </w:tc>
        <w:tc>
          <w:tcPr>
            <w:tcW w:w="611" w:type="dxa"/>
            <w:tcBorders>
              <w:bottom w:val="single" w:sz="4" w:space="0" w:color="auto"/>
            </w:tcBorders>
            <w:shd w:val="pct25" w:color="auto" w:fill="auto"/>
            <w:vAlign w:val="center"/>
          </w:tcPr>
          <w:p w14:paraId="09E4FED3" w14:textId="77777777" w:rsidR="00147059" w:rsidRPr="004F2C12" w:rsidRDefault="00147059" w:rsidP="006F7FC5">
            <w:pPr>
              <w:jc w:val="center"/>
              <w:rPr>
                <w:rFonts w:ascii="Arial" w:hAnsi="Arial" w:cs="Arial"/>
                <w:b/>
                <w:sz w:val="28"/>
                <w:szCs w:val="28"/>
              </w:rPr>
            </w:pPr>
          </w:p>
        </w:tc>
        <w:tc>
          <w:tcPr>
            <w:tcW w:w="522" w:type="dxa"/>
            <w:tcBorders>
              <w:bottom w:val="single" w:sz="4" w:space="0" w:color="auto"/>
            </w:tcBorders>
            <w:shd w:val="pct25" w:color="auto" w:fill="auto"/>
            <w:vAlign w:val="center"/>
          </w:tcPr>
          <w:p w14:paraId="31109E46"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6594B10E" w14:textId="77777777" w:rsidR="00147059" w:rsidRPr="004F2C12" w:rsidRDefault="00147059"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14:paraId="145946D2" w14:textId="77777777" w:rsidR="00147059" w:rsidRPr="004F2C12" w:rsidRDefault="00147059" w:rsidP="006F7FC5">
            <w:pPr>
              <w:jc w:val="center"/>
              <w:rPr>
                <w:rFonts w:ascii="Arial" w:hAnsi="Arial" w:cs="Arial"/>
                <w:b/>
                <w:sz w:val="28"/>
                <w:szCs w:val="28"/>
              </w:rPr>
            </w:pPr>
          </w:p>
        </w:tc>
        <w:tc>
          <w:tcPr>
            <w:tcW w:w="800" w:type="dxa"/>
            <w:tcBorders>
              <w:bottom w:val="single" w:sz="4" w:space="0" w:color="auto"/>
            </w:tcBorders>
            <w:vAlign w:val="center"/>
          </w:tcPr>
          <w:p w14:paraId="3FFEACDF"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tcBorders>
              <w:bottom w:val="single" w:sz="4" w:space="0" w:color="auto"/>
            </w:tcBorders>
            <w:vAlign w:val="center"/>
          </w:tcPr>
          <w:p w14:paraId="283AC4E6"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tcBorders>
              <w:bottom w:val="single" w:sz="4" w:space="0" w:color="auto"/>
            </w:tcBorders>
            <w:shd w:val="clear" w:color="auto" w:fill="C0C0C0"/>
            <w:vAlign w:val="center"/>
          </w:tcPr>
          <w:p w14:paraId="71A075E1"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33D74023"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63C43AE1"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7A13C478"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63651DA9" w14:textId="77777777" w:rsidR="00147059" w:rsidRPr="004F2C12" w:rsidRDefault="00147059" w:rsidP="006F7FC5">
            <w:pPr>
              <w:jc w:val="center"/>
              <w:rPr>
                <w:rFonts w:ascii="Arial" w:hAnsi="Arial" w:cs="Arial"/>
                <w:b/>
                <w:sz w:val="28"/>
                <w:szCs w:val="28"/>
              </w:rPr>
            </w:pPr>
          </w:p>
        </w:tc>
      </w:tr>
      <w:tr w:rsidR="00147059" w:rsidRPr="004F2C12" w14:paraId="2AED8948" w14:textId="77777777" w:rsidTr="00147059">
        <w:trPr>
          <w:cantSplit/>
          <w:trHeight w:val="432"/>
        </w:trPr>
        <w:tc>
          <w:tcPr>
            <w:tcW w:w="1445" w:type="dxa"/>
            <w:vAlign w:val="bottom"/>
          </w:tcPr>
          <w:p w14:paraId="7B37765F" w14:textId="77777777" w:rsidR="00147059" w:rsidRPr="0012237E" w:rsidRDefault="00147059" w:rsidP="006F7FC5">
            <w:pPr>
              <w:rPr>
                <w:rFonts w:ascii="Arial" w:hAnsi="Arial" w:cs="Arial"/>
                <w:bCs/>
                <w:sz w:val="20"/>
                <w:szCs w:val="20"/>
              </w:rPr>
            </w:pPr>
            <w:r w:rsidRPr="0012237E">
              <w:rPr>
                <w:rFonts w:ascii="Arial" w:hAnsi="Arial" w:cs="Arial"/>
                <w:bCs/>
                <w:sz w:val="20"/>
                <w:szCs w:val="20"/>
              </w:rPr>
              <w:t>POOLED FRESH FROZEN PLASMA</w:t>
            </w:r>
          </w:p>
        </w:tc>
        <w:tc>
          <w:tcPr>
            <w:tcW w:w="611" w:type="dxa"/>
            <w:tcBorders>
              <w:bottom w:val="single" w:sz="4" w:space="0" w:color="auto"/>
            </w:tcBorders>
            <w:shd w:val="clear" w:color="auto" w:fill="BFBFBF"/>
            <w:vAlign w:val="center"/>
          </w:tcPr>
          <w:p w14:paraId="19C52369" w14:textId="77777777" w:rsidR="00147059" w:rsidRPr="004F2C12" w:rsidRDefault="00147059" w:rsidP="006F7FC5">
            <w:pPr>
              <w:jc w:val="center"/>
              <w:rPr>
                <w:rFonts w:ascii="Arial" w:hAnsi="Arial" w:cs="Arial"/>
                <w:b/>
                <w:sz w:val="28"/>
                <w:szCs w:val="28"/>
              </w:rPr>
            </w:pPr>
          </w:p>
        </w:tc>
        <w:tc>
          <w:tcPr>
            <w:tcW w:w="522" w:type="dxa"/>
            <w:tcBorders>
              <w:bottom w:val="single" w:sz="4" w:space="0" w:color="auto"/>
            </w:tcBorders>
            <w:shd w:val="clear" w:color="auto" w:fill="FFFFFF"/>
            <w:vAlign w:val="center"/>
          </w:tcPr>
          <w:p w14:paraId="3AEC213A"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444" w:type="dxa"/>
            <w:shd w:val="clear" w:color="auto" w:fill="C0C0C0"/>
            <w:vAlign w:val="center"/>
          </w:tcPr>
          <w:p w14:paraId="0FC37CC0" w14:textId="77777777" w:rsidR="00147059" w:rsidRPr="004F2C12" w:rsidRDefault="00147059" w:rsidP="006F7FC5">
            <w:pPr>
              <w:jc w:val="center"/>
              <w:rPr>
                <w:rFonts w:ascii="Arial" w:hAnsi="Arial" w:cs="Arial"/>
                <w:b/>
                <w:sz w:val="28"/>
                <w:szCs w:val="28"/>
              </w:rPr>
            </w:pPr>
          </w:p>
        </w:tc>
        <w:tc>
          <w:tcPr>
            <w:tcW w:w="577" w:type="dxa"/>
            <w:tcBorders>
              <w:bottom w:val="single" w:sz="4" w:space="0" w:color="auto"/>
            </w:tcBorders>
            <w:shd w:val="pct25" w:color="auto" w:fill="auto"/>
            <w:vAlign w:val="center"/>
          </w:tcPr>
          <w:p w14:paraId="59957A96" w14:textId="77777777" w:rsidR="00147059" w:rsidRPr="004F2C12" w:rsidRDefault="00147059" w:rsidP="006F7FC5">
            <w:pPr>
              <w:jc w:val="center"/>
              <w:rPr>
                <w:rFonts w:ascii="Arial" w:hAnsi="Arial" w:cs="Arial"/>
                <w:b/>
                <w:sz w:val="28"/>
                <w:szCs w:val="28"/>
              </w:rPr>
            </w:pPr>
          </w:p>
        </w:tc>
        <w:tc>
          <w:tcPr>
            <w:tcW w:w="800" w:type="dxa"/>
            <w:tcBorders>
              <w:bottom w:val="single" w:sz="4" w:space="0" w:color="auto"/>
            </w:tcBorders>
            <w:shd w:val="pct25" w:color="auto" w:fill="auto"/>
            <w:vAlign w:val="center"/>
          </w:tcPr>
          <w:p w14:paraId="568CA61B" w14:textId="77777777" w:rsidR="00147059" w:rsidRPr="004F2C12" w:rsidRDefault="00147059" w:rsidP="006F7FC5">
            <w:pPr>
              <w:jc w:val="center"/>
              <w:rPr>
                <w:rFonts w:ascii="Arial" w:hAnsi="Arial" w:cs="Arial"/>
                <w:b/>
                <w:sz w:val="28"/>
                <w:szCs w:val="28"/>
              </w:rPr>
            </w:pPr>
          </w:p>
        </w:tc>
        <w:tc>
          <w:tcPr>
            <w:tcW w:w="666" w:type="dxa"/>
            <w:tcBorders>
              <w:bottom w:val="single" w:sz="4" w:space="0" w:color="auto"/>
            </w:tcBorders>
            <w:shd w:val="pct25" w:color="auto" w:fill="auto"/>
            <w:vAlign w:val="center"/>
          </w:tcPr>
          <w:p w14:paraId="6CCD3CF0" w14:textId="77777777" w:rsidR="00147059" w:rsidRPr="004F2C12" w:rsidRDefault="00147059" w:rsidP="006F7FC5">
            <w:pPr>
              <w:jc w:val="center"/>
              <w:rPr>
                <w:rFonts w:ascii="Arial" w:hAnsi="Arial" w:cs="Arial"/>
                <w:b/>
                <w:sz w:val="28"/>
                <w:szCs w:val="28"/>
              </w:rPr>
            </w:pPr>
          </w:p>
        </w:tc>
        <w:tc>
          <w:tcPr>
            <w:tcW w:w="733" w:type="dxa"/>
            <w:tcBorders>
              <w:bottom w:val="single" w:sz="4" w:space="0" w:color="auto"/>
            </w:tcBorders>
            <w:shd w:val="pct25" w:color="auto" w:fill="auto"/>
            <w:vAlign w:val="center"/>
          </w:tcPr>
          <w:p w14:paraId="18A7A8F1" w14:textId="77777777" w:rsidR="00147059" w:rsidRPr="004F2C12" w:rsidRDefault="00147059" w:rsidP="006F7FC5">
            <w:pPr>
              <w:jc w:val="center"/>
              <w:rPr>
                <w:rFonts w:ascii="Arial" w:hAnsi="Arial" w:cs="Arial"/>
                <w:b/>
                <w:sz w:val="28"/>
                <w:szCs w:val="28"/>
              </w:rPr>
            </w:pPr>
          </w:p>
        </w:tc>
        <w:tc>
          <w:tcPr>
            <w:tcW w:w="544" w:type="dxa"/>
            <w:tcBorders>
              <w:bottom w:val="single" w:sz="4" w:space="0" w:color="auto"/>
            </w:tcBorders>
            <w:shd w:val="clear" w:color="auto" w:fill="C0C0C0"/>
            <w:vAlign w:val="center"/>
          </w:tcPr>
          <w:p w14:paraId="7308F2CD"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395786BA"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6DD868E8"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223D763B" w14:textId="77777777" w:rsidR="00147059" w:rsidRPr="004F2C12" w:rsidRDefault="00147059" w:rsidP="006F7FC5">
            <w:pPr>
              <w:jc w:val="center"/>
              <w:rPr>
                <w:rFonts w:ascii="Arial" w:hAnsi="Arial" w:cs="Arial"/>
                <w:b/>
                <w:sz w:val="28"/>
                <w:szCs w:val="28"/>
              </w:rPr>
            </w:pPr>
          </w:p>
        </w:tc>
      </w:tr>
      <w:tr w:rsidR="00147059" w:rsidRPr="004F2C12" w14:paraId="755E384B" w14:textId="77777777" w:rsidTr="00147059">
        <w:trPr>
          <w:cantSplit/>
          <w:trHeight w:val="432"/>
        </w:trPr>
        <w:tc>
          <w:tcPr>
            <w:tcW w:w="1445" w:type="dxa"/>
            <w:vAlign w:val="bottom"/>
          </w:tcPr>
          <w:p w14:paraId="75B84C72" w14:textId="77777777" w:rsidR="00147059" w:rsidRPr="0012237E" w:rsidRDefault="00147059" w:rsidP="006F7FC5">
            <w:pPr>
              <w:rPr>
                <w:rFonts w:ascii="Arial" w:hAnsi="Arial" w:cs="Arial"/>
                <w:bCs/>
                <w:sz w:val="20"/>
                <w:szCs w:val="20"/>
              </w:rPr>
            </w:pPr>
            <w:r w:rsidRPr="0012237E">
              <w:rPr>
                <w:rFonts w:ascii="Arial" w:hAnsi="Arial" w:cs="Arial"/>
                <w:bCs/>
                <w:sz w:val="20"/>
                <w:szCs w:val="20"/>
              </w:rPr>
              <w:t>Frozen POOLED PLATELETS</w:t>
            </w:r>
          </w:p>
        </w:tc>
        <w:tc>
          <w:tcPr>
            <w:tcW w:w="611" w:type="dxa"/>
            <w:tcBorders>
              <w:bottom w:val="single" w:sz="4" w:space="0" w:color="auto"/>
            </w:tcBorders>
            <w:shd w:val="pct25" w:color="auto" w:fill="auto"/>
            <w:vAlign w:val="center"/>
          </w:tcPr>
          <w:p w14:paraId="3A59A195" w14:textId="77777777" w:rsidR="00147059" w:rsidRPr="004F2C12" w:rsidRDefault="00147059" w:rsidP="006F7FC5">
            <w:pPr>
              <w:jc w:val="center"/>
              <w:rPr>
                <w:rFonts w:ascii="Arial" w:hAnsi="Arial" w:cs="Arial"/>
                <w:b/>
                <w:sz w:val="28"/>
                <w:szCs w:val="28"/>
              </w:rPr>
            </w:pPr>
          </w:p>
        </w:tc>
        <w:tc>
          <w:tcPr>
            <w:tcW w:w="522" w:type="dxa"/>
            <w:shd w:val="clear" w:color="auto" w:fill="FFFFFF"/>
            <w:vAlign w:val="center"/>
          </w:tcPr>
          <w:p w14:paraId="1B98A7D3"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444" w:type="dxa"/>
            <w:shd w:val="clear" w:color="auto" w:fill="C0C0C0"/>
            <w:vAlign w:val="center"/>
          </w:tcPr>
          <w:p w14:paraId="4A6B0332" w14:textId="77777777" w:rsidR="00147059" w:rsidRPr="004F2C12" w:rsidRDefault="00147059" w:rsidP="006F7FC5">
            <w:pPr>
              <w:jc w:val="center"/>
              <w:rPr>
                <w:rFonts w:ascii="Arial" w:hAnsi="Arial" w:cs="Arial"/>
                <w:b/>
                <w:sz w:val="28"/>
                <w:szCs w:val="28"/>
              </w:rPr>
            </w:pPr>
          </w:p>
        </w:tc>
        <w:tc>
          <w:tcPr>
            <w:tcW w:w="577" w:type="dxa"/>
            <w:shd w:val="clear" w:color="auto" w:fill="BFBFBF"/>
            <w:vAlign w:val="center"/>
          </w:tcPr>
          <w:p w14:paraId="06668230" w14:textId="77777777" w:rsidR="00147059" w:rsidRPr="004F2C12" w:rsidRDefault="00147059" w:rsidP="006F7FC5">
            <w:pPr>
              <w:jc w:val="center"/>
              <w:rPr>
                <w:rFonts w:ascii="Arial" w:hAnsi="Arial" w:cs="Arial"/>
                <w:b/>
                <w:sz w:val="28"/>
                <w:szCs w:val="28"/>
              </w:rPr>
            </w:pPr>
          </w:p>
        </w:tc>
        <w:tc>
          <w:tcPr>
            <w:tcW w:w="800" w:type="dxa"/>
            <w:shd w:val="clear" w:color="auto" w:fill="BFBFBF"/>
            <w:vAlign w:val="center"/>
          </w:tcPr>
          <w:p w14:paraId="259D29EE" w14:textId="77777777" w:rsidR="00147059" w:rsidRPr="004F2C12" w:rsidRDefault="00147059" w:rsidP="006F7FC5">
            <w:pPr>
              <w:jc w:val="center"/>
              <w:rPr>
                <w:rFonts w:ascii="Arial" w:hAnsi="Arial" w:cs="Arial"/>
                <w:b/>
                <w:sz w:val="28"/>
                <w:szCs w:val="28"/>
              </w:rPr>
            </w:pPr>
          </w:p>
        </w:tc>
        <w:tc>
          <w:tcPr>
            <w:tcW w:w="666" w:type="dxa"/>
            <w:shd w:val="clear" w:color="auto" w:fill="BFBFBF"/>
            <w:vAlign w:val="center"/>
          </w:tcPr>
          <w:p w14:paraId="195E55AC" w14:textId="77777777" w:rsidR="00147059" w:rsidRPr="004F2C12" w:rsidRDefault="00147059" w:rsidP="006F7FC5">
            <w:pPr>
              <w:jc w:val="center"/>
              <w:rPr>
                <w:rFonts w:ascii="Arial" w:hAnsi="Arial" w:cs="Arial"/>
                <w:b/>
                <w:sz w:val="28"/>
                <w:szCs w:val="28"/>
              </w:rPr>
            </w:pPr>
          </w:p>
        </w:tc>
        <w:tc>
          <w:tcPr>
            <w:tcW w:w="733" w:type="dxa"/>
            <w:shd w:val="clear" w:color="auto" w:fill="BFBFBF"/>
            <w:vAlign w:val="center"/>
          </w:tcPr>
          <w:p w14:paraId="53096287" w14:textId="77777777" w:rsidR="00147059" w:rsidRPr="004F2C12" w:rsidRDefault="00147059" w:rsidP="006F7FC5">
            <w:pPr>
              <w:jc w:val="center"/>
              <w:rPr>
                <w:rFonts w:ascii="Arial" w:hAnsi="Arial" w:cs="Arial"/>
                <w:b/>
                <w:sz w:val="28"/>
                <w:szCs w:val="28"/>
              </w:rPr>
            </w:pPr>
          </w:p>
        </w:tc>
        <w:tc>
          <w:tcPr>
            <w:tcW w:w="544" w:type="dxa"/>
            <w:shd w:val="clear" w:color="auto" w:fill="BFBFBF"/>
            <w:vAlign w:val="center"/>
          </w:tcPr>
          <w:p w14:paraId="2A15B3FB"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1DA65CFB"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1249D6E3"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35C583CE" w14:textId="77777777" w:rsidR="00147059" w:rsidRPr="004F2C12" w:rsidRDefault="00147059" w:rsidP="006F7FC5">
            <w:pPr>
              <w:jc w:val="center"/>
              <w:rPr>
                <w:rFonts w:ascii="Arial" w:hAnsi="Arial" w:cs="Arial"/>
                <w:b/>
                <w:sz w:val="28"/>
                <w:szCs w:val="28"/>
              </w:rPr>
            </w:pPr>
          </w:p>
        </w:tc>
      </w:tr>
      <w:tr w:rsidR="00147059" w:rsidRPr="004F2C12" w14:paraId="6209D1FB" w14:textId="77777777" w:rsidTr="00147059">
        <w:trPr>
          <w:cantSplit/>
          <w:trHeight w:val="432"/>
        </w:trPr>
        <w:tc>
          <w:tcPr>
            <w:tcW w:w="1445" w:type="dxa"/>
            <w:vAlign w:val="bottom"/>
          </w:tcPr>
          <w:p w14:paraId="3AA299DF" w14:textId="77777777" w:rsidR="00147059" w:rsidRPr="0012237E" w:rsidRDefault="00147059" w:rsidP="006F7FC5">
            <w:pPr>
              <w:pStyle w:val="TableText"/>
              <w:rPr>
                <w:rFonts w:cs="Arial"/>
                <w:sz w:val="20"/>
                <w:szCs w:val="20"/>
              </w:rPr>
            </w:pPr>
            <w:r w:rsidRPr="0012237E">
              <w:rPr>
                <w:rFonts w:cs="Arial"/>
                <w:sz w:val="20"/>
                <w:szCs w:val="20"/>
              </w:rPr>
              <w:lastRenderedPageBreak/>
              <w:t>Thawed POOLED PLATELETS</w:t>
            </w:r>
          </w:p>
        </w:tc>
        <w:tc>
          <w:tcPr>
            <w:tcW w:w="611" w:type="dxa"/>
            <w:shd w:val="pct25" w:color="auto" w:fill="auto"/>
            <w:vAlign w:val="center"/>
          </w:tcPr>
          <w:p w14:paraId="0AF5C6F9" w14:textId="77777777" w:rsidR="00147059" w:rsidRPr="004F2C12" w:rsidRDefault="00147059" w:rsidP="006F7FC5">
            <w:pPr>
              <w:jc w:val="center"/>
              <w:rPr>
                <w:rFonts w:ascii="Arial" w:hAnsi="Arial" w:cs="Arial"/>
                <w:b/>
                <w:sz w:val="28"/>
                <w:szCs w:val="28"/>
              </w:rPr>
            </w:pPr>
          </w:p>
        </w:tc>
        <w:tc>
          <w:tcPr>
            <w:tcW w:w="522" w:type="dxa"/>
            <w:shd w:val="clear" w:color="auto" w:fill="C0C0C0"/>
            <w:vAlign w:val="center"/>
          </w:tcPr>
          <w:p w14:paraId="11DEF276"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31084E98"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26BBD9C3" w14:textId="77777777" w:rsidR="00147059" w:rsidRPr="004F2C12" w:rsidRDefault="00147059" w:rsidP="006F7FC5">
            <w:pPr>
              <w:jc w:val="center"/>
              <w:rPr>
                <w:rFonts w:ascii="Arial" w:hAnsi="Arial" w:cs="Arial"/>
                <w:b/>
                <w:sz w:val="28"/>
                <w:szCs w:val="28"/>
              </w:rPr>
            </w:pPr>
          </w:p>
        </w:tc>
        <w:tc>
          <w:tcPr>
            <w:tcW w:w="800" w:type="dxa"/>
            <w:vAlign w:val="center"/>
          </w:tcPr>
          <w:p w14:paraId="0F9DDEB1"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vAlign w:val="center"/>
          </w:tcPr>
          <w:p w14:paraId="3674DF67"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shd w:val="clear" w:color="auto" w:fill="C0C0C0"/>
            <w:vAlign w:val="center"/>
          </w:tcPr>
          <w:p w14:paraId="3CAB479D"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11E719AB"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69D08179"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7F03DC50"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5227F5B4" w14:textId="77777777" w:rsidR="00147059" w:rsidRPr="004F2C12" w:rsidRDefault="00147059" w:rsidP="006F7FC5">
            <w:pPr>
              <w:jc w:val="center"/>
              <w:rPr>
                <w:rFonts w:ascii="Arial" w:hAnsi="Arial" w:cs="Arial"/>
                <w:b/>
                <w:sz w:val="28"/>
                <w:szCs w:val="28"/>
              </w:rPr>
            </w:pPr>
          </w:p>
        </w:tc>
      </w:tr>
      <w:tr w:rsidR="00147059" w:rsidRPr="004F2C12" w14:paraId="22C339BE" w14:textId="77777777" w:rsidTr="00147059">
        <w:trPr>
          <w:cantSplit/>
          <w:trHeight w:val="432"/>
        </w:trPr>
        <w:tc>
          <w:tcPr>
            <w:tcW w:w="1445" w:type="dxa"/>
            <w:vAlign w:val="bottom"/>
          </w:tcPr>
          <w:p w14:paraId="2DC970FD" w14:textId="77777777" w:rsidR="00147059" w:rsidRPr="0012237E" w:rsidRDefault="00147059" w:rsidP="006F7FC5">
            <w:pPr>
              <w:rPr>
                <w:rFonts w:ascii="Arial" w:hAnsi="Arial" w:cs="Arial"/>
                <w:sz w:val="20"/>
                <w:szCs w:val="20"/>
              </w:rPr>
            </w:pPr>
            <w:r w:rsidRPr="0012237E">
              <w:rPr>
                <w:rFonts w:ascii="Arial" w:hAnsi="Arial" w:cs="Arial"/>
                <w:sz w:val="20"/>
                <w:szCs w:val="20"/>
              </w:rPr>
              <w:t>Thawed Apheresis POOLED FRESH FROZEN PLASMA</w:t>
            </w:r>
          </w:p>
        </w:tc>
        <w:tc>
          <w:tcPr>
            <w:tcW w:w="611" w:type="dxa"/>
            <w:shd w:val="pct25" w:color="auto" w:fill="auto"/>
            <w:vAlign w:val="center"/>
          </w:tcPr>
          <w:p w14:paraId="2400557B" w14:textId="77777777" w:rsidR="00147059" w:rsidRPr="004F2C12" w:rsidRDefault="00147059" w:rsidP="006F7FC5">
            <w:pPr>
              <w:jc w:val="center"/>
              <w:rPr>
                <w:rFonts w:ascii="Arial" w:hAnsi="Arial" w:cs="Arial"/>
                <w:b/>
                <w:sz w:val="28"/>
                <w:szCs w:val="28"/>
              </w:rPr>
            </w:pPr>
          </w:p>
        </w:tc>
        <w:tc>
          <w:tcPr>
            <w:tcW w:w="522" w:type="dxa"/>
            <w:shd w:val="clear" w:color="auto" w:fill="C0C0C0"/>
            <w:vAlign w:val="center"/>
          </w:tcPr>
          <w:p w14:paraId="3BDC12AC"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04C512CD"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176EEC6F" w14:textId="77777777" w:rsidR="00147059" w:rsidRPr="004F2C12" w:rsidRDefault="00147059" w:rsidP="006F7FC5">
            <w:pPr>
              <w:jc w:val="center"/>
              <w:rPr>
                <w:rFonts w:ascii="Arial" w:hAnsi="Arial" w:cs="Arial"/>
                <w:b/>
                <w:sz w:val="28"/>
                <w:szCs w:val="28"/>
              </w:rPr>
            </w:pPr>
          </w:p>
        </w:tc>
        <w:tc>
          <w:tcPr>
            <w:tcW w:w="800" w:type="dxa"/>
            <w:vAlign w:val="center"/>
          </w:tcPr>
          <w:p w14:paraId="15712D60"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vAlign w:val="center"/>
          </w:tcPr>
          <w:p w14:paraId="31E6878E"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shd w:val="clear" w:color="auto" w:fill="C0C0C0"/>
            <w:vAlign w:val="center"/>
          </w:tcPr>
          <w:p w14:paraId="73EB1798"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1CF50739"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7F22E9D9"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7972295B"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2BA98E42" w14:textId="77777777" w:rsidR="00147059" w:rsidRPr="004F2C12" w:rsidRDefault="00147059" w:rsidP="006F7FC5">
            <w:pPr>
              <w:jc w:val="center"/>
              <w:rPr>
                <w:rFonts w:ascii="Arial" w:hAnsi="Arial" w:cs="Arial"/>
                <w:b/>
                <w:sz w:val="28"/>
                <w:szCs w:val="28"/>
              </w:rPr>
            </w:pPr>
          </w:p>
        </w:tc>
      </w:tr>
      <w:tr w:rsidR="00147059" w:rsidRPr="004F2C12" w14:paraId="051ACD3B" w14:textId="77777777" w:rsidTr="00147059">
        <w:trPr>
          <w:cantSplit/>
          <w:trHeight w:val="432"/>
        </w:trPr>
        <w:tc>
          <w:tcPr>
            <w:tcW w:w="1445" w:type="dxa"/>
            <w:vAlign w:val="bottom"/>
          </w:tcPr>
          <w:p w14:paraId="368AF79B" w14:textId="77777777" w:rsidR="00147059" w:rsidRPr="0012237E" w:rsidRDefault="00147059" w:rsidP="006F7FC5">
            <w:pPr>
              <w:rPr>
                <w:rFonts w:ascii="Arial" w:hAnsi="Arial" w:cs="Arial"/>
                <w:sz w:val="20"/>
                <w:szCs w:val="20"/>
              </w:rPr>
            </w:pPr>
            <w:r w:rsidRPr="0012237E">
              <w:rPr>
                <w:rFonts w:ascii="Arial" w:hAnsi="Arial" w:cs="Arial"/>
                <w:sz w:val="20"/>
                <w:szCs w:val="20"/>
              </w:rPr>
              <w:t>Thawed Apheresis POOLED PLASMA</w:t>
            </w:r>
          </w:p>
        </w:tc>
        <w:tc>
          <w:tcPr>
            <w:tcW w:w="611" w:type="dxa"/>
            <w:shd w:val="pct25" w:color="auto" w:fill="auto"/>
            <w:vAlign w:val="center"/>
          </w:tcPr>
          <w:p w14:paraId="0C49B706" w14:textId="77777777" w:rsidR="00147059" w:rsidRPr="004F2C12" w:rsidRDefault="00147059" w:rsidP="006F7FC5">
            <w:pPr>
              <w:jc w:val="center"/>
              <w:rPr>
                <w:rFonts w:ascii="Arial" w:hAnsi="Arial" w:cs="Arial"/>
                <w:b/>
                <w:sz w:val="28"/>
                <w:szCs w:val="28"/>
              </w:rPr>
            </w:pPr>
          </w:p>
        </w:tc>
        <w:tc>
          <w:tcPr>
            <w:tcW w:w="522" w:type="dxa"/>
            <w:shd w:val="clear" w:color="auto" w:fill="C0C0C0"/>
            <w:vAlign w:val="center"/>
          </w:tcPr>
          <w:p w14:paraId="02FF2020" w14:textId="77777777" w:rsidR="00147059" w:rsidRPr="004F2C12" w:rsidRDefault="00147059" w:rsidP="006F7FC5">
            <w:pPr>
              <w:jc w:val="center"/>
              <w:rPr>
                <w:rFonts w:ascii="Arial" w:hAnsi="Arial" w:cs="Arial"/>
                <w:b/>
                <w:sz w:val="28"/>
                <w:szCs w:val="28"/>
              </w:rPr>
            </w:pPr>
          </w:p>
        </w:tc>
        <w:tc>
          <w:tcPr>
            <w:tcW w:w="444" w:type="dxa"/>
            <w:tcBorders>
              <w:bottom w:val="single" w:sz="4" w:space="0" w:color="auto"/>
            </w:tcBorders>
            <w:shd w:val="clear" w:color="auto" w:fill="C0C0C0"/>
            <w:vAlign w:val="center"/>
          </w:tcPr>
          <w:p w14:paraId="10800EEB"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1BC9160E" w14:textId="77777777" w:rsidR="00147059" w:rsidRPr="004F2C12" w:rsidRDefault="00147059" w:rsidP="006F7FC5">
            <w:pPr>
              <w:jc w:val="center"/>
              <w:rPr>
                <w:rFonts w:ascii="Arial" w:hAnsi="Arial" w:cs="Arial"/>
                <w:b/>
                <w:sz w:val="28"/>
                <w:szCs w:val="28"/>
              </w:rPr>
            </w:pPr>
          </w:p>
        </w:tc>
        <w:tc>
          <w:tcPr>
            <w:tcW w:w="800" w:type="dxa"/>
            <w:tcBorders>
              <w:bottom w:val="single" w:sz="4" w:space="0" w:color="auto"/>
            </w:tcBorders>
            <w:vAlign w:val="center"/>
          </w:tcPr>
          <w:p w14:paraId="0C5FE8E9"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666" w:type="dxa"/>
            <w:tcBorders>
              <w:bottom w:val="single" w:sz="4" w:space="0" w:color="auto"/>
            </w:tcBorders>
            <w:vAlign w:val="center"/>
          </w:tcPr>
          <w:p w14:paraId="5676F39B" w14:textId="77777777" w:rsidR="00147059" w:rsidRPr="004F2C12" w:rsidRDefault="00147059" w:rsidP="006F7FC5">
            <w:pPr>
              <w:jc w:val="center"/>
              <w:rPr>
                <w:rFonts w:ascii="Arial" w:hAnsi="Arial" w:cs="Arial"/>
                <w:b/>
                <w:sz w:val="28"/>
                <w:szCs w:val="28"/>
              </w:rPr>
            </w:pPr>
            <w:r w:rsidRPr="004F2C12">
              <w:rPr>
                <w:rFonts w:ascii="Arial" w:hAnsi="Arial" w:cs="Arial"/>
                <w:b/>
                <w:sz w:val="28"/>
                <w:szCs w:val="28"/>
              </w:rPr>
              <w:t>X</w:t>
            </w:r>
          </w:p>
        </w:tc>
        <w:tc>
          <w:tcPr>
            <w:tcW w:w="733" w:type="dxa"/>
            <w:shd w:val="clear" w:color="auto" w:fill="C0C0C0"/>
            <w:vAlign w:val="center"/>
          </w:tcPr>
          <w:p w14:paraId="2C6C6DA8"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56B79288"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5B7D56B4"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7274156C"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6A66CEDC" w14:textId="77777777" w:rsidR="00147059" w:rsidRPr="004F2C12" w:rsidRDefault="00147059" w:rsidP="006F7FC5">
            <w:pPr>
              <w:jc w:val="center"/>
              <w:rPr>
                <w:rFonts w:ascii="Arial" w:hAnsi="Arial" w:cs="Arial"/>
                <w:b/>
                <w:sz w:val="28"/>
                <w:szCs w:val="28"/>
              </w:rPr>
            </w:pPr>
          </w:p>
        </w:tc>
      </w:tr>
      <w:tr w:rsidR="00147059" w:rsidRPr="004F2C12" w14:paraId="590CE85C" w14:textId="77777777" w:rsidTr="00147059">
        <w:trPr>
          <w:cantSplit/>
          <w:trHeight w:val="432"/>
        </w:trPr>
        <w:tc>
          <w:tcPr>
            <w:tcW w:w="1445" w:type="dxa"/>
            <w:vAlign w:val="bottom"/>
          </w:tcPr>
          <w:p w14:paraId="703FF4D9" w14:textId="77777777" w:rsidR="00147059" w:rsidRPr="0012237E" w:rsidRDefault="00147059" w:rsidP="006F7FC5">
            <w:pPr>
              <w:rPr>
                <w:rFonts w:ascii="Arial" w:hAnsi="Arial" w:cs="Arial"/>
                <w:sz w:val="20"/>
                <w:szCs w:val="20"/>
              </w:rPr>
            </w:pPr>
            <w:r w:rsidRPr="00AA3593">
              <w:rPr>
                <w:rFonts w:ascii="Arial" w:hAnsi="Arial" w:cs="Arial"/>
                <w:sz w:val="20"/>
                <w:szCs w:val="20"/>
              </w:rPr>
              <w:t>Washed Thawed POOLED PLATELETS</w:t>
            </w:r>
          </w:p>
        </w:tc>
        <w:tc>
          <w:tcPr>
            <w:tcW w:w="611" w:type="dxa"/>
            <w:tcBorders>
              <w:bottom w:val="single" w:sz="4" w:space="0" w:color="auto"/>
            </w:tcBorders>
            <w:shd w:val="pct25" w:color="auto" w:fill="auto"/>
            <w:vAlign w:val="center"/>
          </w:tcPr>
          <w:p w14:paraId="60A10D4F" w14:textId="77777777" w:rsidR="00147059" w:rsidRPr="004F2C12" w:rsidRDefault="00147059" w:rsidP="006F7FC5">
            <w:pPr>
              <w:jc w:val="center"/>
              <w:rPr>
                <w:rFonts w:ascii="Arial" w:hAnsi="Arial" w:cs="Arial"/>
                <w:b/>
                <w:sz w:val="28"/>
                <w:szCs w:val="28"/>
              </w:rPr>
            </w:pPr>
          </w:p>
        </w:tc>
        <w:tc>
          <w:tcPr>
            <w:tcW w:w="522" w:type="dxa"/>
            <w:shd w:val="clear" w:color="auto" w:fill="C0C0C0"/>
            <w:vAlign w:val="center"/>
          </w:tcPr>
          <w:p w14:paraId="1D887FDF" w14:textId="77777777" w:rsidR="00147059" w:rsidRPr="004F2C12" w:rsidRDefault="00147059" w:rsidP="006F7FC5">
            <w:pPr>
              <w:jc w:val="center"/>
              <w:rPr>
                <w:rFonts w:ascii="Arial" w:hAnsi="Arial" w:cs="Arial"/>
                <w:b/>
                <w:sz w:val="28"/>
                <w:szCs w:val="28"/>
              </w:rPr>
            </w:pPr>
          </w:p>
        </w:tc>
        <w:tc>
          <w:tcPr>
            <w:tcW w:w="444" w:type="dxa"/>
            <w:shd w:val="pct25" w:color="auto" w:fill="auto"/>
            <w:vAlign w:val="center"/>
          </w:tcPr>
          <w:p w14:paraId="189E3E45"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09C78FA6" w14:textId="77777777" w:rsidR="00147059" w:rsidRPr="004F2C12" w:rsidRDefault="00147059" w:rsidP="006F7FC5">
            <w:pPr>
              <w:jc w:val="center"/>
              <w:rPr>
                <w:rFonts w:ascii="Arial" w:hAnsi="Arial" w:cs="Arial"/>
                <w:b/>
                <w:sz w:val="28"/>
                <w:szCs w:val="28"/>
              </w:rPr>
            </w:pPr>
          </w:p>
        </w:tc>
        <w:tc>
          <w:tcPr>
            <w:tcW w:w="800" w:type="dxa"/>
            <w:tcBorders>
              <w:bottom w:val="single" w:sz="4" w:space="0" w:color="auto"/>
            </w:tcBorders>
            <w:shd w:val="pct25" w:color="auto" w:fill="auto"/>
            <w:vAlign w:val="center"/>
          </w:tcPr>
          <w:p w14:paraId="47DE77B8" w14:textId="77777777" w:rsidR="00147059" w:rsidRPr="004F2C12" w:rsidRDefault="00147059" w:rsidP="006F7FC5">
            <w:pPr>
              <w:jc w:val="center"/>
              <w:rPr>
                <w:rFonts w:ascii="Arial" w:hAnsi="Arial" w:cs="Arial"/>
                <w:b/>
                <w:sz w:val="28"/>
                <w:szCs w:val="28"/>
              </w:rPr>
            </w:pPr>
          </w:p>
        </w:tc>
        <w:tc>
          <w:tcPr>
            <w:tcW w:w="666" w:type="dxa"/>
            <w:tcBorders>
              <w:bottom w:val="single" w:sz="4" w:space="0" w:color="auto"/>
            </w:tcBorders>
            <w:shd w:val="pct25" w:color="auto" w:fill="auto"/>
            <w:vAlign w:val="center"/>
          </w:tcPr>
          <w:p w14:paraId="3CA3B253" w14:textId="77777777" w:rsidR="00147059" w:rsidRPr="004F2C12" w:rsidRDefault="00147059" w:rsidP="006F7FC5">
            <w:pPr>
              <w:jc w:val="center"/>
              <w:rPr>
                <w:rFonts w:ascii="Arial" w:hAnsi="Arial" w:cs="Arial"/>
                <w:b/>
                <w:sz w:val="28"/>
                <w:szCs w:val="28"/>
              </w:rPr>
            </w:pPr>
          </w:p>
        </w:tc>
        <w:tc>
          <w:tcPr>
            <w:tcW w:w="733" w:type="dxa"/>
            <w:shd w:val="clear" w:color="auto" w:fill="C0C0C0"/>
            <w:vAlign w:val="center"/>
          </w:tcPr>
          <w:p w14:paraId="6EFCE3E1"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76BF24BF"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1DF1B6E3"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5D01F3E9"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2EF71C7E" w14:textId="77777777" w:rsidR="00147059" w:rsidRPr="004F2C12" w:rsidRDefault="00147059" w:rsidP="006F7FC5">
            <w:pPr>
              <w:jc w:val="center"/>
              <w:rPr>
                <w:rFonts w:ascii="Arial" w:hAnsi="Arial" w:cs="Arial"/>
                <w:b/>
                <w:sz w:val="28"/>
                <w:szCs w:val="28"/>
              </w:rPr>
            </w:pPr>
          </w:p>
        </w:tc>
      </w:tr>
      <w:tr w:rsidR="00147059" w:rsidRPr="004F2C12" w14:paraId="22AB9835" w14:textId="77777777" w:rsidTr="00147059">
        <w:trPr>
          <w:cantSplit/>
          <w:trHeight w:val="432"/>
        </w:trPr>
        <w:tc>
          <w:tcPr>
            <w:tcW w:w="1445" w:type="dxa"/>
            <w:vAlign w:val="bottom"/>
          </w:tcPr>
          <w:p w14:paraId="5F3B026A" w14:textId="77777777" w:rsidR="00147059" w:rsidRPr="0012237E" w:rsidRDefault="00147059" w:rsidP="006F7FC5">
            <w:pPr>
              <w:rPr>
                <w:rFonts w:ascii="Arial" w:hAnsi="Arial" w:cs="Arial"/>
                <w:sz w:val="20"/>
                <w:szCs w:val="20"/>
              </w:rPr>
            </w:pPr>
            <w:r w:rsidRPr="00AA3593">
              <w:rPr>
                <w:rFonts w:ascii="Arial" w:hAnsi="Arial" w:cs="Arial"/>
                <w:sz w:val="20"/>
                <w:szCs w:val="20"/>
              </w:rPr>
              <w:t>Washed Thawed Apheresis PLATELETS</w:t>
            </w:r>
          </w:p>
        </w:tc>
        <w:tc>
          <w:tcPr>
            <w:tcW w:w="611" w:type="dxa"/>
            <w:tcBorders>
              <w:bottom w:val="single" w:sz="4" w:space="0" w:color="auto"/>
            </w:tcBorders>
            <w:shd w:val="pct25" w:color="auto" w:fill="auto"/>
            <w:vAlign w:val="center"/>
          </w:tcPr>
          <w:p w14:paraId="75D8730C" w14:textId="77777777" w:rsidR="00147059" w:rsidRPr="004F2C12" w:rsidRDefault="00147059" w:rsidP="006F7FC5">
            <w:pPr>
              <w:jc w:val="center"/>
              <w:rPr>
                <w:rFonts w:ascii="Arial" w:hAnsi="Arial" w:cs="Arial"/>
                <w:b/>
                <w:sz w:val="28"/>
                <w:szCs w:val="28"/>
              </w:rPr>
            </w:pPr>
          </w:p>
        </w:tc>
        <w:tc>
          <w:tcPr>
            <w:tcW w:w="522" w:type="dxa"/>
            <w:tcBorders>
              <w:bottom w:val="single" w:sz="4" w:space="0" w:color="auto"/>
            </w:tcBorders>
            <w:shd w:val="clear" w:color="auto" w:fill="C0C0C0"/>
            <w:vAlign w:val="center"/>
          </w:tcPr>
          <w:p w14:paraId="0BC28BB3" w14:textId="77777777" w:rsidR="00147059" w:rsidRPr="004F2C12" w:rsidRDefault="00147059" w:rsidP="006F7FC5">
            <w:pPr>
              <w:jc w:val="center"/>
              <w:rPr>
                <w:rFonts w:ascii="Arial" w:hAnsi="Arial" w:cs="Arial"/>
                <w:b/>
                <w:sz w:val="28"/>
                <w:szCs w:val="28"/>
              </w:rPr>
            </w:pPr>
          </w:p>
        </w:tc>
        <w:tc>
          <w:tcPr>
            <w:tcW w:w="444" w:type="dxa"/>
            <w:tcBorders>
              <w:bottom w:val="single" w:sz="4" w:space="0" w:color="auto"/>
            </w:tcBorders>
            <w:shd w:val="clear" w:color="auto" w:fill="C0C0C0"/>
            <w:vAlign w:val="center"/>
          </w:tcPr>
          <w:p w14:paraId="4175FAB7" w14:textId="77777777" w:rsidR="00147059" w:rsidRPr="004F2C12" w:rsidRDefault="00147059"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14:paraId="66200A28" w14:textId="77777777" w:rsidR="00147059" w:rsidRPr="004F2C12" w:rsidRDefault="00147059" w:rsidP="006F7FC5">
            <w:pPr>
              <w:jc w:val="center"/>
              <w:rPr>
                <w:rFonts w:ascii="Arial" w:hAnsi="Arial" w:cs="Arial"/>
                <w:b/>
                <w:sz w:val="28"/>
                <w:szCs w:val="28"/>
              </w:rPr>
            </w:pPr>
          </w:p>
        </w:tc>
        <w:tc>
          <w:tcPr>
            <w:tcW w:w="800" w:type="dxa"/>
            <w:tcBorders>
              <w:bottom w:val="single" w:sz="4" w:space="0" w:color="auto"/>
            </w:tcBorders>
            <w:shd w:val="pct25" w:color="auto" w:fill="auto"/>
            <w:vAlign w:val="center"/>
          </w:tcPr>
          <w:p w14:paraId="76328BE7" w14:textId="77777777" w:rsidR="00147059" w:rsidRPr="004F2C12" w:rsidRDefault="00147059" w:rsidP="006F7FC5">
            <w:pPr>
              <w:jc w:val="center"/>
              <w:rPr>
                <w:rFonts w:ascii="Arial" w:hAnsi="Arial" w:cs="Arial"/>
                <w:b/>
                <w:sz w:val="28"/>
                <w:szCs w:val="28"/>
              </w:rPr>
            </w:pPr>
          </w:p>
        </w:tc>
        <w:tc>
          <w:tcPr>
            <w:tcW w:w="666" w:type="dxa"/>
            <w:tcBorders>
              <w:bottom w:val="single" w:sz="4" w:space="0" w:color="auto"/>
            </w:tcBorders>
            <w:shd w:val="pct25" w:color="auto" w:fill="auto"/>
            <w:vAlign w:val="center"/>
          </w:tcPr>
          <w:p w14:paraId="0C2E01ED" w14:textId="77777777" w:rsidR="00147059" w:rsidRPr="004F2C12" w:rsidRDefault="00147059" w:rsidP="006F7FC5">
            <w:pPr>
              <w:jc w:val="center"/>
              <w:rPr>
                <w:rFonts w:ascii="Arial" w:hAnsi="Arial" w:cs="Arial"/>
                <w:b/>
                <w:sz w:val="28"/>
                <w:szCs w:val="28"/>
              </w:rPr>
            </w:pPr>
          </w:p>
        </w:tc>
        <w:tc>
          <w:tcPr>
            <w:tcW w:w="733" w:type="dxa"/>
            <w:tcBorders>
              <w:bottom w:val="single" w:sz="4" w:space="0" w:color="auto"/>
            </w:tcBorders>
            <w:shd w:val="clear" w:color="auto" w:fill="C0C0C0"/>
            <w:vAlign w:val="center"/>
          </w:tcPr>
          <w:p w14:paraId="5C0C8EE1"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68D226E7"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612B4B9A"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55002B0F"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0280CFAC" w14:textId="77777777" w:rsidR="00147059" w:rsidRPr="004F2C12" w:rsidRDefault="00147059" w:rsidP="006F7FC5">
            <w:pPr>
              <w:jc w:val="center"/>
              <w:rPr>
                <w:rFonts w:ascii="Arial" w:hAnsi="Arial" w:cs="Arial"/>
                <w:b/>
                <w:sz w:val="28"/>
                <w:szCs w:val="28"/>
              </w:rPr>
            </w:pPr>
          </w:p>
        </w:tc>
      </w:tr>
      <w:tr w:rsidR="00147059" w:rsidRPr="004F2C12" w14:paraId="65FB05D0" w14:textId="77777777" w:rsidTr="00147059">
        <w:trPr>
          <w:cantSplit/>
          <w:trHeight w:val="432"/>
        </w:trPr>
        <w:tc>
          <w:tcPr>
            <w:tcW w:w="1445" w:type="dxa"/>
            <w:vAlign w:val="bottom"/>
          </w:tcPr>
          <w:p w14:paraId="2BFAEEDE" w14:textId="77777777" w:rsidR="00147059" w:rsidRPr="00AA3593" w:rsidRDefault="00147059" w:rsidP="006F7FC5">
            <w:pPr>
              <w:rPr>
                <w:rFonts w:ascii="Arial" w:hAnsi="Arial" w:cs="Arial"/>
                <w:sz w:val="20"/>
                <w:szCs w:val="20"/>
              </w:rPr>
            </w:pPr>
            <w:r w:rsidRPr="00415D7E">
              <w:rPr>
                <w:rFonts w:ascii="Arial" w:hAnsi="Arial" w:cs="Arial"/>
                <w:sz w:val="20"/>
                <w:szCs w:val="20"/>
              </w:rPr>
              <w:t>Lyophilized FRESH FROZEN PLASMA</w:t>
            </w:r>
          </w:p>
        </w:tc>
        <w:tc>
          <w:tcPr>
            <w:tcW w:w="611" w:type="dxa"/>
            <w:tcBorders>
              <w:bottom w:val="single" w:sz="4" w:space="0" w:color="auto"/>
            </w:tcBorders>
            <w:shd w:val="pct25" w:color="auto" w:fill="auto"/>
            <w:vAlign w:val="center"/>
          </w:tcPr>
          <w:p w14:paraId="54AA7B50" w14:textId="77777777" w:rsidR="00147059" w:rsidRPr="004F2C12" w:rsidRDefault="00147059" w:rsidP="006F7FC5">
            <w:pPr>
              <w:jc w:val="center"/>
              <w:rPr>
                <w:rFonts w:ascii="Arial" w:hAnsi="Arial" w:cs="Arial"/>
                <w:b/>
                <w:sz w:val="28"/>
                <w:szCs w:val="28"/>
              </w:rPr>
            </w:pPr>
          </w:p>
        </w:tc>
        <w:tc>
          <w:tcPr>
            <w:tcW w:w="522" w:type="dxa"/>
            <w:shd w:val="pct25" w:color="auto" w:fill="auto"/>
            <w:vAlign w:val="center"/>
          </w:tcPr>
          <w:p w14:paraId="2B497C89" w14:textId="77777777" w:rsidR="00147059" w:rsidRPr="004F2C12" w:rsidRDefault="00147059" w:rsidP="006F7FC5">
            <w:pPr>
              <w:jc w:val="center"/>
              <w:rPr>
                <w:rFonts w:ascii="Arial" w:hAnsi="Arial" w:cs="Arial"/>
                <w:b/>
                <w:sz w:val="28"/>
                <w:szCs w:val="28"/>
              </w:rPr>
            </w:pPr>
          </w:p>
        </w:tc>
        <w:tc>
          <w:tcPr>
            <w:tcW w:w="444" w:type="dxa"/>
            <w:shd w:val="pct25" w:color="auto" w:fill="auto"/>
            <w:vAlign w:val="center"/>
          </w:tcPr>
          <w:p w14:paraId="3D3B70C2" w14:textId="77777777" w:rsidR="00147059" w:rsidRPr="004F2C12" w:rsidRDefault="00147059" w:rsidP="006F7FC5">
            <w:pPr>
              <w:jc w:val="center"/>
              <w:rPr>
                <w:rFonts w:ascii="Arial" w:hAnsi="Arial" w:cs="Arial"/>
                <w:b/>
                <w:sz w:val="28"/>
                <w:szCs w:val="28"/>
              </w:rPr>
            </w:pPr>
          </w:p>
        </w:tc>
        <w:tc>
          <w:tcPr>
            <w:tcW w:w="577" w:type="dxa"/>
            <w:shd w:val="pct25" w:color="auto" w:fill="auto"/>
            <w:vAlign w:val="center"/>
          </w:tcPr>
          <w:p w14:paraId="2C6185EA" w14:textId="77777777" w:rsidR="00147059" w:rsidRPr="004F2C12" w:rsidRDefault="00147059" w:rsidP="006F7FC5">
            <w:pPr>
              <w:jc w:val="center"/>
              <w:rPr>
                <w:rFonts w:ascii="Arial" w:hAnsi="Arial" w:cs="Arial"/>
                <w:b/>
                <w:sz w:val="28"/>
                <w:szCs w:val="28"/>
              </w:rPr>
            </w:pPr>
          </w:p>
        </w:tc>
        <w:tc>
          <w:tcPr>
            <w:tcW w:w="800" w:type="dxa"/>
            <w:tcBorders>
              <w:bottom w:val="single" w:sz="4" w:space="0" w:color="auto"/>
            </w:tcBorders>
            <w:shd w:val="pct25" w:color="auto" w:fill="auto"/>
            <w:vAlign w:val="center"/>
          </w:tcPr>
          <w:p w14:paraId="345B27C4" w14:textId="77777777" w:rsidR="00147059" w:rsidRPr="004F2C12" w:rsidRDefault="00147059" w:rsidP="006F7FC5">
            <w:pPr>
              <w:jc w:val="center"/>
              <w:rPr>
                <w:rFonts w:ascii="Arial" w:hAnsi="Arial" w:cs="Arial"/>
                <w:b/>
                <w:sz w:val="28"/>
                <w:szCs w:val="28"/>
              </w:rPr>
            </w:pPr>
          </w:p>
        </w:tc>
        <w:tc>
          <w:tcPr>
            <w:tcW w:w="666" w:type="dxa"/>
            <w:tcBorders>
              <w:bottom w:val="single" w:sz="4" w:space="0" w:color="auto"/>
            </w:tcBorders>
            <w:shd w:val="pct25" w:color="auto" w:fill="auto"/>
            <w:vAlign w:val="center"/>
          </w:tcPr>
          <w:p w14:paraId="2811682A" w14:textId="77777777" w:rsidR="00147059" w:rsidRPr="004F2C12" w:rsidRDefault="00147059" w:rsidP="006F7FC5">
            <w:pPr>
              <w:jc w:val="center"/>
              <w:rPr>
                <w:rFonts w:ascii="Arial" w:hAnsi="Arial" w:cs="Arial"/>
                <w:b/>
                <w:sz w:val="28"/>
                <w:szCs w:val="28"/>
              </w:rPr>
            </w:pPr>
          </w:p>
        </w:tc>
        <w:tc>
          <w:tcPr>
            <w:tcW w:w="733" w:type="dxa"/>
            <w:shd w:val="pct25" w:color="auto" w:fill="auto"/>
            <w:vAlign w:val="center"/>
          </w:tcPr>
          <w:p w14:paraId="3ED5E48E"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2EADF880"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632302F7"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5135ADF9"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1360070C" w14:textId="77777777" w:rsidR="00147059" w:rsidRPr="004F2C12" w:rsidRDefault="00147059" w:rsidP="006F7FC5">
            <w:pPr>
              <w:jc w:val="center"/>
              <w:rPr>
                <w:rFonts w:ascii="Arial" w:hAnsi="Arial" w:cs="Arial"/>
                <w:b/>
                <w:sz w:val="28"/>
                <w:szCs w:val="28"/>
              </w:rPr>
            </w:pPr>
          </w:p>
        </w:tc>
      </w:tr>
      <w:tr w:rsidR="00147059" w:rsidRPr="004F2C12" w14:paraId="0CDE2D65" w14:textId="77777777" w:rsidTr="00147059">
        <w:trPr>
          <w:cantSplit/>
          <w:trHeight w:val="432"/>
        </w:trPr>
        <w:tc>
          <w:tcPr>
            <w:tcW w:w="1445" w:type="dxa"/>
            <w:vAlign w:val="bottom"/>
          </w:tcPr>
          <w:p w14:paraId="6A1AEE14" w14:textId="77777777" w:rsidR="00147059" w:rsidRPr="00AA3593" w:rsidRDefault="00147059" w:rsidP="006F7FC5">
            <w:pPr>
              <w:rPr>
                <w:rFonts w:ascii="Arial" w:hAnsi="Arial" w:cs="Arial"/>
                <w:sz w:val="20"/>
                <w:szCs w:val="20"/>
              </w:rPr>
            </w:pPr>
            <w:r w:rsidRPr="00415D7E">
              <w:rPr>
                <w:rFonts w:ascii="Arial" w:hAnsi="Arial" w:cs="Arial"/>
                <w:sz w:val="20"/>
                <w:szCs w:val="20"/>
              </w:rPr>
              <w:t>Reconstituted FRESH FROZEN PLASMA</w:t>
            </w:r>
          </w:p>
        </w:tc>
        <w:tc>
          <w:tcPr>
            <w:tcW w:w="611" w:type="dxa"/>
            <w:tcBorders>
              <w:bottom w:val="single" w:sz="4" w:space="0" w:color="auto"/>
            </w:tcBorders>
            <w:shd w:val="pct25" w:color="auto" w:fill="auto"/>
            <w:vAlign w:val="center"/>
          </w:tcPr>
          <w:p w14:paraId="262C563A" w14:textId="77777777" w:rsidR="00147059" w:rsidRPr="004F2C12" w:rsidRDefault="00147059" w:rsidP="006F7FC5">
            <w:pPr>
              <w:jc w:val="center"/>
              <w:rPr>
                <w:rFonts w:ascii="Arial" w:hAnsi="Arial" w:cs="Arial"/>
                <w:b/>
                <w:sz w:val="28"/>
                <w:szCs w:val="28"/>
              </w:rPr>
            </w:pPr>
          </w:p>
        </w:tc>
        <w:tc>
          <w:tcPr>
            <w:tcW w:w="522" w:type="dxa"/>
            <w:shd w:val="clear" w:color="auto" w:fill="C0C0C0"/>
            <w:vAlign w:val="center"/>
          </w:tcPr>
          <w:p w14:paraId="0DF4A433" w14:textId="77777777" w:rsidR="00147059" w:rsidRPr="004F2C12" w:rsidRDefault="00147059" w:rsidP="006F7FC5">
            <w:pPr>
              <w:jc w:val="center"/>
              <w:rPr>
                <w:rFonts w:ascii="Arial" w:hAnsi="Arial" w:cs="Arial"/>
                <w:b/>
                <w:sz w:val="28"/>
                <w:szCs w:val="28"/>
              </w:rPr>
            </w:pPr>
          </w:p>
        </w:tc>
        <w:tc>
          <w:tcPr>
            <w:tcW w:w="444" w:type="dxa"/>
            <w:shd w:val="clear" w:color="auto" w:fill="C0C0C0"/>
            <w:vAlign w:val="center"/>
          </w:tcPr>
          <w:p w14:paraId="7D4BE3AF" w14:textId="77777777" w:rsidR="00147059" w:rsidRPr="004F2C12" w:rsidRDefault="00147059" w:rsidP="006F7FC5">
            <w:pPr>
              <w:jc w:val="center"/>
              <w:rPr>
                <w:rFonts w:ascii="Arial" w:hAnsi="Arial" w:cs="Arial"/>
                <w:b/>
                <w:sz w:val="28"/>
                <w:szCs w:val="28"/>
              </w:rPr>
            </w:pPr>
          </w:p>
        </w:tc>
        <w:tc>
          <w:tcPr>
            <w:tcW w:w="577" w:type="dxa"/>
            <w:shd w:val="clear" w:color="auto" w:fill="C0C0C0"/>
            <w:vAlign w:val="center"/>
          </w:tcPr>
          <w:p w14:paraId="636AA263" w14:textId="77777777" w:rsidR="00147059" w:rsidRPr="004F2C12" w:rsidRDefault="00147059" w:rsidP="006F7FC5">
            <w:pPr>
              <w:jc w:val="center"/>
              <w:rPr>
                <w:rFonts w:ascii="Arial" w:hAnsi="Arial" w:cs="Arial"/>
                <w:b/>
                <w:sz w:val="28"/>
                <w:szCs w:val="28"/>
              </w:rPr>
            </w:pPr>
          </w:p>
        </w:tc>
        <w:tc>
          <w:tcPr>
            <w:tcW w:w="800" w:type="dxa"/>
            <w:tcBorders>
              <w:bottom w:val="single" w:sz="4" w:space="0" w:color="auto"/>
            </w:tcBorders>
            <w:shd w:val="pct25" w:color="auto" w:fill="auto"/>
            <w:vAlign w:val="center"/>
          </w:tcPr>
          <w:p w14:paraId="0CE4ACE0" w14:textId="77777777" w:rsidR="00147059" w:rsidRPr="004F2C12" w:rsidRDefault="00147059" w:rsidP="006F7FC5">
            <w:pPr>
              <w:jc w:val="center"/>
              <w:rPr>
                <w:rFonts w:ascii="Arial" w:hAnsi="Arial" w:cs="Arial"/>
                <w:b/>
                <w:sz w:val="28"/>
                <w:szCs w:val="28"/>
              </w:rPr>
            </w:pPr>
          </w:p>
        </w:tc>
        <w:tc>
          <w:tcPr>
            <w:tcW w:w="666" w:type="dxa"/>
            <w:tcBorders>
              <w:bottom w:val="single" w:sz="4" w:space="0" w:color="auto"/>
            </w:tcBorders>
            <w:shd w:val="pct25" w:color="auto" w:fill="auto"/>
            <w:vAlign w:val="center"/>
          </w:tcPr>
          <w:p w14:paraId="3BC8B8FC" w14:textId="77777777" w:rsidR="00147059" w:rsidRPr="004F2C12" w:rsidRDefault="00147059" w:rsidP="006F7FC5">
            <w:pPr>
              <w:jc w:val="center"/>
              <w:rPr>
                <w:rFonts w:ascii="Arial" w:hAnsi="Arial" w:cs="Arial"/>
                <w:b/>
                <w:sz w:val="28"/>
                <w:szCs w:val="28"/>
              </w:rPr>
            </w:pPr>
          </w:p>
        </w:tc>
        <w:tc>
          <w:tcPr>
            <w:tcW w:w="733" w:type="dxa"/>
            <w:shd w:val="clear" w:color="auto" w:fill="C0C0C0"/>
            <w:vAlign w:val="center"/>
          </w:tcPr>
          <w:p w14:paraId="1E6D6A73" w14:textId="77777777" w:rsidR="00147059" w:rsidRPr="004F2C12" w:rsidRDefault="00147059" w:rsidP="006F7FC5">
            <w:pPr>
              <w:jc w:val="center"/>
              <w:rPr>
                <w:rFonts w:ascii="Arial" w:hAnsi="Arial" w:cs="Arial"/>
                <w:b/>
                <w:sz w:val="28"/>
                <w:szCs w:val="28"/>
              </w:rPr>
            </w:pPr>
          </w:p>
        </w:tc>
        <w:tc>
          <w:tcPr>
            <w:tcW w:w="544" w:type="dxa"/>
            <w:shd w:val="clear" w:color="auto" w:fill="C0C0C0"/>
            <w:vAlign w:val="center"/>
          </w:tcPr>
          <w:p w14:paraId="66997B84" w14:textId="77777777" w:rsidR="00147059" w:rsidRPr="004F2C12" w:rsidRDefault="00147059" w:rsidP="006F7FC5">
            <w:pPr>
              <w:jc w:val="center"/>
              <w:rPr>
                <w:rFonts w:ascii="Arial" w:hAnsi="Arial" w:cs="Arial"/>
                <w:b/>
                <w:sz w:val="28"/>
                <w:szCs w:val="28"/>
              </w:rPr>
            </w:pPr>
          </w:p>
        </w:tc>
        <w:tc>
          <w:tcPr>
            <w:tcW w:w="700" w:type="dxa"/>
            <w:shd w:val="clear" w:color="auto" w:fill="C0C0C0"/>
            <w:vAlign w:val="center"/>
          </w:tcPr>
          <w:p w14:paraId="29246A92"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751920ED" w14:textId="77777777" w:rsidR="00147059" w:rsidRPr="004F2C12" w:rsidRDefault="00147059" w:rsidP="006F7FC5">
            <w:pPr>
              <w:jc w:val="center"/>
              <w:rPr>
                <w:rFonts w:ascii="Arial" w:hAnsi="Arial" w:cs="Arial"/>
                <w:b/>
                <w:sz w:val="28"/>
                <w:szCs w:val="28"/>
              </w:rPr>
            </w:pPr>
          </w:p>
        </w:tc>
        <w:tc>
          <w:tcPr>
            <w:tcW w:w="810" w:type="dxa"/>
            <w:shd w:val="clear" w:color="auto" w:fill="C0C0C0"/>
            <w:vAlign w:val="center"/>
          </w:tcPr>
          <w:p w14:paraId="601125A6" w14:textId="77777777" w:rsidR="00147059" w:rsidRPr="004F2C12" w:rsidRDefault="00147059" w:rsidP="006F7FC5">
            <w:pPr>
              <w:jc w:val="center"/>
              <w:rPr>
                <w:rFonts w:ascii="Arial" w:hAnsi="Arial" w:cs="Arial"/>
                <w:b/>
                <w:sz w:val="28"/>
                <w:szCs w:val="28"/>
              </w:rPr>
            </w:pPr>
          </w:p>
        </w:tc>
      </w:tr>
      <w:tr w:rsidR="00147059" w:rsidRPr="004F2C12" w14:paraId="72AC80D6" w14:textId="77777777" w:rsidTr="00147059">
        <w:trPr>
          <w:cantSplit/>
          <w:trHeight w:val="432"/>
        </w:trPr>
        <w:tc>
          <w:tcPr>
            <w:tcW w:w="1445" w:type="dxa"/>
            <w:vAlign w:val="bottom"/>
          </w:tcPr>
          <w:p w14:paraId="4280383C" w14:textId="77777777" w:rsidR="00147059" w:rsidRPr="00720B53" w:rsidRDefault="00147059" w:rsidP="00342FD6">
            <w:pPr>
              <w:rPr>
                <w:rFonts w:ascii="Arial" w:hAnsi="Arial" w:cs="Arial"/>
                <w:sz w:val="20"/>
                <w:szCs w:val="20"/>
              </w:rPr>
            </w:pPr>
            <w:r w:rsidRPr="00720B53">
              <w:rPr>
                <w:rFonts w:ascii="Arial" w:hAnsi="Arial" w:cs="Arial"/>
                <w:sz w:val="20"/>
                <w:szCs w:val="20"/>
              </w:rPr>
              <w:t>Washed Apheresis POOLED PLATELETS</w:t>
            </w:r>
          </w:p>
        </w:tc>
        <w:tc>
          <w:tcPr>
            <w:tcW w:w="611" w:type="dxa"/>
            <w:tcBorders>
              <w:bottom w:val="single" w:sz="4" w:space="0" w:color="auto"/>
            </w:tcBorders>
            <w:shd w:val="pct25" w:color="auto" w:fill="auto"/>
            <w:vAlign w:val="center"/>
          </w:tcPr>
          <w:p w14:paraId="4BFA26A5" w14:textId="77777777" w:rsidR="00147059" w:rsidRPr="00720B53" w:rsidRDefault="00147059" w:rsidP="00342FD6">
            <w:pPr>
              <w:jc w:val="center"/>
              <w:rPr>
                <w:rFonts w:ascii="Arial" w:hAnsi="Arial" w:cs="Arial"/>
                <w:sz w:val="28"/>
                <w:szCs w:val="28"/>
              </w:rPr>
            </w:pPr>
          </w:p>
        </w:tc>
        <w:tc>
          <w:tcPr>
            <w:tcW w:w="522" w:type="dxa"/>
            <w:tcBorders>
              <w:bottom w:val="single" w:sz="4" w:space="0" w:color="auto"/>
            </w:tcBorders>
            <w:shd w:val="clear" w:color="auto" w:fill="C0C0C0"/>
            <w:vAlign w:val="center"/>
          </w:tcPr>
          <w:p w14:paraId="56A96168" w14:textId="77777777" w:rsidR="00147059" w:rsidRPr="004F2C12" w:rsidRDefault="00147059" w:rsidP="00342FD6">
            <w:pPr>
              <w:jc w:val="center"/>
              <w:rPr>
                <w:rFonts w:ascii="Arial" w:hAnsi="Arial" w:cs="Arial"/>
                <w:b/>
                <w:sz w:val="28"/>
                <w:szCs w:val="28"/>
              </w:rPr>
            </w:pPr>
          </w:p>
        </w:tc>
        <w:tc>
          <w:tcPr>
            <w:tcW w:w="444" w:type="dxa"/>
            <w:shd w:val="clear" w:color="auto" w:fill="C0C0C0"/>
            <w:vAlign w:val="center"/>
          </w:tcPr>
          <w:p w14:paraId="3B0AA7FA" w14:textId="77777777" w:rsidR="00147059" w:rsidRPr="004F2C12" w:rsidRDefault="00147059" w:rsidP="00342FD6">
            <w:pPr>
              <w:jc w:val="center"/>
              <w:rPr>
                <w:rFonts w:ascii="Arial" w:hAnsi="Arial" w:cs="Arial"/>
                <w:b/>
                <w:sz w:val="28"/>
                <w:szCs w:val="28"/>
              </w:rPr>
            </w:pPr>
          </w:p>
        </w:tc>
        <w:tc>
          <w:tcPr>
            <w:tcW w:w="577" w:type="dxa"/>
            <w:shd w:val="clear" w:color="auto" w:fill="C0C0C0"/>
            <w:vAlign w:val="center"/>
          </w:tcPr>
          <w:p w14:paraId="22DAE974" w14:textId="77777777" w:rsidR="00147059" w:rsidRPr="004F2C12" w:rsidRDefault="00147059" w:rsidP="00342FD6">
            <w:pPr>
              <w:jc w:val="center"/>
              <w:rPr>
                <w:rFonts w:ascii="Arial" w:hAnsi="Arial" w:cs="Arial"/>
                <w:b/>
                <w:sz w:val="28"/>
                <w:szCs w:val="28"/>
              </w:rPr>
            </w:pPr>
          </w:p>
        </w:tc>
        <w:tc>
          <w:tcPr>
            <w:tcW w:w="800" w:type="dxa"/>
            <w:tcBorders>
              <w:bottom w:val="single" w:sz="4" w:space="0" w:color="auto"/>
            </w:tcBorders>
            <w:shd w:val="pct25" w:color="auto" w:fill="auto"/>
            <w:vAlign w:val="center"/>
          </w:tcPr>
          <w:p w14:paraId="433AD37E" w14:textId="77777777" w:rsidR="00147059" w:rsidRPr="004F2C12" w:rsidRDefault="00147059" w:rsidP="00342FD6">
            <w:pPr>
              <w:jc w:val="center"/>
              <w:rPr>
                <w:rFonts w:ascii="Arial" w:hAnsi="Arial" w:cs="Arial"/>
                <w:b/>
                <w:sz w:val="28"/>
                <w:szCs w:val="28"/>
              </w:rPr>
            </w:pPr>
          </w:p>
        </w:tc>
        <w:tc>
          <w:tcPr>
            <w:tcW w:w="666" w:type="dxa"/>
            <w:tcBorders>
              <w:bottom w:val="single" w:sz="4" w:space="0" w:color="auto"/>
            </w:tcBorders>
            <w:shd w:val="pct25" w:color="auto" w:fill="auto"/>
            <w:vAlign w:val="center"/>
          </w:tcPr>
          <w:p w14:paraId="42D06622" w14:textId="77777777" w:rsidR="00147059" w:rsidRPr="004F2C12" w:rsidRDefault="00147059" w:rsidP="00342FD6">
            <w:pPr>
              <w:jc w:val="center"/>
              <w:rPr>
                <w:rFonts w:ascii="Arial" w:hAnsi="Arial" w:cs="Arial"/>
                <w:b/>
                <w:sz w:val="28"/>
                <w:szCs w:val="28"/>
              </w:rPr>
            </w:pPr>
          </w:p>
        </w:tc>
        <w:tc>
          <w:tcPr>
            <w:tcW w:w="733" w:type="dxa"/>
            <w:shd w:val="clear" w:color="auto" w:fill="C0C0C0"/>
            <w:vAlign w:val="center"/>
          </w:tcPr>
          <w:p w14:paraId="4FEB0CA1" w14:textId="77777777" w:rsidR="00147059" w:rsidRPr="004F2C12" w:rsidRDefault="00147059" w:rsidP="00342FD6">
            <w:pPr>
              <w:jc w:val="center"/>
              <w:rPr>
                <w:rFonts w:ascii="Arial" w:hAnsi="Arial" w:cs="Arial"/>
                <w:b/>
                <w:sz w:val="28"/>
                <w:szCs w:val="28"/>
              </w:rPr>
            </w:pPr>
          </w:p>
        </w:tc>
        <w:tc>
          <w:tcPr>
            <w:tcW w:w="544" w:type="dxa"/>
            <w:shd w:val="clear" w:color="auto" w:fill="C0C0C0"/>
            <w:vAlign w:val="center"/>
          </w:tcPr>
          <w:p w14:paraId="07505402" w14:textId="77777777" w:rsidR="00147059" w:rsidRPr="004F2C12" w:rsidRDefault="00147059" w:rsidP="00342FD6">
            <w:pPr>
              <w:jc w:val="center"/>
              <w:rPr>
                <w:rFonts w:ascii="Arial" w:hAnsi="Arial" w:cs="Arial"/>
                <w:b/>
                <w:sz w:val="28"/>
                <w:szCs w:val="28"/>
              </w:rPr>
            </w:pPr>
          </w:p>
        </w:tc>
        <w:tc>
          <w:tcPr>
            <w:tcW w:w="700" w:type="dxa"/>
            <w:shd w:val="clear" w:color="auto" w:fill="C0C0C0"/>
            <w:vAlign w:val="center"/>
          </w:tcPr>
          <w:p w14:paraId="2FB38A33"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15C98638"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6F2ED4F4" w14:textId="77777777" w:rsidR="00147059" w:rsidRPr="004F2C12" w:rsidRDefault="00147059" w:rsidP="00342FD6">
            <w:pPr>
              <w:jc w:val="center"/>
              <w:rPr>
                <w:rFonts w:ascii="Arial" w:hAnsi="Arial" w:cs="Arial"/>
                <w:b/>
                <w:sz w:val="28"/>
                <w:szCs w:val="28"/>
              </w:rPr>
            </w:pPr>
          </w:p>
        </w:tc>
      </w:tr>
      <w:tr w:rsidR="00147059" w:rsidRPr="004F2C12" w14:paraId="5C06B11F" w14:textId="77777777" w:rsidTr="00147059">
        <w:trPr>
          <w:cantSplit/>
          <w:trHeight w:val="432"/>
        </w:trPr>
        <w:tc>
          <w:tcPr>
            <w:tcW w:w="1445" w:type="dxa"/>
            <w:vAlign w:val="bottom"/>
          </w:tcPr>
          <w:p w14:paraId="5ED776AB" w14:textId="77777777" w:rsidR="00147059" w:rsidRPr="00841E4F" w:rsidRDefault="00147059" w:rsidP="00342FD6">
            <w:pPr>
              <w:rPr>
                <w:rFonts w:ascii="Arial" w:hAnsi="Arial" w:cs="Arial"/>
                <w:sz w:val="20"/>
                <w:szCs w:val="20"/>
              </w:rPr>
            </w:pPr>
            <w:r w:rsidRPr="00415B99">
              <w:rPr>
                <w:rFonts w:ascii="Arial" w:hAnsi="Arial" w:cs="Arial"/>
                <w:sz w:val="20"/>
                <w:szCs w:val="20"/>
              </w:rPr>
              <w:t>Frozen PLATELETS</w:t>
            </w:r>
          </w:p>
        </w:tc>
        <w:tc>
          <w:tcPr>
            <w:tcW w:w="611" w:type="dxa"/>
            <w:shd w:val="pct25" w:color="auto" w:fill="auto"/>
            <w:vAlign w:val="center"/>
          </w:tcPr>
          <w:p w14:paraId="0AF071BD" w14:textId="77777777" w:rsidR="00147059" w:rsidRPr="00720B53" w:rsidRDefault="00147059" w:rsidP="00342FD6">
            <w:pPr>
              <w:jc w:val="center"/>
              <w:rPr>
                <w:rFonts w:ascii="Arial" w:hAnsi="Arial" w:cs="Arial"/>
                <w:sz w:val="28"/>
                <w:szCs w:val="28"/>
              </w:rPr>
            </w:pPr>
          </w:p>
        </w:tc>
        <w:tc>
          <w:tcPr>
            <w:tcW w:w="522" w:type="dxa"/>
            <w:shd w:val="pct25" w:color="auto" w:fill="auto"/>
            <w:vAlign w:val="center"/>
          </w:tcPr>
          <w:p w14:paraId="45481D8D" w14:textId="77777777" w:rsidR="00147059" w:rsidRPr="004F2C12" w:rsidRDefault="00147059" w:rsidP="00342FD6">
            <w:pPr>
              <w:jc w:val="center"/>
              <w:rPr>
                <w:rFonts w:ascii="Arial" w:hAnsi="Arial" w:cs="Arial"/>
                <w:b/>
                <w:sz w:val="28"/>
                <w:szCs w:val="28"/>
              </w:rPr>
            </w:pPr>
          </w:p>
        </w:tc>
        <w:tc>
          <w:tcPr>
            <w:tcW w:w="444" w:type="dxa"/>
            <w:shd w:val="clear" w:color="auto" w:fill="C0C0C0"/>
            <w:vAlign w:val="center"/>
          </w:tcPr>
          <w:p w14:paraId="7AA28568" w14:textId="77777777" w:rsidR="00147059" w:rsidRPr="004F2C12" w:rsidRDefault="00147059" w:rsidP="00342FD6">
            <w:pPr>
              <w:jc w:val="center"/>
              <w:rPr>
                <w:rFonts w:ascii="Arial" w:hAnsi="Arial" w:cs="Arial"/>
                <w:b/>
                <w:sz w:val="28"/>
                <w:szCs w:val="28"/>
              </w:rPr>
            </w:pPr>
          </w:p>
        </w:tc>
        <w:tc>
          <w:tcPr>
            <w:tcW w:w="577" w:type="dxa"/>
            <w:shd w:val="clear" w:color="auto" w:fill="C0C0C0"/>
            <w:vAlign w:val="center"/>
          </w:tcPr>
          <w:p w14:paraId="47E4E928" w14:textId="77777777" w:rsidR="00147059" w:rsidRPr="004F2C12" w:rsidRDefault="00147059" w:rsidP="00342FD6">
            <w:pPr>
              <w:jc w:val="center"/>
              <w:rPr>
                <w:rFonts w:ascii="Arial" w:hAnsi="Arial" w:cs="Arial"/>
                <w:b/>
                <w:sz w:val="28"/>
                <w:szCs w:val="28"/>
              </w:rPr>
            </w:pPr>
          </w:p>
        </w:tc>
        <w:tc>
          <w:tcPr>
            <w:tcW w:w="800" w:type="dxa"/>
            <w:shd w:val="pct25" w:color="auto" w:fill="auto"/>
            <w:vAlign w:val="center"/>
          </w:tcPr>
          <w:p w14:paraId="33D17F78" w14:textId="77777777" w:rsidR="00147059" w:rsidRPr="004F2C12" w:rsidRDefault="00147059" w:rsidP="00342FD6">
            <w:pPr>
              <w:jc w:val="center"/>
              <w:rPr>
                <w:rFonts w:ascii="Arial" w:hAnsi="Arial" w:cs="Arial"/>
                <w:b/>
                <w:sz w:val="28"/>
                <w:szCs w:val="28"/>
              </w:rPr>
            </w:pPr>
          </w:p>
        </w:tc>
        <w:tc>
          <w:tcPr>
            <w:tcW w:w="666" w:type="dxa"/>
            <w:shd w:val="pct25" w:color="auto" w:fill="auto"/>
            <w:vAlign w:val="center"/>
          </w:tcPr>
          <w:p w14:paraId="0713F391" w14:textId="77777777" w:rsidR="00147059" w:rsidRPr="004F2C12" w:rsidRDefault="00147059" w:rsidP="00342FD6">
            <w:pPr>
              <w:jc w:val="center"/>
              <w:rPr>
                <w:rFonts w:ascii="Arial" w:hAnsi="Arial" w:cs="Arial"/>
                <w:b/>
                <w:sz w:val="28"/>
                <w:szCs w:val="28"/>
              </w:rPr>
            </w:pPr>
          </w:p>
        </w:tc>
        <w:tc>
          <w:tcPr>
            <w:tcW w:w="733" w:type="dxa"/>
            <w:shd w:val="clear" w:color="auto" w:fill="C0C0C0"/>
            <w:vAlign w:val="center"/>
          </w:tcPr>
          <w:p w14:paraId="2373B468" w14:textId="77777777" w:rsidR="00147059" w:rsidRPr="004F2C12" w:rsidRDefault="00147059" w:rsidP="00342FD6">
            <w:pPr>
              <w:jc w:val="center"/>
              <w:rPr>
                <w:rFonts w:ascii="Arial" w:hAnsi="Arial" w:cs="Arial"/>
                <w:b/>
                <w:sz w:val="28"/>
                <w:szCs w:val="28"/>
              </w:rPr>
            </w:pPr>
          </w:p>
        </w:tc>
        <w:tc>
          <w:tcPr>
            <w:tcW w:w="544" w:type="dxa"/>
            <w:shd w:val="clear" w:color="auto" w:fill="C0C0C0"/>
            <w:vAlign w:val="center"/>
          </w:tcPr>
          <w:p w14:paraId="28DCAC23" w14:textId="77777777" w:rsidR="00147059" w:rsidRPr="004F2C12" w:rsidRDefault="00147059" w:rsidP="00342FD6">
            <w:pPr>
              <w:jc w:val="center"/>
              <w:rPr>
                <w:rFonts w:ascii="Arial" w:hAnsi="Arial" w:cs="Arial"/>
                <w:b/>
                <w:sz w:val="28"/>
                <w:szCs w:val="28"/>
              </w:rPr>
            </w:pPr>
          </w:p>
        </w:tc>
        <w:tc>
          <w:tcPr>
            <w:tcW w:w="700" w:type="dxa"/>
            <w:shd w:val="clear" w:color="auto" w:fill="C0C0C0"/>
            <w:vAlign w:val="center"/>
          </w:tcPr>
          <w:p w14:paraId="34C47097"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6F201B55"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3DC57AD9" w14:textId="77777777" w:rsidR="00147059" w:rsidRPr="004F2C12" w:rsidRDefault="00147059" w:rsidP="00342FD6">
            <w:pPr>
              <w:jc w:val="center"/>
              <w:rPr>
                <w:rFonts w:ascii="Arial" w:hAnsi="Arial" w:cs="Arial"/>
                <w:b/>
                <w:sz w:val="28"/>
                <w:szCs w:val="28"/>
              </w:rPr>
            </w:pPr>
          </w:p>
        </w:tc>
      </w:tr>
      <w:tr w:rsidR="00147059" w:rsidRPr="004F2C12" w14:paraId="7024E062" w14:textId="77777777" w:rsidTr="00147059">
        <w:trPr>
          <w:cantSplit/>
          <w:trHeight w:val="432"/>
        </w:trPr>
        <w:tc>
          <w:tcPr>
            <w:tcW w:w="1445" w:type="dxa"/>
            <w:vAlign w:val="bottom"/>
          </w:tcPr>
          <w:p w14:paraId="07C5C762" w14:textId="77777777" w:rsidR="00147059" w:rsidRPr="00415B99" w:rsidRDefault="00147059" w:rsidP="00342FD6">
            <w:pPr>
              <w:rPr>
                <w:rFonts w:ascii="Arial" w:hAnsi="Arial" w:cs="Arial"/>
                <w:sz w:val="20"/>
                <w:szCs w:val="20"/>
              </w:rPr>
            </w:pPr>
            <w:r w:rsidRPr="000C2353">
              <w:rPr>
                <w:rFonts w:ascii="Arial" w:hAnsi="Arial" w:cs="Arial"/>
                <w:sz w:val="20"/>
                <w:szCs w:val="20"/>
              </w:rPr>
              <w:t>Apheresis POOLED CRYOPRECIPITATE</w:t>
            </w:r>
          </w:p>
        </w:tc>
        <w:tc>
          <w:tcPr>
            <w:tcW w:w="611" w:type="dxa"/>
            <w:shd w:val="pct25" w:color="auto" w:fill="auto"/>
            <w:vAlign w:val="center"/>
          </w:tcPr>
          <w:p w14:paraId="497EBB44" w14:textId="77777777" w:rsidR="00147059" w:rsidRPr="00720B53" w:rsidRDefault="00147059" w:rsidP="00342FD6">
            <w:pPr>
              <w:jc w:val="center"/>
              <w:rPr>
                <w:rFonts w:ascii="Arial" w:hAnsi="Arial" w:cs="Arial"/>
                <w:sz w:val="28"/>
                <w:szCs w:val="28"/>
              </w:rPr>
            </w:pPr>
          </w:p>
        </w:tc>
        <w:tc>
          <w:tcPr>
            <w:tcW w:w="522" w:type="dxa"/>
            <w:shd w:val="pct25" w:color="auto" w:fill="auto"/>
            <w:vAlign w:val="center"/>
          </w:tcPr>
          <w:p w14:paraId="1DE2F02E" w14:textId="77777777" w:rsidR="00147059" w:rsidRPr="004F2C12" w:rsidRDefault="00147059" w:rsidP="00342FD6">
            <w:pPr>
              <w:jc w:val="center"/>
              <w:rPr>
                <w:rFonts w:ascii="Arial" w:hAnsi="Arial" w:cs="Arial"/>
                <w:b/>
                <w:sz w:val="28"/>
                <w:szCs w:val="28"/>
              </w:rPr>
            </w:pPr>
          </w:p>
        </w:tc>
        <w:tc>
          <w:tcPr>
            <w:tcW w:w="444" w:type="dxa"/>
            <w:shd w:val="clear" w:color="auto" w:fill="C0C0C0"/>
            <w:vAlign w:val="center"/>
          </w:tcPr>
          <w:p w14:paraId="2624CB56" w14:textId="77777777" w:rsidR="00147059" w:rsidRPr="004F2C12" w:rsidRDefault="00147059" w:rsidP="00342FD6">
            <w:pPr>
              <w:jc w:val="center"/>
              <w:rPr>
                <w:rFonts w:ascii="Arial" w:hAnsi="Arial" w:cs="Arial"/>
                <w:b/>
                <w:sz w:val="28"/>
                <w:szCs w:val="28"/>
              </w:rPr>
            </w:pPr>
          </w:p>
        </w:tc>
        <w:tc>
          <w:tcPr>
            <w:tcW w:w="577" w:type="dxa"/>
            <w:shd w:val="clear" w:color="auto" w:fill="C0C0C0"/>
            <w:vAlign w:val="center"/>
          </w:tcPr>
          <w:p w14:paraId="6C9965AD" w14:textId="77777777" w:rsidR="00147059" w:rsidRPr="004F2C12" w:rsidRDefault="00147059" w:rsidP="00342FD6">
            <w:pPr>
              <w:jc w:val="center"/>
              <w:rPr>
                <w:rFonts w:ascii="Arial" w:hAnsi="Arial" w:cs="Arial"/>
                <w:b/>
                <w:sz w:val="28"/>
                <w:szCs w:val="28"/>
              </w:rPr>
            </w:pPr>
          </w:p>
        </w:tc>
        <w:tc>
          <w:tcPr>
            <w:tcW w:w="800" w:type="dxa"/>
            <w:shd w:val="pct25" w:color="auto" w:fill="auto"/>
            <w:vAlign w:val="center"/>
          </w:tcPr>
          <w:p w14:paraId="53DE89F8" w14:textId="77777777" w:rsidR="00147059" w:rsidRPr="004F2C12" w:rsidRDefault="00147059" w:rsidP="00342FD6">
            <w:pPr>
              <w:jc w:val="center"/>
              <w:rPr>
                <w:rFonts w:ascii="Arial" w:hAnsi="Arial" w:cs="Arial"/>
                <w:b/>
                <w:sz w:val="28"/>
                <w:szCs w:val="28"/>
              </w:rPr>
            </w:pPr>
          </w:p>
        </w:tc>
        <w:tc>
          <w:tcPr>
            <w:tcW w:w="666" w:type="dxa"/>
            <w:shd w:val="pct25" w:color="auto" w:fill="auto"/>
            <w:vAlign w:val="center"/>
          </w:tcPr>
          <w:p w14:paraId="1B5FCD22" w14:textId="77777777" w:rsidR="00147059" w:rsidRPr="004F2C12" w:rsidRDefault="00147059" w:rsidP="00342FD6">
            <w:pPr>
              <w:jc w:val="center"/>
              <w:rPr>
                <w:rFonts w:ascii="Arial" w:hAnsi="Arial" w:cs="Arial"/>
                <w:b/>
                <w:sz w:val="28"/>
                <w:szCs w:val="28"/>
              </w:rPr>
            </w:pPr>
          </w:p>
        </w:tc>
        <w:tc>
          <w:tcPr>
            <w:tcW w:w="733" w:type="dxa"/>
            <w:shd w:val="clear" w:color="auto" w:fill="C0C0C0"/>
            <w:vAlign w:val="center"/>
          </w:tcPr>
          <w:p w14:paraId="454D4341" w14:textId="77777777" w:rsidR="00147059" w:rsidRPr="004F2C12" w:rsidRDefault="00147059" w:rsidP="00342FD6">
            <w:pPr>
              <w:jc w:val="center"/>
              <w:rPr>
                <w:rFonts w:ascii="Arial" w:hAnsi="Arial" w:cs="Arial"/>
                <w:b/>
                <w:sz w:val="28"/>
                <w:szCs w:val="28"/>
              </w:rPr>
            </w:pPr>
          </w:p>
        </w:tc>
        <w:tc>
          <w:tcPr>
            <w:tcW w:w="544" w:type="dxa"/>
            <w:shd w:val="clear" w:color="auto" w:fill="C0C0C0"/>
            <w:vAlign w:val="center"/>
          </w:tcPr>
          <w:p w14:paraId="4019ED67" w14:textId="77777777" w:rsidR="00147059" w:rsidRPr="004F2C12" w:rsidRDefault="00147059" w:rsidP="00342FD6">
            <w:pPr>
              <w:jc w:val="center"/>
              <w:rPr>
                <w:rFonts w:ascii="Arial" w:hAnsi="Arial" w:cs="Arial"/>
                <w:b/>
                <w:sz w:val="28"/>
                <w:szCs w:val="28"/>
              </w:rPr>
            </w:pPr>
          </w:p>
        </w:tc>
        <w:tc>
          <w:tcPr>
            <w:tcW w:w="700" w:type="dxa"/>
            <w:shd w:val="clear" w:color="auto" w:fill="C0C0C0"/>
            <w:vAlign w:val="center"/>
          </w:tcPr>
          <w:p w14:paraId="3DB56BA0"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73EE9F7B"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24692107" w14:textId="77777777" w:rsidR="00147059" w:rsidRPr="004F2C12" w:rsidRDefault="00147059" w:rsidP="00342FD6">
            <w:pPr>
              <w:jc w:val="center"/>
              <w:rPr>
                <w:rFonts w:ascii="Arial" w:hAnsi="Arial" w:cs="Arial"/>
                <w:b/>
                <w:sz w:val="28"/>
                <w:szCs w:val="28"/>
              </w:rPr>
            </w:pPr>
          </w:p>
        </w:tc>
      </w:tr>
      <w:tr w:rsidR="00147059" w:rsidRPr="004F2C12" w14:paraId="79936BC3" w14:textId="77777777" w:rsidTr="00147059">
        <w:trPr>
          <w:cantSplit/>
          <w:trHeight w:val="432"/>
        </w:trPr>
        <w:tc>
          <w:tcPr>
            <w:tcW w:w="1445" w:type="dxa"/>
            <w:vAlign w:val="bottom"/>
          </w:tcPr>
          <w:p w14:paraId="51C0FD72" w14:textId="77777777" w:rsidR="00147059" w:rsidRPr="00415B99" w:rsidRDefault="00147059" w:rsidP="00342FD6">
            <w:pPr>
              <w:rPr>
                <w:rFonts w:ascii="Arial" w:hAnsi="Arial" w:cs="Arial"/>
                <w:sz w:val="20"/>
                <w:szCs w:val="20"/>
              </w:rPr>
            </w:pPr>
            <w:r w:rsidRPr="000C2353">
              <w:rPr>
                <w:rFonts w:ascii="Arial" w:hAnsi="Arial" w:cs="Arial"/>
                <w:sz w:val="20"/>
                <w:szCs w:val="20"/>
              </w:rPr>
              <w:t>Thawed Apheresis POOLED CRYOPRECIPITATE</w:t>
            </w:r>
          </w:p>
        </w:tc>
        <w:tc>
          <w:tcPr>
            <w:tcW w:w="611" w:type="dxa"/>
            <w:shd w:val="pct25" w:color="auto" w:fill="auto"/>
            <w:vAlign w:val="center"/>
          </w:tcPr>
          <w:p w14:paraId="73C7E357" w14:textId="77777777" w:rsidR="00147059" w:rsidRPr="00720B53" w:rsidRDefault="00147059" w:rsidP="00342FD6">
            <w:pPr>
              <w:jc w:val="center"/>
              <w:rPr>
                <w:rFonts w:ascii="Arial" w:hAnsi="Arial" w:cs="Arial"/>
                <w:sz w:val="28"/>
                <w:szCs w:val="28"/>
              </w:rPr>
            </w:pPr>
          </w:p>
        </w:tc>
        <w:tc>
          <w:tcPr>
            <w:tcW w:w="522" w:type="dxa"/>
            <w:shd w:val="pct25" w:color="auto" w:fill="auto"/>
            <w:vAlign w:val="center"/>
          </w:tcPr>
          <w:p w14:paraId="56697425" w14:textId="77777777" w:rsidR="00147059" w:rsidRPr="004F2C12" w:rsidRDefault="00147059" w:rsidP="00342FD6">
            <w:pPr>
              <w:jc w:val="center"/>
              <w:rPr>
                <w:rFonts w:ascii="Arial" w:hAnsi="Arial" w:cs="Arial"/>
                <w:b/>
                <w:sz w:val="28"/>
                <w:szCs w:val="28"/>
              </w:rPr>
            </w:pPr>
          </w:p>
        </w:tc>
        <w:tc>
          <w:tcPr>
            <w:tcW w:w="444" w:type="dxa"/>
            <w:shd w:val="clear" w:color="auto" w:fill="C0C0C0"/>
            <w:vAlign w:val="center"/>
          </w:tcPr>
          <w:p w14:paraId="26998CE1" w14:textId="77777777" w:rsidR="00147059" w:rsidRPr="004F2C12" w:rsidRDefault="00147059" w:rsidP="00342FD6">
            <w:pPr>
              <w:jc w:val="center"/>
              <w:rPr>
                <w:rFonts w:ascii="Arial" w:hAnsi="Arial" w:cs="Arial"/>
                <w:b/>
                <w:sz w:val="28"/>
                <w:szCs w:val="28"/>
              </w:rPr>
            </w:pPr>
          </w:p>
        </w:tc>
        <w:tc>
          <w:tcPr>
            <w:tcW w:w="577" w:type="dxa"/>
            <w:shd w:val="clear" w:color="auto" w:fill="C0C0C0"/>
            <w:vAlign w:val="center"/>
          </w:tcPr>
          <w:p w14:paraId="6BBE5A9E" w14:textId="77777777" w:rsidR="00147059" w:rsidRPr="004F2C12" w:rsidRDefault="00147059" w:rsidP="00342FD6">
            <w:pPr>
              <w:jc w:val="center"/>
              <w:rPr>
                <w:rFonts w:ascii="Arial" w:hAnsi="Arial" w:cs="Arial"/>
                <w:b/>
                <w:sz w:val="28"/>
                <w:szCs w:val="28"/>
              </w:rPr>
            </w:pPr>
          </w:p>
        </w:tc>
        <w:tc>
          <w:tcPr>
            <w:tcW w:w="800" w:type="dxa"/>
            <w:shd w:val="pct25" w:color="auto" w:fill="auto"/>
            <w:vAlign w:val="center"/>
          </w:tcPr>
          <w:p w14:paraId="00A75929" w14:textId="77777777" w:rsidR="00147059" w:rsidRPr="004F2C12" w:rsidRDefault="00147059" w:rsidP="00342FD6">
            <w:pPr>
              <w:jc w:val="center"/>
              <w:rPr>
                <w:rFonts w:ascii="Arial" w:hAnsi="Arial" w:cs="Arial"/>
                <w:b/>
                <w:sz w:val="28"/>
                <w:szCs w:val="28"/>
              </w:rPr>
            </w:pPr>
          </w:p>
        </w:tc>
        <w:tc>
          <w:tcPr>
            <w:tcW w:w="666" w:type="dxa"/>
            <w:shd w:val="pct25" w:color="auto" w:fill="auto"/>
            <w:vAlign w:val="center"/>
          </w:tcPr>
          <w:p w14:paraId="2F1433D1" w14:textId="77777777" w:rsidR="00147059" w:rsidRPr="004F2C12" w:rsidRDefault="00147059" w:rsidP="00342FD6">
            <w:pPr>
              <w:jc w:val="center"/>
              <w:rPr>
                <w:rFonts w:ascii="Arial" w:hAnsi="Arial" w:cs="Arial"/>
                <w:b/>
                <w:sz w:val="28"/>
                <w:szCs w:val="28"/>
              </w:rPr>
            </w:pPr>
          </w:p>
        </w:tc>
        <w:tc>
          <w:tcPr>
            <w:tcW w:w="733" w:type="dxa"/>
            <w:shd w:val="clear" w:color="auto" w:fill="C0C0C0"/>
            <w:vAlign w:val="center"/>
          </w:tcPr>
          <w:p w14:paraId="35149C10" w14:textId="77777777" w:rsidR="00147059" w:rsidRPr="004F2C12" w:rsidRDefault="00147059" w:rsidP="00342FD6">
            <w:pPr>
              <w:jc w:val="center"/>
              <w:rPr>
                <w:rFonts w:ascii="Arial" w:hAnsi="Arial" w:cs="Arial"/>
                <w:b/>
                <w:sz w:val="28"/>
                <w:szCs w:val="28"/>
              </w:rPr>
            </w:pPr>
          </w:p>
        </w:tc>
        <w:tc>
          <w:tcPr>
            <w:tcW w:w="544" w:type="dxa"/>
            <w:shd w:val="clear" w:color="auto" w:fill="C0C0C0"/>
            <w:vAlign w:val="center"/>
          </w:tcPr>
          <w:p w14:paraId="72B3ED8F" w14:textId="77777777" w:rsidR="00147059" w:rsidRPr="004F2C12" w:rsidRDefault="00147059" w:rsidP="00342FD6">
            <w:pPr>
              <w:jc w:val="center"/>
              <w:rPr>
                <w:rFonts w:ascii="Arial" w:hAnsi="Arial" w:cs="Arial"/>
                <w:b/>
                <w:sz w:val="28"/>
                <w:szCs w:val="28"/>
              </w:rPr>
            </w:pPr>
          </w:p>
        </w:tc>
        <w:tc>
          <w:tcPr>
            <w:tcW w:w="700" w:type="dxa"/>
            <w:shd w:val="clear" w:color="auto" w:fill="C0C0C0"/>
            <w:vAlign w:val="center"/>
          </w:tcPr>
          <w:p w14:paraId="7BAD840A"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4AAF6A3E"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468BBB0B" w14:textId="77777777" w:rsidR="00147059" w:rsidRPr="004F2C12" w:rsidRDefault="00147059" w:rsidP="00342FD6">
            <w:pPr>
              <w:jc w:val="center"/>
              <w:rPr>
                <w:rFonts w:ascii="Arial" w:hAnsi="Arial" w:cs="Arial"/>
                <w:b/>
                <w:sz w:val="28"/>
                <w:szCs w:val="28"/>
              </w:rPr>
            </w:pPr>
          </w:p>
        </w:tc>
      </w:tr>
      <w:tr w:rsidR="00147059" w:rsidRPr="004F2C12" w14:paraId="66ADBB4A" w14:textId="77777777" w:rsidTr="00147059">
        <w:trPr>
          <w:cantSplit/>
          <w:trHeight w:val="432"/>
        </w:trPr>
        <w:tc>
          <w:tcPr>
            <w:tcW w:w="1445" w:type="dxa"/>
            <w:vAlign w:val="bottom"/>
          </w:tcPr>
          <w:p w14:paraId="2799FEB8" w14:textId="77777777" w:rsidR="00147059" w:rsidRPr="00415B99" w:rsidRDefault="00147059" w:rsidP="00342FD6">
            <w:pPr>
              <w:rPr>
                <w:rFonts w:ascii="Arial" w:hAnsi="Arial" w:cs="Arial"/>
                <w:sz w:val="20"/>
                <w:szCs w:val="20"/>
              </w:rPr>
            </w:pPr>
            <w:r w:rsidRPr="000C2353">
              <w:rPr>
                <w:rFonts w:ascii="Arial" w:hAnsi="Arial" w:cs="Arial"/>
                <w:sz w:val="20"/>
                <w:szCs w:val="20"/>
              </w:rPr>
              <w:t>CONVALESCENT PLASMA</w:t>
            </w:r>
          </w:p>
        </w:tc>
        <w:tc>
          <w:tcPr>
            <w:tcW w:w="611" w:type="dxa"/>
            <w:shd w:val="pct25" w:color="auto" w:fill="auto"/>
            <w:vAlign w:val="center"/>
          </w:tcPr>
          <w:p w14:paraId="59CD9B74" w14:textId="77777777" w:rsidR="00147059" w:rsidRPr="00720B53" w:rsidRDefault="00147059" w:rsidP="00342FD6">
            <w:pPr>
              <w:jc w:val="center"/>
              <w:rPr>
                <w:rFonts w:ascii="Arial" w:hAnsi="Arial" w:cs="Arial"/>
                <w:sz w:val="28"/>
                <w:szCs w:val="28"/>
              </w:rPr>
            </w:pPr>
          </w:p>
        </w:tc>
        <w:tc>
          <w:tcPr>
            <w:tcW w:w="522" w:type="dxa"/>
            <w:shd w:val="pct25" w:color="auto" w:fill="auto"/>
            <w:vAlign w:val="center"/>
          </w:tcPr>
          <w:p w14:paraId="3FD19D56" w14:textId="77777777" w:rsidR="00147059" w:rsidRPr="004F2C12" w:rsidRDefault="00147059" w:rsidP="00342FD6">
            <w:pPr>
              <w:jc w:val="center"/>
              <w:rPr>
                <w:rFonts w:ascii="Arial" w:hAnsi="Arial" w:cs="Arial"/>
                <w:b/>
                <w:sz w:val="28"/>
                <w:szCs w:val="28"/>
              </w:rPr>
            </w:pPr>
          </w:p>
        </w:tc>
        <w:tc>
          <w:tcPr>
            <w:tcW w:w="444" w:type="dxa"/>
            <w:shd w:val="clear" w:color="auto" w:fill="C0C0C0"/>
            <w:vAlign w:val="center"/>
          </w:tcPr>
          <w:p w14:paraId="678DD12B" w14:textId="77777777" w:rsidR="00147059" w:rsidRPr="004F2C12" w:rsidRDefault="00147059" w:rsidP="00342FD6">
            <w:pPr>
              <w:jc w:val="center"/>
              <w:rPr>
                <w:rFonts w:ascii="Arial" w:hAnsi="Arial" w:cs="Arial"/>
                <w:b/>
                <w:sz w:val="28"/>
                <w:szCs w:val="28"/>
              </w:rPr>
            </w:pPr>
          </w:p>
        </w:tc>
        <w:tc>
          <w:tcPr>
            <w:tcW w:w="577" w:type="dxa"/>
            <w:shd w:val="clear" w:color="auto" w:fill="C0C0C0"/>
            <w:vAlign w:val="center"/>
          </w:tcPr>
          <w:p w14:paraId="469E5229" w14:textId="77777777" w:rsidR="00147059" w:rsidRPr="004F2C12" w:rsidRDefault="00147059" w:rsidP="00342FD6">
            <w:pPr>
              <w:jc w:val="center"/>
              <w:rPr>
                <w:rFonts w:ascii="Arial" w:hAnsi="Arial" w:cs="Arial"/>
                <w:b/>
                <w:sz w:val="28"/>
                <w:szCs w:val="28"/>
              </w:rPr>
            </w:pPr>
          </w:p>
        </w:tc>
        <w:tc>
          <w:tcPr>
            <w:tcW w:w="800" w:type="dxa"/>
            <w:shd w:val="pct25" w:color="auto" w:fill="auto"/>
            <w:vAlign w:val="center"/>
          </w:tcPr>
          <w:p w14:paraId="42C2CC2E" w14:textId="77777777" w:rsidR="00147059" w:rsidRPr="004F2C12" w:rsidRDefault="00147059" w:rsidP="00342FD6">
            <w:pPr>
              <w:jc w:val="center"/>
              <w:rPr>
                <w:rFonts w:ascii="Arial" w:hAnsi="Arial" w:cs="Arial"/>
                <w:b/>
                <w:sz w:val="28"/>
                <w:szCs w:val="28"/>
              </w:rPr>
            </w:pPr>
          </w:p>
        </w:tc>
        <w:tc>
          <w:tcPr>
            <w:tcW w:w="666" w:type="dxa"/>
            <w:shd w:val="pct25" w:color="auto" w:fill="auto"/>
            <w:vAlign w:val="center"/>
          </w:tcPr>
          <w:p w14:paraId="461FE005" w14:textId="77777777" w:rsidR="00147059" w:rsidRPr="004F2C12" w:rsidRDefault="00147059" w:rsidP="00342FD6">
            <w:pPr>
              <w:jc w:val="center"/>
              <w:rPr>
                <w:rFonts w:ascii="Arial" w:hAnsi="Arial" w:cs="Arial"/>
                <w:b/>
                <w:sz w:val="28"/>
                <w:szCs w:val="28"/>
              </w:rPr>
            </w:pPr>
          </w:p>
        </w:tc>
        <w:tc>
          <w:tcPr>
            <w:tcW w:w="733" w:type="dxa"/>
            <w:shd w:val="clear" w:color="auto" w:fill="C0C0C0"/>
            <w:vAlign w:val="center"/>
          </w:tcPr>
          <w:p w14:paraId="4FE1FB74" w14:textId="77777777" w:rsidR="00147059" w:rsidRPr="004F2C12" w:rsidRDefault="00147059" w:rsidP="00342FD6">
            <w:pPr>
              <w:jc w:val="center"/>
              <w:rPr>
                <w:rFonts w:ascii="Arial" w:hAnsi="Arial" w:cs="Arial"/>
                <w:b/>
                <w:sz w:val="28"/>
                <w:szCs w:val="28"/>
              </w:rPr>
            </w:pPr>
          </w:p>
        </w:tc>
        <w:tc>
          <w:tcPr>
            <w:tcW w:w="544" w:type="dxa"/>
            <w:shd w:val="clear" w:color="auto" w:fill="C0C0C0"/>
            <w:vAlign w:val="center"/>
          </w:tcPr>
          <w:p w14:paraId="2B78709A" w14:textId="77777777" w:rsidR="00147059" w:rsidRPr="004F2C12" w:rsidRDefault="00147059" w:rsidP="00342FD6">
            <w:pPr>
              <w:jc w:val="center"/>
              <w:rPr>
                <w:rFonts w:ascii="Arial" w:hAnsi="Arial" w:cs="Arial"/>
                <w:b/>
                <w:sz w:val="28"/>
                <w:szCs w:val="28"/>
              </w:rPr>
            </w:pPr>
          </w:p>
        </w:tc>
        <w:tc>
          <w:tcPr>
            <w:tcW w:w="700" w:type="dxa"/>
            <w:shd w:val="clear" w:color="auto" w:fill="C0C0C0"/>
            <w:vAlign w:val="center"/>
          </w:tcPr>
          <w:p w14:paraId="46848728"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6541E0BF"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2B57E9B6" w14:textId="77777777" w:rsidR="00147059" w:rsidRPr="004F2C12" w:rsidRDefault="00147059" w:rsidP="00342FD6">
            <w:pPr>
              <w:jc w:val="center"/>
              <w:rPr>
                <w:rFonts w:ascii="Arial" w:hAnsi="Arial" w:cs="Arial"/>
                <w:b/>
                <w:sz w:val="28"/>
                <w:szCs w:val="28"/>
              </w:rPr>
            </w:pPr>
          </w:p>
        </w:tc>
      </w:tr>
      <w:tr w:rsidR="00147059" w:rsidRPr="004F2C12" w14:paraId="616BDD48" w14:textId="77777777" w:rsidTr="00147059">
        <w:trPr>
          <w:cantSplit/>
          <w:trHeight w:val="432"/>
        </w:trPr>
        <w:tc>
          <w:tcPr>
            <w:tcW w:w="1445" w:type="dxa"/>
            <w:vAlign w:val="bottom"/>
          </w:tcPr>
          <w:p w14:paraId="31F6ED5C" w14:textId="77777777" w:rsidR="00147059" w:rsidRPr="00415B99" w:rsidRDefault="00147059" w:rsidP="00342FD6">
            <w:pPr>
              <w:rPr>
                <w:rFonts w:ascii="Arial" w:hAnsi="Arial" w:cs="Arial"/>
                <w:sz w:val="20"/>
                <w:szCs w:val="20"/>
              </w:rPr>
            </w:pPr>
            <w:r w:rsidRPr="000C2353">
              <w:rPr>
                <w:rFonts w:ascii="Arial" w:hAnsi="Arial" w:cs="Arial"/>
                <w:sz w:val="20"/>
                <w:szCs w:val="20"/>
              </w:rPr>
              <w:t>PLATELET LYSATE</w:t>
            </w:r>
          </w:p>
        </w:tc>
        <w:tc>
          <w:tcPr>
            <w:tcW w:w="611" w:type="dxa"/>
            <w:shd w:val="pct25" w:color="auto" w:fill="auto"/>
            <w:vAlign w:val="center"/>
          </w:tcPr>
          <w:p w14:paraId="68FCB657" w14:textId="77777777" w:rsidR="00147059" w:rsidRPr="00720B53" w:rsidRDefault="00147059" w:rsidP="00342FD6">
            <w:pPr>
              <w:jc w:val="center"/>
              <w:rPr>
                <w:rFonts w:ascii="Arial" w:hAnsi="Arial" w:cs="Arial"/>
                <w:sz w:val="28"/>
                <w:szCs w:val="28"/>
              </w:rPr>
            </w:pPr>
          </w:p>
        </w:tc>
        <w:tc>
          <w:tcPr>
            <w:tcW w:w="522" w:type="dxa"/>
            <w:shd w:val="pct25" w:color="auto" w:fill="auto"/>
            <w:vAlign w:val="center"/>
          </w:tcPr>
          <w:p w14:paraId="41EC123B" w14:textId="77777777" w:rsidR="00147059" w:rsidRPr="004F2C12" w:rsidRDefault="00147059" w:rsidP="00342FD6">
            <w:pPr>
              <w:jc w:val="center"/>
              <w:rPr>
                <w:rFonts w:ascii="Arial" w:hAnsi="Arial" w:cs="Arial"/>
                <w:b/>
                <w:sz w:val="28"/>
                <w:szCs w:val="28"/>
              </w:rPr>
            </w:pPr>
          </w:p>
        </w:tc>
        <w:tc>
          <w:tcPr>
            <w:tcW w:w="444" w:type="dxa"/>
            <w:shd w:val="clear" w:color="auto" w:fill="C0C0C0"/>
            <w:vAlign w:val="center"/>
          </w:tcPr>
          <w:p w14:paraId="1884271F" w14:textId="77777777" w:rsidR="00147059" w:rsidRPr="004F2C12" w:rsidRDefault="00147059" w:rsidP="00342FD6">
            <w:pPr>
              <w:jc w:val="center"/>
              <w:rPr>
                <w:rFonts w:ascii="Arial" w:hAnsi="Arial" w:cs="Arial"/>
                <w:b/>
                <w:sz w:val="28"/>
                <w:szCs w:val="28"/>
              </w:rPr>
            </w:pPr>
          </w:p>
        </w:tc>
        <w:tc>
          <w:tcPr>
            <w:tcW w:w="577" w:type="dxa"/>
            <w:shd w:val="clear" w:color="auto" w:fill="C0C0C0"/>
            <w:vAlign w:val="center"/>
          </w:tcPr>
          <w:p w14:paraId="20DD80E4" w14:textId="77777777" w:rsidR="00147059" w:rsidRPr="004F2C12" w:rsidRDefault="00147059" w:rsidP="00342FD6">
            <w:pPr>
              <w:jc w:val="center"/>
              <w:rPr>
                <w:rFonts w:ascii="Arial" w:hAnsi="Arial" w:cs="Arial"/>
                <w:b/>
                <w:sz w:val="28"/>
                <w:szCs w:val="28"/>
              </w:rPr>
            </w:pPr>
          </w:p>
        </w:tc>
        <w:tc>
          <w:tcPr>
            <w:tcW w:w="800" w:type="dxa"/>
            <w:shd w:val="pct25" w:color="auto" w:fill="auto"/>
            <w:vAlign w:val="center"/>
          </w:tcPr>
          <w:p w14:paraId="6CA6803E" w14:textId="77777777" w:rsidR="00147059" w:rsidRPr="004F2C12" w:rsidRDefault="00147059" w:rsidP="00342FD6">
            <w:pPr>
              <w:jc w:val="center"/>
              <w:rPr>
                <w:rFonts w:ascii="Arial" w:hAnsi="Arial" w:cs="Arial"/>
                <w:b/>
                <w:sz w:val="28"/>
                <w:szCs w:val="28"/>
              </w:rPr>
            </w:pPr>
          </w:p>
        </w:tc>
        <w:tc>
          <w:tcPr>
            <w:tcW w:w="666" w:type="dxa"/>
            <w:shd w:val="pct25" w:color="auto" w:fill="auto"/>
            <w:vAlign w:val="center"/>
          </w:tcPr>
          <w:p w14:paraId="4A92CD6C" w14:textId="77777777" w:rsidR="00147059" w:rsidRPr="004F2C12" w:rsidRDefault="00147059" w:rsidP="00342FD6">
            <w:pPr>
              <w:jc w:val="center"/>
              <w:rPr>
                <w:rFonts w:ascii="Arial" w:hAnsi="Arial" w:cs="Arial"/>
                <w:b/>
                <w:sz w:val="28"/>
                <w:szCs w:val="28"/>
              </w:rPr>
            </w:pPr>
          </w:p>
        </w:tc>
        <w:tc>
          <w:tcPr>
            <w:tcW w:w="733" w:type="dxa"/>
            <w:shd w:val="clear" w:color="auto" w:fill="C0C0C0"/>
            <w:vAlign w:val="center"/>
          </w:tcPr>
          <w:p w14:paraId="7CDF8EA8" w14:textId="77777777" w:rsidR="00147059" w:rsidRPr="004F2C12" w:rsidRDefault="00147059" w:rsidP="00342FD6">
            <w:pPr>
              <w:jc w:val="center"/>
              <w:rPr>
                <w:rFonts w:ascii="Arial" w:hAnsi="Arial" w:cs="Arial"/>
                <w:b/>
                <w:sz w:val="28"/>
                <w:szCs w:val="28"/>
              </w:rPr>
            </w:pPr>
          </w:p>
        </w:tc>
        <w:tc>
          <w:tcPr>
            <w:tcW w:w="544" w:type="dxa"/>
            <w:shd w:val="clear" w:color="auto" w:fill="C0C0C0"/>
            <w:vAlign w:val="center"/>
          </w:tcPr>
          <w:p w14:paraId="2770CED9" w14:textId="77777777" w:rsidR="00147059" w:rsidRPr="004F2C12" w:rsidRDefault="00147059" w:rsidP="00342FD6">
            <w:pPr>
              <w:jc w:val="center"/>
              <w:rPr>
                <w:rFonts w:ascii="Arial" w:hAnsi="Arial" w:cs="Arial"/>
                <w:b/>
                <w:sz w:val="28"/>
                <w:szCs w:val="28"/>
              </w:rPr>
            </w:pPr>
          </w:p>
        </w:tc>
        <w:tc>
          <w:tcPr>
            <w:tcW w:w="700" w:type="dxa"/>
            <w:shd w:val="clear" w:color="auto" w:fill="C0C0C0"/>
            <w:vAlign w:val="center"/>
          </w:tcPr>
          <w:p w14:paraId="2DBC3293"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27ECFFC7"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4A1D4EFB" w14:textId="77777777" w:rsidR="00147059" w:rsidRPr="004F2C12" w:rsidRDefault="00147059" w:rsidP="00342FD6">
            <w:pPr>
              <w:jc w:val="center"/>
              <w:rPr>
                <w:rFonts w:ascii="Arial" w:hAnsi="Arial" w:cs="Arial"/>
                <w:b/>
                <w:sz w:val="28"/>
                <w:szCs w:val="28"/>
              </w:rPr>
            </w:pPr>
          </w:p>
        </w:tc>
      </w:tr>
      <w:tr w:rsidR="00147059" w:rsidRPr="004F2C12" w14:paraId="103A1958" w14:textId="77777777" w:rsidTr="00147059">
        <w:trPr>
          <w:cantSplit/>
          <w:trHeight w:val="432"/>
        </w:trPr>
        <w:tc>
          <w:tcPr>
            <w:tcW w:w="1445" w:type="dxa"/>
            <w:vAlign w:val="bottom"/>
          </w:tcPr>
          <w:p w14:paraId="0214F4CB" w14:textId="77777777" w:rsidR="00147059" w:rsidRPr="00415B99" w:rsidRDefault="00147059" w:rsidP="00342FD6">
            <w:pPr>
              <w:rPr>
                <w:rFonts w:ascii="Arial" w:hAnsi="Arial" w:cs="Arial"/>
                <w:sz w:val="20"/>
                <w:szCs w:val="20"/>
              </w:rPr>
            </w:pPr>
            <w:r w:rsidRPr="000C2353">
              <w:rPr>
                <w:rFonts w:ascii="Arial" w:hAnsi="Arial" w:cs="Arial"/>
                <w:sz w:val="20"/>
                <w:szCs w:val="20"/>
              </w:rPr>
              <w:t>Lyophilized POOLED PLASMA</w:t>
            </w:r>
          </w:p>
        </w:tc>
        <w:tc>
          <w:tcPr>
            <w:tcW w:w="611" w:type="dxa"/>
            <w:shd w:val="pct25" w:color="auto" w:fill="auto"/>
            <w:vAlign w:val="center"/>
          </w:tcPr>
          <w:p w14:paraId="78FFB6DB" w14:textId="77777777" w:rsidR="00147059" w:rsidRPr="00720B53" w:rsidRDefault="00147059" w:rsidP="00342FD6">
            <w:pPr>
              <w:jc w:val="center"/>
              <w:rPr>
                <w:rFonts w:ascii="Arial" w:hAnsi="Arial" w:cs="Arial"/>
                <w:sz w:val="28"/>
                <w:szCs w:val="28"/>
              </w:rPr>
            </w:pPr>
          </w:p>
        </w:tc>
        <w:tc>
          <w:tcPr>
            <w:tcW w:w="522" w:type="dxa"/>
            <w:shd w:val="pct25" w:color="auto" w:fill="auto"/>
            <w:vAlign w:val="center"/>
          </w:tcPr>
          <w:p w14:paraId="0516E8B9" w14:textId="77777777" w:rsidR="00147059" w:rsidRPr="004F2C12" w:rsidRDefault="00147059" w:rsidP="00342FD6">
            <w:pPr>
              <w:jc w:val="center"/>
              <w:rPr>
                <w:rFonts w:ascii="Arial" w:hAnsi="Arial" w:cs="Arial"/>
                <w:b/>
                <w:sz w:val="28"/>
                <w:szCs w:val="28"/>
              </w:rPr>
            </w:pPr>
          </w:p>
        </w:tc>
        <w:tc>
          <w:tcPr>
            <w:tcW w:w="444" w:type="dxa"/>
            <w:shd w:val="clear" w:color="auto" w:fill="C0C0C0"/>
            <w:vAlign w:val="center"/>
          </w:tcPr>
          <w:p w14:paraId="5AEAC0AC" w14:textId="77777777" w:rsidR="00147059" w:rsidRPr="004F2C12" w:rsidRDefault="00147059" w:rsidP="00342FD6">
            <w:pPr>
              <w:jc w:val="center"/>
              <w:rPr>
                <w:rFonts w:ascii="Arial" w:hAnsi="Arial" w:cs="Arial"/>
                <w:b/>
                <w:sz w:val="28"/>
                <w:szCs w:val="28"/>
              </w:rPr>
            </w:pPr>
          </w:p>
        </w:tc>
        <w:tc>
          <w:tcPr>
            <w:tcW w:w="577" w:type="dxa"/>
            <w:shd w:val="clear" w:color="auto" w:fill="C0C0C0"/>
            <w:vAlign w:val="center"/>
          </w:tcPr>
          <w:p w14:paraId="7AEE5A8D" w14:textId="77777777" w:rsidR="00147059" w:rsidRPr="004F2C12" w:rsidRDefault="00147059" w:rsidP="00342FD6">
            <w:pPr>
              <w:jc w:val="center"/>
              <w:rPr>
                <w:rFonts w:ascii="Arial" w:hAnsi="Arial" w:cs="Arial"/>
                <w:b/>
                <w:sz w:val="28"/>
                <w:szCs w:val="28"/>
              </w:rPr>
            </w:pPr>
          </w:p>
        </w:tc>
        <w:tc>
          <w:tcPr>
            <w:tcW w:w="800" w:type="dxa"/>
            <w:shd w:val="pct25" w:color="auto" w:fill="auto"/>
            <w:vAlign w:val="center"/>
          </w:tcPr>
          <w:p w14:paraId="2514CBC9" w14:textId="77777777" w:rsidR="00147059" w:rsidRPr="004F2C12" w:rsidRDefault="00147059" w:rsidP="00342FD6">
            <w:pPr>
              <w:jc w:val="center"/>
              <w:rPr>
                <w:rFonts w:ascii="Arial" w:hAnsi="Arial" w:cs="Arial"/>
                <w:b/>
                <w:sz w:val="28"/>
                <w:szCs w:val="28"/>
              </w:rPr>
            </w:pPr>
          </w:p>
        </w:tc>
        <w:tc>
          <w:tcPr>
            <w:tcW w:w="666" w:type="dxa"/>
            <w:shd w:val="pct25" w:color="auto" w:fill="auto"/>
            <w:vAlign w:val="center"/>
          </w:tcPr>
          <w:p w14:paraId="29DA9B8A" w14:textId="77777777" w:rsidR="00147059" w:rsidRPr="004F2C12" w:rsidRDefault="00147059" w:rsidP="00342FD6">
            <w:pPr>
              <w:jc w:val="center"/>
              <w:rPr>
                <w:rFonts w:ascii="Arial" w:hAnsi="Arial" w:cs="Arial"/>
                <w:b/>
                <w:sz w:val="28"/>
                <w:szCs w:val="28"/>
              </w:rPr>
            </w:pPr>
          </w:p>
        </w:tc>
        <w:tc>
          <w:tcPr>
            <w:tcW w:w="733" w:type="dxa"/>
            <w:shd w:val="clear" w:color="auto" w:fill="C0C0C0"/>
            <w:vAlign w:val="center"/>
          </w:tcPr>
          <w:p w14:paraId="428DB57B" w14:textId="77777777" w:rsidR="00147059" w:rsidRPr="004F2C12" w:rsidRDefault="00147059" w:rsidP="00342FD6">
            <w:pPr>
              <w:jc w:val="center"/>
              <w:rPr>
                <w:rFonts w:ascii="Arial" w:hAnsi="Arial" w:cs="Arial"/>
                <w:b/>
                <w:sz w:val="28"/>
                <w:szCs w:val="28"/>
              </w:rPr>
            </w:pPr>
          </w:p>
        </w:tc>
        <w:tc>
          <w:tcPr>
            <w:tcW w:w="544" w:type="dxa"/>
            <w:shd w:val="clear" w:color="auto" w:fill="C0C0C0"/>
            <w:vAlign w:val="center"/>
          </w:tcPr>
          <w:p w14:paraId="5177F9F0" w14:textId="77777777" w:rsidR="00147059" w:rsidRPr="004F2C12" w:rsidRDefault="00147059" w:rsidP="00342FD6">
            <w:pPr>
              <w:jc w:val="center"/>
              <w:rPr>
                <w:rFonts w:ascii="Arial" w:hAnsi="Arial" w:cs="Arial"/>
                <w:b/>
                <w:sz w:val="28"/>
                <w:szCs w:val="28"/>
              </w:rPr>
            </w:pPr>
          </w:p>
        </w:tc>
        <w:tc>
          <w:tcPr>
            <w:tcW w:w="700" w:type="dxa"/>
            <w:shd w:val="clear" w:color="auto" w:fill="C0C0C0"/>
            <w:vAlign w:val="center"/>
          </w:tcPr>
          <w:p w14:paraId="02BC4641"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0BDFEBD5"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2866F10C" w14:textId="77777777" w:rsidR="00147059" w:rsidRPr="004F2C12" w:rsidRDefault="00147059" w:rsidP="00342FD6">
            <w:pPr>
              <w:jc w:val="center"/>
              <w:rPr>
                <w:rFonts w:ascii="Arial" w:hAnsi="Arial" w:cs="Arial"/>
                <w:b/>
                <w:sz w:val="28"/>
                <w:szCs w:val="28"/>
              </w:rPr>
            </w:pPr>
          </w:p>
        </w:tc>
      </w:tr>
      <w:tr w:rsidR="00147059" w:rsidRPr="004F2C12" w14:paraId="13EE9BCB" w14:textId="77777777" w:rsidTr="00147059">
        <w:trPr>
          <w:cantSplit/>
          <w:trHeight w:val="432"/>
        </w:trPr>
        <w:tc>
          <w:tcPr>
            <w:tcW w:w="1445" w:type="dxa"/>
            <w:vAlign w:val="bottom"/>
          </w:tcPr>
          <w:p w14:paraId="1FEAEDD8" w14:textId="77777777" w:rsidR="00147059" w:rsidRPr="00415B99" w:rsidRDefault="00147059" w:rsidP="00342FD6">
            <w:pPr>
              <w:rPr>
                <w:rFonts w:ascii="Arial" w:hAnsi="Arial" w:cs="Arial"/>
                <w:sz w:val="20"/>
                <w:szCs w:val="20"/>
              </w:rPr>
            </w:pPr>
            <w:r w:rsidRPr="000C2353">
              <w:rPr>
                <w:rFonts w:ascii="Arial" w:hAnsi="Arial" w:cs="Arial"/>
                <w:sz w:val="20"/>
                <w:szCs w:val="20"/>
              </w:rPr>
              <w:lastRenderedPageBreak/>
              <w:t>Lyophilized PLATELET-RICH PLASMA</w:t>
            </w:r>
          </w:p>
        </w:tc>
        <w:tc>
          <w:tcPr>
            <w:tcW w:w="611" w:type="dxa"/>
            <w:shd w:val="pct25" w:color="auto" w:fill="auto"/>
            <w:vAlign w:val="center"/>
          </w:tcPr>
          <w:p w14:paraId="12B34163" w14:textId="77777777" w:rsidR="00147059" w:rsidRPr="00720B53" w:rsidRDefault="00147059" w:rsidP="00342FD6">
            <w:pPr>
              <w:jc w:val="center"/>
              <w:rPr>
                <w:rFonts w:ascii="Arial" w:hAnsi="Arial" w:cs="Arial"/>
                <w:sz w:val="28"/>
                <w:szCs w:val="28"/>
              </w:rPr>
            </w:pPr>
          </w:p>
        </w:tc>
        <w:tc>
          <w:tcPr>
            <w:tcW w:w="522" w:type="dxa"/>
            <w:shd w:val="pct25" w:color="auto" w:fill="auto"/>
            <w:vAlign w:val="center"/>
          </w:tcPr>
          <w:p w14:paraId="01E040DB" w14:textId="77777777" w:rsidR="00147059" w:rsidRPr="004F2C12" w:rsidRDefault="00147059" w:rsidP="00342FD6">
            <w:pPr>
              <w:jc w:val="center"/>
              <w:rPr>
                <w:rFonts w:ascii="Arial" w:hAnsi="Arial" w:cs="Arial"/>
                <w:b/>
                <w:sz w:val="28"/>
                <w:szCs w:val="28"/>
              </w:rPr>
            </w:pPr>
          </w:p>
        </w:tc>
        <w:tc>
          <w:tcPr>
            <w:tcW w:w="444" w:type="dxa"/>
            <w:shd w:val="clear" w:color="auto" w:fill="C0C0C0"/>
            <w:vAlign w:val="center"/>
          </w:tcPr>
          <w:p w14:paraId="1324D123" w14:textId="77777777" w:rsidR="00147059" w:rsidRPr="004F2C12" w:rsidRDefault="00147059" w:rsidP="00342FD6">
            <w:pPr>
              <w:jc w:val="center"/>
              <w:rPr>
                <w:rFonts w:ascii="Arial" w:hAnsi="Arial" w:cs="Arial"/>
                <w:b/>
                <w:sz w:val="28"/>
                <w:szCs w:val="28"/>
              </w:rPr>
            </w:pPr>
          </w:p>
        </w:tc>
        <w:tc>
          <w:tcPr>
            <w:tcW w:w="577" w:type="dxa"/>
            <w:shd w:val="clear" w:color="auto" w:fill="C0C0C0"/>
            <w:vAlign w:val="center"/>
          </w:tcPr>
          <w:p w14:paraId="0677F710" w14:textId="77777777" w:rsidR="00147059" w:rsidRPr="004F2C12" w:rsidRDefault="00147059" w:rsidP="00342FD6">
            <w:pPr>
              <w:jc w:val="center"/>
              <w:rPr>
                <w:rFonts w:ascii="Arial" w:hAnsi="Arial" w:cs="Arial"/>
                <w:b/>
                <w:sz w:val="28"/>
                <w:szCs w:val="28"/>
              </w:rPr>
            </w:pPr>
          </w:p>
        </w:tc>
        <w:tc>
          <w:tcPr>
            <w:tcW w:w="800" w:type="dxa"/>
            <w:shd w:val="pct25" w:color="auto" w:fill="auto"/>
            <w:vAlign w:val="center"/>
          </w:tcPr>
          <w:p w14:paraId="434DCA49" w14:textId="77777777" w:rsidR="00147059" w:rsidRPr="004F2C12" w:rsidRDefault="00147059" w:rsidP="00342FD6">
            <w:pPr>
              <w:jc w:val="center"/>
              <w:rPr>
                <w:rFonts w:ascii="Arial" w:hAnsi="Arial" w:cs="Arial"/>
                <w:b/>
                <w:sz w:val="28"/>
                <w:szCs w:val="28"/>
              </w:rPr>
            </w:pPr>
          </w:p>
        </w:tc>
        <w:tc>
          <w:tcPr>
            <w:tcW w:w="666" w:type="dxa"/>
            <w:shd w:val="pct25" w:color="auto" w:fill="auto"/>
            <w:vAlign w:val="center"/>
          </w:tcPr>
          <w:p w14:paraId="1A562DD3" w14:textId="77777777" w:rsidR="00147059" w:rsidRPr="004F2C12" w:rsidRDefault="00147059" w:rsidP="00342FD6">
            <w:pPr>
              <w:jc w:val="center"/>
              <w:rPr>
                <w:rFonts w:ascii="Arial" w:hAnsi="Arial" w:cs="Arial"/>
                <w:b/>
                <w:sz w:val="28"/>
                <w:szCs w:val="28"/>
              </w:rPr>
            </w:pPr>
          </w:p>
        </w:tc>
        <w:tc>
          <w:tcPr>
            <w:tcW w:w="733" w:type="dxa"/>
            <w:shd w:val="clear" w:color="auto" w:fill="C0C0C0"/>
            <w:vAlign w:val="center"/>
          </w:tcPr>
          <w:p w14:paraId="7728A49B" w14:textId="77777777" w:rsidR="00147059" w:rsidRPr="004F2C12" w:rsidRDefault="00147059" w:rsidP="00342FD6">
            <w:pPr>
              <w:jc w:val="center"/>
              <w:rPr>
                <w:rFonts w:ascii="Arial" w:hAnsi="Arial" w:cs="Arial"/>
                <w:b/>
                <w:sz w:val="28"/>
                <w:szCs w:val="28"/>
              </w:rPr>
            </w:pPr>
          </w:p>
        </w:tc>
        <w:tc>
          <w:tcPr>
            <w:tcW w:w="544" w:type="dxa"/>
            <w:shd w:val="clear" w:color="auto" w:fill="C0C0C0"/>
            <w:vAlign w:val="center"/>
          </w:tcPr>
          <w:p w14:paraId="6D3FCDE9" w14:textId="77777777" w:rsidR="00147059" w:rsidRPr="004F2C12" w:rsidRDefault="00147059" w:rsidP="00342FD6">
            <w:pPr>
              <w:jc w:val="center"/>
              <w:rPr>
                <w:rFonts w:ascii="Arial" w:hAnsi="Arial" w:cs="Arial"/>
                <w:b/>
                <w:sz w:val="28"/>
                <w:szCs w:val="28"/>
              </w:rPr>
            </w:pPr>
          </w:p>
        </w:tc>
        <w:tc>
          <w:tcPr>
            <w:tcW w:w="700" w:type="dxa"/>
            <w:shd w:val="clear" w:color="auto" w:fill="C0C0C0"/>
            <w:vAlign w:val="center"/>
          </w:tcPr>
          <w:p w14:paraId="43CB4A5F"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68F0F98C"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7FA2644B" w14:textId="77777777" w:rsidR="00147059" w:rsidRPr="004F2C12" w:rsidRDefault="00147059" w:rsidP="00342FD6">
            <w:pPr>
              <w:jc w:val="center"/>
              <w:rPr>
                <w:rFonts w:ascii="Arial" w:hAnsi="Arial" w:cs="Arial"/>
                <w:b/>
                <w:sz w:val="28"/>
                <w:szCs w:val="28"/>
              </w:rPr>
            </w:pPr>
          </w:p>
        </w:tc>
      </w:tr>
      <w:tr w:rsidR="00147059" w:rsidRPr="004F2C12" w14:paraId="77A3FBF1" w14:textId="77777777" w:rsidTr="00147059">
        <w:trPr>
          <w:cantSplit/>
          <w:trHeight w:val="432"/>
        </w:trPr>
        <w:tc>
          <w:tcPr>
            <w:tcW w:w="1445" w:type="dxa"/>
            <w:vAlign w:val="bottom"/>
          </w:tcPr>
          <w:p w14:paraId="43DB68AD" w14:textId="77777777" w:rsidR="00147059" w:rsidRPr="00415B99" w:rsidRDefault="00147059" w:rsidP="00342FD6">
            <w:pPr>
              <w:rPr>
                <w:rFonts w:ascii="Arial" w:hAnsi="Arial" w:cs="Arial"/>
                <w:sz w:val="20"/>
                <w:szCs w:val="20"/>
              </w:rPr>
            </w:pPr>
            <w:r w:rsidRPr="000C2353">
              <w:rPr>
                <w:rFonts w:ascii="Arial" w:hAnsi="Arial" w:cs="Arial"/>
                <w:sz w:val="20"/>
                <w:szCs w:val="20"/>
              </w:rPr>
              <w:t>Frozen SERUM</w:t>
            </w:r>
          </w:p>
        </w:tc>
        <w:tc>
          <w:tcPr>
            <w:tcW w:w="611" w:type="dxa"/>
            <w:shd w:val="pct25" w:color="auto" w:fill="auto"/>
            <w:vAlign w:val="center"/>
          </w:tcPr>
          <w:p w14:paraId="534B9BF3" w14:textId="77777777" w:rsidR="00147059" w:rsidRPr="00720B53" w:rsidRDefault="00147059" w:rsidP="00342FD6">
            <w:pPr>
              <w:jc w:val="center"/>
              <w:rPr>
                <w:rFonts w:ascii="Arial" w:hAnsi="Arial" w:cs="Arial"/>
                <w:sz w:val="28"/>
                <w:szCs w:val="28"/>
              </w:rPr>
            </w:pPr>
          </w:p>
        </w:tc>
        <w:tc>
          <w:tcPr>
            <w:tcW w:w="522" w:type="dxa"/>
            <w:shd w:val="pct25" w:color="auto" w:fill="auto"/>
            <w:vAlign w:val="center"/>
          </w:tcPr>
          <w:p w14:paraId="16AA90B9" w14:textId="77777777" w:rsidR="00147059" w:rsidRPr="004F2C12" w:rsidRDefault="00147059" w:rsidP="00342FD6">
            <w:pPr>
              <w:jc w:val="center"/>
              <w:rPr>
                <w:rFonts w:ascii="Arial" w:hAnsi="Arial" w:cs="Arial"/>
                <w:b/>
                <w:sz w:val="28"/>
                <w:szCs w:val="28"/>
              </w:rPr>
            </w:pPr>
          </w:p>
        </w:tc>
        <w:tc>
          <w:tcPr>
            <w:tcW w:w="444" w:type="dxa"/>
            <w:shd w:val="clear" w:color="auto" w:fill="C0C0C0"/>
            <w:vAlign w:val="center"/>
          </w:tcPr>
          <w:p w14:paraId="287EBBB6" w14:textId="77777777" w:rsidR="00147059" w:rsidRPr="004F2C12" w:rsidRDefault="00147059" w:rsidP="00342FD6">
            <w:pPr>
              <w:jc w:val="center"/>
              <w:rPr>
                <w:rFonts w:ascii="Arial" w:hAnsi="Arial" w:cs="Arial"/>
                <w:b/>
                <w:sz w:val="28"/>
                <w:szCs w:val="28"/>
              </w:rPr>
            </w:pPr>
          </w:p>
        </w:tc>
        <w:tc>
          <w:tcPr>
            <w:tcW w:w="577" w:type="dxa"/>
            <w:shd w:val="clear" w:color="auto" w:fill="C0C0C0"/>
            <w:vAlign w:val="center"/>
          </w:tcPr>
          <w:p w14:paraId="20F3F8EE" w14:textId="77777777" w:rsidR="00147059" w:rsidRPr="004F2C12" w:rsidRDefault="00147059" w:rsidP="00342FD6">
            <w:pPr>
              <w:jc w:val="center"/>
              <w:rPr>
                <w:rFonts w:ascii="Arial" w:hAnsi="Arial" w:cs="Arial"/>
                <w:b/>
                <w:sz w:val="28"/>
                <w:szCs w:val="28"/>
              </w:rPr>
            </w:pPr>
          </w:p>
        </w:tc>
        <w:tc>
          <w:tcPr>
            <w:tcW w:w="800" w:type="dxa"/>
            <w:shd w:val="pct25" w:color="auto" w:fill="auto"/>
            <w:vAlign w:val="center"/>
          </w:tcPr>
          <w:p w14:paraId="4AA184B2" w14:textId="77777777" w:rsidR="00147059" w:rsidRPr="004F2C12" w:rsidRDefault="00147059" w:rsidP="00342FD6">
            <w:pPr>
              <w:jc w:val="center"/>
              <w:rPr>
                <w:rFonts w:ascii="Arial" w:hAnsi="Arial" w:cs="Arial"/>
                <w:b/>
                <w:sz w:val="28"/>
                <w:szCs w:val="28"/>
              </w:rPr>
            </w:pPr>
          </w:p>
        </w:tc>
        <w:tc>
          <w:tcPr>
            <w:tcW w:w="666" w:type="dxa"/>
            <w:shd w:val="pct25" w:color="auto" w:fill="auto"/>
            <w:vAlign w:val="center"/>
          </w:tcPr>
          <w:p w14:paraId="316C9062" w14:textId="77777777" w:rsidR="00147059" w:rsidRPr="004F2C12" w:rsidRDefault="00147059" w:rsidP="00342FD6">
            <w:pPr>
              <w:jc w:val="center"/>
              <w:rPr>
                <w:rFonts w:ascii="Arial" w:hAnsi="Arial" w:cs="Arial"/>
                <w:b/>
                <w:sz w:val="28"/>
                <w:szCs w:val="28"/>
              </w:rPr>
            </w:pPr>
          </w:p>
        </w:tc>
        <w:tc>
          <w:tcPr>
            <w:tcW w:w="733" w:type="dxa"/>
            <w:shd w:val="clear" w:color="auto" w:fill="C0C0C0"/>
            <w:vAlign w:val="center"/>
          </w:tcPr>
          <w:p w14:paraId="2CEBD2C6" w14:textId="77777777" w:rsidR="00147059" w:rsidRPr="004F2C12" w:rsidRDefault="00147059" w:rsidP="00342FD6">
            <w:pPr>
              <w:jc w:val="center"/>
              <w:rPr>
                <w:rFonts w:ascii="Arial" w:hAnsi="Arial" w:cs="Arial"/>
                <w:b/>
                <w:sz w:val="28"/>
                <w:szCs w:val="28"/>
              </w:rPr>
            </w:pPr>
          </w:p>
        </w:tc>
        <w:tc>
          <w:tcPr>
            <w:tcW w:w="544" w:type="dxa"/>
            <w:shd w:val="clear" w:color="auto" w:fill="C0C0C0"/>
            <w:vAlign w:val="center"/>
          </w:tcPr>
          <w:p w14:paraId="6E01C13B" w14:textId="77777777" w:rsidR="00147059" w:rsidRPr="004F2C12" w:rsidRDefault="00147059" w:rsidP="00342FD6">
            <w:pPr>
              <w:jc w:val="center"/>
              <w:rPr>
                <w:rFonts w:ascii="Arial" w:hAnsi="Arial" w:cs="Arial"/>
                <w:b/>
                <w:sz w:val="28"/>
                <w:szCs w:val="28"/>
              </w:rPr>
            </w:pPr>
          </w:p>
        </w:tc>
        <w:tc>
          <w:tcPr>
            <w:tcW w:w="700" w:type="dxa"/>
            <w:shd w:val="clear" w:color="auto" w:fill="C0C0C0"/>
            <w:vAlign w:val="center"/>
          </w:tcPr>
          <w:p w14:paraId="545EE354"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5743E0C3"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62126B1C" w14:textId="77777777" w:rsidR="00147059" w:rsidRPr="004F2C12" w:rsidRDefault="00147059" w:rsidP="00342FD6">
            <w:pPr>
              <w:jc w:val="center"/>
              <w:rPr>
                <w:rFonts w:ascii="Arial" w:hAnsi="Arial" w:cs="Arial"/>
                <w:b/>
                <w:sz w:val="28"/>
                <w:szCs w:val="28"/>
              </w:rPr>
            </w:pPr>
          </w:p>
        </w:tc>
      </w:tr>
      <w:tr w:rsidR="00147059" w:rsidRPr="004F2C12" w14:paraId="49113A7A" w14:textId="77777777" w:rsidTr="00147059">
        <w:trPr>
          <w:cantSplit/>
          <w:trHeight w:val="432"/>
        </w:trPr>
        <w:tc>
          <w:tcPr>
            <w:tcW w:w="1445" w:type="dxa"/>
            <w:vAlign w:val="bottom"/>
          </w:tcPr>
          <w:p w14:paraId="69054688" w14:textId="77777777" w:rsidR="00147059" w:rsidRPr="00415B99" w:rsidRDefault="00147059" w:rsidP="00342FD6">
            <w:pPr>
              <w:rPr>
                <w:rFonts w:ascii="Arial" w:hAnsi="Arial" w:cs="Arial"/>
                <w:sz w:val="20"/>
                <w:szCs w:val="20"/>
              </w:rPr>
            </w:pPr>
            <w:r w:rsidRPr="000C2353">
              <w:rPr>
                <w:rFonts w:ascii="Arial" w:hAnsi="Arial" w:cs="Arial"/>
                <w:sz w:val="20"/>
                <w:szCs w:val="20"/>
              </w:rPr>
              <w:t>Lyophilized Apheresis FRESH FROZEN PLASMA</w:t>
            </w:r>
          </w:p>
        </w:tc>
        <w:tc>
          <w:tcPr>
            <w:tcW w:w="611" w:type="dxa"/>
            <w:shd w:val="pct25" w:color="auto" w:fill="auto"/>
            <w:vAlign w:val="center"/>
          </w:tcPr>
          <w:p w14:paraId="0A6FC486" w14:textId="77777777" w:rsidR="00147059" w:rsidRPr="00720B53" w:rsidRDefault="00147059" w:rsidP="00342FD6">
            <w:pPr>
              <w:jc w:val="center"/>
              <w:rPr>
                <w:rFonts w:ascii="Arial" w:hAnsi="Arial" w:cs="Arial"/>
                <w:sz w:val="28"/>
                <w:szCs w:val="28"/>
              </w:rPr>
            </w:pPr>
          </w:p>
        </w:tc>
        <w:tc>
          <w:tcPr>
            <w:tcW w:w="522" w:type="dxa"/>
            <w:shd w:val="pct25" w:color="auto" w:fill="auto"/>
            <w:vAlign w:val="center"/>
          </w:tcPr>
          <w:p w14:paraId="7CD2F87B" w14:textId="77777777" w:rsidR="00147059" w:rsidRPr="004F2C12" w:rsidRDefault="00147059" w:rsidP="00342FD6">
            <w:pPr>
              <w:jc w:val="center"/>
              <w:rPr>
                <w:rFonts w:ascii="Arial" w:hAnsi="Arial" w:cs="Arial"/>
                <w:b/>
                <w:sz w:val="28"/>
                <w:szCs w:val="28"/>
              </w:rPr>
            </w:pPr>
          </w:p>
        </w:tc>
        <w:tc>
          <w:tcPr>
            <w:tcW w:w="444" w:type="dxa"/>
            <w:shd w:val="clear" w:color="auto" w:fill="C0C0C0"/>
            <w:vAlign w:val="center"/>
          </w:tcPr>
          <w:p w14:paraId="4493828A" w14:textId="77777777" w:rsidR="00147059" w:rsidRPr="004F2C12" w:rsidRDefault="00147059" w:rsidP="00342FD6">
            <w:pPr>
              <w:jc w:val="center"/>
              <w:rPr>
                <w:rFonts w:ascii="Arial" w:hAnsi="Arial" w:cs="Arial"/>
                <w:b/>
                <w:sz w:val="28"/>
                <w:szCs w:val="28"/>
              </w:rPr>
            </w:pPr>
          </w:p>
        </w:tc>
        <w:tc>
          <w:tcPr>
            <w:tcW w:w="577" w:type="dxa"/>
            <w:shd w:val="clear" w:color="auto" w:fill="C0C0C0"/>
            <w:vAlign w:val="center"/>
          </w:tcPr>
          <w:p w14:paraId="6A03CBB6" w14:textId="77777777" w:rsidR="00147059" w:rsidRPr="004F2C12" w:rsidRDefault="00147059" w:rsidP="00342FD6">
            <w:pPr>
              <w:jc w:val="center"/>
              <w:rPr>
                <w:rFonts w:ascii="Arial" w:hAnsi="Arial" w:cs="Arial"/>
                <w:b/>
                <w:sz w:val="28"/>
                <w:szCs w:val="28"/>
              </w:rPr>
            </w:pPr>
          </w:p>
        </w:tc>
        <w:tc>
          <w:tcPr>
            <w:tcW w:w="800" w:type="dxa"/>
            <w:shd w:val="pct25" w:color="auto" w:fill="auto"/>
            <w:vAlign w:val="center"/>
          </w:tcPr>
          <w:p w14:paraId="2EAAEE51" w14:textId="77777777" w:rsidR="00147059" w:rsidRPr="004F2C12" w:rsidRDefault="00147059" w:rsidP="00342FD6">
            <w:pPr>
              <w:jc w:val="center"/>
              <w:rPr>
                <w:rFonts w:ascii="Arial" w:hAnsi="Arial" w:cs="Arial"/>
                <w:b/>
                <w:sz w:val="28"/>
                <w:szCs w:val="28"/>
              </w:rPr>
            </w:pPr>
          </w:p>
        </w:tc>
        <w:tc>
          <w:tcPr>
            <w:tcW w:w="666" w:type="dxa"/>
            <w:shd w:val="pct25" w:color="auto" w:fill="auto"/>
            <w:vAlign w:val="center"/>
          </w:tcPr>
          <w:p w14:paraId="6E857429" w14:textId="77777777" w:rsidR="00147059" w:rsidRPr="004F2C12" w:rsidRDefault="00147059" w:rsidP="00342FD6">
            <w:pPr>
              <w:jc w:val="center"/>
              <w:rPr>
                <w:rFonts w:ascii="Arial" w:hAnsi="Arial" w:cs="Arial"/>
                <w:b/>
                <w:sz w:val="28"/>
                <w:szCs w:val="28"/>
              </w:rPr>
            </w:pPr>
          </w:p>
        </w:tc>
        <w:tc>
          <w:tcPr>
            <w:tcW w:w="733" w:type="dxa"/>
            <w:shd w:val="clear" w:color="auto" w:fill="C0C0C0"/>
            <w:vAlign w:val="center"/>
          </w:tcPr>
          <w:p w14:paraId="10C647D4" w14:textId="77777777" w:rsidR="00147059" w:rsidRPr="004F2C12" w:rsidRDefault="00147059" w:rsidP="00342FD6">
            <w:pPr>
              <w:jc w:val="center"/>
              <w:rPr>
                <w:rFonts w:ascii="Arial" w:hAnsi="Arial" w:cs="Arial"/>
                <w:b/>
                <w:sz w:val="28"/>
                <w:szCs w:val="28"/>
              </w:rPr>
            </w:pPr>
          </w:p>
        </w:tc>
        <w:tc>
          <w:tcPr>
            <w:tcW w:w="544" w:type="dxa"/>
            <w:shd w:val="clear" w:color="auto" w:fill="C0C0C0"/>
            <w:vAlign w:val="center"/>
          </w:tcPr>
          <w:p w14:paraId="21BE381B" w14:textId="77777777" w:rsidR="00147059" w:rsidRPr="004F2C12" w:rsidRDefault="00147059" w:rsidP="00342FD6">
            <w:pPr>
              <w:jc w:val="center"/>
              <w:rPr>
                <w:rFonts w:ascii="Arial" w:hAnsi="Arial" w:cs="Arial"/>
                <w:b/>
                <w:sz w:val="28"/>
                <w:szCs w:val="28"/>
              </w:rPr>
            </w:pPr>
          </w:p>
        </w:tc>
        <w:tc>
          <w:tcPr>
            <w:tcW w:w="700" w:type="dxa"/>
            <w:shd w:val="clear" w:color="auto" w:fill="C0C0C0"/>
            <w:vAlign w:val="center"/>
          </w:tcPr>
          <w:p w14:paraId="197B1E1B"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233EB16D"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37295E3E" w14:textId="77777777" w:rsidR="00147059" w:rsidRPr="004F2C12" w:rsidRDefault="00147059" w:rsidP="00342FD6">
            <w:pPr>
              <w:jc w:val="center"/>
              <w:rPr>
                <w:rFonts w:ascii="Arial" w:hAnsi="Arial" w:cs="Arial"/>
                <w:b/>
                <w:sz w:val="28"/>
                <w:szCs w:val="28"/>
              </w:rPr>
            </w:pPr>
          </w:p>
        </w:tc>
      </w:tr>
      <w:tr w:rsidR="00147059" w:rsidRPr="004F2C12" w14:paraId="24422E2F" w14:textId="77777777" w:rsidTr="00147059">
        <w:trPr>
          <w:cantSplit/>
          <w:trHeight w:val="432"/>
        </w:trPr>
        <w:tc>
          <w:tcPr>
            <w:tcW w:w="1445" w:type="dxa"/>
            <w:vAlign w:val="bottom"/>
          </w:tcPr>
          <w:p w14:paraId="34FD3EE0" w14:textId="77777777" w:rsidR="00147059" w:rsidRPr="00415B99" w:rsidRDefault="00147059" w:rsidP="00342FD6">
            <w:pPr>
              <w:rPr>
                <w:rFonts w:ascii="Arial" w:hAnsi="Arial" w:cs="Arial"/>
                <w:sz w:val="20"/>
                <w:szCs w:val="20"/>
              </w:rPr>
            </w:pPr>
            <w:r w:rsidRPr="000C2353">
              <w:rPr>
                <w:rFonts w:ascii="Arial" w:hAnsi="Arial" w:cs="Arial"/>
                <w:sz w:val="20"/>
                <w:szCs w:val="20"/>
              </w:rPr>
              <w:t>IMMUNE PLASMA</w:t>
            </w:r>
          </w:p>
        </w:tc>
        <w:tc>
          <w:tcPr>
            <w:tcW w:w="611" w:type="dxa"/>
            <w:shd w:val="pct25" w:color="auto" w:fill="auto"/>
            <w:vAlign w:val="center"/>
          </w:tcPr>
          <w:p w14:paraId="7261E812" w14:textId="77777777" w:rsidR="00147059" w:rsidRPr="00720B53" w:rsidRDefault="00147059" w:rsidP="00342FD6">
            <w:pPr>
              <w:jc w:val="center"/>
              <w:rPr>
                <w:rFonts w:ascii="Arial" w:hAnsi="Arial" w:cs="Arial"/>
                <w:sz w:val="28"/>
                <w:szCs w:val="28"/>
              </w:rPr>
            </w:pPr>
          </w:p>
        </w:tc>
        <w:tc>
          <w:tcPr>
            <w:tcW w:w="522" w:type="dxa"/>
            <w:shd w:val="pct25" w:color="auto" w:fill="auto"/>
            <w:vAlign w:val="center"/>
          </w:tcPr>
          <w:p w14:paraId="3110EC6E" w14:textId="77777777" w:rsidR="00147059" w:rsidRPr="004F2C12" w:rsidRDefault="00147059" w:rsidP="00342FD6">
            <w:pPr>
              <w:jc w:val="center"/>
              <w:rPr>
                <w:rFonts w:ascii="Arial" w:hAnsi="Arial" w:cs="Arial"/>
                <w:b/>
                <w:sz w:val="28"/>
                <w:szCs w:val="28"/>
              </w:rPr>
            </w:pPr>
          </w:p>
        </w:tc>
        <w:tc>
          <w:tcPr>
            <w:tcW w:w="444" w:type="dxa"/>
            <w:shd w:val="clear" w:color="auto" w:fill="C0C0C0"/>
            <w:vAlign w:val="center"/>
          </w:tcPr>
          <w:p w14:paraId="714B1565" w14:textId="77777777" w:rsidR="00147059" w:rsidRPr="004F2C12" w:rsidRDefault="00147059" w:rsidP="00342FD6">
            <w:pPr>
              <w:jc w:val="center"/>
              <w:rPr>
                <w:rFonts w:ascii="Arial" w:hAnsi="Arial" w:cs="Arial"/>
                <w:b/>
                <w:sz w:val="28"/>
                <w:szCs w:val="28"/>
              </w:rPr>
            </w:pPr>
          </w:p>
        </w:tc>
        <w:tc>
          <w:tcPr>
            <w:tcW w:w="577" w:type="dxa"/>
            <w:shd w:val="clear" w:color="auto" w:fill="C0C0C0"/>
            <w:vAlign w:val="center"/>
          </w:tcPr>
          <w:p w14:paraId="6880B0EF" w14:textId="77777777" w:rsidR="00147059" w:rsidRPr="004F2C12" w:rsidRDefault="00147059" w:rsidP="00342FD6">
            <w:pPr>
              <w:jc w:val="center"/>
              <w:rPr>
                <w:rFonts w:ascii="Arial" w:hAnsi="Arial" w:cs="Arial"/>
                <w:b/>
                <w:sz w:val="28"/>
                <w:szCs w:val="28"/>
              </w:rPr>
            </w:pPr>
          </w:p>
        </w:tc>
        <w:tc>
          <w:tcPr>
            <w:tcW w:w="800" w:type="dxa"/>
            <w:shd w:val="pct25" w:color="auto" w:fill="auto"/>
            <w:vAlign w:val="center"/>
          </w:tcPr>
          <w:p w14:paraId="2C10BABC" w14:textId="77777777" w:rsidR="00147059" w:rsidRPr="004F2C12" w:rsidRDefault="00147059" w:rsidP="00342FD6">
            <w:pPr>
              <w:jc w:val="center"/>
              <w:rPr>
                <w:rFonts w:ascii="Arial" w:hAnsi="Arial" w:cs="Arial"/>
                <w:b/>
                <w:sz w:val="28"/>
                <w:szCs w:val="28"/>
              </w:rPr>
            </w:pPr>
          </w:p>
        </w:tc>
        <w:tc>
          <w:tcPr>
            <w:tcW w:w="666" w:type="dxa"/>
            <w:shd w:val="pct25" w:color="auto" w:fill="auto"/>
            <w:vAlign w:val="center"/>
          </w:tcPr>
          <w:p w14:paraId="18D88615" w14:textId="77777777" w:rsidR="00147059" w:rsidRPr="004F2C12" w:rsidRDefault="00147059" w:rsidP="00342FD6">
            <w:pPr>
              <w:jc w:val="center"/>
              <w:rPr>
                <w:rFonts w:ascii="Arial" w:hAnsi="Arial" w:cs="Arial"/>
                <w:b/>
                <w:sz w:val="28"/>
                <w:szCs w:val="28"/>
              </w:rPr>
            </w:pPr>
          </w:p>
        </w:tc>
        <w:tc>
          <w:tcPr>
            <w:tcW w:w="733" w:type="dxa"/>
            <w:shd w:val="clear" w:color="auto" w:fill="C0C0C0"/>
            <w:vAlign w:val="center"/>
          </w:tcPr>
          <w:p w14:paraId="459C878E" w14:textId="77777777" w:rsidR="00147059" w:rsidRPr="004F2C12" w:rsidRDefault="00147059" w:rsidP="00342FD6">
            <w:pPr>
              <w:jc w:val="center"/>
              <w:rPr>
                <w:rFonts w:ascii="Arial" w:hAnsi="Arial" w:cs="Arial"/>
                <w:b/>
                <w:sz w:val="28"/>
                <w:szCs w:val="28"/>
              </w:rPr>
            </w:pPr>
          </w:p>
        </w:tc>
        <w:tc>
          <w:tcPr>
            <w:tcW w:w="544" w:type="dxa"/>
            <w:shd w:val="clear" w:color="auto" w:fill="C0C0C0"/>
            <w:vAlign w:val="center"/>
          </w:tcPr>
          <w:p w14:paraId="210927B5" w14:textId="77777777" w:rsidR="00147059" w:rsidRPr="004F2C12" w:rsidRDefault="00147059" w:rsidP="00342FD6">
            <w:pPr>
              <w:jc w:val="center"/>
              <w:rPr>
                <w:rFonts w:ascii="Arial" w:hAnsi="Arial" w:cs="Arial"/>
                <w:b/>
                <w:sz w:val="28"/>
                <w:szCs w:val="28"/>
              </w:rPr>
            </w:pPr>
          </w:p>
        </w:tc>
        <w:tc>
          <w:tcPr>
            <w:tcW w:w="700" w:type="dxa"/>
            <w:shd w:val="clear" w:color="auto" w:fill="C0C0C0"/>
            <w:vAlign w:val="center"/>
          </w:tcPr>
          <w:p w14:paraId="77450B6A"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2ED3D858"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101F851C" w14:textId="77777777" w:rsidR="00147059" w:rsidRPr="004F2C12" w:rsidRDefault="00147059" w:rsidP="00342FD6">
            <w:pPr>
              <w:jc w:val="center"/>
              <w:rPr>
                <w:rFonts w:ascii="Arial" w:hAnsi="Arial" w:cs="Arial"/>
                <w:b/>
                <w:sz w:val="28"/>
                <w:szCs w:val="28"/>
              </w:rPr>
            </w:pPr>
          </w:p>
        </w:tc>
      </w:tr>
      <w:tr w:rsidR="00147059" w:rsidRPr="004F2C12" w14:paraId="4D2378E7" w14:textId="77777777" w:rsidTr="00147059">
        <w:trPr>
          <w:cantSplit/>
          <w:trHeight w:val="432"/>
        </w:trPr>
        <w:tc>
          <w:tcPr>
            <w:tcW w:w="1445" w:type="dxa"/>
            <w:vAlign w:val="bottom"/>
          </w:tcPr>
          <w:p w14:paraId="19F27E98" w14:textId="77777777" w:rsidR="00147059" w:rsidRPr="00415B99" w:rsidRDefault="00147059" w:rsidP="00342FD6">
            <w:pPr>
              <w:rPr>
                <w:rFonts w:ascii="Arial" w:hAnsi="Arial" w:cs="Arial"/>
                <w:sz w:val="20"/>
                <w:szCs w:val="20"/>
              </w:rPr>
            </w:pPr>
            <w:r w:rsidRPr="000C2353">
              <w:rPr>
                <w:rFonts w:ascii="Arial" w:hAnsi="Arial" w:cs="Arial"/>
                <w:sz w:val="20"/>
                <w:szCs w:val="20"/>
              </w:rPr>
              <w:t>Apheresis IMMUNE PLASMA</w:t>
            </w:r>
          </w:p>
        </w:tc>
        <w:tc>
          <w:tcPr>
            <w:tcW w:w="611" w:type="dxa"/>
            <w:shd w:val="pct25" w:color="auto" w:fill="auto"/>
            <w:vAlign w:val="center"/>
          </w:tcPr>
          <w:p w14:paraId="06EF4592" w14:textId="77777777" w:rsidR="00147059" w:rsidRPr="00720B53" w:rsidRDefault="00147059" w:rsidP="00342FD6">
            <w:pPr>
              <w:jc w:val="center"/>
              <w:rPr>
                <w:rFonts w:ascii="Arial" w:hAnsi="Arial" w:cs="Arial"/>
                <w:sz w:val="28"/>
                <w:szCs w:val="28"/>
              </w:rPr>
            </w:pPr>
          </w:p>
        </w:tc>
        <w:tc>
          <w:tcPr>
            <w:tcW w:w="522" w:type="dxa"/>
            <w:shd w:val="pct25" w:color="auto" w:fill="auto"/>
            <w:vAlign w:val="center"/>
          </w:tcPr>
          <w:p w14:paraId="244C95EF" w14:textId="77777777" w:rsidR="00147059" w:rsidRPr="004F2C12" w:rsidRDefault="00147059" w:rsidP="00342FD6">
            <w:pPr>
              <w:jc w:val="center"/>
              <w:rPr>
                <w:rFonts w:ascii="Arial" w:hAnsi="Arial" w:cs="Arial"/>
                <w:b/>
                <w:sz w:val="28"/>
                <w:szCs w:val="28"/>
              </w:rPr>
            </w:pPr>
          </w:p>
        </w:tc>
        <w:tc>
          <w:tcPr>
            <w:tcW w:w="444" w:type="dxa"/>
            <w:shd w:val="clear" w:color="auto" w:fill="C0C0C0"/>
            <w:vAlign w:val="center"/>
          </w:tcPr>
          <w:p w14:paraId="2920A587" w14:textId="77777777" w:rsidR="00147059" w:rsidRPr="004F2C12" w:rsidRDefault="00147059" w:rsidP="00342FD6">
            <w:pPr>
              <w:jc w:val="center"/>
              <w:rPr>
                <w:rFonts w:ascii="Arial" w:hAnsi="Arial" w:cs="Arial"/>
                <w:b/>
                <w:sz w:val="28"/>
                <w:szCs w:val="28"/>
              </w:rPr>
            </w:pPr>
          </w:p>
        </w:tc>
        <w:tc>
          <w:tcPr>
            <w:tcW w:w="577" w:type="dxa"/>
            <w:shd w:val="clear" w:color="auto" w:fill="C0C0C0"/>
            <w:vAlign w:val="center"/>
          </w:tcPr>
          <w:p w14:paraId="647AEC41" w14:textId="77777777" w:rsidR="00147059" w:rsidRPr="004F2C12" w:rsidRDefault="00147059" w:rsidP="00342FD6">
            <w:pPr>
              <w:jc w:val="center"/>
              <w:rPr>
                <w:rFonts w:ascii="Arial" w:hAnsi="Arial" w:cs="Arial"/>
                <w:b/>
                <w:sz w:val="28"/>
                <w:szCs w:val="28"/>
              </w:rPr>
            </w:pPr>
          </w:p>
        </w:tc>
        <w:tc>
          <w:tcPr>
            <w:tcW w:w="800" w:type="dxa"/>
            <w:shd w:val="pct25" w:color="auto" w:fill="auto"/>
            <w:vAlign w:val="center"/>
          </w:tcPr>
          <w:p w14:paraId="5AC66D00" w14:textId="77777777" w:rsidR="00147059" w:rsidRPr="004F2C12" w:rsidRDefault="00147059" w:rsidP="00342FD6">
            <w:pPr>
              <w:jc w:val="center"/>
              <w:rPr>
                <w:rFonts w:ascii="Arial" w:hAnsi="Arial" w:cs="Arial"/>
                <w:b/>
                <w:sz w:val="28"/>
                <w:szCs w:val="28"/>
              </w:rPr>
            </w:pPr>
          </w:p>
        </w:tc>
        <w:tc>
          <w:tcPr>
            <w:tcW w:w="666" w:type="dxa"/>
            <w:shd w:val="pct25" w:color="auto" w:fill="auto"/>
            <w:vAlign w:val="center"/>
          </w:tcPr>
          <w:p w14:paraId="09508EB7" w14:textId="77777777" w:rsidR="00147059" w:rsidRPr="004F2C12" w:rsidRDefault="00147059" w:rsidP="00342FD6">
            <w:pPr>
              <w:jc w:val="center"/>
              <w:rPr>
                <w:rFonts w:ascii="Arial" w:hAnsi="Arial" w:cs="Arial"/>
                <w:b/>
                <w:sz w:val="28"/>
                <w:szCs w:val="28"/>
              </w:rPr>
            </w:pPr>
          </w:p>
        </w:tc>
        <w:tc>
          <w:tcPr>
            <w:tcW w:w="733" w:type="dxa"/>
            <w:shd w:val="clear" w:color="auto" w:fill="C0C0C0"/>
            <w:vAlign w:val="center"/>
          </w:tcPr>
          <w:p w14:paraId="727FC3AA" w14:textId="77777777" w:rsidR="00147059" w:rsidRPr="004F2C12" w:rsidRDefault="00147059" w:rsidP="00342FD6">
            <w:pPr>
              <w:jc w:val="center"/>
              <w:rPr>
                <w:rFonts w:ascii="Arial" w:hAnsi="Arial" w:cs="Arial"/>
                <w:b/>
                <w:sz w:val="28"/>
                <w:szCs w:val="28"/>
              </w:rPr>
            </w:pPr>
          </w:p>
        </w:tc>
        <w:tc>
          <w:tcPr>
            <w:tcW w:w="544" w:type="dxa"/>
            <w:shd w:val="clear" w:color="auto" w:fill="C0C0C0"/>
            <w:vAlign w:val="center"/>
          </w:tcPr>
          <w:p w14:paraId="2A825203" w14:textId="77777777" w:rsidR="00147059" w:rsidRPr="004F2C12" w:rsidRDefault="00147059" w:rsidP="00342FD6">
            <w:pPr>
              <w:jc w:val="center"/>
              <w:rPr>
                <w:rFonts w:ascii="Arial" w:hAnsi="Arial" w:cs="Arial"/>
                <w:b/>
                <w:sz w:val="28"/>
                <w:szCs w:val="28"/>
              </w:rPr>
            </w:pPr>
          </w:p>
        </w:tc>
        <w:tc>
          <w:tcPr>
            <w:tcW w:w="700" w:type="dxa"/>
            <w:shd w:val="clear" w:color="auto" w:fill="C0C0C0"/>
            <w:vAlign w:val="center"/>
          </w:tcPr>
          <w:p w14:paraId="6490FD4D"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2952665D"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592DCD22" w14:textId="77777777" w:rsidR="00147059" w:rsidRPr="004F2C12" w:rsidRDefault="00147059" w:rsidP="00342FD6">
            <w:pPr>
              <w:jc w:val="center"/>
              <w:rPr>
                <w:rFonts w:ascii="Arial" w:hAnsi="Arial" w:cs="Arial"/>
                <w:b/>
                <w:sz w:val="28"/>
                <w:szCs w:val="28"/>
              </w:rPr>
            </w:pPr>
          </w:p>
        </w:tc>
      </w:tr>
      <w:tr w:rsidR="00147059" w:rsidRPr="004F2C12" w14:paraId="3C014412" w14:textId="77777777" w:rsidTr="00147059">
        <w:trPr>
          <w:cantSplit/>
          <w:trHeight w:val="432"/>
        </w:trPr>
        <w:tc>
          <w:tcPr>
            <w:tcW w:w="1445" w:type="dxa"/>
            <w:vAlign w:val="bottom"/>
          </w:tcPr>
          <w:p w14:paraId="64E210CE" w14:textId="77777777" w:rsidR="00147059" w:rsidRPr="00415B99" w:rsidRDefault="00147059" w:rsidP="00342FD6">
            <w:pPr>
              <w:rPr>
                <w:rFonts w:ascii="Arial" w:hAnsi="Arial" w:cs="Arial"/>
                <w:sz w:val="20"/>
                <w:szCs w:val="20"/>
              </w:rPr>
            </w:pPr>
            <w:r w:rsidRPr="000C2353">
              <w:rPr>
                <w:rFonts w:ascii="Arial" w:hAnsi="Arial" w:cs="Arial"/>
                <w:sz w:val="20"/>
                <w:szCs w:val="20"/>
              </w:rPr>
              <w:t>Apheresis CONVALESCENT PLASMA</w:t>
            </w:r>
          </w:p>
        </w:tc>
        <w:tc>
          <w:tcPr>
            <w:tcW w:w="611" w:type="dxa"/>
            <w:shd w:val="pct25" w:color="auto" w:fill="auto"/>
            <w:vAlign w:val="center"/>
          </w:tcPr>
          <w:p w14:paraId="4FAB9556" w14:textId="77777777" w:rsidR="00147059" w:rsidRPr="00720B53" w:rsidRDefault="00147059" w:rsidP="00342FD6">
            <w:pPr>
              <w:jc w:val="center"/>
              <w:rPr>
                <w:rFonts w:ascii="Arial" w:hAnsi="Arial" w:cs="Arial"/>
                <w:sz w:val="28"/>
                <w:szCs w:val="28"/>
              </w:rPr>
            </w:pPr>
          </w:p>
        </w:tc>
        <w:tc>
          <w:tcPr>
            <w:tcW w:w="522" w:type="dxa"/>
            <w:shd w:val="pct25" w:color="auto" w:fill="auto"/>
            <w:vAlign w:val="center"/>
          </w:tcPr>
          <w:p w14:paraId="048CF0AB" w14:textId="77777777" w:rsidR="00147059" w:rsidRPr="004F2C12" w:rsidRDefault="00147059" w:rsidP="00342FD6">
            <w:pPr>
              <w:jc w:val="center"/>
              <w:rPr>
                <w:rFonts w:ascii="Arial" w:hAnsi="Arial" w:cs="Arial"/>
                <w:b/>
                <w:sz w:val="28"/>
                <w:szCs w:val="28"/>
              </w:rPr>
            </w:pPr>
          </w:p>
        </w:tc>
        <w:tc>
          <w:tcPr>
            <w:tcW w:w="444" w:type="dxa"/>
            <w:shd w:val="clear" w:color="auto" w:fill="C0C0C0"/>
            <w:vAlign w:val="center"/>
          </w:tcPr>
          <w:p w14:paraId="2DF97D3B" w14:textId="77777777" w:rsidR="00147059" w:rsidRPr="004F2C12" w:rsidRDefault="00147059" w:rsidP="00342FD6">
            <w:pPr>
              <w:jc w:val="center"/>
              <w:rPr>
                <w:rFonts w:ascii="Arial" w:hAnsi="Arial" w:cs="Arial"/>
                <w:b/>
                <w:sz w:val="28"/>
                <w:szCs w:val="28"/>
              </w:rPr>
            </w:pPr>
          </w:p>
        </w:tc>
        <w:tc>
          <w:tcPr>
            <w:tcW w:w="577" w:type="dxa"/>
            <w:shd w:val="clear" w:color="auto" w:fill="C0C0C0"/>
            <w:vAlign w:val="center"/>
          </w:tcPr>
          <w:p w14:paraId="5746013F" w14:textId="77777777" w:rsidR="00147059" w:rsidRPr="004F2C12" w:rsidRDefault="00147059" w:rsidP="00342FD6">
            <w:pPr>
              <w:jc w:val="center"/>
              <w:rPr>
                <w:rFonts w:ascii="Arial" w:hAnsi="Arial" w:cs="Arial"/>
                <w:b/>
                <w:sz w:val="28"/>
                <w:szCs w:val="28"/>
              </w:rPr>
            </w:pPr>
          </w:p>
        </w:tc>
        <w:tc>
          <w:tcPr>
            <w:tcW w:w="800" w:type="dxa"/>
            <w:shd w:val="pct25" w:color="auto" w:fill="auto"/>
            <w:vAlign w:val="center"/>
          </w:tcPr>
          <w:p w14:paraId="33AAAC4C" w14:textId="77777777" w:rsidR="00147059" w:rsidRPr="004F2C12" w:rsidRDefault="00147059" w:rsidP="00342FD6">
            <w:pPr>
              <w:jc w:val="center"/>
              <w:rPr>
                <w:rFonts w:ascii="Arial" w:hAnsi="Arial" w:cs="Arial"/>
                <w:b/>
                <w:sz w:val="28"/>
                <w:szCs w:val="28"/>
              </w:rPr>
            </w:pPr>
          </w:p>
        </w:tc>
        <w:tc>
          <w:tcPr>
            <w:tcW w:w="666" w:type="dxa"/>
            <w:shd w:val="pct25" w:color="auto" w:fill="auto"/>
            <w:vAlign w:val="center"/>
          </w:tcPr>
          <w:p w14:paraId="35A0B45B" w14:textId="77777777" w:rsidR="00147059" w:rsidRPr="004F2C12" w:rsidRDefault="00147059" w:rsidP="00342FD6">
            <w:pPr>
              <w:jc w:val="center"/>
              <w:rPr>
                <w:rFonts w:ascii="Arial" w:hAnsi="Arial" w:cs="Arial"/>
                <w:b/>
                <w:sz w:val="28"/>
                <w:szCs w:val="28"/>
              </w:rPr>
            </w:pPr>
          </w:p>
        </w:tc>
        <w:tc>
          <w:tcPr>
            <w:tcW w:w="733" w:type="dxa"/>
            <w:shd w:val="clear" w:color="auto" w:fill="C0C0C0"/>
            <w:vAlign w:val="center"/>
          </w:tcPr>
          <w:p w14:paraId="7133CB3E" w14:textId="77777777" w:rsidR="00147059" w:rsidRPr="004F2C12" w:rsidRDefault="00147059" w:rsidP="00342FD6">
            <w:pPr>
              <w:jc w:val="center"/>
              <w:rPr>
                <w:rFonts w:ascii="Arial" w:hAnsi="Arial" w:cs="Arial"/>
                <w:b/>
                <w:sz w:val="28"/>
                <w:szCs w:val="28"/>
              </w:rPr>
            </w:pPr>
          </w:p>
        </w:tc>
        <w:tc>
          <w:tcPr>
            <w:tcW w:w="544" w:type="dxa"/>
            <w:shd w:val="clear" w:color="auto" w:fill="C0C0C0"/>
            <w:vAlign w:val="center"/>
          </w:tcPr>
          <w:p w14:paraId="6B08EE99" w14:textId="77777777" w:rsidR="00147059" w:rsidRPr="004F2C12" w:rsidRDefault="00147059" w:rsidP="00342FD6">
            <w:pPr>
              <w:jc w:val="center"/>
              <w:rPr>
                <w:rFonts w:ascii="Arial" w:hAnsi="Arial" w:cs="Arial"/>
                <w:b/>
                <w:sz w:val="28"/>
                <w:szCs w:val="28"/>
              </w:rPr>
            </w:pPr>
          </w:p>
        </w:tc>
        <w:tc>
          <w:tcPr>
            <w:tcW w:w="700" w:type="dxa"/>
            <w:shd w:val="clear" w:color="auto" w:fill="C0C0C0"/>
            <w:vAlign w:val="center"/>
          </w:tcPr>
          <w:p w14:paraId="50B66522"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0052A571"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7DA19C97" w14:textId="77777777" w:rsidR="00147059" w:rsidRPr="004F2C12" w:rsidRDefault="00147059" w:rsidP="00342FD6">
            <w:pPr>
              <w:jc w:val="center"/>
              <w:rPr>
                <w:rFonts w:ascii="Arial" w:hAnsi="Arial" w:cs="Arial"/>
                <w:b/>
                <w:sz w:val="28"/>
                <w:szCs w:val="28"/>
              </w:rPr>
            </w:pPr>
          </w:p>
        </w:tc>
      </w:tr>
      <w:tr w:rsidR="00147059" w:rsidRPr="004F2C12" w14:paraId="2A59FBF0" w14:textId="77777777" w:rsidTr="00147059">
        <w:trPr>
          <w:cantSplit/>
          <w:trHeight w:val="432"/>
        </w:trPr>
        <w:tc>
          <w:tcPr>
            <w:tcW w:w="1445" w:type="dxa"/>
            <w:vAlign w:val="bottom"/>
          </w:tcPr>
          <w:p w14:paraId="179D281B" w14:textId="77777777" w:rsidR="00147059" w:rsidRPr="00415B99" w:rsidRDefault="00147059" w:rsidP="00342FD6">
            <w:pPr>
              <w:rPr>
                <w:rFonts w:ascii="Arial" w:hAnsi="Arial" w:cs="Arial"/>
                <w:sz w:val="20"/>
                <w:szCs w:val="20"/>
              </w:rPr>
            </w:pPr>
            <w:r>
              <w:rPr>
                <w:rFonts w:ascii="Arial" w:hAnsi="Arial" w:cs="Arial"/>
                <w:sz w:val="20"/>
                <w:szCs w:val="20"/>
              </w:rPr>
              <w:t>Reconstituted POOLED FRESH FROZEN PLASMA</w:t>
            </w:r>
          </w:p>
        </w:tc>
        <w:tc>
          <w:tcPr>
            <w:tcW w:w="611" w:type="dxa"/>
            <w:shd w:val="pct25" w:color="auto" w:fill="auto"/>
            <w:vAlign w:val="center"/>
          </w:tcPr>
          <w:p w14:paraId="031844D1" w14:textId="77777777" w:rsidR="00147059" w:rsidRPr="00720B53" w:rsidRDefault="00147059" w:rsidP="00342FD6">
            <w:pPr>
              <w:jc w:val="center"/>
              <w:rPr>
                <w:rFonts w:ascii="Arial" w:hAnsi="Arial" w:cs="Arial"/>
                <w:sz w:val="28"/>
                <w:szCs w:val="28"/>
              </w:rPr>
            </w:pPr>
          </w:p>
        </w:tc>
        <w:tc>
          <w:tcPr>
            <w:tcW w:w="522" w:type="dxa"/>
            <w:shd w:val="pct25" w:color="auto" w:fill="auto"/>
            <w:vAlign w:val="center"/>
          </w:tcPr>
          <w:p w14:paraId="5514B175" w14:textId="77777777" w:rsidR="00147059" w:rsidRPr="004F2C12" w:rsidRDefault="00147059" w:rsidP="00342FD6">
            <w:pPr>
              <w:jc w:val="center"/>
              <w:rPr>
                <w:rFonts w:ascii="Arial" w:hAnsi="Arial" w:cs="Arial"/>
                <w:b/>
                <w:sz w:val="28"/>
                <w:szCs w:val="28"/>
              </w:rPr>
            </w:pPr>
          </w:p>
        </w:tc>
        <w:tc>
          <w:tcPr>
            <w:tcW w:w="444" w:type="dxa"/>
            <w:shd w:val="clear" w:color="auto" w:fill="C0C0C0"/>
            <w:vAlign w:val="center"/>
          </w:tcPr>
          <w:p w14:paraId="15E8C3CE" w14:textId="77777777" w:rsidR="00147059" w:rsidRPr="004F2C12" w:rsidRDefault="00147059" w:rsidP="00342FD6">
            <w:pPr>
              <w:jc w:val="center"/>
              <w:rPr>
                <w:rFonts w:ascii="Arial" w:hAnsi="Arial" w:cs="Arial"/>
                <w:b/>
                <w:sz w:val="28"/>
                <w:szCs w:val="28"/>
              </w:rPr>
            </w:pPr>
          </w:p>
        </w:tc>
        <w:tc>
          <w:tcPr>
            <w:tcW w:w="577" w:type="dxa"/>
            <w:shd w:val="clear" w:color="auto" w:fill="C0C0C0"/>
            <w:vAlign w:val="center"/>
          </w:tcPr>
          <w:p w14:paraId="1DAC6857" w14:textId="77777777" w:rsidR="00147059" w:rsidRPr="004F2C12" w:rsidRDefault="00147059" w:rsidP="00342FD6">
            <w:pPr>
              <w:jc w:val="center"/>
              <w:rPr>
                <w:rFonts w:ascii="Arial" w:hAnsi="Arial" w:cs="Arial"/>
                <w:b/>
                <w:sz w:val="28"/>
                <w:szCs w:val="28"/>
              </w:rPr>
            </w:pPr>
          </w:p>
        </w:tc>
        <w:tc>
          <w:tcPr>
            <w:tcW w:w="800" w:type="dxa"/>
            <w:shd w:val="pct25" w:color="auto" w:fill="auto"/>
            <w:vAlign w:val="center"/>
          </w:tcPr>
          <w:p w14:paraId="7A2B956A" w14:textId="77777777" w:rsidR="00147059" w:rsidRPr="004F2C12" w:rsidRDefault="00147059" w:rsidP="00342FD6">
            <w:pPr>
              <w:jc w:val="center"/>
              <w:rPr>
                <w:rFonts w:ascii="Arial" w:hAnsi="Arial" w:cs="Arial"/>
                <w:b/>
                <w:sz w:val="28"/>
                <w:szCs w:val="28"/>
              </w:rPr>
            </w:pPr>
          </w:p>
        </w:tc>
        <w:tc>
          <w:tcPr>
            <w:tcW w:w="666" w:type="dxa"/>
            <w:shd w:val="pct25" w:color="auto" w:fill="auto"/>
            <w:vAlign w:val="center"/>
          </w:tcPr>
          <w:p w14:paraId="750FEC1B" w14:textId="77777777" w:rsidR="00147059" w:rsidRPr="004F2C12" w:rsidRDefault="00147059" w:rsidP="00342FD6">
            <w:pPr>
              <w:jc w:val="center"/>
              <w:rPr>
                <w:rFonts w:ascii="Arial" w:hAnsi="Arial" w:cs="Arial"/>
                <w:b/>
                <w:sz w:val="28"/>
                <w:szCs w:val="28"/>
              </w:rPr>
            </w:pPr>
          </w:p>
        </w:tc>
        <w:tc>
          <w:tcPr>
            <w:tcW w:w="733" w:type="dxa"/>
            <w:shd w:val="clear" w:color="auto" w:fill="C0C0C0"/>
            <w:vAlign w:val="center"/>
          </w:tcPr>
          <w:p w14:paraId="7EE1B786" w14:textId="77777777" w:rsidR="00147059" w:rsidRPr="004F2C12" w:rsidRDefault="00147059" w:rsidP="00342FD6">
            <w:pPr>
              <w:jc w:val="center"/>
              <w:rPr>
                <w:rFonts w:ascii="Arial" w:hAnsi="Arial" w:cs="Arial"/>
                <w:b/>
                <w:sz w:val="28"/>
                <w:szCs w:val="28"/>
              </w:rPr>
            </w:pPr>
          </w:p>
        </w:tc>
        <w:tc>
          <w:tcPr>
            <w:tcW w:w="544" w:type="dxa"/>
            <w:shd w:val="clear" w:color="auto" w:fill="C0C0C0"/>
            <w:vAlign w:val="center"/>
          </w:tcPr>
          <w:p w14:paraId="344A894A" w14:textId="77777777" w:rsidR="00147059" w:rsidRPr="004F2C12" w:rsidRDefault="00147059" w:rsidP="00342FD6">
            <w:pPr>
              <w:jc w:val="center"/>
              <w:rPr>
                <w:rFonts w:ascii="Arial" w:hAnsi="Arial" w:cs="Arial"/>
                <w:b/>
                <w:sz w:val="28"/>
                <w:szCs w:val="28"/>
              </w:rPr>
            </w:pPr>
          </w:p>
        </w:tc>
        <w:tc>
          <w:tcPr>
            <w:tcW w:w="700" w:type="dxa"/>
            <w:shd w:val="clear" w:color="auto" w:fill="C0C0C0"/>
            <w:vAlign w:val="center"/>
          </w:tcPr>
          <w:p w14:paraId="2A81AE3B"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4C05D8D0"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175B7310" w14:textId="77777777" w:rsidR="00147059" w:rsidRPr="004F2C12" w:rsidRDefault="00147059" w:rsidP="00342FD6">
            <w:pPr>
              <w:jc w:val="center"/>
              <w:rPr>
                <w:rFonts w:ascii="Arial" w:hAnsi="Arial" w:cs="Arial"/>
                <w:b/>
                <w:sz w:val="28"/>
                <w:szCs w:val="28"/>
              </w:rPr>
            </w:pPr>
          </w:p>
        </w:tc>
      </w:tr>
      <w:tr w:rsidR="00147059" w:rsidRPr="004F2C12" w14:paraId="78426996" w14:textId="77777777" w:rsidTr="00147059">
        <w:trPr>
          <w:cantSplit/>
          <w:trHeight w:val="432"/>
        </w:trPr>
        <w:tc>
          <w:tcPr>
            <w:tcW w:w="1445" w:type="dxa"/>
            <w:vAlign w:val="bottom"/>
          </w:tcPr>
          <w:p w14:paraId="5922F8D5" w14:textId="77777777" w:rsidR="00147059" w:rsidRPr="00415B99" w:rsidRDefault="00147059" w:rsidP="00342FD6">
            <w:pPr>
              <w:rPr>
                <w:rFonts w:ascii="Arial" w:hAnsi="Arial" w:cs="Arial"/>
                <w:sz w:val="20"/>
                <w:szCs w:val="20"/>
              </w:rPr>
            </w:pPr>
            <w:r w:rsidRPr="000C2353">
              <w:rPr>
                <w:rFonts w:ascii="Arial" w:hAnsi="Arial" w:cs="Arial"/>
                <w:sz w:val="20"/>
                <w:szCs w:val="20"/>
              </w:rPr>
              <w:t>SOLVENT DETERGENT POOLED PLASMA</w:t>
            </w:r>
          </w:p>
        </w:tc>
        <w:tc>
          <w:tcPr>
            <w:tcW w:w="611" w:type="dxa"/>
            <w:shd w:val="pct25" w:color="auto" w:fill="auto"/>
            <w:vAlign w:val="center"/>
          </w:tcPr>
          <w:p w14:paraId="2DB0EAA2" w14:textId="77777777" w:rsidR="00147059" w:rsidRPr="00720B53" w:rsidRDefault="00147059" w:rsidP="00342FD6">
            <w:pPr>
              <w:jc w:val="center"/>
              <w:rPr>
                <w:rFonts w:ascii="Arial" w:hAnsi="Arial" w:cs="Arial"/>
                <w:sz w:val="28"/>
                <w:szCs w:val="28"/>
              </w:rPr>
            </w:pPr>
          </w:p>
        </w:tc>
        <w:tc>
          <w:tcPr>
            <w:tcW w:w="522" w:type="dxa"/>
            <w:shd w:val="pct25" w:color="auto" w:fill="auto"/>
            <w:vAlign w:val="center"/>
          </w:tcPr>
          <w:p w14:paraId="0908A046" w14:textId="77777777" w:rsidR="00147059" w:rsidRPr="004F2C12" w:rsidRDefault="00147059" w:rsidP="00342FD6">
            <w:pPr>
              <w:jc w:val="center"/>
              <w:rPr>
                <w:rFonts w:ascii="Arial" w:hAnsi="Arial" w:cs="Arial"/>
                <w:b/>
                <w:sz w:val="28"/>
                <w:szCs w:val="28"/>
              </w:rPr>
            </w:pPr>
          </w:p>
        </w:tc>
        <w:tc>
          <w:tcPr>
            <w:tcW w:w="444" w:type="dxa"/>
            <w:shd w:val="clear" w:color="auto" w:fill="C0C0C0"/>
            <w:vAlign w:val="center"/>
          </w:tcPr>
          <w:p w14:paraId="2AF961FE" w14:textId="77777777" w:rsidR="00147059" w:rsidRPr="004F2C12" w:rsidRDefault="00147059" w:rsidP="00342FD6">
            <w:pPr>
              <w:jc w:val="center"/>
              <w:rPr>
                <w:rFonts w:ascii="Arial" w:hAnsi="Arial" w:cs="Arial"/>
                <w:b/>
                <w:sz w:val="28"/>
                <w:szCs w:val="28"/>
              </w:rPr>
            </w:pPr>
          </w:p>
        </w:tc>
        <w:tc>
          <w:tcPr>
            <w:tcW w:w="577" w:type="dxa"/>
            <w:shd w:val="clear" w:color="auto" w:fill="C0C0C0"/>
            <w:vAlign w:val="center"/>
          </w:tcPr>
          <w:p w14:paraId="3C310878" w14:textId="77777777" w:rsidR="00147059" w:rsidRPr="004F2C12" w:rsidRDefault="00147059" w:rsidP="00342FD6">
            <w:pPr>
              <w:jc w:val="center"/>
              <w:rPr>
                <w:rFonts w:ascii="Arial" w:hAnsi="Arial" w:cs="Arial"/>
                <w:b/>
                <w:sz w:val="28"/>
                <w:szCs w:val="28"/>
              </w:rPr>
            </w:pPr>
          </w:p>
        </w:tc>
        <w:tc>
          <w:tcPr>
            <w:tcW w:w="800" w:type="dxa"/>
            <w:shd w:val="pct25" w:color="auto" w:fill="auto"/>
            <w:vAlign w:val="center"/>
          </w:tcPr>
          <w:p w14:paraId="401EAA1A" w14:textId="77777777" w:rsidR="00147059" w:rsidRPr="004F2C12" w:rsidRDefault="00147059" w:rsidP="00342FD6">
            <w:pPr>
              <w:jc w:val="center"/>
              <w:rPr>
                <w:rFonts w:ascii="Arial" w:hAnsi="Arial" w:cs="Arial"/>
                <w:b/>
                <w:sz w:val="28"/>
                <w:szCs w:val="28"/>
              </w:rPr>
            </w:pPr>
          </w:p>
        </w:tc>
        <w:tc>
          <w:tcPr>
            <w:tcW w:w="666" w:type="dxa"/>
            <w:shd w:val="pct25" w:color="auto" w:fill="auto"/>
            <w:vAlign w:val="center"/>
          </w:tcPr>
          <w:p w14:paraId="73707E5C" w14:textId="77777777" w:rsidR="00147059" w:rsidRPr="004F2C12" w:rsidRDefault="00147059" w:rsidP="00342FD6">
            <w:pPr>
              <w:jc w:val="center"/>
              <w:rPr>
                <w:rFonts w:ascii="Arial" w:hAnsi="Arial" w:cs="Arial"/>
                <w:b/>
                <w:sz w:val="28"/>
                <w:szCs w:val="28"/>
              </w:rPr>
            </w:pPr>
          </w:p>
        </w:tc>
        <w:tc>
          <w:tcPr>
            <w:tcW w:w="733" w:type="dxa"/>
            <w:shd w:val="clear" w:color="auto" w:fill="C0C0C0"/>
            <w:vAlign w:val="center"/>
          </w:tcPr>
          <w:p w14:paraId="3DAC843C" w14:textId="77777777" w:rsidR="00147059" w:rsidRPr="004F2C12" w:rsidRDefault="00147059" w:rsidP="00342FD6">
            <w:pPr>
              <w:jc w:val="center"/>
              <w:rPr>
                <w:rFonts w:ascii="Arial" w:hAnsi="Arial" w:cs="Arial"/>
                <w:b/>
                <w:sz w:val="28"/>
                <w:szCs w:val="28"/>
              </w:rPr>
            </w:pPr>
          </w:p>
        </w:tc>
        <w:tc>
          <w:tcPr>
            <w:tcW w:w="544" w:type="dxa"/>
            <w:shd w:val="clear" w:color="auto" w:fill="C0C0C0"/>
            <w:vAlign w:val="center"/>
          </w:tcPr>
          <w:p w14:paraId="1E59D288" w14:textId="77777777" w:rsidR="00147059" w:rsidRPr="004F2C12" w:rsidRDefault="00147059" w:rsidP="00342FD6">
            <w:pPr>
              <w:jc w:val="center"/>
              <w:rPr>
                <w:rFonts w:ascii="Arial" w:hAnsi="Arial" w:cs="Arial"/>
                <w:b/>
                <w:sz w:val="28"/>
                <w:szCs w:val="28"/>
              </w:rPr>
            </w:pPr>
          </w:p>
        </w:tc>
        <w:tc>
          <w:tcPr>
            <w:tcW w:w="700" w:type="dxa"/>
            <w:shd w:val="clear" w:color="auto" w:fill="C0C0C0"/>
            <w:vAlign w:val="center"/>
          </w:tcPr>
          <w:p w14:paraId="76EE71FC"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3497D4CC"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3FCB6083" w14:textId="77777777" w:rsidR="00147059" w:rsidRPr="004F2C12" w:rsidRDefault="00147059" w:rsidP="00342FD6">
            <w:pPr>
              <w:jc w:val="center"/>
              <w:rPr>
                <w:rFonts w:ascii="Arial" w:hAnsi="Arial" w:cs="Arial"/>
                <w:b/>
                <w:sz w:val="28"/>
                <w:szCs w:val="28"/>
              </w:rPr>
            </w:pPr>
          </w:p>
        </w:tc>
      </w:tr>
      <w:tr w:rsidR="00147059" w:rsidRPr="004F2C12" w14:paraId="37BE6317" w14:textId="77777777" w:rsidTr="00147059">
        <w:trPr>
          <w:cantSplit/>
          <w:trHeight w:val="432"/>
        </w:trPr>
        <w:tc>
          <w:tcPr>
            <w:tcW w:w="1445" w:type="dxa"/>
            <w:vAlign w:val="bottom"/>
          </w:tcPr>
          <w:p w14:paraId="26D9A431" w14:textId="77777777" w:rsidR="00147059" w:rsidRPr="00415B99" w:rsidRDefault="00147059" w:rsidP="00342FD6">
            <w:pPr>
              <w:rPr>
                <w:rFonts w:ascii="Arial" w:hAnsi="Arial" w:cs="Arial"/>
                <w:sz w:val="20"/>
                <w:szCs w:val="20"/>
              </w:rPr>
            </w:pPr>
            <w:r w:rsidRPr="000C2353">
              <w:rPr>
                <w:rFonts w:ascii="Arial" w:hAnsi="Arial" w:cs="Arial"/>
                <w:sz w:val="20"/>
                <w:szCs w:val="20"/>
              </w:rPr>
              <w:t>Thawed SOLVENT DETERGENT POOLED PLASMA</w:t>
            </w:r>
          </w:p>
        </w:tc>
        <w:tc>
          <w:tcPr>
            <w:tcW w:w="611" w:type="dxa"/>
            <w:shd w:val="pct25" w:color="auto" w:fill="auto"/>
            <w:vAlign w:val="center"/>
          </w:tcPr>
          <w:p w14:paraId="067CB9A8" w14:textId="77777777" w:rsidR="00147059" w:rsidRPr="00720B53" w:rsidRDefault="00147059" w:rsidP="00342FD6">
            <w:pPr>
              <w:jc w:val="center"/>
              <w:rPr>
                <w:rFonts w:ascii="Arial" w:hAnsi="Arial" w:cs="Arial"/>
                <w:sz w:val="28"/>
                <w:szCs w:val="28"/>
              </w:rPr>
            </w:pPr>
          </w:p>
        </w:tc>
        <w:tc>
          <w:tcPr>
            <w:tcW w:w="522" w:type="dxa"/>
            <w:shd w:val="pct25" w:color="auto" w:fill="auto"/>
            <w:vAlign w:val="center"/>
          </w:tcPr>
          <w:p w14:paraId="79EB0AF0" w14:textId="77777777" w:rsidR="00147059" w:rsidRPr="004F2C12" w:rsidRDefault="00147059" w:rsidP="00342FD6">
            <w:pPr>
              <w:jc w:val="center"/>
              <w:rPr>
                <w:rFonts w:ascii="Arial" w:hAnsi="Arial" w:cs="Arial"/>
                <w:b/>
                <w:sz w:val="28"/>
                <w:szCs w:val="28"/>
              </w:rPr>
            </w:pPr>
          </w:p>
        </w:tc>
        <w:tc>
          <w:tcPr>
            <w:tcW w:w="444" w:type="dxa"/>
            <w:shd w:val="clear" w:color="auto" w:fill="C0C0C0"/>
            <w:vAlign w:val="center"/>
          </w:tcPr>
          <w:p w14:paraId="490FA022" w14:textId="77777777" w:rsidR="00147059" w:rsidRPr="004F2C12" w:rsidRDefault="00147059" w:rsidP="00342FD6">
            <w:pPr>
              <w:jc w:val="center"/>
              <w:rPr>
                <w:rFonts w:ascii="Arial" w:hAnsi="Arial" w:cs="Arial"/>
                <w:b/>
                <w:sz w:val="28"/>
                <w:szCs w:val="28"/>
              </w:rPr>
            </w:pPr>
          </w:p>
        </w:tc>
        <w:tc>
          <w:tcPr>
            <w:tcW w:w="577" w:type="dxa"/>
            <w:shd w:val="clear" w:color="auto" w:fill="C0C0C0"/>
            <w:vAlign w:val="center"/>
          </w:tcPr>
          <w:p w14:paraId="777F176F" w14:textId="77777777" w:rsidR="00147059" w:rsidRPr="004F2C12" w:rsidRDefault="00147059" w:rsidP="00342FD6">
            <w:pPr>
              <w:jc w:val="center"/>
              <w:rPr>
                <w:rFonts w:ascii="Arial" w:hAnsi="Arial" w:cs="Arial"/>
                <w:b/>
                <w:sz w:val="28"/>
                <w:szCs w:val="28"/>
              </w:rPr>
            </w:pPr>
          </w:p>
        </w:tc>
        <w:tc>
          <w:tcPr>
            <w:tcW w:w="800" w:type="dxa"/>
            <w:shd w:val="pct25" w:color="auto" w:fill="auto"/>
            <w:vAlign w:val="center"/>
          </w:tcPr>
          <w:p w14:paraId="61B2EA6B" w14:textId="77777777" w:rsidR="00147059" w:rsidRPr="004F2C12" w:rsidRDefault="00147059" w:rsidP="00342FD6">
            <w:pPr>
              <w:jc w:val="center"/>
              <w:rPr>
                <w:rFonts w:ascii="Arial" w:hAnsi="Arial" w:cs="Arial"/>
                <w:b/>
                <w:sz w:val="28"/>
                <w:szCs w:val="28"/>
              </w:rPr>
            </w:pPr>
          </w:p>
        </w:tc>
        <w:tc>
          <w:tcPr>
            <w:tcW w:w="666" w:type="dxa"/>
            <w:shd w:val="pct25" w:color="auto" w:fill="auto"/>
            <w:vAlign w:val="center"/>
          </w:tcPr>
          <w:p w14:paraId="27D7F6B2" w14:textId="77777777" w:rsidR="00147059" w:rsidRPr="004F2C12" w:rsidRDefault="00147059" w:rsidP="00342FD6">
            <w:pPr>
              <w:jc w:val="center"/>
              <w:rPr>
                <w:rFonts w:ascii="Arial" w:hAnsi="Arial" w:cs="Arial"/>
                <w:b/>
                <w:sz w:val="28"/>
                <w:szCs w:val="28"/>
              </w:rPr>
            </w:pPr>
          </w:p>
        </w:tc>
        <w:tc>
          <w:tcPr>
            <w:tcW w:w="733" w:type="dxa"/>
            <w:shd w:val="clear" w:color="auto" w:fill="C0C0C0"/>
            <w:vAlign w:val="center"/>
          </w:tcPr>
          <w:p w14:paraId="231FCCC1" w14:textId="77777777" w:rsidR="00147059" w:rsidRPr="004F2C12" w:rsidRDefault="00147059" w:rsidP="00342FD6">
            <w:pPr>
              <w:jc w:val="center"/>
              <w:rPr>
                <w:rFonts w:ascii="Arial" w:hAnsi="Arial" w:cs="Arial"/>
                <w:b/>
                <w:sz w:val="28"/>
                <w:szCs w:val="28"/>
              </w:rPr>
            </w:pPr>
          </w:p>
        </w:tc>
        <w:tc>
          <w:tcPr>
            <w:tcW w:w="544" w:type="dxa"/>
            <w:shd w:val="clear" w:color="auto" w:fill="C0C0C0"/>
            <w:vAlign w:val="center"/>
          </w:tcPr>
          <w:p w14:paraId="15FEC389" w14:textId="77777777" w:rsidR="00147059" w:rsidRPr="004F2C12" w:rsidRDefault="00147059" w:rsidP="00342FD6">
            <w:pPr>
              <w:jc w:val="center"/>
              <w:rPr>
                <w:rFonts w:ascii="Arial" w:hAnsi="Arial" w:cs="Arial"/>
                <w:b/>
                <w:sz w:val="28"/>
                <w:szCs w:val="28"/>
              </w:rPr>
            </w:pPr>
          </w:p>
        </w:tc>
        <w:tc>
          <w:tcPr>
            <w:tcW w:w="700" w:type="dxa"/>
            <w:shd w:val="clear" w:color="auto" w:fill="C0C0C0"/>
            <w:vAlign w:val="center"/>
          </w:tcPr>
          <w:p w14:paraId="69A013D1"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3D2529D8"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55C3130B" w14:textId="77777777" w:rsidR="00147059" w:rsidRPr="004F2C12" w:rsidRDefault="00147059" w:rsidP="00342FD6">
            <w:pPr>
              <w:jc w:val="center"/>
              <w:rPr>
                <w:rFonts w:ascii="Arial" w:hAnsi="Arial" w:cs="Arial"/>
                <w:b/>
                <w:sz w:val="28"/>
                <w:szCs w:val="28"/>
              </w:rPr>
            </w:pPr>
          </w:p>
        </w:tc>
      </w:tr>
      <w:tr w:rsidR="00147059" w:rsidRPr="004F2C12" w14:paraId="6725531E" w14:textId="77777777" w:rsidTr="00147059">
        <w:trPr>
          <w:cantSplit/>
          <w:trHeight w:val="432"/>
        </w:trPr>
        <w:tc>
          <w:tcPr>
            <w:tcW w:w="1445" w:type="dxa"/>
            <w:vAlign w:val="bottom"/>
          </w:tcPr>
          <w:p w14:paraId="1DEC37E2" w14:textId="77777777" w:rsidR="00147059" w:rsidRPr="00415B99" w:rsidRDefault="00147059" w:rsidP="00342FD6">
            <w:pPr>
              <w:rPr>
                <w:rFonts w:ascii="Arial" w:hAnsi="Arial" w:cs="Arial"/>
                <w:sz w:val="20"/>
                <w:szCs w:val="20"/>
              </w:rPr>
            </w:pPr>
            <w:r w:rsidRPr="000C2353">
              <w:rPr>
                <w:rFonts w:ascii="Arial" w:hAnsi="Arial" w:cs="Arial"/>
                <w:sz w:val="20"/>
                <w:szCs w:val="20"/>
              </w:rPr>
              <w:t>RADIOLABELED DIAGNOSTICS, LEUKOCYTES</w:t>
            </w:r>
          </w:p>
        </w:tc>
        <w:tc>
          <w:tcPr>
            <w:tcW w:w="611" w:type="dxa"/>
            <w:shd w:val="pct25" w:color="auto" w:fill="auto"/>
            <w:vAlign w:val="center"/>
          </w:tcPr>
          <w:p w14:paraId="0A289A5E" w14:textId="77777777" w:rsidR="00147059" w:rsidRPr="00720B53" w:rsidRDefault="00147059" w:rsidP="00342FD6">
            <w:pPr>
              <w:jc w:val="center"/>
              <w:rPr>
                <w:rFonts w:ascii="Arial" w:hAnsi="Arial" w:cs="Arial"/>
                <w:sz w:val="28"/>
                <w:szCs w:val="28"/>
              </w:rPr>
            </w:pPr>
          </w:p>
        </w:tc>
        <w:tc>
          <w:tcPr>
            <w:tcW w:w="522" w:type="dxa"/>
            <w:shd w:val="pct25" w:color="auto" w:fill="auto"/>
            <w:vAlign w:val="center"/>
          </w:tcPr>
          <w:p w14:paraId="52B6C3A4" w14:textId="77777777" w:rsidR="00147059" w:rsidRPr="004F2C12" w:rsidRDefault="00147059" w:rsidP="00342FD6">
            <w:pPr>
              <w:jc w:val="center"/>
              <w:rPr>
                <w:rFonts w:ascii="Arial" w:hAnsi="Arial" w:cs="Arial"/>
                <w:b/>
                <w:sz w:val="28"/>
                <w:szCs w:val="28"/>
              </w:rPr>
            </w:pPr>
          </w:p>
        </w:tc>
        <w:tc>
          <w:tcPr>
            <w:tcW w:w="444" w:type="dxa"/>
            <w:shd w:val="clear" w:color="auto" w:fill="C0C0C0"/>
            <w:vAlign w:val="center"/>
          </w:tcPr>
          <w:p w14:paraId="487C4CF5" w14:textId="77777777" w:rsidR="00147059" w:rsidRPr="004F2C12" w:rsidRDefault="00147059" w:rsidP="00342FD6">
            <w:pPr>
              <w:jc w:val="center"/>
              <w:rPr>
                <w:rFonts w:ascii="Arial" w:hAnsi="Arial" w:cs="Arial"/>
                <w:b/>
                <w:sz w:val="28"/>
                <w:szCs w:val="28"/>
              </w:rPr>
            </w:pPr>
          </w:p>
        </w:tc>
        <w:tc>
          <w:tcPr>
            <w:tcW w:w="577" w:type="dxa"/>
            <w:shd w:val="clear" w:color="auto" w:fill="C0C0C0"/>
            <w:vAlign w:val="center"/>
          </w:tcPr>
          <w:p w14:paraId="63A13FCC" w14:textId="77777777" w:rsidR="00147059" w:rsidRPr="004F2C12" w:rsidRDefault="00147059" w:rsidP="00342FD6">
            <w:pPr>
              <w:jc w:val="center"/>
              <w:rPr>
                <w:rFonts w:ascii="Arial" w:hAnsi="Arial" w:cs="Arial"/>
                <w:b/>
                <w:sz w:val="28"/>
                <w:szCs w:val="28"/>
              </w:rPr>
            </w:pPr>
          </w:p>
        </w:tc>
        <w:tc>
          <w:tcPr>
            <w:tcW w:w="800" w:type="dxa"/>
            <w:shd w:val="pct25" w:color="auto" w:fill="auto"/>
            <w:vAlign w:val="center"/>
          </w:tcPr>
          <w:p w14:paraId="3C196B6C" w14:textId="77777777" w:rsidR="00147059" w:rsidRPr="004F2C12" w:rsidRDefault="00147059" w:rsidP="00342FD6">
            <w:pPr>
              <w:jc w:val="center"/>
              <w:rPr>
                <w:rFonts w:ascii="Arial" w:hAnsi="Arial" w:cs="Arial"/>
                <w:b/>
                <w:sz w:val="28"/>
                <w:szCs w:val="28"/>
              </w:rPr>
            </w:pPr>
          </w:p>
        </w:tc>
        <w:tc>
          <w:tcPr>
            <w:tcW w:w="666" w:type="dxa"/>
            <w:shd w:val="pct25" w:color="auto" w:fill="auto"/>
            <w:vAlign w:val="center"/>
          </w:tcPr>
          <w:p w14:paraId="363AE0CE" w14:textId="77777777" w:rsidR="00147059" w:rsidRPr="004F2C12" w:rsidRDefault="00147059" w:rsidP="00342FD6">
            <w:pPr>
              <w:jc w:val="center"/>
              <w:rPr>
                <w:rFonts w:ascii="Arial" w:hAnsi="Arial" w:cs="Arial"/>
                <w:b/>
                <w:sz w:val="28"/>
                <w:szCs w:val="28"/>
              </w:rPr>
            </w:pPr>
          </w:p>
        </w:tc>
        <w:tc>
          <w:tcPr>
            <w:tcW w:w="733" w:type="dxa"/>
            <w:shd w:val="clear" w:color="auto" w:fill="C0C0C0"/>
            <w:vAlign w:val="center"/>
          </w:tcPr>
          <w:p w14:paraId="0BCF1F1F" w14:textId="77777777" w:rsidR="00147059" w:rsidRPr="004F2C12" w:rsidRDefault="00147059" w:rsidP="00342FD6">
            <w:pPr>
              <w:jc w:val="center"/>
              <w:rPr>
                <w:rFonts w:ascii="Arial" w:hAnsi="Arial" w:cs="Arial"/>
                <w:b/>
                <w:sz w:val="28"/>
                <w:szCs w:val="28"/>
              </w:rPr>
            </w:pPr>
          </w:p>
        </w:tc>
        <w:tc>
          <w:tcPr>
            <w:tcW w:w="544" w:type="dxa"/>
            <w:shd w:val="clear" w:color="auto" w:fill="C0C0C0"/>
            <w:vAlign w:val="center"/>
          </w:tcPr>
          <w:p w14:paraId="23E9AB66" w14:textId="77777777" w:rsidR="00147059" w:rsidRPr="004F2C12" w:rsidRDefault="00147059" w:rsidP="00342FD6">
            <w:pPr>
              <w:jc w:val="center"/>
              <w:rPr>
                <w:rFonts w:ascii="Arial" w:hAnsi="Arial" w:cs="Arial"/>
                <w:b/>
                <w:sz w:val="28"/>
                <w:szCs w:val="28"/>
              </w:rPr>
            </w:pPr>
          </w:p>
        </w:tc>
        <w:tc>
          <w:tcPr>
            <w:tcW w:w="700" w:type="dxa"/>
            <w:shd w:val="clear" w:color="auto" w:fill="C0C0C0"/>
            <w:vAlign w:val="center"/>
          </w:tcPr>
          <w:p w14:paraId="5661384D"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6AB9D06A"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757D68AB" w14:textId="77777777" w:rsidR="00147059" w:rsidRPr="004F2C12" w:rsidRDefault="00147059" w:rsidP="00342FD6">
            <w:pPr>
              <w:jc w:val="center"/>
              <w:rPr>
                <w:rFonts w:ascii="Arial" w:hAnsi="Arial" w:cs="Arial"/>
                <w:b/>
                <w:sz w:val="28"/>
                <w:szCs w:val="28"/>
              </w:rPr>
            </w:pPr>
          </w:p>
        </w:tc>
      </w:tr>
      <w:tr w:rsidR="00147059" w:rsidRPr="004F2C12" w14:paraId="0902CCB6" w14:textId="77777777" w:rsidTr="00147059">
        <w:trPr>
          <w:cantSplit/>
          <w:trHeight w:val="432"/>
        </w:trPr>
        <w:tc>
          <w:tcPr>
            <w:tcW w:w="1445" w:type="dxa"/>
            <w:vAlign w:val="bottom"/>
          </w:tcPr>
          <w:p w14:paraId="1DF28E6D" w14:textId="77777777" w:rsidR="00147059" w:rsidRPr="00415B99" w:rsidRDefault="00147059" w:rsidP="00342FD6">
            <w:pPr>
              <w:rPr>
                <w:rFonts w:ascii="Arial" w:hAnsi="Arial" w:cs="Arial"/>
                <w:sz w:val="20"/>
                <w:szCs w:val="20"/>
              </w:rPr>
            </w:pPr>
            <w:r w:rsidRPr="000C2353">
              <w:rPr>
                <w:rFonts w:ascii="Arial" w:hAnsi="Arial" w:cs="Arial"/>
                <w:sz w:val="20"/>
                <w:szCs w:val="20"/>
              </w:rPr>
              <w:t>RADIOLABELED DIAGNOSTICS, PLATELETS</w:t>
            </w:r>
          </w:p>
        </w:tc>
        <w:tc>
          <w:tcPr>
            <w:tcW w:w="611" w:type="dxa"/>
            <w:shd w:val="pct25" w:color="auto" w:fill="auto"/>
            <w:vAlign w:val="center"/>
          </w:tcPr>
          <w:p w14:paraId="7D4EADFB" w14:textId="77777777" w:rsidR="00147059" w:rsidRPr="00720B53" w:rsidRDefault="00147059" w:rsidP="00342FD6">
            <w:pPr>
              <w:jc w:val="center"/>
              <w:rPr>
                <w:rFonts w:ascii="Arial" w:hAnsi="Arial" w:cs="Arial"/>
                <w:sz w:val="28"/>
                <w:szCs w:val="28"/>
              </w:rPr>
            </w:pPr>
          </w:p>
        </w:tc>
        <w:tc>
          <w:tcPr>
            <w:tcW w:w="522" w:type="dxa"/>
            <w:shd w:val="pct25" w:color="auto" w:fill="auto"/>
            <w:vAlign w:val="center"/>
          </w:tcPr>
          <w:p w14:paraId="4E7573D6" w14:textId="77777777" w:rsidR="00147059" w:rsidRPr="004F2C12" w:rsidRDefault="00147059" w:rsidP="00342FD6">
            <w:pPr>
              <w:jc w:val="center"/>
              <w:rPr>
                <w:rFonts w:ascii="Arial" w:hAnsi="Arial" w:cs="Arial"/>
                <w:b/>
                <w:sz w:val="28"/>
                <w:szCs w:val="28"/>
              </w:rPr>
            </w:pPr>
          </w:p>
        </w:tc>
        <w:tc>
          <w:tcPr>
            <w:tcW w:w="444" w:type="dxa"/>
            <w:shd w:val="clear" w:color="auto" w:fill="C0C0C0"/>
            <w:vAlign w:val="center"/>
          </w:tcPr>
          <w:p w14:paraId="0AE9CA1D" w14:textId="77777777" w:rsidR="00147059" w:rsidRPr="004F2C12" w:rsidRDefault="00147059" w:rsidP="00342FD6">
            <w:pPr>
              <w:jc w:val="center"/>
              <w:rPr>
                <w:rFonts w:ascii="Arial" w:hAnsi="Arial" w:cs="Arial"/>
                <w:b/>
                <w:sz w:val="28"/>
                <w:szCs w:val="28"/>
              </w:rPr>
            </w:pPr>
          </w:p>
        </w:tc>
        <w:tc>
          <w:tcPr>
            <w:tcW w:w="577" w:type="dxa"/>
            <w:shd w:val="clear" w:color="auto" w:fill="C0C0C0"/>
            <w:vAlign w:val="center"/>
          </w:tcPr>
          <w:p w14:paraId="45FB6731" w14:textId="77777777" w:rsidR="00147059" w:rsidRPr="004F2C12" w:rsidRDefault="00147059" w:rsidP="00342FD6">
            <w:pPr>
              <w:jc w:val="center"/>
              <w:rPr>
                <w:rFonts w:ascii="Arial" w:hAnsi="Arial" w:cs="Arial"/>
                <w:b/>
                <w:sz w:val="28"/>
                <w:szCs w:val="28"/>
              </w:rPr>
            </w:pPr>
          </w:p>
        </w:tc>
        <w:tc>
          <w:tcPr>
            <w:tcW w:w="800" w:type="dxa"/>
            <w:shd w:val="pct25" w:color="auto" w:fill="auto"/>
            <w:vAlign w:val="center"/>
          </w:tcPr>
          <w:p w14:paraId="58B2A687" w14:textId="77777777" w:rsidR="00147059" w:rsidRPr="004F2C12" w:rsidRDefault="00147059" w:rsidP="00342FD6">
            <w:pPr>
              <w:jc w:val="center"/>
              <w:rPr>
                <w:rFonts w:ascii="Arial" w:hAnsi="Arial" w:cs="Arial"/>
                <w:b/>
                <w:sz w:val="28"/>
                <w:szCs w:val="28"/>
              </w:rPr>
            </w:pPr>
          </w:p>
        </w:tc>
        <w:tc>
          <w:tcPr>
            <w:tcW w:w="666" w:type="dxa"/>
            <w:shd w:val="pct25" w:color="auto" w:fill="auto"/>
            <w:vAlign w:val="center"/>
          </w:tcPr>
          <w:p w14:paraId="58AB802E" w14:textId="77777777" w:rsidR="00147059" w:rsidRPr="004F2C12" w:rsidRDefault="00147059" w:rsidP="00342FD6">
            <w:pPr>
              <w:jc w:val="center"/>
              <w:rPr>
                <w:rFonts w:ascii="Arial" w:hAnsi="Arial" w:cs="Arial"/>
                <w:b/>
                <w:sz w:val="28"/>
                <w:szCs w:val="28"/>
              </w:rPr>
            </w:pPr>
          </w:p>
        </w:tc>
        <w:tc>
          <w:tcPr>
            <w:tcW w:w="733" w:type="dxa"/>
            <w:shd w:val="clear" w:color="auto" w:fill="C0C0C0"/>
            <w:vAlign w:val="center"/>
          </w:tcPr>
          <w:p w14:paraId="46613735" w14:textId="77777777" w:rsidR="00147059" w:rsidRPr="004F2C12" w:rsidRDefault="00147059" w:rsidP="00342FD6">
            <w:pPr>
              <w:jc w:val="center"/>
              <w:rPr>
                <w:rFonts w:ascii="Arial" w:hAnsi="Arial" w:cs="Arial"/>
                <w:b/>
                <w:sz w:val="28"/>
                <w:szCs w:val="28"/>
              </w:rPr>
            </w:pPr>
          </w:p>
        </w:tc>
        <w:tc>
          <w:tcPr>
            <w:tcW w:w="544" w:type="dxa"/>
            <w:shd w:val="clear" w:color="auto" w:fill="C0C0C0"/>
            <w:vAlign w:val="center"/>
          </w:tcPr>
          <w:p w14:paraId="1A8FC592" w14:textId="77777777" w:rsidR="00147059" w:rsidRPr="004F2C12" w:rsidRDefault="00147059" w:rsidP="00342FD6">
            <w:pPr>
              <w:jc w:val="center"/>
              <w:rPr>
                <w:rFonts w:ascii="Arial" w:hAnsi="Arial" w:cs="Arial"/>
                <w:b/>
                <w:sz w:val="28"/>
                <w:szCs w:val="28"/>
              </w:rPr>
            </w:pPr>
          </w:p>
        </w:tc>
        <w:tc>
          <w:tcPr>
            <w:tcW w:w="700" w:type="dxa"/>
            <w:shd w:val="clear" w:color="auto" w:fill="C0C0C0"/>
            <w:vAlign w:val="center"/>
          </w:tcPr>
          <w:p w14:paraId="189B394C"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15F1E87C"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7C70A8A5" w14:textId="77777777" w:rsidR="00147059" w:rsidRPr="004F2C12" w:rsidRDefault="00147059" w:rsidP="00342FD6">
            <w:pPr>
              <w:jc w:val="center"/>
              <w:rPr>
                <w:rFonts w:ascii="Arial" w:hAnsi="Arial" w:cs="Arial"/>
                <w:b/>
                <w:sz w:val="28"/>
                <w:szCs w:val="28"/>
              </w:rPr>
            </w:pPr>
          </w:p>
        </w:tc>
      </w:tr>
      <w:tr w:rsidR="00147059" w:rsidRPr="004F2C12" w14:paraId="1B534643" w14:textId="77777777" w:rsidTr="00147059">
        <w:trPr>
          <w:cantSplit/>
          <w:trHeight w:val="432"/>
        </w:trPr>
        <w:tc>
          <w:tcPr>
            <w:tcW w:w="1445" w:type="dxa"/>
            <w:vAlign w:val="bottom"/>
          </w:tcPr>
          <w:p w14:paraId="4B7424E1" w14:textId="77777777" w:rsidR="00147059" w:rsidRPr="00415B99" w:rsidRDefault="00147059" w:rsidP="00342FD6">
            <w:pPr>
              <w:rPr>
                <w:rFonts w:ascii="Arial" w:hAnsi="Arial" w:cs="Arial"/>
                <w:sz w:val="20"/>
                <w:szCs w:val="20"/>
              </w:rPr>
            </w:pPr>
            <w:r w:rsidRPr="000C2353">
              <w:rPr>
                <w:rFonts w:ascii="Arial" w:hAnsi="Arial" w:cs="Arial"/>
                <w:sz w:val="20"/>
                <w:szCs w:val="20"/>
              </w:rPr>
              <w:t>RADIOLABELED DIAGNOSTICS, RBC</w:t>
            </w:r>
          </w:p>
        </w:tc>
        <w:tc>
          <w:tcPr>
            <w:tcW w:w="611" w:type="dxa"/>
            <w:shd w:val="pct25" w:color="auto" w:fill="auto"/>
            <w:vAlign w:val="center"/>
          </w:tcPr>
          <w:p w14:paraId="41B79F82" w14:textId="77777777" w:rsidR="00147059" w:rsidRPr="00720B53" w:rsidRDefault="00147059" w:rsidP="00342FD6">
            <w:pPr>
              <w:jc w:val="center"/>
              <w:rPr>
                <w:rFonts w:ascii="Arial" w:hAnsi="Arial" w:cs="Arial"/>
                <w:sz w:val="28"/>
                <w:szCs w:val="28"/>
              </w:rPr>
            </w:pPr>
          </w:p>
        </w:tc>
        <w:tc>
          <w:tcPr>
            <w:tcW w:w="522" w:type="dxa"/>
            <w:shd w:val="pct25" w:color="auto" w:fill="auto"/>
            <w:vAlign w:val="center"/>
          </w:tcPr>
          <w:p w14:paraId="3C6F1AEA" w14:textId="77777777" w:rsidR="00147059" w:rsidRPr="004F2C12" w:rsidRDefault="00147059" w:rsidP="00342FD6">
            <w:pPr>
              <w:jc w:val="center"/>
              <w:rPr>
                <w:rFonts w:ascii="Arial" w:hAnsi="Arial" w:cs="Arial"/>
                <w:b/>
                <w:sz w:val="28"/>
                <w:szCs w:val="28"/>
              </w:rPr>
            </w:pPr>
          </w:p>
        </w:tc>
        <w:tc>
          <w:tcPr>
            <w:tcW w:w="444" w:type="dxa"/>
            <w:shd w:val="clear" w:color="auto" w:fill="C0C0C0"/>
            <w:vAlign w:val="center"/>
          </w:tcPr>
          <w:p w14:paraId="0D6850F0" w14:textId="77777777" w:rsidR="00147059" w:rsidRPr="004F2C12" w:rsidRDefault="00147059" w:rsidP="00342FD6">
            <w:pPr>
              <w:jc w:val="center"/>
              <w:rPr>
                <w:rFonts w:ascii="Arial" w:hAnsi="Arial" w:cs="Arial"/>
                <w:b/>
                <w:sz w:val="28"/>
                <w:szCs w:val="28"/>
              </w:rPr>
            </w:pPr>
          </w:p>
        </w:tc>
        <w:tc>
          <w:tcPr>
            <w:tcW w:w="577" w:type="dxa"/>
            <w:shd w:val="clear" w:color="auto" w:fill="C0C0C0"/>
            <w:vAlign w:val="center"/>
          </w:tcPr>
          <w:p w14:paraId="75F5B710" w14:textId="77777777" w:rsidR="00147059" w:rsidRPr="004F2C12" w:rsidRDefault="00147059" w:rsidP="00342FD6">
            <w:pPr>
              <w:jc w:val="center"/>
              <w:rPr>
                <w:rFonts w:ascii="Arial" w:hAnsi="Arial" w:cs="Arial"/>
                <w:b/>
                <w:sz w:val="28"/>
                <w:szCs w:val="28"/>
              </w:rPr>
            </w:pPr>
          </w:p>
        </w:tc>
        <w:tc>
          <w:tcPr>
            <w:tcW w:w="800" w:type="dxa"/>
            <w:shd w:val="pct25" w:color="auto" w:fill="auto"/>
            <w:vAlign w:val="center"/>
          </w:tcPr>
          <w:p w14:paraId="6E7CE3A3" w14:textId="77777777" w:rsidR="00147059" w:rsidRPr="004F2C12" w:rsidRDefault="00147059" w:rsidP="00342FD6">
            <w:pPr>
              <w:jc w:val="center"/>
              <w:rPr>
                <w:rFonts w:ascii="Arial" w:hAnsi="Arial" w:cs="Arial"/>
                <w:b/>
                <w:sz w:val="28"/>
                <w:szCs w:val="28"/>
              </w:rPr>
            </w:pPr>
          </w:p>
        </w:tc>
        <w:tc>
          <w:tcPr>
            <w:tcW w:w="666" w:type="dxa"/>
            <w:shd w:val="pct25" w:color="auto" w:fill="auto"/>
            <w:vAlign w:val="center"/>
          </w:tcPr>
          <w:p w14:paraId="4835C3C0" w14:textId="77777777" w:rsidR="00147059" w:rsidRPr="004F2C12" w:rsidRDefault="00147059" w:rsidP="00342FD6">
            <w:pPr>
              <w:jc w:val="center"/>
              <w:rPr>
                <w:rFonts w:ascii="Arial" w:hAnsi="Arial" w:cs="Arial"/>
                <w:b/>
                <w:sz w:val="28"/>
                <w:szCs w:val="28"/>
              </w:rPr>
            </w:pPr>
          </w:p>
        </w:tc>
        <w:tc>
          <w:tcPr>
            <w:tcW w:w="733" w:type="dxa"/>
            <w:shd w:val="clear" w:color="auto" w:fill="C0C0C0"/>
            <w:vAlign w:val="center"/>
          </w:tcPr>
          <w:p w14:paraId="51A36701" w14:textId="77777777" w:rsidR="00147059" w:rsidRPr="004F2C12" w:rsidRDefault="00147059" w:rsidP="00342FD6">
            <w:pPr>
              <w:jc w:val="center"/>
              <w:rPr>
                <w:rFonts w:ascii="Arial" w:hAnsi="Arial" w:cs="Arial"/>
                <w:b/>
                <w:sz w:val="28"/>
                <w:szCs w:val="28"/>
              </w:rPr>
            </w:pPr>
          </w:p>
        </w:tc>
        <w:tc>
          <w:tcPr>
            <w:tcW w:w="544" w:type="dxa"/>
            <w:shd w:val="clear" w:color="auto" w:fill="C0C0C0"/>
            <w:vAlign w:val="center"/>
          </w:tcPr>
          <w:p w14:paraId="04B36B6E" w14:textId="77777777" w:rsidR="00147059" w:rsidRPr="004F2C12" w:rsidRDefault="00147059" w:rsidP="00342FD6">
            <w:pPr>
              <w:jc w:val="center"/>
              <w:rPr>
                <w:rFonts w:ascii="Arial" w:hAnsi="Arial" w:cs="Arial"/>
                <w:b/>
                <w:sz w:val="28"/>
                <w:szCs w:val="28"/>
              </w:rPr>
            </w:pPr>
          </w:p>
        </w:tc>
        <w:tc>
          <w:tcPr>
            <w:tcW w:w="700" w:type="dxa"/>
            <w:shd w:val="clear" w:color="auto" w:fill="C0C0C0"/>
            <w:vAlign w:val="center"/>
          </w:tcPr>
          <w:p w14:paraId="722D1B2C" w14:textId="77777777" w:rsidR="00147059" w:rsidRPr="004F2C12" w:rsidRDefault="00147059" w:rsidP="00342FD6">
            <w:pPr>
              <w:jc w:val="center"/>
              <w:rPr>
                <w:rFonts w:ascii="Arial" w:hAnsi="Arial" w:cs="Arial"/>
                <w:b/>
                <w:sz w:val="28"/>
                <w:szCs w:val="28"/>
              </w:rPr>
            </w:pPr>
          </w:p>
        </w:tc>
        <w:tc>
          <w:tcPr>
            <w:tcW w:w="810" w:type="dxa"/>
            <w:shd w:val="clear" w:color="auto" w:fill="C0C0C0"/>
            <w:vAlign w:val="center"/>
          </w:tcPr>
          <w:p w14:paraId="47785A60" w14:textId="77777777" w:rsidR="00147059" w:rsidRPr="004F2C12" w:rsidRDefault="00147059" w:rsidP="00342FD6">
            <w:pPr>
              <w:jc w:val="center"/>
              <w:rPr>
                <w:rFonts w:ascii="Arial" w:hAnsi="Arial" w:cs="Arial"/>
                <w:b/>
                <w:sz w:val="28"/>
                <w:szCs w:val="28"/>
              </w:rPr>
            </w:pPr>
          </w:p>
        </w:tc>
        <w:tc>
          <w:tcPr>
            <w:tcW w:w="810" w:type="dxa"/>
            <w:tcBorders>
              <w:bottom w:val="single" w:sz="4" w:space="0" w:color="auto"/>
            </w:tcBorders>
            <w:shd w:val="clear" w:color="auto" w:fill="C0C0C0"/>
            <w:vAlign w:val="center"/>
          </w:tcPr>
          <w:p w14:paraId="6F2FE439" w14:textId="77777777" w:rsidR="00147059" w:rsidRPr="004F2C12" w:rsidRDefault="00147059" w:rsidP="00342FD6">
            <w:pPr>
              <w:jc w:val="center"/>
              <w:rPr>
                <w:rFonts w:ascii="Arial" w:hAnsi="Arial" w:cs="Arial"/>
                <w:b/>
                <w:sz w:val="28"/>
                <w:szCs w:val="28"/>
              </w:rPr>
            </w:pPr>
          </w:p>
        </w:tc>
      </w:tr>
    </w:tbl>
    <w:p w14:paraId="64BB2D03" w14:textId="77777777" w:rsidR="002A21AE" w:rsidRDefault="002A21AE" w:rsidP="00922B68">
      <w:pPr>
        <w:pStyle w:val="BodyText"/>
      </w:pPr>
      <w:r>
        <w:t>*</w:t>
      </w:r>
      <w:r w:rsidR="00197566">
        <w:t>*</w:t>
      </w:r>
      <w:r>
        <w:t>This product type has no ICCBBA assigned product codes.</w:t>
      </w:r>
    </w:p>
    <w:p w14:paraId="7BBAC086" w14:textId="77777777" w:rsidR="00CA3E27" w:rsidRDefault="00CA3E27">
      <w:bookmarkStart w:id="667" w:name="_Toc40061745"/>
      <w:bookmarkStart w:id="668" w:name="_Toc91323752"/>
      <w:bookmarkEnd w:id="612"/>
    </w:p>
    <w:p w14:paraId="4678DF39" w14:textId="77777777" w:rsidR="002A21AE" w:rsidRPr="00D327A3" w:rsidRDefault="002A21AE" w:rsidP="00D327A3">
      <w:pPr>
        <w:pStyle w:val="Heading3"/>
      </w:pPr>
      <w:bookmarkStart w:id="669" w:name="_Toc91323817"/>
      <w:r w:rsidRPr="00D327A3">
        <w:rPr>
          <w:rFonts w:ascii="Arial Bold" w:hAnsi="Arial Bold"/>
          <w:vanish/>
        </w:rPr>
        <w:lastRenderedPageBreak/>
        <w:t xml:space="preserve">TT_92.01 </w:t>
      </w:r>
      <w:bookmarkStart w:id="670" w:name="_Toc4588873"/>
      <w:r w:rsidRPr="00D327A3">
        <w:t>Order Status Flowchart</w:t>
      </w:r>
      <w:bookmarkEnd w:id="669"/>
      <w:bookmarkEnd w:id="670"/>
      <w:r w:rsidRPr="00D327A3">
        <w:fldChar w:fldCharType="begin"/>
      </w:r>
      <w:r w:rsidRPr="00D327A3">
        <w:instrText xml:space="preserve"> XE </w:instrText>
      </w:r>
      <w:r w:rsidR="00FA7E65" w:rsidRPr="00D327A3">
        <w:instrText>“</w:instrText>
      </w:r>
      <w:r w:rsidRPr="00D327A3">
        <w:instrText>Figures:Order Status Flowchart</w:instrText>
      </w:r>
      <w:r w:rsidR="00FA7E65" w:rsidRPr="00D327A3">
        <w:instrText>”</w:instrText>
      </w:r>
      <w:r w:rsidRPr="00D327A3">
        <w:instrText xml:space="preserve"> </w:instrText>
      </w:r>
      <w:r w:rsidRPr="00D327A3">
        <w:fldChar w:fldCharType="end"/>
      </w:r>
    </w:p>
    <w:p w14:paraId="26186201" w14:textId="7FD8440A" w:rsidR="002A21AE" w:rsidRDefault="002A21AE">
      <w:pPr>
        <w:pStyle w:val="Caption"/>
      </w:pPr>
      <w:bookmarkStart w:id="671" w:name="_Ref126728889"/>
      <w:bookmarkStart w:id="672" w:name="_Toc97523642"/>
      <w:bookmarkStart w:id="673" w:name="_Toc97527612"/>
      <w:bookmarkStart w:id="674" w:name="_Ref126729528"/>
      <w:bookmarkStart w:id="675" w:name="_Ref126729659"/>
      <w:bookmarkStart w:id="676" w:name="_Ref126729757"/>
      <w:bookmarkStart w:id="677" w:name="_Ref126729901"/>
      <w:bookmarkStart w:id="678" w:name="_Ref127061358"/>
      <w:bookmarkStart w:id="679" w:name="_Ref127061360"/>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147</w:t>
      </w:r>
      <w:r w:rsidR="004E20BD">
        <w:rPr>
          <w:noProof/>
        </w:rPr>
        <w:fldChar w:fldCharType="end"/>
      </w:r>
      <w:bookmarkEnd w:id="671"/>
      <w:r>
        <w:t xml:space="preserve">: </w:t>
      </w:r>
      <w:r>
        <w:rPr>
          <w:vanish/>
        </w:rPr>
        <w:t xml:space="preserve">TT_92.01 </w:t>
      </w:r>
      <w:r>
        <w:rPr>
          <w:rStyle w:val="Heading3Char"/>
          <w:rFonts w:ascii="Times New Roman" w:hAnsi="Times New Roman" w:cs="Times New Roman"/>
          <w:bCs w:val="0"/>
          <w:sz w:val="22"/>
        </w:rPr>
        <w:t>Order</w:t>
      </w:r>
      <w:r>
        <w:t xml:space="preserve"> Status Flowchart</w:t>
      </w:r>
      <w:bookmarkEnd w:id="672"/>
      <w:bookmarkEnd w:id="673"/>
      <w:bookmarkEnd w:id="674"/>
      <w:bookmarkEnd w:id="675"/>
      <w:bookmarkEnd w:id="676"/>
      <w:bookmarkEnd w:id="677"/>
      <w:bookmarkEnd w:id="678"/>
      <w:bookmarkEnd w:id="679"/>
    </w:p>
    <w:p w14:paraId="1074811B" w14:textId="34048BEA" w:rsidR="009C72EC" w:rsidRDefault="006E5147" w:rsidP="004D2640">
      <w:pPr>
        <w:pStyle w:val="BodyText"/>
        <w:jc w:val="center"/>
      </w:pPr>
      <w:r>
        <w:object w:dxaOrig="9770" w:dyaOrig="16915" w14:anchorId="7272D2D2">
          <v:shape id="_x0000_i1032" type="#_x0000_t75" alt="P15634#yIS1" style="width:367.5pt;height:554.7pt" o:ole="">
            <v:imagedata r:id="rId240" o:title=""/>
          </v:shape>
          <o:OLEObject Type="Embed" ProgID="Visio.Drawing.11" ShapeID="_x0000_i1032" DrawAspect="Content" ObjectID="_1693288313" r:id="rId241"/>
        </w:object>
      </w:r>
    </w:p>
    <w:p w14:paraId="608999E3" w14:textId="77777777" w:rsidR="002A21AE" w:rsidRDefault="002A21AE" w:rsidP="009C72EC">
      <w:pPr>
        <w:pStyle w:val="Heading3"/>
      </w:pPr>
      <w:r>
        <w:rPr>
          <w:rFonts w:ascii="Geneva" w:hAnsi="Geneva"/>
          <w:vanish/>
        </w:rPr>
        <w:lastRenderedPageBreak/>
        <w:t xml:space="preserve">TT_3.05 </w:t>
      </w:r>
      <w:bookmarkStart w:id="680" w:name="_Toc4588874"/>
      <w:r>
        <w:t>Rules for</w:t>
      </w:r>
      <w:bookmarkEnd w:id="667"/>
      <w:r>
        <w:t xml:space="preserve"> Electronic and Serologic</w:t>
      </w:r>
      <w:bookmarkEnd w:id="668"/>
      <w:r>
        <w:t xml:space="preserve"> Crossmatch</w:t>
      </w:r>
      <w:bookmarkEnd w:id="680"/>
      <w:r>
        <w:fldChar w:fldCharType="begin"/>
      </w:r>
      <w:r>
        <w:instrText xml:space="preserve"> XE </w:instrText>
      </w:r>
      <w:r w:rsidR="00FA7E65">
        <w:instrText>“</w:instrText>
      </w:r>
      <w:r>
        <w:instrText>Tables:Rules for Electronic and Serologic Crossmatch</w:instrText>
      </w:r>
      <w:r w:rsidR="00FA7E65">
        <w:instrText>”</w:instrText>
      </w:r>
      <w:r>
        <w:instrText xml:space="preserve"> </w:instrText>
      </w:r>
      <w:r>
        <w:fldChar w:fldCharType="end"/>
      </w:r>
    </w:p>
    <w:p w14:paraId="19E17255" w14:textId="77777777" w:rsidR="007A1C09" w:rsidRDefault="007A1C09" w:rsidP="00FA7E65">
      <w:pPr>
        <w:pStyle w:val="BodyText"/>
      </w:pPr>
      <w:r>
        <w:t xml:space="preserve">Component Classes with greater than (&gt;) 2 mL RBC contamination require crossmatch evaluation, serologic or electronic (when enabled).  For component classes in the component class “OTHER”, a reflex crossmatch test has been ordered per the technologist’s evaluation of the </w:t>
      </w:r>
      <w:r w:rsidR="00F22231">
        <w:t>unit itself. E</w:t>
      </w:r>
      <w:r>
        <w:t xml:space="preserve">ach collection is different and the tech must evaluate the red blood cell content of the unit at the time of selection. </w:t>
      </w:r>
    </w:p>
    <w:p w14:paraId="78EBEAB0" w14:textId="77777777" w:rsidR="00F22231" w:rsidRDefault="001A53C8" w:rsidP="00FA7E65">
      <w:pPr>
        <w:pStyle w:val="BodyText"/>
      </w:pPr>
      <w:r>
        <w:t>When electronic crossmatch is enabled at a division and units that require crossmatch (Component Classes “WHOLE BLOOD”, “RED BLOOD CELLS”, or a reflex crossmatch test has been ordered) are selected, VBECS performs a comprehensive set of data validation, which does not include inactivated patient or units tests. This patient and unit data validation is to ensure that the combination of patient and blood unit testing allows the unit to be eligible for electronic crossmatch. To assist the user, when the combination does not allow for electronic crossmatch</w:t>
      </w:r>
      <w:r w:rsidR="00F22231">
        <w:t>, a warning message is displayed with a short explanation as to why the electronic crossmatch will not be applied.</w:t>
      </w:r>
    </w:p>
    <w:p w14:paraId="0D974A8A" w14:textId="6C239C22" w:rsidR="002A21AE" w:rsidRDefault="00440DF9" w:rsidP="00FA7E65">
      <w:pPr>
        <w:pStyle w:val="BodyText"/>
      </w:pPr>
      <w:r>
        <w:fldChar w:fldCharType="begin" w:fldLock="1"/>
      </w:r>
      <w:r>
        <w:instrText xml:space="preserve"> REF _Ref317682164 \h </w:instrText>
      </w:r>
      <w:r>
        <w:fldChar w:fldCharType="separate"/>
      </w:r>
      <w:r w:rsidR="00AB304C">
        <w:t xml:space="preserve">Table </w:t>
      </w:r>
      <w:r w:rsidR="00AB304C">
        <w:rPr>
          <w:noProof/>
        </w:rPr>
        <w:t>23</w:t>
      </w:r>
      <w:r>
        <w:fldChar w:fldCharType="end"/>
      </w:r>
      <w:r>
        <w:t xml:space="preserve"> </w:t>
      </w:r>
      <w:r w:rsidR="002A21AE">
        <w:t xml:space="preserve">provides the mapping for the actual parameters verified and associated error messages. All parameters must comply in order for the unit to be eligible for electronic crossmatch: there are no exceptions or overrides. The parameters are checked in the order listed and once a parameter fails, VBECS displays the appropriate error message, no further checking occurs, and the selected unit must have serologic crossmatch performed. </w:t>
      </w:r>
    </w:p>
    <w:p w14:paraId="0013597E" w14:textId="77777777" w:rsidR="00D96746" w:rsidRDefault="00057948" w:rsidP="00D96746">
      <w:pPr>
        <w:pStyle w:val="Caution"/>
      </w:pPr>
      <w:r>
        <w:rPr>
          <w:noProof/>
        </w:rPr>
        <w:drawing>
          <wp:inline distT="0" distB="0" distL="0" distR="0" wp14:anchorId="3A0EAF9C" wp14:editId="2D7851CC">
            <wp:extent cx="267970" cy="221615"/>
            <wp:effectExtent l="0" t="0" r="0" b="6985"/>
            <wp:docPr id="268" name="Picture 268" descr="P15639#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P15639#yIS1">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5B60F7">
        <w:t xml:space="preserve"> </w:t>
      </w:r>
      <w:r w:rsidR="00D96746">
        <w:t xml:space="preserve">To use </w:t>
      </w:r>
      <w:r w:rsidR="007743E5">
        <w:t xml:space="preserve">the </w:t>
      </w:r>
      <w:r w:rsidR="00D96746">
        <w:t>electronic crossmatch</w:t>
      </w:r>
      <w:r w:rsidR="007743E5">
        <w:t xml:space="preserve"> function</w:t>
      </w:r>
      <w:r w:rsidR="00D96746">
        <w:t>, sites must perform a</w:t>
      </w:r>
      <w:r w:rsidR="00413CBC">
        <w:t>dditional</w:t>
      </w:r>
      <w:r w:rsidR="00D96746">
        <w:t xml:space="preserve"> validation of </w:t>
      </w:r>
      <w:r w:rsidR="00413CBC">
        <w:t>electronic crossmatch to meet regulatory requirements</w:t>
      </w:r>
      <w:r w:rsidR="00D96746">
        <w:t>.</w:t>
      </w:r>
      <w:r w:rsidR="00214959">
        <w:t xml:space="preserve"> See </w:t>
      </w:r>
      <w:r w:rsidR="00214959" w:rsidRPr="001A6C60">
        <w:t>Guidelines for Implementing the Electronic Crossmatch</w:t>
      </w:r>
      <w:r w:rsidR="00214959" w:rsidRPr="0026301E">
        <w:t xml:space="preserve"> (Bethesda, MD: American Association of Blood Banks, 200</w:t>
      </w:r>
      <w:r w:rsidR="00214959">
        <w:t>3</w:t>
      </w:r>
      <w:r w:rsidR="00214959" w:rsidRPr="0026301E">
        <w:t>).</w:t>
      </w:r>
    </w:p>
    <w:p w14:paraId="015CE396" w14:textId="6188FB96" w:rsidR="002A21AE" w:rsidRDefault="002A21AE">
      <w:pPr>
        <w:pStyle w:val="Caption"/>
      </w:pPr>
      <w:bookmarkStart w:id="681" w:name="_Ref126732439"/>
      <w:bookmarkStart w:id="682" w:name="_Ref317682164"/>
      <w:bookmarkStart w:id="683" w:name="_Toc97523643"/>
      <w:bookmarkStart w:id="684" w:name="_Toc97527613"/>
      <w:bookmarkStart w:id="685" w:name="_Ref126486028"/>
      <w:bookmarkStart w:id="686" w:name="_Ref126486167"/>
      <w:bookmarkStart w:id="687" w:name="_Ref126486265"/>
      <w:bookmarkStart w:id="688" w:name="_Ref126504234"/>
      <w:bookmarkStart w:id="689" w:name="_Ref126504434"/>
      <w:bookmarkStart w:id="690" w:name="_Ref317762597"/>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647F4E">
        <w:rPr>
          <w:noProof/>
        </w:rPr>
        <w:t>23</w:t>
      </w:r>
      <w:r w:rsidR="004E20BD">
        <w:rPr>
          <w:noProof/>
        </w:rPr>
        <w:fldChar w:fldCharType="end"/>
      </w:r>
      <w:bookmarkEnd w:id="681"/>
      <w:bookmarkEnd w:id="682"/>
      <w:r>
        <w:t xml:space="preserve">: </w:t>
      </w:r>
      <w:r>
        <w:rPr>
          <w:vanish/>
        </w:rPr>
        <w:t xml:space="preserve">TT_3.05 </w:t>
      </w:r>
      <w:r>
        <w:t>Rules for Electronic and Serologic Crossmatch</w:t>
      </w:r>
      <w:bookmarkEnd w:id="683"/>
      <w:bookmarkEnd w:id="684"/>
      <w:bookmarkEnd w:id="685"/>
      <w:bookmarkEnd w:id="686"/>
      <w:bookmarkEnd w:id="687"/>
      <w:bookmarkEnd w:id="688"/>
      <w:bookmarkEnd w:id="689"/>
      <w:bookmarkEnd w:id="690"/>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60"/>
        <w:gridCol w:w="3600"/>
      </w:tblGrid>
      <w:tr w:rsidR="002A21AE" w14:paraId="6343C1C0" w14:textId="77777777">
        <w:trPr>
          <w:tblHeader/>
        </w:trPr>
        <w:tc>
          <w:tcPr>
            <w:tcW w:w="5760" w:type="dxa"/>
            <w:shd w:val="clear" w:color="auto" w:fill="B3B3B3"/>
          </w:tcPr>
          <w:p w14:paraId="6393966E" w14:textId="77777777" w:rsidR="002A21AE" w:rsidRDefault="002A21AE">
            <w:pPr>
              <w:pStyle w:val="TableText"/>
              <w:rPr>
                <w:b/>
              </w:rPr>
            </w:pPr>
            <w:r>
              <w:rPr>
                <w:b/>
              </w:rPr>
              <w:t>Parameter Checked</w:t>
            </w:r>
          </w:p>
        </w:tc>
        <w:tc>
          <w:tcPr>
            <w:tcW w:w="3600" w:type="dxa"/>
            <w:shd w:val="clear" w:color="auto" w:fill="B3B3B3"/>
          </w:tcPr>
          <w:p w14:paraId="2FFEF683" w14:textId="77777777" w:rsidR="002A21AE" w:rsidRDefault="002A21AE">
            <w:pPr>
              <w:pStyle w:val="TableText"/>
              <w:rPr>
                <w:b/>
              </w:rPr>
            </w:pPr>
            <w:r>
              <w:rPr>
                <w:b/>
              </w:rPr>
              <w:t>Error Message When Parameter Fails</w:t>
            </w:r>
          </w:p>
        </w:tc>
      </w:tr>
      <w:tr w:rsidR="002A21AE" w14:paraId="13D56AAD" w14:textId="77777777">
        <w:tc>
          <w:tcPr>
            <w:tcW w:w="5760" w:type="dxa"/>
          </w:tcPr>
          <w:p w14:paraId="396CCB80" w14:textId="77777777" w:rsidR="002A21AE" w:rsidRDefault="002A21AE">
            <w:pPr>
              <w:pStyle w:val="TableText"/>
            </w:pPr>
            <w:r>
              <w:t xml:space="preserve">Current specimen ABO/Rh and Antibody Screen testing must be complete. </w:t>
            </w:r>
          </w:p>
        </w:tc>
        <w:tc>
          <w:tcPr>
            <w:tcW w:w="3600" w:type="dxa"/>
          </w:tcPr>
          <w:p w14:paraId="1DC7C4CB" w14:textId="77777777" w:rsidR="002A21AE" w:rsidRDefault="002A21AE">
            <w:pPr>
              <w:pStyle w:val="TableText"/>
            </w:pPr>
            <w:r>
              <w:t>Patient not eligible for eXM. Current specimen not fully tested.</w:t>
            </w:r>
          </w:p>
        </w:tc>
      </w:tr>
      <w:tr w:rsidR="002A21AE" w14:paraId="2EA57355" w14:textId="77777777">
        <w:tc>
          <w:tcPr>
            <w:tcW w:w="5760" w:type="dxa"/>
          </w:tcPr>
          <w:p w14:paraId="7D6A3AE5" w14:textId="77777777" w:rsidR="002A21AE" w:rsidRDefault="002A21AE">
            <w:pPr>
              <w:pStyle w:val="TableText"/>
            </w:pPr>
            <w:r>
              <w:t>Current specimen Antibody Screen interpretation must be negative.</w:t>
            </w:r>
            <w:r w:rsidR="009A061C">
              <w:t xml:space="preserve"> VBECS checks only the last Antibody Screen entered.</w:t>
            </w:r>
          </w:p>
        </w:tc>
        <w:tc>
          <w:tcPr>
            <w:tcW w:w="3600" w:type="dxa"/>
          </w:tcPr>
          <w:p w14:paraId="6F627167" w14:textId="77777777" w:rsidR="002A21AE" w:rsidRDefault="002A21AE">
            <w:pPr>
              <w:pStyle w:val="TableText"/>
            </w:pPr>
            <w:r>
              <w:t>Patient not eligible for eXM due to positive Antibody Screen.</w:t>
            </w:r>
          </w:p>
        </w:tc>
      </w:tr>
      <w:tr w:rsidR="002A21AE" w14:paraId="09217375" w14:textId="77777777">
        <w:tc>
          <w:tcPr>
            <w:tcW w:w="5760" w:type="dxa"/>
          </w:tcPr>
          <w:p w14:paraId="1C46418C" w14:textId="77777777" w:rsidR="002A21AE" w:rsidRDefault="002A21AE">
            <w:pPr>
              <w:pStyle w:val="TableText"/>
            </w:pPr>
            <w:r>
              <w:t xml:space="preserve">Patient must have no history of previously identified antibodies, regardless of clinical significance based on system rules </w:t>
            </w:r>
            <w:r>
              <w:rPr>
                <w:vanish/>
                <w:szCs w:val="18"/>
              </w:rPr>
              <w:t>TT_23.01</w:t>
            </w:r>
            <w:r>
              <w:t>or division (or from conversion) of the antibody ID.</w:t>
            </w:r>
          </w:p>
        </w:tc>
        <w:tc>
          <w:tcPr>
            <w:tcW w:w="3600" w:type="dxa"/>
          </w:tcPr>
          <w:p w14:paraId="4E4D5E24" w14:textId="77777777" w:rsidR="002A21AE" w:rsidRDefault="002A21AE">
            <w:pPr>
              <w:pStyle w:val="TableText"/>
            </w:pPr>
            <w:r>
              <w:t>Patient not eligible for eXM due to previous antibody history.</w:t>
            </w:r>
          </w:p>
        </w:tc>
      </w:tr>
      <w:tr w:rsidR="002A21AE" w14:paraId="4C319387" w14:textId="77777777">
        <w:tc>
          <w:tcPr>
            <w:tcW w:w="5760" w:type="dxa"/>
          </w:tcPr>
          <w:p w14:paraId="635703F4" w14:textId="77777777" w:rsidR="002A21AE" w:rsidRDefault="002A21AE">
            <w:pPr>
              <w:pStyle w:val="TableText"/>
            </w:pPr>
            <w:r>
              <w:t>Patient cannot have a persistent antigen negative requirement regardless of the division of the requirement entry.</w:t>
            </w:r>
          </w:p>
        </w:tc>
        <w:tc>
          <w:tcPr>
            <w:tcW w:w="3600" w:type="dxa"/>
          </w:tcPr>
          <w:p w14:paraId="1C3F872D" w14:textId="77777777" w:rsidR="002A21AE" w:rsidRDefault="002A21AE">
            <w:pPr>
              <w:pStyle w:val="TableText"/>
            </w:pPr>
            <w:r>
              <w:t>Patient not eligible for eXM due to transfusion antigen negative requirement.</w:t>
            </w:r>
          </w:p>
        </w:tc>
      </w:tr>
      <w:tr w:rsidR="002A21AE" w:rsidRPr="005A7636" w14:paraId="29E57129" w14:textId="77777777">
        <w:tc>
          <w:tcPr>
            <w:tcW w:w="5760" w:type="dxa"/>
          </w:tcPr>
          <w:p w14:paraId="24F57524" w14:textId="77777777" w:rsidR="002A21AE" w:rsidRPr="005A7636" w:rsidRDefault="00B05CCE" w:rsidP="005A7636">
            <w:pPr>
              <w:pStyle w:val="TableText"/>
            </w:pPr>
            <w:r w:rsidRPr="00B05CCE">
              <w:t>The patient current ABO/Rh must match the historical record when there is a historical record, and there must be no previous justifications. An ABO/Rh marked as “entered in error” is not considered part of the patient’s record.</w:t>
            </w:r>
          </w:p>
        </w:tc>
        <w:tc>
          <w:tcPr>
            <w:tcW w:w="3600" w:type="dxa"/>
          </w:tcPr>
          <w:p w14:paraId="779BAA69" w14:textId="77777777" w:rsidR="002A21AE" w:rsidRPr="005A7636" w:rsidRDefault="002A21AE" w:rsidP="005A7636">
            <w:pPr>
              <w:pStyle w:val="TableText"/>
            </w:pPr>
            <w:r w:rsidRPr="005A7636">
              <w:t>Patient not eligible for eXM due to ABO/Rh discrepancy from previous record.</w:t>
            </w:r>
          </w:p>
        </w:tc>
      </w:tr>
      <w:tr w:rsidR="002A21AE" w14:paraId="6B88818A" w14:textId="77777777">
        <w:tc>
          <w:tcPr>
            <w:tcW w:w="5760" w:type="dxa"/>
          </w:tcPr>
          <w:p w14:paraId="623304D7" w14:textId="77777777" w:rsidR="002A21AE" w:rsidRDefault="002A21AE">
            <w:pPr>
              <w:pStyle w:val="TableText"/>
            </w:pPr>
            <w:r>
              <w:t>The patient cannot have a documented ins</w:t>
            </w:r>
            <w:r w:rsidR="004F09C6">
              <w:t>tance of current or previous</w:t>
            </w:r>
            <w:r>
              <w:t xml:space="preserve"> Inconclusive ABO/Rh typing.</w:t>
            </w:r>
          </w:p>
        </w:tc>
        <w:tc>
          <w:tcPr>
            <w:tcW w:w="3600" w:type="dxa"/>
          </w:tcPr>
          <w:p w14:paraId="5A4D88DE" w14:textId="77777777" w:rsidR="002A21AE" w:rsidRDefault="002A21AE">
            <w:pPr>
              <w:pStyle w:val="TableText"/>
            </w:pPr>
            <w:r>
              <w:t>Patient not eligible for eXM due to ABO/Rh typing difficulty.</w:t>
            </w:r>
          </w:p>
        </w:tc>
      </w:tr>
      <w:tr w:rsidR="002A21AE" w14:paraId="7443D6BB" w14:textId="77777777">
        <w:tc>
          <w:tcPr>
            <w:tcW w:w="5760" w:type="dxa"/>
          </w:tcPr>
          <w:p w14:paraId="6EDE839D" w14:textId="77777777" w:rsidR="00810934" w:rsidRPr="00810934" w:rsidRDefault="002A21AE">
            <w:pPr>
              <w:pStyle w:val="TableText"/>
              <w:rPr>
                <w:szCs w:val="18"/>
              </w:rPr>
            </w:pPr>
            <w:r>
              <w:t xml:space="preserve">There must be at least two valid instances of ABO/Rh typing performed in the same division for the patient. One instance must be a valid ABO/Rh on the current specimen and not “unknown” or “inconclusive”; the other may be from a previous typing episode or a repeat ABO/Rh performed on the current specimen. The patient ABO/Rh interpretations must match in all instances. </w:t>
            </w:r>
            <w:r w:rsidR="00810934">
              <w:rPr>
                <w:szCs w:val="18"/>
              </w:rPr>
              <w:t>The user m</w:t>
            </w:r>
            <w:r w:rsidR="00810934" w:rsidRPr="00810934">
              <w:rPr>
                <w:szCs w:val="18"/>
              </w:rPr>
              <w:t xml:space="preserve">ust enter valid forward and reverse typing </w:t>
            </w:r>
            <w:r w:rsidR="00810934">
              <w:rPr>
                <w:szCs w:val="18"/>
              </w:rPr>
              <w:t>for</w:t>
            </w:r>
            <w:r w:rsidR="00810934" w:rsidRPr="00810934">
              <w:rPr>
                <w:szCs w:val="18"/>
              </w:rPr>
              <w:t xml:space="preserve"> the system </w:t>
            </w:r>
            <w:r w:rsidR="00810934">
              <w:rPr>
                <w:szCs w:val="18"/>
              </w:rPr>
              <w:t>to</w:t>
            </w:r>
            <w:r w:rsidR="00810934" w:rsidRPr="00810934">
              <w:rPr>
                <w:szCs w:val="18"/>
              </w:rPr>
              <w:t xml:space="preserve"> use as the second test performed in the division.</w:t>
            </w:r>
          </w:p>
        </w:tc>
        <w:tc>
          <w:tcPr>
            <w:tcW w:w="3600" w:type="dxa"/>
          </w:tcPr>
          <w:p w14:paraId="696C213B" w14:textId="77777777" w:rsidR="002A21AE" w:rsidRDefault="00810934">
            <w:pPr>
              <w:pStyle w:val="TableText"/>
            </w:pPr>
            <w:r>
              <w:t>Patient not eligible for eXM:</w:t>
            </w:r>
            <w:r w:rsidR="002A21AE">
              <w:t xml:space="preserve"> he must have two instances of ABO/Rh typing at the division for eXM, including the current specimen.</w:t>
            </w:r>
          </w:p>
        </w:tc>
      </w:tr>
      <w:tr w:rsidR="002A21AE" w14:paraId="5C574033" w14:textId="77777777">
        <w:tc>
          <w:tcPr>
            <w:tcW w:w="5760" w:type="dxa"/>
          </w:tcPr>
          <w:p w14:paraId="6991BF43" w14:textId="77777777" w:rsidR="002A21AE" w:rsidRDefault="002A21AE">
            <w:pPr>
              <w:pStyle w:val="TableText"/>
            </w:pPr>
            <w:r>
              <w:t>Selected unit must be ABO compatible based on system rules</w:t>
            </w:r>
            <w:r>
              <w:rPr>
                <w:vanish/>
                <w:szCs w:val="18"/>
              </w:rPr>
              <w:t>TT_3.01 or TT_3.02</w:t>
            </w:r>
            <w:r>
              <w:t>.</w:t>
            </w:r>
          </w:p>
        </w:tc>
        <w:tc>
          <w:tcPr>
            <w:tcW w:w="3600" w:type="dxa"/>
          </w:tcPr>
          <w:p w14:paraId="17636CF2" w14:textId="77777777" w:rsidR="002A21AE" w:rsidRDefault="002A21AE">
            <w:pPr>
              <w:pStyle w:val="TableText"/>
            </w:pPr>
            <w:r>
              <w:t>Unit not eligible for eXM. Unit is ABO incompatible with the patient.</w:t>
            </w:r>
          </w:p>
        </w:tc>
      </w:tr>
    </w:tbl>
    <w:p w14:paraId="1A46DEE3" w14:textId="77777777" w:rsidR="002A21AE" w:rsidRDefault="002A21AE">
      <w:pPr>
        <w:pStyle w:val="Heading3"/>
        <w:rPr>
          <w:noProof/>
        </w:rPr>
      </w:pPr>
      <w:r>
        <w:rPr>
          <w:rFonts w:ascii="Geneva" w:hAnsi="Geneva"/>
          <w:vanish/>
        </w:rPr>
        <w:lastRenderedPageBreak/>
        <w:t xml:space="preserve">TT_27.01 </w:t>
      </w:r>
      <w:bookmarkStart w:id="691" w:name="_Toc4588875"/>
      <w:r>
        <w:t>Unit Status Flowchart</w:t>
      </w:r>
      <w:bookmarkEnd w:id="691"/>
      <w:r>
        <w:fldChar w:fldCharType="begin"/>
      </w:r>
      <w:r>
        <w:instrText xml:space="preserve"> XE </w:instrText>
      </w:r>
      <w:r w:rsidR="00FA7E65">
        <w:instrText>“</w:instrText>
      </w:r>
      <w:r>
        <w:instrText>Figures:Unit Status Flowchart</w:instrText>
      </w:r>
      <w:r w:rsidR="00FA7E65">
        <w:instrText>”</w:instrText>
      </w:r>
      <w:r>
        <w:instrText xml:space="preserve"> </w:instrText>
      </w:r>
      <w:r>
        <w:fldChar w:fldCharType="end"/>
      </w:r>
    </w:p>
    <w:p w14:paraId="2BE175B2" w14:textId="77777777" w:rsidR="002A21AE" w:rsidRDefault="002A21AE">
      <w:pPr>
        <w:pStyle w:val="Heading4"/>
      </w:pPr>
      <w:r>
        <w:t>Types of Unit Statuses</w:t>
      </w:r>
    </w:p>
    <w:p w14:paraId="036CEF3B" w14:textId="77777777" w:rsidR="002A21AE" w:rsidRDefault="002A21AE">
      <w:pPr>
        <w:pStyle w:val="ListBullet"/>
      </w:pPr>
      <w:r>
        <w:t>Temporary: awaiting ABO/Rh confirmation (lime green on the flowchart)</w:t>
      </w:r>
    </w:p>
    <w:p w14:paraId="05225B71" w14:textId="77777777" w:rsidR="002A21AE" w:rsidRDefault="002A21AE">
      <w:pPr>
        <w:pStyle w:val="ListBullet"/>
      </w:pPr>
      <w:r>
        <w:t>Adjustable: may move in and out of the status as part of normal processing</w:t>
      </w:r>
    </w:p>
    <w:p w14:paraId="121AA996" w14:textId="77777777" w:rsidR="002A21AE" w:rsidRDefault="002A21AE">
      <w:pPr>
        <w:pStyle w:val="ListBullet"/>
      </w:pPr>
      <w:r>
        <w:t>Issued: pending an update to transfusion or return (bright green in the flowchart)</w:t>
      </w:r>
    </w:p>
    <w:p w14:paraId="23E8A76D" w14:textId="77777777" w:rsidR="002A21AE" w:rsidRDefault="002A21AE">
      <w:pPr>
        <w:pStyle w:val="ListBullet"/>
      </w:pPr>
      <w:r>
        <w:t>Final: the unit is no longer available for most processes in the division; the unit record remains active (pink and stop signs in the flowchart)</w:t>
      </w:r>
    </w:p>
    <w:p w14:paraId="2F6BC276" w14:textId="77777777" w:rsidR="002A21AE" w:rsidRDefault="002A21AE">
      <w:pPr>
        <w:pStyle w:val="Heading4"/>
      </w:pPr>
      <w:r>
        <w:t>Indicators Associated with Units</w:t>
      </w:r>
    </w:p>
    <w:p w14:paraId="540FF5BE" w14:textId="77777777" w:rsidR="002A21AE" w:rsidRDefault="002A21AE">
      <w:pPr>
        <w:pStyle w:val="ListBullet"/>
      </w:pPr>
      <w:r>
        <w:t>Quarantined: attaches to the unit record and status when the unit is quarantined. Removed by releasing the unit from quarantined.</w:t>
      </w:r>
    </w:p>
    <w:p w14:paraId="035361CE" w14:textId="77777777" w:rsidR="002A21AE" w:rsidRDefault="002A21AE">
      <w:pPr>
        <w:pStyle w:val="ListBullet"/>
      </w:pPr>
      <w:r>
        <w:t>Presumed: attaches to the unit record only when the unit is in an issued unit status for more than 48 hours. Remains on the unit record if no transfusion information is entered through Post-Transfusion Information and Document ABO Incompatible Transfusion.</w:t>
      </w:r>
    </w:p>
    <w:p w14:paraId="30DBBEE7" w14:textId="7E2EF6AA" w:rsidR="002A21AE" w:rsidRDefault="002A21AE">
      <w:pPr>
        <w:pStyle w:val="Caption"/>
      </w:pPr>
      <w:bookmarkStart w:id="692" w:name="_Toc97523644"/>
      <w:r>
        <w:br w:type="page"/>
      </w:r>
      <w:bookmarkStart w:id="693" w:name="_Ref126467968"/>
      <w:bookmarkStart w:id="694" w:name="_Toc97527614"/>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148</w:t>
      </w:r>
      <w:r w:rsidR="004E20BD">
        <w:rPr>
          <w:noProof/>
        </w:rPr>
        <w:fldChar w:fldCharType="end"/>
      </w:r>
      <w:bookmarkEnd w:id="693"/>
      <w:r>
        <w:t xml:space="preserve">: </w:t>
      </w:r>
      <w:r>
        <w:rPr>
          <w:vanish/>
        </w:rPr>
        <w:t xml:space="preserve">TT_27.01C </w:t>
      </w:r>
      <w:r>
        <w:t>Unit Status Flowchart</w:t>
      </w:r>
      <w:bookmarkEnd w:id="692"/>
      <w:bookmarkEnd w:id="694"/>
    </w:p>
    <w:p w14:paraId="79377E0E" w14:textId="12367F16" w:rsidR="002A21AE" w:rsidRDefault="006E5147" w:rsidP="002C179C">
      <w:pPr>
        <w:pStyle w:val="BodyText"/>
      </w:pPr>
      <w:r w:rsidRPr="00A53F2E">
        <w:rPr>
          <w:rFonts w:ascii="Arial" w:hAnsi="Arial"/>
          <w:sz w:val="20"/>
        </w:rPr>
        <w:object w:dxaOrig="3475" w:dyaOrig="4320" w14:anchorId="55B6EB3A">
          <v:shape id="_x0000_i1033" type="#_x0000_t75" alt="P15678#yIS1" style="width:475.8pt;height:489.6pt" o:ole="" fillcolor="window">
            <v:imagedata r:id="rId242" o:title="" croptop="6031f"/>
          </v:shape>
          <o:OLEObject Type="Embed" ProgID="Visio.Drawing.11" ShapeID="_x0000_i1033" DrawAspect="Content" ObjectID="_1693288314" r:id="rId243"/>
        </w:object>
      </w:r>
    </w:p>
    <w:p w14:paraId="60EBE3A2" w14:textId="77777777" w:rsidR="002A21AE" w:rsidRDefault="002A21AE">
      <w:pPr>
        <w:pStyle w:val="Heading3"/>
      </w:pPr>
      <w:r>
        <w:br w:type="page"/>
      </w:r>
      <w:bookmarkStart w:id="695" w:name="_Toc91323790"/>
      <w:r w:rsidR="00966400">
        <w:rPr>
          <w:rFonts w:ascii="Geneva" w:hAnsi="Geneva"/>
          <w:vanish/>
        </w:rPr>
        <w:lastRenderedPageBreak/>
        <w:t xml:space="preserve"> </w:t>
      </w:r>
      <w:r>
        <w:rPr>
          <w:rFonts w:ascii="Geneva" w:hAnsi="Geneva"/>
          <w:vanish/>
        </w:rPr>
        <w:t>PT_32.01</w:t>
      </w:r>
      <w:r>
        <w:rPr>
          <w:rFonts w:ascii="Geneva" w:hAnsi="Geneva"/>
          <w:vanish/>
          <w:sz w:val="16"/>
        </w:rPr>
        <w:t xml:space="preserve"> </w:t>
      </w:r>
      <w:bookmarkStart w:id="696" w:name="_Toc4588876"/>
      <w:r>
        <w:t>VBECS Maximum Surgical Blood Order Schedule</w:t>
      </w:r>
      <w:bookmarkEnd w:id="696"/>
      <w:r>
        <w:fldChar w:fldCharType="begin"/>
      </w:r>
      <w:r>
        <w:instrText xml:space="preserve"> XE </w:instrText>
      </w:r>
      <w:r w:rsidR="00FA7E65">
        <w:instrText>“</w:instrText>
      </w:r>
      <w:r>
        <w:instrText>Tables:VBECS Maximum Surgical Blood Order Schedule (MSBOS)</w:instrText>
      </w:r>
      <w:r w:rsidR="00FA7E65">
        <w:instrText>”</w:instrText>
      </w:r>
      <w:r>
        <w:instrText xml:space="preserve"> </w:instrText>
      </w:r>
      <w:r>
        <w:fldChar w:fldCharType="end"/>
      </w:r>
    </w:p>
    <w:p w14:paraId="5488A421" w14:textId="7EF3FEED" w:rsidR="002A21AE" w:rsidRDefault="002A21AE">
      <w:pPr>
        <w:pStyle w:val="Caption"/>
      </w:pPr>
      <w:bookmarkStart w:id="697" w:name="_Ref126732493"/>
      <w:bookmarkStart w:id="698" w:name="_Toc97523646"/>
      <w:bookmarkStart w:id="699" w:name="_Toc97527616"/>
      <w:bookmarkStart w:id="700" w:name="_Ref126484549"/>
      <w:bookmarkStart w:id="701" w:name="_Ref126504270"/>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647F4E">
        <w:rPr>
          <w:noProof/>
        </w:rPr>
        <w:t>24</w:t>
      </w:r>
      <w:r w:rsidR="004E20BD">
        <w:rPr>
          <w:noProof/>
        </w:rPr>
        <w:fldChar w:fldCharType="end"/>
      </w:r>
      <w:bookmarkEnd w:id="697"/>
      <w:r>
        <w:t xml:space="preserve">: </w:t>
      </w:r>
      <w:r>
        <w:rPr>
          <w:vanish/>
        </w:rPr>
        <w:t>PT_32.01</w:t>
      </w:r>
      <w:r>
        <w:rPr>
          <w:vanish/>
          <w:sz w:val="16"/>
        </w:rPr>
        <w:t xml:space="preserve"> </w:t>
      </w:r>
      <w:r>
        <w:t>VBECS Maximum Surgical Blood Order Schedule (MSBOS)</w:t>
      </w:r>
      <w:bookmarkEnd w:id="695"/>
      <w:bookmarkEnd w:id="698"/>
      <w:bookmarkEnd w:id="699"/>
      <w:bookmarkEnd w:id="700"/>
      <w:bookmarkEnd w:id="701"/>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680"/>
      </w:tblGrid>
      <w:tr w:rsidR="00CF62EC" w14:paraId="30C8FDB3" w14:textId="77777777">
        <w:trPr>
          <w:tblHeader/>
        </w:trPr>
        <w:tc>
          <w:tcPr>
            <w:tcW w:w="9360" w:type="dxa"/>
            <w:gridSpan w:val="2"/>
            <w:shd w:val="clear" w:color="auto" w:fill="B3B3B3"/>
            <w:vAlign w:val="bottom"/>
          </w:tcPr>
          <w:p w14:paraId="190D5D82" w14:textId="77777777" w:rsidR="00CF62EC" w:rsidRDefault="00CF62EC" w:rsidP="00CF62EC">
            <w:pPr>
              <w:pStyle w:val="TableText"/>
            </w:pPr>
            <w:r w:rsidRPr="00887834">
              <w:rPr>
                <w:b/>
              </w:rPr>
              <w:t>VBECS Maximum Surgical Blood Order Schedule (MSBOS)</w:t>
            </w:r>
          </w:p>
        </w:tc>
      </w:tr>
      <w:tr w:rsidR="00CF62EC" w14:paraId="6CD3C256" w14:textId="77777777">
        <w:tc>
          <w:tcPr>
            <w:tcW w:w="4680" w:type="dxa"/>
            <w:vAlign w:val="bottom"/>
          </w:tcPr>
          <w:p w14:paraId="29B97BB8" w14:textId="77777777" w:rsidR="00CF62EC" w:rsidRDefault="00CF62EC" w:rsidP="00CF62EC">
            <w:pPr>
              <w:pStyle w:val="TableText"/>
            </w:pPr>
            <w:r>
              <w:t>Abdominal-Perineal resection</w:t>
            </w:r>
          </w:p>
        </w:tc>
        <w:tc>
          <w:tcPr>
            <w:tcW w:w="4680" w:type="dxa"/>
            <w:vAlign w:val="bottom"/>
          </w:tcPr>
          <w:p w14:paraId="4BCC0474" w14:textId="77777777" w:rsidR="00CF62EC" w:rsidRDefault="00CF62EC" w:rsidP="00CF62EC">
            <w:pPr>
              <w:pStyle w:val="TableText"/>
            </w:pPr>
            <w:r>
              <w:t>Keratectomy</w:t>
            </w:r>
          </w:p>
        </w:tc>
      </w:tr>
      <w:tr w:rsidR="00CF62EC" w14:paraId="4FB8650D" w14:textId="77777777">
        <w:tc>
          <w:tcPr>
            <w:tcW w:w="4680" w:type="dxa"/>
            <w:vAlign w:val="bottom"/>
          </w:tcPr>
          <w:p w14:paraId="12D3422C" w14:textId="77777777" w:rsidR="00CF62EC" w:rsidRDefault="00CF62EC" w:rsidP="00CF62EC">
            <w:pPr>
              <w:pStyle w:val="TableText"/>
            </w:pPr>
            <w:r>
              <w:t>Adrenalectomy</w:t>
            </w:r>
          </w:p>
        </w:tc>
        <w:tc>
          <w:tcPr>
            <w:tcW w:w="4680" w:type="dxa"/>
            <w:vAlign w:val="bottom"/>
          </w:tcPr>
          <w:p w14:paraId="4D9E5F3C" w14:textId="77777777" w:rsidR="00CF62EC" w:rsidRDefault="00CF62EC" w:rsidP="00CF62EC">
            <w:pPr>
              <w:pStyle w:val="TableText"/>
            </w:pPr>
            <w:r>
              <w:t>Hernia repair</w:t>
            </w:r>
          </w:p>
        </w:tc>
      </w:tr>
      <w:tr w:rsidR="00CF62EC" w14:paraId="0E5EE4F9" w14:textId="77777777">
        <w:tc>
          <w:tcPr>
            <w:tcW w:w="4680" w:type="dxa"/>
            <w:vAlign w:val="bottom"/>
          </w:tcPr>
          <w:p w14:paraId="70097EE8" w14:textId="77777777" w:rsidR="00CF62EC" w:rsidRDefault="00CF62EC" w:rsidP="00CF62EC">
            <w:pPr>
              <w:pStyle w:val="TableText"/>
            </w:pPr>
            <w:r>
              <w:t>Amputation (A/K, B/K)</w:t>
            </w:r>
          </w:p>
        </w:tc>
        <w:tc>
          <w:tcPr>
            <w:tcW w:w="4680" w:type="dxa"/>
            <w:vAlign w:val="bottom"/>
          </w:tcPr>
          <w:p w14:paraId="37568CA8" w14:textId="77777777" w:rsidR="00CF62EC" w:rsidRDefault="00CF62EC" w:rsidP="00CF62EC">
            <w:pPr>
              <w:pStyle w:val="TableText"/>
            </w:pPr>
            <w:r>
              <w:t>Hip Replacement, total</w:t>
            </w:r>
          </w:p>
        </w:tc>
      </w:tr>
      <w:tr w:rsidR="00CF62EC" w14:paraId="0D6BA7A3" w14:textId="77777777">
        <w:tc>
          <w:tcPr>
            <w:tcW w:w="4680" w:type="dxa"/>
            <w:vAlign w:val="bottom"/>
          </w:tcPr>
          <w:p w14:paraId="6982D30F" w14:textId="77777777" w:rsidR="00CF62EC" w:rsidRDefault="00CF62EC" w:rsidP="00CF62EC">
            <w:pPr>
              <w:pStyle w:val="TableText"/>
            </w:pPr>
            <w:r>
              <w:t>Aneurysm, aortic</w:t>
            </w:r>
          </w:p>
        </w:tc>
        <w:tc>
          <w:tcPr>
            <w:tcW w:w="4680" w:type="dxa"/>
            <w:vAlign w:val="bottom"/>
          </w:tcPr>
          <w:p w14:paraId="5AE7E5E7" w14:textId="77777777" w:rsidR="00CF62EC" w:rsidRDefault="00CF62EC" w:rsidP="00CF62EC">
            <w:pPr>
              <w:pStyle w:val="TableText"/>
            </w:pPr>
            <w:r>
              <w:t>Hip Replacement, revision</w:t>
            </w:r>
          </w:p>
        </w:tc>
      </w:tr>
      <w:tr w:rsidR="00CF62EC" w14:paraId="338C6480" w14:textId="77777777">
        <w:tc>
          <w:tcPr>
            <w:tcW w:w="4680" w:type="dxa"/>
            <w:vAlign w:val="bottom"/>
          </w:tcPr>
          <w:p w14:paraId="760ACE16" w14:textId="77777777" w:rsidR="00CF62EC" w:rsidRDefault="00CF62EC" w:rsidP="00CF62EC">
            <w:pPr>
              <w:pStyle w:val="TableText"/>
            </w:pPr>
            <w:r>
              <w:t>Aneurysm, abdominal</w:t>
            </w:r>
          </w:p>
        </w:tc>
        <w:tc>
          <w:tcPr>
            <w:tcW w:w="4680" w:type="dxa"/>
            <w:vAlign w:val="bottom"/>
          </w:tcPr>
          <w:p w14:paraId="179112D6" w14:textId="77777777" w:rsidR="00CF62EC" w:rsidRDefault="00CF62EC" w:rsidP="00CF62EC">
            <w:pPr>
              <w:pStyle w:val="TableText"/>
            </w:pPr>
            <w:r>
              <w:t>Knee Replacement, total</w:t>
            </w:r>
          </w:p>
        </w:tc>
      </w:tr>
      <w:tr w:rsidR="00CF62EC" w14:paraId="099F8148" w14:textId="77777777">
        <w:tc>
          <w:tcPr>
            <w:tcW w:w="4680" w:type="dxa"/>
            <w:vAlign w:val="bottom"/>
          </w:tcPr>
          <w:p w14:paraId="2BF8444A" w14:textId="77777777" w:rsidR="00CF62EC" w:rsidRDefault="00CF62EC" w:rsidP="00CF62EC">
            <w:pPr>
              <w:pStyle w:val="TableText"/>
            </w:pPr>
            <w:r>
              <w:t>Aneurysm, thoracic</w:t>
            </w:r>
          </w:p>
        </w:tc>
        <w:tc>
          <w:tcPr>
            <w:tcW w:w="4680" w:type="dxa"/>
            <w:vAlign w:val="bottom"/>
          </w:tcPr>
          <w:p w14:paraId="6E6090CA" w14:textId="77777777" w:rsidR="00CF62EC" w:rsidRDefault="00CF62EC" w:rsidP="00CF62EC">
            <w:pPr>
              <w:pStyle w:val="TableText"/>
            </w:pPr>
            <w:r>
              <w:t>Laminectomy, cervical, thoracic, or lumbar</w:t>
            </w:r>
          </w:p>
        </w:tc>
      </w:tr>
      <w:tr w:rsidR="00CF62EC" w14:paraId="08017095" w14:textId="77777777">
        <w:tc>
          <w:tcPr>
            <w:tcW w:w="4680" w:type="dxa"/>
            <w:vAlign w:val="bottom"/>
          </w:tcPr>
          <w:p w14:paraId="472F7036" w14:textId="77777777" w:rsidR="00CF62EC" w:rsidRDefault="00CF62EC" w:rsidP="00CF62EC">
            <w:pPr>
              <w:pStyle w:val="TableText"/>
            </w:pPr>
            <w:r>
              <w:t>Aneurysm, cranial</w:t>
            </w:r>
          </w:p>
        </w:tc>
        <w:tc>
          <w:tcPr>
            <w:tcW w:w="4680" w:type="dxa"/>
            <w:vAlign w:val="bottom"/>
          </w:tcPr>
          <w:p w14:paraId="01F0A548" w14:textId="77777777" w:rsidR="00CF62EC" w:rsidRDefault="00CF62EC" w:rsidP="00CF62EC">
            <w:pPr>
              <w:pStyle w:val="TableText"/>
            </w:pPr>
            <w:r>
              <w:t>Laminectomy, disk repair</w:t>
            </w:r>
          </w:p>
        </w:tc>
      </w:tr>
      <w:tr w:rsidR="00CF62EC" w14:paraId="3D5B3652" w14:textId="77777777">
        <w:tc>
          <w:tcPr>
            <w:tcW w:w="4680" w:type="dxa"/>
            <w:vAlign w:val="bottom"/>
          </w:tcPr>
          <w:p w14:paraId="3A48CB2A" w14:textId="77777777" w:rsidR="00CF62EC" w:rsidRDefault="00CF62EC" w:rsidP="00CF62EC">
            <w:pPr>
              <w:pStyle w:val="TableText"/>
            </w:pPr>
            <w:r>
              <w:t>Aorto-Femoral Bypass</w:t>
            </w:r>
          </w:p>
        </w:tc>
        <w:tc>
          <w:tcPr>
            <w:tcW w:w="4680" w:type="dxa"/>
            <w:vAlign w:val="bottom"/>
          </w:tcPr>
          <w:p w14:paraId="15A6DC39" w14:textId="77777777" w:rsidR="00CF62EC" w:rsidRDefault="00CF62EC" w:rsidP="00CF62EC">
            <w:pPr>
              <w:pStyle w:val="TableText"/>
            </w:pPr>
            <w:r>
              <w:t>Laparotomy, exploratory</w:t>
            </w:r>
          </w:p>
        </w:tc>
      </w:tr>
      <w:tr w:rsidR="00CF62EC" w14:paraId="50F18771" w14:textId="77777777">
        <w:tc>
          <w:tcPr>
            <w:tcW w:w="4680" w:type="dxa"/>
            <w:vAlign w:val="bottom"/>
          </w:tcPr>
          <w:p w14:paraId="6F3FC9CB" w14:textId="77777777" w:rsidR="00CF62EC" w:rsidRDefault="00CF62EC" w:rsidP="00CF62EC">
            <w:pPr>
              <w:pStyle w:val="TableText"/>
            </w:pPr>
            <w:r>
              <w:t>Appendectomy</w:t>
            </w:r>
          </w:p>
        </w:tc>
        <w:tc>
          <w:tcPr>
            <w:tcW w:w="4680" w:type="dxa"/>
            <w:vAlign w:val="bottom"/>
          </w:tcPr>
          <w:p w14:paraId="7D2D610F" w14:textId="77777777" w:rsidR="00CF62EC" w:rsidRDefault="00CF62EC" w:rsidP="00CF62EC">
            <w:pPr>
              <w:pStyle w:val="TableText"/>
            </w:pPr>
            <w:r>
              <w:t>Laryngectomy</w:t>
            </w:r>
          </w:p>
        </w:tc>
      </w:tr>
      <w:tr w:rsidR="00CF62EC" w14:paraId="6F1FA9F3" w14:textId="77777777">
        <w:tc>
          <w:tcPr>
            <w:tcW w:w="4680" w:type="dxa"/>
            <w:vAlign w:val="bottom"/>
          </w:tcPr>
          <w:p w14:paraId="5CE5D1CA" w14:textId="77777777" w:rsidR="00CF62EC" w:rsidRDefault="00CF62EC" w:rsidP="00CF62EC">
            <w:pPr>
              <w:pStyle w:val="TableText"/>
            </w:pPr>
            <w:r>
              <w:t>Coronary Bypass Graft (CABG)</w:t>
            </w:r>
          </w:p>
        </w:tc>
        <w:tc>
          <w:tcPr>
            <w:tcW w:w="4680" w:type="dxa"/>
            <w:vAlign w:val="bottom"/>
          </w:tcPr>
          <w:p w14:paraId="77AE271E" w14:textId="77777777" w:rsidR="00CF62EC" w:rsidRDefault="00CF62EC" w:rsidP="00CF62EC">
            <w:pPr>
              <w:pStyle w:val="TableText"/>
            </w:pPr>
            <w:r>
              <w:t>Lobectomy, pulmonary</w:t>
            </w:r>
          </w:p>
        </w:tc>
      </w:tr>
      <w:tr w:rsidR="00CF62EC" w14:paraId="11CE8778" w14:textId="77777777">
        <w:tc>
          <w:tcPr>
            <w:tcW w:w="4680" w:type="dxa"/>
            <w:vAlign w:val="bottom"/>
          </w:tcPr>
          <w:p w14:paraId="2CC7B974" w14:textId="77777777" w:rsidR="00CF62EC" w:rsidRDefault="00CF62EC" w:rsidP="00CF62EC">
            <w:pPr>
              <w:pStyle w:val="TableText"/>
            </w:pPr>
            <w:r>
              <w:t>Coronary Bypass Graft (CABG), redo</w:t>
            </w:r>
          </w:p>
        </w:tc>
        <w:tc>
          <w:tcPr>
            <w:tcW w:w="4680" w:type="dxa"/>
            <w:vAlign w:val="bottom"/>
          </w:tcPr>
          <w:p w14:paraId="05225975" w14:textId="77777777" w:rsidR="00CF62EC" w:rsidRDefault="00CF62EC" w:rsidP="00CF62EC">
            <w:pPr>
              <w:pStyle w:val="TableText"/>
            </w:pPr>
            <w:r>
              <w:t>Mandibulectomy</w:t>
            </w:r>
          </w:p>
        </w:tc>
      </w:tr>
      <w:tr w:rsidR="00CF62EC" w14:paraId="307F5EC1" w14:textId="77777777">
        <w:tc>
          <w:tcPr>
            <w:tcW w:w="4680" w:type="dxa"/>
            <w:vAlign w:val="bottom"/>
          </w:tcPr>
          <w:p w14:paraId="3B2FAF48" w14:textId="77777777" w:rsidR="00CF62EC" w:rsidRDefault="00CF62EC" w:rsidP="00CF62EC">
            <w:pPr>
              <w:pStyle w:val="TableText"/>
            </w:pPr>
            <w:r>
              <w:t>Carotid Endarterectomy</w:t>
            </w:r>
          </w:p>
        </w:tc>
        <w:tc>
          <w:tcPr>
            <w:tcW w:w="4680" w:type="dxa"/>
            <w:vAlign w:val="bottom"/>
          </w:tcPr>
          <w:p w14:paraId="2F6428D6" w14:textId="77777777" w:rsidR="00CF62EC" w:rsidRDefault="00CF62EC" w:rsidP="00CF62EC">
            <w:pPr>
              <w:pStyle w:val="TableText"/>
            </w:pPr>
            <w:r>
              <w:t>Mastectomy, radical</w:t>
            </w:r>
          </w:p>
        </w:tc>
      </w:tr>
      <w:tr w:rsidR="00CF62EC" w14:paraId="05E6CD25" w14:textId="77777777">
        <w:tc>
          <w:tcPr>
            <w:tcW w:w="4680" w:type="dxa"/>
            <w:vAlign w:val="bottom"/>
          </w:tcPr>
          <w:p w14:paraId="2162D0C1" w14:textId="77777777" w:rsidR="00CF62EC" w:rsidRDefault="00CF62EC" w:rsidP="00CF62EC">
            <w:pPr>
              <w:pStyle w:val="TableText"/>
            </w:pPr>
            <w:r>
              <w:t>Cervical Discectomy</w:t>
            </w:r>
          </w:p>
        </w:tc>
        <w:tc>
          <w:tcPr>
            <w:tcW w:w="4680" w:type="dxa"/>
            <w:vAlign w:val="bottom"/>
          </w:tcPr>
          <w:p w14:paraId="66EF5041" w14:textId="77777777" w:rsidR="00CF62EC" w:rsidRDefault="00CF62EC" w:rsidP="00CF62EC">
            <w:pPr>
              <w:pStyle w:val="TableText"/>
            </w:pPr>
            <w:r>
              <w:t>Maxillectomy</w:t>
            </w:r>
          </w:p>
        </w:tc>
      </w:tr>
      <w:tr w:rsidR="00CF62EC" w14:paraId="160EB6DD" w14:textId="77777777">
        <w:tc>
          <w:tcPr>
            <w:tcW w:w="4680" w:type="dxa"/>
            <w:vAlign w:val="bottom"/>
          </w:tcPr>
          <w:p w14:paraId="0258BDC4" w14:textId="77777777" w:rsidR="00CF62EC" w:rsidRDefault="00CF62EC" w:rsidP="00CF62EC">
            <w:pPr>
              <w:pStyle w:val="TableText"/>
            </w:pPr>
            <w:r>
              <w:t>Cervical Fusion</w:t>
            </w:r>
          </w:p>
        </w:tc>
        <w:tc>
          <w:tcPr>
            <w:tcW w:w="4680" w:type="dxa"/>
            <w:vAlign w:val="bottom"/>
          </w:tcPr>
          <w:p w14:paraId="2174B9F5" w14:textId="77777777" w:rsidR="00CF62EC" w:rsidRDefault="00CF62EC" w:rsidP="00CF62EC">
            <w:pPr>
              <w:pStyle w:val="TableText"/>
            </w:pPr>
            <w:r>
              <w:t>Nephrectomy</w:t>
            </w:r>
          </w:p>
        </w:tc>
      </w:tr>
      <w:tr w:rsidR="00CF62EC" w14:paraId="2AE22CB3" w14:textId="77777777">
        <w:tc>
          <w:tcPr>
            <w:tcW w:w="4680" w:type="dxa"/>
            <w:vAlign w:val="bottom"/>
          </w:tcPr>
          <w:p w14:paraId="4D89F202" w14:textId="77777777" w:rsidR="00CF62EC" w:rsidRDefault="00CF62EC" w:rsidP="00CF62EC">
            <w:pPr>
              <w:pStyle w:val="TableText"/>
            </w:pPr>
            <w:r>
              <w:t>Cholecystectomy</w:t>
            </w:r>
          </w:p>
        </w:tc>
        <w:tc>
          <w:tcPr>
            <w:tcW w:w="4680" w:type="dxa"/>
            <w:vAlign w:val="bottom"/>
          </w:tcPr>
          <w:p w14:paraId="401619A2" w14:textId="77777777" w:rsidR="00CF62EC" w:rsidRDefault="00CF62EC" w:rsidP="00CF62EC">
            <w:pPr>
              <w:pStyle w:val="TableText"/>
            </w:pPr>
            <w:r>
              <w:t>Pancreatectomy</w:t>
            </w:r>
          </w:p>
        </w:tc>
      </w:tr>
      <w:tr w:rsidR="00CF62EC" w14:paraId="67A7F7B9" w14:textId="77777777">
        <w:tc>
          <w:tcPr>
            <w:tcW w:w="4680" w:type="dxa"/>
            <w:vAlign w:val="bottom"/>
          </w:tcPr>
          <w:p w14:paraId="41D9A87E" w14:textId="77777777" w:rsidR="00CF62EC" w:rsidRDefault="00CF62EC" w:rsidP="00CF62EC">
            <w:pPr>
              <w:pStyle w:val="TableText"/>
            </w:pPr>
            <w:r>
              <w:t>Cholostomy</w:t>
            </w:r>
          </w:p>
        </w:tc>
        <w:tc>
          <w:tcPr>
            <w:tcW w:w="4680" w:type="dxa"/>
            <w:vAlign w:val="bottom"/>
          </w:tcPr>
          <w:p w14:paraId="5621BEF7" w14:textId="77777777" w:rsidR="00CF62EC" w:rsidRDefault="00CF62EC" w:rsidP="00CF62EC">
            <w:pPr>
              <w:pStyle w:val="TableText"/>
            </w:pPr>
            <w:r>
              <w:t>Parathyroidectomy</w:t>
            </w:r>
          </w:p>
        </w:tc>
      </w:tr>
      <w:tr w:rsidR="00CF62EC" w14:paraId="66C503FE" w14:textId="77777777">
        <w:tc>
          <w:tcPr>
            <w:tcW w:w="4680" w:type="dxa"/>
            <w:vAlign w:val="bottom"/>
          </w:tcPr>
          <w:p w14:paraId="31D766EC" w14:textId="77777777" w:rsidR="00CF62EC" w:rsidRDefault="00CF62EC" w:rsidP="00CF62EC">
            <w:pPr>
              <w:pStyle w:val="TableText"/>
            </w:pPr>
            <w:r>
              <w:t>Colectomy</w:t>
            </w:r>
          </w:p>
        </w:tc>
        <w:tc>
          <w:tcPr>
            <w:tcW w:w="4680" w:type="dxa"/>
            <w:vAlign w:val="bottom"/>
          </w:tcPr>
          <w:p w14:paraId="2F944919" w14:textId="77777777" w:rsidR="00CF62EC" w:rsidRDefault="00CF62EC" w:rsidP="00CF62EC">
            <w:pPr>
              <w:pStyle w:val="TableText"/>
            </w:pPr>
            <w:r>
              <w:t>Portocaval Shunt</w:t>
            </w:r>
          </w:p>
        </w:tc>
      </w:tr>
      <w:tr w:rsidR="00CF62EC" w14:paraId="1BC6CB0E" w14:textId="77777777">
        <w:tc>
          <w:tcPr>
            <w:tcW w:w="4680" w:type="dxa"/>
            <w:vAlign w:val="bottom"/>
          </w:tcPr>
          <w:p w14:paraId="2F372528" w14:textId="77777777" w:rsidR="00CF62EC" w:rsidRDefault="00CF62EC" w:rsidP="00CF62EC">
            <w:pPr>
              <w:pStyle w:val="TableText"/>
            </w:pPr>
            <w:r>
              <w:t>Colon Resection</w:t>
            </w:r>
          </w:p>
        </w:tc>
        <w:tc>
          <w:tcPr>
            <w:tcW w:w="4680" w:type="dxa"/>
            <w:vAlign w:val="bottom"/>
          </w:tcPr>
          <w:p w14:paraId="71992900" w14:textId="77777777" w:rsidR="00CF62EC" w:rsidRDefault="00CF62EC" w:rsidP="00CF62EC">
            <w:pPr>
              <w:pStyle w:val="TableText"/>
            </w:pPr>
            <w:r>
              <w:t>Prostatectomy</w:t>
            </w:r>
          </w:p>
        </w:tc>
      </w:tr>
      <w:tr w:rsidR="00CF62EC" w14:paraId="7B7FD2A1" w14:textId="77777777">
        <w:tc>
          <w:tcPr>
            <w:tcW w:w="4680" w:type="dxa"/>
            <w:vAlign w:val="bottom"/>
          </w:tcPr>
          <w:p w14:paraId="34689AD9" w14:textId="77777777" w:rsidR="00CF62EC" w:rsidRDefault="00CF62EC" w:rsidP="00CF62EC">
            <w:pPr>
              <w:pStyle w:val="TableText"/>
            </w:pPr>
            <w:r>
              <w:t>Craniotomy</w:t>
            </w:r>
          </w:p>
        </w:tc>
        <w:tc>
          <w:tcPr>
            <w:tcW w:w="4680" w:type="dxa"/>
            <w:vAlign w:val="bottom"/>
          </w:tcPr>
          <w:p w14:paraId="2C094A9A" w14:textId="77777777" w:rsidR="00CF62EC" w:rsidRDefault="00CF62EC" w:rsidP="00CF62EC">
            <w:pPr>
              <w:pStyle w:val="TableText"/>
            </w:pPr>
            <w:r>
              <w:t>Prostatectomy, total</w:t>
            </w:r>
          </w:p>
        </w:tc>
      </w:tr>
      <w:tr w:rsidR="00CF62EC" w14:paraId="46003A4E" w14:textId="77777777">
        <w:tc>
          <w:tcPr>
            <w:tcW w:w="4680" w:type="dxa"/>
            <w:vAlign w:val="bottom"/>
          </w:tcPr>
          <w:p w14:paraId="71C05EC6" w14:textId="77777777" w:rsidR="00CF62EC" w:rsidRDefault="00CF62EC" w:rsidP="00CF62EC">
            <w:pPr>
              <w:pStyle w:val="TableText"/>
            </w:pPr>
            <w:r>
              <w:t>Cystectomy</w:t>
            </w:r>
          </w:p>
        </w:tc>
        <w:tc>
          <w:tcPr>
            <w:tcW w:w="4680" w:type="dxa"/>
            <w:vAlign w:val="bottom"/>
          </w:tcPr>
          <w:p w14:paraId="7C00CE88" w14:textId="77777777" w:rsidR="00CF62EC" w:rsidRDefault="00CF62EC" w:rsidP="00CF62EC">
            <w:pPr>
              <w:pStyle w:val="TableText"/>
            </w:pPr>
            <w:r>
              <w:t>Radical Neck Dissection</w:t>
            </w:r>
          </w:p>
        </w:tc>
      </w:tr>
      <w:tr w:rsidR="00CF62EC" w14:paraId="6A35E2D6" w14:textId="77777777">
        <w:tc>
          <w:tcPr>
            <w:tcW w:w="4680" w:type="dxa"/>
            <w:vAlign w:val="bottom"/>
          </w:tcPr>
          <w:p w14:paraId="11C9A8C4" w14:textId="77777777" w:rsidR="00CF62EC" w:rsidRDefault="00CF62EC" w:rsidP="00CF62EC">
            <w:pPr>
              <w:pStyle w:val="TableText"/>
            </w:pPr>
            <w:r>
              <w:t>Cystolithotomy</w:t>
            </w:r>
          </w:p>
        </w:tc>
        <w:tc>
          <w:tcPr>
            <w:tcW w:w="4680" w:type="dxa"/>
            <w:vAlign w:val="bottom"/>
          </w:tcPr>
          <w:p w14:paraId="005C264C" w14:textId="77777777" w:rsidR="00CF62EC" w:rsidRDefault="00CF62EC" w:rsidP="00CF62EC">
            <w:pPr>
              <w:pStyle w:val="TableText"/>
            </w:pPr>
            <w:r>
              <w:t>Renal Transplant</w:t>
            </w:r>
          </w:p>
        </w:tc>
      </w:tr>
      <w:tr w:rsidR="00CF62EC" w14:paraId="7C8C661D" w14:textId="77777777">
        <w:tc>
          <w:tcPr>
            <w:tcW w:w="4680" w:type="dxa"/>
            <w:vAlign w:val="bottom"/>
          </w:tcPr>
          <w:p w14:paraId="304C128C" w14:textId="77777777" w:rsidR="00CF62EC" w:rsidRDefault="00CF62EC" w:rsidP="00CF62EC">
            <w:pPr>
              <w:pStyle w:val="TableText"/>
            </w:pPr>
            <w:r>
              <w:t>Cystoscopy</w:t>
            </w:r>
          </w:p>
        </w:tc>
        <w:tc>
          <w:tcPr>
            <w:tcW w:w="4680" w:type="dxa"/>
            <w:vAlign w:val="bottom"/>
          </w:tcPr>
          <w:p w14:paraId="71704ED0" w14:textId="77777777" w:rsidR="00CF62EC" w:rsidRDefault="00CF62EC" w:rsidP="00CF62EC">
            <w:pPr>
              <w:pStyle w:val="TableText"/>
            </w:pPr>
            <w:r>
              <w:t>Skin Flap</w:t>
            </w:r>
          </w:p>
        </w:tc>
      </w:tr>
      <w:tr w:rsidR="00CF62EC" w14:paraId="4A68FD42" w14:textId="77777777">
        <w:tc>
          <w:tcPr>
            <w:tcW w:w="4680" w:type="dxa"/>
            <w:vAlign w:val="bottom"/>
          </w:tcPr>
          <w:p w14:paraId="31365DBF" w14:textId="77777777" w:rsidR="00CF62EC" w:rsidRDefault="00CF62EC" w:rsidP="00CF62EC">
            <w:pPr>
              <w:pStyle w:val="TableText"/>
            </w:pPr>
            <w:r>
              <w:t>Embolectomy</w:t>
            </w:r>
          </w:p>
        </w:tc>
        <w:tc>
          <w:tcPr>
            <w:tcW w:w="4680" w:type="dxa"/>
            <w:vAlign w:val="bottom"/>
          </w:tcPr>
          <w:p w14:paraId="0DB741EE" w14:textId="77777777" w:rsidR="00CF62EC" w:rsidRDefault="00CF62EC" w:rsidP="00CF62EC">
            <w:pPr>
              <w:pStyle w:val="TableText"/>
            </w:pPr>
            <w:r>
              <w:t>Skin Graft</w:t>
            </w:r>
          </w:p>
        </w:tc>
      </w:tr>
      <w:tr w:rsidR="00CF62EC" w14:paraId="48535893" w14:textId="77777777">
        <w:tc>
          <w:tcPr>
            <w:tcW w:w="4680" w:type="dxa"/>
            <w:vAlign w:val="bottom"/>
          </w:tcPr>
          <w:p w14:paraId="38C8B6DA" w14:textId="77777777" w:rsidR="00CF62EC" w:rsidRDefault="00CF62EC" w:rsidP="00CF62EC">
            <w:pPr>
              <w:pStyle w:val="TableText"/>
            </w:pPr>
            <w:r>
              <w:t>Esophogeal Resection</w:t>
            </w:r>
          </w:p>
        </w:tc>
        <w:tc>
          <w:tcPr>
            <w:tcW w:w="4680" w:type="dxa"/>
            <w:vAlign w:val="bottom"/>
          </w:tcPr>
          <w:p w14:paraId="071B95ED" w14:textId="77777777" w:rsidR="00CF62EC" w:rsidRDefault="00CF62EC" w:rsidP="00CF62EC">
            <w:pPr>
              <w:pStyle w:val="TableText"/>
            </w:pPr>
            <w:r>
              <w:t>Splenectomy</w:t>
            </w:r>
          </w:p>
        </w:tc>
      </w:tr>
      <w:tr w:rsidR="00CF62EC" w14:paraId="4229CE79" w14:textId="77777777">
        <w:tc>
          <w:tcPr>
            <w:tcW w:w="4680" w:type="dxa"/>
            <w:vAlign w:val="bottom"/>
          </w:tcPr>
          <w:p w14:paraId="4079D113" w14:textId="77777777" w:rsidR="00CF62EC" w:rsidRDefault="00CF62EC" w:rsidP="00CF62EC">
            <w:pPr>
              <w:pStyle w:val="TableText"/>
            </w:pPr>
            <w:r>
              <w:t>Esophogectomy</w:t>
            </w:r>
          </w:p>
        </w:tc>
        <w:tc>
          <w:tcPr>
            <w:tcW w:w="4680" w:type="dxa"/>
            <w:vAlign w:val="bottom"/>
          </w:tcPr>
          <w:p w14:paraId="1C569F4B" w14:textId="77777777" w:rsidR="00CF62EC" w:rsidRDefault="00CF62EC" w:rsidP="00CF62EC">
            <w:pPr>
              <w:pStyle w:val="TableText"/>
            </w:pPr>
            <w:r>
              <w:t>Thyroidectomy</w:t>
            </w:r>
          </w:p>
        </w:tc>
      </w:tr>
      <w:tr w:rsidR="00CF62EC" w14:paraId="1C4D1E9B" w14:textId="77777777">
        <w:tc>
          <w:tcPr>
            <w:tcW w:w="4680" w:type="dxa"/>
            <w:vAlign w:val="bottom"/>
          </w:tcPr>
          <w:p w14:paraId="58E2C3B5" w14:textId="77777777" w:rsidR="00CF62EC" w:rsidRDefault="00CF62EC" w:rsidP="00CF62EC">
            <w:pPr>
              <w:pStyle w:val="TableText"/>
            </w:pPr>
            <w:r>
              <w:t>Femoral-Popiteal Bypass</w:t>
            </w:r>
          </w:p>
        </w:tc>
        <w:tc>
          <w:tcPr>
            <w:tcW w:w="4680" w:type="dxa"/>
            <w:vAlign w:val="bottom"/>
          </w:tcPr>
          <w:p w14:paraId="0E7AE919" w14:textId="77777777" w:rsidR="00CF62EC" w:rsidRDefault="00CF62EC" w:rsidP="00CF62EC">
            <w:pPr>
              <w:pStyle w:val="TableText"/>
            </w:pPr>
            <w:r>
              <w:t>Tracheostomy</w:t>
            </w:r>
          </w:p>
        </w:tc>
      </w:tr>
      <w:tr w:rsidR="00CF62EC" w14:paraId="72F8DC73" w14:textId="77777777">
        <w:tc>
          <w:tcPr>
            <w:tcW w:w="4680" w:type="dxa"/>
            <w:vAlign w:val="bottom"/>
          </w:tcPr>
          <w:p w14:paraId="559BCE77" w14:textId="77777777" w:rsidR="00CF62EC" w:rsidRDefault="00CF62EC" w:rsidP="00CF62EC">
            <w:pPr>
              <w:pStyle w:val="TableText"/>
            </w:pPr>
            <w:r>
              <w:t>Fracture, open reduction</w:t>
            </w:r>
          </w:p>
        </w:tc>
        <w:tc>
          <w:tcPr>
            <w:tcW w:w="4680" w:type="dxa"/>
            <w:vAlign w:val="bottom"/>
          </w:tcPr>
          <w:p w14:paraId="554C80DF" w14:textId="77777777" w:rsidR="00CF62EC" w:rsidRDefault="00CF62EC" w:rsidP="00CF62EC">
            <w:pPr>
              <w:pStyle w:val="TableText"/>
            </w:pPr>
            <w:r>
              <w:t>Transurethral Resection (TURP)</w:t>
            </w:r>
          </w:p>
        </w:tc>
      </w:tr>
      <w:tr w:rsidR="00CF62EC" w14:paraId="756AF399" w14:textId="77777777">
        <w:tc>
          <w:tcPr>
            <w:tcW w:w="4680" w:type="dxa"/>
            <w:vAlign w:val="bottom"/>
          </w:tcPr>
          <w:p w14:paraId="502E2821" w14:textId="77777777" w:rsidR="00CF62EC" w:rsidRDefault="00CF62EC" w:rsidP="00CF62EC">
            <w:pPr>
              <w:pStyle w:val="TableText"/>
            </w:pPr>
            <w:r>
              <w:t xml:space="preserve">Fusion, cervical or lumber </w:t>
            </w:r>
          </w:p>
        </w:tc>
        <w:tc>
          <w:tcPr>
            <w:tcW w:w="4680" w:type="dxa"/>
            <w:vAlign w:val="bottom"/>
          </w:tcPr>
          <w:p w14:paraId="15C659AD" w14:textId="77777777" w:rsidR="00CF62EC" w:rsidRDefault="00CF62EC" w:rsidP="00CF62EC">
            <w:pPr>
              <w:pStyle w:val="TableText"/>
            </w:pPr>
            <w:r>
              <w:t>Vagotomy</w:t>
            </w:r>
          </w:p>
        </w:tc>
      </w:tr>
      <w:tr w:rsidR="00CF62EC" w14:paraId="7C7D896D" w14:textId="77777777">
        <w:tc>
          <w:tcPr>
            <w:tcW w:w="4680" w:type="dxa"/>
            <w:vAlign w:val="bottom"/>
          </w:tcPr>
          <w:p w14:paraId="231025CD" w14:textId="77777777" w:rsidR="00CF62EC" w:rsidRDefault="00CF62EC" w:rsidP="00CF62EC">
            <w:pPr>
              <w:pStyle w:val="TableText"/>
            </w:pPr>
            <w:r>
              <w:t>Gastrectomy</w:t>
            </w:r>
          </w:p>
        </w:tc>
        <w:tc>
          <w:tcPr>
            <w:tcW w:w="4680" w:type="dxa"/>
            <w:vAlign w:val="bottom"/>
          </w:tcPr>
          <w:p w14:paraId="3D86EEA2" w14:textId="77777777" w:rsidR="00CF62EC" w:rsidRDefault="00CF62EC" w:rsidP="00CF62EC">
            <w:pPr>
              <w:pStyle w:val="TableText"/>
            </w:pPr>
            <w:r>
              <w:t>Valve replacement, aortic or mitral</w:t>
            </w:r>
          </w:p>
        </w:tc>
      </w:tr>
      <w:tr w:rsidR="00CF62EC" w14:paraId="1A7DE11E" w14:textId="77777777">
        <w:tc>
          <w:tcPr>
            <w:tcW w:w="4680" w:type="dxa"/>
            <w:vAlign w:val="bottom"/>
          </w:tcPr>
          <w:p w14:paraId="770E0CDC" w14:textId="77777777" w:rsidR="00CF62EC" w:rsidRDefault="00CF62EC" w:rsidP="00CF62EC">
            <w:pPr>
              <w:pStyle w:val="TableText"/>
            </w:pPr>
            <w:r>
              <w:t>Gastric Bypass</w:t>
            </w:r>
          </w:p>
        </w:tc>
        <w:tc>
          <w:tcPr>
            <w:tcW w:w="4680" w:type="dxa"/>
            <w:vAlign w:val="bottom"/>
          </w:tcPr>
          <w:p w14:paraId="71105445" w14:textId="77777777" w:rsidR="00CF62EC" w:rsidRDefault="00CF62EC" w:rsidP="00CF62EC">
            <w:pPr>
              <w:pStyle w:val="TableText"/>
            </w:pPr>
            <w:r>
              <w:t>Other*</w:t>
            </w:r>
          </w:p>
        </w:tc>
      </w:tr>
      <w:tr w:rsidR="00CF62EC" w14:paraId="135645A8" w14:textId="77777777">
        <w:tc>
          <w:tcPr>
            <w:tcW w:w="4680" w:type="dxa"/>
            <w:vAlign w:val="bottom"/>
          </w:tcPr>
          <w:p w14:paraId="6A31EDB9" w14:textId="77777777" w:rsidR="00CF62EC" w:rsidRDefault="00CF62EC" w:rsidP="00CF62EC">
            <w:pPr>
              <w:pStyle w:val="TableText"/>
            </w:pPr>
            <w:r>
              <w:t>Glossectomy</w:t>
            </w:r>
          </w:p>
        </w:tc>
        <w:tc>
          <w:tcPr>
            <w:tcW w:w="4680" w:type="dxa"/>
            <w:vAlign w:val="bottom"/>
          </w:tcPr>
          <w:p w14:paraId="1879CA65" w14:textId="77777777" w:rsidR="00CF62EC" w:rsidRDefault="00CF62EC" w:rsidP="00CF62EC">
            <w:pPr>
              <w:pStyle w:val="TableText"/>
            </w:pPr>
          </w:p>
        </w:tc>
      </w:tr>
      <w:tr w:rsidR="00CF62EC" w14:paraId="33D75104" w14:textId="77777777">
        <w:tc>
          <w:tcPr>
            <w:tcW w:w="4680" w:type="dxa"/>
            <w:vAlign w:val="bottom"/>
          </w:tcPr>
          <w:p w14:paraId="6FBB0403" w14:textId="77777777" w:rsidR="00CF62EC" w:rsidRDefault="00CF62EC" w:rsidP="00CF62EC">
            <w:pPr>
              <w:pStyle w:val="TableText"/>
            </w:pPr>
            <w:r>
              <w:t>Hematoma Evacuation, sub- or epidural</w:t>
            </w:r>
          </w:p>
        </w:tc>
        <w:tc>
          <w:tcPr>
            <w:tcW w:w="4680" w:type="dxa"/>
            <w:vAlign w:val="bottom"/>
          </w:tcPr>
          <w:p w14:paraId="7495D9F4" w14:textId="77777777" w:rsidR="00CF62EC" w:rsidRDefault="00CF62EC" w:rsidP="00CF62EC">
            <w:pPr>
              <w:pStyle w:val="TableText"/>
            </w:pPr>
          </w:p>
        </w:tc>
      </w:tr>
    </w:tbl>
    <w:p w14:paraId="664BC52B" w14:textId="77777777" w:rsidR="002A21AE" w:rsidRDefault="002A21AE" w:rsidP="00FA7E65">
      <w:pPr>
        <w:pStyle w:val="BodyText"/>
      </w:pPr>
      <w:r>
        <w:t>*Other surgeries entered in the Surgery Name field during order entry. (</w:t>
      </w:r>
      <w:r w:rsidR="00D5657D">
        <w:t>Local facilities may add</w:t>
      </w:r>
      <w:r w:rsidR="00EB26CD">
        <w:t xml:space="preserve"> surgeries</w:t>
      </w:r>
      <w:r w:rsidR="00D5657D">
        <w:t xml:space="preserve"> to this list</w:t>
      </w:r>
      <w:r>
        <w:t xml:space="preserve">.) Entries made during order entry will not have MSBOS component order recommendations. VBECS does not display “Other” in MSBOS. </w:t>
      </w:r>
    </w:p>
    <w:p w14:paraId="03D7DDBD" w14:textId="77777777" w:rsidR="008A701E" w:rsidRDefault="002A21AE" w:rsidP="008A701E">
      <w:pPr>
        <w:pStyle w:val="Heading3"/>
      </w:pPr>
      <w:r>
        <w:br w:type="page"/>
      </w:r>
      <w:bookmarkStart w:id="702" w:name="_Toc223489218"/>
      <w:r w:rsidR="00966400">
        <w:rPr>
          <w:rFonts w:ascii="Geneva" w:hAnsi="Geneva"/>
          <w:vanish/>
        </w:rPr>
        <w:lastRenderedPageBreak/>
        <w:t xml:space="preserve"> </w:t>
      </w:r>
      <w:r w:rsidR="008A701E">
        <w:rPr>
          <w:rFonts w:ascii="Geneva" w:hAnsi="Geneva"/>
          <w:vanish/>
        </w:rPr>
        <w:t>TT_109.01</w:t>
      </w:r>
      <w:r w:rsidR="008A701E">
        <w:rPr>
          <w:rFonts w:ascii="Geneva" w:hAnsi="Geneva"/>
          <w:vanish/>
          <w:sz w:val="16"/>
        </w:rPr>
        <w:t xml:space="preserve"> </w:t>
      </w:r>
      <w:bookmarkStart w:id="703" w:name="_Toc4588877"/>
      <w:r w:rsidR="008A701E">
        <w:t>BCE COTS Message Updates</w:t>
      </w:r>
      <w:bookmarkEnd w:id="702"/>
      <w:bookmarkEnd w:id="703"/>
      <w:r w:rsidR="008A701E">
        <w:fldChar w:fldCharType="begin"/>
      </w:r>
      <w:r w:rsidR="008A701E">
        <w:instrText xml:space="preserve"> XE “Tables:BCE COTS Message Updates” </w:instrText>
      </w:r>
      <w:r w:rsidR="008A701E">
        <w:fldChar w:fldCharType="end"/>
      </w:r>
    </w:p>
    <w:p w14:paraId="0B624A58" w14:textId="15376222" w:rsidR="008A701E" w:rsidRDefault="008A701E" w:rsidP="008A701E">
      <w:pPr>
        <w:pStyle w:val="Caption"/>
      </w:pPr>
      <w:bookmarkStart w:id="704" w:name="_Ref223406927"/>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647F4E">
        <w:rPr>
          <w:noProof/>
        </w:rPr>
        <w:t>25</w:t>
      </w:r>
      <w:r w:rsidR="004E20BD">
        <w:rPr>
          <w:noProof/>
        </w:rPr>
        <w:fldChar w:fldCharType="end"/>
      </w:r>
      <w:bookmarkEnd w:id="704"/>
      <w:r>
        <w:t xml:space="preserve">: </w:t>
      </w:r>
      <w:r>
        <w:rPr>
          <w:vanish/>
        </w:rPr>
        <w:t>TT_109.01</w:t>
      </w:r>
      <w:r>
        <w:rPr>
          <w:vanish/>
          <w:sz w:val="16"/>
        </w:rPr>
        <w:t xml:space="preserve"> </w:t>
      </w:r>
      <w:r>
        <w:t>BCE COTS Message Updates</w:t>
      </w:r>
    </w:p>
    <w:p w14:paraId="54CACBAA" w14:textId="77777777" w:rsidR="008A701E" w:rsidRPr="00A31869" w:rsidRDefault="008A701E" w:rsidP="008A701E">
      <w:pPr>
        <w:pStyle w:val="TableTextBullet"/>
        <w:numPr>
          <w:ilvl w:val="0"/>
          <w:numId w:val="0"/>
        </w:numPr>
        <w:ind w:left="90"/>
        <w:rPr>
          <w:rFonts w:ascii="Times New Roman" w:hAnsi="Times New Roman"/>
          <w:b/>
          <w:sz w:val="22"/>
          <w:szCs w:val="22"/>
        </w:rPr>
      </w:pPr>
      <w:r w:rsidRPr="00A31869">
        <w:rPr>
          <w:rFonts w:ascii="Times New Roman" w:hAnsi="Times New Roman"/>
          <w:sz w:val="22"/>
          <w:szCs w:val="22"/>
        </w:rPr>
        <w:t>This table identifies the specific subsequent processing of an assigned unit for one patient unit association that may or may not result in a change to the unit status or other quality and how that may or may not trigger an status change that requires update to the BCE COTS product.</w:t>
      </w:r>
      <w:r w:rsidRPr="00A31869">
        <w:rPr>
          <w:rFonts w:ascii="Times New Roman" w:hAnsi="Times New Roman"/>
          <w:b/>
          <w:sz w:val="22"/>
          <w:szCs w:val="22"/>
        </w:rPr>
        <w:t xml:space="preserve"> </w:t>
      </w:r>
    </w:p>
    <w:p w14:paraId="02F40D5B" w14:textId="77777777" w:rsidR="008A701E" w:rsidRDefault="008A701E" w:rsidP="008A701E">
      <w:pPr>
        <w:pStyle w:val="TableTextBullet"/>
        <w:numPr>
          <w:ilvl w:val="0"/>
          <w:numId w:val="0"/>
        </w:numPr>
        <w:ind w:left="90"/>
        <w:rPr>
          <w:rFonts w:cs="Arial"/>
          <w:b/>
          <w:sz w:val="20"/>
        </w:rPr>
      </w:pPr>
    </w:p>
    <w:p w14:paraId="67B1124E" w14:textId="77777777" w:rsidR="008A701E" w:rsidRDefault="008A701E" w:rsidP="008A701E">
      <w:pPr>
        <w:pStyle w:val="TableTextBullet"/>
        <w:numPr>
          <w:ilvl w:val="0"/>
          <w:numId w:val="0"/>
        </w:numPr>
        <w:ind w:left="90"/>
        <w:rPr>
          <w:rFonts w:cs="Arial"/>
          <w:b/>
          <w:sz w:val="20"/>
        </w:rPr>
      </w:pPr>
      <w:r>
        <w:rPr>
          <w:rFonts w:cs="Arial"/>
          <w:b/>
          <w:sz w:val="20"/>
        </w:rPr>
        <w:t>U</w:t>
      </w:r>
      <w:r w:rsidRPr="00315EA0">
        <w:rPr>
          <w:rFonts w:cs="Arial"/>
          <w:b/>
          <w:sz w:val="20"/>
        </w:rPr>
        <w:t>nit status code</w:t>
      </w:r>
      <w:r>
        <w:rPr>
          <w:rFonts w:cs="Arial"/>
          <w:b/>
          <w:sz w:val="20"/>
        </w:rPr>
        <w:t xml:space="preserve"> legend</w:t>
      </w:r>
      <w:r w:rsidRPr="00315EA0">
        <w:rPr>
          <w:rFonts w:cs="Arial"/>
          <w:b/>
          <w:sz w:val="20"/>
        </w:rPr>
        <w:t>:</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2297"/>
        <w:gridCol w:w="2296"/>
        <w:gridCol w:w="2296"/>
      </w:tblGrid>
      <w:tr w:rsidR="008A701E" w:rsidRPr="00186BAB" w14:paraId="2719CCA0" w14:textId="77777777">
        <w:trPr>
          <w:trHeight w:val="255"/>
        </w:trPr>
        <w:tc>
          <w:tcPr>
            <w:tcW w:w="2297" w:type="dxa"/>
            <w:shd w:val="pct20" w:color="auto" w:fill="auto"/>
            <w:vAlign w:val="center"/>
          </w:tcPr>
          <w:p w14:paraId="0F1827A9"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A</w:t>
            </w:r>
          </w:p>
        </w:tc>
        <w:tc>
          <w:tcPr>
            <w:tcW w:w="2297" w:type="dxa"/>
            <w:vAlign w:val="center"/>
          </w:tcPr>
          <w:p w14:paraId="2CB64966" w14:textId="77777777" w:rsidR="008A701E" w:rsidRPr="00186BAB" w:rsidRDefault="008A701E" w:rsidP="008A701E">
            <w:pPr>
              <w:rPr>
                <w:rFonts w:ascii="Arial" w:hAnsi="Arial" w:cs="Arial"/>
                <w:sz w:val="20"/>
                <w:szCs w:val="20"/>
              </w:rPr>
            </w:pPr>
            <w:r w:rsidRPr="00186BAB">
              <w:rPr>
                <w:rFonts w:ascii="Arial" w:hAnsi="Arial" w:cs="Arial"/>
                <w:sz w:val="20"/>
                <w:szCs w:val="20"/>
              </w:rPr>
              <w:t>Available</w:t>
            </w:r>
          </w:p>
        </w:tc>
        <w:tc>
          <w:tcPr>
            <w:tcW w:w="2296" w:type="dxa"/>
            <w:shd w:val="pct20" w:color="auto" w:fill="auto"/>
            <w:vAlign w:val="center"/>
          </w:tcPr>
          <w:p w14:paraId="682AA113"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S</w:t>
            </w:r>
          </w:p>
        </w:tc>
        <w:tc>
          <w:tcPr>
            <w:tcW w:w="2296" w:type="dxa"/>
            <w:vAlign w:val="center"/>
          </w:tcPr>
          <w:p w14:paraId="467239A2" w14:textId="77777777" w:rsidR="008A701E" w:rsidRPr="00186BAB" w:rsidRDefault="008A701E" w:rsidP="008A701E">
            <w:pPr>
              <w:rPr>
                <w:rFonts w:ascii="Arial" w:hAnsi="Arial" w:cs="Arial"/>
                <w:sz w:val="20"/>
                <w:szCs w:val="20"/>
              </w:rPr>
            </w:pPr>
            <w:r w:rsidRPr="00186BAB">
              <w:rPr>
                <w:rFonts w:ascii="Arial" w:hAnsi="Arial" w:cs="Arial"/>
                <w:sz w:val="20"/>
                <w:szCs w:val="20"/>
              </w:rPr>
              <w:t>Assigned</w:t>
            </w:r>
          </w:p>
        </w:tc>
      </w:tr>
      <w:tr w:rsidR="008A701E" w:rsidRPr="00186BAB" w14:paraId="002D2631" w14:textId="77777777">
        <w:trPr>
          <w:trHeight w:val="255"/>
        </w:trPr>
        <w:tc>
          <w:tcPr>
            <w:tcW w:w="2297" w:type="dxa"/>
            <w:shd w:val="pct20" w:color="auto" w:fill="auto"/>
            <w:vAlign w:val="center"/>
          </w:tcPr>
          <w:p w14:paraId="23CBE8A0"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C</w:t>
            </w:r>
          </w:p>
        </w:tc>
        <w:tc>
          <w:tcPr>
            <w:tcW w:w="2297" w:type="dxa"/>
            <w:vAlign w:val="center"/>
          </w:tcPr>
          <w:p w14:paraId="60A7F513" w14:textId="77777777" w:rsidR="008A701E" w:rsidRPr="00186BAB" w:rsidRDefault="008A701E" w:rsidP="008A701E">
            <w:pPr>
              <w:rPr>
                <w:rFonts w:ascii="Arial" w:hAnsi="Arial" w:cs="Arial"/>
                <w:sz w:val="20"/>
                <w:szCs w:val="20"/>
              </w:rPr>
            </w:pPr>
            <w:r w:rsidRPr="00186BAB">
              <w:rPr>
                <w:rFonts w:ascii="Arial" w:hAnsi="Arial" w:cs="Arial"/>
                <w:sz w:val="20"/>
                <w:szCs w:val="20"/>
              </w:rPr>
              <w:t>Crossmatched</w:t>
            </w:r>
          </w:p>
        </w:tc>
        <w:tc>
          <w:tcPr>
            <w:tcW w:w="2296" w:type="dxa"/>
            <w:shd w:val="pct20" w:color="auto" w:fill="auto"/>
            <w:vAlign w:val="center"/>
          </w:tcPr>
          <w:p w14:paraId="2671C786"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T</w:t>
            </w:r>
          </w:p>
        </w:tc>
        <w:tc>
          <w:tcPr>
            <w:tcW w:w="2296" w:type="dxa"/>
            <w:vAlign w:val="center"/>
          </w:tcPr>
          <w:p w14:paraId="76002F8D" w14:textId="77777777" w:rsidR="008A701E" w:rsidRPr="00186BAB" w:rsidRDefault="008A701E" w:rsidP="008A701E">
            <w:pPr>
              <w:rPr>
                <w:rFonts w:ascii="Arial" w:hAnsi="Arial" w:cs="Arial"/>
                <w:sz w:val="20"/>
                <w:szCs w:val="20"/>
              </w:rPr>
            </w:pPr>
            <w:r w:rsidRPr="00186BAB">
              <w:rPr>
                <w:rFonts w:ascii="Arial" w:hAnsi="Arial" w:cs="Arial"/>
                <w:sz w:val="20"/>
                <w:szCs w:val="20"/>
              </w:rPr>
              <w:t>Transfused</w:t>
            </w:r>
          </w:p>
        </w:tc>
      </w:tr>
      <w:tr w:rsidR="008A701E" w:rsidRPr="00186BAB" w14:paraId="08562439" w14:textId="77777777">
        <w:trPr>
          <w:trHeight w:val="255"/>
        </w:trPr>
        <w:tc>
          <w:tcPr>
            <w:tcW w:w="2297" w:type="dxa"/>
            <w:shd w:val="pct20" w:color="auto" w:fill="auto"/>
            <w:vAlign w:val="center"/>
          </w:tcPr>
          <w:p w14:paraId="5F1EE3EA"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D</w:t>
            </w:r>
          </w:p>
        </w:tc>
        <w:tc>
          <w:tcPr>
            <w:tcW w:w="2297" w:type="dxa"/>
            <w:vAlign w:val="center"/>
          </w:tcPr>
          <w:p w14:paraId="3F1A781A" w14:textId="77777777" w:rsidR="008A701E" w:rsidRPr="00186BAB" w:rsidRDefault="008A701E" w:rsidP="008A701E">
            <w:pPr>
              <w:rPr>
                <w:rFonts w:ascii="Arial" w:hAnsi="Arial" w:cs="Arial"/>
                <w:sz w:val="20"/>
                <w:szCs w:val="20"/>
              </w:rPr>
            </w:pPr>
            <w:r w:rsidRPr="00186BAB">
              <w:rPr>
                <w:rFonts w:ascii="Arial" w:hAnsi="Arial" w:cs="Arial"/>
                <w:sz w:val="20"/>
                <w:szCs w:val="20"/>
              </w:rPr>
              <w:t>Discarded</w:t>
            </w:r>
          </w:p>
        </w:tc>
        <w:tc>
          <w:tcPr>
            <w:tcW w:w="2296" w:type="dxa"/>
            <w:shd w:val="pct20" w:color="auto" w:fill="auto"/>
            <w:vAlign w:val="center"/>
          </w:tcPr>
          <w:p w14:paraId="757E5B7A"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X</w:t>
            </w:r>
          </w:p>
        </w:tc>
        <w:tc>
          <w:tcPr>
            <w:tcW w:w="2296" w:type="dxa"/>
            <w:vAlign w:val="center"/>
          </w:tcPr>
          <w:p w14:paraId="0B8855F4" w14:textId="77777777" w:rsidR="008A701E" w:rsidRPr="00186BAB" w:rsidRDefault="008A701E" w:rsidP="008A701E">
            <w:pPr>
              <w:rPr>
                <w:rFonts w:ascii="Arial" w:hAnsi="Arial" w:cs="Arial"/>
                <w:sz w:val="20"/>
                <w:szCs w:val="20"/>
              </w:rPr>
            </w:pPr>
            <w:r w:rsidRPr="00186BAB">
              <w:rPr>
                <w:rFonts w:ascii="Arial" w:hAnsi="Arial" w:cs="Arial"/>
                <w:sz w:val="20"/>
                <w:szCs w:val="20"/>
              </w:rPr>
              <w:t>Transferred</w:t>
            </w:r>
          </w:p>
        </w:tc>
      </w:tr>
      <w:tr w:rsidR="008A701E" w:rsidRPr="00186BAB" w14:paraId="3A3DA0CB" w14:textId="77777777">
        <w:trPr>
          <w:trHeight w:val="255"/>
        </w:trPr>
        <w:tc>
          <w:tcPr>
            <w:tcW w:w="2297" w:type="dxa"/>
            <w:shd w:val="pct20" w:color="auto" w:fill="auto"/>
            <w:vAlign w:val="center"/>
          </w:tcPr>
          <w:p w14:paraId="6BB8431F"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I</w:t>
            </w:r>
          </w:p>
        </w:tc>
        <w:tc>
          <w:tcPr>
            <w:tcW w:w="2297" w:type="dxa"/>
            <w:vAlign w:val="center"/>
          </w:tcPr>
          <w:p w14:paraId="16F3E0BE" w14:textId="77777777" w:rsidR="008A701E" w:rsidRPr="00186BAB" w:rsidRDefault="008A701E" w:rsidP="008A701E">
            <w:pPr>
              <w:rPr>
                <w:rFonts w:ascii="Arial" w:hAnsi="Arial" w:cs="Arial"/>
                <w:sz w:val="20"/>
                <w:szCs w:val="20"/>
              </w:rPr>
            </w:pPr>
            <w:r w:rsidRPr="00186BAB">
              <w:rPr>
                <w:rFonts w:ascii="Arial" w:hAnsi="Arial" w:cs="Arial"/>
                <w:sz w:val="20"/>
                <w:szCs w:val="20"/>
              </w:rPr>
              <w:t>Issued</w:t>
            </w:r>
          </w:p>
        </w:tc>
        <w:tc>
          <w:tcPr>
            <w:tcW w:w="2296" w:type="dxa"/>
            <w:shd w:val="pct20" w:color="auto" w:fill="auto"/>
            <w:vAlign w:val="center"/>
          </w:tcPr>
          <w:p w14:paraId="2501A2D4"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DS</w:t>
            </w:r>
          </w:p>
        </w:tc>
        <w:tc>
          <w:tcPr>
            <w:tcW w:w="2296" w:type="dxa"/>
            <w:vAlign w:val="center"/>
          </w:tcPr>
          <w:p w14:paraId="4AD075A2" w14:textId="77777777" w:rsidR="008A701E" w:rsidRPr="00186BAB" w:rsidRDefault="008A701E" w:rsidP="008A701E">
            <w:pPr>
              <w:rPr>
                <w:rFonts w:ascii="Arial" w:hAnsi="Arial" w:cs="Arial"/>
                <w:sz w:val="20"/>
                <w:szCs w:val="20"/>
              </w:rPr>
            </w:pPr>
            <w:r w:rsidRPr="00186BAB">
              <w:rPr>
                <w:rFonts w:ascii="Arial" w:hAnsi="Arial" w:cs="Arial"/>
                <w:sz w:val="20"/>
                <w:szCs w:val="20"/>
              </w:rPr>
              <w:t>Dispense Unit (Issued)</w:t>
            </w:r>
          </w:p>
        </w:tc>
      </w:tr>
      <w:tr w:rsidR="008A701E" w:rsidRPr="00186BAB" w14:paraId="7DAB7EFD" w14:textId="77777777">
        <w:trPr>
          <w:trHeight w:val="255"/>
        </w:trPr>
        <w:tc>
          <w:tcPr>
            <w:tcW w:w="2297" w:type="dxa"/>
            <w:shd w:val="pct20" w:color="auto" w:fill="auto"/>
            <w:vAlign w:val="center"/>
          </w:tcPr>
          <w:p w14:paraId="694E5686"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L</w:t>
            </w:r>
          </w:p>
        </w:tc>
        <w:tc>
          <w:tcPr>
            <w:tcW w:w="2297" w:type="dxa"/>
            <w:vAlign w:val="center"/>
          </w:tcPr>
          <w:p w14:paraId="7D5A3728" w14:textId="77777777" w:rsidR="008A701E" w:rsidRPr="00186BAB" w:rsidRDefault="008A701E" w:rsidP="008A701E">
            <w:pPr>
              <w:rPr>
                <w:rFonts w:ascii="Arial" w:hAnsi="Arial" w:cs="Arial"/>
                <w:sz w:val="20"/>
                <w:szCs w:val="20"/>
              </w:rPr>
            </w:pPr>
            <w:r w:rsidRPr="00186BAB">
              <w:rPr>
                <w:rFonts w:ascii="Arial" w:hAnsi="Arial" w:cs="Arial"/>
                <w:sz w:val="20"/>
                <w:szCs w:val="20"/>
              </w:rPr>
              <w:t>Limited</w:t>
            </w:r>
          </w:p>
        </w:tc>
        <w:tc>
          <w:tcPr>
            <w:tcW w:w="2296" w:type="dxa"/>
            <w:shd w:val="pct20" w:color="auto" w:fill="auto"/>
            <w:vAlign w:val="center"/>
          </w:tcPr>
          <w:p w14:paraId="0902E9A1"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RE</w:t>
            </w:r>
          </w:p>
        </w:tc>
        <w:tc>
          <w:tcPr>
            <w:tcW w:w="2296" w:type="dxa"/>
            <w:vAlign w:val="center"/>
          </w:tcPr>
          <w:p w14:paraId="4FC96EC6" w14:textId="77777777" w:rsidR="008A701E" w:rsidRPr="00186BAB" w:rsidRDefault="008A701E" w:rsidP="008A701E">
            <w:pPr>
              <w:rPr>
                <w:rFonts w:ascii="Arial" w:hAnsi="Arial" w:cs="Arial"/>
                <w:sz w:val="20"/>
                <w:szCs w:val="20"/>
              </w:rPr>
            </w:pPr>
            <w:r w:rsidRPr="00186BAB">
              <w:rPr>
                <w:rFonts w:ascii="Arial" w:hAnsi="Arial" w:cs="Arial"/>
                <w:sz w:val="20"/>
                <w:szCs w:val="20"/>
              </w:rPr>
              <w:t>Release Unit</w:t>
            </w:r>
          </w:p>
        </w:tc>
      </w:tr>
      <w:tr w:rsidR="008A701E" w:rsidRPr="00186BAB" w14:paraId="7561C38F" w14:textId="77777777">
        <w:trPr>
          <w:trHeight w:val="255"/>
        </w:trPr>
        <w:tc>
          <w:tcPr>
            <w:tcW w:w="2297" w:type="dxa"/>
            <w:shd w:val="pct20" w:color="auto" w:fill="auto"/>
            <w:vAlign w:val="center"/>
          </w:tcPr>
          <w:p w14:paraId="3733A0AE"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M</w:t>
            </w:r>
          </w:p>
        </w:tc>
        <w:tc>
          <w:tcPr>
            <w:tcW w:w="2297" w:type="dxa"/>
            <w:vAlign w:val="center"/>
          </w:tcPr>
          <w:p w14:paraId="52A7F4EC" w14:textId="77777777" w:rsidR="008A701E" w:rsidRPr="00186BAB" w:rsidRDefault="008A701E" w:rsidP="008A701E">
            <w:pPr>
              <w:rPr>
                <w:rFonts w:ascii="Arial" w:hAnsi="Arial" w:cs="Arial"/>
                <w:sz w:val="20"/>
                <w:szCs w:val="20"/>
              </w:rPr>
            </w:pPr>
            <w:r w:rsidRPr="00186BAB">
              <w:rPr>
                <w:rFonts w:ascii="Arial" w:hAnsi="Arial" w:cs="Arial"/>
                <w:sz w:val="20"/>
                <w:szCs w:val="20"/>
              </w:rPr>
              <w:t>Modified</w:t>
            </w:r>
          </w:p>
        </w:tc>
        <w:tc>
          <w:tcPr>
            <w:tcW w:w="2296" w:type="dxa"/>
            <w:shd w:val="pct20" w:color="auto" w:fill="auto"/>
            <w:vAlign w:val="center"/>
          </w:tcPr>
          <w:p w14:paraId="106BE70A"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RS</w:t>
            </w:r>
          </w:p>
        </w:tc>
        <w:tc>
          <w:tcPr>
            <w:tcW w:w="2296" w:type="dxa"/>
            <w:vAlign w:val="center"/>
          </w:tcPr>
          <w:p w14:paraId="168B344A" w14:textId="77777777" w:rsidR="008A701E" w:rsidRPr="00186BAB" w:rsidRDefault="008A701E" w:rsidP="008A701E">
            <w:pPr>
              <w:rPr>
                <w:rFonts w:ascii="Arial" w:hAnsi="Arial" w:cs="Arial"/>
                <w:sz w:val="20"/>
                <w:szCs w:val="20"/>
              </w:rPr>
            </w:pPr>
            <w:r w:rsidRPr="00186BAB">
              <w:rPr>
                <w:rFonts w:ascii="Arial" w:hAnsi="Arial" w:cs="Arial"/>
                <w:sz w:val="20"/>
                <w:szCs w:val="20"/>
              </w:rPr>
              <w:t>Reserve Unit</w:t>
            </w:r>
          </w:p>
        </w:tc>
      </w:tr>
    </w:tbl>
    <w:p w14:paraId="42984C7F" w14:textId="77777777" w:rsidR="008A701E" w:rsidRPr="00186BAB" w:rsidRDefault="008A701E" w:rsidP="008A701E">
      <w:r w:rsidRPr="00C1371B">
        <w:t xml:space="preserve"> </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540"/>
        <w:gridCol w:w="1530"/>
        <w:gridCol w:w="3060"/>
        <w:gridCol w:w="1530"/>
        <w:gridCol w:w="2070"/>
      </w:tblGrid>
      <w:tr w:rsidR="008A701E" w:rsidRPr="006A2781" w14:paraId="1C810CA7" w14:textId="77777777">
        <w:trPr>
          <w:cantSplit/>
          <w:tblHeader/>
        </w:trPr>
        <w:tc>
          <w:tcPr>
            <w:tcW w:w="9180" w:type="dxa"/>
            <w:gridSpan w:val="6"/>
            <w:shd w:val="clear" w:color="auto" w:fill="C0C0C0"/>
            <w:vAlign w:val="bottom"/>
          </w:tcPr>
          <w:p w14:paraId="67BB6E3D" w14:textId="77777777" w:rsidR="008A701E" w:rsidRPr="006A2781" w:rsidRDefault="008A701E" w:rsidP="008A701E">
            <w:pPr>
              <w:jc w:val="center"/>
              <w:rPr>
                <w:rFonts w:ascii="Arial" w:hAnsi="Arial" w:cs="Arial"/>
                <w:b/>
                <w:bCs/>
                <w:sz w:val="18"/>
                <w:szCs w:val="18"/>
              </w:rPr>
            </w:pPr>
            <w:r w:rsidRPr="006A2781">
              <w:rPr>
                <w:rFonts w:ascii="Arial" w:hAnsi="Arial" w:cs="Arial"/>
                <w:b/>
                <w:sz w:val="18"/>
                <w:szCs w:val="18"/>
              </w:rPr>
              <w:t>BCE COTS Message Updates</w:t>
            </w:r>
          </w:p>
        </w:tc>
      </w:tr>
      <w:tr w:rsidR="008A701E" w:rsidRPr="006A2781" w14:paraId="72F56D1B" w14:textId="77777777">
        <w:trPr>
          <w:cantSplit/>
          <w:trHeight w:val="1134"/>
          <w:tblHeader/>
        </w:trPr>
        <w:tc>
          <w:tcPr>
            <w:tcW w:w="450" w:type="dxa"/>
            <w:shd w:val="clear" w:color="auto" w:fill="C0C0C0"/>
            <w:textDirection w:val="btLr"/>
            <w:vAlign w:val="bottom"/>
          </w:tcPr>
          <w:p w14:paraId="1DCF2B20" w14:textId="77777777" w:rsidR="008A701E" w:rsidRPr="006A2781" w:rsidRDefault="008A701E" w:rsidP="008A701E">
            <w:pPr>
              <w:ind w:left="113" w:right="113"/>
              <w:jc w:val="center"/>
              <w:rPr>
                <w:rFonts w:ascii="Arial" w:hAnsi="Arial" w:cs="Arial"/>
                <w:b/>
                <w:bCs/>
                <w:sz w:val="18"/>
                <w:szCs w:val="18"/>
              </w:rPr>
            </w:pPr>
            <w:r>
              <w:rPr>
                <w:rFonts w:ascii="Arial" w:hAnsi="Arial" w:cs="Arial"/>
                <w:b/>
                <w:bCs/>
                <w:sz w:val="18"/>
                <w:szCs w:val="18"/>
              </w:rPr>
              <w:t>Row #</w:t>
            </w:r>
          </w:p>
        </w:tc>
        <w:tc>
          <w:tcPr>
            <w:tcW w:w="540" w:type="dxa"/>
            <w:shd w:val="clear" w:color="auto" w:fill="C0C0C0"/>
            <w:textDirection w:val="btLr"/>
            <w:vAlign w:val="bottom"/>
          </w:tcPr>
          <w:p w14:paraId="2FB636E7" w14:textId="77777777" w:rsidR="008A701E" w:rsidRPr="006A2781" w:rsidRDefault="008A701E" w:rsidP="008A701E">
            <w:pPr>
              <w:ind w:left="113" w:right="113"/>
              <w:jc w:val="center"/>
              <w:rPr>
                <w:rFonts w:ascii="Arial" w:hAnsi="Arial" w:cs="Arial"/>
                <w:b/>
                <w:bCs/>
                <w:sz w:val="18"/>
                <w:szCs w:val="18"/>
              </w:rPr>
            </w:pPr>
            <w:r>
              <w:rPr>
                <w:rFonts w:ascii="Arial" w:hAnsi="Arial" w:cs="Arial"/>
                <w:b/>
                <w:bCs/>
                <w:sz w:val="18"/>
                <w:szCs w:val="18"/>
              </w:rPr>
              <w:t>Initial Unit Status</w:t>
            </w:r>
          </w:p>
        </w:tc>
        <w:tc>
          <w:tcPr>
            <w:tcW w:w="1530" w:type="dxa"/>
            <w:shd w:val="clear" w:color="auto" w:fill="C0C0C0"/>
            <w:vAlign w:val="bottom"/>
          </w:tcPr>
          <w:p w14:paraId="7C65124F" w14:textId="77777777" w:rsidR="008A701E" w:rsidRPr="006A2781" w:rsidRDefault="008A701E" w:rsidP="008A701E">
            <w:pPr>
              <w:rPr>
                <w:rFonts w:ascii="Arial" w:hAnsi="Arial" w:cs="Arial"/>
                <w:b/>
                <w:bCs/>
                <w:sz w:val="18"/>
                <w:szCs w:val="18"/>
              </w:rPr>
            </w:pPr>
            <w:r w:rsidRPr="006A2781">
              <w:rPr>
                <w:rFonts w:ascii="Arial" w:hAnsi="Arial" w:cs="Arial"/>
                <w:b/>
                <w:bCs/>
                <w:sz w:val="18"/>
                <w:szCs w:val="18"/>
              </w:rPr>
              <w:t>Processin</w:t>
            </w:r>
            <w:r>
              <w:rPr>
                <w:rFonts w:ascii="Arial" w:hAnsi="Arial" w:cs="Arial"/>
                <w:b/>
                <w:bCs/>
                <w:sz w:val="18"/>
                <w:szCs w:val="18"/>
              </w:rPr>
              <w:t>g Option</w:t>
            </w:r>
          </w:p>
        </w:tc>
        <w:tc>
          <w:tcPr>
            <w:tcW w:w="3060" w:type="dxa"/>
            <w:shd w:val="clear" w:color="auto" w:fill="C0C0C0"/>
            <w:vAlign w:val="bottom"/>
          </w:tcPr>
          <w:p w14:paraId="4C7C4B19" w14:textId="77777777" w:rsidR="008A701E" w:rsidRPr="006A2781" w:rsidRDefault="008A701E" w:rsidP="008A701E">
            <w:pPr>
              <w:rPr>
                <w:rFonts w:ascii="Arial" w:hAnsi="Arial" w:cs="Arial"/>
                <w:b/>
                <w:bCs/>
                <w:sz w:val="18"/>
                <w:szCs w:val="18"/>
              </w:rPr>
            </w:pPr>
            <w:r>
              <w:rPr>
                <w:rFonts w:ascii="Arial" w:hAnsi="Arial" w:cs="Arial"/>
                <w:b/>
                <w:bCs/>
                <w:sz w:val="18"/>
                <w:szCs w:val="18"/>
              </w:rPr>
              <w:t>Additional Information About t</w:t>
            </w:r>
            <w:r w:rsidRPr="006A2781">
              <w:rPr>
                <w:rFonts w:ascii="Arial" w:hAnsi="Arial" w:cs="Arial"/>
                <w:b/>
                <w:bCs/>
                <w:sz w:val="18"/>
                <w:szCs w:val="18"/>
              </w:rPr>
              <w:t xml:space="preserve">he Processing </w:t>
            </w:r>
            <w:r>
              <w:rPr>
                <w:rFonts w:ascii="Arial" w:hAnsi="Arial" w:cs="Arial"/>
                <w:b/>
                <w:bCs/>
                <w:sz w:val="18"/>
                <w:szCs w:val="18"/>
              </w:rPr>
              <w:t>Option</w:t>
            </w:r>
          </w:p>
        </w:tc>
        <w:tc>
          <w:tcPr>
            <w:tcW w:w="1530" w:type="dxa"/>
            <w:shd w:val="clear" w:color="auto" w:fill="C0C0C0"/>
            <w:vAlign w:val="bottom"/>
          </w:tcPr>
          <w:p w14:paraId="5759D539" w14:textId="77777777" w:rsidR="008A701E" w:rsidRPr="006A2781" w:rsidRDefault="008A701E" w:rsidP="008A701E">
            <w:pPr>
              <w:jc w:val="center"/>
              <w:rPr>
                <w:rFonts w:ascii="Arial" w:hAnsi="Arial" w:cs="Arial"/>
                <w:b/>
                <w:bCs/>
                <w:sz w:val="18"/>
                <w:szCs w:val="18"/>
              </w:rPr>
            </w:pPr>
            <w:r>
              <w:rPr>
                <w:rFonts w:ascii="Arial" w:hAnsi="Arial" w:cs="Arial"/>
                <w:b/>
                <w:bCs/>
                <w:sz w:val="18"/>
                <w:szCs w:val="18"/>
              </w:rPr>
              <w:t>Unit Status Exiting</w:t>
            </w:r>
            <w:r>
              <w:rPr>
                <w:rFonts w:ascii="Arial" w:hAnsi="Arial" w:cs="Arial"/>
                <w:b/>
                <w:bCs/>
                <w:sz w:val="18"/>
                <w:szCs w:val="18"/>
              </w:rPr>
              <w:br/>
              <w:t>t</w:t>
            </w:r>
            <w:r w:rsidRPr="006A2781">
              <w:rPr>
                <w:rFonts w:ascii="Arial" w:hAnsi="Arial" w:cs="Arial"/>
                <w:b/>
                <w:bCs/>
                <w:sz w:val="18"/>
                <w:szCs w:val="18"/>
              </w:rPr>
              <w:t xml:space="preserve">he </w:t>
            </w:r>
            <w:r>
              <w:rPr>
                <w:rFonts w:ascii="Arial" w:hAnsi="Arial" w:cs="Arial"/>
                <w:b/>
                <w:bCs/>
                <w:sz w:val="18"/>
                <w:szCs w:val="18"/>
              </w:rPr>
              <w:t>Option</w:t>
            </w:r>
          </w:p>
        </w:tc>
        <w:tc>
          <w:tcPr>
            <w:tcW w:w="2070" w:type="dxa"/>
            <w:shd w:val="clear" w:color="auto" w:fill="C0C0C0"/>
            <w:noWrap/>
            <w:vAlign w:val="bottom"/>
          </w:tcPr>
          <w:p w14:paraId="2C55CF10" w14:textId="77777777" w:rsidR="008A701E" w:rsidRPr="006A2781" w:rsidRDefault="008A701E" w:rsidP="008A701E">
            <w:pPr>
              <w:rPr>
                <w:rFonts w:ascii="Arial" w:hAnsi="Arial" w:cs="Arial"/>
                <w:b/>
                <w:sz w:val="18"/>
                <w:szCs w:val="18"/>
              </w:rPr>
            </w:pPr>
            <w:r>
              <w:rPr>
                <w:rFonts w:ascii="Arial" w:hAnsi="Arial" w:cs="Arial"/>
                <w:b/>
                <w:bCs/>
                <w:sz w:val="18"/>
                <w:szCs w:val="18"/>
              </w:rPr>
              <w:t>Unit Status Reported to BCE COTS</w:t>
            </w:r>
          </w:p>
        </w:tc>
      </w:tr>
      <w:tr w:rsidR="008A701E" w:rsidRPr="006A2781" w14:paraId="666C21DE" w14:textId="77777777">
        <w:trPr>
          <w:cantSplit/>
          <w:trHeight w:val="255"/>
        </w:trPr>
        <w:tc>
          <w:tcPr>
            <w:tcW w:w="450" w:type="dxa"/>
            <w:vAlign w:val="bottom"/>
          </w:tcPr>
          <w:p w14:paraId="4C678BE9" w14:textId="77777777" w:rsidR="008A701E" w:rsidRPr="006A2781" w:rsidRDefault="008A701E" w:rsidP="008A701E">
            <w:pPr>
              <w:jc w:val="center"/>
              <w:rPr>
                <w:rFonts w:ascii="Arial" w:hAnsi="Arial" w:cs="Arial"/>
                <w:sz w:val="18"/>
                <w:szCs w:val="18"/>
              </w:rPr>
            </w:pPr>
            <w:r>
              <w:rPr>
                <w:rFonts w:ascii="Arial" w:hAnsi="Arial" w:cs="Arial"/>
                <w:sz w:val="18"/>
                <w:szCs w:val="18"/>
              </w:rPr>
              <w:t>1</w:t>
            </w:r>
          </w:p>
        </w:tc>
        <w:tc>
          <w:tcPr>
            <w:tcW w:w="540" w:type="dxa"/>
            <w:vAlign w:val="bottom"/>
          </w:tcPr>
          <w:p w14:paraId="3B6F4116"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1530" w:type="dxa"/>
            <w:shd w:val="clear" w:color="auto" w:fill="auto"/>
            <w:noWrap/>
            <w:vAlign w:val="bottom"/>
          </w:tcPr>
          <w:p w14:paraId="3620C1DC" w14:textId="77777777" w:rsidR="008A701E" w:rsidRPr="006A2781" w:rsidRDefault="008A701E" w:rsidP="008A701E">
            <w:pPr>
              <w:rPr>
                <w:rFonts w:ascii="Arial" w:hAnsi="Arial" w:cs="Arial"/>
                <w:sz w:val="18"/>
                <w:szCs w:val="18"/>
              </w:rPr>
            </w:pPr>
            <w:r>
              <w:rPr>
                <w:rFonts w:ascii="Arial" w:hAnsi="Arial" w:cs="Arial"/>
                <w:sz w:val="18"/>
                <w:szCs w:val="18"/>
              </w:rPr>
              <w:t>Select Unit for Patient</w:t>
            </w:r>
          </w:p>
        </w:tc>
        <w:tc>
          <w:tcPr>
            <w:tcW w:w="3060" w:type="dxa"/>
            <w:shd w:val="clear" w:color="auto" w:fill="auto"/>
            <w:noWrap/>
            <w:vAlign w:val="bottom"/>
          </w:tcPr>
          <w:p w14:paraId="21B9D8BC" w14:textId="77777777" w:rsidR="008A701E" w:rsidRPr="006A2781" w:rsidRDefault="008A701E" w:rsidP="008A701E">
            <w:pPr>
              <w:rPr>
                <w:rFonts w:ascii="Arial" w:hAnsi="Arial" w:cs="Arial"/>
                <w:sz w:val="18"/>
                <w:szCs w:val="18"/>
              </w:rPr>
            </w:pPr>
            <w:r w:rsidRPr="006A2781">
              <w:rPr>
                <w:rFonts w:ascii="Arial" w:hAnsi="Arial" w:cs="Arial"/>
                <w:sz w:val="18"/>
                <w:szCs w:val="18"/>
              </w:rPr>
              <w:t>Normal flow</w:t>
            </w:r>
          </w:p>
        </w:tc>
        <w:tc>
          <w:tcPr>
            <w:tcW w:w="1530" w:type="dxa"/>
            <w:shd w:val="clear" w:color="auto" w:fill="auto"/>
            <w:noWrap/>
            <w:vAlign w:val="bottom"/>
          </w:tcPr>
          <w:p w14:paraId="71BC6688"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63B65F1F"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1E6E86C1" w14:textId="77777777">
        <w:trPr>
          <w:cantSplit/>
          <w:trHeight w:val="255"/>
        </w:trPr>
        <w:tc>
          <w:tcPr>
            <w:tcW w:w="450" w:type="dxa"/>
            <w:vAlign w:val="bottom"/>
          </w:tcPr>
          <w:p w14:paraId="5D5C3A48" w14:textId="77777777" w:rsidR="008A701E" w:rsidRPr="006A2781" w:rsidRDefault="008A701E" w:rsidP="008A701E">
            <w:pPr>
              <w:jc w:val="center"/>
              <w:rPr>
                <w:rFonts w:ascii="Arial" w:hAnsi="Arial" w:cs="Arial"/>
                <w:sz w:val="18"/>
                <w:szCs w:val="18"/>
              </w:rPr>
            </w:pPr>
            <w:r>
              <w:rPr>
                <w:rFonts w:ascii="Arial" w:hAnsi="Arial" w:cs="Arial"/>
                <w:sz w:val="18"/>
                <w:szCs w:val="18"/>
              </w:rPr>
              <w:t>2</w:t>
            </w:r>
          </w:p>
        </w:tc>
        <w:tc>
          <w:tcPr>
            <w:tcW w:w="540" w:type="dxa"/>
            <w:vAlign w:val="bottom"/>
          </w:tcPr>
          <w:p w14:paraId="3634C6EE"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1530" w:type="dxa"/>
            <w:shd w:val="clear" w:color="auto" w:fill="auto"/>
            <w:noWrap/>
          </w:tcPr>
          <w:p w14:paraId="21C06C15" w14:textId="77777777" w:rsidR="008A701E" w:rsidRDefault="008A701E" w:rsidP="008A701E">
            <w:r w:rsidRPr="00E47E59">
              <w:rPr>
                <w:rFonts w:ascii="Arial" w:hAnsi="Arial" w:cs="Arial"/>
                <w:sz w:val="18"/>
                <w:szCs w:val="18"/>
              </w:rPr>
              <w:t>Select Unit for Patient</w:t>
            </w:r>
          </w:p>
        </w:tc>
        <w:tc>
          <w:tcPr>
            <w:tcW w:w="3060" w:type="dxa"/>
            <w:shd w:val="clear" w:color="auto" w:fill="auto"/>
            <w:noWrap/>
            <w:vAlign w:val="bottom"/>
          </w:tcPr>
          <w:p w14:paraId="6DFF3060" w14:textId="77777777" w:rsidR="008A701E" w:rsidRPr="006A2781" w:rsidRDefault="008A701E" w:rsidP="008A701E">
            <w:pPr>
              <w:rPr>
                <w:rFonts w:ascii="Arial" w:hAnsi="Arial" w:cs="Arial"/>
                <w:sz w:val="18"/>
                <w:szCs w:val="18"/>
              </w:rPr>
            </w:pPr>
            <w:r w:rsidRPr="006A2781">
              <w:rPr>
                <w:rFonts w:ascii="Arial" w:hAnsi="Arial" w:cs="Arial"/>
                <w:sz w:val="18"/>
                <w:szCs w:val="18"/>
              </w:rPr>
              <w:t>Emergency issue flow</w:t>
            </w:r>
          </w:p>
        </w:tc>
        <w:tc>
          <w:tcPr>
            <w:tcW w:w="1530" w:type="dxa"/>
            <w:shd w:val="clear" w:color="auto" w:fill="auto"/>
            <w:noWrap/>
            <w:vAlign w:val="bottom"/>
          </w:tcPr>
          <w:p w14:paraId="71EFCF6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17F49E6D"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291F9AAB" w14:textId="77777777">
        <w:trPr>
          <w:cantSplit/>
          <w:trHeight w:val="255"/>
        </w:trPr>
        <w:tc>
          <w:tcPr>
            <w:tcW w:w="450" w:type="dxa"/>
            <w:vAlign w:val="bottom"/>
          </w:tcPr>
          <w:p w14:paraId="113454B6" w14:textId="77777777" w:rsidR="008A701E" w:rsidRDefault="008A701E" w:rsidP="008A701E">
            <w:pPr>
              <w:jc w:val="center"/>
              <w:rPr>
                <w:rFonts w:ascii="Arial" w:hAnsi="Arial" w:cs="Arial"/>
                <w:sz w:val="18"/>
                <w:szCs w:val="18"/>
              </w:rPr>
            </w:pPr>
            <w:r>
              <w:rPr>
                <w:rFonts w:ascii="Arial" w:hAnsi="Arial" w:cs="Arial"/>
                <w:sz w:val="18"/>
                <w:szCs w:val="18"/>
              </w:rPr>
              <w:t>3</w:t>
            </w:r>
          </w:p>
        </w:tc>
        <w:tc>
          <w:tcPr>
            <w:tcW w:w="540" w:type="dxa"/>
            <w:vAlign w:val="bottom"/>
          </w:tcPr>
          <w:p w14:paraId="1FA27F3E" w14:textId="77777777" w:rsidR="008A701E" w:rsidRPr="006A2781" w:rsidRDefault="008A701E" w:rsidP="008A701E">
            <w:pPr>
              <w:jc w:val="center"/>
              <w:rPr>
                <w:rFonts w:ascii="Arial" w:hAnsi="Arial" w:cs="Arial"/>
                <w:sz w:val="18"/>
                <w:szCs w:val="18"/>
              </w:rPr>
            </w:pPr>
            <w:r>
              <w:rPr>
                <w:rFonts w:ascii="Arial" w:hAnsi="Arial" w:cs="Arial"/>
                <w:sz w:val="18"/>
                <w:szCs w:val="18"/>
              </w:rPr>
              <w:t>A</w:t>
            </w:r>
          </w:p>
        </w:tc>
        <w:tc>
          <w:tcPr>
            <w:tcW w:w="1530" w:type="dxa"/>
            <w:shd w:val="clear" w:color="auto" w:fill="auto"/>
            <w:noWrap/>
          </w:tcPr>
          <w:p w14:paraId="37F83F0C" w14:textId="77777777" w:rsidR="008A701E" w:rsidRDefault="008A701E" w:rsidP="008A701E">
            <w:r w:rsidRPr="00E47E59">
              <w:rPr>
                <w:rFonts w:ascii="Arial" w:hAnsi="Arial" w:cs="Arial"/>
                <w:sz w:val="18"/>
                <w:szCs w:val="18"/>
              </w:rPr>
              <w:t>Select Unit for Patient</w:t>
            </w:r>
          </w:p>
        </w:tc>
        <w:tc>
          <w:tcPr>
            <w:tcW w:w="3060" w:type="dxa"/>
            <w:shd w:val="clear" w:color="auto" w:fill="auto"/>
            <w:noWrap/>
            <w:vAlign w:val="bottom"/>
          </w:tcPr>
          <w:p w14:paraId="49977AD0" w14:textId="77777777" w:rsidR="008A701E" w:rsidRPr="006A2781" w:rsidRDefault="008A701E" w:rsidP="008A701E">
            <w:pPr>
              <w:rPr>
                <w:rFonts w:ascii="Arial" w:hAnsi="Arial" w:cs="Arial"/>
                <w:sz w:val="18"/>
                <w:szCs w:val="18"/>
              </w:rPr>
            </w:pPr>
            <w:r w:rsidRPr="006A2781">
              <w:rPr>
                <w:rFonts w:ascii="Arial" w:hAnsi="Arial" w:cs="Arial"/>
                <w:sz w:val="18"/>
                <w:szCs w:val="18"/>
              </w:rPr>
              <w:t>Electronic Crossmatch processed</w:t>
            </w:r>
          </w:p>
        </w:tc>
        <w:tc>
          <w:tcPr>
            <w:tcW w:w="1530" w:type="dxa"/>
            <w:shd w:val="clear" w:color="auto" w:fill="auto"/>
            <w:noWrap/>
            <w:vAlign w:val="bottom"/>
          </w:tcPr>
          <w:p w14:paraId="534F540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14:paraId="255781E9"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67CB3893" w14:textId="77777777">
        <w:trPr>
          <w:cantSplit/>
          <w:trHeight w:val="255"/>
        </w:trPr>
        <w:tc>
          <w:tcPr>
            <w:tcW w:w="450" w:type="dxa"/>
            <w:vAlign w:val="bottom"/>
          </w:tcPr>
          <w:p w14:paraId="3C7D4F7D" w14:textId="77777777" w:rsidR="008A701E" w:rsidRPr="006A2781" w:rsidRDefault="008A701E" w:rsidP="008A701E">
            <w:pPr>
              <w:jc w:val="center"/>
              <w:rPr>
                <w:rFonts w:ascii="Arial" w:hAnsi="Arial" w:cs="Arial"/>
                <w:sz w:val="18"/>
                <w:szCs w:val="18"/>
              </w:rPr>
            </w:pPr>
            <w:r>
              <w:rPr>
                <w:rFonts w:ascii="Arial" w:hAnsi="Arial" w:cs="Arial"/>
                <w:sz w:val="18"/>
                <w:szCs w:val="18"/>
              </w:rPr>
              <w:t>4</w:t>
            </w:r>
          </w:p>
        </w:tc>
        <w:tc>
          <w:tcPr>
            <w:tcW w:w="540" w:type="dxa"/>
            <w:vAlign w:val="bottom"/>
          </w:tcPr>
          <w:p w14:paraId="2E5F3F2F"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14:paraId="1707C093" w14:textId="77777777" w:rsidR="008A701E" w:rsidRPr="006A2781" w:rsidRDefault="008A701E" w:rsidP="008A701E">
            <w:pPr>
              <w:rPr>
                <w:rFonts w:ascii="Arial" w:hAnsi="Arial" w:cs="Arial"/>
                <w:sz w:val="18"/>
                <w:szCs w:val="18"/>
              </w:rPr>
            </w:pPr>
            <w:r>
              <w:rPr>
                <w:rFonts w:ascii="Arial" w:hAnsi="Arial" w:cs="Arial"/>
                <w:sz w:val="18"/>
                <w:szCs w:val="18"/>
              </w:rPr>
              <w:t>Process Outgoing Shipment</w:t>
            </w:r>
          </w:p>
        </w:tc>
        <w:tc>
          <w:tcPr>
            <w:tcW w:w="3060" w:type="dxa"/>
            <w:shd w:val="clear" w:color="auto" w:fill="auto"/>
            <w:noWrap/>
            <w:vAlign w:val="bottom"/>
          </w:tcPr>
          <w:p w14:paraId="1F737A5B"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Maintain Assignment </w:t>
            </w:r>
          </w:p>
        </w:tc>
        <w:tc>
          <w:tcPr>
            <w:tcW w:w="1530" w:type="dxa"/>
            <w:shd w:val="clear" w:color="auto" w:fill="auto"/>
            <w:noWrap/>
            <w:vAlign w:val="bottom"/>
          </w:tcPr>
          <w:p w14:paraId="2C29BC5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X</w:t>
            </w:r>
          </w:p>
        </w:tc>
        <w:tc>
          <w:tcPr>
            <w:tcW w:w="2070" w:type="dxa"/>
            <w:shd w:val="clear" w:color="auto" w:fill="auto"/>
            <w:noWrap/>
            <w:vAlign w:val="bottom"/>
          </w:tcPr>
          <w:p w14:paraId="582A3F4C" w14:textId="77777777" w:rsidR="008A701E" w:rsidRPr="006A2781" w:rsidRDefault="008A701E" w:rsidP="008A701E">
            <w:pPr>
              <w:rPr>
                <w:rFonts w:ascii="Arial" w:hAnsi="Arial" w:cs="Arial"/>
                <w:sz w:val="18"/>
                <w:szCs w:val="18"/>
              </w:rPr>
            </w:pPr>
            <w:r w:rsidRPr="006A2781">
              <w:rPr>
                <w:rFonts w:ascii="Arial" w:hAnsi="Arial" w:cs="Arial"/>
                <w:sz w:val="18"/>
                <w:szCs w:val="18"/>
              </w:rPr>
              <w:t>RE upon confirmation</w:t>
            </w:r>
          </w:p>
        </w:tc>
      </w:tr>
      <w:tr w:rsidR="008A701E" w:rsidRPr="006A2781" w14:paraId="24C7BC65" w14:textId="77777777">
        <w:trPr>
          <w:cantSplit/>
          <w:trHeight w:val="255"/>
        </w:trPr>
        <w:tc>
          <w:tcPr>
            <w:tcW w:w="450" w:type="dxa"/>
            <w:vAlign w:val="bottom"/>
          </w:tcPr>
          <w:p w14:paraId="7A4643CE" w14:textId="77777777" w:rsidR="008A701E" w:rsidRPr="006A2781" w:rsidRDefault="008A701E" w:rsidP="008A701E">
            <w:pPr>
              <w:jc w:val="center"/>
              <w:rPr>
                <w:rFonts w:ascii="Arial" w:hAnsi="Arial" w:cs="Arial"/>
                <w:sz w:val="18"/>
                <w:szCs w:val="18"/>
              </w:rPr>
            </w:pPr>
            <w:r>
              <w:rPr>
                <w:rFonts w:ascii="Arial" w:hAnsi="Arial" w:cs="Arial"/>
                <w:sz w:val="18"/>
                <w:szCs w:val="18"/>
              </w:rPr>
              <w:t>5</w:t>
            </w:r>
          </w:p>
        </w:tc>
        <w:tc>
          <w:tcPr>
            <w:tcW w:w="540" w:type="dxa"/>
            <w:vAlign w:val="bottom"/>
          </w:tcPr>
          <w:p w14:paraId="74A41EF5"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14:paraId="57449736" w14:textId="77777777" w:rsidR="008A701E" w:rsidRPr="006A2781" w:rsidRDefault="008A701E" w:rsidP="008A701E">
            <w:pPr>
              <w:rPr>
                <w:rFonts w:ascii="Arial" w:hAnsi="Arial" w:cs="Arial"/>
                <w:sz w:val="18"/>
                <w:szCs w:val="18"/>
              </w:rPr>
            </w:pPr>
            <w:r>
              <w:rPr>
                <w:rFonts w:ascii="Arial" w:hAnsi="Arial" w:cs="Arial"/>
                <w:sz w:val="18"/>
                <w:szCs w:val="18"/>
              </w:rPr>
              <w:t>Process Outgoing Shipment</w:t>
            </w:r>
          </w:p>
        </w:tc>
        <w:tc>
          <w:tcPr>
            <w:tcW w:w="3060" w:type="dxa"/>
            <w:shd w:val="clear" w:color="auto" w:fill="auto"/>
            <w:noWrap/>
            <w:vAlign w:val="bottom"/>
          </w:tcPr>
          <w:p w14:paraId="7D69D658"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 upon confirmation</w:t>
            </w:r>
          </w:p>
        </w:tc>
        <w:tc>
          <w:tcPr>
            <w:tcW w:w="1530" w:type="dxa"/>
            <w:shd w:val="clear" w:color="auto" w:fill="auto"/>
            <w:noWrap/>
            <w:vAlign w:val="bottom"/>
          </w:tcPr>
          <w:p w14:paraId="6050E51A"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 (then X when confirmed)</w:t>
            </w:r>
          </w:p>
        </w:tc>
        <w:tc>
          <w:tcPr>
            <w:tcW w:w="2070" w:type="dxa"/>
            <w:shd w:val="clear" w:color="auto" w:fill="auto"/>
            <w:noWrap/>
            <w:vAlign w:val="bottom"/>
          </w:tcPr>
          <w:p w14:paraId="1A720F75" w14:textId="77777777" w:rsidR="008A701E" w:rsidRPr="006A2781" w:rsidRDefault="008A701E" w:rsidP="008A701E">
            <w:pPr>
              <w:rPr>
                <w:rFonts w:ascii="Arial" w:hAnsi="Arial" w:cs="Arial"/>
                <w:sz w:val="18"/>
                <w:szCs w:val="18"/>
              </w:rPr>
            </w:pPr>
            <w:r w:rsidRPr="006A2781">
              <w:rPr>
                <w:rFonts w:ascii="Arial" w:hAnsi="Arial" w:cs="Arial"/>
                <w:sz w:val="18"/>
                <w:szCs w:val="18"/>
              </w:rPr>
              <w:t>RE sent when release processed</w:t>
            </w:r>
          </w:p>
        </w:tc>
      </w:tr>
      <w:tr w:rsidR="008A701E" w:rsidRPr="006A2781" w14:paraId="29C6E63C" w14:textId="77777777">
        <w:trPr>
          <w:cantSplit/>
          <w:trHeight w:val="255"/>
        </w:trPr>
        <w:tc>
          <w:tcPr>
            <w:tcW w:w="450" w:type="dxa"/>
            <w:vAlign w:val="bottom"/>
          </w:tcPr>
          <w:p w14:paraId="1D932DB5" w14:textId="77777777" w:rsidR="008A701E" w:rsidRPr="006A2781" w:rsidRDefault="008A701E" w:rsidP="008A701E">
            <w:pPr>
              <w:jc w:val="center"/>
              <w:rPr>
                <w:rFonts w:ascii="Arial" w:hAnsi="Arial" w:cs="Arial"/>
                <w:sz w:val="18"/>
                <w:szCs w:val="18"/>
              </w:rPr>
            </w:pPr>
            <w:r>
              <w:rPr>
                <w:rFonts w:ascii="Arial" w:hAnsi="Arial" w:cs="Arial"/>
                <w:sz w:val="18"/>
                <w:szCs w:val="18"/>
              </w:rPr>
              <w:t>6</w:t>
            </w:r>
          </w:p>
        </w:tc>
        <w:tc>
          <w:tcPr>
            <w:tcW w:w="540" w:type="dxa"/>
            <w:vAlign w:val="bottom"/>
          </w:tcPr>
          <w:p w14:paraId="324D496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14:paraId="5A04D2CC" w14:textId="77777777" w:rsidR="008A701E" w:rsidRPr="006A2781" w:rsidRDefault="008A701E" w:rsidP="008A701E">
            <w:pPr>
              <w:rPr>
                <w:rFonts w:ascii="Arial" w:hAnsi="Arial" w:cs="Arial"/>
                <w:sz w:val="18"/>
                <w:szCs w:val="18"/>
              </w:rPr>
            </w:pPr>
            <w:r>
              <w:rPr>
                <w:rFonts w:ascii="Arial" w:hAnsi="Arial" w:cs="Arial"/>
                <w:sz w:val="18"/>
                <w:szCs w:val="18"/>
              </w:rPr>
              <w:t>Process Outgoing Shipment</w:t>
            </w:r>
          </w:p>
        </w:tc>
        <w:tc>
          <w:tcPr>
            <w:tcW w:w="3060" w:type="dxa"/>
            <w:shd w:val="clear" w:color="auto" w:fill="auto"/>
            <w:noWrap/>
            <w:vAlign w:val="bottom"/>
          </w:tcPr>
          <w:p w14:paraId="0617BDAB"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57D40FA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X</w:t>
            </w:r>
          </w:p>
        </w:tc>
        <w:tc>
          <w:tcPr>
            <w:tcW w:w="2070" w:type="dxa"/>
            <w:shd w:val="clear" w:color="auto" w:fill="auto"/>
            <w:noWrap/>
            <w:vAlign w:val="bottom"/>
          </w:tcPr>
          <w:p w14:paraId="7D686A67" w14:textId="77777777" w:rsidR="008A701E" w:rsidRPr="006A2781" w:rsidRDefault="008A701E" w:rsidP="008A701E">
            <w:pPr>
              <w:rPr>
                <w:rFonts w:ascii="Arial" w:hAnsi="Arial" w:cs="Arial"/>
                <w:sz w:val="18"/>
                <w:szCs w:val="18"/>
              </w:rPr>
            </w:pPr>
            <w:r w:rsidRPr="006A2781">
              <w:rPr>
                <w:rFonts w:ascii="Arial" w:hAnsi="Arial" w:cs="Arial"/>
                <w:sz w:val="18"/>
                <w:szCs w:val="18"/>
              </w:rPr>
              <w:t>RE upon confirmation</w:t>
            </w:r>
          </w:p>
        </w:tc>
      </w:tr>
      <w:tr w:rsidR="008A701E" w:rsidRPr="006A2781" w14:paraId="5C18244A" w14:textId="77777777">
        <w:trPr>
          <w:cantSplit/>
          <w:trHeight w:val="255"/>
        </w:trPr>
        <w:tc>
          <w:tcPr>
            <w:tcW w:w="450" w:type="dxa"/>
            <w:vAlign w:val="bottom"/>
          </w:tcPr>
          <w:p w14:paraId="4E7B462A" w14:textId="77777777" w:rsidR="008A701E" w:rsidRPr="006A2781" w:rsidRDefault="008A701E" w:rsidP="008A701E">
            <w:pPr>
              <w:jc w:val="center"/>
              <w:rPr>
                <w:rFonts w:ascii="Arial" w:hAnsi="Arial" w:cs="Arial"/>
                <w:sz w:val="18"/>
                <w:szCs w:val="18"/>
              </w:rPr>
            </w:pPr>
            <w:r>
              <w:rPr>
                <w:rFonts w:ascii="Arial" w:hAnsi="Arial" w:cs="Arial"/>
                <w:sz w:val="18"/>
                <w:szCs w:val="18"/>
              </w:rPr>
              <w:t>7</w:t>
            </w:r>
          </w:p>
        </w:tc>
        <w:tc>
          <w:tcPr>
            <w:tcW w:w="540" w:type="dxa"/>
            <w:vAlign w:val="bottom"/>
          </w:tcPr>
          <w:p w14:paraId="6A3FA63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14:paraId="26D7F6C7" w14:textId="77777777" w:rsidR="008A701E" w:rsidRPr="006A2781" w:rsidRDefault="008A701E" w:rsidP="008A701E">
            <w:pPr>
              <w:rPr>
                <w:rFonts w:ascii="Arial" w:hAnsi="Arial" w:cs="Arial"/>
                <w:sz w:val="18"/>
                <w:szCs w:val="18"/>
              </w:rPr>
            </w:pPr>
            <w:r>
              <w:rPr>
                <w:rFonts w:ascii="Arial" w:hAnsi="Arial" w:cs="Arial"/>
                <w:sz w:val="18"/>
                <w:szCs w:val="18"/>
              </w:rPr>
              <w:t>Process Outgoing Shipment</w:t>
            </w:r>
          </w:p>
        </w:tc>
        <w:tc>
          <w:tcPr>
            <w:tcW w:w="3060" w:type="dxa"/>
            <w:shd w:val="clear" w:color="auto" w:fill="auto"/>
            <w:noWrap/>
            <w:vAlign w:val="bottom"/>
          </w:tcPr>
          <w:p w14:paraId="4622FA9F"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 upon confirmation</w:t>
            </w:r>
          </w:p>
        </w:tc>
        <w:tc>
          <w:tcPr>
            <w:tcW w:w="1530" w:type="dxa"/>
            <w:shd w:val="clear" w:color="auto" w:fill="auto"/>
            <w:noWrap/>
            <w:vAlign w:val="bottom"/>
          </w:tcPr>
          <w:p w14:paraId="46F586C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 (then X when confirmed)</w:t>
            </w:r>
          </w:p>
        </w:tc>
        <w:tc>
          <w:tcPr>
            <w:tcW w:w="2070" w:type="dxa"/>
            <w:shd w:val="clear" w:color="auto" w:fill="auto"/>
            <w:noWrap/>
            <w:vAlign w:val="bottom"/>
          </w:tcPr>
          <w:p w14:paraId="5440FC33" w14:textId="77777777" w:rsidR="008A701E" w:rsidRPr="006A2781" w:rsidRDefault="008A701E" w:rsidP="008A701E">
            <w:pPr>
              <w:rPr>
                <w:rFonts w:ascii="Arial" w:hAnsi="Arial" w:cs="Arial"/>
                <w:sz w:val="18"/>
                <w:szCs w:val="18"/>
              </w:rPr>
            </w:pPr>
            <w:r w:rsidRPr="006A2781">
              <w:rPr>
                <w:rFonts w:ascii="Arial" w:hAnsi="Arial" w:cs="Arial"/>
                <w:sz w:val="18"/>
                <w:szCs w:val="18"/>
              </w:rPr>
              <w:t>RE sent when release processed</w:t>
            </w:r>
          </w:p>
        </w:tc>
      </w:tr>
      <w:tr w:rsidR="008A701E" w:rsidRPr="006A2781" w14:paraId="6B6109C8" w14:textId="77777777">
        <w:trPr>
          <w:cantSplit/>
          <w:trHeight w:val="255"/>
        </w:trPr>
        <w:tc>
          <w:tcPr>
            <w:tcW w:w="450" w:type="dxa"/>
            <w:vAlign w:val="bottom"/>
          </w:tcPr>
          <w:p w14:paraId="25351D13" w14:textId="77777777" w:rsidR="008A701E" w:rsidRPr="006A2781" w:rsidRDefault="008A701E" w:rsidP="008A701E">
            <w:pPr>
              <w:jc w:val="center"/>
              <w:rPr>
                <w:rFonts w:ascii="Arial" w:hAnsi="Arial" w:cs="Arial"/>
                <w:sz w:val="18"/>
                <w:szCs w:val="18"/>
              </w:rPr>
            </w:pPr>
            <w:r>
              <w:rPr>
                <w:rFonts w:ascii="Arial" w:hAnsi="Arial" w:cs="Arial"/>
                <w:sz w:val="18"/>
                <w:szCs w:val="18"/>
              </w:rPr>
              <w:t>8</w:t>
            </w:r>
          </w:p>
        </w:tc>
        <w:tc>
          <w:tcPr>
            <w:tcW w:w="540" w:type="dxa"/>
            <w:vAlign w:val="bottom"/>
          </w:tcPr>
          <w:p w14:paraId="01A934DA"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D</w:t>
            </w:r>
          </w:p>
        </w:tc>
        <w:tc>
          <w:tcPr>
            <w:tcW w:w="1530" w:type="dxa"/>
            <w:shd w:val="clear" w:color="auto" w:fill="auto"/>
            <w:noWrap/>
            <w:vAlign w:val="bottom"/>
          </w:tcPr>
          <w:p w14:paraId="535D4598" w14:textId="77777777" w:rsidR="008A701E" w:rsidRPr="006A2781" w:rsidRDefault="008A701E" w:rsidP="008A701E">
            <w:pPr>
              <w:rPr>
                <w:rFonts w:ascii="Arial" w:hAnsi="Arial" w:cs="Arial"/>
                <w:sz w:val="18"/>
                <w:szCs w:val="18"/>
              </w:rPr>
            </w:pPr>
            <w:r>
              <w:rPr>
                <w:rFonts w:ascii="Arial" w:hAnsi="Arial" w:cs="Arial"/>
                <w:sz w:val="18"/>
                <w:szCs w:val="18"/>
              </w:rPr>
              <w:t>Remove Final Unit Status</w:t>
            </w:r>
          </w:p>
        </w:tc>
        <w:tc>
          <w:tcPr>
            <w:tcW w:w="3060" w:type="dxa"/>
            <w:shd w:val="clear" w:color="auto" w:fill="auto"/>
            <w:noWrap/>
            <w:vAlign w:val="bottom"/>
          </w:tcPr>
          <w:p w14:paraId="3C43AD1D" w14:textId="77777777" w:rsidR="008A701E" w:rsidRPr="006A2781" w:rsidRDefault="008A701E" w:rsidP="008A701E">
            <w:pPr>
              <w:rPr>
                <w:rFonts w:ascii="Arial" w:hAnsi="Arial" w:cs="Arial"/>
                <w:sz w:val="18"/>
                <w:szCs w:val="18"/>
              </w:rPr>
            </w:pPr>
            <w:r w:rsidRPr="006A2781">
              <w:rPr>
                <w:rFonts w:ascii="Arial" w:hAnsi="Arial" w:cs="Arial"/>
                <w:sz w:val="18"/>
                <w:szCs w:val="18"/>
              </w:rPr>
              <w:t>Unit was previously Crossmatched</w:t>
            </w:r>
          </w:p>
        </w:tc>
        <w:tc>
          <w:tcPr>
            <w:tcW w:w="1530" w:type="dxa"/>
            <w:shd w:val="clear" w:color="auto" w:fill="auto"/>
            <w:noWrap/>
            <w:vAlign w:val="bottom"/>
          </w:tcPr>
          <w:p w14:paraId="0B550F20"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14:paraId="5931ED14"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32D8F88A" w14:textId="77777777">
        <w:trPr>
          <w:cantSplit/>
          <w:trHeight w:val="255"/>
        </w:trPr>
        <w:tc>
          <w:tcPr>
            <w:tcW w:w="450" w:type="dxa"/>
            <w:vAlign w:val="bottom"/>
          </w:tcPr>
          <w:p w14:paraId="04C11E9E" w14:textId="77777777" w:rsidR="008A701E" w:rsidRPr="006A2781" w:rsidRDefault="008A701E" w:rsidP="008A701E">
            <w:pPr>
              <w:jc w:val="center"/>
              <w:rPr>
                <w:rFonts w:ascii="Arial" w:hAnsi="Arial" w:cs="Arial"/>
                <w:sz w:val="18"/>
                <w:szCs w:val="18"/>
              </w:rPr>
            </w:pPr>
            <w:r>
              <w:rPr>
                <w:rFonts w:ascii="Arial" w:hAnsi="Arial" w:cs="Arial"/>
                <w:sz w:val="18"/>
                <w:szCs w:val="18"/>
              </w:rPr>
              <w:t>9</w:t>
            </w:r>
          </w:p>
        </w:tc>
        <w:tc>
          <w:tcPr>
            <w:tcW w:w="540" w:type="dxa"/>
            <w:vAlign w:val="bottom"/>
          </w:tcPr>
          <w:p w14:paraId="7FC048A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D</w:t>
            </w:r>
          </w:p>
        </w:tc>
        <w:tc>
          <w:tcPr>
            <w:tcW w:w="1530" w:type="dxa"/>
            <w:shd w:val="clear" w:color="auto" w:fill="auto"/>
            <w:noWrap/>
            <w:vAlign w:val="bottom"/>
          </w:tcPr>
          <w:p w14:paraId="0EB0CDF2" w14:textId="77777777" w:rsidR="008A701E" w:rsidRPr="006A2781" w:rsidRDefault="008A701E" w:rsidP="008A701E">
            <w:pPr>
              <w:rPr>
                <w:rFonts w:ascii="Arial" w:hAnsi="Arial" w:cs="Arial"/>
                <w:sz w:val="18"/>
                <w:szCs w:val="18"/>
              </w:rPr>
            </w:pPr>
            <w:r>
              <w:rPr>
                <w:rFonts w:ascii="Arial" w:hAnsi="Arial" w:cs="Arial"/>
                <w:sz w:val="18"/>
                <w:szCs w:val="18"/>
              </w:rPr>
              <w:t>Remove Final Unit Status</w:t>
            </w:r>
          </w:p>
        </w:tc>
        <w:tc>
          <w:tcPr>
            <w:tcW w:w="3060" w:type="dxa"/>
            <w:shd w:val="clear" w:color="auto" w:fill="auto"/>
            <w:noWrap/>
            <w:vAlign w:val="bottom"/>
          </w:tcPr>
          <w:p w14:paraId="2FD98047" w14:textId="77777777" w:rsidR="008A701E" w:rsidRPr="006A2781" w:rsidRDefault="008A701E" w:rsidP="008A701E">
            <w:pPr>
              <w:rPr>
                <w:rFonts w:ascii="Arial" w:hAnsi="Arial" w:cs="Arial"/>
                <w:sz w:val="18"/>
                <w:szCs w:val="18"/>
              </w:rPr>
            </w:pPr>
            <w:r w:rsidRPr="006A2781">
              <w:rPr>
                <w:rFonts w:ascii="Arial" w:hAnsi="Arial" w:cs="Arial"/>
                <w:sz w:val="18"/>
                <w:szCs w:val="18"/>
              </w:rPr>
              <w:t>Unit was previously Assigned</w:t>
            </w:r>
          </w:p>
        </w:tc>
        <w:tc>
          <w:tcPr>
            <w:tcW w:w="1530" w:type="dxa"/>
            <w:shd w:val="clear" w:color="auto" w:fill="auto"/>
            <w:noWrap/>
            <w:vAlign w:val="bottom"/>
          </w:tcPr>
          <w:p w14:paraId="461AE295"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10735037"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10670528" w14:textId="77777777">
        <w:trPr>
          <w:cantSplit/>
          <w:trHeight w:val="255"/>
        </w:trPr>
        <w:tc>
          <w:tcPr>
            <w:tcW w:w="450" w:type="dxa"/>
            <w:vAlign w:val="bottom"/>
          </w:tcPr>
          <w:p w14:paraId="48C3A691" w14:textId="77777777" w:rsidR="008A701E" w:rsidRPr="006A2781" w:rsidRDefault="008A701E" w:rsidP="008A701E">
            <w:pPr>
              <w:jc w:val="center"/>
              <w:rPr>
                <w:rFonts w:ascii="Arial" w:hAnsi="Arial" w:cs="Arial"/>
                <w:sz w:val="18"/>
                <w:szCs w:val="18"/>
              </w:rPr>
            </w:pPr>
            <w:r>
              <w:rPr>
                <w:rFonts w:ascii="Arial" w:hAnsi="Arial" w:cs="Arial"/>
                <w:sz w:val="18"/>
                <w:szCs w:val="18"/>
              </w:rPr>
              <w:t>10</w:t>
            </w:r>
          </w:p>
        </w:tc>
        <w:tc>
          <w:tcPr>
            <w:tcW w:w="540" w:type="dxa"/>
            <w:vAlign w:val="bottom"/>
          </w:tcPr>
          <w:p w14:paraId="14D9D9C0"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14:paraId="048362C3" w14:textId="77777777" w:rsidR="008A701E" w:rsidRPr="006A2781" w:rsidRDefault="008A701E" w:rsidP="008A701E">
            <w:pPr>
              <w:rPr>
                <w:rFonts w:ascii="Arial" w:hAnsi="Arial" w:cs="Arial"/>
                <w:sz w:val="18"/>
                <w:szCs w:val="18"/>
              </w:rPr>
            </w:pPr>
            <w:r>
              <w:rPr>
                <w:rFonts w:ascii="Arial" w:hAnsi="Arial" w:cs="Arial"/>
                <w:sz w:val="18"/>
                <w:szCs w:val="18"/>
              </w:rPr>
              <w:t>Remove Final Unit Status</w:t>
            </w:r>
          </w:p>
        </w:tc>
        <w:tc>
          <w:tcPr>
            <w:tcW w:w="3060" w:type="dxa"/>
            <w:shd w:val="clear" w:color="auto" w:fill="auto"/>
            <w:noWrap/>
            <w:vAlign w:val="bottom"/>
          </w:tcPr>
          <w:p w14:paraId="3F70754F" w14:textId="77777777" w:rsidR="008A701E" w:rsidRPr="006A2781" w:rsidRDefault="008A701E" w:rsidP="008A701E">
            <w:pPr>
              <w:rPr>
                <w:rFonts w:ascii="Arial" w:hAnsi="Arial" w:cs="Arial"/>
                <w:sz w:val="18"/>
                <w:szCs w:val="18"/>
              </w:rPr>
            </w:pPr>
            <w:r w:rsidRPr="006A2781">
              <w:rPr>
                <w:rFonts w:ascii="Arial" w:hAnsi="Arial" w:cs="Arial"/>
                <w:sz w:val="18"/>
                <w:szCs w:val="18"/>
              </w:rPr>
              <w:t>Remove Modification</w:t>
            </w:r>
          </w:p>
        </w:tc>
        <w:tc>
          <w:tcPr>
            <w:tcW w:w="1530" w:type="dxa"/>
            <w:shd w:val="clear" w:color="auto" w:fill="auto"/>
            <w:noWrap/>
            <w:vAlign w:val="bottom"/>
          </w:tcPr>
          <w:p w14:paraId="58512074" w14:textId="77777777" w:rsidR="008A701E" w:rsidRPr="006A2781" w:rsidRDefault="008A701E" w:rsidP="008A701E">
            <w:pPr>
              <w:jc w:val="center"/>
              <w:rPr>
                <w:rFonts w:ascii="Arial" w:hAnsi="Arial" w:cs="Arial"/>
                <w:sz w:val="18"/>
                <w:szCs w:val="18"/>
              </w:rPr>
            </w:pPr>
            <w:r>
              <w:rPr>
                <w:rFonts w:ascii="Arial" w:hAnsi="Arial" w:cs="Arial"/>
                <w:sz w:val="18"/>
                <w:szCs w:val="18"/>
              </w:rPr>
              <w:t>A</w:t>
            </w:r>
          </w:p>
        </w:tc>
        <w:tc>
          <w:tcPr>
            <w:tcW w:w="2070" w:type="dxa"/>
            <w:shd w:val="clear" w:color="auto" w:fill="auto"/>
            <w:noWrap/>
            <w:vAlign w:val="bottom"/>
          </w:tcPr>
          <w:p w14:paraId="3B56EA4B" w14:textId="77777777" w:rsidR="008A701E" w:rsidRPr="006A2781" w:rsidRDefault="008A701E" w:rsidP="008A701E">
            <w:pPr>
              <w:rPr>
                <w:rFonts w:ascii="Arial" w:hAnsi="Arial" w:cs="Arial"/>
                <w:sz w:val="18"/>
                <w:szCs w:val="18"/>
              </w:rPr>
            </w:pPr>
            <w:r>
              <w:rPr>
                <w:rFonts w:ascii="Arial" w:hAnsi="Arial" w:cs="Arial"/>
                <w:sz w:val="18"/>
                <w:szCs w:val="18"/>
              </w:rPr>
              <w:t>No message resent</w:t>
            </w:r>
          </w:p>
        </w:tc>
      </w:tr>
      <w:tr w:rsidR="008A701E" w:rsidRPr="006A2781" w14:paraId="041FC28F" w14:textId="77777777">
        <w:trPr>
          <w:cantSplit/>
          <w:trHeight w:val="255"/>
        </w:trPr>
        <w:tc>
          <w:tcPr>
            <w:tcW w:w="450" w:type="dxa"/>
            <w:vAlign w:val="bottom"/>
          </w:tcPr>
          <w:p w14:paraId="5B3D9510" w14:textId="77777777" w:rsidR="008A701E" w:rsidRPr="006A2781" w:rsidRDefault="008A701E" w:rsidP="008A701E">
            <w:pPr>
              <w:jc w:val="center"/>
              <w:rPr>
                <w:rFonts w:ascii="Arial" w:hAnsi="Arial" w:cs="Arial"/>
                <w:sz w:val="18"/>
                <w:szCs w:val="18"/>
              </w:rPr>
            </w:pPr>
            <w:r>
              <w:rPr>
                <w:rFonts w:ascii="Arial" w:hAnsi="Arial" w:cs="Arial"/>
                <w:sz w:val="18"/>
                <w:szCs w:val="18"/>
              </w:rPr>
              <w:t>11</w:t>
            </w:r>
          </w:p>
        </w:tc>
        <w:tc>
          <w:tcPr>
            <w:tcW w:w="540" w:type="dxa"/>
            <w:vAlign w:val="bottom"/>
          </w:tcPr>
          <w:p w14:paraId="648C763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X</w:t>
            </w:r>
          </w:p>
        </w:tc>
        <w:tc>
          <w:tcPr>
            <w:tcW w:w="1530" w:type="dxa"/>
            <w:shd w:val="clear" w:color="auto" w:fill="auto"/>
            <w:noWrap/>
            <w:vAlign w:val="bottom"/>
          </w:tcPr>
          <w:p w14:paraId="7BA09317" w14:textId="77777777" w:rsidR="008A701E" w:rsidRPr="006A2781" w:rsidRDefault="008A701E" w:rsidP="008A701E">
            <w:pPr>
              <w:rPr>
                <w:rFonts w:ascii="Arial" w:hAnsi="Arial" w:cs="Arial"/>
                <w:sz w:val="18"/>
                <w:szCs w:val="18"/>
              </w:rPr>
            </w:pPr>
            <w:r>
              <w:rPr>
                <w:rFonts w:ascii="Arial" w:hAnsi="Arial" w:cs="Arial"/>
                <w:sz w:val="18"/>
                <w:szCs w:val="18"/>
              </w:rPr>
              <w:t>Remove Final Unit Status</w:t>
            </w:r>
          </w:p>
        </w:tc>
        <w:tc>
          <w:tcPr>
            <w:tcW w:w="3060" w:type="dxa"/>
            <w:shd w:val="clear" w:color="auto" w:fill="auto"/>
            <w:noWrap/>
            <w:vAlign w:val="bottom"/>
          </w:tcPr>
          <w:p w14:paraId="5A37DB81" w14:textId="77777777" w:rsidR="008A701E" w:rsidRPr="006A2781" w:rsidRDefault="008A701E" w:rsidP="008A701E">
            <w:pPr>
              <w:rPr>
                <w:rFonts w:ascii="Arial" w:hAnsi="Arial" w:cs="Arial"/>
                <w:sz w:val="18"/>
                <w:szCs w:val="18"/>
              </w:rPr>
            </w:pPr>
            <w:r w:rsidRPr="006A2781">
              <w:rPr>
                <w:rFonts w:ascii="Arial" w:hAnsi="Arial" w:cs="Arial"/>
                <w:sz w:val="18"/>
                <w:szCs w:val="18"/>
              </w:rPr>
              <w:t>Unit was previously Crossmatched</w:t>
            </w:r>
          </w:p>
        </w:tc>
        <w:tc>
          <w:tcPr>
            <w:tcW w:w="1530" w:type="dxa"/>
            <w:shd w:val="clear" w:color="auto" w:fill="auto"/>
            <w:noWrap/>
            <w:vAlign w:val="bottom"/>
          </w:tcPr>
          <w:p w14:paraId="2BECD156"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14:paraId="3727922E"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66091A20" w14:textId="77777777">
        <w:trPr>
          <w:cantSplit/>
          <w:trHeight w:val="255"/>
        </w:trPr>
        <w:tc>
          <w:tcPr>
            <w:tcW w:w="450" w:type="dxa"/>
            <w:vAlign w:val="bottom"/>
          </w:tcPr>
          <w:p w14:paraId="5177A53D" w14:textId="77777777" w:rsidR="008A701E" w:rsidRPr="006A2781" w:rsidRDefault="008A701E" w:rsidP="008A701E">
            <w:pPr>
              <w:jc w:val="center"/>
              <w:rPr>
                <w:rFonts w:ascii="Arial" w:hAnsi="Arial" w:cs="Arial"/>
                <w:sz w:val="18"/>
                <w:szCs w:val="18"/>
              </w:rPr>
            </w:pPr>
            <w:r>
              <w:rPr>
                <w:rFonts w:ascii="Arial" w:hAnsi="Arial" w:cs="Arial"/>
                <w:sz w:val="18"/>
                <w:szCs w:val="18"/>
              </w:rPr>
              <w:t>12</w:t>
            </w:r>
          </w:p>
        </w:tc>
        <w:tc>
          <w:tcPr>
            <w:tcW w:w="540" w:type="dxa"/>
            <w:vAlign w:val="bottom"/>
          </w:tcPr>
          <w:p w14:paraId="760B0553"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X</w:t>
            </w:r>
          </w:p>
        </w:tc>
        <w:tc>
          <w:tcPr>
            <w:tcW w:w="1530" w:type="dxa"/>
            <w:shd w:val="clear" w:color="auto" w:fill="auto"/>
            <w:noWrap/>
            <w:vAlign w:val="bottom"/>
          </w:tcPr>
          <w:p w14:paraId="1FD83E23" w14:textId="77777777" w:rsidR="008A701E" w:rsidRPr="006A2781" w:rsidRDefault="008A701E" w:rsidP="008A701E">
            <w:pPr>
              <w:rPr>
                <w:rFonts w:ascii="Arial" w:hAnsi="Arial" w:cs="Arial"/>
                <w:sz w:val="18"/>
                <w:szCs w:val="18"/>
              </w:rPr>
            </w:pPr>
            <w:r>
              <w:rPr>
                <w:rFonts w:ascii="Arial" w:hAnsi="Arial" w:cs="Arial"/>
                <w:sz w:val="18"/>
                <w:szCs w:val="18"/>
              </w:rPr>
              <w:t>Remove Final Unit Status</w:t>
            </w:r>
          </w:p>
        </w:tc>
        <w:tc>
          <w:tcPr>
            <w:tcW w:w="3060" w:type="dxa"/>
            <w:shd w:val="clear" w:color="auto" w:fill="auto"/>
            <w:noWrap/>
            <w:vAlign w:val="bottom"/>
          </w:tcPr>
          <w:p w14:paraId="45D4774B" w14:textId="77777777" w:rsidR="008A701E" w:rsidRPr="006A2781" w:rsidRDefault="008A701E" w:rsidP="008A701E">
            <w:pPr>
              <w:rPr>
                <w:rFonts w:ascii="Arial" w:hAnsi="Arial" w:cs="Arial"/>
                <w:sz w:val="18"/>
                <w:szCs w:val="18"/>
              </w:rPr>
            </w:pPr>
            <w:r w:rsidRPr="006A2781">
              <w:rPr>
                <w:rFonts w:ascii="Arial" w:hAnsi="Arial" w:cs="Arial"/>
                <w:sz w:val="18"/>
                <w:szCs w:val="18"/>
              </w:rPr>
              <w:t>Unit was previously Assigned</w:t>
            </w:r>
          </w:p>
        </w:tc>
        <w:tc>
          <w:tcPr>
            <w:tcW w:w="1530" w:type="dxa"/>
            <w:shd w:val="clear" w:color="auto" w:fill="auto"/>
            <w:noWrap/>
            <w:vAlign w:val="bottom"/>
          </w:tcPr>
          <w:p w14:paraId="02F1430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7CA521A8"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51861D6F" w14:textId="77777777">
        <w:trPr>
          <w:cantSplit/>
          <w:trHeight w:val="255"/>
        </w:trPr>
        <w:tc>
          <w:tcPr>
            <w:tcW w:w="450" w:type="dxa"/>
            <w:vAlign w:val="bottom"/>
          </w:tcPr>
          <w:p w14:paraId="063C245B" w14:textId="77777777" w:rsidR="008A701E" w:rsidRPr="006A2781" w:rsidRDefault="008A701E" w:rsidP="008A701E">
            <w:pPr>
              <w:jc w:val="center"/>
              <w:rPr>
                <w:rFonts w:ascii="Arial" w:hAnsi="Arial" w:cs="Arial"/>
                <w:sz w:val="18"/>
                <w:szCs w:val="18"/>
              </w:rPr>
            </w:pPr>
            <w:r>
              <w:rPr>
                <w:rFonts w:ascii="Arial" w:hAnsi="Arial" w:cs="Arial"/>
                <w:sz w:val="18"/>
                <w:szCs w:val="18"/>
              </w:rPr>
              <w:t>13</w:t>
            </w:r>
          </w:p>
        </w:tc>
        <w:tc>
          <w:tcPr>
            <w:tcW w:w="540" w:type="dxa"/>
            <w:vAlign w:val="bottom"/>
          </w:tcPr>
          <w:p w14:paraId="4C4B6BA8"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T</w:t>
            </w:r>
          </w:p>
        </w:tc>
        <w:tc>
          <w:tcPr>
            <w:tcW w:w="1530" w:type="dxa"/>
            <w:shd w:val="clear" w:color="auto" w:fill="auto"/>
            <w:noWrap/>
            <w:vAlign w:val="bottom"/>
          </w:tcPr>
          <w:p w14:paraId="046DF981" w14:textId="77777777" w:rsidR="008A701E" w:rsidRPr="006A2781" w:rsidRDefault="008A701E" w:rsidP="008A701E">
            <w:pPr>
              <w:rPr>
                <w:rFonts w:ascii="Arial" w:hAnsi="Arial" w:cs="Arial"/>
                <w:sz w:val="18"/>
                <w:szCs w:val="18"/>
              </w:rPr>
            </w:pPr>
            <w:r>
              <w:rPr>
                <w:rFonts w:ascii="Arial" w:hAnsi="Arial" w:cs="Arial"/>
                <w:sz w:val="18"/>
                <w:szCs w:val="18"/>
              </w:rPr>
              <w:t>Remove Final Unit Status</w:t>
            </w:r>
          </w:p>
        </w:tc>
        <w:tc>
          <w:tcPr>
            <w:tcW w:w="3060" w:type="dxa"/>
            <w:shd w:val="clear" w:color="auto" w:fill="auto"/>
            <w:noWrap/>
            <w:vAlign w:val="bottom"/>
          </w:tcPr>
          <w:p w14:paraId="0A098BCE" w14:textId="77777777" w:rsidR="008A701E" w:rsidRPr="006A2781" w:rsidRDefault="008A701E" w:rsidP="008A701E">
            <w:pPr>
              <w:rPr>
                <w:rFonts w:ascii="Arial" w:hAnsi="Arial" w:cs="Arial"/>
                <w:sz w:val="18"/>
                <w:szCs w:val="18"/>
              </w:rPr>
            </w:pPr>
            <w:r w:rsidRPr="006A2781">
              <w:rPr>
                <w:rFonts w:ascii="Arial" w:hAnsi="Arial" w:cs="Arial"/>
                <w:sz w:val="18"/>
                <w:szCs w:val="18"/>
              </w:rPr>
              <w:t>Normal flow</w:t>
            </w:r>
          </w:p>
        </w:tc>
        <w:tc>
          <w:tcPr>
            <w:tcW w:w="1530" w:type="dxa"/>
            <w:shd w:val="clear" w:color="auto" w:fill="auto"/>
            <w:noWrap/>
            <w:vAlign w:val="bottom"/>
          </w:tcPr>
          <w:p w14:paraId="2B450B52"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I</w:t>
            </w:r>
          </w:p>
        </w:tc>
        <w:tc>
          <w:tcPr>
            <w:tcW w:w="2070" w:type="dxa"/>
            <w:shd w:val="clear" w:color="auto" w:fill="auto"/>
            <w:noWrap/>
            <w:vAlign w:val="bottom"/>
          </w:tcPr>
          <w:p w14:paraId="12D00615" w14:textId="77777777" w:rsidR="008A701E" w:rsidRPr="006A2781" w:rsidRDefault="008A701E" w:rsidP="008A701E">
            <w:pPr>
              <w:rPr>
                <w:rFonts w:ascii="Arial" w:hAnsi="Arial" w:cs="Arial"/>
                <w:sz w:val="18"/>
                <w:szCs w:val="18"/>
              </w:rPr>
            </w:pPr>
            <w:r w:rsidRPr="006A2781">
              <w:rPr>
                <w:rFonts w:ascii="Arial" w:hAnsi="Arial" w:cs="Arial"/>
                <w:sz w:val="18"/>
                <w:szCs w:val="18"/>
              </w:rPr>
              <w:t>DS</w:t>
            </w:r>
          </w:p>
        </w:tc>
      </w:tr>
      <w:tr w:rsidR="008A701E" w:rsidRPr="006A2781" w14:paraId="2D78031D" w14:textId="77777777">
        <w:trPr>
          <w:cantSplit/>
          <w:trHeight w:val="255"/>
        </w:trPr>
        <w:tc>
          <w:tcPr>
            <w:tcW w:w="450" w:type="dxa"/>
            <w:vAlign w:val="bottom"/>
          </w:tcPr>
          <w:p w14:paraId="212401F2" w14:textId="77777777" w:rsidR="008A701E" w:rsidRPr="006A2781" w:rsidRDefault="008A701E" w:rsidP="008A701E">
            <w:pPr>
              <w:jc w:val="center"/>
              <w:rPr>
                <w:rFonts w:ascii="Arial" w:hAnsi="Arial" w:cs="Arial"/>
                <w:sz w:val="18"/>
                <w:szCs w:val="18"/>
              </w:rPr>
            </w:pPr>
            <w:r>
              <w:rPr>
                <w:rFonts w:ascii="Arial" w:hAnsi="Arial" w:cs="Arial"/>
                <w:sz w:val="18"/>
                <w:szCs w:val="18"/>
              </w:rPr>
              <w:t>14</w:t>
            </w:r>
          </w:p>
        </w:tc>
        <w:tc>
          <w:tcPr>
            <w:tcW w:w="540" w:type="dxa"/>
            <w:shd w:val="clear" w:color="auto" w:fill="auto"/>
            <w:vAlign w:val="bottom"/>
          </w:tcPr>
          <w:p w14:paraId="7D6B537D"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vAlign w:val="bottom"/>
          </w:tcPr>
          <w:p w14:paraId="196ED38E" w14:textId="77777777"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14:paraId="4BB6ACDA"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Maintain Assignment </w:t>
            </w:r>
          </w:p>
        </w:tc>
        <w:tc>
          <w:tcPr>
            <w:tcW w:w="1530" w:type="dxa"/>
            <w:shd w:val="clear" w:color="auto" w:fill="auto"/>
            <w:noWrap/>
            <w:vAlign w:val="bottom"/>
          </w:tcPr>
          <w:p w14:paraId="3A11FEDD"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5F6B2BB1" w14:textId="77777777" w:rsidR="008A701E" w:rsidRPr="006A2781" w:rsidRDefault="008A701E" w:rsidP="008A701E">
            <w:pPr>
              <w:rPr>
                <w:rFonts w:ascii="Arial" w:hAnsi="Arial" w:cs="Arial"/>
                <w:sz w:val="18"/>
                <w:szCs w:val="18"/>
              </w:rPr>
            </w:pPr>
            <w:r w:rsidRPr="006A2781">
              <w:rPr>
                <w:rFonts w:ascii="Arial" w:hAnsi="Arial" w:cs="Arial"/>
                <w:sz w:val="18"/>
                <w:szCs w:val="18"/>
              </w:rPr>
              <w:t>RE-original</w:t>
            </w:r>
          </w:p>
        </w:tc>
      </w:tr>
      <w:tr w:rsidR="008A701E" w:rsidRPr="006A2781" w14:paraId="0A04B306" w14:textId="77777777">
        <w:trPr>
          <w:cantSplit/>
          <w:trHeight w:val="255"/>
        </w:trPr>
        <w:tc>
          <w:tcPr>
            <w:tcW w:w="450" w:type="dxa"/>
            <w:vAlign w:val="bottom"/>
          </w:tcPr>
          <w:p w14:paraId="701C32E5" w14:textId="77777777" w:rsidR="008A701E" w:rsidRPr="006A2781" w:rsidRDefault="008A701E" w:rsidP="008A701E">
            <w:pPr>
              <w:jc w:val="center"/>
              <w:rPr>
                <w:rFonts w:ascii="Arial" w:hAnsi="Arial" w:cs="Arial"/>
                <w:sz w:val="18"/>
                <w:szCs w:val="18"/>
              </w:rPr>
            </w:pPr>
            <w:r>
              <w:rPr>
                <w:rFonts w:ascii="Arial" w:hAnsi="Arial" w:cs="Arial"/>
                <w:sz w:val="18"/>
                <w:szCs w:val="18"/>
              </w:rPr>
              <w:t>15</w:t>
            </w:r>
          </w:p>
        </w:tc>
        <w:tc>
          <w:tcPr>
            <w:tcW w:w="540" w:type="dxa"/>
            <w:shd w:val="clear" w:color="auto" w:fill="auto"/>
            <w:vAlign w:val="bottom"/>
          </w:tcPr>
          <w:p w14:paraId="04D96059"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vAlign w:val="bottom"/>
          </w:tcPr>
          <w:p w14:paraId="2251F234" w14:textId="77777777"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14:paraId="3CC56D63"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Maintain Assignment </w:t>
            </w:r>
          </w:p>
        </w:tc>
        <w:tc>
          <w:tcPr>
            <w:tcW w:w="1530" w:type="dxa"/>
            <w:shd w:val="clear" w:color="auto" w:fill="auto"/>
            <w:noWrap/>
            <w:vAlign w:val="bottom"/>
          </w:tcPr>
          <w:p w14:paraId="7D02472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5B709B5A" w14:textId="77777777" w:rsidR="008A701E" w:rsidRPr="006A2781" w:rsidRDefault="008A701E" w:rsidP="008A701E">
            <w:pPr>
              <w:rPr>
                <w:rFonts w:ascii="Arial" w:hAnsi="Arial" w:cs="Arial"/>
                <w:sz w:val="18"/>
                <w:szCs w:val="18"/>
              </w:rPr>
            </w:pPr>
            <w:r w:rsidRPr="006A2781">
              <w:rPr>
                <w:rFonts w:ascii="Arial" w:hAnsi="Arial" w:cs="Arial"/>
                <w:sz w:val="18"/>
                <w:szCs w:val="18"/>
              </w:rPr>
              <w:t>RS-target</w:t>
            </w:r>
          </w:p>
        </w:tc>
      </w:tr>
      <w:tr w:rsidR="008A701E" w:rsidRPr="006A2781" w14:paraId="1E8D762D" w14:textId="77777777">
        <w:trPr>
          <w:cantSplit/>
          <w:trHeight w:val="128"/>
        </w:trPr>
        <w:tc>
          <w:tcPr>
            <w:tcW w:w="450" w:type="dxa"/>
            <w:vAlign w:val="bottom"/>
          </w:tcPr>
          <w:p w14:paraId="7154B329" w14:textId="77777777" w:rsidR="008A701E" w:rsidRPr="006A2781" w:rsidRDefault="008A701E" w:rsidP="008A701E">
            <w:pPr>
              <w:jc w:val="center"/>
              <w:rPr>
                <w:rFonts w:ascii="Arial" w:hAnsi="Arial" w:cs="Arial"/>
                <w:sz w:val="18"/>
                <w:szCs w:val="18"/>
              </w:rPr>
            </w:pPr>
            <w:r>
              <w:rPr>
                <w:rFonts w:ascii="Arial" w:hAnsi="Arial" w:cs="Arial"/>
                <w:sz w:val="18"/>
                <w:szCs w:val="18"/>
              </w:rPr>
              <w:t>16</w:t>
            </w:r>
          </w:p>
        </w:tc>
        <w:tc>
          <w:tcPr>
            <w:tcW w:w="540" w:type="dxa"/>
            <w:shd w:val="clear" w:color="auto" w:fill="auto"/>
            <w:vAlign w:val="bottom"/>
          </w:tcPr>
          <w:p w14:paraId="596A1EC2"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14:paraId="572AE3D9" w14:textId="77777777"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14:paraId="2373E0D6"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Release Assignment </w:t>
            </w:r>
          </w:p>
        </w:tc>
        <w:tc>
          <w:tcPr>
            <w:tcW w:w="1530" w:type="dxa"/>
            <w:shd w:val="clear" w:color="auto" w:fill="auto"/>
            <w:noWrap/>
            <w:vAlign w:val="bottom"/>
          </w:tcPr>
          <w:p w14:paraId="2F8545E3"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26D6EEA2" w14:textId="77777777" w:rsidR="008A701E" w:rsidRPr="006A2781" w:rsidRDefault="008A701E" w:rsidP="008A701E">
            <w:pPr>
              <w:rPr>
                <w:rFonts w:ascii="Arial" w:hAnsi="Arial" w:cs="Arial"/>
                <w:sz w:val="18"/>
                <w:szCs w:val="18"/>
              </w:rPr>
            </w:pPr>
            <w:r w:rsidRPr="006A2781">
              <w:rPr>
                <w:rFonts w:ascii="Arial" w:hAnsi="Arial" w:cs="Arial"/>
                <w:sz w:val="18"/>
                <w:szCs w:val="18"/>
              </w:rPr>
              <w:t>RE-original</w:t>
            </w:r>
          </w:p>
        </w:tc>
      </w:tr>
      <w:tr w:rsidR="008A701E" w:rsidRPr="006A2781" w14:paraId="6C416A30" w14:textId="77777777">
        <w:trPr>
          <w:cantSplit/>
          <w:trHeight w:val="127"/>
        </w:trPr>
        <w:tc>
          <w:tcPr>
            <w:tcW w:w="450" w:type="dxa"/>
            <w:vAlign w:val="bottom"/>
          </w:tcPr>
          <w:p w14:paraId="33FB4E1A" w14:textId="77777777" w:rsidR="008A701E" w:rsidRPr="006A2781" w:rsidRDefault="008A701E" w:rsidP="008A701E">
            <w:pPr>
              <w:jc w:val="center"/>
              <w:rPr>
                <w:rFonts w:ascii="Arial" w:hAnsi="Arial" w:cs="Arial"/>
                <w:sz w:val="18"/>
                <w:szCs w:val="18"/>
              </w:rPr>
            </w:pPr>
            <w:r>
              <w:rPr>
                <w:rFonts w:ascii="Arial" w:hAnsi="Arial" w:cs="Arial"/>
                <w:sz w:val="18"/>
                <w:szCs w:val="18"/>
              </w:rPr>
              <w:lastRenderedPageBreak/>
              <w:t>17</w:t>
            </w:r>
          </w:p>
        </w:tc>
        <w:tc>
          <w:tcPr>
            <w:tcW w:w="540" w:type="dxa"/>
            <w:shd w:val="clear" w:color="auto" w:fill="auto"/>
            <w:vAlign w:val="bottom"/>
          </w:tcPr>
          <w:p w14:paraId="4AF0064C"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14:paraId="752E7D0E" w14:textId="77777777"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14:paraId="13806E10"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Release Assignment </w:t>
            </w:r>
          </w:p>
        </w:tc>
        <w:tc>
          <w:tcPr>
            <w:tcW w:w="1530" w:type="dxa"/>
            <w:shd w:val="clear" w:color="auto" w:fill="auto"/>
            <w:noWrap/>
            <w:vAlign w:val="bottom"/>
          </w:tcPr>
          <w:p w14:paraId="410B058C"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5EE0AC5E" w14:textId="77777777" w:rsidR="008A701E" w:rsidRPr="006A2781" w:rsidRDefault="008A701E" w:rsidP="008A701E">
            <w:pPr>
              <w:rPr>
                <w:rFonts w:ascii="Arial" w:hAnsi="Arial" w:cs="Arial"/>
                <w:sz w:val="18"/>
                <w:szCs w:val="18"/>
              </w:rPr>
            </w:pPr>
            <w:r w:rsidRPr="006A2781">
              <w:rPr>
                <w:rFonts w:ascii="Arial" w:hAnsi="Arial" w:cs="Arial"/>
                <w:sz w:val="18"/>
                <w:szCs w:val="18"/>
              </w:rPr>
              <w:t>Target, no message sent</w:t>
            </w:r>
          </w:p>
        </w:tc>
      </w:tr>
      <w:tr w:rsidR="008A701E" w:rsidRPr="006A2781" w14:paraId="76756BD1" w14:textId="77777777">
        <w:trPr>
          <w:cantSplit/>
          <w:trHeight w:val="255"/>
        </w:trPr>
        <w:tc>
          <w:tcPr>
            <w:tcW w:w="450" w:type="dxa"/>
            <w:vAlign w:val="bottom"/>
          </w:tcPr>
          <w:p w14:paraId="24939DB0" w14:textId="77777777" w:rsidR="008A701E" w:rsidRPr="006A2781" w:rsidRDefault="008A701E" w:rsidP="008A701E">
            <w:pPr>
              <w:jc w:val="center"/>
              <w:rPr>
                <w:rFonts w:ascii="Arial" w:hAnsi="Arial" w:cs="Arial"/>
                <w:sz w:val="18"/>
                <w:szCs w:val="18"/>
              </w:rPr>
            </w:pPr>
            <w:r>
              <w:rPr>
                <w:rFonts w:ascii="Arial" w:hAnsi="Arial" w:cs="Arial"/>
                <w:sz w:val="18"/>
                <w:szCs w:val="18"/>
              </w:rPr>
              <w:t>18</w:t>
            </w:r>
          </w:p>
        </w:tc>
        <w:tc>
          <w:tcPr>
            <w:tcW w:w="540" w:type="dxa"/>
            <w:shd w:val="clear" w:color="auto" w:fill="auto"/>
            <w:vAlign w:val="bottom"/>
          </w:tcPr>
          <w:p w14:paraId="4E15324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r>
              <w:rPr>
                <w:rFonts w:ascii="Arial" w:hAnsi="Arial" w:cs="Arial"/>
                <w:sz w:val="18"/>
                <w:szCs w:val="18"/>
              </w:rPr>
              <w:t>**</w:t>
            </w:r>
          </w:p>
        </w:tc>
        <w:tc>
          <w:tcPr>
            <w:tcW w:w="1530" w:type="dxa"/>
            <w:shd w:val="clear" w:color="auto" w:fill="auto"/>
            <w:vAlign w:val="bottom"/>
          </w:tcPr>
          <w:p w14:paraId="1E373A6B" w14:textId="77777777"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14:paraId="47C8E62D"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Maintain Assignment </w:t>
            </w:r>
          </w:p>
        </w:tc>
        <w:tc>
          <w:tcPr>
            <w:tcW w:w="1530" w:type="dxa"/>
            <w:shd w:val="clear" w:color="auto" w:fill="auto"/>
            <w:noWrap/>
            <w:vAlign w:val="bottom"/>
          </w:tcPr>
          <w:p w14:paraId="013314E2"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1FB4CEFC" w14:textId="77777777" w:rsidR="008A701E" w:rsidRPr="006A2781" w:rsidRDefault="008A701E" w:rsidP="008A701E">
            <w:pPr>
              <w:rPr>
                <w:rFonts w:ascii="Arial" w:hAnsi="Arial" w:cs="Arial"/>
                <w:sz w:val="18"/>
                <w:szCs w:val="18"/>
              </w:rPr>
            </w:pPr>
            <w:r w:rsidRPr="006A2781">
              <w:rPr>
                <w:rFonts w:ascii="Arial" w:hAnsi="Arial" w:cs="Arial"/>
                <w:sz w:val="18"/>
                <w:szCs w:val="18"/>
              </w:rPr>
              <w:t>RE-original(s), may be multiple messages.</w:t>
            </w:r>
          </w:p>
        </w:tc>
      </w:tr>
      <w:tr w:rsidR="008A701E" w:rsidRPr="006A2781" w14:paraId="674FFE40" w14:textId="77777777">
        <w:trPr>
          <w:cantSplit/>
          <w:trHeight w:val="255"/>
        </w:trPr>
        <w:tc>
          <w:tcPr>
            <w:tcW w:w="450" w:type="dxa"/>
            <w:vAlign w:val="bottom"/>
          </w:tcPr>
          <w:p w14:paraId="11B62734" w14:textId="77777777" w:rsidR="008A701E" w:rsidRPr="006A2781" w:rsidRDefault="008A701E" w:rsidP="008A701E">
            <w:pPr>
              <w:jc w:val="center"/>
              <w:rPr>
                <w:rFonts w:ascii="Arial" w:hAnsi="Arial" w:cs="Arial"/>
                <w:sz w:val="18"/>
                <w:szCs w:val="18"/>
              </w:rPr>
            </w:pPr>
            <w:r>
              <w:rPr>
                <w:rFonts w:ascii="Arial" w:hAnsi="Arial" w:cs="Arial"/>
                <w:sz w:val="18"/>
                <w:szCs w:val="18"/>
              </w:rPr>
              <w:t>19</w:t>
            </w:r>
          </w:p>
        </w:tc>
        <w:tc>
          <w:tcPr>
            <w:tcW w:w="540" w:type="dxa"/>
            <w:shd w:val="clear" w:color="auto" w:fill="auto"/>
            <w:vAlign w:val="bottom"/>
          </w:tcPr>
          <w:p w14:paraId="140AB1E9"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r>
              <w:rPr>
                <w:rFonts w:ascii="Arial" w:hAnsi="Arial" w:cs="Arial"/>
                <w:sz w:val="18"/>
                <w:szCs w:val="18"/>
              </w:rPr>
              <w:t>**</w:t>
            </w:r>
          </w:p>
        </w:tc>
        <w:tc>
          <w:tcPr>
            <w:tcW w:w="1530" w:type="dxa"/>
            <w:shd w:val="clear" w:color="auto" w:fill="auto"/>
            <w:vAlign w:val="bottom"/>
          </w:tcPr>
          <w:p w14:paraId="7957FE13" w14:textId="77777777"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14:paraId="3FBB1537"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Maintain Assignment </w:t>
            </w:r>
          </w:p>
        </w:tc>
        <w:tc>
          <w:tcPr>
            <w:tcW w:w="1530" w:type="dxa"/>
            <w:shd w:val="clear" w:color="auto" w:fill="auto"/>
            <w:noWrap/>
            <w:vAlign w:val="bottom"/>
          </w:tcPr>
          <w:p w14:paraId="0729B1A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14:paraId="65902E60" w14:textId="77777777" w:rsidR="008A701E" w:rsidRPr="006A2781" w:rsidRDefault="008A701E" w:rsidP="008A701E">
            <w:pPr>
              <w:rPr>
                <w:rFonts w:ascii="Arial" w:hAnsi="Arial" w:cs="Arial"/>
                <w:sz w:val="18"/>
                <w:szCs w:val="18"/>
              </w:rPr>
            </w:pPr>
            <w:r w:rsidRPr="006A2781">
              <w:rPr>
                <w:rFonts w:ascii="Arial" w:hAnsi="Arial" w:cs="Arial"/>
                <w:sz w:val="18"/>
                <w:szCs w:val="18"/>
              </w:rPr>
              <w:t>RS-target</w:t>
            </w:r>
          </w:p>
        </w:tc>
      </w:tr>
      <w:tr w:rsidR="008A701E" w:rsidRPr="006A2781" w14:paraId="376D5DCA" w14:textId="77777777">
        <w:trPr>
          <w:cantSplit/>
          <w:trHeight w:val="128"/>
        </w:trPr>
        <w:tc>
          <w:tcPr>
            <w:tcW w:w="450" w:type="dxa"/>
            <w:vAlign w:val="bottom"/>
          </w:tcPr>
          <w:p w14:paraId="02D9D43D" w14:textId="77777777" w:rsidR="008A701E" w:rsidRPr="006A2781" w:rsidRDefault="008A701E" w:rsidP="008A701E">
            <w:pPr>
              <w:jc w:val="center"/>
              <w:rPr>
                <w:rFonts w:ascii="Arial" w:hAnsi="Arial" w:cs="Arial"/>
                <w:sz w:val="18"/>
                <w:szCs w:val="18"/>
              </w:rPr>
            </w:pPr>
            <w:r>
              <w:rPr>
                <w:rFonts w:ascii="Arial" w:hAnsi="Arial" w:cs="Arial"/>
                <w:sz w:val="18"/>
                <w:szCs w:val="18"/>
              </w:rPr>
              <w:t>20</w:t>
            </w:r>
          </w:p>
        </w:tc>
        <w:tc>
          <w:tcPr>
            <w:tcW w:w="540" w:type="dxa"/>
            <w:shd w:val="clear" w:color="auto" w:fill="auto"/>
            <w:vAlign w:val="bottom"/>
          </w:tcPr>
          <w:p w14:paraId="79AFECB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r>
              <w:rPr>
                <w:rFonts w:ascii="Arial" w:hAnsi="Arial" w:cs="Arial"/>
                <w:sz w:val="18"/>
                <w:szCs w:val="18"/>
              </w:rPr>
              <w:t>**</w:t>
            </w:r>
          </w:p>
        </w:tc>
        <w:tc>
          <w:tcPr>
            <w:tcW w:w="1530" w:type="dxa"/>
            <w:shd w:val="clear" w:color="auto" w:fill="auto"/>
            <w:noWrap/>
            <w:vAlign w:val="bottom"/>
          </w:tcPr>
          <w:p w14:paraId="6D193066" w14:textId="77777777"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14:paraId="7A62BD00"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Release Assignment </w:t>
            </w:r>
          </w:p>
        </w:tc>
        <w:tc>
          <w:tcPr>
            <w:tcW w:w="1530" w:type="dxa"/>
            <w:shd w:val="clear" w:color="auto" w:fill="auto"/>
            <w:noWrap/>
            <w:vAlign w:val="bottom"/>
          </w:tcPr>
          <w:p w14:paraId="38F9A442"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5C1F4A2C" w14:textId="77777777" w:rsidR="008A701E" w:rsidRPr="006A2781" w:rsidRDefault="008A701E" w:rsidP="008A701E">
            <w:pPr>
              <w:rPr>
                <w:rFonts w:ascii="Arial" w:hAnsi="Arial" w:cs="Arial"/>
                <w:sz w:val="18"/>
                <w:szCs w:val="18"/>
              </w:rPr>
            </w:pPr>
            <w:r w:rsidRPr="006A2781">
              <w:rPr>
                <w:rFonts w:ascii="Arial" w:hAnsi="Arial" w:cs="Arial"/>
                <w:sz w:val="18"/>
                <w:szCs w:val="18"/>
              </w:rPr>
              <w:t>RE-original</w:t>
            </w:r>
          </w:p>
        </w:tc>
      </w:tr>
      <w:tr w:rsidR="008A701E" w:rsidRPr="006A2781" w14:paraId="63AF902B" w14:textId="77777777">
        <w:trPr>
          <w:cantSplit/>
          <w:trHeight w:val="127"/>
        </w:trPr>
        <w:tc>
          <w:tcPr>
            <w:tcW w:w="450" w:type="dxa"/>
            <w:vAlign w:val="bottom"/>
          </w:tcPr>
          <w:p w14:paraId="79B3E61F" w14:textId="77777777" w:rsidR="008A701E" w:rsidRPr="006A2781" w:rsidRDefault="008A701E" w:rsidP="008A701E">
            <w:pPr>
              <w:jc w:val="center"/>
              <w:rPr>
                <w:rFonts w:ascii="Arial" w:hAnsi="Arial" w:cs="Arial"/>
                <w:sz w:val="18"/>
                <w:szCs w:val="18"/>
              </w:rPr>
            </w:pPr>
            <w:r>
              <w:rPr>
                <w:rFonts w:ascii="Arial" w:hAnsi="Arial" w:cs="Arial"/>
                <w:sz w:val="18"/>
                <w:szCs w:val="18"/>
              </w:rPr>
              <w:t>21</w:t>
            </w:r>
          </w:p>
        </w:tc>
        <w:tc>
          <w:tcPr>
            <w:tcW w:w="540" w:type="dxa"/>
            <w:shd w:val="clear" w:color="auto" w:fill="auto"/>
            <w:vAlign w:val="bottom"/>
          </w:tcPr>
          <w:p w14:paraId="0590280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r>
              <w:rPr>
                <w:rFonts w:ascii="Arial" w:hAnsi="Arial" w:cs="Arial"/>
                <w:sz w:val="18"/>
                <w:szCs w:val="18"/>
              </w:rPr>
              <w:t>**</w:t>
            </w:r>
          </w:p>
        </w:tc>
        <w:tc>
          <w:tcPr>
            <w:tcW w:w="1530" w:type="dxa"/>
            <w:shd w:val="clear" w:color="auto" w:fill="auto"/>
            <w:noWrap/>
            <w:vAlign w:val="bottom"/>
          </w:tcPr>
          <w:p w14:paraId="065B61D8" w14:textId="77777777"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14:paraId="7AC546C6"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Release Assignment </w:t>
            </w:r>
          </w:p>
        </w:tc>
        <w:tc>
          <w:tcPr>
            <w:tcW w:w="1530" w:type="dxa"/>
            <w:shd w:val="clear" w:color="auto" w:fill="auto"/>
            <w:noWrap/>
            <w:vAlign w:val="bottom"/>
          </w:tcPr>
          <w:p w14:paraId="7D3919AE"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129B1CE1" w14:textId="77777777" w:rsidR="008A701E" w:rsidRPr="006A2781" w:rsidRDefault="008A701E" w:rsidP="008A701E">
            <w:pPr>
              <w:rPr>
                <w:rFonts w:ascii="Arial" w:hAnsi="Arial" w:cs="Arial"/>
                <w:sz w:val="18"/>
                <w:szCs w:val="18"/>
              </w:rPr>
            </w:pPr>
            <w:r w:rsidRPr="006A2781">
              <w:rPr>
                <w:rFonts w:ascii="Arial" w:hAnsi="Arial" w:cs="Arial"/>
                <w:sz w:val="18"/>
                <w:szCs w:val="18"/>
              </w:rPr>
              <w:t>Target, no message sent</w:t>
            </w:r>
          </w:p>
        </w:tc>
      </w:tr>
      <w:tr w:rsidR="008A701E" w:rsidRPr="006A2781" w14:paraId="0006790A" w14:textId="77777777">
        <w:trPr>
          <w:cantSplit/>
          <w:trHeight w:val="255"/>
        </w:trPr>
        <w:tc>
          <w:tcPr>
            <w:tcW w:w="450" w:type="dxa"/>
            <w:vAlign w:val="bottom"/>
          </w:tcPr>
          <w:p w14:paraId="613AB6CF" w14:textId="77777777" w:rsidR="008A701E" w:rsidRPr="006A2781" w:rsidRDefault="008A701E" w:rsidP="008A701E">
            <w:pPr>
              <w:jc w:val="center"/>
              <w:rPr>
                <w:rFonts w:ascii="Arial" w:hAnsi="Arial" w:cs="Arial"/>
                <w:sz w:val="18"/>
                <w:szCs w:val="18"/>
              </w:rPr>
            </w:pPr>
            <w:r>
              <w:rPr>
                <w:rFonts w:ascii="Arial" w:hAnsi="Arial" w:cs="Arial"/>
                <w:sz w:val="18"/>
                <w:szCs w:val="18"/>
              </w:rPr>
              <w:t>22</w:t>
            </w:r>
          </w:p>
        </w:tc>
        <w:tc>
          <w:tcPr>
            <w:tcW w:w="540" w:type="dxa"/>
            <w:shd w:val="clear" w:color="auto" w:fill="auto"/>
            <w:vAlign w:val="bottom"/>
          </w:tcPr>
          <w:p w14:paraId="24840056"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14:paraId="770DB49C" w14:textId="77777777"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14:paraId="63D6CEEA"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42CCC5C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44CCCDF8" w14:textId="77777777" w:rsidR="008A701E" w:rsidRPr="006A2781" w:rsidRDefault="008A701E" w:rsidP="008A701E">
            <w:pPr>
              <w:rPr>
                <w:rFonts w:ascii="Arial" w:hAnsi="Arial" w:cs="Arial"/>
                <w:sz w:val="18"/>
                <w:szCs w:val="18"/>
              </w:rPr>
            </w:pPr>
            <w:r w:rsidRPr="006A2781">
              <w:rPr>
                <w:rFonts w:ascii="Arial" w:hAnsi="Arial" w:cs="Arial"/>
                <w:sz w:val="18"/>
                <w:szCs w:val="18"/>
              </w:rPr>
              <w:t>RE-original</w:t>
            </w:r>
          </w:p>
        </w:tc>
      </w:tr>
      <w:tr w:rsidR="008A701E" w:rsidRPr="006A2781" w14:paraId="31854CF6" w14:textId="77777777">
        <w:trPr>
          <w:cantSplit/>
          <w:trHeight w:val="255"/>
        </w:trPr>
        <w:tc>
          <w:tcPr>
            <w:tcW w:w="450" w:type="dxa"/>
            <w:vAlign w:val="bottom"/>
          </w:tcPr>
          <w:p w14:paraId="135E3539" w14:textId="77777777" w:rsidR="008A701E" w:rsidRPr="006A2781" w:rsidRDefault="008A701E" w:rsidP="008A701E">
            <w:pPr>
              <w:jc w:val="center"/>
              <w:rPr>
                <w:rFonts w:ascii="Arial" w:hAnsi="Arial" w:cs="Arial"/>
                <w:sz w:val="18"/>
                <w:szCs w:val="18"/>
              </w:rPr>
            </w:pPr>
            <w:r>
              <w:rPr>
                <w:rFonts w:ascii="Arial" w:hAnsi="Arial" w:cs="Arial"/>
                <w:sz w:val="18"/>
                <w:szCs w:val="18"/>
              </w:rPr>
              <w:t>23</w:t>
            </w:r>
          </w:p>
        </w:tc>
        <w:tc>
          <w:tcPr>
            <w:tcW w:w="540" w:type="dxa"/>
            <w:shd w:val="clear" w:color="auto" w:fill="auto"/>
            <w:vAlign w:val="bottom"/>
          </w:tcPr>
          <w:p w14:paraId="202C953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14:paraId="69652761" w14:textId="77777777"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14:paraId="68A4980A"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0D69B5BE"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2B6DE209" w14:textId="77777777" w:rsidR="008A701E" w:rsidRPr="006A2781" w:rsidRDefault="008A701E" w:rsidP="008A701E">
            <w:pPr>
              <w:rPr>
                <w:rFonts w:ascii="Arial" w:hAnsi="Arial" w:cs="Arial"/>
                <w:sz w:val="18"/>
                <w:szCs w:val="18"/>
              </w:rPr>
            </w:pPr>
            <w:r w:rsidRPr="006A2781">
              <w:rPr>
                <w:rFonts w:ascii="Arial" w:hAnsi="Arial" w:cs="Arial"/>
                <w:sz w:val="18"/>
                <w:szCs w:val="18"/>
              </w:rPr>
              <w:t>RS-targets, one message for each target created.</w:t>
            </w:r>
          </w:p>
        </w:tc>
      </w:tr>
      <w:tr w:rsidR="008A701E" w:rsidRPr="006A2781" w14:paraId="008BCADC" w14:textId="77777777">
        <w:trPr>
          <w:cantSplit/>
          <w:trHeight w:val="188"/>
        </w:trPr>
        <w:tc>
          <w:tcPr>
            <w:tcW w:w="450" w:type="dxa"/>
            <w:vAlign w:val="bottom"/>
          </w:tcPr>
          <w:p w14:paraId="61E63D1A" w14:textId="77777777" w:rsidR="008A701E" w:rsidRPr="006A2781" w:rsidRDefault="008A701E" w:rsidP="008A701E">
            <w:pPr>
              <w:jc w:val="center"/>
              <w:rPr>
                <w:rFonts w:ascii="Arial" w:hAnsi="Arial" w:cs="Arial"/>
                <w:sz w:val="18"/>
                <w:szCs w:val="18"/>
              </w:rPr>
            </w:pPr>
            <w:r>
              <w:rPr>
                <w:rFonts w:ascii="Arial" w:hAnsi="Arial" w:cs="Arial"/>
                <w:sz w:val="18"/>
                <w:szCs w:val="18"/>
              </w:rPr>
              <w:t>24</w:t>
            </w:r>
          </w:p>
        </w:tc>
        <w:tc>
          <w:tcPr>
            <w:tcW w:w="540" w:type="dxa"/>
            <w:shd w:val="clear" w:color="auto" w:fill="auto"/>
            <w:vAlign w:val="bottom"/>
          </w:tcPr>
          <w:p w14:paraId="58C2F013"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14:paraId="4980FCBE" w14:textId="77777777"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14:paraId="746CD7D1"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14:paraId="0EA0621E"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39E0CFAC" w14:textId="77777777" w:rsidR="008A701E" w:rsidRPr="006A2781" w:rsidRDefault="008A701E" w:rsidP="008A701E">
            <w:pPr>
              <w:rPr>
                <w:rFonts w:ascii="Arial" w:hAnsi="Arial" w:cs="Arial"/>
                <w:sz w:val="18"/>
                <w:szCs w:val="18"/>
              </w:rPr>
            </w:pPr>
            <w:r w:rsidRPr="006A2781">
              <w:rPr>
                <w:rFonts w:ascii="Arial" w:hAnsi="Arial" w:cs="Arial"/>
                <w:sz w:val="18"/>
                <w:szCs w:val="18"/>
              </w:rPr>
              <w:t>RE-original</w:t>
            </w:r>
          </w:p>
        </w:tc>
      </w:tr>
      <w:tr w:rsidR="008A701E" w:rsidRPr="006A2781" w14:paraId="57A65EFB" w14:textId="77777777">
        <w:trPr>
          <w:cantSplit/>
          <w:trHeight w:val="255"/>
        </w:trPr>
        <w:tc>
          <w:tcPr>
            <w:tcW w:w="450" w:type="dxa"/>
            <w:vAlign w:val="bottom"/>
          </w:tcPr>
          <w:p w14:paraId="0DF21771" w14:textId="77777777" w:rsidR="008A701E" w:rsidRPr="006A2781" w:rsidRDefault="008A701E" w:rsidP="008A701E">
            <w:pPr>
              <w:jc w:val="center"/>
              <w:rPr>
                <w:rFonts w:ascii="Arial" w:hAnsi="Arial" w:cs="Arial"/>
                <w:sz w:val="18"/>
                <w:szCs w:val="18"/>
              </w:rPr>
            </w:pPr>
            <w:r>
              <w:rPr>
                <w:rFonts w:ascii="Arial" w:hAnsi="Arial" w:cs="Arial"/>
                <w:sz w:val="18"/>
                <w:szCs w:val="18"/>
              </w:rPr>
              <w:t>25</w:t>
            </w:r>
          </w:p>
        </w:tc>
        <w:tc>
          <w:tcPr>
            <w:tcW w:w="540" w:type="dxa"/>
            <w:shd w:val="clear" w:color="auto" w:fill="auto"/>
            <w:vAlign w:val="bottom"/>
          </w:tcPr>
          <w:p w14:paraId="1B7A026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14:paraId="32BAD8D0" w14:textId="77777777"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14:paraId="451C65E9"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14:paraId="6D7E82A2"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29666110" w14:textId="77777777" w:rsidR="008A701E" w:rsidRPr="006A2781" w:rsidRDefault="008A701E" w:rsidP="008A701E">
            <w:pPr>
              <w:rPr>
                <w:rFonts w:ascii="Arial" w:hAnsi="Arial" w:cs="Arial"/>
                <w:sz w:val="18"/>
                <w:szCs w:val="18"/>
              </w:rPr>
            </w:pPr>
            <w:r w:rsidRPr="006A2781">
              <w:rPr>
                <w:rFonts w:ascii="Arial" w:hAnsi="Arial" w:cs="Arial"/>
                <w:sz w:val="18"/>
                <w:szCs w:val="18"/>
              </w:rPr>
              <w:t>Target, no message sent</w:t>
            </w:r>
          </w:p>
        </w:tc>
      </w:tr>
      <w:tr w:rsidR="008A701E" w:rsidRPr="006A2781" w14:paraId="6156324C" w14:textId="77777777">
        <w:trPr>
          <w:cantSplit/>
          <w:trHeight w:val="255"/>
        </w:trPr>
        <w:tc>
          <w:tcPr>
            <w:tcW w:w="450" w:type="dxa"/>
            <w:vAlign w:val="bottom"/>
          </w:tcPr>
          <w:p w14:paraId="2496978E" w14:textId="77777777" w:rsidR="008A701E" w:rsidRPr="006A2781" w:rsidRDefault="008A701E" w:rsidP="008A701E">
            <w:pPr>
              <w:jc w:val="center"/>
              <w:rPr>
                <w:rFonts w:ascii="Arial" w:hAnsi="Arial" w:cs="Arial"/>
                <w:sz w:val="18"/>
                <w:szCs w:val="18"/>
              </w:rPr>
            </w:pPr>
            <w:r>
              <w:rPr>
                <w:rFonts w:ascii="Arial" w:hAnsi="Arial" w:cs="Arial"/>
                <w:sz w:val="18"/>
                <w:szCs w:val="18"/>
              </w:rPr>
              <w:t>26</w:t>
            </w:r>
          </w:p>
        </w:tc>
        <w:tc>
          <w:tcPr>
            <w:tcW w:w="540" w:type="dxa"/>
            <w:shd w:val="clear" w:color="auto" w:fill="auto"/>
            <w:vAlign w:val="bottom"/>
          </w:tcPr>
          <w:p w14:paraId="4040EA4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14:paraId="15691292" w14:textId="77777777"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14:paraId="7AFA1DE9"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685A80A8"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7306A789" w14:textId="77777777" w:rsidR="008A701E" w:rsidRPr="006A2781" w:rsidRDefault="008A701E" w:rsidP="008A701E">
            <w:pPr>
              <w:rPr>
                <w:rFonts w:ascii="Arial" w:hAnsi="Arial" w:cs="Arial"/>
                <w:sz w:val="18"/>
                <w:szCs w:val="18"/>
              </w:rPr>
            </w:pPr>
            <w:r w:rsidRPr="006A2781">
              <w:rPr>
                <w:rFonts w:ascii="Arial" w:hAnsi="Arial" w:cs="Arial"/>
                <w:sz w:val="18"/>
                <w:szCs w:val="18"/>
              </w:rPr>
              <w:t>RE-original</w:t>
            </w:r>
          </w:p>
        </w:tc>
      </w:tr>
      <w:tr w:rsidR="008A701E" w:rsidRPr="006A2781" w14:paraId="234C1722" w14:textId="77777777">
        <w:trPr>
          <w:cantSplit/>
          <w:trHeight w:val="255"/>
        </w:trPr>
        <w:tc>
          <w:tcPr>
            <w:tcW w:w="450" w:type="dxa"/>
            <w:vAlign w:val="bottom"/>
          </w:tcPr>
          <w:p w14:paraId="42D46D71" w14:textId="77777777" w:rsidR="008A701E" w:rsidRPr="006A2781" w:rsidRDefault="008A701E" w:rsidP="008A701E">
            <w:pPr>
              <w:jc w:val="center"/>
              <w:rPr>
                <w:rFonts w:ascii="Arial" w:hAnsi="Arial" w:cs="Arial"/>
                <w:sz w:val="18"/>
                <w:szCs w:val="18"/>
              </w:rPr>
            </w:pPr>
            <w:r>
              <w:rPr>
                <w:rFonts w:ascii="Arial" w:hAnsi="Arial" w:cs="Arial"/>
                <w:sz w:val="18"/>
                <w:szCs w:val="18"/>
              </w:rPr>
              <w:t>27</w:t>
            </w:r>
          </w:p>
        </w:tc>
        <w:tc>
          <w:tcPr>
            <w:tcW w:w="540" w:type="dxa"/>
            <w:shd w:val="clear" w:color="auto" w:fill="auto"/>
            <w:vAlign w:val="bottom"/>
          </w:tcPr>
          <w:p w14:paraId="6A776E1A"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14:paraId="02C7C46D" w14:textId="77777777"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14:paraId="44C72911"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277F561C"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14:paraId="5B172DFD" w14:textId="77777777" w:rsidR="008A701E" w:rsidRPr="006A2781" w:rsidRDefault="008A701E" w:rsidP="008A701E">
            <w:pPr>
              <w:rPr>
                <w:rFonts w:ascii="Arial" w:hAnsi="Arial" w:cs="Arial"/>
                <w:sz w:val="18"/>
                <w:szCs w:val="18"/>
              </w:rPr>
            </w:pPr>
            <w:r w:rsidRPr="006A2781">
              <w:rPr>
                <w:rFonts w:ascii="Arial" w:hAnsi="Arial" w:cs="Arial"/>
                <w:sz w:val="18"/>
                <w:szCs w:val="18"/>
              </w:rPr>
              <w:t>RS-target</w:t>
            </w:r>
          </w:p>
        </w:tc>
      </w:tr>
      <w:tr w:rsidR="008A701E" w:rsidRPr="006A2781" w14:paraId="5E761FEC" w14:textId="77777777">
        <w:trPr>
          <w:cantSplit/>
          <w:trHeight w:val="255"/>
        </w:trPr>
        <w:tc>
          <w:tcPr>
            <w:tcW w:w="450" w:type="dxa"/>
            <w:vAlign w:val="bottom"/>
          </w:tcPr>
          <w:p w14:paraId="39202D1F" w14:textId="77777777" w:rsidR="008A701E" w:rsidRPr="006A2781" w:rsidRDefault="008A701E" w:rsidP="008A701E">
            <w:pPr>
              <w:jc w:val="center"/>
              <w:rPr>
                <w:rFonts w:ascii="Arial" w:hAnsi="Arial" w:cs="Arial"/>
                <w:sz w:val="18"/>
                <w:szCs w:val="18"/>
              </w:rPr>
            </w:pPr>
            <w:r>
              <w:rPr>
                <w:rFonts w:ascii="Arial" w:hAnsi="Arial" w:cs="Arial"/>
                <w:sz w:val="18"/>
                <w:szCs w:val="18"/>
              </w:rPr>
              <w:t>28</w:t>
            </w:r>
          </w:p>
        </w:tc>
        <w:tc>
          <w:tcPr>
            <w:tcW w:w="540" w:type="dxa"/>
            <w:shd w:val="clear" w:color="auto" w:fill="auto"/>
            <w:vAlign w:val="bottom"/>
          </w:tcPr>
          <w:p w14:paraId="226FD9D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14:paraId="38044C25" w14:textId="77777777"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14:paraId="17E9EEC7"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14:paraId="0479F8C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56498B69" w14:textId="77777777" w:rsidR="008A701E" w:rsidRPr="006A2781" w:rsidRDefault="008A701E" w:rsidP="008A701E">
            <w:pPr>
              <w:rPr>
                <w:rFonts w:ascii="Arial" w:hAnsi="Arial" w:cs="Arial"/>
                <w:sz w:val="18"/>
                <w:szCs w:val="18"/>
              </w:rPr>
            </w:pPr>
            <w:r w:rsidRPr="006A2781">
              <w:rPr>
                <w:rFonts w:ascii="Arial" w:hAnsi="Arial" w:cs="Arial"/>
                <w:sz w:val="18"/>
                <w:szCs w:val="18"/>
              </w:rPr>
              <w:t>RE-original</w:t>
            </w:r>
          </w:p>
        </w:tc>
      </w:tr>
      <w:tr w:rsidR="008A701E" w:rsidRPr="006A2781" w14:paraId="1637F427" w14:textId="77777777">
        <w:trPr>
          <w:cantSplit/>
          <w:trHeight w:val="255"/>
        </w:trPr>
        <w:tc>
          <w:tcPr>
            <w:tcW w:w="450" w:type="dxa"/>
            <w:vAlign w:val="bottom"/>
          </w:tcPr>
          <w:p w14:paraId="74B38656" w14:textId="77777777" w:rsidR="008A701E" w:rsidRPr="006A2781" w:rsidRDefault="008A701E" w:rsidP="008A701E">
            <w:pPr>
              <w:jc w:val="center"/>
              <w:rPr>
                <w:rFonts w:ascii="Arial" w:hAnsi="Arial" w:cs="Arial"/>
                <w:sz w:val="18"/>
                <w:szCs w:val="18"/>
              </w:rPr>
            </w:pPr>
            <w:r>
              <w:rPr>
                <w:rFonts w:ascii="Arial" w:hAnsi="Arial" w:cs="Arial"/>
                <w:sz w:val="18"/>
                <w:szCs w:val="18"/>
              </w:rPr>
              <w:t>29</w:t>
            </w:r>
          </w:p>
        </w:tc>
        <w:tc>
          <w:tcPr>
            <w:tcW w:w="540" w:type="dxa"/>
            <w:shd w:val="clear" w:color="auto" w:fill="auto"/>
            <w:vAlign w:val="bottom"/>
          </w:tcPr>
          <w:p w14:paraId="263576C6"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14:paraId="6C1A4233" w14:textId="77777777"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14:paraId="466A882D"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14:paraId="7FF704AE"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427B7B5A" w14:textId="77777777" w:rsidR="008A701E" w:rsidRPr="006A2781" w:rsidRDefault="008A701E" w:rsidP="008A701E">
            <w:pPr>
              <w:rPr>
                <w:rFonts w:ascii="Arial" w:hAnsi="Arial" w:cs="Arial"/>
                <w:sz w:val="18"/>
                <w:szCs w:val="18"/>
              </w:rPr>
            </w:pPr>
            <w:r w:rsidRPr="006A2781">
              <w:rPr>
                <w:rFonts w:ascii="Arial" w:hAnsi="Arial" w:cs="Arial"/>
                <w:sz w:val="18"/>
                <w:szCs w:val="18"/>
              </w:rPr>
              <w:t>Target, no message sent</w:t>
            </w:r>
          </w:p>
        </w:tc>
      </w:tr>
      <w:tr w:rsidR="008A701E" w:rsidRPr="006A2781" w14:paraId="5CD29512" w14:textId="77777777">
        <w:trPr>
          <w:cantSplit/>
          <w:trHeight w:val="255"/>
        </w:trPr>
        <w:tc>
          <w:tcPr>
            <w:tcW w:w="450" w:type="dxa"/>
            <w:vAlign w:val="bottom"/>
          </w:tcPr>
          <w:p w14:paraId="7B9E4871" w14:textId="77777777" w:rsidR="008A701E" w:rsidRPr="006A2781" w:rsidRDefault="008A701E" w:rsidP="008A701E">
            <w:pPr>
              <w:jc w:val="center"/>
              <w:rPr>
                <w:rFonts w:ascii="Arial" w:hAnsi="Arial" w:cs="Arial"/>
                <w:sz w:val="18"/>
                <w:szCs w:val="18"/>
              </w:rPr>
            </w:pPr>
            <w:r>
              <w:rPr>
                <w:rFonts w:ascii="Arial" w:hAnsi="Arial" w:cs="Arial"/>
                <w:sz w:val="18"/>
                <w:szCs w:val="18"/>
              </w:rPr>
              <w:t>30</w:t>
            </w:r>
          </w:p>
        </w:tc>
        <w:tc>
          <w:tcPr>
            <w:tcW w:w="540" w:type="dxa"/>
            <w:shd w:val="clear" w:color="auto" w:fill="auto"/>
            <w:vAlign w:val="bottom"/>
          </w:tcPr>
          <w:p w14:paraId="024E13CF"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14:paraId="085AB050" w14:textId="77777777"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14:paraId="1A2AA4D0"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71018F6D"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63E82B50" w14:textId="5E2359B9" w:rsidR="008A701E" w:rsidRPr="006A2781" w:rsidRDefault="008A701E" w:rsidP="008A701E">
            <w:pPr>
              <w:rPr>
                <w:rFonts w:ascii="Arial" w:hAnsi="Arial" w:cs="Arial"/>
                <w:sz w:val="18"/>
                <w:szCs w:val="18"/>
              </w:rPr>
            </w:pPr>
            <w:r w:rsidRPr="006A2781">
              <w:rPr>
                <w:rFonts w:ascii="Arial" w:hAnsi="Arial" w:cs="Arial"/>
                <w:sz w:val="18"/>
                <w:szCs w:val="18"/>
              </w:rPr>
              <w:t>RE-</w:t>
            </w:r>
            <w:r w:rsidR="00AE3B37" w:rsidRPr="006A2781">
              <w:rPr>
                <w:rFonts w:ascii="Arial" w:hAnsi="Arial" w:cs="Arial"/>
                <w:sz w:val="18"/>
                <w:szCs w:val="18"/>
              </w:rPr>
              <w:t>original (</w:t>
            </w:r>
            <w:r w:rsidRPr="006A2781">
              <w:rPr>
                <w:rFonts w:ascii="Arial" w:hAnsi="Arial" w:cs="Arial"/>
                <w:sz w:val="18"/>
                <w:szCs w:val="18"/>
              </w:rPr>
              <w:t>when processing in batch, multiple messages are sent)</w:t>
            </w:r>
          </w:p>
        </w:tc>
      </w:tr>
      <w:tr w:rsidR="008A701E" w:rsidRPr="006A2781" w14:paraId="43D58C42" w14:textId="77777777">
        <w:trPr>
          <w:cantSplit/>
          <w:trHeight w:val="255"/>
        </w:trPr>
        <w:tc>
          <w:tcPr>
            <w:tcW w:w="450" w:type="dxa"/>
            <w:vAlign w:val="bottom"/>
          </w:tcPr>
          <w:p w14:paraId="15ADBACB" w14:textId="77777777" w:rsidR="008A701E" w:rsidRPr="006A2781" w:rsidRDefault="008A701E" w:rsidP="008A701E">
            <w:pPr>
              <w:jc w:val="center"/>
              <w:rPr>
                <w:rFonts w:ascii="Arial" w:hAnsi="Arial" w:cs="Arial"/>
                <w:sz w:val="18"/>
                <w:szCs w:val="18"/>
              </w:rPr>
            </w:pPr>
            <w:r>
              <w:rPr>
                <w:rFonts w:ascii="Arial" w:hAnsi="Arial" w:cs="Arial"/>
                <w:sz w:val="18"/>
                <w:szCs w:val="18"/>
              </w:rPr>
              <w:t>31</w:t>
            </w:r>
          </w:p>
        </w:tc>
        <w:tc>
          <w:tcPr>
            <w:tcW w:w="540" w:type="dxa"/>
            <w:shd w:val="clear" w:color="auto" w:fill="auto"/>
            <w:vAlign w:val="bottom"/>
          </w:tcPr>
          <w:p w14:paraId="44E3BCC3"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14:paraId="6FCD5576" w14:textId="77777777"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14:paraId="33547ACA"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4AF7790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12EA5BEF" w14:textId="77777777" w:rsidR="008A701E" w:rsidRPr="006A2781" w:rsidRDefault="008A701E" w:rsidP="008A701E">
            <w:pPr>
              <w:rPr>
                <w:rFonts w:ascii="Arial" w:hAnsi="Arial" w:cs="Arial"/>
                <w:sz w:val="18"/>
                <w:szCs w:val="18"/>
              </w:rPr>
            </w:pPr>
            <w:r w:rsidRPr="006A2781">
              <w:rPr>
                <w:rFonts w:ascii="Arial" w:hAnsi="Arial" w:cs="Arial"/>
                <w:sz w:val="18"/>
                <w:szCs w:val="18"/>
              </w:rPr>
              <w:t>RS-target (when processing in batch, multiple messages are sent)</w:t>
            </w:r>
          </w:p>
        </w:tc>
      </w:tr>
      <w:tr w:rsidR="008A701E" w:rsidRPr="006A2781" w14:paraId="45495E52" w14:textId="77777777">
        <w:trPr>
          <w:cantSplit/>
          <w:trHeight w:val="255"/>
        </w:trPr>
        <w:tc>
          <w:tcPr>
            <w:tcW w:w="450" w:type="dxa"/>
            <w:vAlign w:val="bottom"/>
          </w:tcPr>
          <w:p w14:paraId="72728ECC" w14:textId="77777777" w:rsidR="008A701E" w:rsidRPr="006A2781" w:rsidRDefault="008A701E" w:rsidP="008A701E">
            <w:pPr>
              <w:jc w:val="center"/>
              <w:rPr>
                <w:rFonts w:ascii="Arial" w:hAnsi="Arial" w:cs="Arial"/>
                <w:sz w:val="18"/>
                <w:szCs w:val="18"/>
              </w:rPr>
            </w:pPr>
            <w:r>
              <w:rPr>
                <w:rFonts w:ascii="Arial" w:hAnsi="Arial" w:cs="Arial"/>
                <w:sz w:val="18"/>
                <w:szCs w:val="18"/>
              </w:rPr>
              <w:t>32</w:t>
            </w:r>
          </w:p>
        </w:tc>
        <w:tc>
          <w:tcPr>
            <w:tcW w:w="540" w:type="dxa"/>
            <w:shd w:val="clear" w:color="auto" w:fill="auto"/>
            <w:vAlign w:val="bottom"/>
          </w:tcPr>
          <w:p w14:paraId="2FDD2B9C"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14:paraId="52DED11E" w14:textId="77777777"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14:paraId="490956BF"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14:paraId="0651B7F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080BBC74" w14:textId="1E5C1D00" w:rsidR="008A701E" w:rsidRPr="006A2781" w:rsidRDefault="008A701E" w:rsidP="008A701E">
            <w:pPr>
              <w:rPr>
                <w:rFonts w:ascii="Arial" w:hAnsi="Arial" w:cs="Arial"/>
                <w:sz w:val="18"/>
                <w:szCs w:val="18"/>
              </w:rPr>
            </w:pPr>
            <w:r w:rsidRPr="006A2781">
              <w:rPr>
                <w:rFonts w:ascii="Arial" w:hAnsi="Arial" w:cs="Arial"/>
                <w:sz w:val="18"/>
                <w:szCs w:val="18"/>
              </w:rPr>
              <w:t>RE-</w:t>
            </w:r>
            <w:r w:rsidR="00AE3B37" w:rsidRPr="006A2781">
              <w:rPr>
                <w:rFonts w:ascii="Arial" w:hAnsi="Arial" w:cs="Arial"/>
                <w:sz w:val="18"/>
                <w:szCs w:val="18"/>
              </w:rPr>
              <w:t>original (</w:t>
            </w:r>
            <w:r w:rsidRPr="006A2781">
              <w:rPr>
                <w:rFonts w:ascii="Arial" w:hAnsi="Arial" w:cs="Arial"/>
                <w:sz w:val="18"/>
                <w:szCs w:val="18"/>
              </w:rPr>
              <w:t>when processing in batch, multiple messages are sent)</w:t>
            </w:r>
          </w:p>
        </w:tc>
      </w:tr>
      <w:tr w:rsidR="008A701E" w:rsidRPr="006A2781" w14:paraId="646338D3" w14:textId="77777777">
        <w:trPr>
          <w:cantSplit/>
          <w:trHeight w:val="255"/>
        </w:trPr>
        <w:tc>
          <w:tcPr>
            <w:tcW w:w="450" w:type="dxa"/>
            <w:vAlign w:val="bottom"/>
          </w:tcPr>
          <w:p w14:paraId="2AB441C3" w14:textId="77777777" w:rsidR="008A701E" w:rsidRPr="006A2781" w:rsidRDefault="008A701E" w:rsidP="008A701E">
            <w:pPr>
              <w:jc w:val="center"/>
              <w:rPr>
                <w:rFonts w:ascii="Arial" w:hAnsi="Arial" w:cs="Arial"/>
                <w:sz w:val="18"/>
                <w:szCs w:val="18"/>
              </w:rPr>
            </w:pPr>
            <w:r>
              <w:rPr>
                <w:rFonts w:ascii="Arial" w:hAnsi="Arial" w:cs="Arial"/>
                <w:sz w:val="18"/>
                <w:szCs w:val="18"/>
              </w:rPr>
              <w:t>33</w:t>
            </w:r>
          </w:p>
        </w:tc>
        <w:tc>
          <w:tcPr>
            <w:tcW w:w="540" w:type="dxa"/>
            <w:shd w:val="clear" w:color="auto" w:fill="auto"/>
            <w:vAlign w:val="bottom"/>
          </w:tcPr>
          <w:p w14:paraId="604BA4BD"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14:paraId="50FBCAC3" w14:textId="77777777"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14:paraId="669E8E74"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14:paraId="6BCBDC6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06D2E9E2" w14:textId="77777777" w:rsidR="008A701E" w:rsidRPr="006A2781" w:rsidRDefault="008A701E" w:rsidP="008A701E">
            <w:pPr>
              <w:rPr>
                <w:rFonts w:ascii="Arial" w:hAnsi="Arial" w:cs="Arial"/>
                <w:sz w:val="18"/>
                <w:szCs w:val="18"/>
              </w:rPr>
            </w:pPr>
            <w:r w:rsidRPr="006A2781">
              <w:rPr>
                <w:rFonts w:ascii="Arial" w:hAnsi="Arial" w:cs="Arial"/>
                <w:sz w:val="18"/>
                <w:szCs w:val="18"/>
              </w:rPr>
              <w:t>Target, no message sent</w:t>
            </w:r>
          </w:p>
        </w:tc>
      </w:tr>
      <w:tr w:rsidR="008A701E" w:rsidRPr="006A2781" w14:paraId="045A37A6" w14:textId="77777777">
        <w:trPr>
          <w:cantSplit/>
          <w:trHeight w:val="255"/>
        </w:trPr>
        <w:tc>
          <w:tcPr>
            <w:tcW w:w="450" w:type="dxa"/>
            <w:vAlign w:val="bottom"/>
          </w:tcPr>
          <w:p w14:paraId="4D87D98F" w14:textId="77777777" w:rsidR="008A701E" w:rsidRPr="006A2781" w:rsidRDefault="008A701E" w:rsidP="008A701E">
            <w:pPr>
              <w:jc w:val="center"/>
              <w:rPr>
                <w:rFonts w:ascii="Arial" w:hAnsi="Arial" w:cs="Arial"/>
                <w:sz w:val="18"/>
                <w:szCs w:val="18"/>
              </w:rPr>
            </w:pPr>
            <w:r>
              <w:rPr>
                <w:rFonts w:ascii="Arial" w:hAnsi="Arial" w:cs="Arial"/>
                <w:sz w:val="18"/>
                <w:szCs w:val="18"/>
              </w:rPr>
              <w:t>34</w:t>
            </w:r>
          </w:p>
        </w:tc>
        <w:tc>
          <w:tcPr>
            <w:tcW w:w="540" w:type="dxa"/>
            <w:shd w:val="clear" w:color="auto" w:fill="auto"/>
            <w:vAlign w:val="bottom"/>
          </w:tcPr>
          <w:p w14:paraId="6FB213C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14:paraId="1DAE5294" w14:textId="77777777"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14:paraId="43A2A6BF"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51E3C2F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29BAF51E" w14:textId="3D4C72B1" w:rsidR="008A701E" w:rsidRPr="006A2781" w:rsidRDefault="008A701E" w:rsidP="008A701E">
            <w:pPr>
              <w:rPr>
                <w:rFonts w:ascii="Arial" w:hAnsi="Arial" w:cs="Arial"/>
                <w:sz w:val="18"/>
                <w:szCs w:val="18"/>
              </w:rPr>
            </w:pPr>
            <w:r w:rsidRPr="006A2781">
              <w:rPr>
                <w:rFonts w:ascii="Arial" w:hAnsi="Arial" w:cs="Arial"/>
                <w:sz w:val="18"/>
                <w:szCs w:val="18"/>
              </w:rPr>
              <w:t>RE-</w:t>
            </w:r>
            <w:r w:rsidR="00AE3B37" w:rsidRPr="006A2781">
              <w:rPr>
                <w:rFonts w:ascii="Arial" w:hAnsi="Arial" w:cs="Arial"/>
                <w:sz w:val="18"/>
                <w:szCs w:val="18"/>
              </w:rPr>
              <w:t>original (</w:t>
            </w:r>
            <w:r w:rsidRPr="006A2781">
              <w:rPr>
                <w:rFonts w:ascii="Arial" w:hAnsi="Arial" w:cs="Arial"/>
                <w:sz w:val="18"/>
                <w:szCs w:val="18"/>
              </w:rPr>
              <w:t>when processing in batch, multiple messages are sent)</w:t>
            </w:r>
          </w:p>
        </w:tc>
      </w:tr>
      <w:tr w:rsidR="008A701E" w:rsidRPr="006A2781" w14:paraId="51AE84E6" w14:textId="77777777">
        <w:trPr>
          <w:cantSplit/>
          <w:trHeight w:val="255"/>
        </w:trPr>
        <w:tc>
          <w:tcPr>
            <w:tcW w:w="450" w:type="dxa"/>
            <w:vAlign w:val="bottom"/>
          </w:tcPr>
          <w:p w14:paraId="1415942E" w14:textId="77777777" w:rsidR="008A701E" w:rsidRPr="006A2781" w:rsidRDefault="008A701E" w:rsidP="008A701E">
            <w:pPr>
              <w:jc w:val="center"/>
              <w:rPr>
                <w:rFonts w:ascii="Arial" w:hAnsi="Arial" w:cs="Arial"/>
                <w:sz w:val="18"/>
                <w:szCs w:val="18"/>
              </w:rPr>
            </w:pPr>
            <w:r>
              <w:rPr>
                <w:rFonts w:ascii="Arial" w:hAnsi="Arial" w:cs="Arial"/>
                <w:sz w:val="18"/>
                <w:szCs w:val="18"/>
              </w:rPr>
              <w:t>35</w:t>
            </w:r>
          </w:p>
        </w:tc>
        <w:tc>
          <w:tcPr>
            <w:tcW w:w="540" w:type="dxa"/>
            <w:shd w:val="clear" w:color="auto" w:fill="auto"/>
            <w:vAlign w:val="bottom"/>
          </w:tcPr>
          <w:p w14:paraId="1AE25705"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14:paraId="78311808" w14:textId="77777777"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14:paraId="0E73D41C"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0C9CEA8D"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14:paraId="7ADED56C" w14:textId="77777777" w:rsidR="008A701E" w:rsidRPr="006A2781" w:rsidRDefault="008A701E" w:rsidP="008A701E">
            <w:pPr>
              <w:rPr>
                <w:rFonts w:ascii="Arial" w:hAnsi="Arial" w:cs="Arial"/>
                <w:sz w:val="18"/>
                <w:szCs w:val="18"/>
              </w:rPr>
            </w:pPr>
            <w:r w:rsidRPr="006A2781">
              <w:rPr>
                <w:rFonts w:ascii="Arial" w:hAnsi="Arial" w:cs="Arial"/>
                <w:sz w:val="18"/>
                <w:szCs w:val="18"/>
              </w:rPr>
              <w:t>RS-target (when processing in batch, multiple messages are sent)</w:t>
            </w:r>
          </w:p>
        </w:tc>
      </w:tr>
      <w:tr w:rsidR="008A701E" w:rsidRPr="006A2781" w14:paraId="6AC7A0CA" w14:textId="77777777">
        <w:trPr>
          <w:cantSplit/>
          <w:trHeight w:val="255"/>
        </w:trPr>
        <w:tc>
          <w:tcPr>
            <w:tcW w:w="450" w:type="dxa"/>
            <w:vAlign w:val="bottom"/>
          </w:tcPr>
          <w:p w14:paraId="2F2D3E5A" w14:textId="77777777" w:rsidR="008A701E" w:rsidRPr="006A2781" w:rsidRDefault="008A701E" w:rsidP="008A701E">
            <w:pPr>
              <w:jc w:val="center"/>
              <w:rPr>
                <w:rFonts w:ascii="Arial" w:hAnsi="Arial" w:cs="Arial"/>
                <w:sz w:val="18"/>
                <w:szCs w:val="18"/>
              </w:rPr>
            </w:pPr>
            <w:r>
              <w:rPr>
                <w:rFonts w:ascii="Arial" w:hAnsi="Arial" w:cs="Arial"/>
                <w:sz w:val="18"/>
                <w:szCs w:val="18"/>
              </w:rPr>
              <w:t>36</w:t>
            </w:r>
          </w:p>
        </w:tc>
        <w:tc>
          <w:tcPr>
            <w:tcW w:w="540" w:type="dxa"/>
            <w:shd w:val="clear" w:color="auto" w:fill="auto"/>
            <w:vAlign w:val="bottom"/>
          </w:tcPr>
          <w:p w14:paraId="75BDD18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14:paraId="0E1BB875" w14:textId="77777777"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14:paraId="58800B96"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14:paraId="4349645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719B3831" w14:textId="094A4554" w:rsidR="008A701E" w:rsidRPr="006A2781" w:rsidRDefault="008A701E" w:rsidP="008A701E">
            <w:pPr>
              <w:rPr>
                <w:rFonts w:ascii="Arial" w:hAnsi="Arial" w:cs="Arial"/>
                <w:sz w:val="18"/>
                <w:szCs w:val="18"/>
              </w:rPr>
            </w:pPr>
            <w:r w:rsidRPr="006A2781">
              <w:rPr>
                <w:rFonts w:ascii="Arial" w:hAnsi="Arial" w:cs="Arial"/>
                <w:sz w:val="18"/>
                <w:szCs w:val="18"/>
              </w:rPr>
              <w:t>RE-</w:t>
            </w:r>
            <w:r w:rsidR="00AE3B37" w:rsidRPr="006A2781">
              <w:rPr>
                <w:rFonts w:ascii="Arial" w:hAnsi="Arial" w:cs="Arial"/>
                <w:sz w:val="18"/>
                <w:szCs w:val="18"/>
              </w:rPr>
              <w:t>original (</w:t>
            </w:r>
            <w:r w:rsidRPr="006A2781">
              <w:rPr>
                <w:rFonts w:ascii="Arial" w:hAnsi="Arial" w:cs="Arial"/>
                <w:sz w:val="18"/>
                <w:szCs w:val="18"/>
              </w:rPr>
              <w:t>when processing in batch, multiple messages are sent)</w:t>
            </w:r>
          </w:p>
        </w:tc>
      </w:tr>
      <w:tr w:rsidR="008A701E" w:rsidRPr="006A2781" w14:paraId="1CF91A4E" w14:textId="77777777">
        <w:trPr>
          <w:cantSplit/>
          <w:trHeight w:val="255"/>
        </w:trPr>
        <w:tc>
          <w:tcPr>
            <w:tcW w:w="450" w:type="dxa"/>
            <w:vAlign w:val="bottom"/>
          </w:tcPr>
          <w:p w14:paraId="0770624B" w14:textId="77777777" w:rsidR="008A701E" w:rsidRPr="006A2781" w:rsidRDefault="008A701E" w:rsidP="008A701E">
            <w:pPr>
              <w:jc w:val="center"/>
              <w:rPr>
                <w:rFonts w:ascii="Arial" w:hAnsi="Arial" w:cs="Arial"/>
                <w:sz w:val="18"/>
                <w:szCs w:val="18"/>
              </w:rPr>
            </w:pPr>
            <w:r>
              <w:rPr>
                <w:rFonts w:ascii="Arial" w:hAnsi="Arial" w:cs="Arial"/>
                <w:sz w:val="18"/>
                <w:szCs w:val="18"/>
              </w:rPr>
              <w:t>37</w:t>
            </w:r>
          </w:p>
        </w:tc>
        <w:tc>
          <w:tcPr>
            <w:tcW w:w="540" w:type="dxa"/>
            <w:shd w:val="clear" w:color="auto" w:fill="auto"/>
            <w:vAlign w:val="bottom"/>
          </w:tcPr>
          <w:p w14:paraId="7D7782ED"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14:paraId="6CE6BA54" w14:textId="77777777"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14:paraId="6A8708A5"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14:paraId="5963A3F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5E953402" w14:textId="77777777" w:rsidR="008A701E" w:rsidRPr="006A2781" w:rsidRDefault="008A701E" w:rsidP="008A701E">
            <w:pPr>
              <w:rPr>
                <w:rFonts w:ascii="Arial" w:hAnsi="Arial" w:cs="Arial"/>
                <w:sz w:val="18"/>
                <w:szCs w:val="18"/>
              </w:rPr>
            </w:pPr>
            <w:r w:rsidRPr="006A2781">
              <w:rPr>
                <w:rFonts w:ascii="Arial" w:hAnsi="Arial" w:cs="Arial"/>
                <w:sz w:val="18"/>
                <w:szCs w:val="18"/>
              </w:rPr>
              <w:t>Target, no message sent</w:t>
            </w:r>
          </w:p>
        </w:tc>
      </w:tr>
      <w:tr w:rsidR="008A701E" w:rsidRPr="006A2781" w14:paraId="28FCA43B" w14:textId="77777777">
        <w:trPr>
          <w:cantSplit/>
          <w:trHeight w:val="255"/>
        </w:trPr>
        <w:tc>
          <w:tcPr>
            <w:tcW w:w="450" w:type="dxa"/>
            <w:vAlign w:val="bottom"/>
          </w:tcPr>
          <w:p w14:paraId="1B72D331" w14:textId="77777777" w:rsidR="008A701E" w:rsidRPr="006A2781" w:rsidRDefault="008A701E" w:rsidP="008A701E">
            <w:pPr>
              <w:jc w:val="center"/>
              <w:rPr>
                <w:rFonts w:ascii="Arial" w:hAnsi="Arial" w:cs="Arial"/>
                <w:sz w:val="18"/>
                <w:szCs w:val="18"/>
              </w:rPr>
            </w:pPr>
            <w:r>
              <w:rPr>
                <w:rFonts w:ascii="Arial" w:hAnsi="Arial" w:cs="Arial"/>
                <w:sz w:val="18"/>
                <w:szCs w:val="18"/>
              </w:rPr>
              <w:t>38</w:t>
            </w:r>
          </w:p>
        </w:tc>
        <w:tc>
          <w:tcPr>
            <w:tcW w:w="540" w:type="dxa"/>
            <w:vAlign w:val="bottom"/>
          </w:tcPr>
          <w:p w14:paraId="1F1CC2C3"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14:paraId="2D688304" w14:textId="77777777" w:rsidR="008A701E" w:rsidRPr="006A2781" w:rsidRDefault="008A701E" w:rsidP="008A701E">
            <w:pPr>
              <w:rPr>
                <w:rFonts w:ascii="Arial" w:hAnsi="Arial" w:cs="Arial"/>
                <w:sz w:val="18"/>
                <w:szCs w:val="18"/>
              </w:rPr>
            </w:pPr>
            <w:r>
              <w:rPr>
                <w:rFonts w:ascii="Arial" w:hAnsi="Arial" w:cs="Arial"/>
                <w:sz w:val="18"/>
                <w:szCs w:val="18"/>
              </w:rPr>
              <w:t>Discard or Quarantine Unit</w:t>
            </w:r>
          </w:p>
        </w:tc>
        <w:tc>
          <w:tcPr>
            <w:tcW w:w="3060" w:type="dxa"/>
            <w:shd w:val="clear" w:color="auto" w:fill="auto"/>
            <w:noWrap/>
            <w:vAlign w:val="bottom"/>
          </w:tcPr>
          <w:p w14:paraId="1D76F191" w14:textId="77777777" w:rsidR="008A701E" w:rsidRPr="006A2781" w:rsidRDefault="008A701E" w:rsidP="008A701E">
            <w:pPr>
              <w:rPr>
                <w:rFonts w:ascii="Arial" w:hAnsi="Arial" w:cs="Arial"/>
                <w:sz w:val="18"/>
                <w:szCs w:val="18"/>
              </w:rPr>
            </w:pPr>
            <w:r w:rsidRPr="006A2781">
              <w:rPr>
                <w:rFonts w:ascii="Arial" w:hAnsi="Arial" w:cs="Arial"/>
                <w:sz w:val="18"/>
                <w:szCs w:val="18"/>
              </w:rPr>
              <w:t>Discarded or Wasted</w:t>
            </w:r>
          </w:p>
        </w:tc>
        <w:tc>
          <w:tcPr>
            <w:tcW w:w="1530" w:type="dxa"/>
            <w:shd w:val="clear" w:color="auto" w:fill="auto"/>
            <w:noWrap/>
            <w:vAlign w:val="bottom"/>
          </w:tcPr>
          <w:p w14:paraId="771E1B98"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D</w:t>
            </w:r>
          </w:p>
        </w:tc>
        <w:tc>
          <w:tcPr>
            <w:tcW w:w="2070" w:type="dxa"/>
            <w:shd w:val="clear" w:color="auto" w:fill="auto"/>
            <w:noWrap/>
            <w:vAlign w:val="bottom"/>
          </w:tcPr>
          <w:p w14:paraId="591580D7" w14:textId="77777777"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14:paraId="74465CBB" w14:textId="77777777">
        <w:trPr>
          <w:cantSplit/>
          <w:trHeight w:val="255"/>
        </w:trPr>
        <w:tc>
          <w:tcPr>
            <w:tcW w:w="450" w:type="dxa"/>
            <w:vAlign w:val="bottom"/>
          </w:tcPr>
          <w:p w14:paraId="7F352307" w14:textId="77777777" w:rsidR="008A701E" w:rsidRPr="006A2781" w:rsidRDefault="008A701E" w:rsidP="008A701E">
            <w:pPr>
              <w:jc w:val="center"/>
              <w:rPr>
                <w:rFonts w:ascii="Arial" w:hAnsi="Arial" w:cs="Arial"/>
                <w:sz w:val="18"/>
                <w:szCs w:val="18"/>
              </w:rPr>
            </w:pPr>
            <w:r>
              <w:rPr>
                <w:rFonts w:ascii="Arial" w:hAnsi="Arial" w:cs="Arial"/>
                <w:sz w:val="18"/>
                <w:szCs w:val="18"/>
              </w:rPr>
              <w:lastRenderedPageBreak/>
              <w:t>39</w:t>
            </w:r>
          </w:p>
        </w:tc>
        <w:tc>
          <w:tcPr>
            <w:tcW w:w="540" w:type="dxa"/>
            <w:vAlign w:val="bottom"/>
          </w:tcPr>
          <w:p w14:paraId="348DBB3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14:paraId="3C5396E1" w14:textId="77777777" w:rsidR="008A701E" w:rsidRPr="006A2781" w:rsidRDefault="008A701E" w:rsidP="008A701E">
            <w:pPr>
              <w:rPr>
                <w:rFonts w:ascii="Arial" w:hAnsi="Arial" w:cs="Arial"/>
                <w:sz w:val="18"/>
                <w:szCs w:val="18"/>
              </w:rPr>
            </w:pPr>
            <w:r>
              <w:rPr>
                <w:rFonts w:ascii="Arial" w:hAnsi="Arial" w:cs="Arial"/>
                <w:sz w:val="18"/>
                <w:szCs w:val="18"/>
              </w:rPr>
              <w:t>Discard or Quarantine Unit</w:t>
            </w:r>
          </w:p>
        </w:tc>
        <w:tc>
          <w:tcPr>
            <w:tcW w:w="3060" w:type="dxa"/>
            <w:shd w:val="clear" w:color="auto" w:fill="auto"/>
            <w:noWrap/>
            <w:vAlign w:val="bottom"/>
          </w:tcPr>
          <w:p w14:paraId="6DCFF92C" w14:textId="77777777" w:rsidR="008A701E" w:rsidRPr="006A2781" w:rsidRDefault="008A701E" w:rsidP="008A701E">
            <w:pPr>
              <w:rPr>
                <w:rFonts w:ascii="Arial" w:hAnsi="Arial" w:cs="Arial"/>
                <w:sz w:val="18"/>
                <w:szCs w:val="18"/>
              </w:rPr>
            </w:pPr>
            <w:r w:rsidRPr="006A2781">
              <w:rPr>
                <w:rFonts w:ascii="Arial" w:hAnsi="Arial" w:cs="Arial"/>
                <w:sz w:val="18"/>
                <w:szCs w:val="18"/>
              </w:rPr>
              <w:t>Discarded or Wasted</w:t>
            </w:r>
          </w:p>
        </w:tc>
        <w:tc>
          <w:tcPr>
            <w:tcW w:w="1530" w:type="dxa"/>
            <w:shd w:val="clear" w:color="auto" w:fill="auto"/>
            <w:noWrap/>
            <w:vAlign w:val="bottom"/>
          </w:tcPr>
          <w:p w14:paraId="5E96F91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D</w:t>
            </w:r>
          </w:p>
        </w:tc>
        <w:tc>
          <w:tcPr>
            <w:tcW w:w="2070" w:type="dxa"/>
            <w:shd w:val="clear" w:color="auto" w:fill="auto"/>
            <w:noWrap/>
            <w:vAlign w:val="bottom"/>
          </w:tcPr>
          <w:p w14:paraId="60DF5ED8" w14:textId="77777777"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14:paraId="096D5E7C" w14:textId="77777777">
        <w:trPr>
          <w:cantSplit/>
          <w:trHeight w:val="255"/>
        </w:trPr>
        <w:tc>
          <w:tcPr>
            <w:tcW w:w="450" w:type="dxa"/>
            <w:vAlign w:val="bottom"/>
          </w:tcPr>
          <w:p w14:paraId="4A607116" w14:textId="77777777" w:rsidR="008A701E" w:rsidRPr="006A2781" w:rsidRDefault="008A701E" w:rsidP="008A701E">
            <w:pPr>
              <w:jc w:val="center"/>
              <w:rPr>
                <w:rFonts w:ascii="Arial" w:hAnsi="Arial" w:cs="Arial"/>
                <w:sz w:val="18"/>
                <w:szCs w:val="18"/>
              </w:rPr>
            </w:pPr>
            <w:r>
              <w:rPr>
                <w:rFonts w:ascii="Arial" w:hAnsi="Arial" w:cs="Arial"/>
                <w:sz w:val="18"/>
                <w:szCs w:val="18"/>
              </w:rPr>
              <w:t>40</w:t>
            </w:r>
          </w:p>
        </w:tc>
        <w:tc>
          <w:tcPr>
            <w:tcW w:w="540" w:type="dxa"/>
            <w:vAlign w:val="bottom"/>
          </w:tcPr>
          <w:p w14:paraId="70DF3C45"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14:paraId="3F1816C2" w14:textId="77777777" w:rsidR="008A701E" w:rsidRPr="006A2781" w:rsidRDefault="008A701E" w:rsidP="008A701E">
            <w:pPr>
              <w:rPr>
                <w:rFonts w:ascii="Arial" w:hAnsi="Arial" w:cs="Arial"/>
                <w:sz w:val="18"/>
                <w:szCs w:val="18"/>
              </w:rPr>
            </w:pPr>
            <w:r>
              <w:rPr>
                <w:rFonts w:ascii="Arial" w:hAnsi="Arial" w:cs="Arial"/>
                <w:sz w:val="18"/>
                <w:szCs w:val="18"/>
              </w:rPr>
              <w:t>Discard or Quarantine Unit</w:t>
            </w:r>
          </w:p>
        </w:tc>
        <w:tc>
          <w:tcPr>
            <w:tcW w:w="3060" w:type="dxa"/>
            <w:shd w:val="clear" w:color="auto" w:fill="auto"/>
            <w:noWrap/>
            <w:vAlign w:val="bottom"/>
          </w:tcPr>
          <w:p w14:paraId="1A2DD557" w14:textId="77777777" w:rsidR="008A701E" w:rsidRPr="00C821F1" w:rsidRDefault="008A701E" w:rsidP="008A701E">
            <w:pPr>
              <w:rPr>
                <w:rFonts w:ascii="Arial" w:hAnsi="Arial" w:cs="Arial"/>
                <w:sz w:val="18"/>
                <w:szCs w:val="18"/>
              </w:rPr>
            </w:pPr>
            <w:r w:rsidRPr="00C821F1">
              <w:rPr>
                <w:rFonts w:ascii="Arial" w:hAnsi="Arial" w:cs="Arial"/>
                <w:sz w:val="18"/>
                <w:szCs w:val="18"/>
              </w:rPr>
              <w:t>Quarantine</w:t>
            </w:r>
          </w:p>
        </w:tc>
        <w:tc>
          <w:tcPr>
            <w:tcW w:w="1530" w:type="dxa"/>
            <w:shd w:val="clear" w:color="auto" w:fill="auto"/>
            <w:noWrap/>
            <w:vAlign w:val="bottom"/>
          </w:tcPr>
          <w:p w14:paraId="6B5E1B4E" w14:textId="77777777" w:rsidR="008A701E" w:rsidRPr="00C821F1" w:rsidRDefault="008A701E" w:rsidP="008A701E">
            <w:pPr>
              <w:jc w:val="center"/>
              <w:rPr>
                <w:rFonts w:ascii="Arial" w:hAnsi="Arial" w:cs="Arial"/>
                <w:sz w:val="18"/>
                <w:szCs w:val="18"/>
              </w:rPr>
            </w:pPr>
            <w:r w:rsidRPr="00C821F1">
              <w:rPr>
                <w:rFonts w:ascii="Arial" w:hAnsi="Arial" w:cs="Arial"/>
                <w:sz w:val="18"/>
                <w:szCs w:val="18"/>
              </w:rPr>
              <w:t>A</w:t>
            </w:r>
          </w:p>
        </w:tc>
        <w:tc>
          <w:tcPr>
            <w:tcW w:w="2070" w:type="dxa"/>
            <w:shd w:val="clear" w:color="auto" w:fill="auto"/>
            <w:noWrap/>
            <w:vAlign w:val="bottom"/>
          </w:tcPr>
          <w:p w14:paraId="144A8217" w14:textId="77777777" w:rsidR="008A701E" w:rsidRPr="00C821F1" w:rsidRDefault="008A701E" w:rsidP="008A701E">
            <w:pPr>
              <w:rPr>
                <w:rFonts w:ascii="Arial" w:hAnsi="Arial" w:cs="Arial"/>
                <w:sz w:val="18"/>
                <w:szCs w:val="18"/>
              </w:rPr>
            </w:pPr>
            <w:r w:rsidRPr="00C821F1">
              <w:rPr>
                <w:rFonts w:ascii="Arial" w:hAnsi="Arial" w:cs="Arial"/>
                <w:sz w:val="18"/>
                <w:szCs w:val="18"/>
              </w:rPr>
              <w:t>RE</w:t>
            </w:r>
          </w:p>
        </w:tc>
      </w:tr>
      <w:tr w:rsidR="008A701E" w:rsidRPr="006A2781" w14:paraId="20E19C44" w14:textId="77777777">
        <w:trPr>
          <w:cantSplit/>
          <w:trHeight w:val="255"/>
        </w:trPr>
        <w:tc>
          <w:tcPr>
            <w:tcW w:w="450" w:type="dxa"/>
            <w:vAlign w:val="bottom"/>
          </w:tcPr>
          <w:p w14:paraId="43CE8261" w14:textId="77777777" w:rsidR="008A701E" w:rsidRPr="006A2781" w:rsidRDefault="008A701E" w:rsidP="008A701E">
            <w:pPr>
              <w:jc w:val="center"/>
              <w:rPr>
                <w:rFonts w:ascii="Arial" w:hAnsi="Arial" w:cs="Arial"/>
                <w:sz w:val="18"/>
                <w:szCs w:val="18"/>
              </w:rPr>
            </w:pPr>
            <w:r>
              <w:rPr>
                <w:rFonts w:ascii="Arial" w:hAnsi="Arial" w:cs="Arial"/>
                <w:sz w:val="18"/>
                <w:szCs w:val="18"/>
              </w:rPr>
              <w:t>41</w:t>
            </w:r>
          </w:p>
        </w:tc>
        <w:tc>
          <w:tcPr>
            <w:tcW w:w="540" w:type="dxa"/>
            <w:vAlign w:val="bottom"/>
          </w:tcPr>
          <w:p w14:paraId="646C9A1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14:paraId="355FDF1D" w14:textId="77777777" w:rsidR="008A701E" w:rsidRPr="006A2781" w:rsidRDefault="008A701E" w:rsidP="008A701E">
            <w:pPr>
              <w:rPr>
                <w:rFonts w:ascii="Arial" w:hAnsi="Arial" w:cs="Arial"/>
                <w:sz w:val="18"/>
                <w:szCs w:val="18"/>
              </w:rPr>
            </w:pPr>
            <w:r>
              <w:rPr>
                <w:rFonts w:ascii="Arial" w:hAnsi="Arial" w:cs="Arial"/>
                <w:sz w:val="18"/>
                <w:szCs w:val="18"/>
              </w:rPr>
              <w:t>Discard or Quarantine Unit</w:t>
            </w:r>
          </w:p>
        </w:tc>
        <w:tc>
          <w:tcPr>
            <w:tcW w:w="3060" w:type="dxa"/>
            <w:shd w:val="clear" w:color="auto" w:fill="auto"/>
            <w:noWrap/>
            <w:vAlign w:val="bottom"/>
          </w:tcPr>
          <w:p w14:paraId="39FF19F3" w14:textId="77777777" w:rsidR="008A701E" w:rsidRPr="00C821F1" w:rsidRDefault="008A701E" w:rsidP="008A701E">
            <w:pPr>
              <w:rPr>
                <w:rFonts w:ascii="Arial" w:hAnsi="Arial" w:cs="Arial"/>
                <w:sz w:val="18"/>
                <w:szCs w:val="18"/>
              </w:rPr>
            </w:pPr>
            <w:r w:rsidRPr="00C821F1">
              <w:rPr>
                <w:rFonts w:ascii="Arial" w:hAnsi="Arial" w:cs="Arial"/>
                <w:sz w:val="18"/>
                <w:szCs w:val="18"/>
              </w:rPr>
              <w:t>Quarantine</w:t>
            </w:r>
          </w:p>
        </w:tc>
        <w:tc>
          <w:tcPr>
            <w:tcW w:w="1530" w:type="dxa"/>
            <w:shd w:val="clear" w:color="auto" w:fill="auto"/>
            <w:noWrap/>
            <w:vAlign w:val="bottom"/>
          </w:tcPr>
          <w:p w14:paraId="0A9364E2" w14:textId="77777777" w:rsidR="008A701E" w:rsidRPr="00C821F1" w:rsidRDefault="008A701E" w:rsidP="008A701E">
            <w:pPr>
              <w:jc w:val="center"/>
              <w:rPr>
                <w:rFonts w:ascii="Arial" w:hAnsi="Arial" w:cs="Arial"/>
                <w:sz w:val="18"/>
                <w:szCs w:val="18"/>
              </w:rPr>
            </w:pPr>
            <w:r w:rsidRPr="00C821F1">
              <w:rPr>
                <w:rFonts w:ascii="Arial" w:hAnsi="Arial" w:cs="Arial"/>
                <w:sz w:val="18"/>
                <w:szCs w:val="18"/>
              </w:rPr>
              <w:t>A</w:t>
            </w:r>
          </w:p>
        </w:tc>
        <w:tc>
          <w:tcPr>
            <w:tcW w:w="2070" w:type="dxa"/>
            <w:shd w:val="clear" w:color="auto" w:fill="auto"/>
            <w:noWrap/>
            <w:vAlign w:val="bottom"/>
          </w:tcPr>
          <w:p w14:paraId="5391F144" w14:textId="77777777" w:rsidR="008A701E" w:rsidRPr="00C821F1" w:rsidRDefault="008A701E" w:rsidP="008A701E">
            <w:pPr>
              <w:rPr>
                <w:rFonts w:ascii="Arial" w:hAnsi="Arial" w:cs="Arial"/>
                <w:sz w:val="18"/>
                <w:szCs w:val="18"/>
              </w:rPr>
            </w:pPr>
            <w:r w:rsidRPr="00C821F1">
              <w:rPr>
                <w:rFonts w:ascii="Arial" w:hAnsi="Arial" w:cs="Arial"/>
                <w:sz w:val="18"/>
                <w:szCs w:val="18"/>
              </w:rPr>
              <w:t>RE</w:t>
            </w:r>
          </w:p>
        </w:tc>
      </w:tr>
      <w:tr w:rsidR="008A701E" w:rsidRPr="006A2781" w14:paraId="081DE2C0" w14:textId="77777777">
        <w:trPr>
          <w:cantSplit/>
          <w:trHeight w:val="255"/>
        </w:trPr>
        <w:tc>
          <w:tcPr>
            <w:tcW w:w="450" w:type="dxa"/>
            <w:vAlign w:val="bottom"/>
          </w:tcPr>
          <w:p w14:paraId="0A349906" w14:textId="77777777" w:rsidR="008A701E" w:rsidRPr="006A2781" w:rsidRDefault="008A701E" w:rsidP="008A701E">
            <w:pPr>
              <w:jc w:val="center"/>
              <w:rPr>
                <w:rFonts w:ascii="Arial" w:hAnsi="Arial" w:cs="Arial"/>
                <w:sz w:val="18"/>
                <w:szCs w:val="18"/>
              </w:rPr>
            </w:pPr>
            <w:r>
              <w:rPr>
                <w:rFonts w:ascii="Arial" w:hAnsi="Arial" w:cs="Arial"/>
                <w:sz w:val="18"/>
                <w:szCs w:val="18"/>
              </w:rPr>
              <w:t>42</w:t>
            </w:r>
          </w:p>
        </w:tc>
        <w:tc>
          <w:tcPr>
            <w:tcW w:w="540" w:type="dxa"/>
            <w:vAlign w:val="bottom"/>
          </w:tcPr>
          <w:p w14:paraId="1EDF3720"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14:paraId="74528616" w14:textId="77777777" w:rsidR="008A701E" w:rsidRPr="006A2781" w:rsidRDefault="008A701E" w:rsidP="008A701E">
            <w:pPr>
              <w:rPr>
                <w:rFonts w:ascii="Arial" w:hAnsi="Arial" w:cs="Arial"/>
                <w:sz w:val="18"/>
                <w:szCs w:val="18"/>
              </w:rPr>
            </w:pPr>
            <w:r>
              <w:rPr>
                <w:rFonts w:ascii="Arial" w:hAnsi="Arial" w:cs="Arial"/>
                <w:sz w:val="18"/>
                <w:szCs w:val="18"/>
              </w:rPr>
              <w:t xml:space="preserve">Record Testing </w:t>
            </w:r>
            <w:r w:rsidRPr="006A2781">
              <w:rPr>
                <w:rFonts w:ascii="Arial" w:hAnsi="Arial" w:cs="Arial"/>
                <w:sz w:val="18"/>
                <w:szCs w:val="18"/>
              </w:rPr>
              <w:t>when saving</w:t>
            </w:r>
            <w:r>
              <w:rPr>
                <w:rFonts w:ascii="Arial" w:hAnsi="Arial" w:cs="Arial"/>
                <w:sz w:val="18"/>
                <w:szCs w:val="18"/>
              </w:rPr>
              <w:t xml:space="preserve"> Crossmatch Results</w:t>
            </w:r>
          </w:p>
        </w:tc>
        <w:tc>
          <w:tcPr>
            <w:tcW w:w="3060" w:type="dxa"/>
            <w:shd w:val="clear" w:color="auto" w:fill="auto"/>
            <w:noWrap/>
            <w:vAlign w:val="bottom"/>
          </w:tcPr>
          <w:p w14:paraId="1CEEF46D" w14:textId="7FA9FD2E" w:rsidR="008A701E" w:rsidRPr="00C821F1" w:rsidRDefault="008A701E" w:rsidP="008A701E">
            <w:pPr>
              <w:rPr>
                <w:rFonts w:ascii="Arial" w:hAnsi="Arial" w:cs="Arial"/>
                <w:sz w:val="18"/>
                <w:szCs w:val="18"/>
              </w:rPr>
            </w:pPr>
            <w:r w:rsidRPr="00C821F1">
              <w:rPr>
                <w:rFonts w:ascii="Arial" w:hAnsi="Arial" w:cs="Arial"/>
                <w:sz w:val="18"/>
                <w:szCs w:val="18"/>
              </w:rPr>
              <w:t xml:space="preserve">Compatible </w:t>
            </w:r>
            <w:r w:rsidR="00AE3B37" w:rsidRPr="00C821F1">
              <w:rPr>
                <w:rFonts w:ascii="Arial" w:hAnsi="Arial" w:cs="Arial"/>
                <w:sz w:val="18"/>
                <w:szCs w:val="18"/>
              </w:rPr>
              <w:t>(C</w:t>
            </w:r>
            <w:r w:rsidRPr="00C821F1">
              <w:rPr>
                <w:rFonts w:ascii="Arial" w:hAnsi="Arial" w:cs="Arial"/>
                <w:sz w:val="18"/>
                <w:szCs w:val="18"/>
              </w:rPr>
              <w:t>)</w:t>
            </w:r>
          </w:p>
        </w:tc>
        <w:tc>
          <w:tcPr>
            <w:tcW w:w="1530" w:type="dxa"/>
            <w:shd w:val="clear" w:color="auto" w:fill="auto"/>
            <w:noWrap/>
            <w:vAlign w:val="bottom"/>
          </w:tcPr>
          <w:p w14:paraId="1623CBF2" w14:textId="77777777" w:rsidR="008A701E" w:rsidRPr="00C821F1" w:rsidRDefault="008A701E" w:rsidP="008A701E">
            <w:pPr>
              <w:jc w:val="center"/>
              <w:rPr>
                <w:rFonts w:ascii="Arial" w:hAnsi="Arial" w:cs="Arial"/>
                <w:sz w:val="18"/>
                <w:szCs w:val="18"/>
              </w:rPr>
            </w:pPr>
            <w:r w:rsidRPr="00C821F1">
              <w:rPr>
                <w:rFonts w:ascii="Arial" w:hAnsi="Arial" w:cs="Arial"/>
                <w:sz w:val="18"/>
                <w:szCs w:val="18"/>
              </w:rPr>
              <w:t>C</w:t>
            </w:r>
          </w:p>
        </w:tc>
        <w:tc>
          <w:tcPr>
            <w:tcW w:w="2070" w:type="dxa"/>
            <w:shd w:val="clear" w:color="auto" w:fill="auto"/>
            <w:noWrap/>
            <w:vAlign w:val="bottom"/>
          </w:tcPr>
          <w:p w14:paraId="7653CE4A" w14:textId="77777777" w:rsidR="008A701E" w:rsidRPr="00C821F1" w:rsidRDefault="008A701E" w:rsidP="008A701E">
            <w:pPr>
              <w:rPr>
                <w:rFonts w:ascii="Arial" w:hAnsi="Arial" w:cs="Arial"/>
                <w:sz w:val="18"/>
                <w:szCs w:val="18"/>
              </w:rPr>
            </w:pPr>
            <w:r w:rsidRPr="00C821F1">
              <w:rPr>
                <w:rFonts w:ascii="Arial" w:hAnsi="Arial" w:cs="Arial"/>
                <w:sz w:val="18"/>
                <w:szCs w:val="18"/>
              </w:rPr>
              <w:t>No message is sent</w:t>
            </w:r>
          </w:p>
        </w:tc>
      </w:tr>
      <w:tr w:rsidR="008A701E" w:rsidRPr="006A2781" w14:paraId="32BFA6A1" w14:textId="77777777">
        <w:trPr>
          <w:cantSplit/>
          <w:trHeight w:val="255"/>
        </w:trPr>
        <w:tc>
          <w:tcPr>
            <w:tcW w:w="450" w:type="dxa"/>
            <w:vAlign w:val="bottom"/>
          </w:tcPr>
          <w:p w14:paraId="7D908895" w14:textId="77777777" w:rsidR="008A701E" w:rsidRPr="006A2781" w:rsidRDefault="008A701E" w:rsidP="008A701E">
            <w:pPr>
              <w:jc w:val="center"/>
              <w:rPr>
                <w:rFonts w:ascii="Arial" w:hAnsi="Arial" w:cs="Arial"/>
                <w:sz w:val="18"/>
                <w:szCs w:val="18"/>
              </w:rPr>
            </w:pPr>
            <w:r>
              <w:rPr>
                <w:rFonts w:ascii="Arial" w:hAnsi="Arial" w:cs="Arial"/>
                <w:sz w:val="18"/>
                <w:szCs w:val="18"/>
              </w:rPr>
              <w:t>43</w:t>
            </w:r>
          </w:p>
        </w:tc>
        <w:tc>
          <w:tcPr>
            <w:tcW w:w="540" w:type="dxa"/>
            <w:vAlign w:val="bottom"/>
          </w:tcPr>
          <w:p w14:paraId="2CD4BC1C"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14:paraId="78413AF0" w14:textId="77777777" w:rsidR="008A701E" w:rsidRPr="006A2781" w:rsidRDefault="008A701E" w:rsidP="008A701E">
            <w:pPr>
              <w:rPr>
                <w:rFonts w:ascii="Arial" w:hAnsi="Arial" w:cs="Arial"/>
                <w:sz w:val="18"/>
                <w:szCs w:val="18"/>
              </w:rPr>
            </w:pPr>
            <w:r>
              <w:rPr>
                <w:rFonts w:ascii="Arial" w:hAnsi="Arial" w:cs="Arial"/>
                <w:sz w:val="18"/>
                <w:szCs w:val="18"/>
              </w:rPr>
              <w:t xml:space="preserve">Record Testing </w:t>
            </w:r>
            <w:r w:rsidRPr="006A2781">
              <w:rPr>
                <w:rFonts w:ascii="Arial" w:hAnsi="Arial" w:cs="Arial"/>
                <w:sz w:val="18"/>
                <w:szCs w:val="18"/>
              </w:rPr>
              <w:t>when saving</w:t>
            </w:r>
            <w:r>
              <w:rPr>
                <w:rFonts w:ascii="Arial" w:hAnsi="Arial" w:cs="Arial"/>
                <w:sz w:val="18"/>
                <w:szCs w:val="18"/>
              </w:rPr>
              <w:t xml:space="preserve"> Crossmatch Results</w:t>
            </w:r>
          </w:p>
        </w:tc>
        <w:tc>
          <w:tcPr>
            <w:tcW w:w="3060" w:type="dxa"/>
            <w:shd w:val="clear" w:color="auto" w:fill="auto"/>
            <w:noWrap/>
            <w:vAlign w:val="bottom"/>
          </w:tcPr>
          <w:p w14:paraId="797EEEF0" w14:textId="77777777" w:rsidR="008A701E" w:rsidRPr="00C821F1" w:rsidRDefault="008A701E" w:rsidP="008A701E">
            <w:pPr>
              <w:rPr>
                <w:rFonts w:ascii="Arial" w:hAnsi="Arial" w:cs="Arial"/>
                <w:sz w:val="18"/>
                <w:szCs w:val="18"/>
              </w:rPr>
            </w:pPr>
            <w:r w:rsidRPr="00C821F1">
              <w:rPr>
                <w:rFonts w:ascii="Arial" w:hAnsi="Arial" w:cs="Arial"/>
                <w:sz w:val="18"/>
                <w:szCs w:val="18"/>
              </w:rPr>
              <w:t>Incompatible (I)</w:t>
            </w:r>
          </w:p>
        </w:tc>
        <w:tc>
          <w:tcPr>
            <w:tcW w:w="1530" w:type="dxa"/>
            <w:shd w:val="clear" w:color="auto" w:fill="auto"/>
            <w:noWrap/>
            <w:vAlign w:val="bottom"/>
          </w:tcPr>
          <w:p w14:paraId="15A160CE" w14:textId="77777777" w:rsidR="008A701E" w:rsidRPr="00C821F1" w:rsidRDefault="008A701E" w:rsidP="008A701E">
            <w:pPr>
              <w:jc w:val="center"/>
              <w:rPr>
                <w:rFonts w:ascii="Arial" w:hAnsi="Arial" w:cs="Arial"/>
                <w:sz w:val="18"/>
                <w:szCs w:val="18"/>
              </w:rPr>
            </w:pPr>
            <w:r w:rsidRPr="00C821F1">
              <w:rPr>
                <w:rFonts w:ascii="Arial" w:hAnsi="Arial" w:cs="Arial"/>
                <w:sz w:val="18"/>
                <w:szCs w:val="18"/>
              </w:rPr>
              <w:t>A</w:t>
            </w:r>
          </w:p>
        </w:tc>
        <w:tc>
          <w:tcPr>
            <w:tcW w:w="2070" w:type="dxa"/>
            <w:shd w:val="clear" w:color="auto" w:fill="auto"/>
            <w:noWrap/>
            <w:vAlign w:val="bottom"/>
          </w:tcPr>
          <w:p w14:paraId="6B0B7CCD" w14:textId="77777777" w:rsidR="008A701E" w:rsidRPr="00C821F1" w:rsidRDefault="008A701E" w:rsidP="008A701E">
            <w:pPr>
              <w:rPr>
                <w:rFonts w:ascii="Arial" w:hAnsi="Arial" w:cs="Arial"/>
                <w:sz w:val="18"/>
                <w:szCs w:val="18"/>
              </w:rPr>
            </w:pPr>
            <w:r w:rsidRPr="00C821F1">
              <w:rPr>
                <w:rFonts w:ascii="Arial" w:hAnsi="Arial" w:cs="Arial"/>
                <w:sz w:val="18"/>
                <w:szCs w:val="18"/>
              </w:rPr>
              <w:t>RE</w:t>
            </w:r>
          </w:p>
        </w:tc>
      </w:tr>
      <w:tr w:rsidR="008A701E" w:rsidRPr="006A2781" w14:paraId="2CBCE35A" w14:textId="77777777">
        <w:trPr>
          <w:cantSplit/>
          <w:trHeight w:val="255"/>
        </w:trPr>
        <w:tc>
          <w:tcPr>
            <w:tcW w:w="450" w:type="dxa"/>
            <w:vAlign w:val="bottom"/>
          </w:tcPr>
          <w:p w14:paraId="7D684687" w14:textId="77777777" w:rsidR="008A701E" w:rsidRPr="006A2781" w:rsidRDefault="008A701E" w:rsidP="008A701E">
            <w:pPr>
              <w:jc w:val="center"/>
              <w:rPr>
                <w:rFonts w:ascii="Arial" w:hAnsi="Arial" w:cs="Arial"/>
                <w:sz w:val="18"/>
                <w:szCs w:val="18"/>
              </w:rPr>
            </w:pPr>
            <w:r>
              <w:rPr>
                <w:rFonts w:ascii="Arial" w:hAnsi="Arial" w:cs="Arial"/>
                <w:sz w:val="18"/>
                <w:szCs w:val="18"/>
              </w:rPr>
              <w:t>44</w:t>
            </w:r>
          </w:p>
        </w:tc>
        <w:tc>
          <w:tcPr>
            <w:tcW w:w="540" w:type="dxa"/>
            <w:vAlign w:val="bottom"/>
          </w:tcPr>
          <w:p w14:paraId="2466934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14:paraId="0E2D6D9B" w14:textId="77777777" w:rsidR="008A701E" w:rsidRPr="006A2781" w:rsidRDefault="008A701E" w:rsidP="008A701E">
            <w:pPr>
              <w:rPr>
                <w:rFonts w:ascii="Arial" w:hAnsi="Arial" w:cs="Arial"/>
                <w:sz w:val="18"/>
                <w:szCs w:val="18"/>
              </w:rPr>
            </w:pPr>
            <w:r>
              <w:rPr>
                <w:rFonts w:ascii="Arial" w:hAnsi="Arial" w:cs="Arial"/>
                <w:sz w:val="18"/>
                <w:szCs w:val="18"/>
              </w:rPr>
              <w:t xml:space="preserve">Record Testing </w:t>
            </w:r>
            <w:r w:rsidRPr="006A2781">
              <w:rPr>
                <w:rFonts w:ascii="Arial" w:hAnsi="Arial" w:cs="Arial"/>
                <w:sz w:val="18"/>
                <w:szCs w:val="18"/>
              </w:rPr>
              <w:t>when saving</w:t>
            </w:r>
            <w:r>
              <w:rPr>
                <w:rFonts w:ascii="Arial" w:hAnsi="Arial" w:cs="Arial"/>
                <w:sz w:val="18"/>
                <w:szCs w:val="18"/>
              </w:rPr>
              <w:t xml:space="preserve"> Crossmatch Results</w:t>
            </w:r>
          </w:p>
        </w:tc>
        <w:tc>
          <w:tcPr>
            <w:tcW w:w="3060" w:type="dxa"/>
            <w:shd w:val="clear" w:color="auto" w:fill="auto"/>
            <w:noWrap/>
            <w:vAlign w:val="bottom"/>
          </w:tcPr>
          <w:p w14:paraId="7FD2801D" w14:textId="77777777" w:rsidR="008A701E" w:rsidRPr="00C821F1" w:rsidRDefault="008A701E" w:rsidP="008A701E">
            <w:pPr>
              <w:rPr>
                <w:rFonts w:ascii="Arial" w:hAnsi="Arial" w:cs="Arial"/>
                <w:sz w:val="18"/>
                <w:szCs w:val="18"/>
              </w:rPr>
            </w:pPr>
            <w:r w:rsidRPr="00C821F1">
              <w:rPr>
                <w:rFonts w:ascii="Arial" w:hAnsi="Arial" w:cs="Arial"/>
                <w:bCs/>
                <w:sz w:val="18"/>
                <w:szCs w:val="18"/>
              </w:rPr>
              <w:t xml:space="preserve">Crossmatch Compatible: Don’t Transfuse </w:t>
            </w:r>
            <w:r w:rsidRPr="00C821F1">
              <w:rPr>
                <w:rFonts w:ascii="Arial" w:hAnsi="Arial" w:cs="Arial"/>
                <w:sz w:val="18"/>
                <w:szCs w:val="18"/>
              </w:rPr>
              <w:t xml:space="preserve">(D) </w:t>
            </w:r>
          </w:p>
        </w:tc>
        <w:tc>
          <w:tcPr>
            <w:tcW w:w="1530" w:type="dxa"/>
            <w:shd w:val="clear" w:color="auto" w:fill="auto"/>
            <w:noWrap/>
            <w:vAlign w:val="bottom"/>
          </w:tcPr>
          <w:p w14:paraId="4989CA33" w14:textId="77777777" w:rsidR="008A701E" w:rsidRPr="00C821F1" w:rsidRDefault="008A701E" w:rsidP="008A701E">
            <w:pPr>
              <w:jc w:val="center"/>
              <w:rPr>
                <w:rFonts w:ascii="Arial" w:hAnsi="Arial" w:cs="Arial"/>
                <w:sz w:val="18"/>
                <w:szCs w:val="18"/>
              </w:rPr>
            </w:pPr>
            <w:r w:rsidRPr="00C821F1">
              <w:rPr>
                <w:rFonts w:ascii="Arial" w:hAnsi="Arial" w:cs="Arial"/>
                <w:sz w:val="18"/>
                <w:szCs w:val="18"/>
              </w:rPr>
              <w:t>A</w:t>
            </w:r>
          </w:p>
        </w:tc>
        <w:tc>
          <w:tcPr>
            <w:tcW w:w="2070" w:type="dxa"/>
            <w:shd w:val="clear" w:color="auto" w:fill="auto"/>
            <w:noWrap/>
            <w:vAlign w:val="bottom"/>
          </w:tcPr>
          <w:p w14:paraId="461EF57F" w14:textId="77777777" w:rsidR="008A701E" w:rsidRPr="00C821F1" w:rsidRDefault="008A701E" w:rsidP="008A701E">
            <w:pPr>
              <w:rPr>
                <w:rFonts w:ascii="Arial" w:hAnsi="Arial" w:cs="Arial"/>
                <w:sz w:val="18"/>
                <w:szCs w:val="18"/>
              </w:rPr>
            </w:pPr>
            <w:r w:rsidRPr="00C821F1">
              <w:rPr>
                <w:rFonts w:ascii="Arial" w:hAnsi="Arial" w:cs="Arial"/>
                <w:sz w:val="18"/>
                <w:szCs w:val="18"/>
              </w:rPr>
              <w:t>RE</w:t>
            </w:r>
          </w:p>
        </w:tc>
      </w:tr>
      <w:tr w:rsidR="008A701E" w:rsidRPr="006A2781" w14:paraId="4DC85287" w14:textId="77777777">
        <w:trPr>
          <w:cantSplit/>
          <w:trHeight w:val="255"/>
        </w:trPr>
        <w:tc>
          <w:tcPr>
            <w:tcW w:w="450" w:type="dxa"/>
            <w:vAlign w:val="bottom"/>
          </w:tcPr>
          <w:p w14:paraId="656AC1D8" w14:textId="77777777" w:rsidR="008A701E" w:rsidRPr="006A2781" w:rsidRDefault="008A701E" w:rsidP="008A701E">
            <w:pPr>
              <w:jc w:val="center"/>
              <w:rPr>
                <w:rFonts w:ascii="Arial" w:hAnsi="Arial" w:cs="Arial"/>
                <w:sz w:val="18"/>
                <w:szCs w:val="18"/>
              </w:rPr>
            </w:pPr>
            <w:r>
              <w:rPr>
                <w:rFonts w:ascii="Arial" w:hAnsi="Arial" w:cs="Arial"/>
                <w:sz w:val="18"/>
                <w:szCs w:val="18"/>
              </w:rPr>
              <w:t>45</w:t>
            </w:r>
          </w:p>
        </w:tc>
        <w:tc>
          <w:tcPr>
            <w:tcW w:w="540" w:type="dxa"/>
            <w:vAlign w:val="bottom"/>
          </w:tcPr>
          <w:p w14:paraId="4B9B669E"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14:paraId="23BC8B80" w14:textId="77777777" w:rsidR="008A701E" w:rsidRPr="006A2781" w:rsidRDefault="008A701E" w:rsidP="008A701E">
            <w:pPr>
              <w:rPr>
                <w:rFonts w:ascii="Arial" w:hAnsi="Arial" w:cs="Arial"/>
                <w:sz w:val="18"/>
                <w:szCs w:val="18"/>
              </w:rPr>
            </w:pPr>
            <w:r>
              <w:rPr>
                <w:rFonts w:ascii="Arial" w:hAnsi="Arial" w:cs="Arial"/>
                <w:sz w:val="18"/>
                <w:szCs w:val="18"/>
              </w:rPr>
              <w:t xml:space="preserve">Record Testing </w:t>
            </w:r>
            <w:r w:rsidRPr="006A2781">
              <w:rPr>
                <w:rFonts w:ascii="Arial" w:hAnsi="Arial" w:cs="Arial"/>
                <w:sz w:val="18"/>
                <w:szCs w:val="18"/>
              </w:rPr>
              <w:t>when saving</w:t>
            </w:r>
            <w:r>
              <w:rPr>
                <w:rFonts w:ascii="Arial" w:hAnsi="Arial" w:cs="Arial"/>
                <w:sz w:val="18"/>
                <w:szCs w:val="18"/>
              </w:rPr>
              <w:t xml:space="preserve"> Crossmatch Results</w:t>
            </w:r>
          </w:p>
        </w:tc>
        <w:tc>
          <w:tcPr>
            <w:tcW w:w="3060" w:type="dxa"/>
            <w:shd w:val="clear" w:color="auto" w:fill="auto"/>
            <w:noWrap/>
            <w:vAlign w:val="bottom"/>
          </w:tcPr>
          <w:p w14:paraId="134067A6" w14:textId="77777777" w:rsidR="008A701E" w:rsidRPr="00C821F1" w:rsidRDefault="008A701E" w:rsidP="008A701E">
            <w:pPr>
              <w:rPr>
                <w:rFonts w:ascii="Arial" w:hAnsi="Arial" w:cs="Arial"/>
                <w:sz w:val="18"/>
                <w:szCs w:val="18"/>
              </w:rPr>
            </w:pPr>
            <w:r w:rsidRPr="00C821F1">
              <w:rPr>
                <w:rFonts w:ascii="Arial" w:hAnsi="Arial" w:cs="Arial"/>
                <w:sz w:val="18"/>
                <w:szCs w:val="18"/>
              </w:rPr>
              <w:t>Compatible-Give with MD approval (G)</w:t>
            </w:r>
          </w:p>
        </w:tc>
        <w:tc>
          <w:tcPr>
            <w:tcW w:w="1530" w:type="dxa"/>
            <w:shd w:val="clear" w:color="auto" w:fill="auto"/>
            <w:noWrap/>
            <w:vAlign w:val="bottom"/>
          </w:tcPr>
          <w:p w14:paraId="28D4FCFC" w14:textId="77777777" w:rsidR="008A701E" w:rsidRPr="00C821F1" w:rsidRDefault="008A701E" w:rsidP="008A701E">
            <w:pPr>
              <w:jc w:val="center"/>
              <w:rPr>
                <w:rFonts w:ascii="Arial" w:hAnsi="Arial" w:cs="Arial"/>
                <w:sz w:val="18"/>
                <w:szCs w:val="18"/>
              </w:rPr>
            </w:pPr>
            <w:r w:rsidRPr="00C821F1">
              <w:rPr>
                <w:rFonts w:ascii="Arial" w:hAnsi="Arial" w:cs="Arial"/>
                <w:sz w:val="18"/>
                <w:szCs w:val="18"/>
              </w:rPr>
              <w:t>C</w:t>
            </w:r>
          </w:p>
        </w:tc>
        <w:tc>
          <w:tcPr>
            <w:tcW w:w="2070" w:type="dxa"/>
            <w:shd w:val="clear" w:color="auto" w:fill="auto"/>
            <w:noWrap/>
            <w:vAlign w:val="bottom"/>
          </w:tcPr>
          <w:p w14:paraId="0DFA136F" w14:textId="77777777" w:rsidR="008A701E" w:rsidRPr="00C821F1" w:rsidRDefault="008A701E" w:rsidP="008A701E">
            <w:pPr>
              <w:rPr>
                <w:rFonts w:ascii="Arial" w:hAnsi="Arial" w:cs="Arial"/>
                <w:sz w:val="18"/>
                <w:szCs w:val="18"/>
              </w:rPr>
            </w:pPr>
            <w:r w:rsidRPr="00C821F1">
              <w:rPr>
                <w:rFonts w:ascii="Arial" w:hAnsi="Arial" w:cs="Arial"/>
                <w:sz w:val="18"/>
                <w:szCs w:val="18"/>
              </w:rPr>
              <w:t>No message is sent</w:t>
            </w:r>
          </w:p>
        </w:tc>
      </w:tr>
      <w:tr w:rsidR="008A701E" w:rsidRPr="006A2781" w14:paraId="496250EC" w14:textId="77777777">
        <w:trPr>
          <w:cantSplit/>
          <w:trHeight w:val="255"/>
        </w:trPr>
        <w:tc>
          <w:tcPr>
            <w:tcW w:w="450" w:type="dxa"/>
            <w:vAlign w:val="bottom"/>
          </w:tcPr>
          <w:p w14:paraId="1912F0A5" w14:textId="77777777" w:rsidR="008A701E" w:rsidRPr="006A2781" w:rsidRDefault="008A701E" w:rsidP="008A701E">
            <w:pPr>
              <w:jc w:val="center"/>
              <w:rPr>
                <w:rFonts w:ascii="Arial" w:hAnsi="Arial" w:cs="Arial"/>
                <w:sz w:val="18"/>
                <w:szCs w:val="18"/>
              </w:rPr>
            </w:pPr>
            <w:r>
              <w:rPr>
                <w:rFonts w:ascii="Arial" w:hAnsi="Arial" w:cs="Arial"/>
                <w:sz w:val="18"/>
                <w:szCs w:val="18"/>
              </w:rPr>
              <w:t>46</w:t>
            </w:r>
          </w:p>
        </w:tc>
        <w:tc>
          <w:tcPr>
            <w:tcW w:w="540" w:type="dxa"/>
            <w:vAlign w:val="bottom"/>
          </w:tcPr>
          <w:p w14:paraId="06A6972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14:paraId="40006E68" w14:textId="77777777" w:rsidR="008A701E" w:rsidRPr="006A2781" w:rsidRDefault="008A701E" w:rsidP="008A701E">
            <w:pPr>
              <w:rPr>
                <w:rFonts w:ascii="Arial" w:hAnsi="Arial" w:cs="Arial"/>
                <w:sz w:val="18"/>
                <w:szCs w:val="18"/>
              </w:rPr>
            </w:pPr>
            <w:r>
              <w:rPr>
                <w:rFonts w:ascii="Arial" w:hAnsi="Arial" w:cs="Arial"/>
                <w:sz w:val="18"/>
                <w:szCs w:val="18"/>
              </w:rPr>
              <w:t>Record Phenotype Results</w:t>
            </w:r>
          </w:p>
        </w:tc>
        <w:tc>
          <w:tcPr>
            <w:tcW w:w="3060" w:type="dxa"/>
            <w:shd w:val="clear" w:color="auto" w:fill="auto"/>
            <w:noWrap/>
            <w:vAlign w:val="bottom"/>
          </w:tcPr>
          <w:p w14:paraId="6B986611" w14:textId="77777777" w:rsidR="008A701E" w:rsidRPr="006A2781" w:rsidRDefault="008A701E" w:rsidP="008A701E">
            <w:pPr>
              <w:rPr>
                <w:rFonts w:ascii="Arial" w:hAnsi="Arial" w:cs="Arial"/>
                <w:sz w:val="18"/>
                <w:szCs w:val="18"/>
              </w:rPr>
            </w:pPr>
            <w:r w:rsidRPr="006A2781">
              <w:rPr>
                <w:rFonts w:ascii="Arial" w:hAnsi="Arial" w:cs="Arial"/>
                <w:sz w:val="18"/>
                <w:szCs w:val="18"/>
              </w:rPr>
              <w:t>Unit is antigen positive for a patient's antigen negative requirement</w:t>
            </w:r>
          </w:p>
        </w:tc>
        <w:tc>
          <w:tcPr>
            <w:tcW w:w="1530" w:type="dxa"/>
            <w:shd w:val="clear" w:color="auto" w:fill="auto"/>
            <w:noWrap/>
            <w:vAlign w:val="bottom"/>
          </w:tcPr>
          <w:p w14:paraId="509095A8"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55CA350F" w14:textId="77777777" w:rsidR="008A701E" w:rsidRPr="006A2781" w:rsidRDefault="008A701E" w:rsidP="008A701E">
            <w:pPr>
              <w:rPr>
                <w:rFonts w:ascii="Arial" w:hAnsi="Arial" w:cs="Arial"/>
                <w:sz w:val="18"/>
                <w:szCs w:val="18"/>
              </w:rPr>
            </w:pPr>
            <w:r w:rsidRPr="006A2781">
              <w:rPr>
                <w:rFonts w:ascii="Arial" w:hAnsi="Arial" w:cs="Arial"/>
                <w:sz w:val="18"/>
                <w:szCs w:val="18"/>
              </w:rPr>
              <w:t>No message is sent</w:t>
            </w:r>
          </w:p>
        </w:tc>
      </w:tr>
      <w:tr w:rsidR="008A701E" w:rsidRPr="006A2781" w14:paraId="1136FC17" w14:textId="77777777">
        <w:trPr>
          <w:cantSplit/>
          <w:trHeight w:val="255"/>
        </w:trPr>
        <w:tc>
          <w:tcPr>
            <w:tcW w:w="450" w:type="dxa"/>
            <w:vAlign w:val="bottom"/>
          </w:tcPr>
          <w:p w14:paraId="5BC74AB8" w14:textId="77777777" w:rsidR="008A701E" w:rsidRPr="006A2781" w:rsidRDefault="008A701E" w:rsidP="008A701E">
            <w:pPr>
              <w:jc w:val="center"/>
              <w:rPr>
                <w:rFonts w:ascii="Arial" w:hAnsi="Arial" w:cs="Arial"/>
                <w:sz w:val="18"/>
                <w:szCs w:val="18"/>
              </w:rPr>
            </w:pPr>
            <w:r>
              <w:rPr>
                <w:rFonts w:ascii="Arial" w:hAnsi="Arial" w:cs="Arial"/>
                <w:sz w:val="18"/>
                <w:szCs w:val="18"/>
              </w:rPr>
              <w:t>47</w:t>
            </w:r>
          </w:p>
        </w:tc>
        <w:tc>
          <w:tcPr>
            <w:tcW w:w="540" w:type="dxa"/>
            <w:vAlign w:val="bottom"/>
          </w:tcPr>
          <w:p w14:paraId="078A5EA5"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14:paraId="625DA5B3" w14:textId="77777777" w:rsidR="008A701E" w:rsidRPr="006A2781" w:rsidRDefault="008A701E" w:rsidP="008A701E">
            <w:pPr>
              <w:rPr>
                <w:rFonts w:ascii="Arial" w:hAnsi="Arial" w:cs="Arial"/>
                <w:sz w:val="18"/>
                <w:szCs w:val="18"/>
              </w:rPr>
            </w:pPr>
            <w:r>
              <w:rPr>
                <w:rFonts w:ascii="Arial" w:hAnsi="Arial" w:cs="Arial"/>
                <w:sz w:val="18"/>
                <w:szCs w:val="18"/>
              </w:rPr>
              <w:t>Record Phenotype Results</w:t>
            </w:r>
          </w:p>
        </w:tc>
        <w:tc>
          <w:tcPr>
            <w:tcW w:w="3060" w:type="dxa"/>
            <w:shd w:val="clear" w:color="auto" w:fill="auto"/>
            <w:noWrap/>
            <w:vAlign w:val="bottom"/>
          </w:tcPr>
          <w:p w14:paraId="3DAAA1FD" w14:textId="77777777" w:rsidR="008A701E" w:rsidRPr="006A2781" w:rsidRDefault="008A701E" w:rsidP="008A701E">
            <w:pPr>
              <w:rPr>
                <w:rFonts w:ascii="Arial" w:hAnsi="Arial" w:cs="Arial"/>
                <w:sz w:val="18"/>
                <w:szCs w:val="18"/>
              </w:rPr>
            </w:pPr>
            <w:r w:rsidRPr="006A2781">
              <w:rPr>
                <w:rFonts w:ascii="Arial" w:hAnsi="Arial" w:cs="Arial"/>
                <w:sz w:val="18"/>
                <w:szCs w:val="18"/>
              </w:rPr>
              <w:t>Unit is antigen positive for a patient's antigen negative requirement</w:t>
            </w:r>
          </w:p>
        </w:tc>
        <w:tc>
          <w:tcPr>
            <w:tcW w:w="1530" w:type="dxa"/>
            <w:shd w:val="clear" w:color="auto" w:fill="auto"/>
            <w:noWrap/>
            <w:vAlign w:val="bottom"/>
          </w:tcPr>
          <w:p w14:paraId="56153835"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14:paraId="071A262B" w14:textId="77777777" w:rsidR="008A701E" w:rsidRPr="006A2781" w:rsidRDefault="008A701E" w:rsidP="008A701E">
            <w:pPr>
              <w:rPr>
                <w:rFonts w:ascii="Arial" w:hAnsi="Arial" w:cs="Arial"/>
                <w:sz w:val="18"/>
                <w:szCs w:val="18"/>
              </w:rPr>
            </w:pPr>
            <w:r w:rsidRPr="006A2781">
              <w:rPr>
                <w:rFonts w:ascii="Arial" w:hAnsi="Arial" w:cs="Arial"/>
                <w:sz w:val="18"/>
                <w:szCs w:val="18"/>
              </w:rPr>
              <w:t>No message is sent</w:t>
            </w:r>
          </w:p>
        </w:tc>
      </w:tr>
      <w:tr w:rsidR="008A701E" w:rsidRPr="006A2781" w14:paraId="754FE43A" w14:textId="77777777">
        <w:trPr>
          <w:cantSplit/>
          <w:trHeight w:val="255"/>
        </w:trPr>
        <w:tc>
          <w:tcPr>
            <w:tcW w:w="450" w:type="dxa"/>
            <w:vAlign w:val="bottom"/>
          </w:tcPr>
          <w:p w14:paraId="0571C83D" w14:textId="77777777" w:rsidR="008A701E" w:rsidRPr="006A2781" w:rsidRDefault="008A701E" w:rsidP="008A701E">
            <w:pPr>
              <w:jc w:val="center"/>
              <w:rPr>
                <w:rFonts w:ascii="Arial" w:hAnsi="Arial" w:cs="Arial"/>
                <w:sz w:val="18"/>
                <w:szCs w:val="18"/>
              </w:rPr>
            </w:pPr>
            <w:r>
              <w:rPr>
                <w:rFonts w:ascii="Arial" w:hAnsi="Arial" w:cs="Arial"/>
                <w:sz w:val="18"/>
                <w:szCs w:val="18"/>
              </w:rPr>
              <w:t>48</w:t>
            </w:r>
          </w:p>
        </w:tc>
        <w:tc>
          <w:tcPr>
            <w:tcW w:w="540" w:type="dxa"/>
            <w:vAlign w:val="bottom"/>
          </w:tcPr>
          <w:p w14:paraId="791B836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14:paraId="2F8C1B6C" w14:textId="77777777" w:rsidR="008A701E" w:rsidRPr="006A2781" w:rsidRDefault="008A701E" w:rsidP="008A701E">
            <w:pPr>
              <w:rPr>
                <w:rFonts w:ascii="Arial" w:hAnsi="Arial" w:cs="Arial"/>
                <w:sz w:val="18"/>
                <w:szCs w:val="18"/>
              </w:rPr>
            </w:pPr>
            <w:r>
              <w:rPr>
                <w:rFonts w:ascii="Arial" w:hAnsi="Arial" w:cs="Arial"/>
                <w:sz w:val="18"/>
                <w:szCs w:val="18"/>
              </w:rPr>
              <w:t>Record Phenotype Results</w:t>
            </w:r>
          </w:p>
        </w:tc>
        <w:tc>
          <w:tcPr>
            <w:tcW w:w="3060" w:type="dxa"/>
            <w:shd w:val="clear" w:color="auto" w:fill="auto"/>
            <w:noWrap/>
            <w:vAlign w:val="bottom"/>
          </w:tcPr>
          <w:p w14:paraId="2D04C964" w14:textId="77777777" w:rsidR="008A701E" w:rsidRPr="006A2781" w:rsidRDefault="008A701E" w:rsidP="008A701E">
            <w:pPr>
              <w:rPr>
                <w:rFonts w:ascii="Arial" w:hAnsi="Arial" w:cs="Arial"/>
                <w:sz w:val="18"/>
                <w:szCs w:val="18"/>
              </w:rPr>
            </w:pPr>
            <w:r w:rsidRPr="006A2781">
              <w:rPr>
                <w:rFonts w:ascii="Arial" w:hAnsi="Arial" w:cs="Arial"/>
                <w:sz w:val="18"/>
                <w:szCs w:val="18"/>
              </w:rPr>
              <w:t>Antigen typing result creates a discrepant antigen typing.</w:t>
            </w:r>
          </w:p>
        </w:tc>
        <w:tc>
          <w:tcPr>
            <w:tcW w:w="1530" w:type="dxa"/>
            <w:shd w:val="clear" w:color="auto" w:fill="auto"/>
            <w:noWrap/>
            <w:vAlign w:val="bottom"/>
          </w:tcPr>
          <w:p w14:paraId="2BAEBBEC"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696C2838" w14:textId="77777777"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14:paraId="12181156" w14:textId="77777777">
        <w:trPr>
          <w:cantSplit/>
          <w:trHeight w:val="255"/>
        </w:trPr>
        <w:tc>
          <w:tcPr>
            <w:tcW w:w="450" w:type="dxa"/>
            <w:vAlign w:val="bottom"/>
          </w:tcPr>
          <w:p w14:paraId="14F376E4" w14:textId="77777777" w:rsidR="008A701E" w:rsidRPr="006A2781" w:rsidRDefault="008A701E" w:rsidP="008A701E">
            <w:pPr>
              <w:jc w:val="center"/>
              <w:rPr>
                <w:rFonts w:ascii="Arial" w:hAnsi="Arial" w:cs="Arial"/>
                <w:sz w:val="18"/>
                <w:szCs w:val="18"/>
              </w:rPr>
            </w:pPr>
            <w:r>
              <w:rPr>
                <w:rFonts w:ascii="Arial" w:hAnsi="Arial" w:cs="Arial"/>
                <w:sz w:val="18"/>
                <w:szCs w:val="18"/>
              </w:rPr>
              <w:t>49</w:t>
            </w:r>
          </w:p>
        </w:tc>
        <w:tc>
          <w:tcPr>
            <w:tcW w:w="540" w:type="dxa"/>
            <w:vAlign w:val="bottom"/>
          </w:tcPr>
          <w:p w14:paraId="5B24B90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14:paraId="2ADA53B3" w14:textId="77777777" w:rsidR="008A701E" w:rsidRPr="006A2781" w:rsidRDefault="008A701E" w:rsidP="008A701E">
            <w:pPr>
              <w:rPr>
                <w:rFonts w:ascii="Arial" w:hAnsi="Arial" w:cs="Arial"/>
                <w:sz w:val="18"/>
                <w:szCs w:val="18"/>
              </w:rPr>
            </w:pPr>
            <w:r>
              <w:rPr>
                <w:rFonts w:ascii="Arial" w:hAnsi="Arial" w:cs="Arial"/>
                <w:sz w:val="18"/>
                <w:szCs w:val="18"/>
              </w:rPr>
              <w:t>Record Phenotype Results</w:t>
            </w:r>
          </w:p>
        </w:tc>
        <w:tc>
          <w:tcPr>
            <w:tcW w:w="3060" w:type="dxa"/>
            <w:shd w:val="clear" w:color="auto" w:fill="auto"/>
            <w:noWrap/>
            <w:vAlign w:val="bottom"/>
          </w:tcPr>
          <w:p w14:paraId="14C9C8EE" w14:textId="77777777" w:rsidR="008A701E" w:rsidRPr="006A2781" w:rsidRDefault="008A701E" w:rsidP="008A701E">
            <w:pPr>
              <w:rPr>
                <w:rFonts w:ascii="Arial" w:hAnsi="Arial" w:cs="Arial"/>
                <w:sz w:val="18"/>
                <w:szCs w:val="18"/>
              </w:rPr>
            </w:pPr>
            <w:r w:rsidRPr="006A2781">
              <w:rPr>
                <w:rFonts w:ascii="Arial" w:hAnsi="Arial" w:cs="Arial"/>
                <w:sz w:val="18"/>
                <w:szCs w:val="18"/>
              </w:rPr>
              <w:t>Antigen typing result creates a discrepant antigen typing.</w:t>
            </w:r>
          </w:p>
        </w:tc>
        <w:tc>
          <w:tcPr>
            <w:tcW w:w="1530" w:type="dxa"/>
            <w:shd w:val="clear" w:color="auto" w:fill="auto"/>
            <w:noWrap/>
            <w:vAlign w:val="bottom"/>
          </w:tcPr>
          <w:p w14:paraId="1C2E103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2E306825" w14:textId="77777777"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14:paraId="769AFBEC" w14:textId="77777777">
        <w:trPr>
          <w:cantSplit/>
          <w:trHeight w:val="255"/>
        </w:trPr>
        <w:tc>
          <w:tcPr>
            <w:tcW w:w="450" w:type="dxa"/>
            <w:vAlign w:val="bottom"/>
          </w:tcPr>
          <w:p w14:paraId="405DC511" w14:textId="77777777" w:rsidR="008A701E" w:rsidRPr="006A2781" w:rsidRDefault="008A701E" w:rsidP="008A701E">
            <w:pPr>
              <w:jc w:val="center"/>
              <w:rPr>
                <w:rFonts w:ascii="Arial" w:hAnsi="Arial" w:cs="Arial"/>
                <w:sz w:val="18"/>
                <w:szCs w:val="18"/>
              </w:rPr>
            </w:pPr>
            <w:r>
              <w:rPr>
                <w:rFonts w:ascii="Arial" w:hAnsi="Arial" w:cs="Arial"/>
                <w:sz w:val="18"/>
                <w:szCs w:val="18"/>
              </w:rPr>
              <w:t>50</w:t>
            </w:r>
          </w:p>
        </w:tc>
        <w:tc>
          <w:tcPr>
            <w:tcW w:w="540" w:type="dxa"/>
            <w:vAlign w:val="bottom"/>
          </w:tcPr>
          <w:p w14:paraId="685DF930"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14:paraId="782D825F" w14:textId="77777777" w:rsidR="008A701E" w:rsidRPr="006A2781" w:rsidRDefault="008A701E" w:rsidP="008A701E">
            <w:pPr>
              <w:rPr>
                <w:rFonts w:ascii="Arial" w:hAnsi="Arial" w:cs="Arial"/>
                <w:sz w:val="18"/>
                <w:szCs w:val="18"/>
              </w:rPr>
            </w:pPr>
            <w:r w:rsidRPr="00A66F9A">
              <w:rPr>
                <w:rFonts w:ascii="Arial" w:hAnsi="Arial" w:cs="Arial"/>
                <w:sz w:val="18"/>
                <w:szCs w:val="18"/>
              </w:rPr>
              <w:t>Release Unit from Patient Assignment</w:t>
            </w:r>
          </w:p>
        </w:tc>
        <w:tc>
          <w:tcPr>
            <w:tcW w:w="3060" w:type="dxa"/>
            <w:shd w:val="clear" w:color="auto" w:fill="auto"/>
            <w:noWrap/>
            <w:vAlign w:val="bottom"/>
          </w:tcPr>
          <w:p w14:paraId="04EF71D9" w14:textId="77777777" w:rsidR="008A701E" w:rsidRPr="006A2781" w:rsidRDefault="008A701E" w:rsidP="008A701E">
            <w:pPr>
              <w:rPr>
                <w:rFonts w:ascii="Arial" w:hAnsi="Arial" w:cs="Arial"/>
                <w:sz w:val="18"/>
                <w:szCs w:val="18"/>
              </w:rPr>
            </w:pPr>
            <w:r w:rsidRPr="006A2781">
              <w:rPr>
                <w:rFonts w:ascii="Arial" w:hAnsi="Arial" w:cs="Arial"/>
                <w:sz w:val="18"/>
                <w:szCs w:val="18"/>
              </w:rPr>
              <w:t>Normal flow, or any overrides processed</w:t>
            </w:r>
          </w:p>
        </w:tc>
        <w:tc>
          <w:tcPr>
            <w:tcW w:w="1530" w:type="dxa"/>
            <w:shd w:val="clear" w:color="auto" w:fill="auto"/>
            <w:noWrap/>
            <w:vAlign w:val="bottom"/>
          </w:tcPr>
          <w:p w14:paraId="70EF44B5"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262BBA68" w14:textId="77777777"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14:paraId="7F653082" w14:textId="77777777">
        <w:trPr>
          <w:cantSplit/>
          <w:trHeight w:val="255"/>
        </w:trPr>
        <w:tc>
          <w:tcPr>
            <w:tcW w:w="450" w:type="dxa"/>
            <w:vAlign w:val="bottom"/>
          </w:tcPr>
          <w:p w14:paraId="32BF8C43" w14:textId="77777777" w:rsidR="008A701E" w:rsidRPr="006A2781" w:rsidRDefault="008A701E" w:rsidP="008A701E">
            <w:pPr>
              <w:jc w:val="center"/>
              <w:rPr>
                <w:rFonts w:ascii="Arial" w:hAnsi="Arial" w:cs="Arial"/>
                <w:sz w:val="18"/>
                <w:szCs w:val="18"/>
              </w:rPr>
            </w:pPr>
            <w:r>
              <w:rPr>
                <w:rFonts w:ascii="Arial" w:hAnsi="Arial" w:cs="Arial"/>
                <w:sz w:val="18"/>
                <w:szCs w:val="18"/>
              </w:rPr>
              <w:t>51</w:t>
            </w:r>
          </w:p>
        </w:tc>
        <w:tc>
          <w:tcPr>
            <w:tcW w:w="540" w:type="dxa"/>
            <w:vAlign w:val="bottom"/>
          </w:tcPr>
          <w:p w14:paraId="7974C62C"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14:paraId="0FE36C0A" w14:textId="77777777" w:rsidR="008A701E" w:rsidRPr="006A2781" w:rsidRDefault="008A701E" w:rsidP="008A701E">
            <w:pPr>
              <w:rPr>
                <w:rFonts w:ascii="Arial" w:hAnsi="Arial" w:cs="Arial"/>
                <w:sz w:val="18"/>
                <w:szCs w:val="18"/>
              </w:rPr>
            </w:pPr>
            <w:r w:rsidRPr="00A66F9A">
              <w:rPr>
                <w:rFonts w:ascii="Arial" w:hAnsi="Arial" w:cs="Arial"/>
                <w:sz w:val="18"/>
                <w:szCs w:val="18"/>
              </w:rPr>
              <w:t>Release Unit from Patient Assignment</w:t>
            </w:r>
          </w:p>
        </w:tc>
        <w:tc>
          <w:tcPr>
            <w:tcW w:w="3060" w:type="dxa"/>
            <w:shd w:val="clear" w:color="auto" w:fill="auto"/>
            <w:noWrap/>
            <w:vAlign w:val="bottom"/>
          </w:tcPr>
          <w:p w14:paraId="22B47E65" w14:textId="77777777" w:rsidR="008A701E" w:rsidRPr="006A2781" w:rsidRDefault="008A701E" w:rsidP="008A701E">
            <w:pPr>
              <w:rPr>
                <w:rFonts w:ascii="Arial" w:hAnsi="Arial" w:cs="Arial"/>
                <w:sz w:val="18"/>
                <w:szCs w:val="18"/>
              </w:rPr>
            </w:pPr>
            <w:r w:rsidRPr="006A2781">
              <w:rPr>
                <w:rFonts w:ascii="Arial" w:hAnsi="Arial" w:cs="Arial"/>
                <w:sz w:val="18"/>
                <w:szCs w:val="18"/>
              </w:rPr>
              <w:t>Normal flow, or any overrides processed</w:t>
            </w:r>
          </w:p>
        </w:tc>
        <w:tc>
          <w:tcPr>
            <w:tcW w:w="1530" w:type="dxa"/>
            <w:shd w:val="clear" w:color="auto" w:fill="auto"/>
            <w:noWrap/>
            <w:vAlign w:val="bottom"/>
          </w:tcPr>
          <w:p w14:paraId="0161BC7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1D87D78E" w14:textId="77777777"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14:paraId="5131FAA4" w14:textId="77777777">
        <w:trPr>
          <w:cantSplit/>
          <w:trHeight w:val="255"/>
        </w:trPr>
        <w:tc>
          <w:tcPr>
            <w:tcW w:w="450" w:type="dxa"/>
            <w:vAlign w:val="bottom"/>
          </w:tcPr>
          <w:p w14:paraId="6802F355" w14:textId="77777777" w:rsidR="008A701E" w:rsidRPr="006A2781" w:rsidRDefault="008A701E" w:rsidP="008A701E">
            <w:pPr>
              <w:jc w:val="center"/>
              <w:rPr>
                <w:rFonts w:ascii="Arial" w:hAnsi="Arial" w:cs="Arial"/>
                <w:sz w:val="18"/>
                <w:szCs w:val="18"/>
              </w:rPr>
            </w:pPr>
            <w:r>
              <w:rPr>
                <w:rFonts w:ascii="Arial" w:hAnsi="Arial" w:cs="Arial"/>
                <w:sz w:val="18"/>
                <w:szCs w:val="18"/>
              </w:rPr>
              <w:t>52</w:t>
            </w:r>
          </w:p>
        </w:tc>
        <w:tc>
          <w:tcPr>
            <w:tcW w:w="540" w:type="dxa"/>
            <w:vAlign w:val="bottom"/>
          </w:tcPr>
          <w:p w14:paraId="543DEF1A"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I</w:t>
            </w:r>
          </w:p>
        </w:tc>
        <w:tc>
          <w:tcPr>
            <w:tcW w:w="1530" w:type="dxa"/>
            <w:shd w:val="clear" w:color="auto" w:fill="auto"/>
            <w:noWrap/>
            <w:vAlign w:val="bottom"/>
          </w:tcPr>
          <w:p w14:paraId="670A8F83" w14:textId="77777777" w:rsidR="008A701E" w:rsidRPr="006A2781" w:rsidRDefault="008A701E" w:rsidP="008A701E">
            <w:pPr>
              <w:rPr>
                <w:rFonts w:ascii="Arial" w:hAnsi="Arial" w:cs="Arial"/>
                <w:sz w:val="18"/>
                <w:szCs w:val="18"/>
              </w:rPr>
            </w:pPr>
            <w:r>
              <w:rPr>
                <w:rFonts w:ascii="Arial" w:hAnsi="Arial" w:cs="Arial"/>
                <w:sz w:val="18"/>
                <w:szCs w:val="18"/>
              </w:rPr>
              <w:t>Return Issued Units to Blood Bank</w:t>
            </w:r>
          </w:p>
        </w:tc>
        <w:tc>
          <w:tcPr>
            <w:tcW w:w="3060" w:type="dxa"/>
            <w:shd w:val="clear" w:color="auto" w:fill="auto"/>
            <w:noWrap/>
            <w:vAlign w:val="bottom"/>
          </w:tcPr>
          <w:p w14:paraId="1B3070FB"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Unit without a crossmatch </w:t>
            </w:r>
          </w:p>
        </w:tc>
        <w:tc>
          <w:tcPr>
            <w:tcW w:w="1530" w:type="dxa"/>
            <w:shd w:val="clear" w:color="auto" w:fill="auto"/>
            <w:noWrap/>
            <w:vAlign w:val="bottom"/>
          </w:tcPr>
          <w:p w14:paraId="2C6AFF3D"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1FCE8787"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6474D229" w14:textId="77777777">
        <w:trPr>
          <w:cantSplit/>
          <w:trHeight w:val="255"/>
        </w:trPr>
        <w:tc>
          <w:tcPr>
            <w:tcW w:w="450" w:type="dxa"/>
            <w:vAlign w:val="bottom"/>
          </w:tcPr>
          <w:p w14:paraId="0569530D" w14:textId="77777777" w:rsidR="008A701E" w:rsidRPr="006A2781" w:rsidRDefault="008A701E" w:rsidP="008A701E">
            <w:pPr>
              <w:jc w:val="center"/>
              <w:rPr>
                <w:rFonts w:ascii="Arial" w:hAnsi="Arial" w:cs="Arial"/>
                <w:sz w:val="18"/>
                <w:szCs w:val="18"/>
              </w:rPr>
            </w:pPr>
            <w:r>
              <w:rPr>
                <w:rFonts w:ascii="Arial" w:hAnsi="Arial" w:cs="Arial"/>
                <w:sz w:val="18"/>
                <w:szCs w:val="18"/>
              </w:rPr>
              <w:t>53</w:t>
            </w:r>
          </w:p>
        </w:tc>
        <w:tc>
          <w:tcPr>
            <w:tcW w:w="540" w:type="dxa"/>
            <w:vAlign w:val="bottom"/>
          </w:tcPr>
          <w:p w14:paraId="34A3DBA9"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I</w:t>
            </w:r>
          </w:p>
        </w:tc>
        <w:tc>
          <w:tcPr>
            <w:tcW w:w="1530" w:type="dxa"/>
            <w:shd w:val="clear" w:color="auto" w:fill="auto"/>
            <w:noWrap/>
            <w:vAlign w:val="bottom"/>
          </w:tcPr>
          <w:p w14:paraId="0D2EB63E" w14:textId="77777777" w:rsidR="008A701E" w:rsidRPr="006A2781" w:rsidRDefault="008A701E" w:rsidP="008A701E">
            <w:pPr>
              <w:rPr>
                <w:rFonts w:ascii="Arial" w:hAnsi="Arial" w:cs="Arial"/>
                <w:sz w:val="18"/>
                <w:szCs w:val="18"/>
              </w:rPr>
            </w:pPr>
            <w:r>
              <w:rPr>
                <w:rFonts w:ascii="Arial" w:hAnsi="Arial" w:cs="Arial"/>
                <w:sz w:val="18"/>
                <w:szCs w:val="18"/>
              </w:rPr>
              <w:t>Return Issued Units to Blood Bank</w:t>
            </w:r>
          </w:p>
        </w:tc>
        <w:tc>
          <w:tcPr>
            <w:tcW w:w="3060" w:type="dxa"/>
            <w:shd w:val="clear" w:color="auto" w:fill="auto"/>
            <w:noWrap/>
            <w:vAlign w:val="bottom"/>
          </w:tcPr>
          <w:p w14:paraId="541225D0" w14:textId="77777777" w:rsidR="008A701E" w:rsidRPr="006A2781" w:rsidRDefault="008A701E" w:rsidP="008A701E">
            <w:pPr>
              <w:rPr>
                <w:rFonts w:ascii="Arial" w:hAnsi="Arial" w:cs="Arial"/>
                <w:sz w:val="18"/>
                <w:szCs w:val="18"/>
              </w:rPr>
            </w:pPr>
            <w:r w:rsidRPr="006A2781">
              <w:rPr>
                <w:rFonts w:ascii="Arial" w:hAnsi="Arial" w:cs="Arial"/>
                <w:sz w:val="18"/>
                <w:szCs w:val="18"/>
              </w:rPr>
              <w:t>Crossmatched unit</w:t>
            </w:r>
          </w:p>
        </w:tc>
        <w:tc>
          <w:tcPr>
            <w:tcW w:w="1530" w:type="dxa"/>
            <w:shd w:val="clear" w:color="auto" w:fill="auto"/>
            <w:noWrap/>
            <w:vAlign w:val="bottom"/>
          </w:tcPr>
          <w:p w14:paraId="57418CB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14:paraId="08C0B88E"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3E8C2A03" w14:textId="77777777">
        <w:trPr>
          <w:cantSplit/>
          <w:trHeight w:val="255"/>
        </w:trPr>
        <w:tc>
          <w:tcPr>
            <w:tcW w:w="450" w:type="dxa"/>
            <w:vAlign w:val="bottom"/>
          </w:tcPr>
          <w:p w14:paraId="70AF6009" w14:textId="77777777" w:rsidR="008A701E" w:rsidRDefault="008A701E" w:rsidP="008A701E">
            <w:pPr>
              <w:jc w:val="center"/>
              <w:rPr>
                <w:rFonts w:ascii="Arial" w:hAnsi="Arial" w:cs="Arial"/>
                <w:sz w:val="18"/>
                <w:szCs w:val="18"/>
              </w:rPr>
            </w:pPr>
            <w:r>
              <w:rPr>
                <w:rFonts w:ascii="Arial" w:hAnsi="Arial" w:cs="Arial"/>
                <w:sz w:val="18"/>
                <w:szCs w:val="18"/>
              </w:rPr>
              <w:t>54</w:t>
            </w:r>
          </w:p>
        </w:tc>
        <w:tc>
          <w:tcPr>
            <w:tcW w:w="540" w:type="dxa"/>
            <w:vAlign w:val="bottom"/>
          </w:tcPr>
          <w:p w14:paraId="13041DC0" w14:textId="77777777" w:rsidR="008A701E" w:rsidRPr="006A2781" w:rsidRDefault="008A701E" w:rsidP="008A701E">
            <w:pPr>
              <w:jc w:val="center"/>
              <w:rPr>
                <w:rFonts w:ascii="Arial" w:hAnsi="Arial" w:cs="Arial"/>
                <w:sz w:val="18"/>
                <w:szCs w:val="18"/>
              </w:rPr>
            </w:pPr>
            <w:r>
              <w:rPr>
                <w:rFonts w:ascii="Arial" w:hAnsi="Arial" w:cs="Arial"/>
                <w:sz w:val="18"/>
                <w:szCs w:val="18"/>
              </w:rPr>
              <w:t>I</w:t>
            </w:r>
          </w:p>
        </w:tc>
        <w:tc>
          <w:tcPr>
            <w:tcW w:w="1530" w:type="dxa"/>
            <w:shd w:val="clear" w:color="auto" w:fill="auto"/>
            <w:noWrap/>
            <w:vAlign w:val="bottom"/>
          </w:tcPr>
          <w:p w14:paraId="1FF6188F" w14:textId="77777777" w:rsidR="008A701E" w:rsidRPr="006A2781" w:rsidRDefault="008A701E" w:rsidP="008A701E">
            <w:pPr>
              <w:rPr>
                <w:rFonts w:ascii="Arial" w:hAnsi="Arial" w:cs="Arial"/>
                <w:sz w:val="18"/>
                <w:szCs w:val="18"/>
              </w:rPr>
            </w:pPr>
            <w:r>
              <w:rPr>
                <w:rFonts w:ascii="Arial" w:hAnsi="Arial" w:cs="Arial"/>
                <w:sz w:val="18"/>
                <w:szCs w:val="18"/>
              </w:rPr>
              <w:t>Return Issued Units to Blood Bank</w:t>
            </w:r>
          </w:p>
        </w:tc>
        <w:tc>
          <w:tcPr>
            <w:tcW w:w="3060" w:type="dxa"/>
            <w:shd w:val="clear" w:color="auto" w:fill="auto"/>
            <w:noWrap/>
            <w:vAlign w:val="bottom"/>
          </w:tcPr>
          <w:p w14:paraId="3F18D634" w14:textId="77777777" w:rsidR="008A701E" w:rsidRPr="00B7134B" w:rsidRDefault="008A701E" w:rsidP="008A701E">
            <w:pPr>
              <w:rPr>
                <w:rFonts w:ascii="Arial" w:hAnsi="Arial" w:cs="Arial"/>
                <w:sz w:val="18"/>
                <w:szCs w:val="18"/>
              </w:rPr>
            </w:pPr>
            <w:r w:rsidRPr="00B7134B">
              <w:rPr>
                <w:rFonts w:ascii="Arial" w:hAnsi="Arial" w:cs="Arial"/>
                <w:sz w:val="18"/>
                <w:szCs w:val="18"/>
              </w:rPr>
              <w:t>Unit without a crossmatch, unit is unsatisfactory</w:t>
            </w:r>
          </w:p>
        </w:tc>
        <w:tc>
          <w:tcPr>
            <w:tcW w:w="1530" w:type="dxa"/>
            <w:shd w:val="clear" w:color="auto" w:fill="auto"/>
            <w:noWrap/>
            <w:vAlign w:val="bottom"/>
          </w:tcPr>
          <w:p w14:paraId="36DE61D5" w14:textId="77777777" w:rsidR="008A701E" w:rsidRPr="006A2781" w:rsidRDefault="008A701E" w:rsidP="008A701E">
            <w:pPr>
              <w:jc w:val="center"/>
              <w:rPr>
                <w:rFonts w:ascii="Arial" w:hAnsi="Arial" w:cs="Arial"/>
                <w:sz w:val="18"/>
                <w:szCs w:val="18"/>
              </w:rPr>
            </w:pPr>
            <w:r>
              <w:rPr>
                <w:rFonts w:ascii="Arial" w:hAnsi="Arial" w:cs="Arial"/>
                <w:sz w:val="18"/>
                <w:szCs w:val="18"/>
              </w:rPr>
              <w:t>A</w:t>
            </w:r>
          </w:p>
        </w:tc>
        <w:tc>
          <w:tcPr>
            <w:tcW w:w="2070" w:type="dxa"/>
            <w:shd w:val="clear" w:color="auto" w:fill="auto"/>
            <w:noWrap/>
            <w:vAlign w:val="bottom"/>
          </w:tcPr>
          <w:p w14:paraId="0C5BF329" w14:textId="77777777" w:rsidR="008A701E" w:rsidRPr="006A2781" w:rsidRDefault="008A701E" w:rsidP="008A701E">
            <w:pPr>
              <w:rPr>
                <w:rFonts w:ascii="Arial" w:hAnsi="Arial" w:cs="Arial"/>
                <w:sz w:val="18"/>
                <w:szCs w:val="18"/>
              </w:rPr>
            </w:pPr>
            <w:r w:rsidRPr="00B7134B">
              <w:rPr>
                <w:rFonts w:ascii="Arial" w:hAnsi="Arial" w:cs="Arial"/>
                <w:sz w:val="18"/>
                <w:szCs w:val="18"/>
              </w:rPr>
              <w:t>RE</w:t>
            </w:r>
          </w:p>
        </w:tc>
      </w:tr>
      <w:tr w:rsidR="008A701E" w:rsidRPr="006A2781" w14:paraId="424EFC48" w14:textId="77777777">
        <w:trPr>
          <w:cantSplit/>
          <w:trHeight w:val="255"/>
        </w:trPr>
        <w:tc>
          <w:tcPr>
            <w:tcW w:w="450" w:type="dxa"/>
            <w:vAlign w:val="bottom"/>
          </w:tcPr>
          <w:p w14:paraId="22347ED2" w14:textId="77777777" w:rsidR="008A701E" w:rsidRDefault="008A701E" w:rsidP="008A701E">
            <w:pPr>
              <w:jc w:val="center"/>
              <w:rPr>
                <w:rFonts w:ascii="Arial" w:hAnsi="Arial" w:cs="Arial"/>
                <w:sz w:val="18"/>
                <w:szCs w:val="18"/>
              </w:rPr>
            </w:pPr>
            <w:r>
              <w:rPr>
                <w:rFonts w:ascii="Arial" w:hAnsi="Arial" w:cs="Arial"/>
                <w:sz w:val="18"/>
                <w:szCs w:val="18"/>
              </w:rPr>
              <w:t>55</w:t>
            </w:r>
          </w:p>
        </w:tc>
        <w:tc>
          <w:tcPr>
            <w:tcW w:w="540" w:type="dxa"/>
            <w:vAlign w:val="bottom"/>
          </w:tcPr>
          <w:p w14:paraId="52F20DF0" w14:textId="77777777" w:rsidR="008A701E" w:rsidRPr="006A2781" w:rsidRDefault="008A701E" w:rsidP="008A701E">
            <w:pPr>
              <w:jc w:val="center"/>
              <w:rPr>
                <w:rFonts w:ascii="Arial" w:hAnsi="Arial" w:cs="Arial"/>
                <w:sz w:val="18"/>
                <w:szCs w:val="18"/>
              </w:rPr>
            </w:pPr>
            <w:r>
              <w:rPr>
                <w:rFonts w:ascii="Arial" w:hAnsi="Arial" w:cs="Arial"/>
                <w:sz w:val="18"/>
                <w:szCs w:val="18"/>
              </w:rPr>
              <w:t>I</w:t>
            </w:r>
          </w:p>
        </w:tc>
        <w:tc>
          <w:tcPr>
            <w:tcW w:w="1530" w:type="dxa"/>
            <w:shd w:val="clear" w:color="auto" w:fill="auto"/>
            <w:noWrap/>
            <w:vAlign w:val="bottom"/>
          </w:tcPr>
          <w:p w14:paraId="2B0D8D40" w14:textId="77777777" w:rsidR="008A701E" w:rsidRPr="006A2781" w:rsidRDefault="008A701E" w:rsidP="008A701E">
            <w:pPr>
              <w:rPr>
                <w:rFonts w:ascii="Arial" w:hAnsi="Arial" w:cs="Arial"/>
                <w:sz w:val="18"/>
                <w:szCs w:val="18"/>
              </w:rPr>
            </w:pPr>
            <w:r>
              <w:rPr>
                <w:rFonts w:ascii="Arial" w:hAnsi="Arial" w:cs="Arial"/>
                <w:sz w:val="18"/>
                <w:szCs w:val="18"/>
              </w:rPr>
              <w:t>Return Issued Units to Blood Bank</w:t>
            </w:r>
          </w:p>
        </w:tc>
        <w:tc>
          <w:tcPr>
            <w:tcW w:w="3060" w:type="dxa"/>
            <w:shd w:val="clear" w:color="auto" w:fill="auto"/>
            <w:noWrap/>
            <w:vAlign w:val="bottom"/>
          </w:tcPr>
          <w:p w14:paraId="41F09AA7" w14:textId="77777777" w:rsidR="008A701E" w:rsidRPr="00B7134B" w:rsidRDefault="008A701E" w:rsidP="008A701E">
            <w:pPr>
              <w:rPr>
                <w:rFonts w:ascii="Arial" w:hAnsi="Arial" w:cs="Arial"/>
                <w:sz w:val="18"/>
                <w:szCs w:val="18"/>
              </w:rPr>
            </w:pPr>
            <w:r w:rsidRPr="00B7134B">
              <w:rPr>
                <w:rFonts w:ascii="Arial" w:hAnsi="Arial" w:cs="Arial"/>
                <w:sz w:val="18"/>
                <w:szCs w:val="18"/>
              </w:rPr>
              <w:t>Unit crossmatched, unit is unsatisfactory</w:t>
            </w:r>
          </w:p>
        </w:tc>
        <w:tc>
          <w:tcPr>
            <w:tcW w:w="1530" w:type="dxa"/>
            <w:shd w:val="clear" w:color="auto" w:fill="auto"/>
            <w:noWrap/>
            <w:vAlign w:val="bottom"/>
          </w:tcPr>
          <w:p w14:paraId="4669E0AB" w14:textId="77777777" w:rsidR="008A701E" w:rsidRPr="006A2781" w:rsidRDefault="008A701E" w:rsidP="008A701E">
            <w:pPr>
              <w:jc w:val="center"/>
              <w:rPr>
                <w:rFonts w:ascii="Arial" w:hAnsi="Arial" w:cs="Arial"/>
                <w:sz w:val="18"/>
                <w:szCs w:val="18"/>
              </w:rPr>
            </w:pPr>
            <w:r w:rsidRPr="00B7134B">
              <w:rPr>
                <w:rFonts w:ascii="Arial" w:hAnsi="Arial" w:cs="Arial"/>
                <w:sz w:val="18"/>
                <w:szCs w:val="18"/>
              </w:rPr>
              <w:t>A</w:t>
            </w:r>
          </w:p>
        </w:tc>
        <w:tc>
          <w:tcPr>
            <w:tcW w:w="2070" w:type="dxa"/>
            <w:shd w:val="clear" w:color="auto" w:fill="auto"/>
            <w:noWrap/>
            <w:vAlign w:val="bottom"/>
          </w:tcPr>
          <w:p w14:paraId="66DCDE74" w14:textId="77777777" w:rsidR="008A701E" w:rsidRPr="006A2781" w:rsidRDefault="008A701E" w:rsidP="008A701E">
            <w:pPr>
              <w:rPr>
                <w:rFonts w:ascii="Arial" w:hAnsi="Arial" w:cs="Arial"/>
                <w:sz w:val="18"/>
                <w:szCs w:val="18"/>
              </w:rPr>
            </w:pPr>
            <w:r w:rsidRPr="00B7134B">
              <w:rPr>
                <w:rFonts w:ascii="Arial" w:hAnsi="Arial" w:cs="Arial"/>
                <w:sz w:val="18"/>
                <w:szCs w:val="18"/>
              </w:rPr>
              <w:t>RE</w:t>
            </w:r>
          </w:p>
        </w:tc>
      </w:tr>
      <w:tr w:rsidR="008A701E" w:rsidRPr="006A2781" w14:paraId="3D234401" w14:textId="77777777">
        <w:trPr>
          <w:cantSplit/>
          <w:trHeight w:val="255"/>
        </w:trPr>
        <w:tc>
          <w:tcPr>
            <w:tcW w:w="450" w:type="dxa"/>
            <w:vAlign w:val="bottom"/>
          </w:tcPr>
          <w:p w14:paraId="6B311E76" w14:textId="77777777" w:rsidR="008A701E" w:rsidRPr="006A2781" w:rsidRDefault="008A701E" w:rsidP="008A701E">
            <w:pPr>
              <w:jc w:val="center"/>
              <w:rPr>
                <w:rFonts w:ascii="Arial" w:hAnsi="Arial" w:cs="Arial"/>
                <w:sz w:val="18"/>
                <w:szCs w:val="18"/>
              </w:rPr>
            </w:pPr>
            <w:r>
              <w:rPr>
                <w:rFonts w:ascii="Arial" w:hAnsi="Arial" w:cs="Arial"/>
                <w:sz w:val="18"/>
                <w:szCs w:val="18"/>
              </w:rPr>
              <w:lastRenderedPageBreak/>
              <w:t>56</w:t>
            </w:r>
          </w:p>
        </w:tc>
        <w:tc>
          <w:tcPr>
            <w:tcW w:w="540" w:type="dxa"/>
            <w:vAlign w:val="bottom"/>
          </w:tcPr>
          <w:p w14:paraId="566A7992"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14:paraId="4DC6B4AC" w14:textId="77777777" w:rsidR="008A701E" w:rsidRPr="006A2781" w:rsidRDefault="008A701E" w:rsidP="008A701E">
            <w:pPr>
              <w:rPr>
                <w:rFonts w:ascii="Arial" w:hAnsi="Arial" w:cs="Arial"/>
                <w:sz w:val="18"/>
                <w:szCs w:val="18"/>
              </w:rPr>
            </w:pPr>
            <w:r>
              <w:rPr>
                <w:rFonts w:ascii="Arial" w:hAnsi="Arial" w:cs="Arial"/>
                <w:sz w:val="18"/>
                <w:szCs w:val="18"/>
              </w:rPr>
              <w:t>Issue Blood Components</w:t>
            </w:r>
          </w:p>
        </w:tc>
        <w:tc>
          <w:tcPr>
            <w:tcW w:w="3060" w:type="dxa"/>
            <w:shd w:val="clear" w:color="auto" w:fill="auto"/>
            <w:noWrap/>
            <w:vAlign w:val="bottom"/>
          </w:tcPr>
          <w:p w14:paraId="5B0E1422" w14:textId="77777777" w:rsidR="008A701E" w:rsidRPr="006A2781" w:rsidRDefault="008A701E" w:rsidP="008A701E">
            <w:pPr>
              <w:rPr>
                <w:rFonts w:ascii="Arial" w:hAnsi="Arial" w:cs="Arial"/>
                <w:sz w:val="18"/>
                <w:szCs w:val="18"/>
              </w:rPr>
            </w:pPr>
            <w:r w:rsidRPr="006A2781">
              <w:rPr>
                <w:rFonts w:ascii="Arial" w:hAnsi="Arial" w:cs="Arial"/>
                <w:sz w:val="18"/>
                <w:szCs w:val="18"/>
              </w:rPr>
              <w:t>Normal flow with or without overrides</w:t>
            </w:r>
          </w:p>
        </w:tc>
        <w:tc>
          <w:tcPr>
            <w:tcW w:w="1530" w:type="dxa"/>
            <w:shd w:val="clear" w:color="auto" w:fill="auto"/>
            <w:noWrap/>
            <w:vAlign w:val="bottom"/>
          </w:tcPr>
          <w:p w14:paraId="46273A89"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I</w:t>
            </w:r>
          </w:p>
        </w:tc>
        <w:tc>
          <w:tcPr>
            <w:tcW w:w="2070" w:type="dxa"/>
            <w:shd w:val="clear" w:color="auto" w:fill="auto"/>
            <w:noWrap/>
            <w:vAlign w:val="bottom"/>
          </w:tcPr>
          <w:p w14:paraId="69FD7FF8" w14:textId="77777777" w:rsidR="008A701E" w:rsidRPr="006A2781" w:rsidRDefault="008A701E" w:rsidP="008A701E">
            <w:pPr>
              <w:rPr>
                <w:rFonts w:ascii="Arial" w:hAnsi="Arial" w:cs="Arial"/>
                <w:sz w:val="18"/>
                <w:szCs w:val="18"/>
              </w:rPr>
            </w:pPr>
            <w:r w:rsidRPr="006A2781">
              <w:rPr>
                <w:rFonts w:ascii="Arial" w:hAnsi="Arial" w:cs="Arial"/>
                <w:sz w:val="18"/>
                <w:szCs w:val="18"/>
              </w:rPr>
              <w:t>DS</w:t>
            </w:r>
          </w:p>
        </w:tc>
      </w:tr>
      <w:tr w:rsidR="008A701E" w:rsidRPr="006A2781" w14:paraId="391DF5EB" w14:textId="77777777">
        <w:trPr>
          <w:cantSplit/>
          <w:trHeight w:val="255"/>
        </w:trPr>
        <w:tc>
          <w:tcPr>
            <w:tcW w:w="450" w:type="dxa"/>
            <w:vAlign w:val="bottom"/>
          </w:tcPr>
          <w:p w14:paraId="0CF4BE52" w14:textId="77777777" w:rsidR="008A701E" w:rsidRPr="006A2781" w:rsidRDefault="008A701E" w:rsidP="008A701E">
            <w:pPr>
              <w:jc w:val="center"/>
              <w:rPr>
                <w:rFonts w:ascii="Arial" w:hAnsi="Arial" w:cs="Arial"/>
                <w:sz w:val="18"/>
                <w:szCs w:val="18"/>
              </w:rPr>
            </w:pPr>
            <w:r>
              <w:rPr>
                <w:rFonts w:ascii="Arial" w:hAnsi="Arial" w:cs="Arial"/>
                <w:sz w:val="18"/>
                <w:szCs w:val="18"/>
              </w:rPr>
              <w:t>57</w:t>
            </w:r>
          </w:p>
        </w:tc>
        <w:tc>
          <w:tcPr>
            <w:tcW w:w="540" w:type="dxa"/>
            <w:vAlign w:val="bottom"/>
          </w:tcPr>
          <w:p w14:paraId="24360F1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14:paraId="48EE44F1" w14:textId="77777777" w:rsidR="008A701E" w:rsidRPr="006A2781" w:rsidRDefault="008A701E" w:rsidP="008A701E">
            <w:pPr>
              <w:rPr>
                <w:rFonts w:ascii="Arial" w:hAnsi="Arial" w:cs="Arial"/>
                <w:sz w:val="18"/>
                <w:szCs w:val="18"/>
              </w:rPr>
            </w:pPr>
            <w:r>
              <w:rPr>
                <w:rFonts w:ascii="Arial" w:hAnsi="Arial" w:cs="Arial"/>
                <w:sz w:val="18"/>
                <w:szCs w:val="18"/>
              </w:rPr>
              <w:t>Issue Blood Components</w:t>
            </w:r>
          </w:p>
        </w:tc>
        <w:tc>
          <w:tcPr>
            <w:tcW w:w="3060" w:type="dxa"/>
            <w:shd w:val="clear" w:color="auto" w:fill="auto"/>
            <w:noWrap/>
            <w:vAlign w:val="bottom"/>
          </w:tcPr>
          <w:p w14:paraId="77D7ABFC" w14:textId="77777777" w:rsidR="008A701E" w:rsidRPr="006A2781" w:rsidRDefault="008A701E" w:rsidP="008A701E">
            <w:pPr>
              <w:rPr>
                <w:rFonts w:ascii="Arial" w:hAnsi="Arial" w:cs="Arial"/>
                <w:sz w:val="18"/>
                <w:szCs w:val="18"/>
              </w:rPr>
            </w:pPr>
            <w:r w:rsidRPr="006A2781">
              <w:rPr>
                <w:rFonts w:ascii="Arial" w:hAnsi="Arial" w:cs="Arial"/>
                <w:sz w:val="18"/>
                <w:szCs w:val="18"/>
              </w:rPr>
              <w:t>Normal flow with or without overrides</w:t>
            </w:r>
          </w:p>
        </w:tc>
        <w:tc>
          <w:tcPr>
            <w:tcW w:w="1530" w:type="dxa"/>
            <w:shd w:val="clear" w:color="auto" w:fill="auto"/>
            <w:noWrap/>
            <w:vAlign w:val="bottom"/>
          </w:tcPr>
          <w:p w14:paraId="27EDEBF8"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I</w:t>
            </w:r>
          </w:p>
        </w:tc>
        <w:tc>
          <w:tcPr>
            <w:tcW w:w="2070" w:type="dxa"/>
            <w:shd w:val="clear" w:color="auto" w:fill="auto"/>
            <w:noWrap/>
            <w:vAlign w:val="bottom"/>
          </w:tcPr>
          <w:p w14:paraId="6D8241AA" w14:textId="77777777" w:rsidR="008A701E" w:rsidRPr="006A2781" w:rsidRDefault="008A701E" w:rsidP="008A701E">
            <w:pPr>
              <w:rPr>
                <w:rFonts w:ascii="Arial" w:hAnsi="Arial" w:cs="Arial"/>
                <w:sz w:val="18"/>
                <w:szCs w:val="18"/>
              </w:rPr>
            </w:pPr>
            <w:r w:rsidRPr="006A2781">
              <w:rPr>
                <w:rFonts w:ascii="Arial" w:hAnsi="Arial" w:cs="Arial"/>
                <w:sz w:val="18"/>
                <w:szCs w:val="18"/>
              </w:rPr>
              <w:t>DS</w:t>
            </w:r>
          </w:p>
        </w:tc>
      </w:tr>
      <w:tr w:rsidR="008A701E" w:rsidRPr="006A2781" w14:paraId="5BA696CE" w14:textId="77777777">
        <w:trPr>
          <w:cantSplit/>
          <w:trHeight w:val="255"/>
        </w:trPr>
        <w:tc>
          <w:tcPr>
            <w:tcW w:w="450" w:type="dxa"/>
            <w:vAlign w:val="bottom"/>
          </w:tcPr>
          <w:p w14:paraId="4D700639" w14:textId="77777777" w:rsidR="008A701E" w:rsidRPr="006A2781" w:rsidRDefault="008A701E" w:rsidP="008A701E">
            <w:pPr>
              <w:jc w:val="center"/>
              <w:rPr>
                <w:rFonts w:ascii="Arial" w:hAnsi="Arial" w:cs="Arial"/>
                <w:sz w:val="18"/>
                <w:szCs w:val="18"/>
              </w:rPr>
            </w:pPr>
            <w:r>
              <w:rPr>
                <w:rFonts w:ascii="Arial" w:hAnsi="Arial" w:cs="Arial"/>
                <w:sz w:val="18"/>
                <w:szCs w:val="18"/>
              </w:rPr>
              <w:t>58</w:t>
            </w:r>
          </w:p>
        </w:tc>
        <w:tc>
          <w:tcPr>
            <w:tcW w:w="540" w:type="dxa"/>
            <w:vAlign w:val="bottom"/>
          </w:tcPr>
          <w:p w14:paraId="5DAB87F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14:paraId="188C88C5" w14:textId="77777777" w:rsidR="008A701E" w:rsidRPr="006A2781" w:rsidRDefault="008A701E" w:rsidP="008A701E">
            <w:pPr>
              <w:rPr>
                <w:rFonts w:ascii="Arial" w:hAnsi="Arial" w:cs="Arial"/>
                <w:sz w:val="18"/>
                <w:szCs w:val="18"/>
              </w:rPr>
            </w:pPr>
            <w:r>
              <w:rPr>
                <w:rFonts w:ascii="Arial" w:hAnsi="Arial" w:cs="Arial"/>
                <w:sz w:val="18"/>
                <w:szCs w:val="18"/>
              </w:rPr>
              <w:t>Issue Blood Components</w:t>
            </w:r>
          </w:p>
        </w:tc>
        <w:tc>
          <w:tcPr>
            <w:tcW w:w="3060" w:type="dxa"/>
            <w:shd w:val="clear" w:color="auto" w:fill="auto"/>
            <w:noWrap/>
            <w:vAlign w:val="bottom"/>
          </w:tcPr>
          <w:p w14:paraId="6267A636" w14:textId="77777777" w:rsidR="008A701E" w:rsidRPr="006A2781" w:rsidRDefault="008A701E" w:rsidP="008A701E">
            <w:pPr>
              <w:rPr>
                <w:rFonts w:ascii="Arial" w:hAnsi="Arial" w:cs="Arial"/>
                <w:sz w:val="18"/>
                <w:szCs w:val="18"/>
              </w:rPr>
            </w:pPr>
            <w:r w:rsidRPr="006A2781">
              <w:rPr>
                <w:rFonts w:ascii="Arial" w:hAnsi="Arial" w:cs="Arial"/>
                <w:sz w:val="18"/>
                <w:szCs w:val="18"/>
              </w:rPr>
              <w:t>Unit is marked as unsatisfactory for issue</w:t>
            </w:r>
          </w:p>
        </w:tc>
        <w:tc>
          <w:tcPr>
            <w:tcW w:w="1530" w:type="dxa"/>
            <w:shd w:val="clear" w:color="auto" w:fill="auto"/>
            <w:noWrap/>
            <w:vAlign w:val="bottom"/>
          </w:tcPr>
          <w:p w14:paraId="3D604BBF"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3246A7F8" w14:textId="77777777"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14:paraId="2360C6C6" w14:textId="77777777">
        <w:trPr>
          <w:cantSplit/>
          <w:trHeight w:val="255"/>
        </w:trPr>
        <w:tc>
          <w:tcPr>
            <w:tcW w:w="450" w:type="dxa"/>
            <w:vAlign w:val="bottom"/>
          </w:tcPr>
          <w:p w14:paraId="20F44224" w14:textId="77777777" w:rsidR="008A701E" w:rsidRPr="006A2781" w:rsidRDefault="008A701E" w:rsidP="008A701E">
            <w:pPr>
              <w:jc w:val="center"/>
              <w:rPr>
                <w:rFonts w:ascii="Arial" w:hAnsi="Arial" w:cs="Arial"/>
                <w:sz w:val="18"/>
                <w:szCs w:val="18"/>
              </w:rPr>
            </w:pPr>
            <w:r>
              <w:rPr>
                <w:rFonts w:ascii="Arial" w:hAnsi="Arial" w:cs="Arial"/>
                <w:sz w:val="18"/>
                <w:szCs w:val="18"/>
              </w:rPr>
              <w:t>59</w:t>
            </w:r>
          </w:p>
        </w:tc>
        <w:tc>
          <w:tcPr>
            <w:tcW w:w="540" w:type="dxa"/>
            <w:vAlign w:val="bottom"/>
          </w:tcPr>
          <w:p w14:paraId="559A28B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14:paraId="16197CFB" w14:textId="77777777" w:rsidR="008A701E" w:rsidRPr="006A2781" w:rsidRDefault="008A701E" w:rsidP="008A701E">
            <w:pPr>
              <w:rPr>
                <w:rFonts w:ascii="Arial" w:hAnsi="Arial" w:cs="Arial"/>
                <w:sz w:val="18"/>
                <w:szCs w:val="18"/>
              </w:rPr>
            </w:pPr>
            <w:r>
              <w:rPr>
                <w:rFonts w:ascii="Arial" w:hAnsi="Arial" w:cs="Arial"/>
                <w:sz w:val="18"/>
                <w:szCs w:val="18"/>
              </w:rPr>
              <w:t>Issue Blood Components</w:t>
            </w:r>
          </w:p>
        </w:tc>
        <w:tc>
          <w:tcPr>
            <w:tcW w:w="3060" w:type="dxa"/>
            <w:shd w:val="clear" w:color="auto" w:fill="auto"/>
            <w:noWrap/>
            <w:vAlign w:val="bottom"/>
          </w:tcPr>
          <w:p w14:paraId="6ADC6400" w14:textId="77777777" w:rsidR="008A701E" w:rsidRPr="006A2781" w:rsidRDefault="008A701E" w:rsidP="008A701E">
            <w:pPr>
              <w:rPr>
                <w:rFonts w:ascii="Arial" w:hAnsi="Arial" w:cs="Arial"/>
                <w:sz w:val="18"/>
                <w:szCs w:val="18"/>
              </w:rPr>
            </w:pPr>
            <w:r w:rsidRPr="006A2781">
              <w:rPr>
                <w:rFonts w:ascii="Arial" w:hAnsi="Arial" w:cs="Arial"/>
                <w:sz w:val="18"/>
                <w:szCs w:val="18"/>
              </w:rPr>
              <w:t>Unit is marked as unsatisfactory for issue</w:t>
            </w:r>
          </w:p>
        </w:tc>
        <w:tc>
          <w:tcPr>
            <w:tcW w:w="1530" w:type="dxa"/>
            <w:shd w:val="clear" w:color="auto" w:fill="auto"/>
            <w:noWrap/>
            <w:vAlign w:val="bottom"/>
          </w:tcPr>
          <w:p w14:paraId="23F54465"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134D9BDA" w14:textId="77777777"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14:paraId="31F9C9C2" w14:textId="77777777">
        <w:trPr>
          <w:cantSplit/>
          <w:trHeight w:val="255"/>
        </w:trPr>
        <w:tc>
          <w:tcPr>
            <w:tcW w:w="450" w:type="dxa"/>
            <w:vAlign w:val="bottom"/>
          </w:tcPr>
          <w:p w14:paraId="52B665D5" w14:textId="77777777" w:rsidR="008A701E" w:rsidRPr="006A2781" w:rsidRDefault="008A701E" w:rsidP="008A701E">
            <w:pPr>
              <w:jc w:val="center"/>
              <w:rPr>
                <w:rFonts w:ascii="Arial" w:hAnsi="Arial" w:cs="Arial"/>
                <w:sz w:val="18"/>
                <w:szCs w:val="18"/>
              </w:rPr>
            </w:pPr>
            <w:r>
              <w:rPr>
                <w:rFonts w:ascii="Arial" w:hAnsi="Arial" w:cs="Arial"/>
                <w:sz w:val="18"/>
                <w:szCs w:val="18"/>
              </w:rPr>
              <w:t>60</w:t>
            </w:r>
          </w:p>
        </w:tc>
        <w:tc>
          <w:tcPr>
            <w:tcW w:w="540" w:type="dxa"/>
            <w:vAlign w:val="bottom"/>
          </w:tcPr>
          <w:p w14:paraId="3A6D764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14:paraId="145FF3E4" w14:textId="77777777" w:rsidR="008A701E" w:rsidRPr="006A2781" w:rsidRDefault="008A701E" w:rsidP="008A701E">
            <w:pPr>
              <w:rPr>
                <w:rFonts w:ascii="Arial" w:hAnsi="Arial" w:cs="Arial"/>
                <w:sz w:val="18"/>
                <w:szCs w:val="18"/>
              </w:rPr>
            </w:pPr>
            <w:r>
              <w:rPr>
                <w:rFonts w:ascii="Arial" w:hAnsi="Arial" w:cs="Arial"/>
                <w:sz w:val="18"/>
                <w:szCs w:val="18"/>
              </w:rPr>
              <w:t>Invalidate Patient Test Results</w:t>
            </w:r>
          </w:p>
        </w:tc>
        <w:tc>
          <w:tcPr>
            <w:tcW w:w="3060" w:type="dxa"/>
            <w:shd w:val="clear" w:color="auto" w:fill="auto"/>
            <w:noWrap/>
            <w:vAlign w:val="bottom"/>
          </w:tcPr>
          <w:p w14:paraId="401C20BC" w14:textId="77777777" w:rsidR="008A701E" w:rsidRPr="006A2781" w:rsidRDefault="008A701E" w:rsidP="008A701E">
            <w:pPr>
              <w:rPr>
                <w:rFonts w:ascii="Arial" w:hAnsi="Arial" w:cs="Arial"/>
                <w:sz w:val="18"/>
                <w:szCs w:val="18"/>
              </w:rPr>
            </w:pPr>
            <w:r w:rsidRPr="006A2781">
              <w:rPr>
                <w:rFonts w:ascii="Arial" w:hAnsi="Arial" w:cs="Arial"/>
                <w:sz w:val="18"/>
                <w:szCs w:val="18"/>
              </w:rPr>
              <w:t>Invalidate Crossmatch results for the unit-patient association</w:t>
            </w:r>
          </w:p>
        </w:tc>
        <w:tc>
          <w:tcPr>
            <w:tcW w:w="1530" w:type="dxa"/>
            <w:shd w:val="clear" w:color="auto" w:fill="auto"/>
            <w:noWrap/>
            <w:vAlign w:val="bottom"/>
          </w:tcPr>
          <w:p w14:paraId="12209AE6"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07E331CA" w14:textId="77777777" w:rsidR="008A701E" w:rsidRPr="006A2781" w:rsidRDefault="008A701E" w:rsidP="008A701E">
            <w:pPr>
              <w:rPr>
                <w:rFonts w:ascii="Arial" w:hAnsi="Arial" w:cs="Arial"/>
                <w:sz w:val="18"/>
                <w:szCs w:val="18"/>
              </w:rPr>
            </w:pPr>
            <w:r w:rsidRPr="006A2781">
              <w:rPr>
                <w:rFonts w:ascii="Arial" w:hAnsi="Arial" w:cs="Arial"/>
                <w:sz w:val="18"/>
                <w:szCs w:val="18"/>
              </w:rPr>
              <w:t>No message is sent as the unit has not been released from assignment from the patient.</w:t>
            </w:r>
          </w:p>
        </w:tc>
      </w:tr>
    </w:tbl>
    <w:p w14:paraId="56BDD3DE" w14:textId="77777777" w:rsidR="008A701E" w:rsidRPr="00F20C8C" w:rsidRDefault="008A701E" w:rsidP="00F20C8C">
      <w:r w:rsidRPr="00F20C8C">
        <w:t>**Pooling of products that also require crossmatch is not currently possible.</w:t>
      </w:r>
    </w:p>
    <w:p w14:paraId="4B75D4EC" w14:textId="77777777" w:rsidR="0038450D" w:rsidRDefault="008A701E" w:rsidP="008A701E">
      <w:pPr>
        <w:pStyle w:val="Heading3"/>
      </w:pPr>
      <w:r>
        <w:br w:type="page"/>
      </w:r>
      <w:r w:rsidR="00966400">
        <w:rPr>
          <w:rFonts w:ascii="Geneva" w:hAnsi="Geneva"/>
          <w:vanish/>
        </w:rPr>
        <w:lastRenderedPageBreak/>
        <w:t xml:space="preserve"> </w:t>
      </w:r>
      <w:r w:rsidR="0038450D">
        <w:rPr>
          <w:rFonts w:ascii="Geneva" w:hAnsi="Geneva"/>
          <w:vanish/>
        </w:rPr>
        <w:t>T</w:t>
      </w:r>
      <w:r w:rsidR="00BC4A37">
        <w:rPr>
          <w:rFonts w:ascii="Geneva" w:hAnsi="Geneva"/>
          <w:vanish/>
        </w:rPr>
        <w:t>T</w:t>
      </w:r>
      <w:r w:rsidR="0038450D">
        <w:rPr>
          <w:rFonts w:ascii="Geneva" w:hAnsi="Geneva"/>
          <w:vanish/>
        </w:rPr>
        <w:t>_</w:t>
      </w:r>
      <w:r w:rsidR="00BC4A37">
        <w:rPr>
          <w:rFonts w:ascii="Geneva" w:hAnsi="Geneva"/>
          <w:vanish/>
        </w:rPr>
        <w:t>15.01</w:t>
      </w:r>
      <w:r w:rsidR="0038450D">
        <w:rPr>
          <w:rFonts w:ascii="Geneva" w:hAnsi="Geneva"/>
          <w:vanish/>
          <w:sz w:val="16"/>
        </w:rPr>
        <w:t xml:space="preserve"> </w:t>
      </w:r>
      <w:bookmarkStart w:id="705" w:name="_Toc4588878"/>
      <w:r w:rsidR="00BC4A37">
        <w:t>Workload Process to Use Case Mapping Table</w:t>
      </w:r>
      <w:bookmarkEnd w:id="705"/>
      <w:r w:rsidR="00BC4A37">
        <w:t xml:space="preserve"> </w:t>
      </w:r>
      <w:r w:rsidR="0038450D">
        <w:fldChar w:fldCharType="begin"/>
      </w:r>
      <w:r w:rsidR="0038450D">
        <w:instrText xml:space="preserve"> XE “</w:instrText>
      </w:r>
      <w:r w:rsidR="00BC4A37">
        <w:instrText>Workload Process to Use Case Mapping Table</w:instrText>
      </w:r>
      <w:r w:rsidR="0038450D">
        <w:instrText xml:space="preserve">” </w:instrText>
      </w:r>
      <w:r w:rsidR="0038450D">
        <w:fldChar w:fldCharType="end"/>
      </w:r>
    </w:p>
    <w:p w14:paraId="02764372" w14:textId="60C3F092" w:rsidR="0038450D" w:rsidRDefault="0038450D" w:rsidP="0038450D">
      <w:pPr>
        <w:pStyle w:val="Caption"/>
      </w:pPr>
      <w:bookmarkStart w:id="706" w:name="_Ref219531436"/>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647F4E">
        <w:rPr>
          <w:noProof/>
        </w:rPr>
        <w:t>26</w:t>
      </w:r>
      <w:r w:rsidR="004E20BD">
        <w:rPr>
          <w:noProof/>
        </w:rPr>
        <w:fldChar w:fldCharType="end"/>
      </w:r>
      <w:bookmarkEnd w:id="706"/>
      <w:r>
        <w:t xml:space="preserve">: </w:t>
      </w:r>
      <w:r>
        <w:rPr>
          <w:vanish/>
        </w:rPr>
        <w:t>T</w:t>
      </w:r>
      <w:r w:rsidR="00BC4A37">
        <w:rPr>
          <w:vanish/>
        </w:rPr>
        <w:t>T_15.01</w:t>
      </w:r>
      <w:r>
        <w:rPr>
          <w:vanish/>
          <w:sz w:val="16"/>
        </w:rPr>
        <w:t xml:space="preserve"> </w:t>
      </w:r>
      <w:r w:rsidR="00BC4A37">
        <w:t>Workload Process to Use Case Mapping Table</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3"/>
        <w:gridCol w:w="1165"/>
        <w:gridCol w:w="1080"/>
        <w:gridCol w:w="900"/>
        <w:gridCol w:w="4123"/>
      </w:tblGrid>
      <w:tr w:rsidR="000305DD" w:rsidRPr="00F24972" w14:paraId="1B3348D1" w14:textId="77777777">
        <w:trPr>
          <w:cantSplit/>
          <w:tblHeader/>
        </w:trPr>
        <w:tc>
          <w:tcPr>
            <w:tcW w:w="9001" w:type="dxa"/>
            <w:gridSpan w:val="5"/>
            <w:shd w:val="clear" w:color="auto" w:fill="C0C0C0"/>
            <w:vAlign w:val="bottom"/>
          </w:tcPr>
          <w:p w14:paraId="0E061A80" w14:textId="77777777" w:rsidR="000305DD" w:rsidRPr="00F24972" w:rsidRDefault="000305DD" w:rsidP="000305DD">
            <w:pPr>
              <w:pStyle w:val="TableText"/>
              <w:jc w:val="center"/>
              <w:rPr>
                <w:rFonts w:cs="Arial"/>
                <w:b/>
              </w:rPr>
            </w:pPr>
            <w:r w:rsidRPr="00F24972">
              <w:rPr>
                <w:rFonts w:cs="Arial"/>
                <w:b/>
              </w:rPr>
              <w:t>Workload Process to Use Case Mapping Table</w:t>
            </w:r>
          </w:p>
        </w:tc>
      </w:tr>
      <w:tr w:rsidR="000305DD" w:rsidRPr="00F24972" w14:paraId="6D0E94B4" w14:textId="77777777">
        <w:trPr>
          <w:cantSplit/>
          <w:trHeight w:val="1493"/>
          <w:tblHeader/>
        </w:trPr>
        <w:tc>
          <w:tcPr>
            <w:tcW w:w="1733" w:type="dxa"/>
            <w:tcBorders>
              <w:bottom w:val="single" w:sz="4" w:space="0" w:color="auto"/>
            </w:tcBorders>
            <w:shd w:val="clear" w:color="auto" w:fill="C0C0C0"/>
            <w:vAlign w:val="bottom"/>
          </w:tcPr>
          <w:p w14:paraId="197D39C4" w14:textId="77777777" w:rsidR="000305DD" w:rsidRPr="00F24972" w:rsidRDefault="000305DD" w:rsidP="000305DD">
            <w:pPr>
              <w:pStyle w:val="TableText"/>
              <w:rPr>
                <w:rFonts w:cs="Arial"/>
                <w:b/>
              </w:rPr>
            </w:pPr>
            <w:r w:rsidRPr="00F24972">
              <w:rPr>
                <w:rFonts w:cs="Arial"/>
                <w:b/>
              </w:rPr>
              <w:t xml:space="preserve">VBECS Process </w:t>
            </w:r>
          </w:p>
        </w:tc>
        <w:tc>
          <w:tcPr>
            <w:tcW w:w="1165" w:type="dxa"/>
            <w:tcBorders>
              <w:bottom w:val="single" w:sz="4" w:space="0" w:color="auto"/>
            </w:tcBorders>
            <w:shd w:val="clear" w:color="auto" w:fill="C0C0C0"/>
            <w:vAlign w:val="bottom"/>
          </w:tcPr>
          <w:p w14:paraId="741DE4C0" w14:textId="77777777" w:rsidR="000305DD" w:rsidRPr="00F24972" w:rsidRDefault="000305DD" w:rsidP="000305DD">
            <w:pPr>
              <w:pStyle w:val="TableText"/>
              <w:rPr>
                <w:rFonts w:cs="Arial"/>
                <w:b/>
              </w:rPr>
            </w:pPr>
            <w:r w:rsidRPr="00F24972">
              <w:rPr>
                <w:rFonts w:cs="Arial"/>
                <w:b/>
              </w:rPr>
              <w:t>Record Saved in This Use Case</w:t>
            </w:r>
          </w:p>
        </w:tc>
        <w:tc>
          <w:tcPr>
            <w:tcW w:w="1080" w:type="dxa"/>
            <w:tcBorders>
              <w:bottom w:val="single" w:sz="4" w:space="0" w:color="auto"/>
            </w:tcBorders>
            <w:shd w:val="clear" w:color="auto" w:fill="C0C0C0"/>
            <w:vAlign w:val="bottom"/>
          </w:tcPr>
          <w:p w14:paraId="39DD7DB4" w14:textId="77777777" w:rsidR="000305DD" w:rsidRPr="00F24972" w:rsidRDefault="000305DD" w:rsidP="000305DD">
            <w:pPr>
              <w:pStyle w:val="TableText"/>
              <w:rPr>
                <w:rFonts w:cs="Arial"/>
                <w:b/>
              </w:rPr>
            </w:pPr>
            <w:r w:rsidRPr="00F24972">
              <w:rPr>
                <w:rFonts w:cs="Arial"/>
                <w:b/>
              </w:rPr>
              <w:t>Positive or Negative Workload Accrued</w:t>
            </w:r>
          </w:p>
        </w:tc>
        <w:tc>
          <w:tcPr>
            <w:tcW w:w="900" w:type="dxa"/>
            <w:tcBorders>
              <w:bottom w:val="single" w:sz="4" w:space="0" w:color="auto"/>
            </w:tcBorders>
            <w:shd w:val="clear" w:color="auto" w:fill="C0C0C0"/>
            <w:textDirection w:val="btLr"/>
            <w:vAlign w:val="bottom"/>
          </w:tcPr>
          <w:p w14:paraId="012C4839" w14:textId="77777777" w:rsidR="000305DD" w:rsidRPr="00F24972" w:rsidRDefault="000305DD" w:rsidP="000305DD">
            <w:pPr>
              <w:pStyle w:val="TableText"/>
              <w:ind w:left="113" w:right="113"/>
              <w:rPr>
                <w:rFonts w:cs="Arial"/>
                <w:b/>
              </w:rPr>
            </w:pPr>
            <w:r w:rsidRPr="00F24972">
              <w:rPr>
                <w:rFonts w:cs="Arial"/>
                <w:b/>
              </w:rPr>
              <w:t>Transaction Type*</w:t>
            </w:r>
          </w:p>
        </w:tc>
        <w:tc>
          <w:tcPr>
            <w:tcW w:w="4123" w:type="dxa"/>
            <w:tcBorders>
              <w:bottom w:val="single" w:sz="4" w:space="0" w:color="auto"/>
            </w:tcBorders>
            <w:shd w:val="clear" w:color="auto" w:fill="C0C0C0"/>
            <w:vAlign w:val="bottom"/>
          </w:tcPr>
          <w:p w14:paraId="1ADB606A" w14:textId="77777777" w:rsidR="000305DD" w:rsidRPr="00F24972" w:rsidRDefault="000305DD" w:rsidP="000305DD">
            <w:pPr>
              <w:pStyle w:val="TableText"/>
              <w:rPr>
                <w:rFonts w:cs="Arial"/>
                <w:b/>
              </w:rPr>
            </w:pPr>
            <w:r w:rsidRPr="00F24972">
              <w:rPr>
                <w:rFonts w:cs="Arial"/>
                <w:b/>
              </w:rPr>
              <w:t xml:space="preserve">Explanation </w:t>
            </w:r>
          </w:p>
        </w:tc>
      </w:tr>
      <w:tr w:rsidR="000305DD" w:rsidRPr="00F24972" w14:paraId="44C7EAB6" w14:textId="77777777">
        <w:trPr>
          <w:cantSplit/>
        </w:trPr>
        <w:tc>
          <w:tcPr>
            <w:tcW w:w="1733" w:type="dxa"/>
            <w:vMerge w:val="restart"/>
          </w:tcPr>
          <w:p w14:paraId="636BACB2" w14:textId="77777777" w:rsidR="000305DD" w:rsidRPr="00F24972" w:rsidRDefault="000305DD" w:rsidP="000305DD">
            <w:pPr>
              <w:pStyle w:val="TableText"/>
              <w:rPr>
                <w:rFonts w:cs="Arial"/>
              </w:rPr>
            </w:pPr>
            <w:r w:rsidRPr="00F24972">
              <w:rPr>
                <w:rFonts w:cs="Arial"/>
              </w:rPr>
              <w:t>ABO Forward and reverse typing (patient)</w:t>
            </w:r>
          </w:p>
          <w:p w14:paraId="34CD0F18" w14:textId="77777777" w:rsidR="000305DD" w:rsidRPr="00F24972" w:rsidRDefault="000305DD" w:rsidP="000305DD">
            <w:pPr>
              <w:pStyle w:val="TableText"/>
              <w:rPr>
                <w:rFonts w:cs="Arial"/>
              </w:rPr>
            </w:pPr>
          </w:p>
        </w:tc>
        <w:tc>
          <w:tcPr>
            <w:tcW w:w="1165" w:type="dxa"/>
          </w:tcPr>
          <w:p w14:paraId="39C8CACF" w14:textId="77777777" w:rsidR="000305DD" w:rsidRPr="00F24972" w:rsidRDefault="000305DD" w:rsidP="000305DD">
            <w:pPr>
              <w:pStyle w:val="TableText"/>
              <w:rPr>
                <w:rFonts w:cs="Arial"/>
              </w:rPr>
            </w:pPr>
            <w:r>
              <w:rPr>
                <w:rFonts w:cs="Arial"/>
              </w:rPr>
              <w:t>Transfusion Reaction Workup</w:t>
            </w:r>
          </w:p>
        </w:tc>
        <w:tc>
          <w:tcPr>
            <w:tcW w:w="1080" w:type="dxa"/>
          </w:tcPr>
          <w:p w14:paraId="67193ECA" w14:textId="77777777" w:rsidR="000305DD" w:rsidRPr="00F24972" w:rsidRDefault="000305DD" w:rsidP="000305DD">
            <w:pPr>
              <w:pStyle w:val="TableText"/>
              <w:rPr>
                <w:rFonts w:cs="Arial"/>
              </w:rPr>
            </w:pPr>
            <w:r w:rsidRPr="00F24972">
              <w:rPr>
                <w:rFonts w:cs="Arial"/>
              </w:rPr>
              <w:t>Positive</w:t>
            </w:r>
          </w:p>
        </w:tc>
        <w:tc>
          <w:tcPr>
            <w:tcW w:w="900" w:type="dxa"/>
          </w:tcPr>
          <w:p w14:paraId="4E8AB22F" w14:textId="77777777" w:rsidR="000305DD" w:rsidRPr="00F24972" w:rsidRDefault="000305DD" w:rsidP="000305DD">
            <w:pPr>
              <w:pStyle w:val="TableText"/>
              <w:jc w:val="center"/>
              <w:rPr>
                <w:rFonts w:cs="Arial"/>
              </w:rPr>
            </w:pPr>
            <w:r w:rsidRPr="00F24972">
              <w:rPr>
                <w:rFonts w:cs="Arial"/>
              </w:rPr>
              <w:t>P</w:t>
            </w:r>
          </w:p>
        </w:tc>
        <w:tc>
          <w:tcPr>
            <w:tcW w:w="4123" w:type="dxa"/>
          </w:tcPr>
          <w:p w14:paraId="39E29702" w14:textId="77777777" w:rsidR="000305DD" w:rsidRPr="00F24972" w:rsidRDefault="000305DD" w:rsidP="000305DD">
            <w:pPr>
              <w:pStyle w:val="TableText"/>
              <w:rPr>
                <w:rFonts w:cs="Arial"/>
              </w:rPr>
            </w:pPr>
            <w:r w:rsidRPr="00F24972">
              <w:rPr>
                <w:rFonts w:cs="Arial"/>
              </w:rPr>
              <w:t>An ABO/Rh test for pre or post is enabled and a valid interpretation other than Not Tested is selected. A workload event is accrued separately for Pre and Post entries.</w:t>
            </w:r>
          </w:p>
        </w:tc>
      </w:tr>
      <w:tr w:rsidR="000305DD" w:rsidRPr="00F24972" w14:paraId="4AA9E7A0" w14:textId="77777777">
        <w:trPr>
          <w:cantSplit/>
        </w:trPr>
        <w:tc>
          <w:tcPr>
            <w:tcW w:w="1733" w:type="dxa"/>
            <w:vMerge/>
          </w:tcPr>
          <w:p w14:paraId="448430CB" w14:textId="77777777"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tcBorders>
          </w:tcPr>
          <w:p w14:paraId="1E50AC12" w14:textId="77777777" w:rsidR="000305DD" w:rsidRPr="00F24972" w:rsidRDefault="000305DD" w:rsidP="000305DD">
            <w:pPr>
              <w:pStyle w:val="TableText"/>
              <w:rPr>
                <w:rFonts w:cs="Arial"/>
              </w:rPr>
            </w:pPr>
            <w:r>
              <w:rPr>
                <w:rFonts w:cs="Arial"/>
              </w:rPr>
              <w:t>Patient Testing: ABO/Rh</w:t>
            </w:r>
          </w:p>
          <w:p w14:paraId="17E5FD97" w14:textId="77777777" w:rsidR="000305DD" w:rsidRPr="00F24972" w:rsidRDefault="000305DD" w:rsidP="000305DD">
            <w:pPr>
              <w:pStyle w:val="TableText"/>
              <w:rPr>
                <w:rFonts w:cs="Arial"/>
              </w:rPr>
            </w:pPr>
          </w:p>
        </w:tc>
        <w:tc>
          <w:tcPr>
            <w:tcW w:w="1080" w:type="dxa"/>
            <w:tcBorders>
              <w:top w:val="single" w:sz="4" w:space="0" w:color="auto"/>
              <w:bottom w:val="single" w:sz="4" w:space="0" w:color="auto"/>
              <w:right w:val="single" w:sz="4" w:space="0" w:color="auto"/>
            </w:tcBorders>
          </w:tcPr>
          <w:p w14:paraId="6D3E5588"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0B642DC8" w14:textId="77777777" w:rsidR="000305DD" w:rsidRPr="00F24972" w:rsidRDefault="000305DD" w:rsidP="000305DD">
            <w:pPr>
              <w:pStyle w:val="TableText"/>
              <w:jc w:val="center"/>
              <w:rPr>
                <w:rFonts w:cs="Arial"/>
              </w:rPr>
            </w:pPr>
            <w:r w:rsidRPr="00F24972">
              <w:rPr>
                <w:rFonts w:cs="Arial"/>
              </w:rPr>
              <w:t>P</w:t>
            </w:r>
          </w:p>
        </w:tc>
        <w:tc>
          <w:tcPr>
            <w:tcW w:w="4123" w:type="dxa"/>
            <w:tcBorders>
              <w:top w:val="single" w:sz="4" w:space="0" w:color="auto"/>
              <w:left w:val="single" w:sz="4" w:space="0" w:color="auto"/>
              <w:bottom w:val="single" w:sz="4" w:space="0" w:color="auto"/>
              <w:right w:val="single" w:sz="4" w:space="0" w:color="auto"/>
            </w:tcBorders>
          </w:tcPr>
          <w:p w14:paraId="1D3D1060" w14:textId="77777777" w:rsidR="000305DD" w:rsidRPr="00F24972" w:rsidRDefault="0045199E" w:rsidP="000305DD">
            <w:pPr>
              <w:pStyle w:val="TableText"/>
              <w:rPr>
                <w:rFonts w:cs="Arial"/>
              </w:rPr>
            </w:pPr>
            <w:r w:rsidRPr="00F24972">
              <w:rPr>
                <w:rFonts w:cs="Arial"/>
              </w:rPr>
              <w:t>Accrue workload when an ABO/Rh test performed from the ordered test ABO/Rh only (</w:t>
            </w:r>
            <w:r>
              <w:rPr>
                <w:rFonts w:cs="Arial"/>
              </w:rPr>
              <w:t>Record Patient ABO-Rh</w:t>
            </w:r>
            <w:r w:rsidRPr="00F24972">
              <w:rPr>
                <w:rFonts w:cs="Arial"/>
              </w:rPr>
              <w:t xml:space="preserve"> is completed and saved</w:t>
            </w:r>
            <w:r>
              <w:rPr>
                <w:rFonts w:cs="Arial"/>
              </w:rPr>
              <w:t xml:space="preserve"> </w:t>
            </w:r>
            <w:r w:rsidRPr="00F24972">
              <w:rPr>
                <w:rFonts w:cs="Arial"/>
              </w:rPr>
              <w:t xml:space="preserve">by </w:t>
            </w:r>
            <w:r>
              <w:rPr>
                <w:rFonts w:cs="Arial"/>
              </w:rPr>
              <w:t>Record Testing).</w:t>
            </w:r>
          </w:p>
        </w:tc>
      </w:tr>
      <w:tr w:rsidR="000305DD" w:rsidRPr="00F24972" w14:paraId="194F0A12" w14:textId="77777777">
        <w:trPr>
          <w:cantSplit/>
        </w:trPr>
        <w:tc>
          <w:tcPr>
            <w:tcW w:w="1733" w:type="dxa"/>
            <w:vMerge/>
            <w:tcBorders>
              <w:bottom w:val="single" w:sz="4" w:space="0" w:color="auto"/>
            </w:tcBorders>
          </w:tcPr>
          <w:p w14:paraId="7327BA2A" w14:textId="77777777"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tcBorders>
          </w:tcPr>
          <w:p w14:paraId="561DE3AE" w14:textId="77777777" w:rsidR="000305DD" w:rsidRPr="00F24972" w:rsidRDefault="000305DD" w:rsidP="000305DD">
            <w:pPr>
              <w:pStyle w:val="TableText"/>
              <w:rPr>
                <w:rFonts w:cs="Arial"/>
              </w:rPr>
            </w:pPr>
            <w:r>
              <w:rPr>
                <w:rFonts w:cs="Arial"/>
              </w:rPr>
              <w:t>Invalidate Patient Testing: Patient ABO/Rh</w:t>
            </w:r>
          </w:p>
        </w:tc>
        <w:tc>
          <w:tcPr>
            <w:tcW w:w="1080" w:type="dxa"/>
            <w:tcBorders>
              <w:top w:val="single" w:sz="4" w:space="0" w:color="auto"/>
              <w:bottom w:val="single" w:sz="4" w:space="0" w:color="auto"/>
              <w:right w:val="single" w:sz="4" w:space="0" w:color="auto"/>
            </w:tcBorders>
          </w:tcPr>
          <w:p w14:paraId="53B45EF4"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49ABA130" w14:textId="77777777" w:rsidR="000305DD" w:rsidRPr="00F24972" w:rsidRDefault="000305DD" w:rsidP="000305DD">
            <w:pPr>
              <w:pStyle w:val="TableText"/>
              <w:jc w:val="center"/>
              <w:rPr>
                <w:rFonts w:cs="Arial"/>
              </w:rPr>
            </w:pPr>
            <w:r w:rsidRPr="00F24972">
              <w:rPr>
                <w:rFonts w:cs="Arial"/>
              </w:rPr>
              <w:t>P</w:t>
            </w:r>
          </w:p>
        </w:tc>
        <w:tc>
          <w:tcPr>
            <w:tcW w:w="4123" w:type="dxa"/>
            <w:tcBorders>
              <w:top w:val="single" w:sz="4" w:space="0" w:color="auto"/>
              <w:left w:val="single" w:sz="4" w:space="0" w:color="auto"/>
              <w:bottom w:val="single" w:sz="4" w:space="0" w:color="auto"/>
              <w:right w:val="single" w:sz="4" w:space="0" w:color="auto"/>
            </w:tcBorders>
          </w:tcPr>
          <w:p w14:paraId="58539384" w14:textId="77777777" w:rsidR="000305DD" w:rsidRPr="00F24972" w:rsidRDefault="000305DD" w:rsidP="000305DD">
            <w:pPr>
              <w:pStyle w:val="TableText"/>
              <w:rPr>
                <w:rFonts w:cs="Arial"/>
              </w:rPr>
            </w:pPr>
            <w:r w:rsidRPr="00F24972">
              <w:rPr>
                <w:rFonts w:cs="Arial"/>
              </w:rPr>
              <w:t>Accrue workload when a completed ABO/Rh test is invalidated.</w:t>
            </w:r>
          </w:p>
        </w:tc>
      </w:tr>
      <w:tr w:rsidR="000305DD" w:rsidRPr="00F24972" w14:paraId="047FBBE2" w14:textId="77777777">
        <w:trPr>
          <w:cantSplit/>
        </w:trPr>
        <w:tc>
          <w:tcPr>
            <w:tcW w:w="1733" w:type="dxa"/>
            <w:vMerge w:val="restart"/>
            <w:tcBorders>
              <w:top w:val="single" w:sz="4" w:space="0" w:color="auto"/>
              <w:left w:val="single" w:sz="4" w:space="0" w:color="auto"/>
              <w:right w:val="single" w:sz="4" w:space="0" w:color="auto"/>
            </w:tcBorders>
          </w:tcPr>
          <w:p w14:paraId="08420339" w14:textId="77777777" w:rsidR="000305DD" w:rsidRPr="00F24972" w:rsidRDefault="000305DD" w:rsidP="000305DD">
            <w:pPr>
              <w:pStyle w:val="TableText"/>
              <w:rPr>
                <w:rFonts w:cs="Arial"/>
              </w:rPr>
            </w:pPr>
            <w:r w:rsidRPr="00F24972">
              <w:rPr>
                <w:rFonts w:cs="Arial"/>
              </w:rPr>
              <w:t>ABO Forward and reverse typing (patient) Repeat Test</w:t>
            </w:r>
          </w:p>
          <w:p w14:paraId="67825B66" w14:textId="77777777"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tcPr>
          <w:p w14:paraId="0EF95304" w14:textId="77777777" w:rsidR="000305DD" w:rsidRPr="00F24972" w:rsidRDefault="000305DD" w:rsidP="000305DD">
            <w:pPr>
              <w:pStyle w:val="TableText"/>
              <w:rPr>
                <w:rFonts w:cs="Arial"/>
              </w:rPr>
            </w:pPr>
            <w:r>
              <w:rPr>
                <w:rFonts w:cs="Arial"/>
              </w:rPr>
              <w:t>Patient Testing: ABO/Rh</w:t>
            </w:r>
          </w:p>
          <w:p w14:paraId="0DF276B4"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29C09E59"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5D8796B2" w14:textId="77777777" w:rsidR="000305DD" w:rsidRPr="00F24972" w:rsidRDefault="000305DD" w:rsidP="000305DD">
            <w:pPr>
              <w:pStyle w:val="TableText"/>
              <w:jc w:val="center"/>
              <w:rPr>
                <w:rFonts w:cs="Arial"/>
              </w:rPr>
            </w:pPr>
            <w:r w:rsidRPr="00F24972">
              <w:rPr>
                <w:rFonts w:cs="Arial"/>
              </w:rPr>
              <w:t>M</w:t>
            </w:r>
          </w:p>
        </w:tc>
        <w:tc>
          <w:tcPr>
            <w:tcW w:w="4123" w:type="dxa"/>
            <w:tcBorders>
              <w:top w:val="single" w:sz="4" w:space="0" w:color="auto"/>
              <w:left w:val="single" w:sz="4" w:space="0" w:color="auto"/>
              <w:bottom w:val="single" w:sz="4" w:space="0" w:color="auto"/>
              <w:right w:val="single" w:sz="4" w:space="0" w:color="auto"/>
            </w:tcBorders>
          </w:tcPr>
          <w:p w14:paraId="35AD06C0" w14:textId="77777777" w:rsidR="000305DD" w:rsidRPr="00F24972" w:rsidRDefault="000305DD" w:rsidP="000305DD">
            <w:pPr>
              <w:pStyle w:val="TableText"/>
              <w:rPr>
                <w:rFonts w:cs="Arial"/>
              </w:rPr>
            </w:pPr>
            <w:r w:rsidRPr="00F24972">
              <w:rPr>
                <w:rFonts w:cs="Arial"/>
              </w:rPr>
              <w:t xml:space="preserve">Accrue workload when a reflex or repeat ABO/Rh test is performed, completed and saved via </w:t>
            </w:r>
            <w:r>
              <w:rPr>
                <w:rFonts w:cs="Arial"/>
              </w:rPr>
              <w:t>Record Testing</w:t>
            </w:r>
            <w:r w:rsidRPr="00F24972">
              <w:rPr>
                <w:rFonts w:cs="Arial"/>
              </w:rPr>
              <w:t>.</w:t>
            </w:r>
          </w:p>
          <w:p w14:paraId="49E8D6A8" w14:textId="77777777" w:rsidR="000305DD" w:rsidRPr="00F24972" w:rsidRDefault="000305DD" w:rsidP="000305DD">
            <w:pPr>
              <w:pStyle w:val="TableText"/>
              <w:rPr>
                <w:rFonts w:cs="Arial"/>
              </w:rPr>
            </w:pPr>
            <w:r w:rsidRPr="00F24972">
              <w:rPr>
                <w:rFonts w:cs="Arial"/>
              </w:rPr>
              <w:t xml:space="preserve">Note: ABO/Rh ordered in </w:t>
            </w:r>
            <w:r>
              <w:rPr>
                <w:rFonts w:cs="Arial"/>
              </w:rPr>
              <w:t>Order Reflex Test</w:t>
            </w:r>
            <w:r w:rsidRPr="00F24972">
              <w:rPr>
                <w:rFonts w:cs="Arial"/>
              </w:rPr>
              <w:t xml:space="preserve"> from main menu or via use of </w:t>
            </w:r>
            <w:r>
              <w:rPr>
                <w:rFonts w:cs="Arial"/>
              </w:rPr>
              <w:t xml:space="preserve">Order Reflex Test </w:t>
            </w:r>
            <w:r w:rsidRPr="00F24972">
              <w:rPr>
                <w:rFonts w:cs="Arial"/>
              </w:rPr>
              <w:t xml:space="preserve">from </w:t>
            </w:r>
            <w:r>
              <w:rPr>
                <w:rFonts w:cs="Arial"/>
              </w:rPr>
              <w:t>Record Testing</w:t>
            </w:r>
          </w:p>
        </w:tc>
      </w:tr>
      <w:tr w:rsidR="000305DD" w:rsidRPr="00F24972" w14:paraId="36635F7D" w14:textId="77777777">
        <w:trPr>
          <w:cantSplit/>
        </w:trPr>
        <w:tc>
          <w:tcPr>
            <w:tcW w:w="1733" w:type="dxa"/>
            <w:vMerge/>
            <w:tcBorders>
              <w:left w:val="single" w:sz="4" w:space="0" w:color="auto"/>
              <w:bottom w:val="single" w:sz="4" w:space="0" w:color="auto"/>
              <w:right w:val="single" w:sz="4" w:space="0" w:color="auto"/>
            </w:tcBorders>
          </w:tcPr>
          <w:p w14:paraId="33578034" w14:textId="77777777"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tcPr>
          <w:p w14:paraId="3EDE2016" w14:textId="77777777" w:rsidR="000305DD" w:rsidRPr="00F24972" w:rsidRDefault="000305DD" w:rsidP="000305DD">
            <w:pPr>
              <w:pStyle w:val="TableText"/>
              <w:rPr>
                <w:rFonts w:cs="Arial"/>
              </w:rPr>
            </w:pPr>
            <w:r>
              <w:rPr>
                <w:rFonts w:cs="Arial"/>
              </w:rPr>
              <w:t>Invalidate Patient Testing: Patient ABO/Rh</w:t>
            </w:r>
          </w:p>
        </w:tc>
        <w:tc>
          <w:tcPr>
            <w:tcW w:w="1080" w:type="dxa"/>
            <w:tcBorders>
              <w:top w:val="single" w:sz="4" w:space="0" w:color="auto"/>
              <w:left w:val="single" w:sz="4" w:space="0" w:color="auto"/>
              <w:bottom w:val="single" w:sz="4" w:space="0" w:color="auto"/>
              <w:right w:val="single" w:sz="4" w:space="0" w:color="auto"/>
            </w:tcBorders>
          </w:tcPr>
          <w:p w14:paraId="6A81B39F" w14:textId="77777777" w:rsidR="000305DD" w:rsidRPr="00F24972" w:rsidRDefault="000305DD" w:rsidP="000305DD">
            <w:pPr>
              <w:rPr>
                <w:rFonts w:ascii="Arial" w:hAnsi="Arial" w:cs="Arial"/>
                <w:b/>
                <w:sz w:val="18"/>
                <w:szCs w:val="18"/>
              </w:rPr>
            </w:pPr>
            <w:r w:rsidRPr="00F24972">
              <w:rPr>
                <w:rFonts w:ascii="Arial" w:hAnsi="Arial" w:cs="Arial"/>
                <w:b/>
                <w:sz w:val="18"/>
                <w:szCs w:val="18"/>
              </w:rPr>
              <w:t>Negative</w:t>
            </w:r>
          </w:p>
        </w:tc>
        <w:tc>
          <w:tcPr>
            <w:tcW w:w="900" w:type="dxa"/>
            <w:tcBorders>
              <w:top w:val="single" w:sz="4" w:space="0" w:color="auto"/>
              <w:left w:val="single" w:sz="4" w:space="0" w:color="auto"/>
              <w:bottom w:val="single" w:sz="4" w:space="0" w:color="auto"/>
              <w:right w:val="single" w:sz="4" w:space="0" w:color="auto"/>
            </w:tcBorders>
          </w:tcPr>
          <w:p w14:paraId="0CD4CD7B" w14:textId="77777777" w:rsidR="000305DD" w:rsidRPr="00F24972" w:rsidRDefault="000305DD" w:rsidP="000305DD">
            <w:pPr>
              <w:pStyle w:val="TableText"/>
              <w:jc w:val="center"/>
              <w:rPr>
                <w:rFonts w:cs="Arial"/>
              </w:rPr>
            </w:pPr>
            <w:r w:rsidRPr="00F24972">
              <w:rPr>
                <w:rFonts w:cs="Arial"/>
              </w:rPr>
              <w:t>M</w:t>
            </w:r>
          </w:p>
        </w:tc>
        <w:tc>
          <w:tcPr>
            <w:tcW w:w="4123" w:type="dxa"/>
            <w:tcBorders>
              <w:top w:val="single" w:sz="4" w:space="0" w:color="auto"/>
              <w:left w:val="single" w:sz="4" w:space="0" w:color="auto"/>
              <w:bottom w:val="single" w:sz="4" w:space="0" w:color="auto"/>
              <w:right w:val="single" w:sz="4" w:space="0" w:color="auto"/>
            </w:tcBorders>
          </w:tcPr>
          <w:p w14:paraId="5ADB9EAE" w14:textId="77777777" w:rsidR="000305DD" w:rsidRPr="00F24972" w:rsidRDefault="000305DD" w:rsidP="000305DD">
            <w:pPr>
              <w:pStyle w:val="TableText"/>
              <w:rPr>
                <w:rFonts w:cs="Arial"/>
              </w:rPr>
            </w:pPr>
            <w:r w:rsidRPr="00F24972">
              <w:rPr>
                <w:rFonts w:cs="Arial"/>
              </w:rPr>
              <w:t>Accrue workload when a reflex or repeat ABO/Rh test is invalidated.</w:t>
            </w:r>
          </w:p>
        </w:tc>
      </w:tr>
      <w:tr w:rsidR="000305DD" w:rsidRPr="00F24972" w14:paraId="36C33F54" w14:textId="77777777">
        <w:trPr>
          <w:cantSplit/>
        </w:trPr>
        <w:tc>
          <w:tcPr>
            <w:tcW w:w="1733" w:type="dxa"/>
            <w:vMerge w:val="restart"/>
            <w:tcBorders>
              <w:top w:val="single" w:sz="4" w:space="0" w:color="auto"/>
              <w:left w:val="single" w:sz="4" w:space="0" w:color="auto"/>
              <w:right w:val="single" w:sz="4" w:space="0" w:color="auto"/>
            </w:tcBorders>
          </w:tcPr>
          <w:p w14:paraId="1D5315EE" w14:textId="77777777" w:rsidR="000305DD" w:rsidRPr="00F24972" w:rsidRDefault="000305DD" w:rsidP="000305DD">
            <w:pPr>
              <w:pStyle w:val="TableText"/>
              <w:rPr>
                <w:rFonts w:cs="Arial"/>
              </w:rPr>
            </w:pPr>
            <w:r w:rsidRPr="00F24972">
              <w:rPr>
                <w:rFonts w:cs="Arial"/>
              </w:rPr>
              <w:t>ABO forward typing (unit)</w:t>
            </w:r>
          </w:p>
        </w:tc>
        <w:tc>
          <w:tcPr>
            <w:tcW w:w="1165" w:type="dxa"/>
            <w:tcBorders>
              <w:top w:val="single" w:sz="4" w:space="0" w:color="auto"/>
              <w:left w:val="single" w:sz="4" w:space="0" w:color="auto"/>
              <w:bottom w:val="single" w:sz="4" w:space="0" w:color="auto"/>
              <w:right w:val="single" w:sz="4" w:space="0" w:color="auto"/>
            </w:tcBorders>
          </w:tcPr>
          <w:p w14:paraId="177D04EF" w14:textId="77777777" w:rsidR="000305DD" w:rsidRPr="00F24972" w:rsidRDefault="000305DD" w:rsidP="000305DD">
            <w:pPr>
              <w:pStyle w:val="TableText"/>
              <w:rPr>
                <w:rFonts w:cs="Arial"/>
              </w:rPr>
            </w:pPr>
            <w:r>
              <w:rPr>
                <w:rFonts w:cs="Arial"/>
              </w:rPr>
              <w:t>Unit ABO/RH confirmation test</w:t>
            </w:r>
          </w:p>
          <w:p w14:paraId="32330484"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6A40FE90"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5A72C682" w14:textId="77777777"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tcPr>
          <w:p w14:paraId="00364E29" w14:textId="77777777" w:rsidR="000305DD" w:rsidRPr="00F24972" w:rsidRDefault="000305DD" w:rsidP="000305DD">
            <w:pPr>
              <w:pStyle w:val="TableText"/>
              <w:rPr>
                <w:rFonts w:cs="Arial"/>
              </w:rPr>
            </w:pPr>
            <w:r w:rsidRPr="00F24972">
              <w:rPr>
                <w:rFonts w:cs="Arial"/>
              </w:rPr>
              <w:t xml:space="preserve">An ABO confirmation test is performed. When multiple units are selected in a batch, each unit in the batch accrues a workload event. </w:t>
            </w:r>
          </w:p>
          <w:p w14:paraId="3E6121B5" w14:textId="77777777" w:rsidR="000305DD" w:rsidRPr="00F24972" w:rsidRDefault="000305DD" w:rsidP="000305DD">
            <w:pPr>
              <w:pStyle w:val="TableText"/>
              <w:rPr>
                <w:rFonts w:cs="Arial"/>
              </w:rPr>
            </w:pPr>
          </w:p>
          <w:p w14:paraId="2F56FA0B" w14:textId="77777777" w:rsidR="000305DD" w:rsidRPr="00F24972" w:rsidRDefault="000305DD" w:rsidP="000305DD">
            <w:pPr>
              <w:pStyle w:val="TableText"/>
              <w:rPr>
                <w:rFonts w:cs="Arial"/>
              </w:rPr>
            </w:pPr>
            <w:r w:rsidRPr="00D01C9F">
              <w:rPr>
                <w:rFonts w:cs="Arial"/>
              </w:rPr>
              <w:t xml:space="preserve">Note: Workload </w:t>
            </w:r>
            <w:r w:rsidRPr="00D01C9F">
              <w:rPr>
                <w:rFonts w:cs="Arial"/>
                <w:sz w:val="20"/>
                <w:szCs w:val="20"/>
              </w:rPr>
              <w:t>generated when Anti-D testing is not included in the unit’s confirmation test.</w:t>
            </w:r>
            <w:r>
              <w:rPr>
                <w:rFonts w:cs="Arial"/>
                <w:color w:val="0000FF"/>
                <w:sz w:val="20"/>
                <w:szCs w:val="20"/>
              </w:rPr>
              <w:t xml:space="preserve"> </w:t>
            </w:r>
            <w:r w:rsidRPr="00F24972">
              <w:rPr>
                <w:rFonts w:cs="Arial"/>
              </w:rPr>
              <w:t>Workload is</w:t>
            </w:r>
            <w:r w:rsidRPr="00F24972">
              <w:rPr>
                <w:rFonts w:cs="Arial"/>
                <w:b/>
              </w:rPr>
              <w:t xml:space="preserve"> not</w:t>
            </w:r>
            <w:r w:rsidRPr="00F24972">
              <w:rPr>
                <w:rFonts w:cs="Arial"/>
              </w:rPr>
              <w:t xml:space="preserve"> accrued when an ABO or Rh discrepancy override is processed and VBECS releases all patient assignments. Workload is </w:t>
            </w:r>
            <w:r w:rsidRPr="00F24972">
              <w:rPr>
                <w:rFonts w:cs="Arial"/>
                <w:b/>
              </w:rPr>
              <w:t xml:space="preserve">not </w:t>
            </w:r>
            <w:r w:rsidRPr="00F24972">
              <w:rPr>
                <w:rFonts w:cs="Arial"/>
              </w:rPr>
              <w:t>accrued when VBECS quarantines the unit due to a discrepancy. No special handling for workload collection for additional confirmation tests on a unit.</w:t>
            </w:r>
          </w:p>
        </w:tc>
      </w:tr>
      <w:tr w:rsidR="000305DD" w:rsidRPr="00F24972" w14:paraId="09252067" w14:textId="77777777">
        <w:trPr>
          <w:cantSplit/>
        </w:trPr>
        <w:tc>
          <w:tcPr>
            <w:tcW w:w="1733" w:type="dxa"/>
            <w:vMerge/>
            <w:tcBorders>
              <w:left w:val="single" w:sz="4" w:space="0" w:color="auto"/>
              <w:right w:val="single" w:sz="4" w:space="0" w:color="auto"/>
            </w:tcBorders>
          </w:tcPr>
          <w:p w14:paraId="7B61505B" w14:textId="77777777" w:rsidR="000305DD" w:rsidRPr="00F24972" w:rsidRDefault="000305DD" w:rsidP="000305DD">
            <w:pPr>
              <w:pStyle w:val="TableText"/>
              <w:rPr>
                <w:rFonts w:cs="Arial"/>
              </w:rPr>
            </w:pPr>
          </w:p>
        </w:tc>
        <w:tc>
          <w:tcPr>
            <w:tcW w:w="1165" w:type="dxa"/>
            <w:tcBorders>
              <w:left w:val="single" w:sz="4" w:space="0" w:color="auto"/>
            </w:tcBorders>
          </w:tcPr>
          <w:p w14:paraId="5F54A0E7" w14:textId="77777777" w:rsidR="000305DD" w:rsidRPr="00F24972" w:rsidRDefault="000305DD" w:rsidP="000305DD">
            <w:pPr>
              <w:pStyle w:val="TableText"/>
              <w:rPr>
                <w:rFonts w:cs="Arial"/>
              </w:rPr>
            </w:pPr>
            <w:r>
              <w:rPr>
                <w:rFonts w:cs="Arial"/>
              </w:rPr>
              <w:t>Invalidate Unit ABO/RH Confirmation test</w:t>
            </w:r>
          </w:p>
        </w:tc>
        <w:tc>
          <w:tcPr>
            <w:tcW w:w="1080" w:type="dxa"/>
          </w:tcPr>
          <w:p w14:paraId="4CADA2D9" w14:textId="77777777" w:rsidR="000305DD" w:rsidRPr="00F24972" w:rsidRDefault="000305DD" w:rsidP="000305DD">
            <w:pPr>
              <w:pStyle w:val="TableText"/>
              <w:rPr>
                <w:rFonts w:cs="Arial"/>
                <w:b/>
              </w:rPr>
            </w:pPr>
            <w:r w:rsidRPr="00F24972">
              <w:rPr>
                <w:rFonts w:cs="Arial"/>
                <w:b/>
              </w:rPr>
              <w:t>Negative</w:t>
            </w:r>
          </w:p>
        </w:tc>
        <w:tc>
          <w:tcPr>
            <w:tcW w:w="900" w:type="dxa"/>
          </w:tcPr>
          <w:p w14:paraId="3C4D2C02" w14:textId="77777777" w:rsidR="000305DD" w:rsidRPr="00F24972" w:rsidRDefault="000305DD" w:rsidP="000305DD">
            <w:pPr>
              <w:pStyle w:val="TableText"/>
              <w:jc w:val="center"/>
              <w:rPr>
                <w:rFonts w:cs="Arial"/>
              </w:rPr>
            </w:pPr>
            <w:r w:rsidRPr="00F24972">
              <w:rPr>
                <w:rFonts w:cs="Arial"/>
              </w:rPr>
              <w:t>U</w:t>
            </w:r>
          </w:p>
        </w:tc>
        <w:tc>
          <w:tcPr>
            <w:tcW w:w="4123" w:type="dxa"/>
          </w:tcPr>
          <w:p w14:paraId="779E2602" w14:textId="77777777" w:rsidR="000305DD" w:rsidRPr="00F24972" w:rsidRDefault="000305DD" w:rsidP="000305DD">
            <w:pPr>
              <w:pStyle w:val="TableText"/>
              <w:rPr>
                <w:rFonts w:cs="Arial"/>
              </w:rPr>
            </w:pPr>
            <w:r w:rsidRPr="00F24972">
              <w:rPr>
                <w:rFonts w:cs="Arial"/>
              </w:rPr>
              <w:t>Accrue workload when an ABO confirmation test is invalidated</w:t>
            </w:r>
          </w:p>
        </w:tc>
      </w:tr>
      <w:tr w:rsidR="000305DD" w:rsidRPr="00F24972" w14:paraId="35CD79C6" w14:textId="77777777">
        <w:trPr>
          <w:cantSplit/>
        </w:trPr>
        <w:tc>
          <w:tcPr>
            <w:tcW w:w="1733" w:type="dxa"/>
            <w:vMerge w:val="restart"/>
            <w:tcBorders>
              <w:top w:val="single" w:sz="4" w:space="0" w:color="auto"/>
              <w:left w:val="single" w:sz="4" w:space="0" w:color="auto"/>
              <w:right w:val="single" w:sz="4" w:space="0" w:color="auto"/>
            </w:tcBorders>
          </w:tcPr>
          <w:p w14:paraId="7058C4B0" w14:textId="77777777" w:rsidR="000305DD" w:rsidRPr="00F24972" w:rsidRDefault="000305DD" w:rsidP="000305DD">
            <w:pPr>
              <w:pStyle w:val="TableText"/>
              <w:rPr>
                <w:rFonts w:cs="Arial"/>
              </w:rPr>
            </w:pPr>
            <w:r w:rsidRPr="00F24972">
              <w:rPr>
                <w:rFonts w:cs="Arial"/>
              </w:rPr>
              <w:lastRenderedPageBreak/>
              <w:t>ABO/Rh forward typing (unit)</w:t>
            </w:r>
          </w:p>
        </w:tc>
        <w:tc>
          <w:tcPr>
            <w:tcW w:w="1165" w:type="dxa"/>
            <w:tcBorders>
              <w:top w:val="single" w:sz="4" w:space="0" w:color="auto"/>
              <w:left w:val="single" w:sz="4" w:space="0" w:color="auto"/>
              <w:bottom w:val="single" w:sz="4" w:space="0" w:color="auto"/>
              <w:right w:val="single" w:sz="4" w:space="0" w:color="auto"/>
            </w:tcBorders>
          </w:tcPr>
          <w:p w14:paraId="187E99C3" w14:textId="77777777" w:rsidR="000305DD" w:rsidRPr="00F24972" w:rsidRDefault="000305DD" w:rsidP="000305DD">
            <w:pPr>
              <w:pStyle w:val="TableText"/>
              <w:rPr>
                <w:rFonts w:cs="Arial"/>
              </w:rPr>
            </w:pPr>
            <w:r>
              <w:rPr>
                <w:rFonts w:cs="Arial"/>
              </w:rPr>
              <w:t>Unit ABO/RH confirmation test</w:t>
            </w:r>
          </w:p>
          <w:p w14:paraId="4BDD9133"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0E1836AF"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51F6934B" w14:textId="77777777"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tcPr>
          <w:p w14:paraId="7B7D752A" w14:textId="77777777" w:rsidR="000305DD" w:rsidRPr="00F24972" w:rsidRDefault="000305DD" w:rsidP="000305DD">
            <w:pPr>
              <w:pStyle w:val="TableText"/>
              <w:rPr>
                <w:rFonts w:cs="Arial"/>
              </w:rPr>
            </w:pPr>
            <w:r w:rsidRPr="00F24972">
              <w:rPr>
                <w:rFonts w:cs="Arial"/>
              </w:rPr>
              <w:t>An ABO/Rh confirmation test is performed. When multiple units are selected in a batch, each unit in the batch accrues a workload event.</w:t>
            </w:r>
          </w:p>
          <w:p w14:paraId="1704D30E" w14:textId="77777777" w:rsidR="000305DD" w:rsidRPr="00F24972" w:rsidRDefault="000305DD" w:rsidP="000305DD">
            <w:pPr>
              <w:pStyle w:val="TableText"/>
              <w:rPr>
                <w:rFonts w:cs="Arial"/>
              </w:rPr>
            </w:pPr>
          </w:p>
          <w:p w14:paraId="2F21913C" w14:textId="77777777" w:rsidR="000305DD" w:rsidRPr="00F24972" w:rsidRDefault="000305DD" w:rsidP="000305DD">
            <w:pPr>
              <w:pStyle w:val="TableText"/>
              <w:rPr>
                <w:rFonts w:cs="Arial"/>
              </w:rPr>
            </w:pPr>
            <w:r w:rsidRPr="00D01C9F">
              <w:rPr>
                <w:rFonts w:cs="Arial"/>
              </w:rPr>
              <w:t xml:space="preserve">Note: Workload </w:t>
            </w:r>
            <w:r w:rsidRPr="00D01C9F">
              <w:rPr>
                <w:rFonts w:cs="Arial"/>
                <w:sz w:val="20"/>
                <w:szCs w:val="20"/>
              </w:rPr>
              <w:t xml:space="preserve">generated </w:t>
            </w:r>
            <w:r w:rsidRPr="00D01C9F">
              <w:rPr>
                <w:rFonts w:cs="Arial"/>
              </w:rPr>
              <w:t>when</w:t>
            </w:r>
            <w:r w:rsidRPr="00D01C9F">
              <w:rPr>
                <w:rFonts w:cs="Arial"/>
                <w:sz w:val="20"/>
                <w:szCs w:val="20"/>
              </w:rPr>
              <w:t xml:space="preserve"> Ant-D is part of the unit’s confirmation test. </w:t>
            </w:r>
            <w:r w:rsidRPr="00D01C9F">
              <w:rPr>
                <w:rFonts w:cs="Arial"/>
              </w:rPr>
              <w:t>Workload is</w:t>
            </w:r>
            <w:r w:rsidRPr="00D01C9F">
              <w:rPr>
                <w:rFonts w:cs="Arial"/>
                <w:b/>
              </w:rPr>
              <w:t xml:space="preserve"> not</w:t>
            </w:r>
            <w:r w:rsidRPr="00D01C9F">
              <w:rPr>
                <w:rFonts w:cs="Arial"/>
              </w:rPr>
              <w:t xml:space="preserve"> accrued when an ABO or Rh discrepancy override is processed and VBECS releases all patient assignments. Workload</w:t>
            </w:r>
            <w:r w:rsidRPr="00F24972">
              <w:rPr>
                <w:rFonts w:cs="Arial"/>
              </w:rPr>
              <w:t xml:space="preserve"> is </w:t>
            </w:r>
            <w:r w:rsidRPr="00F24972">
              <w:rPr>
                <w:rFonts w:cs="Arial"/>
                <w:b/>
              </w:rPr>
              <w:t xml:space="preserve">not </w:t>
            </w:r>
            <w:r w:rsidRPr="00F24972">
              <w:rPr>
                <w:rFonts w:cs="Arial"/>
              </w:rPr>
              <w:t>accrued when VBECS quarantines the unit due to a discrepancy. Any unit successfully confirmed accrues workload. For modification Split: Workload is not inherited by split units. A split unit that requires confirmation accrues confirmation workload at the time of testing. No special handling for workload collection for additional confirmation tests on a unit.</w:t>
            </w:r>
          </w:p>
        </w:tc>
      </w:tr>
      <w:tr w:rsidR="000305DD" w:rsidRPr="00F24972" w14:paraId="6CDDFFA8" w14:textId="77777777">
        <w:trPr>
          <w:cantSplit/>
        </w:trPr>
        <w:tc>
          <w:tcPr>
            <w:tcW w:w="1733" w:type="dxa"/>
            <w:vMerge/>
            <w:tcBorders>
              <w:left w:val="single" w:sz="4" w:space="0" w:color="auto"/>
              <w:right w:val="single" w:sz="4" w:space="0" w:color="auto"/>
            </w:tcBorders>
          </w:tcPr>
          <w:p w14:paraId="26C565A4" w14:textId="77777777" w:rsidR="000305DD" w:rsidRPr="00F24972" w:rsidRDefault="000305DD" w:rsidP="000305DD">
            <w:pPr>
              <w:pStyle w:val="TableText"/>
              <w:rPr>
                <w:rFonts w:cs="Arial"/>
              </w:rPr>
            </w:pPr>
          </w:p>
        </w:tc>
        <w:tc>
          <w:tcPr>
            <w:tcW w:w="1165" w:type="dxa"/>
            <w:tcBorders>
              <w:left w:val="single" w:sz="4" w:space="0" w:color="auto"/>
            </w:tcBorders>
          </w:tcPr>
          <w:p w14:paraId="7DD90DB4" w14:textId="77777777" w:rsidR="000305DD" w:rsidRPr="00F24972" w:rsidRDefault="000305DD" w:rsidP="000305DD">
            <w:pPr>
              <w:pStyle w:val="TableText"/>
              <w:rPr>
                <w:rFonts w:cs="Arial"/>
              </w:rPr>
            </w:pPr>
            <w:r>
              <w:rPr>
                <w:rFonts w:cs="Arial"/>
              </w:rPr>
              <w:t>Invalidate Unit ABO/RH Confirmation test</w:t>
            </w:r>
          </w:p>
        </w:tc>
        <w:tc>
          <w:tcPr>
            <w:tcW w:w="1080" w:type="dxa"/>
          </w:tcPr>
          <w:p w14:paraId="0AEFBD63" w14:textId="77777777" w:rsidR="000305DD" w:rsidRPr="00F24972" w:rsidRDefault="000305DD" w:rsidP="000305DD">
            <w:pPr>
              <w:pStyle w:val="TableText"/>
              <w:rPr>
                <w:rFonts w:cs="Arial"/>
                <w:b/>
              </w:rPr>
            </w:pPr>
            <w:r w:rsidRPr="00F24972">
              <w:rPr>
                <w:rFonts w:cs="Arial"/>
                <w:b/>
              </w:rPr>
              <w:t>Negative</w:t>
            </w:r>
          </w:p>
        </w:tc>
        <w:tc>
          <w:tcPr>
            <w:tcW w:w="900" w:type="dxa"/>
          </w:tcPr>
          <w:p w14:paraId="2A413058" w14:textId="77777777" w:rsidR="000305DD" w:rsidRPr="00F24972" w:rsidRDefault="000305DD" w:rsidP="000305DD">
            <w:pPr>
              <w:pStyle w:val="TableText"/>
              <w:jc w:val="center"/>
              <w:rPr>
                <w:rFonts w:cs="Arial"/>
              </w:rPr>
            </w:pPr>
            <w:r w:rsidRPr="00F24972">
              <w:rPr>
                <w:rFonts w:cs="Arial"/>
              </w:rPr>
              <w:t>U</w:t>
            </w:r>
          </w:p>
        </w:tc>
        <w:tc>
          <w:tcPr>
            <w:tcW w:w="4123" w:type="dxa"/>
          </w:tcPr>
          <w:p w14:paraId="21E86E59" w14:textId="77777777" w:rsidR="000305DD" w:rsidRPr="00F24972" w:rsidRDefault="000305DD" w:rsidP="000305DD">
            <w:pPr>
              <w:pStyle w:val="TableText"/>
              <w:rPr>
                <w:rFonts w:cs="Arial"/>
              </w:rPr>
            </w:pPr>
            <w:r w:rsidRPr="00F24972">
              <w:rPr>
                <w:rFonts w:cs="Arial"/>
              </w:rPr>
              <w:t>Accrue workload when an ABO/Rh confirmation test is invalidated</w:t>
            </w:r>
          </w:p>
        </w:tc>
      </w:tr>
      <w:tr w:rsidR="000305DD" w:rsidRPr="00F24972" w14:paraId="11BD9306" w14:textId="77777777">
        <w:trPr>
          <w:cantSplit/>
        </w:trPr>
        <w:tc>
          <w:tcPr>
            <w:tcW w:w="1733" w:type="dxa"/>
            <w:tcBorders>
              <w:bottom w:val="single" w:sz="4" w:space="0" w:color="auto"/>
            </w:tcBorders>
          </w:tcPr>
          <w:p w14:paraId="1BA5BA22" w14:textId="77777777" w:rsidR="000305DD" w:rsidRPr="00F24972" w:rsidRDefault="000305DD" w:rsidP="000305DD">
            <w:pPr>
              <w:pStyle w:val="TableText"/>
              <w:rPr>
                <w:rFonts w:cs="Arial"/>
              </w:rPr>
            </w:pPr>
            <w:r w:rsidRPr="00F24972">
              <w:rPr>
                <w:rFonts w:cs="Arial"/>
              </w:rPr>
              <w:t>Accept Order</w:t>
            </w:r>
          </w:p>
        </w:tc>
        <w:tc>
          <w:tcPr>
            <w:tcW w:w="1165" w:type="dxa"/>
            <w:tcBorders>
              <w:bottom w:val="single" w:sz="4" w:space="0" w:color="auto"/>
            </w:tcBorders>
          </w:tcPr>
          <w:p w14:paraId="3FE2659F" w14:textId="77777777" w:rsidR="000305DD" w:rsidRPr="00F24972" w:rsidRDefault="000305DD" w:rsidP="000305DD">
            <w:pPr>
              <w:pStyle w:val="TableText"/>
              <w:rPr>
                <w:rFonts w:cs="Arial"/>
              </w:rPr>
            </w:pPr>
            <w:r>
              <w:rPr>
                <w:rFonts w:cs="Arial"/>
              </w:rPr>
              <w:t>Accept Order</w:t>
            </w:r>
          </w:p>
        </w:tc>
        <w:tc>
          <w:tcPr>
            <w:tcW w:w="1080" w:type="dxa"/>
            <w:tcBorders>
              <w:bottom w:val="single" w:sz="4" w:space="0" w:color="auto"/>
            </w:tcBorders>
          </w:tcPr>
          <w:p w14:paraId="6B61523C" w14:textId="77777777" w:rsidR="000305DD" w:rsidRPr="00F24972" w:rsidRDefault="000305DD" w:rsidP="000305DD">
            <w:pPr>
              <w:pStyle w:val="TableText"/>
              <w:rPr>
                <w:rFonts w:cs="Arial"/>
              </w:rPr>
            </w:pPr>
            <w:r w:rsidRPr="00F24972">
              <w:rPr>
                <w:rFonts w:cs="Arial"/>
              </w:rPr>
              <w:t>Positive</w:t>
            </w:r>
          </w:p>
        </w:tc>
        <w:tc>
          <w:tcPr>
            <w:tcW w:w="900" w:type="dxa"/>
            <w:tcBorders>
              <w:bottom w:val="single" w:sz="4" w:space="0" w:color="auto"/>
            </w:tcBorders>
          </w:tcPr>
          <w:p w14:paraId="0F9CC0F6" w14:textId="77777777" w:rsidR="000305DD" w:rsidRPr="00F24972" w:rsidRDefault="000305DD" w:rsidP="000305DD">
            <w:pPr>
              <w:pStyle w:val="TableText"/>
              <w:jc w:val="center"/>
              <w:rPr>
                <w:rFonts w:cs="Arial"/>
              </w:rPr>
            </w:pPr>
            <w:r w:rsidRPr="00F24972">
              <w:rPr>
                <w:rFonts w:cs="Arial"/>
              </w:rPr>
              <w:t>M</w:t>
            </w:r>
          </w:p>
        </w:tc>
        <w:tc>
          <w:tcPr>
            <w:tcW w:w="4123" w:type="dxa"/>
            <w:tcBorders>
              <w:bottom w:val="single" w:sz="4" w:space="0" w:color="auto"/>
            </w:tcBorders>
          </w:tcPr>
          <w:p w14:paraId="0BA345E8" w14:textId="77777777" w:rsidR="000305DD" w:rsidRPr="00F24972" w:rsidRDefault="000305DD" w:rsidP="000305DD">
            <w:pPr>
              <w:pStyle w:val="TableText"/>
              <w:rPr>
                <w:rFonts w:cs="Arial"/>
              </w:rPr>
            </w:pPr>
            <w:r w:rsidRPr="00F24972">
              <w:rPr>
                <w:rFonts w:cs="Arial"/>
              </w:rPr>
              <w:t>Accrue workload when an order is accepted. When a multiple orders are selected, each order accrues workload.</w:t>
            </w:r>
          </w:p>
        </w:tc>
      </w:tr>
      <w:tr w:rsidR="000305DD" w:rsidRPr="00F24972" w14:paraId="6957D859" w14:textId="77777777">
        <w:trPr>
          <w:cantSplit/>
        </w:trPr>
        <w:tc>
          <w:tcPr>
            <w:tcW w:w="1733" w:type="dxa"/>
            <w:vMerge w:val="restart"/>
            <w:tcBorders>
              <w:top w:val="single" w:sz="4" w:space="0" w:color="auto"/>
              <w:left w:val="single" w:sz="4" w:space="0" w:color="auto"/>
              <w:right w:val="single" w:sz="4" w:space="0" w:color="auto"/>
            </w:tcBorders>
          </w:tcPr>
          <w:p w14:paraId="30BE1A6F" w14:textId="77777777" w:rsidR="000305DD" w:rsidRPr="00F24972" w:rsidRDefault="000305DD" w:rsidP="000305DD">
            <w:pPr>
              <w:pStyle w:val="TableText"/>
              <w:rPr>
                <w:rFonts w:cs="Arial"/>
              </w:rPr>
            </w:pPr>
            <w:r w:rsidRPr="00F24972">
              <w:rPr>
                <w:rFonts w:cs="Arial"/>
              </w:rPr>
              <w:t>Antibody identification Work-Up</w:t>
            </w:r>
          </w:p>
        </w:tc>
        <w:tc>
          <w:tcPr>
            <w:tcW w:w="1165" w:type="dxa"/>
            <w:tcBorders>
              <w:top w:val="single" w:sz="4" w:space="0" w:color="auto"/>
              <w:left w:val="single" w:sz="4" w:space="0" w:color="auto"/>
              <w:bottom w:val="single" w:sz="4" w:space="0" w:color="auto"/>
              <w:right w:val="single" w:sz="4" w:space="0" w:color="auto"/>
            </w:tcBorders>
          </w:tcPr>
          <w:p w14:paraId="0808D238" w14:textId="77777777" w:rsidR="000305DD" w:rsidRPr="00F24972" w:rsidRDefault="000305DD" w:rsidP="000305DD">
            <w:pPr>
              <w:pStyle w:val="TableText"/>
              <w:rPr>
                <w:rFonts w:cs="Arial"/>
              </w:rPr>
            </w:pPr>
            <w:r>
              <w:rPr>
                <w:rFonts w:cs="Arial"/>
              </w:rPr>
              <w:t>ABID Test</w:t>
            </w:r>
          </w:p>
        </w:tc>
        <w:tc>
          <w:tcPr>
            <w:tcW w:w="1080" w:type="dxa"/>
            <w:tcBorders>
              <w:top w:val="single" w:sz="4" w:space="0" w:color="auto"/>
              <w:left w:val="single" w:sz="4" w:space="0" w:color="auto"/>
              <w:bottom w:val="single" w:sz="4" w:space="0" w:color="auto"/>
              <w:right w:val="single" w:sz="4" w:space="0" w:color="auto"/>
            </w:tcBorders>
          </w:tcPr>
          <w:p w14:paraId="5575632B"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136A44A3" w14:textId="77777777" w:rsidR="000305DD" w:rsidRPr="00F24972" w:rsidRDefault="000305DD" w:rsidP="000305DD">
            <w:pPr>
              <w:pStyle w:val="TableText"/>
              <w:jc w:val="center"/>
              <w:rPr>
                <w:rFonts w:cs="Arial"/>
              </w:rPr>
            </w:pPr>
            <w:r w:rsidRPr="00F24972">
              <w:rPr>
                <w:rFonts w:cs="Arial"/>
              </w:rPr>
              <w:t>P</w:t>
            </w:r>
          </w:p>
        </w:tc>
        <w:tc>
          <w:tcPr>
            <w:tcW w:w="4123" w:type="dxa"/>
            <w:tcBorders>
              <w:top w:val="single" w:sz="4" w:space="0" w:color="auto"/>
              <w:left w:val="single" w:sz="4" w:space="0" w:color="auto"/>
              <w:bottom w:val="single" w:sz="4" w:space="0" w:color="auto"/>
              <w:right w:val="single" w:sz="4" w:space="0" w:color="auto"/>
            </w:tcBorders>
          </w:tcPr>
          <w:p w14:paraId="6ED7D6C9" w14:textId="77777777" w:rsidR="000305DD" w:rsidRPr="00F24972" w:rsidRDefault="000305DD" w:rsidP="000305DD">
            <w:pPr>
              <w:pStyle w:val="TableText"/>
              <w:rPr>
                <w:rFonts w:cs="Arial"/>
              </w:rPr>
            </w:pPr>
            <w:r w:rsidRPr="00F24972">
              <w:rPr>
                <w:rFonts w:cs="Arial"/>
              </w:rPr>
              <w:t xml:space="preserve">User enters additional workload associated with the individual reflex ordered ABID. The selected VBECS multiplier will multiple against the VistA multiplier and display the (multiplication) product on the report in </w:t>
            </w:r>
            <w:r>
              <w:rPr>
                <w:rFonts w:cs="Arial"/>
              </w:rPr>
              <w:t>Division Workload Report</w:t>
            </w:r>
            <w:r w:rsidRPr="00F24972">
              <w:rPr>
                <w:rFonts w:cs="Arial"/>
              </w:rPr>
              <w:t>.</w:t>
            </w:r>
          </w:p>
        </w:tc>
      </w:tr>
      <w:tr w:rsidR="000305DD" w:rsidRPr="00F24972" w14:paraId="044AAEAA" w14:textId="77777777">
        <w:trPr>
          <w:cantSplit/>
        </w:trPr>
        <w:tc>
          <w:tcPr>
            <w:tcW w:w="1733" w:type="dxa"/>
            <w:vMerge/>
            <w:tcBorders>
              <w:left w:val="single" w:sz="4" w:space="0" w:color="auto"/>
              <w:bottom w:val="single" w:sz="4" w:space="0" w:color="auto"/>
              <w:right w:val="single" w:sz="4" w:space="0" w:color="auto"/>
            </w:tcBorders>
          </w:tcPr>
          <w:p w14:paraId="6A13CDEF" w14:textId="77777777"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tcPr>
          <w:p w14:paraId="14D0307B" w14:textId="77777777" w:rsidR="000305DD" w:rsidRPr="00F24972" w:rsidRDefault="000305DD" w:rsidP="000305DD">
            <w:pPr>
              <w:pStyle w:val="TableText"/>
              <w:rPr>
                <w:rFonts w:cs="Arial"/>
              </w:rPr>
            </w:pPr>
            <w:r>
              <w:rPr>
                <w:rFonts w:cs="Arial"/>
              </w:rPr>
              <w:t>Invalidate ABID Test</w:t>
            </w:r>
          </w:p>
        </w:tc>
        <w:tc>
          <w:tcPr>
            <w:tcW w:w="1080" w:type="dxa"/>
            <w:tcBorders>
              <w:top w:val="single" w:sz="4" w:space="0" w:color="auto"/>
              <w:left w:val="single" w:sz="4" w:space="0" w:color="auto"/>
              <w:bottom w:val="single" w:sz="4" w:space="0" w:color="auto"/>
              <w:right w:val="single" w:sz="4" w:space="0" w:color="auto"/>
            </w:tcBorders>
          </w:tcPr>
          <w:p w14:paraId="11E08C51"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6E73CAA7" w14:textId="77777777" w:rsidR="000305DD" w:rsidRPr="00F24972" w:rsidRDefault="000305DD" w:rsidP="000305DD">
            <w:pPr>
              <w:pStyle w:val="TableText"/>
              <w:jc w:val="center"/>
              <w:rPr>
                <w:rFonts w:cs="Arial"/>
              </w:rPr>
            </w:pPr>
            <w:r w:rsidRPr="00F24972">
              <w:rPr>
                <w:rFonts w:cs="Arial"/>
              </w:rPr>
              <w:t>P</w:t>
            </w:r>
          </w:p>
        </w:tc>
        <w:tc>
          <w:tcPr>
            <w:tcW w:w="4123" w:type="dxa"/>
            <w:tcBorders>
              <w:top w:val="single" w:sz="4" w:space="0" w:color="auto"/>
              <w:left w:val="single" w:sz="4" w:space="0" w:color="auto"/>
              <w:bottom w:val="single" w:sz="4" w:space="0" w:color="auto"/>
              <w:right w:val="single" w:sz="4" w:space="0" w:color="auto"/>
            </w:tcBorders>
          </w:tcPr>
          <w:p w14:paraId="6B325097" w14:textId="77777777" w:rsidR="000305DD" w:rsidRPr="00F24972" w:rsidRDefault="000305DD" w:rsidP="000305DD">
            <w:pPr>
              <w:pStyle w:val="TableText"/>
              <w:rPr>
                <w:rFonts w:cs="Arial"/>
              </w:rPr>
            </w:pPr>
            <w:r w:rsidRPr="00F24972">
              <w:rPr>
                <w:rFonts w:cs="Arial"/>
              </w:rPr>
              <w:t xml:space="preserve">Accrue workload when the ABID is invalidated. </w:t>
            </w:r>
            <w:r w:rsidRPr="00F24972">
              <w:t xml:space="preserve">All workload processes associated in </w:t>
            </w:r>
            <w:r>
              <w:t>Enter Reflex Test Results</w:t>
            </w:r>
            <w:r w:rsidRPr="00F24972">
              <w:t>, including the selected VBECS multiplier, are invalidated</w:t>
            </w:r>
          </w:p>
        </w:tc>
      </w:tr>
      <w:tr w:rsidR="000305DD" w:rsidRPr="00F24972" w14:paraId="0BDD0A84" w14:textId="77777777">
        <w:trPr>
          <w:cantSplit/>
        </w:trPr>
        <w:tc>
          <w:tcPr>
            <w:tcW w:w="1733" w:type="dxa"/>
            <w:vMerge w:val="restart"/>
            <w:tcBorders>
              <w:top w:val="single" w:sz="4" w:space="0" w:color="auto"/>
              <w:left w:val="single" w:sz="4" w:space="0" w:color="auto"/>
              <w:right w:val="single" w:sz="4" w:space="0" w:color="auto"/>
            </w:tcBorders>
          </w:tcPr>
          <w:p w14:paraId="401B6256" w14:textId="77777777" w:rsidR="000305DD" w:rsidRPr="00F24972" w:rsidRDefault="000305DD" w:rsidP="000305DD">
            <w:pPr>
              <w:pStyle w:val="TableText"/>
              <w:rPr>
                <w:rFonts w:cs="Arial"/>
              </w:rPr>
            </w:pPr>
            <w:r w:rsidRPr="00F24972">
              <w:rPr>
                <w:rFonts w:cs="Arial"/>
              </w:rPr>
              <w:t>Antibody Screen (patient)</w:t>
            </w:r>
          </w:p>
        </w:tc>
        <w:tc>
          <w:tcPr>
            <w:tcW w:w="1165" w:type="dxa"/>
            <w:tcBorders>
              <w:top w:val="single" w:sz="4" w:space="0" w:color="auto"/>
              <w:left w:val="single" w:sz="4" w:space="0" w:color="auto"/>
              <w:bottom w:val="single" w:sz="4" w:space="0" w:color="auto"/>
              <w:right w:val="single" w:sz="4" w:space="0" w:color="auto"/>
            </w:tcBorders>
          </w:tcPr>
          <w:p w14:paraId="75984805" w14:textId="77777777" w:rsidR="000305DD" w:rsidRPr="00F24972" w:rsidRDefault="000305DD" w:rsidP="000305DD">
            <w:pPr>
              <w:pStyle w:val="TableText"/>
              <w:rPr>
                <w:rFonts w:cs="Arial"/>
              </w:rPr>
            </w:pPr>
            <w:r>
              <w:rPr>
                <w:rFonts w:cs="Arial"/>
              </w:rPr>
              <w:t>Transfusion reaction workup</w:t>
            </w:r>
          </w:p>
        </w:tc>
        <w:tc>
          <w:tcPr>
            <w:tcW w:w="1080" w:type="dxa"/>
            <w:tcBorders>
              <w:top w:val="single" w:sz="4" w:space="0" w:color="auto"/>
              <w:left w:val="single" w:sz="4" w:space="0" w:color="auto"/>
              <w:bottom w:val="single" w:sz="4" w:space="0" w:color="auto"/>
              <w:right w:val="single" w:sz="4" w:space="0" w:color="auto"/>
            </w:tcBorders>
          </w:tcPr>
          <w:p w14:paraId="6E0FCC4B"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6F1D4969" w14:textId="77777777" w:rsidR="000305DD" w:rsidRPr="00F24972" w:rsidRDefault="000305DD" w:rsidP="000305DD">
            <w:pPr>
              <w:pStyle w:val="TableText"/>
              <w:jc w:val="center"/>
              <w:rPr>
                <w:rFonts w:cs="Arial"/>
              </w:rPr>
            </w:pPr>
            <w:r w:rsidRPr="00F24972">
              <w:rPr>
                <w:rFonts w:cs="Arial"/>
              </w:rPr>
              <w:t>P</w:t>
            </w:r>
          </w:p>
        </w:tc>
        <w:tc>
          <w:tcPr>
            <w:tcW w:w="4123" w:type="dxa"/>
            <w:tcBorders>
              <w:top w:val="single" w:sz="4" w:space="0" w:color="auto"/>
              <w:left w:val="single" w:sz="4" w:space="0" w:color="auto"/>
              <w:bottom w:val="single" w:sz="4" w:space="0" w:color="auto"/>
              <w:right w:val="single" w:sz="4" w:space="0" w:color="auto"/>
            </w:tcBorders>
          </w:tcPr>
          <w:p w14:paraId="51963E33" w14:textId="77777777" w:rsidR="000305DD" w:rsidRPr="00F24972" w:rsidRDefault="000305DD" w:rsidP="000305DD">
            <w:pPr>
              <w:pStyle w:val="TableText"/>
              <w:rPr>
                <w:rFonts w:cs="Arial"/>
              </w:rPr>
            </w:pPr>
            <w:r w:rsidRPr="00F24972">
              <w:rPr>
                <w:rFonts w:cs="Arial"/>
              </w:rPr>
              <w:t>An ABS test for pre or post is enabled and a valid interpretation other than Not Tested is selected. A workload event is accrued separately for Pre and Post entries.</w:t>
            </w:r>
          </w:p>
        </w:tc>
      </w:tr>
      <w:tr w:rsidR="000305DD" w:rsidRPr="00F24972" w14:paraId="4F6FEED0" w14:textId="77777777">
        <w:trPr>
          <w:cantSplit/>
        </w:trPr>
        <w:tc>
          <w:tcPr>
            <w:tcW w:w="1733" w:type="dxa"/>
            <w:vMerge/>
            <w:tcBorders>
              <w:left w:val="single" w:sz="4" w:space="0" w:color="auto"/>
              <w:right w:val="single" w:sz="4" w:space="0" w:color="auto"/>
            </w:tcBorders>
          </w:tcPr>
          <w:p w14:paraId="39E91137" w14:textId="77777777"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tcPr>
          <w:p w14:paraId="3D464BB7" w14:textId="77777777" w:rsidR="000305DD" w:rsidRPr="00F24972" w:rsidRDefault="000305DD" w:rsidP="000305DD">
            <w:pPr>
              <w:pStyle w:val="TableText"/>
              <w:rPr>
                <w:rFonts w:cs="Arial"/>
              </w:rPr>
            </w:pPr>
            <w:r>
              <w:rPr>
                <w:rFonts w:cs="Arial"/>
              </w:rPr>
              <w:t>Patient Testing ABS test</w:t>
            </w:r>
          </w:p>
          <w:p w14:paraId="4CD37210"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66CBADB2"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2ED3765C" w14:textId="77777777" w:rsidR="000305DD" w:rsidRPr="00F24972" w:rsidRDefault="000305DD" w:rsidP="000305DD">
            <w:pPr>
              <w:pStyle w:val="TableText"/>
              <w:jc w:val="center"/>
              <w:rPr>
                <w:rFonts w:cs="Arial"/>
              </w:rPr>
            </w:pPr>
            <w:r w:rsidRPr="00F24972">
              <w:rPr>
                <w:rFonts w:cs="Arial"/>
              </w:rPr>
              <w:t>P</w:t>
            </w:r>
          </w:p>
        </w:tc>
        <w:tc>
          <w:tcPr>
            <w:tcW w:w="4123" w:type="dxa"/>
            <w:tcBorders>
              <w:top w:val="single" w:sz="4" w:space="0" w:color="auto"/>
              <w:left w:val="single" w:sz="4" w:space="0" w:color="auto"/>
              <w:bottom w:val="single" w:sz="4" w:space="0" w:color="auto"/>
              <w:right w:val="single" w:sz="4" w:space="0" w:color="auto"/>
            </w:tcBorders>
          </w:tcPr>
          <w:p w14:paraId="01706218" w14:textId="77777777" w:rsidR="000305DD" w:rsidRPr="00F24972" w:rsidRDefault="000305DD" w:rsidP="000305DD">
            <w:pPr>
              <w:pStyle w:val="TableText"/>
              <w:rPr>
                <w:rFonts w:cs="Arial"/>
              </w:rPr>
            </w:pPr>
            <w:r w:rsidRPr="00F24972">
              <w:rPr>
                <w:rFonts w:cs="Arial"/>
              </w:rPr>
              <w:t>Accrue workload when an ordered ABS test performed from the CPRS ordered test ABS only (</w:t>
            </w:r>
            <w:r>
              <w:rPr>
                <w:rFonts w:cs="Arial"/>
              </w:rPr>
              <w:t>Record Patient Antibody Screen</w:t>
            </w:r>
            <w:r w:rsidRPr="00F24972">
              <w:rPr>
                <w:rFonts w:cs="Arial"/>
              </w:rPr>
              <w:t xml:space="preserve"> is completed and saved by </w:t>
            </w:r>
            <w:r>
              <w:rPr>
                <w:rFonts w:cs="Arial"/>
              </w:rPr>
              <w:t>Record Testing</w:t>
            </w:r>
            <w:r w:rsidRPr="00F24972">
              <w:rPr>
                <w:rFonts w:cs="Arial"/>
              </w:rPr>
              <w:t xml:space="preserve">. The workload accrues when the ABS is completed and saved via </w:t>
            </w:r>
            <w:r>
              <w:rPr>
                <w:rFonts w:cs="Arial"/>
              </w:rPr>
              <w:t>Record Testing</w:t>
            </w:r>
            <w:r w:rsidRPr="00F24972">
              <w:rPr>
                <w:rFonts w:cs="Arial"/>
              </w:rPr>
              <w:t xml:space="preserve"> no matter how many cells (rows) are required by the division configuration.</w:t>
            </w:r>
          </w:p>
        </w:tc>
      </w:tr>
      <w:tr w:rsidR="000305DD" w:rsidRPr="00F24972" w14:paraId="09362C80" w14:textId="77777777">
        <w:trPr>
          <w:cantSplit/>
        </w:trPr>
        <w:tc>
          <w:tcPr>
            <w:tcW w:w="1733" w:type="dxa"/>
            <w:vMerge/>
            <w:tcBorders>
              <w:left w:val="single" w:sz="4" w:space="0" w:color="auto"/>
              <w:bottom w:val="single" w:sz="4" w:space="0" w:color="auto"/>
              <w:right w:val="single" w:sz="4" w:space="0" w:color="auto"/>
            </w:tcBorders>
          </w:tcPr>
          <w:p w14:paraId="14296EF8" w14:textId="77777777"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tcPr>
          <w:p w14:paraId="1492D106" w14:textId="77777777" w:rsidR="000305DD" w:rsidRPr="00F24972" w:rsidRDefault="000305DD" w:rsidP="000305DD">
            <w:pPr>
              <w:pStyle w:val="TableText"/>
              <w:rPr>
                <w:rFonts w:cs="Arial"/>
              </w:rPr>
            </w:pPr>
            <w:r>
              <w:rPr>
                <w:rFonts w:cs="Arial"/>
              </w:rPr>
              <w:t>Invalidate Patient Testing ABS test</w:t>
            </w:r>
          </w:p>
        </w:tc>
        <w:tc>
          <w:tcPr>
            <w:tcW w:w="1080" w:type="dxa"/>
            <w:tcBorders>
              <w:top w:val="single" w:sz="4" w:space="0" w:color="auto"/>
              <w:left w:val="single" w:sz="4" w:space="0" w:color="auto"/>
              <w:bottom w:val="single" w:sz="4" w:space="0" w:color="auto"/>
              <w:right w:val="single" w:sz="4" w:space="0" w:color="auto"/>
            </w:tcBorders>
          </w:tcPr>
          <w:p w14:paraId="5F699E1B"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71E36439" w14:textId="77777777" w:rsidR="000305DD" w:rsidRPr="00F24972" w:rsidRDefault="000305DD" w:rsidP="000305DD">
            <w:pPr>
              <w:pStyle w:val="TableText"/>
              <w:jc w:val="center"/>
              <w:rPr>
                <w:rFonts w:cs="Arial"/>
              </w:rPr>
            </w:pPr>
            <w:r w:rsidRPr="00F24972">
              <w:rPr>
                <w:rFonts w:cs="Arial"/>
              </w:rPr>
              <w:t>P</w:t>
            </w:r>
          </w:p>
        </w:tc>
        <w:tc>
          <w:tcPr>
            <w:tcW w:w="4123" w:type="dxa"/>
            <w:tcBorders>
              <w:top w:val="single" w:sz="4" w:space="0" w:color="auto"/>
              <w:left w:val="single" w:sz="4" w:space="0" w:color="auto"/>
              <w:bottom w:val="single" w:sz="4" w:space="0" w:color="auto"/>
              <w:right w:val="single" w:sz="4" w:space="0" w:color="auto"/>
            </w:tcBorders>
          </w:tcPr>
          <w:p w14:paraId="3B88C68F" w14:textId="77777777" w:rsidR="000305DD" w:rsidRPr="00F24972" w:rsidRDefault="000305DD" w:rsidP="000305DD">
            <w:pPr>
              <w:pStyle w:val="TableText"/>
              <w:rPr>
                <w:rFonts w:cs="Arial"/>
              </w:rPr>
            </w:pPr>
            <w:r w:rsidRPr="00F24972">
              <w:rPr>
                <w:rFonts w:cs="Arial"/>
              </w:rPr>
              <w:t>Accrue workload when a completed ABS test is invalidated.</w:t>
            </w:r>
          </w:p>
        </w:tc>
      </w:tr>
      <w:tr w:rsidR="000305DD" w:rsidRPr="00F24972" w14:paraId="1B25FC84" w14:textId="77777777">
        <w:trPr>
          <w:cantSplit/>
        </w:trPr>
        <w:tc>
          <w:tcPr>
            <w:tcW w:w="1733" w:type="dxa"/>
            <w:vMerge w:val="restart"/>
            <w:tcBorders>
              <w:top w:val="single" w:sz="4" w:space="0" w:color="auto"/>
              <w:left w:val="single" w:sz="4" w:space="0" w:color="auto"/>
              <w:right w:val="single" w:sz="4" w:space="0" w:color="auto"/>
            </w:tcBorders>
          </w:tcPr>
          <w:p w14:paraId="7E55E816" w14:textId="77777777" w:rsidR="000305DD" w:rsidRPr="00F24972" w:rsidRDefault="000305DD" w:rsidP="000305DD">
            <w:pPr>
              <w:pStyle w:val="TableText"/>
              <w:rPr>
                <w:rFonts w:cs="Arial"/>
              </w:rPr>
            </w:pPr>
            <w:r w:rsidRPr="00F24972">
              <w:rPr>
                <w:rFonts w:cs="Arial"/>
              </w:rPr>
              <w:lastRenderedPageBreak/>
              <w:t>Antibody Screen (patient) Repeat Test</w:t>
            </w:r>
          </w:p>
        </w:tc>
        <w:tc>
          <w:tcPr>
            <w:tcW w:w="1165" w:type="dxa"/>
            <w:tcBorders>
              <w:top w:val="single" w:sz="4" w:space="0" w:color="auto"/>
              <w:left w:val="single" w:sz="4" w:space="0" w:color="auto"/>
              <w:bottom w:val="single" w:sz="4" w:space="0" w:color="auto"/>
              <w:right w:val="single" w:sz="4" w:space="0" w:color="auto"/>
            </w:tcBorders>
          </w:tcPr>
          <w:p w14:paraId="40B5A009" w14:textId="77777777" w:rsidR="000305DD" w:rsidRPr="00F24972" w:rsidRDefault="000305DD" w:rsidP="000305DD">
            <w:pPr>
              <w:pStyle w:val="TableText"/>
              <w:rPr>
                <w:rFonts w:cs="Arial"/>
              </w:rPr>
            </w:pPr>
            <w:r>
              <w:rPr>
                <w:rFonts w:cs="Arial"/>
              </w:rPr>
              <w:t>Patient Testing ABS test</w:t>
            </w:r>
          </w:p>
          <w:p w14:paraId="12C93F7B"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4D950CBA"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6A161A81" w14:textId="77777777" w:rsidR="000305DD" w:rsidRPr="00F24972" w:rsidRDefault="000305DD" w:rsidP="000305DD">
            <w:pPr>
              <w:pStyle w:val="TableText"/>
              <w:jc w:val="center"/>
              <w:rPr>
                <w:rFonts w:cs="Arial"/>
              </w:rPr>
            </w:pPr>
            <w:r w:rsidRPr="00F24972">
              <w:rPr>
                <w:rFonts w:cs="Arial"/>
              </w:rPr>
              <w:t>M</w:t>
            </w:r>
          </w:p>
        </w:tc>
        <w:tc>
          <w:tcPr>
            <w:tcW w:w="4123" w:type="dxa"/>
            <w:tcBorders>
              <w:top w:val="single" w:sz="4" w:space="0" w:color="auto"/>
              <w:left w:val="single" w:sz="4" w:space="0" w:color="auto"/>
              <w:bottom w:val="single" w:sz="4" w:space="0" w:color="auto"/>
              <w:right w:val="single" w:sz="4" w:space="0" w:color="auto"/>
            </w:tcBorders>
          </w:tcPr>
          <w:p w14:paraId="6D03A605" w14:textId="77777777" w:rsidR="000305DD" w:rsidRPr="00F24972" w:rsidRDefault="000305DD" w:rsidP="000305DD">
            <w:pPr>
              <w:pStyle w:val="TableText"/>
              <w:rPr>
                <w:rFonts w:cs="Arial"/>
              </w:rPr>
            </w:pPr>
            <w:r w:rsidRPr="00F24972">
              <w:rPr>
                <w:rFonts w:cs="Arial"/>
              </w:rPr>
              <w:t xml:space="preserve">Accrue workload when a reflex or repeat ABS test is performed, completed and saved via </w:t>
            </w:r>
            <w:r>
              <w:rPr>
                <w:rFonts w:cs="Arial"/>
              </w:rPr>
              <w:t>Record Testing</w:t>
            </w:r>
            <w:r w:rsidRPr="00F24972">
              <w:rPr>
                <w:rFonts w:cs="Arial"/>
              </w:rPr>
              <w:t xml:space="preserve">. </w:t>
            </w:r>
          </w:p>
          <w:p w14:paraId="400501E1" w14:textId="77777777" w:rsidR="000305DD" w:rsidRPr="00F24972" w:rsidRDefault="000305DD" w:rsidP="000305DD">
            <w:pPr>
              <w:pStyle w:val="TableText"/>
              <w:rPr>
                <w:rFonts w:cs="Arial"/>
              </w:rPr>
            </w:pPr>
            <w:r w:rsidRPr="00F24972">
              <w:rPr>
                <w:rFonts w:cs="Arial"/>
              </w:rPr>
              <w:t xml:space="preserve">Note: ABS ordered in </w:t>
            </w:r>
            <w:r>
              <w:rPr>
                <w:rFonts w:cs="Arial"/>
              </w:rPr>
              <w:t>Order Reflex Test</w:t>
            </w:r>
            <w:r w:rsidRPr="00F24972">
              <w:rPr>
                <w:rFonts w:cs="Arial"/>
              </w:rPr>
              <w:t xml:space="preserve"> from main menu or via use of </w:t>
            </w:r>
            <w:r>
              <w:rPr>
                <w:rFonts w:cs="Arial"/>
              </w:rPr>
              <w:t>Order Reflex Test</w:t>
            </w:r>
            <w:r w:rsidRPr="00F24972">
              <w:rPr>
                <w:rFonts w:cs="Arial"/>
              </w:rPr>
              <w:t xml:space="preserve"> from </w:t>
            </w:r>
            <w:r>
              <w:rPr>
                <w:rFonts w:cs="Arial"/>
              </w:rPr>
              <w:t>Record Testing</w:t>
            </w:r>
            <w:r w:rsidRPr="00F24972">
              <w:rPr>
                <w:rFonts w:cs="Arial"/>
              </w:rPr>
              <w:t>.</w:t>
            </w:r>
          </w:p>
        </w:tc>
      </w:tr>
      <w:tr w:rsidR="000305DD" w:rsidRPr="00F24972" w14:paraId="745A114C" w14:textId="77777777">
        <w:trPr>
          <w:cantSplit/>
        </w:trPr>
        <w:tc>
          <w:tcPr>
            <w:tcW w:w="1733" w:type="dxa"/>
            <w:vMerge/>
            <w:tcBorders>
              <w:left w:val="single" w:sz="4" w:space="0" w:color="auto"/>
              <w:bottom w:val="single" w:sz="4" w:space="0" w:color="auto"/>
              <w:right w:val="single" w:sz="4" w:space="0" w:color="auto"/>
            </w:tcBorders>
          </w:tcPr>
          <w:p w14:paraId="1B551D63" w14:textId="77777777"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tcPr>
          <w:p w14:paraId="2B5512BE" w14:textId="77777777" w:rsidR="000305DD" w:rsidRPr="00F24972" w:rsidRDefault="000305DD" w:rsidP="000305DD">
            <w:pPr>
              <w:pStyle w:val="TableText"/>
              <w:rPr>
                <w:rFonts w:cs="Arial"/>
              </w:rPr>
            </w:pPr>
            <w:r>
              <w:rPr>
                <w:rFonts w:cs="Arial"/>
              </w:rPr>
              <w:t>Invalidate Patient Testing ABS test</w:t>
            </w:r>
          </w:p>
        </w:tc>
        <w:tc>
          <w:tcPr>
            <w:tcW w:w="1080" w:type="dxa"/>
            <w:tcBorders>
              <w:top w:val="single" w:sz="4" w:space="0" w:color="auto"/>
              <w:left w:val="single" w:sz="4" w:space="0" w:color="auto"/>
              <w:bottom w:val="single" w:sz="4" w:space="0" w:color="auto"/>
              <w:right w:val="single" w:sz="4" w:space="0" w:color="auto"/>
            </w:tcBorders>
          </w:tcPr>
          <w:p w14:paraId="79BCCA34" w14:textId="77777777" w:rsidR="000305DD" w:rsidRPr="00F24972" w:rsidRDefault="000305DD" w:rsidP="000305DD">
            <w:pPr>
              <w:rPr>
                <w:rFonts w:ascii="Arial" w:hAnsi="Arial" w:cs="Arial"/>
                <w:b/>
                <w:sz w:val="18"/>
                <w:szCs w:val="18"/>
              </w:rPr>
            </w:pPr>
            <w:r w:rsidRPr="00F24972">
              <w:rPr>
                <w:rFonts w:ascii="Arial" w:hAnsi="Arial" w:cs="Arial"/>
                <w:b/>
                <w:sz w:val="18"/>
                <w:szCs w:val="18"/>
              </w:rPr>
              <w:t>Negative</w:t>
            </w:r>
          </w:p>
        </w:tc>
        <w:tc>
          <w:tcPr>
            <w:tcW w:w="900" w:type="dxa"/>
            <w:tcBorders>
              <w:top w:val="single" w:sz="4" w:space="0" w:color="auto"/>
              <w:left w:val="single" w:sz="4" w:space="0" w:color="auto"/>
              <w:bottom w:val="single" w:sz="4" w:space="0" w:color="auto"/>
              <w:right w:val="single" w:sz="4" w:space="0" w:color="auto"/>
            </w:tcBorders>
          </w:tcPr>
          <w:p w14:paraId="5AA61C28" w14:textId="77777777" w:rsidR="000305DD" w:rsidRPr="00F24972" w:rsidRDefault="000305DD" w:rsidP="000305DD">
            <w:pPr>
              <w:pStyle w:val="TableText"/>
              <w:jc w:val="center"/>
              <w:rPr>
                <w:rFonts w:cs="Arial"/>
              </w:rPr>
            </w:pPr>
            <w:r w:rsidRPr="00F24972">
              <w:rPr>
                <w:rFonts w:cs="Arial"/>
              </w:rPr>
              <w:t>M</w:t>
            </w:r>
          </w:p>
        </w:tc>
        <w:tc>
          <w:tcPr>
            <w:tcW w:w="4123" w:type="dxa"/>
            <w:tcBorders>
              <w:top w:val="single" w:sz="4" w:space="0" w:color="auto"/>
              <w:left w:val="single" w:sz="4" w:space="0" w:color="auto"/>
              <w:bottom w:val="single" w:sz="4" w:space="0" w:color="auto"/>
              <w:right w:val="single" w:sz="4" w:space="0" w:color="auto"/>
            </w:tcBorders>
          </w:tcPr>
          <w:p w14:paraId="319320B2" w14:textId="77777777" w:rsidR="000305DD" w:rsidRPr="00F24972" w:rsidRDefault="000305DD" w:rsidP="000305DD">
            <w:pPr>
              <w:pStyle w:val="TableText"/>
              <w:rPr>
                <w:rFonts w:cs="Arial"/>
              </w:rPr>
            </w:pPr>
            <w:r w:rsidRPr="00F24972">
              <w:rPr>
                <w:rFonts w:cs="Arial"/>
              </w:rPr>
              <w:t>Accrue workload when a reflex or repeat ABS test is invalidated.</w:t>
            </w:r>
          </w:p>
        </w:tc>
      </w:tr>
      <w:tr w:rsidR="000305DD" w:rsidRPr="00F24972" w14:paraId="6EC93EA7" w14:textId="77777777">
        <w:trPr>
          <w:cantSplit/>
        </w:trPr>
        <w:tc>
          <w:tcPr>
            <w:tcW w:w="1733" w:type="dxa"/>
            <w:tcBorders>
              <w:top w:val="single" w:sz="4" w:space="0" w:color="auto"/>
              <w:left w:val="single" w:sz="4" w:space="0" w:color="auto"/>
              <w:bottom w:val="single" w:sz="4" w:space="0" w:color="auto"/>
              <w:right w:val="single" w:sz="4" w:space="0" w:color="auto"/>
            </w:tcBorders>
          </w:tcPr>
          <w:p w14:paraId="3E567923" w14:textId="77777777" w:rsidR="000305DD" w:rsidRPr="00F24972" w:rsidRDefault="000305DD" w:rsidP="000305DD">
            <w:pPr>
              <w:pStyle w:val="TableText"/>
              <w:rPr>
                <w:rFonts w:cs="Arial"/>
              </w:rPr>
            </w:pPr>
            <w:r w:rsidRPr="00F24972">
              <w:rPr>
                <w:rFonts w:cs="Arial"/>
              </w:rPr>
              <w:t>Antigen phenotyping, Single Test phase (QC)</w:t>
            </w:r>
          </w:p>
        </w:tc>
        <w:tc>
          <w:tcPr>
            <w:tcW w:w="1165" w:type="dxa"/>
            <w:tcBorders>
              <w:top w:val="single" w:sz="4" w:space="0" w:color="auto"/>
              <w:left w:val="single" w:sz="4" w:space="0" w:color="auto"/>
              <w:bottom w:val="single" w:sz="4" w:space="0" w:color="auto"/>
              <w:right w:val="single" w:sz="4" w:space="0" w:color="auto"/>
            </w:tcBorders>
          </w:tcPr>
          <w:p w14:paraId="1671F62E" w14:textId="77777777" w:rsidR="000305DD" w:rsidRPr="00F24972" w:rsidRDefault="000305DD" w:rsidP="000305DD">
            <w:pPr>
              <w:pStyle w:val="TableText"/>
              <w:rPr>
                <w:rFonts w:cs="Arial"/>
              </w:rPr>
            </w:pPr>
            <w:r>
              <w:rPr>
                <w:rFonts w:cs="Arial"/>
              </w:rPr>
              <w:t>QC for unit or patient antigen typing</w:t>
            </w:r>
          </w:p>
          <w:p w14:paraId="2CFDFA9C"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2683F97B"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3006B01D" w14:textId="77777777" w:rsidR="000305DD" w:rsidRPr="00F24972" w:rsidRDefault="000305DD" w:rsidP="000305DD">
            <w:pPr>
              <w:pStyle w:val="TableText"/>
              <w:jc w:val="center"/>
              <w:rPr>
                <w:rFonts w:cs="Arial"/>
              </w:rPr>
            </w:pPr>
            <w:r w:rsidRPr="00F24972">
              <w:rPr>
                <w:rFonts w:cs="Arial"/>
              </w:rPr>
              <w:t>M</w:t>
            </w:r>
          </w:p>
        </w:tc>
        <w:tc>
          <w:tcPr>
            <w:tcW w:w="4123" w:type="dxa"/>
            <w:tcBorders>
              <w:top w:val="single" w:sz="4" w:space="0" w:color="auto"/>
              <w:left w:val="single" w:sz="4" w:space="0" w:color="auto"/>
              <w:bottom w:val="single" w:sz="4" w:space="0" w:color="auto"/>
              <w:right w:val="single" w:sz="4" w:space="0" w:color="auto"/>
            </w:tcBorders>
            <w:vAlign w:val="bottom"/>
          </w:tcPr>
          <w:p w14:paraId="0B9F0681" w14:textId="77777777" w:rsidR="000305DD" w:rsidRPr="00F24972" w:rsidRDefault="000305DD" w:rsidP="000305DD">
            <w:pPr>
              <w:pStyle w:val="TableText"/>
              <w:rPr>
                <w:rFonts w:cs="Arial"/>
              </w:rPr>
            </w:pPr>
            <w:r w:rsidRPr="00F24972">
              <w:rPr>
                <w:rFonts w:cs="Arial"/>
              </w:rPr>
              <w:t xml:space="preserve">Accrue workload when Antiserum QC is included in </w:t>
            </w:r>
            <w:r>
              <w:rPr>
                <w:rFonts w:cs="Arial"/>
              </w:rPr>
              <w:t>Record Phenotype Results</w:t>
            </w:r>
            <w:r w:rsidRPr="00F24972">
              <w:rPr>
                <w:rFonts w:cs="Arial"/>
              </w:rPr>
              <w:t xml:space="preserve"> or </w:t>
            </w:r>
            <w:r>
              <w:rPr>
                <w:rFonts w:cs="Arial"/>
              </w:rPr>
              <w:t>Record Patient Antigen Types</w:t>
            </w:r>
            <w:r w:rsidRPr="00F24972">
              <w:rPr>
                <w:rFonts w:cs="Arial"/>
              </w:rPr>
              <w:t xml:space="preserve"> includes the testing of both the positive and negative control cells, per specificity by lot number, when only one phase of reactivity is chosen for the test grid, IS or AHG. One workload event is collected per completed tab for regular or repeat antigen tests.</w:t>
            </w:r>
          </w:p>
        </w:tc>
      </w:tr>
      <w:tr w:rsidR="000305DD" w:rsidRPr="00F24972" w14:paraId="4A9D7718" w14:textId="77777777">
        <w:trPr>
          <w:cantSplit/>
        </w:trPr>
        <w:tc>
          <w:tcPr>
            <w:tcW w:w="1733" w:type="dxa"/>
            <w:tcBorders>
              <w:top w:val="single" w:sz="4" w:space="0" w:color="auto"/>
              <w:left w:val="single" w:sz="4" w:space="0" w:color="auto"/>
              <w:bottom w:val="single" w:sz="4" w:space="0" w:color="auto"/>
              <w:right w:val="single" w:sz="4" w:space="0" w:color="auto"/>
            </w:tcBorders>
          </w:tcPr>
          <w:p w14:paraId="39758AEC" w14:textId="77777777" w:rsidR="000305DD" w:rsidRPr="00F24972" w:rsidRDefault="000305DD" w:rsidP="000305DD">
            <w:pPr>
              <w:pStyle w:val="TableText"/>
              <w:rPr>
                <w:rFonts w:cs="Arial"/>
              </w:rPr>
            </w:pPr>
            <w:r w:rsidRPr="00F24972">
              <w:rPr>
                <w:rFonts w:cs="Arial"/>
              </w:rPr>
              <w:t>Antigen phenotyping, Multiple Test phases (QC)</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6D5F5C1E" w14:textId="77777777" w:rsidR="000305DD" w:rsidRPr="00F24972" w:rsidRDefault="000305DD" w:rsidP="000305DD">
            <w:pPr>
              <w:pStyle w:val="TableText"/>
              <w:rPr>
                <w:rFonts w:cs="Arial"/>
              </w:rPr>
            </w:pPr>
            <w:r>
              <w:rPr>
                <w:rFonts w:cs="Arial"/>
              </w:rPr>
              <w:t>QC for unit or patient antigen typing</w:t>
            </w:r>
          </w:p>
          <w:p w14:paraId="7E5DE9AC"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3DA7892"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F507A71" w14:textId="77777777" w:rsidR="000305DD" w:rsidRPr="00F24972" w:rsidRDefault="000305DD" w:rsidP="000305DD">
            <w:pPr>
              <w:pStyle w:val="TableText"/>
              <w:jc w:val="center"/>
              <w:rPr>
                <w:rFonts w:cs="Arial"/>
              </w:rPr>
            </w:pPr>
            <w:r w:rsidRPr="00F24972">
              <w:rPr>
                <w:rFonts w:cs="Arial"/>
              </w:rPr>
              <w:t>M</w:t>
            </w:r>
          </w:p>
        </w:tc>
        <w:tc>
          <w:tcPr>
            <w:tcW w:w="4123" w:type="dxa"/>
            <w:tcBorders>
              <w:top w:val="single" w:sz="4" w:space="0" w:color="auto"/>
              <w:left w:val="single" w:sz="4" w:space="0" w:color="auto"/>
              <w:bottom w:val="single" w:sz="4" w:space="0" w:color="auto"/>
              <w:right w:val="single" w:sz="4" w:space="0" w:color="auto"/>
            </w:tcBorders>
            <w:shd w:val="clear" w:color="auto" w:fill="auto"/>
            <w:vAlign w:val="bottom"/>
          </w:tcPr>
          <w:p w14:paraId="6D760F33" w14:textId="77777777" w:rsidR="000305DD" w:rsidRPr="00F24972" w:rsidRDefault="000305DD" w:rsidP="000305DD">
            <w:pPr>
              <w:pStyle w:val="TableText"/>
              <w:rPr>
                <w:rFonts w:cs="Arial"/>
              </w:rPr>
            </w:pPr>
            <w:r w:rsidRPr="00F24972">
              <w:rPr>
                <w:rFonts w:cs="Arial"/>
              </w:rPr>
              <w:t xml:space="preserve">Accrue workload when Antiserum QC is included in </w:t>
            </w:r>
            <w:r>
              <w:rPr>
                <w:rFonts w:cs="Arial"/>
              </w:rPr>
              <w:t>Record Phenotype Results</w:t>
            </w:r>
            <w:r w:rsidRPr="00F24972">
              <w:rPr>
                <w:rFonts w:cs="Arial"/>
              </w:rPr>
              <w:t xml:space="preserve"> or </w:t>
            </w:r>
            <w:r>
              <w:rPr>
                <w:rFonts w:cs="Arial"/>
              </w:rPr>
              <w:t>Record Patient Antigen Types</w:t>
            </w:r>
            <w:r w:rsidRPr="00F24972">
              <w:rPr>
                <w:rFonts w:cs="Arial"/>
              </w:rPr>
              <w:t xml:space="preserve"> includes the testing of both the positive and negative control cells, per specificity by lot number, when only multiple phases of reactivity is chosen for the test grid, IS/RT, RT/37 or weak D. One workload event is collected per completed tab for regular or repeat antigen tests.</w:t>
            </w:r>
          </w:p>
          <w:p w14:paraId="653202AC" w14:textId="77777777" w:rsidR="000305DD" w:rsidRPr="00F24972" w:rsidRDefault="000305DD" w:rsidP="000305DD">
            <w:pPr>
              <w:pStyle w:val="TableText"/>
              <w:rPr>
                <w:rFonts w:cs="Arial"/>
              </w:rPr>
            </w:pPr>
            <w:r w:rsidRPr="00F24972">
              <w:rPr>
                <w:rFonts w:cs="Arial"/>
              </w:rPr>
              <w:t>When weak D is the selected test, QC may not be accrued for the rack selection.</w:t>
            </w:r>
            <w:r>
              <w:rPr>
                <w:rFonts w:cs="Arial"/>
              </w:rPr>
              <w:t xml:space="preserve"> </w:t>
            </w:r>
            <w:r w:rsidRPr="00F24972">
              <w:rPr>
                <w:rFonts w:cs="Arial"/>
              </w:rPr>
              <w:t>QC is accrued when positive and negative cells must be tested for the lot number.</w:t>
            </w:r>
          </w:p>
        </w:tc>
      </w:tr>
      <w:tr w:rsidR="000305DD" w:rsidRPr="00F24972" w14:paraId="7ED39CA7" w14:textId="77777777">
        <w:trPr>
          <w:cantSplit/>
        </w:trPr>
        <w:tc>
          <w:tcPr>
            <w:tcW w:w="1733" w:type="dxa"/>
            <w:tcBorders>
              <w:top w:val="single" w:sz="4" w:space="0" w:color="auto"/>
              <w:left w:val="single" w:sz="4" w:space="0" w:color="auto"/>
              <w:bottom w:val="single" w:sz="4" w:space="0" w:color="auto"/>
              <w:right w:val="single" w:sz="4" w:space="0" w:color="auto"/>
            </w:tcBorders>
          </w:tcPr>
          <w:p w14:paraId="15EEC22A" w14:textId="77777777" w:rsidR="000305DD" w:rsidRPr="00F24972" w:rsidRDefault="000305DD" w:rsidP="000305DD">
            <w:pPr>
              <w:pStyle w:val="TableText"/>
              <w:rPr>
                <w:rFonts w:cs="Arial"/>
              </w:rPr>
            </w:pPr>
            <w:r w:rsidRPr="00F24972">
              <w:rPr>
                <w:rFonts w:cs="Arial"/>
              </w:rPr>
              <w:t>Cancel Order</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039B950F" w14:textId="77777777" w:rsidR="000305DD" w:rsidRPr="00F24972" w:rsidRDefault="000305DD" w:rsidP="000305DD">
            <w:pPr>
              <w:pStyle w:val="TableText"/>
              <w:rPr>
                <w:rFonts w:cs="Arial"/>
              </w:rPr>
            </w:pPr>
            <w:r>
              <w:rPr>
                <w:rFonts w:cs="Arial"/>
                <w:snapToGrid w:val="0"/>
              </w:rPr>
              <w:t>Accept Order, Reject Order</w:t>
            </w:r>
            <w:r w:rsidRPr="00F24972">
              <w:rPr>
                <w:rFonts w:cs="Arial"/>
                <w:snapToGrid w:val="0"/>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2B22516"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7457F28" w14:textId="77777777" w:rsidR="000305DD" w:rsidRPr="00F24972" w:rsidRDefault="000305DD" w:rsidP="000305DD">
            <w:pPr>
              <w:pStyle w:val="TableText"/>
              <w:jc w:val="center"/>
              <w:rPr>
                <w:rFonts w:cs="Arial"/>
              </w:rPr>
            </w:pPr>
            <w:r w:rsidRPr="00F24972">
              <w:rPr>
                <w:rFonts w:cs="Arial"/>
              </w:rPr>
              <w:t>M</w:t>
            </w:r>
          </w:p>
        </w:tc>
        <w:tc>
          <w:tcPr>
            <w:tcW w:w="4123" w:type="dxa"/>
            <w:tcBorders>
              <w:top w:val="single" w:sz="4" w:space="0" w:color="auto"/>
              <w:left w:val="single" w:sz="4" w:space="0" w:color="auto"/>
              <w:bottom w:val="single" w:sz="4" w:space="0" w:color="auto"/>
              <w:right w:val="single" w:sz="4" w:space="0" w:color="auto"/>
            </w:tcBorders>
            <w:shd w:val="clear" w:color="auto" w:fill="auto"/>
          </w:tcPr>
          <w:p w14:paraId="102BE3EC" w14:textId="77777777" w:rsidR="000305DD" w:rsidRPr="00F24972" w:rsidRDefault="000305DD" w:rsidP="000305DD">
            <w:pPr>
              <w:pStyle w:val="TableText"/>
              <w:rPr>
                <w:rFonts w:cs="Arial"/>
              </w:rPr>
            </w:pPr>
            <w:r w:rsidRPr="00F24972">
              <w:rPr>
                <w:rFonts w:cs="Arial"/>
              </w:rPr>
              <w:t>Accrue workload when an order on the pending order list is canceled. When a multiple orders are canceled, each order accrues workload.</w:t>
            </w:r>
          </w:p>
        </w:tc>
      </w:tr>
      <w:tr w:rsidR="000305DD" w:rsidRPr="00F24972" w14:paraId="5750BBB7" w14:textId="77777777">
        <w:trPr>
          <w:cantSplit/>
        </w:trPr>
        <w:tc>
          <w:tcPr>
            <w:tcW w:w="1733" w:type="dxa"/>
            <w:tcBorders>
              <w:top w:val="single" w:sz="4" w:space="0" w:color="auto"/>
              <w:left w:val="single" w:sz="4" w:space="0" w:color="auto"/>
              <w:bottom w:val="single" w:sz="4" w:space="0" w:color="auto"/>
              <w:right w:val="single" w:sz="4" w:space="0" w:color="auto"/>
            </w:tcBorders>
          </w:tcPr>
          <w:p w14:paraId="172DB203" w14:textId="77777777" w:rsidR="000305DD" w:rsidRPr="00F24972" w:rsidRDefault="000305DD" w:rsidP="000305DD">
            <w:pPr>
              <w:pStyle w:val="TableText"/>
              <w:rPr>
                <w:rFonts w:cs="Arial"/>
              </w:rPr>
            </w:pPr>
            <w:r w:rsidRPr="00F24972">
              <w:rPr>
                <w:rFonts w:cs="Arial"/>
              </w:rPr>
              <w:t>Cancel Order</w:t>
            </w:r>
          </w:p>
        </w:tc>
        <w:tc>
          <w:tcPr>
            <w:tcW w:w="1165" w:type="dxa"/>
            <w:tcBorders>
              <w:top w:val="single" w:sz="4" w:space="0" w:color="auto"/>
              <w:left w:val="single" w:sz="4" w:space="0" w:color="auto"/>
              <w:bottom w:val="single" w:sz="4" w:space="0" w:color="auto"/>
              <w:right w:val="single" w:sz="4" w:space="0" w:color="auto"/>
            </w:tcBorders>
          </w:tcPr>
          <w:p w14:paraId="4F12D835" w14:textId="77777777" w:rsidR="000305DD" w:rsidRPr="00F24972" w:rsidRDefault="000305DD" w:rsidP="000305DD">
            <w:pPr>
              <w:pStyle w:val="TableText"/>
              <w:rPr>
                <w:rFonts w:cs="Arial"/>
              </w:rPr>
            </w:pPr>
            <w:r>
              <w:rPr>
                <w:rFonts w:cs="Arial"/>
                <w:snapToGrid w:val="0"/>
              </w:rPr>
              <w:t>Patient Testing List, Cancel order</w:t>
            </w:r>
            <w:r w:rsidRPr="00F24972">
              <w:rPr>
                <w:rFonts w:cs="Arial"/>
                <w:snapToGrid w:val="0"/>
              </w:rPr>
              <w:t xml:space="preserve"> </w:t>
            </w:r>
          </w:p>
        </w:tc>
        <w:tc>
          <w:tcPr>
            <w:tcW w:w="1080" w:type="dxa"/>
            <w:tcBorders>
              <w:top w:val="single" w:sz="4" w:space="0" w:color="auto"/>
              <w:left w:val="single" w:sz="4" w:space="0" w:color="auto"/>
              <w:bottom w:val="single" w:sz="4" w:space="0" w:color="auto"/>
              <w:right w:val="single" w:sz="4" w:space="0" w:color="auto"/>
            </w:tcBorders>
          </w:tcPr>
          <w:p w14:paraId="20FD4F29"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30D28C92" w14:textId="77777777" w:rsidR="000305DD" w:rsidRPr="00F24972" w:rsidRDefault="000305DD" w:rsidP="000305DD">
            <w:pPr>
              <w:pStyle w:val="TableText"/>
              <w:jc w:val="center"/>
              <w:rPr>
                <w:rFonts w:cs="Arial"/>
              </w:rPr>
            </w:pPr>
            <w:r w:rsidRPr="00F24972">
              <w:rPr>
                <w:rFonts w:cs="Arial"/>
              </w:rPr>
              <w:t>M</w:t>
            </w:r>
          </w:p>
        </w:tc>
        <w:tc>
          <w:tcPr>
            <w:tcW w:w="4123" w:type="dxa"/>
            <w:tcBorders>
              <w:top w:val="single" w:sz="4" w:space="0" w:color="auto"/>
              <w:left w:val="single" w:sz="4" w:space="0" w:color="auto"/>
              <w:bottom w:val="single" w:sz="4" w:space="0" w:color="auto"/>
              <w:right w:val="single" w:sz="4" w:space="0" w:color="auto"/>
            </w:tcBorders>
          </w:tcPr>
          <w:p w14:paraId="18678B1E" w14:textId="2ED4B929" w:rsidR="000305DD" w:rsidRPr="00F24972" w:rsidRDefault="000305DD" w:rsidP="000305DD">
            <w:pPr>
              <w:pStyle w:val="TableText"/>
              <w:rPr>
                <w:rFonts w:cs="Arial"/>
              </w:rPr>
            </w:pPr>
            <w:r w:rsidRPr="00F24972">
              <w:rPr>
                <w:rFonts w:cs="Arial"/>
              </w:rPr>
              <w:t xml:space="preserve">Accrue workload when an order on the pending task list is canceled. When </w:t>
            </w:r>
            <w:r w:rsidR="00AE3B37" w:rsidRPr="00F24972">
              <w:rPr>
                <w:rFonts w:cs="Arial"/>
              </w:rPr>
              <w:t>multiple orders</w:t>
            </w:r>
            <w:r w:rsidRPr="00F24972">
              <w:rPr>
                <w:rFonts w:cs="Arial"/>
              </w:rPr>
              <w:t xml:space="preserve"> are canceled, each order accrues workload.</w:t>
            </w:r>
          </w:p>
        </w:tc>
      </w:tr>
      <w:tr w:rsidR="000305DD" w:rsidRPr="00F24972" w14:paraId="59EA11C5" w14:textId="77777777">
        <w:trPr>
          <w:cantSplit/>
        </w:trPr>
        <w:tc>
          <w:tcPr>
            <w:tcW w:w="1733" w:type="dxa"/>
          </w:tcPr>
          <w:p w14:paraId="4F3E2FB3" w14:textId="77777777" w:rsidR="000305DD" w:rsidRPr="00F24972" w:rsidRDefault="000305DD" w:rsidP="000305DD">
            <w:pPr>
              <w:pStyle w:val="TableText"/>
              <w:rPr>
                <w:rFonts w:cs="Arial"/>
              </w:rPr>
            </w:pPr>
            <w:r w:rsidRPr="00F24972">
              <w:rPr>
                <w:rFonts w:cs="Arial"/>
              </w:rPr>
              <w:t>Crossmatch unit, electronic</w:t>
            </w:r>
          </w:p>
          <w:p w14:paraId="1FB8C62A" w14:textId="77777777" w:rsidR="000305DD" w:rsidRPr="00F24972" w:rsidRDefault="000305DD" w:rsidP="000305DD">
            <w:pPr>
              <w:pStyle w:val="TableText"/>
              <w:rPr>
                <w:rFonts w:cs="Arial"/>
              </w:rPr>
            </w:pPr>
          </w:p>
        </w:tc>
        <w:tc>
          <w:tcPr>
            <w:tcW w:w="1165" w:type="dxa"/>
          </w:tcPr>
          <w:p w14:paraId="0E96EE76" w14:textId="77777777" w:rsidR="000305DD" w:rsidRPr="00F24972" w:rsidRDefault="000305DD" w:rsidP="000305DD">
            <w:pPr>
              <w:pStyle w:val="TableText"/>
              <w:rPr>
                <w:rFonts w:cs="Arial"/>
              </w:rPr>
            </w:pPr>
            <w:r>
              <w:rPr>
                <w:rFonts w:cs="Arial"/>
              </w:rPr>
              <w:t>Select Unit</w:t>
            </w:r>
          </w:p>
          <w:p w14:paraId="4F46D6FE" w14:textId="77777777" w:rsidR="000305DD" w:rsidRPr="00F24972" w:rsidRDefault="000305DD" w:rsidP="000305DD">
            <w:pPr>
              <w:pStyle w:val="TableText"/>
              <w:rPr>
                <w:rFonts w:cs="Arial"/>
              </w:rPr>
            </w:pPr>
          </w:p>
        </w:tc>
        <w:tc>
          <w:tcPr>
            <w:tcW w:w="1080" w:type="dxa"/>
          </w:tcPr>
          <w:p w14:paraId="6BB2BBF7" w14:textId="77777777" w:rsidR="000305DD" w:rsidRPr="00F24972" w:rsidRDefault="000305DD" w:rsidP="000305DD">
            <w:pPr>
              <w:pStyle w:val="TableText"/>
              <w:rPr>
                <w:rFonts w:cs="Arial"/>
              </w:rPr>
            </w:pPr>
            <w:r w:rsidRPr="00F24972">
              <w:rPr>
                <w:rFonts w:cs="Arial"/>
              </w:rPr>
              <w:t>Positive</w:t>
            </w:r>
          </w:p>
        </w:tc>
        <w:tc>
          <w:tcPr>
            <w:tcW w:w="900" w:type="dxa"/>
          </w:tcPr>
          <w:p w14:paraId="42E1EFF0" w14:textId="77777777" w:rsidR="000305DD" w:rsidRPr="00F24972" w:rsidRDefault="000305DD" w:rsidP="000305DD">
            <w:pPr>
              <w:pStyle w:val="TableText"/>
              <w:jc w:val="center"/>
              <w:rPr>
                <w:rFonts w:cs="Arial"/>
              </w:rPr>
            </w:pPr>
            <w:r w:rsidRPr="00F24972">
              <w:rPr>
                <w:rFonts w:cs="Arial"/>
              </w:rPr>
              <w:t>P</w:t>
            </w:r>
          </w:p>
        </w:tc>
        <w:tc>
          <w:tcPr>
            <w:tcW w:w="4123" w:type="dxa"/>
          </w:tcPr>
          <w:p w14:paraId="70BE91BE" w14:textId="67516D37" w:rsidR="000305DD" w:rsidRPr="00F24972" w:rsidRDefault="000305DD" w:rsidP="000305DD">
            <w:pPr>
              <w:pStyle w:val="TableText"/>
              <w:rPr>
                <w:rFonts w:cs="Arial"/>
              </w:rPr>
            </w:pPr>
            <w:r w:rsidRPr="00F24972">
              <w:rPr>
                <w:rFonts w:cs="Arial"/>
              </w:rPr>
              <w:t xml:space="preserve">This process is invoked when an individual unit is selected for patient assignment and the unit is electronically crossmatched. When </w:t>
            </w:r>
            <w:r w:rsidR="00AE3B37" w:rsidRPr="00F24972">
              <w:rPr>
                <w:rFonts w:cs="Arial"/>
              </w:rPr>
              <w:t>multiple units</w:t>
            </w:r>
            <w:r w:rsidRPr="00F24972">
              <w:rPr>
                <w:rFonts w:cs="Arial"/>
              </w:rPr>
              <w:t xml:space="preserve"> are selected, each unit accrues workload.</w:t>
            </w:r>
          </w:p>
        </w:tc>
      </w:tr>
      <w:tr w:rsidR="000305DD" w:rsidRPr="00F24972" w14:paraId="168D7F8F" w14:textId="77777777" w:rsidTr="005F65D6">
        <w:trPr>
          <w:cantSplit/>
        </w:trPr>
        <w:tc>
          <w:tcPr>
            <w:tcW w:w="1733" w:type="dxa"/>
            <w:vMerge w:val="restart"/>
            <w:shd w:val="clear" w:color="auto" w:fill="auto"/>
          </w:tcPr>
          <w:p w14:paraId="03B89434" w14:textId="77777777" w:rsidR="000305DD" w:rsidRPr="00F24972" w:rsidRDefault="000305DD" w:rsidP="000305DD">
            <w:pPr>
              <w:pStyle w:val="TableText"/>
              <w:rPr>
                <w:rFonts w:cs="Arial"/>
              </w:rPr>
            </w:pPr>
            <w:r w:rsidRPr="00F24972">
              <w:rPr>
                <w:rFonts w:cs="Arial"/>
              </w:rPr>
              <w:t>Crossmatch unit, serologic immediate spin</w:t>
            </w:r>
          </w:p>
        </w:tc>
        <w:tc>
          <w:tcPr>
            <w:tcW w:w="1165" w:type="dxa"/>
            <w:tcBorders>
              <w:top w:val="single" w:sz="4" w:space="0" w:color="auto"/>
              <w:bottom w:val="single" w:sz="4" w:space="0" w:color="auto"/>
              <w:right w:val="single" w:sz="4" w:space="0" w:color="auto"/>
            </w:tcBorders>
          </w:tcPr>
          <w:p w14:paraId="5B1A3600" w14:textId="77777777" w:rsidR="000305DD" w:rsidRPr="00F24972" w:rsidRDefault="000305DD" w:rsidP="000305DD">
            <w:pPr>
              <w:pStyle w:val="TableText"/>
              <w:rPr>
                <w:rFonts w:cs="Arial"/>
              </w:rPr>
            </w:pPr>
            <w:r>
              <w:rPr>
                <w:rFonts w:cs="Arial"/>
              </w:rPr>
              <w:t>Patient Testing, serologic crossmatch</w:t>
            </w:r>
          </w:p>
        </w:tc>
        <w:tc>
          <w:tcPr>
            <w:tcW w:w="1080" w:type="dxa"/>
            <w:tcBorders>
              <w:top w:val="single" w:sz="4" w:space="0" w:color="auto"/>
              <w:left w:val="single" w:sz="4" w:space="0" w:color="auto"/>
              <w:bottom w:val="single" w:sz="4" w:space="0" w:color="auto"/>
              <w:right w:val="single" w:sz="4" w:space="0" w:color="auto"/>
            </w:tcBorders>
          </w:tcPr>
          <w:p w14:paraId="17969729"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0731CEB9" w14:textId="77777777" w:rsidR="000305DD" w:rsidRPr="00F24972" w:rsidRDefault="000305DD" w:rsidP="000305DD">
            <w:pPr>
              <w:pStyle w:val="TableText"/>
              <w:jc w:val="center"/>
              <w:rPr>
                <w:rFonts w:cs="Arial"/>
              </w:rPr>
            </w:pPr>
            <w:r w:rsidRPr="00F24972">
              <w:rPr>
                <w:rFonts w:cs="Arial"/>
              </w:rPr>
              <w:t>P</w:t>
            </w:r>
          </w:p>
        </w:tc>
        <w:tc>
          <w:tcPr>
            <w:tcW w:w="4123" w:type="dxa"/>
            <w:tcBorders>
              <w:top w:val="single" w:sz="4" w:space="0" w:color="auto"/>
              <w:left w:val="single" w:sz="4" w:space="0" w:color="auto"/>
              <w:bottom w:val="single" w:sz="4" w:space="0" w:color="auto"/>
              <w:right w:val="single" w:sz="4" w:space="0" w:color="auto"/>
            </w:tcBorders>
          </w:tcPr>
          <w:p w14:paraId="1CD445FB" w14:textId="72986903" w:rsidR="000305DD" w:rsidRPr="00F24972" w:rsidRDefault="000305DD" w:rsidP="000305DD">
            <w:pPr>
              <w:pStyle w:val="TableText"/>
              <w:rPr>
                <w:rFonts w:cs="Arial"/>
              </w:rPr>
            </w:pPr>
            <w:r w:rsidRPr="00F24972">
              <w:rPr>
                <w:rFonts w:cs="Arial"/>
              </w:rPr>
              <w:t xml:space="preserve">Accrue workload when an individual unit (row) crossmatch, selected to include only the IS phase, is completed and is saved by </w:t>
            </w:r>
            <w:r>
              <w:rPr>
                <w:rFonts w:cs="Arial"/>
              </w:rPr>
              <w:t>Record Testing</w:t>
            </w:r>
            <w:r w:rsidRPr="00F24972">
              <w:rPr>
                <w:rFonts w:cs="Arial"/>
              </w:rPr>
              <w:t xml:space="preserve">. When </w:t>
            </w:r>
            <w:r w:rsidR="00AE3B37" w:rsidRPr="00F24972">
              <w:rPr>
                <w:rFonts w:cs="Arial"/>
              </w:rPr>
              <w:t>multiple units</w:t>
            </w:r>
            <w:r w:rsidRPr="00F24972">
              <w:rPr>
                <w:rFonts w:cs="Arial"/>
              </w:rPr>
              <w:t xml:space="preserve"> are selected, each unit (row) accrues workload.</w:t>
            </w:r>
          </w:p>
        </w:tc>
      </w:tr>
      <w:tr w:rsidR="000305DD" w:rsidRPr="00F24972" w14:paraId="6B65C944" w14:textId="77777777">
        <w:trPr>
          <w:cantSplit/>
        </w:trPr>
        <w:tc>
          <w:tcPr>
            <w:tcW w:w="1733" w:type="dxa"/>
            <w:vMerge/>
            <w:tcBorders>
              <w:bottom w:val="single" w:sz="4" w:space="0" w:color="auto"/>
            </w:tcBorders>
            <w:shd w:val="clear" w:color="auto" w:fill="auto"/>
          </w:tcPr>
          <w:p w14:paraId="4D634E77" w14:textId="77777777" w:rsidR="000305DD" w:rsidRPr="00F24972" w:rsidRDefault="000305DD" w:rsidP="000305DD">
            <w:pPr>
              <w:pStyle w:val="TableText"/>
              <w:rPr>
                <w:rFonts w:cs="Arial"/>
              </w:rPr>
            </w:pPr>
          </w:p>
        </w:tc>
        <w:tc>
          <w:tcPr>
            <w:tcW w:w="1165" w:type="dxa"/>
            <w:tcBorders>
              <w:top w:val="single" w:sz="4" w:space="0" w:color="auto"/>
              <w:bottom w:val="single" w:sz="4" w:space="0" w:color="auto"/>
              <w:right w:val="single" w:sz="4" w:space="0" w:color="auto"/>
            </w:tcBorders>
          </w:tcPr>
          <w:p w14:paraId="75C609F0" w14:textId="77777777" w:rsidR="000305DD" w:rsidRPr="00F24972" w:rsidRDefault="000305DD" w:rsidP="000305DD">
            <w:pPr>
              <w:pStyle w:val="TableText"/>
              <w:rPr>
                <w:rFonts w:cs="Arial"/>
              </w:rPr>
            </w:pPr>
            <w:r>
              <w:rPr>
                <w:rFonts w:cs="Arial"/>
              </w:rPr>
              <w:t>Invalidate Patient Testing, serologic crossmatch</w:t>
            </w:r>
          </w:p>
        </w:tc>
        <w:tc>
          <w:tcPr>
            <w:tcW w:w="1080" w:type="dxa"/>
            <w:tcBorders>
              <w:top w:val="single" w:sz="4" w:space="0" w:color="auto"/>
              <w:left w:val="single" w:sz="4" w:space="0" w:color="auto"/>
              <w:bottom w:val="single" w:sz="4" w:space="0" w:color="auto"/>
              <w:right w:val="single" w:sz="4" w:space="0" w:color="auto"/>
            </w:tcBorders>
          </w:tcPr>
          <w:p w14:paraId="49782CCE"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225BB4FA" w14:textId="77777777" w:rsidR="000305DD" w:rsidRPr="00F24972" w:rsidRDefault="000305DD" w:rsidP="000305DD">
            <w:pPr>
              <w:pStyle w:val="TableText"/>
              <w:jc w:val="center"/>
              <w:rPr>
                <w:rFonts w:cs="Arial"/>
              </w:rPr>
            </w:pPr>
            <w:r w:rsidRPr="00F24972">
              <w:rPr>
                <w:rFonts w:cs="Arial"/>
              </w:rPr>
              <w:t>P</w:t>
            </w:r>
          </w:p>
        </w:tc>
        <w:tc>
          <w:tcPr>
            <w:tcW w:w="4123" w:type="dxa"/>
            <w:tcBorders>
              <w:top w:val="single" w:sz="4" w:space="0" w:color="auto"/>
              <w:left w:val="single" w:sz="4" w:space="0" w:color="auto"/>
              <w:bottom w:val="single" w:sz="4" w:space="0" w:color="auto"/>
              <w:right w:val="single" w:sz="4" w:space="0" w:color="auto"/>
            </w:tcBorders>
          </w:tcPr>
          <w:p w14:paraId="333AA201" w14:textId="77777777" w:rsidR="000305DD" w:rsidRPr="00F24972" w:rsidRDefault="000305DD" w:rsidP="000305DD">
            <w:pPr>
              <w:pStyle w:val="TableText"/>
              <w:rPr>
                <w:rFonts w:cs="Arial"/>
              </w:rPr>
            </w:pPr>
            <w:r w:rsidRPr="00F24972">
              <w:rPr>
                <w:rFonts w:cs="Arial"/>
              </w:rPr>
              <w:t>Accrue workload when a completed crossmatch test is invalidated. The workload originally saved with the test, serologic immediate spin.</w:t>
            </w:r>
          </w:p>
        </w:tc>
      </w:tr>
      <w:tr w:rsidR="000305DD" w:rsidRPr="00F24972" w14:paraId="0F4600D2" w14:textId="77777777">
        <w:trPr>
          <w:cantSplit/>
        </w:trPr>
        <w:tc>
          <w:tcPr>
            <w:tcW w:w="1733" w:type="dxa"/>
            <w:vMerge w:val="restart"/>
          </w:tcPr>
          <w:p w14:paraId="3AE72BCA" w14:textId="77777777" w:rsidR="000305DD" w:rsidRPr="00F24972" w:rsidRDefault="000305DD" w:rsidP="000305DD">
            <w:pPr>
              <w:pStyle w:val="TableText"/>
              <w:rPr>
                <w:rFonts w:cs="Arial"/>
              </w:rPr>
            </w:pPr>
            <w:r w:rsidRPr="00F24972">
              <w:rPr>
                <w:rFonts w:cs="Arial"/>
              </w:rPr>
              <w:t>Crossmatch unit, serological Coombs</w:t>
            </w:r>
          </w:p>
          <w:p w14:paraId="5187C869" w14:textId="77777777" w:rsidR="000305DD" w:rsidRPr="00F24972" w:rsidRDefault="000305DD" w:rsidP="000305DD">
            <w:pPr>
              <w:pStyle w:val="TableText"/>
              <w:rPr>
                <w:rFonts w:cs="Arial"/>
              </w:rPr>
            </w:pPr>
          </w:p>
        </w:tc>
        <w:tc>
          <w:tcPr>
            <w:tcW w:w="1165" w:type="dxa"/>
          </w:tcPr>
          <w:p w14:paraId="612050CA" w14:textId="77777777" w:rsidR="000305DD" w:rsidRPr="00F24972" w:rsidRDefault="000305DD" w:rsidP="000305DD">
            <w:pPr>
              <w:pStyle w:val="TableText"/>
              <w:rPr>
                <w:rFonts w:cs="Arial"/>
              </w:rPr>
            </w:pPr>
            <w:r>
              <w:rPr>
                <w:rFonts w:cs="Arial"/>
              </w:rPr>
              <w:t>Transfusion Reaction Workup, serologic crossmatch</w:t>
            </w:r>
          </w:p>
        </w:tc>
        <w:tc>
          <w:tcPr>
            <w:tcW w:w="1080" w:type="dxa"/>
          </w:tcPr>
          <w:p w14:paraId="2FC83DC2" w14:textId="77777777" w:rsidR="000305DD" w:rsidRPr="00F24972" w:rsidRDefault="000305DD" w:rsidP="000305DD">
            <w:pPr>
              <w:pStyle w:val="TableText"/>
              <w:rPr>
                <w:rFonts w:cs="Arial"/>
              </w:rPr>
            </w:pPr>
            <w:r w:rsidRPr="00F24972">
              <w:rPr>
                <w:rFonts w:cs="Arial"/>
              </w:rPr>
              <w:t>Positive</w:t>
            </w:r>
          </w:p>
        </w:tc>
        <w:tc>
          <w:tcPr>
            <w:tcW w:w="900" w:type="dxa"/>
          </w:tcPr>
          <w:p w14:paraId="2FF6164A" w14:textId="77777777" w:rsidR="000305DD" w:rsidRPr="00F24972" w:rsidRDefault="000305DD" w:rsidP="000305DD">
            <w:pPr>
              <w:pStyle w:val="TableText"/>
              <w:jc w:val="center"/>
              <w:rPr>
                <w:rFonts w:cs="Arial"/>
              </w:rPr>
            </w:pPr>
            <w:r w:rsidRPr="00F24972">
              <w:rPr>
                <w:rFonts w:cs="Arial"/>
              </w:rPr>
              <w:t>P</w:t>
            </w:r>
          </w:p>
        </w:tc>
        <w:tc>
          <w:tcPr>
            <w:tcW w:w="4123" w:type="dxa"/>
          </w:tcPr>
          <w:p w14:paraId="0EC1F46B" w14:textId="77777777" w:rsidR="000305DD" w:rsidRPr="00F24972" w:rsidRDefault="000305DD" w:rsidP="000305DD">
            <w:pPr>
              <w:pStyle w:val="TableText"/>
              <w:rPr>
                <w:rFonts w:cs="Arial"/>
              </w:rPr>
            </w:pPr>
            <w:r w:rsidRPr="00F24972">
              <w:rPr>
                <w:rFonts w:cs="Arial"/>
              </w:rPr>
              <w:t>A crossmatch test for pre or post is enabled and a valid interpretation other than Not Tested is selected. A workload event is accrued separately for Pre and Post entries.</w:t>
            </w:r>
          </w:p>
          <w:p w14:paraId="41CA770D" w14:textId="12C7E12B" w:rsidR="000305DD" w:rsidRPr="00F24972" w:rsidRDefault="000305DD" w:rsidP="000305DD">
            <w:pPr>
              <w:pStyle w:val="TableText"/>
              <w:rPr>
                <w:rFonts w:cs="Arial"/>
              </w:rPr>
            </w:pPr>
            <w:r w:rsidRPr="00F24972">
              <w:rPr>
                <w:rFonts w:cs="Arial"/>
              </w:rPr>
              <w:t xml:space="preserve">When </w:t>
            </w:r>
            <w:r w:rsidR="00AE3B37" w:rsidRPr="00F24972">
              <w:rPr>
                <w:rFonts w:cs="Arial"/>
              </w:rPr>
              <w:t>multiple units</w:t>
            </w:r>
            <w:r w:rsidRPr="00F24972">
              <w:rPr>
                <w:rFonts w:cs="Arial"/>
              </w:rPr>
              <w:t xml:space="preserve"> are selected, each unit accrues workload.</w:t>
            </w:r>
          </w:p>
        </w:tc>
      </w:tr>
      <w:tr w:rsidR="000305DD" w:rsidRPr="00F24972" w14:paraId="78533767" w14:textId="77777777">
        <w:trPr>
          <w:cantSplit/>
        </w:trPr>
        <w:tc>
          <w:tcPr>
            <w:tcW w:w="1733" w:type="dxa"/>
            <w:vMerge/>
          </w:tcPr>
          <w:p w14:paraId="0B9A3CA1" w14:textId="77777777" w:rsidR="000305DD" w:rsidRPr="00F24972" w:rsidRDefault="000305DD" w:rsidP="000305DD">
            <w:pPr>
              <w:pStyle w:val="TableText"/>
              <w:rPr>
                <w:rFonts w:cs="Arial"/>
              </w:rPr>
            </w:pPr>
          </w:p>
        </w:tc>
        <w:tc>
          <w:tcPr>
            <w:tcW w:w="1165" w:type="dxa"/>
            <w:tcBorders>
              <w:top w:val="single" w:sz="4" w:space="0" w:color="auto"/>
              <w:bottom w:val="single" w:sz="4" w:space="0" w:color="auto"/>
              <w:right w:val="single" w:sz="4" w:space="0" w:color="auto"/>
            </w:tcBorders>
          </w:tcPr>
          <w:p w14:paraId="371492C7" w14:textId="77777777" w:rsidR="000305DD" w:rsidRPr="00F24972" w:rsidRDefault="000305DD" w:rsidP="000305DD">
            <w:pPr>
              <w:pStyle w:val="TableText"/>
              <w:rPr>
                <w:rFonts w:cs="Arial"/>
              </w:rPr>
            </w:pPr>
            <w:r>
              <w:rPr>
                <w:rFonts w:cs="Arial"/>
              </w:rPr>
              <w:t>Patient Testing, serologic crossmatch</w:t>
            </w:r>
          </w:p>
        </w:tc>
        <w:tc>
          <w:tcPr>
            <w:tcW w:w="1080" w:type="dxa"/>
            <w:tcBorders>
              <w:top w:val="single" w:sz="4" w:space="0" w:color="auto"/>
              <w:left w:val="single" w:sz="4" w:space="0" w:color="auto"/>
              <w:bottom w:val="single" w:sz="4" w:space="0" w:color="auto"/>
              <w:right w:val="single" w:sz="4" w:space="0" w:color="auto"/>
            </w:tcBorders>
          </w:tcPr>
          <w:p w14:paraId="2B4FAF2A"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2AFFB40D" w14:textId="77777777" w:rsidR="000305DD" w:rsidRPr="00F24972" w:rsidRDefault="000305DD" w:rsidP="000305DD">
            <w:pPr>
              <w:pStyle w:val="TableText"/>
              <w:jc w:val="center"/>
              <w:rPr>
                <w:rFonts w:cs="Arial"/>
              </w:rPr>
            </w:pPr>
            <w:r w:rsidRPr="00F24972">
              <w:rPr>
                <w:rFonts w:cs="Arial"/>
              </w:rPr>
              <w:t>P</w:t>
            </w:r>
          </w:p>
        </w:tc>
        <w:tc>
          <w:tcPr>
            <w:tcW w:w="4123" w:type="dxa"/>
            <w:tcBorders>
              <w:top w:val="single" w:sz="4" w:space="0" w:color="auto"/>
              <w:left w:val="single" w:sz="4" w:space="0" w:color="auto"/>
              <w:bottom w:val="single" w:sz="4" w:space="0" w:color="auto"/>
              <w:right w:val="single" w:sz="4" w:space="0" w:color="auto"/>
            </w:tcBorders>
          </w:tcPr>
          <w:p w14:paraId="2EAB2FBD" w14:textId="2526EF5B" w:rsidR="000305DD" w:rsidRPr="00F24972" w:rsidRDefault="000305DD" w:rsidP="000305DD">
            <w:pPr>
              <w:pStyle w:val="TableText"/>
              <w:rPr>
                <w:rFonts w:cs="Arial"/>
              </w:rPr>
            </w:pPr>
            <w:r w:rsidRPr="00F24972">
              <w:rPr>
                <w:rFonts w:cs="Arial"/>
              </w:rPr>
              <w:t xml:space="preserve">Accrue workload when an individual unit (row) crossmatch, selected to include all phases or only AHG phase, is completed and is saved by </w:t>
            </w:r>
            <w:r>
              <w:rPr>
                <w:rFonts w:cs="Arial"/>
              </w:rPr>
              <w:t>Record Testing</w:t>
            </w:r>
            <w:r w:rsidRPr="00F24972">
              <w:rPr>
                <w:rFonts w:cs="Arial"/>
              </w:rPr>
              <w:t xml:space="preserve">. When </w:t>
            </w:r>
            <w:r w:rsidR="00AE3B37" w:rsidRPr="00F24972">
              <w:rPr>
                <w:rFonts w:cs="Arial"/>
              </w:rPr>
              <w:t>multiple units</w:t>
            </w:r>
            <w:r w:rsidRPr="00F24972">
              <w:rPr>
                <w:rFonts w:cs="Arial"/>
              </w:rPr>
              <w:t xml:space="preserve"> are selected, each unit (row) accrues workload.</w:t>
            </w:r>
          </w:p>
        </w:tc>
      </w:tr>
      <w:tr w:rsidR="000305DD" w:rsidRPr="00F24972" w14:paraId="0F8C7507" w14:textId="77777777">
        <w:trPr>
          <w:cantSplit/>
        </w:trPr>
        <w:tc>
          <w:tcPr>
            <w:tcW w:w="1733" w:type="dxa"/>
            <w:vMerge/>
            <w:tcBorders>
              <w:bottom w:val="single" w:sz="4" w:space="0" w:color="auto"/>
            </w:tcBorders>
          </w:tcPr>
          <w:p w14:paraId="2B817124" w14:textId="77777777" w:rsidR="000305DD" w:rsidRPr="00F24972" w:rsidRDefault="000305DD" w:rsidP="000305DD">
            <w:pPr>
              <w:pStyle w:val="TableText"/>
              <w:rPr>
                <w:rFonts w:cs="Arial"/>
              </w:rPr>
            </w:pPr>
          </w:p>
        </w:tc>
        <w:tc>
          <w:tcPr>
            <w:tcW w:w="1165" w:type="dxa"/>
            <w:tcBorders>
              <w:top w:val="single" w:sz="4" w:space="0" w:color="auto"/>
              <w:bottom w:val="single" w:sz="4" w:space="0" w:color="auto"/>
              <w:right w:val="single" w:sz="4" w:space="0" w:color="auto"/>
            </w:tcBorders>
          </w:tcPr>
          <w:p w14:paraId="1FDE3C56" w14:textId="77777777" w:rsidR="000305DD" w:rsidRDefault="000305DD" w:rsidP="000305DD">
            <w:pPr>
              <w:pStyle w:val="TableText"/>
              <w:rPr>
                <w:rFonts w:cs="Arial"/>
              </w:rPr>
            </w:pPr>
            <w:r>
              <w:rPr>
                <w:rFonts w:cs="Arial"/>
              </w:rPr>
              <w:t>Invalidate</w:t>
            </w:r>
          </w:p>
          <w:p w14:paraId="2BBD62F2" w14:textId="77777777" w:rsidR="000305DD" w:rsidRPr="00F24972" w:rsidRDefault="000305DD" w:rsidP="000305DD">
            <w:pPr>
              <w:pStyle w:val="TableText"/>
              <w:rPr>
                <w:rFonts w:cs="Arial"/>
              </w:rPr>
            </w:pPr>
            <w:r>
              <w:rPr>
                <w:rFonts w:cs="Arial"/>
              </w:rPr>
              <w:t>Patient Testing, serologic crossmatch</w:t>
            </w:r>
          </w:p>
        </w:tc>
        <w:tc>
          <w:tcPr>
            <w:tcW w:w="1080" w:type="dxa"/>
            <w:tcBorders>
              <w:top w:val="single" w:sz="4" w:space="0" w:color="auto"/>
              <w:left w:val="single" w:sz="4" w:space="0" w:color="auto"/>
              <w:bottom w:val="single" w:sz="4" w:space="0" w:color="auto"/>
              <w:right w:val="single" w:sz="4" w:space="0" w:color="auto"/>
            </w:tcBorders>
          </w:tcPr>
          <w:p w14:paraId="1B899E21"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09842505" w14:textId="77777777" w:rsidR="000305DD" w:rsidRPr="00F24972" w:rsidRDefault="000305DD" w:rsidP="000305DD">
            <w:pPr>
              <w:pStyle w:val="TableText"/>
              <w:jc w:val="center"/>
              <w:rPr>
                <w:rFonts w:cs="Arial"/>
              </w:rPr>
            </w:pPr>
            <w:r w:rsidRPr="00F24972">
              <w:rPr>
                <w:rFonts w:cs="Arial"/>
              </w:rPr>
              <w:t>P</w:t>
            </w:r>
          </w:p>
        </w:tc>
        <w:tc>
          <w:tcPr>
            <w:tcW w:w="4123" w:type="dxa"/>
            <w:tcBorders>
              <w:top w:val="single" w:sz="4" w:space="0" w:color="auto"/>
              <w:left w:val="single" w:sz="4" w:space="0" w:color="auto"/>
              <w:bottom w:val="single" w:sz="4" w:space="0" w:color="auto"/>
              <w:right w:val="single" w:sz="4" w:space="0" w:color="auto"/>
            </w:tcBorders>
          </w:tcPr>
          <w:p w14:paraId="2D8CD9CE" w14:textId="77777777" w:rsidR="000305DD" w:rsidRPr="00F24972" w:rsidRDefault="000305DD" w:rsidP="000305DD">
            <w:pPr>
              <w:pStyle w:val="TableText"/>
              <w:rPr>
                <w:rFonts w:cs="Arial"/>
              </w:rPr>
            </w:pPr>
            <w:r w:rsidRPr="00F24972">
              <w:rPr>
                <w:rFonts w:cs="Arial"/>
              </w:rPr>
              <w:t>Accrue workload when a completed crossmatch test is invalidated. The workload originally saved with the test, serological Coombs.</w:t>
            </w:r>
          </w:p>
        </w:tc>
      </w:tr>
      <w:tr w:rsidR="000305DD" w:rsidRPr="00F24972" w14:paraId="31BB82BE" w14:textId="77777777">
        <w:trPr>
          <w:cantSplit/>
        </w:trPr>
        <w:tc>
          <w:tcPr>
            <w:tcW w:w="1733" w:type="dxa"/>
            <w:vMerge w:val="restart"/>
          </w:tcPr>
          <w:p w14:paraId="1A724212" w14:textId="77777777" w:rsidR="000305DD" w:rsidRPr="00F24972" w:rsidRDefault="000305DD" w:rsidP="000305DD">
            <w:pPr>
              <w:pStyle w:val="TableText"/>
              <w:rPr>
                <w:rFonts w:cs="Arial"/>
              </w:rPr>
            </w:pPr>
            <w:r w:rsidRPr="00F24972">
              <w:rPr>
                <w:rFonts w:cs="Arial"/>
              </w:rPr>
              <w:t>Crossmatch, Repeat Test</w:t>
            </w:r>
          </w:p>
          <w:p w14:paraId="2C5D6CAE" w14:textId="77777777" w:rsidR="000305DD" w:rsidRPr="00F24972" w:rsidRDefault="000305DD" w:rsidP="000305DD">
            <w:pPr>
              <w:pStyle w:val="TableText"/>
              <w:rPr>
                <w:rFonts w:cs="Arial"/>
              </w:rPr>
            </w:pPr>
          </w:p>
        </w:tc>
        <w:tc>
          <w:tcPr>
            <w:tcW w:w="1165" w:type="dxa"/>
          </w:tcPr>
          <w:p w14:paraId="171F1546" w14:textId="77777777" w:rsidR="000305DD" w:rsidRPr="00F24972" w:rsidRDefault="000305DD" w:rsidP="000305DD">
            <w:pPr>
              <w:pStyle w:val="TableText"/>
              <w:rPr>
                <w:rFonts w:cs="Arial"/>
              </w:rPr>
            </w:pPr>
            <w:r>
              <w:rPr>
                <w:rFonts w:cs="Arial"/>
              </w:rPr>
              <w:t>Patient Testing, serologic crossmatch</w:t>
            </w:r>
          </w:p>
        </w:tc>
        <w:tc>
          <w:tcPr>
            <w:tcW w:w="1080" w:type="dxa"/>
          </w:tcPr>
          <w:p w14:paraId="1E7FCB8A" w14:textId="77777777" w:rsidR="000305DD" w:rsidRPr="00F24972" w:rsidRDefault="000305DD" w:rsidP="000305DD">
            <w:pPr>
              <w:pStyle w:val="TableText"/>
              <w:rPr>
                <w:rFonts w:cs="Arial"/>
              </w:rPr>
            </w:pPr>
            <w:r w:rsidRPr="00F24972">
              <w:rPr>
                <w:rFonts w:cs="Arial"/>
              </w:rPr>
              <w:t>Positive</w:t>
            </w:r>
          </w:p>
        </w:tc>
        <w:tc>
          <w:tcPr>
            <w:tcW w:w="900" w:type="dxa"/>
          </w:tcPr>
          <w:p w14:paraId="27B02DF3" w14:textId="77777777" w:rsidR="000305DD" w:rsidRPr="00F24972" w:rsidRDefault="000305DD" w:rsidP="000305DD">
            <w:pPr>
              <w:pStyle w:val="TableText"/>
              <w:jc w:val="center"/>
              <w:rPr>
                <w:rFonts w:cs="Arial"/>
              </w:rPr>
            </w:pPr>
            <w:r w:rsidRPr="00F24972">
              <w:rPr>
                <w:rFonts w:cs="Arial"/>
              </w:rPr>
              <w:t>M</w:t>
            </w:r>
          </w:p>
        </w:tc>
        <w:tc>
          <w:tcPr>
            <w:tcW w:w="4123" w:type="dxa"/>
          </w:tcPr>
          <w:p w14:paraId="2CDF7B53" w14:textId="446C2F69" w:rsidR="000305DD" w:rsidRPr="00F24972" w:rsidRDefault="000305DD" w:rsidP="000305DD">
            <w:pPr>
              <w:pStyle w:val="TableText"/>
              <w:rPr>
                <w:rFonts w:cs="Arial"/>
              </w:rPr>
            </w:pPr>
            <w:r w:rsidRPr="00F24972">
              <w:rPr>
                <w:rFonts w:cs="Arial"/>
              </w:rPr>
              <w:t xml:space="preserve">Accrue workload when an individual unit (row) crossmatch, selected to include all phases or IS or only AHG phase, is completed and is saved by </w:t>
            </w:r>
            <w:r>
              <w:rPr>
                <w:rFonts w:cs="Arial"/>
              </w:rPr>
              <w:t>Record Testing</w:t>
            </w:r>
            <w:r w:rsidRPr="00F24972">
              <w:rPr>
                <w:rFonts w:cs="Arial"/>
              </w:rPr>
              <w:t xml:space="preserve">. When </w:t>
            </w:r>
            <w:r w:rsidR="00AE3B37" w:rsidRPr="00F24972">
              <w:rPr>
                <w:rFonts w:cs="Arial"/>
              </w:rPr>
              <w:t>multiple units</w:t>
            </w:r>
            <w:r w:rsidRPr="00F24972">
              <w:rPr>
                <w:rFonts w:cs="Arial"/>
              </w:rPr>
              <w:t xml:space="preserve"> are selected, each unit (row) accrues workload.</w:t>
            </w:r>
          </w:p>
          <w:p w14:paraId="148AF3E6" w14:textId="77777777" w:rsidR="000305DD" w:rsidRPr="00F24972" w:rsidRDefault="000305DD" w:rsidP="000305DD">
            <w:pPr>
              <w:pStyle w:val="TableText"/>
              <w:rPr>
                <w:rFonts w:cs="Arial"/>
              </w:rPr>
            </w:pPr>
            <w:r w:rsidRPr="00F24972">
              <w:rPr>
                <w:rFonts w:cs="Arial"/>
              </w:rPr>
              <w:t xml:space="preserve">Note: ordered via </w:t>
            </w:r>
            <w:r>
              <w:rPr>
                <w:rFonts w:cs="Arial"/>
              </w:rPr>
              <w:t>Order Reflex Test</w:t>
            </w:r>
            <w:r w:rsidRPr="00F24972">
              <w:rPr>
                <w:rFonts w:cs="Arial"/>
              </w:rPr>
              <w:t xml:space="preserve"> from main menu or the use of </w:t>
            </w:r>
            <w:r>
              <w:rPr>
                <w:rFonts w:cs="Arial"/>
              </w:rPr>
              <w:t>Order Reflex Test</w:t>
            </w:r>
            <w:r w:rsidRPr="00F24972">
              <w:rPr>
                <w:rFonts w:cs="Arial"/>
              </w:rPr>
              <w:t xml:space="preserve"> by </w:t>
            </w:r>
            <w:r>
              <w:rPr>
                <w:rFonts w:cs="Arial"/>
              </w:rPr>
              <w:t>Record Testing</w:t>
            </w:r>
            <w:r w:rsidRPr="00F24972">
              <w:rPr>
                <w:rFonts w:cs="Arial"/>
              </w:rPr>
              <w:t>.</w:t>
            </w:r>
          </w:p>
        </w:tc>
      </w:tr>
      <w:tr w:rsidR="000305DD" w:rsidRPr="00F24972" w14:paraId="6690CDDA" w14:textId="77777777">
        <w:trPr>
          <w:cantSplit/>
        </w:trPr>
        <w:tc>
          <w:tcPr>
            <w:tcW w:w="1733" w:type="dxa"/>
            <w:vMerge/>
            <w:tcBorders>
              <w:bottom w:val="single" w:sz="4" w:space="0" w:color="auto"/>
            </w:tcBorders>
          </w:tcPr>
          <w:p w14:paraId="019371BE" w14:textId="77777777" w:rsidR="000305DD" w:rsidRPr="00F24972" w:rsidRDefault="000305DD" w:rsidP="000305DD">
            <w:pPr>
              <w:pStyle w:val="TableText"/>
              <w:rPr>
                <w:rFonts w:cs="Arial"/>
              </w:rPr>
            </w:pPr>
          </w:p>
        </w:tc>
        <w:tc>
          <w:tcPr>
            <w:tcW w:w="1165" w:type="dxa"/>
            <w:tcBorders>
              <w:top w:val="single" w:sz="4" w:space="0" w:color="auto"/>
              <w:bottom w:val="single" w:sz="4" w:space="0" w:color="auto"/>
              <w:right w:val="single" w:sz="4" w:space="0" w:color="auto"/>
            </w:tcBorders>
          </w:tcPr>
          <w:p w14:paraId="107F3AC7" w14:textId="77777777" w:rsidR="000305DD" w:rsidRPr="00027B0B" w:rsidRDefault="000305DD" w:rsidP="000305DD">
            <w:pPr>
              <w:pStyle w:val="TableText"/>
              <w:rPr>
                <w:rFonts w:cs="Arial"/>
                <w:sz w:val="16"/>
                <w:szCs w:val="16"/>
              </w:rPr>
            </w:pPr>
            <w:r w:rsidRPr="00027B0B">
              <w:rPr>
                <w:rFonts w:cs="Arial"/>
                <w:sz w:val="16"/>
                <w:szCs w:val="16"/>
              </w:rPr>
              <w:t>Invalidate</w:t>
            </w:r>
          </w:p>
          <w:p w14:paraId="7BFE92F9" w14:textId="77777777" w:rsidR="000305DD" w:rsidRPr="00F24972" w:rsidRDefault="000305DD" w:rsidP="000305DD">
            <w:pPr>
              <w:rPr>
                <w:rFonts w:ascii="Arial" w:hAnsi="Arial" w:cs="Arial"/>
                <w:sz w:val="18"/>
                <w:szCs w:val="18"/>
              </w:rPr>
            </w:pPr>
            <w:r w:rsidRPr="00027B0B">
              <w:rPr>
                <w:rFonts w:ascii="Arial" w:hAnsi="Arial" w:cs="Arial"/>
                <w:sz w:val="16"/>
                <w:szCs w:val="16"/>
              </w:rPr>
              <w:t>Patient Testing, serologic crossmatch</w:t>
            </w:r>
          </w:p>
        </w:tc>
        <w:tc>
          <w:tcPr>
            <w:tcW w:w="1080" w:type="dxa"/>
            <w:tcBorders>
              <w:top w:val="single" w:sz="4" w:space="0" w:color="auto"/>
              <w:left w:val="single" w:sz="4" w:space="0" w:color="auto"/>
              <w:bottom w:val="single" w:sz="4" w:space="0" w:color="auto"/>
              <w:right w:val="single" w:sz="4" w:space="0" w:color="auto"/>
            </w:tcBorders>
          </w:tcPr>
          <w:p w14:paraId="70594604" w14:textId="77777777" w:rsidR="000305DD" w:rsidRPr="00F24972" w:rsidRDefault="000305DD" w:rsidP="000305DD">
            <w:pPr>
              <w:rPr>
                <w:rFonts w:ascii="Arial" w:hAnsi="Arial" w:cs="Arial"/>
                <w:b/>
                <w:sz w:val="18"/>
                <w:szCs w:val="18"/>
              </w:rPr>
            </w:pPr>
            <w:r w:rsidRPr="00F24972">
              <w:rPr>
                <w:rFonts w:ascii="Arial" w:hAnsi="Arial" w:cs="Arial"/>
                <w:b/>
                <w:sz w:val="18"/>
                <w:szCs w:val="18"/>
              </w:rPr>
              <w:t>Negative</w:t>
            </w:r>
          </w:p>
        </w:tc>
        <w:tc>
          <w:tcPr>
            <w:tcW w:w="900" w:type="dxa"/>
            <w:tcBorders>
              <w:top w:val="single" w:sz="4" w:space="0" w:color="auto"/>
              <w:left w:val="single" w:sz="4" w:space="0" w:color="auto"/>
              <w:bottom w:val="single" w:sz="4" w:space="0" w:color="auto"/>
              <w:right w:val="single" w:sz="4" w:space="0" w:color="auto"/>
            </w:tcBorders>
          </w:tcPr>
          <w:p w14:paraId="2BDFEABC" w14:textId="77777777" w:rsidR="000305DD" w:rsidRPr="00F24972" w:rsidRDefault="000305DD" w:rsidP="000305DD">
            <w:pPr>
              <w:pStyle w:val="TableText"/>
              <w:jc w:val="center"/>
              <w:rPr>
                <w:rFonts w:cs="Arial"/>
              </w:rPr>
            </w:pPr>
            <w:r w:rsidRPr="00F24972">
              <w:rPr>
                <w:rFonts w:cs="Arial"/>
              </w:rPr>
              <w:t>M</w:t>
            </w:r>
          </w:p>
        </w:tc>
        <w:tc>
          <w:tcPr>
            <w:tcW w:w="4123" w:type="dxa"/>
            <w:tcBorders>
              <w:top w:val="single" w:sz="4" w:space="0" w:color="auto"/>
              <w:left w:val="single" w:sz="4" w:space="0" w:color="auto"/>
              <w:bottom w:val="single" w:sz="4" w:space="0" w:color="auto"/>
              <w:right w:val="single" w:sz="4" w:space="0" w:color="auto"/>
            </w:tcBorders>
          </w:tcPr>
          <w:p w14:paraId="483CFBB3" w14:textId="77777777" w:rsidR="000305DD" w:rsidRPr="00F24972" w:rsidRDefault="000305DD" w:rsidP="000305DD">
            <w:pPr>
              <w:pStyle w:val="TableText"/>
              <w:rPr>
                <w:rFonts w:cs="Arial"/>
              </w:rPr>
            </w:pPr>
            <w:r w:rsidRPr="00F24972">
              <w:rPr>
                <w:rFonts w:cs="Arial"/>
              </w:rPr>
              <w:t>Accrue workload when an individual unit crossmatch is invalidated.</w:t>
            </w:r>
          </w:p>
        </w:tc>
      </w:tr>
      <w:tr w:rsidR="000305DD" w:rsidRPr="00F24972" w14:paraId="1CCA840B" w14:textId="77777777">
        <w:trPr>
          <w:cantSplit/>
        </w:trPr>
        <w:tc>
          <w:tcPr>
            <w:tcW w:w="1733" w:type="dxa"/>
            <w:tcBorders>
              <w:top w:val="single" w:sz="4" w:space="0" w:color="auto"/>
              <w:left w:val="single" w:sz="4" w:space="0" w:color="auto"/>
              <w:bottom w:val="single" w:sz="4" w:space="0" w:color="auto"/>
              <w:right w:val="single" w:sz="4" w:space="0" w:color="auto"/>
            </w:tcBorders>
            <w:vAlign w:val="bottom"/>
          </w:tcPr>
          <w:p w14:paraId="5C361D81" w14:textId="77777777" w:rsidR="000305DD" w:rsidRPr="00F24972" w:rsidRDefault="000305DD" w:rsidP="000305DD">
            <w:pPr>
              <w:pStyle w:val="TableText"/>
              <w:rPr>
                <w:rFonts w:cs="Arial"/>
              </w:rPr>
            </w:pPr>
            <w:r w:rsidRPr="00F24972">
              <w:rPr>
                <w:rFonts w:cs="Arial"/>
              </w:rPr>
              <w:t>Daily Rack Quality Control (QC)</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2316BAA0" w14:textId="77777777" w:rsidR="000305DD" w:rsidRPr="00F24972" w:rsidRDefault="000305DD" w:rsidP="000305DD">
            <w:pPr>
              <w:pStyle w:val="TableText"/>
              <w:rPr>
                <w:rFonts w:cs="Arial"/>
              </w:rPr>
            </w:pPr>
            <w:r>
              <w:rPr>
                <w:rFonts w:cs="Arial"/>
              </w:rPr>
              <w:t>Enter Daily Reagent Rack QC</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A026105"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850CEF1" w14:textId="77777777" w:rsidR="000305DD" w:rsidRPr="00F24972" w:rsidRDefault="000305DD" w:rsidP="000305DD">
            <w:pPr>
              <w:pStyle w:val="TableText"/>
              <w:jc w:val="center"/>
              <w:rPr>
                <w:rFonts w:cs="Arial"/>
              </w:rPr>
            </w:pPr>
            <w:r w:rsidRPr="00F24972">
              <w:rPr>
                <w:rFonts w:cs="Arial"/>
              </w:rPr>
              <w:t>M</w:t>
            </w:r>
          </w:p>
        </w:tc>
        <w:tc>
          <w:tcPr>
            <w:tcW w:w="4123" w:type="dxa"/>
            <w:tcBorders>
              <w:top w:val="single" w:sz="4" w:space="0" w:color="auto"/>
              <w:left w:val="single" w:sz="4" w:space="0" w:color="auto"/>
              <w:bottom w:val="single" w:sz="4" w:space="0" w:color="auto"/>
              <w:right w:val="single" w:sz="4" w:space="0" w:color="auto"/>
            </w:tcBorders>
            <w:shd w:val="clear" w:color="auto" w:fill="auto"/>
            <w:vAlign w:val="bottom"/>
          </w:tcPr>
          <w:p w14:paraId="1F1FAA07" w14:textId="77777777" w:rsidR="000305DD" w:rsidRPr="00F24972" w:rsidRDefault="000305DD" w:rsidP="000305DD">
            <w:pPr>
              <w:pStyle w:val="TableText"/>
              <w:rPr>
                <w:rFonts w:cs="Arial"/>
              </w:rPr>
            </w:pPr>
            <w:r w:rsidRPr="00F24972">
              <w:rPr>
                <w:rFonts w:cs="Arial"/>
              </w:rPr>
              <w:t>Accrue workload when Daily QC rack completed for one individual rack includes all rows in configured QC. When multiple racks are tested, each completed and saved tab accrues a workload event.</w:t>
            </w:r>
          </w:p>
        </w:tc>
      </w:tr>
      <w:tr w:rsidR="000305DD" w:rsidRPr="00F24972" w14:paraId="09070EE8" w14:textId="77777777">
        <w:trPr>
          <w:cantSplit/>
        </w:trPr>
        <w:tc>
          <w:tcPr>
            <w:tcW w:w="1733" w:type="dxa"/>
            <w:tcBorders>
              <w:top w:val="single" w:sz="4" w:space="0" w:color="auto"/>
              <w:left w:val="single" w:sz="4" w:space="0" w:color="auto"/>
              <w:bottom w:val="single" w:sz="4" w:space="0" w:color="auto"/>
              <w:right w:val="single" w:sz="4" w:space="0" w:color="auto"/>
            </w:tcBorders>
          </w:tcPr>
          <w:p w14:paraId="20386800" w14:textId="77777777" w:rsidR="000305DD" w:rsidRPr="00F24972" w:rsidRDefault="000305DD" w:rsidP="000305DD">
            <w:pPr>
              <w:pStyle w:val="TableText"/>
              <w:rPr>
                <w:rFonts w:cs="Arial"/>
              </w:rPr>
            </w:pPr>
            <w:r w:rsidRPr="00F24972">
              <w:rPr>
                <w:rFonts w:cs="Arial"/>
              </w:rPr>
              <w:t>DAT (QC)</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2EFA7ED9" w14:textId="4FF7E02E" w:rsidR="000305DD" w:rsidRPr="00F24972" w:rsidRDefault="000305DD" w:rsidP="000305DD">
            <w:pPr>
              <w:pStyle w:val="TableText"/>
              <w:rPr>
                <w:rFonts w:cs="Arial"/>
              </w:rPr>
            </w:pPr>
            <w:r>
              <w:rPr>
                <w:rFonts w:cs="Arial"/>
              </w:rPr>
              <w:t xml:space="preserve">Enter Daily Reagent Rack QC </w:t>
            </w:r>
            <w:r w:rsidR="00AE3B37">
              <w:rPr>
                <w:rFonts w:cs="Arial"/>
              </w:rPr>
              <w:t>or DAT</w:t>
            </w:r>
            <w:r>
              <w:rPr>
                <w:rFonts w:cs="Arial"/>
              </w:rPr>
              <w:t xml:space="preserve"> QC</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AE1232C"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A0F2EBF" w14:textId="77777777" w:rsidR="000305DD" w:rsidRPr="00F24972" w:rsidRDefault="000305DD" w:rsidP="000305DD">
            <w:pPr>
              <w:pStyle w:val="TableText"/>
              <w:jc w:val="center"/>
              <w:rPr>
                <w:rFonts w:cs="Arial"/>
              </w:rPr>
            </w:pPr>
            <w:r w:rsidRPr="00F24972">
              <w:rPr>
                <w:rFonts w:cs="Arial"/>
              </w:rPr>
              <w:t>M</w:t>
            </w:r>
          </w:p>
        </w:tc>
        <w:tc>
          <w:tcPr>
            <w:tcW w:w="4123" w:type="dxa"/>
            <w:tcBorders>
              <w:top w:val="single" w:sz="4" w:space="0" w:color="auto"/>
              <w:left w:val="single" w:sz="4" w:space="0" w:color="auto"/>
              <w:bottom w:val="single" w:sz="4" w:space="0" w:color="auto"/>
              <w:right w:val="single" w:sz="4" w:space="0" w:color="auto"/>
            </w:tcBorders>
            <w:shd w:val="clear" w:color="auto" w:fill="auto"/>
            <w:vAlign w:val="bottom"/>
          </w:tcPr>
          <w:p w14:paraId="03810E1D" w14:textId="77777777" w:rsidR="000305DD" w:rsidRPr="00F24972" w:rsidRDefault="000305DD" w:rsidP="000305DD">
            <w:pPr>
              <w:pStyle w:val="TableText"/>
              <w:rPr>
                <w:rFonts w:cs="Arial"/>
              </w:rPr>
            </w:pPr>
            <w:r w:rsidRPr="00F24972">
              <w:rPr>
                <w:rFonts w:cs="Arial"/>
              </w:rPr>
              <w:t xml:space="preserve">Accrue workload when Reagent QC completed or in </w:t>
            </w:r>
            <w:r>
              <w:rPr>
                <w:rFonts w:cs="Arial"/>
              </w:rPr>
              <w:t>Record Patient Direct Antiglobulin Test</w:t>
            </w:r>
            <w:r w:rsidRPr="00F24972">
              <w:rPr>
                <w:rFonts w:cs="Arial"/>
              </w:rPr>
              <w:t xml:space="preserve"> includes the testing of both the positive and negative control cells, per specificity per lot number, when only one phase of reactivity is chosen for the test grid, IS or AHG. One workload event is collected per completed tab for regular or repeat antiglobulin tests (PS, IgG, Comp) tests.</w:t>
            </w:r>
          </w:p>
        </w:tc>
      </w:tr>
      <w:tr w:rsidR="000305DD" w:rsidRPr="00F24972" w14:paraId="6CB627C7" w14:textId="77777777">
        <w:trPr>
          <w:cantSplit/>
        </w:trPr>
        <w:tc>
          <w:tcPr>
            <w:tcW w:w="1733" w:type="dxa"/>
            <w:vMerge w:val="restart"/>
            <w:tcBorders>
              <w:top w:val="single" w:sz="4" w:space="0" w:color="auto"/>
              <w:left w:val="single" w:sz="4" w:space="0" w:color="auto"/>
              <w:right w:val="single" w:sz="4" w:space="0" w:color="auto"/>
            </w:tcBorders>
          </w:tcPr>
          <w:p w14:paraId="6ED39FBD" w14:textId="77777777" w:rsidR="000305DD" w:rsidRPr="00F24972" w:rsidRDefault="000305DD" w:rsidP="000305DD">
            <w:pPr>
              <w:pStyle w:val="TableText"/>
              <w:rPr>
                <w:rFonts w:cs="Arial"/>
              </w:rPr>
            </w:pPr>
            <w:r w:rsidRPr="00F24972">
              <w:rPr>
                <w:rFonts w:cs="Arial"/>
              </w:rPr>
              <w:lastRenderedPageBreak/>
              <w:t>Direct Antiglobulin Test (DAT)</w:t>
            </w:r>
          </w:p>
          <w:p w14:paraId="47A3FE1C" w14:textId="77777777"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79585A1A" w14:textId="77777777" w:rsidR="000305DD" w:rsidRPr="00F24972" w:rsidRDefault="000305DD" w:rsidP="000305DD">
            <w:pPr>
              <w:pStyle w:val="TableText"/>
              <w:rPr>
                <w:rFonts w:cs="Arial"/>
              </w:rPr>
            </w:pPr>
            <w:r>
              <w:rPr>
                <w:rFonts w:cs="Arial"/>
              </w:rPr>
              <w:t>Transfusion Reaction Workup, DAT test</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D8580CB"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5AAD493" w14:textId="77777777" w:rsidR="000305DD" w:rsidRPr="00F24972" w:rsidRDefault="000305DD" w:rsidP="000305DD">
            <w:pPr>
              <w:pStyle w:val="TableText"/>
              <w:jc w:val="center"/>
              <w:rPr>
                <w:rFonts w:cs="Arial"/>
              </w:rPr>
            </w:pPr>
            <w:r w:rsidRPr="00F24972">
              <w:rPr>
                <w:rFonts w:cs="Arial"/>
              </w:rPr>
              <w:t>P</w:t>
            </w:r>
          </w:p>
        </w:tc>
        <w:tc>
          <w:tcPr>
            <w:tcW w:w="4123" w:type="dxa"/>
            <w:tcBorders>
              <w:top w:val="single" w:sz="4" w:space="0" w:color="auto"/>
              <w:left w:val="single" w:sz="4" w:space="0" w:color="auto"/>
              <w:bottom w:val="single" w:sz="4" w:space="0" w:color="auto"/>
              <w:right w:val="single" w:sz="4" w:space="0" w:color="auto"/>
            </w:tcBorders>
            <w:shd w:val="clear" w:color="auto" w:fill="auto"/>
          </w:tcPr>
          <w:p w14:paraId="55A9C34C" w14:textId="77777777" w:rsidR="000305DD" w:rsidRPr="00F24972" w:rsidRDefault="000305DD" w:rsidP="000305DD">
            <w:pPr>
              <w:pStyle w:val="TableText"/>
              <w:rPr>
                <w:rFonts w:cs="Arial"/>
              </w:rPr>
            </w:pPr>
            <w:r w:rsidRPr="00F24972">
              <w:rPr>
                <w:rFonts w:cs="Arial"/>
              </w:rPr>
              <w:t>A DAT test for pre or post is enabled and a valid interpretation other than Not Tested is selected. A workload event is accrued separately for Pre and Post entries.</w:t>
            </w:r>
          </w:p>
        </w:tc>
      </w:tr>
      <w:tr w:rsidR="000305DD" w:rsidRPr="00F24972" w14:paraId="08E11F54" w14:textId="77777777">
        <w:trPr>
          <w:cantSplit/>
        </w:trPr>
        <w:tc>
          <w:tcPr>
            <w:tcW w:w="1733" w:type="dxa"/>
            <w:vMerge/>
            <w:tcBorders>
              <w:left w:val="single" w:sz="4" w:space="0" w:color="auto"/>
              <w:right w:val="single" w:sz="4" w:space="0" w:color="auto"/>
            </w:tcBorders>
          </w:tcPr>
          <w:p w14:paraId="2320F016" w14:textId="77777777"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tcPr>
          <w:p w14:paraId="41A739F5" w14:textId="77777777" w:rsidR="000305DD" w:rsidRPr="00F24972" w:rsidRDefault="000305DD" w:rsidP="000305DD">
            <w:pPr>
              <w:pStyle w:val="TableText"/>
              <w:rPr>
                <w:rFonts w:cs="Arial"/>
              </w:rPr>
            </w:pPr>
            <w:r>
              <w:rPr>
                <w:rFonts w:cs="Arial"/>
              </w:rPr>
              <w:t>Patient Testing, DAT</w:t>
            </w:r>
          </w:p>
        </w:tc>
        <w:tc>
          <w:tcPr>
            <w:tcW w:w="1080" w:type="dxa"/>
            <w:tcBorders>
              <w:top w:val="single" w:sz="4" w:space="0" w:color="auto"/>
              <w:left w:val="single" w:sz="4" w:space="0" w:color="auto"/>
              <w:bottom w:val="single" w:sz="4" w:space="0" w:color="auto"/>
              <w:right w:val="single" w:sz="4" w:space="0" w:color="auto"/>
            </w:tcBorders>
          </w:tcPr>
          <w:p w14:paraId="47674E29"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612E52C9" w14:textId="77777777" w:rsidR="000305DD" w:rsidRPr="00F24972" w:rsidRDefault="000305DD" w:rsidP="000305DD">
            <w:pPr>
              <w:pStyle w:val="TableText"/>
              <w:jc w:val="center"/>
              <w:rPr>
                <w:rFonts w:cs="Arial"/>
              </w:rPr>
            </w:pPr>
            <w:r w:rsidRPr="00F24972">
              <w:rPr>
                <w:rFonts w:cs="Arial"/>
              </w:rPr>
              <w:t>P</w:t>
            </w:r>
          </w:p>
        </w:tc>
        <w:tc>
          <w:tcPr>
            <w:tcW w:w="4123" w:type="dxa"/>
            <w:tcBorders>
              <w:top w:val="single" w:sz="4" w:space="0" w:color="auto"/>
              <w:left w:val="single" w:sz="4" w:space="0" w:color="auto"/>
              <w:bottom w:val="single" w:sz="4" w:space="0" w:color="auto"/>
              <w:right w:val="single" w:sz="4" w:space="0" w:color="auto"/>
            </w:tcBorders>
          </w:tcPr>
          <w:p w14:paraId="492AC555" w14:textId="77777777" w:rsidR="000305DD" w:rsidRPr="00F24972" w:rsidRDefault="000305DD" w:rsidP="000305DD">
            <w:pPr>
              <w:pStyle w:val="TableText"/>
              <w:rPr>
                <w:rFonts w:cs="Arial"/>
              </w:rPr>
            </w:pPr>
            <w:r w:rsidRPr="00F24972">
              <w:rPr>
                <w:rFonts w:cs="Arial"/>
              </w:rPr>
              <w:t>Accrue workload when a DAT completed and saved (</w:t>
            </w:r>
            <w:r>
              <w:rPr>
                <w:rFonts w:cs="Arial"/>
              </w:rPr>
              <w:t>Record Patient Direct Antiglobulin Test</w:t>
            </w:r>
            <w:r w:rsidRPr="00F24972">
              <w:rPr>
                <w:rFonts w:cs="Arial"/>
              </w:rPr>
              <w:t xml:space="preserve"> is saved by </w:t>
            </w:r>
            <w:r>
              <w:rPr>
                <w:rFonts w:cs="Arial"/>
              </w:rPr>
              <w:t>Record Testing</w:t>
            </w:r>
            <w:r w:rsidRPr="00F24972">
              <w:rPr>
                <w:rFonts w:cs="Arial"/>
              </w:rPr>
              <w:t xml:space="preserve"> as part of a TAS configuration or individual test ordered. This count is used for all antiglobulin tests (PS, IgG, Comp) when ordered from CPRS or Reflex testing.</w:t>
            </w:r>
          </w:p>
        </w:tc>
      </w:tr>
      <w:tr w:rsidR="000305DD" w:rsidRPr="00F24972" w14:paraId="639957EA" w14:textId="77777777">
        <w:trPr>
          <w:cantSplit/>
        </w:trPr>
        <w:tc>
          <w:tcPr>
            <w:tcW w:w="1733" w:type="dxa"/>
            <w:vMerge/>
            <w:tcBorders>
              <w:left w:val="single" w:sz="4" w:space="0" w:color="auto"/>
              <w:bottom w:val="single" w:sz="4" w:space="0" w:color="auto"/>
              <w:right w:val="single" w:sz="4" w:space="0" w:color="auto"/>
            </w:tcBorders>
          </w:tcPr>
          <w:p w14:paraId="3F7B9E00" w14:textId="77777777"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tcPr>
          <w:p w14:paraId="04694098" w14:textId="77777777" w:rsidR="000305DD" w:rsidRPr="00F24972" w:rsidRDefault="000305DD" w:rsidP="000305DD">
            <w:pPr>
              <w:pStyle w:val="TableText"/>
              <w:rPr>
                <w:rFonts w:cs="Arial"/>
              </w:rPr>
            </w:pPr>
            <w:r>
              <w:rPr>
                <w:rFonts w:cs="Arial"/>
              </w:rPr>
              <w:t>Invalidate Patient Testing, DAT</w:t>
            </w:r>
          </w:p>
        </w:tc>
        <w:tc>
          <w:tcPr>
            <w:tcW w:w="1080" w:type="dxa"/>
            <w:tcBorders>
              <w:top w:val="single" w:sz="4" w:space="0" w:color="auto"/>
              <w:left w:val="single" w:sz="4" w:space="0" w:color="auto"/>
              <w:bottom w:val="single" w:sz="4" w:space="0" w:color="auto"/>
              <w:right w:val="single" w:sz="4" w:space="0" w:color="auto"/>
            </w:tcBorders>
          </w:tcPr>
          <w:p w14:paraId="54DFAB7C"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23C28A97" w14:textId="77777777" w:rsidR="000305DD" w:rsidRPr="00F24972" w:rsidRDefault="000305DD" w:rsidP="000305DD">
            <w:pPr>
              <w:pStyle w:val="TableText"/>
              <w:jc w:val="center"/>
              <w:rPr>
                <w:rFonts w:cs="Arial"/>
              </w:rPr>
            </w:pPr>
            <w:r w:rsidRPr="00F24972">
              <w:rPr>
                <w:rFonts w:cs="Arial"/>
              </w:rPr>
              <w:t>P</w:t>
            </w:r>
          </w:p>
        </w:tc>
        <w:tc>
          <w:tcPr>
            <w:tcW w:w="4123" w:type="dxa"/>
            <w:tcBorders>
              <w:top w:val="single" w:sz="4" w:space="0" w:color="auto"/>
              <w:left w:val="single" w:sz="4" w:space="0" w:color="auto"/>
              <w:bottom w:val="single" w:sz="4" w:space="0" w:color="auto"/>
              <w:right w:val="single" w:sz="4" w:space="0" w:color="auto"/>
            </w:tcBorders>
          </w:tcPr>
          <w:p w14:paraId="794B94D3" w14:textId="77777777" w:rsidR="000305DD" w:rsidRPr="00F24972" w:rsidRDefault="000305DD" w:rsidP="000305DD">
            <w:pPr>
              <w:pStyle w:val="TableText"/>
              <w:rPr>
                <w:rFonts w:cs="Arial"/>
              </w:rPr>
            </w:pPr>
            <w:r w:rsidRPr="00F24972">
              <w:rPr>
                <w:rFonts w:cs="Arial"/>
              </w:rPr>
              <w:t xml:space="preserve">Accrue workload when a completed DAT, PS, IgG, or Comp is invalidated. </w:t>
            </w:r>
          </w:p>
        </w:tc>
      </w:tr>
      <w:tr w:rsidR="000305DD" w:rsidRPr="00F24972" w14:paraId="0AF74FF5" w14:textId="77777777">
        <w:trPr>
          <w:cantSplit/>
        </w:trPr>
        <w:tc>
          <w:tcPr>
            <w:tcW w:w="1733" w:type="dxa"/>
            <w:vMerge w:val="restart"/>
            <w:tcBorders>
              <w:top w:val="single" w:sz="4" w:space="0" w:color="auto"/>
              <w:left w:val="single" w:sz="4" w:space="0" w:color="auto"/>
              <w:right w:val="single" w:sz="4" w:space="0" w:color="auto"/>
            </w:tcBorders>
          </w:tcPr>
          <w:p w14:paraId="0CCE9031" w14:textId="77777777" w:rsidR="000305DD" w:rsidRPr="00F24972" w:rsidRDefault="000305DD" w:rsidP="000305DD">
            <w:pPr>
              <w:pStyle w:val="TableText"/>
              <w:rPr>
                <w:rFonts w:cs="Arial"/>
              </w:rPr>
            </w:pPr>
            <w:r w:rsidRPr="00F24972">
              <w:rPr>
                <w:rFonts w:cs="Arial"/>
              </w:rPr>
              <w:t>Direct Antiglobulin Test (DAT) Repeat test</w:t>
            </w:r>
          </w:p>
        </w:tc>
        <w:tc>
          <w:tcPr>
            <w:tcW w:w="1165" w:type="dxa"/>
            <w:tcBorders>
              <w:top w:val="single" w:sz="4" w:space="0" w:color="auto"/>
              <w:left w:val="single" w:sz="4" w:space="0" w:color="auto"/>
              <w:bottom w:val="single" w:sz="4" w:space="0" w:color="auto"/>
              <w:right w:val="single" w:sz="4" w:space="0" w:color="auto"/>
            </w:tcBorders>
          </w:tcPr>
          <w:p w14:paraId="6B7E55A8" w14:textId="77777777" w:rsidR="000305DD" w:rsidRPr="00F24972" w:rsidRDefault="000305DD" w:rsidP="000305DD">
            <w:pPr>
              <w:pStyle w:val="TableText"/>
              <w:rPr>
                <w:rFonts w:cs="Arial"/>
              </w:rPr>
            </w:pPr>
            <w:r>
              <w:rPr>
                <w:rFonts w:cs="Arial"/>
              </w:rPr>
              <w:t>Patient Testing, DAT</w:t>
            </w:r>
          </w:p>
        </w:tc>
        <w:tc>
          <w:tcPr>
            <w:tcW w:w="1080" w:type="dxa"/>
            <w:tcBorders>
              <w:top w:val="single" w:sz="4" w:space="0" w:color="auto"/>
              <w:left w:val="single" w:sz="4" w:space="0" w:color="auto"/>
              <w:bottom w:val="single" w:sz="4" w:space="0" w:color="auto"/>
              <w:right w:val="single" w:sz="4" w:space="0" w:color="auto"/>
            </w:tcBorders>
          </w:tcPr>
          <w:p w14:paraId="68A8EE29"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33C59CE5" w14:textId="77777777" w:rsidR="000305DD" w:rsidRPr="00F24972" w:rsidRDefault="000305DD" w:rsidP="000305DD">
            <w:pPr>
              <w:pStyle w:val="TableText"/>
              <w:jc w:val="center"/>
              <w:rPr>
                <w:rFonts w:cs="Arial"/>
              </w:rPr>
            </w:pPr>
            <w:r w:rsidRPr="00F24972">
              <w:rPr>
                <w:rFonts w:cs="Arial"/>
              </w:rPr>
              <w:t>M</w:t>
            </w:r>
          </w:p>
        </w:tc>
        <w:tc>
          <w:tcPr>
            <w:tcW w:w="4123" w:type="dxa"/>
            <w:tcBorders>
              <w:top w:val="single" w:sz="4" w:space="0" w:color="auto"/>
              <w:left w:val="single" w:sz="4" w:space="0" w:color="auto"/>
              <w:bottom w:val="single" w:sz="4" w:space="0" w:color="auto"/>
              <w:right w:val="single" w:sz="4" w:space="0" w:color="auto"/>
            </w:tcBorders>
          </w:tcPr>
          <w:p w14:paraId="3F20DCA7" w14:textId="77777777" w:rsidR="000305DD" w:rsidRPr="00F24972" w:rsidRDefault="000305DD" w:rsidP="000305DD">
            <w:pPr>
              <w:pStyle w:val="TableText"/>
              <w:rPr>
                <w:rFonts w:cs="Arial"/>
              </w:rPr>
            </w:pPr>
            <w:r w:rsidRPr="00F24972">
              <w:rPr>
                <w:rFonts w:cs="Arial"/>
              </w:rPr>
              <w:t xml:space="preserve">Accrue workload when a reflex or repeat DAT test is performed, completed and saved via </w:t>
            </w:r>
            <w:r>
              <w:rPr>
                <w:rFonts w:cs="Arial"/>
              </w:rPr>
              <w:t>Record Testing</w:t>
            </w:r>
            <w:r w:rsidRPr="00F24972">
              <w:rPr>
                <w:rFonts w:cs="Arial"/>
              </w:rPr>
              <w:t>. This applies to</w:t>
            </w:r>
            <w:r>
              <w:rPr>
                <w:rFonts w:cs="Arial"/>
              </w:rPr>
              <w:t xml:space="preserve"> </w:t>
            </w:r>
            <w:r w:rsidRPr="00F24972">
              <w:rPr>
                <w:rFonts w:cs="Arial"/>
              </w:rPr>
              <w:t>all repeat antiglobulin tests (PS, IgG, Comp)</w:t>
            </w:r>
          </w:p>
          <w:p w14:paraId="6ABDB5E0" w14:textId="77777777" w:rsidR="000305DD" w:rsidRPr="00F24972" w:rsidRDefault="000305DD" w:rsidP="000305DD">
            <w:pPr>
              <w:pStyle w:val="TableText"/>
              <w:rPr>
                <w:rFonts w:cs="Arial"/>
              </w:rPr>
            </w:pPr>
            <w:r w:rsidRPr="00F24972">
              <w:rPr>
                <w:rFonts w:cs="Arial"/>
              </w:rPr>
              <w:t xml:space="preserve">Note: Any DAT ordered in </w:t>
            </w:r>
            <w:r>
              <w:rPr>
                <w:rFonts w:cs="Arial"/>
              </w:rPr>
              <w:t>Order Reflex Test</w:t>
            </w:r>
            <w:r w:rsidRPr="00F24972">
              <w:rPr>
                <w:rFonts w:cs="Arial"/>
              </w:rPr>
              <w:t xml:space="preserve"> from main menu or via use of </w:t>
            </w:r>
            <w:r>
              <w:rPr>
                <w:rFonts w:cs="Arial"/>
              </w:rPr>
              <w:t>Order Reflex Test</w:t>
            </w:r>
            <w:r w:rsidRPr="00F24972">
              <w:rPr>
                <w:rFonts w:cs="Arial"/>
              </w:rPr>
              <w:t xml:space="preserve"> from </w:t>
            </w:r>
            <w:r>
              <w:rPr>
                <w:rFonts w:cs="Arial"/>
              </w:rPr>
              <w:t>Record Testing</w:t>
            </w:r>
            <w:r w:rsidRPr="00F24972">
              <w:rPr>
                <w:rFonts w:cs="Arial"/>
              </w:rPr>
              <w:t>.</w:t>
            </w:r>
          </w:p>
        </w:tc>
      </w:tr>
      <w:tr w:rsidR="000305DD" w:rsidRPr="00F24972" w14:paraId="22667D2F" w14:textId="77777777">
        <w:trPr>
          <w:cantSplit/>
        </w:trPr>
        <w:tc>
          <w:tcPr>
            <w:tcW w:w="1733" w:type="dxa"/>
            <w:vMerge/>
            <w:tcBorders>
              <w:left w:val="single" w:sz="4" w:space="0" w:color="auto"/>
              <w:bottom w:val="single" w:sz="4" w:space="0" w:color="auto"/>
              <w:right w:val="single" w:sz="4" w:space="0" w:color="auto"/>
            </w:tcBorders>
          </w:tcPr>
          <w:p w14:paraId="4CC32DF7" w14:textId="77777777"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tcPr>
          <w:p w14:paraId="76C72CE7" w14:textId="77777777" w:rsidR="000305DD" w:rsidRPr="00F24972" w:rsidRDefault="000305DD" w:rsidP="000305DD">
            <w:pPr>
              <w:pStyle w:val="TableText"/>
              <w:rPr>
                <w:rFonts w:cs="Arial"/>
              </w:rPr>
            </w:pPr>
            <w:r>
              <w:rPr>
                <w:rFonts w:cs="Arial"/>
              </w:rPr>
              <w:t>Invalidate Patient Testing, DAT</w:t>
            </w:r>
          </w:p>
        </w:tc>
        <w:tc>
          <w:tcPr>
            <w:tcW w:w="1080" w:type="dxa"/>
            <w:tcBorders>
              <w:top w:val="single" w:sz="4" w:space="0" w:color="auto"/>
              <w:left w:val="single" w:sz="4" w:space="0" w:color="auto"/>
              <w:bottom w:val="single" w:sz="4" w:space="0" w:color="auto"/>
              <w:right w:val="single" w:sz="4" w:space="0" w:color="auto"/>
            </w:tcBorders>
          </w:tcPr>
          <w:p w14:paraId="52128165" w14:textId="77777777" w:rsidR="000305DD" w:rsidRPr="00F24972" w:rsidRDefault="000305DD" w:rsidP="000305DD">
            <w:pPr>
              <w:pStyle w:val="TableText"/>
              <w:rPr>
                <w:rFonts w:cs="Arial"/>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2AFAD3B0" w14:textId="77777777" w:rsidR="000305DD" w:rsidRPr="00F24972" w:rsidRDefault="000305DD" w:rsidP="000305DD">
            <w:pPr>
              <w:pStyle w:val="TableText"/>
              <w:jc w:val="center"/>
              <w:rPr>
                <w:rFonts w:cs="Arial"/>
              </w:rPr>
            </w:pPr>
            <w:r w:rsidRPr="00F24972">
              <w:rPr>
                <w:rFonts w:cs="Arial"/>
              </w:rPr>
              <w:t>M</w:t>
            </w:r>
          </w:p>
        </w:tc>
        <w:tc>
          <w:tcPr>
            <w:tcW w:w="4123" w:type="dxa"/>
            <w:tcBorders>
              <w:top w:val="single" w:sz="4" w:space="0" w:color="auto"/>
              <w:left w:val="single" w:sz="4" w:space="0" w:color="auto"/>
              <w:bottom w:val="single" w:sz="4" w:space="0" w:color="auto"/>
              <w:right w:val="single" w:sz="4" w:space="0" w:color="auto"/>
            </w:tcBorders>
          </w:tcPr>
          <w:p w14:paraId="7397D22A" w14:textId="77777777" w:rsidR="000305DD" w:rsidRPr="00F24972" w:rsidRDefault="000305DD" w:rsidP="000305DD">
            <w:pPr>
              <w:pStyle w:val="TableText"/>
              <w:rPr>
                <w:rFonts w:cs="Arial"/>
              </w:rPr>
            </w:pPr>
            <w:r w:rsidRPr="00F24972">
              <w:rPr>
                <w:rFonts w:cs="Arial"/>
              </w:rPr>
              <w:t>Accrue workload when a completed Repeat DAT, PS, IgG, or Comp is invalidated.</w:t>
            </w:r>
          </w:p>
        </w:tc>
      </w:tr>
      <w:tr w:rsidR="000305DD" w:rsidRPr="00F24972" w14:paraId="70B7BF4D" w14:textId="77777777">
        <w:trPr>
          <w:cantSplit/>
        </w:trPr>
        <w:tc>
          <w:tcPr>
            <w:tcW w:w="1733" w:type="dxa"/>
            <w:vMerge w:val="restart"/>
            <w:tcBorders>
              <w:top w:val="single" w:sz="4" w:space="0" w:color="auto"/>
              <w:left w:val="single" w:sz="4" w:space="0" w:color="auto"/>
              <w:right w:val="single" w:sz="4" w:space="0" w:color="auto"/>
            </w:tcBorders>
          </w:tcPr>
          <w:p w14:paraId="50DD4B84" w14:textId="77777777" w:rsidR="000305DD" w:rsidRPr="00F24972" w:rsidRDefault="000305DD" w:rsidP="000305DD">
            <w:pPr>
              <w:pStyle w:val="TableText"/>
              <w:rPr>
                <w:rFonts w:cs="Arial"/>
              </w:rPr>
            </w:pPr>
            <w:r w:rsidRPr="00F24972">
              <w:rPr>
                <w:rFonts w:cs="Arial"/>
              </w:rPr>
              <w:t>Deglycerolize unit</w:t>
            </w:r>
          </w:p>
        </w:tc>
        <w:tc>
          <w:tcPr>
            <w:tcW w:w="1165" w:type="dxa"/>
            <w:tcBorders>
              <w:top w:val="single" w:sz="4" w:space="0" w:color="auto"/>
              <w:left w:val="single" w:sz="4" w:space="0" w:color="auto"/>
              <w:bottom w:val="single" w:sz="4" w:space="0" w:color="auto"/>
              <w:right w:val="single" w:sz="4" w:space="0" w:color="auto"/>
            </w:tcBorders>
          </w:tcPr>
          <w:p w14:paraId="54A6DFD1" w14:textId="77777777" w:rsidR="000305DD" w:rsidRPr="00F24972" w:rsidRDefault="000305DD" w:rsidP="000305DD">
            <w:pPr>
              <w:pStyle w:val="TableText"/>
              <w:rPr>
                <w:rFonts w:cs="Arial"/>
              </w:rPr>
            </w:pPr>
            <w:r>
              <w:rPr>
                <w:rFonts w:cs="Arial"/>
              </w:rPr>
              <w:t>Modify Unit, Deglycerolize</w:t>
            </w:r>
          </w:p>
        </w:tc>
        <w:tc>
          <w:tcPr>
            <w:tcW w:w="1080" w:type="dxa"/>
            <w:tcBorders>
              <w:top w:val="single" w:sz="4" w:space="0" w:color="auto"/>
              <w:left w:val="single" w:sz="4" w:space="0" w:color="auto"/>
              <w:bottom w:val="single" w:sz="4" w:space="0" w:color="auto"/>
              <w:right w:val="single" w:sz="4" w:space="0" w:color="auto"/>
            </w:tcBorders>
          </w:tcPr>
          <w:p w14:paraId="20E53F1A"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15B28AAF" w14:textId="77777777"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tcPr>
          <w:p w14:paraId="7D7F24ED" w14:textId="77777777" w:rsidR="000305DD" w:rsidRPr="00F24972" w:rsidRDefault="000305DD" w:rsidP="000305DD">
            <w:pPr>
              <w:pStyle w:val="TableText"/>
              <w:rPr>
                <w:rFonts w:cs="Arial"/>
              </w:rPr>
            </w:pPr>
            <w:r w:rsidRPr="00F24972">
              <w:rPr>
                <w:rFonts w:cs="Arial"/>
              </w:rPr>
              <w:t>Accrue workload when an individual blood unit is processed by the modification type: Deglycerolize.</w:t>
            </w:r>
          </w:p>
          <w:p w14:paraId="11B891A2" w14:textId="77777777"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2B8F5F7C" w14:textId="77777777">
        <w:trPr>
          <w:cantSplit/>
        </w:trPr>
        <w:tc>
          <w:tcPr>
            <w:tcW w:w="1733" w:type="dxa"/>
            <w:vMerge/>
            <w:tcBorders>
              <w:left w:val="single" w:sz="4" w:space="0" w:color="auto"/>
              <w:right w:val="single" w:sz="4" w:space="0" w:color="auto"/>
            </w:tcBorders>
          </w:tcPr>
          <w:p w14:paraId="5432E9CD" w14:textId="77777777" w:rsidR="000305DD" w:rsidRPr="00F24972" w:rsidRDefault="000305DD" w:rsidP="000305DD">
            <w:pPr>
              <w:pStyle w:val="TableText"/>
              <w:rPr>
                <w:rFonts w:cs="Arial"/>
              </w:rPr>
            </w:pPr>
          </w:p>
        </w:tc>
        <w:tc>
          <w:tcPr>
            <w:tcW w:w="1165" w:type="dxa"/>
            <w:tcBorders>
              <w:left w:val="single" w:sz="4" w:space="0" w:color="auto"/>
            </w:tcBorders>
          </w:tcPr>
          <w:p w14:paraId="40404EFD" w14:textId="77777777" w:rsidR="000305DD" w:rsidRPr="00F24972" w:rsidRDefault="000305DD" w:rsidP="000305DD">
            <w:pPr>
              <w:pStyle w:val="TableText"/>
              <w:rPr>
                <w:rFonts w:cs="Arial"/>
              </w:rPr>
            </w:pPr>
            <w:r>
              <w:rPr>
                <w:rFonts w:cs="Arial"/>
              </w:rPr>
              <w:t>Invalidate Unit Status, Deglycerolize</w:t>
            </w:r>
          </w:p>
        </w:tc>
        <w:tc>
          <w:tcPr>
            <w:tcW w:w="1080" w:type="dxa"/>
          </w:tcPr>
          <w:p w14:paraId="7E2320DD" w14:textId="77777777" w:rsidR="000305DD" w:rsidRPr="00F24972" w:rsidRDefault="000305DD" w:rsidP="000305DD">
            <w:pPr>
              <w:pStyle w:val="TableText"/>
              <w:rPr>
                <w:rFonts w:cs="Arial"/>
                <w:b/>
              </w:rPr>
            </w:pPr>
            <w:r w:rsidRPr="00F24972">
              <w:rPr>
                <w:rFonts w:cs="Arial"/>
                <w:b/>
              </w:rPr>
              <w:t>Negative</w:t>
            </w:r>
          </w:p>
        </w:tc>
        <w:tc>
          <w:tcPr>
            <w:tcW w:w="900" w:type="dxa"/>
          </w:tcPr>
          <w:p w14:paraId="24B0C023" w14:textId="77777777" w:rsidR="000305DD" w:rsidRPr="00F24972" w:rsidRDefault="000305DD" w:rsidP="000305DD">
            <w:pPr>
              <w:pStyle w:val="TableText"/>
              <w:jc w:val="center"/>
              <w:rPr>
                <w:rFonts w:cs="Arial"/>
              </w:rPr>
            </w:pPr>
            <w:r w:rsidRPr="00F24972">
              <w:rPr>
                <w:rFonts w:cs="Arial"/>
              </w:rPr>
              <w:t>U</w:t>
            </w:r>
          </w:p>
        </w:tc>
        <w:tc>
          <w:tcPr>
            <w:tcW w:w="4123" w:type="dxa"/>
          </w:tcPr>
          <w:p w14:paraId="2BC7D050" w14:textId="77777777" w:rsidR="000305DD" w:rsidRPr="00F24972" w:rsidRDefault="000305DD" w:rsidP="000305DD">
            <w:pPr>
              <w:pStyle w:val="TableText"/>
              <w:rPr>
                <w:rFonts w:cs="Arial"/>
              </w:rPr>
            </w:pPr>
            <w:r w:rsidRPr="00F24972">
              <w:rPr>
                <w:rFonts w:cs="Arial"/>
              </w:rPr>
              <w:t>An individual blood unit’s status is invalided when the original modification process was Deglycerolize.</w:t>
            </w:r>
          </w:p>
        </w:tc>
      </w:tr>
      <w:tr w:rsidR="000305DD" w:rsidRPr="00F24972" w14:paraId="616C7583" w14:textId="77777777">
        <w:trPr>
          <w:cantSplit/>
        </w:trPr>
        <w:tc>
          <w:tcPr>
            <w:tcW w:w="1733" w:type="dxa"/>
            <w:vMerge w:val="restart"/>
          </w:tcPr>
          <w:p w14:paraId="364EEA65" w14:textId="77777777" w:rsidR="000305DD" w:rsidRPr="00F24972" w:rsidRDefault="000305DD" w:rsidP="000305DD">
            <w:pPr>
              <w:pStyle w:val="TableText"/>
              <w:rPr>
                <w:rFonts w:cs="Arial"/>
              </w:rPr>
            </w:pPr>
            <w:r w:rsidRPr="00F24972">
              <w:rPr>
                <w:rFonts w:cs="Arial"/>
              </w:rPr>
              <w:t>Discard unit</w:t>
            </w:r>
          </w:p>
        </w:tc>
        <w:tc>
          <w:tcPr>
            <w:tcW w:w="1165" w:type="dxa"/>
          </w:tcPr>
          <w:p w14:paraId="0C82F013" w14:textId="77777777" w:rsidR="000305DD" w:rsidRPr="00F24972" w:rsidRDefault="000305DD" w:rsidP="000305DD">
            <w:pPr>
              <w:pStyle w:val="TableText"/>
              <w:rPr>
                <w:rFonts w:cs="Arial"/>
              </w:rPr>
            </w:pPr>
            <w:r>
              <w:rPr>
                <w:rFonts w:cs="Arial"/>
              </w:rPr>
              <w:t>Discard Unit</w:t>
            </w:r>
          </w:p>
        </w:tc>
        <w:tc>
          <w:tcPr>
            <w:tcW w:w="1080" w:type="dxa"/>
          </w:tcPr>
          <w:p w14:paraId="1640B20A" w14:textId="77777777" w:rsidR="000305DD" w:rsidRPr="00F24972" w:rsidRDefault="000305DD" w:rsidP="000305DD">
            <w:pPr>
              <w:pStyle w:val="TableText"/>
              <w:rPr>
                <w:rFonts w:cs="Arial"/>
              </w:rPr>
            </w:pPr>
            <w:r w:rsidRPr="00F24972">
              <w:rPr>
                <w:rFonts w:cs="Arial"/>
              </w:rPr>
              <w:t>Positive</w:t>
            </w:r>
          </w:p>
        </w:tc>
        <w:tc>
          <w:tcPr>
            <w:tcW w:w="900" w:type="dxa"/>
          </w:tcPr>
          <w:p w14:paraId="4AFAF8C2" w14:textId="77777777" w:rsidR="000305DD" w:rsidRPr="00F24972" w:rsidRDefault="000305DD" w:rsidP="000305DD">
            <w:pPr>
              <w:pStyle w:val="TableText"/>
              <w:jc w:val="center"/>
              <w:rPr>
                <w:rFonts w:cs="Arial"/>
              </w:rPr>
            </w:pPr>
            <w:r w:rsidRPr="00F24972">
              <w:rPr>
                <w:rFonts w:cs="Arial"/>
              </w:rPr>
              <w:t>U</w:t>
            </w:r>
          </w:p>
        </w:tc>
        <w:tc>
          <w:tcPr>
            <w:tcW w:w="4123" w:type="dxa"/>
          </w:tcPr>
          <w:p w14:paraId="1925FD20" w14:textId="77777777" w:rsidR="000305DD" w:rsidRPr="00F24972" w:rsidRDefault="000305DD" w:rsidP="000305DD">
            <w:pPr>
              <w:pStyle w:val="TableText"/>
              <w:rPr>
                <w:rFonts w:cs="Arial"/>
              </w:rPr>
            </w:pPr>
            <w:r w:rsidRPr="00F24972">
              <w:rPr>
                <w:rFonts w:cs="Arial"/>
              </w:rPr>
              <w:t>Accrue workload when an individual blood unit’s status is invalided. When a batch of units is selected, each unit accrues workload.</w:t>
            </w:r>
          </w:p>
        </w:tc>
      </w:tr>
      <w:tr w:rsidR="000305DD" w:rsidRPr="00F24972" w14:paraId="2102AE6F" w14:textId="77777777">
        <w:trPr>
          <w:cantSplit/>
        </w:trPr>
        <w:tc>
          <w:tcPr>
            <w:tcW w:w="1733" w:type="dxa"/>
            <w:vMerge/>
            <w:tcBorders>
              <w:bottom w:val="single" w:sz="4" w:space="0" w:color="auto"/>
            </w:tcBorders>
          </w:tcPr>
          <w:p w14:paraId="18E507F8" w14:textId="77777777" w:rsidR="000305DD" w:rsidRPr="00F24972" w:rsidRDefault="000305DD" w:rsidP="000305DD">
            <w:pPr>
              <w:pStyle w:val="TableText"/>
              <w:rPr>
                <w:rFonts w:cs="Arial"/>
              </w:rPr>
            </w:pPr>
          </w:p>
        </w:tc>
        <w:tc>
          <w:tcPr>
            <w:tcW w:w="1165" w:type="dxa"/>
            <w:tcBorders>
              <w:top w:val="single" w:sz="4" w:space="0" w:color="auto"/>
              <w:bottom w:val="single" w:sz="4" w:space="0" w:color="auto"/>
              <w:right w:val="single" w:sz="4" w:space="0" w:color="auto"/>
            </w:tcBorders>
          </w:tcPr>
          <w:p w14:paraId="256F85B8" w14:textId="77777777" w:rsidR="000305DD" w:rsidRPr="00F24972" w:rsidRDefault="000305DD" w:rsidP="000305DD">
            <w:pPr>
              <w:pStyle w:val="TableText"/>
              <w:rPr>
                <w:rFonts w:cs="Arial"/>
              </w:rPr>
            </w:pPr>
            <w:r>
              <w:rPr>
                <w:rFonts w:cs="Arial"/>
              </w:rPr>
              <w:t>Invalidate Unit Status, Discard</w:t>
            </w:r>
          </w:p>
        </w:tc>
        <w:tc>
          <w:tcPr>
            <w:tcW w:w="1080" w:type="dxa"/>
            <w:tcBorders>
              <w:top w:val="single" w:sz="4" w:space="0" w:color="auto"/>
              <w:left w:val="single" w:sz="4" w:space="0" w:color="auto"/>
              <w:bottom w:val="single" w:sz="4" w:space="0" w:color="auto"/>
              <w:right w:val="single" w:sz="4" w:space="0" w:color="auto"/>
            </w:tcBorders>
          </w:tcPr>
          <w:p w14:paraId="4269A867"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6A6E58F9" w14:textId="77777777"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tcPr>
          <w:p w14:paraId="26583554" w14:textId="77777777" w:rsidR="000305DD" w:rsidRPr="000409B0" w:rsidRDefault="000305DD" w:rsidP="000305DD">
            <w:pPr>
              <w:pStyle w:val="TableText"/>
              <w:rPr>
                <w:rFonts w:cs="Arial"/>
              </w:rPr>
            </w:pPr>
            <w:r w:rsidRPr="00F24972">
              <w:rPr>
                <w:rFonts w:cs="Arial"/>
              </w:rPr>
              <w:t>Accrue workload when a unit is discarded for waste or credit. When a batch of units is selected, each unit accrues workload.</w:t>
            </w:r>
          </w:p>
        </w:tc>
      </w:tr>
      <w:tr w:rsidR="000305DD" w:rsidRPr="00F24972" w14:paraId="4242259C" w14:textId="77777777">
        <w:trPr>
          <w:cantSplit/>
        </w:trPr>
        <w:tc>
          <w:tcPr>
            <w:tcW w:w="1733" w:type="dxa"/>
            <w:vMerge w:val="restart"/>
            <w:tcBorders>
              <w:top w:val="single" w:sz="4" w:space="0" w:color="auto"/>
              <w:left w:val="single" w:sz="4" w:space="0" w:color="auto"/>
              <w:right w:val="single" w:sz="4" w:space="0" w:color="auto"/>
            </w:tcBorders>
          </w:tcPr>
          <w:p w14:paraId="7EEAA6C5" w14:textId="77777777" w:rsidR="000305DD" w:rsidRPr="00F24972" w:rsidRDefault="000305DD" w:rsidP="000305DD">
            <w:pPr>
              <w:pStyle w:val="TableText"/>
              <w:rPr>
                <w:rFonts w:cs="Arial"/>
              </w:rPr>
            </w:pPr>
            <w:r w:rsidRPr="00F24972">
              <w:rPr>
                <w:rFonts w:cs="Arial"/>
              </w:rPr>
              <w:lastRenderedPageBreak/>
              <w:t>Freeze unit</w:t>
            </w:r>
          </w:p>
        </w:tc>
        <w:tc>
          <w:tcPr>
            <w:tcW w:w="1165" w:type="dxa"/>
            <w:tcBorders>
              <w:top w:val="single" w:sz="4" w:space="0" w:color="auto"/>
              <w:left w:val="single" w:sz="4" w:space="0" w:color="auto"/>
              <w:bottom w:val="single" w:sz="4" w:space="0" w:color="auto"/>
              <w:right w:val="single" w:sz="4" w:space="0" w:color="auto"/>
            </w:tcBorders>
          </w:tcPr>
          <w:p w14:paraId="0B0CDA97" w14:textId="77777777" w:rsidR="000305DD" w:rsidRPr="00F24972" w:rsidRDefault="000305DD" w:rsidP="000305DD">
            <w:pPr>
              <w:pStyle w:val="TableText"/>
              <w:rPr>
                <w:rFonts w:cs="Arial"/>
              </w:rPr>
            </w:pPr>
            <w:r>
              <w:rPr>
                <w:rFonts w:cs="Arial"/>
              </w:rPr>
              <w:t>Modify Unit, Freeze</w:t>
            </w:r>
          </w:p>
        </w:tc>
        <w:tc>
          <w:tcPr>
            <w:tcW w:w="1080" w:type="dxa"/>
            <w:tcBorders>
              <w:top w:val="single" w:sz="4" w:space="0" w:color="auto"/>
              <w:left w:val="single" w:sz="4" w:space="0" w:color="auto"/>
              <w:bottom w:val="single" w:sz="4" w:space="0" w:color="auto"/>
              <w:right w:val="single" w:sz="4" w:space="0" w:color="auto"/>
            </w:tcBorders>
          </w:tcPr>
          <w:p w14:paraId="072A92A0"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0747A758" w14:textId="77777777"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tcPr>
          <w:p w14:paraId="62EB9CAE" w14:textId="77777777" w:rsidR="000305DD" w:rsidRPr="00F24972" w:rsidRDefault="000305DD" w:rsidP="000305DD">
            <w:pPr>
              <w:pStyle w:val="TableText"/>
              <w:rPr>
                <w:rFonts w:cs="Arial"/>
              </w:rPr>
            </w:pPr>
            <w:r w:rsidRPr="00F24972">
              <w:rPr>
                <w:rFonts w:cs="Arial"/>
              </w:rPr>
              <w:t>Accrue workload when an individual blood unit is processed by the modification type: Freeze.</w:t>
            </w:r>
          </w:p>
          <w:p w14:paraId="03E6A485" w14:textId="77777777"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504067FC" w14:textId="77777777">
        <w:trPr>
          <w:cantSplit/>
        </w:trPr>
        <w:tc>
          <w:tcPr>
            <w:tcW w:w="1733" w:type="dxa"/>
            <w:vMerge/>
            <w:tcBorders>
              <w:left w:val="single" w:sz="4" w:space="0" w:color="auto"/>
              <w:bottom w:val="single" w:sz="4" w:space="0" w:color="auto"/>
              <w:right w:val="single" w:sz="4" w:space="0" w:color="auto"/>
            </w:tcBorders>
          </w:tcPr>
          <w:p w14:paraId="7EA99A59" w14:textId="77777777"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tcPr>
          <w:p w14:paraId="4B934FE0" w14:textId="77777777" w:rsidR="000305DD" w:rsidRPr="00F24972" w:rsidRDefault="000305DD" w:rsidP="000305DD">
            <w:pPr>
              <w:pStyle w:val="TableText"/>
              <w:rPr>
                <w:rFonts w:cs="Arial"/>
              </w:rPr>
            </w:pPr>
            <w:r>
              <w:rPr>
                <w:rFonts w:cs="Arial"/>
              </w:rPr>
              <w:t>Invalidate Unit Status, Freeze</w:t>
            </w:r>
          </w:p>
        </w:tc>
        <w:tc>
          <w:tcPr>
            <w:tcW w:w="1080" w:type="dxa"/>
            <w:tcBorders>
              <w:top w:val="single" w:sz="4" w:space="0" w:color="auto"/>
              <w:left w:val="single" w:sz="4" w:space="0" w:color="auto"/>
              <w:bottom w:val="single" w:sz="4" w:space="0" w:color="auto"/>
              <w:right w:val="single" w:sz="4" w:space="0" w:color="auto"/>
            </w:tcBorders>
          </w:tcPr>
          <w:p w14:paraId="6D6C34D7"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6B340E98" w14:textId="77777777"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tcPr>
          <w:p w14:paraId="4720CC0A" w14:textId="77777777" w:rsidR="000305DD" w:rsidRPr="00F24972" w:rsidRDefault="000305DD" w:rsidP="000305DD">
            <w:pPr>
              <w:pStyle w:val="TableText"/>
              <w:rPr>
                <w:rFonts w:cs="Arial"/>
              </w:rPr>
            </w:pPr>
            <w:r w:rsidRPr="00F24972">
              <w:rPr>
                <w:rFonts w:cs="Arial"/>
              </w:rPr>
              <w:t>An individual blood unit’s status is invalided when the original modification process was Freeze.</w:t>
            </w:r>
          </w:p>
        </w:tc>
      </w:tr>
      <w:tr w:rsidR="000305DD" w:rsidRPr="00F24972" w14:paraId="183AFB11" w14:textId="77777777">
        <w:trPr>
          <w:cantSplit/>
        </w:trPr>
        <w:tc>
          <w:tcPr>
            <w:tcW w:w="1733" w:type="dxa"/>
            <w:vMerge w:val="restart"/>
            <w:tcBorders>
              <w:top w:val="single" w:sz="4" w:space="0" w:color="auto"/>
              <w:left w:val="single" w:sz="4" w:space="0" w:color="auto"/>
              <w:right w:val="single" w:sz="4" w:space="0" w:color="auto"/>
            </w:tcBorders>
          </w:tcPr>
          <w:p w14:paraId="51E20BE8" w14:textId="77777777" w:rsidR="000305DD" w:rsidRPr="00F24972" w:rsidRDefault="000305DD" w:rsidP="000305DD">
            <w:pPr>
              <w:pStyle w:val="TableText"/>
              <w:rPr>
                <w:rFonts w:cs="Arial"/>
              </w:rPr>
            </w:pPr>
            <w:r w:rsidRPr="00F24972">
              <w:rPr>
                <w:rFonts w:cs="Arial"/>
              </w:rPr>
              <w:t>Irradiate unit</w:t>
            </w:r>
          </w:p>
        </w:tc>
        <w:tc>
          <w:tcPr>
            <w:tcW w:w="1165" w:type="dxa"/>
            <w:tcBorders>
              <w:top w:val="single" w:sz="4" w:space="0" w:color="auto"/>
              <w:left w:val="single" w:sz="4" w:space="0" w:color="auto"/>
              <w:bottom w:val="single" w:sz="4" w:space="0" w:color="auto"/>
              <w:right w:val="single" w:sz="4" w:space="0" w:color="auto"/>
            </w:tcBorders>
          </w:tcPr>
          <w:p w14:paraId="67EFA98E" w14:textId="77777777" w:rsidR="000305DD" w:rsidRPr="00F24972" w:rsidRDefault="000305DD" w:rsidP="000305DD">
            <w:pPr>
              <w:pStyle w:val="TableText"/>
              <w:rPr>
                <w:rFonts w:cs="Arial"/>
              </w:rPr>
            </w:pPr>
            <w:r>
              <w:rPr>
                <w:rFonts w:cs="Arial"/>
              </w:rPr>
              <w:t>Modify Unit, Irradiate</w:t>
            </w:r>
          </w:p>
        </w:tc>
        <w:tc>
          <w:tcPr>
            <w:tcW w:w="1080" w:type="dxa"/>
            <w:tcBorders>
              <w:top w:val="single" w:sz="4" w:space="0" w:color="auto"/>
              <w:left w:val="single" w:sz="4" w:space="0" w:color="auto"/>
              <w:bottom w:val="single" w:sz="4" w:space="0" w:color="auto"/>
              <w:right w:val="single" w:sz="4" w:space="0" w:color="auto"/>
            </w:tcBorders>
          </w:tcPr>
          <w:p w14:paraId="7048AA76"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2EC07711" w14:textId="77777777"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tcPr>
          <w:p w14:paraId="28A486F1" w14:textId="77777777" w:rsidR="000305DD" w:rsidRPr="00F24972" w:rsidRDefault="000305DD" w:rsidP="000305DD">
            <w:pPr>
              <w:pStyle w:val="TableText"/>
              <w:rPr>
                <w:rFonts w:cs="Arial"/>
              </w:rPr>
            </w:pPr>
            <w:r w:rsidRPr="00F24972">
              <w:rPr>
                <w:rFonts w:cs="Arial"/>
              </w:rPr>
              <w:t>Accrue workload when an individual blood unit is processed by the modification type: Irradiate. When a batch of units is irradiated, each unit accrues workload.</w:t>
            </w:r>
          </w:p>
          <w:p w14:paraId="4AD99521" w14:textId="77777777"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3D8DE63E" w14:textId="77777777">
        <w:trPr>
          <w:cantSplit/>
        </w:trPr>
        <w:tc>
          <w:tcPr>
            <w:tcW w:w="1733" w:type="dxa"/>
            <w:vMerge/>
            <w:tcBorders>
              <w:left w:val="single" w:sz="4" w:space="0" w:color="auto"/>
              <w:right w:val="single" w:sz="4" w:space="0" w:color="auto"/>
            </w:tcBorders>
          </w:tcPr>
          <w:p w14:paraId="29BE7A1E" w14:textId="77777777" w:rsidR="000305DD" w:rsidRPr="00F24972" w:rsidRDefault="000305DD" w:rsidP="000305DD">
            <w:pPr>
              <w:pStyle w:val="TableText"/>
              <w:rPr>
                <w:rFonts w:cs="Arial"/>
              </w:rPr>
            </w:pPr>
          </w:p>
        </w:tc>
        <w:tc>
          <w:tcPr>
            <w:tcW w:w="1165" w:type="dxa"/>
            <w:tcBorders>
              <w:left w:val="single" w:sz="4" w:space="0" w:color="auto"/>
            </w:tcBorders>
          </w:tcPr>
          <w:p w14:paraId="0B5F9A8E" w14:textId="77777777" w:rsidR="000305DD" w:rsidRPr="00F24972" w:rsidRDefault="000305DD" w:rsidP="000305DD">
            <w:pPr>
              <w:pStyle w:val="TableText"/>
              <w:rPr>
                <w:rFonts w:cs="Arial"/>
              </w:rPr>
            </w:pPr>
            <w:r>
              <w:rPr>
                <w:rFonts w:cs="Arial"/>
              </w:rPr>
              <w:t>Invalidate Unit Status, Irradiate</w:t>
            </w:r>
          </w:p>
        </w:tc>
        <w:tc>
          <w:tcPr>
            <w:tcW w:w="1080" w:type="dxa"/>
          </w:tcPr>
          <w:p w14:paraId="6DB90244" w14:textId="77777777" w:rsidR="000305DD" w:rsidRPr="00F24972" w:rsidRDefault="000305DD" w:rsidP="000305DD">
            <w:pPr>
              <w:pStyle w:val="TableText"/>
              <w:rPr>
                <w:rFonts w:cs="Arial"/>
                <w:b/>
              </w:rPr>
            </w:pPr>
            <w:r w:rsidRPr="00F24972">
              <w:rPr>
                <w:rFonts w:cs="Arial"/>
                <w:b/>
              </w:rPr>
              <w:t>Negative</w:t>
            </w:r>
          </w:p>
        </w:tc>
        <w:tc>
          <w:tcPr>
            <w:tcW w:w="900" w:type="dxa"/>
          </w:tcPr>
          <w:p w14:paraId="6D98CBE2" w14:textId="77777777" w:rsidR="000305DD" w:rsidRPr="00F24972" w:rsidRDefault="000305DD" w:rsidP="000305DD">
            <w:pPr>
              <w:pStyle w:val="TableText"/>
              <w:jc w:val="center"/>
              <w:rPr>
                <w:rFonts w:cs="Arial"/>
              </w:rPr>
            </w:pPr>
            <w:r w:rsidRPr="00F24972">
              <w:rPr>
                <w:rFonts w:cs="Arial"/>
              </w:rPr>
              <w:t>U</w:t>
            </w:r>
          </w:p>
        </w:tc>
        <w:tc>
          <w:tcPr>
            <w:tcW w:w="4123" w:type="dxa"/>
          </w:tcPr>
          <w:p w14:paraId="19D28D92" w14:textId="77777777" w:rsidR="000305DD" w:rsidRPr="00F24972" w:rsidRDefault="000305DD" w:rsidP="000305DD">
            <w:pPr>
              <w:pStyle w:val="TableText"/>
              <w:rPr>
                <w:rFonts w:cs="Arial"/>
              </w:rPr>
            </w:pPr>
            <w:r w:rsidRPr="00F24972">
              <w:rPr>
                <w:rFonts w:cs="Arial"/>
              </w:rPr>
              <w:t>An individual blood unit’s status is invalided when the original modification process was Irradiate.</w:t>
            </w:r>
          </w:p>
        </w:tc>
      </w:tr>
      <w:tr w:rsidR="000305DD" w:rsidRPr="00F24972" w14:paraId="57CB4E43" w14:textId="77777777">
        <w:trPr>
          <w:cantSplit/>
        </w:trPr>
        <w:tc>
          <w:tcPr>
            <w:tcW w:w="1733" w:type="dxa"/>
            <w:vMerge w:val="restart"/>
          </w:tcPr>
          <w:p w14:paraId="07C6A7F4" w14:textId="77777777" w:rsidR="000305DD" w:rsidRPr="00F24972" w:rsidRDefault="000305DD" w:rsidP="000305DD">
            <w:pPr>
              <w:pStyle w:val="TableText"/>
              <w:rPr>
                <w:rFonts w:cs="Arial"/>
              </w:rPr>
            </w:pPr>
            <w:r w:rsidRPr="00F24972">
              <w:rPr>
                <w:rFonts w:cs="Arial"/>
              </w:rPr>
              <w:t>Leukoreduce unit</w:t>
            </w:r>
          </w:p>
        </w:tc>
        <w:tc>
          <w:tcPr>
            <w:tcW w:w="1165" w:type="dxa"/>
          </w:tcPr>
          <w:p w14:paraId="6B25DD6E" w14:textId="77777777" w:rsidR="000305DD" w:rsidRPr="00F24972" w:rsidRDefault="000305DD" w:rsidP="000305DD">
            <w:pPr>
              <w:pStyle w:val="TableText"/>
              <w:rPr>
                <w:rFonts w:cs="Arial"/>
              </w:rPr>
            </w:pPr>
            <w:r>
              <w:rPr>
                <w:rFonts w:cs="Arial"/>
              </w:rPr>
              <w:t>Modify Unit, Leukoreduce</w:t>
            </w:r>
          </w:p>
        </w:tc>
        <w:tc>
          <w:tcPr>
            <w:tcW w:w="1080" w:type="dxa"/>
          </w:tcPr>
          <w:p w14:paraId="26ACC218" w14:textId="77777777" w:rsidR="000305DD" w:rsidRPr="00F24972" w:rsidRDefault="000305DD" w:rsidP="000305DD">
            <w:pPr>
              <w:pStyle w:val="TableText"/>
              <w:rPr>
                <w:rFonts w:cs="Arial"/>
              </w:rPr>
            </w:pPr>
            <w:r w:rsidRPr="00F24972">
              <w:rPr>
                <w:rFonts w:cs="Arial"/>
              </w:rPr>
              <w:t>Positive</w:t>
            </w:r>
          </w:p>
        </w:tc>
        <w:tc>
          <w:tcPr>
            <w:tcW w:w="900" w:type="dxa"/>
          </w:tcPr>
          <w:p w14:paraId="4C9ED362" w14:textId="77777777" w:rsidR="000305DD" w:rsidRPr="00F24972" w:rsidRDefault="000305DD" w:rsidP="000305DD">
            <w:pPr>
              <w:pStyle w:val="TableText"/>
              <w:jc w:val="center"/>
              <w:rPr>
                <w:rFonts w:cs="Arial"/>
              </w:rPr>
            </w:pPr>
            <w:r w:rsidRPr="00F24972">
              <w:rPr>
                <w:rFonts w:cs="Arial"/>
              </w:rPr>
              <w:t>U</w:t>
            </w:r>
          </w:p>
        </w:tc>
        <w:tc>
          <w:tcPr>
            <w:tcW w:w="4123" w:type="dxa"/>
          </w:tcPr>
          <w:p w14:paraId="04202714" w14:textId="77777777" w:rsidR="000305DD" w:rsidRPr="00F24972" w:rsidRDefault="000305DD" w:rsidP="000305DD">
            <w:pPr>
              <w:pStyle w:val="TableText"/>
              <w:rPr>
                <w:rFonts w:cs="Arial"/>
              </w:rPr>
            </w:pPr>
            <w:r w:rsidRPr="00F24972">
              <w:rPr>
                <w:rFonts w:cs="Arial"/>
              </w:rPr>
              <w:t>Accrue workload when an individual blood unit is processed by the modification type: Leukoreduce.</w:t>
            </w:r>
          </w:p>
          <w:p w14:paraId="6087E0E3" w14:textId="77777777"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50155EC3" w14:textId="77777777">
        <w:trPr>
          <w:cantSplit/>
        </w:trPr>
        <w:tc>
          <w:tcPr>
            <w:tcW w:w="1733" w:type="dxa"/>
            <w:vMerge/>
            <w:tcBorders>
              <w:bottom w:val="single" w:sz="4" w:space="0" w:color="auto"/>
            </w:tcBorders>
          </w:tcPr>
          <w:p w14:paraId="2D864C76" w14:textId="77777777" w:rsidR="000305DD" w:rsidRPr="00F24972" w:rsidRDefault="000305DD" w:rsidP="000305DD">
            <w:pPr>
              <w:pStyle w:val="TableText"/>
              <w:rPr>
                <w:rFonts w:cs="Arial"/>
              </w:rPr>
            </w:pPr>
          </w:p>
        </w:tc>
        <w:tc>
          <w:tcPr>
            <w:tcW w:w="1165" w:type="dxa"/>
            <w:tcBorders>
              <w:top w:val="single" w:sz="4" w:space="0" w:color="auto"/>
              <w:bottom w:val="single" w:sz="4" w:space="0" w:color="auto"/>
              <w:right w:val="single" w:sz="4" w:space="0" w:color="auto"/>
            </w:tcBorders>
          </w:tcPr>
          <w:p w14:paraId="143028D5" w14:textId="77777777" w:rsidR="000305DD" w:rsidRPr="00F24972" w:rsidRDefault="000305DD" w:rsidP="000305DD">
            <w:pPr>
              <w:pStyle w:val="TableText"/>
              <w:rPr>
                <w:rFonts w:cs="Arial"/>
              </w:rPr>
            </w:pPr>
            <w:r>
              <w:rPr>
                <w:rFonts w:cs="Arial"/>
              </w:rPr>
              <w:t>Invalidate Unit Status, Leukoreduce</w:t>
            </w:r>
          </w:p>
        </w:tc>
        <w:tc>
          <w:tcPr>
            <w:tcW w:w="1080" w:type="dxa"/>
            <w:tcBorders>
              <w:top w:val="single" w:sz="4" w:space="0" w:color="auto"/>
              <w:left w:val="single" w:sz="4" w:space="0" w:color="auto"/>
              <w:bottom w:val="single" w:sz="4" w:space="0" w:color="auto"/>
              <w:right w:val="single" w:sz="4" w:space="0" w:color="auto"/>
            </w:tcBorders>
          </w:tcPr>
          <w:p w14:paraId="169B1E51"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57E6BFF9" w14:textId="77777777"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tcPr>
          <w:p w14:paraId="4A5F964A" w14:textId="77777777" w:rsidR="000305DD" w:rsidRPr="00F24972" w:rsidRDefault="000305DD" w:rsidP="000305DD">
            <w:pPr>
              <w:pStyle w:val="TableText"/>
              <w:rPr>
                <w:rFonts w:cs="Arial"/>
              </w:rPr>
            </w:pPr>
            <w:r w:rsidRPr="00F24972">
              <w:rPr>
                <w:rFonts w:cs="Arial"/>
              </w:rPr>
              <w:t>An individual blood unit’s status is invalided when the original modification process was Leukoreduce.</w:t>
            </w:r>
          </w:p>
        </w:tc>
      </w:tr>
      <w:tr w:rsidR="000305DD" w:rsidRPr="00F24972" w14:paraId="50C37565" w14:textId="77777777">
        <w:trPr>
          <w:cantSplit/>
        </w:trPr>
        <w:tc>
          <w:tcPr>
            <w:tcW w:w="1733" w:type="dxa"/>
            <w:vMerge w:val="restart"/>
          </w:tcPr>
          <w:p w14:paraId="5EE13C6C" w14:textId="77777777" w:rsidR="000305DD" w:rsidRPr="00F24972" w:rsidRDefault="000305DD" w:rsidP="000305DD">
            <w:pPr>
              <w:pStyle w:val="TableText"/>
              <w:rPr>
                <w:rFonts w:cs="Arial"/>
              </w:rPr>
            </w:pPr>
            <w:r w:rsidRPr="00F24972">
              <w:rPr>
                <w:rFonts w:cs="Arial"/>
              </w:rPr>
              <w:t>Split unit</w:t>
            </w:r>
          </w:p>
        </w:tc>
        <w:tc>
          <w:tcPr>
            <w:tcW w:w="1165" w:type="dxa"/>
          </w:tcPr>
          <w:p w14:paraId="01D7F66C" w14:textId="77777777" w:rsidR="000305DD" w:rsidRPr="00F24972" w:rsidRDefault="000305DD" w:rsidP="000305DD">
            <w:pPr>
              <w:pStyle w:val="TableText"/>
              <w:rPr>
                <w:rFonts w:cs="Arial"/>
              </w:rPr>
            </w:pPr>
            <w:r>
              <w:rPr>
                <w:rFonts w:cs="Arial"/>
              </w:rPr>
              <w:t>Modify Unit, Split</w:t>
            </w:r>
          </w:p>
        </w:tc>
        <w:tc>
          <w:tcPr>
            <w:tcW w:w="1080" w:type="dxa"/>
          </w:tcPr>
          <w:p w14:paraId="55153206" w14:textId="77777777" w:rsidR="000305DD" w:rsidRPr="00F24972" w:rsidRDefault="000305DD" w:rsidP="000305DD">
            <w:pPr>
              <w:pStyle w:val="TableText"/>
              <w:rPr>
                <w:rFonts w:cs="Arial"/>
              </w:rPr>
            </w:pPr>
            <w:r w:rsidRPr="00F24972">
              <w:rPr>
                <w:rFonts w:cs="Arial"/>
              </w:rPr>
              <w:t>Positive</w:t>
            </w:r>
          </w:p>
        </w:tc>
        <w:tc>
          <w:tcPr>
            <w:tcW w:w="900" w:type="dxa"/>
          </w:tcPr>
          <w:p w14:paraId="292CF124" w14:textId="77777777" w:rsidR="000305DD" w:rsidRPr="00F24972" w:rsidRDefault="000305DD" w:rsidP="000305DD">
            <w:pPr>
              <w:pStyle w:val="TableText"/>
              <w:jc w:val="center"/>
              <w:rPr>
                <w:rFonts w:cs="Arial"/>
              </w:rPr>
            </w:pPr>
            <w:r w:rsidRPr="00F24972">
              <w:rPr>
                <w:rFonts w:cs="Arial"/>
              </w:rPr>
              <w:t>U</w:t>
            </w:r>
          </w:p>
        </w:tc>
        <w:tc>
          <w:tcPr>
            <w:tcW w:w="4123" w:type="dxa"/>
          </w:tcPr>
          <w:p w14:paraId="3C2BBE35" w14:textId="77777777" w:rsidR="000305DD" w:rsidRPr="00F24972" w:rsidRDefault="000305DD" w:rsidP="000305DD">
            <w:pPr>
              <w:pStyle w:val="TableText"/>
              <w:rPr>
                <w:rFonts w:cs="Arial"/>
              </w:rPr>
            </w:pPr>
            <w:r w:rsidRPr="00F24972">
              <w:rPr>
                <w:rFonts w:cs="Arial"/>
              </w:rPr>
              <w:t>Accrue workload when a unit modification of Split and a single workload event is recorded regardless of the number of units created by the modification.</w:t>
            </w:r>
            <w:r w:rsidRPr="00F24972">
              <w:rPr>
                <w:rFonts w:cs="Arial"/>
                <w:i/>
              </w:rPr>
              <w:t xml:space="preserve"> </w:t>
            </w:r>
          </w:p>
          <w:p w14:paraId="752CBFB5" w14:textId="77777777" w:rsidR="000305DD" w:rsidRPr="00F24972" w:rsidRDefault="000305DD" w:rsidP="000305DD">
            <w:pPr>
              <w:pStyle w:val="TableText"/>
              <w:rPr>
                <w:i/>
                <w:iCs/>
              </w:rPr>
            </w:pPr>
            <w:r w:rsidRPr="00F24972">
              <w:rPr>
                <w:i/>
                <w:iCs/>
              </w:rPr>
              <w:t>Note: Workload is not accrued when a patient assignment is processed and VBECS releases all other patient assignments. Workload is not accrued when VBECS is required to quarantine the unit.</w:t>
            </w:r>
            <w:r w:rsidRPr="00F24972">
              <w:rPr>
                <w:rFonts w:cs="Arial"/>
                <w:i/>
              </w:rPr>
              <w:t xml:space="preserve"> Workload accrued by splitting is invalidated in</w:t>
            </w:r>
            <w:r>
              <w:rPr>
                <w:rFonts w:cs="Arial"/>
                <w:i/>
              </w:rPr>
              <w:t xml:space="preserve"> Remove Final Unit Status</w:t>
            </w:r>
            <w:r w:rsidRPr="00F24972">
              <w:rPr>
                <w:rFonts w:cs="Arial"/>
                <w:i/>
              </w:rPr>
              <w:t xml:space="preserve"> with the inactivation of the modification</w:t>
            </w:r>
          </w:p>
        </w:tc>
      </w:tr>
      <w:tr w:rsidR="000305DD" w:rsidRPr="00F24972" w14:paraId="40542C6F" w14:textId="77777777">
        <w:trPr>
          <w:cantSplit/>
        </w:trPr>
        <w:tc>
          <w:tcPr>
            <w:tcW w:w="1733" w:type="dxa"/>
            <w:vMerge/>
            <w:tcBorders>
              <w:bottom w:val="single" w:sz="4" w:space="0" w:color="auto"/>
            </w:tcBorders>
          </w:tcPr>
          <w:p w14:paraId="757B7A3B" w14:textId="77777777" w:rsidR="000305DD" w:rsidRPr="00F24972" w:rsidRDefault="000305DD" w:rsidP="000305DD">
            <w:pPr>
              <w:pStyle w:val="TableText"/>
              <w:rPr>
                <w:rFonts w:cs="Arial"/>
              </w:rPr>
            </w:pPr>
          </w:p>
        </w:tc>
        <w:tc>
          <w:tcPr>
            <w:tcW w:w="1165" w:type="dxa"/>
            <w:tcBorders>
              <w:top w:val="single" w:sz="4" w:space="0" w:color="auto"/>
              <w:bottom w:val="single" w:sz="4" w:space="0" w:color="auto"/>
              <w:right w:val="single" w:sz="4" w:space="0" w:color="auto"/>
            </w:tcBorders>
          </w:tcPr>
          <w:p w14:paraId="1D0D21C5" w14:textId="77777777" w:rsidR="000305DD" w:rsidRPr="00F24972" w:rsidRDefault="000305DD" w:rsidP="000305DD">
            <w:pPr>
              <w:pStyle w:val="TableText"/>
              <w:rPr>
                <w:rFonts w:cs="Arial"/>
              </w:rPr>
            </w:pPr>
            <w:r>
              <w:rPr>
                <w:rFonts w:cs="Arial"/>
              </w:rPr>
              <w:t>Invalidate Unit Status, Split</w:t>
            </w:r>
          </w:p>
        </w:tc>
        <w:tc>
          <w:tcPr>
            <w:tcW w:w="1080" w:type="dxa"/>
            <w:tcBorders>
              <w:top w:val="single" w:sz="4" w:space="0" w:color="auto"/>
              <w:left w:val="single" w:sz="4" w:space="0" w:color="auto"/>
              <w:bottom w:val="single" w:sz="4" w:space="0" w:color="auto"/>
              <w:right w:val="single" w:sz="4" w:space="0" w:color="auto"/>
            </w:tcBorders>
          </w:tcPr>
          <w:p w14:paraId="1BD5519E"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61A8E613" w14:textId="77777777"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tcPr>
          <w:p w14:paraId="278F5247" w14:textId="77777777" w:rsidR="000305DD" w:rsidRPr="00F24972" w:rsidRDefault="000305DD" w:rsidP="000305DD">
            <w:pPr>
              <w:pStyle w:val="TableText"/>
              <w:rPr>
                <w:rFonts w:cs="Arial"/>
              </w:rPr>
            </w:pPr>
            <w:r w:rsidRPr="00F24972">
              <w:rPr>
                <w:rFonts w:cs="Arial"/>
              </w:rPr>
              <w:t>A Split Unit has its unit status invalidated. A single workload event is recorded regardless of the number of units originally created by the modification.</w:t>
            </w:r>
          </w:p>
        </w:tc>
      </w:tr>
      <w:tr w:rsidR="000305DD" w:rsidRPr="00F24972" w14:paraId="03FC875A" w14:textId="77777777">
        <w:trPr>
          <w:cantSplit/>
        </w:trPr>
        <w:tc>
          <w:tcPr>
            <w:tcW w:w="1733" w:type="dxa"/>
            <w:vMerge w:val="restart"/>
          </w:tcPr>
          <w:p w14:paraId="78397277" w14:textId="77777777" w:rsidR="000305DD" w:rsidRPr="00F24972" w:rsidRDefault="000305DD" w:rsidP="000305DD">
            <w:pPr>
              <w:pStyle w:val="TableText"/>
              <w:rPr>
                <w:rFonts w:cs="Arial"/>
              </w:rPr>
            </w:pPr>
            <w:r w:rsidRPr="00F24972">
              <w:rPr>
                <w:rFonts w:cs="Arial"/>
              </w:rPr>
              <w:lastRenderedPageBreak/>
              <w:t>Rejuvenate unit</w:t>
            </w:r>
          </w:p>
        </w:tc>
        <w:tc>
          <w:tcPr>
            <w:tcW w:w="1165" w:type="dxa"/>
          </w:tcPr>
          <w:p w14:paraId="4EE93EC2" w14:textId="77777777" w:rsidR="000305DD" w:rsidRPr="00F24972" w:rsidRDefault="000305DD" w:rsidP="000305DD">
            <w:pPr>
              <w:pStyle w:val="TableText"/>
              <w:rPr>
                <w:rFonts w:cs="Arial"/>
              </w:rPr>
            </w:pPr>
            <w:r>
              <w:rPr>
                <w:rFonts w:cs="Arial"/>
              </w:rPr>
              <w:t xml:space="preserve">Modify Unit, </w:t>
            </w:r>
            <w:r w:rsidRPr="00F24972">
              <w:rPr>
                <w:rFonts w:cs="Arial"/>
              </w:rPr>
              <w:t>Rejuvenate</w:t>
            </w:r>
          </w:p>
        </w:tc>
        <w:tc>
          <w:tcPr>
            <w:tcW w:w="1080" w:type="dxa"/>
          </w:tcPr>
          <w:p w14:paraId="6519784F" w14:textId="77777777" w:rsidR="000305DD" w:rsidRPr="00F24972" w:rsidRDefault="000305DD" w:rsidP="000305DD">
            <w:pPr>
              <w:pStyle w:val="TableText"/>
              <w:rPr>
                <w:rFonts w:cs="Arial"/>
              </w:rPr>
            </w:pPr>
            <w:r w:rsidRPr="00F24972">
              <w:rPr>
                <w:rFonts w:cs="Arial"/>
              </w:rPr>
              <w:t>Positive</w:t>
            </w:r>
          </w:p>
        </w:tc>
        <w:tc>
          <w:tcPr>
            <w:tcW w:w="900" w:type="dxa"/>
          </w:tcPr>
          <w:p w14:paraId="1D2954C1" w14:textId="77777777" w:rsidR="000305DD" w:rsidRPr="00F24972" w:rsidRDefault="000305DD" w:rsidP="000305DD">
            <w:pPr>
              <w:pStyle w:val="TableText"/>
              <w:jc w:val="center"/>
              <w:rPr>
                <w:rFonts w:cs="Arial"/>
              </w:rPr>
            </w:pPr>
            <w:r w:rsidRPr="00F24972">
              <w:rPr>
                <w:rFonts w:cs="Arial"/>
              </w:rPr>
              <w:t>U</w:t>
            </w:r>
          </w:p>
        </w:tc>
        <w:tc>
          <w:tcPr>
            <w:tcW w:w="4123" w:type="dxa"/>
          </w:tcPr>
          <w:p w14:paraId="55A532B9" w14:textId="77777777" w:rsidR="000305DD" w:rsidRPr="00F24972" w:rsidRDefault="000305DD" w:rsidP="000305DD">
            <w:pPr>
              <w:pStyle w:val="TableText"/>
              <w:rPr>
                <w:rFonts w:cs="Arial"/>
              </w:rPr>
            </w:pPr>
            <w:r w:rsidRPr="00F24972">
              <w:rPr>
                <w:rFonts w:cs="Arial"/>
              </w:rPr>
              <w:t xml:space="preserve">Accrue workload when an individual blood unit is processed by the modification type: Rejuvenate. </w:t>
            </w:r>
          </w:p>
          <w:p w14:paraId="3D97CF67" w14:textId="77777777"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02B9E18E" w14:textId="77777777">
        <w:trPr>
          <w:cantSplit/>
        </w:trPr>
        <w:tc>
          <w:tcPr>
            <w:tcW w:w="1733" w:type="dxa"/>
            <w:vMerge/>
            <w:tcBorders>
              <w:bottom w:val="single" w:sz="4" w:space="0" w:color="auto"/>
            </w:tcBorders>
          </w:tcPr>
          <w:p w14:paraId="09E12E83" w14:textId="77777777" w:rsidR="000305DD" w:rsidRPr="00F24972" w:rsidRDefault="000305DD" w:rsidP="000305DD">
            <w:pPr>
              <w:pStyle w:val="TableText"/>
              <w:rPr>
                <w:rFonts w:cs="Arial"/>
              </w:rPr>
            </w:pPr>
          </w:p>
        </w:tc>
        <w:tc>
          <w:tcPr>
            <w:tcW w:w="1165" w:type="dxa"/>
            <w:tcBorders>
              <w:bottom w:val="single" w:sz="4" w:space="0" w:color="auto"/>
            </w:tcBorders>
          </w:tcPr>
          <w:p w14:paraId="1EC20E84" w14:textId="77777777" w:rsidR="000305DD" w:rsidRPr="00F24972" w:rsidRDefault="000305DD" w:rsidP="000305DD">
            <w:pPr>
              <w:pStyle w:val="TableText"/>
              <w:rPr>
                <w:rFonts w:cs="Arial"/>
              </w:rPr>
            </w:pPr>
            <w:r>
              <w:rPr>
                <w:rFonts w:cs="Arial"/>
              </w:rPr>
              <w:t xml:space="preserve">Invalidate Unit Status, </w:t>
            </w:r>
            <w:r w:rsidRPr="00F24972">
              <w:rPr>
                <w:rFonts w:cs="Arial"/>
              </w:rPr>
              <w:t>Rejuvenate</w:t>
            </w:r>
          </w:p>
        </w:tc>
        <w:tc>
          <w:tcPr>
            <w:tcW w:w="1080" w:type="dxa"/>
            <w:tcBorders>
              <w:bottom w:val="single" w:sz="4" w:space="0" w:color="auto"/>
            </w:tcBorders>
          </w:tcPr>
          <w:p w14:paraId="15B396E7" w14:textId="77777777" w:rsidR="000305DD" w:rsidRPr="00F24972" w:rsidRDefault="000305DD" w:rsidP="000305DD">
            <w:pPr>
              <w:pStyle w:val="TableText"/>
              <w:rPr>
                <w:rFonts w:cs="Arial"/>
                <w:b/>
              </w:rPr>
            </w:pPr>
            <w:r w:rsidRPr="00F24972">
              <w:rPr>
                <w:rFonts w:cs="Arial"/>
                <w:b/>
              </w:rPr>
              <w:t>Negative</w:t>
            </w:r>
          </w:p>
        </w:tc>
        <w:tc>
          <w:tcPr>
            <w:tcW w:w="900" w:type="dxa"/>
            <w:tcBorders>
              <w:bottom w:val="single" w:sz="4" w:space="0" w:color="auto"/>
            </w:tcBorders>
          </w:tcPr>
          <w:p w14:paraId="25B0D132" w14:textId="77777777" w:rsidR="000305DD" w:rsidRPr="00F24972" w:rsidRDefault="000305DD" w:rsidP="000305DD">
            <w:pPr>
              <w:pStyle w:val="TableText"/>
              <w:jc w:val="center"/>
              <w:rPr>
                <w:rFonts w:cs="Arial"/>
              </w:rPr>
            </w:pPr>
            <w:r w:rsidRPr="00F24972">
              <w:rPr>
                <w:rFonts w:cs="Arial"/>
              </w:rPr>
              <w:t>U</w:t>
            </w:r>
          </w:p>
        </w:tc>
        <w:tc>
          <w:tcPr>
            <w:tcW w:w="4123" w:type="dxa"/>
            <w:tcBorders>
              <w:bottom w:val="single" w:sz="4" w:space="0" w:color="auto"/>
            </w:tcBorders>
          </w:tcPr>
          <w:p w14:paraId="0B562443" w14:textId="77777777" w:rsidR="000305DD" w:rsidRPr="00F24972" w:rsidRDefault="000305DD" w:rsidP="000305DD">
            <w:pPr>
              <w:pStyle w:val="TableText"/>
              <w:rPr>
                <w:rFonts w:cs="Arial"/>
              </w:rPr>
            </w:pPr>
            <w:r w:rsidRPr="00F24972">
              <w:rPr>
                <w:rFonts w:cs="Arial"/>
              </w:rPr>
              <w:t xml:space="preserve">An individual blood unit’s status is invalided when the original modification process was Rejuvenate. </w:t>
            </w:r>
          </w:p>
        </w:tc>
      </w:tr>
      <w:tr w:rsidR="000305DD" w:rsidRPr="00F24972" w14:paraId="522C02AF" w14:textId="77777777">
        <w:trPr>
          <w:cantSplit/>
        </w:trPr>
        <w:tc>
          <w:tcPr>
            <w:tcW w:w="1733" w:type="dxa"/>
            <w:vMerge w:val="restart"/>
            <w:tcBorders>
              <w:top w:val="single" w:sz="4" w:space="0" w:color="auto"/>
              <w:left w:val="single" w:sz="4" w:space="0" w:color="auto"/>
              <w:right w:val="single" w:sz="4" w:space="0" w:color="auto"/>
            </w:tcBorders>
          </w:tcPr>
          <w:p w14:paraId="300EB571" w14:textId="77777777" w:rsidR="000305DD" w:rsidRPr="00F24972" w:rsidRDefault="000305DD" w:rsidP="000305DD">
            <w:pPr>
              <w:pStyle w:val="TableText"/>
              <w:rPr>
                <w:rFonts w:cs="Arial"/>
              </w:rPr>
            </w:pPr>
            <w:r w:rsidRPr="00F24972">
              <w:rPr>
                <w:rFonts w:cs="Arial"/>
              </w:rPr>
              <w:t xml:space="preserve">Thaw </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3F537403" w14:textId="77777777" w:rsidR="000305DD" w:rsidRPr="00F24972" w:rsidRDefault="000305DD" w:rsidP="000305DD">
            <w:pPr>
              <w:pStyle w:val="TableText"/>
              <w:rPr>
                <w:rFonts w:cs="Arial"/>
              </w:rPr>
            </w:pPr>
            <w:r>
              <w:rPr>
                <w:rFonts w:cs="Arial"/>
              </w:rPr>
              <w:t>Modify Unit, Thaw</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F967E43"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B76D51D" w14:textId="77777777"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shd w:val="clear" w:color="auto" w:fill="auto"/>
          </w:tcPr>
          <w:p w14:paraId="28DA8E48" w14:textId="77777777" w:rsidR="000305DD" w:rsidRPr="00F24972" w:rsidRDefault="000305DD" w:rsidP="000305DD">
            <w:pPr>
              <w:pStyle w:val="TableText"/>
              <w:rPr>
                <w:rFonts w:cs="Arial"/>
              </w:rPr>
            </w:pPr>
            <w:r w:rsidRPr="00F24972">
              <w:rPr>
                <w:rFonts w:cs="Arial"/>
              </w:rPr>
              <w:t>Accrue workload when an individual blood unit is processed by the modification type: Thaw. When a batch of units is thawed, each unit accrues workload. This applies to Thaw FFP and Thaw Cryo.</w:t>
            </w:r>
          </w:p>
          <w:p w14:paraId="63912457" w14:textId="77777777"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72D9B9BF" w14:textId="77777777">
        <w:trPr>
          <w:cantSplit/>
        </w:trPr>
        <w:tc>
          <w:tcPr>
            <w:tcW w:w="1733" w:type="dxa"/>
            <w:vMerge/>
            <w:tcBorders>
              <w:left w:val="single" w:sz="4" w:space="0" w:color="auto"/>
              <w:bottom w:val="single" w:sz="4" w:space="0" w:color="auto"/>
              <w:right w:val="single" w:sz="4" w:space="0" w:color="auto"/>
            </w:tcBorders>
          </w:tcPr>
          <w:p w14:paraId="7D6FCEAF" w14:textId="77777777"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45590AFB" w14:textId="77777777" w:rsidR="000305DD" w:rsidRPr="00F24972" w:rsidRDefault="000305DD" w:rsidP="000305DD">
            <w:pPr>
              <w:pStyle w:val="TableText"/>
              <w:rPr>
                <w:rFonts w:cs="Arial"/>
              </w:rPr>
            </w:pPr>
            <w:r>
              <w:rPr>
                <w:rFonts w:cs="Arial"/>
              </w:rPr>
              <w:t>Invalidate Unit Status, Thaw</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4071F52"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04941FE" w14:textId="77777777"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shd w:val="clear" w:color="auto" w:fill="auto"/>
          </w:tcPr>
          <w:p w14:paraId="35755F67" w14:textId="77777777" w:rsidR="000305DD" w:rsidRPr="00F24972" w:rsidRDefault="000305DD" w:rsidP="000305DD">
            <w:pPr>
              <w:pStyle w:val="TableText"/>
              <w:rPr>
                <w:rFonts w:cs="Arial"/>
              </w:rPr>
            </w:pPr>
            <w:r w:rsidRPr="00F24972">
              <w:rPr>
                <w:rFonts w:cs="Arial"/>
              </w:rPr>
              <w:t>An individual blood unit’s status is invalided when the original modification process was Thaw. This modification type is applicable to Thaw FFP and Thaw Cryo.</w:t>
            </w:r>
          </w:p>
        </w:tc>
      </w:tr>
      <w:tr w:rsidR="000305DD" w:rsidRPr="00F24972" w14:paraId="7963219B" w14:textId="77777777">
        <w:trPr>
          <w:cantSplit/>
        </w:trPr>
        <w:tc>
          <w:tcPr>
            <w:tcW w:w="1733" w:type="dxa"/>
            <w:vMerge w:val="restart"/>
            <w:tcBorders>
              <w:top w:val="single" w:sz="4" w:space="0" w:color="auto"/>
              <w:left w:val="single" w:sz="4" w:space="0" w:color="auto"/>
              <w:right w:val="single" w:sz="4" w:space="0" w:color="auto"/>
            </w:tcBorders>
          </w:tcPr>
          <w:p w14:paraId="25B7D198" w14:textId="77777777" w:rsidR="000305DD" w:rsidRPr="00F24972" w:rsidRDefault="000305DD" w:rsidP="000305DD">
            <w:pPr>
              <w:pStyle w:val="TableText"/>
              <w:rPr>
                <w:rFonts w:cs="Arial"/>
              </w:rPr>
            </w:pPr>
            <w:r w:rsidRPr="00F24972">
              <w:rPr>
                <w:rFonts w:cs="Arial"/>
              </w:rPr>
              <w:t>Wash unit</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17F07BC7" w14:textId="77777777" w:rsidR="000305DD" w:rsidRPr="00F24972" w:rsidRDefault="000305DD" w:rsidP="000305DD">
            <w:pPr>
              <w:pStyle w:val="TableText"/>
              <w:rPr>
                <w:rFonts w:cs="Arial"/>
              </w:rPr>
            </w:pPr>
            <w:r>
              <w:rPr>
                <w:rFonts w:cs="Arial"/>
              </w:rPr>
              <w:t>Modify Unit, Wash</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FC946AC"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7A93C54" w14:textId="77777777"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shd w:val="clear" w:color="auto" w:fill="auto"/>
          </w:tcPr>
          <w:p w14:paraId="627C487E" w14:textId="77777777" w:rsidR="000305DD" w:rsidRPr="00F24972" w:rsidRDefault="000305DD" w:rsidP="000305DD">
            <w:pPr>
              <w:pStyle w:val="TableText"/>
              <w:rPr>
                <w:rFonts w:cs="Arial"/>
              </w:rPr>
            </w:pPr>
            <w:r w:rsidRPr="00F24972">
              <w:rPr>
                <w:rFonts w:cs="Arial"/>
              </w:rPr>
              <w:t>Accrue workload when an individual blood unit is processed by the modification type: Wash.</w:t>
            </w:r>
          </w:p>
          <w:p w14:paraId="54F5EBC7" w14:textId="77777777"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1B5A55BD" w14:textId="77777777">
        <w:trPr>
          <w:cantSplit/>
        </w:trPr>
        <w:tc>
          <w:tcPr>
            <w:tcW w:w="1733" w:type="dxa"/>
            <w:vMerge/>
            <w:tcBorders>
              <w:left w:val="single" w:sz="4" w:space="0" w:color="auto"/>
              <w:bottom w:val="single" w:sz="4" w:space="0" w:color="auto"/>
              <w:right w:val="single" w:sz="4" w:space="0" w:color="auto"/>
            </w:tcBorders>
          </w:tcPr>
          <w:p w14:paraId="6B0D4239" w14:textId="77777777"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76B27BEA" w14:textId="77777777" w:rsidR="000305DD" w:rsidRPr="00F24972" w:rsidRDefault="000305DD" w:rsidP="000305DD">
            <w:pPr>
              <w:pStyle w:val="TableText"/>
              <w:rPr>
                <w:rFonts w:cs="Arial"/>
              </w:rPr>
            </w:pPr>
            <w:r>
              <w:rPr>
                <w:rFonts w:cs="Arial"/>
              </w:rPr>
              <w:t>Invalidate Unit Status, Wash</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848BFE9"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9F729E1" w14:textId="77777777"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shd w:val="clear" w:color="auto" w:fill="auto"/>
          </w:tcPr>
          <w:p w14:paraId="7A0E8D94" w14:textId="77777777" w:rsidR="000305DD" w:rsidRPr="00F24972" w:rsidRDefault="000305DD" w:rsidP="000305DD">
            <w:pPr>
              <w:pStyle w:val="TableText"/>
              <w:rPr>
                <w:rFonts w:cs="Arial"/>
              </w:rPr>
            </w:pPr>
            <w:r w:rsidRPr="00F24972">
              <w:rPr>
                <w:rFonts w:cs="Arial"/>
              </w:rPr>
              <w:t>An individual blood unit’s status is invalided when the original modification process was Wash.</w:t>
            </w:r>
          </w:p>
        </w:tc>
      </w:tr>
      <w:tr w:rsidR="000305DD" w:rsidRPr="00F24972" w14:paraId="19B03F3F" w14:textId="77777777">
        <w:trPr>
          <w:cantSplit/>
        </w:trPr>
        <w:tc>
          <w:tcPr>
            <w:tcW w:w="1733" w:type="dxa"/>
            <w:vMerge w:val="restart"/>
            <w:tcBorders>
              <w:left w:val="single" w:sz="4" w:space="0" w:color="auto"/>
              <w:right w:val="single" w:sz="4" w:space="0" w:color="auto"/>
            </w:tcBorders>
          </w:tcPr>
          <w:p w14:paraId="7397E795" w14:textId="77777777" w:rsidR="000305DD" w:rsidRPr="00F24972" w:rsidRDefault="000305DD" w:rsidP="000305DD">
            <w:pPr>
              <w:pStyle w:val="TableText"/>
              <w:rPr>
                <w:rFonts w:cs="Arial"/>
              </w:rPr>
            </w:pPr>
            <w:r w:rsidRPr="00F24972">
              <w:rPr>
                <w:rFonts w:cs="Arial"/>
              </w:rPr>
              <w:t>Volume Reduce</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259C3A9D" w14:textId="77777777" w:rsidR="000305DD" w:rsidRPr="00F24972" w:rsidRDefault="000305DD" w:rsidP="000305DD">
            <w:pPr>
              <w:pStyle w:val="TableText"/>
              <w:rPr>
                <w:rFonts w:cs="Arial"/>
              </w:rPr>
            </w:pPr>
            <w:r>
              <w:rPr>
                <w:rFonts w:cs="Arial"/>
              </w:rPr>
              <w:t>Modify Unit, Volume Reduce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58159B2"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E5AF87F" w14:textId="77777777"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shd w:val="clear" w:color="auto" w:fill="auto"/>
          </w:tcPr>
          <w:p w14:paraId="02FC23A4" w14:textId="77777777" w:rsidR="000305DD" w:rsidRPr="00F24972" w:rsidRDefault="000305DD" w:rsidP="000305DD">
            <w:pPr>
              <w:pStyle w:val="TableText"/>
              <w:rPr>
                <w:rFonts w:cs="Arial"/>
              </w:rPr>
            </w:pPr>
            <w:r w:rsidRPr="00F24972">
              <w:rPr>
                <w:rFonts w:cs="Arial"/>
              </w:rPr>
              <w:t>Accrue workload when an individual blood unit is processed by the modification type: Volume Reduce.</w:t>
            </w:r>
          </w:p>
          <w:p w14:paraId="1DEFF5AA" w14:textId="77777777"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1ECCEB72" w14:textId="77777777">
        <w:trPr>
          <w:cantSplit/>
        </w:trPr>
        <w:tc>
          <w:tcPr>
            <w:tcW w:w="1733" w:type="dxa"/>
            <w:vMerge/>
            <w:tcBorders>
              <w:left w:val="single" w:sz="4" w:space="0" w:color="auto"/>
              <w:bottom w:val="single" w:sz="4" w:space="0" w:color="auto"/>
              <w:right w:val="single" w:sz="4" w:space="0" w:color="auto"/>
            </w:tcBorders>
          </w:tcPr>
          <w:p w14:paraId="19771F1E" w14:textId="77777777"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09F18377" w14:textId="77777777" w:rsidR="000305DD" w:rsidRPr="00F24972" w:rsidRDefault="000305DD" w:rsidP="000305DD">
            <w:pPr>
              <w:pStyle w:val="TableText"/>
              <w:rPr>
                <w:rFonts w:cs="Arial"/>
              </w:rPr>
            </w:pPr>
            <w:r>
              <w:rPr>
                <w:rFonts w:cs="Arial"/>
              </w:rPr>
              <w:t>Invalidate Unit Status, Volume Reduce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14D1D3D"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66758B1" w14:textId="77777777"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shd w:val="clear" w:color="auto" w:fill="auto"/>
          </w:tcPr>
          <w:p w14:paraId="55C26C98" w14:textId="77777777" w:rsidR="000305DD" w:rsidRPr="00F24972" w:rsidRDefault="000305DD" w:rsidP="000305DD">
            <w:pPr>
              <w:pStyle w:val="TableText"/>
              <w:rPr>
                <w:rFonts w:cs="Arial"/>
              </w:rPr>
            </w:pPr>
            <w:r w:rsidRPr="00F24972">
              <w:rPr>
                <w:rFonts w:cs="Arial"/>
              </w:rPr>
              <w:t>An individual blood unit’s status is invalided when the original modification process was Volume Reduce.</w:t>
            </w:r>
          </w:p>
        </w:tc>
      </w:tr>
      <w:tr w:rsidR="000305DD" w:rsidRPr="00F24972" w14:paraId="5337A1DF" w14:textId="77777777">
        <w:trPr>
          <w:cantSplit/>
        </w:trPr>
        <w:tc>
          <w:tcPr>
            <w:tcW w:w="1733" w:type="dxa"/>
            <w:tcBorders>
              <w:top w:val="single" w:sz="4" w:space="0" w:color="auto"/>
              <w:left w:val="single" w:sz="4" w:space="0" w:color="auto"/>
              <w:bottom w:val="single" w:sz="4" w:space="0" w:color="auto"/>
              <w:right w:val="single" w:sz="4" w:space="0" w:color="auto"/>
            </w:tcBorders>
          </w:tcPr>
          <w:p w14:paraId="3671414B" w14:textId="77777777" w:rsidR="000305DD" w:rsidRPr="00F24972" w:rsidRDefault="000305DD" w:rsidP="000305DD">
            <w:pPr>
              <w:pStyle w:val="TableText"/>
              <w:rPr>
                <w:rFonts w:cs="Arial"/>
              </w:rPr>
            </w:pPr>
            <w:r w:rsidRPr="00F24972">
              <w:rPr>
                <w:rFonts w:cs="Arial"/>
              </w:rPr>
              <w:t>Issue unit</w:t>
            </w:r>
          </w:p>
        </w:tc>
        <w:tc>
          <w:tcPr>
            <w:tcW w:w="1165" w:type="dxa"/>
            <w:tcBorders>
              <w:top w:val="single" w:sz="4" w:space="0" w:color="auto"/>
              <w:left w:val="single" w:sz="4" w:space="0" w:color="auto"/>
              <w:bottom w:val="single" w:sz="4" w:space="0" w:color="auto"/>
              <w:right w:val="single" w:sz="4" w:space="0" w:color="auto"/>
            </w:tcBorders>
          </w:tcPr>
          <w:p w14:paraId="31E29BA9" w14:textId="77777777" w:rsidR="000305DD" w:rsidRPr="00F24972" w:rsidRDefault="000305DD" w:rsidP="000305DD">
            <w:pPr>
              <w:pStyle w:val="TableText"/>
              <w:rPr>
                <w:rFonts w:cs="Arial"/>
              </w:rPr>
            </w:pPr>
            <w:r>
              <w:rPr>
                <w:rFonts w:cs="Arial"/>
              </w:rPr>
              <w:t>Issue Blood Unit</w:t>
            </w:r>
          </w:p>
          <w:p w14:paraId="5D7A6BD3"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3C8757CB"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2F3FCDEE" w14:textId="77777777" w:rsidR="000305DD" w:rsidRPr="00F24972" w:rsidRDefault="000305DD" w:rsidP="000305DD">
            <w:pPr>
              <w:pStyle w:val="TableText"/>
              <w:jc w:val="center"/>
              <w:rPr>
                <w:rFonts w:cs="Arial"/>
              </w:rPr>
            </w:pPr>
            <w:r w:rsidRPr="00F24972">
              <w:rPr>
                <w:rFonts w:cs="Arial"/>
              </w:rPr>
              <w:t>P</w:t>
            </w:r>
          </w:p>
        </w:tc>
        <w:tc>
          <w:tcPr>
            <w:tcW w:w="4123" w:type="dxa"/>
            <w:tcBorders>
              <w:top w:val="single" w:sz="4" w:space="0" w:color="auto"/>
              <w:left w:val="single" w:sz="4" w:space="0" w:color="auto"/>
              <w:bottom w:val="single" w:sz="4" w:space="0" w:color="auto"/>
              <w:right w:val="single" w:sz="4" w:space="0" w:color="auto"/>
            </w:tcBorders>
          </w:tcPr>
          <w:p w14:paraId="3DCBEC5E" w14:textId="77777777" w:rsidR="000305DD" w:rsidRPr="00F24972" w:rsidRDefault="000305DD" w:rsidP="000305DD">
            <w:pPr>
              <w:pStyle w:val="TableText"/>
              <w:rPr>
                <w:rFonts w:cs="Arial"/>
              </w:rPr>
            </w:pPr>
            <w:r w:rsidRPr="00F24972">
              <w:rPr>
                <w:rFonts w:cs="Arial"/>
              </w:rPr>
              <w:t>Accrue workload when a unit (row) is issued or is returned from issue to a patient. When a batch of units is processed, each unit invokes one workload process.</w:t>
            </w:r>
          </w:p>
        </w:tc>
      </w:tr>
      <w:tr w:rsidR="000305DD" w:rsidRPr="00F24972" w14:paraId="16800F1B" w14:textId="77777777">
        <w:trPr>
          <w:cantSplit/>
        </w:trPr>
        <w:tc>
          <w:tcPr>
            <w:tcW w:w="1733" w:type="dxa"/>
          </w:tcPr>
          <w:p w14:paraId="1849CC0B" w14:textId="77777777" w:rsidR="000305DD" w:rsidRPr="00F24972" w:rsidRDefault="000305DD" w:rsidP="000305DD">
            <w:pPr>
              <w:pStyle w:val="TableText"/>
              <w:rPr>
                <w:rFonts w:cs="Arial"/>
                <w:color w:val="3366FF"/>
              </w:rPr>
            </w:pPr>
            <w:r w:rsidRPr="00F24972">
              <w:rPr>
                <w:rFonts w:cs="Arial"/>
              </w:rPr>
              <w:lastRenderedPageBreak/>
              <w:t>Justification</w:t>
            </w:r>
          </w:p>
        </w:tc>
        <w:tc>
          <w:tcPr>
            <w:tcW w:w="1165" w:type="dxa"/>
          </w:tcPr>
          <w:p w14:paraId="62258847" w14:textId="77777777" w:rsidR="000305DD" w:rsidRPr="00F24972" w:rsidRDefault="000305DD" w:rsidP="000305DD">
            <w:pPr>
              <w:pStyle w:val="TableText"/>
              <w:rPr>
                <w:rFonts w:cs="Arial"/>
                <w:snapToGrid w:val="0"/>
              </w:rPr>
            </w:pPr>
            <w:r>
              <w:rPr>
                <w:rFonts w:cs="Arial"/>
                <w:snapToGrid w:val="0"/>
              </w:rPr>
              <w:t>Justify ABO/Rh Change</w:t>
            </w:r>
          </w:p>
        </w:tc>
        <w:tc>
          <w:tcPr>
            <w:tcW w:w="1080" w:type="dxa"/>
          </w:tcPr>
          <w:p w14:paraId="54E9F42B" w14:textId="77777777" w:rsidR="000305DD" w:rsidRPr="00F24972" w:rsidRDefault="000305DD" w:rsidP="000305DD">
            <w:pPr>
              <w:pStyle w:val="TableText"/>
              <w:rPr>
                <w:rFonts w:cs="Arial"/>
              </w:rPr>
            </w:pPr>
            <w:r w:rsidRPr="00F24972">
              <w:rPr>
                <w:rFonts w:cs="Arial"/>
              </w:rPr>
              <w:t>Positive</w:t>
            </w:r>
          </w:p>
        </w:tc>
        <w:tc>
          <w:tcPr>
            <w:tcW w:w="900" w:type="dxa"/>
          </w:tcPr>
          <w:p w14:paraId="2E48F070" w14:textId="77777777" w:rsidR="000305DD" w:rsidRPr="00F24972" w:rsidRDefault="000305DD" w:rsidP="000305DD">
            <w:pPr>
              <w:pStyle w:val="TableText"/>
              <w:jc w:val="center"/>
              <w:rPr>
                <w:rFonts w:cs="Arial"/>
              </w:rPr>
            </w:pPr>
            <w:r w:rsidRPr="00F24972">
              <w:rPr>
                <w:rFonts w:cs="Arial"/>
              </w:rPr>
              <w:t>M</w:t>
            </w:r>
          </w:p>
        </w:tc>
        <w:tc>
          <w:tcPr>
            <w:tcW w:w="4123" w:type="dxa"/>
          </w:tcPr>
          <w:p w14:paraId="3F3CB1DC" w14:textId="77777777" w:rsidR="000305DD" w:rsidRPr="00F24972" w:rsidRDefault="000305DD" w:rsidP="000305DD">
            <w:pPr>
              <w:pStyle w:val="TableText"/>
              <w:rPr>
                <w:rFonts w:cs="Arial"/>
              </w:rPr>
            </w:pPr>
            <w:r w:rsidRPr="00F24972">
              <w:rPr>
                <w:rFonts w:cs="Arial"/>
              </w:rPr>
              <w:t>Workload is accrued when a patient’s ABO or Rh typing is justified.</w:t>
            </w:r>
            <w:r>
              <w:rPr>
                <w:rFonts w:cs="Arial"/>
              </w:rPr>
              <w:t xml:space="preserve"> </w:t>
            </w:r>
            <w:r w:rsidRPr="00F24972">
              <w:rPr>
                <w:rFonts w:cs="Arial"/>
              </w:rPr>
              <w:t>One workload event per patient justification.</w:t>
            </w:r>
          </w:p>
        </w:tc>
      </w:tr>
      <w:tr w:rsidR="000305DD" w:rsidRPr="00F24972" w14:paraId="5AB29901" w14:textId="77777777">
        <w:trPr>
          <w:cantSplit/>
        </w:trPr>
        <w:tc>
          <w:tcPr>
            <w:tcW w:w="1733" w:type="dxa"/>
          </w:tcPr>
          <w:p w14:paraId="49D02B8A" w14:textId="77777777" w:rsidR="000305DD" w:rsidRPr="00F24972" w:rsidRDefault="000305DD" w:rsidP="000305DD">
            <w:pPr>
              <w:pStyle w:val="TableText"/>
              <w:rPr>
                <w:rFonts w:cs="Arial"/>
              </w:rPr>
            </w:pPr>
            <w:r w:rsidRPr="00F24972">
              <w:rPr>
                <w:rFonts w:cs="Arial"/>
              </w:rPr>
              <w:t>Login Equipment</w:t>
            </w:r>
          </w:p>
        </w:tc>
        <w:tc>
          <w:tcPr>
            <w:tcW w:w="1165" w:type="dxa"/>
          </w:tcPr>
          <w:p w14:paraId="522337D4" w14:textId="77777777" w:rsidR="000305DD" w:rsidRPr="00F24972" w:rsidRDefault="000305DD" w:rsidP="000305DD">
            <w:pPr>
              <w:pStyle w:val="TableText"/>
              <w:rPr>
                <w:rFonts w:cs="Arial"/>
              </w:rPr>
            </w:pPr>
            <w:r>
              <w:rPr>
                <w:rFonts w:cs="Arial"/>
                <w:snapToGrid w:val="0"/>
              </w:rPr>
              <w:t>Equipment, Login</w:t>
            </w:r>
            <w:r w:rsidRPr="00F24972">
              <w:rPr>
                <w:rFonts w:cs="Arial"/>
                <w:snapToGrid w:val="0"/>
              </w:rPr>
              <w:t xml:space="preserve"> </w:t>
            </w:r>
          </w:p>
        </w:tc>
        <w:tc>
          <w:tcPr>
            <w:tcW w:w="1080" w:type="dxa"/>
          </w:tcPr>
          <w:p w14:paraId="2C21B308" w14:textId="77777777" w:rsidR="000305DD" w:rsidRPr="00F24972" w:rsidRDefault="000305DD" w:rsidP="000305DD">
            <w:pPr>
              <w:pStyle w:val="TableText"/>
              <w:rPr>
                <w:rFonts w:cs="Arial"/>
              </w:rPr>
            </w:pPr>
            <w:r w:rsidRPr="00F24972">
              <w:rPr>
                <w:rFonts w:cs="Arial"/>
              </w:rPr>
              <w:t>Positive</w:t>
            </w:r>
          </w:p>
        </w:tc>
        <w:tc>
          <w:tcPr>
            <w:tcW w:w="900" w:type="dxa"/>
          </w:tcPr>
          <w:p w14:paraId="23DE0CC7" w14:textId="77777777" w:rsidR="000305DD" w:rsidRPr="00F24972" w:rsidRDefault="000305DD" w:rsidP="000305DD">
            <w:pPr>
              <w:pStyle w:val="TableText"/>
              <w:jc w:val="center"/>
              <w:rPr>
                <w:rFonts w:cs="Arial"/>
              </w:rPr>
            </w:pPr>
            <w:r w:rsidRPr="00F24972">
              <w:rPr>
                <w:rFonts w:cs="Arial"/>
              </w:rPr>
              <w:t>M</w:t>
            </w:r>
          </w:p>
        </w:tc>
        <w:tc>
          <w:tcPr>
            <w:tcW w:w="4123" w:type="dxa"/>
          </w:tcPr>
          <w:p w14:paraId="189D0417" w14:textId="77777777" w:rsidR="000305DD" w:rsidRPr="00F24972" w:rsidRDefault="000305DD" w:rsidP="000305DD">
            <w:pPr>
              <w:pStyle w:val="TableText"/>
              <w:rPr>
                <w:rFonts w:cs="Arial"/>
              </w:rPr>
            </w:pPr>
            <w:r w:rsidRPr="00F24972">
              <w:rPr>
                <w:rFonts w:cs="Arial"/>
              </w:rPr>
              <w:t>Accrue workload when a lot number of any type of equipment is logged into the system.</w:t>
            </w:r>
            <w:r>
              <w:rPr>
                <w:rFonts w:cs="Arial"/>
              </w:rPr>
              <w:t xml:space="preserve"> </w:t>
            </w:r>
          </w:p>
        </w:tc>
      </w:tr>
      <w:tr w:rsidR="000305DD" w:rsidRPr="00F24972" w14:paraId="0205DC5A" w14:textId="77777777">
        <w:trPr>
          <w:cantSplit/>
        </w:trPr>
        <w:tc>
          <w:tcPr>
            <w:tcW w:w="1733" w:type="dxa"/>
          </w:tcPr>
          <w:p w14:paraId="10A4B37A" w14:textId="77777777" w:rsidR="000305DD" w:rsidRPr="00F24972" w:rsidRDefault="000305DD" w:rsidP="000305DD">
            <w:pPr>
              <w:pStyle w:val="TableText"/>
              <w:rPr>
                <w:rFonts w:cs="Arial"/>
              </w:rPr>
            </w:pPr>
            <w:r w:rsidRPr="00F24972">
              <w:rPr>
                <w:rFonts w:cs="Arial"/>
              </w:rPr>
              <w:t>Login Reagent</w:t>
            </w:r>
          </w:p>
        </w:tc>
        <w:tc>
          <w:tcPr>
            <w:tcW w:w="1165" w:type="dxa"/>
          </w:tcPr>
          <w:p w14:paraId="19860951" w14:textId="77777777" w:rsidR="000305DD" w:rsidRPr="00F24972" w:rsidRDefault="000305DD" w:rsidP="000305DD">
            <w:pPr>
              <w:pStyle w:val="TableText"/>
              <w:rPr>
                <w:rFonts w:cs="Arial"/>
              </w:rPr>
            </w:pPr>
            <w:r>
              <w:rPr>
                <w:rFonts w:cs="Arial"/>
                <w:snapToGrid w:val="0"/>
              </w:rPr>
              <w:t>Reagent, Login</w:t>
            </w:r>
            <w:r w:rsidRPr="00F24972">
              <w:rPr>
                <w:rFonts w:cs="Arial"/>
                <w:snapToGrid w:val="0"/>
              </w:rPr>
              <w:t xml:space="preserve"> </w:t>
            </w:r>
          </w:p>
        </w:tc>
        <w:tc>
          <w:tcPr>
            <w:tcW w:w="1080" w:type="dxa"/>
          </w:tcPr>
          <w:p w14:paraId="46203288" w14:textId="77777777" w:rsidR="000305DD" w:rsidRPr="00F24972" w:rsidRDefault="000305DD" w:rsidP="000305DD">
            <w:pPr>
              <w:pStyle w:val="TableText"/>
              <w:rPr>
                <w:rFonts w:cs="Arial"/>
              </w:rPr>
            </w:pPr>
            <w:r w:rsidRPr="00F24972">
              <w:rPr>
                <w:rFonts w:cs="Arial"/>
              </w:rPr>
              <w:t>Positive</w:t>
            </w:r>
          </w:p>
        </w:tc>
        <w:tc>
          <w:tcPr>
            <w:tcW w:w="900" w:type="dxa"/>
          </w:tcPr>
          <w:p w14:paraId="5C3F5788" w14:textId="77777777" w:rsidR="000305DD" w:rsidRPr="00F24972" w:rsidRDefault="000305DD" w:rsidP="000305DD">
            <w:pPr>
              <w:pStyle w:val="TableText"/>
              <w:jc w:val="center"/>
              <w:rPr>
                <w:rFonts w:cs="Arial"/>
              </w:rPr>
            </w:pPr>
            <w:r w:rsidRPr="00F24972">
              <w:rPr>
                <w:rFonts w:cs="Arial"/>
              </w:rPr>
              <w:t>M</w:t>
            </w:r>
          </w:p>
        </w:tc>
        <w:tc>
          <w:tcPr>
            <w:tcW w:w="4123" w:type="dxa"/>
          </w:tcPr>
          <w:p w14:paraId="050DEB3B" w14:textId="77777777" w:rsidR="000305DD" w:rsidRPr="00F24972" w:rsidRDefault="000305DD" w:rsidP="000305DD">
            <w:pPr>
              <w:pStyle w:val="TableText"/>
              <w:rPr>
                <w:rFonts w:cs="Arial"/>
              </w:rPr>
            </w:pPr>
            <w:r w:rsidRPr="00F24972">
              <w:rPr>
                <w:rFonts w:cs="Arial"/>
              </w:rPr>
              <w:t>Accrue workload when a lot number of any type of reagent is logged into the system.</w:t>
            </w:r>
            <w:r>
              <w:rPr>
                <w:rFonts w:cs="Arial"/>
              </w:rPr>
              <w:t xml:space="preserve"> </w:t>
            </w:r>
            <w:r w:rsidRPr="00F24972">
              <w:rPr>
                <w:rFonts w:cs="Arial"/>
              </w:rPr>
              <w:t>When multiple lot numbers are processed in a batch, each lot number’s workload is counted.</w:t>
            </w:r>
          </w:p>
        </w:tc>
      </w:tr>
      <w:tr w:rsidR="000305DD" w:rsidRPr="00F24972" w14:paraId="4D59824B" w14:textId="77777777">
        <w:trPr>
          <w:cantSplit/>
        </w:trPr>
        <w:tc>
          <w:tcPr>
            <w:tcW w:w="1733" w:type="dxa"/>
          </w:tcPr>
          <w:p w14:paraId="35E318BA" w14:textId="77777777" w:rsidR="000305DD" w:rsidRPr="00F24972" w:rsidRDefault="000305DD" w:rsidP="000305DD">
            <w:pPr>
              <w:pStyle w:val="TableText"/>
              <w:rPr>
                <w:rFonts w:cs="Arial"/>
              </w:rPr>
            </w:pPr>
            <w:r w:rsidRPr="00F24972">
              <w:rPr>
                <w:rFonts w:cs="Arial"/>
              </w:rPr>
              <w:t>Login Supply</w:t>
            </w:r>
          </w:p>
        </w:tc>
        <w:tc>
          <w:tcPr>
            <w:tcW w:w="1165" w:type="dxa"/>
          </w:tcPr>
          <w:p w14:paraId="64385B9B" w14:textId="77777777" w:rsidR="000305DD" w:rsidRPr="00F24972" w:rsidRDefault="000305DD" w:rsidP="000305DD">
            <w:pPr>
              <w:pStyle w:val="TableText"/>
              <w:rPr>
                <w:rFonts w:cs="Arial"/>
              </w:rPr>
            </w:pPr>
            <w:r>
              <w:rPr>
                <w:rFonts w:cs="Arial"/>
                <w:snapToGrid w:val="0"/>
              </w:rPr>
              <w:t>Supply, Login</w:t>
            </w:r>
          </w:p>
        </w:tc>
        <w:tc>
          <w:tcPr>
            <w:tcW w:w="1080" w:type="dxa"/>
          </w:tcPr>
          <w:p w14:paraId="611F3774" w14:textId="77777777" w:rsidR="000305DD" w:rsidRPr="00F24972" w:rsidRDefault="000305DD" w:rsidP="000305DD">
            <w:pPr>
              <w:pStyle w:val="TableText"/>
              <w:rPr>
                <w:rFonts w:cs="Arial"/>
              </w:rPr>
            </w:pPr>
            <w:r w:rsidRPr="00F24972">
              <w:rPr>
                <w:rFonts w:cs="Arial"/>
              </w:rPr>
              <w:t>Positive</w:t>
            </w:r>
          </w:p>
        </w:tc>
        <w:tc>
          <w:tcPr>
            <w:tcW w:w="900" w:type="dxa"/>
          </w:tcPr>
          <w:p w14:paraId="059F376F" w14:textId="77777777" w:rsidR="000305DD" w:rsidRPr="00F24972" w:rsidRDefault="000305DD" w:rsidP="000305DD">
            <w:pPr>
              <w:pStyle w:val="TableText"/>
              <w:jc w:val="center"/>
              <w:rPr>
                <w:rFonts w:cs="Arial"/>
              </w:rPr>
            </w:pPr>
            <w:r w:rsidRPr="00F24972">
              <w:rPr>
                <w:rFonts w:cs="Arial"/>
              </w:rPr>
              <w:t>M</w:t>
            </w:r>
          </w:p>
        </w:tc>
        <w:tc>
          <w:tcPr>
            <w:tcW w:w="4123" w:type="dxa"/>
          </w:tcPr>
          <w:p w14:paraId="481E4C14" w14:textId="77777777" w:rsidR="000305DD" w:rsidRPr="00F24972" w:rsidRDefault="000305DD" w:rsidP="000305DD">
            <w:pPr>
              <w:pStyle w:val="TableText"/>
              <w:rPr>
                <w:rFonts w:cs="Arial"/>
              </w:rPr>
            </w:pPr>
            <w:r w:rsidRPr="00F24972">
              <w:rPr>
                <w:rFonts w:cs="Arial"/>
              </w:rPr>
              <w:t>Accrue workload when a lot number of any type of supply is logged into the system.</w:t>
            </w:r>
            <w:r>
              <w:rPr>
                <w:rFonts w:cs="Arial"/>
              </w:rPr>
              <w:t xml:space="preserve"> </w:t>
            </w:r>
            <w:r w:rsidRPr="00F24972">
              <w:rPr>
                <w:rFonts w:cs="Arial"/>
              </w:rPr>
              <w:t>When multiple lot numbers are processed in a batch, each lot number’s workload is counted.</w:t>
            </w:r>
          </w:p>
        </w:tc>
      </w:tr>
      <w:tr w:rsidR="000305DD" w:rsidRPr="00F24972" w14:paraId="4F51D775" w14:textId="77777777">
        <w:trPr>
          <w:cantSplit/>
        </w:trPr>
        <w:tc>
          <w:tcPr>
            <w:tcW w:w="1733" w:type="dxa"/>
            <w:tcBorders>
              <w:top w:val="single" w:sz="4" w:space="0" w:color="auto"/>
              <w:left w:val="single" w:sz="4" w:space="0" w:color="auto"/>
              <w:bottom w:val="single" w:sz="4" w:space="0" w:color="auto"/>
              <w:right w:val="single" w:sz="4" w:space="0" w:color="auto"/>
            </w:tcBorders>
          </w:tcPr>
          <w:p w14:paraId="7DE847B7" w14:textId="77777777" w:rsidR="000305DD" w:rsidRPr="00F24972" w:rsidRDefault="000305DD" w:rsidP="000305DD">
            <w:pPr>
              <w:pStyle w:val="TableText"/>
              <w:rPr>
                <w:rFonts w:cs="Arial"/>
              </w:rPr>
            </w:pPr>
            <w:r w:rsidRPr="00F24972">
              <w:rPr>
                <w:rFonts w:cs="Arial"/>
              </w:rPr>
              <w:t>Maintain Specimen</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53143AD4" w14:textId="77777777" w:rsidR="000305DD" w:rsidRPr="00F24972" w:rsidRDefault="000305DD" w:rsidP="000305DD">
            <w:pPr>
              <w:pStyle w:val="TableText"/>
              <w:rPr>
                <w:rFonts w:cs="Arial"/>
              </w:rPr>
            </w:pPr>
            <w:r>
              <w:rPr>
                <w:rFonts w:cs="Arial"/>
              </w:rPr>
              <w:t>Maintain Specimen</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A21C0E4"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BF1B78F" w14:textId="77777777" w:rsidR="000305DD" w:rsidRPr="00F24972" w:rsidRDefault="000305DD" w:rsidP="000305DD">
            <w:pPr>
              <w:pStyle w:val="TableText"/>
              <w:jc w:val="center"/>
              <w:rPr>
                <w:rFonts w:cs="Arial"/>
              </w:rPr>
            </w:pPr>
            <w:r w:rsidRPr="00F24972">
              <w:rPr>
                <w:rFonts w:cs="Arial"/>
              </w:rPr>
              <w:t>M</w:t>
            </w:r>
          </w:p>
        </w:tc>
        <w:tc>
          <w:tcPr>
            <w:tcW w:w="4123" w:type="dxa"/>
            <w:tcBorders>
              <w:top w:val="single" w:sz="4" w:space="0" w:color="auto"/>
              <w:left w:val="single" w:sz="4" w:space="0" w:color="auto"/>
              <w:bottom w:val="single" w:sz="4" w:space="0" w:color="auto"/>
              <w:right w:val="single" w:sz="4" w:space="0" w:color="auto"/>
            </w:tcBorders>
            <w:shd w:val="clear" w:color="auto" w:fill="auto"/>
          </w:tcPr>
          <w:p w14:paraId="531B9C6D" w14:textId="77777777" w:rsidR="000305DD" w:rsidRPr="00F24972" w:rsidRDefault="000305DD" w:rsidP="000305DD">
            <w:pPr>
              <w:pStyle w:val="TableText"/>
              <w:rPr>
                <w:rFonts w:cs="Arial"/>
              </w:rPr>
            </w:pPr>
            <w:r w:rsidRPr="00F24972">
              <w:rPr>
                <w:rFonts w:cs="Arial"/>
              </w:rPr>
              <w:t>Accrue workload when a specimen is maintained during order acceptance when a specimen is requirement for the order.</w:t>
            </w:r>
          </w:p>
          <w:p w14:paraId="654CD344" w14:textId="77777777" w:rsidR="000305DD" w:rsidRPr="00F24972" w:rsidRDefault="000305DD" w:rsidP="000305DD">
            <w:pPr>
              <w:pStyle w:val="TableText"/>
              <w:rPr>
                <w:rFonts w:cs="Arial"/>
              </w:rPr>
            </w:pPr>
            <w:r w:rsidRPr="00F24972">
              <w:rPr>
                <w:rFonts w:cs="Arial"/>
              </w:rPr>
              <w:t xml:space="preserve">Note: This event is accrued when the specimen is maintained in </w:t>
            </w:r>
            <w:r>
              <w:rPr>
                <w:rFonts w:cs="Arial"/>
              </w:rPr>
              <w:t>Maintain Specimen</w:t>
            </w:r>
            <w:r w:rsidRPr="00F24972">
              <w:rPr>
                <w:rFonts w:cs="Arial"/>
              </w:rPr>
              <w:t xml:space="preserve">. This is collected in addition to the accept order workload accrued by </w:t>
            </w:r>
            <w:r>
              <w:rPr>
                <w:rFonts w:cs="Arial"/>
              </w:rPr>
              <w:t>Accept Order</w:t>
            </w:r>
            <w:r w:rsidRPr="00F24972">
              <w:rPr>
                <w:rFonts w:cs="Arial"/>
              </w:rPr>
              <w:t>. Marking a specimen unacceptable does not create a negative workload event.</w:t>
            </w:r>
          </w:p>
        </w:tc>
      </w:tr>
      <w:tr w:rsidR="000305DD" w:rsidRPr="00F24972" w14:paraId="76E96DE5" w14:textId="77777777">
        <w:trPr>
          <w:cantSplit/>
        </w:trPr>
        <w:tc>
          <w:tcPr>
            <w:tcW w:w="1733" w:type="dxa"/>
            <w:vMerge w:val="restart"/>
          </w:tcPr>
          <w:p w14:paraId="11C371BB" w14:textId="77777777" w:rsidR="000305DD" w:rsidRPr="0028710D" w:rsidRDefault="000305DD" w:rsidP="000305DD">
            <w:pPr>
              <w:pStyle w:val="TableText"/>
              <w:rPr>
                <w:rFonts w:cs="Arial"/>
                <w:lang w:val="fr-FR"/>
              </w:rPr>
            </w:pPr>
            <w:r w:rsidRPr="0028710D">
              <w:rPr>
                <w:rFonts w:cs="Arial"/>
                <w:lang w:val="fr-FR"/>
              </w:rPr>
              <w:t>Patient antigen phenotype (multiple phases)</w:t>
            </w:r>
          </w:p>
        </w:tc>
        <w:tc>
          <w:tcPr>
            <w:tcW w:w="1165" w:type="dxa"/>
          </w:tcPr>
          <w:p w14:paraId="11EEDEB0" w14:textId="77777777" w:rsidR="000305DD" w:rsidRPr="00F24972" w:rsidRDefault="000305DD" w:rsidP="000305DD">
            <w:pPr>
              <w:pStyle w:val="TableText"/>
              <w:rPr>
                <w:rFonts w:cs="Arial"/>
              </w:rPr>
            </w:pPr>
            <w:r>
              <w:rPr>
                <w:rFonts w:cs="Arial"/>
              </w:rPr>
              <w:t>Patient Antigen typing</w:t>
            </w:r>
          </w:p>
          <w:p w14:paraId="13E1D1EB" w14:textId="77777777" w:rsidR="000305DD" w:rsidRPr="00F24972" w:rsidRDefault="000305DD" w:rsidP="000305DD">
            <w:pPr>
              <w:pStyle w:val="TableText"/>
              <w:rPr>
                <w:rFonts w:cs="Arial"/>
              </w:rPr>
            </w:pPr>
          </w:p>
        </w:tc>
        <w:tc>
          <w:tcPr>
            <w:tcW w:w="1080" w:type="dxa"/>
          </w:tcPr>
          <w:p w14:paraId="593EDEE4" w14:textId="77777777" w:rsidR="000305DD" w:rsidRPr="00F24972" w:rsidRDefault="000305DD" w:rsidP="000305DD">
            <w:pPr>
              <w:pStyle w:val="TableText"/>
              <w:rPr>
                <w:rFonts w:cs="Arial"/>
              </w:rPr>
            </w:pPr>
            <w:r w:rsidRPr="00F24972">
              <w:rPr>
                <w:rFonts w:cs="Arial"/>
              </w:rPr>
              <w:t>Positive</w:t>
            </w:r>
          </w:p>
        </w:tc>
        <w:tc>
          <w:tcPr>
            <w:tcW w:w="900" w:type="dxa"/>
          </w:tcPr>
          <w:p w14:paraId="5BF9A559" w14:textId="77777777" w:rsidR="000305DD" w:rsidRPr="00F24972" w:rsidRDefault="000305DD" w:rsidP="000305DD">
            <w:pPr>
              <w:pStyle w:val="TableText"/>
              <w:jc w:val="center"/>
              <w:rPr>
                <w:rFonts w:cs="Arial"/>
              </w:rPr>
            </w:pPr>
            <w:r w:rsidRPr="00F24972">
              <w:rPr>
                <w:rFonts w:cs="Arial"/>
              </w:rPr>
              <w:t>P</w:t>
            </w:r>
          </w:p>
        </w:tc>
        <w:tc>
          <w:tcPr>
            <w:tcW w:w="4123" w:type="dxa"/>
          </w:tcPr>
          <w:p w14:paraId="13491CFA" w14:textId="77777777" w:rsidR="000305DD" w:rsidRPr="00F24972" w:rsidRDefault="000305DD" w:rsidP="000305DD">
            <w:pPr>
              <w:pStyle w:val="TableText"/>
              <w:rPr>
                <w:rFonts w:cs="Arial"/>
              </w:rPr>
            </w:pPr>
            <w:r w:rsidRPr="00F24972">
              <w:rPr>
                <w:rFonts w:cs="Arial"/>
              </w:rPr>
              <w:t xml:space="preserve">Accrue workload when a patient antigen phenotype test [specificity (tab)] with IS/RT or IS/37 phases is completed and saved (when completed and saved via </w:t>
            </w:r>
            <w:r>
              <w:rPr>
                <w:rFonts w:cs="Arial"/>
              </w:rPr>
              <w:t>Record Testing</w:t>
            </w:r>
            <w:r w:rsidRPr="00F24972">
              <w:rPr>
                <w:rFonts w:cs="Arial"/>
              </w:rPr>
              <w:t>). One workload event is collected per completed tab for repeat or regular antigen tests.</w:t>
            </w:r>
          </w:p>
        </w:tc>
      </w:tr>
      <w:tr w:rsidR="000305DD" w:rsidRPr="00F24972" w14:paraId="09CFEF9A" w14:textId="77777777">
        <w:trPr>
          <w:cantSplit/>
        </w:trPr>
        <w:tc>
          <w:tcPr>
            <w:tcW w:w="1733" w:type="dxa"/>
            <w:vMerge/>
          </w:tcPr>
          <w:p w14:paraId="7429EA8A" w14:textId="77777777" w:rsidR="000305DD" w:rsidRPr="00F24972" w:rsidRDefault="000305DD" w:rsidP="000305DD">
            <w:pPr>
              <w:pStyle w:val="TableText"/>
              <w:rPr>
                <w:rFonts w:cs="Arial"/>
              </w:rPr>
            </w:pPr>
          </w:p>
        </w:tc>
        <w:tc>
          <w:tcPr>
            <w:tcW w:w="1165" w:type="dxa"/>
          </w:tcPr>
          <w:p w14:paraId="0717B62F" w14:textId="77777777" w:rsidR="000305DD" w:rsidRPr="00F24972" w:rsidRDefault="000305DD" w:rsidP="000305DD">
            <w:pPr>
              <w:pStyle w:val="TableText"/>
              <w:rPr>
                <w:rFonts w:cs="Arial"/>
              </w:rPr>
            </w:pPr>
            <w:r>
              <w:rPr>
                <w:rFonts w:cs="Arial"/>
              </w:rPr>
              <w:t>Invalidate, Patient Antigen typing</w:t>
            </w:r>
          </w:p>
          <w:p w14:paraId="33B4DAE7" w14:textId="77777777" w:rsidR="000305DD" w:rsidRPr="00F24972" w:rsidRDefault="000305DD" w:rsidP="000305DD">
            <w:pPr>
              <w:pStyle w:val="TableText"/>
              <w:rPr>
                <w:rFonts w:cs="Arial"/>
              </w:rPr>
            </w:pPr>
          </w:p>
          <w:p w14:paraId="3C3EA1BD" w14:textId="77777777" w:rsidR="000305DD" w:rsidRPr="00F24972" w:rsidRDefault="000305DD" w:rsidP="000305DD">
            <w:pPr>
              <w:pStyle w:val="TableText"/>
              <w:rPr>
                <w:rFonts w:cs="Arial"/>
              </w:rPr>
            </w:pPr>
          </w:p>
        </w:tc>
        <w:tc>
          <w:tcPr>
            <w:tcW w:w="1080" w:type="dxa"/>
          </w:tcPr>
          <w:p w14:paraId="49CFB6FC" w14:textId="77777777" w:rsidR="000305DD" w:rsidRPr="00F24972" w:rsidRDefault="000305DD" w:rsidP="000305DD">
            <w:pPr>
              <w:pStyle w:val="TableText"/>
              <w:rPr>
                <w:rFonts w:cs="Arial"/>
                <w:b/>
              </w:rPr>
            </w:pPr>
            <w:r w:rsidRPr="00F24972">
              <w:rPr>
                <w:rFonts w:cs="Arial"/>
                <w:b/>
              </w:rPr>
              <w:t>Negative</w:t>
            </w:r>
          </w:p>
        </w:tc>
        <w:tc>
          <w:tcPr>
            <w:tcW w:w="900" w:type="dxa"/>
          </w:tcPr>
          <w:p w14:paraId="40ABCDE5" w14:textId="77777777" w:rsidR="000305DD" w:rsidRPr="00F24972" w:rsidRDefault="000305DD" w:rsidP="000305DD">
            <w:pPr>
              <w:pStyle w:val="TableText"/>
              <w:jc w:val="center"/>
              <w:rPr>
                <w:rFonts w:cs="Arial"/>
              </w:rPr>
            </w:pPr>
            <w:r w:rsidRPr="00F24972">
              <w:rPr>
                <w:rFonts w:cs="Arial"/>
              </w:rPr>
              <w:t>P</w:t>
            </w:r>
          </w:p>
        </w:tc>
        <w:tc>
          <w:tcPr>
            <w:tcW w:w="4123" w:type="dxa"/>
          </w:tcPr>
          <w:p w14:paraId="1A0696B2" w14:textId="77777777" w:rsidR="000305DD" w:rsidRPr="00F24972" w:rsidRDefault="000305DD" w:rsidP="000305DD">
            <w:pPr>
              <w:pStyle w:val="TableText"/>
              <w:rPr>
                <w:rFonts w:cs="Arial"/>
              </w:rPr>
            </w:pPr>
            <w:r w:rsidRPr="00F24972">
              <w:rPr>
                <w:rFonts w:cs="Arial"/>
              </w:rPr>
              <w:t xml:space="preserve">Accrue workload when a patient antigen phenotype test as defined by the antiserum specificity tested with any phases is invalidated. </w:t>
            </w:r>
          </w:p>
        </w:tc>
      </w:tr>
      <w:tr w:rsidR="000305DD" w:rsidRPr="00F24972" w14:paraId="74CEE570" w14:textId="77777777">
        <w:trPr>
          <w:cantSplit/>
        </w:trPr>
        <w:tc>
          <w:tcPr>
            <w:tcW w:w="1733" w:type="dxa"/>
            <w:vMerge w:val="restart"/>
          </w:tcPr>
          <w:p w14:paraId="09279E9F" w14:textId="77777777" w:rsidR="000305DD" w:rsidRPr="00F24972" w:rsidRDefault="000305DD" w:rsidP="000305DD">
            <w:pPr>
              <w:pStyle w:val="TableText"/>
              <w:rPr>
                <w:rFonts w:cs="Arial"/>
              </w:rPr>
            </w:pPr>
            <w:r w:rsidRPr="00F24972">
              <w:rPr>
                <w:rFonts w:cs="Arial"/>
              </w:rPr>
              <w:t>Patient antigen phenotype (single phase)</w:t>
            </w:r>
          </w:p>
        </w:tc>
        <w:tc>
          <w:tcPr>
            <w:tcW w:w="1165" w:type="dxa"/>
          </w:tcPr>
          <w:p w14:paraId="4FFCEBAA" w14:textId="77777777" w:rsidR="000305DD" w:rsidRPr="00F24972" w:rsidRDefault="000305DD" w:rsidP="000305DD">
            <w:pPr>
              <w:pStyle w:val="TableText"/>
              <w:rPr>
                <w:rFonts w:cs="Arial"/>
              </w:rPr>
            </w:pPr>
            <w:r>
              <w:rPr>
                <w:rFonts w:cs="Arial"/>
              </w:rPr>
              <w:t>Patient Antigen typing</w:t>
            </w:r>
          </w:p>
          <w:p w14:paraId="34E9B18D" w14:textId="77777777" w:rsidR="000305DD" w:rsidRPr="00F24972" w:rsidRDefault="000305DD" w:rsidP="000305DD">
            <w:pPr>
              <w:pStyle w:val="TableText"/>
              <w:rPr>
                <w:rFonts w:cs="Arial"/>
              </w:rPr>
            </w:pPr>
          </w:p>
        </w:tc>
        <w:tc>
          <w:tcPr>
            <w:tcW w:w="1080" w:type="dxa"/>
          </w:tcPr>
          <w:p w14:paraId="044D2B12" w14:textId="77777777" w:rsidR="000305DD" w:rsidRPr="00F24972" w:rsidRDefault="000305DD" w:rsidP="000305DD">
            <w:pPr>
              <w:pStyle w:val="TableText"/>
              <w:rPr>
                <w:rFonts w:cs="Arial"/>
              </w:rPr>
            </w:pPr>
            <w:r w:rsidRPr="00F24972">
              <w:rPr>
                <w:rFonts w:cs="Arial"/>
              </w:rPr>
              <w:t>Positive</w:t>
            </w:r>
          </w:p>
        </w:tc>
        <w:tc>
          <w:tcPr>
            <w:tcW w:w="900" w:type="dxa"/>
          </w:tcPr>
          <w:p w14:paraId="1F79F189" w14:textId="77777777" w:rsidR="000305DD" w:rsidRPr="00F24972" w:rsidRDefault="000305DD" w:rsidP="000305DD">
            <w:pPr>
              <w:pStyle w:val="TableText"/>
              <w:jc w:val="center"/>
              <w:rPr>
                <w:rFonts w:cs="Arial"/>
              </w:rPr>
            </w:pPr>
            <w:r w:rsidRPr="00F24972">
              <w:rPr>
                <w:rFonts w:cs="Arial"/>
              </w:rPr>
              <w:t>P</w:t>
            </w:r>
          </w:p>
        </w:tc>
        <w:tc>
          <w:tcPr>
            <w:tcW w:w="4123" w:type="dxa"/>
          </w:tcPr>
          <w:p w14:paraId="2433DDC0" w14:textId="77777777" w:rsidR="000305DD" w:rsidRPr="00F24972" w:rsidRDefault="000305DD" w:rsidP="000305DD">
            <w:pPr>
              <w:pStyle w:val="TableText"/>
              <w:rPr>
                <w:rFonts w:cs="Arial"/>
              </w:rPr>
            </w:pPr>
            <w:r w:rsidRPr="00F24972">
              <w:rPr>
                <w:rFonts w:cs="Arial"/>
              </w:rPr>
              <w:t xml:space="preserve">Accrue workload when a patient antigen phenotype test [specificity (tab)] with AHG or IS phase is completed and saved (when completed and saved via </w:t>
            </w:r>
            <w:r>
              <w:rPr>
                <w:rFonts w:cs="Arial"/>
              </w:rPr>
              <w:t>Record Testing</w:t>
            </w:r>
            <w:r w:rsidRPr="00F24972">
              <w:rPr>
                <w:rFonts w:cs="Arial"/>
              </w:rPr>
              <w:t>). One workload event is collected per completed tab for repeat or regular antigen tests.</w:t>
            </w:r>
          </w:p>
        </w:tc>
      </w:tr>
      <w:tr w:rsidR="000305DD" w:rsidRPr="00F24972" w14:paraId="5D1CC7D0" w14:textId="77777777">
        <w:trPr>
          <w:cantSplit/>
        </w:trPr>
        <w:tc>
          <w:tcPr>
            <w:tcW w:w="1733" w:type="dxa"/>
            <w:vMerge/>
            <w:tcBorders>
              <w:bottom w:val="single" w:sz="4" w:space="0" w:color="auto"/>
            </w:tcBorders>
          </w:tcPr>
          <w:p w14:paraId="4044FFF6" w14:textId="77777777" w:rsidR="000305DD" w:rsidRPr="00F24972" w:rsidRDefault="000305DD" w:rsidP="000305DD">
            <w:pPr>
              <w:pStyle w:val="TableText"/>
              <w:rPr>
                <w:rFonts w:cs="Arial"/>
              </w:rPr>
            </w:pPr>
          </w:p>
        </w:tc>
        <w:tc>
          <w:tcPr>
            <w:tcW w:w="1165" w:type="dxa"/>
            <w:tcBorders>
              <w:top w:val="single" w:sz="4" w:space="0" w:color="auto"/>
              <w:bottom w:val="single" w:sz="4" w:space="0" w:color="auto"/>
              <w:right w:val="single" w:sz="4" w:space="0" w:color="auto"/>
            </w:tcBorders>
          </w:tcPr>
          <w:p w14:paraId="321C4707" w14:textId="77777777" w:rsidR="000305DD" w:rsidRPr="00F24972" w:rsidRDefault="000305DD" w:rsidP="000305DD">
            <w:pPr>
              <w:pStyle w:val="TableText"/>
              <w:rPr>
                <w:rFonts w:cs="Arial"/>
              </w:rPr>
            </w:pPr>
            <w:r>
              <w:rPr>
                <w:rFonts w:cs="Arial"/>
              </w:rPr>
              <w:t>Invalidate, Patient Antigen typing</w:t>
            </w:r>
          </w:p>
          <w:p w14:paraId="01DD960A" w14:textId="77777777" w:rsidR="000305DD" w:rsidRPr="00F24972" w:rsidRDefault="000305DD" w:rsidP="000305DD">
            <w:pPr>
              <w:pStyle w:val="TableText"/>
              <w:rPr>
                <w:rFonts w:cs="Arial"/>
              </w:rPr>
            </w:pPr>
          </w:p>
          <w:p w14:paraId="2CD19D7B"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009332BC"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2A0DFF82" w14:textId="77777777" w:rsidR="000305DD" w:rsidRPr="00F24972" w:rsidRDefault="000305DD" w:rsidP="000305DD">
            <w:pPr>
              <w:pStyle w:val="TableText"/>
              <w:jc w:val="center"/>
              <w:rPr>
                <w:rFonts w:cs="Arial"/>
              </w:rPr>
            </w:pPr>
            <w:r w:rsidRPr="00F24972">
              <w:rPr>
                <w:rFonts w:cs="Arial"/>
              </w:rPr>
              <w:t>P</w:t>
            </w:r>
          </w:p>
        </w:tc>
        <w:tc>
          <w:tcPr>
            <w:tcW w:w="4123" w:type="dxa"/>
            <w:tcBorders>
              <w:top w:val="single" w:sz="4" w:space="0" w:color="auto"/>
              <w:left w:val="single" w:sz="4" w:space="0" w:color="auto"/>
              <w:bottom w:val="single" w:sz="4" w:space="0" w:color="auto"/>
              <w:right w:val="single" w:sz="4" w:space="0" w:color="auto"/>
            </w:tcBorders>
          </w:tcPr>
          <w:p w14:paraId="760FF451" w14:textId="165F277C" w:rsidR="000305DD" w:rsidRPr="00F24972" w:rsidRDefault="000305DD" w:rsidP="000305DD">
            <w:pPr>
              <w:pStyle w:val="TableText"/>
              <w:rPr>
                <w:rFonts w:cs="Arial"/>
              </w:rPr>
            </w:pPr>
            <w:r w:rsidRPr="00F24972">
              <w:rPr>
                <w:rFonts w:cs="Arial"/>
              </w:rPr>
              <w:t xml:space="preserve">Accrue workload when a patient antigen phenotype test as defined by the antiserum specificity tested with </w:t>
            </w:r>
            <w:r w:rsidR="00AE3B37" w:rsidRPr="00F24972">
              <w:rPr>
                <w:rFonts w:cs="Arial"/>
              </w:rPr>
              <w:t>a single phase</w:t>
            </w:r>
            <w:r w:rsidRPr="00F24972">
              <w:rPr>
                <w:rFonts w:cs="Arial"/>
              </w:rPr>
              <w:t xml:space="preserve"> is invalidated. </w:t>
            </w:r>
          </w:p>
        </w:tc>
      </w:tr>
      <w:tr w:rsidR="000305DD" w:rsidRPr="00F24972" w14:paraId="63BF3A8B" w14:textId="77777777">
        <w:trPr>
          <w:cantSplit/>
        </w:trPr>
        <w:tc>
          <w:tcPr>
            <w:tcW w:w="1733" w:type="dxa"/>
            <w:vMerge w:val="restart"/>
            <w:tcBorders>
              <w:top w:val="single" w:sz="4" w:space="0" w:color="auto"/>
              <w:left w:val="single" w:sz="4" w:space="0" w:color="auto"/>
              <w:right w:val="single" w:sz="4" w:space="0" w:color="auto"/>
            </w:tcBorders>
          </w:tcPr>
          <w:p w14:paraId="342A6CE0" w14:textId="77777777" w:rsidR="000305DD" w:rsidRPr="00F24972" w:rsidRDefault="000305DD" w:rsidP="000305DD">
            <w:pPr>
              <w:pStyle w:val="TableText"/>
              <w:rPr>
                <w:rFonts w:cs="Arial"/>
              </w:rPr>
            </w:pPr>
            <w:r w:rsidRPr="00F24972">
              <w:rPr>
                <w:rFonts w:cs="Arial"/>
              </w:rPr>
              <w:lastRenderedPageBreak/>
              <w:t>Pool unit</w:t>
            </w:r>
          </w:p>
          <w:p w14:paraId="5A9F9FF2" w14:textId="77777777"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tcPr>
          <w:p w14:paraId="38C7E733" w14:textId="77777777" w:rsidR="000305DD" w:rsidRPr="00F24972" w:rsidRDefault="000305DD" w:rsidP="000305DD">
            <w:pPr>
              <w:pStyle w:val="TableText"/>
              <w:rPr>
                <w:rFonts w:cs="Arial"/>
              </w:rPr>
            </w:pPr>
            <w:r>
              <w:rPr>
                <w:rFonts w:cs="Arial"/>
              </w:rPr>
              <w:t>Modify, Pool</w:t>
            </w:r>
          </w:p>
        </w:tc>
        <w:tc>
          <w:tcPr>
            <w:tcW w:w="1080" w:type="dxa"/>
            <w:tcBorders>
              <w:top w:val="single" w:sz="4" w:space="0" w:color="auto"/>
              <w:left w:val="single" w:sz="4" w:space="0" w:color="auto"/>
              <w:bottom w:val="single" w:sz="4" w:space="0" w:color="auto"/>
              <w:right w:val="single" w:sz="4" w:space="0" w:color="auto"/>
            </w:tcBorders>
          </w:tcPr>
          <w:p w14:paraId="67FD52A9"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7C591401" w14:textId="77777777"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tcPr>
          <w:p w14:paraId="006158D0" w14:textId="77777777" w:rsidR="000305DD" w:rsidRPr="00F24972" w:rsidRDefault="000305DD" w:rsidP="000305DD">
            <w:pPr>
              <w:pStyle w:val="TableText"/>
              <w:rPr>
                <w:rFonts w:cs="Arial"/>
              </w:rPr>
            </w:pPr>
            <w:r w:rsidRPr="00F24972">
              <w:rPr>
                <w:rFonts w:cs="Arial"/>
              </w:rPr>
              <w:t>Accrue workload when a pooled unit is created and a single workload event is recorded regardless of the number of units included in the pooled unit. This applies to modification type: Pool. Add/Remove unit from a pool does not accrue any workload.</w:t>
            </w:r>
            <w:r w:rsidRPr="00F24972">
              <w:rPr>
                <w:rFonts w:cs="Arial"/>
                <w:i/>
              </w:rPr>
              <w:t xml:space="preserve"> </w:t>
            </w:r>
          </w:p>
          <w:p w14:paraId="3198CD26" w14:textId="77777777" w:rsidR="000305DD" w:rsidRPr="00F24972" w:rsidRDefault="000305DD" w:rsidP="000305DD">
            <w:pPr>
              <w:pStyle w:val="TableText"/>
              <w:rPr>
                <w:rFonts w:cs="Arial"/>
                <w:i/>
              </w:rPr>
            </w:pPr>
            <w:r w:rsidRPr="00F24972">
              <w:rPr>
                <w:rFonts w:cs="Arial"/>
                <w:i/>
              </w:rPr>
              <w:t>Note: Workload is not accrued when a patient assignment is processed and VBECS releases all other patient assignments. Workload is not accrued when VBECS is required to quarantine the unit.</w:t>
            </w:r>
          </w:p>
          <w:p w14:paraId="4E02FD60" w14:textId="77777777" w:rsidR="000305DD" w:rsidRPr="00F24972" w:rsidRDefault="000305DD" w:rsidP="000305DD">
            <w:pPr>
              <w:pStyle w:val="TableText"/>
              <w:rPr>
                <w:rFonts w:cs="Arial"/>
                <w:i/>
              </w:rPr>
            </w:pPr>
            <w:r w:rsidRPr="00F24972">
              <w:rPr>
                <w:rFonts w:cs="Arial"/>
                <w:i/>
              </w:rPr>
              <w:t xml:space="preserve">Workload accrued by Pooling is invalidated in </w:t>
            </w:r>
            <w:r>
              <w:rPr>
                <w:rFonts w:cs="Arial"/>
                <w:i/>
              </w:rPr>
              <w:t>Edit Unit Processing Information</w:t>
            </w:r>
            <w:r w:rsidRPr="00F24972">
              <w:rPr>
                <w:rFonts w:cs="Arial"/>
                <w:i/>
              </w:rPr>
              <w:t xml:space="preserve"> with the inactivation of the pooled unit.</w:t>
            </w:r>
          </w:p>
        </w:tc>
      </w:tr>
      <w:tr w:rsidR="000305DD" w:rsidRPr="00F24972" w14:paraId="4CBE120E" w14:textId="77777777">
        <w:trPr>
          <w:cantSplit/>
        </w:trPr>
        <w:tc>
          <w:tcPr>
            <w:tcW w:w="1733" w:type="dxa"/>
            <w:vMerge/>
            <w:tcBorders>
              <w:left w:val="single" w:sz="4" w:space="0" w:color="auto"/>
              <w:right w:val="single" w:sz="4" w:space="0" w:color="auto"/>
            </w:tcBorders>
          </w:tcPr>
          <w:p w14:paraId="3A35CB33" w14:textId="77777777"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tcPr>
          <w:p w14:paraId="3CC1422A" w14:textId="77777777" w:rsidR="000305DD" w:rsidRPr="00F24972" w:rsidRDefault="000305DD" w:rsidP="000305DD">
            <w:pPr>
              <w:pStyle w:val="TableText"/>
              <w:rPr>
                <w:rFonts w:cs="Arial"/>
              </w:rPr>
            </w:pPr>
            <w:r>
              <w:rPr>
                <w:rFonts w:cs="Arial"/>
              </w:rPr>
              <w:t>Edit Unit, Inactive Unit (that was in a Pool)</w:t>
            </w:r>
          </w:p>
        </w:tc>
        <w:tc>
          <w:tcPr>
            <w:tcW w:w="1080" w:type="dxa"/>
            <w:tcBorders>
              <w:top w:val="single" w:sz="4" w:space="0" w:color="auto"/>
              <w:left w:val="single" w:sz="4" w:space="0" w:color="auto"/>
              <w:bottom w:val="single" w:sz="4" w:space="0" w:color="auto"/>
              <w:right w:val="single" w:sz="4" w:space="0" w:color="auto"/>
            </w:tcBorders>
          </w:tcPr>
          <w:p w14:paraId="5D14088B"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64989AAE" w14:textId="77777777"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tcPr>
          <w:p w14:paraId="4D72EB6A" w14:textId="77777777" w:rsidR="000305DD" w:rsidRPr="00F24972" w:rsidRDefault="000305DD" w:rsidP="000305DD">
            <w:pPr>
              <w:pStyle w:val="TableText"/>
              <w:rPr>
                <w:rFonts w:cs="Arial"/>
              </w:rPr>
            </w:pPr>
            <w:r w:rsidRPr="00F24972">
              <w:rPr>
                <w:rFonts w:cs="Arial"/>
              </w:rPr>
              <w:t>Accrue workload when a unit is inactivated (unit record inactivated) when the pooled unit was created in VBECS.</w:t>
            </w:r>
            <w:r>
              <w:rPr>
                <w:rFonts w:cs="Arial"/>
              </w:rPr>
              <w:t xml:space="preserve"> </w:t>
            </w:r>
          </w:p>
        </w:tc>
      </w:tr>
      <w:tr w:rsidR="000305DD" w:rsidRPr="00F24972" w14:paraId="23CED0BB" w14:textId="77777777">
        <w:trPr>
          <w:cantSplit/>
        </w:trPr>
        <w:tc>
          <w:tcPr>
            <w:tcW w:w="1733" w:type="dxa"/>
            <w:vMerge/>
            <w:tcBorders>
              <w:left w:val="single" w:sz="4" w:space="0" w:color="auto"/>
              <w:bottom w:val="single" w:sz="4" w:space="0" w:color="auto"/>
              <w:right w:val="single" w:sz="4" w:space="0" w:color="auto"/>
            </w:tcBorders>
          </w:tcPr>
          <w:p w14:paraId="32C7870B" w14:textId="77777777"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tcPr>
          <w:p w14:paraId="2B947050" w14:textId="7EF3A3F7" w:rsidR="000305DD" w:rsidRPr="00F24972" w:rsidRDefault="000305DD" w:rsidP="000305DD">
            <w:pPr>
              <w:pStyle w:val="TableText"/>
              <w:rPr>
                <w:rFonts w:cs="Arial"/>
              </w:rPr>
            </w:pPr>
            <w:r>
              <w:rPr>
                <w:rFonts w:cs="Arial"/>
              </w:rPr>
              <w:t xml:space="preserve">Invalidate unit </w:t>
            </w:r>
            <w:r w:rsidR="00AE3B37">
              <w:rPr>
                <w:rFonts w:cs="Arial"/>
              </w:rPr>
              <w:t>status, Pool</w:t>
            </w:r>
          </w:p>
        </w:tc>
        <w:tc>
          <w:tcPr>
            <w:tcW w:w="1080" w:type="dxa"/>
            <w:tcBorders>
              <w:top w:val="single" w:sz="4" w:space="0" w:color="auto"/>
              <w:left w:val="single" w:sz="4" w:space="0" w:color="auto"/>
              <w:bottom w:val="single" w:sz="4" w:space="0" w:color="auto"/>
              <w:right w:val="single" w:sz="4" w:space="0" w:color="auto"/>
            </w:tcBorders>
          </w:tcPr>
          <w:p w14:paraId="78A57331" w14:textId="77777777" w:rsidR="000305DD" w:rsidRPr="00F24972" w:rsidRDefault="000305DD" w:rsidP="000305DD">
            <w:pPr>
              <w:pStyle w:val="TableText"/>
              <w:rPr>
                <w:rFonts w:cs="Arial"/>
                <w:b/>
              </w:rPr>
            </w:pPr>
            <w:r w:rsidRPr="00F24972">
              <w:rPr>
                <w:rFonts w:cs="Arial"/>
                <w:b/>
              </w:rPr>
              <w:t>None</w:t>
            </w:r>
          </w:p>
        </w:tc>
        <w:tc>
          <w:tcPr>
            <w:tcW w:w="900" w:type="dxa"/>
            <w:tcBorders>
              <w:top w:val="single" w:sz="4" w:space="0" w:color="auto"/>
              <w:left w:val="single" w:sz="4" w:space="0" w:color="auto"/>
              <w:bottom w:val="single" w:sz="4" w:space="0" w:color="auto"/>
              <w:right w:val="single" w:sz="4" w:space="0" w:color="auto"/>
            </w:tcBorders>
          </w:tcPr>
          <w:p w14:paraId="7E411F99" w14:textId="77777777" w:rsidR="000305DD" w:rsidRPr="00F24972" w:rsidRDefault="000305DD" w:rsidP="000305DD">
            <w:pPr>
              <w:pStyle w:val="TableText"/>
              <w:jc w:val="center"/>
              <w:rPr>
                <w:rFonts w:cs="Arial"/>
              </w:rPr>
            </w:pPr>
            <w:r w:rsidRPr="00F24972">
              <w:rPr>
                <w:rFonts w:cs="Arial"/>
              </w:rPr>
              <w:t>N/A</w:t>
            </w:r>
          </w:p>
        </w:tc>
        <w:tc>
          <w:tcPr>
            <w:tcW w:w="4123" w:type="dxa"/>
            <w:tcBorders>
              <w:top w:val="single" w:sz="4" w:space="0" w:color="auto"/>
              <w:left w:val="single" w:sz="4" w:space="0" w:color="auto"/>
              <w:bottom w:val="single" w:sz="4" w:space="0" w:color="auto"/>
              <w:right w:val="single" w:sz="4" w:space="0" w:color="auto"/>
            </w:tcBorders>
          </w:tcPr>
          <w:p w14:paraId="23663A14" w14:textId="77777777" w:rsidR="000305DD" w:rsidRPr="00F24972" w:rsidRDefault="000305DD" w:rsidP="000305DD">
            <w:pPr>
              <w:pStyle w:val="TableText"/>
              <w:rPr>
                <w:rFonts w:cs="Arial"/>
              </w:rPr>
            </w:pPr>
            <w:r w:rsidRPr="00F24972">
              <w:rPr>
                <w:rFonts w:cs="Arial"/>
              </w:rPr>
              <w:t xml:space="preserve">No effect on workload accrual when a unit is removed from a modified status that was included in a pool. </w:t>
            </w:r>
          </w:p>
        </w:tc>
      </w:tr>
      <w:tr w:rsidR="000305DD" w:rsidRPr="00F24972" w14:paraId="368CB7AA" w14:textId="77777777">
        <w:trPr>
          <w:cantSplit/>
        </w:trPr>
        <w:tc>
          <w:tcPr>
            <w:tcW w:w="1733" w:type="dxa"/>
          </w:tcPr>
          <w:p w14:paraId="502A6A01" w14:textId="77777777" w:rsidR="000305DD" w:rsidRPr="00F24972" w:rsidRDefault="000305DD" w:rsidP="000305DD">
            <w:pPr>
              <w:pStyle w:val="TableText"/>
              <w:rPr>
                <w:rFonts w:cs="Arial"/>
              </w:rPr>
            </w:pPr>
            <w:r w:rsidRPr="00F24972">
              <w:rPr>
                <w:rFonts w:cs="Arial"/>
              </w:rPr>
              <w:t>Quarantine unit</w:t>
            </w:r>
          </w:p>
        </w:tc>
        <w:tc>
          <w:tcPr>
            <w:tcW w:w="1165" w:type="dxa"/>
          </w:tcPr>
          <w:p w14:paraId="06317A90" w14:textId="77777777" w:rsidR="000305DD" w:rsidRPr="00F24972" w:rsidRDefault="000305DD" w:rsidP="000305DD">
            <w:pPr>
              <w:pStyle w:val="TableText"/>
              <w:rPr>
                <w:rFonts w:cs="Arial"/>
              </w:rPr>
            </w:pPr>
            <w:r>
              <w:rPr>
                <w:rFonts w:cs="Arial"/>
              </w:rPr>
              <w:t>Discard/Quarantine, Quarantine unit</w:t>
            </w:r>
          </w:p>
        </w:tc>
        <w:tc>
          <w:tcPr>
            <w:tcW w:w="1080" w:type="dxa"/>
          </w:tcPr>
          <w:p w14:paraId="3337A3C1" w14:textId="77777777" w:rsidR="000305DD" w:rsidRPr="00F24972" w:rsidRDefault="000305DD" w:rsidP="000305DD">
            <w:pPr>
              <w:pStyle w:val="TableText"/>
              <w:rPr>
                <w:rFonts w:cs="Arial"/>
              </w:rPr>
            </w:pPr>
            <w:r w:rsidRPr="00F24972">
              <w:rPr>
                <w:rFonts w:cs="Arial"/>
              </w:rPr>
              <w:t>Positive</w:t>
            </w:r>
          </w:p>
        </w:tc>
        <w:tc>
          <w:tcPr>
            <w:tcW w:w="900" w:type="dxa"/>
          </w:tcPr>
          <w:p w14:paraId="7891FADA" w14:textId="77777777" w:rsidR="000305DD" w:rsidRPr="00F24972" w:rsidRDefault="000305DD" w:rsidP="000305DD">
            <w:pPr>
              <w:pStyle w:val="TableText"/>
              <w:jc w:val="center"/>
              <w:rPr>
                <w:rFonts w:cs="Arial"/>
              </w:rPr>
            </w:pPr>
            <w:r w:rsidRPr="00F24972">
              <w:rPr>
                <w:rFonts w:cs="Arial"/>
              </w:rPr>
              <w:t>U</w:t>
            </w:r>
          </w:p>
        </w:tc>
        <w:tc>
          <w:tcPr>
            <w:tcW w:w="4123" w:type="dxa"/>
          </w:tcPr>
          <w:p w14:paraId="135171F0" w14:textId="77777777" w:rsidR="000305DD" w:rsidRPr="00F24972" w:rsidRDefault="000305DD" w:rsidP="000305DD">
            <w:pPr>
              <w:pStyle w:val="TableText"/>
              <w:rPr>
                <w:rFonts w:cs="Arial"/>
              </w:rPr>
            </w:pPr>
            <w:r w:rsidRPr="00F24972">
              <w:rPr>
                <w:rFonts w:cs="Arial"/>
              </w:rPr>
              <w:t>Accrue workload when a unit is marked for quarantine. When a batch of units is selected, each unit accrues workload.</w:t>
            </w:r>
          </w:p>
        </w:tc>
      </w:tr>
      <w:tr w:rsidR="000305DD" w:rsidRPr="00F24972" w14:paraId="381D17D9" w14:textId="77777777">
        <w:trPr>
          <w:cantSplit/>
        </w:trPr>
        <w:tc>
          <w:tcPr>
            <w:tcW w:w="1733" w:type="dxa"/>
          </w:tcPr>
          <w:p w14:paraId="4F6EC66E" w14:textId="77777777" w:rsidR="000305DD" w:rsidRPr="00F24972" w:rsidRDefault="000305DD" w:rsidP="000305DD">
            <w:pPr>
              <w:pStyle w:val="TableText"/>
              <w:rPr>
                <w:rFonts w:cs="Arial"/>
              </w:rPr>
            </w:pPr>
            <w:r w:rsidRPr="00F24972">
              <w:rPr>
                <w:rFonts w:cs="Arial"/>
              </w:rPr>
              <w:t>Release directed unit</w:t>
            </w:r>
          </w:p>
        </w:tc>
        <w:tc>
          <w:tcPr>
            <w:tcW w:w="1165" w:type="dxa"/>
          </w:tcPr>
          <w:p w14:paraId="67BF4359" w14:textId="77777777" w:rsidR="000305DD" w:rsidRPr="00F24972" w:rsidRDefault="000305DD" w:rsidP="000305DD">
            <w:pPr>
              <w:pStyle w:val="TableText"/>
              <w:rPr>
                <w:rFonts w:cs="Arial"/>
              </w:rPr>
            </w:pPr>
            <w:r>
              <w:rPr>
                <w:rFonts w:cs="Arial"/>
              </w:rPr>
              <w:t>Free Directed Unit</w:t>
            </w:r>
          </w:p>
        </w:tc>
        <w:tc>
          <w:tcPr>
            <w:tcW w:w="1080" w:type="dxa"/>
          </w:tcPr>
          <w:p w14:paraId="2F87A1EC" w14:textId="77777777" w:rsidR="000305DD" w:rsidRPr="00F24972" w:rsidRDefault="000305DD" w:rsidP="000305DD">
            <w:pPr>
              <w:pStyle w:val="TableText"/>
              <w:rPr>
                <w:rFonts w:cs="Arial"/>
              </w:rPr>
            </w:pPr>
            <w:r w:rsidRPr="00F24972">
              <w:rPr>
                <w:rFonts w:cs="Arial"/>
              </w:rPr>
              <w:t>Positive</w:t>
            </w:r>
          </w:p>
        </w:tc>
        <w:tc>
          <w:tcPr>
            <w:tcW w:w="900" w:type="dxa"/>
          </w:tcPr>
          <w:p w14:paraId="015BA67E" w14:textId="77777777" w:rsidR="000305DD" w:rsidRPr="00F24972" w:rsidRDefault="000305DD" w:rsidP="000305DD">
            <w:pPr>
              <w:pStyle w:val="TableText"/>
              <w:jc w:val="center"/>
              <w:rPr>
                <w:rFonts w:cs="Arial"/>
              </w:rPr>
            </w:pPr>
            <w:r w:rsidRPr="00F24972">
              <w:rPr>
                <w:rFonts w:cs="Arial"/>
              </w:rPr>
              <w:t>U</w:t>
            </w:r>
          </w:p>
        </w:tc>
        <w:tc>
          <w:tcPr>
            <w:tcW w:w="4123" w:type="dxa"/>
          </w:tcPr>
          <w:p w14:paraId="340ED563" w14:textId="77777777" w:rsidR="000305DD" w:rsidRPr="00F24972" w:rsidRDefault="000305DD" w:rsidP="000305DD">
            <w:pPr>
              <w:pStyle w:val="TableText"/>
              <w:rPr>
                <w:rFonts w:cs="Arial"/>
              </w:rPr>
            </w:pPr>
            <w:r w:rsidRPr="00F24972">
              <w:rPr>
                <w:rFonts w:cs="Arial"/>
              </w:rPr>
              <w:t>Accrue workload when an individual blood unit with the restriction type of directed is released for use as an allogeneic unit.</w:t>
            </w:r>
          </w:p>
        </w:tc>
      </w:tr>
      <w:tr w:rsidR="000305DD" w:rsidRPr="00F24972" w14:paraId="3EF64D56" w14:textId="77777777">
        <w:trPr>
          <w:cantSplit/>
        </w:trPr>
        <w:tc>
          <w:tcPr>
            <w:tcW w:w="1733" w:type="dxa"/>
            <w:tcBorders>
              <w:top w:val="single" w:sz="4" w:space="0" w:color="auto"/>
              <w:left w:val="single" w:sz="4" w:space="0" w:color="auto"/>
              <w:bottom w:val="single" w:sz="4" w:space="0" w:color="auto"/>
              <w:right w:val="single" w:sz="4" w:space="0" w:color="auto"/>
            </w:tcBorders>
          </w:tcPr>
          <w:p w14:paraId="4F28BFDA" w14:textId="77777777" w:rsidR="000305DD" w:rsidRPr="00F24972" w:rsidRDefault="000305DD" w:rsidP="000305DD">
            <w:pPr>
              <w:pStyle w:val="TableText"/>
              <w:rPr>
                <w:rFonts w:cs="Arial"/>
              </w:rPr>
            </w:pPr>
            <w:r w:rsidRPr="00F24972">
              <w:rPr>
                <w:rFonts w:cs="Arial"/>
              </w:rPr>
              <w:t>Release unit from patient back to inventory</w:t>
            </w:r>
          </w:p>
        </w:tc>
        <w:tc>
          <w:tcPr>
            <w:tcW w:w="1165" w:type="dxa"/>
            <w:tcBorders>
              <w:top w:val="single" w:sz="4" w:space="0" w:color="auto"/>
              <w:left w:val="single" w:sz="4" w:space="0" w:color="auto"/>
              <w:bottom w:val="single" w:sz="4" w:space="0" w:color="auto"/>
              <w:right w:val="single" w:sz="4" w:space="0" w:color="auto"/>
            </w:tcBorders>
          </w:tcPr>
          <w:p w14:paraId="6954F272" w14:textId="77777777" w:rsidR="000305DD" w:rsidRPr="00F24972" w:rsidRDefault="000305DD" w:rsidP="000305DD">
            <w:pPr>
              <w:pStyle w:val="TableText"/>
              <w:rPr>
                <w:rFonts w:cs="Arial"/>
              </w:rPr>
            </w:pPr>
            <w:r>
              <w:rPr>
                <w:rFonts w:cs="Arial"/>
              </w:rPr>
              <w:t>Release Unit from Patient Assignment</w:t>
            </w:r>
          </w:p>
        </w:tc>
        <w:tc>
          <w:tcPr>
            <w:tcW w:w="1080" w:type="dxa"/>
            <w:tcBorders>
              <w:top w:val="single" w:sz="4" w:space="0" w:color="auto"/>
              <w:left w:val="single" w:sz="4" w:space="0" w:color="auto"/>
              <w:bottom w:val="single" w:sz="4" w:space="0" w:color="auto"/>
              <w:right w:val="single" w:sz="4" w:space="0" w:color="auto"/>
            </w:tcBorders>
          </w:tcPr>
          <w:p w14:paraId="7AE600F6"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64BFDFBE" w14:textId="77777777" w:rsidR="000305DD" w:rsidRPr="00F24972" w:rsidRDefault="000305DD" w:rsidP="000305DD">
            <w:pPr>
              <w:pStyle w:val="TableText"/>
              <w:jc w:val="center"/>
              <w:rPr>
                <w:rFonts w:cs="Arial"/>
              </w:rPr>
            </w:pPr>
            <w:r>
              <w:rPr>
                <w:rFonts w:cs="Arial"/>
              </w:rPr>
              <w:t>U</w:t>
            </w:r>
          </w:p>
        </w:tc>
        <w:tc>
          <w:tcPr>
            <w:tcW w:w="4123" w:type="dxa"/>
            <w:tcBorders>
              <w:top w:val="single" w:sz="4" w:space="0" w:color="auto"/>
              <w:left w:val="single" w:sz="4" w:space="0" w:color="auto"/>
              <w:bottom w:val="single" w:sz="4" w:space="0" w:color="auto"/>
              <w:right w:val="single" w:sz="4" w:space="0" w:color="auto"/>
            </w:tcBorders>
          </w:tcPr>
          <w:p w14:paraId="2FF757F6" w14:textId="36680020" w:rsidR="000305DD" w:rsidRPr="00F24972" w:rsidRDefault="000305DD" w:rsidP="000305DD">
            <w:pPr>
              <w:pStyle w:val="TableText"/>
              <w:rPr>
                <w:rFonts w:cs="Arial"/>
              </w:rPr>
            </w:pPr>
            <w:r w:rsidRPr="00F24972">
              <w:rPr>
                <w:rFonts w:cs="Arial"/>
              </w:rPr>
              <w:t xml:space="preserve">Accrue workload when an individual unit is released from patient assignment. When </w:t>
            </w:r>
            <w:r w:rsidR="00AE3B37" w:rsidRPr="00F24972">
              <w:rPr>
                <w:rFonts w:cs="Arial"/>
              </w:rPr>
              <w:t>multiple units</w:t>
            </w:r>
            <w:r w:rsidRPr="00F24972">
              <w:rPr>
                <w:rFonts w:cs="Arial"/>
              </w:rPr>
              <w:t xml:space="preserve"> are selected, each unit accrues workload.</w:t>
            </w:r>
          </w:p>
        </w:tc>
      </w:tr>
      <w:tr w:rsidR="000305DD" w:rsidRPr="00F24972" w14:paraId="1436BF46" w14:textId="77777777">
        <w:trPr>
          <w:cantSplit/>
        </w:trPr>
        <w:tc>
          <w:tcPr>
            <w:tcW w:w="1733" w:type="dxa"/>
          </w:tcPr>
          <w:p w14:paraId="0A01B556" w14:textId="77777777" w:rsidR="000305DD" w:rsidRPr="00F24972" w:rsidRDefault="000305DD" w:rsidP="000305DD">
            <w:pPr>
              <w:pStyle w:val="TableText"/>
              <w:rPr>
                <w:rFonts w:cs="Arial"/>
              </w:rPr>
            </w:pPr>
            <w:r w:rsidRPr="00F24972">
              <w:rPr>
                <w:rFonts w:cs="Arial"/>
              </w:rPr>
              <w:t xml:space="preserve">Release unit from Quarantine </w:t>
            </w:r>
          </w:p>
        </w:tc>
        <w:tc>
          <w:tcPr>
            <w:tcW w:w="1165" w:type="dxa"/>
          </w:tcPr>
          <w:p w14:paraId="7E965697" w14:textId="77777777" w:rsidR="000305DD" w:rsidRPr="00F24972" w:rsidRDefault="000305DD" w:rsidP="000305DD">
            <w:pPr>
              <w:pStyle w:val="TableText"/>
              <w:rPr>
                <w:rFonts w:cs="Arial"/>
              </w:rPr>
            </w:pPr>
            <w:r>
              <w:rPr>
                <w:rFonts w:cs="Arial"/>
              </w:rPr>
              <w:t xml:space="preserve">Discard/Quarantine, Release Unit from Quarantine </w:t>
            </w:r>
          </w:p>
        </w:tc>
        <w:tc>
          <w:tcPr>
            <w:tcW w:w="1080" w:type="dxa"/>
          </w:tcPr>
          <w:p w14:paraId="6884E174" w14:textId="77777777" w:rsidR="000305DD" w:rsidRPr="00F24972" w:rsidRDefault="000305DD" w:rsidP="000305DD">
            <w:pPr>
              <w:pStyle w:val="TableText"/>
              <w:rPr>
                <w:rFonts w:cs="Arial"/>
              </w:rPr>
            </w:pPr>
            <w:r w:rsidRPr="00F24972">
              <w:rPr>
                <w:rFonts w:cs="Arial"/>
              </w:rPr>
              <w:t>Positive</w:t>
            </w:r>
          </w:p>
        </w:tc>
        <w:tc>
          <w:tcPr>
            <w:tcW w:w="900" w:type="dxa"/>
          </w:tcPr>
          <w:p w14:paraId="4CCA100F" w14:textId="77777777" w:rsidR="000305DD" w:rsidRPr="00F24972" w:rsidRDefault="000305DD" w:rsidP="000305DD">
            <w:pPr>
              <w:pStyle w:val="TableText"/>
              <w:jc w:val="center"/>
              <w:rPr>
                <w:rFonts w:cs="Arial"/>
              </w:rPr>
            </w:pPr>
            <w:r w:rsidRPr="00F24972">
              <w:rPr>
                <w:rFonts w:cs="Arial"/>
              </w:rPr>
              <w:t>U</w:t>
            </w:r>
          </w:p>
        </w:tc>
        <w:tc>
          <w:tcPr>
            <w:tcW w:w="4123" w:type="dxa"/>
          </w:tcPr>
          <w:p w14:paraId="7ED6DF05" w14:textId="77777777" w:rsidR="000305DD" w:rsidRPr="00F24972" w:rsidRDefault="000305DD" w:rsidP="000305DD">
            <w:pPr>
              <w:pStyle w:val="TableText"/>
              <w:rPr>
                <w:rFonts w:cs="Arial"/>
              </w:rPr>
            </w:pPr>
            <w:r w:rsidRPr="00F24972">
              <w:rPr>
                <w:rFonts w:cs="Arial"/>
              </w:rPr>
              <w:t>Accrue workload when a unit is released from quarantine. When a batch of units is selected, each unit accrues workload.</w:t>
            </w:r>
          </w:p>
        </w:tc>
      </w:tr>
      <w:tr w:rsidR="000305DD" w:rsidRPr="00F24972" w14:paraId="2F91DEEB" w14:textId="77777777">
        <w:trPr>
          <w:cantSplit/>
        </w:trPr>
        <w:tc>
          <w:tcPr>
            <w:tcW w:w="1733" w:type="dxa"/>
            <w:tcBorders>
              <w:top w:val="single" w:sz="4" w:space="0" w:color="auto"/>
              <w:left w:val="single" w:sz="4" w:space="0" w:color="auto"/>
              <w:bottom w:val="single" w:sz="4" w:space="0" w:color="auto"/>
              <w:right w:val="single" w:sz="4" w:space="0" w:color="auto"/>
            </w:tcBorders>
          </w:tcPr>
          <w:p w14:paraId="1354AF08" w14:textId="77777777" w:rsidR="000305DD" w:rsidRPr="00F24972" w:rsidRDefault="000305DD" w:rsidP="000305DD">
            <w:pPr>
              <w:pStyle w:val="TableText"/>
              <w:rPr>
                <w:rFonts w:cs="Arial"/>
              </w:rPr>
            </w:pPr>
            <w:r w:rsidRPr="00F24972">
              <w:rPr>
                <w:rFonts w:cs="Arial"/>
              </w:rPr>
              <w:t>Return Issued unit</w:t>
            </w:r>
          </w:p>
        </w:tc>
        <w:tc>
          <w:tcPr>
            <w:tcW w:w="1165" w:type="dxa"/>
            <w:tcBorders>
              <w:top w:val="single" w:sz="4" w:space="0" w:color="auto"/>
              <w:left w:val="single" w:sz="4" w:space="0" w:color="auto"/>
              <w:bottom w:val="single" w:sz="4" w:space="0" w:color="auto"/>
              <w:right w:val="single" w:sz="4" w:space="0" w:color="auto"/>
            </w:tcBorders>
          </w:tcPr>
          <w:p w14:paraId="32CB8E23" w14:textId="77777777" w:rsidR="000305DD" w:rsidRPr="00F24972" w:rsidRDefault="000305DD" w:rsidP="000305DD">
            <w:pPr>
              <w:pStyle w:val="TableText"/>
              <w:rPr>
                <w:rFonts w:cs="Arial"/>
              </w:rPr>
            </w:pPr>
            <w:r>
              <w:rPr>
                <w:rFonts w:cs="Arial"/>
              </w:rPr>
              <w:t>Return Issued unit to Inventory</w:t>
            </w:r>
          </w:p>
        </w:tc>
        <w:tc>
          <w:tcPr>
            <w:tcW w:w="1080" w:type="dxa"/>
            <w:tcBorders>
              <w:top w:val="single" w:sz="4" w:space="0" w:color="auto"/>
              <w:left w:val="single" w:sz="4" w:space="0" w:color="auto"/>
              <w:bottom w:val="single" w:sz="4" w:space="0" w:color="auto"/>
              <w:right w:val="single" w:sz="4" w:space="0" w:color="auto"/>
            </w:tcBorders>
          </w:tcPr>
          <w:p w14:paraId="4618B273"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3C82C889" w14:textId="77777777" w:rsidR="000305DD" w:rsidRPr="00F24972" w:rsidRDefault="000305DD" w:rsidP="000305DD">
            <w:pPr>
              <w:pStyle w:val="TableText"/>
              <w:jc w:val="center"/>
              <w:rPr>
                <w:rFonts w:cs="Arial"/>
              </w:rPr>
            </w:pPr>
            <w:r>
              <w:rPr>
                <w:rFonts w:cs="Arial"/>
              </w:rPr>
              <w:t>U</w:t>
            </w:r>
          </w:p>
        </w:tc>
        <w:tc>
          <w:tcPr>
            <w:tcW w:w="4123" w:type="dxa"/>
            <w:tcBorders>
              <w:top w:val="single" w:sz="4" w:space="0" w:color="auto"/>
              <w:left w:val="single" w:sz="4" w:space="0" w:color="auto"/>
              <w:bottom w:val="single" w:sz="4" w:space="0" w:color="auto"/>
              <w:right w:val="single" w:sz="4" w:space="0" w:color="auto"/>
            </w:tcBorders>
          </w:tcPr>
          <w:p w14:paraId="0053F2AF" w14:textId="77777777" w:rsidR="000305DD" w:rsidRPr="00F24972" w:rsidRDefault="000305DD" w:rsidP="000305DD">
            <w:pPr>
              <w:pStyle w:val="TableText"/>
              <w:rPr>
                <w:rFonts w:cs="Arial"/>
              </w:rPr>
            </w:pPr>
            <w:r w:rsidRPr="00F24972">
              <w:rPr>
                <w:rFonts w:cs="Arial"/>
              </w:rPr>
              <w:t xml:space="preserve">Accrue workload when a unit is returned from issue status. </w:t>
            </w:r>
          </w:p>
        </w:tc>
      </w:tr>
      <w:tr w:rsidR="000305DD" w:rsidRPr="00F24972" w14:paraId="59B0EF94" w14:textId="77777777">
        <w:trPr>
          <w:cantSplit/>
        </w:trPr>
        <w:tc>
          <w:tcPr>
            <w:tcW w:w="1733" w:type="dxa"/>
            <w:tcBorders>
              <w:top w:val="single" w:sz="4" w:space="0" w:color="auto"/>
              <w:left w:val="single" w:sz="4" w:space="0" w:color="auto"/>
              <w:bottom w:val="single" w:sz="4" w:space="0" w:color="auto"/>
              <w:right w:val="single" w:sz="4" w:space="0" w:color="auto"/>
            </w:tcBorders>
          </w:tcPr>
          <w:p w14:paraId="0A21B1D2" w14:textId="77777777" w:rsidR="000305DD" w:rsidRPr="00F24972" w:rsidRDefault="000305DD" w:rsidP="000305DD">
            <w:pPr>
              <w:pStyle w:val="TableText"/>
              <w:rPr>
                <w:rFonts w:cs="Arial"/>
                <w:i/>
              </w:rPr>
            </w:pPr>
            <w:r w:rsidRPr="00F24972">
              <w:rPr>
                <w:rFonts w:cs="Arial"/>
                <w:i/>
              </w:rPr>
              <w:t xml:space="preserve">See </w:t>
            </w:r>
            <w:r>
              <w:rPr>
                <w:rFonts w:cs="Arial"/>
                <w:i/>
              </w:rPr>
              <w:t>Serologic Crossmatch, Patient ABO/Rh, Patient ABS, Patient DAT, Patient Antigen Typing</w:t>
            </w:r>
            <w:r w:rsidRPr="00F24972">
              <w:rPr>
                <w:rFonts w:cs="Arial"/>
                <w:i/>
              </w:rPr>
              <w:t xml:space="preserve"> </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49AF7BFD" w14:textId="77777777" w:rsidR="000305DD" w:rsidRPr="00F24972" w:rsidRDefault="000305DD" w:rsidP="000305DD">
            <w:pPr>
              <w:pStyle w:val="TableText"/>
              <w:rPr>
                <w:rFonts w:cs="Arial"/>
                <w:i/>
                <w:snapToGrid w:val="0"/>
              </w:rPr>
            </w:pPr>
            <w:r>
              <w:rPr>
                <w:rFonts w:cs="Arial"/>
                <w:i/>
                <w:snapToGrid w:val="0"/>
              </w:rPr>
              <w:t>Patient Testing</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C346350" w14:textId="77777777" w:rsidR="000305DD" w:rsidRPr="00F24972" w:rsidRDefault="000305DD" w:rsidP="000305DD">
            <w:pPr>
              <w:pStyle w:val="TableText"/>
              <w:rPr>
                <w:rFonts w:cs="Arial"/>
                <w:i/>
              </w:rPr>
            </w:pPr>
            <w:r w:rsidRPr="00F24972">
              <w:rPr>
                <w:rFonts w:cs="Arial"/>
                <w:i/>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0D2DC10" w14:textId="77777777" w:rsidR="000305DD" w:rsidRPr="00F24972" w:rsidRDefault="000305DD" w:rsidP="000305DD">
            <w:pPr>
              <w:pStyle w:val="TableText"/>
              <w:jc w:val="center"/>
              <w:rPr>
                <w:rFonts w:cs="Arial"/>
                <w:i/>
              </w:rPr>
            </w:pPr>
            <w:r w:rsidRPr="00F24972">
              <w:rPr>
                <w:rFonts w:cs="Arial"/>
                <w:i/>
              </w:rPr>
              <w:t>Various</w:t>
            </w:r>
          </w:p>
        </w:tc>
        <w:tc>
          <w:tcPr>
            <w:tcW w:w="4123" w:type="dxa"/>
            <w:tcBorders>
              <w:top w:val="single" w:sz="4" w:space="0" w:color="auto"/>
              <w:left w:val="single" w:sz="4" w:space="0" w:color="auto"/>
              <w:bottom w:val="single" w:sz="4" w:space="0" w:color="auto"/>
              <w:right w:val="single" w:sz="4" w:space="0" w:color="auto"/>
            </w:tcBorders>
            <w:shd w:val="clear" w:color="auto" w:fill="auto"/>
          </w:tcPr>
          <w:p w14:paraId="24513026" w14:textId="77777777" w:rsidR="000305DD" w:rsidRPr="00F24972" w:rsidRDefault="000305DD" w:rsidP="00E90A01">
            <w:pPr>
              <w:pStyle w:val="TableText"/>
              <w:rPr>
                <w:rFonts w:cs="Arial"/>
                <w:i/>
              </w:rPr>
            </w:pPr>
            <w:r>
              <w:rPr>
                <w:rFonts w:cs="Arial"/>
                <w:i/>
              </w:rPr>
              <w:t>Patient Testing</w:t>
            </w:r>
            <w:r w:rsidRPr="00F24972">
              <w:rPr>
                <w:rFonts w:cs="Arial"/>
                <w:i/>
              </w:rPr>
              <w:t xml:space="preserve"> encapsulates </w:t>
            </w:r>
            <w:r>
              <w:rPr>
                <w:rFonts w:cs="Arial"/>
                <w:i/>
              </w:rPr>
              <w:t>Serologic Crossmatch, Patient ABO/Rh, Patient ABS, Patient DAT, Patient Antigen Typing. Patient Testing</w:t>
            </w:r>
            <w:r w:rsidRPr="00F24972">
              <w:rPr>
                <w:rFonts w:cs="Arial"/>
                <w:i/>
              </w:rPr>
              <w:t xml:space="preserve"> does not in and of itself accrue workload, but accrues workload for the various testing grids for which it controls the data save. See the various </w:t>
            </w:r>
            <w:r>
              <w:rPr>
                <w:rFonts w:cs="Arial"/>
                <w:i/>
              </w:rPr>
              <w:t>options</w:t>
            </w:r>
            <w:r w:rsidRPr="00F24972">
              <w:rPr>
                <w:rFonts w:cs="Arial"/>
                <w:i/>
              </w:rPr>
              <w:t xml:space="preserve"> in this list for </w:t>
            </w:r>
            <w:r w:rsidR="00E90A01">
              <w:rPr>
                <w:rFonts w:cs="Arial"/>
                <w:i/>
              </w:rPr>
              <w:t>additional</w:t>
            </w:r>
            <w:r w:rsidRPr="00F24972">
              <w:rPr>
                <w:rFonts w:cs="Arial"/>
                <w:i/>
              </w:rPr>
              <w:t xml:space="preserve"> information.</w:t>
            </w:r>
          </w:p>
        </w:tc>
      </w:tr>
      <w:tr w:rsidR="000305DD" w:rsidRPr="00F24972" w14:paraId="3A4DD01A" w14:textId="77777777">
        <w:trPr>
          <w:cantSplit/>
          <w:trHeight w:val="1970"/>
        </w:trPr>
        <w:tc>
          <w:tcPr>
            <w:tcW w:w="1733" w:type="dxa"/>
            <w:vMerge w:val="restart"/>
          </w:tcPr>
          <w:p w14:paraId="73E3EF6F" w14:textId="77777777" w:rsidR="000305DD" w:rsidRPr="00F24972" w:rsidRDefault="000305DD" w:rsidP="000305DD">
            <w:pPr>
              <w:pStyle w:val="TableText"/>
              <w:rPr>
                <w:rFonts w:cs="Arial"/>
              </w:rPr>
            </w:pPr>
            <w:r w:rsidRPr="00F24972">
              <w:rPr>
                <w:rFonts w:cs="Arial"/>
              </w:rPr>
              <w:lastRenderedPageBreak/>
              <w:t>Thaw/pool Cryo</w:t>
            </w:r>
          </w:p>
        </w:tc>
        <w:tc>
          <w:tcPr>
            <w:tcW w:w="1165" w:type="dxa"/>
          </w:tcPr>
          <w:p w14:paraId="0A655A08" w14:textId="77777777" w:rsidR="000305DD" w:rsidRPr="00F24972" w:rsidRDefault="000305DD" w:rsidP="000305DD">
            <w:pPr>
              <w:pStyle w:val="TableText"/>
              <w:rPr>
                <w:rFonts w:cs="Arial"/>
              </w:rPr>
            </w:pPr>
            <w:r>
              <w:rPr>
                <w:rFonts w:cs="Arial"/>
              </w:rPr>
              <w:t>Modify Unit, Thaw/Pool</w:t>
            </w:r>
          </w:p>
        </w:tc>
        <w:tc>
          <w:tcPr>
            <w:tcW w:w="1080" w:type="dxa"/>
          </w:tcPr>
          <w:p w14:paraId="6D3B9D2D" w14:textId="77777777" w:rsidR="000305DD" w:rsidRPr="00F24972" w:rsidRDefault="000305DD" w:rsidP="000305DD">
            <w:pPr>
              <w:pStyle w:val="TableText"/>
              <w:rPr>
                <w:rFonts w:cs="Arial"/>
              </w:rPr>
            </w:pPr>
            <w:r w:rsidRPr="00F24972">
              <w:rPr>
                <w:rFonts w:cs="Arial"/>
              </w:rPr>
              <w:t>Positive</w:t>
            </w:r>
          </w:p>
        </w:tc>
        <w:tc>
          <w:tcPr>
            <w:tcW w:w="900" w:type="dxa"/>
          </w:tcPr>
          <w:p w14:paraId="2309B100" w14:textId="77777777" w:rsidR="000305DD" w:rsidRPr="00F24972" w:rsidRDefault="000305DD" w:rsidP="000305DD">
            <w:pPr>
              <w:pStyle w:val="TableText"/>
              <w:jc w:val="center"/>
              <w:rPr>
                <w:rFonts w:cs="Arial"/>
              </w:rPr>
            </w:pPr>
            <w:r w:rsidRPr="00F24972">
              <w:rPr>
                <w:rFonts w:cs="Arial"/>
              </w:rPr>
              <w:t>U</w:t>
            </w:r>
          </w:p>
        </w:tc>
        <w:tc>
          <w:tcPr>
            <w:tcW w:w="4123" w:type="dxa"/>
          </w:tcPr>
          <w:p w14:paraId="45D804F9" w14:textId="77777777" w:rsidR="000305DD" w:rsidRPr="00F24972" w:rsidRDefault="000305DD" w:rsidP="000305DD">
            <w:pPr>
              <w:pStyle w:val="TableText"/>
              <w:rPr>
                <w:rFonts w:cs="Arial"/>
              </w:rPr>
            </w:pPr>
            <w:r w:rsidRPr="00F24972">
              <w:rPr>
                <w:rFonts w:cs="Arial"/>
              </w:rPr>
              <w:t>Accrue workload when an individual unit modification of Thaw/Pool Cryo. A single workload event is recorded regardless of the number of units included in the pooled unit.</w:t>
            </w:r>
          </w:p>
          <w:p w14:paraId="0B43923C" w14:textId="77777777" w:rsidR="000305DD" w:rsidRPr="00F24972" w:rsidRDefault="000305DD" w:rsidP="000305DD">
            <w:pPr>
              <w:pStyle w:val="TableText"/>
              <w:rPr>
                <w:rFonts w:cs="Arial"/>
                <w:i/>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417CBCE4" w14:textId="77777777">
        <w:trPr>
          <w:cantSplit/>
        </w:trPr>
        <w:tc>
          <w:tcPr>
            <w:tcW w:w="1733" w:type="dxa"/>
            <w:vMerge/>
          </w:tcPr>
          <w:p w14:paraId="56355A26" w14:textId="77777777" w:rsidR="000305DD" w:rsidRPr="00F24972" w:rsidRDefault="000305DD" w:rsidP="000305DD">
            <w:pPr>
              <w:pStyle w:val="TableText"/>
              <w:rPr>
                <w:rFonts w:cs="Arial"/>
              </w:rPr>
            </w:pPr>
          </w:p>
        </w:tc>
        <w:tc>
          <w:tcPr>
            <w:tcW w:w="1165" w:type="dxa"/>
          </w:tcPr>
          <w:p w14:paraId="57D04270" w14:textId="0A8DF8E7" w:rsidR="000305DD" w:rsidRPr="00F24972" w:rsidRDefault="000305DD" w:rsidP="000305DD">
            <w:pPr>
              <w:pStyle w:val="TableText"/>
              <w:rPr>
                <w:rFonts w:cs="Arial"/>
              </w:rPr>
            </w:pPr>
            <w:r>
              <w:rPr>
                <w:rFonts w:cs="Arial"/>
              </w:rPr>
              <w:t xml:space="preserve">Edit, Unit, Inactivate Unit (that was in </w:t>
            </w:r>
            <w:r w:rsidR="00AE3B37">
              <w:rPr>
                <w:rFonts w:cs="Arial"/>
              </w:rPr>
              <w:t>a Thaw</w:t>
            </w:r>
            <w:r>
              <w:rPr>
                <w:rFonts w:cs="Arial"/>
              </w:rPr>
              <w:t>/Pool)</w:t>
            </w:r>
          </w:p>
        </w:tc>
        <w:tc>
          <w:tcPr>
            <w:tcW w:w="1080" w:type="dxa"/>
          </w:tcPr>
          <w:p w14:paraId="6B91AC56" w14:textId="77777777" w:rsidR="000305DD" w:rsidRPr="00F24972" w:rsidRDefault="000305DD" w:rsidP="000305DD">
            <w:pPr>
              <w:pStyle w:val="TableText"/>
              <w:rPr>
                <w:rFonts w:cs="Arial"/>
                <w:b/>
              </w:rPr>
            </w:pPr>
            <w:r w:rsidRPr="00F24972">
              <w:rPr>
                <w:rFonts w:cs="Arial"/>
                <w:b/>
              </w:rPr>
              <w:t>Negative</w:t>
            </w:r>
          </w:p>
        </w:tc>
        <w:tc>
          <w:tcPr>
            <w:tcW w:w="900" w:type="dxa"/>
          </w:tcPr>
          <w:p w14:paraId="4E8D3D6D" w14:textId="77777777" w:rsidR="000305DD" w:rsidRPr="00F24972" w:rsidRDefault="000305DD" w:rsidP="000305DD">
            <w:pPr>
              <w:pStyle w:val="TableText"/>
              <w:jc w:val="center"/>
              <w:rPr>
                <w:rFonts w:cs="Arial"/>
              </w:rPr>
            </w:pPr>
            <w:r w:rsidRPr="00F24972">
              <w:rPr>
                <w:rFonts w:cs="Arial"/>
              </w:rPr>
              <w:t>U</w:t>
            </w:r>
          </w:p>
        </w:tc>
        <w:tc>
          <w:tcPr>
            <w:tcW w:w="4123" w:type="dxa"/>
          </w:tcPr>
          <w:p w14:paraId="1B7A64E1" w14:textId="77777777" w:rsidR="000305DD" w:rsidRPr="00F24972" w:rsidRDefault="000305DD" w:rsidP="000305DD">
            <w:pPr>
              <w:pStyle w:val="TableText"/>
              <w:rPr>
                <w:rFonts w:cs="Arial"/>
              </w:rPr>
            </w:pPr>
            <w:r w:rsidRPr="00F24972">
              <w:rPr>
                <w:rFonts w:cs="Arial"/>
              </w:rPr>
              <w:t>Accrue workload when a unit is inactivated (unit record inactivated) when the pooled unit was created in VBECS.</w:t>
            </w:r>
            <w:r>
              <w:rPr>
                <w:rFonts w:cs="Arial"/>
              </w:rPr>
              <w:t xml:space="preserve"> </w:t>
            </w:r>
          </w:p>
        </w:tc>
      </w:tr>
      <w:tr w:rsidR="000305DD" w:rsidRPr="00F24972" w14:paraId="306E1FD4" w14:textId="77777777">
        <w:trPr>
          <w:cantSplit/>
        </w:trPr>
        <w:tc>
          <w:tcPr>
            <w:tcW w:w="1733" w:type="dxa"/>
            <w:vMerge/>
          </w:tcPr>
          <w:p w14:paraId="696756A9" w14:textId="77777777" w:rsidR="000305DD" w:rsidRPr="00F24972" w:rsidRDefault="000305DD" w:rsidP="000305DD">
            <w:pPr>
              <w:pStyle w:val="TableText"/>
              <w:rPr>
                <w:rFonts w:cs="Arial"/>
              </w:rPr>
            </w:pPr>
          </w:p>
        </w:tc>
        <w:tc>
          <w:tcPr>
            <w:tcW w:w="1165" w:type="dxa"/>
          </w:tcPr>
          <w:p w14:paraId="3C747773" w14:textId="77777777" w:rsidR="000305DD" w:rsidRPr="00F24972" w:rsidRDefault="000305DD" w:rsidP="000305DD">
            <w:pPr>
              <w:pStyle w:val="TableText"/>
              <w:rPr>
                <w:rFonts w:cs="Arial"/>
              </w:rPr>
            </w:pPr>
            <w:r>
              <w:rPr>
                <w:rFonts w:cs="Arial"/>
              </w:rPr>
              <w:t>Invalidate Unit status, Thaw/Pool</w:t>
            </w:r>
          </w:p>
        </w:tc>
        <w:tc>
          <w:tcPr>
            <w:tcW w:w="1080" w:type="dxa"/>
          </w:tcPr>
          <w:p w14:paraId="5B173963" w14:textId="77777777" w:rsidR="000305DD" w:rsidRPr="00F24972" w:rsidRDefault="000305DD" w:rsidP="000305DD">
            <w:pPr>
              <w:pStyle w:val="TableText"/>
              <w:rPr>
                <w:rFonts w:cs="Arial"/>
                <w:b/>
              </w:rPr>
            </w:pPr>
            <w:r w:rsidRPr="00F24972">
              <w:rPr>
                <w:rFonts w:cs="Arial"/>
                <w:b/>
              </w:rPr>
              <w:t>None</w:t>
            </w:r>
          </w:p>
        </w:tc>
        <w:tc>
          <w:tcPr>
            <w:tcW w:w="900" w:type="dxa"/>
          </w:tcPr>
          <w:p w14:paraId="2501772A" w14:textId="77777777" w:rsidR="000305DD" w:rsidRPr="00F24972" w:rsidRDefault="000305DD" w:rsidP="000305DD">
            <w:pPr>
              <w:pStyle w:val="TableText"/>
              <w:jc w:val="center"/>
              <w:rPr>
                <w:rFonts w:cs="Arial"/>
              </w:rPr>
            </w:pPr>
            <w:r w:rsidRPr="00F24972">
              <w:rPr>
                <w:rFonts w:cs="Arial"/>
              </w:rPr>
              <w:t>N/A</w:t>
            </w:r>
          </w:p>
        </w:tc>
        <w:tc>
          <w:tcPr>
            <w:tcW w:w="4123" w:type="dxa"/>
          </w:tcPr>
          <w:p w14:paraId="444544D3" w14:textId="77777777" w:rsidR="000305DD" w:rsidRPr="00F24972" w:rsidRDefault="000305DD" w:rsidP="000305DD">
            <w:pPr>
              <w:pStyle w:val="TableText"/>
              <w:rPr>
                <w:rFonts w:cs="Arial"/>
              </w:rPr>
            </w:pPr>
            <w:r w:rsidRPr="00F24972">
              <w:rPr>
                <w:rFonts w:cs="Arial"/>
              </w:rPr>
              <w:t xml:space="preserve">No effect on workload accrual when a unit is removed from a modified status that was included in a Thaw/pool Cryo pool. </w:t>
            </w:r>
          </w:p>
        </w:tc>
      </w:tr>
      <w:tr w:rsidR="000305DD" w:rsidRPr="00F24972" w14:paraId="2F7EE673" w14:textId="77777777">
        <w:trPr>
          <w:cantSplit/>
        </w:trPr>
        <w:tc>
          <w:tcPr>
            <w:tcW w:w="1733" w:type="dxa"/>
            <w:vMerge w:val="restart"/>
            <w:tcBorders>
              <w:top w:val="single" w:sz="4" w:space="0" w:color="auto"/>
              <w:left w:val="single" w:sz="4" w:space="0" w:color="auto"/>
              <w:right w:val="single" w:sz="4" w:space="0" w:color="auto"/>
            </w:tcBorders>
          </w:tcPr>
          <w:p w14:paraId="0BC7E54E" w14:textId="77777777" w:rsidR="000305DD" w:rsidRPr="00F24972" w:rsidRDefault="000305DD" w:rsidP="000305DD">
            <w:pPr>
              <w:pStyle w:val="TableText"/>
              <w:rPr>
                <w:rFonts w:cs="Arial"/>
              </w:rPr>
            </w:pPr>
            <w:r w:rsidRPr="00F24972">
              <w:rPr>
                <w:rFonts w:cs="Arial"/>
              </w:rPr>
              <w:t>Transfuse Unit</w:t>
            </w:r>
          </w:p>
        </w:tc>
        <w:tc>
          <w:tcPr>
            <w:tcW w:w="1165" w:type="dxa"/>
            <w:tcBorders>
              <w:top w:val="single" w:sz="4" w:space="0" w:color="auto"/>
              <w:left w:val="single" w:sz="4" w:space="0" w:color="auto"/>
              <w:bottom w:val="single" w:sz="4" w:space="0" w:color="auto"/>
              <w:right w:val="single" w:sz="4" w:space="0" w:color="auto"/>
            </w:tcBorders>
          </w:tcPr>
          <w:p w14:paraId="0EB49A49" w14:textId="77777777" w:rsidR="000305DD" w:rsidRPr="00F24972" w:rsidRDefault="000305DD" w:rsidP="000305DD">
            <w:pPr>
              <w:pStyle w:val="TableText"/>
              <w:rPr>
                <w:rFonts w:cs="Arial"/>
              </w:rPr>
            </w:pPr>
            <w:r>
              <w:rPr>
                <w:rFonts w:cs="Arial"/>
              </w:rPr>
              <w:t>Enter Post Transfusion Data</w:t>
            </w:r>
          </w:p>
        </w:tc>
        <w:tc>
          <w:tcPr>
            <w:tcW w:w="1080" w:type="dxa"/>
            <w:tcBorders>
              <w:top w:val="single" w:sz="4" w:space="0" w:color="auto"/>
              <w:left w:val="single" w:sz="4" w:space="0" w:color="auto"/>
              <w:bottom w:val="single" w:sz="4" w:space="0" w:color="auto"/>
              <w:right w:val="single" w:sz="4" w:space="0" w:color="auto"/>
            </w:tcBorders>
          </w:tcPr>
          <w:p w14:paraId="418F97CB"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3CBF2635" w14:textId="77777777"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tcPr>
          <w:p w14:paraId="0C298278" w14:textId="77777777" w:rsidR="000305DD" w:rsidRPr="00F24972" w:rsidRDefault="000305DD" w:rsidP="000305DD">
            <w:pPr>
              <w:pStyle w:val="TableText"/>
              <w:rPr>
                <w:rFonts w:cs="Arial"/>
                <w:i/>
              </w:rPr>
            </w:pPr>
            <w:r w:rsidRPr="00F24972">
              <w:rPr>
                <w:rFonts w:cs="Arial"/>
              </w:rPr>
              <w:t xml:space="preserve">Accrue workload when an individual blood unit’s status is updated to transfused by </w:t>
            </w:r>
            <w:r>
              <w:rPr>
                <w:rFonts w:cs="Arial"/>
              </w:rPr>
              <w:t>Enter Post-Transfusion Details</w:t>
            </w:r>
            <w:r w:rsidRPr="00F24972">
              <w:rPr>
                <w:rFonts w:cs="Arial"/>
              </w:rPr>
              <w:t xml:space="preserve"> basic flow or Alt Flow A. </w:t>
            </w:r>
          </w:p>
        </w:tc>
      </w:tr>
      <w:tr w:rsidR="000305DD" w:rsidRPr="00F24972" w14:paraId="75608F7C" w14:textId="77777777">
        <w:trPr>
          <w:cantSplit/>
        </w:trPr>
        <w:tc>
          <w:tcPr>
            <w:tcW w:w="1733" w:type="dxa"/>
            <w:vMerge/>
            <w:tcBorders>
              <w:left w:val="single" w:sz="4" w:space="0" w:color="auto"/>
              <w:right w:val="single" w:sz="4" w:space="0" w:color="auto"/>
            </w:tcBorders>
          </w:tcPr>
          <w:p w14:paraId="325B8DBD" w14:textId="77777777" w:rsidR="000305DD" w:rsidRPr="00F24972" w:rsidRDefault="000305DD" w:rsidP="000305DD">
            <w:pPr>
              <w:pStyle w:val="TableText"/>
              <w:rPr>
                <w:rFonts w:cs="Arial"/>
              </w:rPr>
            </w:pPr>
          </w:p>
        </w:tc>
        <w:tc>
          <w:tcPr>
            <w:tcW w:w="1165" w:type="dxa"/>
            <w:tcBorders>
              <w:left w:val="single" w:sz="4" w:space="0" w:color="auto"/>
            </w:tcBorders>
          </w:tcPr>
          <w:p w14:paraId="7D595BD4" w14:textId="77777777" w:rsidR="000305DD" w:rsidRPr="00F24972" w:rsidRDefault="000305DD" w:rsidP="000305DD">
            <w:pPr>
              <w:pStyle w:val="TableText"/>
              <w:rPr>
                <w:rFonts w:cs="Arial"/>
              </w:rPr>
            </w:pPr>
            <w:r>
              <w:rPr>
                <w:rFonts w:cs="Arial"/>
              </w:rPr>
              <w:t>Invalidate Unit Status, Transfused</w:t>
            </w:r>
          </w:p>
        </w:tc>
        <w:tc>
          <w:tcPr>
            <w:tcW w:w="1080" w:type="dxa"/>
          </w:tcPr>
          <w:p w14:paraId="6824E1DA" w14:textId="77777777" w:rsidR="000305DD" w:rsidRPr="00F24972" w:rsidRDefault="000305DD" w:rsidP="000305DD">
            <w:pPr>
              <w:pStyle w:val="TableText"/>
              <w:rPr>
                <w:rFonts w:cs="Arial"/>
                <w:b/>
              </w:rPr>
            </w:pPr>
            <w:r w:rsidRPr="00F24972">
              <w:rPr>
                <w:rFonts w:cs="Arial"/>
                <w:b/>
              </w:rPr>
              <w:t>Negative</w:t>
            </w:r>
          </w:p>
        </w:tc>
        <w:tc>
          <w:tcPr>
            <w:tcW w:w="900" w:type="dxa"/>
          </w:tcPr>
          <w:p w14:paraId="69F9628D" w14:textId="77777777" w:rsidR="000305DD" w:rsidRPr="00F24972" w:rsidRDefault="000305DD" w:rsidP="000305DD">
            <w:pPr>
              <w:pStyle w:val="TableText"/>
              <w:jc w:val="center"/>
              <w:rPr>
                <w:rFonts w:cs="Arial"/>
              </w:rPr>
            </w:pPr>
            <w:r w:rsidRPr="00F24972">
              <w:rPr>
                <w:rFonts w:cs="Arial"/>
              </w:rPr>
              <w:t>U</w:t>
            </w:r>
          </w:p>
        </w:tc>
        <w:tc>
          <w:tcPr>
            <w:tcW w:w="4123" w:type="dxa"/>
          </w:tcPr>
          <w:p w14:paraId="1F46ACD1" w14:textId="77777777" w:rsidR="000305DD" w:rsidRPr="00F24972" w:rsidRDefault="000305DD" w:rsidP="000305DD">
            <w:pPr>
              <w:pStyle w:val="TableText"/>
              <w:rPr>
                <w:rFonts w:cs="Arial"/>
              </w:rPr>
            </w:pPr>
            <w:r w:rsidRPr="00F24972">
              <w:rPr>
                <w:rFonts w:cs="Arial"/>
              </w:rPr>
              <w:t>An individual blood unit’s status is invalided when the unit was in a status of transfused.</w:t>
            </w:r>
          </w:p>
        </w:tc>
      </w:tr>
      <w:tr w:rsidR="000305DD" w:rsidRPr="00F24972" w14:paraId="48EA0690" w14:textId="77777777">
        <w:trPr>
          <w:cantSplit/>
        </w:trPr>
        <w:tc>
          <w:tcPr>
            <w:tcW w:w="1733" w:type="dxa"/>
            <w:vMerge w:val="restart"/>
          </w:tcPr>
          <w:p w14:paraId="146D85C8" w14:textId="77777777" w:rsidR="000305DD" w:rsidRPr="00F24972" w:rsidRDefault="000305DD" w:rsidP="000305DD">
            <w:pPr>
              <w:pStyle w:val="TableText"/>
              <w:rPr>
                <w:rFonts w:cs="Arial"/>
              </w:rPr>
            </w:pPr>
            <w:r w:rsidRPr="00F24972">
              <w:rPr>
                <w:rFonts w:cs="Arial"/>
              </w:rPr>
              <w:t>Transfusion Reaction Investigation</w:t>
            </w:r>
          </w:p>
        </w:tc>
        <w:tc>
          <w:tcPr>
            <w:tcW w:w="1165" w:type="dxa"/>
            <w:tcBorders>
              <w:bottom w:val="single" w:sz="4" w:space="0" w:color="auto"/>
            </w:tcBorders>
          </w:tcPr>
          <w:p w14:paraId="48B1F557" w14:textId="77777777" w:rsidR="000305DD" w:rsidRPr="00F24972" w:rsidRDefault="000305DD" w:rsidP="000305DD">
            <w:pPr>
              <w:pStyle w:val="TableText"/>
              <w:rPr>
                <w:rFonts w:cs="Arial"/>
              </w:rPr>
            </w:pPr>
            <w:r>
              <w:rPr>
                <w:rFonts w:cs="Arial"/>
              </w:rPr>
              <w:t>Patient Testing, TRW</w:t>
            </w:r>
          </w:p>
          <w:p w14:paraId="6E1DE079" w14:textId="77777777" w:rsidR="000305DD" w:rsidRPr="00F24972" w:rsidRDefault="000305DD" w:rsidP="000305DD">
            <w:pPr>
              <w:pStyle w:val="TableText"/>
              <w:rPr>
                <w:rFonts w:cs="Arial"/>
              </w:rPr>
            </w:pPr>
          </w:p>
          <w:p w14:paraId="0B3961F2" w14:textId="77777777" w:rsidR="000305DD" w:rsidRPr="00F24972" w:rsidRDefault="000305DD" w:rsidP="000305DD">
            <w:pPr>
              <w:pStyle w:val="TableText"/>
              <w:rPr>
                <w:rFonts w:cs="Arial"/>
              </w:rPr>
            </w:pPr>
          </w:p>
        </w:tc>
        <w:tc>
          <w:tcPr>
            <w:tcW w:w="1080" w:type="dxa"/>
            <w:tcBorders>
              <w:bottom w:val="single" w:sz="4" w:space="0" w:color="auto"/>
            </w:tcBorders>
          </w:tcPr>
          <w:p w14:paraId="336F2841" w14:textId="77777777" w:rsidR="000305DD" w:rsidRPr="00F24972" w:rsidRDefault="000305DD" w:rsidP="000305DD">
            <w:pPr>
              <w:pStyle w:val="TableText"/>
              <w:rPr>
                <w:rFonts w:cs="Arial"/>
              </w:rPr>
            </w:pPr>
            <w:r w:rsidRPr="00F24972">
              <w:rPr>
                <w:rFonts w:cs="Arial"/>
              </w:rPr>
              <w:t>Positive</w:t>
            </w:r>
          </w:p>
        </w:tc>
        <w:tc>
          <w:tcPr>
            <w:tcW w:w="900" w:type="dxa"/>
            <w:tcBorders>
              <w:bottom w:val="single" w:sz="4" w:space="0" w:color="auto"/>
            </w:tcBorders>
          </w:tcPr>
          <w:p w14:paraId="4A6806F3" w14:textId="77777777" w:rsidR="000305DD" w:rsidRPr="00F24972" w:rsidRDefault="000305DD" w:rsidP="000305DD">
            <w:pPr>
              <w:pStyle w:val="TableText"/>
              <w:jc w:val="center"/>
              <w:rPr>
                <w:rFonts w:cs="Arial"/>
              </w:rPr>
            </w:pPr>
            <w:r w:rsidRPr="00F24972">
              <w:rPr>
                <w:rFonts w:cs="Arial"/>
              </w:rPr>
              <w:t>P</w:t>
            </w:r>
          </w:p>
        </w:tc>
        <w:tc>
          <w:tcPr>
            <w:tcW w:w="4123" w:type="dxa"/>
            <w:tcBorders>
              <w:bottom w:val="single" w:sz="4" w:space="0" w:color="auto"/>
            </w:tcBorders>
          </w:tcPr>
          <w:p w14:paraId="13DF811B" w14:textId="77777777" w:rsidR="000305DD" w:rsidRPr="00F24972" w:rsidRDefault="000305DD" w:rsidP="000305DD">
            <w:pPr>
              <w:pStyle w:val="TableText"/>
              <w:rPr>
                <w:rFonts w:cs="Arial"/>
                <w:i/>
              </w:rPr>
            </w:pPr>
            <w:r w:rsidRPr="00F24972">
              <w:rPr>
                <w:rFonts w:cs="Arial"/>
              </w:rPr>
              <w:t xml:space="preserve">Accrue workload when a transfusion reaction investigation is saved by </w:t>
            </w:r>
            <w:r>
              <w:rPr>
                <w:rFonts w:cs="Arial"/>
              </w:rPr>
              <w:t>Record Transfusion Reaction Workup</w:t>
            </w:r>
            <w:r w:rsidRPr="00F24972">
              <w:rPr>
                <w:rFonts w:cs="Arial"/>
              </w:rPr>
              <w:t xml:space="preserve">. </w:t>
            </w:r>
            <w:r w:rsidRPr="00F24972">
              <w:rPr>
                <w:rFonts w:cs="Arial"/>
                <w:i/>
              </w:rPr>
              <w:t xml:space="preserve">This does </w:t>
            </w:r>
            <w:r w:rsidRPr="00F24972">
              <w:rPr>
                <w:rFonts w:cs="Arial"/>
              </w:rPr>
              <w:t>not</w:t>
            </w:r>
            <w:r w:rsidRPr="00F24972">
              <w:rPr>
                <w:rFonts w:cs="Arial"/>
                <w:i/>
              </w:rPr>
              <w:t xml:space="preserve"> include workload accrued by the optional TRW serologic testing.</w:t>
            </w:r>
          </w:p>
          <w:p w14:paraId="0068A0B6" w14:textId="77777777" w:rsidR="000305DD" w:rsidRPr="00F24972" w:rsidRDefault="000305DD" w:rsidP="000305DD">
            <w:pPr>
              <w:pStyle w:val="TableText"/>
              <w:rPr>
                <w:rFonts w:cs="Arial"/>
              </w:rPr>
            </w:pPr>
            <w:r w:rsidRPr="00F24972">
              <w:rPr>
                <w:rFonts w:cs="Arial"/>
              </w:rPr>
              <w:t xml:space="preserve">Note: The </w:t>
            </w:r>
            <w:r>
              <w:rPr>
                <w:rFonts w:cs="Arial"/>
              </w:rPr>
              <w:t>Division Workload Report</w:t>
            </w:r>
            <w:r w:rsidRPr="00F24972">
              <w:rPr>
                <w:rFonts w:cs="Arial"/>
              </w:rPr>
              <w:t xml:space="preserve"> workload report reports the sum of Workload Events recorded in </w:t>
            </w:r>
            <w:r>
              <w:rPr>
                <w:rFonts w:cs="Arial"/>
              </w:rPr>
              <w:t>Record Transfusion Reaction Workup</w:t>
            </w:r>
            <w:r w:rsidRPr="00F24972">
              <w:rPr>
                <w:rFonts w:cs="Arial"/>
              </w:rPr>
              <w:t xml:space="preserve"> for an individual TRW.</w:t>
            </w:r>
          </w:p>
        </w:tc>
      </w:tr>
      <w:tr w:rsidR="000305DD" w:rsidRPr="00F24972" w14:paraId="0A2ECA72" w14:textId="77777777">
        <w:trPr>
          <w:cantSplit/>
        </w:trPr>
        <w:tc>
          <w:tcPr>
            <w:tcW w:w="1733" w:type="dxa"/>
            <w:vMerge/>
            <w:tcBorders>
              <w:bottom w:val="single" w:sz="4" w:space="0" w:color="auto"/>
            </w:tcBorders>
          </w:tcPr>
          <w:p w14:paraId="550A8EBD" w14:textId="77777777" w:rsidR="000305DD" w:rsidRPr="00F24972" w:rsidRDefault="000305DD" w:rsidP="000305DD">
            <w:pPr>
              <w:pStyle w:val="TableText"/>
              <w:rPr>
                <w:rFonts w:cs="Arial"/>
              </w:rPr>
            </w:pPr>
          </w:p>
        </w:tc>
        <w:tc>
          <w:tcPr>
            <w:tcW w:w="1165" w:type="dxa"/>
            <w:tcBorders>
              <w:top w:val="single" w:sz="4" w:space="0" w:color="auto"/>
              <w:bottom w:val="single" w:sz="4" w:space="0" w:color="auto"/>
              <w:right w:val="single" w:sz="4" w:space="0" w:color="auto"/>
            </w:tcBorders>
          </w:tcPr>
          <w:p w14:paraId="1112DB61" w14:textId="77777777" w:rsidR="000305DD" w:rsidRPr="00F24972" w:rsidRDefault="000305DD" w:rsidP="000305DD">
            <w:pPr>
              <w:pStyle w:val="TableText"/>
              <w:rPr>
                <w:rFonts w:cs="Arial"/>
              </w:rPr>
            </w:pPr>
            <w:r>
              <w:rPr>
                <w:rFonts w:cs="Arial"/>
              </w:rPr>
              <w:t>Invalidate Patient Testing, TRW</w:t>
            </w:r>
          </w:p>
        </w:tc>
        <w:tc>
          <w:tcPr>
            <w:tcW w:w="1080" w:type="dxa"/>
            <w:tcBorders>
              <w:top w:val="single" w:sz="4" w:space="0" w:color="auto"/>
              <w:left w:val="single" w:sz="4" w:space="0" w:color="auto"/>
              <w:bottom w:val="single" w:sz="4" w:space="0" w:color="auto"/>
              <w:right w:val="single" w:sz="4" w:space="0" w:color="auto"/>
            </w:tcBorders>
          </w:tcPr>
          <w:p w14:paraId="1B76CF3D"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37F91713" w14:textId="77777777" w:rsidR="000305DD" w:rsidRPr="00F24972" w:rsidRDefault="000305DD" w:rsidP="000305DD">
            <w:pPr>
              <w:pStyle w:val="TableText"/>
              <w:jc w:val="center"/>
              <w:rPr>
                <w:rFonts w:cs="Arial"/>
              </w:rPr>
            </w:pPr>
            <w:r w:rsidRPr="00F24972">
              <w:rPr>
                <w:rFonts w:cs="Arial"/>
              </w:rPr>
              <w:t>P</w:t>
            </w:r>
          </w:p>
        </w:tc>
        <w:tc>
          <w:tcPr>
            <w:tcW w:w="4123" w:type="dxa"/>
            <w:tcBorders>
              <w:top w:val="single" w:sz="4" w:space="0" w:color="auto"/>
              <w:left w:val="single" w:sz="4" w:space="0" w:color="auto"/>
              <w:bottom w:val="single" w:sz="4" w:space="0" w:color="auto"/>
              <w:right w:val="single" w:sz="4" w:space="0" w:color="auto"/>
            </w:tcBorders>
          </w:tcPr>
          <w:p w14:paraId="69F70B6B" w14:textId="77777777" w:rsidR="000305DD" w:rsidRPr="00F24972" w:rsidRDefault="000305DD" w:rsidP="000305DD">
            <w:pPr>
              <w:pStyle w:val="TableText"/>
              <w:rPr>
                <w:rFonts w:cs="Arial"/>
              </w:rPr>
            </w:pPr>
            <w:r w:rsidRPr="00F24972">
              <w:rPr>
                <w:rFonts w:cs="Arial"/>
              </w:rPr>
              <w:t xml:space="preserve">Accrue workload when a transfusion reaction investigation previously saved by </w:t>
            </w:r>
            <w:r>
              <w:rPr>
                <w:rFonts w:cs="Arial"/>
              </w:rPr>
              <w:t>Record Transfusion Reaction Workup</w:t>
            </w:r>
            <w:r w:rsidRPr="00F24972">
              <w:rPr>
                <w:rFonts w:cs="Arial"/>
              </w:rPr>
              <w:t xml:space="preserve"> is invalidated. The workload for the transfusion reaction, as well as all of the workload accrued by the optional TRW serologic testing (pre- and post-ABO/Rh, pre- and post-ABS, pre- and post-DAT) are invalidated, as included in selected TRW (</w:t>
            </w:r>
            <w:r>
              <w:rPr>
                <w:rFonts w:cs="Arial"/>
              </w:rPr>
              <w:t>Record Transfusion Reaction Workup</w:t>
            </w:r>
            <w:r w:rsidRPr="00F24972">
              <w:rPr>
                <w:rFonts w:cs="Arial"/>
              </w:rPr>
              <w:t>).</w:t>
            </w:r>
          </w:p>
          <w:p w14:paraId="457DE7B4" w14:textId="77777777" w:rsidR="000305DD" w:rsidRPr="00F24972" w:rsidRDefault="000305DD" w:rsidP="000305DD">
            <w:pPr>
              <w:pStyle w:val="TableText"/>
              <w:rPr>
                <w:rFonts w:cs="Arial"/>
              </w:rPr>
            </w:pPr>
            <w:r w:rsidRPr="00F24972">
              <w:rPr>
                <w:rFonts w:cs="Arial"/>
                <w:i/>
              </w:rPr>
              <w:t>Note: Any pre- or post-crossmatch tests performed as part of the TRW must be invalidated individually.</w:t>
            </w:r>
          </w:p>
        </w:tc>
      </w:tr>
      <w:tr w:rsidR="000305DD" w:rsidRPr="00F24972" w14:paraId="109B8094" w14:textId="77777777">
        <w:trPr>
          <w:cantSplit/>
        </w:trPr>
        <w:tc>
          <w:tcPr>
            <w:tcW w:w="1733" w:type="dxa"/>
            <w:vMerge w:val="restart"/>
          </w:tcPr>
          <w:p w14:paraId="40193A07" w14:textId="77777777" w:rsidR="000305DD" w:rsidRPr="00F24972" w:rsidRDefault="000305DD" w:rsidP="000305DD">
            <w:pPr>
              <w:pStyle w:val="TableText"/>
              <w:rPr>
                <w:rFonts w:cs="Arial"/>
              </w:rPr>
            </w:pPr>
            <w:r w:rsidRPr="00F24972">
              <w:rPr>
                <w:rFonts w:cs="Arial"/>
              </w:rPr>
              <w:t>Unit Antigen phenotyping, Multiple Test phases</w:t>
            </w:r>
          </w:p>
        </w:tc>
        <w:tc>
          <w:tcPr>
            <w:tcW w:w="1165" w:type="dxa"/>
          </w:tcPr>
          <w:p w14:paraId="22D3E461" w14:textId="77777777" w:rsidR="000305DD" w:rsidRPr="00F24972" w:rsidRDefault="000305DD" w:rsidP="000305DD">
            <w:pPr>
              <w:pStyle w:val="TableText"/>
              <w:rPr>
                <w:rFonts w:cs="Arial"/>
              </w:rPr>
            </w:pPr>
            <w:r>
              <w:rPr>
                <w:rFonts w:cs="Arial"/>
              </w:rPr>
              <w:t>Unit Antigen typing</w:t>
            </w:r>
          </w:p>
          <w:p w14:paraId="35ED1BCE" w14:textId="77777777" w:rsidR="000305DD" w:rsidRPr="00F24972" w:rsidRDefault="000305DD" w:rsidP="000305DD">
            <w:pPr>
              <w:pStyle w:val="TableText"/>
              <w:rPr>
                <w:rFonts w:cs="Arial"/>
              </w:rPr>
            </w:pPr>
          </w:p>
        </w:tc>
        <w:tc>
          <w:tcPr>
            <w:tcW w:w="1080" w:type="dxa"/>
          </w:tcPr>
          <w:p w14:paraId="64507B03" w14:textId="77777777" w:rsidR="000305DD" w:rsidRPr="00F24972" w:rsidRDefault="000305DD" w:rsidP="000305DD">
            <w:pPr>
              <w:pStyle w:val="TableText"/>
              <w:rPr>
                <w:rFonts w:cs="Arial"/>
              </w:rPr>
            </w:pPr>
            <w:r w:rsidRPr="00F24972">
              <w:rPr>
                <w:rFonts w:cs="Arial"/>
              </w:rPr>
              <w:t>Positive</w:t>
            </w:r>
          </w:p>
        </w:tc>
        <w:tc>
          <w:tcPr>
            <w:tcW w:w="900" w:type="dxa"/>
          </w:tcPr>
          <w:p w14:paraId="7E8BFF5F" w14:textId="77777777" w:rsidR="000305DD" w:rsidRPr="00F24972" w:rsidRDefault="000305DD" w:rsidP="000305DD">
            <w:pPr>
              <w:pStyle w:val="TableText"/>
              <w:jc w:val="center"/>
              <w:rPr>
                <w:rFonts w:cs="Arial"/>
              </w:rPr>
            </w:pPr>
            <w:r w:rsidRPr="00F24972">
              <w:rPr>
                <w:rFonts w:cs="Arial"/>
              </w:rPr>
              <w:t>U</w:t>
            </w:r>
          </w:p>
        </w:tc>
        <w:tc>
          <w:tcPr>
            <w:tcW w:w="4123" w:type="dxa"/>
          </w:tcPr>
          <w:p w14:paraId="5BD0E52F" w14:textId="77777777" w:rsidR="000305DD" w:rsidRPr="00F24972" w:rsidRDefault="000305DD" w:rsidP="000305DD">
            <w:pPr>
              <w:pStyle w:val="TableText"/>
              <w:rPr>
                <w:rFonts w:cs="Arial"/>
              </w:rPr>
            </w:pPr>
            <w:r w:rsidRPr="00F24972">
              <w:rPr>
                <w:rFonts w:cs="Arial"/>
              </w:rPr>
              <w:t>Accrue workload when a unit antigen phenotype test [specificity (tab)] with IS/RT or IS/37 phases is selected and completed for an individual blood unit (row).</w:t>
            </w:r>
          </w:p>
          <w:p w14:paraId="77F517B5" w14:textId="77777777" w:rsidR="000305DD" w:rsidRPr="00F24972" w:rsidRDefault="000305DD" w:rsidP="000305DD">
            <w:pPr>
              <w:pStyle w:val="TableText"/>
              <w:rPr>
                <w:rFonts w:cs="Arial"/>
              </w:rPr>
            </w:pPr>
            <w:r w:rsidRPr="00F24972">
              <w:rPr>
                <w:rFonts w:cs="Arial"/>
              </w:rPr>
              <w:t>No special handling for workload collection for additional repeat antigen typing tests on a unit.</w:t>
            </w:r>
          </w:p>
        </w:tc>
      </w:tr>
      <w:tr w:rsidR="000305DD" w:rsidRPr="00F24972" w14:paraId="4A595575" w14:textId="77777777">
        <w:trPr>
          <w:cantSplit/>
        </w:trPr>
        <w:tc>
          <w:tcPr>
            <w:tcW w:w="1733" w:type="dxa"/>
            <w:vMerge/>
          </w:tcPr>
          <w:p w14:paraId="38A07120" w14:textId="77777777" w:rsidR="000305DD" w:rsidRPr="00F24972" w:rsidRDefault="000305DD" w:rsidP="000305DD">
            <w:pPr>
              <w:pStyle w:val="TableText"/>
              <w:rPr>
                <w:rFonts w:cs="Arial"/>
              </w:rPr>
            </w:pPr>
          </w:p>
        </w:tc>
        <w:tc>
          <w:tcPr>
            <w:tcW w:w="1165" w:type="dxa"/>
          </w:tcPr>
          <w:p w14:paraId="7E20BDC6" w14:textId="77777777" w:rsidR="000305DD" w:rsidRPr="00F24972" w:rsidRDefault="000305DD" w:rsidP="000305DD">
            <w:pPr>
              <w:pStyle w:val="TableText"/>
              <w:rPr>
                <w:rFonts w:cs="Arial"/>
              </w:rPr>
            </w:pPr>
            <w:r>
              <w:rPr>
                <w:rFonts w:cs="Arial"/>
              </w:rPr>
              <w:t>Edit Unit, Invalidate Unit Antigen Typing</w:t>
            </w:r>
          </w:p>
        </w:tc>
        <w:tc>
          <w:tcPr>
            <w:tcW w:w="1080" w:type="dxa"/>
          </w:tcPr>
          <w:p w14:paraId="491D5D60" w14:textId="77777777" w:rsidR="000305DD" w:rsidRPr="00F24972" w:rsidRDefault="000305DD" w:rsidP="000305DD">
            <w:pPr>
              <w:pStyle w:val="TableText"/>
              <w:rPr>
                <w:rFonts w:cs="Arial"/>
                <w:b/>
              </w:rPr>
            </w:pPr>
            <w:r w:rsidRPr="00F24972">
              <w:rPr>
                <w:rFonts w:cs="Arial"/>
                <w:b/>
              </w:rPr>
              <w:t>Negative</w:t>
            </w:r>
          </w:p>
        </w:tc>
        <w:tc>
          <w:tcPr>
            <w:tcW w:w="900" w:type="dxa"/>
          </w:tcPr>
          <w:p w14:paraId="0693FCE0" w14:textId="77777777" w:rsidR="000305DD" w:rsidRPr="00F24972" w:rsidRDefault="000305DD" w:rsidP="000305DD">
            <w:pPr>
              <w:pStyle w:val="TableText"/>
              <w:jc w:val="center"/>
              <w:rPr>
                <w:rFonts w:cs="Arial"/>
              </w:rPr>
            </w:pPr>
            <w:r w:rsidRPr="00F24972">
              <w:rPr>
                <w:rFonts w:cs="Arial"/>
              </w:rPr>
              <w:t>U</w:t>
            </w:r>
          </w:p>
        </w:tc>
        <w:tc>
          <w:tcPr>
            <w:tcW w:w="4123" w:type="dxa"/>
          </w:tcPr>
          <w:p w14:paraId="7658DE69" w14:textId="77777777" w:rsidR="000305DD" w:rsidRPr="00F24972" w:rsidRDefault="000305DD" w:rsidP="000305DD">
            <w:pPr>
              <w:pStyle w:val="TableText"/>
              <w:rPr>
                <w:rFonts w:cs="Arial"/>
              </w:rPr>
            </w:pPr>
            <w:r w:rsidRPr="00F24972">
              <w:rPr>
                <w:rFonts w:cs="Arial"/>
              </w:rPr>
              <w:t>Accrue workload when a unit antigen phenotype test (specificity) with Multiple Test phases is invalidated for an individual blood unit.</w:t>
            </w:r>
          </w:p>
        </w:tc>
      </w:tr>
      <w:tr w:rsidR="000305DD" w:rsidRPr="00F24972" w14:paraId="7FD2FE17" w14:textId="77777777">
        <w:trPr>
          <w:cantSplit/>
        </w:trPr>
        <w:tc>
          <w:tcPr>
            <w:tcW w:w="1733" w:type="dxa"/>
            <w:vMerge w:val="restart"/>
            <w:tcBorders>
              <w:top w:val="single" w:sz="4" w:space="0" w:color="auto"/>
              <w:left w:val="single" w:sz="4" w:space="0" w:color="auto"/>
              <w:right w:val="single" w:sz="4" w:space="0" w:color="auto"/>
            </w:tcBorders>
          </w:tcPr>
          <w:p w14:paraId="60305852" w14:textId="77777777" w:rsidR="000305DD" w:rsidRPr="00F24972" w:rsidRDefault="000305DD" w:rsidP="000305DD">
            <w:pPr>
              <w:pStyle w:val="TableText"/>
              <w:rPr>
                <w:rFonts w:cs="Arial"/>
              </w:rPr>
            </w:pPr>
            <w:r w:rsidRPr="00F24972">
              <w:rPr>
                <w:rFonts w:cs="Arial"/>
              </w:rPr>
              <w:t>Unit Antigen phenotyping, Single Test phase</w:t>
            </w:r>
          </w:p>
        </w:tc>
        <w:tc>
          <w:tcPr>
            <w:tcW w:w="1165" w:type="dxa"/>
            <w:tcBorders>
              <w:top w:val="single" w:sz="4" w:space="0" w:color="auto"/>
              <w:left w:val="single" w:sz="4" w:space="0" w:color="auto"/>
              <w:bottom w:val="single" w:sz="4" w:space="0" w:color="auto"/>
              <w:right w:val="single" w:sz="4" w:space="0" w:color="auto"/>
            </w:tcBorders>
          </w:tcPr>
          <w:p w14:paraId="39B9346E" w14:textId="77777777" w:rsidR="000305DD" w:rsidRPr="00F24972" w:rsidRDefault="000305DD" w:rsidP="000305DD">
            <w:pPr>
              <w:pStyle w:val="TableText"/>
              <w:rPr>
                <w:rFonts w:cs="Arial"/>
              </w:rPr>
            </w:pPr>
            <w:r>
              <w:rPr>
                <w:rFonts w:cs="Arial"/>
              </w:rPr>
              <w:t>Unit Antigen typing</w:t>
            </w:r>
          </w:p>
          <w:p w14:paraId="111D365B"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28BB0518"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29BF40DD" w14:textId="77777777"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tcPr>
          <w:p w14:paraId="29281B47" w14:textId="77777777" w:rsidR="000305DD" w:rsidRPr="00F24972" w:rsidRDefault="000305DD" w:rsidP="000305DD">
            <w:pPr>
              <w:pStyle w:val="TableText"/>
              <w:rPr>
                <w:rFonts w:cs="Arial"/>
              </w:rPr>
            </w:pPr>
            <w:r w:rsidRPr="00F24972">
              <w:rPr>
                <w:rFonts w:cs="Arial"/>
              </w:rPr>
              <w:t xml:space="preserve">A unit (row) antigen phenotype test [specificity (tab)] with AHG or IS phase is selected and completed for an individual blood unit (row). </w:t>
            </w:r>
          </w:p>
          <w:p w14:paraId="02AB4717" w14:textId="77777777" w:rsidR="000305DD" w:rsidRPr="00F24972" w:rsidRDefault="000305DD" w:rsidP="000305DD">
            <w:pPr>
              <w:pStyle w:val="TableText"/>
              <w:rPr>
                <w:rFonts w:cs="Arial"/>
              </w:rPr>
            </w:pPr>
            <w:r w:rsidRPr="00F24972">
              <w:rPr>
                <w:rFonts w:cs="Arial"/>
              </w:rPr>
              <w:t>No special handling for workload collection for additional repeat antigen typing tests on a unit.</w:t>
            </w:r>
          </w:p>
        </w:tc>
      </w:tr>
      <w:tr w:rsidR="000305DD" w:rsidRPr="00F24972" w14:paraId="71FDBEAA" w14:textId="77777777">
        <w:trPr>
          <w:cantSplit/>
        </w:trPr>
        <w:tc>
          <w:tcPr>
            <w:tcW w:w="1733" w:type="dxa"/>
            <w:vMerge/>
            <w:tcBorders>
              <w:left w:val="single" w:sz="4" w:space="0" w:color="auto"/>
              <w:right w:val="single" w:sz="4" w:space="0" w:color="auto"/>
            </w:tcBorders>
          </w:tcPr>
          <w:p w14:paraId="5C6AB629" w14:textId="77777777" w:rsidR="000305DD" w:rsidRPr="00F24972" w:rsidRDefault="000305DD" w:rsidP="000305DD">
            <w:pPr>
              <w:pStyle w:val="TableText"/>
              <w:rPr>
                <w:rFonts w:cs="Arial"/>
              </w:rPr>
            </w:pPr>
          </w:p>
        </w:tc>
        <w:tc>
          <w:tcPr>
            <w:tcW w:w="1165" w:type="dxa"/>
            <w:tcBorders>
              <w:left w:val="single" w:sz="4" w:space="0" w:color="auto"/>
            </w:tcBorders>
          </w:tcPr>
          <w:p w14:paraId="04DB32C4" w14:textId="77777777" w:rsidR="000305DD" w:rsidRPr="00F24972" w:rsidRDefault="000305DD" w:rsidP="000305DD">
            <w:pPr>
              <w:pStyle w:val="TableText"/>
              <w:rPr>
                <w:rFonts w:cs="Arial"/>
              </w:rPr>
            </w:pPr>
            <w:r>
              <w:rPr>
                <w:rFonts w:cs="Arial"/>
              </w:rPr>
              <w:t>Edit Unit, Invalidate Unit Antigen Typing</w:t>
            </w:r>
          </w:p>
        </w:tc>
        <w:tc>
          <w:tcPr>
            <w:tcW w:w="1080" w:type="dxa"/>
          </w:tcPr>
          <w:p w14:paraId="683743F2" w14:textId="77777777" w:rsidR="000305DD" w:rsidRPr="00F24972" w:rsidRDefault="000305DD" w:rsidP="000305DD">
            <w:pPr>
              <w:pStyle w:val="TableText"/>
              <w:rPr>
                <w:rFonts w:cs="Arial"/>
                <w:b/>
              </w:rPr>
            </w:pPr>
            <w:r w:rsidRPr="00F24972">
              <w:rPr>
                <w:rFonts w:cs="Arial"/>
                <w:b/>
              </w:rPr>
              <w:t>Negative</w:t>
            </w:r>
          </w:p>
        </w:tc>
        <w:tc>
          <w:tcPr>
            <w:tcW w:w="900" w:type="dxa"/>
          </w:tcPr>
          <w:p w14:paraId="2B368457" w14:textId="77777777" w:rsidR="000305DD" w:rsidRPr="00F24972" w:rsidRDefault="000305DD" w:rsidP="000305DD">
            <w:pPr>
              <w:pStyle w:val="TableText"/>
              <w:jc w:val="center"/>
              <w:rPr>
                <w:rFonts w:cs="Arial"/>
              </w:rPr>
            </w:pPr>
            <w:r w:rsidRPr="00F24972">
              <w:rPr>
                <w:rFonts w:cs="Arial"/>
              </w:rPr>
              <w:t>U</w:t>
            </w:r>
          </w:p>
        </w:tc>
        <w:tc>
          <w:tcPr>
            <w:tcW w:w="4123" w:type="dxa"/>
          </w:tcPr>
          <w:p w14:paraId="657FC6E2" w14:textId="77777777" w:rsidR="000305DD" w:rsidRPr="00F24972" w:rsidRDefault="000305DD" w:rsidP="000305DD">
            <w:pPr>
              <w:pStyle w:val="TableText"/>
              <w:rPr>
                <w:rFonts w:cs="Arial"/>
              </w:rPr>
            </w:pPr>
            <w:r w:rsidRPr="00F24972">
              <w:rPr>
                <w:rFonts w:cs="Arial"/>
              </w:rPr>
              <w:t>Accrue workload when a unit antigen phenotype test (specificity) with Single Test phase is invalidated for an individual blood unit.</w:t>
            </w:r>
          </w:p>
        </w:tc>
      </w:tr>
      <w:tr w:rsidR="000305DD" w:rsidRPr="00F24972" w14:paraId="4DA911E0" w14:textId="77777777">
        <w:trPr>
          <w:cantSplit/>
        </w:trPr>
        <w:tc>
          <w:tcPr>
            <w:tcW w:w="1733" w:type="dxa"/>
            <w:vMerge w:val="restart"/>
            <w:tcBorders>
              <w:top w:val="single" w:sz="4" w:space="0" w:color="auto"/>
              <w:left w:val="single" w:sz="4" w:space="0" w:color="auto"/>
              <w:right w:val="single" w:sz="4" w:space="0" w:color="auto"/>
            </w:tcBorders>
          </w:tcPr>
          <w:p w14:paraId="2E88758C" w14:textId="77777777" w:rsidR="000305DD" w:rsidRPr="00F24972" w:rsidRDefault="000305DD" w:rsidP="000305DD">
            <w:pPr>
              <w:pStyle w:val="TableText"/>
              <w:rPr>
                <w:rFonts w:cs="Arial"/>
              </w:rPr>
            </w:pPr>
            <w:r w:rsidRPr="00F24972">
              <w:rPr>
                <w:rFonts w:cs="Arial"/>
              </w:rPr>
              <w:t>Unit login</w:t>
            </w:r>
          </w:p>
          <w:p w14:paraId="44124404" w14:textId="77777777"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tcPr>
          <w:p w14:paraId="0BC82439" w14:textId="77777777" w:rsidR="000305DD" w:rsidRPr="00F24972" w:rsidRDefault="000305DD" w:rsidP="000305DD">
            <w:pPr>
              <w:pStyle w:val="TableText"/>
              <w:rPr>
                <w:rFonts w:cs="Arial"/>
              </w:rPr>
            </w:pPr>
            <w:r>
              <w:rPr>
                <w:rFonts w:cs="Arial"/>
              </w:rPr>
              <w:t>Incoming Shipment</w:t>
            </w:r>
          </w:p>
        </w:tc>
        <w:tc>
          <w:tcPr>
            <w:tcW w:w="1080" w:type="dxa"/>
            <w:tcBorders>
              <w:top w:val="single" w:sz="4" w:space="0" w:color="auto"/>
              <w:left w:val="single" w:sz="4" w:space="0" w:color="auto"/>
              <w:bottom w:val="single" w:sz="4" w:space="0" w:color="auto"/>
              <w:right w:val="single" w:sz="4" w:space="0" w:color="auto"/>
            </w:tcBorders>
          </w:tcPr>
          <w:p w14:paraId="18225F39"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79ABD03D" w14:textId="77777777"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tcPr>
          <w:p w14:paraId="4F60BFC0" w14:textId="4594A9FF" w:rsidR="000305DD" w:rsidRPr="00F24972" w:rsidRDefault="000305DD" w:rsidP="000305DD">
            <w:pPr>
              <w:pStyle w:val="TableText"/>
              <w:rPr>
                <w:rFonts w:cs="Arial"/>
              </w:rPr>
            </w:pPr>
            <w:r w:rsidRPr="00F24972">
              <w:rPr>
                <w:rFonts w:cs="Arial"/>
              </w:rPr>
              <w:t xml:space="preserve">An individual unit record is activated as saved to an incoming shipment invoice. When </w:t>
            </w:r>
            <w:r w:rsidR="00AE3B37" w:rsidRPr="00F24972">
              <w:rPr>
                <w:rFonts w:cs="Arial"/>
              </w:rPr>
              <w:t>multiple units</w:t>
            </w:r>
            <w:r w:rsidRPr="00F24972">
              <w:rPr>
                <w:rFonts w:cs="Arial"/>
              </w:rPr>
              <w:t xml:space="preserve"> are entered, each unit added to the database accrues workload.</w:t>
            </w:r>
          </w:p>
        </w:tc>
      </w:tr>
      <w:tr w:rsidR="000305DD" w:rsidRPr="00F24972" w14:paraId="546B1880" w14:textId="77777777">
        <w:trPr>
          <w:cantSplit/>
        </w:trPr>
        <w:tc>
          <w:tcPr>
            <w:tcW w:w="1733" w:type="dxa"/>
            <w:vMerge/>
            <w:tcBorders>
              <w:left w:val="single" w:sz="4" w:space="0" w:color="auto"/>
              <w:right w:val="single" w:sz="4" w:space="0" w:color="auto"/>
            </w:tcBorders>
          </w:tcPr>
          <w:p w14:paraId="6A1F9225" w14:textId="77777777" w:rsidR="000305DD" w:rsidRPr="00F24972" w:rsidRDefault="000305DD" w:rsidP="000305DD">
            <w:pPr>
              <w:pStyle w:val="TableText"/>
              <w:rPr>
                <w:rFonts w:cs="Arial"/>
              </w:rPr>
            </w:pPr>
          </w:p>
        </w:tc>
        <w:tc>
          <w:tcPr>
            <w:tcW w:w="1165" w:type="dxa"/>
            <w:tcBorders>
              <w:left w:val="single" w:sz="4" w:space="0" w:color="auto"/>
            </w:tcBorders>
          </w:tcPr>
          <w:p w14:paraId="58367220" w14:textId="77777777" w:rsidR="000305DD" w:rsidRPr="00F24972" w:rsidRDefault="000305DD" w:rsidP="000305DD">
            <w:pPr>
              <w:pStyle w:val="TableText"/>
              <w:rPr>
                <w:rFonts w:cs="Arial"/>
              </w:rPr>
            </w:pPr>
            <w:r>
              <w:rPr>
                <w:rFonts w:cs="Arial"/>
              </w:rPr>
              <w:t>Edit Unit, Invalidate Unit Antigen Typing</w:t>
            </w:r>
          </w:p>
        </w:tc>
        <w:tc>
          <w:tcPr>
            <w:tcW w:w="1080" w:type="dxa"/>
          </w:tcPr>
          <w:p w14:paraId="3BC529EA" w14:textId="77777777" w:rsidR="000305DD" w:rsidRPr="00F24972" w:rsidRDefault="000305DD" w:rsidP="000305DD">
            <w:pPr>
              <w:pStyle w:val="TableText"/>
              <w:rPr>
                <w:rFonts w:cs="Arial"/>
                <w:b/>
              </w:rPr>
            </w:pPr>
            <w:r w:rsidRPr="00F24972">
              <w:rPr>
                <w:rFonts w:cs="Arial"/>
                <w:b/>
              </w:rPr>
              <w:t>Negative</w:t>
            </w:r>
          </w:p>
        </w:tc>
        <w:tc>
          <w:tcPr>
            <w:tcW w:w="900" w:type="dxa"/>
          </w:tcPr>
          <w:p w14:paraId="15E5CC41" w14:textId="77777777" w:rsidR="000305DD" w:rsidRPr="00F24972" w:rsidRDefault="000305DD" w:rsidP="000305DD">
            <w:pPr>
              <w:pStyle w:val="TableText"/>
              <w:jc w:val="center"/>
              <w:rPr>
                <w:rFonts w:cs="Arial"/>
              </w:rPr>
            </w:pPr>
            <w:r w:rsidRPr="00F24972">
              <w:rPr>
                <w:rFonts w:cs="Arial"/>
              </w:rPr>
              <w:t>U</w:t>
            </w:r>
          </w:p>
        </w:tc>
        <w:tc>
          <w:tcPr>
            <w:tcW w:w="4123" w:type="dxa"/>
          </w:tcPr>
          <w:p w14:paraId="2BD98FB7" w14:textId="77777777" w:rsidR="000305DD" w:rsidRPr="00F24972" w:rsidRDefault="000305DD" w:rsidP="000305DD">
            <w:pPr>
              <w:pStyle w:val="TableText"/>
              <w:rPr>
                <w:rFonts w:cs="Arial"/>
              </w:rPr>
            </w:pPr>
            <w:r w:rsidRPr="00F24972">
              <w:rPr>
                <w:rFonts w:cs="Arial"/>
              </w:rPr>
              <w:t>Accrue workload when a unit is inactivated (unit record inactivated) when logged in thru incoming shipment or is a pooled unit created in VBECS.</w:t>
            </w:r>
            <w:r>
              <w:rPr>
                <w:rFonts w:cs="Arial"/>
              </w:rPr>
              <w:t xml:space="preserve"> </w:t>
            </w:r>
            <w:r w:rsidRPr="00F24972">
              <w:rPr>
                <w:rFonts w:cs="Arial"/>
              </w:rPr>
              <w:t xml:space="preserve">When the unit was created by split modification no workload is invalidated in this option. </w:t>
            </w:r>
          </w:p>
        </w:tc>
      </w:tr>
      <w:tr w:rsidR="000305DD" w:rsidRPr="00F24972" w14:paraId="4232F338" w14:textId="77777777">
        <w:trPr>
          <w:cantSplit/>
        </w:trPr>
        <w:tc>
          <w:tcPr>
            <w:tcW w:w="1733" w:type="dxa"/>
            <w:vMerge w:val="restart"/>
            <w:tcBorders>
              <w:top w:val="single" w:sz="4" w:space="0" w:color="auto"/>
              <w:left w:val="single" w:sz="4" w:space="0" w:color="auto"/>
              <w:right w:val="single" w:sz="4" w:space="0" w:color="auto"/>
            </w:tcBorders>
          </w:tcPr>
          <w:p w14:paraId="2B97C91B" w14:textId="77777777" w:rsidR="000305DD" w:rsidRPr="00F24972" w:rsidRDefault="000305DD" w:rsidP="000305DD">
            <w:pPr>
              <w:pStyle w:val="TableText"/>
              <w:rPr>
                <w:rFonts w:cs="Arial"/>
              </w:rPr>
            </w:pPr>
            <w:r w:rsidRPr="00F24972">
              <w:rPr>
                <w:rFonts w:cs="Arial"/>
              </w:rPr>
              <w:t>Unit logout</w:t>
            </w:r>
          </w:p>
        </w:tc>
        <w:tc>
          <w:tcPr>
            <w:tcW w:w="1165" w:type="dxa"/>
            <w:tcBorders>
              <w:top w:val="single" w:sz="4" w:space="0" w:color="auto"/>
              <w:left w:val="single" w:sz="4" w:space="0" w:color="auto"/>
              <w:bottom w:val="single" w:sz="4" w:space="0" w:color="auto"/>
              <w:right w:val="single" w:sz="4" w:space="0" w:color="auto"/>
            </w:tcBorders>
          </w:tcPr>
          <w:p w14:paraId="790AEC25" w14:textId="77777777" w:rsidR="000305DD" w:rsidRPr="00F24972" w:rsidRDefault="000305DD" w:rsidP="000305DD">
            <w:pPr>
              <w:pStyle w:val="TableText"/>
              <w:rPr>
                <w:rFonts w:cs="Arial"/>
              </w:rPr>
            </w:pPr>
            <w:r>
              <w:rPr>
                <w:rFonts w:cs="Arial"/>
              </w:rPr>
              <w:t>Outgoing Shipment</w:t>
            </w:r>
          </w:p>
        </w:tc>
        <w:tc>
          <w:tcPr>
            <w:tcW w:w="1080" w:type="dxa"/>
            <w:tcBorders>
              <w:top w:val="single" w:sz="4" w:space="0" w:color="auto"/>
              <w:left w:val="single" w:sz="4" w:space="0" w:color="auto"/>
              <w:bottom w:val="single" w:sz="4" w:space="0" w:color="auto"/>
              <w:right w:val="single" w:sz="4" w:space="0" w:color="auto"/>
            </w:tcBorders>
          </w:tcPr>
          <w:p w14:paraId="33123164"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5BFD9D2C" w14:textId="77777777"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tcPr>
          <w:p w14:paraId="2B8384A4" w14:textId="5966C50E" w:rsidR="000305DD" w:rsidRPr="00F24972" w:rsidRDefault="000305DD" w:rsidP="000305DD">
            <w:pPr>
              <w:pStyle w:val="TableText"/>
              <w:rPr>
                <w:rFonts w:cs="Arial"/>
              </w:rPr>
            </w:pPr>
            <w:r w:rsidRPr="00F24972">
              <w:rPr>
                <w:rFonts w:cs="Arial"/>
              </w:rPr>
              <w:t xml:space="preserve">An individual unit’s status is updated to </w:t>
            </w:r>
            <w:r w:rsidRPr="00F24972">
              <w:rPr>
                <w:rFonts w:cs="Arial"/>
                <w:i/>
              </w:rPr>
              <w:t>transferred</w:t>
            </w:r>
            <w:r w:rsidRPr="00F24972">
              <w:rPr>
                <w:rFonts w:cs="Arial"/>
              </w:rPr>
              <w:t xml:space="preserve"> on a confirmed outgoing shipment invoice.</w:t>
            </w:r>
            <w:r>
              <w:rPr>
                <w:rFonts w:cs="Arial"/>
              </w:rPr>
              <w:t xml:space="preserve"> </w:t>
            </w:r>
            <w:r w:rsidRPr="00F24972">
              <w:rPr>
                <w:rFonts w:cs="Arial"/>
              </w:rPr>
              <w:t xml:space="preserve">When </w:t>
            </w:r>
            <w:r w:rsidR="00AE3B37" w:rsidRPr="00F24972">
              <w:rPr>
                <w:rFonts w:cs="Arial"/>
              </w:rPr>
              <w:t>multiple units</w:t>
            </w:r>
            <w:r w:rsidRPr="00F24972">
              <w:rPr>
                <w:rFonts w:cs="Arial"/>
              </w:rPr>
              <w:t xml:space="preserve"> are selected, each unit accrues workload.</w:t>
            </w:r>
          </w:p>
          <w:p w14:paraId="6F845161" w14:textId="77777777" w:rsidR="000305DD" w:rsidRPr="00F24972" w:rsidRDefault="000305DD" w:rsidP="000305DD">
            <w:pPr>
              <w:pStyle w:val="TableText"/>
              <w:rPr>
                <w:rFonts w:cs="Arial"/>
              </w:rPr>
            </w:pPr>
            <w:r w:rsidRPr="00F24972">
              <w:rPr>
                <w:rFonts w:cs="Arial"/>
              </w:rPr>
              <w:t>Accrue workload upon the confirmation of the invoice, not the addition of a unit to a temporary outgoing shipment invoice as an invoice may be confirmed only once.</w:t>
            </w:r>
          </w:p>
        </w:tc>
      </w:tr>
      <w:tr w:rsidR="000305DD" w:rsidRPr="00F24972" w14:paraId="61880C87" w14:textId="77777777">
        <w:trPr>
          <w:cantSplit/>
        </w:trPr>
        <w:tc>
          <w:tcPr>
            <w:tcW w:w="1733" w:type="dxa"/>
            <w:vMerge/>
            <w:tcBorders>
              <w:left w:val="single" w:sz="4" w:space="0" w:color="auto"/>
              <w:bottom w:val="single" w:sz="4" w:space="0" w:color="auto"/>
              <w:right w:val="single" w:sz="4" w:space="0" w:color="auto"/>
            </w:tcBorders>
          </w:tcPr>
          <w:p w14:paraId="37A98449" w14:textId="77777777"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tcPr>
          <w:p w14:paraId="7D44AF4B" w14:textId="77777777" w:rsidR="000305DD" w:rsidRPr="00F24972" w:rsidRDefault="000305DD" w:rsidP="000305DD">
            <w:pPr>
              <w:pStyle w:val="TableText"/>
              <w:rPr>
                <w:rFonts w:cs="Arial"/>
              </w:rPr>
            </w:pPr>
            <w:r>
              <w:rPr>
                <w:rFonts w:cs="Arial"/>
              </w:rPr>
              <w:t>Invalidate Unit Status, Transferred</w:t>
            </w:r>
          </w:p>
        </w:tc>
        <w:tc>
          <w:tcPr>
            <w:tcW w:w="1080" w:type="dxa"/>
            <w:tcBorders>
              <w:top w:val="single" w:sz="4" w:space="0" w:color="auto"/>
              <w:left w:val="single" w:sz="4" w:space="0" w:color="auto"/>
              <w:bottom w:val="single" w:sz="4" w:space="0" w:color="auto"/>
              <w:right w:val="single" w:sz="4" w:space="0" w:color="auto"/>
            </w:tcBorders>
          </w:tcPr>
          <w:p w14:paraId="4F05DB16"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2EB2CB29" w14:textId="77777777"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tcPr>
          <w:p w14:paraId="1C28BA84" w14:textId="77777777" w:rsidR="000305DD" w:rsidRPr="00F24972" w:rsidRDefault="000305DD" w:rsidP="000305DD">
            <w:pPr>
              <w:pStyle w:val="TableText"/>
              <w:rPr>
                <w:rFonts w:cs="Arial"/>
              </w:rPr>
            </w:pPr>
            <w:r w:rsidRPr="00F24972">
              <w:rPr>
                <w:rFonts w:cs="Arial"/>
              </w:rPr>
              <w:t>An individual unit status is invalidated when the unit had a previous unit status of transferred.</w:t>
            </w:r>
          </w:p>
        </w:tc>
      </w:tr>
      <w:tr w:rsidR="000305DD" w:rsidRPr="00F24972" w14:paraId="1A32B623" w14:textId="77777777">
        <w:trPr>
          <w:cantSplit/>
        </w:trPr>
        <w:tc>
          <w:tcPr>
            <w:tcW w:w="1733" w:type="dxa"/>
            <w:tcBorders>
              <w:bottom w:val="single" w:sz="4" w:space="0" w:color="auto"/>
            </w:tcBorders>
          </w:tcPr>
          <w:p w14:paraId="3B55882F" w14:textId="77777777" w:rsidR="000305DD" w:rsidRPr="00F24972" w:rsidRDefault="000305DD" w:rsidP="000305DD">
            <w:pPr>
              <w:pStyle w:val="TableText"/>
              <w:rPr>
                <w:rFonts w:cs="Arial"/>
              </w:rPr>
            </w:pPr>
            <w:r w:rsidRPr="00F24972">
              <w:rPr>
                <w:rFonts w:cs="Arial"/>
              </w:rPr>
              <w:t>Update Equipment Record</w:t>
            </w:r>
          </w:p>
        </w:tc>
        <w:tc>
          <w:tcPr>
            <w:tcW w:w="1165" w:type="dxa"/>
            <w:tcBorders>
              <w:bottom w:val="single" w:sz="4" w:space="0" w:color="auto"/>
            </w:tcBorders>
          </w:tcPr>
          <w:p w14:paraId="5B56578D" w14:textId="77777777" w:rsidR="000305DD" w:rsidRPr="00F24972" w:rsidRDefault="000305DD" w:rsidP="000305DD">
            <w:pPr>
              <w:pStyle w:val="TableText"/>
              <w:rPr>
                <w:rFonts w:cs="Arial"/>
              </w:rPr>
            </w:pPr>
            <w:r>
              <w:rPr>
                <w:rFonts w:cs="Arial"/>
                <w:snapToGrid w:val="0"/>
              </w:rPr>
              <w:t>Equipment, Update</w:t>
            </w:r>
          </w:p>
        </w:tc>
        <w:tc>
          <w:tcPr>
            <w:tcW w:w="1080" w:type="dxa"/>
            <w:tcBorders>
              <w:bottom w:val="single" w:sz="4" w:space="0" w:color="auto"/>
            </w:tcBorders>
          </w:tcPr>
          <w:p w14:paraId="1A69AC51" w14:textId="77777777" w:rsidR="000305DD" w:rsidRPr="00F24972" w:rsidRDefault="000305DD" w:rsidP="000305DD">
            <w:pPr>
              <w:pStyle w:val="TableText"/>
              <w:rPr>
                <w:rFonts w:cs="Arial"/>
              </w:rPr>
            </w:pPr>
            <w:r w:rsidRPr="00F24972">
              <w:rPr>
                <w:rFonts w:cs="Arial"/>
              </w:rPr>
              <w:t>Positive</w:t>
            </w:r>
          </w:p>
        </w:tc>
        <w:tc>
          <w:tcPr>
            <w:tcW w:w="900" w:type="dxa"/>
            <w:tcBorders>
              <w:bottom w:val="single" w:sz="4" w:space="0" w:color="auto"/>
            </w:tcBorders>
          </w:tcPr>
          <w:p w14:paraId="63046F13" w14:textId="77777777" w:rsidR="000305DD" w:rsidRPr="00F24972" w:rsidRDefault="000305DD" w:rsidP="000305DD">
            <w:pPr>
              <w:pStyle w:val="TableText"/>
              <w:jc w:val="center"/>
              <w:rPr>
                <w:rFonts w:cs="Arial"/>
              </w:rPr>
            </w:pPr>
            <w:r w:rsidRPr="00F24972">
              <w:rPr>
                <w:rFonts w:cs="Arial"/>
              </w:rPr>
              <w:t>M</w:t>
            </w:r>
          </w:p>
        </w:tc>
        <w:tc>
          <w:tcPr>
            <w:tcW w:w="4123" w:type="dxa"/>
            <w:tcBorders>
              <w:bottom w:val="single" w:sz="4" w:space="0" w:color="auto"/>
            </w:tcBorders>
          </w:tcPr>
          <w:p w14:paraId="3C2608F7" w14:textId="77777777" w:rsidR="000305DD" w:rsidRPr="00F24972" w:rsidRDefault="000305DD" w:rsidP="000305DD">
            <w:pPr>
              <w:pStyle w:val="TableText"/>
              <w:rPr>
                <w:rFonts w:cs="Arial"/>
              </w:rPr>
            </w:pPr>
            <w:r w:rsidRPr="00F24972">
              <w:rPr>
                <w:rFonts w:cs="Arial"/>
              </w:rPr>
              <w:t>Accrue workload when a lot number of any type of equipment is updated in the system.</w:t>
            </w:r>
            <w:r>
              <w:rPr>
                <w:rFonts w:cs="Arial"/>
              </w:rPr>
              <w:t xml:space="preserve"> </w:t>
            </w:r>
          </w:p>
        </w:tc>
      </w:tr>
      <w:tr w:rsidR="000305DD" w:rsidRPr="00F24972" w14:paraId="6D7653AF" w14:textId="77777777">
        <w:trPr>
          <w:cantSplit/>
        </w:trPr>
        <w:tc>
          <w:tcPr>
            <w:tcW w:w="1733" w:type="dxa"/>
            <w:tcBorders>
              <w:bottom w:val="single" w:sz="4" w:space="0" w:color="auto"/>
            </w:tcBorders>
          </w:tcPr>
          <w:p w14:paraId="26821E5B" w14:textId="77777777" w:rsidR="000305DD" w:rsidRPr="00F24972" w:rsidRDefault="000305DD" w:rsidP="000305DD">
            <w:pPr>
              <w:pStyle w:val="TableText"/>
              <w:rPr>
                <w:rFonts w:cs="Arial"/>
              </w:rPr>
            </w:pPr>
            <w:r w:rsidRPr="00F24972">
              <w:rPr>
                <w:rFonts w:cs="Arial"/>
              </w:rPr>
              <w:t>Update Reagent Inventory</w:t>
            </w:r>
          </w:p>
        </w:tc>
        <w:tc>
          <w:tcPr>
            <w:tcW w:w="1165" w:type="dxa"/>
            <w:tcBorders>
              <w:bottom w:val="single" w:sz="4" w:space="0" w:color="auto"/>
            </w:tcBorders>
          </w:tcPr>
          <w:p w14:paraId="68D34107" w14:textId="77777777" w:rsidR="000305DD" w:rsidRPr="00F24972" w:rsidRDefault="000305DD" w:rsidP="000305DD">
            <w:pPr>
              <w:pStyle w:val="TableText"/>
              <w:rPr>
                <w:rFonts w:cs="Arial"/>
              </w:rPr>
            </w:pPr>
            <w:r>
              <w:rPr>
                <w:rFonts w:cs="Arial"/>
                <w:snapToGrid w:val="0"/>
              </w:rPr>
              <w:t>Reagents, Update</w:t>
            </w:r>
          </w:p>
        </w:tc>
        <w:tc>
          <w:tcPr>
            <w:tcW w:w="1080" w:type="dxa"/>
            <w:tcBorders>
              <w:bottom w:val="single" w:sz="4" w:space="0" w:color="auto"/>
            </w:tcBorders>
          </w:tcPr>
          <w:p w14:paraId="0B729DAF" w14:textId="77777777" w:rsidR="000305DD" w:rsidRPr="00F24972" w:rsidRDefault="000305DD" w:rsidP="000305DD">
            <w:pPr>
              <w:pStyle w:val="TableText"/>
              <w:rPr>
                <w:rFonts w:cs="Arial"/>
              </w:rPr>
            </w:pPr>
            <w:r w:rsidRPr="00F24972">
              <w:rPr>
                <w:rFonts w:cs="Arial"/>
              </w:rPr>
              <w:t>Positive</w:t>
            </w:r>
          </w:p>
        </w:tc>
        <w:tc>
          <w:tcPr>
            <w:tcW w:w="900" w:type="dxa"/>
            <w:tcBorders>
              <w:bottom w:val="single" w:sz="4" w:space="0" w:color="auto"/>
            </w:tcBorders>
          </w:tcPr>
          <w:p w14:paraId="47180AE1" w14:textId="77777777" w:rsidR="000305DD" w:rsidRPr="00F24972" w:rsidRDefault="000305DD" w:rsidP="000305DD">
            <w:pPr>
              <w:pStyle w:val="TableText"/>
              <w:jc w:val="center"/>
              <w:rPr>
                <w:rFonts w:cs="Arial"/>
              </w:rPr>
            </w:pPr>
            <w:r w:rsidRPr="00F24972">
              <w:rPr>
                <w:rFonts w:cs="Arial"/>
              </w:rPr>
              <w:t>M</w:t>
            </w:r>
          </w:p>
        </w:tc>
        <w:tc>
          <w:tcPr>
            <w:tcW w:w="4123" w:type="dxa"/>
            <w:tcBorders>
              <w:bottom w:val="single" w:sz="4" w:space="0" w:color="auto"/>
            </w:tcBorders>
          </w:tcPr>
          <w:p w14:paraId="00663E72" w14:textId="77777777" w:rsidR="000305DD" w:rsidRPr="00F24972" w:rsidRDefault="000305DD" w:rsidP="000305DD">
            <w:pPr>
              <w:pStyle w:val="TableText"/>
              <w:rPr>
                <w:rFonts w:cs="Arial"/>
              </w:rPr>
            </w:pPr>
            <w:r w:rsidRPr="00F24972">
              <w:rPr>
                <w:rFonts w:cs="Arial"/>
              </w:rPr>
              <w:t>Accrue workload when a lot number of any type of reagent is updated in the system.</w:t>
            </w:r>
            <w:r>
              <w:rPr>
                <w:rFonts w:cs="Arial"/>
              </w:rPr>
              <w:t xml:space="preserve"> </w:t>
            </w:r>
            <w:r w:rsidRPr="00F24972">
              <w:rPr>
                <w:rFonts w:cs="Arial"/>
              </w:rPr>
              <w:t>When multiple lot numbers are processed in a batch, each lot number’s workload is counted.</w:t>
            </w:r>
          </w:p>
        </w:tc>
      </w:tr>
      <w:tr w:rsidR="000305DD" w:rsidRPr="00F24972" w14:paraId="6D81359D" w14:textId="77777777" w:rsidTr="000037E8">
        <w:trPr>
          <w:cantSplit/>
        </w:trPr>
        <w:tc>
          <w:tcPr>
            <w:tcW w:w="1733" w:type="dxa"/>
          </w:tcPr>
          <w:p w14:paraId="6F754A39" w14:textId="77777777" w:rsidR="000305DD" w:rsidRPr="000037E8" w:rsidRDefault="000305DD" w:rsidP="000305DD">
            <w:pPr>
              <w:pStyle w:val="TableText"/>
              <w:rPr>
                <w:rFonts w:cs="Arial"/>
                <w:szCs w:val="18"/>
              </w:rPr>
            </w:pPr>
            <w:r w:rsidRPr="000037E8">
              <w:rPr>
                <w:rFonts w:cs="Arial"/>
                <w:szCs w:val="18"/>
              </w:rPr>
              <w:t>Update Supply Inventory</w:t>
            </w:r>
          </w:p>
        </w:tc>
        <w:tc>
          <w:tcPr>
            <w:tcW w:w="1165" w:type="dxa"/>
          </w:tcPr>
          <w:p w14:paraId="01AD5948" w14:textId="77777777" w:rsidR="000305DD" w:rsidRPr="000037E8" w:rsidRDefault="000305DD" w:rsidP="000305DD">
            <w:pPr>
              <w:pStyle w:val="TableText"/>
              <w:rPr>
                <w:rFonts w:cs="Arial"/>
                <w:snapToGrid w:val="0"/>
                <w:szCs w:val="18"/>
              </w:rPr>
            </w:pPr>
            <w:r w:rsidRPr="000037E8">
              <w:rPr>
                <w:rFonts w:cs="Arial"/>
                <w:snapToGrid w:val="0"/>
                <w:szCs w:val="18"/>
              </w:rPr>
              <w:t>Supplies, Update</w:t>
            </w:r>
          </w:p>
        </w:tc>
        <w:tc>
          <w:tcPr>
            <w:tcW w:w="1080" w:type="dxa"/>
          </w:tcPr>
          <w:p w14:paraId="7246DA46" w14:textId="77777777" w:rsidR="000305DD" w:rsidRPr="000037E8" w:rsidRDefault="000305DD" w:rsidP="000305DD">
            <w:pPr>
              <w:pStyle w:val="TableText"/>
              <w:rPr>
                <w:rFonts w:cs="Arial"/>
                <w:szCs w:val="18"/>
              </w:rPr>
            </w:pPr>
            <w:r w:rsidRPr="000037E8">
              <w:rPr>
                <w:rFonts w:cs="Arial"/>
                <w:szCs w:val="18"/>
              </w:rPr>
              <w:t>Positive</w:t>
            </w:r>
          </w:p>
        </w:tc>
        <w:tc>
          <w:tcPr>
            <w:tcW w:w="900" w:type="dxa"/>
          </w:tcPr>
          <w:p w14:paraId="23309556" w14:textId="77777777" w:rsidR="000305DD" w:rsidRPr="000037E8" w:rsidRDefault="000305DD" w:rsidP="000305DD">
            <w:pPr>
              <w:pStyle w:val="TableText"/>
              <w:jc w:val="center"/>
              <w:rPr>
                <w:rFonts w:cs="Arial"/>
                <w:szCs w:val="18"/>
              </w:rPr>
            </w:pPr>
            <w:r w:rsidRPr="000037E8">
              <w:rPr>
                <w:rFonts w:cs="Arial"/>
                <w:szCs w:val="18"/>
              </w:rPr>
              <w:t>M</w:t>
            </w:r>
          </w:p>
        </w:tc>
        <w:tc>
          <w:tcPr>
            <w:tcW w:w="4123" w:type="dxa"/>
          </w:tcPr>
          <w:p w14:paraId="19DDCFFF" w14:textId="77777777" w:rsidR="000305DD" w:rsidRPr="000037E8" w:rsidRDefault="000305DD" w:rsidP="000305DD">
            <w:pPr>
              <w:pStyle w:val="TableText"/>
              <w:rPr>
                <w:rFonts w:cs="Arial"/>
                <w:szCs w:val="18"/>
              </w:rPr>
            </w:pPr>
            <w:r w:rsidRPr="000037E8">
              <w:rPr>
                <w:rFonts w:cs="Arial"/>
                <w:szCs w:val="18"/>
              </w:rPr>
              <w:t>Accrue workload when a lot number of any type of supply is updated in the system. When multiple lot numbers are processed in a batch, each lot number’s workload is counted.</w:t>
            </w:r>
          </w:p>
        </w:tc>
      </w:tr>
      <w:tr w:rsidR="000037E8" w:rsidRPr="00F24972" w14:paraId="3F49B9F4" w14:textId="77777777" w:rsidTr="000037E8">
        <w:trPr>
          <w:cantSplit/>
        </w:trPr>
        <w:tc>
          <w:tcPr>
            <w:tcW w:w="1733" w:type="dxa"/>
            <w:vMerge w:val="restart"/>
          </w:tcPr>
          <w:p w14:paraId="10F2A8EC" w14:textId="77777777" w:rsidR="000037E8" w:rsidRPr="000037E8" w:rsidRDefault="000037E8" w:rsidP="00A42CB6">
            <w:pPr>
              <w:pStyle w:val="TableText"/>
              <w:rPr>
                <w:rFonts w:cs="Arial"/>
                <w:szCs w:val="18"/>
              </w:rPr>
            </w:pPr>
            <w:r w:rsidRPr="000037E8">
              <w:rPr>
                <w:rFonts w:cs="Arial"/>
                <w:szCs w:val="18"/>
              </w:rPr>
              <w:t>Patient ABO Automated</w:t>
            </w:r>
          </w:p>
        </w:tc>
        <w:tc>
          <w:tcPr>
            <w:tcW w:w="1165" w:type="dxa"/>
          </w:tcPr>
          <w:p w14:paraId="484713F7" w14:textId="77777777" w:rsidR="000037E8" w:rsidRPr="000037E8" w:rsidRDefault="001676C5" w:rsidP="00A42CB6">
            <w:pPr>
              <w:pStyle w:val="TableText"/>
              <w:rPr>
                <w:rFonts w:cs="Arial"/>
                <w:snapToGrid w:val="0"/>
                <w:szCs w:val="18"/>
              </w:rPr>
            </w:pPr>
            <w:r>
              <w:rPr>
                <w:rFonts w:cs="Arial"/>
                <w:snapToGrid w:val="0"/>
                <w:szCs w:val="18"/>
              </w:rPr>
              <w:t>Automated Interface</w:t>
            </w:r>
          </w:p>
        </w:tc>
        <w:tc>
          <w:tcPr>
            <w:tcW w:w="1080" w:type="dxa"/>
          </w:tcPr>
          <w:p w14:paraId="69D5C757" w14:textId="77777777" w:rsidR="000037E8" w:rsidRPr="000037E8" w:rsidRDefault="000037E8" w:rsidP="00A42CB6">
            <w:pPr>
              <w:pStyle w:val="TableText"/>
              <w:rPr>
                <w:rFonts w:cs="Arial"/>
                <w:szCs w:val="18"/>
              </w:rPr>
            </w:pPr>
            <w:r w:rsidRPr="000037E8">
              <w:rPr>
                <w:rFonts w:cs="Arial"/>
                <w:szCs w:val="18"/>
              </w:rPr>
              <w:t>Positive</w:t>
            </w:r>
          </w:p>
        </w:tc>
        <w:tc>
          <w:tcPr>
            <w:tcW w:w="900" w:type="dxa"/>
          </w:tcPr>
          <w:p w14:paraId="494D41ED" w14:textId="77777777" w:rsidR="000037E8" w:rsidRPr="000037E8" w:rsidRDefault="000037E8" w:rsidP="00A42CB6">
            <w:pPr>
              <w:pStyle w:val="TableText"/>
              <w:jc w:val="center"/>
              <w:rPr>
                <w:rFonts w:cs="Arial"/>
                <w:szCs w:val="18"/>
              </w:rPr>
            </w:pPr>
            <w:r w:rsidRPr="000037E8">
              <w:rPr>
                <w:rFonts w:cs="Arial"/>
                <w:szCs w:val="18"/>
              </w:rPr>
              <w:t>P</w:t>
            </w:r>
          </w:p>
        </w:tc>
        <w:tc>
          <w:tcPr>
            <w:tcW w:w="4123" w:type="dxa"/>
          </w:tcPr>
          <w:p w14:paraId="33E6FB76" w14:textId="77777777" w:rsidR="000037E8" w:rsidRPr="000037E8" w:rsidRDefault="000037E8" w:rsidP="00A42CB6">
            <w:pPr>
              <w:pStyle w:val="TableText"/>
              <w:rPr>
                <w:rFonts w:cs="Arial"/>
                <w:szCs w:val="18"/>
              </w:rPr>
            </w:pPr>
            <w:r w:rsidRPr="000037E8">
              <w:rPr>
                <w:rFonts w:cs="Arial"/>
                <w:szCs w:val="18"/>
              </w:rPr>
              <w:t>Accrue workload when an ABO/Rh test, primary or reflex, is reviewed, and saved.</w:t>
            </w:r>
          </w:p>
        </w:tc>
      </w:tr>
      <w:tr w:rsidR="000037E8" w:rsidRPr="00F24972" w14:paraId="35504135" w14:textId="77777777" w:rsidTr="000037E8">
        <w:trPr>
          <w:cantSplit/>
        </w:trPr>
        <w:tc>
          <w:tcPr>
            <w:tcW w:w="1733" w:type="dxa"/>
            <w:vMerge/>
          </w:tcPr>
          <w:p w14:paraId="0A6FA88D" w14:textId="77777777" w:rsidR="000037E8" w:rsidRPr="000037E8" w:rsidRDefault="000037E8" w:rsidP="00A42CB6">
            <w:pPr>
              <w:pStyle w:val="TableText"/>
              <w:rPr>
                <w:rFonts w:cs="Arial"/>
                <w:szCs w:val="18"/>
              </w:rPr>
            </w:pPr>
          </w:p>
        </w:tc>
        <w:tc>
          <w:tcPr>
            <w:tcW w:w="1165" w:type="dxa"/>
          </w:tcPr>
          <w:p w14:paraId="78A1D3B4" w14:textId="77777777" w:rsidR="000037E8" w:rsidRPr="000037E8" w:rsidRDefault="001676C5" w:rsidP="00A42CB6">
            <w:pPr>
              <w:pStyle w:val="TableText"/>
              <w:rPr>
                <w:rFonts w:cs="Arial"/>
                <w:snapToGrid w:val="0"/>
                <w:szCs w:val="18"/>
              </w:rPr>
            </w:pPr>
            <w:r>
              <w:rPr>
                <w:rFonts w:cs="Arial"/>
                <w:snapToGrid w:val="0"/>
                <w:szCs w:val="18"/>
              </w:rPr>
              <w:t>Invalidate patient testing, ABO/Rh</w:t>
            </w:r>
          </w:p>
        </w:tc>
        <w:tc>
          <w:tcPr>
            <w:tcW w:w="1080" w:type="dxa"/>
          </w:tcPr>
          <w:p w14:paraId="7343A037" w14:textId="77777777" w:rsidR="000037E8" w:rsidRPr="000037E8" w:rsidRDefault="000037E8" w:rsidP="00A42CB6">
            <w:pPr>
              <w:pStyle w:val="TableText"/>
              <w:rPr>
                <w:rFonts w:cs="Arial"/>
                <w:szCs w:val="18"/>
              </w:rPr>
            </w:pPr>
            <w:r w:rsidRPr="000037E8">
              <w:rPr>
                <w:rFonts w:cs="Arial"/>
                <w:b/>
                <w:szCs w:val="18"/>
              </w:rPr>
              <w:t>Negative</w:t>
            </w:r>
          </w:p>
        </w:tc>
        <w:tc>
          <w:tcPr>
            <w:tcW w:w="900" w:type="dxa"/>
          </w:tcPr>
          <w:p w14:paraId="046659B1" w14:textId="77777777" w:rsidR="000037E8" w:rsidRPr="000037E8" w:rsidRDefault="000037E8" w:rsidP="00A42CB6">
            <w:pPr>
              <w:pStyle w:val="TableText"/>
              <w:jc w:val="center"/>
              <w:rPr>
                <w:rFonts w:cs="Arial"/>
                <w:szCs w:val="18"/>
              </w:rPr>
            </w:pPr>
            <w:r w:rsidRPr="000037E8">
              <w:rPr>
                <w:rFonts w:cs="Arial"/>
                <w:szCs w:val="18"/>
              </w:rPr>
              <w:t>P</w:t>
            </w:r>
          </w:p>
        </w:tc>
        <w:tc>
          <w:tcPr>
            <w:tcW w:w="4123" w:type="dxa"/>
          </w:tcPr>
          <w:p w14:paraId="658B8A94" w14:textId="77777777" w:rsidR="000037E8" w:rsidRPr="000037E8" w:rsidRDefault="000037E8" w:rsidP="00A42CB6">
            <w:pPr>
              <w:pStyle w:val="TableText"/>
              <w:rPr>
                <w:rFonts w:cs="Arial"/>
                <w:szCs w:val="18"/>
              </w:rPr>
            </w:pPr>
            <w:r w:rsidRPr="000037E8">
              <w:rPr>
                <w:rFonts w:cs="Arial"/>
                <w:szCs w:val="18"/>
              </w:rPr>
              <w:t>Accrue workload when a reviewed ABO/Rh test is invalidated.</w:t>
            </w:r>
          </w:p>
        </w:tc>
      </w:tr>
      <w:tr w:rsidR="001676C5" w:rsidRPr="00F24972" w14:paraId="732432E5" w14:textId="77777777" w:rsidTr="000037E8">
        <w:trPr>
          <w:cantSplit/>
        </w:trPr>
        <w:tc>
          <w:tcPr>
            <w:tcW w:w="1733" w:type="dxa"/>
            <w:vMerge w:val="restart"/>
          </w:tcPr>
          <w:p w14:paraId="62E2683E" w14:textId="77777777" w:rsidR="001676C5" w:rsidRPr="000037E8" w:rsidRDefault="001676C5" w:rsidP="00A42CB6">
            <w:pPr>
              <w:pStyle w:val="TableText"/>
              <w:rPr>
                <w:rFonts w:cs="Arial"/>
                <w:szCs w:val="18"/>
              </w:rPr>
            </w:pPr>
            <w:r w:rsidRPr="000037E8">
              <w:rPr>
                <w:rFonts w:cs="Arial"/>
                <w:szCs w:val="18"/>
              </w:rPr>
              <w:t>Antibody Screen/Indirect Coombs Automated</w:t>
            </w:r>
          </w:p>
        </w:tc>
        <w:tc>
          <w:tcPr>
            <w:tcW w:w="1165" w:type="dxa"/>
          </w:tcPr>
          <w:p w14:paraId="22C5F222" w14:textId="77777777" w:rsidR="001676C5" w:rsidRPr="000037E8" w:rsidRDefault="001676C5" w:rsidP="0038583A">
            <w:pPr>
              <w:pStyle w:val="TableText"/>
              <w:rPr>
                <w:rFonts w:cs="Arial"/>
                <w:snapToGrid w:val="0"/>
                <w:szCs w:val="18"/>
              </w:rPr>
            </w:pPr>
            <w:r>
              <w:rPr>
                <w:rFonts w:cs="Arial"/>
                <w:snapToGrid w:val="0"/>
                <w:szCs w:val="18"/>
              </w:rPr>
              <w:t>Automated Interface</w:t>
            </w:r>
          </w:p>
        </w:tc>
        <w:tc>
          <w:tcPr>
            <w:tcW w:w="1080" w:type="dxa"/>
          </w:tcPr>
          <w:p w14:paraId="1EE6D380" w14:textId="77777777" w:rsidR="001676C5" w:rsidRPr="000037E8" w:rsidRDefault="001676C5" w:rsidP="00A42CB6">
            <w:pPr>
              <w:pStyle w:val="TableText"/>
              <w:rPr>
                <w:rFonts w:cs="Arial"/>
                <w:b/>
                <w:szCs w:val="18"/>
              </w:rPr>
            </w:pPr>
            <w:r w:rsidRPr="000037E8">
              <w:rPr>
                <w:rFonts w:cs="Arial"/>
                <w:szCs w:val="18"/>
              </w:rPr>
              <w:t>Positive</w:t>
            </w:r>
          </w:p>
        </w:tc>
        <w:tc>
          <w:tcPr>
            <w:tcW w:w="900" w:type="dxa"/>
          </w:tcPr>
          <w:p w14:paraId="184CA47A" w14:textId="77777777" w:rsidR="001676C5" w:rsidRPr="000037E8" w:rsidRDefault="001676C5" w:rsidP="00A42CB6">
            <w:pPr>
              <w:pStyle w:val="TableText"/>
              <w:jc w:val="center"/>
              <w:rPr>
                <w:rFonts w:cs="Arial"/>
                <w:szCs w:val="18"/>
              </w:rPr>
            </w:pPr>
            <w:r w:rsidRPr="000037E8">
              <w:rPr>
                <w:rFonts w:cs="Arial"/>
                <w:szCs w:val="18"/>
              </w:rPr>
              <w:t>P</w:t>
            </w:r>
          </w:p>
        </w:tc>
        <w:tc>
          <w:tcPr>
            <w:tcW w:w="4123" w:type="dxa"/>
          </w:tcPr>
          <w:p w14:paraId="4F4EA107" w14:textId="77777777" w:rsidR="001676C5" w:rsidRPr="000037E8" w:rsidRDefault="001676C5" w:rsidP="00A42CB6">
            <w:pPr>
              <w:pStyle w:val="TableText"/>
              <w:rPr>
                <w:rFonts w:cs="Arial"/>
                <w:szCs w:val="18"/>
              </w:rPr>
            </w:pPr>
            <w:r w:rsidRPr="000037E8">
              <w:rPr>
                <w:rFonts w:cs="Arial"/>
                <w:szCs w:val="18"/>
              </w:rPr>
              <w:t>Accrue workload when an ordered ABS test, primary or reflex, is reviewed, and saved.</w:t>
            </w:r>
          </w:p>
          <w:p w14:paraId="1684790A" w14:textId="77777777" w:rsidR="001676C5" w:rsidRPr="000037E8" w:rsidRDefault="001676C5" w:rsidP="00A42CB6">
            <w:pPr>
              <w:pStyle w:val="TableText"/>
              <w:rPr>
                <w:rFonts w:cs="Arial"/>
                <w:szCs w:val="18"/>
              </w:rPr>
            </w:pPr>
            <w:r w:rsidRPr="000037E8">
              <w:rPr>
                <w:rFonts w:cs="Arial"/>
                <w:szCs w:val="18"/>
              </w:rPr>
              <w:t>Apply to primary or reflex tests.</w:t>
            </w:r>
          </w:p>
        </w:tc>
      </w:tr>
      <w:tr w:rsidR="001676C5" w:rsidRPr="00F24972" w14:paraId="16F84BE5" w14:textId="77777777" w:rsidTr="000037E8">
        <w:trPr>
          <w:cantSplit/>
        </w:trPr>
        <w:tc>
          <w:tcPr>
            <w:tcW w:w="1733" w:type="dxa"/>
            <w:vMerge/>
          </w:tcPr>
          <w:p w14:paraId="4EC17938" w14:textId="77777777" w:rsidR="001676C5" w:rsidRPr="000037E8" w:rsidRDefault="001676C5" w:rsidP="00A42CB6">
            <w:pPr>
              <w:pStyle w:val="TableText"/>
              <w:rPr>
                <w:rFonts w:cs="Arial"/>
                <w:szCs w:val="18"/>
              </w:rPr>
            </w:pPr>
          </w:p>
        </w:tc>
        <w:tc>
          <w:tcPr>
            <w:tcW w:w="1165" w:type="dxa"/>
          </w:tcPr>
          <w:p w14:paraId="6F544743" w14:textId="77777777" w:rsidR="001676C5" w:rsidRPr="000037E8" w:rsidRDefault="001676C5" w:rsidP="0038583A">
            <w:pPr>
              <w:pStyle w:val="TableText"/>
              <w:rPr>
                <w:rFonts w:cs="Arial"/>
                <w:snapToGrid w:val="0"/>
                <w:szCs w:val="18"/>
              </w:rPr>
            </w:pPr>
            <w:r>
              <w:rPr>
                <w:rFonts w:cs="Arial"/>
                <w:snapToGrid w:val="0"/>
                <w:szCs w:val="18"/>
              </w:rPr>
              <w:t>Invalidate patient testing, Antibody Screen</w:t>
            </w:r>
          </w:p>
        </w:tc>
        <w:tc>
          <w:tcPr>
            <w:tcW w:w="1080" w:type="dxa"/>
          </w:tcPr>
          <w:p w14:paraId="0F3EC117" w14:textId="77777777" w:rsidR="001676C5" w:rsidRPr="000037E8" w:rsidRDefault="001676C5" w:rsidP="00A42CB6">
            <w:pPr>
              <w:pStyle w:val="TableText"/>
              <w:rPr>
                <w:rFonts w:cs="Arial"/>
                <w:szCs w:val="18"/>
              </w:rPr>
            </w:pPr>
            <w:r w:rsidRPr="000037E8">
              <w:rPr>
                <w:rFonts w:cs="Arial"/>
                <w:b/>
                <w:szCs w:val="18"/>
              </w:rPr>
              <w:t>Negative</w:t>
            </w:r>
          </w:p>
        </w:tc>
        <w:tc>
          <w:tcPr>
            <w:tcW w:w="900" w:type="dxa"/>
          </w:tcPr>
          <w:p w14:paraId="75824A9F" w14:textId="77777777" w:rsidR="001676C5" w:rsidRPr="000037E8" w:rsidRDefault="001676C5" w:rsidP="00A42CB6">
            <w:pPr>
              <w:pStyle w:val="TableText"/>
              <w:jc w:val="center"/>
              <w:rPr>
                <w:rFonts w:cs="Arial"/>
                <w:szCs w:val="18"/>
              </w:rPr>
            </w:pPr>
            <w:r w:rsidRPr="000037E8">
              <w:rPr>
                <w:rFonts w:cs="Arial"/>
                <w:szCs w:val="18"/>
              </w:rPr>
              <w:t>P</w:t>
            </w:r>
          </w:p>
        </w:tc>
        <w:tc>
          <w:tcPr>
            <w:tcW w:w="4123" w:type="dxa"/>
          </w:tcPr>
          <w:p w14:paraId="2275A99A" w14:textId="77777777" w:rsidR="001676C5" w:rsidRPr="000037E8" w:rsidRDefault="001676C5" w:rsidP="00A42CB6">
            <w:pPr>
              <w:pStyle w:val="TableText"/>
              <w:rPr>
                <w:rFonts w:cs="Arial"/>
                <w:szCs w:val="18"/>
              </w:rPr>
            </w:pPr>
            <w:r w:rsidRPr="000037E8">
              <w:rPr>
                <w:rFonts w:cs="Arial"/>
                <w:szCs w:val="18"/>
              </w:rPr>
              <w:t>Accrue workload when a completed ABS test is invalidated.</w:t>
            </w:r>
          </w:p>
        </w:tc>
      </w:tr>
      <w:tr w:rsidR="001676C5" w:rsidRPr="00F24972" w14:paraId="204E5FD1" w14:textId="77777777" w:rsidTr="000037E8">
        <w:trPr>
          <w:cantSplit/>
        </w:trPr>
        <w:tc>
          <w:tcPr>
            <w:tcW w:w="1733" w:type="dxa"/>
            <w:vMerge w:val="restart"/>
          </w:tcPr>
          <w:p w14:paraId="4E844697" w14:textId="77777777" w:rsidR="001676C5" w:rsidRPr="000037E8" w:rsidRDefault="001676C5" w:rsidP="00A42CB6">
            <w:pPr>
              <w:pStyle w:val="TableText"/>
              <w:rPr>
                <w:rFonts w:cs="Arial"/>
                <w:szCs w:val="18"/>
              </w:rPr>
            </w:pPr>
            <w:r w:rsidRPr="000037E8">
              <w:rPr>
                <w:rFonts w:cs="Arial"/>
                <w:szCs w:val="18"/>
              </w:rPr>
              <w:t>Serologic Crossmatch, Major, Automated </w:t>
            </w:r>
          </w:p>
        </w:tc>
        <w:tc>
          <w:tcPr>
            <w:tcW w:w="1165" w:type="dxa"/>
          </w:tcPr>
          <w:p w14:paraId="4394E3C0" w14:textId="77777777" w:rsidR="001676C5" w:rsidRPr="000037E8" w:rsidRDefault="001676C5" w:rsidP="0038583A">
            <w:pPr>
              <w:pStyle w:val="TableText"/>
              <w:rPr>
                <w:rFonts w:cs="Arial"/>
                <w:snapToGrid w:val="0"/>
                <w:szCs w:val="18"/>
              </w:rPr>
            </w:pPr>
            <w:r>
              <w:rPr>
                <w:rFonts w:cs="Arial"/>
                <w:snapToGrid w:val="0"/>
                <w:szCs w:val="18"/>
              </w:rPr>
              <w:t>Automated Interface</w:t>
            </w:r>
          </w:p>
        </w:tc>
        <w:tc>
          <w:tcPr>
            <w:tcW w:w="1080" w:type="dxa"/>
          </w:tcPr>
          <w:p w14:paraId="41F20EDF" w14:textId="77777777" w:rsidR="001676C5" w:rsidRPr="000037E8" w:rsidRDefault="001676C5" w:rsidP="00A42CB6">
            <w:pPr>
              <w:pStyle w:val="TableText"/>
              <w:rPr>
                <w:rFonts w:cs="Arial"/>
                <w:b/>
                <w:szCs w:val="18"/>
              </w:rPr>
            </w:pPr>
            <w:r w:rsidRPr="000037E8">
              <w:rPr>
                <w:rFonts w:cs="Arial"/>
                <w:szCs w:val="18"/>
              </w:rPr>
              <w:t>Positive</w:t>
            </w:r>
          </w:p>
        </w:tc>
        <w:tc>
          <w:tcPr>
            <w:tcW w:w="900" w:type="dxa"/>
          </w:tcPr>
          <w:p w14:paraId="7E315DD8" w14:textId="77777777" w:rsidR="001676C5" w:rsidRPr="000037E8" w:rsidRDefault="001676C5" w:rsidP="00A42CB6">
            <w:pPr>
              <w:pStyle w:val="TableText"/>
              <w:jc w:val="center"/>
              <w:rPr>
                <w:rFonts w:cs="Arial"/>
                <w:szCs w:val="18"/>
              </w:rPr>
            </w:pPr>
            <w:r w:rsidRPr="000037E8">
              <w:rPr>
                <w:rFonts w:cs="Arial"/>
                <w:szCs w:val="18"/>
              </w:rPr>
              <w:t>P</w:t>
            </w:r>
          </w:p>
        </w:tc>
        <w:tc>
          <w:tcPr>
            <w:tcW w:w="4123" w:type="dxa"/>
          </w:tcPr>
          <w:p w14:paraId="46EA29B2" w14:textId="17BD08D4" w:rsidR="001676C5" w:rsidRPr="000037E8" w:rsidRDefault="001676C5" w:rsidP="00A42CB6">
            <w:pPr>
              <w:pStyle w:val="TableText"/>
              <w:rPr>
                <w:rFonts w:cs="Arial"/>
                <w:szCs w:val="18"/>
              </w:rPr>
            </w:pPr>
            <w:r w:rsidRPr="000037E8">
              <w:rPr>
                <w:rFonts w:cs="Arial"/>
                <w:szCs w:val="18"/>
              </w:rPr>
              <w:t xml:space="preserve">Accrue workload when an individual unit (row) crossmatch, selected to include all phases or only AHG phase, primary or reflex, is reviewed, and saved. When </w:t>
            </w:r>
            <w:r w:rsidR="00AE3B37" w:rsidRPr="000037E8">
              <w:rPr>
                <w:rFonts w:cs="Arial"/>
                <w:szCs w:val="18"/>
              </w:rPr>
              <w:t>multiple units</w:t>
            </w:r>
            <w:r w:rsidRPr="000037E8">
              <w:rPr>
                <w:rFonts w:cs="Arial"/>
                <w:szCs w:val="18"/>
              </w:rPr>
              <w:t xml:space="preserve"> are selected, each unit (row) accrues workload.</w:t>
            </w:r>
          </w:p>
        </w:tc>
      </w:tr>
      <w:tr w:rsidR="001676C5" w:rsidRPr="00F24972" w14:paraId="33808FF4" w14:textId="77777777" w:rsidTr="000037E8">
        <w:trPr>
          <w:cantSplit/>
        </w:trPr>
        <w:tc>
          <w:tcPr>
            <w:tcW w:w="1733" w:type="dxa"/>
            <w:vMerge/>
          </w:tcPr>
          <w:p w14:paraId="79BE99B5" w14:textId="77777777" w:rsidR="001676C5" w:rsidRPr="000037E8" w:rsidRDefault="001676C5" w:rsidP="00A42CB6">
            <w:pPr>
              <w:pStyle w:val="TableText"/>
              <w:rPr>
                <w:rFonts w:cs="Arial"/>
                <w:szCs w:val="18"/>
              </w:rPr>
            </w:pPr>
          </w:p>
        </w:tc>
        <w:tc>
          <w:tcPr>
            <w:tcW w:w="1165" w:type="dxa"/>
          </w:tcPr>
          <w:p w14:paraId="201BAB38" w14:textId="77777777" w:rsidR="001676C5" w:rsidRPr="000037E8" w:rsidRDefault="001676C5" w:rsidP="0038583A">
            <w:pPr>
              <w:pStyle w:val="TableText"/>
              <w:rPr>
                <w:rFonts w:cs="Arial"/>
                <w:snapToGrid w:val="0"/>
                <w:szCs w:val="18"/>
              </w:rPr>
            </w:pPr>
            <w:r>
              <w:rPr>
                <w:rFonts w:cs="Arial"/>
                <w:snapToGrid w:val="0"/>
                <w:szCs w:val="18"/>
              </w:rPr>
              <w:t>Invalidate patient testing, crossmatch</w:t>
            </w:r>
          </w:p>
        </w:tc>
        <w:tc>
          <w:tcPr>
            <w:tcW w:w="1080" w:type="dxa"/>
          </w:tcPr>
          <w:p w14:paraId="60843D90" w14:textId="77777777" w:rsidR="001676C5" w:rsidRPr="000037E8" w:rsidRDefault="001676C5" w:rsidP="00A42CB6">
            <w:pPr>
              <w:pStyle w:val="TableText"/>
              <w:rPr>
                <w:rFonts w:cs="Arial"/>
                <w:szCs w:val="18"/>
              </w:rPr>
            </w:pPr>
            <w:r w:rsidRPr="000037E8">
              <w:rPr>
                <w:rFonts w:cs="Arial"/>
                <w:b/>
                <w:szCs w:val="18"/>
              </w:rPr>
              <w:t>Negative</w:t>
            </w:r>
          </w:p>
        </w:tc>
        <w:tc>
          <w:tcPr>
            <w:tcW w:w="900" w:type="dxa"/>
          </w:tcPr>
          <w:p w14:paraId="4C3A9C52" w14:textId="77777777" w:rsidR="001676C5" w:rsidRPr="000037E8" w:rsidRDefault="001676C5" w:rsidP="00A42CB6">
            <w:pPr>
              <w:pStyle w:val="TableText"/>
              <w:jc w:val="center"/>
              <w:rPr>
                <w:rFonts w:cs="Arial"/>
                <w:szCs w:val="18"/>
              </w:rPr>
            </w:pPr>
            <w:r w:rsidRPr="000037E8">
              <w:rPr>
                <w:rFonts w:cs="Arial"/>
                <w:szCs w:val="18"/>
              </w:rPr>
              <w:t>P</w:t>
            </w:r>
          </w:p>
        </w:tc>
        <w:tc>
          <w:tcPr>
            <w:tcW w:w="4123" w:type="dxa"/>
          </w:tcPr>
          <w:p w14:paraId="7F8BDBEA" w14:textId="77777777" w:rsidR="001676C5" w:rsidRPr="000037E8" w:rsidRDefault="001676C5" w:rsidP="00A42CB6">
            <w:pPr>
              <w:pStyle w:val="TableText"/>
              <w:rPr>
                <w:rFonts w:cs="Arial"/>
                <w:szCs w:val="18"/>
              </w:rPr>
            </w:pPr>
            <w:r w:rsidRPr="000037E8">
              <w:rPr>
                <w:rFonts w:cs="Arial"/>
                <w:szCs w:val="18"/>
              </w:rPr>
              <w:t>Accrue workload when a reviewed crossmatch test is invalidated. The workload originally saved with the test, serological Coombs.</w:t>
            </w:r>
          </w:p>
        </w:tc>
      </w:tr>
      <w:tr w:rsidR="001676C5" w:rsidRPr="00F24972" w14:paraId="35D231D1" w14:textId="77777777" w:rsidTr="000037E8">
        <w:trPr>
          <w:cantSplit/>
        </w:trPr>
        <w:tc>
          <w:tcPr>
            <w:tcW w:w="1733" w:type="dxa"/>
            <w:vMerge w:val="restart"/>
          </w:tcPr>
          <w:p w14:paraId="661F4580" w14:textId="77777777" w:rsidR="001676C5" w:rsidRPr="000037E8" w:rsidRDefault="001676C5" w:rsidP="00A42CB6">
            <w:pPr>
              <w:pStyle w:val="TableText"/>
              <w:rPr>
                <w:rFonts w:cs="Arial"/>
                <w:szCs w:val="18"/>
              </w:rPr>
            </w:pPr>
            <w:r w:rsidRPr="000037E8">
              <w:rPr>
                <w:rFonts w:cs="Arial"/>
                <w:szCs w:val="18"/>
              </w:rPr>
              <w:t>Direct Antiglobulin Test Automated</w:t>
            </w:r>
          </w:p>
        </w:tc>
        <w:tc>
          <w:tcPr>
            <w:tcW w:w="1165" w:type="dxa"/>
          </w:tcPr>
          <w:p w14:paraId="58BA32BD" w14:textId="77777777" w:rsidR="001676C5" w:rsidRPr="000037E8" w:rsidRDefault="001676C5" w:rsidP="0038583A">
            <w:pPr>
              <w:pStyle w:val="TableText"/>
              <w:rPr>
                <w:rFonts w:cs="Arial"/>
                <w:snapToGrid w:val="0"/>
                <w:szCs w:val="18"/>
              </w:rPr>
            </w:pPr>
            <w:r>
              <w:rPr>
                <w:rFonts w:cs="Arial"/>
                <w:snapToGrid w:val="0"/>
                <w:szCs w:val="18"/>
              </w:rPr>
              <w:t>Automated Interface</w:t>
            </w:r>
          </w:p>
        </w:tc>
        <w:tc>
          <w:tcPr>
            <w:tcW w:w="1080" w:type="dxa"/>
          </w:tcPr>
          <w:p w14:paraId="7A39646F" w14:textId="77777777" w:rsidR="001676C5" w:rsidRPr="000037E8" w:rsidRDefault="001676C5" w:rsidP="00A42CB6">
            <w:pPr>
              <w:pStyle w:val="TableText"/>
              <w:rPr>
                <w:rFonts w:cs="Arial"/>
                <w:b/>
                <w:szCs w:val="18"/>
              </w:rPr>
            </w:pPr>
            <w:r w:rsidRPr="000037E8">
              <w:rPr>
                <w:rFonts w:cs="Arial"/>
                <w:szCs w:val="18"/>
              </w:rPr>
              <w:t>Positive</w:t>
            </w:r>
          </w:p>
        </w:tc>
        <w:tc>
          <w:tcPr>
            <w:tcW w:w="900" w:type="dxa"/>
          </w:tcPr>
          <w:p w14:paraId="06CEE61F" w14:textId="77777777" w:rsidR="001676C5" w:rsidRPr="000037E8" w:rsidRDefault="001676C5" w:rsidP="00A42CB6">
            <w:pPr>
              <w:pStyle w:val="TableText"/>
              <w:jc w:val="center"/>
              <w:rPr>
                <w:rFonts w:cs="Arial"/>
                <w:szCs w:val="18"/>
              </w:rPr>
            </w:pPr>
            <w:r w:rsidRPr="000037E8">
              <w:rPr>
                <w:rFonts w:cs="Arial"/>
                <w:szCs w:val="18"/>
              </w:rPr>
              <w:t>P</w:t>
            </w:r>
          </w:p>
        </w:tc>
        <w:tc>
          <w:tcPr>
            <w:tcW w:w="4123" w:type="dxa"/>
          </w:tcPr>
          <w:p w14:paraId="4A5EE709" w14:textId="77777777" w:rsidR="001676C5" w:rsidRPr="000037E8" w:rsidRDefault="001676C5" w:rsidP="00A42CB6">
            <w:pPr>
              <w:pStyle w:val="TableText"/>
              <w:rPr>
                <w:rFonts w:cs="Arial"/>
                <w:szCs w:val="18"/>
              </w:rPr>
            </w:pPr>
            <w:r w:rsidRPr="000037E8">
              <w:rPr>
                <w:rFonts w:cs="Arial"/>
                <w:szCs w:val="18"/>
              </w:rPr>
              <w:t>Accrue workload when a DAT, primary or reflex, is reviewed, and saved.</w:t>
            </w:r>
          </w:p>
        </w:tc>
      </w:tr>
      <w:tr w:rsidR="001676C5" w:rsidRPr="00F24972" w14:paraId="0CAC219B" w14:textId="77777777" w:rsidTr="000037E8">
        <w:trPr>
          <w:cantSplit/>
        </w:trPr>
        <w:tc>
          <w:tcPr>
            <w:tcW w:w="1733" w:type="dxa"/>
            <w:vMerge/>
            <w:tcBorders>
              <w:bottom w:val="single" w:sz="4" w:space="0" w:color="auto"/>
            </w:tcBorders>
          </w:tcPr>
          <w:p w14:paraId="5BCDE7D4" w14:textId="77777777" w:rsidR="001676C5" w:rsidRPr="000037E8" w:rsidRDefault="001676C5" w:rsidP="00A42CB6">
            <w:pPr>
              <w:pStyle w:val="TableText"/>
              <w:rPr>
                <w:rFonts w:cs="Arial"/>
                <w:szCs w:val="18"/>
              </w:rPr>
            </w:pPr>
          </w:p>
        </w:tc>
        <w:tc>
          <w:tcPr>
            <w:tcW w:w="1165" w:type="dxa"/>
          </w:tcPr>
          <w:p w14:paraId="0543A61B" w14:textId="77777777" w:rsidR="001676C5" w:rsidRPr="000037E8" w:rsidRDefault="001676C5" w:rsidP="0038583A">
            <w:pPr>
              <w:pStyle w:val="TableText"/>
              <w:rPr>
                <w:rFonts w:cs="Arial"/>
                <w:snapToGrid w:val="0"/>
                <w:szCs w:val="18"/>
              </w:rPr>
            </w:pPr>
            <w:r>
              <w:rPr>
                <w:rFonts w:cs="Arial"/>
                <w:snapToGrid w:val="0"/>
                <w:szCs w:val="18"/>
              </w:rPr>
              <w:t>Invalidate patient testing, Direct Antiglobulin test</w:t>
            </w:r>
          </w:p>
        </w:tc>
        <w:tc>
          <w:tcPr>
            <w:tcW w:w="1080" w:type="dxa"/>
          </w:tcPr>
          <w:p w14:paraId="0F48177A" w14:textId="77777777" w:rsidR="001676C5" w:rsidRPr="000037E8" w:rsidRDefault="001676C5" w:rsidP="00A42CB6">
            <w:pPr>
              <w:pStyle w:val="TableText"/>
              <w:rPr>
                <w:rFonts w:cs="Arial"/>
                <w:szCs w:val="18"/>
              </w:rPr>
            </w:pPr>
            <w:r w:rsidRPr="000037E8">
              <w:rPr>
                <w:rFonts w:cs="Arial"/>
                <w:b/>
                <w:szCs w:val="18"/>
              </w:rPr>
              <w:t>Negative</w:t>
            </w:r>
          </w:p>
        </w:tc>
        <w:tc>
          <w:tcPr>
            <w:tcW w:w="900" w:type="dxa"/>
          </w:tcPr>
          <w:p w14:paraId="5BB9699A" w14:textId="77777777" w:rsidR="001676C5" w:rsidRPr="000037E8" w:rsidRDefault="001676C5" w:rsidP="00A42CB6">
            <w:pPr>
              <w:pStyle w:val="TableText"/>
              <w:jc w:val="center"/>
              <w:rPr>
                <w:rFonts w:cs="Arial"/>
                <w:szCs w:val="18"/>
              </w:rPr>
            </w:pPr>
            <w:r w:rsidRPr="000037E8">
              <w:rPr>
                <w:rFonts w:cs="Arial"/>
                <w:szCs w:val="18"/>
              </w:rPr>
              <w:t>P</w:t>
            </w:r>
          </w:p>
        </w:tc>
        <w:tc>
          <w:tcPr>
            <w:tcW w:w="4123" w:type="dxa"/>
          </w:tcPr>
          <w:p w14:paraId="73152151" w14:textId="77777777" w:rsidR="001676C5" w:rsidRPr="000037E8" w:rsidRDefault="001676C5" w:rsidP="00A42CB6">
            <w:pPr>
              <w:pStyle w:val="TableText"/>
              <w:rPr>
                <w:rFonts w:cs="Arial"/>
                <w:szCs w:val="18"/>
              </w:rPr>
            </w:pPr>
            <w:r w:rsidRPr="000037E8">
              <w:rPr>
                <w:rFonts w:cs="Arial"/>
                <w:szCs w:val="18"/>
              </w:rPr>
              <w:t xml:space="preserve">Accrue workload when a reviewed DAT is invalidated. </w:t>
            </w:r>
          </w:p>
        </w:tc>
      </w:tr>
      <w:tr w:rsidR="001676C5" w:rsidRPr="00F24972" w14:paraId="311E33DE" w14:textId="77777777" w:rsidTr="000037E8">
        <w:trPr>
          <w:cantSplit/>
        </w:trPr>
        <w:tc>
          <w:tcPr>
            <w:tcW w:w="1733" w:type="dxa"/>
            <w:vMerge w:val="restart"/>
          </w:tcPr>
          <w:p w14:paraId="4291F07B" w14:textId="77777777" w:rsidR="001676C5" w:rsidRPr="000037E8" w:rsidRDefault="001676C5" w:rsidP="00A42CB6">
            <w:pPr>
              <w:pStyle w:val="TableText"/>
              <w:rPr>
                <w:rFonts w:cs="Arial"/>
                <w:szCs w:val="18"/>
              </w:rPr>
            </w:pPr>
            <w:r w:rsidRPr="000037E8">
              <w:rPr>
                <w:rFonts w:cs="Arial"/>
                <w:szCs w:val="18"/>
              </w:rPr>
              <w:t>Patient Antigen Typing Automated</w:t>
            </w:r>
          </w:p>
        </w:tc>
        <w:tc>
          <w:tcPr>
            <w:tcW w:w="1165" w:type="dxa"/>
          </w:tcPr>
          <w:p w14:paraId="73C368DC" w14:textId="77777777" w:rsidR="001676C5" w:rsidRPr="000037E8" w:rsidRDefault="001676C5" w:rsidP="0038583A">
            <w:pPr>
              <w:pStyle w:val="TableText"/>
              <w:rPr>
                <w:rFonts w:cs="Arial"/>
                <w:snapToGrid w:val="0"/>
                <w:szCs w:val="18"/>
              </w:rPr>
            </w:pPr>
            <w:r>
              <w:rPr>
                <w:rFonts w:cs="Arial"/>
                <w:snapToGrid w:val="0"/>
                <w:szCs w:val="18"/>
              </w:rPr>
              <w:t>Automated Interface</w:t>
            </w:r>
          </w:p>
        </w:tc>
        <w:tc>
          <w:tcPr>
            <w:tcW w:w="1080" w:type="dxa"/>
          </w:tcPr>
          <w:p w14:paraId="2A9AB962" w14:textId="77777777" w:rsidR="001676C5" w:rsidRPr="000037E8" w:rsidRDefault="001676C5" w:rsidP="00A42CB6">
            <w:pPr>
              <w:pStyle w:val="TableText"/>
              <w:rPr>
                <w:rFonts w:cs="Arial"/>
                <w:b/>
                <w:szCs w:val="18"/>
              </w:rPr>
            </w:pPr>
            <w:r w:rsidRPr="000037E8">
              <w:rPr>
                <w:rFonts w:cs="Arial"/>
                <w:szCs w:val="18"/>
              </w:rPr>
              <w:t>Positive</w:t>
            </w:r>
          </w:p>
        </w:tc>
        <w:tc>
          <w:tcPr>
            <w:tcW w:w="900" w:type="dxa"/>
          </w:tcPr>
          <w:p w14:paraId="0CC6A904" w14:textId="77777777" w:rsidR="001676C5" w:rsidRPr="000037E8" w:rsidRDefault="001676C5" w:rsidP="00A42CB6">
            <w:pPr>
              <w:pStyle w:val="TableText"/>
              <w:jc w:val="center"/>
              <w:rPr>
                <w:rFonts w:cs="Arial"/>
                <w:szCs w:val="18"/>
              </w:rPr>
            </w:pPr>
            <w:r w:rsidRPr="000037E8">
              <w:rPr>
                <w:rFonts w:cs="Arial"/>
                <w:szCs w:val="18"/>
              </w:rPr>
              <w:t>P</w:t>
            </w:r>
          </w:p>
        </w:tc>
        <w:tc>
          <w:tcPr>
            <w:tcW w:w="4123" w:type="dxa"/>
          </w:tcPr>
          <w:p w14:paraId="3C4EABB6" w14:textId="77777777" w:rsidR="001676C5" w:rsidRPr="000037E8" w:rsidRDefault="001676C5" w:rsidP="00A42CB6">
            <w:pPr>
              <w:pStyle w:val="TableText"/>
              <w:rPr>
                <w:rFonts w:cs="Arial"/>
                <w:szCs w:val="18"/>
              </w:rPr>
            </w:pPr>
            <w:r w:rsidRPr="000037E8">
              <w:rPr>
                <w:rFonts w:cs="Arial"/>
                <w:szCs w:val="18"/>
              </w:rPr>
              <w:t xml:space="preserve">Accrue workload when a patient antigen phenotype test (tab) is reviewed and saved. </w:t>
            </w:r>
          </w:p>
        </w:tc>
      </w:tr>
      <w:tr w:rsidR="001676C5" w:rsidRPr="00F24972" w14:paraId="57847783" w14:textId="77777777" w:rsidTr="000037E8">
        <w:trPr>
          <w:cantSplit/>
        </w:trPr>
        <w:tc>
          <w:tcPr>
            <w:tcW w:w="1733" w:type="dxa"/>
            <w:vMerge/>
          </w:tcPr>
          <w:p w14:paraId="6EB8A1D0" w14:textId="77777777" w:rsidR="001676C5" w:rsidRPr="000037E8" w:rsidRDefault="001676C5" w:rsidP="00A42CB6">
            <w:pPr>
              <w:pStyle w:val="TableText"/>
              <w:rPr>
                <w:rFonts w:cs="Arial"/>
                <w:szCs w:val="18"/>
              </w:rPr>
            </w:pPr>
          </w:p>
        </w:tc>
        <w:tc>
          <w:tcPr>
            <w:tcW w:w="1165" w:type="dxa"/>
          </w:tcPr>
          <w:p w14:paraId="3C24A46B" w14:textId="77777777" w:rsidR="001676C5" w:rsidRPr="000037E8" w:rsidRDefault="001676C5" w:rsidP="0038583A">
            <w:pPr>
              <w:pStyle w:val="TableText"/>
              <w:rPr>
                <w:rFonts w:cs="Arial"/>
                <w:snapToGrid w:val="0"/>
                <w:szCs w:val="18"/>
              </w:rPr>
            </w:pPr>
            <w:r>
              <w:rPr>
                <w:rFonts w:cs="Arial"/>
                <w:snapToGrid w:val="0"/>
                <w:szCs w:val="18"/>
              </w:rPr>
              <w:t>Invalidate patient testing, patient antigen typing</w:t>
            </w:r>
          </w:p>
        </w:tc>
        <w:tc>
          <w:tcPr>
            <w:tcW w:w="1080" w:type="dxa"/>
          </w:tcPr>
          <w:p w14:paraId="64C48073" w14:textId="77777777" w:rsidR="001676C5" w:rsidRPr="000037E8" w:rsidRDefault="001676C5" w:rsidP="00A42CB6">
            <w:pPr>
              <w:pStyle w:val="TableText"/>
              <w:rPr>
                <w:rFonts w:cs="Arial"/>
                <w:b/>
                <w:szCs w:val="18"/>
              </w:rPr>
            </w:pPr>
            <w:r w:rsidRPr="000037E8">
              <w:rPr>
                <w:rFonts w:cs="Arial"/>
                <w:b/>
                <w:szCs w:val="18"/>
              </w:rPr>
              <w:t>Negative</w:t>
            </w:r>
          </w:p>
        </w:tc>
        <w:tc>
          <w:tcPr>
            <w:tcW w:w="900" w:type="dxa"/>
          </w:tcPr>
          <w:p w14:paraId="6180A4FA" w14:textId="77777777" w:rsidR="001676C5" w:rsidRPr="000037E8" w:rsidRDefault="001676C5" w:rsidP="00A42CB6">
            <w:pPr>
              <w:pStyle w:val="TableText"/>
              <w:jc w:val="center"/>
              <w:rPr>
                <w:rFonts w:cs="Arial"/>
                <w:szCs w:val="18"/>
              </w:rPr>
            </w:pPr>
            <w:r w:rsidRPr="000037E8">
              <w:rPr>
                <w:rFonts w:cs="Arial"/>
                <w:szCs w:val="18"/>
              </w:rPr>
              <w:t>P</w:t>
            </w:r>
          </w:p>
        </w:tc>
        <w:tc>
          <w:tcPr>
            <w:tcW w:w="4123" w:type="dxa"/>
          </w:tcPr>
          <w:p w14:paraId="1F45E590" w14:textId="77777777" w:rsidR="001676C5" w:rsidRPr="000037E8" w:rsidRDefault="001676C5" w:rsidP="00A42CB6">
            <w:pPr>
              <w:pStyle w:val="TableText"/>
              <w:rPr>
                <w:rFonts w:cs="Arial"/>
                <w:szCs w:val="18"/>
              </w:rPr>
            </w:pPr>
            <w:r w:rsidRPr="000037E8">
              <w:rPr>
                <w:rFonts w:cs="Arial"/>
                <w:szCs w:val="18"/>
              </w:rPr>
              <w:t>Accrue workload when a reviewed patient antigen test (phenotype) is invalidated.</w:t>
            </w:r>
          </w:p>
        </w:tc>
      </w:tr>
      <w:tr w:rsidR="001676C5" w:rsidRPr="00F24972" w14:paraId="1453E8E7" w14:textId="77777777" w:rsidTr="000037E8">
        <w:trPr>
          <w:cantSplit/>
        </w:trPr>
        <w:tc>
          <w:tcPr>
            <w:tcW w:w="1733" w:type="dxa"/>
            <w:vMerge w:val="restart"/>
          </w:tcPr>
          <w:p w14:paraId="0FE9D142" w14:textId="77777777" w:rsidR="001676C5" w:rsidRPr="000037E8" w:rsidRDefault="001676C5" w:rsidP="00A42CB6">
            <w:pPr>
              <w:pStyle w:val="TableText"/>
              <w:rPr>
                <w:rFonts w:cs="Arial"/>
                <w:szCs w:val="18"/>
              </w:rPr>
            </w:pPr>
            <w:r w:rsidRPr="000037E8">
              <w:rPr>
                <w:rFonts w:cs="Arial"/>
                <w:szCs w:val="18"/>
              </w:rPr>
              <w:t>Blood Unit ABO Confirmation Test Automated</w:t>
            </w:r>
          </w:p>
        </w:tc>
        <w:tc>
          <w:tcPr>
            <w:tcW w:w="1165" w:type="dxa"/>
          </w:tcPr>
          <w:p w14:paraId="180D7D56" w14:textId="77777777" w:rsidR="001676C5" w:rsidRPr="000037E8" w:rsidRDefault="001676C5" w:rsidP="0038583A">
            <w:pPr>
              <w:pStyle w:val="TableText"/>
              <w:rPr>
                <w:rFonts w:cs="Arial"/>
                <w:snapToGrid w:val="0"/>
                <w:szCs w:val="18"/>
              </w:rPr>
            </w:pPr>
            <w:r>
              <w:rPr>
                <w:rFonts w:cs="Arial"/>
                <w:snapToGrid w:val="0"/>
                <w:szCs w:val="18"/>
              </w:rPr>
              <w:t>Automated Interface</w:t>
            </w:r>
          </w:p>
        </w:tc>
        <w:tc>
          <w:tcPr>
            <w:tcW w:w="1080" w:type="dxa"/>
          </w:tcPr>
          <w:p w14:paraId="588E1419" w14:textId="77777777" w:rsidR="001676C5" w:rsidRPr="000037E8" w:rsidRDefault="001676C5" w:rsidP="00A42CB6">
            <w:pPr>
              <w:pStyle w:val="TableText"/>
              <w:rPr>
                <w:rFonts w:cs="Arial"/>
                <w:szCs w:val="18"/>
              </w:rPr>
            </w:pPr>
            <w:r w:rsidRPr="000037E8">
              <w:rPr>
                <w:rFonts w:cs="Arial"/>
                <w:szCs w:val="18"/>
              </w:rPr>
              <w:t>Positive</w:t>
            </w:r>
          </w:p>
        </w:tc>
        <w:tc>
          <w:tcPr>
            <w:tcW w:w="900" w:type="dxa"/>
          </w:tcPr>
          <w:p w14:paraId="5DA5E456" w14:textId="77777777" w:rsidR="001676C5" w:rsidRPr="000037E8" w:rsidRDefault="001676C5" w:rsidP="00A42CB6">
            <w:pPr>
              <w:pStyle w:val="TableText"/>
              <w:jc w:val="center"/>
              <w:rPr>
                <w:rFonts w:cs="Arial"/>
                <w:szCs w:val="18"/>
              </w:rPr>
            </w:pPr>
            <w:r w:rsidRPr="000037E8">
              <w:rPr>
                <w:rFonts w:cs="Arial"/>
                <w:szCs w:val="18"/>
              </w:rPr>
              <w:t>U</w:t>
            </w:r>
          </w:p>
        </w:tc>
        <w:tc>
          <w:tcPr>
            <w:tcW w:w="4123" w:type="dxa"/>
          </w:tcPr>
          <w:p w14:paraId="4035AE9A" w14:textId="77777777" w:rsidR="001676C5" w:rsidRPr="000037E8" w:rsidRDefault="001676C5" w:rsidP="00A42CB6">
            <w:pPr>
              <w:pStyle w:val="TableText"/>
              <w:rPr>
                <w:rFonts w:cs="Arial"/>
                <w:szCs w:val="18"/>
              </w:rPr>
            </w:pPr>
            <w:r w:rsidRPr="000037E8">
              <w:rPr>
                <w:rFonts w:cs="Arial"/>
                <w:szCs w:val="18"/>
              </w:rPr>
              <w:t xml:space="preserve">An ABO confirmation test, primary or repeat, is reviewed, and saved. When multiple units are selected in a batch, each unit in the batch accrues a workload event. </w:t>
            </w:r>
          </w:p>
          <w:p w14:paraId="66783158" w14:textId="77777777" w:rsidR="001676C5" w:rsidRPr="000037E8" w:rsidRDefault="001676C5" w:rsidP="00A42CB6">
            <w:pPr>
              <w:pStyle w:val="TableText"/>
              <w:rPr>
                <w:rFonts w:cs="Arial"/>
                <w:szCs w:val="18"/>
              </w:rPr>
            </w:pPr>
          </w:p>
          <w:p w14:paraId="2C09F049" w14:textId="77777777" w:rsidR="001676C5" w:rsidRPr="000037E8" w:rsidRDefault="001676C5" w:rsidP="00A42CB6">
            <w:pPr>
              <w:pStyle w:val="TableTextBullet"/>
              <w:rPr>
                <w:rFonts w:cs="Arial"/>
                <w:szCs w:val="18"/>
              </w:rPr>
            </w:pPr>
            <w:r w:rsidRPr="000037E8">
              <w:rPr>
                <w:rFonts w:cs="Arial"/>
                <w:szCs w:val="18"/>
              </w:rPr>
              <w:t>Note: Workload generated when Anti-D testing is not included in the unit’s confirmation test.</w:t>
            </w:r>
            <w:r w:rsidRPr="000037E8">
              <w:rPr>
                <w:rFonts w:cs="Arial"/>
                <w:color w:val="0000FF"/>
                <w:szCs w:val="18"/>
              </w:rPr>
              <w:t xml:space="preserve"> </w:t>
            </w:r>
            <w:r w:rsidRPr="000037E8">
              <w:rPr>
                <w:rFonts w:cs="Arial"/>
                <w:szCs w:val="18"/>
              </w:rPr>
              <w:t xml:space="preserve">Workload is </w:t>
            </w:r>
            <w:r w:rsidRPr="000037E8">
              <w:rPr>
                <w:rFonts w:cs="Arial"/>
                <w:b/>
                <w:szCs w:val="18"/>
              </w:rPr>
              <w:t xml:space="preserve">not </w:t>
            </w:r>
            <w:r w:rsidRPr="000037E8">
              <w:rPr>
                <w:rFonts w:cs="Arial"/>
                <w:szCs w:val="18"/>
              </w:rPr>
              <w:t>accrued when VBECS quarantines the unit due to a discrepancy. No special handling for workload collection for additional confirmation tests on a unit.</w:t>
            </w:r>
          </w:p>
        </w:tc>
      </w:tr>
      <w:tr w:rsidR="001676C5" w:rsidRPr="00F24972" w14:paraId="3F5A62BE" w14:textId="77777777" w:rsidTr="000037E8">
        <w:trPr>
          <w:cantSplit/>
        </w:trPr>
        <w:tc>
          <w:tcPr>
            <w:tcW w:w="1733" w:type="dxa"/>
            <w:vMerge/>
          </w:tcPr>
          <w:p w14:paraId="721AAB39" w14:textId="77777777" w:rsidR="001676C5" w:rsidRPr="000037E8" w:rsidRDefault="001676C5" w:rsidP="00A42CB6">
            <w:pPr>
              <w:pStyle w:val="TableText"/>
              <w:rPr>
                <w:rFonts w:cs="Arial"/>
                <w:szCs w:val="18"/>
              </w:rPr>
            </w:pPr>
          </w:p>
        </w:tc>
        <w:tc>
          <w:tcPr>
            <w:tcW w:w="1165" w:type="dxa"/>
          </w:tcPr>
          <w:p w14:paraId="0427AA96" w14:textId="77777777" w:rsidR="001676C5" w:rsidRPr="000037E8" w:rsidRDefault="001676C5" w:rsidP="001676C5">
            <w:pPr>
              <w:pStyle w:val="TableText"/>
              <w:rPr>
                <w:rFonts w:cs="Arial"/>
                <w:snapToGrid w:val="0"/>
                <w:szCs w:val="18"/>
              </w:rPr>
            </w:pPr>
            <w:r>
              <w:rPr>
                <w:rFonts w:cs="Arial"/>
                <w:snapToGrid w:val="0"/>
                <w:szCs w:val="18"/>
              </w:rPr>
              <w:t>Invalidate unit testing, ABO Test</w:t>
            </w:r>
          </w:p>
        </w:tc>
        <w:tc>
          <w:tcPr>
            <w:tcW w:w="1080" w:type="dxa"/>
          </w:tcPr>
          <w:p w14:paraId="00C80028" w14:textId="77777777" w:rsidR="001676C5" w:rsidRPr="000037E8" w:rsidRDefault="001676C5" w:rsidP="00A42CB6">
            <w:pPr>
              <w:pStyle w:val="TableText"/>
              <w:rPr>
                <w:rFonts w:cs="Arial"/>
                <w:szCs w:val="18"/>
              </w:rPr>
            </w:pPr>
            <w:r w:rsidRPr="000037E8">
              <w:rPr>
                <w:rFonts w:cs="Arial"/>
                <w:b/>
                <w:szCs w:val="18"/>
              </w:rPr>
              <w:t>Negative</w:t>
            </w:r>
          </w:p>
        </w:tc>
        <w:tc>
          <w:tcPr>
            <w:tcW w:w="900" w:type="dxa"/>
          </w:tcPr>
          <w:p w14:paraId="13BAB2D6" w14:textId="77777777" w:rsidR="001676C5" w:rsidRPr="000037E8" w:rsidRDefault="001676C5" w:rsidP="00A42CB6">
            <w:pPr>
              <w:pStyle w:val="TableText"/>
              <w:jc w:val="center"/>
              <w:rPr>
                <w:rFonts w:cs="Arial"/>
                <w:szCs w:val="18"/>
              </w:rPr>
            </w:pPr>
            <w:r w:rsidRPr="000037E8">
              <w:rPr>
                <w:rFonts w:cs="Arial"/>
                <w:szCs w:val="18"/>
              </w:rPr>
              <w:t>U</w:t>
            </w:r>
          </w:p>
        </w:tc>
        <w:tc>
          <w:tcPr>
            <w:tcW w:w="4123" w:type="dxa"/>
          </w:tcPr>
          <w:p w14:paraId="7C6B66F9" w14:textId="77777777" w:rsidR="001676C5" w:rsidRPr="000037E8" w:rsidRDefault="001676C5" w:rsidP="00A42CB6">
            <w:pPr>
              <w:pStyle w:val="TableText"/>
              <w:rPr>
                <w:rFonts w:cs="Arial"/>
                <w:szCs w:val="18"/>
              </w:rPr>
            </w:pPr>
            <w:r w:rsidRPr="000037E8">
              <w:rPr>
                <w:rFonts w:cs="Arial"/>
                <w:szCs w:val="18"/>
              </w:rPr>
              <w:t>Accrue workload when an ABO confirmation test is invalidated</w:t>
            </w:r>
          </w:p>
        </w:tc>
      </w:tr>
      <w:tr w:rsidR="001676C5" w:rsidRPr="00F24972" w14:paraId="64F23FDF" w14:textId="77777777" w:rsidTr="000037E8">
        <w:trPr>
          <w:cantSplit/>
        </w:trPr>
        <w:tc>
          <w:tcPr>
            <w:tcW w:w="1733" w:type="dxa"/>
            <w:vMerge w:val="restart"/>
          </w:tcPr>
          <w:p w14:paraId="098AF40F" w14:textId="77777777" w:rsidR="001676C5" w:rsidRPr="000037E8" w:rsidRDefault="001676C5" w:rsidP="00A42CB6">
            <w:pPr>
              <w:pStyle w:val="TableText"/>
              <w:rPr>
                <w:rFonts w:cs="Arial"/>
                <w:szCs w:val="18"/>
              </w:rPr>
            </w:pPr>
            <w:r w:rsidRPr="000037E8">
              <w:rPr>
                <w:rFonts w:cs="Arial"/>
                <w:szCs w:val="18"/>
              </w:rPr>
              <w:t>Blood Unit ABO/Rh Confirmation Test Automated</w:t>
            </w:r>
          </w:p>
        </w:tc>
        <w:tc>
          <w:tcPr>
            <w:tcW w:w="1165" w:type="dxa"/>
          </w:tcPr>
          <w:p w14:paraId="32C19F8B" w14:textId="77777777" w:rsidR="001676C5" w:rsidRPr="000037E8" w:rsidRDefault="001676C5" w:rsidP="0038583A">
            <w:pPr>
              <w:pStyle w:val="TableText"/>
              <w:rPr>
                <w:rFonts w:cs="Arial"/>
                <w:snapToGrid w:val="0"/>
                <w:szCs w:val="18"/>
              </w:rPr>
            </w:pPr>
            <w:r>
              <w:rPr>
                <w:rFonts w:cs="Arial"/>
                <w:snapToGrid w:val="0"/>
                <w:szCs w:val="18"/>
              </w:rPr>
              <w:t>Automated Interface</w:t>
            </w:r>
          </w:p>
        </w:tc>
        <w:tc>
          <w:tcPr>
            <w:tcW w:w="1080" w:type="dxa"/>
          </w:tcPr>
          <w:p w14:paraId="491264E6" w14:textId="77777777" w:rsidR="001676C5" w:rsidRPr="000037E8" w:rsidRDefault="001676C5" w:rsidP="00A42CB6">
            <w:pPr>
              <w:pStyle w:val="TableText"/>
              <w:rPr>
                <w:rFonts w:cs="Arial"/>
                <w:b/>
                <w:szCs w:val="18"/>
              </w:rPr>
            </w:pPr>
            <w:r w:rsidRPr="000037E8">
              <w:rPr>
                <w:rFonts w:cs="Arial"/>
                <w:szCs w:val="18"/>
              </w:rPr>
              <w:t>Positive</w:t>
            </w:r>
          </w:p>
        </w:tc>
        <w:tc>
          <w:tcPr>
            <w:tcW w:w="900" w:type="dxa"/>
          </w:tcPr>
          <w:p w14:paraId="61B59761" w14:textId="77777777" w:rsidR="001676C5" w:rsidRPr="000037E8" w:rsidRDefault="001676C5" w:rsidP="00A42CB6">
            <w:pPr>
              <w:pStyle w:val="TableText"/>
              <w:jc w:val="center"/>
              <w:rPr>
                <w:rFonts w:cs="Arial"/>
                <w:szCs w:val="18"/>
              </w:rPr>
            </w:pPr>
            <w:r w:rsidRPr="000037E8">
              <w:rPr>
                <w:rFonts w:cs="Arial"/>
                <w:szCs w:val="18"/>
              </w:rPr>
              <w:t>U</w:t>
            </w:r>
          </w:p>
        </w:tc>
        <w:tc>
          <w:tcPr>
            <w:tcW w:w="4123" w:type="dxa"/>
          </w:tcPr>
          <w:p w14:paraId="0E7D5D8D" w14:textId="77777777" w:rsidR="001676C5" w:rsidRPr="000037E8" w:rsidRDefault="001676C5" w:rsidP="00A42CB6">
            <w:pPr>
              <w:pStyle w:val="TableText"/>
              <w:rPr>
                <w:rFonts w:cs="Arial"/>
                <w:szCs w:val="18"/>
              </w:rPr>
            </w:pPr>
            <w:r w:rsidRPr="000037E8">
              <w:rPr>
                <w:rFonts w:cs="Arial"/>
                <w:szCs w:val="18"/>
              </w:rPr>
              <w:t>An ABO/Rh confirmation test, primary or repeat, is reviewed, and saved. When multiple units are selected in a batch, each unit in the batch accrues a workload event.</w:t>
            </w:r>
          </w:p>
          <w:p w14:paraId="7A7AA09E" w14:textId="77777777" w:rsidR="001676C5" w:rsidRPr="000037E8" w:rsidRDefault="001676C5" w:rsidP="00A42CB6">
            <w:pPr>
              <w:pStyle w:val="TableText"/>
              <w:rPr>
                <w:rFonts w:cs="Arial"/>
                <w:szCs w:val="18"/>
              </w:rPr>
            </w:pPr>
          </w:p>
          <w:p w14:paraId="4D70C8A8" w14:textId="77777777" w:rsidR="001676C5" w:rsidRPr="000037E8" w:rsidRDefault="001676C5" w:rsidP="00A42CB6">
            <w:pPr>
              <w:pStyle w:val="TableText"/>
              <w:rPr>
                <w:rFonts w:cs="Arial"/>
                <w:szCs w:val="18"/>
              </w:rPr>
            </w:pPr>
            <w:r w:rsidRPr="000037E8">
              <w:rPr>
                <w:rFonts w:cs="Arial"/>
                <w:szCs w:val="18"/>
              </w:rPr>
              <w:t>Any unit successfully confirmed accrues workload.</w:t>
            </w:r>
          </w:p>
          <w:p w14:paraId="7ACEA739" w14:textId="77777777" w:rsidR="001676C5" w:rsidRPr="000037E8" w:rsidRDefault="001676C5" w:rsidP="00A42CB6">
            <w:pPr>
              <w:pStyle w:val="TableTextBullet"/>
              <w:rPr>
                <w:rFonts w:cs="Arial"/>
                <w:szCs w:val="18"/>
              </w:rPr>
            </w:pPr>
            <w:r w:rsidRPr="000037E8">
              <w:rPr>
                <w:rFonts w:cs="Arial"/>
                <w:szCs w:val="18"/>
              </w:rPr>
              <w:t xml:space="preserve">Note: Workload is </w:t>
            </w:r>
            <w:r w:rsidRPr="000037E8">
              <w:rPr>
                <w:rFonts w:cs="Arial"/>
                <w:b/>
                <w:szCs w:val="18"/>
              </w:rPr>
              <w:t xml:space="preserve">not </w:t>
            </w:r>
            <w:r w:rsidRPr="000037E8">
              <w:rPr>
                <w:rFonts w:cs="Arial"/>
                <w:szCs w:val="18"/>
              </w:rPr>
              <w:t xml:space="preserve">accrued when VBECS quarantines the unit due to a discrepancy. </w:t>
            </w:r>
          </w:p>
        </w:tc>
      </w:tr>
      <w:tr w:rsidR="001676C5" w:rsidRPr="00F24972" w14:paraId="6162DA6E" w14:textId="77777777" w:rsidTr="000037E8">
        <w:trPr>
          <w:cantSplit/>
        </w:trPr>
        <w:tc>
          <w:tcPr>
            <w:tcW w:w="1733" w:type="dxa"/>
            <w:vMerge/>
          </w:tcPr>
          <w:p w14:paraId="3C894C1E" w14:textId="77777777" w:rsidR="001676C5" w:rsidRPr="000037E8" w:rsidRDefault="001676C5" w:rsidP="00A42CB6">
            <w:pPr>
              <w:pStyle w:val="TableText"/>
              <w:rPr>
                <w:rFonts w:cs="Arial"/>
                <w:szCs w:val="18"/>
              </w:rPr>
            </w:pPr>
          </w:p>
        </w:tc>
        <w:tc>
          <w:tcPr>
            <w:tcW w:w="1165" w:type="dxa"/>
          </w:tcPr>
          <w:p w14:paraId="7A39E945" w14:textId="77777777" w:rsidR="001676C5" w:rsidRPr="000037E8" w:rsidRDefault="001676C5" w:rsidP="0038583A">
            <w:pPr>
              <w:pStyle w:val="TableText"/>
              <w:rPr>
                <w:rFonts w:cs="Arial"/>
                <w:snapToGrid w:val="0"/>
                <w:szCs w:val="18"/>
              </w:rPr>
            </w:pPr>
            <w:r>
              <w:rPr>
                <w:rFonts w:cs="Arial"/>
                <w:snapToGrid w:val="0"/>
                <w:szCs w:val="18"/>
              </w:rPr>
              <w:t>Invalidate unit testing, ABO/Rh</w:t>
            </w:r>
          </w:p>
        </w:tc>
        <w:tc>
          <w:tcPr>
            <w:tcW w:w="1080" w:type="dxa"/>
          </w:tcPr>
          <w:p w14:paraId="1AB6FC1F" w14:textId="77777777" w:rsidR="001676C5" w:rsidRPr="000037E8" w:rsidRDefault="001676C5" w:rsidP="00A42CB6">
            <w:pPr>
              <w:pStyle w:val="TableText"/>
              <w:rPr>
                <w:rFonts w:cs="Arial"/>
                <w:szCs w:val="18"/>
              </w:rPr>
            </w:pPr>
            <w:r w:rsidRPr="000037E8">
              <w:rPr>
                <w:rFonts w:cs="Arial"/>
                <w:b/>
                <w:szCs w:val="18"/>
              </w:rPr>
              <w:t>Negative</w:t>
            </w:r>
          </w:p>
        </w:tc>
        <w:tc>
          <w:tcPr>
            <w:tcW w:w="900" w:type="dxa"/>
          </w:tcPr>
          <w:p w14:paraId="78F2F512" w14:textId="77777777" w:rsidR="001676C5" w:rsidRPr="000037E8" w:rsidRDefault="001676C5" w:rsidP="00A42CB6">
            <w:pPr>
              <w:pStyle w:val="TableText"/>
              <w:jc w:val="center"/>
              <w:rPr>
                <w:rFonts w:cs="Arial"/>
                <w:szCs w:val="18"/>
              </w:rPr>
            </w:pPr>
            <w:r w:rsidRPr="000037E8">
              <w:rPr>
                <w:rFonts w:cs="Arial"/>
                <w:szCs w:val="18"/>
              </w:rPr>
              <w:t>U</w:t>
            </w:r>
          </w:p>
        </w:tc>
        <w:tc>
          <w:tcPr>
            <w:tcW w:w="4123" w:type="dxa"/>
          </w:tcPr>
          <w:p w14:paraId="1BB09C24" w14:textId="77777777" w:rsidR="001676C5" w:rsidRPr="000037E8" w:rsidRDefault="001676C5" w:rsidP="00A42CB6">
            <w:pPr>
              <w:pStyle w:val="TableText"/>
              <w:rPr>
                <w:rFonts w:cs="Arial"/>
                <w:szCs w:val="18"/>
              </w:rPr>
            </w:pPr>
            <w:r w:rsidRPr="000037E8">
              <w:rPr>
                <w:rFonts w:cs="Arial"/>
                <w:szCs w:val="18"/>
              </w:rPr>
              <w:t>Accrue workload when an ABO/Rh confirmation test is invalidated</w:t>
            </w:r>
          </w:p>
        </w:tc>
      </w:tr>
      <w:tr w:rsidR="001676C5" w:rsidRPr="00F24972" w14:paraId="54544EB2" w14:textId="77777777" w:rsidTr="000037E8">
        <w:trPr>
          <w:cantSplit/>
        </w:trPr>
        <w:tc>
          <w:tcPr>
            <w:tcW w:w="1733" w:type="dxa"/>
            <w:vMerge w:val="restart"/>
          </w:tcPr>
          <w:p w14:paraId="2862A77F" w14:textId="77777777" w:rsidR="001676C5" w:rsidRPr="000037E8" w:rsidRDefault="001676C5" w:rsidP="00A42CB6">
            <w:pPr>
              <w:pStyle w:val="TableText"/>
              <w:rPr>
                <w:rFonts w:cs="Arial"/>
                <w:szCs w:val="18"/>
              </w:rPr>
            </w:pPr>
            <w:r w:rsidRPr="000037E8">
              <w:rPr>
                <w:rFonts w:cs="Arial"/>
                <w:szCs w:val="18"/>
              </w:rPr>
              <w:t>Blood Unit Antigen Typing Automated</w:t>
            </w:r>
          </w:p>
        </w:tc>
        <w:tc>
          <w:tcPr>
            <w:tcW w:w="1165" w:type="dxa"/>
          </w:tcPr>
          <w:p w14:paraId="6BC07E70" w14:textId="77777777" w:rsidR="001676C5" w:rsidRPr="000037E8" w:rsidRDefault="001676C5" w:rsidP="0038583A">
            <w:pPr>
              <w:pStyle w:val="TableText"/>
              <w:rPr>
                <w:rFonts w:cs="Arial"/>
                <w:snapToGrid w:val="0"/>
                <w:szCs w:val="18"/>
              </w:rPr>
            </w:pPr>
            <w:r>
              <w:rPr>
                <w:rFonts w:cs="Arial"/>
                <w:snapToGrid w:val="0"/>
                <w:szCs w:val="18"/>
              </w:rPr>
              <w:t>Automated Interface</w:t>
            </w:r>
          </w:p>
        </w:tc>
        <w:tc>
          <w:tcPr>
            <w:tcW w:w="1080" w:type="dxa"/>
          </w:tcPr>
          <w:p w14:paraId="52BF7D95" w14:textId="77777777" w:rsidR="001676C5" w:rsidRPr="000037E8" w:rsidRDefault="001676C5" w:rsidP="00A42CB6">
            <w:pPr>
              <w:pStyle w:val="TableText"/>
              <w:rPr>
                <w:rFonts w:cs="Arial"/>
                <w:b/>
                <w:szCs w:val="18"/>
              </w:rPr>
            </w:pPr>
            <w:r w:rsidRPr="000037E8">
              <w:rPr>
                <w:rFonts w:cs="Arial"/>
                <w:szCs w:val="18"/>
              </w:rPr>
              <w:t>Positive</w:t>
            </w:r>
          </w:p>
        </w:tc>
        <w:tc>
          <w:tcPr>
            <w:tcW w:w="900" w:type="dxa"/>
          </w:tcPr>
          <w:p w14:paraId="17419061" w14:textId="77777777" w:rsidR="001676C5" w:rsidRPr="000037E8" w:rsidRDefault="001676C5" w:rsidP="00A42CB6">
            <w:pPr>
              <w:pStyle w:val="TableText"/>
              <w:jc w:val="center"/>
              <w:rPr>
                <w:rFonts w:cs="Arial"/>
                <w:szCs w:val="18"/>
              </w:rPr>
            </w:pPr>
            <w:r w:rsidRPr="000037E8">
              <w:rPr>
                <w:rFonts w:cs="Arial"/>
                <w:szCs w:val="18"/>
              </w:rPr>
              <w:t>U</w:t>
            </w:r>
          </w:p>
        </w:tc>
        <w:tc>
          <w:tcPr>
            <w:tcW w:w="4123" w:type="dxa"/>
          </w:tcPr>
          <w:p w14:paraId="494C8525" w14:textId="77777777" w:rsidR="001676C5" w:rsidRPr="000037E8" w:rsidRDefault="001676C5" w:rsidP="00A42CB6">
            <w:pPr>
              <w:pStyle w:val="TableText"/>
              <w:rPr>
                <w:rFonts w:cs="Arial"/>
                <w:szCs w:val="18"/>
              </w:rPr>
            </w:pPr>
            <w:r w:rsidRPr="000037E8">
              <w:rPr>
                <w:rFonts w:cs="Arial"/>
                <w:szCs w:val="18"/>
              </w:rPr>
              <w:t xml:space="preserve">A unit (row) antigen phenotype test, primary or repeat, is reviewed, and saved for an individual blood unit (row). </w:t>
            </w:r>
          </w:p>
          <w:p w14:paraId="179CC738" w14:textId="77777777" w:rsidR="001676C5" w:rsidRPr="000037E8" w:rsidRDefault="001676C5" w:rsidP="00A42CB6">
            <w:pPr>
              <w:pStyle w:val="TableText"/>
              <w:rPr>
                <w:rFonts w:cs="Arial"/>
                <w:szCs w:val="18"/>
              </w:rPr>
            </w:pPr>
          </w:p>
          <w:p w14:paraId="74935C99" w14:textId="77777777" w:rsidR="001676C5" w:rsidRPr="000037E8" w:rsidRDefault="001676C5" w:rsidP="00A42CB6">
            <w:pPr>
              <w:pStyle w:val="TableText"/>
              <w:rPr>
                <w:rFonts w:cs="Arial"/>
                <w:szCs w:val="18"/>
              </w:rPr>
            </w:pPr>
            <w:r w:rsidRPr="000037E8">
              <w:rPr>
                <w:rFonts w:cs="Arial"/>
                <w:szCs w:val="18"/>
              </w:rPr>
              <w:t>No special handling for workload collection for additional repeat antigen typing tests on a unit.</w:t>
            </w:r>
          </w:p>
        </w:tc>
      </w:tr>
      <w:tr w:rsidR="001676C5" w:rsidRPr="00F24972" w14:paraId="511DB2D0" w14:textId="77777777" w:rsidTr="000037E8">
        <w:trPr>
          <w:cantSplit/>
        </w:trPr>
        <w:tc>
          <w:tcPr>
            <w:tcW w:w="1733" w:type="dxa"/>
            <w:vMerge/>
          </w:tcPr>
          <w:p w14:paraId="415BD8E8" w14:textId="77777777" w:rsidR="001676C5" w:rsidRPr="000037E8" w:rsidRDefault="001676C5" w:rsidP="00A42CB6">
            <w:pPr>
              <w:pStyle w:val="TableText"/>
              <w:rPr>
                <w:rFonts w:cs="Arial"/>
                <w:szCs w:val="18"/>
              </w:rPr>
            </w:pPr>
          </w:p>
        </w:tc>
        <w:tc>
          <w:tcPr>
            <w:tcW w:w="1165" w:type="dxa"/>
          </w:tcPr>
          <w:p w14:paraId="7B9D18BD" w14:textId="77777777" w:rsidR="001676C5" w:rsidRPr="000037E8" w:rsidRDefault="001676C5" w:rsidP="0038583A">
            <w:pPr>
              <w:pStyle w:val="TableText"/>
              <w:rPr>
                <w:rFonts w:cs="Arial"/>
                <w:snapToGrid w:val="0"/>
                <w:szCs w:val="18"/>
              </w:rPr>
            </w:pPr>
            <w:r>
              <w:rPr>
                <w:rFonts w:cs="Arial"/>
                <w:snapToGrid w:val="0"/>
                <w:szCs w:val="18"/>
              </w:rPr>
              <w:t>Invalidate unit testing, Antigen Typing</w:t>
            </w:r>
          </w:p>
        </w:tc>
        <w:tc>
          <w:tcPr>
            <w:tcW w:w="1080" w:type="dxa"/>
          </w:tcPr>
          <w:p w14:paraId="54CB1068" w14:textId="77777777" w:rsidR="001676C5" w:rsidRPr="000037E8" w:rsidRDefault="001676C5" w:rsidP="00A42CB6">
            <w:pPr>
              <w:pStyle w:val="TableText"/>
              <w:rPr>
                <w:rFonts w:cs="Arial"/>
                <w:szCs w:val="18"/>
              </w:rPr>
            </w:pPr>
            <w:r w:rsidRPr="000037E8">
              <w:rPr>
                <w:rFonts w:cs="Arial"/>
                <w:b/>
                <w:szCs w:val="18"/>
              </w:rPr>
              <w:t>Negative</w:t>
            </w:r>
          </w:p>
        </w:tc>
        <w:tc>
          <w:tcPr>
            <w:tcW w:w="900" w:type="dxa"/>
          </w:tcPr>
          <w:p w14:paraId="0D414877" w14:textId="77777777" w:rsidR="001676C5" w:rsidRPr="000037E8" w:rsidRDefault="001676C5" w:rsidP="00A42CB6">
            <w:pPr>
              <w:pStyle w:val="TableText"/>
              <w:jc w:val="center"/>
              <w:rPr>
                <w:rFonts w:cs="Arial"/>
                <w:szCs w:val="18"/>
              </w:rPr>
            </w:pPr>
            <w:r w:rsidRPr="000037E8">
              <w:rPr>
                <w:rFonts w:cs="Arial"/>
                <w:szCs w:val="18"/>
              </w:rPr>
              <w:t>U</w:t>
            </w:r>
          </w:p>
        </w:tc>
        <w:tc>
          <w:tcPr>
            <w:tcW w:w="4123" w:type="dxa"/>
          </w:tcPr>
          <w:p w14:paraId="1C85B92D" w14:textId="77777777" w:rsidR="001676C5" w:rsidRPr="000037E8" w:rsidRDefault="001676C5" w:rsidP="00A42CB6">
            <w:pPr>
              <w:pStyle w:val="TableText"/>
              <w:rPr>
                <w:rFonts w:cs="Arial"/>
                <w:szCs w:val="18"/>
              </w:rPr>
            </w:pPr>
            <w:r w:rsidRPr="000037E8">
              <w:rPr>
                <w:rFonts w:cs="Arial"/>
                <w:szCs w:val="18"/>
              </w:rPr>
              <w:t>Accrue workload when a unit antigen test is invalidated for an individual blood unit.</w:t>
            </w:r>
          </w:p>
        </w:tc>
      </w:tr>
    </w:tbl>
    <w:p w14:paraId="7B61A9A1" w14:textId="77777777" w:rsidR="0038450D" w:rsidRPr="00BC4A37" w:rsidRDefault="0038450D" w:rsidP="000037E8">
      <w:pPr>
        <w:jc w:val="center"/>
      </w:pPr>
    </w:p>
    <w:p w14:paraId="6CB57E0C" w14:textId="77777777" w:rsidR="001C498F" w:rsidRDefault="0045199E" w:rsidP="0045199E">
      <w:pPr>
        <w:rPr>
          <w:sz w:val="22"/>
          <w:szCs w:val="22"/>
        </w:rPr>
      </w:pPr>
      <w:r w:rsidRPr="004C5759">
        <w:rPr>
          <w:sz w:val="22"/>
          <w:szCs w:val="22"/>
        </w:rPr>
        <w:t xml:space="preserve">*Transaction type: Patient (P), Unit (U), Misc (M), </w:t>
      </w:r>
      <w:r w:rsidR="005A7651" w:rsidRPr="004C5759">
        <w:rPr>
          <w:sz w:val="22"/>
          <w:szCs w:val="22"/>
        </w:rPr>
        <w:t>(N/A) N</w:t>
      </w:r>
      <w:r w:rsidRPr="004C5759">
        <w:rPr>
          <w:sz w:val="22"/>
          <w:szCs w:val="22"/>
        </w:rPr>
        <w:t>o donor workload types in VBECS at this time.</w:t>
      </w:r>
    </w:p>
    <w:p w14:paraId="367DD62B" w14:textId="77777777" w:rsidR="00B27FE8" w:rsidRDefault="00B27FE8">
      <w:r>
        <w:br w:type="page"/>
      </w:r>
    </w:p>
    <w:p w14:paraId="79CFD710" w14:textId="77777777" w:rsidR="00B27FE8" w:rsidRDefault="00B27FE8">
      <w:pPr>
        <w:rPr>
          <w:rFonts w:ascii="Arial" w:hAnsi="Arial" w:cs="Arial"/>
          <w:b/>
          <w:bCs/>
          <w:i/>
          <w:iCs/>
          <w:sz w:val="28"/>
          <w:szCs w:val="28"/>
        </w:rPr>
      </w:pPr>
    </w:p>
    <w:p w14:paraId="09B1763E" w14:textId="474F4CE6" w:rsidR="002A21AE" w:rsidRDefault="002A21AE" w:rsidP="008A42DA">
      <w:pPr>
        <w:pStyle w:val="Heading2"/>
      </w:pPr>
      <w:bookmarkStart w:id="707" w:name="_Toc4588879"/>
      <w:r>
        <w:t xml:space="preserve">Appendix </w:t>
      </w:r>
      <w:r w:rsidR="004E20BD">
        <w:rPr>
          <w:noProof/>
        </w:rPr>
        <w:fldChar w:fldCharType="begin"/>
      </w:r>
      <w:r w:rsidR="004E20BD">
        <w:rPr>
          <w:noProof/>
        </w:rPr>
        <w:instrText xml:space="preserve"> SEQ Appendix \* ALPHABETIC </w:instrText>
      </w:r>
      <w:r w:rsidR="004E20BD">
        <w:rPr>
          <w:noProof/>
        </w:rPr>
        <w:fldChar w:fldCharType="separate"/>
      </w:r>
      <w:r w:rsidR="00647F4E">
        <w:rPr>
          <w:noProof/>
        </w:rPr>
        <w:t>C</w:t>
      </w:r>
      <w:r w:rsidR="004E20BD">
        <w:rPr>
          <w:noProof/>
        </w:rPr>
        <w:fldChar w:fldCharType="end"/>
      </w:r>
      <w:r>
        <w:t>: VBECS Work Flow</w:t>
      </w:r>
      <w:bookmarkEnd w:id="707"/>
      <w:r>
        <w:fldChar w:fldCharType="begin"/>
      </w:r>
      <w:r>
        <w:instrText xml:space="preserve"> XE </w:instrText>
      </w:r>
      <w:r w:rsidR="00FA7E65">
        <w:instrText>“</w:instrText>
      </w:r>
      <w:r>
        <w:instrText>VBECS Work Flow</w:instrText>
      </w:r>
      <w:r w:rsidR="00FA7E65">
        <w:instrText>”</w:instrText>
      </w:r>
      <w:r>
        <w:instrText xml:space="preserve"> </w:instrText>
      </w:r>
      <w:r>
        <w:fldChar w:fldCharType="end"/>
      </w:r>
      <w:r>
        <w:fldChar w:fldCharType="begin"/>
      </w:r>
      <w:r>
        <w:instrText xml:space="preserve"> XE </w:instrText>
      </w:r>
      <w:r w:rsidR="00FA7E65">
        <w:instrText>“</w:instrText>
      </w:r>
      <w:r>
        <w:instrText>Figures:VBECS Work Flow</w:instrText>
      </w:r>
      <w:r w:rsidR="00FA7E65">
        <w:instrText>”</w:instrText>
      </w:r>
      <w:r>
        <w:instrText xml:space="preserve"> </w:instrText>
      </w:r>
      <w:r>
        <w:fldChar w:fldCharType="end"/>
      </w:r>
    </w:p>
    <w:p w14:paraId="7811E0F1" w14:textId="503E3EFC" w:rsidR="00CF42BF" w:rsidRDefault="00C81AB4" w:rsidP="00C81AB4">
      <w:pPr>
        <w:pStyle w:val="BodyText"/>
        <w:rPr>
          <w:snapToGrid w:val="0"/>
        </w:rPr>
      </w:pPr>
      <w:r>
        <w:t>Each of the six user roles is associated with a</w:t>
      </w:r>
      <w:r>
        <w:rPr>
          <w:snapToGrid w:val="0"/>
        </w:rPr>
        <w:t xml:space="preserve"> security level (see </w:t>
      </w:r>
      <w:r w:rsidR="00CF5477">
        <w:rPr>
          <w:snapToGrid w:val="0"/>
        </w:rPr>
        <w:fldChar w:fldCharType="begin" w:fldLock="1"/>
      </w:r>
      <w:r w:rsidR="00CF5477">
        <w:rPr>
          <w:snapToGrid w:val="0"/>
        </w:rPr>
        <w:instrText xml:space="preserve"> REF _Ref126468477 \h </w:instrText>
      </w:r>
      <w:r w:rsidR="00CF5477">
        <w:rPr>
          <w:snapToGrid w:val="0"/>
        </w:rPr>
      </w:r>
      <w:r w:rsidR="00CF5477">
        <w:rPr>
          <w:snapToGrid w:val="0"/>
        </w:rPr>
        <w:fldChar w:fldCharType="separate"/>
      </w:r>
      <w:r w:rsidR="00AB304C">
        <w:t xml:space="preserve">Table </w:t>
      </w:r>
      <w:r w:rsidR="00AB304C">
        <w:rPr>
          <w:noProof/>
        </w:rPr>
        <w:t>1</w:t>
      </w:r>
      <w:r w:rsidR="00CF5477">
        <w:rPr>
          <w:snapToGrid w:val="0"/>
        </w:rPr>
        <w:fldChar w:fldCharType="end"/>
      </w:r>
      <w:r>
        <w:rPr>
          <w:snapToGrid w:val="0"/>
        </w:rPr>
        <w:t xml:space="preserve">). </w:t>
      </w:r>
      <w:r w:rsidR="00B439DD">
        <w:rPr>
          <w:snapToGrid w:val="0"/>
        </w:rPr>
        <w:t xml:space="preserve">Privileges </w:t>
      </w:r>
      <w:r w:rsidR="007370E3">
        <w:rPr>
          <w:snapToGrid w:val="0"/>
        </w:rPr>
        <w:t>accumulate</w:t>
      </w:r>
      <w:r w:rsidR="00B439DD">
        <w:rPr>
          <w:snapToGrid w:val="0"/>
        </w:rPr>
        <w:t xml:space="preserve"> as the security level increases. For example, a Lead Technologist’s privileges include those of a Blood Bank Technologist and Enhanced Technologist. </w:t>
      </w:r>
    </w:p>
    <w:p w14:paraId="60EF7522" w14:textId="2CDB552C" w:rsidR="00543C20" w:rsidRPr="00543C20" w:rsidRDefault="00CF42BF" w:rsidP="00CF42BF">
      <w:pPr>
        <w:pStyle w:val="Caption"/>
      </w:pPr>
      <w:r>
        <w:rPr>
          <w:snapToGrid w:val="0"/>
        </w:rPr>
        <w:br w:type="page"/>
      </w:r>
      <w:r w:rsidR="00543C20">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149</w:t>
      </w:r>
      <w:r w:rsidR="004E20BD">
        <w:rPr>
          <w:noProof/>
        </w:rPr>
        <w:fldChar w:fldCharType="end"/>
      </w:r>
      <w:r w:rsidR="00543C20">
        <w:t>: VBECS Work Flow (left)</w:t>
      </w:r>
    </w:p>
    <w:p w14:paraId="5D6D95A8" w14:textId="5BD94828" w:rsidR="002A21AE" w:rsidRDefault="006E5147" w:rsidP="000969E3">
      <w:pPr>
        <w:pStyle w:val="BodyText"/>
        <w:sectPr w:rsidR="002A21AE" w:rsidSect="00EE771C">
          <w:footerReference w:type="default" r:id="rId244"/>
          <w:pgSz w:w="12240" w:h="15840" w:code="1"/>
          <w:pgMar w:top="1440" w:right="1440" w:bottom="1440" w:left="1440" w:header="720" w:footer="720" w:gutter="0"/>
          <w:cols w:space="720"/>
          <w:docGrid w:linePitch="360"/>
        </w:sectPr>
      </w:pPr>
      <w:r>
        <w:object w:dxaOrig="12139" w:dyaOrig="15265" w14:anchorId="656AEEDA">
          <v:shape id="_x0000_i1034" type="#_x0000_t75" alt="P16983#yIS1" style="width:467.7pt;height:591pt" o:ole="">
            <v:imagedata r:id="rId245" o:title=""/>
          </v:shape>
          <o:OLEObject Type="Embed" ProgID="Visio.Drawing.11" ShapeID="_x0000_i1034" DrawAspect="Content" ObjectID="_1693288315" r:id="rId246"/>
        </w:object>
      </w:r>
    </w:p>
    <w:p w14:paraId="501334FB" w14:textId="162D26EC" w:rsidR="00543C20" w:rsidRPr="00543C20" w:rsidRDefault="00543C20" w:rsidP="00543C20">
      <w:pPr>
        <w:pStyle w:val="Caption"/>
      </w:pPr>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150</w:t>
      </w:r>
      <w:r w:rsidR="004E20BD">
        <w:rPr>
          <w:noProof/>
        </w:rPr>
        <w:fldChar w:fldCharType="end"/>
      </w:r>
      <w:r>
        <w:t>: VBECS Work Flow (right)</w:t>
      </w:r>
    </w:p>
    <w:p w14:paraId="0BE4710E" w14:textId="5EA59CB0" w:rsidR="003955C7" w:rsidRDefault="006E5147" w:rsidP="000969E3">
      <w:pPr>
        <w:pStyle w:val="BodyText"/>
      </w:pPr>
      <w:r>
        <w:object w:dxaOrig="11845" w:dyaOrig="15265" w14:anchorId="525A18C8">
          <v:shape id="_x0000_i1035" type="#_x0000_t75" alt="P16985#yIS1" style="width:453.9pt;height:591pt" o:ole="">
            <v:imagedata r:id="rId247" o:title=""/>
          </v:shape>
          <o:OLEObject Type="Embed" ProgID="Visio.Drawing.11" ShapeID="_x0000_i1035" DrawAspect="Content" ObjectID="_1693288316" r:id="rId248"/>
        </w:object>
      </w:r>
    </w:p>
    <w:p w14:paraId="5696C57E" w14:textId="770EF13B" w:rsidR="00383289" w:rsidRDefault="00F97B06" w:rsidP="00AB304C">
      <w:pPr>
        <w:jc w:val="center"/>
      </w:pPr>
      <w:bookmarkStart w:id="708" w:name="_Ref402936446"/>
      <w:r>
        <w:br w:type="page"/>
      </w:r>
      <w:bookmarkStart w:id="709" w:name="_Ref496875886"/>
      <w:r w:rsidR="00383289">
        <w:lastRenderedPageBreak/>
        <w:t>This page intentionally left blank.</w:t>
      </w:r>
    </w:p>
    <w:p w14:paraId="2850EE30" w14:textId="77777777" w:rsidR="00383289" w:rsidRDefault="00383289">
      <w:pPr>
        <w:rPr>
          <w:rFonts w:ascii="Arial" w:hAnsi="Arial" w:cs="Arial"/>
          <w:b/>
          <w:bCs/>
          <w:i/>
          <w:iCs/>
          <w:sz w:val="28"/>
          <w:szCs w:val="28"/>
        </w:rPr>
      </w:pPr>
      <w:r>
        <w:br w:type="page"/>
      </w:r>
    </w:p>
    <w:p w14:paraId="6FAB0E70" w14:textId="650B186A" w:rsidR="00064E16" w:rsidRDefault="002A21AE" w:rsidP="00F97B06">
      <w:pPr>
        <w:pStyle w:val="Heading2"/>
      </w:pPr>
      <w:bookmarkStart w:id="710" w:name="_Toc4588880"/>
      <w:bookmarkStart w:id="711" w:name="_Ref4588935"/>
      <w:r>
        <w:lastRenderedPageBreak/>
        <w:t>Appendix</w:t>
      </w:r>
      <w:r w:rsidR="00D56A09">
        <w:t xml:space="preserve"> D</w:t>
      </w:r>
      <w:r>
        <w:t>: Limitations</w:t>
      </w:r>
      <w:r w:rsidR="00304382">
        <w:t xml:space="preserve"> and Restrictions</w:t>
      </w:r>
      <w:bookmarkEnd w:id="708"/>
      <w:bookmarkEnd w:id="709"/>
      <w:bookmarkEnd w:id="710"/>
      <w:bookmarkEnd w:id="711"/>
      <w:r w:rsidR="00103E20">
        <w:fldChar w:fldCharType="begin"/>
      </w:r>
      <w:r w:rsidR="00103E20">
        <w:instrText xml:space="preserve"> XE "Limitations</w:instrText>
      </w:r>
      <w:r w:rsidR="00304382">
        <w:instrText xml:space="preserve"> and Restrictions</w:instrText>
      </w:r>
      <w:r w:rsidR="00103E20">
        <w:instrText xml:space="preserve">" </w:instrText>
      </w:r>
      <w:r w:rsidR="00103E20">
        <w:fldChar w:fldCharType="end"/>
      </w:r>
    </w:p>
    <w:p w14:paraId="1055CE55" w14:textId="77777777" w:rsidR="00805EFD" w:rsidRDefault="005215D6" w:rsidP="00805EFD">
      <w:pPr>
        <w:pStyle w:val="BodyText"/>
      </w:pPr>
      <w:r>
        <w:t>L</w:t>
      </w:r>
      <w:r w:rsidR="0028137A">
        <w:t xml:space="preserve">imitations and restrictions are listed by the options in which they occur. </w:t>
      </w:r>
    </w:p>
    <w:p w14:paraId="46D95F3B" w14:textId="6B6E7B86" w:rsidR="00D914A9" w:rsidRDefault="00D914A9" w:rsidP="00D914A9">
      <w:pPr>
        <w:pStyle w:val="Caption"/>
      </w:pPr>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647F4E">
        <w:rPr>
          <w:noProof/>
        </w:rPr>
        <w:t>27</w:t>
      </w:r>
      <w:r w:rsidR="004E20BD">
        <w:rPr>
          <w:noProof/>
        </w:rPr>
        <w:fldChar w:fldCharType="end"/>
      </w:r>
      <w:r>
        <w:t>: Limitations</w:t>
      </w:r>
      <w:r w:rsidR="00304382">
        <w:t xml:space="preserve"> and Restrictions</w:t>
      </w: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45199A" w:rsidRPr="00D65A81" w14:paraId="27944D06" w14:textId="77777777" w:rsidTr="00543B0D">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C2737CC" w14:textId="77777777" w:rsidR="0045199A" w:rsidRPr="00EC673F" w:rsidRDefault="0045199A" w:rsidP="00543B0D">
            <w:pPr>
              <w:pStyle w:val="TableText"/>
              <w:rPr>
                <w:rFonts w:cs="Arial"/>
                <w:b/>
              </w:rPr>
            </w:pPr>
            <w:r w:rsidRPr="00EC673F">
              <w:rPr>
                <w:rFonts w:cs="Arial"/>
                <w:b/>
              </w:rPr>
              <w:t xml:space="preserve">Functions Not Supported </w:t>
            </w:r>
            <w:r w:rsidRPr="00EC673F">
              <w:rPr>
                <w:rFonts w:cs="Arial"/>
                <w:b/>
                <w:vanish/>
              </w:rPr>
              <w:t>DR 5105</w:t>
            </w:r>
          </w:p>
        </w:tc>
      </w:tr>
      <w:tr w:rsidR="0045199A" w:rsidRPr="00725902" w14:paraId="7C7CAA7E" w14:textId="77777777"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F5BB6B1" w14:textId="77777777" w:rsidR="0045199A" w:rsidRPr="00EC673F" w:rsidRDefault="0045199A" w:rsidP="00543B0D">
            <w:pPr>
              <w:pStyle w:val="TableText"/>
              <w:rPr>
                <w:rFonts w:cs="Arial"/>
              </w:rPr>
            </w:pPr>
            <w:r w:rsidRPr="00EC673F">
              <w:rPr>
                <w:rFonts w:cs="Arial"/>
              </w:rPr>
              <w:t>Blood donor collection activities (donor module)</w:t>
            </w:r>
          </w:p>
        </w:tc>
      </w:tr>
      <w:tr w:rsidR="0045199A" w:rsidRPr="00725902" w14:paraId="5067EA5B" w14:textId="77777777"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5A5B043" w14:textId="77777777" w:rsidR="0045199A" w:rsidRPr="00EC673F" w:rsidRDefault="0045199A" w:rsidP="00543B0D">
            <w:pPr>
              <w:pStyle w:val="TableText"/>
              <w:rPr>
                <w:rFonts w:cs="Arial"/>
              </w:rPr>
            </w:pPr>
            <w:r w:rsidRPr="00EC673F">
              <w:rPr>
                <w:rFonts w:cs="Arial"/>
              </w:rPr>
              <w:t>Direct data entry of antibody identification</w:t>
            </w:r>
          </w:p>
        </w:tc>
      </w:tr>
      <w:tr w:rsidR="0045199A" w:rsidRPr="00725902" w14:paraId="54BC8AA0" w14:textId="77777777"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D96941A" w14:textId="77777777" w:rsidR="0045199A" w:rsidRPr="00EC673F" w:rsidRDefault="0045199A" w:rsidP="00543B0D">
            <w:pPr>
              <w:pStyle w:val="TableText"/>
              <w:rPr>
                <w:rFonts w:cs="Arial"/>
              </w:rPr>
            </w:pPr>
            <w:r w:rsidRPr="00EC673F">
              <w:rPr>
                <w:rFonts w:cs="Arial"/>
              </w:rPr>
              <w:t xml:space="preserve">Direct data entry of transfusion reaction workups </w:t>
            </w:r>
          </w:p>
        </w:tc>
      </w:tr>
      <w:tr w:rsidR="0045199A" w:rsidRPr="00725902" w14:paraId="22300F7A" w14:textId="77777777"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01F0C84" w14:textId="77777777" w:rsidR="0045199A" w:rsidRPr="00EC673F" w:rsidRDefault="0045199A" w:rsidP="00543B0D">
            <w:pPr>
              <w:pStyle w:val="TableText"/>
              <w:rPr>
                <w:rFonts w:cs="Arial"/>
              </w:rPr>
            </w:pPr>
            <w:r w:rsidRPr="00EC673F">
              <w:rPr>
                <w:rFonts w:cs="Arial"/>
              </w:rPr>
              <w:t>Patient testing, transfusions, and blood components recorded in Legacy VistA are not available in VBECS</w:t>
            </w:r>
          </w:p>
        </w:tc>
      </w:tr>
      <w:tr w:rsidR="0045199A" w:rsidRPr="00725902" w14:paraId="16404E76" w14:textId="77777777"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8CE87E6" w14:textId="77777777" w:rsidR="0045199A" w:rsidRPr="00EC673F" w:rsidRDefault="0045199A" w:rsidP="00543B0D">
            <w:pPr>
              <w:pStyle w:val="TableText"/>
              <w:rPr>
                <w:rFonts w:cs="Arial"/>
              </w:rPr>
            </w:pPr>
            <w:r w:rsidRPr="00EC673F">
              <w:rPr>
                <w:rFonts w:cs="Arial"/>
              </w:rPr>
              <w:t>Pediatric blood product preparation</w:t>
            </w:r>
          </w:p>
        </w:tc>
      </w:tr>
      <w:tr w:rsidR="0045199A" w14:paraId="1BC5B984" w14:textId="77777777"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C0EB86B" w14:textId="77777777" w:rsidR="0045199A" w:rsidRPr="00EC673F" w:rsidRDefault="0045199A" w:rsidP="00543B0D">
            <w:pPr>
              <w:pStyle w:val="TableText"/>
              <w:rPr>
                <w:rFonts w:cs="Arial"/>
              </w:rPr>
            </w:pPr>
            <w:r w:rsidRPr="00EC673F">
              <w:rPr>
                <w:rFonts w:cs="Arial"/>
              </w:rPr>
              <w:t>Printing of blood product labels</w:t>
            </w:r>
          </w:p>
        </w:tc>
      </w:tr>
      <w:tr w:rsidR="0045199A" w:rsidRPr="009B07A5" w14:paraId="164FE586" w14:textId="77777777"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B6AABDD" w14:textId="77777777" w:rsidR="0045199A" w:rsidRPr="00EC673F" w:rsidRDefault="0045199A" w:rsidP="00543B0D">
            <w:pPr>
              <w:pStyle w:val="TableText"/>
              <w:rPr>
                <w:rFonts w:cs="Arial"/>
                <w:sz w:val="22"/>
                <w:szCs w:val="22"/>
              </w:rPr>
            </w:pPr>
            <w:r w:rsidRPr="00EC673F">
              <w:rPr>
                <w:rFonts w:cs="Arial"/>
              </w:rPr>
              <w:t>User defined customized queries or reports</w:t>
            </w:r>
          </w:p>
        </w:tc>
      </w:tr>
      <w:tr w:rsidR="0045199A" w:rsidRPr="00725902" w14:paraId="32938162" w14:textId="77777777" w:rsidTr="00543B0D">
        <w:trPr>
          <w:cantSplit/>
          <w:trHeight w:val="312"/>
        </w:trPr>
        <w:tc>
          <w:tcPr>
            <w:tcW w:w="9360" w:type="dxa"/>
            <w:tcBorders>
              <w:top w:val="single" w:sz="6" w:space="0" w:color="000000"/>
              <w:left w:val="single" w:sz="6" w:space="0" w:color="000000"/>
              <w:bottom w:val="single" w:sz="6" w:space="0" w:color="000000"/>
              <w:right w:val="single" w:sz="6" w:space="0" w:color="000000"/>
            </w:tcBorders>
            <w:vAlign w:val="bottom"/>
          </w:tcPr>
          <w:p w14:paraId="12250DEA" w14:textId="77777777" w:rsidR="0045199A" w:rsidRPr="00EC673F" w:rsidRDefault="0045199A" w:rsidP="00543B0D">
            <w:pPr>
              <w:pStyle w:val="TableText"/>
              <w:rPr>
                <w:rFonts w:cs="Arial"/>
              </w:rPr>
            </w:pPr>
            <w:r w:rsidRPr="00EC673F">
              <w:rPr>
                <w:rFonts w:cs="Arial"/>
              </w:rPr>
              <w:t>User editing blood product, antigen, antibody, or transfusion reaction tables</w:t>
            </w:r>
          </w:p>
        </w:tc>
      </w:tr>
      <w:tr w:rsidR="0045199A" w:rsidRPr="00725902" w14:paraId="6118218C" w14:textId="77777777"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FD748FE" w14:textId="77777777" w:rsidR="0045199A" w:rsidRPr="00EC673F" w:rsidRDefault="0045199A" w:rsidP="00543B0D">
            <w:pPr>
              <w:pStyle w:val="TableText"/>
              <w:rPr>
                <w:rFonts w:cs="Arial"/>
              </w:rPr>
            </w:pPr>
            <w:r w:rsidRPr="00EC673F">
              <w:rPr>
                <w:rFonts w:cs="Arial"/>
              </w:rPr>
              <w:t>Validation record storage</w:t>
            </w:r>
          </w:p>
        </w:tc>
      </w:tr>
    </w:tbl>
    <w:p w14:paraId="75CBD990" w14:textId="77777777" w:rsidR="0045199A" w:rsidRPr="0045199A" w:rsidRDefault="0045199A" w:rsidP="0045199A">
      <w:pPr>
        <w:pStyle w:val="BodyText"/>
        <w:spacing w:after="0"/>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D01896" w14:paraId="7B1BC802"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866641F" w14:textId="77777777" w:rsidR="003F0440" w:rsidRPr="00D01896" w:rsidRDefault="003F0440" w:rsidP="002D126B">
            <w:pPr>
              <w:pStyle w:val="TableText"/>
              <w:rPr>
                <w:b/>
              </w:rPr>
            </w:pPr>
            <w:r>
              <w:rPr>
                <w:b/>
              </w:rPr>
              <w:t>Throughout VBECS</w:t>
            </w:r>
          </w:p>
        </w:tc>
      </w:tr>
      <w:tr w:rsidR="003F0440" w:rsidRPr="00725902" w14:paraId="4B38469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3D4F141" w14:textId="77777777" w:rsidR="003F0440" w:rsidRDefault="003F0440" w:rsidP="002D126B">
            <w:pPr>
              <w:pStyle w:val="TableText"/>
            </w:pPr>
            <w:r>
              <w:t xml:space="preserve">After entering a canned or free-text comment in the testing comment field of the testing grid, the user must press </w:t>
            </w:r>
            <w:r w:rsidRPr="00E755C0">
              <w:rPr>
                <w:b/>
              </w:rPr>
              <w:t>Enter</w:t>
            </w:r>
            <w:r>
              <w:t xml:space="preserve"> to store the comment.</w:t>
            </w:r>
          </w:p>
        </w:tc>
      </w:tr>
      <w:tr w:rsidR="00096EDC" w:rsidRPr="00696FA6" w14:paraId="3BCE4DF7"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8FA0CEA" w14:textId="77777777" w:rsidR="00096EDC" w:rsidRPr="00696FA6" w:rsidRDefault="00096EDC" w:rsidP="002D126B">
            <w:pPr>
              <w:pStyle w:val="TableText"/>
            </w:pPr>
            <w:r>
              <w:t>Although t</w:t>
            </w:r>
            <w:r w:rsidRPr="002B06B2">
              <w:t>he copy-and-paste function is enabled</w:t>
            </w:r>
            <w:r>
              <w:t>, do</w:t>
            </w:r>
            <w:r w:rsidRPr="002B06B2">
              <w:t xml:space="preserve"> not use it to enter patient identification information. </w:t>
            </w:r>
            <w:r>
              <w:t>It is highly</w:t>
            </w:r>
            <w:r w:rsidRPr="002B06B2">
              <w:t xml:space="preserve"> recommend</w:t>
            </w:r>
            <w:r>
              <w:t>ed</w:t>
            </w:r>
            <w:r w:rsidRPr="002B06B2">
              <w:t xml:space="preserve"> that the user scan this information when possible</w:t>
            </w:r>
            <w:r>
              <w:t>;</w:t>
            </w:r>
            <w:r w:rsidRPr="002B06B2">
              <w:t xml:space="preserve"> otherwise</w:t>
            </w:r>
            <w:r>
              <w:t xml:space="preserve">, enter it </w:t>
            </w:r>
            <w:r w:rsidRPr="002B06B2">
              <w:rPr>
                <w:vanish/>
              </w:rPr>
              <w:t>(DR 2,519)</w:t>
            </w:r>
            <w:r w:rsidRPr="002B06B2">
              <w:t>.</w:t>
            </w:r>
          </w:p>
        </w:tc>
      </w:tr>
      <w:tr w:rsidR="003F0440" w:rsidRPr="00696FA6" w14:paraId="1A20ADDE"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491D837" w14:textId="77777777" w:rsidR="003F0440" w:rsidRPr="00696FA6" w:rsidRDefault="003F0440" w:rsidP="002D126B">
            <w:pPr>
              <w:pStyle w:val="TableText"/>
            </w:pPr>
            <w:r w:rsidRPr="00696FA6">
              <w:t>Data retrieval from VBECS is available only by approved database integration agreement.</w:t>
            </w:r>
          </w:p>
        </w:tc>
      </w:tr>
      <w:tr w:rsidR="003F0440" w:rsidRPr="00696FA6" w14:paraId="078D60EB"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2BAE919" w14:textId="77777777" w:rsidR="003F0440" w:rsidRPr="00696FA6" w:rsidRDefault="003F0440" w:rsidP="002D126B">
            <w:pPr>
              <w:pStyle w:val="TableText"/>
            </w:pPr>
            <w:r w:rsidRPr="00696FA6">
              <w:t xml:space="preserve">Information may not be transferred from one window to another without refreshing the screen. When a window is partially displayed or freezes; or when you move from one window to another, enter information, return to the original window, and the entered information is not available, minimize then maximize the window to refresh it. </w:t>
            </w:r>
            <w:r w:rsidRPr="00A10483">
              <w:rPr>
                <w:vanish/>
                <w:szCs w:val="18"/>
              </w:rPr>
              <w:t>UserDoc Task 1086</w:t>
            </w:r>
          </w:p>
        </w:tc>
      </w:tr>
      <w:tr w:rsidR="003F0440" w:rsidRPr="00696FA6" w14:paraId="03FE51DB"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5CBBC29" w14:textId="77777777" w:rsidR="003F0440" w:rsidRPr="00696FA6" w:rsidRDefault="003F0440" w:rsidP="002D126B">
            <w:pPr>
              <w:pStyle w:val="TableText"/>
            </w:pPr>
            <w:r w:rsidRPr="00696FA6">
              <w:t>Initial blood orders must be placed in CPRS. Tests and products may be added to existing orders in VBECS.</w:t>
            </w:r>
          </w:p>
        </w:tc>
      </w:tr>
      <w:tr w:rsidR="00DF4846" w:rsidRPr="00696FA6" w14:paraId="100F5219"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E96F3AF" w14:textId="77777777" w:rsidR="00DF4846" w:rsidRPr="00696FA6" w:rsidRDefault="00DF4846" w:rsidP="002D126B">
            <w:pPr>
              <w:pStyle w:val="TableText"/>
            </w:pPr>
            <w:r>
              <w:t>Maximize option windows</w:t>
            </w:r>
            <w:r w:rsidRPr="00DF4846">
              <w:t xml:space="preserve"> to display safety-critical information</w:t>
            </w:r>
            <w:r>
              <w:t xml:space="preserve"> in full.</w:t>
            </w:r>
          </w:p>
        </w:tc>
      </w:tr>
      <w:tr w:rsidR="00A51F68" w:rsidRPr="00696FA6" w14:paraId="7E30E23C"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6CD5489" w14:textId="77777777" w:rsidR="00A51F68" w:rsidRPr="00AF0F0D" w:rsidRDefault="00A51F68" w:rsidP="002D126B">
            <w:pPr>
              <w:pStyle w:val="TableText"/>
            </w:pPr>
            <w:r w:rsidRPr="00AF0F0D">
              <w:t>The date and time displayed in VBECS depend on the date and time set on the server. Sites are not notified when an administrator changes the date or time on the server. Users must contact their System Administrator when the date or time is incorrect.</w:t>
            </w:r>
          </w:p>
        </w:tc>
      </w:tr>
      <w:tr w:rsidR="003F0440" w:rsidRPr="00696FA6" w14:paraId="7CC0635A"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464092A" w14:textId="77777777" w:rsidR="003F0440" w:rsidRPr="00696FA6" w:rsidRDefault="003F0440" w:rsidP="002D126B">
            <w:pPr>
              <w:pStyle w:val="TableText"/>
            </w:pPr>
            <w:r w:rsidRPr="00696FA6">
              <w:t>VBECS depends on a connection to VistA and CPRS to retrieve patient information and orders, respectively.</w:t>
            </w:r>
          </w:p>
        </w:tc>
      </w:tr>
      <w:tr w:rsidR="003F0440" w:rsidRPr="00696FA6" w14:paraId="38221558"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BB05E64" w14:textId="77777777" w:rsidR="003F0440" w:rsidRPr="00696FA6" w:rsidRDefault="003F0440" w:rsidP="002D126B">
            <w:pPr>
              <w:pStyle w:val="TableText"/>
            </w:pPr>
            <w:r w:rsidRPr="00696FA6">
              <w:t xml:space="preserve">When a message window requires a user response and VBECS displays it behind the active window, the user must minimize the active window or click and drag dialog boxes to expose the message window. </w:t>
            </w:r>
          </w:p>
        </w:tc>
      </w:tr>
      <w:tr w:rsidR="003F0440" w:rsidRPr="00696FA6" w14:paraId="373224C5"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E99A3EB" w14:textId="77777777" w:rsidR="003F0440" w:rsidRPr="00696FA6" w:rsidRDefault="003F0440" w:rsidP="002D126B">
            <w:pPr>
              <w:pStyle w:val="TableText"/>
            </w:pPr>
            <w:r w:rsidRPr="00696FA6">
              <w:t>When the default screen resolution is changed, division or VistALink information may not be entirely visible.</w:t>
            </w:r>
          </w:p>
        </w:tc>
      </w:tr>
      <w:tr w:rsidR="003F0440" w:rsidRPr="00C05FB7" w14:paraId="79CF76FC"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9B96E76" w14:textId="77777777" w:rsidR="003F0440" w:rsidRPr="00C05FB7" w:rsidRDefault="003F0440" w:rsidP="002D126B">
            <w:pPr>
              <w:pStyle w:val="TableText"/>
              <w:rPr>
                <w:b/>
              </w:rPr>
            </w:pPr>
            <w:r>
              <w:t xml:space="preserve">When the user does not enter a full or partial unit ID and clicks the </w:t>
            </w:r>
            <w:r w:rsidR="00A6373D">
              <w:rPr>
                <w:b/>
              </w:rPr>
              <w:t>find</w:t>
            </w:r>
            <w:r>
              <w:t xml:space="preserve"> button in the Unit Search Screen, response time will vary based on the size of the database.</w:t>
            </w:r>
          </w:p>
        </w:tc>
      </w:tr>
    </w:tbl>
    <w:p w14:paraId="2714A4C0" w14:textId="77777777" w:rsidR="00EE4091" w:rsidRDefault="00EE4091" w:rsidP="00BF4964">
      <w:pPr>
        <w:pStyle w:val="TableText"/>
      </w:pPr>
    </w:p>
    <w:p w14:paraId="5E010F52" w14:textId="77777777" w:rsidR="00BF4964" w:rsidRDefault="00EE4091" w:rsidP="00BF4964">
      <w:pPr>
        <w:pStyle w:val="TableText"/>
      </w:pPr>
      <w:r>
        <w:br w:type="page"/>
      </w: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C05FB7" w14:paraId="7B655659"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9B5B81E" w14:textId="77777777" w:rsidR="003F0440" w:rsidRPr="00C05FB7" w:rsidRDefault="003F0440" w:rsidP="002D126B">
            <w:pPr>
              <w:pStyle w:val="TableText"/>
              <w:rPr>
                <w:b/>
              </w:rPr>
            </w:pPr>
            <w:r w:rsidRPr="00C05FB7">
              <w:rPr>
                <w:b/>
              </w:rPr>
              <w:lastRenderedPageBreak/>
              <w:t>ABO/Rh Confirmation</w:t>
            </w:r>
          </w:p>
        </w:tc>
      </w:tr>
      <w:tr w:rsidR="001C6E63" w:rsidRPr="00725902" w14:paraId="3959FF6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9AE9368" w14:textId="77777777" w:rsidR="001C6E63" w:rsidRDefault="001C6E63" w:rsidP="002D126B">
            <w:pPr>
              <w:pStyle w:val="TableText"/>
              <w:rPr>
                <w:rFonts w:cs="Arial"/>
                <w:vanish/>
              </w:rPr>
            </w:pPr>
            <w:r>
              <w:rPr>
                <w:rFonts w:cs="Arial"/>
              </w:rPr>
              <w:t>This option is disabled for transfusion-only facilities.</w:t>
            </w:r>
          </w:p>
        </w:tc>
      </w:tr>
      <w:tr w:rsidR="003F0440" w:rsidRPr="00725902" w14:paraId="4216571B" w14:textId="77777777">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14:paraId="4CA71D28" w14:textId="77777777" w:rsidR="003F0440" w:rsidRPr="00725902" w:rsidRDefault="003F0440" w:rsidP="002D126B">
            <w:pPr>
              <w:pStyle w:val="TableText"/>
            </w:pPr>
            <w:r>
              <w:rPr>
                <w:rFonts w:cs="Arial"/>
                <w:vanish/>
              </w:rPr>
              <w:t xml:space="preserve">BR_2.04 </w:t>
            </w:r>
            <w:r w:rsidR="007D535F">
              <w:t>When building a worklist by invoice number, only invoiced units not previously tested and confirmed appear on the worklist. The user may deselect or add additional units.</w:t>
            </w:r>
          </w:p>
        </w:tc>
      </w:tr>
      <w:tr w:rsidR="003F0440" w:rsidRPr="00725902" w14:paraId="3C7C7872" w14:textId="77777777">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14:paraId="6E187CE6" w14:textId="77777777" w:rsidR="003F0440" w:rsidRPr="00725902" w:rsidRDefault="003F0440" w:rsidP="002D126B">
            <w:pPr>
              <w:pStyle w:val="TableText"/>
            </w:pPr>
            <w:r>
              <w:rPr>
                <w:rFonts w:cs="Arial"/>
                <w:vanish/>
              </w:rPr>
              <w:t xml:space="preserve">BR_27.09 </w:t>
            </w:r>
            <w:r>
              <w:t xml:space="preserve">For batch processing, </w:t>
            </w:r>
            <w:r w:rsidR="000E5D74">
              <w:t xml:space="preserve">the user can select </w:t>
            </w:r>
            <w:r>
              <w:t xml:space="preserve">incoming shipment invoices from </w:t>
            </w:r>
            <w:r w:rsidR="000E5D74">
              <w:t xml:space="preserve">his division, processed within </w:t>
            </w:r>
            <w:r>
              <w:t>the previous five days</w:t>
            </w:r>
            <w:r w:rsidRPr="008631E9">
              <w:t>.</w:t>
            </w:r>
          </w:p>
        </w:tc>
      </w:tr>
      <w:tr w:rsidR="003F0440" w:rsidRPr="00725902" w14:paraId="4D13C4B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E256EAE" w14:textId="77777777" w:rsidR="003F0440" w:rsidRPr="00725902" w:rsidRDefault="003F0440" w:rsidP="002D126B">
            <w:pPr>
              <w:pStyle w:val="TableText"/>
            </w:pPr>
            <w:r>
              <w:t xml:space="preserve">VBECS does not display product </w:t>
            </w:r>
            <w:r w:rsidRPr="008631E9">
              <w:t>code</w:t>
            </w:r>
            <w:r>
              <w:t xml:space="preserve">s associated with unit IDs in ABO/Rh Confirmation. Therefore, do not create ABO/Rh confirmation worklists containing units with the same unit ID. </w:t>
            </w:r>
          </w:p>
        </w:tc>
      </w:tr>
      <w:tr w:rsidR="001C6E63" w:rsidRPr="00725902" w14:paraId="3B5FE55D"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A6E0FC6" w14:textId="77777777" w:rsidR="001C6E63" w:rsidRDefault="001C6E63" w:rsidP="002D126B">
            <w:pPr>
              <w:pStyle w:val="TableText"/>
            </w:pPr>
            <w:r>
              <w:t xml:space="preserve">POOLED GRANULOCYTES </w:t>
            </w:r>
            <w:r w:rsidR="003D1470">
              <w:t xml:space="preserve">labeled </w:t>
            </w:r>
            <w:r w:rsidR="003D1470" w:rsidRPr="00D12C95">
              <w:t>with an Rh type of “Pooled” is considered an Rh Positive unit which does not require confirmation testing.</w:t>
            </w:r>
          </w:p>
        </w:tc>
      </w:tr>
      <w:tr w:rsidR="001C6E63" w:rsidRPr="00725902" w14:paraId="31962ED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8EEF0BB" w14:textId="77777777" w:rsidR="001C6E63" w:rsidRDefault="003D1470" w:rsidP="002D126B">
            <w:pPr>
              <w:pStyle w:val="TableText"/>
            </w:pPr>
            <w:r>
              <w:t xml:space="preserve">POOLED GRANULOCYTES labeled </w:t>
            </w:r>
            <w:r w:rsidRPr="00D12C95">
              <w:t>with an</w:t>
            </w:r>
            <w:r>
              <w:t xml:space="preserve"> </w:t>
            </w:r>
            <w:r w:rsidRPr="00E44A83">
              <w:t>ABO group of “Pooled” cannot be confirmed. A blood component unit received as “POOLED ABO” will have to be transfused using the Supervisory option, Document ABO Incompatible Transfusion.</w:t>
            </w:r>
          </w:p>
        </w:tc>
      </w:tr>
      <w:tr w:rsidR="003E0483" w:rsidRPr="00725902" w14:paraId="2017991C"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E453538" w14:textId="0B763E45" w:rsidR="003E0483" w:rsidRDefault="003E0483" w:rsidP="002D126B">
            <w:pPr>
              <w:pStyle w:val="TableText"/>
            </w:pPr>
            <w:r>
              <w:t xml:space="preserve">Patient assignment is not released </w:t>
            </w:r>
            <w:r w:rsidRPr="00B26970">
              <w:rPr>
                <w:rFonts w:cs="Arial"/>
                <w:szCs w:val="18"/>
              </w:rPr>
              <w:t>automatically when a unit is quarantined due to discrepant ABO/Rh retype testing.</w:t>
            </w:r>
            <w:r>
              <w:rPr>
                <w:rFonts w:cs="Arial"/>
                <w:szCs w:val="18"/>
              </w:rPr>
              <w:t xml:space="preserve"> </w:t>
            </w:r>
            <w:r w:rsidRPr="00B26970">
              <w:rPr>
                <w:rFonts w:cs="Arial"/>
                <w:szCs w:val="18"/>
              </w:rPr>
              <w:t xml:space="preserve">The unit is quarantined and cannot be selected for a different patient or issued for </w:t>
            </w:r>
            <w:r>
              <w:rPr>
                <w:rFonts w:cs="Arial"/>
                <w:szCs w:val="18"/>
              </w:rPr>
              <w:t>the current</w:t>
            </w:r>
            <w:r w:rsidRPr="00B26970">
              <w:rPr>
                <w:rFonts w:cs="Arial"/>
                <w:szCs w:val="18"/>
              </w:rPr>
              <w:t xml:space="preserve"> patient.</w:t>
            </w:r>
            <w:r>
              <w:rPr>
                <w:rFonts w:cs="Arial"/>
                <w:szCs w:val="18"/>
              </w:rPr>
              <w:t xml:space="preserve"> Quarantined units are clearly marked in VBECS and cannot be issued.</w:t>
            </w:r>
            <w:r w:rsidR="00EF7C8A">
              <w:rPr>
                <w:rFonts w:cs="Arial"/>
                <w:szCs w:val="18"/>
              </w:rPr>
              <w:t xml:space="preserve"> </w:t>
            </w:r>
            <w:r w:rsidR="00EF7C8A" w:rsidRPr="00EF7C8A">
              <w:rPr>
                <w:rFonts w:cs="Arial"/>
                <w:vanish/>
                <w:szCs w:val="18"/>
              </w:rPr>
              <w:t>Task 213499</w:t>
            </w:r>
          </w:p>
        </w:tc>
      </w:tr>
    </w:tbl>
    <w:p w14:paraId="6990DAEE" w14:textId="77777777" w:rsidR="00BF4964" w:rsidRDefault="00BF4964" w:rsidP="00BF49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023AD" w14:paraId="2B563E9E"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52BC5F5" w14:textId="77777777" w:rsidR="003F0440" w:rsidRPr="007023AD" w:rsidRDefault="003F0440" w:rsidP="002D126B">
            <w:pPr>
              <w:pStyle w:val="TableText"/>
              <w:rPr>
                <w:b/>
              </w:rPr>
            </w:pPr>
            <w:r w:rsidRPr="007023AD">
              <w:rPr>
                <w:b/>
              </w:rPr>
              <w:t xml:space="preserve">Accept Orders: Accept an Order </w:t>
            </w:r>
          </w:p>
        </w:tc>
      </w:tr>
      <w:tr w:rsidR="00C4014D" w:rsidRPr="00725902" w14:paraId="553B4D5A"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6ACFB8E" w14:textId="77777777" w:rsidR="00C4014D" w:rsidRDefault="007B38A2" w:rsidP="002D126B">
            <w:pPr>
              <w:pStyle w:val="TableText"/>
            </w:pPr>
            <w:r>
              <w:t>An order for TAS must be accepted before the component order if the user wants to include the component request to the Inappropriate Transfusion Request Report. Accepting the TAS after the component order is marked inappropriate and accepted clears the user’s indication that this is an inappropriate request</w:t>
            </w:r>
            <w:r w:rsidR="00C425B6">
              <w:t xml:space="preserve">. </w:t>
            </w:r>
            <w:r w:rsidR="00C425B6" w:rsidRPr="00C425B6">
              <w:rPr>
                <w:vanish/>
              </w:rPr>
              <w:t>DR 4854</w:t>
            </w:r>
          </w:p>
        </w:tc>
      </w:tr>
      <w:tr w:rsidR="003F0440" w:rsidRPr="00725902" w14:paraId="04D335F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F135C92" w14:textId="12303352" w:rsidR="003F0440" w:rsidRDefault="003F0440" w:rsidP="002D126B">
            <w:pPr>
              <w:pStyle w:val="TableText"/>
            </w:pPr>
            <w:r>
              <w:t>When no CPRS order exists, the user must process the specimen offline.</w:t>
            </w:r>
            <w:r w:rsidR="0050322E">
              <w:t xml:space="preserve"> The emergency order check box is not enabled unless there is a CPRS order and a patient specimen accessioned in VistA. If necessary, process the emergency issue of units</w:t>
            </w:r>
            <w:r w:rsidR="00850DE6">
              <w:t xml:space="preserve"> manually, per local policy, until the specimen is received and accessioned. </w:t>
            </w:r>
            <w:r w:rsidR="00850DE6" w:rsidRPr="00850DE6">
              <w:rPr>
                <w:vanish/>
              </w:rPr>
              <w:t>Defect 208536</w:t>
            </w:r>
          </w:p>
        </w:tc>
      </w:tr>
      <w:tr w:rsidR="009E2EF4" w:rsidRPr="00725902" w14:paraId="7F7A548E" w14:textId="77777777">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14:paraId="35C91D6B" w14:textId="77777777" w:rsidR="009E2EF4" w:rsidRDefault="009E2EF4" w:rsidP="009E2EF4">
            <w:pPr>
              <w:pStyle w:val="TableText"/>
            </w:pPr>
            <w:r w:rsidRPr="009E2EF4">
              <w:rPr>
                <w:vanish/>
              </w:rPr>
              <w:t>DR 2,811</w:t>
            </w:r>
            <w:r>
              <w:t>The user must accept the Type &amp; Screen (TAS) before he accepts other diagnostic tests or component orders.</w:t>
            </w:r>
          </w:p>
        </w:tc>
      </w:tr>
      <w:tr w:rsidR="009E2EF4" w:rsidRPr="00725902" w14:paraId="1E44ACA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30ABEC1" w14:textId="77777777" w:rsidR="009E2EF4" w:rsidRDefault="009E2EF4" w:rsidP="009E2EF4">
            <w:pPr>
              <w:pStyle w:val="TableText"/>
            </w:pPr>
            <w:r>
              <w:t>T</w:t>
            </w:r>
            <w:r w:rsidRPr="00AB4ABB">
              <w:t>he</w:t>
            </w:r>
            <w:r>
              <w:t xml:space="preserve"> user cannot click </w:t>
            </w:r>
            <w:r w:rsidR="00057948">
              <w:rPr>
                <w:noProof/>
              </w:rPr>
              <w:drawing>
                <wp:inline distT="0" distB="0" distL="0" distR="0" wp14:anchorId="65758699" wp14:editId="68B98288">
                  <wp:extent cx="156845" cy="156845"/>
                  <wp:effectExtent l="0" t="0" r="0" b="0"/>
                  <wp:docPr id="272" name="Picture 272" descr="P17063C5T15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descr="P17063C5T158#yIS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(Restricted or Assigned Units) to access information on autologous or directed units that may be restricted to a patient.</w:t>
            </w:r>
          </w:p>
        </w:tc>
      </w:tr>
      <w:tr w:rsidR="001C50C2" w:rsidRPr="00725902" w14:paraId="447EED28"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B9F975F" w14:textId="77777777" w:rsidR="001C50C2" w:rsidRDefault="0055788D" w:rsidP="009C1EBC">
            <w:pPr>
              <w:pStyle w:val="TableText"/>
            </w:pPr>
            <w:r>
              <w:t>Orders placed for patient</w:t>
            </w:r>
            <w:r w:rsidR="001C50C2" w:rsidRPr="00DD022C">
              <w:t>s with names that exceed the database standard for File #2 (30 characters) or do not have a first or last name in VistA are rejected and do not appear in VBECS. The VBECS System Administrator is notified of each rejection via an email to the address entered in VBECS Administrator “</w:t>
            </w:r>
            <w:r w:rsidR="009C1EBC">
              <w:t>Email Alerts</w:t>
            </w:r>
            <w:r w:rsidR="001C50C2" w:rsidRPr="00DD022C">
              <w:t>” field.</w:t>
            </w:r>
          </w:p>
        </w:tc>
      </w:tr>
      <w:tr w:rsidR="00F801AC" w:rsidRPr="00725902" w14:paraId="0A6E54AA"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45CE29C" w14:textId="47D34F4E" w:rsidR="00F801AC" w:rsidRDefault="00F801AC" w:rsidP="009E2EF4">
            <w:pPr>
              <w:pStyle w:val="TableText"/>
            </w:pPr>
            <w:r>
              <w:t>A VBECS order on a Collection List has to be received with a date and time in VistA to make the specimen available in VBECS.</w:t>
            </w:r>
            <w:r w:rsidR="00850DE6">
              <w:t xml:space="preserve"> Orders should not be assigned a date/time collected of T@U. </w:t>
            </w:r>
            <w:r w:rsidR="00850DE6" w:rsidRPr="00850DE6">
              <w:rPr>
                <w:vanish/>
              </w:rPr>
              <w:t>Defect 209993</w:t>
            </w:r>
          </w:p>
        </w:tc>
      </w:tr>
      <w:tr w:rsidR="00850DE6" w:rsidRPr="00725902" w14:paraId="07C7020A"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1244710" w14:textId="2FBA59EE" w:rsidR="00850DE6" w:rsidRDefault="00850DE6" w:rsidP="009E2EF4">
            <w:pPr>
              <w:pStyle w:val="TableText"/>
            </w:pPr>
            <w:r>
              <w:t>Orders must include a patient location. A</w:t>
            </w:r>
            <w:r w:rsidRPr="001B1422">
              <w:t xml:space="preserve"> VBECS system error occurs when a user trie</w:t>
            </w:r>
            <w:r>
              <w:t xml:space="preserve">s to print an order without a </w:t>
            </w:r>
            <w:r w:rsidRPr="001B1422">
              <w:t>patient locatio</w:t>
            </w:r>
            <w:r>
              <w:t xml:space="preserve">n. </w:t>
            </w:r>
            <w:r w:rsidRPr="00850DE6">
              <w:rPr>
                <w:vanish/>
              </w:rPr>
              <w:t>Defect 210129</w:t>
            </w:r>
          </w:p>
        </w:tc>
      </w:tr>
      <w:tr w:rsidR="00850DE6" w:rsidRPr="00725902" w14:paraId="13F7BC8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5D553AB" w14:textId="5927EEF3" w:rsidR="00850DE6" w:rsidRDefault="00850DE6" w:rsidP="009E2EF4">
            <w:pPr>
              <w:pStyle w:val="TableText"/>
            </w:pPr>
            <w:r>
              <w:t>The “Display Restricted or Assigned U</w:t>
            </w:r>
            <w:r w:rsidRPr="0086534E">
              <w:t>nits</w:t>
            </w:r>
            <w:r>
              <w:t>”</w:t>
            </w:r>
            <w:r w:rsidRPr="0086534E">
              <w:t xml:space="preserve"> button in Accept Ord</w:t>
            </w:r>
            <w:r>
              <w:t xml:space="preserve">ers was disabled. </w:t>
            </w:r>
            <w:r w:rsidRPr="00822375">
              <w:t>The Blood Availability Report displays units assigned and restricted for all patients.</w:t>
            </w:r>
            <w:r>
              <w:t xml:space="preserve"> </w:t>
            </w:r>
            <w:r w:rsidRPr="00850DE6">
              <w:rPr>
                <w:vanish/>
              </w:rPr>
              <w:t>Defect 209835</w:t>
            </w:r>
          </w:p>
        </w:tc>
      </w:tr>
      <w:tr w:rsidR="00850DE6" w:rsidRPr="00725902" w14:paraId="0355B7FD"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BFA1072" w14:textId="75028C1A" w:rsidR="00850DE6" w:rsidRDefault="00850DE6" w:rsidP="009E2EF4">
            <w:pPr>
              <w:pStyle w:val="TableText"/>
            </w:pPr>
            <w:r w:rsidRPr="002F47AC">
              <w:t>On the Accept Orders screen, clicking the Received and Wanted column headers does not sort on the date and time of the Pending Order List.</w:t>
            </w:r>
            <w:r>
              <w:t xml:space="preserve"> </w:t>
            </w:r>
            <w:r w:rsidRPr="00850DE6">
              <w:rPr>
                <w:vanish/>
              </w:rPr>
              <w:t>Defect 209030</w:t>
            </w:r>
          </w:p>
        </w:tc>
      </w:tr>
    </w:tbl>
    <w:p w14:paraId="45B2B701" w14:textId="77777777" w:rsidR="00BA0F42" w:rsidRDefault="00BA0F42" w:rsidP="00BF49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AF5480" w14:paraId="0EECDA91"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4237282" w14:textId="77777777" w:rsidR="003F0440" w:rsidRPr="00AF5480" w:rsidRDefault="003F0440" w:rsidP="002D126B">
            <w:pPr>
              <w:pStyle w:val="TableText"/>
              <w:rPr>
                <w:b/>
              </w:rPr>
            </w:pPr>
            <w:r w:rsidRPr="00AF5480">
              <w:rPr>
                <w:b/>
              </w:rPr>
              <w:t>Accept Orders: Cancel a Pending Order</w:t>
            </w:r>
          </w:p>
        </w:tc>
      </w:tr>
      <w:tr w:rsidR="003F0440" w:rsidRPr="00725902" w14:paraId="506CABD6"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F89B189" w14:textId="77777777" w:rsidR="003F0440" w:rsidRDefault="003F0440" w:rsidP="002D126B">
            <w:pPr>
              <w:pStyle w:val="TableText"/>
            </w:pPr>
            <w:r>
              <w:t>Cancellation of one order does not affect other orders placed with it.</w:t>
            </w:r>
          </w:p>
        </w:tc>
      </w:tr>
    </w:tbl>
    <w:p w14:paraId="74090D20" w14:textId="4F940187" w:rsidR="00850DE6" w:rsidRDefault="00850DE6" w:rsidP="00BF4964">
      <w:pPr>
        <w:pStyle w:val="TableText"/>
      </w:pPr>
    </w:p>
    <w:p w14:paraId="7C0B64FE" w14:textId="77777777" w:rsidR="00850DE6" w:rsidRDefault="00850DE6">
      <w:pPr>
        <w:rPr>
          <w:rFonts w:ascii="Arial" w:hAnsi="Arial"/>
          <w:sz w:val="18"/>
        </w:rPr>
      </w:pPr>
      <w:r>
        <w:br w:type="page"/>
      </w:r>
    </w:p>
    <w:p w14:paraId="76A5BEC2" w14:textId="77777777" w:rsidR="00BF4964" w:rsidRDefault="00BF4964" w:rsidP="00BF4964">
      <w:pPr>
        <w:pStyle w:val="TableText"/>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pct25" w:color="auto" w:fill="auto"/>
        <w:tblLayout w:type="fixed"/>
        <w:tblCellMar>
          <w:top w:w="60" w:type="dxa"/>
          <w:left w:w="60" w:type="dxa"/>
          <w:bottom w:w="60" w:type="dxa"/>
          <w:right w:w="60" w:type="dxa"/>
        </w:tblCellMar>
        <w:tblLook w:val="0000" w:firstRow="0" w:lastRow="0" w:firstColumn="0" w:lastColumn="0" w:noHBand="0" w:noVBand="0"/>
      </w:tblPr>
      <w:tblGrid>
        <w:gridCol w:w="9360"/>
      </w:tblGrid>
      <w:tr w:rsidR="00A1725C" w:rsidRPr="007023AD" w14:paraId="1142ED26" w14:textId="77777777" w:rsidTr="00BF30E4">
        <w:trPr>
          <w:cantSplit/>
        </w:trPr>
        <w:tc>
          <w:tcPr>
            <w:tcW w:w="9360" w:type="dxa"/>
            <w:tcBorders>
              <w:bottom w:val="single" w:sz="6" w:space="0" w:color="000000"/>
            </w:tcBorders>
            <w:shd w:val="clear" w:color="auto" w:fill="BFBFBF" w:themeFill="background1" w:themeFillShade="BF"/>
            <w:vAlign w:val="bottom"/>
          </w:tcPr>
          <w:p w14:paraId="1A498368" w14:textId="77777777" w:rsidR="00A1725C" w:rsidRPr="00A1725C" w:rsidRDefault="00A1725C" w:rsidP="00E01F4B">
            <w:pPr>
              <w:pStyle w:val="TableText"/>
              <w:rPr>
                <w:b/>
              </w:rPr>
            </w:pPr>
            <w:r w:rsidRPr="00A1725C">
              <w:rPr>
                <w:b/>
              </w:rPr>
              <w:t xml:space="preserve">Accept Orders: Pending Order List </w:t>
            </w:r>
          </w:p>
        </w:tc>
      </w:tr>
      <w:tr w:rsidR="00A1725C" w:rsidRPr="00725902" w14:paraId="75747FE3" w14:textId="77777777">
        <w:trPr>
          <w:cantSplit/>
        </w:trPr>
        <w:tc>
          <w:tcPr>
            <w:tcW w:w="9360" w:type="dxa"/>
            <w:shd w:val="clear" w:color="auto" w:fill="auto"/>
            <w:vAlign w:val="bottom"/>
          </w:tcPr>
          <w:p w14:paraId="4F907F67" w14:textId="77777777" w:rsidR="00A1725C" w:rsidRPr="00DD022C" w:rsidRDefault="00A1725C" w:rsidP="00E01F4B">
            <w:pPr>
              <w:pStyle w:val="TableText"/>
            </w:pPr>
            <w:r w:rsidRPr="00DD022C">
              <w:t>Orders placed for patient’s with names that exceed the database standard for File #2 (30 characters) or do not have a first or last name in VistA are rejected and do not appear in VBECS. The VBECS System Administrator is notified of each rejection via an email to the address entered in VBECS Administrator “</w:t>
            </w:r>
            <w:r w:rsidR="009C1EBC">
              <w:t>Email Alerts</w:t>
            </w:r>
            <w:r w:rsidRPr="00DD022C">
              <w:t>” field.</w:t>
            </w:r>
          </w:p>
        </w:tc>
      </w:tr>
    </w:tbl>
    <w:p w14:paraId="115B0FC5" w14:textId="77777777" w:rsidR="00A1725C" w:rsidRDefault="00A1725C" w:rsidP="00BF49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456D10" w:rsidRPr="00EC673F" w14:paraId="4886FE04" w14:textId="77777777" w:rsidTr="00E31E25">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D78A60C" w14:textId="77777777" w:rsidR="00456D10" w:rsidRPr="00EC673F" w:rsidRDefault="00456D10" w:rsidP="00E31E25">
            <w:pPr>
              <w:pStyle w:val="TableText"/>
              <w:rPr>
                <w:rFonts w:cs="Arial"/>
                <w:b/>
              </w:rPr>
            </w:pPr>
            <w:r>
              <w:rPr>
                <w:rFonts w:cs="Arial"/>
                <w:b/>
              </w:rPr>
              <w:t>Accessing the System</w:t>
            </w:r>
          </w:p>
        </w:tc>
      </w:tr>
      <w:tr w:rsidR="00456D10" w:rsidRPr="00EC673F" w14:paraId="092EDF57" w14:textId="77777777" w:rsidTr="00E31E25">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DCBA967" w14:textId="77777777" w:rsidR="00456D10" w:rsidRPr="00EC673F" w:rsidRDefault="00456D10" w:rsidP="00E31E25">
            <w:pPr>
              <w:pStyle w:val="TableText"/>
              <w:rPr>
                <w:rFonts w:cs="Arial"/>
              </w:rPr>
            </w:pPr>
            <w:r>
              <w:rPr>
                <w:rFonts w:cs="Arial"/>
              </w:rPr>
              <w:t xml:space="preserve">VBECS </w:t>
            </w:r>
            <w:r>
              <w:t>automatically logs a</w:t>
            </w:r>
            <w:r w:rsidRPr="00BF7321">
              <w:t xml:space="preserve"> </w:t>
            </w:r>
            <w:r>
              <w:t>user with access to only one division into that division.</w:t>
            </w:r>
          </w:p>
        </w:tc>
      </w:tr>
      <w:tr w:rsidR="00456D10" w:rsidRPr="00EC673F" w14:paraId="758EC6D1" w14:textId="77777777" w:rsidTr="00E31E25">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63AB716" w14:textId="77777777" w:rsidR="00456D10" w:rsidRPr="00EC673F" w:rsidRDefault="00456D10" w:rsidP="00E31E25">
            <w:pPr>
              <w:pStyle w:val="TableText"/>
              <w:rPr>
                <w:rFonts w:cs="Arial"/>
              </w:rPr>
            </w:pPr>
            <w:r>
              <w:rPr>
                <w:rFonts w:cs="Arial"/>
              </w:rPr>
              <w:t xml:space="preserve">Connectivity </w:t>
            </w:r>
            <w:r w:rsidRPr="009E1728">
              <w:t>by IAM services access approval (PIV Card) is not possible when IAM services are not available.</w:t>
            </w:r>
          </w:p>
        </w:tc>
      </w:tr>
      <w:tr w:rsidR="00DB1ADD" w:rsidRPr="00EC673F" w14:paraId="7CECCBC0" w14:textId="77777777" w:rsidTr="00E31E25">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16E3B7D" w14:textId="77777777" w:rsidR="00DB1ADD" w:rsidRDefault="00DB1ADD" w:rsidP="00E31E25">
            <w:pPr>
              <w:pStyle w:val="TableText"/>
              <w:rPr>
                <w:rFonts w:cs="Arial"/>
              </w:rPr>
            </w:pPr>
            <w:r w:rsidRPr="00DB1ADD">
              <w:rPr>
                <w:rFonts w:cs="Arial"/>
              </w:rPr>
              <w:t>Connectivity by IAM services access approval (PIV Card) is not required when a site has a PIV exemption or when IAM services are not available.</w:t>
            </w:r>
          </w:p>
        </w:tc>
      </w:tr>
      <w:tr w:rsidR="00456D10" w:rsidRPr="00EC673F" w14:paraId="086C4D1B" w14:textId="77777777" w:rsidTr="00E31E25">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3517E70" w14:textId="77777777" w:rsidR="00456D10" w:rsidRPr="00EC673F" w:rsidRDefault="00456D10" w:rsidP="00E31E25">
            <w:pPr>
              <w:pStyle w:val="TableText"/>
              <w:rPr>
                <w:rFonts w:cs="Arial"/>
              </w:rPr>
            </w:pPr>
            <w:r w:rsidRPr="00EC673F">
              <w:rPr>
                <w:rFonts w:cs="Arial"/>
              </w:rPr>
              <w:t>Patient testing, transfusions, and blood components recorded in Legacy VistA are not available in VBECS</w:t>
            </w:r>
            <w:r>
              <w:rPr>
                <w:rFonts w:cs="Arial"/>
              </w:rPr>
              <w:t>.</w:t>
            </w:r>
          </w:p>
        </w:tc>
      </w:tr>
      <w:tr w:rsidR="00456D10" w:rsidRPr="00EC673F" w14:paraId="732BE5E2" w14:textId="77777777" w:rsidTr="00E31E25">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DD6C40C" w14:textId="77777777" w:rsidR="00456D10" w:rsidRPr="00EC673F" w:rsidRDefault="00456D10" w:rsidP="00E31E25">
            <w:pPr>
              <w:pStyle w:val="TableText"/>
              <w:rPr>
                <w:rFonts w:cs="Arial"/>
              </w:rPr>
            </w:pPr>
            <w:r>
              <w:rPr>
                <w:rFonts w:cs="Arial"/>
              </w:rPr>
              <w:t>Connectivity is not possible when VistA is not available.</w:t>
            </w:r>
          </w:p>
        </w:tc>
      </w:tr>
      <w:tr w:rsidR="00456D10" w:rsidRPr="00EC673F" w14:paraId="21500D03" w14:textId="77777777" w:rsidTr="00E31E25">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61F1405" w14:textId="77777777" w:rsidR="00456D10" w:rsidRPr="00EC673F" w:rsidRDefault="00456D10" w:rsidP="00E31E25">
            <w:pPr>
              <w:pStyle w:val="TableText"/>
              <w:rPr>
                <w:rFonts w:cs="Arial"/>
              </w:rPr>
            </w:pPr>
            <w:r>
              <w:rPr>
                <w:rFonts w:cs="Arial"/>
              </w:rPr>
              <w:t xml:space="preserve">The user may </w:t>
            </w:r>
            <w:r>
              <w:t>log into multiple terminals simultaneously, but accessing VBECS in multiple sessions is no longer possible due to the way the PIV card works.</w:t>
            </w:r>
          </w:p>
        </w:tc>
      </w:tr>
      <w:tr w:rsidR="00456D10" w:rsidRPr="00EC673F" w14:paraId="5A5EE88C" w14:textId="77777777" w:rsidTr="00E31E25">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70FF60C" w14:textId="77777777" w:rsidR="00456D10" w:rsidRPr="00EC673F" w:rsidRDefault="00456D10" w:rsidP="00E31E25">
            <w:pPr>
              <w:pStyle w:val="TableText"/>
              <w:rPr>
                <w:rFonts w:cs="Arial"/>
              </w:rPr>
            </w:pPr>
            <w:r>
              <w:rPr>
                <w:rFonts w:cs="Arial"/>
              </w:rPr>
              <w:t xml:space="preserve">The Windows </w:t>
            </w:r>
            <w:r w:rsidRPr="00CD4DBB">
              <w:t xml:space="preserve">Security screen </w:t>
            </w:r>
            <w:r>
              <w:t>may be hidden when a user attempts to restore a VistALink connection</w:t>
            </w:r>
            <w:r w:rsidRPr="00CD4DBB">
              <w:t>. For the Windows Security screen</w:t>
            </w:r>
            <w:r>
              <w:t xml:space="preserve"> to appear, the user must drag </w:t>
            </w:r>
            <w:r w:rsidRPr="00CD4DBB">
              <w:t xml:space="preserve"> it from behind another </w:t>
            </w:r>
            <w:r>
              <w:t>window</w:t>
            </w:r>
            <w:r w:rsidRPr="00CD4DBB">
              <w:t xml:space="preserve"> in order to select a certificate and log in</w:t>
            </w:r>
            <w:r>
              <w:t>.</w:t>
            </w:r>
          </w:p>
        </w:tc>
      </w:tr>
    </w:tbl>
    <w:p w14:paraId="060C39ED" w14:textId="77777777" w:rsidR="00456D10" w:rsidRDefault="00456D10" w:rsidP="00BF49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C05FB7" w14:paraId="6E598DC6"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E16DE44" w14:textId="77777777" w:rsidR="003F0440" w:rsidRPr="00C05FB7" w:rsidRDefault="003F0440" w:rsidP="002D126B">
            <w:pPr>
              <w:pStyle w:val="TableText"/>
              <w:rPr>
                <w:b/>
              </w:rPr>
            </w:pPr>
            <w:r w:rsidRPr="00C05FB7">
              <w:rPr>
                <w:b/>
              </w:rPr>
              <w:t>Add/Remove Units from a Pool</w:t>
            </w:r>
          </w:p>
        </w:tc>
      </w:tr>
      <w:tr w:rsidR="003F0440" w:rsidRPr="00725902" w14:paraId="40ABDBE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CA0D22C" w14:textId="77777777" w:rsidR="003F0440" w:rsidRPr="00725902" w:rsidRDefault="003F0440" w:rsidP="002D126B">
            <w:pPr>
              <w:pStyle w:val="TableText"/>
            </w:pPr>
            <w:r>
              <w:t>See Modify Units.</w:t>
            </w:r>
          </w:p>
        </w:tc>
      </w:tr>
    </w:tbl>
    <w:p w14:paraId="1C1FA80D" w14:textId="77777777" w:rsidR="003F44A2" w:rsidRDefault="003F44A2"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AD7C44" w14:paraId="690A3F65"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057EB59F" w14:textId="77777777" w:rsidR="003F0440" w:rsidRPr="00AD7C44" w:rsidRDefault="003F0440" w:rsidP="002D126B">
            <w:pPr>
              <w:pStyle w:val="TableText"/>
              <w:rPr>
                <w:b/>
              </w:rPr>
            </w:pPr>
            <w:r>
              <w:rPr>
                <w:b/>
              </w:rPr>
              <w:t>Audit Trail</w:t>
            </w:r>
          </w:p>
        </w:tc>
      </w:tr>
      <w:tr w:rsidR="003F0440" w:rsidRPr="00725902" w14:paraId="284A7EAC"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92EED18" w14:textId="77777777" w:rsidR="003F0440" w:rsidRPr="00725902" w:rsidRDefault="00B97396" w:rsidP="005753B8">
            <w:pPr>
              <w:pStyle w:val="TableText"/>
            </w:pPr>
            <w:r>
              <w:t>VBECS does not accommodate online review (verification, signature) of reports.</w:t>
            </w:r>
          </w:p>
        </w:tc>
      </w:tr>
    </w:tbl>
    <w:p w14:paraId="4CEA54DD" w14:textId="77777777" w:rsidR="003F44A2" w:rsidRDefault="003F44A2"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DC5F89" w:rsidRPr="00AD7C44" w14:paraId="6040CA84" w14:textId="77777777" w:rsidTr="00E40CDE">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4C68DF5" w14:textId="77777777" w:rsidR="00DC5F89" w:rsidRPr="00AD7C44" w:rsidRDefault="00DC5F89" w:rsidP="00E40CDE">
            <w:pPr>
              <w:pStyle w:val="TableText"/>
              <w:rPr>
                <w:b/>
              </w:rPr>
            </w:pPr>
            <w:r>
              <w:rPr>
                <w:b/>
              </w:rPr>
              <w:t>Automated Testing Interface</w:t>
            </w:r>
          </w:p>
        </w:tc>
      </w:tr>
      <w:tr w:rsidR="003D2BAD" w:rsidRPr="00725902" w14:paraId="6E59387B"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0A613FA" w14:textId="77777777" w:rsidR="003D2BAD" w:rsidRPr="00DC5F89" w:rsidRDefault="003D2BAD" w:rsidP="00E40CDE">
            <w:pPr>
              <w:pStyle w:val="TableText"/>
            </w:pPr>
            <w:r w:rsidRPr="003D2BAD">
              <w:t>VBECS has only been tested with one automated instrument connected.</w:t>
            </w:r>
          </w:p>
        </w:tc>
      </w:tr>
      <w:tr w:rsidR="00DC5F89" w:rsidRPr="00725902" w14:paraId="6916926F"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FD8BEA4" w14:textId="77777777" w:rsidR="00DC5F89" w:rsidRPr="00725902" w:rsidRDefault="00DC5F89" w:rsidP="00E40CDE">
            <w:pPr>
              <w:pStyle w:val="TableText"/>
            </w:pPr>
            <w:r w:rsidRPr="00DC5F89">
              <w:t>Not available for transmission to Transfusion only facilities from a blood center due to constraints of VA’s security software.</w:t>
            </w:r>
          </w:p>
        </w:tc>
      </w:tr>
      <w:tr w:rsidR="00DC5F89" w:rsidRPr="00725902" w14:paraId="7562497D"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1FCAC14" w14:textId="77777777" w:rsidR="00DC5F89" w:rsidRPr="00DC5F89" w:rsidRDefault="00E43DE4" w:rsidP="00E40CDE">
            <w:pPr>
              <w:pStyle w:val="TableText"/>
            </w:pPr>
            <w:r>
              <w:t xml:space="preserve">The </w:t>
            </w:r>
            <w:r w:rsidRPr="00E43DE4">
              <w:t>results of Antibody Panels (ABID) will not be accepted by the VBECS Automated Interface.</w:t>
            </w:r>
          </w:p>
        </w:tc>
      </w:tr>
      <w:tr w:rsidR="00DC5F89" w:rsidRPr="00725902" w14:paraId="5A613118"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6AA3286" w14:textId="77777777" w:rsidR="00DC5F89" w:rsidRPr="00DC5F89" w:rsidRDefault="00E43DE4" w:rsidP="00E40CDE">
            <w:pPr>
              <w:pStyle w:val="TableText"/>
            </w:pPr>
            <w:r>
              <w:t xml:space="preserve">The </w:t>
            </w:r>
            <w:r w:rsidRPr="00E43DE4">
              <w:t>results of QC information from automated instruments will not be accepted by the VBECS Automated Interface.</w:t>
            </w:r>
          </w:p>
        </w:tc>
      </w:tr>
      <w:tr w:rsidR="00DC5F89" w:rsidRPr="00725902" w14:paraId="299DAA70"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DA54D91" w14:textId="77777777" w:rsidR="00DC5F89" w:rsidRPr="00DC5F89" w:rsidRDefault="00E43DE4" w:rsidP="00E40CDE">
            <w:pPr>
              <w:pStyle w:val="TableText"/>
            </w:pPr>
            <w:r>
              <w:t xml:space="preserve">Time </w:t>
            </w:r>
            <w:r w:rsidRPr="00E43DE4">
              <w:t>zone will not be included in HL7 message date time from the broadcasting application (Instrument Manager). The time zone is determined from the division code contained in the message header (MSH) segment of the message.</w:t>
            </w:r>
          </w:p>
        </w:tc>
      </w:tr>
    </w:tbl>
    <w:p w14:paraId="20A060B5" w14:textId="77777777" w:rsidR="00DC5F89" w:rsidRDefault="00DC5F89"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E43DE4" w:rsidRPr="00AD7C44" w14:paraId="09AD0D73" w14:textId="77777777" w:rsidTr="00E40CDE">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43AAC74F" w14:textId="77777777" w:rsidR="00E43DE4" w:rsidRPr="00AD7C44" w:rsidRDefault="00E43DE4" w:rsidP="00E40CDE">
            <w:pPr>
              <w:pStyle w:val="TableText"/>
              <w:rPr>
                <w:b/>
              </w:rPr>
            </w:pPr>
            <w:r>
              <w:rPr>
                <w:b/>
              </w:rPr>
              <w:t>Automated Testing Review for Blood Units</w:t>
            </w:r>
          </w:p>
        </w:tc>
      </w:tr>
      <w:tr w:rsidR="00E43DE4" w:rsidRPr="00725902" w14:paraId="760DCA17"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EE9AFE5" w14:textId="77777777" w:rsidR="00E43DE4" w:rsidRPr="00725902" w:rsidRDefault="00E43DE4" w:rsidP="00E40CDE">
            <w:pPr>
              <w:pStyle w:val="TableText"/>
            </w:pPr>
            <w:r>
              <w:t xml:space="preserve">VBECS </w:t>
            </w:r>
            <w:r w:rsidRPr="00E43DE4">
              <w:t xml:space="preserve">does not accept inconclusive ABO/Rh test results.  </w:t>
            </w:r>
          </w:p>
        </w:tc>
      </w:tr>
      <w:tr w:rsidR="00E43DE4" w:rsidRPr="00DC5F89" w14:paraId="762B41A0"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A0ED5C3" w14:textId="77777777" w:rsidR="00E43DE4" w:rsidRPr="00DC5F89" w:rsidRDefault="00E43DE4" w:rsidP="00E40CDE">
            <w:pPr>
              <w:pStyle w:val="TableText"/>
            </w:pPr>
            <w:r>
              <w:t xml:space="preserve">Pooled </w:t>
            </w:r>
            <w:r w:rsidRPr="00E43DE4">
              <w:t>Product Types labeled with an Rh type of “Pooled” is considered an Rh Positive unit which does not require confirmation testing.</w:t>
            </w:r>
          </w:p>
        </w:tc>
      </w:tr>
      <w:tr w:rsidR="00E43DE4" w:rsidRPr="00DC5F89" w14:paraId="276F87AE"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4818245" w14:textId="77777777" w:rsidR="00E43DE4" w:rsidRPr="00DC5F89" w:rsidRDefault="00E43DE4" w:rsidP="00E40CDE">
            <w:pPr>
              <w:pStyle w:val="TableText"/>
            </w:pPr>
            <w:r>
              <w:t xml:space="preserve">Pooled </w:t>
            </w:r>
            <w:r w:rsidRPr="00E43DE4">
              <w:t>Product Types</w:t>
            </w:r>
            <w:r w:rsidRPr="00E43DE4" w:rsidDel="00922FC4">
              <w:t xml:space="preserve"> </w:t>
            </w:r>
            <w:r w:rsidRPr="00E43DE4">
              <w:t>that require confirmation, labeled with an ABO group of “Pooled” cannot be confirmed. A blood component unit received as “POOLED ABO” will have to be transfused using the Supervisory option, Document ABO Incompatible Transfusion.</w:t>
            </w:r>
          </w:p>
        </w:tc>
      </w:tr>
      <w:tr w:rsidR="003A6D3F" w:rsidRPr="00DC5F89" w14:paraId="42F67AEA"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CB4E65D" w14:textId="77777777" w:rsidR="003A6D3F" w:rsidRDefault="003A6D3F" w:rsidP="00E40CDE">
            <w:pPr>
              <w:pStyle w:val="TableText"/>
            </w:pPr>
            <w:r>
              <w:lastRenderedPageBreak/>
              <w:t xml:space="preserve">Users </w:t>
            </w:r>
            <w:r w:rsidRPr="00E43DE4">
              <w:t>can select and assign multiple units with the same DIN and different product codes for crossmatch. Users can only process one DIN (e.g., W123400345345) on the Automated Instrument at a time. It is incumbent on the user to verify that the crossmatch result from the Automated Instrument matches the product code (e.g., E0134V00) associated with the patient in VBECS. To decrease the risk of a mislabeled unit at issue, local practice may want to have only one on the units selected in VBECS at a time when crossmatch testing is being performed on the automated instrument.</w:t>
            </w:r>
            <w:r>
              <w:t xml:space="preserve"> </w:t>
            </w:r>
            <w:r w:rsidRPr="003A6D3F">
              <w:rPr>
                <w:vanish/>
              </w:rPr>
              <w:t>Defect 357490</w:t>
            </w:r>
          </w:p>
        </w:tc>
      </w:tr>
      <w:tr w:rsidR="00DA27C7" w:rsidRPr="00DC5F89" w14:paraId="2BE30BBE"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4D64A0A" w14:textId="77777777" w:rsidR="00DA27C7" w:rsidRDefault="00DA27C7" w:rsidP="00E40CDE">
            <w:pPr>
              <w:pStyle w:val="TableText"/>
            </w:pPr>
            <w:r w:rsidRPr="00DA27C7">
              <w:t>Order Rejection comment entry is required but is not visible on a report.</w:t>
            </w:r>
          </w:p>
        </w:tc>
      </w:tr>
    </w:tbl>
    <w:p w14:paraId="40465502" w14:textId="77777777" w:rsidR="00DC5F89" w:rsidRDefault="00DC5F89"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E43DE4" w:rsidRPr="00AD7C44" w14:paraId="33EB5BCD" w14:textId="77777777" w:rsidTr="00E40CDE">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5381786" w14:textId="77777777" w:rsidR="00E43DE4" w:rsidRPr="00AD7C44" w:rsidRDefault="00E43DE4" w:rsidP="00E40CDE">
            <w:pPr>
              <w:pStyle w:val="TableText"/>
              <w:rPr>
                <w:b/>
              </w:rPr>
            </w:pPr>
            <w:r>
              <w:rPr>
                <w:b/>
              </w:rPr>
              <w:t>Automated Testing Review for Patients</w:t>
            </w:r>
          </w:p>
        </w:tc>
      </w:tr>
      <w:tr w:rsidR="00E43DE4" w:rsidRPr="00725902" w14:paraId="5D30649F"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72DA56E" w14:textId="77777777" w:rsidR="00E43DE4" w:rsidRPr="00725902" w:rsidRDefault="00243084" w:rsidP="00E40CDE">
            <w:pPr>
              <w:pStyle w:val="TableText"/>
            </w:pPr>
            <w:r>
              <w:t xml:space="preserve">VBECS </w:t>
            </w:r>
            <w:r w:rsidRPr="00243084">
              <w:t>does not accept inconclusive ABO/Rh test results.</w:t>
            </w:r>
          </w:p>
        </w:tc>
      </w:tr>
      <w:tr w:rsidR="00E43DE4" w:rsidRPr="00DC5F89" w14:paraId="6A6D1D50"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49104AD" w14:textId="77777777" w:rsidR="00E43DE4" w:rsidRPr="00DC5F89" w:rsidRDefault="00243084" w:rsidP="00E40CDE">
            <w:pPr>
              <w:pStyle w:val="TableText"/>
            </w:pPr>
            <w:r>
              <w:t xml:space="preserve">VBECS </w:t>
            </w:r>
            <w:r w:rsidRPr="00243084">
              <w:t>does not accept inconclusive interpretations for antibody screen tests.</w:t>
            </w:r>
          </w:p>
        </w:tc>
      </w:tr>
      <w:tr w:rsidR="00E43DE4" w:rsidRPr="00DC5F89" w14:paraId="67696BEB"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70A764D" w14:textId="77777777" w:rsidR="00E43DE4" w:rsidRPr="00DC5F89" w:rsidRDefault="00243084" w:rsidP="00E40CDE">
            <w:pPr>
              <w:pStyle w:val="TableText"/>
            </w:pPr>
            <w:r>
              <w:t xml:space="preserve">Immediate </w:t>
            </w:r>
            <w:r w:rsidRPr="00243084">
              <w:t>spin crossmatch is not allowed via automated test entry.</w:t>
            </w:r>
          </w:p>
        </w:tc>
      </w:tr>
      <w:tr w:rsidR="00243084" w:rsidRPr="00DC5F89" w14:paraId="7DD71F9B"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25E11A1" w14:textId="77777777" w:rsidR="00243084" w:rsidRPr="00DC5F89" w:rsidRDefault="00243084" w:rsidP="00E40CDE">
            <w:pPr>
              <w:pStyle w:val="TableText"/>
            </w:pPr>
            <w:r>
              <w:t xml:space="preserve">Patient </w:t>
            </w:r>
            <w:r w:rsidRPr="00243084">
              <w:t>Antigen typing applies only to patient specimens that contain red blood cells.</w:t>
            </w:r>
          </w:p>
        </w:tc>
      </w:tr>
      <w:tr w:rsidR="00243084" w:rsidRPr="00DC5F89" w14:paraId="1922D72B"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0E48082" w14:textId="77777777" w:rsidR="00243084" w:rsidRPr="00243084" w:rsidRDefault="00243084" w:rsidP="00E40CDE">
            <w:pPr>
              <w:pStyle w:val="TableText"/>
              <w:rPr>
                <w:rFonts w:ascii="Times New Roman" w:hAnsi="Times New Roman"/>
                <w:spacing w:val="-5"/>
                <w:sz w:val="22"/>
                <w:szCs w:val="22"/>
              </w:rPr>
            </w:pPr>
            <w:r>
              <w:t xml:space="preserve">The </w:t>
            </w:r>
            <w:r w:rsidRPr="00243084">
              <w:t>system does not check the specificity of a patient’s antibody against an existing patient antigen typing.</w:t>
            </w:r>
          </w:p>
        </w:tc>
      </w:tr>
      <w:tr w:rsidR="00243084" w:rsidRPr="00DC5F89" w14:paraId="25DDF929"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8A53B39" w14:textId="77777777" w:rsidR="00243084" w:rsidRPr="00DC5F89" w:rsidRDefault="00243084" w:rsidP="00E40CDE">
            <w:pPr>
              <w:pStyle w:val="TableText"/>
            </w:pPr>
            <w:r>
              <w:t xml:space="preserve">The </w:t>
            </w:r>
            <w:r w:rsidRPr="00243084">
              <w:t>patient antigen typing result is not reported to the CPRS record.</w:t>
            </w:r>
          </w:p>
        </w:tc>
      </w:tr>
      <w:tr w:rsidR="00DA27C7" w:rsidRPr="00DC5F89" w14:paraId="25B5A6E9"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FAC729C" w14:textId="77777777" w:rsidR="00DA27C7" w:rsidRDefault="00DA27C7" w:rsidP="00E155EF">
            <w:pPr>
              <w:pStyle w:val="TableText"/>
            </w:pPr>
            <w:r w:rsidRPr="00DA27C7">
              <w:t>Order Rejection comment entry is required but is not visible on a report.</w:t>
            </w:r>
          </w:p>
        </w:tc>
      </w:tr>
    </w:tbl>
    <w:p w14:paraId="44D10320" w14:textId="77777777" w:rsidR="00DC5F89" w:rsidRDefault="00DC5F89"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D96C4E" w14:paraId="20C2D0A6"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171AB3C" w14:textId="77777777" w:rsidR="003F0440" w:rsidRPr="00D96C4E" w:rsidRDefault="003F0440" w:rsidP="002D126B">
            <w:pPr>
              <w:pStyle w:val="TableText"/>
              <w:rPr>
                <w:b/>
              </w:rPr>
            </w:pPr>
            <w:r w:rsidRPr="00D96C4E">
              <w:rPr>
                <w:b/>
              </w:rPr>
              <w:t>Blood Products</w:t>
            </w:r>
          </w:p>
        </w:tc>
      </w:tr>
      <w:tr w:rsidR="003F0440" w:rsidRPr="00725902" w14:paraId="4C27D34A"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CCB3E74" w14:textId="77777777" w:rsidR="003F0440" w:rsidRDefault="003F0440" w:rsidP="002D126B">
            <w:pPr>
              <w:pStyle w:val="TableText"/>
            </w:pPr>
            <w:r>
              <w:t xml:space="preserve">Blood product records distributed through VBECS are national standards. </w:t>
            </w:r>
          </w:p>
        </w:tc>
      </w:tr>
      <w:tr w:rsidR="003F0440" w:rsidRPr="00725902" w14:paraId="1E16766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EE18E22" w14:textId="77777777" w:rsidR="003F0440" w:rsidRDefault="003F0440" w:rsidP="002D126B">
            <w:pPr>
              <w:pStyle w:val="TableText"/>
            </w:pPr>
            <w:r>
              <w:t>The division must have activated the valid target blood products for modification.</w:t>
            </w:r>
          </w:p>
        </w:tc>
      </w:tr>
    </w:tbl>
    <w:p w14:paraId="5ECA501F" w14:textId="77777777" w:rsidR="003F44A2" w:rsidRDefault="003F44A2"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0D1C4A" w14:paraId="05C0EC81"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270A043" w14:textId="77777777" w:rsidR="003F0440" w:rsidRPr="000D1C4A" w:rsidRDefault="003F0440" w:rsidP="002D126B">
            <w:pPr>
              <w:pStyle w:val="TableText"/>
              <w:rPr>
                <w:b/>
              </w:rPr>
            </w:pPr>
            <w:r w:rsidRPr="000D1C4A">
              <w:rPr>
                <w:b/>
              </w:rPr>
              <w:t>Canned Comments</w:t>
            </w:r>
          </w:p>
        </w:tc>
      </w:tr>
      <w:tr w:rsidR="003F0440" w:rsidRPr="00725902" w14:paraId="3FDE158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53DD340" w14:textId="4461177D" w:rsidR="003F0440" w:rsidRDefault="003F0440" w:rsidP="002D126B">
            <w:pPr>
              <w:pStyle w:val="TableText"/>
            </w:pPr>
            <w:r>
              <w:t>The user may not edit comments provided with VBECS, but may create additional comments.</w:t>
            </w:r>
            <w:r w:rsidR="00483C5D">
              <w:t xml:space="preserve"> Although comments</w:t>
            </w:r>
            <w:r w:rsidR="003E0483">
              <w:t xml:space="preserve"> can also be removed, there should remain at least one comment available for selection (e.g., “Other”). </w:t>
            </w:r>
            <w:r w:rsidR="003E0483" w:rsidRPr="003E0483">
              <w:rPr>
                <w:vanish/>
              </w:rPr>
              <w:t>Task 209175</w:t>
            </w:r>
          </w:p>
        </w:tc>
      </w:tr>
      <w:tr w:rsidR="003F0440" w:rsidRPr="00725902" w14:paraId="39CD61A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5ED406D" w14:textId="77777777" w:rsidR="003F0440" w:rsidRDefault="003F0440" w:rsidP="002D126B">
            <w:pPr>
              <w:pStyle w:val="TableText"/>
            </w:pPr>
            <w:r>
              <w:t>Site personnel must enter comments in accordance with local policy and procedures.</w:t>
            </w:r>
          </w:p>
        </w:tc>
      </w:tr>
      <w:tr w:rsidR="003E0483" w:rsidRPr="00725902" w14:paraId="6024F0C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EAAF925" w14:textId="1A0A874A" w:rsidR="003E0483" w:rsidRDefault="003E0483" w:rsidP="002D126B">
            <w:pPr>
              <w:pStyle w:val="TableText"/>
            </w:pPr>
            <w:r>
              <w:t xml:space="preserve">To avoid a system error when entering canned comments, the user who configured the division must be added to the users list in VBECS. </w:t>
            </w:r>
            <w:r w:rsidRPr="003E0483">
              <w:rPr>
                <w:vanish/>
              </w:rPr>
              <w:t>Task 209173</w:t>
            </w:r>
          </w:p>
        </w:tc>
      </w:tr>
    </w:tbl>
    <w:p w14:paraId="17280528" w14:textId="77777777" w:rsidR="003F44A2" w:rsidRDefault="003F44A2"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EB10C4" w14:paraId="30B6437B"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55A9FED" w14:textId="77777777" w:rsidR="003F0440" w:rsidRPr="00EB10C4" w:rsidRDefault="003F0440" w:rsidP="002D126B">
            <w:pPr>
              <w:pStyle w:val="TableText"/>
              <w:rPr>
                <w:b/>
              </w:rPr>
            </w:pPr>
            <w:r w:rsidRPr="00EB10C4">
              <w:rPr>
                <w:b/>
              </w:rPr>
              <w:t>Component Classes</w:t>
            </w:r>
          </w:p>
        </w:tc>
      </w:tr>
      <w:tr w:rsidR="003F0440" w:rsidRPr="00725902" w14:paraId="630248E8"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B478D3D" w14:textId="77777777" w:rsidR="003F0440" w:rsidRDefault="003F0440" w:rsidP="002D126B">
            <w:pPr>
              <w:pStyle w:val="TableText"/>
            </w:pPr>
            <w:r>
              <w:t xml:space="preserve">The user may not change the specimen requirement for a component class when there are incomplete orders for that component class. </w:t>
            </w:r>
          </w:p>
        </w:tc>
      </w:tr>
      <w:tr w:rsidR="003F0440" w:rsidRPr="00725902" w14:paraId="31E997B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9B3CDC3" w14:textId="77777777" w:rsidR="003F0440" w:rsidRDefault="003F0440" w:rsidP="002D126B">
            <w:pPr>
              <w:pStyle w:val="TableText"/>
            </w:pPr>
            <w:r>
              <w:t>There is no retrospective data entry or user selection for th</w:t>
            </w:r>
            <w:r w:rsidR="00932460">
              <w:t>is</w:t>
            </w:r>
            <w:r>
              <w:t xml:space="preserve"> </w:t>
            </w:r>
            <w:r w:rsidR="00932460">
              <w:t>option</w:t>
            </w:r>
            <w:r>
              <w:t>.</w:t>
            </w:r>
          </w:p>
        </w:tc>
      </w:tr>
    </w:tbl>
    <w:p w14:paraId="696F2F0F" w14:textId="77777777" w:rsidR="005333AF" w:rsidRDefault="005333AF"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5702D2" w:rsidRPr="00EB10C4" w14:paraId="204556A5" w14:textId="77777777" w:rsidTr="00E971D0">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96D46E3" w14:textId="77777777" w:rsidR="005702D2" w:rsidRPr="00EB10C4" w:rsidRDefault="005702D2" w:rsidP="005702D2">
            <w:pPr>
              <w:pStyle w:val="TableText"/>
              <w:rPr>
                <w:b/>
              </w:rPr>
            </w:pPr>
            <w:r w:rsidRPr="00EB10C4">
              <w:rPr>
                <w:b/>
              </w:rPr>
              <w:t xml:space="preserve">Component </w:t>
            </w:r>
            <w:r>
              <w:rPr>
                <w:b/>
              </w:rPr>
              <w:t>Processing</w:t>
            </w:r>
          </w:p>
        </w:tc>
      </w:tr>
      <w:tr w:rsidR="005702D2" w14:paraId="3BBA2107"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1F19CC2A" w14:textId="77777777" w:rsidR="005702D2" w:rsidRPr="002B3204" w:rsidRDefault="005702D2" w:rsidP="00123D20">
            <w:pPr>
              <w:pStyle w:val="TableText"/>
            </w:pPr>
            <w:r w:rsidRPr="002B3204">
              <w:t xml:space="preserve">An ISBT 128 Product Code’s </w:t>
            </w:r>
            <w:r w:rsidR="00BC797F">
              <w:t>first characters may be E</w:t>
            </w:r>
            <w:r w:rsidRPr="002B3204">
              <w:t xml:space="preserve"> or X.</w:t>
            </w:r>
          </w:p>
        </w:tc>
      </w:tr>
      <w:tr w:rsidR="005702D2" w14:paraId="6E0F154C"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6E91E51A" w14:textId="77777777" w:rsidR="005702D2" w:rsidRPr="002B3204" w:rsidRDefault="005702D2" w:rsidP="00123D20">
            <w:pPr>
              <w:pStyle w:val="TableText"/>
            </w:pPr>
            <w:r w:rsidRPr="002B3204">
              <w:t>VBECS does not check whether blood products with the same unit ID and different product codes are the same blood type.</w:t>
            </w:r>
          </w:p>
        </w:tc>
      </w:tr>
      <w:tr w:rsidR="005702D2" w14:paraId="464F5120"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53B0F261" w14:textId="77777777" w:rsidR="005702D2" w:rsidRPr="002B3204" w:rsidRDefault="005702D2" w:rsidP="00123D20">
            <w:pPr>
              <w:pStyle w:val="TableText"/>
            </w:pPr>
            <w:r w:rsidRPr="002B3204">
              <w:t>VBECS does not compare the ABO/Rh of an autologous unit or display a message when the ABO/Rh is incompatible with the restricted for patient.</w:t>
            </w:r>
          </w:p>
        </w:tc>
      </w:tr>
      <w:tr w:rsidR="005702D2" w14:paraId="3EC62BAC"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6BE802F4" w14:textId="77777777" w:rsidR="005702D2" w:rsidRPr="00985199" w:rsidRDefault="005702D2" w:rsidP="00123D20">
            <w:pPr>
              <w:pStyle w:val="TableText"/>
            </w:pPr>
            <w:r w:rsidRPr="00985199">
              <w:t>The user may not save the unit record until the donation type and its requirements are satisfied.</w:t>
            </w:r>
          </w:p>
        </w:tc>
      </w:tr>
      <w:tr w:rsidR="005702D2" w14:paraId="618595D2"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53864804" w14:textId="77777777" w:rsidR="005702D2" w:rsidRPr="00985199" w:rsidRDefault="005702D2" w:rsidP="00123D20">
            <w:pPr>
              <w:pStyle w:val="TableText"/>
            </w:pPr>
            <w:r w:rsidRPr="00985199">
              <w:lastRenderedPageBreak/>
              <w:t>No longer supports the entry of blood products labeled in Codabar label type to new or existing invoices.</w:t>
            </w:r>
          </w:p>
        </w:tc>
      </w:tr>
      <w:tr w:rsidR="005702D2" w14:paraId="6D42A7BD"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5CD1875B" w14:textId="77777777" w:rsidR="005702D2" w:rsidRPr="00985199" w:rsidRDefault="005702D2" w:rsidP="00123D20">
            <w:pPr>
              <w:pStyle w:val="TableText"/>
            </w:pPr>
            <w:r w:rsidRPr="00985199">
              <w:t>The unit expiration [Maximum Storage Time (MST)] is set to the longest possible storage time based on product type, core condition, attributes, and available references as a guide. The MST is set at a higher level than an individual collection product code. VBECS does not know the specific collection details.  It is the responsibility of each user to accurately enter and process any one blood unit based on its expiration date/time as labeled by the collection facility.</w:t>
            </w:r>
            <w:r w:rsidRPr="00123D20">
              <w:rPr>
                <w:vanish/>
              </w:rPr>
              <w:t xml:space="preserve"> Task 1280</w:t>
            </w:r>
          </w:p>
        </w:tc>
      </w:tr>
      <w:tr w:rsidR="005702D2" w14:paraId="32E5DA11"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3129FD44" w14:textId="77777777" w:rsidR="005702D2" w:rsidRPr="00985199" w:rsidRDefault="005702D2" w:rsidP="00123D20">
            <w:pPr>
              <w:pStyle w:val="TableText"/>
            </w:pPr>
            <w:r w:rsidRPr="00985199">
              <w:t>When blood products intended for quarantine are scanned, VBECS does not automatically quarantine them: the user must do so.</w:t>
            </w:r>
          </w:p>
        </w:tc>
      </w:tr>
      <w:tr w:rsidR="005702D2" w14:paraId="075EC130"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36EB9924" w14:textId="77777777" w:rsidR="005702D2" w:rsidRPr="00985199" w:rsidRDefault="005702D2" w:rsidP="00123D20">
            <w:pPr>
              <w:pStyle w:val="TableText"/>
            </w:pPr>
            <w:r w:rsidRPr="00985199">
              <w:t>VBECS does not recognize scanned labels for para-Bombay or Bombay ISBT units.</w:t>
            </w:r>
          </w:p>
        </w:tc>
      </w:tr>
      <w:tr w:rsidR="005702D2" w14:paraId="244F06B9"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59261060" w14:textId="77777777" w:rsidR="005702D2" w:rsidRPr="00985199" w:rsidRDefault="005702D2" w:rsidP="00123D20">
            <w:pPr>
              <w:pStyle w:val="TableText"/>
            </w:pPr>
            <w:r w:rsidRPr="00985199">
              <w:t>VBECS does not allow duplicate IDs for the same product code.</w:t>
            </w:r>
          </w:p>
        </w:tc>
      </w:tr>
      <w:tr w:rsidR="005702D2" w14:paraId="4DD08C4E"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06C1A481" w14:textId="77777777" w:rsidR="005702D2" w:rsidRPr="00985199" w:rsidRDefault="005702D2" w:rsidP="00123D20">
            <w:pPr>
              <w:pStyle w:val="TableText"/>
            </w:pPr>
            <w:r w:rsidRPr="00985199">
              <w:t xml:space="preserve">When a user scans a product code or expiration date barcode in the Unit ID field, VBECS does not display the entered information. </w:t>
            </w:r>
          </w:p>
        </w:tc>
      </w:tr>
      <w:tr w:rsidR="005702D2" w14:paraId="1B180395"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54A362F4" w14:textId="77777777" w:rsidR="005702D2" w:rsidRPr="00985199" w:rsidRDefault="005702D2" w:rsidP="00123D20">
            <w:pPr>
              <w:pStyle w:val="TableText"/>
            </w:pPr>
            <w:r w:rsidRPr="00985199">
              <w:t>When a user scans an ISBT blood product code ID with “0” as the donation type (sixth character), VBECS indicates that the donation type is not specified. When the user selects a donation type from the drop-down menu, VBECS replaces “0” with a recognizable character in the product code text box and stores it as such. When the user rescans the product ID, he must manually replace “0” or search using the unit ID alone, or the unit ID and the first five characters of the product ID. When scanning a blood product derivative, this does not apply.</w:t>
            </w:r>
          </w:p>
        </w:tc>
      </w:tr>
      <w:tr w:rsidR="005702D2" w14:paraId="6A76E9C2"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034E35E9" w14:textId="77777777" w:rsidR="005702D2" w:rsidRPr="00985199" w:rsidRDefault="005702D2" w:rsidP="00123D20">
            <w:pPr>
              <w:pStyle w:val="TableText"/>
            </w:pPr>
            <w:r w:rsidRPr="00985199">
              <w:t>Blood product code entries in the blood product table include those from ICCBBA for ISBT 128. Product codes created after the release of VBECS cannot be entered until the updated tables are incorporated through patches to VBECS. Refuse acceptance of the unit, if possible. Users may not edit the blood product table.</w:t>
            </w:r>
          </w:p>
        </w:tc>
      </w:tr>
      <w:tr w:rsidR="005702D2" w14:paraId="6E1372B0"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6EF2A792" w14:textId="77777777" w:rsidR="005702D2" w:rsidRPr="00985199" w:rsidRDefault="005702D2" w:rsidP="00123D20">
            <w:pPr>
              <w:pStyle w:val="TableText"/>
            </w:pPr>
            <w:r w:rsidRPr="00985199">
              <w:t>ISBT 128 tables include blood product codes labeled as not for manufacturing or transfusion. VBECS does not restrict such products from being entered, issued, or transferred (local policy controls their use), but does not accommodate blood modification for these products.</w:t>
            </w:r>
          </w:p>
        </w:tc>
      </w:tr>
      <w:tr w:rsidR="005702D2" w14:paraId="263422A8"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7B23C471" w14:textId="17802B3C" w:rsidR="005702D2" w:rsidRPr="00985199" w:rsidRDefault="005702D2" w:rsidP="00123D20">
            <w:pPr>
              <w:pStyle w:val="TableText"/>
            </w:pPr>
            <w:r w:rsidRPr="00985199">
              <w:t>No entry of an ICCBBA Product Description Code starting with A, B, C, or D aka National or Local Codes A0000-D9999.</w:t>
            </w:r>
            <w:r w:rsidRPr="00123D20">
              <w:rPr>
                <w:i/>
              </w:rPr>
              <w:t xml:space="preserve"> If use of such a code is necessary for patient care, contact Service Desk and file a request for the code to be added to VBECS.</w:t>
            </w:r>
          </w:p>
        </w:tc>
      </w:tr>
    </w:tbl>
    <w:p w14:paraId="39224765" w14:textId="77777777" w:rsidR="005702D2" w:rsidRDefault="005702D2"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D01ED7" w14:paraId="3F339C23"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319C8A7" w14:textId="77777777" w:rsidR="003F0440" w:rsidRPr="00D01ED7" w:rsidRDefault="003F0440" w:rsidP="002D126B">
            <w:pPr>
              <w:pStyle w:val="TableText"/>
              <w:rPr>
                <w:b/>
              </w:rPr>
            </w:pPr>
            <w:r w:rsidRPr="00D01ED7">
              <w:rPr>
                <w:b/>
              </w:rPr>
              <w:t>Configure Daily QC</w:t>
            </w:r>
          </w:p>
        </w:tc>
      </w:tr>
      <w:tr w:rsidR="003F0440" w:rsidRPr="00725902" w14:paraId="4023F42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9F9D317" w14:textId="77777777" w:rsidR="003F0440" w:rsidRDefault="003F0440" w:rsidP="002D126B">
            <w:pPr>
              <w:pStyle w:val="TableText"/>
            </w:pPr>
            <w:r>
              <w:t xml:space="preserve">This option pertains only to routine reagents. </w:t>
            </w:r>
          </w:p>
        </w:tc>
      </w:tr>
      <w:tr w:rsidR="003F0440" w:rsidRPr="00725902" w14:paraId="427BC9B6"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E5AF528" w14:textId="77777777" w:rsidR="003F0440" w:rsidRDefault="003F0440" w:rsidP="002D126B">
            <w:pPr>
              <w:pStyle w:val="TableText"/>
            </w:pPr>
            <w:r>
              <w:t xml:space="preserve">When there are partially or currently QC’d racks in the system, the user may not change the QC template. </w:t>
            </w:r>
          </w:p>
        </w:tc>
      </w:tr>
    </w:tbl>
    <w:p w14:paraId="21F61E37" w14:textId="77777777" w:rsidR="00FD6164" w:rsidRDefault="00FD6164" w:rsidP="00093E5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DA6312" w:rsidRPr="00D01ED7" w14:paraId="506A3814" w14:textId="77777777" w:rsidTr="00F002ED">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9F1E850" w14:textId="77777777" w:rsidR="00DA6312" w:rsidRPr="00D01ED7" w:rsidRDefault="00DA6312" w:rsidP="00DA6312">
            <w:pPr>
              <w:pStyle w:val="TableText"/>
              <w:rPr>
                <w:b/>
              </w:rPr>
            </w:pPr>
            <w:r w:rsidRPr="00D01ED7">
              <w:rPr>
                <w:b/>
              </w:rPr>
              <w:t xml:space="preserve">Configure </w:t>
            </w:r>
            <w:r>
              <w:rPr>
                <w:b/>
              </w:rPr>
              <w:t>Division</w:t>
            </w:r>
          </w:p>
        </w:tc>
      </w:tr>
      <w:tr w:rsidR="00DA6312" w14:paraId="1FBE3661" w14:textId="77777777" w:rsidTr="00F002E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5F62A37" w14:textId="77777777" w:rsidR="00DA6312" w:rsidRPr="00DA6312" w:rsidRDefault="00DA6312" w:rsidP="00F002ED">
            <w:pPr>
              <w:pStyle w:val="TableText"/>
              <w:rPr>
                <w:vanish/>
              </w:rPr>
            </w:pPr>
            <w:r w:rsidRPr="00DA6312">
              <w:t>Changes made to the division setting are not applied to a user until they re-connect to VBECS after the change is made. It is highly recommended that all users log off VBECS prior to any configuration setting change.</w:t>
            </w:r>
            <w:r>
              <w:rPr>
                <w:vanish/>
              </w:rPr>
              <w:t xml:space="preserve"> DR 4136</w:t>
            </w:r>
          </w:p>
        </w:tc>
      </w:tr>
    </w:tbl>
    <w:p w14:paraId="5F38FC21" w14:textId="77777777" w:rsidR="00DA6312" w:rsidRDefault="00DA6312" w:rsidP="00093E5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DD7CAF" w:rsidRPr="00E95A54" w14:paraId="7326DCCA"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82D767A" w14:textId="77777777" w:rsidR="00DD7CAF" w:rsidRPr="00E95A54" w:rsidRDefault="00DD7CAF" w:rsidP="005E39DA">
            <w:pPr>
              <w:pStyle w:val="TableText"/>
              <w:rPr>
                <w:b/>
              </w:rPr>
            </w:pPr>
            <w:r>
              <w:rPr>
                <w:b/>
              </w:rPr>
              <w:t>Discard or Quarantine</w:t>
            </w:r>
          </w:p>
        </w:tc>
      </w:tr>
      <w:tr w:rsidR="00DD7CAF" w:rsidRPr="00C06411" w14:paraId="2455B5D3"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4F1339C" w14:textId="77777777" w:rsidR="00DD7CAF" w:rsidRPr="00C06411" w:rsidRDefault="00DD7CAF" w:rsidP="00DD7CAF">
            <w:pPr>
              <w:pStyle w:val="TableText"/>
            </w:pPr>
            <w:r>
              <w:t xml:space="preserve">When a user retroactively updates a unit status through this option, the Unit History Report displays the updated information, but does not display the date the change was made. </w:t>
            </w:r>
          </w:p>
        </w:tc>
      </w:tr>
      <w:tr w:rsidR="00EF7C8A" w:rsidRPr="00C06411" w14:paraId="5183B7C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40C9381" w14:textId="3D4B2D13" w:rsidR="00EF7C8A" w:rsidRDefault="00EF7C8A" w:rsidP="00DD7CAF">
            <w:pPr>
              <w:pStyle w:val="TableText"/>
            </w:pPr>
            <w:r>
              <w:t xml:space="preserve">The option does not accommodate the entry of a second user for retrospective data entry. </w:t>
            </w:r>
            <w:r w:rsidR="0063094B">
              <w:rPr>
                <w:vanish/>
              </w:rPr>
              <w:t>Defect</w:t>
            </w:r>
            <w:r w:rsidRPr="00EF7C8A">
              <w:rPr>
                <w:vanish/>
              </w:rPr>
              <w:t xml:space="preserve"> 209008</w:t>
            </w:r>
          </w:p>
        </w:tc>
      </w:tr>
      <w:tr w:rsidR="00A753B8" w:rsidRPr="00C06411" w14:paraId="75B5EBE8"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208C68E" w14:textId="5F281792" w:rsidR="00A753B8" w:rsidRDefault="00A753B8" w:rsidP="00DD7CAF">
            <w:pPr>
              <w:pStyle w:val="TableText"/>
            </w:pPr>
            <w:r>
              <w:t xml:space="preserve">Cost entry is capped at 999.99. </w:t>
            </w:r>
            <w:r w:rsidRPr="00A753B8">
              <w:rPr>
                <w:vanish/>
              </w:rPr>
              <w:t>Defect 942523</w:t>
            </w:r>
          </w:p>
        </w:tc>
      </w:tr>
    </w:tbl>
    <w:p w14:paraId="072D2471" w14:textId="77777777" w:rsidR="00D139EE" w:rsidRDefault="00D139EE" w:rsidP="00093E5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E95A54" w14:paraId="2B807B87"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9DBACC9" w14:textId="77777777" w:rsidR="003F0440" w:rsidRPr="00E95A54" w:rsidRDefault="003F0440" w:rsidP="002D126B">
            <w:pPr>
              <w:pStyle w:val="TableText"/>
              <w:rPr>
                <w:b/>
              </w:rPr>
            </w:pPr>
            <w:r w:rsidRPr="00E95A54">
              <w:rPr>
                <w:b/>
              </w:rPr>
              <w:t>Display Order Alerts</w:t>
            </w:r>
          </w:p>
        </w:tc>
      </w:tr>
      <w:tr w:rsidR="003F0440" w:rsidRPr="00C06411" w14:paraId="269589E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B0FC215" w14:textId="77777777" w:rsidR="003F0440" w:rsidRPr="00C06411" w:rsidRDefault="003F0440" w:rsidP="002D126B">
            <w:pPr>
              <w:pStyle w:val="TableText"/>
            </w:pPr>
            <w:r>
              <w:t>VBECS issues no notifications for order cancellations.</w:t>
            </w:r>
          </w:p>
        </w:tc>
      </w:tr>
    </w:tbl>
    <w:p w14:paraId="51D74618" w14:textId="77777777" w:rsidR="00FC3666" w:rsidRDefault="00FC3666" w:rsidP="00FC366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6347F2" w14:paraId="4ABBCB21"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4AA8D9E4" w14:textId="77777777" w:rsidR="003F0440" w:rsidRPr="006347F2" w:rsidRDefault="003F0440" w:rsidP="002D126B">
            <w:pPr>
              <w:pStyle w:val="TableText"/>
              <w:rPr>
                <w:b/>
              </w:rPr>
            </w:pPr>
            <w:r w:rsidRPr="006347F2">
              <w:rPr>
                <w:b/>
              </w:rPr>
              <w:lastRenderedPageBreak/>
              <w:t xml:space="preserve">Display Patient </w:t>
            </w:r>
            <w:r>
              <w:rPr>
                <w:b/>
              </w:rPr>
              <w:t>Merge</w:t>
            </w:r>
            <w:r w:rsidRPr="006347F2">
              <w:rPr>
                <w:b/>
              </w:rPr>
              <w:t xml:space="preserve"> Alerts</w:t>
            </w:r>
          </w:p>
        </w:tc>
      </w:tr>
      <w:tr w:rsidR="004F17EB" w:rsidRPr="00C06411" w14:paraId="5F3E7458"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16C9FE2" w14:textId="77777777" w:rsidR="004F17EB" w:rsidRPr="004F17EB" w:rsidRDefault="004F17EB" w:rsidP="004F17EB">
            <w:pPr>
              <w:pStyle w:val="TableText"/>
            </w:pPr>
            <w:r>
              <w:t xml:space="preserve">VBECS does not notify users of additional VistA patient updates or merges while the icon is displayed. </w:t>
            </w:r>
            <w:r>
              <w:rPr>
                <w:rFonts w:cs="Arial"/>
                <w:vanish/>
              </w:rPr>
              <w:t xml:space="preserve">DR 2,525 </w:t>
            </w:r>
            <w:r>
              <w:t xml:space="preserve">When a user views an update and there is an unprocessed VistA patient merge, the Patient Alert icon remains on the screen until the Traditional Supervisor updates the patient records and clears the icon. </w:t>
            </w:r>
          </w:p>
        </w:tc>
      </w:tr>
    </w:tbl>
    <w:p w14:paraId="7A024C9A" w14:textId="77777777" w:rsidR="00BA0F42" w:rsidRDefault="00BA0F42" w:rsidP="00FC366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B31E5A" w:rsidRPr="006347F2" w14:paraId="00D9588B"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45419AB8" w14:textId="77777777" w:rsidR="00B31E5A" w:rsidRPr="006347F2" w:rsidRDefault="00B31E5A" w:rsidP="00FE4D07">
            <w:pPr>
              <w:pStyle w:val="TableText"/>
              <w:rPr>
                <w:b/>
              </w:rPr>
            </w:pPr>
            <w:r w:rsidRPr="006347F2">
              <w:rPr>
                <w:b/>
              </w:rPr>
              <w:t xml:space="preserve">Display Patient </w:t>
            </w:r>
            <w:r>
              <w:rPr>
                <w:b/>
              </w:rPr>
              <w:t>Update</w:t>
            </w:r>
            <w:r w:rsidRPr="006347F2">
              <w:rPr>
                <w:b/>
              </w:rPr>
              <w:t xml:space="preserve"> Alerts</w:t>
            </w:r>
          </w:p>
        </w:tc>
      </w:tr>
      <w:tr w:rsidR="00B31E5A" w:rsidRPr="00C06411" w14:paraId="386A2C3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D267BDA" w14:textId="77777777" w:rsidR="00B31E5A" w:rsidRDefault="004F17EB" w:rsidP="004F17EB">
            <w:pPr>
              <w:pStyle w:val="TableText"/>
            </w:pPr>
            <w:r>
              <w:t xml:space="preserve">VBECS does not notify users of additional VistA patient updates or merges while the icon is displayed. </w:t>
            </w:r>
            <w:r>
              <w:rPr>
                <w:rFonts w:cs="Arial"/>
                <w:vanish/>
              </w:rPr>
              <w:t xml:space="preserve">DR 2,525 </w:t>
            </w:r>
            <w:r>
              <w:t xml:space="preserve">When a user views an update and there is an unprocessed VistA patient merge, the Patient Alert icon remains on the screen until the Traditional Supervisor updates the patient records and clears the icon. </w:t>
            </w:r>
          </w:p>
        </w:tc>
      </w:tr>
      <w:tr w:rsidR="00562E66" w:rsidRPr="00C06411" w14:paraId="3E77446C"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C3027E4" w14:textId="77777777" w:rsidR="00562E66" w:rsidRDefault="00562E66" w:rsidP="00520CAE">
            <w:pPr>
              <w:pStyle w:val="TableText"/>
            </w:pPr>
            <w:r>
              <w:t>Patient updates involving</w:t>
            </w:r>
            <w:r w:rsidRPr="00DD022C">
              <w:t xml:space="preserve"> patient’s with names that exceed the database standard for File #2 (30 characters) or do not have a first or last name in VistA are rejected and do not appear in VBECS. The VBECS System Administrator is notified of each rejection via an email to the address entered in VBECS Administrator “</w:t>
            </w:r>
            <w:r w:rsidR="00520CAE">
              <w:t>Email Alerts</w:t>
            </w:r>
            <w:r w:rsidRPr="00DD022C">
              <w:t>” field.</w:t>
            </w:r>
          </w:p>
        </w:tc>
      </w:tr>
      <w:tr w:rsidR="002369C9" w:rsidRPr="00C06411" w14:paraId="195FCCDA"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088C0F9" w14:textId="7585E28C" w:rsidR="002369C9" w:rsidRDefault="002369C9" w:rsidP="00562E66">
            <w:pPr>
              <w:pStyle w:val="TableText"/>
            </w:pPr>
            <w:r>
              <w:t xml:space="preserve">Patient update </w:t>
            </w:r>
            <w:r w:rsidRPr="003A360F">
              <w:t xml:space="preserve">alerts only display when </w:t>
            </w:r>
            <w:r>
              <w:t xml:space="preserve">active </w:t>
            </w:r>
            <w:r w:rsidRPr="003A360F">
              <w:t xml:space="preserve">component </w:t>
            </w:r>
            <w:r>
              <w:t xml:space="preserve">or diagnostic test </w:t>
            </w:r>
            <w:r w:rsidRPr="003A360F">
              <w:t xml:space="preserve">orders are </w:t>
            </w:r>
            <w:r>
              <w:t xml:space="preserve">pending or </w:t>
            </w:r>
            <w:r w:rsidRPr="003A360F">
              <w:t>active</w:t>
            </w:r>
            <w:r w:rsidR="00647F4E">
              <w:rPr>
                <w:rFonts w:ascii="ZWAdobeF" w:hAnsi="ZWAdobeF" w:cs="ZWAdobeF"/>
                <w:sz w:val="2"/>
                <w:szCs w:val="2"/>
              </w:rPr>
              <w:t>7F</w:t>
            </w:r>
            <w:r w:rsidRPr="002369C9">
              <w:footnoteReference w:id="8"/>
            </w:r>
            <w:r w:rsidRPr="003A360F">
              <w:t xml:space="preserve"> at the time the update occurs.</w:t>
            </w:r>
            <w:r w:rsidRPr="002369C9">
              <w:rPr>
                <w:vanish/>
              </w:rPr>
              <w:t xml:space="preserve"> DR 4323 BR_68.02</w:t>
            </w:r>
          </w:p>
        </w:tc>
      </w:tr>
    </w:tbl>
    <w:p w14:paraId="0B428A1C" w14:textId="49324725" w:rsidR="00B31E5A" w:rsidRDefault="00B31E5A" w:rsidP="00FC366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C25C1E" w:rsidRPr="004146C8" w14:paraId="70A498E2" w14:textId="77777777" w:rsidTr="00D12DC6">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C7E342D" w14:textId="5AA8E5D5" w:rsidR="00C25C1E" w:rsidRPr="004146C8" w:rsidRDefault="00C25C1E" w:rsidP="00D12DC6">
            <w:pPr>
              <w:pStyle w:val="TableText"/>
              <w:rPr>
                <w:b/>
              </w:rPr>
            </w:pPr>
            <w:r w:rsidRPr="004146C8">
              <w:rPr>
                <w:b/>
                <w:snapToGrid w:val="0"/>
              </w:rPr>
              <w:t>D</w:t>
            </w:r>
            <w:r>
              <w:rPr>
                <w:b/>
                <w:snapToGrid w:val="0"/>
              </w:rPr>
              <w:t xml:space="preserve">ivision Workload </w:t>
            </w:r>
            <w:r w:rsidR="00E25C40">
              <w:rPr>
                <w:b/>
                <w:snapToGrid w:val="0"/>
              </w:rPr>
              <w:t>Report</w:t>
            </w:r>
          </w:p>
        </w:tc>
      </w:tr>
      <w:tr w:rsidR="00C25C1E" w:rsidRPr="00725902" w14:paraId="49D1EAC3" w14:textId="77777777" w:rsidTr="00D12DC6">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589FD93" w14:textId="77E86E37" w:rsidR="00C25C1E" w:rsidRPr="00725902" w:rsidRDefault="00E25C40" w:rsidP="00D12DC6">
            <w:pPr>
              <w:pStyle w:val="TableText"/>
            </w:pPr>
            <w:r>
              <w:t>A report printed with an end date of today or greater does not print “Preliminary” in the header. Check the subsequent pages of the report and write “PRELIMINARY” on the front page of the report prior to filing. The information included in the report is accurate to the time printed. There is a possibility of a gap of information should the user not overlap the print requests. Generally, this report is printed for the day prior or a time period that does not include the current day</w:t>
            </w:r>
            <w:r w:rsidR="00C25C1E">
              <w:t>.</w:t>
            </w:r>
            <w:r>
              <w:t xml:space="preserve"> </w:t>
            </w:r>
            <w:r w:rsidRPr="00E25C40">
              <w:rPr>
                <w:vanish/>
              </w:rPr>
              <w:t>Defect 213101</w:t>
            </w:r>
          </w:p>
        </w:tc>
      </w:tr>
    </w:tbl>
    <w:p w14:paraId="28E03740" w14:textId="3CB45FCD" w:rsidR="00C25C1E" w:rsidRDefault="00C25C1E" w:rsidP="00FC366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4146C8" w14:paraId="624E4B8B"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2B91B05" w14:textId="77777777" w:rsidR="003F0440" w:rsidRPr="004146C8" w:rsidRDefault="003F0440" w:rsidP="002D126B">
            <w:pPr>
              <w:pStyle w:val="TableText"/>
              <w:rPr>
                <w:b/>
              </w:rPr>
            </w:pPr>
            <w:r w:rsidRPr="004146C8">
              <w:rPr>
                <w:b/>
                <w:snapToGrid w:val="0"/>
              </w:rPr>
              <w:t>Document ABO Incompatible Transfusions</w:t>
            </w:r>
          </w:p>
        </w:tc>
      </w:tr>
      <w:tr w:rsidR="003F0440" w:rsidRPr="00725902" w14:paraId="6C250E38"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0B508F2" w14:textId="77777777" w:rsidR="003F0440" w:rsidRPr="00725902" w:rsidRDefault="003F0440" w:rsidP="002D126B">
            <w:pPr>
              <w:pStyle w:val="TableText"/>
            </w:pPr>
            <w:r>
              <w:t>VBECS does not enforce compatibility checks between the patient and the unit.</w:t>
            </w:r>
          </w:p>
        </w:tc>
      </w:tr>
      <w:tr w:rsidR="00CF6A19" w:rsidRPr="00725902" w14:paraId="51394C2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49F602B" w14:textId="77777777" w:rsidR="00CF6A19" w:rsidRDefault="00CF6A19" w:rsidP="002D126B">
            <w:pPr>
              <w:pStyle w:val="TableText"/>
            </w:pPr>
            <w:r>
              <w:t>VBECS does not update CPRS component order status when the Document ABO Incompatible Transfusion option is used.</w:t>
            </w:r>
          </w:p>
        </w:tc>
      </w:tr>
    </w:tbl>
    <w:p w14:paraId="1E2A6728" w14:textId="77777777" w:rsidR="00FD0D9D" w:rsidRDefault="00FD0D9D" w:rsidP="00FC366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D4567F" w:rsidRPr="004146C8" w14:paraId="0E79DD50" w14:textId="77777777" w:rsidTr="000D08F0">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BC422DA" w14:textId="77777777" w:rsidR="00D4567F" w:rsidRPr="004146C8" w:rsidRDefault="00D05F0F" w:rsidP="000D08F0">
            <w:pPr>
              <w:pStyle w:val="TableText"/>
              <w:rPr>
                <w:b/>
              </w:rPr>
            </w:pPr>
            <w:r>
              <w:rPr>
                <w:b/>
                <w:snapToGrid w:val="0"/>
              </w:rPr>
              <w:t>Edit Financial Data</w:t>
            </w:r>
          </w:p>
        </w:tc>
      </w:tr>
      <w:tr w:rsidR="00D4567F" w:rsidRPr="00725902" w14:paraId="5991CC74" w14:textId="77777777" w:rsidTr="000D08F0">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42C10EA" w14:textId="77777777" w:rsidR="00D4567F" w:rsidRPr="00725902" w:rsidRDefault="00D05F0F" w:rsidP="000D08F0">
            <w:pPr>
              <w:pStyle w:val="TableText"/>
            </w:pPr>
            <w:r>
              <w:t>When a Technologist enters a unit ID and product code for a unit that is not in final status, VBECS does not enable the Special Test Cost field. An Enhanced Technologist or higher access can change the Special Test Cost field in the Edit Financial Data option.</w:t>
            </w:r>
            <w:r w:rsidR="005333AF">
              <w:t xml:space="preserve"> </w:t>
            </w:r>
            <w:r w:rsidR="005333AF" w:rsidRPr="005333AF">
              <w:rPr>
                <w:vanish/>
              </w:rPr>
              <w:t>DR 5012</w:t>
            </w:r>
          </w:p>
        </w:tc>
      </w:tr>
      <w:tr w:rsidR="00A753B8" w:rsidRPr="00725902" w14:paraId="2E147A89" w14:textId="77777777" w:rsidTr="000D08F0">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EBDAFF7" w14:textId="22F5DC97" w:rsidR="00A753B8" w:rsidRDefault="00A753B8" w:rsidP="000D08F0">
            <w:pPr>
              <w:pStyle w:val="TableText"/>
            </w:pPr>
            <w:r>
              <w:t xml:space="preserve">Cost entry is capped at 999.99. </w:t>
            </w:r>
            <w:r w:rsidRPr="00A753B8">
              <w:rPr>
                <w:vanish/>
              </w:rPr>
              <w:t>Defect 942523</w:t>
            </w:r>
          </w:p>
        </w:tc>
      </w:tr>
    </w:tbl>
    <w:p w14:paraId="495D6A43" w14:textId="77777777" w:rsidR="00D4567F" w:rsidRDefault="00D4567F" w:rsidP="00FC366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0074DD46"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FC26A4D" w14:textId="77777777" w:rsidR="003F0440" w:rsidRPr="004146C8" w:rsidRDefault="003F0440" w:rsidP="002D126B">
            <w:pPr>
              <w:pStyle w:val="TableText"/>
              <w:rPr>
                <w:b/>
              </w:rPr>
            </w:pPr>
            <w:r w:rsidRPr="004146C8">
              <w:rPr>
                <w:b/>
              </w:rPr>
              <w:t>Edit Unit Information</w:t>
            </w:r>
          </w:p>
        </w:tc>
      </w:tr>
      <w:tr w:rsidR="003F0440" w:rsidRPr="00725902" w14:paraId="6A1C65A6"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E597CFB" w14:textId="77777777" w:rsidR="003F0440" w:rsidRPr="00725902" w:rsidRDefault="003F0440" w:rsidP="002D126B">
            <w:pPr>
              <w:pStyle w:val="TableText"/>
            </w:pPr>
            <w:r>
              <w:t>VBECS does not limit the discarded plasma volume.</w:t>
            </w:r>
          </w:p>
        </w:tc>
      </w:tr>
      <w:tr w:rsidR="003F0440" w:rsidRPr="00725902" w14:paraId="3853F18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E748D0C" w14:textId="77777777" w:rsidR="003F0440" w:rsidRPr="00725902" w:rsidRDefault="00D20331" w:rsidP="00D20331">
            <w:pPr>
              <w:pStyle w:val="TableText"/>
            </w:pPr>
            <w:r>
              <w:rPr>
                <w:rFonts w:eastAsia="Arial Unicode MS"/>
              </w:rPr>
              <w:t>If errors are found in the unit’s product code</w:t>
            </w:r>
            <w:r>
              <w:t xml:space="preserve">, division or blood type at login, </w:t>
            </w:r>
            <w:r>
              <w:rPr>
                <w:rFonts w:eastAsia="Arial Unicode MS"/>
              </w:rPr>
              <w:t>supplier, or donation type, the user must inactivate the unit and reenter it correctly</w:t>
            </w:r>
            <w:r>
              <w:t>.</w:t>
            </w:r>
          </w:p>
        </w:tc>
      </w:tr>
      <w:tr w:rsidR="003F0440" w:rsidRPr="00725902" w14:paraId="0AE7CA2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766B985" w14:textId="77777777" w:rsidR="003F0440" w:rsidRPr="00725902" w:rsidRDefault="003F0440" w:rsidP="002D126B">
            <w:pPr>
              <w:pStyle w:val="TableText"/>
            </w:pPr>
            <w:r>
              <w:t xml:space="preserve">When a unit does not have a patient association, editable fields are available to an </w:t>
            </w:r>
            <w:r w:rsidR="00D03BCF" w:rsidRPr="00EC7489">
              <w:rPr>
                <w:rFonts w:ascii="Wingdings 3" w:hAnsi="Wingdings 3" w:cs="Wingdings"/>
              </w:rPr>
              <w:t></w:t>
            </w:r>
            <w:r w:rsidR="00D03BCF" w:rsidRPr="00EC7489">
              <w:rPr>
                <w:rFonts w:ascii="Wingdings 3" w:hAnsi="Wingdings 3" w:cs="Wingdings"/>
              </w:rPr>
              <w:t></w:t>
            </w:r>
            <w:r w:rsidR="00D03BCF" w:rsidRPr="00AA7C58">
              <w:t xml:space="preserve"> </w:t>
            </w:r>
            <w:r>
              <w:t>Enhanced Technologist.</w:t>
            </w:r>
          </w:p>
        </w:tc>
      </w:tr>
      <w:tr w:rsidR="00DD3B4E" w:rsidRPr="00725902" w14:paraId="7B6929BC"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9423145" w14:textId="30912413" w:rsidR="00DD3B4E" w:rsidRDefault="00DD3B4E" w:rsidP="002D126B">
            <w:pPr>
              <w:pStyle w:val="TableText"/>
            </w:pPr>
            <w:r>
              <w:t xml:space="preserve">Only units in a Limited or Available </w:t>
            </w:r>
            <w:r w:rsidR="00AE3B37">
              <w:t>status</w:t>
            </w:r>
            <w:r>
              <w:t xml:space="preserve"> may be edited.</w:t>
            </w:r>
          </w:p>
        </w:tc>
      </w:tr>
      <w:tr w:rsidR="00DD3B4E" w:rsidRPr="00725902" w14:paraId="35B82A2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C73134D" w14:textId="77777777" w:rsidR="00DD3B4E" w:rsidRDefault="00DD3B4E" w:rsidP="002D126B">
            <w:pPr>
              <w:pStyle w:val="TableText"/>
            </w:pPr>
            <w:r>
              <w:t>Inactivation of the unit record is required when the user needs to change the unit’s information recorded at login: unit identification number, blood type, product code, unit expiration date, unit donation type, VA division or supplier.</w:t>
            </w:r>
          </w:p>
        </w:tc>
      </w:tr>
    </w:tbl>
    <w:p w14:paraId="7535979E" w14:textId="77777777" w:rsidR="00C1162B" w:rsidRDefault="00C1162B" w:rsidP="00E039E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3657B4" w14:paraId="28B09955"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40681DC" w14:textId="77777777" w:rsidR="003F0440" w:rsidRPr="003657B4" w:rsidRDefault="003F0440" w:rsidP="002D126B">
            <w:pPr>
              <w:pStyle w:val="TableText"/>
              <w:rPr>
                <w:b/>
              </w:rPr>
            </w:pPr>
            <w:r w:rsidRPr="003657B4">
              <w:rPr>
                <w:b/>
              </w:rPr>
              <w:t>Enter Daily QC Results</w:t>
            </w:r>
          </w:p>
        </w:tc>
      </w:tr>
      <w:tr w:rsidR="003F0440" w:rsidRPr="00725902" w14:paraId="39666E40"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9F72580" w14:textId="77777777" w:rsidR="003F0440" w:rsidRPr="00725902" w:rsidRDefault="003F0440" w:rsidP="002D126B">
            <w:pPr>
              <w:pStyle w:val="TableText"/>
            </w:pPr>
            <w:r>
              <w:t xml:space="preserve">Additional user-defined reagent types not available in Configure Daily QC or Enter Daily QC Results are not part of a reagent rack’s daily QC testing. </w:t>
            </w:r>
          </w:p>
        </w:tc>
      </w:tr>
    </w:tbl>
    <w:p w14:paraId="29A0636B" w14:textId="77777777" w:rsidR="00A04F10" w:rsidRDefault="00A04F10" w:rsidP="00E039E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3290344B"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0912D55E" w14:textId="77777777" w:rsidR="003F0440" w:rsidRPr="00D65A81" w:rsidRDefault="003F0440" w:rsidP="002D126B">
            <w:pPr>
              <w:pStyle w:val="TableText"/>
              <w:rPr>
                <w:b/>
              </w:rPr>
            </w:pPr>
            <w:r w:rsidRPr="00D65A81">
              <w:rPr>
                <w:b/>
              </w:rPr>
              <w:t>Equipment</w:t>
            </w:r>
          </w:p>
        </w:tc>
      </w:tr>
      <w:tr w:rsidR="003F0440" w:rsidRPr="00725902" w14:paraId="7759806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132DD1D" w14:textId="77777777" w:rsidR="003F0440" w:rsidRPr="00725902" w:rsidRDefault="003F0440" w:rsidP="002D126B">
            <w:pPr>
              <w:pStyle w:val="TableText"/>
            </w:pPr>
            <w:r>
              <w:t>VBECS does not check for duplicate entries of equipment names and identifiers.</w:t>
            </w:r>
          </w:p>
        </w:tc>
      </w:tr>
      <w:tr w:rsidR="003F0440" w:rsidRPr="00725902" w14:paraId="643A01F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F9F7AE2" w14:textId="77777777" w:rsidR="003F0440" w:rsidRPr="00725902" w:rsidRDefault="003F0440" w:rsidP="002D126B">
            <w:pPr>
              <w:pStyle w:val="TableText"/>
            </w:pPr>
            <w:r>
              <w:t>There is no retrospective data entry or user selection for th</w:t>
            </w:r>
            <w:r w:rsidR="00932460">
              <w:t>is option</w:t>
            </w:r>
            <w:r>
              <w:t>.</w:t>
            </w:r>
          </w:p>
        </w:tc>
      </w:tr>
    </w:tbl>
    <w:p w14:paraId="206B81EF" w14:textId="77777777" w:rsidR="00E039E6" w:rsidRDefault="00E039E6" w:rsidP="00E039E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CD7E27" w14:paraId="431D7FD0"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7646FAF" w14:textId="77777777" w:rsidR="003F0440" w:rsidRPr="00CD7E27" w:rsidRDefault="003F0440" w:rsidP="002D126B">
            <w:pPr>
              <w:pStyle w:val="TableText"/>
              <w:rPr>
                <w:b/>
              </w:rPr>
            </w:pPr>
            <w:r w:rsidRPr="00CD7E27">
              <w:rPr>
                <w:b/>
              </w:rPr>
              <w:t>Exception Report</w:t>
            </w:r>
          </w:p>
        </w:tc>
      </w:tr>
      <w:tr w:rsidR="003F0440" w:rsidRPr="00725902" w14:paraId="3EDA710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DBD3656" w14:textId="77777777" w:rsidR="003F0440" w:rsidRPr="00725902" w:rsidRDefault="00B97396" w:rsidP="002D126B">
            <w:pPr>
              <w:pStyle w:val="TableText"/>
            </w:pPr>
            <w:r>
              <w:t>VBECS does not accommodate online review (verification, signature) of reports.</w:t>
            </w:r>
          </w:p>
        </w:tc>
      </w:tr>
      <w:tr w:rsidR="006E2623" w:rsidRPr="00725902" w14:paraId="78C6C353"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D2F4068" w14:textId="77777777" w:rsidR="006E2623" w:rsidRDefault="006E2623" w:rsidP="002D126B">
            <w:pPr>
              <w:pStyle w:val="TableText"/>
            </w:pPr>
            <w:r>
              <w:t>Only the first twenty patient antigens will print on the report when an exception is generated for a unit issued with unsatisfied antigen negative requirements.</w:t>
            </w:r>
            <w:r w:rsidRPr="006E2623">
              <w:rPr>
                <w:vanish/>
              </w:rPr>
              <w:t xml:space="preserve"> DR 4820</w:t>
            </w:r>
          </w:p>
        </w:tc>
      </w:tr>
      <w:tr w:rsidR="00A570C0" w:rsidRPr="00725902" w14:paraId="010AF29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5A89FE6" w14:textId="6B7A0EAC" w:rsidR="00A570C0" w:rsidRDefault="00A3133F" w:rsidP="002D126B">
            <w:pPr>
              <w:pStyle w:val="TableText"/>
            </w:pPr>
            <w:r>
              <w:t>In some areas of the report, the user ID is displayed instead of the user name.</w:t>
            </w:r>
            <w:r w:rsidR="00703803">
              <w:t xml:space="preserve"> </w:t>
            </w:r>
            <w:r w:rsidR="00703803" w:rsidRPr="00703803">
              <w:rPr>
                <w:vanish/>
              </w:rPr>
              <w:t>Defect 209133</w:t>
            </w:r>
          </w:p>
        </w:tc>
      </w:tr>
      <w:tr w:rsidR="00E04548" w:rsidRPr="00725902" w14:paraId="5FC89D8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7DEF779" w14:textId="68D697A4" w:rsidR="00E04548" w:rsidRDefault="00E04548" w:rsidP="002D126B">
            <w:pPr>
              <w:pStyle w:val="TableText"/>
            </w:pPr>
            <w:r>
              <w:t xml:space="preserve">Not all exception types use the date and time of the save as the date and time of the exception. </w:t>
            </w:r>
            <w:r w:rsidRPr="00E04548">
              <w:rPr>
                <w:vanish/>
              </w:rPr>
              <w:t>Defect 208987</w:t>
            </w:r>
          </w:p>
        </w:tc>
      </w:tr>
      <w:tr w:rsidR="00E04548" w:rsidRPr="00725902" w14:paraId="66969940"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CE349E4" w14:textId="1AA33028" w:rsidR="00E04548" w:rsidRDefault="00E04548" w:rsidP="002D126B">
            <w:pPr>
              <w:pStyle w:val="TableText"/>
            </w:pPr>
            <w:r>
              <w:t xml:space="preserve">Modification exceptions do not display full (eight-digit) product codes for ISBT 128 labeled units. The sixth, seventh, and eighth digits are not included. Obtain the full ISBT 128 product code from the Unit History Report, as necessary. </w:t>
            </w:r>
            <w:r w:rsidRPr="00E04548">
              <w:rPr>
                <w:vanish/>
              </w:rPr>
              <w:t>Defect 208927</w:t>
            </w:r>
          </w:p>
        </w:tc>
      </w:tr>
    </w:tbl>
    <w:p w14:paraId="7C40366B" w14:textId="77777777" w:rsidR="00142675" w:rsidRDefault="00142675" w:rsidP="00E039E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484"/>
        <w:gridCol w:w="5336"/>
        <w:gridCol w:w="3056"/>
        <w:gridCol w:w="484"/>
      </w:tblGrid>
      <w:tr w:rsidR="003F0440" w:rsidRPr="00725902" w14:paraId="14193451" w14:textId="77777777">
        <w:trPr>
          <w:cantSplit/>
          <w:tblHeader/>
        </w:trPr>
        <w:tc>
          <w:tcPr>
            <w:tcW w:w="9360" w:type="dxa"/>
            <w:gridSpan w:val="4"/>
            <w:tcBorders>
              <w:top w:val="single" w:sz="6" w:space="0" w:color="000000"/>
              <w:left w:val="single" w:sz="6" w:space="0" w:color="000000"/>
              <w:bottom w:val="single" w:sz="6" w:space="0" w:color="000000"/>
              <w:right w:val="single" w:sz="6" w:space="0" w:color="000000"/>
            </w:tcBorders>
            <w:shd w:val="clear" w:color="auto" w:fill="B3B3B3"/>
            <w:vAlign w:val="bottom"/>
          </w:tcPr>
          <w:p w14:paraId="02B926FC" w14:textId="77777777" w:rsidR="003F0440" w:rsidRPr="00D65A81" w:rsidRDefault="003F0440" w:rsidP="002D126B">
            <w:pPr>
              <w:pStyle w:val="TableText"/>
              <w:rPr>
                <w:b/>
              </w:rPr>
            </w:pPr>
            <w:r w:rsidRPr="00D65A81">
              <w:rPr>
                <w:b/>
              </w:rPr>
              <w:t>Finalize/Print TRW</w:t>
            </w:r>
          </w:p>
        </w:tc>
      </w:tr>
      <w:tr w:rsidR="003F0440" w:rsidRPr="00725902" w14:paraId="53C505F8" w14:textId="77777777">
        <w:trPr>
          <w:cantSplit/>
        </w:trPr>
        <w:tc>
          <w:tcPr>
            <w:tcW w:w="9360" w:type="dxa"/>
            <w:gridSpan w:val="4"/>
            <w:tcBorders>
              <w:top w:val="single" w:sz="6" w:space="0" w:color="000000"/>
              <w:left w:val="single" w:sz="6" w:space="0" w:color="000000"/>
              <w:bottom w:val="single" w:sz="6" w:space="0" w:color="000000"/>
              <w:right w:val="single" w:sz="6" w:space="0" w:color="000000"/>
            </w:tcBorders>
            <w:vAlign w:val="bottom"/>
          </w:tcPr>
          <w:p w14:paraId="25F8C5B2" w14:textId="6735254F" w:rsidR="003F0440" w:rsidRPr="00725902" w:rsidRDefault="00142675" w:rsidP="002D126B">
            <w:pPr>
              <w:pStyle w:val="TableText"/>
            </w:pPr>
            <w:r>
              <w:t>The user cannot</w:t>
            </w:r>
            <w:r w:rsidRPr="00D23EF9">
              <w:t xml:space="preserve"> invalidate </w:t>
            </w:r>
            <w:r>
              <w:t xml:space="preserve">or change </w:t>
            </w:r>
            <w:r w:rsidRPr="00D23EF9">
              <w:t>a finalized TRW.</w:t>
            </w:r>
            <w:r w:rsidR="00C230C9">
              <w:t xml:space="preserve"> Contact the Service</w:t>
            </w:r>
            <w:r>
              <w:t xml:space="preserve"> Desk if a TRW needs to be updated after finalization.</w:t>
            </w:r>
          </w:p>
        </w:tc>
      </w:tr>
      <w:tr w:rsidR="003F0440" w:rsidRPr="00725902" w14:paraId="5FD073BE" w14:textId="77777777">
        <w:trPr>
          <w:cantSplit/>
        </w:trPr>
        <w:tc>
          <w:tcPr>
            <w:tcW w:w="9360" w:type="dxa"/>
            <w:gridSpan w:val="4"/>
            <w:tcBorders>
              <w:top w:val="single" w:sz="6" w:space="0" w:color="000000"/>
              <w:left w:val="single" w:sz="6" w:space="0" w:color="000000"/>
              <w:bottom w:val="single" w:sz="6" w:space="0" w:color="000000"/>
              <w:right w:val="single" w:sz="6" w:space="0" w:color="000000"/>
            </w:tcBorders>
            <w:shd w:val="clear" w:color="auto" w:fill="auto"/>
            <w:vAlign w:val="bottom"/>
          </w:tcPr>
          <w:p w14:paraId="4882DFCC" w14:textId="77777777" w:rsidR="003F0440" w:rsidRDefault="003F0440" w:rsidP="002D126B">
            <w:pPr>
              <w:pStyle w:val="TableText"/>
            </w:pPr>
            <w:r>
              <w:t>Transfusion reaction reports are not available to clinicians through CPRS: they must be printed and filed with patient charts.</w:t>
            </w:r>
          </w:p>
        </w:tc>
      </w:tr>
      <w:tr w:rsidR="00C26EE9" w:rsidRPr="00725902" w14:paraId="0A4C89AC" w14:textId="77777777">
        <w:trPr>
          <w:cantSplit/>
        </w:trPr>
        <w:tc>
          <w:tcPr>
            <w:tcW w:w="9360" w:type="dxa"/>
            <w:gridSpan w:val="4"/>
            <w:tcBorders>
              <w:top w:val="single" w:sz="6" w:space="0" w:color="000000"/>
              <w:left w:val="single" w:sz="6" w:space="0" w:color="000000"/>
              <w:bottom w:val="nil"/>
              <w:right w:val="single" w:sz="6" w:space="0" w:color="000000"/>
            </w:tcBorders>
            <w:shd w:val="clear" w:color="auto" w:fill="auto"/>
            <w:vAlign w:val="bottom"/>
          </w:tcPr>
          <w:p w14:paraId="5AF529AC" w14:textId="77777777" w:rsidR="00C26EE9" w:rsidRDefault="00C26EE9" w:rsidP="002D126B">
            <w:pPr>
              <w:pStyle w:val="TableText"/>
            </w:pPr>
            <w:r>
              <w:t>VBECS displays these default values for transfusion reactions converted from VistA to VBECS. They do not reflect actual interpretations or results:</w:t>
            </w:r>
            <w:r>
              <w:rPr>
                <w:vanish/>
              </w:rPr>
              <w:t xml:space="preserve"> (DR 2,</w:t>
            </w:r>
            <w:r w:rsidRPr="00FF5006">
              <w:rPr>
                <w:vanish/>
              </w:rPr>
              <w:t>724)</w:t>
            </w:r>
          </w:p>
        </w:tc>
      </w:tr>
      <w:tr w:rsidR="00C26EE9" w:rsidRPr="00725902" w14:paraId="30B73F29" w14:textId="77777777">
        <w:trPr>
          <w:cantSplit/>
        </w:trPr>
        <w:tc>
          <w:tcPr>
            <w:tcW w:w="484" w:type="dxa"/>
            <w:vMerge w:val="restart"/>
            <w:tcBorders>
              <w:top w:val="nil"/>
              <w:left w:val="single" w:sz="6" w:space="0" w:color="000000"/>
              <w:bottom w:val="single" w:sz="6" w:space="0" w:color="000000"/>
              <w:right w:val="single" w:sz="6" w:space="0" w:color="000000"/>
            </w:tcBorders>
            <w:shd w:val="clear" w:color="auto" w:fill="auto"/>
          </w:tcPr>
          <w:p w14:paraId="354A4B53" w14:textId="77777777" w:rsidR="00C26EE9" w:rsidRPr="00FF5006" w:rsidRDefault="00C26EE9" w:rsidP="003F40DD">
            <w:pPr>
              <w:pStyle w:val="TableText"/>
              <w:rPr>
                <w:b/>
              </w:rPr>
            </w:pPr>
          </w:p>
        </w:tc>
        <w:tc>
          <w:tcPr>
            <w:tcW w:w="5336" w:type="dxa"/>
            <w:tcBorders>
              <w:top w:val="single" w:sz="6" w:space="0" w:color="000000"/>
              <w:left w:val="single" w:sz="6" w:space="0" w:color="000000"/>
              <w:bottom w:val="single" w:sz="6" w:space="0" w:color="000000"/>
              <w:right w:val="single" w:sz="6" w:space="0" w:color="000000"/>
            </w:tcBorders>
            <w:shd w:val="clear" w:color="auto" w:fill="B3B3B3"/>
          </w:tcPr>
          <w:p w14:paraId="7E387FB2" w14:textId="77777777" w:rsidR="00C26EE9" w:rsidRPr="00FF5006" w:rsidRDefault="00C26EE9" w:rsidP="003F40DD">
            <w:pPr>
              <w:pStyle w:val="TableText"/>
              <w:rPr>
                <w:b/>
              </w:rPr>
            </w:pPr>
            <w:r w:rsidRPr="00FF5006">
              <w:rPr>
                <w:b/>
              </w:rPr>
              <w:t>Converted Transfusion Reaction</w:t>
            </w:r>
          </w:p>
        </w:tc>
        <w:tc>
          <w:tcPr>
            <w:tcW w:w="3056" w:type="dxa"/>
            <w:tcBorders>
              <w:top w:val="single" w:sz="6" w:space="0" w:color="000000"/>
              <w:left w:val="single" w:sz="6" w:space="0" w:color="000000"/>
              <w:bottom w:val="single" w:sz="6" w:space="0" w:color="000000"/>
              <w:right w:val="single" w:sz="6" w:space="0" w:color="000000"/>
            </w:tcBorders>
            <w:shd w:val="clear" w:color="auto" w:fill="B3B3B3"/>
          </w:tcPr>
          <w:p w14:paraId="5887D9FB" w14:textId="77777777" w:rsidR="00C26EE9" w:rsidRPr="00FF5006" w:rsidRDefault="00C26EE9" w:rsidP="003F40DD">
            <w:pPr>
              <w:pStyle w:val="TableText"/>
              <w:rPr>
                <w:b/>
              </w:rPr>
            </w:pPr>
            <w:r w:rsidRPr="00FF5006">
              <w:rPr>
                <w:b/>
              </w:rPr>
              <w:t>Default</w:t>
            </w:r>
          </w:p>
        </w:tc>
        <w:tc>
          <w:tcPr>
            <w:tcW w:w="484" w:type="dxa"/>
            <w:vMerge w:val="restart"/>
            <w:tcBorders>
              <w:top w:val="nil"/>
              <w:left w:val="single" w:sz="6" w:space="0" w:color="000000"/>
              <w:bottom w:val="single" w:sz="6" w:space="0" w:color="000000"/>
              <w:right w:val="single" w:sz="6" w:space="0" w:color="000000"/>
            </w:tcBorders>
            <w:shd w:val="clear" w:color="auto" w:fill="auto"/>
          </w:tcPr>
          <w:p w14:paraId="6EC25802" w14:textId="77777777" w:rsidR="00C26EE9" w:rsidRPr="00FF5006" w:rsidRDefault="00C26EE9" w:rsidP="003F40DD">
            <w:pPr>
              <w:pStyle w:val="TableText"/>
              <w:rPr>
                <w:b/>
              </w:rPr>
            </w:pPr>
          </w:p>
        </w:tc>
      </w:tr>
      <w:tr w:rsidR="00C26EE9" w:rsidRPr="00725902" w14:paraId="1DA0E880"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00FEDA3F" w14:textId="77777777" w:rsidR="00C26EE9" w:rsidRDefault="00C26EE9"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4C0747E7" w14:textId="77777777" w:rsidR="00C26EE9" w:rsidRDefault="00C26EE9" w:rsidP="003F40DD">
            <w:pPr>
              <w:pStyle w:val="TableText"/>
            </w:pPr>
            <w:r>
              <w:t xml:space="preserve">Pre-Transfusion Specimen Checks, Hemolysis Checks OK? </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4E5E386B" w14:textId="77777777" w:rsidR="00C26EE9" w:rsidRDefault="00C26EE9" w:rsidP="003F40DD">
            <w:pPr>
              <w:pStyle w:val="TableText"/>
            </w:pPr>
            <w:r>
              <w:t>Yes</w:t>
            </w:r>
          </w:p>
        </w:tc>
        <w:tc>
          <w:tcPr>
            <w:tcW w:w="484" w:type="dxa"/>
            <w:vMerge/>
            <w:tcBorders>
              <w:top w:val="nil"/>
              <w:left w:val="single" w:sz="6" w:space="0" w:color="000000"/>
              <w:bottom w:val="single" w:sz="6" w:space="0" w:color="000000"/>
              <w:right w:val="single" w:sz="6" w:space="0" w:color="000000"/>
            </w:tcBorders>
            <w:shd w:val="clear" w:color="auto" w:fill="auto"/>
          </w:tcPr>
          <w:p w14:paraId="0FA73B76" w14:textId="77777777" w:rsidR="00C26EE9" w:rsidRDefault="00C26EE9" w:rsidP="003F40DD">
            <w:pPr>
              <w:pStyle w:val="TableText"/>
            </w:pPr>
          </w:p>
        </w:tc>
      </w:tr>
      <w:tr w:rsidR="00C26EE9" w:rsidRPr="00725902" w14:paraId="6A392590"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410426AE" w14:textId="77777777" w:rsidR="00C26EE9" w:rsidRDefault="00C26EE9"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574CB32E" w14:textId="77777777" w:rsidR="00C26EE9" w:rsidRDefault="00C26EE9" w:rsidP="003F40DD">
            <w:pPr>
              <w:pStyle w:val="TableText"/>
            </w:pPr>
            <w:r>
              <w:t xml:space="preserve">Post-Transfusion Specimen Checks, Hemolysis Checks OK? </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3482E0FA" w14:textId="77777777" w:rsidR="00C26EE9" w:rsidRDefault="00C26EE9" w:rsidP="003F40DD">
            <w:pPr>
              <w:pStyle w:val="TableText"/>
            </w:pPr>
            <w:r>
              <w:t>Yes</w:t>
            </w:r>
          </w:p>
        </w:tc>
        <w:tc>
          <w:tcPr>
            <w:tcW w:w="484" w:type="dxa"/>
            <w:vMerge/>
            <w:tcBorders>
              <w:top w:val="nil"/>
              <w:left w:val="single" w:sz="6" w:space="0" w:color="000000"/>
              <w:bottom w:val="single" w:sz="6" w:space="0" w:color="000000"/>
              <w:right w:val="single" w:sz="6" w:space="0" w:color="000000"/>
            </w:tcBorders>
            <w:shd w:val="clear" w:color="auto" w:fill="auto"/>
          </w:tcPr>
          <w:p w14:paraId="1BFD9490" w14:textId="77777777" w:rsidR="00C26EE9" w:rsidRDefault="00C26EE9" w:rsidP="003F40DD">
            <w:pPr>
              <w:pStyle w:val="TableText"/>
            </w:pPr>
          </w:p>
        </w:tc>
      </w:tr>
      <w:tr w:rsidR="00C26EE9" w:rsidRPr="00725902" w14:paraId="2F8A1ED4"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2D62E991" w14:textId="77777777" w:rsidR="00C26EE9" w:rsidRDefault="00C26EE9"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46A73ADD" w14:textId="77777777" w:rsidR="00C26EE9" w:rsidRDefault="00D35B68" w:rsidP="003F40DD">
            <w:pPr>
              <w:pStyle w:val="TableText"/>
            </w:pPr>
            <w:r>
              <w:t>Symptom</w:t>
            </w:r>
            <w:r w:rsidR="00C26EE9">
              <w:t>s</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188A0C4D" w14:textId="77777777" w:rsidR="00C26EE9" w:rsidRDefault="00C26EE9" w:rsidP="003F40DD">
            <w:pPr>
              <w:pStyle w:val="TableText"/>
            </w:pPr>
            <w:r>
              <w:t>No symptoms identified.</w:t>
            </w:r>
          </w:p>
        </w:tc>
        <w:tc>
          <w:tcPr>
            <w:tcW w:w="484" w:type="dxa"/>
            <w:vMerge/>
            <w:tcBorders>
              <w:top w:val="nil"/>
              <w:left w:val="single" w:sz="6" w:space="0" w:color="000000"/>
              <w:bottom w:val="single" w:sz="6" w:space="0" w:color="000000"/>
              <w:right w:val="single" w:sz="6" w:space="0" w:color="000000"/>
            </w:tcBorders>
            <w:shd w:val="clear" w:color="auto" w:fill="auto"/>
          </w:tcPr>
          <w:p w14:paraId="03069B8D" w14:textId="77777777" w:rsidR="00C26EE9" w:rsidRDefault="00C26EE9" w:rsidP="003F40DD">
            <w:pPr>
              <w:pStyle w:val="TableText"/>
            </w:pPr>
          </w:p>
        </w:tc>
      </w:tr>
      <w:tr w:rsidR="00C26EE9" w:rsidRPr="00725902" w14:paraId="1BADA70D"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60CD841B" w14:textId="77777777" w:rsidR="00C26EE9" w:rsidRDefault="00C26EE9"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4751EF87" w14:textId="77777777" w:rsidR="00C26EE9" w:rsidRDefault="00C26EE9" w:rsidP="003F40DD">
            <w:pPr>
              <w:pStyle w:val="TableText"/>
            </w:pPr>
            <w:r>
              <w:t>Implicated units</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2D5EE137" w14:textId="77777777" w:rsidR="00C26EE9" w:rsidRDefault="00C26EE9" w:rsidP="003F40DD">
            <w:pPr>
              <w:pStyle w:val="TableText"/>
            </w:pPr>
            <w:r>
              <w:t>No units implicated in reaction.</w:t>
            </w:r>
          </w:p>
        </w:tc>
        <w:tc>
          <w:tcPr>
            <w:tcW w:w="484" w:type="dxa"/>
            <w:vMerge/>
            <w:tcBorders>
              <w:top w:val="nil"/>
              <w:left w:val="single" w:sz="6" w:space="0" w:color="000000"/>
              <w:bottom w:val="single" w:sz="6" w:space="0" w:color="000000"/>
              <w:right w:val="single" w:sz="6" w:space="0" w:color="000000"/>
            </w:tcBorders>
            <w:shd w:val="clear" w:color="auto" w:fill="auto"/>
          </w:tcPr>
          <w:p w14:paraId="2BF2C649" w14:textId="77777777" w:rsidR="00C26EE9" w:rsidRDefault="00C26EE9" w:rsidP="003F40DD">
            <w:pPr>
              <w:pStyle w:val="TableText"/>
            </w:pPr>
          </w:p>
        </w:tc>
      </w:tr>
      <w:tr w:rsidR="00C26EE9" w:rsidRPr="00725902" w14:paraId="4361A692"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6FEE70F7" w14:textId="77777777" w:rsidR="00C26EE9" w:rsidRDefault="00C26EE9"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2970AC5E" w14:textId="77777777" w:rsidR="00C26EE9" w:rsidRDefault="00C26EE9" w:rsidP="003F40DD">
            <w:pPr>
              <w:pStyle w:val="TableText"/>
            </w:pPr>
            <w:r>
              <w:t>Serologic tests</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629156B5" w14:textId="77777777" w:rsidR="00C26EE9" w:rsidRDefault="00C26EE9" w:rsidP="003F40DD">
            <w:pPr>
              <w:pStyle w:val="TableText"/>
            </w:pPr>
            <w:r>
              <w:t>No serologic tests performed.</w:t>
            </w:r>
          </w:p>
        </w:tc>
        <w:tc>
          <w:tcPr>
            <w:tcW w:w="484" w:type="dxa"/>
            <w:vMerge/>
            <w:tcBorders>
              <w:top w:val="nil"/>
              <w:left w:val="single" w:sz="6" w:space="0" w:color="000000"/>
              <w:bottom w:val="single" w:sz="6" w:space="0" w:color="000000"/>
              <w:right w:val="single" w:sz="6" w:space="0" w:color="000000"/>
            </w:tcBorders>
            <w:shd w:val="clear" w:color="auto" w:fill="auto"/>
          </w:tcPr>
          <w:p w14:paraId="7CB83F4F" w14:textId="77777777" w:rsidR="00C26EE9" w:rsidRDefault="00C26EE9" w:rsidP="003F40DD">
            <w:pPr>
              <w:pStyle w:val="TableText"/>
            </w:pPr>
          </w:p>
        </w:tc>
      </w:tr>
    </w:tbl>
    <w:p w14:paraId="14400609" w14:textId="77777777" w:rsidR="00BF2429" w:rsidRDefault="00BF2429" w:rsidP="00BF2429">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2914EAB1"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7343652" w14:textId="77777777" w:rsidR="003F0440" w:rsidRPr="00D65A81" w:rsidRDefault="003F0440" w:rsidP="002D126B">
            <w:pPr>
              <w:pStyle w:val="TableText"/>
              <w:rPr>
                <w:b/>
              </w:rPr>
            </w:pPr>
            <w:r w:rsidRPr="00D65A81">
              <w:rPr>
                <w:b/>
              </w:rPr>
              <w:t>Free Directed Unit For Crossover</w:t>
            </w:r>
          </w:p>
        </w:tc>
      </w:tr>
      <w:tr w:rsidR="003F0440" w:rsidRPr="00725902" w14:paraId="14F0FD3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27C485E" w14:textId="77777777" w:rsidR="003F0440" w:rsidRPr="00725902" w:rsidRDefault="003F0440" w:rsidP="002D126B">
            <w:pPr>
              <w:pStyle w:val="TableText"/>
            </w:pPr>
            <w:r>
              <w:t xml:space="preserve">The unit must not be in a final status to release the restriction. </w:t>
            </w:r>
          </w:p>
        </w:tc>
      </w:tr>
      <w:tr w:rsidR="003F0440" w:rsidRPr="00725902" w14:paraId="5467808D"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C2FE4BF" w14:textId="77777777" w:rsidR="003F0440" w:rsidRPr="00725902" w:rsidRDefault="003F0440" w:rsidP="002D126B">
            <w:pPr>
              <w:pStyle w:val="TableText"/>
            </w:pPr>
            <w:r>
              <w:t>This option does not allow the removal of patient restrictions for most of the ISBT donation types that are eligible for crossover.</w:t>
            </w:r>
          </w:p>
        </w:tc>
      </w:tr>
      <w:tr w:rsidR="003F0440" w:rsidRPr="00725902" w14:paraId="31A3588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1BB8328" w14:textId="77777777" w:rsidR="003F0440" w:rsidRPr="00725902" w:rsidRDefault="003F0440" w:rsidP="002D126B">
            <w:pPr>
              <w:pStyle w:val="TableText"/>
            </w:pPr>
            <w:r>
              <w:t>This option cannot process multiple directed units simultaneously.</w:t>
            </w:r>
          </w:p>
        </w:tc>
      </w:tr>
    </w:tbl>
    <w:p w14:paraId="6287A8A0" w14:textId="77777777" w:rsidR="00BF2429" w:rsidRDefault="00BF2429" w:rsidP="00BF2429">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4EC2129C"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095CF8D1" w14:textId="77777777" w:rsidR="003F0440" w:rsidRPr="007540C1" w:rsidRDefault="003F0440" w:rsidP="002D126B">
            <w:pPr>
              <w:pStyle w:val="TableText"/>
              <w:rPr>
                <w:b/>
              </w:rPr>
            </w:pPr>
            <w:r w:rsidRPr="007540C1">
              <w:rPr>
                <w:b/>
              </w:rPr>
              <w:t>Incoming Shipment</w:t>
            </w:r>
          </w:p>
        </w:tc>
      </w:tr>
      <w:tr w:rsidR="003F0440" w:rsidRPr="00725902" w14:paraId="67301D7D"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650DCB7" w14:textId="77777777" w:rsidR="003F0440" w:rsidRPr="00725902" w:rsidRDefault="003F0440" w:rsidP="002D126B">
            <w:pPr>
              <w:pStyle w:val="TableText"/>
            </w:pPr>
            <w:r>
              <w:t>VBECS d</w:t>
            </w:r>
            <w:r w:rsidRPr="00F862E5">
              <w:t xml:space="preserve">oes not </w:t>
            </w:r>
            <w:r>
              <w:t>compare</w:t>
            </w:r>
            <w:r w:rsidRPr="00F862E5">
              <w:t xml:space="preserve"> </w:t>
            </w:r>
            <w:r>
              <w:t xml:space="preserve">the ABO/Rh </w:t>
            </w:r>
            <w:r w:rsidRPr="00F862E5">
              <w:t xml:space="preserve">of </w:t>
            </w:r>
            <w:r>
              <w:t>an</w:t>
            </w:r>
            <w:r w:rsidRPr="00F862E5">
              <w:t xml:space="preserve"> </w:t>
            </w:r>
            <w:r>
              <w:t>a</w:t>
            </w:r>
            <w:r w:rsidRPr="00F862E5">
              <w:t xml:space="preserve">utologous unit </w:t>
            </w:r>
            <w:r>
              <w:t xml:space="preserve">or display a message when the ABO/Rh </w:t>
            </w:r>
            <w:r w:rsidRPr="00F862E5">
              <w:t xml:space="preserve">is incompatible with the </w:t>
            </w:r>
            <w:r>
              <w:t>r</w:t>
            </w:r>
            <w:r w:rsidRPr="00F862E5">
              <w:t xml:space="preserve">estricted </w:t>
            </w:r>
            <w:r>
              <w:t>f</w:t>
            </w:r>
            <w:r w:rsidRPr="00F862E5">
              <w:t>or patient</w:t>
            </w:r>
            <w:r>
              <w:t>.</w:t>
            </w:r>
          </w:p>
        </w:tc>
      </w:tr>
      <w:tr w:rsidR="00A06C7F" w:rsidRPr="00725902" w14:paraId="54899BA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BE8296A" w14:textId="63D6F4A8" w:rsidR="00A06C7F" w:rsidRPr="009212B0" w:rsidRDefault="00A06C7F" w:rsidP="005364D9">
            <w:pPr>
              <w:pStyle w:val="TableText"/>
            </w:pPr>
            <w:r w:rsidRPr="009A667D">
              <w:lastRenderedPageBreak/>
              <w:t>When a product type, code, or</w:t>
            </w:r>
            <w:r w:rsidRPr="009A667D">
              <w:rPr>
                <w:i/>
              </w:rPr>
              <w:t xml:space="preserve"> </w:t>
            </w:r>
            <w:r w:rsidRPr="009A667D">
              <w:t>local code is not in</w:t>
            </w:r>
            <w:r>
              <w:t xml:space="preserve"> VBECS or a blood supplier creates a product code, contact the </w:t>
            </w:r>
            <w:r w:rsidR="005364D9">
              <w:t>Service</w:t>
            </w:r>
            <w:r>
              <w:t xml:space="preserve"> Desk. See Customer Support for contact information.</w:t>
            </w:r>
          </w:p>
        </w:tc>
      </w:tr>
      <w:tr w:rsidR="00E85B7C" w:rsidRPr="00725902" w14:paraId="33828110"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E252ED5" w14:textId="77777777" w:rsidR="00E85B7C" w:rsidRPr="009A667D" w:rsidRDefault="00E85B7C" w:rsidP="005364D9">
            <w:pPr>
              <w:pStyle w:val="TableText"/>
            </w:pPr>
            <w:r>
              <w:t>The user may not save the unit record until the donation type and its requirements are satisfied.</w:t>
            </w:r>
          </w:p>
        </w:tc>
      </w:tr>
      <w:tr w:rsidR="00E85B7C" w:rsidRPr="00725902" w14:paraId="3C7BE75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09E1AEE" w14:textId="77777777" w:rsidR="00E85B7C" w:rsidRDefault="00E85B7C" w:rsidP="005364D9">
            <w:pPr>
              <w:pStyle w:val="TableText"/>
            </w:pPr>
            <w:r>
              <w:t>No longer supports the entry of blood products labeled in Codabar label type to new or existing invoices.</w:t>
            </w:r>
          </w:p>
        </w:tc>
      </w:tr>
      <w:tr w:rsidR="00E57D56" w:rsidRPr="00725902" w14:paraId="75700E3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865D382" w14:textId="012F3DDB" w:rsidR="00E57D56" w:rsidRPr="009212B0" w:rsidRDefault="00E57D56" w:rsidP="00E57D56">
            <w:pPr>
              <w:pStyle w:val="TableText"/>
            </w:pPr>
            <w:r>
              <w:t>T</w:t>
            </w:r>
            <w:r w:rsidRPr="008C1BD3">
              <w:t xml:space="preserve">he </w:t>
            </w:r>
            <w:r>
              <w:t>unit expiration [</w:t>
            </w:r>
            <w:r w:rsidRPr="008C1BD3">
              <w:t>Maximum Storage Time (MST)</w:t>
            </w:r>
            <w:r>
              <w:t>]</w:t>
            </w:r>
            <w:r w:rsidRPr="008C1BD3">
              <w:t xml:space="preserve"> is set to the longest possible storage time based on product type, core </w:t>
            </w:r>
            <w:r w:rsidR="00AE3B37" w:rsidRPr="008C1BD3">
              <w:t>condition, attributes</w:t>
            </w:r>
            <w:r w:rsidRPr="008C1BD3">
              <w:t>, and available references as a guide. The MST is set at a higher leve</w:t>
            </w:r>
            <w:r>
              <w:t>l</w:t>
            </w:r>
            <w:r w:rsidRPr="008C1BD3">
              <w:t xml:space="preserve"> than an individual collection product code. VBECS does not know the specific collection details.  It is the </w:t>
            </w:r>
            <w:r w:rsidR="004E2AB6" w:rsidRPr="008C1BD3">
              <w:t>responsibility</w:t>
            </w:r>
            <w:r w:rsidRPr="008C1BD3">
              <w:t xml:space="preserve"> of each user to accurately enter and process any one blood unit based on its expiration date/time as labeled by the collection facility.</w:t>
            </w:r>
            <w:r w:rsidRPr="00E57D56">
              <w:t xml:space="preserve"> </w:t>
            </w:r>
            <w:r w:rsidRPr="00E57D56">
              <w:rPr>
                <w:vanish/>
              </w:rPr>
              <w:t>Task 1280</w:t>
            </w:r>
          </w:p>
        </w:tc>
      </w:tr>
      <w:tr w:rsidR="0000455C" w:rsidRPr="00725902" w14:paraId="5C1BFCB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6DD8AA0" w14:textId="77777777" w:rsidR="0000455C" w:rsidRPr="009212B0" w:rsidRDefault="0000455C" w:rsidP="00E85B7C">
            <w:pPr>
              <w:pStyle w:val="TableText"/>
            </w:pPr>
            <w:r>
              <w:t xml:space="preserve">When a user inadvertently enters a unit ID that is longer than </w:t>
            </w:r>
            <w:r w:rsidR="00E85B7C">
              <w:t xml:space="preserve">13 characters for </w:t>
            </w:r>
            <w:r>
              <w:t>an ISBT 128 unit, VBECS accepts the entry but will not associate it with the scanned unit ID.</w:t>
            </w:r>
            <w:r w:rsidRPr="0000455C">
              <w:rPr>
                <w:vanish/>
              </w:rPr>
              <w:t xml:space="preserve"> DR 2,671</w:t>
            </w:r>
          </w:p>
        </w:tc>
      </w:tr>
      <w:tr w:rsidR="002F3BCC" w:rsidRPr="00725902" w14:paraId="676A40F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8BA8AC4" w14:textId="77777777" w:rsidR="002F3BCC" w:rsidRDefault="002F3BCC" w:rsidP="002F3BCC">
            <w:pPr>
              <w:pStyle w:val="TableText"/>
            </w:pPr>
            <w:r>
              <w:t>The display of Special Testing for a unit is limited to 253 characters in Incoming Shipment. All of the special testing is saved in VBECS and is available on reports.</w:t>
            </w:r>
            <w:r w:rsidRPr="002F3BCC">
              <w:rPr>
                <w:vanish/>
              </w:rPr>
              <w:t xml:space="preserve"> DR 3781</w:t>
            </w:r>
          </w:p>
        </w:tc>
      </w:tr>
      <w:tr w:rsidR="004D0C24" w:rsidRPr="00725902" w14:paraId="4A0A358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24B33AC" w14:textId="77777777" w:rsidR="004D0C24" w:rsidRPr="004D0C24" w:rsidRDefault="004D0C24" w:rsidP="002D126B">
            <w:pPr>
              <w:pStyle w:val="TableText"/>
            </w:pPr>
            <w:r>
              <w:t xml:space="preserve">The display label that is built when logging a blood product into VBECS does not change from volunteer donor to autologous when the donation type is changed. </w:t>
            </w:r>
            <w:r>
              <w:rPr>
                <w:vanish/>
              </w:rPr>
              <w:t>DR 3041</w:t>
            </w:r>
          </w:p>
        </w:tc>
      </w:tr>
      <w:tr w:rsidR="003F0440" w:rsidRPr="00725902" w14:paraId="45082B23"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4B59455" w14:textId="77777777" w:rsidR="003F0440" w:rsidRPr="00725902" w:rsidRDefault="003F0440" w:rsidP="002D126B">
            <w:pPr>
              <w:pStyle w:val="TableText"/>
            </w:pPr>
            <w:r w:rsidRPr="009212B0">
              <w:t>When blood products intended for quarantine are scanned, VBECS does not automatically quarantine them: the user must do so.</w:t>
            </w:r>
          </w:p>
        </w:tc>
      </w:tr>
      <w:tr w:rsidR="003F0440" w:rsidRPr="00725902" w14:paraId="72FCF6C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56BC8A3" w14:textId="77777777" w:rsidR="003F0440" w:rsidRPr="009212B0" w:rsidRDefault="003F0440" w:rsidP="002D126B">
            <w:pPr>
              <w:pStyle w:val="TableText"/>
            </w:pPr>
            <w:r w:rsidRPr="00E032D7">
              <w:t xml:space="preserve">VBECS </w:t>
            </w:r>
            <w:r>
              <w:t xml:space="preserve">does not accept scanned information for some modified ISBT 128 </w:t>
            </w:r>
            <w:r w:rsidRPr="00E032D7">
              <w:t>blood units</w:t>
            </w:r>
            <w:r>
              <w:t>. VBECS accepts entered information in these instances.</w:t>
            </w:r>
            <w:r w:rsidRPr="00E032D7">
              <w:rPr>
                <w:vanish/>
              </w:rPr>
              <w:t>UserDoc Task 1085, based on CR 1594 (deferred)</w:t>
            </w:r>
            <w:r w:rsidRPr="006805FF">
              <w:rPr>
                <w:vanish/>
              </w:rPr>
              <w:t xml:space="preserve"> UserDoc Task 1091, based on DR 1922</w:t>
            </w:r>
          </w:p>
        </w:tc>
      </w:tr>
      <w:tr w:rsidR="003F0440" w:rsidRPr="00725902" w14:paraId="5AB02FA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D93D06F" w14:textId="77777777" w:rsidR="003F0440" w:rsidRPr="00725902" w:rsidRDefault="001C6E63" w:rsidP="002D126B">
            <w:pPr>
              <w:pStyle w:val="TableText"/>
            </w:pPr>
            <w:r>
              <w:t>VBECS does not recognize</w:t>
            </w:r>
            <w:r w:rsidR="003F0440" w:rsidRPr="009212B0">
              <w:t xml:space="preserve"> scan</w:t>
            </w:r>
            <w:r>
              <w:t>ned</w:t>
            </w:r>
            <w:r w:rsidR="003F0440" w:rsidRPr="009212B0">
              <w:t xml:space="preserve"> labels for </w:t>
            </w:r>
            <w:r w:rsidR="003F0440">
              <w:t>para-Bombay or B</w:t>
            </w:r>
            <w:r w:rsidR="003F0440" w:rsidRPr="009212B0">
              <w:t>ombay ISBT units.</w:t>
            </w:r>
          </w:p>
        </w:tc>
      </w:tr>
      <w:tr w:rsidR="003F0440" w:rsidRPr="00725902" w14:paraId="16C20BE6"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421FBB5" w14:textId="77777777" w:rsidR="003F0440" w:rsidRPr="00725902" w:rsidRDefault="003F0440" w:rsidP="002D126B">
            <w:pPr>
              <w:pStyle w:val="TableText"/>
            </w:pPr>
            <w:r w:rsidRPr="009212B0">
              <w:t>VBECS does not check whether blood products with the same unit ID and different product codes are the same blood type.</w:t>
            </w:r>
          </w:p>
        </w:tc>
      </w:tr>
      <w:tr w:rsidR="003F0440" w:rsidRPr="00725902" w14:paraId="524E3818"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D4F326D" w14:textId="77777777" w:rsidR="003F0440" w:rsidRPr="00725902" w:rsidRDefault="003F0440" w:rsidP="002D126B">
            <w:pPr>
              <w:pStyle w:val="TableText"/>
            </w:pPr>
            <w:r w:rsidRPr="009212B0">
              <w:t>A site may receive duplicate unit IDs. VBECS cannot ensure that these IDs represent products from the same donor.</w:t>
            </w:r>
          </w:p>
        </w:tc>
      </w:tr>
      <w:tr w:rsidR="003F0440" w:rsidRPr="00725902" w14:paraId="078A6478"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DCAC8E9" w14:textId="77777777" w:rsidR="003F0440" w:rsidRPr="00725902" w:rsidRDefault="003F0440" w:rsidP="002D126B">
            <w:pPr>
              <w:pStyle w:val="TableText"/>
            </w:pPr>
            <w:r>
              <w:t>When a user scans a p</w:t>
            </w:r>
            <w:r w:rsidRPr="00452BA4">
              <w:t xml:space="preserve">roduct </w:t>
            </w:r>
            <w:r>
              <w:t>c</w:t>
            </w:r>
            <w:r w:rsidRPr="00452BA4">
              <w:t xml:space="preserve">ode </w:t>
            </w:r>
            <w:r>
              <w:t>or</w:t>
            </w:r>
            <w:r w:rsidRPr="00452BA4">
              <w:t xml:space="preserve"> </w:t>
            </w:r>
            <w:r>
              <w:t>e</w:t>
            </w:r>
            <w:r w:rsidRPr="00452BA4">
              <w:t xml:space="preserve">xpiration </w:t>
            </w:r>
            <w:r>
              <w:t>d</w:t>
            </w:r>
            <w:r w:rsidRPr="00452BA4">
              <w:t>ate barcode in the Unit ID field</w:t>
            </w:r>
            <w:r>
              <w:t>, VBECS does not display the entered information or an</w:t>
            </w:r>
            <w:r w:rsidRPr="00452BA4">
              <w:t xml:space="preserve"> error icon. </w:t>
            </w:r>
          </w:p>
        </w:tc>
      </w:tr>
      <w:tr w:rsidR="003F0440" w:rsidRPr="00725902" w14:paraId="38B103E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33D108E" w14:textId="77777777" w:rsidR="003F0440" w:rsidRPr="00725902" w:rsidRDefault="003F0440" w:rsidP="002D126B">
            <w:pPr>
              <w:pStyle w:val="TableText"/>
            </w:pPr>
            <w:r w:rsidRPr="00DC22C9">
              <w:t xml:space="preserve">When </w:t>
            </w:r>
            <w:r>
              <w:t>a user scans an ISBT product ID with “0” as the donation type (sixth character), VBECS indicates that the donation type is not specified. When the user selects a donation type from</w:t>
            </w:r>
            <w:r w:rsidRPr="00DC22C9">
              <w:t xml:space="preserve"> the </w:t>
            </w:r>
            <w:r w:rsidR="005131BC">
              <w:t>drop-down</w:t>
            </w:r>
            <w:r w:rsidRPr="00DC22C9">
              <w:t xml:space="preserve"> </w:t>
            </w:r>
            <w:r>
              <w:t xml:space="preserve">menu, VBECS replaces “0” with a recognizable </w:t>
            </w:r>
            <w:r w:rsidRPr="00DC22C9">
              <w:t>character in the product code text box and store</w:t>
            </w:r>
            <w:r>
              <w:t>s it as such</w:t>
            </w:r>
            <w:r w:rsidRPr="00DC22C9">
              <w:t xml:space="preserve">. </w:t>
            </w:r>
            <w:r>
              <w:t xml:space="preserve">When the user rescans the product ID, he must </w:t>
            </w:r>
            <w:r w:rsidRPr="00DC22C9">
              <w:t xml:space="preserve">manually </w:t>
            </w:r>
            <w:r>
              <w:t>replace</w:t>
            </w:r>
            <w:r w:rsidRPr="00DC22C9">
              <w:t xml:space="preserve"> </w:t>
            </w:r>
            <w:r>
              <w:t>“0” or search using the unit ID alone, or the unit ID and the first five characters of the product ID</w:t>
            </w:r>
            <w:r w:rsidRPr="00DC22C9">
              <w:t>.</w:t>
            </w:r>
          </w:p>
        </w:tc>
      </w:tr>
      <w:tr w:rsidR="003F0440" w:rsidRPr="00725902" w14:paraId="2242BF7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9F0B453" w14:textId="77777777" w:rsidR="003F0440" w:rsidRPr="00DC22C9" w:rsidRDefault="003F0440" w:rsidP="002D126B">
            <w:pPr>
              <w:pStyle w:val="TableText"/>
            </w:pPr>
            <w:r>
              <w:t>Blood product code entries in the blood product table include those from ICCBBA for ISBT 128. Product codes created after the release of VBECS cannot be entered until the updated tables are incorporated through patches to VBECS. Refuse acceptance of the unit, if possible.</w:t>
            </w:r>
            <w:r w:rsidR="003D71A3">
              <w:t xml:space="preserve"> </w:t>
            </w:r>
            <w:r>
              <w:t>U</w:t>
            </w:r>
            <w:r w:rsidRPr="009212B0">
              <w:t>ser</w:t>
            </w:r>
            <w:r>
              <w:t>s</w:t>
            </w:r>
            <w:r w:rsidRPr="009212B0">
              <w:t xml:space="preserve"> may not </w:t>
            </w:r>
            <w:r>
              <w:t>edit the blood product table.</w:t>
            </w:r>
          </w:p>
        </w:tc>
      </w:tr>
      <w:tr w:rsidR="003F0440" w:rsidRPr="00725902" w14:paraId="1B3C0FD5"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5B77CCF" w14:textId="77777777" w:rsidR="003F0440" w:rsidRPr="002F6D2F" w:rsidRDefault="003F0440" w:rsidP="002D126B">
            <w:pPr>
              <w:pStyle w:val="TableText"/>
            </w:pPr>
            <w:r>
              <w:t>ISBT 128 tables include blood product codes labeled as not for manufacturing or transfusion. VBECS does not restrict such products from being entered, issued, or transferred (l</w:t>
            </w:r>
            <w:r w:rsidR="00AA54D2">
              <w:t>ocal policy controls their use) and</w:t>
            </w:r>
            <w:r>
              <w:t xml:space="preserve"> does not accommodate blood modification for these products.</w:t>
            </w:r>
          </w:p>
        </w:tc>
      </w:tr>
      <w:tr w:rsidR="001C6E63" w:rsidRPr="00725902" w14:paraId="03EF51C9"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A3810F4" w14:textId="77777777" w:rsidR="001C6E63" w:rsidRDefault="001C6E63" w:rsidP="002D126B">
            <w:pPr>
              <w:pStyle w:val="TableText"/>
            </w:pPr>
            <w:r>
              <w:t xml:space="preserve">A user cannot bring in pooled ABO or pooled Rh types for plasma or FFP. </w:t>
            </w:r>
            <w:r w:rsidRPr="00A3263D">
              <w:t>Cryoprecipitate</w:t>
            </w:r>
            <w:r>
              <w:t xml:space="preserve"> is </w:t>
            </w:r>
            <w:r w:rsidRPr="00A3263D">
              <w:rPr>
                <w:b/>
              </w:rPr>
              <w:t>not</w:t>
            </w:r>
            <w:r>
              <w:t xml:space="preserve"> affected. </w:t>
            </w:r>
            <w:r w:rsidRPr="0013234C">
              <w:rPr>
                <w:vanish/>
              </w:rPr>
              <w:t>DR 4316</w:t>
            </w:r>
          </w:p>
        </w:tc>
      </w:tr>
      <w:tr w:rsidR="00155BBE" w:rsidRPr="00725902" w14:paraId="0B25EA73"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F214A23" w14:textId="0023B64C" w:rsidR="00155BBE" w:rsidRDefault="00155BBE" w:rsidP="002D126B">
            <w:pPr>
              <w:pStyle w:val="TableText"/>
            </w:pPr>
            <w:r>
              <w:t xml:space="preserve">No entry of an ICCBBA </w:t>
            </w:r>
            <w:r w:rsidRPr="00630C68">
              <w:t xml:space="preserve">Product Description Code </w:t>
            </w:r>
            <w:r>
              <w:t>starting with A, B, C, or D aka</w:t>
            </w:r>
            <w:r w:rsidRPr="00630C68">
              <w:t xml:space="preserve"> National or Local Codes A0000-D9999</w:t>
            </w:r>
            <w:r>
              <w:t>.</w:t>
            </w:r>
            <w:r w:rsidRPr="00630C68">
              <w:rPr>
                <w:i/>
              </w:rPr>
              <w:t xml:space="preserve"> If use of such a code is necessary for patient care, contact Service Desk and file a request fo</w:t>
            </w:r>
            <w:r>
              <w:rPr>
                <w:i/>
              </w:rPr>
              <w:t>r the code to be added to VBECS.</w:t>
            </w:r>
          </w:p>
        </w:tc>
      </w:tr>
    </w:tbl>
    <w:p w14:paraId="489FE710" w14:textId="5C80175F" w:rsidR="000E59E4" w:rsidRDefault="000E59E4" w:rsidP="00BF2429">
      <w:pPr>
        <w:pStyle w:val="TableText"/>
      </w:pPr>
    </w:p>
    <w:p w14:paraId="390D7CBE" w14:textId="77777777" w:rsidR="000E59E4" w:rsidRDefault="000E59E4">
      <w:pPr>
        <w:rPr>
          <w:rFonts w:ascii="Arial" w:hAnsi="Arial"/>
          <w:sz w:val="18"/>
        </w:rPr>
      </w:pPr>
      <w:r>
        <w:br w:type="page"/>
      </w:r>
    </w:p>
    <w:p w14:paraId="25B2EECE" w14:textId="77777777" w:rsidR="00BF2429" w:rsidRDefault="00BF2429" w:rsidP="00BF2429">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1F9CB4C8"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39702DE0" w14:textId="77777777" w:rsidR="003F0440" w:rsidRPr="00534C65" w:rsidRDefault="003F0440" w:rsidP="002D126B">
            <w:pPr>
              <w:pStyle w:val="TableText"/>
              <w:rPr>
                <w:b/>
              </w:rPr>
            </w:pPr>
            <w:r>
              <w:rPr>
                <w:b/>
              </w:rPr>
              <w:t>Invalidate Test Results</w:t>
            </w:r>
          </w:p>
        </w:tc>
      </w:tr>
      <w:tr w:rsidR="003F0440" w:rsidRPr="00725902" w14:paraId="20270195"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9D01E4B" w14:textId="77777777" w:rsidR="003F0440" w:rsidRPr="00A610E7" w:rsidRDefault="003F0440" w:rsidP="002D126B">
            <w:pPr>
              <w:pStyle w:val="TableText"/>
            </w:pPr>
            <w:r>
              <w:t>A user may not inactivate a component task in this option.</w:t>
            </w:r>
          </w:p>
        </w:tc>
      </w:tr>
      <w:tr w:rsidR="003F0440" w:rsidRPr="00725902" w14:paraId="77355296"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3747EE8" w14:textId="77777777" w:rsidR="003F0440" w:rsidRPr="00A610E7" w:rsidRDefault="003F0440" w:rsidP="002D126B">
            <w:pPr>
              <w:pStyle w:val="TableText"/>
            </w:pPr>
            <w:r>
              <w:t>This option does not release units from patient assignment. The user must release “assigned” units before invalidating the test results.</w:t>
            </w:r>
          </w:p>
        </w:tc>
      </w:tr>
      <w:tr w:rsidR="003F0440" w:rsidRPr="00725902" w14:paraId="5B6F41CC"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3AE2932" w14:textId="77777777" w:rsidR="003F0440" w:rsidRPr="00A610E7" w:rsidRDefault="003F0440" w:rsidP="002D126B">
            <w:pPr>
              <w:pStyle w:val="TableText"/>
            </w:pPr>
            <w:r>
              <w:t>T</w:t>
            </w:r>
            <w:r w:rsidRPr="001B2013">
              <w:t xml:space="preserve">o </w:t>
            </w:r>
            <w:r>
              <w:t>maintain</w:t>
            </w:r>
            <w:r w:rsidRPr="001B2013">
              <w:t xml:space="preserve"> a clear record</w:t>
            </w:r>
            <w:r>
              <w:t xml:space="preserve"> and system checks, the user must invalidate both original and repeat ABO/Rh tests</w:t>
            </w:r>
            <w:r w:rsidRPr="001B2013">
              <w:t xml:space="preserve">. </w:t>
            </w:r>
          </w:p>
        </w:tc>
      </w:tr>
      <w:tr w:rsidR="00C4014D" w:rsidRPr="00725902" w14:paraId="5A8EA8A9"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63C18C2" w14:textId="77777777" w:rsidR="00C4014D" w:rsidRDefault="007B38A2" w:rsidP="002D126B">
            <w:pPr>
              <w:pStyle w:val="TableText"/>
            </w:pPr>
            <w:r>
              <w:t>Do not invalidate part of the configured test. Doing this will put the specimen into a state where it cannot be processed; invalidate all tests configured as part of the TAS regardless of which sub test (ABO/Rh, ABS or DAT) is the problem</w:t>
            </w:r>
            <w:r w:rsidR="00C4014D">
              <w:t xml:space="preserve">. </w:t>
            </w:r>
            <w:r w:rsidR="00C4014D" w:rsidRPr="00C4014D">
              <w:rPr>
                <w:vanish/>
              </w:rPr>
              <w:t>DR 4854</w:t>
            </w:r>
          </w:p>
        </w:tc>
      </w:tr>
    </w:tbl>
    <w:p w14:paraId="2DE94199" w14:textId="77777777" w:rsidR="00BF2429" w:rsidRDefault="00BF2429" w:rsidP="00BF2429">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0562E4F2"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8865B21" w14:textId="77777777" w:rsidR="003F0440" w:rsidRPr="00534C65" w:rsidRDefault="003F0440" w:rsidP="002D126B">
            <w:pPr>
              <w:pStyle w:val="TableText"/>
              <w:rPr>
                <w:b/>
              </w:rPr>
            </w:pPr>
            <w:r w:rsidRPr="00534C65">
              <w:rPr>
                <w:b/>
              </w:rPr>
              <w:t>Issue Blood Components</w:t>
            </w:r>
          </w:p>
        </w:tc>
      </w:tr>
      <w:tr w:rsidR="003F0440" w:rsidRPr="00725902" w14:paraId="1B4EB89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DF5D73B" w14:textId="77777777" w:rsidR="003F0440" w:rsidRPr="00725902" w:rsidRDefault="003F0440" w:rsidP="002D126B">
            <w:pPr>
              <w:pStyle w:val="TableText"/>
            </w:pPr>
            <w:r>
              <w:t xml:space="preserve">VBECS does not check </w:t>
            </w:r>
            <w:r w:rsidRPr="00F26B72">
              <w:t xml:space="preserve">for </w:t>
            </w:r>
            <w:r>
              <w:t>restricted</w:t>
            </w:r>
            <w:r w:rsidRPr="00F26B72">
              <w:t xml:space="preserve"> units </w:t>
            </w:r>
            <w:r>
              <w:t>(not</w:t>
            </w:r>
            <w:r w:rsidRPr="00F26B72">
              <w:t xml:space="preserve"> assigned to the patient</w:t>
            </w:r>
            <w:r>
              <w:t>)</w:t>
            </w:r>
            <w:r w:rsidRPr="00F26B72">
              <w:t xml:space="preserve"> received </w:t>
            </w:r>
            <w:r>
              <w:t>between selection and issue.</w:t>
            </w:r>
          </w:p>
        </w:tc>
      </w:tr>
      <w:tr w:rsidR="003F0440" w:rsidRPr="00725902" w14:paraId="6F65D496"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60B6D1D" w14:textId="77777777" w:rsidR="003F0440" w:rsidRPr="00725902" w:rsidRDefault="003F0440" w:rsidP="002D126B">
            <w:pPr>
              <w:pStyle w:val="TableText"/>
            </w:pPr>
            <w:r>
              <w:t xml:space="preserve">All issue-to locations must be valid entries in the </w:t>
            </w:r>
            <w:r w:rsidRPr="00CA0045">
              <w:rPr>
                <w:bCs/>
              </w:rPr>
              <w:t>VistA</w:t>
            </w:r>
            <w:r>
              <w:t xml:space="preserve"> hospital location </w:t>
            </w:r>
            <w:r w:rsidR="008F2DE4">
              <w:t>file</w:t>
            </w:r>
            <w:r>
              <w:t xml:space="preserve">. </w:t>
            </w:r>
          </w:p>
        </w:tc>
      </w:tr>
      <w:tr w:rsidR="00666930" w:rsidRPr="00725902" w14:paraId="0C5BFBE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09983A4" w14:textId="77777777" w:rsidR="00666930" w:rsidRDefault="00666930" w:rsidP="002D126B">
            <w:pPr>
              <w:pStyle w:val="TableText"/>
            </w:pPr>
            <w:r>
              <w:t xml:space="preserve">If VistA link is not available, the user may proceed with the issue process but the current issue-to hospital location is not recorded. All of the associated report records display “VistALink Down” in the Issue To location field. </w:t>
            </w:r>
            <w:r w:rsidRPr="00666930">
              <w:rPr>
                <w:vanish/>
              </w:rPr>
              <w:t>DR 5073</w:t>
            </w:r>
          </w:p>
        </w:tc>
      </w:tr>
      <w:tr w:rsidR="003F0440" w:rsidRPr="00725902" w14:paraId="40D0DC5A"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FDA9D49" w14:textId="77777777" w:rsidR="003F0440" w:rsidRPr="002F6D2F" w:rsidRDefault="003F0440" w:rsidP="002D126B">
            <w:pPr>
              <w:pStyle w:val="TableText"/>
            </w:pPr>
            <w:r>
              <w:t>ISBT 128 tables include blood product codes labeled as not for manufacturing or transfusion. VBECS does not restrict such products from being entered, issued, or transferred (local policy controls their use), but does not accommodate blood modification for these products.</w:t>
            </w:r>
          </w:p>
        </w:tc>
      </w:tr>
      <w:tr w:rsidR="007E1B6B" w:rsidRPr="00725902" w14:paraId="147B0EFE"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7A23294" w14:textId="77777777" w:rsidR="007E1B6B" w:rsidRDefault="007E1B6B" w:rsidP="002D126B">
            <w:pPr>
              <w:pStyle w:val="TableText"/>
            </w:pPr>
            <w:r>
              <w:t>W</w:t>
            </w:r>
            <w:r w:rsidRPr="007E1B6B">
              <w:t xml:space="preserve">hen a site has configured </w:t>
            </w:r>
            <w:r w:rsidR="00E57947" w:rsidRPr="007E1B6B">
              <w:t>subservient</w:t>
            </w:r>
            <w:r w:rsidRPr="007E1B6B">
              <w:t xml:space="preserve"> VistA ins</w:t>
            </w:r>
            <w:r>
              <w:t xml:space="preserve">titutions to the VBECS division, users </w:t>
            </w:r>
            <w:r w:rsidRPr="007E1B6B">
              <w:t xml:space="preserve">can only issue </w:t>
            </w:r>
            <w:r>
              <w:t xml:space="preserve">units </w:t>
            </w:r>
            <w:r w:rsidRPr="007E1B6B">
              <w:t xml:space="preserve">to locations in the primary VistA. Sites may add locations to VistA to account for the relocations to the </w:t>
            </w:r>
            <w:r w:rsidR="00E57947" w:rsidRPr="007E1B6B">
              <w:t>subservient</w:t>
            </w:r>
            <w:r w:rsidRPr="007E1B6B">
              <w:t xml:space="preserve"> VistA institutions</w:t>
            </w:r>
            <w:r w:rsidR="00432F57">
              <w:t>.</w:t>
            </w:r>
          </w:p>
        </w:tc>
      </w:tr>
      <w:tr w:rsidR="00432F57" w:rsidRPr="00725902" w14:paraId="64BFD516"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FFAD4BA" w14:textId="77777777" w:rsidR="00432F57" w:rsidRDefault="00432F57" w:rsidP="002D126B">
            <w:pPr>
              <w:pStyle w:val="TableText"/>
            </w:pPr>
            <w:r>
              <w:t xml:space="preserve">BCE information </w:t>
            </w:r>
            <w:r w:rsidRPr="00C01E45">
              <w:t>applies ONLY when a BCE COTS product is available for communication and is configured.</w:t>
            </w:r>
          </w:p>
        </w:tc>
      </w:tr>
      <w:tr w:rsidR="00432F57" w:rsidRPr="00725902" w14:paraId="7C787EC3"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E5E8DF3" w14:textId="77777777" w:rsidR="00432F57" w:rsidRDefault="00432F57" w:rsidP="002D126B">
            <w:pPr>
              <w:pStyle w:val="TableText"/>
            </w:pPr>
            <w:r>
              <w:t xml:space="preserve">Changing a </w:t>
            </w:r>
            <w:r w:rsidRPr="00633316">
              <w:t>patient's</w:t>
            </w:r>
            <w:r>
              <w:t xml:space="preserve"> transfusion requirements</w:t>
            </w:r>
            <w:r w:rsidRPr="00633316">
              <w:t xml:space="preserve"> </w:t>
            </w:r>
            <w:r>
              <w:t xml:space="preserve">(component requirements, </w:t>
            </w:r>
            <w:r w:rsidRPr="00633316">
              <w:t>antigen negative requirement or antibody identified</w:t>
            </w:r>
            <w:r>
              <w:t>)</w:t>
            </w:r>
            <w:r w:rsidRPr="00633316">
              <w:t xml:space="preserve"> after a unit is crossmatched does not provide an alert at Issue Unit regarding the type of crossmatch </w:t>
            </w:r>
            <w:r>
              <w:t xml:space="preserve">(electronic or serologic) </w:t>
            </w:r>
            <w:r w:rsidRPr="00633316">
              <w:t xml:space="preserve">performed on </w:t>
            </w:r>
            <w:r>
              <w:t xml:space="preserve">a </w:t>
            </w:r>
            <w:r w:rsidRPr="00633316">
              <w:t>unit</w:t>
            </w:r>
            <w:r>
              <w:t xml:space="preserve"> available for issue</w:t>
            </w:r>
            <w:r w:rsidRPr="00633316">
              <w:t>.</w:t>
            </w:r>
          </w:p>
        </w:tc>
      </w:tr>
      <w:tr w:rsidR="005E6088" w:rsidRPr="00725902" w14:paraId="57862320"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1168201" w14:textId="3838E147" w:rsidR="005E6088" w:rsidRDefault="005E6088" w:rsidP="002D126B">
            <w:pPr>
              <w:pStyle w:val="TableText"/>
            </w:pPr>
            <w:r>
              <w:t xml:space="preserve">VBECS asks for a comment when issuing a unit that is assigned to two different patients. Enter a comment to issue the unit or release one of the patient assignments before issuing. The comment will appear on the Unit History Report in the Issue section. </w:t>
            </w:r>
            <w:r w:rsidRPr="00101C38">
              <w:rPr>
                <w:vanish/>
              </w:rPr>
              <w:t xml:space="preserve">Defect </w:t>
            </w:r>
            <w:r w:rsidR="00101C38" w:rsidRPr="00101C38">
              <w:rPr>
                <w:vanish/>
              </w:rPr>
              <w:t>208730</w:t>
            </w:r>
          </w:p>
        </w:tc>
      </w:tr>
    </w:tbl>
    <w:p w14:paraId="35A3F6BA" w14:textId="77777777" w:rsidR="00BF2429" w:rsidRDefault="00BF2429" w:rsidP="00BF2429">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369001A6"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E3D0905" w14:textId="77777777" w:rsidR="003F0440" w:rsidRPr="00534C65" w:rsidRDefault="003F0440" w:rsidP="002D126B">
            <w:pPr>
              <w:pStyle w:val="TableText"/>
              <w:rPr>
                <w:b/>
              </w:rPr>
            </w:pPr>
            <w:r w:rsidRPr="00534C65">
              <w:rPr>
                <w:b/>
              </w:rPr>
              <w:t>Justify ABO/Rh Change</w:t>
            </w:r>
          </w:p>
        </w:tc>
      </w:tr>
      <w:tr w:rsidR="003F0440" w:rsidRPr="00725902" w14:paraId="75FD517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D9C0875" w14:textId="77777777" w:rsidR="003F0440" w:rsidRPr="00725902" w:rsidRDefault="003F0440" w:rsidP="002D126B">
            <w:pPr>
              <w:pStyle w:val="TableText"/>
            </w:pPr>
            <w:r>
              <w:t>VBECS does not allow the selection or issue of certain blood components that may appear ABO/Rh compatible when discrepant ABO/Rh results are not justified.</w:t>
            </w:r>
          </w:p>
        </w:tc>
      </w:tr>
    </w:tbl>
    <w:p w14:paraId="122AF75C" w14:textId="77777777" w:rsidR="00123D20" w:rsidRDefault="00123D20"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34C65" w14:paraId="77FDBE7C"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6111274" w14:textId="77777777" w:rsidR="003F0440" w:rsidRPr="00534C65" w:rsidRDefault="00123D20" w:rsidP="002D126B">
            <w:pPr>
              <w:pStyle w:val="TableText"/>
              <w:rPr>
                <w:b/>
              </w:rPr>
            </w:pPr>
            <w:r>
              <w:br w:type="page"/>
            </w:r>
            <w:r w:rsidR="0045199A">
              <w:br w:type="page"/>
            </w:r>
            <w:r w:rsidR="003F0440" w:rsidRPr="00534C65">
              <w:rPr>
                <w:b/>
              </w:rPr>
              <w:t>Local Facilities</w:t>
            </w:r>
          </w:p>
        </w:tc>
      </w:tr>
      <w:tr w:rsidR="003F0440" w:rsidRPr="00725902" w14:paraId="779F79E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C818CC9" w14:textId="77777777" w:rsidR="003F0440" w:rsidRDefault="003F0440" w:rsidP="002D126B">
            <w:pPr>
              <w:pStyle w:val="TableText"/>
            </w:pPr>
            <w:r>
              <w:t>A user may:</w:t>
            </w:r>
          </w:p>
          <w:p w14:paraId="7102F107" w14:textId="77777777" w:rsidR="003F0440" w:rsidRPr="00DA2271" w:rsidRDefault="003F0440" w:rsidP="00DA2271">
            <w:pPr>
              <w:pStyle w:val="TableTextBullet"/>
              <w:tabs>
                <w:tab w:val="clear" w:pos="288"/>
              </w:tabs>
            </w:pPr>
            <w:r w:rsidRPr="00DA2271">
              <w:t>Activate and edit collection facility records distributed with VBECS.</w:t>
            </w:r>
          </w:p>
          <w:p w14:paraId="18E59CF8" w14:textId="77777777" w:rsidR="003F0440" w:rsidRPr="00DA2271" w:rsidRDefault="003F0440" w:rsidP="00DA2271">
            <w:pPr>
              <w:pStyle w:val="TableTextBullet"/>
              <w:tabs>
                <w:tab w:val="clear" w:pos="288"/>
              </w:tabs>
            </w:pPr>
            <w:r w:rsidRPr="00DA2271">
              <w:t>Add and locally edit active collection facilities.</w:t>
            </w:r>
          </w:p>
          <w:p w14:paraId="3BC3A0A6" w14:textId="77777777" w:rsidR="00A65139" w:rsidRPr="00DA2271" w:rsidRDefault="003F0440" w:rsidP="00DA2271">
            <w:pPr>
              <w:pStyle w:val="TableTextBullet"/>
              <w:tabs>
                <w:tab w:val="clear" w:pos="288"/>
              </w:tabs>
            </w:pPr>
            <w:r w:rsidRPr="00DA2271">
              <w:t xml:space="preserve">Activate and/or deactivate local collection facilities. </w:t>
            </w:r>
          </w:p>
          <w:p w14:paraId="5AF6CFE1" w14:textId="77777777" w:rsidR="00A65139" w:rsidRPr="00B157B4" w:rsidRDefault="00A65139" w:rsidP="00DA2271">
            <w:pPr>
              <w:pStyle w:val="TableTextBullet"/>
              <w:tabs>
                <w:tab w:val="clear" w:pos="288"/>
              </w:tabs>
            </w:pPr>
            <w:r w:rsidRPr="00DA2271">
              <w:t>Edit a division</w:t>
            </w:r>
            <w:r>
              <w:t xml:space="preserve"> name, which may result in a mismatch between VistA and VBECS division names. </w:t>
            </w:r>
            <w:r w:rsidRPr="00A65139">
              <w:rPr>
                <w:vanish/>
              </w:rPr>
              <w:t>(DR 2,113)</w:t>
            </w:r>
          </w:p>
          <w:p w14:paraId="4991C0D5" w14:textId="77777777" w:rsidR="00B157B4" w:rsidRPr="00725902" w:rsidRDefault="00B157B4" w:rsidP="00AE19A0">
            <w:pPr>
              <w:pStyle w:val="TableTextBullet"/>
              <w:tabs>
                <w:tab w:val="clear" w:pos="288"/>
              </w:tabs>
            </w:pPr>
            <w:r w:rsidRPr="005705B4">
              <w:t>The Local Facility Address maximum length is 45 characters</w:t>
            </w:r>
            <w:r w:rsidR="00AE19A0">
              <w:t xml:space="preserve"> including spaces</w:t>
            </w:r>
            <w:r w:rsidRPr="005705B4">
              <w:t xml:space="preserve"> to allow the address to display on VBECS repo</w:t>
            </w:r>
            <w:r>
              <w:t xml:space="preserve">rts. The third line of the facility address is not displayed on VBECS reports. </w:t>
            </w:r>
            <w:r w:rsidRPr="00B157B4">
              <w:rPr>
                <w:vanish/>
              </w:rPr>
              <w:t>DR 4980</w:t>
            </w:r>
          </w:p>
        </w:tc>
      </w:tr>
    </w:tbl>
    <w:p w14:paraId="3C147A8B" w14:textId="0E7C612F" w:rsidR="000E59E4" w:rsidRDefault="000E59E4" w:rsidP="00220D0D">
      <w:pPr>
        <w:pStyle w:val="TableText"/>
      </w:pPr>
    </w:p>
    <w:p w14:paraId="54A8EF43" w14:textId="77777777" w:rsidR="000E59E4" w:rsidRDefault="000E59E4">
      <w:pPr>
        <w:rPr>
          <w:rFonts w:ascii="Arial" w:hAnsi="Arial"/>
          <w:sz w:val="18"/>
        </w:rPr>
      </w:pPr>
      <w:r>
        <w:br w:type="page"/>
      </w:r>
    </w:p>
    <w:p w14:paraId="5C06DDEB" w14:textId="77777777" w:rsidR="00220D0D" w:rsidRDefault="00220D0D"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3657B4" w14:paraId="478626F2"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8AE086D" w14:textId="77777777" w:rsidR="003F0440" w:rsidRPr="003657B4" w:rsidRDefault="003F0440" w:rsidP="002D126B">
            <w:pPr>
              <w:pStyle w:val="TableText"/>
              <w:rPr>
                <w:b/>
              </w:rPr>
            </w:pPr>
            <w:r w:rsidRPr="003657B4">
              <w:rPr>
                <w:b/>
              </w:rPr>
              <w:t>Log In Reagents, Update Inventory, View/Print Inventory, Maintain Minimum Levels</w:t>
            </w:r>
          </w:p>
        </w:tc>
      </w:tr>
      <w:tr w:rsidR="003F0440" w:rsidRPr="00725902" w14:paraId="54F002E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090FABE" w14:textId="77777777" w:rsidR="003F0440" w:rsidRPr="003657B4" w:rsidRDefault="003F0440" w:rsidP="002D126B">
            <w:pPr>
              <w:pStyle w:val="TableText"/>
            </w:pPr>
            <w:r>
              <w:t>VBECS does not display a reagent report by invoice number.</w:t>
            </w:r>
            <w:r w:rsidRPr="00F759ED">
              <w:rPr>
                <w:vanish/>
              </w:rPr>
              <w:t xml:space="preserve"> (UserDoc Task 1083)</w:t>
            </w:r>
          </w:p>
        </w:tc>
      </w:tr>
      <w:tr w:rsidR="003F0440" w:rsidRPr="00725902" w14:paraId="00E2526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6ACDE8C" w14:textId="77777777" w:rsidR="003F0440" w:rsidRPr="003657B4" w:rsidRDefault="003F0440" w:rsidP="002D126B">
            <w:pPr>
              <w:pStyle w:val="TableText"/>
            </w:pPr>
            <w:r>
              <w:t>The unsatisfactory portion of a shipment must be recorded individually.</w:t>
            </w:r>
          </w:p>
        </w:tc>
      </w:tr>
      <w:tr w:rsidR="00BE53DD" w:rsidRPr="00725902" w14:paraId="06CF813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57F7C48" w14:textId="77777777" w:rsidR="00BE53DD" w:rsidRDefault="00BE53DD" w:rsidP="002D126B">
            <w:pPr>
              <w:pStyle w:val="TableText"/>
            </w:pPr>
            <w:r>
              <w:t xml:space="preserve">There is no retrospective data entry </w:t>
            </w:r>
            <w:r w:rsidR="005C7504">
              <w:t xml:space="preserve">or user selection for </w:t>
            </w:r>
            <w:r w:rsidR="0061702F">
              <w:t>these options</w:t>
            </w:r>
            <w:r>
              <w:t>.</w:t>
            </w:r>
          </w:p>
        </w:tc>
      </w:tr>
      <w:tr w:rsidR="003F0440" w:rsidRPr="00725902" w14:paraId="042CF17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19DF781" w14:textId="77777777" w:rsidR="003F0440" w:rsidRPr="003657B4" w:rsidRDefault="003F0440" w:rsidP="002D126B">
            <w:pPr>
              <w:pStyle w:val="TableText"/>
            </w:pPr>
            <w:r>
              <w:t xml:space="preserve">Each site must set a standard for recording quantity: it may use the number of cases or the number of units within the cases. </w:t>
            </w:r>
          </w:p>
        </w:tc>
      </w:tr>
      <w:tr w:rsidR="003F0440" w:rsidRPr="00725902" w14:paraId="57F81153"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B38AAAA" w14:textId="77777777" w:rsidR="003F0440" w:rsidRDefault="003F0440" w:rsidP="002D126B">
            <w:pPr>
              <w:pStyle w:val="TableText"/>
              <w:rPr>
                <w:vanish/>
              </w:rPr>
            </w:pPr>
            <w:r>
              <w:t xml:space="preserve">When a user enters a lot number in the Lot # field and clicks the </w:t>
            </w:r>
            <w:r>
              <w:rPr>
                <w:b/>
              </w:rPr>
              <w:t>magnifying glass</w:t>
            </w:r>
            <w:r>
              <w:t>, VBECS displays only the first instance of a duplicate lot number.</w:t>
            </w:r>
          </w:p>
        </w:tc>
      </w:tr>
    </w:tbl>
    <w:p w14:paraId="62BD87A0" w14:textId="77777777" w:rsidR="00ED3C7A" w:rsidRDefault="00ED3C7A"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1C025409"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C08E33D" w14:textId="77777777" w:rsidR="003F0440" w:rsidRPr="00534C65" w:rsidRDefault="00CF23B1" w:rsidP="002D126B">
            <w:pPr>
              <w:pStyle w:val="TableText"/>
              <w:rPr>
                <w:b/>
              </w:rPr>
            </w:pPr>
            <w:r>
              <w:rPr>
                <w:b/>
              </w:rPr>
              <w:t>Log i</w:t>
            </w:r>
            <w:r w:rsidR="003F0440" w:rsidRPr="00534C65">
              <w:rPr>
                <w:b/>
              </w:rPr>
              <w:t>nto VBECS and VistA</w:t>
            </w:r>
          </w:p>
        </w:tc>
      </w:tr>
      <w:tr w:rsidR="003F0440" w:rsidRPr="00725902" w14:paraId="661D69F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05E8B94" w14:textId="77777777" w:rsidR="003F0440" w:rsidRPr="00725902" w:rsidRDefault="003F0440" w:rsidP="002D126B">
            <w:pPr>
              <w:pStyle w:val="TableText"/>
            </w:pPr>
            <w:r>
              <w:t>VBECS automatically logs a</w:t>
            </w:r>
            <w:r w:rsidRPr="00BF7321">
              <w:t xml:space="preserve"> </w:t>
            </w:r>
            <w:r>
              <w:rPr>
                <w:vanish/>
              </w:rPr>
              <w:t xml:space="preserve">BR_18.05 </w:t>
            </w:r>
            <w:r>
              <w:t>user with access to only one division into that division.</w:t>
            </w:r>
          </w:p>
        </w:tc>
      </w:tr>
      <w:tr w:rsidR="00FD40DC" w:rsidRPr="00725902" w14:paraId="36F6A95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177AB63" w14:textId="77777777" w:rsidR="00FD40DC" w:rsidRDefault="00FD40DC" w:rsidP="002D126B">
            <w:pPr>
              <w:pStyle w:val="TableText"/>
            </w:pPr>
            <w:r>
              <w:t>Connectivity by IAM services access approval (PIV Card) is not possible when IAM services are not available.</w:t>
            </w:r>
          </w:p>
        </w:tc>
      </w:tr>
      <w:tr w:rsidR="00F22645" w:rsidRPr="00725902" w14:paraId="2476314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FCB472C" w14:textId="77777777" w:rsidR="00F22645" w:rsidRDefault="00F22645" w:rsidP="002D126B">
            <w:pPr>
              <w:pStyle w:val="TableText"/>
            </w:pPr>
            <w:r>
              <w:t xml:space="preserve">An Access and Verify code is required to connect to VistA </w:t>
            </w:r>
            <w:r w:rsidR="00FD40DC">
              <w:t>when the IAM services are not available.</w:t>
            </w:r>
          </w:p>
        </w:tc>
      </w:tr>
      <w:tr w:rsidR="00FD40DC" w:rsidRPr="00725902" w14:paraId="6BA3626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54D903D" w14:textId="77777777" w:rsidR="00FD40DC" w:rsidRDefault="00FD40DC" w:rsidP="002D126B">
            <w:pPr>
              <w:pStyle w:val="TableText"/>
            </w:pPr>
            <w:r>
              <w:t>Connectivity is not possible when VistA is not available.</w:t>
            </w:r>
          </w:p>
        </w:tc>
      </w:tr>
      <w:tr w:rsidR="00FD40DC" w:rsidRPr="00725902" w14:paraId="46734D4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602047E" w14:textId="273C6550" w:rsidR="00FD40DC" w:rsidRDefault="00FD40DC" w:rsidP="00FD40DC">
            <w:pPr>
              <w:pStyle w:val="TableText"/>
            </w:pPr>
            <w:r>
              <w:t xml:space="preserve">The user may log </w:t>
            </w:r>
            <w:r w:rsidR="00CA1BD2">
              <w:t xml:space="preserve">into multiple terminals </w:t>
            </w:r>
            <w:r w:rsidR="009903AA">
              <w:t>simultaneously</w:t>
            </w:r>
            <w:r>
              <w:t>, but accessing</w:t>
            </w:r>
            <w:r w:rsidR="00C55323">
              <w:t xml:space="preserve"> VBECS in multiple sessions is no longer possible due to the way the PIV card works.</w:t>
            </w:r>
          </w:p>
        </w:tc>
      </w:tr>
      <w:tr w:rsidR="00CD4DBB" w:rsidRPr="00725902" w14:paraId="5C7D84B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068B891" w14:textId="0E0D68A5" w:rsidR="00CD4DBB" w:rsidRDefault="00CD4DBB" w:rsidP="006F1029">
            <w:pPr>
              <w:pStyle w:val="TableText"/>
            </w:pPr>
            <w:r w:rsidRPr="00CD4DBB">
              <w:t xml:space="preserve">The Windows Security screen </w:t>
            </w:r>
            <w:r>
              <w:t>may be hidden when a user attempts to restore a VistALink connection</w:t>
            </w:r>
            <w:r w:rsidRPr="00CD4DBB">
              <w:t>. For the Windows Security screen</w:t>
            </w:r>
            <w:r w:rsidR="006F1029">
              <w:t xml:space="preserve"> to appear, the user must </w:t>
            </w:r>
            <w:r w:rsidR="009903AA">
              <w:t xml:space="preserve">drag </w:t>
            </w:r>
            <w:r w:rsidR="009903AA" w:rsidRPr="00CD4DBB">
              <w:t>it</w:t>
            </w:r>
            <w:r w:rsidRPr="00CD4DBB">
              <w:t xml:space="preserve"> from behind another </w:t>
            </w:r>
            <w:r w:rsidR="006F1029">
              <w:t>window</w:t>
            </w:r>
            <w:r w:rsidRPr="00CD4DBB">
              <w:t xml:space="preserve"> in order to select a certificate and log in. </w:t>
            </w:r>
            <w:r w:rsidRPr="00CD4DBB">
              <w:rPr>
                <w:vanish/>
              </w:rPr>
              <w:t>Defect 501388</w:t>
            </w:r>
          </w:p>
        </w:tc>
      </w:tr>
    </w:tbl>
    <w:p w14:paraId="56594BDA" w14:textId="77777777" w:rsidR="00220D0D" w:rsidRDefault="00220D0D"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6B7CABAB"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3ABFCF33" w14:textId="77777777" w:rsidR="003F0440" w:rsidRPr="007951E4" w:rsidRDefault="003F0440" w:rsidP="002D126B">
            <w:pPr>
              <w:pStyle w:val="TableText"/>
              <w:rPr>
                <w:b/>
              </w:rPr>
            </w:pPr>
            <w:r w:rsidRPr="007951E4">
              <w:rPr>
                <w:b/>
              </w:rPr>
              <w:t>Maintain Specimen</w:t>
            </w:r>
          </w:p>
        </w:tc>
      </w:tr>
      <w:tr w:rsidR="003F0440" w:rsidRPr="00725902" w14:paraId="37E8C62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8D2BEA7" w14:textId="77777777" w:rsidR="003F0440" w:rsidRPr="00725902" w:rsidRDefault="003F0440" w:rsidP="002D126B">
            <w:pPr>
              <w:pStyle w:val="TableText"/>
            </w:pPr>
            <w:r>
              <w:t xml:space="preserve">When a search by UID causes VBECS to time out, repeat the search by UID and patient name or by patient name only. </w:t>
            </w:r>
            <w:r w:rsidRPr="009303DE">
              <w:rPr>
                <w:vanish/>
              </w:rPr>
              <w:t>(UserDoc Tasks 1089 and 1090)</w:t>
            </w:r>
          </w:p>
        </w:tc>
      </w:tr>
      <w:tr w:rsidR="003F0440" w:rsidRPr="00725902" w14:paraId="1C0AD22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80612C4" w14:textId="77777777" w:rsidR="003F0440" w:rsidRPr="00725902" w:rsidRDefault="003F0440" w:rsidP="002D126B">
            <w:pPr>
              <w:pStyle w:val="TableText"/>
            </w:pPr>
            <w:r>
              <w:t>Specimen recollection requests must be made offline.</w:t>
            </w:r>
          </w:p>
        </w:tc>
      </w:tr>
      <w:tr w:rsidR="003F0440" w:rsidRPr="00725902" w14:paraId="0C0E3D4C"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62DF49E" w14:textId="77777777" w:rsidR="003F0440" w:rsidRPr="00725902" w:rsidRDefault="003F0440" w:rsidP="002D126B">
            <w:pPr>
              <w:pStyle w:val="TableText"/>
            </w:pPr>
            <w:r>
              <w:t>Designating a specimen as “unacceptable” after accepting a CPRS order closes that order and requires a new CPRS order and sample.</w:t>
            </w:r>
          </w:p>
        </w:tc>
      </w:tr>
    </w:tbl>
    <w:p w14:paraId="195255AB" w14:textId="77777777" w:rsidR="00220D0D" w:rsidRDefault="00220D0D"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7B546F" w:rsidRPr="00A76671" w14:paraId="3E5A3CA9" w14:textId="77777777" w:rsidTr="00480334">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06AD386C" w14:textId="77777777" w:rsidR="007B546F" w:rsidRPr="00A76671" w:rsidRDefault="007B546F" w:rsidP="00480334">
            <w:pPr>
              <w:pStyle w:val="TableText"/>
              <w:rPr>
                <w:b/>
              </w:rPr>
            </w:pPr>
            <w:r>
              <w:rPr>
                <w:b/>
              </w:rPr>
              <w:t>Maintain Unit Records</w:t>
            </w:r>
          </w:p>
        </w:tc>
      </w:tr>
      <w:tr w:rsidR="007B546F" w:rsidRPr="00725902" w14:paraId="76F5C4ED" w14:textId="77777777" w:rsidTr="00480334">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6D5E66E" w14:textId="77777777" w:rsidR="007B546F" w:rsidRPr="00725902" w:rsidRDefault="007B546F" w:rsidP="007B546F">
            <w:pPr>
              <w:pStyle w:val="TableText"/>
            </w:pPr>
            <w:r>
              <w:t xml:space="preserve">VBECS does not limit the discarded plasma volume. </w:t>
            </w:r>
          </w:p>
        </w:tc>
      </w:tr>
      <w:tr w:rsidR="007B546F" w:rsidRPr="00725902" w14:paraId="43B35707" w14:textId="77777777" w:rsidTr="00480334">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D90B66D" w14:textId="77777777" w:rsidR="007B546F" w:rsidRPr="00725902" w:rsidRDefault="007B546F" w:rsidP="007B546F">
            <w:pPr>
              <w:pStyle w:val="TableText"/>
            </w:pPr>
            <w:r>
              <w:t xml:space="preserve">If </w:t>
            </w:r>
            <w:r w:rsidRPr="007B546F">
              <w:t>errors are found in the unit’s product code</w:t>
            </w:r>
            <w:r>
              <w:t xml:space="preserve">, division or blood type at login, </w:t>
            </w:r>
            <w:r w:rsidRPr="007B546F">
              <w:t>supplier, or donation type, the user must inactivate the unit and reenter it correctly</w:t>
            </w:r>
            <w:r>
              <w:t>.</w:t>
            </w:r>
          </w:p>
        </w:tc>
      </w:tr>
      <w:tr w:rsidR="007B546F" w:rsidRPr="00725902" w14:paraId="778CFBD0" w14:textId="77777777" w:rsidTr="00480334">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21E82CE" w14:textId="77777777" w:rsidR="007B546F" w:rsidRDefault="000E6500" w:rsidP="007B546F">
            <w:pPr>
              <w:pStyle w:val="TableText"/>
            </w:pPr>
            <w:r>
              <w:t xml:space="preserve">When a unit does not have a patient association, editable fields are available to an </w:t>
            </w:r>
            <w:r w:rsidRPr="00EC7489">
              <w:rPr>
                <w:rFonts w:ascii="Wingdings 3" w:hAnsi="Wingdings 3" w:cs="Wingdings"/>
              </w:rPr>
              <w:t></w:t>
            </w:r>
            <w:r w:rsidRPr="00EC7489">
              <w:rPr>
                <w:rFonts w:ascii="Wingdings 3" w:hAnsi="Wingdings 3" w:cs="Wingdings"/>
              </w:rPr>
              <w:t></w:t>
            </w:r>
            <w:r w:rsidRPr="00AA7C58">
              <w:t xml:space="preserve"> </w:t>
            </w:r>
            <w:r>
              <w:t>Enhanced Technologist.</w:t>
            </w:r>
          </w:p>
        </w:tc>
      </w:tr>
      <w:tr w:rsidR="000E6500" w:rsidRPr="00725902" w14:paraId="404A465E" w14:textId="77777777" w:rsidTr="00480334">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6A558BD" w14:textId="77777777" w:rsidR="000E6500" w:rsidRDefault="000E6500" w:rsidP="00480334">
            <w:pPr>
              <w:pStyle w:val="TableText"/>
            </w:pPr>
            <w:r>
              <w:t>Only units in a limited or available status may be edited.</w:t>
            </w:r>
          </w:p>
        </w:tc>
      </w:tr>
      <w:tr w:rsidR="000E6500" w:rsidRPr="00725902" w14:paraId="7CD38BD2" w14:textId="77777777" w:rsidTr="00480334">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C7A59CA" w14:textId="77777777" w:rsidR="000E6500" w:rsidRDefault="000E6500" w:rsidP="007B546F">
            <w:pPr>
              <w:pStyle w:val="TableText"/>
            </w:pPr>
            <w:r>
              <w:t>Inactivation of the unit record is required when the user needs to change the unit’s information recorded at login: unit identification number, blood type at login, product code, unit expiration date, unit donation type, VA division at login or supplier.</w:t>
            </w:r>
          </w:p>
        </w:tc>
      </w:tr>
    </w:tbl>
    <w:p w14:paraId="5AA7F7CA" w14:textId="5653EC2D" w:rsidR="000E59E4" w:rsidRDefault="000E59E4" w:rsidP="00220D0D">
      <w:pPr>
        <w:pStyle w:val="TableText"/>
      </w:pPr>
    </w:p>
    <w:p w14:paraId="6C984F2A" w14:textId="77777777" w:rsidR="000E59E4" w:rsidRDefault="000E59E4">
      <w:pPr>
        <w:rPr>
          <w:rFonts w:ascii="Arial" w:hAnsi="Arial"/>
          <w:sz w:val="18"/>
        </w:rPr>
      </w:pPr>
      <w:r>
        <w:br w:type="page"/>
      </w:r>
    </w:p>
    <w:p w14:paraId="5A505183" w14:textId="77777777" w:rsidR="007B546F" w:rsidRDefault="007B546F"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5B8C6C3C"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8D9EE00" w14:textId="77777777" w:rsidR="003F0440" w:rsidRPr="007951E4" w:rsidRDefault="003F0440" w:rsidP="002D126B">
            <w:pPr>
              <w:pStyle w:val="TableText"/>
              <w:rPr>
                <w:b/>
              </w:rPr>
            </w:pPr>
            <w:r w:rsidRPr="007951E4">
              <w:rPr>
                <w:b/>
              </w:rPr>
              <w:t>Modify Units</w:t>
            </w:r>
          </w:p>
        </w:tc>
      </w:tr>
      <w:tr w:rsidR="003F0440" w:rsidRPr="00725902" w14:paraId="549E7BFC"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5212BEA" w14:textId="77777777" w:rsidR="003F0440" w:rsidRPr="00725902" w:rsidRDefault="003F0440" w:rsidP="002D126B">
            <w:pPr>
              <w:pStyle w:val="TableText"/>
            </w:pPr>
            <w:r>
              <w:t>VBECS allows modification of units only in limited, assigned, crossmatched, and available statuses.</w:t>
            </w:r>
          </w:p>
        </w:tc>
      </w:tr>
      <w:tr w:rsidR="00E57D56" w:rsidRPr="00725902" w14:paraId="3718777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F07536D" w14:textId="77777777" w:rsidR="00E57D56" w:rsidRDefault="00E57D56" w:rsidP="00E57D56">
            <w:pPr>
              <w:pStyle w:val="TableText"/>
            </w:pPr>
            <w:r>
              <w:t xml:space="preserve">VBECS presents the conservative expiration date for target units. VBECS does not know the specific collection details.  It is the </w:t>
            </w:r>
            <w:r w:rsidR="004E2AB6">
              <w:t>responsibility</w:t>
            </w:r>
            <w:r>
              <w:t xml:space="preserve"> of each user to accurately enter and process any one blood unit based on its expiration date/time as labeled by the collection facility.</w:t>
            </w:r>
            <w:r w:rsidRPr="00E57D56">
              <w:t xml:space="preserve"> </w:t>
            </w:r>
            <w:r w:rsidRPr="00E57D56">
              <w:rPr>
                <w:vanish/>
              </w:rPr>
              <w:t>Task 1324</w:t>
            </w:r>
          </w:p>
        </w:tc>
      </w:tr>
      <w:tr w:rsidR="006A0516" w:rsidRPr="00725902" w14:paraId="349D8498"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0AC7F54" w14:textId="77777777" w:rsidR="006A0516" w:rsidRDefault="003D1470" w:rsidP="003D1470">
            <w:pPr>
              <w:pStyle w:val="TableText"/>
            </w:pPr>
            <w:r>
              <w:t>Pooling of units that have the attribute from V0013 (irradiated) and attribute V0021005 (psoralen treatment) does not produce a target.</w:t>
            </w:r>
          </w:p>
        </w:tc>
      </w:tr>
      <w:tr w:rsidR="00483C5D" w:rsidRPr="00725902" w14:paraId="750DBD53"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CC03713" w14:textId="5A67862F" w:rsidR="00483C5D" w:rsidRDefault="00483C5D" w:rsidP="003D1470">
            <w:pPr>
              <w:pStyle w:val="TableText"/>
            </w:pPr>
            <w:r w:rsidRPr="00483C5D">
              <w:t xml:space="preserve">Weld controls are disabled after the user makes their initial selection. </w:t>
            </w:r>
            <w:r w:rsidRPr="00483C5D">
              <w:rPr>
                <w:vanish/>
              </w:rPr>
              <w:t>Task 803507</w:t>
            </w:r>
          </w:p>
        </w:tc>
      </w:tr>
    </w:tbl>
    <w:p w14:paraId="19F49536" w14:textId="77777777" w:rsidR="00D139EE" w:rsidRDefault="00D139EE"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26A77C6F"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70CF1DC" w14:textId="77777777" w:rsidR="003F0440" w:rsidRPr="007951E4" w:rsidRDefault="003F0440" w:rsidP="002D126B">
            <w:pPr>
              <w:pStyle w:val="TableText"/>
              <w:rPr>
                <w:b/>
              </w:rPr>
            </w:pPr>
            <w:r w:rsidRPr="007951E4">
              <w:rPr>
                <w:b/>
              </w:rPr>
              <w:t>Modify Units: Pool Units</w:t>
            </w:r>
          </w:p>
        </w:tc>
      </w:tr>
      <w:tr w:rsidR="003F0440" w:rsidRPr="00725902" w14:paraId="579CB7A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25D7D4D" w14:textId="77777777" w:rsidR="003F0440" w:rsidRPr="00725902" w:rsidRDefault="003F0440" w:rsidP="002D126B">
            <w:pPr>
              <w:pStyle w:val="TableText"/>
            </w:pPr>
            <w:r>
              <w:t>VBECS allows modification of units only in limited, assigned, crossmatched, and available statuses.</w:t>
            </w:r>
          </w:p>
        </w:tc>
      </w:tr>
      <w:tr w:rsidR="003F0440" w:rsidRPr="00725902" w14:paraId="48C65E06"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23F7DB5" w14:textId="77777777" w:rsidR="003F0440" w:rsidRDefault="006F51AC" w:rsidP="002D126B">
            <w:pPr>
              <w:pStyle w:val="TableText"/>
            </w:pPr>
            <w:r w:rsidRPr="00D47D4A">
              <w:t>When a</w:t>
            </w:r>
            <w:r>
              <w:t xml:space="preserve"> user adds a</w:t>
            </w:r>
            <w:r w:rsidRPr="00D47D4A">
              <w:t xml:space="preserve"> biohazardous unit to a pool, </w:t>
            </w:r>
            <w:r>
              <w:t xml:space="preserve">VBECS does not designate the </w:t>
            </w:r>
            <w:r w:rsidRPr="00D47D4A">
              <w:t xml:space="preserve">pool </w:t>
            </w:r>
            <w:r>
              <w:t>as</w:t>
            </w:r>
            <w:r w:rsidRPr="00D47D4A">
              <w:t xml:space="preserve"> biohazardous</w:t>
            </w:r>
            <w:r>
              <w:t xml:space="preserve"> on the Blood Transfusion Record Form (BTRF) or Caution Tag</w:t>
            </w:r>
            <w:r w:rsidRPr="00D47D4A">
              <w:t>.</w:t>
            </w:r>
          </w:p>
        </w:tc>
      </w:tr>
      <w:tr w:rsidR="00483C5D" w:rsidRPr="00725902" w14:paraId="0624A816"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A0B14AB" w14:textId="76DFB5A1" w:rsidR="00483C5D" w:rsidRPr="00D47D4A" w:rsidRDefault="00483C5D" w:rsidP="00483C5D">
            <w:pPr>
              <w:pStyle w:val="TableText"/>
            </w:pPr>
            <w:r w:rsidRPr="00483C5D">
              <w:t xml:space="preserve">Weld controls are disabled after the user makes their initial selection. </w:t>
            </w:r>
            <w:r w:rsidRPr="00483C5D">
              <w:rPr>
                <w:vanish/>
              </w:rPr>
              <w:t>Task 803507</w:t>
            </w:r>
          </w:p>
        </w:tc>
      </w:tr>
    </w:tbl>
    <w:p w14:paraId="7D11DAC7" w14:textId="77777777" w:rsidR="00220D0D" w:rsidRDefault="00220D0D"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592CCC33"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3102F2E3" w14:textId="77777777" w:rsidR="003F0440" w:rsidRPr="00A76671" w:rsidRDefault="003F0440" w:rsidP="002D126B">
            <w:pPr>
              <w:pStyle w:val="TableText"/>
              <w:rPr>
                <w:b/>
              </w:rPr>
            </w:pPr>
            <w:r w:rsidRPr="00A76671">
              <w:rPr>
                <w:b/>
              </w:rPr>
              <w:t>Modify Units: Split a Unit</w:t>
            </w:r>
          </w:p>
        </w:tc>
      </w:tr>
      <w:tr w:rsidR="003F0440" w:rsidRPr="00725902" w14:paraId="485EEA6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6A2A349" w14:textId="77777777" w:rsidR="003F0440" w:rsidRPr="00725902" w:rsidRDefault="00A64FBF" w:rsidP="00A64FBF">
            <w:pPr>
              <w:pStyle w:val="TableText"/>
            </w:pPr>
            <w:r>
              <w:t>A unit previously split in VBECS cannot be split again. Only an ISBT unit that was split outside of VBECS can be split again.</w:t>
            </w:r>
          </w:p>
        </w:tc>
      </w:tr>
      <w:tr w:rsidR="00A64FBF" w:rsidRPr="00725902" w14:paraId="4BE6F79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C545FAA" w14:textId="5016EF30" w:rsidR="00A64FBF" w:rsidRPr="00A64FBF" w:rsidRDefault="00A64FBF" w:rsidP="00A64FBF">
            <w:pPr>
              <w:pStyle w:val="TableText"/>
            </w:pPr>
            <w:r>
              <w:t xml:space="preserve">A unit pooled in VBECS may </w:t>
            </w:r>
            <w:r w:rsidR="00E605B1">
              <w:t>not be split</w:t>
            </w:r>
            <w:r>
              <w:t>.</w:t>
            </w:r>
          </w:p>
        </w:tc>
      </w:tr>
      <w:tr w:rsidR="00A64FBF" w:rsidRPr="00725902" w14:paraId="7CB1DFC3"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6B4446C" w14:textId="77777777" w:rsidR="00A64FBF" w:rsidRPr="00A64FBF" w:rsidRDefault="00A64FBF" w:rsidP="00A64FBF">
            <w:pPr>
              <w:pStyle w:val="TableText"/>
            </w:pPr>
            <w:r>
              <w:t>A unit that has a division code present upon receipt in incoming shipment may be split in VBECS.</w:t>
            </w:r>
          </w:p>
        </w:tc>
      </w:tr>
      <w:tr w:rsidR="00483C5D" w:rsidRPr="00725902" w14:paraId="57854AFC"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EE237D8" w14:textId="31FE2487" w:rsidR="00483C5D" w:rsidRPr="00725902" w:rsidRDefault="00483C5D" w:rsidP="00483C5D">
            <w:pPr>
              <w:pStyle w:val="TableText"/>
            </w:pPr>
            <w:r w:rsidRPr="00483C5D">
              <w:t xml:space="preserve">Weld controls are disabled after the user makes their initial selection. </w:t>
            </w:r>
            <w:r w:rsidRPr="00483C5D">
              <w:rPr>
                <w:vanish/>
              </w:rPr>
              <w:t>Task 803507</w:t>
            </w:r>
          </w:p>
        </w:tc>
      </w:tr>
    </w:tbl>
    <w:p w14:paraId="2F9A8681" w14:textId="77777777" w:rsidR="00DD7CAF" w:rsidRDefault="00DD7CAF"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4372A3" w14:paraId="2C2CF438"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626DE5A" w14:textId="77777777" w:rsidR="003F0440" w:rsidRPr="004372A3" w:rsidRDefault="003F0440" w:rsidP="002D126B">
            <w:pPr>
              <w:pStyle w:val="TableText"/>
              <w:rPr>
                <w:b/>
              </w:rPr>
            </w:pPr>
            <w:r w:rsidRPr="004372A3">
              <w:rPr>
                <w:b/>
              </w:rPr>
              <w:t>Order Alerts</w:t>
            </w:r>
          </w:p>
        </w:tc>
      </w:tr>
      <w:tr w:rsidR="00BB0EAB" w:rsidRPr="00725902" w14:paraId="02470F9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3A1D3CC" w14:textId="77777777" w:rsidR="00BB0EAB" w:rsidRDefault="00BB0EAB" w:rsidP="002D126B">
            <w:pPr>
              <w:pStyle w:val="TableText"/>
            </w:pPr>
            <w:r>
              <w:t>This is an alert only and contains limited information from the CPRS order.</w:t>
            </w:r>
            <w:r w:rsidR="00D53DC3">
              <w:t xml:space="preserve"> </w:t>
            </w:r>
            <w:r w:rsidR="00D53DC3" w:rsidRPr="00D53DC3">
              <w:rPr>
                <w:vanish/>
              </w:rPr>
              <w:t>Defect 368207</w:t>
            </w:r>
          </w:p>
        </w:tc>
      </w:tr>
      <w:tr w:rsidR="003F0440" w:rsidRPr="00725902" w14:paraId="188C3798"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B2D6BC4" w14:textId="77777777" w:rsidR="003F0440" w:rsidRPr="00725902" w:rsidRDefault="003F0440" w:rsidP="002D126B">
            <w:pPr>
              <w:pStyle w:val="TableText"/>
            </w:pPr>
            <w:r>
              <w:t>This option does not create a mechanism to accept or reject orders or specimens or define reports for viewing orders.</w:t>
            </w:r>
          </w:p>
        </w:tc>
      </w:tr>
      <w:tr w:rsidR="003F0440" w:rsidRPr="00725902" w14:paraId="0E0A08A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63D704C" w14:textId="77777777" w:rsidR="003F0440" w:rsidRPr="00725902" w:rsidRDefault="003F0440" w:rsidP="002D126B">
            <w:pPr>
              <w:pStyle w:val="TableText"/>
            </w:pPr>
            <w:r>
              <w:t>The user may select the option to display printer alerts only when the designated printer is configured and available.</w:t>
            </w:r>
          </w:p>
        </w:tc>
      </w:tr>
      <w:tr w:rsidR="003F0440" w:rsidRPr="00725902" w14:paraId="7593097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1FA9781" w14:textId="77777777" w:rsidR="003F0440" w:rsidRPr="00725902" w:rsidRDefault="003F0440" w:rsidP="002D126B">
            <w:pPr>
              <w:pStyle w:val="TableText"/>
            </w:pPr>
            <w:r>
              <w:t>The printer</w:t>
            </w:r>
            <w:r w:rsidRPr="006C2ED3">
              <w:t xml:space="preserve"> </w:t>
            </w:r>
            <w:r>
              <w:t>must be configured by the System Administrator.</w:t>
            </w:r>
          </w:p>
        </w:tc>
      </w:tr>
    </w:tbl>
    <w:p w14:paraId="24DF7074" w14:textId="77777777" w:rsidR="00BA0F42" w:rsidRDefault="00BA0F42" w:rsidP="006272C5">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6E2623" w:rsidRPr="004372A3" w14:paraId="671AFB60" w14:textId="77777777" w:rsidTr="00266A3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AE9D19B" w14:textId="77777777" w:rsidR="006E2623" w:rsidRPr="004372A3" w:rsidRDefault="006E2623" w:rsidP="00266A37">
            <w:pPr>
              <w:pStyle w:val="TableText"/>
              <w:rPr>
                <w:b/>
              </w:rPr>
            </w:pPr>
            <w:r>
              <w:rPr>
                <w:b/>
              </w:rPr>
              <w:t>Order History Report</w:t>
            </w:r>
          </w:p>
        </w:tc>
      </w:tr>
      <w:tr w:rsidR="006E2623" w14:paraId="280DA821" w14:textId="77777777" w:rsidTr="00266A3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12A8A70" w14:textId="77777777" w:rsidR="006E2623" w:rsidRDefault="006E2623" w:rsidP="00266A37">
            <w:pPr>
              <w:pStyle w:val="TableText"/>
            </w:pPr>
            <w:r>
              <w:t>VBECS does not display the identity of the CPRS user who discontinues a signed order in CPRS. The CPRS order details option contains all pertinent order information.</w:t>
            </w:r>
            <w:r w:rsidRPr="006E2623">
              <w:rPr>
                <w:vanish/>
              </w:rPr>
              <w:t xml:space="preserve"> DR 3766 </w:t>
            </w:r>
            <w:r w:rsidRPr="00D53DC3">
              <w:rPr>
                <w:vanish/>
              </w:rPr>
              <w:t>Defect 368207</w:t>
            </w:r>
          </w:p>
        </w:tc>
      </w:tr>
      <w:tr w:rsidR="008E02D0" w14:paraId="30325FCB" w14:textId="77777777" w:rsidTr="00266A3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B5B149B" w14:textId="6809E171" w:rsidR="008E02D0" w:rsidRDefault="008E02D0" w:rsidP="00266A37">
            <w:pPr>
              <w:pStyle w:val="TableText"/>
            </w:pPr>
            <w:r>
              <w:t xml:space="preserve">Canceled orders are included on the Order Summary Report without a column/data to help identify them as canceled. The Single Order History Report includes the canceled order information. When the order is also canceled in VistA, which would be the norm, there is a lab report that can be referenced. </w:t>
            </w:r>
            <w:r w:rsidRPr="008E02D0">
              <w:rPr>
                <w:vanish/>
              </w:rPr>
              <w:t>Defect 208877</w:t>
            </w:r>
          </w:p>
        </w:tc>
      </w:tr>
    </w:tbl>
    <w:p w14:paraId="2EF7D1BB" w14:textId="77777777" w:rsidR="006E2623" w:rsidRDefault="006E2623" w:rsidP="006272C5">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4D45CD63"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435C14E" w14:textId="77777777" w:rsidR="003F0440" w:rsidRPr="00A76671" w:rsidRDefault="003F0440" w:rsidP="002D126B">
            <w:pPr>
              <w:pStyle w:val="TableText"/>
              <w:rPr>
                <w:b/>
              </w:rPr>
            </w:pPr>
            <w:r w:rsidRPr="00A76671">
              <w:rPr>
                <w:b/>
              </w:rPr>
              <w:t>Order Reflex Tests</w:t>
            </w:r>
          </w:p>
        </w:tc>
      </w:tr>
      <w:tr w:rsidR="003F0440" w:rsidRPr="00725902" w14:paraId="39CDDC51" w14:textId="77777777">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14:paraId="09E53924" w14:textId="77777777" w:rsidR="003F0440" w:rsidRPr="00725902" w:rsidRDefault="003F0440" w:rsidP="002D126B">
            <w:pPr>
              <w:pStyle w:val="TableText"/>
            </w:pPr>
            <w:r w:rsidRPr="009C34E7">
              <w:rPr>
                <w:rFonts w:cs="Arial"/>
                <w:vanish/>
              </w:rPr>
              <w:t>BR_45.10</w:t>
            </w:r>
            <w:r>
              <w:rPr>
                <w:rFonts w:cs="Arial"/>
                <w:vanish/>
              </w:rPr>
              <w:t xml:space="preserve"> </w:t>
            </w:r>
            <w:r>
              <w:t>A crossmatch (XM) and a repeat XM cannot be ordered unless they are associated with a specimen with a future expiration date and a phlebotomist is associated with that specimen.</w:t>
            </w:r>
            <w:r>
              <w:rPr>
                <w:rFonts w:cs="Arial"/>
                <w:vanish/>
              </w:rPr>
              <w:t xml:space="preserve">BR_98.02 </w:t>
            </w:r>
          </w:p>
        </w:tc>
      </w:tr>
      <w:tr w:rsidR="003F0440" w:rsidRPr="00725902" w14:paraId="284E43D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989D8C8" w14:textId="77777777" w:rsidR="003F0440" w:rsidRPr="00725902" w:rsidRDefault="003F0440" w:rsidP="002D126B">
            <w:pPr>
              <w:pStyle w:val="TableText"/>
            </w:pPr>
            <w:r>
              <w:t>When a user selects weak D for the antigen typing test and the selected patient is Rh positive, VBECS warns that weak D testing cannot be performed. There is no override and VBECS does not add the test.</w:t>
            </w:r>
          </w:p>
        </w:tc>
      </w:tr>
    </w:tbl>
    <w:p w14:paraId="5D8CE751" w14:textId="77777777" w:rsidR="006272C5" w:rsidRDefault="006272C5" w:rsidP="006272C5">
      <w:pPr>
        <w:pStyle w:val="TableText"/>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B3B3B3"/>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E4113" w14:paraId="7F0D0608" w14:textId="77777777" w:rsidTr="00CE4C78">
        <w:trPr>
          <w:cantSplit/>
          <w:tblHeader/>
        </w:trPr>
        <w:tc>
          <w:tcPr>
            <w:tcW w:w="9360" w:type="dxa"/>
            <w:shd w:val="clear" w:color="auto" w:fill="BFBFBF" w:themeFill="background1" w:themeFillShade="BF"/>
            <w:vAlign w:val="bottom"/>
          </w:tcPr>
          <w:p w14:paraId="0192FD53" w14:textId="77777777" w:rsidR="003F0440" w:rsidRPr="005E4113" w:rsidRDefault="003F0440" w:rsidP="002D126B">
            <w:pPr>
              <w:pStyle w:val="TableText"/>
              <w:rPr>
                <w:b/>
              </w:rPr>
            </w:pPr>
            <w:r>
              <w:rPr>
                <w:b/>
              </w:rPr>
              <w:lastRenderedPageBreak/>
              <w:t>Outgoing Shipment</w:t>
            </w:r>
          </w:p>
        </w:tc>
      </w:tr>
      <w:tr w:rsidR="003F0440" w:rsidRPr="00725902" w14:paraId="6250F971"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1AD598B" w14:textId="77777777" w:rsidR="003F0440" w:rsidRPr="00725902" w:rsidRDefault="003F0440" w:rsidP="002D126B">
            <w:pPr>
              <w:pStyle w:val="TableText"/>
            </w:pPr>
            <w:r>
              <w:t>A user may edit only unconfirmed invoices.</w:t>
            </w:r>
          </w:p>
        </w:tc>
      </w:tr>
      <w:tr w:rsidR="003F0440" w:rsidRPr="00725902" w14:paraId="25C20FD5"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77E5CFC" w14:textId="77777777" w:rsidR="003F0440" w:rsidRDefault="003F0440" w:rsidP="002D126B">
            <w:pPr>
              <w:pStyle w:val="TableText"/>
            </w:pPr>
            <w:r>
              <w:t xml:space="preserve">The number of tests </w:t>
            </w:r>
            <w:r w:rsidRPr="007F1742">
              <w:t xml:space="preserve">displayed on </w:t>
            </w:r>
            <w:r>
              <w:t>an</w:t>
            </w:r>
            <w:r w:rsidRPr="007F1742">
              <w:t xml:space="preserve"> invoice is limited to 8</w:t>
            </w:r>
            <w:r>
              <w:t>,000 characters per unit.</w:t>
            </w:r>
          </w:p>
        </w:tc>
      </w:tr>
      <w:tr w:rsidR="003F0440" w:rsidRPr="00725902" w14:paraId="37A09534"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0E62184" w14:textId="77777777" w:rsidR="003F0440" w:rsidRDefault="003F0440" w:rsidP="002D126B">
            <w:pPr>
              <w:pStyle w:val="TableText"/>
            </w:pPr>
            <w:r>
              <w:t>When the user creates an invoice and cancels before saving it, VBECS excludes the invoice number from use.</w:t>
            </w:r>
          </w:p>
        </w:tc>
      </w:tr>
      <w:tr w:rsidR="008E02D0" w:rsidRPr="00725902" w14:paraId="14C44DAD"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B4D04F7" w14:textId="43C30B2C" w:rsidR="008E02D0" w:rsidRDefault="008E02D0" w:rsidP="002D126B">
            <w:pPr>
              <w:pStyle w:val="TableText"/>
            </w:pPr>
            <w:r>
              <w:t>When assigned or restricted, the patient first name and ID are not printed on the outgoing shipment document to maintain patient privacy.</w:t>
            </w:r>
          </w:p>
        </w:tc>
      </w:tr>
      <w:tr w:rsidR="008E02D0" w:rsidRPr="00725902" w14:paraId="2FD00493"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E8AD9BC" w14:textId="5FB13B21" w:rsidR="008E02D0" w:rsidRDefault="008E02D0" w:rsidP="002D126B">
            <w:pPr>
              <w:pStyle w:val="TableText"/>
            </w:pPr>
            <w:r>
              <w:t xml:space="preserve">Cost entry is capped at 999.99. </w:t>
            </w:r>
            <w:r w:rsidRPr="008E02D0">
              <w:rPr>
                <w:vanish/>
              </w:rPr>
              <w:t>Defect 942523</w:t>
            </w:r>
          </w:p>
        </w:tc>
      </w:tr>
    </w:tbl>
    <w:p w14:paraId="2688B3F9" w14:textId="16FCD4D7" w:rsidR="00590248" w:rsidRDefault="00590248" w:rsidP="00726BF3">
      <w:pPr>
        <w:pStyle w:val="TableText"/>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B3B3B3"/>
        <w:tblLayout w:type="fixed"/>
        <w:tblCellMar>
          <w:top w:w="60" w:type="dxa"/>
          <w:left w:w="60" w:type="dxa"/>
          <w:bottom w:w="60" w:type="dxa"/>
          <w:right w:w="60" w:type="dxa"/>
        </w:tblCellMar>
        <w:tblLook w:val="0000" w:firstRow="0" w:lastRow="0" w:firstColumn="0" w:lastColumn="0" w:noHBand="0" w:noVBand="0"/>
      </w:tblPr>
      <w:tblGrid>
        <w:gridCol w:w="9360"/>
      </w:tblGrid>
      <w:tr w:rsidR="00B7221D" w:rsidRPr="005E4113" w14:paraId="52A47E59" w14:textId="77777777" w:rsidTr="001D3AF6">
        <w:trPr>
          <w:cantSplit/>
          <w:tblHeader/>
        </w:trPr>
        <w:tc>
          <w:tcPr>
            <w:tcW w:w="9360" w:type="dxa"/>
            <w:shd w:val="clear" w:color="auto" w:fill="BFBFBF" w:themeFill="background1" w:themeFillShade="BF"/>
            <w:vAlign w:val="bottom"/>
          </w:tcPr>
          <w:p w14:paraId="6D1B7D58" w14:textId="2F748AD0" w:rsidR="00B7221D" w:rsidRPr="005E4113" w:rsidRDefault="00B7221D" w:rsidP="001D3AF6">
            <w:pPr>
              <w:pStyle w:val="TableText"/>
              <w:rPr>
                <w:b/>
              </w:rPr>
            </w:pPr>
            <w:r>
              <w:rPr>
                <w:b/>
              </w:rPr>
              <w:t>Patient Information Toolbar</w:t>
            </w:r>
          </w:p>
        </w:tc>
      </w:tr>
      <w:tr w:rsidR="00B7221D" w:rsidRPr="00725902" w14:paraId="2B85176F" w14:textId="77777777" w:rsidTr="001D3AF6">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B8FED09" w14:textId="54A71168" w:rsidR="00B7221D" w:rsidRPr="00725902" w:rsidRDefault="00B7221D" w:rsidP="001D3AF6">
            <w:pPr>
              <w:pStyle w:val="TableText"/>
            </w:pPr>
            <w:r>
              <w:t xml:space="preserve">Recent Orders is showing Order Status values like “Not Started” and “Filled”, which are actually Task Statuses. </w:t>
            </w:r>
            <w:r w:rsidRPr="00B7221D">
              <w:rPr>
                <w:vanish/>
              </w:rPr>
              <w:t>Defect 214974</w:t>
            </w:r>
          </w:p>
        </w:tc>
      </w:tr>
    </w:tbl>
    <w:p w14:paraId="7C7E0B9A" w14:textId="0A900870" w:rsidR="00B7221D" w:rsidRDefault="00B7221D"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484"/>
        <w:gridCol w:w="5336"/>
        <w:gridCol w:w="3056"/>
        <w:gridCol w:w="484"/>
      </w:tblGrid>
      <w:tr w:rsidR="003F0440" w:rsidRPr="001E53C1" w14:paraId="2787D39D" w14:textId="77777777">
        <w:trPr>
          <w:cantSplit/>
          <w:tblHeader/>
        </w:trPr>
        <w:tc>
          <w:tcPr>
            <w:tcW w:w="9360" w:type="dxa"/>
            <w:gridSpan w:val="4"/>
            <w:tcBorders>
              <w:top w:val="single" w:sz="6" w:space="0" w:color="000000"/>
              <w:left w:val="single" w:sz="6" w:space="0" w:color="000000"/>
              <w:bottom w:val="single" w:sz="6" w:space="0" w:color="000000"/>
              <w:right w:val="single" w:sz="6" w:space="0" w:color="000000"/>
            </w:tcBorders>
            <w:shd w:val="clear" w:color="auto" w:fill="B3B3B3"/>
            <w:vAlign w:val="bottom"/>
          </w:tcPr>
          <w:p w14:paraId="656D2741" w14:textId="77777777" w:rsidR="003F0440" w:rsidRPr="001E53C1" w:rsidRDefault="003F0440" w:rsidP="002D126B">
            <w:pPr>
              <w:pStyle w:val="TableText"/>
              <w:rPr>
                <w:b/>
              </w:rPr>
            </w:pPr>
            <w:r w:rsidRPr="001E53C1">
              <w:rPr>
                <w:b/>
              </w:rPr>
              <w:t>Patient History Report</w:t>
            </w:r>
          </w:p>
        </w:tc>
      </w:tr>
      <w:tr w:rsidR="003F0440" w:rsidRPr="00725902" w14:paraId="178496EB" w14:textId="77777777">
        <w:trPr>
          <w:cantSplit/>
        </w:trPr>
        <w:tc>
          <w:tcPr>
            <w:tcW w:w="9360" w:type="dxa"/>
            <w:gridSpan w:val="4"/>
            <w:tcBorders>
              <w:top w:val="single" w:sz="6" w:space="0" w:color="000000"/>
              <w:left w:val="single" w:sz="6" w:space="0" w:color="000000"/>
              <w:bottom w:val="single" w:sz="6" w:space="0" w:color="000000"/>
              <w:right w:val="single" w:sz="6" w:space="0" w:color="000000"/>
            </w:tcBorders>
            <w:vAlign w:val="bottom"/>
          </w:tcPr>
          <w:p w14:paraId="20CDF033" w14:textId="1298AE10" w:rsidR="003F0440" w:rsidRDefault="003F0440" w:rsidP="002D126B">
            <w:pPr>
              <w:pStyle w:val="TableText"/>
            </w:pPr>
            <w:r>
              <w:t>When units are restricted for a patient during Incoming Shipment, VBECS does not display them on the Patient History Report.</w:t>
            </w:r>
            <w:r w:rsidR="005E6088">
              <w:t xml:space="preserve"> </w:t>
            </w:r>
            <w:r w:rsidR="005E6088" w:rsidRPr="005E6088">
              <w:rPr>
                <w:vanish/>
              </w:rPr>
              <w:t>Defect 212160</w:t>
            </w:r>
          </w:p>
        </w:tc>
      </w:tr>
      <w:tr w:rsidR="00E07645" w:rsidRPr="00725902" w14:paraId="5BC762E6" w14:textId="77777777">
        <w:trPr>
          <w:cantSplit/>
        </w:trPr>
        <w:tc>
          <w:tcPr>
            <w:tcW w:w="9360" w:type="dxa"/>
            <w:gridSpan w:val="4"/>
            <w:tcBorders>
              <w:top w:val="single" w:sz="6" w:space="0" w:color="000000"/>
              <w:left w:val="single" w:sz="6" w:space="0" w:color="000000"/>
              <w:bottom w:val="nil"/>
              <w:right w:val="single" w:sz="6" w:space="0" w:color="000000"/>
            </w:tcBorders>
            <w:shd w:val="clear" w:color="auto" w:fill="auto"/>
            <w:vAlign w:val="bottom"/>
          </w:tcPr>
          <w:p w14:paraId="549E664C" w14:textId="77777777" w:rsidR="00E07645" w:rsidRDefault="00E07645" w:rsidP="003F40DD">
            <w:pPr>
              <w:pStyle w:val="TableText"/>
            </w:pPr>
            <w:r>
              <w:t>VBECS displays these default values for transfusion reactions converted from VistA to VBECS. They do not reflect actual interpretations or results:</w:t>
            </w:r>
            <w:r>
              <w:rPr>
                <w:vanish/>
              </w:rPr>
              <w:t xml:space="preserve"> (DR 2,</w:t>
            </w:r>
            <w:r w:rsidRPr="00FF5006">
              <w:rPr>
                <w:vanish/>
              </w:rPr>
              <w:t>724)</w:t>
            </w:r>
          </w:p>
        </w:tc>
      </w:tr>
      <w:tr w:rsidR="00E07645" w:rsidRPr="00725902" w14:paraId="30771030" w14:textId="77777777">
        <w:trPr>
          <w:cantSplit/>
        </w:trPr>
        <w:tc>
          <w:tcPr>
            <w:tcW w:w="484" w:type="dxa"/>
            <w:vMerge w:val="restart"/>
            <w:tcBorders>
              <w:top w:val="nil"/>
              <w:left w:val="single" w:sz="6" w:space="0" w:color="000000"/>
              <w:bottom w:val="single" w:sz="6" w:space="0" w:color="000000"/>
              <w:right w:val="single" w:sz="6" w:space="0" w:color="000000"/>
            </w:tcBorders>
            <w:shd w:val="clear" w:color="auto" w:fill="auto"/>
          </w:tcPr>
          <w:p w14:paraId="0B2A03F9" w14:textId="77777777" w:rsidR="00E07645" w:rsidRPr="00FF5006" w:rsidRDefault="00E07645" w:rsidP="003F40DD">
            <w:pPr>
              <w:pStyle w:val="TableText"/>
              <w:rPr>
                <w:b/>
              </w:rPr>
            </w:pPr>
          </w:p>
        </w:tc>
        <w:tc>
          <w:tcPr>
            <w:tcW w:w="5336" w:type="dxa"/>
            <w:tcBorders>
              <w:top w:val="single" w:sz="6" w:space="0" w:color="000000"/>
              <w:left w:val="single" w:sz="6" w:space="0" w:color="000000"/>
              <w:bottom w:val="single" w:sz="6" w:space="0" w:color="000000"/>
              <w:right w:val="single" w:sz="6" w:space="0" w:color="000000"/>
            </w:tcBorders>
            <w:shd w:val="clear" w:color="auto" w:fill="B3B3B3"/>
          </w:tcPr>
          <w:p w14:paraId="65E728F1" w14:textId="77777777" w:rsidR="00E07645" w:rsidRPr="00FF5006" w:rsidRDefault="00E07645" w:rsidP="003F40DD">
            <w:pPr>
              <w:pStyle w:val="TableText"/>
              <w:rPr>
                <w:b/>
              </w:rPr>
            </w:pPr>
            <w:r w:rsidRPr="00FF5006">
              <w:rPr>
                <w:b/>
              </w:rPr>
              <w:t>Converted Transfusion Reaction</w:t>
            </w:r>
          </w:p>
        </w:tc>
        <w:tc>
          <w:tcPr>
            <w:tcW w:w="3056" w:type="dxa"/>
            <w:tcBorders>
              <w:top w:val="single" w:sz="6" w:space="0" w:color="000000"/>
              <w:left w:val="single" w:sz="6" w:space="0" w:color="000000"/>
              <w:bottom w:val="single" w:sz="6" w:space="0" w:color="000000"/>
              <w:right w:val="single" w:sz="6" w:space="0" w:color="000000"/>
            </w:tcBorders>
            <w:shd w:val="clear" w:color="auto" w:fill="B3B3B3"/>
          </w:tcPr>
          <w:p w14:paraId="701A9C4F" w14:textId="77777777" w:rsidR="00E07645" w:rsidRPr="00FF5006" w:rsidRDefault="00E07645" w:rsidP="003F40DD">
            <w:pPr>
              <w:pStyle w:val="TableText"/>
              <w:rPr>
                <w:b/>
              </w:rPr>
            </w:pPr>
            <w:r w:rsidRPr="00FF5006">
              <w:rPr>
                <w:b/>
              </w:rPr>
              <w:t>Default</w:t>
            </w:r>
          </w:p>
        </w:tc>
        <w:tc>
          <w:tcPr>
            <w:tcW w:w="484" w:type="dxa"/>
            <w:vMerge w:val="restart"/>
            <w:tcBorders>
              <w:top w:val="nil"/>
              <w:left w:val="single" w:sz="6" w:space="0" w:color="000000"/>
              <w:bottom w:val="single" w:sz="6" w:space="0" w:color="000000"/>
              <w:right w:val="single" w:sz="6" w:space="0" w:color="000000"/>
            </w:tcBorders>
            <w:shd w:val="clear" w:color="auto" w:fill="auto"/>
          </w:tcPr>
          <w:p w14:paraId="47EB7F14" w14:textId="77777777" w:rsidR="00E07645" w:rsidRPr="00FF5006" w:rsidRDefault="00E07645" w:rsidP="003F40DD">
            <w:pPr>
              <w:pStyle w:val="TableText"/>
              <w:rPr>
                <w:b/>
              </w:rPr>
            </w:pPr>
          </w:p>
        </w:tc>
      </w:tr>
      <w:tr w:rsidR="00E07645" w:rsidRPr="00725902" w14:paraId="1D0F38EE"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62B4C6D2" w14:textId="77777777" w:rsidR="00E07645" w:rsidRDefault="00E07645"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4C3C47C5" w14:textId="77777777" w:rsidR="00E07645" w:rsidRDefault="00E07645" w:rsidP="003F40DD">
            <w:pPr>
              <w:pStyle w:val="TableText"/>
            </w:pPr>
            <w:r>
              <w:t xml:space="preserve">Pre-Transfusion Specimen Checks, Hemolysis Checks OK? </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3F9A3678" w14:textId="77777777" w:rsidR="00E07645" w:rsidRDefault="00E07645" w:rsidP="003F40DD">
            <w:pPr>
              <w:pStyle w:val="TableText"/>
            </w:pPr>
            <w:r>
              <w:t>Yes</w:t>
            </w:r>
          </w:p>
        </w:tc>
        <w:tc>
          <w:tcPr>
            <w:tcW w:w="484" w:type="dxa"/>
            <w:vMerge/>
            <w:tcBorders>
              <w:top w:val="nil"/>
              <w:left w:val="single" w:sz="6" w:space="0" w:color="000000"/>
              <w:bottom w:val="single" w:sz="6" w:space="0" w:color="000000"/>
              <w:right w:val="single" w:sz="6" w:space="0" w:color="000000"/>
            </w:tcBorders>
            <w:shd w:val="clear" w:color="auto" w:fill="auto"/>
          </w:tcPr>
          <w:p w14:paraId="1A2874A2" w14:textId="77777777" w:rsidR="00E07645" w:rsidRDefault="00E07645" w:rsidP="003F40DD">
            <w:pPr>
              <w:pStyle w:val="TableText"/>
            </w:pPr>
          </w:p>
        </w:tc>
      </w:tr>
      <w:tr w:rsidR="00E07645" w:rsidRPr="00725902" w14:paraId="35878EF2"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6C07C046" w14:textId="77777777" w:rsidR="00E07645" w:rsidRDefault="00E07645"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00683804" w14:textId="77777777" w:rsidR="00E07645" w:rsidRDefault="00E07645" w:rsidP="003F40DD">
            <w:pPr>
              <w:pStyle w:val="TableText"/>
            </w:pPr>
            <w:r>
              <w:t xml:space="preserve">Post-Transfusion Specimen Checks, Hemolysis Checks OK? </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3939AB39" w14:textId="77777777" w:rsidR="00E07645" w:rsidRDefault="00E07645" w:rsidP="003F40DD">
            <w:pPr>
              <w:pStyle w:val="TableText"/>
            </w:pPr>
            <w:r>
              <w:t>Yes</w:t>
            </w:r>
          </w:p>
        </w:tc>
        <w:tc>
          <w:tcPr>
            <w:tcW w:w="484" w:type="dxa"/>
            <w:vMerge/>
            <w:tcBorders>
              <w:top w:val="nil"/>
              <w:left w:val="single" w:sz="6" w:space="0" w:color="000000"/>
              <w:bottom w:val="single" w:sz="6" w:space="0" w:color="000000"/>
              <w:right w:val="single" w:sz="6" w:space="0" w:color="000000"/>
            </w:tcBorders>
            <w:shd w:val="clear" w:color="auto" w:fill="auto"/>
          </w:tcPr>
          <w:p w14:paraId="746A8545" w14:textId="77777777" w:rsidR="00E07645" w:rsidRDefault="00E07645" w:rsidP="003F40DD">
            <w:pPr>
              <w:pStyle w:val="TableText"/>
            </w:pPr>
          </w:p>
        </w:tc>
      </w:tr>
      <w:tr w:rsidR="00E07645" w:rsidRPr="00725902" w14:paraId="5F07E9E0"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2C839C87" w14:textId="77777777" w:rsidR="00E07645" w:rsidRDefault="00E07645"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5018ACE0" w14:textId="77777777" w:rsidR="00E07645" w:rsidRDefault="00E07645" w:rsidP="003F40DD">
            <w:pPr>
              <w:pStyle w:val="TableText"/>
            </w:pPr>
            <w:r>
              <w:t>Symptoms</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5DACF24D" w14:textId="77777777" w:rsidR="00E07645" w:rsidRDefault="00E07645" w:rsidP="003F40DD">
            <w:pPr>
              <w:pStyle w:val="TableText"/>
            </w:pPr>
            <w:r>
              <w:t>No symptoms identified.</w:t>
            </w:r>
          </w:p>
        </w:tc>
        <w:tc>
          <w:tcPr>
            <w:tcW w:w="484" w:type="dxa"/>
            <w:vMerge/>
            <w:tcBorders>
              <w:top w:val="nil"/>
              <w:left w:val="single" w:sz="6" w:space="0" w:color="000000"/>
              <w:bottom w:val="single" w:sz="6" w:space="0" w:color="000000"/>
              <w:right w:val="single" w:sz="6" w:space="0" w:color="000000"/>
            </w:tcBorders>
            <w:shd w:val="clear" w:color="auto" w:fill="auto"/>
          </w:tcPr>
          <w:p w14:paraId="4ED86783" w14:textId="77777777" w:rsidR="00E07645" w:rsidRDefault="00E07645" w:rsidP="003F40DD">
            <w:pPr>
              <w:pStyle w:val="TableText"/>
            </w:pPr>
          </w:p>
        </w:tc>
      </w:tr>
      <w:tr w:rsidR="00E07645" w:rsidRPr="00725902" w14:paraId="3409168A"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4DA415AF" w14:textId="77777777" w:rsidR="00E07645" w:rsidRDefault="00E07645"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2AE0B637" w14:textId="77777777" w:rsidR="00E07645" w:rsidRDefault="00E07645" w:rsidP="003F40DD">
            <w:pPr>
              <w:pStyle w:val="TableText"/>
            </w:pPr>
            <w:r>
              <w:t>Implicated units</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09BB1514" w14:textId="77777777" w:rsidR="00E07645" w:rsidRDefault="00E07645" w:rsidP="003F40DD">
            <w:pPr>
              <w:pStyle w:val="TableText"/>
            </w:pPr>
            <w:r>
              <w:t>No units implicated in reaction.</w:t>
            </w:r>
          </w:p>
        </w:tc>
        <w:tc>
          <w:tcPr>
            <w:tcW w:w="484" w:type="dxa"/>
            <w:vMerge/>
            <w:tcBorders>
              <w:top w:val="nil"/>
              <w:left w:val="single" w:sz="6" w:space="0" w:color="000000"/>
              <w:bottom w:val="single" w:sz="6" w:space="0" w:color="000000"/>
              <w:right w:val="single" w:sz="6" w:space="0" w:color="000000"/>
            </w:tcBorders>
            <w:shd w:val="clear" w:color="auto" w:fill="auto"/>
          </w:tcPr>
          <w:p w14:paraId="69246379" w14:textId="77777777" w:rsidR="00E07645" w:rsidRDefault="00E07645" w:rsidP="003F40DD">
            <w:pPr>
              <w:pStyle w:val="TableText"/>
            </w:pPr>
          </w:p>
        </w:tc>
      </w:tr>
      <w:tr w:rsidR="00E07645" w:rsidRPr="00725902" w14:paraId="5525363C"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5BB27017" w14:textId="77777777" w:rsidR="00E07645" w:rsidRDefault="00E07645"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678318E4" w14:textId="77777777" w:rsidR="00E07645" w:rsidRDefault="00E07645" w:rsidP="003F40DD">
            <w:pPr>
              <w:pStyle w:val="TableText"/>
            </w:pPr>
            <w:r>
              <w:t>Serologic tests</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2B5ECA4E" w14:textId="77777777" w:rsidR="00E07645" w:rsidRDefault="00E07645" w:rsidP="003F40DD">
            <w:pPr>
              <w:pStyle w:val="TableText"/>
            </w:pPr>
            <w:r>
              <w:t>No serologic tests performed.</w:t>
            </w:r>
          </w:p>
        </w:tc>
        <w:tc>
          <w:tcPr>
            <w:tcW w:w="484" w:type="dxa"/>
            <w:vMerge/>
            <w:tcBorders>
              <w:top w:val="nil"/>
              <w:left w:val="single" w:sz="6" w:space="0" w:color="000000"/>
              <w:bottom w:val="single" w:sz="6" w:space="0" w:color="000000"/>
              <w:right w:val="single" w:sz="6" w:space="0" w:color="000000"/>
            </w:tcBorders>
            <w:shd w:val="clear" w:color="auto" w:fill="auto"/>
          </w:tcPr>
          <w:p w14:paraId="6E83E641" w14:textId="77777777" w:rsidR="00E07645" w:rsidRDefault="00E07645" w:rsidP="003F40DD">
            <w:pPr>
              <w:pStyle w:val="TableText"/>
            </w:pPr>
          </w:p>
        </w:tc>
      </w:tr>
    </w:tbl>
    <w:p w14:paraId="0F9E87EC" w14:textId="77777777" w:rsidR="00E07645" w:rsidRDefault="00E07645" w:rsidP="00726BF3">
      <w:pPr>
        <w:pStyle w:val="TableText"/>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B3B3B3"/>
        <w:tblLayout w:type="fixed"/>
        <w:tblCellMar>
          <w:top w:w="60" w:type="dxa"/>
          <w:left w:w="60" w:type="dxa"/>
          <w:bottom w:w="60" w:type="dxa"/>
          <w:right w:w="60" w:type="dxa"/>
        </w:tblCellMar>
        <w:tblLook w:val="0000" w:firstRow="0" w:lastRow="0" w:firstColumn="0" w:lastColumn="0" w:noHBand="0" w:noVBand="0"/>
      </w:tblPr>
      <w:tblGrid>
        <w:gridCol w:w="9360"/>
      </w:tblGrid>
      <w:tr w:rsidR="0071699C" w:rsidRPr="005E4113" w14:paraId="24D22E2E" w14:textId="77777777" w:rsidTr="00CE4C78">
        <w:trPr>
          <w:cantSplit/>
          <w:tblHeader/>
        </w:trPr>
        <w:tc>
          <w:tcPr>
            <w:tcW w:w="9360" w:type="dxa"/>
            <w:shd w:val="clear" w:color="auto" w:fill="BFBFBF" w:themeFill="background1" w:themeFillShade="BF"/>
            <w:vAlign w:val="bottom"/>
          </w:tcPr>
          <w:p w14:paraId="4FD12055" w14:textId="77777777" w:rsidR="0071699C" w:rsidRPr="005E4113" w:rsidRDefault="0071699C" w:rsidP="00E971D0">
            <w:pPr>
              <w:pStyle w:val="TableText"/>
              <w:rPr>
                <w:b/>
              </w:rPr>
            </w:pPr>
            <w:r>
              <w:rPr>
                <w:b/>
              </w:rPr>
              <w:t>Patient Search Screen</w:t>
            </w:r>
          </w:p>
        </w:tc>
      </w:tr>
      <w:tr w:rsidR="0071699C" w:rsidRPr="00725902" w14:paraId="413433CF"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E425143" w14:textId="77777777" w:rsidR="0071699C" w:rsidRPr="0071699C" w:rsidRDefault="0071699C" w:rsidP="0071699C">
            <w:pPr>
              <w:pStyle w:val="PlainText"/>
              <w:rPr>
                <w:rFonts w:ascii="Arial" w:eastAsia="Times New Roman" w:hAnsi="Arial"/>
                <w:sz w:val="18"/>
                <w:szCs w:val="24"/>
              </w:rPr>
            </w:pPr>
            <w:r w:rsidRPr="0071699C">
              <w:rPr>
                <w:rFonts w:ascii="Arial" w:eastAsia="Times New Roman" w:hAnsi="Arial"/>
                <w:sz w:val="18"/>
                <w:szCs w:val="24"/>
              </w:rPr>
              <w:t xml:space="preserve">VBECS updates information from VistA File #2, not VistA File #20. Name changes made in VistA File #20 will not appear in VBECS. Align File #2 with those changes to update VBECS. </w:t>
            </w:r>
            <w:r w:rsidRPr="0071699C">
              <w:rPr>
                <w:rFonts w:ascii="Arial" w:eastAsia="Times New Roman" w:hAnsi="Arial"/>
                <w:vanish/>
                <w:sz w:val="18"/>
                <w:szCs w:val="24"/>
              </w:rPr>
              <w:t>Task 585891</w:t>
            </w:r>
          </w:p>
        </w:tc>
      </w:tr>
    </w:tbl>
    <w:p w14:paraId="0AB45615" w14:textId="77777777" w:rsidR="0071699C" w:rsidRDefault="0071699C"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D53DC3" w:rsidRPr="001E53C1" w14:paraId="7FADF203" w14:textId="77777777" w:rsidTr="00DB7466">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43571ADA" w14:textId="77777777" w:rsidR="00D53DC3" w:rsidRPr="001E53C1" w:rsidRDefault="00D53DC3" w:rsidP="00DB7466">
            <w:pPr>
              <w:pStyle w:val="TableText"/>
              <w:rPr>
                <w:b/>
              </w:rPr>
            </w:pPr>
            <w:r>
              <w:rPr>
                <w:b/>
              </w:rPr>
              <w:t>Patient Testing: Record a Patient ABO/Rh</w:t>
            </w:r>
          </w:p>
        </w:tc>
      </w:tr>
      <w:tr w:rsidR="00D53DC3" w14:paraId="25167158" w14:textId="77777777" w:rsidTr="00DB7466">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F2A4E9B" w14:textId="2114AA70" w:rsidR="00D53DC3" w:rsidRDefault="00D53DC3" w:rsidP="004C63BA">
            <w:pPr>
              <w:pStyle w:val="PlainText"/>
            </w:pPr>
            <w:r w:rsidRPr="00D53DC3">
              <w:rPr>
                <w:rFonts w:ascii="Arial" w:eastAsia="Times New Roman" w:hAnsi="Arial"/>
                <w:sz w:val="18"/>
                <w:szCs w:val="24"/>
              </w:rPr>
              <w:t>VBECS does not allow entry of ABO or Rh subgroups as a 'group' and/</w:t>
            </w:r>
            <w:r w:rsidR="009903AA" w:rsidRPr="00D53DC3">
              <w:rPr>
                <w:rFonts w:ascii="Arial" w:eastAsia="Times New Roman" w:hAnsi="Arial"/>
                <w:sz w:val="18"/>
                <w:szCs w:val="24"/>
              </w:rPr>
              <w:t>or ‘</w:t>
            </w:r>
            <w:r w:rsidRPr="00D53DC3">
              <w:rPr>
                <w:rFonts w:ascii="Arial" w:eastAsia="Times New Roman" w:hAnsi="Arial"/>
                <w:sz w:val="18"/>
                <w:szCs w:val="24"/>
              </w:rPr>
              <w:t>type' when the previous blood group/type is "NR", indicating no recor</w:t>
            </w:r>
            <w:r w:rsidR="004C63BA">
              <w:rPr>
                <w:rFonts w:ascii="Arial" w:eastAsia="Times New Roman" w:hAnsi="Arial"/>
                <w:sz w:val="18"/>
                <w:szCs w:val="24"/>
              </w:rPr>
              <w:t>d of previous testing.  S</w:t>
            </w:r>
            <w:r w:rsidRPr="00D53DC3">
              <w:rPr>
                <w:rFonts w:ascii="Arial" w:eastAsia="Times New Roman" w:hAnsi="Arial"/>
                <w:sz w:val="18"/>
                <w:szCs w:val="24"/>
              </w:rPr>
              <w:t>ee FAQ ABO Subgroup Interpretation and conta</w:t>
            </w:r>
            <w:r w:rsidR="005364D9">
              <w:rPr>
                <w:rFonts w:ascii="Arial" w:eastAsia="Times New Roman" w:hAnsi="Arial"/>
                <w:sz w:val="18"/>
                <w:szCs w:val="24"/>
              </w:rPr>
              <w:t xml:space="preserve">ct the </w:t>
            </w:r>
            <w:r w:rsidRPr="00D53DC3">
              <w:rPr>
                <w:rFonts w:ascii="Arial" w:eastAsia="Times New Roman" w:hAnsi="Arial"/>
                <w:sz w:val="18"/>
                <w:szCs w:val="24"/>
              </w:rPr>
              <w:t>Service Desk for assistance, prior to adding patient transfusion records in VBECS, when possible.</w:t>
            </w:r>
            <w:r>
              <w:rPr>
                <w:rFonts w:ascii="Arial" w:eastAsia="Times New Roman" w:hAnsi="Arial"/>
                <w:sz w:val="18"/>
                <w:szCs w:val="24"/>
              </w:rPr>
              <w:t xml:space="preserve"> </w:t>
            </w:r>
            <w:r w:rsidRPr="00D53DC3">
              <w:rPr>
                <w:rFonts w:ascii="Arial" w:eastAsia="Times New Roman" w:hAnsi="Arial"/>
                <w:vanish/>
                <w:sz w:val="18"/>
                <w:szCs w:val="24"/>
              </w:rPr>
              <w:t>Defect 368207</w:t>
            </w:r>
            <w:r w:rsidRPr="00C43421">
              <w:rPr>
                <w:vanish/>
              </w:rPr>
              <w:t xml:space="preserve"> DR 3766</w:t>
            </w:r>
          </w:p>
        </w:tc>
      </w:tr>
      <w:tr w:rsidR="00FE415F" w14:paraId="4B8DA837" w14:textId="77777777" w:rsidTr="00DB7466">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906F90F" w14:textId="77777777" w:rsidR="00FE415F" w:rsidRPr="00FE415F" w:rsidRDefault="00FE415F" w:rsidP="00FE415F">
            <w:pPr>
              <w:pStyle w:val="TableText"/>
              <w:rPr>
                <w:b/>
              </w:rPr>
            </w:pPr>
            <w:r w:rsidRPr="00FE415F">
              <w:t xml:space="preserve">When the patient has no previous ABO/Rh test record (NR), the ABO/Rh test associated with </w:t>
            </w:r>
            <w:r w:rsidR="004641B8" w:rsidRPr="00FE415F">
              <w:t>the</w:t>
            </w:r>
            <w:r w:rsidRPr="00FE415F">
              <w:t xml:space="preserve"> Type and Screen test (TAS) must be completed and saved prior to entering and saving a repeat ABO/Rh test on this specimen. </w:t>
            </w:r>
            <w:r w:rsidRPr="00FE415F">
              <w:rPr>
                <w:vanish/>
              </w:rPr>
              <w:t>Defect 231531</w:t>
            </w:r>
            <w:r w:rsidR="003B0CE2">
              <w:rPr>
                <w:vanish/>
              </w:rPr>
              <w:t>, Task 474043</w:t>
            </w:r>
          </w:p>
        </w:tc>
      </w:tr>
      <w:tr w:rsidR="008279C2" w14:paraId="693D2971" w14:textId="77777777" w:rsidTr="00DB7466">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7B29650" w14:textId="170683C3" w:rsidR="008279C2" w:rsidRPr="00FE415F" w:rsidRDefault="008279C2" w:rsidP="00FE415F">
            <w:pPr>
              <w:pStyle w:val="TableText"/>
            </w:pPr>
            <w:r w:rsidRPr="00D25068">
              <w:t>A user is permitted to select two partially completed tests with different test phases (e.g., AHG only and All Phases) along with a not started test. The testing phase for the not started test will present as AHG only even though results for all phases are required by VBECS. Entering only AHG test results for the specimen that was not started and saving will result in a partially completed test that cannot be completed or invalidated.</w:t>
            </w:r>
            <w:r>
              <w:t xml:space="preserve"> Contact the Service Desk when you encounter this problem. Specimens that cannot be completed or invalidated require the attention of Tier 3 support. Select partially completed orders that have been previously saved with the same grid test pattern. Optionally, a not started test may be selected with these but must be tested with the same grid pattern to avoid the problem</w:t>
            </w:r>
            <w:r w:rsidR="00027A1C">
              <w:t xml:space="preserve">. </w:t>
            </w:r>
            <w:r w:rsidR="00027A1C" w:rsidRPr="00027A1C">
              <w:rPr>
                <w:vanish/>
              </w:rPr>
              <w:t>Defect 210048</w:t>
            </w:r>
          </w:p>
        </w:tc>
      </w:tr>
      <w:tr w:rsidR="008279C2" w14:paraId="2433A682" w14:textId="77777777" w:rsidTr="00DB7466">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27BD8A9" w14:textId="79365B2A" w:rsidR="008279C2" w:rsidRPr="00FE415F" w:rsidRDefault="00027A1C" w:rsidP="00FE415F">
            <w:pPr>
              <w:pStyle w:val="TableText"/>
            </w:pPr>
            <w:r>
              <w:t xml:space="preserve">When canceling out of a Discrepant ABO/Rh Typing override, the interpretations are cleared, but the testing results are not cleared. Correct the testing entries or click the red ‘X’ to clear the testing results. </w:t>
            </w:r>
            <w:r w:rsidRPr="00027A1C">
              <w:rPr>
                <w:vanish/>
              </w:rPr>
              <w:t>Defect 2</w:t>
            </w:r>
            <w:r>
              <w:rPr>
                <w:vanish/>
              </w:rPr>
              <w:t>08974</w:t>
            </w:r>
          </w:p>
        </w:tc>
      </w:tr>
    </w:tbl>
    <w:p w14:paraId="147B11D0" w14:textId="77777777" w:rsidR="000604AA" w:rsidRDefault="000604AA" w:rsidP="00726BF3">
      <w:pPr>
        <w:pStyle w:val="TableText"/>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B3B3B3"/>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E4113" w14:paraId="16C854CA" w14:textId="77777777" w:rsidTr="00CE4C78">
        <w:trPr>
          <w:cantSplit/>
          <w:tblHeader/>
        </w:trPr>
        <w:tc>
          <w:tcPr>
            <w:tcW w:w="9360" w:type="dxa"/>
            <w:shd w:val="clear" w:color="auto" w:fill="BFBFBF" w:themeFill="background1" w:themeFillShade="BF"/>
            <w:vAlign w:val="bottom"/>
          </w:tcPr>
          <w:p w14:paraId="1B3D3935" w14:textId="7D4B4147" w:rsidR="003F0440" w:rsidRPr="005E4113" w:rsidRDefault="000604AA" w:rsidP="002D126B">
            <w:pPr>
              <w:pStyle w:val="TableText"/>
              <w:rPr>
                <w:b/>
              </w:rPr>
            </w:pPr>
            <w:r>
              <w:br w:type="page"/>
            </w:r>
            <w:r w:rsidR="003F0440" w:rsidRPr="005E4113">
              <w:rPr>
                <w:b/>
              </w:rPr>
              <w:t>Patient Merge</w:t>
            </w:r>
          </w:p>
        </w:tc>
      </w:tr>
      <w:tr w:rsidR="00D139EE" w:rsidRPr="00725902" w14:paraId="4EBFC2EA" w14:textId="77777777" w:rsidTr="00CE4C78">
        <w:tblPrEx>
          <w:tblBorders>
            <w:insideH w:val="none" w:sz="0" w:space="0" w:color="auto"/>
            <w:insideV w:val="none" w:sz="0" w:space="0" w:color="auto"/>
          </w:tblBorders>
          <w:shd w:val="clear" w:color="auto" w:fill="auto"/>
        </w:tblPrEx>
        <w:trPr>
          <w:cantSplit/>
          <w:hidden/>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E697525" w14:textId="77777777" w:rsidR="00D139EE" w:rsidRPr="00D139EE" w:rsidRDefault="00D139EE" w:rsidP="00D139EE">
            <w:pPr>
              <w:pStyle w:val="TableText"/>
            </w:pPr>
            <w:r w:rsidRPr="00D62E7A">
              <w:rPr>
                <w:vanish/>
              </w:rPr>
              <w:t>DR 2,527</w:t>
            </w:r>
            <w:r>
              <w:rPr>
                <w:vanish/>
              </w:rPr>
              <w:t xml:space="preserve"> </w:t>
            </w:r>
            <w:r>
              <w:t>The Traditional Supervisor or above must update patient records manually.</w:t>
            </w:r>
          </w:p>
        </w:tc>
      </w:tr>
      <w:tr w:rsidR="00D139EE" w:rsidRPr="00725902" w14:paraId="3D684703"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DA566DF" w14:textId="77777777" w:rsidR="00D139EE" w:rsidRPr="00D139EE" w:rsidRDefault="00D139EE" w:rsidP="00D139EE">
            <w:pPr>
              <w:pStyle w:val="TableText"/>
            </w:pPr>
            <w:r>
              <w:t xml:space="preserve">VBECS does not notify users of additional VistA patient updates or merges while the icon is displayed. When a user views an update and there is an unprocessed patient merge, the Patient Alert icon remains on the screen until the Traditional Supervisor completes the update and clears the icon. </w:t>
            </w:r>
          </w:p>
        </w:tc>
      </w:tr>
      <w:tr w:rsidR="00562E66" w:rsidRPr="00725902" w14:paraId="15193151"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4791B4C" w14:textId="77777777" w:rsidR="00562E66" w:rsidRDefault="00562E66" w:rsidP="00931283">
            <w:pPr>
              <w:pStyle w:val="TableText"/>
            </w:pPr>
            <w:r>
              <w:t>Patient merges involving</w:t>
            </w:r>
            <w:r w:rsidRPr="00DD022C">
              <w:t xml:space="preserve"> patient’s with names that exceed the database standard for File #2 (30 characters) or do not have a first or last name in VistA are rejected and do not appear in VBECS. The VBECS System Administrator is notified of each rejection via an email to the address entered in VBECS Administrator “</w:t>
            </w:r>
            <w:r w:rsidR="00931283">
              <w:t>Email Alerts</w:t>
            </w:r>
            <w:r w:rsidRPr="00DD022C">
              <w:t>” field.</w:t>
            </w:r>
          </w:p>
        </w:tc>
      </w:tr>
      <w:tr w:rsidR="0096797E" w:rsidRPr="00725902" w14:paraId="5C000053"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3A8C0F9" w14:textId="28BB2CE6" w:rsidR="0096797E" w:rsidRDefault="0096797E" w:rsidP="00931283">
            <w:pPr>
              <w:pStyle w:val="TableText"/>
            </w:pPr>
            <w:r>
              <w:t xml:space="preserve">VBECS displays duplicate merge events to the user for merge. Users can process one of the merge events manually and clear both merge alerts. The Master Veteran Index team is working on a patch to discontinue sending a duplicate message. </w:t>
            </w:r>
            <w:r w:rsidRPr="00FC36D7">
              <w:rPr>
                <w:vanish/>
              </w:rPr>
              <w:t xml:space="preserve">Defect </w:t>
            </w:r>
            <w:r w:rsidR="00FC36D7" w:rsidRPr="00FC36D7">
              <w:rPr>
                <w:vanish/>
              </w:rPr>
              <w:t>210029</w:t>
            </w:r>
          </w:p>
        </w:tc>
      </w:tr>
    </w:tbl>
    <w:p w14:paraId="0285A9D3" w14:textId="77777777" w:rsidR="00726BF3" w:rsidRDefault="00726BF3"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808B9" w14:paraId="4ED7759C"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CD0BC5F" w14:textId="77777777" w:rsidR="003F0440" w:rsidRPr="005808B9" w:rsidRDefault="003F0440" w:rsidP="002D126B">
            <w:pPr>
              <w:pStyle w:val="TableText"/>
              <w:rPr>
                <w:b/>
              </w:rPr>
            </w:pPr>
            <w:r w:rsidRPr="005808B9">
              <w:rPr>
                <w:b/>
              </w:rPr>
              <w:t>Patient Testing: Cancel an Active Order</w:t>
            </w:r>
          </w:p>
        </w:tc>
      </w:tr>
      <w:tr w:rsidR="003F0440" w:rsidRPr="001C59D2" w14:paraId="1BD5FDBD"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AC7BE22" w14:textId="77777777" w:rsidR="003F0440" w:rsidRPr="005808B9" w:rsidRDefault="003F0440" w:rsidP="002D126B">
            <w:pPr>
              <w:pStyle w:val="TableText"/>
            </w:pPr>
            <w:r>
              <w:t>Cancellation of one order does not affect other orders placed with it.</w:t>
            </w:r>
          </w:p>
        </w:tc>
      </w:tr>
      <w:tr w:rsidR="003F0440" w:rsidRPr="001C59D2" w14:paraId="2AFA3442"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B73F7E6" w14:textId="77777777" w:rsidR="003F0440" w:rsidRPr="001C59D2" w:rsidRDefault="003F0440" w:rsidP="002D126B">
            <w:pPr>
              <w:pStyle w:val="TableText"/>
              <w:rPr>
                <w:b/>
              </w:rPr>
            </w:pPr>
            <w:r>
              <w:t>Before a user may cancel a partially completed task, he must invalidate the results for that task, thereby changing its status to “not started.”</w:t>
            </w:r>
          </w:p>
        </w:tc>
      </w:tr>
    </w:tbl>
    <w:p w14:paraId="5BB38BA3" w14:textId="77777777" w:rsidR="003E754E" w:rsidRDefault="003E754E"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033B76" w14:paraId="42DA7756"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200C6E2" w14:textId="77777777" w:rsidR="003F0440" w:rsidRPr="00033B76" w:rsidRDefault="003E754E" w:rsidP="002D126B">
            <w:pPr>
              <w:pStyle w:val="TableText"/>
              <w:rPr>
                <w:b/>
              </w:rPr>
            </w:pPr>
            <w:r>
              <w:br w:type="page"/>
            </w:r>
            <w:r w:rsidR="003F0440" w:rsidRPr="00033B76">
              <w:rPr>
                <w:b/>
              </w:rPr>
              <w:t>Patient Testing: Enter Antibody Identification Results</w:t>
            </w:r>
          </w:p>
        </w:tc>
      </w:tr>
      <w:tr w:rsidR="003F0440" w:rsidRPr="001C59D2" w14:paraId="54BD7C1A"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220F0AA" w14:textId="77777777" w:rsidR="003F0440" w:rsidRDefault="003F0440" w:rsidP="002D126B">
            <w:pPr>
              <w:pStyle w:val="TableText"/>
            </w:pPr>
            <w:r>
              <w:t>When an antigen negative requirement is not configured for an antibody, the user may enter the requirement for a patient through Special Instructions &amp; Transfusion Requirements: Enter a Transfusion Requirement.</w:t>
            </w:r>
          </w:p>
        </w:tc>
      </w:tr>
    </w:tbl>
    <w:p w14:paraId="044EE331" w14:textId="77777777" w:rsidR="00726BF3" w:rsidRDefault="00726BF3"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986D0E" w14:paraId="65FC014F"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16E77EF" w14:textId="77777777" w:rsidR="003F0440" w:rsidRPr="00986D0E" w:rsidRDefault="003F0440" w:rsidP="002D126B">
            <w:pPr>
              <w:pStyle w:val="TableText"/>
              <w:rPr>
                <w:b/>
              </w:rPr>
            </w:pPr>
            <w:r w:rsidRPr="00986D0E">
              <w:rPr>
                <w:b/>
              </w:rPr>
              <w:t>Patient Testing: General Instructions</w:t>
            </w:r>
          </w:p>
        </w:tc>
      </w:tr>
      <w:tr w:rsidR="003F0440" w:rsidRPr="001C59D2" w14:paraId="007F0302"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FCB2CB6" w14:textId="77777777" w:rsidR="003F0440" w:rsidRDefault="003F0440" w:rsidP="002D126B">
            <w:pPr>
              <w:pStyle w:val="TableText"/>
            </w:pPr>
            <w:r>
              <w:t>This test record is not editable after the user completes a test and saves it to the database. When a correction needs to be filed, a corrected report must be generated, as described in Invalidating Patient Test Results.</w:t>
            </w:r>
          </w:p>
        </w:tc>
      </w:tr>
      <w:tr w:rsidR="00B90645" w:rsidRPr="001C59D2" w14:paraId="4478A3A6"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3A322BE" w14:textId="77777777" w:rsidR="00B90645" w:rsidRDefault="00B90645" w:rsidP="00B90645">
            <w:pPr>
              <w:pStyle w:val="TableText"/>
            </w:pPr>
            <w:r>
              <w:t>User selection of partially completed testing grids with different phases of testing creates a testing discrepancy in VBECS. Batch testing is limited to testing at the same phases.</w:t>
            </w:r>
            <w:r w:rsidRPr="00B90645">
              <w:rPr>
                <w:vanish/>
              </w:rPr>
              <w:t xml:space="preserve"> DR 4218</w:t>
            </w:r>
          </w:p>
        </w:tc>
      </w:tr>
      <w:tr w:rsidR="006941AE" w:rsidRPr="001C59D2" w14:paraId="7FFACB06"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32AE75D" w14:textId="77777777" w:rsidR="006941AE" w:rsidRDefault="006941AE" w:rsidP="00B90645">
            <w:pPr>
              <w:pStyle w:val="TableText"/>
            </w:pPr>
            <w:r>
              <w:t>Limited batch testing to partially completed orders with the same testing grid selection, either All Phases or AHG Only.</w:t>
            </w:r>
          </w:p>
        </w:tc>
      </w:tr>
      <w:tr w:rsidR="006941AE" w:rsidRPr="001C59D2" w14:paraId="18A42BE2"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34BA921" w14:textId="77777777" w:rsidR="006941AE" w:rsidRDefault="006941AE" w:rsidP="00B90645">
            <w:pPr>
              <w:pStyle w:val="TableText"/>
            </w:pPr>
            <w:r>
              <w:t>VBECS cannot compare test results for a patient when two users are entering test results for the same patient at the same time.</w:t>
            </w:r>
          </w:p>
        </w:tc>
      </w:tr>
      <w:tr w:rsidR="00A753B8" w:rsidRPr="001C59D2" w14:paraId="107CFCC9"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653309F" w14:textId="25FA6744" w:rsidR="00A753B8" w:rsidRDefault="00A753B8" w:rsidP="00B90645">
            <w:pPr>
              <w:pStyle w:val="TableText"/>
            </w:pPr>
            <w:r>
              <w:t xml:space="preserve">Cost entry is capped at 999.99. </w:t>
            </w:r>
            <w:r w:rsidRPr="00A753B8">
              <w:rPr>
                <w:vanish/>
              </w:rPr>
              <w:t>Defect 942523</w:t>
            </w:r>
          </w:p>
        </w:tc>
      </w:tr>
    </w:tbl>
    <w:p w14:paraId="6D344F38" w14:textId="77777777" w:rsidR="00726BF3" w:rsidRDefault="00726BF3" w:rsidP="00726BF3">
      <w:pPr>
        <w:pStyle w:val="TableText"/>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B3B3B3"/>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E4113" w14:paraId="6C97226E" w14:textId="77777777" w:rsidTr="00CE4C78">
        <w:trPr>
          <w:cantSplit/>
          <w:tblHeader/>
        </w:trPr>
        <w:tc>
          <w:tcPr>
            <w:tcW w:w="9360" w:type="dxa"/>
            <w:shd w:val="clear" w:color="auto" w:fill="BFBFBF" w:themeFill="background1" w:themeFillShade="BF"/>
            <w:vAlign w:val="bottom"/>
          </w:tcPr>
          <w:p w14:paraId="0AD01A8C" w14:textId="77777777" w:rsidR="003F0440" w:rsidRPr="005E4113" w:rsidRDefault="003F0440" w:rsidP="002D126B">
            <w:pPr>
              <w:pStyle w:val="TableText"/>
              <w:rPr>
                <w:b/>
              </w:rPr>
            </w:pPr>
            <w:r w:rsidRPr="005E4113">
              <w:rPr>
                <w:b/>
              </w:rPr>
              <w:t>Patient Testing: Pending Task List</w:t>
            </w:r>
          </w:p>
        </w:tc>
      </w:tr>
      <w:tr w:rsidR="003F0440" w:rsidRPr="00725902" w14:paraId="093A037D"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D10D14A" w14:textId="77777777" w:rsidR="003F0440" w:rsidRPr="00725902" w:rsidRDefault="003F0440" w:rsidP="002D126B">
            <w:pPr>
              <w:pStyle w:val="TableText"/>
            </w:pPr>
            <w:r>
              <w:t>This option is for diagnostic, blood component, and reflex test orders placed in or directed to the user’s division.</w:t>
            </w:r>
          </w:p>
        </w:tc>
      </w:tr>
      <w:tr w:rsidR="003F0440" w:rsidRPr="00725902" w14:paraId="719F90E4"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1A492C7" w14:textId="77777777" w:rsidR="003F0440" w:rsidRPr="00725902" w:rsidRDefault="003F0440" w:rsidP="002D126B">
            <w:pPr>
              <w:pStyle w:val="TableText"/>
            </w:pPr>
            <w:r>
              <w:t>The PTL does not include daily quality control, equipment maintenance schedules, or pending ABO/Rh confirmation and auxiliary tests on red blood cell units.</w:t>
            </w:r>
          </w:p>
        </w:tc>
      </w:tr>
      <w:tr w:rsidR="00B16403" w:rsidRPr="00725902" w14:paraId="6C5C13FB"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186684D" w14:textId="77777777" w:rsidR="00B16403" w:rsidRDefault="00B16403" w:rsidP="002D126B">
            <w:pPr>
              <w:pStyle w:val="TableText"/>
            </w:pPr>
            <w:r w:rsidRPr="00696FA6">
              <w:t xml:space="preserve">Users may perform testing for no more than four patients in one </w:t>
            </w:r>
            <w:r>
              <w:t>VBECS</w:t>
            </w:r>
            <w:r w:rsidRPr="00696FA6">
              <w:t xml:space="preserve"> session.</w:t>
            </w:r>
          </w:p>
        </w:tc>
      </w:tr>
    </w:tbl>
    <w:p w14:paraId="2377855D" w14:textId="77777777" w:rsidR="00726BF3" w:rsidRDefault="00726BF3" w:rsidP="00726BF3">
      <w:pPr>
        <w:pStyle w:val="TableText"/>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B3B3B3"/>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D61D3" w14:paraId="39D8F62F" w14:textId="77777777" w:rsidTr="00CE4C78">
        <w:trPr>
          <w:cantSplit/>
          <w:tblHeader/>
        </w:trPr>
        <w:tc>
          <w:tcPr>
            <w:tcW w:w="9360" w:type="dxa"/>
            <w:shd w:val="clear" w:color="auto" w:fill="BFBFBF" w:themeFill="background1" w:themeFillShade="BF"/>
            <w:vAlign w:val="bottom"/>
          </w:tcPr>
          <w:p w14:paraId="3B43F9F5" w14:textId="77777777" w:rsidR="003F0440" w:rsidRPr="005D61D3" w:rsidRDefault="003F0440" w:rsidP="002D126B">
            <w:pPr>
              <w:pStyle w:val="TableText"/>
              <w:rPr>
                <w:b/>
              </w:rPr>
            </w:pPr>
            <w:r w:rsidRPr="005D61D3">
              <w:rPr>
                <w:b/>
              </w:rPr>
              <w:t>Patient Testing: Record a Crossmatch</w:t>
            </w:r>
          </w:p>
        </w:tc>
      </w:tr>
      <w:tr w:rsidR="003F0440" w:rsidRPr="00725902" w14:paraId="07362853" w14:textId="77777777" w:rsidTr="00CE4C78">
        <w:tblPrEx>
          <w:tblBorders>
            <w:insideH w:val="none" w:sz="0" w:space="0" w:color="auto"/>
            <w:insideV w:val="none" w:sz="0" w:space="0" w:color="auto"/>
          </w:tblBorders>
          <w:shd w:val="clear" w:color="auto" w:fill="auto"/>
        </w:tblPrEx>
        <w:trPr>
          <w:cantSplit/>
          <w:hidden/>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3693C2B" w14:textId="77777777" w:rsidR="003F0440" w:rsidRPr="00725902" w:rsidRDefault="003F0440" w:rsidP="002D126B">
            <w:pPr>
              <w:pStyle w:val="TableText"/>
            </w:pPr>
            <w:r>
              <w:rPr>
                <w:rFonts w:cs="Arial"/>
                <w:vanish/>
              </w:rPr>
              <w:t xml:space="preserve">BR_40.01 </w:t>
            </w:r>
            <w:r>
              <w:t>The specimen associated with testing must have an expiration date and time that are later than the testing date and time entered in Patient Testing: Record Patient Test Results. When this is not the case, VBECS warns that the patient specimen expired. There is no override.</w:t>
            </w:r>
          </w:p>
        </w:tc>
      </w:tr>
      <w:tr w:rsidR="003F0440" w:rsidRPr="00725902" w14:paraId="298C27EC"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3B59E71" w14:textId="77777777" w:rsidR="003F0440" w:rsidRPr="00725902" w:rsidRDefault="003F0440" w:rsidP="002D126B">
            <w:pPr>
              <w:pStyle w:val="TableText"/>
            </w:pPr>
            <w:r>
              <w:t>This option does not include electronic crossmatch (eXM).</w:t>
            </w:r>
          </w:p>
        </w:tc>
      </w:tr>
    </w:tbl>
    <w:p w14:paraId="00E45E88" w14:textId="77777777" w:rsidR="000604AA" w:rsidRDefault="000604AA" w:rsidP="00726BF3">
      <w:pPr>
        <w:pStyle w:val="TableText"/>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B3B3B3"/>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092276" w14:paraId="38B620FD" w14:textId="77777777" w:rsidTr="00CE4C78">
        <w:trPr>
          <w:cantSplit/>
          <w:tblHeader/>
        </w:trPr>
        <w:tc>
          <w:tcPr>
            <w:tcW w:w="9360" w:type="dxa"/>
            <w:shd w:val="clear" w:color="auto" w:fill="BFBFBF" w:themeFill="background1" w:themeFillShade="BF"/>
            <w:vAlign w:val="bottom"/>
          </w:tcPr>
          <w:p w14:paraId="4DBF2332" w14:textId="6A652A3E" w:rsidR="003F0440" w:rsidRPr="00092276" w:rsidRDefault="000604AA" w:rsidP="002D126B">
            <w:pPr>
              <w:pStyle w:val="TableText"/>
              <w:rPr>
                <w:b/>
              </w:rPr>
            </w:pPr>
            <w:r>
              <w:br w:type="page"/>
            </w:r>
            <w:r w:rsidR="003F0440" w:rsidRPr="00092276">
              <w:rPr>
                <w:b/>
              </w:rPr>
              <w:t>Patient Testing: Record a Direct Antiglobulin Test</w:t>
            </w:r>
          </w:p>
        </w:tc>
      </w:tr>
      <w:tr w:rsidR="003F0440" w:rsidRPr="00725902" w14:paraId="5E9C576B"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E1C4BFF" w14:textId="77777777" w:rsidR="003F0440" w:rsidRPr="00725902" w:rsidRDefault="003F0440" w:rsidP="002D126B">
            <w:pPr>
              <w:pStyle w:val="TableText"/>
            </w:pPr>
            <w:r>
              <w:t>VBECS does not check whether the lot and vial numbers selected for the positive control cells are different from those of the negative control cells.</w:t>
            </w:r>
          </w:p>
        </w:tc>
      </w:tr>
      <w:tr w:rsidR="009903AA" w:rsidRPr="00725902" w14:paraId="393B3085"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0FCB1BB" w14:textId="0DD1397A" w:rsidR="009903AA" w:rsidRDefault="009903AA" w:rsidP="002D126B">
            <w:pPr>
              <w:pStyle w:val="TableText"/>
            </w:pPr>
            <w:r w:rsidRPr="0028344B">
              <w:t>Comments entered in the DAT POS and NEG control cel</w:t>
            </w:r>
            <w:r>
              <w:t xml:space="preserve">l rows are not displayed on </w:t>
            </w:r>
            <w:r w:rsidRPr="0028344B">
              <w:t>report</w:t>
            </w:r>
            <w:r>
              <w:t>s</w:t>
            </w:r>
            <w:r w:rsidRPr="0028344B">
              <w:t xml:space="preserve"> in VBECS or CPRS. Enter comments only in the patient test row.</w:t>
            </w:r>
            <w:r>
              <w:t xml:space="preserve"> </w:t>
            </w:r>
            <w:r w:rsidRPr="009903AA">
              <w:rPr>
                <w:vanish/>
              </w:rPr>
              <w:t>Defect 209353</w:t>
            </w:r>
          </w:p>
        </w:tc>
      </w:tr>
    </w:tbl>
    <w:p w14:paraId="2ED27F49" w14:textId="77777777" w:rsidR="00726BF3" w:rsidRDefault="00726BF3"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6941AE" w:rsidRPr="002171BE" w14:paraId="64794E79" w14:textId="77777777" w:rsidTr="00266A3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C69DE12" w14:textId="77777777" w:rsidR="006941AE" w:rsidRPr="002171BE" w:rsidRDefault="006941AE" w:rsidP="00266A37">
            <w:pPr>
              <w:pStyle w:val="TableText"/>
              <w:rPr>
                <w:b/>
              </w:rPr>
            </w:pPr>
            <w:r w:rsidRPr="002171BE">
              <w:rPr>
                <w:b/>
              </w:rPr>
              <w:t>Patient Tes</w:t>
            </w:r>
            <w:r>
              <w:rPr>
                <w:b/>
              </w:rPr>
              <w:t>ting: Record a Patient Antibody ABO/Rh</w:t>
            </w:r>
          </w:p>
        </w:tc>
      </w:tr>
      <w:tr w:rsidR="006941AE" w14:paraId="37B2D509" w14:textId="77777777" w:rsidTr="00266A3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CC4746A" w14:textId="4306DF8C" w:rsidR="006941AE" w:rsidRDefault="006941AE" w:rsidP="004C63BA">
            <w:pPr>
              <w:pStyle w:val="TableText"/>
            </w:pPr>
            <w:r>
              <w:t>VBECS does not allow entry of ABO or Rh subgroups as a 'group' and/</w:t>
            </w:r>
            <w:r w:rsidR="00AE3B37">
              <w:t>or ‘</w:t>
            </w:r>
            <w:r>
              <w:t>type' when the previous blood group/type is "NR", indicating no r</w:t>
            </w:r>
            <w:r w:rsidR="004C63BA">
              <w:t>ecord of previous testing.  S</w:t>
            </w:r>
            <w:r>
              <w:t>ee FAQ ABO Subgroup In</w:t>
            </w:r>
            <w:r w:rsidR="00C230C9">
              <w:t xml:space="preserve">terpretation and contact the </w:t>
            </w:r>
            <w:r>
              <w:t xml:space="preserve">Service Desk for assistance, prior to adding patient transfusion records in VBECS, when possible. </w:t>
            </w:r>
            <w:r w:rsidRPr="006941AE">
              <w:rPr>
                <w:vanish/>
              </w:rPr>
              <w:t>Defect 368207</w:t>
            </w:r>
          </w:p>
        </w:tc>
      </w:tr>
      <w:tr w:rsidR="006941AE" w14:paraId="34C6F243" w14:textId="77777777" w:rsidTr="00266A3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2A37B88" w14:textId="77777777" w:rsidR="006941AE" w:rsidRDefault="006941AE" w:rsidP="00266A37">
            <w:pPr>
              <w:pStyle w:val="TableText"/>
            </w:pPr>
            <w:r>
              <w:t xml:space="preserve">When the patient has no previous ABO/Rh test record (NR), the ABO/Rh test associated with the Type and Screen test (TAS) must be completed and saved prior to entering and saving a repeat ABO/Rh test on this specimen. </w:t>
            </w:r>
            <w:r w:rsidRPr="006941AE">
              <w:rPr>
                <w:vanish/>
              </w:rPr>
              <w:t>Defect 231531, Task 474043</w:t>
            </w:r>
          </w:p>
        </w:tc>
      </w:tr>
    </w:tbl>
    <w:p w14:paraId="4F48D6B8" w14:textId="77777777" w:rsidR="006941AE" w:rsidRDefault="006941AE"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2171BE" w14:paraId="2BE38C87"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38623DA4" w14:textId="77777777" w:rsidR="003F0440" w:rsidRPr="002171BE" w:rsidRDefault="003F0440" w:rsidP="002D126B">
            <w:pPr>
              <w:pStyle w:val="TableText"/>
              <w:rPr>
                <w:b/>
              </w:rPr>
            </w:pPr>
            <w:r w:rsidRPr="002171BE">
              <w:rPr>
                <w:b/>
              </w:rPr>
              <w:t>Patient Tes</w:t>
            </w:r>
            <w:r w:rsidR="006941AE">
              <w:rPr>
                <w:b/>
              </w:rPr>
              <w:t xml:space="preserve">ting: Record a Patient Antibody </w:t>
            </w:r>
            <w:r w:rsidRPr="002171BE">
              <w:rPr>
                <w:b/>
              </w:rPr>
              <w:t>Screen</w:t>
            </w:r>
          </w:p>
        </w:tc>
      </w:tr>
      <w:tr w:rsidR="003F0440" w:rsidRPr="00725902" w14:paraId="46190C5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392E99D" w14:textId="77777777" w:rsidR="003F0440" w:rsidRDefault="003F0440" w:rsidP="002D126B">
            <w:pPr>
              <w:pStyle w:val="TableText"/>
            </w:pPr>
            <w:r>
              <w:t xml:space="preserve">This </w:t>
            </w:r>
            <w:r>
              <w:rPr>
                <w:szCs w:val="20"/>
              </w:rPr>
              <w:t>option is for patient testing only</w:t>
            </w:r>
            <w:r w:rsidR="001E7158">
              <w:rPr>
                <w:szCs w:val="20"/>
              </w:rPr>
              <w:t>.</w:t>
            </w:r>
          </w:p>
        </w:tc>
      </w:tr>
    </w:tbl>
    <w:p w14:paraId="49FA68ED" w14:textId="77777777" w:rsidR="0045199A" w:rsidRDefault="0045199A"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C03DD5" w14:paraId="34844A6A"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6981C59" w14:textId="77777777" w:rsidR="003F0440" w:rsidRPr="00B16403" w:rsidRDefault="003F0440" w:rsidP="002D126B">
            <w:pPr>
              <w:pStyle w:val="TableText"/>
              <w:rPr>
                <w:b/>
              </w:rPr>
            </w:pPr>
            <w:r w:rsidRPr="00B16403">
              <w:rPr>
                <w:b/>
              </w:rPr>
              <w:t>Patient Testing: Record a Patient Antigen Typing</w:t>
            </w:r>
          </w:p>
        </w:tc>
      </w:tr>
      <w:tr w:rsidR="003F0440" w:rsidRPr="00725902" w14:paraId="53715F5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227944E" w14:textId="77777777" w:rsidR="003F0440" w:rsidRPr="0045199A" w:rsidRDefault="003F0440" w:rsidP="002D126B">
            <w:pPr>
              <w:pStyle w:val="TableText"/>
            </w:pPr>
            <w:r w:rsidRPr="0045199A">
              <w:t>Antigen typing applies only to red blood cell antigens. [This option does not address platelet, histocompatibility locus antigen (HLA), or Immunoglobulin A (IgA) antigens.]</w:t>
            </w:r>
          </w:p>
        </w:tc>
      </w:tr>
      <w:tr w:rsidR="003F0440" w:rsidRPr="00725902" w14:paraId="5849E3E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F632867" w14:textId="77777777" w:rsidR="003F0440" w:rsidRPr="0045199A" w:rsidRDefault="003F0440" w:rsidP="002D126B">
            <w:pPr>
              <w:pStyle w:val="TableText"/>
            </w:pPr>
            <w:r w:rsidRPr="0045199A">
              <w:t>VBECS does not check:</w:t>
            </w:r>
          </w:p>
          <w:p w14:paraId="5A11E02B" w14:textId="77777777" w:rsidR="003F0440" w:rsidRPr="0045199A" w:rsidRDefault="00B84DA4" w:rsidP="002D126B">
            <w:pPr>
              <w:pStyle w:val="TableTextBullet"/>
            </w:pPr>
            <w:r w:rsidRPr="0045199A">
              <w:t>The patient antigen typing with the specificity of any patient’s antibodies entered</w:t>
            </w:r>
            <w:r w:rsidR="005C1078" w:rsidRPr="0045199A">
              <w:t>.</w:t>
            </w:r>
          </w:p>
          <w:p w14:paraId="7AD1A8E9" w14:textId="77777777" w:rsidR="003F0440" w:rsidRPr="0045199A" w:rsidRDefault="003F0440" w:rsidP="002D126B">
            <w:pPr>
              <w:pStyle w:val="TableTextBullet"/>
            </w:pPr>
            <w:r w:rsidRPr="0045199A">
              <w:t>Whether the lot and vial numbers selected for the positive control cells differ from those of the negative control cells</w:t>
            </w:r>
            <w:r w:rsidR="005C1078" w:rsidRPr="0045199A">
              <w:t>.</w:t>
            </w:r>
          </w:p>
        </w:tc>
      </w:tr>
      <w:tr w:rsidR="003F0440" w:rsidRPr="00725902" w14:paraId="74591E0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5BA3A3E" w14:textId="77777777" w:rsidR="003F0440" w:rsidRPr="0045199A" w:rsidRDefault="003F0440" w:rsidP="002D126B">
            <w:pPr>
              <w:pStyle w:val="TableText"/>
            </w:pPr>
            <w:r w:rsidRPr="0045199A">
              <w:t>The patient antigen typing result is not available to CPRS.</w:t>
            </w:r>
          </w:p>
        </w:tc>
      </w:tr>
    </w:tbl>
    <w:p w14:paraId="19E1297E" w14:textId="77777777" w:rsidR="00ED3C7A" w:rsidRDefault="00ED3C7A"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1C59D2" w14:paraId="492C0163"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E017680" w14:textId="77777777" w:rsidR="003F0440" w:rsidRPr="001C59D2" w:rsidRDefault="003F0440" w:rsidP="002D126B">
            <w:pPr>
              <w:pStyle w:val="TableText"/>
              <w:rPr>
                <w:b/>
              </w:rPr>
            </w:pPr>
            <w:r w:rsidRPr="001C59D2">
              <w:rPr>
                <w:b/>
              </w:rPr>
              <w:t>Patient Testing: Record a Transfusion Reaction Workup</w:t>
            </w:r>
          </w:p>
        </w:tc>
      </w:tr>
      <w:tr w:rsidR="003F0440" w:rsidRPr="00725902" w14:paraId="418EF4B6"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83E1A97" w14:textId="77777777" w:rsidR="003F0440" w:rsidRPr="00725902" w:rsidRDefault="00814F27" w:rsidP="00814F27">
            <w:pPr>
              <w:pStyle w:val="TableText"/>
            </w:pPr>
            <w:r>
              <w:t xml:space="preserve">Adverse reactions to transfusion detected at a later time (disease transmission) are not recorded through this option. Refer </w:t>
            </w:r>
            <w:r w:rsidR="00357A19">
              <w:t>to Transfusion</w:t>
            </w:r>
            <w:r>
              <w:t xml:space="preserve"> Complications Report.</w:t>
            </w:r>
          </w:p>
        </w:tc>
      </w:tr>
      <w:tr w:rsidR="00F8403B" w:rsidRPr="00725902" w14:paraId="7E0810E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44ECC80" w14:textId="77777777" w:rsidR="00F8403B" w:rsidRDefault="00F8403B" w:rsidP="00814F27">
            <w:pPr>
              <w:pStyle w:val="TableText"/>
            </w:pPr>
            <w:r>
              <w:t>Each tab is completed and saved and is not editable. To change information on a previously completed tab, the TRW must be invalidated and corrected in its entirety.</w:t>
            </w:r>
          </w:p>
        </w:tc>
      </w:tr>
      <w:tr w:rsidR="005C2727" w:rsidRPr="00725902" w14:paraId="69934FAA"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EF35F14" w14:textId="1FC54CE1" w:rsidR="005C2727" w:rsidRDefault="005C2727" w:rsidP="005C2727">
            <w:pPr>
              <w:pStyle w:val="TableText"/>
            </w:pPr>
            <w:r>
              <w:t xml:space="preserve">If comments are entered when a TRW is finalized as type "Other,” they won’t show on the CPRS Blood Bank Report. </w:t>
            </w:r>
            <w:r w:rsidRPr="00783514">
              <w:rPr>
                <w:vanish/>
              </w:rPr>
              <w:t>Defect 210332</w:t>
            </w:r>
          </w:p>
        </w:tc>
      </w:tr>
    </w:tbl>
    <w:p w14:paraId="167E70C7" w14:textId="77777777" w:rsidR="00726BF3" w:rsidRDefault="00726BF3"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966663" w14:paraId="5A3CA4A7"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0BB92E94" w14:textId="77777777" w:rsidR="003F0440" w:rsidRPr="00966663" w:rsidRDefault="003F0440" w:rsidP="002D126B">
            <w:pPr>
              <w:pStyle w:val="TableText"/>
              <w:rPr>
                <w:b/>
              </w:rPr>
            </w:pPr>
            <w:r w:rsidRPr="00966663">
              <w:rPr>
                <w:b/>
              </w:rPr>
              <w:t>Patient Testing Worklist and Testing Worklist Reports</w:t>
            </w:r>
          </w:p>
        </w:tc>
      </w:tr>
      <w:tr w:rsidR="003F0440" w:rsidRPr="00725902" w14:paraId="138E1CFC"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385800B" w14:textId="77777777" w:rsidR="003F0440" w:rsidRDefault="003F0440" w:rsidP="002D126B">
            <w:pPr>
              <w:pStyle w:val="TableText"/>
            </w:pPr>
            <w:r>
              <w:t>Reports do not include Transfusion Reaction Workup (TRW) test results.</w:t>
            </w:r>
          </w:p>
        </w:tc>
      </w:tr>
      <w:tr w:rsidR="003F0440" w:rsidRPr="00725902" w14:paraId="25DC515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DFAB41B" w14:textId="77777777" w:rsidR="003F0440" w:rsidRDefault="00B97396" w:rsidP="002D126B">
            <w:pPr>
              <w:pStyle w:val="TableText"/>
            </w:pPr>
            <w:r>
              <w:t>VBECS does not accommodate online review (verification, signature) of reports.</w:t>
            </w:r>
          </w:p>
        </w:tc>
      </w:tr>
      <w:tr w:rsidR="000751A2" w:rsidRPr="00725902" w14:paraId="3AED081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150918F" w14:textId="4A8BCF23" w:rsidR="000751A2" w:rsidRDefault="000751A2" w:rsidP="002D126B">
            <w:pPr>
              <w:pStyle w:val="TableText"/>
            </w:pPr>
            <w:r>
              <w:t>The Rack QC Testing Worklist Report section of the Testing Worklist Report does not contain a Processed By column. Maintain the original testing records for the QC that was performed offline with the testing tech information.  Do not change the testing tech name when entering results in VBECS so that the logged in tech that enters the results is included on the Testing Worklist report</w:t>
            </w:r>
            <w:r w:rsidR="00E47EDD">
              <w:t xml:space="preserve">. </w:t>
            </w:r>
            <w:r w:rsidR="00E47EDD" w:rsidRPr="00E47EDD">
              <w:rPr>
                <w:vanish/>
              </w:rPr>
              <w:t>Defect 214073</w:t>
            </w:r>
          </w:p>
        </w:tc>
      </w:tr>
    </w:tbl>
    <w:p w14:paraId="102A49A9" w14:textId="77777777" w:rsidR="00590248" w:rsidRDefault="00590248"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6D40D4" w:rsidRPr="001C59D2" w14:paraId="7C8AA0B9"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415888F3" w14:textId="77777777" w:rsidR="006D40D4" w:rsidRPr="001C59D2" w:rsidRDefault="006D40D4" w:rsidP="009532BE">
            <w:pPr>
              <w:pStyle w:val="TableText"/>
              <w:rPr>
                <w:b/>
              </w:rPr>
            </w:pPr>
            <w:r>
              <w:rPr>
                <w:b/>
              </w:rPr>
              <w:lastRenderedPageBreak/>
              <w:t>Post-Transfusion Information</w:t>
            </w:r>
          </w:p>
        </w:tc>
      </w:tr>
      <w:tr w:rsidR="006D40D4" w:rsidRPr="00725902" w14:paraId="065AF73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D44E03A" w14:textId="77777777" w:rsidR="006D40D4" w:rsidRPr="00725902" w:rsidRDefault="006D40D4" w:rsidP="006D40D4">
            <w:pPr>
              <w:pStyle w:val="TableText"/>
            </w:pPr>
            <w:r>
              <w:t xml:space="preserve">VBECS cannot update a unit record to presumed transfused when a </w:t>
            </w:r>
            <w:r w:rsidRPr="004D0C24">
              <w:t xml:space="preserve">user has </w:t>
            </w:r>
            <w:r>
              <w:t xml:space="preserve">that </w:t>
            </w:r>
            <w:r w:rsidRPr="004D0C24">
              <w:t>unit record open (locked) in Enter Post Transfusion Information</w:t>
            </w:r>
            <w:r>
              <w:t xml:space="preserve">. VBECS will attempt to update the unit the next </w:t>
            </w:r>
            <w:r w:rsidRPr="004D0C24">
              <w:t xml:space="preserve">time the </w:t>
            </w:r>
            <w:r>
              <w:t xml:space="preserve">presumed transfused background routing </w:t>
            </w:r>
            <w:r w:rsidRPr="004D0C24">
              <w:t>runs if the unit remains in an issued status.</w:t>
            </w:r>
            <w:r>
              <w:t xml:space="preserve"> </w:t>
            </w:r>
            <w:r>
              <w:rPr>
                <w:vanish/>
              </w:rPr>
              <w:t>DR 3089</w:t>
            </w:r>
            <w:r w:rsidRPr="004D0C24" w:rsidDel="004D0C24">
              <w:t xml:space="preserve"> </w:t>
            </w:r>
          </w:p>
        </w:tc>
      </w:tr>
      <w:tr w:rsidR="00F20C8C" w:rsidRPr="00725902" w14:paraId="689AB8C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ACA292E" w14:textId="77777777" w:rsidR="00F20C8C" w:rsidRDefault="00F20C8C" w:rsidP="006D40D4">
            <w:pPr>
              <w:pStyle w:val="TableText"/>
            </w:pPr>
            <w:r>
              <w:t>If post-transfusion information is not transmitted to VBECS, the user will need to enter that information to update the record from presumed transfused to transfused.</w:t>
            </w:r>
          </w:p>
        </w:tc>
      </w:tr>
      <w:tr w:rsidR="000E2D6A" w:rsidRPr="00725902" w14:paraId="510DDE6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2AEA573" w14:textId="77777777" w:rsidR="000E2D6A" w:rsidRDefault="006822AA" w:rsidP="006822AA">
            <w:pPr>
              <w:pStyle w:val="TableText"/>
            </w:pPr>
            <w:r>
              <w:t>The transfusion comments and volume transfused entered in the Transfusion Verification application as an update to a completed transfusion are not sent to VBECS.</w:t>
            </w:r>
            <w:r w:rsidRPr="006822AA">
              <w:rPr>
                <w:vanish/>
              </w:rPr>
              <w:t xml:space="preserve"> DR 4173 </w:t>
            </w:r>
          </w:p>
        </w:tc>
      </w:tr>
      <w:tr w:rsidR="00D26DD7" w:rsidRPr="00725902" w14:paraId="08E845A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C191285" w14:textId="77777777" w:rsidR="00D26DD7" w:rsidRDefault="00D26DD7" w:rsidP="00D26DD7">
            <w:pPr>
              <w:pStyle w:val="TableText"/>
            </w:pPr>
            <w:r>
              <w:t>Transfusion reaction symptoms are not sent to VBECS by the Transfusion Verification application unless a transfusion reaction has also been indicated for that event.</w:t>
            </w:r>
            <w:r w:rsidRPr="00D26DD7">
              <w:rPr>
                <w:vanish/>
              </w:rPr>
              <w:t xml:space="preserve"> DR 4217</w:t>
            </w:r>
          </w:p>
        </w:tc>
      </w:tr>
    </w:tbl>
    <w:p w14:paraId="1AB36EFE" w14:textId="760F28F8" w:rsidR="00726BF3" w:rsidRDefault="00726BF3"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E605B1" w:rsidRPr="001C59D2" w14:paraId="1A6D2188" w14:textId="77777777" w:rsidTr="008E15BE">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5737C1C" w14:textId="77777777" w:rsidR="00E605B1" w:rsidRPr="001C59D2" w:rsidRDefault="00E605B1" w:rsidP="008E15BE">
            <w:pPr>
              <w:pStyle w:val="TableText"/>
              <w:rPr>
                <w:b/>
              </w:rPr>
            </w:pPr>
            <w:r>
              <w:br w:type="page"/>
            </w:r>
            <w:r w:rsidRPr="001C59D2">
              <w:rPr>
                <w:b/>
              </w:rPr>
              <w:t>Print Unit Caution Tag &amp; Transfusion Record Form</w:t>
            </w:r>
          </w:p>
        </w:tc>
      </w:tr>
      <w:tr w:rsidR="00E605B1" w:rsidRPr="00725902" w14:paraId="4E622658" w14:textId="77777777" w:rsidTr="008E15B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7AC0C56" w14:textId="77777777" w:rsidR="00E605B1" w:rsidRPr="00725902" w:rsidRDefault="00E605B1" w:rsidP="008E15BE">
            <w:pPr>
              <w:pStyle w:val="TableText"/>
            </w:pPr>
            <w:r>
              <w:t>VBECS cannot reprint a Caution Tag on an expired unit or expired patient order.</w:t>
            </w:r>
          </w:p>
        </w:tc>
      </w:tr>
      <w:tr w:rsidR="00E605B1" w14:paraId="2BB8F603" w14:textId="77777777" w:rsidTr="008E15B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665D569" w14:textId="77777777" w:rsidR="00E605B1" w:rsidRDefault="00E605B1" w:rsidP="008E15BE">
            <w:pPr>
              <w:pStyle w:val="TableText"/>
            </w:pPr>
            <w:r>
              <w:t xml:space="preserve">VBECS does not print a unit’s </w:t>
            </w:r>
            <w:r w:rsidRPr="00D47D4A">
              <w:t>biohazardous</w:t>
            </w:r>
            <w:r>
              <w:t xml:space="preserve"> status on the BTRF or Caution Tag</w:t>
            </w:r>
            <w:r w:rsidRPr="00D47D4A">
              <w:t>.</w:t>
            </w:r>
          </w:p>
        </w:tc>
      </w:tr>
      <w:tr w:rsidR="00F73E1B" w14:paraId="68A6F69A" w14:textId="77777777" w:rsidTr="008E15B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3C506E8" w14:textId="36A344F9" w:rsidR="00F73E1B" w:rsidRDefault="00F73E1B" w:rsidP="008E15BE">
            <w:pPr>
              <w:pStyle w:val="TableText"/>
            </w:pPr>
            <w:r>
              <w:t xml:space="preserve">If a unit has been crossmatched by two different technologists, the Compatibility Interpretation section of the BTRF displays the technologist that performed the earlier XM testing. Handwrite the missing current technologist initials on the printed BTRF. </w:t>
            </w:r>
            <w:r w:rsidRPr="00F73E1B">
              <w:rPr>
                <w:vanish/>
              </w:rPr>
              <w:t>Defect 210195</w:t>
            </w:r>
          </w:p>
        </w:tc>
      </w:tr>
    </w:tbl>
    <w:p w14:paraId="3EA39932" w14:textId="3CB7F969" w:rsidR="00E605B1" w:rsidRDefault="00E605B1"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326430" w14:paraId="08EB522C"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0B5C8F5" w14:textId="77777777" w:rsidR="003F0440" w:rsidRPr="00326430" w:rsidRDefault="003F0440" w:rsidP="002D126B">
            <w:pPr>
              <w:pStyle w:val="TableText"/>
              <w:rPr>
                <w:b/>
              </w:rPr>
            </w:pPr>
            <w:r w:rsidRPr="00326430">
              <w:rPr>
                <w:b/>
              </w:rPr>
              <w:t>Pro</w:t>
            </w:r>
            <w:r>
              <w:rPr>
                <w:b/>
              </w:rPr>
              <w:t>longed Transfusion Time Report</w:t>
            </w:r>
          </w:p>
        </w:tc>
      </w:tr>
      <w:tr w:rsidR="003F0440" w:rsidRPr="00725902" w14:paraId="399E556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6BC1C81" w14:textId="77777777" w:rsidR="003F0440" w:rsidRDefault="003F0440" w:rsidP="002D126B">
            <w:pPr>
              <w:pStyle w:val="TableText"/>
            </w:pPr>
            <w:r>
              <w:t>This report does not include p</w:t>
            </w:r>
            <w:r w:rsidR="00042B1F">
              <w:rPr>
                <w:rStyle w:val="ListBulletChar"/>
              </w:rPr>
              <w:t>r</w:t>
            </w:r>
            <w:r>
              <w:t>esumed transfused units or units issued to a remote storage location.</w:t>
            </w:r>
          </w:p>
        </w:tc>
      </w:tr>
      <w:tr w:rsidR="006A4AFF" w:rsidRPr="00725902" w14:paraId="05C9352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42F4DD1" w14:textId="1D2A9EA4" w:rsidR="006A4AFF" w:rsidRPr="006A4AFF" w:rsidRDefault="006A4AFF" w:rsidP="006A4AFF">
            <w:pPr>
              <w:pStyle w:val="TableText"/>
              <w:rPr>
                <w:sz w:val="20"/>
                <w:szCs w:val="20"/>
              </w:rPr>
            </w:pPr>
            <w:r>
              <w:t xml:space="preserve">Units issued to a remote storage location will display on the report when the transfusion start time is greater than 30 minutes after issue time. </w:t>
            </w:r>
            <w:r w:rsidRPr="00244DDA">
              <w:rPr>
                <w:vanish/>
              </w:rPr>
              <w:t>Defect 209735</w:t>
            </w:r>
          </w:p>
        </w:tc>
      </w:tr>
      <w:tr w:rsidR="006A4AFF" w:rsidRPr="00725902" w14:paraId="67A8AFD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95FB4D1" w14:textId="64A28025" w:rsidR="006A4AFF" w:rsidRDefault="006A4AFF" w:rsidP="002D126B">
            <w:pPr>
              <w:pStyle w:val="TableText"/>
            </w:pPr>
            <w:r>
              <w:t xml:space="preserve">Units issued to a remote storage location should not display to have a prolonged issue time as this setting indicates that the unit is issued to a monitored location maintained at the proper temperature for the product type. </w:t>
            </w:r>
            <w:r w:rsidRPr="006A4AFF">
              <w:rPr>
                <w:vanish/>
              </w:rPr>
              <w:t>Defect 209735</w:t>
            </w:r>
          </w:p>
        </w:tc>
      </w:tr>
      <w:tr w:rsidR="007C518F" w:rsidRPr="00725902" w14:paraId="11807A3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93997C6" w14:textId="56B960F4" w:rsidR="007C518F" w:rsidRDefault="007C518F" w:rsidP="002D126B">
            <w:pPr>
              <w:pStyle w:val="TableText"/>
            </w:pPr>
            <w:r>
              <w:t xml:space="preserve">The Delayed (minutes) column on the report is not subtracting 30 minutes when the Transfusion Start time is greater  than 30 minutes from the time of issue. Handwrite the correct Delayed (minutes) on the printed report. </w:t>
            </w:r>
            <w:r w:rsidRPr="007C518F">
              <w:rPr>
                <w:vanish/>
              </w:rPr>
              <w:t>Defect 209431</w:t>
            </w:r>
          </w:p>
        </w:tc>
      </w:tr>
    </w:tbl>
    <w:p w14:paraId="0A3E6640" w14:textId="77777777" w:rsidR="00BE53DD" w:rsidRDefault="00BE53DD" w:rsidP="0015235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042B1F" w:rsidRPr="00326430" w14:paraId="755362B7" w14:textId="77777777" w:rsidTr="00D9331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6E549F8" w14:textId="77777777" w:rsidR="00042B1F" w:rsidRPr="00326430" w:rsidRDefault="00042B1F" w:rsidP="00D93317">
            <w:pPr>
              <w:pStyle w:val="TableText"/>
              <w:rPr>
                <w:b/>
              </w:rPr>
            </w:pPr>
            <w:r>
              <w:rPr>
                <w:b/>
              </w:rPr>
              <w:t>Reagents</w:t>
            </w:r>
          </w:p>
        </w:tc>
      </w:tr>
      <w:tr w:rsidR="00042B1F" w14:paraId="458D8F4A" w14:textId="77777777" w:rsidTr="00D9331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AFF0C74" w14:textId="77777777" w:rsidR="00042B1F" w:rsidRPr="00042B1F" w:rsidRDefault="00042B1F" w:rsidP="00042B1F">
            <w:pPr>
              <w:pStyle w:val="ListBullet"/>
              <w:numPr>
                <w:ilvl w:val="0"/>
                <w:numId w:val="0"/>
              </w:numPr>
              <w:rPr>
                <w:rFonts w:ascii="Arial" w:hAnsi="Arial" w:cs="Arial"/>
                <w:sz w:val="18"/>
                <w:szCs w:val="18"/>
              </w:rPr>
            </w:pPr>
            <w:r w:rsidRPr="00042B1F">
              <w:rPr>
                <w:rFonts w:ascii="Arial" w:hAnsi="Arial" w:cs="Arial"/>
                <w:sz w:val="18"/>
                <w:szCs w:val="18"/>
              </w:rPr>
              <w:t>VBECS does not display a reagent report by invoice number.</w:t>
            </w:r>
          </w:p>
        </w:tc>
      </w:tr>
      <w:tr w:rsidR="00042B1F" w14:paraId="4E9234A1" w14:textId="77777777" w:rsidTr="00D9331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2BED8DB" w14:textId="77777777" w:rsidR="00042B1F" w:rsidRPr="00042B1F" w:rsidRDefault="00042B1F" w:rsidP="00042B1F">
            <w:pPr>
              <w:pStyle w:val="ListBullet"/>
              <w:numPr>
                <w:ilvl w:val="0"/>
                <w:numId w:val="0"/>
              </w:numPr>
              <w:rPr>
                <w:rFonts w:ascii="Arial" w:hAnsi="Arial" w:cs="Arial"/>
                <w:sz w:val="18"/>
                <w:szCs w:val="18"/>
              </w:rPr>
            </w:pPr>
            <w:r w:rsidRPr="00042B1F">
              <w:rPr>
                <w:rFonts w:ascii="Arial" w:hAnsi="Arial" w:cs="Arial"/>
                <w:sz w:val="18"/>
                <w:szCs w:val="18"/>
              </w:rPr>
              <w:t>The unsatisfactory portion of a shipment must be recorded individually.</w:t>
            </w:r>
          </w:p>
        </w:tc>
      </w:tr>
      <w:tr w:rsidR="00042B1F" w14:paraId="6511C8CF" w14:textId="77777777" w:rsidTr="00D9331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9F9F3FB" w14:textId="77777777" w:rsidR="00042B1F" w:rsidRPr="00042B1F" w:rsidRDefault="00042B1F" w:rsidP="00042B1F">
            <w:pPr>
              <w:pStyle w:val="ListBullet"/>
              <w:numPr>
                <w:ilvl w:val="0"/>
                <w:numId w:val="0"/>
              </w:numPr>
              <w:rPr>
                <w:rFonts w:ascii="Arial" w:hAnsi="Arial" w:cs="Arial"/>
                <w:sz w:val="18"/>
                <w:szCs w:val="18"/>
              </w:rPr>
            </w:pPr>
            <w:r w:rsidRPr="00042B1F">
              <w:rPr>
                <w:rFonts w:ascii="Arial" w:hAnsi="Arial" w:cs="Arial"/>
                <w:sz w:val="18"/>
                <w:szCs w:val="18"/>
              </w:rPr>
              <w:t>There is no retrospective data entry or user selection for these options.</w:t>
            </w:r>
          </w:p>
        </w:tc>
      </w:tr>
      <w:tr w:rsidR="00042B1F" w14:paraId="3622BDD7" w14:textId="77777777" w:rsidTr="00D9331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651AB3A" w14:textId="77777777" w:rsidR="00042B1F" w:rsidRPr="00042B1F" w:rsidRDefault="00042B1F" w:rsidP="00042B1F">
            <w:pPr>
              <w:pStyle w:val="ListBullet"/>
              <w:numPr>
                <w:ilvl w:val="0"/>
                <w:numId w:val="0"/>
              </w:numPr>
            </w:pPr>
            <w:r w:rsidRPr="00042B1F">
              <w:rPr>
                <w:rFonts w:ascii="Arial" w:hAnsi="Arial" w:cs="Arial"/>
                <w:sz w:val="18"/>
                <w:szCs w:val="18"/>
              </w:rPr>
              <w:t>Each site must set a standard for recording quantity: it may use the number of cases or the number of units within the cases.</w:t>
            </w:r>
          </w:p>
        </w:tc>
      </w:tr>
      <w:tr w:rsidR="00042B1F" w14:paraId="5580E09A" w14:textId="77777777" w:rsidTr="00D9331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DD9BEFD" w14:textId="77777777" w:rsidR="00042B1F" w:rsidRPr="00042B1F" w:rsidRDefault="00042B1F" w:rsidP="00042B1F">
            <w:pPr>
              <w:pStyle w:val="ListBullet"/>
              <w:numPr>
                <w:ilvl w:val="0"/>
                <w:numId w:val="0"/>
              </w:numPr>
            </w:pPr>
            <w:r w:rsidRPr="00042B1F">
              <w:rPr>
                <w:rFonts w:ascii="Arial" w:hAnsi="Arial" w:cs="Arial"/>
                <w:sz w:val="18"/>
                <w:szCs w:val="18"/>
              </w:rPr>
              <w:t>When a user enters a lot number in the Lot # field and clicks the magnifying glass, VBECS displays only the first instance of a duplicate lot number.</w:t>
            </w:r>
            <w:r>
              <w:t xml:space="preserve"> </w:t>
            </w:r>
            <w:r w:rsidRPr="00F759ED">
              <w:rPr>
                <w:vanish/>
              </w:rPr>
              <w:t>(UserDoc Task 1083)</w:t>
            </w:r>
          </w:p>
        </w:tc>
      </w:tr>
      <w:tr w:rsidR="00042B1F" w14:paraId="3509DD47" w14:textId="77777777" w:rsidTr="00D9331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C3554FA" w14:textId="77777777" w:rsidR="00042B1F" w:rsidRPr="00042B1F" w:rsidRDefault="00042B1F" w:rsidP="00042B1F">
            <w:pPr>
              <w:pStyle w:val="ListBullet"/>
              <w:numPr>
                <w:ilvl w:val="0"/>
                <w:numId w:val="0"/>
              </w:numPr>
              <w:rPr>
                <w:rFonts w:ascii="Arial" w:hAnsi="Arial" w:cs="Arial"/>
                <w:sz w:val="18"/>
                <w:szCs w:val="18"/>
              </w:rPr>
            </w:pPr>
            <w:r w:rsidRPr="00042B1F">
              <w:rPr>
                <w:rFonts w:ascii="Arial" w:hAnsi="Arial" w:cs="Arial"/>
                <w:sz w:val="18"/>
                <w:szCs w:val="18"/>
              </w:rPr>
              <w:t xml:space="preserve">Free text details can be added only when “Other” is selected as the canned comment. </w:t>
            </w:r>
            <w:r w:rsidRPr="005F1427">
              <w:rPr>
                <w:rFonts w:ascii="Arial" w:hAnsi="Arial" w:cs="Arial"/>
                <w:vanish/>
                <w:sz w:val="18"/>
                <w:szCs w:val="18"/>
              </w:rPr>
              <w:t>DR 2218</w:t>
            </w:r>
          </w:p>
        </w:tc>
      </w:tr>
      <w:tr w:rsidR="006A6CFF" w14:paraId="255B0D2E" w14:textId="77777777" w:rsidTr="00D9331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69BE2DE" w14:textId="6795D18E" w:rsidR="006A6CFF" w:rsidRPr="00042B1F" w:rsidRDefault="006A6CFF" w:rsidP="00042B1F">
            <w:pPr>
              <w:pStyle w:val="ListBullet"/>
              <w:numPr>
                <w:ilvl w:val="0"/>
                <w:numId w:val="0"/>
              </w:numPr>
              <w:rPr>
                <w:rFonts w:ascii="Arial" w:hAnsi="Arial" w:cs="Arial"/>
                <w:sz w:val="18"/>
                <w:szCs w:val="18"/>
              </w:rPr>
            </w:pPr>
            <w:r w:rsidRPr="006A6CFF">
              <w:rPr>
                <w:rFonts w:ascii="Arial" w:hAnsi="Arial" w:cs="Arial"/>
                <w:sz w:val="18"/>
                <w:szCs w:val="18"/>
              </w:rPr>
              <w:t xml:space="preserve">When reagents with the same Manufacturer Reagent Name and Lot Number are entered from multiple invoices, only one of the reagents is visible for update. </w:t>
            </w:r>
            <w:r w:rsidRPr="006A6CFF">
              <w:rPr>
                <w:rFonts w:ascii="Arial" w:hAnsi="Arial" w:cs="Arial"/>
                <w:vanish/>
                <w:sz w:val="18"/>
                <w:szCs w:val="18"/>
              </w:rPr>
              <w:t>Defect 209141</w:t>
            </w:r>
          </w:p>
        </w:tc>
      </w:tr>
      <w:tr w:rsidR="006A6CFF" w14:paraId="4DD0E8D8" w14:textId="77777777" w:rsidTr="00D9331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E701B38" w14:textId="720E55FE" w:rsidR="006A6CFF" w:rsidRPr="00042B1F" w:rsidRDefault="00A949F2" w:rsidP="00042B1F">
            <w:pPr>
              <w:pStyle w:val="ListBullet"/>
              <w:numPr>
                <w:ilvl w:val="0"/>
                <w:numId w:val="0"/>
              </w:numPr>
              <w:rPr>
                <w:rFonts w:ascii="Arial" w:hAnsi="Arial" w:cs="Arial"/>
                <w:sz w:val="18"/>
                <w:szCs w:val="18"/>
              </w:rPr>
            </w:pPr>
            <w:r w:rsidRPr="00A949F2">
              <w:rPr>
                <w:rFonts w:ascii="Arial" w:hAnsi="Arial" w:cs="Arial"/>
                <w:sz w:val="18"/>
                <w:szCs w:val="18"/>
              </w:rPr>
              <w:t>Reagents that have had their Number of Vials Available set to zero (0) are no longer visible on the Update Reagent Inventory screen or the Reagent Inventory Report. Print a copy of the Reagent Inventory Report prior to setting the Number of Vials Available to zero (0</w:t>
            </w:r>
            <w:r>
              <w:rPr>
                <w:rFonts w:ascii="Arial" w:hAnsi="Arial" w:cs="Arial"/>
                <w:sz w:val="18"/>
                <w:szCs w:val="18"/>
              </w:rPr>
              <w:t xml:space="preserve">). </w:t>
            </w:r>
            <w:r w:rsidRPr="00A949F2">
              <w:rPr>
                <w:rFonts w:ascii="Arial" w:hAnsi="Arial" w:cs="Arial"/>
                <w:vanish/>
                <w:sz w:val="18"/>
                <w:szCs w:val="18"/>
              </w:rPr>
              <w:t>Defects 208863, 208890, 210063</w:t>
            </w:r>
          </w:p>
        </w:tc>
      </w:tr>
    </w:tbl>
    <w:p w14:paraId="567ABA31" w14:textId="77777777" w:rsidR="00042B1F" w:rsidRDefault="00042B1F" w:rsidP="0015235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4C386A" w14:paraId="3C157238"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3D45DBFE" w14:textId="77777777" w:rsidR="003F0440" w:rsidRPr="004C386A" w:rsidRDefault="003F0440" w:rsidP="002D126B">
            <w:pPr>
              <w:pStyle w:val="TableText"/>
              <w:rPr>
                <w:b/>
              </w:rPr>
            </w:pPr>
            <w:r w:rsidRPr="004C386A">
              <w:rPr>
                <w:b/>
              </w:rPr>
              <w:lastRenderedPageBreak/>
              <w:t>Release Units From Patient Assignment</w:t>
            </w:r>
          </w:p>
        </w:tc>
      </w:tr>
      <w:tr w:rsidR="003F0440" w:rsidRPr="00725902" w14:paraId="296FFFB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DCBAB1B" w14:textId="77777777" w:rsidR="003F0440" w:rsidRDefault="003F0440" w:rsidP="002D126B">
            <w:pPr>
              <w:pStyle w:val="TableText"/>
            </w:pPr>
            <w:r>
              <w:t>This option does not apply to the release of patient restrictions (autologous and directed).</w:t>
            </w:r>
          </w:p>
        </w:tc>
      </w:tr>
      <w:tr w:rsidR="003F0440" w:rsidRPr="00725902" w14:paraId="59E9746D"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8B16E83" w14:textId="77777777" w:rsidR="003F0440" w:rsidRDefault="003F0440" w:rsidP="002D126B">
            <w:pPr>
              <w:pStyle w:val="TableText"/>
            </w:pPr>
            <w:r>
              <w:t>When a patient, specimen</w:t>
            </w:r>
            <w:r w:rsidR="00112C24">
              <w:t>,</w:t>
            </w:r>
            <w:r>
              <w:t xml:space="preserve"> or blood unit expires, VBECS does not automatically release an assigned blood unit: a user must release the unit.</w:t>
            </w:r>
          </w:p>
        </w:tc>
      </w:tr>
      <w:tr w:rsidR="00724CD4" w:rsidRPr="00725902" w14:paraId="216A1B6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5B5FAFA" w14:textId="4B06283F" w:rsidR="00724CD4" w:rsidRDefault="00724CD4" w:rsidP="002D126B">
            <w:pPr>
              <w:pStyle w:val="TableText"/>
            </w:pPr>
            <w:r>
              <w:t xml:space="preserve">Users should select and release units in a timely manner to avoid the units being issued by another user prior to the release process completion. </w:t>
            </w:r>
            <w:r w:rsidRPr="00724CD4">
              <w:rPr>
                <w:vanish/>
              </w:rPr>
              <w:t>Defect 259491</w:t>
            </w:r>
          </w:p>
        </w:tc>
      </w:tr>
    </w:tbl>
    <w:p w14:paraId="6C245575" w14:textId="77777777" w:rsidR="00152357" w:rsidRDefault="00152357" w:rsidP="0015235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1C59D2" w14:paraId="21F0EAF0"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48EF5DDE" w14:textId="77777777" w:rsidR="003F0440" w:rsidRPr="001C59D2" w:rsidRDefault="003F0440" w:rsidP="002D126B">
            <w:pPr>
              <w:pStyle w:val="TableText"/>
              <w:rPr>
                <w:b/>
              </w:rPr>
            </w:pPr>
            <w:r w:rsidRPr="001C59D2">
              <w:rPr>
                <w:b/>
              </w:rPr>
              <w:t>Remove Final Status</w:t>
            </w:r>
          </w:p>
        </w:tc>
      </w:tr>
      <w:tr w:rsidR="003F0440" w:rsidRPr="00725902" w14:paraId="4ECB9DFD"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271B222" w14:textId="77777777" w:rsidR="003F0440" w:rsidRPr="00725902" w:rsidRDefault="003F0440" w:rsidP="002D126B">
            <w:pPr>
              <w:pStyle w:val="TableText"/>
            </w:pPr>
            <w:r>
              <w:t>This option applies only to the release of units in final statuses.</w:t>
            </w:r>
          </w:p>
        </w:tc>
      </w:tr>
    </w:tbl>
    <w:p w14:paraId="7478D25E" w14:textId="77777777" w:rsidR="0074084F" w:rsidRDefault="0074084F" w:rsidP="0015235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2B0F17" w14:paraId="49B81580"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A2B49B9" w14:textId="77777777" w:rsidR="003F0440" w:rsidRPr="002B0F17" w:rsidRDefault="003F0440" w:rsidP="002D126B">
            <w:pPr>
              <w:pStyle w:val="TableText"/>
              <w:rPr>
                <w:b/>
              </w:rPr>
            </w:pPr>
            <w:r>
              <w:rPr>
                <w:b/>
              </w:rPr>
              <w:t>Screen Settings</w:t>
            </w:r>
          </w:p>
        </w:tc>
      </w:tr>
      <w:tr w:rsidR="003F0440" w:rsidRPr="002B0F17" w14:paraId="28BA3A04"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61D9A6E" w14:textId="77777777" w:rsidR="003F0440" w:rsidRPr="002B0F17" w:rsidRDefault="003F0440" w:rsidP="002D126B">
            <w:pPr>
              <w:pStyle w:val="TableText"/>
              <w:rPr>
                <w:b/>
              </w:rPr>
            </w:pPr>
            <w:r>
              <w:t>VBECS was designed to operate with the settings described in this section to display complete screens. Failure to maintain these settings may result in partial display of safety-critical information.</w:t>
            </w:r>
          </w:p>
        </w:tc>
      </w:tr>
    </w:tbl>
    <w:p w14:paraId="0B506CF2" w14:textId="77777777" w:rsidR="00320DAE" w:rsidRDefault="00320DAE" w:rsidP="00320DAE">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20DAE" w:rsidRPr="002B0F17" w14:paraId="1506254C"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77029F3" w14:textId="77777777" w:rsidR="00320DAE" w:rsidRPr="002B0F17" w:rsidRDefault="00320DAE" w:rsidP="004F5220">
            <w:pPr>
              <w:pStyle w:val="TableText"/>
              <w:rPr>
                <w:b/>
              </w:rPr>
            </w:pPr>
            <w:r>
              <w:rPr>
                <w:b/>
              </w:rPr>
              <w:t>Select Units</w:t>
            </w:r>
          </w:p>
        </w:tc>
      </w:tr>
      <w:tr w:rsidR="001803E2" w:rsidRPr="002B0F17" w14:paraId="2F60E302"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7D19C2B" w14:textId="77777777" w:rsidR="001803E2" w:rsidRDefault="001803E2" w:rsidP="00320DAE">
            <w:pPr>
              <w:pStyle w:val="TableText"/>
            </w:pPr>
            <w:r>
              <w:t>When a u</w:t>
            </w:r>
            <w:r w:rsidRPr="00320DAE">
              <w:t>ser check</w:t>
            </w:r>
            <w:r>
              <w:t>s</w:t>
            </w:r>
            <w:r w:rsidRPr="00320DAE">
              <w:t xml:space="preserve"> the </w:t>
            </w:r>
            <w:r>
              <w:t>“</w:t>
            </w:r>
            <w:r w:rsidRPr="00320DAE">
              <w:t xml:space="preserve">D </w:t>
            </w:r>
            <w:r>
              <w:t>P</w:t>
            </w:r>
            <w:r w:rsidRPr="00320DAE">
              <w:t>os</w:t>
            </w:r>
            <w:r>
              <w:t>”</w:t>
            </w:r>
            <w:r w:rsidRPr="00320DAE">
              <w:t xml:space="preserve"> or </w:t>
            </w:r>
            <w:r>
              <w:t>“</w:t>
            </w:r>
            <w:r w:rsidRPr="00320DAE">
              <w:t xml:space="preserve">D </w:t>
            </w:r>
            <w:r>
              <w:t>N</w:t>
            </w:r>
            <w:r w:rsidRPr="00320DAE">
              <w:t>eg</w:t>
            </w:r>
            <w:r>
              <w:t>”</w:t>
            </w:r>
            <w:r w:rsidRPr="00320DAE">
              <w:t xml:space="preserve"> check box to modify a search for blood</w:t>
            </w:r>
            <w:r>
              <w:t>, VBECS returns no units, regardless of the availability of units</w:t>
            </w:r>
            <w:r w:rsidRPr="00320DAE">
              <w:t xml:space="preserve">. </w:t>
            </w:r>
          </w:p>
        </w:tc>
      </w:tr>
      <w:tr w:rsidR="00291E60" w:rsidRPr="002B0F17" w14:paraId="759C0A5E"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2F17ED9" w14:textId="77777777" w:rsidR="00291E60" w:rsidRPr="001803E2" w:rsidRDefault="001803E2" w:rsidP="001803E2">
            <w:pPr>
              <w:pStyle w:val="TableText"/>
            </w:pPr>
            <w:r w:rsidRPr="004E4368">
              <w:t>VBECS displays a</w:t>
            </w:r>
            <w:r>
              <w:t xml:space="preserve"> component</w:t>
            </w:r>
            <w:r w:rsidRPr="004E4368">
              <w:t xml:space="preserve"> order </w:t>
            </w:r>
            <w:r>
              <w:t xml:space="preserve">as “Filled” </w:t>
            </w:r>
            <w:r w:rsidRPr="004E4368">
              <w:t xml:space="preserve">when the number of units </w:t>
            </w:r>
            <w:r>
              <w:t>transfused</w:t>
            </w:r>
            <w:r w:rsidRPr="004E4368">
              <w:t xml:space="preserve"> and the number of units ordered are the same</w:t>
            </w:r>
            <w:r>
              <w:t xml:space="preserve"> and continues to display the component order until the order expires. CPRS displays a component order as “Completed”. Therefore, CPRS displays the order as “Completed” before VBECS displays the order as “Filled.” The associated LAB order will then also be marked as “Completed”.</w:t>
            </w:r>
          </w:p>
        </w:tc>
      </w:tr>
      <w:tr w:rsidR="00320DAE" w:rsidRPr="002B0F17" w14:paraId="7A49245F"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E46B98C" w14:textId="6EEE784D" w:rsidR="00320DAE" w:rsidRPr="00320DAE" w:rsidRDefault="001803E2" w:rsidP="00320DAE">
            <w:pPr>
              <w:pStyle w:val="TableText"/>
            </w:pPr>
            <w:r>
              <w:t>A Specimen UID must be accepted in</w:t>
            </w:r>
            <w:r w:rsidR="0063094B">
              <w:t xml:space="preserve"> </w:t>
            </w:r>
            <w:r>
              <w:t>VBECS to associate it with a component order. Any VBECS maintained TAS specimen UID may be associated with a component order by entering the number in the UID field.</w:t>
            </w:r>
            <w:r w:rsidRPr="001803E2">
              <w:t xml:space="preserve"> </w:t>
            </w:r>
            <w:r w:rsidRPr="001803E2">
              <w:rPr>
                <w:vanish/>
              </w:rPr>
              <w:t>Task 635428</w:t>
            </w:r>
          </w:p>
        </w:tc>
      </w:tr>
      <w:tr w:rsidR="0063094B" w:rsidRPr="002B0F17" w14:paraId="3C54DD9E"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DB5A3AB" w14:textId="54A31573" w:rsidR="0063094B" w:rsidRDefault="0063094B" w:rsidP="00320DAE">
            <w:pPr>
              <w:pStyle w:val="TableText"/>
            </w:pPr>
            <w:r>
              <w:t>A system error</w:t>
            </w:r>
            <w:r w:rsidRPr="00010B77">
              <w:t xml:space="preserve"> occurs when attemp</w:t>
            </w:r>
            <w:r>
              <w:t xml:space="preserve">ting to associate a specimen </w:t>
            </w:r>
            <w:r w:rsidRPr="00010B77">
              <w:t>with an order when no unit is selected.</w:t>
            </w:r>
            <w:r>
              <w:t xml:space="preserve"> A</w:t>
            </w:r>
            <w:r w:rsidRPr="00010B77">
              <w:t>ssociate the specimen UID in Accept Order when possible.</w:t>
            </w:r>
            <w:r>
              <w:t xml:space="preserve"> </w:t>
            </w:r>
            <w:r w:rsidRPr="0063094B">
              <w:rPr>
                <w:vanish/>
              </w:rPr>
              <w:t>Defect 209343</w:t>
            </w:r>
          </w:p>
        </w:tc>
      </w:tr>
      <w:tr w:rsidR="007C518F" w:rsidRPr="002B0F17" w14:paraId="0F7931D9"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33EE8E4" w14:textId="6BC32E44" w:rsidR="007C518F" w:rsidRDefault="007C518F" w:rsidP="00320DAE">
            <w:pPr>
              <w:pStyle w:val="TableText"/>
            </w:pPr>
            <w:r>
              <w:t xml:space="preserve">When associating a specimen with a patient in the “Select Unit for a Patient” window, the “Expires” field within the “Associate with Specimen” panel displays the time in AM/PM format. VBECS normally displays date/time fields in “military” time format.  The workaround is to look in Maintain Specimen and check the expiration time military time format. </w:t>
            </w:r>
            <w:r w:rsidRPr="007C518F">
              <w:rPr>
                <w:vanish/>
              </w:rPr>
              <w:t>Defect 209052</w:t>
            </w:r>
          </w:p>
        </w:tc>
      </w:tr>
      <w:tr w:rsidR="007C518F" w:rsidRPr="002B0F17" w14:paraId="7FAA2A59"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DC8E947" w14:textId="2B17D392" w:rsidR="007C518F" w:rsidRDefault="009D0CAA" w:rsidP="00320DAE">
            <w:pPr>
              <w:pStyle w:val="TableText"/>
            </w:pPr>
            <w:r>
              <w:t>When an Rh positive unit is selected for an Rh negative patient with an antigen negative requirement for D, the user receives a message about unit not satisfying patient negative requirements for D instead of a message about unit being positive for D. The proper message is displayed upon unit issue</w:t>
            </w:r>
            <w:r w:rsidR="007C518F">
              <w:t xml:space="preserve">. </w:t>
            </w:r>
            <w:r w:rsidR="007C518F" w:rsidRPr="007C518F">
              <w:rPr>
                <w:vanish/>
              </w:rPr>
              <w:t>Defects 209338, 213537</w:t>
            </w:r>
          </w:p>
        </w:tc>
      </w:tr>
    </w:tbl>
    <w:p w14:paraId="63053BBB" w14:textId="77777777" w:rsidR="000604AA" w:rsidRDefault="000604AA" w:rsidP="0015235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2B0F17" w14:paraId="59FA784A"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3020160B" w14:textId="76C4B2D1" w:rsidR="003F0440" w:rsidRPr="002B0F17" w:rsidRDefault="000604AA" w:rsidP="002D126B">
            <w:pPr>
              <w:pStyle w:val="TableText"/>
              <w:rPr>
                <w:b/>
              </w:rPr>
            </w:pPr>
            <w:r>
              <w:br w:type="page"/>
            </w:r>
            <w:r w:rsidR="003F0440" w:rsidRPr="002B0F17">
              <w:rPr>
                <w:b/>
              </w:rPr>
              <w:t>Special Instructions &amp; Transfusion Requirements: Enter a Transfusion Requirement</w:t>
            </w:r>
          </w:p>
        </w:tc>
      </w:tr>
      <w:tr w:rsidR="003F0440" w:rsidRPr="00725902" w14:paraId="1AB7BBF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8E595FB" w14:textId="77777777" w:rsidR="003F0440" w:rsidRDefault="003F0440" w:rsidP="002D126B">
            <w:pPr>
              <w:pStyle w:val="TableText"/>
            </w:pPr>
            <w:r>
              <w:t>Inactivation is defined and restricted by security level.</w:t>
            </w:r>
          </w:p>
        </w:tc>
      </w:tr>
      <w:tr w:rsidR="003F0440" w:rsidRPr="00725902" w14:paraId="29BAC2FA"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5B3B1DA" w14:textId="77777777" w:rsidR="003F0440" w:rsidRPr="00725902" w:rsidRDefault="003F0440" w:rsidP="002D126B">
            <w:pPr>
              <w:pStyle w:val="TableText"/>
            </w:pPr>
            <w:r w:rsidRPr="00CA6E27">
              <w:rPr>
                <w:bCs/>
              </w:rPr>
              <w:t>VistA</w:t>
            </w:r>
            <w:r>
              <w:t xml:space="preserve"> Special Instructions (SIs) from database conversion do not become Transfusion Requirements (TRs): they remain SIs. SIs are information only and are not enforced unless entered in the Component Requirements tab in Special Instructions &amp; Transfusion Requirements.</w:t>
            </w:r>
          </w:p>
        </w:tc>
      </w:tr>
    </w:tbl>
    <w:p w14:paraId="7CD6AEEF" w14:textId="3D8642D3" w:rsidR="000E59E4" w:rsidRDefault="000E59E4" w:rsidP="00152357">
      <w:pPr>
        <w:pStyle w:val="TableText"/>
      </w:pPr>
    </w:p>
    <w:p w14:paraId="62BE6634" w14:textId="77777777" w:rsidR="000E59E4" w:rsidRDefault="000E59E4">
      <w:pPr>
        <w:rPr>
          <w:rFonts w:ascii="Arial" w:hAnsi="Arial"/>
          <w:sz w:val="18"/>
        </w:rPr>
      </w:pPr>
      <w:r>
        <w:br w:type="page"/>
      </w:r>
    </w:p>
    <w:p w14:paraId="72F85FF6" w14:textId="77777777" w:rsidR="00152357" w:rsidRDefault="00152357" w:rsidP="0015235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FE21D7" w14:paraId="0D6A6506"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301F6EB" w14:textId="77777777" w:rsidR="003F0440" w:rsidRPr="00FE21D7" w:rsidRDefault="003F0440" w:rsidP="002D126B">
            <w:pPr>
              <w:pStyle w:val="TableText"/>
              <w:rPr>
                <w:b/>
              </w:rPr>
            </w:pPr>
            <w:r w:rsidRPr="00FE21D7">
              <w:rPr>
                <w:b/>
              </w:rPr>
              <w:t>Special Instructions &amp; Transfusion Requirements: Enter and Remove Special Instructions</w:t>
            </w:r>
          </w:p>
        </w:tc>
      </w:tr>
      <w:tr w:rsidR="003F0440" w:rsidRPr="00725902" w14:paraId="64627B2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5B24DE1" w14:textId="77777777" w:rsidR="003F0440" w:rsidRDefault="00DD6B21" w:rsidP="00DD6B21">
            <w:pPr>
              <w:pStyle w:val="TableText"/>
            </w:pPr>
            <w:r>
              <w:t>VBECS does not enforce Transfusion Requirements (TRs) or antigen negative requirements entered through this option.</w:t>
            </w:r>
          </w:p>
        </w:tc>
      </w:tr>
      <w:tr w:rsidR="00DD6B21" w:rsidRPr="00725902" w14:paraId="7345699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11AFC14" w14:textId="77777777" w:rsidR="00DD6B21" w:rsidRDefault="00DD6B21" w:rsidP="00DD6B21">
            <w:pPr>
              <w:pStyle w:val="TableText"/>
            </w:pPr>
            <w:r>
              <w:t>SIs moved to VBECS during the database conversion may contain information that must be entered as TRs in VBECS. Inactivate the old SI and create a TR and new updated SI: the database conversion software cannot automatically translate the SI from database conversion into a rule-based TR.</w:t>
            </w:r>
          </w:p>
        </w:tc>
      </w:tr>
      <w:tr w:rsidR="003F0440" w:rsidRPr="00725902" w14:paraId="619BAFA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8F106B8" w14:textId="77777777" w:rsidR="003F0440" w:rsidRDefault="003F0440" w:rsidP="002D126B">
            <w:pPr>
              <w:pStyle w:val="TableText"/>
            </w:pPr>
            <w:r>
              <w:t>VBECS will truncate SI text longer than 255 characters from the VistA database conversion.</w:t>
            </w:r>
          </w:p>
        </w:tc>
      </w:tr>
    </w:tbl>
    <w:p w14:paraId="2CAED909" w14:textId="77777777" w:rsidR="0045199A" w:rsidRDefault="0045199A" w:rsidP="0015235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355A27" w14:paraId="1CC4B1CC"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4AC904A9" w14:textId="77777777" w:rsidR="003F0440" w:rsidRPr="00355A27" w:rsidRDefault="003F0440" w:rsidP="002D126B">
            <w:pPr>
              <w:pStyle w:val="TableText"/>
              <w:rPr>
                <w:b/>
              </w:rPr>
            </w:pPr>
            <w:r w:rsidRPr="00355A27">
              <w:rPr>
                <w:b/>
              </w:rPr>
              <w:t>Supplies</w:t>
            </w:r>
          </w:p>
        </w:tc>
      </w:tr>
      <w:tr w:rsidR="003F0440" w:rsidRPr="00725902" w14:paraId="41CDDAD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0E58FE3" w14:textId="77777777" w:rsidR="003F0440" w:rsidRPr="00725902" w:rsidRDefault="003F0440" w:rsidP="002D126B">
            <w:pPr>
              <w:pStyle w:val="TableText"/>
            </w:pPr>
            <w:r>
              <w:t xml:space="preserve">The division’s modification processes may allow or require the user to select previously entered supplies for association with a blood unit’s modification. An inventory of containers (transfer bags) and sterile connection device (SCD) wafers is </w:t>
            </w:r>
            <w:r>
              <w:rPr>
                <w:i/>
              </w:rPr>
              <w:t>required</w:t>
            </w:r>
            <w:r>
              <w:t xml:space="preserve"> for various modification processes. </w:t>
            </w:r>
          </w:p>
        </w:tc>
      </w:tr>
      <w:tr w:rsidR="003F0440" w:rsidRPr="00725902" w14:paraId="5815013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1507E96" w14:textId="77777777" w:rsidR="003F0440" w:rsidRPr="00725902" w:rsidRDefault="003F0440" w:rsidP="002D126B">
            <w:pPr>
              <w:pStyle w:val="TableText"/>
            </w:pPr>
            <w:r>
              <w:t>There is no retrospective data entry or user selection for th</w:t>
            </w:r>
            <w:r w:rsidR="00932460">
              <w:t>is option</w:t>
            </w:r>
            <w:r>
              <w:t>.</w:t>
            </w:r>
          </w:p>
        </w:tc>
      </w:tr>
      <w:tr w:rsidR="003F0440" w:rsidRPr="00725902" w14:paraId="131D693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8DD0BE0" w14:textId="77777777" w:rsidR="003F0440" w:rsidRPr="00725902" w:rsidRDefault="003F0440" w:rsidP="002D126B">
            <w:pPr>
              <w:pStyle w:val="TableText"/>
            </w:pPr>
            <w:r>
              <w:t>The unsatisfactory portion of a shipment must be recorded individually.</w:t>
            </w:r>
          </w:p>
        </w:tc>
      </w:tr>
      <w:tr w:rsidR="003F0440" w:rsidRPr="00725902" w14:paraId="47CD2C7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A5B3355" w14:textId="77777777" w:rsidR="003F0440" w:rsidRPr="00725902" w:rsidRDefault="003F0440" w:rsidP="002D126B">
            <w:pPr>
              <w:pStyle w:val="TableText"/>
            </w:pPr>
            <w:r>
              <w:t>Each site must set a standard for recording quantity: it may use the number of cases or the number of units within the cases.</w:t>
            </w:r>
          </w:p>
        </w:tc>
      </w:tr>
    </w:tbl>
    <w:p w14:paraId="2530340A" w14:textId="77777777" w:rsidR="00DA5F37" w:rsidRDefault="00DA5F37" w:rsidP="00DA5F3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D01896" w14:paraId="24C84824"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454936CE" w14:textId="77777777" w:rsidR="003F0440" w:rsidRPr="00D01896" w:rsidRDefault="003F0440" w:rsidP="002D126B">
            <w:pPr>
              <w:pStyle w:val="TableText"/>
              <w:rPr>
                <w:b/>
              </w:rPr>
            </w:pPr>
            <w:r w:rsidRPr="00D01896">
              <w:rPr>
                <w:b/>
              </w:rPr>
              <w:t>Transfusion Complications</w:t>
            </w:r>
            <w:r>
              <w:rPr>
                <w:b/>
              </w:rPr>
              <w:t xml:space="preserve"> Report</w:t>
            </w:r>
          </w:p>
        </w:tc>
      </w:tr>
      <w:tr w:rsidR="003F0440" w:rsidRPr="00725902" w14:paraId="19D514E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284559C" w14:textId="77777777" w:rsidR="003F0440" w:rsidRPr="00725902" w:rsidRDefault="003F0440" w:rsidP="002D126B">
            <w:pPr>
              <w:pStyle w:val="TableText"/>
            </w:pPr>
            <w:r>
              <w:t>The report does not include units in an issued status.</w:t>
            </w:r>
          </w:p>
        </w:tc>
      </w:tr>
      <w:tr w:rsidR="00CD5BA1" w:rsidRPr="00725902" w14:paraId="206DF39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A4411DB" w14:textId="3C824D5C" w:rsidR="00CD5BA1" w:rsidRDefault="00CD5BA1" w:rsidP="002D126B">
            <w:pPr>
              <w:pStyle w:val="TableText"/>
            </w:pPr>
            <w:r>
              <w:t xml:space="preserve">The report cannot be scheduled. </w:t>
            </w:r>
            <w:r w:rsidRPr="00CD5BA1">
              <w:rPr>
                <w:vanish/>
              </w:rPr>
              <w:t>Defect 210264</w:t>
            </w:r>
          </w:p>
        </w:tc>
      </w:tr>
    </w:tbl>
    <w:p w14:paraId="1E904DA5" w14:textId="77777777" w:rsidR="00C1162B" w:rsidRDefault="00C1162B" w:rsidP="00DA5F3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01AF4" w14:paraId="03928B52"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0FF775A" w14:textId="77777777" w:rsidR="003F0440" w:rsidRPr="00501AF4" w:rsidRDefault="003F0440" w:rsidP="002D126B">
            <w:pPr>
              <w:pStyle w:val="TableText"/>
              <w:rPr>
                <w:b/>
              </w:rPr>
            </w:pPr>
            <w:r>
              <w:rPr>
                <w:b/>
              </w:rPr>
              <w:t>Transfusion Effectiveness Report</w:t>
            </w:r>
          </w:p>
        </w:tc>
      </w:tr>
      <w:tr w:rsidR="003F0440" w:rsidRPr="00725902" w14:paraId="5ABDA18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7F7712D" w14:textId="77777777" w:rsidR="003F0440" w:rsidRPr="00725902" w:rsidRDefault="003F0440" w:rsidP="002D126B">
            <w:pPr>
              <w:pStyle w:val="TableText"/>
            </w:pPr>
            <w:r>
              <w:t>The report does not include VBECS diagnostic tests.</w:t>
            </w:r>
          </w:p>
        </w:tc>
      </w:tr>
    </w:tbl>
    <w:p w14:paraId="37EA1A72" w14:textId="0248054A" w:rsidR="00DA5F37" w:rsidRDefault="00DA5F37" w:rsidP="00DA5F3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7C518F" w:rsidRPr="00501AF4" w14:paraId="33068A92" w14:textId="77777777" w:rsidTr="00D12DC6">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469A9302" w14:textId="17B8C52B" w:rsidR="007C518F" w:rsidRPr="00501AF4" w:rsidRDefault="007C518F" w:rsidP="00D12DC6">
            <w:pPr>
              <w:pStyle w:val="TableText"/>
              <w:rPr>
                <w:b/>
              </w:rPr>
            </w:pPr>
            <w:r>
              <w:rPr>
                <w:b/>
              </w:rPr>
              <w:t>Transfusion Reaction Count Report</w:t>
            </w:r>
          </w:p>
        </w:tc>
      </w:tr>
      <w:tr w:rsidR="007C518F" w:rsidRPr="00725902" w14:paraId="75AC3518" w14:textId="77777777" w:rsidTr="00D12DC6">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CFECA86" w14:textId="0AC8BDF1" w:rsidR="007C518F" w:rsidRPr="00725902" w:rsidRDefault="00C25C1E" w:rsidP="00D12DC6">
            <w:pPr>
              <w:pStyle w:val="TableText"/>
            </w:pPr>
            <w:r>
              <w:t xml:space="preserve">Transfusion Reactions are only included on the report if the data were entered/updated during the selected date range. This means that retrospective entry of transfusion reactions may not display in the correct date range. The recorded date of the reaction is not considered in the selection criteria. Rerun the report for a date range that includes the date the data was entered or updated. For example, if a transfusion reaction that occurred on February 28 is retrospectively entered on March 1, it will only display on a report that includes March 1 in its date range. </w:t>
            </w:r>
            <w:r w:rsidRPr="00C25C1E">
              <w:rPr>
                <w:vanish/>
              </w:rPr>
              <w:t>Defect 209152</w:t>
            </w:r>
          </w:p>
        </w:tc>
      </w:tr>
    </w:tbl>
    <w:p w14:paraId="3EBC9FA1" w14:textId="77777777" w:rsidR="007C518F" w:rsidRDefault="007C518F" w:rsidP="00DA5F3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01AF4" w14:paraId="09E39B9B"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B056AEC" w14:textId="77777777" w:rsidR="003F0440" w:rsidRPr="00501AF4" w:rsidRDefault="003F0440" w:rsidP="002D126B">
            <w:pPr>
              <w:pStyle w:val="TableText"/>
              <w:rPr>
                <w:b/>
              </w:rPr>
            </w:pPr>
            <w:r>
              <w:rPr>
                <w:b/>
              </w:rPr>
              <w:t>Transfusion Requirements Report</w:t>
            </w:r>
          </w:p>
        </w:tc>
      </w:tr>
      <w:tr w:rsidR="003F0440" w:rsidRPr="00725902" w14:paraId="3F4A540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BD541CD" w14:textId="77777777" w:rsidR="003F0440" w:rsidRPr="00725902" w:rsidRDefault="00934D16" w:rsidP="00934D16">
            <w:pPr>
              <w:pStyle w:val="TableText"/>
            </w:pPr>
            <w:r w:rsidRPr="00B93109">
              <w:t xml:space="preserve">Deceased patient records do not appear on the report when </w:t>
            </w:r>
            <w:r>
              <w:t xml:space="preserve">they are </w:t>
            </w:r>
            <w:r w:rsidRPr="00B93109">
              <w:t>generated after the patient has been marked</w:t>
            </w:r>
            <w:r>
              <w:t xml:space="preserve"> as deceased</w:t>
            </w:r>
            <w:r w:rsidRPr="00B93109">
              <w:t xml:space="preserve"> in the VBECS database via a VistA Death Notification Update.</w:t>
            </w:r>
          </w:p>
        </w:tc>
      </w:tr>
      <w:tr w:rsidR="00C25C1E" w:rsidRPr="00725902" w14:paraId="6AF82E1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1913702" w14:textId="4064FD74" w:rsidR="00C25C1E" w:rsidRPr="00B93109" w:rsidRDefault="00C25C1E" w:rsidP="00934D16">
            <w:pPr>
              <w:pStyle w:val="TableText"/>
            </w:pPr>
            <w:r w:rsidRPr="00684625">
              <w:t>The cumulative report is not displaying all patients on file. A patient with ABO/Rh testing and no other requirement appears on the partial Transfusion Requirements report, but not on the cumulative report</w:t>
            </w:r>
            <w:r>
              <w:t xml:space="preserve">. </w:t>
            </w:r>
            <w:r w:rsidRPr="00C25C1E">
              <w:rPr>
                <w:vanish/>
              </w:rPr>
              <w:t>Defect 208903</w:t>
            </w:r>
          </w:p>
        </w:tc>
      </w:tr>
      <w:tr w:rsidR="00C25C1E" w:rsidRPr="00725902" w14:paraId="411A30F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392C847" w14:textId="148DC2D2" w:rsidR="00C25C1E" w:rsidRPr="00B93109" w:rsidRDefault="00C25C1E" w:rsidP="00934D16">
            <w:pPr>
              <w:pStyle w:val="TableText"/>
            </w:pPr>
            <w:r>
              <w:t xml:space="preserve">A report printed with an end date of today or greater does not print “Partial” in the header. </w:t>
            </w:r>
            <w:r w:rsidRPr="00C25C1E">
              <w:rPr>
                <w:vanish/>
              </w:rPr>
              <w:t>Defect 208901</w:t>
            </w:r>
          </w:p>
        </w:tc>
      </w:tr>
    </w:tbl>
    <w:p w14:paraId="21866271" w14:textId="364E86CF" w:rsidR="000E59E4" w:rsidRDefault="000E59E4" w:rsidP="00DA5F37">
      <w:pPr>
        <w:pStyle w:val="TableText"/>
      </w:pPr>
    </w:p>
    <w:p w14:paraId="7D96810C" w14:textId="77777777" w:rsidR="000E59E4" w:rsidRDefault="000E59E4">
      <w:pPr>
        <w:rPr>
          <w:rFonts w:ascii="Arial" w:hAnsi="Arial"/>
          <w:sz w:val="18"/>
        </w:rPr>
      </w:pPr>
      <w:r>
        <w:br w:type="page"/>
      </w:r>
    </w:p>
    <w:p w14:paraId="34C9A1BC" w14:textId="77777777" w:rsidR="00590248" w:rsidRDefault="00590248" w:rsidP="00DA5F3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04DE956A"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3B7B50FC" w14:textId="77777777" w:rsidR="003F0440" w:rsidRPr="00725902" w:rsidRDefault="003F0440" w:rsidP="002D126B">
            <w:pPr>
              <w:pStyle w:val="TableText"/>
            </w:pPr>
            <w:r w:rsidRPr="00501AF4">
              <w:rPr>
                <w:b/>
              </w:rPr>
              <w:t>Unit Antigen Typing</w:t>
            </w:r>
          </w:p>
        </w:tc>
      </w:tr>
      <w:tr w:rsidR="003F0440" w:rsidRPr="00725902" w14:paraId="0285699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A16AA05" w14:textId="77777777" w:rsidR="003F0440" w:rsidRPr="00725902" w:rsidRDefault="003F0440" w:rsidP="002D126B">
            <w:pPr>
              <w:pStyle w:val="TableText"/>
            </w:pPr>
            <w:r>
              <w:t>Antigen typing applies only</w:t>
            </w:r>
            <w:r w:rsidR="006A2B09">
              <w:t xml:space="preserve"> to red blood cell antigens</w:t>
            </w:r>
            <w:r>
              <w:t>. This opt</w:t>
            </w:r>
            <w:r w:rsidR="006A2B09">
              <w:t>ion does not address platelet, histocompatibility locus antigens (</w:t>
            </w:r>
            <w:r>
              <w:t>HLAs</w:t>
            </w:r>
            <w:r w:rsidR="006A2B09">
              <w:t>)</w:t>
            </w:r>
            <w:r>
              <w:t xml:space="preserve">, or </w:t>
            </w:r>
            <w:r w:rsidR="006A2B09">
              <w:t>Immunoglobulin (</w:t>
            </w:r>
            <w:r>
              <w:t>IgA</w:t>
            </w:r>
            <w:r w:rsidR="006A2B09">
              <w:t>)</w:t>
            </w:r>
            <w:r>
              <w:t xml:space="preserve"> antigenicity.</w:t>
            </w:r>
          </w:p>
        </w:tc>
      </w:tr>
      <w:tr w:rsidR="006A2B09" w:rsidRPr="00725902" w14:paraId="0EB57B73"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330B5A6" w14:textId="77777777" w:rsidR="006A2B09" w:rsidRDefault="006A2B09" w:rsidP="002D126B">
            <w:pPr>
              <w:pStyle w:val="TableText"/>
            </w:pPr>
            <w:r>
              <w:t>Only blood units of the “WHOLE BLOOD” and “RED BLOOD CELLS” ICCBBA component classes can be selected for inclusion in the antigen type worklist.</w:t>
            </w:r>
          </w:p>
        </w:tc>
      </w:tr>
      <w:tr w:rsidR="006A2B09" w:rsidRPr="00725902" w14:paraId="3463ADC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34DA299" w14:textId="0FFAA118" w:rsidR="006A2B09" w:rsidRDefault="006A2B09" w:rsidP="002D126B">
            <w:pPr>
              <w:pStyle w:val="TableText"/>
            </w:pPr>
            <w:r>
              <w:t xml:space="preserve">Antigen typing is not required on products with = &gt; 2 mL </w:t>
            </w:r>
            <w:r w:rsidR="00AE3B37">
              <w:t>of RBC</w:t>
            </w:r>
            <w:r>
              <w:t xml:space="preserve"> contamination that are not Red Blood Cells or Whole Blood.</w:t>
            </w:r>
          </w:p>
        </w:tc>
      </w:tr>
      <w:tr w:rsidR="003F0440" w:rsidRPr="00725902" w14:paraId="253146A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F0EC891" w14:textId="77777777" w:rsidR="003F0440" w:rsidRPr="00725902" w:rsidRDefault="003F0440" w:rsidP="002D126B">
            <w:pPr>
              <w:pStyle w:val="TableText"/>
            </w:pPr>
            <w:r>
              <w:t>VBECS does not check whether the lot and vial numbers selected for the positive control cells differ from those of the negative control cells.</w:t>
            </w:r>
          </w:p>
        </w:tc>
      </w:tr>
      <w:tr w:rsidR="003F0440" w:rsidRPr="00725902" w14:paraId="44CE1B7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E6F7450" w14:textId="77777777" w:rsidR="003F0440" w:rsidRPr="00725902" w:rsidRDefault="003F0440" w:rsidP="002D126B">
            <w:pPr>
              <w:pStyle w:val="TableText"/>
            </w:pPr>
            <w:r>
              <w:t>D antigen typing must not be combined in batch testing of Rh positive units.</w:t>
            </w:r>
          </w:p>
        </w:tc>
      </w:tr>
      <w:tr w:rsidR="00A753B8" w:rsidRPr="00725902" w14:paraId="04912C5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10D415B" w14:textId="03DFEEE4" w:rsidR="00A753B8" w:rsidRDefault="00A753B8" w:rsidP="002D126B">
            <w:pPr>
              <w:pStyle w:val="TableText"/>
            </w:pPr>
            <w:r>
              <w:t xml:space="preserve">The sort order of the selected units may not be inherited by the testing grid. Organize physical test materials according to the order of units presented on the testing grid. </w:t>
            </w:r>
            <w:r w:rsidRPr="00A753B8">
              <w:rPr>
                <w:vanish/>
              </w:rPr>
              <w:t>Defect 209578</w:t>
            </w:r>
          </w:p>
        </w:tc>
      </w:tr>
    </w:tbl>
    <w:p w14:paraId="3201A97C" w14:textId="5A84F23E" w:rsidR="00A753B8" w:rsidRDefault="00A753B8" w:rsidP="00C845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31D5B619"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04CFC56E" w14:textId="179D7D5F" w:rsidR="003F0440" w:rsidRPr="00402919" w:rsidRDefault="00A753B8" w:rsidP="002D126B">
            <w:pPr>
              <w:pStyle w:val="TableText"/>
              <w:rPr>
                <w:b/>
              </w:rPr>
            </w:pPr>
            <w:r>
              <w:br w:type="page"/>
            </w:r>
            <w:r w:rsidR="003F0440">
              <w:rPr>
                <w:b/>
              </w:rPr>
              <w:t>Unit History Report</w:t>
            </w:r>
          </w:p>
        </w:tc>
      </w:tr>
      <w:tr w:rsidR="003F0440" w14:paraId="17563FE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EB7AC34" w14:textId="77777777" w:rsidR="003F0440" w:rsidRDefault="003F0440" w:rsidP="002D126B">
            <w:pPr>
              <w:pStyle w:val="TableText"/>
            </w:pPr>
            <w:r>
              <w:t>The report is not multidivisional.</w:t>
            </w:r>
          </w:p>
        </w:tc>
      </w:tr>
      <w:tr w:rsidR="00DD7CAF" w:rsidRPr="00C06411" w14:paraId="0392411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2DE41E1" w14:textId="77777777" w:rsidR="00DD7CAF" w:rsidRPr="00C06411" w:rsidRDefault="00DD7CAF" w:rsidP="005E39DA">
            <w:pPr>
              <w:pStyle w:val="TableText"/>
            </w:pPr>
            <w:r>
              <w:t xml:space="preserve">When a user retroactively updates a unit status through Discard or Quarantine, the Unit History Report displays the updated information, but does not display the date the change was made. </w:t>
            </w:r>
          </w:p>
        </w:tc>
      </w:tr>
      <w:tr w:rsidR="00CD5BA1" w:rsidRPr="00C06411" w14:paraId="5CD8363A"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F95472C" w14:textId="34659750" w:rsidR="00CD5BA1" w:rsidRDefault="00CD5BA1" w:rsidP="005E39DA">
            <w:pPr>
              <w:pStyle w:val="TableText"/>
            </w:pPr>
            <w:r>
              <w:t>The r</w:t>
            </w:r>
            <w:r w:rsidRPr="001F1DB9">
              <w:t xml:space="preserve">eport </w:t>
            </w:r>
            <w:r>
              <w:t xml:space="preserve">will not indicate if a unit was returned to shipper, or shipped to another facility. This information can be found in the Cost Accounting Report. </w:t>
            </w:r>
            <w:r w:rsidRPr="00CD5BA1">
              <w:rPr>
                <w:vanish/>
              </w:rPr>
              <w:t>Defect 212158</w:t>
            </w:r>
          </w:p>
        </w:tc>
      </w:tr>
      <w:tr w:rsidR="00CD5BA1" w:rsidRPr="00C06411" w14:paraId="1EF895D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E98977E" w14:textId="0EAA58A8" w:rsidR="00CD5BA1" w:rsidRDefault="00CD5BA1" w:rsidP="005E39DA">
            <w:pPr>
              <w:pStyle w:val="TableText"/>
            </w:pPr>
            <w:r>
              <w:t xml:space="preserve">The report will display incorrect information in the Cost column for </w:t>
            </w:r>
            <w:r w:rsidRPr="006B7ADC">
              <w:t>Splits/Divides and Pools</w:t>
            </w:r>
            <w:r>
              <w:t>. S</w:t>
            </w:r>
            <w:r w:rsidRPr="006B7ADC">
              <w:t>ee the Cost Accounting Report</w:t>
            </w:r>
            <w:r>
              <w:t xml:space="preserve"> for this information. </w:t>
            </w:r>
            <w:r w:rsidRPr="00CD5BA1">
              <w:rPr>
                <w:vanish/>
              </w:rPr>
              <w:t>Defect 209090</w:t>
            </w:r>
          </w:p>
        </w:tc>
      </w:tr>
      <w:tr w:rsidR="00CD5BA1" w:rsidRPr="00C06411" w14:paraId="390BFB0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8881EA2" w14:textId="253E6417" w:rsidR="00CD5BA1" w:rsidRDefault="00CD5BA1" w:rsidP="005E39DA">
            <w:pPr>
              <w:pStyle w:val="TableText"/>
            </w:pPr>
            <w:r>
              <w:t xml:space="preserve">The report does not display the Antigen Testing Phase Change Exception. See the Exception Report for this information. </w:t>
            </w:r>
            <w:r w:rsidRPr="00CD5BA1">
              <w:rPr>
                <w:vanish/>
              </w:rPr>
              <w:t>Defect 209575</w:t>
            </w:r>
          </w:p>
        </w:tc>
      </w:tr>
      <w:tr w:rsidR="00E04548" w:rsidRPr="00C06411" w14:paraId="160A4FC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4D838DE" w14:textId="3B3009CD" w:rsidR="00E04548" w:rsidRDefault="00E04548" w:rsidP="005E39DA">
            <w:pPr>
              <w:pStyle w:val="TableText"/>
            </w:pPr>
            <w:r>
              <w:t xml:space="preserve">When a user retroactively updates a unit status through the Discard or Quarantine option, the Unit History Report displays the updated information, but does not display the date the change was made. </w:t>
            </w:r>
            <w:r w:rsidRPr="00E04548">
              <w:rPr>
                <w:vanish/>
              </w:rPr>
              <w:t>Defect 212537</w:t>
            </w:r>
          </w:p>
        </w:tc>
      </w:tr>
    </w:tbl>
    <w:p w14:paraId="1CD7B57F" w14:textId="77777777" w:rsidR="00DD7CAF" w:rsidRDefault="00DD7CAF" w:rsidP="00C845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DA7DE2" w14:paraId="1F092694"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A5A8E13" w14:textId="77777777" w:rsidR="003F0440" w:rsidRPr="00DA7DE2" w:rsidRDefault="003F0440" w:rsidP="002D126B">
            <w:pPr>
              <w:pStyle w:val="TableText"/>
              <w:rPr>
                <w:b/>
              </w:rPr>
            </w:pPr>
            <w:r w:rsidRPr="00DA7DE2">
              <w:rPr>
                <w:b/>
              </w:rPr>
              <w:t>Update User Roles</w:t>
            </w:r>
          </w:p>
        </w:tc>
      </w:tr>
      <w:tr w:rsidR="003F0440" w:rsidRPr="00725902" w14:paraId="1D2851EA" w14:textId="77777777">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14:paraId="3D19ADAB" w14:textId="77777777" w:rsidR="003F0440" w:rsidRDefault="003F0440" w:rsidP="002D126B">
            <w:pPr>
              <w:pStyle w:val="TableText"/>
            </w:pPr>
            <w:r>
              <w:rPr>
                <w:vanish/>
              </w:rPr>
              <w:t xml:space="preserve">BR_19.01, BR_19.03 </w:t>
            </w:r>
            <w:r>
              <w:t>One role at a time may be assigned to a user at a division. The role may be reset.</w:t>
            </w:r>
          </w:p>
        </w:tc>
      </w:tr>
      <w:tr w:rsidR="003F0440" w:rsidRPr="00725902" w14:paraId="2B6D838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EDB3ADA" w14:textId="77777777" w:rsidR="003F0440" w:rsidRDefault="00DD0BFD" w:rsidP="00DD0BFD">
            <w:pPr>
              <w:pStyle w:val="TableText"/>
            </w:pPr>
            <w:r>
              <w:t xml:space="preserve">VBECS does not allow users </w:t>
            </w:r>
            <w:r w:rsidR="00AB565A">
              <w:rPr>
                <w:vanish/>
              </w:rPr>
              <w:t xml:space="preserve">BR_19.06 </w:t>
            </w:r>
            <w:r>
              <w:t>to edit or delete the sole Administrator/Supervisor.</w:t>
            </w:r>
          </w:p>
        </w:tc>
      </w:tr>
    </w:tbl>
    <w:p w14:paraId="235CA791" w14:textId="77777777" w:rsidR="00C84564" w:rsidRDefault="00C84564" w:rsidP="00C845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F506D" w14:paraId="5C39C20E"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34953C5E" w14:textId="77777777" w:rsidR="003F0440" w:rsidRPr="007F506D" w:rsidRDefault="003F0440" w:rsidP="002D126B">
            <w:pPr>
              <w:pStyle w:val="TableText"/>
              <w:rPr>
                <w:b/>
              </w:rPr>
            </w:pPr>
            <w:r w:rsidRPr="007F506D">
              <w:rPr>
                <w:b/>
              </w:rPr>
              <w:t>Updated Patients and Deceased Patients</w:t>
            </w:r>
          </w:p>
        </w:tc>
      </w:tr>
      <w:tr w:rsidR="00D139EE" w:rsidRPr="00725902" w14:paraId="75FD70A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ED6801C" w14:textId="77777777" w:rsidR="00D139EE" w:rsidRDefault="00D139EE" w:rsidP="00D139EE">
            <w:pPr>
              <w:pStyle w:val="TableText"/>
            </w:pPr>
            <w:r>
              <w:t>Demographic and death event updates do not display information for patients without pending or active orders in VBECS. Updates will occur without user input.</w:t>
            </w:r>
          </w:p>
        </w:tc>
      </w:tr>
      <w:tr w:rsidR="00D139EE" w:rsidRPr="00725902" w14:paraId="751DB836"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6D7EFF8" w14:textId="77777777" w:rsidR="00D139EE" w:rsidRDefault="00D139EE" w:rsidP="00D139EE">
            <w:pPr>
              <w:pStyle w:val="TableText"/>
            </w:pPr>
            <w:r>
              <w:t xml:space="preserve">VBECS does not notify users of additional VistA patient updates or merges while the icon is displayed. When a user views an update and there is an unprocessed patient merge, the Patient Alert icon remains on the screen until the Traditional Supervisor completes the update and clears the icon. </w:t>
            </w:r>
          </w:p>
        </w:tc>
      </w:tr>
      <w:tr w:rsidR="00D139EE" w:rsidRPr="00725902" w14:paraId="3C7C2A5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030D586" w14:textId="77777777" w:rsidR="00D139EE" w:rsidRDefault="00D139EE" w:rsidP="00D139EE">
            <w:pPr>
              <w:pStyle w:val="TableText"/>
            </w:pPr>
            <w:r>
              <w:t>When VBECS notifies a user of an update to a patient’s prefix or suffix, VBECS does not display the updated information: the user must access VistA to view the updated information.</w:t>
            </w:r>
            <w:r w:rsidRPr="00C805FB">
              <w:rPr>
                <w:vanish/>
              </w:rPr>
              <w:t xml:space="preserve"> </w:t>
            </w:r>
            <w:r>
              <w:rPr>
                <w:vanish/>
              </w:rPr>
              <w:t>DR 2,714</w:t>
            </w:r>
          </w:p>
        </w:tc>
      </w:tr>
      <w:tr w:rsidR="00195D83" w:rsidRPr="00725902" w14:paraId="5EF2038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271B323" w14:textId="77777777" w:rsidR="00195D83" w:rsidRDefault="00195D83" w:rsidP="00D139EE">
            <w:pPr>
              <w:pStyle w:val="TableText"/>
            </w:pPr>
            <w:r>
              <w:t xml:space="preserve">Suffix data may be outdated but will be refreshed upon a new order for a patient. </w:t>
            </w:r>
            <w:r w:rsidRPr="006941AE">
              <w:rPr>
                <w:vanish/>
              </w:rPr>
              <w:t>Task 447307</w:t>
            </w:r>
          </w:p>
        </w:tc>
      </w:tr>
      <w:tr w:rsidR="00E605B1" w:rsidRPr="00725902" w14:paraId="565A9D1A"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5CE4C87" w14:textId="230363D0" w:rsidR="00E605B1" w:rsidRDefault="00E605B1" w:rsidP="00D139EE">
            <w:pPr>
              <w:pStyle w:val="TableText"/>
            </w:pPr>
            <w:r w:rsidRPr="00F20F71">
              <w:t>When a VistA patient update removes a patient’s middle name</w:t>
            </w:r>
            <w:r>
              <w:t>,</w:t>
            </w:r>
            <w:r w:rsidRPr="00F20F71">
              <w:t xml:space="preserve"> VBECS displays</w:t>
            </w:r>
            <w:r>
              <w:t xml:space="preserve"> both</w:t>
            </w:r>
            <w:r w:rsidRPr="00F20F71">
              <w:t xml:space="preserve"> the Patient Name and the Previous name in the Patient Name column. The Previous Name column displays the previous name correctly.</w:t>
            </w:r>
            <w:r>
              <w:t xml:space="preserve"> Once the user c</w:t>
            </w:r>
            <w:r w:rsidRPr="00E01C7A">
              <w:t>lose</w:t>
            </w:r>
            <w:r>
              <w:t>s</w:t>
            </w:r>
            <w:r w:rsidRPr="00E01C7A">
              <w:t xml:space="preserve"> and re-open</w:t>
            </w:r>
            <w:r>
              <w:t>s the Patient Update window, t</w:t>
            </w:r>
            <w:r w:rsidRPr="00E01C7A">
              <w:t>he subsequent display of the patient information is correct.</w:t>
            </w:r>
            <w:r>
              <w:t xml:space="preserve"> </w:t>
            </w:r>
            <w:r w:rsidRPr="00E605B1">
              <w:rPr>
                <w:vanish/>
              </w:rPr>
              <w:t>Defect 209641</w:t>
            </w:r>
          </w:p>
        </w:tc>
      </w:tr>
    </w:tbl>
    <w:p w14:paraId="057E4CA2" w14:textId="77777777" w:rsidR="00C84564" w:rsidRDefault="00C84564" w:rsidP="00C845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5E7BB7" w:rsidRPr="00FA7720" w14:paraId="358E15D6" w14:textId="77777777" w:rsidTr="00D25275">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94E8D42" w14:textId="77777777" w:rsidR="005E7BB7" w:rsidRPr="00FA7720" w:rsidRDefault="005E7BB7" w:rsidP="00D25275">
            <w:pPr>
              <w:pStyle w:val="TableText"/>
              <w:rPr>
                <w:b/>
              </w:rPr>
            </w:pPr>
            <w:r>
              <w:rPr>
                <w:b/>
              </w:rPr>
              <w:t>View Special Instructions and Transfusion Requirements</w:t>
            </w:r>
          </w:p>
        </w:tc>
      </w:tr>
      <w:tr w:rsidR="005E7BB7" w:rsidRPr="00725902" w14:paraId="4251E2B5" w14:textId="77777777" w:rsidTr="00D25275">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6E88C0F" w14:textId="77777777" w:rsidR="005E7BB7" w:rsidRPr="00725902" w:rsidRDefault="005E7BB7" w:rsidP="00D25275">
            <w:pPr>
              <w:pStyle w:val="TableText"/>
            </w:pPr>
            <w:r>
              <w:t xml:space="preserve">Changing </w:t>
            </w:r>
            <w:r w:rsidRPr="00633316">
              <w:t xml:space="preserve">a patient's antigen negative requirement or antibody identified after a unit is crossmatched does not provide an alert at Issue Unit regarding the type of crossmatch </w:t>
            </w:r>
            <w:r>
              <w:t xml:space="preserve">(electronic or serologic) </w:t>
            </w:r>
            <w:r w:rsidRPr="00633316">
              <w:t xml:space="preserve">performed on </w:t>
            </w:r>
            <w:r>
              <w:t xml:space="preserve">a </w:t>
            </w:r>
            <w:r w:rsidRPr="00633316">
              <w:t>unit</w:t>
            </w:r>
            <w:r>
              <w:t xml:space="preserve"> available for issue</w:t>
            </w:r>
            <w:r w:rsidRPr="00633316">
              <w:t>.</w:t>
            </w:r>
          </w:p>
        </w:tc>
      </w:tr>
      <w:tr w:rsidR="005E7BB7" w:rsidRPr="00725902" w14:paraId="0A453118" w14:textId="77777777" w:rsidTr="00D25275">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A7309A0" w14:textId="77777777" w:rsidR="005E7BB7" w:rsidRDefault="005E7BB7" w:rsidP="00102E3E">
            <w:pPr>
              <w:pStyle w:val="TableText"/>
            </w:pPr>
            <w:r>
              <w:t xml:space="preserve">This </w:t>
            </w:r>
            <w:r w:rsidRPr="00A2186F">
              <w:t xml:space="preserve">icon </w:t>
            </w:r>
            <w:r w:rsidR="00057948">
              <w:rPr>
                <w:noProof/>
              </w:rPr>
              <w:drawing>
                <wp:inline distT="0" distB="0" distL="0" distR="0" wp14:anchorId="2FD18B47" wp14:editId="12790793">
                  <wp:extent cx="156845" cy="156845"/>
                  <wp:effectExtent l="0" t="0" r="0" b="0"/>
                  <wp:docPr id="273" name="Picture 273" descr="P17921C3T237#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P17921C3T237#yIS1">
                            <a:extLst>
                              <a:ext uri="{C183D7F6-B498-43B3-948B-1728B52AA6E4}">
                                <adec:decorative xmlns:adec="http://schemas.microsoft.com/office/drawing/2017/decorative" val="1"/>
                              </a:ext>
                            </a:extLs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A2186F">
              <w:t xml:space="preserve"> will be disabled if the icon is displayed within the patient </w:t>
            </w:r>
            <w:r w:rsidR="00102E3E">
              <w:t>search window</w:t>
            </w:r>
            <w:r w:rsidRPr="00A2186F">
              <w:t>, because special instructions and transfusion requirements are already displayed automatically. This icon will also be disabled if the icon is d</w:t>
            </w:r>
            <w:r>
              <w:t>isplayed within the patient’s SI</w:t>
            </w:r>
            <w:r w:rsidRPr="00A2186F">
              <w:t>s and TRs dialog. This icon will always be disabled if the selected patient does no</w:t>
            </w:r>
            <w:r>
              <w:t>t have SIs or TR</w:t>
            </w:r>
            <w:r w:rsidRPr="00A2186F">
              <w:t>s to display.</w:t>
            </w:r>
            <w:r w:rsidRPr="00812458">
              <w:rPr>
                <w:vanish/>
              </w:rPr>
              <w:t xml:space="preserve"> Task 606914</w:t>
            </w:r>
          </w:p>
        </w:tc>
      </w:tr>
    </w:tbl>
    <w:p w14:paraId="1B7923C3" w14:textId="77777777" w:rsidR="005E7BB7" w:rsidRDefault="005E7BB7" w:rsidP="00C845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FA7720" w14:paraId="529991B7"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15DB29B" w14:textId="77777777" w:rsidR="003F0440" w:rsidRPr="00FA7720" w:rsidRDefault="003F0440" w:rsidP="002D126B">
            <w:pPr>
              <w:pStyle w:val="TableText"/>
              <w:rPr>
                <w:b/>
              </w:rPr>
            </w:pPr>
            <w:r w:rsidRPr="00FA7720">
              <w:rPr>
                <w:b/>
              </w:rPr>
              <w:t>Workload Codes</w:t>
            </w:r>
          </w:p>
        </w:tc>
      </w:tr>
      <w:tr w:rsidR="003F0440" w:rsidRPr="00725902" w14:paraId="5D2B9D8C"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877F62A" w14:textId="77777777" w:rsidR="003F0440" w:rsidRPr="00725902" w:rsidRDefault="003F0440" w:rsidP="002D126B">
            <w:pPr>
              <w:pStyle w:val="TableText"/>
            </w:pPr>
            <w:r>
              <w:t>Transfusion-only sites must not map workload codes to processes such as ABO/Rh testing not performed on site.</w:t>
            </w:r>
          </w:p>
        </w:tc>
      </w:tr>
      <w:tr w:rsidR="003F2431" w:rsidRPr="00725902" w14:paraId="7886F3E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D47DA19" w14:textId="77777777" w:rsidR="003F2431" w:rsidRPr="003F2431" w:rsidRDefault="003F2431" w:rsidP="002D126B">
            <w:pPr>
              <w:pStyle w:val="TableText"/>
              <w:rPr>
                <w:b/>
              </w:rPr>
            </w:pPr>
            <w:r w:rsidRPr="003F2431">
              <w:t>Retrieved LMIP/NLT codes from VistA may have multiple CPT codes. Inactivating any of the associated CPT codes in VBECS will inactivate the LMIP/NLT code. Editing of the LMIP/NLT code associations must be done in VistA.</w:t>
            </w:r>
          </w:p>
        </w:tc>
      </w:tr>
      <w:tr w:rsidR="00E25C40" w:rsidRPr="00725902" w14:paraId="14B33A36"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A37AB4C" w14:textId="72DE27FF" w:rsidR="00E25C40" w:rsidRPr="003F2431" w:rsidRDefault="00E25C40" w:rsidP="002D126B">
            <w:pPr>
              <w:pStyle w:val="TableText"/>
            </w:pPr>
            <w:r>
              <w:t xml:space="preserve">Invalidating split units will result in extra workload equal to the number of splits created applied to the total number of units logged in. This occurs when split units are incorrectly processed in VBECS. </w:t>
            </w:r>
            <w:r w:rsidRPr="00E25C40">
              <w:rPr>
                <w:vanish/>
              </w:rPr>
              <w:t>Defect 209156</w:t>
            </w:r>
          </w:p>
        </w:tc>
      </w:tr>
    </w:tbl>
    <w:p w14:paraId="6C47EAD0" w14:textId="5CDF9627" w:rsidR="005C2727" w:rsidRDefault="005C2727" w:rsidP="00DD75E5">
      <w:pPr>
        <w:pStyle w:val="BodyText"/>
      </w:pPr>
    </w:p>
    <w:p w14:paraId="0890333C" w14:textId="77777777" w:rsidR="005C2727" w:rsidRDefault="005C2727">
      <w:pPr>
        <w:rPr>
          <w:sz w:val="22"/>
          <w:szCs w:val="22"/>
        </w:rPr>
      </w:pPr>
      <w:r>
        <w:br w:type="page"/>
      </w:r>
    </w:p>
    <w:p w14:paraId="3E765675" w14:textId="752D12F9" w:rsidR="000604AA" w:rsidRDefault="005C2727" w:rsidP="005C2727">
      <w:pPr>
        <w:pStyle w:val="BodyText"/>
        <w:jc w:val="center"/>
      </w:pPr>
      <w:r>
        <w:lastRenderedPageBreak/>
        <w:t>This page intentionally left blank.</w:t>
      </w:r>
    </w:p>
    <w:p w14:paraId="1E081E2F" w14:textId="77777777" w:rsidR="000E07D2" w:rsidRDefault="000E07D2" w:rsidP="004776BB">
      <w:pPr>
        <w:pStyle w:val="BodyText"/>
        <w:jc w:val="center"/>
      </w:pPr>
    </w:p>
    <w:p w14:paraId="387AA4DA" w14:textId="73E6E2CF" w:rsidR="00D9569F" w:rsidRDefault="00024989" w:rsidP="00AF2D0E">
      <w:pPr>
        <w:pStyle w:val="Heading2"/>
      </w:pPr>
      <w:r>
        <w:br w:type="page"/>
      </w:r>
      <w:bookmarkStart w:id="712" w:name="_Toc4588881"/>
      <w:r w:rsidR="00D9569F">
        <w:lastRenderedPageBreak/>
        <w:t xml:space="preserve">Appendix </w:t>
      </w:r>
      <w:r w:rsidR="001B0B0C">
        <w:rPr>
          <w:noProof/>
        </w:rPr>
        <w:t>E</w:t>
      </w:r>
      <w:r w:rsidR="00D9569F">
        <w:t>: Known Defects and Anomalies</w:t>
      </w:r>
      <w:bookmarkEnd w:id="712"/>
      <w:r w:rsidR="00681D23">
        <w:fldChar w:fldCharType="begin"/>
      </w:r>
      <w:r w:rsidR="00681D23">
        <w:instrText xml:space="preserve"> XE "</w:instrText>
      </w:r>
      <w:r w:rsidR="00681D23" w:rsidRPr="00FB2A0A">
        <w:instrText>Known Defects and Anomalies</w:instrText>
      </w:r>
      <w:r w:rsidR="00681D23">
        <w:instrText xml:space="preserve">" </w:instrText>
      </w:r>
      <w:r w:rsidR="00681D23">
        <w:fldChar w:fldCharType="end"/>
      </w:r>
    </w:p>
    <w:p w14:paraId="54130660" w14:textId="49B4D8E5" w:rsidR="00D9569F" w:rsidRDefault="00D9569F" w:rsidP="00D9569F">
      <w:pPr>
        <w:pStyle w:val="BodyText"/>
      </w:pPr>
      <w:r>
        <w:t xml:space="preserve">Copies of </w:t>
      </w:r>
      <w:r w:rsidR="00B03BDD">
        <w:rPr>
          <w:i/>
        </w:rPr>
        <w:t>VBECS 2.3.1</w:t>
      </w:r>
      <w:r w:rsidR="00E605B1" w:rsidRPr="00E605B1">
        <w:rPr>
          <w:i/>
        </w:rPr>
        <w:t xml:space="preserve"> </w:t>
      </w:r>
      <w:r w:rsidRPr="00E605B1">
        <w:rPr>
          <w:i/>
        </w:rPr>
        <w:t>Known</w:t>
      </w:r>
      <w:r>
        <w:rPr>
          <w:i/>
        </w:rPr>
        <w:t xml:space="preserve"> Defects and Anomalies</w:t>
      </w:r>
      <w:r>
        <w:t xml:space="preserve"> may be obtained from </w:t>
      </w:r>
      <w:r w:rsidR="00F20C8C">
        <w:t>the</w:t>
      </w:r>
      <w:r w:rsidR="00802EE9">
        <w:t xml:space="preserve"> VA Software Document Library W</w:t>
      </w:r>
      <w:r w:rsidR="00F20C8C">
        <w:t>eb site</w:t>
      </w:r>
      <w:r w:rsidR="0055121B">
        <w:t xml:space="preserve"> (</w:t>
      </w:r>
      <w:hyperlink r:id="rId249" w:history="1">
        <w:r w:rsidR="0055121B" w:rsidRPr="000504F1">
          <w:rPr>
            <w:rStyle w:val="Hyperlink"/>
          </w:rPr>
          <w:t>https://www.va.gov/vdl/application.asp?appid=182</w:t>
        </w:r>
      </w:hyperlink>
      <w:r w:rsidR="0055121B">
        <w:t>)</w:t>
      </w:r>
      <w:r w:rsidR="00F20C8C">
        <w:t>.</w:t>
      </w:r>
    </w:p>
    <w:p w14:paraId="78E88024" w14:textId="77777777" w:rsidR="000C342D" w:rsidRDefault="00D9569F" w:rsidP="000C342D">
      <w:pPr>
        <w:pStyle w:val="BodyText"/>
        <w:jc w:val="center"/>
      </w:pPr>
      <w:r>
        <w:br w:type="page"/>
      </w:r>
      <w:r w:rsidR="000C342D">
        <w:lastRenderedPageBreak/>
        <w:t>This page intentionally left blank.</w:t>
      </w:r>
    </w:p>
    <w:p w14:paraId="0A88DB2B" w14:textId="2070C290" w:rsidR="002A21AE" w:rsidRDefault="000C342D">
      <w:pPr>
        <w:pStyle w:val="Heading2"/>
      </w:pPr>
      <w:r>
        <w:br w:type="page"/>
      </w:r>
      <w:bookmarkStart w:id="713" w:name="_Toc4588882"/>
      <w:r w:rsidR="002A21AE">
        <w:lastRenderedPageBreak/>
        <w:t xml:space="preserve">Appendix </w:t>
      </w:r>
      <w:r w:rsidR="001B0B0C">
        <w:rPr>
          <w:noProof/>
        </w:rPr>
        <w:t>F</w:t>
      </w:r>
      <w:r w:rsidR="002A21AE">
        <w:t>: System Validation</w:t>
      </w:r>
      <w:bookmarkEnd w:id="713"/>
      <w:r w:rsidR="002A21AE">
        <w:fldChar w:fldCharType="begin"/>
      </w:r>
      <w:r w:rsidR="002A21AE">
        <w:instrText xml:space="preserve"> XE </w:instrText>
      </w:r>
      <w:r w:rsidR="00FA7E65">
        <w:instrText>“</w:instrText>
      </w:r>
      <w:r w:rsidR="002A21AE">
        <w:instrText>System Validation</w:instrText>
      </w:r>
      <w:r w:rsidR="00FA7E65">
        <w:instrText>”</w:instrText>
      </w:r>
      <w:r w:rsidR="002A21AE">
        <w:instrText xml:space="preserve"> </w:instrText>
      </w:r>
      <w:r w:rsidR="002A21AE">
        <w:fldChar w:fldCharType="end"/>
      </w:r>
    </w:p>
    <w:p w14:paraId="3F4CBE4A" w14:textId="77777777" w:rsidR="002E3C00" w:rsidRDefault="002E3C00" w:rsidP="002E3C00">
      <w:pPr>
        <w:pStyle w:val="Heading3"/>
      </w:pPr>
      <w:bookmarkStart w:id="714" w:name="_Toc114462089"/>
      <w:bookmarkStart w:id="715" w:name="_Toc4588883"/>
      <w:r>
        <w:t>Introduction</w:t>
      </w:r>
      <w:bookmarkEnd w:id="714"/>
      <w:bookmarkEnd w:id="715"/>
      <w:r w:rsidR="00E21F36">
        <w:fldChar w:fldCharType="begin"/>
      </w:r>
      <w:r w:rsidR="00E21F36">
        <w:instrText xml:space="preserve"> XE " System Validation:</w:instrText>
      </w:r>
      <w:r w:rsidR="00E21F36" w:rsidRPr="0081226B">
        <w:instrText>Introduction</w:instrText>
      </w:r>
      <w:r w:rsidR="00E21F36">
        <w:instrText xml:space="preserve">" </w:instrText>
      </w:r>
      <w:r w:rsidR="00E21F36">
        <w:fldChar w:fldCharType="end"/>
      </w:r>
    </w:p>
    <w:p w14:paraId="7E2CE329" w14:textId="77777777" w:rsidR="00AB21DA" w:rsidRDefault="00AB21DA" w:rsidP="00AB21DA">
      <w:pPr>
        <w:pStyle w:val="BodyText"/>
      </w:pPr>
      <w:r>
        <w:t>Each facility is responsible for validating</w:t>
      </w:r>
      <w:r w:rsidRPr="00437093">
        <w:t xml:space="preserve"> </w:t>
      </w:r>
      <w:r>
        <w:t xml:space="preserve">the VBECS </w:t>
      </w:r>
      <w:r w:rsidRPr="00437093">
        <w:t xml:space="preserve">installation, operation, and </w:t>
      </w:r>
      <w:r>
        <w:t>performance</w:t>
      </w:r>
      <w:r w:rsidRPr="00437093">
        <w:t xml:space="preserve"> </w:t>
      </w:r>
      <w:r>
        <w:t>before</w:t>
      </w:r>
      <w:r w:rsidRPr="00437093">
        <w:t xml:space="preserve"> using </w:t>
      </w:r>
      <w:r>
        <w:t xml:space="preserve">VBECS </w:t>
      </w:r>
      <w:r w:rsidRPr="00437093">
        <w:t>in a live (production) environment.</w:t>
      </w:r>
      <w:r>
        <w:t xml:space="preserve"> This includes evaluating</w:t>
      </w:r>
      <w:r w:rsidRPr="00437093">
        <w:t xml:space="preserve"> local intend</w:t>
      </w:r>
      <w:r>
        <w:t>ed uses of the software and</w:t>
      </w:r>
      <w:r w:rsidR="00503461">
        <w:t xml:space="preserve"> changing settings </w:t>
      </w:r>
      <w:r w:rsidRPr="00437093">
        <w:t xml:space="preserve">to conform to </w:t>
      </w:r>
      <w:r>
        <w:t>the</w:t>
      </w:r>
      <w:r w:rsidRPr="00437093">
        <w:t xml:space="preserve"> facility’s procedures, processes, and policies. Use internal operating procedures and policies to validate that the software </w:t>
      </w:r>
      <w:r>
        <w:t>performs</w:t>
      </w:r>
      <w:r w:rsidRPr="00437093">
        <w:t xml:space="preserve"> in accordan</w:t>
      </w:r>
      <w:r>
        <w:t>c</w:t>
      </w:r>
      <w:r w:rsidRPr="00437093">
        <w:t>e with your site’s parameters.</w:t>
      </w:r>
      <w:r w:rsidR="00066BE2">
        <w:t xml:space="preserve"> </w:t>
      </w:r>
      <w:r w:rsidR="00EF39BA">
        <w:t>Determine the level of validation required for c</w:t>
      </w:r>
      <w:r w:rsidR="00066BE2">
        <w:t>hanges to h</w:t>
      </w:r>
      <w:r w:rsidR="00EF39BA">
        <w:t>ardware and software</w:t>
      </w:r>
      <w:r w:rsidR="00066BE2">
        <w:t>.</w:t>
      </w:r>
    </w:p>
    <w:p w14:paraId="1B13AAA3" w14:textId="77777777" w:rsidR="0096773B" w:rsidRDefault="0096773B" w:rsidP="0096773B">
      <w:pPr>
        <w:pStyle w:val="Caution"/>
        <w:rPr>
          <w:szCs w:val="15"/>
        </w:rPr>
      </w:pPr>
      <w:r w:rsidRPr="009830A4">
        <w:t xml:space="preserve">This section describes only basic system validation. Sample test scripts are available from the </w:t>
      </w:r>
      <w:r w:rsidRPr="004002F6">
        <w:t>National Training &amp; Education Office</w:t>
      </w:r>
      <w:r w:rsidRPr="009830A4">
        <w:t xml:space="preserve"> </w:t>
      </w:r>
      <w:r>
        <w:t>(</w:t>
      </w:r>
      <w:r w:rsidRPr="009830A4">
        <w:t>NT&amp;EO</w:t>
      </w:r>
      <w:r>
        <w:t>)</w:t>
      </w:r>
      <w:r w:rsidRPr="009830A4">
        <w:t>.</w:t>
      </w:r>
    </w:p>
    <w:p w14:paraId="5C85E3BD" w14:textId="77777777" w:rsidR="009D2266" w:rsidRDefault="009D2266" w:rsidP="009D2266">
      <w:pPr>
        <w:pStyle w:val="Heading3"/>
      </w:pPr>
      <w:bookmarkStart w:id="716" w:name="_Toc4588884"/>
      <w:r>
        <w:t>Validation Plan</w:t>
      </w:r>
      <w:bookmarkEnd w:id="716"/>
      <w:r w:rsidR="00AB21DA">
        <w:fldChar w:fldCharType="begin"/>
      </w:r>
      <w:r w:rsidR="00AB21DA">
        <w:instrText xml:space="preserve"> XE " System Validation:Validation Plan" </w:instrText>
      </w:r>
      <w:r w:rsidR="00AB21DA">
        <w:fldChar w:fldCharType="end"/>
      </w:r>
    </w:p>
    <w:p w14:paraId="177EB02A" w14:textId="77777777" w:rsidR="001F3C29" w:rsidRDefault="009D2266" w:rsidP="001F3C29">
      <w:pPr>
        <w:pStyle w:val="BodyText"/>
      </w:pPr>
      <w:r w:rsidRPr="00437093">
        <w:t xml:space="preserve">Write a </w:t>
      </w:r>
      <w:r>
        <w:t>validation</w:t>
      </w:r>
      <w:r w:rsidRPr="00437093">
        <w:t xml:space="preserve"> plan</w:t>
      </w:r>
      <w:r>
        <w:t xml:space="preserve"> with clearly stated goals and strategies</w:t>
      </w:r>
      <w:r w:rsidRPr="00437093">
        <w:t xml:space="preserve"> to demonstrate that </w:t>
      </w:r>
      <w:r>
        <w:t xml:space="preserve">the system hardware, application, </w:t>
      </w:r>
      <w:r w:rsidRPr="00437093">
        <w:t>new feature</w:t>
      </w:r>
      <w:r>
        <w:t>s,</w:t>
      </w:r>
      <w:r w:rsidRPr="00437093">
        <w:t xml:space="preserve"> </w:t>
      </w:r>
      <w:r>
        <w:t>and</w:t>
      </w:r>
      <w:r w:rsidRPr="00437093">
        <w:t xml:space="preserve"> software patch</w:t>
      </w:r>
      <w:r>
        <w:t>es</w:t>
      </w:r>
      <w:r w:rsidRPr="00437093">
        <w:t xml:space="preserve"> function as expected in your facility’s environment.</w:t>
      </w:r>
      <w:r>
        <w:t xml:space="preserve"> Include descriptions of documents, hardware and software Verification &amp; Validation (V&amp;V) tools, techniques, methods, and operating and test environments to be used. </w:t>
      </w:r>
      <w:r w:rsidR="001F3C29" w:rsidRPr="00437093">
        <w:t xml:space="preserve">Determine </w:t>
      </w:r>
      <w:r w:rsidR="001F3C29">
        <w:t xml:space="preserve">and document </w:t>
      </w:r>
      <w:r w:rsidR="001F3C29" w:rsidRPr="00437093">
        <w:t>when an option is not applicable to your facilit</w:t>
      </w:r>
      <w:r w:rsidR="001F3C29">
        <w:t>y and does not require testing.</w:t>
      </w:r>
    </w:p>
    <w:p w14:paraId="72390150" w14:textId="77777777" w:rsidR="009D2266" w:rsidRDefault="009D2266" w:rsidP="001F3C29">
      <w:pPr>
        <w:pStyle w:val="BodyText"/>
      </w:pPr>
      <w:r>
        <w:t xml:space="preserve">You may separate this plan into three major sections: </w:t>
      </w:r>
    </w:p>
    <w:p w14:paraId="0FF453E6" w14:textId="77777777" w:rsidR="009D2266" w:rsidRPr="009D2266" w:rsidRDefault="009D2266" w:rsidP="009D2266">
      <w:pPr>
        <w:pStyle w:val="Heading4"/>
        <w:rPr>
          <w:vertAlign w:val="superscript"/>
        </w:rPr>
      </w:pPr>
      <w:r>
        <w:t xml:space="preserve">Installation Qualification </w:t>
      </w:r>
      <w:r w:rsidR="00AB21DA">
        <w:fldChar w:fldCharType="begin"/>
      </w:r>
      <w:r w:rsidR="00AB21DA">
        <w:instrText xml:space="preserve"> XE " System Validation:Installation Qualification" </w:instrText>
      </w:r>
      <w:r w:rsidR="00AB21DA">
        <w:fldChar w:fldCharType="end"/>
      </w:r>
    </w:p>
    <w:p w14:paraId="2B435F85" w14:textId="77777777" w:rsidR="009D2266" w:rsidRPr="009D2266" w:rsidRDefault="00AB21DA" w:rsidP="009D2266">
      <w:pPr>
        <w:pStyle w:val="BodyText"/>
        <w:rPr>
          <w:vertAlign w:val="superscript"/>
        </w:rPr>
      </w:pPr>
      <w:r>
        <w:t xml:space="preserve">The Installation Qualification (IQ) section includes </w:t>
      </w:r>
      <w:r w:rsidR="009D2266" w:rsidRPr="00437093">
        <w:t>system identification, definition of physical properties, interfaces and peripheral devices</w:t>
      </w:r>
      <w:r w:rsidR="009D2266">
        <w:t>,</w:t>
      </w:r>
      <w:r w:rsidR="009D2266" w:rsidRPr="00437093">
        <w:t xml:space="preserve"> and general functionality.</w:t>
      </w:r>
      <w:r w:rsidR="009D2266">
        <w:t xml:space="preserve"> Determine what types of testing must be done</w:t>
      </w:r>
      <w:r w:rsidR="003A7C77">
        <w:t>. C</w:t>
      </w:r>
      <w:r w:rsidR="009D2266">
        <w:t>reate test cases</w:t>
      </w:r>
      <w:r w:rsidR="009D2266" w:rsidRPr="00437093">
        <w:t xml:space="preserve"> in accordance with your </w:t>
      </w:r>
      <w:r w:rsidR="009D2266">
        <w:t>internal procedures</w:t>
      </w:r>
      <w:r w:rsidR="00F1479E">
        <w:t xml:space="preserve"> and intended use</w:t>
      </w:r>
      <w:r w:rsidR="009D2266">
        <w:t xml:space="preserve">. </w:t>
      </w:r>
    </w:p>
    <w:p w14:paraId="52B4374C" w14:textId="77777777" w:rsidR="009D2266" w:rsidRPr="009D2266" w:rsidRDefault="009D2266" w:rsidP="009D2266">
      <w:pPr>
        <w:pStyle w:val="BodyText"/>
        <w:rPr>
          <w:vertAlign w:val="superscript"/>
        </w:rPr>
      </w:pPr>
      <w:r>
        <w:t xml:space="preserve">Apply </w:t>
      </w:r>
      <w:r w:rsidRPr="00437093">
        <w:t xml:space="preserve">review, analysis, and testing techniques to determine whether </w:t>
      </w:r>
      <w:r>
        <w:t>VBECS hardware and peripheral components co</w:t>
      </w:r>
      <w:r w:rsidRPr="00437093">
        <w:t>mply with requirements</w:t>
      </w:r>
      <w:r>
        <w:t>, including</w:t>
      </w:r>
      <w:r w:rsidRPr="00437093">
        <w:t xml:space="preserve"> functionality and attributes such as consistency, safety, and security.</w:t>
      </w:r>
      <w:r>
        <w:t xml:space="preserve"> </w:t>
      </w:r>
    </w:p>
    <w:p w14:paraId="66BA5179" w14:textId="77777777" w:rsidR="009D2266" w:rsidRDefault="009D2266" w:rsidP="009D2266">
      <w:pPr>
        <w:pStyle w:val="Heading4"/>
      </w:pPr>
      <w:r>
        <w:t>Operational Qualificati</w:t>
      </w:r>
      <w:r w:rsidR="00AB21DA">
        <w:t>on</w:t>
      </w:r>
      <w:r w:rsidR="00AB21DA">
        <w:fldChar w:fldCharType="begin"/>
      </w:r>
      <w:r w:rsidR="00AB21DA">
        <w:instrText xml:space="preserve"> XE " System Validation:Operational Qualification" </w:instrText>
      </w:r>
      <w:r w:rsidR="00AB21DA">
        <w:fldChar w:fldCharType="end"/>
      </w:r>
    </w:p>
    <w:p w14:paraId="14D47A42" w14:textId="77777777" w:rsidR="008F2FBA" w:rsidRDefault="00AB21DA" w:rsidP="009D2266">
      <w:pPr>
        <w:pStyle w:val="BodyText"/>
      </w:pPr>
      <w:r>
        <w:t>The Operational Qualification (OQ) section includes</w:t>
      </w:r>
      <w:r w:rsidR="009D2266">
        <w:t xml:space="preserve"> testing the software</w:t>
      </w:r>
      <w:r w:rsidR="009C7E9A">
        <w:t xml:space="preserve"> (</w:t>
      </w:r>
      <w:r w:rsidR="009C4EA7" w:rsidRPr="00437093">
        <w:t xml:space="preserve">the </w:t>
      </w:r>
      <w:r w:rsidR="009C4EA7">
        <w:t>primary validation</w:t>
      </w:r>
      <w:r w:rsidR="009C4EA7" w:rsidRPr="00437093">
        <w:t xml:space="preserve"> activity</w:t>
      </w:r>
      <w:r w:rsidR="009C7E9A">
        <w:t>)</w:t>
      </w:r>
      <w:r w:rsidR="009D2266">
        <w:t>. Use your OQ to</w:t>
      </w:r>
      <w:r w:rsidR="009D2266" w:rsidRPr="00437093">
        <w:t xml:space="preserve"> challenge </w:t>
      </w:r>
      <w:r w:rsidR="0025598B">
        <w:t xml:space="preserve">VBECS </w:t>
      </w:r>
      <w:r w:rsidR="009D2266" w:rsidRPr="00437093">
        <w:t xml:space="preserve">and </w:t>
      </w:r>
      <w:r w:rsidR="0025598B">
        <w:t>the connection to VistA</w:t>
      </w:r>
      <w:r w:rsidR="005857F1">
        <w:t>.</w:t>
      </w:r>
      <w:r w:rsidR="009D2266" w:rsidRPr="00437093">
        <w:t xml:space="preserve"> </w:t>
      </w:r>
      <w:r w:rsidR="009D2266">
        <w:t>Base t</w:t>
      </w:r>
      <w:r w:rsidR="009D2266" w:rsidRPr="00437093">
        <w:t xml:space="preserve">he number and types of tests on the criticality of the </w:t>
      </w:r>
      <w:r w:rsidR="009D2266">
        <w:t>software function. The focus of this validation is to test the limits of what the system allows you to do, not how the system will be used.</w:t>
      </w:r>
      <w:r w:rsidR="009D2266" w:rsidRPr="009D2266">
        <w:t xml:space="preserve"> </w:t>
      </w:r>
      <w:r w:rsidR="008F2FBA">
        <w:t xml:space="preserve">Each facility will have a different level of validation based on local </w:t>
      </w:r>
      <w:r w:rsidR="00066BE2">
        <w:t>practices</w:t>
      </w:r>
      <w:r w:rsidR="008F2FBA">
        <w:t>.</w:t>
      </w:r>
    </w:p>
    <w:p w14:paraId="3662EDA6" w14:textId="77777777" w:rsidR="008F2FBA" w:rsidRDefault="009D2266" w:rsidP="009D2266">
      <w:pPr>
        <w:pStyle w:val="BodyText"/>
      </w:pPr>
      <w:r>
        <w:t>Analyze risks to ensure that</w:t>
      </w:r>
      <w:r w:rsidRPr="00437093">
        <w:t xml:space="preserve"> the scope and degree of validation</w:t>
      </w:r>
      <w:r>
        <w:t xml:space="preserve"> are</w:t>
      </w:r>
      <w:r w:rsidRPr="00437093">
        <w:t xml:space="preserve"> </w:t>
      </w:r>
      <w:r w:rsidR="00F1479E">
        <w:t>appropriate</w:t>
      </w:r>
      <w:r w:rsidRPr="00437093">
        <w:t xml:space="preserve">. </w:t>
      </w:r>
      <w:r>
        <w:t>(A</w:t>
      </w:r>
      <w:r w:rsidRPr="00437093">
        <w:t xml:space="preserve"> system </w:t>
      </w:r>
      <w:r>
        <w:t>error that may</w:t>
      </w:r>
      <w:r w:rsidRPr="00437093">
        <w:t xml:space="preserve"> result in direct and severe patient harm require</w:t>
      </w:r>
      <w:r>
        <w:t>s</w:t>
      </w:r>
      <w:r w:rsidRPr="00437093">
        <w:t xml:space="preserve"> more </w:t>
      </w:r>
      <w:r>
        <w:t>detailed and rigorous</w:t>
      </w:r>
      <w:r w:rsidRPr="00437093">
        <w:t xml:space="preserve"> </w:t>
      </w:r>
      <w:r>
        <w:t>testing than one</w:t>
      </w:r>
      <w:r w:rsidRPr="00437093">
        <w:t xml:space="preserve"> that </w:t>
      </w:r>
      <w:r>
        <w:t>may have</w:t>
      </w:r>
      <w:r w:rsidRPr="00437093">
        <w:t xml:space="preserve"> minor consequences.</w:t>
      </w:r>
      <w:r>
        <w:t xml:space="preserve">) </w:t>
      </w:r>
    </w:p>
    <w:p w14:paraId="0C43D193" w14:textId="77777777" w:rsidR="009D2266" w:rsidRDefault="009D2266" w:rsidP="009D2266">
      <w:pPr>
        <w:pStyle w:val="BodyText"/>
      </w:pPr>
      <w:r>
        <w:t>Create a t</w:t>
      </w:r>
      <w:r w:rsidRPr="00437093">
        <w:t xml:space="preserve">esting environment as </w:t>
      </w:r>
      <w:r>
        <w:t>much like</w:t>
      </w:r>
      <w:r w:rsidRPr="00437093">
        <w:t xml:space="preserve"> the production environment as possible.</w:t>
      </w:r>
      <w:r>
        <w:t xml:space="preserve"> Design t</w:t>
      </w:r>
      <w:r w:rsidRPr="00437093">
        <w:t>est case</w:t>
      </w:r>
      <w:r>
        <w:t>s to:</w:t>
      </w:r>
    </w:p>
    <w:p w14:paraId="20CBA6D5" w14:textId="77777777" w:rsidR="009D2266" w:rsidRPr="003409A2" w:rsidRDefault="009D2266" w:rsidP="009D2266">
      <w:pPr>
        <w:pStyle w:val="ListBullet"/>
      </w:pPr>
      <w:r w:rsidRPr="003409A2">
        <w:t>Address critical software functions.</w:t>
      </w:r>
    </w:p>
    <w:p w14:paraId="3FCBF639" w14:textId="77777777" w:rsidR="009D2266" w:rsidRPr="007108E9" w:rsidRDefault="009D2266" w:rsidP="009D2266">
      <w:pPr>
        <w:pStyle w:val="ListBullet"/>
      </w:pPr>
      <w:r w:rsidRPr="007108E9">
        <w:t>Detect failures and flaws.</w:t>
      </w:r>
    </w:p>
    <w:p w14:paraId="0EB1AF11" w14:textId="77777777" w:rsidR="009D2266" w:rsidRPr="00437093" w:rsidRDefault="009D2266" w:rsidP="009D2266">
      <w:pPr>
        <w:pStyle w:val="ListBullet"/>
      </w:pPr>
      <w:r w:rsidRPr="007108E9">
        <w:t xml:space="preserve">Verify and challenge system </w:t>
      </w:r>
      <w:r w:rsidR="00803E72">
        <w:t>functions and limitations</w:t>
      </w:r>
      <w:r w:rsidRPr="007108E9">
        <w:t>,</w:t>
      </w:r>
      <w:r w:rsidR="00A41AB9">
        <w:t xml:space="preserve"> and user documentation.</w:t>
      </w:r>
    </w:p>
    <w:p w14:paraId="5195E828" w14:textId="77777777" w:rsidR="009D2266" w:rsidRPr="009D2266" w:rsidRDefault="009D2266" w:rsidP="009D2266">
      <w:pPr>
        <w:pStyle w:val="BodyText"/>
      </w:pPr>
      <w:r w:rsidRPr="009D2266">
        <w:t xml:space="preserve">Verify data from VistA displayed in VBECS and data from VBECS displayed in VistA. </w:t>
      </w:r>
      <w:r w:rsidR="00BE2EB7">
        <w:t>(</w:t>
      </w:r>
      <w:r w:rsidRPr="009D2266">
        <w:t>Results will vary based on your VBECS settings.</w:t>
      </w:r>
      <w:r w:rsidR="00BE2EB7">
        <w:t>)</w:t>
      </w:r>
      <w:r w:rsidRPr="009D2266">
        <w:t xml:space="preserve"> Evaluate the output of the testing and determine whether the test passed or failed.</w:t>
      </w:r>
    </w:p>
    <w:p w14:paraId="7EF81D38" w14:textId="2C50FE23" w:rsidR="009D2266" w:rsidRPr="009D2266" w:rsidRDefault="009D2266" w:rsidP="009D2266">
      <w:pPr>
        <w:pStyle w:val="BodyText"/>
      </w:pPr>
      <w:r w:rsidRPr="009D2266">
        <w:lastRenderedPageBreak/>
        <w:t>Maintain evidence of software testing, as part of the validation record, in accordance with standards established by accrediting agencies associated with the blood bank and laboratory. Include, at minimum, your inputs, outputs, and evidence that tests performed were satisfactory or unsatisfactory. (You may record input manually, make copies of unit labels or patient information, capture screen shots</w:t>
      </w:r>
      <w:r w:rsidR="00647F4E">
        <w:rPr>
          <w:rFonts w:ascii="ZWAdobeF" w:hAnsi="ZWAdobeF" w:cs="ZWAdobeF"/>
          <w:sz w:val="2"/>
          <w:szCs w:val="2"/>
        </w:rPr>
        <w:t>8F</w:t>
      </w:r>
      <w:r w:rsidR="00BE2EB7">
        <w:rPr>
          <w:rStyle w:val="FootnoteReference"/>
        </w:rPr>
        <w:footnoteReference w:id="9"/>
      </w:r>
      <w:r w:rsidRPr="009D2266">
        <w:t xml:space="preserve"> from VistA and VBECS, print various reports, etc.)</w:t>
      </w:r>
    </w:p>
    <w:p w14:paraId="0F85F39E" w14:textId="77777777" w:rsidR="009D2266" w:rsidRDefault="00AB21DA" w:rsidP="009D2266">
      <w:pPr>
        <w:pStyle w:val="Heading4"/>
      </w:pPr>
      <w:r>
        <w:t>Performance Qualification</w:t>
      </w:r>
      <w:r>
        <w:fldChar w:fldCharType="begin"/>
      </w:r>
      <w:r>
        <w:instrText xml:space="preserve"> XE " System Validation:Performance Qualification" </w:instrText>
      </w:r>
      <w:r>
        <w:fldChar w:fldCharType="end"/>
      </w:r>
    </w:p>
    <w:p w14:paraId="20DFBB0F" w14:textId="77777777" w:rsidR="009D2266" w:rsidRDefault="00AB21DA" w:rsidP="009D2266">
      <w:pPr>
        <w:pStyle w:val="BodyText"/>
      </w:pPr>
      <w:r>
        <w:t>The Performance Qualification (PQ) section focuses</w:t>
      </w:r>
      <w:r w:rsidR="009D2266">
        <w:t xml:space="preserve"> on the integration of the application and processes into your facility. This begins with the revision of Standard Operation Procedures (SOPs) and policies to include the proper use of the new system. Once the SOPs are in place and validated, train the users. Ensure that training materials and records are complete before allowing users to operate the system. Document the validation, including:</w:t>
      </w:r>
    </w:p>
    <w:p w14:paraId="4217ECF1" w14:textId="77777777" w:rsidR="009D2266" w:rsidRPr="001124B5" w:rsidRDefault="009D2266" w:rsidP="009D2266">
      <w:pPr>
        <w:pStyle w:val="ListBullet"/>
      </w:pPr>
      <w:r>
        <w:t>P</w:t>
      </w:r>
      <w:r w:rsidRPr="001124B5">
        <w:t>ersonnel participating in validation activities</w:t>
      </w:r>
    </w:p>
    <w:p w14:paraId="2AE99FC3" w14:textId="77777777" w:rsidR="009D2266" w:rsidRDefault="009D2266" w:rsidP="009D2266">
      <w:pPr>
        <w:pStyle w:val="ListBullet"/>
      </w:pPr>
      <w:r>
        <w:t>H</w:t>
      </w:r>
      <w:r w:rsidRPr="001124B5">
        <w:t xml:space="preserve">ardware and software change </w:t>
      </w:r>
      <w:r>
        <w:t>controls</w:t>
      </w:r>
    </w:p>
    <w:p w14:paraId="5FA2B6E2" w14:textId="77777777" w:rsidR="009D2266" w:rsidRDefault="009D2266" w:rsidP="009D2266">
      <w:pPr>
        <w:pStyle w:val="ListBullet"/>
      </w:pPr>
      <w:r>
        <w:t>Testing results</w:t>
      </w:r>
    </w:p>
    <w:p w14:paraId="004EDB0A" w14:textId="77777777" w:rsidR="009D2266" w:rsidRPr="001124B5" w:rsidRDefault="009D2266" w:rsidP="009D2266">
      <w:pPr>
        <w:pStyle w:val="ListBullet"/>
      </w:pPr>
      <w:r w:rsidRPr="001124B5">
        <w:t>SOP reviews, training plans, installation and implementation</w:t>
      </w:r>
    </w:p>
    <w:p w14:paraId="6C35C76D" w14:textId="77777777" w:rsidR="009D2266" w:rsidRPr="001124B5" w:rsidRDefault="009D2266" w:rsidP="009D2266">
      <w:pPr>
        <w:pStyle w:val="ListBullet"/>
      </w:pPr>
      <w:r>
        <w:t>Evaluation and acceptance</w:t>
      </w:r>
    </w:p>
    <w:p w14:paraId="663094A9" w14:textId="77777777" w:rsidR="009D2266" w:rsidRDefault="009D2266" w:rsidP="009D2266">
      <w:pPr>
        <w:pStyle w:val="ListBullet"/>
      </w:pPr>
      <w:r>
        <w:t>R</w:t>
      </w:r>
      <w:r w:rsidRPr="001124B5">
        <w:t>eview a</w:t>
      </w:r>
      <w:r>
        <w:t>nd approval authority and dates</w:t>
      </w:r>
    </w:p>
    <w:p w14:paraId="70C40D8E" w14:textId="77777777" w:rsidR="005556BB" w:rsidRPr="00437093" w:rsidRDefault="005556BB" w:rsidP="005556BB">
      <w:pPr>
        <w:pStyle w:val="Heading3"/>
      </w:pPr>
      <w:bookmarkStart w:id="717" w:name="_Toc4588885"/>
      <w:r w:rsidRPr="00437093">
        <w:t>Prerequisites</w:t>
      </w:r>
      <w:bookmarkEnd w:id="717"/>
      <w:r>
        <w:fldChar w:fldCharType="begin"/>
      </w:r>
      <w:r>
        <w:instrText xml:space="preserve"> XE " System Validation:Prerequisites" </w:instrText>
      </w:r>
      <w:r>
        <w:fldChar w:fldCharType="end"/>
      </w:r>
    </w:p>
    <w:p w14:paraId="2C48EB96" w14:textId="77777777" w:rsidR="005556BB" w:rsidRPr="00437093" w:rsidRDefault="005556BB" w:rsidP="005556BB">
      <w:pPr>
        <w:pStyle w:val="BodyText"/>
      </w:pPr>
      <w:r w:rsidRPr="00437093">
        <w:t xml:space="preserve">Perform these tasks for test and production environments in VBECS before </w:t>
      </w:r>
      <w:r>
        <w:t>you test</w:t>
      </w:r>
      <w:r w:rsidRPr="00437093">
        <w:t xml:space="preserve"> the application:</w:t>
      </w:r>
    </w:p>
    <w:p w14:paraId="04829BA8" w14:textId="77777777" w:rsidR="005556BB" w:rsidRPr="009D2266" w:rsidRDefault="005556BB" w:rsidP="005556BB">
      <w:pPr>
        <w:pStyle w:val="ListBullet"/>
      </w:pPr>
      <w:r w:rsidRPr="009D2266">
        <w:t>Install required patches in your VistA test and production environments.</w:t>
      </w:r>
    </w:p>
    <w:p w14:paraId="219A3E6B" w14:textId="77777777" w:rsidR="005556BB" w:rsidRPr="009D2266" w:rsidRDefault="005556BB" w:rsidP="005556BB">
      <w:pPr>
        <w:pStyle w:val="ListBullet"/>
      </w:pPr>
      <w:r w:rsidRPr="009D2266">
        <w:t>Install VBECS.</w:t>
      </w:r>
    </w:p>
    <w:p w14:paraId="3559662A" w14:textId="77777777" w:rsidR="005556BB" w:rsidRDefault="005556BB" w:rsidP="005556BB">
      <w:pPr>
        <w:pStyle w:val="ListBullet"/>
      </w:pPr>
      <w:r w:rsidRPr="009D2266">
        <w:t>Complet</w:t>
      </w:r>
      <w:r w:rsidRPr="00437093">
        <w:t>e the database conversion.</w:t>
      </w:r>
    </w:p>
    <w:p w14:paraId="41B12430" w14:textId="77777777" w:rsidR="005556BB" w:rsidRPr="001124B5" w:rsidRDefault="005556BB" w:rsidP="005556BB">
      <w:pPr>
        <w:pStyle w:val="ListBullet"/>
      </w:pPr>
      <w:r>
        <w:t>Record system settings.</w:t>
      </w:r>
    </w:p>
    <w:p w14:paraId="43C6117D" w14:textId="77777777" w:rsidR="005556BB" w:rsidRDefault="00BE2EB7" w:rsidP="005556BB">
      <w:pPr>
        <w:pStyle w:val="Heading3"/>
      </w:pPr>
      <w:r>
        <w:br w:type="page"/>
      </w:r>
      <w:bookmarkStart w:id="718" w:name="_Toc4588886"/>
      <w:r w:rsidR="005556BB">
        <w:lastRenderedPageBreak/>
        <w:t>Record System Settings</w:t>
      </w:r>
      <w:bookmarkEnd w:id="718"/>
      <w:r w:rsidR="005556BB">
        <w:fldChar w:fldCharType="begin"/>
      </w:r>
      <w:r w:rsidR="005556BB">
        <w:instrText xml:space="preserve"> XE " System Validation:Record System Settings" </w:instrText>
      </w:r>
      <w:r w:rsidR="005556BB">
        <w:fldChar w:fldCharType="end"/>
      </w:r>
    </w:p>
    <w:p w14:paraId="2099D043" w14:textId="77777777" w:rsidR="00AB21DA" w:rsidRDefault="00AB21DA" w:rsidP="00AB21DA">
      <w:pPr>
        <w:pStyle w:val="BodyText"/>
        <w:rPr>
          <w:szCs w:val="15"/>
        </w:rPr>
      </w:pPr>
      <w:r>
        <w:rPr>
          <w:szCs w:val="15"/>
        </w:rPr>
        <w:t>These sections describe how to capture system settings in preparation for validation.</w:t>
      </w:r>
    </w:p>
    <w:p w14:paraId="47D76ABD" w14:textId="77777777" w:rsidR="002E3C00" w:rsidRDefault="002E3C00" w:rsidP="002E3C00">
      <w:pPr>
        <w:pStyle w:val="Heading3"/>
      </w:pPr>
      <w:bookmarkStart w:id="719" w:name="_Toc114462094"/>
      <w:bookmarkStart w:id="720" w:name="_Toc4588887"/>
      <w:r>
        <w:t>Configure Division</w:t>
      </w:r>
      <w:bookmarkEnd w:id="719"/>
      <w:bookmarkEnd w:id="720"/>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Configure Division</w:instrText>
      </w:r>
      <w:r w:rsidR="00992E88">
        <w:instrText xml:space="preserve">" </w:instrText>
      </w:r>
      <w:r w:rsidR="00992E88">
        <w:fldChar w:fldCharType="end"/>
      </w:r>
    </w:p>
    <w:p w14:paraId="2E26AAAE" w14:textId="3B44B81B" w:rsidR="002E3C00" w:rsidRDefault="002E3C00" w:rsidP="002E3C00">
      <w:pPr>
        <w:pStyle w:val="BodyText"/>
      </w:pPr>
      <w:r>
        <w:t>A user defines site parameters that affect how VBECS behaves at a specific division. VBECS may be configured to function differently at each division within a consolidated database. Site parameters may be redefined.</w:t>
      </w:r>
      <w:r w:rsidR="00250936">
        <w:t xml:space="preserve"> For more information, see </w:t>
      </w:r>
      <w:r w:rsidR="00250936">
        <w:fldChar w:fldCharType="begin" w:fldLock="1"/>
      </w:r>
      <w:r w:rsidR="00250936">
        <w:instrText xml:space="preserve"> REF _Ref508960075 \h </w:instrText>
      </w:r>
      <w:r w:rsidR="00250936">
        <w:fldChar w:fldCharType="separate"/>
      </w:r>
      <w:r w:rsidR="00AB304C">
        <w:t xml:space="preserve">Appendix </w:t>
      </w:r>
      <w:r w:rsidR="00AB304C">
        <w:rPr>
          <w:noProof/>
        </w:rPr>
        <w:t>F</w:t>
      </w:r>
      <w:r w:rsidR="00AB304C">
        <w:t>: Work Process Flowcharts</w:t>
      </w:r>
      <w:r w:rsidR="00250936">
        <w:fldChar w:fldCharType="end"/>
      </w:r>
      <w:r w:rsidR="00250936">
        <w:t>.</w:t>
      </w:r>
    </w:p>
    <w:p w14:paraId="1C6E9CC5" w14:textId="77777777" w:rsidR="002E3C00" w:rsidRDefault="002E3C00" w:rsidP="002E3C00">
      <w:pPr>
        <w:pStyle w:val="Heading4"/>
        <w:rPr>
          <w:b w:val="0"/>
        </w:rPr>
      </w:pPr>
      <w:r>
        <w:t>User Roles with Access to This Option</w:t>
      </w:r>
      <w:r>
        <w:rPr>
          <w:b w:val="0"/>
        </w:rPr>
        <w:t xml:space="preserve"> </w:t>
      </w:r>
    </w:p>
    <w:p w14:paraId="5A80F6F3" w14:textId="77777777" w:rsidR="002E3C00" w:rsidRDefault="002E3C00" w:rsidP="002E3C00">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14:paraId="208EA9C3" w14:textId="77777777" w:rsidR="002E3C00" w:rsidRDefault="00B74754" w:rsidP="002E3C00">
      <w:pPr>
        <w:pStyle w:val="Heading4"/>
      </w:pPr>
      <w:r>
        <w:t>Preparation for Testing</w:t>
      </w:r>
    </w:p>
    <w:p w14:paraId="1C135D62" w14:textId="77777777" w:rsidR="004635C9" w:rsidRDefault="002E3C00" w:rsidP="000409B1">
      <w:pPr>
        <w:pStyle w:val="ListNumber"/>
        <w:numPr>
          <w:ilvl w:val="0"/>
          <w:numId w:val="19"/>
        </w:numPr>
        <w:tabs>
          <w:tab w:val="clear" w:pos="720"/>
          <w:tab w:val="num" w:pos="360"/>
        </w:tabs>
        <w:ind w:left="360"/>
      </w:pPr>
      <w:r>
        <w:t xml:space="preserve">Select </w:t>
      </w:r>
      <w:r w:rsidRPr="00600497">
        <w:rPr>
          <w:b/>
        </w:rPr>
        <w:t>Configure Division</w:t>
      </w:r>
      <w:r>
        <w:t xml:space="preserve">. </w:t>
      </w:r>
    </w:p>
    <w:p w14:paraId="2DF22D47" w14:textId="77777777" w:rsidR="002E3C00" w:rsidRDefault="002E3C00" w:rsidP="000409B1">
      <w:pPr>
        <w:pStyle w:val="ListNumber"/>
        <w:numPr>
          <w:ilvl w:val="0"/>
          <w:numId w:val="19"/>
        </w:numPr>
        <w:tabs>
          <w:tab w:val="clear" w:pos="720"/>
          <w:tab w:val="num" w:pos="360"/>
        </w:tabs>
        <w:ind w:left="360"/>
      </w:pPr>
      <w:r>
        <w:t>Record:</w:t>
      </w:r>
    </w:p>
    <w:p w14:paraId="3EBFCADE" w14:textId="77777777" w:rsidR="00F8408D" w:rsidRPr="00010A5B" w:rsidRDefault="00F8408D" w:rsidP="009329C1">
      <w:pPr>
        <w:pStyle w:val="ListBullet"/>
        <w:tabs>
          <w:tab w:val="right" w:leader="underscore" w:pos="9360"/>
        </w:tabs>
      </w:pPr>
      <w:r w:rsidRPr="00010A5B">
        <w:t>ICCBBA registration number:</w:t>
      </w:r>
      <w:r w:rsidR="002C2290">
        <w:tab/>
      </w:r>
    </w:p>
    <w:p w14:paraId="5ED68AD3" w14:textId="77777777" w:rsidR="00010A5B" w:rsidRPr="00010A5B" w:rsidRDefault="002E3C00" w:rsidP="009329C1">
      <w:pPr>
        <w:pStyle w:val="ListBullet"/>
        <w:tabs>
          <w:tab w:val="right" w:leader="underscore" w:pos="9360"/>
        </w:tabs>
      </w:pPr>
      <w:r w:rsidRPr="00010A5B">
        <w:t>Blood Bank Medical Director</w:t>
      </w:r>
      <w:r w:rsidR="004C67FE" w:rsidRPr="00010A5B">
        <w:t>’s name</w:t>
      </w:r>
      <w:r w:rsidRPr="00010A5B">
        <w:t xml:space="preserve"> as you</w:t>
      </w:r>
      <w:r w:rsidR="00F8408D" w:rsidRPr="00010A5B">
        <w:t xml:space="preserve"> want it to appear on reports:</w:t>
      </w:r>
      <w:r w:rsidR="009329C1">
        <w:tab/>
      </w:r>
    </w:p>
    <w:p w14:paraId="6798BB3C" w14:textId="77777777" w:rsidR="002E3C00" w:rsidRDefault="002E3C00" w:rsidP="009329C1">
      <w:pPr>
        <w:pStyle w:val="ListBullet"/>
        <w:tabs>
          <w:tab w:val="right" w:leader="underscore" w:pos="9360"/>
        </w:tabs>
      </w:pPr>
      <w:r>
        <w:t>Latest expiration date (default: three days) for specimens, in accordance with l</w:t>
      </w:r>
      <w:r w:rsidR="00F8408D">
        <w:t xml:space="preserve">ocal policies and procedures: </w:t>
      </w:r>
      <w:r w:rsidR="00F8408D">
        <w:tab/>
      </w:r>
    </w:p>
    <w:p w14:paraId="6953CCED" w14:textId="77777777" w:rsidR="00F8408D" w:rsidRDefault="002E3C00" w:rsidP="000409B1">
      <w:pPr>
        <w:pStyle w:val="ListNumber"/>
        <w:numPr>
          <w:ilvl w:val="0"/>
          <w:numId w:val="19"/>
        </w:numPr>
        <w:tabs>
          <w:tab w:val="clear" w:pos="720"/>
          <w:tab w:val="num" w:pos="360"/>
          <w:tab w:val="right" w:leader="underscore" w:pos="9360"/>
        </w:tabs>
        <w:ind w:left="360"/>
      </w:pPr>
      <w:r>
        <w:t>Is your division full service (FS) or transfusion only (TO)?</w:t>
      </w:r>
      <w:r>
        <w:tab/>
      </w:r>
    </w:p>
    <w:p w14:paraId="4EE9A206" w14:textId="77777777" w:rsidR="00F8408D" w:rsidRDefault="002E3C00" w:rsidP="000409B1">
      <w:pPr>
        <w:pStyle w:val="ListNumber"/>
        <w:numPr>
          <w:ilvl w:val="0"/>
          <w:numId w:val="19"/>
        </w:numPr>
        <w:tabs>
          <w:tab w:val="clear" w:pos="720"/>
          <w:tab w:val="num" w:pos="360"/>
          <w:tab w:val="right" w:leader="underscore" w:pos="9360"/>
        </w:tabs>
        <w:ind w:left="360"/>
      </w:pPr>
      <w:r>
        <w:t xml:space="preserve">If your site does not perform </w:t>
      </w:r>
      <w:r w:rsidRPr="00FB7F8D">
        <w:t>on-site testing</w:t>
      </w:r>
      <w:r>
        <w:t>, continue at Order Alerts.</w:t>
      </w:r>
    </w:p>
    <w:p w14:paraId="73F998AB" w14:textId="77777777" w:rsidR="002E3C00" w:rsidRDefault="002E3C00" w:rsidP="000409B1">
      <w:pPr>
        <w:pStyle w:val="ListNumber"/>
        <w:numPr>
          <w:ilvl w:val="0"/>
          <w:numId w:val="19"/>
        </w:numPr>
        <w:tabs>
          <w:tab w:val="clear" w:pos="720"/>
          <w:tab w:val="num" w:pos="360"/>
          <w:tab w:val="right" w:leader="underscore" w:pos="9360"/>
        </w:tabs>
        <w:ind w:left="360"/>
      </w:pPr>
      <w:r>
        <w:t>If your division is full service, do you want to enable electronic crossmatch?</w:t>
      </w:r>
      <w:r>
        <w:tab/>
      </w:r>
    </w:p>
    <w:p w14:paraId="4962C5D1" w14:textId="77777777" w:rsidR="002E3C00" w:rsidRPr="00FB7F8D" w:rsidRDefault="002E3C00" w:rsidP="000409B1">
      <w:pPr>
        <w:pStyle w:val="ListNumber"/>
        <w:numPr>
          <w:ilvl w:val="0"/>
          <w:numId w:val="19"/>
        </w:numPr>
        <w:tabs>
          <w:tab w:val="clear" w:pos="720"/>
          <w:tab w:val="num" w:pos="360"/>
          <w:tab w:val="right" w:leader="underscore" w:pos="9360"/>
        </w:tabs>
        <w:ind w:left="360"/>
      </w:pPr>
      <w:r w:rsidRPr="00FB7F8D">
        <w:t>Print</w:t>
      </w:r>
      <w:r w:rsidR="00EB160D">
        <w:t>, sign, date,</w:t>
      </w:r>
      <w:r w:rsidRPr="00FB7F8D">
        <w:t xml:space="preserve"> and save an </w:t>
      </w:r>
      <w:r>
        <w:t>A</w:t>
      </w:r>
      <w:r w:rsidRPr="00FB7F8D">
        <w:t xml:space="preserve">udit </w:t>
      </w:r>
      <w:r>
        <w:t>Trail R</w:t>
      </w:r>
      <w:r w:rsidRPr="00FB7F8D">
        <w:t>e</w:t>
      </w:r>
      <w:r w:rsidR="00600497">
        <w:t>port for your validation record.</w:t>
      </w:r>
    </w:p>
    <w:p w14:paraId="6D4BB9C4" w14:textId="77777777" w:rsidR="002E3C00" w:rsidRDefault="002E3C00" w:rsidP="002E3C00">
      <w:pPr>
        <w:pStyle w:val="Heading3"/>
      </w:pPr>
      <w:bookmarkStart w:id="721" w:name="_Toc85895784"/>
      <w:bookmarkStart w:id="722" w:name="_Toc113264241"/>
      <w:bookmarkStart w:id="723" w:name="_Toc114462095"/>
      <w:bookmarkStart w:id="724" w:name="_Toc4588888"/>
      <w:r w:rsidRPr="00FB7F8D">
        <w:t>Configure Testi</w:t>
      </w:r>
      <w:r>
        <w:t>ng: Full Service</w:t>
      </w:r>
      <w:bookmarkEnd w:id="721"/>
      <w:bookmarkEnd w:id="722"/>
      <w:bookmarkEnd w:id="723"/>
      <w:bookmarkEnd w:id="724"/>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Configure Testing\: Full Service</w:instrText>
      </w:r>
      <w:r w:rsidR="00992E88">
        <w:instrText xml:space="preserve">" </w:instrText>
      </w:r>
      <w:r w:rsidR="00992E88">
        <w:fldChar w:fldCharType="end"/>
      </w:r>
    </w:p>
    <w:p w14:paraId="0D22820D" w14:textId="5189BD09" w:rsidR="002E3C00" w:rsidRPr="007970BE" w:rsidRDefault="002E3C00" w:rsidP="002E3C00">
      <w:pPr>
        <w:pStyle w:val="BodyText"/>
      </w:pPr>
      <w:r>
        <w:t>The user sets testing preferences in accordance with a division’s medical policies.</w:t>
      </w:r>
      <w:r w:rsidR="000150E9">
        <w:t xml:space="preserve"> For more information, see </w:t>
      </w:r>
      <w:r w:rsidR="000150E9">
        <w:fldChar w:fldCharType="begin" w:fldLock="1"/>
      </w:r>
      <w:r w:rsidR="000150E9">
        <w:instrText xml:space="preserve"> REF _Ref508960075 \h </w:instrText>
      </w:r>
      <w:r w:rsidR="000150E9">
        <w:fldChar w:fldCharType="separate"/>
      </w:r>
      <w:r w:rsidR="00AB304C">
        <w:t xml:space="preserve">Appendix </w:t>
      </w:r>
      <w:r w:rsidR="00AB304C">
        <w:rPr>
          <w:noProof/>
        </w:rPr>
        <w:t>F</w:t>
      </w:r>
      <w:r w:rsidR="00AB304C">
        <w:t>: Work Process Flowcharts</w:t>
      </w:r>
      <w:r w:rsidR="000150E9">
        <w:fldChar w:fldCharType="end"/>
      </w:r>
      <w:r w:rsidR="000150E9">
        <w:t>.</w:t>
      </w:r>
    </w:p>
    <w:p w14:paraId="7FE3EB49" w14:textId="77777777" w:rsidR="002E3C00" w:rsidRDefault="002E3C00" w:rsidP="002E3C00">
      <w:pPr>
        <w:pStyle w:val="Heading4"/>
        <w:rPr>
          <w:b w:val="0"/>
        </w:rPr>
      </w:pPr>
      <w:r>
        <w:t>User Roles with Access to This Option</w:t>
      </w:r>
      <w:r>
        <w:rPr>
          <w:b w:val="0"/>
        </w:rPr>
        <w:t xml:space="preserve"> </w:t>
      </w:r>
    </w:p>
    <w:p w14:paraId="65C6430F" w14:textId="77777777" w:rsidR="002E3C00"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r>
        <w:rPr>
          <w:snapToGrid w:val="0"/>
        </w:rPr>
        <w:t xml:space="preserve"> </w:t>
      </w:r>
    </w:p>
    <w:p w14:paraId="020773E4" w14:textId="77777777" w:rsidR="002E3C00" w:rsidRDefault="00B74754" w:rsidP="002E3C00">
      <w:pPr>
        <w:pStyle w:val="Heading4"/>
      </w:pPr>
      <w:r>
        <w:t>Preparation for Testing</w:t>
      </w:r>
    </w:p>
    <w:p w14:paraId="72F59258" w14:textId="77777777" w:rsidR="002E3C00" w:rsidRPr="00600497" w:rsidRDefault="002E3C00" w:rsidP="000409B1">
      <w:pPr>
        <w:pStyle w:val="ListNumber"/>
        <w:numPr>
          <w:ilvl w:val="0"/>
          <w:numId w:val="20"/>
        </w:numPr>
        <w:tabs>
          <w:tab w:val="clear" w:pos="720"/>
          <w:tab w:val="num" w:pos="360"/>
        </w:tabs>
        <w:ind w:left="360"/>
      </w:pPr>
      <w:r>
        <w:t>S</w:t>
      </w:r>
      <w:r w:rsidRPr="00600497">
        <w:t>et testing preferences.</w:t>
      </w:r>
    </w:p>
    <w:p w14:paraId="51FC33BB" w14:textId="77777777" w:rsidR="002E3C00" w:rsidRPr="00600497" w:rsidRDefault="002E3C00" w:rsidP="000409B1">
      <w:pPr>
        <w:pStyle w:val="ListNumber"/>
        <w:numPr>
          <w:ilvl w:val="0"/>
          <w:numId w:val="20"/>
        </w:numPr>
        <w:tabs>
          <w:tab w:val="clear" w:pos="720"/>
          <w:tab w:val="num" w:pos="360"/>
        </w:tabs>
        <w:ind w:left="360"/>
      </w:pPr>
      <w:r w:rsidRPr="00600497">
        <w:t>Capture and save a screen shot of each piece of information.</w:t>
      </w:r>
    </w:p>
    <w:p w14:paraId="53595DC8" w14:textId="77777777" w:rsidR="00232E43" w:rsidRPr="00FB7F8D" w:rsidRDefault="00232E43" w:rsidP="000409B1">
      <w:pPr>
        <w:pStyle w:val="ListNumber"/>
        <w:numPr>
          <w:ilvl w:val="0"/>
          <w:numId w:val="20"/>
        </w:numPr>
        <w:tabs>
          <w:tab w:val="clear" w:pos="720"/>
          <w:tab w:val="num" w:pos="360"/>
        </w:tabs>
        <w:ind w:left="360"/>
      </w:pPr>
      <w:bookmarkStart w:id="725" w:name="_Toc85895786"/>
      <w:bookmarkStart w:id="726" w:name="_Toc113264243"/>
      <w:bookmarkStart w:id="727" w:name="_Toc114462096"/>
      <w:bookmarkStart w:id="728" w:name="_Toc85895785"/>
      <w:bookmarkStart w:id="729" w:name="_Toc113264242"/>
      <w:r w:rsidRPr="00600497">
        <w:t xml:space="preserve">Print, </w:t>
      </w:r>
      <w:r>
        <w:t>sign, date,</w:t>
      </w:r>
      <w:r w:rsidRPr="00FB7F8D">
        <w:t xml:space="preserve"> and save an </w:t>
      </w:r>
      <w:r>
        <w:t>A</w:t>
      </w:r>
      <w:r w:rsidRPr="00FB7F8D">
        <w:t xml:space="preserve">udit </w:t>
      </w:r>
      <w:r>
        <w:t>Trail R</w:t>
      </w:r>
      <w:r w:rsidRPr="00FB7F8D">
        <w:t>eport for your validation record.</w:t>
      </w:r>
    </w:p>
    <w:p w14:paraId="266F9B1F" w14:textId="77777777" w:rsidR="002E3C00" w:rsidRDefault="007F0132" w:rsidP="002E3C00">
      <w:pPr>
        <w:pStyle w:val="Heading3"/>
      </w:pPr>
      <w:r>
        <w:br w:type="page"/>
      </w:r>
      <w:bookmarkStart w:id="730" w:name="_Toc4588889"/>
      <w:r w:rsidR="002E3C00">
        <w:lastRenderedPageBreak/>
        <w:t>Product Modifications</w:t>
      </w:r>
      <w:bookmarkEnd w:id="725"/>
      <w:bookmarkEnd w:id="726"/>
      <w:r w:rsidR="002E3C00">
        <w:t>: Full Service</w:t>
      </w:r>
      <w:bookmarkEnd w:id="727"/>
      <w:bookmarkEnd w:id="730"/>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Product Modifications\: Full Service</w:instrText>
      </w:r>
      <w:r w:rsidR="00992E88">
        <w:instrText xml:space="preserve">" </w:instrText>
      </w:r>
      <w:r w:rsidR="00992E88">
        <w:fldChar w:fldCharType="end"/>
      </w:r>
    </w:p>
    <w:p w14:paraId="229EC975" w14:textId="0CC3D40F" w:rsidR="002E3C00" w:rsidRPr="007970BE" w:rsidRDefault="002E3C00" w:rsidP="002E3C00">
      <w:pPr>
        <w:pStyle w:val="BodyText"/>
      </w:pPr>
      <w:r>
        <w:t>The user enables the types of modifications made at a division.</w:t>
      </w:r>
      <w:r w:rsidR="008D2779">
        <w:t xml:space="preserve"> For more information, see </w:t>
      </w:r>
      <w:r w:rsidR="008D2779">
        <w:fldChar w:fldCharType="begin" w:fldLock="1"/>
      </w:r>
      <w:r w:rsidR="008D2779">
        <w:instrText xml:space="preserve"> REF _Ref508960075 \h </w:instrText>
      </w:r>
      <w:r w:rsidR="008D2779">
        <w:fldChar w:fldCharType="separate"/>
      </w:r>
      <w:r w:rsidR="00AB304C">
        <w:t xml:space="preserve">Appendix </w:t>
      </w:r>
      <w:r w:rsidR="00AB304C">
        <w:rPr>
          <w:noProof/>
        </w:rPr>
        <w:t>F</w:t>
      </w:r>
      <w:r w:rsidR="00AB304C">
        <w:t>: Work Process Flowcharts</w:t>
      </w:r>
      <w:r w:rsidR="008D2779">
        <w:fldChar w:fldCharType="end"/>
      </w:r>
      <w:r w:rsidR="008D2779">
        <w:t>.</w:t>
      </w:r>
    </w:p>
    <w:p w14:paraId="40A35523" w14:textId="77777777" w:rsidR="002E3C00" w:rsidRDefault="002E3C00" w:rsidP="002E3C00">
      <w:pPr>
        <w:pStyle w:val="Heading4"/>
        <w:rPr>
          <w:b w:val="0"/>
        </w:rPr>
      </w:pPr>
      <w:r>
        <w:t>User Roles with Access to This Option</w:t>
      </w:r>
      <w:r>
        <w:rPr>
          <w:b w:val="0"/>
        </w:rPr>
        <w:t xml:space="preserve"> </w:t>
      </w:r>
    </w:p>
    <w:p w14:paraId="5505EC11" w14:textId="77777777" w:rsidR="002E3C00" w:rsidRPr="00B22CCD"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r>
        <w:rPr>
          <w:snapToGrid w:val="0"/>
        </w:rPr>
        <w:t xml:space="preserve"> </w:t>
      </w:r>
    </w:p>
    <w:p w14:paraId="5F3E2589" w14:textId="77777777" w:rsidR="002E3C00" w:rsidRDefault="00B74754" w:rsidP="002E3C00">
      <w:pPr>
        <w:pStyle w:val="Heading4"/>
      </w:pPr>
      <w:r>
        <w:t>Preparation for Testing</w:t>
      </w:r>
    </w:p>
    <w:p w14:paraId="6E32DF0B" w14:textId="77777777" w:rsidR="002E3C00" w:rsidRDefault="002E3C00" w:rsidP="002E3C00">
      <w:pPr>
        <w:pStyle w:val="BodyText"/>
      </w:pPr>
      <w:r>
        <w:t>Modification processes are disabled by default. You must activate modification types performed at your facility. You may select none, some, or all. Enter a processing cost for each modification type, as applicable. You may update these settings later.</w:t>
      </w:r>
    </w:p>
    <w:p w14:paraId="30A3A6E0" w14:textId="15ECC331" w:rsidR="002E3C00" w:rsidRDefault="002E3C00" w:rsidP="00AD60CF">
      <w:pPr>
        <w:pStyle w:val="Caption"/>
        <w:ind w:left="288" w:hanging="288"/>
      </w:pPr>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647F4E">
        <w:rPr>
          <w:noProof/>
        </w:rPr>
        <w:t>28</w:t>
      </w:r>
      <w:r w:rsidR="004E20BD">
        <w:rPr>
          <w:noProof/>
        </w:rPr>
        <w:fldChar w:fldCharType="end"/>
      </w:r>
      <w:r>
        <w:t>: Modification Types and Costs</w:t>
      </w:r>
      <w:r w:rsidR="00AD60CF">
        <w:fldChar w:fldCharType="begin"/>
      </w:r>
      <w:r w:rsidR="00AD60CF">
        <w:instrText xml:space="preserve"> XE "Tables:</w:instrText>
      </w:r>
      <w:r w:rsidR="00AD60CF" w:rsidRPr="0046419F">
        <w:instrText>Modification Types and Costs</w:instrText>
      </w:r>
      <w:r w:rsidR="00AD60CF">
        <w:instrText xml:space="preserve">" </w:instrText>
      </w:r>
      <w:r w:rsidR="00AD60CF">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440"/>
        <w:gridCol w:w="1440"/>
        <w:gridCol w:w="1440"/>
      </w:tblGrid>
      <w:tr w:rsidR="002E3C00" w:rsidRPr="00020DA9" w14:paraId="696AE1E5" w14:textId="77777777">
        <w:trPr>
          <w:cantSplit/>
          <w:tblHeader/>
        </w:trPr>
        <w:tc>
          <w:tcPr>
            <w:tcW w:w="2160" w:type="dxa"/>
            <w:vMerge w:val="restart"/>
            <w:shd w:val="clear" w:color="auto" w:fill="B3B3B3"/>
            <w:vAlign w:val="bottom"/>
          </w:tcPr>
          <w:p w14:paraId="1145BF36" w14:textId="77777777" w:rsidR="002E3C00" w:rsidRPr="00020DA9" w:rsidRDefault="002E3C00" w:rsidP="002E3C00">
            <w:pPr>
              <w:pStyle w:val="TableText"/>
              <w:rPr>
                <w:b/>
              </w:rPr>
            </w:pPr>
            <w:r w:rsidRPr="00020DA9">
              <w:rPr>
                <w:b/>
              </w:rPr>
              <w:t>Modification Type</w:t>
            </w:r>
          </w:p>
        </w:tc>
        <w:tc>
          <w:tcPr>
            <w:tcW w:w="1440" w:type="dxa"/>
            <w:gridSpan w:val="2"/>
            <w:shd w:val="clear" w:color="auto" w:fill="B3B3B3"/>
            <w:vAlign w:val="bottom"/>
          </w:tcPr>
          <w:p w14:paraId="3BC53A4F" w14:textId="77777777" w:rsidR="002E3C00" w:rsidRPr="00020DA9" w:rsidRDefault="002E3C00" w:rsidP="003B2CDC">
            <w:pPr>
              <w:pStyle w:val="TableText"/>
              <w:jc w:val="center"/>
              <w:rPr>
                <w:b/>
              </w:rPr>
            </w:pPr>
            <w:r>
              <w:rPr>
                <w:b/>
              </w:rPr>
              <w:t>Modification Processes</w:t>
            </w:r>
          </w:p>
        </w:tc>
        <w:tc>
          <w:tcPr>
            <w:tcW w:w="1440" w:type="dxa"/>
            <w:vMerge w:val="restart"/>
            <w:shd w:val="clear" w:color="auto" w:fill="B3B3B3"/>
            <w:vAlign w:val="bottom"/>
          </w:tcPr>
          <w:p w14:paraId="185AAB50" w14:textId="77777777" w:rsidR="002E3C00" w:rsidRPr="00020DA9" w:rsidRDefault="002E3C00" w:rsidP="002E3C00">
            <w:pPr>
              <w:pStyle w:val="TableText"/>
              <w:rPr>
                <w:b/>
              </w:rPr>
            </w:pPr>
            <w:r>
              <w:rPr>
                <w:b/>
              </w:rPr>
              <w:t xml:space="preserve">Processing </w:t>
            </w:r>
            <w:r w:rsidRPr="00020DA9">
              <w:rPr>
                <w:b/>
              </w:rPr>
              <w:t>Cost</w:t>
            </w:r>
          </w:p>
        </w:tc>
      </w:tr>
      <w:tr w:rsidR="002E3C00" w:rsidRPr="00020DA9" w14:paraId="495177D7" w14:textId="77777777">
        <w:trPr>
          <w:cantSplit/>
          <w:tblHeader/>
        </w:trPr>
        <w:tc>
          <w:tcPr>
            <w:tcW w:w="2160" w:type="dxa"/>
            <w:vMerge/>
            <w:shd w:val="clear" w:color="auto" w:fill="B3B3B3"/>
          </w:tcPr>
          <w:p w14:paraId="4468F31F" w14:textId="77777777" w:rsidR="002E3C00" w:rsidRPr="00020DA9" w:rsidRDefault="002E3C00" w:rsidP="002E3C00">
            <w:pPr>
              <w:pStyle w:val="TableText"/>
              <w:rPr>
                <w:b/>
              </w:rPr>
            </w:pPr>
          </w:p>
        </w:tc>
        <w:tc>
          <w:tcPr>
            <w:tcW w:w="1440" w:type="dxa"/>
            <w:shd w:val="clear" w:color="auto" w:fill="B3B3B3"/>
          </w:tcPr>
          <w:p w14:paraId="0943B971" w14:textId="77777777" w:rsidR="002E3C00" w:rsidRPr="00020DA9" w:rsidRDefault="002E3C00" w:rsidP="002E3C00">
            <w:pPr>
              <w:pStyle w:val="TableText"/>
              <w:rPr>
                <w:b/>
              </w:rPr>
            </w:pPr>
            <w:r w:rsidRPr="00020DA9">
              <w:rPr>
                <w:b/>
              </w:rPr>
              <w:t>Enabled</w:t>
            </w:r>
          </w:p>
        </w:tc>
        <w:tc>
          <w:tcPr>
            <w:tcW w:w="1440" w:type="dxa"/>
            <w:shd w:val="clear" w:color="auto" w:fill="B3B3B3"/>
          </w:tcPr>
          <w:p w14:paraId="062DDAFA" w14:textId="77777777" w:rsidR="002E3C00" w:rsidRPr="00020DA9" w:rsidRDefault="002E3C00" w:rsidP="002E3C00">
            <w:pPr>
              <w:pStyle w:val="TableText"/>
              <w:rPr>
                <w:b/>
              </w:rPr>
            </w:pPr>
            <w:r w:rsidRPr="00020DA9">
              <w:rPr>
                <w:b/>
              </w:rPr>
              <w:t>Disabled</w:t>
            </w:r>
          </w:p>
        </w:tc>
        <w:tc>
          <w:tcPr>
            <w:tcW w:w="1440" w:type="dxa"/>
            <w:vMerge/>
            <w:shd w:val="clear" w:color="auto" w:fill="B3B3B3"/>
          </w:tcPr>
          <w:p w14:paraId="283661C5" w14:textId="77777777" w:rsidR="002E3C00" w:rsidRPr="00020DA9" w:rsidRDefault="002E3C00" w:rsidP="002E3C00">
            <w:pPr>
              <w:pStyle w:val="TableText"/>
              <w:rPr>
                <w:b/>
              </w:rPr>
            </w:pPr>
          </w:p>
        </w:tc>
      </w:tr>
      <w:tr w:rsidR="002E3C00" w14:paraId="608696F1" w14:textId="77777777">
        <w:trPr>
          <w:cantSplit/>
        </w:trPr>
        <w:tc>
          <w:tcPr>
            <w:tcW w:w="2160" w:type="dxa"/>
          </w:tcPr>
          <w:p w14:paraId="556F5290" w14:textId="77777777" w:rsidR="002E3C00" w:rsidRDefault="002E3C00" w:rsidP="002E3C00">
            <w:pPr>
              <w:pStyle w:val="TableText"/>
            </w:pPr>
            <w:r>
              <w:t>Thaw</w:t>
            </w:r>
          </w:p>
        </w:tc>
        <w:tc>
          <w:tcPr>
            <w:tcW w:w="1440" w:type="dxa"/>
          </w:tcPr>
          <w:p w14:paraId="2ABF47E3" w14:textId="77777777" w:rsidR="002E3C00" w:rsidRDefault="002E3C00" w:rsidP="002E3C00">
            <w:pPr>
              <w:pStyle w:val="TableText"/>
            </w:pPr>
          </w:p>
        </w:tc>
        <w:tc>
          <w:tcPr>
            <w:tcW w:w="1440" w:type="dxa"/>
          </w:tcPr>
          <w:p w14:paraId="0735A6AF" w14:textId="77777777" w:rsidR="002E3C00" w:rsidRDefault="002E3C00" w:rsidP="002E3C00">
            <w:pPr>
              <w:pStyle w:val="TableText"/>
            </w:pPr>
          </w:p>
        </w:tc>
        <w:tc>
          <w:tcPr>
            <w:tcW w:w="1440" w:type="dxa"/>
          </w:tcPr>
          <w:p w14:paraId="30484B89" w14:textId="77777777" w:rsidR="002E3C00" w:rsidRDefault="002E3C00" w:rsidP="002E3C00">
            <w:pPr>
              <w:pStyle w:val="TableText"/>
            </w:pPr>
          </w:p>
        </w:tc>
      </w:tr>
      <w:tr w:rsidR="002E3C00" w14:paraId="62717EA5" w14:textId="77777777">
        <w:trPr>
          <w:cantSplit/>
        </w:trPr>
        <w:tc>
          <w:tcPr>
            <w:tcW w:w="2160" w:type="dxa"/>
          </w:tcPr>
          <w:p w14:paraId="26598307" w14:textId="77777777" w:rsidR="002E3C00" w:rsidRDefault="002E3C00" w:rsidP="002E3C00">
            <w:pPr>
              <w:pStyle w:val="TableText"/>
            </w:pPr>
            <w:r>
              <w:t xml:space="preserve">Pool </w:t>
            </w:r>
          </w:p>
        </w:tc>
        <w:tc>
          <w:tcPr>
            <w:tcW w:w="1440" w:type="dxa"/>
          </w:tcPr>
          <w:p w14:paraId="53047776" w14:textId="77777777" w:rsidR="002E3C00" w:rsidRDefault="002E3C00" w:rsidP="002E3C00">
            <w:pPr>
              <w:pStyle w:val="TableText"/>
            </w:pPr>
          </w:p>
        </w:tc>
        <w:tc>
          <w:tcPr>
            <w:tcW w:w="1440" w:type="dxa"/>
          </w:tcPr>
          <w:p w14:paraId="6D67D47D" w14:textId="77777777" w:rsidR="002E3C00" w:rsidRDefault="002E3C00" w:rsidP="002E3C00">
            <w:pPr>
              <w:pStyle w:val="TableText"/>
            </w:pPr>
          </w:p>
        </w:tc>
        <w:tc>
          <w:tcPr>
            <w:tcW w:w="1440" w:type="dxa"/>
          </w:tcPr>
          <w:p w14:paraId="434FAB75" w14:textId="77777777" w:rsidR="002E3C00" w:rsidRDefault="002E3C00" w:rsidP="002E3C00">
            <w:pPr>
              <w:pStyle w:val="TableText"/>
            </w:pPr>
          </w:p>
        </w:tc>
      </w:tr>
      <w:tr w:rsidR="002E3C00" w14:paraId="6EDBEAD7" w14:textId="77777777">
        <w:trPr>
          <w:cantSplit/>
        </w:trPr>
        <w:tc>
          <w:tcPr>
            <w:tcW w:w="2160" w:type="dxa"/>
          </w:tcPr>
          <w:p w14:paraId="3714634C" w14:textId="77777777" w:rsidR="002E3C00" w:rsidRDefault="002E3C00" w:rsidP="002E3C00">
            <w:pPr>
              <w:pStyle w:val="TableText"/>
            </w:pPr>
            <w:r>
              <w:t>Thaw/Pool Cryo</w:t>
            </w:r>
          </w:p>
        </w:tc>
        <w:tc>
          <w:tcPr>
            <w:tcW w:w="1440" w:type="dxa"/>
          </w:tcPr>
          <w:p w14:paraId="24322EE8" w14:textId="77777777" w:rsidR="002E3C00" w:rsidRDefault="002E3C00" w:rsidP="002E3C00">
            <w:pPr>
              <w:pStyle w:val="TableText"/>
            </w:pPr>
          </w:p>
        </w:tc>
        <w:tc>
          <w:tcPr>
            <w:tcW w:w="1440" w:type="dxa"/>
          </w:tcPr>
          <w:p w14:paraId="343E3B05" w14:textId="77777777" w:rsidR="002E3C00" w:rsidRDefault="002E3C00" w:rsidP="002E3C00">
            <w:pPr>
              <w:pStyle w:val="TableText"/>
            </w:pPr>
          </w:p>
        </w:tc>
        <w:tc>
          <w:tcPr>
            <w:tcW w:w="1440" w:type="dxa"/>
          </w:tcPr>
          <w:p w14:paraId="526B0642" w14:textId="77777777" w:rsidR="002E3C00" w:rsidRDefault="002E3C00" w:rsidP="002E3C00">
            <w:pPr>
              <w:pStyle w:val="TableText"/>
            </w:pPr>
          </w:p>
        </w:tc>
      </w:tr>
      <w:tr w:rsidR="002E3C00" w14:paraId="2F4BABEA" w14:textId="77777777">
        <w:trPr>
          <w:cantSplit/>
        </w:trPr>
        <w:tc>
          <w:tcPr>
            <w:tcW w:w="2160" w:type="dxa"/>
          </w:tcPr>
          <w:p w14:paraId="05CD2448" w14:textId="77777777" w:rsidR="002E3C00" w:rsidRDefault="002E3C00" w:rsidP="002E3C00">
            <w:pPr>
              <w:pStyle w:val="TableText"/>
            </w:pPr>
            <w:r>
              <w:t>Split/Divide</w:t>
            </w:r>
          </w:p>
        </w:tc>
        <w:tc>
          <w:tcPr>
            <w:tcW w:w="1440" w:type="dxa"/>
          </w:tcPr>
          <w:p w14:paraId="29F5A078" w14:textId="77777777" w:rsidR="002E3C00" w:rsidRDefault="002E3C00" w:rsidP="002E3C00">
            <w:pPr>
              <w:pStyle w:val="TableText"/>
            </w:pPr>
          </w:p>
        </w:tc>
        <w:tc>
          <w:tcPr>
            <w:tcW w:w="1440" w:type="dxa"/>
          </w:tcPr>
          <w:p w14:paraId="4F19EBEB" w14:textId="77777777" w:rsidR="002E3C00" w:rsidRDefault="002E3C00" w:rsidP="002E3C00">
            <w:pPr>
              <w:pStyle w:val="TableText"/>
            </w:pPr>
          </w:p>
        </w:tc>
        <w:tc>
          <w:tcPr>
            <w:tcW w:w="1440" w:type="dxa"/>
          </w:tcPr>
          <w:p w14:paraId="307C656C" w14:textId="77777777" w:rsidR="002E3C00" w:rsidRDefault="002E3C00" w:rsidP="002E3C00">
            <w:pPr>
              <w:pStyle w:val="TableText"/>
            </w:pPr>
          </w:p>
        </w:tc>
      </w:tr>
      <w:tr w:rsidR="002E3C00" w14:paraId="1B87C748" w14:textId="77777777">
        <w:trPr>
          <w:cantSplit/>
        </w:trPr>
        <w:tc>
          <w:tcPr>
            <w:tcW w:w="2160" w:type="dxa"/>
          </w:tcPr>
          <w:p w14:paraId="050EF505" w14:textId="77777777" w:rsidR="002E3C00" w:rsidRDefault="002E3C00" w:rsidP="002E3C00">
            <w:pPr>
              <w:pStyle w:val="TableText"/>
            </w:pPr>
            <w:r>
              <w:t>Irradiate</w:t>
            </w:r>
          </w:p>
        </w:tc>
        <w:tc>
          <w:tcPr>
            <w:tcW w:w="1440" w:type="dxa"/>
          </w:tcPr>
          <w:p w14:paraId="29DA7F75" w14:textId="77777777" w:rsidR="002E3C00" w:rsidRDefault="002E3C00" w:rsidP="002E3C00">
            <w:pPr>
              <w:pStyle w:val="TableText"/>
            </w:pPr>
          </w:p>
        </w:tc>
        <w:tc>
          <w:tcPr>
            <w:tcW w:w="1440" w:type="dxa"/>
          </w:tcPr>
          <w:p w14:paraId="3E587FA6" w14:textId="77777777" w:rsidR="002E3C00" w:rsidRDefault="002E3C00" w:rsidP="002E3C00">
            <w:pPr>
              <w:pStyle w:val="TableText"/>
            </w:pPr>
          </w:p>
        </w:tc>
        <w:tc>
          <w:tcPr>
            <w:tcW w:w="1440" w:type="dxa"/>
          </w:tcPr>
          <w:p w14:paraId="6425DC78" w14:textId="77777777" w:rsidR="002E3C00" w:rsidRDefault="002E3C00" w:rsidP="002E3C00">
            <w:pPr>
              <w:pStyle w:val="TableText"/>
            </w:pPr>
          </w:p>
        </w:tc>
      </w:tr>
      <w:tr w:rsidR="002E3C00" w14:paraId="43B1EF78" w14:textId="77777777">
        <w:trPr>
          <w:cantSplit/>
        </w:trPr>
        <w:tc>
          <w:tcPr>
            <w:tcW w:w="2160" w:type="dxa"/>
          </w:tcPr>
          <w:p w14:paraId="42F4C6E9" w14:textId="77777777" w:rsidR="002E3C00" w:rsidRDefault="002E3C00" w:rsidP="002E3C00">
            <w:pPr>
              <w:pStyle w:val="TableText"/>
            </w:pPr>
            <w:r>
              <w:t xml:space="preserve">Leukoreduce </w:t>
            </w:r>
          </w:p>
        </w:tc>
        <w:tc>
          <w:tcPr>
            <w:tcW w:w="1440" w:type="dxa"/>
          </w:tcPr>
          <w:p w14:paraId="437FA37F" w14:textId="77777777" w:rsidR="002E3C00" w:rsidRDefault="002E3C00" w:rsidP="002E3C00">
            <w:pPr>
              <w:pStyle w:val="TableText"/>
            </w:pPr>
          </w:p>
        </w:tc>
        <w:tc>
          <w:tcPr>
            <w:tcW w:w="1440" w:type="dxa"/>
          </w:tcPr>
          <w:p w14:paraId="12B02A96" w14:textId="77777777" w:rsidR="002E3C00" w:rsidRDefault="002E3C00" w:rsidP="002E3C00">
            <w:pPr>
              <w:pStyle w:val="TableText"/>
            </w:pPr>
          </w:p>
        </w:tc>
        <w:tc>
          <w:tcPr>
            <w:tcW w:w="1440" w:type="dxa"/>
          </w:tcPr>
          <w:p w14:paraId="0B5E821B" w14:textId="77777777" w:rsidR="002E3C00" w:rsidRDefault="002E3C00" w:rsidP="002E3C00">
            <w:pPr>
              <w:pStyle w:val="TableText"/>
            </w:pPr>
          </w:p>
        </w:tc>
      </w:tr>
      <w:tr w:rsidR="002E3C00" w14:paraId="287B1CD8" w14:textId="77777777">
        <w:trPr>
          <w:cantSplit/>
        </w:trPr>
        <w:tc>
          <w:tcPr>
            <w:tcW w:w="2160" w:type="dxa"/>
          </w:tcPr>
          <w:p w14:paraId="1C3CA823" w14:textId="77777777" w:rsidR="002E3C00" w:rsidRDefault="002E3C00" w:rsidP="002E3C00">
            <w:pPr>
              <w:pStyle w:val="TableText"/>
            </w:pPr>
            <w:r>
              <w:t xml:space="preserve">Volume </w:t>
            </w:r>
            <w:r w:rsidR="007F68C7">
              <w:t>R</w:t>
            </w:r>
            <w:r>
              <w:t>educe</w:t>
            </w:r>
          </w:p>
        </w:tc>
        <w:tc>
          <w:tcPr>
            <w:tcW w:w="1440" w:type="dxa"/>
          </w:tcPr>
          <w:p w14:paraId="5E0AFC83" w14:textId="77777777" w:rsidR="002E3C00" w:rsidRDefault="002E3C00" w:rsidP="002E3C00">
            <w:pPr>
              <w:pStyle w:val="TableText"/>
            </w:pPr>
          </w:p>
        </w:tc>
        <w:tc>
          <w:tcPr>
            <w:tcW w:w="1440" w:type="dxa"/>
          </w:tcPr>
          <w:p w14:paraId="66861776" w14:textId="77777777" w:rsidR="002E3C00" w:rsidRDefault="002E3C00" w:rsidP="002E3C00">
            <w:pPr>
              <w:pStyle w:val="TableText"/>
            </w:pPr>
          </w:p>
        </w:tc>
        <w:tc>
          <w:tcPr>
            <w:tcW w:w="1440" w:type="dxa"/>
          </w:tcPr>
          <w:p w14:paraId="413EFCF5" w14:textId="77777777" w:rsidR="002E3C00" w:rsidRDefault="002E3C00" w:rsidP="002E3C00">
            <w:pPr>
              <w:pStyle w:val="TableText"/>
            </w:pPr>
          </w:p>
        </w:tc>
      </w:tr>
      <w:tr w:rsidR="002E3C00" w14:paraId="335448F9" w14:textId="77777777">
        <w:trPr>
          <w:cantSplit/>
        </w:trPr>
        <w:tc>
          <w:tcPr>
            <w:tcW w:w="2160" w:type="dxa"/>
          </w:tcPr>
          <w:p w14:paraId="160E5C25" w14:textId="77777777" w:rsidR="002E3C00" w:rsidRDefault="002E3C00" w:rsidP="002E3C00">
            <w:pPr>
              <w:pStyle w:val="TableText"/>
            </w:pPr>
            <w:r>
              <w:t>Wash</w:t>
            </w:r>
          </w:p>
        </w:tc>
        <w:tc>
          <w:tcPr>
            <w:tcW w:w="1440" w:type="dxa"/>
          </w:tcPr>
          <w:p w14:paraId="3FF1AA78" w14:textId="77777777" w:rsidR="002E3C00" w:rsidRDefault="002E3C00" w:rsidP="002E3C00">
            <w:pPr>
              <w:pStyle w:val="TableText"/>
            </w:pPr>
          </w:p>
        </w:tc>
        <w:tc>
          <w:tcPr>
            <w:tcW w:w="1440" w:type="dxa"/>
          </w:tcPr>
          <w:p w14:paraId="35258BD2" w14:textId="77777777" w:rsidR="002E3C00" w:rsidRDefault="002E3C00" w:rsidP="002E3C00">
            <w:pPr>
              <w:pStyle w:val="TableText"/>
            </w:pPr>
          </w:p>
        </w:tc>
        <w:tc>
          <w:tcPr>
            <w:tcW w:w="1440" w:type="dxa"/>
          </w:tcPr>
          <w:p w14:paraId="7C71C30A" w14:textId="77777777" w:rsidR="002E3C00" w:rsidRDefault="002E3C00" w:rsidP="002E3C00">
            <w:pPr>
              <w:pStyle w:val="TableText"/>
            </w:pPr>
          </w:p>
        </w:tc>
      </w:tr>
      <w:tr w:rsidR="002E3C00" w14:paraId="6904D62B" w14:textId="77777777">
        <w:trPr>
          <w:cantSplit/>
        </w:trPr>
        <w:tc>
          <w:tcPr>
            <w:tcW w:w="2160" w:type="dxa"/>
          </w:tcPr>
          <w:p w14:paraId="4380597D" w14:textId="77777777" w:rsidR="002E3C00" w:rsidRDefault="002E3C00" w:rsidP="002E3C00">
            <w:pPr>
              <w:pStyle w:val="TableText"/>
            </w:pPr>
            <w:r>
              <w:t>Rejuvenate</w:t>
            </w:r>
          </w:p>
        </w:tc>
        <w:tc>
          <w:tcPr>
            <w:tcW w:w="1440" w:type="dxa"/>
          </w:tcPr>
          <w:p w14:paraId="2DF5F2DE" w14:textId="77777777" w:rsidR="002E3C00" w:rsidRDefault="002E3C00" w:rsidP="002E3C00">
            <w:pPr>
              <w:pStyle w:val="TableText"/>
            </w:pPr>
          </w:p>
        </w:tc>
        <w:tc>
          <w:tcPr>
            <w:tcW w:w="1440" w:type="dxa"/>
          </w:tcPr>
          <w:p w14:paraId="4F72FC0C" w14:textId="77777777" w:rsidR="002E3C00" w:rsidRDefault="002E3C00" w:rsidP="002E3C00">
            <w:pPr>
              <w:pStyle w:val="TableText"/>
            </w:pPr>
          </w:p>
        </w:tc>
        <w:tc>
          <w:tcPr>
            <w:tcW w:w="1440" w:type="dxa"/>
          </w:tcPr>
          <w:p w14:paraId="093C4A8E" w14:textId="77777777" w:rsidR="002E3C00" w:rsidRDefault="002E3C00" w:rsidP="002E3C00">
            <w:pPr>
              <w:pStyle w:val="TableText"/>
            </w:pPr>
          </w:p>
        </w:tc>
      </w:tr>
      <w:tr w:rsidR="002E3C00" w14:paraId="639D9B42" w14:textId="77777777">
        <w:trPr>
          <w:cantSplit/>
        </w:trPr>
        <w:tc>
          <w:tcPr>
            <w:tcW w:w="2160" w:type="dxa"/>
          </w:tcPr>
          <w:p w14:paraId="79990C61" w14:textId="77777777" w:rsidR="002E3C00" w:rsidRDefault="002E3C00" w:rsidP="002E3C00">
            <w:pPr>
              <w:pStyle w:val="TableText"/>
            </w:pPr>
            <w:r>
              <w:t>Freeze</w:t>
            </w:r>
          </w:p>
        </w:tc>
        <w:tc>
          <w:tcPr>
            <w:tcW w:w="1440" w:type="dxa"/>
          </w:tcPr>
          <w:p w14:paraId="7F7CE07E" w14:textId="77777777" w:rsidR="002E3C00" w:rsidRDefault="002E3C00" w:rsidP="002E3C00">
            <w:pPr>
              <w:pStyle w:val="TableText"/>
            </w:pPr>
          </w:p>
        </w:tc>
        <w:tc>
          <w:tcPr>
            <w:tcW w:w="1440" w:type="dxa"/>
          </w:tcPr>
          <w:p w14:paraId="74BD3A55" w14:textId="77777777" w:rsidR="002E3C00" w:rsidRDefault="002E3C00" w:rsidP="002E3C00">
            <w:pPr>
              <w:pStyle w:val="TableText"/>
            </w:pPr>
          </w:p>
        </w:tc>
        <w:tc>
          <w:tcPr>
            <w:tcW w:w="1440" w:type="dxa"/>
          </w:tcPr>
          <w:p w14:paraId="1A73B2C3" w14:textId="77777777" w:rsidR="002E3C00" w:rsidRDefault="002E3C00" w:rsidP="002E3C00">
            <w:pPr>
              <w:pStyle w:val="TableText"/>
            </w:pPr>
          </w:p>
        </w:tc>
      </w:tr>
      <w:tr w:rsidR="002E3C00" w14:paraId="370ED9E5" w14:textId="77777777">
        <w:trPr>
          <w:cantSplit/>
        </w:trPr>
        <w:tc>
          <w:tcPr>
            <w:tcW w:w="2160" w:type="dxa"/>
          </w:tcPr>
          <w:p w14:paraId="305A2A90" w14:textId="77777777" w:rsidR="002E3C00" w:rsidRDefault="002E3C00" w:rsidP="002E3C00">
            <w:pPr>
              <w:pStyle w:val="TableText"/>
            </w:pPr>
            <w:r>
              <w:t>Deglycerolize</w:t>
            </w:r>
          </w:p>
        </w:tc>
        <w:tc>
          <w:tcPr>
            <w:tcW w:w="1440" w:type="dxa"/>
          </w:tcPr>
          <w:p w14:paraId="0E1FAC42" w14:textId="77777777" w:rsidR="002E3C00" w:rsidRDefault="002E3C00" w:rsidP="002E3C00">
            <w:pPr>
              <w:pStyle w:val="TableText"/>
            </w:pPr>
          </w:p>
        </w:tc>
        <w:tc>
          <w:tcPr>
            <w:tcW w:w="1440" w:type="dxa"/>
          </w:tcPr>
          <w:p w14:paraId="70202090" w14:textId="77777777" w:rsidR="002E3C00" w:rsidRDefault="002E3C00" w:rsidP="002E3C00">
            <w:pPr>
              <w:pStyle w:val="TableText"/>
            </w:pPr>
          </w:p>
        </w:tc>
        <w:tc>
          <w:tcPr>
            <w:tcW w:w="1440" w:type="dxa"/>
          </w:tcPr>
          <w:p w14:paraId="1B8E242F" w14:textId="77777777" w:rsidR="002E3C00" w:rsidRDefault="002E3C00" w:rsidP="002E3C00">
            <w:pPr>
              <w:pStyle w:val="TableText"/>
            </w:pPr>
          </w:p>
        </w:tc>
      </w:tr>
    </w:tbl>
    <w:p w14:paraId="4FC9F038" w14:textId="77777777" w:rsidR="002E3C00" w:rsidRDefault="002E3C00" w:rsidP="002E3C00">
      <w:pPr>
        <w:rPr>
          <w:sz w:val="15"/>
          <w:szCs w:val="15"/>
        </w:rPr>
      </w:pPr>
    </w:p>
    <w:p w14:paraId="11117FDE" w14:textId="77777777" w:rsidR="002E3C00" w:rsidRPr="00600497" w:rsidRDefault="002E3C00" w:rsidP="000409B1">
      <w:pPr>
        <w:pStyle w:val="ListNumber"/>
        <w:numPr>
          <w:ilvl w:val="0"/>
          <w:numId w:val="21"/>
        </w:numPr>
        <w:tabs>
          <w:tab w:val="clear" w:pos="720"/>
          <w:tab w:val="num" w:pos="360"/>
        </w:tabs>
        <w:ind w:left="360"/>
      </w:pPr>
      <w:r w:rsidRPr="00600497">
        <w:t xml:space="preserve">Capture and save a screen shot of each piece of information. </w:t>
      </w:r>
    </w:p>
    <w:p w14:paraId="67633439" w14:textId="77777777" w:rsidR="00232E43" w:rsidRPr="00FB7F8D" w:rsidRDefault="00232E43" w:rsidP="000409B1">
      <w:pPr>
        <w:pStyle w:val="ListNumber"/>
        <w:numPr>
          <w:ilvl w:val="0"/>
          <w:numId w:val="21"/>
        </w:numPr>
        <w:tabs>
          <w:tab w:val="clear" w:pos="720"/>
          <w:tab w:val="num" w:pos="360"/>
        </w:tabs>
        <w:ind w:left="360"/>
      </w:pPr>
      <w:bookmarkStart w:id="731" w:name="_Toc114462097"/>
      <w:r w:rsidRPr="00600497">
        <w:t>Pri</w:t>
      </w:r>
      <w:r w:rsidRPr="00FB7F8D">
        <w:t>nt</w:t>
      </w:r>
      <w:r>
        <w:t>, sign, date,</w:t>
      </w:r>
      <w:r w:rsidRPr="00FB7F8D">
        <w:t xml:space="preserve"> and save an </w:t>
      </w:r>
      <w:r>
        <w:t>A</w:t>
      </w:r>
      <w:r w:rsidRPr="00FB7F8D">
        <w:t xml:space="preserve">udit </w:t>
      </w:r>
      <w:r>
        <w:t>Trail R</w:t>
      </w:r>
      <w:r w:rsidRPr="00FB7F8D">
        <w:t>eport for your validation record.</w:t>
      </w:r>
    </w:p>
    <w:p w14:paraId="63D760F9" w14:textId="77777777" w:rsidR="002E3C00" w:rsidRDefault="007F0132" w:rsidP="002E3C00">
      <w:pPr>
        <w:pStyle w:val="Heading3"/>
      </w:pPr>
      <w:r>
        <w:br w:type="page"/>
      </w:r>
      <w:bookmarkStart w:id="732" w:name="_Toc4588890"/>
      <w:r w:rsidR="002E3C00">
        <w:lastRenderedPageBreak/>
        <w:t>Order Alerts</w:t>
      </w:r>
      <w:bookmarkEnd w:id="731"/>
      <w:bookmarkEnd w:id="732"/>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Order Alerts</w:instrText>
      </w:r>
      <w:r w:rsidR="00992E88">
        <w:instrText xml:space="preserve">" </w:instrText>
      </w:r>
      <w:r w:rsidR="00992E88">
        <w:fldChar w:fldCharType="end"/>
      </w:r>
    </w:p>
    <w:p w14:paraId="58B00A5F" w14:textId="1728747D" w:rsidR="00283731" w:rsidRDefault="00283731" w:rsidP="00283731">
      <w:pPr>
        <w:pStyle w:val="BodyText"/>
      </w:pPr>
      <w:r>
        <w:t xml:space="preserve">The user configures diagnostic test or component order alerts that appear at login, and turns them on or off. The alerts notify users when new orders are entered, updated, or canceled in </w:t>
      </w:r>
      <w:r w:rsidRPr="00CA0045">
        <w:rPr>
          <w:bCs/>
        </w:rPr>
        <w:t>VistA</w:t>
      </w:r>
      <w:r>
        <w:rPr>
          <w:bCs/>
        </w:rPr>
        <w:t>.</w:t>
      </w:r>
      <w:r w:rsidR="00250936">
        <w:rPr>
          <w:bCs/>
        </w:rPr>
        <w:t xml:space="preserve"> For more information, see </w:t>
      </w:r>
      <w:r w:rsidR="00250936">
        <w:rPr>
          <w:bCs/>
        </w:rPr>
        <w:fldChar w:fldCharType="begin" w:fldLock="1"/>
      </w:r>
      <w:r w:rsidR="00250936">
        <w:rPr>
          <w:bCs/>
        </w:rPr>
        <w:instrText xml:space="preserve"> REF _Ref508960075 \h </w:instrText>
      </w:r>
      <w:r w:rsidR="00250936">
        <w:rPr>
          <w:bCs/>
        </w:rPr>
      </w:r>
      <w:r w:rsidR="00250936">
        <w:rPr>
          <w:bCs/>
        </w:rPr>
        <w:fldChar w:fldCharType="separate"/>
      </w:r>
      <w:r w:rsidR="00AB304C">
        <w:t xml:space="preserve">Appendix </w:t>
      </w:r>
      <w:r w:rsidR="00AB304C">
        <w:rPr>
          <w:noProof/>
        </w:rPr>
        <w:t>F</w:t>
      </w:r>
      <w:r w:rsidR="00AB304C">
        <w:t>: Work Process Flowcharts</w:t>
      </w:r>
      <w:r w:rsidR="00250936">
        <w:rPr>
          <w:bCs/>
        </w:rPr>
        <w:fldChar w:fldCharType="end"/>
      </w:r>
      <w:r w:rsidR="00250936">
        <w:rPr>
          <w:bCs/>
        </w:rPr>
        <w:t>.</w:t>
      </w:r>
    </w:p>
    <w:p w14:paraId="748AB726" w14:textId="77777777" w:rsidR="002E3C00" w:rsidRDefault="002E3C00" w:rsidP="002E3C00">
      <w:pPr>
        <w:pStyle w:val="Heading4"/>
        <w:rPr>
          <w:b w:val="0"/>
        </w:rPr>
      </w:pPr>
      <w:r>
        <w:t>User Roles with Access to This Option</w:t>
      </w:r>
      <w:r>
        <w:rPr>
          <w:b w:val="0"/>
        </w:rPr>
        <w:t xml:space="preserve"> </w:t>
      </w:r>
    </w:p>
    <w:p w14:paraId="08A12871" w14:textId="77777777" w:rsidR="002E3C00" w:rsidRPr="008F337A"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r>
        <w:rPr>
          <w:snapToGrid w:val="0"/>
        </w:rPr>
        <w:t xml:space="preserve"> </w:t>
      </w:r>
    </w:p>
    <w:p w14:paraId="29991F70" w14:textId="77777777" w:rsidR="002E3C00" w:rsidRDefault="00B74754" w:rsidP="002E3C00">
      <w:pPr>
        <w:pStyle w:val="Heading4"/>
      </w:pPr>
      <w:r>
        <w:t>Preparation for Testing</w:t>
      </w:r>
    </w:p>
    <w:p w14:paraId="7257E1DA" w14:textId="77777777" w:rsidR="002E3C00" w:rsidRPr="00600497" w:rsidRDefault="002E3C00" w:rsidP="000409B1">
      <w:pPr>
        <w:pStyle w:val="ListNumber"/>
        <w:numPr>
          <w:ilvl w:val="0"/>
          <w:numId w:val="22"/>
        </w:numPr>
        <w:tabs>
          <w:tab w:val="clear" w:pos="720"/>
          <w:tab w:val="num" w:pos="360"/>
        </w:tabs>
        <w:ind w:left="360"/>
      </w:pPr>
      <w:r w:rsidRPr="00600497">
        <w:t xml:space="preserve">Capture and save a screen shot of each piece of information. </w:t>
      </w:r>
    </w:p>
    <w:p w14:paraId="3080640E" w14:textId="77777777" w:rsidR="00232E43" w:rsidRPr="00FB7F8D" w:rsidRDefault="00232E43" w:rsidP="000409B1">
      <w:pPr>
        <w:pStyle w:val="ListNumber"/>
        <w:numPr>
          <w:ilvl w:val="0"/>
          <w:numId w:val="22"/>
        </w:numPr>
        <w:tabs>
          <w:tab w:val="clear" w:pos="720"/>
          <w:tab w:val="num" w:pos="360"/>
        </w:tabs>
        <w:ind w:left="360"/>
      </w:pPr>
      <w:r w:rsidRPr="00600497">
        <w:t>P</w:t>
      </w:r>
      <w:r w:rsidRPr="00FB7F8D">
        <w:t>rint</w:t>
      </w:r>
      <w:r>
        <w:t>, sign, date,</w:t>
      </w:r>
      <w:r w:rsidRPr="00FB7F8D">
        <w:t xml:space="preserve"> and save an </w:t>
      </w:r>
      <w:r>
        <w:t>A</w:t>
      </w:r>
      <w:r w:rsidRPr="00FB7F8D">
        <w:t xml:space="preserve">udit </w:t>
      </w:r>
      <w:r>
        <w:t>Trail R</w:t>
      </w:r>
      <w:r w:rsidRPr="00FB7F8D">
        <w:t>eport for your validation record.</w:t>
      </w:r>
    </w:p>
    <w:p w14:paraId="488B2A4D" w14:textId="77777777" w:rsidR="002E3C00" w:rsidRDefault="007F0132" w:rsidP="002E3C00">
      <w:pPr>
        <w:pStyle w:val="Heading3"/>
      </w:pPr>
      <w:bookmarkStart w:id="733" w:name="_Toc114462098"/>
      <w:r>
        <w:br w:type="page"/>
      </w:r>
      <w:bookmarkStart w:id="734" w:name="_Toc4588891"/>
      <w:r w:rsidR="002E3C00">
        <w:lastRenderedPageBreak/>
        <w:t>Configure Daily QC: Full Service</w:t>
      </w:r>
      <w:bookmarkEnd w:id="728"/>
      <w:bookmarkEnd w:id="729"/>
      <w:bookmarkEnd w:id="733"/>
      <w:bookmarkEnd w:id="734"/>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Configure Daily QC\: Full Service</w:instrText>
      </w:r>
      <w:r w:rsidR="00992E88">
        <w:instrText xml:space="preserve">" </w:instrText>
      </w:r>
      <w:r w:rsidR="00992E88">
        <w:fldChar w:fldCharType="end"/>
      </w:r>
    </w:p>
    <w:p w14:paraId="1DE2B52D" w14:textId="2FA32A46" w:rsidR="002E3C00" w:rsidRDefault="002E3C00" w:rsidP="002E3C00">
      <w:pPr>
        <w:pStyle w:val="BodyText"/>
      </w:pPr>
      <w:r>
        <w:t>The user sets up the routine reagent racks and QC template for the division before performing daily reagent QC.</w:t>
      </w:r>
      <w:r w:rsidR="00E435F1">
        <w:t xml:space="preserve"> </w:t>
      </w:r>
      <w:r w:rsidR="00250936">
        <w:t xml:space="preserve">For more information, see </w:t>
      </w:r>
      <w:r w:rsidR="00250936">
        <w:fldChar w:fldCharType="begin" w:fldLock="1"/>
      </w:r>
      <w:r w:rsidR="00250936">
        <w:instrText xml:space="preserve"> REF _Ref508960075 \h </w:instrText>
      </w:r>
      <w:r w:rsidR="00250936">
        <w:fldChar w:fldCharType="separate"/>
      </w:r>
      <w:r w:rsidR="00AB304C">
        <w:t xml:space="preserve">Appendix </w:t>
      </w:r>
      <w:r w:rsidR="00AB304C">
        <w:rPr>
          <w:noProof/>
        </w:rPr>
        <w:t>F</w:t>
      </w:r>
      <w:r w:rsidR="00AB304C">
        <w:t>: Work Process Flowcharts</w:t>
      </w:r>
      <w:r w:rsidR="00250936">
        <w:fldChar w:fldCharType="end"/>
      </w:r>
      <w:r w:rsidR="00250936">
        <w:t>.</w:t>
      </w:r>
    </w:p>
    <w:p w14:paraId="1D4D33BA" w14:textId="77777777" w:rsidR="002E3C00" w:rsidRDefault="002E3C00" w:rsidP="002E3C00">
      <w:pPr>
        <w:pStyle w:val="Heading4"/>
        <w:rPr>
          <w:b w:val="0"/>
        </w:rPr>
      </w:pPr>
      <w:r>
        <w:t>User Roles with Access to This Option</w:t>
      </w:r>
      <w:r>
        <w:rPr>
          <w:b w:val="0"/>
        </w:rPr>
        <w:t xml:space="preserve"> </w:t>
      </w:r>
    </w:p>
    <w:p w14:paraId="35C618C6" w14:textId="77777777" w:rsidR="002E3C00" w:rsidRPr="00B22CCD"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r>
        <w:rPr>
          <w:snapToGrid w:val="0"/>
        </w:rPr>
        <w:t xml:space="preserve"> </w:t>
      </w:r>
    </w:p>
    <w:p w14:paraId="0BB1323C" w14:textId="77777777" w:rsidR="002E3C00" w:rsidRDefault="00B74754" w:rsidP="002E3C00">
      <w:pPr>
        <w:pStyle w:val="Heading4"/>
      </w:pPr>
      <w:r>
        <w:t>Preparation for Testing</w:t>
      </w:r>
    </w:p>
    <w:p w14:paraId="27E0D428" w14:textId="77777777" w:rsidR="00717BAF" w:rsidRDefault="002E3C00" w:rsidP="000409B1">
      <w:pPr>
        <w:pStyle w:val="ListNumber"/>
        <w:numPr>
          <w:ilvl w:val="0"/>
          <w:numId w:val="32"/>
        </w:numPr>
        <w:tabs>
          <w:tab w:val="clear" w:pos="720"/>
          <w:tab w:val="num" w:pos="360"/>
          <w:tab w:val="right" w:leader="underscore" w:pos="9360"/>
        </w:tabs>
        <w:ind w:left="360"/>
      </w:pPr>
      <w:r>
        <w:t>If you perform daily reagent rack quality control using a commercial kit, select the commercial kit template. If not, select the non-commercial k</w:t>
      </w:r>
      <w:r w:rsidR="00717BAF">
        <w:t>it template. Template selected:</w:t>
      </w:r>
      <w:r w:rsidR="00717BAF">
        <w:tab/>
      </w:r>
    </w:p>
    <w:p w14:paraId="7737CA62" w14:textId="77777777" w:rsidR="00717BAF" w:rsidRDefault="002E3C00" w:rsidP="000409B1">
      <w:pPr>
        <w:pStyle w:val="ListNumber"/>
        <w:numPr>
          <w:ilvl w:val="0"/>
          <w:numId w:val="32"/>
        </w:numPr>
        <w:tabs>
          <w:tab w:val="clear" w:pos="720"/>
          <w:tab w:val="num" w:pos="360"/>
          <w:tab w:val="right" w:leader="underscore" w:pos="9360"/>
        </w:tabs>
        <w:ind w:left="360"/>
      </w:pPr>
      <w:r>
        <w:t>Daily alert time at which users will be prompted to perform QC:</w:t>
      </w:r>
      <w:r w:rsidR="001D1E93">
        <w:tab/>
      </w:r>
    </w:p>
    <w:p w14:paraId="325C1939" w14:textId="77777777" w:rsidR="00717BAF" w:rsidRDefault="002E3C00" w:rsidP="000409B1">
      <w:pPr>
        <w:pStyle w:val="ListNumber"/>
        <w:numPr>
          <w:ilvl w:val="0"/>
          <w:numId w:val="32"/>
        </w:numPr>
        <w:tabs>
          <w:tab w:val="clear" w:pos="720"/>
          <w:tab w:val="num" w:pos="360"/>
          <w:tab w:val="right" w:leader="underscore" w:pos="9360"/>
        </w:tabs>
        <w:ind w:left="360"/>
      </w:pPr>
      <w:r>
        <w:t>Do you want to use letters or n</w:t>
      </w:r>
      <w:r w:rsidR="00717BAF">
        <w:t>umbers as rack names?</w:t>
      </w:r>
      <w:r w:rsidR="001D1E93">
        <w:tab/>
      </w:r>
    </w:p>
    <w:p w14:paraId="124070DC" w14:textId="77777777" w:rsidR="00717BAF" w:rsidRDefault="002E3C00" w:rsidP="000409B1">
      <w:pPr>
        <w:pStyle w:val="ListNumber"/>
        <w:numPr>
          <w:ilvl w:val="0"/>
          <w:numId w:val="32"/>
        </w:numPr>
        <w:tabs>
          <w:tab w:val="clear" w:pos="720"/>
          <w:tab w:val="num" w:pos="360"/>
          <w:tab w:val="right" w:leader="underscore" w:pos="9360"/>
        </w:tabs>
        <w:ind w:left="360"/>
      </w:pPr>
      <w:r>
        <w:t xml:space="preserve">Maximum number </w:t>
      </w:r>
      <w:r w:rsidR="00717BAF">
        <w:t>of reagent racks for daily use:</w:t>
      </w:r>
      <w:r w:rsidR="001D1E93">
        <w:tab/>
      </w:r>
    </w:p>
    <w:p w14:paraId="4D365088" w14:textId="77777777" w:rsidR="00717BAF" w:rsidRDefault="00717BAF" w:rsidP="000409B1">
      <w:pPr>
        <w:pStyle w:val="ListNumber"/>
        <w:numPr>
          <w:ilvl w:val="0"/>
          <w:numId w:val="32"/>
        </w:numPr>
        <w:tabs>
          <w:tab w:val="clear" w:pos="720"/>
          <w:tab w:val="num" w:pos="360"/>
          <w:tab w:val="right" w:leader="underscore" w:pos="9360"/>
        </w:tabs>
        <w:ind w:left="360"/>
      </w:pPr>
      <w:r>
        <w:t>Primary enhancement medium:</w:t>
      </w:r>
      <w:r w:rsidR="001D1E93">
        <w:tab/>
      </w:r>
    </w:p>
    <w:p w14:paraId="37BC5C7B" w14:textId="77777777" w:rsidR="00717BAF" w:rsidRDefault="00717BAF" w:rsidP="000409B1">
      <w:pPr>
        <w:pStyle w:val="ListNumber"/>
        <w:numPr>
          <w:ilvl w:val="0"/>
          <w:numId w:val="32"/>
        </w:numPr>
        <w:tabs>
          <w:tab w:val="clear" w:pos="720"/>
          <w:tab w:val="num" w:pos="360"/>
          <w:tab w:val="right" w:leader="underscore" w:pos="9360"/>
        </w:tabs>
        <w:ind w:left="360"/>
      </w:pPr>
      <w:r>
        <w:t>Secondary enhancement medium:</w:t>
      </w:r>
      <w:r w:rsidR="001D1E93">
        <w:tab/>
      </w:r>
    </w:p>
    <w:p w14:paraId="5034A3D0" w14:textId="77777777" w:rsidR="00717BAF" w:rsidRDefault="002E3C00" w:rsidP="001D1E93">
      <w:pPr>
        <w:pStyle w:val="BodyText"/>
      </w:pPr>
      <w:r>
        <w:t>The template contains the minimum number of tests required to test the reagents. Select additional tests that are part of your daily reagent rack QC, in accordance with local policies and procedures.</w:t>
      </w:r>
      <w:bookmarkStart w:id="735" w:name="_Toc85895787"/>
      <w:bookmarkStart w:id="736" w:name="_Toc113264244"/>
    </w:p>
    <w:p w14:paraId="0E7D4732" w14:textId="77777777" w:rsidR="00717BAF" w:rsidRDefault="002E3C00" w:rsidP="000409B1">
      <w:pPr>
        <w:pStyle w:val="ListNumber"/>
        <w:numPr>
          <w:ilvl w:val="0"/>
          <w:numId w:val="32"/>
        </w:numPr>
        <w:tabs>
          <w:tab w:val="clear" w:pos="720"/>
          <w:tab w:val="num" w:pos="360"/>
          <w:tab w:val="right" w:leader="underscore" w:pos="9360"/>
        </w:tabs>
        <w:ind w:left="360"/>
      </w:pPr>
      <w:r>
        <w:t>Capture and save</w:t>
      </w:r>
      <w:r w:rsidRPr="00FB7F8D">
        <w:t xml:space="preserve"> a screen shot of </w:t>
      </w:r>
      <w:r>
        <w:t>each piece of</w:t>
      </w:r>
      <w:r w:rsidRPr="00FB7F8D">
        <w:t xml:space="preserve"> information. </w:t>
      </w:r>
    </w:p>
    <w:p w14:paraId="7720FA77" w14:textId="77777777" w:rsidR="00232E43" w:rsidRPr="00FB7F8D" w:rsidRDefault="00232E43" w:rsidP="000409B1">
      <w:pPr>
        <w:pStyle w:val="ListNumber"/>
        <w:numPr>
          <w:ilvl w:val="0"/>
          <w:numId w:val="32"/>
        </w:numPr>
        <w:tabs>
          <w:tab w:val="clear" w:pos="720"/>
          <w:tab w:val="num" w:pos="360"/>
          <w:tab w:val="right" w:leader="underscore" w:pos="9360"/>
        </w:tabs>
        <w:ind w:left="360"/>
      </w:pPr>
      <w:r w:rsidRPr="00FB7F8D">
        <w:t>Print</w:t>
      </w:r>
      <w:r>
        <w:t>, sign, date,</w:t>
      </w:r>
      <w:r w:rsidRPr="00FB7F8D">
        <w:t xml:space="preserve"> and save an </w:t>
      </w:r>
      <w:r>
        <w:t>A</w:t>
      </w:r>
      <w:r w:rsidRPr="00FB7F8D">
        <w:t xml:space="preserve">udit </w:t>
      </w:r>
      <w:r>
        <w:t>Trail R</w:t>
      </w:r>
      <w:r w:rsidRPr="00FB7F8D">
        <w:t>eport for your validation record.</w:t>
      </w:r>
    </w:p>
    <w:p w14:paraId="47359500" w14:textId="77777777" w:rsidR="002E3C00" w:rsidRDefault="007F0132" w:rsidP="002E3C00">
      <w:pPr>
        <w:pStyle w:val="Heading3"/>
      </w:pPr>
      <w:bookmarkStart w:id="737" w:name="_Toc114462099"/>
      <w:r>
        <w:br w:type="page"/>
      </w:r>
      <w:bookmarkStart w:id="738" w:name="_Toc4588892"/>
      <w:r w:rsidR="002E3C00">
        <w:lastRenderedPageBreak/>
        <w:t xml:space="preserve">Maintain </w:t>
      </w:r>
      <w:r w:rsidR="002E3C00" w:rsidRPr="00BD1428">
        <w:t>Minimum Levels</w:t>
      </w:r>
      <w:bookmarkEnd w:id="735"/>
      <w:bookmarkEnd w:id="736"/>
      <w:r w:rsidR="002E3C00">
        <w:t>: Full Service</w:t>
      </w:r>
      <w:bookmarkEnd w:id="737"/>
      <w:bookmarkEnd w:id="738"/>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Maintain Minimum Levels\: Full Service</w:instrText>
      </w:r>
      <w:r w:rsidR="00992E88">
        <w:instrText xml:space="preserve">" </w:instrText>
      </w:r>
      <w:r w:rsidR="00992E88">
        <w:fldChar w:fldCharType="end"/>
      </w:r>
    </w:p>
    <w:p w14:paraId="6DA1FEE2" w14:textId="0DA4B58E" w:rsidR="002E3C00" w:rsidRPr="00CF3293" w:rsidRDefault="002E3C00" w:rsidP="002E3C00">
      <w:pPr>
        <w:pStyle w:val="BodyText"/>
        <w:rPr>
          <w:rFonts w:cs="Arial"/>
          <w:snapToGrid w:val="0"/>
          <w:color w:val="000000"/>
          <w:szCs w:val="18"/>
        </w:rPr>
      </w:pPr>
      <w:r>
        <w:t>The user sets minimum stock levels for reagent types used in the division.</w:t>
      </w:r>
      <w:r w:rsidR="00250936">
        <w:t xml:space="preserve"> For more information, see </w:t>
      </w:r>
      <w:r w:rsidR="00250936">
        <w:fldChar w:fldCharType="begin" w:fldLock="1"/>
      </w:r>
      <w:r w:rsidR="00250936">
        <w:instrText xml:space="preserve"> REF _Ref508960075 \h </w:instrText>
      </w:r>
      <w:r w:rsidR="00250936">
        <w:fldChar w:fldCharType="separate"/>
      </w:r>
      <w:r w:rsidR="00AB304C">
        <w:t xml:space="preserve">Appendix </w:t>
      </w:r>
      <w:r w:rsidR="00AB304C">
        <w:rPr>
          <w:noProof/>
        </w:rPr>
        <w:t>F</w:t>
      </w:r>
      <w:r w:rsidR="00AB304C">
        <w:t>: Work Process Flowcharts</w:t>
      </w:r>
      <w:r w:rsidR="00250936">
        <w:fldChar w:fldCharType="end"/>
      </w:r>
      <w:r w:rsidR="00250936">
        <w:t>.</w:t>
      </w:r>
    </w:p>
    <w:p w14:paraId="7ABC14CA" w14:textId="77777777" w:rsidR="002E3C00" w:rsidRDefault="002E3C00" w:rsidP="002E3C00">
      <w:pPr>
        <w:pStyle w:val="Heading4"/>
        <w:rPr>
          <w:b w:val="0"/>
        </w:rPr>
      </w:pPr>
      <w:r>
        <w:t>User Roles with Access to This Option</w:t>
      </w:r>
      <w:r>
        <w:rPr>
          <w:b w:val="0"/>
        </w:rPr>
        <w:t xml:space="preserve"> </w:t>
      </w:r>
    </w:p>
    <w:p w14:paraId="1C7690C8" w14:textId="77777777" w:rsidR="002E3C00" w:rsidRDefault="002E3C00" w:rsidP="002E3C00">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Traditional Supervisor</w:t>
      </w:r>
    </w:p>
    <w:p w14:paraId="0B9D04D4" w14:textId="77777777" w:rsidR="002E3C00" w:rsidRDefault="00B74754" w:rsidP="002E3C00">
      <w:pPr>
        <w:pStyle w:val="Heading4"/>
      </w:pPr>
      <w:r>
        <w:t>Preparation for Testing</w:t>
      </w:r>
    </w:p>
    <w:p w14:paraId="21CEE706" w14:textId="77777777" w:rsidR="002E3C00" w:rsidRDefault="002E3C00" w:rsidP="002E3C00">
      <w:pPr>
        <w:pStyle w:val="BodyText"/>
      </w:pPr>
      <w:r>
        <w:t>You may enter the minimum number of vials for each reagent type that your blood bank stocks to alert staff when it reaches a critical level.</w:t>
      </w:r>
    </w:p>
    <w:p w14:paraId="198198E4" w14:textId="77777777" w:rsidR="002E3C00" w:rsidRPr="00600497" w:rsidRDefault="002E3C00" w:rsidP="000409B1">
      <w:pPr>
        <w:pStyle w:val="ListNumber"/>
        <w:numPr>
          <w:ilvl w:val="0"/>
          <w:numId w:val="23"/>
        </w:numPr>
      </w:pPr>
      <w:bookmarkStart w:id="739" w:name="_Toc113264245"/>
      <w:r w:rsidRPr="00600497">
        <w:t xml:space="preserve">Capture and save a screen shot of each piece of information. </w:t>
      </w:r>
    </w:p>
    <w:p w14:paraId="1BD30FCA" w14:textId="77777777" w:rsidR="00232E43" w:rsidRPr="00FB7F8D" w:rsidRDefault="00232E43" w:rsidP="000409B1">
      <w:pPr>
        <w:pStyle w:val="ListNumber"/>
        <w:numPr>
          <w:ilvl w:val="0"/>
          <w:numId w:val="23"/>
        </w:numPr>
      </w:pPr>
      <w:r w:rsidRPr="00600497">
        <w:t>Pr</w:t>
      </w:r>
      <w:r w:rsidRPr="00FB7F8D">
        <w:t>int</w:t>
      </w:r>
      <w:r>
        <w:t>, sign, date,</w:t>
      </w:r>
      <w:r w:rsidRPr="00FB7F8D">
        <w:t xml:space="preserve"> and save an </w:t>
      </w:r>
      <w:r>
        <w:t>A</w:t>
      </w:r>
      <w:r w:rsidRPr="00FB7F8D">
        <w:t xml:space="preserve">udit </w:t>
      </w:r>
      <w:r>
        <w:t>Trail R</w:t>
      </w:r>
      <w:r w:rsidRPr="00FB7F8D">
        <w:t>eport for your validation record.</w:t>
      </w:r>
    </w:p>
    <w:p w14:paraId="0B116B43" w14:textId="77777777" w:rsidR="002E3C00" w:rsidRDefault="009E1D3B" w:rsidP="002E3C00">
      <w:pPr>
        <w:pStyle w:val="Heading3"/>
      </w:pPr>
      <w:bookmarkStart w:id="740" w:name="_Toc114462100"/>
      <w:r>
        <w:br w:type="page"/>
      </w:r>
      <w:bookmarkStart w:id="741" w:name="_Toc4588893"/>
      <w:r w:rsidR="002E3C00" w:rsidRPr="00515B51">
        <w:lastRenderedPageBreak/>
        <w:t>Log In Reagent</w:t>
      </w:r>
      <w:bookmarkEnd w:id="739"/>
      <w:r w:rsidR="002E3C00">
        <w:t>s: Full Service</w:t>
      </w:r>
      <w:bookmarkEnd w:id="740"/>
      <w:bookmarkEnd w:id="741"/>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Log In Reagents\: Full Service</w:instrText>
      </w:r>
      <w:r w:rsidR="00992E88">
        <w:instrText xml:space="preserve">" </w:instrText>
      </w:r>
      <w:r w:rsidR="00992E88">
        <w:fldChar w:fldCharType="end"/>
      </w:r>
    </w:p>
    <w:p w14:paraId="364CA9A1" w14:textId="26EEF71C" w:rsidR="002E3C00" w:rsidRPr="00FA7E65" w:rsidRDefault="002E3C00" w:rsidP="002E3C00">
      <w:pPr>
        <w:pStyle w:val="BodyText"/>
      </w:pPr>
      <w:r w:rsidRPr="00FA7E65">
        <w:t>A user records the receipt of specific reagents by type. The reagent record includes the date the shipment was received, reagent name, lot number, expiration date, manufacturer, and number of vials received in a shipment.</w:t>
      </w:r>
      <w:r w:rsidR="00250936">
        <w:t xml:space="preserve"> For more information, see </w:t>
      </w:r>
      <w:r w:rsidR="00250936">
        <w:fldChar w:fldCharType="begin" w:fldLock="1"/>
      </w:r>
      <w:r w:rsidR="00250936">
        <w:instrText xml:space="preserve"> REF _Ref508960075 \h </w:instrText>
      </w:r>
      <w:r w:rsidR="00250936">
        <w:fldChar w:fldCharType="separate"/>
      </w:r>
      <w:r w:rsidR="00AB304C">
        <w:t xml:space="preserve">Appendix </w:t>
      </w:r>
      <w:r w:rsidR="00AB304C">
        <w:rPr>
          <w:noProof/>
        </w:rPr>
        <w:t>F</w:t>
      </w:r>
      <w:r w:rsidR="00AB304C">
        <w:t>: Work Process Flowcharts</w:t>
      </w:r>
      <w:r w:rsidR="00250936">
        <w:fldChar w:fldCharType="end"/>
      </w:r>
      <w:r w:rsidR="00250936">
        <w:t>.</w:t>
      </w:r>
    </w:p>
    <w:p w14:paraId="3614597C" w14:textId="77777777" w:rsidR="002E3C00" w:rsidRDefault="002E3C00" w:rsidP="002E3C00">
      <w:pPr>
        <w:pStyle w:val="Heading4"/>
      </w:pPr>
      <w:r>
        <w:t>User Roles with Access to This Option</w:t>
      </w:r>
    </w:p>
    <w:p w14:paraId="45B9B546" w14:textId="77777777" w:rsidR="002E3C00" w:rsidRPr="00FC5C6B" w:rsidRDefault="002E3C00" w:rsidP="002E3C00">
      <w:pPr>
        <w:pStyle w:val="Roles"/>
      </w:pPr>
      <w:r>
        <w:t>All users</w:t>
      </w:r>
    </w:p>
    <w:p w14:paraId="006C265C" w14:textId="77777777" w:rsidR="002E3C00" w:rsidRDefault="00B74754" w:rsidP="002E3C00">
      <w:pPr>
        <w:pStyle w:val="Heading4"/>
      </w:pPr>
      <w:r>
        <w:t>Preparation for Testing</w:t>
      </w:r>
    </w:p>
    <w:p w14:paraId="5008486D" w14:textId="77777777" w:rsidR="002E3C00" w:rsidRPr="00600497" w:rsidRDefault="00387ADD" w:rsidP="000409B1">
      <w:pPr>
        <w:pStyle w:val="ListNumber"/>
        <w:numPr>
          <w:ilvl w:val="0"/>
          <w:numId w:val="24"/>
        </w:numPr>
        <w:tabs>
          <w:tab w:val="clear" w:pos="720"/>
          <w:tab w:val="num" w:pos="360"/>
        </w:tabs>
        <w:ind w:left="360"/>
      </w:pPr>
      <w:r>
        <w:t>Enter reagent types</w:t>
      </w:r>
      <w:r w:rsidRPr="00600497">
        <w:t xml:space="preserve"> and quantities used</w:t>
      </w:r>
      <w:r w:rsidR="002E3C00" w:rsidRPr="00600497">
        <w:t>.</w:t>
      </w:r>
      <w:r w:rsidRPr="00600497">
        <w:t xml:space="preserve"> (</w:t>
      </w:r>
      <w:r w:rsidR="002E3C00" w:rsidRPr="00600497">
        <w:t xml:space="preserve">For QC validation, </w:t>
      </w:r>
      <w:r w:rsidRPr="00600497">
        <w:t>enter</w:t>
      </w:r>
      <w:r w:rsidR="002E3C00" w:rsidRPr="00600497">
        <w:t xml:space="preserve"> a lot number that was received and found unsatisfactory, and a lot number that expires at 23:59 on the day that you test the reagent rack QC.</w:t>
      </w:r>
      <w:r w:rsidRPr="00600497">
        <w:t>)</w:t>
      </w:r>
    </w:p>
    <w:p w14:paraId="68CF4F7E" w14:textId="77777777" w:rsidR="002E3C00" w:rsidRPr="00600497" w:rsidRDefault="00675FB9" w:rsidP="000409B1">
      <w:pPr>
        <w:pStyle w:val="ListNumber"/>
        <w:numPr>
          <w:ilvl w:val="0"/>
          <w:numId w:val="24"/>
        </w:numPr>
        <w:tabs>
          <w:tab w:val="clear" w:pos="720"/>
          <w:tab w:val="num" w:pos="360"/>
        </w:tabs>
        <w:ind w:left="360"/>
      </w:pPr>
      <w:r>
        <w:t>C</w:t>
      </w:r>
      <w:r w:rsidR="002E3C00" w:rsidRPr="00600497">
        <w:t xml:space="preserve">apture and save a screen shot of all entries. </w:t>
      </w:r>
    </w:p>
    <w:p w14:paraId="74298E87" w14:textId="77777777" w:rsidR="00232E43" w:rsidRPr="00FB7F8D" w:rsidRDefault="002E3C00" w:rsidP="000409B1">
      <w:pPr>
        <w:pStyle w:val="ListNumber"/>
        <w:numPr>
          <w:ilvl w:val="0"/>
          <w:numId w:val="24"/>
        </w:numPr>
        <w:tabs>
          <w:tab w:val="clear" w:pos="720"/>
          <w:tab w:val="num" w:pos="360"/>
        </w:tabs>
        <w:ind w:left="360"/>
      </w:pPr>
      <w:r w:rsidRPr="00600497">
        <w:t>Print</w:t>
      </w:r>
      <w:r w:rsidR="009A1A60" w:rsidRPr="00600497">
        <w:t>, sign, date,</w:t>
      </w:r>
      <w:r w:rsidRPr="00600497">
        <w:t xml:space="preserve"> and</w:t>
      </w:r>
      <w:r>
        <w:t xml:space="preserve"> save the </w:t>
      </w:r>
      <w:r w:rsidR="009A1A60">
        <w:t>View/Print Inventory (R</w:t>
      </w:r>
      <w:r>
        <w:t>eagent</w:t>
      </w:r>
      <w:r w:rsidR="009A1A60">
        <w:t>) R</w:t>
      </w:r>
      <w:r>
        <w:t>eport for your validation record.</w:t>
      </w:r>
    </w:p>
    <w:p w14:paraId="794DD79C" w14:textId="77777777" w:rsidR="002E3C00" w:rsidRDefault="007F0132" w:rsidP="002E3C00">
      <w:pPr>
        <w:pStyle w:val="Heading3"/>
      </w:pPr>
      <w:bookmarkStart w:id="742" w:name="_Toc85895788"/>
      <w:bookmarkStart w:id="743" w:name="_Toc113264246"/>
      <w:bookmarkStart w:id="744" w:name="_Toc114462101"/>
      <w:r>
        <w:br w:type="page"/>
      </w:r>
      <w:bookmarkStart w:id="745" w:name="_Toc4588894"/>
      <w:r w:rsidR="002E3C00">
        <w:lastRenderedPageBreak/>
        <w:t>Blood Products</w:t>
      </w:r>
      <w:bookmarkEnd w:id="742"/>
      <w:bookmarkEnd w:id="743"/>
      <w:bookmarkEnd w:id="744"/>
      <w:bookmarkEnd w:id="745"/>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Blood Products</w:instrText>
      </w:r>
      <w:r w:rsidR="00992E88">
        <w:instrText xml:space="preserve">" </w:instrText>
      </w:r>
      <w:r w:rsidR="00992E88">
        <w:fldChar w:fldCharType="end"/>
      </w:r>
    </w:p>
    <w:p w14:paraId="3A558491" w14:textId="4C141692" w:rsidR="002E3C00" w:rsidRPr="0094769F" w:rsidRDefault="002E3C00" w:rsidP="002E3C00">
      <w:pPr>
        <w:pStyle w:val="BodyText"/>
      </w:pPr>
      <w:r>
        <w:t>The user activates, deactivates, and edits a limited number of variables for an existing blood product</w:t>
      </w:r>
      <w:r w:rsidR="00AE3B37">
        <w:t xml:space="preserve"> site parameter. VBECS provides</w:t>
      </w:r>
      <w:r>
        <w:t xml:space="preserve"> an ISBT 128 Blood Product reference table to facilitate these and other actions.</w:t>
      </w:r>
      <w:r w:rsidR="00E435F1">
        <w:t xml:space="preserve"> </w:t>
      </w:r>
      <w:r w:rsidR="00250936">
        <w:t xml:space="preserve">For more information, see </w:t>
      </w:r>
      <w:r w:rsidR="00250936">
        <w:fldChar w:fldCharType="begin" w:fldLock="1"/>
      </w:r>
      <w:r w:rsidR="00250936">
        <w:instrText xml:space="preserve"> REF _Ref508960075 \h </w:instrText>
      </w:r>
      <w:r w:rsidR="00250936">
        <w:fldChar w:fldCharType="separate"/>
      </w:r>
      <w:r w:rsidR="00AB304C">
        <w:t xml:space="preserve">Appendix </w:t>
      </w:r>
      <w:r w:rsidR="00AB304C">
        <w:rPr>
          <w:noProof/>
        </w:rPr>
        <w:t>F</w:t>
      </w:r>
      <w:r w:rsidR="00AB304C">
        <w:t>: Work Process Flowcharts</w:t>
      </w:r>
      <w:r w:rsidR="00250936">
        <w:fldChar w:fldCharType="end"/>
      </w:r>
      <w:r w:rsidR="00250936">
        <w:t>.</w:t>
      </w:r>
    </w:p>
    <w:p w14:paraId="7DCB831E" w14:textId="77777777" w:rsidR="002E3C00" w:rsidRDefault="002E3C00" w:rsidP="002E3C00">
      <w:pPr>
        <w:pStyle w:val="Heading4"/>
      </w:pPr>
      <w:r>
        <w:t>User Roles with Access to This Option</w:t>
      </w:r>
    </w:p>
    <w:p w14:paraId="03720AF1" w14:textId="77777777" w:rsidR="002E3C00" w:rsidRPr="00FC5C6B" w:rsidRDefault="002E3C00" w:rsidP="002E3C00">
      <w:pPr>
        <w:pStyle w:val="Roles"/>
      </w:pPr>
      <w:r>
        <w:t>All users</w:t>
      </w:r>
    </w:p>
    <w:p w14:paraId="491A6889" w14:textId="77777777" w:rsidR="002E3C00" w:rsidRDefault="00B74754" w:rsidP="002E3C00">
      <w:pPr>
        <w:pStyle w:val="Heading4"/>
      </w:pPr>
      <w:r>
        <w:t>Preparation for Testing</w:t>
      </w:r>
    </w:p>
    <w:p w14:paraId="15293753" w14:textId="77777777" w:rsidR="002E3C00" w:rsidRDefault="002E3C00" w:rsidP="002E3C00">
      <w:pPr>
        <w:pStyle w:val="BodyText"/>
      </w:pPr>
      <w:r>
        <w:t>Activate blood products here or during incoming shipment. It may be helpful to set up your most common products</w:t>
      </w:r>
      <w:r w:rsidR="00CC08BC">
        <w:t xml:space="preserve"> before </w:t>
      </w:r>
      <w:r>
        <w:t>e</w:t>
      </w:r>
      <w:r w:rsidR="002C235F">
        <w:t>ntering blood inventory in</w:t>
      </w:r>
      <w:r>
        <w:t xml:space="preserve"> the system.</w:t>
      </w:r>
    </w:p>
    <w:p w14:paraId="693C1FAD" w14:textId="77777777" w:rsidR="002E3C00" w:rsidRDefault="002C235F" w:rsidP="002E3C00">
      <w:pPr>
        <w:pStyle w:val="BodyText"/>
      </w:pPr>
      <w:r>
        <w:t xml:space="preserve">Healthcare Common Procedure Coding System (HCPCS) </w:t>
      </w:r>
      <w:r w:rsidR="002E3C00">
        <w:t>codes are provided by your hospital’s VistA file</w:t>
      </w:r>
      <w:r w:rsidR="00CC08BC">
        <w:t>. S</w:t>
      </w:r>
      <w:r w:rsidR="002E3C00">
        <w:t>elect the code that is associated with the blood product.</w:t>
      </w:r>
    </w:p>
    <w:p w14:paraId="4298165A" w14:textId="77777777" w:rsidR="00061FCF" w:rsidRPr="00600497" w:rsidRDefault="00061FCF" w:rsidP="000409B1">
      <w:pPr>
        <w:pStyle w:val="ListNumber"/>
        <w:numPr>
          <w:ilvl w:val="0"/>
          <w:numId w:val="25"/>
        </w:numPr>
      </w:pPr>
      <w:r w:rsidRPr="00600497">
        <w:t>Use the sample worksheet to record information.</w:t>
      </w:r>
    </w:p>
    <w:p w14:paraId="5F9E40C0" w14:textId="77777777" w:rsidR="002E3C00" w:rsidRPr="00600497" w:rsidRDefault="002E3C00" w:rsidP="000409B1">
      <w:pPr>
        <w:pStyle w:val="ListNumber"/>
        <w:numPr>
          <w:ilvl w:val="0"/>
          <w:numId w:val="25"/>
        </w:numPr>
      </w:pPr>
      <w:r w:rsidRPr="00600497">
        <w:t xml:space="preserve">Capture and save a screen shot of each piece of information before continuing. </w:t>
      </w:r>
    </w:p>
    <w:p w14:paraId="5526FF95" w14:textId="77777777" w:rsidR="00232E43" w:rsidRPr="00FB7F8D" w:rsidRDefault="00232E43" w:rsidP="000409B1">
      <w:pPr>
        <w:pStyle w:val="ListNumber"/>
        <w:numPr>
          <w:ilvl w:val="0"/>
          <w:numId w:val="25"/>
        </w:numPr>
      </w:pPr>
      <w:r w:rsidRPr="00600497">
        <w:t>Pr</w:t>
      </w:r>
      <w:r w:rsidRPr="00FB7F8D">
        <w:t>int</w:t>
      </w:r>
      <w:r>
        <w:t>, sign, date,</w:t>
      </w:r>
      <w:r w:rsidRPr="00FB7F8D">
        <w:t xml:space="preserve"> and save an </w:t>
      </w:r>
      <w:r>
        <w:t>A</w:t>
      </w:r>
      <w:r w:rsidRPr="00FB7F8D">
        <w:t xml:space="preserve">udit </w:t>
      </w:r>
      <w:r>
        <w:t>Trail R</w:t>
      </w:r>
      <w:r w:rsidRPr="00FB7F8D">
        <w:t>eport for your validation record.</w:t>
      </w:r>
    </w:p>
    <w:p w14:paraId="5427DE4E" w14:textId="2B83FF06" w:rsidR="002E3C00" w:rsidRDefault="002E3C00" w:rsidP="002E3C00">
      <w:pPr>
        <w:pStyle w:val="Caption"/>
      </w:pPr>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647F4E">
        <w:rPr>
          <w:noProof/>
        </w:rPr>
        <w:t>29</w:t>
      </w:r>
      <w:r w:rsidR="004E20BD">
        <w:rPr>
          <w:noProof/>
        </w:rPr>
        <w:fldChar w:fldCharType="end"/>
      </w:r>
      <w:r>
        <w:t>: Sample Blood Products Worksheet</w:t>
      </w:r>
      <w:r w:rsidR="00AD60CF">
        <w:fldChar w:fldCharType="begin"/>
      </w:r>
      <w:r w:rsidR="00F272D5">
        <w:instrText xml:space="preserve"> XE "Tables:</w:instrText>
      </w:r>
      <w:r w:rsidR="00AD60CF" w:rsidRPr="0046419F">
        <w:instrText>Sample Blood Products Worksheet</w:instrText>
      </w:r>
      <w:r w:rsidR="00AD60CF">
        <w:instrText xml:space="preserve">" </w:instrText>
      </w:r>
      <w:r w:rsidR="00AD60CF">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4"/>
        <w:gridCol w:w="1222"/>
        <w:gridCol w:w="7"/>
        <w:gridCol w:w="1223"/>
        <w:gridCol w:w="6"/>
        <w:gridCol w:w="2008"/>
        <w:gridCol w:w="1224"/>
        <w:gridCol w:w="1223"/>
        <w:gridCol w:w="1223"/>
      </w:tblGrid>
      <w:tr w:rsidR="00AF76D5" w:rsidRPr="00B562A7" w14:paraId="50BF70D9" w14:textId="77777777">
        <w:trPr>
          <w:tblHeader/>
        </w:trPr>
        <w:tc>
          <w:tcPr>
            <w:tcW w:w="2446" w:type="dxa"/>
            <w:gridSpan w:val="2"/>
            <w:tcBorders>
              <w:top w:val="single" w:sz="4" w:space="0" w:color="auto"/>
              <w:left w:val="single" w:sz="4" w:space="0" w:color="auto"/>
              <w:bottom w:val="single" w:sz="4" w:space="0" w:color="auto"/>
              <w:right w:val="single" w:sz="4" w:space="0" w:color="auto"/>
            </w:tcBorders>
            <w:shd w:val="clear" w:color="auto" w:fill="B3B3B3"/>
            <w:vAlign w:val="bottom"/>
          </w:tcPr>
          <w:p w14:paraId="188834C0" w14:textId="77777777" w:rsidR="00AF76D5" w:rsidRPr="00B562A7" w:rsidRDefault="00AF76D5" w:rsidP="009E1D3B">
            <w:pPr>
              <w:pStyle w:val="TableText"/>
              <w:jc w:val="center"/>
              <w:rPr>
                <w:b/>
              </w:rPr>
            </w:pPr>
            <w:r>
              <w:rPr>
                <w:b/>
              </w:rPr>
              <w:t>Blood Product</w:t>
            </w:r>
          </w:p>
        </w:tc>
        <w:tc>
          <w:tcPr>
            <w:tcW w:w="1236" w:type="dxa"/>
            <w:gridSpan w:val="3"/>
            <w:tcBorders>
              <w:top w:val="single" w:sz="4" w:space="0" w:color="auto"/>
              <w:left w:val="single" w:sz="4" w:space="0" w:color="auto"/>
              <w:bottom w:val="single" w:sz="4" w:space="0" w:color="auto"/>
              <w:right w:val="single" w:sz="4" w:space="0" w:color="auto"/>
            </w:tcBorders>
            <w:shd w:val="clear" w:color="auto" w:fill="B3B3B3"/>
            <w:vAlign w:val="bottom"/>
          </w:tcPr>
          <w:p w14:paraId="3C5C5822" w14:textId="77777777" w:rsidR="00AF76D5" w:rsidRPr="00B562A7" w:rsidRDefault="00AF76D5" w:rsidP="009C7C13">
            <w:pPr>
              <w:pStyle w:val="TableText"/>
              <w:rPr>
                <w:b/>
              </w:rPr>
            </w:pPr>
            <w:r>
              <w:rPr>
                <w:b/>
              </w:rPr>
              <w:t>HCPCS</w:t>
            </w:r>
          </w:p>
        </w:tc>
        <w:tc>
          <w:tcPr>
            <w:tcW w:w="5678" w:type="dxa"/>
            <w:gridSpan w:val="4"/>
            <w:tcBorders>
              <w:top w:val="single" w:sz="4" w:space="0" w:color="auto"/>
              <w:left w:val="single" w:sz="4" w:space="0" w:color="auto"/>
              <w:bottom w:val="single" w:sz="4" w:space="0" w:color="auto"/>
              <w:right w:val="single" w:sz="4" w:space="0" w:color="auto"/>
            </w:tcBorders>
            <w:shd w:val="clear" w:color="auto" w:fill="B3B3B3"/>
            <w:vAlign w:val="bottom"/>
          </w:tcPr>
          <w:p w14:paraId="3DADD489" w14:textId="77777777" w:rsidR="00AF76D5" w:rsidRPr="00B562A7" w:rsidRDefault="00AF76D5" w:rsidP="009E1D3B">
            <w:pPr>
              <w:pStyle w:val="TableText"/>
              <w:jc w:val="center"/>
              <w:rPr>
                <w:b/>
              </w:rPr>
            </w:pPr>
            <w:r>
              <w:rPr>
                <w:b/>
              </w:rPr>
              <w:t>Product Shippers</w:t>
            </w:r>
          </w:p>
        </w:tc>
      </w:tr>
      <w:tr w:rsidR="00AF76D5" w:rsidRPr="00B562A7" w14:paraId="26541F76" w14:textId="77777777">
        <w:trPr>
          <w:tblHeader/>
        </w:trPr>
        <w:tc>
          <w:tcPr>
            <w:tcW w:w="1224" w:type="dxa"/>
            <w:shd w:val="clear" w:color="auto" w:fill="B3B3B3"/>
            <w:vAlign w:val="bottom"/>
          </w:tcPr>
          <w:p w14:paraId="5B590FF2" w14:textId="77777777" w:rsidR="002E3C00" w:rsidRPr="00B562A7" w:rsidRDefault="002E3C00" w:rsidP="002E3C00">
            <w:pPr>
              <w:pStyle w:val="TableText"/>
              <w:rPr>
                <w:b/>
              </w:rPr>
            </w:pPr>
            <w:r w:rsidRPr="00B562A7">
              <w:rPr>
                <w:b/>
              </w:rPr>
              <w:t xml:space="preserve">Product </w:t>
            </w:r>
            <w:r w:rsidRPr="00B562A7">
              <w:rPr>
                <w:b/>
              </w:rPr>
              <w:br/>
              <w:t>Code</w:t>
            </w:r>
          </w:p>
        </w:tc>
        <w:tc>
          <w:tcPr>
            <w:tcW w:w="1229" w:type="dxa"/>
            <w:gridSpan w:val="2"/>
            <w:shd w:val="clear" w:color="auto" w:fill="B3B3B3"/>
            <w:vAlign w:val="bottom"/>
          </w:tcPr>
          <w:p w14:paraId="02C58BF6" w14:textId="77777777" w:rsidR="002E3C00" w:rsidRPr="00B562A7" w:rsidRDefault="002E3C00" w:rsidP="002E3C00">
            <w:pPr>
              <w:pStyle w:val="TableText"/>
              <w:rPr>
                <w:b/>
              </w:rPr>
            </w:pPr>
            <w:r w:rsidRPr="00B562A7">
              <w:rPr>
                <w:b/>
              </w:rPr>
              <w:t>Short Product Name</w:t>
            </w:r>
          </w:p>
        </w:tc>
        <w:tc>
          <w:tcPr>
            <w:tcW w:w="1223" w:type="dxa"/>
            <w:shd w:val="clear" w:color="auto" w:fill="B3B3B3"/>
            <w:vAlign w:val="bottom"/>
          </w:tcPr>
          <w:p w14:paraId="6F97160F" w14:textId="77777777" w:rsidR="002E3C00" w:rsidRPr="00B562A7" w:rsidRDefault="00AF76D5" w:rsidP="002E3C00">
            <w:pPr>
              <w:pStyle w:val="TableText"/>
              <w:rPr>
                <w:b/>
              </w:rPr>
            </w:pPr>
            <w:r>
              <w:rPr>
                <w:b/>
              </w:rPr>
              <w:t>HCPCS C</w:t>
            </w:r>
            <w:r w:rsidR="002E3C00" w:rsidRPr="00B562A7">
              <w:rPr>
                <w:b/>
              </w:rPr>
              <w:t>ode</w:t>
            </w:r>
          </w:p>
        </w:tc>
        <w:tc>
          <w:tcPr>
            <w:tcW w:w="2014" w:type="dxa"/>
            <w:gridSpan w:val="2"/>
            <w:shd w:val="clear" w:color="auto" w:fill="B3B3B3"/>
            <w:vAlign w:val="bottom"/>
          </w:tcPr>
          <w:p w14:paraId="12363869" w14:textId="77777777" w:rsidR="002E3C00" w:rsidRPr="00B562A7" w:rsidRDefault="002E3C00" w:rsidP="002E3C00">
            <w:pPr>
              <w:pStyle w:val="TableText"/>
              <w:rPr>
                <w:b/>
              </w:rPr>
            </w:pPr>
            <w:r w:rsidRPr="00B562A7">
              <w:rPr>
                <w:b/>
              </w:rPr>
              <w:t>Shipper</w:t>
            </w:r>
            <w:r>
              <w:rPr>
                <w:b/>
              </w:rPr>
              <w:t xml:space="preserve"> Name</w:t>
            </w:r>
          </w:p>
        </w:tc>
        <w:tc>
          <w:tcPr>
            <w:tcW w:w="1224" w:type="dxa"/>
            <w:shd w:val="clear" w:color="auto" w:fill="B3B3B3"/>
            <w:vAlign w:val="bottom"/>
          </w:tcPr>
          <w:p w14:paraId="451EE165" w14:textId="77777777" w:rsidR="002E3C00" w:rsidRPr="00B562A7" w:rsidRDefault="002E3C00" w:rsidP="002E3C00">
            <w:pPr>
              <w:pStyle w:val="TableText"/>
              <w:rPr>
                <w:b/>
              </w:rPr>
            </w:pPr>
            <w:r w:rsidRPr="00B562A7">
              <w:rPr>
                <w:b/>
              </w:rPr>
              <w:t xml:space="preserve">FDA </w:t>
            </w:r>
            <w:r w:rsidR="00D54264">
              <w:rPr>
                <w:b/>
              </w:rPr>
              <w:t>Reg. #</w:t>
            </w:r>
          </w:p>
        </w:tc>
        <w:tc>
          <w:tcPr>
            <w:tcW w:w="1223" w:type="dxa"/>
            <w:shd w:val="clear" w:color="auto" w:fill="B3B3B3"/>
            <w:vAlign w:val="bottom"/>
          </w:tcPr>
          <w:p w14:paraId="4CB9C3F2" w14:textId="77777777" w:rsidR="002E3C00" w:rsidRPr="00B562A7" w:rsidRDefault="002E3C00" w:rsidP="002E3C00">
            <w:pPr>
              <w:pStyle w:val="TableText"/>
              <w:rPr>
                <w:b/>
              </w:rPr>
            </w:pPr>
            <w:r w:rsidRPr="00B562A7">
              <w:rPr>
                <w:b/>
              </w:rPr>
              <w:t xml:space="preserve">Cost </w:t>
            </w:r>
            <w:r>
              <w:rPr>
                <w:b/>
              </w:rPr>
              <w:t>($)</w:t>
            </w:r>
          </w:p>
        </w:tc>
        <w:tc>
          <w:tcPr>
            <w:tcW w:w="1223" w:type="dxa"/>
            <w:shd w:val="clear" w:color="auto" w:fill="B3B3B3"/>
            <w:vAlign w:val="bottom"/>
          </w:tcPr>
          <w:p w14:paraId="0D9EF61B" w14:textId="77777777" w:rsidR="002E3C00" w:rsidRPr="00B562A7" w:rsidRDefault="002E3C00" w:rsidP="002E3C00">
            <w:pPr>
              <w:pStyle w:val="TableText"/>
              <w:rPr>
                <w:b/>
              </w:rPr>
            </w:pPr>
            <w:r w:rsidRPr="00B562A7">
              <w:rPr>
                <w:b/>
              </w:rPr>
              <w:t xml:space="preserve">Return </w:t>
            </w:r>
            <w:r>
              <w:rPr>
                <w:b/>
              </w:rPr>
              <w:t>Credit %</w:t>
            </w:r>
          </w:p>
        </w:tc>
      </w:tr>
      <w:tr w:rsidR="00AF76D5" w14:paraId="498DCF79" w14:textId="77777777">
        <w:tc>
          <w:tcPr>
            <w:tcW w:w="1224" w:type="dxa"/>
          </w:tcPr>
          <w:p w14:paraId="0447A772" w14:textId="77777777" w:rsidR="002E3C00" w:rsidRDefault="002E3C00" w:rsidP="002E3C00">
            <w:pPr>
              <w:pStyle w:val="TableText"/>
            </w:pPr>
            <w:r>
              <w:t>04020</w:t>
            </w:r>
          </w:p>
        </w:tc>
        <w:tc>
          <w:tcPr>
            <w:tcW w:w="1229" w:type="dxa"/>
            <w:gridSpan w:val="2"/>
          </w:tcPr>
          <w:p w14:paraId="4BEF6F05" w14:textId="77777777" w:rsidR="002E3C00" w:rsidRDefault="002E3C00" w:rsidP="002E3C00">
            <w:pPr>
              <w:pStyle w:val="TableText"/>
            </w:pPr>
            <w:r>
              <w:t>RBC</w:t>
            </w:r>
            <w:r w:rsidR="0017175D">
              <w:t xml:space="preserve"> ACD-A</w:t>
            </w:r>
          </w:p>
        </w:tc>
        <w:tc>
          <w:tcPr>
            <w:tcW w:w="1223" w:type="dxa"/>
          </w:tcPr>
          <w:p w14:paraId="3B82EBE8" w14:textId="77777777" w:rsidR="002E3C00" w:rsidRDefault="00D54264" w:rsidP="002E3C00">
            <w:pPr>
              <w:pStyle w:val="TableText"/>
            </w:pPr>
            <w:r>
              <w:t>P2028</w:t>
            </w:r>
          </w:p>
        </w:tc>
        <w:tc>
          <w:tcPr>
            <w:tcW w:w="2014" w:type="dxa"/>
            <w:gridSpan w:val="2"/>
          </w:tcPr>
          <w:p w14:paraId="28A0FC00" w14:textId="77777777" w:rsidR="002E3C00" w:rsidRDefault="00D54264" w:rsidP="002E3C00">
            <w:pPr>
              <w:pStyle w:val="TableText"/>
            </w:pPr>
            <w:r>
              <w:t>Abington Memorial Hospital</w:t>
            </w:r>
          </w:p>
        </w:tc>
        <w:tc>
          <w:tcPr>
            <w:tcW w:w="1224" w:type="dxa"/>
          </w:tcPr>
          <w:p w14:paraId="42F041E0" w14:textId="77777777" w:rsidR="002E3C00" w:rsidRDefault="00D54264" w:rsidP="002E3C00">
            <w:pPr>
              <w:pStyle w:val="TableText"/>
            </w:pPr>
            <w:r>
              <w:t>2577690</w:t>
            </w:r>
          </w:p>
        </w:tc>
        <w:tc>
          <w:tcPr>
            <w:tcW w:w="1223" w:type="dxa"/>
          </w:tcPr>
          <w:p w14:paraId="161BF8DB" w14:textId="77777777" w:rsidR="002E3C00" w:rsidRDefault="002E3C00" w:rsidP="002E3C00">
            <w:pPr>
              <w:pStyle w:val="TableText"/>
            </w:pPr>
            <w:r>
              <w:t>$150.00</w:t>
            </w:r>
          </w:p>
        </w:tc>
        <w:tc>
          <w:tcPr>
            <w:tcW w:w="1223" w:type="dxa"/>
          </w:tcPr>
          <w:p w14:paraId="4A26B22A" w14:textId="77777777" w:rsidR="002E3C00" w:rsidRDefault="002E3C00" w:rsidP="002E3C00">
            <w:pPr>
              <w:pStyle w:val="TableText"/>
            </w:pPr>
            <w:r>
              <w:t>0</w:t>
            </w:r>
          </w:p>
        </w:tc>
      </w:tr>
    </w:tbl>
    <w:p w14:paraId="605D231B" w14:textId="139739DA" w:rsidR="00B24B8C" w:rsidRDefault="00B24B8C" w:rsidP="00B24B8C">
      <w:pPr>
        <w:pStyle w:val="Caption"/>
      </w:pPr>
      <w:bookmarkStart w:id="746" w:name="_Toc85895789"/>
      <w:bookmarkStart w:id="747" w:name="_Toc113264247"/>
      <w:bookmarkStart w:id="748" w:name="_Toc114462102"/>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647F4E">
        <w:rPr>
          <w:noProof/>
        </w:rPr>
        <w:t>30</w:t>
      </w:r>
      <w:r w:rsidR="004E20BD">
        <w:rPr>
          <w:noProof/>
        </w:rPr>
        <w:fldChar w:fldCharType="end"/>
      </w:r>
      <w:r>
        <w:t>: Blood Products Worksheet</w:t>
      </w:r>
      <w:r>
        <w:fldChar w:fldCharType="begin"/>
      </w:r>
      <w:r>
        <w:instrText xml:space="preserve"> XE "Tables:</w:instrText>
      </w:r>
      <w:r w:rsidRPr="0046419F">
        <w:instrText>Blood Products Worksheet</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4"/>
        <w:gridCol w:w="1222"/>
        <w:gridCol w:w="7"/>
        <w:gridCol w:w="1223"/>
        <w:gridCol w:w="6"/>
        <w:gridCol w:w="2008"/>
        <w:gridCol w:w="1224"/>
        <w:gridCol w:w="1223"/>
        <w:gridCol w:w="1223"/>
      </w:tblGrid>
      <w:tr w:rsidR="00B24B8C" w:rsidRPr="00B562A7" w14:paraId="1FBB39A1" w14:textId="77777777">
        <w:trPr>
          <w:tblHeader/>
        </w:trPr>
        <w:tc>
          <w:tcPr>
            <w:tcW w:w="2446" w:type="dxa"/>
            <w:gridSpan w:val="2"/>
            <w:tcBorders>
              <w:top w:val="single" w:sz="4" w:space="0" w:color="auto"/>
              <w:left w:val="single" w:sz="4" w:space="0" w:color="auto"/>
              <w:bottom w:val="single" w:sz="4" w:space="0" w:color="auto"/>
              <w:right w:val="single" w:sz="4" w:space="0" w:color="auto"/>
            </w:tcBorders>
            <w:shd w:val="clear" w:color="auto" w:fill="B3B3B3"/>
          </w:tcPr>
          <w:p w14:paraId="7018ADF4" w14:textId="77777777" w:rsidR="00B24B8C" w:rsidRPr="00B562A7" w:rsidRDefault="00B24B8C" w:rsidP="009E1D3B">
            <w:pPr>
              <w:pStyle w:val="TableText"/>
              <w:jc w:val="center"/>
              <w:rPr>
                <w:b/>
              </w:rPr>
            </w:pPr>
            <w:r>
              <w:rPr>
                <w:b/>
              </w:rPr>
              <w:t>Blood Product</w:t>
            </w:r>
          </w:p>
        </w:tc>
        <w:tc>
          <w:tcPr>
            <w:tcW w:w="1236" w:type="dxa"/>
            <w:gridSpan w:val="3"/>
            <w:tcBorders>
              <w:top w:val="single" w:sz="4" w:space="0" w:color="auto"/>
              <w:left w:val="single" w:sz="4" w:space="0" w:color="auto"/>
              <w:bottom w:val="single" w:sz="4" w:space="0" w:color="auto"/>
              <w:right w:val="single" w:sz="4" w:space="0" w:color="auto"/>
            </w:tcBorders>
            <w:shd w:val="clear" w:color="auto" w:fill="B3B3B3"/>
          </w:tcPr>
          <w:p w14:paraId="7DD66019" w14:textId="77777777" w:rsidR="00B24B8C" w:rsidRPr="00B562A7" w:rsidRDefault="00B24B8C" w:rsidP="009C7C13">
            <w:pPr>
              <w:pStyle w:val="TableText"/>
              <w:rPr>
                <w:b/>
              </w:rPr>
            </w:pPr>
            <w:r>
              <w:rPr>
                <w:b/>
              </w:rPr>
              <w:t>HCPCS</w:t>
            </w:r>
          </w:p>
        </w:tc>
        <w:tc>
          <w:tcPr>
            <w:tcW w:w="5678" w:type="dxa"/>
            <w:gridSpan w:val="4"/>
            <w:tcBorders>
              <w:top w:val="single" w:sz="4" w:space="0" w:color="auto"/>
              <w:left w:val="single" w:sz="4" w:space="0" w:color="auto"/>
              <w:bottom w:val="single" w:sz="4" w:space="0" w:color="auto"/>
              <w:right w:val="single" w:sz="4" w:space="0" w:color="auto"/>
            </w:tcBorders>
            <w:shd w:val="clear" w:color="auto" w:fill="B3B3B3"/>
          </w:tcPr>
          <w:p w14:paraId="2431A608" w14:textId="77777777" w:rsidR="00B24B8C" w:rsidRPr="00B562A7" w:rsidRDefault="00B24B8C" w:rsidP="009E1D3B">
            <w:pPr>
              <w:pStyle w:val="TableText"/>
              <w:jc w:val="center"/>
              <w:rPr>
                <w:b/>
              </w:rPr>
            </w:pPr>
            <w:r>
              <w:rPr>
                <w:b/>
              </w:rPr>
              <w:t>Product Shippers</w:t>
            </w:r>
          </w:p>
        </w:tc>
      </w:tr>
      <w:tr w:rsidR="00B24B8C" w:rsidRPr="00B562A7" w14:paraId="5CD87ECF" w14:textId="77777777">
        <w:trPr>
          <w:tblHeader/>
        </w:trPr>
        <w:tc>
          <w:tcPr>
            <w:tcW w:w="1224" w:type="dxa"/>
            <w:shd w:val="clear" w:color="auto" w:fill="B3B3B3"/>
            <w:vAlign w:val="bottom"/>
          </w:tcPr>
          <w:p w14:paraId="6C9E9C38" w14:textId="77777777" w:rsidR="00B24B8C" w:rsidRPr="00B562A7" w:rsidRDefault="00B24B8C" w:rsidP="001D706D">
            <w:pPr>
              <w:pStyle w:val="TableText"/>
              <w:rPr>
                <w:b/>
              </w:rPr>
            </w:pPr>
            <w:r w:rsidRPr="00B562A7">
              <w:rPr>
                <w:b/>
              </w:rPr>
              <w:t xml:space="preserve">Product </w:t>
            </w:r>
            <w:r w:rsidRPr="00B562A7">
              <w:rPr>
                <w:b/>
              </w:rPr>
              <w:br/>
              <w:t>Code</w:t>
            </w:r>
          </w:p>
        </w:tc>
        <w:tc>
          <w:tcPr>
            <w:tcW w:w="1229" w:type="dxa"/>
            <w:gridSpan w:val="2"/>
            <w:shd w:val="clear" w:color="auto" w:fill="B3B3B3"/>
            <w:vAlign w:val="bottom"/>
          </w:tcPr>
          <w:p w14:paraId="1BDBFC2B" w14:textId="77777777" w:rsidR="00B24B8C" w:rsidRPr="00B562A7" w:rsidRDefault="00B24B8C" w:rsidP="001D706D">
            <w:pPr>
              <w:pStyle w:val="TableText"/>
              <w:rPr>
                <w:b/>
              </w:rPr>
            </w:pPr>
            <w:r w:rsidRPr="00B562A7">
              <w:rPr>
                <w:b/>
              </w:rPr>
              <w:t>Short Product Name</w:t>
            </w:r>
          </w:p>
        </w:tc>
        <w:tc>
          <w:tcPr>
            <w:tcW w:w="1223" w:type="dxa"/>
            <w:shd w:val="clear" w:color="auto" w:fill="B3B3B3"/>
            <w:vAlign w:val="bottom"/>
          </w:tcPr>
          <w:p w14:paraId="6165BFC8" w14:textId="77777777" w:rsidR="00B24B8C" w:rsidRPr="00B562A7" w:rsidRDefault="00B24B8C" w:rsidP="001D706D">
            <w:pPr>
              <w:pStyle w:val="TableText"/>
              <w:rPr>
                <w:b/>
              </w:rPr>
            </w:pPr>
            <w:r>
              <w:rPr>
                <w:b/>
              </w:rPr>
              <w:t>HCPCS C</w:t>
            </w:r>
            <w:r w:rsidRPr="00B562A7">
              <w:rPr>
                <w:b/>
              </w:rPr>
              <w:t>ode</w:t>
            </w:r>
          </w:p>
        </w:tc>
        <w:tc>
          <w:tcPr>
            <w:tcW w:w="2014" w:type="dxa"/>
            <w:gridSpan w:val="2"/>
            <w:shd w:val="clear" w:color="auto" w:fill="B3B3B3"/>
            <w:vAlign w:val="bottom"/>
          </w:tcPr>
          <w:p w14:paraId="177B4469" w14:textId="77777777" w:rsidR="00B24B8C" w:rsidRPr="00B562A7" w:rsidRDefault="00B24B8C" w:rsidP="001D706D">
            <w:pPr>
              <w:pStyle w:val="TableText"/>
              <w:rPr>
                <w:b/>
              </w:rPr>
            </w:pPr>
            <w:r w:rsidRPr="00B562A7">
              <w:rPr>
                <w:b/>
              </w:rPr>
              <w:t>Shipper</w:t>
            </w:r>
            <w:r>
              <w:rPr>
                <w:b/>
              </w:rPr>
              <w:t xml:space="preserve"> Name</w:t>
            </w:r>
          </w:p>
        </w:tc>
        <w:tc>
          <w:tcPr>
            <w:tcW w:w="1224" w:type="dxa"/>
            <w:shd w:val="clear" w:color="auto" w:fill="B3B3B3"/>
            <w:vAlign w:val="bottom"/>
          </w:tcPr>
          <w:p w14:paraId="6EFC2112" w14:textId="77777777" w:rsidR="00B24B8C" w:rsidRPr="00B562A7" w:rsidRDefault="00B24B8C" w:rsidP="001D706D">
            <w:pPr>
              <w:pStyle w:val="TableText"/>
              <w:rPr>
                <w:b/>
              </w:rPr>
            </w:pPr>
            <w:r w:rsidRPr="00B562A7">
              <w:rPr>
                <w:b/>
              </w:rPr>
              <w:t xml:space="preserve">FDA </w:t>
            </w:r>
            <w:r>
              <w:rPr>
                <w:b/>
              </w:rPr>
              <w:t>Reg. #</w:t>
            </w:r>
          </w:p>
        </w:tc>
        <w:tc>
          <w:tcPr>
            <w:tcW w:w="1223" w:type="dxa"/>
            <w:shd w:val="clear" w:color="auto" w:fill="B3B3B3"/>
            <w:vAlign w:val="bottom"/>
          </w:tcPr>
          <w:p w14:paraId="598DA0D4" w14:textId="77777777" w:rsidR="00B24B8C" w:rsidRPr="00B562A7" w:rsidRDefault="00B24B8C" w:rsidP="001D706D">
            <w:pPr>
              <w:pStyle w:val="TableText"/>
              <w:rPr>
                <w:b/>
              </w:rPr>
            </w:pPr>
            <w:r w:rsidRPr="00B562A7">
              <w:rPr>
                <w:b/>
              </w:rPr>
              <w:t xml:space="preserve">Cost </w:t>
            </w:r>
            <w:r>
              <w:rPr>
                <w:b/>
              </w:rPr>
              <w:t>($)</w:t>
            </w:r>
          </w:p>
        </w:tc>
        <w:tc>
          <w:tcPr>
            <w:tcW w:w="1223" w:type="dxa"/>
            <w:shd w:val="clear" w:color="auto" w:fill="B3B3B3"/>
            <w:vAlign w:val="bottom"/>
          </w:tcPr>
          <w:p w14:paraId="295FD76F" w14:textId="77777777" w:rsidR="00B24B8C" w:rsidRPr="00B562A7" w:rsidRDefault="00B24B8C" w:rsidP="001D706D">
            <w:pPr>
              <w:pStyle w:val="TableText"/>
              <w:rPr>
                <w:b/>
              </w:rPr>
            </w:pPr>
            <w:r w:rsidRPr="00B562A7">
              <w:rPr>
                <w:b/>
              </w:rPr>
              <w:t xml:space="preserve">Return </w:t>
            </w:r>
            <w:r>
              <w:rPr>
                <w:b/>
              </w:rPr>
              <w:t>Credit %</w:t>
            </w:r>
          </w:p>
        </w:tc>
      </w:tr>
      <w:tr w:rsidR="00B24B8C" w14:paraId="4777899E" w14:textId="77777777">
        <w:tc>
          <w:tcPr>
            <w:tcW w:w="1224" w:type="dxa"/>
          </w:tcPr>
          <w:p w14:paraId="7885C1F5" w14:textId="77777777" w:rsidR="00B24B8C" w:rsidRDefault="00B24B8C" w:rsidP="001D706D">
            <w:pPr>
              <w:pStyle w:val="TableText"/>
            </w:pPr>
          </w:p>
        </w:tc>
        <w:tc>
          <w:tcPr>
            <w:tcW w:w="1229" w:type="dxa"/>
            <w:gridSpan w:val="2"/>
          </w:tcPr>
          <w:p w14:paraId="3E6ED063" w14:textId="77777777" w:rsidR="00B24B8C" w:rsidRDefault="00B24B8C" w:rsidP="001D706D">
            <w:pPr>
              <w:pStyle w:val="TableText"/>
            </w:pPr>
          </w:p>
        </w:tc>
        <w:tc>
          <w:tcPr>
            <w:tcW w:w="1223" w:type="dxa"/>
          </w:tcPr>
          <w:p w14:paraId="3C3D2D86" w14:textId="77777777" w:rsidR="00B24B8C" w:rsidRDefault="00B24B8C" w:rsidP="001D706D">
            <w:pPr>
              <w:pStyle w:val="TableText"/>
            </w:pPr>
          </w:p>
        </w:tc>
        <w:tc>
          <w:tcPr>
            <w:tcW w:w="2014" w:type="dxa"/>
            <w:gridSpan w:val="2"/>
          </w:tcPr>
          <w:p w14:paraId="12083311" w14:textId="77777777" w:rsidR="00B24B8C" w:rsidRDefault="00B24B8C" w:rsidP="001D706D">
            <w:pPr>
              <w:pStyle w:val="TableText"/>
            </w:pPr>
          </w:p>
        </w:tc>
        <w:tc>
          <w:tcPr>
            <w:tcW w:w="1224" w:type="dxa"/>
          </w:tcPr>
          <w:p w14:paraId="5F9BCE4B" w14:textId="77777777" w:rsidR="00B24B8C" w:rsidRDefault="00B24B8C" w:rsidP="001D706D">
            <w:pPr>
              <w:pStyle w:val="TableText"/>
            </w:pPr>
          </w:p>
        </w:tc>
        <w:tc>
          <w:tcPr>
            <w:tcW w:w="1223" w:type="dxa"/>
          </w:tcPr>
          <w:p w14:paraId="7745F925" w14:textId="77777777" w:rsidR="00B24B8C" w:rsidRDefault="00B24B8C" w:rsidP="001D706D">
            <w:pPr>
              <w:pStyle w:val="TableText"/>
            </w:pPr>
          </w:p>
        </w:tc>
        <w:tc>
          <w:tcPr>
            <w:tcW w:w="1223" w:type="dxa"/>
          </w:tcPr>
          <w:p w14:paraId="527401D7" w14:textId="77777777" w:rsidR="00B24B8C" w:rsidRDefault="00B24B8C" w:rsidP="001D706D">
            <w:pPr>
              <w:pStyle w:val="TableText"/>
            </w:pPr>
          </w:p>
        </w:tc>
      </w:tr>
      <w:tr w:rsidR="00B24B8C" w14:paraId="67154AA5" w14:textId="77777777">
        <w:tc>
          <w:tcPr>
            <w:tcW w:w="1224" w:type="dxa"/>
          </w:tcPr>
          <w:p w14:paraId="4FE75D8C" w14:textId="77777777" w:rsidR="00B24B8C" w:rsidRDefault="00B24B8C" w:rsidP="001D706D">
            <w:pPr>
              <w:pStyle w:val="TableText"/>
            </w:pPr>
          </w:p>
        </w:tc>
        <w:tc>
          <w:tcPr>
            <w:tcW w:w="1229" w:type="dxa"/>
            <w:gridSpan w:val="2"/>
          </w:tcPr>
          <w:p w14:paraId="79FC93F4" w14:textId="77777777" w:rsidR="00B24B8C" w:rsidRDefault="00B24B8C" w:rsidP="001D706D">
            <w:pPr>
              <w:pStyle w:val="TableText"/>
            </w:pPr>
          </w:p>
        </w:tc>
        <w:tc>
          <w:tcPr>
            <w:tcW w:w="1223" w:type="dxa"/>
          </w:tcPr>
          <w:p w14:paraId="69C4FE82" w14:textId="77777777" w:rsidR="00B24B8C" w:rsidRDefault="00B24B8C" w:rsidP="001D706D">
            <w:pPr>
              <w:pStyle w:val="TableText"/>
            </w:pPr>
          </w:p>
        </w:tc>
        <w:tc>
          <w:tcPr>
            <w:tcW w:w="2014" w:type="dxa"/>
            <w:gridSpan w:val="2"/>
          </w:tcPr>
          <w:p w14:paraId="4564BFA1" w14:textId="77777777" w:rsidR="00B24B8C" w:rsidRDefault="00B24B8C" w:rsidP="001D706D">
            <w:pPr>
              <w:pStyle w:val="TableText"/>
            </w:pPr>
          </w:p>
        </w:tc>
        <w:tc>
          <w:tcPr>
            <w:tcW w:w="1224" w:type="dxa"/>
          </w:tcPr>
          <w:p w14:paraId="45186DBD" w14:textId="77777777" w:rsidR="00B24B8C" w:rsidRDefault="00B24B8C" w:rsidP="001D706D">
            <w:pPr>
              <w:pStyle w:val="TableText"/>
            </w:pPr>
          </w:p>
        </w:tc>
        <w:tc>
          <w:tcPr>
            <w:tcW w:w="1223" w:type="dxa"/>
          </w:tcPr>
          <w:p w14:paraId="5536B4DD" w14:textId="77777777" w:rsidR="00B24B8C" w:rsidRDefault="00B24B8C" w:rsidP="001D706D">
            <w:pPr>
              <w:pStyle w:val="TableText"/>
            </w:pPr>
          </w:p>
        </w:tc>
        <w:tc>
          <w:tcPr>
            <w:tcW w:w="1223" w:type="dxa"/>
          </w:tcPr>
          <w:p w14:paraId="2EC56DE2" w14:textId="77777777" w:rsidR="00B24B8C" w:rsidRDefault="00B24B8C" w:rsidP="001D706D">
            <w:pPr>
              <w:pStyle w:val="TableText"/>
            </w:pPr>
          </w:p>
        </w:tc>
      </w:tr>
      <w:tr w:rsidR="00B24B8C" w14:paraId="1657ED2E" w14:textId="77777777">
        <w:tc>
          <w:tcPr>
            <w:tcW w:w="1224" w:type="dxa"/>
          </w:tcPr>
          <w:p w14:paraId="36DD8A16" w14:textId="77777777" w:rsidR="00B24B8C" w:rsidRDefault="00B24B8C" w:rsidP="001D706D">
            <w:pPr>
              <w:pStyle w:val="TableText"/>
            </w:pPr>
          </w:p>
        </w:tc>
        <w:tc>
          <w:tcPr>
            <w:tcW w:w="1229" w:type="dxa"/>
            <w:gridSpan w:val="2"/>
          </w:tcPr>
          <w:p w14:paraId="6C074847" w14:textId="77777777" w:rsidR="00B24B8C" w:rsidRDefault="00B24B8C" w:rsidP="001D706D">
            <w:pPr>
              <w:pStyle w:val="TableText"/>
            </w:pPr>
          </w:p>
        </w:tc>
        <w:tc>
          <w:tcPr>
            <w:tcW w:w="1223" w:type="dxa"/>
          </w:tcPr>
          <w:p w14:paraId="6E6CC746" w14:textId="77777777" w:rsidR="00B24B8C" w:rsidRDefault="00B24B8C" w:rsidP="001D706D">
            <w:pPr>
              <w:pStyle w:val="TableText"/>
            </w:pPr>
          </w:p>
        </w:tc>
        <w:tc>
          <w:tcPr>
            <w:tcW w:w="2014" w:type="dxa"/>
            <w:gridSpan w:val="2"/>
          </w:tcPr>
          <w:p w14:paraId="5E25AF74" w14:textId="77777777" w:rsidR="00B24B8C" w:rsidRDefault="00B24B8C" w:rsidP="001D706D">
            <w:pPr>
              <w:pStyle w:val="TableText"/>
            </w:pPr>
          </w:p>
        </w:tc>
        <w:tc>
          <w:tcPr>
            <w:tcW w:w="1224" w:type="dxa"/>
          </w:tcPr>
          <w:p w14:paraId="66C8EC0D" w14:textId="77777777" w:rsidR="00B24B8C" w:rsidRDefault="00B24B8C" w:rsidP="001D706D">
            <w:pPr>
              <w:pStyle w:val="TableText"/>
            </w:pPr>
          </w:p>
        </w:tc>
        <w:tc>
          <w:tcPr>
            <w:tcW w:w="1223" w:type="dxa"/>
          </w:tcPr>
          <w:p w14:paraId="451492AD" w14:textId="77777777" w:rsidR="00B24B8C" w:rsidRDefault="00B24B8C" w:rsidP="001D706D">
            <w:pPr>
              <w:pStyle w:val="TableText"/>
            </w:pPr>
          </w:p>
        </w:tc>
        <w:tc>
          <w:tcPr>
            <w:tcW w:w="1223" w:type="dxa"/>
          </w:tcPr>
          <w:p w14:paraId="414BDC87" w14:textId="77777777" w:rsidR="00B24B8C" w:rsidRDefault="00B24B8C" w:rsidP="001D706D">
            <w:pPr>
              <w:pStyle w:val="TableText"/>
            </w:pPr>
          </w:p>
        </w:tc>
      </w:tr>
      <w:tr w:rsidR="00B24B8C" w14:paraId="6143EDCD" w14:textId="77777777">
        <w:tc>
          <w:tcPr>
            <w:tcW w:w="1224" w:type="dxa"/>
          </w:tcPr>
          <w:p w14:paraId="4632B1C9" w14:textId="77777777" w:rsidR="00B24B8C" w:rsidRDefault="00B24B8C" w:rsidP="001D706D">
            <w:pPr>
              <w:pStyle w:val="TableText"/>
            </w:pPr>
          </w:p>
        </w:tc>
        <w:tc>
          <w:tcPr>
            <w:tcW w:w="1229" w:type="dxa"/>
            <w:gridSpan w:val="2"/>
          </w:tcPr>
          <w:p w14:paraId="21DB4F14" w14:textId="77777777" w:rsidR="00B24B8C" w:rsidRDefault="00B24B8C" w:rsidP="001D706D">
            <w:pPr>
              <w:pStyle w:val="TableText"/>
            </w:pPr>
          </w:p>
        </w:tc>
        <w:tc>
          <w:tcPr>
            <w:tcW w:w="1223" w:type="dxa"/>
          </w:tcPr>
          <w:p w14:paraId="75756AAF" w14:textId="77777777" w:rsidR="00B24B8C" w:rsidRDefault="00B24B8C" w:rsidP="001D706D">
            <w:pPr>
              <w:pStyle w:val="TableText"/>
            </w:pPr>
          </w:p>
        </w:tc>
        <w:tc>
          <w:tcPr>
            <w:tcW w:w="2014" w:type="dxa"/>
            <w:gridSpan w:val="2"/>
          </w:tcPr>
          <w:p w14:paraId="348AB329" w14:textId="77777777" w:rsidR="00B24B8C" w:rsidRDefault="00B24B8C" w:rsidP="001D706D">
            <w:pPr>
              <w:pStyle w:val="TableText"/>
            </w:pPr>
          </w:p>
        </w:tc>
        <w:tc>
          <w:tcPr>
            <w:tcW w:w="1224" w:type="dxa"/>
          </w:tcPr>
          <w:p w14:paraId="480801D6" w14:textId="77777777" w:rsidR="00B24B8C" w:rsidRDefault="00B24B8C" w:rsidP="001D706D">
            <w:pPr>
              <w:pStyle w:val="TableText"/>
            </w:pPr>
          </w:p>
        </w:tc>
        <w:tc>
          <w:tcPr>
            <w:tcW w:w="1223" w:type="dxa"/>
          </w:tcPr>
          <w:p w14:paraId="763B55B1" w14:textId="77777777" w:rsidR="00B24B8C" w:rsidRDefault="00B24B8C" w:rsidP="001D706D">
            <w:pPr>
              <w:pStyle w:val="TableText"/>
            </w:pPr>
          </w:p>
        </w:tc>
        <w:tc>
          <w:tcPr>
            <w:tcW w:w="1223" w:type="dxa"/>
          </w:tcPr>
          <w:p w14:paraId="5D53572B" w14:textId="77777777" w:rsidR="00B24B8C" w:rsidRDefault="00B24B8C" w:rsidP="001D706D">
            <w:pPr>
              <w:pStyle w:val="TableText"/>
            </w:pPr>
          </w:p>
        </w:tc>
      </w:tr>
      <w:tr w:rsidR="00B24B8C" w14:paraId="20C83CD3" w14:textId="77777777">
        <w:tc>
          <w:tcPr>
            <w:tcW w:w="1224" w:type="dxa"/>
          </w:tcPr>
          <w:p w14:paraId="0606C1DE" w14:textId="77777777" w:rsidR="00B24B8C" w:rsidRDefault="00B24B8C" w:rsidP="001D706D">
            <w:pPr>
              <w:pStyle w:val="TableText"/>
            </w:pPr>
          </w:p>
        </w:tc>
        <w:tc>
          <w:tcPr>
            <w:tcW w:w="1229" w:type="dxa"/>
            <w:gridSpan w:val="2"/>
          </w:tcPr>
          <w:p w14:paraId="4C4826CF" w14:textId="77777777" w:rsidR="00B24B8C" w:rsidRDefault="00B24B8C" w:rsidP="001D706D">
            <w:pPr>
              <w:pStyle w:val="TableText"/>
            </w:pPr>
          </w:p>
        </w:tc>
        <w:tc>
          <w:tcPr>
            <w:tcW w:w="1223" w:type="dxa"/>
          </w:tcPr>
          <w:p w14:paraId="07059FC8" w14:textId="77777777" w:rsidR="00B24B8C" w:rsidRDefault="00B24B8C" w:rsidP="001D706D">
            <w:pPr>
              <w:pStyle w:val="TableText"/>
            </w:pPr>
          </w:p>
        </w:tc>
        <w:tc>
          <w:tcPr>
            <w:tcW w:w="2014" w:type="dxa"/>
            <w:gridSpan w:val="2"/>
          </w:tcPr>
          <w:p w14:paraId="7DCF6131" w14:textId="77777777" w:rsidR="00B24B8C" w:rsidRDefault="00B24B8C" w:rsidP="001D706D">
            <w:pPr>
              <w:pStyle w:val="TableText"/>
            </w:pPr>
          </w:p>
        </w:tc>
        <w:tc>
          <w:tcPr>
            <w:tcW w:w="1224" w:type="dxa"/>
          </w:tcPr>
          <w:p w14:paraId="17D09515" w14:textId="77777777" w:rsidR="00B24B8C" w:rsidRDefault="00B24B8C" w:rsidP="001D706D">
            <w:pPr>
              <w:pStyle w:val="TableText"/>
            </w:pPr>
          </w:p>
        </w:tc>
        <w:tc>
          <w:tcPr>
            <w:tcW w:w="1223" w:type="dxa"/>
          </w:tcPr>
          <w:p w14:paraId="37F3F8E8" w14:textId="77777777" w:rsidR="00B24B8C" w:rsidRDefault="00B24B8C" w:rsidP="001D706D">
            <w:pPr>
              <w:pStyle w:val="TableText"/>
            </w:pPr>
          </w:p>
        </w:tc>
        <w:tc>
          <w:tcPr>
            <w:tcW w:w="1223" w:type="dxa"/>
          </w:tcPr>
          <w:p w14:paraId="25A0B18D" w14:textId="77777777" w:rsidR="00B24B8C" w:rsidRDefault="00B24B8C" w:rsidP="001D706D">
            <w:pPr>
              <w:pStyle w:val="TableText"/>
            </w:pPr>
          </w:p>
        </w:tc>
      </w:tr>
      <w:tr w:rsidR="00B24B8C" w14:paraId="3FEEF0D0" w14:textId="77777777">
        <w:tc>
          <w:tcPr>
            <w:tcW w:w="1224" w:type="dxa"/>
          </w:tcPr>
          <w:p w14:paraId="3CD232E2" w14:textId="77777777" w:rsidR="00B24B8C" w:rsidRDefault="00B24B8C" w:rsidP="001D706D">
            <w:pPr>
              <w:pStyle w:val="TableText"/>
            </w:pPr>
          </w:p>
        </w:tc>
        <w:tc>
          <w:tcPr>
            <w:tcW w:w="1229" w:type="dxa"/>
            <w:gridSpan w:val="2"/>
          </w:tcPr>
          <w:p w14:paraId="66F6E5D6" w14:textId="77777777" w:rsidR="00B24B8C" w:rsidRDefault="00B24B8C" w:rsidP="001D706D">
            <w:pPr>
              <w:pStyle w:val="TableText"/>
            </w:pPr>
          </w:p>
        </w:tc>
        <w:tc>
          <w:tcPr>
            <w:tcW w:w="1223" w:type="dxa"/>
          </w:tcPr>
          <w:p w14:paraId="28DC2580" w14:textId="77777777" w:rsidR="00B24B8C" w:rsidRDefault="00B24B8C" w:rsidP="001D706D">
            <w:pPr>
              <w:pStyle w:val="TableText"/>
            </w:pPr>
          </w:p>
        </w:tc>
        <w:tc>
          <w:tcPr>
            <w:tcW w:w="2014" w:type="dxa"/>
            <w:gridSpan w:val="2"/>
          </w:tcPr>
          <w:p w14:paraId="2097626A" w14:textId="77777777" w:rsidR="00B24B8C" w:rsidRDefault="00B24B8C" w:rsidP="001D706D">
            <w:pPr>
              <w:pStyle w:val="TableText"/>
            </w:pPr>
          </w:p>
        </w:tc>
        <w:tc>
          <w:tcPr>
            <w:tcW w:w="1224" w:type="dxa"/>
          </w:tcPr>
          <w:p w14:paraId="6AA737D9" w14:textId="77777777" w:rsidR="00B24B8C" w:rsidRDefault="00B24B8C" w:rsidP="001D706D">
            <w:pPr>
              <w:pStyle w:val="TableText"/>
            </w:pPr>
          </w:p>
        </w:tc>
        <w:tc>
          <w:tcPr>
            <w:tcW w:w="1223" w:type="dxa"/>
          </w:tcPr>
          <w:p w14:paraId="2C167AA4" w14:textId="77777777" w:rsidR="00B24B8C" w:rsidRDefault="00B24B8C" w:rsidP="001D706D">
            <w:pPr>
              <w:pStyle w:val="TableText"/>
            </w:pPr>
          </w:p>
        </w:tc>
        <w:tc>
          <w:tcPr>
            <w:tcW w:w="1223" w:type="dxa"/>
          </w:tcPr>
          <w:p w14:paraId="756BB440" w14:textId="77777777" w:rsidR="00B24B8C" w:rsidRDefault="00B24B8C" w:rsidP="001D706D">
            <w:pPr>
              <w:pStyle w:val="TableText"/>
            </w:pPr>
          </w:p>
        </w:tc>
      </w:tr>
      <w:tr w:rsidR="00B24B8C" w14:paraId="065CFE03" w14:textId="77777777">
        <w:tc>
          <w:tcPr>
            <w:tcW w:w="1224" w:type="dxa"/>
          </w:tcPr>
          <w:p w14:paraId="4C993540" w14:textId="77777777" w:rsidR="00B24B8C" w:rsidRDefault="00B24B8C" w:rsidP="001D706D">
            <w:pPr>
              <w:pStyle w:val="TableText"/>
            </w:pPr>
          </w:p>
        </w:tc>
        <w:tc>
          <w:tcPr>
            <w:tcW w:w="1229" w:type="dxa"/>
            <w:gridSpan w:val="2"/>
          </w:tcPr>
          <w:p w14:paraId="2C9CC25A" w14:textId="77777777" w:rsidR="00B24B8C" w:rsidRDefault="00B24B8C" w:rsidP="001D706D">
            <w:pPr>
              <w:pStyle w:val="TableText"/>
            </w:pPr>
          </w:p>
        </w:tc>
        <w:tc>
          <w:tcPr>
            <w:tcW w:w="1223" w:type="dxa"/>
          </w:tcPr>
          <w:p w14:paraId="14D8B1F7" w14:textId="77777777" w:rsidR="00B24B8C" w:rsidRDefault="00B24B8C" w:rsidP="001D706D">
            <w:pPr>
              <w:pStyle w:val="TableText"/>
            </w:pPr>
          </w:p>
        </w:tc>
        <w:tc>
          <w:tcPr>
            <w:tcW w:w="2014" w:type="dxa"/>
            <w:gridSpan w:val="2"/>
          </w:tcPr>
          <w:p w14:paraId="58301E35" w14:textId="77777777" w:rsidR="00B24B8C" w:rsidRDefault="00B24B8C" w:rsidP="001D706D">
            <w:pPr>
              <w:pStyle w:val="TableText"/>
            </w:pPr>
          </w:p>
        </w:tc>
        <w:tc>
          <w:tcPr>
            <w:tcW w:w="1224" w:type="dxa"/>
          </w:tcPr>
          <w:p w14:paraId="4903AA0D" w14:textId="77777777" w:rsidR="00B24B8C" w:rsidRDefault="00B24B8C" w:rsidP="001D706D">
            <w:pPr>
              <w:pStyle w:val="TableText"/>
            </w:pPr>
          </w:p>
        </w:tc>
        <w:tc>
          <w:tcPr>
            <w:tcW w:w="1223" w:type="dxa"/>
          </w:tcPr>
          <w:p w14:paraId="2C9F838C" w14:textId="77777777" w:rsidR="00B24B8C" w:rsidRDefault="00B24B8C" w:rsidP="001D706D">
            <w:pPr>
              <w:pStyle w:val="TableText"/>
            </w:pPr>
          </w:p>
        </w:tc>
        <w:tc>
          <w:tcPr>
            <w:tcW w:w="1223" w:type="dxa"/>
          </w:tcPr>
          <w:p w14:paraId="7E866EFE" w14:textId="77777777" w:rsidR="00B24B8C" w:rsidRDefault="00B24B8C" w:rsidP="001D706D">
            <w:pPr>
              <w:pStyle w:val="TableText"/>
            </w:pPr>
          </w:p>
        </w:tc>
      </w:tr>
    </w:tbl>
    <w:p w14:paraId="388976C2" w14:textId="77777777" w:rsidR="007F0132" w:rsidRDefault="007F0132" w:rsidP="002E3C00">
      <w:pPr>
        <w:pStyle w:val="Heading3"/>
      </w:pPr>
    </w:p>
    <w:p w14:paraId="0C9DB6C3" w14:textId="77777777" w:rsidR="002E3C00" w:rsidRDefault="007F0132" w:rsidP="002E3C00">
      <w:pPr>
        <w:pStyle w:val="Heading3"/>
      </w:pPr>
      <w:r>
        <w:br w:type="page"/>
      </w:r>
      <w:bookmarkStart w:id="749" w:name="_Toc4588895"/>
      <w:r w:rsidR="002E3C00">
        <w:lastRenderedPageBreak/>
        <w:t>Local Facilities</w:t>
      </w:r>
      <w:bookmarkEnd w:id="746"/>
      <w:bookmarkEnd w:id="747"/>
      <w:bookmarkEnd w:id="748"/>
      <w:bookmarkEnd w:id="749"/>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Local Facilities</w:instrText>
      </w:r>
      <w:r w:rsidR="00992E88">
        <w:instrText xml:space="preserve">" </w:instrText>
      </w:r>
      <w:r w:rsidR="00992E88">
        <w:fldChar w:fldCharType="end"/>
      </w:r>
    </w:p>
    <w:p w14:paraId="197918DB" w14:textId="685FA64B" w:rsidR="002E3C00" w:rsidRDefault="002E3C00" w:rsidP="002E3C00">
      <w:pPr>
        <w:pStyle w:val="BodyText"/>
      </w:pPr>
      <w:r>
        <w:t>The user customizes collection facility information.</w:t>
      </w:r>
      <w:r w:rsidR="008D2779">
        <w:t xml:space="preserve"> For more information, see </w:t>
      </w:r>
      <w:r w:rsidR="008D2779">
        <w:fldChar w:fldCharType="begin" w:fldLock="1"/>
      </w:r>
      <w:r w:rsidR="008D2779">
        <w:instrText xml:space="preserve"> REF _Ref508960075 \h </w:instrText>
      </w:r>
      <w:r w:rsidR="008D2779">
        <w:fldChar w:fldCharType="separate"/>
      </w:r>
      <w:r w:rsidR="00AB304C">
        <w:t xml:space="preserve">Appendix </w:t>
      </w:r>
      <w:r w:rsidR="00AB304C">
        <w:rPr>
          <w:noProof/>
        </w:rPr>
        <w:t>F</w:t>
      </w:r>
      <w:r w:rsidR="00AB304C">
        <w:t>: Work Process Flowcharts</w:t>
      </w:r>
      <w:r w:rsidR="008D2779">
        <w:fldChar w:fldCharType="end"/>
      </w:r>
      <w:r w:rsidR="008D2779">
        <w:t>.</w:t>
      </w:r>
    </w:p>
    <w:p w14:paraId="55BB3E02" w14:textId="77777777" w:rsidR="002E3C00" w:rsidRDefault="002E3C00" w:rsidP="002E3C00">
      <w:pPr>
        <w:pStyle w:val="Heading4"/>
      </w:pPr>
      <w:r>
        <w:t>User Roles with Access to This Option</w:t>
      </w:r>
    </w:p>
    <w:p w14:paraId="0B46B244" w14:textId="77777777" w:rsidR="002E3C00" w:rsidRDefault="002E3C00" w:rsidP="002E3C00">
      <w:pPr>
        <w:pStyle w:val="Roles"/>
      </w:pPr>
      <w:r>
        <w:t>All users (activate a facility)</w:t>
      </w:r>
    </w:p>
    <w:p w14:paraId="32317E85" w14:textId="77777777" w:rsidR="002E3C00" w:rsidRPr="00FC5C6B" w:rsidRDefault="002E3C00" w:rsidP="002E3C00">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 (add a facility)</w:t>
      </w:r>
    </w:p>
    <w:p w14:paraId="2FCF876A" w14:textId="77777777" w:rsidR="002E3C00" w:rsidRDefault="00B74754" w:rsidP="002E3C00">
      <w:pPr>
        <w:pStyle w:val="Heading4"/>
      </w:pPr>
      <w:r>
        <w:t>Preparation for Testing</w:t>
      </w:r>
    </w:p>
    <w:p w14:paraId="478AB1D8" w14:textId="77777777" w:rsidR="00061FCF" w:rsidRPr="00600497" w:rsidRDefault="00061FCF" w:rsidP="000409B1">
      <w:pPr>
        <w:pStyle w:val="ListNumber"/>
        <w:numPr>
          <w:ilvl w:val="0"/>
          <w:numId w:val="26"/>
        </w:numPr>
        <w:tabs>
          <w:tab w:val="clear" w:pos="720"/>
          <w:tab w:val="num" w:pos="360"/>
        </w:tabs>
        <w:ind w:left="360"/>
      </w:pPr>
      <w:r w:rsidRPr="00600497">
        <w:t>Use the sample worksheet to record information.</w:t>
      </w:r>
    </w:p>
    <w:p w14:paraId="2ED5781F" w14:textId="77777777" w:rsidR="002E3C00" w:rsidRPr="00600497" w:rsidRDefault="002E3C00" w:rsidP="000409B1">
      <w:pPr>
        <w:pStyle w:val="ListNumber"/>
        <w:numPr>
          <w:ilvl w:val="0"/>
          <w:numId w:val="26"/>
        </w:numPr>
        <w:tabs>
          <w:tab w:val="clear" w:pos="720"/>
          <w:tab w:val="num" w:pos="360"/>
        </w:tabs>
        <w:ind w:left="360"/>
      </w:pPr>
      <w:r w:rsidRPr="00600497">
        <w:t xml:space="preserve">Capture and save a screen shot of each piece of information. </w:t>
      </w:r>
    </w:p>
    <w:p w14:paraId="4E6E1022" w14:textId="77777777" w:rsidR="00232E43" w:rsidRPr="00FB7F8D" w:rsidRDefault="00232E43" w:rsidP="000409B1">
      <w:pPr>
        <w:pStyle w:val="ListNumber"/>
        <w:numPr>
          <w:ilvl w:val="0"/>
          <w:numId w:val="26"/>
        </w:numPr>
        <w:tabs>
          <w:tab w:val="clear" w:pos="720"/>
          <w:tab w:val="num" w:pos="360"/>
        </w:tabs>
        <w:ind w:left="360"/>
      </w:pPr>
      <w:r w:rsidRPr="00600497">
        <w:t>Print, sign, date, and save an Audit Trail Report for your v</w:t>
      </w:r>
      <w:r w:rsidRPr="00FB7F8D">
        <w:t>alidation record.</w:t>
      </w:r>
    </w:p>
    <w:p w14:paraId="6F6DBE24" w14:textId="2A9820B5" w:rsidR="002E3C00" w:rsidRDefault="002E3C00" w:rsidP="002E3C00">
      <w:pPr>
        <w:pStyle w:val="Caption"/>
      </w:pPr>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647F4E">
        <w:rPr>
          <w:noProof/>
        </w:rPr>
        <w:t>31</w:t>
      </w:r>
      <w:r w:rsidR="004E20BD">
        <w:rPr>
          <w:noProof/>
        </w:rPr>
        <w:fldChar w:fldCharType="end"/>
      </w:r>
      <w:r>
        <w:t>: Sample Local Facilities Worksheet</w:t>
      </w:r>
      <w:r w:rsidR="00AD60CF">
        <w:fldChar w:fldCharType="begin"/>
      </w:r>
      <w:r w:rsidR="00292A7B">
        <w:instrText xml:space="preserve"> XE "Tables:</w:instrText>
      </w:r>
      <w:r w:rsidR="00AD60CF" w:rsidRPr="0046419F">
        <w:instrText>Sample Local Facilities Worksheet</w:instrText>
      </w:r>
      <w:r w:rsidR="00AD60CF">
        <w:instrText xml:space="preserve">" </w:instrText>
      </w:r>
      <w:r w:rsidR="00AD60CF">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2160"/>
        <w:gridCol w:w="1440"/>
        <w:gridCol w:w="1440"/>
        <w:gridCol w:w="1440"/>
        <w:gridCol w:w="1440"/>
      </w:tblGrid>
      <w:tr w:rsidR="00400E39" w:rsidRPr="00B562A7" w14:paraId="10F6FA58" w14:textId="77777777">
        <w:trPr>
          <w:tblHeader/>
        </w:trPr>
        <w:tc>
          <w:tcPr>
            <w:tcW w:w="1440" w:type="dxa"/>
            <w:vMerge w:val="restart"/>
            <w:shd w:val="clear" w:color="auto" w:fill="B3B3B3"/>
            <w:vAlign w:val="bottom"/>
          </w:tcPr>
          <w:p w14:paraId="60246A74" w14:textId="77777777" w:rsidR="00400E39" w:rsidRPr="00B562A7" w:rsidRDefault="00400E39" w:rsidP="002E3C00">
            <w:pPr>
              <w:pStyle w:val="TableText"/>
              <w:rPr>
                <w:b/>
              </w:rPr>
            </w:pPr>
            <w:r>
              <w:rPr>
                <w:b/>
              </w:rPr>
              <w:t>FDA Reg. No.</w:t>
            </w:r>
          </w:p>
        </w:tc>
        <w:tc>
          <w:tcPr>
            <w:tcW w:w="2160" w:type="dxa"/>
            <w:vMerge w:val="restart"/>
            <w:shd w:val="clear" w:color="auto" w:fill="B3B3B3"/>
            <w:vAlign w:val="bottom"/>
          </w:tcPr>
          <w:p w14:paraId="7014DC40" w14:textId="77777777" w:rsidR="00400E39" w:rsidRPr="00B562A7" w:rsidRDefault="00400E39" w:rsidP="002E3C00">
            <w:pPr>
              <w:pStyle w:val="TableText"/>
              <w:rPr>
                <w:b/>
              </w:rPr>
            </w:pPr>
            <w:r>
              <w:rPr>
                <w:b/>
              </w:rPr>
              <w:t>Facility Name</w:t>
            </w:r>
          </w:p>
        </w:tc>
        <w:tc>
          <w:tcPr>
            <w:tcW w:w="1440" w:type="dxa"/>
            <w:vMerge w:val="restart"/>
            <w:shd w:val="clear" w:color="auto" w:fill="B3B3B3"/>
            <w:vAlign w:val="bottom"/>
          </w:tcPr>
          <w:p w14:paraId="6B52639B" w14:textId="77777777" w:rsidR="00400E39" w:rsidRPr="00B562A7" w:rsidRDefault="00400E39" w:rsidP="002E3C00">
            <w:pPr>
              <w:pStyle w:val="TableText"/>
              <w:rPr>
                <w:b/>
              </w:rPr>
            </w:pPr>
            <w:r>
              <w:rPr>
                <w:b/>
              </w:rPr>
              <w:t>ICCBBA Reg. No.</w:t>
            </w:r>
          </w:p>
        </w:tc>
        <w:tc>
          <w:tcPr>
            <w:tcW w:w="2880" w:type="dxa"/>
            <w:gridSpan w:val="2"/>
            <w:shd w:val="clear" w:color="auto" w:fill="B3B3B3"/>
            <w:vAlign w:val="bottom"/>
          </w:tcPr>
          <w:p w14:paraId="52C421ED" w14:textId="77777777" w:rsidR="00400E39" w:rsidRPr="00B562A7" w:rsidRDefault="00400E39" w:rsidP="001E4018">
            <w:pPr>
              <w:pStyle w:val="TableText"/>
              <w:jc w:val="center"/>
              <w:rPr>
                <w:b/>
              </w:rPr>
            </w:pPr>
            <w:r>
              <w:rPr>
                <w:b/>
              </w:rPr>
              <w:t>Facility Type</w:t>
            </w:r>
          </w:p>
        </w:tc>
        <w:tc>
          <w:tcPr>
            <w:tcW w:w="1440" w:type="dxa"/>
            <w:vMerge w:val="restart"/>
            <w:shd w:val="clear" w:color="auto" w:fill="B3B3B3"/>
            <w:vAlign w:val="bottom"/>
          </w:tcPr>
          <w:p w14:paraId="49565B3C" w14:textId="77777777" w:rsidR="00400E39" w:rsidRPr="00B562A7" w:rsidRDefault="00400E39" w:rsidP="002E3C00">
            <w:pPr>
              <w:pStyle w:val="TableText"/>
              <w:rPr>
                <w:b/>
              </w:rPr>
            </w:pPr>
            <w:r>
              <w:rPr>
                <w:b/>
              </w:rPr>
              <w:t>Active Facility?</w:t>
            </w:r>
          </w:p>
        </w:tc>
      </w:tr>
      <w:tr w:rsidR="00400E39" w:rsidRPr="00B562A7" w14:paraId="7C445CC1" w14:textId="77777777">
        <w:trPr>
          <w:tblHeader/>
        </w:trPr>
        <w:tc>
          <w:tcPr>
            <w:tcW w:w="1440" w:type="dxa"/>
            <w:vMerge/>
            <w:shd w:val="clear" w:color="auto" w:fill="B3B3B3"/>
          </w:tcPr>
          <w:p w14:paraId="6DEECADF" w14:textId="77777777" w:rsidR="00400E39" w:rsidRPr="00B562A7" w:rsidRDefault="00400E39" w:rsidP="002E3C00">
            <w:pPr>
              <w:pStyle w:val="TableText"/>
              <w:rPr>
                <w:b/>
              </w:rPr>
            </w:pPr>
          </w:p>
        </w:tc>
        <w:tc>
          <w:tcPr>
            <w:tcW w:w="2160" w:type="dxa"/>
            <w:vMerge/>
            <w:shd w:val="clear" w:color="auto" w:fill="B3B3B3"/>
          </w:tcPr>
          <w:p w14:paraId="7CE9C318" w14:textId="77777777" w:rsidR="00400E39" w:rsidRPr="00B562A7" w:rsidRDefault="00400E39" w:rsidP="002E3C00">
            <w:pPr>
              <w:pStyle w:val="TableText"/>
              <w:rPr>
                <w:b/>
              </w:rPr>
            </w:pPr>
          </w:p>
        </w:tc>
        <w:tc>
          <w:tcPr>
            <w:tcW w:w="1440" w:type="dxa"/>
            <w:vMerge/>
            <w:shd w:val="clear" w:color="auto" w:fill="B3B3B3"/>
          </w:tcPr>
          <w:p w14:paraId="2EEE7A1D" w14:textId="77777777" w:rsidR="00400E39" w:rsidRPr="00B562A7" w:rsidRDefault="00400E39" w:rsidP="002E3C00">
            <w:pPr>
              <w:pStyle w:val="TableText"/>
              <w:rPr>
                <w:b/>
              </w:rPr>
            </w:pPr>
          </w:p>
        </w:tc>
        <w:tc>
          <w:tcPr>
            <w:tcW w:w="1440" w:type="dxa"/>
            <w:shd w:val="clear" w:color="auto" w:fill="B3B3B3"/>
            <w:vAlign w:val="bottom"/>
          </w:tcPr>
          <w:p w14:paraId="0DCF70E5" w14:textId="77777777" w:rsidR="00400E39" w:rsidRPr="00B562A7" w:rsidRDefault="00400E39" w:rsidP="002E3C00">
            <w:pPr>
              <w:pStyle w:val="TableText"/>
              <w:rPr>
                <w:b/>
              </w:rPr>
            </w:pPr>
            <w:r>
              <w:rPr>
                <w:b/>
              </w:rPr>
              <w:t>Collection Facility?</w:t>
            </w:r>
          </w:p>
        </w:tc>
        <w:tc>
          <w:tcPr>
            <w:tcW w:w="1440" w:type="dxa"/>
            <w:shd w:val="clear" w:color="auto" w:fill="B3B3B3"/>
            <w:vAlign w:val="bottom"/>
          </w:tcPr>
          <w:p w14:paraId="6A2ACA2B" w14:textId="77777777" w:rsidR="00400E39" w:rsidRPr="00B562A7" w:rsidRDefault="00400E39" w:rsidP="002E3C00">
            <w:pPr>
              <w:pStyle w:val="TableText"/>
              <w:rPr>
                <w:b/>
              </w:rPr>
            </w:pPr>
            <w:r>
              <w:rPr>
                <w:b/>
              </w:rPr>
              <w:t>Testing Facility?</w:t>
            </w:r>
          </w:p>
        </w:tc>
        <w:tc>
          <w:tcPr>
            <w:tcW w:w="1440" w:type="dxa"/>
            <w:vMerge/>
            <w:shd w:val="clear" w:color="auto" w:fill="B3B3B3"/>
          </w:tcPr>
          <w:p w14:paraId="069AD0AE" w14:textId="77777777" w:rsidR="00400E39" w:rsidRPr="00B562A7" w:rsidRDefault="00400E39" w:rsidP="002E3C00">
            <w:pPr>
              <w:pStyle w:val="TableText"/>
              <w:rPr>
                <w:b/>
              </w:rPr>
            </w:pPr>
          </w:p>
        </w:tc>
      </w:tr>
      <w:tr w:rsidR="00400E39" w14:paraId="32A79386" w14:textId="77777777">
        <w:tc>
          <w:tcPr>
            <w:tcW w:w="1440" w:type="dxa"/>
          </w:tcPr>
          <w:p w14:paraId="65A74522" w14:textId="77777777" w:rsidR="00400E39" w:rsidRDefault="009E20D1" w:rsidP="002E3C00">
            <w:pPr>
              <w:pStyle w:val="TableText"/>
            </w:pPr>
            <w:r>
              <w:t>2577690</w:t>
            </w:r>
          </w:p>
        </w:tc>
        <w:tc>
          <w:tcPr>
            <w:tcW w:w="2160" w:type="dxa"/>
          </w:tcPr>
          <w:p w14:paraId="5D140E47" w14:textId="77777777" w:rsidR="00400E39" w:rsidRDefault="009E20D1" w:rsidP="002E3C00">
            <w:pPr>
              <w:pStyle w:val="TableText"/>
            </w:pPr>
            <w:r>
              <w:t>Abington Memorial Hospital</w:t>
            </w:r>
          </w:p>
        </w:tc>
        <w:tc>
          <w:tcPr>
            <w:tcW w:w="1440" w:type="dxa"/>
          </w:tcPr>
          <w:p w14:paraId="6574AD55" w14:textId="77777777" w:rsidR="00400E39" w:rsidRDefault="009E20D1" w:rsidP="002E3C00">
            <w:pPr>
              <w:pStyle w:val="TableText"/>
            </w:pPr>
            <w:r>
              <w:t>W0002</w:t>
            </w:r>
          </w:p>
        </w:tc>
        <w:tc>
          <w:tcPr>
            <w:tcW w:w="1440" w:type="dxa"/>
          </w:tcPr>
          <w:p w14:paraId="482A732A" w14:textId="77777777" w:rsidR="00400E39" w:rsidRDefault="009E20D1" w:rsidP="002E3C00">
            <w:pPr>
              <w:pStyle w:val="TableText"/>
            </w:pPr>
            <w:r>
              <w:sym w:font="Wingdings" w:char="F0FC"/>
            </w:r>
          </w:p>
        </w:tc>
        <w:tc>
          <w:tcPr>
            <w:tcW w:w="1440" w:type="dxa"/>
          </w:tcPr>
          <w:p w14:paraId="1F90F192" w14:textId="77777777" w:rsidR="00400E39" w:rsidRDefault="00400E39" w:rsidP="002E3C00">
            <w:pPr>
              <w:pStyle w:val="TableText"/>
            </w:pPr>
          </w:p>
        </w:tc>
        <w:tc>
          <w:tcPr>
            <w:tcW w:w="1440" w:type="dxa"/>
          </w:tcPr>
          <w:p w14:paraId="16902351" w14:textId="77777777" w:rsidR="00400E39" w:rsidRDefault="009E20D1" w:rsidP="002E3C00">
            <w:pPr>
              <w:pStyle w:val="TableText"/>
            </w:pPr>
            <w:r>
              <w:sym w:font="Wingdings" w:char="F0FC"/>
            </w:r>
          </w:p>
        </w:tc>
      </w:tr>
    </w:tbl>
    <w:p w14:paraId="61D33EE3" w14:textId="6EFA13DC" w:rsidR="00B24B8C" w:rsidRDefault="00B24B8C" w:rsidP="00B24B8C">
      <w:pPr>
        <w:pStyle w:val="Caption"/>
      </w:pPr>
      <w:bookmarkStart w:id="750" w:name="_Toc85895790"/>
      <w:bookmarkStart w:id="751" w:name="_Toc113264248"/>
      <w:bookmarkStart w:id="752" w:name="_Toc114462103"/>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647F4E">
        <w:rPr>
          <w:noProof/>
        </w:rPr>
        <w:t>32</w:t>
      </w:r>
      <w:r w:rsidR="004E20BD">
        <w:rPr>
          <w:noProof/>
        </w:rPr>
        <w:fldChar w:fldCharType="end"/>
      </w:r>
      <w:r>
        <w:t>: Local Facilities Worksheet</w:t>
      </w:r>
      <w:r>
        <w:fldChar w:fldCharType="begin"/>
      </w:r>
      <w:r>
        <w:instrText xml:space="preserve"> XE "Tables:</w:instrText>
      </w:r>
      <w:r w:rsidRPr="0046419F">
        <w:instrText>Local Facilities Worksheet</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2160"/>
        <w:gridCol w:w="1440"/>
        <w:gridCol w:w="1440"/>
        <w:gridCol w:w="1440"/>
        <w:gridCol w:w="1440"/>
      </w:tblGrid>
      <w:tr w:rsidR="00B24B8C" w:rsidRPr="00B562A7" w14:paraId="5B602E98" w14:textId="77777777">
        <w:trPr>
          <w:tblHeader/>
        </w:trPr>
        <w:tc>
          <w:tcPr>
            <w:tcW w:w="1440" w:type="dxa"/>
            <w:vMerge w:val="restart"/>
            <w:shd w:val="clear" w:color="auto" w:fill="B3B3B3"/>
            <w:vAlign w:val="bottom"/>
          </w:tcPr>
          <w:p w14:paraId="0020880D" w14:textId="77777777" w:rsidR="00B24B8C" w:rsidRPr="00B562A7" w:rsidRDefault="00B24B8C" w:rsidP="001D706D">
            <w:pPr>
              <w:pStyle w:val="TableText"/>
              <w:rPr>
                <w:b/>
              </w:rPr>
            </w:pPr>
            <w:r>
              <w:rPr>
                <w:b/>
              </w:rPr>
              <w:t>FDA Reg. No.</w:t>
            </w:r>
          </w:p>
        </w:tc>
        <w:tc>
          <w:tcPr>
            <w:tcW w:w="2160" w:type="dxa"/>
            <w:vMerge w:val="restart"/>
            <w:shd w:val="clear" w:color="auto" w:fill="B3B3B3"/>
            <w:vAlign w:val="bottom"/>
          </w:tcPr>
          <w:p w14:paraId="7B0FF851" w14:textId="77777777" w:rsidR="00B24B8C" w:rsidRPr="00B562A7" w:rsidRDefault="00B24B8C" w:rsidP="001D706D">
            <w:pPr>
              <w:pStyle w:val="TableText"/>
              <w:rPr>
                <w:b/>
              </w:rPr>
            </w:pPr>
            <w:r>
              <w:rPr>
                <w:b/>
              </w:rPr>
              <w:t>Facility Name</w:t>
            </w:r>
          </w:p>
        </w:tc>
        <w:tc>
          <w:tcPr>
            <w:tcW w:w="1440" w:type="dxa"/>
            <w:vMerge w:val="restart"/>
            <w:shd w:val="clear" w:color="auto" w:fill="B3B3B3"/>
            <w:vAlign w:val="bottom"/>
          </w:tcPr>
          <w:p w14:paraId="2EB631F7" w14:textId="77777777" w:rsidR="00B24B8C" w:rsidRPr="00B562A7" w:rsidRDefault="00B24B8C" w:rsidP="001D706D">
            <w:pPr>
              <w:pStyle w:val="TableText"/>
              <w:rPr>
                <w:b/>
              </w:rPr>
            </w:pPr>
            <w:r>
              <w:rPr>
                <w:b/>
              </w:rPr>
              <w:t>ICCBBA Reg. No.</w:t>
            </w:r>
          </w:p>
        </w:tc>
        <w:tc>
          <w:tcPr>
            <w:tcW w:w="1440" w:type="dxa"/>
            <w:gridSpan w:val="2"/>
            <w:shd w:val="clear" w:color="auto" w:fill="B3B3B3"/>
            <w:vAlign w:val="bottom"/>
          </w:tcPr>
          <w:p w14:paraId="1EA7A03B" w14:textId="77777777" w:rsidR="00B24B8C" w:rsidRPr="00B562A7" w:rsidRDefault="00B24B8C" w:rsidP="001E4018">
            <w:pPr>
              <w:pStyle w:val="TableText"/>
              <w:jc w:val="center"/>
              <w:rPr>
                <w:b/>
              </w:rPr>
            </w:pPr>
            <w:r>
              <w:rPr>
                <w:b/>
              </w:rPr>
              <w:t>Facility Type</w:t>
            </w:r>
          </w:p>
        </w:tc>
        <w:tc>
          <w:tcPr>
            <w:tcW w:w="1440" w:type="dxa"/>
            <w:vMerge w:val="restart"/>
            <w:shd w:val="clear" w:color="auto" w:fill="B3B3B3"/>
            <w:vAlign w:val="bottom"/>
          </w:tcPr>
          <w:p w14:paraId="1FBAC68F" w14:textId="77777777" w:rsidR="00B24B8C" w:rsidRPr="00B562A7" w:rsidRDefault="00B24B8C" w:rsidP="001D706D">
            <w:pPr>
              <w:pStyle w:val="TableText"/>
              <w:rPr>
                <w:b/>
              </w:rPr>
            </w:pPr>
            <w:r>
              <w:rPr>
                <w:b/>
              </w:rPr>
              <w:t>Active Facility?</w:t>
            </w:r>
          </w:p>
        </w:tc>
      </w:tr>
      <w:tr w:rsidR="00B24B8C" w:rsidRPr="00B562A7" w14:paraId="228D1FD3" w14:textId="77777777">
        <w:trPr>
          <w:tblHeader/>
        </w:trPr>
        <w:tc>
          <w:tcPr>
            <w:tcW w:w="1440" w:type="dxa"/>
            <w:vMerge/>
            <w:shd w:val="clear" w:color="auto" w:fill="B3B3B3"/>
          </w:tcPr>
          <w:p w14:paraId="13E86479" w14:textId="77777777" w:rsidR="00B24B8C" w:rsidRPr="00B562A7" w:rsidRDefault="00B24B8C" w:rsidP="001D706D">
            <w:pPr>
              <w:pStyle w:val="TableText"/>
              <w:rPr>
                <w:b/>
              </w:rPr>
            </w:pPr>
          </w:p>
        </w:tc>
        <w:tc>
          <w:tcPr>
            <w:tcW w:w="2160" w:type="dxa"/>
            <w:vMerge/>
            <w:shd w:val="clear" w:color="auto" w:fill="B3B3B3"/>
          </w:tcPr>
          <w:p w14:paraId="556334F9" w14:textId="77777777" w:rsidR="00B24B8C" w:rsidRPr="00B562A7" w:rsidRDefault="00B24B8C" w:rsidP="001D706D">
            <w:pPr>
              <w:pStyle w:val="TableText"/>
              <w:rPr>
                <w:b/>
              </w:rPr>
            </w:pPr>
          </w:p>
        </w:tc>
        <w:tc>
          <w:tcPr>
            <w:tcW w:w="1440" w:type="dxa"/>
            <w:vMerge/>
            <w:shd w:val="clear" w:color="auto" w:fill="B3B3B3"/>
          </w:tcPr>
          <w:p w14:paraId="59F40514" w14:textId="77777777" w:rsidR="00B24B8C" w:rsidRPr="00B562A7" w:rsidRDefault="00B24B8C" w:rsidP="001D706D">
            <w:pPr>
              <w:pStyle w:val="TableText"/>
              <w:rPr>
                <w:b/>
              </w:rPr>
            </w:pPr>
          </w:p>
        </w:tc>
        <w:tc>
          <w:tcPr>
            <w:tcW w:w="1440" w:type="dxa"/>
            <w:shd w:val="clear" w:color="auto" w:fill="B3B3B3"/>
          </w:tcPr>
          <w:p w14:paraId="0173BB31" w14:textId="77777777" w:rsidR="00B24B8C" w:rsidRPr="00B562A7" w:rsidRDefault="00B24B8C" w:rsidP="001D706D">
            <w:pPr>
              <w:pStyle w:val="TableText"/>
              <w:rPr>
                <w:b/>
              </w:rPr>
            </w:pPr>
            <w:r>
              <w:rPr>
                <w:b/>
              </w:rPr>
              <w:t>Collection Facility?</w:t>
            </w:r>
          </w:p>
        </w:tc>
        <w:tc>
          <w:tcPr>
            <w:tcW w:w="1440" w:type="dxa"/>
            <w:shd w:val="clear" w:color="auto" w:fill="B3B3B3"/>
          </w:tcPr>
          <w:p w14:paraId="4FE101FE" w14:textId="77777777" w:rsidR="00B24B8C" w:rsidRPr="00B562A7" w:rsidRDefault="00B24B8C" w:rsidP="001D706D">
            <w:pPr>
              <w:pStyle w:val="TableText"/>
              <w:rPr>
                <w:b/>
              </w:rPr>
            </w:pPr>
            <w:r>
              <w:rPr>
                <w:b/>
              </w:rPr>
              <w:t>Testing Facility?</w:t>
            </w:r>
          </w:p>
        </w:tc>
        <w:tc>
          <w:tcPr>
            <w:tcW w:w="1440" w:type="dxa"/>
            <w:vMerge/>
            <w:shd w:val="clear" w:color="auto" w:fill="B3B3B3"/>
          </w:tcPr>
          <w:p w14:paraId="06165A26" w14:textId="77777777" w:rsidR="00B24B8C" w:rsidRPr="00B562A7" w:rsidRDefault="00B24B8C" w:rsidP="001D706D">
            <w:pPr>
              <w:pStyle w:val="TableText"/>
              <w:rPr>
                <w:b/>
              </w:rPr>
            </w:pPr>
          </w:p>
        </w:tc>
      </w:tr>
      <w:tr w:rsidR="00B24B8C" w14:paraId="111E4BFC" w14:textId="77777777">
        <w:tc>
          <w:tcPr>
            <w:tcW w:w="1440" w:type="dxa"/>
          </w:tcPr>
          <w:p w14:paraId="1B0AA816" w14:textId="77777777" w:rsidR="00B24B8C" w:rsidRDefault="00B24B8C" w:rsidP="001D706D">
            <w:pPr>
              <w:pStyle w:val="TableText"/>
            </w:pPr>
          </w:p>
        </w:tc>
        <w:tc>
          <w:tcPr>
            <w:tcW w:w="2160" w:type="dxa"/>
          </w:tcPr>
          <w:p w14:paraId="02DF23F2" w14:textId="77777777" w:rsidR="00B24B8C" w:rsidRDefault="00B24B8C" w:rsidP="001D706D">
            <w:pPr>
              <w:pStyle w:val="TableText"/>
            </w:pPr>
          </w:p>
        </w:tc>
        <w:tc>
          <w:tcPr>
            <w:tcW w:w="1440" w:type="dxa"/>
          </w:tcPr>
          <w:p w14:paraId="4572A71F" w14:textId="77777777" w:rsidR="00B24B8C" w:rsidRDefault="00B24B8C" w:rsidP="001D706D">
            <w:pPr>
              <w:pStyle w:val="TableText"/>
            </w:pPr>
          </w:p>
        </w:tc>
        <w:tc>
          <w:tcPr>
            <w:tcW w:w="1440" w:type="dxa"/>
          </w:tcPr>
          <w:p w14:paraId="5A82308C" w14:textId="77777777" w:rsidR="00B24B8C" w:rsidRDefault="00B24B8C" w:rsidP="001D706D">
            <w:pPr>
              <w:pStyle w:val="TableText"/>
            </w:pPr>
          </w:p>
        </w:tc>
        <w:tc>
          <w:tcPr>
            <w:tcW w:w="1440" w:type="dxa"/>
          </w:tcPr>
          <w:p w14:paraId="4F8D44FF" w14:textId="77777777" w:rsidR="00B24B8C" w:rsidRDefault="00B24B8C" w:rsidP="001D706D">
            <w:pPr>
              <w:pStyle w:val="TableText"/>
            </w:pPr>
          </w:p>
        </w:tc>
        <w:tc>
          <w:tcPr>
            <w:tcW w:w="1440" w:type="dxa"/>
          </w:tcPr>
          <w:p w14:paraId="799CD82E" w14:textId="77777777" w:rsidR="00B24B8C" w:rsidRDefault="00B24B8C" w:rsidP="001D706D">
            <w:pPr>
              <w:pStyle w:val="TableText"/>
            </w:pPr>
          </w:p>
        </w:tc>
      </w:tr>
      <w:tr w:rsidR="00B24B8C" w14:paraId="22E7CDCA" w14:textId="77777777">
        <w:tc>
          <w:tcPr>
            <w:tcW w:w="1440" w:type="dxa"/>
          </w:tcPr>
          <w:p w14:paraId="5255ABFB" w14:textId="77777777" w:rsidR="00B24B8C" w:rsidRDefault="00B24B8C" w:rsidP="001D706D">
            <w:pPr>
              <w:pStyle w:val="TableText"/>
            </w:pPr>
          </w:p>
        </w:tc>
        <w:tc>
          <w:tcPr>
            <w:tcW w:w="2160" w:type="dxa"/>
          </w:tcPr>
          <w:p w14:paraId="3BB3A72F" w14:textId="77777777" w:rsidR="00B24B8C" w:rsidRDefault="00B24B8C" w:rsidP="001D706D">
            <w:pPr>
              <w:pStyle w:val="TableText"/>
            </w:pPr>
          </w:p>
        </w:tc>
        <w:tc>
          <w:tcPr>
            <w:tcW w:w="1440" w:type="dxa"/>
          </w:tcPr>
          <w:p w14:paraId="7621783C" w14:textId="77777777" w:rsidR="00B24B8C" w:rsidRDefault="00B24B8C" w:rsidP="001D706D">
            <w:pPr>
              <w:pStyle w:val="TableText"/>
            </w:pPr>
          </w:p>
        </w:tc>
        <w:tc>
          <w:tcPr>
            <w:tcW w:w="1440" w:type="dxa"/>
          </w:tcPr>
          <w:p w14:paraId="7D0E7E8B" w14:textId="77777777" w:rsidR="00B24B8C" w:rsidRDefault="00B24B8C" w:rsidP="001D706D">
            <w:pPr>
              <w:pStyle w:val="TableText"/>
            </w:pPr>
          </w:p>
        </w:tc>
        <w:tc>
          <w:tcPr>
            <w:tcW w:w="1440" w:type="dxa"/>
          </w:tcPr>
          <w:p w14:paraId="3019984D" w14:textId="77777777" w:rsidR="00B24B8C" w:rsidRDefault="00B24B8C" w:rsidP="001D706D">
            <w:pPr>
              <w:pStyle w:val="TableText"/>
            </w:pPr>
          </w:p>
        </w:tc>
        <w:tc>
          <w:tcPr>
            <w:tcW w:w="1440" w:type="dxa"/>
          </w:tcPr>
          <w:p w14:paraId="60F49AE9" w14:textId="77777777" w:rsidR="00B24B8C" w:rsidRDefault="00B24B8C" w:rsidP="001D706D">
            <w:pPr>
              <w:pStyle w:val="TableText"/>
            </w:pPr>
          </w:p>
        </w:tc>
      </w:tr>
      <w:tr w:rsidR="00B24B8C" w14:paraId="024D7CAB" w14:textId="77777777">
        <w:tc>
          <w:tcPr>
            <w:tcW w:w="1440" w:type="dxa"/>
          </w:tcPr>
          <w:p w14:paraId="31CE7C80" w14:textId="77777777" w:rsidR="00B24B8C" w:rsidRDefault="00B24B8C" w:rsidP="001D706D">
            <w:pPr>
              <w:pStyle w:val="TableText"/>
            </w:pPr>
          </w:p>
        </w:tc>
        <w:tc>
          <w:tcPr>
            <w:tcW w:w="2160" w:type="dxa"/>
          </w:tcPr>
          <w:p w14:paraId="598B043A" w14:textId="77777777" w:rsidR="00B24B8C" w:rsidRDefault="00B24B8C" w:rsidP="001D706D">
            <w:pPr>
              <w:pStyle w:val="TableText"/>
            </w:pPr>
          </w:p>
        </w:tc>
        <w:tc>
          <w:tcPr>
            <w:tcW w:w="1440" w:type="dxa"/>
          </w:tcPr>
          <w:p w14:paraId="452E1B15" w14:textId="77777777" w:rsidR="00B24B8C" w:rsidRDefault="00B24B8C" w:rsidP="001D706D">
            <w:pPr>
              <w:pStyle w:val="TableText"/>
            </w:pPr>
          </w:p>
        </w:tc>
        <w:tc>
          <w:tcPr>
            <w:tcW w:w="1440" w:type="dxa"/>
          </w:tcPr>
          <w:p w14:paraId="14D1D1B1" w14:textId="77777777" w:rsidR="00B24B8C" w:rsidRDefault="00B24B8C" w:rsidP="001D706D">
            <w:pPr>
              <w:pStyle w:val="TableText"/>
            </w:pPr>
          </w:p>
        </w:tc>
        <w:tc>
          <w:tcPr>
            <w:tcW w:w="1440" w:type="dxa"/>
          </w:tcPr>
          <w:p w14:paraId="50663DB4" w14:textId="77777777" w:rsidR="00B24B8C" w:rsidRDefault="00B24B8C" w:rsidP="001D706D">
            <w:pPr>
              <w:pStyle w:val="TableText"/>
            </w:pPr>
          </w:p>
        </w:tc>
        <w:tc>
          <w:tcPr>
            <w:tcW w:w="1440" w:type="dxa"/>
          </w:tcPr>
          <w:p w14:paraId="7D5A0A63" w14:textId="77777777" w:rsidR="00B24B8C" w:rsidRDefault="00B24B8C" w:rsidP="001D706D">
            <w:pPr>
              <w:pStyle w:val="TableText"/>
            </w:pPr>
          </w:p>
        </w:tc>
      </w:tr>
      <w:tr w:rsidR="00B24B8C" w14:paraId="7724B31F" w14:textId="77777777">
        <w:tc>
          <w:tcPr>
            <w:tcW w:w="1440" w:type="dxa"/>
          </w:tcPr>
          <w:p w14:paraId="71B4539B" w14:textId="77777777" w:rsidR="00B24B8C" w:rsidRDefault="00B24B8C" w:rsidP="001D706D">
            <w:pPr>
              <w:pStyle w:val="TableText"/>
            </w:pPr>
          </w:p>
        </w:tc>
        <w:tc>
          <w:tcPr>
            <w:tcW w:w="2160" w:type="dxa"/>
          </w:tcPr>
          <w:p w14:paraId="2DF856F3" w14:textId="77777777" w:rsidR="00B24B8C" w:rsidRDefault="00B24B8C" w:rsidP="001D706D">
            <w:pPr>
              <w:pStyle w:val="TableText"/>
            </w:pPr>
          </w:p>
        </w:tc>
        <w:tc>
          <w:tcPr>
            <w:tcW w:w="1440" w:type="dxa"/>
          </w:tcPr>
          <w:p w14:paraId="2B2C7993" w14:textId="77777777" w:rsidR="00B24B8C" w:rsidRDefault="00B24B8C" w:rsidP="001D706D">
            <w:pPr>
              <w:pStyle w:val="TableText"/>
            </w:pPr>
          </w:p>
        </w:tc>
        <w:tc>
          <w:tcPr>
            <w:tcW w:w="1440" w:type="dxa"/>
          </w:tcPr>
          <w:p w14:paraId="6440D950" w14:textId="77777777" w:rsidR="00B24B8C" w:rsidRDefault="00B24B8C" w:rsidP="001D706D">
            <w:pPr>
              <w:pStyle w:val="TableText"/>
            </w:pPr>
          </w:p>
        </w:tc>
        <w:tc>
          <w:tcPr>
            <w:tcW w:w="1440" w:type="dxa"/>
          </w:tcPr>
          <w:p w14:paraId="26DDB4E5" w14:textId="77777777" w:rsidR="00B24B8C" w:rsidRDefault="00B24B8C" w:rsidP="001D706D">
            <w:pPr>
              <w:pStyle w:val="TableText"/>
            </w:pPr>
          </w:p>
        </w:tc>
        <w:tc>
          <w:tcPr>
            <w:tcW w:w="1440" w:type="dxa"/>
          </w:tcPr>
          <w:p w14:paraId="22717F13" w14:textId="77777777" w:rsidR="00B24B8C" w:rsidRDefault="00B24B8C" w:rsidP="001D706D">
            <w:pPr>
              <w:pStyle w:val="TableText"/>
            </w:pPr>
          </w:p>
        </w:tc>
      </w:tr>
      <w:tr w:rsidR="00B24B8C" w14:paraId="54A14584" w14:textId="77777777">
        <w:tc>
          <w:tcPr>
            <w:tcW w:w="1440" w:type="dxa"/>
          </w:tcPr>
          <w:p w14:paraId="55F8A771" w14:textId="77777777" w:rsidR="00B24B8C" w:rsidRDefault="00B24B8C" w:rsidP="001D706D">
            <w:pPr>
              <w:pStyle w:val="TableText"/>
            </w:pPr>
          </w:p>
        </w:tc>
        <w:tc>
          <w:tcPr>
            <w:tcW w:w="2160" w:type="dxa"/>
          </w:tcPr>
          <w:p w14:paraId="3F3C8B91" w14:textId="77777777" w:rsidR="00B24B8C" w:rsidRDefault="00B24B8C" w:rsidP="001D706D">
            <w:pPr>
              <w:pStyle w:val="TableText"/>
            </w:pPr>
          </w:p>
        </w:tc>
        <w:tc>
          <w:tcPr>
            <w:tcW w:w="1440" w:type="dxa"/>
          </w:tcPr>
          <w:p w14:paraId="10C31AA3" w14:textId="77777777" w:rsidR="00B24B8C" w:rsidRDefault="00B24B8C" w:rsidP="001D706D">
            <w:pPr>
              <w:pStyle w:val="TableText"/>
            </w:pPr>
          </w:p>
        </w:tc>
        <w:tc>
          <w:tcPr>
            <w:tcW w:w="1440" w:type="dxa"/>
          </w:tcPr>
          <w:p w14:paraId="27E19457" w14:textId="77777777" w:rsidR="00B24B8C" w:rsidRDefault="00B24B8C" w:rsidP="001D706D">
            <w:pPr>
              <w:pStyle w:val="TableText"/>
            </w:pPr>
          </w:p>
        </w:tc>
        <w:tc>
          <w:tcPr>
            <w:tcW w:w="1440" w:type="dxa"/>
          </w:tcPr>
          <w:p w14:paraId="14049F21" w14:textId="77777777" w:rsidR="00B24B8C" w:rsidRDefault="00B24B8C" w:rsidP="001D706D">
            <w:pPr>
              <w:pStyle w:val="TableText"/>
            </w:pPr>
          </w:p>
        </w:tc>
        <w:tc>
          <w:tcPr>
            <w:tcW w:w="1440" w:type="dxa"/>
          </w:tcPr>
          <w:p w14:paraId="10598072" w14:textId="77777777" w:rsidR="00B24B8C" w:rsidRDefault="00B24B8C" w:rsidP="001D706D">
            <w:pPr>
              <w:pStyle w:val="TableText"/>
            </w:pPr>
          </w:p>
        </w:tc>
      </w:tr>
      <w:tr w:rsidR="00B24B8C" w14:paraId="54E81E91" w14:textId="77777777">
        <w:tc>
          <w:tcPr>
            <w:tcW w:w="1440" w:type="dxa"/>
          </w:tcPr>
          <w:p w14:paraId="49F4CA52" w14:textId="77777777" w:rsidR="00B24B8C" w:rsidRDefault="00B24B8C" w:rsidP="001D706D">
            <w:pPr>
              <w:pStyle w:val="TableText"/>
            </w:pPr>
          </w:p>
        </w:tc>
        <w:tc>
          <w:tcPr>
            <w:tcW w:w="2160" w:type="dxa"/>
          </w:tcPr>
          <w:p w14:paraId="4F027ECF" w14:textId="77777777" w:rsidR="00B24B8C" w:rsidRDefault="00B24B8C" w:rsidP="001D706D">
            <w:pPr>
              <w:pStyle w:val="TableText"/>
            </w:pPr>
          </w:p>
        </w:tc>
        <w:tc>
          <w:tcPr>
            <w:tcW w:w="1440" w:type="dxa"/>
          </w:tcPr>
          <w:p w14:paraId="2DC7AEEE" w14:textId="77777777" w:rsidR="00B24B8C" w:rsidRDefault="00B24B8C" w:rsidP="001D706D">
            <w:pPr>
              <w:pStyle w:val="TableText"/>
            </w:pPr>
          </w:p>
        </w:tc>
        <w:tc>
          <w:tcPr>
            <w:tcW w:w="1440" w:type="dxa"/>
          </w:tcPr>
          <w:p w14:paraId="608EB13B" w14:textId="77777777" w:rsidR="00B24B8C" w:rsidRDefault="00B24B8C" w:rsidP="001D706D">
            <w:pPr>
              <w:pStyle w:val="TableText"/>
            </w:pPr>
          </w:p>
        </w:tc>
        <w:tc>
          <w:tcPr>
            <w:tcW w:w="1440" w:type="dxa"/>
          </w:tcPr>
          <w:p w14:paraId="5D321D4B" w14:textId="77777777" w:rsidR="00B24B8C" w:rsidRDefault="00B24B8C" w:rsidP="001D706D">
            <w:pPr>
              <w:pStyle w:val="TableText"/>
            </w:pPr>
          </w:p>
        </w:tc>
        <w:tc>
          <w:tcPr>
            <w:tcW w:w="1440" w:type="dxa"/>
          </w:tcPr>
          <w:p w14:paraId="669A9F8F" w14:textId="77777777" w:rsidR="00B24B8C" w:rsidRDefault="00B24B8C" w:rsidP="001D706D">
            <w:pPr>
              <w:pStyle w:val="TableText"/>
            </w:pPr>
          </w:p>
        </w:tc>
      </w:tr>
      <w:tr w:rsidR="00B24B8C" w14:paraId="1377B9AE" w14:textId="77777777">
        <w:tc>
          <w:tcPr>
            <w:tcW w:w="1440" w:type="dxa"/>
          </w:tcPr>
          <w:p w14:paraId="67E996E9" w14:textId="77777777" w:rsidR="00B24B8C" w:rsidRDefault="00B24B8C" w:rsidP="001D706D">
            <w:pPr>
              <w:pStyle w:val="TableText"/>
            </w:pPr>
          </w:p>
        </w:tc>
        <w:tc>
          <w:tcPr>
            <w:tcW w:w="2160" w:type="dxa"/>
          </w:tcPr>
          <w:p w14:paraId="074F5A9D" w14:textId="77777777" w:rsidR="00B24B8C" w:rsidRDefault="00B24B8C" w:rsidP="001D706D">
            <w:pPr>
              <w:pStyle w:val="TableText"/>
            </w:pPr>
          </w:p>
        </w:tc>
        <w:tc>
          <w:tcPr>
            <w:tcW w:w="1440" w:type="dxa"/>
          </w:tcPr>
          <w:p w14:paraId="0A53F714" w14:textId="77777777" w:rsidR="00B24B8C" w:rsidRDefault="00B24B8C" w:rsidP="001D706D">
            <w:pPr>
              <w:pStyle w:val="TableText"/>
            </w:pPr>
          </w:p>
        </w:tc>
        <w:tc>
          <w:tcPr>
            <w:tcW w:w="1440" w:type="dxa"/>
          </w:tcPr>
          <w:p w14:paraId="523A7D07" w14:textId="77777777" w:rsidR="00B24B8C" w:rsidRDefault="00B24B8C" w:rsidP="001D706D">
            <w:pPr>
              <w:pStyle w:val="TableText"/>
            </w:pPr>
          </w:p>
        </w:tc>
        <w:tc>
          <w:tcPr>
            <w:tcW w:w="1440" w:type="dxa"/>
          </w:tcPr>
          <w:p w14:paraId="28DB4951" w14:textId="77777777" w:rsidR="00B24B8C" w:rsidRDefault="00B24B8C" w:rsidP="001D706D">
            <w:pPr>
              <w:pStyle w:val="TableText"/>
            </w:pPr>
          </w:p>
        </w:tc>
        <w:tc>
          <w:tcPr>
            <w:tcW w:w="1440" w:type="dxa"/>
          </w:tcPr>
          <w:p w14:paraId="7F985EBF" w14:textId="77777777" w:rsidR="00B24B8C" w:rsidRDefault="00B24B8C" w:rsidP="001D706D">
            <w:pPr>
              <w:pStyle w:val="TableText"/>
            </w:pPr>
          </w:p>
        </w:tc>
      </w:tr>
    </w:tbl>
    <w:p w14:paraId="731AF816" w14:textId="77777777" w:rsidR="0050722E" w:rsidRDefault="0050722E" w:rsidP="005129E1">
      <w:pPr>
        <w:pStyle w:val="Heading3"/>
      </w:pPr>
    </w:p>
    <w:p w14:paraId="6CAC66D1" w14:textId="77777777" w:rsidR="002E3C00" w:rsidRDefault="0050722E" w:rsidP="005129E1">
      <w:pPr>
        <w:pStyle w:val="Heading3"/>
      </w:pPr>
      <w:r>
        <w:br w:type="page"/>
      </w:r>
      <w:bookmarkStart w:id="753" w:name="_Toc4588896"/>
      <w:r w:rsidR="002E3C00">
        <w:lastRenderedPageBreak/>
        <w:t>Component Classes</w:t>
      </w:r>
      <w:bookmarkEnd w:id="750"/>
      <w:bookmarkEnd w:id="751"/>
      <w:bookmarkEnd w:id="752"/>
      <w:bookmarkEnd w:id="753"/>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Component Classes</w:instrText>
      </w:r>
      <w:r w:rsidR="00992E88">
        <w:instrText xml:space="preserve">" </w:instrText>
      </w:r>
      <w:r w:rsidR="00992E88">
        <w:fldChar w:fldCharType="end"/>
      </w:r>
    </w:p>
    <w:p w14:paraId="2CF13F76" w14:textId="4A0E89C8" w:rsidR="002E3C00" w:rsidRDefault="002E3C00" w:rsidP="002E3C00">
      <w:pPr>
        <w:pStyle w:val="BodyText"/>
      </w:pPr>
      <w:r>
        <w:t>The user configures the component class parameters for the selected division.</w:t>
      </w:r>
      <w:r w:rsidR="008D2779">
        <w:t xml:space="preserve"> For more information, see </w:t>
      </w:r>
      <w:r w:rsidR="008D2779">
        <w:fldChar w:fldCharType="begin" w:fldLock="1"/>
      </w:r>
      <w:r w:rsidR="008D2779">
        <w:instrText xml:space="preserve"> REF _Ref508960075 \h </w:instrText>
      </w:r>
      <w:r w:rsidR="008D2779">
        <w:fldChar w:fldCharType="separate"/>
      </w:r>
      <w:r w:rsidR="00AB304C">
        <w:t xml:space="preserve">Appendix </w:t>
      </w:r>
      <w:r w:rsidR="00AB304C">
        <w:rPr>
          <w:noProof/>
        </w:rPr>
        <w:t>F</w:t>
      </w:r>
      <w:r w:rsidR="00AB304C">
        <w:t>: Work Process Flowcharts</w:t>
      </w:r>
      <w:r w:rsidR="008D2779">
        <w:fldChar w:fldCharType="end"/>
      </w:r>
      <w:r w:rsidR="008D2779">
        <w:t>.</w:t>
      </w:r>
    </w:p>
    <w:p w14:paraId="3E1C5C1F" w14:textId="77777777" w:rsidR="002E3C00" w:rsidRDefault="002E3C00" w:rsidP="002E3C00">
      <w:pPr>
        <w:pStyle w:val="Heading4"/>
        <w:rPr>
          <w:b w:val="0"/>
        </w:rPr>
      </w:pPr>
      <w:r>
        <w:t>User Roles with Access to This Option</w:t>
      </w:r>
      <w:r>
        <w:rPr>
          <w:b w:val="0"/>
        </w:rPr>
        <w:t xml:space="preserve"> </w:t>
      </w:r>
    </w:p>
    <w:p w14:paraId="6106EB53" w14:textId="77777777" w:rsidR="002E3C00" w:rsidRPr="00404CAF" w:rsidRDefault="002E3C00" w:rsidP="002E3C00">
      <w:pPr>
        <w:pStyle w:val="Roles"/>
        <w:rPr>
          <w:i/>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617EB5BA" w14:textId="77777777" w:rsidR="002E3C00" w:rsidRDefault="00B74754" w:rsidP="002E3C00">
      <w:pPr>
        <w:pStyle w:val="Heading4"/>
      </w:pPr>
      <w:r>
        <w:t>Preparation for Testing</w:t>
      </w:r>
    </w:p>
    <w:p w14:paraId="550E93F5" w14:textId="77777777" w:rsidR="00061FCF" w:rsidRPr="00600497" w:rsidRDefault="00061FCF" w:rsidP="000409B1">
      <w:pPr>
        <w:pStyle w:val="ListNumber"/>
        <w:numPr>
          <w:ilvl w:val="0"/>
          <w:numId w:val="27"/>
        </w:numPr>
        <w:tabs>
          <w:tab w:val="clear" w:pos="720"/>
          <w:tab w:val="num" w:pos="360"/>
        </w:tabs>
        <w:ind w:left="360"/>
      </w:pPr>
      <w:r w:rsidRPr="00600497">
        <w:t>Use the sample worksheet to record information.</w:t>
      </w:r>
    </w:p>
    <w:p w14:paraId="2B4F13B8" w14:textId="77777777" w:rsidR="002E3C00" w:rsidRPr="00600497" w:rsidRDefault="002E3C00" w:rsidP="000409B1">
      <w:pPr>
        <w:pStyle w:val="ListNumber"/>
        <w:numPr>
          <w:ilvl w:val="0"/>
          <w:numId w:val="27"/>
        </w:numPr>
        <w:tabs>
          <w:tab w:val="clear" w:pos="720"/>
          <w:tab w:val="num" w:pos="360"/>
        </w:tabs>
        <w:ind w:left="360"/>
      </w:pPr>
      <w:r w:rsidRPr="00600497">
        <w:t xml:space="preserve">Capture and save a screen shot of each piece of information. </w:t>
      </w:r>
    </w:p>
    <w:p w14:paraId="13B43B09" w14:textId="77777777" w:rsidR="00232E43" w:rsidRPr="00FB7F8D" w:rsidRDefault="00232E43" w:rsidP="000409B1">
      <w:pPr>
        <w:pStyle w:val="ListNumber"/>
        <w:numPr>
          <w:ilvl w:val="0"/>
          <w:numId w:val="27"/>
        </w:numPr>
        <w:tabs>
          <w:tab w:val="clear" w:pos="720"/>
          <w:tab w:val="num" w:pos="360"/>
        </w:tabs>
        <w:ind w:left="360"/>
      </w:pPr>
      <w:r w:rsidRPr="00600497">
        <w:t>Pri</w:t>
      </w:r>
      <w:r w:rsidRPr="00FB7F8D">
        <w:t>nt</w:t>
      </w:r>
      <w:r>
        <w:t>, sign, date,</w:t>
      </w:r>
      <w:r w:rsidRPr="00FB7F8D">
        <w:t xml:space="preserve"> and save an </w:t>
      </w:r>
      <w:r>
        <w:t>A</w:t>
      </w:r>
      <w:r w:rsidRPr="00FB7F8D">
        <w:t xml:space="preserve">udit </w:t>
      </w:r>
      <w:r>
        <w:t>Trail R</w:t>
      </w:r>
      <w:r w:rsidRPr="00FB7F8D">
        <w:t>eport for your validation record.</w:t>
      </w:r>
    </w:p>
    <w:p w14:paraId="04497CCC" w14:textId="6DA76A35" w:rsidR="002E3C00" w:rsidRDefault="002E3C00" w:rsidP="002E3C00">
      <w:pPr>
        <w:pStyle w:val="Caption"/>
        <w:rPr>
          <w:sz w:val="15"/>
          <w:szCs w:val="15"/>
        </w:rPr>
      </w:pPr>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647F4E">
        <w:rPr>
          <w:noProof/>
        </w:rPr>
        <w:t>33</w:t>
      </w:r>
      <w:r w:rsidR="004E20BD">
        <w:rPr>
          <w:noProof/>
        </w:rPr>
        <w:fldChar w:fldCharType="end"/>
      </w:r>
      <w:r>
        <w:t>: Component Class Requirements</w:t>
      </w:r>
      <w:r w:rsidR="00061FCF">
        <w:t xml:space="preserve"> Worksheet</w:t>
      </w:r>
      <w:r w:rsidR="00AD60CF">
        <w:fldChar w:fldCharType="begin"/>
      </w:r>
      <w:r w:rsidR="00292A7B">
        <w:instrText xml:space="preserve"> XE "Tables:</w:instrText>
      </w:r>
      <w:r w:rsidR="00AD60CF" w:rsidRPr="0046419F">
        <w:instrText>Component Class Requirements Worksheet</w:instrText>
      </w:r>
      <w:r w:rsidR="00AD60CF">
        <w:instrText xml:space="preserve">" </w:instrText>
      </w:r>
      <w:r w:rsidR="00AD60CF">
        <w:fldChar w:fldCharType="end"/>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9"/>
        <w:gridCol w:w="1689"/>
        <w:gridCol w:w="1440"/>
        <w:gridCol w:w="1620"/>
        <w:gridCol w:w="1136"/>
        <w:gridCol w:w="1672"/>
      </w:tblGrid>
      <w:tr w:rsidR="000A4CE0" w:rsidRPr="007121BA" w14:paraId="60C923E3" w14:textId="77777777">
        <w:trPr>
          <w:tblHeader/>
        </w:trPr>
        <w:tc>
          <w:tcPr>
            <w:tcW w:w="2019" w:type="dxa"/>
            <w:shd w:val="clear" w:color="auto" w:fill="B3B3B3"/>
            <w:vAlign w:val="bottom"/>
          </w:tcPr>
          <w:p w14:paraId="12455E40" w14:textId="77777777" w:rsidR="000A4CE0" w:rsidRPr="007121BA" w:rsidRDefault="000A4CE0" w:rsidP="002E3C00">
            <w:pPr>
              <w:pStyle w:val="TableText"/>
              <w:rPr>
                <w:b/>
              </w:rPr>
            </w:pPr>
            <w:r w:rsidRPr="007121BA">
              <w:rPr>
                <w:b/>
              </w:rPr>
              <w:t>Component Class</w:t>
            </w:r>
          </w:p>
        </w:tc>
        <w:tc>
          <w:tcPr>
            <w:tcW w:w="1689" w:type="dxa"/>
            <w:shd w:val="clear" w:color="auto" w:fill="B3B3B3"/>
            <w:vAlign w:val="bottom"/>
          </w:tcPr>
          <w:p w14:paraId="0A3D8350" w14:textId="77777777" w:rsidR="000A4CE0" w:rsidRPr="007121BA" w:rsidRDefault="000A4CE0" w:rsidP="002E3C00">
            <w:pPr>
              <w:pStyle w:val="TableText"/>
              <w:rPr>
                <w:b/>
              </w:rPr>
            </w:pPr>
            <w:r>
              <w:rPr>
                <w:b/>
              </w:rPr>
              <w:t>R</w:t>
            </w:r>
            <w:r w:rsidR="000C4296">
              <w:rPr>
                <w:b/>
              </w:rPr>
              <w:t xml:space="preserve">equire Current Specimen </w:t>
            </w:r>
            <w:r>
              <w:rPr>
                <w:b/>
              </w:rPr>
              <w:t>ABO/Rh Results?</w:t>
            </w:r>
          </w:p>
        </w:tc>
        <w:tc>
          <w:tcPr>
            <w:tcW w:w="1440" w:type="dxa"/>
            <w:shd w:val="clear" w:color="auto" w:fill="B3B3B3"/>
            <w:vAlign w:val="bottom"/>
          </w:tcPr>
          <w:p w14:paraId="74E3412B" w14:textId="3A324022" w:rsidR="000A4CE0" w:rsidRPr="007121BA" w:rsidRDefault="000A4CE0" w:rsidP="002E3C00">
            <w:pPr>
              <w:pStyle w:val="TableText"/>
              <w:rPr>
                <w:b/>
              </w:rPr>
            </w:pPr>
            <w:r w:rsidRPr="007121BA">
              <w:rPr>
                <w:b/>
              </w:rPr>
              <w:t xml:space="preserve">Maximum </w:t>
            </w:r>
            <w:r>
              <w:rPr>
                <w:b/>
              </w:rPr>
              <w:t>T</w:t>
            </w:r>
            <w:r w:rsidRPr="007121BA">
              <w:rPr>
                <w:b/>
              </w:rPr>
              <w:t xml:space="preserve">ransfusion </w:t>
            </w:r>
            <w:r>
              <w:rPr>
                <w:b/>
              </w:rPr>
              <w:t>Time</w:t>
            </w:r>
            <w:r w:rsidR="00647F4E">
              <w:rPr>
                <w:rFonts w:ascii="ZWAdobeF" w:hAnsi="ZWAdobeF" w:cs="ZWAdobeF"/>
                <w:sz w:val="2"/>
                <w:szCs w:val="2"/>
              </w:rPr>
              <w:t>9F</w:t>
            </w:r>
            <w:r>
              <w:rPr>
                <w:rStyle w:val="FootnoteReference"/>
                <w:b/>
              </w:rPr>
              <w:footnoteReference w:id="10"/>
            </w:r>
          </w:p>
        </w:tc>
        <w:tc>
          <w:tcPr>
            <w:tcW w:w="1620" w:type="dxa"/>
            <w:shd w:val="clear" w:color="auto" w:fill="B3B3B3"/>
            <w:vAlign w:val="bottom"/>
          </w:tcPr>
          <w:p w14:paraId="4D47F5CC" w14:textId="77777777" w:rsidR="000A4CE0" w:rsidRPr="007121BA" w:rsidRDefault="000A4CE0" w:rsidP="002E3C00">
            <w:pPr>
              <w:pStyle w:val="TableText"/>
              <w:rPr>
                <w:b/>
              </w:rPr>
            </w:pPr>
            <w:r>
              <w:rPr>
                <w:b/>
              </w:rPr>
              <w:t>Laboratory Test Name</w:t>
            </w:r>
          </w:p>
        </w:tc>
        <w:tc>
          <w:tcPr>
            <w:tcW w:w="1136" w:type="dxa"/>
            <w:shd w:val="clear" w:color="auto" w:fill="B3B3B3"/>
            <w:vAlign w:val="bottom"/>
          </w:tcPr>
          <w:p w14:paraId="5CAD7198" w14:textId="77777777" w:rsidR="000A4CE0" w:rsidRPr="007121BA" w:rsidRDefault="000A4CE0" w:rsidP="002E3C00">
            <w:pPr>
              <w:pStyle w:val="TableText"/>
              <w:rPr>
                <w:b/>
              </w:rPr>
            </w:pPr>
            <w:r>
              <w:rPr>
                <w:b/>
              </w:rPr>
              <w:t>Specimen Type</w:t>
            </w:r>
          </w:p>
        </w:tc>
        <w:tc>
          <w:tcPr>
            <w:tcW w:w="1672" w:type="dxa"/>
            <w:shd w:val="clear" w:color="auto" w:fill="B3B3B3"/>
            <w:vAlign w:val="bottom"/>
          </w:tcPr>
          <w:p w14:paraId="04EBAFEF" w14:textId="77777777" w:rsidR="000A4CE0" w:rsidRPr="007121BA" w:rsidRDefault="000A4CE0" w:rsidP="002E3C00">
            <w:pPr>
              <w:pStyle w:val="TableText"/>
              <w:rPr>
                <w:b/>
              </w:rPr>
            </w:pPr>
            <w:r>
              <w:rPr>
                <w:b/>
              </w:rPr>
              <w:t>Threshold Result</w:t>
            </w:r>
          </w:p>
        </w:tc>
      </w:tr>
      <w:tr w:rsidR="000A4CE0" w:rsidRPr="009B35EA" w14:paraId="166954CE" w14:textId="77777777">
        <w:tc>
          <w:tcPr>
            <w:tcW w:w="2019" w:type="dxa"/>
          </w:tcPr>
          <w:p w14:paraId="1F72A0EC" w14:textId="77777777" w:rsidR="000A4CE0" w:rsidRPr="009B35EA" w:rsidRDefault="000A4CE0" w:rsidP="002E3C00">
            <w:pPr>
              <w:pStyle w:val="TableText"/>
            </w:pPr>
            <w:r>
              <w:t>RED BLOOD CELLS</w:t>
            </w:r>
          </w:p>
        </w:tc>
        <w:tc>
          <w:tcPr>
            <w:tcW w:w="1689" w:type="dxa"/>
          </w:tcPr>
          <w:p w14:paraId="0B942EF7" w14:textId="77777777" w:rsidR="000A4CE0" w:rsidRPr="009B35EA" w:rsidRDefault="000A4CE0" w:rsidP="002E3C00">
            <w:pPr>
              <w:pStyle w:val="TableText"/>
            </w:pPr>
            <w:r>
              <w:sym w:font="Wingdings" w:char="F0FC"/>
            </w:r>
            <w:r>
              <w:t xml:space="preserve"> (uneditable)</w:t>
            </w:r>
          </w:p>
        </w:tc>
        <w:tc>
          <w:tcPr>
            <w:tcW w:w="1440" w:type="dxa"/>
          </w:tcPr>
          <w:p w14:paraId="4EDA7A2B" w14:textId="77777777" w:rsidR="000A4CE0" w:rsidRPr="009B35EA" w:rsidRDefault="000A4CE0" w:rsidP="002E3C00">
            <w:pPr>
              <w:pStyle w:val="TableText"/>
            </w:pPr>
          </w:p>
        </w:tc>
        <w:tc>
          <w:tcPr>
            <w:tcW w:w="1620" w:type="dxa"/>
          </w:tcPr>
          <w:p w14:paraId="2E8DA58E" w14:textId="77777777" w:rsidR="000A4CE0" w:rsidRPr="009B35EA" w:rsidRDefault="000A4CE0" w:rsidP="002E3C00">
            <w:pPr>
              <w:pStyle w:val="TableText"/>
            </w:pPr>
          </w:p>
        </w:tc>
        <w:tc>
          <w:tcPr>
            <w:tcW w:w="1136" w:type="dxa"/>
          </w:tcPr>
          <w:p w14:paraId="0B14FB93" w14:textId="77777777" w:rsidR="000A4CE0" w:rsidRPr="009B35EA" w:rsidRDefault="000A4CE0" w:rsidP="002E3C00">
            <w:pPr>
              <w:pStyle w:val="TableText"/>
            </w:pPr>
          </w:p>
        </w:tc>
        <w:tc>
          <w:tcPr>
            <w:tcW w:w="1672" w:type="dxa"/>
          </w:tcPr>
          <w:p w14:paraId="3F03F8B7" w14:textId="77777777" w:rsidR="000A4CE0" w:rsidRPr="009B35EA" w:rsidRDefault="000A4CE0" w:rsidP="002E3C00">
            <w:pPr>
              <w:pStyle w:val="TableText"/>
            </w:pPr>
          </w:p>
        </w:tc>
      </w:tr>
      <w:tr w:rsidR="000A4CE0" w:rsidRPr="009B35EA" w14:paraId="4635BF1A" w14:textId="77777777">
        <w:tc>
          <w:tcPr>
            <w:tcW w:w="2019" w:type="dxa"/>
          </w:tcPr>
          <w:p w14:paraId="61E731E2" w14:textId="77777777" w:rsidR="000A4CE0" w:rsidRPr="009B35EA" w:rsidRDefault="000A4CE0" w:rsidP="002E3C00">
            <w:pPr>
              <w:pStyle w:val="TableText"/>
            </w:pPr>
            <w:r>
              <w:t>FRESH FROZEN PLASMA</w:t>
            </w:r>
          </w:p>
        </w:tc>
        <w:tc>
          <w:tcPr>
            <w:tcW w:w="1689" w:type="dxa"/>
          </w:tcPr>
          <w:p w14:paraId="7D719D24" w14:textId="77777777" w:rsidR="000A4CE0" w:rsidRPr="009B35EA" w:rsidRDefault="000A4CE0" w:rsidP="002E3C00">
            <w:pPr>
              <w:pStyle w:val="TableText"/>
            </w:pPr>
          </w:p>
        </w:tc>
        <w:tc>
          <w:tcPr>
            <w:tcW w:w="1440" w:type="dxa"/>
          </w:tcPr>
          <w:p w14:paraId="0AA65974" w14:textId="77777777" w:rsidR="000A4CE0" w:rsidRPr="009B35EA" w:rsidRDefault="000A4CE0" w:rsidP="002E3C00">
            <w:pPr>
              <w:pStyle w:val="TableText"/>
            </w:pPr>
          </w:p>
        </w:tc>
        <w:tc>
          <w:tcPr>
            <w:tcW w:w="1620" w:type="dxa"/>
          </w:tcPr>
          <w:p w14:paraId="2AC275DB" w14:textId="77777777" w:rsidR="000A4CE0" w:rsidRPr="009B35EA" w:rsidRDefault="000A4CE0" w:rsidP="002E3C00">
            <w:pPr>
              <w:pStyle w:val="TableText"/>
            </w:pPr>
          </w:p>
        </w:tc>
        <w:tc>
          <w:tcPr>
            <w:tcW w:w="1136" w:type="dxa"/>
          </w:tcPr>
          <w:p w14:paraId="01302DAD" w14:textId="77777777" w:rsidR="000A4CE0" w:rsidRPr="009B35EA" w:rsidRDefault="000A4CE0" w:rsidP="002E3C00">
            <w:pPr>
              <w:pStyle w:val="TableText"/>
            </w:pPr>
          </w:p>
        </w:tc>
        <w:tc>
          <w:tcPr>
            <w:tcW w:w="1672" w:type="dxa"/>
          </w:tcPr>
          <w:p w14:paraId="3054F487" w14:textId="77777777" w:rsidR="000A4CE0" w:rsidRPr="009B35EA" w:rsidRDefault="000A4CE0" w:rsidP="002E3C00">
            <w:pPr>
              <w:pStyle w:val="TableText"/>
            </w:pPr>
          </w:p>
        </w:tc>
      </w:tr>
      <w:tr w:rsidR="000A4CE0" w:rsidRPr="009B35EA" w14:paraId="1A9F7FBA" w14:textId="77777777">
        <w:tc>
          <w:tcPr>
            <w:tcW w:w="2019" w:type="dxa"/>
          </w:tcPr>
          <w:p w14:paraId="16F1288B" w14:textId="77777777" w:rsidR="000A4CE0" w:rsidRDefault="000A4CE0" w:rsidP="002E3C00">
            <w:pPr>
              <w:pStyle w:val="TableText"/>
            </w:pPr>
            <w:r>
              <w:t>PLATELETS</w:t>
            </w:r>
          </w:p>
        </w:tc>
        <w:tc>
          <w:tcPr>
            <w:tcW w:w="1689" w:type="dxa"/>
          </w:tcPr>
          <w:p w14:paraId="3CAD216E" w14:textId="77777777" w:rsidR="000A4CE0" w:rsidRDefault="000A4CE0" w:rsidP="002E3C00">
            <w:pPr>
              <w:pStyle w:val="TableText"/>
            </w:pPr>
          </w:p>
        </w:tc>
        <w:tc>
          <w:tcPr>
            <w:tcW w:w="1440" w:type="dxa"/>
          </w:tcPr>
          <w:p w14:paraId="58E856FF" w14:textId="77777777" w:rsidR="000A4CE0" w:rsidRPr="009B35EA" w:rsidRDefault="000A4CE0" w:rsidP="002E3C00">
            <w:pPr>
              <w:pStyle w:val="TableText"/>
            </w:pPr>
          </w:p>
        </w:tc>
        <w:tc>
          <w:tcPr>
            <w:tcW w:w="1620" w:type="dxa"/>
          </w:tcPr>
          <w:p w14:paraId="645E4CE6" w14:textId="77777777" w:rsidR="000A4CE0" w:rsidRPr="009B35EA" w:rsidRDefault="000A4CE0" w:rsidP="002E3C00">
            <w:pPr>
              <w:pStyle w:val="TableText"/>
            </w:pPr>
          </w:p>
        </w:tc>
        <w:tc>
          <w:tcPr>
            <w:tcW w:w="1136" w:type="dxa"/>
          </w:tcPr>
          <w:p w14:paraId="10B912B6" w14:textId="77777777" w:rsidR="000A4CE0" w:rsidRPr="009B35EA" w:rsidRDefault="000A4CE0" w:rsidP="002E3C00">
            <w:pPr>
              <w:pStyle w:val="TableText"/>
            </w:pPr>
          </w:p>
        </w:tc>
        <w:tc>
          <w:tcPr>
            <w:tcW w:w="1672" w:type="dxa"/>
          </w:tcPr>
          <w:p w14:paraId="270F8CF6" w14:textId="77777777" w:rsidR="000A4CE0" w:rsidRPr="009B35EA" w:rsidRDefault="000A4CE0" w:rsidP="002E3C00">
            <w:pPr>
              <w:pStyle w:val="TableText"/>
            </w:pPr>
          </w:p>
        </w:tc>
      </w:tr>
      <w:tr w:rsidR="000A4CE0" w:rsidRPr="009B35EA" w14:paraId="1B3C8D36" w14:textId="77777777">
        <w:tc>
          <w:tcPr>
            <w:tcW w:w="2019" w:type="dxa"/>
          </w:tcPr>
          <w:p w14:paraId="73F3CB8C" w14:textId="77777777" w:rsidR="000A4CE0" w:rsidRPr="009B35EA" w:rsidRDefault="000A4CE0" w:rsidP="002E3C00">
            <w:pPr>
              <w:pStyle w:val="TableText"/>
            </w:pPr>
            <w:r>
              <w:t>CRYOPRECIPITATE</w:t>
            </w:r>
          </w:p>
        </w:tc>
        <w:tc>
          <w:tcPr>
            <w:tcW w:w="1689" w:type="dxa"/>
          </w:tcPr>
          <w:p w14:paraId="6AD4B6EA" w14:textId="77777777" w:rsidR="000A4CE0" w:rsidRPr="009B35EA" w:rsidRDefault="000A4CE0" w:rsidP="002E3C00">
            <w:pPr>
              <w:pStyle w:val="TableText"/>
            </w:pPr>
          </w:p>
        </w:tc>
        <w:tc>
          <w:tcPr>
            <w:tcW w:w="1440" w:type="dxa"/>
          </w:tcPr>
          <w:p w14:paraId="7D7A0EFD" w14:textId="77777777" w:rsidR="000A4CE0" w:rsidRPr="009B35EA" w:rsidRDefault="000A4CE0" w:rsidP="002E3C00">
            <w:pPr>
              <w:pStyle w:val="TableText"/>
            </w:pPr>
          </w:p>
        </w:tc>
        <w:tc>
          <w:tcPr>
            <w:tcW w:w="1620" w:type="dxa"/>
          </w:tcPr>
          <w:p w14:paraId="4E9DF3F9" w14:textId="77777777" w:rsidR="000A4CE0" w:rsidRPr="009B35EA" w:rsidRDefault="000A4CE0" w:rsidP="002E3C00">
            <w:pPr>
              <w:pStyle w:val="TableText"/>
            </w:pPr>
          </w:p>
        </w:tc>
        <w:tc>
          <w:tcPr>
            <w:tcW w:w="1136" w:type="dxa"/>
          </w:tcPr>
          <w:p w14:paraId="1CA57F3C" w14:textId="77777777" w:rsidR="000A4CE0" w:rsidRPr="009B35EA" w:rsidRDefault="000A4CE0" w:rsidP="002E3C00">
            <w:pPr>
              <w:pStyle w:val="TableText"/>
            </w:pPr>
          </w:p>
        </w:tc>
        <w:tc>
          <w:tcPr>
            <w:tcW w:w="1672" w:type="dxa"/>
          </w:tcPr>
          <w:p w14:paraId="140EEA3B" w14:textId="77777777" w:rsidR="000A4CE0" w:rsidRPr="009B35EA" w:rsidRDefault="000A4CE0" w:rsidP="002E3C00">
            <w:pPr>
              <w:pStyle w:val="TableText"/>
            </w:pPr>
          </w:p>
        </w:tc>
      </w:tr>
      <w:tr w:rsidR="000A4CE0" w:rsidRPr="009B35EA" w14:paraId="3DC32E95" w14:textId="77777777">
        <w:tc>
          <w:tcPr>
            <w:tcW w:w="2019" w:type="dxa"/>
          </w:tcPr>
          <w:p w14:paraId="7D0217CC" w14:textId="77777777" w:rsidR="000A4CE0" w:rsidRPr="009B35EA" w:rsidRDefault="000A4CE0" w:rsidP="002E3C00">
            <w:pPr>
              <w:pStyle w:val="TableText"/>
            </w:pPr>
            <w:r>
              <w:t>WHOLE BLOOD</w:t>
            </w:r>
          </w:p>
        </w:tc>
        <w:tc>
          <w:tcPr>
            <w:tcW w:w="1689" w:type="dxa"/>
          </w:tcPr>
          <w:p w14:paraId="5457DC61" w14:textId="77777777" w:rsidR="000A4CE0" w:rsidRPr="009B35EA" w:rsidRDefault="000A4CE0" w:rsidP="002E3C00">
            <w:pPr>
              <w:pStyle w:val="TableText"/>
            </w:pPr>
            <w:r>
              <w:sym w:font="Wingdings" w:char="F0FC"/>
            </w:r>
            <w:r>
              <w:t xml:space="preserve"> (uneditable)</w:t>
            </w:r>
          </w:p>
        </w:tc>
        <w:tc>
          <w:tcPr>
            <w:tcW w:w="1440" w:type="dxa"/>
          </w:tcPr>
          <w:p w14:paraId="49AE4509" w14:textId="77777777" w:rsidR="000A4CE0" w:rsidRPr="009B35EA" w:rsidRDefault="000A4CE0" w:rsidP="002E3C00">
            <w:pPr>
              <w:pStyle w:val="TableText"/>
            </w:pPr>
          </w:p>
        </w:tc>
        <w:tc>
          <w:tcPr>
            <w:tcW w:w="1620" w:type="dxa"/>
          </w:tcPr>
          <w:p w14:paraId="3D9B5545" w14:textId="77777777" w:rsidR="000A4CE0" w:rsidRPr="009B35EA" w:rsidRDefault="000A4CE0" w:rsidP="002E3C00">
            <w:pPr>
              <w:pStyle w:val="TableText"/>
            </w:pPr>
          </w:p>
        </w:tc>
        <w:tc>
          <w:tcPr>
            <w:tcW w:w="1136" w:type="dxa"/>
          </w:tcPr>
          <w:p w14:paraId="0B22FA3B" w14:textId="77777777" w:rsidR="000A4CE0" w:rsidRPr="009B35EA" w:rsidRDefault="000A4CE0" w:rsidP="002E3C00">
            <w:pPr>
              <w:pStyle w:val="TableText"/>
            </w:pPr>
          </w:p>
        </w:tc>
        <w:tc>
          <w:tcPr>
            <w:tcW w:w="1672" w:type="dxa"/>
          </w:tcPr>
          <w:p w14:paraId="57E66BD2" w14:textId="77777777" w:rsidR="000A4CE0" w:rsidRPr="009B35EA" w:rsidRDefault="000A4CE0" w:rsidP="002E3C00">
            <w:pPr>
              <w:pStyle w:val="TableText"/>
            </w:pPr>
          </w:p>
        </w:tc>
      </w:tr>
      <w:tr w:rsidR="000A4CE0" w:rsidRPr="009B35EA" w14:paraId="0887783C" w14:textId="77777777">
        <w:tc>
          <w:tcPr>
            <w:tcW w:w="2019" w:type="dxa"/>
          </w:tcPr>
          <w:p w14:paraId="03DED510" w14:textId="77777777" w:rsidR="000A4CE0" w:rsidRPr="009B35EA" w:rsidRDefault="000A4CE0" w:rsidP="002E3C00">
            <w:pPr>
              <w:pStyle w:val="TableText"/>
            </w:pPr>
            <w:r>
              <w:t>OTHER</w:t>
            </w:r>
          </w:p>
        </w:tc>
        <w:tc>
          <w:tcPr>
            <w:tcW w:w="1689" w:type="dxa"/>
          </w:tcPr>
          <w:p w14:paraId="16A06C81" w14:textId="77777777" w:rsidR="000A4CE0" w:rsidRPr="009B35EA" w:rsidRDefault="000A4CE0" w:rsidP="002E3C00">
            <w:pPr>
              <w:pStyle w:val="TableText"/>
            </w:pPr>
          </w:p>
        </w:tc>
        <w:tc>
          <w:tcPr>
            <w:tcW w:w="1440" w:type="dxa"/>
          </w:tcPr>
          <w:p w14:paraId="236F525A" w14:textId="77777777" w:rsidR="000A4CE0" w:rsidRPr="009B35EA" w:rsidRDefault="000A4CE0" w:rsidP="002E3C00">
            <w:pPr>
              <w:pStyle w:val="TableText"/>
            </w:pPr>
          </w:p>
        </w:tc>
        <w:tc>
          <w:tcPr>
            <w:tcW w:w="1620" w:type="dxa"/>
          </w:tcPr>
          <w:p w14:paraId="00B71719" w14:textId="77777777" w:rsidR="000A4CE0" w:rsidRPr="009B35EA" w:rsidRDefault="000A4CE0" w:rsidP="002E3C00">
            <w:pPr>
              <w:pStyle w:val="TableText"/>
            </w:pPr>
          </w:p>
        </w:tc>
        <w:tc>
          <w:tcPr>
            <w:tcW w:w="1136" w:type="dxa"/>
          </w:tcPr>
          <w:p w14:paraId="0AFDC9BD" w14:textId="77777777" w:rsidR="000A4CE0" w:rsidRPr="009B35EA" w:rsidRDefault="000A4CE0" w:rsidP="002E3C00">
            <w:pPr>
              <w:pStyle w:val="TableText"/>
            </w:pPr>
          </w:p>
        </w:tc>
        <w:tc>
          <w:tcPr>
            <w:tcW w:w="1672" w:type="dxa"/>
          </w:tcPr>
          <w:p w14:paraId="45311F38" w14:textId="77777777" w:rsidR="000A4CE0" w:rsidRPr="009B35EA" w:rsidRDefault="000A4CE0" w:rsidP="002E3C00">
            <w:pPr>
              <w:pStyle w:val="TableText"/>
            </w:pPr>
          </w:p>
        </w:tc>
      </w:tr>
    </w:tbl>
    <w:p w14:paraId="501C392A" w14:textId="77777777" w:rsidR="003E754E" w:rsidRDefault="003E754E" w:rsidP="002E3C00">
      <w:pPr>
        <w:pStyle w:val="Heading3"/>
      </w:pPr>
      <w:bookmarkStart w:id="754" w:name="_Toc85895792"/>
      <w:bookmarkStart w:id="755" w:name="_Toc113264250"/>
      <w:bookmarkStart w:id="756" w:name="_Toc114462104"/>
      <w:bookmarkStart w:id="757" w:name="_Toc85895791"/>
      <w:bookmarkStart w:id="758" w:name="_Toc113264249"/>
    </w:p>
    <w:p w14:paraId="65C9CFE8" w14:textId="77777777" w:rsidR="002E3C00" w:rsidRDefault="003E754E" w:rsidP="002E3C00">
      <w:pPr>
        <w:pStyle w:val="Heading3"/>
      </w:pPr>
      <w:r>
        <w:br w:type="page"/>
      </w:r>
      <w:bookmarkStart w:id="759" w:name="_Toc4588897"/>
      <w:r w:rsidR="002E3C00" w:rsidRPr="008F671D">
        <w:lastRenderedPageBreak/>
        <w:t>Transfusion Complication</w:t>
      </w:r>
      <w:bookmarkEnd w:id="754"/>
      <w:bookmarkEnd w:id="755"/>
      <w:r w:rsidR="002E3C00" w:rsidRPr="008F671D">
        <w:t>s</w:t>
      </w:r>
      <w:bookmarkEnd w:id="756"/>
      <w:bookmarkEnd w:id="759"/>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Transfusion Complications</w:instrText>
      </w:r>
      <w:r w:rsidR="00992E88">
        <w:instrText xml:space="preserve">" </w:instrText>
      </w:r>
      <w:r w:rsidR="00992E88">
        <w:fldChar w:fldCharType="end"/>
      </w:r>
    </w:p>
    <w:p w14:paraId="0A39D459" w14:textId="6B87C6DE" w:rsidR="002E3C00" w:rsidRPr="00CA68EE" w:rsidRDefault="002E3C00" w:rsidP="00E10142">
      <w:pPr>
        <w:pStyle w:val="BodyText"/>
      </w:pPr>
      <w:r>
        <w:t>The user defines Laboratory tests and threshold values used to generate a report listing patients transfused within a specified period who may have developed a transfusion-associated disease.</w:t>
      </w:r>
      <w:r w:rsidR="008D2779">
        <w:t xml:space="preserve"> For more information, see </w:t>
      </w:r>
      <w:r w:rsidR="008D2779">
        <w:fldChar w:fldCharType="begin" w:fldLock="1"/>
      </w:r>
      <w:r w:rsidR="008D2779">
        <w:instrText xml:space="preserve"> REF _Ref508960075 \h </w:instrText>
      </w:r>
      <w:r w:rsidR="008D2779">
        <w:fldChar w:fldCharType="separate"/>
      </w:r>
      <w:r w:rsidR="00AB304C">
        <w:t xml:space="preserve">Appendix </w:t>
      </w:r>
      <w:r w:rsidR="00AB304C">
        <w:rPr>
          <w:noProof/>
        </w:rPr>
        <w:t>F</w:t>
      </w:r>
      <w:r w:rsidR="00AB304C">
        <w:t>: Work Process Flowcharts</w:t>
      </w:r>
      <w:r w:rsidR="008D2779">
        <w:fldChar w:fldCharType="end"/>
      </w:r>
      <w:r w:rsidR="008D2779">
        <w:t>.</w:t>
      </w:r>
    </w:p>
    <w:p w14:paraId="6793FE5F" w14:textId="77777777" w:rsidR="002E3C00" w:rsidRDefault="002E3C00" w:rsidP="002E3C00">
      <w:pPr>
        <w:pStyle w:val="Heading4"/>
        <w:rPr>
          <w:b w:val="0"/>
        </w:rPr>
      </w:pPr>
      <w:r>
        <w:t>User Roles with Access to This Option</w:t>
      </w:r>
      <w:r>
        <w:rPr>
          <w:b w:val="0"/>
        </w:rPr>
        <w:t xml:space="preserve"> </w:t>
      </w:r>
    </w:p>
    <w:p w14:paraId="33926A83" w14:textId="77777777" w:rsidR="002E3C00" w:rsidRPr="00404CAF" w:rsidRDefault="002E3C00" w:rsidP="002E3C00">
      <w:pPr>
        <w:pStyle w:val="Roles"/>
        <w:rPr>
          <w:i/>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130D01ED" w14:textId="77777777" w:rsidR="002E3C00" w:rsidRDefault="00B74754" w:rsidP="002E3C00">
      <w:pPr>
        <w:pStyle w:val="Heading4"/>
      </w:pPr>
      <w:r>
        <w:t>Preparation for Testing</w:t>
      </w:r>
    </w:p>
    <w:p w14:paraId="750FAEDF" w14:textId="77777777" w:rsidR="00061FCF" w:rsidRPr="00600497" w:rsidRDefault="00061FCF" w:rsidP="000409B1">
      <w:pPr>
        <w:pStyle w:val="ListNumber"/>
        <w:numPr>
          <w:ilvl w:val="0"/>
          <w:numId w:val="28"/>
        </w:numPr>
        <w:tabs>
          <w:tab w:val="clear" w:pos="720"/>
          <w:tab w:val="num" w:pos="360"/>
        </w:tabs>
        <w:ind w:left="360"/>
      </w:pPr>
      <w:r>
        <w:t>Use t</w:t>
      </w:r>
      <w:r w:rsidRPr="00600497">
        <w:t>he sample worksheet to record information.</w:t>
      </w:r>
    </w:p>
    <w:p w14:paraId="75B48FAE" w14:textId="77777777" w:rsidR="002E3C00" w:rsidRPr="00600497" w:rsidRDefault="002E3C00" w:rsidP="000409B1">
      <w:pPr>
        <w:pStyle w:val="ListNumber"/>
        <w:numPr>
          <w:ilvl w:val="0"/>
          <w:numId w:val="28"/>
        </w:numPr>
        <w:tabs>
          <w:tab w:val="clear" w:pos="720"/>
          <w:tab w:val="num" w:pos="360"/>
        </w:tabs>
        <w:ind w:left="360"/>
      </w:pPr>
      <w:r w:rsidRPr="00600497">
        <w:t>Capture and save a screen shot of all entries.</w:t>
      </w:r>
    </w:p>
    <w:p w14:paraId="2AF8EAFE" w14:textId="77777777" w:rsidR="00232E43" w:rsidRPr="00FB7F8D" w:rsidRDefault="00232E43" w:rsidP="000409B1">
      <w:pPr>
        <w:pStyle w:val="ListNumber"/>
        <w:numPr>
          <w:ilvl w:val="0"/>
          <w:numId w:val="28"/>
        </w:numPr>
        <w:tabs>
          <w:tab w:val="clear" w:pos="720"/>
          <w:tab w:val="num" w:pos="360"/>
        </w:tabs>
        <w:ind w:left="360"/>
      </w:pPr>
      <w:r w:rsidRPr="00600497">
        <w:t xml:space="preserve">Print, </w:t>
      </w:r>
      <w:r>
        <w:t>sign, date,</w:t>
      </w:r>
      <w:r w:rsidRPr="00FB7F8D">
        <w:t xml:space="preserve"> and save an </w:t>
      </w:r>
      <w:r>
        <w:t>A</w:t>
      </w:r>
      <w:r w:rsidRPr="00FB7F8D">
        <w:t xml:space="preserve">udit </w:t>
      </w:r>
      <w:r>
        <w:t>Trail R</w:t>
      </w:r>
      <w:r w:rsidRPr="00FB7F8D">
        <w:t>eport for your validation record.</w:t>
      </w:r>
    </w:p>
    <w:p w14:paraId="2A5BD197" w14:textId="32C7EA8C" w:rsidR="00061FCF" w:rsidRDefault="00061FCF" w:rsidP="00061FCF">
      <w:pPr>
        <w:pStyle w:val="Caption"/>
        <w:rPr>
          <w:sz w:val="15"/>
          <w:szCs w:val="15"/>
        </w:rPr>
      </w:pPr>
      <w:bookmarkStart w:id="760" w:name="_Toc114462105"/>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647F4E">
        <w:rPr>
          <w:noProof/>
        </w:rPr>
        <w:t>34</w:t>
      </w:r>
      <w:r w:rsidR="004E20BD">
        <w:rPr>
          <w:noProof/>
        </w:rPr>
        <w:fldChar w:fldCharType="end"/>
      </w:r>
      <w:r>
        <w:t>: Transfusion Complications Worksheet</w:t>
      </w:r>
      <w:r w:rsidR="00AD60CF">
        <w:fldChar w:fldCharType="begin"/>
      </w:r>
      <w:r w:rsidR="00292A7B">
        <w:instrText xml:space="preserve"> XE "Tables:</w:instrText>
      </w:r>
      <w:r w:rsidR="00AD60CF" w:rsidRPr="0046419F">
        <w:instrText>Transfusion Complications Worksheet</w:instrText>
      </w:r>
      <w:r w:rsidR="00AD60CF">
        <w:instrText xml:space="preserve">" </w:instrText>
      </w:r>
      <w:r w:rsidR="00AD60CF">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0"/>
        <w:gridCol w:w="3120"/>
        <w:gridCol w:w="3120"/>
      </w:tblGrid>
      <w:tr w:rsidR="001A5A46" w:rsidRPr="007121BA" w14:paraId="5115ECC0" w14:textId="77777777">
        <w:trPr>
          <w:tblHeader/>
        </w:trPr>
        <w:tc>
          <w:tcPr>
            <w:tcW w:w="2088" w:type="dxa"/>
            <w:shd w:val="clear" w:color="auto" w:fill="B3B3B3"/>
            <w:vAlign w:val="bottom"/>
          </w:tcPr>
          <w:p w14:paraId="1F8453FE" w14:textId="77777777" w:rsidR="001A5A46" w:rsidRPr="007121BA" w:rsidRDefault="001A5A46" w:rsidP="005129E1">
            <w:pPr>
              <w:pStyle w:val="TableText"/>
              <w:rPr>
                <w:b/>
              </w:rPr>
            </w:pPr>
            <w:r>
              <w:rPr>
                <w:b/>
              </w:rPr>
              <w:t>Laboratory Test Name</w:t>
            </w:r>
          </w:p>
        </w:tc>
        <w:tc>
          <w:tcPr>
            <w:tcW w:w="2088" w:type="dxa"/>
            <w:shd w:val="clear" w:color="auto" w:fill="B3B3B3"/>
            <w:vAlign w:val="bottom"/>
          </w:tcPr>
          <w:p w14:paraId="3296EB5A" w14:textId="77777777" w:rsidR="001A5A46" w:rsidRPr="007121BA" w:rsidRDefault="001A5A46" w:rsidP="005129E1">
            <w:pPr>
              <w:pStyle w:val="TableText"/>
              <w:rPr>
                <w:b/>
              </w:rPr>
            </w:pPr>
            <w:r>
              <w:rPr>
                <w:b/>
              </w:rPr>
              <w:t>Specimen Type</w:t>
            </w:r>
          </w:p>
        </w:tc>
        <w:tc>
          <w:tcPr>
            <w:tcW w:w="2088" w:type="dxa"/>
            <w:shd w:val="clear" w:color="auto" w:fill="B3B3B3"/>
            <w:vAlign w:val="bottom"/>
          </w:tcPr>
          <w:p w14:paraId="62CF9863" w14:textId="77777777" w:rsidR="001A5A46" w:rsidRPr="007121BA" w:rsidRDefault="001A5A46" w:rsidP="005129E1">
            <w:pPr>
              <w:pStyle w:val="TableText"/>
              <w:rPr>
                <w:b/>
              </w:rPr>
            </w:pPr>
            <w:r>
              <w:rPr>
                <w:b/>
              </w:rPr>
              <w:t>Threshold Result</w:t>
            </w:r>
          </w:p>
        </w:tc>
      </w:tr>
      <w:tr w:rsidR="001A5A46" w:rsidRPr="009B35EA" w14:paraId="09B1F63C" w14:textId="77777777">
        <w:tc>
          <w:tcPr>
            <w:tcW w:w="2088" w:type="dxa"/>
          </w:tcPr>
          <w:p w14:paraId="512852F9" w14:textId="77777777" w:rsidR="001A5A46" w:rsidRPr="009B35EA" w:rsidRDefault="001A5A46" w:rsidP="005129E1">
            <w:pPr>
              <w:pStyle w:val="TableText"/>
            </w:pPr>
          </w:p>
        </w:tc>
        <w:tc>
          <w:tcPr>
            <w:tcW w:w="2088" w:type="dxa"/>
          </w:tcPr>
          <w:p w14:paraId="1303F067" w14:textId="77777777" w:rsidR="001A5A46" w:rsidRPr="009B35EA" w:rsidRDefault="001A5A46" w:rsidP="005129E1">
            <w:pPr>
              <w:pStyle w:val="TableText"/>
            </w:pPr>
          </w:p>
        </w:tc>
        <w:tc>
          <w:tcPr>
            <w:tcW w:w="2088" w:type="dxa"/>
          </w:tcPr>
          <w:p w14:paraId="192A6002" w14:textId="77777777" w:rsidR="001A5A46" w:rsidRPr="009B35EA" w:rsidRDefault="001A5A46" w:rsidP="005129E1">
            <w:pPr>
              <w:pStyle w:val="TableText"/>
            </w:pPr>
          </w:p>
        </w:tc>
      </w:tr>
      <w:tr w:rsidR="001A5A46" w:rsidRPr="009B35EA" w14:paraId="38F89BA3" w14:textId="77777777">
        <w:tc>
          <w:tcPr>
            <w:tcW w:w="2088" w:type="dxa"/>
          </w:tcPr>
          <w:p w14:paraId="0B40168B" w14:textId="77777777" w:rsidR="001A5A46" w:rsidRPr="009B35EA" w:rsidRDefault="001A5A46" w:rsidP="005129E1">
            <w:pPr>
              <w:pStyle w:val="TableText"/>
            </w:pPr>
          </w:p>
        </w:tc>
        <w:tc>
          <w:tcPr>
            <w:tcW w:w="2088" w:type="dxa"/>
          </w:tcPr>
          <w:p w14:paraId="34AD958F" w14:textId="77777777" w:rsidR="001A5A46" w:rsidRPr="009B35EA" w:rsidRDefault="001A5A46" w:rsidP="005129E1">
            <w:pPr>
              <w:pStyle w:val="TableText"/>
            </w:pPr>
          </w:p>
        </w:tc>
        <w:tc>
          <w:tcPr>
            <w:tcW w:w="2088" w:type="dxa"/>
          </w:tcPr>
          <w:p w14:paraId="024F583C" w14:textId="77777777" w:rsidR="001A5A46" w:rsidRPr="009B35EA" w:rsidRDefault="001A5A46" w:rsidP="005129E1">
            <w:pPr>
              <w:pStyle w:val="TableText"/>
            </w:pPr>
          </w:p>
        </w:tc>
      </w:tr>
      <w:tr w:rsidR="001A5A46" w:rsidRPr="009B35EA" w14:paraId="13498A20" w14:textId="77777777">
        <w:tc>
          <w:tcPr>
            <w:tcW w:w="2088" w:type="dxa"/>
          </w:tcPr>
          <w:p w14:paraId="34778BA4" w14:textId="77777777" w:rsidR="001A5A46" w:rsidRPr="009B35EA" w:rsidRDefault="001A5A46" w:rsidP="005129E1">
            <w:pPr>
              <w:pStyle w:val="TableText"/>
            </w:pPr>
          </w:p>
        </w:tc>
        <w:tc>
          <w:tcPr>
            <w:tcW w:w="2088" w:type="dxa"/>
          </w:tcPr>
          <w:p w14:paraId="6934F1BC" w14:textId="77777777" w:rsidR="001A5A46" w:rsidRPr="009B35EA" w:rsidRDefault="001A5A46" w:rsidP="005129E1">
            <w:pPr>
              <w:pStyle w:val="TableText"/>
            </w:pPr>
          </w:p>
        </w:tc>
        <w:tc>
          <w:tcPr>
            <w:tcW w:w="2088" w:type="dxa"/>
          </w:tcPr>
          <w:p w14:paraId="2F2AAD5D" w14:textId="77777777" w:rsidR="001A5A46" w:rsidRPr="009B35EA" w:rsidRDefault="001A5A46" w:rsidP="005129E1">
            <w:pPr>
              <w:pStyle w:val="TableText"/>
            </w:pPr>
          </w:p>
        </w:tc>
      </w:tr>
      <w:tr w:rsidR="001A5A46" w:rsidRPr="009B35EA" w14:paraId="2C6D59BD" w14:textId="77777777">
        <w:tc>
          <w:tcPr>
            <w:tcW w:w="2088" w:type="dxa"/>
          </w:tcPr>
          <w:p w14:paraId="0744B017" w14:textId="77777777" w:rsidR="001A5A46" w:rsidRPr="009B35EA" w:rsidRDefault="001A5A46" w:rsidP="005129E1">
            <w:pPr>
              <w:pStyle w:val="TableText"/>
            </w:pPr>
          </w:p>
        </w:tc>
        <w:tc>
          <w:tcPr>
            <w:tcW w:w="2088" w:type="dxa"/>
          </w:tcPr>
          <w:p w14:paraId="71241A40" w14:textId="77777777" w:rsidR="001A5A46" w:rsidRPr="009B35EA" w:rsidRDefault="001A5A46" w:rsidP="005129E1">
            <w:pPr>
              <w:pStyle w:val="TableText"/>
            </w:pPr>
          </w:p>
        </w:tc>
        <w:tc>
          <w:tcPr>
            <w:tcW w:w="2088" w:type="dxa"/>
          </w:tcPr>
          <w:p w14:paraId="110FF66C" w14:textId="77777777" w:rsidR="001A5A46" w:rsidRPr="009B35EA" w:rsidRDefault="001A5A46" w:rsidP="005129E1">
            <w:pPr>
              <w:pStyle w:val="TableText"/>
            </w:pPr>
          </w:p>
        </w:tc>
      </w:tr>
      <w:tr w:rsidR="001A5A46" w:rsidRPr="009B35EA" w14:paraId="022B3A67" w14:textId="77777777">
        <w:tc>
          <w:tcPr>
            <w:tcW w:w="2088" w:type="dxa"/>
          </w:tcPr>
          <w:p w14:paraId="7A186C97" w14:textId="77777777" w:rsidR="001A5A46" w:rsidRPr="009B35EA" w:rsidRDefault="001A5A46" w:rsidP="005129E1">
            <w:pPr>
              <w:pStyle w:val="TableText"/>
            </w:pPr>
          </w:p>
        </w:tc>
        <w:tc>
          <w:tcPr>
            <w:tcW w:w="2088" w:type="dxa"/>
          </w:tcPr>
          <w:p w14:paraId="160AE142" w14:textId="77777777" w:rsidR="001A5A46" w:rsidRPr="009B35EA" w:rsidRDefault="001A5A46" w:rsidP="005129E1">
            <w:pPr>
              <w:pStyle w:val="TableText"/>
            </w:pPr>
          </w:p>
        </w:tc>
        <w:tc>
          <w:tcPr>
            <w:tcW w:w="2088" w:type="dxa"/>
          </w:tcPr>
          <w:p w14:paraId="3A7052F4" w14:textId="77777777" w:rsidR="001A5A46" w:rsidRPr="009B35EA" w:rsidRDefault="001A5A46" w:rsidP="005129E1">
            <w:pPr>
              <w:pStyle w:val="TableText"/>
            </w:pPr>
          </w:p>
        </w:tc>
      </w:tr>
      <w:tr w:rsidR="001A5A46" w:rsidRPr="009B35EA" w14:paraId="2BAC9291" w14:textId="77777777">
        <w:tc>
          <w:tcPr>
            <w:tcW w:w="2088" w:type="dxa"/>
          </w:tcPr>
          <w:p w14:paraId="4F6C3A23" w14:textId="77777777" w:rsidR="001A5A46" w:rsidRPr="009B35EA" w:rsidRDefault="001A5A46" w:rsidP="005129E1">
            <w:pPr>
              <w:pStyle w:val="TableText"/>
            </w:pPr>
          </w:p>
        </w:tc>
        <w:tc>
          <w:tcPr>
            <w:tcW w:w="2088" w:type="dxa"/>
          </w:tcPr>
          <w:p w14:paraId="05FF3DD1" w14:textId="77777777" w:rsidR="001A5A46" w:rsidRPr="009B35EA" w:rsidRDefault="001A5A46" w:rsidP="005129E1">
            <w:pPr>
              <w:pStyle w:val="TableText"/>
            </w:pPr>
          </w:p>
        </w:tc>
        <w:tc>
          <w:tcPr>
            <w:tcW w:w="2088" w:type="dxa"/>
          </w:tcPr>
          <w:p w14:paraId="2BF33107" w14:textId="77777777" w:rsidR="001A5A46" w:rsidRPr="009B35EA" w:rsidRDefault="001A5A46" w:rsidP="005129E1">
            <w:pPr>
              <w:pStyle w:val="TableText"/>
            </w:pPr>
          </w:p>
        </w:tc>
      </w:tr>
    </w:tbl>
    <w:p w14:paraId="167F80EC" w14:textId="77777777" w:rsidR="007F0132" w:rsidRDefault="007F0132" w:rsidP="005129E1">
      <w:pPr>
        <w:pStyle w:val="Heading3"/>
      </w:pPr>
    </w:p>
    <w:p w14:paraId="348192B6" w14:textId="77777777" w:rsidR="002E3C00" w:rsidRDefault="007F0132" w:rsidP="005129E1">
      <w:pPr>
        <w:pStyle w:val="Heading3"/>
      </w:pPr>
      <w:r>
        <w:br w:type="page"/>
      </w:r>
      <w:bookmarkStart w:id="761" w:name="_Toc4588898"/>
      <w:r w:rsidR="002E3C00" w:rsidRPr="008F671D">
        <w:lastRenderedPageBreak/>
        <w:t xml:space="preserve">Transfusion </w:t>
      </w:r>
      <w:bookmarkEnd w:id="757"/>
      <w:r w:rsidR="002E3C00" w:rsidRPr="008F671D">
        <w:t>Effectiveness</w:t>
      </w:r>
      <w:bookmarkEnd w:id="758"/>
      <w:bookmarkEnd w:id="760"/>
      <w:bookmarkEnd w:id="761"/>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Transfusion Effectiveness</w:instrText>
      </w:r>
      <w:r w:rsidR="00992E88">
        <w:instrText xml:space="preserve">" </w:instrText>
      </w:r>
      <w:r w:rsidR="00992E88">
        <w:fldChar w:fldCharType="end"/>
      </w:r>
    </w:p>
    <w:p w14:paraId="69E613B3" w14:textId="2619B8B4" w:rsidR="002E3C00" w:rsidRPr="00BA1922" w:rsidRDefault="002E3C00" w:rsidP="002E3C00">
      <w:pPr>
        <w:pStyle w:val="BodyText"/>
      </w:pPr>
      <w:r>
        <w:t xml:space="preserve">The user defines Laboratory tests to monitor the effectiveness of transfusions. </w:t>
      </w:r>
      <w:r w:rsidR="008D2779">
        <w:t xml:space="preserve">For more information, see </w:t>
      </w:r>
      <w:r w:rsidR="008D2779">
        <w:fldChar w:fldCharType="begin" w:fldLock="1"/>
      </w:r>
      <w:r w:rsidR="008D2779">
        <w:instrText xml:space="preserve"> REF _Ref508960075 \h </w:instrText>
      </w:r>
      <w:r w:rsidR="008D2779">
        <w:fldChar w:fldCharType="separate"/>
      </w:r>
      <w:r w:rsidR="00AB304C">
        <w:t xml:space="preserve">Appendix </w:t>
      </w:r>
      <w:r w:rsidR="00AB304C">
        <w:rPr>
          <w:noProof/>
        </w:rPr>
        <w:t>F</w:t>
      </w:r>
      <w:r w:rsidR="00AB304C">
        <w:t>: Work Process Flowcharts</w:t>
      </w:r>
      <w:r w:rsidR="008D2779">
        <w:fldChar w:fldCharType="end"/>
      </w:r>
      <w:r w:rsidR="008D2779">
        <w:t>.</w:t>
      </w:r>
    </w:p>
    <w:p w14:paraId="3A8EB416" w14:textId="77777777" w:rsidR="002E3C00" w:rsidRDefault="002E3C00" w:rsidP="002E3C00">
      <w:pPr>
        <w:pStyle w:val="Heading4"/>
        <w:rPr>
          <w:b w:val="0"/>
        </w:rPr>
      </w:pPr>
      <w:r>
        <w:t>User Roles with Access to This Option</w:t>
      </w:r>
      <w:r>
        <w:rPr>
          <w:b w:val="0"/>
        </w:rPr>
        <w:t xml:space="preserve"> </w:t>
      </w:r>
    </w:p>
    <w:p w14:paraId="0F9F85B7" w14:textId="77777777" w:rsidR="002E3C00" w:rsidRDefault="002E3C00" w:rsidP="002E3C00">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r w:rsidRPr="00FD030D">
        <w:t xml:space="preserve"> </w:t>
      </w:r>
    </w:p>
    <w:p w14:paraId="75D96929" w14:textId="77777777" w:rsidR="002E3C00" w:rsidRDefault="00B74754" w:rsidP="002E3C00">
      <w:pPr>
        <w:pStyle w:val="Heading4"/>
      </w:pPr>
      <w:r>
        <w:t>Preparation for Testing</w:t>
      </w:r>
    </w:p>
    <w:p w14:paraId="30A44620" w14:textId="77777777" w:rsidR="005243DA" w:rsidRPr="00600497" w:rsidRDefault="005243DA" w:rsidP="000409B1">
      <w:pPr>
        <w:pStyle w:val="ListNumber"/>
        <w:numPr>
          <w:ilvl w:val="0"/>
          <w:numId w:val="29"/>
        </w:numPr>
        <w:tabs>
          <w:tab w:val="clear" w:pos="720"/>
          <w:tab w:val="num" w:pos="360"/>
        </w:tabs>
        <w:ind w:left="360"/>
      </w:pPr>
      <w:bookmarkStart w:id="762" w:name="_Toc85895793"/>
      <w:bookmarkStart w:id="763" w:name="_Toc113264251"/>
      <w:r>
        <w:t>Use the sa</w:t>
      </w:r>
      <w:r w:rsidRPr="00600497">
        <w:t>mple worksheet to record information.</w:t>
      </w:r>
    </w:p>
    <w:p w14:paraId="292319C2" w14:textId="77777777" w:rsidR="002E3C00" w:rsidRPr="00600497" w:rsidRDefault="002E3C00" w:rsidP="000409B1">
      <w:pPr>
        <w:pStyle w:val="ListNumber"/>
        <w:numPr>
          <w:ilvl w:val="0"/>
          <w:numId w:val="29"/>
        </w:numPr>
        <w:tabs>
          <w:tab w:val="clear" w:pos="720"/>
          <w:tab w:val="num" w:pos="360"/>
        </w:tabs>
        <w:ind w:left="360"/>
      </w:pPr>
      <w:r w:rsidRPr="00600497">
        <w:t>Capture and save a screen shot of all entries.</w:t>
      </w:r>
    </w:p>
    <w:p w14:paraId="42A0030A" w14:textId="77777777" w:rsidR="00232E43" w:rsidRPr="00FB7F8D" w:rsidRDefault="00232E43" w:rsidP="000409B1">
      <w:pPr>
        <w:pStyle w:val="ListNumber"/>
        <w:numPr>
          <w:ilvl w:val="0"/>
          <w:numId w:val="29"/>
        </w:numPr>
        <w:tabs>
          <w:tab w:val="clear" w:pos="720"/>
          <w:tab w:val="num" w:pos="360"/>
        </w:tabs>
        <w:ind w:left="360"/>
      </w:pPr>
      <w:r w:rsidRPr="00600497">
        <w:t>Print, si</w:t>
      </w:r>
      <w:r>
        <w:t>gn, date,</w:t>
      </w:r>
      <w:r w:rsidRPr="00FB7F8D">
        <w:t xml:space="preserve"> and save an </w:t>
      </w:r>
      <w:r>
        <w:t>A</w:t>
      </w:r>
      <w:r w:rsidRPr="00FB7F8D">
        <w:t xml:space="preserve">udit </w:t>
      </w:r>
      <w:r>
        <w:t>Trail R</w:t>
      </w:r>
      <w:r w:rsidRPr="00FB7F8D">
        <w:t>eport for your validation record.</w:t>
      </w:r>
    </w:p>
    <w:p w14:paraId="0FA16F20" w14:textId="4796B0B5" w:rsidR="00061FCF" w:rsidRDefault="00061FCF" w:rsidP="00061FCF">
      <w:pPr>
        <w:pStyle w:val="Caption"/>
      </w:pPr>
      <w:bookmarkStart w:id="764" w:name="_Toc114462106"/>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647F4E">
        <w:rPr>
          <w:noProof/>
        </w:rPr>
        <w:t>35</w:t>
      </w:r>
      <w:r w:rsidR="004E20BD">
        <w:rPr>
          <w:noProof/>
        </w:rPr>
        <w:fldChar w:fldCharType="end"/>
      </w:r>
      <w:r>
        <w:t>: Transfusion Effectiveness Worksheet</w:t>
      </w:r>
      <w:r w:rsidR="00AD60CF">
        <w:fldChar w:fldCharType="begin"/>
      </w:r>
      <w:r w:rsidR="00292A7B">
        <w:instrText xml:space="preserve"> XE "Tables:</w:instrText>
      </w:r>
      <w:r w:rsidR="00AD60CF" w:rsidRPr="0046419F">
        <w:instrText>Transfusion Effectiveness Worksheet</w:instrText>
      </w:r>
      <w:r w:rsidR="00AD60CF">
        <w:instrText xml:space="preserve">" </w:instrText>
      </w:r>
      <w:r w:rsidR="00AD60CF">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0"/>
        <w:gridCol w:w="3120"/>
        <w:gridCol w:w="3120"/>
      </w:tblGrid>
      <w:tr w:rsidR="003D7F63" w:rsidRPr="007121BA" w14:paraId="03B2ABD8" w14:textId="77777777">
        <w:trPr>
          <w:tblHeader/>
        </w:trPr>
        <w:tc>
          <w:tcPr>
            <w:tcW w:w="2088" w:type="dxa"/>
            <w:shd w:val="clear" w:color="auto" w:fill="B3B3B3"/>
            <w:vAlign w:val="bottom"/>
          </w:tcPr>
          <w:p w14:paraId="3F30E5F5" w14:textId="77777777" w:rsidR="003D7F63" w:rsidRPr="007121BA" w:rsidRDefault="003D7F63" w:rsidP="005129E1">
            <w:pPr>
              <w:pStyle w:val="TableText"/>
              <w:rPr>
                <w:b/>
              </w:rPr>
            </w:pPr>
            <w:r>
              <w:rPr>
                <w:b/>
              </w:rPr>
              <w:t>Laboratory Test Name</w:t>
            </w:r>
          </w:p>
        </w:tc>
        <w:tc>
          <w:tcPr>
            <w:tcW w:w="2088" w:type="dxa"/>
            <w:shd w:val="clear" w:color="auto" w:fill="B3B3B3"/>
            <w:vAlign w:val="bottom"/>
          </w:tcPr>
          <w:p w14:paraId="51F2BED8" w14:textId="77777777" w:rsidR="003D7F63" w:rsidRPr="007121BA" w:rsidRDefault="003D7F63" w:rsidP="005129E1">
            <w:pPr>
              <w:pStyle w:val="TableText"/>
              <w:rPr>
                <w:b/>
              </w:rPr>
            </w:pPr>
            <w:r>
              <w:rPr>
                <w:b/>
              </w:rPr>
              <w:t>Specimen Type</w:t>
            </w:r>
          </w:p>
        </w:tc>
        <w:tc>
          <w:tcPr>
            <w:tcW w:w="2088" w:type="dxa"/>
            <w:shd w:val="clear" w:color="auto" w:fill="B3B3B3"/>
            <w:vAlign w:val="bottom"/>
          </w:tcPr>
          <w:p w14:paraId="68905250" w14:textId="77777777" w:rsidR="003D7F63" w:rsidRPr="007121BA" w:rsidRDefault="003D7F63" w:rsidP="005129E1">
            <w:pPr>
              <w:pStyle w:val="TableText"/>
              <w:rPr>
                <w:b/>
              </w:rPr>
            </w:pPr>
            <w:r>
              <w:rPr>
                <w:b/>
              </w:rPr>
              <w:t>Threshold Result</w:t>
            </w:r>
          </w:p>
        </w:tc>
      </w:tr>
      <w:tr w:rsidR="003D7F63" w:rsidRPr="009B35EA" w14:paraId="04045009" w14:textId="77777777">
        <w:tc>
          <w:tcPr>
            <w:tcW w:w="2088" w:type="dxa"/>
          </w:tcPr>
          <w:p w14:paraId="78773CB5" w14:textId="77777777" w:rsidR="003D7F63" w:rsidRPr="009B35EA" w:rsidRDefault="003D7F63" w:rsidP="005129E1">
            <w:pPr>
              <w:pStyle w:val="TableText"/>
            </w:pPr>
          </w:p>
        </w:tc>
        <w:tc>
          <w:tcPr>
            <w:tcW w:w="2088" w:type="dxa"/>
          </w:tcPr>
          <w:p w14:paraId="1160D149" w14:textId="77777777" w:rsidR="003D7F63" w:rsidRPr="009B35EA" w:rsidRDefault="003D7F63" w:rsidP="005129E1">
            <w:pPr>
              <w:pStyle w:val="TableText"/>
            </w:pPr>
          </w:p>
        </w:tc>
        <w:tc>
          <w:tcPr>
            <w:tcW w:w="2088" w:type="dxa"/>
          </w:tcPr>
          <w:p w14:paraId="4A4995CA" w14:textId="77777777" w:rsidR="003D7F63" w:rsidRPr="009B35EA" w:rsidRDefault="003D7F63" w:rsidP="005129E1">
            <w:pPr>
              <w:pStyle w:val="TableText"/>
            </w:pPr>
          </w:p>
        </w:tc>
      </w:tr>
      <w:tr w:rsidR="003D7F63" w:rsidRPr="009B35EA" w14:paraId="0FD52F18" w14:textId="77777777">
        <w:tc>
          <w:tcPr>
            <w:tcW w:w="2088" w:type="dxa"/>
          </w:tcPr>
          <w:p w14:paraId="347F2118" w14:textId="77777777" w:rsidR="003D7F63" w:rsidRPr="009B35EA" w:rsidRDefault="003D7F63" w:rsidP="005129E1">
            <w:pPr>
              <w:pStyle w:val="TableText"/>
            </w:pPr>
          </w:p>
        </w:tc>
        <w:tc>
          <w:tcPr>
            <w:tcW w:w="2088" w:type="dxa"/>
          </w:tcPr>
          <w:p w14:paraId="0C255590" w14:textId="77777777" w:rsidR="003D7F63" w:rsidRPr="009B35EA" w:rsidRDefault="003D7F63" w:rsidP="005129E1">
            <w:pPr>
              <w:pStyle w:val="TableText"/>
            </w:pPr>
          </w:p>
        </w:tc>
        <w:tc>
          <w:tcPr>
            <w:tcW w:w="2088" w:type="dxa"/>
          </w:tcPr>
          <w:p w14:paraId="0F501F80" w14:textId="77777777" w:rsidR="003D7F63" w:rsidRPr="009B35EA" w:rsidRDefault="003D7F63" w:rsidP="005129E1">
            <w:pPr>
              <w:pStyle w:val="TableText"/>
            </w:pPr>
          </w:p>
        </w:tc>
      </w:tr>
      <w:tr w:rsidR="003D7F63" w:rsidRPr="009B35EA" w14:paraId="5A49B314" w14:textId="77777777">
        <w:tc>
          <w:tcPr>
            <w:tcW w:w="2088" w:type="dxa"/>
          </w:tcPr>
          <w:p w14:paraId="007C6B0A" w14:textId="77777777" w:rsidR="003D7F63" w:rsidRPr="009B35EA" w:rsidRDefault="003D7F63" w:rsidP="005129E1">
            <w:pPr>
              <w:pStyle w:val="TableText"/>
            </w:pPr>
          </w:p>
        </w:tc>
        <w:tc>
          <w:tcPr>
            <w:tcW w:w="2088" w:type="dxa"/>
          </w:tcPr>
          <w:p w14:paraId="4022FE67" w14:textId="77777777" w:rsidR="003D7F63" w:rsidRPr="009B35EA" w:rsidRDefault="003D7F63" w:rsidP="005129E1">
            <w:pPr>
              <w:pStyle w:val="TableText"/>
            </w:pPr>
          </w:p>
        </w:tc>
        <w:tc>
          <w:tcPr>
            <w:tcW w:w="2088" w:type="dxa"/>
          </w:tcPr>
          <w:p w14:paraId="19868FDC" w14:textId="77777777" w:rsidR="003D7F63" w:rsidRPr="009B35EA" w:rsidRDefault="003D7F63" w:rsidP="005129E1">
            <w:pPr>
              <w:pStyle w:val="TableText"/>
            </w:pPr>
          </w:p>
        </w:tc>
      </w:tr>
      <w:tr w:rsidR="003D7F63" w:rsidRPr="009B35EA" w14:paraId="2A51DBD1" w14:textId="77777777">
        <w:tc>
          <w:tcPr>
            <w:tcW w:w="2088" w:type="dxa"/>
          </w:tcPr>
          <w:p w14:paraId="5867DD08" w14:textId="77777777" w:rsidR="003D7F63" w:rsidRPr="009B35EA" w:rsidRDefault="003D7F63" w:rsidP="005129E1">
            <w:pPr>
              <w:pStyle w:val="TableText"/>
            </w:pPr>
          </w:p>
        </w:tc>
        <w:tc>
          <w:tcPr>
            <w:tcW w:w="2088" w:type="dxa"/>
          </w:tcPr>
          <w:p w14:paraId="239762C9" w14:textId="77777777" w:rsidR="003D7F63" w:rsidRPr="009B35EA" w:rsidRDefault="003D7F63" w:rsidP="005129E1">
            <w:pPr>
              <w:pStyle w:val="TableText"/>
            </w:pPr>
          </w:p>
        </w:tc>
        <w:tc>
          <w:tcPr>
            <w:tcW w:w="2088" w:type="dxa"/>
          </w:tcPr>
          <w:p w14:paraId="01B57B8F" w14:textId="77777777" w:rsidR="003D7F63" w:rsidRPr="009B35EA" w:rsidRDefault="003D7F63" w:rsidP="005129E1">
            <w:pPr>
              <w:pStyle w:val="TableText"/>
            </w:pPr>
          </w:p>
        </w:tc>
      </w:tr>
      <w:tr w:rsidR="003D7F63" w:rsidRPr="009B35EA" w14:paraId="420C2F35" w14:textId="77777777">
        <w:tc>
          <w:tcPr>
            <w:tcW w:w="2088" w:type="dxa"/>
          </w:tcPr>
          <w:p w14:paraId="216AA39E" w14:textId="77777777" w:rsidR="003D7F63" w:rsidRPr="009B35EA" w:rsidRDefault="003D7F63" w:rsidP="005129E1">
            <w:pPr>
              <w:pStyle w:val="TableText"/>
            </w:pPr>
          </w:p>
        </w:tc>
        <w:tc>
          <w:tcPr>
            <w:tcW w:w="2088" w:type="dxa"/>
          </w:tcPr>
          <w:p w14:paraId="1313A1D8" w14:textId="77777777" w:rsidR="003D7F63" w:rsidRPr="009B35EA" w:rsidRDefault="003D7F63" w:rsidP="005129E1">
            <w:pPr>
              <w:pStyle w:val="TableText"/>
            </w:pPr>
          </w:p>
        </w:tc>
        <w:tc>
          <w:tcPr>
            <w:tcW w:w="2088" w:type="dxa"/>
          </w:tcPr>
          <w:p w14:paraId="73348CD8" w14:textId="77777777" w:rsidR="003D7F63" w:rsidRPr="009B35EA" w:rsidRDefault="003D7F63" w:rsidP="005129E1">
            <w:pPr>
              <w:pStyle w:val="TableText"/>
            </w:pPr>
          </w:p>
        </w:tc>
      </w:tr>
      <w:tr w:rsidR="003D7F63" w:rsidRPr="009B35EA" w14:paraId="53E35225" w14:textId="77777777">
        <w:tc>
          <w:tcPr>
            <w:tcW w:w="2088" w:type="dxa"/>
          </w:tcPr>
          <w:p w14:paraId="687BDE17" w14:textId="77777777" w:rsidR="003D7F63" w:rsidRPr="009B35EA" w:rsidRDefault="003D7F63" w:rsidP="005129E1">
            <w:pPr>
              <w:pStyle w:val="TableText"/>
            </w:pPr>
          </w:p>
        </w:tc>
        <w:tc>
          <w:tcPr>
            <w:tcW w:w="2088" w:type="dxa"/>
          </w:tcPr>
          <w:p w14:paraId="73041063" w14:textId="77777777" w:rsidR="003D7F63" w:rsidRPr="009B35EA" w:rsidRDefault="003D7F63" w:rsidP="005129E1">
            <w:pPr>
              <w:pStyle w:val="TableText"/>
            </w:pPr>
          </w:p>
        </w:tc>
        <w:tc>
          <w:tcPr>
            <w:tcW w:w="2088" w:type="dxa"/>
          </w:tcPr>
          <w:p w14:paraId="7DF5A5B7" w14:textId="77777777" w:rsidR="003D7F63" w:rsidRPr="009B35EA" w:rsidRDefault="003D7F63" w:rsidP="005129E1">
            <w:pPr>
              <w:pStyle w:val="TableText"/>
            </w:pPr>
          </w:p>
        </w:tc>
      </w:tr>
    </w:tbl>
    <w:p w14:paraId="52D3283D" w14:textId="77777777" w:rsidR="003E754E" w:rsidRDefault="003E754E" w:rsidP="005129E1">
      <w:pPr>
        <w:pStyle w:val="Heading3"/>
        <w:rPr>
          <w:snapToGrid w:val="0"/>
        </w:rPr>
      </w:pPr>
    </w:p>
    <w:p w14:paraId="09BB7AFD" w14:textId="77777777" w:rsidR="002E3C00" w:rsidRDefault="003E754E" w:rsidP="005129E1">
      <w:pPr>
        <w:pStyle w:val="Heading3"/>
        <w:rPr>
          <w:snapToGrid w:val="0"/>
        </w:rPr>
      </w:pPr>
      <w:r>
        <w:rPr>
          <w:snapToGrid w:val="0"/>
        </w:rPr>
        <w:br w:type="page"/>
      </w:r>
      <w:bookmarkStart w:id="765" w:name="_Toc4588899"/>
      <w:r w:rsidR="002E3C00">
        <w:rPr>
          <w:snapToGrid w:val="0"/>
        </w:rPr>
        <w:lastRenderedPageBreak/>
        <w:t>Workload Codes</w:t>
      </w:r>
      <w:bookmarkEnd w:id="762"/>
      <w:bookmarkEnd w:id="763"/>
      <w:bookmarkEnd w:id="764"/>
      <w:bookmarkEnd w:id="765"/>
      <w:r w:rsidR="00992E88">
        <w:rPr>
          <w:snapToGrid w:val="0"/>
        </w:rPr>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rPr>
          <w:snapToGrid w:val="0"/>
        </w:rPr>
        <w:instrText>Workload Codes</w:instrText>
      </w:r>
      <w:r w:rsidR="00992E88">
        <w:instrText xml:space="preserve">" </w:instrText>
      </w:r>
      <w:r w:rsidR="00992E88">
        <w:rPr>
          <w:snapToGrid w:val="0"/>
        </w:rPr>
        <w:fldChar w:fldCharType="end"/>
      </w:r>
    </w:p>
    <w:p w14:paraId="7869F2AE" w14:textId="574492AC" w:rsidR="002E3C00" w:rsidRDefault="002E3C00" w:rsidP="002E3C00">
      <w:pPr>
        <w:pStyle w:val="BodyText"/>
      </w:pPr>
      <w:r>
        <w:t xml:space="preserve">The user assigns workload Laboratory Management Index Program/National Laboratory Test (LMIP/NLT) tests to processes performed through VBECS. VBECS test names are associated with </w:t>
      </w:r>
      <w:r w:rsidRPr="00CA0045">
        <w:rPr>
          <w:bCs/>
        </w:rPr>
        <w:t>VistA</w:t>
      </w:r>
      <w:r>
        <w:t xml:space="preserve"> workload codes, </w:t>
      </w:r>
      <w:r w:rsidR="003E1A15">
        <w:t>used</w:t>
      </w:r>
      <w:r>
        <w:t xml:space="preserve"> when compiling and storing data to provide workload-related reports to </w:t>
      </w:r>
      <w:r w:rsidRPr="00CA0045">
        <w:rPr>
          <w:bCs/>
        </w:rPr>
        <w:t>VistA</w:t>
      </w:r>
      <w:r>
        <w:t>.</w:t>
      </w:r>
      <w:r w:rsidR="008D2779">
        <w:t xml:space="preserve"> For more information, see </w:t>
      </w:r>
      <w:r w:rsidR="008D2779">
        <w:fldChar w:fldCharType="begin" w:fldLock="1"/>
      </w:r>
      <w:r w:rsidR="008D2779">
        <w:instrText xml:space="preserve"> REF _Ref508960075 \h </w:instrText>
      </w:r>
      <w:r w:rsidR="008D2779">
        <w:fldChar w:fldCharType="separate"/>
      </w:r>
      <w:r w:rsidR="00AB304C">
        <w:t xml:space="preserve">Appendix </w:t>
      </w:r>
      <w:r w:rsidR="00AB304C">
        <w:rPr>
          <w:noProof/>
        </w:rPr>
        <w:t>F</w:t>
      </w:r>
      <w:r w:rsidR="00AB304C">
        <w:t>: Work Process Flowcharts</w:t>
      </w:r>
      <w:r w:rsidR="008D2779">
        <w:fldChar w:fldCharType="end"/>
      </w:r>
      <w:r w:rsidR="008D2779">
        <w:t>.</w:t>
      </w:r>
    </w:p>
    <w:p w14:paraId="138FF4F3" w14:textId="77777777" w:rsidR="002E3C00" w:rsidRDefault="002E3C00" w:rsidP="002E3C00">
      <w:pPr>
        <w:pStyle w:val="Heading4"/>
        <w:rPr>
          <w:b w:val="0"/>
        </w:rPr>
      </w:pPr>
      <w:r>
        <w:t>User Roles with Access to This Option</w:t>
      </w:r>
      <w:r>
        <w:rPr>
          <w:b w:val="0"/>
        </w:rPr>
        <w:t xml:space="preserve"> </w:t>
      </w:r>
    </w:p>
    <w:p w14:paraId="14B4CBF2" w14:textId="77777777" w:rsidR="002E3C00"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14:paraId="7700C932" w14:textId="77777777" w:rsidR="002E3C00" w:rsidRDefault="00B74754" w:rsidP="002E3C00">
      <w:pPr>
        <w:pStyle w:val="Heading4"/>
      </w:pPr>
      <w:r>
        <w:t>Preparation for Testing</w:t>
      </w:r>
    </w:p>
    <w:p w14:paraId="74336B89" w14:textId="77777777" w:rsidR="00232E43" w:rsidRPr="00FB7F8D" w:rsidRDefault="00232E43" w:rsidP="008A1C39">
      <w:pPr>
        <w:pStyle w:val="BodyText"/>
      </w:pPr>
      <w:r w:rsidRPr="00FB7F8D">
        <w:t>Print</w:t>
      </w:r>
      <w:r>
        <w:t>, sign, date,</w:t>
      </w:r>
      <w:r w:rsidRPr="00FB7F8D">
        <w:t xml:space="preserve"> and save an </w:t>
      </w:r>
      <w:r>
        <w:t>A</w:t>
      </w:r>
      <w:r w:rsidRPr="00FB7F8D">
        <w:t xml:space="preserve">udit </w:t>
      </w:r>
      <w:r>
        <w:t>Trail R</w:t>
      </w:r>
      <w:r w:rsidRPr="00FB7F8D">
        <w:t>eport for your validation record.</w:t>
      </w:r>
    </w:p>
    <w:p w14:paraId="73B16805" w14:textId="77777777" w:rsidR="002E3C00" w:rsidRDefault="002E3C00" w:rsidP="002E3C00">
      <w:pPr>
        <w:pStyle w:val="Heading3"/>
      </w:pPr>
      <w:bookmarkStart w:id="766" w:name="_Toc85895794"/>
      <w:bookmarkStart w:id="767" w:name="_Toc113264252"/>
      <w:bookmarkStart w:id="768" w:name="_Toc114462107"/>
      <w:bookmarkStart w:id="769" w:name="_Toc4588900"/>
      <w:r>
        <w:rPr>
          <w:snapToGrid w:val="0"/>
        </w:rPr>
        <w:t xml:space="preserve">Canned </w:t>
      </w:r>
      <w:r>
        <w:t>Comments</w:t>
      </w:r>
      <w:bookmarkEnd w:id="766"/>
      <w:bookmarkEnd w:id="767"/>
      <w:bookmarkEnd w:id="768"/>
      <w:bookmarkEnd w:id="769"/>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rPr>
          <w:snapToGrid w:val="0"/>
        </w:rPr>
        <w:instrText xml:space="preserve">Canned </w:instrText>
      </w:r>
      <w:r w:rsidR="00992E88" w:rsidRPr="00B0596E">
        <w:instrText>Comments</w:instrText>
      </w:r>
      <w:r w:rsidR="00992E88">
        <w:instrText xml:space="preserve">" </w:instrText>
      </w:r>
      <w:r w:rsidR="00992E88">
        <w:fldChar w:fldCharType="end"/>
      </w:r>
    </w:p>
    <w:p w14:paraId="77F06E64" w14:textId="55FE4E91" w:rsidR="007B6183" w:rsidRPr="007B6183" w:rsidRDefault="007B6183" w:rsidP="007B6183">
      <w:pPr>
        <w:pStyle w:val="BodyText"/>
      </w:pPr>
      <w:r>
        <w:t>The user defines canned comments</w:t>
      </w:r>
      <w:r w:rsidR="008A1C39">
        <w:t>,</w:t>
      </w:r>
      <w:r>
        <w:t xml:space="preserve"> </w:t>
      </w:r>
      <w:r w:rsidR="008A1C39">
        <w:t xml:space="preserve">by category, </w:t>
      </w:r>
      <w:r>
        <w:t>for a division.</w:t>
      </w:r>
      <w:r w:rsidR="00250936">
        <w:t xml:space="preserve"> For more information, see </w:t>
      </w:r>
      <w:r w:rsidR="00250936">
        <w:fldChar w:fldCharType="begin" w:fldLock="1"/>
      </w:r>
      <w:r w:rsidR="00250936">
        <w:instrText xml:space="preserve"> REF _Ref508960075 \h </w:instrText>
      </w:r>
      <w:r w:rsidR="00250936">
        <w:fldChar w:fldCharType="separate"/>
      </w:r>
      <w:r w:rsidR="00AB304C">
        <w:t xml:space="preserve">Appendix </w:t>
      </w:r>
      <w:r w:rsidR="00AB304C">
        <w:rPr>
          <w:noProof/>
        </w:rPr>
        <w:t>F</w:t>
      </w:r>
      <w:r w:rsidR="00AB304C">
        <w:t>: Work Process Flowcharts</w:t>
      </w:r>
      <w:r w:rsidR="00250936">
        <w:fldChar w:fldCharType="end"/>
      </w:r>
      <w:r w:rsidR="00250936">
        <w:t>.</w:t>
      </w:r>
    </w:p>
    <w:p w14:paraId="5DC7E5CB" w14:textId="77777777" w:rsidR="002E3C00" w:rsidRDefault="002E3C00" w:rsidP="002E3C00">
      <w:pPr>
        <w:pStyle w:val="Heading4"/>
        <w:rPr>
          <w:b w:val="0"/>
        </w:rPr>
      </w:pPr>
      <w:r>
        <w:t>User Roles with Access to This Option</w:t>
      </w:r>
      <w:r>
        <w:rPr>
          <w:b w:val="0"/>
        </w:rPr>
        <w:t xml:space="preserve"> </w:t>
      </w:r>
    </w:p>
    <w:p w14:paraId="58C77323" w14:textId="77777777" w:rsidR="002E3C00"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r>
        <w:rPr>
          <w:snapToGrid w:val="0"/>
        </w:rPr>
        <w:t xml:space="preserve"> </w:t>
      </w:r>
    </w:p>
    <w:p w14:paraId="7698F01C" w14:textId="77777777" w:rsidR="002E3C00" w:rsidRDefault="00B74754" w:rsidP="002E3C00">
      <w:pPr>
        <w:pStyle w:val="Heading4"/>
      </w:pPr>
      <w:r>
        <w:t>Preparation for Testing</w:t>
      </w:r>
    </w:p>
    <w:p w14:paraId="64405FAD" w14:textId="77777777" w:rsidR="00232E43" w:rsidRPr="00FB7F8D" w:rsidRDefault="00232E43" w:rsidP="008A1C39">
      <w:pPr>
        <w:pStyle w:val="BodyText"/>
      </w:pPr>
      <w:r w:rsidRPr="00FB7F8D">
        <w:t>Print</w:t>
      </w:r>
      <w:r>
        <w:t>, sign, date,</w:t>
      </w:r>
      <w:r w:rsidRPr="00FB7F8D">
        <w:t xml:space="preserve"> and save an </w:t>
      </w:r>
      <w:r>
        <w:t>A</w:t>
      </w:r>
      <w:r w:rsidRPr="00FB7F8D">
        <w:t xml:space="preserve">udit </w:t>
      </w:r>
      <w:r>
        <w:t>Trail R</w:t>
      </w:r>
      <w:r w:rsidRPr="00FB7F8D">
        <w:t>eport for your validation record.</w:t>
      </w:r>
    </w:p>
    <w:p w14:paraId="14A35348" w14:textId="77777777" w:rsidR="002E3C00" w:rsidRDefault="002E3C00" w:rsidP="002E3C00">
      <w:pPr>
        <w:pStyle w:val="Heading3"/>
      </w:pPr>
      <w:bookmarkStart w:id="770" w:name="_Toc85895795"/>
      <w:bookmarkStart w:id="771" w:name="_Toc113264253"/>
      <w:bookmarkStart w:id="772" w:name="_Toc114462108"/>
      <w:bookmarkStart w:id="773" w:name="_Toc4588901"/>
      <w:r>
        <w:t>MSBOS</w:t>
      </w:r>
      <w:bookmarkEnd w:id="770"/>
      <w:bookmarkEnd w:id="771"/>
      <w:bookmarkEnd w:id="772"/>
      <w:bookmarkEnd w:id="773"/>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MSBOS</w:instrText>
      </w:r>
      <w:r w:rsidR="00992E88">
        <w:instrText xml:space="preserve">" </w:instrText>
      </w:r>
      <w:r w:rsidR="00992E88">
        <w:fldChar w:fldCharType="end"/>
      </w:r>
    </w:p>
    <w:p w14:paraId="58BEA60E" w14:textId="189B5D84" w:rsidR="002E3C00" w:rsidRPr="006D697F" w:rsidRDefault="002E3C00" w:rsidP="00DD75E5">
      <w:pPr>
        <w:pStyle w:val="BodyText"/>
      </w:pPr>
      <w:r>
        <w:t>The user defines parameters for comparing blood component orders placed by a clinician with the Maximum Surgical Blood Ordering Schedule (MSBOS).</w:t>
      </w:r>
      <w:r w:rsidR="00250936">
        <w:t xml:space="preserve"> For more information, see </w:t>
      </w:r>
      <w:r w:rsidR="00250936">
        <w:fldChar w:fldCharType="begin" w:fldLock="1"/>
      </w:r>
      <w:r w:rsidR="00250936">
        <w:instrText xml:space="preserve"> REF _Ref508960075 \h </w:instrText>
      </w:r>
      <w:r w:rsidR="00250936">
        <w:fldChar w:fldCharType="separate"/>
      </w:r>
      <w:r w:rsidR="00AB304C">
        <w:t xml:space="preserve">Appendix </w:t>
      </w:r>
      <w:r w:rsidR="00AB304C">
        <w:rPr>
          <w:noProof/>
        </w:rPr>
        <w:t>F</w:t>
      </w:r>
      <w:r w:rsidR="00AB304C">
        <w:t>: Work Process Flowcharts</w:t>
      </w:r>
      <w:r w:rsidR="00250936">
        <w:fldChar w:fldCharType="end"/>
      </w:r>
      <w:r w:rsidR="00250936">
        <w:t>.</w:t>
      </w:r>
    </w:p>
    <w:p w14:paraId="24F54A11" w14:textId="77777777" w:rsidR="002E3C00" w:rsidRDefault="002E3C00" w:rsidP="002E3C00">
      <w:pPr>
        <w:pStyle w:val="Heading4"/>
        <w:rPr>
          <w:b w:val="0"/>
        </w:rPr>
      </w:pPr>
      <w:r>
        <w:t>User Roles with Access to This Option</w:t>
      </w:r>
      <w:r>
        <w:rPr>
          <w:b w:val="0"/>
        </w:rPr>
        <w:t xml:space="preserve"> </w:t>
      </w:r>
    </w:p>
    <w:p w14:paraId="712745FD" w14:textId="77777777" w:rsidR="002E3C00" w:rsidRDefault="002E3C00" w:rsidP="002E3C00">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 </w:t>
      </w:r>
    </w:p>
    <w:p w14:paraId="0AB4F69F" w14:textId="77777777" w:rsidR="002E3C00" w:rsidRDefault="00B74754" w:rsidP="002E3C00">
      <w:pPr>
        <w:pStyle w:val="Heading4"/>
      </w:pPr>
      <w:r>
        <w:t>Preparation for Testing</w:t>
      </w:r>
    </w:p>
    <w:p w14:paraId="5B65E10A" w14:textId="77777777" w:rsidR="00232E43" w:rsidRPr="00FB7F8D" w:rsidRDefault="00232E43" w:rsidP="008A1C39">
      <w:pPr>
        <w:pStyle w:val="BodyText"/>
      </w:pPr>
      <w:r w:rsidRPr="00FB7F8D">
        <w:t>Print</w:t>
      </w:r>
      <w:r>
        <w:t>, sign, date,</w:t>
      </w:r>
      <w:r w:rsidRPr="00FB7F8D">
        <w:t xml:space="preserve"> and save an </w:t>
      </w:r>
      <w:r>
        <w:t>A</w:t>
      </w:r>
      <w:r w:rsidRPr="00FB7F8D">
        <w:t xml:space="preserve">udit </w:t>
      </w:r>
      <w:r>
        <w:t>Trail R</w:t>
      </w:r>
      <w:r w:rsidRPr="00FB7F8D">
        <w:t>eport for your validation record.</w:t>
      </w:r>
    </w:p>
    <w:p w14:paraId="6E772E12" w14:textId="77777777" w:rsidR="002E3C00" w:rsidRDefault="002E3C00" w:rsidP="002E3C00">
      <w:pPr>
        <w:pStyle w:val="Heading3"/>
        <w:rPr>
          <w:snapToGrid w:val="0"/>
        </w:rPr>
      </w:pPr>
      <w:bookmarkStart w:id="774" w:name="_Toc85895796"/>
      <w:bookmarkStart w:id="775" w:name="_Toc113264254"/>
      <w:bookmarkStart w:id="776" w:name="_Toc114462109"/>
      <w:bookmarkStart w:id="777" w:name="_Toc4588902"/>
      <w:r>
        <w:rPr>
          <w:snapToGrid w:val="0"/>
        </w:rPr>
        <w:t>Edit Invoice Text</w:t>
      </w:r>
      <w:bookmarkEnd w:id="774"/>
      <w:bookmarkEnd w:id="775"/>
      <w:bookmarkEnd w:id="776"/>
      <w:bookmarkEnd w:id="777"/>
      <w:r w:rsidR="00992E88">
        <w:rPr>
          <w:snapToGrid w:val="0"/>
        </w:rPr>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rPr>
          <w:snapToGrid w:val="0"/>
        </w:rPr>
        <w:instrText>Edit Invoice Text</w:instrText>
      </w:r>
      <w:r w:rsidR="00992E88">
        <w:instrText xml:space="preserve">" </w:instrText>
      </w:r>
      <w:r w:rsidR="00992E88">
        <w:rPr>
          <w:snapToGrid w:val="0"/>
        </w:rPr>
        <w:fldChar w:fldCharType="end"/>
      </w:r>
    </w:p>
    <w:p w14:paraId="6D2F68E4" w14:textId="77777777" w:rsidR="002E3C00" w:rsidRPr="00E0423B" w:rsidRDefault="002E3C00" w:rsidP="002E3C00">
      <w:pPr>
        <w:pStyle w:val="BodyText"/>
      </w:pPr>
      <w:r>
        <w:t xml:space="preserve">The user may edit the explanatory text above the signature on the last page of a shipping invoice. </w:t>
      </w:r>
    </w:p>
    <w:p w14:paraId="4ED7D283" w14:textId="77777777" w:rsidR="002E3C00" w:rsidRDefault="002E3C00" w:rsidP="002E3C00">
      <w:pPr>
        <w:pStyle w:val="Heading4"/>
        <w:rPr>
          <w:b w:val="0"/>
        </w:rPr>
      </w:pPr>
      <w:r>
        <w:t>User Roles with Access to This Option</w:t>
      </w:r>
      <w:r>
        <w:rPr>
          <w:b w:val="0"/>
        </w:rPr>
        <w:t xml:space="preserve"> </w:t>
      </w:r>
    </w:p>
    <w:p w14:paraId="48B3C3C8" w14:textId="77777777" w:rsidR="002E3C00" w:rsidRDefault="002E3C00" w:rsidP="002E3C00">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336AA17B" w14:textId="77777777" w:rsidR="002E3C00" w:rsidRDefault="00B74754" w:rsidP="002E3C00">
      <w:pPr>
        <w:pStyle w:val="Heading4"/>
      </w:pPr>
      <w:r>
        <w:t>Preparation for Testing</w:t>
      </w:r>
    </w:p>
    <w:p w14:paraId="1CC1ACA6" w14:textId="77777777" w:rsidR="00232E43" w:rsidRPr="00FB7F8D" w:rsidRDefault="00232E43" w:rsidP="008A1C39">
      <w:pPr>
        <w:pStyle w:val="BodyText"/>
      </w:pPr>
      <w:r w:rsidRPr="00FB7F8D">
        <w:t>Print</w:t>
      </w:r>
      <w:r>
        <w:t>, sign, date,</w:t>
      </w:r>
      <w:r w:rsidRPr="00FB7F8D">
        <w:t xml:space="preserve"> and save an </w:t>
      </w:r>
      <w:r>
        <w:t>A</w:t>
      </w:r>
      <w:r w:rsidRPr="00FB7F8D">
        <w:t xml:space="preserve">udit </w:t>
      </w:r>
      <w:r>
        <w:t>Trail R</w:t>
      </w:r>
      <w:r w:rsidRPr="00FB7F8D">
        <w:t>eport for your validation record.</w:t>
      </w:r>
    </w:p>
    <w:p w14:paraId="4D09224A" w14:textId="77777777" w:rsidR="002E3C00" w:rsidRDefault="001D3D7A" w:rsidP="002E3C00">
      <w:pPr>
        <w:pStyle w:val="Heading3"/>
        <w:rPr>
          <w:snapToGrid w:val="0"/>
        </w:rPr>
      </w:pPr>
      <w:bookmarkStart w:id="778" w:name="_Toc85895797"/>
      <w:bookmarkStart w:id="779" w:name="_Toc113264255"/>
      <w:bookmarkStart w:id="780" w:name="_Toc114462110"/>
      <w:r>
        <w:rPr>
          <w:snapToGrid w:val="0"/>
        </w:rPr>
        <w:br w:type="page"/>
      </w:r>
      <w:bookmarkStart w:id="781" w:name="_Toc4588903"/>
      <w:r w:rsidR="002E3C00">
        <w:rPr>
          <w:snapToGrid w:val="0"/>
        </w:rPr>
        <w:lastRenderedPageBreak/>
        <w:t>Antibodies</w:t>
      </w:r>
      <w:bookmarkEnd w:id="778"/>
      <w:bookmarkEnd w:id="779"/>
      <w:bookmarkEnd w:id="780"/>
      <w:bookmarkEnd w:id="781"/>
      <w:r w:rsidR="00E21F36">
        <w:rPr>
          <w:snapToGrid w:val="0"/>
        </w:rPr>
        <w:fldChar w:fldCharType="begin"/>
      </w:r>
      <w:r w:rsidR="00E21F36">
        <w:instrText xml:space="preserve"> XE " System Validation:</w:instrText>
      </w:r>
      <w:r w:rsidR="00E21F36" w:rsidRPr="0081226B">
        <w:rPr>
          <w:snapToGrid w:val="0"/>
        </w:rPr>
        <w:instrText>Antibodies</w:instrText>
      </w:r>
      <w:r w:rsidR="00E21F36">
        <w:instrText xml:space="preserve">" </w:instrText>
      </w:r>
      <w:r w:rsidR="00E21F36">
        <w:rPr>
          <w:snapToGrid w:val="0"/>
        </w:rPr>
        <w:fldChar w:fldCharType="end"/>
      </w:r>
    </w:p>
    <w:p w14:paraId="72753D62" w14:textId="09F380DA" w:rsidR="002E3C00" w:rsidRDefault="002E3C00" w:rsidP="002E3C00">
      <w:pPr>
        <w:pStyle w:val="BodyText"/>
      </w:pPr>
      <w:r>
        <w:t xml:space="preserve">The user </w:t>
      </w:r>
      <w:r w:rsidR="00E15B34">
        <w:t xml:space="preserve">may </w:t>
      </w:r>
      <w:r>
        <w:t>edit certain fields in the supplied antibody table</w:t>
      </w:r>
      <w:r w:rsidR="00191728">
        <w:t xml:space="preserve"> (</w:t>
      </w:r>
      <w:r w:rsidR="00191728">
        <w:fldChar w:fldCharType="begin" w:fldLock="1"/>
      </w:r>
      <w:r w:rsidR="00191728">
        <w:instrText xml:space="preserve"> REF _Ref126730855 \h </w:instrText>
      </w:r>
      <w:r w:rsidR="00191728">
        <w:fldChar w:fldCharType="separate"/>
      </w:r>
      <w:r w:rsidR="00AB304C">
        <w:t xml:space="preserve">Table </w:t>
      </w:r>
      <w:r w:rsidR="00AB304C">
        <w:rPr>
          <w:noProof/>
        </w:rPr>
        <w:t>14</w:t>
      </w:r>
      <w:r w:rsidR="00191728">
        <w:fldChar w:fldCharType="end"/>
      </w:r>
      <w:r w:rsidR="00191728">
        <w:t>).</w:t>
      </w:r>
      <w:r w:rsidR="0063037F">
        <w:t xml:space="preserve"> Use</w:t>
      </w:r>
      <w:r w:rsidR="00191728">
        <w:t xml:space="preserve"> </w:t>
      </w:r>
      <w:r w:rsidR="00E15B34">
        <w:fldChar w:fldCharType="begin" w:fldLock="1"/>
      </w:r>
      <w:r w:rsidR="00E15B34">
        <w:instrText xml:space="preserve"> REF _Ref169421522 \h </w:instrText>
      </w:r>
      <w:r w:rsidR="00E15B34">
        <w:fldChar w:fldCharType="separate"/>
      </w:r>
      <w:r w:rsidR="00AB304C">
        <w:t xml:space="preserve">Table </w:t>
      </w:r>
      <w:r w:rsidR="00AB304C">
        <w:rPr>
          <w:noProof/>
        </w:rPr>
        <w:t>36</w:t>
      </w:r>
      <w:r w:rsidR="00E15B34">
        <w:fldChar w:fldCharType="end"/>
      </w:r>
      <w:r w:rsidR="0063037F">
        <w:t xml:space="preserve"> (</w:t>
      </w:r>
      <w:r w:rsidR="00191728">
        <w:t xml:space="preserve">extracted from </w:t>
      </w:r>
      <w:r w:rsidR="00191728">
        <w:fldChar w:fldCharType="begin" w:fldLock="1"/>
      </w:r>
      <w:r w:rsidR="00191728">
        <w:instrText xml:space="preserve"> REF _Ref126730855 \h </w:instrText>
      </w:r>
      <w:r w:rsidR="00191728">
        <w:fldChar w:fldCharType="separate"/>
      </w:r>
      <w:r w:rsidR="00AB304C">
        <w:t xml:space="preserve">Table </w:t>
      </w:r>
      <w:r w:rsidR="00AB304C">
        <w:rPr>
          <w:noProof/>
        </w:rPr>
        <w:t>14</w:t>
      </w:r>
      <w:r w:rsidR="00191728">
        <w:fldChar w:fldCharType="end"/>
      </w:r>
      <w:r w:rsidR="0063037F">
        <w:t>) to document local decisions on antigen-negative settings.</w:t>
      </w:r>
      <w:r w:rsidR="003C6D47">
        <w:t xml:space="preserve"> </w:t>
      </w:r>
      <w:r w:rsidR="008D2779">
        <w:t xml:space="preserve">For more information, see </w:t>
      </w:r>
      <w:r w:rsidR="008D2779">
        <w:fldChar w:fldCharType="begin" w:fldLock="1"/>
      </w:r>
      <w:r w:rsidR="008D2779">
        <w:instrText xml:space="preserve"> REF _Ref508960075 \h </w:instrText>
      </w:r>
      <w:r w:rsidR="008D2779">
        <w:fldChar w:fldCharType="separate"/>
      </w:r>
      <w:r w:rsidR="00AB304C">
        <w:t xml:space="preserve">Appendix </w:t>
      </w:r>
      <w:r w:rsidR="00AB304C">
        <w:rPr>
          <w:noProof/>
        </w:rPr>
        <w:t>F</w:t>
      </w:r>
      <w:r w:rsidR="00AB304C">
        <w:t>: Work Process Flowcharts</w:t>
      </w:r>
      <w:r w:rsidR="008D2779">
        <w:fldChar w:fldCharType="end"/>
      </w:r>
      <w:r w:rsidR="008D2779">
        <w:t>.</w:t>
      </w:r>
      <w:r w:rsidR="00432FCC" w:rsidRPr="00E15B34">
        <w:rPr>
          <w:vanish/>
        </w:rPr>
        <w:t>(DR 2,617)</w:t>
      </w:r>
    </w:p>
    <w:p w14:paraId="16C0C3E7" w14:textId="4A7F9DA0" w:rsidR="00E15B34" w:rsidRDefault="00E15B34" w:rsidP="00E15B34">
      <w:pPr>
        <w:pStyle w:val="Caption"/>
      </w:pPr>
      <w:bookmarkStart w:id="782" w:name="_Ref169421522"/>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647F4E">
        <w:rPr>
          <w:noProof/>
        </w:rPr>
        <w:t>36</w:t>
      </w:r>
      <w:r w:rsidR="004E20BD">
        <w:rPr>
          <w:noProof/>
        </w:rPr>
        <w:fldChar w:fldCharType="end"/>
      </w:r>
      <w:bookmarkEnd w:id="782"/>
      <w:r>
        <w:t>: User-Defined Antigen Negative Requirements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30"/>
        <w:gridCol w:w="1331"/>
        <w:gridCol w:w="1053"/>
        <w:gridCol w:w="1331"/>
        <w:gridCol w:w="4315"/>
      </w:tblGrid>
      <w:tr w:rsidR="004E75A5" w:rsidRPr="004E75A5" w14:paraId="2C39DC9A" w14:textId="77777777">
        <w:trPr>
          <w:tblHeader/>
        </w:trPr>
        <w:tc>
          <w:tcPr>
            <w:tcW w:w="2661" w:type="dxa"/>
            <w:gridSpan w:val="2"/>
            <w:tcBorders>
              <w:bottom w:val="single" w:sz="4" w:space="0" w:color="auto"/>
            </w:tcBorders>
            <w:shd w:val="clear" w:color="auto" w:fill="B3B3B3"/>
            <w:vAlign w:val="bottom"/>
          </w:tcPr>
          <w:p w14:paraId="7C282C96" w14:textId="77777777" w:rsidR="004E75A5" w:rsidRPr="004E75A5" w:rsidRDefault="004E75A5" w:rsidP="004E75A5">
            <w:pPr>
              <w:pStyle w:val="TableText"/>
              <w:jc w:val="center"/>
              <w:rPr>
                <w:b/>
              </w:rPr>
            </w:pPr>
            <w:r w:rsidRPr="004E75A5">
              <w:rPr>
                <w:b/>
              </w:rPr>
              <w:t>Antibody Name</w:t>
            </w:r>
          </w:p>
        </w:tc>
        <w:tc>
          <w:tcPr>
            <w:tcW w:w="1053" w:type="dxa"/>
            <w:vMerge w:val="restart"/>
            <w:shd w:val="clear" w:color="auto" w:fill="B3B3B3"/>
            <w:vAlign w:val="bottom"/>
          </w:tcPr>
          <w:p w14:paraId="2C43751F" w14:textId="77777777" w:rsidR="004E75A5" w:rsidRPr="004E75A5" w:rsidRDefault="004E75A5" w:rsidP="00432FCC">
            <w:pPr>
              <w:pStyle w:val="TableText"/>
              <w:rPr>
                <w:b/>
                <w:bCs/>
              </w:rPr>
            </w:pPr>
            <w:r w:rsidRPr="004E75A5">
              <w:rPr>
                <w:b/>
                <w:bCs/>
              </w:rPr>
              <w:t>Clinically Significant?</w:t>
            </w:r>
          </w:p>
        </w:tc>
        <w:tc>
          <w:tcPr>
            <w:tcW w:w="1331" w:type="dxa"/>
            <w:vMerge w:val="restart"/>
            <w:shd w:val="clear" w:color="auto" w:fill="B3B3B3"/>
            <w:vAlign w:val="bottom"/>
          </w:tcPr>
          <w:p w14:paraId="32F0FF34" w14:textId="77777777" w:rsidR="004E75A5" w:rsidRPr="004E75A5" w:rsidRDefault="004E75A5" w:rsidP="00432FCC">
            <w:pPr>
              <w:pStyle w:val="TableText"/>
              <w:rPr>
                <w:b/>
              </w:rPr>
            </w:pPr>
            <w:r w:rsidRPr="004E75A5">
              <w:rPr>
                <w:b/>
              </w:rPr>
              <w:t>VBECS Antigen Negative Setting Default</w:t>
            </w:r>
          </w:p>
        </w:tc>
        <w:tc>
          <w:tcPr>
            <w:tcW w:w="4315" w:type="dxa"/>
            <w:vMerge w:val="restart"/>
            <w:shd w:val="clear" w:color="auto" w:fill="B3B3B3"/>
            <w:vAlign w:val="bottom"/>
          </w:tcPr>
          <w:p w14:paraId="627B38AB" w14:textId="77777777" w:rsidR="004E75A5" w:rsidRPr="004E75A5" w:rsidRDefault="004E75A5" w:rsidP="00432FCC">
            <w:pPr>
              <w:pStyle w:val="TableText"/>
              <w:rPr>
                <w:rFonts w:eastAsia="Symbol"/>
                <w:b/>
              </w:rPr>
            </w:pPr>
            <w:r w:rsidRPr="004E75A5">
              <w:rPr>
                <w:rFonts w:eastAsia="Symbol"/>
                <w:b/>
              </w:rPr>
              <w:t>Local comments and decisions on antigen-negative settings.</w:t>
            </w:r>
          </w:p>
        </w:tc>
      </w:tr>
      <w:tr w:rsidR="004E75A5" w:rsidRPr="004E75A5" w14:paraId="5A60FF33" w14:textId="77777777">
        <w:trPr>
          <w:tblHeader/>
        </w:trPr>
        <w:tc>
          <w:tcPr>
            <w:tcW w:w="1330" w:type="dxa"/>
            <w:shd w:val="clear" w:color="auto" w:fill="B3B3B3"/>
            <w:vAlign w:val="bottom"/>
          </w:tcPr>
          <w:p w14:paraId="42D0C9AD" w14:textId="77777777" w:rsidR="004E75A5" w:rsidRPr="004E75A5" w:rsidRDefault="004E75A5" w:rsidP="00432FCC">
            <w:pPr>
              <w:pStyle w:val="TableText"/>
              <w:rPr>
                <w:b/>
              </w:rPr>
            </w:pPr>
            <w:r w:rsidRPr="004E75A5">
              <w:rPr>
                <w:b/>
              </w:rPr>
              <w:t>VBECS</w:t>
            </w:r>
          </w:p>
        </w:tc>
        <w:tc>
          <w:tcPr>
            <w:tcW w:w="1331" w:type="dxa"/>
            <w:shd w:val="clear" w:color="auto" w:fill="B3B3B3"/>
            <w:vAlign w:val="bottom"/>
          </w:tcPr>
          <w:p w14:paraId="5ED5C17F" w14:textId="77777777" w:rsidR="004E75A5" w:rsidRPr="004E75A5" w:rsidRDefault="004E75A5" w:rsidP="00432FCC">
            <w:pPr>
              <w:pStyle w:val="TableText"/>
              <w:rPr>
                <w:b/>
              </w:rPr>
            </w:pPr>
            <w:r w:rsidRPr="004E75A5">
              <w:rPr>
                <w:b/>
              </w:rPr>
              <w:t>VistA</w:t>
            </w:r>
          </w:p>
        </w:tc>
        <w:tc>
          <w:tcPr>
            <w:tcW w:w="1053" w:type="dxa"/>
            <w:vMerge/>
            <w:shd w:val="clear" w:color="auto" w:fill="auto"/>
            <w:vAlign w:val="bottom"/>
          </w:tcPr>
          <w:p w14:paraId="496D0233" w14:textId="77777777" w:rsidR="004E75A5" w:rsidRPr="004E75A5" w:rsidRDefault="004E75A5" w:rsidP="00432FCC">
            <w:pPr>
              <w:pStyle w:val="TableText"/>
              <w:rPr>
                <w:b/>
                <w:bCs/>
              </w:rPr>
            </w:pPr>
          </w:p>
        </w:tc>
        <w:tc>
          <w:tcPr>
            <w:tcW w:w="1331" w:type="dxa"/>
            <w:vMerge/>
            <w:shd w:val="clear" w:color="auto" w:fill="auto"/>
            <w:vAlign w:val="bottom"/>
          </w:tcPr>
          <w:p w14:paraId="75FA28EE" w14:textId="77777777" w:rsidR="004E75A5" w:rsidRPr="004E75A5" w:rsidRDefault="004E75A5" w:rsidP="00432FCC">
            <w:pPr>
              <w:pStyle w:val="TableText"/>
              <w:rPr>
                <w:b/>
              </w:rPr>
            </w:pPr>
          </w:p>
        </w:tc>
        <w:tc>
          <w:tcPr>
            <w:tcW w:w="4315" w:type="dxa"/>
            <w:vMerge/>
            <w:shd w:val="clear" w:color="auto" w:fill="auto"/>
            <w:vAlign w:val="bottom"/>
          </w:tcPr>
          <w:p w14:paraId="19011A77" w14:textId="77777777" w:rsidR="004E75A5" w:rsidRPr="004E75A5" w:rsidRDefault="004E75A5" w:rsidP="00432FCC">
            <w:pPr>
              <w:pStyle w:val="TableText"/>
              <w:rPr>
                <w:rFonts w:eastAsia="Symbol"/>
                <w:b/>
              </w:rPr>
            </w:pPr>
          </w:p>
        </w:tc>
      </w:tr>
      <w:tr w:rsidR="00432FCC" w14:paraId="1FE49D31" w14:textId="77777777">
        <w:tc>
          <w:tcPr>
            <w:tcW w:w="1330" w:type="dxa"/>
            <w:shd w:val="clear" w:color="auto" w:fill="auto"/>
            <w:vAlign w:val="center"/>
          </w:tcPr>
          <w:p w14:paraId="562B3BAA" w14:textId="77777777" w:rsidR="00432FCC" w:rsidRDefault="00432FCC" w:rsidP="00432FCC">
            <w:pPr>
              <w:pStyle w:val="TableText"/>
              <w:rPr>
                <w:rFonts w:eastAsia="Symbol"/>
              </w:rPr>
            </w:pPr>
            <w:r>
              <w:t>Anti-Kp(a)</w:t>
            </w:r>
          </w:p>
        </w:tc>
        <w:tc>
          <w:tcPr>
            <w:tcW w:w="1331" w:type="dxa"/>
            <w:shd w:val="clear" w:color="auto" w:fill="auto"/>
            <w:vAlign w:val="center"/>
          </w:tcPr>
          <w:p w14:paraId="539CD76D" w14:textId="77777777" w:rsidR="00432FCC" w:rsidRDefault="00432FCC" w:rsidP="00432FCC">
            <w:pPr>
              <w:pStyle w:val="TableText"/>
              <w:rPr>
                <w:rFonts w:eastAsia="Symbol"/>
              </w:rPr>
            </w:pPr>
            <w:r>
              <w:t>Anti-Kp(a)</w:t>
            </w:r>
          </w:p>
        </w:tc>
        <w:tc>
          <w:tcPr>
            <w:tcW w:w="1053" w:type="dxa"/>
            <w:shd w:val="clear" w:color="auto" w:fill="auto"/>
            <w:vAlign w:val="center"/>
          </w:tcPr>
          <w:p w14:paraId="4301554D" w14:textId="77777777" w:rsidR="00432FCC" w:rsidRDefault="00432FCC" w:rsidP="00432FCC">
            <w:pPr>
              <w:pStyle w:val="TableText"/>
              <w:rPr>
                <w:b/>
                <w:bCs/>
              </w:rPr>
            </w:pPr>
            <w:r>
              <w:rPr>
                <w:bCs/>
              </w:rPr>
              <w:t>Yes</w:t>
            </w:r>
          </w:p>
        </w:tc>
        <w:tc>
          <w:tcPr>
            <w:tcW w:w="1331" w:type="dxa"/>
            <w:shd w:val="clear" w:color="auto" w:fill="auto"/>
            <w:vAlign w:val="center"/>
          </w:tcPr>
          <w:p w14:paraId="2532499C" w14:textId="77777777" w:rsidR="00432FCC" w:rsidRDefault="00432FCC" w:rsidP="00432FCC">
            <w:pPr>
              <w:pStyle w:val="TableText"/>
              <w:rPr>
                <w:rFonts w:eastAsia="Symbol"/>
              </w:rPr>
            </w:pPr>
            <w:r>
              <w:t>No</w:t>
            </w:r>
          </w:p>
        </w:tc>
        <w:tc>
          <w:tcPr>
            <w:tcW w:w="4315" w:type="dxa"/>
            <w:shd w:val="clear" w:color="auto" w:fill="auto"/>
            <w:vAlign w:val="center"/>
          </w:tcPr>
          <w:p w14:paraId="153EA8F6" w14:textId="77777777" w:rsidR="00432FCC" w:rsidRDefault="00432FCC" w:rsidP="00432FCC">
            <w:pPr>
              <w:pStyle w:val="TableText"/>
              <w:rPr>
                <w:rFonts w:eastAsia="Symbol"/>
              </w:rPr>
            </w:pPr>
          </w:p>
        </w:tc>
      </w:tr>
      <w:tr w:rsidR="00432FCC" w14:paraId="7040FE4C" w14:textId="77777777">
        <w:tc>
          <w:tcPr>
            <w:tcW w:w="1330" w:type="dxa"/>
            <w:shd w:val="clear" w:color="auto" w:fill="auto"/>
            <w:vAlign w:val="center"/>
          </w:tcPr>
          <w:p w14:paraId="206F20A4" w14:textId="77777777" w:rsidR="00432FCC" w:rsidRDefault="00432FCC" w:rsidP="00432FCC">
            <w:pPr>
              <w:pStyle w:val="TableText"/>
              <w:rPr>
                <w:rFonts w:eastAsia="Symbol"/>
              </w:rPr>
            </w:pPr>
            <w:r>
              <w:t>Anti-Kp(b)</w:t>
            </w:r>
          </w:p>
        </w:tc>
        <w:tc>
          <w:tcPr>
            <w:tcW w:w="1331" w:type="dxa"/>
            <w:shd w:val="clear" w:color="auto" w:fill="auto"/>
            <w:vAlign w:val="center"/>
          </w:tcPr>
          <w:p w14:paraId="62440420" w14:textId="77777777" w:rsidR="00432FCC" w:rsidRDefault="00432FCC" w:rsidP="00432FCC">
            <w:pPr>
              <w:pStyle w:val="TableText"/>
              <w:rPr>
                <w:rFonts w:eastAsia="Symbol"/>
              </w:rPr>
            </w:pPr>
            <w:r>
              <w:t>Anti-Kp(b)</w:t>
            </w:r>
          </w:p>
        </w:tc>
        <w:tc>
          <w:tcPr>
            <w:tcW w:w="1053" w:type="dxa"/>
            <w:shd w:val="clear" w:color="auto" w:fill="auto"/>
            <w:vAlign w:val="center"/>
          </w:tcPr>
          <w:p w14:paraId="665F2394" w14:textId="77777777" w:rsidR="00432FCC" w:rsidRDefault="00432FCC" w:rsidP="00432FCC">
            <w:pPr>
              <w:pStyle w:val="TableText"/>
              <w:rPr>
                <w:b/>
                <w:bCs/>
              </w:rPr>
            </w:pPr>
            <w:r>
              <w:rPr>
                <w:bCs/>
              </w:rPr>
              <w:t>Yes</w:t>
            </w:r>
          </w:p>
        </w:tc>
        <w:tc>
          <w:tcPr>
            <w:tcW w:w="1331" w:type="dxa"/>
            <w:shd w:val="clear" w:color="auto" w:fill="auto"/>
            <w:vAlign w:val="center"/>
          </w:tcPr>
          <w:p w14:paraId="6AE4CA71" w14:textId="77777777" w:rsidR="00432FCC" w:rsidRDefault="00432FCC" w:rsidP="00432FCC">
            <w:pPr>
              <w:pStyle w:val="TableText"/>
              <w:rPr>
                <w:rFonts w:eastAsia="Symbol"/>
              </w:rPr>
            </w:pPr>
            <w:r>
              <w:t>No</w:t>
            </w:r>
          </w:p>
        </w:tc>
        <w:tc>
          <w:tcPr>
            <w:tcW w:w="4315" w:type="dxa"/>
            <w:shd w:val="clear" w:color="auto" w:fill="auto"/>
            <w:vAlign w:val="center"/>
          </w:tcPr>
          <w:p w14:paraId="66373D8C" w14:textId="77777777" w:rsidR="00432FCC" w:rsidRDefault="00432FCC" w:rsidP="00432FCC">
            <w:pPr>
              <w:pStyle w:val="TableText"/>
              <w:rPr>
                <w:rFonts w:eastAsia="Symbol"/>
              </w:rPr>
            </w:pPr>
          </w:p>
        </w:tc>
      </w:tr>
      <w:tr w:rsidR="00432FCC" w14:paraId="4833EEB3" w14:textId="77777777">
        <w:tc>
          <w:tcPr>
            <w:tcW w:w="1330" w:type="dxa"/>
            <w:shd w:val="clear" w:color="auto" w:fill="auto"/>
            <w:vAlign w:val="center"/>
          </w:tcPr>
          <w:p w14:paraId="08688CAB" w14:textId="77777777" w:rsidR="00432FCC" w:rsidRDefault="00432FCC" w:rsidP="00432FCC">
            <w:pPr>
              <w:pStyle w:val="TableText"/>
              <w:rPr>
                <w:rFonts w:eastAsia="Symbol"/>
              </w:rPr>
            </w:pPr>
            <w:r>
              <w:t>Anti-M</w:t>
            </w:r>
          </w:p>
        </w:tc>
        <w:tc>
          <w:tcPr>
            <w:tcW w:w="1331" w:type="dxa"/>
            <w:shd w:val="clear" w:color="auto" w:fill="auto"/>
            <w:vAlign w:val="center"/>
          </w:tcPr>
          <w:p w14:paraId="2DE934B2" w14:textId="77777777" w:rsidR="00432FCC" w:rsidRDefault="00432FCC" w:rsidP="00432FCC">
            <w:pPr>
              <w:pStyle w:val="TableText"/>
            </w:pPr>
            <w:r>
              <w:t>Anti-M</w:t>
            </w:r>
          </w:p>
        </w:tc>
        <w:tc>
          <w:tcPr>
            <w:tcW w:w="1053" w:type="dxa"/>
            <w:shd w:val="clear" w:color="auto" w:fill="auto"/>
            <w:vAlign w:val="center"/>
          </w:tcPr>
          <w:p w14:paraId="66974975" w14:textId="77777777" w:rsidR="00432FCC" w:rsidRDefault="00432FCC" w:rsidP="00432FCC">
            <w:pPr>
              <w:pStyle w:val="TableText"/>
            </w:pPr>
            <w:r>
              <w:t>No</w:t>
            </w:r>
          </w:p>
        </w:tc>
        <w:tc>
          <w:tcPr>
            <w:tcW w:w="1331" w:type="dxa"/>
            <w:shd w:val="clear" w:color="auto" w:fill="auto"/>
            <w:vAlign w:val="center"/>
          </w:tcPr>
          <w:p w14:paraId="54EA0191" w14:textId="77777777" w:rsidR="00432FCC" w:rsidRDefault="00432FCC" w:rsidP="00432FCC">
            <w:pPr>
              <w:pStyle w:val="TableText"/>
              <w:rPr>
                <w:rFonts w:eastAsia="Symbol"/>
              </w:rPr>
            </w:pPr>
            <w:r>
              <w:t>No</w:t>
            </w:r>
          </w:p>
        </w:tc>
        <w:tc>
          <w:tcPr>
            <w:tcW w:w="4315" w:type="dxa"/>
            <w:shd w:val="clear" w:color="auto" w:fill="auto"/>
            <w:vAlign w:val="center"/>
          </w:tcPr>
          <w:p w14:paraId="304AFF61" w14:textId="77777777" w:rsidR="00432FCC" w:rsidRDefault="00432FCC" w:rsidP="00432FCC">
            <w:pPr>
              <w:pStyle w:val="TableText"/>
              <w:rPr>
                <w:rFonts w:eastAsia="Symbol"/>
              </w:rPr>
            </w:pPr>
          </w:p>
        </w:tc>
      </w:tr>
      <w:tr w:rsidR="00432FCC" w14:paraId="14F1B003" w14:textId="77777777">
        <w:tc>
          <w:tcPr>
            <w:tcW w:w="1330" w:type="dxa"/>
            <w:shd w:val="clear" w:color="auto" w:fill="auto"/>
            <w:vAlign w:val="center"/>
          </w:tcPr>
          <w:p w14:paraId="0B59274A" w14:textId="77777777" w:rsidR="00432FCC" w:rsidRDefault="00432FCC" w:rsidP="00432FCC">
            <w:pPr>
              <w:pStyle w:val="TableText"/>
              <w:rPr>
                <w:rFonts w:eastAsia="Symbol"/>
              </w:rPr>
            </w:pPr>
            <w:r>
              <w:t>Anti-N</w:t>
            </w:r>
          </w:p>
        </w:tc>
        <w:tc>
          <w:tcPr>
            <w:tcW w:w="1331" w:type="dxa"/>
            <w:shd w:val="clear" w:color="auto" w:fill="auto"/>
            <w:vAlign w:val="center"/>
          </w:tcPr>
          <w:p w14:paraId="764508B0" w14:textId="77777777" w:rsidR="00432FCC" w:rsidRDefault="00432FCC" w:rsidP="00432FCC">
            <w:pPr>
              <w:pStyle w:val="TableText"/>
            </w:pPr>
            <w:r>
              <w:t>Anti-N</w:t>
            </w:r>
          </w:p>
        </w:tc>
        <w:tc>
          <w:tcPr>
            <w:tcW w:w="1053" w:type="dxa"/>
            <w:shd w:val="clear" w:color="auto" w:fill="auto"/>
            <w:vAlign w:val="center"/>
          </w:tcPr>
          <w:p w14:paraId="516B3ABA" w14:textId="77777777" w:rsidR="00432FCC" w:rsidRDefault="00432FCC" w:rsidP="00432FCC">
            <w:pPr>
              <w:pStyle w:val="TableText"/>
            </w:pPr>
            <w:r>
              <w:t>No</w:t>
            </w:r>
          </w:p>
        </w:tc>
        <w:tc>
          <w:tcPr>
            <w:tcW w:w="1331" w:type="dxa"/>
            <w:shd w:val="clear" w:color="auto" w:fill="auto"/>
            <w:vAlign w:val="center"/>
          </w:tcPr>
          <w:p w14:paraId="19B8D5E7" w14:textId="77777777" w:rsidR="00432FCC" w:rsidRDefault="00432FCC" w:rsidP="00432FCC">
            <w:pPr>
              <w:pStyle w:val="TableText"/>
              <w:rPr>
                <w:rFonts w:eastAsia="Symbol"/>
              </w:rPr>
            </w:pPr>
            <w:r>
              <w:t>No</w:t>
            </w:r>
          </w:p>
        </w:tc>
        <w:tc>
          <w:tcPr>
            <w:tcW w:w="4315" w:type="dxa"/>
            <w:shd w:val="clear" w:color="auto" w:fill="auto"/>
            <w:vAlign w:val="center"/>
          </w:tcPr>
          <w:p w14:paraId="62F2BAB5" w14:textId="77777777" w:rsidR="00432FCC" w:rsidRDefault="00432FCC" w:rsidP="00432FCC">
            <w:pPr>
              <w:pStyle w:val="TableText"/>
              <w:rPr>
                <w:rFonts w:eastAsia="Symbol"/>
              </w:rPr>
            </w:pPr>
          </w:p>
        </w:tc>
      </w:tr>
      <w:tr w:rsidR="00432FCC" w14:paraId="4831F528" w14:textId="77777777">
        <w:tc>
          <w:tcPr>
            <w:tcW w:w="1330" w:type="dxa"/>
            <w:shd w:val="clear" w:color="auto" w:fill="auto"/>
            <w:vAlign w:val="center"/>
          </w:tcPr>
          <w:p w14:paraId="16FA190B" w14:textId="77777777" w:rsidR="00432FCC" w:rsidRDefault="00432FCC" w:rsidP="00432FCC">
            <w:pPr>
              <w:pStyle w:val="TableText"/>
              <w:rPr>
                <w:rFonts w:eastAsia="Symbol"/>
              </w:rPr>
            </w:pPr>
            <w:r>
              <w:t>Anti-U</w:t>
            </w:r>
          </w:p>
        </w:tc>
        <w:tc>
          <w:tcPr>
            <w:tcW w:w="1331" w:type="dxa"/>
            <w:shd w:val="clear" w:color="auto" w:fill="auto"/>
            <w:vAlign w:val="center"/>
          </w:tcPr>
          <w:p w14:paraId="139F6615" w14:textId="77777777" w:rsidR="00432FCC" w:rsidRDefault="00432FCC" w:rsidP="00432FCC">
            <w:pPr>
              <w:pStyle w:val="TableText"/>
              <w:rPr>
                <w:b/>
                <w:bCs/>
              </w:rPr>
            </w:pPr>
            <w:r>
              <w:t>Anti-U</w:t>
            </w:r>
          </w:p>
        </w:tc>
        <w:tc>
          <w:tcPr>
            <w:tcW w:w="1053" w:type="dxa"/>
            <w:shd w:val="clear" w:color="auto" w:fill="auto"/>
            <w:vAlign w:val="center"/>
          </w:tcPr>
          <w:p w14:paraId="651BF81D" w14:textId="77777777" w:rsidR="00432FCC" w:rsidRDefault="00432FCC" w:rsidP="00432FCC">
            <w:pPr>
              <w:pStyle w:val="TableText"/>
              <w:rPr>
                <w:b/>
                <w:bCs/>
              </w:rPr>
            </w:pPr>
            <w:r>
              <w:rPr>
                <w:bCs/>
              </w:rPr>
              <w:t>Yes</w:t>
            </w:r>
          </w:p>
        </w:tc>
        <w:tc>
          <w:tcPr>
            <w:tcW w:w="1331" w:type="dxa"/>
            <w:shd w:val="clear" w:color="auto" w:fill="auto"/>
            <w:vAlign w:val="center"/>
          </w:tcPr>
          <w:p w14:paraId="7D0A4B1F" w14:textId="77777777" w:rsidR="00432FCC" w:rsidRDefault="00432FCC" w:rsidP="00432FCC">
            <w:pPr>
              <w:pStyle w:val="TableText"/>
              <w:rPr>
                <w:rFonts w:eastAsia="Symbol"/>
              </w:rPr>
            </w:pPr>
            <w:r>
              <w:t>No</w:t>
            </w:r>
          </w:p>
        </w:tc>
        <w:tc>
          <w:tcPr>
            <w:tcW w:w="4315" w:type="dxa"/>
            <w:shd w:val="clear" w:color="auto" w:fill="auto"/>
            <w:vAlign w:val="center"/>
          </w:tcPr>
          <w:p w14:paraId="0EF0D542" w14:textId="77777777" w:rsidR="00432FCC" w:rsidRDefault="00432FCC" w:rsidP="00432FCC">
            <w:pPr>
              <w:pStyle w:val="TableText"/>
              <w:rPr>
                <w:rFonts w:eastAsia="Symbol"/>
              </w:rPr>
            </w:pPr>
          </w:p>
        </w:tc>
      </w:tr>
      <w:tr w:rsidR="00432FCC" w14:paraId="2F4864A6" w14:textId="77777777">
        <w:tc>
          <w:tcPr>
            <w:tcW w:w="1330" w:type="dxa"/>
            <w:shd w:val="clear" w:color="auto" w:fill="auto"/>
            <w:vAlign w:val="center"/>
          </w:tcPr>
          <w:p w14:paraId="3F96D181" w14:textId="77777777" w:rsidR="00432FCC" w:rsidRDefault="00432FCC" w:rsidP="00432FCC">
            <w:pPr>
              <w:pStyle w:val="TableText"/>
              <w:rPr>
                <w:rFonts w:eastAsia="Symbol"/>
              </w:rPr>
            </w:pPr>
            <w:r>
              <w:t>Anti-P1</w:t>
            </w:r>
          </w:p>
        </w:tc>
        <w:tc>
          <w:tcPr>
            <w:tcW w:w="1331" w:type="dxa"/>
            <w:shd w:val="clear" w:color="auto" w:fill="auto"/>
            <w:vAlign w:val="center"/>
          </w:tcPr>
          <w:p w14:paraId="17F010C4" w14:textId="77777777" w:rsidR="00432FCC" w:rsidRDefault="00432FCC" w:rsidP="00432FCC">
            <w:pPr>
              <w:pStyle w:val="TableText"/>
            </w:pPr>
            <w:r>
              <w:t>Anti-P1</w:t>
            </w:r>
          </w:p>
        </w:tc>
        <w:tc>
          <w:tcPr>
            <w:tcW w:w="1053" w:type="dxa"/>
            <w:shd w:val="clear" w:color="auto" w:fill="auto"/>
            <w:vAlign w:val="center"/>
          </w:tcPr>
          <w:p w14:paraId="6FBFECF1" w14:textId="77777777" w:rsidR="00432FCC" w:rsidRDefault="00432FCC" w:rsidP="00432FCC">
            <w:pPr>
              <w:pStyle w:val="TableText"/>
            </w:pPr>
            <w:r>
              <w:t>No</w:t>
            </w:r>
          </w:p>
        </w:tc>
        <w:tc>
          <w:tcPr>
            <w:tcW w:w="1331" w:type="dxa"/>
            <w:shd w:val="clear" w:color="auto" w:fill="auto"/>
            <w:vAlign w:val="center"/>
          </w:tcPr>
          <w:p w14:paraId="30F1CD2B" w14:textId="77777777" w:rsidR="00432FCC" w:rsidRDefault="00432FCC" w:rsidP="00432FCC">
            <w:pPr>
              <w:pStyle w:val="TableText"/>
              <w:rPr>
                <w:rFonts w:eastAsia="Symbol"/>
              </w:rPr>
            </w:pPr>
            <w:r>
              <w:t>No</w:t>
            </w:r>
          </w:p>
        </w:tc>
        <w:tc>
          <w:tcPr>
            <w:tcW w:w="4315" w:type="dxa"/>
            <w:shd w:val="clear" w:color="auto" w:fill="auto"/>
            <w:vAlign w:val="center"/>
          </w:tcPr>
          <w:p w14:paraId="4758A896" w14:textId="77777777" w:rsidR="00432FCC" w:rsidRDefault="00432FCC" w:rsidP="00432FCC">
            <w:pPr>
              <w:pStyle w:val="TableText"/>
              <w:rPr>
                <w:rFonts w:eastAsia="Symbol"/>
              </w:rPr>
            </w:pPr>
          </w:p>
        </w:tc>
      </w:tr>
      <w:tr w:rsidR="00432FCC" w14:paraId="27116DB1" w14:textId="77777777">
        <w:tc>
          <w:tcPr>
            <w:tcW w:w="1330" w:type="dxa"/>
            <w:shd w:val="clear" w:color="auto" w:fill="auto"/>
            <w:vAlign w:val="center"/>
          </w:tcPr>
          <w:p w14:paraId="074A0C33" w14:textId="77777777" w:rsidR="00432FCC" w:rsidRDefault="00432FCC" w:rsidP="00432FCC">
            <w:pPr>
              <w:pStyle w:val="TableText"/>
              <w:rPr>
                <w:rFonts w:eastAsia="Symbol"/>
              </w:rPr>
            </w:pPr>
            <w:r>
              <w:t>Anti-Le(a)</w:t>
            </w:r>
          </w:p>
        </w:tc>
        <w:tc>
          <w:tcPr>
            <w:tcW w:w="1331" w:type="dxa"/>
            <w:shd w:val="clear" w:color="auto" w:fill="auto"/>
            <w:vAlign w:val="center"/>
          </w:tcPr>
          <w:p w14:paraId="3EC2B67A" w14:textId="77777777" w:rsidR="00432FCC" w:rsidRDefault="00432FCC" w:rsidP="00432FCC">
            <w:pPr>
              <w:pStyle w:val="TableText"/>
              <w:rPr>
                <w:rFonts w:eastAsia="Symbol"/>
              </w:rPr>
            </w:pPr>
            <w:r>
              <w:t>Anti-Le(a)</w:t>
            </w:r>
          </w:p>
        </w:tc>
        <w:tc>
          <w:tcPr>
            <w:tcW w:w="1053" w:type="dxa"/>
            <w:shd w:val="clear" w:color="auto" w:fill="auto"/>
            <w:vAlign w:val="center"/>
          </w:tcPr>
          <w:p w14:paraId="4EDF37C4" w14:textId="77777777" w:rsidR="00432FCC" w:rsidRDefault="00432FCC" w:rsidP="00432FCC">
            <w:pPr>
              <w:pStyle w:val="TableText"/>
            </w:pPr>
            <w:r>
              <w:t>No</w:t>
            </w:r>
          </w:p>
        </w:tc>
        <w:tc>
          <w:tcPr>
            <w:tcW w:w="1331" w:type="dxa"/>
            <w:shd w:val="clear" w:color="auto" w:fill="auto"/>
            <w:vAlign w:val="center"/>
          </w:tcPr>
          <w:p w14:paraId="646B450D" w14:textId="77777777" w:rsidR="00432FCC" w:rsidRDefault="00432FCC" w:rsidP="00432FCC">
            <w:pPr>
              <w:pStyle w:val="TableText"/>
              <w:rPr>
                <w:rFonts w:eastAsia="Symbol"/>
              </w:rPr>
            </w:pPr>
            <w:r>
              <w:t>No</w:t>
            </w:r>
          </w:p>
        </w:tc>
        <w:tc>
          <w:tcPr>
            <w:tcW w:w="4315" w:type="dxa"/>
            <w:shd w:val="clear" w:color="auto" w:fill="auto"/>
            <w:vAlign w:val="center"/>
          </w:tcPr>
          <w:p w14:paraId="0244DE51" w14:textId="77777777" w:rsidR="00432FCC" w:rsidRDefault="00432FCC" w:rsidP="00432FCC">
            <w:pPr>
              <w:pStyle w:val="TableText"/>
              <w:rPr>
                <w:rFonts w:eastAsia="Symbol"/>
              </w:rPr>
            </w:pPr>
          </w:p>
        </w:tc>
      </w:tr>
      <w:tr w:rsidR="00432FCC" w14:paraId="0377B19B" w14:textId="77777777">
        <w:tc>
          <w:tcPr>
            <w:tcW w:w="1330" w:type="dxa"/>
            <w:shd w:val="clear" w:color="auto" w:fill="auto"/>
            <w:vAlign w:val="center"/>
          </w:tcPr>
          <w:p w14:paraId="62A9F5D8" w14:textId="77777777" w:rsidR="00432FCC" w:rsidRDefault="00432FCC" w:rsidP="00432FCC">
            <w:pPr>
              <w:pStyle w:val="TableText"/>
              <w:rPr>
                <w:rFonts w:eastAsia="Symbol"/>
              </w:rPr>
            </w:pPr>
            <w:r>
              <w:t>Anti-Le(b)</w:t>
            </w:r>
          </w:p>
        </w:tc>
        <w:tc>
          <w:tcPr>
            <w:tcW w:w="1331" w:type="dxa"/>
            <w:shd w:val="clear" w:color="auto" w:fill="auto"/>
            <w:vAlign w:val="center"/>
          </w:tcPr>
          <w:p w14:paraId="2D494872" w14:textId="77777777" w:rsidR="00432FCC" w:rsidRDefault="00432FCC" w:rsidP="00432FCC">
            <w:pPr>
              <w:pStyle w:val="TableText"/>
              <w:rPr>
                <w:rFonts w:eastAsia="Symbol"/>
              </w:rPr>
            </w:pPr>
            <w:r>
              <w:t>Anti-Le(b)</w:t>
            </w:r>
          </w:p>
        </w:tc>
        <w:tc>
          <w:tcPr>
            <w:tcW w:w="1053" w:type="dxa"/>
            <w:shd w:val="clear" w:color="auto" w:fill="auto"/>
            <w:vAlign w:val="center"/>
          </w:tcPr>
          <w:p w14:paraId="6F6D033F" w14:textId="77777777" w:rsidR="00432FCC" w:rsidRDefault="00432FCC" w:rsidP="00432FCC">
            <w:pPr>
              <w:pStyle w:val="TableText"/>
            </w:pPr>
            <w:r>
              <w:t>No</w:t>
            </w:r>
          </w:p>
        </w:tc>
        <w:tc>
          <w:tcPr>
            <w:tcW w:w="1331" w:type="dxa"/>
            <w:shd w:val="clear" w:color="auto" w:fill="auto"/>
            <w:vAlign w:val="center"/>
          </w:tcPr>
          <w:p w14:paraId="44226CD1" w14:textId="77777777" w:rsidR="00432FCC" w:rsidRDefault="00432FCC" w:rsidP="00432FCC">
            <w:pPr>
              <w:pStyle w:val="TableText"/>
              <w:rPr>
                <w:rFonts w:eastAsia="Symbol"/>
              </w:rPr>
            </w:pPr>
            <w:r>
              <w:t>No</w:t>
            </w:r>
          </w:p>
        </w:tc>
        <w:tc>
          <w:tcPr>
            <w:tcW w:w="4315" w:type="dxa"/>
            <w:shd w:val="clear" w:color="auto" w:fill="auto"/>
            <w:vAlign w:val="center"/>
          </w:tcPr>
          <w:p w14:paraId="77B55B2C" w14:textId="77777777" w:rsidR="00432FCC" w:rsidRDefault="00432FCC" w:rsidP="00432FCC">
            <w:pPr>
              <w:pStyle w:val="TableText"/>
              <w:rPr>
                <w:rFonts w:eastAsia="Symbol"/>
              </w:rPr>
            </w:pPr>
          </w:p>
        </w:tc>
      </w:tr>
      <w:tr w:rsidR="00432FCC" w14:paraId="29A0A11C" w14:textId="77777777">
        <w:tc>
          <w:tcPr>
            <w:tcW w:w="1330" w:type="dxa"/>
            <w:shd w:val="clear" w:color="auto" w:fill="auto"/>
            <w:vAlign w:val="center"/>
          </w:tcPr>
          <w:p w14:paraId="21E53C49" w14:textId="77777777" w:rsidR="00432FCC" w:rsidRDefault="00432FCC" w:rsidP="00432FCC">
            <w:pPr>
              <w:pStyle w:val="TableText"/>
              <w:rPr>
                <w:rFonts w:eastAsia="Symbol"/>
              </w:rPr>
            </w:pPr>
            <w:r>
              <w:t>Anti-Js(a)</w:t>
            </w:r>
          </w:p>
        </w:tc>
        <w:tc>
          <w:tcPr>
            <w:tcW w:w="1331" w:type="dxa"/>
            <w:shd w:val="clear" w:color="auto" w:fill="auto"/>
            <w:vAlign w:val="center"/>
          </w:tcPr>
          <w:p w14:paraId="7246801A" w14:textId="77777777" w:rsidR="00432FCC" w:rsidRDefault="00432FCC" w:rsidP="00432FCC">
            <w:pPr>
              <w:pStyle w:val="TableText"/>
              <w:rPr>
                <w:rFonts w:eastAsia="Symbol"/>
              </w:rPr>
            </w:pPr>
            <w:r>
              <w:t>Anti-Js(a)</w:t>
            </w:r>
          </w:p>
        </w:tc>
        <w:tc>
          <w:tcPr>
            <w:tcW w:w="1053" w:type="dxa"/>
            <w:shd w:val="clear" w:color="auto" w:fill="auto"/>
            <w:vAlign w:val="center"/>
          </w:tcPr>
          <w:p w14:paraId="15AD5F82" w14:textId="77777777" w:rsidR="00432FCC" w:rsidRDefault="00432FCC" w:rsidP="00432FCC">
            <w:pPr>
              <w:pStyle w:val="TableText"/>
              <w:rPr>
                <w:b/>
                <w:bCs/>
              </w:rPr>
            </w:pPr>
            <w:r>
              <w:rPr>
                <w:bCs/>
              </w:rPr>
              <w:t>Yes</w:t>
            </w:r>
          </w:p>
        </w:tc>
        <w:tc>
          <w:tcPr>
            <w:tcW w:w="1331" w:type="dxa"/>
            <w:shd w:val="clear" w:color="auto" w:fill="auto"/>
            <w:vAlign w:val="center"/>
          </w:tcPr>
          <w:p w14:paraId="3735ADA8" w14:textId="77777777" w:rsidR="00432FCC" w:rsidRDefault="00432FCC" w:rsidP="00432FCC">
            <w:pPr>
              <w:pStyle w:val="TableText"/>
              <w:rPr>
                <w:rFonts w:eastAsia="Symbol"/>
              </w:rPr>
            </w:pPr>
            <w:r>
              <w:t>No</w:t>
            </w:r>
          </w:p>
        </w:tc>
        <w:tc>
          <w:tcPr>
            <w:tcW w:w="4315" w:type="dxa"/>
            <w:shd w:val="clear" w:color="auto" w:fill="auto"/>
            <w:vAlign w:val="center"/>
          </w:tcPr>
          <w:p w14:paraId="2153DF0C" w14:textId="77777777" w:rsidR="00432FCC" w:rsidRDefault="00432FCC" w:rsidP="00432FCC">
            <w:pPr>
              <w:pStyle w:val="TableText"/>
              <w:rPr>
                <w:rFonts w:eastAsia="Symbol"/>
              </w:rPr>
            </w:pPr>
          </w:p>
        </w:tc>
      </w:tr>
      <w:tr w:rsidR="00432FCC" w14:paraId="64BAEDB1" w14:textId="77777777">
        <w:tc>
          <w:tcPr>
            <w:tcW w:w="1330" w:type="dxa"/>
            <w:shd w:val="clear" w:color="auto" w:fill="auto"/>
            <w:vAlign w:val="center"/>
          </w:tcPr>
          <w:p w14:paraId="1251692B" w14:textId="77777777" w:rsidR="00432FCC" w:rsidRDefault="00432FCC" w:rsidP="00432FCC">
            <w:pPr>
              <w:pStyle w:val="TableText"/>
              <w:rPr>
                <w:rFonts w:eastAsia="Symbol"/>
              </w:rPr>
            </w:pPr>
            <w:r>
              <w:t>Anti-Js(b)</w:t>
            </w:r>
          </w:p>
        </w:tc>
        <w:tc>
          <w:tcPr>
            <w:tcW w:w="1331" w:type="dxa"/>
            <w:shd w:val="clear" w:color="auto" w:fill="auto"/>
            <w:vAlign w:val="center"/>
          </w:tcPr>
          <w:p w14:paraId="583C60B9" w14:textId="77777777" w:rsidR="00432FCC" w:rsidRDefault="00432FCC" w:rsidP="00432FCC">
            <w:pPr>
              <w:pStyle w:val="TableText"/>
              <w:rPr>
                <w:rFonts w:eastAsia="Symbol"/>
              </w:rPr>
            </w:pPr>
            <w:r>
              <w:t>Anti-Js(b)</w:t>
            </w:r>
          </w:p>
        </w:tc>
        <w:tc>
          <w:tcPr>
            <w:tcW w:w="1053" w:type="dxa"/>
            <w:shd w:val="clear" w:color="auto" w:fill="auto"/>
            <w:vAlign w:val="center"/>
          </w:tcPr>
          <w:p w14:paraId="1F578BB3" w14:textId="77777777" w:rsidR="00432FCC" w:rsidRDefault="00432FCC" w:rsidP="00432FCC">
            <w:pPr>
              <w:pStyle w:val="TableText"/>
              <w:rPr>
                <w:b/>
                <w:bCs/>
              </w:rPr>
            </w:pPr>
            <w:r>
              <w:rPr>
                <w:bCs/>
              </w:rPr>
              <w:t>Yes</w:t>
            </w:r>
          </w:p>
        </w:tc>
        <w:tc>
          <w:tcPr>
            <w:tcW w:w="1331" w:type="dxa"/>
            <w:shd w:val="clear" w:color="auto" w:fill="auto"/>
            <w:vAlign w:val="center"/>
          </w:tcPr>
          <w:p w14:paraId="7C971A7B" w14:textId="77777777" w:rsidR="00432FCC" w:rsidRDefault="00432FCC" w:rsidP="00432FCC">
            <w:pPr>
              <w:pStyle w:val="TableText"/>
              <w:rPr>
                <w:rFonts w:eastAsia="Symbol"/>
              </w:rPr>
            </w:pPr>
            <w:r>
              <w:t>No</w:t>
            </w:r>
          </w:p>
        </w:tc>
        <w:tc>
          <w:tcPr>
            <w:tcW w:w="4315" w:type="dxa"/>
            <w:shd w:val="clear" w:color="auto" w:fill="auto"/>
            <w:vAlign w:val="center"/>
          </w:tcPr>
          <w:p w14:paraId="4BDFD353" w14:textId="77777777" w:rsidR="00432FCC" w:rsidRDefault="00432FCC" w:rsidP="00432FCC">
            <w:pPr>
              <w:pStyle w:val="TableText"/>
              <w:rPr>
                <w:rFonts w:eastAsia="Symbol"/>
              </w:rPr>
            </w:pPr>
          </w:p>
        </w:tc>
      </w:tr>
      <w:tr w:rsidR="00432FCC" w14:paraId="5D943A75" w14:textId="77777777">
        <w:tc>
          <w:tcPr>
            <w:tcW w:w="1330" w:type="dxa"/>
            <w:shd w:val="clear" w:color="auto" w:fill="auto"/>
            <w:vAlign w:val="center"/>
          </w:tcPr>
          <w:p w14:paraId="723D97A2" w14:textId="77777777" w:rsidR="00432FCC" w:rsidRDefault="00432FCC" w:rsidP="00432FCC">
            <w:pPr>
              <w:pStyle w:val="TableText"/>
              <w:rPr>
                <w:rFonts w:eastAsia="Symbol"/>
              </w:rPr>
            </w:pPr>
            <w:r>
              <w:t>Anti-Lu(a)</w:t>
            </w:r>
          </w:p>
        </w:tc>
        <w:tc>
          <w:tcPr>
            <w:tcW w:w="1331" w:type="dxa"/>
            <w:shd w:val="clear" w:color="auto" w:fill="auto"/>
            <w:vAlign w:val="center"/>
          </w:tcPr>
          <w:p w14:paraId="3FEF171D" w14:textId="77777777" w:rsidR="00432FCC" w:rsidRDefault="00432FCC" w:rsidP="00432FCC">
            <w:pPr>
              <w:pStyle w:val="TableText"/>
            </w:pPr>
            <w:r>
              <w:t>Anti-Lu(a)</w:t>
            </w:r>
          </w:p>
        </w:tc>
        <w:tc>
          <w:tcPr>
            <w:tcW w:w="1053" w:type="dxa"/>
            <w:shd w:val="clear" w:color="auto" w:fill="auto"/>
            <w:vAlign w:val="center"/>
          </w:tcPr>
          <w:p w14:paraId="525697B7" w14:textId="77777777" w:rsidR="00432FCC" w:rsidRDefault="00432FCC" w:rsidP="00432FCC">
            <w:pPr>
              <w:pStyle w:val="TableText"/>
            </w:pPr>
            <w:r>
              <w:t>No</w:t>
            </w:r>
          </w:p>
        </w:tc>
        <w:tc>
          <w:tcPr>
            <w:tcW w:w="1331" w:type="dxa"/>
            <w:shd w:val="clear" w:color="auto" w:fill="auto"/>
            <w:vAlign w:val="center"/>
          </w:tcPr>
          <w:p w14:paraId="5F071BB3" w14:textId="77777777" w:rsidR="00432FCC" w:rsidRDefault="00432FCC" w:rsidP="00432FCC">
            <w:pPr>
              <w:pStyle w:val="TableText"/>
              <w:rPr>
                <w:rFonts w:eastAsia="Symbol"/>
              </w:rPr>
            </w:pPr>
            <w:r>
              <w:t>No</w:t>
            </w:r>
          </w:p>
        </w:tc>
        <w:tc>
          <w:tcPr>
            <w:tcW w:w="4315" w:type="dxa"/>
            <w:shd w:val="clear" w:color="auto" w:fill="auto"/>
            <w:vAlign w:val="center"/>
          </w:tcPr>
          <w:p w14:paraId="2EBE8229" w14:textId="77777777" w:rsidR="00432FCC" w:rsidRDefault="00432FCC" w:rsidP="00432FCC">
            <w:pPr>
              <w:pStyle w:val="TableText"/>
              <w:rPr>
                <w:rFonts w:eastAsia="Symbol"/>
              </w:rPr>
            </w:pPr>
          </w:p>
        </w:tc>
      </w:tr>
      <w:tr w:rsidR="00432FCC" w14:paraId="15EE9629" w14:textId="77777777">
        <w:tc>
          <w:tcPr>
            <w:tcW w:w="1330" w:type="dxa"/>
            <w:shd w:val="clear" w:color="auto" w:fill="auto"/>
            <w:vAlign w:val="center"/>
          </w:tcPr>
          <w:p w14:paraId="1A9372FF" w14:textId="77777777" w:rsidR="00432FCC" w:rsidRDefault="00432FCC" w:rsidP="00432FCC">
            <w:pPr>
              <w:pStyle w:val="TableText"/>
              <w:rPr>
                <w:rFonts w:eastAsia="Symbol"/>
              </w:rPr>
            </w:pPr>
            <w:r>
              <w:t>Anti-Lu(b)</w:t>
            </w:r>
          </w:p>
        </w:tc>
        <w:tc>
          <w:tcPr>
            <w:tcW w:w="1331" w:type="dxa"/>
            <w:shd w:val="clear" w:color="auto" w:fill="auto"/>
            <w:vAlign w:val="center"/>
          </w:tcPr>
          <w:p w14:paraId="25AF67F8" w14:textId="77777777" w:rsidR="00432FCC" w:rsidRDefault="00432FCC" w:rsidP="00432FCC">
            <w:pPr>
              <w:pStyle w:val="TableText"/>
            </w:pPr>
            <w:r>
              <w:t>Anti-Lu(b)</w:t>
            </w:r>
          </w:p>
        </w:tc>
        <w:tc>
          <w:tcPr>
            <w:tcW w:w="1053" w:type="dxa"/>
            <w:shd w:val="clear" w:color="auto" w:fill="auto"/>
            <w:vAlign w:val="center"/>
          </w:tcPr>
          <w:p w14:paraId="55346BEF" w14:textId="77777777" w:rsidR="00432FCC" w:rsidRDefault="00432FCC" w:rsidP="00432FCC">
            <w:pPr>
              <w:pStyle w:val="TableText"/>
            </w:pPr>
            <w:r>
              <w:t>No</w:t>
            </w:r>
          </w:p>
        </w:tc>
        <w:tc>
          <w:tcPr>
            <w:tcW w:w="1331" w:type="dxa"/>
            <w:shd w:val="clear" w:color="auto" w:fill="auto"/>
            <w:vAlign w:val="center"/>
          </w:tcPr>
          <w:p w14:paraId="571D9DAB" w14:textId="77777777" w:rsidR="00432FCC" w:rsidRDefault="00432FCC" w:rsidP="00432FCC">
            <w:pPr>
              <w:pStyle w:val="TableText"/>
              <w:rPr>
                <w:rFonts w:eastAsia="Symbol"/>
              </w:rPr>
            </w:pPr>
            <w:r>
              <w:t>No</w:t>
            </w:r>
          </w:p>
        </w:tc>
        <w:tc>
          <w:tcPr>
            <w:tcW w:w="4315" w:type="dxa"/>
            <w:shd w:val="clear" w:color="auto" w:fill="auto"/>
            <w:vAlign w:val="center"/>
          </w:tcPr>
          <w:p w14:paraId="26368DE7" w14:textId="77777777" w:rsidR="00432FCC" w:rsidRDefault="00432FCC" w:rsidP="00432FCC">
            <w:pPr>
              <w:pStyle w:val="TableText"/>
              <w:rPr>
                <w:rFonts w:eastAsia="Symbol"/>
              </w:rPr>
            </w:pPr>
          </w:p>
        </w:tc>
      </w:tr>
      <w:tr w:rsidR="00432FCC" w14:paraId="0561D482" w14:textId="77777777">
        <w:tc>
          <w:tcPr>
            <w:tcW w:w="1330" w:type="dxa"/>
            <w:shd w:val="clear" w:color="auto" w:fill="auto"/>
            <w:vAlign w:val="center"/>
          </w:tcPr>
          <w:p w14:paraId="7D03620E" w14:textId="77777777" w:rsidR="00432FCC" w:rsidRDefault="00432FCC" w:rsidP="00432FCC">
            <w:pPr>
              <w:pStyle w:val="TableText"/>
              <w:rPr>
                <w:rFonts w:eastAsia="Symbol"/>
              </w:rPr>
            </w:pPr>
            <w:r>
              <w:t>Anti-Lu3</w:t>
            </w:r>
          </w:p>
        </w:tc>
        <w:tc>
          <w:tcPr>
            <w:tcW w:w="1331" w:type="dxa"/>
            <w:shd w:val="clear" w:color="auto" w:fill="auto"/>
            <w:vAlign w:val="center"/>
          </w:tcPr>
          <w:p w14:paraId="05D5B803" w14:textId="77777777" w:rsidR="00432FCC" w:rsidRPr="006E05B3" w:rsidRDefault="00432FCC" w:rsidP="00432FCC">
            <w:pPr>
              <w:pStyle w:val="TableText"/>
              <w:rPr>
                <w:b/>
                <w:lang w:val="fr-FR"/>
              </w:rPr>
            </w:pPr>
            <w:r w:rsidRPr="006E05B3">
              <w:rPr>
                <w:lang w:val="fr-FR"/>
              </w:rPr>
              <w:t>Anti-Lu(a)Lu(b)</w:t>
            </w:r>
          </w:p>
        </w:tc>
        <w:tc>
          <w:tcPr>
            <w:tcW w:w="1053" w:type="dxa"/>
            <w:shd w:val="clear" w:color="auto" w:fill="auto"/>
            <w:vAlign w:val="center"/>
          </w:tcPr>
          <w:p w14:paraId="7301078E" w14:textId="77777777" w:rsidR="00432FCC" w:rsidRDefault="00432FCC" w:rsidP="00432FCC">
            <w:pPr>
              <w:pStyle w:val="TableText"/>
              <w:rPr>
                <w:b/>
              </w:rPr>
            </w:pPr>
            <w:r>
              <w:t>No</w:t>
            </w:r>
          </w:p>
        </w:tc>
        <w:tc>
          <w:tcPr>
            <w:tcW w:w="1331" w:type="dxa"/>
            <w:shd w:val="clear" w:color="auto" w:fill="auto"/>
            <w:vAlign w:val="center"/>
          </w:tcPr>
          <w:p w14:paraId="098BC2D5" w14:textId="77777777" w:rsidR="00432FCC" w:rsidRDefault="00432FCC" w:rsidP="00432FCC">
            <w:pPr>
              <w:pStyle w:val="TableText"/>
              <w:rPr>
                <w:rFonts w:eastAsia="Symbol"/>
              </w:rPr>
            </w:pPr>
            <w:r>
              <w:t>No</w:t>
            </w:r>
          </w:p>
        </w:tc>
        <w:tc>
          <w:tcPr>
            <w:tcW w:w="4315" w:type="dxa"/>
            <w:shd w:val="clear" w:color="auto" w:fill="auto"/>
            <w:vAlign w:val="center"/>
          </w:tcPr>
          <w:p w14:paraId="51BE1CC0" w14:textId="77777777" w:rsidR="00432FCC" w:rsidRDefault="00432FCC" w:rsidP="00432FCC">
            <w:pPr>
              <w:pStyle w:val="TableText"/>
              <w:rPr>
                <w:rFonts w:eastAsia="Symbol"/>
              </w:rPr>
            </w:pPr>
          </w:p>
        </w:tc>
      </w:tr>
      <w:tr w:rsidR="00432FCC" w14:paraId="77E2EC5E" w14:textId="77777777">
        <w:tc>
          <w:tcPr>
            <w:tcW w:w="1330" w:type="dxa"/>
            <w:shd w:val="clear" w:color="auto" w:fill="auto"/>
            <w:vAlign w:val="center"/>
          </w:tcPr>
          <w:p w14:paraId="15224224" w14:textId="77777777" w:rsidR="00432FCC" w:rsidRDefault="00432FCC" w:rsidP="00432FCC">
            <w:pPr>
              <w:pStyle w:val="TableText"/>
              <w:rPr>
                <w:rFonts w:eastAsia="Symbol"/>
              </w:rPr>
            </w:pPr>
            <w:r>
              <w:t>Anti-C(w)</w:t>
            </w:r>
          </w:p>
        </w:tc>
        <w:tc>
          <w:tcPr>
            <w:tcW w:w="1331" w:type="dxa"/>
            <w:shd w:val="clear" w:color="auto" w:fill="auto"/>
            <w:vAlign w:val="center"/>
          </w:tcPr>
          <w:p w14:paraId="5E501A6B" w14:textId="77777777" w:rsidR="00432FCC" w:rsidRDefault="00432FCC" w:rsidP="00432FCC">
            <w:pPr>
              <w:pStyle w:val="TableText"/>
            </w:pPr>
            <w:r>
              <w:t>Anti-Cw</w:t>
            </w:r>
          </w:p>
        </w:tc>
        <w:tc>
          <w:tcPr>
            <w:tcW w:w="1053" w:type="dxa"/>
            <w:shd w:val="clear" w:color="auto" w:fill="auto"/>
            <w:vAlign w:val="center"/>
          </w:tcPr>
          <w:p w14:paraId="421275AE" w14:textId="77777777" w:rsidR="00432FCC" w:rsidRDefault="00432FCC" w:rsidP="00432FCC">
            <w:pPr>
              <w:pStyle w:val="TableText"/>
            </w:pPr>
            <w:r>
              <w:rPr>
                <w:bCs/>
              </w:rPr>
              <w:t>Yes</w:t>
            </w:r>
          </w:p>
        </w:tc>
        <w:tc>
          <w:tcPr>
            <w:tcW w:w="1331" w:type="dxa"/>
            <w:shd w:val="clear" w:color="auto" w:fill="auto"/>
            <w:vAlign w:val="center"/>
          </w:tcPr>
          <w:p w14:paraId="593962E2" w14:textId="77777777" w:rsidR="00432FCC" w:rsidRDefault="00432FCC" w:rsidP="00432FCC">
            <w:pPr>
              <w:pStyle w:val="TableText"/>
              <w:rPr>
                <w:rFonts w:eastAsia="Symbol"/>
              </w:rPr>
            </w:pPr>
            <w:r>
              <w:t>No</w:t>
            </w:r>
          </w:p>
        </w:tc>
        <w:tc>
          <w:tcPr>
            <w:tcW w:w="4315" w:type="dxa"/>
            <w:shd w:val="clear" w:color="auto" w:fill="auto"/>
            <w:vAlign w:val="center"/>
          </w:tcPr>
          <w:p w14:paraId="09936DAB" w14:textId="77777777" w:rsidR="00432FCC" w:rsidRDefault="00432FCC" w:rsidP="00432FCC">
            <w:pPr>
              <w:pStyle w:val="TableText"/>
              <w:rPr>
                <w:rFonts w:eastAsia="Symbol"/>
              </w:rPr>
            </w:pPr>
          </w:p>
        </w:tc>
      </w:tr>
      <w:tr w:rsidR="00432FCC" w14:paraId="2E180A18" w14:textId="77777777">
        <w:tc>
          <w:tcPr>
            <w:tcW w:w="1330" w:type="dxa"/>
            <w:shd w:val="clear" w:color="auto" w:fill="auto"/>
            <w:vAlign w:val="center"/>
          </w:tcPr>
          <w:p w14:paraId="5792DBA4" w14:textId="77777777" w:rsidR="00432FCC" w:rsidRDefault="00432FCC" w:rsidP="00432FCC">
            <w:pPr>
              <w:pStyle w:val="TableText"/>
              <w:rPr>
                <w:rFonts w:eastAsia="Symbol"/>
              </w:rPr>
            </w:pPr>
            <w:r>
              <w:t>Anti-C(x)</w:t>
            </w:r>
          </w:p>
        </w:tc>
        <w:tc>
          <w:tcPr>
            <w:tcW w:w="1331" w:type="dxa"/>
            <w:shd w:val="clear" w:color="auto" w:fill="auto"/>
            <w:vAlign w:val="center"/>
          </w:tcPr>
          <w:p w14:paraId="38010868" w14:textId="77777777" w:rsidR="00432FCC" w:rsidRDefault="00432FCC" w:rsidP="00432FCC">
            <w:pPr>
              <w:pStyle w:val="TableText"/>
              <w:rPr>
                <w:rFonts w:eastAsia="Symbol"/>
              </w:rPr>
            </w:pPr>
            <w:r>
              <w:t>Anti-Cx</w:t>
            </w:r>
          </w:p>
        </w:tc>
        <w:tc>
          <w:tcPr>
            <w:tcW w:w="1053" w:type="dxa"/>
            <w:shd w:val="clear" w:color="auto" w:fill="auto"/>
            <w:vAlign w:val="center"/>
          </w:tcPr>
          <w:p w14:paraId="1AAC51DA" w14:textId="77777777" w:rsidR="00432FCC" w:rsidRDefault="00432FCC" w:rsidP="00432FCC">
            <w:pPr>
              <w:pStyle w:val="TableText"/>
            </w:pPr>
            <w:r>
              <w:rPr>
                <w:bCs/>
              </w:rPr>
              <w:t>Yes</w:t>
            </w:r>
          </w:p>
        </w:tc>
        <w:tc>
          <w:tcPr>
            <w:tcW w:w="1331" w:type="dxa"/>
            <w:shd w:val="clear" w:color="auto" w:fill="auto"/>
            <w:vAlign w:val="center"/>
          </w:tcPr>
          <w:p w14:paraId="5FCCEA64" w14:textId="77777777" w:rsidR="00432FCC" w:rsidRDefault="00432FCC" w:rsidP="00432FCC">
            <w:pPr>
              <w:pStyle w:val="TableText"/>
              <w:rPr>
                <w:rFonts w:eastAsia="Symbol"/>
              </w:rPr>
            </w:pPr>
            <w:r>
              <w:t>No</w:t>
            </w:r>
          </w:p>
        </w:tc>
        <w:tc>
          <w:tcPr>
            <w:tcW w:w="4315" w:type="dxa"/>
            <w:shd w:val="clear" w:color="auto" w:fill="auto"/>
            <w:vAlign w:val="center"/>
          </w:tcPr>
          <w:p w14:paraId="5348E222" w14:textId="77777777" w:rsidR="00432FCC" w:rsidRDefault="00432FCC" w:rsidP="00432FCC">
            <w:pPr>
              <w:pStyle w:val="TableText"/>
              <w:rPr>
                <w:rFonts w:eastAsia="Symbol"/>
              </w:rPr>
            </w:pPr>
          </w:p>
        </w:tc>
      </w:tr>
      <w:tr w:rsidR="00432FCC" w14:paraId="24906BEA" w14:textId="77777777">
        <w:tc>
          <w:tcPr>
            <w:tcW w:w="1330" w:type="dxa"/>
            <w:shd w:val="clear" w:color="auto" w:fill="auto"/>
            <w:vAlign w:val="center"/>
          </w:tcPr>
          <w:p w14:paraId="6B480917" w14:textId="77777777" w:rsidR="00432FCC" w:rsidRDefault="00432FCC" w:rsidP="00432FCC">
            <w:pPr>
              <w:pStyle w:val="TableText"/>
              <w:rPr>
                <w:rFonts w:eastAsia="Symbol"/>
              </w:rPr>
            </w:pPr>
            <w:r>
              <w:t>Anti-E(w)</w:t>
            </w:r>
          </w:p>
        </w:tc>
        <w:tc>
          <w:tcPr>
            <w:tcW w:w="1331" w:type="dxa"/>
            <w:shd w:val="clear" w:color="auto" w:fill="auto"/>
            <w:vAlign w:val="center"/>
          </w:tcPr>
          <w:p w14:paraId="4591B768" w14:textId="77777777" w:rsidR="00432FCC" w:rsidRDefault="00432FCC" w:rsidP="00432FCC">
            <w:pPr>
              <w:pStyle w:val="TableText"/>
              <w:rPr>
                <w:rFonts w:eastAsia="Symbol"/>
              </w:rPr>
            </w:pPr>
            <w:r>
              <w:t>Anti-E(w)</w:t>
            </w:r>
          </w:p>
        </w:tc>
        <w:tc>
          <w:tcPr>
            <w:tcW w:w="1053" w:type="dxa"/>
            <w:shd w:val="clear" w:color="auto" w:fill="auto"/>
            <w:vAlign w:val="center"/>
          </w:tcPr>
          <w:p w14:paraId="0235FAF5" w14:textId="77777777" w:rsidR="00432FCC" w:rsidRDefault="00432FCC" w:rsidP="00432FCC">
            <w:pPr>
              <w:pStyle w:val="TableText"/>
            </w:pPr>
            <w:r>
              <w:rPr>
                <w:bCs/>
              </w:rPr>
              <w:t>Yes</w:t>
            </w:r>
          </w:p>
        </w:tc>
        <w:tc>
          <w:tcPr>
            <w:tcW w:w="1331" w:type="dxa"/>
            <w:shd w:val="clear" w:color="auto" w:fill="auto"/>
            <w:vAlign w:val="center"/>
          </w:tcPr>
          <w:p w14:paraId="6BE94B3D" w14:textId="77777777" w:rsidR="00432FCC" w:rsidRDefault="00432FCC" w:rsidP="00432FCC">
            <w:pPr>
              <w:pStyle w:val="TableText"/>
              <w:rPr>
                <w:rFonts w:eastAsia="Symbol"/>
              </w:rPr>
            </w:pPr>
            <w:r>
              <w:t>No</w:t>
            </w:r>
          </w:p>
        </w:tc>
        <w:tc>
          <w:tcPr>
            <w:tcW w:w="4315" w:type="dxa"/>
            <w:shd w:val="clear" w:color="auto" w:fill="auto"/>
            <w:vAlign w:val="center"/>
          </w:tcPr>
          <w:p w14:paraId="6FF852E1" w14:textId="77777777" w:rsidR="00432FCC" w:rsidRDefault="00432FCC" w:rsidP="00432FCC">
            <w:pPr>
              <w:pStyle w:val="TableText"/>
              <w:rPr>
                <w:rFonts w:eastAsia="Symbol"/>
              </w:rPr>
            </w:pPr>
          </w:p>
        </w:tc>
      </w:tr>
      <w:tr w:rsidR="00432FCC" w14:paraId="244FDE05" w14:textId="77777777">
        <w:tc>
          <w:tcPr>
            <w:tcW w:w="1330" w:type="dxa"/>
            <w:shd w:val="clear" w:color="auto" w:fill="auto"/>
            <w:vAlign w:val="center"/>
          </w:tcPr>
          <w:p w14:paraId="5388B252" w14:textId="77777777" w:rsidR="00432FCC" w:rsidRDefault="00432FCC" w:rsidP="00432FCC">
            <w:pPr>
              <w:pStyle w:val="TableText"/>
              <w:rPr>
                <w:rFonts w:eastAsia="Symbol"/>
              </w:rPr>
            </w:pPr>
            <w:r>
              <w:t>Anti-V</w:t>
            </w:r>
          </w:p>
        </w:tc>
        <w:tc>
          <w:tcPr>
            <w:tcW w:w="1331" w:type="dxa"/>
            <w:shd w:val="clear" w:color="auto" w:fill="auto"/>
            <w:vAlign w:val="center"/>
          </w:tcPr>
          <w:p w14:paraId="3E2DC41D" w14:textId="77777777" w:rsidR="00432FCC" w:rsidRDefault="00432FCC" w:rsidP="00432FCC">
            <w:pPr>
              <w:pStyle w:val="TableText"/>
            </w:pPr>
            <w:r>
              <w:t>Anti-V</w:t>
            </w:r>
          </w:p>
        </w:tc>
        <w:tc>
          <w:tcPr>
            <w:tcW w:w="1053" w:type="dxa"/>
            <w:shd w:val="clear" w:color="auto" w:fill="auto"/>
            <w:vAlign w:val="center"/>
          </w:tcPr>
          <w:p w14:paraId="7CC95B95" w14:textId="77777777" w:rsidR="00432FCC" w:rsidRDefault="00432FCC" w:rsidP="00432FCC">
            <w:pPr>
              <w:pStyle w:val="TableText"/>
            </w:pPr>
            <w:r>
              <w:rPr>
                <w:bCs/>
              </w:rPr>
              <w:t>Yes</w:t>
            </w:r>
          </w:p>
        </w:tc>
        <w:tc>
          <w:tcPr>
            <w:tcW w:w="1331" w:type="dxa"/>
            <w:shd w:val="clear" w:color="auto" w:fill="auto"/>
            <w:vAlign w:val="center"/>
          </w:tcPr>
          <w:p w14:paraId="53CB552B" w14:textId="77777777" w:rsidR="00432FCC" w:rsidRDefault="00432FCC" w:rsidP="00432FCC">
            <w:pPr>
              <w:pStyle w:val="TableText"/>
              <w:rPr>
                <w:rFonts w:eastAsia="Symbol"/>
              </w:rPr>
            </w:pPr>
            <w:r>
              <w:t>No</w:t>
            </w:r>
          </w:p>
        </w:tc>
        <w:tc>
          <w:tcPr>
            <w:tcW w:w="4315" w:type="dxa"/>
            <w:shd w:val="clear" w:color="auto" w:fill="auto"/>
            <w:vAlign w:val="center"/>
          </w:tcPr>
          <w:p w14:paraId="3A8F3E25" w14:textId="77777777" w:rsidR="00432FCC" w:rsidRDefault="00432FCC" w:rsidP="00432FCC">
            <w:pPr>
              <w:pStyle w:val="TableText"/>
              <w:rPr>
                <w:rFonts w:eastAsia="Symbol"/>
              </w:rPr>
            </w:pPr>
          </w:p>
        </w:tc>
      </w:tr>
      <w:tr w:rsidR="00432FCC" w14:paraId="29DAB553" w14:textId="77777777">
        <w:tc>
          <w:tcPr>
            <w:tcW w:w="1330" w:type="dxa"/>
            <w:shd w:val="clear" w:color="auto" w:fill="auto"/>
            <w:vAlign w:val="center"/>
          </w:tcPr>
          <w:p w14:paraId="270531B8" w14:textId="77777777" w:rsidR="00432FCC" w:rsidRDefault="00432FCC" w:rsidP="00432FCC">
            <w:pPr>
              <w:pStyle w:val="TableText"/>
              <w:rPr>
                <w:rFonts w:eastAsia="Symbol"/>
              </w:rPr>
            </w:pPr>
            <w:r>
              <w:t>Anti-Xg(a)</w:t>
            </w:r>
          </w:p>
        </w:tc>
        <w:tc>
          <w:tcPr>
            <w:tcW w:w="1331" w:type="dxa"/>
            <w:shd w:val="clear" w:color="auto" w:fill="auto"/>
            <w:vAlign w:val="center"/>
          </w:tcPr>
          <w:p w14:paraId="0D5139C3" w14:textId="77777777" w:rsidR="00432FCC" w:rsidRDefault="00432FCC" w:rsidP="00432FCC">
            <w:pPr>
              <w:pStyle w:val="TableText"/>
            </w:pPr>
            <w:r>
              <w:t>Anti-Xg(a)</w:t>
            </w:r>
          </w:p>
        </w:tc>
        <w:tc>
          <w:tcPr>
            <w:tcW w:w="1053" w:type="dxa"/>
            <w:shd w:val="clear" w:color="auto" w:fill="auto"/>
            <w:vAlign w:val="center"/>
          </w:tcPr>
          <w:p w14:paraId="0021A01F" w14:textId="77777777" w:rsidR="00432FCC" w:rsidRDefault="00432FCC" w:rsidP="00432FCC">
            <w:pPr>
              <w:pStyle w:val="TableText"/>
            </w:pPr>
            <w:r>
              <w:t>No</w:t>
            </w:r>
          </w:p>
        </w:tc>
        <w:tc>
          <w:tcPr>
            <w:tcW w:w="1331" w:type="dxa"/>
            <w:shd w:val="clear" w:color="auto" w:fill="auto"/>
            <w:vAlign w:val="center"/>
          </w:tcPr>
          <w:p w14:paraId="2508742B" w14:textId="77777777" w:rsidR="00432FCC" w:rsidRDefault="00432FCC" w:rsidP="00432FCC">
            <w:pPr>
              <w:pStyle w:val="TableText"/>
              <w:rPr>
                <w:rFonts w:eastAsia="Symbol"/>
              </w:rPr>
            </w:pPr>
            <w:r>
              <w:t>No</w:t>
            </w:r>
          </w:p>
        </w:tc>
        <w:tc>
          <w:tcPr>
            <w:tcW w:w="4315" w:type="dxa"/>
            <w:shd w:val="clear" w:color="auto" w:fill="auto"/>
            <w:vAlign w:val="center"/>
          </w:tcPr>
          <w:p w14:paraId="505D6439" w14:textId="77777777" w:rsidR="00432FCC" w:rsidRDefault="00432FCC" w:rsidP="00432FCC">
            <w:pPr>
              <w:pStyle w:val="TableText"/>
              <w:rPr>
                <w:rFonts w:eastAsia="Symbol"/>
              </w:rPr>
            </w:pPr>
          </w:p>
        </w:tc>
      </w:tr>
      <w:tr w:rsidR="00432FCC" w14:paraId="3C608747" w14:textId="77777777">
        <w:tc>
          <w:tcPr>
            <w:tcW w:w="1330" w:type="dxa"/>
            <w:shd w:val="clear" w:color="auto" w:fill="auto"/>
            <w:vAlign w:val="center"/>
          </w:tcPr>
          <w:p w14:paraId="466B0A18" w14:textId="77777777" w:rsidR="00432FCC" w:rsidRDefault="00432FCC" w:rsidP="00432FCC">
            <w:pPr>
              <w:pStyle w:val="TableText"/>
              <w:rPr>
                <w:rFonts w:eastAsia="Symbol"/>
              </w:rPr>
            </w:pPr>
            <w:r>
              <w:t>Anti-M(g)</w:t>
            </w:r>
          </w:p>
        </w:tc>
        <w:tc>
          <w:tcPr>
            <w:tcW w:w="1331" w:type="dxa"/>
            <w:shd w:val="clear" w:color="auto" w:fill="auto"/>
            <w:vAlign w:val="center"/>
          </w:tcPr>
          <w:p w14:paraId="136F0580" w14:textId="77777777" w:rsidR="00432FCC" w:rsidRDefault="00432FCC" w:rsidP="00432FCC">
            <w:pPr>
              <w:pStyle w:val="TableText"/>
            </w:pPr>
            <w:r>
              <w:t>Anti-M(g)</w:t>
            </w:r>
          </w:p>
        </w:tc>
        <w:tc>
          <w:tcPr>
            <w:tcW w:w="1053" w:type="dxa"/>
            <w:shd w:val="clear" w:color="auto" w:fill="auto"/>
            <w:vAlign w:val="center"/>
          </w:tcPr>
          <w:p w14:paraId="2532BD9E" w14:textId="77777777" w:rsidR="00432FCC" w:rsidRDefault="00432FCC" w:rsidP="00432FCC">
            <w:pPr>
              <w:pStyle w:val="TableText"/>
            </w:pPr>
            <w:r>
              <w:t>No</w:t>
            </w:r>
          </w:p>
        </w:tc>
        <w:tc>
          <w:tcPr>
            <w:tcW w:w="1331" w:type="dxa"/>
            <w:shd w:val="clear" w:color="auto" w:fill="auto"/>
            <w:vAlign w:val="center"/>
          </w:tcPr>
          <w:p w14:paraId="26A12021" w14:textId="77777777" w:rsidR="00432FCC" w:rsidRDefault="00432FCC" w:rsidP="00432FCC">
            <w:pPr>
              <w:pStyle w:val="TableText"/>
              <w:rPr>
                <w:rFonts w:eastAsia="Symbol"/>
              </w:rPr>
            </w:pPr>
            <w:r>
              <w:t>No</w:t>
            </w:r>
          </w:p>
        </w:tc>
        <w:tc>
          <w:tcPr>
            <w:tcW w:w="4315" w:type="dxa"/>
            <w:shd w:val="clear" w:color="auto" w:fill="auto"/>
            <w:vAlign w:val="center"/>
          </w:tcPr>
          <w:p w14:paraId="0E5A61A4" w14:textId="77777777" w:rsidR="00432FCC" w:rsidRDefault="00432FCC" w:rsidP="00432FCC">
            <w:pPr>
              <w:pStyle w:val="TableText"/>
              <w:rPr>
                <w:rFonts w:eastAsia="Symbol"/>
              </w:rPr>
            </w:pPr>
          </w:p>
        </w:tc>
      </w:tr>
      <w:tr w:rsidR="00432FCC" w14:paraId="6C5353FE" w14:textId="77777777">
        <w:tc>
          <w:tcPr>
            <w:tcW w:w="1330" w:type="dxa"/>
            <w:shd w:val="clear" w:color="auto" w:fill="auto"/>
            <w:vAlign w:val="center"/>
          </w:tcPr>
          <w:p w14:paraId="5E327932" w14:textId="77777777" w:rsidR="00432FCC" w:rsidRDefault="00432FCC" w:rsidP="00432FCC">
            <w:pPr>
              <w:pStyle w:val="TableText"/>
              <w:rPr>
                <w:rFonts w:eastAsia="Symbol"/>
              </w:rPr>
            </w:pPr>
            <w:r>
              <w:t>Anti-Mi(a)</w:t>
            </w:r>
          </w:p>
        </w:tc>
        <w:tc>
          <w:tcPr>
            <w:tcW w:w="1331" w:type="dxa"/>
            <w:shd w:val="clear" w:color="auto" w:fill="auto"/>
            <w:vAlign w:val="center"/>
          </w:tcPr>
          <w:p w14:paraId="51605B2A" w14:textId="77777777" w:rsidR="00432FCC" w:rsidRDefault="00432FCC" w:rsidP="00432FCC">
            <w:pPr>
              <w:pStyle w:val="TableText"/>
            </w:pPr>
            <w:r>
              <w:t>Anti-Mi(a)</w:t>
            </w:r>
          </w:p>
        </w:tc>
        <w:tc>
          <w:tcPr>
            <w:tcW w:w="1053" w:type="dxa"/>
            <w:shd w:val="clear" w:color="auto" w:fill="auto"/>
            <w:vAlign w:val="center"/>
          </w:tcPr>
          <w:p w14:paraId="78963897" w14:textId="77777777" w:rsidR="00432FCC" w:rsidRDefault="00432FCC" w:rsidP="00432FCC">
            <w:pPr>
              <w:pStyle w:val="TableText"/>
            </w:pPr>
            <w:r>
              <w:t>No</w:t>
            </w:r>
          </w:p>
        </w:tc>
        <w:tc>
          <w:tcPr>
            <w:tcW w:w="1331" w:type="dxa"/>
            <w:shd w:val="clear" w:color="auto" w:fill="auto"/>
            <w:vAlign w:val="center"/>
          </w:tcPr>
          <w:p w14:paraId="3605ECFF" w14:textId="77777777" w:rsidR="00432FCC" w:rsidRDefault="00432FCC" w:rsidP="00432FCC">
            <w:pPr>
              <w:pStyle w:val="TableText"/>
              <w:rPr>
                <w:rFonts w:eastAsia="Symbol"/>
              </w:rPr>
            </w:pPr>
            <w:r>
              <w:t>No</w:t>
            </w:r>
          </w:p>
        </w:tc>
        <w:tc>
          <w:tcPr>
            <w:tcW w:w="4315" w:type="dxa"/>
            <w:shd w:val="clear" w:color="auto" w:fill="auto"/>
            <w:vAlign w:val="center"/>
          </w:tcPr>
          <w:p w14:paraId="1C61BB18" w14:textId="77777777" w:rsidR="00432FCC" w:rsidRDefault="00432FCC" w:rsidP="00432FCC">
            <w:pPr>
              <w:pStyle w:val="TableText"/>
              <w:rPr>
                <w:rFonts w:eastAsia="Symbol"/>
              </w:rPr>
            </w:pPr>
          </w:p>
        </w:tc>
      </w:tr>
      <w:tr w:rsidR="00432FCC" w14:paraId="237BBAA0" w14:textId="77777777">
        <w:tc>
          <w:tcPr>
            <w:tcW w:w="1330" w:type="dxa"/>
            <w:shd w:val="clear" w:color="auto" w:fill="auto"/>
            <w:vAlign w:val="center"/>
          </w:tcPr>
          <w:p w14:paraId="53CA3407" w14:textId="77777777" w:rsidR="00432FCC" w:rsidRDefault="00432FCC" w:rsidP="00432FCC">
            <w:pPr>
              <w:pStyle w:val="TableText"/>
              <w:rPr>
                <w:rFonts w:eastAsia="Symbol"/>
              </w:rPr>
            </w:pPr>
            <w:r>
              <w:t>Anti-P</w:t>
            </w:r>
          </w:p>
        </w:tc>
        <w:tc>
          <w:tcPr>
            <w:tcW w:w="1331" w:type="dxa"/>
            <w:shd w:val="clear" w:color="auto" w:fill="auto"/>
            <w:vAlign w:val="center"/>
          </w:tcPr>
          <w:p w14:paraId="0F3ADB05" w14:textId="77777777" w:rsidR="00432FCC" w:rsidRDefault="00432FCC" w:rsidP="00432FCC">
            <w:pPr>
              <w:pStyle w:val="TableText"/>
            </w:pPr>
            <w:r>
              <w:t>Anti-P</w:t>
            </w:r>
          </w:p>
        </w:tc>
        <w:tc>
          <w:tcPr>
            <w:tcW w:w="1053" w:type="dxa"/>
            <w:shd w:val="clear" w:color="auto" w:fill="auto"/>
            <w:vAlign w:val="center"/>
          </w:tcPr>
          <w:p w14:paraId="5FF10690" w14:textId="77777777" w:rsidR="00432FCC" w:rsidRDefault="00432FCC" w:rsidP="00432FCC">
            <w:pPr>
              <w:pStyle w:val="TableText"/>
            </w:pPr>
            <w:r>
              <w:t>No</w:t>
            </w:r>
          </w:p>
        </w:tc>
        <w:tc>
          <w:tcPr>
            <w:tcW w:w="1331" w:type="dxa"/>
            <w:shd w:val="clear" w:color="auto" w:fill="auto"/>
            <w:vAlign w:val="center"/>
          </w:tcPr>
          <w:p w14:paraId="3C95A18C" w14:textId="77777777" w:rsidR="00432FCC" w:rsidRDefault="00432FCC" w:rsidP="00432FCC">
            <w:pPr>
              <w:pStyle w:val="TableText"/>
              <w:rPr>
                <w:rFonts w:eastAsia="Symbol"/>
              </w:rPr>
            </w:pPr>
            <w:r>
              <w:t>No</w:t>
            </w:r>
          </w:p>
        </w:tc>
        <w:tc>
          <w:tcPr>
            <w:tcW w:w="4315" w:type="dxa"/>
            <w:shd w:val="clear" w:color="auto" w:fill="auto"/>
            <w:vAlign w:val="center"/>
          </w:tcPr>
          <w:p w14:paraId="53634C87" w14:textId="77777777" w:rsidR="00432FCC" w:rsidRDefault="00432FCC" w:rsidP="00432FCC">
            <w:pPr>
              <w:pStyle w:val="TableText"/>
              <w:rPr>
                <w:rFonts w:eastAsia="Symbol"/>
              </w:rPr>
            </w:pPr>
          </w:p>
        </w:tc>
      </w:tr>
      <w:tr w:rsidR="00432FCC" w14:paraId="20928266" w14:textId="77777777">
        <w:tc>
          <w:tcPr>
            <w:tcW w:w="1330" w:type="dxa"/>
            <w:shd w:val="clear" w:color="auto" w:fill="auto"/>
            <w:vAlign w:val="center"/>
          </w:tcPr>
          <w:p w14:paraId="5CB34EF6" w14:textId="77777777" w:rsidR="00432FCC" w:rsidRDefault="00432FCC" w:rsidP="00432FCC">
            <w:pPr>
              <w:pStyle w:val="TableText"/>
              <w:rPr>
                <w:rFonts w:eastAsia="Symbol"/>
              </w:rPr>
            </w:pPr>
            <w:r>
              <w:t>Anti-A1</w:t>
            </w:r>
          </w:p>
        </w:tc>
        <w:tc>
          <w:tcPr>
            <w:tcW w:w="1331" w:type="dxa"/>
            <w:shd w:val="clear" w:color="auto" w:fill="auto"/>
            <w:vAlign w:val="center"/>
          </w:tcPr>
          <w:p w14:paraId="65E90E1A" w14:textId="77777777" w:rsidR="00432FCC" w:rsidRDefault="00432FCC" w:rsidP="00432FCC">
            <w:pPr>
              <w:pStyle w:val="TableText"/>
            </w:pPr>
            <w:r>
              <w:t>Anti-A-1</w:t>
            </w:r>
          </w:p>
        </w:tc>
        <w:tc>
          <w:tcPr>
            <w:tcW w:w="1053" w:type="dxa"/>
            <w:shd w:val="clear" w:color="auto" w:fill="auto"/>
            <w:vAlign w:val="center"/>
          </w:tcPr>
          <w:p w14:paraId="38CEFA60" w14:textId="77777777" w:rsidR="00432FCC" w:rsidRDefault="00432FCC" w:rsidP="00432FCC">
            <w:pPr>
              <w:pStyle w:val="TableText"/>
            </w:pPr>
            <w:r>
              <w:t>No</w:t>
            </w:r>
          </w:p>
        </w:tc>
        <w:tc>
          <w:tcPr>
            <w:tcW w:w="1331" w:type="dxa"/>
            <w:shd w:val="clear" w:color="auto" w:fill="auto"/>
            <w:vAlign w:val="center"/>
          </w:tcPr>
          <w:p w14:paraId="7768032C" w14:textId="77777777" w:rsidR="00432FCC" w:rsidRDefault="00432FCC" w:rsidP="00432FCC">
            <w:pPr>
              <w:pStyle w:val="TableText"/>
              <w:rPr>
                <w:rFonts w:eastAsia="Symbol"/>
              </w:rPr>
            </w:pPr>
            <w:r>
              <w:t>No</w:t>
            </w:r>
          </w:p>
        </w:tc>
        <w:tc>
          <w:tcPr>
            <w:tcW w:w="4315" w:type="dxa"/>
            <w:shd w:val="clear" w:color="auto" w:fill="auto"/>
            <w:vAlign w:val="center"/>
          </w:tcPr>
          <w:p w14:paraId="6C4EA811" w14:textId="77777777" w:rsidR="00432FCC" w:rsidRDefault="00432FCC" w:rsidP="00432FCC">
            <w:pPr>
              <w:pStyle w:val="TableText"/>
              <w:rPr>
                <w:rFonts w:eastAsia="Symbol"/>
              </w:rPr>
            </w:pPr>
          </w:p>
        </w:tc>
      </w:tr>
      <w:tr w:rsidR="00432FCC" w14:paraId="3A09738E" w14:textId="77777777">
        <w:tc>
          <w:tcPr>
            <w:tcW w:w="1330" w:type="dxa"/>
            <w:shd w:val="clear" w:color="auto" w:fill="auto"/>
            <w:vAlign w:val="center"/>
          </w:tcPr>
          <w:p w14:paraId="2FA13E06" w14:textId="77777777" w:rsidR="00432FCC" w:rsidRDefault="00432FCC" w:rsidP="00432FCC">
            <w:pPr>
              <w:pStyle w:val="TableText"/>
              <w:rPr>
                <w:rFonts w:eastAsia="Symbol"/>
              </w:rPr>
            </w:pPr>
            <w:r>
              <w:t>Anti-H</w:t>
            </w:r>
          </w:p>
        </w:tc>
        <w:tc>
          <w:tcPr>
            <w:tcW w:w="1331" w:type="dxa"/>
            <w:shd w:val="clear" w:color="auto" w:fill="auto"/>
            <w:vAlign w:val="center"/>
          </w:tcPr>
          <w:p w14:paraId="57D54425" w14:textId="77777777" w:rsidR="00432FCC" w:rsidRDefault="00432FCC" w:rsidP="00432FCC">
            <w:pPr>
              <w:pStyle w:val="TableText"/>
              <w:rPr>
                <w:rFonts w:eastAsia="Symbol"/>
              </w:rPr>
            </w:pPr>
            <w:r>
              <w:t>Anti-H</w:t>
            </w:r>
          </w:p>
        </w:tc>
        <w:tc>
          <w:tcPr>
            <w:tcW w:w="1053" w:type="dxa"/>
            <w:shd w:val="clear" w:color="auto" w:fill="auto"/>
            <w:vAlign w:val="center"/>
          </w:tcPr>
          <w:p w14:paraId="2BA422B9" w14:textId="77777777" w:rsidR="00432FCC" w:rsidRDefault="00432FCC" w:rsidP="00432FCC">
            <w:pPr>
              <w:pStyle w:val="TableText"/>
            </w:pPr>
            <w:r>
              <w:t>No</w:t>
            </w:r>
          </w:p>
        </w:tc>
        <w:tc>
          <w:tcPr>
            <w:tcW w:w="1331" w:type="dxa"/>
            <w:shd w:val="clear" w:color="auto" w:fill="auto"/>
            <w:vAlign w:val="center"/>
          </w:tcPr>
          <w:p w14:paraId="52D4E088" w14:textId="77777777" w:rsidR="00432FCC" w:rsidRDefault="00432FCC" w:rsidP="00432FCC">
            <w:pPr>
              <w:pStyle w:val="TableText"/>
              <w:rPr>
                <w:rFonts w:eastAsia="Symbol"/>
              </w:rPr>
            </w:pPr>
            <w:r>
              <w:t>No</w:t>
            </w:r>
          </w:p>
        </w:tc>
        <w:tc>
          <w:tcPr>
            <w:tcW w:w="4315" w:type="dxa"/>
            <w:shd w:val="clear" w:color="auto" w:fill="auto"/>
            <w:vAlign w:val="center"/>
          </w:tcPr>
          <w:p w14:paraId="4BB6ACA1" w14:textId="77777777" w:rsidR="00432FCC" w:rsidRDefault="00432FCC" w:rsidP="00432FCC">
            <w:pPr>
              <w:pStyle w:val="TableText"/>
              <w:rPr>
                <w:rFonts w:eastAsia="Symbol"/>
              </w:rPr>
            </w:pPr>
          </w:p>
        </w:tc>
      </w:tr>
      <w:tr w:rsidR="00432FCC" w14:paraId="268810BC" w14:textId="77777777">
        <w:tc>
          <w:tcPr>
            <w:tcW w:w="1330" w:type="dxa"/>
            <w:shd w:val="clear" w:color="auto" w:fill="auto"/>
            <w:vAlign w:val="center"/>
          </w:tcPr>
          <w:p w14:paraId="17A2EAFA" w14:textId="77777777" w:rsidR="00432FCC" w:rsidRDefault="00432FCC" w:rsidP="00432FCC">
            <w:pPr>
              <w:pStyle w:val="TableText"/>
              <w:rPr>
                <w:rFonts w:eastAsia="Symbol"/>
              </w:rPr>
            </w:pPr>
            <w:r>
              <w:t>Anti-Le(ab)</w:t>
            </w:r>
          </w:p>
        </w:tc>
        <w:tc>
          <w:tcPr>
            <w:tcW w:w="1331" w:type="dxa"/>
            <w:shd w:val="clear" w:color="auto" w:fill="auto"/>
            <w:vAlign w:val="center"/>
          </w:tcPr>
          <w:p w14:paraId="601D2ADF" w14:textId="77777777" w:rsidR="00432FCC" w:rsidRDefault="00432FCC" w:rsidP="00432FCC">
            <w:pPr>
              <w:pStyle w:val="TableText"/>
            </w:pPr>
            <w:r>
              <w:t>Anti-Le(x)</w:t>
            </w:r>
          </w:p>
        </w:tc>
        <w:tc>
          <w:tcPr>
            <w:tcW w:w="1053" w:type="dxa"/>
            <w:shd w:val="clear" w:color="auto" w:fill="auto"/>
            <w:vAlign w:val="center"/>
          </w:tcPr>
          <w:p w14:paraId="5A0293BD" w14:textId="77777777" w:rsidR="00432FCC" w:rsidRDefault="00432FCC" w:rsidP="00432FCC">
            <w:pPr>
              <w:pStyle w:val="TableText"/>
            </w:pPr>
            <w:r>
              <w:t>No</w:t>
            </w:r>
          </w:p>
        </w:tc>
        <w:tc>
          <w:tcPr>
            <w:tcW w:w="1331" w:type="dxa"/>
            <w:shd w:val="clear" w:color="auto" w:fill="auto"/>
            <w:vAlign w:val="center"/>
          </w:tcPr>
          <w:p w14:paraId="2FEA94A0" w14:textId="77777777" w:rsidR="00432FCC" w:rsidRDefault="00432FCC" w:rsidP="00432FCC">
            <w:pPr>
              <w:pStyle w:val="TableText"/>
              <w:rPr>
                <w:rFonts w:eastAsia="Symbol"/>
              </w:rPr>
            </w:pPr>
            <w:r>
              <w:t>No</w:t>
            </w:r>
          </w:p>
        </w:tc>
        <w:tc>
          <w:tcPr>
            <w:tcW w:w="4315" w:type="dxa"/>
            <w:shd w:val="clear" w:color="auto" w:fill="auto"/>
            <w:vAlign w:val="center"/>
          </w:tcPr>
          <w:p w14:paraId="5554853B" w14:textId="77777777" w:rsidR="00432FCC" w:rsidRDefault="00432FCC" w:rsidP="00432FCC">
            <w:pPr>
              <w:pStyle w:val="TableText"/>
              <w:rPr>
                <w:rFonts w:eastAsia="Symbol"/>
              </w:rPr>
            </w:pPr>
          </w:p>
        </w:tc>
      </w:tr>
      <w:tr w:rsidR="00432FCC" w14:paraId="31F6FEE5" w14:textId="77777777">
        <w:tc>
          <w:tcPr>
            <w:tcW w:w="1330" w:type="dxa"/>
            <w:shd w:val="clear" w:color="auto" w:fill="auto"/>
            <w:vAlign w:val="center"/>
          </w:tcPr>
          <w:p w14:paraId="4CF6D024" w14:textId="77777777" w:rsidR="00432FCC" w:rsidRDefault="00432FCC" w:rsidP="00432FCC">
            <w:pPr>
              <w:pStyle w:val="TableText"/>
              <w:rPr>
                <w:rFonts w:eastAsia="Symbol"/>
              </w:rPr>
            </w:pPr>
            <w:r>
              <w:t>Anti-Di(a)</w:t>
            </w:r>
          </w:p>
        </w:tc>
        <w:tc>
          <w:tcPr>
            <w:tcW w:w="1331" w:type="dxa"/>
            <w:shd w:val="clear" w:color="auto" w:fill="auto"/>
            <w:vAlign w:val="center"/>
          </w:tcPr>
          <w:p w14:paraId="339BD8BC" w14:textId="77777777" w:rsidR="00432FCC" w:rsidRDefault="00432FCC" w:rsidP="00432FCC">
            <w:pPr>
              <w:pStyle w:val="TableText"/>
              <w:rPr>
                <w:rFonts w:eastAsia="Symbol"/>
              </w:rPr>
            </w:pPr>
            <w:r>
              <w:t>Anti-Di(a)</w:t>
            </w:r>
          </w:p>
        </w:tc>
        <w:tc>
          <w:tcPr>
            <w:tcW w:w="1053" w:type="dxa"/>
            <w:shd w:val="clear" w:color="auto" w:fill="auto"/>
            <w:vAlign w:val="center"/>
          </w:tcPr>
          <w:p w14:paraId="7CD66E19" w14:textId="77777777" w:rsidR="00432FCC" w:rsidRDefault="00432FCC" w:rsidP="00432FCC">
            <w:pPr>
              <w:pStyle w:val="TableText"/>
            </w:pPr>
            <w:r>
              <w:t>No</w:t>
            </w:r>
          </w:p>
        </w:tc>
        <w:tc>
          <w:tcPr>
            <w:tcW w:w="1331" w:type="dxa"/>
            <w:shd w:val="clear" w:color="auto" w:fill="auto"/>
            <w:vAlign w:val="center"/>
          </w:tcPr>
          <w:p w14:paraId="494AB210" w14:textId="77777777" w:rsidR="00432FCC" w:rsidRDefault="00432FCC" w:rsidP="00432FCC">
            <w:pPr>
              <w:pStyle w:val="TableText"/>
              <w:rPr>
                <w:rFonts w:eastAsia="Symbol"/>
              </w:rPr>
            </w:pPr>
            <w:r>
              <w:t>No</w:t>
            </w:r>
          </w:p>
        </w:tc>
        <w:tc>
          <w:tcPr>
            <w:tcW w:w="4315" w:type="dxa"/>
            <w:shd w:val="clear" w:color="auto" w:fill="auto"/>
            <w:vAlign w:val="center"/>
          </w:tcPr>
          <w:p w14:paraId="519DE8C0" w14:textId="77777777" w:rsidR="00432FCC" w:rsidRDefault="00432FCC" w:rsidP="00432FCC">
            <w:pPr>
              <w:pStyle w:val="TableText"/>
              <w:rPr>
                <w:rFonts w:eastAsia="Symbol"/>
              </w:rPr>
            </w:pPr>
          </w:p>
        </w:tc>
      </w:tr>
      <w:tr w:rsidR="00432FCC" w14:paraId="54C2C607" w14:textId="77777777">
        <w:tc>
          <w:tcPr>
            <w:tcW w:w="1330" w:type="dxa"/>
            <w:shd w:val="clear" w:color="auto" w:fill="auto"/>
            <w:vAlign w:val="center"/>
          </w:tcPr>
          <w:p w14:paraId="6B9D554E" w14:textId="77777777" w:rsidR="00432FCC" w:rsidRDefault="00432FCC" w:rsidP="00432FCC">
            <w:pPr>
              <w:pStyle w:val="TableText"/>
              <w:rPr>
                <w:rFonts w:eastAsia="Symbol"/>
              </w:rPr>
            </w:pPr>
            <w:r>
              <w:t>Anti-Di(b)</w:t>
            </w:r>
          </w:p>
        </w:tc>
        <w:tc>
          <w:tcPr>
            <w:tcW w:w="1331" w:type="dxa"/>
            <w:shd w:val="clear" w:color="auto" w:fill="auto"/>
            <w:vAlign w:val="center"/>
          </w:tcPr>
          <w:p w14:paraId="0DDE816F" w14:textId="77777777" w:rsidR="00432FCC" w:rsidRDefault="00432FCC" w:rsidP="00432FCC">
            <w:pPr>
              <w:pStyle w:val="TableText"/>
              <w:rPr>
                <w:rFonts w:eastAsia="Symbol"/>
              </w:rPr>
            </w:pPr>
            <w:r>
              <w:t>Anti-Di(b)</w:t>
            </w:r>
          </w:p>
        </w:tc>
        <w:tc>
          <w:tcPr>
            <w:tcW w:w="1053" w:type="dxa"/>
            <w:shd w:val="clear" w:color="auto" w:fill="auto"/>
            <w:vAlign w:val="center"/>
          </w:tcPr>
          <w:p w14:paraId="2C18289C" w14:textId="77777777" w:rsidR="00432FCC" w:rsidRDefault="00432FCC" w:rsidP="00432FCC">
            <w:pPr>
              <w:pStyle w:val="TableText"/>
            </w:pPr>
            <w:r>
              <w:t>No</w:t>
            </w:r>
          </w:p>
        </w:tc>
        <w:tc>
          <w:tcPr>
            <w:tcW w:w="1331" w:type="dxa"/>
            <w:shd w:val="clear" w:color="auto" w:fill="auto"/>
            <w:vAlign w:val="center"/>
          </w:tcPr>
          <w:p w14:paraId="35DAC5BC" w14:textId="77777777" w:rsidR="00432FCC" w:rsidRDefault="00432FCC" w:rsidP="00432FCC">
            <w:pPr>
              <w:pStyle w:val="TableText"/>
              <w:rPr>
                <w:rFonts w:eastAsia="Symbol"/>
              </w:rPr>
            </w:pPr>
            <w:r>
              <w:t>No</w:t>
            </w:r>
          </w:p>
        </w:tc>
        <w:tc>
          <w:tcPr>
            <w:tcW w:w="4315" w:type="dxa"/>
            <w:shd w:val="clear" w:color="auto" w:fill="auto"/>
            <w:vAlign w:val="center"/>
          </w:tcPr>
          <w:p w14:paraId="24E087B4" w14:textId="77777777" w:rsidR="00432FCC" w:rsidRDefault="00432FCC" w:rsidP="00432FCC">
            <w:pPr>
              <w:pStyle w:val="TableText"/>
              <w:rPr>
                <w:rFonts w:eastAsia="Symbol"/>
              </w:rPr>
            </w:pPr>
          </w:p>
        </w:tc>
      </w:tr>
      <w:tr w:rsidR="00432FCC" w14:paraId="74E34594" w14:textId="77777777">
        <w:tc>
          <w:tcPr>
            <w:tcW w:w="1330" w:type="dxa"/>
            <w:shd w:val="clear" w:color="auto" w:fill="auto"/>
            <w:vAlign w:val="center"/>
          </w:tcPr>
          <w:p w14:paraId="4F33D8E1" w14:textId="77777777" w:rsidR="00432FCC" w:rsidRDefault="00432FCC" w:rsidP="00432FCC">
            <w:pPr>
              <w:pStyle w:val="TableText"/>
              <w:rPr>
                <w:rFonts w:eastAsia="Symbol"/>
              </w:rPr>
            </w:pPr>
            <w:r>
              <w:t>Anti-Do(a)</w:t>
            </w:r>
          </w:p>
        </w:tc>
        <w:tc>
          <w:tcPr>
            <w:tcW w:w="1331" w:type="dxa"/>
            <w:shd w:val="clear" w:color="auto" w:fill="auto"/>
            <w:vAlign w:val="center"/>
          </w:tcPr>
          <w:p w14:paraId="1313FD84" w14:textId="77777777" w:rsidR="00432FCC" w:rsidRDefault="00432FCC" w:rsidP="00432FCC">
            <w:pPr>
              <w:pStyle w:val="TableText"/>
              <w:rPr>
                <w:rFonts w:eastAsia="Symbol"/>
              </w:rPr>
            </w:pPr>
            <w:r>
              <w:t>Anti-Do(a)</w:t>
            </w:r>
          </w:p>
        </w:tc>
        <w:tc>
          <w:tcPr>
            <w:tcW w:w="1053" w:type="dxa"/>
            <w:shd w:val="clear" w:color="auto" w:fill="auto"/>
            <w:vAlign w:val="center"/>
          </w:tcPr>
          <w:p w14:paraId="00F17943" w14:textId="77777777" w:rsidR="00432FCC" w:rsidRDefault="00432FCC" w:rsidP="00432FCC">
            <w:pPr>
              <w:pStyle w:val="TableText"/>
            </w:pPr>
            <w:r>
              <w:t>No</w:t>
            </w:r>
          </w:p>
        </w:tc>
        <w:tc>
          <w:tcPr>
            <w:tcW w:w="1331" w:type="dxa"/>
            <w:shd w:val="clear" w:color="auto" w:fill="auto"/>
            <w:vAlign w:val="center"/>
          </w:tcPr>
          <w:p w14:paraId="4AC5BDAE" w14:textId="77777777" w:rsidR="00432FCC" w:rsidRDefault="00432FCC" w:rsidP="00432FCC">
            <w:pPr>
              <w:pStyle w:val="TableText"/>
              <w:rPr>
                <w:rFonts w:eastAsia="Symbol"/>
              </w:rPr>
            </w:pPr>
            <w:r>
              <w:t>No</w:t>
            </w:r>
          </w:p>
        </w:tc>
        <w:tc>
          <w:tcPr>
            <w:tcW w:w="4315" w:type="dxa"/>
            <w:shd w:val="clear" w:color="auto" w:fill="auto"/>
            <w:vAlign w:val="center"/>
          </w:tcPr>
          <w:p w14:paraId="1F0A9AD9" w14:textId="77777777" w:rsidR="00432FCC" w:rsidRDefault="00432FCC" w:rsidP="00432FCC">
            <w:pPr>
              <w:pStyle w:val="TableText"/>
            </w:pPr>
          </w:p>
        </w:tc>
      </w:tr>
      <w:tr w:rsidR="00432FCC" w14:paraId="263040EC" w14:textId="77777777">
        <w:tc>
          <w:tcPr>
            <w:tcW w:w="1330" w:type="dxa"/>
            <w:shd w:val="clear" w:color="auto" w:fill="auto"/>
            <w:vAlign w:val="center"/>
          </w:tcPr>
          <w:p w14:paraId="4DF13B4C" w14:textId="77777777" w:rsidR="00432FCC" w:rsidRDefault="00432FCC" w:rsidP="00432FCC">
            <w:pPr>
              <w:pStyle w:val="TableText"/>
              <w:rPr>
                <w:rFonts w:eastAsia="Symbol"/>
              </w:rPr>
            </w:pPr>
            <w:r>
              <w:t>Anti-Do(b)</w:t>
            </w:r>
          </w:p>
        </w:tc>
        <w:tc>
          <w:tcPr>
            <w:tcW w:w="1331" w:type="dxa"/>
            <w:shd w:val="clear" w:color="auto" w:fill="auto"/>
            <w:vAlign w:val="center"/>
          </w:tcPr>
          <w:p w14:paraId="3A7CA841" w14:textId="77777777" w:rsidR="00432FCC" w:rsidRDefault="00432FCC" w:rsidP="00432FCC">
            <w:pPr>
              <w:pStyle w:val="TableText"/>
              <w:rPr>
                <w:rFonts w:eastAsia="Symbol"/>
              </w:rPr>
            </w:pPr>
            <w:r>
              <w:t>None</w:t>
            </w:r>
          </w:p>
        </w:tc>
        <w:tc>
          <w:tcPr>
            <w:tcW w:w="1053" w:type="dxa"/>
            <w:shd w:val="clear" w:color="auto" w:fill="auto"/>
            <w:vAlign w:val="center"/>
          </w:tcPr>
          <w:p w14:paraId="5B4F90B1" w14:textId="77777777" w:rsidR="00432FCC" w:rsidRDefault="00432FCC" w:rsidP="00432FCC">
            <w:pPr>
              <w:pStyle w:val="TableText"/>
            </w:pPr>
            <w:r>
              <w:t>No</w:t>
            </w:r>
          </w:p>
        </w:tc>
        <w:tc>
          <w:tcPr>
            <w:tcW w:w="1331" w:type="dxa"/>
            <w:shd w:val="clear" w:color="auto" w:fill="auto"/>
            <w:vAlign w:val="center"/>
          </w:tcPr>
          <w:p w14:paraId="166EB04B" w14:textId="77777777" w:rsidR="00432FCC" w:rsidRDefault="00432FCC" w:rsidP="00432FCC">
            <w:pPr>
              <w:pStyle w:val="TableText"/>
              <w:rPr>
                <w:rFonts w:eastAsia="Symbol"/>
              </w:rPr>
            </w:pPr>
            <w:r>
              <w:t>No</w:t>
            </w:r>
          </w:p>
        </w:tc>
        <w:tc>
          <w:tcPr>
            <w:tcW w:w="4315" w:type="dxa"/>
            <w:shd w:val="clear" w:color="auto" w:fill="auto"/>
            <w:vAlign w:val="center"/>
          </w:tcPr>
          <w:p w14:paraId="2F6DE67E" w14:textId="77777777" w:rsidR="00432FCC" w:rsidRDefault="00432FCC" w:rsidP="00432FCC">
            <w:pPr>
              <w:pStyle w:val="TableText"/>
            </w:pPr>
          </w:p>
        </w:tc>
      </w:tr>
      <w:tr w:rsidR="00432FCC" w14:paraId="3783B6D0" w14:textId="77777777">
        <w:tc>
          <w:tcPr>
            <w:tcW w:w="1330" w:type="dxa"/>
            <w:shd w:val="clear" w:color="auto" w:fill="auto"/>
            <w:vAlign w:val="center"/>
          </w:tcPr>
          <w:p w14:paraId="24376CB6" w14:textId="77777777" w:rsidR="00432FCC" w:rsidRDefault="00432FCC" w:rsidP="00432FCC">
            <w:pPr>
              <w:pStyle w:val="TableText"/>
              <w:rPr>
                <w:rFonts w:eastAsia="Symbol"/>
              </w:rPr>
            </w:pPr>
            <w:r>
              <w:t>Anti-Co(a)</w:t>
            </w:r>
          </w:p>
        </w:tc>
        <w:tc>
          <w:tcPr>
            <w:tcW w:w="1331" w:type="dxa"/>
            <w:shd w:val="clear" w:color="auto" w:fill="auto"/>
            <w:vAlign w:val="center"/>
          </w:tcPr>
          <w:p w14:paraId="7D5246D3" w14:textId="77777777" w:rsidR="00432FCC" w:rsidRDefault="00432FCC" w:rsidP="00432FCC">
            <w:pPr>
              <w:pStyle w:val="TableText"/>
              <w:rPr>
                <w:rFonts w:eastAsia="Symbol"/>
              </w:rPr>
            </w:pPr>
            <w:r>
              <w:t>None</w:t>
            </w:r>
          </w:p>
        </w:tc>
        <w:tc>
          <w:tcPr>
            <w:tcW w:w="1053" w:type="dxa"/>
            <w:shd w:val="clear" w:color="auto" w:fill="auto"/>
            <w:vAlign w:val="center"/>
          </w:tcPr>
          <w:p w14:paraId="5873FC25" w14:textId="77777777" w:rsidR="00432FCC" w:rsidRDefault="00432FCC" w:rsidP="00432FCC">
            <w:pPr>
              <w:pStyle w:val="TableText"/>
            </w:pPr>
            <w:r>
              <w:t>No</w:t>
            </w:r>
          </w:p>
        </w:tc>
        <w:tc>
          <w:tcPr>
            <w:tcW w:w="1331" w:type="dxa"/>
            <w:shd w:val="clear" w:color="auto" w:fill="auto"/>
            <w:vAlign w:val="center"/>
          </w:tcPr>
          <w:p w14:paraId="749CFC11" w14:textId="77777777" w:rsidR="00432FCC" w:rsidRDefault="00432FCC" w:rsidP="00432FCC">
            <w:pPr>
              <w:pStyle w:val="TableText"/>
              <w:rPr>
                <w:rFonts w:eastAsia="Symbol"/>
              </w:rPr>
            </w:pPr>
            <w:r>
              <w:t>No</w:t>
            </w:r>
          </w:p>
        </w:tc>
        <w:tc>
          <w:tcPr>
            <w:tcW w:w="4315" w:type="dxa"/>
            <w:shd w:val="clear" w:color="auto" w:fill="auto"/>
            <w:vAlign w:val="center"/>
          </w:tcPr>
          <w:p w14:paraId="457F1635" w14:textId="77777777" w:rsidR="00432FCC" w:rsidRDefault="00432FCC" w:rsidP="00432FCC">
            <w:pPr>
              <w:pStyle w:val="TableText"/>
            </w:pPr>
          </w:p>
        </w:tc>
      </w:tr>
      <w:tr w:rsidR="00432FCC" w14:paraId="74C605E6" w14:textId="77777777">
        <w:tc>
          <w:tcPr>
            <w:tcW w:w="1330" w:type="dxa"/>
            <w:shd w:val="clear" w:color="auto" w:fill="auto"/>
            <w:vAlign w:val="center"/>
          </w:tcPr>
          <w:p w14:paraId="53090EF2" w14:textId="77777777" w:rsidR="00432FCC" w:rsidRDefault="00432FCC" w:rsidP="00432FCC">
            <w:pPr>
              <w:pStyle w:val="TableText"/>
              <w:rPr>
                <w:rFonts w:eastAsia="Symbol"/>
              </w:rPr>
            </w:pPr>
            <w:r>
              <w:t>Anti-Co(b)</w:t>
            </w:r>
          </w:p>
        </w:tc>
        <w:tc>
          <w:tcPr>
            <w:tcW w:w="1331" w:type="dxa"/>
            <w:shd w:val="clear" w:color="auto" w:fill="auto"/>
            <w:vAlign w:val="center"/>
          </w:tcPr>
          <w:p w14:paraId="1D8F3B66" w14:textId="77777777" w:rsidR="00432FCC" w:rsidRDefault="00432FCC" w:rsidP="00432FCC">
            <w:pPr>
              <w:pStyle w:val="TableText"/>
              <w:rPr>
                <w:rFonts w:eastAsia="Symbol"/>
              </w:rPr>
            </w:pPr>
            <w:r>
              <w:t>None</w:t>
            </w:r>
          </w:p>
        </w:tc>
        <w:tc>
          <w:tcPr>
            <w:tcW w:w="1053" w:type="dxa"/>
            <w:shd w:val="clear" w:color="auto" w:fill="auto"/>
            <w:vAlign w:val="center"/>
          </w:tcPr>
          <w:p w14:paraId="1AE67799" w14:textId="77777777" w:rsidR="00432FCC" w:rsidRDefault="00432FCC" w:rsidP="00432FCC">
            <w:pPr>
              <w:pStyle w:val="TableText"/>
            </w:pPr>
            <w:r>
              <w:t>No</w:t>
            </w:r>
          </w:p>
        </w:tc>
        <w:tc>
          <w:tcPr>
            <w:tcW w:w="1331" w:type="dxa"/>
            <w:shd w:val="clear" w:color="auto" w:fill="auto"/>
            <w:vAlign w:val="center"/>
          </w:tcPr>
          <w:p w14:paraId="1686DD42" w14:textId="77777777" w:rsidR="00432FCC" w:rsidRDefault="00432FCC" w:rsidP="00432FCC">
            <w:pPr>
              <w:pStyle w:val="TableText"/>
              <w:rPr>
                <w:rFonts w:eastAsia="Symbol"/>
              </w:rPr>
            </w:pPr>
            <w:r>
              <w:t>No</w:t>
            </w:r>
          </w:p>
        </w:tc>
        <w:tc>
          <w:tcPr>
            <w:tcW w:w="4315" w:type="dxa"/>
            <w:shd w:val="clear" w:color="auto" w:fill="auto"/>
            <w:vAlign w:val="center"/>
          </w:tcPr>
          <w:p w14:paraId="4EE2FB0D" w14:textId="77777777" w:rsidR="00432FCC" w:rsidRDefault="00432FCC" w:rsidP="00432FCC">
            <w:pPr>
              <w:pStyle w:val="TableText"/>
            </w:pPr>
          </w:p>
        </w:tc>
      </w:tr>
      <w:tr w:rsidR="00432FCC" w14:paraId="3DD97EE7" w14:textId="77777777">
        <w:tc>
          <w:tcPr>
            <w:tcW w:w="1330" w:type="dxa"/>
            <w:shd w:val="clear" w:color="auto" w:fill="auto"/>
            <w:vAlign w:val="center"/>
          </w:tcPr>
          <w:p w14:paraId="6BDD4323" w14:textId="77777777" w:rsidR="00432FCC" w:rsidRDefault="00432FCC" w:rsidP="00432FCC">
            <w:pPr>
              <w:pStyle w:val="TableText"/>
              <w:rPr>
                <w:rFonts w:eastAsia="Symbol"/>
              </w:rPr>
            </w:pPr>
            <w:r>
              <w:t>Anti-LW(a)</w:t>
            </w:r>
          </w:p>
        </w:tc>
        <w:tc>
          <w:tcPr>
            <w:tcW w:w="1331" w:type="dxa"/>
            <w:shd w:val="clear" w:color="auto" w:fill="auto"/>
            <w:vAlign w:val="center"/>
          </w:tcPr>
          <w:p w14:paraId="226575DA" w14:textId="77777777" w:rsidR="00432FCC" w:rsidRDefault="00432FCC" w:rsidP="00432FCC">
            <w:pPr>
              <w:pStyle w:val="TableText"/>
            </w:pPr>
            <w:r>
              <w:t>None</w:t>
            </w:r>
          </w:p>
        </w:tc>
        <w:tc>
          <w:tcPr>
            <w:tcW w:w="1053" w:type="dxa"/>
            <w:shd w:val="clear" w:color="auto" w:fill="auto"/>
            <w:vAlign w:val="center"/>
          </w:tcPr>
          <w:p w14:paraId="2966E179" w14:textId="77777777" w:rsidR="00432FCC" w:rsidRDefault="00432FCC" w:rsidP="00432FCC">
            <w:pPr>
              <w:pStyle w:val="TableText"/>
            </w:pPr>
            <w:r>
              <w:t>No</w:t>
            </w:r>
          </w:p>
        </w:tc>
        <w:tc>
          <w:tcPr>
            <w:tcW w:w="1331" w:type="dxa"/>
            <w:shd w:val="clear" w:color="auto" w:fill="auto"/>
            <w:vAlign w:val="center"/>
          </w:tcPr>
          <w:p w14:paraId="6AE4980D" w14:textId="77777777" w:rsidR="00432FCC" w:rsidRDefault="00432FCC" w:rsidP="00432FCC">
            <w:pPr>
              <w:pStyle w:val="TableText"/>
              <w:rPr>
                <w:rFonts w:eastAsia="Symbol"/>
              </w:rPr>
            </w:pPr>
            <w:r>
              <w:t>No</w:t>
            </w:r>
          </w:p>
        </w:tc>
        <w:tc>
          <w:tcPr>
            <w:tcW w:w="4315" w:type="dxa"/>
            <w:shd w:val="clear" w:color="auto" w:fill="auto"/>
            <w:vAlign w:val="center"/>
          </w:tcPr>
          <w:p w14:paraId="5EAA144C" w14:textId="77777777" w:rsidR="00432FCC" w:rsidRDefault="00432FCC" w:rsidP="00432FCC">
            <w:pPr>
              <w:pStyle w:val="TableText"/>
            </w:pPr>
          </w:p>
        </w:tc>
      </w:tr>
      <w:tr w:rsidR="00432FCC" w14:paraId="7B3B9739" w14:textId="77777777">
        <w:tc>
          <w:tcPr>
            <w:tcW w:w="1330" w:type="dxa"/>
            <w:shd w:val="clear" w:color="auto" w:fill="auto"/>
            <w:vAlign w:val="center"/>
          </w:tcPr>
          <w:p w14:paraId="5BE62ED8" w14:textId="77777777" w:rsidR="00432FCC" w:rsidRDefault="00432FCC" w:rsidP="00432FCC">
            <w:pPr>
              <w:pStyle w:val="TableText"/>
              <w:rPr>
                <w:rFonts w:eastAsia="Symbol"/>
              </w:rPr>
            </w:pPr>
            <w:r>
              <w:t>Anti-LW(b)</w:t>
            </w:r>
          </w:p>
        </w:tc>
        <w:tc>
          <w:tcPr>
            <w:tcW w:w="1331" w:type="dxa"/>
            <w:shd w:val="clear" w:color="auto" w:fill="auto"/>
            <w:vAlign w:val="center"/>
          </w:tcPr>
          <w:p w14:paraId="28A006E3" w14:textId="77777777" w:rsidR="00432FCC" w:rsidRDefault="00432FCC" w:rsidP="00432FCC">
            <w:pPr>
              <w:pStyle w:val="TableText"/>
            </w:pPr>
            <w:r>
              <w:t>None</w:t>
            </w:r>
          </w:p>
        </w:tc>
        <w:tc>
          <w:tcPr>
            <w:tcW w:w="1053" w:type="dxa"/>
            <w:shd w:val="clear" w:color="auto" w:fill="auto"/>
            <w:vAlign w:val="center"/>
          </w:tcPr>
          <w:p w14:paraId="1E34F3F4" w14:textId="77777777" w:rsidR="00432FCC" w:rsidRDefault="00432FCC" w:rsidP="00432FCC">
            <w:pPr>
              <w:pStyle w:val="TableText"/>
            </w:pPr>
            <w:r>
              <w:t>No</w:t>
            </w:r>
          </w:p>
        </w:tc>
        <w:tc>
          <w:tcPr>
            <w:tcW w:w="1331" w:type="dxa"/>
            <w:shd w:val="clear" w:color="auto" w:fill="auto"/>
            <w:vAlign w:val="center"/>
          </w:tcPr>
          <w:p w14:paraId="707FA809" w14:textId="77777777" w:rsidR="00432FCC" w:rsidRDefault="00432FCC" w:rsidP="00432FCC">
            <w:pPr>
              <w:pStyle w:val="TableText"/>
              <w:rPr>
                <w:rFonts w:eastAsia="Symbol"/>
              </w:rPr>
            </w:pPr>
            <w:r>
              <w:t>No</w:t>
            </w:r>
          </w:p>
        </w:tc>
        <w:tc>
          <w:tcPr>
            <w:tcW w:w="4315" w:type="dxa"/>
            <w:shd w:val="clear" w:color="auto" w:fill="auto"/>
            <w:vAlign w:val="center"/>
          </w:tcPr>
          <w:p w14:paraId="6C5E5DA6" w14:textId="77777777" w:rsidR="00432FCC" w:rsidRDefault="00432FCC" w:rsidP="00432FCC">
            <w:pPr>
              <w:pStyle w:val="TableText"/>
            </w:pPr>
          </w:p>
        </w:tc>
      </w:tr>
      <w:tr w:rsidR="00432FCC" w14:paraId="562D0A79" w14:textId="77777777">
        <w:tc>
          <w:tcPr>
            <w:tcW w:w="1330" w:type="dxa"/>
            <w:shd w:val="clear" w:color="auto" w:fill="auto"/>
            <w:vAlign w:val="center"/>
          </w:tcPr>
          <w:p w14:paraId="38255188" w14:textId="77777777" w:rsidR="00432FCC" w:rsidRDefault="00432FCC" w:rsidP="00432FCC">
            <w:pPr>
              <w:pStyle w:val="TableText"/>
              <w:rPr>
                <w:rFonts w:eastAsia="Symbol"/>
              </w:rPr>
            </w:pPr>
            <w:r>
              <w:t>Anti-Sc1</w:t>
            </w:r>
          </w:p>
        </w:tc>
        <w:tc>
          <w:tcPr>
            <w:tcW w:w="1331" w:type="dxa"/>
            <w:shd w:val="clear" w:color="auto" w:fill="auto"/>
            <w:vAlign w:val="center"/>
          </w:tcPr>
          <w:p w14:paraId="0AB59092" w14:textId="77777777" w:rsidR="00432FCC" w:rsidRDefault="00432FCC" w:rsidP="00432FCC">
            <w:pPr>
              <w:pStyle w:val="TableText"/>
              <w:rPr>
                <w:rFonts w:eastAsia="Symbol"/>
              </w:rPr>
            </w:pPr>
            <w:r>
              <w:t>None</w:t>
            </w:r>
          </w:p>
        </w:tc>
        <w:tc>
          <w:tcPr>
            <w:tcW w:w="1053" w:type="dxa"/>
            <w:shd w:val="clear" w:color="auto" w:fill="auto"/>
            <w:vAlign w:val="center"/>
          </w:tcPr>
          <w:p w14:paraId="7277F36C" w14:textId="77777777" w:rsidR="00432FCC" w:rsidRDefault="00432FCC" w:rsidP="00432FCC">
            <w:pPr>
              <w:pStyle w:val="TableText"/>
            </w:pPr>
            <w:r>
              <w:t>No</w:t>
            </w:r>
          </w:p>
        </w:tc>
        <w:tc>
          <w:tcPr>
            <w:tcW w:w="1331" w:type="dxa"/>
            <w:shd w:val="clear" w:color="auto" w:fill="auto"/>
            <w:vAlign w:val="center"/>
          </w:tcPr>
          <w:p w14:paraId="7EC273E3" w14:textId="77777777" w:rsidR="00432FCC" w:rsidRDefault="00432FCC" w:rsidP="00432FCC">
            <w:pPr>
              <w:pStyle w:val="TableText"/>
              <w:rPr>
                <w:rFonts w:eastAsia="Symbol"/>
              </w:rPr>
            </w:pPr>
            <w:r>
              <w:t>No</w:t>
            </w:r>
          </w:p>
        </w:tc>
        <w:tc>
          <w:tcPr>
            <w:tcW w:w="4315" w:type="dxa"/>
            <w:shd w:val="clear" w:color="auto" w:fill="auto"/>
            <w:vAlign w:val="center"/>
          </w:tcPr>
          <w:p w14:paraId="04E4BCD6" w14:textId="77777777" w:rsidR="00432FCC" w:rsidRDefault="00432FCC" w:rsidP="00432FCC">
            <w:pPr>
              <w:pStyle w:val="TableText"/>
              <w:rPr>
                <w:rFonts w:eastAsia="Symbol"/>
              </w:rPr>
            </w:pPr>
          </w:p>
        </w:tc>
      </w:tr>
      <w:tr w:rsidR="00432FCC" w14:paraId="5D907C98" w14:textId="77777777">
        <w:tc>
          <w:tcPr>
            <w:tcW w:w="1330" w:type="dxa"/>
            <w:shd w:val="clear" w:color="auto" w:fill="auto"/>
            <w:vAlign w:val="center"/>
          </w:tcPr>
          <w:p w14:paraId="18F7AEA8" w14:textId="77777777" w:rsidR="00432FCC" w:rsidRDefault="00432FCC" w:rsidP="00432FCC">
            <w:pPr>
              <w:pStyle w:val="TableText"/>
              <w:rPr>
                <w:rFonts w:eastAsia="Symbol"/>
              </w:rPr>
            </w:pPr>
            <w:r>
              <w:t>Anti-Sc2</w:t>
            </w:r>
          </w:p>
        </w:tc>
        <w:tc>
          <w:tcPr>
            <w:tcW w:w="1331" w:type="dxa"/>
            <w:shd w:val="clear" w:color="auto" w:fill="auto"/>
            <w:vAlign w:val="center"/>
          </w:tcPr>
          <w:p w14:paraId="70F42FAE" w14:textId="77777777" w:rsidR="00432FCC" w:rsidRDefault="00432FCC" w:rsidP="00432FCC">
            <w:pPr>
              <w:pStyle w:val="TableText"/>
              <w:rPr>
                <w:rFonts w:eastAsia="Symbol"/>
              </w:rPr>
            </w:pPr>
            <w:r>
              <w:t>None</w:t>
            </w:r>
          </w:p>
        </w:tc>
        <w:tc>
          <w:tcPr>
            <w:tcW w:w="1053" w:type="dxa"/>
            <w:shd w:val="clear" w:color="auto" w:fill="auto"/>
            <w:vAlign w:val="center"/>
          </w:tcPr>
          <w:p w14:paraId="62D61F71" w14:textId="77777777" w:rsidR="00432FCC" w:rsidRDefault="00432FCC" w:rsidP="00432FCC">
            <w:pPr>
              <w:pStyle w:val="TableText"/>
            </w:pPr>
            <w:r>
              <w:t>No</w:t>
            </w:r>
          </w:p>
        </w:tc>
        <w:tc>
          <w:tcPr>
            <w:tcW w:w="1331" w:type="dxa"/>
            <w:shd w:val="clear" w:color="auto" w:fill="auto"/>
            <w:vAlign w:val="center"/>
          </w:tcPr>
          <w:p w14:paraId="4B812E5B" w14:textId="77777777" w:rsidR="00432FCC" w:rsidRDefault="00432FCC" w:rsidP="00432FCC">
            <w:pPr>
              <w:pStyle w:val="TableText"/>
              <w:rPr>
                <w:rFonts w:eastAsia="Symbol"/>
              </w:rPr>
            </w:pPr>
            <w:r>
              <w:t>No</w:t>
            </w:r>
          </w:p>
        </w:tc>
        <w:tc>
          <w:tcPr>
            <w:tcW w:w="4315" w:type="dxa"/>
            <w:shd w:val="clear" w:color="auto" w:fill="auto"/>
            <w:vAlign w:val="center"/>
          </w:tcPr>
          <w:p w14:paraId="35DC4003" w14:textId="77777777" w:rsidR="00432FCC" w:rsidRDefault="00432FCC" w:rsidP="00432FCC">
            <w:pPr>
              <w:pStyle w:val="TableText"/>
              <w:rPr>
                <w:rFonts w:eastAsia="Symbol"/>
              </w:rPr>
            </w:pPr>
          </w:p>
        </w:tc>
      </w:tr>
      <w:tr w:rsidR="00432FCC" w14:paraId="516C89D1" w14:textId="77777777">
        <w:tc>
          <w:tcPr>
            <w:tcW w:w="1330" w:type="dxa"/>
            <w:shd w:val="clear" w:color="auto" w:fill="auto"/>
            <w:vAlign w:val="center"/>
          </w:tcPr>
          <w:p w14:paraId="0B08B454" w14:textId="77777777" w:rsidR="00432FCC" w:rsidRDefault="00432FCC" w:rsidP="00432FCC">
            <w:pPr>
              <w:pStyle w:val="TableText"/>
              <w:rPr>
                <w:rFonts w:eastAsia="Symbol"/>
              </w:rPr>
            </w:pPr>
            <w:r>
              <w:t>Anti-Sd(a)</w:t>
            </w:r>
          </w:p>
        </w:tc>
        <w:tc>
          <w:tcPr>
            <w:tcW w:w="1331" w:type="dxa"/>
            <w:shd w:val="clear" w:color="auto" w:fill="auto"/>
            <w:vAlign w:val="center"/>
          </w:tcPr>
          <w:p w14:paraId="67FABD93" w14:textId="77777777" w:rsidR="00432FCC" w:rsidRDefault="00432FCC" w:rsidP="00432FCC">
            <w:pPr>
              <w:pStyle w:val="TableText"/>
              <w:rPr>
                <w:rFonts w:eastAsia="Symbol"/>
              </w:rPr>
            </w:pPr>
            <w:r>
              <w:t>None</w:t>
            </w:r>
          </w:p>
        </w:tc>
        <w:tc>
          <w:tcPr>
            <w:tcW w:w="1053" w:type="dxa"/>
            <w:shd w:val="clear" w:color="auto" w:fill="auto"/>
            <w:vAlign w:val="center"/>
          </w:tcPr>
          <w:p w14:paraId="1947A00C" w14:textId="77777777" w:rsidR="00432FCC" w:rsidRDefault="00432FCC" w:rsidP="00432FCC">
            <w:pPr>
              <w:pStyle w:val="TableText"/>
            </w:pPr>
            <w:r>
              <w:t>No</w:t>
            </w:r>
          </w:p>
        </w:tc>
        <w:tc>
          <w:tcPr>
            <w:tcW w:w="1331" w:type="dxa"/>
            <w:shd w:val="clear" w:color="auto" w:fill="auto"/>
            <w:vAlign w:val="center"/>
          </w:tcPr>
          <w:p w14:paraId="6BD3B88F" w14:textId="77777777" w:rsidR="00432FCC" w:rsidRDefault="00432FCC" w:rsidP="00432FCC">
            <w:pPr>
              <w:pStyle w:val="TableText"/>
              <w:rPr>
                <w:rFonts w:eastAsia="Symbol"/>
              </w:rPr>
            </w:pPr>
            <w:r>
              <w:t>No</w:t>
            </w:r>
          </w:p>
        </w:tc>
        <w:tc>
          <w:tcPr>
            <w:tcW w:w="4315" w:type="dxa"/>
            <w:shd w:val="clear" w:color="auto" w:fill="auto"/>
            <w:vAlign w:val="center"/>
          </w:tcPr>
          <w:p w14:paraId="345C3BBD" w14:textId="77777777" w:rsidR="00432FCC" w:rsidRDefault="00432FCC" w:rsidP="00432FCC">
            <w:pPr>
              <w:pStyle w:val="TableText"/>
              <w:rPr>
                <w:rFonts w:eastAsia="Symbol"/>
              </w:rPr>
            </w:pPr>
          </w:p>
        </w:tc>
      </w:tr>
      <w:tr w:rsidR="00432FCC" w14:paraId="3025134C" w14:textId="77777777">
        <w:tc>
          <w:tcPr>
            <w:tcW w:w="1330" w:type="dxa"/>
            <w:shd w:val="clear" w:color="auto" w:fill="auto"/>
            <w:vAlign w:val="center"/>
          </w:tcPr>
          <w:p w14:paraId="4BEFEDB1" w14:textId="77777777" w:rsidR="00432FCC" w:rsidRDefault="00432FCC" w:rsidP="00432FCC">
            <w:pPr>
              <w:pStyle w:val="TableText"/>
              <w:rPr>
                <w:rFonts w:eastAsia="Symbol"/>
              </w:rPr>
            </w:pPr>
            <w:r>
              <w:t>Anti-Au(a)</w:t>
            </w:r>
          </w:p>
        </w:tc>
        <w:tc>
          <w:tcPr>
            <w:tcW w:w="1331" w:type="dxa"/>
            <w:shd w:val="clear" w:color="auto" w:fill="auto"/>
            <w:vAlign w:val="center"/>
          </w:tcPr>
          <w:p w14:paraId="4E7E862D" w14:textId="77777777" w:rsidR="00432FCC" w:rsidRDefault="00432FCC" w:rsidP="00432FCC">
            <w:pPr>
              <w:pStyle w:val="TableText"/>
              <w:rPr>
                <w:rFonts w:eastAsia="Symbol"/>
              </w:rPr>
            </w:pPr>
            <w:r>
              <w:t>Anti-Au(a)</w:t>
            </w:r>
          </w:p>
        </w:tc>
        <w:tc>
          <w:tcPr>
            <w:tcW w:w="1053" w:type="dxa"/>
            <w:shd w:val="clear" w:color="auto" w:fill="auto"/>
            <w:vAlign w:val="center"/>
          </w:tcPr>
          <w:p w14:paraId="66EE553F" w14:textId="77777777" w:rsidR="00432FCC" w:rsidRDefault="00432FCC" w:rsidP="00432FCC">
            <w:pPr>
              <w:pStyle w:val="TableText"/>
            </w:pPr>
            <w:r>
              <w:t>No</w:t>
            </w:r>
          </w:p>
        </w:tc>
        <w:tc>
          <w:tcPr>
            <w:tcW w:w="1331" w:type="dxa"/>
            <w:shd w:val="clear" w:color="auto" w:fill="auto"/>
            <w:vAlign w:val="center"/>
          </w:tcPr>
          <w:p w14:paraId="6049371D" w14:textId="77777777" w:rsidR="00432FCC" w:rsidRDefault="00432FCC" w:rsidP="00432FCC">
            <w:pPr>
              <w:pStyle w:val="TableText"/>
              <w:rPr>
                <w:rFonts w:eastAsia="Symbol"/>
              </w:rPr>
            </w:pPr>
            <w:r>
              <w:t>No</w:t>
            </w:r>
          </w:p>
        </w:tc>
        <w:tc>
          <w:tcPr>
            <w:tcW w:w="4315" w:type="dxa"/>
            <w:shd w:val="clear" w:color="auto" w:fill="auto"/>
            <w:vAlign w:val="center"/>
          </w:tcPr>
          <w:p w14:paraId="73D43C95" w14:textId="77777777" w:rsidR="00432FCC" w:rsidRDefault="00432FCC" w:rsidP="00432FCC">
            <w:pPr>
              <w:pStyle w:val="TableText"/>
            </w:pPr>
          </w:p>
        </w:tc>
      </w:tr>
      <w:tr w:rsidR="00432FCC" w14:paraId="322CE894" w14:textId="77777777">
        <w:tc>
          <w:tcPr>
            <w:tcW w:w="1330" w:type="dxa"/>
            <w:shd w:val="clear" w:color="auto" w:fill="auto"/>
            <w:vAlign w:val="center"/>
          </w:tcPr>
          <w:p w14:paraId="19620522" w14:textId="77777777" w:rsidR="00432FCC" w:rsidRDefault="00432FCC" w:rsidP="00432FCC">
            <w:pPr>
              <w:pStyle w:val="TableText"/>
            </w:pPr>
            <w:r>
              <w:t>Anti-Au(b)</w:t>
            </w:r>
          </w:p>
        </w:tc>
        <w:tc>
          <w:tcPr>
            <w:tcW w:w="1331" w:type="dxa"/>
            <w:shd w:val="clear" w:color="auto" w:fill="auto"/>
            <w:vAlign w:val="center"/>
          </w:tcPr>
          <w:p w14:paraId="606B9781" w14:textId="77777777" w:rsidR="00432FCC" w:rsidRDefault="00432FCC" w:rsidP="00432FCC">
            <w:pPr>
              <w:pStyle w:val="TableText"/>
              <w:rPr>
                <w:rFonts w:eastAsia="Symbol"/>
              </w:rPr>
            </w:pPr>
            <w:r>
              <w:t>None</w:t>
            </w:r>
          </w:p>
        </w:tc>
        <w:tc>
          <w:tcPr>
            <w:tcW w:w="1053" w:type="dxa"/>
            <w:shd w:val="clear" w:color="auto" w:fill="auto"/>
            <w:vAlign w:val="center"/>
          </w:tcPr>
          <w:p w14:paraId="1AA02BDF" w14:textId="77777777" w:rsidR="00432FCC" w:rsidRDefault="00432FCC" w:rsidP="00432FCC">
            <w:pPr>
              <w:pStyle w:val="TableText"/>
            </w:pPr>
            <w:r>
              <w:t>No</w:t>
            </w:r>
          </w:p>
        </w:tc>
        <w:tc>
          <w:tcPr>
            <w:tcW w:w="1331" w:type="dxa"/>
            <w:shd w:val="clear" w:color="auto" w:fill="auto"/>
            <w:vAlign w:val="center"/>
          </w:tcPr>
          <w:p w14:paraId="0DBFD518" w14:textId="77777777" w:rsidR="00432FCC" w:rsidRDefault="00432FCC" w:rsidP="00432FCC">
            <w:pPr>
              <w:pStyle w:val="TableText"/>
            </w:pPr>
            <w:r>
              <w:t>No</w:t>
            </w:r>
          </w:p>
        </w:tc>
        <w:tc>
          <w:tcPr>
            <w:tcW w:w="4315" w:type="dxa"/>
            <w:shd w:val="clear" w:color="auto" w:fill="auto"/>
            <w:vAlign w:val="center"/>
          </w:tcPr>
          <w:p w14:paraId="135EAD59" w14:textId="77777777" w:rsidR="00432FCC" w:rsidRDefault="00432FCC" w:rsidP="00432FCC">
            <w:pPr>
              <w:pStyle w:val="TableText"/>
            </w:pPr>
          </w:p>
        </w:tc>
      </w:tr>
      <w:tr w:rsidR="00432FCC" w14:paraId="5FDECAC2" w14:textId="77777777">
        <w:tc>
          <w:tcPr>
            <w:tcW w:w="1330" w:type="dxa"/>
            <w:shd w:val="clear" w:color="auto" w:fill="auto"/>
            <w:vAlign w:val="center"/>
          </w:tcPr>
          <w:p w14:paraId="7FE346E9" w14:textId="77777777" w:rsidR="00432FCC" w:rsidRDefault="00432FCC" w:rsidP="00432FCC">
            <w:pPr>
              <w:pStyle w:val="TableText"/>
              <w:rPr>
                <w:rFonts w:eastAsia="Symbol"/>
              </w:rPr>
            </w:pPr>
            <w:r>
              <w:t>Anti-Ch</w:t>
            </w:r>
          </w:p>
        </w:tc>
        <w:tc>
          <w:tcPr>
            <w:tcW w:w="1331" w:type="dxa"/>
            <w:shd w:val="clear" w:color="auto" w:fill="auto"/>
            <w:vAlign w:val="center"/>
          </w:tcPr>
          <w:p w14:paraId="4D244DFB" w14:textId="77777777" w:rsidR="00432FCC" w:rsidRDefault="00432FCC" w:rsidP="00432FCC">
            <w:pPr>
              <w:pStyle w:val="TableText"/>
              <w:rPr>
                <w:rFonts w:eastAsia="Symbol"/>
              </w:rPr>
            </w:pPr>
            <w:r>
              <w:t>None</w:t>
            </w:r>
          </w:p>
        </w:tc>
        <w:tc>
          <w:tcPr>
            <w:tcW w:w="1053" w:type="dxa"/>
            <w:shd w:val="clear" w:color="auto" w:fill="auto"/>
            <w:vAlign w:val="center"/>
          </w:tcPr>
          <w:p w14:paraId="04D08169" w14:textId="77777777" w:rsidR="00432FCC" w:rsidRDefault="00432FCC" w:rsidP="00432FCC">
            <w:pPr>
              <w:pStyle w:val="TableText"/>
            </w:pPr>
            <w:r>
              <w:t>No</w:t>
            </w:r>
          </w:p>
        </w:tc>
        <w:tc>
          <w:tcPr>
            <w:tcW w:w="1331" w:type="dxa"/>
            <w:shd w:val="clear" w:color="auto" w:fill="auto"/>
            <w:vAlign w:val="center"/>
          </w:tcPr>
          <w:p w14:paraId="4E0149D9" w14:textId="77777777" w:rsidR="00432FCC" w:rsidRDefault="00432FCC" w:rsidP="00432FCC">
            <w:pPr>
              <w:pStyle w:val="TableText"/>
              <w:rPr>
                <w:rFonts w:eastAsia="Symbol"/>
              </w:rPr>
            </w:pPr>
            <w:r>
              <w:t>No</w:t>
            </w:r>
          </w:p>
        </w:tc>
        <w:tc>
          <w:tcPr>
            <w:tcW w:w="4315" w:type="dxa"/>
            <w:shd w:val="clear" w:color="auto" w:fill="auto"/>
            <w:vAlign w:val="center"/>
          </w:tcPr>
          <w:p w14:paraId="227AE639" w14:textId="77777777" w:rsidR="00432FCC" w:rsidRDefault="00432FCC" w:rsidP="00432FCC">
            <w:pPr>
              <w:pStyle w:val="TableText"/>
            </w:pPr>
          </w:p>
        </w:tc>
      </w:tr>
      <w:tr w:rsidR="00432FCC" w14:paraId="1394641F" w14:textId="77777777">
        <w:tc>
          <w:tcPr>
            <w:tcW w:w="1330" w:type="dxa"/>
            <w:shd w:val="clear" w:color="auto" w:fill="auto"/>
            <w:vAlign w:val="center"/>
          </w:tcPr>
          <w:p w14:paraId="01155B35" w14:textId="77777777" w:rsidR="00432FCC" w:rsidRDefault="00432FCC" w:rsidP="00432FCC">
            <w:pPr>
              <w:pStyle w:val="TableText"/>
              <w:rPr>
                <w:rFonts w:eastAsia="Symbol"/>
              </w:rPr>
            </w:pPr>
            <w:r>
              <w:t>Anti-Rg</w:t>
            </w:r>
          </w:p>
        </w:tc>
        <w:tc>
          <w:tcPr>
            <w:tcW w:w="1331" w:type="dxa"/>
            <w:shd w:val="clear" w:color="auto" w:fill="auto"/>
            <w:vAlign w:val="center"/>
          </w:tcPr>
          <w:p w14:paraId="2B58B4DB" w14:textId="77777777" w:rsidR="00432FCC" w:rsidRDefault="00432FCC" w:rsidP="00432FCC">
            <w:pPr>
              <w:pStyle w:val="TableText"/>
              <w:rPr>
                <w:rFonts w:eastAsia="Symbol"/>
              </w:rPr>
            </w:pPr>
            <w:r>
              <w:t>None</w:t>
            </w:r>
          </w:p>
        </w:tc>
        <w:tc>
          <w:tcPr>
            <w:tcW w:w="1053" w:type="dxa"/>
            <w:shd w:val="clear" w:color="auto" w:fill="auto"/>
            <w:vAlign w:val="center"/>
          </w:tcPr>
          <w:p w14:paraId="051EFCAC" w14:textId="77777777" w:rsidR="00432FCC" w:rsidRDefault="00432FCC" w:rsidP="00432FCC">
            <w:pPr>
              <w:pStyle w:val="TableText"/>
            </w:pPr>
            <w:r>
              <w:t>No</w:t>
            </w:r>
          </w:p>
        </w:tc>
        <w:tc>
          <w:tcPr>
            <w:tcW w:w="1331" w:type="dxa"/>
            <w:shd w:val="clear" w:color="auto" w:fill="auto"/>
            <w:vAlign w:val="center"/>
          </w:tcPr>
          <w:p w14:paraId="10CFF990" w14:textId="77777777" w:rsidR="00432FCC" w:rsidRDefault="00432FCC" w:rsidP="00432FCC">
            <w:pPr>
              <w:pStyle w:val="TableText"/>
              <w:rPr>
                <w:rFonts w:eastAsia="Symbol"/>
              </w:rPr>
            </w:pPr>
            <w:r>
              <w:t>No</w:t>
            </w:r>
          </w:p>
        </w:tc>
        <w:tc>
          <w:tcPr>
            <w:tcW w:w="4315" w:type="dxa"/>
            <w:shd w:val="clear" w:color="auto" w:fill="auto"/>
            <w:vAlign w:val="center"/>
          </w:tcPr>
          <w:p w14:paraId="15A5C572" w14:textId="77777777" w:rsidR="00432FCC" w:rsidRDefault="00432FCC" w:rsidP="00432FCC">
            <w:pPr>
              <w:pStyle w:val="TableText"/>
            </w:pPr>
          </w:p>
        </w:tc>
      </w:tr>
      <w:tr w:rsidR="00432FCC" w14:paraId="60B75C7E" w14:textId="77777777">
        <w:tc>
          <w:tcPr>
            <w:tcW w:w="1330" w:type="dxa"/>
            <w:shd w:val="clear" w:color="auto" w:fill="auto"/>
            <w:vAlign w:val="center"/>
          </w:tcPr>
          <w:p w14:paraId="3ED1AFD9" w14:textId="77777777" w:rsidR="00432FCC" w:rsidRDefault="00432FCC" w:rsidP="00432FCC">
            <w:pPr>
              <w:pStyle w:val="TableText"/>
              <w:rPr>
                <w:rFonts w:eastAsia="Symbol"/>
              </w:rPr>
            </w:pPr>
            <w:r>
              <w:t>Anti-Cs(a)</w:t>
            </w:r>
          </w:p>
        </w:tc>
        <w:tc>
          <w:tcPr>
            <w:tcW w:w="1331" w:type="dxa"/>
            <w:shd w:val="clear" w:color="auto" w:fill="auto"/>
            <w:vAlign w:val="center"/>
          </w:tcPr>
          <w:p w14:paraId="0D53EAF8" w14:textId="77777777" w:rsidR="00432FCC" w:rsidRDefault="00432FCC" w:rsidP="00432FCC">
            <w:pPr>
              <w:pStyle w:val="TableText"/>
              <w:rPr>
                <w:rFonts w:eastAsia="Symbol"/>
              </w:rPr>
            </w:pPr>
            <w:r>
              <w:t>None</w:t>
            </w:r>
          </w:p>
        </w:tc>
        <w:tc>
          <w:tcPr>
            <w:tcW w:w="1053" w:type="dxa"/>
            <w:shd w:val="clear" w:color="auto" w:fill="auto"/>
            <w:vAlign w:val="center"/>
          </w:tcPr>
          <w:p w14:paraId="6769E0B1" w14:textId="77777777" w:rsidR="00432FCC" w:rsidRDefault="00432FCC" w:rsidP="00432FCC">
            <w:pPr>
              <w:pStyle w:val="TableText"/>
            </w:pPr>
            <w:r>
              <w:t>No</w:t>
            </w:r>
          </w:p>
        </w:tc>
        <w:tc>
          <w:tcPr>
            <w:tcW w:w="1331" w:type="dxa"/>
            <w:shd w:val="clear" w:color="auto" w:fill="auto"/>
            <w:vAlign w:val="center"/>
          </w:tcPr>
          <w:p w14:paraId="63DDD3C5" w14:textId="77777777" w:rsidR="00432FCC" w:rsidRDefault="00432FCC" w:rsidP="00432FCC">
            <w:pPr>
              <w:pStyle w:val="TableText"/>
              <w:rPr>
                <w:rFonts w:eastAsia="Symbol"/>
              </w:rPr>
            </w:pPr>
            <w:r>
              <w:t>No</w:t>
            </w:r>
          </w:p>
        </w:tc>
        <w:tc>
          <w:tcPr>
            <w:tcW w:w="4315" w:type="dxa"/>
            <w:shd w:val="clear" w:color="auto" w:fill="auto"/>
            <w:vAlign w:val="center"/>
          </w:tcPr>
          <w:p w14:paraId="501214DE" w14:textId="77777777" w:rsidR="00432FCC" w:rsidRDefault="00432FCC" w:rsidP="00432FCC">
            <w:pPr>
              <w:pStyle w:val="TableText"/>
            </w:pPr>
          </w:p>
        </w:tc>
      </w:tr>
      <w:tr w:rsidR="00432FCC" w14:paraId="71827A4C" w14:textId="77777777">
        <w:tc>
          <w:tcPr>
            <w:tcW w:w="1330" w:type="dxa"/>
            <w:shd w:val="clear" w:color="auto" w:fill="auto"/>
            <w:vAlign w:val="center"/>
          </w:tcPr>
          <w:p w14:paraId="7564316D" w14:textId="77777777" w:rsidR="00432FCC" w:rsidRDefault="00432FCC" w:rsidP="00432FCC">
            <w:pPr>
              <w:pStyle w:val="TableText"/>
              <w:rPr>
                <w:rFonts w:eastAsia="Symbol"/>
              </w:rPr>
            </w:pPr>
            <w:r>
              <w:t>Anti-Yk(a)</w:t>
            </w:r>
          </w:p>
        </w:tc>
        <w:tc>
          <w:tcPr>
            <w:tcW w:w="1331" w:type="dxa"/>
            <w:shd w:val="clear" w:color="auto" w:fill="auto"/>
            <w:vAlign w:val="center"/>
          </w:tcPr>
          <w:p w14:paraId="1FC912C5" w14:textId="77777777" w:rsidR="00432FCC" w:rsidRDefault="00432FCC" w:rsidP="00432FCC">
            <w:pPr>
              <w:pStyle w:val="TableText"/>
              <w:rPr>
                <w:rFonts w:eastAsia="Symbol"/>
              </w:rPr>
            </w:pPr>
            <w:r>
              <w:t>None</w:t>
            </w:r>
          </w:p>
        </w:tc>
        <w:tc>
          <w:tcPr>
            <w:tcW w:w="1053" w:type="dxa"/>
            <w:shd w:val="clear" w:color="auto" w:fill="auto"/>
            <w:vAlign w:val="center"/>
          </w:tcPr>
          <w:p w14:paraId="7FE1BFE4" w14:textId="77777777" w:rsidR="00432FCC" w:rsidRDefault="00432FCC" w:rsidP="00432FCC">
            <w:pPr>
              <w:pStyle w:val="TableText"/>
            </w:pPr>
            <w:r>
              <w:t>No</w:t>
            </w:r>
          </w:p>
        </w:tc>
        <w:tc>
          <w:tcPr>
            <w:tcW w:w="1331" w:type="dxa"/>
            <w:shd w:val="clear" w:color="auto" w:fill="auto"/>
            <w:vAlign w:val="center"/>
          </w:tcPr>
          <w:p w14:paraId="128B941A" w14:textId="77777777" w:rsidR="00432FCC" w:rsidRDefault="00432FCC" w:rsidP="00432FCC">
            <w:pPr>
              <w:pStyle w:val="TableText"/>
              <w:rPr>
                <w:rFonts w:eastAsia="Symbol"/>
              </w:rPr>
            </w:pPr>
            <w:r>
              <w:t>No</w:t>
            </w:r>
          </w:p>
        </w:tc>
        <w:tc>
          <w:tcPr>
            <w:tcW w:w="4315" w:type="dxa"/>
            <w:shd w:val="clear" w:color="auto" w:fill="auto"/>
            <w:vAlign w:val="center"/>
          </w:tcPr>
          <w:p w14:paraId="0FBD701B" w14:textId="77777777" w:rsidR="00432FCC" w:rsidRDefault="00432FCC" w:rsidP="00432FCC">
            <w:pPr>
              <w:pStyle w:val="TableText"/>
            </w:pPr>
          </w:p>
        </w:tc>
      </w:tr>
      <w:tr w:rsidR="00432FCC" w14:paraId="6C764451" w14:textId="77777777">
        <w:tc>
          <w:tcPr>
            <w:tcW w:w="1330" w:type="dxa"/>
            <w:shd w:val="clear" w:color="auto" w:fill="auto"/>
            <w:vAlign w:val="center"/>
          </w:tcPr>
          <w:p w14:paraId="359AA22E" w14:textId="77777777" w:rsidR="00432FCC" w:rsidRDefault="00432FCC" w:rsidP="00432FCC">
            <w:pPr>
              <w:pStyle w:val="TableText"/>
              <w:rPr>
                <w:rFonts w:eastAsia="Symbol"/>
              </w:rPr>
            </w:pPr>
            <w:r>
              <w:t>Anti-Kn(a)</w:t>
            </w:r>
          </w:p>
        </w:tc>
        <w:tc>
          <w:tcPr>
            <w:tcW w:w="1331" w:type="dxa"/>
            <w:shd w:val="clear" w:color="auto" w:fill="auto"/>
            <w:vAlign w:val="center"/>
          </w:tcPr>
          <w:p w14:paraId="084CA032" w14:textId="77777777" w:rsidR="00432FCC" w:rsidRDefault="00432FCC" w:rsidP="00432FCC">
            <w:pPr>
              <w:pStyle w:val="TableText"/>
              <w:rPr>
                <w:rFonts w:eastAsia="Symbol"/>
              </w:rPr>
            </w:pPr>
            <w:r>
              <w:t>None</w:t>
            </w:r>
          </w:p>
        </w:tc>
        <w:tc>
          <w:tcPr>
            <w:tcW w:w="1053" w:type="dxa"/>
            <w:shd w:val="clear" w:color="auto" w:fill="auto"/>
            <w:vAlign w:val="center"/>
          </w:tcPr>
          <w:p w14:paraId="7EAA5DB3" w14:textId="77777777" w:rsidR="00432FCC" w:rsidRDefault="00432FCC" w:rsidP="00432FCC">
            <w:pPr>
              <w:pStyle w:val="TableText"/>
            </w:pPr>
            <w:r>
              <w:t>No</w:t>
            </w:r>
          </w:p>
        </w:tc>
        <w:tc>
          <w:tcPr>
            <w:tcW w:w="1331" w:type="dxa"/>
            <w:shd w:val="clear" w:color="auto" w:fill="auto"/>
            <w:vAlign w:val="center"/>
          </w:tcPr>
          <w:p w14:paraId="68D99D6D" w14:textId="77777777" w:rsidR="00432FCC" w:rsidRDefault="00432FCC" w:rsidP="00432FCC">
            <w:pPr>
              <w:pStyle w:val="TableText"/>
              <w:rPr>
                <w:rFonts w:eastAsia="Symbol"/>
              </w:rPr>
            </w:pPr>
            <w:r>
              <w:t>No</w:t>
            </w:r>
          </w:p>
        </w:tc>
        <w:tc>
          <w:tcPr>
            <w:tcW w:w="4315" w:type="dxa"/>
            <w:shd w:val="clear" w:color="auto" w:fill="auto"/>
            <w:vAlign w:val="center"/>
          </w:tcPr>
          <w:p w14:paraId="7F79531C" w14:textId="77777777" w:rsidR="00432FCC" w:rsidRDefault="00432FCC" w:rsidP="00432FCC">
            <w:pPr>
              <w:pStyle w:val="TableText"/>
            </w:pPr>
          </w:p>
        </w:tc>
      </w:tr>
      <w:tr w:rsidR="00432FCC" w14:paraId="58863466" w14:textId="77777777">
        <w:tc>
          <w:tcPr>
            <w:tcW w:w="1330" w:type="dxa"/>
            <w:shd w:val="clear" w:color="auto" w:fill="auto"/>
            <w:vAlign w:val="center"/>
          </w:tcPr>
          <w:p w14:paraId="1027CE0A" w14:textId="77777777" w:rsidR="00432FCC" w:rsidRDefault="00432FCC" w:rsidP="00432FCC">
            <w:pPr>
              <w:pStyle w:val="TableText"/>
              <w:rPr>
                <w:rFonts w:eastAsia="Symbol"/>
              </w:rPr>
            </w:pPr>
            <w:r>
              <w:t>Anti-McC(a)</w:t>
            </w:r>
          </w:p>
        </w:tc>
        <w:tc>
          <w:tcPr>
            <w:tcW w:w="1331" w:type="dxa"/>
            <w:shd w:val="clear" w:color="auto" w:fill="auto"/>
            <w:vAlign w:val="center"/>
          </w:tcPr>
          <w:p w14:paraId="62181DC9" w14:textId="77777777" w:rsidR="00432FCC" w:rsidRDefault="00432FCC" w:rsidP="00432FCC">
            <w:pPr>
              <w:pStyle w:val="TableText"/>
            </w:pPr>
            <w:r>
              <w:t>None</w:t>
            </w:r>
          </w:p>
        </w:tc>
        <w:tc>
          <w:tcPr>
            <w:tcW w:w="1053" w:type="dxa"/>
            <w:shd w:val="clear" w:color="auto" w:fill="auto"/>
            <w:vAlign w:val="center"/>
          </w:tcPr>
          <w:p w14:paraId="523BA526" w14:textId="77777777" w:rsidR="00432FCC" w:rsidRDefault="00432FCC" w:rsidP="00432FCC">
            <w:pPr>
              <w:pStyle w:val="TableText"/>
            </w:pPr>
            <w:r>
              <w:t>No</w:t>
            </w:r>
          </w:p>
        </w:tc>
        <w:tc>
          <w:tcPr>
            <w:tcW w:w="1331" w:type="dxa"/>
            <w:shd w:val="clear" w:color="auto" w:fill="auto"/>
            <w:vAlign w:val="center"/>
          </w:tcPr>
          <w:p w14:paraId="553B89AE" w14:textId="77777777" w:rsidR="00432FCC" w:rsidRDefault="00432FCC" w:rsidP="00432FCC">
            <w:pPr>
              <w:pStyle w:val="TableText"/>
              <w:rPr>
                <w:rFonts w:eastAsia="Symbol"/>
              </w:rPr>
            </w:pPr>
            <w:r>
              <w:t>No</w:t>
            </w:r>
          </w:p>
        </w:tc>
        <w:tc>
          <w:tcPr>
            <w:tcW w:w="4315" w:type="dxa"/>
            <w:shd w:val="clear" w:color="auto" w:fill="auto"/>
            <w:vAlign w:val="center"/>
          </w:tcPr>
          <w:p w14:paraId="681DC11C" w14:textId="77777777" w:rsidR="00432FCC" w:rsidRDefault="00432FCC" w:rsidP="00432FCC">
            <w:pPr>
              <w:pStyle w:val="TableText"/>
            </w:pPr>
          </w:p>
        </w:tc>
      </w:tr>
      <w:tr w:rsidR="00432FCC" w14:paraId="19209105" w14:textId="77777777">
        <w:tc>
          <w:tcPr>
            <w:tcW w:w="1330" w:type="dxa"/>
            <w:shd w:val="clear" w:color="auto" w:fill="auto"/>
            <w:vAlign w:val="center"/>
          </w:tcPr>
          <w:p w14:paraId="2F95161B" w14:textId="77777777" w:rsidR="00432FCC" w:rsidRDefault="00432FCC" w:rsidP="00432FCC">
            <w:pPr>
              <w:pStyle w:val="TableText"/>
              <w:rPr>
                <w:rFonts w:eastAsia="Symbol"/>
              </w:rPr>
            </w:pPr>
            <w:r>
              <w:t>Anti-JMH</w:t>
            </w:r>
          </w:p>
        </w:tc>
        <w:tc>
          <w:tcPr>
            <w:tcW w:w="1331" w:type="dxa"/>
            <w:shd w:val="clear" w:color="auto" w:fill="auto"/>
            <w:vAlign w:val="center"/>
          </w:tcPr>
          <w:p w14:paraId="057DD69D" w14:textId="77777777" w:rsidR="00432FCC" w:rsidRDefault="00432FCC" w:rsidP="00432FCC">
            <w:pPr>
              <w:pStyle w:val="TableText"/>
            </w:pPr>
            <w:r>
              <w:t>None</w:t>
            </w:r>
          </w:p>
        </w:tc>
        <w:tc>
          <w:tcPr>
            <w:tcW w:w="1053" w:type="dxa"/>
            <w:shd w:val="clear" w:color="auto" w:fill="auto"/>
            <w:vAlign w:val="center"/>
          </w:tcPr>
          <w:p w14:paraId="479EFF7B" w14:textId="77777777" w:rsidR="00432FCC" w:rsidRDefault="00432FCC" w:rsidP="00432FCC">
            <w:pPr>
              <w:pStyle w:val="TableText"/>
            </w:pPr>
            <w:r>
              <w:t>No</w:t>
            </w:r>
          </w:p>
        </w:tc>
        <w:tc>
          <w:tcPr>
            <w:tcW w:w="1331" w:type="dxa"/>
            <w:shd w:val="clear" w:color="auto" w:fill="auto"/>
            <w:vAlign w:val="center"/>
          </w:tcPr>
          <w:p w14:paraId="39BBDF3C" w14:textId="77777777" w:rsidR="00432FCC" w:rsidRDefault="00432FCC" w:rsidP="00432FCC">
            <w:pPr>
              <w:pStyle w:val="TableText"/>
              <w:rPr>
                <w:rFonts w:eastAsia="Symbol"/>
              </w:rPr>
            </w:pPr>
            <w:r>
              <w:t>No</w:t>
            </w:r>
          </w:p>
        </w:tc>
        <w:tc>
          <w:tcPr>
            <w:tcW w:w="4315" w:type="dxa"/>
            <w:shd w:val="clear" w:color="auto" w:fill="auto"/>
            <w:vAlign w:val="center"/>
          </w:tcPr>
          <w:p w14:paraId="776FDA8F" w14:textId="77777777" w:rsidR="00432FCC" w:rsidRDefault="00432FCC" w:rsidP="00432FCC">
            <w:pPr>
              <w:pStyle w:val="TableText"/>
            </w:pPr>
          </w:p>
        </w:tc>
      </w:tr>
      <w:tr w:rsidR="00432FCC" w14:paraId="1471BF81" w14:textId="77777777">
        <w:tc>
          <w:tcPr>
            <w:tcW w:w="1330" w:type="dxa"/>
            <w:shd w:val="clear" w:color="auto" w:fill="auto"/>
            <w:vAlign w:val="center"/>
          </w:tcPr>
          <w:p w14:paraId="1168240B" w14:textId="77777777" w:rsidR="00432FCC" w:rsidRDefault="00432FCC" w:rsidP="00432FCC">
            <w:pPr>
              <w:pStyle w:val="TableText"/>
              <w:rPr>
                <w:rFonts w:eastAsia="Symbol"/>
              </w:rPr>
            </w:pPr>
            <w:r>
              <w:t>Anti-Yt(a)</w:t>
            </w:r>
          </w:p>
        </w:tc>
        <w:tc>
          <w:tcPr>
            <w:tcW w:w="1331" w:type="dxa"/>
            <w:shd w:val="clear" w:color="auto" w:fill="auto"/>
            <w:vAlign w:val="center"/>
          </w:tcPr>
          <w:p w14:paraId="633B6873" w14:textId="77777777" w:rsidR="00432FCC" w:rsidRDefault="00432FCC" w:rsidP="00432FCC">
            <w:pPr>
              <w:pStyle w:val="TableText"/>
              <w:rPr>
                <w:rFonts w:eastAsia="Symbol"/>
              </w:rPr>
            </w:pPr>
            <w:r>
              <w:t>None</w:t>
            </w:r>
          </w:p>
        </w:tc>
        <w:tc>
          <w:tcPr>
            <w:tcW w:w="1053" w:type="dxa"/>
            <w:shd w:val="clear" w:color="auto" w:fill="auto"/>
            <w:vAlign w:val="center"/>
          </w:tcPr>
          <w:p w14:paraId="7922F54A" w14:textId="77777777" w:rsidR="00432FCC" w:rsidRDefault="00432FCC" w:rsidP="00432FCC">
            <w:pPr>
              <w:pStyle w:val="TableText"/>
            </w:pPr>
            <w:r>
              <w:t>No</w:t>
            </w:r>
          </w:p>
        </w:tc>
        <w:tc>
          <w:tcPr>
            <w:tcW w:w="1331" w:type="dxa"/>
            <w:shd w:val="clear" w:color="auto" w:fill="auto"/>
            <w:vAlign w:val="center"/>
          </w:tcPr>
          <w:p w14:paraId="4D291F34" w14:textId="77777777" w:rsidR="00432FCC" w:rsidRDefault="00432FCC" w:rsidP="00432FCC">
            <w:pPr>
              <w:pStyle w:val="TableText"/>
              <w:rPr>
                <w:rFonts w:eastAsia="Symbol"/>
              </w:rPr>
            </w:pPr>
            <w:r>
              <w:t>No</w:t>
            </w:r>
          </w:p>
        </w:tc>
        <w:tc>
          <w:tcPr>
            <w:tcW w:w="4315" w:type="dxa"/>
            <w:shd w:val="clear" w:color="auto" w:fill="auto"/>
            <w:vAlign w:val="center"/>
          </w:tcPr>
          <w:p w14:paraId="3D9EE987" w14:textId="77777777" w:rsidR="00432FCC" w:rsidRDefault="00432FCC" w:rsidP="00432FCC">
            <w:pPr>
              <w:pStyle w:val="TableText"/>
              <w:rPr>
                <w:rFonts w:eastAsia="Symbol"/>
              </w:rPr>
            </w:pPr>
          </w:p>
        </w:tc>
      </w:tr>
      <w:tr w:rsidR="00432FCC" w14:paraId="4B741AE6" w14:textId="77777777">
        <w:tc>
          <w:tcPr>
            <w:tcW w:w="1330" w:type="dxa"/>
            <w:shd w:val="clear" w:color="auto" w:fill="auto"/>
            <w:vAlign w:val="center"/>
          </w:tcPr>
          <w:p w14:paraId="6ACC7B12" w14:textId="77777777" w:rsidR="00432FCC" w:rsidRDefault="00432FCC" w:rsidP="00432FCC">
            <w:pPr>
              <w:pStyle w:val="TableText"/>
              <w:rPr>
                <w:rFonts w:eastAsia="Symbol"/>
              </w:rPr>
            </w:pPr>
            <w:r>
              <w:lastRenderedPageBreak/>
              <w:t>Anti-Yt(b)</w:t>
            </w:r>
          </w:p>
        </w:tc>
        <w:tc>
          <w:tcPr>
            <w:tcW w:w="1331" w:type="dxa"/>
            <w:shd w:val="clear" w:color="auto" w:fill="auto"/>
            <w:vAlign w:val="center"/>
          </w:tcPr>
          <w:p w14:paraId="419A5F1E" w14:textId="77777777" w:rsidR="00432FCC" w:rsidRDefault="00432FCC" w:rsidP="00432FCC">
            <w:pPr>
              <w:pStyle w:val="TableText"/>
              <w:rPr>
                <w:rFonts w:eastAsia="Symbol"/>
              </w:rPr>
            </w:pPr>
            <w:r>
              <w:t>None</w:t>
            </w:r>
          </w:p>
        </w:tc>
        <w:tc>
          <w:tcPr>
            <w:tcW w:w="1053" w:type="dxa"/>
            <w:shd w:val="clear" w:color="auto" w:fill="auto"/>
            <w:vAlign w:val="center"/>
          </w:tcPr>
          <w:p w14:paraId="5A3FEC38" w14:textId="77777777" w:rsidR="00432FCC" w:rsidRDefault="00432FCC" w:rsidP="00432FCC">
            <w:pPr>
              <w:pStyle w:val="TableText"/>
            </w:pPr>
            <w:r>
              <w:t>No</w:t>
            </w:r>
          </w:p>
        </w:tc>
        <w:tc>
          <w:tcPr>
            <w:tcW w:w="1331" w:type="dxa"/>
            <w:shd w:val="clear" w:color="auto" w:fill="auto"/>
            <w:vAlign w:val="center"/>
          </w:tcPr>
          <w:p w14:paraId="615616E1" w14:textId="77777777" w:rsidR="00432FCC" w:rsidRDefault="00432FCC" w:rsidP="00432FCC">
            <w:pPr>
              <w:pStyle w:val="TableText"/>
              <w:rPr>
                <w:rFonts w:eastAsia="Symbol"/>
              </w:rPr>
            </w:pPr>
            <w:r>
              <w:t>No</w:t>
            </w:r>
          </w:p>
        </w:tc>
        <w:tc>
          <w:tcPr>
            <w:tcW w:w="4315" w:type="dxa"/>
            <w:shd w:val="clear" w:color="auto" w:fill="auto"/>
            <w:vAlign w:val="center"/>
          </w:tcPr>
          <w:p w14:paraId="3EB89D37" w14:textId="77777777" w:rsidR="00432FCC" w:rsidRDefault="00432FCC" w:rsidP="00432FCC">
            <w:pPr>
              <w:pStyle w:val="TableText"/>
              <w:rPr>
                <w:rFonts w:eastAsia="Symbol"/>
              </w:rPr>
            </w:pPr>
          </w:p>
        </w:tc>
      </w:tr>
    </w:tbl>
    <w:p w14:paraId="4038D42E" w14:textId="77777777" w:rsidR="002E3C00" w:rsidRDefault="002E3C00" w:rsidP="002E3C00">
      <w:pPr>
        <w:pStyle w:val="Heading4"/>
        <w:rPr>
          <w:b w:val="0"/>
        </w:rPr>
      </w:pPr>
      <w:r>
        <w:t>User Roles with Access to This Option</w:t>
      </w:r>
      <w:r>
        <w:rPr>
          <w:b w:val="0"/>
        </w:rPr>
        <w:t xml:space="preserve"> </w:t>
      </w:r>
    </w:p>
    <w:p w14:paraId="5F30AE65" w14:textId="77777777" w:rsidR="002E3C00"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699F2FAE" w14:textId="77777777" w:rsidR="002E3C00" w:rsidRDefault="00B74754" w:rsidP="002E3C00">
      <w:pPr>
        <w:pStyle w:val="Heading4"/>
      </w:pPr>
      <w:r>
        <w:t>Preparation for Testing</w:t>
      </w:r>
    </w:p>
    <w:p w14:paraId="1AF521FF" w14:textId="77777777" w:rsidR="002E3C00" w:rsidRPr="00600497" w:rsidRDefault="002E3C00" w:rsidP="000409B1">
      <w:pPr>
        <w:pStyle w:val="ListNumber"/>
        <w:numPr>
          <w:ilvl w:val="0"/>
          <w:numId w:val="30"/>
        </w:numPr>
        <w:tabs>
          <w:tab w:val="clear" w:pos="720"/>
          <w:tab w:val="num" w:pos="360"/>
        </w:tabs>
        <w:ind w:left="360"/>
      </w:pPr>
      <w:r w:rsidRPr="00600497">
        <w:t>Change the antigen negative requirement setting on those currently not invoked. Change the percent compatible for your donor population.</w:t>
      </w:r>
    </w:p>
    <w:p w14:paraId="4925E9CF" w14:textId="77777777" w:rsidR="00232E43" w:rsidRPr="00FB7F8D" w:rsidRDefault="00232E43" w:rsidP="000409B1">
      <w:pPr>
        <w:pStyle w:val="ListNumber"/>
        <w:numPr>
          <w:ilvl w:val="0"/>
          <w:numId w:val="30"/>
        </w:numPr>
        <w:tabs>
          <w:tab w:val="clear" w:pos="720"/>
          <w:tab w:val="num" w:pos="360"/>
        </w:tabs>
        <w:ind w:left="360"/>
      </w:pPr>
      <w:r w:rsidRPr="00600497">
        <w:t>P</w:t>
      </w:r>
      <w:r w:rsidRPr="00FB7F8D">
        <w:t>rint</w:t>
      </w:r>
      <w:r>
        <w:t>, sign, date,</w:t>
      </w:r>
      <w:r w:rsidRPr="00FB7F8D">
        <w:t xml:space="preserve"> and save an </w:t>
      </w:r>
      <w:r>
        <w:t>A</w:t>
      </w:r>
      <w:r w:rsidRPr="00FB7F8D">
        <w:t xml:space="preserve">udit </w:t>
      </w:r>
      <w:r>
        <w:t>Trail R</w:t>
      </w:r>
      <w:r w:rsidRPr="00FB7F8D">
        <w:t>eport for your validation record.</w:t>
      </w:r>
    </w:p>
    <w:p w14:paraId="4E87908D" w14:textId="77777777" w:rsidR="002E3C00" w:rsidRDefault="002E3C00" w:rsidP="002E3C00">
      <w:pPr>
        <w:pStyle w:val="Heading3"/>
      </w:pPr>
      <w:bookmarkStart w:id="783" w:name="_Toc85895798"/>
      <w:bookmarkStart w:id="784" w:name="_Toc113264256"/>
      <w:bookmarkStart w:id="785" w:name="_Toc114462111"/>
      <w:bookmarkStart w:id="786" w:name="_Toc4588904"/>
      <w:r>
        <w:t>Update User Roles</w:t>
      </w:r>
      <w:bookmarkEnd w:id="783"/>
      <w:bookmarkEnd w:id="784"/>
      <w:bookmarkEnd w:id="785"/>
      <w:bookmarkEnd w:id="786"/>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Update User Roles</w:instrText>
      </w:r>
      <w:r w:rsidR="00992E88">
        <w:instrText xml:space="preserve">" </w:instrText>
      </w:r>
      <w:r w:rsidR="00992E88">
        <w:fldChar w:fldCharType="end"/>
      </w:r>
    </w:p>
    <w:p w14:paraId="41C14FB5" w14:textId="2DDA2C90" w:rsidR="002E3C00" w:rsidRDefault="002E3C00" w:rsidP="002E3C00">
      <w:pPr>
        <w:pStyle w:val="BodyText"/>
      </w:pPr>
      <w:r>
        <w:t>The user reviews and changes the user roles and associated security levels that determine which options and functions are available to a user in the division.</w:t>
      </w:r>
      <w:r w:rsidR="0056674A">
        <w:t xml:space="preserve"> For additional information, see </w:t>
      </w:r>
      <w:r w:rsidR="0056674A">
        <w:fldChar w:fldCharType="begin" w:fldLock="1"/>
      </w:r>
      <w:r w:rsidR="0056674A">
        <w:instrText xml:space="preserve"> REF _Ref508960702 \h </w:instrText>
      </w:r>
      <w:r w:rsidR="0056674A">
        <w:fldChar w:fldCharType="separate"/>
      </w:r>
      <w:r w:rsidR="00AB304C">
        <w:t xml:space="preserve">Appendix </w:t>
      </w:r>
      <w:r w:rsidR="00AB304C">
        <w:rPr>
          <w:noProof/>
        </w:rPr>
        <w:t>F</w:t>
      </w:r>
      <w:r w:rsidR="00AB304C">
        <w:t>: Work Process Flowcharts</w:t>
      </w:r>
      <w:r w:rsidR="0056674A">
        <w:fldChar w:fldCharType="end"/>
      </w:r>
      <w:r w:rsidR="0056674A">
        <w:t>.</w:t>
      </w:r>
    </w:p>
    <w:p w14:paraId="301BAE78" w14:textId="77777777" w:rsidR="002E3C00" w:rsidRDefault="002E3C00" w:rsidP="002E3C00">
      <w:pPr>
        <w:pStyle w:val="Heading4"/>
        <w:rPr>
          <w:b w:val="0"/>
        </w:rPr>
      </w:pPr>
      <w:r>
        <w:t>User Roles with Access to This Option</w:t>
      </w:r>
      <w:r>
        <w:rPr>
          <w:b w:val="0"/>
        </w:rPr>
        <w:t xml:space="preserve"> </w:t>
      </w:r>
    </w:p>
    <w:p w14:paraId="3100F1A9" w14:textId="77777777" w:rsidR="002E3C00" w:rsidRDefault="002E3C00" w:rsidP="002E3C00">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 (change user roles)</w:t>
      </w:r>
    </w:p>
    <w:p w14:paraId="0C439F7D" w14:textId="77777777" w:rsidR="002E3C00"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Pr>
          <w:snapToGrid w:val="0"/>
        </w:rPr>
        <w:t>Lead Technologist (view user roles)</w:t>
      </w:r>
    </w:p>
    <w:p w14:paraId="194A2FA4" w14:textId="77777777" w:rsidR="002E3C00" w:rsidRDefault="00B74754" w:rsidP="002E3C00">
      <w:pPr>
        <w:pStyle w:val="Heading4"/>
      </w:pPr>
      <w:r>
        <w:t>Preparation for Testing</w:t>
      </w:r>
    </w:p>
    <w:p w14:paraId="4E126704" w14:textId="77777777" w:rsidR="002E3C00" w:rsidRPr="00600497" w:rsidRDefault="002E3C00" w:rsidP="000409B1">
      <w:pPr>
        <w:pStyle w:val="ListNumber"/>
        <w:numPr>
          <w:ilvl w:val="0"/>
          <w:numId w:val="31"/>
        </w:numPr>
        <w:tabs>
          <w:tab w:val="clear" w:pos="720"/>
          <w:tab w:val="num" w:pos="360"/>
        </w:tabs>
        <w:ind w:left="360"/>
      </w:pPr>
      <w:r>
        <w:t xml:space="preserve">It is </w:t>
      </w:r>
      <w:r w:rsidRPr="00600497">
        <w:t xml:space="preserve">recommended to assign one Lead Technologist on each shift to respond to system overrides. </w:t>
      </w:r>
    </w:p>
    <w:p w14:paraId="3306E663" w14:textId="77777777" w:rsidR="00DD41F5" w:rsidRPr="00FB7F8D" w:rsidRDefault="00DD41F5" w:rsidP="000409B1">
      <w:pPr>
        <w:pStyle w:val="ListNumber"/>
        <w:numPr>
          <w:ilvl w:val="0"/>
          <w:numId w:val="31"/>
        </w:numPr>
        <w:tabs>
          <w:tab w:val="clear" w:pos="720"/>
          <w:tab w:val="num" w:pos="360"/>
        </w:tabs>
        <w:ind w:left="360"/>
      </w:pPr>
      <w:r w:rsidRPr="00600497">
        <w:t>Prin</w:t>
      </w:r>
      <w:r w:rsidRPr="00FB7F8D">
        <w:t>t</w:t>
      </w:r>
      <w:r>
        <w:t>, sign, date,</w:t>
      </w:r>
      <w:r w:rsidRPr="00FB7F8D">
        <w:t xml:space="preserve"> and save an </w:t>
      </w:r>
      <w:r>
        <w:t>A</w:t>
      </w:r>
      <w:r w:rsidRPr="00FB7F8D">
        <w:t xml:space="preserve">udit </w:t>
      </w:r>
      <w:r>
        <w:t>Trail R</w:t>
      </w:r>
      <w:r w:rsidRPr="00FB7F8D">
        <w:t>eport for your validation record.</w:t>
      </w:r>
    </w:p>
    <w:p w14:paraId="2AC126F4" w14:textId="77777777" w:rsidR="002E3C00" w:rsidRDefault="002E3C00" w:rsidP="00A57833">
      <w:pPr>
        <w:pStyle w:val="Heading3"/>
        <w:rPr>
          <w:snapToGrid w:val="0"/>
        </w:rPr>
      </w:pPr>
      <w:bookmarkStart w:id="787" w:name="_Toc114462112"/>
      <w:bookmarkStart w:id="788" w:name="_Toc4588905"/>
      <w:r>
        <w:rPr>
          <w:snapToGrid w:val="0"/>
        </w:rPr>
        <w:t>Testing</w:t>
      </w:r>
      <w:bookmarkEnd w:id="787"/>
      <w:bookmarkEnd w:id="788"/>
      <w:r w:rsidR="00992E88">
        <w:rPr>
          <w:snapToGrid w:val="0"/>
        </w:rPr>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rPr>
          <w:snapToGrid w:val="0"/>
        </w:rPr>
        <w:instrText>Testing</w:instrText>
      </w:r>
      <w:r w:rsidR="00992E88">
        <w:instrText xml:space="preserve">" </w:instrText>
      </w:r>
      <w:r w:rsidR="00992E88">
        <w:rPr>
          <w:snapToGrid w:val="0"/>
        </w:rPr>
        <w:fldChar w:fldCharType="end"/>
      </w:r>
    </w:p>
    <w:p w14:paraId="4F0020F4" w14:textId="77777777" w:rsidR="002E3C00" w:rsidRDefault="002E3C00" w:rsidP="002E3C00">
      <w:pPr>
        <w:pStyle w:val="BodyText"/>
        <w:rPr>
          <w:szCs w:val="15"/>
        </w:rPr>
      </w:pPr>
      <w:r>
        <w:rPr>
          <w:szCs w:val="15"/>
        </w:rPr>
        <w:t>Sample test scripts will be provided during the implementation of VBECS. Each site</w:t>
      </w:r>
      <w:r w:rsidRPr="00695B8D">
        <w:rPr>
          <w:szCs w:val="15"/>
        </w:rPr>
        <w:t xml:space="preserve"> </w:t>
      </w:r>
      <w:r>
        <w:rPr>
          <w:szCs w:val="15"/>
        </w:rPr>
        <w:t>must</w:t>
      </w:r>
      <w:r w:rsidRPr="00695B8D">
        <w:rPr>
          <w:szCs w:val="15"/>
        </w:rPr>
        <w:t xml:space="preserve"> evaluate </w:t>
      </w:r>
      <w:r>
        <w:rPr>
          <w:szCs w:val="15"/>
        </w:rPr>
        <w:t>the intended uses of the software</w:t>
      </w:r>
      <w:r w:rsidRPr="00695B8D">
        <w:rPr>
          <w:szCs w:val="15"/>
        </w:rPr>
        <w:t xml:space="preserve"> and make appropriate changes (additions</w:t>
      </w:r>
      <w:r>
        <w:rPr>
          <w:szCs w:val="15"/>
        </w:rPr>
        <w:t xml:space="preserve"> or deletions) to the</w:t>
      </w:r>
      <w:r w:rsidRPr="00695B8D">
        <w:rPr>
          <w:szCs w:val="15"/>
        </w:rPr>
        <w:t xml:space="preserve"> facility’s procedures</w:t>
      </w:r>
      <w:r>
        <w:rPr>
          <w:szCs w:val="15"/>
        </w:rPr>
        <w:t xml:space="preserve">, </w:t>
      </w:r>
      <w:r w:rsidRPr="00695B8D">
        <w:rPr>
          <w:szCs w:val="15"/>
        </w:rPr>
        <w:t>processes</w:t>
      </w:r>
      <w:r>
        <w:rPr>
          <w:szCs w:val="15"/>
        </w:rPr>
        <w:t>, policies, and test scripts</w:t>
      </w:r>
      <w:r w:rsidRPr="00695B8D">
        <w:rPr>
          <w:szCs w:val="15"/>
        </w:rPr>
        <w:t>.</w:t>
      </w:r>
      <w:r>
        <w:rPr>
          <w:szCs w:val="15"/>
        </w:rPr>
        <w:t xml:space="preserve"> </w:t>
      </w:r>
    </w:p>
    <w:p w14:paraId="52FD00F7" w14:textId="77777777" w:rsidR="002E3C00" w:rsidRDefault="002E3C00" w:rsidP="002E3C00">
      <w:pPr>
        <w:pStyle w:val="Caution"/>
        <w:rPr>
          <w:szCs w:val="15"/>
        </w:rPr>
      </w:pPr>
      <w:r w:rsidRPr="00695B8D">
        <w:rPr>
          <w:szCs w:val="15"/>
        </w:rPr>
        <w:t>You are required to validate your process</w:t>
      </w:r>
      <w:r>
        <w:rPr>
          <w:szCs w:val="15"/>
        </w:rPr>
        <w:t xml:space="preserve"> and how you use the software. You must also validate</w:t>
      </w:r>
      <w:r w:rsidRPr="00695B8D">
        <w:rPr>
          <w:szCs w:val="15"/>
        </w:rPr>
        <w:t xml:space="preserve"> the software </w:t>
      </w:r>
      <w:r>
        <w:rPr>
          <w:szCs w:val="15"/>
        </w:rPr>
        <w:t>itself</w:t>
      </w:r>
      <w:r w:rsidRPr="00695B8D">
        <w:rPr>
          <w:szCs w:val="15"/>
        </w:rPr>
        <w:t>.</w:t>
      </w:r>
      <w:r>
        <w:rPr>
          <w:szCs w:val="15"/>
        </w:rPr>
        <w:t xml:space="preserve"> </w:t>
      </w:r>
      <w:r>
        <w:t>Training users is an integral part of the validation process.</w:t>
      </w:r>
    </w:p>
    <w:p w14:paraId="4F1AD2C7" w14:textId="77777777" w:rsidR="002E3C00" w:rsidRDefault="00200B6D" w:rsidP="00A57833">
      <w:pPr>
        <w:pStyle w:val="Heading3"/>
      </w:pPr>
      <w:bookmarkStart w:id="789" w:name="_Toc85895801"/>
      <w:bookmarkStart w:id="790" w:name="_Toc113264257"/>
      <w:bookmarkStart w:id="791" w:name="_Toc114462113"/>
      <w:r>
        <w:br w:type="page"/>
      </w:r>
      <w:bookmarkStart w:id="792" w:name="_Toc4588906"/>
      <w:r w:rsidR="002E3C00">
        <w:lastRenderedPageBreak/>
        <w:t xml:space="preserve">VBECS </w:t>
      </w:r>
      <w:r w:rsidR="00297B5F">
        <w:t xml:space="preserve">Forms and </w:t>
      </w:r>
      <w:r w:rsidR="002E3C00">
        <w:t>Reports</w:t>
      </w:r>
      <w:bookmarkEnd w:id="789"/>
      <w:bookmarkEnd w:id="790"/>
      <w:bookmarkEnd w:id="791"/>
      <w:bookmarkEnd w:id="792"/>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VBECS Forms and Reports</w:instrText>
      </w:r>
      <w:r w:rsidR="00992E88">
        <w:instrText xml:space="preserve">" </w:instrText>
      </w:r>
      <w:r w:rsidR="00992E88">
        <w:fldChar w:fldCharType="end"/>
      </w:r>
    </w:p>
    <w:p w14:paraId="53150E55" w14:textId="77777777" w:rsidR="00297B5F" w:rsidRDefault="002E3C00" w:rsidP="002E3C00">
      <w:pPr>
        <w:pStyle w:val="BodyText"/>
        <w:sectPr w:rsidR="00297B5F" w:rsidSect="00EE771C">
          <w:headerReference w:type="even" r:id="rId250"/>
          <w:pgSz w:w="12240" w:h="15840" w:code="1"/>
          <w:pgMar w:top="1440" w:right="1440" w:bottom="1440" w:left="1440" w:header="720" w:footer="720" w:gutter="0"/>
          <w:cols w:space="720"/>
          <w:docGrid w:linePitch="360"/>
        </w:sectPr>
      </w:pPr>
      <w:r>
        <w:t xml:space="preserve">Print </w:t>
      </w:r>
      <w:r w:rsidR="00AE3F2C">
        <w:t xml:space="preserve">and review these </w:t>
      </w:r>
      <w:r>
        <w:t xml:space="preserve">reports </w:t>
      </w:r>
      <w:r w:rsidR="00AE3F2C">
        <w:t>and forms at the end of</w:t>
      </w:r>
      <w:r>
        <w:t xml:space="preserve"> validation testing. </w:t>
      </w:r>
      <w:bookmarkStart w:id="793" w:name="Check1"/>
    </w:p>
    <w:p w14:paraId="69D3BE40"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647F4E">
        <w:rPr>
          <w:snapToGrid w:val="0"/>
        </w:rPr>
      </w:r>
      <w:r w:rsidR="00647F4E">
        <w:rPr>
          <w:snapToGrid w:val="0"/>
        </w:rPr>
        <w:fldChar w:fldCharType="separate"/>
      </w:r>
      <w:r>
        <w:rPr>
          <w:snapToGrid w:val="0"/>
        </w:rPr>
        <w:fldChar w:fldCharType="end"/>
      </w:r>
      <w:bookmarkEnd w:id="793"/>
      <w:r>
        <w:rPr>
          <w:snapToGrid w:val="0"/>
        </w:rPr>
        <w:t xml:space="preserve"> Administrative Data </w:t>
      </w:r>
    </w:p>
    <w:p w14:paraId="7B368240"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647F4E">
        <w:rPr>
          <w:snapToGrid w:val="0"/>
        </w:rPr>
      </w:r>
      <w:r w:rsidR="00647F4E">
        <w:rPr>
          <w:snapToGrid w:val="0"/>
        </w:rPr>
        <w:fldChar w:fldCharType="separate"/>
      </w:r>
      <w:r>
        <w:rPr>
          <w:snapToGrid w:val="0"/>
        </w:rPr>
        <w:fldChar w:fldCharType="end"/>
      </w:r>
      <w:r>
        <w:rPr>
          <w:snapToGrid w:val="0"/>
        </w:rPr>
        <w:t xml:space="preserve"> Audit Trail </w:t>
      </w:r>
    </w:p>
    <w:p w14:paraId="752FCBC1"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647F4E">
        <w:rPr>
          <w:snapToGrid w:val="0"/>
        </w:rPr>
      </w:r>
      <w:r w:rsidR="00647F4E">
        <w:rPr>
          <w:snapToGrid w:val="0"/>
        </w:rPr>
        <w:fldChar w:fldCharType="separate"/>
      </w:r>
      <w:r>
        <w:rPr>
          <w:snapToGrid w:val="0"/>
        </w:rPr>
        <w:fldChar w:fldCharType="end"/>
      </w:r>
      <w:r>
        <w:rPr>
          <w:snapToGrid w:val="0"/>
        </w:rPr>
        <w:t xml:space="preserve"> Blood Availability </w:t>
      </w:r>
    </w:p>
    <w:p w14:paraId="45A8AAB7"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647F4E">
        <w:rPr>
          <w:snapToGrid w:val="0"/>
        </w:rPr>
      </w:r>
      <w:r w:rsidR="00647F4E">
        <w:rPr>
          <w:snapToGrid w:val="0"/>
        </w:rPr>
        <w:fldChar w:fldCharType="separate"/>
      </w:r>
      <w:r>
        <w:rPr>
          <w:snapToGrid w:val="0"/>
        </w:rPr>
        <w:fldChar w:fldCharType="end"/>
      </w:r>
      <w:r>
        <w:rPr>
          <w:snapToGrid w:val="0"/>
        </w:rPr>
        <w:t xml:space="preserve"> Cost Accounting </w:t>
      </w:r>
    </w:p>
    <w:p w14:paraId="72AA1534"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647F4E">
        <w:rPr>
          <w:snapToGrid w:val="0"/>
        </w:rPr>
      </w:r>
      <w:r w:rsidR="00647F4E">
        <w:rPr>
          <w:snapToGrid w:val="0"/>
        </w:rPr>
        <w:fldChar w:fldCharType="separate"/>
      </w:r>
      <w:r>
        <w:rPr>
          <w:snapToGrid w:val="0"/>
        </w:rPr>
        <w:fldChar w:fldCharType="end"/>
      </w:r>
      <w:r>
        <w:rPr>
          <w:snapToGrid w:val="0"/>
        </w:rPr>
        <w:t xml:space="preserve"> </w:t>
      </w:r>
      <w:r>
        <w:t xml:space="preserve">C:T Ratio </w:t>
      </w:r>
    </w:p>
    <w:p w14:paraId="01FC6D39"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647F4E">
        <w:rPr>
          <w:snapToGrid w:val="0"/>
        </w:rPr>
      </w:r>
      <w:r w:rsidR="00647F4E">
        <w:rPr>
          <w:snapToGrid w:val="0"/>
        </w:rPr>
        <w:fldChar w:fldCharType="separate"/>
      </w:r>
      <w:r>
        <w:rPr>
          <w:snapToGrid w:val="0"/>
        </w:rPr>
        <w:fldChar w:fldCharType="end"/>
      </w:r>
      <w:r>
        <w:rPr>
          <w:snapToGrid w:val="0"/>
        </w:rPr>
        <w:t xml:space="preserve"> Division Transfusion </w:t>
      </w:r>
    </w:p>
    <w:p w14:paraId="4BF6C49A"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647F4E">
        <w:rPr>
          <w:snapToGrid w:val="0"/>
        </w:rPr>
      </w:r>
      <w:r w:rsidR="00647F4E">
        <w:rPr>
          <w:snapToGrid w:val="0"/>
        </w:rPr>
        <w:fldChar w:fldCharType="separate"/>
      </w:r>
      <w:r>
        <w:rPr>
          <w:snapToGrid w:val="0"/>
        </w:rPr>
        <w:fldChar w:fldCharType="end"/>
      </w:r>
      <w:r>
        <w:rPr>
          <w:snapToGrid w:val="0"/>
        </w:rPr>
        <w:t xml:space="preserve"> Division Workload </w:t>
      </w:r>
    </w:p>
    <w:p w14:paraId="54E117D2"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647F4E">
        <w:rPr>
          <w:snapToGrid w:val="0"/>
        </w:rPr>
      </w:r>
      <w:r w:rsidR="00647F4E">
        <w:rPr>
          <w:snapToGrid w:val="0"/>
        </w:rPr>
        <w:fldChar w:fldCharType="separate"/>
      </w:r>
      <w:r>
        <w:rPr>
          <w:snapToGrid w:val="0"/>
        </w:rPr>
        <w:fldChar w:fldCharType="end"/>
      </w:r>
      <w:r>
        <w:rPr>
          <w:snapToGrid w:val="0"/>
        </w:rPr>
        <w:t xml:space="preserve"> Exception </w:t>
      </w:r>
    </w:p>
    <w:p w14:paraId="5A5BB5E5"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647F4E">
        <w:rPr>
          <w:snapToGrid w:val="0"/>
        </w:rPr>
      </w:r>
      <w:r w:rsidR="00647F4E">
        <w:rPr>
          <w:snapToGrid w:val="0"/>
        </w:rPr>
        <w:fldChar w:fldCharType="separate"/>
      </w:r>
      <w:r>
        <w:rPr>
          <w:snapToGrid w:val="0"/>
        </w:rPr>
        <w:fldChar w:fldCharType="end"/>
      </w:r>
      <w:r>
        <w:rPr>
          <w:snapToGrid w:val="0"/>
        </w:rPr>
        <w:t xml:space="preserve"> Finalize/Print TRW</w:t>
      </w:r>
    </w:p>
    <w:p w14:paraId="0B5DED88"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647F4E">
        <w:rPr>
          <w:snapToGrid w:val="0"/>
        </w:rPr>
      </w:r>
      <w:r w:rsidR="00647F4E">
        <w:rPr>
          <w:snapToGrid w:val="0"/>
        </w:rPr>
        <w:fldChar w:fldCharType="separate"/>
      </w:r>
      <w:r>
        <w:rPr>
          <w:snapToGrid w:val="0"/>
        </w:rPr>
        <w:fldChar w:fldCharType="end"/>
      </w:r>
      <w:r>
        <w:rPr>
          <w:snapToGrid w:val="0"/>
        </w:rPr>
        <w:t xml:space="preserve"> Inappropriate Transfusion Request </w:t>
      </w:r>
    </w:p>
    <w:p w14:paraId="2D6E3DFE"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647F4E">
        <w:rPr>
          <w:snapToGrid w:val="0"/>
        </w:rPr>
      </w:r>
      <w:r w:rsidR="00647F4E">
        <w:rPr>
          <w:snapToGrid w:val="0"/>
        </w:rPr>
        <w:fldChar w:fldCharType="separate"/>
      </w:r>
      <w:r>
        <w:rPr>
          <w:snapToGrid w:val="0"/>
        </w:rPr>
        <w:fldChar w:fldCharType="end"/>
      </w:r>
      <w:r>
        <w:rPr>
          <w:snapToGrid w:val="0"/>
        </w:rPr>
        <w:t xml:space="preserve"> Issued/Returned </w:t>
      </w:r>
    </w:p>
    <w:p w14:paraId="794D0CF7"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647F4E">
        <w:rPr>
          <w:snapToGrid w:val="0"/>
        </w:rPr>
      </w:r>
      <w:r w:rsidR="00647F4E">
        <w:rPr>
          <w:snapToGrid w:val="0"/>
        </w:rPr>
        <w:fldChar w:fldCharType="separate"/>
      </w:r>
      <w:r>
        <w:rPr>
          <w:snapToGrid w:val="0"/>
        </w:rPr>
        <w:fldChar w:fldCharType="end"/>
      </w:r>
      <w:r>
        <w:rPr>
          <w:snapToGrid w:val="0"/>
        </w:rPr>
        <w:t xml:space="preserve"> Maintain Equipment (Print)</w:t>
      </w:r>
    </w:p>
    <w:p w14:paraId="1BF75BD0"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647F4E">
        <w:rPr>
          <w:snapToGrid w:val="0"/>
        </w:rPr>
      </w:r>
      <w:r w:rsidR="00647F4E">
        <w:rPr>
          <w:snapToGrid w:val="0"/>
        </w:rPr>
        <w:fldChar w:fldCharType="separate"/>
      </w:r>
      <w:r>
        <w:rPr>
          <w:snapToGrid w:val="0"/>
        </w:rPr>
        <w:fldChar w:fldCharType="end"/>
      </w:r>
      <w:r>
        <w:rPr>
          <w:snapToGrid w:val="0"/>
        </w:rPr>
        <w:t xml:space="preserve"> Order History </w:t>
      </w:r>
    </w:p>
    <w:p w14:paraId="7B8A0C9B" w14:textId="77777777" w:rsidR="00200B6D" w:rsidRDefault="00200B6D" w:rsidP="00200B6D">
      <w:pPr>
        <w:pStyle w:val="BodyText"/>
        <w:rPr>
          <w:snapToGrid w:val="0"/>
        </w:rPr>
      </w:pPr>
      <w:r>
        <w:rPr>
          <w:snapToGrid w:val="0"/>
        </w:rPr>
        <w:br w:type="column"/>
      </w:r>
      <w:r>
        <w:rPr>
          <w:snapToGrid w:val="0"/>
        </w:rPr>
        <w:fldChar w:fldCharType="begin">
          <w:ffData>
            <w:name w:val="Check1"/>
            <w:enabled/>
            <w:calcOnExit w:val="0"/>
            <w:checkBox>
              <w:sizeAuto/>
              <w:default w:val="0"/>
            </w:checkBox>
          </w:ffData>
        </w:fldChar>
      </w:r>
      <w:r>
        <w:rPr>
          <w:snapToGrid w:val="0"/>
        </w:rPr>
        <w:instrText xml:space="preserve"> FORMCHECKBOX </w:instrText>
      </w:r>
      <w:r w:rsidR="00647F4E">
        <w:rPr>
          <w:snapToGrid w:val="0"/>
        </w:rPr>
      </w:r>
      <w:r w:rsidR="00647F4E">
        <w:rPr>
          <w:snapToGrid w:val="0"/>
        </w:rPr>
        <w:fldChar w:fldCharType="separate"/>
      </w:r>
      <w:r>
        <w:rPr>
          <w:snapToGrid w:val="0"/>
        </w:rPr>
        <w:fldChar w:fldCharType="end"/>
      </w:r>
      <w:r>
        <w:rPr>
          <w:snapToGrid w:val="0"/>
        </w:rPr>
        <w:t xml:space="preserve"> Patient History </w:t>
      </w:r>
    </w:p>
    <w:p w14:paraId="7A129289" w14:textId="77777777" w:rsidR="002E3C00" w:rsidRDefault="002E3C00" w:rsidP="002E3C00">
      <w:pPr>
        <w:pStyle w:val="BodyText"/>
        <w:rPr>
          <w:snapToGrid w:val="0"/>
          <w:color w:val="00000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647F4E">
        <w:rPr>
          <w:snapToGrid w:val="0"/>
        </w:rPr>
      </w:r>
      <w:r w:rsidR="00647F4E">
        <w:rPr>
          <w:snapToGrid w:val="0"/>
        </w:rPr>
        <w:fldChar w:fldCharType="separate"/>
      </w:r>
      <w:r>
        <w:rPr>
          <w:snapToGrid w:val="0"/>
        </w:rPr>
        <w:fldChar w:fldCharType="end"/>
      </w:r>
      <w:r>
        <w:rPr>
          <w:snapToGrid w:val="0"/>
        </w:rPr>
        <w:t xml:space="preserve"> Print Unit Caution Tag &amp; Transfusion Record Form </w:t>
      </w:r>
    </w:p>
    <w:p w14:paraId="358C9844"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647F4E">
        <w:rPr>
          <w:snapToGrid w:val="0"/>
        </w:rPr>
      </w:r>
      <w:r w:rsidR="00647F4E">
        <w:rPr>
          <w:snapToGrid w:val="0"/>
        </w:rPr>
        <w:fldChar w:fldCharType="separate"/>
      </w:r>
      <w:r>
        <w:rPr>
          <w:snapToGrid w:val="0"/>
        </w:rPr>
        <w:fldChar w:fldCharType="end"/>
      </w:r>
      <w:r>
        <w:rPr>
          <w:snapToGrid w:val="0"/>
        </w:rPr>
        <w:t xml:space="preserve"> </w:t>
      </w:r>
      <w:r>
        <w:t xml:space="preserve">Prolonged Transfusion Time </w:t>
      </w:r>
    </w:p>
    <w:p w14:paraId="6DBA4457"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647F4E">
        <w:rPr>
          <w:snapToGrid w:val="0"/>
        </w:rPr>
      </w:r>
      <w:r w:rsidR="00647F4E">
        <w:rPr>
          <w:snapToGrid w:val="0"/>
        </w:rPr>
        <w:fldChar w:fldCharType="separate"/>
      </w:r>
      <w:r>
        <w:rPr>
          <w:snapToGrid w:val="0"/>
        </w:rPr>
        <w:fldChar w:fldCharType="end"/>
      </w:r>
      <w:r>
        <w:rPr>
          <w:snapToGrid w:val="0"/>
        </w:rPr>
        <w:t xml:space="preserve"> Testing Worklist </w:t>
      </w:r>
    </w:p>
    <w:p w14:paraId="1DDC9D11"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647F4E">
        <w:rPr>
          <w:snapToGrid w:val="0"/>
        </w:rPr>
      </w:r>
      <w:r w:rsidR="00647F4E">
        <w:rPr>
          <w:snapToGrid w:val="0"/>
        </w:rPr>
        <w:fldChar w:fldCharType="separate"/>
      </w:r>
      <w:r>
        <w:rPr>
          <w:snapToGrid w:val="0"/>
        </w:rPr>
        <w:fldChar w:fldCharType="end"/>
      </w:r>
      <w:r>
        <w:rPr>
          <w:snapToGrid w:val="0"/>
        </w:rPr>
        <w:t xml:space="preserve"> Transfusion Complications </w:t>
      </w:r>
    </w:p>
    <w:p w14:paraId="3382588A"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647F4E">
        <w:rPr>
          <w:snapToGrid w:val="0"/>
        </w:rPr>
      </w:r>
      <w:r w:rsidR="00647F4E">
        <w:rPr>
          <w:snapToGrid w:val="0"/>
        </w:rPr>
        <w:fldChar w:fldCharType="separate"/>
      </w:r>
      <w:r>
        <w:rPr>
          <w:snapToGrid w:val="0"/>
        </w:rPr>
        <w:fldChar w:fldCharType="end"/>
      </w:r>
      <w:r>
        <w:rPr>
          <w:snapToGrid w:val="0"/>
        </w:rPr>
        <w:t xml:space="preserve"> Transfusion Effectiveness </w:t>
      </w:r>
    </w:p>
    <w:p w14:paraId="2A8B64ED"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647F4E">
        <w:rPr>
          <w:snapToGrid w:val="0"/>
        </w:rPr>
      </w:r>
      <w:r w:rsidR="00647F4E">
        <w:rPr>
          <w:snapToGrid w:val="0"/>
        </w:rPr>
        <w:fldChar w:fldCharType="separate"/>
      </w:r>
      <w:r>
        <w:rPr>
          <w:snapToGrid w:val="0"/>
        </w:rPr>
        <w:fldChar w:fldCharType="end"/>
      </w:r>
      <w:r>
        <w:rPr>
          <w:snapToGrid w:val="0"/>
        </w:rPr>
        <w:t xml:space="preserve"> </w:t>
      </w:r>
      <w:r>
        <w:t xml:space="preserve">Transfusion Reaction Count </w:t>
      </w:r>
    </w:p>
    <w:p w14:paraId="40AB93D1"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647F4E">
        <w:rPr>
          <w:snapToGrid w:val="0"/>
        </w:rPr>
      </w:r>
      <w:r w:rsidR="00647F4E">
        <w:rPr>
          <w:snapToGrid w:val="0"/>
        </w:rPr>
        <w:fldChar w:fldCharType="separate"/>
      </w:r>
      <w:r>
        <w:rPr>
          <w:snapToGrid w:val="0"/>
        </w:rPr>
        <w:fldChar w:fldCharType="end"/>
      </w:r>
      <w:r>
        <w:rPr>
          <w:snapToGrid w:val="0"/>
        </w:rPr>
        <w:t xml:space="preserve"> Transfusion Requirements </w:t>
      </w:r>
    </w:p>
    <w:p w14:paraId="115289DA"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647F4E">
        <w:rPr>
          <w:snapToGrid w:val="0"/>
        </w:rPr>
      </w:r>
      <w:r w:rsidR="00647F4E">
        <w:rPr>
          <w:snapToGrid w:val="0"/>
        </w:rPr>
        <w:fldChar w:fldCharType="separate"/>
      </w:r>
      <w:r>
        <w:rPr>
          <w:snapToGrid w:val="0"/>
        </w:rPr>
        <w:fldChar w:fldCharType="end"/>
      </w:r>
      <w:r>
        <w:rPr>
          <w:snapToGrid w:val="0"/>
        </w:rPr>
        <w:t xml:space="preserve"> Unit History </w:t>
      </w:r>
    </w:p>
    <w:p w14:paraId="267F2A44"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647F4E">
        <w:rPr>
          <w:snapToGrid w:val="0"/>
        </w:rPr>
      </w:r>
      <w:r w:rsidR="00647F4E">
        <w:rPr>
          <w:snapToGrid w:val="0"/>
        </w:rPr>
        <w:fldChar w:fldCharType="separate"/>
      </w:r>
      <w:r>
        <w:rPr>
          <w:snapToGrid w:val="0"/>
        </w:rPr>
        <w:fldChar w:fldCharType="end"/>
      </w:r>
      <w:r>
        <w:rPr>
          <w:snapToGrid w:val="0"/>
        </w:rPr>
        <w:t xml:space="preserve"> View/Print Equipment Inventory</w:t>
      </w:r>
    </w:p>
    <w:p w14:paraId="778543C6"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647F4E">
        <w:rPr>
          <w:snapToGrid w:val="0"/>
        </w:rPr>
      </w:r>
      <w:r w:rsidR="00647F4E">
        <w:rPr>
          <w:snapToGrid w:val="0"/>
        </w:rPr>
        <w:fldChar w:fldCharType="separate"/>
      </w:r>
      <w:r>
        <w:rPr>
          <w:snapToGrid w:val="0"/>
        </w:rPr>
        <w:fldChar w:fldCharType="end"/>
      </w:r>
      <w:r>
        <w:rPr>
          <w:snapToGrid w:val="0"/>
        </w:rPr>
        <w:t xml:space="preserve"> View/Print Inventory (Reagent)</w:t>
      </w:r>
    </w:p>
    <w:p w14:paraId="4E85F14C"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647F4E">
        <w:rPr>
          <w:snapToGrid w:val="0"/>
        </w:rPr>
      </w:r>
      <w:r w:rsidR="00647F4E">
        <w:rPr>
          <w:snapToGrid w:val="0"/>
        </w:rPr>
        <w:fldChar w:fldCharType="separate"/>
      </w:r>
      <w:r>
        <w:rPr>
          <w:snapToGrid w:val="0"/>
        </w:rPr>
        <w:fldChar w:fldCharType="end"/>
      </w:r>
      <w:r>
        <w:rPr>
          <w:snapToGrid w:val="0"/>
        </w:rPr>
        <w:t xml:space="preserve"> View/Print Supply Inventory</w:t>
      </w:r>
    </w:p>
    <w:p w14:paraId="0386DFE2" w14:textId="77777777" w:rsidR="00297B5F" w:rsidRDefault="00297B5F">
      <w:pPr>
        <w:pStyle w:val="Heading2"/>
        <w:sectPr w:rsidR="00297B5F" w:rsidSect="00EE771C">
          <w:type w:val="continuous"/>
          <w:pgSz w:w="12240" w:h="15840" w:code="1"/>
          <w:pgMar w:top="1440" w:right="1440" w:bottom="1440" w:left="1440" w:header="720" w:footer="720" w:gutter="0"/>
          <w:cols w:num="2" w:space="720"/>
          <w:docGrid w:linePitch="360"/>
        </w:sectPr>
      </w:pPr>
    </w:p>
    <w:p w14:paraId="68478A76" w14:textId="77777777" w:rsidR="00E9554D" w:rsidRDefault="00E9554D" w:rsidP="00E9554D">
      <w:pPr>
        <w:pStyle w:val="BodyText"/>
        <w:jc w:val="center"/>
      </w:pPr>
      <w:r>
        <w:lastRenderedPageBreak/>
        <w:t>This page intentionally left blank.</w:t>
      </w:r>
    </w:p>
    <w:p w14:paraId="1B97B4E6" w14:textId="074978C1" w:rsidR="002A21AE" w:rsidRDefault="00E9554D">
      <w:pPr>
        <w:pStyle w:val="Heading2"/>
      </w:pPr>
      <w:r>
        <w:br w:type="page"/>
      </w:r>
      <w:bookmarkStart w:id="794" w:name="_Ref508960075"/>
      <w:bookmarkStart w:id="795" w:name="_Ref508960255"/>
      <w:bookmarkStart w:id="796" w:name="_Ref508960299"/>
      <w:bookmarkStart w:id="797" w:name="_Ref508960349"/>
      <w:bookmarkStart w:id="798" w:name="_Ref508960702"/>
      <w:bookmarkStart w:id="799" w:name="_Ref508960811"/>
      <w:bookmarkStart w:id="800" w:name="_Toc4588907"/>
      <w:r w:rsidR="002A21AE">
        <w:lastRenderedPageBreak/>
        <w:t xml:space="preserve">Appendix </w:t>
      </w:r>
      <w:r w:rsidR="001B0B0C">
        <w:rPr>
          <w:noProof/>
        </w:rPr>
        <w:t>G</w:t>
      </w:r>
      <w:r w:rsidR="002A21AE">
        <w:t xml:space="preserve">: </w:t>
      </w:r>
      <w:r w:rsidR="00681DED">
        <w:t>Work Process Flowcharts</w:t>
      </w:r>
      <w:bookmarkEnd w:id="794"/>
      <w:bookmarkEnd w:id="795"/>
      <w:bookmarkEnd w:id="796"/>
      <w:bookmarkEnd w:id="797"/>
      <w:bookmarkEnd w:id="798"/>
      <w:bookmarkEnd w:id="799"/>
      <w:bookmarkEnd w:id="800"/>
      <w:r w:rsidR="002A21AE">
        <w:fldChar w:fldCharType="begin"/>
      </w:r>
      <w:r w:rsidR="002A21AE">
        <w:instrText xml:space="preserve"> XE </w:instrText>
      </w:r>
      <w:r w:rsidR="00FA7E65">
        <w:instrText>“</w:instrText>
      </w:r>
      <w:r w:rsidR="00681DED">
        <w:instrText>Work Process Flowcharts</w:instrText>
      </w:r>
      <w:r w:rsidR="00FA7E65">
        <w:instrText>”</w:instrText>
      </w:r>
      <w:r w:rsidR="002A21AE">
        <w:instrText xml:space="preserve"> </w:instrText>
      </w:r>
      <w:r w:rsidR="002A21AE">
        <w:fldChar w:fldCharType="end"/>
      </w:r>
    </w:p>
    <w:p w14:paraId="2603A1D7" w14:textId="47D54BE7" w:rsidR="006D442F" w:rsidRDefault="006D442F" w:rsidP="006D442F">
      <w:pPr>
        <w:pStyle w:val="Caption"/>
      </w:pPr>
      <w:bookmarkStart w:id="801" w:name="_Ref508367870"/>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151</w:t>
      </w:r>
      <w:r w:rsidR="004E20BD">
        <w:rPr>
          <w:noProof/>
        </w:rPr>
        <w:fldChar w:fldCharType="end"/>
      </w:r>
      <w:bookmarkEnd w:id="801"/>
      <w:r>
        <w:t>: Configure Division Settings: Full-Service Divisions</w:t>
      </w:r>
    </w:p>
    <w:p w14:paraId="7464771D" w14:textId="2F8BD07A" w:rsidR="007F032F" w:rsidRDefault="006E5147" w:rsidP="00B31CBF">
      <w:pPr>
        <w:pStyle w:val="BodyText"/>
      </w:pPr>
      <w:r>
        <w:object w:dxaOrig="9595" w:dyaOrig="14410" w14:anchorId="5EB7BA31">
          <v:shape id="_x0000_i1036" type="#_x0000_t75" alt="P18798#yIS1" style="width:338.1pt;height:504.6pt" o:ole="">
            <v:imagedata r:id="rId251" o:title=""/>
          </v:shape>
          <o:OLEObject Type="Embed" ProgID="Visio.Drawing.11" ShapeID="_x0000_i1036" DrawAspect="Content" ObjectID="_1693288317" r:id="rId252"/>
        </w:object>
      </w:r>
    </w:p>
    <w:p w14:paraId="4D3A94B6" w14:textId="60A8ABD2" w:rsidR="006D442F" w:rsidRDefault="007F032F" w:rsidP="006D442F">
      <w:pPr>
        <w:pStyle w:val="Caption"/>
      </w:pPr>
      <w:r>
        <w:br w:type="page"/>
      </w:r>
      <w:bookmarkStart w:id="802" w:name="_Ref508368046"/>
      <w:r w:rsidR="006D442F">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152</w:t>
      </w:r>
      <w:r w:rsidR="004E20BD">
        <w:rPr>
          <w:noProof/>
        </w:rPr>
        <w:fldChar w:fldCharType="end"/>
      </w:r>
      <w:bookmarkEnd w:id="802"/>
      <w:r w:rsidR="006D442F">
        <w:t>: Configure Division Settings: Transfusion-Only Divisions</w:t>
      </w:r>
    </w:p>
    <w:p w14:paraId="5B67E9A6" w14:textId="7E71548F" w:rsidR="00E5778C" w:rsidRDefault="006E5147" w:rsidP="00B31CBF">
      <w:pPr>
        <w:pStyle w:val="BodyText"/>
      </w:pPr>
      <w:r>
        <w:object w:dxaOrig="7435" w:dyaOrig="14410" w14:anchorId="496ED972">
          <v:shape id="_x0000_i1037" type="#_x0000_t75" alt="P18800#yIS1" style="width:295.5pt;height:575.4pt" o:ole="">
            <v:imagedata r:id="rId253" o:title=""/>
          </v:shape>
          <o:OLEObject Type="Embed" ProgID="Visio.Drawing.11" ShapeID="_x0000_i1037" DrawAspect="Content" ObjectID="_1693288318" r:id="rId254"/>
        </w:object>
      </w:r>
    </w:p>
    <w:p w14:paraId="3C7B75D9" w14:textId="295733E9" w:rsidR="006D442F" w:rsidRDefault="000753FE" w:rsidP="006D442F">
      <w:pPr>
        <w:pStyle w:val="Caption"/>
      </w:pPr>
      <w:r>
        <w:br w:type="page"/>
      </w:r>
      <w:bookmarkStart w:id="803" w:name="_Ref508369253"/>
      <w:r w:rsidR="006D442F">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153</w:t>
      </w:r>
      <w:r w:rsidR="004E20BD">
        <w:rPr>
          <w:noProof/>
        </w:rPr>
        <w:fldChar w:fldCharType="end"/>
      </w:r>
      <w:bookmarkEnd w:id="803"/>
      <w:r w:rsidR="006D442F">
        <w:t>: Maintain Reagents and Daily QC: Full Service Divisions</w:t>
      </w:r>
    </w:p>
    <w:p w14:paraId="6764D8ED" w14:textId="27157208" w:rsidR="00F47ED0" w:rsidRPr="00F47ED0" w:rsidRDefault="006E5147" w:rsidP="00B31CBF">
      <w:pPr>
        <w:pStyle w:val="BodyText"/>
      </w:pPr>
      <w:r>
        <w:object w:dxaOrig="10119" w:dyaOrig="10037" w14:anchorId="3C98B69E">
          <v:shape id="_x0000_i1038" type="#_x0000_t75" alt="P18802#yIS1" style="width:468.3pt;height:460.8pt" o:ole="">
            <v:imagedata r:id="rId255" o:title=""/>
          </v:shape>
          <o:OLEObject Type="Embed" ProgID="Visio.Drawing.11" ShapeID="_x0000_i1038" DrawAspect="Content" ObjectID="_1693288319" r:id="rId256"/>
        </w:object>
      </w:r>
    </w:p>
    <w:p w14:paraId="22E2E6CC" w14:textId="77777777" w:rsidR="00292ED0" w:rsidRDefault="00292ED0" w:rsidP="00292ED0">
      <w:pPr>
        <w:pStyle w:val="Heading3"/>
        <w:sectPr w:rsidR="00292ED0" w:rsidSect="00EE771C">
          <w:pgSz w:w="12240" w:h="15840" w:code="1"/>
          <w:pgMar w:top="1440" w:right="1440" w:bottom="1440" w:left="1440" w:header="720" w:footer="720" w:gutter="0"/>
          <w:cols w:space="720"/>
          <w:docGrid w:linePitch="360"/>
        </w:sectPr>
      </w:pPr>
    </w:p>
    <w:p w14:paraId="75BCECC2" w14:textId="11608DE2" w:rsidR="006D442F" w:rsidRDefault="006D442F" w:rsidP="006D442F">
      <w:pPr>
        <w:pStyle w:val="Caption"/>
      </w:pPr>
      <w:bookmarkStart w:id="804" w:name="_Ref508369430"/>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154</w:t>
      </w:r>
      <w:r w:rsidR="004E20BD">
        <w:rPr>
          <w:noProof/>
        </w:rPr>
        <w:fldChar w:fldCharType="end"/>
      </w:r>
      <w:bookmarkEnd w:id="804"/>
      <w:r>
        <w:t>: Process Incoming Shipment: Full-Service Divisions</w:t>
      </w:r>
    </w:p>
    <w:p w14:paraId="6BD3C7B5" w14:textId="53B1FC18" w:rsidR="00292ED0" w:rsidRDefault="00EA6850" w:rsidP="00B31CBF">
      <w:pPr>
        <w:pStyle w:val="BodyText"/>
      </w:pPr>
      <w:r>
        <w:t xml:space="preserve"> </w:t>
      </w:r>
      <w:r w:rsidR="006E5147">
        <w:object w:dxaOrig="14258" w:dyaOrig="10675" w14:anchorId="49A29AD2">
          <v:shape id="_x0000_i1039" type="#_x0000_t75" alt="P18805#yIS1" style="width:483.25pt;height:5in" o:ole="">
            <v:imagedata r:id="rId257" o:title=""/>
          </v:shape>
          <o:OLEObject Type="Embed" ProgID="Visio.Drawing.11" ShapeID="_x0000_i1039" DrawAspect="Content" ObjectID="_1693288320" r:id="rId258"/>
        </w:object>
      </w:r>
      <w:r w:rsidR="00292ED0">
        <w:t xml:space="preserve"> </w:t>
      </w:r>
    </w:p>
    <w:p w14:paraId="36A16710" w14:textId="232E8E9A" w:rsidR="006D442F" w:rsidRDefault="00292ED0" w:rsidP="006D442F">
      <w:pPr>
        <w:pStyle w:val="Caption"/>
      </w:pPr>
      <w:r>
        <w:br w:type="page"/>
      </w:r>
      <w:bookmarkStart w:id="805" w:name="_Ref508370163"/>
      <w:r w:rsidR="006D442F">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155</w:t>
      </w:r>
      <w:r w:rsidR="004E20BD">
        <w:rPr>
          <w:noProof/>
        </w:rPr>
        <w:fldChar w:fldCharType="end"/>
      </w:r>
      <w:bookmarkEnd w:id="805"/>
      <w:r w:rsidR="006D442F">
        <w:t>: Process Incoming Shipment: Transfusion-Only Divisions</w:t>
      </w:r>
    </w:p>
    <w:p w14:paraId="68FB9179" w14:textId="21646F10" w:rsidR="00292ED0" w:rsidRDefault="006E5147" w:rsidP="00B31CBF">
      <w:pPr>
        <w:pStyle w:val="BodyText"/>
        <w:sectPr w:rsidR="00292ED0" w:rsidSect="00EE771C">
          <w:footerReference w:type="default" r:id="rId259"/>
          <w:pgSz w:w="15840" w:h="12240" w:orient="landscape" w:code="1"/>
          <w:pgMar w:top="1440" w:right="1440" w:bottom="1440" w:left="1440" w:header="720" w:footer="720" w:gutter="0"/>
          <w:cols w:space="720"/>
          <w:docGrid w:linePitch="360"/>
        </w:sectPr>
      </w:pPr>
      <w:r>
        <w:object w:dxaOrig="12835" w:dyaOrig="9370" w14:anchorId="7E1A58CE">
          <v:shape id="_x0000_i1040" type="#_x0000_t75" alt="P18807#yIS1" style="width:496.5pt;height:5in" o:ole="">
            <v:imagedata r:id="rId260" o:title=""/>
          </v:shape>
          <o:OLEObject Type="Embed" ProgID="Visio.Drawing.11" ShapeID="_x0000_i1040" DrawAspect="Content" ObjectID="_1693288321" r:id="rId261"/>
        </w:object>
      </w:r>
    </w:p>
    <w:p w14:paraId="1608C5CC" w14:textId="71B0B974" w:rsidR="006D442F" w:rsidRDefault="006D442F" w:rsidP="006D442F">
      <w:pPr>
        <w:pStyle w:val="Caption"/>
      </w:pPr>
      <w:bookmarkStart w:id="806" w:name="_Ref508368325"/>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156</w:t>
      </w:r>
      <w:r w:rsidR="004E20BD">
        <w:rPr>
          <w:noProof/>
        </w:rPr>
        <w:fldChar w:fldCharType="end"/>
      </w:r>
      <w:bookmarkEnd w:id="806"/>
      <w:r>
        <w:t>: Modify Units</w:t>
      </w:r>
    </w:p>
    <w:p w14:paraId="6998D9BB" w14:textId="5F057308" w:rsidR="00011FD2" w:rsidRDefault="006E5147" w:rsidP="00011FD2">
      <w:pPr>
        <w:pStyle w:val="BodyText"/>
      </w:pPr>
      <w:r>
        <w:object w:dxaOrig="11058" w:dyaOrig="13019" w14:anchorId="53CDD3F7">
          <v:shape id="_x0000_i1041" type="#_x0000_t75" alt="P18809#yIS1" style="width:489.6pt;height:8in" o:ole="">
            <v:imagedata r:id="rId262" o:title=""/>
          </v:shape>
          <o:OLEObject Type="Embed" ProgID="Visio.Drawing.11" ShapeID="_x0000_i1041" DrawAspect="Content" ObjectID="_1693288322" r:id="rId263"/>
        </w:object>
      </w:r>
    </w:p>
    <w:p w14:paraId="27E5C4BC" w14:textId="46F0FEF7" w:rsidR="006D442F" w:rsidRDefault="00B31CBF" w:rsidP="006D442F">
      <w:pPr>
        <w:pStyle w:val="Caption"/>
      </w:pPr>
      <w:r>
        <w:br w:type="page"/>
      </w:r>
      <w:bookmarkStart w:id="807" w:name="_Ref508370524"/>
      <w:r w:rsidR="006D442F">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157</w:t>
      </w:r>
      <w:r w:rsidR="004E20BD">
        <w:rPr>
          <w:noProof/>
        </w:rPr>
        <w:fldChar w:fldCharType="end"/>
      </w:r>
      <w:bookmarkEnd w:id="807"/>
      <w:r w:rsidR="006D442F">
        <w:t>: Issue, Return or Transfuse Units: Full Service Divisions</w:t>
      </w:r>
    </w:p>
    <w:p w14:paraId="34B9260E" w14:textId="1C251481" w:rsidR="00B31CBF" w:rsidRDefault="006E5147" w:rsidP="00B31CBF">
      <w:pPr>
        <w:pStyle w:val="BodyText"/>
      </w:pPr>
      <w:r>
        <w:object w:dxaOrig="11018" w:dyaOrig="12880" w14:anchorId="1A4991C2">
          <v:shape id="_x0000_i1042" type="#_x0000_t75" alt="P18811#yIS1" style="width:468.3pt;height:547.2pt" o:ole="">
            <v:imagedata r:id="rId264" o:title=""/>
          </v:shape>
          <o:OLEObject Type="Embed" ProgID="Visio.Drawing.11" ShapeID="_x0000_i1042" DrawAspect="Content" ObjectID="_1693288323" r:id="rId265"/>
        </w:object>
      </w:r>
    </w:p>
    <w:p w14:paraId="3DF5C50C" w14:textId="6D712C42" w:rsidR="006D442F" w:rsidRDefault="00B31CBF" w:rsidP="006D442F">
      <w:pPr>
        <w:pStyle w:val="Caption"/>
      </w:pPr>
      <w:r>
        <w:br w:type="page"/>
      </w:r>
      <w:bookmarkStart w:id="808" w:name="_Ref508370542"/>
      <w:r w:rsidR="006D442F">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158</w:t>
      </w:r>
      <w:r w:rsidR="004E20BD">
        <w:rPr>
          <w:noProof/>
        </w:rPr>
        <w:fldChar w:fldCharType="end"/>
      </w:r>
      <w:bookmarkEnd w:id="808"/>
      <w:r w:rsidR="006D442F">
        <w:t>: Issue, or Transfuse: Transfusion-Only Divisions</w:t>
      </w:r>
    </w:p>
    <w:p w14:paraId="18952EA9" w14:textId="1F3E921F" w:rsidR="00B31CBF" w:rsidRDefault="006E5147" w:rsidP="00B31CBF">
      <w:pPr>
        <w:pStyle w:val="BodyText"/>
        <w:sectPr w:rsidR="00B31CBF" w:rsidSect="00EE771C">
          <w:footerReference w:type="default" r:id="rId266"/>
          <w:pgSz w:w="12240" w:h="15840" w:code="1"/>
          <w:pgMar w:top="1440" w:right="1440" w:bottom="1440" w:left="1440" w:header="720" w:footer="720" w:gutter="0"/>
          <w:cols w:space="720"/>
          <w:docGrid w:linePitch="360"/>
        </w:sectPr>
      </w:pPr>
      <w:r>
        <w:object w:dxaOrig="8917" w:dyaOrig="11170" w14:anchorId="13698FF4">
          <v:shape id="_x0000_i1043" type="#_x0000_t75" alt="P18813#yIS1" style="width:461.4pt;height:8in" o:ole="">
            <v:imagedata r:id="rId267" o:title=""/>
          </v:shape>
          <o:OLEObject Type="Embed" ProgID="Visio.Drawing.11" ShapeID="_x0000_i1043" DrawAspect="Content" ObjectID="_1693288324" r:id="rId268"/>
        </w:object>
      </w:r>
    </w:p>
    <w:p w14:paraId="2E2BBFF2" w14:textId="37C74C60" w:rsidR="006D442F" w:rsidRDefault="006D442F" w:rsidP="006D442F">
      <w:pPr>
        <w:pStyle w:val="Caption"/>
      </w:pPr>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159</w:t>
      </w:r>
      <w:r w:rsidR="004E20BD">
        <w:rPr>
          <w:noProof/>
        </w:rPr>
        <w:fldChar w:fldCharType="end"/>
      </w:r>
      <w:r>
        <w:t>: Process a Patient Order</w:t>
      </w:r>
    </w:p>
    <w:p w14:paraId="5F6F6361" w14:textId="72D4BD7B" w:rsidR="00B31CBF" w:rsidRDefault="006E5147" w:rsidP="00B31CBF">
      <w:pPr>
        <w:pStyle w:val="BodyText"/>
      </w:pPr>
      <w:r>
        <w:object w:dxaOrig="13914" w:dyaOrig="9592" w14:anchorId="53C43A43">
          <v:shape id="_x0000_i1044" type="#_x0000_t75" alt="P18815#yIS1" style="width:525.3pt;height:5in" o:ole="">
            <v:imagedata r:id="rId269" o:title=""/>
          </v:shape>
          <o:OLEObject Type="Embed" ProgID="Visio.Drawing.11" ShapeID="_x0000_i1044" DrawAspect="Content" ObjectID="_1693288325" r:id="rId270"/>
        </w:object>
      </w:r>
    </w:p>
    <w:p w14:paraId="4F44707B" w14:textId="3BEF42E6" w:rsidR="006D442F" w:rsidRDefault="00B31CBF" w:rsidP="006D442F">
      <w:pPr>
        <w:pStyle w:val="Caption"/>
      </w:pPr>
      <w:r>
        <w:br w:type="page"/>
      </w:r>
      <w:r w:rsidR="006D442F">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160</w:t>
      </w:r>
      <w:r w:rsidR="004E20BD">
        <w:rPr>
          <w:noProof/>
        </w:rPr>
        <w:fldChar w:fldCharType="end"/>
      </w:r>
      <w:r w:rsidR="006D442F">
        <w:t>: Patient Testing</w:t>
      </w:r>
    </w:p>
    <w:p w14:paraId="0F9BFC46" w14:textId="39CD0D16" w:rsidR="00B31CBF" w:rsidRDefault="00B31CBF" w:rsidP="00B31CBF">
      <w:pPr>
        <w:pStyle w:val="BodyText"/>
      </w:pPr>
      <w:r>
        <w:t xml:space="preserve"> </w:t>
      </w:r>
      <w:r w:rsidR="00920628">
        <w:object w:dxaOrig="14245" w:dyaOrig="9235" w14:anchorId="29FC0624">
          <v:shape id="_x0000_i1045" type="#_x0000_t75" alt="P18817#yIS1" style="width:554.1pt;height:5in" o:ole="">
            <v:imagedata r:id="rId271" o:title=""/>
          </v:shape>
          <o:OLEObject Type="Embed" ProgID="Visio.Drawing.11" ShapeID="_x0000_i1045" DrawAspect="Content" ObjectID="_1693288326" r:id="rId272"/>
        </w:object>
      </w:r>
    </w:p>
    <w:p w14:paraId="6E29B7E2" w14:textId="77777777" w:rsidR="000F62D6" w:rsidRDefault="000F62D6" w:rsidP="00B31CBF">
      <w:pPr>
        <w:pStyle w:val="Heading3"/>
        <w:sectPr w:rsidR="000F62D6" w:rsidSect="00EE771C">
          <w:footerReference w:type="default" r:id="rId273"/>
          <w:pgSz w:w="15840" w:h="12240" w:orient="landscape" w:code="1"/>
          <w:pgMar w:top="1440" w:right="1440" w:bottom="1440" w:left="1440" w:header="720" w:footer="720" w:gutter="0"/>
          <w:cols w:space="720"/>
          <w:docGrid w:linePitch="360"/>
        </w:sectPr>
      </w:pPr>
    </w:p>
    <w:p w14:paraId="51804A9E" w14:textId="24EFAFDB" w:rsidR="003D7CE8" w:rsidRPr="00E309DC" w:rsidRDefault="003D7CE8" w:rsidP="00CB2427">
      <w:pPr>
        <w:pStyle w:val="Heading2"/>
        <w:rPr>
          <w:b w:val="0"/>
          <w:bCs w:val="0"/>
          <w:i w:val="0"/>
          <w:sz w:val="18"/>
          <w:szCs w:val="18"/>
        </w:rPr>
      </w:pPr>
      <w:bookmarkStart w:id="809" w:name="_Ref300911707"/>
      <w:bookmarkStart w:id="810" w:name="_Toc4588908"/>
      <w:bookmarkStart w:id="811" w:name="_Hlk4563241"/>
      <w:bookmarkStart w:id="812" w:name="_Ref170005444"/>
      <w:r>
        <w:lastRenderedPageBreak/>
        <w:t xml:space="preserve">Appendix </w:t>
      </w:r>
      <w:r w:rsidR="001B0B0C">
        <w:rPr>
          <w:noProof/>
        </w:rPr>
        <w:t>H</w:t>
      </w:r>
      <w:r>
        <w:t>: Frequently Asked Questions</w:t>
      </w:r>
      <w:bookmarkEnd w:id="809"/>
      <w:bookmarkEnd w:id="810"/>
      <w:r>
        <w:fldChar w:fldCharType="begin"/>
      </w:r>
      <w:r>
        <w:instrText xml:space="preserve"> XE "Frequently Asked Questions" </w:instrText>
      </w:r>
      <w:r>
        <w:fldChar w:fldCharType="end"/>
      </w:r>
      <w:r>
        <w:t xml:space="preserve"> </w:t>
      </w:r>
      <w:r w:rsidRPr="003D7CE8">
        <w:rPr>
          <w:b w:val="0"/>
          <w:bCs w:val="0"/>
          <w:i w:val="0"/>
          <w:vanish/>
          <w:sz w:val="18"/>
          <w:szCs w:val="18"/>
        </w:rPr>
        <w:t>Appendix added for DR 3971</w:t>
      </w:r>
    </w:p>
    <w:p w14:paraId="41BB706E" w14:textId="04268463" w:rsidR="003D7CE8" w:rsidRDefault="003D7CE8" w:rsidP="00E309DC">
      <w:pPr>
        <w:pStyle w:val="BodyText"/>
      </w:pPr>
      <w:r w:rsidRPr="005129F7">
        <w:t>Frequently Asked Ques</w:t>
      </w:r>
      <w:r w:rsidR="006340B9">
        <w:t xml:space="preserve">tions (FAQs) are </w:t>
      </w:r>
      <w:r w:rsidRPr="005129F7">
        <w:t xml:space="preserve">released as </w:t>
      </w:r>
      <w:r w:rsidR="004E2AB6" w:rsidRPr="005129F7">
        <w:t>standalone</w:t>
      </w:r>
      <w:r w:rsidRPr="005129F7">
        <w:t xml:space="preserve"> documents. Topi</w:t>
      </w:r>
      <w:r w:rsidR="006340B9">
        <w:t xml:space="preserve">cs are </w:t>
      </w:r>
      <w:r w:rsidR="001C317F" w:rsidRPr="005129F7">
        <w:t xml:space="preserve">explained in a </w:t>
      </w:r>
      <w:r w:rsidRPr="005129F7">
        <w:t>question and answer</w:t>
      </w:r>
      <w:r w:rsidR="001C317F" w:rsidRPr="005129F7">
        <w:t xml:space="preserve"> format</w:t>
      </w:r>
      <w:r w:rsidRPr="005129F7">
        <w:t>.</w:t>
      </w:r>
      <w:r w:rsidR="00EB3B6D">
        <w:t xml:space="preserve"> FAQs are available at the following SharePoint site</w:t>
      </w:r>
      <w:r w:rsidR="009E642E">
        <w:t xml:space="preserve"> and are version specific</w:t>
      </w:r>
      <w:r w:rsidR="00EB3B6D">
        <w:t>:</w:t>
      </w:r>
    </w:p>
    <w:p w14:paraId="78F05498" w14:textId="7B606222" w:rsidR="009E642E" w:rsidRDefault="00DC3678" w:rsidP="00E309DC">
      <w:pPr>
        <w:pStyle w:val="BodyText"/>
      </w:pPr>
      <w:r w:rsidRPr="00DC3678">
        <w:rPr>
          <w:rStyle w:val="Hyperlink"/>
        </w:rPr>
        <w:t>https://dvagov.sharepoint.com/sites/oitepmovbecs/default.aspx</w:t>
      </w:r>
    </w:p>
    <w:bookmarkEnd w:id="811"/>
    <w:p w14:paraId="5E96EC45" w14:textId="77777777" w:rsidR="006340B9" w:rsidRPr="005129F7" w:rsidRDefault="006340B9" w:rsidP="00E309DC">
      <w:pPr>
        <w:pStyle w:val="BodyText"/>
      </w:pPr>
    </w:p>
    <w:p w14:paraId="5EF30541" w14:textId="77777777" w:rsidR="008428FB" w:rsidRPr="00202406" w:rsidRDefault="008428FB" w:rsidP="008428FB">
      <w:pPr>
        <w:rPr>
          <w:sz w:val="22"/>
          <w:szCs w:val="22"/>
        </w:rPr>
      </w:pPr>
    </w:p>
    <w:p w14:paraId="2C1D87EC" w14:textId="77777777" w:rsidR="00202406" w:rsidRPr="00202406" w:rsidRDefault="00202406" w:rsidP="00202406">
      <w:pPr>
        <w:rPr>
          <w:sz w:val="22"/>
          <w:szCs w:val="22"/>
        </w:rPr>
      </w:pPr>
    </w:p>
    <w:p w14:paraId="03F44580" w14:textId="77777777" w:rsidR="00202406" w:rsidRPr="00202406" w:rsidRDefault="00202406" w:rsidP="00202406"/>
    <w:p w14:paraId="4D1AEE08" w14:textId="77777777" w:rsidR="006E7D73" w:rsidRDefault="006E7D73" w:rsidP="002F1289">
      <w:pPr>
        <w:pStyle w:val="Heading3"/>
      </w:pPr>
    </w:p>
    <w:p w14:paraId="1D2A7B08" w14:textId="77777777" w:rsidR="00566EC6" w:rsidRPr="00566EC6" w:rsidRDefault="008B7AF1" w:rsidP="00566EC6">
      <w:pPr>
        <w:jc w:val="center"/>
        <w:rPr>
          <w:sz w:val="22"/>
          <w:szCs w:val="22"/>
        </w:rPr>
      </w:pPr>
      <w:r w:rsidRPr="00566EC6">
        <w:rPr>
          <w:sz w:val="22"/>
          <w:szCs w:val="22"/>
        </w:rPr>
        <w:br w:type="page"/>
      </w:r>
      <w:r w:rsidR="00566EC6" w:rsidRPr="00566EC6">
        <w:rPr>
          <w:sz w:val="22"/>
          <w:szCs w:val="22"/>
        </w:rPr>
        <w:lastRenderedPageBreak/>
        <w:t>This page intentionally left blank.</w:t>
      </w:r>
    </w:p>
    <w:p w14:paraId="01BE9862" w14:textId="4705A5E6" w:rsidR="00D64A23" w:rsidRDefault="00566EC6" w:rsidP="00AD591C">
      <w:pPr>
        <w:pStyle w:val="Heading2"/>
      </w:pPr>
      <w:r>
        <w:br w:type="page"/>
      </w:r>
      <w:bookmarkStart w:id="813" w:name="_Toc4588909"/>
      <w:r w:rsidR="0059697E" w:rsidRPr="00566EC6">
        <w:lastRenderedPageBreak/>
        <w:t xml:space="preserve">Appendix </w:t>
      </w:r>
      <w:r w:rsidR="001B0B0C">
        <w:rPr>
          <w:noProof/>
        </w:rPr>
        <w:t>I</w:t>
      </w:r>
      <w:r w:rsidR="0059697E" w:rsidRPr="00566EC6">
        <w:t xml:space="preserve">: </w:t>
      </w:r>
      <w:r w:rsidR="00CD6052" w:rsidRPr="00566EC6">
        <w:t>Common Error Corrections</w:t>
      </w:r>
      <w:bookmarkEnd w:id="813"/>
      <w:r w:rsidR="00D64A23" w:rsidRPr="00566EC6">
        <w:fldChar w:fldCharType="begin"/>
      </w:r>
      <w:r w:rsidR="00D64A23" w:rsidRPr="00566EC6">
        <w:instrText xml:space="preserve"> XE "</w:instrText>
      </w:r>
      <w:r w:rsidR="00CD6052" w:rsidRPr="00566EC6">
        <w:instrText>Common Error Corrections</w:instrText>
      </w:r>
      <w:r w:rsidR="00D64A23" w:rsidRPr="00566EC6">
        <w:instrText xml:space="preserve">" </w:instrText>
      </w:r>
      <w:r w:rsidR="00D64A23" w:rsidRPr="00566EC6">
        <w:fldChar w:fldCharType="end"/>
      </w:r>
    </w:p>
    <w:p w14:paraId="07E89D1B" w14:textId="77777777" w:rsidR="00F8157F" w:rsidRPr="00233049" w:rsidRDefault="00233049" w:rsidP="00D64A23">
      <w:pPr>
        <w:rPr>
          <w:rFonts w:ascii="Arial" w:hAnsi="Arial" w:cs="Arial"/>
          <w:bCs/>
          <w:vanish/>
          <w:sz w:val="18"/>
          <w:szCs w:val="18"/>
        </w:rPr>
      </w:pPr>
      <w:r w:rsidRPr="00233049">
        <w:rPr>
          <w:rFonts w:ascii="Arial" w:hAnsi="Arial" w:cs="Arial"/>
          <w:bCs/>
          <w:vanish/>
          <w:sz w:val="18"/>
          <w:szCs w:val="18"/>
        </w:rPr>
        <w:t>Appendix added for DR 3,673</w:t>
      </w:r>
      <w:r w:rsidR="004C5B40">
        <w:rPr>
          <w:rFonts w:ascii="Arial" w:hAnsi="Arial" w:cs="Arial"/>
          <w:bCs/>
          <w:vanish/>
          <w:sz w:val="18"/>
          <w:szCs w:val="18"/>
        </w:rPr>
        <w:t xml:space="preserve"> and DR 3638</w:t>
      </w:r>
    </w:p>
    <w:p w14:paraId="01DFBC74" w14:textId="77777777" w:rsidR="00D64A23" w:rsidRPr="00C2774B" w:rsidRDefault="00D64A23" w:rsidP="00C2774B">
      <w:pPr>
        <w:pStyle w:val="Heading3"/>
      </w:pPr>
      <w:bookmarkStart w:id="814" w:name="_Toc4588910"/>
      <w:r w:rsidRPr="00C2774B">
        <w:t xml:space="preserve">Correct </w:t>
      </w:r>
      <w:r w:rsidR="00F8157F" w:rsidRPr="00C2774B">
        <w:t>Patient Test Results</w:t>
      </w:r>
      <w:bookmarkEnd w:id="814"/>
    </w:p>
    <w:p w14:paraId="7F4D559D" w14:textId="77777777" w:rsidR="00F915DD" w:rsidRPr="00092A53" w:rsidRDefault="00F915DD" w:rsidP="00F915DD">
      <w:pPr>
        <w:rPr>
          <w:b/>
          <w:sz w:val="22"/>
          <w:szCs w:val="22"/>
        </w:rPr>
      </w:pPr>
      <w:r w:rsidRPr="00092A53">
        <w:rPr>
          <w:b/>
          <w:sz w:val="22"/>
          <w:szCs w:val="22"/>
        </w:rPr>
        <w:t>Define the problem:</w:t>
      </w:r>
    </w:p>
    <w:p w14:paraId="54DA74C8" w14:textId="77777777" w:rsidR="00F915DD" w:rsidRPr="00092A53" w:rsidRDefault="00F915DD" w:rsidP="00F915DD">
      <w:pPr>
        <w:ind w:firstLine="720"/>
        <w:rPr>
          <w:sz w:val="22"/>
          <w:szCs w:val="22"/>
        </w:rPr>
      </w:pPr>
      <w:r w:rsidRPr="00092A53">
        <w:rPr>
          <w:sz w:val="22"/>
          <w:szCs w:val="22"/>
        </w:rPr>
        <w:t>Specifically what data needs correction?</w:t>
      </w:r>
    </w:p>
    <w:p w14:paraId="5BBEF332" w14:textId="77777777" w:rsidR="00F915DD" w:rsidRPr="00092A53" w:rsidRDefault="00F915DD" w:rsidP="00F915DD">
      <w:pPr>
        <w:ind w:firstLine="720"/>
        <w:rPr>
          <w:sz w:val="22"/>
          <w:szCs w:val="22"/>
        </w:rPr>
      </w:pPr>
      <w:r w:rsidRPr="00092A53">
        <w:rPr>
          <w:sz w:val="22"/>
          <w:szCs w:val="22"/>
        </w:rPr>
        <w:t>Is it a patient test?</w:t>
      </w:r>
    </w:p>
    <w:p w14:paraId="4784BD80" w14:textId="77777777" w:rsidR="00F915DD" w:rsidRPr="00092A53" w:rsidRDefault="00F915DD" w:rsidP="00F915DD">
      <w:pPr>
        <w:ind w:firstLine="720"/>
        <w:rPr>
          <w:sz w:val="22"/>
          <w:szCs w:val="22"/>
        </w:rPr>
      </w:pPr>
      <w:r w:rsidRPr="00092A53">
        <w:rPr>
          <w:sz w:val="22"/>
          <w:szCs w:val="22"/>
        </w:rPr>
        <w:t>Are any units assigned to the specimen UID associated with this patient order?</w:t>
      </w:r>
    </w:p>
    <w:p w14:paraId="4A66A666" w14:textId="77777777" w:rsidR="00F915DD" w:rsidRPr="00092A53" w:rsidRDefault="00F915DD" w:rsidP="00D64A23">
      <w:pPr>
        <w:rPr>
          <w:sz w:val="22"/>
          <w:szCs w:val="22"/>
        </w:rPr>
      </w:pPr>
    </w:p>
    <w:p w14:paraId="5F0A7B28" w14:textId="77777777" w:rsidR="006730CD" w:rsidRPr="00092A53" w:rsidRDefault="00D64A23" w:rsidP="00D64A23">
      <w:pPr>
        <w:rPr>
          <w:sz w:val="22"/>
          <w:szCs w:val="22"/>
        </w:rPr>
      </w:pPr>
      <w:r w:rsidRPr="00092A53">
        <w:rPr>
          <w:sz w:val="22"/>
          <w:szCs w:val="22"/>
        </w:rPr>
        <w:t xml:space="preserve">The </w:t>
      </w:r>
      <w:r w:rsidR="006730CD" w:rsidRPr="00092A53">
        <w:rPr>
          <w:sz w:val="22"/>
          <w:szCs w:val="22"/>
        </w:rPr>
        <w:t xml:space="preserve">path to transfusion is linear and </w:t>
      </w:r>
      <w:r w:rsidRPr="00092A53">
        <w:rPr>
          <w:sz w:val="22"/>
          <w:szCs w:val="22"/>
        </w:rPr>
        <w:t>follow</w:t>
      </w:r>
      <w:r w:rsidR="006730CD" w:rsidRPr="00092A53">
        <w:rPr>
          <w:sz w:val="22"/>
          <w:szCs w:val="22"/>
        </w:rPr>
        <w:t>s</w:t>
      </w:r>
      <w:r w:rsidRPr="00092A53">
        <w:rPr>
          <w:sz w:val="22"/>
          <w:szCs w:val="22"/>
        </w:rPr>
        <w:t xml:space="preserve"> the path from assignment to issue to transfusion. VBECS requires the unit-patient </w:t>
      </w:r>
      <w:r w:rsidR="006730CD" w:rsidRPr="00092A53">
        <w:rPr>
          <w:sz w:val="22"/>
          <w:szCs w:val="22"/>
        </w:rPr>
        <w:t xml:space="preserve">connection to be </w:t>
      </w:r>
      <w:r w:rsidR="00423CC1" w:rsidRPr="00092A53">
        <w:rPr>
          <w:sz w:val="22"/>
          <w:szCs w:val="22"/>
        </w:rPr>
        <w:t>severed</w:t>
      </w:r>
      <w:r w:rsidR="006730CD" w:rsidRPr="00092A53">
        <w:rPr>
          <w:sz w:val="22"/>
          <w:szCs w:val="22"/>
        </w:rPr>
        <w:t xml:space="preserve"> in order to </w:t>
      </w:r>
      <w:r w:rsidR="00423CC1" w:rsidRPr="00092A53">
        <w:rPr>
          <w:sz w:val="22"/>
          <w:szCs w:val="22"/>
        </w:rPr>
        <w:t>change</w:t>
      </w:r>
      <w:r w:rsidRPr="00092A53">
        <w:rPr>
          <w:sz w:val="22"/>
          <w:szCs w:val="22"/>
        </w:rPr>
        <w:t xml:space="preserve"> patient testing used to evaluate compatibility.</w:t>
      </w:r>
    </w:p>
    <w:p w14:paraId="3023A126" w14:textId="77777777" w:rsidR="00D64A23" w:rsidRPr="00092A53" w:rsidRDefault="00D64A23" w:rsidP="00D64A23">
      <w:pPr>
        <w:rPr>
          <w:sz w:val="22"/>
          <w:szCs w:val="22"/>
        </w:rPr>
      </w:pPr>
      <w:r w:rsidRPr="00092A53">
        <w:rPr>
          <w:b/>
          <w:sz w:val="22"/>
          <w:szCs w:val="22"/>
        </w:rPr>
        <w:t>All the units must be released from assignment, no matter when the error occurred and needs correction.</w:t>
      </w:r>
      <w:r w:rsidR="006B6B74" w:rsidRPr="00092A53">
        <w:rPr>
          <w:sz w:val="22"/>
          <w:szCs w:val="22"/>
        </w:rPr>
        <w:t xml:space="preserve">  </w:t>
      </w:r>
      <w:r w:rsidRPr="00092A53">
        <w:rPr>
          <w:sz w:val="22"/>
          <w:szCs w:val="22"/>
        </w:rPr>
        <w:t xml:space="preserve">VBECS requires undoing all of the unit associations </w:t>
      </w:r>
      <w:r w:rsidR="006730CD" w:rsidRPr="00092A53">
        <w:rPr>
          <w:sz w:val="22"/>
          <w:szCs w:val="22"/>
        </w:rPr>
        <w:t xml:space="preserve">so the computer can re-evaluate the corrected </w:t>
      </w:r>
      <w:r w:rsidRPr="00092A53">
        <w:rPr>
          <w:sz w:val="22"/>
          <w:szCs w:val="22"/>
        </w:rPr>
        <w:t>information entered</w:t>
      </w:r>
      <w:r w:rsidR="006730CD" w:rsidRPr="00092A53">
        <w:rPr>
          <w:sz w:val="22"/>
          <w:szCs w:val="22"/>
        </w:rPr>
        <w:t xml:space="preserve"> and </w:t>
      </w:r>
      <w:r w:rsidRPr="00092A53">
        <w:rPr>
          <w:sz w:val="22"/>
          <w:szCs w:val="22"/>
        </w:rPr>
        <w:t xml:space="preserve">present any warnings </w:t>
      </w:r>
      <w:r w:rsidR="006730CD" w:rsidRPr="00092A53">
        <w:rPr>
          <w:sz w:val="22"/>
          <w:szCs w:val="22"/>
        </w:rPr>
        <w:t>or</w:t>
      </w:r>
      <w:r w:rsidRPr="00092A53">
        <w:rPr>
          <w:sz w:val="22"/>
          <w:szCs w:val="22"/>
        </w:rPr>
        <w:t xml:space="preserve"> overrides based on th</w:t>
      </w:r>
      <w:r w:rsidR="006730CD" w:rsidRPr="00092A53">
        <w:rPr>
          <w:sz w:val="22"/>
          <w:szCs w:val="22"/>
        </w:rPr>
        <w:t>at</w:t>
      </w:r>
      <w:r w:rsidRPr="00092A53">
        <w:rPr>
          <w:sz w:val="22"/>
          <w:szCs w:val="22"/>
        </w:rPr>
        <w:t xml:space="preserve"> new information.</w:t>
      </w:r>
    </w:p>
    <w:p w14:paraId="61E9ECB2" w14:textId="77777777" w:rsidR="00D64A23" w:rsidRPr="00092A53" w:rsidRDefault="00D64A23" w:rsidP="00D64A23">
      <w:pPr>
        <w:rPr>
          <w:sz w:val="22"/>
          <w:szCs w:val="22"/>
        </w:rPr>
      </w:pPr>
    </w:p>
    <w:p w14:paraId="662A43DA" w14:textId="77777777" w:rsidR="00D64A23" w:rsidRPr="00092A53" w:rsidRDefault="00D64A23" w:rsidP="00D64A23">
      <w:pPr>
        <w:rPr>
          <w:sz w:val="22"/>
          <w:szCs w:val="22"/>
        </w:rPr>
      </w:pPr>
      <w:r w:rsidRPr="00092A53">
        <w:rPr>
          <w:sz w:val="22"/>
          <w:szCs w:val="22"/>
        </w:rPr>
        <w:t>Information to gather before you start trying to correct any test results:</w:t>
      </w:r>
    </w:p>
    <w:p w14:paraId="7E79DE34" w14:textId="77777777" w:rsidR="00D64A23" w:rsidRPr="00092A53" w:rsidRDefault="00D64A23" w:rsidP="000409B1">
      <w:pPr>
        <w:numPr>
          <w:ilvl w:val="0"/>
          <w:numId w:val="36"/>
        </w:numPr>
        <w:spacing w:line="276" w:lineRule="auto"/>
        <w:rPr>
          <w:sz w:val="22"/>
          <w:szCs w:val="22"/>
        </w:rPr>
      </w:pPr>
      <w:r w:rsidRPr="00092A53">
        <w:rPr>
          <w:sz w:val="22"/>
          <w:szCs w:val="22"/>
        </w:rPr>
        <w:t xml:space="preserve">Actual dates/times of processing for retrospective data entry </w:t>
      </w:r>
    </w:p>
    <w:p w14:paraId="244E7331" w14:textId="77777777" w:rsidR="00D64A23" w:rsidRPr="00092A53" w:rsidRDefault="00D64A23" w:rsidP="000409B1">
      <w:pPr>
        <w:numPr>
          <w:ilvl w:val="1"/>
          <w:numId w:val="36"/>
        </w:numPr>
        <w:spacing w:line="276" w:lineRule="auto"/>
        <w:rPr>
          <w:sz w:val="22"/>
          <w:szCs w:val="22"/>
        </w:rPr>
      </w:pPr>
      <w:r w:rsidRPr="00092A53">
        <w:rPr>
          <w:sz w:val="22"/>
          <w:szCs w:val="22"/>
        </w:rPr>
        <w:t>Testing Worklist Report: Test result entry information details from the testing grids, reaction results, tech who did the work, any comments they entered</w:t>
      </w:r>
    </w:p>
    <w:p w14:paraId="70A5F3D7" w14:textId="77777777" w:rsidR="00D64A23" w:rsidRPr="00092A53" w:rsidRDefault="00D64A23" w:rsidP="000409B1">
      <w:pPr>
        <w:numPr>
          <w:ilvl w:val="1"/>
          <w:numId w:val="36"/>
        </w:numPr>
        <w:spacing w:line="276" w:lineRule="auto"/>
        <w:rPr>
          <w:sz w:val="22"/>
          <w:szCs w:val="22"/>
        </w:rPr>
      </w:pPr>
      <w:r w:rsidRPr="00092A53">
        <w:rPr>
          <w:sz w:val="22"/>
          <w:szCs w:val="22"/>
        </w:rPr>
        <w:t>Unit History Report: Unit modification, Issue and Transfusion details</w:t>
      </w:r>
    </w:p>
    <w:p w14:paraId="29888587" w14:textId="77777777" w:rsidR="00D64A23" w:rsidRPr="00092A53" w:rsidRDefault="00D64A23" w:rsidP="000409B1">
      <w:pPr>
        <w:numPr>
          <w:ilvl w:val="1"/>
          <w:numId w:val="36"/>
        </w:numPr>
        <w:spacing w:line="276" w:lineRule="auto"/>
        <w:rPr>
          <w:sz w:val="22"/>
          <w:szCs w:val="22"/>
        </w:rPr>
      </w:pPr>
      <w:r w:rsidRPr="00092A53">
        <w:rPr>
          <w:sz w:val="22"/>
          <w:szCs w:val="22"/>
        </w:rPr>
        <w:t>Patient History Report: Other patient information</w:t>
      </w:r>
    </w:p>
    <w:p w14:paraId="757760C9" w14:textId="77777777" w:rsidR="00D64A23" w:rsidRPr="00092A53" w:rsidRDefault="00D64A23" w:rsidP="000409B1">
      <w:pPr>
        <w:numPr>
          <w:ilvl w:val="1"/>
          <w:numId w:val="36"/>
        </w:numPr>
        <w:spacing w:line="276" w:lineRule="auto"/>
        <w:rPr>
          <w:sz w:val="22"/>
          <w:szCs w:val="22"/>
        </w:rPr>
      </w:pPr>
      <w:r w:rsidRPr="00092A53">
        <w:rPr>
          <w:sz w:val="22"/>
          <w:szCs w:val="22"/>
        </w:rPr>
        <w:t>Order History report: See the search option only for the CPRS Order Number if you have to retrieve an expired order. You do not need to actually open the report.</w:t>
      </w:r>
    </w:p>
    <w:p w14:paraId="7FC8E990" w14:textId="77777777" w:rsidR="00D64A23" w:rsidRPr="00092A53" w:rsidRDefault="00D64A23" w:rsidP="000409B1">
      <w:pPr>
        <w:numPr>
          <w:ilvl w:val="1"/>
          <w:numId w:val="36"/>
        </w:numPr>
        <w:spacing w:line="276" w:lineRule="auto"/>
        <w:rPr>
          <w:sz w:val="22"/>
          <w:szCs w:val="22"/>
        </w:rPr>
      </w:pPr>
      <w:r w:rsidRPr="00092A53">
        <w:rPr>
          <w:sz w:val="22"/>
          <w:szCs w:val="22"/>
        </w:rPr>
        <w:t>Any offline results that may need to be entered.</w:t>
      </w:r>
    </w:p>
    <w:p w14:paraId="59B544E7" w14:textId="77777777" w:rsidR="00D64A23" w:rsidRPr="00092A53" w:rsidRDefault="000A750D" w:rsidP="000409B1">
      <w:pPr>
        <w:numPr>
          <w:ilvl w:val="1"/>
          <w:numId w:val="36"/>
        </w:numPr>
        <w:spacing w:line="276" w:lineRule="auto"/>
        <w:rPr>
          <w:sz w:val="22"/>
          <w:szCs w:val="22"/>
        </w:rPr>
      </w:pPr>
      <w:r>
        <w:rPr>
          <w:sz w:val="22"/>
          <w:szCs w:val="22"/>
        </w:rPr>
        <w:t>Tracking system</w:t>
      </w:r>
      <w:r w:rsidR="00D64A23" w:rsidRPr="00092A53">
        <w:rPr>
          <w:sz w:val="22"/>
          <w:szCs w:val="22"/>
        </w:rPr>
        <w:t xml:space="preserve"> numbers from the Known Anomalies and Defects document related to this problem. Have the user enter this number in the comment details field for all overrides processed.  </w:t>
      </w:r>
    </w:p>
    <w:p w14:paraId="1A213B0C" w14:textId="77777777" w:rsidR="00D64A23" w:rsidRPr="00092A53" w:rsidRDefault="00D64A23" w:rsidP="000409B1">
      <w:pPr>
        <w:numPr>
          <w:ilvl w:val="1"/>
          <w:numId w:val="36"/>
        </w:numPr>
        <w:spacing w:line="276" w:lineRule="auto"/>
        <w:rPr>
          <w:sz w:val="22"/>
          <w:szCs w:val="22"/>
        </w:rPr>
      </w:pPr>
      <w:r w:rsidRPr="00092A53">
        <w:rPr>
          <w:sz w:val="22"/>
          <w:szCs w:val="22"/>
        </w:rPr>
        <w:t>Any local incident number that they may need to enter as a comment.</w:t>
      </w:r>
    </w:p>
    <w:p w14:paraId="07E2E8C5" w14:textId="77777777" w:rsidR="00C93673" w:rsidRPr="00C2774B" w:rsidRDefault="00737AD4" w:rsidP="00C2774B">
      <w:pPr>
        <w:pStyle w:val="Heading3"/>
      </w:pPr>
      <w:bookmarkStart w:id="815" w:name="_Toc4588911"/>
      <w:r w:rsidRPr="00C2774B">
        <w:t>Invalidate</w:t>
      </w:r>
      <w:r w:rsidR="00C93673" w:rsidRPr="00C2774B">
        <w:t xml:space="preserve"> Test Results</w:t>
      </w:r>
      <w:bookmarkEnd w:id="815"/>
    </w:p>
    <w:p w14:paraId="270883E4" w14:textId="77777777" w:rsidR="00C93673" w:rsidRPr="00092A53" w:rsidRDefault="00C93673" w:rsidP="00C93673">
      <w:pPr>
        <w:rPr>
          <w:b/>
          <w:sz w:val="22"/>
          <w:szCs w:val="22"/>
        </w:rPr>
      </w:pPr>
      <w:r w:rsidRPr="00092A53">
        <w:rPr>
          <w:b/>
          <w:sz w:val="22"/>
          <w:szCs w:val="22"/>
        </w:rPr>
        <w:t>Important nuances about invalidating tests:</w:t>
      </w:r>
    </w:p>
    <w:p w14:paraId="0CB88FC2" w14:textId="77777777" w:rsidR="00C93673" w:rsidRPr="00092A53" w:rsidRDefault="00C93673" w:rsidP="000409B1">
      <w:pPr>
        <w:numPr>
          <w:ilvl w:val="0"/>
          <w:numId w:val="37"/>
        </w:numPr>
        <w:spacing w:line="276" w:lineRule="auto"/>
        <w:rPr>
          <w:sz w:val="22"/>
          <w:szCs w:val="22"/>
        </w:rPr>
      </w:pPr>
      <w:r w:rsidRPr="00092A53">
        <w:rPr>
          <w:sz w:val="22"/>
          <w:szCs w:val="22"/>
        </w:rPr>
        <w:t xml:space="preserve">When a </w:t>
      </w:r>
      <w:r w:rsidR="00CF7148" w:rsidRPr="00092A53">
        <w:rPr>
          <w:sz w:val="22"/>
          <w:szCs w:val="22"/>
        </w:rPr>
        <w:t>Type and Screen (</w:t>
      </w:r>
      <w:r w:rsidRPr="00092A53">
        <w:rPr>
          <w:sz w:val="22"/>
          <w:szCs w:val="22"/>
        </w:rPr>
        <w:t>TAS</w:t>
      </w:r>
      <w:r w:rsidR="00CF7148" w:rsidRPr="00092A53">
        <w:rPr>
          <w:sz w:val="22"/>
          <w:szCs w:val="22"/>
        </w:rPr>
        <w:t>)</w:t>
      </w:r>
      <w:r w:rsidRPr="00092A53">
        <w:rPr>
          <w:sz w:val="22"/>
          <w:szCs w:val="22"/>
        </w:rPr>
        <w:t xml:space="preserve"> test needs to be invalidated, all the tests in the TAS test configuration must be invalidated to be able to select a test on the </w:t>
      </w:r>
      <w:r w:rsidR="00CF7148" w:rsidRPr="00092A53">
        <w:rPr>
          <w:sz w:val="22"/>
          <w:szCs w:val="22"/>
        </w:rPr>
        <w:t>Pending Task List (</w:t>
      </w:r>
      <w:r w:rsidRPr="00092A53">
        <w:rPr>
          <w:sz w:val="22"/>
          <w:szCs w:val="22"/>
        </w:rPr>
        <w:t>PTL</w:t>
      </w:r>
      <w:r w:rsidR="00CF7148" w:rsidRPr="00092A53">
        <w:rPr>
          <w:sz w:val="22"/>
          <w:szCs w:val="22"/>
        </w:rPr>
        <w:t>)</w:t>
      </w:r>
      <w:r w:rsidRPr="00092A53">
        <w:rPr>
          <w:sz w:val="22"/>
          <w:szCs w:val="22"/>
        </w:rPr>
        <w:t xml:space="preserve"> (It is a loop of a partially completed test).</w:t>
      </w:r>
    </w:p>
    <w:p w14:paraId="1F6FB55C" w14:textId="77777777" w:rsidR="00C93673" w:rsidRPr="00092A53" w:rsidRDefault="00C93673" w:rsidP="000409B1">
      <w:pPr>
        <w:numPr>
          <w:ilvl w:val="0"/>
          <w:numId w:val="37"/>
        </w:numPr>
        <w:spacing w:line="276" w:lineRule="auto"/>
        <w:rPr>
          <w:sz w:val="22"/>
          <w:szCs w:val="22"/>
        </w:rPr>
      </w:pPr>
      <w:r w:rsidRPr="00092A53">
        <w:rPr>
          <w:sz w:val="22"/>
          <w:szCs w:val="22"/>
        </w:rPr>
        <w:t xml:space="preserve">When an </w:t>
      </w:r>
      <w:r w:rsidR="004E2AB6" w:rsidRPr="00092A53">
        <w:rPr>
          <w:sz w:val="22"/>
          <w:szCs w:val="22"/>
        </w:rPr>
        <w:t>Antibody</w:t>
      </w:r>
      <w:r w:rsidR="00CF7148" w:rsidRPr="00092A53">
        <w:rPr>
          <w:sz w:val="22"/>
          <w:szCs w:val="22"/>
        </w:rPr>
        <w:t xml:space="preserve"> Identification (</w:t>
      </w:r>
      <w:r w:rsidRPr="00092A53">
        <w:rPr>
          <w:sz w:val="22"/>
          <w:szCs w:val="22"/>
        </w:rPr>
        <w:t>ABID</w:t>
      </w:r>
      <w:r w:rsidR="00CF7148" w:rsidRPr="00092A53">
        <w:rPr>
          <w:sz w:val="22"/>
          <w:szCs w:val="22"/>
        </w:rPr>
        <w:t>)</w:t>
      </w:r>
      <w:r w:rsidRPr="00092A53">
        <w:rPr>
          <w:sz w:val="22"/>
          <w:szCs w:val="22"/>
        </w:rPr>
        <w:t xml:space="preserve"> test is invalid</w:t>
      </w:r>
      <w:r w:rsidR="001866C8" w:rsidRPr="00092A53">
        <w:rPr>
          <w:sz w:val="22"/>
          <w:szCs w:val="22"/>
        </w:rPr>
        <w:t>at</w:t>
      </w:r>
      <w:r w:rsidRPr="00092A53">
        <w:rPr>
          <w:sz w:val="22"/>
          <w:szCs w:val="22"/>
        </w:rPr>
        <w:t>ed:</w:t>
      </w:r>
    </w:p>
    <w:p w14:paraId="1B8D4086" w14:textId="77777777" w:rsidR="00C93673" w:rsidRPr="00092A53" w:rsidRDefault="00C93673" w:rsidP="000409B1">
      <w:pPr>
        <w:numPr>
          <w:ilvl w:val="1"/>
          <w:numId w:val="37"/>
        </w:numPr>
        <w:spacing w:line="276" w:lineRule="auto"/>
        <w:rPr>
          <w:sz w:val="22"/>
          <w:szCs w:val="22"/>
        </w:rPr>
      </w:pPr>
      <w:r w:rsidRPr="00092A53">
        <w:rPr>
          <w:sz w:val="22"/>
          <w:szCs w:val="22"/>
        </w:rPr>
        <w:t>The antibody specificities will be removed from the Special Instructions/Transfusion requirements Antibodies Identified at the same time.  This also clears any antigen negative requirements that are created by the antibody identified.</w:t>
      </w:r>
    </w:p>
    <w:p w14:paraId="14F10DB4" w14:textId="77777777" w:rsidR="00C93673" w:rsidRPr="00092A53" w:rsidRDefault="00C93673" w:rsidP="000409B1">
      <w:pPr>
        <w:numPr>
          <w:ilvl w:val="1"/>
          <w:numId w:val="37"/>
        </w:numPr>
        <w:spacing w:line="276" w:lineRule="auto"/>
        <w:rPr>
          <w:sz w:val="22"/>
          <w:szCs w:val="22"/>
        </w:rPr>
      </w:pPr>
      <w:r w:rsidRPr="00092A53">
        <w:rPr>
          <w:sz w:val="22"/>
          <w:szCs w:val="22"/>
        </w:rPr>
        <w:t xml:space="preserve"> If separate antigen negative requirements for each of these were entered in SI/TR, they will require update separately. </w:t>
      </w:r>
    </w:p>
    <w:p w14:paraId="7EA76EA1" w14:textId="77777777" w:rsidR="00C93673" w:rsidRPr="00092A53" w:rsidRDefault="00C93673" w:rsidP="000409B1">
      <w:pPr>
        <w:numPr>
          <w:ilvl w:val="1"/>
          <w:numId w:val="37"/>
        </w:numPr>
        <w:spacing w:line="276" w:lineRule="auto"/>
        <w:rPr>
          <w:b/>
          <w:sz w:val="22"/>
          <w:szCs w:val="22"/>
        </w:rPr>
      </w:pPr>
      <w:r w:rsidRPr="00092A53">
        <w:rPr>
          <w:b/>
          <w:sz w:val="22"/>
          <w:szCs w:val="22"/>
        </w:rPr>
        <w:lastRenderedPageBreak/>
        <w:t>If you need to enter corrected results for the ABID, be sure you check the box to add the order for the PTL.  If not, you will have to reorder the reflex test.</w:t>
      </w:r>
    </w:p>
    <w:p w14:paraId="784C1830" w14:textId="77777777" w:rsidR="00C93673" w:rsidRPr="00092A53" w:rsidRDefault="00C93673" w:rsidP="00D64A23">
      <w:pPr>
        <w:rPr>
          <w:sz w:val="22"/>
          <w:szCs w:val="22"/>
        </w:rPr>
      </w:pPr>
    </w:p>
    <w:p w14:paraId="1A48D377" w14:textId="18A10911" w:rsidR="00D64A23" w:rsidRPr="00092A53" w:rsidRDefault="00D64A23" w:rsidP="00D64A23">
      <w:pPr>
        <w:rPr>
          <w:sz w:val="22"/>
          <w:szCs w:val="22"/>
        </w:rPr>
      </w:pPr>
      <w:r w:rsidRPr="00092A53">
        <w:rPr>
          <w:sz w:val="22"/>
          <w:szCs w:val="22"/>
        </w:rPr>
        <w:t xml:space="preserve">A </w:t>
      </w:r>
      <w:r w:rsidR="00CF7148" w:rsidRPr="00092A53">
        <w:rPr>
          <w:sz w:val="22"/>
          <w:szCs w:val="22"/>
        </w:rPr>
        <w:t>f</w:t>
      </w:r>
      <w:r w:rsidRPr="00092A53">
        <w:rPr>
          <w:sz w:val="22"/>
          <w:szCs w:val="22"/>
        </w:rPr>
        <w:t xml:space="preserve">inalized Transfusion Reaction </w:t>
      </w:r>
      <w:r w:rsidR="00CF7148" w:rsidRPr="00092A53">
        <w:rPr>
          <w:sz w:val="22"/>
          <w:szCs w:val="22"/>
        </w:rPr>
        <w:t>W</w:t>
      </w:r>
      <w:r w:rsidRPr="00092A53">
        <w:rPr>
          <w:sz w:val="22"/>
          <w:szCs w:val="22"/>
        </w:rPr>
        <w:t>orkup</w:t>
      </w:r>
      <w:r w:rsidR="00CF7148" w:rsidRPr="00092A53">
        <w:rPr>
          <w:sz w:val="22"/>
          <w:szCs w:val="22"/>
        </w:rPr>
        <w:t xml:space="preserve"> (TRW)</w:t>
      </w:r>
      <w:r w:rsidRPr="00092A53">
        <w:rPr>
          <w:sz w:val="22"/>
          <w:szCs w:val="22"/>
        </w:rPr>
        <w:t xml:space="preserve"> cannot be invalidated. </w:t>
      </w:r>
      <w:r w:rsidR="00CF7148" w:rsidRPr="00092A53">
        <w:rPr>
          <w:sz w:val="22"/>
          <w:szCs w:val="22"/>
        </w:rPr>
        <w:t xml:space="preserve">Invalidation requires a </w:t>
      </w:r>
      <w:r w:rsidR="00435359">
        <w:rPr>
          <w:sz w:val="22"/>
          <w:szCs w:val="22"/>
        </w:rPr>
        <w:t>Service</w:t>
      </w:r>
      <w:r w:rsidR="003E31A0">
        <w:rPr>
          <w:sz w:val="22"/>
          <w:szCs w:val="22"/>
        </w:rPr>
        <w:t xml:space="preserve"> Desk</w:t>
      </w:r>
      <w:r w:rsidR="00CF7148" w:rsidRPr="00092A53">
        <w:rPr>
          <w:sz w:val="22"/>
          <w:szCs w:val="22"/>
        </w:rPr>
        <w:t xml:space="preserve"> ticket to have the development team intervene and make that correction.</w:t>
      </w:r>
      <w:r w:rsidRPr="00092A53">
        <w:rPr>
          <w:sz w:val="22"/>
          <w:szCs w:val="22"/>
        </w:rPr>
        <w:t xml:space="preserve"> A TRW that has not been </w:t>
      </w:r>
      <w:r w:rsidR="00CF7148" w:rsidRPr="00092A53">
        <w:rPr>
          <w:sz w:val="22"/>
          <w:szCs w:val="22"/>
        </w:rPr>
        <w:t>f</w:t>
      </w:r>
      <w:r w:rsidRPr="00092A53">
        <w:rPr>
          <w:sz w:val="22"/>
          <w:szCs w:val="22"/>
        </w:rPr>
        <w:t>inalized can be invalidated and re</w:t>
      </w:r>
      <w:r w:rsidR="00CF7148" w:rsidRPr="00092A53">
        <w:rPr>
          <w:sz w:val="22"/>
          <w:szCs w:val="22"/>
        </w:rPr>
        <w:t>-</w:t>
      </w:r>
      <w:r w:rsidRPr="00092A53">
        <w:rPr>
          <w:sz w:val="22"/>
          <w:szCs w:val="22"/>
        </w:rPr>
        <w:t xml:space="preserve">entered as any other VBECS test. </w:t>
      </w:r>
    </w:p>
    <w:p w14:paraId="76E5309A" w14:textId="77777777" w:rsidR="00D64A23" w:rsidRPr="00092A53" w:rsidRDefault="00D64A23" w:rsidP="00D64A23">
      <w:pPr>
        <w:rPr>
          <w:b/>
          <w:sz w:val="22"/>
          <w:szCs w:val="22"/>
        </w:rPr>
      </w:pPr>
      <w:r w:rsidRPr="00092A53">
        <w:rPr>
          <w:b/>
          <w:sz w:val="22"/>
          <w:szCs w:val="22"/>
        </w:rPr>
        <w:t>Where to start...</w:t>
      </w:r>
    </w:p>
    <w:p w14:paraId="518682E0" w14:textId="77777777" w:rsidR="00D64A23" w:rsidRPr="00092A53" w:rsidRDefault="00D64A23" w:rsidP="000409B1">
      <w:pPr>
        <w:numPr>
          <w:ilvl w:val="0"/>
          <w:numId w:val="39"/>
        </w:numPr>
        <w:spacing w:line="276" w:lineRule="auto"/>
        <w:rPr>
          <w:b/>
          <w:sz w:val="22"/>
          <w:szCs w:val="22"/>
        </w:rPr>
      </w:pPr>
      <w:r w:rsidRPr="00092A53">
        <w:rPr>
          <w:b/>
          <w:sz w:val="22"/>
          <w:szCs w:val="22"/>
        </w:rPr>
        <w:t xml:space="preserve">Are the units transfused?  </w:t>
      </w:r>
    </w:p>
    <w:p w14:paraId="305799D4" w14:textId="77777777" w:rsidR="00D64A23" w:rsidRPr="00092A53" w:rsidRDefault="00D64A23" w:rsidP="00D64A23">
      <w:pPr>
        <w:ind w:firstLine="720"/>
        <w:rPr>
          <w:sz w:val="22"/>
          <w:szCs w:val="22"/>
        </w:rPr>
      </w:pPr>
      <w:r w:rsidRPr="00092A53">
        <w:rPr>
          <w:sz w:val="22"/>
          <w:szCs w:val="22"/>
        </w:rPr>
        <w:t>Go to Supervisor, Remove Final Status to get the unit back to an issued status.</w:t>
      </w:r>
    </w:p>
    <w:p w14:paraId="2BB51450" w14:textId="77777777" w:rsidR="00D64A23" w:rsidRPr="00092A53" w:rsidRDefault="00D64A23" w:rsidP="000409B1">
      <w:pPr>
        <w:numPr>
          <w:ilvl w:val="0"/>
          <w:numId w:val="39"/>
        </w:numPr>
        <w:spacing w:line="276" w:lineRule="auto"/>
        <w:rPr>
          <w:b/>
          <w:sz w:val="22"/>
          <w:szCs w:val="22"/>
        </w:rPr>
      </w:pPr>
      <w:r w:rsidRPr="00092A53">
        <w:rPr>
          <w:b/>
          <w:sz w:val="22"/>
          <w:szCs w:val="22"/>
        </w:rPr>
        <w:t xml:space="preserve">Are the units issued? </w:t>
      </w:r>
    </w:p>
    <w:p w14:paraId="5CD900AD" w14:textId="77777777" w:rsidR="00D64A23" w:rsidRPr="00092A53" w:rsidRDefault="00D64A23" w:rsidP="00D64A23">
      <w:pPr>
        <w:ind w:firstLine="720"/>
        <w:rPr>
          <w:sz w:val="22"/>
          <w:szCs w:val="22"/>
        </w:rPr>
      </w:pPr>
      <w:r w:rsidRPr="00092A53">
        <w:rPr>
          <w:sz w:val="22"/>
          <w:szCs w:val="22"/>
        </w:rPr>
        <w:t xml:space="preserve">Go to Return Unit from Issue by either the patient or blood unit menu. </w:t>
      </w:r>
    </w:p>
    <w:p w14:paraId="0BFBCEDB" w14:textId="77777777" w:rsidR="00D64A23" w:rsidRPr="00092A53" w:rsidRDefault="00D64A23" w:rsidP="00D64A23">
      <w:pPr>
        <w:ind w:left="720"/>
        <w:rPr>
          <w:sz w:val="22"/>
          <w:szCs w:val="22"/>
        </w:rPr>
      </w:pPr>
      <w:r w:rsidRPr="00092A53">
        <w:rPr>
          <w:sz w:val="22"/>
          <w:szCs w:val="22"/>
        </w:rPr>
        <w:t>Return the unit from issue at the current date and time.</w:t>
      </w:r>
    </w:p>
    <w:p w14:paraId="563B7183" w14:textId="77777777" w:rsidR="00D64A23" w:rsidRPr="00092A53" w:rsidRDefault="00D64A23" w:rsidP="000409B1">
      <w:pPr>
        <w:numPr>
          <w:ilvl w:val="0"/>
          <w:numId w:val="39"/>
        </w:numPr>
        <w:spacing w:line="276" w:lineRule="auto"/>
        <w:rPr>
          <w:b/>
          <w:sz w:val="22"/>
          <w:szCs w:val="22"/>
        </w:rPr>
      </w:pPr>
      <w:r w:rsidRPr="00092A53">
        <w:rPr>
          <w:b/>
          <w:sz w:val="22"/>
          <w:szCs w:val="22"/>
        </w:rPr>
        <w:t xml:space="preserve">Are the units selected for a patient? </w:t>
      </w:r>
    </w:p>
    <w:p w14:paraId="417E9325" w14:textId="77777777" w:rsidR="00D64A23" w:rsidRPr="00092A53" w:rsidRDefault="00D64A23" w:rsidP="00D64A23">
      <w:pPr>
        <w:ind w:firstLine="720"/>
        <w:rPr>
          <w:sz w:val="22"/>
          <w:szCs w:val="22"/>
        </w:rPr>
      </w:pPr>
      <w:r w:rsidRPr="00092A53">
        <w:rPr>
          <w:sz w:val="22"/>
          <w:szCs w:val="22"/>
        </w:rPr>
        <w:t>Go to Release Units from Assignment by either the patient or blood unit menu.</w:t>
      </w:r>
    </w:p>
    <w:p w14:paraId="2FDFC324" w14:textId="77777777" w:rsidR="00D64A23" w:rsidRPr="00092A53" w:rsidRDefault="00D64A23" w:rsidP="00D64A23">
      <w:pPr>
        <w:rPr>
          <w:sz w:val="22"/>
          <w:szCs w:val="22"/>
        </w:rPr>
      </w:pPr>
    </w:p>
    <w:p w14:paraId="364E079B" w14:textId="77777777" w:rsidR="00D64A23" w:rsidRPr="00092A53" w:rsidRDefault="00D64A23" w:rsidP="00D64A23">
      <w:pPr>
        <w:rPr>
          <w:sz w:val="22"/>
          <w:szCs w:val="22"/>
        </w:rPr>
      </w:pPr>
      <w:r w:rsidRPr="00092A53">
        <w:rPr>
          <w:sz w:val="22"/>
          <w:szCs w:val="22"/>
        </w:rPr>
        <w:t>When the units are no longer assigned to the patient, go into Invalidate Patient Testing by the Patient Menu and invalidate the patient test.</w:t>
      </w:r>
    </w:p>
    <w:p w14:paraId="6A86A2BE" w14:textId="77777777" w:rsidR="00D64A23" w:rsidRPr="004A517D" w:rsidRDefault="00D64A23" w:rsidP="00D64A23">
      <w:pPr>
        <w:rPr>
          <w:rFonts w:ascii="Arial" w:hAnsi="Arial" w:cs="Arial"/>
          <w:sz w:val="20"/>
          <w:szCs w:val="20"/>
        </w:rPr>
      </w:pPr>
    </w:p>
    <w:p w14:paraId="4A1E4045" w14:textId="77777777" w:rsidR="00D64A23" w:rsidRPr="004A517D" w:rsidRDefault="00057948" w:rsidP="00D64A23">
      <w:pPr>
        <w:rPr>
          <w:rFonts w:ascii="Arial" w:hAnsi="Arial" w:cs="Arial"/>
          <w:b/>
          <w:color w:val="FF0000"/>
          <w:sz w:val="20"/>
          <w:szCs w:val="20"/>
        </w:rPr>
      </w:pPr>
      <w:r>
        <w:rPr>
          <w:rFonts w:ascii="Arial" w:hAnsi="Arial" w:cs="Arial"/>
          <w:noProof/>
          <w:sz w:val="20"/>
          <w:szCs w:val="20"/>
        </w:rPr>
        <mc:AlternateContent>
          <mc:Choice Requires="wps">
            <w:drawing>
              <wp:anchor distT="0" distB="0" distL="114300" distR="114300" simplePos="0" relativeHeight="252023296" behindDoc="0" locked="0" layoutInCell="1" allowOverlap="1" wp14:anchorId="448458D6" wp14:editId="2450E7B4">
                <wp:simplePos x="0" y="0"/>
                <wp:positionH relativeFrom="column">
                  <wp:posOffset>-133350</wp:posOffset>
                </wp:positionH>
                <wp:positionV relativeFrom="paragraph">
                  <wp:posOffset>-66675</wp:posOffset>
                </wp:positionV>
                <wp:extent cx="6086475" cy="457200"/>
                <wp:effectExtent l="9525" t="9525" r="9525" b="9525"/>
                <wp:wrapNone/>
                <wp:docPr id="16" name="Rectangle 1214" descr="P18867#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4572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D1E8F" id="Rectangle 1214" o:spid="_x0000_s1026" style="position:absolute;margin-left:-10.5pt;margin-top:-5.25pt;width:479.25pt;height:36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" filled="f" strokecolor="red" strokeweight="1.5pt"/>
            </w:pict>
          </mc:Fallback>
        </mc:AlternateContent>
      </w:r>
      <w:r w:rsidR="00D64A23" w:rsidRPr="004A517D">
        <w:rPr>
          <w:rFonts w:ascii="Arial" w:hAnsi="Arial" w:cs="Arial"/>
          <w:b/>
          <w:color w:val="FF0000"/>
          <w:sz w:val="20"/>
          <w:szCs w:val="20"/>
        </w:rPr>
        <w:t>STOP and make sure the user checks the box in the lower left corner if they want the test to appear on the PTL for correction.</w:t>
      </w:r>
    </w:p>
    <w:p w14:paraId="05946A77" w14:textId="77777777" w:rsidR="00D64A23" w:rsidRPr="004A517D" w:rsidRDefault="00D64A23" w:rsidP="00D64A23">
      <w:pPr>
        <w:rPr>
          <w:rFonts w:ascii="Arial" w:hAnsi="Arial" w:cs="Arial"/>
          <w:b/>
          <w:color w:val="FF0000"/>
          <w:sz w:val="20"/>
          <w:szCs w:val="20"/>
        </w:rPr>
      </w:pPr>
    </w:p>
    <w:p w14:paraId="29C51114" w14:textId="77777777" w:rsidR="00D64A23" w:rsidRPr="00C2774B" w:rsidRDefault="00D64A23" w:rsidP="00C2774B">
      <w:pPr>
        <w:pStyle w:val="Heading3"/>
      </w:pPr>
      <w:bookmarkStart w:id="816" w:name="_Toc4588912"/>
      <w:r w:rsidRPr="00C2774B">
        <w:t>UN-Pooling a Pooled Unit (in the computer only)</w:t>
      </w:r>
      <w:bookmarkEnd w:id="816"/>
    </w:p>
    <w:p w14:paraId="082CE870" w14:textId="77777777" w:rsidR="00D64A23" w:rsidRPr="00092A53" w:rsidRDefault="00D64A23" w:rsidP="00D64A23">
      <w:pPr>
        <w:rPr>
          <w:sz w:val="22"/>
          <w:szCs w:val="22"/>
        </w:rPr>
      </w:pPr>
      <w:r w:rsidRPr="00092A53">
        <w:rPr>
          <w:sz w:val="22"/>
          <w:szCs w:val="22"/>
        </w:rPr>
        <w:t>This may happen when a pool is created in the computer and the physical pool was not created after all.</w:t>
      </w:r>
    </w:p>
    <w:p w14:paraId="3DDDBEB2" w14:textId="77777777" w:rsidR="00D64A23" w:rsidRPr="00092A53" w:rsidRDefault="00D64A23" w:rsidP="00D64A23">
      <w:pPr>
        <w:rPr>
          <w:sz w:val="22"/>
          <w:szCs w:val="22"/>
        </w:rPr>
      </w:pPr>
      <w:r w:rsidRPr="00092A53">
        <w:rPr>
          <w:sz w:val="22"/>
          <w:szCs w:val="22"/>
        </w:rPr>
        <w:t xml:space="preserve">If there is a patient assignment, issue or transfusion, that must be removed first as described above in the </w:t>
      </w:r>
      <w:r w:rsidRPr="00092A53">
        <w:rPr>
          <w:b/>
          <w:sz w:val="22"/>
          <w:szCs w:val="22"/>
        </w:rPr>
        <w:t xml:space="preserve">Where to start </w:t>
      </w:r>
      <w:r w:rsidRPr="00092A53">
        <w:rPr>
          <w:sz w:val="22"/>
          <w:szCs w:val="22"/>
        </w:rPr>
        <w:t>section.</w:t>
      </w:r>
    </w:p>
    <w:p w14:paraId="7EE97A5E" w14:textId="77777777" w:rsidR="00D64A23" w:rsidRPr="00092A53" w:rsidRDefault="00D64A23" w:rsidP="000409B1">
      <w:pPr>
        <w:numPr>
          <w:ilvl w:val="0"/>
          <w:numId w:val="38"/>
        </w:numPr>
        <w:spacing w:line="276" w:lineRule="auto"/>
        <w:rPr>
          <w:sz w:val="22"/>
          <w:szCs w:val="22"/>
        </w:rPr>
      </w:pPr>
      <w:r w:rsidRPr="00092A53">
        <w:rPr>
          <w:sz w:val="22"/>
          <w:szCs w:val="22"/>
        </w:rPr>
        <w:t>Go to Blood Unit, Edit Unit Information and INACTIVATE the Pooled Unit.</w:t>
      </w:r>
    </w:p>
    <w:p w14:paraId="5E0861D5" w14:textId="77777777" w:rsidR="00D64A23" w:rsidRPr="00092A53" w:rsidRDefault="00D64A23" w:rsidP="000409B1">
      <w:pPr>
        <w:numPr>
          <w:ilvl w:val="0"/>
          <w:numId w:val="38"/>
        </w:numPr>
        <w:spacing w:line="276" w:lineRule="auto"/>
        <w:rPr>
          <w:sz w:val="22"/>
          <w:szCs w:val="22"/>
        </w:rPr>
      </w:pPr>
      <w:r w:rsidRPr="00092A53">
        <w:rPr>
          <w:sz w:val="22"/>
          <w:szCs w:val="22"/>
        </w:rPr>
        <w:t>Go to Supervisor, Remove Final Status, select each original unit removing the MODIFIED status and making each available.</w:t>
      </w:r>
    </w:p>
    <w:p w14:paraId="029E019F" w14:textId="77777777" w:rsidR="00D64A23" w:rsidRPr="00092A53" w:rsidRDefault="001866C8" w:rsidP="000409B1">
      <w:pPr>
        <w:numPr>
          <w:ilvl w:val="0"/>
          <w:numId w:val="38"/>
        </w:numPr>
        <w:spacing w:line="276" w:lineRule="auto"/>
        <w:rPr>
          <w:sz w:val="22"/>
          <w:szCs w:val="22"/>
        </w:rPr>
      </w:pPr>
      <w:r w:rsidRPr="00092A53">
        <w:rPr>
          <w:sz w:val="22"/>
          <w:szCs w:val="22"/>
        </w:rPr>
        <w:t xml:space="preserve">Repeat Step </w:t>
      </w:r>
      <w:r w:rsidR="00D64A23" w:rsidRPr="00092A53">
        <w:rPr>
          <w:sz w:val="22"/>
          <w:szCs w:val="22"/>
        </w:rPr>
        <w:t>2 for each original unit included in the pool.</w:t>
      </w:r>
    </w:p>
    <w:p w14:paraId="02B0F10E" w14:textId="77777777" w:rsidR="006B6B74" w:rsidRPr="00C2774B" w:rsidRDefault="00E91569" w:rsidP="00C2774B">
      <w:pPr>
        <w:pStyle w:val="Heading3"/>
        <w:rPr>
          <w:szCs w:val="20"/>
        </w:rPr>
      </w:pPr>
      <w:bookmarkStart w:id="817" w:name="_Toc4588913"/>
      <w:r>
        <w:t>UN-Modifying a U</w:t>
      </w:r>
      <w:r w:rsidR="00092A53" w:rsidRPr="00C2774B">
        <w:t>nit</w:t>
      </w:r>
      <w:bookmarkEnd w:id="817"/>
      <w:r w:rsidR="00D64A23" w:rsidRPr="00C2774B">
        <w:rPr>
          <w:szCs w:val="20"/>
        </w:rPr>
        <w:t xml:space="preserve"> </w:t>
      </w:r>
    </w:p>
    <w:p w14:paraId="591C53B8" w14:textId="77777777" w:rsidR="00D64A23" w:rsidRPr="00092A53" w:rsidRDefault="00D64A23" w:rsidP="00D64A23">
      <w:pPr>
        <w:rPr>
          <w:sz w:val="22"/>
          <w:szCs w:val="22"/>
        </w:rPr>
      </w:pPr>
      <w:r w:rsidRPr="00092A53">
        <w:rPr>
          <w:sz w:val="22"/>
          <w:szCs w:val="22"/>
        </w:rPr>
        <w:t>Go to Supervisor, Remove Final Status.</w:t>
      </w:r>
    </w:p>
    <w:p w14:paraId="2EC49C12" w14:textId="77777777" w:rsidR="00392A54" w:rsidRDefault="00D64A23" w:rsidP="00D64A23">
      <w:pPr>
        <w:rPr>
          <w:sz w:val="22"/>
          <w:szCs w:val="22"/>
        </w:rPr>
      </w:pPr>
      <w:r w:rsidRPr="00092A53">
        <w:rPr>
          <w:sz w:val="22"/>
          <w:szCs w:val="22"/>
        </w:rPr>
        <w:t xml:space="preserve">If there is a patient assignment, issue or transfusion, that must be removed first as described above in the </w:t>
      </w:r>
      <w:r w:rsidRPr="00092A53">
        <w:rPr>
          <w:b/>
          <w:sz w:val="22"/>
          <w:szCs w:val="22"/>
        </w:rPr>
        <w:t>Where to start</w:t>
      </w:r>
      <w:r w:rsidRPr="00092A53">
        <w:rPr>
          <w:sz w:val="22"/>
          <w:szCs w:val="22"/>
        </w:rPr>
        <w:t xml:space="preserve"> section.</w:t>
      </w:r>
    </w:p>
    <w:p w14:paraId="47A435C1" w14:textId="77777777" w:rsidR="0059697E" w:rsidRDefault="0059697E" w:rsidP="00E43C60">
      <w:pPr>
        <w:pStyle w:val="Heading2"/>
      </w:pPr>
    </w:p>
    <w:p w14:paraId="01AF1771" w14:textId="77777777" w:rsidR="00D64A23" w:rsidRPr="00D64A23" w:rsidRDefault="00D64A23" w:rsidP="00D64A23"/>
    <w:p w14:paraId="3522F3DD" w14:textId="0C359B7C" w:rsidR="00657069" w:rsidRDefault="00D64A23" w:rsidP="00E43C60">
      <w:pPr>
        <w:pStyle w:val="Heading2"/>
      </w:pPr>
      <w:r>
        <w:br w:type="page"/>
      </w:r>
      <w:bookmarkStart w:id="818" w:name="_Ref256684287"/>
      <w:bookmarkStart w:id="819" w:name="_Toc4588914"/>
      <w:r w:rsidR="0062532A">
        <w:lastRenderedPageBreak/>
        <w:t xml:space="preserve">Appendix </w:t>
      </w:r>
      <w:bookmarkEnd w:id="812"/>
      <w:r w:rsidR="001B0B0C">
        <w:rPr>
          <w:noProof/>
        </w:rPr>
        <w:t>J</w:t>
      </w:r>
      <w:r w:rsidR="0062532A">
        <w:t xml:space="preserve">: </w:t>
      </w:r>
      <w:r w:rsidR="00657069">
        <w:t>Recommended Report Usage</w:t>
      </w:r>
      <w:bookmarkEnd w:id="818"/>
      <w:bookmarkEnd w:id="819"/>
      <w:r w:rsidR="00681D23">
        <w:fldChar w:fldCharType="begin"/>
      </w:r>
      <w:r w:rsidR="00681D23">
        <w:instrText xml:space="preserve"> XE "</w:instrText>
      </w:r>
      <w:r w:rsidR="00681D23" w:rsidRPr="00AE2CB0">
        <w:instrText>Recommended Report Usage</w:instrText>
      </w:r>
      <w:r w:rsidR="00681D23">
        <w:instrText xml:space="preserve">" </w:instrText>
      </w:r>
      <w:r w:rsidR="00681D23">
        <w:fldChar w:fldCharType="end"/>
      </w:r>
      <w:r w:rsidR="00657069">
        <w:t xml:space="preserve"> </w:t>
      </w:r>
    </w:p>
    <w:p w14:paraId="18F22667" w14:textId="50C8B166" w:rsidR="00E24CBD" w:rsidRDefault="00C90CCC" w:rsidP="00E24CBD">
      <w:pPr>
        <w:pStyle w:val="BodyText"/>
      </w:pPr>
      <w:r>
        <w:fldChar w:fldCharType="begin" w:fldLock="1"/>
      </w:r>
      <w:r>
        <w:instrText xml:space="preserve"> REF _Ref126732565 \h </w:instrText>
      </w:r>
      <w:r>
        <w:fldChar w:fldCharType="separate"/>
      </w:r>
      <w:r w:rsidR="00AB304C">
        <w:t xml:space="preserve">Table </w:t>
      </w:r>
      <w:r w:rsidR="00AB304C">
        <w:rPr>
          <w:noProof/>
        </w:rPr>
        <w:t>37</w:t>
      </w:r>
      <w:r>
        <w:fldChar w:fldCharType="end"/>
      </w:r>
      <w:r w:rsidR="00E24CBD">
        <w:t xml:space="preserve"> lists reports, how often to run them, and how to use them. These are recommendations for meeting </w:t>
      </w:r>
      <w:r w:rsidR="00FE73F7">
        <w:t>regulatory requirements</w:t>
      </w:r>
      <w:r w:rsidR="00E24CBD">
        <w:t>.</w:t>
      </w:r>
      <w:r w:rsidR="006C1675">
        <w:t xml:space="preserve"> Reports</w:t>
      </w:r>
      <w:r w:rsidR="00462332">
        <w:t>, including the non-individual Blood Availability Report,</w:t>
      </w:r>
      <w:r w:rsidR="006C1675">
        <w:t xml:space="preserve"> are available through the Reports </w:t>
      </w:r>
      <w:r w:rsidR="00954B52">
        <w:t>menu item</w:t>
      </w:r>
      <w:r w:rsidR="006C1675">
        <w:t>. The</w:t>
      </w:r>
      <w:r w:rsidR="00462332">
        <w:t xml:space="preserve"> patient-specific</w:t>
      </w:r>
      <w:r w:rsidR="006C1675">
        <w:t xml:space="preserve"> Blood Availability Report is available through the Patients </w:t>
      </w:r>
      <w:r w:rsidR="00954B52">
        <w:t>menu item</w:t>
      </w:r>
      <w:r w:rsidR="006C1675">
        <w:t>.</w:t>
      </w:r>
    </w:p>
    <w:p w14:paraId="1CB801FB" w14:textId="286F85F1" w:rsidR="00E24CBD" w:rsidRDefault="00E24CBD" w:rsidP="00E24CBD">
      <w:pPr>
        <w:pStyle w:val="Caption"/>
      </w:pPr>
      <w:bookmarkStart w:id="820" w:name="_Ref126732565"/>
      <w:bookmarkStart w:id="821" w:name="_Ref126504669"/>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647F4E">
        <w:rPr>
          <w:noProof/>
        </w:rPr>
        <w:t>37</w:t>
      </w:r>
      <w:r w:rsidR="004E20BD">
        <w:rPr>
          <w:noProof/>
        </w:rPr>
        <w:fldChar w:fldCharType="end"/>
      </w:r>
      <w:bookmarkEnd w:id="820"/>
      <w:r>
        <w:t>: Recommended Report Usage</w:t>
      </w:r>
      <w:bookmarkEnd w:id="821"/>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0"/>
        <w:gridCol w:w="2039"/>
        <w:gridCol w:w="2580"/>
        <w:gridCol w:w="3461"/>
      </w:tblGrid>
      <w:tr w:rsidR="00462332" w:rsidRPr="00E24CBD" w14:paraId="6447BBAD" w14:textId="77777777">
        <w:trPr>
          <w:cantSplit/>
          <w:tblHeader/>
        </w:trPr>
        <w:tc>
          <w:tcPr>
            <w:tcW w:w="1728" w:type="dxa"/>
            <w:shd w:val="clear" w:color="auto" w:fill="B3B3B3"/>
            <w:vAlign w:val="bottom"/>
          </w:tcPr>
          <w:p w14:paraId="5A30B560" w14:textId="77777777" w:rsidR="00462332" w:rsidRPr="00E24CBD" w:rsidRDefault="00462332" w:rsidP="00E24CBD">
            <w:pPr>
              <w:pStyle w:val="TableText"/>
              <w:rPr>
                <w:b/>
                <w:snapToGrid w:val="0"/>
              </w:rPr>
            </w:pPr>
            <w:r>
              <w:rPr>
                <w:b/>
                <w:snapToGrid w:val="0"/>
              </w:rPr>
              <w:t>Run This Report:</w:t>
            </w:r>
          </w:p>
        </w:tc>
        <w:tc>
          <w:tcPr>
            <w:tcW w:w="2810" w:type="dxa"/>
            <w:shd w:val="clear" w:color="auto" w:fill="B3B3B3"/>
            <w:vAlign w:val="bottom"/>
          </w:tcPr>
          <w:p w14:paraId="19AB10C0" w14:textId="77777777" w:rsidR="00462332" w:rsidRPr="00E24CBD" w:rsidRDefault="00462332" w:rsidP="00E24CBD">
            <w:pPr>
              <w:pStyle w:val="TableText"/>
              <w:rPr>
                <w:b/>
                <w:snapToGrid w:val="0"/>
              </w:rPr>
            </w:pPr>
            <w:r>
              <w:rPr>
                <w:b/>
                <w:snapToGrid w:val="0"/>
              </w:rPr>
              <w:t>Report</w:t>
            </w:r>
            <w:r w:rsidR="00695BEA">
              <w:rPr>
                <w:b/>
                <w:snapToGrid w:val="0"/>
              </w:rPr>
              <w:t xml:space="preserve"> Option</w:t>
            </w:r>
          </w:p>
        </w:tc>
        <w:tc>
          <w:tcPr>
            <w:tcW w:w="3582" w:type="dxa"/>
            <w:shd w:val="clear" w:color="auto" w:fill="B3B3B3"/>
            <w:vAlign w:val="bottom"/>
          </w:tcPr>
          <w:p w14:paraId="52AE464D" w14:textId="77777777" w:rsidR="00462332" w:rsidRPr="00E24CBD" w:rsidRDefault="00695BEA" w:rsidP="00E24CBD">
            <w:pPr>
              <w:pStyle w:val="TableText"/>
              <w:rPr>
                <w:b/>
                <w:snapToGrid w:val="0"/>
              </w:rPr>
            </w:pPr>
            <w:r>
              <w:rPr>
                <w:b/>
                <w:snapToGrid w:val="0"/>
              </w:rPr>
              <w:t>Purpose</w:t>
            </w:r>
          </w:p>
        </w:tc>
        <w:tc>
          <w:tcPr>
            <w:tcW w:w="4840" w:type="dxa"/>
            <w:shd w:val="clear" w:color="auto" w:fill="B3B3B3"/>
            <w:vAlign w:val="bottom"/>
          </w:tcPr>
          <w:p w14:paraId="02CBECCA" w14:textId="77777777" w:rsidR="00462332" w:rsidRPr="00E24CBD" w:rsidRDefault="00695BEA" w:rsidP="00E24CBD">
            <w:pPr>
              <w:pStyle w:val="TableText"/>
              <w:rPr>
                <w:b/>
                <w:snapToGrid w:val="0"/>
              </w:rPr>
            </w:pPr>
            <w:r>
              <w:rPr>
                <w:b/>
                <w:snapToGrid w:val="0"/>
              </w:rPr>
              <w:t>To Meet Regulatory Requirements:</w:t>
            </w:r>
          </w:p>
        </w:tc>
      </w:tr>
      <w:tr w:rsidR="00462332" w14:paraId="56FBAB27" w14:textId="77777777">
        <w:trPr>
          <w:cantSplit/>
        </w:trPr>
        <w:tc>
          <w:tcPr>
            <w:tcW w:w="1728" w:type="dxa"/>
            <w:vMerge w:val="restart"/>
          </w:tcPr>
          <w:p w14:paraId="2EF7C1D4" w14:textId="77777777" w:rsidR="00462332" w:rsidRDefault="00462332" w:rsidP="00E24CBD">
            <w:pPr>
              <w:pStyle w:val="TableText"/>
              <w:rPr>
                <w:snapToGrid w:val="0"/>
              </w:rPr>
            </w:pPr>
            <w:r>
              <w:rPr>
                <w:snapToGrid w:val="0"/>
              </w:rPr>
              <w:t>Daily</w:t>
            </w:r>
          </w:p>
        </w:tc>
        <w:tc>
          <w:tcPr>
            <w:tcW w:w="2810" w:type="dxa"/>
          </w:tcPr>
          <w:p w14:paraId="71D3B4A9" w14:textId="77777777" w:rsidR="00462332" w:rsidRDefault="00462332" w:rsidP="00E24CBD">
            <w:pPr>
              <w:pStyle w:val="TableText"/>
              <w:rPr>
                <w:snapToGrid w:val="0"/>
              </w:rPr>
            </w:pPr>
            <w:r>
              <w:rPr>
                <w:snapToGrid w:val="0"/>
              </w:rPr>
              <w:t>Audit Trail</w:t>
            </w:r>
          </w:p>
        </w:tc>
        <w:tc>
          <w:tcPr>
            <w:tcW w:w="3582" w:type="dxa"/>
          </w:tcPr>
          <w:p w14:paraId="61C69EA5" w14:textId="77777777" w:rsidR="00462332" w:rsidRDefault="00462332" w:rsidP="00E24CBD">
            <w:pPr>
              <w:pStyle w:val="TableText"/>
              <w:rPr>
                <w:snapToGrid w:val="0"/>
              </w:rPr>
            </w:pPr>
            <w:r>
              <w:t xml:space="preserve">Quality </w:t>
            </w:r>
            <w:r w:rsidR="000A04E1">
              <w:t>a</w:t>
            </w:r>
            <w:r>
              <w:t>ssurance (QA) report details data changes in system.</w:t>
            </w:r>
          </w:p>
        </w:tc>
        <w:tc>
          <w:tcPr>
            <w:tcW w:w="4840" w:type="dxa"/>
          </w:tcPr>
          <w:p w14:paraId="1BC10579" w14:textId="77777777" w:rsidR="00462332" w:rsidRDefault="00462332" w:rsidP="00E24CBD">
            <w:pPr>
              <w:pStyle w:val="TableText"/>
              <w:rPr>
                <w:snapToGrid w:val="0"/>
              </w:rPr>
            </w:pPr>
            <w:r>
              <w:rPr>
                <w:snapToGrid w:val="0"/>
              </w:rPr>
              <w:t>Print, review, sign</w:t>
            </w:r>
            <w:r w:rsidR="000A04E1">
              <w:rPr>
                <w:snapToGrid w:val="0"/>
              </w:rPr>
              <w:t>,</w:t>
            </w:r>
            <w:r>
              <w:rPr>
                <w:snapToGrid w:val="0"/>
              </w:rPr>
              <w:t xml:space="preserve"> </w:t>
            </w:r>
            <w:r w:rsidR="00695BEA">
              <w:rPr>
                <w:snapToGrid w:val="0"/>
              </w:rPr>
              <w:t xml:space="preserve">date, </w:t>
            </w:r>
            <w:r>
              <w:rPr>
                <w:snapToGrid w:val="0"/>
              </w:rPr>
              <w:t>and save hard</w:t>
            </w:r>
            <w:r w:rsidR="00695BEA">
              <w:rPr>
                <w:snapToGrid w:val="0"/>
              </w:rPr>
              <w:t xml:space="preserve"> </w:t>
            </w:r>
            <w:r>
              <w:rPr>
                <w:snapToGrid w:val="0"/>
              </w:rPr>
              <w:t>copy.</w:t>
            </w:r>
          </w:p>
        </w:tc>
      </w:tr>
      <w:tr w:rsidR="00462332" w14:paraId="522B04DF" w14:textId="77777777">
        <w:trPr>
          <w:cantSplit/>
        </w:trPr>
        <w:tc>
          <w:tcPr>
            <w:tcW w:w="1728" w:type="dxa"/>
            <w:vMerge/>
          </w:tcPr>
          <w:p w14:paraId="0FE1D9DA" w14:textId="77777777" w:rsidR="00462332" w:rsidRDefault="00462332" w:rsidP="00E24CBD">
            <w:pPr>
              <w:pStyle w:val="TableText"/>
              <w:rPr>
                <w:snapToGrid w:val="0"/>
              </w:rPr>
            </w:pPr>
          </w:p>
        </w:tc>
        <w:tc>
          <w:tcPr>
            <w:tcW w:w="2810" w:type="dxa"/>
          </w:tcPr>
          <w:p w14:paraId="666F3C23" w14:textId="77777777" w:rsidR="00462332" w:rsidRDefault="00462332" w:rsidP="00E24CBD">
            <w:pPr>
              <w:pStyle w:val="TableText"/>
              <w:rPr>
                <w:snapToGrid w:val="0"/>
              </w:rPr>
            </w:pPr>
            <w:r>
              <w:rPr>
                <w:snapToGrid w:val="0"/>
              </w:rPr>
              <w:t>Blood Availability</w:t>
            </w:r>
          </w:p>
        </w:tc>
        <w:tc>
          <w:tcPr>
            <w:tcW w:w="3582" w:type="dxa"/>
          </w:tcPr>
          <w:p w14:paraId="5462F08B" w14:textId="77777777" w:rsidR="00462332" w:rsidRDefault="00462332" w:rsidP="00E24CBD">
            <w:pPr>
              <w:pStyle w:val="TableText"/>
              <w:rPr>
                <w:snapToGrid w:val="0"/>
              </w:rPr>
            </w:pPr>
            <w:r>
              <w:t>Inventory report</w:t>
            </w:r>
          </w:p>
        </w:tc>
        <w:tc>
          <w:tcPr>
            <w:tcW w:w="4840" w:type="dxa"/>
          </w:tcPr>
          <w:p w14:paraId="72B2D890" w14:textId="77777777" w:rsidR="00462332" w:rsidRDefault="00462332" w:rsidP="00E24CBD">
            <w:pPr>
              <w:pStyle w:val="TableText"/>
              <w:rPr>
                <w:snapToGrid w:val="0"/>
              </w:rPr>
            </w:pPr>
            <w:r>
              <w:rPr>
                <w:snapToGrid w:val="0"/>
              </w:rPr>
              <w:t xml:space="preserve">This report may not be needed by </w:t>
            </w:r>
            <w:r w:rsidR="00695BEA">
              <w:rPr>
                <w:snapToGrid w:val="0"/>
              </w:rPr>
              <w:t>transfusion-</w:t>
            </w:r>
            <w:r>
              <w:rPr>
                <w:snapToGrid w:val="0"/>
              </w:rPr>
              <w:t xml:space="preserve">only or </w:t>
            </w:r>
            <w:r w:rsidR="00695BEA">
              <w:rPr>
                <w:snapToGrid w:val="0"/>
              </w:rPr>
              <w:t>other sites</w:t>
            </w:r>
            <w:r>
              <w:rPr>
                <w:snapToGrid w:val="0"/>
              </w:rPr>
              <w:t>.</w:t>
            </w:r>
          </w:p>
        </w:tc>
      </w:tr>
      <w:tr w:rsidR="00462332" w14:paraId="4001AA1F" w14:textId="77777777">
        <w:trPr>
          <w:cantSplit/>
        </w:trPr>
        <w:tc>
          <w:tcPr>
            <w:tcW w:w="1728" w:type="dxa"/>
            <w:vMerge/>
          </w:tcPr>
          <w:p w14:paraId="5766C2E4" w14:textId="77777777" w:rsidR="00462332" w:rsidRDefault="00462332" w:rsidP="00E24CBD">
            <w:pPr>
              <w:pStyle w:val="TableText"/>
              <w:rPr>
                <w:snapToGrid w:val="0"/>
              </w:rPr>
            </w:pPr>
          </w:p>
        </w:tc>
        <w:tc>
          <w:tcPr>
            <w:tcW w:w="2810" w:type="dxa"/>
          </w:tcPr>
          <w:p w14:paraId="1C4F838A" w14:textId="77777777" w:rsidR="00462332" w:rsidRDefault="00462332" w:rsidP="00E24CBD">
            <w:pPr>
              <w:pStyle w:val="TableText"/>
              <w:rPr>
                <w:snapToGrid w:val="0"/>
              </w:rPr>
            </w:pPr>
            <w:r>
              <w:rPr>
                <w:snapToGrid w:val="0"/>
              </w:rPr>
              <w:t>Exception Report</w:t>
            </w:r>
          </w:p>
        </w:tc>
        <w:tc>
          <w:tcPr>
            <w:tcW w:w="3582" w:type="dxa"/>
          </w:tcPr>
          <w:p w14:paraId="31760F63" w14:textId="77777777" w:rsidR="00462332" w:rsidRDefault="00462332" w:rsidP="00E24CBD">
            <w:pPr>
              <w:pStyle w:val="TableText"/>
              <w:rPr>
                <w:snapToGrid w:val="0"/>
              </w:rPr>
            </w:pPr>
            <w:r>
              <w:t>QA report details overrides of system rules processed by users.</w:t>
            </w:r>
          </w:p>
        </w:tc>
        <w:tc>
          <w:tcPr>
            <w:tcW w:w="4840" w:type="dxa"/>
          </w:tcPr>
          <w:p w14:paraId="19392308" w14:textId="77777777" w:rsidR="00462332" w:rsidRDefault="002A03C9" w:rsidP="00E24CBD">
            <w:pPr>
              <w:pStyle w:val="TableText"/>
              <w:rPr>
                <w:snapToGrid w:val="0"/>
              </w:rPr>
            </w:pPr>
            <w:r>
              <w:rPr>
                <w:snapToGrid w:val="0"/>
              </w:rPr>
              <w:t>Print, review, sign, date, and save hard copy.</w:t>
            </w:r>
          </w:p>
        </w:tc>
      </w:tr>
      <w:tr w:rsidR="00462332" w14:paraId="3CF30ED4" w14:textId="77777777">
        <w:trPr>
          <w:cantSplit/>
        </w:trPr>
        <w:tc>
          <w:tcPr>
            <w:tcW w:w="1728" w:type="dxa"/>
            <w:vMerge/>
          </w:tcPr>
          <w:p w14:paraId="1AE8344A" w14:textId="77777777" w:rsidR="00462332" w:rsidRDefault="00462332" w:rsidP="00E24CBD">
            <w:pPr>
              <w:pStyle w:val="TableText"/>
              <w:rPr>
                <w:snapToGrid w:val="0"/>
              </w:rPr>
            </w:pPr>
          </w:p>
        </w:tc>
        <w:tc>
          <w:tcPr>
            <w:tcW w:w="2810" w:type="dxa"/>
          </w:tcPr>
          <w:p w14:paraId="592ACA3B" w14:textId="77777777" w:rsidR="00462332" w:rsidRDefault="00462332" w:rsidP="00E24CBD">
            <w:pPr>
              <w:pStyle w:val="TableText"/>
              <w:rPr>
                <w:snapToGrid w:val="0"/>
              </w:rPr>
            </w:pPr>
            <w:r>
              <w:rPr>
                <w:snapToGrid w:val="0"/>
              </w:rPr>
              <w:t>Testing Worklist Report</w:t>
            </w:r>
          </w:p>
        </w:tc>
        <w:tc>
          <w:tcPr>
            <w:tcW w:w="3582" w:type="dxa"/>
          </w:tcPr>
          <w:p w14:paraId="599D20FC" w14:textId="77777777" w:rsidR="00462332" w:rsidRDefault="00462332" w:rsidP="00E24CBD">
            <w:pPr>
              <w:pStyle w:val="TableText"/>
              <w:rPr>
                <w:snapToGrid w:val="0"/>
              </w:rPr>
            </w:pPr>
            <w:r>
              <w:t>QA report displays all testing within a division.</w:t>
            </w:r>
          </w:p>
        </w:tc>
        <w:tc>
          <w:tcPr>
            <w:tcW w:w="4840" w:type="dxa"/>
          </w:tcPr>
          <w:p w14:paraId="7C073E6E" w14:textId="77777777" w:rsidR="00462332" w:rsidRDefault="00462332" w:rsidP="00E24CBD">
            <w:pPr>
              <w:pStyle w:val="TableText"/>
              <w:rPr>
                <w:snapToGrid w:val="0"/>
              </w:rPr>
            </w:pPr>
            <w:r>
              <w:rPr>
                <w:snapToGrid w:val="0"/>
              </w:rPr>
              <w:t>Print Patient Testing, Unit testing, Rack QC and miscellaneous reagent QC.</w:t>
            </w:r>
            <w:r w:rsidR="002A03C9">
              <w:rPr>
                <w:snapToGrid w:val="0"/>
              </w:rPr>
              <w:t xml:space="preserve"> Print, review, sign, date, and save hard copy.</w:t>
            </w:r>
          </w:p>
        </w:tc>
      </w:tr>
      <w:tr w:rsidR="00462332" w14:paraId="2DF9F914" w14:textId="77777777">
        <w:trPr>
          <w:cantSplit/>
        </w:trPr>
        <w:tc>
          <w:tcPr>
            <w:tcW w:w="1728" w:type="dxa"/>
          </w:tcPr>
          <w:p w14:paraId="538CA113" w14:textId="77777777" w:rsidR="00462332" w:rsidRDefault="00462332" w:rsidP="00FE73F7">
            <w:pPr>
              <w:pStyle w:val="TableText"/>
              <w:rPr>
                <w:snapToGrid w:val="0"/>
              </w:rPr>
            </w:pPr>
            <w:r>
              <w:rPr>
                <w:snapToGrid w:val="0"/>
              </w:rPr>
              <w:t>Daily or Weekly</w:t>
            </w:r>
          </w:p>
        </w:tc>
        <w:tc>
          <w:tcPr>
            <w:tcW w:w="2810" w:type="dxa"/>
          </w:tcPr>
          <w:p w14:paraId="550C295F" w14:textId="77777777" w:rsidR="00462332" w:rsidRDefault="00462332" w:rsidP="00FE73F7">
            <w:pPr>
              <w:pStyle w:val="TableText"/>
              <w:rPr>
                <w:snapToGrid w:val="0"/>
              </w:rPr>
            </w:pPr>
            <w:r>
              <w:rPr>
                <w:snapToGrid w:val="0"/>
              </w:rPr>
              <w:t>Issued/Returned Report</w:t>
            </w:r>
          </w:p>
        </w:tc>
        <w:tc>
          <w:tcPr>
            <w:tcW w:w="3582" w:type="dxa"/>
          </w:tcPr>
          <w:p w14:paraId="4E9C08B0" w14:textId="77777777" w:rsidR="00462332" w:rsidRDefault="00462332" w:rsidP="00FE73F7">
            <w:pPr>
              <w:pStyle w:val="TableText"/>
              <w:rPr>
                <w:snapToGrid w:val="0"/>
              </w:rPr>
            </w:pPr>
            <w:r>
              <w:t>QA report displays all relocation transactions.</w:t>
            </w:r>
          </w:p>
        </w:tc>
        <w:tc>
          <w:tcPr>
            <w:tcW w:w="4840" w:type="dxa"/>
          </w:tcPr>
          <w:p w14:paraId="53062659" w14:textId="77777777" w:rsidR="00462332" w:rsidRDefault="00462332" w:rsidP="00FE73F7">
            <w:pPr>
              <w:pStyle w:val="TableText"/>
              <w:rPr>
                <w:snapToGrid w:val="0"/>
              </w:rPr>
            </w:pPr>
            <w:r>
              <w:rPr>
                <w:snapToGrid w:val="0"/>
              </w:rPr>
              <w:t>Review for anomalies and take corrective action.</w:t>
            </w:r>
          </w:p>
        </w:tc>
      </w:tr>
      <w:tr w:rsidR="00462332" w14:paraId="06313914" w14:textId="77777777">
        <w:trPr>
          <w:cantSplit/>
        </w:trPr>
        <w:tc>
          <w:tcPr>
            <w:tcW w:w="1728" w:type="dxa"/>
            <w:tcBorders>
              <w:bottom w:val="single" w:sz="4" w:space="0" w:color="auto"/>
            </w:tcBorders>
          </w:tcPr>
          <w:p w14:paraId="69D53873" w14:textId="77777777" w:rsidR="00462332" w:rsidRDefault="00462332" w:rsidP="00E24CBD">
            <w:pPr>
              <w:pStyle w:val="TableText"/>
              <w:rPr>
                <w:snapToGrid w:val="0"/>
              </w:rPr>
            </w:pPr>
            <w:r>
              <w:rPr>
                <w:snapToGrid w:val="0"/>
              </w:rPr>
              <w:t>Daily, Weekly</w:t>
            </w:r>
            <w:r w:rsidR="008C3117">
              <w:rPr>
                <w:snapToGrid w:val="0"/>
              </w:rPr>
              <w:t xml:space="preserve">, </w:t>
            </w:r>
            <w:r>
              <w:rPr>
                <w:snapToGrid w:val="0"/>
              </w:rPr>
              <w:t>and Monthly</w:t>
            </w:r>
          </w:p>
        </w:tc>
        <w:tc>
          <w:tcPr>
            <w:tcW w:w="2810" w:type="dxa"/>
            <w:tcBorders>
              <w:bottom w:val="single" w:sz="4" w:space="0" w:color="auto"/>
            </w:tcBorders>
          </w:tcPr>
          <w:p w14:paraId="33E378DB" w14:textId="77777777" w:rsidR="00462332" w:rsidRDefault="00462332" w:rsidP="00E24CBD">
            <w:pPr>
              <w:pStyle w:val="TableText"/>
              <w:rPr>
                <w:snapToGrid w:val="0"/>
              </w:rPr>
            </w:pPr>
            <w:r>
              <w:rPr>
                <w:snapToGrid w:val="0"/>
              </w:rPr>
              <w:t>Transfusion Requirements Report</w:t>
            </w:r>
          </w:p>
        </w:tc>
        <w:tc>
          <w:tcPr>
            <w:tcW w:w="3582" w:type="dxa"/>
            <w:tcBorders>
              <w:bottom w:val="single" w:sz="4" w:space="0" w:color="auto"/>
            </w:tcBorders>
          </w:tcPr>
          <w:p w14:paraId="38A044AC" w14:textId="77777777" w:rsidR="00462332" w:rsidRDefault="00462332" w:rsidP="00E24CBD">
            <w:pPr>
              <w:pStyle w:val="TableText"/>
              <w:rPr>
                <w:snapToGrid w:val="0"/>
              </w:rPr>
            </w:pPr>
            <w:r>
              <w:t>A compendium of p</w:t>
            </w:r>
            <w:r w:rsidR="000A04E1">
              <w:t>atient blood types, SI</w:t>
            </w:r>
            <w:r>
              <w:t>s</w:t>
            </w:r>
            <w:r w:rsidR="000A04E1">
              <w:t>, and TRs</w:t>
            </w:r>
            <w:r>
              <w:t xml:space="preserve"> are printed for use during downtime.</w:t>
            </w:r>
          </w:p>
        </w:tc>
        <w:tc>
          <w:tcPr>
            <w:tcW w:w="4840" w:type="dxa"/>
            <w:tcBorders>
              <w:bottom w:val="single" w:sz="4" w:space="0" w:color="auto"/>
            </w:tcBorders>
          </w:tcPr>
          <w:p w14:paraId="77774F86" w14:textId="77777777" w:rsidR="008B7391" w:rsidRDefault="008B7391" w:rsidP="008B7391">
            <w:pPr>
              <w:pStyle w:val="TableTextBullet"/>
              <w:rPr>
                <w:snapToGrid w:val="0"/>
              </w:rPr>
            </w:pPr>
            <w:r>
              <w:rPr>
                <w:snapToGrid w:val="0"/>
              </w:rPr>
              <w:t>Days 1–6: print report daily.</w:t>
            </w:r>
          </w:p>
          <w:p w14:paraId="3732CE1A" w14:textId="77777777" w:rsidR="008B7391" w:rsidRDefault="008B7391" w:rsidP="008B7391">
            <w:pPr>
              <w:pStyle w:val="TableTextBullet"/>
              <w:rPr>
                <w:snapToGrid w:val="0"/>
              </w:rPr>
            </w:pPr>
            <w:r>
              <w:rPr>
                <w:snapToGrid w:val="0"/>
              </w:rPr>
              <w:t>Day 7: print report for previous week; discard daily reports.</w:t>
            </w:r>
          </w:p>
          <w:p w14:paraId="33199031" w14:textId="77777777" w:rsidR="008B7391" w:rsidRDefault="008B7391" w:rsidP="008B7391">
            <w:pPr>
              <w:pStyle w:val="TableTextBullet"/>
              <w:rPr>
                <w:snapToGrid w:val="0"/>
              </w:rPr>
            </w:pPr>
            <w:r>
              <w:rPr>
                <w:snapToGrid w:val="0"/>
              </w:rPr>
              <w:t>Start of month: print report for previous month; discard weekly reports.</w:t>
            </w:r>
          </w:p>
          <w:p w14:paraId="76BD6BFC" w14:textId="77777777" w:rsidR="008B7391" w:rsidRDefault="008B7391" w:rsidP="008B7391">
            <w:pPr>
              <w:pStyle w:val="TableTextBullet"/>
              <w:rPr>
                <w:snapToGrid w:val="0"/>
              </w:rPr>
            </w:pPr>
            <w:r>
              <w:rPr>
                <w:snapToGrid w:val="0"/>
              </w:rPr>
              <w:t>Start of year: print report for previous year; discard monthly reports.</w:t>
            </w:r>
          </w:p>
          <w:p w14:paraId="5BE487A0" w14:textId="77777777" w:rsidR="008B7391" w:rsidRDefault="008B7391" w:rsidP="00E24CBD">
            <w:pPr>
              <w:pStyle w:val="TableText"/>
              <w:rPr>
                <w:snapToGrid w:val="0"/>
              </w:rPr>
            </w:pPr>
          </w:p>
          <w:p w14:paraId="6933E04F" w14:textId="77777777" w:rsidR="00462332" w:rsidRDefault="00D64989" w:rsidP="00E24CBD">
            <w:pPr>
              <w:pStyle w:val="TableText"/>
              <w:rPr>
                <w:snapToGrid w:val="0"/>
              </w:rPr>
            </w:pPr>
            <w:r>
              <w:rPr>
                <w:snapToGrid w:val="0"/>
              </w:rPr>
              <w:t>Generate c</w:t>
            </w:r>
            <w:r w:rsidR="00462332">
              <w:rPr>
                <w:snapToGrid w:val="0"/>
              </w:rPr>
              <w:t xml:space="preserve">umulative reports </w:t>
            </w:r>
            <w:r>
              <w:rPr>
                <w:snapToGrid w:val="0"/>
              </w:rPr>
              <w:t xml:space="preserve">starting with the date of first data entry through the current date to include </w:t>
            </w:r>
            <w:r w:rsidR="00462332">
              <w:rPr>
                <w:snapToGrid w:val="0"/>
              </w:rPr>
              <w:t>all patient records.</w:t>
            </w:r>
            <w:r w:rsidR="00D10CA6">
              <w:rPr>
                <w:snapToGrid w:val="0"/>
              </w:rPr>
              <w:t xml:space="preserve"> Store reports so that they are easily accessible.</w:t>
            </w:r>
          </w:p>
        </w:tc>
      </w:tr>
      <w:tr w:rsidR="00F3040D" w14:paraId="68D7E104" w14:textId="77777777">
        <w:trPr>
          <w:cantSplit/>
        </w:trPr>
        <w:tc>
          <w:tcPr>
            <w:tcW w:w="1728" w:type="dxa"/>
            <w:vMerge w:val="restart"/>
          </w:tcPr>
          <w:p w14:paraId="296769D7" w14:textId="77777777" w:rsidR="00F3040D" w:rsidRDefault="00F3040D" w:rsidP="00FE73F7">
            <w:pPr>
              <w:pStyle w:val="TableText"/>
              <w:rPr>
                <w:snapToGrid w:val="0"/>
              </w:rPr>
            </w:pPr>
            <w:r>
              <w:rPr>
                <w:snapToGrid w:val="0"/>
              </w:rPr>
              <w:t>Weekly</w:t>
            </w:r>
          </w:p>
        </w:tc>
        <w:tc>
          <w:tcPr>
            <w:tcW w:w="2810" w:type="dxa"/>
          </w:tcPr>
          <w:p w14:paraId="7F543212" w14:textId="77777777" w:rsidR="00F3040D" w:rsidRDefault="00F3040D" w:rsidP="00E24CBD">
            <w:pPr>
              <w:pStyle w:val="TableText"/>
              <w:rPr>
                <w:snapToGrid w:val="0"/>
              </w:rPr>
            </w:pPr>
            <w:r>
              <w:rPr>
                <w:snapToGrid w:val="0"/>
              </w:rPr>
              <w:t>Prolonged Transfusion Time Report</w:t>
            </w:r>
          </w:p>
        </w:tc>
        <w:tc>
          <w:tcPr>
            <w:tcW w:w="3582" w:type="dxa"/>
          </w:tcPr>
          <w:p w14:paraId="5C11DBFE" w14:textId="77777777" w:rsidR="00F3040D" w:rsidRDefault="00F3040D" w:rsidP="00E24CBD">
            <w:pPr>
              <w:pStyle w:val="TableText"/>
              <w:rPr>
                <w:snapToGrid w:val="0"/>
              </w:rPr>
            </w:pPr>
            <w:r>
              <w:t>Details units that were not infused within the required time frame.</w:t>
            </w:r>
          </w:p>
        </w:tc>
        <w:tc>
          <w:tcPr>
            <w:tcW w:w="4840" w:type="dxa"/>
            <w:vMerge w:val="restart"/>
          </w:tcPr>
          <w:p w14:paraId="34317811" w14:textId="77777777" w:rsidR="00F3040D" w:rsidRDefault="00F3040D" w:rsidP="00E24CBD">
            <w:pPr>
              <w:pStyle w:val="TableText"/>
              <w:rPr>
                <w:snapToGrid w:val="0"/>
              </w:rPr>
            </w:pPr>
            <w:r>
              <w:rPr>
                <w:snapToGrid w:val="0"/>
              </w:rPr>
              <w:t>Generate these reports for blood utilization committee and other quality management activities.</w:t>
            </w:r>
          </w:p>
        </w:tc>
      </w:tr>
      <w:tr w:rsidR="00F3040D" w14:paraId="43FE00EB" w14:textId="77777777">
        <w:trPr>
          <w:cantSplit/>
        </w:trPr>
        <w:tc>
          <w:tcPr>
            <w:tcW w:w="1728" w:type="dxa"/>
            <w:vMerge/>
          </w:tcPr>
          <w:p w14:paraId="3CE0432D" w14:textId="77777777" w:rsidR="00F3040D" w:rsidRDefault="00F3040D" w:rsidP="00FE73F7">
            <w:pPr>
              <w:pStyle w:val="TableText"/>
              <w:rPr>
                <w:snapToGrid w:val="0"/>
              </w:rPr>
            </w:pPr>
          </w:p>
        </w:tc>
        <w:tc>
          <w:tcPr>
            <w:tcW w:w="2810" w:type="dxa"/>
          </w:tcPr>
          <w:p w14:paraId="027DDE55" w14:textId="77777777" w:rsidR="00F3040D" w:rsidRDefault="00F3040D" w:rsidP="00FE73F7">
            <w:pPr>
              <w:pStyle w:val="TableText"/>
              <w:rPr>
                <w:snapToGrid w:val="0"/>
              </w:rPr>
            </w:pPr>
            <w:r>
              <w:rPr>
                <w:snapToGrid w:val="0"/>
              </w:rPr>
              <w:t>Transfusion Effectiveness Report</w:t>
            </w:r>
          </w:p>
        </w:tc>
        <w:tc>
          <w:tcPr>
            <w:tcW w:w="3582" w:type="dxa"/>
          </w:tcPr>
          <w:p w14:paraId="31C71335" w14:textId="77777777" w:rsidR="00F3040D" w:rsidRDefault="00F3040D" w:rsidP="00FE73F7">
            <w:pPr>
              <w:pStyle w:val="TableText"/>
              <w:rPr>
                <w:snapToGrid w:val="0"/>
              </w:rPr>
            </w:pPr>
            <w:r>
              <w:t>Compares transfusions with user-configured lab data indicators to monitor appropriate blood usage.</w:t>
            </w:r>
          </w:p>
        </w:tc>
        <w:tc>
          <w:tcPr>
            <w:tcW w:w="4840" w:type="dxa"/>
            <w:vMerge/>
          </w:tcPr>
          <w:p w14:paraId="3D38B82A" w14:textId="77777777" w:rsidR="00F3040D" w:rsidRDefault="00F3040D" w:rsidP="00FE73F7">
            <w:pPr>
              <w:pStyle w:val="TableText"/>
              <w:rPr>
                <w:snapToGrid w:val="0"/>
              </w:rPr>
            </w:pPr>
          </w:p>
        </w:tc>
      </w:tr>
      <w:tr w:rsidR="00F3040D" w14:paraId="252D11B1" w14:textId="77777777">
        <w:trPr>
          <w:cantSplit/>
        </w:trPr>
        <w:tc>
          <w:tcPr>
            <w:tcW w:w="1728" w:type="dxa"/>
            <w:vMerge w:val="restart"/>
          </w:tcPr>
          <w:p w14:paraId="0276132A" w14:textId="77777777" w:rsidR="00F3040D" w:rsidRDefault="00F3040D" w:rsidP="00FE73F7">
            <w:pPr>
              <w:pStyle w:val="TableText"/>
              <w:rPr>
                <w:snapToGrid w:val="0"/>
              </w:rPr>
            </w:pPr>
            <w:r>
              <w:rPr>
                <w:snapToGrid w:val="0"/>
              </w:rPr>
              <w:t>Weekly or Monthly</w:t>
            </w:r>
          </w:p>
        </w:tc>
        <w:tc>
          <w:tcPr>
            <w:tcW w:w="2810" w:type="dxa"/>
          </w:tcPr>
          <w:p w14:paraId="06C9D2EE" w14:textId="77777777" w:rsidR="00F3040D" w:rsidRDefault="00F3040D" w:rsidP="00FE73F7">
            <w:pPr>
              <w:pStyle w:val="TableText"/>
              <w:rPr>
                <w:snapToGrid w:val="0"/>
              </w:rPr>
            </w:pPr>
            <w:r>
              <w:rPr>
                <w:snapToGrid w:val="0"/>
              </w:rPr>
              <w:t>C:T Ratio Report</w:t>
            </w:r>
          </w:p>
        </w:tc>
        <w:tc>
          <w:tcPr>
            <w:tcW w:w="3582" w:type="dxa"/>
          </w:tcPr>
          <w:p w14:paraId="07ADAF70" w14:textId="77777777" w:rsidR="00F3040D" w:rsidRDefault="00F3040D" w:rsidP="00FE73F7">
            <w:pPr>
              <w:pStyle w:val="TableText"/>
              <w:rPr>
                <w:snapToGrid w:val="0"/>
              </w:rPr>
            </w:pPr>
            <w:r>
              <w:t>Details crossmatch-to-transfusion ratio by physician or treating specialty.</w:t>
            </w:r>
          </w:p>
        </w:tc>
        <w:tc>
          <w:tcPr>
            <w:tcW w:w="4840" w:type="dxa"/>
            <w:vMerge/>
          </w:tcPr>
          <w:p w14:paraId="2D2FFDEC" w14:textId="77777777" w:rsidR="00F3040D" w:rsidRDefault="00F3040D" w:rsidP="00FE73F7">
            <w:pPr>
              <w:pStyle w:val="TableText"/>
              <w:rPr>
                <w:snapToGrid w:val="0"/>
              </w:rPr>
            </w:pPr>
          </w:p>
        </w:tc>
      </w:tr>
      <w:tr w:rsidR="00F3040D" w14:paraId="777582CC" w14:textId="77777777">
        <w:trPr>
          <w:cantSplit/>
        </w:trPr>
        <w:tc>
          <w:tcPr>
            <w:tcW w:w="1728" w:type="dxa"/>
            <w:vMerge/>
          </w:tcPr>
          <w:p w14:paraId="4D0C86C5" w14:textId="77777777" w:rsidR="00F3040D" w:rsidRDefault="00F3040D" w:rsidP="00E24CBD">
            <w:pPr>
              <w:pStyle w:val="TableText"/>
              <w:rPr>
                <w:snapToGrid w:val="0"/>
              </w:rPr>
            </w:pPr>
          </w:p>
        </w:tc>
        <w:tc>
          <w:tcPr>
            <w:tcW w:w="2810" w:type="dxa"/>
          </w:tcPr>
          <w:p w14:paraId="749B1ABD" w14:textId="77777777" w:rsidR="00F3040D" w:rsidRDefault="00F3040D" w:rsidP="00E24CBD">
            <w:pPr>
              <w:pStyle w:val="TableText"/>
              <w:rPr>
                <w:snapToGrid w:val="0"/>
              </w:rPr>
            </w:pPr>
            <w:r>
              <w:rPr>
                <w:snapToGrid w:val="0"/>
              </w:rPr>
              <w:t>Transfusion Complications Report</w:t>
            </w:r>
          </w:p>
        </w:tc>
        <w:tc>
          <w:tcPr>
            <w:tcW w:w="3582" w:type="dxa"/>
          </w:tcPr>
          <w:p w14:paraId="7D5DC96E" w14:textId="6417106A" w:rsidR="00F3040D" w:rsidRDefault="00F3040D" w:rsidP="00E24CBD">
            <w:pPr>
              <w:pStyle w:val="TableText"/>
              <w:rPr>
                <w:snapToGrid w:val="0"/>
              </w:rPr>
            </w:pPr>
            <w:r>
              <w:t xml:space="preserve">Compares transfusions with user configured lab data indicators to monitor </w:t>
            </w:r>
            <w:r w:rsidR="00AE3B37">
              <w:t>adverse effects</w:t>
            </w:r>
            <w:r>
              <w:t xml:space="preserve"> from transfusion.</w:t>
            </w:r>
          </w:p>
        </w:tc>
        <w:tc>
          <w:tcPr>
            <w:tcW w:w="4840" w:type="dxa"/>
            <w:vMerge/>
          </w:tcPr>
          <w:p w14:paraId="12057C12" w14:textId="77777777" w:rsidR="00F3040D" w:rsidRDefault="00F3040D" w:rsidP="00E24CBD">
            <w:pPr>
              <w:pStyle w:val="TableText"/>
              <w:rPr>
                <w:snapToGrid w:val="0"/>
              </w:rPr>
            </w:pPr>
          </w:p>
        </w:tc>
      </w:tr>
      <w:tr w:rsidR="00F3040D" w14:paraId="05E5E7FF" w14:textId="77777777">
        <w:trPr>
          <w:cantSplit/>
        </w:trPr>
        <w:tc>
          <w:tcPr>
            <w:tcW w:w="1728" w:type="dxa"/>
            <w:vMerge/>
            <w:tcBorders>
              <w:bottom w:val="single" w:sz="4" w:space="0" w:color="auto"/>
            </w:tcBorders>
          </w:tcPr>
          <w:p w14:paraId="7227B827" w14:textId="77777777" w:rsidR="00F3040D" w:rsidRDefault="00F3040D" w:rsidP="00E24CBD">
            <w:pPr>
              <w:pStyle w:val="TableText"/>
              <w:rPr>
                <w:snapToGrid w:val="0"/>
              </w:rPr>
            </w:pPr>
          </w:p>
        </w:tc>
        <w:tc>
          <w:tcPr>
            <w:tcW w:w="2810" w:type="dxa"/>
            <w:tcBorders>
              <w:bottom w:val="single" w:sz="4" w:space="0" w:color="auto"/>
            </w:tcBorders>
          </w:tcPr>
          <w:p w14:paraId="78D0ADAB" w14:textId="77777777" w:rsidR="00F3040D" w:rsidRDefault="00F3040D" w:rsidP="00E24CBD">
            <w:pPr>
              <w:pStyle w:val="TableText"/>
              <w:rPr>
                <w:snapToGrid w:val="0"/>
              </w:rPr>
            </w:pPr>
            <w:r>
              <w:rPr>
                <w:snapToGrid w:val="0"/>
              </w:rPr>
              <w:t>Inappropriate Transfusion Request Report</w:t>
            </w:r>
          </w:p>
        </w:tc>
        <w:tc>
          <w:tcPr>
            <w:tcW w:w="3582" w:type="dxa"/>
            <w:tcBorders>
              <w:bottom w:val="single" w:sz="4" w:space="0" w:color="auto"/>
            </w:tcBorders>
          </w:tcPr>
          <w:p w14:paraId="78A382E9" w14:textId="77777777" w:rsidR="00F3040D" w:rsidRDefault="00F3040D" w:rsidP="00E24CBD">
            <w:pPr>
              <w:pStyle w:val="TableText"/>
            </w:pPr>
            <w:r>
              <w:t>Details requests for blood products that did not meet the facility’s transfusion criteria.</w:t>
            </w:r>
          </w:p>
        </w:tc>
        <w:tc>
          <w:tcPr>
            <w:tcW w:w="4840" w:type="dxa"/>
            <w:vMerge/>
            <w:tcBorders>
              <w:bottom w:val="single" w:sz="4" w:space="0" w:color="auto"/>
            </w:tcBorders>
          </w:tcPr>
          <w:p w14:paraId="33E22659" w14:textId="77777777" w:rsidR="00F3040D" w:rsidRDefault="00F3040D" w:rsidP="00E24CBD">
            <w:pPr>
              <w:pStyle w:val="TableText"/>
              <w:rPr>
                <w:snapToGrid w:val="0"/>
              </w:rPr>
            </w:pPr>
          </w:p>
        </w:tc>
      </w:tr>
      <w:tr w:rsidR="00FF05B8" w14:paraId="719B376E" w14:textId="77777777">
        <w:trPr>
          <w:cantSplit/>
        </w:trPr>
        <w:tc>
          <w:tcPr>
            <w:tcW w:w="1728" w:type="dxa"/>
            <w:vMerge w:val="restart"/>
          </w:tcPr>
          <w:p w14:paraId="6001D5EF" w14:textId="77777777" w:rsidR="00FF05B8" w:rsidRDefault="00FF05B8" w:rsidP="00E24CBD">
            <w:pPr>
              <w:pStyle w:val="TableText"/>
              <w:rPr>
                <w:snapToGrid w:val="0"/>
              </w:rPr>
            </w:pPr>
            <w:r>
              <w:rPr>
                <w:snapToGrid w:val="0"/>
              </w:rPr>
              <w:t>Monthly</w:t>
            </w:r>
          </w:p>
        </w:tc>
        <w:tc>
          <w:tcPr>
            <w:tcW w:w="2810" w:type="dxa"/>
          </w:tcPr>
          <w:p w14:paraId="417929C9" w14:textId="77777777" w:rsidR="00FF05B8" w:rsidRDefault="00FF05B8" w:rsidP="00E24CBD">
            <w:pPr>
              <w:pStyle w:val="TableText"/>
              <w:rPr>
                <w:snapToGrid w:val="0"/>
              </w:rPr>
            </w:pPr>
            <w:r>
              <w:rPr>
                <w:snapToGrid w:val="0"/>
              </w:rPr>
              <w:t>Administrative Data Report</w:t>
            </w:r>
          </w:p>
        </w:tc>
        <w:tc>
          <w:tcPr>
            <w:tcW w:w="3582" w:type="dxa"/>
          </w:tcPr>
          <w:p w14:paraId="6044D670" w14:textId="77777777" w:rsidR="00FF05B8" w:rsidRDefault="00FF05B8" w:rsidP="00E24CBD">
            <w:pPr>
              <w:pStyle w:val="TableText"/>
            </w:pPr>
            <w:r>
              <w:t xml:space="preserve">Management report details products received, transfused, and returned. </w:t>
            </w:r>
          </w:p>
        </w:tc>
        <w:tc>
          <w:tcPr>
            <w:tcW w:w="4840" w:type="dxa"/>
            <w:vMerge w:val="restart"/>
          </w:tcPr>
          <w:p w14:paraId="4BE37F66" w14:textId="77777777" w:rsidR="00FF05B8" w:rsidRDefault="00FF05B8" w:rsidP="00E24CBD">
            <w:pPr>
              <w:pStyle w:val="TableText"/>
              <w:rPr>
                <w:snapToGrid w:val="0"/>
              </w:rPr>
            </w:pPr>
            <w:r>
              <w:rPr>
                <w:snapToGrid w:val="0"/>
              </w:rPr>
              <w:t>Generate these reports for administrative purposes.</w:t>
            </w:r>
          </w:p>
        </w:tc>
      </w:tr>
      <w:tr w:rsidR="00FF05B8" w14:paraId="2649B545" w14:textId="77777777">
        <w:trPr>
          <w:cantSplit/>
        </w:trPr>
        <w:tc>
          <w:tcPr>
            <w:tcW w:w="1728" w:type="dxa"/>
            <w:vMerge/>
          </w:tcPr>
          <w:p w14:paraId="6AAA6CD2" w14:textId="77777777" w:rsidR="00FF05B8" w:rsidRDefault="00FF05B8" w:rsidP="00E24CBD">
            <w:pPr>
              <w:pStyle w:val="TableText"/>
              <w:rPr>
                <w:snapToGrid w:val="0"/>
              </w:rPr>
            </w:pPr>
          </w:p>
        </w:tc>
        <w:tc>
          <w:tcPr>
            <w:tcW w:w="2810" w:type="dxa"/>
          </w:tcPr>
          <w:p w14:paraId="271DA9DA" w14:textId="77777777" w:rsidR="00FF05B8" w:rsidRDefault="00FF05B8" w:rsidP="00E24CBD">
            <w:pPr>
              <w:pStyle w:val="TableText"/>
              <w:rPr>
                <w:snapToGrid w:val="0"/>
              </w:rPr>
            </w:pPr>
            <w:r>
              <w:rPr>
                <w:snapToGrid w:val="0"/>
              </w:rPr>
              <w:t>Cost Accounting Report</w:t>
            </w:r>
          </w:p>
        </w:tc>
        <w:tc>
          <w:tcPr>
            <w:tcW w:w="3582" w:type="dxa"/>
          </w:tcPr>
          <w:p w14:paraId="3809E9CF" w14:textId="77777777" w:rsidR="00FF05B8" w:rsidRDefault="00FF05B8" w:rsidP="00E24CBD">
            <w:pPr>
              <w:pStyle w:val="TableText"/>
            </w:pPr>
            <w:r>
              <w:t>Management report of expenditure by invoice number.</w:t>
            </w:r>
          </w:p>
        </w:tc>
        <w:tc>
          <w:tcPr>
            <w:tcW w:w="4840" w:type="dxa"/>
            <w:vMerge/>
          </w:tcPr>
          <w:p w14:paraId="6F5B8D54" w14:textId="77777777" w:rsidR="00FF05B8" w:rsidRDefault="00FF05B8" w:rsidP="00E24CBD">
            <w:pPr>
              <w:pStyle w:val="TableText"/>
              <w:rPr>
                <w:snapToGrid w:val="0"/>
              </w:rPr>
            </w:pPr>
          </w:p>
        </w:tc>
      </w:tr>
      <w:tr w:rsidR="00FF05B8" w14:paraId="0018A2E6" w14:textId="77777777">
        <w:trPr>
          <w:cantSplit/>
        </w:trPr>
        <w:tc>
          <w:tcPr>
            <w:tcW w:w="1728" w:type="dxa"/>
            <w:vMerge/>
          </w:tcPr>
          <w:p w14:paraId="74BBE551" w14:textId="77777777" w:rsidR="00FF05B8" w:rsidRDefault="00FF05B8" w:rsidP="00E24CBD">
            <w:pPr>
              <w:pStyle w:val="TableText"/>
              <w:rPr>
                <w:snapToGrid w:val="0"/>
              </w:rPr>
            </w:pPr>
          </w:p>
        </w:tc>
        <w:tc>
          <w:tcPr>
            <w:tcW w:w="2810" w:type="dxa"/>
          </w:tcPr>
          <w:p w14:paraId="675938AE" w14:textId="77777777" w:rsidR="00FF05B8" w:rsidRDefault="00FF05B8" w:rsidP="00E24CBD">
            <w:pPr>
              <w:pStyle w:val="TableText"/>
              <w:rPr>
                <w:snapToGrid w:val="0"/>
              </w:rPr>
            </w:pPr>
            <w:r>
              <w:rPr>
                <w:snapToGrid w:val="0"/>
              </w:rPr>
              <w:t>Division Transfusion Report</w:t>
            </w:r>
          </w:p>
        </w:tc>
        <w:tc>
          <w:tcPr>
            <w:tcW w:w="3582" w:type="dxa"/>
          </w:tcPr>
          <w:p w14:paraId="64E0468C" w14:textId="77777777" w:rsidR="00FF05B8" w:rsidRDefault="00FF05B8" w:rsidP="00E24CBD">
            <w:pPr>
              <w:pStyle w:val="TableText"/>
            </w:pPr>
            <w:r>
              <w:t>Details of units transfused during a selected period.</w:t>
            </w:r>
          </w:p>
        </w:tc>
        <w:tc>
          <w:tcPr>
            <w:tcW w:w="4840" w:type="dxa"/>
            <w:vMerge/>
          </w:tcPr>
          <w:p w14:paraId="0AFF52D0" w14:textId="77777777" w:rsidR="00FF05B8" w:rsidRDefault="00FF05B8" w:rsidP="00E24CBD">
            <w:pPr>
              <w:pStyle w:val="TableText"/>
              <w:rPr>
                <w:snapToGrid w:val="0"/>
              </w:rPr>
            </w:pPr>
          </w:p>
        </w:tc>
      </w:tr>
      <w:tr w:rsidR="00FF05B8" w14:paraId="346DA509" w14:textId="77777777">
        <w:trPr>
          <w:cantSplit/>
        </w:trPr>
        <w:tc>
          <w:tcPr>
            <w:tcW w:w="1728" w:type="dxa"/>
            <w:vMerge/>
          </w:tcPr>
          <w:p w14:paraId="4C2E00E9" w14:textId="77777777" w:rsidR="00FF05B8" w:rsidRDefault="00FF05B8" w:rsidP="00E24CBD">
            <w:pPr>
              <w:pStyle w:val="TableText"/>
              <w:rPr>
                <w:snapToGrid w:val="0"/>
              </w:rPr>
            </w:pPr>
          </w:p>
        </w:tc>
        <w:tc>
          <w:tcPr>
            <w:tcW w:w="2810" w:type="dxa"/>
          </w:tcPr>
          <w:p w14:paraId="1BE5BCB2" w14:textId="77777777" w:rsidR="00FF05B8" w:rsidRDefault="00FF05B8" w:rsidP="00E24CBD">
            <w:pPr>
              <w:pStyle w:val="TableText"/>
              <w:rPr>
                <w:snapToGrid w:val="0"/>
              </w:rPr>
            </w:pPr>
            <w:r>
              <w:rPr>
                <w:snapToGrid w:val="0"/>
              </w:rPr>
              <w:t>Division Workload Report</w:t>
            </w:r>
          </w:p>
        </w:tc>
        <w:tc>
          <w:tcPr>
            <w:tcW w:w="3582" w:type="dxa"/>
          </w:tcPr>
          <w:p w14:paraId="5784B5CE" w14:textId="77777777" w:rsidR="00FF05B8" w:rsidRDefault="00FF05B8" w:rsidP="00E24CBD">
            <w:pPr>
              <w:pStyle w:val="TableText"/>
            </w:pPr>
            <w:r>
              <w:t>Totals workload types for one or all divisions.</w:t>
            </w:r>
          </w:p>
        </w:tc>
        <w:tc>
          <w:tcPr>
            <w:tcW w:w="4840" w:type="dxa"/>
            <w:vMerge/>
          </w:tcPr>
          <w:p w14:paraId="193F8212" w14:textId="77777777" w:rsidR="00FF05B8" w:rsidRDefault="00FF05B8" w:rsidP="00E24CBD">
            <w:pPr>
              <w:pStyle w:val="TableText"/>
              <w:rPr>
                <w:snapToGrid w:val="0"/>
              </w:rPr>
            </w:pPr>
          </w:p>
        </w:tc>
      </w:tr>
      <w:tr w:rsidR="00462332" w14:paraId="21D78B97" w14:textId="77777777">
        <w:trPr>
          <w:cantSplit/>
        </w:trPr>
        <w:tc>
          <w:tcPr>
            <w:tcW w:w="1728" w:type="dxa"/>
            <w:vMerge/>
            <w:tcBorders>
              <w:bottom w:val="single" w:sz="4" w:space="0" w:color="auto"/>
            </w:tcBorders>
          </w:tcPr>
          <w:p w14:paraId="6D612275" w14:textId="77777777" w:rsidR="00462332" w:rsidRDefault="00462332" w:rsidP="00E24CBD">
            <w:pPr>
              <w:pStyle w:val="TableText"/>
              <w:rPr>
                <w:snapToGrid w:val="0"/>
              </w:rPr>
            </w:pPr>
          </w:p>
        </w:tc>
        <w:tc>
          <w:tcPr>
            <w:tcW w:w="2810" w:type="dxa"/>
            <w:tcBorders>
              <w:bottom w:val="single" w:sz="4" w:space="0" w:color="auto"/>
            </w:tcBorders>
          </w:tcPr>
          <w:p w14:paraId="4273DAB0" w14:textId="77777777" w:rsidR="00462332" w:rsidRDefault="00462332" w:rsidP="00E24CBD">
            <w:pPr>
              <w:pStyle w:val="TableText"/>
              <w:rPr>
                <w:snapToGrid w:val="0"/>
              </w:rPr>
            </w:pPr>
            <w:r>
              <w:rPr>
                <w:snapToGrid w:val="0"/>
              </w:rPr>
              <w:t>Transfusion Reaction Count Report</w:t>
            </w:r>
          </w:p>
        </w:tc>
        <w:tc>
          <w:tcPr>
            <w:tcW w:w="3582" w:type="dxa"/>
            <w:tcBorders>
              <w:bottom w:val="single" w:sz="4" w:space="0" w:color="auto"/>
            </w:tcBorders>
          </w:tcPr>
          <w:p w14:paraId="71997943" w14:textId="77777777" w:rsidR="00462332" w:rsidRDefault="004A69AE" w:rsidP="00E24CBD">
            <w:pPr>
              <w:pStyle w:val="TableText"/>
            </w:pPr>
            <w:r>
              <w:t>Details transfusion reactions that are ordered, pending, completed, or finalized for one or all divisions.</w:t>
            </w:r>
          </w:p>
        </w:tc>
        <w:tc>
          <w:tcPr>
            <w:tcW w:w="4840" w:type="dxa"/>
            <w:tcBorders>
              <w:bottom w:val="single" w:sz="4" w:space="0" w:color="auto"/>
            </w:tcBorders>
          </w:tcPr>
          <w:p w14:paraId="27CDEBB0" w14:textId="77777777" w:rsidR="00462332" w:rsidRDefault="00A7582C" w:rsidP="00E24CBD">
            <w:pPr>
              <w:pStyle w:val="TableText"/>
              <w:rPr>
                <w:snapToGrid w:val="0"/>
              </w:rPr>
            </w:pPr>
            <w:r>
              <w:rPr>
                <w:snapToGrid w:val="0"/>
              </w:rPr>
              <w:t>Generate this report for blood utilization committee and other quality management activities.</w:t>
            </w:r>
          </w:p>
        </w:tc>
      </w:tr>
      <w:tr w:rsidR="00462332" w14:paraId="1E1A89B4" w14:textId="77777777">
        <w:trPr>
          <w:cantSplit/>
        </w:trPr>
        <w:tc>
          <w:tcPr>
            <w:tcW w:w="1728" w:type="dxa"/>
          </w:tcPr>
          <w:p w14:paraId="6512F2B9" w14:textId="77777777" w:rsidR="00462332" w:rsidRDefault="00462332" w:rsidP="00E24CBD">
            <w:pPr>
              <w:pStyle w:val="TableText"/>
              <w:rPr>
                <w:snapToGrid w:val="0"/>
              </w:rPr>
            </w:pPr>
            <w:r>
              <w:rPr>
                <w:snapToGrid w:val="0"/>
              </w:rPr>
              <w:t>As needed</w:t>
            </w:r>
          </w:p>
        </w:tc>
        <w:tc>
          <w:tcPr>
            <w:tcW w:w="2810" w:type="dxa"/>
          </w:tcPr>
          <w:p w14:paraId="22F69F5E" w14:textId="77777777" w:rsidR="00462332" w:rsidRDefault="00462332" w:rsidP="00E24CBD">
            <w:pPr>
              <w:pStyle w:val="TableText"/>
              <w:rPr>
                <w:snapToGrid w:val="0"/>
              </w:rPr>
            </w:pPr>
            <w:r>
              <w:rPr>
                <w:snapToGrid w:val="0"/>
              </w:rPr>
              <w:t>Finalize/Print TRW</w:t>
            </w:r>
          </w:p>
        </w:tc>
        <w:tc>
          <w:tcPr>
            <w:tcW w:w="3582" w:type="dxa"/>
          </w:tcPr>
          <w:p w14:paraId="6A4C8BCC" w14:textId="77777777" w:rsidR="00462332" w:rsidRDefault="00462332" w:rsidP="00E24CBD">
            <w:pPr>
              <w:pStyle w:val="TableText"/>
            </w:pPr>
            <w:r>
              <w:t>Pati</w:t>
            </w:r>
            <w:r w:rsidR="001D65B4">
              <w:t>ent Transfusion Reaction Report</w:t>
            </w:r>
            <w:r w:rsidR="00695BEA">
              <w:t xml:space="preserve"> details a transfusion reaction episode.</w:t>
            </w:r>
          </w:p>
        </w:tc>
        <w:tc>
          <w:tcPr>
            <w:tcW w:w="4840" w:type="dxa"/>
          </w:tcPr>
          <w:p w14:paraId="159C0939" w14:textId="77777777" w:rsidR="00462332" w:rsidRDefault="00F3040D" w:rsidP="00E24CBD">
            <w:pPr>
              <w:pStyle w:val="TableText"/>
              <w:rPr>
                <w:snapToGrid w:val="0"/>
              </w:rPr>
            </w:pPr>
            <w:r>
              <w:rPr>
                <w:snapToGrid w:val="0"/>
              </w:rPr>
              <w:t>Print, review, sign, date, and save hard copy.</w:t>
            </w:r>
          </w:p>
        </w:tc>
      </w:tr>
    </w:tbl>
    <w:p w14:paraId="7B21887E" w14:textId="6A742D2D" w:rsidR="002A21AE" w:rsidRDefault="002A21AE">
      <w:pPr>
        <w:pStyle w:val="Heading2"/>
      </w:pPr>
      <w:r>
        <w:br w:type="page"/>
      </w:r>
      <w:bookmarkStart w:id="822" w:name="_Toc4588915"/>
      <w:r>
        <w:lastRenderedPageBreak/>
        <w:t xml:space="preserve">Appendix </w:t>
      </w:r>
      <w:r w:rsidR="001B0B0C">
        <w:rPr>
          <w:noProof/>
        </w:rPr>
        <w:t>K</w:t>
      </w:r>
      <w:r>
        <w:t>: Barcode Scanner Configuration</w:t>
      </w:r>
      <w:r w:rsidR="003C3D1E">
        <w:t xml:space="preserve"> and Troubleshooting</w:t>
      </w:r>
      <w:bookmarkEnd w:id="822"/>
      <w:r>
        <w:fldChar w:fldCharType="begin"/>
      </w:r>
      <w:r>
        <w:instrText xml:space="preserve"> XE </w:instrText>
      </w:r>
      <w:r w:rsidR="00FA7E65">
        <w:instrText>“</w:instrText>
      </w:r>
      <w:r>
        <w:instrText>Barcode Scanner Configuration</w:instrText>
      </w:r>
      <w:r w:rsidR="003C3D1E">
        <w:instrText xml:space="preserve"> and Troubleshooting</w:instrText>
      </w:r>
      <w:r w:rsidR="00FA7E65">
        <w:instrText>”</w:instrText>
      </w:r>
      <w:r>
        <w:instrText xml:space="preserve"> </w:instrText>
      </w:r>
      <w:r>
        <w:fldChar w:fldCharType="end"/>
      </w:r>
      <w:r>
        <w:fldChar w:fldCharType="begin"/>
      </w:r>
      <w:r>
        <w:instrText xml:space="preserve"> XE </w:instrText>
      </w:r>
      <w:r w:rsidR="00FA7E65">
        <w:instrText>“</w:instrText>
      </w:r>
      <w:r>
        <w:instrText>Figures:Barcode Scanner Configuration</w:instrText>
      </w:r>
      <w:r w:rsidR="00FA7E65">
        <w:instrText>”</w:instrText>
      </w:r>
      <w:r>
        <w:instrText xml:space="preserve"> </w:instrText>
      </w:r>
      <w:r>
        <w:fldChar w:fldCharType="end"/>
      </w:r>
    </w:p>
    <w:p w14:paraId="507E3C43" w14:textId="77777777" w:rsidR="003C3D1E" w:rsidRDefault="006F3CD3" w:rsidP="00FA7E65">
      <w:pPr>
        <w:pStyle w:val="BodyText"/>
      </w:pPr>
      <w:r>
        <w:t xml:space="preserve">Make sure the cord is plugged into the </w:t>
      </w:r>
      <w:r w:rsidR="003C3D1E">
        <w:t xml:space="preserve">scanner </w:t>
      </w:r>
      <w:r>
        <w:t>and the computer</w:t>
      </w:r>
      <w:r w:rsidR="00A723D5">
        <w:t xml:space="preserve">. </w:t>
      </w:r>
      <w:r w:rsidR="00733A22">
        <w:t xml:space="preserve">Point the scanner at a piece of white paper and squeeze the trigger to verify that the laser works. </w:t>
      </w:r>
    </w:p>
    <w:p w14:paraId="15DAC529" w14:textId="77777777" w:rsidR="00A723D5" w:rsidRDefault="00A723D5" w:rsidP="00A723D5">
      <w:pPr>
        <w:pStyle w:val="Caution"/>
      </w:pPr>
      <w:r>
        <w:t>For correct barcode scanning results, the Caps Lock key must not be engaged.</w:t>
      </w:r>
      <w:r w:rsidRPr="00340676">
        <w:rPr>
          <w:vanish/>
        </w:rPr>
        <w:t>(DR 2,733)</w:t>
      </w:r>
      <w:r>
        <w:t xml:space="preserve"> </w:t>
      </w:r>
    </w:p>
    <w:p w14:paraId="04CA822D" w14:textId="77777777" w:rsidR="00A723D5" w:rsidRDefault="00A723D5" w:rsidP="00FA7E65">
      <w:pPr>
        <w:pStyle w:val="BodyText"/>
      </w:pPr>
    </w:p>
    <w:p w14:paraId="67F0A860" w14:textId="77777777" w:rsidR="001C2F8E" w:rsidRDefault="00057948" w:rsidP="002A4F71">
      <w:pPr>
        <w:pStyle w:val="Caution"/>
      </w:pPr>
      <w:r>
        <w:rPr>
          <w:noProof/>
        </w:rPr>
        <w:drawing>
          <wp:inline distT="0" distB="0" distL="0" distR="0" wp14:anchorId="4ED5B5B0" wp14:editId="77A7FDD8">
            <wp:extent cx="267970" cy="221615"/>
            <wp:effectExtent l="0" t="0" r="0" b="6985"/>
            <wp:docPr id="284" name="Picture 284" descr="P1898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P18982#yIS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1C2F8E">
        <w:t xml:space="preserve"> </w:t>
      </w:r>
      <w:r w:rsidR="00416C59">
        <w:t>Never</w:t>
      </w:r>
      <w:r w:rsidR="001C2F8E">
        <w:t xml:space="preserve"> look directly at the laser.</w:t>
      </w:r>
      <w:r w:rsidR="00416C59" w:rsidRPr="00416C59">
        <w:t xml:space="preserve"> </w:t>
      </w:r>
      <w:r w:rsidR="00416C59">
        <w:t>Never direct the laser</w:t>
      </w:r>
      <w:r w:rsidR="00416C59" w:rsidRPr="001D19BF">
        <w:t xml:space="preserve"> </w:t>
      </w:r>
      <w:r w:rsidR="002126A9">
        <w:t xml:space="preserve">beam </w:t>
      </w:r>
      <w:r w:rsidR="00416C59" w:rsidRPr="001D19BF">
        <w:t xml:space="preserve">toward </w:t>
      </w:r>
      <w:r w:rsidR="00416C59">
        <w:t>yourself</w:t>
      </w:r>
      <w:r w:rsidR="00416C59" w:rsidRPr="001D19BF">
        <w:t xml:space="preserve"> or </w:t>
      </w:r>
      <w:r w:rsidR="002126A9">
        <w:t xml:space="preserve">another person. Avoid mirror-like surfaces such as </w:t>
      </w:r>
      <w:r w:rsidR="002126A9" w:rsidRPr="001D19BF">
        <w:t>glass, metal</w:t>
      </w:r>
      <w:r w:rsidR="002126A9">
        <w:t>,</w:t>
      </w:r>
      <w:r w:rsidR="002126A9" w:rsidRPr="001D19BF">
        <w:t xml:space="preserve"> </w:t>
      </w:r>
      <w:r w:rsidR="002E50AD">
        <w:t xml:space="preserve">watches, jewelry, </w:t>
      </w:r>
      <w:r w:rsidR="002126A9" w:rsidRPr="001D19BF">
        <w:t>and other highly reflective materials</w:t>
      </w:r>
      <w:r w:rsidR="002126A9">
        <w:t xml:space="preserve"> when directing the laser beam.</w:t>
      </w:r>
    </w:p>
    <w:p w14:paraId="16785547" w14:textId="30ABFD78" w:rsidR="002A21AE" w:rsidRDefault="002A21AE" w:rsidP="00FA7E65">
      <w:pPr>
        <w:pStyle w:val="BodyText"/>
      </w:pPr>
      <w:r>
        <w:t xml:space="preserve">To configure a barcode scanner, scan the barcode </w:t>
      </w:r>
      <w:r w:rsidR="007C0D69">
        <w:t xml:space="preserve">in </w:t>
      </w:r>
      <w:r w:rsidR="00E93A51">
        <w:fldChar w:fldCharType="begin" w:fldLock="1"/>
      </w:r>
      <w:r w:rsidR="00E93A51">
        <w:instrText xml:space="preserve"> REF _Ref126728954 \h </w:instrText>
      </w:r>
      <w:r w:rsidR="00E93A51">
        <w:fldChar w:fldCharType="separate"/>
      </w:r>
      <w:r w:rsidR="00AB304C">
        <w:t xml:space="preserve">Figure </w:t>
      </w:r>
      <w:r w:rsidR="00AB304C">
        <w:rPr>
          <w:noProof/>
        </w:rPr>
        <w:t>161</w:t>
      </w:r>
      <w:r w:rsidR="00E93A51">
        <w:fldChar w:fldCharType="end"/>
      </w:r>
      <w:r>
        <w:t>.</w:t>
      </w:r>
      <w:r w:rsidR="002E50AD">
        <w:t xml:space="preserve"> Repeat this process if scanned data are incorrectly displayed on the terminal. Consult the product reference guide or call the </w:t>
      </w:r>
      <w:r w:rsidR="00E551C3">
        <w:t xml:space="preserve">Service </w:t>
      </w:r>
      <w:r w:rsidR="002E50AD">
        <w:t>Desk for further assistance.</w:t>
      </w:r>
    </w:p>
    <w:p w14:paraId="216C3593" w14:textId="77777777" w:rsidR="001E3F01" w:rsidRDefault="00584AF9" w:rsidP="00FA7E65">
      <w:pPr>
        <w:pStyle w:val="BodyText"/>
      </w:pPr>
      <w:r>
        <w:t>If your site uses barcode symbology for specimens not covered in these instructions, use the configuration barcodes in the manual included with the scanner.</w:t>
      </w:r>
    </w:p>
    <w:p w14:paraId="4F500565" w14:textId="29323BC1" w:rsidR="002A4F71" w:rsidRDefault="002A4F71" w:rsidP="002A4F71">
      <w:pPr>
        <w:pStyle w:val="Caption"/>
      </w:pPr>
      <w:bookmarkStart w:id="823" w:name="_Ref126728954"/>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161</w:t>
      </w:r>
      <w:r w:rsidR="004E20BD">
        <w:rPr>
          <w:noProof/>
        </w:rPr>
        <w:fldChar w:fldCharType="end"/>
      </w:r>
      <w:bookmarkEnd w:id="823"/>
      <w:r>
        <w:t>: Barcode Scanner Configuration</w:t>
      </w:r>
    </w:p>
    <w:p w14:paraId="4BEBC7FC" w14:textId="77777777" w:rsidR="00DD2CF2" w:rsidRPr="00DD2CF2" w:rsidRDefault="00057948" w:rsidP="00DD2CF2">
      <w:pPr>
        <w:pStyle w:val="BodyText"/>
        <w:sectPr w:rsidR="00DD2CF2" w:rsidRPr="00DD2CF2" w:rsidSect="00EF717F">
          <w:footerReference w:type="default" r:id="rId274"/>
          <w:pgSz w:w="12240" w:h="15840" w:code="1"/>
          <w:pgMar w:top="1440" w:right="1440" w:bottom="1440" w:left="1440" w:header="720" w:footer="720" w:gutter="0"/>
          <w:cols w:space="720"/>
          <w:docGrid w:linePitch="360"/>
        </w:sectPr>
      </w:pPr>
      <w:bookmarkStart w:id="824" w:name="_Toc97523648"/>
      <w:bookmarkStart w:id="825" w:name="_Toc97527618"/>
      <w:r>
        <w:rPr>
          <w:noProof/>
        </w:rPr>
        <w:drawing>
          <wp:inline distT="0" distB="0" distL="0" distR="0" wp14:anchorId="02C250AB" wp14:editId="739D53B6">
            <wp:extent cx="914400" cy="886460"/>
            <wp:effectExtent l="0" t="0" r="0" b="8890"/>
            <wp:docPr id="285" name="Picture 285" descr="P189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descr="P18986#yIS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914400" cy="886460"/>
                    </a:xfrm>
                    <a:prstGeom prst="rect">
                      <a:avLst/>
                    </a:prstGeom>
                    <a:noFill/>
                    <a:ln>
                      <a:noFill/>
                    </a:ln>
                  </pic:spPr>
                </pic:pic>
              </a:graphicData>
            </a:graphic>
          </wp:inline>
        </w:drawing>
      </w:r>
    </w:p>
    <w:bookmarkEnd w:id="824"/>
    <w:bookmarkEnd w:id="825"/>
    <w:p w14:paraId="2F63F5A6" w14:textId="77777777" w:rsidR="00DF1B1E" w:rsidRDefault="000604AA" w:rsidP="00DF1B1E">
      <w:pPr>
        <w:pStyle w:val="BodyText"/>
        <w:jc w:val="center"/>
      </w:pPr>
      <w:r>
        <w:br w:type="page"/>
      </w:r>
      <w:r w:rsidR="00DF1B1E">
        <w:lastRenderedPageBreak/>
        <w:t>This page intentionally left blank.</w:t>
      </w:r>
    </w:p>
    <w:p w14:paraId="28D3B8BF" w14:textId="77777777" w:rsidR="006B60EF" w:rsidRDefault="00DF1B1E" w:rsidP="0086066C">
      <w:pPr>
        <w:pStyle w:val="Heading2"/>
      </w:pPr>
      <w:r>
        <w:br w:type="page"/>
      </w:r>
      <w:bookmarkStart w:id="826" w:name="_Toc4588916"/>
      <w:r w:rsidR="00100549">
        <w:lastRenderedPageBreak/>
        <w:t>Appe</w:t>
      </w:r>
      <w:r w:rsidR="000A1A0F">
        <w:t>ndix L</w:t>
      </w:r>
      <w:r w:rsidR="00FC6E10">
        <w:t>: System Responses to Active</w:t>
      </w:r>
      <w:r w:rsidR="0010333F">
        <w:t xml:space="preserve"> Transfusion Requirements</w:t>
      </w:r>
      <w:r w:rsidR="00FC6E10">
        <w:t xml:space="preserve"> in Select Unit and Issue Blood Component</w:t>
      </w:r>
      <w:bookmarkEnd w:id="826"/>
      <w:r w:rsidR="00115A2A" w:rsidRPr="00115A2A">
        <w:rPr>
          <w:rFonts w:ascii="Arial Bold" w:hAnsi="Arial Bold"/>
          <w:vanish/>
        </w:rPr>
        <w:t xml:space="preserve"> DR 4501</w:t>
      </w:r>
      <w:r w:rsidR="00FC6E10">
        <w:fldChar w:fldCharType="begin"/>
      </w:r>
      <w:r w:rsidR="00FC6E10">
        <w:instrText xml:space="preserve"> XE “System Responses to Active Transfusion Requirements in Select Unit and Issue Blood Component” </w:instrText>
      </w:r>
      <w:r w:rsidR="00FC6E10">
        <w:fldChar w:fldCharType="end"/>
      </w:r>
    </w:p>
    <w:p w14:paraId="5D635040" w14:textId="77777777" w:rsidR="009125FD" w:rsidRDefault="009125FD" w:rsidP="009125FD"/>
    <w:p w14:paraId="460A916C" w14:textId="77777777" w:rsidR="00052726" w:rsidRPr="00052726" w:rsidRDefault="00052726" w:rsidP="00052726">
      <w:pPr>
        <w:rPr>
          <w:sz w:val="22"/>
          <w:szCs w:val="22"/>
        </w:rPr>
      </w:pPr>
      <w:r w:rsidRPr="00052726">
        <w:rPr>
          <w:sz w:val="22"/>
          <w:szCs w:val="22"/>
        </w:rPr>
        <w:t>The followi</w:t>
      </w:r>
      <w:r w:rsidR="00BE2EF9">
        <w:rPr>
          <w:sz w:val="22"/>
          <w:szCs w:val="22"/>
        </w:rPr>
        <w:t>ng series of tables, Figures 158</w:t>
      </w:r>
      <w:r w:rsidR="004C5C7D">
        <w:rPr>
          <w:sz w:val="22"/>
          <w:szCs w:val="22"/>
        </w:rPr>
        <w:t xml:space="preserve"> t</w:t>
      </w:r>
      <w:r w:rsidR="00BE2EF9">
        <w:rPr>
          <w:sz w:val="22"/>
          <w:szCs w:val="22"/>
        </w:rPr>
        <w:t>hrough 169</w:t>
      </w:r>
      <w:r w:rsidRPr="00052726">
        <w:rPr>
          <w:sz w:val="22"/>
          <w:szCs w:val="22"/>
        </w:rPr>
        <w:t>, detail VBECS response to an active transfusion requirement, component class of the unit selected and the user’s VBECS role at unit selection and blood component issue.</w:t>
      </w:r>
    </w:p>
    <w:p w14:paraId="1E79C4D6" w14:textId="77777777" w:rsidR="00052726" w:rsidRPr="00052726" w:rsidRDefault="00052726" w:rsidP="00052726">
      <w:pPr>
        <w:rPr>
          <w:sz w:val="22"/>
          <w:szCs w:val="22"/>
        </w:rPr>
      </w:pPr>
    </w:p>
    <w:p w14:paraId="40810F19" w14:textId="05CE4DFA" w:rsidR="00052726" w:rsidRPr="00052726" w:rsidRDefault="00052726" w:rsidP="00052726">
      <w:pPr>
        <w:rPr>
          <w:sz w:val="22"/>
          <w:szCs w:val="22"/>
        </w:rPr>
      </w:pPr>
      <w:r w:rsidRPr="00052726">
        <w:rPr>
          <w:sz w:val="22"/>
          <w:szCs w:val="22"/>
        </w:rPr>
        <w:fldChar w:fldCharType="begin" w:fldLock="1"/>
      </w:r>
      <w:r w:rsidRPr="00052726">
        <w:rPr>
          <w:sz w:val="22"/>
          <w:szCs w:val="22"/>
        </w:rPr>
        <w:instrText xml:space="preserve"> REF _Ref343502397 \h </w:instrText>
      </w:r>
      <w:r>
        <w:rPr>
          <w:sz w:val="22"/>
          <w:szCs w:val="22"/>
        </w:rPr>
        <w:instrText xml:space="preserve"> \* MERGEFORMAT </w:instrText>
      </w:r>
      <w:r w:rsidRPr="00052726">
        <w:rPr>
          <w:sz w:val="22"/>
          <w:szCs w:val="22"/>
        </w:rPr>
      </w:r>
      <w:r w:rsidRPr="00052726">
        <w:rPr>
          <w:sz w:val="22"/>
          <w:szCs w:val="22"/>
        </w:rPr>
        <w:fldChar w:fldCharType="separate"/>
      </w:r>
      <w:r w:rsidR="00AB304C" w:rsidRPr="00AB304C">
        <w:rPr>
          <w:sz w:val="22"/>
          <w:szCs w:val="22"/>
        </w:rPr>
        <w:t xml:space="preserve">Figure </w:t>
      </w:r>
      <w:r w:rsidR="00AB304C" w:rsidRPr="00AB304C">
        <w:rPr>
          <w:noProof/>
          <w:sz w:val="22"/>
          <w:szCs w:val="22"/>
        </w:rPr>
        <w:t>162</w:t>
      </w:r>
      <w:r w:rsidR="00AB304C" w:rsidRPr="00AB304C">
        <w:rPr>
          <w:sz w:val="22"/>
          <w:szCs w:val="22"/>
        </w:rPr>
        <w:t>: Irradiate Cellular Products Only and Select Blood Unit</w:t>
      </w:r>
      <w:r w:rsidRPr="00052726">
        <w:rPr>
          <w:sz w:val="22"/>
          <w:szCs w:val="22"/>
        </w:rPr>
        <w:fldChar w:fldCharType="end"/>
      </w:r>
    </w:p>
    <w:p w14:paraId="322D0541" w14:textId="317CC1D3" w:rsidR="00052726" w:rsidRPr="00052726" w:rsidRDefault="00052726" w:rsidP="00052726">
      <w:pPr>
        <w:rPr>
          <w:sz w:val="22"/>
          <w:szCs w:val="22"/>
        </w:rPr>
      </w:pPr>
      <w:r w:rsidRPr="00052726">
        <w:rPr>
          <w:sz w:val="22"/>
          <w:szCs w:val="22"/>
        </w:rPr>
        <w:fldChar w:fldCharType="begin" w:fldLock="1"/>
      </w:r>
      <w:r w:rsidRPr="00052726">
        <w:rPr>
          <w:sz w:val="22"/>
          <w:szCs w:val="22"/>
        </w:rPr>
        <w:instrText xml:space="preserve"> REF _Ref343502433 \h </w:instrText>
      </w:r>
      <w:r>
        <w:rPr>
          <w:sz w:val="22"/>
          <w:szCs w:val="22"/>
        </w:rPr>
        <w:instrText xml:space="preserve"> \* MERGEFORMAT </w:instrText>
      </w:r>
      <w:r w:rsidRPr="00052726">
        <w:rPr>
          <w:sz w:val="22"/>
          <w:szCs w:val="22"/>
        </w:rPr>
      </w:r>
      <w:r w:rsidRPr="00052726">
        <w:rPr>
          <w:sz w:val="22"/>
          <w:szCs w:val="22"/>
        </w:rPr>
        <w:fldChar w:fldCharType="separate"/>
      </w:r>
      <w:r w:rsidR="00AB304C" w:rsidRPr="00AB304C">
        <w:rPr>
          <w:sz w:val="22"/>
          <w:szCs w:val="22"/>
        </w:rPr>
        <w:t xml:space="preserve">Figure </w:t>
      </w:r>
      <w:r w:rsidR="00AB304C" w:rsidRPr="00AB304C">
        <w:rPr>
          <w:noProof/>
          <w:sz w:val="22"/>
          <w:szCs w:val="22"/>
        </w:rPr>
        <w:t>163</w:t>
      </w:r>
      <w:r w:rsidR="00AB304C" w:rsidRPr="00AB304C">
        <w:rPr>
          <w:sz w:val="22"/>
          <w:szCs w:val="22"/>
        </w:rPr>
        <w:t>: Irradiate Cellular Products Only and Issue Blood Component</w:t>
      </w:r>
      <w:r w:rsidRPr="00052726">
        <w:rPr>
          <w:sz w:val="22"/>
          <w:szCs w:val="22"/>
        </w:rPr>
        <w:fldChar w:fldCharType="end"/>
      </w:r>
    </w:p>
    <w:p w14:paraId="042F59EC" w14:textId="25F89E24" w:rsidR="00052726" w:rsidRPr="00052726" w:rsidRDefault="00052726" w:rsidP="00052726">
      <w:pPr>
        <w:rPr>
          <w:sz w:val="22"/>
          <w:szCs w:val="22"/>
        </w:rPr>
      </w:pPr>
      <w:r w:rsidRPr="00052726">
        <w:rPr>
          <w:sz w:val="22"/>
          <w:szCs w:val="22"/>
        </w:rPr>
        <w:fldChar w:fldCharType="begin" w:fldLock="1"/>
      </w:r>
      <w:r w:rsidRPr="00052726">
        <w:rPr>
          <w:sz w:val="22"/>
          <w:szCs w:val="22"/>
        </w:rPr>
        <w:instrText xml:space="preserve"> REF _Ref343502457 \h </w:instrText>
      </w:r>
      <w:r>
        <w:rPr>
          <w:sz w:val="22"/>
          <w:szCs w:val="22"/>
        </w:rPr>
        <w:instrText xml:space="preserve"> \* MERGEFORMAT </w:instrText>
      </w:r>
      <w:r w:rsidRPr="00052726">
        <w:rPr>
          <w:sz w:val="22"/>
          <w:szCs w:val="22"/>
        </w:rPr>
      </w:r>
      <w:r w:rsidRPr="00052726">
        <w:rPr>
          <w:sz w:val="22"/>
          <w:szCs w:val="22"/>
        </w:rPr>
        <w:fldChar w:fldCharType="separate"/>
      </w:r>
      <w:r w:rsidR="00AB304C" w:rsidRPr="00AB304C">
        <w:rPr>
          <w:sz w:val="22"/>
          <w:szCs w:val="22"/>
        </w:rPr>
        <w:t xml:space="preserve">Figure </w:t>
      </w:r>
      <w:r w:rsidR="00AB304C" w:rsidRPr="00AB304C">
        <w:rPr>
          <w:noProof/>
          <w:sz w:val="22"/>
          <w:szCs w:val="22"/>
        </w:rPr>
        <w:t>164</w:t>
      </w:r>
      <w:r w:rsidR="00AB304C" w:rsidRPr="00AB304C">
        <w:rPr>
          <w:sz w:val="22"/>
          <w:szCs w:val="22"/>
        </w:rPr>
        <w:t>: Leuko-reduce Cellular Products and Select Blood Unit</w:t>
      </w:r>
      <w:r w:rsidRPr="00052726">
        <w:rPr>
          <w:sz w:val="22"/>
          <w:szCs w:val="22"/>
        </w:rPr>
        <w:fldChar w:fldCharType="end"/>
      </w:r>
    </w:p>
    <w:p w14:paraId="279954E7" w14:textId="42C37F04" w:rsidR="00052726" w:rsidRPr="00052726" w:rsidRDefault="00052726" w:rsidP="00052726">
      <w:pPr>
        <w:rPr>
          <w:sz w:val="22"/>
          <w:szCs w:val="22"/>
        </w:rPr>
      </w:pPr>
      <w:r w:rsidRPr="00052726">
        <w:rPr>
          <w:sz w:val="22"/>
          <w:szCs w:val="22"/>
        </w:rPr>
        <w:fldChar w:fldCharType="begin" w:fldLock="1"/>
      </w:r>
      <w:r w:rsidRPr="00052726">
        <w:rPr>
          <w:sz w:val="22"/>
          <w:szCs w:val="22"/>
        </w:rPr>
        <w:instrText xml:space="preserve"> REF _Ref343502482 \h </w:instrText>
      </w:r>
      <w:r>
        <w:rPr>
          <w:sz w:val="22"/>
          <w:szCs w:val="22"/>
        </w:rPr>
        <w:instrText xml:space="preserve"> \* MERGEFORMAT </w:instrText>
      </w:r>
      <w:r w:rsidRPr="00052726">
        <w:rPr>
          <w:sz w:val="22"/>
          <w:szCs w:val="22"/>
        </w:rPr>
      </w:r>
      <w:r w:rsidRPr="00052726">
        <w:rPr>
          <w:sz w:val="22"/>
          <w:szCs w:val="22"/>
        </w:rPr>
        <w:fldChar w:fldCharType="separate"/>
      </w:r>
      <w:r w:rsidR="00AB304C" w:rsidRPr="00AB304C">
        <w:rPr>
          <w:sz w:val="22"/>
          <w:szCs w:val="22"/>
        </w:rPr>
        <w:t xml:space="preserve">Figure </w:t>
      </w:r>
      <w:r w:rsidR="00AB304C" w:rsidRPr="00AB304C">
        <w:rPr>
          <w:noProof/>
          <w:sz w:val="22"/>
          <w:szCs w:val="22"/>
        </w:rPr>
        <w:t>165</w:t>
      </w:r>
      <w:r w:rsidR="00AB304C" w:rsidRPr="00AB304C">
        <w:rPr>
          <w:sz w:val="22"/>
          <w:szCs w:val="22"/>
        </w:rPr>
        <w:t>: Leuko-reduce Cellular Products and Issue Blood Component</w:t>
      </w:r>
      <w:r w:rsidRPr="00052726">
        <w:rPr>
          <w:sz w:val="22"/>
          <w:szCs w:val="22"/>
        </w:rPr>
        <w:fldChar w:fldCharType="end"/>
      </w:r>
    </w:p>
    <w:p w14:paraId="405AF52A" w14:textId="17D33D30" w:rsidR="00052726" w:rsidRPr="00052726" w:rsidRDefault="00052726" w:rsidP="00052726">
      <w:pPr>
        <w:rPr>
          <w:sz w:val="22"/>
          <w:szCs w:val="22"/>
        </w:rPr>
      </w:pPr>
      <w:r w:rsidRPr="00052726">
        <w:rPr>
          <w:sz w:val="22"/>
          <w:szCs w:val="22"/>
        </w:rPr>
        <w:fldChar w:fldCharType="begin" w:fldLock="1"/>
      </w:r>
      <w:r w:rsidRPr="00052726">
        <w:rPr>
          <w:sz w:val="22"/>
          <w:szCs w:val="22"/>
        </w:rPr>
        <w:instrText xml:space="preserve"> REF _Ref343502500 \h </w:instrText>
      </w:r>
      <w:r>
        <w:rPr>
          <w:sz w:val="22"/>
          <w:szCs w:val="22"/>
        </w:rPr>
        <w:instrText xml:space="preserve"> \* MERGEFORMAT </w:instrText>
      </w:r>
      <w:r w:rsidRPr="00052726">
        <w:rPr>
          <w:sz w:val="22"/>
          <w:szCs w:val="22"/>
        </w:rPr>
      </w:r>
      <w:r w:rsidRPr="00052726">
        <w:rPr>
          <w:sz w:val="22"/>
          <w:szCs w:val="22"/>
        </w:rPr>
        <w:fldChar w:fldCharType="separate"/>
      </w:r>
      <w:r w:rsidR="00AB304C" w:rsidRPr="00AB304C">
        <w:rPr>
          <w:sz w:val="22"/>
          <w:szCs w:val="22"/>
        </w:rPr>
        <w:t xml:space="preserve">Figure </w:t>
      </w:r>
      <w:r w:rsidR="00AB304C" w:rsidRPr="00AB304C">
        <w:rPr>
          <w:noProof/>
          <w:sz w:val="22"/>
          <w:szCs w:val="22"/>
        </w:rPr>
        <w:t>166</w:t>
      </w:r>
      <w:r w:rsidR="00AB304C" w:rsidRPr="00AB304C">
        <w:rPr>
          <w:sz w:val="22"/>
          <w:szCs w:val="22"/>
        </w:rPr>
        <w:t>: Washed Red Blood Cell (RBC) Products and Select Blood Unit</w:t>
      </w:r>
      <w:r w:rsidRPr="00052726">
        <w:rPr>
          <w:sz w:val="22"/>
          <w:szCs w:val="22"/>
        </w:rPr>
        <w:fldChar w:fldCharType="end"/>
      </w:r>
    </w:p>
    <w:p w14:paraId="7C7C1E87" w14:textId="1C249EAF" w:rsidR="00052726" w:rsidRPr="00052726" w:rsidRDefault="00052726" w:rsidP="00052726">
      <w:pPr>
        <w:rPr>
          <w:sz w:val="22"/>
          <w:szCs w:val="22"/>
        </w:rPr>
      </w:pPr>
      <w:r w:rsidRPr="00052726">
        <w:rPr>
          <w:sz w:val="22"/>
          <w:szCs w:val="22"/>
        </w:rPr>
        <w:fldChar w:fldCharType="begin" w:fldLock="1"/>
      </w:r>
      <w:r w:rsidRPr="00052726">
        <w:rPr>
          <w:sz w:val="22"/>
          <w:szCs w:val="22"/>
        </w:rPr>
        <w:instrText xml:space="preserve"> REF _Ref343502523 \h </w:instrText>
      </w:r>
      <w:r>
        <w:rPr>
          <w:sz w:val="22"/>
          <w:szCs w:val="22"/>
        </w:rPr>
        <w:instrText xml:space="preserve"> \* MERGEFORMAT </w:instrText>
      </w:r>
      <w:r w:rsidRPr="00052726">
        <w:rPr>
          <w:sz w:val="22"/>
          <w:szCs w:val="22"/>
        </w:rPr>
      </w:r>
      <w:r w:rsidRPr="00052726">
        <w:rPr>
          <w:sz w:val="22"/>
          <w:szCs w:val="22"/>
        </w:rPr>
        <w:fldChar w:fldCharType="separate"/>
      </w:r>
      <w:r w:rsidR="00AB304C" w:rsidRPr="00AB304C">
        <w:rPr>
          <w:sz w:val="22"/>
          <w:szCs w:val="22"/>
        </w:rPr>
        <w:t xml:space="preserve">Figure </w:t>
      </w:r>
      <w:r w:rsidR="00AB304C" w:rsidRPr="00AB304C">
        <w:rPr>
          <w:noProof/>
          <w:sz w:val="22"/>
          <w:szCs w:val="22"/>
        </w:rPr>
        <w:t>167</w:t>
      </w:r>
      <w:r w:rsidR="00AB304C" w:rsidRPr="00AB304C">
        <w:rPr>
          <w:sz w:val="22"/>
          <w:szCs w:val="22"/>
        </w:rPr>
        <w:t>: Washed Red Blood Cell (RBC) Products and Issue Blood Component</w:t>
      </w:r>
      <w:r w:rsidRPr="00052726">
        <w:rPr>
          <w:sz w:val="22"/>
          <w:szCs w:val="22"/>
        </w:rPr>
        <w:fldChar w:fldCharType="end"/>
      </w:r>
    </w:p>
    <w:p w14:paraId="40AC0BD1" w14:textId="2C096680" w:rsidR="00052726" w:rsidRPr="00052726" w:rsidRDefault="00052726" w:rsidP="00052726">
      <w:pPr>
        <w:rPr>
          <w:sz w:val="22"/>
          <w:szCs w:val="22"/>
        </w:rPr>
      </w:pPr>
      <w:r w:rsidRPr="00052726">
        <w:rPr>
          <w:sz w:val="22"/>
          <w:szCs w:val="22"/>
        </w:rPr>
        <w:fldChar w:fldCharType="begin" w:fldLock="1"/>
      </w:r>
      <w:r w:rsidRPr="00052726">
        <w:rPr>
          <w:sz w:val="22"/>
          <w:szCs w:val="22"/>
        </w:rPr>
        <w:instrText xml:space="preserve"> REF _Ref343502547 \h </w:instrText>
      </w:r>
      <w:r>
        <w:rPr>
          <w:sz w:val="22"/>
          <w:szCs w:val="22"/>
        </w:rPr>
        <w:instrText xml:space="preserve"> \* MERGEFORMAT </w:instrText>
      </w:r>
      <w:r w:rsidRPr="00052726">
        <w:rPr>
          <w:sz w:val="22"/>
          <w:szCs w:val="22"/>
        </w:rPr>
      </w:r>
      <w:r w:rsidRPr="00052726">
        <w:rPr>
          <w:sz w:val="22"/>
          <w:szCs w:val="22"/>
        </w:rPr>
        <w:fldChar w:fldCharType="separate"/>
      </w:r>
      <w:r w:rsidR="00AB304C" w:rsidRPr="00AB304C">
        <w:rPr>
          <w:sz w:val="22"/>
          <w:szCs w:val="22"/>
        </w:rPr>
        <w:t xml:space="preserve">Figure </w:t>
      </w:r>
      <w:r w:rsidR="00AB304C" w:rsidRPr="00AB304C">
        <w:rPr>
          <w:noProof/>
          <w:sz w:val="22"/>
          <w:szCs w:val="22"/>
        </w:rPr>
        <w:t>168</w:t>
      </w:r>
      <w:r w:rsidR="00AB304C" w:rsidRPr="00AB304C">
        <w:rPr>
          <w:sz w:val="22"/>
          <w:szCs w:val="22"/>
        </w:rPr>
        <w:t>: Washed PLATELET (PLT) Products and Select Blood Unit</w:t>
      </w:r>
      <w:r w:rsidRPr="00052726">
        <w:rPr>
          <w:sz w:val="22"/>
          <w:szCs w:val="22"/>
        </w:rPr>
        <w:fldChar w:fldCharType="end"/>
      </w:r>
    </w:p>
    <w:p w14:paraId="234E249F" w14:textId="65818F3E" w:rsidR="00052726" w:rsidRPr="00052726" w:rsidRDefault="00052726" w:rsidP="00052726">
      <w:pPr>
        <w:rPr>
          <w:sz w:val="22"/>
          <w:szCs w:val="22"/>
        </w:rPr>
      </w:pPr>
      <w:r w:rsidRPr="00052726">
        <w:rPr>
          <w:sz w:val="22"/>
          <w:szCs w:val="22"/>
        </w:rPr>
        <w:fldChar w:fldCharType="begin" w:fldLock="1"/>
      </w:r>
      <w:r w:rsidRPr="00052726">
        <w:rPr>
          <w:sz w:val="22"/>
          <w:szCs w:val="22"/>
        </w:rPr>
        <w:instrText xml:space="preserve"> REF _Ref343502567 \h </w:instrText>
      </w:r>
      <w:r>
        <w:rPr>
          <w:sz w:val="22"/>
          <w:szCs w:val="22"/>
        </w:rPr>
        <w:instrText xml:space="preserve"> \* MERGEFORMAT </w:instrText>
      </w:r>
      <w:r w:rsidRPr="00052726">
        <w:rPr>
          <w:sz w:val="22"/>
          <w:szCs w:val="22"/>
        </w:rPr>
      </w:r>
      <w:r w:rsidRPr="00052726">
        <w:rPr>
          <w:sz w:val="22"/>
          <w:szCs w:val="22"/>
        </w:rPr>
        <w:fldChar w:fldCharType="separate"/>
      </w:r>
      <w:r w:rsidR="00AB304C" w:rsidRPr="00AB304C">
        <w:rPr>
          <w:sz w:val="22"/>
          <w:szCs w:val="22"/>
        </w:rPr>
        <w:t xml:space="preserve">Figure </w:t>
      </w:r>
      <w:r w:rsidR="00AB304C" w:rsidRPr="00AB304C">
        <w:rPr>
          <w:noProof/>
          <w:sz w:val="22"/>
          <w:szCs w:val="22"/>
        </w:rPr>
        <w:t>169</w:t>
      </w:r>
      <w:r w:rsidR="00AB304C" w:rsidRPr="00AB304C">
        <w:rPr>
          <w:sz w:val="22"/>
          <w:szCs w:val="22"/>
        </w:rPr>
        <w:t>: Washed PLATELET (PLT) Products and Issue Blood Component</w:t>
      </w:r>
      <w:r w:rsidRPr="00052726">
        <w:rPr>
          <w:sz w:val="22"/>
          <w:szCs w:val="22"/>
        </w:rPr>
        <w:fldChar w:fldCharType="end"/>
      </w:r>
    </w:p>
    <w:p w14:paraId="07DFBD7C" w14:textId="6231FCCA" w:rsidR="00052726" w:rsidRPr="00052726" w:rsidRDefault="00052726" w:rsidP="00052726">
      <w:pPr>
        <w:rPr>
          <w:sz w:val="22"/>
          <w:szCs w:val="22"/>
        </w:rPr>
      </w:pPr>
      <w:r w:rsidRPr="00052726">
        <w:rPr>
          <w:sz w:val="22"/>
          <w:szCs w:val="22"/>
        </w:rPr>
        <w:fldChar w:fldCharType="begin" w:fldLock="1"/>
      </w:r>
      <w:r w:rsidRPr="00052726">
        <w:rPr>
          <w:sz w:val="22"/>
          <w:szCs w:val="22"/>
        </w:rPr>
        <w:instrText xml:space="preserve"> REF _Ref343502582 \h </w:instrText>
      </w:r>
      <w:r>
        <w:rPr>
          <w:sz w:val="22"/>
          <w:szCs w:val="22"/>
        </w:rPr>
        <w:instrText xml:space="preserve"> \* MERGEFORMAT </w:instrText>
      </w:r>
      <w:r w:rsidRPr="00052726">
        <w:rPr>
          <w:sz w:val="22"/>
          <w:szCs w:val="22"/>
        </w:rPr>
      </w:r>
      <w:r w:rsidRPr="00052726">
        <w:rPr>
          <w:sz w:val="22"/>
          <w:szCs w:val="22"/>
        </w:rPr>
        <w:fldChar w:fldCharType="separate"/>
      </w:r>
      <w:r w:rsidR="00AB304C" w:rsidRPr="00AB304C">
        <w:rPr>
          <w:sz w:val="22"/>
          <w:szCs w:val="22"/>
        </w:rPr>
        <w:t xml:space="preserve">Figure </w:t>
      </w:r>
      <w:r w:rsidR="00AB304C" w:rsidRPr="00AB304C">
        <w:rPr>
          <w:noProof/>
          <w:sz w:val="22"/>
          <w:szCs w:val="22"/>
        </w:rPr>
        <w:t>170</w:t>
      </w:r>
      <w:r w:rsidR="00AB304C" w:rsidRPr="00AB304C">
        <w:rPr>
          <w:sz w:val="22"/>
          <w:szCs w:val="22"/>
        </w:rPr>
        <w:t>: Sickle Cell Negative RBC Products and Select Blood Unit</w:t>
      </w:r>
      <w:r w:rsidRPr="00052726">
        <w:rPr>
          <w:sz w:val="22"/>
          <w:szCs w:val="22"/>
        </w:rPr>
        <w:fldChar w:fldCharType="end"/>
      </w:r>
    </w:p>
    <w:p w14:paraId="2D74E9BB" w14:textId="1C2CB4C8" w:rsidR="00052726" w:rsidRPr="00052726" w:rsidRDefault="00052726" w:rsidP="00052726">
      <w:pPr>
        <w:rPr>
          <w:sz w:val="22"/>
          <w:szCs w:val="22"/>
        </w:rPr>
      </w:pPr>
      <w:r w:rsidRPr="00052726">
        <w:rPr>
          <w:sz w:val="22"/>
          <w:szCs w:val="22"/>
        </w:rPr>
        <w:fldChar w:fldCharType="begin" w:fldLock="1"/>
      </w:r>
      <w:r w:rsidRPr="00052726">
        <w:rPr>
          <w:sz w:val="22"/>
          <w:szCs w:val="22"/>
        </w:rPr>
        <w:instrText xml:space="preserve"> REF _Ref343502619 \h </w:instrText>
      </w:r>
      <w:r>
        <w:rPr>
          <w:sz w:val="22"/>
          <w:szCs w:val="22"/>
        </w:rPr>
        <w:instrText xml:space="preserve"> \* MERGEFORMAT </w:instrText>
      </w:r>
      <w:r w:rsidRPr="00052726">
        <w:rPr>
          <w:sz w:val="22"/>
          <w:szCs w:val="22"/>
        </w:rPr>
      </w:r>
      <w:r w:rsidRPr="00052726">
        <w:rPr>
          <w:sz w:val="22"/>
          <w:szCs w:val="22"/>
        </w:rPr>
        <w:fldChar w:fldCharType="separate"/>
      </w:r>
      <w:r w:rsidR="00AB304C" w:rsidRPr="00AB304C">
        <w:rPr>
          <w:sz w:val="22"/>
          <w:szCs w:val="22"/>
        </w:rPr>
        <w:t xml:space="preserve">Figure </w:t>
      </w:r>
      <w:r w:rsidR="00AB304C" w:rsidRPr="00AB304C">
        <w:rPr>
          <w:noProof/>
          <w:sz w:val="22"/>
          <w:szCs w:val="22"/>
        </w:rPr>
        <w:t>171</w:t>
      </w:r>
      <w:r w:rsidR="00AB304C" w:rsidRPr="00AB304C">
        <w:rPr>
          <w:sz w:val="22"/>
          <w:szCs w:val="22"/>
        </w:rPr>
        <w:t>: Sickle Cell Negative RBC Products and Issue Blood Component</w:t>
      </w:r>
      <w:r w:rsidRPr="00052726">
        <w:rPr>
          <w:sz w:val="22"/>
          <w:szCs w:val="22"/>
        </w:rPr>
        <w:fldChar w:fldCharType="end"/>
      </w:r>
    </w:p>
    <w:p w14:paraId="793780CC" w14:textId="65C27598" w:rsidR="00052726" w:rsidRPr="00052726" w:rsidRDefault="00052726" w:rsidP="00052726">
      <w:pPr>
        <w:rPr>
          <w:sz w:val="22"/>
          <w:szCs w:val="22"/>
        </w:rPr>
      </w:pPr>
      <w:r w:rsidRPr="00052726">
        <w:rPr>
          <w:sz w:val="22"/>
          <w:szCs w:val="22"/>
        </w:rPr>
        <w:fldChar w:fldCharType="begin" w:fldLock="1"/>
      </w:r>
      <w:r w:rsidRPr="00052726">
        <w:rPr>
          <w:sz w:val="22"/>
          <w:szCs w:val="22"/>
        </w:rPr>
        <w:instrText xml:space="preserve"> REF _Ref343502634 \h </w:instrText>
      </w:r>
      <w:r>
        <w:rPr>
          <w:sz w:val="22"/>
          <w:szCs w:val="22"/>
        </w:rPr>
        <w:instrText xml:space="preserve"> \* MERGEFORMAT </w:instrText>
      </w:r>
      <w:r w:rsidRPr="00052726">
        <w:rPr>
          <w:sz w:val="22"/>
          <w:szCs w:val="22"/>
        </w:rPr>
      </w:r>
      <w:r w:rsidRPr="00052726">
        <w:rPr>
          <w:sz w:val="22"/>
          <w:szCs w:val="22"/>
        </w:rPr>
        <w:fldChar w:fldCharType="separate"/>
      </w:r>
      <w:r w:rsidR="00AB304C" w:rsidRPr="00AB304C">
        <w:rPr>
          <w:sz w:val="22"/>
          <w:szCs w:val="22"/>
        </w:rPr>
        <w:t xml:space="preserve">Figure </w:t>
      </w:r>
      <w:r w:rsidR="00AB304C" w:rsidRPr="00AB304C">
        <w:rPr>
          <w:noProof/>
          <w:sz w:val="22"/>
          <w:szCs w:val="22"/>
        </w:rPr>
        <w:t>172</w:t>
      </w:r>
      <w:r w:rsidR="00AB304C" w:rsidRPr="00AB304C">
        <w:rPr>
          <w:sz w:val="22"/>
          <w:szCs w:val="22"/>
        </w:rPr>
        <w:t>: CMV Negative Cellular Products* and Select Blood Unit</w:t>
      </w:r>
      <w:r w:rsidRPr="00052726">
        <w:rPr>
          <w:sz w:val="22"/>
          <w:szCs w:val="22"/>
        </w:rPr>
        <w:fldChar w:fldCharType="end"/>
      </w:r>
    </w:p>
    <w:p w14:paraId="61551874" w14:textId="03AE4272" w:rsidR="00052726" w:rsidRPr="00052726" w:rsidRDefault="00052726" w:rsidP="00052726">
      <w:pPr>
        <w:rPr>
          <w:sz w:val="22"/>
          <w:szCs w:val="22"/>
        </w:rPr>
      </w:pPr>
      <w:r w:rsidRPr="00052726">
        <w:rPr>
          <w:sz w:val="22"/>
          <w:szCs w:val="22"/>
        </w:rPr>
        <w:fldChar w:fldCharType="begin" w:fldLock="1"/>
      </w:r>
      <w:r w:rsidRPr="00052726">
        <w:rPr>
          <w:sz w:val="22"/>
          <w:szCs w:val="22"/>
        </w:rPr>
        <w:instrText xml:space="preserve"> REF _Ref343502649 \h </w:instrText>
      </w:r>
      <w:r>
        <w:rPr>
          <w:sz w:val="22"/>
          <w:szCs w:val="22"/>
        </w:rPr>
        <w:instrText xml:space="preserve"> \* MERGEFORMAT </w:instrText>
      </w:r>
      <w:r w:rsidRPr="00052726">
        <w:rPr>
          <w:sz w:val="22"/>
          <w:szCs w:val="22"/>
        </w:rPr>
      </w:r>
      <w:r w:rsidRPr="00052726">
        <w:rPr>
          <w:sz w:val="22"/>
          <w:szCs w:val="22"/>
        </w:rPr>
        <w:fldChar w:fldCharType="separate"/>
      </w:r>
      <w:r w:rsidR="00AB304C" w:rsidRPr="00AB304C">
        <w:rPr>
          <w:sz w:val="22"/>
          <w:szCs w:val="22"/>
        </w:rPr>
        <w:t xml:space="preserve">Figure </w:t>
      </w:r>
      <w:r w:rsidR="00AB304C" w:rsidRPr="00AB304C">
        <w:rPr>
          <w:noProof/>
          <w:sz w:val="22"/>
          <w:szCs w:val="22"/>
        </w:rPr>
        <w:t>173</w:t>
      </w:r>
      <w:r w:rsidR="00AB304C" w:rsidRPr="00AB304C">
        <w:rPr>
          <w:sz w:val="22"/>
          <w:szCs w:val="22"/>
        </w:rPr>
        <w:t>: CMV Negative Cellular Products* and Issue Blood Component</w:t>
      </w:r>
      <w:r w:rsidRPr="00052726">
        <w:rPr>
          <w:sz w:val="22"/>
          <w:szCs w:val="22"/>
        </w:rPr>
        <w:fldChar w:fldCharType="end"/>
      </w:r>
      <w:r w:rsidRPr="00052726">
        <w:rPr>
          <w:sz w:val="22"/>
          <w:szCs w:val="22"/>
        </w:rPr>
        <w:t xml:space="preserve">  </w:t>
      </w:r>
    </w:p>
    <w:p w14:paraId="18980E35" w14:textId="77777777" w:rsidR="00052726" w:rsidRPr="00D13051" w:rsidRDefault="00052726" w:rsidP="00052726"/>
    <w:p w14:paraId="1C65C898" w14:textId="194241AD" w:rsidR="00C15299" w:rsidRDefault="00C15299" w:rsidP="00C15299">
      <w:pPr>
        <w:pStyle w:val="Caption"/>
      </w:pPr>
      <w:bookmarkStart w:id="827" w:name="_Ref407612048"/>
      <w:bookmarkStart w:id="828" w:name="_Ref343502397"/>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162</w:t>
      </w:r>
      <w:r w:rsidR="004E20BD">
        <w:rPr>
          <w:noProof/>
        </w:rPr>
        <w:fldChar w:fldCharType="end"/>
      </w:r>
      <w:bookmarkEnd w:id="827"/>
      <w:r>
        <w:t>: Irradiate Cellular Products Only and Select Blood Unit</w:t>
      </w:r>
      <w:bookmarkEnd w:id="828"/>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843"/>
        <w:gridCol w:w="2189"/>
        <w:gridCol w:w="1530"/>
        <w:gridCol w:w="1350"/>
        <w:gridCol w:w="3330"/>
      </w:tblGrid>
      <w:tr w:rsidR="009125FD" w:rsidRPr="005C5D59" w14:paraId="65F7BE78" w14:textId="77777777" w:rsidTr="009125FD">
        <w:trPr>
          <w:cantSplit/>
          <w:trHeight w:val="305"/>
          <w:tblHeader/>
        </w:trPr>
        <w:tc>
          <w:tcPr>
            <w:tcW w:w="10242" w:type="dxa"/>
            <w:gridSpan w:val="5"/>
            <w:tcBorders>
              <w:top w:val="single" w:sz="4" w:space="0" w:color="000000"/>
              <w:left w:val="single" w:sz="4" w:space="0" w:color="000000"/>
              <w:right w:val="single" w:sz="4" w:space="0" w:color="000000"/>
            </w:tcBorders>
            <w:shd w:val="pct25" w:color="auto" w:fill="auto"/>
            <w:vAlign w:val="bottom"/>
            <w:hideMark/>
          </w:tcPr>
          <w:p w14:paraId="07CD31AF" w14:textId="77777777" w:rsidR="009125FD" w:rsidRPr="005C5D59" w:rsidRDefault="009125FD" w:rsidP="009125FD">
            <w:pPr>
              <w:rPr>
                <w:rFonts w:ascii="Arial" w:hAnsi="Arial" w:cs="Arial"/>
                <w:b/>
                <w:sz w:val="18"/>
                <w:szCs w:val="18"/>
              </w:rPr>
            </w:pPr>
            <w:r w:rsidRPr="005C5D59">
              <w:rPr>
                <w:rFonts w:ascii="Arial" w:hAnsi="Arial" w:cs="Arial"/>
                <w:b/>
                <w:sz w:val="18"/>
                <w:szCs w:val="18"/>
              </w:rPr>
              <w:t>Select Unit: IRRADIATED</w:t>
            </w:r>
          </w:p>
        </w:tc>
      </w:tr>
      <w:tr w:rsidR="009125FD" w:rsidRPr="005C5D59" w14:paraId="4AB80CA1" w14:textId="77777777" w:rsidTr="009125FD">
        <w:trPr>
          <w:cantSplit/>
          <w:trHeight w:val="432"/>
          <w:tblHeader/>
        </w:trPr>
        <w:tc>
          <w:tcPr>
            <w:tcW w:w="1843" w:type="dxa"/>
            <w:tcBorders>
              <w:left w:val="single" w:sz="4" w:space="0" w:color="000000"/>
              <w:bottom w:val="single" w:sz="4" w:space="0" w:color="000000"/>
              <w:right w:val="single" w:sz="4" w:space="0" w:color="000000"/>
            </w:tcBorders>
            <w:shd w:val="pct25" w:color="auto" w:fill="auto"/>
            <w:vAlign w:val="bottom"/>
            <w:hideMark/>
          </w:tcPr>
          <w:p w14:paraId="6C52EEC3"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2189" w:type="dxa"/>
            <w:tcBorders>
              <w:left w:val="single" w:sz="4" w:space="0" w:color="000000"/>
              <w:bottom w:val="single" w:sz="4" w:space="0" w:color="000000"/>
              <w:right w:val="single" w:sz="4" w:space="0" w:color="000000"/>
            </w:tcBorders>
            <w:shd w:val="pct25" w:color="auto" w:fill="auto"/>
            <w:vAlign w:val="bottom"/>
            <w:hideMark/>
          </w:tcPr>
          <w:p w14:paraId="449EA1A1"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53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14AB81D2" w14:textId="77777777" w:rsidR="009125FD" w:rsidRPr="005C5D59" w:rsidRDefault="009125FD" w:rsidP="009125FD">
            <w:pPr>
              <w:jc w:val="cente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3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12A01116" w14:textId="77777777" w:rsidR="009125FD" w:rsidRPr="005C5D59" w:rsidRDefault="009125FD" w:rsidP="009125FD">
            <w:pPr>
              <w:jc w:val="center"/>
              <w:rPr>
                <w:rFonts w:ascii="Arial" w:hAnsi="Arial" w:cs="Arial"/>
                <w:b/>
                <w:sz w:val="18"/>
                <w:szCs w:val="18"/>
              </w:rPr>
            </w:pPr>
            <w:r w:rsidRPr="005C5D59">
              <w:rPr>
                <w:rFonts w:ascii="Arial" w:hAnsi="Arial" w:cs="Arial"/>
                <w:b/>
                <w:sz w:val="18"/>
                <w:szCs w:val="18"/>
              </w:rPr>
              <w:t>User Role</w:t>
            </w:r>
          </w:p>
        </w:tc>
        <w:tc>
          <w:tcPr>
            <w:tcW w:w="333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21BC2A86" w14:textId="77777777" w:rsidR="009125FD" w:rsidRPr="005C5D59" w:rsidRDefault="009125FD" w:rsidP="009125FD">
            <w:pPr>
              <w:jc w:val="center"/>
              <w:rPr>
                <w:rFonts w:ascii="Arial" w:hAnsi="Arial" w:cs="Arial"/>
                <w:b/>
                <w:sz w:val="18"/>
                <w:szCs w:val="18"/>
              </w:rPr>
            </w:pPr>
            <w:r>
              <w:rPr>
                <w:rFonts w:ascii="Arial" w:hAnsi="Arial" w:cs="Arial"/>
                <w:b/>
                <w:sz w:val="18"/>
                <w:szCs w:val="18"/>
              </w:rPr>
              <w:t xml:space="preserve">VBECS </w:t>
            </w:r>
            <w:r w:rsidRPr="005C5D59">
              <w:rPr>
                <w:rFonts w:ascii="Arial" w:hAnsi="Arial" w:cs="Arial"/>
                <w:b/>
                <w:sz w:val="18"/>
                <w:szCs w:val="18"/>
              </w:rPr>
              <w:t>Response</w:t>
            </w:r>
          </w:p>
        </w:tc>
      </w:tr>
      <w:tr w:rsidR="009125FD" w:rsidRPr="005C5D59" w14:paraId="2C8135D3" w14:textId="77777777" w:rsidTr="009125FD">
        <w:trPr>
          <w:cantSplit/>
          <w:trHeight w:val="284"/>
        </w:trPr>
        <w:tc>
          <w:tcPr>
            <w:tcW w:w="1843" w:type="dxa"/>
            <w:vMerge w:val="restart"/>
            <w:tcBorders>
              <w:top w:val="single" w:sz="4" w:space="0" w:color="000000"/>
              <w:left w:val="single" w:sz="4" w:space="0" w:color="000000"/>
              <w:right w:val="single" w:sz="4" w:space="0" w:color="000000"/>
            </w:tcBorders>
            <w:vAlign w:val="center"/>
            <w:hideMark/>
          </w:tcPr>
          <w:p w14:paraId="11C94DF0" w14:textId="77777777" w:rsidR="009125FD" w:rsidRPr="004F6C19" w:rsidRDefault="009125FD" w:rsidP="009125FD">
            <w:pPr>
              <w:jc w:val="center"/>
              <w:rPr>
                <w:rFonts w:ascii="Arial" w:hAnsi="Arial" w:cs="Arial"/>
                <w:b/>
                <w:sz w:val="28"/>
                <w:szCs w:val="28"/>
              </w:rPr>
            </w:pPr>
            <w:r w:rsidRPr="004F6C19">
              <w:rPr>
                <w:rFonts w:ascii="Arial" w:hAnsi="Arial" w:cs="Arial"/>
                <w:b/>
                <w:sz w:val="28"/>
                <w:szCs w:val="28"/>
              </w:rPr>
              <w:t>Irradiate</w:t>
            </w:r>
          </w:p>
          <w:p w14:paraId="72BFB4AB" w14:textId="77777777" w:rsidR="009125FD" w:rsidRPr="004F6C19" w:rsidRDefault="009125FD" w:rsidP="009125FD">
            <w:pPr>
              <w:jc w:val="center"/>
              <w:rPr>
                <w:rFonts w:ascii="Arial" w:hAnsi="Arial" w:cs="Arial"/>
                <w:b/>
                <w:sz w:val="28"/>
                <w:szCs w:val="28"/>
              </w:rPr>
            </w:pPr>
            <w:r w:rsidRPr="004F6C19">
              <w:rPr>
                <w:rFonts w:ascii="Arial" w:hAnsi="Arial" w:cs="Arial"/>
                <w:b/>
                <w:sz w:val="28"/>
                <w:szCs w:val="28"/>
              </w:rPr>
              <w:t xml:space="preserve">Cellular </w:t>
            </w:r>
            <w:r w:rsidRPr="004F6C19">
              <w:rPr>
                <w:rFonts w:ascii="Arial" w:hAnsi="Arial" w:cs="Arial"/>
                <w:b/>
                <w:sz w:val="28"/>
                <w:szCs w:val="28"/>
              </w:rPr>
              <w:br/>
              <w:t>Products</w:t>
            </w:r>
          </w:p>
          <w:p w14:paraId="3F830513" w14:textId="77777777" w:rsidR="009125FD" w:rsidRPr="005C5D59" w:rsidRDefault="009125FD" w:rsidP="009125FD">
            <w:pPr>
              <w:jc w:val="center"/>
              <w:rPr>
                <w:rFonts w:ascii="Arial" w:hAnsi="Arial" w:cs="Arial"/>
                <w:sz w:val="18"/>
                <w:szCs w:val="18"/>
              </w:rPr>
            </w:pPr>
            <w:r w:rsidRPr="004F6C19">
              <w:rPr>
                <w:rFonts w:ascii="Arial" w:hAnsi="Arial" w:cs="Arial"/>
                <w:b/>
                <w:sz w:val="28"/>
                <w:szCs w:val="28"/>
              </w:rPr>
              <w:t>Only</w:t>
            </w:r>
          </w:p>
        </w:tc>
        <w:tc>
          <w:tcPr>
            <w:tcW w:w="2189" w:type="dxa"/>
            <w:tcBorders>
              <w:top w:val="single" w:sz="4" w:space="0" w:color="000000"/>
              <w:left w:val="single" w:sz="4" w:space="0" w:color="000000"/>
              <w:right w:val="single" w:sz="4" w:space="0" w:color="000000"/>
            </w:tcBorders>
            <w:shd w:val="pct10" w:color="auto" w:fill="auto"/>
            <w:vAlign w:val="center"/>
            <w:hideMark/>
          </w:tcPr>
          <w:p w14:paraId="2066749C"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 xml:space="preserve">RED BLOOD CELLS  </w:t>
            </w:r>
          </w:p>
          <w:p w14:paraId="15943BD2"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 xml:space="preserve"> WHOLE BLOOD </w:t>
            </w:r>
          </w:p>
          <w:p w14:paraId="72C7B523"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PLATELETS</w:t>
            </w:r>
          </w:p>
          <w:p w14:paraId="727CF559" w14:textId="77777777" w:rsidR="009125FD" w:rsidRPr="005C5D59" w:rsidRDefault="009125FD" w:rsidP="009125FD">
            <w:pPr>
              <w:spacing w:before="120"/>
              <w:jc w:val="center"/>
              <w:rPr>
                <w:rFonts w:ascii="Arial" w:hAnsi="Arial" w:cs="Arial"/>
                <w:sz w:val="18"/>
                <w:szCs w:val="18"/>
              </w:rPr>
            </w:pPr>
            <w:r w:rsidRPr="005C5D59">
              <w:rPr>
                <w:rFonts w:ascii="Arial" w:hAnsi="Arial" w:cs="Arial"/>
                <w:color w:val="000000"/>
                <w:sz w:val="18"/>
                <w:szCs w:val="18"/>
              </w:rPr>
              <w:t>OTHER</w:t>
            </w:r>
          </w:p>
        </w:tc>
        <w:tc>
          <w:tcPr>
            <w:tcW w:w="1530" w:type="dxa"/>
            <w:tcBorders>
              <w:top w:val="single" w:sz="4" w:space="0" w:color="000000"/>
              <w:left w:val="single" w:sz="4" w:space="0" w:color="000000"/>
              <w:right w:val="single" w:sz="4" w:space="0" w:color="000000"/>
            </w:tcBorders>
            <w:shd w:val="pct10" w:color="auto" w:fill="auto"/>
            <w:vAlign w:val="center"/>
            <w:hideMark/>
          </w:tcPr>
          <w:p w14:paraId="3EDD5E6E"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Irradiated</w:t>
            </w:r>
          </w:p>
        </w:tc>
        <w:tc>
          <w:tcPr>
            <w:tcW w:w="1350" w:type="dxa"/>
            <w:tcBorders>
              <w:top w:val="single" w:sz="4" w:space="0" w:color="000000"/>
              <w:left w:val="single" w:sz="4" w:space="0" w:color="000000"/>
              <w:right w:val="single" w:sz="4" w:space="0" w:color="000000"/>
            </w:tcBorders>
            <w:shd w:val="pct10" w:color="auto" w:fill="auto"/>
            <w:vAlign w:val="center"/>
            <w:hideMark/>
          </w:tcPr>
          <w:p w14:paraId="4D7C689E" w14:textId="77777777" w:rsidR="009125FD" w:rsidRPr="005C5D59" w:rsidRDefault="009125FD" w:rsidP="009125FD">
            <w:pPr>
              <w:jc w:val="center"/>
              <w:rPr>
                <w:rFonts w:ascii="Arial" w:hAnsi="Arial" w:cs="Arial"/>
                <w:b/>
                <w:sz w:val="18"/>
                <w:szCs w:val="18"/>
              </w:rPr>
            </w:pPr>
            <w:r w:rsidRPr="00825E94">
              <w:rPr>
                <w:rFonts w:ascii="Arial" w:hAnsi="Arial" w:cs="Arial"/>
                <w:b/>
                <w:sz w:val="18"/>
                <w:szCs w:val="18"/>
              </w:rPr>
              <w:t>ALL VBECS Users</w:t>
            </w:r>
          </w:p>
        </w:tc>
        <w:tc>
          <w:tcPr>
            <w:tcW w:w="3330" w:type="dxa"/>
            <w:tcBorders>
              <w:top w:val="single" w:sz="4" w:space="0" w:color="000000"/>
              <w:left w:val="single" w:sz="4" w:space="0" w:color="000000"/>
              <w:right w:val="single" w:sz="4" w:space="0" w:color="000000"/>
            </w:tcBorders>
            <w:shd w:val="pct10" w:color="auto" w:fill="auto"/>
            <w:vAlign w:val="center"/>
          </w:tcPr>
          <w:p w14:paraId="38C65A41"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146B966B" w14:textId="77777777" w:rsidTr="009125FD">
        <w:trPr>
          <w:cantSplit/>
          <w:trHeight w:val="576"/>
        </w:trPr>
        <w:tc>
          <w:tcPr>
            <w:tcW w:w="1843" w:type="dxa"/>
            <w:vMerge/>
            <w:tcBorders>
              <w:left w:val="single" w:sz="4" w:space="0" w:color="000000"/>
              <w:right w:val="single" w:sz="4" w:space="0" w:color="000000"/>
            </w:tcBorders>
            <w:vAlign w:val="bottom"/>
          </w:tcPr>
          <w:p w14:paraId="73FA9AB1" w14:textId="77777777" w:rsidR="009125FD" w:rsidRPr="005C5D59" w:rsidRDefault="009125FD" w:rsidP="009125FD">
            <w:pPr>
              <w:rPr>
                <w:rFonts w:ascii="Arial" w:hAnsi="Arial" w:cs="Arial"/>
                <w:b/>
                <w:sz w:val="18"/>
                <w:szCs w:val="18"/>
              </w:rPr>
            </w:pPr>
          </w:p>
        </w:tc>
        <w:tc>
          <w:tcPr>
            <w:tcW w:w="2189" w:type="dxa"/>
            <w:tcBorders>
              <w:top w:val="single" w:sz="4" w:space="0" w:color="000000"/>
              <w:left w:val="single" w:sz="4" w:space="0" w:color="000000"/>
              <w:bottom w:val="single" w:sz="4" w:space="0" w:color="000000"/>
              <w:right w:val="single" w:sz="4" w:space="0" w:color="000000"/>
            </w:tcBorders>
            <w:vAlign w:val="center"/>
          </w:tcPr>
          <w:p w14:paraId="700D7D98"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 xml:space="preserve">RED BLOOD CELLS  </w:t>
            </w:r>
          </w:p>
          <w:p w14:paraId="509835D1"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 xml:space="preserve"> WHOLE BLOOD </w:t>
            </w:r>
          </w:p>
          <w:p w14:paraId="7A5567AB"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PLATELETS</w:t>
            </w:r>
          </w:p>
          <w:p w14:paraId="3976F5AB" w14:textId="77777777" w:rsidR="009125FD" w:rsidRPr="005C5D59" w:rsidRDefault="009125FD" w:rsidP="009125FD">
            <w:pPr>
              <w:spacing w:before="120"/>
              <w:jc w:val="center"/>
              <w:rPr>
                <w:rFonts w:ascii="Arial" w:hAnsi="Arial" w:cs="Arial"/>
                <w:sz w:val="18"/>
                <w:szCs w:val="18"/>
              </w:rPr>
            </w:pPr>
            <w:r w:rsidRPr="005C5D59">
              <w:rPr>
                <w:rFonts w:ascii="Arial" w:hAnsi="Arial" w:cs="Arial"/>
                <w:color w:val="000000"/>
                <w:sz w:val="18"/>
                <w:szCs w:val="18"/>
              </w:rPr>
              <w:t>OTHER</w:t>
            </w:r>
          </w:p>
        </w:tc>
        <w:tc>
          <w:tcPr>
            <w:tcW w:w="1530" w:type="dxa"/>
            <w:tcBorders>
              <w:top w:val="single" w:sz="4" w:space="0" w:color="000000"/>
              <w:left w:val="single" w:sz="4" w:space="0" w:color="000000"/>
              <w:bottom w:val="single" w:sz="4" w:space="0" w:color="000000"/>
              <w:right w:val="single" w:sz="4" w:space="0" w:color="000000"/>
            </w:tcBorders>
            <w:vAlign w:val="center"/>
          </w:tcPr>
          <w:p w14:paraId="23BB865A" w14:textId="77777777" w:rsidR="009125FD" w:rsidRPr="005C5D59" w:rsidRDefault="009125FD" w:rsidP="009125FD">
            <w:pPr>
              <w:jc w:val="center"/>
              <w:rPr>
                <w:rFonts w:ascii="Arial" w:hAnsi="Arial" w:cs="Arial"/>
                <w:color w:val="FF0000"/>
                <w:sz w:val="18"/>
                <w:szCs w:val="18"/>
              </w:rPr>
            </w:pPr>
            <w:r w:rsidRPr="005C5D59">
              <w:rPr>
                <w:rFonts w:ascii="Arial" w:hAnsi="Arial" w:cs="Arial"/>
                <w:b/>
                <w:color w:val="FF0000"/>
                <w:sz w:val="18"/>
                <w:szCs w:val="18"/>
              </w:rPr>
              <w:t>Not Irradiated</w:t>
            </w:r>
          </w:p>
        </w:tc>
        <w:tc>
          <w:tcPr>
            <w:tcW w:w="1350" w:type="dxa"/>
            <w:tcBorders>
              <w:top w:val="single" w:sz="4" w:space="0" w:color="000000"/>
              <w:left w:val="single" w:sz="4" w:space="0" w:color="000000"/>
              <w:bottom w:val="single" w:sz="4" w:space="0" w:color="000000"/>
              <w:right w:val="single" w:sz="4" w:space="0" w:color="000000"/>
            </w:tcBorders>
            <w:vAlign w:val="center"/>
          </w:tcPr>
          <w:p w14:paraId="6C1DED61" w14:textId="77777777" w:rsidR="009125FD" w:rsidRPr="005C5D59" w:rsidRDefault="009125FD" w:rsidP="009125FD">
            <w:pPr>
              <w:jc w:val="center"/>
              <w:rPr>
                <w:rFonts w:ascii="Arial" w:hAnsi="Arial" w:cs="Arial"/>
                <w:sz w:val="18"/>
                <w:szCs w:val="18"/>
              </w:rPr>
            </w:pPr>
            <w:r w:rsidRPr="00825E94">
              <w:rPr>
                <w:rFonts w:ascii="Arial" w:hAnsi="Arial" w:cs="Arial"/>
                <w:b/>
                <w:sz w:val="18"/>
                <w:szCs w:val="18"/>
              </w:rPr>
              <w:t>ALL VBECS Users</w:t>
            </w:r>
          </w:p>
        </w:tc>
        <w:tc>
          <w:tcPr>
            <w:tcW w:w="3330" w:type="dxa"/>
            <w:tcBorders>
              <w:top w:val="single" w:sz="4" w:space="0" w:color="000000"/>
              <w:left w:val="single" w:sz="4" w:space="0" w:color="000000"/>
              <w:right w:val="single" w:sz="4" w:space="0" w:color="000000"/>
            </w:tcBorders>
          </w:tcPr>
          <w:p w14:paraId="53289567" w14:textId="77777777" w:rsidR="009125FD" w:rsidRPr="007F3B3C" w:rsidRDefault="009125FD" w:rsidP="009125FD">
            <w:pPr>
              <w:pStyle w:val="TableText"/>
              <w:spacing w:before="120"/>
              <w:rPr>
                <w:rStyle w:val="StyleTableText9ptCharChar"/>
                <w:rFonts w:cs="Arial"/>
                <w:i/>
              </w:rPr>
            </w:pPr>
            <w:r w:rsidRPr="005C5D59">
              <w:rPr>
                <w:rStyle w:val="StyleTableText9ptCharChar"/>
                <w:rFonts w:cs="Arial"/>
              </w:rPr>
              <w:t>The Transfusio</w:t>
            </w:r>
            <w:r>
              <w:rPr>
                <w:rStyle w:val="StyleTableText9ptCharChar"/>
                <w:rFonts w:cs="Arial"/>
              </w:rPr>
              <w:t xml:space="preserve">n Requirement is not satisfied; </w:t>
            </w:r>
            <w:r w:rsidRPr="005C5D59">
              <w:rPr>
                <w:rStyle w:val="StyleTableText9ptCharChar"/>
                <w:rFonts w:cs="Arial"/>
              </w:rPr>
              <w:t xml:space="preserve">the system emits an audible alert and displays a warning message: </w:t>
            </w:r>
            <w:r w:rsidRPr="007F3B3C">
              <w:rPr>
                <w:rStyle w:val="StyleTableText9ptCharChar"/>
                <w:rFonts w:cs="Arial"/>
                <w:i/>
              </w:rPr>
              <w:t>This unit does not currently satisfy all of the patient’s Transfusion Requirements. Further processing is needed. Continue to select this unit?</w:t>
            </w:r>
          </w:p>
          <w:p w14:paraId="56F8714D" w14:textId="77777777" w:rsidR="009125FD" w:rsidRPr="005C5D59" w:rsidRDefault="009125FD" w:rsidP="009125FD">
            <w:pPr>
              <w:pStyle w:val="TableText"/>
              <w:rPr>
                <w:rStyle w:val="StyleTableText9ptCharChar"/>
                <w:rFonts w:cs="Arial"/>
              </w:rPr>
            </w:pPr>
            <w:r w:rsidRPr="005C5D59">
              <w:rPr>
                <w:rStyle w:val="StyleTableText9ptCharChar"/>
                <w:rFonts w:cs="Arial"/>
              </w:rPr>
              <w:t>If</w:t>
            </w:r>
            <w:r>
              <w:rPr>
                <w:rStyle w:val="StyleTableText9ptCharChar"/>
                <w:rFonts w:cs="Arial"/>
              </w:rPr>
              <w:t xml:space="preserve"> the user clicks </w:t>
            </w:r>
            <w:r w:rsidRPr="005C5D59">
              <w:rPr>
                <w:rStyle w:val="StyleTableText9ptCharChar"/>
                <w:rFonts w:cs="Arial"/>
              </w:rPr>
              <w:t>“No,” the screen is cleared.</w:t>
            </w:r>
          </w:p>
          <w:p w14:paraId="141F6B7F" w14:textId="77777777" w:rsidR="009125FD" w:rsidRPr="005C5D59" w:rsidRDefault="009125FD" w:rsidP="009125FD">
            <w:pPr>
              <w:pStyle w:val="TableText"/>
              <w:rPr>
                <w:rFonts w:cs="Arial"/>
                <w:noProof/>
              </w:rPr>
            </w:pPr>
            <w:r w:rsidRPr="005C5D59">
              <w:rPr>
                <w:rStyle w:val="StyleTableText9ptCharChar"/>
                <w:rFonts w:cs="Arial"/>
              </w:rPr>
              <w:t xml:space="preserve">If </w:t>
            </w:r>
            <w:r>
              <w:rPr>
                <w:rStyle w:val="StyleTableText9ptCharChar"/>
                <w:rFonts w:cs="Arial"/>
              </w:rPr>
              <w:t>the user clicks “Yes,” selection can continue to select the unit.</w:t>
            </w:r>
          </w:p>
        </w:tc>
      </w:tr>
    </w:tbl>
    <w:p w14:paraId="7E7651F2" w14:textId="77777777" w:rsidR="009125FD" w:rsidRDefault="009125FD" w:rsidP="009125FD"/>
    <w:p w14:paraId="1C32B145" w14:textId="6EEB58FE" w:rsidR="00C15299" w:rsidRDefault="009125FD" w:rsidP="00C15299">
      <w:pPr>
        <w:pStyle w:val="Caption"/>
      </w:pPr>
      <w:r>
        <w:br w:type="page"/>
      </w:r>
      <w:bookmarkStart w:id="829" w:name="_Ref407612064"/>
      <w:bookmarkStart w:id="830" w:name="_Ref343502433"/>
      <w:r w:rsidR="00C15299">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163</w:t>
      </w:r>
      <w:r w:rsidR="004E20BD">
        <w:rPr>
          <w:noProof/>
        </w:rPr>
        <w:fldChar w:fldCharType="end"/>
      </w:r>
      <w:bookmarkEnd w:id="829"/>
      <w:r w:rsidR="00C15299">
        <w:t>: Irradiate Cellular Products Only and Issue Blood Component</w:t>
      </w:r>
      <w:bookmarkEnd w:id="830"/>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692"/>
        <w:gridCol w:w="1620"/>
        <w:gridCol w:w="1260"/>
        <w:gridCol w:w="1620"/>
        <w:gridCol w:w="4050"/>
      </w:tblGrid>
      <w:tr w:rsidR="009125FD" w:rsidRPr="005C5D59" w14:paraId="7E567714" w14:textId="77777777" w:rsidTr="009125FD">
        <w:trPr>
          <w:cantSplit/>
          <w:trHeight w:val="432"/>
          <w:tblHeader/>
        </w:trPr>
        <w:tc>
          <w:tcPr>
            <w:tcW w:w="10242" w:type="dxa"/>
            <w:gridSpan w:val="5"/>
            <w:tcBorders>
              <w:left w:val="single" w:sz="4" w:space="0" w:color="000000"/>
              <w:bottom w:val="single" w:sz="4" w:space="0" w:color="000000"/>
              <w:right w:val="single" w:sz="4" w:space="0" w:color="000000"/>
            </w:tcBorders>
            <w:shd w:val="pct25" w:color="auto" w:fill="auto"/>
            <w:vAlign w:val="bottom"/>
          </w:tcPr>
          <w:p w14:paraId="5FC75D63" w14:textId="77777777" w:rsidR="009125FD" w:rsidRPr="005C5D59" w:rsidRDefault="009125FD" w:rsidP="009125FD">
            <w:pPr>
              <w:rPr>
                <w:rFonts w:ascii="Arial" w:hAnsi="Arial" w:cs="Arial"/>
                <w:b/>
                <w:sz w:val="18"/>
                <w:szCs w:val="18"/>
              </w:rPr>
            </w:pPr>
            <w:r w:rsidRPr="005C5D59">
              <w:rPr>
                <w:rFonts w:ascii="Arial" w:hAnsi="Arial" w:cs="Arial"/>
                <w:b/>
                <w:sz w:val="18"/>
                <w:szCs w:val="18"/>
              </w:rPr>
              <w:t>Issue Blood Component: IRRADIATED</w:t>
            </w:r>
          </w:p>
        </w:tc>
      </w:tr>
      <w:tr w:rsidR="009125FD" w:rsidRPr="005C5D59" w14:paraId="2735C82E" w14:textId="77777777" w:rsidTr="009125FD">
        <w:trPr>
          <w:cantSplit/>
          <w:trHeight w:val="432"/>
          <w:tblHeader/>
        </w:trPr>
        <w:tc>
          <w:tcPr>
            <w:tcW w:w="1692" w:type="dxa"/>
            <w:tcBorders>
              <w:left w:val="single" w:sz="4" w:space="0" w:color="000000"/>
              <w:bottom w:val="single" w:sz="4" w:space="0" w:color="000000"/>
              <w:right w:val="single" w:sz="4" w:space="0" w:color="000000"/>
            </w:tcBorders>
            <w:shd w:val="pct25" w:color="auto" w:fill="auto"/>
            <w:vAlign w:val="bottom"/>
            <w:hideMark/>
          </w:tcPr>
          <w:p w14:paraId="56232B7B"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620" w:type="dxa"/>
            <w:tcBorders>
              <w:left w:val="single" w:sz="4" w:space="0" w:color="000000"/>
              <w:bottom w:val="single" w:sz="4" w:space="0" w:color="000000"/>
              <w:right w:val="single" w:sz="4" w:space="0" w:color="000000"/>
            </w:tcBorders>
            <w:shd w:val="pct25" w:color="auto" w:fill="auto"/>
            <w:vAlign w:val="bottom"/>
            <w:hideMark/>
          </w:tcPr>
          <w:p w14:paraId="1E47F935"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4A3032D5" w14:textId="77777777" w:rsidR="009125FD" w:rsidRPr="005C5D59" w:rsidRDefault="009125FD" w:rsidP="009125FD">
            <w:pP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361AE148" w14:textId="77777777" w:rsidR="009125FD" w:rsidRPr="005C5D59" w:rsidRDefault="009125FD" w:rsidP="009125FD">
            <w:pPr>
              <w:jc w:val="center"/>
              <w:rPr>
                <w:rFonts w:ascii="Arial" w:hAnsi="Arial" w:cs="Arial"/>
                <w:b/>
                <w:sz w:val="18"/>
                <w:szCs w:val="18"/>
              </w:rPr>
            </w:pPr>
            <w:r w:rsidRPr="005C5D59">
              <w:rPr>
                <w:rFonts w:ascii="Arial" w:hAnsi="Arial" w:cs="Arial"/>
                <w:b/>
                <w:sz w:val="18"/>
                <w:szCs w:val="18"/>
              </w:rPr>
              <w:t>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40416112" w14:textId="77777777" w:rsidR="009125FD" w:rsidRPr="005C5D59" w:rsidRDefault="009125FD" w:rsidP="009125FD">
            <w:pPr>
              <w:jc w:val="center"/>
              <w:rPr>
                <w:rFonts w:ascii="Arial" w:hAnsi="Arial" w:cs="Arial"/>
                <w:b/>
                <w:sz w:val="18"/>
                <w:szCs w:val="18"/>
              </w:rPr>
            </w:pPr>
            <w:r>
              <w:rPr>
                <w:rFonts w:ascii="Arial" w:hAnsi="Arial" w:cs="Arial"/>
                <w:b/>
                <w:sz w:val="18"/>
                <w:szCs w:val="18"/>
              </w:rPr>
              <w:t xml:space="preserve">VBECS </w:t>
            </w:r>
            <w:r w:rsidRPr="005C5D59">
              <w:rPr>
                <w:rFonts w:ascii="Arial" w:hAnsi="Arial" w:cs="Arial"/>
                <w:b/>
                <w:sz w:val="18"/>
                <w:szCs w:val="18"/>
              </w:rPr>
              <w:t>Response</w:t>
            </w:r>
          </w:p>
        </w:tc>
      </w:tr>
      <w:tr w:rsidR="009125FD" w:rsidRPr="005C5D59" w14:paraId="27970CA7" w14:textId="77777777" w:rsidTr="009125FD">
        <w:trPr>
          <w:cantSplit/>
          <w:trHeight w:val="284"/>
        </w:trPr>
        <w:tc>
          <w:tcPr>
            <w:tcW w:w="1692" w:type="dxa"/>
            <w:vMerge w:val="restart"/>
            <w:tcBorders>
              <w:top w:val="single" w:sz="4" w:space="0" w:color="000000"/>
              <w:left w:val="single" w:sz="4" w:space="0" w:color="000000"/>
              <w:right w:val="single" w:sz="4" w:space="0" w:color="000000"/>
            </w:tcBorders>
            <w:vAlign w:val="center"/>
            <w:hideMark/>
          </w:tcPr>
          <w:p w14:paraId="554D61FA" w14:textId="77777777" w:rsidR="009125FD" w:rsidRPr="004F6C19" w:rsidRDefault="009125FD" w:rsidP="009125FD">
            <w:pPr>
              <w:jc w:val="center"/>
              <w:rPr>
                <w:rFonts w:ascii="Arial" w:hAnsi="Arial" w:cs="Arial"/>
                <w:b/>
                <w:sz w:val="28"/>
                <w:szCs w:val="28"/>
              </w:rPr>
            </w:pPr>
            <w:r w:rsidRPr="004F6C19">
              <w:rPr>
                <w:rFonts w:ascii="Arial" w:hAnsi="Arial" w:cs="Arial"/>
                <w:b/>
                <w:sz w:val="28"/>
                <w:szCs w:val="28"/>
              </w:rPr>
              <w:t>Irradiate</w:t>
            </w:r>
          </w:p>
          <w:p w14:paraId="14B4A8C9" w14:textId="77777777" w:rsidR="009125FD" w:rsidRPr="004F6C19" w:rsidRDefault="009125FD" w:rsidP="009125FD">
            <w:pPr>
              <w:jc w:val="center"/>
              <w:rPr>
                <w:rFonts w:ascii="Arial" w:hAnsi="Arial" w:cs="Arial"/>
                <w:b/>
                <w:sz w:val="28"/>
                <w:szCs w:val="28"/>
              </w:rPr>
            </w:pPr>
            <w:r w:rsidRPr="004F6C19">
              <w:rPr>
                <w:rFonts w:ascii="Arial" w:hAnsi="Arial" w:cs="Arial"/>
                <w:b/>
                <w:sz w:val="28"/>
                <w:szCs w:val="28"/>
              </w:rPr>
              <w:t xml:space="preserve">Cellular </w:t>
            </w:r>
            <w:r w:rsidRPr="004F6C19">
              <w:rPr>
                <w:rFonts w:ascii="Arial" w:hAnsi="Arial" w:cs="Arial"/>
                <w:b/>
                <w:sz w:val="28"/>
                <w:szCs w:val="28"/>
              </w:rPr>
              <w:br/>
              <w:t>Products</w:t>
            </w:r>
          </w:p>
          <w:p w14:paraId="71BBEF3F" w14:textId="77777777" w:rsidR="009125FD" w:rsidRPr="005C5D59" w:rsidRDefault="009125FD" w:rsidP="009125FD">
            <w:pPr>
              <w:jc w:val="center"/>
              <w:rPr>
                <w:rFonts w:ascii="Arial" w:hAnsi="Arial" w:cs="Arial"/>
                <w:sz w:val="18"/>
                <w:szCs w:val="18"/>
              </w:rPr>
            </w:pPr>
            <w:r w:rsidRPr="004F6C19">
              <w:rPr>
                <w:rFonts w:ascii="Arial" w:hAnsi="Arial" w:cs="Arial"/>
                <w:b/>
                <w:sz w:val="28"/>
                <w:szCs w:val="28"/>
              </w:rPr>
              <w:t>Only</w:t>
            </w:r>
          </w:p>
        </w:tc>
        <w:tc>
          <w:tcPr>
            <w:tcW w:w="1620" w:type="dxa"/>
            <w:tcBorders>
              <w:top w:val="single" w:sz="4" w:space="0" w:color="000000"/>
              <w:left w:val="single" w:sz="4" w:space="0" w:color="000000"/>
              <w:right w:val="single" w:sz="4" w:space="0" w:color="000000"/>
            </w:tcBorders>
            <w:shd w:val="pct10" w:color="auto" w:fill="auto"/>
            <w:vAlign w:val="center"/>
            <w:hideMark/>
          </w:tcPr>
          <w:p w14:paraId="51D647FC"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 xml:space="preserve">RED BLOOD CELLS </w:t>
            </w:r>
          </w:p>
          <w:p w14:paraId="24947161"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 xml:space="preserve">WHOLE BLOOD </w:t>
            </w:r>
          </w:p>
          <w:p w14:paraId="6DCE601D"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PLATELETS</w:t>
            </w:r>
          </w:p>
          <w:p w14:paraId="214A3C7C" w14:textId="77777777" w:rsidR="009125FD" w:rsidRPr="005C5D59" w:rsidRDefault="009125FD" w:rsidP="009125FD">
            <w:pPr>
              <w:spacing w:before="120"/>
              <w:jc w:val="center"/>
              <w:rPr>
                <w:rFonts w:ascii="Arial" w:hAnsi="Arial" w:cs="Arial"/>
                <w:sz w:val="18"/>
                <w:szCs w:val="18"/>
              </w:rPr>
            </w:pPr>
            <w:r w:rsidRPr="005C5D59">
              <w:rPr>
                <w:rFonts w:ascii="Arial" w:hAnsi="Arial" w:cs="Arial"/>
                <w:color w:val="000000"/>
                <w:sz w:val="18"/>
                <w:szCs w:val="18"/>
              </w:rPr>
              <w:t>OTHER</w:t>
            </w:r>
          </w:p>
        </w:tc>
        <w:tc>
          <w:tcPr>
            <w:tcW w:w="1260" w:type="dxa"/>
            <w:tcBorders>
              <w:top w:val="single" w:sz="4" w:space="0" w:color="000000"/>
              <w:left w:val="single" w:sz="4" w:space="0" w:color="000000"/>
              <w:right w:val="single" w:sz="4" w:space="0" w:color="000000"/>
            </w:tcBorders>
            <w:shd w:val="pct10" w:color="auto" w:fill="auto"/>
            <w:vAlign w:val="center"/>
            <w:hideMark/>
          </w:tcPr>
          <w:p w14:paraId="37FF35F1"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Irradiated</w:t>
            </w:r>
          </w:p>
        </w:tc>
        <w:tc>
          <w:tcPr>
            <w:tcW w:w="1620" w:type="dxa"/>
            <w:tcBorders>
              <w:top w:val="single" w:sz="4" w:space="0" w:color="000000"/>
              <w:left w:val="single" w:sz="4" w:space="0" w:color="000000"/>
              <w:right w:val="single" w:sz="4" w:space="0" w:color="000000"/>
            </w:tcBorders>
            <w:shd w:val="pct10" w:color="auto" w:fill="auto"/>
            <w:vAlign w:val="center"/>
            <w:hideMark/>
          </w:tcPr>
          <w:p w14:paraId="54C530AC"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2BE91352"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1A7E6804" w14:textId="77777777" w:rsidTr="009125FD">
        <w:trPr>
          <w:cantSplit/>
          <w:trHeight w:val="1758"/>
        </w:trPr>
        <w:tc>
          <w:tcPr>
            <w:tcW w:w="1692" w:type="dxa"/>
            <w:vMerge/>
            <w:tcBorders>
              <w:left w:val="single" w:sz="4" w:space="0" w:color="000000"/>
              <w:right w:val="single" w:sz="4" w:space="0" w:color="000000"/>
            </w:tcBorders>
            <w:vAlign w:val="bottom"/>
          </w:tcPr>
          <w:p w14:paraId="68CD30AB"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14:paraId="22D0ED56"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 xml:space="preserve">RED BLOOD CELLS </w:t>
            </w:r>
          </w:p>
          <w:p w14:paraId="442DAE38"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WHOLE BLOOD</w:t>
            </w:r>
          </w:p>
          <w:p w14:paraId="27817A1B"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PLATELETS</w:t>
            </w:r>
          </w:p>
          <w:p w14:paraId="2D361688" w14:textId="77777777" w:rsidR="009125FD" w:rsidRPr="005C5D59" w:rsidRDefault="009125FD" w:rsidP="009125FD">
            <w:pPr>
              <w:spacing w:before="120"/>
              <w:jc w:val="center"/>
              <w:rPr>
                <w:rFonts w:ascii="Arial" w:hAnsi="Arial" w:cs="Arial"/>
                <w:sz w:val="18"/>
                <w:szCs w:val="18"/>
              </w:rPr>
            </w:pPr>
            <w:r w:rsidRPr="005C5D59">
              <w:rPr>
                <w:rFonts w:ascii="Arial" w:hAnsi="Arial" w:cs="Arial"/>
                <w:color w:val="000000"/>
                <w:sz w:val="18"/>
                <w:szCs w:val="18"/>
              </w:rPr>
              <w:t>OTHER</w:t>
            </w:r>
          </w:p>
        </w:tc>
        <w:tc>
          <w:tcPr>
            <w:tcW w:w="1260" w:type="dxa"/>
            <w:tcBorders>
              <w:top w:val="single" w:sz="4" w:space="0" w:color="000000"/>
              <w:left w:val="single" w:sz="4" w:space="0" w:color="000000"/>
              <w:right w:val="single" w:sz="4" w:space="0" w:color="000000"/>
            </w:tcBorders>
            <w:vAlign w:val="center"/>
          </w:tcPr>
          <w:p w14:paraId="0F0B2624" w14:textId="77777777" w:rsidR="009125FD" w:rsidRPr="005C5D59" w:rsidRDefault="009125FD" w:rsidP="009125FD">
            <w:pPr>
              <w:jc w:val="center"/>
              <w:rPr>
                <w:rFonts w:ascii="Arial" w:hAnsi="Arial" w:cs="Arial"/>
                <w:color w:val="FF0000"/>
                <w:sz w:val="18"/>
                <w:szCs w:val="18"/>
              </w:rPr>
            </w:pPr>
            <w:r w:rsidRPr="005C5D59">
              <w:rPr>
                <w:rFonts w:ascii="Arial" w:hAnsi="Arial" w:cs="Arial"/>
                <w:b/>
                <w:color w:val="FF0000"/>
                <w:sz w:val="18"/>
                <w:szCs w:val="18"/>
              </w:rPr>
              <w:t>Not Irradiated</w:t>
            </w:r>
          </w:p>
        </w:tc>
        <w:tc>
          <w:tcPr>
            <w:tcW w:w="1620" w:type="dxa"/>
            <w:tcBorders>
              <w:top w:val="single" w:sz="4" w:space="0" w:color="000000"/>
              <w:left w:val="single" w:sz="4" w:space="0" w:color="000000"/>
              <w:right w:val="single" w:sz="4" w:space="0" w:color="000000"/>
            </w:tcBorders>
            <w:vAlign w:val="center"/>
          </w:tcPr>
          <w:p w14:paraId="39C2F88A" w14:textId="77777777" w:rsidR="009125FD" w:rsidRPr="0081278B" w:rsidRDefault="009125FD" w:rsidP="009125FD">
            <w:pPr>
              <w:ind w:left="18"/>
              <w:rPr>
                <w:rFonts w:ascii="Arial" w:hAnsi="Arial" w:cs="Arial"/>
                <w:sz w:val="18"/>
                <w:szCs w:val="18"/>
              </w:rPr>
            </w:pPr>
            <w:r w:rsidRPr="0081278B">
              <w:rPr>
                <w:rFonts w:ascii="Arial" w:hAnsi="Arial" w:cs="Arial"/>
                <w:noProof/>
                <w:sz w:val="18"/>
                <w:szCs w:val="18"/>
              </w:rPr>
              <w:t>Technologist</w:t>
            </w:r>
          </w:p>
          <w:p w14:paraId="07C58839" w14:textId="77777777" w:rsidR="009125FD" w:rsidRPr="00836EE2" w:rsidRDefault="009125FD" w:rsidP="009125FD">
            <w:pPr>
              <w:ind w:left="18"/>
              <w:jc w:val="center"/>
              <w:rPr>
                <w:rFonts w:ascii="Arial" w:hAnsi="Arial" w:cs="Arial"/>
                <w:sz w:val="18"/>
                <w:szCs w:val="18"/>
              </w:rPr>
            </w:pPr>
          </w:p>
          <w:p w14:paraId="4007AE20" w14:textId="77777777" w:rsidR="009125FD" w:rsidRPr="0081278B" w:rsidRDefault="009125FD" w:rsidP="009125FD">
            <w:pPr>
              <w:ind w:left="18"/>
              <w:rPr>
                <w:rFonts w:ascii="Arial" w:hAnsi="Arial" w:cs="Arial"/>
                <w:noProof/>
                <w:sz w:val="18"/>
                <w:szCs w:val="18"/>
              </w:rPr>
            </w:pPr>
            <w:r w:rsidRPr="0081278B">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vAlign w:val="bottom"/>
          </w:tcPr>
          <w:p w14:paraId="01AFDD0B" w14:textId="77777777" w:rsidR="009125FD"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Patient’s Transfusion Requirement is not satisfied.</w:t>
            </w:r>
            <w:r w:rsidRPr="005C5D59">
              <w:rPr>
                <w:rFonts w:ascii="Arial" w:hAnsi="Arial" w:cs="Arial"/>
                <w:sz w:val="18"/>
                <w:szCs w:val="18"/>
              </w:rPr>
              <w:t xml:space="preserve"> </w:t>
            </w:r>
            <w:r w:rsidRPr="007F3B3C">
              <w:rPr>
                <w:rFonts w:ascii="Arial" w:hAnsi="Arial" w:cs="Arial"/>
                <w:i/>
                <w:sz w:val="18"/>
                <w:szCs w:val="18"/>
              </w:rPr>
              <w:t>You do not have the proper security to issue this unit. Further processing is needed and must be documented in VBECS.</w:t>
            </w:r>
            <w:r w:rsidRPr="005C5D59">
              <w:rPr>
                <w:rFonts w:ascii="Arial" w:hAnsi="Arial" w:cs="Arial"/>
                <w:sz w:val="18"/>
                <w:szCs w:val="18"/>
              </w:rPr>
              <w:t xml:space="preserve"> </w:t>
            </w:r>
          </w:p>
          <w:p w14:paraId="52BF9330" w14:textId="77777777" w:rsidR="009125FD" w:rsidRPr="005C5D59" w:rsidRDefault="009125FD" w:rsidP="009125FD">
            <w:pPr>
              <w:rPr>
                <w:rFonts w:ascii="Arial" w:hAnsi="Arial" w:cs="Arial"/>
                <w:sz w:val="18"/>
                <w:szCs w:val="18"/>
              </w:rPr>
            </w:pPr>
            <w:r>
              <w:rPr>
                <w:rFonts w:ascii="Arial" w:hAnsi="Arial" w:cs="Arial"/>
                <w:sz w:val="18"/>
                <w:szCs w:val="18"/>
              </w:rPr>
              <w:t>The tech may not issue this unit in the computer.</w:t>
            </w:r>
          </w:p>
        </w:tc>
      </w:tr>
      <w:tr w:rsidR="009125FD" w:rsidRPr="005C5D59" w14:paraId="54F4FE60" w14:textId="77777777" w:rsidTr="009125FD">
        <w:trPr>
          <w:cantSplit/>
          <w:trHeight w:val="2343"/>
        </w:trPr>
        <w:tc>
          <w:tcPr>
            <w:tcW w:w="1692" w:type="dxa"/>
            <w:vMerge/>
            <w:tcBorders>
              <w:left w:val="single" w:sz="4" w:space="0" w:color="000000"/>
              <w:right w:val="single" w:sz="4" w:space="0" w:color="000000"/>
            </w:tcBorders>
            <w:vAlign w:val="bottom"/>
          </w:tcPr>
          <w:p w14:paraId="7E69282F"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14:paraId="23377EE6"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 xml:space="preserve">RED BLOOD CELLS </w:t>
            </w:r>
          </w:p>
          <w:p w14:paraId="230BFFB8"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WHOLE BLOOD</w:t>
            </w:r>
          </w:p>
          <w:p w14:paraId="1E5DF83C"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PLATELETS</w:t>
            </w:r>
          </w:p>
          <w:p w14:paraId="1608C6BA" w14:textId="77777777" w:rsidR="009125FD" w:rsidRPr="005C5D59" w:rsidRDefault="009125FD" w:rsidP="009125FD">
            <w:pPr>
              <w:spacing w:before="120"/>
              <w:jc w:val="center"/>
              <w:rPr>
                <w:rFonts w:ascii="Arial" w:hAnsi="Arial" w:cs="Arial"/>
                <w:sz w:val="18"/>
                <w:szCs w:val="18"/>
              </w:rPr>
            </w:pPr>
            <w:r w:rsidRPr="005C5D59">
              <w:rPr>
                <w:rFonts w:ascii="Arial" w:hAnsi="Arial" w:cs="Arial"/>
                <w:color w:val="000000"/>
                <w:sz w:val="18"/>
                <w:szCs w:val="18"/>
              </w:rPr>
              <w:t>OTHER</w:t>
            </w:r>
          </w:p>
        </w:tc>
        <w:tc>
          <w:tcPr>
            <w:tcW w:w="1260" w:type="dxa"/>
            <w:tcBorders>
              <w:top w:val="single" w:sz="4" w:space="0" w:color="000000"/>
              <w:left w:val="single" w:sz="4" w:space="0" w:color="000000"/>
              <w:right w:val="single" w:sz="4" w:space="0" w:color="000000"/>
            </w:tcBorders>
            <w:vAlign w:val="center"/>
          </w:tcPr>
          <w:p w14:paraId="69BC987F" w14:textId="77777777" w:rsidR="009125FD" w:rsidRPr="005C5D59" w:rsidRDefault="009125FD" w:rsidP="009125FD">
            <w:pPr>
              <w:jc w:val="center"/>
              <w:rPr>
                <w:rFonts w:ascii="Arial" w:hAnsi="Arial" w:cs="Arial"/>
                <w:color w:val="FF0000"/>
                <w:sz w:val="18"/>
                <w:szCs w:val="18"/>
              </w:rPr>
            </w:pPr>
            <w:r w:rsidRPr="005C5D59">
              <w:rPr>
                <w:rFonts w:ascii="Arial" w:hAnsi="Arial" w:cs="Arial"/>
                <w:b/>
                <w:color w:val="FF0000"/>
                <w:sz w:val="18"/>
                <w:szCs w:val="18"/>
              </w:rPr>
              <w:t>Not Irradiated</w:t>
            </w:r>
          </w:p>
        </w:tc>
        <w:tc>
          <w:tcPr>
            <w:tcW w:w="1620" w:type="dxa"/>
            <w:tcBorders>
              <w:top w:val="single" w:sz="4" w:space="0" w:color="000000"/>
              <w:left w:val="single" w:sz="4" w:space="0" w:color="000000"/>
              <w:right w:val="single" w:sz="4" w:space="0" w:color="000000"/>
            </w:tcBorders>
            <w:vAlign w:val="center"/>
          </w:tcPr>
          <w:p w14:paraId="0333328E" w14:textId="77777777" w:rsidR="009125FD" w:rsidRPr="0081278B" w:rsidRDefault="009125FD" w:rsidP="009125FD">
            <w:pPr>
              <w:spacing w:before="120"/>
              <w:ind w:left="18"/>
              <w:rPr>
                <w:rFonts w:ascii="Arial" w:hAnsi="Arial" w:cs="Arial"/>
                <w:sz w:val="18"/>
                <w:szCs w:val="18"/>
              </w:rPr>
            </w:pPr>
            <w:r w:rsidRPr="0081278B">
              <w:rPr>
                <w:rFonts w:ascii="Arial" w:hAnsi="Arial" w:cs="Arial"/>
                <w:sz w:val="18"/>
                <w:szCs w:val="18"/>
              </w:rPr>
              <w:t>Lead Technologist</w:t>
            </w:r>
          </w:p>
          <w:p w14:paraId="5E273312" w14:textId="77777777" w:rsidR="009125FD" w:rsidRPr="0081278B" w:rsidRDefault="009125FD" w:rsidP="009125FD">
            <w:pPr>
              <w:spacing w:before="120"/>
              <w:ind w:left="18"/>
              <w:rPr>
                <w:rFonts w:ascii="Arial" w:hAnsi="Arial" w:cs="Arial"/>
                <w:sz w:val="18"/>
                <w:szCs w:val="18"/>
              </w:rPr>
            </w:pPr>
            <w:r w:rsidRPr="0081278B">
              <w:rPr>
                <w:rFonts w:ascii="Arial" w:hAnsi="Arial" w:cs="Arial"/>
                <w:sz w:val="18"/>
                <w:szCs w:val="18"/>
              </w:rPr>
              <w:t>Traditional Supervisor</w:t>
            </w:r>
          </w:p>
          <w:p w14:paraId="20DF304E" w14:textId="77777777" w:rsidR="009125FD" w:rsidRPr="0081278B" w:rsidRDefault="009125FD" w:rsidP="009125FD">
            <w:pPr>
              <w:spacing w:before="120"/>
              <w:ind w:left="18"/>
              <w:rPr>
                <w:rFonts w:ascii="Arial" w:hAnsi="Arial" w:cs="Arial"/>
                <w:sz w:val="18"/>
                <w:szCs w:val="18"/>
              </w:rPr>
            </w:pPr>
            <w:r w:rsidRPr="0081278B">
              <w:rPr>
                <w:rFonts w:ascii="Arial" w:hAnsi="Arial" w:cs="Arial"/>
                <w:sz w:val="18"/>
                <w:szCs w:val="18"/>
              </w:rPr>
              <w:t>Enhanced Supervisor</w:t>
            </w:r>
          </w:p>
          <w:p w14:paraId="2D4CE6FF" w14:textId="77777777" w:rsidR="009125FD" w:rsidRPr="0081278B" w:rsidRDefault="009125FD" w:rsidP="009125FD">
            <w:pPr>
              <w:spacing w:before="120"/>
              <w:ind w:left="18"/>
              <w:rPr>
                <w:rFonts w:ascii="Arial" w:hAnsi="Arial" w:cs="Arial"/>
                <w:sz w:val="18"/>
                <w:szCs w:val="18"/>
              </w:rPr>
            </w:pPr>
            <w:r w:rsidRPr="0081278B">
              <w:rPr>
                <w:rFonts w:ascii="Arial" w:hAnsi="Arial" w:cs="Arial"/>
                <w:sz w:val="18"/>
                <w:szCs w:val="18"/>
              </w:rPr>
              <w:t>Administrator/Supervisor</w:t>
            </w:r>
          </w:p>
          <w:p w14:paraId="7A468320" w14:textId="77777777" w:rsidR="009125FD" w:rsidRPr="008B278A" w:rsidRDefault="009125FD" w:rsidP="009125FD">
            <w:pPr>
              <w:ind w:left="18"/>
              <w:rPr>
                <w:rFonts w:ascii="Arial" w:hAnsi="Arial" w:cs="Arial"/>
                <w:sz w:val="18"/>
                <w:szCs w:val="18"/>
              </w:rPr>
            </w:pPr>
          </w:p>
        </w:tc>
        <w:tc>
          <w:tcPr>
            <w:tcW w:w="4050" w:type="dxa"/>
            <w:tcBorders>
              <w:top w:val="single" w:sz="4" w:space="0" w:color="000000"/>
              <w:left w:val="single" w:sz="4" w:space="0" w:color="000000"/>
              <w:right w:val="single" w:sz="4" w:space="0" w:color="000000"/>
            </w:tcBorders>
            <w:vAlign w:val="bottom"/>
          </w:tcPr>
          <w:p w14:paraId="7E214F31" w14:textId="77777777" w:rsidR="009125FD" w:rsidRPr="005C5D59"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Patient’s Irradiate Cellular Products Only Transfusion Requirement is not satisfied</w:t>
            </w:r>
            <w:r w:rsidRPr="005C5D59">
              <w:rPr>
                <w:rFonts w:ascii="Arial" w:hAnsi="Arial" w:cs="Arial"/>
                <w:sz w:val="18"/>
                <w:szCs w:val="18"/>
              </w:rPr>
              <w:t xml:space="preserve"> and prompts the user whether to proceed. </w:t>
            </w:r>
          </w:p>
          <w:p w14:paraId="5EE812A5" w14:textId="77777777" w:rsidR="009125FD" w:rsidRPr="005C5D59" w:rsidRDefault="009125FD" w:rsidP="009125FD">
            <w:pPr>
              <w:rPr>
                <w:rFonts w:ascii="Arial" w:hAnsi="Arial" w:cs="Arial"/>
                <w:sz w:val="18"/>
                <w:szCs w:val="18"/>
              </w:rPr>
            </w:pPr>
            <w:r w:rsidRPr="005C5D59">
              <w:rPr>
                <w:rFonts w:ascii="Arial" w:hAnsi="Arial" w:cs="Arial"/>
                <w:sz w:val="18"/>
                <w:szCs w:val="18"/>
              </w:rPr>
              <w:t>If the user responds “No”</w:t>
            </w:r>
            <w:r>
              <w:rPr>
                <w:rFonts w:ascii="Arial" w:hAnsi="Arial" w:cs="Arial"/>
                <w:sz w:val="18"/>
                <w:szCs w:val="18"/>
              </w:rPr>
              <w:t>,</w:t>
            </w:r>
            <w:r w:rsidRPr="005C5D59">
              <w:rPr>
                <w:rFonts w:ascii="Arial" w:hAnsi="Arial" w:cs="Arial"/>
                <w:sz w:val="18"/>
                <w:szCs w:val="18"/>
              </w:rPr>
              <w:t xml:space="preserve"> the system wi</w:t>
            </w:r>
            <w:r>
              <w:rPr>
                <w:rFonts w:ascii="Arial" w:hAnsi="Arial" w:cs="Arial"/>
                <w:sz w:val="18"/>
                <w:szCs w:val="18"/>
              </w:rPr>
              <w:t>ll clear the selected unit.</w:t>
            </w:r>
          </w:p>
          <w:p w14:paraId="082029EC" w14:textId="33F7E9F4" w:rsidR="009125FD" w:rsidRPr="005C5D59" w:rsidRDefault="009125FD" w:rsidP="009125FD">
            <w:pPr>
              <w:rPr>
                <w:rFonts w:ascii="Arial" w:hAnsi="Arial" w:cs="Arial"/>
                <w:sz w:val="18"/>
                <w:szCs w:val="18"/>
              </w:rPr>
            </w:pPr>
            <w:r w:rsidRPr="005C5D59">
              <w:rPr>
                <w:rFonts w:ascii="Arial" w:hAnsi="Arial" w:cs="Arial"/>
                <w:sz w:val="18"/>
                <w:szCs w:val="18"/>
              </w:rPr>
              <w:t>If the user responds “Yes”</w:t>
            </w:r>
            <w:r>
              <w:rPr>
                <w:rFonts w:ascii="Arial" w:hAnsi="Arial" w:cs="Arial"/>
                <w:sz w:val="18"/>
                <w:szCs w:val="18"/>
              </w:rPr>
              <w:t>,</w:t>
            </w:r>
            <w:r w:rsidRPr="005C5D59">
              <w:rPr>
                <w:rFonts w:ascii="Arial" w:hAnsi="Arial" w:cs="Arial"/>
                <w:sz w:val="18"/>
                <w:szCs w:val="18"/>
              </w:rPr>
              <w:t xml:space="preserve"> the system will require a comment (free text or canned, “unit issue” context) and capture the transacti</w:t>
            </w:r>
            <w:r>
              <w:rPr>
                <w:rFonts w:ascii="Arial" w:hAnsi="Arial" w:cs="Arial"/>
                <w:sz w:val="18"/>
                <w:szCs w:val="18"/>
              </w:rPr>
              <w:t xml:space="preserve">on details for </w:t>
            </w:r>
            <w:r w:rsidR="00AE3B37">
              <w:rPr>
                <w:rFonts w:ascii="Arial" w:hAnsi="Arial" w:cs="Arial"/>
                <w:sz w:val="18"/>
                <w:szCs w:val="18"/>
              </w:rPr>
              <w:t>inclusion in</w:t>
            </w:r>
            <w:r>
              <w:rPr>
                <w:rFonts w:ascii="Arial" w:hAnsi="Arial" w:cs="Arial"/>
                <w:sz w:val="18"/>
                <w:szCs w:val="18"/>
              </w:rPr>
              <w:t xml:space="preserve"> an Exception R</w:t>
            </w:r>
            <w:r w:rsidRPr="005C5D59">
              <w:rPr>
                <w:rFonts w:ascii="Arial" w:hAnsi="Arial" w:cs="Arial"/>
                <w:sz w:val="18"/>
                <w:szCs w:val="18"/>
              </w:rPr>
              <w:t>eport</w:t>
            </w:r>
            <w:r>
              <w:rPr>
                <w:rFonts w:ascii="Arial" w:hAnsi="Arial" w:cs="Arial"/>
                <w:sz w:val="18"/>
                <w:szCs w:val="18"/>
              </w:rPr>
              <w:t xml:space="preserve"> entry</w:t>
            </w:r>
            <w:r w:rsidRPr="005C5D59">
              <w:rPr>
                <w:rFonts w:ascii="Arial" w:hAnsi="Arial" w:cs="Arial"/>
                <w:sz w:val="18"/>
                <w:szCs w:val="18"/>
              </w:rPr>
              <w:t xml:space="preserve">: </w:t>
            </w:r>
            <w:r w:rsidRPr="005C5D59">
              <w:rPr>
                <w:rFonts w:ascii="Arial" w:hAnsi="Arial" w:cs="Arial"/>
                <w:i/>
                <w:sz w:val="18"/>
                <w:szCs w:val="18"/>
              </w:rPr>
              <w:t>Unit issued with unsatisfied Transfusion Requirement</w:t>
            </w:r>
            <w:r>
              <w:rPr>
                <w:rFonts w:ascii="Arial" w:hAnsi="Arial" w:cs="Arial"/>
                <w:sz w:val="18"/>
                <w:szCs w:val="18"/>
              </w:rPr>
              <w:t>.</w:t>
            </w:r>
          </w:p>
        </w:tc>
      </w:tr>
    </w:tbl>
    <w:p w14:paraId="55CF9931" w14:textId="77777777" w:rsidR="009125FD" w:rsidRPr="000B5AC8" w:rsidRDefault="009125FD" w:rsidP="009125FD"/>
    <w:p w14:paraId="1834D15B" w14:textId="60CBA025" w:rsidR="00C15299" w:rsidRDefault="009125FD" w:rsidP="00C15299">
      <w:pPr>
        <w:pStyle w:val="Caption"/>
      </w:pPr>
      <w:r>
        <w:br w:type="page"/>
      </w:r>
      <w:bookmarkStart w:id="831" w:name="_Ref407612076"/>
      <w:bookmarkStart w:id="832" w:name="_Ref343502457"/>
      <w:r w:rsidR="00C15299">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164</w:t>
      </w:r>
      <w:r w:rsidR="004E20BD">
        <w:rPr>
          <w:noProof/>
        </w:rPr>
        <w:fldChar w:fldCharType="end"/>
      </w:r>
      <w:bookmarkEnd w:id="831"/>
      <w:r w:rsidR="00C15299">
        <w:t>: Leuko-reduce Cellular Products and Select Blood Unit</w:t>
      </w:r>
      <w:bookmarkEnd w:id="832"/>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692"/>
        <w:gridCol w:w="1620"/>
        <w:gridCol w:w="1260"/>
        <w:gridCol w:w="1620"/>
        <w:gridCol w:w="4050"/>
      </w:tblGrid>
      <w:tr w:rsidR="009125FD" w:rsidRPr="005C5D59" w14:paraId="4F9CBE01" w14:textId="77777777" w:rsidTr="009125FD">
        <w:trPr>
          <w:cantSplit/>
          <w:trHeight w:val="305"/>
          <w:tblHeader/>
        </w:trPr>
        <w:tc>
          <w:tcPr>
            <w:tcW w:w="10242" w:type="dxa"/>
            <w:gridSpan w:val="5"/>
            <w:tcBorders>
              <w:top w:val="single" w:sz="4" w:space="0" w:color="000000"/>
              <w:left w:val="single" w:sz="4" w:space="0" w:color="000000"/>
              <w:right w:val="single" w:sz="4" w:space="0" w:color="000000"/>
            </w:tcBorders>
            <w:shd w:val="pct25" w:color="auto" w:fill="auto"/>
            <w:vAlign w:val="bottom"/>
            <w:hideMark/>
          </w:tcPr>
          <w:p w14:paraId="3D5060C2"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Select Unit: </w:t>
            </w:r>
            <w:r w:rsidRPr="00996892">
              <w:rPr>
                <w:rFonts w:ascii="Arial" w:hAnsi="Arial" w:cs="Arial"/>
                <w:b/>
                <w:sz w:val="18"/>
                <w:szCs w:val="18"/>
              </w:rPr>
              <w:t>Leuko-reduce</w:t>
            </w:r>
            <w:r>
              <w:rPr>
                <w:rFonts w:ascii="Arial" w:hAnsi="Arial" w:cs="Arial"/>
                <w:b/>
                <w:sz w:val="18"/>
                <w:szCs w:val="18"/>
              </w:rPr>
              <w:t xml:space="preserve"> Cellular Products</w:t>
            </w:r>
          </w:p>
        </w:tc>
      </w:tr>
      <w:tr w:rsidR="009125FD" w:rsidRPr="005C5D59" w14:paraId="35BE6EA8" w14:textId="77777777" w:rsidTr="009125FD">
        <w:trPr>
          <w:cantSplit/>
          <w:trHeight w:val="432"/>
          <w:tblHeader/>
        </w:trPr>
        <w:tc>
          <w:tcPr>
            <w:tcW w:w="1692" w:type="dxa"/>
            <w:tcBorders>
              <w:left w:val="single" w:sz="4" w:space="0" w:color="000000"/>
              <w:bottom w:val="single" w:sz="4" w:space="0" w:color="000000"/>
              <w:right w:val="single" w:sz="4" w:space="0" w:color="000000"/>
            </w:tcBorders>
            <w:shd w:val="pct25" w:color="auto" w:fill="auto"/>
            <w:vAlign w:val="bottom"/>
            <w:hideMark/>
          </w:tcPr>
          <w:p w14:paraId="4B3209CC"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620" w:type="dxa"/>
            <w:tcBorders>
              <w:left w:val="single" w:sz="4" w:space="0" w:color="000000"/>
              <w:bottom w:val="single" w:sz="4" w:space="0" w:color="000000"/>
              <w:right w:val="single" w:sz="4" w:space="0" w:color="000000"/>
            </w:tcBorders>
            <w:shd w:val="pct25" w:color="auto" w:fill="auto"/>
            <w:vAlign w:val="bottom"/>
            <w:hideMark/>
          </w:tcPr>
          <w:p w14:paraId="59AEC45B"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20AFAA75" w14:textId="77777777" w:rsidR="009125FD" w:rsidRPr="005C5D59" w:rsidRDefault="009125FD" w:rsidP="009125FD">
            <w:pPr>
              <w:jc w:val="cente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0E2B045A" w14:textId="77777777" w:rsidR="009125FD" w:rsidRPr="005C5D59" w:rsidRDefault="009125FD" w:rsidP="009125FD">
            <w:pPr>
              <w:jc w:val="center"/>
              <w:rPr>
                <w:rFonts w:ascii="Arial" w:hAnsi="Arial" w:cs="Arial"/>
                <w:b/>
                <w:sz w:val="18"/>
                <w:szCs w:val="18"/>
              </w:rPr>
            </w:pPr>
            <w:r w:rsidRPr="005C5D59">
              <w:rPr>
                <w:rFonts w:ascii="Arial" w:hAnsi="Arial" w:cs="Arial"/>
                <w:b/>
                <w:sz w:val="18"/>
                <w:szCs w:val="18"/>
              </w:rPr>
              <w:t>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2352ACDD" w14:textId="77777777" w:rsidR="009125FD" w:rsidRPr="005C5D59" w:rsidRDefault="009125FD" w:rsidP="009125FD">
            <w:pPr>
              <w:jc w:val="center"/>
              <w:rPr>
                <w:rFonts w:ascii="Arial" w:hAnsi="Arial" w:cs="Arial"/>
                <w:b/>
                <w:sz w:val="18"/>
                <w:szCs w:val="18"/>
              </w:rPr>
            </w:pPr>
            <w:r>
              <w:rPr>
                <w:rFonts w:ascii="Arial" w:hAnsi="Arial" w:cs="Arial"/>
                <w:b/>
                <w:sz w:val="18"/>
                <w:szCs w:val="18"/>
              </w:rPr>
              <w:t xml:space="preserve">VBECS </w:t>
            </w:r>
            <w:r w:rsidRPr="005C5D59">
              <w:rPr>
                <w:rFonts w:ascii="Arial" w:hAnsi="Arial" w:cs="Arial"/>
                <w:b/>
                <w:sz w:val="18"/>
                <w:szCs w:val="18"/>
              </w:rPr>
              <w:t>Response</w:t>
            </w:r>
          </w:p>
        </w:tc>
      </w:tr>
      <w:tr w:rsidR="009125FD" w:rsidRPr="005C5D59" w14:paraId="435C6CE1" w14:textId="77777777" w:rsidTr="009125FD">
        <w:trPr>
          <w:cantSplit/>
          <w:trHeight w:val="284"/>
        </w:trPr>
        <w:tc>
          <w:tcPr>
            <w:tcW w:w="1692" w:type="dxa"/>
            <w:vMerge w:val="restart"/>
            <w:tcBorders>
              <w:top w:val="single" w:sz="4" w:space="0" w:color="000000"/>
              <w:left w:val="single" w:sz="4" w:space="0" w:color="000000"/>
              <w:right w:val="single" w:sz="4" w:space="0" w:color="000000"/>
            </w:tcBorders>
            <w:vAlign w:val="center"/>
            <w:hideMark/>
          </w:tcPr>
          <w:p w14:paraId="65A7EABC" w14:textId="77777777" w:rsidR="009125FD" w:rsidRPr="00A92752" w:rsidRDefault="009125FD" w:rsidP="009125FD">
            <w:pPr>
              <w:jc w:val="center"/>
              <w:rPr>
                <w:rFonts w:ascii="Arial" w:hAnsi="Arial" w:cs="Arial"/>
                <w:b/>
                <w:sz w:val="28"/>
                <w:szCs w:val="28"/>
              </w:rPr>
            </w:pPr>
            <w:r w:rsidRPr="00A92752">
              <w:rPr>
                <w:rFonts w:ascii="Arial" w:hAnsi="Arial" w:cs="Arial"/>
                <w:b/>
                <w:sz w:val="28"/>
                <w:szCs w:val="28"/>
              </w:rPr>
              <w:t>Leuko-reduce Cellular Products</w:t>
            </w:r>
          </w:p>
        </w:tc>
        <w:tc>
          <w:tcPr>
            <w:tcW w:w="1620" w:type="dxa"/>
            <w:tcBorders>
              <w:top w:val="single" w:sz="4" w:space="0" w:color="000000"/>
              <w:left w:val="single" w:sz="4" w:space="0" w:color="000000"/>
              <w:right w:val="single" w:sz="4" w:space="0" w:color="000000"/>
            </w:tcBorders>
            <w:shd w:val="pct10" w:color="auto" w:fill="auto"/>
            <w:vAlign w:val="center"/>
            <w:hideMark/>
          </w:tcPr>
          <w:p w14:paraId="75E527FA" w14:textId="77777777" w:rsidR="009125FD" w:rsidRPr="00052726" w:rsidRDefault="009125FD" w:rsidP="009125FD">
            <w:pPr>
              <w:jc w:val="center"/>
              <w:rPr>
                <w:rFonts w:ascii="Arial" w:hAnsi="Arial" w:cs="Arial"/>
                <w:sz w:val="18"/>
                <w:szCs w:val="18"/>
              </w:rPr>
            </w:pPr>
            <w:r w:rsidRPr="00052726">
              <w:rPr>
                <w:rFonts w:ascii="Arial" w:hAnsi="Arial" w:cs="Arial"/>
                <w:sz w:val="18"/>
                <w:szCs w:val="18"/>
              </w:rPr>
              <w:t xml:space="preserve">RED BLOOD CELLS   </w:t>
            </w:r>
          </w:p>
          <w:p w14:paraId="733BA16C" w14:textId="77777777" w:rsidR="009125FD" w:rsidRPr="00052726" w:rsidRDefault="009125FD" w:rsidP="009125FD">
            <w:pPr>
              <w:spacing w:before="120"/>
              <w:jc w:val="center"/>
              <w:rPr>
                <w:rFonts w:ascii="Arial" w:hAnsi="Arial" w:cs="Arial"/>
                <w:sz w:val="18"/>
                <w:szCs w:val="18"/>
              </w:rPr>
            </w:pPr>
            <w:r w:rsidRPr="00052726">
              <w:rPr>
                <w:rFonts w:ascii="Arial" w:hAnsi="Arial" w:cs="Arial"/>
                <w:sz w:val="18"/>
                <w:szCs w:val="18"/>
              </w:rPr>
              <w:t>WHOLE BLOOD</w:t>
            </w:r>
          </w:p>
          <w:p w14:paraId="51AC92F6" w14:textId="77777777" w:rsidR="009125FD" w:rsidRPr="00052726" w:rsidRDefault="009125FD" w:rsidP="009125FD">
            <w:pPr>
              <w:spacing w:before="120"/>
              <w:jc w:val="center"/>
              <w:rPr>
                <w:rFonts w:ascii="Arial" w:hAnsi="Arial" w:cs="Arial"/>
                <w:sz w:val="18"/>
                <w:szCs w:val="18"/>
              </w:rPr>
            </w:pPr>
            <w:r w:rsidRPr="00052726">
              <w:rPr>
                <w:rFonts w:ascii="Arial" w:hAnsi="Arial" w:cs="Arial"/>
                <w:sz w:val="18"/>
                <w:szCs w:val="18"/>
              </w:rPr>
              <w:t xml:space="preserve"> PLATELETS</w:t>
            </w:r>
          </w:p>
        </w:tc>
        <w:tc>
          <w:tcPr>
            <w:tcW w:w="1260" w:type="dxa"/>
            <w:tcBorders>
              <w:top w:val="single" w:sz="4" w:space="0" w:color="000000"/>
              <w:left w:val="single" w:sz="4" w:space="0" w:color="000000"/>
              <w:right w:val="single" w:sz="4" w:space="0" w:color="000000"/>
            </w:tcBorders>
            <w:shd w:val="pct10" w:color="auto" w:fill="auto"/>
            <w:vAlign w:val="center"/>
            <w:hideMark/>
          </w:tcPr>
          <w:p w14:paraId="648EC267" w14:textId="77777777" w:rsidR="009125FD" w:rsidRPr="00052726" w:rsidRDefault="009125FD" w:rsidP="009125FD">
            <w:pPr>
              <w:jc w:val="center"/>
              <w:rPr>
                <w:rFonts w:ascii="Arial" w:hAnsi="Arial" w:cs="Arial"/>
                <w:b/>
                <w:sz w:val="18"/>
                <w:szCs w:val="18"/>
              </w:rPr>
            </w:pPr>
            <w:r w:rsidRPr="00052726">
              <w:rPr>
                <w:rFonts w:ascii="Arial" w:hAnsi="Arial" w:cs="Arial"/>
                <w:sz w:val="18"/>
                <w:szCs w:val="18"/>
              </w:rPr>
              <w:t>Leuko-reduced</w:t>
            </w:r>
          </w:p>
        </w:tc>
        <w:tc>
          <w:tcPr>
            <w:tcW w:w="1620" w:type="dxa"/>
            <w:tcBorders>
              <w:top w:val="single" w:sz="4" w:space="0" w:color="000000"/>
              <w:left w:val="single" w:sz="4" w:space="0" w:color="000000"/>
              <w:right w:val="single" w:sz="4" w:space="0" w:color="000000"/>
            </w:tcBorders>
            <w:shd w:val="pct10" w:color="auto" w:fill="auto"/>
            <w:vAlign w:val="center"/>
            <w:hideMark/>
          </w:tcPr>
          <w:p w14:paraId="53C4DDDB" w14:textId="77777777" w:rsidR="009125FD" w:rsidRPr="00052726" w:rsidRDefault="009125FD" w:rsidP="009125FD">
            <w:pPr>
              <w:jc w:val="center"/>
              <w:rPr>
                <w:rFonts w:ascii="Arial" w:hAnsi="Arial" w:cs="Arial"/>
                <w:sz w:val="18"/>
                <w:szCs w:val="18"/>
              </w:rPr>
            </w:pPr>
            <w:r w:rsidRPr="00052726">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427FFEBD" w14:textId="77777777" w:rsidR="009125FD" w:rsidRPr="00052726" w:rsidRDefault="009125FD" w:rsidP="009125FD">
            <w:pPr>
              <w:jc w:val="center"/>
              <w:rPr>
                <w:rFonts w:ascii="Arial" w:hAnsi="Arial" w:cs="Arial"/>
                <w:sz w:val="18"/>
                <w:szCs w:val="18"/>
              </w:rPr>
            </w:pPr>
            <w:r w:rsidRPr="00052726">
              <w:rPr>
                <w:rFonts w:ascii="Arial" w:hAnsi="Arial" w:cs="Arial"/>
                <w:sz w:val="18"/>
                <w:szCs w:val="18"/>
              </w:rPr>
              <w:t>No warning message will display.</w:t>
            </w:r>
          </w:p>
        </w:tc>
      </w:tr>
      <w:tr w:rsidR="009125FD" w:rsidRPr="005C5D59" w14:paraId="01AB8FF7" w14:textId="77777777" w:rsidTr="009125FD">
        <w:trPr>
          <w:cantSplit/>
          <w:trHeight w:val="1983"/>
        </w:trPr>
        <w:tc>
          <w:tcPr>
            <w:tcW w:w="1692" w:type="dxa"/>
            <w:vMerge/>
            <w:tcBorders>
              <w:left w:val="single" w:sz="4" w:space="0" w:color="000000"/>
              <w:right w:val="single" w:sz="4" w:space="0" w:color="000000"/>
            </w:tcBorders>
            <w:vAlign w:val="bottom"/>
          </w:tcPr>
          <w:p w14:paraId="4BC9D3DF"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14:paraId="18D1ED94" w14:textId="77777777" w:rsidR="009125FD" w:rsidRPr="00052726" w:rsidRDefault="009125FD" w:rsidP="009125FD">
            <w:pPr>
              <w:jc w:val="center"/>
              <w:rPr>
                <w:rFonts w:ascii="Arial" w:hAnsi="Arial" w:cs="Arial"/>
                <w:sz w:val="18"/>
                <w:szCs w:val="18"/>
              </w:rPr>
            </w:pPr>
            <w:r w:rsidRPr="00052726">
              <w:rPr>
                <w:rFonts w:ascii="Arial" w:hAnsi="Arial" w:cs="Arial"/>
                <w:sz w:val="18"/>
                <w:szCs w:val="18"/>
              </w:rPr>
              <w:t>RED BLOOD CELLS</w:t>
            </w:r>
          </w:p>
          <w:p w14:paraId="4893F8E4" w14:textId="77777777" w:rsidR="009125FD" w:rsidRPr="00052726" w:rsidRDefault="009125FD" w:rsidP="009125FD">
            <w:pPr>
              <w:spacing w:before="120"/>
              <w:jc w:val="center"/>
              <w:rPr>
                <w:rFonts w:ascii="Arial" w:hAnsi="Arial" w:cs="Arial"/>
                <w:sz w:val="18"/>
                <w:szCs w:val="18"/>
              </w:rPr>
            </w:pPr>
            <w:r w:rsidRPr="00052726">
              <w:rPr>
                <w:rFonts w:ascii="Arial" w:hAnsi="Arial" w:cs="Arial"/>
                <w:sz w:val="18"/>
                <w:szCs w:val="18"/>
              </w:rPr>
              <w:t>WHOLE BLOOD</w:t>
            </w:r>
          </w:p>
          <w:p w14:paraId="6FC03085" w14:textId="77777777" w:rsidR="009125FD" w:rsidRPr="00052726" w:rsidRDefault="009125FD" w:rsidP="009125FD">
            <w:pPr>
              <w:spacing w:before="120"/>
              <w:jc w:val="center"/>
              <w:rPr>
                <w:rFonts w:ascii="Arial" w:hAnsi="Arial" w:cs="Arial"/>
                <w:sz w:val="18"/>
                <w:szCs w:val="18"/>
              </w:rPr>
            </w:pPr>
            <w:r w:rsidRPr="00052726">
              <w:rPr>
                <w:rFonts w:ascii="Arial" w:hAnsi="Arial" w:cs="Arial"/>
                <w:sz w:val="18"/>
                <w:szCs w:val="18"/>
              </w:rPr>
              <w:t>PLATELETS</w:t>
            </w:r>
          </w:p>
        </w:tc>
        <w:tc>
          <w:tcPr>
            <w:tcW w:w="1260" w:type="dxa"/>
            <w:tcBorders>
              <w:top w:val="single" w:sz="4" w:space="0" w:color="000000"/>
              <w:left w:val="single" w:sz="4" w:space="0" w:color="000000"/>
              <w:right w:val="single" w:sz="4" w:space="0" w:color="000000"/>
            </w:tcBorders>
            <w:vAlign w:val="center"/>
          </w:tcPr>
          <w:p w14:paraId="3B125B86" w14:textId="77777777" w:rsidR="009125FD" w:rsidRPr="00052726" w:rsidRDefault="009125FD" w:rsidP="009125FD">
            <w:pPr>
              <w:jc w:val="center"/>
              <w:rPr>
                <w:rFonts w:ascii="Arial" w:hAnsi="Arial" w:cs="Arial"/>
                <w:b/>
                <w:color w:val="FF0000"/>
                <w:sz w:val="18"/>
                <w:szCs w:val="18"/>
              </w:rPr>
            </w:pPr>
            <w:r w:rsidRPr="00052726">
              <w:rPr>
                <w:rFonts w:ascii="Arial" w:hAnsi="Arial" w:cs="Arial"/>
                <w:b/>
                <w:color w:val="FF0000"/>
                <w:sz w:val="18"/>
                <w:szCs w:val="18"/>
              </w:rPr>
              <w:t>Not  Leuko-reduced</w:t>
            </w:r>
          </w:p>
          <w:p w14:paraId="4A4DEB3C" w14:textId="77777777" w:rsidR="009125FD" w:rsidRPr="00052726" w:rsidRDefault="009125FD" w:rsidP="009125FD">
            <w:pPr>
              <w:rPr>
                <w:rFonts w:ascii="Arial" w:hAnsi="Arial" w:cs="Arial"/>
                <w:b/>
                <w:color w:val="FF0000"/>
                <w:sz w:val="18"/>
                <w:szCs w:val="18"/>
              </w:rPr>
            </w:pPr>
          </w:p>
        </w:tc>
        <w:tc>
          <w:tcPr>
            <w:tcW w:w="1620" w:type="dxa"/>
            <w:tcBorders>
              <w:top w:val="single" w:sz="4" w:space="0" w:color="000000"/>
              <w:left w:val="single" w:sz="4" w:space="0" w:color="000000"/>
              <w:right w:val="single" w:sz="4" w:space="0" w:color="000000"/>
            </w:tcBorders>
            <w:vAlign w:val="center"/>
          </w:tcPr>
          <w:p w14:paraId="2A46488C" w14:textId="77777777" w:rsidR="009125FD" w:rsidRPr="00052726" w:rsidRDefault="009125FD" w:rsidP="009125FD">
            <w:pPr>
              <w:jc w:val="center"/>
              <w:rPr>
                <w:rFonts w:ascii="Arial" w:hAnsi="Arial" w:cs="Arial"/>
                <w:sz w:val="18"/>
                <w:szCs w:val="18"/>
              </w:rPr>
            </w:pPr>
            <w:r w:rsidRPr="00052726">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vAlign w:val="bottom"/>
          </w:tcPr>
          <w:p w14:paraId="6559DDFA" w14:textId="77777777" w:rsidR="009125FD" w:rsidRPr="00052726" w:rsidRDefault="009125FD" w:rsidP="009125FD">
            <w:pPr>
              <w:pStyle w:val="TableText"/>
              <w:spacing w:before="120"/>
              <w:rPr>
                <w:rStyle w:val="StyleTableText9ptCharChar"/>
                <w:rFonts w:cs="Arial"/>
                <w:i/>
                <w:szCs w:val="18"/>
              </w:rPr>
            </w:pPr>
            <w:r w:rsidRPr="00052726">
              <w:rPr>
                <w:rStyle w:val="StyleTableText9ptCharChar"/>
                <w:rFonts w:cs="Arial"/>
                <w:szCs w:val="18"/>
              </w:rPr>
              <w:t xml:space="preserve">The Transfusion Requirement is not satisfied; the system emits an audible alert and displays a warning message: </w:t>
            </w:r>
            <w:r w:rsidRPr="00052726">
              <w:rPr>
                <w:rStyle w:val="StyleTableText9ptCharChar"/>
                <w:rFonts w:cs="Arial"/>
                <w:i/>
                <w:szCs w:val="18"/>
              </w:rPr>
              <w:t>This unit does not currently satisfy all of the patient’s Transfusion Requirements. Further processing is needed. Continue to select this unit?</w:t>
            </w:r>
          </w:p>
          <w:p w14:paraId="43A5A5B9" w14:textId="77777777" w:rsidR="009125FD" w:rsidRPr="00052726" w:rsidRDefault="009125FD" w:rsidP="009125FD">
            <w:pPr>
              <w:pStyle w:val="TableText"/>
              <w:rPr>
                <w:rStyle w:val="StyleTableText9ptCharChar"/>
                <w:rFonts w:cs="Arial"/>
                <w:szCs w:val="18"/>
              </w:rPr>
            </w:pPr>
            <w:r w:rsidRPr="00052726">
              <w:rPr>
                <w:rStyle w:val="StyleTableText9ptCharChar"/>
                <w:rFonts w:cs="Arial"/>
                <w:szCs w:val="18"/>
              </w:rPr>
              <w:t>If the user clicks “No,” the screen is cleared.</w:t>
            </w:r>
          </w:p>
          <w:p w14:paraId="44D3853F" w14:textId="77777777" w:rsidR="009125FD" w:rsidRPr="00052726" w:rsidRDefault="009125FD" w:rsidP="009125FD">
            <w:pPr>
              <w:pStyle w:val="TableText"/>
              <w:rPr>
                <w:rFonts w:cs="Arial"/>
                <w:noProof/>
                <w:szCs w:val="18"/>
              </w:rPr>
            </w:pPr>
            <w:r w:rsidRPr="00052726">
              <w:rPr>
                <w:rStyle w:val="StyleTableText9ptCharChar"/>
                <w:rFonts w:cs="Arial"/>
                <w:szCs w:val="18"/>
              </w:rPr>
              <w:t>If the user clicks “Yes,” selection can continue to select the unit.</w:t>
            </w:r>
          </w:p>
        </w:tc>
      </w:tr>
    </w:tbl>
    <w:p w14:paraId="2DBEB48C" w14:textId="77777777" w:rsidR="009125FD" w:rsidRDefault="009125FD" w:rsidP="009125FD">
      <w:pPr>
        <w:spacing w:after="200" w:line="276" w:lineRule="auto"/>
        <w:rPr>
          <w:b/>
          <w:bCs/>
          <w:sz w:val="18"/>
          <w:szCs w:val="18"/>
        </w:rPr>
      </w:pPr>
    </w:p>
    <w:p w14:paraId="08213316" w14:textId="294D14D4" w:rsidR="00C15299" w:rsidRDefault="00C15299" w:rsidP="00C15299">
      <w:pPr>
        <w:pStyle w:val="Caption"/>
      </w:pPr>
      <w:bookmarkStart w:id="833" w:name="_Ref407612094"/>
      <w:bookmarkStart w:id="834" w:name="_Ref343502482"/>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165</w:t>
      </w:r>
      <w:r w:rsidR="004E20BD">
        <w:rPr>
          <w:noProof/>
        </w:rPr>
        <w:fldChar w:fldCharType="end"/>
      </w:r>
      <w:bookmarkEnd w:id="833"/>
      <w:r>
        <w:t>: Leuko-reduce Cellular Products and Issue Blood Component</w:t>
      </w:r>
      <w:bookmarkEnd w:id="834"/>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692"/>
        <w:gridCol w:w="1620"/>
        <w:gridCol w:w="1260"/>
        <w:gridCol w:w="1620"/>
        <w:gridCol w:w="4050"/>
      </w:tblGrid>
      <w:tr w:rsidR="009125FD" w:rsidRPr="005C5D59" w14:paraId="4024AAEA" w14:textId="77777777" w:rsidTr="009125FD">
        <w:trPr>
          <w:cantSplit/>
          <w:trHeight w:val="432"/>
          <w:tblHeader/>
        </w:trPr>
        <w:tc>
          <w:tcPr>
            <w:tcW w:w="10242" w:type="dxa"/>
            <w:gridSpan w:val="5"/>
            <w:tcBorders>
              <w:left w:val="single" w:sz="4" w:space="0" w:color="000000"/>
              <w:bottom w:val="single" w:sz="4" w:space="0" w:color="000000"/>
              <w:right w:val="single" w:sz="4" w:space="0" w:color="000000"/>
            </w:tcBorders>
            <w:shd w:val="pct25" w:color="auto" w:fill="auto"/>
            <w:vAlign w:val="bottom"/>
          </w:tcPr>
          <w:p w14:paraId="7CB17D66"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Issue Blood Component: </w:t>
            </w:r>
            <w:r w:rsidRPr="00871BF2">
              <w:rPr>
                <w:rFonts w:ascii="Arial" w:hAnsi="Arial" w:cs="Arial"/>
                <w:b/>
                <w:sz w:val="20"/>
                <w:szCs w:val="20"/>
              </w:rPr>
              <w:t>Leuko-reduce Cellular Products</w:t>
            </w:r>
          </w:p>
        </w:tc>
      </w:tr>
      <w:tr w:rsidR="009125FD" w:rsidRPr="005C5D59" w14:paraId="1F028434" w14:textId="77777777" w:rsidTr="009125FD">
        <w:trPr>
          <w:cantSplit/>
          <w:trHeight w:val="432"/>
          <w:tblHeader/>
        </w:trPr>
        <w:tc>
          <w:tcPr>
            <w:tcW w:w="1692" w:type="dxa"/>
            <w:tcBorders>
              <w:left w:val="single" w:sz="4" w:space="0" w:color="000000"/>
              <w:bottom w:val="single" w:sz="4" w:space="0" w:color="000000"/>
              <w:right w:val="single" w:sz="4" w:space="0" w:color="000000"/>
            </w:tcBorders>
            <w:shd w:val="pct25" w:color="auto" w:fill="auto"/>
            <w:vAlign w:val="bottom"/>
            <w:hideMark/>
          </w:tcPr>
          <w:p w14:paraId="59BDAC65"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620" w:type="dxa"/>
            <w:tcBorders>
              <w:left w:val="single" w:sz="4" w:space="0" w:color="000000"/>
              <w:bottom w:val="single" w:sz="4" w:space="0" w:color="000000"/>
              <w:right w:val="single" w:sz="4" w:space="0" w:color="000000"/>
            </w:tcBorders>
            <w:shd w:val="pct25" w:color="auto" w:fill="auto"/>
            <w:vAlign w:val="bottom"/>
            <w:hideMark/>
          </w:tcPr>
          <w:p w14:paraId="5C8B9347"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719DFCE8" w14:textId="77777777" w:rsidR="009125FD" w:rsidRPr="005C5D59" w:rsidRDefault="009125FD" w:rsidP="009125FD">
            <w:pP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54FC429F" w14:textId="77777777" w:rsidR="009125FD" w:rsidRPr="005C5D59" w:rsidRDefault="009125FD" w:rsidP="009125FD">
            <w:pPr>
              <w:rPr>
                <w:rFonts w:ascii="Arial" w:hAnsi="Arial" w:cs="Arial"/>
                <w:b/>
                <w:sz w:val="18"/>
                <w:szCs w:val="18"/>
              </w:rPr>
            </w:pPr>
            <w:r w:rsidRPr="005C5D59">
              <w:rPr>
                <w:rFonts w:ascii="Arial" w:hAnsi="Arial" w:cs="Arial"/>
                <w:b/>
                <w:sz w:val="18"/>
                <w:szCs w:val="18"/>
              </w:rPr>
              <w:t>Selected 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6C94AECB" w14:textId="77777777" w:rsidR="009125FD" w:rsidRPr="005C5D59" w:rsidRDefault="009125FD" w:rsidP="009125FD">
            <w:pPr>
              <w:rPr>
                <w:rFonts w:ascii="Arial" w:hAnsi="Arial" w:cs="Arial"/>
                <w:b/>
                <w:sz w:val="18"/>
                <w:szCs w:val="18"/>
              </w:rPr>
            </w:pPr>
            <w:r w:rsidRPr="005C5D59">
              <w:rPr>
                <w:rFonts w:ascii="Arial" w:hAnsi="Arial" w:cs="Arial"/>
                <w:b/>
                <w:sz w:val="18"/>
                <w:szCs w:val="18"/>
              </w:rPr>
              <w:t>Expected System Response</w:t>
            </w:r>
          </w:p>
        </w:tc>
      </w:tr>
      <w:tr w:rsidR="009125FD" w:rsidRPr="005C5D59" w14:paraId="7E1E632F" w14:textId="77777777" w:rsidTr="009125FD">
        <w:trPr>
          <w:cantSplit/>
          <w:trHeight w:val="1302"/>
        </w:trPr>
        <w:tc>
          <w:tcPr>
            <w:tcW w:w="1692" w:type="dxa"/>
            <w:vMerge w:val="restart"/>
            <w:tcBorders>
              <w:top w:val="single" w:sz="4" w:space="0" w:color="000000"/>
              <w:left w:val="single" w:sz="4" w:space="0" w:color="000000"/>
              <w:right w:val="single" w:sz="4" w:space="0" w:color="000000"/>
            </w:tcBorders>
            <w:vAlign w:val="center"/>
            <w:hideMark/>
          </w:tcPr>
          <w:p w14:paraId="3E968C71" w14:textId="77777777" w:rsidR="009125FD" w:rsidRPr="00A92752" w:rsidRDefault="009125FD" w:rsidP="009125FD">
            <w:pPr>
              <w:jc w:val="center"/>
              <w:rPr>
                <w:rFonts w:ascii="Arial" w:hAnsi="Arial" w:cs="Arial"/>
                <w:sz w:val="28"/>
                <w:szCs w:val="28"/>
              </w:rPr>
            </w:pPr>
            <w:r w:rsidRPr="00A92752">
              <w:rPr>
                <w:rFonts w:ascii="Arial" w:hAnsi="Arial" w:cs="Arial"/>
                <w:b/>
                <w:sz w:val="28"/>
                <w:szCs w:val="28"/>
              </w:rPr>
              <w:t>Leuko-reduce Cellular Products</w:t>
            </w:r>
          </w:p>
        </w:tc>
        <w:tc>
          <w:tcPr>
            <w:tcW w:w="1620" w:type="dxa"/>
            <w:tcBorders>
              <w:top w:val="single" w:sz="4" w:space="0" w:color="000000"/>
              <w:left w:val="single" w:sz="4" w:space="0" w:color="000000"/>
              <w:right w:val="single" w:sz="4" w:space="0" w:color="000000"/>
            </w:tcBorders>
            <w:shd w:val="pct10" w:color="auto" w:fill="auto"/>
            <w:vAlign w:val="center"/>
            <w:hideMark/>
          </w:tcPr>
          <w:p w14:paraId="3096A4D1"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 xml:space="preserve">RED BLOOD CELLS </w:t>
            </w:r>
          </w:p>
          <w:p w14:paraId="1E3DB0A2"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 xml:space="preserve">WHOLE BLOOD </w:t>
            </w:r>
          </w:p>
          <w:p w14:paraId="3FADEE00"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PLATELETS</w:t>
            </w:r>
          </w:p>
          <w:p w14:paraId="0E9043DB" w14:textId="77777777" w:rsidR="009125FD" w:rsidRPr="005C5D59" w:rsidRDefault="009125FD" w:rsidP="009125FD">
            <w:pPr>
              <w:spacing w:after="120"/>
              <w:jc w:val="center"/>
              <w:rPr>
                <w:rFonts w:ascii="Arial" w:hAnsi="Arial" w:cs="Arial"/>
                <w:sz w:val="18"/>
                <w:szCs w:val="18"/>
              </w:rPr>
            </w:pPr>
            <w:r w:rsidRPr="005C5D59">
              <w:rPr>
                <w:rFonts w:ascii="Arial" w:hAnsi="Arial" w:cs="Arial"/>
                <w:color w:val="000000"/>
                <w:sz w:val="18"/>
                <w:szCs w:val="18"/>
              </w:rPr>
              <w:t>OTHER</w:t>
            </w:r>
          </w:p>
        </w:tc>
        <w:tc>
          <w:tcPr>
            <w:tcW w:w="1260" w:type="dxa"/>
            <w:tcBorders>
              <w:top w:val="single" w:sz="4" w:space="0" w:color="000000"/>
              <w:left w:val="single" w:sz="4" w:space="0" w:color="000000"/>
              <w:right w:val="single" w:sz="4" w:space="0" w:color="000000"/>
            </w:tcBorders>
            <w:shd w:val="pct10" w:color="auto" w:fill="auto"/>
            <w:vAlign w:val="center"/>
            <w:hideMark/>
          </w:tcPr>
          <w:p w14:paraId="4F87D178"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Leuko-reduced</w:t>
            </w:r>
          </w:p>
        </w:tc>
        <w:tc>
          <w:tcPr>
            <w:tcW w:w="1620" w:type="dxa"/>
            <w:tcBorders>
              <w:top w:val="single" w:sz="4" w:space="0" w:color="000000"/>
              <w:left w:val="single" w:sz="4" w:space="0" w:color="000000"/>
              <w:right w:val="single" w:sz="4" w:space="0" w:color="000000"/>
            </w:tcBorders>
            <w:shd w:val="pct10" w:color="auto" w:fill="auto"/>
            <w:vAlign w:val="center"/>
            <w:hideMark/>
          </w:tcPr>
          <w:p w14:paraId="287BC92E"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2FE1A25C"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061FFBA8" w14:textId="77777777" w:rsidTr="009125FD">
        <w:trPr>
          <w:cantSplit/>
          <w:trHeight w:val="1379"/>
        </w:trPr>
        <w:tc>
          <w:tcPr>
            <w:tcW w:w="1692" w:type="dxa"/>
            <w:vMerge/>
            <w:tcBorders>
              <w:left w:val="single" w:sz="4" w:space="0" w:color="000000"/>
              <w:right w:val="single" w:sz="4" w:space="0" w:color="000000"/>
            </w:tcBorders>
            <w:vAlign w:val="bottom"/>
          </w:tcPr>
          <w:p w14:paraId="6ECFF204"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14:paraId="3A846BAE"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 xml:space="preserve">RED BLOOD CELLS </w:t>
            </w:r>
          </w:p>
          <w:p w14:paraId="0523BF2B"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WHOLE BLOOD</w:t>
            </w:r>
          </w:p>
          <w:p w14:paraId="476976A3"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PLATELETS</w:t>
            </w:r>
          </w:p>
        </w:tc>
        <w:tc>
          <w:tcPr>
            <w:tcW w:w="1260" w:type="dxa"/>
            <w:tcBorders>
              <w:top w:val="single" w:sz="4" w:space="0" w:color="000000"/>
              <w:left w:val="single" w:sz="4" w:space="0" w:color="000000"/>
              <w:right w:val="single" w:sz="4" w:space="0" w:color="000000"/>
            </w:tcBorders>
            <w:vAlign w:val="center"/>
          </w:tcPr>
          <w:p w14:paraId="33F936E3" w14:textId="77777777" w:rsidR="009125FD" w:rsidRPr="005C5D59" w:rsidRDefault="009125FD" w:rsidP="009125FD">
            <w:pPr>
              <w:jc w:val="center"/>
              <w:rPr>
                <w:rFonts w:ascii="Arial" w:hAnsi="Arial" w:cs="Arial"/>
                <w:color w:val="FF0000"/>
                <w:sz w:val="18"/>
                <w:szCs w:val="18"/>
              </w:rPr>
            </w:pPr>
            <w:r w:rsidRPr="00871BF2">
              <w:rPr>
                <w:rFonts w:ascii="Arial" w:hAnsi="Arial" w:cs="Arial"/>
                <w:b/>
                <w:color w:val="FF0000"/>
                <w:sz w:val="18"/>
                <w:szCs w:val="18"/>
              </w:rPr>
              <w:t>Not  Leuko-reduced</w:t>
            </w:r>
          </w:p>
        </w:tc>
        <w:tc>
          <w:tcPr>
            <w:tcW w:w="1620" w:type="dxa"/>
            <w:tcBorders>
              <w:top w:val="single" w:sz="4" w:space="0" w:color="000000"/>
              <w:left w:val="single" w:sz="4" w:space="0" w:color="000000"/>
              <w:right w:val="single" w:sz="4" w:space="0" w:color="000000"/>
            </w:tcBorders>
            <w:vAlign w:val="center"/>
          </w:tcPr>
          <w:p w14:paraId="7ABB7CFA" w14:textId="77777777" w:rsidR="009125FD" w:rsidRPr="00A92752" w:rsidRDefault="009125FD" w:rsidP="009125FD">
            <w:pPr>
              <w:ind w:left="18"/>
              <w:rPr>
                <w:rFonts w:ascii="Arial" w:hAnsi="Arial" w:cs="Arial"/>
                <w:sz w:val="18"/>
                <w:szCs w:val="18"/>
              </w:rPr>
            </w:pPr>
            <w:r w:rsidRPr="00A92752">
              <w:rPr>
                <w:rFonts w:ascii="Arial" w:hAnsi="Arial" w:cs="Arial"/>
                <w:noProof/>
                <w:sz w:val="18"/>
                <w:szCs w:val="18"/>
              </w:rPr>
              <w:t>Technologist</w:t>
            </w:r>
          </w:p>
          <w:p w14:paraId="05B66CD9" w14:textId="77777777" w:rsidR="009125FD" w:rsidRPr="00836EE2" w:rsidRDefault="009125FD" w:rsidP="009125FD">
            <w:pPr>
              <w:ind w:left="18"/>
              <w:rPr>
                <w:rFonts w:ascii="Arial" w:hAnsi="Arial" w:cs="Arial"/>
                <w:sz w:val="18"/>
                <w:szCs w:val="18"/>
              </w:rPr>
            </w:pPr>
          </w:p>
          <w:p w14:paraId="427A7535" w14:textId="77777777" w:rsidR="009125FD" w:rsidRPr="00A92752" w:rsidRDefault="009125FD" w:rsidP="009125FD">
            <w:pPr>
              <w:ind w:left="18"/>
              <w:rPr>
                <w:rFonts w:ascii="Arial" w:hAnsi="Arial" w:cs="Arial"/>
                <w:noProof/>
                <w:sz w:val="18"/>
                <w:szCs w:val="18"/>
              </w:rPr>
            </w:pPr>
            <w:r w:rsidRPr="00A92752">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vAlign w:val="bottom"/>
          </w:tcPr>
          <w:p w14:paraId="6EEF4AD1" w14:textId="77777777" w:rsidR="009125FD"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Patient’s Transfusion Requirement is not satisfied.</w:t>
            </w:r>
            <w:r w:rsidRPr="005C5D59">
              <w:rPr>
                <w:rFonts w:ascii="Arial" w:hAnsi="Arial" w:cs="Arial"/>
                <w:sz w:val="18"/>
                <w:szCs w:val="18"/>
              </w:rPr>
              <w:t xml:space="preserve"> </w:t>
            </w:r>
            <w:r w:rsidRPr="007F3B3C">
              <w:rPr>
                <w:rFonts w:ascii="Arial" w:hAnsi="Arial" w:cs="Arial"/>
                <w:i/>
                <w:sz w:val="18"/>
                <w:szCs w:val="18"/>
              </w:rPr>
              <w:t>You do not have the proper security to issue this unit. Further processing is needed and must be documented in VBECS.</w:t>
            </w:r>
            <w:r w:rsidRPr="005C5D59">
              <w:rPr>
                <w:rFonts w:ascii="Arial" w:hAnsi="Arial" w:cs="Arial"/>
                <w:sz w:val="18"/>
                <w:szCs w:val="18"/>
              </w:rPr>
              <w:t xml:space="preserve"> </w:t>
            </w:r>
          </w:p>
          <w:p w14:paraId="6D162896" w14:textId="77777777" w:rsidR="009125FD" w:rsidRPr="005C5D59" w:rsidRDefault="009125FD" w:rsidP="009125FD">
            <w:pPr>
              <w:rPr>
                <w:rFonts w:ascii="Arial" w:hAnsi="Arial" w:cs="Arial"/>
                <w:sz w:val="18"/>
                <w:szCs w:val="18"/>
              </w:rPr>
            </w:pPr>
            <w:r>
              <w:rPr>
                <w:rFonts w:ascii="Arial" w:hAnsi="Arial" w:cs="Arial"/>
                <w:sz w:val="18"/>
                <w:szCs w:val="18"/>
              </w:rPr>
              <w:t>The tech may not issue this unit in the computer.</w:t>
            </w:r>
          </w:p>
        </w:tc>
      </w:tr>
      <w:tr w:rsidR="009125FD" w:rsidRPr="005C5D59" w14:paraId="76E0ECE6" w14:textId="77777777" w:rsidTr="009125FD">
        <w:trPr>
          <w:cantSplit/>
          <w:trHeight w:val="2343"/>
        </w:trPr>
        <w:tc>
          <w:tcPr>
            <w:tcW w:w="1692" w:type="dxa"/>
            <w:vMerge/>
            <w:tcBorders>
              <w:left w:val="single" w:sz="4" w:space="0" w:color="000000"/>
              <w:right w:val="single" w:sz="4" w:space="0" w:color="000000"/>
            </w:tcBorders>
            <w:vAlign w:val="bottom"/>
          </w:tcPr>
          <w:p w14:paraId="14060492"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14:paraId="45EA12C8"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 xml:space="preserve">RED BLOOD CELLS </w:t>
            </w:r>
          </w:p>
          <w:p w14:paraId="3FDF4FE8"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WHOLE BLOOD</w:t>
            </w:r>
          </w:p>
          <w:p w14:paraId="75095B88"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PLATELETS</w:t>
            </w:r>
          </w:p>
        </w:tc>
        <w:tc>
          <w:tcPr>
            <w:tcW w:w="1260" w:type="dxa"/>
            <w:tcBorders>
              <w:top w:val="single" w:sz="4" w:space="0" w:color="000000"/>
              <w:left w:val="single" w:sz="4" w:space="0" w:color="000000"/>
              <w:right w:val="single" w:sz="4" w:space="0" w:color="000000"/>
            </w:tcBorders>
            <w:vAlign w:val="center"/>
          </w:tcPr>
          <w:p w14:paraId="030971F6" w14:textId="77777777" w:rsidR="009125FD" w:rsidRPr="005C5D59" w:rsidRDefault="009125FD" w:rsidP="009125FD">
            <w:pPr>
              <w:jc w:val="center"/>
              <w:rPr>
                <w:rFonts w:ascii="Arial" w:hAnsi="Arial" w:cs="Arial"/>
                <w:color w:val="FF0000"/>
                <w:sz w:val="18"/>
                <w:szCs w:val="18"/>
              </w:rPr>
            </w:pPr>
            <w:r w:rsidRPr="00871BF2">
              <w:rPr>
                <w:rFonts w:ascii="Arial" w:hAnsi="Arial" w:cs="Arial"/>
                <w:b/>
                <w:color w:val="FF0000"/>
                <w:sz w:val="18"/>
                <w:szCs w:val="18"/>
              </w:rPr>
              <w:t>Not  Leuko-reduced</w:t>
            </w:r>
          </w:p>
        </w:tc>
        <w:tc>
          <w:tcPr>
            <w:tcW w:w="1620" w:type="dxa"/>
            <w:tcBorders>
              <w:top w:val="single" w:sz="4" w:space="0" w:color="000000"/>
              <w:left w:val="single" w:sz="4" w:space="0" w:color="000000"/>
              <w:right w:val="single" w:sz="4" w:space="0" w:color="000000"/>
            </w:tcBorders>
            <w:vAlign w:val="center"/>
          </w:tcPr>
          <w:p w14:paraId="1C65A018" w14:textId="77777777" w:rsidR="009125FD" w:rsidRPr="00A92752" w:rsidRDefault="009125FD" w:rsidP="009125FD">
            <w:pPr>
              <w:spacing w:before="120"/>
              <w:ind w:left="18"/>
              <w:rPr>
                <w:rFonts w:ascii="Arial" w:hAnsi="Arial" w:cs="Arial"/>
                <w:sz w:val="18"/>
                <w:szCs w:val="18"/>
              </w:rPr>
            </w:pPr>
            <w:r w:rsidRPr="00A92752">
              <w:rPr>
                <w:rFonts w:ascii="Arial" w:hAnsi="Arial" w:cs="Arial"/>
                <w:sz w:val="18"/>
                <w:szCs w:val="18"/>
              </w:rPr>
              <w:t>Lead Technologist</w:t>
            </w:r>
          </w:p>
          <w:p w14:paraId="01BB7544" w14:textId="77777777" w:rsidR="009125FD" w:rsidRPr="00A92752" w:rsidRDefault="009125FD" w:rsidP="009125FD">
            <w:pPr>
              <w:spacing w:before="120"/>
              <w:ind w:left="18"/>
              <w:rPr>
                <w:rFonts w:ascii="Arial" w:hAnsi="Arial" w:cs="Arial"/>
                <w:sz w:val="18"/>
                <w:szCs w:val="18"/>
              </w:rPr>
            </w:pPr>
            <w:r w:rsidRPr="00A92752">
              <w:rPr>
                <w:rFonts w:ascii="Arial" w:hAnsi="Arial" w:cs="Arial"/>
                <w:sz w:val="18"/>
                <w:szCs w:val="18"/>
              </w:rPr>
              <w:t>Traditional Supervisor</w:t>
            </w:r>
          </w:p>
          <w:p w14:paraId="0F8E7332" w14:textId="77777777" w:rsidR="009125FD" w:rsidRPr="00A92752" w:rsidRDefault="009125FD" w:rsidP="009125FD">
            <w:pPr>
              <w:spacing w:before="120"/>
              <w:ind w:left="18"/>
              <w:rPr>
                <w:rFonts w:ascii="Arial" w:hAnsi="Arial" w:cs="Arial"/>
                <w:sz w:val="18"/>
                <w:szCs w:val="18"/>
              </w:rPr>
            </w:pPr>
            <w:r w:rsidRPr="00A92752">
              <w:rPr>
                <w:rFonts w:ascii="Arial" w:hAnsi="Arial" w:cs="Arial"/>
                <w:sz w:val="18"/>
                <w:szCs w:val="18"/>
              </w:rPr>
              <w:t>Enhanced Supervisor</w:t>
            </w:r>
          </w:p>
          <w:p w14:paraId="66E5EF33" w14:textId="77777777" w:rsidR="009125FD" w:rsidRPr="00A92752" w:rsidRDefault="009125FD" w:rsidP="009125FD">
            <w:pPr>
              <w:spacing w:before="120"/>
              <w:ind w:left="18"/>
              <w:rPr>
                <w:rFonts w:ascii="Arial" w:hAnsi="Arial" w:cs="Arial"/>
                <w:sz w:val="18"/>
                <w:szCs w:val="18"/>
              </w:rPr>
            </w:pPr>
            <w:r w:rsidRPr="00A92752">
              <w:rPr>
                <w:rFonts w:ascii="Arial" w:hAnsi="Arial" w:cs="Arial"/>
                <w:sz w:val="18"/>
                <w:szCs w:val="18"/>
              </w:rPr>
              <w:t>Administrator/Supervisor</w:t>
            </w:r>
          </w:p>
          <w:p w14:paraId="1E16648D" w14:textId="77777777" w:rsidR="009125FD" w:rsidRPr="008B278A" w:rsidRDefault="009125FD" w:rsidP="009125FD">
            <w:pPr>
              <w:ind w:left="18"/>
              <w:rPr>
                <w:rFonts w:ascii="Arial" w:hAnsi="Arial" w:cs="Arial"/>
                <w:sz w:val="18"/>
                <w:szCs w:val="18"/>
              </w:rPr>
            </w:pPr>
          </w:p>
        </w:tc>
        <w:tc>
          <w:tcPr>
            <w:tcW w:w="4050" w:type="dxa"/>
            <w:tcBorders>
              <w:top w:val="single" w:sz="4" w:space="0" w:color="000000"/>
              <w:left w:val="single" w:sz="4" w:space="0" w:color="000000"/>
              <w:right w:val="single" w:sz="4" w:space="0" w:color="000000"/>
            </w:tcBorders>
            <w:vAlign w:val="bottom"/>
          </w:tcPr>
          <w:p w14:paraId="5C1C33B6" w14:textId="77777777" w:rsidR="009125FD" w:rsidRPr="005C5D59"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2A405A">
              <w:rPr>
                <w:rFonts w:ascii="Arial" w:hAnsi="Arial" w:cs="Arial"/>
                <w:i/>
                <w:sz w:val="18"/>
                <w:szCs w:val="18"/>
              </w:rPr>
              <w:t xml:space="preserve">Patient’s Leuko-reduce Cellular Products </w:t>
            </w:r>
            <w:r w:rsidRPr="00836EE2">
              <w:rPr>
                <w:rFonts w:ascii="Arial" w:hAnsi="Arial" w:cs="Arial"/>
                <w:i/>
                <w:sz w:val="18"/>
                <w:szCs w:val="18"/>
              </w:rPr>
              <w:t>Transfusion Requirement is not satisfied</w:t>
            </w:r>
            <w:r w:rsidRPr="005C5D59">
              <w:rPr>
                <w:rFonts w:ascii="Arial" w:hAnsi="Arial" w:cs="Arial"/>
                <w:sz w:val="18"/>
                <w:szCs w:val="18"/>
              </w:rPr>
              <w:t xml:space="preserve"> and prompts the user whether to proceed. </w:t>
            </w:r>
          </w:p>
          <w:p w14:paraId="40F8B9B0" w14:textId="77777777" w:rsidR="009125FD" w:rsidRPr="005C5D59" w:rsidRDefault="009125FD" w:rsidP="009125FD">
            <w:pPr>
              <w:rPr>
                <w:rFonts w:ascii="Arial" w:hAnsi="Arial" w:cs="Arial"/>
                <w:sz w:val="18"/>
                <w:szCs w:val="18"/>
              </w:rPr>
            </w:pPr>
            <w:r w:rsidRPr="005C5D59">
              <w:rPr>
                <w:rFonts w:ascii="Arial" w:hAnsi="Arial" w:cs="Arial"/>
                <w:sz w:val="18"/>
                <w:szCs w:val="18"/>
              </w:rPr>
              <w:t>If the user responds “No”</w:t>
            </w:r>
            <w:r>
              <w:rPr>
                <w:rFonts w:ascii="Arial" w:hAnsi="Arial" w:cs="Arial"/>
                <w:sz w:val="18"/>
                <w:szCs w:val="18"/>
              </w:rPr>
              <w:t>,</w:t>
            </w:r>
            <w:r w:rsidRPr="005C5D59">
              <w:rPr>
                <w:rFonts w:ascii="Arial" w:hAnsi="Arial" w:cs="Arial"/>
                <w:sz w:val="18"/>
                <w:szCs w:val="18"/>
              </w:rPr>
              <w:t xml:space="preserve"> the system wi</w:t>
            </w:r>
            <w:r>
              <w:rPr>
                <w:rFonts w:ascii="Arial" w:hAnsi="Arial" w:cs="Arial"/>
                <w:sz w:val="18"/>
                <w:szCs w:val="18"/>
              </w:rPr>
              <w:t>ll clear the selected unit.</w:t>
            </w:r>
          </w:p>
          <w:p w14:paraId="20F87659" w14:textId="61C13907" w:rsidR="009125FD" w:rsidRPr="005C5D59" w:rsidRDefault="009125FD" w:rsidP="009125FD">
            <w:pPr>
              <w:rPr>
                <w:rFonts w:ascii="Arial" w:hAnsi="Arial" w:cs="Arial"/>
                <w:sz w:val="18"/>
                <w:szCs w:val="18"/>
              </w:rPr>
            </w:pPr>
            <w:r>
              <w:rPr>
                <w:rFonts w:ascii="Arial" w:hAnsi="Arial" w:cs="Arial"/>
                <w:sz w:val="18"/>
                <w:szCs w:val="18"/>
              </w:rPr>
              <w:t>If the user responds “Yes”,</w:t>
            </w:r>
            <w:r w:rsidRPr="005C5D59">
              <w:rPr>
                <w:rFonts w:ascii="Arial" w:hAnsi="Arial" w:cs="Arial"/>
                <w:sz w:val="18"/>
                <w:szCs w:val="18"/>
              </w:rPr>
              <w:t xml:space="preserve"> the system will require a comment (free text or canned, “unit issue” context) and capture the transacti</w:t>
            </w:r>
            <w:r>
              <w:rPr>
                <w:rFonts w:ascii="Arial" w:hAnsi="Arial" w:cs="Arial"/>
                <w:sz w:val="18"/>
                <w:szCs w:val="18"/>
              </w:rPr>
              <w:t>on details for inclusion in an Exception R</w:t>
            </w:r>
            <w:r w:rsidRPr="005C5D59">
              <w:rPr>
                <w:rFonts w:ascii="Arial" w:hAnsi="Arial" w:cs="Arial"/>
                <w:sz w:val="18"/>
                <w:szCs w:val="18"/>
              </w:rPr>
              <w:t>eport</w:t>
            </w:r>
            <w:r>
              <w:rPr>
                <w:rFonts w:ascii="Arial" w:hAnsi="Arial" w:cs="Arial"/>
                <w:sz w:val="18"/>
                <w:szCs w:val="18"/>
              </w:rPr>
              <w:t xml:space="preserve"> entry</w:t>
            </w:r>
            <w:r w:rsidRPr="005C5D59">
              <w:rPr>
                <w:rFonts w:ascii="Arial" w:hAnsi="Arial" w:cs="Arial"/>
                <w:sz w:val="18"/>
                <w:szCs w:val="18"/>
              </w:rPr>
              <w:t xml:space="preserve">: </w:t>
            </w:r>
            <w:r w:rsidRPr="005C5D59">
              <w:rPr>
                <w:rFonts w:ascii="Arial" w:hAnsi="Arial" w:cs="Arial"/>
                <w:i/>
                <w:sz w:val="18"/>
                <w:szCs w:val="18"/>
              </w:rPr>
              <w:t xml:space="preserve">Unit issued with unsatisfied Transfusion </w:t>
            </w:r>
            <w:r w:rsidR="00AE3B37" w:rsidRPr="005C5D59">
              <w:rPr>
                <w:rFonts w:ascii="Arial" w:hAnsi="Arial" w:cs="Arial"/>
                <w:i/>
                <w:sz w:val="18"/>
                <w:szCs w:val="18"/>
              </w:rPr>
              <w:t>Requirement</w:t>
            </w:r>
            <w:r w:rsidR="00AE3B37" w:rsidRPr="005C5D59">
              <w:rPr>
                <w:rFonts w:ascii="Arial" w:hAnsi="Arial" w:cs="Arial"/>
                <w:sz w:val="18"/>
                <w:szCs w:val="18"/>
              </w:rPr>
              <w:t>.</w:t>
            </w:r>
          </w:p>
        </w:tc>
      </w:tr>
    </w:tbl>
    <w:p w14:paraId="2DED3914" w14:textId="77777777" w:rsidR="009125FD" w:rsidRDefault="009125FD" w:rsidP="009125FD"/>
    <w:p w14:paraId="00B3821F" w14:textId="24135F99" w:rsidR="00C15299" w:rsidRDefault="00C15299" w:rsidP="00C15299">
      <w:pPr>
        <w:pStyle w:val="Caption"/>
      </w:pPr>
      <w:bookmarkStart w:id="835" w:name="_Ref407610736"/>
      <w:bookmarkStart w:id="836" w:name="_Ref343502500"/>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166</w:t>
      </w:r>
      <w:r w:rsidR="004E20BD">
        <w:rPr>
          <w:noProof/>
        </w:rPr>
        <w:fldChar w:fldCharType="end"/>
      </w:r>
      <w:bookmarkEnd w:id="835"/>
      <w:r>
        <w:t>: Washed Red Blood Cell (RBC) Products and Select Blood Unit</w:t>
      </w:r>
      <w:bookmarkEnd w:id="836"/>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692"/>
        <w:gridCol w:w="1620"/>
        <w:gridCol w:w="1260"/>
        <w:gridCol w:w="1620"/>
        <w:gridCol w:w="4050"/>
      </w:tblGrid>
      <w:tr w:rsidR="009125FD" w:rsidRPr="005C5D59" w14:paraId="13DBE092" w14:textId="77777777" w:rsidTr="009125FD">
        <w:trPr>
          <w:cantSplit/>
          <w:trHeight w:val="305"/>
          <w:tblHeader/>
        </w:trPr>
        <w:tc>
          <w:tcPr>
            <w:tcW w:w="10242" w:type="dxa"/>
            <w:gridSpan w:val="5"/>
            <w:tcBorders>
              <w:top w:val="single" w:sz="4" w:space="0" w:color="000000"/>
              <w:left w:val="single" w:sz="4" w:space="0" w:color="000000"/>
              <w:right w:val="single" w:sz="4" w:space="0" w:color="000000"/>
            </w:tcBorders>
            <w:shd w:val="pct25" w:color="auto" w:fill="auto"/>
            <w:vAlign w:val="bottom"/>
            <w:hideMark/>
          </w:tcPr>
          <w:p w14:paraId="0193882D"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Select Unit: </w:t>
            </w:r>
            <w:r w:rsidRPr="00B62010">
              <w:rPr>
                <w:rFonts w:ascii="Arial" w:hAnsi="Arial" w:cs="Arial"/>
                <w:b/>
                <w:sz w:val="18"/>
                <w:szCs w:val="18"/>
              </w:rPr>
              <w:t xml:space="preserve"> Washed R</w:t>
            </w:r>
            <w:r>
              <w:rPr>
                <w:rFonts w:ascii="Arial" w:hAnsi="Arial" w:cs="Arial"/>
                <w:b/>
                <w:sz w:val="18"/>
                <w:szCs w:val="18"/>
              </w:rPr>
              <w:t xml:space="preserve">ed </w:t>
            </w:r>
            <w:r w:rsidRPr="00B62010">
              <w:rPr>
                <w:rFonts w:ascii="Arial" w:hAnsi="Arial" w:cs="Arial"/>
                <w:b/>
                <w:sz w:val="18"/>
                <w:szCs w:val="18"/>
              </w:rPr>
              <w:t>B</w:t>
            </w:r>
            <w:r>
              <w:rPr>
                <w:rFonts w:ascii="Arial" w:hAnsi="Arial" w:cs="Arial"/>
                <w:b/>
                <w:sz w:val="18"/>
                <w:szCs w:val="18"/>
              </w:rPr>
              <w:t xml:space="preserve">lood </w:t>
            </w:r>
            <w:r w:rsidRPr="00B62010">
              <w:rPr>
                <w:rFonts w:ascii="Arial" w:hAnsi="Arial" w:cs="Arial"/>
                <w:b/>
                <w:sz w:val="18"/>
                <w:szCs w:val="18"/>
              </w:rPr>
              <w:t>C</w:t>
            </w:r>
            <w:r>
              <w:rPr>
                <w:rFonts w:ascii="Arial" w:hAnsi="Arial" w:cs="Arial"/>
                <w:b/>
                <w:sz w:val="18"/>
                <w:szCs w:val="18"/>
              </w:rPr>
              <w:t>ell (RBC)</w:t>
            </w:r>
            <w:r w:rsidRPr="00B62010">
              <w:rPr>
                <w:rFonts w:ascii="Arial" w:hAnsi="Arial" w:cs="Arial"/>
                <w:b/>
                <w:sz w:val="18"/>
                <w:szCs w:val="18"/>
              </w:rPr>
              <w:t xml:space="preserve"> products</w:t>
            </w:r>
          </w:p>
        </w:tc>
      </w:tr>
      <w:tr w:rsidR="009125FD" w:rsidRPr="005C5D59" w14:paraId="09464BB7" w14:textId="77777777" w:rsidTr="009125FD">
        <w:trPr>
          <w:cantSplit/>
          <w:trHeight w:val="432"/>
          <w:tblHeader/>
        </w:trPr>
        <w:tc>
          <w:tcPr>
            <w:tcW w:w="1692" w:type="dxa"/>
            <w:tcBorders>
              <w:left w:val="single" w:sz="4" w:space="0" w:color="000000"/>
              <w:bottom w:val="single" w:sz="4" w:space="0" w:color="000000"/>
              <w:right w:val="single" w:sz="4" w:space="0" w:color="000000"/>
            </w:tcBorders>
            <w:shd w:val="pct25" w:color="auto" w:fill="auto"/>
            <w:vAlign w:val="bottom"/>
            <w:hideMark/>
          </w:tcPr>
          <w:p w14:paraId="7543052E"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620" w:type="dxa"/>
            <w:tcBorders>
              <w:left w:val="single" w:sz="4" w:space="0" w:color="000000"/>
              <w:bottom w:val="single" w:sz="4" w:space="0" w:color="000000"/>
              <w:right w:val="single" w:sz="4" w:space="0" w:color="000000"/>
            </w:tcBorders>
            <w:shd w:val="pct25" w:color="auto" w:fill="auto"/>
            <w:vAlign w:val="bottom"/>
            <w:hideMark/>
          </w:tcPr>
          <w:p w14:paraId="272AB9D9"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2D288CEE" w14:textId="77777777" w:rsidR="009125FD" w:rsidRPr="005C5D59" w:rsidRDefault="009125FD" w:rsidP="009125FD">
            <w:pPr>
              <w:jc w:val="cente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07B34ACD" w14:textId="77777777" w:rsidR="009125FD" w:rsidRPr="005C5D59" w:rsidRDefault="009125FD" w:rsidP="009125FD">
            <w:pPr>
              <w:jc w:val="center"/>
              <w:rPr>
                <w:rFonts w:ascii="Arial" w:hAnsi="Arial" w:cs="Arial"/>
                <w:b/>
                <w:sz w:val="18"/>
                <w:szCs w:val="18"/>
              </w:rPr>
            </w:pPr>
            <w:r w:rsidRPr="005C5D59">
              <w:rPr>
                <w:rFonts w:ascii="Arial" w:hAnsi="Arial" w:cs="Arial"/>
                <w:b/>
                <w:sz w:val="18"/>
                <w:szCs w:val="18"/>
              </w:rPr>
              <w:t>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044940C4" w14:textId="77777777" w:rsidR="009125FD" w:rsidRPr="005C5D59" w:rsidRDefault="009125FD" w:rsidP="009125FD">
            <w:pPr>
              <w:jc w:val="center"/>
              <w:rPr>
                <w:rFonts w:ascii="Arial" w:hAnsi="Arial" w:cs="Arial"/>
                <w:b/>
                <w:sz w:val="18"/>
                <w:szCs w:val="18"/>
              </w:rPr>
            </w:pPr>
            <w:r>
              <w:rPr>
                <w:rFonts w:ascii="Arial" w:hAnsi="Arial" w:cs="Arial"/>
                <w:b/>
                <w:sz w:val="18"/>
                <w:szCs w:val="18"/>
              </w:rPr>
              <w:t xml:space="preserve">VBECS </w:t>
            </w:r>
            <w:r w:rsidRPr="005C5D59">
              <w:rPr>
                <w:rFonts w:ascii="Arial" w:hAnsi="Arial" w:cs="Arial"/>
                <w:b/>
                <w:sz w:val="18"/>
                <w:szCs w:val="18"/>
              </w:rPr>
              <w:t>Response</w:t>
            </w:r>
          </w:p>
        </w:tc>
      </w:tr>
      <w:tr w:rsidR="009125FD" w:rsidRPr="005C5D59" w14:paraId="4086D5D5" w14:textId="77777777" w:rsidTr="009125FD">
        <w:trPr>
          <w:cantSplit/>
          <w:trHeight w:val="284"/>
        </w:trPr>
        <w:tc>
          <w:tcPr>
            <w:tcW w:w="1692" w:type="dxa"/>
            <w:vMerge w:val="restart"/>
            <w:tcBorders>
              <w:top w:val="single" w:sz="4" w:space="0" w:color="000000"/>
              <w:left w:val="single" w:sz="4" w:space="0" w:color="000000"/>
              <w:right w:val="single" w:sz="4" w:space="0" w:color="000000"/>
            </w:tcBorders>
            <w:vAlign w:val="center"/>
            <w:hideMark/>
          </w:tcPr>
          <w:p w14:paraId="68D35AE8" w14:textId="77777777" w:rsidR="009125FD" w:rsidRPr="00A92752" w:rsidRDefault="009125FD" w:rsidP="009125FD">
            <w:pPr>
              <w:jc w:val="center"/>
              <w:rPr>
                <w:rFonts w:ascii="Arial" w:hAnsi="Arial" w:cs="Arial"/>
                <w:b/>
                <w:sz w:val="28"/>
                <w:szCs w:val="28"/>
              </w:rPr>
            </w:pPr>
            <w:r w:rsidRPr="00A92752">
              <w:rPr>
                <w:rFonts w:ascii="Arial" w:hAnsi="Arial" w:cs="Arial"/>
                <w:b/>
                <w:sz w:val="28"/>
                <w:szCs w:val="28"/>
              </w:rPr>
              <w:t>Washed RBC products</w:t>
            </w:r>
          </w:p>
        </w:tc>
        <w:tc>
          <w:tcPr>
            <w:tcW w:w="1620" w:type="dxa"/>
            <w:tcBorders>
              <w:top w:val="single" w:sz="4" w:space="0" w:color="000000"/>
              <w:left w:val="single" w:sz="4" w:space="0" w:color="000000"/>
              <w:right w:val="single" w:sz="4" w:space="0" w:color="000000"/>
            </w:tcBorders>
            <w:shd w:val="pct10" w:color="auto" w:fill="auto"/>
            <w:vAlign w:val="center"/>
            <w:hideMark/>
          </w:tcPr>
          <w:p w14:paraId="0F5375AA"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0FD5A625"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 xml:space="preserve">WHOLE BLOOD </w:t>
            </w:r>
          </w:p>
        </w:tc>
        <w:tc>
          <w:tcPr>
            <w:tcW w:w="1260" w:type="dxa"/>
            <w:tcBorders>
              <w:top w:val="single" w:sz="4" w:space="0" w:color="000000"/>
              <w:left w:val="single" w:sz="4" w:space="0" w:color="000000"/>
              <w:right w:val="single" w:sz="4" w:space="0" w:color="000000"/>
            </w:tcBorders>
            <w:shd w:val="pct10" w:color="auto" w:fill="auto"/>
            <w:vAlign w:val="center"/>
            <w:hideMark/>
          </w:tcPr>
          <w:p w14:paraId="12539370"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Washed</w:t>
            </w:r>
          </w:p>
        </w:tc>
        <w:tc>
          <w:tcPr>
            <w:tcW w:w="1620" w:type="dxa"/>
            <w:tcBorders>
              <w:top w:val="single" w:sz="4" w:space="0" w:color="000000"/>
              <w:left w:val="single" w:sz="4" w:space="0" w:color="000000"/>
              <w:right w:val="single" w:sz="4" w:space="0" w:color="000000"/>
            </w:tcBorders>
            <w:shd w:val="pct10" w:color="auto" w:fill="auto"/>
            <w:vAlign w:val="center"/>
            <w:hideMark/>
          </w:tcPr>
          <w:p w14:paraId="2B4BF9CB"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1CBAACE0"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7490ABF8" w14:textId="77777777" w:rsidTr="009125FD">
        <w:trPr>
          <w:cantSplit/>
          <w:trHeight w:val="1008"/>
        </w:trPr>
        <w:tc>
          <w:tcPr>
            <w:tcW w:w="1692" w:type="dxa"/>
            <w:vMerge/>
            <w:tcBorders>
              <w:left w:val="single" w:sz="4" w:space="0" w:color="000000"/>
              <w:right w:val="single" w:sz="4" w:space="0" w:color="000000"/>
            </w:tcBorders>
            <w:vAlign w:val="bottom"/>
          </w:tcPr>
          <w:p w14:paraId="0FC618A9"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14:paraId="3DACBB6D"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269F08A2" w14:textId="77777777" w:rsidR="009125FD" w:rsidRDefault="009125FD" w:rsidP="009125FD">
            <w:pPr>
              <w:jc w:val="center"/>
              <w:rPr>
                <w:rFonts w:ascii="Arial" w:hAnsi="Arial" w:cs="Arial"/>
                <w:sz w:val="18"/>
                <w:szCs w:val="18"/>
              </w:rPr>
            </w:pPr>
          </w:p>
          <w:p w14:paraId="3E1B05FE"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tc>
        <w:tc>
          <w:tcPr>
            <w:tcW w:w="1260" w:type="dxa"/>
            <w:tcBorders>
              <w:top w:val="single" w:sz="4" w:space="0" w:color="000000"/>
              <w:left w:val="single" w:sz="4" w:space="0" w:color="000000"/>
              <w:bottom w:val="single" w:sz="4" w:space="0" w:color="000000"/>
              <w:right w:val="single" w:sz="4" w:space="0" w:color="000000"/>
            </w:tcBorders>
            <w:vAlign w:val="center"/>
          </w:tcPr>
          <w:p w14:paraId="2DC1C4A1" w14:textId="77777777" w:rsidR="009125FD" w:rsidRPr="00825E94" w:rsidRDefault="009125FD" w:rsidP="009125FD">
            <w:pPr>
              <w:jc w:val="center"/>
              <w:rPr>
                <w:rFonts w:ascii="Arial" w:hAnsi="Arial" w:cs="Arial"/>
                <w:b/>
                <w:color w:val="FF0000"/>
                <w:sz w:val="18"/>
                <w:szCs w:val="18"/>
              </w:rPr>
            </w:pPr>
            <w:r w:rsidRPr="00825E94">
              <w:rPr>
                <w:rFonts w:ascii="Arial" w:hAnsi="Arial" w:cs="Arial"/>
                <w:b/>
                <w:color w:val="FF0000"/>
                <w:sz w:val="18"/>
                <w:szCs w:val="18"/>
              </w:rPr>
              <w:t>Not Washed</w:t>
            </w:r>
          </w:p>
        </w:tc>
        <w:tc>
          <w:tcPr>
            <w:tcW w:w="1620" w:type="dxa"/>
            <w:tcBorders>
              <w:top w:val="single" w:sz="4" w:space="0" w:color="000000"/>
              <w:left w:val="single" w:sz="4" w:space="0" w:color="000000"/>
              <w:bottom w:val="single" w:sz="4" w:space="0" w:color="000000"/>
              <w:right w:val="single" w:sz="4" w:space="0" w:color="000000"/>
            </w:tcBorders>
            <w:vAlign w:val="center"/>
          </w:tcPr>
          <w:p w14:paraId="7DA128C7"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tcPr>
          <w:p w14:paraId="2AA667C2" w14:textId="77777777" w:rsidR="009125FD" w:rsidRPr="007F3B3C" w:rsidRDefault="009125FD" w:rsidP="009125FD">
            <w:pPr>
              <w:pStyle w:val="TableText"/>
              <w:spacing w:before="120"/>
              <w:rPr>
                <w:rStyle w:val="StyleTableText9ptCharChar"/>
                <w:rFonts w:cs="Arial"/>
                <w:i/>
              </w:rPr>
            </w:pPr>
            <w:r w:rsidRPr="005C5D59">
              <w:rPr>
                <w:rStyle w:val="StyleTableText9ptCharChar"/>
                <w:rFonts w:cs="Arial"/>
              </w:rPr>
              <w:t>The Transfusi</w:t>
            </w:r>
            <w:r>
              <w:rPr>
                <w:rStyle w:val="StyleTableText9ptCharChar"/>
                <w:rFonts w:cs="Arial"/>
              </w:rPr>
              <w:t>on Requirement is not satisfied;</w:t>
            </w:r>
            <w:r w:rsidRPr="005C5D59">
              <w:rPr>
                <w:rStyle w:val="StyleTableText9ptCharChar"/>
                <w:rFonts w:cs="Arial"/>
              </w:rPr>
              <w:t xml:space="preserve"> the system emits an audible alert and displays a warning message: </w:t>
            </w:r>
            <w:r w:rsidRPr="007F3B3C">
              <w:rPr>
                <w:rStyle w:val="StyleTableText9ptCharChar"/>
                <w:rFonts w:cs="Arial"/>
                <w:i/>
              </w:rPr>
              <w:t>This unit does not currently satisfy all of the patient’s Transfusion Requirements. Further processing is needed. Continue to select this unit?</w:t>
            </w:r>
          </w:p>
          <w:p w14:paraId="4CE754EB" w14:textId="77777777" w:rsidR="009125FD" w:rsidRPr="005C5D59" w:rsidRDefault="009125FD" w:rsidP="009125FD">
            <w:pPr>
              <w:pStyle w:val="TableText"/>
              <w:rPr>
                <w:rStyle w:val="StyleTableText9ptCharChar"/>
                <w:rFonts w:cs="Arial"/>
              </w:rPr>
            </w:pPr>
            <w:r w:rsidRPr="005C5D59">
              <w:rPr>
                <w:rStyle w:val="StyleTableText9ptCharChar"/>
                <w:rFonts w:cs="Arial"/>
              </w:rPr>
              <w:t>If</w:t>
            </w:r>
            <w:r>
              <w:rPr>
                <w:rStyle w:val="StyleTableText9ptCharChar"/>
                <w:rFonts w:cs="Arial"/>
              </w:rPr>
              <w:t xml:space="preserve"> the user clicks </w:t>
            </w:r>
            <w:r w:rsidRPr="005C5D59">
              <w:rPr>
                <w:rStyle w:val="StyleTableText9ptCharChar"/>
                <w:rFonts w:cs="Arial"/>
              </w:rPr>
              <w:t>“No,” the screen is cleared.</w:t>
            </w:r>
          </w:p>
          <w:p w14:paraId="61B1943C" w14:textId="77777777" w:rsidR="009125FD" w:rsidRPr="005C5D59" w:rsidRDefault="009125FD" w:rsidP="009125FD">
            <w:pPr>
              <w:pStyle w:val="TableText"/>
              <w:rPr>
                <w:rFonts w:cs="Arial"/>
                <w:noProof/>
              </w:rPr>
            </w:pPr>
            <w:r w:rsidRPr="005C5D59">
              <w:rPr>
                <w:rStyle w:val="StyleTableText9ptCharChar"/>
                <w:rFonts w:cs="Arial"/>
              </w:rPr>
              <w:t xml:space="preserve">If </w:t>
            </w:r>
            <w:r>
              <w:rPr>
                <w:rStyle w:val="StyleTableText9ptCharChar"/>
                <w:rFonts w:cs="Arial"/>
              </w:rPr>
              <w:t>the user clicks “Yes,” selection can continue to select the unit.</w:t>
            </w:r>
          </w:p>
        </w:tc>
      </w:tr>
    </w:tbl>
    <w:p w14:paraId="6D2231B1" w14:textId="77777777" w:rsidR="009125FD" w:rsidRDefault="009125FD" w:rsidP="009125FD"/>
    <w:p w14:paraId="53D94305" w14:textId="1DA174E4" w:rsidR="00C15299" w:rsidRDefault="00C15299" w:rsidP="00C15299">
      <w:pPr>
        <w:pStyle w:val="Caption"/>
      </w:pPr>
      <w:bookmarkStart w:id="837" w:name="_Ref407610749"/>
      <w:bookmarkStart w:id="838" w:name="_Ref343502523"/>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167</w:t>
      </w:r>
      <w:r w:rsidR="004E20BD">
        <w:rPr>
          <w:noProof/>
        </w:rPr>
        <w:fldChar w:fldCharType="end"/>
      </w:r>
      <w:bookmarkEnd w:id="837"/>
      <w:r>
        <w:t>: Washed Red Blood Cell (RBC) Products and Issue Blood Component</w:t>
      </w:r>
      <w:bookmarkEnd w:id="838"/>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692"/>
        <w:gridCol w:w="1620"/>
        <w:gridCol w:w="1260"/>
        <w:gridCol w:w="1620"/>
        <w:gridCol w:w="4050"/>
      </w:tblGrid>
      <w:tr w:rsidR="009125FD" w:rsidRPr="005C5D59" w14:paraId="2BDC3A16" w14:textId="77777777" w:rsidTr="009125FD">
        <w:trPr>
          <w:cantSplit/>
          <w:trHeight w:val="432"/>
          <w:tblHeader/>
        </w:trPr>
        <w:tc>
          <w:tcPr>
            <w:tcW w:w="10242" w:type="dxa"/>
            <w:gridSpan w:val="5"/>
            <w:tcBorders>
              <w:left w:val="single" w:sz="4" w:space="0" w:color="000000"/>
              <w:bottom w:val="single" w:sz="4" w:space="0" w:color="000000"/>
              <w:right w:val="single" w:sz="4" w:space="0" w:color="000000"/>
            </w:tcBorders>
            <w:shd w:val="pct25" w:color="auto" w:fill="auto"/>
            <w:vAlign w:val="bottom"/>
          </w:tcPr>
          <w:p w14:paraId="50ECEA10"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Issue Blood Component: </w:t>
            </w:r>
            <w:r w:rsidRPr="00B62010">
              <w:rPr>
                <w:rFonts w:ascii="Arial" w:hAnsi="Arial" w:cs="Arial"/>
                <w:b/>
                <w:sz w:val="18"/>
                <w:szCs w:val="18"/>
              </w:rPr>
              <w:t>Washed RBC products</w:t>
            </w:r>
          </w:p>
        </w:tc>
      </w:tr>
      <w:tr w:rsidR="009125FD" w:rsidRPr="005C5D59" w14:paraId="0A4051F5" w14:textId="77777777" w:rsidTr="009125FD">
        <w:trPr>
          <w:cantSplit/>
          <w:trHeight w:val="432"/>
          <w:tblHeader/>
        </w:trPr>
        <w:tc>
          <w:tcPr>
            <w:tcW w:w="1692" w:type="dxa"/>
            <w:tcBorders>
              <w:left w:val="single" w:sz="4" w:space="0" w:color="000000"/>
              <w:bottom w:val="single" w:sz="4" w:space="0" w:color="000000"/>
              <w:right w:val="single" w:sz="4" w:space="0" w:color="000000"/>
            </w:tcBorders>
            <w:shd w:val="pct25" w:color="auto" w:fill="auto"/>
            <w:vAlign w:val="bottom"/>
            <w:hideMark/>
          </w:tcPr>
          <w:p w14:paraId="3AAD2267"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620" w:type="dxa"/>
            <w:tcBorders>
              <w:left w:val="single" w:sz="4" w:space="0" w:color="000000"/>
              <w:bottom w:val="single" w:sz="4" w:space="0" w:color="000000"/>
              <w:right w:val="single" w:sz="4" w:space="0" w:color="000000"/>
            </w:tcBorders>
            <w:shd w:val="pct25" w:color="auto" w:fill="auto"/>
            <w:vAlign w:val="bottom"/>
            <w:hideMark/>
          </w:tcPr>
          <w:p w14:paraId="1F0D9D0A"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684E5761" w14:textId="77777777" w:rsidR="009125FD" w:rsidRPr="005C5D59" w:rsidRDefault="009125FD" w:rsidP="009125FD">
            <w:pP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207B20C5" w14:textId="77777777" w:rsidR="009125FD" w:rsidRPr="005C5D59" w:rsidRDefault="009125FD" w:rsidP="009125FD">
            <w:pPr>
              <w:rPr>
                <w:rFonts w:ascii="Arial" w:hAnsi="Arial" w:cs="Arial"/>
                <w:b/>
                <w:sz w:val="18"/>
                <w:szCs w:val="18"/>
              </w:rPr>
            </w:pPr>
            <w:r w:rsidRPr="005C5D59">
              <w:rPr>
                <w:rFonts w:ascii="Arial" w:hAnsi="Arial" w:cs="Arial"/>
                <w:b/>
                <w:sz w:val="18"/>
                <w:szCs w:val="18"/>
              </w:rPr>
              <w:t>Selected 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2EA4FB10" w14:textId="77777777" w:rsidR="009125FD" w:rsidRPr="005C5D59" w:rsidRDefault="009125FD" w:rsidP="009125FD">
            <w:pPr>
              <w:rPr>
                <w:rFonts w:ascii="Arial" w:hAnsi="Arial" w:cs="Arial"/>
                <w:b/>
                <w:sz w:val="18"/>
                <w:szCs w:val="18"/>
              </w:rPr>
            </w:pPr>
            <w:r w:rsidRPr="005C5D59">
              <w:rPr>
                <w:rFonts w:ascii="Arial" w:hAnsi="Arial" w:cs="Arial"/>
                <w:b/>
                <w:sz w:val="18"/>
                <w:szCs w:val="18"/>
              </w:rPr>
              <w:t>Expected System Response</w:t>
            </w:r>
          </w:p>
        </w:tc>
      </w:tr>
      <w:tr w:rsidR="009125FD" w:rsidRPr="005C5D59" w14:paraId="596B14B5" w14:textId="77777777" w:rsidTr="009125FD">
        <w:trPr>
          <w:cantSplit/>
          <w:trHeight w:val="284"/>
        </w:trPr>
        <w:tc>
          <w:tcPr>
            <w:tcW w:w="1692" w:type="dxa"/>
            <w:vMerge w:val="restart"/>
            <w:tcBorders>
              <w:top w:val="single" w:sz="4" w:space="0" w:color="000000"/>
              <w:left w:val="single" w:sz="4" w:space="0" w:color="000000"/>
              <w:right w:val="single" w:sz="4" w:space="0" w:color="000000"/>
            </w:tcBorders>
            <w:vAlign w:val="center"/>
            <w:hideMark/>
          </w:tcPr>
          <w:p w14:paraId="6094DFDF" w14:textId="77777777" w:rsidR="009125FD" w:rsidRPr="00D93607" w:rsidRDefault="009125FD" w:rsidP="009125FD">
            <w:pPr>
              <w:jc w:val="center"/>
              <w:rPr>
                <w:rFonts w:ascii="Arial" w:hAnsi="Arial" w:cs="Arial"/>
                <w:sz w:val="32"/>
                <w:szCs w:val="32"/>
              </w:rPr>
            </w:pPr>
            <w:r w:rsidRPr="00D93607">
              <w:rPr>
                <w:rFonts w:ascii="Arial" w:hAnsi="Arial" w:cs="Arial"/>
                <w:sz w:val="32"/>
                <w:szCs w:val="32"/>
              </w:rPr>
              <w:t>Washed RBC products</w:t>
            </w:r>
          </w:p>
        </w:tc>
        <w:tc>
          <w:tcPr>
            <w:tcW w:w="1620" w:type="dxa"/>
            <w:tcBorders>
              <w:top w:val="single" w:sz="4" w:space="0" w:color="000000"/>
              <w:left w:val="single" w:sz="4" w:space="0" w:color="000000"/>
              <w:right w:val="single" w:sz="4" w:space="0" w:color="000000"/>
            </w:tcBorders>
            <w:shd w:val="pct10" w:color="auto" w:fill="auto"/>
            <w:vAlign w:val="center"/>
            <w:hideMark/>
          </w:tcPr>
          <w:p w14:paraId="4A5D4CDF"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785ADF33"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 xml:space="preserve">WHOLE BLOOD </w:t>
            </w:r>
          </w:p>
        </w:tc>
        <w:tc>
          <w:tcPr>
            <w:tcW w:w="1260" w:type="dxa"/>
            <w:tcBorders>
              <w:top w:val="single" w:sz="4" w:space="0" w:color="000000"/>
              <w:left w:val="single" w:sz="4" w:space="0" w:color="000000"/>
              <w:right w:val="single" w:sz="4" w:space="0" w:color="000000"/>
            </w:tcBorders>
            <w:shd w:val="pct10" w:color="auto" w:fill="auto"/>
            <w:vAlign w:val="center"/>
            <w:hideMark/>
          </w:tcPr>
          <w:p w14:paraId="51319FB6"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Washed</w:t>
            </w:r>
          </w:p>
        </w:tc>
        <w:tc>
          <w:tcPr>
            <w:tcW w:w="1620" w:type="dxa"/>
            <w:tcBorders>
              <w:top w:val="single" w:sz="4" w:space="0" w:color="000000"/>
              <w:left w:val="single" w:sz="4" w:space="0" w:color="000000"/>
              <w:right w:val="single" w:sz="4" w:space="0" w:color="000000"/>
            </w:tcBorders>
            <w:shd w:val="pct10" w:color="auto" w:fill="auto"/>
            <w:vAlign w:val="center"/>
            <w:hideMark/>
          </w:tcPr>
          <w:p w14:paraId="77C8F071"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72BD0B65"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7C2FA535" w14:textId="77777777" w:rsidTr="009125FD">
        <w:trPr>
          <w:cantSplit/>
          <w:trHeight w:val="1295"/>
        </w:trPr>
        <w:tc>
          <w:tcPr>
            <w:tcW w:w="1692" w:type="dxa"/>
            <w:vMerge/>
            <w:tcBorders>
              <w:left w:val="single" w:sz="4" w:space="0" w:color="000000"/>
              <w:right w:val="single" w:sz="4" w:space="0" w:color="000000"/>
            </w:tcBorders>
            <w:vAlign w:val="bottom"/>
          </w:tcPr>
          <w:p w14:paraId="7C0636B2"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14:paraId="156D4DCB"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1D4E136E" w14:textId="77777777" w:rsidR="009125FD" w:rsidRPr="005C5D59" w:rsidRDefault="009125FD" w:rsidP="009125FD">
            <w:pPr>
              <w:jc w:val="center"/>
              <w:rPr>
                <w:rFonts w:ascii="Arial" w:hAnsi="Arial" w:cs="Arial"/>
                <w:sz w:val="18"/>
                <w:szCs w:val="18"/>
              </w:rPr>
            </w:pPr>
          </w:p>
          <w:p w14:paraId="574C1CA8"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tc>
        <w:tc>
          <w:tcPr>
            <w:tcW w:w="1260" w:type="dxa"/>
            <w:tcBorders>
              <w:top w:val="single" w:sz="4" w:space="0" w:color="000000"/>
              <w:left w:val="single" w:sz="4" w:space="0" w:color="000000"/>
              <w:right w:val="single" w:sz="4" w:space="0" w:color="000000"/>
            </w:tcBorders>
            <w:vAlign w:val="center"/>
          </w:tcPr>
          <w:p w14:paraId="1DF42DA1" w14:textId="77777777" w:rsidR="009125FD" w:rsidRPr="00825E94" w:rsidRDefault="009125FD" w:rsidP="009125FD">
            <w:pPr>
              <w:jc w:val="center"/>
              <w:rPr>
                <w:rFonts w:ascii="Arial" w:hAnsi="Arial" w:cs="Arial"/>
                <w:b/>
                <w:color w:val="FF0000"/>
                <w:sz w:val="18"/>
                <w:szCs w:val="18"/>
              </w:rPr>
            </w:pPr>
            <w:r w:rsidRPr="00825E94">
              <w:rPr>
                <w:rFonts w:ascii="Arial" w:hAnsi="Arial" w:cs="Arial"/>
                <w:b/>
                <w:color w:val="FF0000"/>
                <w:sz w:val="18"/>
                <w:szCs w:val="18"/>
              </w:rPr>
              <w:t>Not Washed</w:t>
            </w:r>
          </w:p>
        </w:tc>
        <w:tc>
          <w:tcPr>
            <w:tcW w:w="1620" w:type="dxa"/>
            <w:tcBorders>
              <w:top w:val="single" w:sz="4" w:space="0" w:color="000000"/>
              <w:left w:val="single" w:sz="4" w:space="0" w:color="000000"/>
              <w:right w:val="single" w:sz="4" w:space="0" w:color="000000"/>
            </w:tcBorders>
            <w:vAlign w:val="center"/>
          </w:tcPr>
          <w:p w14:paraId="3B872FBD" w14:textId="77777777" w:rsidR="009125FD" w:rsidRPr="00D93607" w:rsidRDefault="009125FD" w:rsidP="009125FD">
            <w:pPr>
              <w:ind w:left="18"/>
              <w:rPr>
                <w:rFonts w:ascii="Arial" w:hAnsi="Arial" w:cs="Arial"/>
                <w:sz w:val="18"/>
                <w:szCs w:val="18"/>
              </w:rPr>
            </w:pPr>
            <w:r w:rsidRPr="00D93607">
              <w:rPr>
                <w:rFonts w:ascii="Arial" w:hAnsi="Arial" w:cs="Arial"/>
                <w:noProof/>
                <w:sz w:val="18"/>
                <w:szCs w:val="18"/>
              </w:rPr>
              <w:t>Technologist</w:t>
            </w:r>
          </w:p>
          <w:p w14:paraId="4C3F2C9E" w14:textId="77777777" w:rsidR="009125FD" w:rsidRPr="00836EE2" w:rsidRDefault="009125FD" w:rsidP="009125FD">
            <w:pPr>
              <w:ind w:left="18"/>
              <w:rPr>
                <w:rFonts w:ascii="Arial" w:hAnsi="Arial" w:cs="Arial"/>
                <w:sz w:val="18"/>
                <w:szCs w:val="18"/>
              </w:rPr>
            </w:pPr>
          </w:p>
          <w:p w14:paraId="2E9F83C3" w14:textId="77777777" w:rsidR="009125FD" w:rsidRPr="00D93607" w:rsidRDefault="009125FD" w:rsidP="009125FD">
            <w:pPr>
              <w:ind w:left="18"/>
              <w:rPr>
                <w:rFonts w:ascii="Arial" w:hAnsi="Arial" w:cs="Arial"/>
                <w:noProof/>
                <w:sz w:val="18"/>
                <w:szCs w:val="18"/>
              </w:rPr>
            </w:pPr>
            <w:r w:rsidRPr="00D93607">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vAlign w:val="bottom"/>
          </w:tcPr>
          <w:p w14:paraId="388EABED" w14:textId="77777777" w:rsidR="009125FD"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Patient’s Transfusion Requirement is not satisfied.</w:t>
            </w:r>
            <w:r w:rsidRPr="005C5D59">
              <w:rPr>
                <w:rFonts w:ascii="Arial" w:hAnsi="Arial" w:cs="Arial"/>
                <w:sz w:val="18"/>
                <w:szCs w:val="18"/>
              </w:rPr>
              <w:t xml:space="preserve"> </w:t>
            </w:r>
            <w:r w:rsidRPr="007F3B3C">
              <w:rPr>
                <w:rFonts w:ascii="Arial" w:hAnsi="Arial" w:cs="Arial"/>
                <w:i/>
                <w:sz w:val="18"/>
                <w:szCs w:val="18"/>
              </w:rPr>
              <w:t>You do not have the proper security to issue this unit. Further processing is needed and must be documented in VBECS.</w:t>
            </w:r>
            <w:r w:rsidRPr="005C5D59">
              <w:rPr>
                <w:rFonts w:ascii="Arial" w:hAnsi="Arial" w:cs="Arial"/>
                <w:sz w:val="18"/>
                <w:szCs w:val="18"/>
              </w:rPr>
              <w:t xml:space="preserve"> </w:t>
            </w:r>
          </w:p>
          <w:p w14:paraId="54668601" w14:textId="77777777" w:rsidR="009125FD" w:rsidRPr="005C5D59" w:rsidRDefault="009125FD" w:rsidP="009125FD">
            <w:pPr>
              <w:rPr>
                <w:rFonts w:ascii="Arial" w:hAnsi="Arial" w:cs="Arial"/>
                <w:sz w:val="18"/>
                <w:szCs w:val="18"/>
              </w:rPr>
            </w:pPr>
            <w:r>
              <w:rPr>
                <w:rFonts w:ascii="Arial" w:hAnsi="Arial" w:cs="Arial"/>
                <w:sz w:val="18"/>
                <w:szCs w:val="18"/>
              </w:rPr>
              <w:t>The tech may not issue this unit in the computer.</w:t>
            </w:r>
          </w:p>
        </w:tc>
      </w:tr>
      <w:tr w:rsidR="009125FD" w:rsidRPr="005C5D59" w14:paraId="68909F89" w14:textId="77777777" w:rsidTr="009125FD">
        <w:trPr>
          <w:cantSplit/>
          <w:trHeight w:val="2343"/>
        </w:trPr>
        <w:tc>
          <w:tcPr>
            <w:tcW w:w="1692" w:type="dxa"/>
            <w:vMerge/>
            <w:tcBorders>
              <w:left w:val="single" w:sz="4" w:space="0" w:color="000000"/>
              <w:right w:val="single" w:sz="4" w:space="0" w:color="000000"/>
            </w:tcBorders>
            <w:vAlign w:val="bottom"/>
          </w:tcPr>
          <w:p w14:paraId="4AE1E215"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14:paraId="56AB14F9"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7C506A06" w14:textId="77777777" w:rsidR="009125FD" w:rsidRPr="005C5D59" w:rsidRDefault="009125FD" w:rsidP="009125FD">
            <w:pPr>
              <w:jc w:val="center"/>
              <w:rPr>
                <w:rFonts w:ascii="Arial" w:hAnsi="Arial" w:cs="Arial"/>
                <w:sz w:val="18"/>
                <w:szCs w:val="18"/>
              </w:rPr>
            </w:pPr>
          </w:p>
          <w:p w14:paraId="340052A7"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tc>
        <w:tc>
          <w:tcPr>
            <w:tcW w:w="1260" w:type="dxa"/>
            <w:tcBorders>
              <w:top w:val="single" w:sz="4" w:space="0" w:color="000000"/>
              <w:left w:val="single" w:sz="4" w:space="0" w:color="000000"/>
              <w:right w:val="single" w:sz="4" w:space="0" w:color="000000"/>
            </w:tcBorders>
            <w:vAlign w:val="center"/>
          </w:tcPr>
          <w:p w14:paraId="0B6FAEDB" w14:textId="77777777" w:rsidR="009125FD" w:rsidRPr="00825E94" w:rsidRDefault="009125FD" w:rsidP="009125FD">
            <w:pPr>
              <w:jc w:val="center"/>
              <w:rPr>
                <w:rFonts w:ascii="Arial" w:hAnsi="Arial" w:cs="Arial"/>
                <w:b/>
                <w:color w:val="FF0000"/>
                <w:sz w:val="18"/>
                <w:szCs w:val="18"/>
              </w:rPr>
            </w:pPr>
            <w:r w:rsidRPr="00825E94">
              <w:rPr>
                <w:rFonts w:ascii="Arial" w:hAnsi="Arial" w:cs="Arial"/>
                <w:b/>
                <w:color w:val="FF0000"/>
                <w:sz w:val="18"/>
                <w:szCs w:val="18"/>
              </w:rPr>
              <w:t>Not Washed</w:t>
            </w:r>
          </w:p>
        </w:tc>
        <w:tc>
          <w:tcPr>
            <w:tcW w:w="1620" w:type="dxa"/>
            <w:tcBorders>
              <w:top w:val="single" w:sz="4" w:space="0" w:color="000000"/>
              <w:left w:val="single" w:sz="4" w:space="0" w:color="000000"/>
              <w:right w:val="single" w:sz="4" w:space="0" w:color="000000"/>
            </w:tcBorders>
            <w:vAlign w:val="center"/>
          </w:tcPr>
          <w:p w14:paraId="5693C765" w14:textId="77777777" w:rsidR="009125FD" w:rsidRPr="00D93607" w:rsidRDefault="009125FD" w:rsidP="009125FD">
            <w:pPr>
              <w:spacing w:before="120"/>
              <w:ind w:left="18"/>
              <w:rPr>
                <w:rFonts w:ascii="Arial" w:hAnsi="Arial" w:cs="Arial"/>
                <w:sz w:val="18"/>
                <w:szCs w:val="18"/>
              </w:rPr>
            </w:pPr>
            <w:r w:rsidRPr="00D93607">
              <w:rPr>
                <w:rFonts w:ascii="Arial" w:hAnsi="Arial" w:cs="Arial"/>
                <w:sz w:val="18"/>
                <w:szCs w:val="18"/>
              </w:rPr>
              <w:t>Lead Technologist</w:t>
            </w:r>
          </w:p>
          <w:p w14:paraId="7E556499" w14:textId="77777777" w:rsidR="009125FD" w:rsidRPr="00D93607" w:rsidRDefault="009125FD" w:rsidP="009125FD">
            <w:pPr>
              <w:spacing w:before="120"/>
              <w:ind w:left="18"/>
              <w:rPr>
                <w:rFonts w:ascii="Arial" w:hAnsi="Arial" w:cs="Arial"/>
                <w:sz w:val="18"/>
                <w:szCs w:val="18"/>
              </w:rPr>
            </w:pPr>
            <w:r w:rsidRPr="00D93607">
              <w:rPr>
                <w:rFonts w:ascii="Arial" w:hAnsi="Arial" w:cs="Arial"/>
                <w:sz w:val="18"/>
                <w:szCs w:val="18"/>
              </w:rPr>
              <w:t>Traditional Supervisor</w:t>
            </w:r>
          </w:p>
          <w:p w14:paraId="2D014BE7" w14:textId="77777777" w:rsidR="009125FD" w:rsidRPr="00D93607" w:rsidRDefault="009125FD" w:rsidP="009125FD">
            <w:pPr>
              <w:spacing w:before="120"/>
              <w:ind w:left="18"/>
              <w:rPr>
                <w:rFonts w:ascii="Arial" w:hAnsi="Arial" w:cs="Arial"/>
                <w:sz w:val="18"/>
                <w:szCs w:val="18"/>
              </w:rPr>
            </w:pPr>
            <w:r w:rsidRPr="00D93607">
              <w:rPr>
                <w:rFonts w:ascii="Arial" w:hAnsi="Arial" w:cs="Arial"/>
                <w:sz w:val="18"/>
                <w:szCs w:val="18"/>
              </w:rPr>
              <w:t>Enhanced Supervisor</w:t>
            </w:r>
          </w:p>
          <w:p w14:paraId="25C99C62" w14:textId="77777777" w:rsidR="009125FD" w:rsidRPr="00D93607" w:rsidRDefault="009125FD" w:rsidP="009125FD">
            <w:pPr>
              <w:spacing w:before="120"/>
              <w:ind w:left="18"/>
              <w:rPr>
                <w:rFonts w:ascii="Arial" w:hAnsi="Arial" w:cs="Arial"/>
                <w:sz w:val="18"/>
                <w:szCs w:val="18"/>
              </w:rPr>
            </w:pPr>
            <w:r w:rsidRPr="00D93607">
              <w:rPr>
                <w:rFonts w:ascii="Arial" w:hAnsi="Arial" w:cs="Arial"/>
                <w:sz w:val="18"/>
                <w:szCs w:val="18"/>
              </w:rPr>
              <w:t>Administrator/Supervisor</w:t>
            </w:r>
          </w:p>
          <w:p w14:paraId="42812FAC" w14:textId="77777777" w:rsidR="009125FD" w:rsidRPr="008B278A" w:rsidRDefault="009125FD" w:rsidP="009125FD">
            <w:pPr>
              <w:ind w:left="18"/>
              <w:rPr>
                <w:rFonts w:ascii="Arial" w:hAnsi="Arial" w:cs="Arial"/>
                <w:sz w:val="18"/>
                <w:szCs w:val="18"/>
              </w:rPr>
            </w:pPr>
          </w:p>
        </w:tc>
        <w:tc>
          <w:tcPr>
            <w:tcW w:w="4050" w:type="dxa"/>
            <w:tcBorders>
              <w:top w:val="single" w:sz="4" w:space="0" w:color="000000"/>
              <w:left w:val="single" w:sz="4" w:space="0" w:color="000000"/>
              <w:right w:val="single" w:sz="4" w:space="0" w:color="000000"/>
            </w:tcBorders>
            <w:vAlign w:val="bottom"/>
          </w:tcPr>
          <w:p w14:paraId="710EABAE" w14:textId="77777777" w:rsidR="009125FD" w:rsidRPr="005C5D59"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 xml:space="preserve">Patient’s </w:t>
            </w:r>
            <w:r>
              <w:rPr>
                <w:rFonts w:ascii="Arial" w:hAnsi="Arial" w:cs="Arial"/>
                <w:i/>
                <w:sz w:val="18"/>
                <w:szCs w:val="18"/>
              </w:rPr>
              <w:t>Washed RBC Products</w:t>
            </w:r>
            <w:r w:rsidRPr="00836EE2">
              <w:rPr>
                <w:rFonts w:ascii="Arial" w:hAnsi="Arial" w:cs="Arial"/>
                <w:i/>
                <w:sz w:val="18"/>
                <w:szCs w:val="18"/>
              </w:rPr>
              <w:t xml:space="preserve"> Transfusion Requirement is not satisfied</w:t>
            </w:r>
            <w:r w:rsidRPr="005C5D59">
              <w:rPr>
                <w:rFonts w:ascii="Arial" w:hAnsi="Arial" w:cs="Arial"/>
                <w:sz w:val="18"/>
                <w:szCs w:val="18"/>
              </w:rPr>
              <w:t xml:space="preserve"> and prompts the user whether to proceed. </w:t>
            </w:r>
          </w:p>
          <w:p w14:paraId="5ADD1604" w14:textId="77777777" w:rsidR="009125FD" w:rsidRPr="005C5D59" w:rsidRDefault="009125FD" w:rsidP="009125FD">
            <w:pPr>
              <w:rPr>
                <w:rFonts w:ascii="Arial" w:hAnsi="Arial" w:cs="Arial"/>
                <w:sz w:val="18"/>
                <w:szCs w:val="18"/>
              </w:rPr>
            </w:pPr>
            <w:r w:rsidRPr="005C5D59">
              <w:rPr>
                <w:rFonts w:ascii="Arial" w:hAnsi="Arial" w:cs="Arial"/>
                <w:sz w:val="18"/>
                <w:szCs w:val="18"/>
              </w:rPr>
              <w:t>If the user responds “No”</w:t>
            </w:r>
            <w:r>
              <w:rPr>
                <w:rFonts w:ascii="Arial" w:hAnsi="Arial" w:cs="Arial"/>
                <w:sz w:val="18"/>
                <w:szCs w:val="18"/>
              </w:rPr>
              <w:t>,</w:t>
            </w:r>
            <w:r w:rsidRPr="005C5D59">
              <w:rPr>
                <w:rFonts w:ascii="Arial" w:hAnsi="Arial" w:cs="Arial"/>
                <w:sz w:val="18"/>
                <w:szCs w:val="18"/>
              </w:rPr>
              <w:t xml:space="preserve"> the system wi</w:t>
            </w:r>
            <w:r>
              <w:rPr>
                <w:rFonts w:ascii="Arial" w:hAnsi="Arial" w:cs="Arial"/>
                <w:sz w:val="18"/>
                <w:szCs w:val="18"/>
              </w:rPr>
              <w:t>ll clear the selected unit.</w:t>
            </w:r>
          </w:p>
          <w:p w14:paraId="6EA26F31" w14:textId="1B24609C" w:rsidR="009125FD" w:rsidRPr="005C5D59" w:rsidRDefault="009125FD" w:rsidP="009125FD">
            <w:pPr>
              <w:rPr>
                <w:rFonts w:ascii="Arial" w:hAnsi="Arial" w:cs="Arial"/>
                <w:sz w:val="18"/>
                <w:szCs w:val="18"/>
              </w:rPr>
            </w:pPr>
            <w:r w:rsidRPr="005C5D59">
              <w:rPr>
                <w:rFonts w:ascii="Arial" w:hAnsi="Arial" w:cs="Arial"/>
                <w:sz w:val="18"/>
                <w:szCs w:val="18"/>
              </w:rPr>
              <w:t>If the user responds “Yes”</w:t>
            </w:r>
            <w:r>
              <w:rPr>
                <w:rFonts w:ascii="Arial" w:hAnsi="Arial" w:cs="Arial"/>
                <w:sz w:val="18"/>
                <w:szCs w:val="18"/>
              </w:rPr>
              <w:t>,</w:t>
            </w:r>
            <w:r w:rsidRPr="005C5D59">
              <w:rPr>
                <w:rFonts w:ascii="Arial" w:hAnsi="Arial" w:cs="Arial"/>
                <w:sz w:val="18"/>
                <w:szCs w:val="18"/>
              </w:rPr>
              <w:t xml:space="preserve"> the system will require a comment (free text or canned, “unit issue” context) and capture the transacti</w:t>
            </w:r>
            <w:r>
              <w:rPr>
                <w:rFonts w:ascii="Arial" w:hAnsi="Arial" w:cs="Arial"/>
                <w:sz w:val="18"/>
                <w:szCs w:val="18"/>
              </w:rPr>
              <w:t>on details for inclusion in an Exception R</w:t>
            </w:r>
            <w:r w:rsidRPr="005C5D59">
              <w:rPr>
                <w:rFonts w:ascii="Arial" w:hAnsi="Arial" w:cs="Arial"/>
                <w:sz w:val="18"/>
                <w:szCs w:val="18"/>
              </w:rPr>
              <w:t>eport</w:t>
            </w:r>
            <w:r>
              <w:rPr>
                <w:rFonts w:ascii="Arial" w:hAnsi="Arial" w:cs="Arial"/>
                <w:sz w:val="18"/>
                <w:szCs w:val="18"/>
              </w:rPr>
              <w:t xml:space="preserve"> entry</w:t>
            </w:r>
            <w:r w:rsidRPr="005C5D59">
              <w:rPr>
                <w:rFonts w:ascii="Arial" w:hAnsi="Arial" w:cs="Arial"/>
                <w:sz w:val="18"/>
                <w:szCs w:val="18"/>
              </w:rPr>
              <w:t xml:space="preserve">: </w:t>
            </w:r>
            <w:r w:rsidRPr="005C5D59">
              <w:rPr>
                <w:rFonts w:ascii="Arial" w:hAnsi="Arial" w:cs="Arial"/>
                <w:i/>
                <w:sz w:val="18"/>
                <w:szCs w:val="18"/>
              </w:rPr>
              <w:t xml:space="preserve">Unit issued with unsatisfied Transfusion </w:t>
            </w:r>
            <w:r w:rsidR="00AE3B37" w:rsidRPr="005C5D59">
              <w:rPr>
                <w:rFonts w:ascii="Arial" w:hAnsi="Arial" w:cs="Arial"/>
                <w:i/>
                <w:sz w:val="18"/>
                <w:szCs w:val="18"/>
              </w:rPr>
              <w:t>Requirement</w:t>
            </w:r>
            <w:r w:rsidR="00AE3B37" w:rsidRPr="005C5D59">
              <w:rPr>
                <w:rFonts w:ascii="Arial" w:hAnsi="Arial" w:cs="Arial"/>
                <w:sz w:val="18"/>
                <w:szCs w:val="18"/>
              </w:rPr>
              <w:t>.</w:t>
            </w:r>
          </w:p>
        </w:tc>
      </w:tr>
    </w:tbl>
    <w:p w14:paraId="0F454AFA" w14:textId="77777777" w:rsidR="009125FD" w:rsidRPr="00825E94" w:rsidRDefault="009125FD" w:rsidP="009125FD"/>
    <w:p w14:paraId="705A0420" w14:textId="7765D97D" w:rsidR="00C15299" w:rsidRDefault="009125FD" w:rsidP="00C15299">
      <w:pPr>
        <w:pStyle w:val="Caption"/>
      </w:pPr>
      <w:r>
        <w:br w:type="page"/>
      </w:r>
      <w:bookmarkStart w:id="839" w:name="_Ref407610759"/>
      <w:bookmarkStart w:id="840" w:name="_Ref343502547"/>
      <w:r w:rsidR="00C15299">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168</w:t>
      </w:r>
      <w:r w:rsidR="004E20BD">
        <w:rPr>
          <w:noProof/>
        </w:rPr>
        <w:fldChar w:fldCharType="end"/>
      </w:r>
      <w:bookmarkEnd w:id="839"/>
      <w:r w:rsidR="00C15299">
        <w:t>: Washed PLATELET (PLT) Products and Select Blood Unit</w:t>
      </w:r>
      <w:bookmarkEnd w:id="840"/>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692"/>
        <w:gridCol w:w="1620"/>
        <w:gridCol w:w="1260"/>
        <w:gridCol w:w="1620"/>
        <w:gridCol w:w="4050"/>
      </w:tblGrid>
      <w:tr w:rsidR="009125FD" w:rsidRPr="005C5D59" w14:paraId="3C553A8A" w14:textId="77777777" w:rsidTr="009125FD">
        <w:trPr>
          <w:cantSplit/>
          <w:trHeight w:val="305"/>
          <w:tblHeader/>
        </w:trPr>
        <w:tc>
          <w:tcPr>
            <w:tcW w:w="10242" w:type="dxa"/>
            <w:gridSpan w:val="5"/>
            <w:tcBorders>
              <w:top w:val="single" w:sz="4" w:space="0" w:color="000000"/>
              <w:left w:val="single" w:sz="4" w:space="0" w:color="000000"/>
              <w:right w:val="single" w:sz="4" w:space="0" w:color="000000"/>
            </w:tcBorders>
            <w:shd w:val="pct25" w:color="auto" w:fill="auto"/>
            <w:vAlign w:val="bottom"/>
            <w:hideMark/>
          </w:tcPr>
          <w:p w14:paraId="485D3F61"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Select Unit: </w:t>
            </w:r>
            <w:r>
              <w:rPr>
                <w:rFonts w:ascii="Arial" w:hAnsi="Arial" w:cs="Arial"/>
                <w:b/>
                <w:sz w:val="18"/>
                <w:szCs w:val="18"/>
              </w:rPr>
              <w:t xml:space="preserve">  </w:t>
            </w:r>
            <w:r w:rsidRPr="00B62010">
              <w:rPr>
                <w:rFonts w:ascii="Arial" w:hAnsi="Arial" w:cs="Arial"/>
                <w:b/>
                <w:sz w:val="20"/>
                <w:szCs w:val="20"/>
              </w:rPr>
              <w:t>Washed PLT products</w:t>
            </w:r>
          </w:p>
        </w:tc>
      </w:tr>
      <w:tr w:rsidR="009125FD" w:rsidRPr="005C5D59" w14:paraId="290AB0E0" w14:textId="77777777" w:rsidTr="009125FD">
        <w:trPr>
          <w:cantSplit/>
          <w:trHeight w:val="432"/>
          <w:tblHeader/>
        </w:trPr>
        <w:tc>
          <w:tcPr>
            <w:tcW w:w="1692" w:type="dxa"/>
            <w:tcBorders>
              <w:left w:val="single" w:sz="4" w:space="0" w:color="000000"/>
              <w:bottom w:val="single" w:sz="4" w:space="0" w:color="000000"/>
              <w:right w:val="single" w:sz="4" w:space="0" w:color="000000"/>
            </w:tcBorders>
            <w:shd w:val="pct25" w:color="auto" w:fill="auto"/>
            <w:vAlign w:val="bottom"/>
            <w:hideMark/>
          </w:tcPr>
          <w:p w14:paraId="2CB392DB"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620" w:type="dxa"/>
            <w:tcBorders>
              <w:left w:val="single" w:sz="4" w:space="0" w:color="000000"/>
              <w:bottom w:val="single" w:sz="4" w:space="0" w:color="000000"/>
              <w:right w:val="single" w:sz="4" w:space="0" w:color="000000"/>
            </w:tcBorders>
            <w:shd w:val="pct25" w:color="auto" w:fill="auto"/>
            <w:vAlign w:val="bottom"/>
            <w:hideMark/>
          </w:tcPr>
          <w:p w14:paraId="0015A36B"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592AFAC3" w14:textId="77777777" w:rsidR="009125FD" w:rsidRPr="005C5D59" w:rsidRDefault="009125FD" w:rsidP="009125FD">
            <w:pPr>
              <w:jc w:val="cente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60E30233" w14:textId="77777777" w:rsidR="009125FD" w:rsidRPr="005C5D59" w:rsidRDefault="009125FD" w:rsidP="009125FD">
            <w:pPr>
              <w:jc w:val="center"/>
              <w:rPr>
                <w:rFonts w:ascii="Arial" w:hAnsi="Arial" w:cs="Arial"/>
                <w:b/>
                <w:sz w:val="18"/>
                <w:szCs w:val="18"/>
              </w:rPr>
            </w:pPr>
            <w:r w:rsidRPr="005C5D59">
              <w:rPr>
                <w:rFonts w:ascii="Arial" w:hAnsi="Arial" w:cs="Arial"/>
                <w:b/>
                <w:sz w:val="18"/>
                <w:szCs w:val="18"/>
              </w:rPr>
              <w:t>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7FD85390" w14:textId="77777777" w:rsidR="009125FD" w:rsidRPr="005C5D59" w:rsidRDefault="009125FD" w:rsidP="009125FD">
            <w:pPr>
              <w:jc w:val="center"/>
              <w:rPr>
                <w:rFonts w:ascii="Arial" w:hAnsi="Arial" w:cs="Arial"/>
                <w:b/>
                <w:sz w:val="18"/>
                <w:szCs w:val="18"/>
              </w:rPr>
            </w:pPr>
            <w:r>
              <w:rPr>
                <w:rFonts w:ascii="Arial" w:hAnsi="Arial" w:cs="Arial"/>
                <w:b/>
                <w:sz w:val="18"/>
                <w:szCs w:val="18"/>
              </w:rPr>
              <w:t xml:space="preserve">VBECS </w:t>
            </w:r>
            <w:r w:rsidRPr="005C5D59">
              <w:rPr>
                <w:rFonts w:ascii="Arial" w:hAnsi="Arial" w:cs="Arial"/>
                <w:b/>
                <w:sz w:val="18"/>
                <w:szCs w:val="18"/>
              </w:rPr>
              <w:t>Response</w:t>
            </w:r>
          </w:p>
        </w:tc>
      </w:tr>
      <w:tr w:rsidR="009125FD" w:rsidRPr="005C5D59" w14:paraId="61CFBE6B" w14:textId="77777777" w:rsidTr="009125FD">
        <w:trPr>
          <w:cantSplit/>
          <w:trHeight w:val="284"/>
        </w:trPr>
        <w:tc>
          <w:tcPr>
            <w:tcW w:w="1692" w:type="dxa"/>
            <w:vMerge w:val="restart"/>
            <w:tcBorders>
              <w:top w:val="single" w:sz="4" w:space="0" w:color="000000"/>
              <w:left w:val="single" w:sz="4" w:space="0" w:color="000000"/>
              <w:right w:val="single" w:sz="4" w:space="0" w:color="000000"/>
            </w:tcBorders>
            <w:vAlign w:val="center"/>
            <w:hideMark/>
          </w:tcPr>
          <w:p w14:paraId="1A305B11" w14:textId="77777777" w:rsidR="009125FD" w:rsidRPr="00D93607" w:rsidRDefault="009125FD" w:rsidP="009125FD">
            <w:pPr>
              <w:jc w:val="center"/>
              <w:rPr>
                <w:rFonts w:ascii="Arial" w:hAnsi="Arial" w:cs="Arial"/>
                <w:b/>
                <w:sz w:val="28"/>
                <w:szCs w:val="28"/>
              </w:rPr>
            </w:pPr>
            <w:r w:rsidRPr="00D93607">
              <w:rPr>
                <w:rFonts w:ascii="Arial" w:hAnsi="Arial" w:cs="Arial"/>
                <w:b/>
                <w:sz w:val="28"/>
                <w:szCs w:val="28"/>
              </w:rPr>
              <w:t>Washed PLT products</w:t>
            </w:r>
          </w:p>
        </w:tc>
        <w:tc>
          <w:tcPr>
            <w:tcW w:w="1620" w:type="dxa"/>
            <w:tcBorders>
              <w:top w:val="single" w:sz="4" w:space="0" w:color="000000"/>
              <w:left w:val="single" w:sz="4" w:space="0" w:color="000000"/>
              <w:right w:val="single" w:sz="4" w:space="0" w:color="000000"/>
            </w:tcBorders>
            <w:shd w:val="pct10" w:color="auto" w:fill="auto"/>
            <w:vAlign w:val="center"/>
            <w:hideMark/>
          </w:tcPr>
          <w:p w14:paraId="4C225EE9"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5D9FF246"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 xml:space="preserve"> WHOLE BLOOD</w:t>
            </w:r>
          </w:p>
          <w:p w14:paraId="5C1E5B44" w14:textId="77777777" w:rsidR="009125FD" w:rsidRDefault="009125FD" w:rsidP="009125FD">
            <w:pPr>
              <w:spacing w:before="120" w:after="120"/>
              <w:jc w:val="center"/>
              <w:rPr>
                <w:rFonts w:ascii="Arial" w:hAnsi="Arial" w:cs="Arial"/>
                <w:sz w:val="18"/>
                <w:szCs w:val="18"/>
              </w:rPr>
            </w:pPr>
            <w:r w:rsidRPr="005C5D59">
              <w:rPr>
                <w:rFonts w:ascii="Arial" w:hAnsi="Arial" w:cs="Arial"/>
                <w:sz w:val="18"/>
                <w:szCs w:val="18"/>
              </w:rPr>
              <w:t xml:space="preserve"> PLATELETS</w:t>
            </w:r>
          </w:p>
          <w:p w14:paraId="13A038DD" w14:textId="77777777" w:rsidR="009125FD" w:rsidRPr="005C5D59" w:rsidRDefault="009125FD" w:rsidP="009125FD">
            <w:pPr>
              <w:jc w:val="center"/>
              <w:rPr>
                <w:rFonts w:ascii="Arial" w:hAnsi="Arial" w:cs="Arial"/>
                <w:sz w:val="18"/>
                <w:szCs w:val="18"/>
              </w:rPr>
            </w:pPr>
            <w:r w:rsidRPr="005C5D59">
              <w:rPr>
                <w:rFonts w:ascii="Arial" w:hAnsi="Arial" w:cs="Arial"/>
                <w:color w:val="000000"/>
                <w:sz w:val="18"/>
                <w:szCs w:val="18"/>
              </w:rPr>
              <w:t>OTHER</w:t>
            </w:r>
          </w:p>
        </w:tc>
        <w:tc>
          <w:tcPr>
            <w:tcW w:w="1260" w:type="dxa"/>
            <w:tcBorders>
              <w:top w:val="single" w:sz="4" w:space="0" w:color="000000"/>
              <w:left w:val="single" w:sz="4" w:space="0" w:color="000000"/>
              <w:right w:val="single" w:sz="4" w:space="0" w:color="000000"/>
            </w:tcBorders>
            <w:shd w:val="pct10" w:color="auto" w:fill="auto"/>
            <w:vAlign w:val="center"/>
            <w:hideMark/>
          </w:tcPr>
          <w:p w14:paraId="04B2451D"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Washed</w:t>
            </w:r>
          </w:p>
        </w:tc>
        <w:tc>
          <w:tcPr>
            <w:tcW w:w="1620" w:type="dxa"/>
            <w:tcBorders>
              <w:top w:val="single" w:sz="4" w:space="0" w:color="000000"/>
              <w:left w:val="single" w:sz="4" w:space="0" w:color="000000"/>
              <w:right w:val="single" w:sz="4" w:space="0" w:color="000000"/>
            </w:tcBorders>
            <w:shd w:val="pct10" w:color="auto" w:fill="auto"/>
            <w:vAlign w:val="center"/>
            <w:hideMark/>
          </w:tcPr>
          <w:p w14:paraId="4612204F"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406E4812"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07E9E9E3" w14:textId="77777777" w:rsidTr="009125FD">
        <w:trPr>
          <w:cantSplit/>
          <w:trHeight w:val="432"/>
        </w:trPr>
        <w:tc>
          <w:tcPr>
            <w:tcW w:w="1692" w:type="dxa"/>
            <w:vMerge/>
            <w:tcBorders>
              <w:left w:val="single" w:sz="4" w:space="0" w:color="000000"/>
              <w:right w:val="single" w:sz="4" w:space="0" w:color="000000"/>
            </w:tcBorders>
            <w:vAlign w:val="bottom"/>
          </w:tcPr>
          <w:p w14:paraId="79C8ED94"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C4F3762"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760C84BD"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WHOLE BLOOD</w:t>
            </w:r>
          </w:p>
          <w:p w14:paraId="594D3434"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PLATELETS</w:t>
            </w:r>
          </w:p>
          <w:p w14:paraId="01D89E50" w14:textId="77777777" w:rsidR="009125FD" w:rsidRPr="005C5D59" w:rsidRDefault="009125FD" w:rsidP="009125FD">
            <w:pPr>
              <w:spacing w:before="120"/>
              <w:jc w:val="center"/>
              <w:rPr>
                <w:rFonts w:ascii="Arial" w:hAnsi="Arial" w:cs="Arial"/>
                <w:sz w:val="18"/>
                <w:szCs w:val="18"/>
              </w:rPr>
            </w:pPr>
            <w:r w:rsidRPr="005C5D59">
              <w:rPr>
                <w:rFonts w:ascii="Arial" w:hAnsi="Arial" w:cs="Arial"/>
                <w:color w:val="000000"/>
                <w:sz w:val="18"/>
                <w:szCs w:val="18"/>
              </w:rPr>
              <w:t>OTHER</w:t>
            </w:r>
          </w:p>
        </w:tc>
        <w:tc>
          <w:tcPr>
            <w:tcW w:w="1260" w:type="dxa"/>
            <w:tcBorders>
              <w:top w:val="single" w:sz="4" w:space="0" w:color="000000"/>
              <w:left w:val="single" w:sz="4" w:space="0" w:color="000000"/>
              <w:bottom w:val="single" w:sz="4" w:space="0" w:color="000000"/>
              <w:right w:val="single" w:sz="4" w:space="0" w:color="000000"/>
            </w:tcBorders>
            <w:vAlign w:val="center"/>
          </w:tcPr>
          <w:p w14:paraId="6E3E1A5B" w14:textId="77777777" w:rsidR="009125FD" w:rsidRPr="00825E94" w:rsidRDefault="009125FD" w:rsidP="009125FD">
            <w:pPr>
              <w:jc w:val="center"/>
              <w:rPr>
                <w:rFonts w:ascii="Arial" w:hAnsi="Arial" w:cs="Arial"/>
                <w:b/>
                <w:color w:val="FF0000"/>
                <w:sz w:val="18"/>
                <w:szCs w:val="18"/>
              </w:rPr>
            </w:pPr>
            <w:r w:rsidRPr="00825E94">
              <w:rPr>
                <w:rFonts w:ascii="Arial" w:hAnsi="Arial" w:cs="Arial"/>
                <w:b/>
                <w:color w:val="FF0000"/>
                <w:sz w:val="18"/>
                <w:szCs w:val="18"/>
              </w:rPr>
              <w:t>Not Washed</w:t>
            </w:r>
          </w:p>
        </w:tc>
        <w:tc>
          <w:tcPr>
            <w:tcW w:w="1620" w:type="dxa"/>
            <w:tcBorders>
              <w:top w:val="single" w:sz="4" w:space="0" w:color="000000"/>
              <w:left w:val="single" w:sz="4" w:space="0" w:color="000000"/>
              <w:right w:val="single" w:sz="4" w:space="0" w:color="000000"/>
            </w:tcBorders>
            <w:vAlign w:val="center"/>
          </w:tcPr>
          <w:p w14:paraId="5F861736"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p w14:paraId="363550A7" w14:textId="77777777" w:rsidR="009125FD" w:rsidRPr="005C5D59" w:rsidRDefault="009125FD" w:rsidP="009125FD">
            <w:pPr>
              <w:jc w:val="center"/>
              <w:rPr>
                <w:rFonts w:ascii="Arial" w:hAnsi="Arial" w:cs="Arial"/>
                <w:sz w:val="18"/>
                <w:szCs w:val="18"/>
              </w:rPr>
            </w:pPr>
          </w:p>
        </w:tc>
        <w:tc>
          <w:tcPr>
            <w:tcW w:w="4050" w:type="dxa"/>
            <w:tcBorders>
              <w:top w:val="single" w:sz="4" w:space="0" w:color="000000"/>
              <w:left w:val="single" w:sz="4" w:space="0" w:color="000000"/>
              <w:right w:val="single" w:sz="4" w:space="0" w:color="000000"/>
            </w:tcBorders>
          </w:tcPr>
          <w:p w14:paraId="3663EEEF" w14:textId="77777777" w:rsidR="009125FD" w:rsidRPr="007F3B3C" w:rsidRDefault="009125FD" w:rsidP="009125FD">
            <w:pPr>
              <w:pStyle w:val="TableText"/>
              <w:spacing w:before="120"/>
              <w:rPr>
                <w:rStyle w:val="StyleTableText9ptCharChar"/>
                <w:rFonts w:cs="Arial"/>
                <w:i/>
              </w:rPr>
            </w:pPr>
            <w:r w:rsidRPr="005C5D59">
              <w:rPr>
                <w:rStyle w:val="StyleTableText9ptCharChar"/>
                <w:rFonts w:cs="Arial"/>
              </w:rPr>
              <w:t>The Transfusio</w:t>
            </w:r>
            <w:r>
              <w:rPr>
                <w:rStyle w:val="StyleTableText9ptCharChar"/>
                <w:rFonts w:cs="Arial"/>
              </w:rPr>
              <w:t xml:space="preserve">n Requirement is not satisfied; </w:t>
            </w:r>
            <w:r w:rsidRPr="005C5D59">
              <w:rPr>
                <w:rStyle w:val="StyleTableText9ptCharChar"/>
                <w:rFonts w:cs="Arial"/>
              </w:rPr>
              <w:t xml:space="preserve">the system emits an audible alert and displays a warning message: </w:t>
            </w:r>
            <w:r w:rsidRPr="007F3B3C">
              <w:rPr>
                <w:rStyle w:val="StyleTableText9ptCharChar"/>
                <w:rFonts w:cs="Arial"/>
                <w:i/>
              </w:rPr>
              <w:t>This unit does not currently satisfy all of the patient’s Transfusion Requirements. Further processing is needed. Continue to select this unit?</w:t>
            </w:r>
          </w:p>
          <w:p w14:paraId="32D21F9E" w14:textId="77777777" w:rsidR="009125FD" w:rsidRPr="005C5D59" w:rsidRDefault="009125FD" w:rsidP="009125FD">
            <w:pPr>
              <w:pStyle w:val="TableText"/>
              <w:rPr>
                <w:rStyle w:val="StyleTableText9ptCharChar"/>
                <w:rFonts w:cs="Arial"/>
              </w:rPr>
            </w:pPr>
            <w:r w:rsidRPr="005C5D59">
              <w:rPr>
                <w:rStyle w:val="StyleTableText9ptCharChar"/>
                <w:rFonts w:cs="Arial"/>
              </w:rPr>
              <w:t>If</w:t>
            </w:r>
            <w:r>
              <w:rPr>
                <w:rStyle w:val="StyleTableText9ptCharChar"/>
                <w:rFonts w:cs="Arial"/>
              </w:rPr>
              <w:t xml:space="preserve"> the user clicks </w:t>
            </w:r>
            <w:r w:rsidRPr="005C5D59">
              <w:rPr>
                <w:rStyle w:val="StyleTableText9ptCharChar"/>
                <w:rFonts w:cs="Arial"/>
              </w:rPr>
              <w:t>“No,” the screen is cleared.</w:t>
            </w:r>
          </w:p>
          <w:p w14:paraId="4213AD3E" w14:textId="77777777" w:rsidR="009125FD" w:rsidRPr="005C5D59" w:rsidRDefault="009125FD" w:rsidP="009125FD">
            <w:pPr>
              <w:pStyle w:val="TableText"/>
              <w:rPr>
                <w:rFonts w:cs="Arial"/>
                <w:noProof/>
              </w:rPr>
            </w:pPr>
            <w:r w:rsidRPr="005C5D59">
              <w:rPr>
                <w:rStyle w:val="StyleTableText9ptCharChar"/>
                <w:rFonts w:cs="Arial"/>
              </w:rPr>
              <w:t xml:space="preserve">If </w:t>
            </w:r>
            <w:r>
              <w:rPr>
                <w:rStyle w:val="StyleTableText9ptCharChar"/>
                <w:rFonts w:cs="Arial"/>
              </w:rPr>
              <w:t>the user clicks “Yes,” selection can continue to select the unit.</w:t>
            </w:r>
          </w:p>
        </w:tc>
      </w:tr>
    </w:tbl>
    <w:p w14:paraId="33BE4C15" w14:textId="77777777" w:rsidR="009125FD" w:rsidRDefault="009125FD" w:rsidP="009125FD"/>
    <w:p w14:paraId="26799853" w14:textId="357EAA91" w:rsidR="00C15299" w:rsidRDefault="00C15299" w:rsidP="00C15299">
      <w:pPr>
        <w:pStyle w:val="Caption"/>
      </w:pPr>
      <w:bookmarkStart w:id="841" w:name="_Ref407610771"/>
      <w:bookmarkStart w:id="842" w:name="_Ref343502567"/>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169</w:t>
      </w:r>
      <w:r w:rsidR="004E20BD">
        <w:rPr>
          <w:noProof/>
        </w:rPr>
        <w:fldChar w:fldCharType="end"/>
      </w:r>
      <w:bookmarkEnd w:id="841"/>
      <w:r>
        <w:t>: Washed PLATELET (PLT) Products and Issue Blood Component</w:t>
      </w:r>
      <w:bookmarkEnd w:id="842"/>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843"/>
        <w:gridCol w:w="1469"/>
        <w:gridCol w:w="1260"/>
        <w:gridCol w:w="1620"/>
        <w:gridCol w:w="4050"/>
      </w:tblGrid>
      <w:tr w:rsidR="009125FD" w:rsidRPr="005C5D59" w14:paraId="1211D6B0" w14:textId="77777777" w:rsidTr="009125FD">
        <w:trPr>
          <w:cantSplit/>
          <w:trHeight w:val="432"/>
          <w:tblHeader/>
        </w:trPr>
        <w:tc>
          <w:tcPr>
            <w:tcW w:w="10242" w:type="dxa"/>
            <w:gridSpan w:val="5"/>
            <w:tcBorders>
              <w:left w:val="single" w:sz="4" w:space="0" w:color="000000"/>
              <w:bottom w:val="single" w:sz="4" w:space="0" w:color="000000"/>
              <w:right w:val="single" w:sz="4" w:space="0" w:color="000000"/>
            </w:tcBorders>
            <w:shd w:val="pct25" w:color="auto" w:fill="auto"/>
            <w:vAlign w:val="bottom"/>
          </w:tcPr>
          <w:p w14:paraId="21D561B3"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Issue Blood Component: </w:t>
            </w:r>
            <w:r w:rsidRPr="00B62010">
              <w:rPr>
                <w:rFonts w:ascii="Arial" w:hAnsi="Arial" w:cs="Arial"/>
                <w:b/>
                <w:sz w:val="20"/>
                <w:szCs w:val="20"/>
              </w:rPr>
              <w:t>Washed PLT products</w:t>
            </w:r>
          </w:p>
        </w:tc>
      </w:tr>
      <w:tr w:rsidR="009125FD" w:rsidRPr="005C5D59" w14:paraId="512D1789" w14:textId="77777777" w:rsidTr="009125FD">
        <w:trPr>
          <w:cantSplit/>
          <w:trHeight w:val="432"/>
          <w:tblHeader/>
        </w:trPr>
        <w:tc>
          <w:tcPr>
            <w:tcW w:w="1843" w:type="dxa"/>
            <w:tcBorders>
              <w:left w:val="single" w:sz="4" w:space="0" w:color="000000"/>
              <w:bottom w:val="single" w:sz="4" w:space="0" w:color="000000"/>
              <w:right w:val="single" w:sz="4" w:space="0" w:color="000000"/>
            </w:tcBorders>
            <w:shd w:val="pct25" w:color="auto" w:fill="auto"/>
            <w:vAlign w:val="bottom"/>
            <w:hideMark/>
          </w:tcPr>
          <w:p w14:paraId="5165DC6D"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469" w:type="dxa"/>
            <w:tcBorders>
              <w:left w:val="single" w:sz="4" w:space="0" w:color="000000"/>
              <w:bottom w:val="single" w:sz="4" w:space="0" w:color="000000"/>
              <w:right w:val="single" w:sz="4" w:space="0" w:color="000000"/>
            </w:tcBorders>
            <w:shd w:val="pct25" w:color="auto" w:fill="auto"/>
            <w:vAlign w:val="bottom"/>
            <w:hideMark/>
          </w:tcPr>
          <w:p w14:paraId="4BC62E2B"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center"/>
          </w:tcPr>
          <w:p w14:paraId="0CE60908" w14:textId="77777777" w:rsidR="009125FD" w:rsidRPr="005C5D59" w:rsidRDefault="009125FD" w:rsidP="009125FD">
            <w:pPr>
              <w:jc w:val="center"/>
              <w:rPr>
                <w:rFonts w:ascii="Arial" w:hAnsi="Arial" w:cs="Arial"/>
                <w:b/>
                <w:sz w:val="18"/>
                <w:szCs w:val="18"/>
              </w:rPr>
            </w:pPr>
            <w:r w:rsidRPr="005C5D59">
              <w:rPr>
                <w:rFonts w:ascii="Arial" w:hAnsi="Arial" w:cs="Arial"/>
                <w:b/>
                <w:sz w:val="18"/>
                <w:szCs w:val="18"/>
              </w:rPr>
              <w:t>Selected</w:t>
            </w:r>
            <w:r>
              <w:rPr>
                <w:rFonts w:ascii="Arial" w:hAnsi="Arial" w:cs="Arial"/>
                <w:b/>
                <w:sz w:val="18"/>
                <w:szCs w:val="18"/>
              </w:rPr>
              <w:t xml:space="preserve"> Platelet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6FF53079" w14:textId="77777777" w:rsidR="009125FD" w:rsidRPr="005C5D59" w:rsidRDefault="009125FD" w:rsidP="009125FD">
            <w:pPr>
              <w:rPr>
                <w:rFonts w:ascii="Arial" w:hAnsi="Arial" w:cs="Arial"/>
                <w:b/>
                <w:sz w:val="18"/>
                <w:szCs w:val="18"/>
              </w:rPr>
            </w:pPr>
            <w:r w:rsidRPr="005C5D59">
              <w:rPr>
                <w:rFonts w:ascii="Arial" w:hAnsi="Arial" w:cs="Arial"/>
                <w:b/>
                <w:sz w:val="18"/>
                <w:szCs w:val="18"/>
              </w:rPr>
              <w:t>Selected 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2C51977B" w14:textId="77777777" w:rsidR="009125FD" w:rsidRPr="005C5D59" w:rsidRDefault="009125FD" w:rsidP="009125FD">
            <w:pPr>
              <w:rPr>
                <w:rFonts w:ascii="Arial" w:hAnsi="Arial" w:cs="Arial"/>
                <w:b/>
                <w:sz w:val="18"/>
                <w:szCs w:val="18"/>
              </w:rPr>
            </w:pPr>
            <w:r w:rsidRPr="005C5D59">
              <w:rPr>
                <w:rFonts w:ascii="Arial" w:hAnsi="Arial" w:cs="Arial"/>
                <w:b/>
                <w:sz w:val="18"/>
                <w:szCs w:val="18"/>
              </w:rPr>
              <w:t>Expected System Response</w:t>
            </w:r>
          </w:p>
        </w:tc>
      </w:tr>
      <w:tr w:rsidR="009125FD" w:rsidRPr="005C5D59" w14:paraId="15BE479F" w14:textId="77777777" w:rsidTr="009125FD">
        <w:trPr>
          <w:cantSplit/>
          <w:trHeight w:val="284"/>
        </w:trPr>
        <w:tc>
          <w:tcPr>
            <w:tcW w:w="1843" w:type="dxa"/>
            <w:vMerge w:val="restart"/>
            <w:tcBorders>
              <w:top w:val="single" w:sz="4" w:space="0" w:color="000000"/>
              <w:left w:val="single" w:sz="4" w:space="0" w:color="000000"/>
              <w:right w:val="single" w:sz="4" w:space="0" w:color="000000"/>
            </w:tcBorders>
            <w:vAlign w:val="center"/>
            <w:hideMark/>
          </w:tcPr>
          <w:p w14:paraId="49ECB20B" w14:textId="77777777" w:rsidR="009125FD" w:rsidRPr="00D93607" w:rsidRDefault="009125FD" w:rsidP="009125FD">
            <w:pPr>
              <w:jc w:val="center"/>
              <w:rPr>
                <w:rFonts w:ascii="Arial" w:hAnsi="Arial" w:cs="Arial"/>
                <w:b/>
                <w:sz w:val="28"/>
                <w:szCs w:val="28"/>
              </w:rPr>
            </w:pPr>
            <w:r w:rsidRPr="00D93607">
              <w:rPr>
                <w:rFonts w:ascii="Arial" w:hAnsi="Arial" w:cs="Arial"/>
                <w:b/>
                <w:sz w:val="28"/>
                <w:szCs w:val="28"/>
              </w:rPr>
              <w:t>Washed PLT products</w:t>
            </w:r>
          </w:p>
        </w:tc>
        <w:tc>
          <w:tcPr>
            <w:tcW w:w="1469" w:type="dxa"/>
            <w:tcBorders>
              <w:top w:val="single" w:sz="4" w:space="0" w:color="000000"/>
              <w:left w:val="single" w:sz="4" w:space="0" w:color="000000"/>
              <w:right w:val="single" w:sz="4" w:space="0" w:color="000000"/>
            </w:tcBorders>
            <w:shd w:val="pct10" w:color="auto" w:fill="auto"/>
            <w:vAlign w:val="center"/>
            <w:hideMark/>
          </w:tcPr>
          <w:p w14:paraId="18773095" w14:textId="77777777" w:rsidR="009125FD" w:rsidRPr="005C5D59" w:rsidRDefault="009125FD" w:rsidP="009125FD">
            <w:pPr>
              <w:jc w:val="center"/>
              <w:rPr>
                <w:rFonts w:ascii="Arial" w:hAnsi="Arial" w:cs="Arial"/>
                <w:sz w:val="18"/>
                <w:szCs w:val="18"/>
              </w:rPr>
            </w:pPr>
            <w:r>
              <w:rPr>
                <w:rFonts w:ascii="Arial" w:hAnsi="Arial" w:cs="Arial"/>
                <w:sz w:val="18"/>
                <w:szCs w:val="18"/>
              </w:rPr>
              <w:t>PLATELETS</w:t>
            </w:r>
          </w:p>
        </w:tc>
        <w:tc>
          <w:tcPr>
            <w:tcW w:w="1260" w:type="dxa"/>
            <w:tcBorders>
              <w:top w:val="single" w:sz="4" w:space="0" w:color="000000"/>
              <w:left w:val="single" w:sz="4" w:space="0" w:color="000000"/>
              <w:right w:val="single" w:sz="4" w:space="0" w:color="000000"/>
            </w:tcBorders>
            <w:shd w:val="pct10" w:color="auto" w:fill="auto"/>
            <w:vAlign w:val="center"/>
            <w:hideMark/>
          </w:tcPr>
          <w:p w14:paraId="2F8F7CC7"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Washed</w:t>
            </w:r>
          </w:p>
        </w:tc>
        <w:tc>
          <w:tcPr>
            <w:tcW w:w="1620" w:type="dxa"/>
            <w:tcBorders>
              <w:top w:val="single" w:sz="4" w:space="0" w:color="000000"/>
              <w:left w:val="single" w:sz="4" w:space="0" w:color="000000"/>
              <w:right w:val="single" w:sz="4" w:space="0" w:color="000000"/>
            </w:tcBorders>
            <w:shd w:val="pct10" w:color="auto" w:fill="auto"/>
            <w:vAlign w:val="center"/>
            <w:hideMark/>
          </w:tcPr>
          <w:p w14:paraId="2EB29E0F"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15666F08"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3EB6D1BE" w14:textId="77777777" w:rsidTr="009125FD">
        <w:trPr>
          <w:cantSplit/>
          <w:trHeight w:val="432"/>
        </w:trPr>
        <w:tc>
          <w:tcPr>
            <w:tcW w:w="1843" w:type="dxa"/>
            <w:vMerge/>
            <w:tcBorders>
              <w:left w:val="single" w:sz="4" w:space="0" w:color="000000"/>
              <w:right w:val="single" w:sz="4" w:space="0" w:color="000000"/>
            </w:tcBorders>
            <w:vAlign w:val="bottom"/>
          </w:tcPr>
          <w:p w14:paraId="3FCE5DB4"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14:paraId="6AED8C0B"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PLATELETS</w:t>
            </w:r>
          </w:p>
        </w:tc>
        <w:tc>
          <w:tcPr>
            <w:tcW w:w="1260" w:type="dxa"/>
            <w:tcBorders>
              <w:top w:val="single" w:sz="4" w:space="0" w:color="000000"/>
              <w:left w:val="single" w:sz="4" w:space="0" w:color="000000"/>
              <w:right w:val="single" w:sz="4" w:space="0" w:color="000000"/>
            </w:tcBorders>
            <w:vAlign w:val="center"/>
          </w:tcPr>
          <w:p w14:paraId="3622710A" w14:textId="77777777" w:rsidR="009125FD" w:rsidRPr="00825E94" w:rsidRDefault="009125FD" w:rsidP="009125FD">
            <w:pPr>
              <w:jc w:val="center"/>
              <w:rPr>
                <w:rFonts w:ascii="Arial" w:hAnsi="Arial" w:cs="Arial"/>
                <w:b/>
                <w:color w:val="FF0000"/>
                <w:sz w:val="18"/>
                <w:szCs w:val="18"/>
              </w:rPr>
            </w:pPr>
            <w:r w:rsidRPr="00825E94">
              <w:rPr>
                <w:rFonts w:ascii="Arial" w:hAnsi="Arial" w:cs="Arial"/>
                <w:b/>
                <w:color w:val="FF0000"/>
                <w:sz w:val="18"/>
                <w:szCs w:val="18"/>
              </w:rPr>
              <w:t>Not Washed</w:t>
            </w:r>
          </w:p>
        </w:tc>
        <w:tc>
          <w:tcPr>
            <w:tcW w:w="1620" w:type="dxa"/>
            <w:tcBorders>
              <w:top w:val="single" w:sz="4" w:space="0" w:color="000000"/>
              <w:left w:val="single" w:sz="4" w:space="0" w:color="000000"/>
              <w:right w:val="single" w:sz="4" w:space="0" w:color="000000"/>
            </w:tcBorders>
            <w:vAlign w:val="center"/>
          </w:tcPr>
          <w:p w14:paraId="62576DF7" w14:textId="77777777" w:rsidR="009125FD" w:rsidRPr="00FB56F0" w:rsidRDefault="009125FD" w:rsidP="009125FD">
            <w:pPr>
              <w:ind w:left="18"/>
              <w:rPr>
                <w:rFonts w:ascii="Arial" w:hAnsi="Arial" w:cs="Arial"/>
                <w:sz w:val="18"/>
                <w:szCs w:val="18"/>
              </w:rPr>
            </w:pPr>
            <w:r w:rsidRPr="00FB56F0">
              <w:rPr>
                <w:rFonts w:ascii="Arial" w:hAnsi="Arial" w:cs="Arial"/>
                <w:noProof/>
                <w:sz w:val="18"/>
                <w:szCs w:val="18"/>
              </w:rPr>
              <w:t>Technologist</w:t>
            </w:r>
          </w:p>
          <w:p w14:paraId="4F2274B2" w14:textId="77777777" w:rsidR="009125FD" w:rsidRPr="00836EE2" w:rsidRDefault="009125FD" w:rsidP="009125FD">
            <w:pPr>
              <w:ind w:left="18"/>
              <w:rPr>
                <w:rFonts w:ascii="Arial" w:hAnsi="Arial" w:cs="Arial"/>
                <w:sz w:val="18"/>
                <w:szCs w:val="18"/>
              </w:rPr>
            </w:pPr>
          </w:p>
          <w:p w14:paraId="77E3B3F1" w14:textId="77777777" w:rsidR="009125FD" w:rsidRPr="00FB56F0" w:rsidRDefault="009125FD" w:rsidP="009125FD">
            <w:pPr>
              <w:ind w:left="18"/>
              <w:rPr>
                <w:rFonts w:ascii="Arial" w:hAnsi="Arial" w:cs="Arial"/>
                <w:noProof/>
                <w:sz w:val="18"/>
                <w:szCs w:val="18"/>
              </w:rPr>
            </w:pPr>
            <w:r w:rsidRPr="00FB56F0">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vAlign w:val="bottom"/>
          </w:tcPr>
          <w:p w14:paraId="757B183D" w14:textId="77777777" w:rsidR="009125FD"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Patient’s Transfusion Requirement is not satisfied.</w:t>
            </w:r>
            <w:r w:rsidRPr="005C5D59">
              <w:rPr>
                <w:rFonts w:ascii="Arial" w:hAnsi="Arial" w:cs="Arial"/>
                <w:sz w:val="18"/>
                <w:szCs w:val="18"/>
              </w:rPr>
              <w:t xml:space="preserve"> </w:t>
            </w:r>
            <w:r w:rsidRPr="007F3B3C">
              <w:rPr>
                <w:rFonts w:ascii="Arial" w:hAnsi="Arial" w:cs="Arial"/>
                <w:i/>
                <w:sz w:val="18"/>
                <w:szCs w:val="18"/>
              </w:rPr>
              <w:t>You do not have the proper security to issue this unit. Further processing is needed and must be documented in VBECS.</w:t>
            </w:r>
            <w:r w:rsidRPr="005C5D59">
              <w:rPr>
                <w:rFonts w:ascii="Arial" w:hAnsi="Arial" w:cs="Arial"/>
                <w:sz w:val="18"/>
                <w:szCs w:val="18"/>
              </w:rPr>
              <w:t xml:space="preserve"> </w:t>
            </w:r>
          </w:p>
          <w:p w14:paraId="0E5DC763" w14:textId="77777777" w:rsidR="009125FD" w:rsidRPr="005C5D59" w:rsidRDefault="009125FD" w:rsidP="009125FD">
            <w:pPr>
              <w:rPr>
                <w:rFonts w:ascii="Arial" w:hAnsi="Arial" w:cs="Arial"/>
                <w:sz w:val="18"/>
                <w:szCs w:val="18"/>
              </w:rPr>
            </w:pPr>
            <w:r>
              <w:rPr>
                <w:rFonts w:ascii="Arial" w:hAnsi="Arial" w:cs="Arial"/>
                <w:sz w:val="18"/>
                <w:szCs w:val="18"/>
              </w:rPr>
              <w:t>The tech may not issue this unit in the computer.</w:t>
            </w:r>
          </w:p>
        </w:tc>
      </w:tr>
      <w:tr w:rsidR="009125FD" w:rsidRPr="005C5D59" w14:paraId="46F89C75" w14:textId="77777777" w:rsidTr="009125FD">
        <w:trPr>
          <w:cantSplit/>
          <w:trHeight w:val="432"/>
        </w:trPr>
        <w:tc>
          <w:tcPr>
            <w:tcW w:w="1843" w:type="dxa"/>
            <w:vMerge/>
            <w:tcBorders>
              <w:left w:val="single" w:sz="4" w:space="0" w:color="000000"/>
              <w:right w:val="single" w:sz="4" w:space="0" w:color="000000"/>
            </w:tcBorders>
            <w:vAlign w:val="bottom"/>
          </w:tcPr>
          <w:p w14:paraId="06994962"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14:paraId="41A0E288"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PLATELETS</w:t>
            </w:r>
          </w:p>
        </w:tc>
        <w:tc>
          <w:tcPr>
            <w:tcW w:w="1260" w:type="dxa"/>
            <w:tcBorders>
              <w:top w:val="single" w:sz="4" w:space="0" w:color="000000"/>
              <w:left w:val="single" w:sz="4" w:space="0" w:color="000000"/>
              <w:right w:val="single" w:sz="4" w:space="0" w:color="000000"/>
            </w:tcBorders>
            <w:vAlign w:val="center"/>
          </w:tcPr>
          <w:p w14:paraId="541F6282" w14:textId="77777777" w:rsidR="009125FD" w:rsidRPr="00825E94" w:rsidRDefault="009125FD" w:rsidP="009125FD">
            <w:pPr>
              <w:jc w:val="center"/>
              <w:rPr>
                <w:rFonts w:ascii="Arial" w:hAnsi="Arial" w:cs="Arial"/>
                <w:b/>
                <w:color w:val="FF0000"/>
                <w:sz w:val="18"/>
                <w:szCs w:val="18"/>
              </w:rPr>
            </w:pPr>
            <w:r w:rsidRPr="00825E94">
              <w:rPr>
                <w:rFonts w:ascii="Arial" w:hAnsi="Arial" w:cs="Arial"/>
                <w:b/>
                <w:color w:val="FF0000"/>
                <w:sz w:val="18"/>
                <w:szCs w:val="18"/>
              </w:rPr>
              <w:t>Not Washed</w:t>
            </w:r>
          </w:p>
        </w:tc>
        <w:tc>
          <w:tcPr>
            <w:tcW w:w="1620" w:type="dxa"/>
            <w:tcBorders>
              <w:top w:val="single" w:sz="4" w:space="0" w:color="000000"/>
              <w:left w:val="single" w:sz="4" w:space="0" w:color="000000"/>
              <w:right w:val="single" w:sz="4" w:space="0" w:color="000000"/>
            </w:tcBorders>
            <w:vAlign w:val="center"/>
          </w:tcPr>
          <w:p w14:paraId="5312ECAB" w14:textId="77777777"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Lead Technologist</w:t>
            </w:r>
          </w:p>
          <w:p w14:paraId="180E34FD" w14:textId="77777777"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Traditional Supervisor</w:t>
            </w:r>
          </w:p>
          <w:p w14:paraId="741391B8" w14:textId="77777777"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Enhanced Supervisor</w:t>
            </w:r>
          </w:p>
          <w:p w14:paraId="2DCA2872" w14:textId="77777777"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Administrator/Supervisor</w:t>
            </w:r>
          </w:p>
          <w:p w14:paraId="3F7E66C5" w14:textId="77777777" w:rsidR="009125FD" w:rsidRPr="008B278A" w:rsidRDefault="009125FD" w:rsidP="009125FD">
            <w:pPr>
              <w:ind w:left="18"/>
              <w:rPr>
                <w:rFonts w:ascii="Arial" w:hAnsi="Arial" w:cs="Arial"/>
                <w:sz w:val="18"/>
                <w:szCs w:val="18"/>
              </w:rPr>
            </w:pPr>
          </w:p>
        </w:tc>
        <w:tc>
          <w:tcPr>
            <w:tcW w:w="4050" w:type="dxa"/>
            <w:tcBorders>
              <w:top w:val="single" w:sz="4" w:space="0" w:color="000000"/>
              <w:left w:val="single" w:sz="4" w:space="0" w:color="000000"/>
              <w:right w:val="single" w:sz="4" w:space="0" w:color="000000"/>
            </w:tcBorders>
            <w:vAlign w:val="bottom"/>
          </w:tcPr>
          <w:p w14:paraId="6F3966BC" w14:textId="77777777" w:rsidR="009125FD" w:rsidRPr="005C5D59"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 xml:space="preserve">Patient’s </w:t>
            </w:r>
            <w:r>
              <w:rPr>
                <w:rFonts w:ascii="Arial" w:hAnsi="Arial" w:cs="Arial"/>
                <w:i/>
                <w:sz w:val="18"/>
                <w:szCs w:val="18"/>
              </w:rPr>
              <w:t>Washed PLT products</w:t>
            </w:r>
            <w:r w:rsidRPr="00836EE2">
              <w:rPr>
                <w:rFonts w:ascii="Arial" w:hAnsi="Arial" w:cs="Arial"/>
                <w:i/>
                <w:sz w:val="18"/>
                <w:szCs w:val="18"/>
              </w:rPr>
              <w:t xml:space="preserve"> Transfusion Requirement is not satisfied</w:t>
            </w:r>
            <w:r w:rsidRPr="005C5D59">
              <w:rPr>
                <w:rFonts w:ascii="Arial" w:hAnsi="Arial" w:cs="Arial"/>
                <w:sz w:val="18"/>
                <w:szCs w:val="18"/>
              </w:rPr>
              <w:t xml:space="preserve"> and prompts the user whether to proceed. </w:t>
            </w:r>
          </w:p>
          <w:p w14:paraId="08272BF8" w14:textId="77777777" w:rsidR="009125FD" w:rsidRPr="005C5D59" w:rsidRDefault="009125FD" w:rsidP="009125FD">
            <w:pPr>
              <w:rPr>
                <w:rFonts w:ascii="Arial" w:hAnsi="Arial" w:cs="Arial"/>
                <w:sz w:val="18"/>
                <w:szCs w:val="18"/>
              </w:rPr>
            </w:pPr>
            <w:r w:rsidRPr="005C5D59">
              <w:rPr>
                <w:rFonts w:ascii="Arial" w:hAnsi="Arial" w:cs="Arial"/>
                <w:sz w:val="18"/>
                <w:szCs w:val="18"/>
              </w:rPr>
              <w:t>If the user responds “No”</w:t>
            </w:r>
            <w:r>
              <w:rPr>
                <w:rFonts w:ascii="Arial" w:hAnsi="Arial" w:cs="Arial"/>
                <w:sz w:val="18"/>
                <w:szCs w:val="18"/>
              </w:rPr>
              <w:t>,</w:t>
            </w:r>
            <w:r w:rsidRPr="005C5D59">
              <w:rPr>
                <w:rFonts w:ascii="Arial" w:hAnsi="Arial" w:cs="Arial"/>
                <w:sz w:val="18"/>
                <w:szCs w:val="18"/>
              </w:rPr>
              <w:t xml:space="preserve"> the system wi</w:t>
            </w:r>
            <w:r>
              <w:rPr>
                <w:rFonts w:ascii="Arial" w:hAnsi="Arial" w:cs="Arial"/>
                <w:sz w:val="18"/>
                <w:szCs w:val="18"/>
              </w:rPr>
              <w:t>ll clear the selected unit.</w:t>
            </w:r>
          </w:p>
          <w:p w14:paraId="61CE6B56" w14:textId="613D96F1" w:rsidR="009125FD" w:rsidRPr="005C5D59" w:rsidRDefault="009125FD" w:rsidP="009125FD">
            <w:pPr>
              <w:rPr>
                <w:rFonts w:ascii="Arial" w:hAnsi="Arial" w:cs="Arial"/>
                <w:sz w:val="18"/>
                <w:szCs w:val="18"/>
              </w:rPr>
            </w:pPr>
            <w:r w:rsidRPr="005C5D59">
              <w:rPr>
                <w:rFonts w:ascii="Arial" w:hAnsi="Arial" w:cs="Arial"/>
                <w:sz w:val="18"/>
                <w:szCs w:val="18"/>
              </w:rPr>
              <w:t>If the user responds “Yes”</w:t>
            </w:r>
            <w:r>
              <w:rPr>
                <w:rFonts w:ascii="Arial" w:hAnsi="Arial" w:cs="Arial"/>
                <w:sz w:val="18"/>
                <w:szCs w:val="18"/>
              </w:rPr>
              <w:t>,</w:t>
            </w:r>
            <w:r w:rsidRPr="005C5D59">
              <w:rPr>
                <w:rFonts w:ascii="Arial" w:hAnsi="Arial" w:cs="Arial"/>
                <w:sz w:val="18"/>
                <w:szCs w:val="18"/>
              </w:rPr>
              <w:t xml:space="preserve"> the system will require a comment (free text or canned, “unit issue” context) and capture the transacti</w:t>
            </w:r>
            <w:r>
              <w:rPr>
                <w:rFonts w:ascii="Arial" w:hAnsi="Arial" w:cs="Arial"/>
                <w:sz w:val="18"/>
                <w:szCs w:val="18"/>
              </w:rPr>
              <w:t>on details for inclusion in an Exception R</w:t>
            </w:r>
            <w:r w:rsidRPr="005C5D59">
              <w:rPr>
                <w:rFonts w:ascii="Arial" w:hAnsi="Arial" w:cs="Arial"/>
                <w:sz w:val="18"/>
                <w:szCs w:val="18"/>
              </w:rPr>
              <w:t>eport</w:t>
            </w:r>
            <w:r>
              <w:rPr>
                <w:rFonts w:ascii="Arial" w:hAnsi="Arial" w:cs="Arial"/>
                <w:sz w:val="18"/>
                <w:szCs w:val="18"/>
              </w:rPr>
              <w:t xml:space="preserve"> entry</w:t>
            </w:r>
            <w:r w:rsidRPr="005C5D59">
              <w:rPr>
                <w:rFonts w:ascii="Arial" w:hAnsi="Arial" w:cs="Arial"/>
                <w:sz w:val="18"/>
                <w:szCs w:val="18"/>
              </w:rPr>
              <w:t xml:space="preserve">: </w:t>
            </w:r>
            <w:r w:rsidRPr="005C5D59">
              <w:rPr>
                <w:rFonts w:ascii="Arial" w:hAnsi="Arial" w:cs="Arial"/>
                <w:i/>
                <w:sz w:val="18"/>
                <w:szCs w:val="18"/>
              </w:rPr>
              <w:t xml:space="preserve">Unit issued with unsatisfied Transfusion </w:t>
            </w:r>
            <w:r w:rsidR="00AE3B37" w:rsidRPr="005C5D59">
              <w:rPr>
                <w:rFonts w:ascii="Arial" w:hAnsi="Arial" w:cs="Arial"/>
                <w:i/>
                <w:sz w:val="18"/>
                <w:szCs w:val="18"/>
              </w:rPr>
              <w:t>Requirement</w:t>
            </w:r>
            <w:r w:rsidR="00AE3B37" w:rsidRPr="005C5D59">
              <w:rPr>
                <w:rFonts w:ascii="Arial" w:hAnsi="Arial" w:cs="Arial"/>
                <w:sz w:val="18"/>
                <w:szCs w:val="18"/>
              </w:rPr>
              <w:t>.</w:t>
            </w:r>
          </w:p>
        </w:tc>
      </w:tr>
    </w:tbl>
    <w:p w14:paraId="4A9702A7" w14:textId="77777777" w:rsidR="009125FD" w:rsidRDefault="009125FD" w:rsidP="009125FD"/>
    <w:p w14:paraId="1E4DABD1" w14:textId="1F43CC24" w:rsidR="00C15299" w:rsidRDefault="009125FD" w:rsidP="00C15299">
      <w:pPr>
        <w:pStyle w:val="Caption"/>
      </w:pPr>
      <w:r>
        <w:br w:type="page"/>
      </w:r>
      <w:bookmarkStart w:id="843" w:name="_Ref407610782"/>
      <w:bookmarkStart w:id="844" w:name="_Ref343502582"/>
      <w:r w:rsidR="00C15299">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170</w:t>
      </w:r>
      <w:r w:rsidR="004E20BD">
        <w:rPr>
          <w:noProof/>
        </w:rPr>
        <w:fldChar w:fldCharType="end"/>
      </w:r>
      <w:bookmarkEnd w:id="843"/>
      <w:r w:rsidR="00C15299">
        <w:t>: Sickle Cell Negative RBC Products and Select Blood Unit</w:t>
      </w:r>
      <w:bookmarkEnd w:id="844"/>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843"/>
        <w:gridCol w:w="1469"/>
        <w:gridCol w:w="1260"/>
        <w:gridCol w:w="1620"/>
        <w:gridCol w:w="4050"/>
      </w:tblGrid>
      <w:tr w:rsidR="009125FD" w:rsidRPr="005C5D59" w14:paraId="3E5C63B0" w14:textId="77777777" w:rsidTr="009125FD">
        <w:trPr>
          <w:cantSplit/>
          <w:trHeight w:val="305"/>
          <w:tblHeader/>
        </w:trPr>
        <w:tc>
          <w:tcPr>
            <w:tcW w:w="10242" w:type="dxa"/>
            <w:gridSpan w:val="5"/>
            <w:tcBorders>
              <w:top w:val="single" w:sz="4" w:space="0" w:color="000000"/>
              <w:left w:val="single" w:sz="4" w:space="0" w:color="000000"/>
              <w:right w:val="single" w:sz="4" w:space="0" w:color="000000"/>
            </w:tcBorders>
            <w:shd w:val="pct25" w:color="auto" w:fill="auto"/>
            <w:vAlign w:val="bottom"/>
            <w:hideMark/>
          </w:tcPr>
          <w:p w14:paraId="24C54107"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Select Unit: </w:t>
            </w:r>
            <w:r>
              <w:rPr>
                <w:rFonts w:ascii="Arial" w:hAnsi="Arial" w:cs="Arial"/>
                <w:b/>
                <w:sz w:val="18"/>
                <w:szCs w:val="18"/>
              </w:rPr>
              <w:t xml:space="preserve"> </w:t>
            </w:r>
            <w:r w:rsidRPr="00B62010">
              <w:rPr>
                <w:rFonts w:ascii="Arial" w:hAnsi="Arial" w:cs="Arial"/>
                <w:b/>
                <w:sz w:val="18"/>
                <w:szCs w:val="18"/>
              </w:rPr>
              <w:t>Sickle Cell Negative RBC products</w:t>
            </w:r>
          </w:p>
        </w:tc>
      </w:tr>
      <w:tr w:rsidR="009125FD" w:rsidRPr="005C5D59" w14:paraId="6ED49BE2" w14:textId="77777777" w:rsidTr="009125FD">
        <w:trPr>
          <w:cantSplit/>
          <w:trHeight w:val="432"/>
          <w:tblHeader/>
        </w:trPr>
        <w:tc>
          <w:tcPr>
            <w:tcW w:w="1843" w:type="dxa"/>
            <w:tcBorders>
              <w:left w:val="single" w:sz="4" w:space="0" w:color="000000"/>
              <w:bottom w:val="single" w:sz="4" w:space="0" w:color="000000"/>
              <w:right w:val="single" w:sz="4" w:space="0" w:color="000000"/>
            </w:tcBorders>
            <w:shd w:val="pct25" w:color="auto" w:fill="auto"/>
            <w:vAlign w:val="bottom"/>
            <w:hideMark/>
          </w:tcPr>
          <w:p w14:paraId="79692EFA"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469" w:type="dxa"/>
            <w:tcBorders>
              <w:left w:val="single" w:sz="4" w:space="0" w:color="000000"/>
              <w:bottom w:val="single" w:sz="4" w:space="0" w:color="000000"/>
              <w:right w:val="single" w:sz="4" w:space="0" w:color="000000"/>
            </w:tcBorders>
            <w:shd w:val="pct25" w:color="auto" w:fill="auto"/>
            <w:vAlign w:val="bottom"/>
            <w:hideMark/>
          </w:tcPr>
          <w:p w14:paraId="533C1711"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434DD6E5" w14:textId="77777777" w:rsidR="009125FD" w:rsidRPr="005C5D59" w:rsidRDefault="009125FD" w:rsidP="009125FD">
            <w:pPr>
              <w:jc w:val="cente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1C39E25D" w14:textId="77777777" w:rsidR="009125FD" w:rsidRPr="005C5D59" w:rsidRDefault="009125FD" w:rsidP="009125FD">
            <w:pPr>
              <w:jc w:val="center"/>
              <w:rPr>
                <w:rFonts w:ascii="Arial" w:hAnsi="Arial" w:cs="Arial"/>
                <w:b/>
                <w:sz w:val="18"/>
                <w:szCs w:val="18"/>
              </w:rPr>
            </w:pPr>
            <w:r w:rsidRPr="005C5D59">
              <w:rPr>
                <w:rFonts w:ascii="Arial" w:hAnsi="Arial" w:cs="Arial"/>
                <w:b/>
                <w:sz w:val="18"/>
                <w:szCs w:val="18"/>
              </w:rPr>
              <w:t>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73ADD516" w14:textId="77777777" w:rsidR="009125FD" w:rsidRPr="005C5D59" w:rsidRDefault="009125FD" w:rsidP="009125FD">
            <w:pPr>
              <w:jc w:val="center"/>
              <w:rPr>
                <w:rFonts w:ascii="Arial" w:hAnsi="Arial" w:cs="Arial"/>
                <w:b/>
                <w:sz w:val="18"/>
                <w:szCs w:val="18"/>
              </w:rPr>
            </w:pPr>
            <w:r>
              <w:rPr>
                <w:rFonts w:ascii="Arial" w:hAnsi="Arial" w:cs="Arial"/>
                <w:b/>
                <w:sz w:val="18"/>
                <w:szCs w:val="18"/>
              </w:rPr>
              <w:t xml:space="preserve">VBECS </w:t>
            </w:r>
            <w:r w:rsidRPr="005C5D59">
              <w:rPr>
                <w:rFonts w:ascii="Arial" w:hAnsi="Arial" w:cs="Arial"/>
                <w:b/>
                <w:sz w:val="18"/>
                <w:szCs w:val="18"/>
              </w:rPr>
              <w:t>Response</w:t>
            </w:r>
          </w:p>
        </w:tc>
      </w:tr>
      <w:tr w:rsidR="009125FD" w:rsidRPr="005C5D59" w14:paraId="41B6E18C" w14:textId="77777777" w:rsidTr="009125FD">
        <w:trPr>
          <w:cantSplit/>
          <w:trHeight w:val="284"/>
        </w:trPr>
        <w:tc>
          <w:tcPr>
            <w:tcW w:w="1843" w:type="dxa"/>
            <w:vMerge w:val="restart"/>
            <w:tcBorders>
              <w:top w:val="single" w:sz="4" w:space="0" w:color="000000"/>
              <w:left w:val="single" w:sz="4" w:space="0" w:color="000000"/>
              <w:right w:val="single" w:sz="4" w:space="0" w:color="000000"/>
            </w:tcBorders>
            <w:vAlign w:val="center"/>
            <w:hideMark/>
          </w:tcPr>
          <w:p w14:paraId="6D6D26B5" w14:textId="77777777" w:rsidR="009125FD" w:rsidRPr="00D93607" w:rsidRDefault="009125FD" w:rsidP="009125FD">
            <w:pPr>
              <w:jc w:val="center"/>
              <w:rPr>
                <w:rFonts w:ascii="Arial" w:hAnsi="Arial" w:cs="Arial"/>
                <w:b/>
                <w:sz w:val="28"/>
                <w:szCs w:val="28"/>
              </w:rPr>
            </w:pPr>
            <w:r w:rsidRPr="00D93607">
              <w:rPr>
                <w:rFonts w:ascii="Arial" w:hAnsi="Arial" w:cs="Arial"/>
                <w:b/>
                <w:sz w:val="28"/>
                <w:szCs w:val="28"/>
              </w:rPr>
              <w:t>Sickle Cell Negative RBC products</w:t>
            </w:r>
          </w:p>
        </w:tc>
        <w:tc>
          <w:tcPr>
            <w:tcW w:w="1469" w:type="dxa"/>
            <w:tcBorders>
              <w:top w:val="single" w:sz="4" w:space="0" w:color="000000"/>
              <w:left w:val="single" w:sz="4" w:space="0" w:color="000000"/>
              <w:right w:val="single" w:sz="4" w:space="0" w:color="000000"/>
            </w:tcBorders>
            <w:shd w:val="pct10" w:color="auto" w:fill="auto"/>
            <w:vAlign w:val="center"/>
            <w:hideMark/>
          </w:tcPr>
          <w:p w14:paraId="0F72E677" w14:textId="77777777" w:rsidR="009125FD" w:rsidRDefault="009125FD" w:rsidP="009125FD">
            <w:pPr>
              <w:spacing w:after="120"/>
              <w:jc w:val="center"/>
              <w:rPr>
                <w:rFonts w:ascii="Arial" w:hAnsi="Arial" w:cs="Arial"/>
                <w:sz w:val="18"/>
                <w:szCs w:val="18"/>
              </w:rPr>
            </w:pPr>
            <w:r w:rsidRPr="005C5D59">
              <w:rPr>
                <w:rFonts w:ascii="Arial" w:hAnsi="Arial" w:cs="Arial"/>
                <w:sz w:val="18"/>
                <w:szCs w:val="18"/>
              </w:rPr>
              <w:t>RED BLO</w:t>
            </w:r>
            <w:r>
              <w:rPr>
                <w:rFonts w:ascii="Arial" w:hAnsi="Arial" w:cs="Arial"/>
                <w:sz w:val="18"/>
                <w:szCs w:val="18"/>
              </w:rPr>
              <w:t>OD CELLS</w:t>
            </w:r>
          </w:p>
          <w:p w14:paraId="46002EAF" w14:textId="77777777" w:rsidR="009125FD" w:rsidRPr="005C5D59" w:rsidRDefault="009125FD" w:rsidP="009125FD">
            <w:pPr>
              <w:spacing w:after="120"/>
              <w:jc w:val="center"/>
              <w:rPr>
                <w:rFonts w:ascii="Arial" w:hAnsi="Arial" w:cs="Arial"/>
                <w:sz w:val="18"/>
                <w:szCs w:val="18"/>
              </w:rPr>
            </w:pPr>
            <w:r>
              <w:rPr>
                <w:rFonts w:ascii="Arial" w:hAnsi="Arial" w:cs="Arial"/>
                <w:sz w:val="18"/>
                <w:szCs w:val="18"/>
              </w:rPr>
              <w:t>WHOLE BLOOD</w:t>
            </w:r>
          </w:p>
        </w:tc>
        <w:tc>
          <w:tcPr>
            <w:tcW w:w="1260" w:type="dxa"/>
            <w:tcBorders>
              <w:top w:val="single" w:sz="4" w:space="0" w:color="000000"/>
              <w:left w:val="single" w:sz="4" w:space="0" w:color="000000"/>
              <w:right w:val="single" w:sz="4" w:space="0" w:color="000000"/>
            </w:tcBorders>
            <w:shd w:val="pct10" w:color="auto" w:fill="auto"/>
            <w:vAlign w:val="center"/>
            <w:hideMark/>
          </w:tcPr>
          <w:p w14:paraId="100BC60B"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Sickle Cell Negative</w:t>
            </w:r>
          </w:p>
        </w:tc>
        <w:tc>
          <w:tcPr>
            <w:tcW w:w="1620" w:type="dxa"/>
            <w:tcBorders>
              <w:top w:val="single" w:sz="4" w:space="0" w:color="000000"/>
              <w:left w:val="single" w:sz="4" w:space="0" w:color="000000"/>
              <w:right w:val="single" w:sz="4" w:space="0" w:color="000000"/>
            </w:tcBorders>
            <w:shd w:val="pct10" w:color="auto" w:fill="auto"/>
            <w:vAlign w:val="center"/>
            <w:hideMark/>
          </w:tcPr>
          <w:p w14:paraId="2EB95F00"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187E5606"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40B44BD5" w14:textId="77777777" w:rsidTr="009125FD">
        <w:trPr>
          <w:cantSplit/>
          <w:trHeight w:val="1152"/>
        </w:trPr>
        <w:tc>
          <w:tcPr>
            <w:tcW w:w="1843" w:type="dxa"/>
            <w:vMerge/>
            <w:tcBorders>
              <w:left w:val="single" w:sz="4" w:space="0" w:color="000000"/>
              <w:right w:val="single" w:sz="4" w:space="0" w:color="000000"/>
            </w:tcBorders>
            <w:vAlign w:val="bottom"/>
          </w:tcPr>
          <w:p w14:paraId="1FF788A2"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14:paraId="76418158"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4A0C0CA5" w14:textId="77777777" w:rsidR="009125FD" w:rsidRDefault="009125FD" w:rsidP="009125FD">
            <w:pPr>
              <w:jc w:val="center"/>
              <w:rPr>
                <w:rFonts w:ascii="Arial" w:hAnsi="Arial" w:cs="Arial"/>
                <w:sz w:val="18"/>
                <w:szCs w:val="18"/>
              </w:rPr>
            </w:pPr>
          </w:p>
          <w:p w14:paraId="4B4E0390"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tc>
        <w:tc>
          <w:tcPr>
            <w:tcW w:w="1260" w:type="dxa"/>
            <w:tcBorders>
              <w:top w:val="single" w:sz="4" w:space="0" w:color="000000"/>
              <w:left w:val="single" w:sz="4" w:space="0" w:color="000000"/>
              <w:bottom w:val="single" w:sz="4" w:space="0" w:color="000000"/>
              <w:right w:val="single" w:sz="4" w:space="0" w:color="000000"/>
            </w:tcBorders>
            <w:vAlign w:val="center"/>
          </w:tcPr>
          <w:p w14:paraId="0AEB7B31" w14:textId="77777777" w:rsidR="009125FD" w:rsidRPr="00871BF2" w:rsidRDefault="009125FD" w:rsidP="009125FD">
            <w:pPr>
              <w:jc w:val="center"/>
              <w:rPr>
                <w:rFonts w:ascii="Arial" w:hAnsi="Arial" w:cs="Arial"/>
                <w:b/>
                <w:color w:val="FF0000"/>
                <w:sz w:val="18"/>
                <w:szCs w:val="18"/>
              </w:rPr>
            </w:pPr>
            <w:r>
              <w:rPr>
                <w:rFonts w:ascii="Arial" w:hAnsi="Arial" w:cs="Arial"/>
                <w:b/>
                <w:color w:val="FF0000"/>
                <w:sz w:val="18"/>
                <w:szCs w:val="18"/>
              </w:rPr>
              <w:t>Not Sickle Cell Negative</w:t>
            </w:r>
          </w:p>
        </w:tc>
        <w:tc>
          <w:tcPr>
            <w:tcW w:w="1620" w:type="dxa"/>
            <w:tcBorders>
              <w:top w:val="single" w:sz="4" w:space="0" w:color="000000"/>
              <w:left w:val="single" w:sz="4" w:space="0" w:color="000000"/>
              <w:bottom w:val="single" w:sz="4" w:space="0" w:color="000000"/>
              <w:right w:val="single" w:sz="4" w:space="0" w:color="000000"/>
            </w:tcBorders>
            <w:vAlign w:val="center"/>
          </w:tcPr>
          <w:p w14:paraId="06E1AC0B" w14:textId="77777777" w:rsidR="009125FD" w:rsidRPr="00FB56F0" w:rsidRDefault="009125FD" w:rsidP="009125FD">
            <w:pPr>
              <w:ind w:left="18"/>
              <w:rPr>
                <w:rFonts w:ascii="Arial" w:hAnsi="Arial" w:cs="Arial"/>
                <w:sz w:val="18"/>
                <w:szCs w:val="18"/>
              </w:rPr>
            </w:pPr>
            <w:r w:rsidRPr="00FB56F0">
              <w:rPr>
                <w:rFonts w:ascii="Arial" w:hAnsi="Arial" w:cs="Arial"/>
                <w:noProof/>
                <w:sz w:val="18"/>
                <w:szCs w:val="18"/>
              </w:rPr>
              <w:t>Technologist</w:t>
            </w:r>
          </w:p>
          <w:p w14:paraId="1A91E00A" w14:textId="77777777" w:rsidR="009125FD" w:rsidRPr="00836EE2" w:rsidRDefault="009125FD" w:rsidP="009125FD">
            <w:pPr>
              <w:ind w:left="18"/>
              <w:rPr>
                <w:rFonts w:ascii="Arial" w:hAnsi="Arial" w:cs="Arial"/>
                <w:sz w:val="18"/>
                <w:szCs w:val="18"/>
              </w:rPr>
            </w:pPr>
          </w:p>
          <w:p w14:paraId="694CA264" w14:textId="77777777" w:rsidR="009125FD" w:rsidRPr="00FB56F0" w:rsidRDefault="009125FD" w:rsidP="009125FD">
            <w:pPr>
              <w:ind w:left="18"/>
              <w:rPr>
                <w:rFonts w:ascii="Arial" w:hAnsi="Arial" w:cs="Arial"/>
                <w:noProof/>
                <w:sz w:val="18"/>
                <w:szCs w:val="18"/>
              </w:rPr>
            </w:pPr>
            <w:r w:rsidRPr="00FB56F0">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tcPr>
          <w:p w14:paraId="3BFED076" w14:textId="77777777" w:rsidR="009125FD" w:rsidRPr="007F3B3C" w:rsidRDefault="009125FD" w:rsidP="009125FD">
            <w:pPr>
              <w:pStyle w:val="TableText"/>
              <w:spacing w:before="120"/>
              <w:rPr>
                <w:rStyle w:val="StyleTableText9ptCharChar"/>
                <w:rFonts w:cs="Arial"/>
                <w:i/>
              </w:rPr>
            </w:pPr>
            <w:r w:rsidRPr="005C5D59">
              <w:rPr>
                <w:rStyle w:val="StyleTableText9ptCharChar"/>
                <w:rFonts w:cs="Arial"/>
              </w:rPr>
              <w:t>The Transfusi</w:t>
            </w:r>
            <w:r>
              <w:rPr>
                <w:rStyle w:val="StyleTableText9ptCharChar"/>
                <w:rFonts w:cs="Arial"/>
              </w:rPr>
              <w:t>on Requirement is not satisfied;</w:t>
            </w:r>
            <w:r w:rsidRPr="005C5D59">
              <w:rPr>
                <w:rStyle w:val="StyleTableText9ptCharChar"/>
                <w:rFonts w:cs="Arial"/>
              </w:rPr>
              <w:t xml:space="preserve"> the system emits an audible alert and displays a warning message: </w:t>
            </w:r>
            <w:r w:rsidRPr="007F3B3C">
              <w:rPr>
                <w:rStyle w:val="StyleTableText9ptCharChar"/>
                <w:rFonts w:cs="Arial"/>
                <w:i/>
              </w:rPr>
              <w:t>This unit does not currently satisfy all of the patient’s Transfusion Requirements. Further processing is needed. Continue to select this unit?</w:t>
            </w:r>
          </w:p>
          <w:p w14:paraId="39901B8E" w14:textId="77777777" w:rsidR="009125FD" w:rsidRPr="005C5D59" w:rsidRDefault="009125FD" w:rsidP="009125FD">
            <w:pPr>
              <w:pStyle w:val="TableText"/>
              <w:rPr>
                <w:rStyle w:val="StyleTableText9ptCharChar"/>
                <w:rFonts w:cs="Arial"/>
              </w:rPr>
            </w:pPr>
            <w:r w:rsidRPr="005C5D59">
              <w:rPr>
                <w:rStyle w:val="StyleTableText9ptCharChar"/>
                <w:rFonts w:cs="Arial"/>
              </w:rPr>
              <w:t>If</w:t>
            </w:r>
            <w:r>
              <w:rPr>
                <w:rStyle w:val="StyleTableText9ptCharChar"/>
                <w:rFonts w:cs="Arial"/>
              </w:rPr>
              <w:t xml:space="preserve"> the user clicks </w:t>
            </w:r>
            <w:r w:rsidRPr="005C5D59">
              <w:rPr>
                <w:rStyle w:val="StyleTableText9ptCharChar"/>
                <w:rFonts w:cs="Arial"/>
              </w:rPr>
              <w:t>“No,” the screen is cleared.</w:t>
            </w:r>
          </w:p>
          <w:p w14:paraId="687DE482" w14:textId="77777777" w:rsidR="009125FD" w:rsidRPr="005C5D59" w:rsidRDefault="009125FD" w:rsidP="009125FD">
            <w:pPr>
              <w:pStyle w:val="TableText"/>
              <w:rPr>
                <w:rFonts w:cs="Arial"/>
                <w:noProof/>
              </w:rPr>
            </w:pPr>
            <w:r w:rsidRPr="005C5D59">
              <w:rPr>
                <w:rStyle w:val="StyleTableText9ptCharChar"/>
                <w:rFonts w:cs="Arial"/>
              </w:rPr>
              <w:t xml:space="preserve">If </w:t>
            </w:r>
            <w:r>
              <w:rPr>
                <w:rStyle w:val="StyleTableText9ptCharChar"/>
                <w:rFonts w:cs="Arial"/>
              </w:rPr>
              <w:t>the user clicks “Yes,” selection can continue to select the unit.</w:t>
            </w:r>
          </w:p>
        </w:tc>
      </w:tr>
      <w:tr w:rsidR="009125FD" w:rsidRPr="005C5D59" w14:paraId="3D68306A" w14:textId="77777777" w:rsidTr="009125FD">
        <w:trPr>
          <w:cantSplit/>
          <w:trHeight w:val="1152"/>
        </w:trPr>
        <w:tc>
          <w:tcPr>
            <w:tcW w:w="1843" w:type="dxa"/>
            <w:vMerge/>
            <w:tcBorders>
              <w:left w:val="single" w:sz="4" w:space="0" w:color="000000"/>
              <w:right w:val="single" w:sz="4" w:space="0" w:color="000000"/>
            </w:tcBorders>
            <w:vAlign w:val="bottom"/>
          </w:tcPr>
          <w:p w14:paraId="5FCE06D7"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14:paraId="7DE9457C"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791BAF03" w14:textId="77777777" w:rsidR="009125FD" w:rsidRDefault="009125FD" w:rsidP="009125FD">
            <w:pPr>
              <w:jc w:val="center"/>
              <w:rPr>
                <w:rFonts w:ascii="Arial" w:hAnsi="Arial" w:cs="Arial"/>
                <w:sz w:val="18"/>
                <w:szCs w:val="18"/>
              </w:rPr>
            </w:pPr>
          </w:p>
          <w:p w14:paraId="361607CB"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tc>
        <w:tc>
          <w:tcPr>
            <w:tcW w:w="1260" w:type="dxa"/>
            <w:tcBorders>
              <w:top w:val="single" w:sz="4" w:space="0" w:color="000000"/>
              <w:left w:val="single" w:sz="4" w:space="0" w:color="000000"/>
              <w:bottom w:val="single" w:sz="4" w:space="0" w:color="000000"/>
              <w:right w:val="single" w:sz="4" w:space="0" w:color="000000"/>
            </w:tcBorders>
            <w:vAlign w:val="center"/>
          </w:tcPr>
          <w:p w14:paraId="0635BA69" w14:textId="77777777" w:rsidR="009125FD" w:rsidRPr="005C5D59" w:rsidRDefault="009125FD" w:rsidP="009125FD">
            <w:pPr>
              <w:jc w:val="center"/>
              <w:rPr>
                <w:rFonts w:ascii="Arial" w:hAnsi="Arial" w:cs="Arial"/>
                <w:color w:val="FF0000"/>
                <w:sz w:val="18"/>
                <w:szCs w:val="18"/>
              </w:rPr>
            </w:pPr>
            <w:r>
              <w:rPr>
                <w:rFonts w:ascii="Arial" w:hAnsi="Arial" w:cs="Arial"/>
                <w:b/>
                <w:color w:val="FF0000"/>
                <w:sz w:val="18"/>
                <w:szCs w:val="18"/>
              </w:rPr>
              <w:t>Not Sickle Cell Negative</w:t>
            </w:r>
          </w:p>
        </w:tc>
        <w:tc>
          <w:tcPr>
            <w:tcW w:w="1620" w:type="dxa"/>
            <w:tcBorders>
              <w:top w:val="single" w:sz="4" w:space="0" w:color="000000"/>
              <w:left w:val="single" w:sz="4" w:space="0" w:color="000000"/>
              <w:bottom w:val="single" w:sz="4" w:space="0" w:color="000000"/>
              <w:right w:val="single" w:sz="4" w:space="0" w:color="000000"/>
            </w:tcBorders>
            <w:vAlign w:val="center"/>
          </w:tcPr>
          <w:p w14:paraId="563D0272" w14:textId="77777777"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Lead Technologist</w:t>
            </w:r>
          </w:p>
          <w:p w14:paraId="7D93A102" w14:textId="77777777"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Traditional Supervisor</w:t>
            </w:r>
          </w:p>
          <w:p w14:paraId="2394C283" w14:textId="77777777"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Enhanced Supervisor</w:t>
            </w:r>
          </w:p>
          <w:p w14:paraId="1CF6EDF0" w14:textId="77777777"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Administrator/Supervisor</w:t>
            </w:r>
          </w:p>
          <w:p w14:paraId="4812DB91" w14:textId="77777777" w:rsidR="009125FD" w:rsidRPr="008B278A" w:rsidRDefault="009125FD" w:rsidP="009125FD">
            <w:pPr>
              <w:ind w:left="18"/>
              <w:rPr>
                <w:rFonts w:ascii="Arial" w:hAnsi="Arial" w:cs="Arial"/>
                <w:sz w:val="18"/>
                <w:szCs w:val="18"/>
              </w:rPr>
            </w:pPr>
          </w:p>
        </w:tc>
        <w:tc>
          <w:tcPr>
            <w:tcW w:w="4050" w:type="dxa"/>
            <w:tcBorders>
              <w:left w:val="single" w:sz="4" w:space="0" w:color="000000"/>
              <w:right w:val="single" w:sz="4" w:space="0" w:color="000000"/>
            </w:tcBorders>
            <w:vAlign w:val="bottom"/>
          </w:tcPr>
          <w:p w14:paraId="167E192D" w14:textId="77777777" w:rsidR="009125FD" w:rsidRPr="00496950" w:rsidRDefault="009125FD" w:rsidP="009125FD">
            <w:pPr>
              <w:pStyle w:val="TableText"/>
              <w:rPr>
                <w:rStyle w:val="StyleTableText9ptCharChar"/>
                <w:i/>
              </w:rPr>
            </w:pPr>
            <w:r w:rsidRPr="003D487C">
              <w:t>The following warning(s) is informational:</w:t>
            </w:r>
            <w:r>
              <w:t xml:space="preserve"> </w:t>
            </w:r>
            <w:r w:rsidRPr="00496950">
              <w:rPr>
                <w:i/>
              </w:rPr>
              <w:t xml:space="preserve">This unit does not currently satisfy the patient’s </w:t>
            </w:r>
            <w:r w:rsidRPr="00496950">
              <w:rPr>
                <w:i/>
                <w:noProof/>
              </w:rPr>
              <w:t xml:space="preserve">Sickle Cell Negative </w:t>
            </w:r>
            <w:r w:rsidRPr="00496950">
              <w:rPr>
                <w:i/>
              </w:rPr>
              <w:t xml:space="preserve">Transfusion Requirements. </w:t>
            </w:r>
            <w:r w:rsidRPr="00496950">
              <w:rPr>
                <w:rStyle w:val="StyleTableText9ptCharChar"/>
                <w:i/>
              </w:rPr>
              <w:t>Further processing is needed. Continue to select this unit?</w:t>
            </w:r>
          </w:p>
          <w:p w14:paraId="7E98A278" w14:textId="77777777" w:rsidR="009125FD" w:rsidRPr="00496950" w:rsidRDefault="009125FD" w:rsidP="009125FD">
            <w:pPr>
              <w:pStyle w:val="TableText"/>
              <w:rPr>
                <w:rStyle w:val="StyleTableText9ptCharChar"/>
                <w:i/>
              </w:rPr>
            </w:pPr>
            <w:r w:rsidRPr="00496950">
              <w:rPr>
                <w:rStyle w:val="StyleTableText9ptCharChar"/>
                <w:i/>
              </w:rPr>
              <w:t>Do you wish to proceed with the selection of unit &lt;insert unit ID number&gt;:?</w:t>
            </w:r>
          </w:p>
          <w:p w14:paraId="409DCE9A" w14:textId="77777777" w:rsidR="009125FD" w:rsidRPr="003D487C" w:rsidRDefault="009125FD" w:rsidP="009125FD">
            <w:pPr>
              <w:pStyle w:val="TableText"/>
              <w:rPr>
                <w:noProof/>
              </w:rPr>
            </w:pPr>
            <w:r w:rsidRPr="003D487C">
              <w:rPr>
                <w:noProof/>
              </w:rPr>
              <w:t xml:space="preserve">If “No,” is selected, the screen is cleared and a new blood unit must be selected. </w:t>
            </w:r>
          </w:p>
          <w:p w14:paraId="010BD147" w14:textId="77777777" w:rsidR="009125FD" w:rsidRPr="0081278B" w:rsidRDefault="009125FD" w:rsidP="009125FD">
            <w:pPr>
              <w:pStyle w:val="TableText"/>
              <w:rPr>
                <w:i/>
                <w:noProof/>
              </w:rPr>
            </w:pPr>
            <w:r w:rsidRPr="003D487C">
              <w:rPr>
                <w:noProof/>
              </w:rPr>
              <w:t>If “Yes,” is selected, a comment is required and the details of the transaction are captured for later in</w:t>
            </w:r>
            <w:r>
              <w:rPr>
                <w:noProof/>
              </w:rPr>
              <w:t xml:space="preserve">clusion in an exception report entry: </w:t>
            </w:r>
            <w:r w:rsidRPr="0081278B">
              <w:rPr>
                <w:i/>
                <w:noProof/>
              </w:rPr>
              <w:t>Transfusion Requirement incompatible unit selected</w:t>
            </w:r>
            <w:r w:rsidR="005C48D9">
              <w:rPr>
                <w:i/>
                <w:noProof/>
              </w:rPr>
              <w:t>.</w:t>
            </w:r>
          </w:p>
        </w:tc>
      </w:tr>
    </w:tbl>
    <w:p w14:paraId="61161F02" w14:textId="77777777" w:rsidR="009125FD" w:rsidRDefault="009125FD" w:rsidP="009125FD"/>
    <w:p w14:paraId="28B0867D" w14:textId="1A23413B" w:rsidR="00C15299" w:rsidRDefault="009125FD" w:rsidP="00C15299">
      <w:pPr>
        <w:pStyle w:val="Caption"/>
      </w:pPr>
      <w:r>
        <w:br w:type="page"/>
      </w:r>
      <w:bookmarkStart w:id="845" w:name="_Ref343502619"/>
      <w:r w:rsidR="00C15299">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171</w:t>
      </w:r>
      <w:r w:rsidR="004E20BD">
        <w:rPr>
          <w:noProof/>
        </w:rPr>
        <w:fldChar w:fldCharType="end"/>
      </w:r>
      <w:r w:rsidR="00C15299">
        <w:t>: Sickle Cell Negative RBC Products and Issue Blood Component</w:t>
      </w:r>
      <w:bookmarkEnd w:id="845"/>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843"/>
        <w:gridCol w:w="1469"/>
        <w:gridCol w:w="1260"/>
        <w:gridCol w:w="1620"/>
        <w:gridCol w:w="4050"/>
      </w:tblGrid>
      <w:tr w:rsidR="009125FD" w:rsidRPr="005C5D59" w14:paraId="64A22684" w14:textId="77777777" w:rsidTr="009125FD">
        <w:trPr>
          <w:cantSplit/>
          <w:trHeight w:val="432"/>
          <w:tblHeader/>
        </w:trPr>
        <w:tc>
          <w:tcPr>
            <w:tcW w:w="10242" w:type="dxa"/>
            <w:gridSpan w:val="5"/>
            <w:tcBorders>
              <w:left w:val="single" w:sz="4" w:space="0" w:color="000000"/>
              <w:bottom w:val="single" w:sz="4" w:space="0" w:color="000000"/>
              <w:right w:val="single" w:sz="4" w:space="0" w:color="000000"/>
            </w:tcBorders>
            <w:shd w:val="pct25" w:color="auto" w:fill="auto"/>
            <w:vAlign w:val="bottom"/>
          </w:tcPr>
          <w:p w14:paraId="17243F6E"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Issue Blood Component: </w:t>
            </w:r>
            <w:r>
              <w:rPr>
                <w:rFonts w:ascii="Arial" w:hAnsi="Arial" w:cs="Arial"/>
                <w:b/>
                <w:sz w:val="20"/>
                <w:szCs w:val="20"/>
              </w:rPr>
              <w:t>Sickle Cell Negative RBC</w:t>
            </w:r>
            <w:r w:rsidRPr="00871BF2">
              <w:rPr>
                <w:rFonts w:ascii="Arial" w:hAnsi="Arial" w:cs="Arial"/>
                <w:b/>
                <w:sz w:val="20"/>
                <w:szCs w:val="20"/>
              </w:rPr>
              <w:t xml:space="preserve"> Products</w:t>
            </w:r>
          </w:p>
        </w:tc>
      </w:tr>
      <w:tr w:rsidR="009125FD" w:rsidRPr="005C5D59" w14:paraId="5C8AFEBA" w14:textId="77777777" w:rsidTr="009125FD">
        <w:trPr>
          <w:cantSplit/>
          <w:trHeight w:val="432"/>
          <w:tblHeader/>
        </w:trPr>
        <w:tc>
          <w:tcPr>
            <w:tcW w:w="1843" w:type="dxa"/>
            <w:tcBorders>
              <w:left w:val="single" w:sz="4" w:space="0" w:color="000000"/>
              <w:bottom w:val="single" w:sz="4" w:space="0" w:color="000000"/>
              <w:right w:val="single" w:sz="4" w:space="0" w:color="000000"/>
            </w:tcBorders>
            <w:shd w:val="pct25" w:color="auto" w:fill="auto"/>
            <w:vAlign w:val="bottom"/>
            <w:hideMark/>
          </w:tcPr>
          <w:p w14:paraId="3BAC81B3"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469" w:type="dxa"/>
            <w:tcBorders>
              <w:left w:val="single" w:sz="4" w:space="0" w:color="000000"/>
              <w:bottom w:val="single" w:sz="4" w:space="0" w:color="000000"/>
              <w:right w:val="single" w:sz="4" w:space="0" w:color="000000"/>
            </w:tcBorders>
            <w:shd w:val="pct25" w:color="auto" w:fill="auto"/>
            <w:vAlign w:val="bottom"/>
            <w:hideMark/>
          </w:tcPr>
          <w:p w14:paraId="63F89182"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51F30E21" w14:textId="77777777" w:rsidR="009125FD" w:rsidRPr="005C5D59" w:rsidRDefault="009125FD" w:rsidP="009125FD">
            <w:pP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7471E306" w14:textId="77777777" w:rsidR="009125FD" w:rsidRPr="005C5D59" w:rsidRDefault="009125FD" w:rsidP="009125FD">
            <w:pPr>
              <w:rPr>
                <w:rFonts w:ascii="Arial" w:hAnsi="Arial" w:cs="Arial"/>
                <w:b/>
                <w:sz w:val="18"/>
                <w:szCs w:val="18"/>
              </w:rPr>
            </w:pPr>
            <w:r w:rsidRPr="005C5D59">
              <w:rPr>
                <w:rFonts w:ascii="Arial" w:hAnsi="Arial" w:cs="Arial"/>
                <w:b/>
                <w:sz w:val="18"/>
                <w:szCs w:val="18"/>
              </w:rPr>
              <w:t>Selected 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501F519E" w14:textId="77777777" w:rsidR="009125FD" w:rsidRPr="005C5D59" w:rsidRDefault="009125FD" w:rsidP="009125FD">
            <w:pPr>
              <w:rPr>
                <w:rFonts w:ascii="Arial" w:hAnsi="Arial" w:cs="Arial"/>
                <w:b/>
                <w:sz w:val="18"/>
                <w:szCs w:val="18"/>
              </w:rPr>
            </w:pPr>
            <w:r w:rsidRPr="005C5D59">
              <w:rPr>
                <w:rFonts w:ascii="Arial" w:hAnsi="Arial" w:cs="Arial"/>
                <w:b/>
                <w:sz w:val="18"/>
                <w:szCs w:val="18"/>
              </w:rPr>
              <w:t>Expected System Response</w:t>
            </w:r>
          </w:p>
        </w:tc>
      </w:tr>
      <w:tr w:rsidR="009125FD" w:rsidRPr="005C5D59" w14:paraId="42C79AA5" w14:textId="77777777" w:rsidTr="009125FD">
        <w:trPr>
          <w:cantSplit/>
          <w:trHeight w:val="284"/>
        </w:trPr>
        <w:tc>
          <w:tcPr>
            <w:tcW w:w="1843" w:type="dxa"/>
            <w:vMerge w:val="restart"/>
            <w:tcBorders>
              <w:top w:val="single" w:sz="4" w:space="0" w:color="000000"/>
              <w:left w:val="single" w:sz="4" w:space="0" w:color="000000"/>
              <w:right w:val="single" w:sz="4" w:space="0" w:color="000000"/>
            </w:tcBorders>
            <w:vAlign w:val="center"/>
            <w:hideMark/>
          </w:tcPr>
          <w:p w14:paraId="5B5B07BA" w14:textId="77777777" w:rsidR="009125FD" w:rsidRPr="00D93607" w:rsidRDefault="009125FD" w:rsidP="009125FD">
            <w:pPr>
              <w:jc w:val="center"/>
              <w:rPr>
                <w:rFonts w:ascii="Arial" w:hAnsi="Arial" w:cs="Arial"/>
                <w:sz w:val="28"/>
                <w:szCs w:val="28"/>
              </w:rPr>
            </w:pPr>
            <w:r w:rsidRPr="00D93607">
              <w:rPr>
                <w:rFonts w:ascii="Arial" w:hAnsi="Arial" w:cs="Arial"/>
                <w:b/>
                <w:sz w:val="28"/>
                <w:szCs w:val="28"/>
              </w:rPr>
              <w:t>Sickle Cell Negative RBC products</w:t>
            </w:r>
          </w:p>
        </w:tc>
        <w:tc>
          <w:tcPr>
            <w:tcW w:w="1469" w:type="dxa"/>
            <w:tcBorders>
              <w:top w:val="single" w:sz="4" w:space="0" w:color="000000"/>
              <w:left w:val="single" w:sz="4" w:space="0" w:color="000000"/>
              <w:right w:val="single" w:sz="4" w:space="0" w:color="000000"/>
            </w:tcBorders>
            <w:shd w:val="pct10" w:color="auto" w:fill="auto"/>
            <w:vAlign w:val="center"/>
            <w:hideMark/>
          </w:tcPr>
          <w:p w14:paraId="4E444276" w14:textId="77777777" w:rsidR="009125FD" w:rsidRDefault="009125FD" w:rsidP="009125FD">
            <w:pPr>
              <w:spacing w:before="120" w:after="120"/>
              <w:jc w:val="center"/>
              <w:rPr>
                <w:rFonts w:ascii="Arial" w:hAnsi="Arial" w:cs="Arial"/>
                <w:sz w:val="18"/>
                <w:szCs w:val="18"/>
              </w:rPr>
            </w:pPr>
            <w:r>
              <w:rPr>
                <w:rFonts w:ascii="Arial" w:hAnsi="Arial" w:cs="Arial"/>
                <w:sz w:val="18"/>
                <w:szCs w:val="18"/>
              </w:rPr>
              <w:t>RED BLOOD CELLS</w:t>
            </w:r>
          </w:p>
          <w:p w14:paraId="2BB6852E" w14:textId="77777777" w:rsidR="009125FD" w:rsidRPr="005C5D59" w:rsidRDefault="009125FD" w:rsidP="009125FD">
            <w:pPr>
              <w:spacing w:after="120"/>
              <w:jc w:val="center"/>
              <w:rPr>
                <w:rFonts w:ascii="Arial" w:hAnsi="Arial" w:cs="Arial"/>
                <w:sz w:val="18"/>
                <w:szCs w:val="18"/>
              </w:rPr>
            </w:pPr>
            <w:r>
              <w:rPr>
                <w:rFonts w:ascii="Arial" w:hAnsi="Arial" w:cs="Arial"/>
                <w:sz w:val="18"/>
                <w:szCs w:val="18"/>
              </w:rPr>
              <w:t xml:space="preserve"> WHOLE BLOOD</w:t>
            </w:r>
          </w:p>
        </w:tc>
        <w:tc>
          <w:tcPr>
            <w:tcW w:w="1260" w:type="dxa"/>
            <w:tcBorders>
              <w:top w:val="single" w:sz="4" w:space="0" w:color="000000"/>
              <w:left w:val="single" w:sz="4" w:space="0" w:color="000000"/>
              <w:right w:val="single" w:sz="4" w:space="0" w:color="000000"/>
            </w:tcBorders>
            <w:shd w:val="pct10" w:color="auto" w:fill="auto"/>
            <w:vAlign w:val="center"/>
            <w:hideMark/>
          </w:tcPr>
          <w:p w14:paraId="14200729"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Sickle Cell negative</w:t>
            </w:r>
          </w:p>
        </w:tc>
        <w:tc>
          <w:tcPr>
            <w:tcW w:w="1620" w:type="dxa"/>
            <w:tcBorders>
              <w:top w:val="single" w:sz="4" w:space="0" w:color="000000"/>
              <w:left w:val="single" w:sz="4" w:space="0" w:color="000000"/>
              <w:right w:val="single" w:sz="4" w:space="0" w:color="000000"/>
            </w:tcBorders>
            <w:shd w:val="pct10" w:color="auto" w:fill="auto"/>
            <w:vAlign w:val="center"/>
            <w:hideMark/>
          </w:tcPr>
          <w:p w14:paraId="2BBF7461"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6AE087D3"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637EC0A7" w14:textId="77777777" w:rsidTr="009125FD">
        <w:trPr>
          <w:cantSplit/>
          <w:trHeight w:val="864"/>
        </w:trPr>
        <w:tc>
          <w:tcPr>
            <w:tcW w:w="1843" w:type="dxa"/>
            <w:vMerge/>
            <w:tcBorders>
              <w:left w:val="single" w:sz="4" w:space="0" w:color="000000"/>
              <w:right w:val="single" w:sz="4" w:space="0" w:color="000000"/>
            </w:tcBorders>
            <w:vAlign w:val="bottom"/>
          </w:tcPr>
          <w:p w14:paraId="7E84827B"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14:paraId="3C8EA105"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46C40BDE" w14:textId="77777777" w:rsidR="009125FD" w:rsidRDefault="009125FD" w:rsidP="009125FD">
            <w:pPr>
              <w:jc w:val="center"/>
              <w:rPr>
                <w:rFonts w:ascii="Arial" w:hAnsi="Arial" w:cs="Arial"/>
                <w:sz w:val="18"/>
                <w:szCs w:val="18"/>
              </w:rPr>
            </w:pPr>
          </w:p>
          <w:p w14:paraId="6A080F53"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tc>
        <w:tc>
          <w:tcPr>
            <w:tcW w:w="1260" w:type="dxa"/>
            <w:tcBorders>
              <w:top w:val="single" w:sz="4" w:space="0" w:color="000000"/>
              <w:left w:val="single" w:sz="4" w:space="0" w:color="000000"/>
              <w:right w:val="single" w:sz="4" w:space="0" w:color="000000"/>
            </w:tcBorders>
            <w:vAlign w:val="center"/>
          </w:tcPr>
          <w:p w14:paraId="5240CE86" w14:textId="77777777" w:rsidR="009125FD" w:rsidRPr="005356E6" w:rsidRDefault="009125FD" w:rsidP="009125FD">
            <w:pPr>
              <w:jc w:val="center"/>
              <w:rPr>
                <w:rFonts w:ascii="Arial" w:hAnsi="Arial" w:cs="Arial"/>
                <w:b/>
                <w:color w:val="FF0000"/>
                <w:sz w:val="18"/>
                <w:szCs w:val="18"/>
              </w:rPr>
            </w:pPr>
            <w:r w:rsidRPr="005356E6">
              <w:rPr>
                <w:rFonts w:ascii="Arial" w:hAnsi="Arial" w:cs="Arial"/>
                <w:b/>
                <w:color w:val="FF0000"/>
                <w:sz w:val="18"/>
                <w:szCs w:val="18"/>
              </w:rPr>
              <w:t>NOT</w:t>
            </w:r>
          </w:p>
          <w:p w14:paraId="1B3FCFB0" w14:textId="77777777" w:rsidR="009125FD" w:rsidRPr="005356E6" w:rsidRDefault="009125FD" w:rsidP="009125FD">
            <w:pPr>
              <w:jc w:val="center"/>
              <w:rPr>
                <w:rFonts w:ascii="Arial" w:hAnsi="Arial" w:cs="Arial"/>
                <w:b/>
                <w:color w:val="FF0000"/>
                <w:sz w:val="18"/>
                <w:szCs w:val="18"/>
              </w:rPr>
            </w:pPr>
            <w:r w:rsidRPr="005356E6">
              <w:rPr>
                <w:rFonts w:ascii="Arial" w:hAnsi="Arial" w:cs="Arial"/>
                <w:b/>
                <w:color w:val="FF0000"/>
                <w:sz w:val="18"/>
                <w:szCs w:val="18"/>
              </w:rPr>
              <w:t>Sickle Cell Negative</w:t>
            </w:r>
          </w:p>
        </w:tc>
        <w:tc>
          <w:tcPr>
            <w:tcW w:w="1620" w:type="dxa"/>
            <w:tcBorders>
              <w:top w:val="single" w:sz="4" w:space="0" w:color="000000"/>
              <w:left w:val="single" w:sz="4" w:space="0" w:color="000000"/>
              <w:right w:val="single" w:sz="4" w:space="0" w:color="000000"/>
            </w:tcBorders>
            <w:vAlign w:val="center"/>
          </w:tcPr>
          <w:p w14:paraId="7A0F40B7" w14:textId="77777777" w:rsidR="009125FD" w:rsidRPr="00FB56F0" w:rsidRDefault="009125FD" w:rsidP="009125FD">
            <w:pPr>
              <w:ind w:left="36"/>
              <w:rPr>
                <w:rFonts w:ascii="Arial" w:hAnsi="Arial" w:cs="Arial"/>
                <w:sz w:val="18"/>
                <w:szCs w:val="18"/>
              </w:rPr>
            </w:pPr>
            <w:r w:rsidRPr="00FB56F0">
              <w:rPr>
                <w:rFonts w:ascii="Arial" w:hAnsi="Arial" w:cs="Arial"/>
                <w:noProof/>
                <w:sz w:val="18"/>
                <w:szCs w:val="18"/>
              </w:rPr>
              <w:t>Technologist</w:t>
            </w:r>
          </w:p>
          <w:p w14:paraId="3632AC02" w14:textId="77777777" w:rsidR="009125FD" w:rsidRPr="00836EE2" w:rsidRDefault="009125FD" w:rsidP="009125FD">
            <w:pPr>
              <w:ind w:left="36"/>
              <w:rPr>
                <w:rFonts w:ascii="Arial" w:hAnsi="Arial" w:cs="Arial"/>
                <w:sz w:val="18"/>
                <w:szCs w:val="18"/>
              </w:rPr>
            </w:pPr>
          </w:p>
          <w:p w14:paraId="50FDA88F" w14:textId="77777777" w:rsidR="009125FD" w:rsidRPr="00FB56F0" w:rsidRDefault="009125FD" w:rsidP="009125FD">
            <w:pPr>
              <w:ind w:left="36"/>
              <w:rPr>
                <w:rFonts w:ascii="Arial" w:hAnsi="Arial" w:cs="Arial"/>
                <w:noProof/>
                <w:sz w:val="18"/>
                <w:szCs w:val="18"/>
              </w:rPr>
            </w:pPr>
            <w:r w:rsidRPr="00FB56F0">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vAlign w:val="bottom"/>
          </w:tcPr>
          <w:p w14:paraId="2E385C01" w14:textId="77777777" w:rsidR="009125FD"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Patient’s Transfusion Requirement is not satisfied.</w:t>
            </w:r>
            <w:r w:rsidRPr="005C5D59">
              <w:rPr>
                <w:rFonts w:ascii="Arial" w:hAnsi="Arial" w:cs="Arial"/>
                <w:sz w:val="18"/>
                <w:szCs w:val="18"/>
              </w:rPr>
              <w:t xml:space="preserve"> </w:t>
            </w:r>
            <w:r w:rsidRPr="007F3B3C">
              <w:rPr>
                <w:rFonts w:ascii="Arial" w:hAnsi="Arial" w:cs="Arial"/>
                <w:i/>
                <w:sz w:val="18"/>
                <w:szCs w:val="18"/>
              </w:rPr>
              <w:t>You do not have the proper security to issue this unit. Further processing is needed and must be documented in VBECS.</w:t>
            </w:r>
            <w:r w:rsidRPr="005C5D59">
              <w:rPr>
                <w:rFonts w:ascii="Arial" w:hAnsi="Arial" w:cs="Arial"/>
                <w:sz w:val="18"/>
                <w:szCs w:val="18"/>
              </w:rPr>
              <w:t xml:space="preserve"> </w:t>
            </w:r>
          </w:p>
          <w:p w14:paraId="432E54FA" w14:textId="77777777" w:rsidR="009125FD" w:rsidRPr="005C5D59" w:rsidRDefault="009125FD" w:rsidP="009125FD">
            <w:pPr>
              <w:rPr>
                <w:rFonts w:ascii="Arial" w:hAnsi="Arial" w:cs="Arial"/>
                <w:sz w:val="18"/>
                <w:szCs w:val="18"/>
              </w:rPr>
            </w:pPr>
            <w:r>
              <w:rPr>
                <w:rFonts w:ascii="Arial" w:hAnsi="Arial" w:cs="Arial"/>
                <w:sz w:val="18"/>
                <w:szCs w:val="18"/>
              </w:rPr>
              <w:t>The tech may not issue this unit in the computer.</w:t>
            </w:r>
          </w:p>
        </w:tc>
      </w:tr>
      <w:tr w:rsidR="009125FD" w:rsidRPr="005C5D59" w14:paraId="4BB0137C" w14:textId="77777777" w:rsidTr="009125FD">
        <w:trPr>
          <w:cantSplit/>
          <w:trHeight w:val="1296"/>
        </w:trPr>
        <w:tc>
          <w:tcPr>
            <w:tcW w:w="1843" w:type="dxa"/>
            <w:vMerge/>
            <w:tcBorders>
              <w:left w:val="single" w:sz="4" w:space="0" w:color="000000"/>
              <w:right w:val="single" w:sz="4" w:space="0" w:color="000000"/>
            </w:tcBorders>
            <w:vAlign w:val="bottom"/>
          </w:tcPr>
          <w:p w14:paraId="10B1AB99"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14:paraId="0B10D9C3"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207EC4C4" w14:textId="77777777" w:rsidR="009125FD" w:rsidRDefault="009125FD" w:rsidP="009125FD">
            <w:pPr>
              <w:jc w:val="center"/>
              <w:rPr>
                <w:rFonts w:ascii="Arial" w:hAnsi="Arial" w:cs="Arial"/>
                <w:sz w:val="18"/>
                <w:szCs w:val="18"/>
              </w:rPr>
            </w:pPr>
          </w:p>
          <w:p w14:paraId="3A4F4C26"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tc>
        <w:tc>
          <w:tcPr>
            <w:tcW w:w="1260" w:type="dxa"/>
            <w:tcBorders>
              <w:top w:val="single" w:sz="4" w:space="0" w:color="000000"/>
              <w:left w:val="single" w:sz="4" w:space="0" w:color="000000"/>
              <w:right w:val="single" w:sz="4" w:space="0" w:color="000000"/>
            </w:tcBorders>
            <w:vAlign w:val="center"/>
          </w:tcPr>
          <w:p w14:paraId="0F292972" w14:textId="77777777" w:rsidR="009125FD" w:rsidRPr="005356E6" w:rsidRDefault="009125FD" w:rsidP="009125FD">
            <w:pPr>
              <w:jc w:val="center"/>
              <w:rPr>
                <w:rFonts w:ascii="Arial" w:hAnsi="Arial" w:cs="Arial"/>
                <w:b/>
                <w:color w:val="FF0000"/>
                <w:sz w:val="18"/>
                <w:szCs w:val="18"/>
              </w:rPr>
            </w:pPr>
            <w:r w:rsidRPr="005356E6">
              <w:rPr>
                <w:rFonts w:ascii="Arial" w:hAnsi="Arial" w:cs="Arial"/>
                <w:b/>
                <w:color w:val="FF0000"/>
                <w:sz w:val="18"/>
                <w:szCs w:val="18"/>
              </w:rPr>
              <w:t xml:space="preserve">NOT </w:t>
            </w:r>
          </w:p>
          <w:p w14:paraId="3927B383" w14:textId="77777777" w:rsidR="009125FD" w:rsidRPr="005356E6" w:rsidRDefault="009125FD" w:rsidP="009125FD">
            <w:pPr>
              <w:jc w:val="center"/>
              <w:rPr>
                <w:rFonts w:ascii="Arial" w:hAnsi="Arial" w:cs="Arial"/>
                <w:b/>
                <w:color w:val="FF0000"/>
                <w:sz w:val="18"/>
                <w:szCs w:val="18"/>
              </w:rPr>
            </w:pPr>
            <w:r w:rsidRPr="005356E6">
              <w:rPr>
                <w:rFonts w:ascii="Arial" w:hAnsi="Arial" w:cs="Arial"/>
                <w:b/>
                <w:color w:val="FF0000"/>
                <w:sz w:val="18"/>
                <w:szCs w:val="18"/>
              </w:rPr>
              <w:t>Sickle Cell Negative</w:t>
            </w:r>
          </w:p>
        </w:tc>
        <w:tc>
          <w:tcPr>
            <w:tcW w:w="1620" w:type="dxa"/>
            <w:tcBorders>
              <w:top w:val="single" w:sz="4" w:space="0" w:color="000000"/>
              <w:left w:val="single" w:sz="4" w:space="0" w:color="000000"/>
              <w:right w:val="single" w:sz="4" w:space="0" w:color="000000"/>
            </w:tcBorders>
            <w:vAlign w:val="center"/>
          </w:tcPr>
          <w:p w14:paraId="431E6BCD" w14:textId="77777777"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Lead Technologist</w:t>
            </w:r>
          </w:p>
          <w:p w14:paraId="011A6EB1" w14:textId="77777777"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Traditional Supervisor</w:t>
            </w:r>
          </w:p>
          <w:p w14:paraId="6E154042" w14:textId="77777777"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Enhanced Supervisor</w:t>
            </w:r>
          </w:p>
          <w:p w14:paraId="404F1A84" w14:textId="77777777"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Administrator/Supervisor</w:t>
            </w:r>
          </w:p>
          <w:p w14:paraId="35B9069B" w14:textId="77777777" w:rsidR="009125FD" w:rsidRPr="008B278A" w:rsidRDefault="009125FD" w:rsidP="009125FD">
            <w:pPr>
              <w:ind w:left="198" w:hanging="162"/>
              <w:rPr>
                <w:rFonts w:ascii="Arial" w:hAnsi="Arial" w:cs="Arial"/>
                <w:sz w:val="18"/>
                <w:szCs w:val="18"/>
              </w:rPr>
            </w:pPr>
          </w:p>
        </w:tc>
        <w:tc>
          <w:tcPr>
            <w:tcW w:w="4050" w:type="dxa"/>
            <w:tcBorders>
              <w:top w:val="single" w:sz="4" w:space="0" w:color="000000"/>
              <w:left w:val="single" w:sz="4" w:space="0" w:color="000000"/>
              <w:right w:val="single" w:sz="4" w:space="0" w:color="000000"/>
            </w:tcBorders>
            <w:vAlign w:val="bottom"/>
          </w:tcPr>
          <w:p w14:paraId="163F3B2F" w14:textId="77777777" w:rsidR="009125FD" w:rsidRPr="005C5D59"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 xml:space="preserve">Patient’s </w:t>
            </w:r>
            <w:r>
              <w:rPr>
                <w:rFonts w:ascii="Arial" w:hAnsi="Arial" w:cs="Arial"/>
                <w:i/>
                <w:sz w:val="18"/>
                <w:szCs w:val="18"/>
              </w:rPr>
              <w:t>Sickle Cell Negative RBC products</w:t>
            </w:r>
            <w:r w:rsidRPr="00836EE2">
              <w:rPr>
                <w:rFonts w:ascii="Arial" w:hAnsi="Arial" w:cs="Arial"/>
                <w:i/>
                <w:sz w:val="18"/>
                <w:szCs w:val="18"/>
              </w:rPr>
              <w:t xml:space="preserve"> Transfusion Requirement is not satisfied</w:t>
            </w:r>
            <w:r w:rsidRPr="005C5D59">
              <w:rPr>
                <w:rFonts w:ascii="Arial" w:hAnsi="Arial" w:cs="Arial"/>
                <w:sz w:val="18"/>
                <w:szCs w:val="18"/>
              </w:rPr>
              <w:t xml:space="preserve"> and prompts the user whether to proceed. </w:t>
            </w:r>
          </w:p>
          <w:p w14:paraId="12CE2982" w14:textId="77777777" w:rsidR="009125FD" w:rsidRPr="005C5D59" w:rsidRDefault="009125FD" w:rsidP="009125FD">
            <w:pPr>
              <w:rPr>
                <w:rFonts w:ascii="Arial" w:hAnsi="Arial" w:cs="Arial"/>
                <w:sz w:val="18"/>
                <w:szCs w:val="18"/>
              </w:rPr>
            </w:pPr>
            <w:r w:rsidRPr="005C5D59">
              <w:rPr>
                <w:rFonts w:ascii="Arial" w:hAnsi="Arial" w:cs="Arial"/>
                <w:sz w:val="18"/>
                <w:szCs w:val="18"/>
              </w:rPr>
              <w:t>If the user responds “No”</w:t>
            </w:r>
            <w:r>
              <w:rPr>
                <w:rFonts w:ascii="Arial" w:hAnsi="Arial" w:cs="Arial"/>
                <w:sz w:val="18"/>
                <w:szCs w:val="18"/>
              </w:rPr>
              <w:t>,</w:t>
            </w:r>
            <w:r w:rsidRPr="005C5D59">
              <w:rPr>
                <w:rFonts w:ascii="Arial" w:hAnsi="Arial" w:cs="Arial"/>
                <w:sz w:val="18"/>
                <w:szCs w:val="18"/>
              </w:rPr>
              <w:t xml:space="preserve"> the system wi</w:t>
            </w:r>
            <w:r>
              <w:rPr>
                <w:rFonts w:ascii="Arial" w:hAnsi="Arial" w:cs="Arial"/>
                <w:sz w:val="18"/>
                <w:szCs w:val="18"/>
              </w:rPr>
              <w:t>ll clear the selected unit.</w:t>
            </w:r>
          </w:p>
          <w:p w14:paraId="0A1B12E2" w14:textId="7F1AFB9F" w:rsidR="009125FD" w:rsidRPr="005C5D59" w:rsidRDefault="009125FD" w:rsidP="009125FD">
            <w:pPr>
              <w:rPr>
                <w:rFonts w:ascii="Arial" w:hAnsi="Arial" w:cs="Arial"/>
                <w:sz w:val="18"/>
                <w:szCs w:val="18"/>
              </w:rPr>
            </w:pPr>
            <w:r w:rsidRPr="005C5D59">
              <w:rPr>
                <w:rFonts w:ascii="Arial" w:hAnsi="Arial" w:cs="Arial"/>
                <w:sz w:val="18"/>
                <w:szCs w:val="18"/>
              </w:rPr>
              <w:t>If the user responds “Yes”</w:t>
            </w:r>
            <w:r>
              <w:rPr>
                <w:rFonts w:ascii="Arial" w:hAnsi="Arial" w:cs="Arial"/>
                <w:sz w:val="18"/>
                <w:szCs w:val="18"/>
              </w:rPr>
              <w:t>,</w:t>
            </w:r>
            <w:r w:rsidRPr="005C5D59">
              <w:rPr>
                <w:rFonts w:ascii="Arial" w:hAnsi="Arial" w:cs="Arial"/>
                <w:sz w:val="18"/>
                <w:szCs w:val="18"/>
              </w:rPr>
              <w:t xml:space="preserve"> the system will require a comment (free text or canned, “unit issue” context) and capture the transacti</w:t>
            </w:r>
            <w:r>
              <w:rPr>
                <w:rFonts w:ascii="Arial" w:hAnsi="Arial" w:cs="Arial"/>
                <w:sz w:val="18"/>
                <w:szCs w:val="18"/>
              </w:rPr>
              <w:t>on details for inclusion in an Exception R</w:t>
            </w:r>
            <w:r w:rsidRPr="005C5D59">
              <w:rPr>
                <w:rFonts w:ascii="Arial" w:hAnsi="Arial" w:cs="Arial"/>
                <w:sz w:val="18"/>
                <w:szCs w:val="18"/>
              </w:rPr>
              <w:t>eport</w:t>
            </w:r>
            <w:r>
              <w:rPr>
                <w:rFonts w:ascii="Arial" w:hAnsi="Arial" w:cs="Arial"/>
                <w:sz w:val="18"/>
                <w:szCs w:val="18"/>
              </w:rPr>
              <w:t xml:space="preserve"> entry</w:t>
            </w:r>
            <w:r w:rsidRPr="005C5D59">
              <w:rPr>
                <w:rFonts w:ascii="Arial" w:hAnsi="Arial" w:cs="Arial"/>
                <w:sz w:val="18"/>
                <w:szCs w:val="18"/>
              </w:rPr>
              <w:t xml:space="preserve">: </w:t>
            </w:r>
            <w:r w:rsidRPr="005C5D59">
              <w:rPr>
                <w:rFonts w:ascii="Arial" w:hAnsi="Arial" w:cs="Arial"/>
                <w:i/>
                <w:sz w:val="18"/>
                <w:szCs w:val="18"/>
              </w:rPr>
              <w:t xml:space="preserve">Unit issued with unsatisfied Transfusion </w:t>
            </w:r>
            <w:r w:rsidR="00AE3B37" w:rsidRPr="005C5D59">
              <w:rPr>
                <w:rFonts w:ascii="Arial" w:hAnsi="Arial" w:cs="Arial"/>
                <w:i/>
                <w:sz w:val="18"/>
                <w:szCs w:val="18"/>
              </w:rPr>
              <w:t>Requirement</w:t>
            </w:r>
            <w:r w:rsidR="00AE3B37" w:rsidRPr="005C5D59">
              <w:rPr>
                <w:rFonts w:ascii="Arial" w:hAnsi="Arial" w:cs="Arial"/>
                <w:sz w:val="18"/>
                <w:szCs w:val="18"/>
              </w:rPr>
              <w:t>.</w:t>
            </w:r>
          </w:p>
        </w:tc>
      </w:tr>
    </w:tbl>
    <w:p w14:paraId="3CE85C68" w14:textId="77777777" w:rsidR="009125FD" w:rsidRDefault="009125FD" w:rsidP="009125FD"/>
    <w:p w14:paraId="392DCBE3" w14:textId="086D309E" w:rsidR="00C15299" w:rsidRDefault="00DA0A28" w:rsidP="00C15299">
      <w:pPr>
        <w:pStyle w:val="Caption"/>
      </w:pPr>
      <w:r>
        <w:br w:type="page"/>
      </w:r>
      <w:bookmarkStart w:id="846" w:name="_Ref343502634"/>
      <w:r w:rsidR="00C15299">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172</w:t>
      </w:r>
      <w:r w:rsidR="004E20BD">
        <w:rPr>
          <w:noProof/>
        </w:rPr>
        <w:fldChar w:fldCharType="end"/>
      </w:r>
      <w:r w:rsidR="00C15299">
        <w:t>: CMV Negative Cellular Products* and Select Blood Unit</w:t>
      </w:r>
      <w:bookmarkEnd w:id="846"/>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843"/>
        <w:gridCol w:w="1469"/>
        <w:gridCol w:w="1260"/>
        <w:gridCol w:w="1620"/>
        <w:gridCol w:w="4050"/>
      </w:tblGrid>
      <w:tr w:rsidR="009125FD" w:rsidRPr="005C5D59" w14:paraId="16D882AD" w14:textId="77777777" w:rsidTr="009125FD">
        <w:trPr>
          <w:cantSplit/>
          <w:trHeight w:val="305"/>
          <w:tblHeader/>
        </w:trPr>
        <w:tc>
          <w:tcPr>
            <w:tcW w:w="10242" w:type="dxa"/>
            <w:gridSpan w:val="5"/>
            <w:tcBorders>
              <w:top w:val="single" w:sz="4" w:space="0" w:color="000000"/>
              <w:left w:val="single" w:sz="4" w:space="0" w:color="000000"/>
              <w:right w:val="single" w:sz="4" w:space="0" w:color="000000"/>
            </w:tcBorders>
            <w:shd w:val="pct25" w:color="auto" w:fill="auto"/>
            <w:vAlign w:val="bottom"/>
            <w:hideMark/>
          </w:tcPr>
          <w:p w14:paraId="2CF38F98"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Select Unit: </w:t>
            </w:r>
            <w:r>
              <w:rPr>
                <w:rFonts w:ascii="Arial" w:hAnsi="Arial" w:cs="Arial"/>
                <w:b/>
                <w:sz w:val="18"/>
                <w:szCs w:val="18"/>
              </w:rPr>
              <w:t xml:space="preserve"> CMV </w:t>
            </w:r>
            <w:r w:rsidRPr="00C22EDE">
              <w:rPr>
                <w:rFonts w:ascii="Arial" w:hAnsi="Arial" w:cs="Arial"/>
                <w:b/>
                <w:sz w:val="18"/>
                <w:szCs w:val="18"/>
              </w:rPr>
              <w:t>Negative Cellular Products</w:t>
            </w:r>
          </w:p>
        </w:tc>
      </w:tr>
      <w:tr w:rsidR="009125FD" w:rsidRPr="005C5D59" w14:paraId="344289E1" w14:textId="77777777" w:rsidTr="009125FD">
        <w:trPr>
          <w:cantSplit/>
          <w:trHeight w:val="432"/>
          <w:tblHeader/>
        </w:trPr>
        <w:tc>
          <w:tcPr>
            <w:tcW w:w="1843" w:type="dxa"/>
            <w:tcBorders>
              <w:left w:val="single" w:sz="4" w:space="0" w:color="000000"/>
              <w:bottom w:val="single" w:sz="4" w:space="0" w:color="000000"/>
              <w:right w:val="single" w:sz="4" w:space="0" w:color="000000"/>
            </w:tcBorders>
            <w:shd w:val="pct25" w:color="auto" w:fill="auto"/>
            <w:vAlign w:val="bottom"/>
            <w:hideMark/>
          </w:tcPr>
          <w:p w14:paraId="0B19F321"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469" w:type="dxa"/>
            <w:tcBorders>
              <w:left w:val="single" w:sz="4" w:space="0" w:color="000000"/>
              <w:bottom w:val="single" w:sz="4" w:space="0" w:color="000000"/>
              <w:right w:val="single" w:sz="4" w:space="0" w:color="000000"/>
            </w:tcBorders>
            <w:shd w:val="pct25" w:color="auto" w:fill="auto"/>
            <w:vAlign w:val="bottom"/>
            <w:hideMark/>
          </w:tcPr>
          <w:p w14:paraId="7D90E904"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3B4828DA" w14:textId="77777777" w:rsidR="009125FD" w:rsidRPr="005C5D59" w:rsidRDefault="009125FD" w:rsidP="009125FD">
            <w:pPr>
              <w:jc w:val="cente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5A540A56" w14:textId="77777777" w:rsidR="009125FD" w:rsidRPr="005C5D59" w:rsidRDefault="009125FD" w:rsidP="009125FD">
            <w:pPr>
              <w:jc w:val="center"/>
              <w:rPr>
                <w:rFonts w:ascii="Arial" w:hAnsi="Arial" w:cs="Arial"/>
                <w:b/>
                <w:sz w:val="18"/>
                <w:szCs w:val="18"/>
              </w:rPr>
            </w:pPr>
            <w:r w:rsidRPr="005C5D59">
              <w:rPr>
                <w:rFonts w:ascii="Arial" w:hAnsi="Arial" w:cs="Arial"/>
                <w:b/>
                <w:sz w:val="18"/>
                <w:szCs w:val="18"/>
              </w:rPr>
              <w:t>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651D6898" w14:textId="77777777" w:rsidR="009125FD" w:rsidRPr="005C5D59" w:rsidRDefault="009125FD" w:rsidP="009125FD">
            <w:pPr>
              <w:jc w:val="center"/>
              <w:rPr>
                <w:rFonts w:ascii="Arial" w:hAnsi="Arial" w:cs="Arial"/>
                <w:b/>
                <w:sz w:val="18"/>
                <w:szCs w:val="18"/>
              </w:rPr>
            </w:pPr>
            <w:r>
              <w:rPr>
                <w:rFonts w:ascii="Arial" w:hAnsi="Arial" w:cs="Arial"/>
                <w:b/>
                <w:sz w:val="18"/>
                <w:szCs w:val="18"/>
              </w:rPr>
              <w:t xml:space="preserve">VBECS </w:t>
            </w:r>
            <w:r w:rsidRPr="005C5D59">
              <w:rPr>
                <w:rFonts w:ascii="Arial" w:hAnsi="Arial" w:cs="Arial"/>
                <w:b/>
                <w:sz w:val="18"/>
                <w:szCs w:val="18"/>
              </w:rPr>
              <w:t>Response</w:t>
            </w:r>
          </w:p>
        </w:tc>
      </w:tr>
      <w:tr w:rsidR="009125FD" w:rsidRPr="005C5D59" w14:paraId="1F427197" w14:textId="77777777" w:rsidTr="009125FD">
        <w:trPr>
          <w:cantSplit/>
          <w:trHeight w:val="284"/>
        </w:trPr>
        <w:tc>
          <w:tcPr>
            <w:tcW w:w="1843" w:type="dxa"/>
            <w:vMerge w:val="restart"/>
            <w:tcBorders>
              <w:top w:val="single" w:sz="4" w:space="0" w:color="000000"/>
              <w:left w:val="single" w:sz="4" w:space="0" w:color="000000"/>
              <w:right w:val="single" w:sz="4" w:space="0" w:color="000000"/>
            </w:tcBorders>
            <w:vAlign w:val="center"/>
            <w:hideMark/>
          </w:tcPr>
          <w:p w14:paraId="77B03D79" w14:textId="77777777" w:rsidR="009125FD" w:rsidRPr="00B62010" w:rsidRDefault="009125FD" w:rsidP="009125FD">
            <w:pPr>
              <w:jc w:val="center"/>
              <w:rPr>
                <w:rFonts w:ascii="Arial" w:hAnsi="Arial" w:cs="Arial"/>
                <w:b/>
                <w:sz w:val="20"/>
                <w:szCs w:val="20"/>
              </w:rPr>
            </w:pPr>
            <w:r w:rsidRPr="00A92752">
              <w:rPr>
                <w:rFonts w:ascii="Arial" w:hAnsi="Arial" w:cs="Arial"/>
                <w:b/>
                <w:sz w:val="28"/>
                <w:szCs w:val="28"/>
              </w:rPr>
              <w:t>CMV negative cellular products</w:t>
            </w:r>
            <w:r w:rsidRPr="00B62010">
              <w:rPr>
                <w:rFonts w:ascii="Arial" w:hAnsi="Arial" w:cs="Arial"/>
                <w:b/>
                <w:sz w:val="20"/>
                <w:szCs w:val="20"/>
              </w:rPr>
              <w:t xml:space="preserve">*  </w:t>
            </w:r>
          </w:p>
        </w:tc>
        <w:tc>
          <w:tcPr>
            <w:tcW w:w="1469" w:type="dxa"/>
            <w:tcBorders>
              <w:top w:val="single" w:sz="4" w:space="0" w:color="000000"/>
              <w:left w:val="single" w:sz="4" w:space="0" w:color="000000"/>
              <w:right w:val="single" w:sz="4" w:space="0" w:color="000000"/>
            </w:tcBorders>
            <w:shd w:val="pct10" w:color="auto" w:fill="auto"/>
            <w:vAlign w:val="center"/>
            <w:hideMark/>
          </w:tcPr>
          <w:p w14:paraId="3F3348C3" w14:textId="77777777" w:rsidR="009125FD" w:rsidRDefault="009125FD" w:rsidP="009125FD">
            <w:pPr>
              <w:spacing w:after="120"/>
              <w:jc w:val="center"/>
              <w:rPr>
                <w:rFonts w:ascii="Arial" w:hAnsi="Arial" w:cs="Arial"/>
                <w:sz w:val="18"/>
                <w:szCs w:val="18"/>
              </w:rPr>
            </w:pPr>
            <w:r w:rsidRPr="005C5D59">
              <w:rPr>
                <w:rFonts w:ascii="Arial" w:hAnsi="Arial" w:cs="Arial"/>
                <w:sz w:val="18"/>
                <w:szCs w:val="18"/>
              </w:rPr>
              <w:t xml:space="preserve">RED BLOOD CELLS </w:t>
            </w:r>
          </w:p>
          <w:p w14:paraId="2D7B39C8" w14:textId="77777777" w:rsidR="009125FD" w:rsidRDefault="009125FD" w:rsidP="009125FD">
            <w:pPr>
              <w:spacing w:after="120"/>
              <w:jc w:val="center"/>
              <w:rPr>
                <w:rFonts w:ascii="Arial" w:hAnsi="Arial" w:cs="Arial"/>
                <w:sz w:val="18"/>
                <w:szCs w:val="18"/>
              </w:rPr>
            </w:pPr>
            <w:r w:rsidRPr="005C5D59">
              <w:rPr>
                <w:rFonts w:ascii="Arial" w:hAnsi="Arial" w:cs="Arial"/>
                <w:sz w:val="18"/>
                <w:szCs w:val="18"/>
              </w:rPr>
              <w:t xml:space="preserve">  WHOLE BLOOD</w:t>
            </w:r>
          </w:p>
          <w:p w14:paraId="6B64786F" w14:textId="77777777" w:rsidR="009125FD" w:rsidRDefault="009125FD" w:rsidP="009125FD">
            <w:pPr>
              <w:spacing w:after="120"/>
              <w:jc w:val="center"/>
              <w:rPr>
                <w:rFonts w:ascii="Arial" w:hAnsi="Arial" w:cs="Arial"/>
                <w:sz w:val="18"/>
                <w:szCs w:val="18"/>
              </w:rPr>
            </w:pPr>
            <w:r w:rsidRPr="005C5D59">
              <w:rPr>
                <w:rFonts w:ascii="Arial" w:hAnsi="Arial" w:cs="Arial"/>
                <w:sz w:val="18"/>
                <w:szCs w:val="18"/>
              </w:rPr>
              <w:t xml:space="preserve"> PLATELETS</w:t>
            </w:r>
          </w:p>
          <w:p w14:paraId="086D1ECF" w14:textId="77777777" w:rsidR="009125FD" w:rsidRPr="005C5D59" w:rsidRDefault="009125FD" w:rsidP="009125FD">
            <w:pPr>
              <w:spacing w:after="120"/>
              <w:jc w:val="center"/>
              <w:rPr>
                <w:rFonts w:ascii="Arial" w:hAnsi="Arial" w:cs="Arial"/>
                <w:sz w:val="18"/>
                <w:szCs w:val="18"/>
              </w:rPr>
            </w:pPr>
            <w:r w:rsidRPr="005C5D59">
              <w:rPr>
                <w:rFonts w:ascii="Arial" w:hAnsi="Arial" w:cs="Arial"/>
                <w:color w:val="000000"/>
                <w:sz w:val="18"/>
                <w:szCs w:val="18"/>
              </w:rPr>
              <w:t>OTHER</w:t>
            </w:r>
          </w:p>
        </w:tc>
        <w:tc>
          <w:tcPr>
            <w:tcW w:w="1260" w:type="dxa"/>
            <w:tcBorders>
              <w:top w:val="single" w:sz="4" w:space="0" w:color="000000"/>
              <w:left w:val="single" w:sz="4" w:space="0" w:color="000000"/>
              <w:right w:val="single" w:sz="4" w:space="0" w:color="000000"/>
            </w:tcBorders>
            <w:shd w:val="pct10" w:color="auto" w:fill="auto"/>
            <w:vAlign w:val="center"/>
            <w:hideMark/>
          </w:tcPr>
          <w:p w14:paraId="5D438EA4" w14:textId="77777777" w:rsidR="009125FD" w:rsidRPr="00F80646" w:rsidRDefault="009125FD" w:rsidP="009125FD">
            <w:pPr>
              <w:jc w:val="center"/>
              <w:rPr>
                <w:rFonts w:ascii="Arial" w:hAnsi="Arial" w:cs="Arial"/>
                <w:b/>
                <w:sz w:val="18"/>
                <w:szCs w:val="18"/>
              </w:rPr>
            </w:pPr>
            <w:r w:rsidRPr="008E2609">
              <w:rPr>
                <w:rFonts w:ascii="Arial" w:hAnsi="Arial" w:cs="Arial"/>
                <w:sz w:val="18"/>
                <w:szCs w:val="18"/>
              </w:rPr>
              <w:t>CMV Negative</w:t>
            </w:r>
            <w:r>
              <w:rPr>
                <w:rFonts w:ascii="Arial" w:hAnsi="Arial" w:cs="Arial"/>
                <w:b/>
                <w:sz w:val="18"/>
                <w:szCs w:val="18"/>
              </w:rPr>
              <w:t>*</w:t>
            </w:r>
          </w:p>
        </w:tc>
        <w:tc>
          <w:tcPr>
            <w:tcW w:w="1620" w:type="dxa"/>
            <w:tcBorders>
              <w:top w:val="single" w:sz="4" w:space="0" w:color="000000"/>
              <w:left w:val="single" w:sz="4" w:space="0" w:color="000000"/>
              <w:right w:val="single" w:sz="4" w:space="0" w:color="000000"/>
            </w:tcBorders>
            <w:shd w:val="pct10" w:color="auto" w:fill="auto"/>
            <w:vAlign w:val="center"/>
            <w:hideMark/>
          </w:tcPr>
          <w:p w14:paraId="03C40033"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1148571B"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776A7F15" w14:textId="77777777" w:rsidTr="009125FD">
        <w:trPr>
          <w:cantSplit/>
          <w:trHeight w:val="576"/>
        </w:trPr>
        <w:tc>
          <w:tcPr>
            <w:tcW w:w="1843" w:type="dxa"/>
            <w:vMerge/>
            <w:tcBorders>
              <w:left w:val="single" w:sz="4" w:space="0" w:color="000000"/>
              <w:right w:val="single" w:sz="4" w:space="0" w:color="000000"/>
            </w:tcBorders>
            <w:vAlign w:val="bottom"/>
          </w:tcPr>
          <w:p w14:paraId="530C6BF8"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14:paraId="1E96F930" w14:textId="77777777" w:rsidR="009125FD" w:rsidRDefault="009125FD" w:rsidP="009125FD">
            <w:pPr>
              <w:rPr>
                <w:rFonts w:ascii="Arial" w:hAnsi="Arial" w:cs="Arial"/>
                <w:sz w:val="18"/>
                <w:szCs w:val="18"/>
              </w:rPr>
            </w:pPr>
            <w:r w:rsidRPr="005C5D59">
              <w:rPr>
                <w:rFonts w:ascii="Arial" w:hAnsi="Arial" w:cs="Arial"/>
                <w:sz w:val="18"/>
                <w:szCs w:val="18"/>
              </w:rPr>
              <w:t>RED BLOOD CELLS</w:t>
            </w:r>
          </w:p>
          <w:p w14:paraId="20E27617" w14:textId="77777777" w:rsidR="009125FD" w:rsidRDefault="009125FD" w:rsidP="009125FD">
            <w:pPr>
              <w:rPr>
                <w:rFonts w:ascii="Arial" w:hAnsi="Arial" w:cs="Arial"/>
                <w:sz w:val="18"/>
                <w:szCs w:val="18"/>
              </w:rPr>
            </w:pPr>
          </w:p>
          <w:p w14:paraId="2AD9070E" w14:textId="77777777" w:rsidR="009125FD" w:rsidRDefault="009125FD" w:rsidP="009125FD">
            <w:pPr>
              <w:rPr>
                <w:rFonts w:ascii="Arial" w:hAnsi="Arial" w:cs="Arial"/>
                <w:sz w:val="18"/>
                <w:szCs w:val="18"/>
              </w:rPr>
            </w:pPr>
            <w:r w:rsidRPr="005C5D59">
              <w:rPr>
                <w:rFonts w:ascii="Arial" w:hAnsi="Arial" w:cs="Arial"/>
                <w:sz w:val="18"/>
                <w:szCs w:val="18"/>
              </w:rPr>
              <w:t>WHOLE BLOOD</w:t>
            </w:r>
          </w:p>
          <w:p w14:paraId="62F06E7D" w14:textId="77777777" w:rsidR="009125FD" w:rsidRDefault="009125FD" w:rsidP="009125FD">
            <w:pPr>
              <w:rPr>
                <w:rFonts w:ascii="Arial" w:hAnsi="Arial" w:cs="Arial"/>
                <w:sz w:val="18"/>
                <w:szCs w:val="18"/>
              </w:rPr>
            </w:pPr>
          </w:p>
          <w:p w14:paraId="3CCB9969" w14:textId="77777777" w:rsidR="009125FD" w:rsidRDefault="009125FD" w:rsidP="009125FD">
            <w:pPr>
              <w:rPr>
                <w:rFonts w:ascii="Arial" w:hAnsi="Arial" w:cs="Arial"/>
                <w:sz w:val="18"/>
                <w:szCs w:val="18"/>
              </w:rPr>
            </w:pPr>
            <w:r w:rsidRPr="005C5D59">
              <w:rPr>
                <w:rFonts w:ascii="Arial" w:hAnsi="Arial" w:cs="Arial"/>
                <w:sz w:val="18"/>
                <w:szCs w:val="18"/>
              </w:rPr>
              <w:t>PLATELETS</w:t>
            </w:r>
          </w:p>
          <w:p w14:paraId="69C92F7A" w14:textId="77777777" w:rsidR="009125FD" w:rsidRDefault="009125FD" w:rsidP="009125FD">
            <w:pPr>
              <w:rPr>
                <w:rFonts w:ascii="Arial" w:hAnsi="Arial" w:cs="Arial"/>
                <w:color w:val="000000"/>
                <w:sz w:val="18"/>
                <w:szCs w:val="18"/>
              </w:rPr>
            </w:pPr>
            <w:r w:rsidRPr="005C5D59">
              <w:rPr>
                <w:rFonts w:ascii="Arial" w:hAnsi="Arial" w:cs="Arial"/>
                <w:color w:val="000000"/>
                <w:sz w:val="18"/>
                <w:szCs w:val="18"/>
              </w:rPr>
              <w:t xml:space="preserve"> </w:t>
            </w:r>
          </w:p>
          <w:p w14:paraId="662F4F75" w14:textId="77777777" w:rsidR="009125FD" w:rsidRPr="005C5D59" w:rsidRDefault="009125FD" w:rsidP="009125FD">
            <w:pPr>
              <w:rPr>
                <w:rFonts w:ascii="Arial" w:hAnsi="Arial" w:cs="Arial"/>
                <w:sz w:val="18"/>
                <w:szCs w:val="18"/>
              </w:rPr>
            </w:pPr>
            <w:r w:rsidRPr="005C5D59">
              <w:rPr>
                <w:rFonts w:ascii="Arial" w:hAnsi="Arial" w:cs="Arial"/>
                <w:color w:val="000000"/>
                <w:sz w:val="18"/>
                <w:szCs w:val="18"/>
              </w:rPr>
              <w:t>OTHER</w:t>
            </w:r>
            <w:r>
              <w:rPr>
                <w:rFonts w:ascii="Arial" w:hAnsi="Arial" w:cs="Arial"/>
                <w:color w:val="000000"/>
                <w:sz w:val="18"/>
                <w:szCs w:val="18"/>
              </w:rPr>
              <w:t>*</w:t>
            </w:r>
          </w:p>
        </w:tc>
        <w:tc>
          <w:tcPr>
            <w:tcW w:w="1260" w:type="dxa"/>
            <w:tcBorders>
              <w:top w:val="single" w:sz="4" w:space="0" w:color="000000"/>
              <w:left w:val="single" w:sz="4" w:space="0" w:color="000000"/>
              <w:bottom w:val="single" w:sz="4" w:space="0" w:color="000000"/>
              <w:right w:val="single" w:sz="4" w:space="0" w:color="000000"/>
            </w:tcBorders>
            <w:vAlign w:val="center"/>
          </w:tcPr>
          <w:p w14:paraId="40082A2C" w14:textId="77777777" w:rsidR="009125FD" w:rsidRDefault="009125FD" w:rsidP="009125FD">
            <w:pPr>
              <w:jc w:val="center"/>
              <w:rPr>
                <w:rFonts w:ascii="Arial" w:hAnsi="Arial" w:cs="Arial"/>
                <w:b/>
                <w:color w:val="FF0000"/>
                <w:sz w:val="18"/>
                <w:szCs w:val="18"/>
              </w:rPr>
            </w:pPr>
            <w:r>
              <w:rPr>
                <w:rFonts w:ascii="Arial" w:hAnsi="Arial" w:cs="Arial"/>
                <w:b/>
                <w:color w:val="FF0000"/>
                <w:sz w:val="18"/>
                <w:szCs w:val="18"/>
              </w:rPr>
              <w:t xml:space="preserve">Not </w:t>
            </w:r>
          </w:p>
          <w:p w14:paraId="1446BEB1" w14:textId="77777777" w:rsidR="009125FD" w:rsidRPr="00871BF2" w:rsidRDefault="009125FD" w:rsidP="009125FD">
            <w:pPr>
              <w:jc w:val="center"/>
              <w:rPr>
                <w:rFonts w:ascii="Arial" w:hAnsi="Arial" w:cs="Arial"/>
                <w:b/>
                <w:color w:val="FF0000"/>
                <w:sz w:val="18"/>
                <w:szCs w:val="18"/>
              </w:rPr>
            </w:pPr>
            <w:r>
              <w:rPr>
                <w:rFonts w:ascii="Arial" w:hAnsi="Arial" w:cs="Arial"/>
                <w:b/>
                <w:color w:val="FF0000"/>
                <w:sz w:val="18"/>
                <w:szCs w:val="18"/>
              </w:rPr>
              <w:t>CMV negative</w:t>
            </w:r>
          </w:p>
        </w:tc>
        <w:tc>
          <w:tcPr>
            <w:tcW w:w="1620" w:type="dxa"/>
            <w:tcBorders>
              <w:top w:val="single" w:sz="4" w:space="0" w:color="000000"/>
              <w:left w:val="single" w:sz="4" w:space="0" w:color="000000"/>
              <w:bottom w:val="single" w:sz="4" w:space="0" w:color="000000"/>
              <w:right w:val="single" w:sz="4" w:space="0" w:color="000000"/>
            </w:tcBorders>
            <w:vAlign w:val="center"/>
          </w:tcPr>
          <w:p w14:paraId="790E4492" w14:textId="77777777" w:rsidR="009125FD" w:rsidRPr="00FB56F0" w:rsidRDefault="009125FD" w:rsidP="009125FD">
            <w:pPr>
              <w:rPr>
                <w:rFonts w:ascii="Arial" w:hAnsi="Arial" w:cs="Arial"/>
                <w:sz w:val="18"/>
                <w:szCs w:val="18"/>
              </w:rPr>
            </w:pPr>
            <w:r w:rsidRPr="00FB56F0">
              <w:rPr>
                <w:rFonts w:ascii="Arial" w:hAnsi="Arial" w:cs="Arial"/>
                <w:noProof/>
                <w:sz w:val="18"/>
                <w:szCs w:val="18"/>
              </w:rPr>
              <w:t>Technologist</w:t>
            </w:r>
          </w:p>
          <w:p w14:paraId="33697EB0" w14:textId="77777777" w:rsidR="009125FD" w:rsidRPr="00836EE2" w:rsidRDefault="009125FD" w:rsidP="009125FD">
            <w:pPr>
              <w:ind w:left="36"/>
              <w:rPr>
                <w:rFonts w:ascii="Arial" w:hAnsi="Arial" w:cs="Arial"/>
                <w:sz w:val="18"/>
                <w:szCs w:val="18"/>
              </w:rPr>
            </w:pPr>
          </w:p>
          <w:p w14:paraId="712E0445" w14:textId="77777777" w:rsidR="009125FD" w:rsidRPr="005C5D59" w:rsidRDefault="009125FD" w:rsidP="009125FD">
            <w:pPr>
              <w:rPr>
                <w:rFonts w:ascii="Arial" w:hAnsi="Arial" w:cs="Arial"/>
                <w:sz w:val="18"/>
                <w:szCs w:val="18"/>
              </w:rPr>
            </w:pPr>
            <w:r w:rsidRPr="00FB56F0">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tcPr>
          <w:p w14:paraId="0D66BF35" w14:textId="77777777" w:rsidR="009125FD" w:rsidRPr="007F3B3C" w:rsidRDefault="009125FD" w:rsidP="009125FD">
            <w:pPr>
              <w:pStyle w:val="TableText"/>
              <w:spacing w:before="120"/>
              <w:rPr>
                <w:rStyle w:val="StyleTableText9ptCharChar"/>
                <w:rFonts w:cs="Arial"/>
                <w:i/>
              </w:rPr>
            </w:pPr>
            <w:r w:rsidRPr="005C5D59">
              <w:rPr>
                <w:rStyle w:val="StyleTableText9ptCharChar"/>
                <w:rFonts w:cs="Arial"/>
              </w:rPr>
              <w:t>The Transfusi</w:t>
            </w:r>
            <w:r>
              <w:rPr>
                <w:rStyle w:val="StyleTableText9ptCharChar"/>
                <w:rFonts w:cs="Arial"/>
              </w:rPr>
              <w:t>on Requirement is not satisfied;</w:t>
            </w:r>
            <w:r w:rsidRPr="005C5D59">
              <w:rPr>
                <w:rStyle w:val="StyleTableText9ptCharChar"/>
                <w:rFonts w:cs="Arial"/>
              </w:rPr>
              <w:t xml:space="preserve"> the system emits an audible alert and displays a warning message: </w:t>
            </w:r>
            <w:r w:rsidRPr="007F3B3C">
              <w:rPr>
                <w:rStyle w:val="StyleTableText9ptCharChar"/>
                <w:rFonts w:cs="Arial"/>
                <w:i/>
              </w:rPr>
              <w:t>This unit does not currently satisfy all of the patient’s Transfusion Requirements. Further processing is needed. Continue to select this unit?</w:t>
            </w:r>
          </w:p>
          <w:p w14:paraId="39C21CB6" w14:textId="77777777" w:rsidR="009125FD" w:rsidRPr="005C5D59" w:rsidRDefault="009125FD" w:rsidP="009125FD">
            <w:pPr>
              <w:pStyle w:val="TableText"/>
              <w:rPr>
                <w:rStyle w:val="StyleTableText9ptCharChar"/>
                <w:rFonts w:cs="Arial"/>
              </w:rPr>
            </w:pPr>
            <w:r w:rsidRPr="005C5D59">
              <w:rPr>
                <w:rStyle w:val="StyleTableText9ptCharChar"/>
                <w:rFonts w:cs="Arial"/>
              </w:rPr>
              <w:t>If</w:t>
            </w:r>
            <w:r>
              <w:rPr>
                <w:rStyle w:val="StyleTableText9ptCharChar"/>
                <w:rFonts w:cs="Arial"/>
              </w:rPr>
              <w:t xml:space="preserve"> the user clicks </w:t>
            </w:r>
            <w:r w:rsidRPr="005C5D59">
              <w:rPr>
                <w:rStyle w:val="StyleTableText9ptCharChar"/>
                <w:rFonts w:cs="Arial"/>
              </w:rPr>
              <w:t>“No,” the screen is cleared.</w:t>
            </w:r>
          </w:p>
          <w:p w14:paraId="66D43E64" w14:textId="77777777" w:rsidR="009125FD" w:rsidRPr="005C5D59" w:rsidRDefault="009125FD" w:rsidP="009125FD">
            <w:pPr>
              <w:pStyle w:val="TableText"/>
              <w:rPr>
                <w:rFonts w:cs="Arial"/>
                <w:noProof/>
              </w:rPr>
            </w:pPr>
            <w:r w:rsidRPr="005C5D59">
              <w:rPr>
                <w:rStyle w:val="StyleTableText9ptCharChar"/>
                <w:rFonts w:cs="Arial"/>
              </w:rPr>
              <w:t xml:space="preserve">If </w:t>
            </w:r>
            <w:r>
              <w:rPr>
                <w:rStyle w:val="StyleTableText9ptCharChar"/>
                <w:rFonts w:cs="Arial"/>
              </w:rPr>
              <w:t>the user clicks “Yes,” selection can continue to select the unit.</w:t>
            </w:r>
          </w:p>
        </w:tc>
      </w:tr>
      <w:tr w:rsidR="009125FD" w:rsidRPr="005C5D59" w14:paraId="141FFD8D" w14:textId="77777777" w:rsidTr="009125FD">
        <w:trPr>
          <w:cantSplit/>
          <w:trHeight w:val="576"/>
        </w:trPr>
        <w:tc>
          <w:tcPr>
            <w:tcW w:w="1843" w:type="dxa"/>
            <w:vMerge/>
            <w:tcBorders>
              <w:left w:val="single" w:sz="4" w:space="0" w:color="000000"/>
              <w:right w:val="single" w:sz="4" w:space="0" w:color="000000"/>
            </w:tcBorders>
            <w:vAlign w:val="bottom"/>
          </w:tcPr>
          <w:p w14:paraId="4B9A3307"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14:paraId="75A46AAE" w14:textId="77777777" w:rsidR="009125FD" w:rsidRDefault="009125FD" w:rsidP="009125FD">
            <w:pPr>
              <w:rPr>
                <w:rFonts w:ascii="Arial" w:hAnsi="Arial" w:cs="Arial"/>
                <w:sz w:val="18"/>
                <w:szCs w:val="18"/>
              </w:rPr>
            </w:pPr>
            <w:r w:rsidRPr="005C5D59">
              <w:rPr>
                <w:rFonts w:ascii="Arial" w:hAnsi="Arial" w:cs="Arial"/>
                <w:sz w:val="18"/>
                <w:szCs w:val="18"/>
              </w:rPr>
              <w:t>RED BLOOD CELLS</w:t>
            </w:r>
          </w:p>
          <w:p w14:paraId="3F9D9EEE" w14:textId="77777777" w:rsidR="009125FD" w:rsidRDefault="009125FD" w:rsidP="009125FD">
            <w:pPr>
              <w:rPr>
                <w:rFonts w:ascii="Arial" w:hAnsi="Arial" w:cs="Arial"/>
                <w:sz w:val="18"/>
                <w:szCs w:val="18"/>
              </w:rPr>
            </w:pPr>
          </w:p>
          <w:p w14:paraId="1CE6E4E8" w14:textId="77777777" w:rsidR="009125FD" w:rsidRDefault="009125FD" w:rsidP="009125FD">
            <w:pPr>
              <w:rPr>
                <w:rFonts w:ascii="Arial" w:hAnsi="Arial" w:cs="Arial"/>
                <w:sz w:val="18"/>
                <w:szCs w:val="18"/>
              </w:rPr>
            </w:pPr>
            <w:r w:rsidRPr="005C5D59">
              <w:rPr>
                <w:rFonts w:ascii="Arial" w:hAnsi="Arial" w:cs="Arial"/>
                <w:sz w:val="18"/>
                <w:szCs w:val="18"/>
              </w:rPr>
              <w:t>WHOLE BLOOD</w:t>
            </w:r>
          </w:p>
          <w:p w14:paraId="60E866F4" w14:textId="77777777" w:rsidR="009125FD" w:rsidRDefault="009125FD" w:rsidP="009125FD">
            <w:pPr>
              <w:rPr>
                <w:rFonts w:ascii="Arial" w:hAnsi="Arial" w:cs="Arial"/>
                <w:sz w:val="18"/>
                <w:szCs w:val="18"/>
              </w:rPr>
            </w:pPr>
          </w:p>
          <w:p w14:paraId="4EC29434" w14:textId="77777777" w:rsidR="009125FD" w:rsidRDefault="009125FD" w:rsidP="009125FD">
            <w:pPr>
              <w:rPr>
                <w:rFonts w:ascii="Arial" w:hAnsi="Arial" w:cs="Arial"/>
                <w:sz w:val="18"/>
                <w:szCs w:val="18"/>
              </w:rPr>
            </w:pPr>
            <w:r w:rsidRPr="005C5D59">
              <w:rPr>
                <w:rFonts w:ascii="Arial" w:hAnsi="Arial" w:cs="Arial"/>
                <w:sz w:val="18"/>
                <w:szCs w:val="18"/>
              </w:rPr>
              <w:t>PLATELETS</w:t>
            </w:r>
          </w:p>
          <w:p w14:paraId="19BC6882" w14:textId="77777777" w:rsidR="009125FD" w:rsidRDefault="009125FD" w:rsidP="009125FD">
            <w:pPr>
              <w:rPr>
                <w:rFonts w:ascii="Arial" w:hAnsi="Arial" w:cs="Arial"/>
                <w:color w:val="000000"/>
                <w:sz w:val="18"/>
                <w:szCs w:val="18"/>
              </w:rPr>
            </w:pPr>
            <w:r w:rsidRPr="005C5D59">
              <w:rPr>
                <w:rFonts w:ascii="Arial" w:hAnsi="Arial" w:cs="Arial"/>
                <w:color w:val="000000"/>
                <w:sz w:val="18"/>
                <w:szCs w:val="18"/>
              </w:rPr>
              <w:t xml:space="preserve"> </w:t>
            </w:r>
          </w:p>
          <w:p w14:paraId="6C01FFFE" w14:textId="77777777" w:rsidR="009125FD" w:rsidRPr="005C5D59" w:rsidRDefault="009125FD" w:rsidP="009125FD">
            <w:pPr>
              <w:rPr>
                <w:rFonts w:ascii="Arial" w:hAnsi="Arial" w:cs="Arial"/>
                <w:color w:val="000000"/>
                <w:sz w:val="18"/>
                <w:szCs w:val="18"/>
              </w:rPr>
            </w:pPr>
            <w:r w:rsidRPr="005C5D59">
              <w:rPr>
                <w:rFonts w:ascii="Arial" w:hAnsi="Arial" w:cs="Arial"/>
                <w:color w:val="000000"/>
                <w:sz w:val="18"/>
                <w:szCs w:val="18"/>
              </w:rPr>
              <w:t>OTHER</w:t>
            </w:r>
            <w:r>
              <w:rPr>
                <w:rFonts w:ascii="Arial" w:hAnsi="Arial" w:cs="Arial"/>
                <w:color w:val="000000"/>
                <w:sz w:val="18"/>
                <w:szCs w:val="18"/>
              </w:rPr>
              <w:t>*</w:t>
            </w:r>
          </w:p>
        </w:tc>
        <w:tc>
          <w:tcPr>
            <w:tcW w:w="1260" w:type="dxa"/>
            <w:tcBorders>
              <w:top w:val="single" w:sz="4" w:space="0" w:color="000000"/>
              <w:left w:val="single" w:sz="4" w:space="0" w:color="000000"/>
              <w:bottom w:val="single" w:sz="4" w:space="0" w:color="000000"/>
              <w:right w:val="single" w:sz="4" w:space="0" w:color="000000"/>
            </w:tcBorders>
            <w:vAlign w:val="center"/>
          </w:tcPr>
          <w:p w14:paraId="23C69907" w14:textId="77777777" w:rsidR="009125FD" w:rsidRDefault="009125FD" w:rsidP="009125FD">
            <w:pPr>
              <w:jc w:val="center"/>
              <w:rPr>
                <w:rFonts w:ascii="Arial" w:hAnsi="Arial" w:cs="Arial"/>
                <w:b/>
                <w:color w:val="FF0000"/>
                <w:sz w:val="18"/>
                <w:szCs w:val="18"/>
              </w:rPr>
            </w:pPr>
            <w:r>
              <w:rPr>
                <w:rFonts w:ascii="Arial" w:hAnsi="Arial" w:cs="Arial"/>
                <w:b/>
                <w:color w:val="FF0000"/>
                <w:sz w:val="18"/>
                <w:szCs w:val="18"/>
              </w:rPr>
              <w:t xml:space="preserve">Not </w:t>
            </w:r>
          </w:p>
          <w:p w14:paraId="14E96ECC" w14:textId="77777777" w:rsidR="009125FD" w:rsidRDefault="009125FD" w:rsidP="009125FD">
            <w:pPr>
              <w:jc w:val="center"/>
              <w:rPr>
                <w:rFonts w:ascii="Arial" w:hAnsi="Arial" w:cs="Arial"/>
                <w:b/>
                <w:color w:val="FF0000"/>
                <w:sz w:val="18"/>
                <w:szCs w:val="18"/>
              </w:rPr>
            </w:pPr>
            <w:r>
              <w:rPr>
                <w:rFonts w:ascii="Arial" w:hAnsi="Arial" w:cs="Arial"/>
                <w:b/>
                <w:color w:val="FF0000"/>
                <w:sz w:val="18"/>
                <w:szCs w:val="18"/>
              </w:rPr>
              <w:t>CMV negative</w:t>
            </w:r>
          </w:p>
        </w:tc>
        <w:tc>
          <w:tcPr>
            <w:tcW w:w="1620" w:type="dxa"/>
            <w:tcBorders>
              <w:top w:val="single" w:sz="4" w:space="0" w:color="000000"/>
              <w:left w:val="single" w:sz="4" w:space="0" w:color="000000"/>
              <w:bottom w:val="single" w:sz="4" w:space="0" w:color="000000"/>
              <w:right w:val="single" w:sz="4" w:space="0" w:color="000000"/>
            </w:tcBorders>
            <w:vAlign w:val="center"/>
          </w:tcPr>
          <w:p w14:paraId="5A4C4600" w14:textId="77777777"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Lead Technologist</w:t>
            </w:r>
          </w:p>
          <w:p w14:paraId="3B264930" w14:textId="77777777"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Traditional Supervisor</w:t>
            </w:r>
          </w:p>
          <w:p w14:paraId="46D29273" w14:textId="77777777"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Enhanced Supervisor</w:t>
            </w:r>
          </w:p>
          <w:p w14:paraId="174921B8" w14:textId="77777777"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Administrator/Supervisor</w:t>
            </w:r>
          </w:p>
          <w:p w14:paraId="6B9F3E72" w14:textId="77777777" w:rsidR="009125FD" w:rsidRPr="008B278A" w:rsidRDefault="009125FD" w:rsidP="009125FD">
            <w:pPr>
              <w:ind w:left="198" w:hanging="162"/>
              <w:rPr>
                <w:rFonts w:ascii="Arial" w:hAnsi="Arial" w:cs="Arial"/>
                <w:sz w:val="18"/>
                <w:szCs w:val="18"/>
              </w:rPr>
            </w:pPr>
          </w:p>
        </w:tc>
        <w:tc>
          <w:tcPr>
            <w:tcW w:w="4050" w:type="dxa"/>
            <w:tcBorders>
              <w:left w:val="single" w:sz="4" w:space="0" w:color="000000"/>
              <w:bottom w:val="single" w:sz="4" w:space="0" w:color="000000"/>
              <w:right w:val="single" w:sz="4" w:space="0" w:color="000000"/>
            </w:tcBorders>
            <w:vAlign w:val="bottom"/>
          </w:tcPr>
          <w:p w14:paraId="572B9ADE" w14:textId="77777777" w:rsidR="009125FD" w:rsidRPr="005C5D59"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 xml:space="preserve">Patient’s </w:t>
            </w:r>
            <w:r>
              <w:rPr>
                <w:rFonts w:ascii="Arial" w:hAnsi="Arial" w:cs="Arial"/>
                <w:i/>
                <w:sz w:val="18"/>
                <w:szCs w:val="18"/>
              </w:rPr>
              <w:t>CMV Negative cellular products</w:t>
            </w:r>
            <w:r w:rsidRPr="00836EE2">
              <w:rPr>
                <w:rFonts w:ascii="Arial" w:hAnsi="Arial" w:cs="Arial"/>
                <w:i/>
                <w:sz w:val="18"/>
                <w:szCs w:val="18"/>
              </w:rPr>
              <w:t xml:space="preserve"> Transfusion Requirement is not satisfied</w:t>
            </w:r>
            <w:r w:rsidRPr="005C5D59">
              <w:rPr>
                <w:rFonts w:ascii="Arial" w:hAnsi="Arial" w:cs="Arial"/>
                <w:sz w:val="18"/>
                <w:szCs w:val="18"/>
              </w:rPr>
              <w:t xml:space="preserve"> and prompts the user whether to proceed. </w:t>
            </w:r>
          </w:p>
          <w:p w14:paraId="3EE10F70" w14:textId="77777777" w:rsidR="009125FD" w:rsidRPr="005C5D59" w:rsidRDefault="009125FD" w:rsidP="009125FD">
            <w:pPr>
              <w:rPr>
                <w:rFonts w:ascii="Arial" w:hAnsi="Arial" w:cs="Arial"/>
                <w:sz w:val="18"/>
                <w:szCs w:val="18"/>
              </w:rPr>
            </w:pPr>
            <w:r w:rsidRPr="005C5D59">
              <w:rPr>
                <w:rFonts w:ascii="Arial" w:hAnsi="Arial" w:cs="Arial"/>
                <w:sz w:val="18"/>
                <w:szCs w:val="18"/>
              </w:rPr>
              <w:t>If the user responds “No”</w:t>
            </w:r>
            <w:r>
              <w:rPr>
                <w:rFonts w:ascii="Arial" w:hAnsi="Arial" w:cs="Arial"/>
                <w:sz w:val="18"/>
                <w:szCs w:val="18"/>
              </w:rPr>
              <w:t>,</w:t>
            </w:r>
            <w:r w:rsidRPr="005C5D59">
              <w:rPr>
                <w:rFonts w:ascii="Arial" w:hAnsi="Arial" w:cs="Arial"/>
                <w:sz w:val="18"/>
                <w:szCs w:val="18"/>
              </w:rPr>
              <w:t xml:space="preserve"> the system wi</w:t>
            </w:r>
            <w:r>
              <w:rPr>
                <w:rFonts w:ascii="Arial" w:hAnsi="Arial" w:cs="Arial"/>
                <w:sz w:val="18"/>
                <w:szCs w:val="18"/>
              </w:rPr>
              <w:t>ll clear the selected unit.</w:t>
            </w:r>
          </w:p>
          <w:p w14:paraId="5B1A1EE4" w14:textId="3974F950" w:rsidR="009125FD" w:rsidRPr="005C5D59" w:rsidRDefault="009125FD" w:rsidP="009125FD">
            <w:pPr>
              <w:rPr>
                <w:rFonts w:ascii="Arial" w:hAnsi="Arial" w:cs="Arial"/>
                <w:sz w:val="18"/>
                <w:szCs w:val="18"/>
              </w:rPr>
            </w:pPr>
            <w:r w:rsidRPr="005C5D59">
              <w:rPr>
                <w:rFonts w:ascii="Arial" w:hAnsi="Arial" w:cs="Arial"/>
                <w:sz w:val="18"/>
                <w:szCs w:val="18"/>
              </w:rPr>
              <w:t>If the user responds “Yes”</w:t>
            </w:r>
            <w:r>
              <w:rPr>
                <w:rFonts w:ascii="Arial" w:hAnsi="Arial" w:cs="Arial"/>
                <w:sz w:val="18"/>
                <w:szCs w:val="18"/>
              </w:rPr>
              <w:t>,</w:t>
            </w:r>
            <w:r w:rsidRPr="005C5D59">
              <w:rPr>
                <w:rFonts w:ascii="Arial" w:hAnsi="Arial" w:cs="Arial"/>
                <w:sz w:val="18"/>
                <w:szCs w:val="18"/>
              </w:rPr>
              <w:t xml:space="preserve"> the system will require a comment (free text or canned, “unit issue” context) and capture the transacti</w:t>
            </w:r>
            <w:r>
              <w:rPr>
                <w:rFonts w:ascii="Arial" w:hAnsi="Arial" w:cs="Arial"/>
                <w:sz w:val="18"/>
                <w:szCs w:val="18"/>
              </w:rPr>
              <w:t xml:space="preserve">on details for </w:t>
            </w:r>
            <w:r w:rsidR="00AE3B37">
              <w:rPr>
                <w:rFonts w:ascii="Arial" w:hAnsi="Arial" w:cs="Arial"/>
                <w:sz w:val="18"/>
                <w:szCs w:val="18"/>
              </w:rPr>
              <w:t>inclusion in</w:t>
            </w:r>
            <w:r>
              <w:rPr>
                <w:rFonts w:ascii="Arial" w:hAnsi="Arial" w:cs="Arial"/>
                <w:sz w:val="18"/>
                <w:szCs w:val="18"/>
              </w:rPr>
              <w:t xml:space="preserve"> an Exception R</w:t>
            </w:r>
            <w:r w:rsidRPr="005C5D59">
              <w:rPr>
                <w:rFonts w:ascii="Arial" w:hAnsi="Arial" w:cs="Arial"/>
                <w:sz w:val="18"/>
                <w:szCs w:val="18"/>
              </w:rPr>
              <w:t>eport</w:t>
            </w:r>
            <w:r>
              <w:rPr>
                <w:rFonts w:ascii="Arial" w:hAnsi="Arial" w:cs="Arial"/>
                <w:sz w:val="18"/>
                <w:szCs w:val="18"/>
              </w:rPr>
              <w:t xml:space="preserve"> entry</w:t>
            </w:r>
            <w:r w:rsidRPr="005C5D59">
              <w:rPr>
                <w:rFonts w:ascii="Arial" w:hAnsi="Arial" w:cs="Arial"/>
                <w:sz w:val="18"/>
                <w:szCs w:val="18"/>
              </w:rPr>
              <w:t xml:space="preserve">: </w:t>
            </w:r>
            <w:r w:rsidRPr="005C5D59">
              <w:rPr>
                <w:rFonts w:ascii="Arial" w:hAnsi="Arial" w:cs="Arial"/>
                <w:i/>
                <w:sz w:val="18"/>
                <w:szCs w:val="18"/>
              </w:rPr>
              <w:t>Unit issued with unsatisfied Transfusion Requirement</w:t>
            </w:r>
            <w:r w:rsidR="005C48D9">
              <w:rPr>
                <w:rFonts w:ascii="Arial" w:hAnsi="Arial" w:cs="Arial"/>
                <w:i/>
                <w:sz w:val="18"/>
                <w:szCs w:val="18"/>
              </w:rPr>
              <w:t>.</w:t>
            </w:r>
          </w:p>
        </w:tc>
      </w:tr>
    </w:tbl>
    <w:p w14:paraId="2A4ED334" w14:textId="77777777" w:rsidR="009125FD" w:rsidRPr="005C48D9" w:rsidRDefault="009125FD" w:rsidP="009125FD">
      <w:pPr>
        <w:ind w:left="36"/>
        <w:rPr>
          <w:sz w:val="22"/>
          <w:szCs w:val="22"/>
        </w:rPr>
      </w:pPr>
      <w:r w:rsidRPr="005C48D9">
        <w:rPr>
          <w:sz w:val="22"/>
          <w:szCs w:val="22"/>
        </w:rPr>
        <w:t>*VistA test results are not evaluated by VBECS.</w:t>
      </w:r>
      <w:r w:rsidRPr="005C48D9">
        <w:rPr>
          <w:color w:val="000000"/>
          <w:sz w:val="22"/>
          <w:szCs w:val="22"/>
        </w:rPr>
        <w:t xml:space="preserve"> CMV Negative status is recorded during receipt at Incoming Shipment or added to the unit record in Edit Unit Information.</w:t>
      </w:r>
      <w:r w:rsidRPr="005C48D9">
        <w:rPr>
          <w:sz w:val="22"/>
          <w:szCs w:val="22"/>
        </w:rPr>
        <w:t xml:space="preserve"> All product types in OTHER are evaluated for the requirement including those that are non-cellular.</w:t>
      </w:r>
    </w:p>
    <w:p w14:paraId="2D094896" w14:textId="77777777" w:rsidR="009125FD" w:rsidRDefault="009125FD" w:rsidP="009125FD"/>
    <w:p w14:paraId="58325C09" w14:textId="487ED151" w:rsidR="00C15299" w:rsidRDefault="00DA0A28" w:rsidP="00BE14D5">
      <w:pPr>
        <w:pStyle w:val="Caption"/>
      </w:pPr>
      <w:r>
        <w:br w:type="page"/>
      </w:r>
      <w:bookmarkStart w:id="847" w:name="_Ref343502649"/>
      <w:r w:rsidR="00BE14D5">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647F4E">
        <w:rPr>
          <w:noProof/>
        </w:rPr>
        <w:t>173</w:t>
      </w:r>
      <w:r w:rsidR="004E20BD">
        <w:rPr>
          <w:noProof/>
        </w:rPr>
        <w:fldChar w:fldCharType="end"/>
      </w:r>
      <w:r w:rsidR="00BE14D5">
        <w:t>: CMV Negative Cellular Products* and Issue Blood Component</w:t>
      </w:r>
      <w:bookmarkEnd w:id="847"/>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843"/>
        <w:gridCol w:w="1469"/>
        <w:gridCol w:w="1260"/>
        <w:gridCol w:w="1620"/>
        <w:gridCol w:w="4050"/>
      </w:tblGrid>
      <w:tr w:rsidR="009125FD" w:rsidRPr="005C5D59" w14:paraId="1F21A5BD" w14:textId="77777777" w:rsidTr="009125FD">
        <w:trPr>
          <w:cantSplit/>
          <w:trHeight w:val="432"/>
          <w:tblHeader/>
        </w:trPr>
        <w:tc>
          <w:tcPr>
            <w:tcW w:w="10242" w:type="dxa"/>
            <w:gridSpan w:val="5"/>
            <w:tcBorders>
              <w:left w:val="single" w:sz="4" w:space="0" w:color="000000"/>
              <w:bottom w:val="single" w:sz="4" w:space="0" w:color="000000"/>
              <w:right w:val="single" w:sz="4" w:space="0" w:color="000000"/>
            </w:tcBorders>
            <w:shd w:val="pct25" w:color="auto" w:fill="auto"/>
            <w:vAlign w:val="bottom"/>
          </w:tcPr>
          <w:p w14:paraId="1F01B24B"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Issue Blood Component: </w:t>
            </w:r>
            <w:r>
              <w:rPr>
                <w:rFonts w:ascii="Arial" w:hAnsi="Arial" w:cs="Arial"/>
                <w:b/>
                <w:sz w:val="18"/>
                <w:szCs w:val="18"/>
              </w:rPr>
              <w:t>CMV Negative Cellular Products</w:t>
            </w:r>
          </w:p>
        </w:tc>
      </w:tr>
      <w:tr w:rsidR="009125FD" w:rsidRPr="005C5D59" w14:paraId="6D1F34E8" w14:textId="77777777" w:rsidTr="009125FD">
        <w:trPr>
          <w:cantSplit/>
          <w:trHeight w:val="432"/>
          <w:tblHeader/>
        </w:trPr>
        <w:tc>
          <w:tcPr>
            <w:tcW w:w="1843" w:type="dxa"/>
            <w:tcBorders>
              <w:left w:val="single" w:sz="4" w:space="0" w:color="000000"/>
              <w:bottom w:val="single" w:sz="4" w:space="0" w:color="000000"/>
              <w:right w:val="single" w:sz="4" w:space="0" w:color="000000"/>
            </w:tcBorders>
            <w:shd w:val="pct25" w:color="auto" w:fill="auto"/>
            <w:vAlign w:val="bottom"/>
            <w:hideMark/>
          </w:tcPr>
          <w:p w14:paraId="68E009DE"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469" w:type="dxa"/>
            <w:tcBorders>
              <w:left w:val="single" w:sz="4" w:space="0" w:color="000000"/>
              <w:bottom w:val="single" w:sz="4" w:space="0" w:color="000000"/>
              <w:right w:val="single" w:sz="4" w:space="0" w:color="000000"/>
            </w:tcBorders>
            <w:shd w:val="pct25" w:color="auto" w:fill="auto"/>
            <w:vAlign w:val="bottom"/>
            <w:hideMark/>
          </w:tcPr>
          <w:p w14:paraId="75E76B0D"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4A02D705" w14:textId="77777777" w:rsidR="009125FD" w:rsidRPr="005C5D59" w:rsidRDefault="009125FD" w:rsidP="009125FD">
            <w:pP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69FFBA0C" w14:textId="77777777" w:rsidR="009125FD" w:rsidRPr="005C5D59" w:rsidRDefault="009125FD" w:rsidP="009125FD">
            <w:pPr>
              <w:rPr>
                <w:rFonts w:ascii="Arial" w:hAnsi="Arial" w:cs="Arial"/>
                <w:b/>
                <w:sz w:val="18"/>
                <w:szCs w:val="18"/>
              </w:rPr>
            </w:pPr>
            <w:r w:rsidRPr="005C5D59">
              <w:rPr>
                <w:rFonts w:ascii="Arial" w:hAnsi="Arial" w:cs="Arial"/>
                <w:b/>
                <w:sz w:val="18"/>
                <w:szCs w:val="18"/>
              </w:rPr>
              <w:t>Selected 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12915965" w14:textId="77777777" w:rsidR="009125FD" w:rsidRPr="005C5D59" w:rsidRDefault="009125FD" w:rsidP="009125FD">
            <w:pPr>
              <w:rPr>
                <w:rFonts w:ascii="Arial" w:hAnsi="Arial" w:cs="Arial"/>
                <w:b/>
                <w:sz w:val="18"/>
                <w:szCs w:val="18"/>
              </w:rPr>
            </w:pPr>
            <w:r w:rsidRPr="005C5D59">
              <w:rPr>
                <w:rFonts w:ascii="Arial" w:hAnsi="Arial" w:cs="Arial"/>
                <w:b/>
                <w:sz w:val="18"/>
                <w:szCs w:val="18"/>
              </w:rPr>
              <w:t>Expected System Response</w:t>
            </w:r>
          </w:p>
        </w:tc>
      </w:tr>
      <w:tr w:rsidR="009125FD" w:rsidRPr="005C5D59" w14:paraId="7BAEC679" w14:textId="77777777" w:rsidTr="009125FD">
        <w:trPr>
          <w:cantSplit/>
          <w:trHeight w:val="284"/>
        </w:trPr>
        <w:tc>
          <w:tcPr>
            <w:tcW w:w="1843" w:type="dxa"/>
            <w:vMerge w:val="restart"/>
            <w:tcBorders>
              <w:top w:val="single" w:sz="4" w:space="0" w:color="000000"/>
              <w:left w:val="single" w:sz="4" w:space="0" w:color="000000"/>
              <w:right w:val="single" w:sz="4" w:space="0" w:color="000000"/>
            </w:tcBorders>
            <w:vAlign w:val="center"/>
            <w:hideMark/>
          </w:tcPr>
          <w:p w14:paraId="613D917B" w14:textId="77777777" w:rsidR="009125FD" w:rsidRPr="00A92752" w:rsidRDefault="009125FD" w:rsidP="009125FD">
            <w:pPr>
              <w:jc w:val="center"/>
              <w:rPr>
                <w:rFonts w:ascii="Arial" w:hAnsi="Arial" w:cs="Arial"/>
                <w:sz w:val="28"/>
                <w:szCs w:val="28"/>
              </w:rPr>
            </w:pPr>
            <w:r w:rsidRPr="00A92752">
              <w:rPr>
                <w:rFonts w:ascii="Arial" w:hAnsi="Arial" w:cs="Arial"/>
                <w:b/>
                <w:sz w:val="28"/>
                <w:szCs w:val="28"/>
              </w:rPr>
              <w:t xml:space="preserve">CMV negative cellular products*  </w:t>
            </w:r>
          </w:p>
        </w:tc>
        <w:tc>
          <w:tcPr>
            <w:tcW w:w="1469" w:type="dxa"/>
            <w:tcBorders>
              <w:top w:val="single" w:sz="4" w:space="0" w:color="000000"/>
              <w:left w:val="single" w:sz="4" w:space="0" w:color="000000"/>
              <w:right w:val="single" w:sz="4" w:space="0" w:color="000000"/>
            </w:tcBorders>
            <w:shd w:val="pct10" w:color="auto" w:fill="auto"/>
            <w:vAlign w:val="center"/>
            <w:hideMark/>
          </w:tcPr>
          <w:p w14:paraId="1202F66D" w14:textId="77777777" w:rsidR="009125FD" w:rsidRDefault="009125FD" w:rsidP="009125FD">
            <w:pPr>
              <w:spacing w:after="120"/>
              <w:jc w:val="center"/>
              <w:rPr>
                <w:rFonts w:ascii="Arial" w:hAnsi="Arial" w:cs="Arial"/>
                <w:sz w:val="18"/>
                <w:szCs w:val="18"/>
              </w:rPr>
            </w:pPr>
            <w:r w:rsidRPr="005C5D59">
              <w:rPr>
                <w:rFonts w:ascii="Arial" w:hAnsi="Arial" w:cs="Arial"/>
                <w:sz w:val="18"/>
                <w:szCs w:val="18"/>
              </w:rPr>
              <w:t>RED BLOOD CELLS</w:t>
            </w:r>
          </w:p>
          <w:p w14:paraId="16B465CD" w14:textId="77777777" w:rsidR="009125FD" w:rsidRDefault="009125FD" w:rsidP="009125FD">
            <w:pPr>
              <w:spacing w:after="120"/>
              <w:jc w:val="center"/>
              <w:rPr>
                <w:rFonts w:ascii="Arial" w:hAnsi="Arial" w:cs="Arial"/>
                <w:sz w:val="18"/>
                <w:szCs w:val="18"/>
              </w:rPr>
            </w:pPr>
            <w:r w:rsidRPr="005C5D59">
              <w:rPr>
                <w:rFonts w:ascii="Arial" w:hAnsi="Arial" w:cs="Arial"/>
                <w:sz w:val="18"/>
                <w:szCs w:val="18"/>
              </w:rPr>
              <w:t xml:space="preserve"> WHOLE BLOOD </w:t>
            </w:r>
          </w:p>
          <w:p w14:paraId="21B237C6"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PLATELETS</w:t>
            </w:r>
          </w:p>
          <w:p w14:paraId="4D1279A6" w14:textId="77777777" w:rsidR="009125FD" w:rsidRPr="005C5D59" w:rsidRDefault="009125FD" w:rsidP="009125FD">
            <w:pPr>
              <w:spacing w:after="120"/>
              <w:jc w:val="center"/>
              <w:rPr>
                <w:rFonts w:ascii="Arial" w:hAnsi="Arial" w:cs="Arial"/>
                <w:sz w:val="18"/>
                <w:szCs w:val="18"/>
              </w:rPr>
            </w:pPr>
            <w:r w:rsidRPr="005C5D59">
              <w:rPr>
                <w:rFonts w:ascii="Arial" w:hAnsi="Arial" w:cs="Arial"/>
                <w:color w:val="000000"/>
                <w:sz w:val="18"/>
                <w:szCs w:val="18"/>
              </w:rPr>
              <w:t>OTHER</w:t>
            </w:r>
          </w:p>
        </w:tc>
        <w:tc>
          <w:tcPr>
            <w:tcW w:w="1260" w:type="dxa"/>
            <w:tcBorders>
              <w:top w:val="single" w:sz="4" w:space="0" w:color="000000"/>
              <w:left w:val="single" w:sz="4" w:space="0" w:color="000000"/>
              <w:right w:val="single" w:sz="4" w:space="0" w:color="000000"/>
            </w:tcBorders>
            <w:shd w:val="pct10" w:color="auto" w:fill="auto"/>
            <w:vAlign w:val="center"/>
            <w:hideMark/>
          </w:tcPr>
          <w:p w14:paraId="58D1C386"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CMV Negative*</w:t>
            </w:r>
          </w:p>
        </w:tc>
        <w:tc>
          <w:tcPr>
            <w:tcW w:w="1620" w:type="dxa"/>
            <w:tcBorders>
              <w:top w:val="single" w:sz="4" w:space="0" w:color="000000"/>
              <w:left w:val="single" w:sz="4" w:space="0" w:color="000000"/>
              <w:right w:val="single" w:sz="4" w:space="0" w:color="000000"/>
            </w:tcBorders>
            <w:shd w:val="pct10" w:color="auto" w:fill="auto"/>
            <w:vAlign w:val="center"/>
            <w:hideMark/>
          </w:tcPr>
          <w:p w14:paraId="0246CCF1"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7130E42F"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669657E0" w14:textId="77777777" w:rsidTr="009125FD">
        <w:trPr>
          <w:cantSplit/>
          <w:trHeight w:val="1863"/>
        </w:trPr>
        <w:tc>
          <w:tcPr>
            <w:tcW w:w="1843" w:type="dxa"/>
            <w:vMerge/>
            <w:tcBorders>
              <w:left w:val="single" w:sz="4" w:space="0" w:color="000000"/>
              <w:right w:val="single" w:sz="4" w:space="0" w:color="000000"/>
            </w:tcBorders>
            <w:vAlign w:val="bottom"/>
          </w:tcPr>
          <w:p w14:paraId="7B011A59"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right w:val="single" w:sz="4" w:space="0" w:color="000000"/>
            </w:tcBorders>
            <w:vAlign w:val="center"/>
          </w:tcPr>
          <w:p w14:paraId="745CB50D" w14:textId="77777777" w:rsidR="009125FD" w:rsidRDefault="009125FD" w:rsidP="009125FD">
            <w:pPr>
              <w:jc w:val="center"/>
              <w:rPr>
                <w:rFonts w:ascii="Arial" w:hAnsi="Arial" w:cs="Arial"/>
                <w:sz w:val="18"/>
                <w:szCs w:val="18"/>
              </w:rPr>
            </w:pPr>
            <w:r w:rsidRPr="005C5D59">
              <w:rPr>
                <w:rFonts w:ascii="Arial" w:hAnsi="Arial" w:cs="Arial"/>
                <w:sz w:val="18"/>
                <w:szCs w:val="18"/>
              </w:rPr>
              <w:t>RED BLOOD CELLS</w:t>
            </w:r>
          </w:p>
          <w:p w14:paraId="239AA325"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 xml:space="preserve"> </w:t>
            </w:r>
          </w:p>
          <w:p w14:paraId="7E7179CF"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p w14:paraId="625B0351" w14:textId="77777777" w:rsidR="009125FD" w:rsidRDefault="009125FD" w:rsidP="009125FD">
            <w:pPr>
              <w:jc w:val="center"/>
              <w:rPr>
                <w:rFonts w:ascii="Arial" w:hAnsi="Arial" w:cs="Arial"/>
                <w:sz w:val="18"/>
                <w:szCs w:val="18"/>
              </w:rPr>
            </w:pPr>
          </w:p>
          <w:p w14:paraId="589B23D9"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PLATELETS</w:t>
            </w:r>
          </w:p>
          <w:p w14:paraId="52BB2B79" w14:textId="77777777" w:rsidR="009125FD" w:rsidRDefault="009125FD" w:rsidP="009125FD">
            <w:pPr>
              <w:jc w:val="center"/>
              <w:rPr>
                <w:rFonts w:ascii="Arial" w:hAnsi="Arial" w:cs="Arial"/>
                <w:color w:val="000000"/>
                <w:sz w:val="18"/>
                <w:szCs w:val="18"/>
              </w:rPr>
            </w:pPr>
          </w:p>
          <w:p w14:paraId="717FB385" w14:textId="77777777" w:rsidR="009125FD" w:rsidRPr="005C5D59" w:rsidRDefault="009125FD" w:rsidP="009125FD">
            <w:pPr>
              <w:jc w:val="center"/>
              <w:rPr>
                <w:rFonts w:ascii="Arial" w:hAnsi="Arial" w:cs="Arial"/>
                <w:sz w:val="18"/>
                <w:szCs w:val="18"/>
              </w:rPr>
            </w:pPr>
            <w:r w:rsidRPr="005C5D59">
              <w:rPr>
                <w:rFonts w:ascii="Arial" w:hAnsi="Arial" w:cs="Arial"/>
                <w:color w:val="000000"/>
                <w:sz w:val="18"/>
                <w:szCs w:val="18"/>
              </w:rPr>
              <w:t>OTHER</w:t>
            </w:r>
            <w:r>
              <w:rPr>
                <w:rFonts w:ascii="Arial" w:hAnsi="Arial" w:cs="Arial"/>
                <w:color w:val="000000"/>
                <w:sz w:val="18"/>
                <w:szCs w:val="18"/>
              </w:rPr>
              <w:t>*</w:t>
            </w:r>
          </w:p>
        </w:tc>
        <w:tc>
          <w:tcPr>
            <w:tcW w:w="1260" w:type="dxa"/>
            <w:tcBorders>
              <w:top w:val="single" w:sz="4" w:space="0" w:color="000000"/>
              <w:left w:val="single" w:sz="4" w:space="0" w:color="000000"/>
              <w:right w:val="single" w:sz="4" w:space="0" w:color="000000"/>
            </w:tcBorders>
            <w:vAlign w:val="center"/>
          </w:tcPr>
          <w:p w14:paraId="4B16EB1A" w14:textId="77777777" w:rsidR="009125FD" w:rsidRDefault="009125FD" w:rsidP="009125FD">
            <w:pPr>
              <w:jc w:val="center"/>
              <w:rPr>
                <w:rFonts w:ascii="Arial" w:hAnsi="Arial" w:cs="Arial"/>
                <w:b/>
                <w:color w:val="FF0000"/>
                <w:sz w:val="18"/>
                <w:szCs w:val="18"/>
              </w:rPr>
            </w:pPr>
            <w:r>
              <w:rPr>
                <w:rFonts w:ascii="Arial" w:hAnsi="Arial" w:cs="Arial"/>
                <w:b/>
                <w:color w:val="FF0000"/>
                <w:sz w:val="18"/>
                <w:szCs w:val="18"/>
              </w:rPr>
              <w:t xml:space="preserve">Not </w:t>
            </w:r>
          </w:p>
          <w:p w14:paraId="494632F7" w14:textId="77777777" w:rsidR="009125FD" w:rsidRPr="005C5D59" w:rsidRDefault="009125FD" w:rsidP="009125FD">
            <w:pPr>
              <w:jc w:val="center"/>
              <w:rPr>
                <w:rFonts w:ascii="Arial" w:hAnsi="Arial" w:cs="Arial"/>
                <w:color w:val="FF0000"/>
                <w:sz w:val="18"/>
                <w:szCs w:val="18"/>
              </w:rPr>
            </w:pPr>
            <w:r>
              <w:rPr>
                <w:rFonts w:ascii="Arial" w:hAnsi="Arial" w:cs="Arial"/>
                <w:b/>
                <w:color w:val="FF0000"/>
                <w:sz w:val="18"/>
                <w:szCs w:val="18"/>
              </w:rPr>
              <w:t>CMV negative</w:t>
            </w:r>
          </w:p>
        </w:tc>
        <w:tc>
          <w:tcPr>
            <w:tcW w:w="1620" w:type="dxa"/>
            <w:tcBorders>
              <w:top w:val="single" w:sz="4" w:space="0" w:color="000000"/>
              <w:left w:val="single" w:sz="4" w:space="0" w:color="000000"/>
              <w:right w:val="single" w:sz="4" w:space="0" w:color="000000"/>
            </w:tcBorders>
            <w:vAlign w:val="center"/>
          </w:tcPr>
          <w:p w14:paraId="251E0480" w14:textId="77777777" w:rsidR="009125FD" w:rsidRPr="000E5D20" w:rsidRDefault="009125FD" w:rsidP="009125FD">
            <w:pPr>
              <w:ind w:left="18"/>
              <w:rPr>
                <w:rFonts w:ascii="Arial" w:hAnsi="Arial" w:cs="Arial"/>
                <w:sz w:val="18"/>
                <w:szCs w:val="18"/>
              </w:rPr>
            </w:pPr>
            <w:r w:rsidRPr="000E5D20">
              <w:rPr>
                <w:rFonts w:ascii="Arial" w:hAnsi="Arial" w:cs="Arial"/>
                <w:noProof/>
                <w:sz w:val="18"/>
                <w:szCs w:val="18"/>
              </w:rPr>
              <w:t>Technologist</w:t>
            </w:r>
          </w:p>
          <w:p w14:paraId="0B9F6304" w14:textId="77777777" w:rsidR="009125FD" w:rsidRPr="00836EE2" w:rsidRDefault="009125FD" w:rsidP="009125FD">
            <w:pPr>
              <w:ind w:left="18"/>
              <w:rPr>
                <w:rFonts w:ascii="Arial" w:hAnsi="Arial" w:cs="Arial"/>
                <w:sz w:val="18"/>
                <w:szCs w:val="18"/>
              </w:rPr>
            </w:pPr>
          </w:p>
          <w:p w14:paraId="7CA652FC" w14:textId="77777777" w:rsidR="009125FD" w:rsidRPr="000E5D20" w:rsidRDefault="009125FD" w:rsidP="009125FD">
            <w:pPr>
              <w:ind w:left="18"/>
              <w:rPr>
                <w:rFonts w:ascii="Arial" w:hAnsi="Arial" w:cs="Arial"/>
                <w:noProof/>
                <w:sz w:val="18"/>
                <w:szCs w:val="18"/>
              </w:rPr>
            </w:pPr>
            <w:r w:rsidRPr="000E5D20">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vAlign w:val="bottom"/>
          </w:tcPr>
          <w:p w14:paraId="13CA9924" w14:textId="77777777" w:rsidR="009125FD"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Patient’s Transfusion Requirement is not satisfied.</w:t>
            </w:r>
            <w:r w:rsidRPr="005C5D59">
              <w:rPr>
                <w:rFonts w:ascii="Arial" w:hAnsi="Arial" w:cs="Arial"/>
                <w:sz w:val="18"/>
                <w:szCs w:val="18"/>
              </w:rPr>
              <w:t xml:space="preserve"> </w:t>
            </w:r>
            <w:r w:rsidRPr="007F3B3C">
              <w:rPr>
                <w:rFonts w:ascii="Arial" w:hAnsi="Arial" w:cs="Arial"/>
                <w:i/>
                <w:sz w:val="18"/>
                <w:szCs w:val="18"/>
              </w:rPr>
              <w:t>You do not have the proper security to issue this unit. Further processing is needed and must be documented in VBECS.</w:t>
            </w:r>
            <w:r w:rsidRPr="005C5D59">
              <w:rPr>
                <w:rFonts w:ascii="Arial" w:hAnsi="Arial" w:cs="Arial"/>
                <w:sz w:val="18"/>
                <w:szCs w:val="18"/>
              </w:rPr>
              <w:t xml:space="preserve"> </w:t>
            </w:r>
          </w:p>
          <w:p w14:paraId="5E61BCD6" w14:textId="77777777" w:rsidR="009125FD" w:rsidRPr="005C5D59" w:rsidRDefault="009125FD" w:rsidP="009125FD">
            <w:pPr>
              <w:rPr>
                <w:rFonts w:ascii="Arial" w:hAnsi="Arial" w:cs="Arial"/>
                <w:sz w:val="18"/>
                <w:szCs w:val="18"/>
              </w:rPr>
            </w:pPr>
            <w:r>
              <w:rPr>
                <w:rFonts w:ascii="Arial" w:hAnsi="Arial" w:cs="Arial"/>
                <w:sz w:val="18"/>
                <w:szCs w:val="18"/>
              </w:rPr>
              <w:t>The tech may not issue this unit in the computer.</w:t>
            </w:r>
          </w:p>
        </w:tc>
      </w:tr>
      <w:tr w:rsidR="009125FD" w:rsidRPr="005C5D59" w14:paraId="4715D7AE" w14:textId="77777777" w:rsidTr="009125FD">
        <w:trPr>
          <w:cantSplit/>
          <w:trHeight w:val="2898"/>
        </w:trPr>
        <w:tc>
          <w:tcPr>
            <w:tcW w:w="1843" w:type="dxa"/>
            <w:vMerge/>
            <w:tcBorders>
              <w:left w:val="single" w:sz="4" w:space="0" w:color="000000"/>
              <w:right w:val="single" w:sz="4" w:space="0" w:color="000000"/>
            </w:tcBorders>
            <w:vAlign w:val="bottom"/>
          </w:tcPr>
          <w:p w14:paraId="30B60910"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right w:val="single" w:sz="4" w:space="0" w:color="000000"/>
            </w:tcBorders>
            <w:vAlign w:val="center"/>
          </w:tcPr>
          <w:p w14:paraId="528678BD"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0BD2C0E8" w14:textId="77777777" w:rsidR="009125FD" w:rsidRDefault="009125FD" w:rsidP="009125FD">
            <w:pPr>
              <w:jc w:val="center"/>
              <w:rPr>
                <w:rFonts w:ascii="Arial" w:hAnsi="Arial" w:cs="Arial"/>
                <w:sz w:val="18"/>
                <w:szCs w:val="18"/>
              </w:rPr>
            </w:pPr>
          </w:p>
          <w:p w14:paraId="2F3F3A61"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p w14:paraId="27AF7AA0" w14:textId="77777777" w:rsidR="009125FD" w:rsidRDefault="009125FD" w:rsidP="009125FD">
            <w:pPr>
              <w:jc w:val="center"/>
              <w:rPr>
                <w:rFonts w:ascii="Arial" w:hAnsi="Arial" w:cs="Arial"/>
                <w:sz w:val="18"/>
                <w:szCs w:val="18"/>
              </w:rPr>
            </w:pPr>
          </w:p>
          <w:p w14:paraId="1200085F"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PLATELETS</w:t>
            </w:r>
          </w:p>
          <w:p w14:paraId="264DD97D" w14:textId="77777777" w:rsidR="009125FD" w:rsidRDefault="009125FD" w:rsidP="009125FD">
            <w:pPr>
              <w:jc w:val="center"/>
              <w:rPr>
                <w:rFonts w:ascii="Arial" w:hAnsi="Arial" w:cs="Arial"/>
                <w:color w:val="000000"/>
                <w:sz w:val="18"/>
                <w:szCs w:val="18"/>
              </w:rPr>
            </w:pPr>
          </w:p>
          <w:p w14:paraId="139D5400" w14:textId="77777777" w:rsidR="009125FD" w:rsidRPr="005C5D59" w:rsidRDefault="009125FD" w:rsidP="009125FD">
            <w:pPr>
              <w:jc w:val="center"/>
              <w:rPr>
                <w:rFonts w:ascii="Arial" w:hAnsi="Arial" w:cs="Arial"/>
                <w:sz w:val="18"/>
                <w:szCs w:val="18"/>
              </w:rPr>
            </w:pPr>
            <w:r w:rsidRPr="005C5D59">
              <w:rPr>
                <w:rFonts w:ascii="Arial" w:hAnsi="Arial" w:cs="Arial"/>
                <w:color w:val="000000"/>
                <w:sz w:val="18"/>
                <w:szCs w:val="18"/>
              </w:rPr>
              <w:t>OTHER</w:t>
            </w:r>
            <w:r>
              <w:rPr>
                <w:rFonts w:ascii="Arial" w:hAnsi="Arial" w:cs="Arial"/>
                <w:color w:val="000000"/>
                <w:sz w:val="18"/>
                <w:szCs w:val="18"/>
              </w:rPr>
              <w:t>*</w:t>
            </w:r>
          </w:p>
        </w:tc>
        <w:tc>
          <w:tcPr>
            <w:tcW w:w="1260" w:type="dxa"/>
            <w:tcBorders>
              <w:top w:val="single" w:sz="4" w:space="0" w:color="000000"/>
              <w:left w:val="single" w:sz="4" w:space="0" w:color="000000"/>
              <w:right w:val="single" w:sz="4" w:space="0" w:color="000000"/>
            </w:tcBorders>
            <w:vAlign w:val="center"/>
          </w:tcPr>
          <w:p w14:paraId="15AC3156" w14:textId="77777777" w:rsidR="009125FD" w:rsidRDefault="009125FD" w:rsidP="009125FD">
            <w:pPr>
              <w:jc w:val="center"/>
              <w:rPr>
                <w:rFonts w:ascii="Arial" w:hAnsi="Arial" w:cs="Arial"/>
                <w:b/>
                <w:color w:val="FF0000"/>
                <w:sz w:val="18"/>
                <w:szCs w:val="18"/>
              </w:rPr>
            </w:pPr>
            <w:r>
              <w:rPr>
                <w:rFonts w:ascii="Arial" w:hAnsi="Arial" w:cs="Arial"/>
                <w:b/>
                <w:color w:val="FF0000"/>
                <w:sz w:val="18"/>
                <w:szCs w:val="18"/>
              </w:rPr>
              <w:t xml:space="preserve">Not </w:t>
            </w:r>
          </w:p>
          <w:p w14:paraId="09ED5F9A" w14:textId="77777777" w:rsidR="009125FD" w:rsidRPr="005C5D59" w:rsidRDefault="009125FD" w:rsidP="009125FD">
            <w:pPr>
              <w:jc w:val="center"/>
              <w:rPr>
                <w:rFonts w:ascii="Arial" w:hAnsi="Arial" w:cs="Arial"/>
                <w:color w:val="FF0000"/>
                <w:sz w:val="18"/>
                <w:szCs w:val="18"/>
              </w:rPr>
            </w:pPr>
            <w:r>
              <w:rPr>
                <w:rFonts w:ascii="Arial" w:hAnsi="Arial" w:cs="Arial"/>
                <w:b/>
                <w:color w:val="FF0000"/>
                <w:sz w:val="18"/>
                <w:szCs w:val="18"/>
              </w:rPr>
              <w:t>CMV negative</w:t>
            </w:r>
          </w:p>
        </w:tc>
        <w:tc>
          <w:tcPr>
            <w:tcW w:w="1620" w:type="dxa"/>
            <w:tcBorders>
              <w:top w:val="single" w:sz="4" w:space="0" w:color="000000"/>
              <w:left w:val="single" w:sz="4" w:space="0" w:color="000000"/>
              <w:right w:val="single" w:sz="4" w:space="0" w:color="000000"/>
            </w:tcBorders>
            <w:vAlign w:val="center"/>
          </w:tcPr>
          <w:p w14:paraId="727942A0" w14:textId="77777777" w:rsidR="009125FD" w:rsidRPr="000E5D20" w:rsidRDefault="009125FD" w:rsidP="009125FD">
            <w:pPr>
              <w:spacing w:before="120"/>
              <w:ind w:left="18"/>
              <w:rPr>
                <w:rFonts w:ascii="Arial" w:hAnsi="Arial" w:cs="Arial"/>
                <w:sz w:val="18"/>
                <w:szCs w:val="18"/>
              </w:rPr>
            </w:pPr>
            <w:r w:rsidRPr="000E5D20">
              <w:rPr>
                <w:rFonts w:ascii="Arial" w:hAnsi="Arial" w:cs="Arial"/>
                <w:sz w:val="18"/>
                <w:szCs w:val="18"/>
              </w:rPr>
              <w:t>Lead Technologist</w:t>
            </w:r>
          </w:p>
          <w:p w14:paraId="30FDF05B" w14:textId="77777777" w:rsidR="009125FD" w:rsidRPr="000E5D20" w:rsidRDefault="009125FD" w:rsidP="009125FD">
            <w:pPr>
              <w:spacing w:before="120"/>
              <w:ind w:left="18"/>
              <w:rPr>
                <w:rFonts w:ascii="Arial" w:hAnsi="Arial" w:cs="Arial"/>
                <w:sz w:val="18"/>
                <w:szCs w:val="18"/>
              </w:rPr>
            </w:pPr>
            <w:r w:rsidRPr="000E5D20">
              <w:rPr>
                <w:rFonts w:ascii="Arial" w:hAnsi="Arial" w:cs="Arial"/>
                <w:sz w:val="18"/>
                <w:szCs w:val="18"/>
              </w:rPr>
              <w:t>Traditional Supervisor</w:t>
            </w:r>
          </w:p>
          <w:p w14:paraId="18FAB332" w14:textId="77777777" w:rsidR="009125FD" w:rsidRPr="000E5D20" w:rsidRDefault="009125FD" w:rsidP="009125FD">
            <w:pPr>
              <w:spacing w:before="120"/>
              <w:ind w:left="18"/>
              <w:rPr>
                <w:rFonts w:ascii="Arial" w:hAnsi="Arial" w:cs="Arial"/>
                <w:sz w:val="18"/>
                <w:szCs w:val="18"/>
              </w:rPr>
            </w:pPr>
            <w:r w:rsidRPr="000E5D20">
              <w:rPr>
                <w:rFonts w:ascii="Arial" w:hAnsi="Arial" w:cs="Arial"/>
                <w:sz w:val="18"/>
                <w:szCs w:val="18"/>
              </w:rPr>
              <w:t>Enhanced Supervisor</w:t>
            </w:r>
          </w:p>
          <w:p w14:paraId="64B93A5C" w14:textId="77777777" w:rsidR="009125FD" w:rsidRPr="000E5D20" w:rsidRDefault="009125FD" w:rsidP="009125FD">
            <w:pPr>
              <w:spacing w:before="120"/>
              <w:ind w:left="18"/>
              <w:rPr>
                <w:rFonts w:ascii="Arial" w:hAnsi="Arial" w:cs="Arial"/>
                <w:sz w:val="18"/>
                <w:szCs w:val="18"/>
              </w:rPr>
            </w:pPr>
            <w:r w:rsidRPr="000E5D20">
              <w:rPr>
                <w:rFonts w:ascii="Arial" w:hAnsi="Arial" w:cs="Arial"/>
                <w:sz w:val="18"/>
                <w:szCs w:val="18"/>
              </w:rPr>
              <w:t>Administrator/Supervisor</w:t>
            </w:r>
          </w:p>
          <w:p w14:paraId="3100DA47" w14:textId="77777777" w:rsidR="009125FD" w:rsidRPr="008B278A" w:rsidRDefault="009125FD" w:rsidP="009125FD">
            <w:pPr>
              <w:ind w:left="18"/>
              <w:rPr>
                <w:rFonts w:ascii="Arial" w:hAnsi="Arial" w:cs="Arial"/>
                <w:sz w:val="18"/>
                <w:szCs w:val="18"/>
              </w:rPr>
            </w:pPr>
          </w:p>
        </w:tc>
        <w:tc>
          <w:tcPr>
            <w:tcW w:w="4050" w:type="dxa"/>
            <w:tcBorders>
              <w:top w:val="single" w:sz="4" w:space="0" w:color="000000"/>
              <w:left w:val="single" w:sz="4" w:space="0" w:color="000000"/>
              <w:right w:val="single" w:sz="4" w:space="0" w:color="000000"/>
            </w:tcBorders>
            <w:vAlign w:val="bottom"/>
          </w:tcPr>
          <w:p w14:paraId="08C29D21" w14:textId="77777777" w:rsidR="009125FD" w:rsidRPr="005C5D59"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w:t>
            </w:r>
            <w:r w:rsidRPr="0033381C">
              <w:rPr>
                <w:rFonts w:ascii="Arial" w:hAnsi="Arial" w:cs="Arial"/>
                <w:i/>
                <w:sz w:val="18"/>
                <w:szCs w:val="18"/>
              </w:rPr>
              <w:t xml:space="preserve">s </w:t>
            </w:r>
            <w:r w:rsidRPr="0033381C">
              <w:rPr>
                <w:rFonts w:ascii="Arial" w:hAnsi="Arial" w:cs="Arial"/>
                <w:sz w:val="18"/>
                <w:szCs w:val="18"/>
              </w:rPr>
              <w:t>CMV Negative Cellular Products</w:t>
            </w:r>
            <w:r w:rsidRPr="0033381C">
              <w:rPr>
                <w:rFonts w:ascii="Arial" w:hAnsi="Arial" w:cs="Arial"/>
                <w:i/>
                <w:sz w:val="18"/>
                <w:szCs w:val="18"/>
              </w:rPr>
              <w:t xml:space="preserve"> Transfusion </w:t>
            </w:r>
            <w:r w:rsidRPr="00836EE2">
              <w:rPr>
                <w:rFonts w:ascii="Arial" w:hAnsi="Arial" w:cs="Arial"/>
                <w:i/>
                <w:sz w:val="18"/>
                <w:szCs w:val="18"/>
              </w:rPr>
              <w:t>Requirement is not satisfied</w:t>
            </w:r>
            <w:r w:rsidRPr="005C5D59">
              <w:rPr>
                <w:rFonts w:ascii="Arial" w:hAnsi="Arial" w:cs="Arial"/>
                <w:sz w:val="18"/>
                <w:szCs w:val="18"/>
              </w:rPr>
              <w:t xml:space="preserve"> and prompts the user whether to proceed. </w:t>
            </w:r>
          </w:p>
          <w:p w14:paraId="2D12AB78" w14:textId="77777777" w:rsidR="009125FD" w:rsidRPr="005C5D59" w:rsidRDefault="009125FD" w:rsidP="009125FD">
            <w:pPr>
              <w:rPr>
                <w:rFonts w:ascii="Arial" w:hAnsi="Arial" w:cs="Arial"/>
                <w:sz w:val="18"/>
                <w:szCs w:val="18"/>
              </w:rPr>
            </w:pPr>
            <w:r w:rsidRPr="005C5D59">
              <w:rPr>
                <w:rFonts w:ascii="Arial" w:hAnsi="Arial" w:cs="Arial"/>
                <w:sz w:val="18"/>
                <w:szCs w:val="18"/>
              </w:rPr>
              <w:t>If the user responds “No”</w:t>
            </w:r>
            <w:r>
              <w:rPr>
                <w:rFonts w:ascii="Arial" w:hAnsi="Arial" w:cs="Arial"/>
                <w:sz w:val="18"/>
                <w:szCs w:val="18"/>
              </w:rPr>
              <w:t>,</w:t>
            </w:r>
            <w:r w:rsidRPr="005C5D59">
              <w:rPr>
                <w:rFonts w:ascii="Arial" w:hAnsi="Arial" w:cs="Arial"/>
                <w:sz w:val="18"/>
                <w:szCs w:val="18"/>
              </w:rPr>
              <w:t xml:space="preserve"> the system wi</w:t>
            </w:r>
            <w:r>
              <w:rPr>
                <w:rFonts w:ascii="Arial" w:hAnsi="Arial" w:cs="Arial"/>
                <w:sz w:val="18"/>
                <w:szCs w:val="18"/>
              </w:rPr>
              <w:t>ll clear the selected unit.</w:t>
            </w:r>
          </w:p>
          <w:p w14:paraId="4048E213" w14:textId="1385DD22" w:rsidR="009125FD" w:rsidRPr="005C5D59" w:rsidRDefault="009125FD" w:rsidP="009125FD">
            <w:pPr>
              <w:rPr>
                <w:rFonts w:ascii="Arial" w:hAnsi="Arial" w:cs="Arial"/>
                <w:sz w:val="18"/>
                <w:szCs w:val="18"/>
              </w:rPr>
            </w:pPr>
            <w:r w:rsidRPr="005C5D59">
              <w:rPr>
                <w:rFonts w:ascii="Arial" w:hAnsi="Arial" w:cs="Arial"/>
                <w:sz w:val="18"/>
                <w:szCs w:val="18"/>
              </w:rPr>
              <w:t>If the user responds “Yes”</w:t>
            </w:r>
            <w:r>
              <w:rPr>
                <w:rFonts w:ascii="Arial" w:hAnsi="Arial" w:cs="Arial"/>
                <w:sz w:val="18"/>
                <w:szCs w:val="18"/>
              </w:rPr>
              <w:t>,</w:t>
            </w:r>
            <w:r w:rsidRPr="005C5D59">
              <w:rPr>
                <w:rFonts w:ascii="Arial" w:hAnsi="Arial" w:cs="Arial"/>
                <w:sz w:val="18"/>
                <w:szCs w:val="18"/>
              </w:rPr>
              <w:t xml:space="preserve"> the system will require a comment (free text or canned, “unit issue” context) and capture the transacti</w:t>
            </w:r>
            <w:r>
              <w:rPr>
                <w:rFonts w:ascii="Arial" w:hAnsi="Arial" w:cs="Arial"/>
                <w:sz w:val="18"/>
                <w:szCs w:val="18"/>
              </w:rPr>
              <w:t>on details for inclusion in an Exception R</w:t>
            </w:r>
            <w:r w:rsidRPr="005C5D59">
              <w:rPr>
                <w:rFonts w:ascii="Arial" w:hAnsi="Arial" w:cs="Arial"/>
                <w:sz w:val="18"/>
                <w:szCs w:val="18"/>
              </w:rPr>
              <w:t>eport</w:t>
            </w:r>
            <w:r>
              <w:rPr>
                <w:rFonts w:ascii="Arial" w:hAnsi="Arial" w:cs="Arial"/>
                <w:sz w:val="18"/>
                <w:szCs w:val="18"/>
              </w:rPr>
              <w:t xml:space="preserve"> entry</w:t>
            </w:r>
            <w:r w:rsidRPr="005C5D59">
              <w:rPr>
                <w:rFonts w:ascii="Arial" w:hAnsi="Arial" w:cs="Arial"/>
                <w:sz w:val="18"/>
                <w:szCs w:val="18"/>
              </w:rPr>
              <w:t xml:space="preserve">: </w:t>
            </w:r>
            <w:r w:rsidRPr="005C5D59">
              <w:rPr>
                <w:rFonts w:ascii="Arial" w:hAnsi="Arial" w:cs="Arial"/>
                <w:i/>
                <w:sz w:val="18"/>
                <w:szCs w:val="18"/>
              </w:rPr>
              <w:t xml:space="preserve">Unit issued with unsatisfied Transfusion </w:t>
            </w:r>
            <w:r w:rsidR="00AE3B37" w:rsidRPr="005C5D59">
              <w:rPr>
                <w:rFonts w:ascii="Arial" w:hAnsi="Arial" w:cs="Arial"/>
                <w:i/>
                <w:sz w:val="18"/>
                <w:szCs w:val="18"/>
              </w:rPr>
              <w:t>Requirement</w:t>
            </w:r>
            <w:r w:rsidR="00AE3B37" w:rsidRPr="005C5D59">
              <w:rPr>
                <w:rFonts w:ascii="Arial" w:hAnsi="Arial" w:cs="Arial"/>
                <w:sz w:val="18"/>
                <w:szCs w:val="18"/>
              </w:rPr>
              <w:t>.</w:t>
            </w:r>
          </w:p>
        </w:tc>
      </w:tr>
    </w:tbl>
    <w:p w14:paraId="2C0013D1" w14:textId="77777777" w:rsidR="009125FD" w:rsidRPr="005C48D9" w:rsidRDefault="009125FD" w:rsidP="009125FD">
      <w:pPr>
        <w:ind w:left="36"/>
        <w:rPr>
          <w:sz w:val="22"/>
          <w:szCs w:val="22"/>
        </w:rPr>
      </w:pPr>
      <w:r w:rsidRPr="005C48D9">
        <w:rPr>
          <w:sz w:val="22"/>
          <w:szCs w:val="22"/>
        </w:rPr>
        <w:t>*VistA test results are not evaluated by VBECS.</w:t>
      </w:r>
      <w:r w:rsidRPr="005C48D9">
        <w:rPr>
          <w:color w:val="000000"/>
          <w:sz w:val="22"/>
          <w:szCs w:val="22"/>
        </w:rPr>
        <w:t xml:space="preserve"> CMV Negative status is recorded during receipt at Incoming Shipment or added to the unit record in Edit Unit Information.</w:t>
      </w:r>
      <w:r w:rsidRPr="005C48D9">
        <w:rPr>
          <w:sz w:val="22"/>
          <w:szCs w:val="22"/>
        </w:rPr>
        <w:t xml:space="preserve"> All product types in OTHER are evaluated for the requirement including those that are non-cellular.</w:t>
      </w:r>
    </w:p>
    <w:p w14:paraId="1A04F818" w14:textId="77777777" w:rsidR="00D32A05" w:rsidRPr="00BD67C7" w:rsidRDefault="00BE14D5" w:rsidP="00BE14D5">
      <w:pPr>
        <w:jc w:val="center"/>
        <w:rPr>
          <w:sz w:val="22"/>
          <w:szCs w:val="22"/>
        </w:rPr>
      </w:pPr>
      <w:r>
        <w:br w:type="page"/>
      </w:r>
      <w:r w:rsidRPr="00BD67C7">
        <w:rPr>
          <w:sz w:val="22"/>
          <w:szCs w:val="22"/>
        </w:rPr>
        <w:lastRenderedPageBreak/>
        <w:t>This page intentionally left blank.</w:t>
      </w:r>
    </w:p>
    <w:p w14:paraId="4BAE68EA" w14:textId="77777777" w:rsidR="00D32A05" w:rsidRPr="001C29FC" w:rsidRDefault="00D32A05" w:rsidP="00D32A05">
      <w:pPr>
        <w:pStyle w:val="Heading2"/>
      </w:pPr>
      <w:r>
        <w:br w:type="page"/>
      </w:r>
      <w:bookmarkStart w:id="848" w:name="_Ref139877903"/>
      <w:bookmarkStart w:id="849" w:name="_Toc355768163"/>
      <w:bookmarkStart w:id="850" w:name="_Toc358977308"/>
      <w:bookmarkStart w:id="851" w:name="_Toc4588917"/>
      <w:bookmarkStart w:id="852" w:name="_Toc54684874"/>
      <w:bookmarkStart w:id="853" w:name="_Toc137529672"/>
      <w:r w:rsidRPr="001C29FC">
        <w:lastRenderedPageBreak/>
        <w:t xml:space="preserve">Appendix </w:t>
      </w:r>
      <w:r w:rsidR="000A1A0F">
        <w:t>M</w:t>
      </w:r>
      <w:r w:rsidRPr="001C29FC">
        <w:t>: Workload Process Mapping to Application Option Table</w:t>
      </w:r>
      <w:bookmarkEnd w:id="848"/>
      <w:bookmarkEnd w:id="849"/>
      <w:bookmarkEnd w:id="850"/>
      <w:bookmarkEnd w:id="851"/>
      <w:r w:rsidR="00601D23">
        <w:t xml:space="preserve"> </w:t>
      </w:r>
      <w:r w:rsidR="00601D23" w:rsidRPr="00601D23">
        <w:rPr>
          <w:rFonts w:ascii="Arial Bold" w:hAnsi="Arial Bold"/>
          <w:vanish/>
        </w:rPr>
        <w:t>DR 4679</w:t>
      </w:r>
      <w:r w:rsidRPr="001C29FC">
        <w:fldChar w:fldCharType="begin"/>
      </w:r>
      <w:r w:rsidRPr="001C29FC">
        <w:instrText xml:space="preserve"> XE "Workload Process Mapping to Application Option Table" </w:instrText>
      </w:r>
      <w:r w:rsidRPr="001C29FC">
        <w:fldChar w:fldCharType="end"/>
      </w:r>
    </w:p>
    <w:bookmarkEnd w:id="852"/>
    <w:bookmarkEnd w:id="853"/>
    <w:p w14:paraId="7CFBBBAF" w14:textId="4DC41352" w:rsidR="00D32A05" w:rsidRPr="001C29FC" w:rsidRDefault="0002571B" w:rsidP="00D32A05">
      <w:pPr>
        <w:pStyle w:val="BodyText"/>
      </w:pPr>
      <w:r>
        <w:fldChar w:fldCharType="begin" w:fldLock="1"/>
      </w:r>
      <w:r>
        <w:instrText xml:space="preserve"> REF _Ref257016527 \h </w:instrText>
      </w:r>
      <w:r>
        <w:fldChar w:fldCharType="separate"/>
      </w:r>
      <w:r w:rsidR="00AB304C" w:rsidRPr="001C29FC">
        <w:t xml:space="preserve">Table </w:t>
      </w:r>
      <w:r w:rsidR="00AB304C">
        <w:rPr>
          <w:noProof/>
        </w:rPr>
        <w:t>38</w:t>
      </w:r>
      <w:r>
        <w:fldChar w:fldCharType="end"/>
      </w:r>
      <w:r w:rsidR="00D32A05" w:rsidRPr="001C29FC">
        <w:t>associates record saves with workload processes. The data fields identified for transmission at the completion of a Workload Event are based on current VistA workload-related files and fields. VBECS will transmit information to a new flat file. There are no donor workload types in VBECS.</w:t>
      </w:r>
    </w:p>
    <w:p w14:paraId="605C313E" w14:textId="4E932179" w:rsidR="00D32A05" w:rsidRPr="001C29FC" w:rsidRDefault="00D32A05" w:rsidP="00D32A05">
      <w:pPr>
        <w:pStyle w:val="Caption"/>
      </w:pPr>
      <w:bookmarkStart w:id="854" w:name="_Ref257016527"/>
      <w:bookmarkStart w:id="855" w:name="_Ref256080480"/>
      <w:r w:rsidRPr="001C29FC">
        <w:t xml:space="preserve">Table </w:t>
      </w:r>
      <w:r w:rsidR="004E20BD">
        <w:rPr>
          <w:noProof/>
        </w:rPr>
        <w:fldChar w:fldCharType="begin"/>
      </w:r>
      <w:r w:rsidR="004E20BD">
        <w:rPr>
          <w:noProof/>
        </w:rPr>
        <w:instrText xml:space="preserve"> SEQ Table \* ARABIC </w:instrText>
      </w:r>
      <w:r w:rsidR="004E20BD">
        <w:rPr>
          <w:noProof/>
        </w:rPr>
        <w:fldChar w:fldCharType="separate"/>
      </w:r>
      <w:r w:rsidR="00647F4E">
        <w:rPr>
          <w:noProof/>
        </w:rPr>
        <w:t>38</w:t>
      </w:r>
      <w:r w:rsidR="004E20BD">
        <w:rPr>
          <w:noProof/>
        </w:rPr>
        <w:fldChar w:fldCharType="end"/>
      </w:r>
      <w:bookmarkEnd w:id="854"/>
      <w:r w:rsidRPr="001C29FC">
        <w:t>: Workload Process Mapping to Application Option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3"/>
        <w:gridCol w:w="1442"/>
        <w:gridCol w:w="1633"/>
        <w:gridCol w:w="4482"/>
      </w:tblGrid>
      <w:tr w:rsidR="00D32A05" w:rsidRPr="001C29FC" w14:paraId="740561A9" w14:textId="77777777" w:rsidTr="000A750D">
        <w:trPr>
          <w:cantSplit/>
          <w:tblHeader/>
        </w:trPr>
        <w:tc>
          <w:tcPr>
            <w:tcW w:w="1803" w:type="dxa"/>
            <w:tcBorders>
              <w:bottom w:val="single" w:sz="4" w:space="0" w:color="auto"/>
            </w:tcBorders>
            <w:shd w:val="clear" w:color="auto" w:fill="C0C0C0"/>
            <w:vAlign w:val="bottom"/>
          </w:tcPr>
          <w:bookmarkEnd w:id="855"/>
          <w:p w14:paraId="4BD9FD5A" w14:textId="77777777" w:rsidR="00D32A05" w:rsidRPr="001C29FC" w:rsidRDefault="00D32A05" w:rsidP="00D32A05">
            <w:pPr>
              <w:pStyle w:val="TableText"/>
              <w:rPr>
                <w:b/>
              </w:rPr>
            </w:pPr>
            <w:r w:rsidRPr="001C29FC">
              <w:rPr>
                <w:b/>
              </w:rPr>
              <w:t>Record Save Option</w:t>
            </w:r>
          </w:p>
        </w:tc>
        <w:tc>
          <w:tcPr>
            <w:tcW w:w="1442" w:type="dxa"/>
            <w:tcBorders>
              <w:bottom w:val="single" w:sz="4" w:space="0" w:color="auto"/>
            </w:tcBorders>
            <w:shd w:val="clear" w:color="auto" w:fill="C0C0C0"/>
            <w:vAlign w:val="bottom"/>
          </w:tcPr>
          <w:p w14:paraId="04D939C5" w14:textId="77777777" w:rsidR="00D32A05" w:rsidRPr="001C29FC" w:rsidRDefault="00D32A05" w:rsidP="00D32A05">
            <w:pPr>
              <w:pStyle w:val="TableText"/>
              <w:rPr>
                <w:b/>
              </w:rPr>
            </w:pPr>
            <w:r w:rsidRPr="001C29FC">
              <w:rPr>
                <w:b/>
              </w:rPr>
              <w:t>VBECS Process</w:t>
            </w:r>
          </w:p>
        </w:tc>
        <w:tc>
          <w:tcPr>
            <w:tcW w:w="1633" w:type="dxa"/>
            <w:tcBorders>
              <w:bottom w:val="single" w:sz="4" w:space="0" w:color="auto"/>
            </w:tcBorders>
            <w:shd w:val="clear" w:color="auto" w:fill="C0C0C0"/>
            <w:vAlign w:val="bottom"/>
          </w:tcPr>
          <w:p w14:paraId="1C89E667" w14:textId="77777777" w:rsidR="00D32A05" w:rsidRPr="001C29FC" w:rsidRDefault="00D32A05" w:rsidP="00D32A05">
            <w:pPr>
              <w:pStyle w:val="TableText"/>
              <w:rPr>
                <w:b/>
              </w:rPr>
            </w:pPr>
            <w:r w:rsidRPr="001C29FC">
              <w:rPr>
                <w:b/>
              </w:rPr>
              <w:t>Transaction Type [P (Patient), U (Unit), M (Miscellaneous)]</w:t>
            </w:r>
          </w:p>
        </w:tc>
        <w:tc>
          <w:tcPr>
            <w:tcW w:w="4482" w:type="dxa"/>
            <w:tcBorders>
              <w:bottom w:val="single" w:sz="4" w:space="0" w:color="auto"/>
            </w:tcBorders>
            <w:shd w:val="clear" w:color="auto" w:fill="C0C0C0"/>
            <w:vAlign w:val="bottom"/>
          </w:tcPr>
          <w:p w14:paraId="7158BADB" w14:textId="77777777" w:rsidR="00D32A05" w:rsidRPr="001C29FC" w:rsidRDefault="00D32A05" w:rsidP="00D32A05">
            <w:pPr>
              <w:pStyle w:val="TableText"/>
              <w:rPr>
                <w:b/>
              </w:rPr>
            </w:pPr>
            <w:r w:rsidRPr="001C29FC">
              <w:rPr>
                <w:b/>
              </w:rPr>
              <w:t xml:space="preserve">Explanation </w:t>
            </w:r>
          </w:p>
        </w:tc>
      </w:tr>
      <w:tr w:rsidR="00D32A05" w:rsidRPr="001C29FC" w14:paraId="2BE45ABA" w14:textId="77777777" w:rsidTr="00D32A05">
        <w:trPr>
          <w:cantSplit/>
        </w:trPr>
        <w:tc>
          <w:tcPr>
            <w:tcW w:w="1803" w:type="dxa"/>
            <w:shd w:val="clear" w:color="auto" w:fill="auto"/>
            <w:vAlign w:val="bottom"/>
          </w:tcPr>
          <w:p w14:paraId="0D808536" w14:textId="77777777" w:rsidR="00D32A05" w:rsidRPr="001C29FC" w:rsidRDefault="00D32A05" w:rsidP="00D32A05">
            <w:pPr>
              <w:pStyle w:val="TableText"/>
            </w:pPr>
            <w:r w:rsidRPr="001C29FC">
              <w:t>Record a Transfusion Reaction Workup</w:t>
            </w:r>
          </w:p>
        </w:tc>
        <w:tc>
          <w:tcPr>
            <w:tcW w:w="1442" w:type="dxa"/>
            <w:vMerge w:val="restart"/>
            <w:shd w:val="clear" w:color="auto" w:fill="auto"/>
          </w:tcPr>
          <w:p w14:paraId="168322FD" w14:textId="77777777" w:rsidR="00D32A05" w:rsidRPr="001C29FC" w:rsidRDefault="00D32A05" w:rsidP="00D32A05">
            <w:pPr>
              <w:pStyle w:val="TableText"/>
              <w:rPr>
                <w:color w:val="000000"/>
                <w:szCs w:val="18"/>
              </w:rPr>
            </w:pPr>
            <w:r w:rsidRPr="001C29FC">
              <w:rPr>
                <w:color w:val="000000"/>
                <w:szCs w:val="18"/>
              </w:rPr>
              <w:t>ABO Forward and reverse typing (patient)</w:t>
            </w:r>
          </w:p>
        </w:tc>
        <w:tc>
          <w:tcPr>
            <w:tcW w:w="1633" w:type="dxa"/>
            <w:shd w:val="clear" w:color="auto" w:fill="auto"/>
          </w:tcPr>
          <w:p w14:paraId="3FE20A7E"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5DB961A8" w14:textId="77777777" w:rsidR="00D32A05" w:rsidRPr="001C29FC" w:rsidRDefault="00D32A05" w:rsidP="00D32A05">
            <w:pPr>
              <w:pStyle w:val="TableText"/>
              <w:rPr>
                <w:color w:val="000000"/>
                <w:szCs w:val="18"/>
              </w:rPr>
            </w:pPr>
            <w:r w:rsidRPr="001C29FC">
              <w:rPr>
                <w:color w:val="000000"/>
                <w:szCs w:val="18"/>
              </w:rPr>
              <w:t>An ABO/Rh test for “pre” or “post” is enabled and a valid interpretation other than Not Tested is selected. A workload event is accrued separately for “Pre” and “Post” entries.</w:t>
            </w:r>
          </w:p>
        </w:tc>
      </w:tr>
      <w:tr w:rsidR="00D32A05" w:rsidRPr="001C29FC" w14:paraId="007B18B4" w14:textId="77777777" w:rsidTr="00D32A05">
        <w:trPr>
          <w:cantSplit/>
        </w:trPr>
        <w:tc>
          <w:tcPr>
            <w:tcW w:w="1803" w:type="dxa"/>
            <w:shd w:val="clear" w:color="auto" w:fill="auto"/>
            <w:vAlign w:val="bottom"/>
          </w:tcPr>
          <w:p w14:paraId="72794C3D" w14:textId="77777777" w:rsidR="00D32A05" w:rsidRPr="001C29FC" w:rsidRDefault="00D32A05" w:rsidP="00D32A05">
            <w:pPr>
              <w:pStyle w:val="TableText"/>
            </w:pPr>
            <w:r w:rsidRPr="001C29FC">
              <w:t>Record Patient ABO/Rh</w:t>
            </w:r>
          </w:p>
        </w:tc>
        <w:tc>
          <w:tcPr>
            <w:tcW w:w="1442" w:type="dxa"/>
            <w:vMerge/>
            <w:shd w:val="clear" w:color="auto" w:fill="auto"/>
          </w:tcPr>
          <w:p w14:paraId="326EA29E" w14:textId="77777777" w:rsidR="00D32A05" w:rsidRPr="001C29FC" w:rsidRDefault="00D32A05" w:rsidP="00D32A05">
            <w:pPr>
              <w:pStyle w:val="TableText"/>
              <w:rPr>
                <w:color w:val="000000"/>
                <w:szCs w:val="18"/>
              </w:rPr>
            </w:pPr>
          </w:p>
        </w:tc>
        <w:tc>
          <w:tcPr>
            <w:tcW w:w="1633" w:type="dxa"/>
            <w:shd w:val="clear" w:color="auto" w:fill="auto"/>
          </w:tcPr>
          <w:p w14:paraId="596154F3"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0604C80C"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CPRS-ordered ABO/Rh test is performed.</w:t>
            </w:r>
          </w:p>
        </w:tc>
      </w:tr>
      <w:tr w:rsidR="00D32A05" w:rsidRPr="001C29FC" w14:paraId="289CB147" w14:textId="77777777" w:rsidTr="00D32A05">
        <w:trPr>
          <w:cantSplit/>
        </w:trPr>
        <w:tc>
          <w:tcPr>
            <w:tcW w:w="1803" w:type="dxa"/>
            <w:shd w:val="clear" w:color="auto" w:fill="auto"/>
            <w:vAlign w:val="bottom"/>
          </w:tcPr>
          <w:p w14:paraId="0D6F688B" w14:textId="77777777" w:rsidR="00D32A05" w:rsidRPr="001C29FC" w:rsidRDefault="00D32A05" w:rsidP="00D32A05">
            <w:pPr>
              <w:pStyle w:val="TableText"/>
            </w:pPr>
            <w:r w:rsidRPr="001C29FC">
              <w:t>Invalidate Patient Test Results*</w:t>
            </w:r>
          </w:p>
        </w:tc>
        <w:tc>
          <w:tcPr>
            <w:tcW w:w="1442" w:type="dxa"/>
            <w:vMerge/>
            <w:shd w:val="clear" w:color="auto" w:fill="auto"/>
          </w:tcPr>
          <w:p w14:paraId="060A43FD" w14:textId="77777777" w:rsidR="00D32A05" w:rsidRPr="001C29FC" w:rsidRDefault="00D32A05" w:rsidP="00D32A05">
            <w:pPr>
              <w:pStyle w:val="TableText"/>
              <w:rPr>
                <w:color w:val="000000"/>
                <w:szCs w:val="18"/>
              </w:rPr>
            </w:pPr>
          </w:p>
        </w:tc>
        <w:tc>
          <w:tcPr>
            <w:tcW w:w="1633" w:type="dxa"/>
            <w:shd w:val="clear" w:color="auto" w:fill="auto"/>
          </w:tcPr>
          <w:p w14:paraId="52DEF552"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4E763A05" w14:textId="77777777" w:rsidR="00D32A05" w:rsidRPr="001C29FC" w:rsidRDefault="00D32A05" w:rsidP="00D32A05">
            <w:pPr>
              <w:pStyle w:val="TableText"/>
              <w:rPr>
                <w:szCs w:val="18"/>
              </w:rPr>
            </w:pPr>
            <w:r w:rsidRPr="001C29FC">
              <w:rPr>
                <w:szCs w:val="18"/>
              </w:rPr>
              <w:t>Accrue workload when a completed ABO/Rh test is invalidated.</w:t>
            </w:r>
          </w:p>
        </w:tc>
      </w:tr>
      <w:tr w:rsidR="00D32A05" w:rsidRPr="001C29FC" w14:paraId="0E9BD986" w14:textId="77777777" w:rsidTr="00D32A05">
        <w:trPr>
          <w:cantSplit/>
          <w:tblHeader/>
        </w:trPr>
        <w:tc>
          <w:tcPr>
            <w:tcW w:w="1803" w:type="dxa"/>
            <w:shd w:val="clear" w:color="auto" w:fill="auto"/>
            <w:vAlign w:val="bottom"/>
          </w:tcPr>
          <w:p w14:paraId="1E49B402" w14:textId="77777777" w:rsidR="00D32A05" w:rsidRPr="001C29FC" w:rsidRDefault="00D32A05" w:rsidP="00D32A05">
            <w:pPr>
              <w:pStyle w:val="TableText"/>
            </w:pPr>
            <w:r w:rsidRPr="001C29FC">
              <w:t>Record Patient ABO/Rh</w:t>
            </w:r>
          </w:p>
        </w:tc>
        <w:tc>
          <w:tcPr>
            <w:tcW w:w="1442" w:type="dxa"/>
            <w:vMerge w:val="restart"/>
            <w:shd w:val="clear" w:color="auto" w:fill="auto"/>
          </w:tcPr>
          <w:p w14:paraId="0C8B6195" w14:textId="77777777" w:rsidR="00D32A05" w:rsidRPr="001C29FC" w:rsidRDefault="00D32A05" w:rsidP="00D32A05">
            <w:pPr>
              <w:pStyle w:val="TableText"/>
              <w:rPr>
                <w:color w:val="000000"/>
                <w:szCs w:val="18"/>
              </w:rPr>
            </w:pPr>
            <w:r w:rsidRPr="001C29FC">
              <w:rPr>
                <w:color w:val="000000"/>
                <w:szCs w:val="18"/>
              </w:rPr>
              <w:t>ABO Forward and reverse typing (patient) Repeat Test</w:t>
            </w:r>
          </w:p>
        </w:tc>
        <w:tc>
          <w:tcPr>
            <w:tcW w:w="1633" w:type="dxa"/>
            <w:shd w:val="clear" w:color="auto" w:fill="auto"/>
          </w:tcPr>
          <w:p w14:paraId="5A2B5516"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tcPr>
          <w:p w14:paraId="4B6C2387"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reflex or repeat ABO/Rh test is performed, completed, and saved.</w:t>
            </w:r>
          </w:p>
        </w:tc>
      </w:tr>
      <w:tr w:rsidR="00D32A05" w:rsidRPr="001C29FC" w14:paraId="3BA13E34" w14:textId="77777777" w:rsidTr="00D32A05">
        <w:trPr>
          <w:cantSplit/>
          <w:tblHeader/>
        </w:trPr>
        <w:tc>
          <w:tcPr>
            <w:tcW w:w="1803" w:type="dxa"/>
            <w:shd w:val="clear" w:color="auto" w:fill="auto"/>
            <w:vAlign w:val="bottom"/>
          </w:tcPr>
          <w:p w14:paraId="0BF4973D" w14:textId="77777777" w:rsidR="00D32A05" w:rsidRPr="001C29FC" w:rsidRDefault="00D32A05" w:rsidP="00D32A05">
            <w:pPr>
              <w:pStyle w:val="TableText"/>
            </w:pPr>
            <w:r w:rsidRPr="001C29FC">
              <w:t>Invalidate Patient Test Results*</w:t>
            </w:r>
          </w:p>
        </w:tc>
        <w:tc>
          <w:tcPr>
            <w:tcW w:w="1442" w:type="dxa"/>
            <w:vMerge/>
            <w:shd w:val="clear" w:color="auto" w:fill="auto"/>
          </w:tcPr>
          <w:p w14:paraId="415AC36C" w14:textId="77777777" w:rsidR="00D32A05" w:rsidRPr="001C29FC" w:rsidRDefault="00D32A05" w:rsidP="00D32A05">
            <w:pPr>
              <w:pStyle w:val="TableText"/>
              <w:rPr>
                <w:color w:val="000000"/>
                <w:szCs w:val="18"/>
              </w:rPr>
            </w:pPr>
          </w:p>
        </w:tc>
        <w:tc>
          <w:tcPr>
            <w:tcW w:w="1633" w:type="dxa"/>
            <w:shd w:val="clear" w:color="auto" w:fill="auto"/>
          </w:tcPr>
          <w:p w14:paraId="5207CBEB"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tcPr>
          <w:p w14:paraId="1026CD5E" w14:textId="77777777" w:rsidR="00D32A05" w:rsidRPr="001C29FC" w:rsidRDefault="00D32A05" w:rsidP="00D32A05">
            <w:pPr>
              <w:pStyle w:val="TableText"/>
              <w:rPr>
                <w:szCs w:val="18"/>
              </w:rPr>
            </w:pPr>
            <w:r w:rsidRPr="001C29FC">
              <w:rPr>
                <w:szCs w:val="18"/>
              </w:rPr>
              <w:t>Accrue workload when a reflex or repeat ABO/Rh test is invalidated.</w:t>
            </w:r>
          </w:p>
        </w:tc>
      </w:tr>
      <w:tr w:rsidR="00D32A05" w:rsidRPr="001C29FC" w14:paraId="37C2B7A7" w14:textId="77777777" w:rsidTr="00D32A05">
        <w:trPr>
          <w:cantSplit/>
          <w:tblHeader/>
        </w:trPr>
        <w:tc>
          <w:tcPr>
            <w:tcW w:w="1803" w:type="dxa"/>
            <w:shd w:val="clear" w:color="auto" w:fill="auto"/>
            <w:vAlign w:val="bottom"/>
          </w:tcPr>
          <w:p w14:paraId="33DC2D6E" w14:textId="77777777" w:rsidR="00D32A05" w:rsidRPr="001C29FC" w:rsidRDefault="00D32A05" w:rsidP="00D32A05">
            <w:pPr>
              <w:pStyle w:val="TableText"/>
            </w:pPr>
            <w:r w:rsidRPr="001C29FC">
              <w:t>ABO/Rh Confirmation</w:t>
            </w:r>
          </w:p>
        </w:tc>
        <w:tc>
          <w:tcPr>
            <w:tcW w:w="1442" w:type="dxa"/>
            <w:vMerge w:val="restart"/>
            <w:shd w:val="clear" w:color="auto" w:fill="auto"/>
          </w:tcPr>
          <w:p w14:paraId="20C794F4" w14:textId="77777777" w:rsidR="00D32A05" w:rsidRPr="001C29FC" w:rsidRDefault="00D32A05" w:rsidP="00D32A05">
            <w:pPr>
              <w:pStyle w:val="TableText"/>
              <w:rPr>
                <w:color w:val="000000"/>
                <w:szCs w:val="18"/>
              </w:rPr>
            </w:pPr>
            <w:r w:rsidRPr="001C29FC">
              <w:rPr>
                <w:color w:val="000000"/>
                <w:szCs w:val="18"/>
              </w:rPr>
              <w:t>ABO forward typing (unit)</w:t>
            </w:r>
          </w:p>
        </w:tc>
        <w:tc>
          <w:tcPr>
            <w:tcW w:w="1633" w:type="dxa"/>
            <w:shd w:val="clear" w:color="auto" w:fill="auto"/>
          </w:tcPr>
          <w:p w14:paraId="23AA0CC4"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4DB8708D" w14:textId="77777777" w:rsidR="00D32A05" w:rsidRPr="001C29FC" w:rsidRDefault="00D32A05" w:rsidP="00D32A05">
            <w:pPr>
              <w:pStyle w:val="TableText"/>
              <w:rPr>
                <w:color w:val="000000"/>
                <w:szCs w:val="18"/>
              </w:rPr>
            </w:pPr>
            <w:r w:rsidRPr="001C29FC">
              <w:rPr>
                <w:color w:val="000000"/>
                <w:szCs w:val="18"/>
              </w:rPr>
              <w:t>An ABO confirmation test is performed. When multiple units are selected in a batch, each unit in the batch accrues a workload event. Note: Workload generated during Anti-D testing is not included in the unit’s confirmation test. Workload is not accrued when an ABO or Rh discrepancy override is processed and VBECS releases all patient assignments. Workload is not accrued when VBECS quarantines the unit due to a discrepancy. There is no special handling for workload collection for additional confirmation tests on a unit.</w:t>
            </w:r>
          </w:p>
        </w:tc>
      </w:tr>
      <w:tr w:rsidR="00D32A05" w:rsidRPr="001C29FC" w14:paraId="4A2FFB2C" w14:textId="77777777" w:rsidTr="00D32A05">
        <w:trPr>
          <w:cantSplit/>
          <w:tblHeader/>
        </w:trPr>
        <w:tc>
          <w:tcPr>
            <w:tcW w:w="1803" w:type="dxa"/>
            <w:shd w:val="clear" w:color="auto" w:fill="auto"/>
            <w:vAlign w:val="bottom"/>
          </w:tcPr>
          <w:p w14:paraId="440C40C2" w14:textId="77777777" w:rsidR="00D32A05" w:rsidRPr="001C29FC" w:rsidRDefault="00D32A05" w:rsidP="00D32A05">
            <w:pPr>
              <w:pStyle w:val="TableText"/>
            </w:pPr>
            <w:r w:rsidRPr="001C29FC">
              <w:t>Edit Unit Information*</w:t>
            </w:r>
          </w:p>
        </w:tc>
        <w:tc>
          <w:tcPr>
            <w:tcW w:w="1442" w:type="dxa"/>
            <w:vMerge/>
            <w:shd w:val="clear" w:color="auto" w:fill="auto"/>
          </w:tcPr>
          <w:p w14:paraId="251D2A12" w14:textId="77777777" w:rsidR="00D32A05" w:rsidRPr="001C29FC" w:rsidRDefault="00D32A05" w:rsidP="00D32A05">
            <w:pPr>
              <w:pStyle w:val="TableText"/>
              <w:rPr>
                <w:color w:val="000000"/>
                <w:szCs w:val="18"/>
              </w:rPr>
            </w:pPr>
          </w:p>
        </w:tc>
        <w:tc>
          <w:tcPr>
            <w:tcW w:w="1633" w:type="dxa"/>
            <w:shd w:val="clear" w:color="auto" w:fill="auto"/>
          </w:tcPr>
          <w:p w14:paraId="6AE3B4FA"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3CA2BCC1"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ABO confirmation test is invalidated.</w:t>
            </w:r>
          </w:p>
        </w:tc>
      </w:tr>
      <w:tr w:rsidR="00D32A05" w:rsidRPr="001C29FC" w14:paraId="07745057" w14:textId="77777777" w:rsidTr="00D32A05">
        <w:trPr>
          <w:cantSplit/>
          <w:tblHeader/>
        </w:trPr>
        <w:tc>
          <w:tcPr>
            <w:tcW w:w="1803" w:type="dxa"/>
            <w:shd w:val="clear" w:color="auto" w:fill="auto"/>
            <w:vAlign w:val="bottom"/>
          </w:tcPr>
          <w:p w14:paraId="2DC3B6A1" w14:textId="77777777" w:rsidR="00D32A05" w:rsidRPr="001C29FC" w:rsidRDefault="00D32A05" w:rsidP="00D32A05">
            <w:pPr>
              <w:pStyle w:val="TableText"/>
            </w:pPr>
            <w:r w:rsidRPr="001C29FC">
              <w:t>ABO/Rh Confirmation</w:t>
            </w:r>
          </w:p>
        </w:tc>
        <w:tc>
          <w:tcPr>
            <w:tcW w:w="1442" w:type="dxa"/>
            <w:vMerge w:val="restart"/>
            <w:shd w:val="clear" w:color="auto" w:fill="auto"/>
          </w:tcPr>
          <w:p w14:paraId="48420AB1" w14:textId="77777777" w:rsidR="00D32A05" w:rsidRPr="001C29FC" w:rsidRDefault="00D32A05" w:rsidP="00D32A05">
            <w:pPr>
              <w:pStyle w:val="TableText"/>
              <w:rPr>
                <w:color w:val="000000"/>
                <w:szCs w:val="18"/>
              </w:rPr>
            </w:pPr>
            <w:r w:rsidRPr="001C29FC">
              <w:rPr>
                <w:color w:val="000000"/>
                <w:szCs w:val="18"/>
              </w:rPr>
              <w:t>ABO/Rh forward typing (unit)</w:t>
            </w:r>
          </w:p>
        </w:tc>
        <w:tc>
          <w:tcPr>
            <w:tcW w:w="1633" w:type="dxa"/>
            <w:shd w:val="clear" w:color="auto" w:fill="auto"/>
          </w:tcPr>
          <w:p w14:paraId="28A0F7BA"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424C62BA" w14:textId="77777777" w:rsidR="00D32A05" w:rsidRPr="001C29FC" w:rsidRDefault="00D32A05" w:rsidP="00D32A05">
            <w:pPr>
              <w:pStyle w:val="TableText"/>
              <w:rPr>
                <w:color w:val="000000"/>
                <w:szCs w:val="18"/>
              </w:rPr>
            </w:pPr>
            <w:r w:rsidRPr="001C29FC">
              <w:rPr>
                <w:color w:val="000000"/>
                <w:szCs w:val="18"/>
              </w:rPr>
              <w:t>An ABO/Rh confirmation test is performed. When multiple units are selected in a batch, each unit in the batch accrues a workload event. Note: Workload generated during Anti-D is part of the unit’s confirmation test. Workload is not accrued when an ABO or Rh discrepancy override is processed and VBECS releases all patient assignments. Workload is not accrued when VBECS quarantines the unit due to a discrepancy. Any unit successfully confirmed accrues workload. For split modifications: workload is not inherited by split units. A split unit that requires confirmation accrues confirmation workload at the time of testing. There is no special handling for workload collection for additional confirmation tests on a unit.</w:t>
            </w:r>
          </w:p>
        </w:tc>
      </w:tr>
      <w:tr w:rsidR="00D32A05" w:rsidRPr="001C29FC" w14:paraId="734B920C" w14:textId="77777777" w:rsidTr="00D32A05">
        <w:trPr>
          <w:cantSplit/>
          <w:tblHeader/>
        </w:trPr>
        <w:tc>
          <w:tcPr>
            <w:tcW w:w="1803" w:type="dxa"/>
            <w:shd w:val="clear" w:color="auto" w:fill="auto"/>
            <w:vAlign w:val="bottom"/>
          </w:tcPr>
          <w:p w14:paraId="143ADA1F" w14:textId="77777777" w:rsidR="00D32A05" w:rsidRPr="001C29FC" w:rsidRDefault="00D32A05" w:rsidP="00D32A05">
            <w:pPr>
              <w:pStyle w:val="TableText"/>
            </w:pPr>
            <w:r w:rsidRPr="001C29FC">
              <w:t>Edit Unit Information*</w:t>
            </w:r>
          </w:p>
        </w:tc>
        <w:tc>
          <w:tcPr>
            <w:tcW w:w="1442" w:type="dxa"/>
            <w:vMerge/>
            <w:shd w:val="clear" w:color="auto" w:fill="auto"/>
          </w:tcPr>
          <w:p w14:paraId="30CE99CD" w14:textId="77777777" w:rsidR="00D32A05" w:rsidRPr="001C29FC" w:rsidRDefault="00D32A05" w:rsidP="00D32A05">
            <w:pPr>
              <w:pStyle w:val="TableText"/>
              <w:rPr>
                <w:color w:val="000000"/>
                <w:szCs w:val="18"/>
              </w:rPr>
            </w:pPr>
          </w:p>
        </w:tc>
        <w:tc>
          <w:tcPr>
            <w:tcW w:w="1633" w:type="dxa"/>
            <w:shd w:val="clear" w:color="auto" w:fill="auto"/>
          </w:tcPr>
          <w:p w14:paraId="00EF0C57"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6DB9284A"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ABO/Rh confirmation test is invalidated.</w:t>
            </w:r>
          </w:p>
        </w:tc>
      </w:tr>
      <w:tr w:rsidR="00D32A05" w:rsidRPr="001C29FC" w14:paraId="2B53A10D" w14:textId="77777777" w:rsidTr="00D32A05">
        <w:trPr>
          <w:cantSplit/>
          <w:tblHeader/>
        </w:trPr>
        <w:tc>
          <w:tcPr>
            <w:tcW w:w="1803" w:type="dxa"/>
            <w:shd w:val="clear" w:color="auto" w:fill="auto"/>
          </w:tcPr>
          <w:p w14:paraId="352EC2C8" w14:textId="77777777" w:rsidR="00D32A05" w:rsidRPr="001C29FC" w:rsidRDefault="00D32A05" w:rsidP="00D32A05">
            <w:pPr>
              <w:pStyle w:val="TableText"/>
              <w:rPr>
                <w:szCs w:val="18"/>
              </w:rPr>
            </w:pPr>
            <w:r w:rsidRPr="001C29FC">
              <w:rPr>
                <w:szCs w:val="18"/>
              </w:rPr>
              <w:lastRenderedPageBreak/>
              <w:t>Accept Order</w:t>
            </w:r>
          </w:p>
        </w:tc>
        <w:tc>
          <w:tcPr>
            <w:tcW w:w="1442" w:type="dxa"/>
            <w:shd w:val="clear" w:color="auto" w:fill="auto"/>
          </w:tcPr>
          <w:p w14:paraId="5DF34633" w14:textId="77777777" w:rsidR="00D32A05" w:rsidRPr="001C29FC" w:rsidRDefault="00D32A05" w:rsidP="00D32A05">
            <w:pPr>
              <w:pStyle w:val="TableText"/>
              <w:rPr>
                <w:szCs w:val="18"/>
              </w:rPr>
            </w:pPr>
            <w:r w:rsidRPr="001C29FC">
              <w:rPr>
                <w:szCs w:val="18"/>
              </w:rPr>
              <w:t>Accept Order</w:t>
            </w:r>
          </w:p>
        </w:tc>
        <w:tc>
          <w:tcPr>
            <w:tcW w:w="1633" w:type="dxa"/>
            <w:shd w:val="clear" w:color="auto" w:fill="auto"/>
          </w:tcPr>
          <w:p w14:paraId="58D900AC"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17FBA0C7" w14:textId="4A5077DE" w:rsidR="00D32A05" w:rsidRPr="001C29FC" w:rsidRDefault="00D32A05" w:rsidP="00D32A05">
            <w:pPr>
              <w:pStyle w:val="TableText"/>
              <w:rPr>
                <w:szCs w:val="18"/>
              </w:rPr>
            </w:pPr>
            <w:r w:rsidRPr="001C29FC">
              <w:rPr>
                <w:szCs w:val="18"/>
              </w:rPr>
              <w:t xml:space="preserve">Accrue workload when an order is accepted. When </w:t>
            </w:r>
            <w:r w:rsidR="00AE3B37" w:rsidRPr="001C29FC">
              <w:rPr>
                <w:szCs w:val="18"/>
              </w:rPr>
              <w:t>multiple orders</w:t>
            </w:r>
            <w:r w:rsidRPr="001C29FC">
              <w:rPr>
                <w:szCs w:val="18"/>
              </w:rPr>
              <w:t xml:space="preserve"> are selected, each order accrues workload.</w:t>
            </w:r>
          </w:p>
        </w:tc>
      </w:tr>
      <w:tr w:rsidR="00D32A05" w:rsidRPr="001C29FC" w14:paraId="47478126" w14:textId="77777777" w:rsidTr="00D32A05">
        <w:trPr>
          <w:cantSplit/>
          <w:tblHeader/>
        </w:trPr>
        <w:tc>
          <w:tcPr>
            <w:tcW w:w="1803" w:type="dxa"/>
            <w:shd w:val="clear" w:color="auto" w:fill="auto"/>
            <w:vAlign w:val="bottom"/>
          </w:tcPr>
          <w:p w14:paraId="42563063" w14:textId="77777777" w:rsidR="00D32A05" w:rsidRPr="001C29FC" w:rsidRDefault="00D32A05" w:rsidP="00D32A05">
            <w:pPr>
              <w:pStyle w:val="TableText"/>
            </w:pPr>
            <w:r w:rsidRPr="001C29FC">
              <w:t>Enter Antibody Identification Results</w:t>
            </w:r>
          </w:p>
        </w:tc>
        <w:tc>
          <w:tcPr>
            <w:tcW w:w="1442" w:type="dxa"/>
            <w:vMerge w:val="restart"/>
            <w:shd w:val="clear" w:color="auto" w:fill="auto"/>
          </w:tcPr>
          <w:p w14:paraId="7F8B166F" w14:textId="77777777" w:rsidR="00D32A05" w:rsidRPr="001C29FC" w:rsidRDefault="00D32A05" w:rsidP="00D32A05">
            <w:pPr>
              <w:pStyle w:val="TableText"/>
              <w:rPr>
                <w:color w:val="000000"/>
                <w:szCs w:val="18"/>
              </w:rPr>
            </w:pPr>
            <w:r w:rsidRPr="001C29FC">
              <w:rPr>
                <w:color w:val="000000"/>
                <w:szCs w:val="18"/>
              </w:rPr>
              <w:t>Antibody identification Work-Up</w:t>
            </w:r>
          </w:p>
        </w:tc>
        <w:tc>
          <w:tcPr>
            <w:tcW w:w="1633" w:type="dxa"/>
            <w:shd w:val="clear" w:color="auto" w:fill="auto"/>
          </w:tcPr>
          <w:p w14:paraId="15E8A3AD"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18DBE75C" w14:textId="77777777" w:rsidR="00D32A05" w:rsidRPr="001C29FC" w:rsidRDefault="00D32A05" w:rsidP="00D32A05">
            <w:pPr>
              <w:pStyle w:val="TableText"/>
              <w:rPr>
                <w:color w:val="000000"/>
                <w:szCs w:val="18"/>
              </w:rPr>
            </w:pPr>
            <w:r w:rsidRPr="001C29FC">
              <w:rPr>
                <w:color w:val="000000"/>
                <w:szCs w:val="18"/>
              </w:rPr>
              <w:t>User enters additional workload associated with the individual reflex-ordered ABID. The selected VBECS multiplier will multiply against the VistA multiplier and display the (multiplication) product on the Division Workload Report.</w:t>
            </w:r>
          </w:p>
        </w:tc>
      </w:tr>
      <w:tr w:rsidR="00D32A05" w:rsidRPr="001C29FC" w14:paraId="1DB62068" w14:textId="77777777" w:rsidTr="00D32A05">
        <w:trPr>
          <w:cantSplit/>
          <w:tblHeader/>
        </w:trPr>
        <w:tc>
          <w:tcPr>
            <w:tcW w:w="1803" w:type="dxa"/>
            <w:shd w:val="clear" w:color="auto" w:fill="auto"/>
            <w:vAlign w:val="bottom"/>
          </w:tcPr>
          <w:p w14:paraId="1D3268A5" w14:textId="77777777" w:rsidR="00D32A05" w:rsidRPr="001C29FC" w:rsidRDefault="00D32A05" w:rsidP="00D32A05">
            <w:pPr>
              <w:pStyle w:val="TableText"/>
            </w:pPr>
            <w:r w:rsidRPr="001C29FC">
              <w:t>Invalidate Patient Test Results*</w:t>
            </w:r>
          </w:p>
        </w:tc>
        <w:tc>
          <w:tcPr>
            <w:tcW w:w="1442" w:type="dxa"/>
            <w:vMerge/>
            <w:shd w:val="clear" w:color="auto" w:fill="auto"/>
          </w:tcPr>
          <w:p w14:paraId="31E5539D" w14:textId="77777777" w:rsidR="00D32A05" w:rsidRPr="001C29FC" w:rsidRDefault="00D32A05" w:rsidP="00D32A05">
            <w:pPr>
              <w:pStyle w:val="TableText"/>
              <w:rPr>
                <w:color w:val="000000"/>
                <w:szCs w:val="18"/>
              </w:rPr>
            </w:pPr>
          </w:p>
        </w:tc>
        <w:tc>
          <w:tcPr>
            <w:tcW w:w="1633" w:type="dxa"/>
            <w:shd w:val="clear" w:color="auto" w:fill="auto"/>
          </w:tcPr>
          <w:p w14:paraId="45C5876D"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45E92ED3" w14:textId="77777777" w:rsidR="00D32A05" w:rsidRPr="001C29FC" w:rsidRDefault="00D32A05" w:rsidP="00D32A05">
            <w:pPr>
              <w:pStyle w:val="TableText"/>
              <w:rPr>
                <w:color w:val="000000"/>
                <w:szCs w:val="18"/>
              </w:rPr>
            </w:pPr>
            <w:r w:rsidRPr="001C29FC">
              <w:rPr>
                <w:color w:val="000000"/>
                <w:szCs w:val="18"/>
              </w:rPr>
              <w:t xml:space="preserve">Accrue workload when the ABID is invalidated. </w:t>
            </w:r>
          </w:p>
        </w:tc>
      </w:tr>
      <w:tr w:rsidR="00D32A05" w:rsidRPr="001C29FC" w14:paraId="03FACF23" w14:textId="77777777" w:rsidTr="00D32A05">
        <w:trPr>
          <w:cantSplit/>
          <w:tblHeader/>
        </w:trPr>
        <w:tc>
          <w:tcPr>
            <w:tcW w:w="1803" w:type="dxa"/>
            <w:shd w:val="clear" w:color="auto" w:fill="auto"/>
            <w:vAlign w:val="bottom"/>
          </w:tcPr>
          <w:p w14:paraId="6F0601C2" w14:textId="77777777" w:rsidR="00D32A05" w:rsidRPr="001C29FC" w:rsidRDefault="00D32A05" w:rsidP="00D32A05">
            <w:pPr>
              <w:pStyle w:val="TableText"/>
            </w:pPr>
            <w:r w:rsidRPr="001C29FC">
              <w:t>Record a Transfusion Reaction Workup</w:t>
            </w:r>
          </w:p>
        </w:tc>
        <w:tc>
          <w:tcPr>
            <w:tcW w:w="1442" w:type="dxa"/>
            <w:vMerge w:val="restart"/>
            <w:shd w:val="clear" w:color="auto" w:fill="auto"/>
          </w:tcPr>
          <w:p w14:paraId="547E505C" w14:textId="77777777" w:rsidR="00D32A05" w:rsidRPr="001C29FC" w:rsidRDefault="00D32A05" w:rsidP="00D32A05">
            <w:pPr>
              <w:pStyle w:val="TableText"/>
              <w:rPr>
                <w:color w:val="000000"/>
                <w:szCs w:val="18"/>
              </w:rPr>
            </w:pPr>
            <w:r w:rsidRPr="001C29FC">
              <w:rPr>
                <w:color w:val="000000"/>
                <w:szCs w:val="18"/>
              </w:rPr>
              <w:t>Antibody Screen (patient)</w:t>
            </w:r>
          </w:p>
        </w:tc>
        <w:tc>
          <w:tcPr>
            <w:tcW w:w="1633" w:type="dxa"/>
            <w:shd w:val="clear" w:color="auto" w:fill="auto"/>
          </w:tcPr>
          <w:p w14:paraId="0CDDAE05"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2F69AC11" w14:textId="77777777" w:rsidR="00D32A05" w:rsidRPr="001C29FC" w:rsidRDefault="00D32A05" w:rsidP="00D32A05">
            <w:pPr>
              <w:pStyle w:val="TableText"/>
              <w:rPr>
                <w:color w:val="000000"/>
                <w:szCs w:val="18"/>
              </w:rPr>
            </w:pPr>
            <w:r w:rsidRPr="001C29FC">
              <w:rPr>
                <w:color w:val="000000"/>
                <w:szCs w:val="18"/>
              </w:rPr>
              <w:t>An ABS test for “pre” or “post” is enabled and a valid interpretation other than Not Tested is selected. A workload event is accrued separately for “Pre” and “Post” entries.</w:t>
            </w:r>
          </w:p>
        </w:tc>
      </w:tr>
      <w:tr w:rsidR="00D32A05" w:rsidRPr="001C29FC" w14:paraId="28A84649" w14:textId="77777777" w:rsidTr="00D32A05">
        <w:trPr>
          <w:cantSplit/>
          <w:tblHeader/>
        </w:trPr>
        <w:tc>
          <w:tcPr>
            <w:tcW w:w="1803" w:type="dxa"/>
            <w:shd w:val="clear" w:color="auto" w:fill="auto"/>
            <w:vAlign w:val="bottom"/>
          </w:tcPr>
          <w:p w14:paraId="47E925B7" w14:textId="77777777" w:rsidR="00D32A05" w:rsidRPr="001C29FC" w:rsidRDefault="00D32A05" w:rsidP="00D32A05">
            <w:pPr>
              <w:pStyle w:val="TableText"/>
            </w:pPr>
            <w:r w:rsidRPr="001C29FC">
              <w:t>Record Patient Antibody Screen</w:t>
            </w:r>
          </w:p>
        </w:tc>
        <w:tc>
          <w:tcPr>
            <w:tcW w:w="1442" w:type="dxa"/>
            <w:vMerge/>
            <w:shd w:val="clear" w:color="auto" w:fill="auto"/>
          </w:tcPr>
          <w:p w14:paraId="5658B991" w14:textId="77777777" w:rsidR="00D32A05" w:rsidRPr="001C29FC" w:rsidRDefault="00D32A05" w:rsidP="00D32A05">
            <w:pPr>
              <w:pStyle w:val="TableText"/>
              <w:rPr>
                <w:color w:val="000000"/>
                <w:szCs w:val="18"/>
              </w:rPr>
            </w:pPr>
          </w:p>
        </w:tc>
        <w:tc>
          <w:tcPr>
            <w:tcW w:w="1633" w:type="dxa"/>
            <w:shd w:val="clear" w:color="auto" w:fill="auto"/>
          </w:tcPr>
          <w:p w14:paraId="24D3D295"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6D426EF9"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ordered ABS test is performed.</w:t>
            </w:r>
          </w:p>
        </w:tc>
      </w:tr>
      <w:tr w:rsidR="00D32A05" w:rsidRPr="001C29FC" w14:paraId="2829DBAB" w14:textId="77777777" w:rsidTr="00D32A05">
        <w:trPr>
          <w:cantSplit/>
          <w:tblHeader/>
        </w:trPr>
        <w:tc>
          <w:tcPr>
            <w:tcW w:w="1803" w:type="dxa"/>
            <w:shd w:val="clear" w:color="auto" w:fill="auto"/>
            <w:vAlign w:val="bottom"/>
          </w:tcPr>
          <w:p w14:paraId="5A9D33DD" w14:textId="77777777" w:rsidR="00D32A05" w:rsidRPr="001C29FC" w:rsidRDefault="00D32A05" w:rsidP="00D32A05">
            <w:pPr>
              <w:pStyle w:val="TableText"/>
            </w:pPr>
            <w:r w:rsidRPr="001C29FC">
              <w:t>Invalidate Patient Test Results*</w:t>
            </w:r>
          </w:p>
        </w:tc>
        <w:tc>
          <w:tcPr>
            <w:tcW w:w="1442" w:type="dxa"/>
            <w:vMerge/>
            <w:shd w:val="clear" w:color="auto" w:fill="auto"/>
          </w:tcPr>
          <w:p w14:paraId="5BDB7ADA" w14:textId="77777777" w:rsidR="00D32A05" w:rsidRPr="001C29FC" w:rsidRDefault="00D32A05" w:rsidP="00D32A05">
            <w:pPr>
              <w:pStyle w:val="TableText"/>
              <w:rPr>
                <w:color w:val="000000"/>
                <w:szCs w:val="18"/>
              </w:rPr>
            </w:pPr>
          </w:p>
        </w:tc>
        <w:tc>
          <w:tcPr>
            <w:tcW w:w="1633" w:type="dxa"/>
            <w:shd w:val="clear" w:color="auto" w:fill="auto"/>
          </w:tcPr>
          <w:p w14:paraId="0E04E7AC"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6D38693B" w14:textId="77777777" w:rsidR="00D32A05" w:rsidRPr="001C29FC" w:rsidRDefault="00D32A05" w:rsidP="00D32A05">
            <w:pPr>
              <w:pStyle w:val="TableText"/>
              <w:rPr>
                <w:szCs w:val="18"/>
              </w:rPr>
            </w:pPr>
            <w:r w:rsidRPr="001C29FC">
              <w:rPr>
                <w:szCs w:val="18"/>
              </w:rPr>
              <w:t>Accrue workload when a completed ABS test is invalidated.</w:t>
            </w:r>
          </w:p>
        </w:tc>
      </w:tr>
      <w:tr w:rsidR="00D32A05" w:rsidRPr="001C29FC" w14:paraId="126A7B73" w14:textId="77777777" w:rsidTr="00D32A05">
        <w:trPr>
          <w:cantSplit/>
          <w:tblHeader/>
        </w:trPr>
        <w:tc>
          <w:tcPr>
            <w:tcW w:w="1803" w:type="dxa"/>
            <w:shd w:val="clear" w:color="auto" w:fill="auto"/>
            <w:vAlign w:val="bottom"/>
          </w:tcPr>
          <w:p w14:paraId="68DD03DD" w14:textId="77777777" w:rsidR="00D32A05" w:rsidRPr="001C29FC" w:rsidRDefault="00D32A05" w:rsidP="00D32A05">
            <w:pPr>
              <w:pStyle w:val="TableText"/>
            </w:pPr>
            <w:r w:rsidRPr="001C29FC">
              <w:t>Record Patient Antibody Screen</w:t>
            </w:r>
          </w:p>
        </w:tc>
        <w:tc>
          <w:tcPr>
            <w:tcW w:w="1442" w:type="dxa"/>
            <w:vMerge w:val="restart"/>
            <w:shd w:val="clear" w:color="auto" w:fill="auto"/>
          </w:tcPr>
          <w:p w14:paraId="01EA1FD6" w14:textId="77777777" w:rsidR="00D32A05" w:rsidRPr="001C29FC" w:rsidRDefault="00D32A05" w:rsidP="00D32A05">
            <w:pPr>
              <w:pStyle w:val="TableText"/>
              <w:rPr>
                <w:color w:val="000000"/>
                <w:szCs w:val="18"/>
              </w:rPr>
            </w:pPr>
            <w:r w:rsidRPr="001C29FC">
              <w:rPr>
                <w:color w:val="000000"/>
                <w:szCs w:val="18"/>
              </w:rPr>
              <w:t>Antibody Screen (patient) Repeat Test</w:t>
            </w:r>
          </w:p>
        </w:tc>
        <w:tc>
          <w:tcPr>
            <w:tcW w:w="1633" w:type="dxa"/>
            <w:shd w:val="clear" w:color="auto" w:fill="auto"/>
          </w:tcPr>
          <w:p w14:paraId="0DD41376"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tcPr>
          <w:p w14:paraId="1BFB4A9F"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reflex or repeat ABS test is performed, completed, and saved.</w:t>
            </w:r>
          </w:p>
        </w:tc>
      </w:tr>
      <w:tr w:rsidR="00D32A05" w:rsidRPr="001C29FC" w14:paraId="4CAFB0BE" w14:textId="77777777" w:rsidTr="00D32A05">
        <w:trPr>
          <w:cantSplit/>
          <w:tblHeader/>
        </w:trPr>
        <w:tc>
          <w:tcPr>
            <w:tcW w:w="1803" w:type="dxa"/>
            <w:shd w:val="clear" w:color="auto" w:fill="auto"/>
            <w:vAlign w:val="bottom"/>
          </w:tcPr>
          <w:p w14:paraId="1A0E9B69" w14:textId="77777777" w:rsidR="00D32A05" w:rsidRPr="001C29FC" w:rsidRDefault="00D32A05" w:rsidP="00D32A05">
            <w:pPr>
              <w:pStyle w:val="TableText"/>
            </w:pPr>
            <w:r w:rsidRPr="001C29FC">
              <w:t>Invalidate Patient Test Results*</w:t>
            </w:r>
          </w:p>
        </w:tc>
        <w:tc>
          <w:tcPr>
            <w:tcW w:w="1442" w:type="dxa"/>
            <w:vMerge/>
            <w:shd w:val="clear" w:color="auto" w:fill="auto"/>
          </w:tcPr>
          <w:p w14:paraId="3D6CBA33" w14:textId="77777777" w:rsidR="00D32A05" w:rsidRPr="001C29FC" w:rsidRDefault="00D32A05" w:rsidP="00D32A05">
            <w:pPr>
              <w:pStyle w:val="TableText"/>
              <w:rPr>
                <w:color w:val="000000"/>
                <w:szCs w:val="18"/>
              </w:rPr>
            </w:pPr>
          </w:p>
        </w:tc>
        <w:tc>
          <w:tcPr>
            <w:tcW w:w="1633" w:type="dxa"/>
            <w:shd w:val="clear" w:color="auto" w:fill="auto"/>
          </w:tcPr>
          <w:p w14:paraId="0F301311"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tcPr>
          <w:p w14:paraId="4258332A" w14:textId="77777777" w:rsidR="00D32A05" w:rsidRPr="001C29FC" w:rsidRDefault="00D32A05" w:rsidP="00D32A05">
            <w:pPr>
              <w:pStyle w:val="TableText"/>
              <w:rPr>
                <w:szCs w:val="18"/>
              </w:rPr>
            </w:pPr>
            <w:r w:rsidRPr="001C29FC">
              <w:rPr>
                <w:szCs w:val="18"/>
              </w:rPr>
              <w:t>Accrue workload when a reflex or repeat ABS test is invalidated.</w:t>
            </w:r>
          </w:p>
        </w:tc>
      </w:tr>
      <w:tr w:rsidR="00D32A05" w:rsidRPr="001C29FC" w14:paraId="3922D859" w14:textId="77777777" w:rsidTr="00D32A05">
        <w:trPr>
          <w:cantSplit/>
          <w:tblHeader/>
        </w:trPr>
        <w:tc>
          <w:tcPr>
            <w:tcW w:w="1803" w:type="dxa"/>
            <w:shd w:val="clear" w:color="auto" w:fill="auto"/>
            <w:vAlign w:val="bottom"/>
          </w:tcPr>
          <w:p w14:paraId="0B1C44BD" w14:textId="77777777" w:rsidR="00D32A05" w:rsidRPr="001C29FC" w:rsidRDefault="00D32A05" w:rsidP="00D32A05">
            <w:pPr>
              <w:pStyle w:val="TableText"/>
            </w:pPr>
            <w:r w:rsidRPr="001C29FC">
              <w:t>Unit Antigen Typing / Patient Antigen Typing</w:t>
            </w:r>
          </w:p>
        </w:tc>
        <w:tc>
          <w:tcPr>
            <w:tcW w:w="1442" w:type="dxa"/>
            <w:shd w:val="clear" w:color="auto" w:fill="auto"/>
          </w:tcPr>
          <w:p w14:paraId="5685C6B9" w14:textId="77777777" w:rsidR="00D32A05" w:rsidRPr="001C29FC" w:rsidRDefault="00D32A05" w:rsidP="00D32A05">
            <w:pPr>
              <w:pStyle w:val="TableText"/>
              <w:rPr>
                <w:color w:val="000000"/>
                <w:szCs w:val="18"/>
              </w:rPr>
            </w:pPr>
            <w:r w:rsidRPr="001C29FC">
              <w:rPr>
                <w:color w:val="000000"/>
                <w:szCs w:val="18"/>
              </w:rPr>
              <w:t>Antigen phenotyping, Single Test phase (QC)</w:t>
            </w:r>
          </w:p>
        </w:tc>
        <w:tc>
          <w:tcPr>
            <w:tcW w:w="1633" w:type="dxa"/>
            <w:shd w:val="clear" w:color="auto" w:fill="auto"/>
          </w:tcPr>
          <w:p w14:paraId="65258CA8"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vAlign w:val="bottom"/>
          </w:tcPr>
          <w:p w14:paraId="6C9206FC" w14:textId="77777777" w:rsidR="00D32A05" w:rsidRPr="001C29FC" w:rsidRDefault="00D32A05" w:rsidP="00D32A05">
            <w:pPr>
              <w:pStyle w:val="TableText"/>
              <w:rPr>
                <w:szCs w:val="18"/>
              </w:rPr>
            </w:pPr>
            <w:r w:rsidRPr="001C29FC">
              <w:rPr>
                <w:szCs w:val="18"/>
              </w:rPr>
              <w:t xml:space="preserve">Accrue workload when </w:t>
            </w:r>
            <w:r w:rsidRPr="001C29FC">
              <w:rPr>
                <w:color w:val="000000"/>
                <w:szCs w:val="18"/>
              </w:rPr>
              <w:t>Antiserum QC in Unit or Patient Antigen Typing includes the testing of both the positive and negative control cells, per specificity by lot number, when only one phase of reactivity is chosen for the test grid (IS or AHG). One workload event is collected per completed tab for regular or repeat antigen tests.</w:t>
            </w:r>
          </w:p>
        </w:tc>
      </w:tr>
      <w:tr w:rsidR="00D32A05" w:rsidRPr="001C29FC" w14:paraId="1D542A79" w14:textId="77777777" w:rsidTr="00D32A05">
        <w:trPr>
          <w:cantSplit/>
          <w:tblHeader/>
        </w:trPr>
        <w:tc>
          <w:tcPr>
            <w:tcW w:w="1803" w:type="dxa"/>
            <w:shd w:val="clear" w:color="auto" w:fill="auto"/>
            <w:vAlign w:val="bottom"/>
          </w:tcPr>
          <w:p w14:paraId="08D2B044" w14:textId="77777777" w:rsidR="00D32A05" w:rsidRPr="001C29FC" w:rsidRDefault="00D32A05" w:rsidP="00D32A05">
            <w:pPr>
              <w:pStyle w:val="TableText"/>
            </w:pPr>
            <w:r w:rsidRPr="001C29FC">
              <w:t>Unit Antigen Typing / Patient Antigen Typing</w:t>
            </w:r>
          </w:p>
        </w:tc>
        <w:tc>
          <w:tcPr>
            <w:tcW w:w="1442" w:type="dxa"/>
            <w:shd w:val="clear" w:color="auto" w:fill="auto"/>
          </w:tcPr>
          <w:p w14:paraId="15C0E3B1" w14:textId="77777777" w:rsidR="00D32A05" w:rsidRPr="001C29FC" w:rsidRDefault="00D32A05" w:rsidP="00D32A05">
            <w:pPr>
              <w:pStyle w:val="TableText"/>
              <w:rPr>
                <w:color w:val="000000"/>
                <w:szCs w:val="18"/>
              </w:rPr>
            </w:pPr>
            <w:r w:rsidRPr="001C29FC">
              <w:rPr>
                <w:color w:val="000000"/>
                <w:szCs w:val="18"/>
              </w:rPr>
              <w:t>Antigen phenotyping, Multiple Test phases (QC)</w:t>
            </w:r>
          </w:p>
        </w:tc>
        <w:tc>
          <w:tcPr>
            <w:tcW w:w="1633" w:type="dxa"/>
            <w:shd w:val="clear" w:color="auto" w:fill="auto"/>
          </w:tcPr>
          <w:p w14:paraId="23EBBF9D"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vAlign w:val="bottom"/>
          </w:tcPr>
          <w:p w14:paraId="2622BA5C" w14:textId="77777777" w:rsidR="00D32A05" w:rsidRPr="001C29FC" w:rsidRDefault="00D32A05" w:rsidP="00D32A05">
            <w:pPr>
              <w:pStyle w:val="TableText"/>
              <w:rPr>
                <w:szCs w:val="18"/>
              </w:rPr>
            </w:pPr>
            <w:r w:rsidRPr="001C29FC">
              <w:rPr>
                <w:szCs w:val="18"/>
              </w:rPr>
              <w:t xml:space="preserve">Accrue workload when </w:t>
            </w:r>
            <w:r w:rsidRPr="001C29FC">
              <w:rPr>
                <w:color w:val="000000"/>
                <w:szCs w:val="18"/>
              </w:rPr>
              <w:t>Antiserum QC in Unit or Patient Antigen Typing includes the testing of both the positive and negative control cells, per specificity by lot number, when only multiple phases of reactivity are chosen for the test grid, IS/RT, RT/37, or weak D. One workload event is collected per completed tab for regular or repeat antigen tests.</w:t>
            </w:r>
            <w:r w:rsidRPr="001C29FC">
              <w:rPr>
                <w:color w:val="000000"/>
                <w:szCs w:val="18"/>
              </w:rPr>
              <w:br/>
              <w:t>When weak D is the selected test, QC may not be accrued for the rack selection. QC is accrued when positive and negative cells must be tested for the lot number.</w:t>
            </w:r>
          </w:p>
        </w:tc>
      </w:tr>
      <w:tr w:rsidR="00D32A05" w:rsidRPr="001C29FC" w14:paraId="5872D581" w14:textId="77777777" w:rsidTr="00D32A05">
        <w:trPr>
          <w:cantSplit/>
          <w:tblHeader/>
        </w:trPr>
        <w:tc>
          <w:tcPr>
            <w:tcW w:w="1803" w:type="dxa"/>
            <w:shd w:val="clear" w:color="auto" w:fill="auto"/>
          </w:tcPr>
          <w:p w14:paraId="40EE2FA3" w14:textId="77777777" w:rsidR="00D32A05" w:rsidRPr="001C29FC" w:rsidRDefault="00D32A05" w:rsidP="00D32A05">
            <w:pPr>
              <w:pStyle w:val="TableText"/>
              <w:rPr>
                <w:szCs w:val="18"/>
              </w:rPr>
            </w:pPr>
            <w:r w:rsidRPr="001C29FC">
              <w:rPr>
                <w:szCs w:val="18"/>
              </w:rPr>
              <w:t>Cancel Pending Order</w:t>
            </w:r>
          </w:p>
        </w:tc>
        <w:tc>
          <w:tcPr>
            <w:tcW w:w="1442" w:type="dxa"/>
            <w:shd w:val="clear" w:color="auto" w:fill="auto"/>
          </w:tcPr>
          <w:p w14:paraId="0CA6453A" w14:textId="77777777" w:rsidR="00D32A05" w:rsidRPr="001C29FC" w:rsidRDefault="00D32A05" w:rsidP="00D32A05">
            <w:pPr>
              <w:pStyle w:val="TableText"/>
              <w:rPr>
                <w:szCs w:val="18"/>
              </w:rPr>
            </w:pPr>
            <w:r w:rsidRPr="001C29FC">
              <w:rPr>
                <w:szCs w:val="18"/>
              </w:rPr>
              <w:t>Cancel Order</w:t>
            </w:r>
          </w:p>
        </w:tc>
        <w:tc>
          <w:tcPr>
            <w:tcW w:w="1633" w:type="dxa"/>
            <w:shd w:val="clear" w:color="auto" w:fill="auto"/>
          </w:tcPr>
          <w:p w14:paraId="61BA80B5"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4AE89A43" w14:textId="77777777" w:rsidR="00D32A05" w:rsidRPr="001C29FC" w:rsidRDefault="00D32A05" w:rsidP="00D32A05">
            <w:pPr>
              <w:pStyle w:val="TableText"/>
              <w:rPr>
                <w:szCs w:val="18"/>
              </w:rPr>
            </w:pPr>
            <w:r w:rsidRPr="001C29FC">
              <w:rPr>
                <w:szCs w:val="18"/>
              </w:rPr>
              <w:t>Accrue workload when an order on the pending order list is canceled. When multiple orders are canceled, each order accrues workload.</w:t>
            </w:r>
          </w:p>
        </w:tc>
      </w:tr>
      <w:tr w:rsidR="00D32A05" w:rsidRPr="001C29FC" w14:paraId="4AA1AB6F" w14:textId="77777777" w:rsidTr="00D32A05">
        <w:trPr>
          <w:cantSplit/>
          <w:tblHeader/>
        </w:trPr>
        <w:tc>
          <w:tcPr>
            <w:tcW w:w="1803" w:type="dxa"/>
            <w:shd w:val="clear" w:color="auto" w:fill="auto"/>
            <w:vAlign w:val="bottom"/>
          </w:tcPr>
          <w:p w14:paraId="4875958C" w14:textId="77777777" w:rsidR="00D32A05" w:rsidRPr="001C29FC" w:rsidRDefault="00D32A05" w:rsidP="00D32A05">
            <w:pPr>
              <w:pStyle w:val="TableText"/>
            </w:pPr>
            <w:r w:rsidRPr="001C29FC">
              <w:t>Cancel Active Order</w:t>
            </w:r>
          </w:p>
        </w:tc>
        <w:tc>
          <w:tcPr>
            <w:tcW w:w="1442" w:type="dxa"/>
            <w:shd w:val="clear" w:color="auto" w:fill="auto"/>
          </w:tcPr>
          <w:p w14:paraId="61F6F3F9" w14:textId="77777777" w:rsidR="00D32A05" w:rsidRPr="001C29FC" w:rsidRDefault="00D32A05" w:rsidP="00D32A05">
            <w:pPr>
              <w:pStyle w:val="TableText"/>
              <w:rPr>
                <w:szCs w:val="18"/>
              </w:rPr>
            </w:pPr>
            <w:r w:rsidRPr="001C29FC">
              <w:rPr>
                <w:szCs w:val="18"/>
              </w:rPr>
              <w:t>Cancel Order</w:t>
            </w:r>
          </w:p>
        </w:tc>
        <w:tc>
          <w:tcPr>
            <w:tcW w:w="1633" w:type="dxa"/>
            <w:shd w:val="clear" w:color="auto" w:fill="auto"/>
          </w:tcPr>
          <w:p w14:paraId="59FA88AC"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7B5A19EE" w14:textId="77777777" w:rsidR="00D32A05" w:rsidRPr="001C29FC" w:rsidRDefault="00D32A05" w:rsidP="00D32A05">
            <w:pPr>
              <w:pStyle w:val="TableText"/>
              <w:rPr>
                <w:szCs w:val="18"/>
              </w:rPr>
            </w:pPr>
            <w:r w:rsidRPr="001C29FC">
              <w:rPr>
                <w:szCs w:val="18"/>
              </w:rPr>
              <w:t>Accrue workload when an order on the pending task list is canceled. When multiple orders are canceled, each order accrues workload.</w:t>
            </w:r>
          </w:p>
        </w:tc>
      </w:tr>
      <w:tr w:rsidR="00D32A05" w:rsidRPr="001C29FC" w14:paraId="582D8404" w14:textId="77777777" w:rsidTr="00D32A05">
        <w:trPr>
          <w:cantSplit/>
          <w:tblHeader/>
        </w:trPr>
        <w:tc>
          <w:tcPr>
            <w:tcW w:w="1803" w:type="dxa"/>
            <w:shd w:val="clear" w:color="auto" w:fill="auto"/>
            <w:vAlign w:val="bottom"/>
          </w:tcPr>
          <w:p w14:paraId="373A916C" w14:textId="77777777" w:rsidR="00D32A05" w:rsidRPr="001C29FC" w:rsidRDefault="00D32A05" w:rsidP="00D32A05">
            <w:pPr>
              <w:pStyle w:val="TableText"/>
              <w:rPr>
                <w:szCs w:val="18"/>
              </w:rPr>
            </w:pPr>
            <w:r w:rsidRPr="001C29FC">
              <w:rPr>
                <w:snapToGrid w:val="0"/>
                <w:szCs w:val="18"/>
              </w:rPr>
              <w:t>Select Units for Crossmatch</w:t>
            </w:r>
          </w:p>
        </w:tc>
        <w:tc>
          <w:tcPr>
            <w:tcW w:w="1442" w:type="dxa"/>
            <w:shd w:val="clear" w:color="auto" w:fill="auto"/>
          </w:tcPr>
          <w:p w14:paraId="5CE9BCBE" w14:textId="77777777" w:rsidR="00D32A05" w:rsidRPr="001C29FC" w:rsidRDefault="00D32A05" w:rsidP="00D32A05">
            <w:pPr>
              <w:pStyle w:val="TableText"/>
              <w:rPr>
                <w:szCs w:val="18"/>
              </w:rPr>
            </w:pPr>
            <w:r w:rsidRPr="001C29FC">
              <w:rPr>
                <w:szCs w:val="18"/>
              </w:rPr>
              <w:t>Crossmatch unit, electronic</w:t>
            </w:r>
          </w:p>
        </w:tc>
        <w:tc>
          <w:tcPr>
            <w:tcW w:w="1633" w:type="dxa"/>
            <w:shd w:val="clear" w:color="auto" w:fill="auto"/>
          </w:tcPr>
          <w:p w14:paraId="0DFA9D11"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6268590F" w14:textId="77777777" w:rsidR="00D32A05" w:rsidRPr="001C29FC" w:rsidRDefault="00D32A05" w:rsidP="00D32A05">
            <w:pPr>
              <w:pStyle w:val="TableText"/>
              <w:rPr>
                <w:color w:val="000000"/>
                <w:szCs w:val="18"/>
              </w:rPr>
            </w:pPr>
            <w:r w:rsidRPr="001C29FC">
              <w:rPr>
                <w:color w:val="000000"/>
                <w:szCs w:val="18"/>
              </w:rPr>
              <w:t>This process is invoked when an individual unit is selected for patient assignment and the unit is electronically crossmatched. When multiple units are selected, each unit accrues workload.</w:t>
            </w:r>
          </w:p>
        </w:tc>
      </w:tr>
      <w:tr w:rsidR="00D32A05" w:rsidRPr="001C29FC" w14:paraId="208D3262" w14:textId="77777777" w:rsidTr="00D32A05">
        <w:trPr>
          <w:cantSplit/>
          <w:tblHeader/>
        </w:trPr>
        <w:tc>
          <w:tcPr>
            <w:tcW w:w="1803" w:type="dxa"/>
            <w:shd w:val="clear" w:color="auto" w:fill="auto"/>
            <w:vAlign w:val="bottom"/>
          </w:tcPr>
          <w:p w14:paraId="652E790C" w14:textId="77777777" w:rsidR="00D32A05" w:rsidRPr="001C29FC" w:rsidRDefault="00D32A05" w:rsidP="00D32A05">
            <w:pPr>
              <w:pStyle w:val="TableText"/>
            </w:pPr>
            <w:r w:rsidRPr="001C29FC">
              <w:lastRenderedPageBreak/>
              <w:t>Enter Crossmatch Results</w:t>
            </w:r>
          </w:p>
        </w:tc>
        <w:tc>
          <w:tcPr>
            <w:tcW w:w="1442" w:type="dxa"/>
            <w:vMerge w:val="restart"/>
            <w:shd w:val="clear" w:color="auto" w:fill="auto"/>
          </w:tcPr>
          <w:p w14:paraId="42E6BB45" w14:textId="77777777" w:rsidR="00D32A05" w:rsidRPr="001C29FC" w:rsidRDefault="00D32A05" w:rsidP="00D32A05">
            <w:pPr>
              <w:pStyle w:val="TableText"/>
              <w:rPr>
                <w:color w:val="000000"/>
                <w:szCs w:val="18"/>
              </w:rPr>
            </w:pPr>
            <w:r w:rsidRPr="001C29FC">
              <w:rPr>
                <w:color w:val="000000"/>
                <w:szCs w:val="18"/>
              </w:rPr>
              <w:t>Crossmatch unit, serologic immediate spin</w:t>
            </w:r>
          </w:p>
        </w:tc>
        <w:tc>
          <w:tcPr>
            <w:tcW w:w="1633" w:type="dxa"/>
            <w:shd w:val="clear" w:color="auto" w:fill="auto"/>
          </w:tcPr>
          <w:p w14:paraId="28AB0DD9"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453F181F"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unit crossmatch is selected to include only the IS phase, is completed, and is saved. When multiple units are selected, each unit accrues workload.</w:t>
            </w:r>
          </w:p>
        </w:tc>
      </w:tr>
      <w:tr w:rsidR="00D32A05" w:rsidRPr="001C29FC" w14:paraId="711098F7" w14:textId="77777777" w:rsidTr="00D32A05">
        <w:trPr>
          <w:cantSplit/>
          <w:tblHeader/>
        </w:trPr>
        <w:tc>
          <w:tcPr>
            <w:tcW w:w="1803" w:type="dxa"/>
            <w:shd w:val="clear" w:color="auto" w:fill="auto"/>
            <w:vAlign w:val="bottom"/>
          </w:tcPr>
          <w:p w14:paraId="63D29A43" w14:textId="77777777" w:rsidR="00D32A05" w:rsidRPr="001C29FC" w:rsidRDefault="00D32A05" w:rsidP="00D32A05">
            <w:pPr>
              <w:pStyle w:val="TableText"/>
            </w:pPr>
            <w:r w:rsidRPr="001C29FC">
              <w:t>Invalidate Patient Test Results*</w:t>
            </w:r>
          </w:p>
        </w:tc>
        <w:tc>
          <w:tcPr>
            <w:tcW w:w="1442" w:type="dxa"/>
            <w:vMerge/>
            <w:shd w:val="clear" w:color="auto" w:fill="auto"/>
          </w:tcPr>
          <w:p w14:paraId="2174F32E" w14:textId="77777777" w:rsidR="00D32A05" w:rsidRPr="001C29FC" w:rsidRDefault="00D32A05" w:rsidP="00D32A05">
            <w:pPr>
              <w:pStyle w:val="TableText"/>
              <w:rPr>
                <w:color w:val="000000"/>
                <w:szCs w:val="18"/>
              </w:rPr>
            </w:pPr>
          </w:p>
        </w:tc>
        <w:tc>
          <w:tcPr>
            <w:tcW w:w="1633" w:type="dxa"/>
            <w:shd w:val="clear" w:color="auto" w:fill="auto"/>
          </w:tcPr>
          <w:p w14:paraId="1EA1E256" w14:textId="77777777" w:rsidR="00D32A05" w:rsidRPr="001C29FC" w:rsidRDefault="00D32A05" w:rsidP="00D32A05">
            <w:pPr>
              <w:pStyle w:val="TableText"/>
              <w:rPr>
                <w:szCs w:val="18"/>
              </w:rPr>
            </w:pPr>
            <w:r w:rsidRPr="001C29FC">
              <w:rPr>
                <w:szCs w:val="18"/>
              </w:rPr>
              <w:t>P</w:t>
            </w:r>
          </w:p>
        </w:tc>
        <w:tc>
          <w:tcPr>
            <w:tcW w:w="4482" w:type="dxa"/>
            <w:shd w:val="clear" w:color="auto" w:fill="auto"/>
          </w:tcPr>
          <w:p w14:paraId="4374C0AE" w14:textId="77777777" w:rsidR="00D32A05" w:rsidRPr="001C29FC" w:rsidRDefault="00D32A05" w:rsidP="00D32A05">
            <w:pPr>
              <w:pStyle w:val="TableText"/>
              <w:rPr>
                <w:szCs w:val="18"/>
              </w:rPr>
            </w:pPr>
            <w:r w:rsidRPr="001C29FC">
              <w:rPr>
                <w:szCs w:val="18"/>
              </w:rPr>
              <w:t>Accrue workload when a completed crossmatch test is invalidated. This applies to the workload originally saved with the serologic immediate spin test.</w:t>
            </w:r>
          </w:p>
        </w:tc>
      </w:tr>
      <w:tr w:rsidR="00D32A05" w:rsidRPr="001C29FC" w14:paraId="70424B84" w14:textId="77777777" w:rsidTr="00D32A05">
        <w:trPr>
          <w:cantSplit/>
          <w:tblHeader/>
        </w:trPr>
        <w:tc>
          <w:tcPr>
            <w:tcW w:w="1803" w:type="dxa"/>
            <w:shd w:val="clear" w:color="auto" w:fill="auto"/>
            <w:vAlign w:val="bottom"/>
          </w:tcPr>
          <w:p w14:paraId="24C9400E" w14:textId="77777777" w:rsidR="00D32A05" w:rsidRPr="001C29FC" w:rsidRDefault="00D32A05" w:rsidP="00D32A05">
            <w:pPr>
              <w:pStyle w:val="TableText"/>
            </w:pPr>
            <w:r w:rsidRPr="001C29FC">
              <w:t>Record a Transfusion Reaction Workup</w:t>
            </w:r>
          </w:p>
        </w:tc>
        <w:tc>
          <w:tcPr>
            <w:tcW w:w="1442" w:type="dxa"/>
            <w:vMerge w:val="restart"/>
            <w:shd w:val="clear" w:color="auto" w:fill="auto"/>
          </w:tcPr>
          <w:p w14:paraId="57AB2A88" w14:textId="77777777" w:rsidR="00D32A05" w:rsidRPr="001C29FC" w:rsidRDefault="00D32A05" w:rsidP="00D32A05">
            <w:pPr>
              <w:pStyle w:val="TableText"/>
              <w:rPr>
                <w:color w:val="000000"/>
                <w:szCs w:val="18"/>
              </w:rPr>
            </w:pPr>
            <w:r w:rsidRPr="001C29FC">
              <w:rPr>
                <w:color w:val="000000"/>
                <w:szCs w:val="18"/>
              </w:rPr>
              <w:t>Crossmatch unit, serological Coombs</w:t>
            </w:r>
          </w:p>
        </w:tc>
        <w:tc>
          <w:tcPr>
            <w:tcW w:w="1633" w:type="dxa"/>
            <w:shd w:val="clear" w:color="auto" w:fill="auto"/>
          </w:tcPr>
          <w:p w14:paraId="5C8B8E41"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70DD2E33" w14:textId="77777777" w:rsidR="00D32A05" w:rsidRPr="001C29FC" w:rsidRDefault="00D32A05" w:rsidP="00D32A05">
            <w:pPr>
              <w:pStyle w:val="TableText"/>
              <w:rPr>
                <w:color w:val="000000"/>
                <w:szCs w:val="18"/>
              </w:rPr>
            </w:pPr>
            <w:r w:rsidRPr="001C29FC">
              <w:rPr>
                <w:color w:val="000000"/>
                <w:szCs w:val="18"/>
              </w:rPr>
              <w:t>A crossmatch test for “pre” or “post” is enabled and a valid interpretation other than Not Tested is selected. A workload event is accrued separately for “Pre” and “Post” entries.</w:t>
            </w:r>
            <w:r w:rsidRPr="001C29FC">
              <w:rPr>
                <w:color w:val="000000"/>
                <w:szCs w:val="18"/>
              </w:rPr>
              <w:br/>
              <w:t>When multiple units are selected, each unit accrues workload.</w:t>
            </w:r>
          </w:p>
        </w:tc>
      </w:tr>
      <w:tr w:rsidR="00D32A05" w:rsidRPr="001C29FC" w14:paraId="45BA8A52" w14:textId="77777777" w:rsidTr="00D32A05">
        <w:trPr>
          <w:cantSplit/>
          <w:tblHeader/>
        </w:trPr>
        <w:tc>
          <w:tcPr>
            <w:tcW w:w="1803" w:type="dxa"/>
            <w:shd w:val="clear" w:color="auto" w:fill="auto"/>
            <w:vAlign w:val="bottom"/>
          </w:tcPr>
          <w:p w14:paraId="3A5803DC" w14:textId="77777777" w:rsidR="00D32A05" w:rsidRPr="001C29FC" w:rsidRDefault="00D32A05" w:rsidP="00D32A05">
            <w:pPr>
              <w:pStyle w:val="TableText"/>
            </w:pPr>
            <w:r w:rsidRPr="001C29FC">
              <w:t>Enter Crossmatch Results</w:t>
            </w:r>
          </w:p>
        </w:tc>
        <w:tc>
          <w:tcPr>
            <w:tcW w:w="1442" w:type="dxa"/>
            <w:vMerge/>
            <w:shd w:val="clear" w:color="auto" w:fill="auto"/>
          </w:tcPr>
          <w:p w14:paraId="5D98E0F8" w14:textId="77777777" w:rsidR="00D32A05" w:rsidRPr="001C29FC" w:rsidRDefault="00D32A05" w:rsidP="00D32A05">
            <w:pPr>
              <w:pStyle w:val="TableText"/>
              <w:rPr>
                <w:color w:val="000000"/>
                <w:szCs w:val="18"/>
              </w:rPr>
            </w:pPr>
          </w:p>
        </w:tc>
        <w:tc>
          <w:tcPr>
            <w:tcW w:w="1633" w:type="dxa"/>
            <w:shd w:val="clear" w:color="auto" w:fill="auto"/>
          </w:tcPr>
          <w:p w14:paraId="4CFB5FF6"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629D4059"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unit crossmatch is selected to include all phases or only the AHG phase, is completed, and is saved. When multiple units are selected, each unit accrues workload.</w:t>
            </w:r>
          </w:p>
        </w:tc>
      </w:tr>
      <w:tr w:rsidR="00D32A05" w:rsidRPr="001C29FC" w14:paraId="72A75416" w14:textId="77777777" w:rsidTr="00D32A05">
        <w:trPr>
          <w:cantSplit/>
          <w:tblHeader/>
        </w:trPr>
        <w:tc>
          <w:tcPr>
            <w:tcW w:w="1803" w:type="dxa"/>
            <w:shd w:val="clear" w:color="auto" w:fill="auto"/>
            <w:vAlign w:val="bottom"/>
          </w:tcPr>
          <w:p w14:paraId="20594C86" w14:textId="77777777" w:rsidR="00D32A05" w:rsidRPr="001C29FC" w:rsidRDefault="00D32A05" w:rsidP="00D32A05">
            <w:pPr>
              <w:pStyle w:val="TableText"/>
            </w:pPr>
            <w:r w:rsidRPr="001C29FC">
              <w:t>Invalidate Patient Test Results*</w:t>
            </w:r>
          </w:p>
        </w:tc>
        <w:tc>
          <w:tcPr>
            <w:tcW w:w="1442" w:type="dxa"/>
            <w:vMerge/>
            <w:shd w:val="clear" w:color="auto" w:fill="auto"/>
          </w:tcPr>
          <w:p w14:paraId="1CD97744" w14:textId="77777777" w:rsidR="00D32A05" w:rsidRPr="001C29FC" w:rsidRDefault="00D32A05" w:rsidP="00D32A05">
            <w:pPr>
              <w:pStyle w:val="TableText"/>
              <w:rPr>
                <w:color w:val="000000"/>
                <w:szCs w:val="18"/>
              </w:rPr>
            </w:pPr>
          </w:p>
        </w:tc>
        <w:tc>
          <w:tcPr>
            <w:tcW w:w="1633" w:type="dxa"/>
            <w:shd w:val="clear" w:color="auto" w:fill="auto"/>
          </w:tcPr>
          <w:p w14:paraId="5DC12339" w14:textId="77777777" w:rsidR="00D32A05" w:rsidRPr="001C29FC" w:rsidRDefault="00D32A05" w:rsidP="00D32A05">
            <w:pPr>
              <w:pStyle w:val="TableText"/>
              <w:rPr>
                <w:szCs w:val="18"/>
              </w:rPr>
            </w:pPr>
            <w:r w:rsidRPr="001C29FC">
              <w:rPr>
                <w:szCs w:val="18"/>
              </w:rPr>
              <w:t>P</w:t>
            </w:r>
          </w:p>
        </w:tc>
        <w:tc>
          <w:tcPr>
            <w:tcW w:w="4482" w:type="dxa"/>
            <w:shd w:val="clear" w:color="auto" w:fill="auto"/>
          </w:tcPr>
          <w:p w14:paraId="55713266" w14:textId="77777777" w:rsidR="00D32A05" w:rsidRPr="001C29FC" w:rsidRDefault="00D32A05" w:rsidP="00D32A05">
            <w:pPr>
              <w:pStyle w:val="TableText"/>
              <w:rPr>
                <w:szCs w:val="18"/>
              </w:rPr>
            </w:pPr>
            <w:r w:rsidRPr="001C29FC">
              <w:rPr>
                <w:szCs w:val="18"/>
              </w:rPr>
              <w:t>Accrue workload when a completed crossmatch test is invalidated. This applies to the workload originally saved with the test, serological Coombs.</w:t>
            </w:r>
          </w:p>
        </w:tc>
      </w:tr>
      <w:tr w:rsidR="00D32A05" w:rsidRPr="001C29FC" w14:paraId="744E086E" w14:textId="77777777" w:rsidTr="00D32A05">
        <w:trPr>
          <w:cantSplit/>
          <w:tblHeader/>
        </w:trPr>
        <w:tc>
          <w:tcPr>
            <w:tcW w:w="1803" w:type="dxa"/>
            <w:shd w:val="clear" w:color="auto" w:fill="auto"/>
            <w:vAlign w:val="bottom"/>
          </w:tcPr>
          <w:p w14:paraId="1851B273" w14:textId="77777777" w:rsidR="00D32A05" w:rsidRPr="001C29FC" w:rsidRDefault="00D32A05" w:rsidP="00D32A05">
            <w:pPr>
              <w:pStyle w:val="TableText"/>
            </w:pPr>
            <w:r w:rsidRPr="001C29FC">
              <w:t>Enter Crossmatch Results</w:t>
            </w:r>
          </w:p>
        </w:tc>
        <w:tc>
          <w:tcPr>
            <w:tcW w:w="1442" w:type="dxa"/>
            <w:vMerge w:val="restart"/>
            <w:shd w:val="clear" w:color="auto" w:fill="auto"/>
          </w:tcPr>
          <w:p w14:paraId="1137B355" w14:textId="77777777" w:rsidR="00D32A05" w:rsidRPr="001C29FC" w:rsidRDefault="00D32A05" w:rsidP="00D32A05">
            <w:pPr>
              <w:pStyle w:val="TableText"/>
              <w:rPr>
                <w:color w:val="000000"/>
                <w:szCs w:val="18"/>
              </w:rPr>
            </w:pPr>
            <w:r w:rsidRPr="001C29FC">
              <w:rPr>
                <w:color w:val="000000"/>
                <w:szCs w:val="18"/>
              </w:rPr>
              <w:t>Crossmatch, Repeat Test</w:t>
            </w:r>
          </w:p>
        </w:tc>
        <w:tc>
          <w:tcPr>
            <w:tcW w:w="1633" w:type="dxa"/>
            <w:shd w:val="clear" w:color="auto" w:fill="auto"/>
          </w:tcPr>
          <w:p w14:paraId="20E77748"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tcPr>
          <w:p w14:paraId="6AD7CFDC"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unit crossmatch is selected to include all phases or IS or only the AHG phase, is completed, and is saved. When multiple units are selected, each unit accrues workload.</w:t>
            </w:r>
          </w:p>
        </w:tc>
      </w:tr>
      <w:tr w:rsidR="00D32A05" w:rsidRPr="001C29FC" w14:paraId="61C51A0A" w14:textId="77777777" w:rsidTr="00D32A05">
        <w:trPr>
          <w:cantSplit/>
          <w:tblHeader/>
        </w:trPr>
        <w:tc>
          <w:tcPr>
            <w:tcW w:w="1803" w:type="dxa"/>
            <w:shd w:val="clear" w:color="auto" w:fill="auto"/>
            <w:vAlign w:val="bottom"/>
          </w:tcPr>
          <w:p w14:paraId="70A6582C" w14:textId="77777777" w:rsidR="00D32A05" w:rsidRPr="001C29FC" w:rsidRDefault="00D32A05" w:rsidP="00D32A05">
            <w:pPr>
              <w:pStyle w:val="TableText"/>
            </w:pPr>
            <w:r w:rsidRPr="001C29FC">
              <w:t>Invalidate Patient Test Results*</w:t>
            </w:r>
          </w:p>
        </w:tc>
        <w:tc>
          <w:tcPr>
            <w:tcW w:w="1442" w:type="dxa"/>
            <w:vMerge/>
            <w:shd w:val="clear" w:color="auto" w:fill="auto"/>
          </w:tcPr>
          <w:p w14:paraId="389185B3" w14:textId="77777777" w:rsidR="00D32A05" w:rsidRPr="001C29FC" w:rsidRDefault="00D32A05" w:rsidP="00D32A05">
            <w:pPr>
              <w:pStyle w:val="TableText"/>
              <w:rPr>
                <w:color w:val="000000"/>
                <w:szCs w:val="18"/>
              </w:rPr>
            </w:pPr>
          </w:p>
        </w:tc>
        <w:tc>
          <w:tcPr>
            <w:tcW w:w="1633" w:type="dxa"/>
            <w:shd w:val="clear" w:color="auto" w:fill="auto"/>
          </w:tcPr>
          <w:p w14:paraId="41C2E54A"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tcPr>
          <w:p w14:paraId="6CE329BD" w14:textId="77777777" w:rsidR="00D32A05" w:rsidRPr="001C29FC" w:rsidRDefault="00D32A05" w:rsidP="00D32A05">
            <w:pPr>
              <w:pStyle w:val="TableText"/>
              <w:rPr>
                <w:szCs w:val="18"/>
              </w:rPr>
            </w:pPr>
            <w:r w:rsidRPr="001C29FC">
              <w:rPr>
                <w:szCs w:val="18"/>
              </w:rPr>
              <w:t>Accrue workload when an individual unit crossmatch is invalidated.</w:t>
            </w:r>
          </w:p>
        </w:tc>
      </w:tr>
      <w:tr w:rsidR="00D32A05" w:rsidRPr="001C29FC" w14:paraId="42D1CB35" w14:textId="77777777" w:rsidTr="00D32A05">
        <w:trPr>
          <w:cantSplit/>
          <w:tblHeader/>
        </w:trPr>
        <w:tc>
          <w:tcPr>
            <w:tcW w:w="1803" w:type="dxa"/>
            <w:shd w:val="clear" w:color="auto" w:fill="auto"/>
            <w:vAlign w:val="bottom"/>
          </w:tcPr>
          <w:p w14:paraId="6184DE80" w14:textId="77777777" w:rsidR="00D32A05" w:rsidRPr="001C29FC" w:rsidRDefault="00D32A05" w:rsidP="00D32A05">
            <w:pPr>
              <w:pStyle w:val="TableText"/>
              <w:rPr>
                <w:szCs w:val="18"/>
              </w:rPr>
            </w:pPr>
            <w:r w:rsidRPr="001C29FC">
              <w:rPr>
                <w:snapToGrid w:val="0"/>
                <w:szCs w:val="18"/>
              </w:rPr>
              <w:t>Enter Daily QC Results</w:t>
            </w:r>
          </w:p>
        </w:tc>
        <w:tc>
          <w:tcPr>
            <w:tcW w:w="1442" w:type="dxa"/>
            <w:shd w:val="clear" w:color="auto" w:fill="auto"/>
          </w:tcPr>
          <w:p w14:paraId="4158D1C8" w14:textId="77777777" w:rsidR="00D32A05" w:rsidRPr="001C29FC" w:rsidRDefault="00D32A05" w:rsidP="00D32A05">
            <w:pPr>
              <w:pStyle w:val="TableText"/>
              <w:rPr>
                <w:color w:val="000000"/>
                <w:szCs w:val="18"/>
              </w:rPr>
            </w:pPr>
            <w:r w:rsidRPr="001C29FC">
              <w:rPr>
                <w:color w:val="000000"/>
                <w:szCs w:val="18"/>
              </w:rPr>
              <w:t>Daily Rack Quality Control (QC)</w:t>
            </w:r>
          </w:p>
        </w:tc>
        <w:tc>
          <w:tcPr>
            <w:tcW w:w="1633" w:type="dxa"/>
            <w:shd w:val="clear" w:color="auto" w:fill="auto"/>
          </w:tcPr>
          <w:p w14:paraId="0774B41C"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vAlign w:val="bottom"/>
          </w:tcPr>
          <w:p w14:paraId="232E5078" w14:textId="77777777" w:rsidR="00D32A05" w:rsidRPr="001C29FC" w:rsidRDefault="00D32A05" w:rsidP="00D32A05">
            <w:pPr>
              <w:pStyle w:val="TableText"/>
              <w:rPr>
                <w:szCs w:val="18"/>
              </w:rPr>
            </w:pPr>
            <w:r w:rsidRPr="001C29FC">
              <w:rPr>
                <w:szCs w:val="18"/>
              </w:rPr>
              <w:t xml:space="preserve">Accrue workload when </w:t>
            </w:r>
            <w:r w:rsidRPr="001C29FC">
              <w:rPr>
                <w:color w:val="000000"/>
                <w:szCs w:val="18"/>
              </w:rPr>
              <w:t>Daily QC rack completed for one individual rack includes all rows in configured QC. When multiple racks are tested, each completed and saved tab accrues a workload event.</w:t>
            </w:r>
          </w:p>
        </w:tc>
      </w:tr>
      <w:tr w:rsidR="00D32A05" w:rsidRPr="001C29FC" w14:paraId="02CD6797" w14:textId="77777777" w:rsidTr="00D32A05">
        <w:trPr>
          <w:cantSplit/>
          <w:tblHeader/>
        </w:trPr>
        <w:tc>
          <w:tcPr>
            <w:tcW w:w="1803" w:type="dxa"/>
            <w:shd w:val="clear" w:color="auto" w:fill="auto"/>
            <w:vAlign w:val="bottom"/>
          </w:tcPr>
          <w:p w14:paraId="056D9244" w14:textId="77777777" w:rsidR="00D32A05" w:rsidRPr="001C29FC" w:rsidRDefault="00D32A05" w:rsidP="00D32A05">
            <w:pPr>
              <w:pStyle w:val="TableText"/>
            </w:pPr>
            <w:r w:rsidRPr="001C29FC">
              <w:t>Record Patient Direct Antiglobulin Test</w:t>
            </w:r>
          </w:p>
        </w:tc>
        <w:tc>
          <w:tcPr>
            <w:tcW w:w="1442" w:type="dxa"/>
            <w:shd w:val="clear" w:color="auto" w:fill="auto"/>
          </w:tcPr>
          <w:p w14:paraId="5790DE4B" w14:textId="77777777" w:rsidR="00D32A05" w:rsidRPr="001C29FC" w:rsidRDefault="00D32A05" w:rsidP="00D32A05">
            <w:pPr>
              <w:pStyle w:val="TableText"/>
              <w:rPr>
                <w:color w:val="000000"/>
                <w:szCs w:val="18"/>
              </w:rPr>
            </w:pPr>
            <w:r w:rsidRPr="001C29FC">
              <w:rPr>
                <w:color w:val="000000"/>
                <w:szCs w:val="18"/>
              </w:rPr>
              <w:t>DAT (QC)</w:t>
            </w:r>
          </w:p>
        </w:tc>
        <w:tc>
          <w:tcPr>
            <w:tcW w:w="1633" w:type="dxa"/>
            <w:shd w:val="clear" w:color="auto" w:fill="auto"/>
          </w:tcPr>
          <w:p w14:paraId="6BACC7CC"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vAlign w:val="bottom"/>
          </w:tcPr>
          <w:p w14:paraId="5E79D42B" w14:textId="77777777" w:rsidR="00D32A05" w:rsidRPr="001C29FC" w:rsidRDefault="00D32A05" w:rsidP="00D32A05">
            <w:pPr>
              <w:pStyle w:val="TableText"/>
              <w:rPr>
                <w:szCs w:val="18"/>
              </w:rPr>
            </w:pPr>
            <w:r w:rsidRPr="001C29FC">
              <w:rPr>
                <w:szCs w:val="18"/>
              </w:rPr>
              <w:t xml:space="preserve">Accrue workload when </w:t>
            </w:r>
            <w:r w:rsidRPr="001C29FC">
              <w:rPr>
                <w:color w:val="000000"/>
                <w:szCs w:val="18"/>
              </w:rPr>
              <w:t>Reagent QC completed in Patient DAT testing includes the testing of both the positive and negative control cells, per specificity per lot number, when only one phase of reactivity is chosen for the test grid (IS or AHG). One workload event is collected per completed tab for regular or repeat antiglobulin tests (PS, IgG, Comp).</w:t>
            </w:r>
          </w:p>
        </w:tc>
      </w:tr>
      <w:tr w:rsidR="00D32A05" w:rsidRPr="001C29FC" w14:paraId="030E518F" w14:textId="77777777" w:rsidTr="00D32A05">
        <w:trPr>
          <w:cantSplit/>
          <w:tblHeader/>
        </w:trPr>
        <w:tc>
          <w:tcPr>
            <w:tcW w:w="1803" w:type="dxa"/>
            <w:shd w:val="clear" w:color="auto" w:fill="auto"/>
            <w:vAlign w:val="bottom"/>
          </w:tcPr>
          <w:p w14:paraId="1D0BC9E6" w14:textId="77777777" w:rsidR="00D32A05" w:rsidRPr="001C29FC" w:rsidRDefault="00D32A05" w:rsidP="00D32A05">
            <w:pPr>
              <w:pStyle w:val="TableText"/>
            </w:pPr>
            <w:r w:rsidRPr="001C29FC">
              <w:t>Record a Transfusion Reaction Workup</w:t>
            </w:r>
          </w:p>
        </w:tc>
        <w:tc>
          <w:tcPr>
            <w:tcW w:w="1442" w:type="dxa"/>
            <w:vMerge w:val="restart"/>
            <w:shd w:val="clear" w:color="auto" w:fill="auto"/>
          </w:tcPr>
          <w:p w14:paraId="684D3F51" w14:textId="77777777" w:rsidR="00D32A05" w:rsidRPr="001C29FC" w:rsidRDefault="00D32A05" w:rsidP="00D32A05">
            <w:pPr>
              <w:pStyle w:val="TableText"/>
              <w:rPr>
                <w:color w:val="000000"/>
                <w:szCs w:val="18"/>
              </w:rPr>
            </w:pPr>
            <w:r w:rsidRPr="001C29FC">
              <w:rPr>
                <w:color w:val="000000"/>
                <w:szCs w:val="18"/>
              </w:rPr>
              <w:t>Direct Antiglobulin Test (DAT)</w:t>
            </w:r>
          </w:p>
        </w:tc>
        <w:tc>
          <w:tcPr>
            <w:tcW w:w="1633" w:type="dxa"/>
            <w:shd w:val="clear" w:color="auto" w:fill="auto"/>
          </w:tcPr>
          <w:p w14:paraId="7682F132"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186C0526" w14:textId="77777777" w:rsidR="00D32A05" w:rsidRPr="001C29FC" w:rsidRDefault="00D32A05" w:rsidP="00D32A05">
            <w:pPr>
              <w:pStyle w:val="TableText"/>
              <w:rPr>
                <w:color w:val="000000"/>
                <w:szCs w:val="18"/>
              </w:rPr>
            </w:pPr>
            <w:r w:rsidRPr="001C29FC">
              <w:rPr>
                <w:color w:val="000000"/>
                <w:szCs w:val="18"/>
              </w:rPr>
              <w:t>A DAT test for “pre” or “post” is enabled and a valid interpretation other than Not Tested is selected. A workload event is accrued separately for “Pre” and “Post “entries.</w:t>
            </w:r>
          </w:p>
        </w:tc>
      </w:tr>
      <w:tr w:rsidR="00D32A05" w:rsidRPr="001C29FC" w14:paraId="7E2C13E8" w14:textId="77777777" w:rsidTr="00D32A05">
        <w:trPr>
          <w:cantSplit/>
          <w:tblHeader/>
        </w:trPr>
        <w:tc>
          <w:tcPr>
            <w:tcW w:w="1803" w:type="dxa"/>
            <w:shd w:val="clear" w:color="auto" w:fill="auto"/>
            <w:vAlign w:val="bottom"/>
          </w:tcPr>
          <w:p w14:paraId="575B8AC1" w14:textId="77777777" w:rsidR="00D32A05" w:rsidRPr="001C29FC" w:rsidRDefault="00D32A05" w:rsidP="00D32A05">
            <w:pPr>
              <w:pStyle w:val="TableText"/>
            </w:pPr>
            <w:r w:rsidRPr="001C29FC">
              <w:t>Record Patient Direct Antiglobulin Test</w:t>
            </w:r>
          </w:p>
        </w:tc>
        <w:tc>
          <w:tcPr>
            <w:tcW w:w="1442" w:type="dxa"/>
            <w:vMerge/>
            <w:shd w:val="clear" w:color="auto" w:fill="auto"/>
          </w:tcPr>
          <w:p w14:paraId="6DE6E39B" w14:textId="77777777" w:rsidR="00D32A05" w:rsidRPr="001C29FC" w:rsidRDefault="00D32A05" w:rsidP="00D32A05">
            <w:pPr>
              <w:pStyle w:val="TableText"/>
              <w:rPr>
                <w:color w:val="000000"/>
                <w:szCs w:val="18"/>
              </w:rPr>
            </w:pPr>
          </w:p>
        </w:tc>
        <w:tc>
          <w:tcPr>
            <w:tcW w:w="1633" w:type="dxa"/>
            <w:shd w:val="clear" w:color="auto" w:fill="auto"/>
          </w:tcPr>
          <w:p w14:paraId="4DB6ABD1"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73EA4A2A"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DAT is completed and saved. This count is used for all antiglobulin tests (PS, IgG, Comp) when ordered from CPRS or Reflex testing.</w:t>
            </w:r>
          </w:p>
        </w:tc>
      </w:tr>
      <w:tr w:rsidR="00D32A05" w:rsidRPr="001C29FC" w14:paraId="0875FCFC" w14:textId="77777777" w:rsidTr="00D32A05">
        <w:trPr>
          <w:cantSplit/>
          <w:tblHeader/>
        </w:trPr>
        <w:tc>
          <w:tcPr>
            <w:tcW w:w="1803" w:type="dxa"/>
            <w:shd w:val="clear" w:color="auto" w:fill="auto"/>
            <w:vAlign w:val="bottom"/>
          </w:tcPr>
          <w:p w14:paraId="7C04A5C9" w14:textId="77777777" w:rsidR="00D32A05" w:rsidRPr="001C29FC" w:rsidRDefault="00D32A05" w:rsidP="00D32A05">
            <w:pPr>
              <w:pStyle w:val="TableText"/>
            </w:pPr>
            <w:r w:rsidRPr="001C29FC">
              <w:t>Invalidate Patient Test Results*</w:t>
            </w:r>
          </w:p>
        </w:tc>
        <w:tc>
          <w:tcPr>
            <w:tcW w:w="1442" w:type="dxa"/>
            <w:vMerge/>
            <w:shd w:val="clear" w:color="auto" w:fill="auto"/>
          </w:tcPr>
          <w:p w14:paraId="59590F9F" w14:textId="77777777" w:rsidR="00D32A05" w:rsidRPr="001C29FC" w:rsidRDefault="00D32A05" w:rsidP="00D32A05">
            <w:pPr>
              <w:pStyle w:val="TableText"/>
              <w:rPr>
                <w:color w:val="000000"/>
                <w:szCs w:val="18"/>
              </w:rPr>
            </w:pPr>
          </w:p>
        </w:tc>
        <w:tc>
          <w:tcPr>
            <w:tcW w:w="1633" w:type="dxa"/>
            <w:shd w:val="clear" w:color="auto" w:fill="auto"/>
          </w:tcPr>
          <w:p w14:paraId="48B92D7D"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0312EF61" w14:textId="77777777" w:rsidR="00D32A05" w:rsidRPr="001C29FC" w:rsidRDefault="00D32A05" w:rsidP="00D32A05">
            <w:pPr>
              <w:pStyle w:val="TableText"/>
              <w:rPr>
                <w:szCs w:val="18"/>
              </w:rPr>
            </w:pPr>
            <w:r w:rsidRPr="001C29FC">
              <w:rPr>
                <w:szCs w:val="18"/>
              </w:rPr>
              <w:t xml:space="preserve">Accrue workload when a completed DAT, PS, IgG, or Comp is invalidated. </w:t>
            </w:r>
          </w:p>
        </w:tc>
      </w:tr>
      <w:tr w:rsidR="00D32A05" w:rsidRPr="001C29FC" w14:paraId="09999057" w14:textId="77777777" w:rsidTr="00D32A05">
        <w:trPr>
          <w:cantSplit/>
          <w:tblHeader/>
        </w:trPr>
        <w:tc>
          <w:tcPr>
            <w:tcW w:w="1803" w:type="dxa"/>
            <w:shd w:val="clear" w:color="auto" w:fill="auto"/>
            <w:vAlign w:val="bottom"/>
          </w:tcPr>
          <w:p w14:paraId="3177117D" w14:textId="77777777" w:rsidR="00D32A05" w:rsidRPr="001C29FC" w:rsidRDefault="00D32A05" w:rsidP="00D32A05">
            <w:pPr>
              <w:pStyle w:val="TableText"/>
            </w:pPr>
            <w:r w:rsidRPr="001C29FC">
              <w:t>Record Patient Direct Antiglobulin Test</w:t>
            </w:r>
          </w:p>
        </w:tc>
        <w:tc>
          <w:tcPr>
            <w:tcW w:w="1442" w:type="dxa"/>
            <w:vMerge w:val="restart"/>
            <w:shd w:val="clear" w:color="auto" w:fill="auto"/>
          </w:tcPr>
          <w:p w14:paraId="3FE6ACE3" w14:textId="77777777" w:rsidR="00D32A05" w:rsidRPr="001C29FC" w:rsidRDefault="00D32A05" w:rsidP="00D32A05">
            <w:pPr>
              <w:pStyle w:val="TableText"/>
              <w:rPr>
                <w:color w:val="000000"/>
                <w:szCs w:val="18"/>
              </w:rPr>
            </w:pPr>
            <w:r w:rsidRPr="001C29FC">
              <w:rPr>
                <w:color w:val="000000"/>
                <w:szCs w:val="18"/>
              </w:rPr>
              <w:t xml:space="preserve">Direct Antiglobulin </w:t>
            </w:r>
            <w:r w:rsidRPr="001C29FC">
              <w:rPr>
                <w:color w:val="000000"/>
                <w:szCs w:val="18"/>
              </w:rPr>
              <w:lastRenderedPageBreak/>
              <w:t>Test (DAT) Repeat test</w:t>
            </w:r>
          </w:p>
        </w:tc>
        <w:tc>
          <w:tcPr>
            <w:tcW w:w="1633" w:type="dxa"/>
            <w:shd w:val="clear" w:color="auto" w:fill="auto"/>
          </w:tcPr>
          <w:p w14:paraId="0F834BCF" w14:textId="77777777" w:rsidR="00D32A05" w:rsidRPr="001C29FC" w:rsidRDefault="00D32A05" w:rsidP="00D32A05">
            <w:pPr>
              <w:pStyle w:val="TableText"/>
              <w:rPr>
                <w:color w:val="000000"/>
                <w:szCs w:val="18"/>
              </w:rPr>
            </w:pPr>
            <w:r w:rsidRPr="001C29FC">
              <w:rPr>
                <w:color w:val="000000"/>
                <w:szCs w:val="18"/>
              </w:rPr>
              <w:lastRenderedPageBreak/>
              <w:t>M</w:t>
            </w:r>
          </w:p>
        </w:tc>
        <w:tc>
          <w:tcPr>
            <w:tcW w:w="4482" w:type="dxa"/>
            <w:shd w:val="clear" w:color="auto" w:fill="auto"/>
          </w:tcPr>
          <w:p w14:paraId="3AFFFCFF"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reflex or repeat DAT test is performed, completed, and saved. This applies to all repeat antiglobulin tests (PS, IgG, Comp).</w:t>
            </w:r>
          </w:p>
        </w:tc>
      </w:tr>
      <w:tr w:rsidR="00D32A05" w:rsidRPr="001C29FC" w14:paraId="13B1131C" w14:textId="77777777" w:rsidTr="00D32A05">
        <w:trPr>
          <w:cantSplit/>
          <w:tblHeader/>
        </w:trPr>
        <w:tc>
          <w:tcPr>
            <w:tcW w:w="1803" w:type="dxa"/>
            <w:shd w:val="clear" w:color="auto" w:fill="auto"/>
            <w:vAlign w:val="bottom"/>
          </w:tcPr>
          <w:p w14:paraId="63431AF1" w14:textId="77777777" w:rsidR="00D32A05" w:rsidRPr="001C29FC" w:rsidRDefault="00D32A05" w:rsidP="00D32A05">
            <w:pPr>
              <w:pStyle w:val="TableText"/>
            </w:pPr>
            <w:r w:rsidRPr="001C29FC">
              <w:lastRenderedPageBreak/>
              <w:t>Invalidate Patient Test Results*</w:t>
            </w:r>
          </w:p>
        </w:tc>
        <w:tc>
          <w:tcPr>
            <w:tcW w:w="1442" w:type="dxa"/>
            <w:vMerge/>
            <w:shd w:val="clear" w:color="auto" w:fill="auto"/>
          </w:tcPr>
          <w:p w14:paraId="206D7861" w14:textId="77777777" w:rsidR="00D32A05" w:rsidRPr="001C29FC" w:rsidRDefault="00D32A05" w:rsidP="00D32A05">
            <w:pPr>
              <w:pStyle w:val="TableText"/>
              <w:rPr>
                <w:color w:val="000000"/>
                <w:szCs w:val="18"/>
              </w:rPr>
            </w:pPr>
          </w:p>
        </w:tc>
        <w:tc>
          <w:tcPr>
            <w:tcW w:w="1633" w:type="dxa"/>
            <w:shd w:val="clear" w:color="auto" w:fill="auto"/>
          </w:tcPr>
          <w:p w14:paraId="22AFD923"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tcPr>
          <w:p w14:paraId="4F29DA85" w14:textId="77777777" w:rsidR="00D32A05" w:rsidRPr="001C29FC" w:rsidRDefault="00D32A05" w:rsidP="00D32A05">
            <w:pPr>
              <w:pStyle w:val="TableText"/>
              <w:rPr>
                <w:szCs w:val="18"/>
              </w:rPr>
            </w:pPr>
            <w:r w:rsidRPr="001C29FC">
              <w:rPr>
                <w:szCs w:val="18"/>
              </w:rPr>
              <w:t>Accrue workload when a completed Repeat DAT, PS, IgG, or Comp is invalidated.</w:t>
            </w:r>
          </w:p>
        </w:tc>
      </w:tr>
      <w:tr w:rsidR="00D32A05" w:rsidRPr="001C29FC" w14:paraId="6C1DF3E1" w14:textId="77777777" w:rsidTr="00D32A05">
        <w:trPr>
          <w:cantSplit/>
          <w:tblHeader/>
        </w:trPr>
        <w:tc>
          <w:tcPr>
            <w:tcW w:w="1803" w:type="dxa"/>
            <w:shd w:val="clear" w:color="auto" w:fill="auto"/>
            <w:vAlign w:val="bottom"/>
          </w:tcPr>
          <w:p w14:paraId="0B36D724" w14:textId="77777777" w:rsidR="00D32A05" w:rsidRPr="001C29FC" w:rsidRDefault="00D32A05" w:rsidP="00D32A05">
            <w:pPr>
              <w:pStyle w:val="TableText"/>
            </w:pPr>
            <w:r w:rsidRPr="001C29FC">
              <w:t>Modify Units</w:t>
            </w:r>
          </w:p>
        </w:tc>
        <w:tc>
          <w:tcPr>
            <w:tcW w:w="1442" w:type="dxa"/>
            <w:vMerge w:val="restart"/>
            <w:shd w:val="clear" w:color="auto" w:fill="auto"/>
          </w:tcPr>
          <w:p w14:paraId="51E83BDF" w14:textId="77777777" w:rsidR="00D32A05" w:rsidRPr="001C29FC" w:rsidRDefault="00D32A05" w:rsidP="00D32A05">
            <w:pPr>
              <w:pStyle w:val="TableText"/>
              <w:rPr>
                <w:color w:val="000000"/>
                <w:szCs w:val="18"/>
              </w:rPr>
            </w:pPr>
            <w:r w:rsidRPr="001C29FC">
              <w:rPr>
                <w:color w:val="000000"/>
                <w:szCs w:val="18"/>
              </w:rPr>
              <w:t>Deglycerolize unit</w:t>
            </w:r>
          </w:p>
        </w:tc>
        <w:tc>
          <w:tcPr>
            <w:tcW w:w="1633" w:type="dxa"/>
            <w:shd w:val="clear" w:color="auto" w:fill="auto"/>
          </w:tcPr>
          <w:p w14:paraId="554DB1E7"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20AEC73B"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blood unit is processed by the Deglycerolize modification type. Note: Workload is not accrued when a patient assignment is processed and VBECS releases all other patient assignments. Workload is not accrued when VBECS is required to quarantine the unit.</w:t>
            </w:r>
          </w:p>
        </w:tc>
      </w:tr>
      <w:tr w:rsidR="00D32A05" w:rsidRPr="001C29FC" w14:paraId="11D144B2" w14:textId="77777777" w:rsidTr="00D32A05">
        <w:trPr>
          <w:cantSplit/>
          <w:tblHeader/>
        </w:trPr>
        <w:tc>
          <w:tcPr>
            <w:tcW w:w="1803" w:type="dxa"/>
            <w:shd w:val="clear" w:color="auto" w:fill="auto"/>
            <w:vAlign w:val="bottom"/>
          </w:tcPr>
          <w:p w14:paraId="5421E996" w14:textId="77777777" w:rsidR="00D32A05" w:rsidRPr="001C29FC" w:rsidRDefault="00D32A05" w:rsidP="00D32A05">
            <w:pPr>
              <w:pStyle w:val="TableText"/>
            </w:pPr>
            <w:r w:rsidRPr="001C29FC">
              <w:t>Remove Final Status*</w:t>
            </w:r>
          </w:p>
        </w:tc>
        <w:tc>
          <w:tcPr>
            <w:tcW w:w="1442" w:type="dxa"/>
            <w:vMerge/>
            <w:shd w:val="clear" w:color="auto" w:fill="auto"/>
          </w:tcPr>
          <w:p w14:paraId="340AFA3B" w14:textId="77777777" w:rsidR="00D32A05" w:rsidRPr="001C29FC" w:rsidRDefault="00D32A05" w:rsidP="00D32A05">
            <w:pPr>
              <w:pStyle w:val="TableText"/>
              <w:rPr>
                <w:color w:val="000000"/>
                <w:szCs w:val="18"/>
              </w:rPr>
            </w:pPr>
          </w:p>
        </w:tc>
        <w:tc>
          <w:tcPr>
            <w:tcW w:w="1633" w:type="dxa"/>
            <w:shd w:val="clear" w:color="auto" w:fill="auto"/>
          </w:tcPr>
          <w:p w14:paraId="242E8200"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273E084D" w14:textId="77777777"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“Deglycerolize.”</w:t>
            </w:r>
          </w:p>
        </w:tc>
      </w:tr>
      <w:tr w:rsidR="00D32A05" w:rsidRPr="001C29FC" w14:paraId="09391075" w14:textId="77777777" w:rsidTr="00D32A05">
        <w:trPr>
          <w:cantSplit/>
          <w:tblHeader/>
        </w:trPr>
        <w:tc>
          <w:tcPr>
            <w:tcW w:w="1803" w:type="dxa"/>
            <w:shd w:val="clear" w:color="auto" w:fill="auto"/>
          </w:tcPr>
          <w:p w14:paraId="24452886" w14:textId="77777777" w:rsidR="00D32A05" w:rsidRPr="001C29FC" w:rsidRDefault="00D32A05" w:rsidP="00D32A05">
            <w:pPr>
              <w:pStyle w:val="TableText"/>
              <w:rPr>
                <w:color w:val="000000"/>
                <w:szCs w:val="18"/>
              </w:rPr>
            </w:pPr>
            <w:r w:rsidRPr="001C29FC">
              <w:rPr>
                <w:color w:val="000000"/>
                <w:szCs w:val="18"/>
              </w:rPr>
              <w:t>Discard or Quarantine Unit</w:t>
            </w:r>
          </w:p>
        </w:tc>
        <w:tc>
          <w:tcPr>
            <w:tcW w:w="1442" w:type="dxa"/>
            <w:vMerge w:val="restart"/>
            <w:shd w:val="clear" w:color="auto" w:fill="auto"/>
          </w:tcPr>
          <w:p w14:paraId="0C305794" w14:textId="77777777" w:rsidR="00D32A05" w:rsidRPr="001C29FC" w:rsidRDefault="00D32A05" w:rsidP="00D32A05">
            <w:pPr>
              <w:pStyle w:val="TableText"/>
              <w:rPr>
                <w:color w:val="000000"/>
                <w:szCs w:val="18"/>
              </w:rPr>
            </w:pPr>
            <w:r w:rsidRPr="001C29FC">
              <w:rPr>
                <w:color w:val="000000"/>
                <w:szCs w:val="18"/>
              </w:rPr>
              <w:t>Discard unit</w:t>
            </w:r>
          </w:p>
        </w:tc>
        <w:tc>
          <w:tcPr>
            <w:tcW w:w="1633" w:type="dxa"/>
            <w:shd w:val="clear" w:color="auto" w:fill="auto"/>
          </w:tcPr>
          <w:p w14:paraId="359C7367"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4E03F775" w14:textId="77777777" w:rsidR="00D32A05" w:rsidRPr="001C29FC" w:rsidRDefault="00770D73" w:rsidP="00D32A05">
            <w:pPr>
              <w:pStyle w:val="TableText"/>
              <w:rPr>
                <w:szCs w:val="18"/>
              </w:rPr>
            </w:pPr>
            <w:r w:rsidRPr="001C29FC">
              <w:rPr>
                <w:szCs w:val="18"/>
              </w:rPr>
              <w:t>Accrue workload when a</w:t>
            </w:r>
            <w:r w:rsidRPr="001C29FC">
              <w:rPr>
                <w:color w:val="000000"/>
                <w:szCs w:val="18"/>
              </w:rPr>
              <w:t xml:space="preserve"> unit is discarded for waste or credit. When a batch of units is selected, each unit accrues workload.</w:t>
            </w:r>
          </w:p>
        </w:tc>
      </w:tr>
      <w:tr w:rsidR="00D32A05" w:rsidRPr="001C29FC" w14:paraId="6C2A3574" w14:textId="77777777" w:rsidTr="00D32A05">
        <w:trPr>
          <w:cantSplit/>
          <w:tblHeader/>
        </w:trPr>
        <w:tc>
          <w:tcPr>
            <w:tcW w:w="1803" w:type="dxa"/>
            <w:shd w:val="clear" w:color="auto" w:fill="auto"/>
            <w:vAlign w:val="bottom"/>
          </w:tcPr>
          <w:p w14:paraId="6D3920E2" w14:textId="77777777" w:rsidR="00D32A05" w:rsidRPr="001C29FC" w:rsidRDefault="00D32A05" w:rsidP="00D32A05">
            <w:pPr>
              <w:pStyle w:val="TableText"/>
            </w:pPr>
            <w:r w:rsidRPr="001C29FC">
              <w:t>Remove Final Status*</w:t>
            </w:r>
          </w:p>
        </w:tc>
        <w:tc>
          <w:tcPr>
            <w:tcW w:w="1442" w:type="dxa"/>
            <w:vMerge/>
            <w:shd w:val="clear" w:color="auto" w:fill="auto"/>
          </w:tcPr>
          <w:p w14:paraId="43AF69C6" w14:textId="77777777" w:rsidR="00D32A05" w:rsidRPr="001C29FC" w:rsidRDefault="00D32A05" w:rsidP="00D32A05">
            <w:pPr>
              <w:pStyle w:val="TableText"/>
              <w:rPr>
                <w:color w:val="000000"/>
                <w:szCs w:val="18"/>
              </w:rPr>
            </w:pPr>
          </w:p>
        </w:tc>
        <w:tc>
          <w:tcPr>
            <w:tcW w:w="1633" w:type="dxa"/>
            <w:shd w:val="clear" w:color="auto" w:fill="auto"/>
          </w:tcPr>
          <w:p w14:paraId="3B79AB85"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45B5D7F2" w14:textId="77777777" w:rsidR="00D32A05" w:rsidRPr="001C29FC" w:rsidRDefault="00D32A05" w:rsidP="00D32A05">
            <w:pPr>
              <w:pStyle w:val="TableText"/>
              <w:rPr>
                <w:szCs w:val="18"/>
              </w:rPr>
            </w:pPr>
            <w:r w:rsidRPr="001C29FC">
              <w:rPr>
                <w:szCs w:val="18"/>
              </w:rPr>
              <w:t>Accrue workload when a</w:t>
            </w:r>
            <w:r w:rsidR="00770D73">
              <w:rPr>
                <w:color w:val="000000"/>
                <w:szCs w:val="18"/>
              </w:rPr>
              <w:t>n individual blood unit’s status is invalidated. When a batch of units is selected, each unit accrues workload.</w:t>
            </w:r>
          </w:p>
        </w:tc>
      </w:tr>
      <w:tr w:rsidR="00D32A05" w:rsidRPr="001C29FC" w14:paraId="2B535C34" w14:textId="77777777" w:rsidTr="00D32A05">
        <w:trPr>
          <w:cantSplit/>
          <w:tblHeader/>
        </w:trPr>
        <w:tc>
          <w:tcPr>
            <w:tcW w:w="1803" w:type="dxa"/>
            <w:shd w:val="clear" w:color="auto" w:fill="auto"/>
            <w:vAlign w:val="bottom"/>
          </w:tcPr>
          <w:p w14:paraId="2A519B7A" w14:textId="77777777" w:rsidR="00D32A05" w:rsidRPr="001C29FC" w:rsidRDefault="00D32A05" w:rsidP="00D32A05">
            <w:pPr>
              <w:pStyle w:val="TableText"/>
            </w:pPr>
            <w:r w:rsidRPr="001C29FC">
              <w:t>Modify Units</w:t>
            </w:r>
          </w:p>
        </w:tc>
        <w:tc>
          <w:tcPr>
            <w:tcW w:w="1442" w:type="dxa"/>
            <w:vMerge w:val="restart"/>
            <w:shd w:val="clear" w:color="auto" w:fill="auto"/>
          </w:tcPr>
          <w:p w14:paraId="17C6665F" w14:textId="77777777" w:rsidR="00D32A05" w:rsidRPr="001C29FC" w:rsidRDefault="00D32A05" w:rsidP="00D32A05">
            <w:pPr>
              <w:pStyle w:val="TableText"/>
              <w:rPr>
                <w:color w:val="000000"/>
                <w:szCs w:val="18"/>
              </w:rPr>
            </w:pPr>
            <w:r w:rsidRPr="001C29FC">
              <w:rPr>
                <w:color w:val="000000"/>
                <w:szCs w:val="18"/>
              </w:rPr>
              <w:t>Freeze unit</w:t>
            </w:r>
          </w:p>
        </w:tc>
        <w:tc>
          <w:tcPr>
            <w:tcW w:w="1633" w:type="dxa"/>
            <w:shd w:val="clear" w:color="auto" w:fill="auto"/>
          </w:tcPr>
          <w:p w14:paraId="31521631"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352A1AD0"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blood unit is processed by the Freeze modification type. Note: Workload is not accrued when a patient assignment is processed and VBECS releases all other patient assignments. Workload is not accrued when VBECS is required to quarantine the unit.</w:t>
            </w:r>
          </w:p>
        </w:tc>
      </w:tr>
      <w:tr w:rsidR="00D32A05" w:rsidRPr="001C29FC" w14:paraId="6B524452" w14:textId="77777777" w:rsidTr="00D32A05">
        <w:trPr>
          <w:cantSplit/>
          <w:tblHeader/>
        </w:trPr>
        <w:tc>
          <w:tcPr>
            <w:tcW w:w="1803" w:type="dxa"/>
            <w:shd w:val="clear" w:color="auto" w:fill="auto"/>
            <w:vAlign w:val="bottom"/>
          </w:tcPr>
          <w:p w14:paraId="38050B09" w14:textId="77777777" w:rsidR="00D32A05" w:rsidRPr="001C29FC" w:rsidRDefault="00D32A05" w:rsidP="00D32A05">
            <w:pPr>
              <w:pStyle w:val="TableText"/>
            </w:pPr>
            <w:r w:rsidRPr="001C29FC">
              <w:t>Remove Final Status*</w:t>
            </w:r>
          </w:p>
        </w:tc>
        <w:tc>
          <w:tcPr>
            <w:tcW w:w="1442" w:type="dxa"/>
            <w:vMerge/>
            <w:shd w:val="clear" w:color="auto" w:fill="auto"/>
          </w:tcPr>
          <w:p w14:paraId="3485316F" w14:textId="77777777" w:rsidR="00D32A05" w:rsidRPr="001C29FC" w:rsidRDefault="00D32A05" w:rsidP="00D32A05">
            <w:pPr>
              <w:pStyle w:val="TableText"/>
              <w:rPr>
                <w:color w:val="000000"/>
                <w:szCs w:val="18"/>
              </w:rPr>
            </w:pPr>
          </w:p>
        </w:tc>
        <w:tc>
          <w:tcPr>
            <w:tcW w:w="1633" w:type="dxa"/>
            <w:shd w:val="clear" w:color="auto" w:fill="auto"/>
          </w:tcPr>
          <w:p w14:paraId="74C64F01"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76D1D7D7" w14:textId="77777777"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“Freeze.”</w:t>
            </w:r>
          </w:p>
        </w:tc>
      </w:tr>
      <w:tr w:rsidR="00D32A05" w:rsidRPr="001C29FC" w14:paraId="5681BB3D" w14:textId="77777777" w:rsidTr="00D32A05">
        <w:trPr>
          <w:cantSplit/>
          <w:tblHeader/>
        </w:trPr>
        <w:tc>
          <w:tcPr>
            <w:tcW w:w="1803" w:type="dxa"/>
            <w:shd w:val="clear" w:color="auto" w:fill="auto"/>
            <w:vAlign w:val="bottom"/>
          </w:tcPr>
          <w:p w14:paraId="4E13E950" w14:textId="77777777" w:rsidR="00D32A05" w:rsidRPr="001C29FC" w:rsidRDefault="00D32A05" w:rsidP="00D32A05">
            <w:pPr>
              <w:pStyle w:val="TableText"/>
            </w:pPr>
            <w:r w:rsidRPr="001C29FC">
              <w:t>Modify Units</w:t>
            </w:r>
          </w:p>
        </w:tc>
        <w:tc>
          <w:tcPr>
            <w:tcW w:w="1442" w:type="dxa"/>
            <w:vMerge w:val="restart"/>
            <w:shd w:val="clear" w:color="auto" w:fill="auto"/>
          </w:tcPr>
          <w:p w14:paraId="6CEA6EB6" w14:textId="77777777" w:rsidR="00D32A05" w:rsidRPr="001C29FC" w:rsidRDefault="00D32A05" w:rsidP="00D32A05">
            <w:pPr>
              <w:pStyle w:val="TableText"/>
              <w:rPr>
                <w:color w:val="000000"/>
                <w:szCs w:val="18"/>
              </w:rPr>
            </w:pPr>
            <w:r w:rsidRPr="001C29FC">
              <w:rPr>
                <w:color w:val="000000"/>
                <w:szCs w:val="18"/>
              </w:rPr>
              <w:t>Irradiate unit</w:t>
            </w:r>
          </w:p>
        </w:tc>
        <w:tc>
          <w:tcPr>
            <w:tcW w:w="1633" w:type="dxa"/>
            <w:shd w:val="clear" w:color="auto" w:fill="auto"/>
          </w:tcPr>
          <w:p w14:paraId="78A63559"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1B5993A4"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blood unit is processed by the Irradiate modification type. When a batch of units is irradiated, each unit accrues workload. Note: Workload is not accrued when a patient assignment is processed and VBECS releases all other patient assignments. Workload is not accrued when VBECS is required to quarantine the unit.</w:t>
            </w:r>
          </w:p>
        </w:tc>
      </w:tr>
      <w:tr w:rsidR="00D32A05" w:rsidRPr="001C29FC" w14:paraId="510E5F80" w14:textId="77777777" w:rsidTr="00D32A05">
        <w:trPr>
          <w:cantSplit/>
          <w:tblHeader/>
        </w:trPr>
        <w:tc>
          <w:tcPr>
            <w:tcW w:w="1803" w:type="dxa"/>
            <w:shd w:val="clear" w:color="auto" w:fill="auto"/>
            <w:vAlign w:val="bottom"/>
          </w:tcPr>
          <w:p w14:paraId="49F909FF" w14:textId="77777777" w:rsidR="00D32A05" w:rsidRPr="001C29FC" w:rsidRDefault="00D32A05" w:rsidP="00D32A05">
            <w:pPr>
              <w:pStyle w:val="TableText"/>
            </w:pPr>
            <w:r w:rsidRPr="001C29FC">
              <w:t>Remove Final Status*</w:t>
            </w:r>
          </w:p>
        </w:tc>
        <w:tc>
          <w:tcPr>
            <w:tcW w:w="1442" w:type="dxa"/>
            <w:vMerge/>
            <w:shd w:val="clear" w:color="auto" w:fill="auto"/>
          </w:tcPr>
          <w:p w14:paraId="7201589F" w14:textId="77777777" w:rsidR="00D32A05" w:rsidRPr="001C29FC" w:rsidRDefault="00D32A05" w:rsidP="00D32A05">
            <w:pPr>
              <w:pStyle w:val="TableText"/>
              <w:rPr>
                <w:color w:val="000000"/>
                <w:szCs w:val="18"/>
              </w:rPr>
            </w:pPr>
          </w:p>
        </w:tc>
        <w:tc>
          <w:tcPr>
            <w:tcW w:w="1633" w:type="dxa"/>
            <w:shd w:val="clear" w:color="auto" w:fill="auto"/>
          </w:tcPr>
          <w:p w14:paraId="38B1B590"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148F1B13" w14:textId="77777777"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“Irradiate.”</w:t>
            </w:r>
          </w:p>
        </w:tc>
      </w:tr>
      <w:tr w:rsidR="00D32A05" w:rsidRPr="001C29FC" w14:paraId="3DA829A9" w14:textId="77777777" w:rsidTr="00D32A05">
        <w:trPr>
          <w:cantSplit/>
          <w:tblHeader/>
        </w:trPr>
        <w:tc>
          <w:tcPr>
            <w:tcW w:w="1803" w:type="dxa"/>
            <w:shd w:val="clear" w:color="auto" w:fill="auto"/>
            <w:vAlign w:val="bottom"/>
          </w:tcPr>
          <w:p w14:paraId="2F7282CC" w14:textId="77777777" w:rsidR="00D32A05" w:rsidRPr="001C29FC" w:rsidRDefault="00D32A05" w:rsidP="00D32A05">
            <w:pPr>
              <w:pStyle w:val="TableText"/>
            </w:pPr>
            <w:r w:rsidRPr="001C29FC">
              <w:t>Modify Units</w:t>
            </w:r>
          </w:p>
        </w:tc>
        <w:tc>
          <w:tcPr>
            <w:tcW w:w="1442" w:type="dxa"/>
            <w:vMerge w:val="restart"/>
            <w:shd w:val="clear" w:color="auto" w:fill="auto"/>
          </w:tcPr>
          <w:p w14:paraId="5710A905" w14:textId="77777777" w:rsidR="00D32A05" w:rsidRPr="001C29FC" w:rsidRDefault="00D32A05" w:rsidP="00D32A05">
            <w:pPr>
              <w:pStyle w:val="TableText"/>
              <w:rPr>
                <w:color w:val="000000"/>
                <w:szCs w:val="18"/>
              </w:rPr>
            </w:pPr>
            <w:r w:rsidRPr="001C29FC">
              <w:rPr>
                <w:color w:val="000000"/>
                <w:szCs w:val="18"/>
              </w:rPr>
              <w:t>Leukoreduce unit</w:t>
            </w:r>
          </w:p>
        </w:tc>
        <w:tc>
          <w:tcPr>
            <w:tcW w:w="1633" w:type="dxa"/>
            <w:shd w:val="clear" w:color="auto" w:fill="auto"/>
          </w:tcPr>
          <w:p w14:paraId="353107A6"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34FF352F"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blood unit is processed by the Leukoreduce modification type.</w:t>
            </w:r>
            <w:r w:rsidRPr="001C29FC">
              <w:rPr>
                <w:color w:val="000000"/>
                <w:szCs w:val="18"/>
              </w:rPr>
              <w:br/>
              <w:t>Note: Workload is not accrued when a patient assignment is processed and VBECS releases all other patient assignments. Workload is not accrued when VBECS is required to quarantine the unit.</w:t>
            </w:r>
          </w:p>
        </w:tc>
      </w:tr>
      <w:tr w:rsidR="00D32A05" w:rsidRPr="001C29FC" w14:paraId="2F2A61DA" w14:textId="77777777" w:rsidTr="00D32A05">
        <w:trPr>
          <w:cantSplit/>
          <w:tblHeader/>
        </w:trPr>
        <w:tc>
          <w:tcPr>
            <w:tcW w:w="1803" w:type="dxa"/>
            <w:shd w:val="clear" w:color="auto" w:fill="auto"/>
            <w:vAlign w:val="bottom"/>
          </w:tcPr>
          <w:p w14:paraId="77530D36" w14:textId="77777777" w:rsidR="00D32A05" w:rsidRPr="001C29FC" w:rsidRDefault="00D32A05" w:rsidP="00D32A05">
            <w:pPr>
              <w:pStyle w:val="TableText"/>
            </w:pPr>
            <w:r w:rsidRPr="001C29FC">
              <w:t>Remove Final Status*</w:t>
            </w:r>
          </w:p>
        </w:tc>
        <w:tc>
          <w:tcPr>
            <w:tcW w:w="1442" w:type="dxa"/>
            <w:vMerge/>
            <w:shd w:val="clear" w:color="auto" w:fill="auto"/>
          </w:tcPr>
          <w:p w14:paraId="482EC222" w14:textId="77777777" w:rsidR="00D32A05" w:rsidRPr="001C29FC" w:rsidRDefault="00D32A05" w:rsidP="00D32A05">
            <w:pPr>
              <w:pStyle w:val="TableText"/>
              <w:rPr>
                <w:color w:val="000000"/>
                <w:szCs w:val="18"/>
              </w:rPr>
            </w:pPr>
          </w:p>
        </w:tc>
        <w:tc>
          <w:tcPr>
            <w:tcW w:w="1633" w:type="dxa"/>
            <w:shd w:val="clear" w:color="auto" w:fill="auto"/>
          </w:tcPr>
          <w:p w14:paraId="44DA7362"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0B895910" w14:textId="77777777"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“Leukoreduce.”</w:t>
            </w:r>
          </w:p>
        </w:tc>
      </w:tr>
      <w:tr w:rsidR="00D32A05" w:rsidRPr="001C29FC" w14:paraId="7EA4C4C8" w14:textId="77777777" w:rsidTr="00D32A05">
        <w:trPr>
          <w:cantSplit/>
          <w:tblHeader/>
        </w:trPr>
        <w:tc>
          <w:tcPr>
            <w:tcW w:w="1803" w:type="dxa"/>
            <w:shd w:val="clear" w:color="auto" w:fill="auto"/>
            <w:vAlign w:val="bottom"/>
          </w:tcPr>
          <w:p w14:paraId="07F8B407" w14:textId="77777777" w:rsidR="00D32A05" w:rsidRPr="001C29FC" w:rsidRDefault="00D32A05" w:rsidP="00D32A05">
            <w:pPr>
              <w:pStyle w:val="TableText"/>
            </w:pPr>
            <w:r w:rsidRPr="001C29FC">
              <w:t>Split a Unit</w:t>
            </w:r>
          </w:p>
        </w:tc>
        <w:tc>
          <w:tcPr>
            <w:tcW w:w="1442" w:type="dxa"/>
            <w:vMerge w:val="restart"/>
            <w:shd w:val="clear" w:color="auto" w:fill="auto"/>
          </w:tcPr>
          <w:p w14:paraId="6B1F1D1F" w14:textId="77777777" w:rsidR="00D32A05" w:rsidRPr="001C29FC" w:rsidRDefault="00D32A05" w:rsidP="00D32A05">
            <w:pPr>
              <w:pStyle w:val="TableText"/>
              <w:rPr>
                <w:color w:val="000000"/>
                <w:szCs w:val="18"/>
              </w:rPr>
            </w:pPr>
            <w:r w:rsidRPr="001C29FC">
              <w:rPr>
                <w:color w:val="000000"/>
                <w:szCs w:val="18"/>
              </w:rPr>
              <w:t>Split unit</w:t>
            </w:r>
          </w:p>
        </w:tc>
        <w:tc>
          <w:tcPr>
            <w:tcW w:w="1633" w:type="dxa"/>
            <w:shd w:val="clear" w:color="auto" w:fill="auto"/>
          </w:tcPr>
          <w:p w14:paraId="23AD3163"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464C7802" w14:textId="77777777" w:rsidR="00D32A05" w:rsidRPr="001C29FC" w:rsidRDefault="00D32A05" w:rsidP="00D32A05">
            <w:pPr>
              <w:pStyle w:val="TableText"/>
              <w:rPr>
                <w:szCs w:val="18"/>
              </w:rPr>
            </w:pPr>
            <w:r w:rsidRPr="001C29FC">
              <w:rPr>
                <w:szCs w:val="18"/>
              </w:rPr>
              <w:t xml:space="preserve">Accrue workload when a </w:t>
            </w:r>
            <w:r w:rsidRPr="001C29FC">
              <w:rPr>
                <w:color w:val="000000"/>
                <w:szCs w:val="18"/>
              </w:rPr>
              <w:t>unit modification of Split and a single workload event is recorded regardless of the number of units created by the modification.</w:t>
            </w:r>
            <w:r w:rsidRPr="001C29FC">
              <w:rPr>
                <w:i/>
                <w:iCs/>
                <w:color w:val="000000"/>
                <w:szCs w:val="18"/>
              </w:rPr>
              <w:t xml:space="preserve"> </w:t>
            </w:r>
            <w:r w:rsidRPr="001C29FC">
              <w:rPr>
                <w:iCs/>
                <w:color w:val="000000"/>
                <w:szCs w:val="18"/>
              </w:rPr>
              <w:t xml:space="preserve">Note: Workload is not accrued when a patient assignment is processed and VBECS releases all other patient assignments. Workload is not accrued when VBECS is required to quarantine the unit. </w:t>
            </w:r>
          </w:p>
        </w:tc>
      </w:tr>
      <w:tr w:rsidR="00D32A05" w:rsidRPr="001C29FC" w14:paraId="6BD4DEC1" w14:textId="77777777" w:rsidTr="00D32A05">
        <w:trPr>
          <w:cantSplit/>
          <w:tblHeader/>
        </w:trPr>
        <w:tc>
          <w:tcPr>
            <w:tcW w:w="1803" w:type="dxa"/>
            <w:shd w:val="clear" w:color="auto" w:fill="auto"/>
            <w:vAlign w:val="bottom"/>
          </w:tcPr>
          <w:p w14:paraId="121E279E" w14:textId="77777777" w:rsidR="00D32A05" w:rsidRPr="001C29FC" w:rsidRDefault="00D32A05" w:rsidP="00D32A05">
            <w:pPr>
              <w:pStyle w:val="TableText"/>
            </w:pPr>
            <w:r w:rsidRPr="001C29FC">
              <w:lastRenderedPageBreak/>
              <w:t>Remove Final Status*</w:t>
            </w:r>
          </w:p>
        </w:tc>
        <w:tc>
          <w:tcPr>
            <w:tcW w:w="1442" w:type="dxa"/>
            <w:vMerge/>
            <w:shd w:val="clear" w:color="auto" w:fill="auto"/>
          </w:tcPr>
          <w:p w14:paraId="29E28EB9" w14:textId="77777777" w:rsidR="00D32A05" w:rsidRPr="001C29FC" w:rsidRDefault="00D32A05" w:rsidP="00D32A05">
            <w:pPr>
              <w:pStyle w:val="TableText"/>
              <w:rPr>
                <w:color w:val="000000"/>
                <w:szCs w:val="18"/>
              </w:rPr>
            </w:pPr>
          </w:p>
        </w:tc>
        <w:tc>
          <w:tcPr>
            <w:tcW w:w="1633" w:type="dxa"/>
            <w:shd w:val="clear" w:color="auto" w:fill="auto"/>
          </w:tcPr>
          <w:p w14:paraId="738A1D21"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148C7799" w14:textId="77777777" w:rsidR="00D32A05" w:rsidRPr="001C29FC" w:rsidRDefault="00D32A05" w:rsidP="00D32A05">
            <w:pPr>
              <w:pStyle w:val="TableText"/>
              <w:rPr>
                <w:color w:val="000000"/>
                <w:szCs w:val="18"/>
              </w:rPr>
            </w:pPr>
            <w:r w:rsidRPr="001C29FC">
              <w:rPr>
                <w:color w:val="000000"/>
                <w:szCs w:val="18"/>
              </w:rPr>
              <w:t>A Split Unit has its unit status invalidated. A single workload event is recorded regardless of the number of units originally created by the modification.</w:t>
            </w:r>
          </w:p>
        </w:tc>
      </w:tr>
      <w:tr w:rsidR="00D32A05" w:rsidRPr="001C29FC" w14:paraId="1932BBEE" w14:textId="77777777" w:rsidTr="00D32A05">
        <w:trPr>
          <w:cantSplit/>
          <w:tblHeader/>
        </w:trPr>
        <w:tc>
          <w:tcPr>
            <w:tcW w:w="1803" w:type="dxa"/>
            <w:shd w:val="clear" w:color="auto" w:fill="auto"/>
            <w:vAlign w:val="bottom"/>
          </w:tcPr>
          <w:p w14:paraId="60727877" w14:textId="77777777" w:rsidR="00D32A05" w:rsidRPr="001C29FC" w:rsidRDefault="00D32A05" w:rsidP="00D32A05">
            <w:pPr>
              <w:pStyle w:val="TableText"/>
            </w:pPr>
            <w:r w:rsidRPr="001C29FC">
              <w:t>Modify Units</w:t>
            </w:r>
          </w:p>
        </w:tc>
        <w:tc>
          <w:tcPr>
            <w:tcW w:w="1442" w:type="dxa"/>
            <w:vMerge w:val="restart"/>
            <w:shd w:val="clear" w:color="auto" w:fill="auto"/>
          </w:tcPr>
          <w:p w14:paraId="22844BDE" w14:textId="77777777" w:rsidR="00D32A05" w:rsidRPr="001C29FC" w:rsidRDefault="00D32A05" w:rsidP="00D32A05">
            <w:pPr>
              <w:pStyle w:val="TableText"/>
              <w:rPr>
                <w:color w:val="000000"/>
                <w:szCs w:val="18"/>
              </w:rPr>
            </w:pPr>
            <w:r w:rsidRPr="001C29FC">
              <w:rPr>
                <w:color w:val="000000"/>
                <w:szCs w:val="18"/>
              </w:rPr>
              <w:t>Rejuvenate unit</w:t>
            </w:r>
          </w:p>
        </w:tc>
        <w:tc>
          <w:tcPr>
            <w:tcW w:w="1633" w:type="dxa"/>
            <w:shd w:val="clear" w:color="auto" w:fill="auto"/>
          </w:tcPr>
          <w:p w14:paraId="485F46EF"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0A311D03"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blood unit is processed by the Rejuvenate modification type. </w:t>
            </w:r>
            <w:r w:rsidRPr="001C29FC">
              <w:rPr>
                <w:color w:val="000000"/>
                <w:szCs w:val="18"/>
              </w:rPr>
              <w:br/>
              <w:t>Note: Workload is not accrued when a patient assignment is processed and VBECS releases all other patient assignments. Workload is not accrued when VBECS is required to quarantine the unit.</w:t>
            </w:r>
          </w:p>
        </w:tc>
      </w:tr>
      <w:tr w:rsidR="00D32A05" w:rsidRPr="001C29FC" w14:paraId="39B0F9AD" w14:textId="77777777" w:rsidTr="00D32A05">
        <w:trPr>
          <w:cantSplit/>
          <w:tblHeader/>
        </w:trPr>
        <w:tc>
          <w:tcPr>
            <w:tcW w:w="1803" w:type="dxa"/>
            <w:shd w:val="clear" w:color="auto" w:fill="auto"/>
            <w:vAlign w:val="bottom"/>
          </w:tcPr>
          <w:p w14:paraId="4A606A02" w14:textId="77777777" w:rsidR="00D32A05" w:rsidRPr="001C29FC" w:rsidRDefault="00D32A05" w:rsidP="00D32A05">
            <w:pPr>
              <w:pStyle w:val="TableText"/>
            </w:pPr>
            <w:r w:rsidRPr="001C29FC">
              <w:t>Remove Final Status*</w:t>
            </w:r>
          </w:p>
        </w:tc>
        <w:tc>
          <w:tcPr>
            <w:tcW w:w="1442" w:type="dxa"/>
            <w:vMerge/>
            <w:shd w:val="clear" w:color="auto" w:fill="auto"/>
          </w:tcPr>
          <w:p w14:paraId="6FCFB2AE" w14:textId="77777777" w:rsidR="00D32A05" w:rsidRPr="001C29FC" w:rsidRDefault="00D32A05" w:rsidP="00D32A05">
            <w:pPr>
              <w:pStyle w:val="TableText"/>
              <w:rPr>
                <w:color w:val="000000"/>
                <w:szCs w:val="18"/>
              </w:rPr>
            </w:pPr>
          </w:p>
        </w:tc>
        <w:tc>
          <w:tcPr>
            <w:tcW w:w="1633" w:type="dxa"/>
            <w:shd w:val="clear" w:color="auto" w:fill="auto"/>
          </w:tcPr>
          <w:p w14:paraId="0E06A2E4"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2FA3CB0A" w14:textId="77777777"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“Rejuvenate. “</w:t>
            </w:r>
          </w:p>
        </w:tc>
      </w:tr>
      <w:tr w:rsidR="00D32A05" w:rsidRPr="001C29FC" w14:paraId="735BEE58" w14:textId="77777777" w:rsidTr="00D32A05">
        <w:trPr>
          <w:cantSplit/>
          <w:tblHeader/>
        </w:trPr>
        <w:tc>
          <w:tcPr>
            <w:tcW w:w="1803" w:type="dxa"/>
            <w:shd w:val="clear" w:color="auto" w:fill="auto"/>
            <w:vAlign w:val="bottom"/>
          </w:tcPr>
          <w:p w14:paraId="556740C8" w14:textId="77777777" w:rsidR="00D32A05" w:rsidRPr="001C29FC" w:rsidRDefault="00D32A05" w:rsidP="00D32A05">
            <w:pPr>
              <w:pStyle w:val="TableText"/>
            </w:pPr>
            <w:r w:rsidRPr="001C29FC">
              <w:t>Modify Units</w:t>
            </w:r>
          </w:p>
        </w:tc>
        <w:tc>
          <w:tcPr>
            <w:tcW w:w="1442" w:type="dxa"/>
            <w:vMerge w:val="restart"/>
            <w:shd w:val="clear" w:color="auto" w:fill="auto"/>
          </w:tcPr>
          <w:p w14:paraId="752D17D0" w14:textId="77777777" w:rsidR="00D32A05" w:rsidRPr="001C29FC" w:rsidRDefault="00D32A05" w:rsidP="00D32A05">
            <w:pPr>
              <w:pStyle w:val="TableText"/>
              <w:rPr>
                <w:color w:val="000000"/>
                <w:szCs w:val="18"/>
              </w:rPr>
            </w:pPr>
            <w:r w:rsidRPr="001C29FC">
              <w:rPr>
                <w:color w:val="000000"/>
                <w:szCs w:val="18"/>
              </w:rPr>
              <w:t xml:space="preserve">Thaw </w:t>
            </w:r>
          </w:p>
        </w:tc>
        <w:tc>
          <w:tcPr>
            <w:tcW w:w="1633" w:type="dxa"/>
            <w:shd w:val="clear" w:color="auto" w:fill="auto"/>
          </w:tcPr>
          <w:p w14:paraId="5DF77AA0"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7A2833E6"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blood unit is processed by the Thaw modification type. When a batch of units is thawed, each unit accrues workload. This applies to Thaw FFP and Thaw Cryo. Note: Workload is not accrued when a patient assignment is processed and VBECS releases all other patient assignments. Workload is not accrued when VBECS is required to quarantine the unit.</w:t>
            </w:r>
          </w:p>
        </w:tc>
      </w:tr>
      <w:tr w:rsidR="00D32A05" w:rsidRPr="001C29FC" w14:paraId="364A5A4D" w14:textId="77777777" w:rsidTr="00D32A05">
        <w:trPr>
          <w:cantSplit/>
          <w:tblHeader/>
        </w:trPr>
        <w:tc>
          <w:tcPr>
            <w:tcW w:w="1803" w:type="dxa"/>
            <w:shd w:val="clear" w:color="auto" w:fill="auto"/>
            <w:vAlign w:val="bottom"/>
          </w:tcPr>
          <w:p w14:paraId="28D3A679" w14:textId="77777777" w:rsidR="00D32A05" w:rsidRPr="001C29FC" w:rsidRDefault="00D32A05" w:rsidP="00D32A05">
            <w:pPr>
              <w:pStyle w:val="TableText"/>
            </w:pPr>
            <w:r w:rsidRPr="001C29FC">
              <w:t>Remove Final Status*</w:t>
            </w:r>
          </w:p>
        </w:tc>
        <w:tc>
          <w:tcPr>
            <w:tcW w:w="1442" w:type="dxa"/>
            <w:vMerge/>
            <w:shd w:val="clear" w:color="auto" w:fill="auto"/>
          </w:tcPr>
          <w:p w14:paraId="5AA63736" w14:textId="77777777" w:rsidR="00D32A05" w:rsidRPr="001C29FC" w:rsidRDefault="00D32A05" w:rsidP="00D32A05">
            <w:pPr>
              <w:pStyle w:val="TableText"/>
              <w:rPr>
                <w:color w:val="000000"/>
                <w:szCs w:val="18"/>
              </w:rPr>
            </w:pPr>
          </w:p>
        </w:tc>
        <w:tc>
          <w:tcPr>
            <w:tcW w:w="1633" w:type="dxa"/>
            <w:shd w:val="clear" w:color="auto" w:fill="auto"/>
          </w:tcPr>
          <w:p w14:paraId="35A108DB"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7DDD8528" w14:textId="77777777"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“Thaw.” This modification type is applicable to Thaw FFP and Thaw Cryo.</w:t>
            </w:r>
          </w:p>
        </w:tc>
      </w:tr>
      <w:tr w:rsidR="00D32A05" w:rsidRPr="001C29FC" w14:paraId="00D0AFDD" w14:textId="77777777" w:rsidTr="00D32A05">
        <w:trPr>
          <w:cantSplit/>
          <w:tblHeader/>
        </w:trPr>
        <w:tc>
          <w:tcPr>
            <w:tcW w:w="1803" w:type="dxa"/>
            <w:shd w:val="clear" w:color="auto" w:fill="auto"/>
            <w:vAlign w:val="bottom"/>
          </w:tcPr>
          <w:p w14:paraId="5D76FEBB" w14:textId="77777777" w:rsidR="00D32A05" w:rsidRPr="001C29FC" w:rsidRDefault="00D32A05" w:rsidP="00D32A05">
            <w:pPr>
              <w:pStyle w:val="TableText"/>
            </w:pPr>
            <w:r w:rsidRPr="001C29FC">
              <w:t>Modify Units</w:t>
            </w:r>
          </w:p>
        </w:tc>
        <w:tc>
          <w:tcPr>
            <w:tcW w:w="1442" w:type="dxa"/>
            <w:vMerge w:val="restart"/>
            <w:shd w:val="clear" w:color="auto" w:fill="auto"/>
          </w:tcPr>
          <w:p w14:paraId="39174611" w14:textId="77777777" w:rsidR="00D32A05" w:rsidRPr="001C29FC" w:rsidRDefault="00D32A05" w:rsidP="00D32A05">
            <w:pPr>
              <w:pStyle w:val="TableText"/>
              <w:rPr>
                <w:color w:val="000000"/>
                <w:szCs w:val="18"/>
              </w:rPr>
            </w:pPr>
            <w:r w:rsidRPr="001C29FC">
              <w:rPr>
                <w:color w:val="000000"/>
                <w:szCs w:val="18"/>
              </w:rPr>
              <w:t>Wash unit</w:t>
            </w:r>
          </w:p>
        </w:tc>
        <w:tc>
          <w:tcPr>
            <w:tcW w:w="1633" w:type="dxa"/>
            <w:shd w:val="clear" w:color="auto" w:fill="auto"/>
          </w:tcPr>
          <w:p w14:paraId="4CE7D6DD"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752AAA35" w14:textId="77777777" w:rsidR="00D32A05" w:rsidRPr="001C29FC" w:rsidRDefault="00D32A05" w:rsidP="00D32A05">
            <w:pPr>
              <w:pStyle w:val="TableText"/>
              <w:rPr>
                <w:szCs w:val="18"/>
              </w:rPr>
            </w:pPr>
            <w:r w:rsidRPr="001C29FC">
              <w:rPr>
                <w:szCs w:val="18"/>
              </w:rPr>
              <w:t>Accrue workload when a</w:t>
            </w:r>
            <w:r w:rsidRPr="001C29FC">
              <w:rPr>
                <w:color w:val="000000"/>
                <w:szCs w:val="18"/>
              </w:rPr>
              <w:t>n individual blood unit is processed by the Wash modification type. Note: Workload is not accrued when a patient assignment is processed and VBECS releases all other patient assignments. Workload is not accrued when VBECS is required to quarantine the unit.</w:t>
            </w:r>
          </w:p>
        </w:tc>
      </w:tr>
      <w:tr w:rsidR="00D32A05" w:rsidRPr="001C29FC" w14:paraId="6C6B9973" w14:textId="77777777" w:rsidTr="00D32A05">
        <w:trPr>
          <w:cantSplit/>
          <w:tblHeader/>
        </w:trPr>
        <w:tc>
          <w:tcPr>
            <w:tcW w:w="1803" w:type="dxa"/>
            <w:shd w:val="clear" w:color="auto" w:fill="auto"/>
            <w:vAlign w:val="bottom"/>
          </w:tcPr>
          <w:p w14:paraId="60F76775" w14:textId="77777777" w:rsidR="00D32A05" w:rsidRPr="001C29FC" w:rsidRDefault="00D32A05" w:rsidP="00D32A05">
            <w:pPr>
              <w:pStyle w:val="TableText"/>
            </w:pPr>
            <w:r w:rsidRPr="001C29FC">
              <w:t>Remove Final Status*</w:t>
            </w:r>
          </w:p>
        </w:tc>
        <w:tc>
          <w:tcPr>
            <w:tcW w:w="1442" w:type="dxa"/>
            <w:vMerge/>
            <w:shd w:val="clear" w:color="auto" w:fill="auto"/>
          </w:tcPr>
          <w:p w14:paraId="0E48D9DC" w14:textId="77777777" w:rsidR="00D32A05" w:rsidRPr="001C29FC" w:rsidRDefault="00D32A05" w:rsidP="00D32A05">
            <w:pPr>
              <w:pStyle w:val="TableText"/>
              <w:rPr>
                <w:color w:val="000000"/>
                <w:szCs w:val="18"/>
              </w:rPr>
            </w:pPr>
          </w:p>
        </w:tc>
        <w:tc>
          <w:tcPr>
            <w:tcW w:w="1633" w:type="dxa"/>
            <w:shd w:val="clear" w:color="auto" w:fill="auto"/>
          </w:tcPr>
          <w:p w14:paraId="1BDA9082"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2AE69EEC" w14:textId="77777777"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“Wash.”</w:t>
            </w:r>
          </w:p>
        </w:tc>
      </w:tr>
      <w:tr w:rsidR="00D32A05" w:rsidRPr="001C29FC" w14:paraId="15392456" w14:textId="77777777" w:rsidTr="00D32A05">
        <w:trPr>
          <w:cantSplit/>
          <w:tblHeader/>
        </w:trPr>
        <w:tc>
          <w:tcPr>
            <w:tcW w:w="1803" w:type="dxa"/>
            <w:shd w:val="clear" w:color="auto" w:fill="auto"/>
            <w:vAlign w:val="bottom"/>
          </w:tcPr>
          <w:p w14:paraId="76EAC92F" w14:textId="77777777" w:rsidR="00D32A05" w:rsidRPr="001C29FC" w:rsidRDefault="00D32A05" w:rsidP="00D32A05">
            <w:pPr>
              <w:pStyle w:val="TableText"/>
            </w:pPr>
            <w:r w:rsidRPr="001C29FC">
              <w:t>Modify Units</w:t>
            </w:r>
          </w:p>
        </w:tc>
        <w:tc>
          <w:tcPr>
            <w:tcW w:w="1442" w:type="dxa"/>
            <w:vMerge w:val="restart"/>
            <w:shd w:val="clear" w:color="auto" w:fill="auto"/>
          </w:tcPr>
          <w:p w14:paraId="28350C62" w14:textId="77777777" w:rsidR="00D32A05" w:rsidRPr="001C29FC" w:rsidRDefault="00D32A05" w:rsidP="00D32A05">
            <w:pPr>
              <w:pStyle w:val="TableText"/>
              <w:rPr>
                <w:color w:val="000000"/>
                <w:szCs w:val="18"/>
              </w:rPr>
            </w:pPr>
            <w:r w:rsidRPr="001C29FC">
              <w:rPr>
                <w:color w:val="000000"/>
                <w:szCs w:val="18"/>
              </w:rPr>
              <w:t>Volume Reduce</w:t>
            </w:r>
          </w:p>
        </w:tc>
        <w:tc>
          <w:tcPr>
            <w:tcW w:w="1633" w:type="dxa"/>
            <w:shd w:val="clear" w:color="auto" w:fill="auto"/>
          </w:tcPr>
          <w:p w14:paraId="1628CC44"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36311D2D" w14:textId="77777777" w:rsidR="00D32A05" w:rsidRPr="001C29FC" w:rsidRDefault="00D32A05" w:rsidP="00D32A05">
            <w:pPr>
              <w:pStyle w:val="TableText"/>
              <w:rPr>
                <w:szCs w:val="18"/>
              </w:rPr>
            </w:pPr>
            <w:r w:rsidRPr="001C29FC">
              <w:rPr>
                <w:szCs w:val="18"/>
              </w:rPr>
              <w:t>Accrue workload when a</w:t>
            </w:r>
            <w:r w:rsidRPr="001C29FC">
              <w:rPr>
                <w:color w:val="000000"/>
                <w:szCs w:val="18"/>
              </w:rPr>
              <w:t>n individual blood unit is processed by the Volume Reduce modification type. Note: Workload is not accrued when a patient assignment is processed and VBECS releases all other patient assignments. Workload is not accrued when VBECS is required to quarantine the unit.</w:t>
            </w:r>
          </w:p>
        </w:tc>
      </w:tr>
      <w:tr w:rsidR="00D32A05" w:rsidRPr="001C29FC" w14:paraId="170BA842" w14:textId="77777777" w:rsidTr="00D32A05">
        <w:trPr>
          <w:cantSplit/>
          <w:tblHeader/>
        </w:trPr>
        <w:tc>
          <w:tcPr>
            <w:tcW w:w="1803" w:type="dxa"/>
            <w:shd w:val="clear" w:color="auto" w:fill="auto"/>
            <w:vAlign w:val="bottom"/>
          </w:tcPr>
          <w:p w14:paraId="4C33BAAD" w14:textId="77777777" w:rsidR="00D32A05" w:rsidRPr="001C29FC" w:rsidRDefault="00D32A05" w:rsidP="00D32A05">
            <w:pPr>
              <w:pStyle w:val="TableText"/>
            </w:pPr>
            <w:r w:rsidRPr="001C29FC">
              <w:t>Remove Final Status*</w:t>
            </w:r>
          </w:p>
        </w:tc>
        <w:tc>
          <w:tcPr>
            <w:tcW w:w="1442" w:type="dxa"/>
            <w:vMerge/>
            <w:shd w:val="clear" w:color="auto" w:fill="auto"/>
          </w:tcPr>
          <w:p w14:paraId="778D6AF7" w14:textId="77777777" w:rsidR="00D32A05" w:rsidRPr="001C29FC" w:rsidRDefault="00D32A05" w:rsidP="00D32A05">
            <w:pPr>
              <w:pStyle w:val="TableText"/>
              <w:rPr>
                <w:color w:val="000000"/>
                <w:szCs w:val="18"/>
              </w:rPr>
            </w:pPr>
          </w:p>
        </w:tc>
        <w:tc>
          <w:tcPr>
            <w:tcW w:w="1633" w:type="dxa"/>
            <w:shd w:val="clear" w:color="auto" w:fill="auto"/>
          </w:tcPr>
          <w:p w14:paraId="074D8A0F"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44B60C88" w14:textId="77777777"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Volume Reduce.</w:t>
            </w:r>
          </w:p>
        </w:tc>
      </w:tr>
      <w:tr w:rsidR="00D32A05" w:rsidRPr="001C29FC" w14:paraId="34A89218" w14:textId="77777777" w:rsidTr="00D32A05">
        <w:trPr>
          <w:cantSplit/>
          <w:tblHeader/>
        </w:trPr>
        <w:tc>
          <w:tcPr>
            <w:tcW w:w="1803" w:type="dxa"/>
            <w:shd w:val="clear" w:color="auto" w:fill="auto"/>
            <w:vAlign w:val="bottom"/>
          </w:tcPr>
          <w:p w14:paraId="3542A034" w14:textId="77777777" w:rsidR="00D32A05" w:rsidRPr="001C29FC" w:rsidRDefault="00D32A05" w:rsidP="00D32A05">
            <w:pPr>
              <w:pStyle w:val="TableText"/>
              <w:rPr>
                <w:szCs w:val="18"/>
              </w:rPr>
            </w:pPr>
            <w:r w:rsidRPr="001C29FC">
              <w:rPr>
                <w:snapToGrid w:val="0"/>
                <w:szCs w:val="18"/>
              </w:rPr>
              <w:t>Issue Blood Components</w:t>
            </w:r>
          </w:p>
        </w:tc>
        <w:tc>
          <w:tcPr>
            <w:tcW w:w="1442" w:type="dxa"/>
            <w:shd w:val="clear" w:color="auto" w:fill="auto"/>
          </w:tcPr>
          <w:p w14:paraId="5808B585" w14:textId="77777777" w:rsidR="00D32A05" w:rsidRPr="001C29FC" w:rsidRDefault="00D32A05" w:rsidP="00D32A05">
            <w:pPr>
              <w:pStyle w:val="TableText"/>
              <w:rPr>
                <w:color w:val="000000"/>
                <w:szCs w:val="18"/>
              </w:rPr>
            </w:pPr>
            <w:r w:rsidRPr="001C29FC">
              <w:rPr>
                <w:color w:val="000000"/>
                <w:szCs w:val="18"/>
              </w:rPr>
              <w:t>Issue unit</w:t>
            </w:r>
          </w:p>
        </w:tc>
        <w:tc>
          <w:tcPr>
            <w:tcW w:w="1633" w:type="dxa"/>
            <w:shd w:val="clear" w:color="auto" w:fill="auto"/>
          </w:tcPr>
          <w:p w14:paraId="612885DB"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6AA41AE4" w14:textId="77777777" w:rsidR="00D32A05" w:rsidRPr="001C29FC" w:rsidRDefault="00D32A05" w:rsidP="00D32A05">
            <w:pPr>
              <w:pStyle w:val="TableText"/>
              <w:rPr>
                <w:szCs w:val="18"/>
              </w:rPr>
            </w:pPr>
            <w:r w:rsidRPr="001C29FC">
              <w:rPr>
                <w:szCs w:val="18"/>
              </w:rPr>
              <w:t xml:space="preserve">Accrue workload when a </w:t>
            </w:r>
            <w:r w:rsidRPr="001C29FC">
              <w:rPr>
                <w:color w:val="000000"/>
                <w:szCs w:val="18"/>
              </w:rPr>
              <w:t>unit is issued to a patient. When a batch of units is processed, each unit invokes one workload process.</w:t>
            </w:r>
          </w:p>
        </w:tc>
      </w:tr>
      <w:tr w:rsidR="00D32A05" w:rsidRPr="001C29FC" w14:paraId="69E50D11" w14:textId="77777777" w:rsidTr="00D32A05">
        <w:trPr>
          <w:cantSplit/>
          <w:tblHeader/>
        </w:trPr>
        <w:tc>
          <w:tcPr>
            <w:tcW w:w="1803" w:type="dxa"/>
            <w:shd w:val="clear" w:color="auto" w:fill="auto"/>
            <w:vAlign w:val="bottom"/>
          </w:tcPr>
          <w:p w14:paraId="41F96076" w14:textId="77777777" w:rsidR="00D32A05" w:rsidRPr="001C29FC" w:rsidRDefault="00D32A05" w:rsidP="00D32A05">
            <w:pPr>
              <w:pStyle w:val="TableText"/>
            </w:pPr>
            <w:r w:rsidRPr="001C29FC">
              <w:t>Justify Patient ABO/Rh Change</w:t>
            </w:r>
          </w:p>
        </w:tc>
        <w:tc>
          <w:tcPr>
            <w:tcW w:w="1442" w:type="dxa"/>
            <w:shd w:val="clear" w:color="auto" w:fill="auto"/>
          </w:tcPr>
          <w:p w14:paraId="16F65C1F" w14:textId="77777777" w:rsidR="00D32A05" w:rsidRPr="001C29FC" w:rsidRDefault="00D32A05" w:rsidP="00D32A05">
            <w:pPr>
              <w:pStyle w:val="TableText"/>
              <w:rPr>
                <w:color w:val="000000"/>
                <w:szCs w:val="18"/>
              </w:rPr>
            </w:pPr>
            <w:r w:rsidRPr="001C29FC">
              <w:rPr>
                <w:color w:val="000000"/>
                <w:szCs w:val="18"/>
              </w:rPr>
              <w:t>Justification</w:t>
            </w:r>
          </w:p>
        </w:tc>
        <w:tc>
          <w:tcPr>
            <w:tcW w:w="1633" w:type="dxa"/>
            <w:shd w:val="clear" w:color="auto" w:fill="auto"/>
          </w:tcPr>
          <w:p w14:paraId="0438CF28"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126FE65C" w14:textId="77777777" w:rsidR="00D32A05" w:rsidRPr="001C29FC" w:rsidRDefault="00D32A05" w:rsidP="00D32A05">
            <w:pPr>
              <w:pStyle w:val="TableText"/>
              <w:rPr>
                <w:color w:val="000000"/>
                <w:szCs w:val="18"/>
              </w:rPr>
            </w:pPr>
            <w:r w:rsidRPr="001C29FC">
              <w:rPr>
                <w:color w:val="000000"/>
                <w:szCs w:val="18"/>
              </w:rPr>
              <w:t>Workload is accrued when a patient’s ABO or Rh typing is justified. One workload event is accrued per patient justification.</w:t>
            </w:r>
          </w:p>
        </w:tc>
      </w:tr>
      <w:tr w:rsidR="00D32A05" w:rsidRPr="001C29FC" w14:paraId="1C518839" w14:textId="77777777" w:rsidTr="00D32A05">
        <w:trPr>
          <w:cantSplit/>
          <w:tblHeader/>
        </w:trPr>
        <w:tc>
          <w:tcPr>
            <w:tcW w:w="1803" w:type="dxa"/>
            <w:shd w:val="clear" w:color="auto" w:fill="auto"/>
          </w:tcPr>
          <w:p w14:paraId="1333477B" w14:textId="77777777" w:rsidR="00D32A05" w:rsidRPr="001C29FC" w:rsidRDefault="00D32A05" w:rsidP="00D32A05">
            <w:pPr>
              <w:pStyle w:val="TableText"/>
              <w:rPr>
                <w:szCs w:val="18"/>
              </w:rPr>
            </w:pPr>
            <w:r w:rsidRPr="001C29FC">
              <w:rPr>
                <w:szCs w:val="18"/>
              </w:rPr>
              <w:t>Login Equipment</w:t>
            </w:r>
          </w:p>
        </w:tc>
        <w:tc>
          <w:tcPr>
            <w:tcW w:w="1442" w:type="dxa"/>
            <w:shd w:val="clear" w:color="auto" w:fill="auto"/>
          </w:tcPr>
          <w:p w14:paraId="3149E84A" w14:textId="77777777" w:rsidR="00D32A05" w:rsidRPr="001C29FC" w:rsidRDefault="00D32A05" w:rsidP="00D32A05">
            <w:pPr>
              <w:pStyle w:val="TableText"/>
              <w:rPr>
                <w:szCs w:val="18"/>
              </w:rPr>
            </w:pPr>
            <w:r w:rsidRPr="001C29FC">
              <w:rPr>
                <w:szCs w:val="18"/>
              </w:rPr>
              <w:t>Login Equipment</w:t>
            </w:r>
          </w:p>
        </w:tc>
        <w:tc>
          <w:tcPr>
            <w:tcW w:w="1633" w:type="dxa"/>
            <w:shd w:val="clear" w:color="auto" w:fill="auto"/>
          </w:tcPr>
          <w:p w14:paraId="7B6137F8"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5BAD242C" w14:textId="77777777" w:rsidR="00D32A05" w:rsidRPr="001C29FC" w:rsidRDefault="00D32A05" w:rsidP="00D32A05">
            <w:pPr>
              <w:pStyle w:val="TableText"/>
              <w:rPr>
                <w:szCs w:val="18"/>
              </w:rPr>
            </w:pPr>
            <w:r w:rsidRPr="001C29FC">
              <w:rPr>
                <w:szCs w:val="18"/>
              </w:rPr>
              <w:t>Accrue workload when a lot number of any type of equipment is logged into the system. When multiple lot numbers are processed in a batch, each lot number’s workload is counted.</w:t>
            </w:r>
          </w:p>
        </w:tc>
      </w:tr>
      <w:tr w:rsidR="00D32A05" w:rsidRPr="001C29FC" w14:paraId="7694AB3E" w14:textId="77777777" w:rsidTr="00D32A05">
        <w:trPr>
          <w:cantSplit/>
          <w:tblHeader/>
        </w:trPr>
        <w:tc>
          <w:tcPr>
            <w:tcW w:w="1803" w:type="dxa"/>
            <w:shd w:val="clear" w:color="auto" w:fill="auto"/>
          </w:tcPr>
          <w:p w14:paraId="7EE3BD2F" w14:textId="77777777" w:rsidR="00D32A05" w:rsidRPr="001C29FC" w:rsidRDefault="00D32A05" w:rsidP="00D32A05">
            <w:pPr>
              <w:pStyle w:val="TableText"/>
              <w:rPr>
                <w:szCs w:val="18"/>
              </w:rPr>
            </w:pPr>
            <w:r w:rsidRPr="001C29FC">
              <w:rPr>
                <w:szCs w:val="18"/>
              </w:rPr>
              <w:lastRenderedPageBreak/>
              <w:t>Login Reagent</w:t>
            </w:r>
          </w:p>
        </w:tc>
        <w:tc>
          <w:tcPr>
            <w:tcW w:w="1442" w:type="dxa"/>
            <w:shd w:val="clear" w:color="auto" w:fill="auto"/>
          </w:tcPr>
          <w:p w14:paraId="01DDA30C" w14:textId="77777777" w:rsidR="00D32A05" w:rsidRPr="001C29FC" w:rsidRDefault="00D32A05" w:rsidP="00D32A05">
            <w:pPr>
              <w:pStyle w:val="TableText"/>
              <w:rPr>
                <w:szCs w:val="18"/>
              </w:rPr>
            </w:pPr>
            <w:r w:rsidRPr="001C29FC">
              <w:rPr>
                <w:szCs w:val="18"/>
              </w:rPr>
              <w:t>Login Reagent</w:t>
            </w:r>
          </w:p>
        </w:tc>
        <w:tc>
          <w:tcPr>
            <w:tcW w:w="1633" w:type="dxa"/>
            <w:shd w:val="clear" w:color="auto" w:fill="auto"/>
          </w:tcPr>
          <w:p w14:paraId="2EC4B749"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4BB840A4" w14:textId="77777777" w:rsidR="00D32A05" w:rsidRPr="001C29FC" w:rsidRDefault="00D32A05" w:rsidP="00D32A05">
            <w:pPr>
              <w:pStyle w:val="TableText"/>
              <w:rPr>
                <w:szCs w:val="18"/>
              </w:rPr>
            </w:pPr>
            <w:r w:rsidRPr="001C29FC">
              <w:rPr>
                <w:szCs w:val="18"/>
              </w:rPr>
              <w:t>Accrue workload when a lot number of any type of reagent is logged into the system. When multiple lot numbers are processed in a batch, each lot number’s workload is counted.</w:t>
            </w:r>
          </w:p>
        </w:tc>
      </w:tr>
      <w:tr w:rsidR="00D32A05" w:rsidRPr="001C29FC" w14:paraId="2DCBD0FB" w14:textId="77777777" w:rsidTr="00D32A05">
        <w:trPr>
          <w:cantSplit/>
          <w:tblHeader/>
        </w:trPr>
        <w:tc>
          <w:tcPr>
            <w:tcW w:w="1803" w:type="dxa"/>
            <w:shd w:val="clear" w:color="auto" w:fill="auto"/>
          </w:tcPr>
          <w:p w14:paraId="407A574B" w14:textId="77777777" w:rsidR="00D32A05" w:rsidRPr="001C29FC" w:rsidRDefault="00D32A05" w:rsidP="00D32A05">
            <w:pPr>
              <w:pStyle w:val="TableText"/>
              <w:rPr>
                <w:szCs w:val="18"/>
              </w:rPr>
            </w:pPr>
            <w:r w:rsidRPr="001C29FC">
              <w:rPr>
                <w:szCs w:val="18"/>
              </w:rPr>
              <w:t>Login Supply</w:t>
            </w:r>
          </w:p>
        </w:tc>
        <w:tc>
          <w:tcPr>
            <w:tcW w:w="1442" w:type="dxa"/>
            <w:shd w:val="clear" w:color="auto" w:fill="auto"/>
          </w:tcPr>
          <w:p w14:paraId="3073B622" w14:textId="77777777" w:rsidR="00D32A05" w:rsidRPr="001C29FC" w:rsidRDefault="00D32A05" w:rsidP="00D32A05">
            <w:pPr>
              <w:pStyle w:val="TableText"/>
              <w:rPr>
                <w:szCs w:val="18"/>
              </w:rPr>
            </w:pPr>
            <w:r w:rsidRPr="001C29FC">
              <w:rPr>
                <w:szCs w:val="18"/>
              </w:rPr>
              <w:t>Login Supply</w:t>
            </w:r>
          </w:p>
        </w:tc>
        <w:tc>
          <w:tcPr>
            <w:tcW w:w="1633" w:type="dxa"/>
            <w:shd w:val="clear" w:color="auto" w:fill="auto"/>
          </w:tcPr>
          <w:p w14:paraId="621F00AE"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5A69F43E" w14:textId="77777777" w:rsidR="00D32A05" w:rsidRPr="001C29FC" w:rsidRDefault="00D32A05" w:rsidP="00D32A05">
            <w:pPr>
              <w:pStyle w:val="TableText"/>
              <w:rPr>
                <w:szCs w:val="18"/>
              </w:rPr>
            </w:pPr>
            <w:r w:rsidRPr="001C29FC">
              <w:rPr>
                <w:szCs w:val="18"/>
              </w:rPr>
              <w:t>Accrue workload when a lot number of any type of supply is logged into the system. When multiple lot numbers are processed in a batch, each lot number’s workload is counted.</w:t>
            </w:r>
          </w:p>
        </w:tc>
      </w:tr>
      <w:tr w:rsidR="00D32A05" w:rsidRPr="001C29FC" w14:paraId="3C4ECD7E" w14:textId="77777777" w:rsidTr="00D32A05">
        <w:trPr>
          <w:cantSplit/>
          <w:tblHeader/>
        </w:trPr>
        <w:tc>
          <w:tcPr>
            <w:tcW w:w="1803" w:type="dxa"/>
            <w:shd w:val="clear" w:color="auto" w:fill="auto"/>
          </w:tcPr>
          <w:p w14:paraId="7F1CFA95" w14:textId="77777777" w:rsidR="00D32A05" w:rsidRPr="001C29FC" w:rsidRDefault="00D32A05" w:rsidP="00D32A05">
            <w:pPr>
              <w:pStyle w:val="TableText"/>
              <w:rPr>
                <w:szCs w:val="18"/>
              </w:rPr>
            </w:pPr>
            <w:r w:rsidRPr="001C29FC">
              <w:rPr>
                <w:szCs w:val="18"/>
              </w:rPr>
              <w:t>Maintain Specimen</w:t>
            </w:r>
          </w:p>
        </w:tc>
        <w:tc>
          <w:tcPr>
            <w:tcW w:w="1442" w:type="dxa"/>
            <w:shd w:val="clear" w:color="auto" w:fill="auto"/>
          </w:tcPr>
          <w:p w14:paraId="15C61853" w14:textId="77777777" w:rsidR="00D32A05" w:rsidRPr="001C29FC" w:rsidRDefault="00D32A05" w:rsidP="00D32A05">
            <w:pPr>
              <w:pStyle w:val="TableText"/>
              <w:rPr>
                <w:szCs w:val="18"/>
              </w:rPr>
            </w:pPr>
            <w:r w:rsidRPr="001C29FC">
              <w:rPr>
                <w:szCs w:val="18"/>
              </w:rPr>
              <w:t>Maintain Specimen</w:t>
            </w:r>
          </w:p>
        </w:tc>
        <w:tc>
          <w:tcPr>
            <w:tcW w:w="1633" w:type="dxa"/>
            <w:shd w:val="clear" w:color="auto" w:fill="auto"/>
          </w:tcPr>
          <w:p w14:paraId="6B9FD4BB"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6DB10D0E" w14:textId="77777777" w:rsidR="00D32A05" w:rsidRPr="001C29FC" w:rsidRDefault="00D32A05" w:rsidP="00D32A05">
            <w:pPr>
              <w:pStyle w:val="TableText"/>
              <w:rPr>
                <w:szCs w:val="18"/>
              </w:rPr>
            </w:pPr>
            <w:r w:rsidRPr="001C29FC">
              <w:rPr>
                <w:szCs w:val="18"/>
              </w:rPr>
              <w:t>Accrue workload when a specimen is maintained during order acceptance and is required for acceptance of the order. Note: This is collected in addition to the accept order workload accrued by accepting an order. Marking a specimen unacceptable does not create a negative workload event.</w:t>
            </w:r>
          </w:p>
        </w:tc>
      </w:tr>
      <w:tr w:rsidR="00D32A05" w:rsidRPr="001C29FC" w14:paraId="3A1F18DF" w14:textId="77777777" w:rsidTr="00D32A05">
        <w:trPr>
          <w:cantSplit/>
          <w:tblHeader/>
        </w:trPr>
        <w:tc>
          <w:tcPr>
            <w:tcW w:w="1803" w:type="dxa"/>
            <w:shd w:val="clear" w:color="auto" w:fill="auto"/>
          </w:tcPr>
          <w:p w14:paraId="362E3AE8" w14:textId="77777777" w:rsidR="00D32A05" w:rsidRPr="001C29FC" w:rsidRDefault="00D32A05" w:rsidP="00D32A05">
            <w:pPr>
              <w:pStyle w:val="TableText"/>
              <w:rPr>
                <w:color w:val="000000"/>
                <w:szCs w:val="18"/>
              </w:rPr>
            </w:pPr>
            <w:r w:rsidRPr="001C29FC">
              <w:rPr>
                <w:color w:val="000000"/>
                <w:szCs w:val="18"/>
              </w:rPr>
              <w:t>Patient antigen phenotype</w:t>
            </w:r>
          </w:p>
        </w:tc>
        <w:tc>
          <w:tcPr>
            <w:tcW w:w="1442" w:type="dxa"/>
            <w:vMerge w:val="restart"/>
            <w:shd w:val="clear" w:color="auto" w:fill="auto"/>
          </w:tcPr>
          <w:p w14:paraId="2696B1D8" w14:textId="77777777" w:rsidR="00D32A05" w:rsidRPr="001C29FC" w:rsidRDefault="00D32A05" w:rsidP="00D32A05">
            <w:pPr>
              <w:pStyle w:val="TableText"/>
              <w:rPr>
                <w:color w:val="000000"/>
                <w:szCs w:val="18"/>
              </w:rPr>
            </w:pPr>
            <w:r w:rsidRPr="001C29FC">
              <w:rPr>
                <w:color w:val="000000"/>
                <w:szCs w:val="18"/>
              </w:rPr>
              <w:t>Patient antigen phenotype (multiple phases)</w:t>
            </w:r>
          </w:p>
        </w:tc>
        <w:tc>
          <w:tcPr>
            <w:tcW w:w="1633" w:type="dxa"/>
            <w:shd w:val="clear" w:color="auto" w:fill="auto"/>
          </w:tcPr>
          <w:p w14:paraId="7E3183F5"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4CA03BB3"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patient antigen phenotype test with IS/RT or IS/37 phases is completed and saved. One workload event is collected per completed tab for repeat or regular antigen tests.</w:t>
            </w:r>
          </w:p>
        </w:tc>
      </w:tr>
      <w:tr w:rsidR="00D32A05" w:rsidRPr="001C29FC" w14:paraId="03895546" w14:textId="77777777" w:rsidTr="00D32A05">
        <w:trPr>
          <w:cantSplit/>
          <w:tblHeader/>
        </w:trPr>
        <w:tc>
          <w:tcPr>
            <w:tcW w:w="1803" w:type="dxa"/>
            <w:shd w:val="clear" w:color="auto" w:fill="auto"/>
          </w:tcPr>
          <w:p w14:paraId="5609EA7E" w14:textId="77777777" w:rsidR="00D32A05" w:rsidRPr="001C29FC" w:rsidRDefault="00D32A05" w:rsidP="00D32A05">
            <w:pPr>
              <w:pStyle w:val="TableText"/>
              <w:rPr>
                <w:szCs w:val="18"/>
              </w:rPr>
            </w:pPr>
            <w:r w:rsidRPr="001C29FC">
              <w:rPr>
                <w:szCs w:val="18"/>
              </w:rPr>
              <w:t>Invalidate Patient Test Results*</w:t>
            </w:r>
          </w:p>
        </w:tc>
        <w:tc>
          <w:tcPr>
            <w:tcW w:w="1442" w:type="dxa"/>
            <w:vMerge/>
            <w:shd w:val="clear" w:color="auto" w:fill="auto"/>
          </w:tcPr>
          <w:p w14:paraId="5575C88D" w14:textId="77777777" w:rsidR="00D32A05" w:rsidRPr="001C29FC" w:rsidRDefault="00D32A05" w:rsidP="00D32A05">
            <w:pPr>
              <w:pStyle w:val="TableText"/>
              <w:rPr>
                <w:color w:val="000000"/>
                <w:szCs w:val="18"/>
              </w:rPr>
            </w:pPr>
          </w:p>
        </w:tc>
        <w:tc>
          <w:tcPr>
            <w:tcW w:w="1633" w:type="dxa"/>
            <w:shd w:val="clear" w:color="auto" w:fill="auto"/>
          </w:tcPr>
          <w:p w14:paraId="229BAED4"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498EBA2E" w14:textId="77777777" w:rsidR="00D32A05" w:rsidRPr="001C29FC" w:rsidRDefault="00D32A05" w:rsidP="00D32A05">
            <w:pPr>
              <w:pStyle w:val="TableText"/>
              <w:rPr>
                <w:szCs w:val="18"/>
              </w:rPr>
            </w:pPr>
            <w:r w:rsidRPr="001C29FC">
              <w:rPr>
                <w:szCs w:val="18"/>
              </w:rPr>
              <w:t xml:space="preserve">Accrue workload when a patient antigen phenotype test as defined by the antiserum specificity tested with any phases is invalidated. </w:t>
            </w:r>
          </w:p>
        </w:tc>
      </w:tr>
      <w:tr w:rsidR="00D32A05" w:rsidRPr="001C29FC" w14:paraId="58A66A97" w14:textId="77777777" w:rsidTr="00D32A05">
        <w:trPr>
          <w:cantSplit/>
          <w:tblHeader/>
        </w:trPr>
        <w:tc>
          <w:tcPr>
            <w:tcW w:w="1803" w:type="dxa"/>
            <w:shd w:val="clear" w:color="auto" w:fill="auto"/>
          </w:tcPr>
          <w:p w14:paraId="46991ABF" w14:textId="77777777" w:rsidR="00D32A05" w:rsidRPr="001C29FC" w:rsidRDefault="00D32A05" w:rsidP="00D32A05">
            <w:pPr>
              <w:pStyle w:val="TableText"/>
              <w:rPr>
                <w:color w:val="000000"/>
                <w:szCs w:val="18"/>
              </w:rPr>
            </w:pPr>
            <w:r w:rsidRPr="001C29FC">
              <w:rPr>
                <w:color w:val="000000"/>
                <w:szCs w:val="18"/>
              </w:rPr>
              <w:t>Patient antigen phenotype</w:t>
            </w:r>
          </w:p>
        </w:tc>
        <w:tc>
          <w:tcPr>
            <w:tcW w:w="1442" w:type="dxa"/>
            <w:vMerge w:val="restart"/>
            <w:shd w:val="clear" w:color="auto" w:fill="auto"/>
          </w:tcPr>
          <w:p w14:paraId="7AA3F3B0" w14:textId="77777777" w:rsidR="00D32A05" w:rsidRPr="001C29FC" w:rsidRDefault="00D32A05" w:rsidP="00D32A05">
            <w:pPr>
              <w:pStyle w:val="TableText"/>
              <w:rPr>
                <w:color w:val="000000"/>
                <w:szCs w:val="18"/>
              </w:rPr>
            </w:pPr>
            <w:r w:rsidRPr="001C29FC">
              <w:rPr>
                <w:color w:val="000000"/>
                <w:szCs w:val="18"/>
              </w:rPr>
              <w:t>Patient antigen phenotype (single phase)</w:t>
            </w:r>
          </w:p>
        </w:tc>
        <w:tc>
          <w:tcPr>
            <w:tcW w:w="1633" w:type="dxa"/>
            <w:shd w:val="clear" w:color="auto" w:fill="auto"/>
          </w:tcPr>
          <w:p w14:paraId="7EC8B320"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748CCD21"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patient antigen phenotype test with AHG or IS phase is completed and saved. One workload event is collected per completed tab for repeat or regular antigen tests.</w:t>
            </w:r>
          </w:p>
        </w:tc>
      </w:tr>
      <w:tr w:rsidR="00D32A05" w:rsidRPr="001C29FC" w14:paraId="395465C8" w14:textId="77777777" w:rsidTr="00D32A05">
        <w:trPr>
          <w:cantSplit/>
          <w:tblHeader/>
        </w:trPr>
        <w:tc>
          <w:tcPr>
            <w:tcW w:w="1803" w:type="dxa"/>
            <w:shd w:val="clear" w:color="auto" w:fill="auto"/>
          </w:tcPr>
          <w:p w14:paraId="03540996" w14:textId="77777777" w:rsidR="00D32A05" w:rsidRPr="001C29FC" w:rsidRDefault="00D32A05" w:rsidP="00D32A05">
            <w:pPr>
              <w:pStyle w:val="TableText"/>
              <w:rPr>
                <w:szCs w:val="18"/>
              </w:rPr>
            </w:pPr>
            <w:r w:rsidRPr="001C29FC">
              <w:rPr>
                <w:szCs w:val="18"/>
              </w:rPr>
              <w:t>Invalidate Patient Test Results*</w:t>
            </w:r>
          </w:p>
        </w:tc>
        <w:tc>
          <w:tcPr>
            <w:tcW w:w="1442" w:type="dxa"/>
            <w:vMerge/>
            <w:shd w:val="clear" w:color="auto" w:fill="auto"/>
          </w:tcPr>
          <w:p w14:paraId="4A007417" w14:textId="77777777" w:rsidR="00D32A05" w:rsidRPr="001C29FC" w:rsidRDefault="00D32A05" w:rsidP="00D32A05">
            <w:pPr>
              <w:pStyle w:val="TableText"/>
              <w:rPr>
                <w:color w:val="000000"/>
                <w:szCs w:val="18"/>
              </w:rPr>
            </w:pPr>
          </w:p>
        </w:tc>
        <w:tc>
          <w:tcPr>
            <w:tcW w:w="1633" w:type="dxa"/>
            <w:shd w:val="clear" w:color="auto" w:fill="auto"/>
          </w:tcPr>
          <w:p w14:paraId="0E7283D5"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5A3834F4" w14:textId="060ACEAF" w:rsidR="00D32A05" w:rsidRPr="001C29FC" w:rsidRDefault="00D32A05" w:rsidP="00D32A05">
            <w:pPr>
              <w:pStyle w:val="TableText"/>
              <w:rPr>
                <w:szCs w:val="18"/>
              </w:rPr>
            </w:pPr>
            <w:r w:rsidRPr="001C29FC">
              <w:rPr>
                <w:szCs w:val="18"/>
              </w:rPr>
              <w:t xml:space="preserve">Accrue workload when a patient antigen phenotype test as defined by the antiserum specificity tested with </w:t>
            </w:r>
            <w:r w:rsidR="00AE3B37" w:rsidRPr="001C29FC">
              <w:rPr>
                <w:szCs w:val="18"/>
              </w:rPr>
              <w:t>a single phase</w:t>
            </w:r>
            <w:r w:rsidRPr="001C29FC">
              <w:rPr>
                <w:szCs w:val="18"/>
              </w:rPr>
              <w:t xml:space="preserve"> is invalidated. </w:t>
            </w:r>
          </w:p>
        </w:tc>
      </w:tr>
      <w:tr w:rsidR="00D32A05" w:rsidRPr="001C29FC" w14:paraId="18618A98" w14:textId="77777777" w:rsidTr="00D32A05">
        <w:trPr>
          <w:cantSplit/>
          <w:tblHeader/>
        </w:trPr>
        <w:tc>
          <w:tcPr>
            <w:tcW w:w="1803" w:type="dxa"/>
            <w:shd w:val="clear" w:color="auto" w:fill="auto"/>
            <w:vAlign w:val="bottom"/>
          </w:tcPr>
          <w:p w14:paraId="75D18E22" w14:textId="77777777" w:rsidR="00D32A05" w:rsidRPr="001C29FC" w:rsidRDefault="00D32A05" w:rsidP="00D32A05">
            <w:pPr>
              <w:pStyle w:val="TableText"/>
            </w:pPr>
            <w:r w:rsidRPr="001C29FC">
              <w:t>Pool Units</w:t>
            </w:r>
          </w:p>
        </w:tc>
        <w:tc>
          <w:tcPr>
            <w:tcW w:w="1442" w:type="dxa"/>
            <w:vMerge w:val="restart"/>
            <w:shd w:val="clear" w:color="auto" w:fill="auto"/>
          </w:tcPr>
          <w:p w14:paraId="03469E73" w14:textId="77777777" w:rsidR="00D32A05" w:rsidRPr="001C29FC" w:rsidRDefault="00D32A05" w:rsidP="00D32A05">
            <w:pPr>
              <w:pStyle w:val="TableText"/>
              <w:rPr>
                <w:color w:val="000000"/>
                <w:szCs w:val="18"/>
              </w:rPr>
            </w:pPr>
            <w:r w:rsidRPr="001C29FC">
              <w:rPr>
                <w:color w:val="000000"/>
                <w:szCs w:val="18"/>
              </w:rPr>
              <w:t>Pool unit</w:t>
            </w:r>
          </w:p>
          <w:p w14:paraId="47394B10" w14:textId="77777777" w:rsidR="00D32A05" w:rsidRPr="001C29FC" w:rsidRDefault="00D32A05" w:rsidP="00D32A05">
            <w:pPr>
              <w:pStyle w:val="TableText"/>
              <w:rPr>
                <w:color w:val="000000"/>
                <w:szCs w:val="18"/>
              </w:rPr>
            </w:pPr>
            <w:r w:rsidRPr="001C29FC">
              <w:rPr>
                <w:color w:val="000000"/>
                <w:szCs w:val="18"/>
              </w:rPr>
              <w:t> </w:t>
            </w:r>
          </w:p>
        </w:tc>
        <w:tc>
          <w:tcPr>
            <w:tcW w:w="1633" w:type="dxa"/>
            <w:shd w:val="clear" w:color="auto" w:fill="auto"/>
          </w:tcPr>
          <w:p w14:paraId="7C0181DF"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60E04FC8"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pooled unit is created and a single workload event is recorded regardless of the number of units included in the pooled unit. This applies to the Pool modification type. Add/Remove unit from a pool does not accrue any workload.</w:t>
            </w:r>
            <w:r w:rsidRPr="001C29FC">
              <w:rPr>
                <w:iCs/>
                <w:color w:val="000000"/>
                <w:szCs w:val="18"/>
              </w:rPr>
              <w:t xml:space="preserve"> Note: Workload is not accrued when a patient assignment is processed and VBECS releases all other patient assignments. Workload is not accrued when VBECS is required to quarantine the unit.</w:t>
            </w:r>
          </w:p>
        </w:tc>
      </w:tr>
      <w:tr w:rsidR="00D32A05" w:rsidRPr="001C29FC" w14:paraId="326FFF1C" w14:textId="77777777" w:rsidTr="00D32A05">
        <w:trPr>
          <w:cantSplit/>
          <w:tblHeader/>
        </w:trPr>
        <w:tc>
          <w:tcPr>
            <w:tcW w:w="1803" w:type="dxa"/>
            <w:shd w:val="clear" w:color="auto" w:fill="auto"/>
            <w:vAlign w:val="bottom"/>
          </w:tcPr>
          <w:p w14:paraId="710EA203" w14:textId="77777777" w:rsidR="00D32A05" w:rsidRPr="001C29FC" w:rsidRDefault="00D32A05" w:rsidP="00D32A05">
            <w:pPr>
              <w:pStyle w:val="TableText"/>
            </w:pPr>
            <w:r w:rsidRPr="001C29FC">
              <w:t>Edit Unit Information*</w:t>
            </w:r>
          </w:p>
        </w:tc>
        <w:tc>
          <w:tcPr>
            <w:tcW w:w="1442" w:type="dxa"/>
            <w:vMerge/>
            <w:shd w:val="clear" w:color="auto" w:fill="auto"/>
          </w:tcPr>
          <w:p w14:paraId="596A4127" w14:textId="77777777" w:rsidR="00D32A05" w:rsidRPr="001C29FC" w:rsidRDefault="00D32A05" w:rsidP="00D32A05">
            <w:pPr>
              <w:pStyle w:val="TableText"/>
              <w:rPr>
                <w:color w:val="000000"/>
                <w:szCs w:val="18"/>
              </w:rPr>
            </w:pPr>
          </w:p>
        </w:tc>
        <w:tc>
          <w:tcPr>
            <w:tcW w:w="1633" w:type="dxa"/>
            <w:shd w:val="clear" w:color="auto" w:fill="auto"/>
          </w:tcPr>
          <w:p w14:paraId="5C525CF1"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5EC47958" w14:textId="77777777" w:rsidR="00D32A05" w:rsidRPr="001C29FC" w:rsidRDefault="00D32A05" w:rsidP="00D32A05">
            <w:pPr>
              <w:pStyle w:val="TableText"/>
              <w:rPr>
                <w:szCs w:val="18"/>
              </w:rPr>
            </w:pPr>
            <w:r w:rsidRPr="001C29FC">
              <w:rPr>
                <w:szCs w:val="18"/>
              </w:rPr>
              <w:t>Accrue workload when a u</w:t>
            </w:r>
            <w:r w:rsidRPr="001C29FC">
              <w:rPr>
                <w:color w:val="000000"/>
                <w:szCs w:val="18"/>
              </w:rPr>
              <w:t xml:space="preserve">nit is inactivated if the pooled unit was created in VBECS. </w:t>
            </w:r>
          </w:p>
        </w:tc>
      </w:tr>
      <w:tr w:rsidR="00D32A05" w:rsidRPr="001C29FC" w14:paraId="2F75EA45" w14:textId="77777777" w:rsidTr="00D32A05">
        <w:trPr>
          <w:cantSplit/>
          <w:tblHeader/>
        </w:trPr>
        <w:tc>
          <w:tcPr>
            <w:tcW w:w="1803" w:type="dxa"/>
            <w:shd w:val="clear" w:color="auto" w:fill="auto"/>
            <w:vAlign w:val="bottom"/>
          </w:tcPr>
          <w:p w14:paraId="0D9A9C5B" w14:textId="77777777" w:rsidR="00D32A05" w:rsidRPr="001C29FC" w:rsidRDefault="00D32A05" w:rsidP="00D32A05">
            <w:pPr>
              <w:pStyle w:val="TableText"/>
            </w:pPr>
            <w:r w:rsidRPr="001C29FC">
              <w:t>Remove Final Status</w:t>
            </w:r>
          </w:p>
        </w:tc>
        <w:tc>
          <w:tcPr>
            <w:tcW w:w="1442" w:type="dxa"/>
            <w:vMerge/>
            <w:shd w:val="clear" w:color="auto" w:fill="auto"/>
          </w:tcPr>
          <w:p w14:paraId="7F6D17F6" w14:textId="77777777" w:rsidR="00D32A05" w:rsidRPr="001C29FC" w:rsidRDefault="00D32A05" w:rsidP="00D32A05">
            <w:pPr>
              <w:pStyle w:val="TableText"/>
              <w:rPr>
                <w:color w:val="000000"/>
                <w:szCs w:val="18"/>
              </w:rPr>
            </w:pPr>
          </w:p>
        </w:tc>
        <w:tc>
          <w:tcPr>
            <w:tcW w:w="1633" w:type="dxa"/>
            <w:shd w:val="clear" w:color="auto" w:fill="auto"/>
          </w:tcPr>
          <w:p w14:paraId="173D2E75" w14:textId="77777777" w:rsidR="00D32A05" w:rsidRPr="001C29FC" w:rsidRDefault="00D32A05" w:rsidP="00D32A05">
            <w:pPr>
              <w:pStyle w:val="TableText"/>
              <w:rPr>
                <w:color w:val="000000"/>
                <w:szCs w:val="18"/>
              </w:rPr>
            </w:pPr>
            <w:r w:rsidRPr="001C29FC">
              <w:rPr>
                <w:color w:val="000000"/>
                <w:szCs w:val="18"/>
              </w:rPr>
              <w:t>N/A</w:t>
            </w:r>
          </w:p>
        </w:tc>
        <w:tc>
          <w:tcPr>
            <w:tcW w:w="4482" w:type="dxa"/>
            <w:shd w:val="clear" w:color="auto" w:fill="auto"/>
          </w:tcPr>
          <w:p w14:paraId="212BFC2C" w14:textId="77777777" w:rsidR="00D32A05" w:rsidRPr="001C29FC" w:rsidRDefault="00D32A05" w:rsidP="00D32A05">
            <w:pPr>
              <w:pStyle w:val="TableText"/>
              <w:rPr>
                <w:color w:val="000000"/>
                <w:szCs w:val="18"/>
              </w:rPr>
            </w:pPr>
            <w:r w:rsidRPr="001C29FC">
              <w:rPr>
                <w:color w:val="000000"/>
                <w:szCs w:val="18"/>
              </w:rPr>
              <w:t xml:space="preserve">No effect on workload accrual when a unit is removed from a modified status that was included in a pool. </w:t>
            </w:r>
          </w:p>
        </w:tc>
      </w:tr>
      <w:tr w:rsidR="00D32A05" w:rsidRPr="001C29FC" w14:paraId="3C26AEC4" w14:textId="77777777" w:rsidTr="00D32A05">
        <w:trPr>
          <w:cantSplit/>
          <w:tblHeader/>
        </w:trPr>
        <w:tc>
          <w:tcPr>
            <w:tcW w:w="1803" w:type="dxa"/>
            <w:shd w:val="clear" w:color="auto" w:fill="auto"/>
            <w:vAlign w:val="bottom"/>
          </w:tcPr>
          <w:p w14:paraId="59A91B14" w14:textId="77777777" w:rsidR="00D32A05" w:rsidRPr="001C29FC" w:rsidRDefault="00D32A05" w:rsidP="00D32A05">
            <w:pPr>
              <w:pStyle w:val="TableText"/>
            </w:pPr>
            <w:r w:rsidRPr="001C29FC">
              <w:t>Discard or Quarantine Unit</w:t>
            </w:r>
          </w:p>
        </w:tc>
        <w:tc>
          <w:tcPr>
            <w:tcW w:w="1442" w:type="dxa"/>
            <w:shd w:val="clear" w:color="auto" w:fill="auto"/>
          </w:tcPr>
          <w:p w14:paraId="4780A914" w14:textId="77777777" w:rsidR="00D32A05" w:rsidRPr="001C29FC" w:rsidRDefault="00D32A05" w:rsidP="00D32A05">
            <w:pPr>
              <w:pStyle w:val="TableText"/>
              <w:rPr>
                <w:color w:val="000000"/>
                <w:szCs w:val="18"/>
              </w:rPr>
            </w:pPr>
            <w:r w:rsidRPr="001C29FC">
              <w:rPr>
                <w:color w:val="000000"/>
                <w:szCs w:val="18"/>
              </w:rPr>
              <w:t>Quarantine unit</w:t>
            </w:r>
          </w:p>
        </w:tc>
        <w:tc>
          <w:tcPr>
            <w:tcW w:w="1633" w:type="dxa"/>
            <w:shd w:val="clear" w:color="auto" w:fill="auto"/>
          </w:tcPr>
          <w:p w14:paraId="2DE343CD"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02ACD9A8" w14:textId="77777777" w:rsidR="00D32A05" w:rsidRPr="001C29FC" w:rsidRDefault="00D32A05" w:rsidP="00D32A05">
            <w:pPr>
              <w:pStyle w:val="TableText"/>
              <w:rPr>
                <w:color w:val="000000"/>
                <w:szCs w:val="18"/>
              </w:rPr>
            </w:pPr>
            <w:r w:rsidRPr="001C29FC">
              <w:rPr>
                <w:color w:val="000000"/>
                <w:szCs w:val="18"/>
              </w:rPr>
              <w:t>Accrue workload when a unit is marked for quarantine. When a batch of units is selected, each unit accrues workload.</w:t>
            </w:r>
          </w:p>
        </w:tc>
      </w:tr>
      <w:tr w:rsidR="00D32A05" w:rsidRPr="001C29FC" w14:paraId="5B6A1F06" w14:textId="77777777" w:rsidTr="00D32A05">
        <w:trPr>
          <w:cantSplit/>
          <w:tblHeader/>
        </w:trPr>
        <w:tc>
          <w:tcPr>
            <w:tcW w:w="1803" w:type="dxa"/>
            <w:shd w:val="clear" w:color="auto" w:fill="auto"/>
            <w:vAlign w:val="bottom"/>
          </w:tcPr>
          <w:p w14:paraId="330B598B" w14:textId="77777777" w:rsidR="00D32A05" w:rsidRPr="001C29FC" w:rsidRDefault="00D32A05" w:rsidP="00D32A05">
            <w:pPr>
              <w:pStyle w:val="TableText"/>
              <w:rPr>
                <w:szCs w:val="18"/>
              </w:rPr>
            </w:pPr>
            <w:r w:rsidRPr="001C29FC">
              <w:rPr>
                <w:snapToGrid w:val="0"/>
                <w:szCs w:val="18"/>
              </w:rPr>
              <w:t>Free Directed Unit For Crossover</w:t>
            </w:r>
          </w:p>
        </w:tc>
        <w:tc>
          <w:tcPr>
            <w:tcW w:w="1442" w:type="dxa"/>
            <w:shd w:val="clear" w:color="auto" w:fill="auto"/>
          </w:tcPr>
          <w:p w14:paraId="5576E6C9" w14:textId="77777777" w:rsidR="00D32A05" w:rsidRPr="001C29FC" w:rsidRDefault="00D32A05" w:rsidP="00D32A05">
            <w:pPr>
              <w:pStyle w:val="TableText"/>
              <w:rPr>
                <w:color w:val="000000"/>
                <w:szCs w:val="18"/>
              </w:rPr>
            </w:pPr>
            <w:r w:rsidRPr="001C29FC">
              <w:rPr>
                <w:color w:val="000000"/>
                <w:szCs w:val="18"/>
              </w:rPr>
              <w:t>Release directed unit</w:t>
            </w:r>
          </w:p>
        </w:tc>
        <w:tc>
          <w:tcPr>
            <w:tcW w:w="1633" w:type="dxa"/>
            <w:shd w:val="clear" w:color="auto" w:fill="auto"/>
          </w:tcPr>
          <w:p w14:paraId="4D809D30"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5A1B110E" w14:textId="77777777" w:rsidR="00D32A05" w:rsidRPr="001C29FC" w:rsidRDefault="00D32A05" w:rsidP="00D32A05">
            <w:pPr>
              <w:pStyle w:val="TableText"/>
              <w:rPr>
                <w:szCs w:val="18"/>
              </w:rPr>
            </w:pPr>
            <w:r w:rsidRPr="001C29FC">
              <w:rPr>
                <w:szCs w:val="18"/>
              </w:rPr>
              <w:t>Accrue workload when a</w:t>
            </w:r>
            <w:r w:rsidRPr="001C29FC">
              <w:rPr>
                <w:color w:val="000000"/>
                <w:szCs w:val="18"/>
              </w:rPr>
              <w:t>n individual blood unit with the restriction type of “directed” is released for use as an allogeneic unit.</w:t>
            </w:r>
          </w:p>
        </w:tc>
      </w:tr>
      <w:tr w:rsidR="00D32A05" w:rsidRPr="001C29FC" w14:paraId="69586C89" w14:textId="77777777" w:rsidTr="00D32A05">
        <w:trPr>
          <w:cantSplit/>
          <w:tblHeader/>
        </w:trPr>
        <w:tc>
          <w:tcPr>
            <w:tcW w:w="1803" w:type="dxa"/>
            <w:shd w:val="clear" w:color="auto" w:fill="auto"/>
            <w:vAlign w:val="bottom"/>
          </w:tcPr>
          <w:p w14:paraId="11351A53" w14:textId="77777777" w:rsidR="00D32A05" w:rsidRPr="001C29FC" w:rsidRDefault="00D32A05" w:rsidP="00D32A05">
            <w:pPr>
              <w:pStyle w:val="TableText"/>
            </w:pPr>
            <w:r w:rsidRPr="001C29FC">
              <w:lastRenderedPageBreak/>
              <w:t>Release Unit from Patient Assignment</w:t>
            </w:r>
          </w:p>
        </w:tc>
        <w:tc>
          <w:tcPr>
            <w:tcW w:w="1442" w:type="dxa"/>
            <w:shd w:val="clear" w:color="auto" w:fill="auto"/>
          </w:tcPr>
          <w:p w14:paraId="3D3FA045" w14:textId="77777777" w:rsidR="00D32A05" w:rsidRPr="001C29FC" w:rsidRDefault="00D32A05" w:rsidP="00D32A05">
            <w:pPr>
              <w:pStyle w:val="TableText"/>
              <w:rPr>
                <w:color w:val="000000"/>
                <w:szCs w:val="18"/>
              </w:rPr>
            </w:pPr>
            <w:r w:rsidRPr="001C29FC">
              <w:rPr>
                <w:color w:val="000000"/>
                <w:szCs w:val="18"/>
              </w:rPr>
              <w:t>Release unit from patient back to inventory</w:t>
            </w:r>
          </w:p>
        </w:tc>
        <w:tc>
          <w:tcPr>
            <w:tcW w:w="1633" w:type="dxa"/>
            <w:shd w:val="clear" w:color="auto" w:fill="auto"/>
          </w:tcPr>
          <w:p w14:paraId="4CF440CC"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5166A1C2" w14:textId="77777777" w:rsidR="00D32A05" w:rsidRPr="001C29FC" w:rsidRDefault="00D32A05" w:rsidP="00D32A05">
            <w:pPr>
              <w:pStyle w:val="TableText"/>
              <w:rPr>
                <w:szCs w:val="18"/>
              </w:rPr>
            </w:pPr>
            <w:r w:rsidRPr="001C29FC">
              <w:rPr>
                <w:szCs w:val="18"/>
              </w:rPr>
              <w:t xml:space="preserve">Accrue workload when an </w:t>
            </w:r>
            <w:r w:rsidRPr="001C29FC">
              <w:rPr>
                <w:color w:val="000000"/>
                <w:szCs w:val="18"/>
              </w:rPr>
              <w:t>individual unit is released from patient assignment. When multiple units are selected, each unit accrues workload.</w:t>
            </w:r>
          </w:p>
        </w:tc>
      </w:tr>
      <w:tr w:rsidR="00D32A05" w:rsidRPr="001C29FC" w14:paraId="22EF9C65" w14:textId="77777777" w:rsidTr="00D32A05">
        <w:trPr>
          <w:cantSplit/>
          <w:tblHeader/>
        </w:trPr>
        <w:tc>
          <w:tcPr>
            <w:tcW w:w="1803" w:type="dxa"/>
            <w:shd w:val="clear" w:color="auto" w:fill="auto"/>
            <w:vAlign w:val="bottom"/>
          </w:tcPr>
          <w:p w14:paraId="0048B48A" w14:textId="77777777" w:rsidR="00D32A05" w:rsidRPr="001C29FC" w:rsidRDefault="00D32A05" w:rsidP="00D32A05">
            <w:pPr>
              <w:pStyle w:val="TableText"/>
            </w:pPr>
            <w:r w:rsidRPr="001C29FC">
              <w:t>Discard or Quarantine Unit</w:t>
            </w:r>
          </w:p>
        </w:tc>
        <w:tc>
          <w:tcPr>
            <w:tcW w:w="1442" w:type="dxa"/>
            <w:shd w:val="clear" w:color="auto" w:fill="auto"/>
          </w:tcPr>
          <w:p w14:paraId="0042D3C6" w14:textId="77777777" w:rsidR="00D32A05" w:rsidRPr="001C29FC" w:rsidRDefault="00D32A05" w:rsidP="00D32A05">
            <w:pPr>
              <w:pStyle w:val="TableText"/>
              <w:rPr>
                <w:color w:val="000000"/>
                <w:szCs w:val="18"/>
              </w:rPr>
            </w:pPr>
            <w:r w:rsidRPr="001C29FC">
              <w:rPr>
                <w:color w:val="000000"/>
                <w:szCs w:val="18"/>
              </w:rPr>
              <w:t xml:space="preserve">Release unit from Quarantine </w:t>
            </w:r>
          </w:p>
        </w:tc>
        <w:tc>
          <w:tcPr>
            <w:tcW w:w="1633" w:type="dxa"/>
            <w:shd w:val="clear" w:color="auto" w:fill="auto"/>
          </w:tcPr>
          <w:p w14:paraId="1EC30AE8"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3B861C11" w14:textId="77777777" w:rsidR="00D32A05" w:rsidRPr="001C29FC" w:rsidRDefault="00D32A05" w:rsidP="00D32A05">
            <w:pPr>
              <w:pStyle w:val="TableText"/>
              <w:rPr>
                <w:color w:val="000000"/>
                <w:szCs w:val="18"/>
              </w:rPr>
            </w:pPr>
            <w:r w:rsidRPr="001C29FC">
              <w:rPr>
                <w:color w:val="000000"/>
                <w:szCs w:val="18"/>
              </w:rPr>
              <w:t>Accrue workload when a unit is released from quarantine. When a batch of units is selected, each unit accrues workload.</w:t>
            </w:r>
          </w:p>
        </w:tc>
      </w:tr>
      <w:tr w:rsidR="00D32A05" w:rsidRPr="001C29FC" w14:paraId="0F1BD992" w14:textId="77777777" w:rsidTr="00D32A05">
        <w:trPr>
          <w:cantSplit/>
          <w:tblHeader/>
        </w:trPr>
        <w:tc>
          <w:tcPr>
            <w:tcW w:w="1803" w:type="dxa"/>
            <w:shd w:val="clear" w:color="auto" w:fill="auto"/>
          </w:tcPr>
          <w:p w14:paraId="5D4F932D" w14:textId="77777777" w:rsidR="00D32A05" w:rsidRPr="001C29FC" w:rsidRDefault="00D32A05" w:rsidP="00D32A05">
            <w:pPr>
              <w:pStyle w:val="TableText"/>
              <w:rPr>
                <w:color w:val="000000"/>
                <w:szCs w:val="18"/>
              </w:rPr>
            </w:pPr>
            <w:r w:rsidRPr="001C29FC">
              <w:rPr>
                <w:color w:val="000000"/>
                <w:szCs w:val="18"/>
              </w:rPr>
              <w:t>Return Issued Unit</w:t>
            </w:r>
          </w:p>
        </w:tc>
        <w:tc>
          <w:tcPr>
            <w:tcW w:w="1442" w:type="dxa"/>
            <w:shd w:val="clear" w:color="auto" w:fill="auto"/>
          </w:tcPr>
          <w:p w14:paraId="50CDFFEF" w14:textId="77777777" w:rsidR="00D32A05" w:rsidRPr="001C29FC" w:rsidRDefault="00D32A05" w:rsidP="00D32A05">
            <w:pPr>
              <w:pStyle w:val="TableText"/>
              <w:rPr>
                <w:color w:val="000000"/>
                <w:szCs w:val="18"/>
              </w:rPr>
            </w:pPr>
            <w:r w:rsidRPr="001C29FC">
              <w:rPr>
                <w:color w:val="000000"/>
                <w:szCs w:val="18"/>
              </w:rPr>
              <w:t>Return Issued unit</w:t>
            </w:r>
          </w:p>
        </w:tc>
        <w:tc>
          <w:tcPr>
            <w:tcW w:w="1633" w:type="dxa"/>
            <w:shd w:val="clear" w:color="auto" w:fill="auto"/>
          </w:tcPr>
          <w:p w14:paraId="09E064D2"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00887C79"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unit is returned from issue status. </w:t>
            </w:r>
          </w:p>
        </w:tc>
      </w:tr>
      <w:tr w:rsidR="00D32A05" w:rsidRPr="001C29FC" w14:paraId="0D589DC6" w14:textId="77777777" w:rsidTr="00D32A05">
        <w:trPr>
          <w:cantSplit/>
          <w:tblHeader/>
        </w:trPr>
        <w:tc>
          <w:tcPr>
            <w:tcW w:w="1803" w:type="dxa"/>
            <w:shd w:val="clear" w:color="auto" w:fill="auto"/>
            <w:vAlign w:val="bottom"/>
          </w:tcPr>
          <w:p w14:paraId="3A765E94" w14:textId="77777777" w:rsidR="00D32A05" w:rsidRPr="001C29FC" w:rsidRDefault="00D32A05" w:rsidP="00D32A05">
            <w:pPr>
              <w:pStyle w:val="TableText"/>
            </w:pPr>
            <w:r w:rsidRPr="001C29FC">
              <w:t>Modify Units</w:t>
            </w:r>
          </w:p>
        </w:tc>
        <w:tc>
          <w:tcPr>
            <w:tcW w:w="1442" w:type="dxa"/>
            <w:vMerge w:val="restart"/>
            <w:shd w:val="clear" w:color="auto" w:fill="auto"/>
          </w:tcPr>
          <w:p w14:paraId="6A171D01" w14:textId="77777777" w:rsidR="00D32A05" w:rsidRPr="001C29FC" w:rsidRDefault="00D32A05" w:rsidP="00D32A05">
            <w:pPr>
              <w:pStyle w:val="TableText"/>
              <w:rPr>
                <w:color w:val="000000"/>
                <w:szCs w:val="18"/>
              </w:rPr>
            </w:pPr>
            <w:r w:rsidRPr="001C29FC">
              <w:rPr>
                <w:color w:val="000000"/>
                <w:szCs w:val="18"/>
              </w:rPr>
              <w:t>Thaw/pool Cryo</w:t>
            </w:r>
          </w:p>
        </w:tc>
        <w:tc>
          <w:tcPr>
            <w:tcW w:w="1633" w:type="dxa"/>
            <w:shd w:val="clear" w:color="auto" w:fill="auto"/>
          </w:tcPr>
          <w:p w14:paraId="13C0B197"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6269BBDB" w14:textId="77777777" w:rsidR="00D32A05" w:rsidRPr="001C29FC" w:rsidRDefault="00D32A05" w:rsidP="00D32A05">
            <w:pPr>
              <w:pStyle w:val="TableText"/>
              <w:rPr>
                <w:szCs w:val="18"/>
              </w:rPr>
            </w:pPr>
            <w:r w:rsidRPr="001C29FC">
              <w:rPr>
                <w:szCs w:val="18"/>
              </w:rPr>
              <w:t xml:space="preserve">Accrue workload when an </w:t>
            </w:r>
            <w:r w:rsidRPr="001C29FC">
              <w:rPr>
                <w:color w:val="000000"/>
                <w:szCs w:val="18"/>
              </w:rPr>
              <w:t>individual unit has a modification of Thaw/Pool Cryo. A single workload event is recorded regardless of the number of units included in the pooled unit. Note: Workload is not accrued when a patient assignment is processed and VBECS releases all other patient assignments. Workload is not accrued when VBECS is required to quarantine the unit.</w:t>
            </w:r>
          </w:p>
        </w:tc>
      </w:tr>
      <w:tr w:rsidR="00D32A05" w:rsidRPr="001C29FC" w14:paraId="5B139039" w14:textId="77777777" w:rsidTr="00D32A05">
        <w:trPr>
          <w:cantSplit/>
          <w:tblHeader/>
        </w:trPr>
        <w:tc>
          <w:tcPr>
            <w:tcW w:w="1803" w:type="dxa"/>
            <w:shd w:val="clear" w:color="auto" w:fill="auto"/>
            <w:vAlign w:val="bottom"/>
          </w:tcPr>
          <w:p w14:paraId="1BA966E9" w14:textId="77777777" w:rsidR="00D32A05" w:rsidRPr="001C29FC" w:rsidRDefault="00D32A05" w:rsidP="00D32A05">
            <w:pPr>
              <w:pStyle w:val="TableText"/>
            </w:pPr>
            <w:r w:rsidRPr="001C29FC">
              <w:t>Edit Unit Information*</w:t>
            </w:r>
          </w:p>
        </w:tc>
        <w:tc>
          <w:tcPr>
            <w:tcW w:w="1442" w:type="dxa"/>
            <w:vMerge/>
            <w:shd w:val="clear" w:color="auto" w:fill="auto"/>
          </w:tcPr>
          <w:p w14:paraId="4CDDB20A" w14:textId="77777777" w:rsidR="00D32A05" w:rsidRPr="001C29FC" w:rsidRDefault="00D32A05" w:rsidP="00D32A05">
            <w:pPr>
              <w:pStyle w:val="TableText"/>
              <w:rPr>
                <w:color w:val="000000"/>
                <w:szCs w:val="18"/>
              </w:rPr>
            </w:pPr>
          </w:p>
        </w:tc>
        <w:tc>
          <w:tcPr>
            <w:tcW w:w="1633" w:type="dxa"/>
            <w:shd w:val="clear" w:color="auto" w:fill="auto"/>
          </w:tcPr>
          <w:p w14:paraId="700408B7"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65CF4193" w14:textId="77777777" w:rsidR="00D32A05" w:rsidRPr="001C29FC" w:rsidRDefault="00D32A05" w:rsidP="00D32A05">
            <w:pPr>
              <w:pStyle w:val="TableText"/>
              <w:rPr>
                <w:szCs w:val="18"/>
              </w:rPr>
            </w:pPr>
            <w:r w:rsidRPr="001C29FC">
              <w:rPr>
                <w:szCs w:val="18"/>
              </w:rPr>
              <w:t>Accrue workload when a u</w:t>
            </w:r>
            <w:r w:rsidRPr="001C29FC">
              <w:rPr>
                <w:color w:val="000000"/>
                <w:szCs w:val="18"/>
              </w:rPr>
              <w:t xml:space="preserve">nit is inactivated (unit record inactivated) when the pooled unit was created in VBECS. </w:t>
            </w:r>
          </w:p>
        </w:tc>
      </w:tr>
      <w:tr w:rsidR="00D32A05" w:rsidRPr="001C29FC" w14:paraId="6B2015F2" w14:textId="77777777" w:rsidTr="00D32A05">
        <w:trPr>
          <w:cantSplit/>
          <w:tblHeader/>
        </w:trPr>
        <w:tc>
          <w:tcPr>
            <w:tcW w:w="1803" w:type="dxa"/>
            <w:shd w:val="clear" w:color="auto" w:fill="auto"/>
            <w:vAlign w:val="bottom"/>
          </w:tcPr>
          <w:p w14:paraId="1890C329" w14:textId="77777777" w:rsidR="00D32A05" w:rsidRPr="001C29FC" w:rsidRDefault="00D32A05" w:rsidP="00D32A05">
            <w:pPr>
              <w:pStyle w:val="TableText"/>
            </w:pPr>
            <w:r w:rsidRPr="001C29FC">
              <w:t>Remove Final Status</w:t>
            </w:r>
          </w:p>
        </w:tc>
        <w:tc>
          <w:tcPr>
            <w:tcW w:w="1442" w:type="dxa"/>
            <w:vMerge/>
            <w:shd w:val="clear" w:color="auto" w:fill="auto"/>
          </w:tcPr>
          <w:p w14:paraId="049BB751" w14:textId="77777777" w:rsidR="00D32A05" w:rsidRPr="001C29FC" w:rsidRDefault="00D32A05" w:rsidP="00D32A05">
            <w:pPr>
              <w:pStyle w:val="TableText"/>
              <w:rPr>
                <w:color w:val="000000"/>
                <w:szCs w:val="18"/>
              </w:rPr>
            </w:pPr>
          </w:p>
        </w:tc>
        <w:tc>
          <w:tcPr>
            <w:tcW w:w="1633" w:type="dxa"/>
            <w:shd w:val="clear" w:color="auto" w:fill="auto"/>
          </w:tcPr>
          <w:p w14:paraId="64D45379" w14:textId="77777777" w:rsidR="00D32A05" w:rsidRPr="001C29FC" w:rsidRDefault="00D32A05" w:rsidP="00D32A05">
            <w:pPr>
              <w:pStyle w:val="TableText"/>
              <w:rPr>
                <w:color w:val="000000"/>
                <w:szCs w:val="18"/>
              </w:rPr>
            </w:pPr>
            <w:r w:rsidRPr="001C29FC">
              <w:rPr>
                <w:color w:val="000000"/>
                <w:szCs w:val="18"/>
              </w:rPr>
              <w:t>N/A</w:t>
            </w:r>
          </w:p>
        </w:tc>
        <w:tc>
          <w:tcPr>
            <w:tcW w:w="4482" w:type="dxa"/>
            <w:shd w:val="clear" w:color="auto" w:fill="auto"/>
          </w:tcPr>
          <w:p w14:paraId="409339E0" w14:textId="77777777" w:rsidR="00D32A05" w:rsidRPr="001C29FC" w:rsidRDefault="00D32A05" w:rsidP="00D32A05">
            <w:pPr>
              <w:pStyle w:val="TableText"/>
              <w:rPr>
                <w:color w:val="000000"/>
                <w:szCs w:val="18"/>
              </w:rPr>
            </w:pPr>
            <w:r w:rsidRPr="001C29FC">
              <w:rPr>
                <w:color w:val="000000"/>
                <w:szCs w:val="18"/>
              </w:rPr>
              <w:t xml:space="preserve">There is no effect on workload accrual when a unit is removed from a modified status that was included in a Thaw/pool Cryo pool. </w:t>
            </w:r>
          </w:p>
        </w:tc>
      </w:tr>
      <w:tr w:rsidR="00D32A05" w:rsidRPr="001C29FC" w14:paraId="42B6ADF1" w14:textId="77777777" w:rsidTr="00D32A05">
        <w:trPr>
          <w:cantSplit/>
          <w:tblHeader/>
        </w:trPr>
        <w:tc>
          <w:tcPr>
            <w:tcW w:w="1803" w:type="dxa"/>
            <w:shd w:val="clear" w:color="auto" w:fill="auto"/>
          </w:tcPr>
          <w:p w14:paraId="48F6E15F" w14:textId="77777777" w:rsidR="00D32A05" w:rsidRPr="001C29FC" w:rsidRDefault="00D32A05" w:rsidP="00D32A05">
            <w:pPr>
              <w:pStyle w:val="TableText"/>
              <w:rPr>
                <w:color w:val="000000"/>
                <w:szCs w:val="18"/>
              </w:rPr>
            </w:pPr>
            <w:r w:rsidRPr="001C29FC">
              <w:rPr>
                <w:color w:val="000000"/>
                <w:szCs w:val="18"/>
              </w:rPr>
              <w:t>Enter Post-Transfusion Details</w:t>
            </w:r>
          </w:p>
        </w:tc>
        <w:tc>
          <w:tcPr>
            <w:tcW w:w="1442" w:type="dxa"/>
            <w:vMerge w:val="restart"/>
            <w:shd w:val="clear" w:color="auto" w:fill="auto"/>
          </w:tcPr>
          <w:p w14:paraId="4230C81D" w14:textId="77777777" w:rsidR="00D32A05" w:rsidRPr="001C29FC" w:rsidRDefault="00D32A05" w:rsidP="00D32A05">
            <w:pPr>
              <w:pStyle w:val="TableText"/>
              <w:rPr>
                <w:color w:val="000000"/>
                <w:szCs w:val="18"/>
              </w:rPr>
            </w:pPr>
            <w:r w:rsidRPr="001C29FC">
              <w:rPr>
                <w:color w:val="000000"/>
                <w:szCs w:val="18"/>
              </w:rPr>
              <w:t>Transfuse Unit</w:t>
            </w:r>
          </w:p>
        </w:tc>
        <w:tc>
          <w:tcPr>
            <w:tcW w:w="1633" w:type="dxa"/>
            <w:shd w:val="clear" w:color="auto" w:fill="auto"/>
          </w:tcPr>
          <w:p w14:paraId="6479C8C4"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2F17E4F1" w14:textId="77777777" w:rsidR="00D32A05" w:rsidRPr="001C29FC" w:rsidRDefault="00D32A05" w:rsidP="00D32A05">
            <w:pPr>
              <w:pStyle w:val="TableText"/>
              <w:rPr>
                <w:szCs w:val="18"/>
              </w:rPr>
            </w:pPr>
            <w:r w:rsidRPr="001C29FC">
              <w:rPr>
                <w:szCs w:val="18"/>
              </w:rPr>
              <w:t xml:space="preserve">Accrue workload when an </w:t>
            </w:r>
            <w:r w:rsidRPr="001C29FC">
              <w:rPr>
                <w:color w:val="000000"/>
                <w:szCs w:val="18"/>
              </w:rPr>
              <w:t>individual blood unit’s status is updated to “transfused.“</w:t>
            </w:r>
          </w:p>
        </w:tc>
      </w:tr>
      <w:tr w:rsidR="00D32A05" w:rsidRPr="001C29FC" w14:paraId="5AEEFA5A" w14:textId="77777777" w:rsidTr="00D32A05">
        <w:trPr>
          <w:cantSplit/>
          <w:tblHeader/>
        </w:trPr>
        <w:tc>
          <w:tcPr>
            <w:tcW w:w="1803" w:type="dxa"/>
            <w:shd w:val="clear" w:color="auto" w:fill="auto"/>
            <w:vAlign w:val="bottom"/>
          </w:tcPr>
          <w:p w14:paraId="753BDFD2" w14:textId="77777777" w:rsidR="00D32A05" w:rsidRPr="001C29FC" w:rsidRDefault="00D32A05" w:rsidP="00D32A05">
            <w:pPr>
              <w:pStyle w:val="TableText"/>
            </w:pPr>
            <w:r w:rsidRPr="001C29FC">
              <w:t>Remove Final Status*</w:t>
            </w:r>
          </w:p>
        </w:tc>
        <w:tc>
          <w:tcPr>
            <w:tcW w:w="1442" w:type="dxa"/>
            <w:vMerge/>
            <w:shd w:val="clear" w:color="auto" w:fill="auto"/>
          </w:tcPr>
          <w:p w14:paraId="1506835D" w14:textId="77777777" w:rsidR="00D32A05" w:rsidRPr="001C29FC" w:rsidRDefault="00D32A05" w:rsidP="00D32A05">
            <w:pPr>
              <w:pStyle w:val="TableText"/>
              <w:rPr>
                <w:color w:val="000000"/>
                <w:szCs w:val="18"/>
              </w:rPr>
            </w:pPr>
          </w:p>
        </w:tc>
        <w:tc>
          <w:tcPr>
            <w:tcW w:w="1633" w:type="dxa"/>
            <w:shd w:val="clear" w:color="auto" w:fill="auto"/>
          </w:tcPr>
          <w:p w14:paraId="35EA34DE"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74FAF752" w14:textId="77777777" w:rsidR="00D32A05" w:rsidRPr="001C29FC" w:rsidRDefault="00D32A05" w:rsidP="00D32A05">
            <w:pPr>
              <w:pStyle w:val="TableText"/>
              <w:rPr>
                <w:color w:val="000000"/>
                <w:szCs w:val="18"/>
              </w:rPr>
            </w:pPr>
            <w:r w:rsidRPr="001C29FC">
              <w:rPr>
                <w:color w:val="000000"/>
                <w:szCs w:val="18"/>
              </w:rPr>
              <w:t>An individual blood unit’s status is invalidated when the unit was in a status of “transfused.”</w:t>
            </w:r>
          </w:p>
        </w:tc>
      </w:tr>
      <w:tr w:rsidR="00D32A05" w:rsidRPr="001C29FC" w14:paraId="54D9D6F5" w14:textId="77777777" w:rsidTr="00D32A05">
        <w:trPr>
          <w:cantSplit/>
          <w:tblHeader/>
        </w:trPr>
        <w:tc>
          <w:tcPr>
            <w:tcW w:w="1803" w:type="dxa"/>
            <w:shd w:val="clear" w:color="auto" w:fill="auto"/>
            <w:vAlign w:val="bottom"/>
          </w:tcPr>
          <w:p w14:paraId="1D072863" w14:textId="77777777" w:rsidR="00D32A05" w:rsidRPr="001C29FC" w:rsidRDefault="00D32A05" w:rsidP="00D32A05">
            <w:pPr>
              <w:pStyle w:val="TableText"/>
            </w:pPr>
            <w:r w:rsidRPr="001C29FC">
              <w:t>Record a Transfusion Reaction Workup</w:t>
            </w:r>
          </w:p>
        </w:tc>
        <w:tc>
          <w:tcPr>
            <w:tcW w:w="1442" w:type="dxa"/>
            <w:vMerge w:val="restart"/>
            <w:shd w:val="clear" w:color="auto" w:fill="auto"/>
          </w:tcPr>
          <w:p w14:paraId="36A521B3" w14:textId="77777777" w:rsidR="00D32A05" w:rsidRPr="001C29FC" w:rsidRDefault="00D32A05" w:rsidP="00D32A05">
            <w:pPr>
              <w:pStyle w:val="TableText"/>
              <w:rPr>
                <w:color w:val="000000"/>
                <w:szCs w:val="18"/>
              </w:rPr>
            </w:pPr>
            <w:r w:rsidRPr="001C29FC">
              <w:rPr>
                <w:color w:val="000000"/>
                <w:szCs w:val="18"/>
              </w:rPr>
              <w:t>Transfusion Reaction Investigation</w:t>
            </w:r>
          </w:p>
        </w:tc>
        <w:tc>
          <w:tcPr>
            <w:tcW w:w="1633" w:type="dxa"/>
            <w:shd w:val="clear" w:color="auto" w:fill="auto"/>
          </w:tcPr>
          <w:p w14:paraId="780AB1A8"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4D4E6DDF" w14:textId="77777777" w:rsidR="00D32A05" w:rsidRPr="001C29FC" w:rsidRDefault="00D32A05" w:rsidP="00D32A05">
            <w:pPr>
              <w:pStyle w:val="TableText"/>
              <w:rPr>
                <w:color w:val="000000"/>
                <w:szCs w:val="18"/>
              </w:rPr>
            </w:pPr>
            <w:r w:rsidRPr="001C29FC">
              <w:rPr>
                <w:color w:val="000000"/>
                <w:szCs w:val="18"/>
              </w:rPr>
              <w:t xml:space="preserve">Accrue workload when a transfusion reaction investigation is saved. </w:t>
            </w:r>
            <w:r w:rsidRPr="001C29FC">
              <w:rPr>
                <w:iCs/>
                <w:color w:val="000000"/>
                <w:szCs w:val="18"/>
              </w:rPr>
              <w:t xml:space="preserve">This does </w:t>
            </w:r>
            <w:r w:rsidRPr="001C29FC">
              <w:rPr>
                <w:color w:val="000000"/>
                <w:szCs w:val="18"/>
              </w:rPr>
              <w:t>not</w:t>
            </w:r>
            <w:r w:rsidRPr="001C29FC">
              <w:rPr>
                <w:iCs/>
                <w:color w:val="000000"/>
                <w:szCs w:val="18"/>
              </w:rPr>
              <w:t xml:space="preserve"> include workload accrued by the optional TRW serologic testing.</w:t>
            </w:r>
          </w:p>
        </w:tc>
      </w:tr>
      <w:tr w:rsidR="00D32A05" w:rsidRPr="001C29FC" w14:paraId="09666470" w14:textId="77777777" w:rsidTr="00D32A05">
        <w:trPr>
          <w:cantSplit/>
          <w:tblHeader/>
        </w:trPr>
        <w:tc>
          <w:tcPr>
            <w:tcW w:w="1803" w:type="dxa"/>
            <w:shd w:val="clear" w:color="auto" w:fill="auto"/>
            <w:vAlign w:val="bottom"/>
          </w:tcPr>
          <w:p w14:paraId="441851C4" w14:textId="77777777" w:rsidR="00D32A05" w:rsidRPr="001C29FC" w:rsidRDefault="00D32A05" w:rsidP="00D32A05">
            <w:pPr>
              <w:pStyle w:val="TableText"/>
            </w:pPr>
            <w:r w:rsidRPr="001C29FC">
              <w:t>Invalidate Patient Test Results*</w:t>
            </w:r>
          </w:p>
        </w:tc>
        <w:tc>
          <w:tcPr>
            <w:tcW w:w="1442" w:type="dxa"/>
            <w:vMerge/>
            <w:shd w:val="clear" w:color="auto" w:fill="auto"/>
          </w:tcPr>
          <w:p w14:paraId="7405A118" w14:textId="77777777" w:rsidR="00D32A05" w:rsidRPr="001C29FC" w:rsidRDefault="00D32A05" w:rsidP="00D32A05">
            <w:pPr>
              <w:pStyle w:val="TableText"/>
              <w:rPr>
                <w:color w:val="000000"/>
                <w:szCs w:val="18"/>
              </w:rPr>
            </w:pPr>
          </w:p>
        </w:tc>
        <w:tc>
          <w:tcPr>
            <w:tcW w:w="1633" w:type="dxa"/>
            <w:shd w:val="clear" w:color="auto" w:fill="auto"/>
          </w:tcPr>
          <w:p w14:paraId="17020E35"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44E7BDBA" w14:textId="77777777" w:rsidR="00D32A05" w:rsidRPr="001C29FC" w:rsidRDefault="00D32A05" w:rsidP="00D32A05">
            <w:pPr>
              <w:pStyle w:val="TableText"/>
              <w:rPr>
                <w:szCs w:val="18"/>
              </w:rPr>
            </w:pPr>
            <w:r w:rsidRPr="001C29FC">
              <w:rPr>
                <w:szCs w:val="18"/>
              </w:rPr>
              <w:t xml:space="preserve">Accrue workload when a </w:t>
            </w:r>
            <w:r w:rsidRPr="001C29FC">
              <w:rPr>
                <w:color w:val="000000"/>
                <w:szCs w:val="18"/>
              </w:rPr>
              <w:t>transfusion reaction investigation previously saved is invalidated.</w:t>
            </w:r>
          </w:p>
        </w:tc>
      </w:tr>
      <w:tr w:rsidR="00D32A05" w:rsidRPr="001C29FC" w14:paraId="70913AAF" w14:textId="77777777" w:rsidTr="00D32A05">
        <w:trPr>
          <w:cantSplit/>
          <w:tblHeader/>
        </w:trPr>
        <w:tc>
          <w:tcPr>
            <w:tcW w:w="1803" w:type="dxa"/>
            <w:shd w:val="clear" w:color="auto" w:fill="auto"/>
            <w:vAlign w:val="bottom"/>
          </w:tcPr>
          <w:p w14:paraId="3827C453" w14:textId="77777777" w:rsidR="00D32A05" w:rsidRPr="001C29FC" w:rsidRDefault="00D32A05" w:rsidP="00D32A05">
            <w:pPr>
              <w:pStyle w:val="TableText"/>
            </w:pPr>
            <w:r w:rsidRPr="001C29FC">
              <w:t>Unit Antigen Typing</w:t>
            </w:r>
          </w:p>
        </w:tc>
        <w:tc>
          <w:tcPr>
            <w:tcW w:w="1442" w:type="dxa"/>
            <w:vMerge w:val="restart"/>
            <w:shd w:val="clear" w:color="auto" w:fill="auto"/>
          </w:tcPr>
          <w:p w14:paraId="68A3815C" w14:textId="77777777" w:rsidR="00D32A05" w:rsidRPr="001C29FC" w:rsidRDefault="00D32A05" w:rsidP="00D32A05">
            <w:pPr>
              <w:pStyle w:val="TableText"/>
              <w:rPr>
                <w:color w:val="000000"/>
                <w:szCs w:val="18"/>
              </w:rPr>
            </w:pPr>
            <w:r w:rsidRPr="001C29FC">
              <w:rPr>
                <w:color w:val="000000"/>
                <w:szCs w:val="18"/>
              </w:rPr>
              <w:t>Unit Antigen phenotyping, Multiple Test phases</w:t>
            </w:r>
          </w:p>
        </w:tc>
        <w:tc>
          <w:tcPr>
            <w:tcW w:w="1633" w:type="dxa"/>
            <w:shd w:val="clear" w:color="auto" w:fill="auto"/>
          </w:tcPr>
          <w:p w14:paraId="63A6A520"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0B199C63" w14:textId="77777777" w:rsidR="00D32A05" w:rsidRPr="001C29FC" w:rsidRDefault="00D32A05" w:rsidP="00D32A05">
            <w:pPr>
              <w:pStyle w:val="TableText"/>
              <w:rPr>
                <w:color w:val="000000"/>
                <w:szCs w:val="18"/>
              </w:rPr>
            </w:pPr>
            <w:r w:rsidRPr="001C29FC">
              <w:rPr>
                <w:color w:val="000000"/>
                <w:szCs w:val="18"/>
              </w:rPr>
              <w:t>Accrue workload when a unit antigen phenotype test with IS/RT or IS/37 phases is selected and completed for an individual blood unit. There is no special handling for workload collection for additional repeat antigen typing tests on a unit.</w:t>
            </w:r>
          </w:p>
        </w:tc>
      </w:tr>
      <w:tr w:rsidR="00D32A05" w:rsidRPr="001C29FC" w14:paraId="06CDB613" w14:textId="77777777" w:rsidTr="00D32A05">
        <w:trPr>
          <w:cantSplit/>
          <w:tblHeader/>
        </w:trPr>
        <w:tc>
          <w:tcPr>
            <w:tcW w:w="1803" w:type="dxa"/>
            <w:shd w:val="clear" w:color="auto" w:fill="auto"/>
            <w:vAlign w:val="bottom"/>
          </w:tcPr>
          <w:p w14:paraId="0E8538AC" w14:textId="77777777" w:rsidR="00D32A05" w:rsidRPr="001C29FC" w:rsidRDefault="00D32A05" w:rsidP="00D32A05">
            <w:pPr>
              <w:pStyle w:val="TableText"/>
            </w:pPr>
            <w:r w:rsidRPr="001C29FC">
              <w:t>Edit Unit Information*</w:t>
            </w:r>
          </w:p>
        </w:tc>
        <w:tc>
          <w:tcPr>
            <w:tcW w:w="1442" w:type="dxa"/>
            <w:vMerge/>
            <w:shd w:val="clear" w:color="auto" w:fill="auto"/>
          </w:tcPr>
          <w:p w14:paraId="27DBE3F2" w14:textId="77777777" w:rsidR="00D32A05" w:rsidRPr="001C29FC" w:rsidRDefault="00D32A05" w:rsidP="00D32A05">
            <w:pPr>
              <w:pStyle w:val="TableText"/>
              <w:rPr>
                <w:color w:val="000000"/>
                <w:szCs w:val="18"/>
              </w:rPr>
            </w:pPr>
          </w:p>
        </w:tc>
        <w:tc>
          <w:tcPr>
            <w:tcW w:w="1633" w:type="dxa"/>
            <w:shd w:val="clear" w:color="auto" w:fill="auto"/>
          </w:tcPr>
          <w:p w14:paraId="39C47D00"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41FC4AC8" w14:textId="77777777" w:rsidR="00D32A05" w:rsidRPr="001C29FC" w:rsidRDefault="00D32A05" w:rsidP="00D32A05">
            <w:pPr>
              <w:pStyle w:val="TableText"/>
              <w:rPr>
                <w:color w:val="000000"/>
                <w:szCs w:val="18"/>
              </w:rPr>
            </w:pPr>
            <w:r w:rsidRPr="001C29FC">
              <w:rPr>
                <w:color w:val="000000"/>
                <w:szCs w:val="18"/>
              </w:rPr>
              <w:t>Accrue workload when a unit antigen phenotype test with Multiple Test phases is invalidated for an individual blood unit.</w:t>
            </w:r>
          </w:p>
        </w:tc>
      </w:tr>
      <w:tr w:rsidR="00D32A05" w:rsidRPr="001C29FC" w14:paraId="180ECF9E" w14:textId="77777777" w:rsidTr="00D32A05">
        <w:trPr>
          <w:cantSplit/>
          <w:tblHeader/>
        </w:trPr>
        <w:tc>
          <w:tcPr>
            <w:tcW w:w="1803" w:type="dxa"/>
            <w:shd w:val="clear" w:color="auto" w:fill="auto"/>
            <w:vAlign w:val="bottom"/>
          </w:tcPr>
          <w:p w14:paraId="1CCE9B18" w14:textId="77777777" w:rsidR="00D32A05" w:rsidRPr="001C29FC" w:rsidRDefault="00D32A05" w:rsidP="00D32A05">
            <w:pPr>
              <w:pStyle w:val="TableText"/>
            </w:pPr>
            <w:r w:rsidRPr="001C29FC">
              <w:t>Unit Antigen Typing</w:t>
            </w:r>
          </w:p>
        </w:tc>
        <w:tc>
          <w:tcPr>
            <w:tcW w:w="1442" w:type="dxa"/>
            <w:vMerge w:val="restart"/>
            <w:shd w:val="clear" w:color="auto" w:fill="auto"/>
          </w:tcPr>
          <w:p w14:paraId="3D20B74B" w14:textId="77777777" w:rsidR="00D32A05" w:rsidRPr="001C29FC" w:rsidRDefault="00D32A05" w:rsidP="00D32A05">
            <w:pPr>
              <w:pStyle w:val="TableText"/>
              <w:rPr>
                <w:color w:val="000000"/>
                <w:szCs w:val="18"/>
              </w:rPr>
            </w:pPr>
            <w:r w:rsidRPr="001C29FC">
              <w:rPr>
                <w:color w:val="000000"/>
                <w:szCs w:val="18"/>
              </w:rPr>
              <w:t>Unit Antigen phenotyping, Single Test phase</w:t>
            </w:r>
          </w:p>
        </w:tc>
        <w:tc>
          <w:tcPr>
            <w:tcW w:w="1633" w:type="dxa"/>
            <w:shd w:val="clear" w:color="auto" w:fill="auto"/>
          </w:tcPr>
          <w:p w14:paraId="2B248E57"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34756E22" w14:textId="77777777" w:rsidR="00D32A05" w:rsidRPr="001C29FC" w:rsidRDefault="00D32A05" w:rsidP="00D32A05">
            <w:pPr>
              <w:pStyle w:val="TableText"/>
              <w:rPr>
                <w:color w:val="000000"/>
                <w:szCs w:val="18"/>
              </w:rPr>
            </w:pPr>
            <w:r w:rsidRPr="001C29FC">
              <w:rPr>
                <w:color w:val="000000"/>
                <w:szCs w:val="18"/>
              </w:rPr>
              <w:t>A unit antigen phenotype test with AHG or IS phase is selected and completed for an individual blood unit. There is no special handling for workload collection for additional repeat antigen typing tests on a unit.</w:t>
            </w:r>
          </w:p>
        </w:tc>
      </w:tr>
      <w:tr w:rsidR="00D32A05" w:rsidRPr="001C29FC" w14:paraId="14F52D0F" w14:textId="77777777" w:rsidTr="00D32A05">
        <w:trPr>
          <w:cantSplit/>
          <w:tblHeader/>
        </w:trPr>
        <w:tc>
          <w:tcPr>
            <w:tcW w:w="1803" w:type="dxa"/>
            <w:shd w:val="clear" w:color="auto" w:fill="auto"/>
            <w:vAlign w:val="bottom"/>
          </w:tcPr>
          <w:p w14:paraId="0B3F9BE5" w14:textId="77777777" w:rsidR="00D32A05" w:rsidRPr="001C29FC" w:rsidRDefault="00D32A05" w:rsidP="00D32A05">
            <w:pPr>
              <w:pStyle w:val="TableText"/>
            </w:pPr>
            <w:r w:rsidRPr="001C29FC">
              <w:t>Edit Unit Information*</w:t>
            </w:r>
          </w:p>
        </w:tc>
        <w:tc>
          <w:tcPr>
            <w:tcW w:w="1442" w:type="dxa"/>
            <w:vMerge/>
            <w:shd w:val="clear" w:color="auto" w:fill="auto"/>
          </w:tcPr>
          <w:p w14:paraId="224C5C36" w14:textId="77777777" w:rsidR="00D32A05" w:rsidRPr="001C29FC" w:rsidRDefault="00D32A05" w:rsidP="00D32A05">
            <w:pPr>
              <w:pStyle w:val="TableText"/>
              <w:rPr>
                <w:color w:val="000000"/>
                <w:szCs w:val="18"/>
              </w:rPr>
            </w:pPr>
          </w:p>
        </w:tc>
        <w:tc>
          <w:tcPr>
            <w:tcW w:w="1633" w:type="dxa"/>
            <w:shd w:val="clear" w:color="auto" w:fill="auto"/>
          </w:tcPr>
          <w:p w14:paraId="667A4A0C"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7C77A4AB" w14:textId="77777777" w:rsidR="00D32A05" w:rsidRPr="001C29FC" w:rsidRDefault="00D32A05" w:rsidP="00D32A05">
            <w:pPr>
              <w:pStyle w:val="TableText"/>
              <w:rPr>
                <w:color w:val="000000"/>
                <w:szCs w:val="18"/>
              </w:rPr>
            </w:pPr>
            <w:r w:rsidRPr="001C29FC">
              <w:rPr>
                <w:color w:val="000000"/>
                <w:szCs w:val="18"/>
              </w:rPr>
              <w:t>Accrue workload when a unit antigen phenotype test with Single Test phase is invalidated for an individual blood unit.</w:t>
            </w:r>
          </w:p>
        </w:tc>
      </w:tr>
      <w:tr w:rsidR="00D32A05" w:rsidRPr="001C29FC" w14:paraId="18B6AEA9" w14:textId="77777777" w:rsidTr="00D32A05">
        <w:trPr>
          <w:cantSplit/>
          <w:tblHeader/>
        </w:trPr>
        <w:tc>
          <w:tcPr>
            <w:tcW w:w="1803" w:type="dxa"/>
            <w:shd w:val="clear" w:color="auto" w:fill="auto"/>
            <w:vAlign w:val="bottom"/>
          </w:tcPr>
          <w:p w14:paraId="1CCE5285" w14:textId="77777777" w:rsidR="00D32A05" w:rsidRPr="001C29FC" w:rsidRDefault="00D32A05" w:rsidP="00D32A05">
            <w:pPr>
              <w:pStyle w:val="TableText"/>
            </w:pPr>
            <w:r w:rsidRPr="001C29FC">
              <w:lastRenderedPageBreak/>
              <w:t>Incoming Shipment</w:t>
            </w:r>
          </w:p>
        </w:tc>
        <w:tc>
          <w:tcPr>
            <w:tcW w:w="1442" w:type="dxa"/>
            <w:vMerge w:val="restart"/>
            <w:shd w:val="clear" w:color="auto" w:fill="auto"/>
          </w:tcPr>
          <w:p w14:paraId="32408964" w14:textId="77777777" w:rsidR="00D32A05" w:rsidRPr="001C29FC" w:rsidRDefault="00D32A05" w:rsidP="00D32A05">
            <w:pPr>
              <w:pStyle w:val="TableText"/>
              <w:rPr>
                <w:color w:val="000000"/>
                <w:szCs w:val="18"/>
              </w:rPr>
            </w:pPr>
            <w:r w:rsidRPr="001C29FC">
              <w:rPr>
                <w:color w:val="000000"/>
                <w:szCs w:val="18"/>
              </w:rPr>
              <w:t>Unit login</w:t>
            </w:r>
          </w:p>
        </w:tc>
        <w:tc>
          <w:tcPr>
            <w:tcW w:w="1633" w:type="dxa"/>
            <w:shd w:val="clear" w:color="auto" w:fill="auto"/>
          </w:tcPr>
          <w:p w14:paraId="70E38955"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64187112" w14:textId="77777777" w:rsidR="00D32A05" w:rsidRPr="001C29FC" w:rsidRDefault="00D32A05" w:rsidP="00D32A05">
            <w:pPr>
              <w:pStyle w:val="TableText"/>
              <w:rPr>
                <w:color w:val="000000"/>
                <w:szCs w:val="18"/>
              </w:rPr>
            </w:pPr>
            <w:r w:rsidRPr="001C29FC">
              <w:rPr>
                <w:color w:val="000000"/>
                <w:szCs w:val="18"/>
              </w:rPr>
              <w:t>An individual unit record is activated as “saved” to an incoming shipment invoice. When multiple units are entered, each unit added to the database accrues workload.</w:t>
            </w:r>
          </w:p>
        </w:tc>
      </w:tr>
      <w:tr w:rsidR="00D32A05" w:rsidRPr="001C29FC" w14:paraId="096B693D" w14:textId="77777777" w:rsidTr="00D32A05">
        <w:trPr>
          <w:cantSplit/>
          <w:tblHeader/>
        </w:trPr>
        <w:tc>
          <w:tcPr>
            <w:tcW w:w="1803" w:type="dxa"/>
            <w:shd w:val="clear" w:color="auto" w:fill="auto"/>
            <w:vAlign w:val="bottom"/>
          </w:tcPr>
          <w:p w14:paraId="33574B2F" w14:textId="77777777" w:rsidR="00D32A05" w:rsidRPr="001C29FC" w:rsidRDefault="00D32A05" w:rsidP="00D32A05">
            <w:pPr>
              <w:pStyle w:val="TableText"/>
            </w:pPr>
            <w:r w:rsidRPr="001C29FC">
              <w:t>Edit Unit Information*</w:t>
            </w:r>
          </w:p>
        </w:tc>
        <w:tc>
          <w:tcPr>
            <w:tcW w:w="1442" w:type="dxa"/>
            <w:vMerge/>
            <w:shd w:val="clear" w:color="auto" w:fill="auto"/>
          </w:tcPr>
          <w:p w14:paraId="36EC0FFC" w14:textId="77777777" w:rsidR="00D32A05" w:rsidRPr="001C29FC" w:rsidRDefault="00D32A05" w:rsidP="00D32A05">
            <w:pPr>
              <w:pStyle w:val="TableText"/>
              <w:rPr>
                <w:color w:val="000000"/>
                <w:szCs w:val="18"/>
              </w:rPr>
            </w:pPr>
          </w:p>
        </w:tc>
        <w:tc>
          <w:tcPr>
            <w:tcW w:w="1633" w:type="dxa"/>
            <w:shd w:val="clear" w:color="auto" w:fill="auto"/>
          </w:tcPr>
          <w:p w14:paraId="192DFC15"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142C7AB0" w14:textId="77777777" w:rsidR="00D32A05" w:rsidRPr="001C29FC" w:rsidRDefault="00D32A05" w:rsidP="00D32A05">
            <w:pPr>
              <w:pStyle w:val="TableText"/>
              <w:rPr>
                <w:szCs w:val="18"/>
              </w:rPr>
            </w:pPr>
            <w:r w:rsidRPr="001C29FC">
              <w:rPr>
                <w:szCs w:val="18"/>
              </w:rPr>
              <w:t>Accrue workload when a u</w:t>
            </w:r>
            <w:r w:rsidRPr="001C29FC">
              <w:rPr>
                <w:color w:val="000000"/>
                <w:szCs w:val="18"/>
              </w:rPr>
              <w:t xml:space="preserve">nit is inactivated and logged in through incoming shipment or is a pooled unit created in VBECS. When the unit was created by split modification, no workload is invalidated in this option. </w:t>
            </w:r>
          </w:p>
        </w:tc>
      </w:tr>
      <w:tr w:rsidR="00D32A05" w:rsidRPr="001C29FC" w14:paraId="38AE045E" w14:textId="77777777" w:rsidTr="00D32A05">
        <w:trPr>
          <w:cantSplit/>
          <w:tblHeader/>
        </w:trPr>
        <w:tc>
          <w:tcPr>
            <w:tcW w:w="1803" w:type="dxa"/>
            <w:shd w:val="clear" w:color="auto" w:fill="auto"/>
            <w:vAlign w:val="bottom"/>
          </w:tcPr>
          <w:p w14:paraId="78B0FE95" w14:textId="77777777" w:rsidR="00D32A05" w:rsidRPr="001C29FC" w:rsidRDefault="00D32A05" w:rsidP="00D32A05">
            <w:pPr>
              <w:pStyle w:val="TableText"/>
            </w:pPr>
            <w:r w:rsidRPr="001C29FC">
              <w:t>Outgoing Shipment</w:t>
            </w:r>
          </w:p>
        </w:tc>
        <w:tc>
          <w:tcPr>
            <w:tcW w:w="1442" w:type="dxa"/>
            <w:vMerge w:val="restart"/>
            <w:shd w:val="clear" w:color="auto" w:fill="auto"/>
          </w:tcPr>
          <w:p w14:paraId="39238786" w14:textId="77777777" w:rsidR="00D32A05" w:rsidRPr="001C29FC" w:rsidRDefault="00D32A05" w:rsidP="00D32A05">
            <w:pPr>
              <w:pStyle w:val="TableText"/>
              <w:rPr>
                <w:color w:val="000000"/>
                <w:szCs w:val="18"/>
              </w:rPr>
            </w:pPr>
            <w:r w:rsidRPr="001C29FC">
              <w:rPr>
                <w:color w:val="000000"/>
                <w:szCs w:val="18"/>
              </w:rPr>
              <w:t>Unit logout</w:t>
            </w:r>
          </w:p>
        </w:tc>
        <w:tc>
          <w:tcPr>
            <w:tcW w:w="1633" w:type="dxa"/>
            <w:shd w:val="clear" w:color="auto" w:fill="auto"/>
          </w:tcPr>
          <w:p w14:paraId="23130103"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2B1AA80F" w14:textId="77777777" w:rsidR="00D32A05" w:rsidRPr="001C29FC" w:rsidRDefault="00D32A05" w:rsidP="00D32A05">
            <w:pPr>
              <w:pStyle w:val="TableText"/>
              <w:rPr>
                <w:color w:val="000000"/>
                <w:szCs w:val="18"/>
              </w:rPr>
            </w:pPr>
            <w:r w:rsidRPr="001C29FC">
              <w:rPr>
                <w:color w:val="000000"/>
                <w:szCs w:val="18"/>
              </w:rPr>
              <w:t>An individual unit’s status is updated to “</w:t>
            </w:r>
            <w:r w:rsidRPr="001C29FC">
              <w:rPr>
                <w:iCs/>
                <w:color w:val="000000"/>
                <w:szCs w:val="18"/>
              </w:rPr>
              <w:t>transferred”</w:t>
            </w:r>
            <w:r w:rsidRPr="001C29FC">
              <w:rPr>
                <w:color w:val="000000"/>
                <w:szCs w:val="18"/>
              </w:rPr>
              <w:t xml:space="preserve"> on a confirmed outgoing shipment invoice. When multiple units are selected, each unit accrues workload. Accrue workload on confirmation of the invoice, not the addition of a unit to a temporary outgoing shipment invoice: an invoice may be confirmed only once.</w:t>
            </w:r>
          </w:p>
        </w:tc>
      </w:tr>
      <w:tr w:rsidR="00D32A05" w:rsidRPr="001C29FC" w14:paraId="771E3CA0" w14:textId="77777777" w:rsidTr="00D32A05">
        <w:trPr>
          <w:cantSplit/>
          <w:tblHeader/>
        </w:trPr>
        <w:tc>
          <w:tcPr>
            <w:tcW w:w="1803" w:type="dxa"/>
            <w:shd w:val="clear" w:color="auto" w:fill="auto"/>
            <w:vAlign w:val="bottom"/>
          </w:tcPr>
          <w:p w14:paraId="06EA577A" w14:textId="77777777" w:rsidR="00D32A05" w:rsidRPr="001C29FC" w:rsidRDefault="00D32A05" w:rsidP="00D32A05">
            <w:pPr>
              <w:pStyle w:val="TableText"/>
            </w:pPr>
            <w:r w:rsidRPr="001C29FC">
              <w:t>Remove Final Status*</w:t>
            </w:r>
          </w:p>
        </w:tc>
        <w:tc>
          <w:tcPr>
            <w:tcW w:w="1442" w:type="dxa"/>
            <w:vMerge/>
            <w:shd w:val="clear" w:color="auto" w:fill="auto"/>
          </w:tcPr>
          <w:p w14:paraId="672AA82D" w14:textId="77777777" w:rsidR="00D32A05" w:rsidRPr="001C29FC" w:rsidRDefault="00D32A05" w:rsidP="00D32A05">
            <w:pPr>
              <w:pStyle w:val="TableText"/>
              <w:rPr>
                <w:color w:val="000000"/>
                <w:szCs w:val="18"/>
              </w:rPr>
            </w:pPr>
          </w:p>
        </w:tc>
        <w:tc>
          <w:tcPr>
            <w:tcW w:w="1633" w:type="dxa"/>
            <w:shd w:val="clear" w:color="auto" w:fill="auto"/>
          </w:tcPr>
          <w:p w14:paraId="6A82C3C6"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359D85AE" w14:textId="77777777" w:rsidR="00D32A05" w:rsidRPr="001C29FC" w:rsidRDefault="00D32A05" w:rsidP="00D32A05">
            <w:pPr>
              <w:pStyle w:val="TableText"/>
              <w:rPr>
                <w:color w:val="000000"/>
                <w:szCs w:val="18"/>
              </w:rPr>
            </w:pPr>
            <w:r w:rsidRPr="001C29FC">
              <w:rPr>
                <w:color w:val="000000"/>
                <w:szCs w:val="18"/>
              </w:rPr>
              <w:t>An individual unit status is invalidated when the unit had a previous unit status of “transferred.”</w:t>
            </w:r>
          </w:p>
        </w:tc>
      </w:tr>
      <w:tr w:rsidR="00D32A05" w:rsidRPr="001C29FC" w14:paraId="77784C04" w14:textId="77777777" w:rsidTr="00D32A05">
        <w:trPr>
          <w:cantSplit/>
          <w:tblHeader/>
        </w:trPr>
        <w:tc>
          <w:tcPr>
            <w:tcW w:w="1803" w:type="dxa"/>
            <w:shd w:val="clear" w:color="auto" w:fill="auto"/>
          </w:tcPr>
          <w:p w14:paraId="5E08ACDA" w14:textId="77777777" w:rsidR="00D32A05" w:rsidRPr="001C29FC" w:rsidRDefault="00D32A05" w:rsidP="00D32A05">
            <w:pPr>
              <w:pStyle w:val="TableText"/>
              <w:rPr>
                <w:szCs w:val="18"/>
              </w:rPr>
            </w:pPr>
            <w:r w:rsidRPr="001C29FC">
              <w:rPr>
                <w:szCs w:val="18"/>
              </w:rPr>
              <w:t>Update Equipment Record</w:t>
            </w:r>
          </w:p>
        </w:tc>
        <w:tc>
          <w:tcPr>
            <w:tcW w:w="1442" w:type="dxa"/>
            <w:shd w:val="clear" w:color="auto" w:fill="auto"/>
          </w:tcPr>
          <w:p w14:paraId="0DDC023D" w14:textId="77777777" w:rsidR="00D32A05" w:rsidRPr="001C29FC" w:rsidRDefault="00D32A05" w:rsidP="00D32A05">
            <w:pPr>
              <w:pStyle w:val="TableText"/>
              <w:rPr>
                <w:szCs w:val="18"/>
              </w:rPr>
            </w:pPr>
            <w:r w:rsidRPr="001C29FC">
              <w:rPr>
                <w:szCs w:val="18"/>
              </w:rPr>
              <w:t>Update Equipment Record</w:t>
            </w:r>
          </w:p>
        </w:tc>
        <w:tc>
          <w:tcPr>
            <w:tcW w:w="1633" w:type="dxa"/>
            <w:shd w:val="clear" w:color="auto" w:fill="auto"/>
          </w:tcPr>
          <w:p w14:paraId="4C4E85DF"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7B72A030" w14:textId="77777777" w:rsidR="00D32A05" w:rsidRPr="001C29FC" w:rsidRDefault="00D32A05" w:rsidP="00D32A05">
            <w:pPr>
              <w:pStyle w:val="TableText"/>
              <w:rPr>
                <w:szCs w:val="18"/>
              </w:rPr>
            </w:pPr>
            <w:r w:rsidRPr="001C29FC">
              <w:rPr>
                <w:szCs w:val="18"/>
              </w:rPr>
              <w:t xml:space="preserve">Accrue workload when a lot number of any type of equipment is updated in the system. </w:t>
            </w:r>
          </w:p>
        </w:tc>
      </w:tr>
      <w:tr w:rsidR="00D32A05" w:rsidRPr="001C29FC" w14:paraId="4282B00D" w14:textId="77777777" w:rsidTr="00D32A05">
        <w:trPr>
          <w:cantSplit/>
          <w:tblHeader/>
        </w:trPr>
        <w:tc>
          <w:tcPr>
            <w:tcW w:w="1803" w:type="dxa"/>
            <w:shd w:val="clear" w:color="auto" w:fill="auto"/>
          </w:tcPr>
          <w:p w14:paraId="5D093BF3" w14:textId="77777777" w:rsidR="00D32A05" w:rsidRPr="001C29FC" w:rsidRDefault="00D32A05" w:rsidP="00D32A05">
            <w:pPr>
              <w:pStyle w:val="TableText"/>
              <w:rPr>
                <w:szCs w:val="18"/>
              </w:rPr>
            </w:pPr>
            <w:r w:rsidRPr="001C29FC">
              <w:rPr>
                <w:szCs w:val="18"/>
              </w:rPr>
              <w:t>Update Reagent Inventory</w:t>
            </w:r>
          </w:p>
        </w:tc>
        <w:tc>
          <w:tcPr>
            <w:tcW w:w="1442" w:type="dxa"/>
            <w:shd w:val="clear" w:color="auto" w:fill="auto"/>
          </w:tcPr>
          <w:p w14:paraId="464DB4EA" w14:textId="77777777" w:rsidR="00D32A05" w:rsidRPr="001C29FC" w:rsidRDefault="00D32A05" w:rsidP="00D32A05">
            <w:pPr>
              <w:pStyle w:val="TableText"/>
              <w:rPr>
                <w:szCs w:val="18"/>
              </w:rPr>
            </w:pPr>
            <w:r w:rsidRPr="001C29FC">
              <w:rPr>
                <w:szCs w:val="18"/>
              </w:rPr>
              <w:t>Update Reagent Inventory</w:t>
            </w:r>
          </w:p>
        </w:tc>
        <w:tc>
          <w:tcPr>
            <w:tcW w:w="1633" w:type="dxa"/>
            <w:shd w:val="clear" w:color="auto" w:fill="auto"/>
          </w:tcPr>
          <w:p w14:paraId="2E225478"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760F42CD" w14:textId="77777777" w:rsidR="00D32A05" w:rsidRPr="001C29FC" w:rsidRDefault="00D32A05" w:rsidP="00D32A05">
            <w:pPr>
              <w:pStyle w:val="TableText"/>
              <w:rPr>
                <w:szCs w:val="18"/>
              </w:rPr>
            </w:pPr>
            <w:r w:rsidRPr="001C29FC">
              <w:rPr>
                <w:szCs w:val="18"/>
              </w:rPr>
              <w:t>Accrue workload when a lot number of any type of reagent is updated in the system. When multiple lot numbers are processed in a batch, each lot number’s workload is counted.</w:t>
            </w:r>
          </w:p>
        </w:tc>
      </w:tr>
      <w:tr w:rsidR="00D32A05" w:rsidRPr="001C29FC" w14:paraId="642D4570" w14:textId="77777777" w:rsidTr="00D32A05">
        <w:trPr>
          <w:cantSplit/>
          <w:tblHeader/>
        </w:trPr>
        <w:tc>
          <w:tcPr>
            <w:tcW w:w="1803" w:type="dxa"/>
            <w:shd w:val="clear" w:color="auto" w:fill="auto"/>
          </w:tcPr>
          <w:p w14:paraId="2AA8CD0C" w14:textId="77777777" w:rsidR="00D32A05" w:rsidRPr="001C29FC" w:rsidRDefault="00D32A05" w:rsidP="00D32A05">
            <w:pPr>
              <w:pStyle w:val="TableText"/>
              <w:rPr>
                <w:szCs w:val="18"/>
              </w:rPr>
            </w:pPr>
            <w:r w:rsidRPr="001C29FC">
              <w:rPr>
                <w:szCs w:val="18"/>
              </w:rPr>
              <w:t>Update Supply Inventory</w:t>
            </w:r>
          </w:p>
        </w:tc>
        <w:tc>
          <w:tcPr>
            <w:tcW w:w="1442" w:type="dxa"/>
            <w:shd w:val="clear" w:color="auto" w:fill="auto"/>
          </w:tcPr>
          <w:p w14:paraId="28CF1589" w14:textId="77777777" w:rsidR="00D32A05" w:rsidRPr="001C29FC" w:rsidRDefault="00D32A05" w:rsidP="00D32A05">
            <w:pPr>
              <w:pStyle w:val="TableText"/>
              <w:rPr>
                <w:szCs w:val="18"/>
              </w:rPr>
            </w:pPr>
            <w:r w:rsidRPr="001C29FC">
              <w:rPr>
                <w:szCs w:val="18"/>
              </w:rPr>
              <w:t>Update Supply Inventory</w:t>
            </w:r>
          </w:p>
        </w:tc>
        <w:tc>
          <w:tcPr>
            <w:tcW w:w="1633" w:type="dxa"/>
            <w:shd w:val="clear" w:color="auto" w:fill="auto"/>
          </w:tcPr>
          <w:p w14:paraId="2B79E9E2"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7F0E5705" w14:textId="77777777" w:rsidR="00D32A05" w:rsidRPr="001C29FC" w:rsidRDefault="00D32A05" w:rsidP="00D32A05">
            <w:pPr>
              <w:pStyle w:val="TableText"/>
              <w:rPr>
                <w:szCs w:val="18"/>
              </w:rPr>
            </w:pPr>
            <w:r w:rsidRPr="001C29FC">
              <w:rPr>
                <w:szCs w:val="18"/>
              </w:rPr>
              <w:t>Accrue workload when a lot number of any type of supply is updated in the system. When multiple lot numbers are processed in a batch, each lot number’s workload is counted.</w:t>
            </w:r>
          </w:p>
        </w:tc>
      </w:tr>
    </w:tbl>
    <w:p w14:paraId="37CDC5CF" w14:textId="77777777" w:rsidR="000C4603" w:rsidRDefault="00D32A05" w:rsidP="00965A17">
      <w:pPr>
        <w:pStyle w:val="BodyText"/>
      </w:pPr>
      <w:r w:rsidRPr="001C29FC">
        <w:t>*Accumulates negative workload when it is associated with inactivation of a unit or removal of a final status.</w:t>
      </w:r>
      <w:r w:rsidR="00965A17">
        <w:t xml:space="preserve"> </w:t>
      </w:r>
    </w:p>
    <w:p w14:paraId="6C2A7428" w14:textId="19CCE11A" w:rsidR="002A21AE" w:rsidRDefault="00AC75B2" w:rsidP="008964A9">
      <w:pPr>
        <w:pStyle w:val="Heading1"/>
      </w:pPr>
      <w:r>
        <w:rPr>
          <w:rFonts w:ascii="Times New Roman" w:hAnsi="Times New Roman" w:cs="Times New Roman"/>
          <w:sz w:val="22"/>
          <w:szCs w:val="22"/>
        </w:rPr>
        <w:br w:type="page"/>
      </w:r>
      <w:bookmarkStart w:id="856" w:name="_Toc4588918"/>
      <w:r w:rsidR="002A21AE">
        <w:lastRenderedPageBreak/>
        <w:t>Index</w:t>
      </w:r>
      <w:bookmarkEnd w:id="856"/>
    </w:p>
    <w:p w14:paraId="4B822A5B" w14:textId="77777777" w:rsidR="00326905" w:rsidRDefault="00E93F17" w:rsidP="009C0A99">
      <w:pPr>
        <w:pStyle w:val="BodyText"/>
        <w:jc w:val="center"/>
        <w:rPr>
          <w:rFonts w:ascii="Arial" w:hAnsi="Arial" w:cs="Arial"/>
          <w:b/>
          <w:bCs/>
          <w:noProof/>
          <w:kern w:val="32"/>
        </w:rPr>
        <w:sectPr w:rsidR="00326905" w:rsidSect="00326905">
          <w:headerReference w:type="even" r:id="rId276"/>
          <w:type w:val="continuous"/>
          <w:pgSz w:w="12240" w:h="15840" w:code="1"/>
          <w:pgMar w:top="1440" w:right="1440" w:bottom="1440" w:left="1440" w:header="720" w:footer="720" w:gutter="0"/>
          <w:cols w:space="720"/>
          <w:docGrid w:linePitch="360"/>
        </w:sectPr>
      </w:pPr>
      <w:r w:rsidRPr="00206945">
        <w:rPr>
          <w:rFonts w:ascii="Arial" w:hAnsi="Arial" w:cs="Arial"/>
          <w:b/>
          <w:bCs/>
          <w:kern w:val="32"/>
        </w:rPr>
        <w:fldChar w:fldCharType="begin"/>
      </w:r>
      <w:r w:rsidRPr="00206945">
        <w:rPr>
          <w:rFonts w:ascii="Arial" w:hAnsi="Arial" w:cs="Arial"/>
          <w:b/>
          <w:bCs/>
          <w:kern w:val="32"/>
        </w:rPr>
        <w:instrText xml:space="preserve"> INDEX \e "</w:instrText>
      </w:r>
      <w:r w:rsidRPr="00206945">
        <w:rPr>
          <w:rFonts w:ascii="Arial" w:hAnsi="Arial" w:cs="Arial"/>
          <w:b/>
          <w:bCs/>
          <w:kern w:val="32"/>
        </w:rPr>
        <w:tab/>
        <w:instrText xml:space="preserve">" \h "A" \c "1" \z "1033" </w:instrText>
      </w:r>
      <w:r w:rsidRPr="00206945">
        <w:rPr>
          <w:rFonts w:ascii="Arial" w:hAnsi="Arial" w:cs="Arial"/>
          <w:b/>
          <w:bCs/>
          <w:kern w:val="32"/>
        </w:rPr>
        <w:fldChar w:fldCharType="separate"/>
      </w:r>
    </w:p>
    <w:p w14:paraId="5B9FD394" w14:textId="77777777" w:rsidR="00326905" w:rsidRDefault="00326905">
      <w:pPr>
        <w:pStyle w:val="IndexHeading"/>
        <w:keepNext/>
        <w:tabs>
          <w:tab w:val="right" w:leader="dot" w:pos="9350"/>
        </w:tabs>
        <w:rPr>
          <w:rFonts w:asciiTheme="minorHAnsi" w:eastAsiaTheme="minorEastAsia" w:hAnsiTheme="minorHAnsi" w:cstheme="minorBidi"/>
          <w:b w:val="0"/>
          <w:bCs w:val="0"/>
          <w:noProof/>
        </w:rPr>
      </w:pPr>
      <w:r>
        <w:rPr>
          <w:noProof/>
        </w:rPr>
        <w:t>A</w:t>
      </w:r>
    </w:p>
    <w:p w14:paraId="1D84AB89" w14:textId="77777777" w:rsidR="00326905" w:rsidRDefault="00326905">
      <w:pPr>
        <w:pStyle w:val="Index1"/>
        <w:tabs>
          <w:tab w:val="right" w:leader="dot" w:pos="9350"/>
        </w:tabs>
        <w:rPr>
          <w:noProof/>
        </w:rPr>
      </w:pPr>
      <w:r>
        <w:rPr>
          <w:noProof/>
        </w:rPr>
        <w:t>Accept Orders: Accept an Order</w:t>
      </w:r>
      <w:r>
        <w:rPr>
          <w:noProof/>
        </w:rPr>
        <w:tab/>
        <w:t>263</w:t>
      </w:r>
    </w:p>
    <w:p w14:paraId="05B56749" w14:textId="77777777" w:rsidR="00326905" w:rsidRDefault="00326905">
      <w:pPr>
        <w:pStyle w:val="Index1"/>
        <w:tabs>
          <w:tab w:val="right" w:leader="dot" w:pos="9350"/>
        </w:tabs>
        <w:rPr>
          <w:noProof/>
        </w:rPr>
      </w:pPr>
      <w:r>
        <w:rPr>
          <w:noProof/>
        </w:rPr>
        <w:t>Accessing the System</w:t>
      </w:r>
      <w:r>
        <w:rPr>
          <w:noProof/>
        </w:rPr>
        <w:tab/>
        <w:t>37</w:t>
      </w:r>
    </w:p>
    <w:p w14:paraId="1B481E0F" w14:textId="77777777" w:rsidR="00326905" w:rsidRDefault="00326905">
      <w:pPr>
        <w:pStyle w:val="Index1"/>
        <w:tabs>
          <w:tab w:val="right" w:leader="dot" w:pos="9350"/>
        </w:tabs>
        <w:rPr>
          <w:noProof/>
        </w:rPr>
      </w:pPr>
      <w:r>
        <w:rPr>
          <w:noProof/>
        </w:rPr>
        <w:t>Administrative Data Report</w:t>
      </w:r>
      <w:r>
        <w:rPr>
          <w:noProof/>
        </w:rPr>
        <w:tab/>
        <w:t>377</w:t>
      </w:r>
    </w:p>
    <w:p w14:paraId="38B5E451" w14:textId="77777777" w:rsidR="00326905" w:rsidRDefault="00326905">
      <w:pPr>
        <w:pStyle w:val="Index1"/>
        <w:tabs>
          <w:tab w:val="right" w:leader="dot" w:pos="9350"/>
        </w:tabs>
        <w:rPr>
          <w:noProof/>
        </w:rPr>
      </w:pPr>
      <w:r>
        <w:rPr>
          <w:noProof/>
        </w:rPr>
        <w:t>Appendices</w:t>
      </w:r>
      <w:r>
        <w:rPr>
          <w:noProof/>
        </w:rPr>
        <w:tab/>
        <w:t>4</w:t>
      </w:r>
    </w:p>
    <w:p w14:paraId="3504BA1D" w14:textId="77777777" w:rsidR="00326905" w:rsidRDefault="00326905">
      <w:pPr>
        <w:pStyle w:val="Index1"/>
        <w:tabs>
          <w:tab w:val="right" w:leader="dot" w:pos="9350"/>
        </w:tabs>
        <w:rPr>
          <w:noProof/>
        </w:rPr>
      </w:pPr>
      <w:r>
        <w:rPr>
          <w:noProof/>
        </w:rPr>
        <w:t>Application Architecture</w:t>
      </w:r>
      <w:r>
        <w:rPr>
          <w:noProof/>
        </w:rPr>
        <w:tab/>
        <w:t>6</w:t>
      </w:r>
    </w:p>
    <w:p w14:paraId="1164B757" w14:textId="77777777" w:rsidR="00326905" w:rsidRDefault="00326905">
      <w:pPr>
        <w:pStyle w:val="Index1"/>
        <w:tabs>
          <w:tab w:val="right" w:leader="dot" w:pos="9350"/>
        </w:tabs>
        <w:rPr>
          <w:noProof/>
        </w:rPr>
      </w:pPr>
      <w:r>
        <w:rPr>
          <w:noProof/>
        </w:rPr>
        <w:t>Assumptions</w:t>
      </w:r>
      <w:r>
        <w:rPr>
          <w:noProof/>
        </w:rPr>
        <w:tab/>
        <w:t>174</w:t>
      </w:r>
    </w:p>
    <w:p w14:paraId="5FDA3F0C" w14:textId="77777777" w:rsidR="00326905" w:rsidRDefault="00326905">
      <w:pPr>
        <w:pStyle w:val="Index1"/>
        <w:tabs>
          <w:tab w:val="right" w:leader="dot" w:pos="9350"/>
        </w:tabs>
        <w:rPr>
          <w:noProof/>
        </w:rPr>
      </w:pPr>
      <w:r>
        <w:rPr>
          <w:noProof/>
        </w:rPr>
        <w:t>Audit Trail</w:t>
      </w:r>
      <w:r>
        <w:rPr>
          <w:noProof/>
        </w:rPr>
        <w:tab/>
        <w:t>380</w:t>
      </w:r>
    </w:p>
    <w:p w14:paraId="52B1A346" w14:textId="77777777" w:rsidR="00326905" w:rsidRDefault="00326905">
      <w:pPr>
        <w:pStyle w:val="Index1"/>
        <w:tabs>
          <w:tab w:val="right" w:leader="dot" w:pos="9350"/>
        </w:tabs>
        <w:rPr>
          <w:noProof/>
        </w:rPr>
      </w:pPr>
      <w:r>
        <w:rPr>
          <w:noProof/>
        </w:rPr>
        <w:t>Automated Entry of Post-Transfusion Details from BCE COTS Application</w:t>
      </w:r>
      <w:r>
        <w:rPr>
          <w:noProof/>
        </w:rPr>
        <w:tab/>
        <w:t>356</w:t>
      </w:r>
    </w:p>
    <w:p w14:paraId="03D18E33" w14:textId="77777777" w:rsidR="00326905" w:rsidRDefault="00326905">
      <w:pPr>
        <w:pStyle w:val="Index1"/>
        <w:tabs>
          <w:tab w:val="right" w:leader="dot" w:pos="9350"/>
        </w:tabs>
        <w:rPr>
          <w:noProof/>
        </w:rPr>
      </w:pPr>
      <w:r>
        <w:rPr>
          <w:noProof/>
        </w:rPr>
        <w:t>Automated Testing Interface</w:t>
      </w:r>
      <w:r>
        <w:rPr>
          <w:noProof/>
        </w:rPr>
        <w:tab/>
        <w:t>363</w:t>
      </w:r>
    </w:p>
    <w:p w14:paraId="1948DEDF" w14:textId="77777777" w:rsidR="00326905" w:rsidRDefault="00326905">
      <w:pPr>
        <w:pStyle w:val="IndexHeading"/>
        <w:keepNext/>
        <w:tabs>
          <w:tab w:val="right" w:leader="dot" w:pos="9350"/>
        </w:tabs>
        <w:rPr>
          <w:rFonts w:asciiTheme="minorHAnsi" w:eastAsiaTheme="minorEastAsia" w:hAnsiTheme="minorHAnsi" w:cstheme="minorBidi"/>
          <w:b w:val="0"/>
          <w:bCs w:val="0"/>
          <w:noProof/>
        </w:rPr>
      </w:pPr>
      <w:r>
        <w:rPr>
          <w:noProof/>
        </w:rPr>
        <w:t>B</w:t>
      </w:r>
    </w:p>
    <w:p w14:paraId="1B9AC829" w14:textId="77777777" w:rsidR="00326905" w:rsidRDefault="00326905">
      <w:pPr>
        <w:pStyle w:val="Index1"/>
        <w:tabs>
          <w:tab w:val="right" w:leader="dot" w:pos="9350"/>
        </w:tabs>
        <w:rPr>
          <w:noProof/>
        </w:rPr>
      </w:pPr>
      <w:r>
        <w:rPr>
          <w:noProof/>
        </w:rPr>
        <w:t>Background and Basic Knowledge</w:t>
      </w:r>
      <w:r>
        <w:rPr>
          <w:noProof/>
        </w:rPr>
        <w:tab/>
        <w:t>3</w:t>
      </w:r>
    </w:p>
    <w:p w14:paraId="1BFD9ABF" w14:textId="77777777" w:rsidR="00326905" w:rsidRDefault="00326905">
      <w:pPr>
        <w:pStyle w:val="Index1"/>
        <w:tabs>
          <w:tab w:val="right" w:leader="dot" w:pos="9350"/>
        </w:tabs>
        <w:rPr>
          <w:noProof/>
        </w:rPr>
      </w:pPr>
      <w:r>
        <w:rPr>
          <w:noProof/>
        </w:rPr>
        <w:t>Barcode Scanner Configuration and Troubleshooting</w:t>
      </w:r>
      <w:r>
        <w:rPr>
          <w:noProof/>
        </w:rPr>
        <w:tab/>
        <w:t>549</w:t>
      </w:r>
    </w:p>
    <w:p w14:paraId="6B2660A9" w14:textId="77777777" w:rsidR="00326905" w:rsidRDefault="00326905">
      <w:pPr>
        <w:pStyle w:val="Index1"/>
        <w:tabs>
          <w:tab w:val="right" w:leader="dot" w:pos="9350"/>
        </w:tabs>
        <w:rPr>
          <w:noProof/>
        </w:rPr>
      </w:pPr>
      <w:r>
        <w:rPr>
          <w:noProof/>
        </w:rPr>
        <w:t>Blood Availability</w:t>
      </w:r>
      <w:r>
        <w:rPr>
          <w:noProof/>
        </w:rPr>
        <w:tab/>
        <w:t>382</w:t>
      </w:r>
    </w:p>
    <w:p w14:paraId="3A5713FA" w14:textId="77777777" w:rsidR="00326905" w:rsidRDefault="00326905">
      <w:pPr>
        <w:pStyle w:val="IndexHeading"/>
        <w:keepNext/>
        <w:tabs>
          <w:tab w:val="right" w:leader="dot" w:pos="9350"/>
        </w:tabs>
        <w:rPr>
          <w:rFonts w:asciiTheme="minorHAnsi" w:eastAsiaTheme="minorEastAsia" w:hAnsiTheme="minorHAnsi" w:cstheme="minorBidi"/>
          <w:b w:val="0"/>
          <w:bCs w:val="0"/>
          <w:noProof/>
        </w:rPr>
      </w:pPr>
      <w:r>
        <w:rPr>
          <w:noProof/>
        </w:rPr>
        <w:t>C</w:t>
      </w:r>
    </w:p>
    <w:p w14:paraId="39A63CE8" w14:textId="77777777" w:rsidR="00326905" w:rsidRDefault="00326905">
      <w:pPr>
        <w:pStyle w:val="Index1"/>
        <w:tabs>
          <w:tab w:val="right" w:leader="dot" w:pos="9350"/>
        </w:tabs>
        <w:rPr>
          <w:noProof/>
        </w:rPr>
      </w:pPr>
      <w:r>
        <w:rPr>
          <w:noProof/>
        </w:rPr>
        <w:t>C:T Ratio Report</w:t>
      </w:r>
      <w:r>
        <w:rPr>
          <w:noProof/>
        </w:rPr>
        <w:tab/>
        <w:t>386</w:t>
      </w:r>
    </w:p>
    <w:p w14:paraId="397B5704" w14:textId="77777777" w:rsidR="00326905" w:rsidRDefault="00326905">
      <w:pPr>
        <w:pStyle w:val="Index1"/>
        <w:tabs>
          <w:tab w:val="right" w:leader="dot" w:pos="9350"/>
        </w:tabs>
        <w:rPr>
          <w:noProof/>
        </w:rPr>
      </w:pPr>
      <w:r>
        <w:rPr>
          <w:noProof/>
        </w:rPr>
        <w:t>check character</w:t>
      </w:r>
      <w:r>
        <w:rPr>
          <w:noProof/>
        </w:rPr>
        <w:tab/>
        <w:t>136</w:t>
      </w:r>
    </w:p>
    <w:p w14:paraId="4BC5F9E9" w14:textId="77777777" w:rsidR="00326905" w:rsidRDefault="00326905">
      <w:pPr>
        <w:pStyle w:val="Index1"/>
        <w:tabs>
          <w:tab w:val="right" w:leader="dot" w:pos="9350"/>
        </w:tabs>
        <w:rPr>
          <w:noProof/>
        </w:rPr>
      </w:pPr>
      <w:r>
        <w:rPr>
          <w:noProof/>
        </w:rPr>
        <w:t>Collecting Workload</w:t>
      </w:r>
      <w:r>
        <w:rPr>
          <w:noProof/>
        </w:rPr>
        <w:tab/>
        <w:t>67</w:t>
      </w:r>
    </w:p>
    <w:p w14:paraId="05114819" w14:textId="77777777" w:rsidR="00326905" w:rsidRDefault="00326905">
      <w:pPr>
        <w:pStyle w:val="Index1"/>
        <w:tabs>
          <w:tab w:val="right" w:leader="dot" w:pos="9350"/>
        </w:tabs>
        <w:rPr>
          <w:noProof/>
        </w:rPr>
      </w:pPr>
      <w:r>
        <w:rPr>
          <w:noProof/>
        </w:rPr>
        <w:t>Common Error Corrections</w:t>
      </w:r>
      <w:r>
        <w:rPr>
          <w:noProof/>
        </w:rPr>
        <w:tab/>
        <w:t>545</w:t>
      </w:r>
    </w:p>
    <w:p w14:paraId="0307A281" w14:textId="77777777" w:rsidR="00326905" w:rsidRDefault="00326905">
      <w:pPr>
        <w:pStyle w:val="Index1"/>
        <w:tabs>
          <w:tab w:val="right" w:leader="dot" w:pos="9350"/>
        </w:tabs>
        <w:rPr>
          <w:noProof/>
        </w:rPr>
      </w:pPr>
      <w:r>
        <w:rPr>
          <w:noProof/>
        </w:rPr>
        <w:t>Commonly Used System Rules</w:t>
      </w:r>
      <w:r>
        <w:rPr>
          <w:noProof/>
        </w:rPr>
        <w:tab/>
        <w:t>15</w:t>
      </w:r>
    </w:p>
    <w:p w14:paraId="56F1E3E9" w14:textId="77777777" w:rsidR="00326905" w:rsidRDefault="00326905">
      <w:pPr>
        <w:pStyle w:val="Index1"/>
        <w:tabs>
          <w:tab w:val="right" w:leader="dot" w:pos="9350"/>
        </w:tabs>
        <w:rPr>
          <w:noProof/>
        </w:rPr>
      </w:pPr>
      <w:r>
        <w:rPr>
          <w:noProof/>
        </w:rPr>
        <w:t>Component Processing</w:t>
      </w:r>
      <w:r>
        <w:rPr>
          <w:noProof/>
        </w:rPr>
        <w:tab/>
        <w:t>135</w:t>
      </w:r>
    </w:p>
    <w:p w14:paraId="18C15291" w14:textId="77777777" w:rsidR="00326905" w:rsidRDefault="00326905">
      <w:pPr>
        <w:pStyle w:val="Index1"/>
        <w:tabs>
          <w:tab w:val="right" w:leader="dot" w:pos="9350"/>
        </w:tabs>
        <w:rPr>
          <w:noProof/>
        </w:rPr>
      </w:pPr>
      <w:r>
        <w:rPr>
          <w:noProof/>
        </w:rPr>
        <w:t>Configure Division</w:t>
      </w:r>
      <w:r>
        <w:rPr>
          <w:noProof/>
        </w:rPr>
        <w:tab/>
        <w:t>78</w:t>
      </w:r>
    </w:p>
    <w:p w14:paraId="4B8944E4" w14:textId="77777777" w:rsidR="00326905" w:rsidRDefault="00326905">
      <w:pPr>
        <w:pStyle w:val="Index1"/>
        <w:tabs>
          <w:tab w:val="right" w:leader="dot" w:pos="9350"/>
        </w:tabs>
        <w:rPr>
          <w:noProof/>
        </w:rPr>
      </w:pPr>
      <w:r>
        <w:rPr>
          <w:noProof/>
        </w:rPr>
        <w:t>Configuring Site Parameters</w:t>
      </w:r>
      <w:r>
        <w:rPr>
          <w:noProof/>
        </w:rPr>
        <w:tab/>
        <w:t>69</w:t>
      </w:r>
    </w:p>
    <w:p w14:paraId="6C24ABDA" w14:textId="77777777" w:rsidR="00326905" w:rsidRDefault="00326905">
      <w:pPr>
        <w:pStyle w:val="Index1"/>
        <w:tabs>
          <w:tab w:val="right" w:leader="dot" w:pos="9350"/>
        </w:tabs>
        <w:rPr>
          <w:noProof/>
        </w:rPr>
      </w:pPr>
      <w:r>
        <w:rPr>
          <w:noProof/>
        </w:rPr>
        <w:t>Cost Accounting Report</w:t>
      </w:r>
      <w:r>
        <w:rPr>
          <w:noProof/>
        </w:rPr>
        <w:tab/>
        <w:t>384</w:t>
      </w:r>
    </w:p>
    <w:p w14:paraId="55E1BFE8" w14:textId="77777777" w:rsidR="00326905" w:rsidRDefault="00326905">
      <w:pPr>
        <w:pStyle w:val="Index1"/>
        <w:tabs>
          <w:tab w:val="right" w:leader="dot" w:pos="9350"/>
        </w:tabs>
        <w:rPr>
          <w:noProof/>
        </w:rPr>
      </w:pPr>
      <w:r>
        <w:rPr>
          <w:noProof/>
        </w:rPr>
        <w:t>Creating and Viewing Reports</w:t>
      </w:r>
      <w:r>
        <w:rPr>
          <w:noProof/>
        </w:rPr>
        <w:tab/>
        <w:t>21</w:t>
      </w:r>
    </w:p>
    <w:p w14:paraId="508C0EE8" w14:textId="77777777" w:rsidR="00326905" w:rsidRDefault="00326905">
      <w:pPr>
        <w:pStyle w:val="Index1"/>
        <w:tabs>
          <w:tab w:val="right" w:leader="dot" w:pos="9350"/>
        </w:tabs>
        <w:rPr>
          <w:noProof/>
        </w:rPr>
      </w:pPr>
      <w:r>
        <w:rPr>
          <w:noProof/>
        </w:rPr>
        <w:t>Crossmatch Interpretations</w:t>
      </w:r>
      <w:r>
        <w:rPr>
          <w:noProof/>
        </w:rPr>
        <w:tab/>
        <w:t>319</w:t>
      </w:r>
    </w:p>
    <w:p w14:paraId="2824BC24" w14:textId="77777777" w:rsidR="00326905" w:rsidRDefault="00326905">
      <w:pPr>
        <w:pStyle w:val="Index1"/>
        <w:tabs>
          <w:tab w:val="right" w:leader="dot" w:pos="9350"/>
        </w:tabs>
        <w:rPr>
          <w:noProof/>
        </w:rPr>
      </w:pPr>
      <w:r>
        <w:rPr>
          <w:noProof/>
        </w:rPr>
        <w:t>Customer Support</w:t>
      </w:r>
      <w:r>
        <w:rPr>
          <w:noProof/>
        </w:rPr>
        <w:tab/>
        <w:t>11</w:t>
      </w:r>
    </w:p>
    <w:p w14:paraId="24526D19" w14:textId="77777777" w:rsidR="00326905" w:rsidRDefault="00326905">
      <w:pPr>
        <w:pStyle w:val="IndexHeading"/>
        <w:keepNext/>
        <w:tabs>
          <w:tab w:val="right" w:leader="dot" w:pos="9350"/>
        </w:tabs>
        <w:rPr>
          <w:rFonts w:asciiTheme="minorHAnsi" w:eastAsiaTheme="minorEastAsia" w:hAnsiTheme="minorHAnsi" w:cstheme="minorBidi"/>
          <w:b w:val="0"/>
          <w:bCs w:val="0"/>
          <w:noProof/>
        </w:rPr>
      </w:pPr>
      <w:r>
        <w:rPr>
          <w:noProof/>
        </w:rPr>
        <w:t>D</w:t>
      </w:r>
    </w:p>
    <w:p w14:paraId="09301E85" w14:textId="77777777" w:rsidR="00326905" w:rsidRDefault="00326905">
      <w:pPr>
        <w:pStyle w:val="Index1"/>
        <w:tabs>
          <w:tab w:val="right" w:leader="dot" w:pos="9350"/>
        </w:tabs>
        <w:rPr>
          <w:noProof/>
        </w:rPr>
      </w:pPr>
      <w:r>
        <w:rPr>
          <w:noProof/>
        </w:rPr>
        <w:t>Database Table Information</w:t>
      </w:r>
      <w:r>
        <w:rPr>
          <w:noProof/>
        </w:rPr>
        <w:tab/>
        <w:t>443</w:t>
      </w:r>
    </w:p>
    <w:p w14:paraId="160F7DE8" w14:textId="77777777" w:rsidR="00326905" w:rsidRDefault="00326905">
      <w:pPr>
        <w:pStyle w:val="Index1"/>
        <w:tabs>
          <w:tab w:val="right" w:leader="dot" w:pos="9350"/>
        </w:tabs>
        <w:rPr>
          <w:noProof/>
        </w:rPr>
      </w:pPr>
      <w:r>
        <w:rPr>
          <w:noProof/>
        </w:rPr>
        <w:t>Date and Time</w:t>
      </w:r>
      <w:r>
        <w:rPr>
          <w:noProof/>
        </w:rPr>
        <w:tab/>
        <w:t>15</w:t>
      </w:r>
    </w:p>
    <w:p w14:paraId="6B5DD97D" w14:textId="77777777" w:rsidR="00326905" w:rsidRDefault="00326905">
      <w:pPr>
        <w:pStyle w:val="Index1"/>
        <w:tabs>
          <w:tab w:val="right" w:leader="dot" w:pos="9350"/>
        </w:tabs>
        <w:rPr>
          <w:noProof/>
        </w:rPr>
      </w:pPr>
      <w:r>
        <w:rPr>
          <w:noProof/>
        </w:rPr>
        <w:t>Discard or Quarantine Individual Units</w:t>
      </w:r>
      <w:r>
        <w:rPr>
          <w:noProof/>
        </w:rPr>
        <w:tab/>
        <w:t>208</w:t>
      </w:r>
    </w:p>
    <w:p w14:paraId="0A6D70B2" w14:textId="77777777" w:rsidR="00326905" w:rsidRDefault="00326905">
      <w:pPr>
        <w:pStyle w:val="Index1"/>
        <w:tabs>
          <w:tab w:val="right" w:leader="dot" w:pos="9350"/>
        </w:tabs>
        <w:rPr>
          <w:noProof/>
        </w:rPr>
      </w:pPr>
      <w:r>
        <w:rPr>
          <w:noProof/>
        </w:rPr>
        <w:t>Discard or Quarantine Units by Invoice</w:t>
      </w:r>
      <w:r>
        <w:rPr>
          <w:noProof/>
        </w:rPr>
        <w:tab/>
        <w:t>211</w:t>
      </w:r>
    </w:p>
    <w:p w14:paraId="23891FE0" w14:textId="77777777" w:rsidR="00326905" w:rsidRDefault="00326905">
      <w:pPr>
        <w:pStyle w:val="Index1"/>
        <w:tabs>
          <w:tab w:val="right" w:leader="dot" w:pos="9350"/>
        </w:tabs>
        <w:rPr>
          <w:noProof/>
        </w:rPr>
      </w:pPr>
      <w:r>
        <w:rPr>
          <w:noProof/>
        </w:rPr>
        <w:t>Display Order Alerts</w:t>
      </w:r>
      <w:r>
        <w:rPr>
          <w:noProof/>
        </w:rPr>
        <w:tab/>
        <w:t>271</w:t>
      </w:r>
    </w:p>
    <w:p w14:paraId="5E98AB97" w14:textId="77777777" w:rsidR="00326905" w:rsidRDefault="00326905">
      <w:pPr>
        <w:pStyle w:val="Index1"/>
        <w:tabs>
          <w:tab w:val="right" w:leader="dot" w:pos="9350"/>
        </w:tabs>
        <w:rPr>
          <w:noProof/>
        </w:rPr>
      </w:pPr>
      <w:r>
        <w:rPr>
          <w:noProof/>
        </w:rPr>
        <w:t>Display Patient Merge Alerts</w:t>
      </w:r>
      <w:r>
        <w:rPr>
          <w:noProof/>
        </w:rPr>
        <w:tab/>
        <w:t>275</w:t>
      </w:r>
    </w:p>
    <w:p w14:paraId="21FBAA2E" w14:textId="77777777" w:rsidR="00326905" w:rsidRDefault="00326905">
      <w:pPr>
        <w:pStyle w:val="Index1"/>
        <w:tabs>
          <w:tab w:val="right" w:leader="dot" w:pos="9350"/>
        </w:tabs>
        <w:rPr>
          <w:noProof/>
        </w:rPr>
      </w:pPr>
      <w:r>
        <w:rPr>
          <w:noProof/>
        </w:rPr>
        <w:t>Display Patient Update Alerts</w:t>
      </w:r>
      <w:r>
        <w:rPr>
          <w:noProof/>
        </w:rPr>
        <w:tab/>
        <w:t>273</w:t>
      </w:r>
    </w:p>
    <w:p w14:paraId="4EBC76E2" w14:textId="77777777" w:rsidR="00326905" w:rsidRDefault="00326905">
      <w:pPr>
        <w:pStyle w:val="Index1"/>
        <w:tabs>
          <w:tab w:val="right" w:leader="dot" w:pos="9350"/>
        </w:tabs>
        <w:rPr>
          <w:noProof/>
        </w:rPr>
      </w:pPr>
      <w:r>
        <w:rPr>
          <w:noProof/>
        </w:rPr>
        <w:t>Division Transfusion Report</w:t>
      </w:r>
      <w:r>
        <w:rPr>
          <w:noProof/>
        </w:rPr>
        <w:tab/>
        <w:t>388</w:t>
      </w:r>
    </w:p>
    <w:p w14:paraId="2F29A394" w14:textId="77777777" w:rsidR="00326905" w:rsidRDefault="00326905">
      <w:pPr>
        <w:pStyle w:val="Index1"/>
        <w:tabs>
          <w:tab w:val="right" w:leader="dot" w:pos="9350"/>
        </w:tabs>
        <w:rPr>
          <w:noProof/>
        </w:rPr>
      </w:pPr>
      <w:r>
        <w:rPr>
          <w:noProof/>
        </w:rPr>
        <w:t>Division Workload Report</w:t>
      </w:r>
      <w:r>
        <w:rPr>
          <w:noProof/>
        </w:rPr>
        <w:tab/>
        <w:t>390</w:t>
      </w:r>
    </w:p>
    <w:p w14:paraId="6B7538AF" w14:textId="77777777" w:rsidR="00326905" w:rsidRDefault="00326905">
      <w:pPr>
        <w:pStyle w:val="Index1"/>
        <w:tabs>
          <w:tab w:val="right" w:leader="dot" w:pos="9350"/>
        </w:tabs>
        <w:rPr>
          <w:noProof/>
        </w:rPr>
      </w:pPr>
      <w:r>
        <w:rPr>
          <w:noProof/>
        </w:rPr>
        <w:t>Document ABO Incompatible Transfusions</w:t>
      </w:r>
      <w:r>
        <w:rPr>
          <w:noProof/>
        </w:rPr>
        <w:tab/>
        <w:t>357</w:t>
      </w:r>
    </w:p>
    <w:p w14:paraId="0B0C7C33" w14:textId="77777777" w:rsidR="00326905" w:rsidRDefault="00326905">
      <w:pPr>
        <w:pStyle w:val="Index1"/>
        <w:tabs>
          <w:tab w:val="right" w:leader="dot" w:pos="9350"/>
        </w:tabs>
        <w:rPr>
          <w:noProof/>
        </w:rPr>
      </w:pPr>
      <w:r>
        <w:rPr>
          <w:noProof/>
        </w:rPr>
        <w:t>Downtime Forms and Instructions</w:t>
      </w:r>
      <w:r>
        <w:rPr>
          <w:noProof/>
        </w:rPr>
        <w:tab/>
        <w:t>433</w:t>
      </w:r>
    </w:p>
    <w:p w14:paraId="79057648" w14:textId="77777777" w:rsidR="00326905" w:rsidRDefault="00326905">
      <w:pPr>
        <w:pStyle w:val="Index1"/>
        <w:tabs>
          <w:tab w:val="right" w:leader="dot" w:pos="9350"/>
        </w:tabs>
        <w:rPr>
          <w:noProof/>
        </w:rPr>
      </w:pPr>
      <w:r>
        <w:rPr>
          <w:noProof/>
        </w:rPr>
        <w:t>Drop-Down Menus</w:t>
      </w:r>
      <w:r>
        <w:rPr>
          <w:noProof/>
        </w:rPr>
        <w:tab/>
        <w:t>58</w:t>
      </w:r>
    </w:p>
    <w:p w14:paraId="6197AC7A" w14:textId="77777777" w:rsidR="00326905" w:rsidRDefault="00326905">
      <w:pPr>
        <w:pStyle w:val="IndexHeading"/>
        <w:keepNext/>
        <w:tabs>
          <w:tab w:val="right" w:leader="dot" w:pos="9350"/>
        </w:tabs>
        <w:rPr>
          <w:rFonts w:asciiTheme="minorHAnsi" w:eastAsiaTheme="minorEastAsia" w:hAnsiTheme="minorHAnsi" w:cstheme="minorBidi"/>
          <w:b w:val="0"/>
          <w:bCs w:val="0"/>
          <w:noProof/>
        </w:rPr>
      </w:pPr>
      <w:r>
        <w:rPr>
          <w:noProof/>
        </w:rPr>
        <w:t>E</w:t>
      </w:r>
    </w:p>
    <w:p w14:paraId="12C0BC22" w14:textId="77777777" w:rsidR="00326905" w:rsidRDefault="00326905">
      <w:pPr>
        <w:pStyle w:val="Index1"/>
        <w:tabs>
          <w:tab w:val="right" w:leader="dot" w:pos="9350"/>
        </w:tabs>
        <w:rPr>
          <w:noProof/>
        </w:rPr>
      </w:pPr>
      <w:r>
        <w:rPr>
          <w:noProof/>
        </w:rPr>
        <w:t>Enter Daily QC Results</w:t>
      </w:r>
      <w:r>
        <w:rPr>
          <w:noProof/>
        </w:rPr>
        <w:tab/>
        <w:t>108</w:t>
      </w:r>
    </w:p>
    <w:p w14:paraId="06FE28D7" w14:textId="77777777" w:rsidR="00326905" w:rsidRDefault="00326905">
      <w:pPr>
        <w:pStyle w:val="Index1"/>
        <w:tabs>
          <w:tab w:val="right" w:leader="dot" w:pos="9350"/>
        </w:tabs>
        <w:rPr>
          <w:noProof/>
        </w:rPr>
      </w:pPr>
      <w:r>
        <w:rPr>
          <w:noProof/>
        </w:rPr>
        <w:lastRenderedPageBreak/>
        <w:t>Equipment</w:t>
      </w:r>
      <w:r>
        <w:rPr>
          <w:noProof/>
        </w:rPr>
        <w:tab/>
        <w:t>130</w:t>
      </w:r>
    </w:p>
    <w:p w14:paraId="5F717454" w14:textId="77777777" w:rsidR="00326905" w:rsidRDefault="00326905">
      <w:pPr>
        <w:pStyle w:val="Index1"/>
        <w:tabs>
          <w:tab w:val="right" w:leader="dot" w:pos="9350"/>
        </w:tabs>
        <w:rPr>
          <w:noProof/>
        </w:rPr>
      </w:pPr>
      <w:r>
        <w:rPr>
          <w:noProof/>
        </w:rPr>
        <w:t>Equipment: Log In Equipment</w:t>
      </w:r>
      <w:r>
        <w:rPr>
          <w:noProof/>
        </w:rPr>
        <w:tab/>
        <w:t>130</w:t>
      </w:r>
    </w:p>
    <w:p w14:paraId="1E88AB83" w14:textId="77777777" w:rsidR="00326905" w:rsidRDefault="00326905">
      <w:pPr>
        <w:pStyle w:val="Index1"/>
        <w:tabs>
          <w:tab w:val="right" w:leader="dot" w:pos="9350"/>
        </w:tabs>
        <w:rPr>
          <w:noProof/>
        </w:rPr>
      </w:pPr>
      <w:r>
        <w:rPr>
          <w:noProof/>
        </w:rPr>
        <w:t>Equipment: Maintain Equipment</w:t>
      </w:r>
      <w:r>
        <w:rPr>
          <w:noProof/>
        </w:rPr>
        <w:tab/>
        <w:t>133</w:t>
      </w:r>
    </w:p>
    <w:p w14:paraId="7C2870C4" w14:textId="77777777" w:rsidR="00326905" w:rsidRDefault="00326905">
      <w:pPr>
        <w:pStyle w:val="Index1"/>
        <w:tabs>
          <w:tab w:val="right" w:leader="dot" w:pos="9350"/>
        </w:tabs>
        <w:rPr>
          <w:noProof/>
        </w:rPr>
      </w:pPr>
      <w:r>
        <w:rPr>
          <w:noProof/>
        </w:rPr>
        <w:t>Exception Report</w:t>
      </w:r>
      <w:r>
        <w:rPr>
          <w:noProof/>
        </w:rPr>
        <w:tab/>
        <w:t>392</w:t>
      </w:r>
    </w:p>
    <w:p w14:paraId="367B078A" w14:textId="77777777" w:rsidR="00326905" w:rsidRDefault="00326905">
      <w:pPr>
        <w:pStyle w:val="IndexHeading"/>
        <w:keepNext/>
        <w:tabs>
          <w:tab w:val="right" w:leader="dot" w:pos="9350"/>
        </w:tabs>
        <w:rPr>
          <w:rFonts w:asciiTheme="minorHAnsi" w:eastAsiaTheme="minorEastAsia" w:hAnsiTheme="minorHAnsi" w:cstheme="minorBidi"/>
          <w:b w:val="0"/>
          <w:bCs w:val="0"/>
          <w:noProof/>
        </w:rPr>
      </w:pPr>
      <w:r>
        <w:rPr>
          <w:noProof/>
        </w:rPr>
        <w:t>F</w:t>
      </w:r>
    </w:p>
    <w:p w14:paraId="28DD082F" w14:textId="77777777" w:rsidR="00326905" w:rsidRDefault="00326905">
      <w:pPr>
        <w:pStyle w:val="Index1"/>
        <w:tabs>
          <w:tab w:val="right" w:leader="dot" w:pos="9350"/>
        </w:tabs>
        <w:rPr>
          <w:noProof/>
        </w:rPr>
      </w:pPr>
      <w:r>
        <w:rPr>
          <w:noProof/>
        </w:rPr>
        <w:t>Figures</w:t>
      </w:r>
    </w:p>
    <w:p w14:paraId="428FBEC1" w14:textId="77777777" w:rsidR="00326905" w:rsidRDefault="00326905">
      <w:pPr>
        <w:pStyle w:val="Index2"/>
        <w:tabs>
          <w:tab w:val="right" w:leader="dot" w:pos="9350"/>
        </w:tabs>
        <w:rPr>
          <w:noProof/>
        </w:rPr>
      </w:pPr>
      <w:r>
        <w:rPr>
          <w:noProof/>
        </w:rPr>
        <w:t>Barcode Scanner Configuration</w:t>
      </w:r>
      <w:r>
        <w:rPr>
          <w:noProof/>
        </w:rPr>
        <w:tab/>
        <w:t>549</w:t>
      </w:r>
    </w:p>
    <w:p w14:paraId="1F95B720" w14:textId="77777777" w:rsidR="00326905" w:rsidRDefault="00326905">
      <w:pPr>
        <w:pStyle w:val="Index2"/>
        <w:tabs>
          <w:tab w:val="right" w:leader="dot" w:pos="9350"/>
        </w:tabs>
        <w:rPr>
          <w:noProof/>
        </w:rPr>
      </w:pPr>
      <w:r>
        <w:rPr>
          <w:noProof/>
        </w:rPr>
        <w:t>Blood Transfusion Record Form</w:t>
      </w:r>
      <w:r>
        <w:rPr>
          <w:noProof/>
        </w:rPr>
        <w:tab/>
        <w:t>253</w:t>
      </w:r>
    </w:p>
    <w:p w14:paraId="4D9F0544" w14:textId="77777777" w:rsidR="00326905" w:rsidRDefault="00326905">
      <w:pPr>
        <w:pStyle w:val="Index2"/>
        <w:tabs>
          <w:tab w:val="right" w:leader="dot" w:pos="9350"/>
        </w:tabs>
        <w:rPr>
          <w:noProof/>
        </w:rPr>
      </w:pPr>
      <w:r>
        <w:rPr>
          <w:noProof/>
        </w:rPr>
        <w:t>Caution Tag</w:t>
      </w:r>
      <w:r>
        <w:rPr>
          <w:noProof/>
        </w:rPr>
        <w:tab/>
        <w:t>252</w:t>
      </w:r>
    </w:p>
    <w:p w14:paraId="6899D5D8" w14:textId="77777777" w:rsidR="00326905" w:rsidRDefault="00326905">
      <w:pPr>
        <w:pStyle w:val="Index2"/>
        <w:tabs>
          <w:tab w:val="right" w:leader="dot" w:pos="9350"/>
        </w:tabs>
        <w:rPr>
          <w:noProof/>
        </w:rPr>
      </w:pPr>
      <w:r>
        <w:rPr>
          <w:noProof/>
        </w:rPr>
        <w:t>Order Status Flowchart</w:t>
      </w:r>
      <w:r>
        <w:rPr>
          <w:noProof/>
        </w:rPr>
        <w:tab/>
        <w:t>467</w:t>
      </w:r>
    </w:p>
    <w:p w14:paraId="70ADBEFE" w14:textId="77777777" w:rsidR="00326905" w:rsidRDefault="00326905">
      <w:pPr>
        <w:pStyle w:val="Index2"/>
        <w:tabs>
          <w:tab w:val="right" w:leader="dot" w:pos="9350"/>
        </w:tabs>
        <w:rPr>
          <w:noProof/>
        </w:rPr>
      </w:pPr>
      <w:r>
        <w:rPr>
          <w:noProof/>
        </w:rPr>
        <w:t>Unit Status Flowchart</w:t>
      </w:r>
      <w:r>
        <w:rPr>
          <w:noProof/>
        </w:rPr>
        <w:tab/>
        <w:t>469</w:t>
      </w:r>
    </w:p>
    <w:p w14:paraId="54851C52" w14:textId="77777777" w:rsidR="00326905" w:rsidRDefault="00326905">
      <w:pPr>
        <w:pStyle w:val="Index2"/>
        <w:tabs>
          <w:tab w:val="right" w:leader="dot" w:pos="9350"/>
        </w:tabs>
        <w:rPr>
          <w:noProof/>
        </w:rPr>
      </w:pPr>
      <w:r>
        <w:rPr>
          <w:noProof/>
        </w:rPr>
        <w:t>VBECS Work Flow</w:t>
      </w:r>
      <w:r>
        <w:rPr>
          <w:noProof/>
        </w:rPr>
        <w:tab/>
        <w:t>489</w:t>
      </w:r>
    </w:p>
    <w:p w14:paraId="119C4DFC" w14:textId="77777777" w:rsidR="00326905" w:rsidRDefault="00326905">
      <w:pPr>
        <w:pStyle w:val="Index1"/>
        <w:tabs>
          <w:tab w:val="right" w:leader="dot" w:pos="9350"/>
        </w:tabs>
        <w:rPr>
          <w:noProof/>
        </w:rPr>
      </w:pPr>
      <w:r>
        <w:rPr>
          <w:noProof/>
        </w:rPr>
        <w:t>Figures and Tables</w:t>
      </w:r>
      <w:r>
        <w:rPr>
          <w:noProof/>
        </w:rPr>
        <w:tab/>
        <w:t>3</w:t>
      </w:r>
    </w:p>
    <w:p w14:paraId="34686802" w14:textId="77777777" w:rsidR="00326905" w:rsidRDefault="00326905">
      <w:pPr>
        <w:pStyle w:val="Index1"/>
        <w:tabs>
          <w:tab w:val="right" w:leader="dot" w:pos="9350"/>
        </w:tabs>
        <w:rPr>
          <w:noProof/>
        </w:rPr>
      </w:pPr>
      <w:r>
        <w:rPr>
          <w:noProof/>
        </w:rPr>
        <w:t>Finalize Transfusion Reaction Workup Report</w:t>
      </w:r>
      <w:r>
        <w:rPr>
          <w:noProof/>
        </w:rPr>
        <w:tab/>
        <w:t>339</w:t>
      </w:r>
    </w:p>
    <w:p w14:paraId="246AD5B1" w14:textId="77777777" w:rsidR="00326905" w:rsidRDefault="00326905">
      <w:pPr>
        <w:pStyle w:val="Index1"/>
        <w:tabs>
          <w:tab w:val="right" w:leader="dot" w:pos="9350"/>
        </w:tabs>
        <w:rPr>
          <w:noProof/>
        </w:rPr>
      </w:pPr>
      <w:r>
        <w:rPr>
          <w:noProof/>
        </w:rPr>
        <w:t>Finalize/Print TRW</w:t>
      </w:r>
      <w:r>
        <w:rPr>
          <w:noProof/>
        </w:rPr>
        <w:tab/>
        <w:t>338</w:t>
      </w:r>
    </w:p>
    <w:p w14:paraId="3194AD49" w14:textId="77777777" w:rsidR="00326905" w:rsidRDefault="00326905">
      <w:pPr>
        <w:pStyle w:val="Index1"/>
        <w:tabs>
          <w:tab w:val="right" w:leader="dot" w:pos="9350"/>
        </w:tabs>
        <w:rPr>
          <w:noProof/>
        </w:rPr>
      </w:pPr>
      <w:r>
        <w:rPr>
          <w:noProof/>
        </w:rPr>
        <w:t>Forms</w:t>
      </w:r>
    </w:p>
    <w:p w14:paraId="2FC89606" w14:textId="77777777" w:rsidR="00326905" w:rsidRDefault="00326905">
      <w:pPr>
        <w:pStyle w:val="Index2"/>
        <w:tabs>
          <w:tab w:val="right" w:leader="dot" w:pos="9350"/>
        </w:tabs>
        <w:rPr>
          <w:noProof/>
        </w:rPr>
      </w:pPr>
      <w:r>
        <w:rPr>
          <w:noProof/>
        </w:rPr>
        <w:t>Patient Testing Form</w:t>
      </w:r>
      <w:r>
        <w:rPr>
          <w:noProof/>
        </w:rPr>
        <w:tab/>
        <w:t>435</w:t>
      </w:r>
    </w:p>
    <w:p w14:paraId="3D30291D" w14:textId="77777777" w:rsidR="00326905" w:rsidRDefault="00326905">
      <w:pPr>
        <w:pStyle w:val="Index2"/>
        <w:tabs>
          <w:tab w:val="right" w:leader="dot" w:pos="9350"/>
        </w:tabs>
        <w:rPr>
          <w:noProof/>
        </w:rPr>
      </w:pPr>
      <w:r>
        <w:rPr>
          <w:noProof/>
        </w:rPr>
        <w:t>Unit ABO/Rh Confirmation Form</w:t>
      </w:r>
      <w:r>
        <w:rPr>
          <w:noProof/>
        </w:rPr>
        <w:tab/>
        <w:t>438</w:t>
      </w:r>
    </w:p>
    <w:p w14:paraId="7BA61B91" w14:textId="77777777" w:rsidR="00326905" w:rsidRDefault="00326905">
      <w:pPr>
        <w:pStyle w:val="Index2"/>
        <w:tabs>
          <w:tab w:val="right" w:leader="dot" w:pos="9350"/>
        </w:tabs>
        <w:rPr>
          <w:noProof/>
        </w:rPr>
      </w:pPr>
      <w:r>
        <w:rPr>
          <w:noProof/>
        </w:rPr>
        <w:t>Unit Issue and Inspection Log</w:t>
      </w:r>
      <w:r>
        <w:rPr>
          <w:noProof/>
        </w:rPr>
        <w:tab/>
        <w:t>439</w:t>
      </w:r>
    </w:p>
    <w:p w14:paraId="2E7C884E" w14:textId="77777777" w:rsidR="00326905" w:rsidRDefault="00326905">
      <w:pPr>
        <w:pStyle w:val="Index2"/>
        <w:tabs>
          <w:tab w:val="right" w:leader="dot" w:pos="9350"/>
        </w:tabs>
        <w:rPr>
          <w:noProof/>
        </w:rPr>
      </w:pPr>
      <w:r>
        <w:rPr>
          <w:noProof/>
        </w:rPr>
        <w:t>Unit Modification Form</w:t>
      </w:r>
      <w:r>
        <w:rPr>
          <w:noProof/>
        </w:rPr>
        <w:tab/>
        <w:t>440</w:t>
      </w:r>
    </w:p>
    <w:p w14:paraId="7A85F146" w14:textId="77777777" w:rsidR="00326905" w:rsidRDefault="00326905">
      <w:pPr>
        <w:pStyle w:val="Index1"/>
        <w:tabs>
          <w:tab w:val="right" w:leader="dot" w:pos="9350"/>
        </w:tabs>
        <w:rPr>
          <w:noProof/>
        </w:rPr>
      </w:pPr>
      <w:r>
        <w:rPr>
          <w:noProof/>
        </w:rPr>
        <w:t>Freeware Disclaimer</w:t>
      </w:r>
      <w:r>
        <w:rPr>
          <w:noProof/>
        </w:rPr>
        <w:tab/>
        <w:t>2</w:t>
      </w:r>
    </w:p>
    <w:p w14:paraId="7F85FB91" w14:textId="77777777" w:rsidR="00326905" w:rsidRDefault="00326905">
      <w:pPr>
        <w:pStyle w:val="Index1"/>
        <w:tabs>
          <w:tab w:val="right" w:leader="dot" w:pos="9350"/>
        </w:tabs>
        <w:rPr>
          <w:noProof/>
        </w:rPr>
      </w:pPr>
      <w:r>
        <w:rPr>
          <w:noProof/>
        </w:rPr>
        <w:t>Frequently Asked Questions</w:t>
      </w:r>
      <w:r>
        <w:rPr>
          <w:noProof/>
        </w:rPr>
        <w:tab/>
        <w:t>543</w:t>
      </w:r>
    </w:p>
    <w:p w14:paraId="5210F4AB" w14:textId="77777777" w:rsidR="00326905" w:rsidRDefault="00326905">
      <w:pPr>
        <w:pStyle w:val="IndexHeading"/>
        <w:keepNext/>
        <w:tabs>
          <w:tab w:val="right" w:leader="dot" w:pos="9350"/>
        </w:tabs>
        <w:rPr>
          <w:rFonts w:asciiTheme="minorHAnsi" w:eastAsiaTheme="minorEastAsia" w:hAnsiTheme="minorHAnsi" w:cstheme="minorBidi"/>
          <w:b w:val="0"/>
          <w:bCs w:val="0"/>
          <w:noProof/>
        </w:rPr>
      </w:pPr>
      <w:r>
        <w:rPr>
          <w:noProof/>
        </w:rPr>
        <w:t>G</w:t>
      </w:r>
    </w:p>
    <w:p w14:paraId="6F871BDC" w14:textId="77777777" w:rsidR="00326905" w:rsidRDefault="00326905">
      <w:pPr>
        <w:pStyle w:val="Index1"/>
        <w:tabs>
          <w:tab w:val="right" w:leader="dot" w:pos="9350"/>
        </w:tabs>
        <w:rPr>
          <w:noProof/>
        </w:rPr>
      </w:pPr>
      <w:r>
        <w:rPr>
          <w:noProof/>
        </w:rPr>
        <w:t>Glossary</w:t>
      </w:r>
      <w:r>
        <w:rPr>
          <w:noProof/>
        </w:rPr>
        <w:tab/>
        <w:t>423</w:t>
      </w:r>
    </w:p>
    <w:p w14:paraId="2D44BBA9" w14:textId="77777777" w:rsidR="00326905" w:rsidRDefault="00326905">
      <w:pPr>
        <w:pStyle w:val="IndexHeading"/>
        <w:keepNext/>
        <w:tabs>
          <w:tab w:val="right" w:leader="dot" w:pos="9350"/>
        </w:tabs>
        <w:rPr>
          <w:rFonts w:asciiTheme="minorHAnsi" w:eastAsiaTheme="minorEastAsia" w:hAnsiTheme="minorHAnsi" w:cstheme="minorBidi"/>
          <w:b w:val="0"/>
          <w:bCs w:val="0"/>
          <w:noProof/>
        </w:rPr>
      </w:pPr>
      <w:r>
        <w:rPr>
          <w:noProof/>
        </w:rPr>
        <w:t>H</w:t>
      </w:r>
    </w:p>
    <w:p w14:paraId="40E01C3C" w14:textId="77777777" w:rsidR="00326905" w:rsidRDefault="00326905">
      <w:pPr>
        <w:pStyle w:val="Index1"/>
        <w:tabs>
          <w:tab w:val="right" w:leader="dot" w:pos="9350"/>
        </w:tabs>
        <w:rPr>
          <w:noProof/>
        </w:rPr>
      </w:pPr>
      <w:r>
        <w:rPr>
          <w:noProof/>
        </w:rPr>
        <w:t>Hardware and Infrastructure Architecture</w:t>
      </w:r>
      <w:r>
        <w:rPr>
          <w:noProof/>
        </w:rPr>
        <w:tab/>
        <w:t>7</w:t>
      </w:r>
    </w:p>
    <w:p w14:paraId="70A7FB77" w14:textId="77777777" w:rsidR="00326905" w:rsidRDefault="00326905">
      <w:pPr>
        <w:pStyle w:val="Index1"/>
        <w:tabs>
          <w:tab w:val="right" w:leader="dot" w:pos="9350"/>
        </w:tabs>
        <w:rPr>
          <w:noProof/>
        </w:rPr>
      </w:pPr>
      <w:r>
        <w:rPr>
          <w:noProof/>
        </w:rPr>
        <w:t>How This User Guide Is Organized</w:t>
      </w:r>
      <w:r>
        <w:rPr>
          <w:noProof/>
        </w:rPr>
        <w:tab/>
        <w:t>3</w:t>
      </w:r>
    </w:p>
    <w:p w14:paraId="776703FB" w14:textId="77777777" w:rsidR="00326905" w:rsidRDefault="00326905">
      <w:pPr>
        <w:pStyle w:val="IndexHeading"/>
        <w:keepNext/>
        <w:tabs>
          <w:tab w:val="right" w:leader="dot" w:pos="9350"/>
        </w:tabs>
        <w:rPr>
          <w:rFonts w:asciiTheme="minorHAnsi" w:eastAsiaTheme="minorEastAsia" w:hAnsiTheme="minorHAnsi" w:cstheme="minorBidi"/>
          <w:b w:val="0"/>
          <w:bCs w:val="0"/>
          <w:noProof/>
        </w:rPr>
      </w:pPr>
      <w:r>
        <w:rPr>
          <w:noProof/>
        </w:rPr>
        <w:t>I</w:t>
      </w:r>
    </w:p>
    <w:p w14:paraId="4610A8D9" w14:textId="77777777" w:rsidR="00326905" w:rsidRDefault="00326905">
      <w:pPr>
        <w:pStyle w:val="Index1"/>
        <w:tabs>
          <w:tab w:val="right" w:leader="dot" w:pos="9350"/>
        </w:tabs>
        <w:rPr>
          <w:noProof/>
        </w:rPr>
      </w:pPr>
      <w:r>
        <w:rPr>
          <w:noProof/>
        </w:rPr>
        <w:t>Icons and Buttons</w:t>
      </w:r>
      <w:r>
        <w:rPr>
          <w:noProof/>
        </w:rPr>
        <w:tab/>
        <w:t>58</w:t>
      </w:r>
    </w:p>
    <w:p w14:paraId="082A5FA2" w14:textId="77777777" w:rsidR="00326905" w:rsidRDefault="00326905">
      <w:pPr>
        <w:pStyle w:val="Index1"/>
        <w:tabs>
          <w:tab w:val="right" w:leader="dot" w:pos="9350"/>
        </w:tabs>
        <w:rPr>
          <w:noProof/>
        </w:rPr>
      </w:pPr>
      <w:r>
        <w:rPr>
          <w:noProof/>
        </w:rPr>
        <w:t>Inactivate a Unit</w:t>
      </w:r>
      <w:r>
        <w:rPr>
          <w:noProof/>
        </w:rPr>
        <w:tab/>
        <w:t>202</w:t>
      </w:r>
    </w:p>
    <w:p w14:paraId="5CA37250" w14:textId="77777777" w:rsidR="00326905" w:rsidRDefault="00326905">
      <w:pPr>
        <w:pStyle w:val="Index1"/>
        <w:tabs>
          <w:tab w:val="right" w:leader="dot" w:pos="9350"/>
        </w:tabs>
        <w:rPr>
          <w:noProof/>
        </w:rPr>
      </w:pPr>
      <w:r>
        <w:rPr>
          <w:noProof/>
        </w:rPr>
        <w:t>Inappropriate Transfusion Request Report</w:t>
      </w:r>
      <w:r>
        <w:rPr>
          <w:noProof/>
        </w:rPr>
        <w:tab/>
        <w:t>394</w:t>
      </w:r>
    </w:p>
    <w:p w14:paraId="05654434" w14:textId="77777777" w:rsidR="00326905" w:rsidRDefault="00326905">
      <w:pPr>
        <w:pStyle w:val="Index1"/>
        <w:tabs>
          <w:tab w:val="right" w:leader="dot" w:pos="9350"/>
        </w:tabs>
        <w:rPr>
          <w:noProof/>
        </w:rPr>
      </w:pPr>
      <w:r>
        <w:rPr>
          <w:noProof/>
        </w:rPr>
        <w:t>Introduction</w:t>
      </w:r>
      <w:r>
        <w:rPr>
          <w:noProof/>
        </w:rPr>
        <w:tab/>
        <w:t>1</w:t>
      </w:r>
    </w:p>
    <w:p w14:paraId="18F629E7" w14:textId="77777777" w:rsidR="00326905" w:rsidRDefault="00326905">
      <w:pPr>
        <w:pStyle w:val="Index1"/>
        <w:tabs>
          <w:tab w:val="right" w:leader="dot" w:pos="9350"/>
        </w:tabs>
        <w:rPr>
          <w:noProof/>
        </w:rPr>
      </w:pPr>
      <w:r>
        <w:rPr>
          <w:noProof/>
        </w:rPr>
        <w:t>Issue Blood Components</w:t>
      </w:r>
      <w:r>
        <w:rPr>
          <w:noProof/>
        </w:rPr>
        <w:tab/>
        <w:t>225</w:t>
      </w:r>
    </w:p>
    <w:p w14:paraId="36B2406F" w14:textId="77777777" w:rsidR="00326905" w:rsidRDefault="00326905">
      <w:pPr>
        <w:pStyle w:val="Index1"/>
        <w:tabs>
          <w:tab w:val="right" w:leader="dot" w:pos="9350"/>
        </w:tabs>
        <w:rPr>
          <w:noProof/>
        </w:rPr>
      </w:pPr>
      <w:r>
        <w:rPr>
          <w:noProof/>
        </w:rPr>
        <w:t>Issue Blood Components (Emergency)</w:t>
      </w:r>
      <w:r>
        <w:rPr>
          <w:noProof/>
        </w:rPr>
        <w:tab/>
        <w:t>230</w:t>
      </w:r>
    </w:p>
    <w:p w14:paraId="6F5EC108" w14:textId="77777777" w:rsidR="00326905" w:rsidRDefault="00326905">
      <w:pPr>
        <w:pStyle w:val="Index1"/>
        <w:tabs>
          <w:tab w:val="right" w:leader="dot" w:pos="9350"/>
        </w:tabs>
        <w:rPr>
          <w:noProof/>
        </w:rPr>
      </w:pPr>
      <w:r>
        <w:rPr>
          <w:noProof/>
        </w:rPr>
        <w:t>Issue Blood Components (Routine)</w:t>
      </w:r>
      <w:r>
        <w:rPr>
          <w:noProof/>
        </w:rPr>
        <w:tab/>
        <w:t>226</w:t>
      </w:r>
    </w:p>
    <w:p w14:paraId="21204087" w14:textId="77777777" w:rsidR="00326905" w:rsidRDefault="00326905">
      <w:pPr>
        <w:pStyle w:val="Index1"/>
        <w:tabs>
          <w:tab w:val="right" w:leader="dot" w:pos="9350"/>
        </w:tabs>
        <w:rPr>
          <w:noProof/>
        </w:rPr>
      </w:pPr>
      <w:r>
        <w:rPr>
          <w:noProof/>
        </w:rPr>
        <w:t>Issued/Returned Unit Report</w:t>
      </w:r>
      <w:r>
        <w:rPr>
          <w:noProof/>
        </w:rPr>
        <w:tab/>
        <w:t>395</w:t>
      </w:r>
    </w:p>
    <w:p w14:paraId="6D582ED1" w14:textId="77777777" w:rsidR="00326905" w:rsidRDefault="00326905">
      <w:pPr>
        <w:pStyle w:val="IndexHeading"/>
        <w:keepNext/>
        <w:tabs>
          <w:tab w:val="right" w:leader="dot" w:pos="9350"/>
        </w:tabs>
        <w:rPr>
          <w:rFonts w:asciiTheme="minorHAnsi" w:eastAsiaTheme="minorEastAsia" w:hAnsiTheme="minorHAnsi" w:cstheme="minorBidi"/>
          <w:b w:val="0"/>
          <w:bCs w:val="0"/>
          <w:noProof/>
        </w:rPr>
      </w:pPr>
      <w:r>
        <w:rPr>
          <w:noProof/>
        </w:rPr>
        <w:t>J</w:t>
      </w:r>
    </w:p>
    <w:p w14:paraId="6B08F578" w14:textId="77777777" w:rsidR="00326905" w:rsidRDefault="00326905">
      <w:pPr>
        <w:pStyle w:val="Index1"/>
        <w:tabs>
          <w:tab w:val="right" w:leader="dot" w:pos="9350"/>
        </w:tabs>
        <w:rPr>
          <w:noProof/>
        </w:rPr>
      </w:pPr>
      <w:r>
        <w:rPr>
          <w:noProof/>
        </w:rPr>
        <w:t>Justify ABO/Rh Change</w:t>
      </w:r>
      <w:r>
        <w:rPr>
          <w:noProof/>
        </w:rPr>
        <w:tab/>
        <w:t>359</w:t>
      </w:r>
    </w:p>
    <w:p w14:paraId="51BDEC03" w14:textId="77777777" w:rsidR="00326905" w:rsidRDefault="00326905">
      <w:pPr>
        <w:pStyle w:val="IndexHeading"/>
        <w:keepNext/>
        <w:tabs>
          <w:tab w:val="right" w:leader="dot" w:pos="9350"/>
        </w:tabs>
        <w:rPr>
          <w:rFonts w:asciiTheme="minorHAnsi" w:eastAsiaTheme="minorEastAsia" w:hAnsiTheme="minorHAnsi" w:cstheme="minorBidi"/>
          <w:b w:val="0"/>
          <w:bCs w:val="0"/>
          <w:noProof/>
        </w:rPr>
      </w:pPr>
      <w:r>
        <w:rPr>
          <w:noProof/>
        </w:rPr>
        <w:t>K</w:t>
      </w:r>
    </w:p>
    <w:p w14:paraId="7E140CD2" w14:textId="77777777" w:rsidR="00326905" w:rsidRDefault="00326905">
      <w:pPr>
        <w:pStyle w:val="Index1"/>
        <w:tabs>
          <w:tab w:val="right" w:leader="dot" w:pos="9350"/>
        </w:tabs>
        <w:rPr>
          <w:noProof/>
        </w:rPr>
      </w:pPr>
      <w:r>
        <w:rPr>
          <w:noProof/>
        </w:rPr>
        <w:t>Keyboard Shortcuts for Windows</w:t>
      </w:r>
      <w:r>
        <w:rPr>
          <w:noProof/>
        </w:rPr>
        <w:tab/>
        <w:t>57</w:t>
      </w:r>
    </w:p>
    <w:p w14:paraId="623CDD68" w14:textId="77777777" w:rsidR="00326905" w:rsidRDefault="00326905">
      <w:pPr>
        <w:pStyle w:val="Index1"/>
        <w:tabs>
          <w:tab w:val="right" w:leader="dot" w:pos="9350"/>
        </w:tabs>
        <w:rPr>
          <w:noProof/>
        </w:rPr>
      </w:pPr>
      <w:r>
        <w:rPr>
          <w:noProof/>
        </w:rPr>
        <w:t>Known Defects and Anomalies</w:t>
      </w:r>
      <w:r>
        <w:rPr>
          <w:noProof/>
        </w:rPr>
        <w:tab/>
        <w:t>513</w:t>
      </w:r>
    </w:p>
    <w:p w14:paraId="5406C834" w14:textId="77777777" w:rsidR="00326905" w:rsidRDefault="00326905">
      <w:pPr>
        <w:pStyle w:val="IndexHeading"/>
        <w:keepNext/>
        <w:tabs>
          <w:tab w:val="right" w:leader="dot" w:pos="9350"/>
        </w:tabs>
        <w:rPr>
          <w:rFonts w:asciiTheme="minorHAnsi" w:eastAsiaTheme="minorEastAsia" w:hAnsiTheme="minorHAnsi" w:cstheme="minorBidi"/>
          <w:b w:val="0"/>
          <w:bCs w:val="0"/>
          <w:noProof/>
        </w:rPr>
      </w:pPr>
      <w:r>
        <w:rPr>
          <w:noProof/>
        </w:rPr>
        <w:lastRenderedPageBreak/>
        <w:t>L</w:t>
      </w:r>
    </w:p>
    <w:p w14:paraId="233B6289" w14:textId="77777777" w:rsidR="00326905" w:rsidRDefault="00326905">
      <w:pPr>
        <w:pStyle w:val="Index1"/>
        <w:tabs>
          <w:tab w:val="right" w:leader="dot" w:pos="9350"/>
        </w:tabs>
        <w:rPr>
          <w:noProof/>
        </w:rPr>
      </w:pPr>
      <w:r>
        <w:rPr>
          <w:noProof/>
        </w:rPr>
        <w:t>Limitations and Restrictions</w:t>
      </w:r>
      <w:r>
        <w:rPr>
          <w:noProof/>
        </w:rPr>
        <w:tab/>
        <w:t>493</w:t>
      </w:r>
    </w:p>
    <w:p w14:paraId="383FEDF9" w14:textId="77777777" w:rsidR="00326905" w:rsidRDefault="00326905">
      <w:pPr>
        <w:pStyle w:val="Index1"/>
        <w:tabs>
          <w:tab w:val="right" w:leader="dot" w:pos="9350"/>
        </w:tabs>
        <w:rPr>
          <w:noProof/>
        </w:rPr>
      </w:pPr>
      <w:r>
        <w:rPr>
          <w:noProof/>
        </w:rPr>
        <w:t>Local Facilities</w:t>
      </w:r>
      <w:r>
        <w:rPr>
          <w:noProof/>
        </w:rPr>
        <w:tab/>
        <w:t>88</w:t>
      </w:r>
    </w:p>
    <w:p w14:paraId="079938E3" w14:textId="77777777" w:rsidR="00326905" w:rsidRDefault="00326905">
      <w:pPr>
        <w:pStyle w:val="Index1"/>
        <w:tabs>
          <w:tab w:val="right" w:leader="dot" w:pos="9350"/>
        </w:tabs>
        <w:rPr>
          <w:noProof/>
        </w:rPr>
      </w:pPr>
      <w:r>
        <w:rPr>
          <w:noProof/>
        </w:rPr>
        <w:t>Local Machine Screen Resolution</w:t>
      </w:r>
      <w:r>
        <w:rPr>
          <w:noProof/>
        </w:rPr>
        <w:tab/>
        <w:t>45</w:t>
      </w:r>
    </w:p>
    <w:p w14:paraId="1C27FE43" w14:textId="77777777" w:rsidR="00326905" w:rsidRDefault="00326905">
      <w:pPr>
        <w:pStyle w:val="Index1"/>
        <w:tabs>
          <w:tab w:val="right" w:leader="dot" w:pos="9350"/>
        </w:tabs>
        <w:rPr>
          <w:noProof/>
        </w:rPr>
      </w:pPr>
      <w:r>
        <w:rPr>
          <w:noProof/>
        </w:rPr>
        <w:t>Locking and Time-Outs</w:t>
      </w:r>
      <w:r>
        <w:rPr>
          <w:noProof/>
        </w:rPr>
        <w:tab/>
        <w:t>15</w:t>
      </w:r>
    </w:p>
    <w:p w14:paraId="455200BE" w14:textId="77777777" w:rsidR="00326905" w:rsidRDefault="00326905">
      <w:pPr>
        <w:pStyle w:val="Index1"/>
        <w:tabs>
          <w:tab w:val="right" w:leader="dot" w:pos="9350"/>
        </w:tabs>
        <w:rPr>
          <w:noProof/>
        </w:rPr>
      </w:pPr>
      <w:r>
        <w:rPr>
          <w:noProof/>
        </w:rPr>
        <w:t>Log in Reagents</w:t>
      </w:r>
      <w:r>
        <w:rPr>
          <w:noProof/>
        </w:rPr>
        <w:tab/>
        <w:t>117</w:t>
      </w:r>
    </w:p>
    <w:p w14:paraId="75F35FE6" w14:textId="77777777" w:rsidR="00326905" w:rsidRDefault="00326905">
      <w:pPr>
        <w:pStyle w:val="Index1"/>
        <w:tabs>
          <w:tab w:val="right" w:leader="dot" w:pos="9350"/>
        </w:tabs>
        <w:rPr>
          <w:noProof/>
        </w:rPr>
      </w:pPr>
      <w:r>
        <w:rPr>
          <w:noProof/>
        </w:rPr>
        <w:t>Log in Supplies</w:t>
      </w:r>
      <w:r>
        <w:rPr>
          <w:noProof/>
        </w:rPr>
        <w:tab/>
        <w:t>125</w:t>
      </w:r>
    </w:p>
    <w:p w14:paraId="14B2E375" w14:textId="77777777" w:rsidR="00326905" w:rsidRDefault="00326905">
      <w:pPr>
        <w:pStyle w:val="Index1"/>
        <w:tabs>
          <w:tab w:val="right" w:leader="dot" w:pos="9350"/>
        </w:tabs>
        <w:rPr>
          <w:noProof/>
        </w:rPr>
      </w:pPr>
      <w:r>
        <w:rPr>
          <w:noProof/>
        </w:rPr>
        <w:t>Login Message</w:t>
      </w:r>
      <w:r>
        <w:rPr>
          <w:noProof/>
        </w:rPr>
        <w:tab/>
        <w:t>86</w:t>
      </w:r>
    </w:p>
    <w:p w14:paraId="2DCCBE5F" w14:textId="77777777" w:rsidR="00326905" w:rsidRDefault="00326905">
      <w:pPr>
        <w:pStyle w:val="IndexHeading"/>
        <w:keepNext/>
        <w:tabs>
          <w:tab w:val="right" w:leader="dot" w:pos="9350"/>
        </w:tabs>
        <w:rPr>
          <w:rFonts w:asciiTheme="minorHAnsi" w:eastAsiaTheme="minorEastAsia" w:hAnsiTheme="minorHAnsi" w:cstheme="minorBidi"/>
          <w:b w:val="0"/>
          <w:bCs w:val="0"/>
          <w:noProof/>
        </w:rPr>
      </w:pPr>
      <w:r>
        <w:rPr>
          <w:noProof/>
        </w:rPr>
        <w:t>M</w:t>
      </w:r>
    </w:p>
    <w:p w14:paraId="22B00533" w14:textId="77777777" w:rsidR="00326905" w:rsidRDefault="00326905">
      <w:pPr>
        <w:pStyle w:val="Index1"/>
        <w:tabs>
          <w:tab w:val="right" w:leader="dot" w:pos="9350"/>
        </w:tabs>
        <w:rPr>
          <w:noProof/>
        </w:rPr>
      </w:pPr>
      <w:r>
        <w:rPr>
          <w:noProof/>
        </w:rPr>
        <w:t>Main Status Bar</w:t>
      </w:r>
      <w:r>
        <w:rPr>
          <w:noProof/>
        </w:rPr>
        <w:tab/>
        <w:t>66</w:t>
      </w:r>
    </w:p>
    <w:p w14:paraId="55C44254" w14:textId="77777777" w:rsidR="00326905" w:rsidRDefault="00326905">
      <w:pPr>
        <w:pStyle w:val="Index1"/>
        <w:tabs>
          <w:tab w:val="right" w:leader="dot" w:pos="9350"/>
        </w:tabs>
        <w:rPr>
          <w:noProof/>
        </w:rPr>
      </w:pPr>
      <w:r>
        <w:rPr>
          <w:noProof/>
        </w:rPr>
        <w:t>Main Toolbar</w:t>
      </w:r>
      <w:r>
        <w:rPr>
          <w:noProof/>
        </w:rPr>
        <w:tab/>
        <w:t>59</w:t>
      </w:r>
    </w:p>
    <w:p w14:paraId="65317152" w14:textId="77777777" w:rsidR="00326905" w:rsidRDefault="00326905">
      <w:pPr>
        <w:pStyle w:val="Index1"/>
        <w:tabs>
          <w:tab w:val="right" w:leader="dot" w:pos="9350"/>
        </w:tabs>
        <w:rPr>
          <w:noProof/>
        </w:rPr>
      </w:pPr>
      <w:r>
        <w:rPr>
          <w:noProof/>
        </w:rPr>
        <w:t>Maintain Minimum Levels</w:t>
      </w:r>
      <w:r>
        <w:rPr>
          <w:noProof/>
        </w:rPr>
        <w:tab/>
        <w:t>123</w:t>
      </w:r>
    </w:p>
    <w:p w14:paraId="34D54AB4" w14:textId="77777777" w:rsidR="00326905" w:rsidRDefault="00326905">
      <w:pPr>
        <w:pStyle w:val="Index1"/>
        <w:tabs>
          <w:tab w:val="right" w:leader="dot" w:pos="9350"/>
        </w:tabs>
        <w:rPr>
          <w:noProof/>
        </w:rPr>
      </w:pPr>
      <w:r>
        <w:rPr>
          <w:noProof/>
        </w:rPr>
        <w:t>Maintain Patient Records</w:t>
      </w:r>
      <w:r>
        <w:rPr>
          <w:noProof/>
        </w:rPr>
        <w:tab/>
        <w:t>343</w:t>
      </w:r>
    </w:p>
    <w:p w14:paraId="759FB527" w14:textId="77777777" w:rsidR="00326905" w:rsidRDefault="00326905">
      <w:pPr>
        <w:pStyle w:val="Index1"/>
        <w:tabs>
          <w:tab w:val="right" w:leader="dot" w:pos="9350"/>
        </w:tabs>
        <w:rPr>
          <w:noProof/>
        </w:rPr>
      </w:pPr>
      <w:r>
        <w:rPr>
          <w:noProof/>
        </w:rPr>
        <w:t>Maintain Specimen</w:t>
      </w:r>
      <w:r>
        <w:rPr>
          <w:noProof/>
        </w:rPr>
        <w:tab/>
        <w:t>279</w:t>
      </w:r>
    </w:p>
    <w:p w14:paraId="0AF58A3D" w14:textId="77777777" w:rsidR="00326905" w:rsidRDefault="00326905">
      <w:pPr>
        <w:pStyle w:val="Index1"/>
        <w:tabs>
          <w:tab w:val="right" w:leader="dot" w:pos="9350"/>
        </w:tabs>
        <w:rPr>
          <w:noProof/>
        </w:rPr>
      </w:pPr>
      <w:r>
        <w:rPr>
          <w:noProof/>
        </w:rPr>
        <w:t>Maintain Unit Records</w:t>
      </w:r>
      <w:r>
        <w:rPr>
          <w:noProof/>
        </w:rPr>
        <w:tab/>
        <w:t>197</w:t>
      </w:r>
    </w:p>
    <w:p w14:paraId="08C4FD63" w14:textId="77777777" w:rsidR="00326905" w:rsidRDefault="00326905">
      <w:pPr>
        <w:pStyle w:val="Index1"/>
        <w:tabs>
          <w:tab w:val="right" w:leader="dot" w:pos="9350"/>
        </w:tabs>
        <w:rPr>
          <w:noProof/>
        </w:rPr>
      </w:pPr>
      <w:r>
        <w:rPr>
          <w:noProof/>
        </w:rPr>
        <w:t>Medication Profile</w:t>
      </w:r>
      <w:r>
        <w:rPr>
          <w:noProof/>
        </w:rPr>
        <w:tab/>
        <w:t>61</w:t>
      </w:r>
    </w:p>
    <w:p w14:paraId="08396D6D" w14:textId="77777777" w:rsidR="00326905" w:rsidRDefault="00326905">
      <w:pPr>
        <w:pStyle w:val="Index1"/>
        <w:tabs>
          <w:tab w:val="right" w:leader="dot" w:pos="9350"/>
        </w:tabs>
        <w:rPr>
          <w:noProof/>
        </w:rPr>
      </w:pPr>
      <w:r>
        <w:rPr>
          <w:noProof/>
        </w:rPr>
        <w:t>Modify Component</w:t>
      </w:r>
      <w:r>
        <w:rPr>
          <w:noProof/>
        </w:rPr>
        <w:tab/>
        <w:t>174</w:t>
      </w:r>
    </w:p>
    <w:p w14:paraId="1E279364" w14:textId="77777777" w:rsidR="00326905" w:rsidRDefault="00326905">
      <w:pPr>
        <w:pStyle w:val="Index1"/>
        <w:tabs>
          <w:tab w:val="right" w:leader="dot" w:pos="9350"/>
        </w:tabs>
        <w:rPr>
          <w:noProof/>
        </w:rPr>
      </w:pPr>
      <w:r>
        <w:rPr>
          <w:noProof/>
        </w:rPr>
        <w:t>MSBOS</w:t>
      </w:r>
      <w:r>
        <w:rPr>
          <w:noProof/>
        </w:rPr>
        <w:tab/>
        <w:t>102</w:t>
      </w:r>
    </w:p>
    <w:p w14:paraId="6F4E1DEB" w14:textId="77777777" w:rsidR="00326905" w:rsidRDefault="00326905">
      <w:pPr>
        <w:pStyle w:val="IndexHeading"/>
        <w:keepNext/>
        <w:tabs>
          <w:tab w:val="right" w:leader="dot" w:pos="9350"/>
        </w:tabs>
        <w:rPr>
          <w:rFonts w:asciiTheme="minorHAnsi" w:eastAsiaTheme="minorEastAsia" w:hAnsiTheme="minorHAnsi" w:cstheme="minorBidi"/>
          <w:b w:val="0"/>
          <w:bCs w:val="0"/>
          <w:noProof/>
        </w:rPr>
      </w:pPr>
      <w:r>
        <w:rPr>
          <w:noProof/>
        </w:rPr>
        <w:t>O</w:t>
      </w:r>
    </w:p>
    <w:p w14:paraId="22DEC239" w14:textId="77777777" w:rsidR="00326905" w:rsidRDefault="00326905">
      <w:pPr>
        <w:pStyle w:val="Index1"/>
        <w:tabs>
          <w:tab w:val="right" w:leader="dot" w:pos="9350"/>
        </w:tabs>
        <w:rPr>
          <w:noProof/>
        </w:rPr>
      </w:pPr>
      <w:r>
        <w:rPr>
          <w:noProof/>
        </w:rPr>
        <w:t>Online Help F1</w:t>
      </w:r>
      <w:r>
        <w:rPr>
          <w:noProof/>
        </w:rPr>
        <w:tab/>
        <w:t>49</w:t>
      </w:r>
    </w:p>
    <w:p w14:paraId="56CDD64E" w14:textId="77777777" w:rsidR="00326905" w:rsidRDefault="00326905">
      <w:pPr>
        <w:pStyle w:val="Index1"/>
        <w:tabs>
          <w:tab w:val="right" w:leader="dot" w:pos="9350"/>
        </w:tabs>
        <w:rPr>
          <w:noProof/>
        </w:rPr>
      </w:pPr>
      <w:r>
        <w:rPr>
          <w:noProof/>
        </w:rPr>
        <w:t>Options</w:t>
      </w:r>
      <w:r>
        <w:rPr>
          <w:noProof/>
        </w:rPr>
        <w:tab/>
        <w:t>3</w:t>
      </w:r>
    </w:p>
    <w:p w14:paraId="31A340C2" w14:textId="77777777" w:rsidR="00326905" w:rsidRDefault="00326905">
      <w:pPr>
        <w:pStyle w:val="Index1"/>
        <w:tabs>
          <w:tab w:val="right" w:leader="dot" w:pos="9350"/>
        </w:tabs>
        <w:rPr>
          <w:noProof/>
        </w:rPr>
      </w:pPr>
      <w:r>
        <w:rPr>
          <w:noProof/>
        </w:rPr>
        <w:t>Order Alerts</w:t>
      </w:r>
      <w:r>
        <w:rPr>
          <w:noProof/>
        </w:rPr>
        <w:tab/>
        <w:t>84</w:t>
      </w:r>
    </w:p>
    <w:p w14:paraId="5EF824D2" w14:textId="77777777" w:rsidR="00326905" w:rsidRDefault="00326905">
      <w:pPr>
        <w:pStyle w:val="Index1"/>
        <w:tabs>
          <w:tab w:val="right" w:leader="dot" w:pos="9350"/>
        </w:tabs>
        <w:rPr>
          <w:noProof/>
        </w:rPr>
      </w:pPr>
      <w:r>
        <w:rPr>
          <w:noProof/>
        </w:rPr>
        <w:t>Order History Report</w:t>
      </w:r>
      <w:r>
        <w:rPr>
          <w:noProof/>
        </w:rPr>
        <w:tab/>
        <w:t>397</w:t>
      </w:r>
    </w:p>
    <w:p w14:paraId="70A97E07" w14:textId="77777777" w:rsidR="00326905" w:rsidRDefault="00326905">
      <w:pPr>
        <w:pStyle w:val="Index1"/>
        <w:tabs>
          <w:tab w:val="right" w:leader="dot" w:pos="9350"/>
        </w:tabs>
        <w:rPr>
          <w:noProof/>
        </w:rPr>
      </w:pPr>
      <w:r>
        <w:rPr>
          <w:noProof/>
        </w:rPr>
        <w:t>Order Reflex Tests</w:t>
      </w:r>
      <w:r>
        <w:rPr>
          <w:noProof/>
        </w:rPr>
        <w:tab/>
        <w:t>289</w:t>
      </w:r>
    </w:p>
    <w:p w14:paraId="3154C868" w14:textId="77777777" w:rsidR="00326905" w:rsidRDefault="00326905">
      <w:pPr>
        <w:pStyle w:val="Index1"/>
        <w:tabs>
          <w:tab w:val="right" w:leader="dot" w:pos="9350"/>
        </w:tabs>
        <w:rPr>
          <w:noProof/>
        </w:rPr>
      </w:pPr>
      <w:r>
        <w:rPr>
          <w:noProof/>
        </w:rPr>
        <w:t>Orientation</w:t>
      </w:r>
      <w:r>
        <w:rPr>
          <w:noProof/>
        </w:rPr>
        <w:tab/>
        <w:t>3</w:t>
      </w:r>
    </w:p>
    <w:p w14:paraId="1C990CFC" w14:textId="77777777" w:rsidR="00326905" w:rsidRDefault="00326905">
      <w:pPr>
        <w:pStyle w:val="Index1"/>
        <w:tabs>
          <w:tab w:val="right" w:leader="dot" w:pos="9350"/>
        </w:tabs>
        <w:rPr>
          <w:noProof/>
        </w:rPr>
      </w:pPr>
      <w:r>
        <w:rPr>
          <w:noProof/>
        </w:rPr>
        <w:t>Other VBECS Functions</w:t>
      </w:r>
      <w:r>
        <w:rPr>
          <w:noProof/>
        </w:rPr>
        <w:tab/>
        <w:t>67</w:t>
      </w:r>
    </w:p>
    <w:p w14:paraId="3693D2CC" w14:textId="77777777" w:rsidR="00326905" w:rsidRDefault="00326905">
      <w:pPr>
        <w:pStyle w:val="Index1"/>
        <w:tabs>
          <w:tab w:val="right" w:leader="dot" w:pos="9350"/>
        </w:tabs>
        <w:rPr>
          <w:noProof/>
        </w:rPr>
      </w:pPr>
      <w:r>
        <w:rPr>
          <w:noProof/>
        </w:rPr>
        <w:t>Outgoing Shipment</w:t>
      </w:r>
      <w:r>
        <w:rPr>
          <w:noProof/>
        </w:rPr>
        <w:tab/>
        <w:t>146</w:t>
      </w:r>
    </w:p>
    <w:p w14:paraId="600ABF3D" w14:textId="77777777" w:rsidR="00326905" w:rsidRDefault="00326905">
      <w:pPr>
        <w:pStyle w:val="IndexHeading"/>
        <w:keepNext/>
        <w:tabs>
          <w:tab w:val="right" w:leader="dot" w:pos="9350"/>
        </w:tabs>
        <w:rPr>
          <w:rFonts w:asciiTheme="minorHAnsi" w:eastAsiaTheme="minorEastAsia" w:hAnsiTheme="minorHAnsi" w:cstheme="minorBidi"/>
          <w:b w:val="0"/>
          <w:bCs w:val="0"/>
          <w:noProof/>
        </w:rPr>
      </w:pPr>
      <w:r>
        <w:rPr>
          <w:noProof/>
        </w:rPr>
        <w:t>P</w:t>
      </w:r>
    </w:p>
    <w:p w14:paraId="17576CEA" w14:textId="77777777" w:rsidR="00326905" w:rsidRDefault="00326905">
      <w:pPr>
        <w:pStyle w:val="Index1"/>
        <w:tabs>
          <w:tab w:val="right" w:leader="dot" w:pos="9350"/>
        </w:tabs>
        <w:rPr>
          <w:noProof/>
        </w:rPr>
      </w:pPr>
      <w:r>
        <w:rPr>
          <w:noProof/>
        </w:rPr>
        <w:t>Patient Blood Availability</w:t>
      </w:r>
      <w:r>
        <w:rPr>
          <w:noProof/>
        </w:rPr>
        <w:tab/>
        <w:t>60</w:t>
      </w:r>
    </w:p>
    <w:p w14:paraId="0FFA1A1D" w14:textId="77777777" w:rsidR="00326905" w:rsidRDefault="00326905">
      <w:pPr>
        <w:pStyle w:val="Index1"/>
        <w:tabs>
          <w:tab w:val="right" w:leader="dot" w:pos="9350"/>
        </w:tabs>
        <w:rPr>
          <w:noProof/>
        </w:rPr>
      </w:pPr>
      <w:r>
        <w:rPr>
          <w:noProof/>
        </w:rPr>
        <w:t>Patient History Report</w:t>
      </w:r>
      <w:r>
        <w:rPr>
          <w:noProof/>
        </w:rPr>
        <w:tab/>
        <w:t>400</w:t>
      </w:r>
    </w:p>
    <w:p w14:paraId="08C87A7E" w14:textId="77777777" w:rsidR="00326905" w:rsidRDefault="00326905">
      <w:pPr>
        <w:pStyle w:val="Index1"/>
        <w:tabs>
          <w:tab w:val="right" w:leader="dot" w:pos="9350"/>
        </w:tabs>
        <w:rPr>
          <w:noProof/>
        </w:rPr>
      </w:pPr>
      <w:r>
        <w:rPr>
          <w:noProof/>
        </w:rPr>
        <w:t>Patient Information Toolbar</w:t>
      </w:r>
      <w:r>
        <w:rPr>
          <w:noProof/>
        </w:rPr>
        <w:tab/>
        <w:t>59</w:t>
      </w:r>
    </w:p>
    <w:p w14:paraId="0E0FF0D8" w14:textId="77777777" w:rsidR="00326905" w:rsidRDefault="00326905">
      <w:pPr>
        <w:pStyle w:val="Index1"/>
        <w:tabs>
          <w:tab w:val="right" w:leader="dot" w:pos="9350"/>
        </w:tabs>
        <w:rPr>
          <w:noProof/>
        </w:rPr>
      </w:pPr>
      <w:r>
        <w:rPr>
          <w:noProof/>
        </w:rPr>
        <w:t>Patient Merge</w:t>
      </w:r>
      <w:r>
        <w:rPr>
          <w:noProof/>
        </w:rPr>
        <w:tab/>
        <w:t>295</w:t>
      </w:r>
    </w:p>
    <w:p w14:paraId="1497435F" w14:textId="77777777" w:rsidR="00326905" w:rsidRDefault="00326905">
      <w:pPr>
        <w:pStyle w:val="Index1"/>
        <w:tabs>
          <w:tab w:val="right" w:leader="dot" w:pos="9350"/>
        </w:tabs>
        <w:rPr>
          <w:noProof/>
        </w:rPr>
      </w:pPr>
      <w:r>
        <w:rPr>
          <w:noProof/>
        </w:rPr>
        <w:t>Patient Search Screen</w:t>
      </w:r>
      <w:r>
        <w:rPr>
          <w:noProof/>
        </w:rPr>
        <w:tab/>
        <w:t>293</w:t>
      </w:r>
    </w:p>
    <w:p w14:paraId="0A005022" w14:textId="77777777" w:rsidR="00326905" w:rsidRDefault="00326905">
      <w:pPr>
        <w:pStyle w:val="Index1"/>
        <w:tabs>
          <w:tab w:val="right" w:leader="dot" w:pos="9350"/>
        </w:tabs>
        <w:rPr>
          <w:noProof/>
        </w:rPr>
      </w:pPr>
      <w:r>
        <w:rPr>
          <w:noProof/>
        </w:rPr>
        <w:t>Patient Services</w:t>
      </w:r>
      <w:r>
        <w:rPr>
          <w:noProof/>
        </w:rPr>
        <w:tab/>
        <w:t>293</w:t>
      </w:r>
    </w:p>
    <w:p w14:paraId="490ED9CE" w14:textId="77777777" w:rsidR="00326905" w:rsidRDefault="00326905">
      <w:pPr>
        <w:pStyle w:val="Index1"/>
        <w:tabs>
          <w:tab w:val="right" w:leader="dot" w:pos="9350"/>
        </w:tabs>
        <w:rPr>
          <w:noProof/>
        </w:rPr>
      </w:pPr>
      <w:r>
        <w:rPr>
          <w:noProof/>
        </w:rPr>
        <w:t>Patient Testing Form</w:t>
      </w:r>
      <w:r>
        <w:rPr>
          <w:noProof/>
        </w:rPr>
        <w:tab/>
        <w:t>435</w:t>
      </w:r>
    </w:p>
    <w:p w14:paraId="59C6892E" w14:textId="77777777" w:rsidR="00326905" w:rsidRDefault="00326905">
      <w:pPr>
        <w:pStyle w:val="Index1"/>
        <w:tabs>
          <w:tab w:val="right" w:leader="dot" w:pos="9350"/>
        </w:tabs>
        <w:rPr>
          <w:noProof/>
        </w:rPr>
      </w:pPr>
      <w:r>
        <w:rPr>
          <w:noProof/>
        </w:rPr>
        <w:t>Patient Testing Worklist and Testing Worklist Reports</w:t>
      </w:r>
      <w:r>
        <w:rPr>
          <w:noProof/>
        </w:rPr>
        <w:tab/>
        <w:t>405</w:t>
      </w:r>
    </w:p>
    <w:p w14:paraId="30897F48" w14:textId="77777777" w:rsidR="00326905" w:rsidRDefault="00326905">
      <w:pPr>
        <w:pStyle w:val="Index1"/>
        <w:tabs>
          <w:tab w:val="right" w:leader="dot" w:pos="9350"/>
        </w:tabs>
        <w:rPr>
          <w:noProof/>
        </w:rPr>
      </w:pPr>
      <w:r>
        <w:rPr>
          <w:noProof/>
        </w:rPr>
        <w:t>Patient Testing: Cancel an Active Order</w:t>
      </w:r>
      <w:r>
        <w:rPr>
          <w:noProof/>
        </w:rPr>
        <w:tab/>
        <w:t>283</w:t>
      </w:r>
    </w:p>
    <w:p w14:paraId="25E4B145" w14:textId="77777777" w:rsidR="00326905" w:rsidRDefault="00326905">
      <w:pPr>
        <w:pStyle w:val="Index1"/>
        <w:tabs>
          <w:tab w:val="right" w:leader="dot" w:pos="9350"/>
        </w:tabs>
        <w:rPr>
          <w:noProof/>
        </w:rPr>
      </w:pPr>
      <w:r>
        <w:rPr>
          <w:noProof/>
        </w:rPr>
        <w:t>Patient Testing: Enter Antibody Identification Results</w:t>
      </w:r>
      <w:r>
        <w:rPr>
          <w:noProof/>
        </w:rPr>
        <w:tab/>
        <w:t>327</w:t>
      </w:r>
    </w:p>
    <w:p w14:paraId="51715BD0" w14:textId="77777777" w:rsidR="00326905" w:rsidRDefault="00326905">
      <w:pPr>
        <w:pStyle w:val="Index1"/>
        <w:tabs>
          <w:tab w:val="right" w:leader="dot" w:pos="9350"/>
        </w:tabs>
        <w:rPr>
          <w:noProof/>
        </w:rPr>
      </w:pPr>
      <w:r>
        <w:rPr>
          <w:noProof/>
        </w:rPr>
        <w:t>Patient Testing: General Instructions</w:t>
      </w:r>
      <w:r>
        <w:rPr>
          <w:noProof/>
        </w:rPr>
        <w:tab/>
        <w:t>301</w:t>
      </w:r>
    </w:p>
    <w:p w14:paraId="04DC19CD" w14:textId="77777777" w:rsidR="00326905" w:rsidRDefault="00326905">
      <w:pPr>
        <w:pStyle w:val="Index1"/>
        <w:tabs>
          <w:tab w:val="right" w:leader="dot" w:pos="9350"/>
        </w:tabs>
        <w:rPr>
          <w:noProof/>
        </w:rPr>
      </w:pPr>
      <w:r>
        <w:rPr>
          <w:noProof/>
        </w:rPr>
        <w:t>Patient Testing: Pending Task List</w:t>
      </w:r>
      <w:r>
        <w:rPr>
          <w:noProof/>
        </w:rPr>
        <w:tab/>
        <w:t>285</w:t>
      </w:r>
    </w:p>
    <w:p w14:paraId="0AD67BC8" w14:textId="77777777" w:rsidR="00326905" w:rsidRDefault="00326905">
      <w:pPr>
        <w:pStyle w:val="Index1"/>
        <w:tabs>
          <w:tab w:val="right" w:leader="dot" w:pos="9350"/>
        </w:tabs>
        <w:rPr>
          <w:noProof/>
        </w:rPr>
      </w:pPr>
      <w:r>
        <w:rPr>
          <w:noProof/>
        </w:rPr>
        <w:t>Patient Testing: Record a Crossmatch</w:t>
      </w:r>
      <w:r>
        <w:rPr>
          <w:noProof/>
        </w:rPr>
        <w:tab/>
        <w:t>315</w:t>
      </w:r>
    </w:p>
    <w:p w14:paraId="615764DF" w14:textId="77777777" w:rsidR="00326905" w:rsidRDefault="00326905">
      <w:pPr>
        <w:pStyle w:val="Index1"/>
        <w:tabs>
          <w:tab w:val="right" w:leader="dot" w:pos="9350"/>
        </w:tabs>
        <w:rPr>
          <w:noProof/>
        </w:rPr>
      </w:pPr>
      <w:r>
        <w:rPr>
          <w:noProof/>
        </w:rPr>
        <w:t>Patient Testing: Record a Direct Antiglobulin Test</w:t>
      </w:r>
      <w:r>
        <w:rPr>
          <w:noProof/>
        </w:rPr>
        <w:tab/>
        <w:t>312</w:t>
      </w:r>
    </w:p>
    <w:p w14:paraId="70C5A835" w14:textId="77777777" w:rsidR="00326905" w:rsidRDefault="00326905">
      <w:pPr>
        <w:pStyle w:val="Index1"/>
        <w:tabs>
          <w:tab w:val="right" w:leader="dot" w:pos="9350"/>
        </w:tabs>
        <w:rPr>
          <w:noProof/>
        </w:rPr>
      </w:pPr>
      <w:r>
        <w:rPr>
          <w:noProof/>
        </w:rPr>
        <w:t>Patient Testing: Record a Patient ABO/Rh</w:t>
      </w:r>
      <w:r>
        <w:rPr>
          <w:noProof/>
        </w:rPr>
        <w:tab/>
        <w:t>307</w:t>
      </w:r>
    </w:p>
    <w:p w14:paraId="69D2FA5A" w14:textId="77777777" w:rsidR="00326905" w:rsidRDefault="00326905">
      <w:pPr>
        <w:pStyle w:val="Index1"/>
        <w:tabs>
          <w:tab w:val="right" w:leader="dot" w:pos="9350"/>
        </w:tabs>
        <w:rPr>
          <w:noProof/>
        </w:rPr>
      </w:pPr>
      <w:r>
        <w:rPr>
          <w:noProof/>
        </w:rPr>
        <w:t>Patient Testing: Record a Patient Antibody Screen</w:t>
      </w:r>
      <w:r>
        <w:rPr>
          <w:noProof/>
        </w:rPr>
        <w:tab/>
        <w:t>310</w:t>
      </w:r>
    </w:p>
    <w:p w14:paraId="5DDB4DB3" w14:textId="77777777" w:rsidR="00326905" w:rsidRDefault="00326905">
      <w:pPr>
        <w:pStyle w:val="Index1"/>
        <w:tabs>
          <w:tab w:val="right" w:leader="dot" w:pos="9350"/>
        </w:tabs>
        <w:rPr>
          <w:noProof/>
        </w:rPr>
      </w:pPr>
      <w:r>
        <w:rPr>
          <w:noProof/>
        </w:rPr>
        <w:t>Patient Testing: Record a Patient Antigen Typing</w:t>
      </w:r>
      <w:r>
        <w:rPr>
          <w:noProof/>
        </w:rPr>
        <w:tab/>
        <w:t>321</w:t>
      </w:r>
    </w:p>
    <w:p w14:paraId="4140A14C" w14:textId="77777777" w:rsidR="00326905" w:rsidRDefault="00326905">
      <w:pPr>
        <w:pStyle w:val="Index1"/>
        <w:tabs>
          <w:tab w:val="right" w:leader="dot" w:pos="9350"/>
        </w:tabs>
        <w:rPr>
          <w:noProof/>
        </w:rPr>
      </w:pPr>
      <w:r>
        <w:rPr>
          <w:noProof/>
        </w:rPr>
        <w:t>Patient Testing: Record a Transfusion Reaction Workup</w:t>
      </w:r>
      <w:r>
        <w:rPr>
          <w:noProof/>
        </w:rPr>
        <w:tab/>
        <w:t>330</w:t>
      </w:r>
    </w:p>
    <w:p w14:paraId="6778AF35" w14:textId="77777777" w:rsidR="00326905" w:rsidRDefault="00326905">
      <w:pPr>
        <w:pStyle w:val="Index1"/>
        <w:tabs>
          <w:tab w:val="right" w:leader="dot" w:pos="9350"/>
        </w:tabs>
        <w:rPr>
          <w:noProof/>
        </w:rPr>
      </w:pPr>
      <w:r>
        <w:rPr>
          <w:noProof/>
        </w:rPr>
        <w:t>Post-Transfusion Information</w:t>
      </w:r>
      <w:r>
        <w:rPr>
          <w:noProof/>
        </w:rPr>
        <w:tab/>
        <w:t>351</w:t>
      </w:r>
    </w:p>
    <w:p w14:paraId="1BE672DA" w14:textId="77777777" w:rsidR="00326905" w:rsidRDefault="00326905">
      <w:pPr>
        <w:pStyle w:val="Index1"/>
        <w:tabs>
          <w:tab w:val="right" w:leader="dot" w:pos="9350"/>
        </w:tabs>
        <w:rPr>
          <w:noProof/>
        </w:rPr>
      </w:pPr>
      <w:r>
        <w:rPr>
          <w:noProof/>
        </w:rPr>
        <w:t>Print Backup Caution Tags and Blood Transfusion Record Forms</w:t>
      </w:r>
      <w:r>
        <w:rPr>
          <w:noProof/>
        </w:rPr>
        <w:tab/>
        <w:t>245</w:t>
      </w:r>
    </w:p>
    <w:p w14:paraId="72D0CC91" w14:textId="77777777" w:rsidR="00326905" w:rsidRDefault="00326905">
      <w:pPr>
        <w:pStyle w:val="Index1"/>
        <w:tabs>
          <w:tab w:val="right" w:leader="dot" w:pos="9350"/>
        </w:tabs>
        <w:rPr>
          <w:noProof/>
        </w:rPr>
      </w:pPr>
      <w:r>
        <w:rPr>
          <w:noProof/>
        </w:rPr>
        <w:t>Problems?</w:t>
      </w:r>
      <w:r>
        <w:rPr>
          <w:noProof/>
        </w:rPr>
        <w:tab/>
        <w:t>11</w:t>
      </w:r>
    </w:p>
    <w:p w14:paraId="4F44B96E" w14:textId="77777777" w:rsidR="00326905" w:rsidRDefault="00326905">
      <w:pPr>
        <w:pStyle w:val="Index1"/>
        <w:tabs>
          <w:tab w:val="right" w:leader="dot" w:pos="9350"/>
        </w:tabs>
        <w:rPr>
          <w:noProof/>
        </w:rPr>
      </w:pPr>
      <w:r w:rsidRPr="00244FAF">
        <w:rPr>
          <w:i/>
          <w:iCs/>
          <w:noProof/>
        </w:rPr>
        <w:lastRenderedPageBreak/>
        <w:t>Processing an Emergency Transfusion Order</w:t>
      </w:r>
      <w:r>
        <w:rPr>
          <w:noProof/>
        </w:rPr>
        <w:tab/>
        <w:t>276</w:t>
      </w:r>
    </w:p>
    <w:p w14:paraId="1A8A9A63" w14:textId="77777777" w:rsidR="00326905" w:rsidRDefault="00326905">
      <w:pPr>
        <w:pStyle w:val="Index1"/>
        <w:tabs>
          <w:tab w:val="right" w:leader="dot" w:pos="9350"/>
        </w:tabs>
        <w:rPr>
          <w:noProof/>
        </w:rPr>
      </w:pPr>
      <w:r>
        <w:rPr>
          <w:noProof/>
        </w:rPr>
        <w:t>Processing Orders</w:t>
      </w:r>
      <w:r>
        <w:rPr>
          <w:noProof/>
        </w:rPr>
        <w:tab/>
        <w:t>263</w:t>
      </w:r>
    </w:p>
    <w:p w14:paraId="5251913E" w14:textId="77777777" w:rsidR="00326905" w:rsidRDefault="00326905">
      <w:pPr>
        <w:pStyle w:val="Index1"/>
        <w:tabs>
          <w:tab w:val="right" w:leader="dot" w:pos="9350"/>
        </w:tabs>
        <w:rPr>
          <w:noProof/>
        </w:rPr>
      </w:pPr>
      <w:r>
        <w:rPr>
          <w:noProof/>
        </w:rPr>
        <w:t>Product Modifications</w:t>
      </w:r>
      <w:r>
        <w:rPr>
          <w:noProof/>
        </w:rPr>
        <w:tab/>
        <w:t>82</w:t>
      </w:r>
    </w:p>
    <w:p w14:paraId="1E3DEA17" w14:textId="77777777" w:rsidR="00326905" w:rsidRDefault="00326905">
      <w:pPr>
        <w:pStyle w:val="Index1"/>
        <w:tabs>
          <w:tab w:val="right" w:leader="dot" w:pos="9350"/>
        </w:tabs>
        <w:rPr>
          <w:noProof/>
        </w:rPr>
      </w:pPr>
      <w:r>
        <w:rPr>
          <w:noProof/>
        </w:rPr>
        <w:t>Prolonged Transfusion Time Report</w:t>
      </w:r>
      <w:r>
        <w:rPr>
          <w:noProof/>
        </w:rPr>
        <w:tab/>
        <w:t>402</w:t>
      </w:r>
    </w:p>
    <w:p w14:paraId="484A43C7" w14:textId="77777777" w:rsidR="00326905" w:rsidRDefault="00326905">
      <w:pPr>
        <w:pStyle w:val="IndexHeading"/>
        <w:keepNext/>
        <w:tabs>
          <w:tab w:val="right" w:leader="dot" w:pos="9350"/>
        </w:tabs>
        <w:rPr>
          <w:rFonts w:asciiTheme="minorHAnsi" w:eastAsiaTheme="minorEastAsia" w:hAnsiTheme="minorHAnsi" w:cstheme="minorBidi"/>
          <w:b w:val="0"/>
          <w:bCs w:val="0"/>
          <w:noProof/>
        </w:rPr>
      </w:pPr>
      <w:r>
        <w:rPr>
          <w:noProof/>
        </w:rPr>
        <w:t>Q</w:t>
      </w:r>
    </w:p>
    <w:p w14:paraId="641717CF" w14:textId="77777777" w:rsidR="00326905" w:rsidRDefault="00326905">
      <w:pPr>
        <w:pStyle w:val="Index1"/>
        <w:tabs>
          <w:tab w:val="right" w:leader="dot" w:pos="9350"/>
        </w:tabs>
        <w:rPr>
          <w:noProof/>
        </w:rPr>
      </w:pPr>
      <w:r>
        <w:rPr>
          <w:noProof/>
        </w:rPr>
        <w:t>Quick K Calculator</w:t>
      </w:r>
      <w:r>
        <w:rPr>
          <w:noProof/>
        </w:rPr>
        <w:tab/>
        <w:t>136</w:t>
      </w:r>
    </w:p>
    <w:p w14:paraId="64F95D54" w14:textId="77777777" w:rsidR="00326905" w:rsidRDefault="00326905">
      <w:pPr>
        <w:pStyle w:val="IndexHeading"/>
        <w:keepNext/>
        <w:tabs>
          <w:tab w:val="right" w:leader="dot" w:pos="9350"/>
        </w:tabs>
        <w:rPr>
          <w:rFonts w:asciiTheme="minorHAnsi" w:eastAsiaTheme="minorEastAsia" w:hAnsiTheme="minorHAnsi" w:cstheme="minorBidi"/>
          <w:b w:val="0"/>
          <w:bCs w:val="0"/>
          <w:noProof/>
        </w:rPr>
      </w:pPr>
      <w:r>
        <w:rPr>
          <w:noProof/>
        </w:rPr>
        <w:t>R</w:t>
      </w:r>
    </w:p>
    <w:p w14:paraId="4D7E4664" w14:textId="77777777" w:rsidR="00326905" w:rsidRDefault="00326905">
      <w:pPr>
        <w:pStyle w:val="Index1"/>
        <w:tabs>
          <w:tab w:val="right" w:leader="dot" w:pos="9350"/>
        </w:tabs>
        <w:rPr>
          <w:noProof/>
        </w:rPr>
      </w:pPr>
      <w:r>
        <w:rPr>
          <w:noProof/>
        </w:rPr>
        <w:t>Reagents</w:t>
      </w:r>
      <w:r>
        <w:rPr>
          <w:noProof/>
        </w:rPr>
        <w:tab/>
        <w:t>116</w:t>
      </w:r>
    </w:p>
    <w:p w14:paraId="005F533B" w14:textId="77777777" w:rsidR="00326905" w:rsidRDefault="00326905">
      <w:pPr>
        <w:pStyle w:val="Index1"/>
        <w:tabs>
          <w:tab w:val="right" w:leader="dot" w:pos="9350"/>
        </w:tabs>
        <w:rPr>
          <w:noProof/>
        </w:rPr>
      </w:pPr>
      <w:r>
        <w:rPr>
          <w:noProof/>
        </w:rPr>
        <w:t>Reagents and Supplies</w:t>
      </w:r>
      <w:r>
        <w:rPr>
          <w:noProof/>
        </w:rPr>
        <w:tab/>
        <w:t>108</w:t>
      </w:r>
    </w:p>
    <w:p w14:paraId="6408BD4C" w14:textId="77777777" w:rsidR="00326905" w:rsidRDefault="00326905">
      <w:pPr>
        <w:pStyle w:val="Index1"/>
        <w:tabs>
          <w:tab w:val="right" w:leader="dot" w:pos="9350"/>
        </w:tabs>
        <w:rPr>
          <w:noProof/>
        </w:rPr>
      </w:pPr>
      <w:r>
        <w:rPr>
          <w:noProof/>
        </w:rPr>
        <w:t>Recommended Report Usage</w:t>
      </w:r>
      <w:r>
        <w:rPr>
          <w:noProof/>
        </w:rPr>
        <w:tab/>
        <w:t>547</w:t>
      </w:r>
    </w:p>
    <w:p w14:paraId="3E52F5A9" w14:textId="77777777" w:rsidR="00326905" w:rsidRDefault="00326905">
      <w:pPr>
        <w:pStyle w:val="Index1"/>
        <w:tabs>
          <w:tab w:val="right" w:leader="dot" w:pos="9350"/>
        </w:tabs>
        <w:rPr>
          <w:noProof/>
        </w:rPr>
      </w:pPr>
      <w:r>
        <w:rPr>
          <w:noProof/>
        </w:rPr>
        <w:t>References</w:t>
      </w:r>
      <w:r>
        <w:rPr>
          <w:noProof/>
        </w:rPr>
        <w:tab/>
        <w:t>419</w:t>
      </w:r>
    </w:p>
    <w:p w14:paraId="0FA72F96" w14:textId="77777777" w:rsidR="00326905" w:rsidRDefault="00326905">
      <w:pPr>
        <w:pStyle w:val="Index1"/>
        <w:tabs>
          <w:tab w:val="right" w:leader="dot" w:pos="9350"/>
        </w:tabs>
        <w:rPr>
          <w:noProof/>
        </w:rPr>
      </w:pPr>
      <w:r>
        <w:rPr>
          <w:noProof/>
        </w:rPr>
        <w:t>Related Manuals and Materials</w:t>
      </w:r>
      <w:r>
        <w:rPr>
          <w:noProof/>
        </w:rPr>
        <w:tab/>
        <w:t>2</w:t>
      </w:r>
    </w:p>
    <w:p w14:paraId="1BD94325" w14:textId="77777777" w:rsidR="00326905" w:rsidRDefault="00326905">
      <w:pPr>
        <w:pStyle w:val="Index1"/>
        <w:tabs>
          <w:tab w:val="right" w:leader="dot" w:pos="9350"/>
        </w:tabs>
        <w:rPr>
          <w:noProof/>
        </w:rPr>
      </w:pPr>
      <w:r>
        <w:rPr>
          <w:noProof/>
        </w:rPr>
        <w:t>Remote Desktop Connections Screen Size</w:t>
      </w:r>
      <w:r>
        <w:rPr>
          <w:noProof/>
        </w:rPr>
        <w:tab/>
        <w:t>47</w:t>
      </w:r>
    </w:p>
    <w:p w14:paraId="78F19803" w14:textId="77777777" w:rsidR="00326905" w:rsidRDefault="00326905">
      <w:pPr>
        <w:pStyle w:val="Index1"/>
        <w:tabs>
          <w:tab w:val="right" w:leader="dot" w:pos="9350"/>
        </w:tabs>
        <w:rPr>
          <w:noProof/>
        </w:rPr>
      </w:pPr>
      <w:r>
        <w:rPr>
          <w:noProof/>
        </w:rPr>
        <w:t>Restore VistA Connection</w:t>
      </w:r>
      <w:r>
        <w:rPr>
          <w:noProof/>
        </w:rPr>
        <w:tab/>
        <w:t>43</w:t>
      </w:r>
    </w:p>
    <w:p w14:paraId="6761A66B" w14:textId="77777777" w:rsidR="00326905" w:rsidRDefault="00326905">
      <w:pPr>
        <w:pStyle w:val="IndexHeading"/>
        <w:keepNext/>
        <w:tabs>
          <w:tab w:val="right" w:leader="dot" w:pos="9350"/>
        </w:tabs>
        <w:rPr>
          <w:rFonts w:asciiTheme="minorHAnsi" w:eastAsiaTheme="minorEastAsia" w:hAnsiTheme="minorHAnsi" w:cstheme="minorBidi"/>
          <w:b w:val="0"/>
          <w:bCs w:val="0"/>
          <w:noProof/>
        </w:rPr>
      </w:pPr>
      <w:r>
        <w:rPr>
          <w:noProof/>
        </w:rPr>
        <w:t>S</w:t>
      </w:r>
    </w:p>
    <w:p w14:paraId="283A567A" w14:textId="77777777" w:rsidR="00326905" w:rsidRDefault="00326905">
      <w:pPr>
        <w:pStyle w:val="Index1"/>
        <w:tabs>
          <w:tab w:val="right" w:leader="dot" w:pos="9350"/>
        </w:tabs>
        <w:rPr>
          <w:noProof/>
        </w:rPr>
      </w:pPr>
      <w:r>
        <w:rPr>
          <w:noProof/>
        </w:rPr>
        <w:t>Screen Display</w:t>
      </w:r>
      <w:r>
        <w:rPr>
          <w:noProof/>
        </w:rPr>
        <w:tab/>
        <w:t>49</w:t>
      </w:r>
    </w:p>
    <w:p w14:paraId="6114469B" w14:textId="77777777" w:rsidR="00326905" w:rsidRDefault="00326905">
      <w:pPr>
        <w:pStyle w:val="Index1"/>
        <w:tabs>
          <w:tab w:val="right" w:leader="dot" w:pos="9350"/>
        </w:tabs>
        <w:rPr>
          <w:noProof/>
        </w:rPr>
      </w:pPr>
      <w:r>
        <w:rPr>
          <w:noProof/>
        </w:rPr>
        <w:t>Screen Settings</w:t>
      </w:r>
      <w:r>
        <w:rPr>
          <w:noProof/>
        </w:rPr>
        <w:tab/>
        <w:t>45</w:t>
      </w:r>
    </w:p>
    <w:p w14:paraId="61E5A2AA" w14:textId="77777777" w:rsidR="00326905" w:rsidRDefault="00326905">
      <w:pPr>
        <w:pStyle w:val="Index1"/>
        <w:tabs>
          <w:tab w:val="right" w:leader="dot" w:pos="9350"/>
        </w:tabs>
        <w:rPr>
          <w:noProof/>
        </w:rPr>
      </w:pPr>
      <w:r>
        <w:rPr>
          <w:noProof/>
        </w:rPr>
        <w:t>Search Tab</w:t>
      </w:r>
      <w:r>
        <w:rPr>
          <w:noProof/>
        </w:rPr>
        <w:tab/>
        <w:t>33</w:t>
      </w:r>
    </w:p>
    <w:p w14:paraId="419E4559" w14:textId="77777777" w:rsidR="00326905" w:rsidRDefault="00326905">
      <w:pPr>
        <w:pStyle w:val="Index1"/>
        <w:tabs>
          <w:tab w:val="right" w:leader="dot" w:pos="9350"/>
        </w:tabs>
        <w:rPr>
          <w:noProof/>
        </w:rPr>
      </w:pPr>
      <w:r>
        <w:rPr>
          <w:noProof/>
        </w:rPr>
        <w:t>Searching the Database</w:t>
      </w:r>
      <w:r>
        <w:rPr>
          <w:noProof/>
        </w:rPr>
        <w:tab/>
        <w:t>16</w:t>
      </w:r>
    </w:p>
    <w:p w14:paraId="6FD74F41" w14:textId="77777777" w:rsidR="00326905" w:rsidRDefault="00326905">
      <w:pPr>
        <w:pStyle w:val="Index1"/>
        <w:tabs>
          <w:tab w:val="right" w:leader="dot" w:pos="9350"/>
        </w:tabs>
        <w:rPr>
          <w:noProof/>
        </w:rPr>
      </w:pPr>
      <w:r>
        <w:rPr>
          <w:noProof/>
        </w:rPr>
        <w:t>Security</w:t>
      </w:r>
      <w:r>
        <w:rPr>
          <w:noProof/>
        </w:rPr>
        <w:tab/>
        <w:t>4</w:t>
      </w:r>
    </w:p>
    <w:p w14:paraId="32086E58" w14:textId="77777777" w:rsidR="00326905" w:rsidRDefault="00326905">
      <w:pPr>
        <w:pStyle w:val="Index1"/>
        <w:tabs>
          <w:tab w:val="right" w:leader="dot" w:pos="9350"/>
        </w:tabs>
        <w:rPr>
          <w:noProof/>
        </w:rPr>
      </w:pPr>
      <w:r w:rsidRPr="00244FAF">
        <w:rPr>
          <w:b/>
          <w:noProof/>
        </w:rPr>
        <w:t>Service Desk</w:t>
      </w:r>
      <w:r>
        <w:rPr>
          <w:noProof/>
        </w:rPr>
        <w:tab/>
        <w:t>11</w:t>
      </w:r>
    </w:p>
    <w:p w14:paraId="087DF805" w14:textId="77777777" w:rsidR="00326905" w:rsidRDefault="00326905">
      <w:pPr>
        <w:pStyle w:val="Index1"/>
        <w:tabs>
          <w:tab w:val="right" w:leader="dot" w:pos="9350"/>
        </w:tabs>
        <w:rPr>
          <w:noProof/>
        </w:rPr>
      </w:pPr>
      <w:r>
        <w:rPr>
          <w:noProof/>
        </w:rPr>
        <w:t>Setting Transfusion Parameters</w:t>
      </w:r>
      <w:r>
        <w:rPr>
          <w:noProof/>
        </w:rPr>
        <w:tab/>
        <w:t>98</w:t>
      </w:r>
    </w:p>
    <w:p w14:paraId="63A08752" w14:textId="77777777" w:rsidR="00326905" w:rsidRDefault="00326905">
      <w:pPr>
        <w:pStyle w:val="Index1"/>
        <w:tabs>
          <w:tab w:val="right" w:leader="dot" w:pos="9350"/>
        </w:tabs>
        <w:rPr>
          <w:noProof/>
        </w:rPr>
      </w:pPr>
      <w:r>
        <w:rPr>
          <w:noProof/>
        </w:rPr>
        <w:t>Shipments</w:t>
      </w:r>
      <w:r>
        <w:rPr>
          <w:noProof/>
        </w:rPr>
        <w:tab/>
        <w:t>135</w:t>
      </w:r>
    </w:p>
    <w:p w14:paraId="207434C6" w14:textId="77777777" w:rsidR="00326905" w:rsidRDefault="00326905">
      <w:pPr>
        <w:pStyle w:val="Index1"/>
        <w:tabs>
          <w:tab w:val="right" w:leader="dot" w:pos="9350"/>
        </w:tabs>
        <w:rPr>
          <w:noProof/>
        </w:rPr>
      </w:pPr>
      <w:r>
        <w:rPr>
          <w:noProof/>
        </w:rPr>
        <w:t>Software Basics</w:t>
      </w:r>
      <w:r>
        <w:rPr>
          <w:noProof/>
        </w:rPr>
        <w:tab/>
        <w:t>13</w:t>
      </w:r>
    </w:p>
    <w:p w14:paraId="25195D8F" w14:textId="77777777" w:rsidR="00326905" w:rsidRDefault="00326905">
      <w:pPr>
        <w:pStyle w:val="Index1"/>
        <w:tabs>
          <w:tab w:val="right" w:leader="dot" w:pos="9350"/>
        </w:tabs>
        <w:rPr>
          <w:noProof/>
        </w:rPr>
      </w:pPr>
      <w:r>
        <w:rPr>
          <w:noProof/>
        </w:rPr>
        <w:t>Sound</w:t>
      </w:r>
      <w:r>
        <w:rPr>
          <w:noProof/>
        </w:rPr>
        <w:tab/>
        <w:t>50</w:t>
      </w:r>
    </w:p>
    <w:p w14:paraId="5926F151" w14:textId="77777777" w:rsidR="00326905" w:rsidRDefault="00326905">
      <w:pPr>
        <w:pStyle w:val="Index1"/>
        <w:tabs>
          <w:tab w:val="right" w:leader="dot" w:pos="9350"/>
        </w:tabs>
        <w:rPr>
          <w:noProof/>
        </w:rPr>
      </w:pPr>
      <w:r>
        <w:rPr>
          <w:noProof/>
        </w:rPr>
        <w:t>Special Instructions &amp; Transfusion Requirements: Enter and Remove Special Instructions</w:t>
      </w:r>
      <w:r>
        <w:rPr>
          <w:noProof/>
        </w:rPr>
        <w:tab/>
        <w:t>348</w:t>
      </w:r>
    </w:p>
    <w:p w14:paraId="46049D5F" w14:textId="77777777" w:rsidR="00326905" w:rsidRDefault="00326905">
      <w:pPr>
        <w:pStyle w:val="Index1"/>
        <w:tabs>
          <w:tab w:val="right" w:leader="dot" w:pos="9350"/>
        </w:tabs>
        <w:rPr>
          <w:noProof/>
        </w:rPr>
      </w:pPr>
      <w:r>
        <w:rPr>
          <w:noProof/>
        </w:rPr>
        <w:t>Supplemental Information</w:t>
      </w:r>
      <w:r>
        <w:rPr>
          <w:noProof/>
        </w:rPr>
        <w:tab/>
        <w:t>4</w:t>
      </w:r>
    </w:p>
    <w:p w14:paraId="3A162366" w14:textId="77777777" w:rsidR="00326905" w:rsidRDefault="00326905">
      <w:pPr>
        <w:pStyle w:val="Index1"/>
        <w:tabs>
          <w:tab w:val="right" w:leader="dot" w:pos="9350"/>
        </w:tabs>
        <w:rPr>
          <w:noProof/>
        </w:rPr>
      </w:pPr>
      <w:r>
        <w:rPr>
          <w:noProof/>
        </w:rPr>
        <w:t>Supplies</w:t>
      </w:r>
      <w:r>
        <w:rPr>
          <w:noProof/>
        </w:rPr>
        <w:tab/>
        <w:t>125</w:t>
      </w:r>
    </w:p>
    <w:p w14:paraId="7E58CA61" w14:textId="77777777" w:rsidR="00326905" w:rsidRDefault="00326905">
      <w:pPr>
        <w:pStyle w:val="Index1"/>
        <w:tabs>
          <w:tab w:val="right" w:leader="dot" w:pos="9350"/>
        </w:tabs>
        <w:rPr>
          <w:noProof/>
        </w:rPr>
      </w:pPr>
      <w:r>
        <w:rPr>
          <w:noProof/>
        </w:rPr>
        <w:t>System Responses to Active Transfusion Requirements in Select Unit and Issue Blood Component</w:t>
      </w:r>
      <w:r>
        <w:rPr>
          <w:noProof/>
        </w:rPr>
        <w:tab/>
        <w:t>551</w:t>
      </w:r>
    </w:p>
    <w:p w14:paraId="2F58F2A3" w14:textId="77777777" w:rsidR="00326905" w:rsidRDefault="00326905">
      <w:pPr>
        <w:pStyle w:val="Index1"/>
        <w:tabs>
          <w:tab w:val="right" w:leader="dot" w:pos="9350"/>
        </w:tabs>
        <w:rPr>
          <w:noProof/>
        </w:rPr>
      </w:pPr>
      <w:r>
        <w:rPr>
          <w:noProof/>
        </w:rPr>
        <w:t>System Validation</w:t>
      </w:r>
    </w:p>
    <w:p w14:paraId="02611363" w14:textId="77777777" w:rsidR="00326905" w:rsidRDefault="00326905">
      <w:pPr>
        <w:pStyle w:val="Index2"/>
        <w:tabs>
          <w:tab w:val="right" w:leader="dot" w:pos="9350"/>
        </w:tabs>
        <w:rPr>
          <w:noProof/>
        </w:rPr>
      </w:pPr>
      <w:r w:rsidRPr="00244FAF">
        <w:rPr>
          <w:noProof/>
          <w:snapToGrid w:val="0"/>
        </w:rPr>
        <w:t>Antibodies</w:t>
      </w:r>
      <w:r>
        <w:rPr>
          <w:noProof/>
        </w:rPr>
        <w:tab/>
        <w:t>529</w:t>
      </w:r>
    </w:p>
    <w:p w14:paraId="61316AF8" w14:textId="77777777" w:rsidR="00326905" w:rsidRDefault="00326905">
      <w:pPr>
        <w:pStyle w:val="Index2"/>
        <w:tabs>
          <w:tab w:val="right" w:leader="dot" w:pos="9350"/>
        </w:tabs>
        <w:rPr>
          <w:noProof/>
        </w:rPr>
      </w:pPr>
      <w:r>
        <w:rPr>
          <w:noProof/>
        </w:rPr>
        <w:t>Blood Products</w:t>
      </w:r>
      <w:r>
        <w:rPr>
          <w:noProof/>
        </w:rPr>
        <w:tab/>
        <w:t>523</w:t>
      </w:r>
    </w:p>
    <w:p w14:paraId="3FE19A2B" w14:textId="77777777" w:rsidR="00326905" w:rsidRDefault="00326905">
      <w:pPr>
        <w:pStyle w:val="Index2"/>
        <w:tabs>
          <w:tab w:val="right" w:leader="dot" w:pos="9350"/>
        </w:tabs>
        <w:rPr>
          <w:noProof/>
        </w:rPr>
      </w:pPr>
      <w:r w:rsidRPr="00244FAF">
        <w:rPr>
          <w:noProof/>
          <w:snapToGrid w:val="0"/>
        </w:rPr>
        <w:t xml:space="preserve">Canned </w:t>
      </w:r>
      <w:r>
        <w:rPr>
          <w:noProof/>
        </w:rPr>
        <w:t>Comments</w:t>
      </w:r>
      <w:r>
        <w:rPr>
          <w:noProof/>
        </w:rPr>
        <w:tab/>
        <w:t>528</w:t>
      </w:r>
    </w:p>
    <w:p w14:paraId="4CE42795" w14:textId="77777777" w:rsidR="00326905" w:rsidRDefault="00326905">
      <w:pPr>
        <w:pStyle w:val="Index2"/>
        <w:tabs>
          <w:tab w:val="right" w:leader="dot" w:pos="9350"/>
        </w:tabs>
        <w:rPr>
          <w:noProof/>
        </w:rPr>
      </w:pPr>
      <w:r>
        <w:rPr>
          <w:noProof/>
        </w:rPr>
        <w:t>Component Classes</w:t>
      </w:r>
      <w:r>
        <w:rPr>
          <w:noProof/>
        </w:rPr>
        <w:tab/>
        <w:t>525</w:t>
      </w:r>
    </w:p>
    <w:p w14:paraId="67CF4F4D" w14:textId="77777777" w:rsidR="00326905" w:rsidRDefault="00326905">
      <w:pPr>
        <w:pStyle w:val="Index2"/>
        <w:tabs>
          <w:tab w:val="right" w:leader="dot" w:pos="9350"/>
        </w:tabs>
        <w:rPr>
          <w:noProof/>
        </w:rPr>
      </w:pPr>
      <w:r>
        <w:rPr>
          <w:noProof/>
        </w:rPr>
        <w:t>Configure Daily QC: Full Service</w:t>
      </w:r>
      <w:r>
        <w:rPr>
          <w:noProof/>
        </w:rPr>
        <w:tab/>
        <w:t>520</w:t>
      </w:r>
    </w:p>
    <w:p w14:paraId="17222474" w14:textId="77777777" w:rsidR="00326905" w:rsidRDefault="00326905">
      <w:pPr>
        <w:pStyle w:val="Index2"/>
        <w:tabs>
          <w:tab w:val="right" w:leader="dot" w:pos="9350"/>
        </w:tabs>
        <w:rPr>
          <w:noProof/>
        </w:rPr>
      </w:pPr>
      <w:r>
        <w:rPr>
          <w:noProof/>
        </w:rPr>
        <w:t>Configure Division</w:t>
      </w:r>
      <w:r>
        <w:rPr>
          <w:noProof/>
        </w:rPr>
        <w:tab/>
        <w:t>517</w:t>
      </w:r>
    </w:p>
    <w:p w14:paraId="13DD23B3" w14:textId="77777777" w:rsidR="00326905" w:rsidRDefault="00326905">
      <w:pPr>
        <w:pStyle w:val="Index2"/>
        <w:tabs>
          <w:tab w:val="right" w:leader="dot" w:pos="9350"/>
        </w:tabs>
        <w:rPr>
          <w:noProof/>
        </w:rPr>
      </w:pPr>
      <w:r>
        <w:rPr>
          <w:noProof/>
        </w:rPr>
        <w:t>Configure Testing: Full Service</w:t>
      </w:r>
      <w:r>
        <w:rPr>
          <w:noProof/>
        </w:rPr>
        <w:tab/>
        <w:t>517</w:t>
      </w:r>
    </w:p>
    <w:p w14:paraId="25AF4E4A" w14:textId="77777777" w:rsidR="00326905" w:rsidRDefault="00326905">
      <w:pPr>
        <w:pStyle w:val="Index2"/>
        <w:tabs>
          <w:tab w:val="right" w:leader="dot" w:pos="9350"/>
        </w:tabs>
        <w:rPr>
          <w:noProof/>
        </w:rPr>
      </w:pPr>
      <w:r w:rsidRPr="00244FAF">
        <w:rPr>
          <w:noProof/>
          <w:snapToGrid w:val="0"/>
        </w:rPr>
        <w:t>Edit Invoice Text</w:t>
      </w:r>
      <w:r>
        <w:rPr>
          <w:noProof/>
        </w:rPr>
        <w:tab/>
        <w:t>528</w:t>
      </w:r>
    </w:p>
    <w:p w14:paraId="515B3291" w14:textId="77777777" w:rsidR="00326905" w:rsidRDefault="00326905">
      <w:pPr>
        <w:pStyle w:val="Index2"/>
        <w:tabs>
          <w:tab w:val="right" w:leader="dot" w:pos="9350"/>
        </w:tabs>
        <w:rPr>
          <w:noProof/>
        </w:rPr>
      </w:pPr>
      <w:r>
        <w:rPr>
          <w:noProof/>
        </w:rPr>
        <w:t>Installation Qualification</w:t>
      </w:r>
      <w:r>
        <w:rPr>
          <w:noProof/>
        </w:rPr>
        <w:tab/>
        <w:t>515</w:t>
      </w:r>
    </w:p>
    <w:p w14:paraId="32AFBBAB" w14:textId="77777777" w:rsidR="00326905" w:rsidRDefault="00326905">
      <w:pPr>
        <w:pStyle w:val="Index2"/>
        <w:tabs>
          <w:tab w:val="right" w:leader="dot" w:pos="9350"/>
        </w:tabs>
        <w:rPr>
          <w:noProof/>
        </w:rPr>
      </w:pPr>
      <w:r>
        <w:rPr>
          <w:noProof/>
        </w:rPr>
        <w:t>Introduction</w:t>
      </w:r>
      <w:r>
        <w:rPr>
          <w:noProof/>
        </w:rPr>
        <w:tab/>
        <w:t>515</w:t>
      </w:r>
    </w:p>
    <w:p w14:paraId="1ABF648B" w14:textId="77777777" w:rsidR="00326905" w:rsidRDefault="00326905">
      <w:pPr>
        <w:pStyle w:val="Index2"/>
        <w:tabs>
          <w:tab w:val="right" w:leader="dot" w:pos="9350"/>
        </w:tabs>
        <w:rPr>
          <w:noProof/>
        </w:rPr>
      </w:pPr>
      <w:r>
        <w:rPr>
          <w:noProof/>
        </w:rPr>
        <w:t>Local Facilities</w:t>
      </w:r>
      <w:r>
        <w:rPr>
          <w:noProof/>
        </w:rPr>
        <w:tab/>
        <w:t>524</w:t>
      </w:r>
    </w:p>
    <w:p w14:paraId="3B80DEAB" w14:textId="77777777" w:rsidR="00326905" w:rsidRDefault="00326905">
      <w:pPr>
        <w:pStyle w:val="Index2"/>
        <w:tabs>
          <w:tab w:val="right" w:leader="dot" w:pos="9350"/>
        </w:tabs>
        <w:rPr>
          <w:noProof/>
        </w:rPr>
      </w:pPr>
      <w:r>
        <w:rPr>
          <w:noProof/>
        </w:rPr>
        <w:t>Log In Reagents: Full Service</w:t>
      </w:r>
      <w:r>
        <w:rPr>
          <w:noProof/>
        </w:rPr>
        <w:tab/>
        <w:t>522</w:t>
      </w:r>
    </w:p>
    <w:p w14:paraId="59EB2C79" w14:textId="77777777" w:rsidR="00326905" w:rsidRDefault="00326905">
      <w:pPr>
        <w:pStyle w:val="Index2"/>
        <w:tabs>
          <w:tab w:val="right" w:leader="dot" w:pos="9350"/>
        </w:tabs>
        <w:rPr>
          <w:noProof/>
        </w:rPr>
      </w:pPr>
      <w:r>
        <w:rPr>
          <w:noProof/>
        </w:rPr>
        <w:t>Maintain Minimum Levels: Full Service</w:t>
      </w:r>
      <w:r>
        <w:rPr>
          <w:noProof/>
        </w:rPr>
        <w:tab/>
        <w:t>521</w:t>
      </w:r>
    </w:p>
    <w:p w14:paraId="2E15FC71" w14:textId="77777777" w:rsidR="00326905" w:rsidRDefault="00326905">
      <w:pPr>
        <w:pStyle w:val="Index2"/>
        <w:tabs>
          <w:tab w:val="right" w:leader="dot" w:pos="9350"/>
        </w:tabs>
        <w:rPr>
          <w:noProof/>
        </w:rPr>
      </w:pPr>
      <w:r>
        <w:rPr>
          <w:noProof/>
        </w:rPr>
        <w:t>MSBOS</w:t>
      </w:r>
      <w:r>
        <w:rPr>
          <w:noProof/>
        </w:rPr>
        <w:tab/>
        <w:t>528</w:t>
      </w:r>
    </w:p>
    <w:p w14:paraId="1C8256C4" w14:textId="77777777" w:rsidR="00326905" w:rsidRDefault="00326905">
      <w:pPr>
        <w:pStyle w:val="Index2"/>
        <w:tabs>
          <w:tab w:val="right" w:leader="dot" w:pos="9350"/>
        </w:tabs>
        <w:rPr>
          <w:noProof/>
        </w:rPr>
      </w:pPr>
      <w:r>
        <w:rPr>
          <w:noProof/>
        </w:rPr>
        <w:t>Operational Qualification</w:t>
      </w:r>
      <w:r>
        <w:rPr>
          <w:noProof/>
        </w:rPr>
        <w:tab/>
        <w:t>515</w:t>
      </w:r>
    </w:p>
    <w:p w14:paraId="4F475D44" w14:textId="77777777" w:rsidR="00326905" w:rsidRDefault="00326905">
      <w:pPr>
        <w:pStyle w:val="Index2"/>
        <w:tabs>
          <w:tab w:val="right" w:leader="dot" w:pos="9350"/>
        </w:tabs>
        <w:rPr>
          <w:noProof/>
        </w:rPr>
      </w:pPr>
      <w:r>
        <w:rPr>
          <w:noProof/>
        </w:rPr>
        <w:t>Order Alerts</w:t>
      </w:r>
      <w:r>
        <w:rPr>
          <w:noProof/>
        </w:rPr>
        <w:tab/>
        <w:t>519</w:t>
      </w:r>
    </w:p>
    <w:p w14:paraId="7FD1DF27" w14:textId="77777777" w:rsidR="00326905" w:rsidRDefault="00326905">
      <w:pPr>
        <w:pStyle w:val="Index2"/>
        <w:tabs>
          <w:tab w:val="right" w:leader="dot" w:pos="9350"/>
        </w:tabs>
        <w:rPr>
          <w:noProof/>
        </w:rPr>
      </w:pPr>
      <w:r>
        <w:rPr>
          <w:noProof/>
        </w:rPr>
        <w:t>Performance Qualification</w:t>
      </w:r>
      <w:r>
        <w:rPr>
          <w:noProof/>
        </w:rPr>
        <w:tab/>
        <w:t>516</w:t>
      </w:r>
    </w:p>
    <w:p w14:paraId="316AD920" w14:textId="77777777" w:rsidR="00326905" w:rsidRDefault="00326905">
      <w:pPr>
        <w:pStyle w:val="Index2"/>
        <w:tabs>
          <w:tab w:val="right" w:leader="dot" w:pos="9350"/>
        </w:tabs>
        <w:rPr>
          <w:noProof/>
        </w:rPr>
      </w:pPr>
      <w:r>
        <w:rPr>
          <w:noProof/>
        </w:rPr>
        <w:t>Prerequisites</w:t>
      </w:r>
      <w:r>
        <w:rPr>
          <w:noProof/>
        </w:rPr>
        <w:tab/>
        <w:t>516</w:t>
      </w:r>
    </w:p>
    <w:p w14:paraId="6B186123" w14:textId="77777777" w:rsidR="00326905" w:rsidRDefault="00326905">
      <w:pPr>
        <w:pStyle w:val="Index2"/>
        <w:tabs>
          <w:tab w:val="right" w:leader="dot" w:pos="9350"/>
        </w:tabs>
        <w:rPr>
          <w:noProof/>
        </w:rPr>
      </w:pPr>
      <w:r>
        <w:rPr>
          <w:noProof/>
        </w:rPr>
        <w:t>Product Modifications: Full Service</w:t>
      </w:r>
      <w:r>
        <w:rPr>
          <w:noProof/>
        </w:rPr>
        <w:tab/>
        <w:t>518</w:t>
      </w:r>
    </w:p>
    <w:p w14:paraId="2153649E" w14:textId="77777777" w:rsidR="00326905" w:rsidRDefault="00326905">
      <w:pPr>
        <w:pStyle w:val="Index2"/>
        <w:tabs>
          <w:tab w:val="right" w:leader="dot" w:pos="9350"/>
        </w:tabs>
        <w:rPr>
          <w:noProof/>
        </w:rPr>
      </w:pPr>
      <w:r>
        <w:rPr>
          <w:noProof/>
        </w:rPr>
        <w:t>Record System Settings</w:t>
      </w:r>
      <w:r>
        <w:rPr>
          <w:noProof/>
        </w:rPr>
        <w:tab/>
        <w:t>517</w:t>
      </w:r>
    </w:p>
    <w:p w14:paraId="1747C044" w14:textId="77777777" w:rsidR="00326905" w:rsidRDefault="00326905">
      <w:pPr>
        <w:pStyle w:val="Index2"/>
        <w:tabs>
          <w:tab w:val="right" w:leader="dot" w:pos="9350"/>
        </w:tabs>
        <w:rPr>
          <w:noProof/>
        </w:rPr>
      </w:pPr>
      <w:r w:rsidRPr="00244FAF">
        <w:rPr>
          <w:noProof/>
          <w:snapToGrid w:val="0"/>
        </w:rPr>
        <w:lastRenderedPageBreak/>
        <w:t>Testing</w:t>
      </w:r>
      <w:r>
        <w:rPr>
          <w:noProof/>
        </w:rPr>
        <w:tab/>
        <w:t>530</w:t>
      </w:r>
    </w:p>
    <w:p w14:paraId="36A7B364" w14:textId="77777777" w:rsidR="00326905" w:rsidRDefault="00326905">
      <w:pPr>
        <w:pStyle w:val="Index2"/>
        <w:tabs>
          <w:tab w:val="right" w:leader="dot" w:pos="9350"/>
        </w:tabs>
        <w:rPr>
          <w:noProof/>
        </w:rPr>
      </w:pPr>
      <w:r>
        <w:rPr>
          <w:noProof/>
        </w:rPr>
        <w:t>Transfusion Complications</w:t>
      </w:r>
      <w:r>
        <w:rPr>
          <w:noProof/>
        </w:rPr>
        <w:tab/>
        <w:t>526</w:t>
      </w:r>
    </w:p>
    <w:p w14:paraId="5A99D021" w14:textId="77777777" w:rsidR="00326905" w:rsidRDefault="00326905">
      <w:pPr>
        <w:pStyle w:val="Index2"/>
        <w:tabs>
          <w:tab w:val="right" w:leader="dot" w:pos="9350"/>
        </w:tabs>
        <w:rPr>
          <w:noProof/>
        </w:rPr>
      </w:pPr>
      <w:r>
        <w:rPr>
          <w:noProof/>
        </w:rPr>
        <w:t>Transfusion Effectiveness</w:t>
      </w:r>
      <w:r>
        <w:rPr>
          <w:noProof/>
        </w:rPr>
        <w:tab/>
        <w:t>527</w:t>
      </w:r>
    </w:p>
    <w:p w14:paraId="59D262CB" w14:textId="77777777" w:rsidR="00326905" w:rsidRDefault="00326905">
      <w:pPr>
        <w:pStyle w:val="Index2"/>
        <w:tabs>
          <w:tab w:val="right" w:leader="dot" w:pos="9350"/>
        </w:tabs>
        <w:rPr>
          <w:noProof/>
        </w:rPr>
      </w:pPr>
      <w:r>
        <w:rPr>
          <w:noProof/>
        </w:rPr>
        <w:t>Update User Roles</w:t>
      </w:r>
      <w:r>
        <w:rPr>
          <w:noProof/>
        </w:rPr>
        <w:tab/>
        <w:t>530</w:t>
      </w:r>
    </w:p>
    <w:p w14:paraId="7724F9A8" w14:textId="77777777" w:rsidR="00326905" w:rsidRDefault="00326905">
      <w:pPr>
        <w:pStyle w:val="Index2"/>
        <w:tabs>
          <w:tab w:val="right" w:leader="dot" w:pos="9350"/>
        </w:tabs>
        <w:rPr>
          <w:noProof/>
        </w:rPr>
      </w:pPr>
      <w:r>
        <w:rPr>
          <w:noProof/>
        </w:rPr>
        <w:t>Validation Plan</w:t>
      </w:r>
      <w:r>
        <w:rPr>
          <w:noProof/>
        </w:rPr>
        <w:tab/>
        <w:t>515</w:t>
      </w:r>
    </w:p>
    <w:p w14:paraId="608AA228" w14:textId="77777777" w:rsidR="00326905" w:rsidRDefault="00326905">
      <w:pPr>
        <w:pStyle w:val="Index2"/>
        <w:tabs>
          <w:tab w:val="right" w:leader="dot" w:pos="9350"/>
        </w:tabs>
        <w:rPr>
          <w:noProof/>
        </w:rPr>
      </w:pPr>
      <w:r>
        <w:rPr>
          <w:noProof/>
        </w:rPr>
        <w:t>VBECS Forms and Reports</w:t>
      </w:r>
      <w:r>
        <w:rPr>
          <w:noProof/>
        </w:rPr>
        <w:tab/>
        <w:t>531</w:t>
      </w:r>
    </w:p>
    <w:p w14:paraId="417BC9C0" w14:textId="77777777" w:rsidR="00326905" w:rsidRDefault="00326905">
      <w:pPr>
        <w:pStyle w:val="Index2"/>
        <w:tabs>
          <w:tab w:val="right" w:leader="dot" w:pos="9350"/>
        </w:tabs>
        <w:rPr>
          <w:noProof/>
        </w:rPr>
      </w:pPr>
      <w:r w:rsidRPr="00244FAF">
        <w:rPr>
          <w:noProof/>
          <w:snapToGrid w:val="0"/>
        </w:rPr>
        <w:t>Workload Codes</w:t>
      </w:r>
      <w:r>
        <w:rPr>
          <w:noProof/>
        </w:rPr>
        <w:tab/>
        <w:t>528</w:t>
      </w:r>
    </w:p>
    <w:p w14:paraId="44F78FD5" w14:textId="77777777" w:rsidR="00326905" w:rsidRDefault="00326905">
      <w:pPr>
        <w:pStyle w:val="Index1"/>
        <w:tabs>
          <w:tab w:val="right" w:leader="dot" w:pos="9350"/>
        </w:tabs>
        <w:rPr>
          <w:noProof/>
        </w:rPr>
      </w:pPr>
      <w:r>
        <w:rPr>
          <w:noProof/>
        </w:rPr>
        <w:t>System Validation</w:t>
      </w:r>
      <w:r>
        <w:rPr>
          <w:noProof/>
        </w:rPr>
        <w:tab/>
        <w:t>515</w:t>
      </w:r>
    </w:p>
    <w:p w14:paraId="6855CA59" w14:textId="77777777" w:rsidR="00326905" w:rsidRDefault="00326905">
      <w:pPr>
        <w:pStyle w:val="IndexHeading"/>
        <w:keepNext/>
        <w:tabs>
          <w:tab w:val="right" w:leader="dot" w:pos="9350"/>
        </w:tabs>
        <w:rPr>
          <w:rFonts w:asciiTheme="minorHAnsi" w:eastAsiaTheme="minorEastAsia" w:hAnsiTheme="minorHAnsi" w:cstheme="minorBidi"/>
          <w:b w:val="0"/>
          <w:bCs w:val="0"/>
          <w:noProof/>
        </w:rPr>
      </w:pPr>
      <w:r>
        <w:rPr>
          <w:noProof/>
        </w:rPr>
        <w:t>T</w:t>
      </w:r>
    </w:p>
    <w:p w14:paraId="3E40AEB8" w14:textId="77777777" w:rsidR="00326905" w:rsidRDefault="00326905">
      <w:pPr>
        <w:pStyle w:val="Index1"/>
        <w:tabs>
          <w:tab w:val="right" w:leader="dot" w:pos="9350"/>
        </w:tabs>
        <w:rPr>
          <w:noProof/>
        </w:rPr>
      </w:pPr>
      <w:r>
        <w:rPr>
          <w:noProof/>
        </w:rPr>
        <w:t>Tables</w:t>
      </w:r>
    </w:p>
    <w:p w14:paraId="527BA262" w14:textId="77777777" w:rsidR="00326905" w:rsidRDefault="00326905">
      <w:pPr>
        <w:pStyle w:val="Index2"/>
        <w:tabs>
          <w:tab w:val="right" w:leader="dot" w:pos="9350"/>
        </w:tabs>
        <w:rPr>
          <w:noProof/>
        </w:rPr>
      </w:pPr>
      <w:r>
        <w:rPr>
          <w:noProof/>
        </w:rPr>
        <w:t>Alerts That May Occur in Issue Blood Components (Emergency)</w:t>
      </w:r>
      <w:r>
        <w:rPr>
          <w:noProof/>
        </w:rPr>
        <w:tab/>
        <w:t>235</w:t>
      </w:r>
    </w:p>
    <w:p w14:paraId="6C1165C3" w14:textId="77777777" w:rsidR="00326905" w:rsidRDefault="00326905">
      <w:pPr>
        <w:pStyle w:val="Index2"/>
        <w:tabs>
          <w:tab w:val="right" w:leader="dot" w:pos="9350"/>
        </w:tabs>
        <w:rPr>
          <w:noProof/>
        </w:rPr>
      </w:pPr>
      <w:r>
        <w:rPr>
          <w:noProof/>
        </w:rPr>
        <w:t>Alerts That May Occur in Issue Blood Components (Routine)</w:t>
      </w:r>
      <w:r>
        <w:rPr>
          <w:noProof/>
        </w:rPr>
        <w:tab/>
        <w:t>233</w:t>
      </w:r>
    </w:p>
    <w:p w14:paraId="7279D3B6" w14:textId="77777777" w:rsidR="00326905" w:rsidRDefault="00326905">
      <w:pPr>
        <w:pStyle w:val="Index2"/>
        <w:tabs>
          <w:tab w:val="right" w:leader="dot" w:pos="9350"/>
        </w:tabs>
        <w:rPr>
          <w:noProof/>
        </w:rPr>
      </w:pPr>
      <w:r>
        <w:rPr>
          <w:noProof/>
        </w:rPr>
        <w:t>Alerts That May Occur in Patient Testing</w:t>
      </w:r>
    </w:p>
    <w:p w14:paraId="46BBE048" w14:textId="77777777" w:rsidR="00326905" w:rsidRDefault="00326905">
      <w:pPr>
        <w:pStyle w:val="Index3"/>
        <w:tabs>
          <w:tab w:val="right" w:leader="dot" w:pos="9350"/>
        </w:tabs>
        <w:rPr>
          <w:noProof/>
        </w:rPr>
      </w:pPr>
      <w:r>
        <w:rPr>
          <w:noProof/>
        </w:rPr>
        <w:t>General Instructions</w:t>
      </w:r>
      <w:r>
        <w:rPr>
          <w:noProof/>
        </w:rPr>
        <w:tab/>
        <w:t>305</w:t>
      </w:r>
    </w:p>
    <w:p w14:paraId="30980B0A" w14:textId="77777777" w:rsidR="00326905" w:rsidRDefault="00326905">
      <w:pPr>
        <w:pStyle w:val="Index2"/>
        <w:tabs>
          <w:tab w:val="right" w:leader="dot" w:pos="9350"/>
        </w:tabs>
        <w:rPr>
          <w:noProof/>
        </w:rPr>
      </w:pPr>
      <w:r>
        <w:rPr>
          <w:noProof/>
        </w:rPr>
        <w:t>Alerts That May Occur in Print Unit Caution Tag &amp; Transfusion Record Form</w:t>
      </w:r>
      <w:r>
        <w:rPr>
          <w:noProof/>
        </w:rPr>
        <w:tab/>
        <w:t>251</w:t>
      </w:r>
    </w:p>
    <w:p w14:paraId="53EC5327" w14:textId="77777777" w:rsidR="00326905" w:rsidRDefault="00326905">
      <w:pPr>
        <w:pStyle w:val="Index2"/>
        <w:tabs>
          <w:tab w:val="right" w:leader="dot" w:pos="9350"/>
        </w:tabs>
        <w:rPr>
          <w:noProof/>
        </w:rPr>
      </w:pPr>
      <w:r>
        <w:rPr>
          <w:noProof/>
        </w:rPr>
        <w:t>Alerts That May Occur in Select Units</w:t>
      </w:r>
      <w:r>
        <w:rPr>
          <w:noProof/>
        </w:rPr>
        <w:tab/>
        <w:t>221</w:t>
      </w:r>
    </w:p>
    <w:p w14:paraId="2C3ED4D0" w14:textId="77777777" w:rsidR="00326905" w:rsidRDefault="00326905">
      <w:pPr>
        <w:pStyle w:val="Index2"/>
        <w:tabs>
          <w:tab w:val="right" w:leader="dot" w:pos="9350"/>
        </w:tabs>
        <w:rPr>
          <w:noProof/>
        </w:rPr>
      </w:pPr>
      <w:r>
        <w:rPr>
          <w:noProof/>
        </w:rPr>
        <w:t>Allowable Product Modifications by Original Product Type</w:t>
      </w:r>
      <w:r>
        <w:rPr>
          <w:noProof/>
        </w:rPr>
        <w:tab/>
        <w:t>461</w:t>
      </w:r>
    </w:p>
    <w:p w14:paraId="0176FAA5" w14:textId="77777777" w:rsidR="00326905" w:rsidRDefault="00326905">
      <w:pPr>
        <w:pStyle w:val="Index2"/>
        <w:tabs>
          <w:tab w:val="right" w:leader="dot" w:pos="9350"/>
        </w:tabs>
        <w:rPr>
          <w:noProof/>
        </w:rPr>
      </w:pPr>
      <w:r>
        <w:rPr>
          <w:noProof/>
        </w:rPr>
        <w:t>Antibody and Antigen Table, Database Conversion</w:t>
      </w:r>
      <w:r>
        <w:rPr>
          <w:noProof/>
        </w:rPr>
        <w:tab/>
        <w:t>446</w:t>
      </w:r>
    </w:p>
    <w:p w14:paraId="4C7A3F91" w14:textId="77777777" w:rsidR="00326905" w:rsidRDefault="00326905">
      <w:pPr>
        <w:pStyle w:val="Index2"/>
        <w:tabs>
          <w:tab w:val="right" w:leader="dot" w:pos="9350"/>
        </w:tabs>
        <w:rPr>
          <w:noProof/>
        </w:rPr>
      </w:pPr>
      <w:r>
        <w:rPr>
          <w:noProof/>
        </w:rPr>
        <w:t>Antibody and Antigen Table, Irregular Antibodies</w:t>
      </w:r>
      <w:r>
        <w:rPr>
          <w:noProof/>
        </w:rPr>
        <w:tab/>
        <w:t>443</w:t>
      </w:r>
    </w:p>
    <w:p w14:paraId="08E57D4A" w14:textId="77777777" w:rsidR="00326905" w:rsidRDefault="00326905">
      <w:pPr>
        <w:pStyle w:val="Index2"/>
        <w:tabs>
          <w:tab w:val="right" w:leader="dot" w:pos="9350"/>
        </w:tabs>
        <w:rPr>
          <w:noProof/>
        </w:rPr>
      </w:pPr>
      <w:r>
        <w:rPr>
          <w:noProof/>
        </w:rPr>
        <w:t>Antibody Screen Test Interpretation</w:t>
      </w:r>
      <w:r>
        <w:rPr>
          <w:noProof/>
        </w:rPr>
        <w:tab/>
        <w:t>447</w:t>
      </w:r>
    </w:p>
    <w:p w14:paraId="67043621" w14:textId="77777777" w:rsidR="00326905" w:rsidRDefault="00326905">
      <w:pPr>
        <w:pStyle w:val="Index2"/>
        <w:tabs>
          <w:tab w:val="right" w:leader="dot" w:pos="9350"/>
        </w:tabs>
        <w:rPr>
          <w:noProof/>
        </w:rPr>
      </w:pPr>
      <w:r>
        <w:rPr>
          <w:noProof/>
        </w:rPr>
        <w:t>BCE COTS Message Updates</w:t>
      </w:r>
      <w:r>
        <w:rPr>
          <w:noProof/>
        </w:rPr>
        <w:tab/>
        <w:t>472</w:t>
      </w:r>
    </w:p>
    <w:p w14:paraId="279D7D4F" w14:textId="77777777" w:rsidR="00326905" w:rsidRDefault="00326905">
      <w:pPr>
        <w:pStyle w:val="Index2"/>
        <w:tabs>
          <w:tab w:val="right" w:leader="dot" w:pos="9350"/>
        </w:tabs>
        <w:rPr>
          <w:noProof/>
        </w:rPr>
      </w:pPr>
      <w:r>
        <w:rPr>
          <w:noProof/>
        </w:rPr>
        <w:t>Blood Products Worksheet</w:t>
      </w:r>
      <w:r>
        <w:rPr>
          <w:noProof/>
        </w:rPr>
        <w:tab/>
        <w:t>523</w:t>
      </w:r>
    </w:p>
    <w:p w14:paraId="5FDD1A10" w14:textId="77777777" w:rsidR="00326905" w:rsidRDefault="00326905">
      <w:pPr>
        <w:pStyle w:val="Index2"/>
        <w:tabs>
          <w:tab w:val="right" w:leader="dot" w:pos="9350"/>
        </w:tabs>
        <w:rPr>
          <w:noProof/>
        </w:rPr>
      </w:pPr>
      <w:r w:rsidRPr="00244FAF">
        <w:rPr>
          <w:rFonts w:ascii="Arial" w:hAnsi="Arial" w:cs="Arial"/>
          <w:noProof/>
        </w:rPr>
        <w:t>Canned Comment Category Types and Text</w:t>
      </w:r>
      <w:r>
        <w:rPr>
          <w:noProof/>
        </w:rPr>
        <w:tab/>
        <w:t>448</w:t>
      </w:r>
    </w:p>
    <w:p w14:paraId="403DB3E6" w14:textId="77777777" w:rsidR="00326905" w:rsidRDefault="00326905">
      <w:pPr>
        <w:pStyle w:val="Index2"/>
        <w:tabs>
          <w:tab w:val="right" w:leader="dot" w:pos="9350"/>
        </w:tabs>
        <w:rPr>
          <w:noProof/>
        </w:rPr>
      </w:pPr>
      <w:r>
        <w:rPr>
          <w:noProof/>
        </w:rPr>
        <w:t>Component Class Requirements Worksheet</w:t>
      </w:r>
      <w:r>
        <w:rPr>
          <w:noProof/>
        </w:rPr>
        <w:tab/>
        <w:t>525</w:t>
      </w:r>
    </w:p>
    <w:p w14:paraId="1A2B6176" w14:textId="77777777" w:rsidR="00326905" w:rsidRDefault="00326905">
      <w:pPr>
        <w:pStyle w:val="Index2"/>
        <w:tabs>
          <w:tab w:val="right" w:leader="dot" w:pos="9350"/>
        </w:tabs>
        <w:rPr>
          <w:noProof/>
        </w:rPr>
      </w:pPr>
      <w:r>
        <w:rPr>
          <w:noProof/>
        </w:rPr>
        <w:t>CPRS Orderable Blood Components (Component Classes) Mapped to ICCBBA Component Classes</w:t>
      </w:r>
      <w:r>
        <w:rPr>
          <w:noProof/>
        </w:rPr>
        <w:tab/>
        <w:t>453</w:t>
      </w:r>
    </w:p>
    <w:p w14:paraId="0D46BCB8" w14:textId="77777777" w:rsidR="00326905" w:rsidRDefault="00326905">
      <w:pPr>
        <w:pStyle w:val="Index2"/>
        <w:tabs>
          <w:tab w:val="right" w:leader="dot" w:pos="9350"/>
        </w:tabs>
        <w:rPr>
          <w:noProof/>
        </w:rPr>
      </w:pPr>
      <w:r>
        <w:rPr>
          <w:noProof/>
        </w:rPr>
        <w:t>Crossmatch Interpretations for Print Unit Caution Tag &amp; Transfusion Record Form</w:t>
      </w:r>
      <w:r>
        <w:rPr>
          <w:noProof/>
        </w:rPr>
        <w:tab/>
        <w:t>319</w:t>
      </w:r>
    </w:p>
    <w:p w14:paraId="6DC291F1" w14:textId="77777777" w:rsidR="00326905" w:rsidRDefault="00326905">
      <w:pPr>
        <w:pStyle w:val="Index2"/>
        <w:tabs>
          <w:tab w:val="right" w:leader="dot" w:pos="9350"/>
        </w:tabs>
        <w:rPr>
          <w:noProof/>
        </w:rPr>
      </w:pPr>
      <w:r>
        <w:rPr>
          <w:noProof/>
        </w:rPr>
        <w:t>Details in Audit Trail Report</w:t>
      </w:r>
      <w:r>
        <w:rPr>
          <w:noProof/>
        </w:rPr>
        <w:tab/>
        <w:t>453</w:t>
      </w:r>
    </w:p>
    <w:p w14:paraId="5C65C61B" w14:textId="77777777" w:rsidR="00326905" w:rsidRDefault="00326905">
      <w:pPr>
        <w:pStyle w:val="Index2"/>
        <w:tabs>
          <w:tab w:val="right" w:leader="dot" w:pos="9350"/>
        </w:tabs>
        <w:rPr>
          <w:noProof/>
        </w:rPr>
      </w:pPr>
      <w:r>
        <w:rPr>
          <w:noProof/>
        </w:rPr>
        <w:t>Details in Exception Report</w:t>
      </w:r>
      <w:r>
        <w:rPr>
          <w:noProof/>
        </w:rPr>
        <w:tab/>
        <w:t>458</w:t>
      </w:r>
    </w:p>
    <w:p w14:paraId="476DE7E1" w14:textId="77777777" w:rsidR="00326905" w:rsidRDefault="00326905">
      <w:pPr>
        <w:pStyle w:val="Index2"/>
        <w:tabs>
          <w:tab w:val="right" w:leader="dot" w:pos="9350"/>
        </w:tabs>
        <w:rPr>
          <w:noProof/>
        </w:rPr>
      </w:pPr>
      <w:r>
        <w:rPr>
          <w:noProof/>
        </w:rPr>
        <w:t>Local Facilities Worksheet</w:t>
      </w:r>
      <w:r>
        <w:rPr>
          <w:noProof/>
        </w:rPr>
        <w:tab/>
        <w:t>524</w:t>
      </w:r>
    </w:p>
    <w:p w14:paraId="5E65760F" w14:textId="77777777" w:rsidR="00326905" w:rsidRDefault="00326905">
      <w:pPr>
        <w:pStyle w:val="Index2"/>
        <w:tabs>
          <w:tab w:val="right" w:leader="dot" w:pos="9350"/>
        </w:tabs>
        <w:rPr>
          <w:noProof/>
        </w:rPr>
      </w:pPr>
      <w:r>
        <w:rPr>
          <w:noProof/>
        </w:rPr>
        <w:t>Modification Types and Costs</w:t>
      </w:r>
      <w:r>
        <w:rPr>
          <w:noProof/>
        </w:rPr>
        <w:tab/>
        <w:t>518</w:t>
      </w:r>
    </w:p>
    <w:p w14:paraId="756EF6B0" w14:textId="77777777" w:rsidR="00326905" w:rsidRDefault="00326905">
      <w:pPr>
        <w:pStyle w:val="Index2"/>
        <w:tabs>
          <w:tab w:val="right" w:leader="dot" w:pos="9350"/>
        </w:tabs>
        <w:rPr>
          <w:noProof/>
        </w:rPr>
      </w:pPr>
      <w:r>
        <w:rPr>
          <w:noProof/>
        </w:rPr>
        <w:t>Rules for Electronic and Serologic Crossmatch</w:t>
      </w:r>
      <w:r>
        <w:rPr>
          <w:noProof/>
        </w:rPr>
        <w:tab/>
        <w:t>468</w:t>
      </w:r>
    </w:p>
    <w:p w14:paraId="3CFAA497" w14:textId="77777777" w:rsidR="00326905" w:rsidRDefault="00326905">
      <w:pPr>
        <w:pStyle w:val="Index2"/>
        <w:tabs>
          <w:tab w:val="right" w:leader="dot" w:pos="9350"/>
        </w:tabs>
        <w:rPr>
          <w:noProof/>
        </w:rPr>
      </w:pPr>
      <w:r>
        <w:rPr>
          <w:noProof/>
        </w:rPr>
        <w:t>Sample Blood Products Worksheet</w:t>
      </w:r>
      <w:r>
        <w:rPr>
          <w:noProof/>
        </w:rPr>
        <w:tab/>
        <w:t>523</w:t>
      </w:r>
    </w:p>
    <w:p w14:paraId="768908FF" w14:textId="77777777" w:rsidR="00326905" w:rsidRDefault="00326905">
      <w:pPr>
        <w:pStyle w:val="Index2"/>
        <w:tabs>
          <w:tab w:val="right" w:leader="dot" w:pos="9350"/>
        </w:tabs>
        <w:rPr>
          <w:noProof/>
        </w:rPr>
      </w:pPr>
      <w:r>
        <w:rPr>
          <w:noProof/>
        </w:rPr>
        <w:t>Sample Local Facilities Worksheet</w:t>
      </w:r>
      <w:r>
        <w:rPr>
          <w:noProof/>
        </w:rPr>
        <w:tab/>
        <w:t>524</w:t>
      </w:r>
    </w:p>
    <w:p w14:paraId="022B1E2B" w14:textId="77777777" w:rsidR="00326905" w:rsidRDefault="00326905">
      <w:pPr>
        <w:pStyle w:val="Index2"/>
        <w:tabs>
          <w:tab w:val="right" w:leader="dot" w:pos="9350"/>
        </w:tabs>
        <w:rPr>
          <w:noProof/>
        </w:rPr>
      </w:pPr>
      <w:r>
        <w:rPr>
          <w:noProof/>
        </w:rPr>
        <w:t>Transfusion Complications Worksheet</w:t>
      </w:r>
      <w:r>
        <w:rPr>
          <w:noProof/>
        </w:rPr>
        <w:tab/>
        <w:t>526</w:t>
      </w:r>
    </w:p>
    <w:p w14:paraId="4B311117" w14:textId="77777777" w:rsidR="00326905" w:rsidRDefault="00326905">
      <w:pPr>
        <w:pStyle w:val="Index2"/>
        <w:tabs>
          <w:tab w:val="right" w:leader="dot" w:pos="9350"/>
        </w:tabs>
        <w:rPr>
          <w:noProof/>
        </w:rPr>
      </w:pPr>
      <w:r>
        <w:rPr>
          <w:noProof/>
        </w:rPr>
        <w:t>Transfusion Effectiveness Worksheet</w:t>
      </w:r>
      <w:r>
        <w:rPr>
          <w:noProof/>
        </w:rPr>
        <w:tab/>
        <w:t>527</w:t>
      </w:r>
    </w:p>
    <w:p w14:paraId="34698569" w14:textId="77777777" w:rsidR="00326905" w:rsidRDefault="00326905">
      <w:pPr>
        <w:pStyle w:val="Index2"/>
        <w:tabs>
          <w:tab w:val="right" w:leader="dot" w:pos="9350"/>
        </w:tabs>
        <w:rPr>
          <w:noProof/>
        </w:rPr>
      </w:pPr>
      <w:r>
        <w:rPr>
          <w:noProof/>
        </w:rPr>
        <w:t>Transfusion Reaction Types</w:t>
      </w:r>
      <w:r>
        <w:rPr>
          <w:noProof/>
        </w:rPr>
        <w:tab/>
        <w:t>342</w:t>
      </w:r>
    </w:p>
    <w:p w14:paraId="4F2FE6C2" w14:textId="77777777" w:rsidR="00326905" w:rsidRDefault="00326905">
      <w:pPr>
        <w:pStyle w:val="Index2"/>
        <w:tabs>
          <w:tab w:val="right" w:leader="dot" w:pos="9350"/>
        </w:tabs>
        <w:rPr>
          <w:noProof/>
        </w:rPr>
      </w:pPr>
      <w:r>
        <w:rPr>
          <w:noProof/>
        </w:rPr>
        <w:t>User Roles and Functions</w:t>
      </w:r>
      <w:r>
        <w:rPr>
          <w:noProof/>
        </w:rPr>
        <w:tab/>
        <w:t>5</w:t>
      </w:r>
    </w:p>
    <w:p w14:paraId="7BB4839A" w14:textId="77777777" w:rsidR="00326905" w:rsidRDefault="00326905">
      <w:pPr>
        <w:pStyle w:val="Index2"/>
        <w:tabs>
          <w:tab w:val="right" w:leader="dot" w:pos="9350"/>
        </w:tabs>
        <w:rPr>
          <w:noProof/>
        </w:rPr>
      </w:pPr>
      <w:r>
        <w:rPr>
          <w:noProof/>
        </w:rPr>
        <w:t>Valid Interpretations</w:t>
      </w:r>
      <w:r>
        <w:rPr>
          <w:noProof/>
        </w:rPr>
        <w:tab/>
        <w:t>162</w:t>
      </w:r>
    </w:p>
    <w:p w14:paraId="5729B70F" w14:textId="77777777" w:rsidR="00326905" w:rsidRDefault="00326905">
      <w:pPr>
        <w:pStyle w:val="Index2"/>
        <w:tabs>
          <w:tab w:val="right" w:leader="dot" w:pos="9350"/>
        </w:tabs>
        <w:rPr>
          <w:noProof/>
        </w:rPr>
      </w:pPr>
      <w:r>
        <w:rPr>
          <w:noProof/>
        </w:rPr>
        <w:t>Valid Observed Test Results Entries</w:t>
      </w:r>
      <w:r>
        <w:rPr>
          <w:noProof/>
        </w:rPr>
        <w:tab/>
        <w:t>19</w:t>
      </w:r>
    </w:p>
    <w:p w14:paraId="7660AE10" w14:textId="77777777" w:rsidR="00326905" w:rsidRDefault="00326905">
      <w:pPr>
        <w:pStyle w:val="Index2"/>
        <w:tabs>
          <w:tab w:val="right" w:leader="dot" w:pos="9350"/>
        </w:tabs>
        <w:rPr>
          <w:noProof/>
        </w:rPr>
      </w:pPr>
      <w:r>
        <w:rPr>
          <w:noProof/>
        </w:rPr>
        <w:t>VBECS Maximum Surgical Blood Order Schedule (MSBOS)</w:t>
      </w:r>
      <w:r>
        <w:rPr>
          <w:noProof/>
        </w:rPr>
        <w:tab/>
        <w:t>471</w:t>
      </w:r>
    </w:p>
    <w:p w14:paraId="76028010" w14:textId="77777777" w:rsidR="00326905" w:rsidRDefault="00326905">
      <w:pPr>
        <w:pStyle w:val="Index1"/>
        <w:tabs>
          <w:tab w:val="right" w:leader="dot" w:pos="9350"/>
        </w:tabs>
        <w:rPr>
          <w:noProof/>
        </w:rPr>
      </w:pPr>
      <w:r>
        <w:rPr>
          <w:noProof/>
        </w:rPr>
        <w:t>Terms</w:t>
      </w:r>
      <w:r>
        <w:rPr>
          <w:noProof/>
        </w:rPr>
        <w:tab/>
        <w:t>3</w:t>
      </w:r>
    </w:p>
    <w:p w14:paraId="58F7E783" w14:textId="77777777" w:rsidR="00326905" w:rsidRDefault="00326905">
      <w:pPr>
        <w:pStyle w:val="Index1"/>
        <w:tabs>
          <w:tab w:val="right" w:leader="dot" w:pos="9350"/>
        </w:tabs>
        <w:rPr>
          <w:noProof/>
        </w:rPr>
      </w:pPr>
      <w:r>
        <w:rPr>
          <w:noProof/>
        </w:rPr>
        <w:t>Test Units</w:t>
      </w:r>
      <w:r>
        <w:rPr>
          <w:noProof/>
        </w:rPr>
        <w:tab/>
        <w:t>159</w:t>
      </w:r>
    </w:p>
    <w:p w14:paraId="3979769D" w14:textId="77777777" w:rsidR="00326905" w:rsidRDefault="00326905">
      <w:pPr>
        <w:pStyle w:val="Index1"/>
        <w:tabs>
          <w:tab w:val="right" w:leader="dot" w:pos="9350"/>
        </w:tabs>
        <w:rPr>
          <w:noProof/>
        </w:rPr>
      </w:pPr>
      <w:r>
        <w:rPr>
          <w:noProof/>
        </w:rPr>
        <w:t>Testing</w:t>
      </w:r>
      <w:r>
        <w:rPr>
          <w:noProof/>
        </w:rPr>
        <w:tab/>
        <w:t>17</w:t>
      </w:r>
    </w:p>
    <w:p w14:paraId="03C83FB4" w14:textId="77777777" w:rsidR="00326905" w:rsidRDefault="00326905">
      <w:pPr>
        <w:pStyle w:val="Index1"/>
        <w:tabs>
          <w:tab w:val="right" w:leader="dot" w:pos="9350"/>
        </w:tabs>
        <w:rPr>
          <w:noProof/>
        </w:rPr>
      </w:pPr>
      <w:r>
        <w:rPr>
          <w:noProof/>
        </w:rPr>
        <w:t>Throughout VBECS</w:t>
      </w:r>
      <w:r>
        <w:rPr>
          <w:noProof/>
        </w:rPr>
        <w:tab/>
        <w:t>66</w:t>
      </w:r>
    </w:p>
    <w:p w14:paraId="344087A0" w14:textId="77777777" w:rsidR="00326905" w:rsidRDefault="00326905">
      <w:pPr>
        <w:pStyle w:val="Index1"/>
        <w:tabs>
          <w:tab w:val="right" w:leader="dot" w:pos="9350"/>
        </w:tabs>
        <w:rPr>
          <w:noProof/>
        </w:rPr>
      </w:pPr>
      <w:r>
        <w:rPr>
          <w:noProof/>
        </w:rPr>
        <w:t>Tool Tips</w:t>
      </w:r>
      <w:r>
        <w:rPr>
          <w:noProof/>
        </w:rPr>
        <w:tab/>
        <w:t>58</w:t>
      </w:r>
    </w:p>
    <w:p w14:paraId="2A9FD78C" w14:textId="77777777" w:rsidR="00326905" w:rsidRDefault="00326905">
      <w:pPr>
        <w:pStyle w:val="Index1"/>
        <w:tabs>
          <w:tab w:val="right" w:leader="dot" w:pos="9350"/>
        </w:tabs>
        <w:rPr>
          <w:noProof/>
        </w:rPr>
      </w:pPr>
      <w:r>
        <w:rPr>
          <w:noProof/>
        </w:rPr>
        <w:t>Toolbars</w:t>
      </w:r>
      <w:r>
        <w:rPr>
          <w:noProof/>
        </w:rPr>
        <w:tab/>
        <w:t>58</w:t>
      </w:r>
    </w:p>
    <w:p w14:paraId="511CE834" w14:textId="77777777" w:rsidR="00326905" w:rsidRDefault="00326905">
      <w:pPr>
        <w:pStyle w:val="Index1"/>
        <w:tabs>
          <w:tab w:val="right" w:leader="dot" w:pos="9350"/>
        </w:tabs>
        <w:rPr>
          <w:noProof/>
        </w:rPr>
      </w:pPr>
      <w:r>
        <w:rPr>
          <w:noProof/>
        </w:rPr>
        <w:t>Transfusion Complications Report</w:t>
      </w:r>
      <w:r>
        <w:rPr>
          <w:noProof/>
        </w:rPr>
        <w:tab/>
        <w:t>408</w:t>
      </w:r>
    </w:p>
    <w:p w14:paraId="5D0504A1" w14:textId="77777777" w:rsidR="00326905" w:rsidRDefault="00326905">
      <w:pPr>
        <w:pStyle w:val="Index1"/>
        <w:tabs>
          <w:tab w:val="right" w:leader="dot" w:pos="9350"/>
        </w:tabs>
        <w:rPr>
          <w:noProof/>
        </w:rPr>
      </w:pPr>
      <w:r>
        <w:rPr>
          <w:noProof/>
        </w:rPr>
        <w:t>Transfusion Effectiveness</w:t>
      </w:r>
      <w:r>
        <w:rPr>
          <w:noProof/>
        </w:rPr>
        <w:tab/>
        <w:t>100</w:t>
      </w:r>
    </w:p>
    <w:p w14:paraId="248F8A5A" w14:textId="77777777" w:rsidR="00326905" w:rsidRDefault="00326905">
      <w:pPr>
        <w:pStyle w:val="Index1"/>
        <w:tabs>
          <w:tab w:val="right" w:leader="dot" w:pos="9350"/>
        </w:tabs>
        <w:rPr>
          <w:noProof/>
        </w:rPr>
      </w:pPr>
      <w:r>
        <w:rPr>
          <w:noProof/>
        </w:rPr>
        <w:t>Transfusion Effectiveness Report</w:t>
      </w:r>
      <w:r>
        <w:rPr>
          <w:noProof/>
        </w:rPr>
        <w:tab/>
        <w:t>410</w:t>
      </w:r>
    </w:p>
    <w:p w14:paraId="31BB6DD2" w14:textId="77777777" w:rsidR="00326905" w:rsidRDefault="00326905">
      <w:pPr>
        <w:pStyle w:val="Index1"/>
        <w:tabs>
          <w:tab w:val="right" w:leader="dot" w:pos="9350"/>
        </w:tabs>
        <w:rPr>
          <w:noProof/>
        </w:rPr>
      </w:pPr>
      <w:r>
        <w:rPr>
          <w:noProof/>
        </w:rPr>
        <w:t>Transfusion Reaction Count Report</w:t>
      </w:r>
      <w:r>
        <w:rPr>
          <w:noProof/>
        </w:rPr>
        <w:tab/>
        <w:t>412</w:t>
      </w:r>
    </w:p>
    <w:p w14:paraId="7E70E3EE" w14:textId="77777777" w:rsidR="00326905" w:rsidRDefault="00326905">
      <w:pPr>
        <w:pStyle w:val="Index1"/>
        <w:tabs>
          <w:tab w:val="right" w:leader="dot" w:pos="9350"/>
        </w:tabs>
        <w:rPr>
          <w:noProof/>
        </w:rPr>
      </w:pPr>
      <w:r>
        <w:rPr>
          <w:noProof/>
        </w:rPr>
        <w:t>Transfusion Requirements Report</w:t>
      </w:r>
      <w:r>
        <w:rPr>
          <w:noProof/>
        </w:rPr>
        <w:tab/>
        <w:t>414</w:t>
      </w:r>
    </w:p>
    <w:p w14:paraId="4BE52F13" w14:textId="77777777" w:rsidR="00326905" w:rsidRDefault="00326905">
      <w:pPr>
        <w:pStyle w:val="IndexHeading"/>
        <w:keepNext/>
        <w:tabs>
          <w:tab w:val="right" w:leader="dot" w:pos="9350"/>
        </w:tabs>
        <w:rPr>
          <w:rFonts w:asciiTheme="minorHAnsi" w:eastAsiaTheme="minorEastAsia" w:hAnsiTheme="minorHAnsi" w:cstheme="minorBidi"/>
          <w:b w:val="0"/>
          <w:bCs w:val="0"/>
          <w:noProof/>
        </w:rPr>
      </w:pPr>
      <w:r>
        <w:rPr>
          <w:noProof/>
        </w:rPr>
        <w:lastRenderedPageBreak/>
        <w:t>U</w:t>
      </w:r>
    </w:p>
    <w:p w14:paraId="324BD16E" w14:textId="77777777" w:rsidR="00326905" w:rsidRDefault="00326905">
      <w:pPr>
        <w:pStyle w:val="Index1"/>
        <w:tabs>
          <w:tab w:val="right" w:leader="dot" w:pos="9350"/>
        </w:tabs>
        <w:rPr>
          <w:noProof/>
        </w:rPr>
      </w:pPr>
      <w:r>
        <w:rPr>
          <w:noProof/>
        </w:rPr>
        <w:t>Unit ABO/Rh Confirmation Form</w:t>
      </w:r>
      <w:r>
        <w:rPr>
          <w:noProof/>
        </w:rPr>
        <w:tab/>
        <w:t>438</w:t>
      </w:r>
    </w:p>
    <w:p w14:paraId="21AE4786" w14:textId="77777777" w:rsidR="00326905" w:rsidRDefault="00326905">
      <w:pPr>
        <w:pStyle w:val="Index1"/>
        <w:tabs>
          <w:tab w:val="right" w:leader="dot" w:pos="9350"/>
        </w:tabs>
        <w:rPr>
          <w:noProof/>
        </w:rPr>
      </w:pPr>
      <w:r>
        <w:rPr>
          <w:noProof/>
        </w:rPr>
        <w:t>Unit History Report</w:t>
      </w:r>
      <w:r>
        <w:rPr>
          <w:noProof/>
        </w:rPr>
        <w:tab/>
        <w:t>416</w:t>
      </w:r>
    </w:p>
    <w:p w14:paraId="35FA9BFF" w14:textId="77777777" w:rsidR="00326905" w:rsidRDefault="00326905">
      <w:pPr>
        <w:pStyle w:val="Index1"/>
        <w:tabs>
          <w:tab w:val="right" w:leader="dot" w:pos="9350"/>
        </w:tabs>
        <w:rPr>
          <w:noProof/>
        </w:rPr>
      </w:pPr>
      <w:r>
        <w:rPr>
          <w:noProof/>
        </w:rPr>
        <w:t>Unit Issue and Inspection Log</w:t>
      </w:r>
      <w:r>
        <w:rPr>
          <w:noProof/>
        </w:rPr>
        <w:tab/>
        <w:t>439</w:t>
      </w:r>
    </w:p>
    <w:p w14:paraId="6A3F67F1" w14:textId="77777777" w:rsidR="00326905" w:rsidRDefault="00326905">
      <w:pPr>
        <w:pStyle w:val="Index1"/>
        <w:tabs>
          <w:tab w:val="right" w:leader="dot" w:pos="9350"/>
        </w:tabs>
        <w:rPr>
          <w:noProof/>
        </w:rPr>
      </w:pPr>
      <w:r>
        <w:rPr>
          <w:noProof/>
        </w:rPr>
        <w:t>Unit Modification Form</w:t>
      </w:r>
      <w:r>
        <w:rPr>
          <w:noProof/>
        </w:rPr>
        <w:tab/>
        <w:t>440</w:t>
      </w:r>
    </w:p>
    <w:p w14:paraId="1D836E61" w14:textId="77777777" w:rsidR="00326905" w:rsidRDefault="00326905">
      <w:pPr>
        <w:pStyle w:val="Index1"/>
        <w:tabs>
          <w:tab w:val="right" w:leader="dot" w:pos="9350"/>
        </w:tabs>
        <w:rPr>
          <w:noProof/>
        </w:rPr>
      </w:pPr>
      <w:r>
        <w:rPr>
          <w:noProof/>
        </w:rPr>
        <w:t>Unit Search Screen</w:t>
      </w:r>
      <w:r>
        <w:rPr>
          <w:noProof/>
        </w:rPr>
        <w:tab/>
        <w:t>157</w:t>
      </w:r>
    </w:p>
    <w:p w14:paraId="562E534F" w14:textId="77777777" w:rsidR="00326905" w:rsidRDefault="00326905">
      <w:pPr>
        <w:pStyle w:val="Index1"/>
        <w:tabs>
          <w:tab w:val="right" w:leader="dot" w:pos="9350"/>
        </w:tabs>
        <w:rPr>
          <w:noProof/>
        </w:rPr>
      </w:pPr>
      <w:r>
        <w:rPr>
          <w:noProof/>
        </w:rPr>
        <w:t>Update Reagent Inventory</w:t>
      </w:r>
      <w:r>
        <w:rPr>
          <w:noProof/>
        </w:rPr>
        <w:tab/>
        <w:t>119</w:t>
      </w:r>
    </w:p>
    <w:p w14:paraId="4A3ECFE5" w14:textId="77777777" w:rsidR="00326905" w:rsidRDefault="00326905">
      <w:pPr>
        <w:pStyle w:val="Index1"/>
        <w:tabs>
          <w:tab w:val="right" w:leader="dot" w:pos="9350"/>
        </w:tabs>
        <w:rPr>
          <w:noProof/>
        </w:rPr>
      </w:pPr>
      <w:r>
        <w:rPr>
          <w:noProof/>
        </w:rPr>
        <w:t>Update Supply Inventory</w:t>
      </w:r>
      <w:r>
        <w:rPr>
          <w:noProof/>
        </w:rPr>
        <w:tab/>
        <w:t>127</w:t>
      </w:r>
    </w:p>
    <w:p w14:paraId="66BA67FE" w14:textId="77777777" w:rsidR="00326905" w:rsidRDefault="00326905">
      <w:pPr>
        <w:pStyle w:val="Index1"/>
        <w:tabs>
          <w:tab w:val="right" w:leader="dot" w:pos="9350"/>
        </w:tabs>
        <w:rPr>
          <w:noProof/>
        </w:rPr>
      </w:pPr>
      <w:r>
        <w:rPr>
          <w:noProof/>
        </w:rPr>
        <w:t>Updated Patients and Deceased Patients</w:t>
      </w:r>
      <w:r>
        <w:rPr>
          <w:noProof/>
        </w:rPr>
        <w:tab/>
        <w:t>299</w:t>
      </w:r>
    </w:p>
    <w:p w14:paraId="18347961" w14:textId="77777777" w:rsidR="00326905" w:rsidRDefault="00326905">
      <w:pPr>
        <w:pStyle w:val="Index1"/>
        <w:tabs>
          <w:tab w:val="right" w:leader="dot" w:pos="9350"/>
        </w:tabs>
        <w:rPr>
          <w:noProof/>
        </w:rPr>
      </w:pPr>
      <w:r>
        <w:rPr>
          <w:noProof/>
        </w:rPr>
        <w:t>Using Online Help</w:t>
      </w:r>
      <w:r>
        <w:rPr>
          <w:noProof/>
        </w:rPr>
        <w:tab/>
        <w:t>30</w:t>
      </w:r>
    </w:p>
    <w:p w14:paraId="30214C9D" w14:textId="77777777" w:rsidR="00326905" w:rsidRDefault="00326905">
      <w:pPr>
        <w:pStyle w:val="Index1"/>
        <w:tabs>
          <w:tab w:val="right" w:leader="dot" w:pos="9350"/>
        </w:tabs>
        <w:rPr>
          <w:noProof/>
        </w:rPr>
      </w:pPr>
      <w:r>
        <w:rPr>
          <w:noProof/>
        </w:rPr>
        <w:t>Using the Software</w:t>
      </w:r>
      <w:r>
        <w:rPr>
          <w:noProof/>
        </w:rPr>
        <w:tab/>
        <w:t>13</w:t>
      </w:r>
    </w:p>
    <w:p w14:paraId="0884FCBA" w14:textId="77777777" w:rsidR="00326905" w:rsidRDefault="00326905">
      <w:pPr>
        <w:pStyle w:val="Index1"/>
        <w:tabs>
          <w:tab w:val="right" w:leader="dot" w:pos="9350"/>
        </w:tabs>
        <w:rPr>
          <w:noProof/>
        </w:rPr>
      </w:pPr>
      <w:r>
        <w:rPr>
          <w:noProof/>
        </w:rPr>
        <w:t>Using VBECS</w:t>
      </w:r>
      <w:r>
        <w:rPr>
          <w:noProof/>
        </w:rPr>
        <w:tab/>
        <w:t>30</w:t>
      </w:r>
    </w:p>
    <w:p w14:paraId="70E02F4E" w14:textId="77777777" w:rsidR="00326905" w:rsidRDefault="00326905">
      <w:pPr>
        <w:pStyle w:val="IndexHeading"/>
        <w:keepNext/>
        <w:tabs>
          <w:tab w:val="right" w:leader="dot" w:pos="9350"/>
        </w:tabs>
        <w:rPr>
          <w:rFonts w:asciiTheme="minorHAnsi" w:eastAsiaTheme="minorEastAsia" w:hAnsiTheme="minorHAnsi" w:cstheme="minorBidi"/>
          <w:b w:val="0"/>
          <w:bCs w:val="0"/>
          <w:noProof/>
        </w:rPr>
      </w:pPr>
      <w:r>
        <w:rPr>
          <w:noProof/>
        </w:rPr>
        <w:t>V</w:t>
      </w:r>
    </w:p>
    <w:p w14:paraId="6383A4F7" w14:textId="77777777" w:rsidR="00326905" w:rsidRDefault="00326905">
      <w:pPr>
        <w:pStyle w:val="Index1"/>
        <w:tabs>
          <w:tab w:val="right" w:leader="dot" w:pos="9350"/>
        </w:tabs>
        <w:rPr>
          <w:noProof/>
        </w:rPr>
      </w:pPr>
      <w:r>
        <w:rPr>
          <w:noProof/>
        </w:rPr>
        <w:t>VBECS User Report</w:t>
      </w:r>
      <w:r>
        <w:rPr>
          <w:noProof/>
        </w:rPr>
        <w:tab/>
        <w:t>71</w:t>
      </w:r>
    </w:p>
    <w:p w14:paraId="4C5C8BA5" w14:textId="77777777" w:rsidR="00326905" w:rsidRDefault="00326905">
      <w:pPr>
        <w:pStyle w:val="Index1"/>
        <w:tabs>
          <w:tab w:val="right" w:leader="dot" w:pos="9350"/>
        </w:tabs>
        <w:rPr>
          <w:noProof/>
        </w:rPr>
      </w:pPr>
      <w:r>
        <w:rPr>
          <w:noProof/>
        </w:rPr>
        <w:t>VBECS Work Flow</w:t>
      </w:r>
      <w:r>
        <w:rPr>
          <w:noProof/>
        </w:rPr>
        <w:tab/>
        <w:t>489</w:t>
      </w:r>
    </w:p>
    <w:p w14:paraId="156612B5" w14:textId="77777777" w:rsidR="00326905" w:rsidRDefault="00326905">
      <w:pPr>
        <w:pStyle w:val="Index1"/>
        <w:tabs>
          <w:tab w:val="right" w:leader="dot" w:pos="9350"/>
        </w:tabs>
        <w:rPr>
          <w:noProof/>
        </w:rPr>
      </w:pPr>
      <w:r>
        <w:rPr>
          <w:noProof/>
        </w:rPr>
        <w:t>View/Print a Finalized Transfusion Reaction Workup Report</w:t>
      </w:r>
      <w:r>
        <w:rPr>
          <w:noProof/>
        </w:rPr>
        <w:tab/>
        <w:t>341</w:t>
      </w:r>
    </w:p>
    <w:p w14:paraId="07E87476" w14:textId="77777777" w:rsidR="00326905" w:rsidRDefault="00326905">
      <w:pPr>
        <w:pStyle w:val="Index1"/>
        <w:tabs>
          <w:tab w:val="right" w:leader="dot" w:pos="9350"/>
        </w:tabs>
        <w:rPr>
          <w:noProof/>
        </w:rPr>
      </w:pPr>
      <w:r>
        <w:rPr>
          <w:noProof/>
        </w:rPr>
        <w:t>View/Print Reagent Inventory</w:t>
      </w:r>
      <w:r>
        <w:rPr>
          <w:noProof/>
        </w:rPr>
        <w:tab/>
        <w:t>121</w:t>
      </w:r>
    </w:p>
    <w:p w14:paraId="7BC88A03" w14:textId="77777777" w:rsidR="00326905" w:rsidRDefault="00326905">
      <w:pPr>
        <w:pStyle w:val="Index1"/>
        <w:tabs>
          <w:tab w:val="right" w:leader="dot" w:pos="9350"/>
        </w:tabs>
        <w:rPr>
          <w:noProof/>
        </w:rPr>
      </w:pPr>
      <w:r>
        <w:rPr>
          <w:noProof/>
        </w:rPr>
        <w:t>View/Print Supply Inventory</w:t>
      </w:r>
      <w:r>
        <w:rPr>
          <w:noProof/>
        </w:rPr>
        <w:tab/>
        <w:t>129</w:t>
      </w:r>
    </w:p>
    <w:p w14:paraId="5763894D" w14:textId="77777777" w:rsidR="00326905" w:rsidRDefault="00326905">
      <w:pPr>
        <w:pStyle w:val="Index1"/>
        <w:tabs>
          <w:tab w:val="right" w:leader="dot" w:pos="9350"/>
        </w:tabs>
        <w:rPr>
          <w:noProof/>
        </w:rPr>
      </w:pPr>
      <w:r>
        <w:rPr>
          <w:noProof/>
        </w:rPr>
        <w:t>Viewing the VBECS Version Number</w:t>
      </w:r>
      <w:r>
        <w:rPr>
          <w:noProof/>
        </w:rPr>
        <w:tab/>
        <w:t>33</w:t>
      </w:r>
    </w:p>
    <w:p w14:paraId="209744B0" w14:textId="77777777" w:rsidR="00326905" w:rsidRDefault="00326905">
      <w:pPr>
        <w:pStyle w:val="Index1"/>
        <w:tabs>
          <w:tab w:val="right" w:leader="dot" w:pos="9350"/>
        </w:tabs>
        <w:rPr>
          <w:noProof/>
        </w:rPr>
      </w:pPr>
      <w:r>
        <w:rPr>
          <w:noProof/>
        </w:rPr>
        <w:t>VistA Records in VBECS</w:t>
      </w:r>
      <w:r>
        <w:rPr>
          <w:noProof/>
        </w:rPr>
        <w:tab/>
        <w:t>36</w:t>
      </w:r>
    </w:p>
    <w:p w14:paraId="6632D520" w14:textId="77777777" w:rsidR="00326905" w:rsidRDefault="00326905">
      <w:pPr>
        <w:pStyle w:val="Index1"/>
        <w:tabs>
          <w:tab w:val="right" w:leader="dot" w:pos="9350"/>
        </w:tabs>
        <w:rPr>
          <w:noProof/>
        </w:rPr>
      </w:pPr>
      <w:r>
        <w:rPr>
          <w:noProof/>
        </w:rPr>
        <w:t>Volume</w:t>
      </w:r>
      <w:r>
        <w:rPr>
          <w:noProof/>
        </w:rPr>
        <w:tab/>
        <w:t>56</w:t>
      </w:r>
    </w:p>
    <w:p w14:paraId="47270783" w14:textId="77777777" w:rsidR="00326905" w:rsidRDefault="00326905">
      <w:pPr>
        <w:pStyle w:val="IndexHeading"/>
        <w:keepNext/>
        <w:tabs>
          <w:tab w:val="right" w:leader="dot" w:pos="9350"/>
        </w:tabs>
        <w:rPr>
          <w:rFonts w:asciiTheme="minorHAnsi" w:eastAsiaTheme="minorEastAsia" w:hAnsiTheme="minorHAnsi" w:cstheme="minorBidi"/>
          <w:b w:val="0"/>
          <w:bCs w:val="0"/>
          <w:noProof/>
        </w:rPr>
      </w:pPr>
      <w:r>
        <w:rPr>
          <w:noProof/>
        </w:rPr>
        <w:t>W</w:t>
      </w:r>
    </w:p>
    <w:p w14:paraId="3F581318" w14:textId="77777777" w:rsidR="00326905" w:rsidRDefault="00326905">
      <w:pPr>
        <w:pStyle w:val="Index1"/>
        <w:tabs>
          <w:tab w:val="right" w:leader="dot" w:pos="9350"/>
        </w:tabs>
        <w:rPr>
          <w:noProof/>
        </w:rPr>
      </w:pPr>
      <w:r>
        <w:rPr>
          <w:noProof/>
        </w:rPr>
        <w:t>Work Process Flowcharts</w:t>
      </w:r>
      <w:r>
        <w:rPr>
          <w:noProof/>
        </w:rPr>
        <w:tab/>
        <w:t>533</w:t>
      </w:r>
    </w:p>
    <w:p w14:paraId="30E145C7" w14:textId="77777777" w:rsidR="00326905" w:rsidRDefault="00326905">
      <w:pPr>
        <w:pStyle w:val="Index1"/>
        <w:tabs>
          <w:tab w:val="right" w:leader="dot" w:pos="9350"/>
        </w:tabs>
        <w:rPr>
          <w:noProof/>
        </w:rPr>
      </w:pPr>
      <w:r>
        <w:rPr>
          <w:noProof/>
        </w:rPr>
        <w:t>Working with Data</w:t>
      </w:r>
      <w:r>
        <w:rPr>
          <w:noProof/>
        </w:rPr>
        <w:tab/>
        <w:t>15</w:t>
      </w:r>
    </w:p>
    <w:p w14:paraId="4D3EB6C3" w14:textId="77777777" w:rsidR="00326905" w:rsidRDefault="00326905">
      <w:pPr>
        <w:pStyle w:val="Index1"/>
        <w:tabs>
          <w:tab w:val="right" w:leader="dot" w:pos="9350"/>
        </w:tabs>
        <w:rPr>
          <w:noProof/>
        </w:rPr>
      </w:pPr>
      <w:r>
        <w:rPr>
          <w:noProof/>
        </w:rPr>
        <w:t>Workload Codes</w:t>
      </w:r>
      <w:r>
        <w:rPr>
          <w:noProof/>
        </w:rPr>
        <w:tab/>
        <w:t>104</w:t>
      </w:r>
    </w:p>
    <w:p w14:paraId="79F63E03" w14:textId="77777777" w:rsidR="00326905" w:rsidRDefault="00326905">
      <w:pPr>
        <w:pStyle w:val="Index1"/>
        <w:tabs>
          <w:tab w:val="right" w:leader="dot" w:pos="9350"/>
        </w:tabs>
        <w:rPr>
          <w:noProof/>
        </w:rPr>
      </w:pPr>
      <w:r>
        <w:rPr>
          <w:noProof/>
        </w:rPr>
        <w:t>Workload Process Mapping to Application Option Table</w:t>
      </w:r>
      <w:r>
        <w:rPr>
          <w:noProof/>
        </w:rPr>
        <w:tab/>
        <w:t>561</w:t>
      </w:r>
    </w:p>
    <w:p w14:paraId="76B5FDDC" w14:textId="77777777" w:rsidR="00326905" w:rsidRDefault="00326905">
      <w:pPr>
        <w:pStyle w:val="Index1"/>
        <w:tabs>
          <w:tab w:val="right" w:leader="dot" w:pos="9350"/>
        </w:tabs>
        <w:rPr>
          <w:noProof/>
        </w:rPr>
      </w:pPr>
      <w:r>
        <w:rPr>
          <w:noProof/>
        </w:rPr>
        <w:t>Workload Process to Use Case Mapping Table</w:t>
      </w:r>
      <w:r>
        <w:rPr>
          <w:noProof/>
        </w:rPr>
        <w:tab/>
        <w:t>476</w:t>
      </w:r>
    </w:p>
    <w:p w14:paraId="5755FD32" w14:textId="18DF59BB" w:rsidR="00326905" w:rsidRDefault="00326905" w:rsidP="009C0A99">
      <w:pPr>
        <w:pStyle w:val="BodyText"/>
        <w:jc w:val="center"/>
        <w:rPr>
          <w:rFonts w:ascii="Arial" w:hAnsi="Arial" w:cs="Arial"/>
          <w:b/>
          <w:bCs/>
          <w:noProof/>
          <w:kern w:val="32"/>
        </w:rPr>
        <w:sectPr w:rsidR="00326905" w:rsidSect="00326905">
          <w:type w:val="continuous"/>
          <w:pgSz w:w="12240" w:h="15840" w:code="1"/>
          <w:pgMar w:top="1440" w:right="1440" w:bottom="1440" w:left="1440" w:header="720" w:footer="720" w:gutter="0"/>
          <w:cols w:space="720"/>
          <w:docGrid w:linePitch="360"/>
        </w:sectPr>
      </w:pPr>
    </w:p>
    <w:p w14:paraId="6AE17B98" w14:textId="366B8EE7" w:rsidR="00681D23" w:rsidRDefault="00E93F17" w:rsidP="009C0A99">
      <w:pPr>
        <w:pStyle w:val="BodyText"/>
        <w:jc w:val="center"/>
        <w:rPr>
          <w:kern w:val="32"/>
        </w:rPr>
      </w:pPr>
      <w:r w:rsidRPr="00206945">
        <w:rPr>
          <w:kern w:val="32"/>
        </w:rPr>
        <w:fldChar w:fldCharType="end"/>
      </w:r>
    </w:p>
    <w:p w14:paraId="0B73A6F2" w14:textId="77777777" w:rsidR="00AD2C30" w:rsidRDefault="00F50F30" w:rsidP="00AD2C30">
      <w:pPr>
        <w:pStyle w:val="Heading1"/>
      </w:pPr>
      <w:r>
        <w:t xml:space="preserve"> </w:t>
      </w:r>
      <w:r w:rsidR="00C033C9">
        <w:br w:type="page"/>
      </w:r>
      <w:bookmarkStart w:id="857" w:name="_Toc4588919"/>
      <w:r w:rsidR="00AD2C30">
        <w:lastRenderedPageBreak/>
        <w:t>Revision History</w:t>
      </w:r>
      <w:bookmarkEnd w:id="857"/>
    </w:p>
    <w:tbl>
      <w:tblPr>
        <w:tblW w:w="95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8"/>
        <w:gridCol w:w="990"/>
        <w:gridCol w:w="6570"/>
        <w:gridCol w:w="1098"/>
      </w:tblGrid>
      <w:tr w:rsidR="00AD2C30" w14:paraId="05CEA33E" w14:textId="77777777" w:rsidTr="00237FB5">
        <w:trPr>
          <w:trHeight w:val="403"/>
          <w:tblHeader/>
        </w:trPr>
        <w:tc>
          <w:tcPr>
            <w:tcW w:w="918" w:type="dxa"/>
            <w:tcBorders>
              <w:bottom w:val="single" w:sz="6" w:space="0" w:color="auto"/>
            </w:tcBorders>
            <w:shd w:val="clear" w:color="auto" w:fill="B3B3B3"/>
            <w:vAlign w:val="bottom"/>
          </w:tcPr>
          <w:p w14:paraId="6ED83BDF" w14:textId="77777777" w:rsidR="00AD2C30" w:rsidRDefault="00AD2C30" w:rsidP="00237FB5">
            <w:pPr>
              <w:pStyle w:val="TableText"/>
              <w:rPr>
                <w:b/>
                <w:u w:val="single"/>
              </w:rPr>
            </w:pPr>
            <w:r>
              <w:rPr>
                <w:b/>
              </w:rPr>
              <w:t>Date</w:t>
            </w:r>
          </w:p>
        </w:tc>
        <w:tc>
          <w:tcPr>
            <w:tcW w:w="990" w:type="dxa"/>
            <w:tcBorders>
              <w:bottom w:val="single" w:sz="6" w:space="0" w:color="auto"/>
            </w:tcBorders>
            <w:shd w:val="clear" w:color="auto" w:fill="B3B3B3"/>
            <w:vAlign w:val="bottom"/>
          </w:tcPr>
          <w:p w14:paraId="787DCF6C" w14:textId="77777777" w:rsidR="00AD2C30" w:rsidRDefault="00AD2C30" w:rsidP="00237FB5">
            <w:pPr>
              <w:pStyle w:val="TableText"/>
              <w:rPr>
                <w:b/>
                <w:u w:val="single"/>
              </w:rPr>
            </w:pPr>
            <w:r>
              <w:rPr>
                <w:b/>
              </w:rPr>
              <w:t>Revision</w:t>
            </w:r>
          </w:p>
        </w:tc>
        <w:tc>
          <w:tcPr>
            <w:tcW w:w="6570" w:type="dxa"/>
            <w:tcBorders>
              <w:bottom w:val="single" w:sz="6" w:space="0" w:color="auto"/>
            </w:tcBorders>
            <w:shd w:val="clear" w:color="auto" w:fill="B3B3B3"/>
            <w:vAlign w:val="bottom"/>
          </w:tcPr>
          <w:p w14:paraId="0D8B545B" w14:textId="77777777" w:rsidR="00AD2C30" w:rsidRDefault="00AD2C30" w:rsidP="00237FB5">
            <w:pPr>
              <w:pStyle w:val="TableText"/>
              <w:rPr>
                <w:b/>
                <w:u w:val="single"/>
              </w:rPr>
            </w:pPr>
            <w:r>
              <w:rPr>
                <w:b/>
              </w:rPr>
              <w:t>Description</w:t>
            </w:r>
          </w:p>
        </w:tc>
        <w:tc>
          <w:tcPr>
            <w:tcW w:w="1098" w:type="dxa"/>
            <w:tcBorders>
              <w:bottom w:val="single" w:sz="6" w:space="0" w:color="auto"/>
            </w:tcBorders>
            <w:shd w:val="clear" w:color="auto" w:fill="B3B3B3"/>
            <w:vAlign w:val="bottom"/>
          </w:tcPr>
          <w:p w14:paraId="352FCCC0" w14:textId="77777777" w:rsidR="00AD2C30" w:rsidRDefault="00AD2C30" w:rsidP="00237FB5">
            <w:pPr>
              <w:pStyle w:val="TableText"/>
              <w:rPr>
                <w:b/>
                <w:u w:val="single"/>
              </w:rPr>
            </w:pPr>
            <w:r>
              <w:rPr>
                <w:b/>
              </w:rPr>
              <w:t>Author</w:t>
            </w:r>
          </w:p>
        </w:tc>
      </w:tr>
      <w:tr w:rsidR="00AD2C30" w:rsidRPr="009D5AF3" w14:paraId="3404C75B" w14:textId="77777777" w:rsidTr="00237FB5">
        <w:trPr>
          <w:trHeight w:val="543"/>
        </w:trPr>
        <w:tc>
          <w:tcPr>
            <w:tcW w:w="918" w:type="dxa"/>
          </w:tcPr>
          <w:p w14:paraId="63592B8E" w14:textId="2FD4BF4C" w:rsidR="00AD2C30" w:rsidRDefault="00D23054" w:rsidP="00237FB5">
            <w:pPr>
              <w:pStyle w:val="TableText"/>
            </w:pPr>
            <w:r>
              <w:t>3</w:t>
            </w:r>
            <w:r w:rsidR="000B1D08">
              <w:t>/</w:t>
            </w:r>
            <w:r w:rsidR="00C01B11">
              <w:t>2</w:t>
            </w:r>
            <w:r w:rsidR="00460566">
              <w:t>8</w:t>
            </w:r>
            <w:r w:rsidR="00AD2C30">
              <w:t>/19</w:t>
            </w:r>
          </w:p>
        </w:tc>
        <w:tc>
          <w:tcPr>
            <w:tcW w:w="990" w:type="dxa"/>
          </w:tcPr>
          <w:p w14:paraId="6EE8E2F7" w14:textId="77777777" w:rsidR="00AD2C30" w:rsidRDefault="00AD2C30" w:rsidP="00237FB5">
            <w:pPr>
              <w:pStyle w:val="TableText"/>
            </w:pPr>
            <w:r>
              <w:t>1.0</w:t>
            </w:r>
          </w:p>
        </w:tc>
        <w:tc>
          <w:tcPr>
            <w:tcW w:w="6570" w:type="dxa"/>
          </w:tcPr>
          <w:p w14:paraId="0000AC2B" w14:textId="77777777" w:rsidR="00DA2E99" w:rsidRDefault="00DA2E99" w:rsidP="00DA2E99">
            <w:pPr>
              <w:rPr>
                <w:rFonts w:ascii="Arial" w:hAnsi="Arial" w:cs="Arial"/>
                <w:sz w:val="18"/>
                <w:szCs w:val="18"/>
              </w:rPr>
            </w:pPr>
            <w:r>
              <w:rPr>
                <w:rFonts w:ascii="Arial" w:hAnsi="Arial" w:cs="Arial"/>
                <w:sz w:val="18"/>
                <w:szCs w:val="18"/>
              </w:rPr>
              <w:t xml:space="preserve">Modified VistA Blood Establishment Computer Software (VBECS) 2.3.0 User Guide, Version 3.0 to create the VistA Blood Establishment Computer Software (VBECS) 2.3.1 User Guide, Version 1.0. </w:t>
            </w:r>
          </w:p>
          <w:p w14:paraId="34D9A67E" w14:textId="77777777" w:rsidR="00DA2E99" w:rsidRPr="006E065C" w:rsidRDefault="00DA2E99" w:rsidP="00DA2E99">
            <w:pPr>
              <w:rPr>
                <w:rFonts w:ascii="Arial" w:hAnsi="Arial" w:cs="Arial"/>
                <w:vanish/>
                <w:sz w:val="18"/>
                <w:szCs w:val="18"/>
              </w:rPr>
            </w:pPr>
            <w:r w:rsidRPr="006E065C">
              <w:rPr>
                <w:rFonts w:ascii="Arial" w:hAnsi="Arial" w:cs="Arial"/>
                <w:vanish/>
                <w:sz w:val="18"/>
                <w:szCs w:val="18"/>
              </w:rPr>
              <w:t>(Task 871362)</w:t>
            </w:r>
          </w:p>
          <w:p w14:paraId="1CD50472" w14:textId="77777777" w:rsidR="00DA2E99" w:rsidRPr="006E065C" w:rsidRDefault="00DA2E99" w:rsidP="00DA2E99">
            <w:pPr>
              <w:rPr>
                <w:rFonts w:ascii="Arial" w:hAnsi="Arial" w:cs="Arial"/>
                <w:vanish/>
                <w:sz w:val="18"/>
                <w:szCs w:val="18"/>
              </w:rPr>
            </w:pPr>
            <w:r w:rsidRPr="006E065C">
              <w:rPr>
                <w:rFonts w:ascii="Arial" w:hAnsi="Arial" w:cs="Arial"/>
                <w:vanish/>
                <w:sz w:val="18"/>
                <w:szCs w:val="18"/>
              </w:rPr>
              <w:t>Global: Replaced “April 2018” with “March 2019” in the document footer.</w:t>
            </w:r>
          </w:p>
          <w:p w14:paraId="3318546B" w14:textId="77777777" w:rsidR="00DA2E99" w:rsidRPr="006E065C" w:rsidRDefault="00DA2E99" w:rsidP="00DA2E99">
            <w:pPr>
              <w:rPr>
                <w:rFonts w:ascii="Arial" w:hAnsi="Arial" w:cs="Arial"/>
                <w:vanish/>
                <w:sz w:val="18"/>
                <w:szCs w:val="18"/>
              </w:rPr>
            </w:pPr>
            <w:r w:rsidRPr="006E065C">
              <w:rPr>
                <w:rFonts w:ascii="Arial" w:hAnsi="Arial" w:cs="Arial"/>
                <w:vanish/>
                <w:sz w:val="18"/>
                <w:szCs w:val="18"/>
              </w:rPr>
              <w:t>Global: Replaced “2.3.0” with “2.3.1”.</w:t>
            </w:r>
          </w:p>
          <w:p w14:paraId="476B5FE4" w14:textId="77777777" w:rsidR="00DA2E99" w:rsidRPr="006E065C" w:rsidRDefault="00DA2E99" w:rsidP="00DA2E99">
            <w:pPr>
              <w:rPr>
                <w:rFonts w:ascii="Arial" w:hAnsi="Arial" w:cs="Arial"/>
                <w:vanish/>
                <w:sz w:val="18"/>
                <w:szCs w:val="18"/>
              </w:rPr>
            </w:pPr>
            <w:r w:rsidRPr="006E065C">
              <w:rPr>
                <w:rFonts w:ascii="Arial" w:hAnsi="Arial" w:cs="Arial"/>
                <w:vanish/>
                <w:sz w:val="18"/>
                <w:szCs w:val="18"/>
              </w:rPr>
              <w:t>Global: Changed references to “VA Service Desk”, “Enterprise Service Desk”, and “National Help Desk” to “Service Desk”.</w:t>
            </w:r>
          </w:p>
          <w:p w14:paraId="7D4A918E" w14:textId="1091C861" w:rsidR="00DA2E99" w:rsidRPr="006E065C" w:rsidRDefault="00DA2E99" w:rsidP="00DA2E99">
            <w:pPr>
              <w:rPr>
                <w:rFonts w:ascii="Arial" w:hAnsi="Arial" w:cs="Arial"/>
                <w:vanish/>
                <w:sz w:val="18"/>
                <w:szCs w:val="18"/>
              </w:rPr>
            </w:pPr>
            <w:r w:rsidRPr="006E065C">
              <w:rPr>
                <w:rFonts w:ascii="Arial" w:hAnsi="Arial" w:cs="Arial"/>
                <w:vanish/>
                <w:sz w:val="18"/>
                <w:szCs w:val="18"/>
              </w:rPr>
              <w:t>Global for all reports sections: Revised last steps to include exporting reports.</w:t>
            </w:r>
          </w:p>
          <w:p w14:paraId="43C0F80C" w14:textId="72D5C1E1" w:rsidR="00783A3A" w:rsidRPr="006E065C" w:rsidRDefault="00783A3A" w:rsidP="00DA2E99">
            <w:pPr>
              <w:rPr>
                <w:rFonts w:ascii="Arial" w:hAnsi="Arial" w:cs="Arial"/>
                <w:vanish/>
                <w:sz w:val="18"/>
                <w:szCs w:val="18"/>
              </w:rPr>
            </w:pPr>
            <w:r w:rsidRPr="006E065C">
              <w:rPr>
                <w:rFonts w:ascii="Arial" w:hAnsi="Arial" w:cs="Arial"/>
                <w:vanish/>
                <w:sz w:val="18"/>
                <w:szCs w:val="18"/>
              </w:rPr>
              <w:t>Global: Changed "Enterprise Operations" to "Data Center" and "EO" to DC".</w:t>
            </w:r>
          </w:p>
          <w:p w14:paraId="0D7BD731" w14:textId="22482A35" w:rsidR="00783A3A" w:rsidRPr="006E065C" w:rsidRDefault="00783A3A" w:rsidP="00DA2E99">
            <w:pPr>
              <w:rPr>
                <w:rFonts w:ascii="Arial" w:hAnsi="Arial" w:cs="Arial"/>
                <w:vanish/>
                <w:sz w:val="18"/>
                <w:szCs w:val="18"/>
              </w:rPr>
            </w:pPr>
            <w:r w:rsidRPr="006E065C">
              <w:rPr>
                <w:rFonts w:ascii="Arial" w:hAnsi="Arial" w:cs="Arial"/>
                <w:vanish/>
                <w:sz w:val="18"/>
                <w:szCs w:val="18"/>
              </w:rPr>
              <w:t>Commonly Used System Rules section, Date and Time, first bullet: Remove the first sentence about notifying the administrator to change the server date or time.</w:t>
            </w:r>
          </w:p>
          <w:p w14:paraId="4587F75D" w14:textId="3EC6DBC7" w:rsidR="00783A3A" w:rsidRPr="006E065C" w:rsidRDefault="00783A3A" w:rsidP="00DA2E99">
            <w:pPr>
              <w:rPr>
                <w:rFonts w:ascii="Arial" w:hAnsi="Arial" w:cs="Arial"/>
                <w:vanish/>
                <w:sz w:val="18"/>
                <w:szCs w:val="18"/>
              </w:rPr>
            </w:pPr>
            <w:r w:rsidRPr="006E065C">
              <w:rPr>
                <w:rFonts w:ascii="Arial" w:hAnsi="Arial" w:cs="Arial"/>
                <w:vanish/>
                <w:sz w:val="18"/>
                <w:szCs w:val="18"/>
              </w:rPr>
              <w:t>Commonly Used System Rules section, Creating and Viewing Reports: Removed the first bullet about the printer name limit of 50 characters.</w:t>
            </w:r>
          </w:p>
          <w:p w14:paraId="20CA811E" w14:textId="77777777" w:rsidR="00783A3A" w:rsidRPr="006E065C" w:rsidRDefault="00783A3A" w:rsidP="00783A3A">
            <w:pPr>
              <w:rPr>
                <w:rFonts w:ascii="Arial" w:hAnsi="Arial" w:cs="Arial"/>
                <w:vanish/>
                <w:sz w:val="18"/>
                <w:szCs w:val="18"/>
              </w:rPr>
            </w:pPr>
            <w:r w:rsidRPr="006E065C">
              <w:rPr>
                <w:rFonts w:ascii="Arial" w:hAnsi="Arial" w:cs="Arial"/>
                <w:vanish/>
                <w:sz w:val="18"/>
                <w:szCs w:val="18"/>
              </w:rPr>
              <w:t>Customer Support section: Removed Service Desk Alternate Contacts information.</w:t>
            </w:r>
          </w:p>
          <w:p w14:paraId="04C1FB18" w14:textId="7A3D7FFB" w:rsidR="00783A3A" w:rsidRPr="006E065C" w:rsidRDefault="00783A3A" w:rsidP="00DA2E99">
            <w:pPr>
              <w:rPr>
                <w:rFonts w:ascii="Arial" w:hAnsi="Arial"/>
                <w:vanish/>
                <w:sz w:val="18"/>
              </w:rPr>
            </w:pPr>
            <w:r w:rsidRPr="006E065C">
              <w:rPr>
                <w:rFonts w:ascii="Arial" w:hAnsi="Arial"/>
                <w:vanish/>
                <w:sz w:val="18"/>
              </w:rPr>
              <w:t>Customer Support section: Removed last sentence pertaining to copying message to clipboard.</w:t>
            </w:r>
          </w:p>
          <w:p w14:paraId="30BEEBB9" w14:textId="77777777" w:rsidR="00DA2E99" w:rsidRPr="006E065C" w:rsidRDefault="00DA2E99" w:rsidP="00DA2E99">
            <w:pPr>
              <w:rPr>
                <w:rFonts w:ascii="Arial" w:hAnsi="Arial" w:cs="Arial"/>
                <w:vanish/>
                <w:sz w:val="18"/>
                <w:szCs w:val="18"/>
              </w:rPr>
            </w:pPr>
            <w:r w:rsidRPr="006E065C">
              <w:rPr>
                <w:rFonts w:ascii="Arial" w:hAnsi="Arial" w:cs="Arial"/>
                <w:vanish/>
                <w:sz w:val="18"/>
                <w:szCs w:val="18"/>
              </w:rPr>
              <w:t>Table 1: Revised security levels and user roles.</w:t>
            </w:r>
          </w:p>
          <w:p w14:paraId="2765EADB" w14:textId="77777777" w:rsidR="00DA2E99" w:rsidRPr="006E065C" w:rsidRDefault="00DA2E99" w:rsidP="00DA2E99">
            <w:pPr>
              <w:rPr>
                <w:rFonts w:ascii="Arial" w:hAnsi="Arial" w:cs="Arial"/>
                <w:vanish/>
                <w:sz w:val="18"/>
                <w:szCs w:val="18"/>
              </w:rPr>
            </w:pPr>
            <w:r w:rsidRPr="006E065C">
              <w:rPr>
                <w:rFonts w:ascii="Arial" w:hAnsi="Arial" w:cs="Arial"/>
                <w:vanish/>
                <w:sz w:val="18"/>
                <w:szCs w:val="18"/>
              </w:rPr>
              <w:t>Figures 14, 16, 27 and 125: Replaced with current screen captures.</w:t>
            </w:r>
          </w:p>
          <w:p w14:paraId="0BEF9473" w14:textId="77777777" w:rsidR="00DA2E99" w:rsidRPr="006E065C" w:rsidRDefault="00DA2E99" w:rsidP="00DA2E99">
            <w:pPr>
              <w:rPr>
                <w:rFonts w:ascii="Arial" w:hAnsi="Arial" w:cs="Arial"/>
                <w:vanish/>
                <w:sz w:val="18"/>
                <w:szCs w:val="18"/>
              </w:rPr>
            </w:pPr>
            <w:r w:rsidRPr="006E065C">
              <w:rPr>
                <w:rFonts w:ascii="Arial" w:hAnsi="Arial" w:cs="Arial"/>
                <w:vanish/>
                <w:sz w:val="18"/>
                <w:szCs w:val="18"/>
              </w:rPr>
              <w:t>Local Facilities section, Step 4, last note: Added.</w:t>
            </w:r>
          </w:p>
          <w:p w14:paraId="011EBECC" w14:textId="77777777" w:rsidR="00DA2E99" w:rsidRPr="006E065C" w:rsidRDefault="00DA2E99" w:rsidP="00DA2E99">
            <w:pPr>
              <w:rPr>
                <w:rFonts w:ascii="Arial" w:hAnsi="Arial" w:cs="Arial"/>
                <w:vanish/>
                <w:sz w:val="18"/>
                <w:szCs w:val="18"/>
              </w:rPr>
            </w:pPr>
            <w:r w:rsidRPr="006E065C">
              <w:rPr>
                <w:rFonts w:ascii="Arial" w:hAnsi="Arial" w:cs="Arial"/>
                <w:vanish/>
                <w:sz w:val="18"/>
                <w:szCs w:val="18"/>
              </w:rPr>
              <w:t>Free Directed Unit For Crossover section, Step 2: Added “Family Reserved” to second note.</w:t>
            </w:r>
          </w:p>
          <w:p w14:paraId="138A425F" w14:textId="77777777" w:rsidR="00DA2E99" w:rsidRPr="006E065C" w:rsidRDefault="00DA2E99" w:rsidP="00DA2E99">
            <w:pPr>
              <w:rPr>
                <w:rFonts w:ascii="Arial" w:hAnsi="Arial" w:cs="Arial"/>
                <w:vanish/>
                <w:sz w:val="18"/>
                <w:szCs w:val="18"/>
              </w:rPr>
            </w:pPr>
            <w:r w:rsidRPr="006E065C">
              <w:rPr>
                <w:rFonts w:ascii="Arial" w:hAnsi="Arial" w:cs="Arial"/>
                <w:vanish/>
                <w:sz w:val="18"/>
                <w:szCs w:val="18"/>
              </w:rPr>
              <w:t>Patient Search Screen section, Additional Information: Removed second bullet.</w:t>
            </w:r>
          </w:p>
          <w:p w14:paraId="3A20FB13" w14:textId="77777777" w:rsidR="00DA2E99" w:rsidRPr="006E065C" w:rsidRDefault="00DA2E99" w:rsidP="00DA2E99">
            <w:pPr>
              <w:rPr>
                <w:rFonts w:ascii="Arial" w:hAnsi="Arial" w:cs="Arial"/>
                <w:vanish/>
                <w:sz w:val="18"/>
                <w:szCs w:val="18"/>
              </w:rPr>
            </w:pPr>
            <w:r w:rsidRPr="006E065C">
              <w:rPr>
                <w:rFonts w:ascii="Arial" w:hAnsi="Arial" w:cs="Arial"/>
                <w:vanish/>
                <w:sz w:val="18"/>
                <w:szCs w:val="18"/>
              </w:rPr>
              <w:t>Patient Testing: General Instructions, Step 6: Added new fourth note pertaining to positive antibody screen.</w:t>
            </w:r>
          </w:p>
          <w:p w14:paraId="1E4CCE99" w14:textId="77777777" w:rsidR="00DA2E99" w:rsidRPr="006E065C" w:rsidRDefault="00DA2E99" w:rsidP="00DA2E99">
            <w:pPr>
              <w:rPr>
                <w:rFonts w:ascii="Arial" w:hAnsi="Arial" w:cs="Arial"/>
                <w:vanish/>
                <w:sz w:val="18"/>
                <w:szCs w:val="18"/>
              </w:rPr>
            </w:pPr>
            <w:r w:rsidRPr="006E065C">
              <w:rPr>
                <w:rFonts w:ascii="Arial" w:hAnsi="Arial" w:cs="Arial"/>
                <w:vanish/>
                <w:sz w:val="18"/>
                <w:szCs w:val="18"/>
              </w:rPr>
              <w:t>Table 10: Added new last row pertaining to positive antibody screen.</w:t>
            </w:r>
          </w:p>
          <w:p w14:paraId="039E98B4" w14:textId="77777777" w:rsidR="00DA2E99" w:rsidRPr="006E065C" w:rsidRDefault="00DA2E99" w:rsidP="00DA2E99">
            <w:pPr>
              <w:rPr>
                <w:rFonts w:ascii="Arial" w:hAnsi="Arial" w:cs="Arial"/>
                <w:vanish/>
                <w:sz w:val="18"/>
                <w:szCs w:val="18"/>
              </w:rPr>
            </w:pPr>
            <w:r w:rsidRPr="006E065C">
              <w:rPr>
                <w:rFonts w:ascii="Arial" w:hAnsi="Arial" w:cs="Arial"/>
                <w:vanish/>
                <w:sz w:val="18"/>
                <w:szCs w:val="18"/>
              </w:rPr>
              <w:t>Patient Testing: Record a Patient Antibody Screen section, Step 4: Added new fourth note pertaining to positive antibody screen.</w:t>
            </w:r>
          </w:p>
          <w:p w14:paraId="7654F20D" w14:textId="77777777" w:rsidR="00DA2E99" w:rsidRPr="006E065C" w:rsidRDefault="00DA2E99" w:rsidP="00DA2E99">
            <w:pPr>
              <w:rPr>
                <w:rFonts w:ascii="Arial" w:hAnsi="Arial" w:cs="Arial"/>
                <w:vanish/>
                <w:sz w:val="18"/>
                <w:szCs w:val="18"/>
              </w:rPr>
            </w:pPr>
            <w:r w:rsidRPr="006E065C">
              <w:rPr>
                <w:rFonts w:ascii="Arial" w:hAnsi="Arial" w:cs="Arial"/>
                <w:vanish/>
                <w:sz w:val="18"/>
                <w:szCs w:val="18"/>
              </w:rPr>
              <w:t>Automated Testing Review for Patients, Step 4: Added new fourth note pertaining to positive antibody screen.</w:t>
            </w:r>
          </w:p>
          <w:p w14:paraId="33D6D38F" w14:textId="77777777" w:rsidR="00DA2E99" w:rsidRPr="006E065C" w:rsidRDefault="00DA2E99" w:rsidP="00DA2E99">
            <w:pPr>
              <w:pStyle w:val="TableTextBullet"/>
              <w:numPr>
                <w:ilvl w:val="0"/>
                <w:numId w:val="0"/>
              </w:numPr>
              <w:tabs>
                <w:tab w:val="left" w:pos="720"/>
              </w:tabs>
              <w:rPr>
                <w:rFonts w:cs="Arial"/>
                <w:vanish/>
                <w:szCs w:val="18"/>
              </w:rPr>
            </w:pPr>
            <w:r w:rsidRPr="006E065C">
              <w:rPr>
                <w:vanish/>
              </w:rPr>
              <w:t>Blood Availability section, Step 1: Removed the note.</w:t>
            </w:r>
          </w:p>
          <w:p w14:paraId="537EF216" w14:textId="77777777" w:rsidR="00DA2E99" w:rsidRPr="006E065C" w:rsidRDefault="00DA2E99" w:rsidP="00DA2E99">
            <w:pPr>
              <w:pStyle w:val="TableTextBullet"/>
              <w:numPr>
                <w:ilvl w:val="0"/>
                <w:numId w:val="0"/>
              </w:numPr>
              <w:tabs>
                <w:tab w:val="left" w:pos="720"/>
              </w:tabs>
              <w:rPr>
                <w:vanish/>
                <w:sz w:val="20"/>
                <w:szCs w:val="20"/>
              </w:rPr>
            </w:pPr>
            <w:r w:rsidRPr="006E065C">
              <w:rPr>
                <w:vanish/>
              </w:rPr>
              <w:t>Blood Availability section, Step 2: Revised second note.</w:t>
            </w:r>
          </w:p>
          <w:p w14:paraId="481A075D" w14:textId="77777777" w:rsidR="00DA2E99" w:rsidRPr="006E065C" w:rsidRDefault="00DA2E99" w:rsidP="00DA2E99">
            <w:pPr>
              <w:pStyle w:val="TableTextBullet"/>
              <w:numPr>
                <w:ilvl w:val="0"/>
                <w:numId w:val="0"/>
              </w:numPr>
              <w:tabs>
                <w:tab w:val="left" w:pos="720"/>
              </w:tabs>
              <w:rPr>
                <w:vanish/>
              </w:rPr>
            </w:pPr>
            <w:r w:rsidRPr="006E065C">
              <w:rPr>
                <w:vanish/>
              </w:rPr>
              <w:t xml:space="preserve">Glossary: Removed VASD. Added SD Service Desk. </w:t>
            </w:r>
          </w:p>
          <w:p w14:paraId="29995EAB" w14:textId="77777777" w:rsidR="00DA2E99" w:rsidRPr="006E065C" w:rsidRDefault="00DA2E99" w:rsidP="00DA2E99">
            <w:pPr>
              <w:pStyle w:val="TableTextBullet"/>
              <w:numPr>
                <w:ilvl w:val="0"/>
                <w:numId w:val="0"/>
              </w:numPr>
              <w:tabs>
                <w:tab w:val="left" w:pos="720"/>
              </w:tabs>
              <w:rPr>
                <w:vanish/>
              </w:rPr>
            </w:pPr>
          </w:p>
          <w:p w14:paraId="7BD17E77" w14:textId="77777777" w:rsidR="00DA2E99" w:rsidRPr="006E065C" w:rsidRDefault="00DA2E99" w:rsidP="00DA2E99">
            <w:pPr>
              <w:rPr>
                <w:rFonts w:ascii="Arial" w:hAnsi="Arial" w:cs="Arial"/>
                <w:vanish/>
                <w:sz w:val="18"/>
                <w:szCs w:val="18"/>
              </w:rPr>
            </w:pPr>
            <w:r w:rsidRPr="006E065C">
              <w:rPr>
                <w:rFonts w:ascii="Arial" w:hAnsi="Arial" w:cs="Arial"/>
                <w:vanish/>
                <w:sz w:val="18"/>
                <w:szCs w:val="18"/>
              </w:rPr>
              <w:t>(Task 773301)</w:t>
            </w:r>
          </w:p>
          <w:p w14:paraId="2EED8BD9" w14:textId="77777777" w:rsidR="00DA2E99" w:rsidRPr="006E065C" w:rsidRDefault="00DA2E99" w:rsidP="00DA2E99">
            <w:pPr>
              <w:rPr>
                <w:rFonts w:ascii="Arial" w:hAnsi="Arial" w:cs="Arial"/>
                <w:vanish/>
                <w:sz w:val="18"/>
                <w:szCs w:val="18"/>
              </w:rPr>
            </w:pPr>
            <w:r w:rsidRPr="006E065C">
              <w:rPr>
                <w:rFonts w:ascii="Arial" w:hAnsi="Arial" w:cs="Arial"/>
                <w:vanish/>
                <w:sz w:val="18"/>
                <w:szCs w:val="18"/>
              </w:rPr>
              <w:t xml:space="preserve">Revision History: Moved to end of document. </w:t>
            </w:r>
          </w:p>
          <w:p w14:paraId="6A1ADDF8" w14:textId="77777777" w:rsidR="00DA2E99" w:rsidRPr="006E065C" w:rsidRDefault="00DA2E99" w:rsidP="00DA2E99">
            <w:pPr>
              <w:rPr>
                <w:rFonts w:ascii="Arial" w:hAnsi="Arial" w:cs="Arial"/>
                <w:vanish/>
                <w:sz w:val="18"/>
                <w:szCs w:val="18"/>
              </w:rPr>
            </w:pPr>
          </w:p>
          <w:p w14:paraId="23C260A4" w14:textId="77777777" w:rsidR="00DA2E99" w:rsidRPr="006E065C" w:rsidRDefault="00DA2E99" w:rsidP="00DA2E99">
            <w:pPr>
              <w:rPr>
                <w:rFonts w:ascii="Arial" w:hAnsi="Arial" w:cs="Arial"/>
                <w:vanish/>
                <w:sz w:val="18"/>
                <w:szCs w:val="18"/>
              </w:rPr>
            </w:pPr>
            <w:r w:rsidRPr="006E065C">
              <w:rPr>
                <w:rFonts w:ascii="Arial" w:hAnsi="Arial" w:cs="Arial"/>
                <w:vanish/>
                <w:sz w:val="18"/>
                <w:szCs w:val="18"/>
              </w:rPr>
              <w:t>(Task 912359)</w:t>
            </w:r>
          </w:p>
          <w:p w14:paraId="73023C7B" w14:textId="77777777" w:rsidR="00DA2E99" w:rsidRPr="006E065C" w:rsidRDefault="00DA2E99" w:rsidP="00DA2E99">
            <w:pPr>
              <w:rPr>
                <w:rFonts w:ascii="Arial" w:hAnsi="Arial" w:cs="Arial"/>
                <w:vanish/>
                <w:sz w:val="18"/>
                <w:szCs w:val="18"/>
              </w:rPr>
            </w:pPr>
            <w:r w:rsidRPr="006E065C">
              <w:rPr>
                <w:rFonts w:ascii="Arial" w:hAnsi="Arial" w:cs="Arial"/>
                <w:vanish/>
                <w:sz w:val="18"/>
                <w:szCs w:val="18"/>
              </w:rPr>
              <w:t xml:space="preserve">Working with Data section: Removed first bullet pertaining to multiple windows being incompletely drawn when overlaid. Defect 208703 </w:t>
            </w:r>
          </w:p>
          <w:p w14:paraId="37D730C5" w14:textId="77777777" w:rsidR="00DA2E99" w:rsidRPr="006E065C" w:rsidRDefault="00DA2E99" w:rsidP="00DA2E99">
            <w:pPr>
              <w:rPr>
                <w:rFonts w:ascii="Arial" w:hAnsi="Arial" w:cs="Arial"/>
                <w:vanish/>
                <w:sz w:val="18"/>
                <w:szCs w:val="18"/>
              </w:rPr>
            </w:pPr>
            <w:r w:rsidRPr="006E065C">
              <w:rPr>
                <w:rFonts w:ascii="Arial" w:hAnsi="Arial" w:cs="Arial"/>
                <w:vanish/>
                <w:sz w:val="18"/>
                <w:szCs w:val="18"/>
              </w:rPr>
              <w:t xml:space="preserve">VistA Records in VBECS section: Removed third bullet pertaining to long names not being matched in the Patient Select Tool. Defect 208936 </w:t>
            </w:r>
          </w:p>
          <w:p w14:paraId="5576D998" w14:textId="77777777" w:rsidR="00DA2E99" w:rsidRPr="006E065C" w:rsidRDefault="00DA2E99" w:rsidP="00DA2E99">
            <w:pPr>
              <w:rPr>
                <w:rFonts w:ascii="Arial" w:hAnsi="Arial" w:cs="Arial"/>
                <w:vanish/>
                <w:sz w:val="18"/>
                <w:szCs w:val="18"/>
              </w:rPr>
            </w:pPr>
            <w:r w:rsidRPr="006E065C">
              <w:rPr>
                <w:rFonts w:ascii="Arial" w:hAnsi="Arial" w:cs="Arial"/>
                <w:vanish/>
                <w:sz w:val="18"/>
                <w:szCs w:val="18"/>
              </w:rPr>
              <w:t xml:space="preserve">Blood Availability section, Additional Information: Removed third bullet pertaining to running the Blood Availability report for units with no disposition before the Daily Inventory Report. Defect 210164 </w:t>
            </w:r>
          </w:p>
          <w:p w14:paraId="4B8688DD" w14:textId="77777777" w:rsidR="00DA2E99" w:rsidRPr="006E065C" w:rsidRDefault="00DA2E99" w:rsidP="00DA2E99">
            <w:pPr>
              <w:rPr>
                <w:rFonts w:ascii="Arial" w:hAnsi="Arial" w:cs="Arial"/>
                <w:vanish/>
                <w:sz w:val="18"/>
                <w:szCs w:val="18"/>
              </w:rPr>
            </w:pPr>
            <w:r w:rsidRPr="006E065C">
              <w:rPr>
                <w:rFonts w:ascii="Arial" w:hAnsi="Arial" w:cs="Arial"/>
                <w:vanish/>
                <w:sz w:val="18"/>
                <w:szCs w:val="18"/>
              </w:rPr>
              <w:t xml:space="preserve">Blood Availability section, Additional Information: Removed last bullet pertaining to expanding the date range of the report to include the units in a final status. Defect 210062 </w:t>
            </w:r>
          </w:p>
          <w:p w14:paraId="033D6EAA" w14:textId="77777777" w:rsidR="00DA2E99" w:rsidRPr="006E065C" w:rsidRDefault="00DA2E99" w:rsidP="00DA2E99">
            <w:pPr>
              <w:rPr>
                <w:rFonts w:ascii="Arial" w:hAnsi="Arial" w:cs="Arial"/>
                <w:vanish/>
                <w:sz w:val="18"/>
                <w:szCs w:val="18"/>
              </w:rPr>
            </w:pPr>
          </w:p>
          <w:p w14:paraId="66CB2435" w14:textId="62C441BA" w:rsidR="00DA2E99" w:rsidRPr="006E065C" w:rsidRDefault="00DA2E99" w:rsidP="00DA2E99">
            <w:pPr>
              <w:rPr>
                <w:rFonts w:ascii="Arial" w:hAnsi="Arial" w:cs="Arial"/>
                <w:vanish/>
                <w:sz w:val="18"/>
                <w:szCs w:val="18"/>
              </w:rPr>
            </w:pPr>
          </w:p>
          <w:p w14:paraId="78783459" w14:textId="77777777" w:rsidR="006E065C" w:rsidRPr="006E065C" w:rsidRDefault="006E065C" w:rsidP="00DA2E99">
            <w:pPr>
              <w:rPr>
                <w:rFonts w:ascii="Arial" w:hAnsi="Arial" w:cs="Arial"/>
                <w:vanish/>
                <w:sz w:val="18"/>
                <w:szCs w:val="18"/>
              </w:rPr>
            </w:pPr>
            <w:r w:rsidRPr="006E065C">
              <w:rPr>
                <w:rFonts w:ascii="Arial" w:hAnsi="Arial" w:cs="Arial"/>
                <w:vanish/>
                <w:sz w:val="18"/>
                <w:szCs w:val="18"/>
              </w:rPr>
              <w:t>(Task 924754)</w:t>
            </w:r>
          </w:p>
          <w:p w14:paraId="1A38E4CB" w14:textId="4C767BCD" w:rsidR="00DA2E99" w:rsidRPr="006E065C" w:rsidRDefault="00DA2E99" w:rsidP="00DA2E99">
            <w:pPr>
              <w:rPr>
                <w:rFonts w:ascii="Arial" w:hAnsi="Arial" w:cs="Arial"/>
                <w:vanish/>
                <w:sz w:val="18"/>
                <w:szCs w:val="18"/>
              </w:rPr>
            </w:pPr>
            <w:r w:rsidRPr="006E065C">
              <w:rPr>
                <w:rFonts w:ascii="Arial" w:hAnsi="Arial" w:cs="Arial"/>
                <w:vanish/>
                <w:sz w:val="18"/>
                <w:szCs w:val="18"/>
              </w:rPr>
              <w:t xml:space="preserve">Local Facilities section, Step 3, last note: Revised. </w:t>
            </w:r>
          </w:p>
          <w:p w14:paraId="13ADFA91" w14:textId="77777777" w:rsidR="00DA2E99" w:rsidRPr="006E065C" w:rsidRDefault="00DA2E99" w:rsidP="00DA2E99">
            <w:pPr>
              <w:rPr>
                <w:rFonts w:ascii="Arial" w:hAnsi="Arial" w:cs="Arial"/>
                <w:vanish/>
                <w:sz w:val="18"/>
                <w:szCs w:val="18"/>
              </w:rPr>
            </w:pPr>
            <w:r w:rsidRPr="006E065C">
              <w:rPr>
                <w:rFonts w:ascii="Arial" w:hAnsi="Arial" w:cs="Arial"/>
                <w:vanish/>
                <w:sz w:val="18"/>
                <w:szCs w:val="18"/>
              </w:rPr>
              <w:t>Blood Products section, Step 4, last note: Revised.</w:t>
            </w:r>
          </w:p>
          <w:p w14:paraId="147256B5" w14:textId="77777777" w:rsidR="00DA2E99" w:rsidRPr="006E065C" w:rsidRDefault="00DA2E99" w:rsidP="00DA2E99">
            <w:pPr>
              <w:rPr>
                <w:rFonts w:ascii="Arial" w:hAnsi="Arial" w:cs="Arial"/>
                <w:vanish/>
                <w:sz w:val="18"/>
                <w:szCs w:val="18"/>
              </w:rPr>
            </w:pPr>
          </w:p>
          <w:p w14:paraId="017522EB" w14:textId="77777777" w:rsidR="00DA2E99" w:rsidRPr="006E065C" w:rsidRDefault="00DA2E99" w:rsidP="00DA2E99">
            <w:pPr>
              <w:rPr>
                <w:rFonts w:ascii="Arial" w:hAnsi="Arial" w:cs="Arial"/>
                <w:vanish/>
                <w:sz w:val="18"/>
                <w:szCs w:val="18"/>
              </w:rPr>
            </w:pPr>
            <w:r w:rsidRPr="006E065C">
              <w:rPr>
                <w:rFonts w:ascii="Arial" w:hAnsi="Arial" w:cs="Arial"/>
                <w:vanish/>
                <w:sz w:val="18"/>
                <w:szCs w:val="18"/>
              </w:rPr>
              <w:t>(Task 942841)</w:t>
            </w:r>
          </w:p>
          <w:p w14:paraId="05C93797" w14:textId="77777777" w:rsidR="00DA2E99" w:rsidRPr="006E065C" w:rsidRDefault="00DA2E99" w:rsidP="00DA2E99">
            <w:pPr>
              <w:rPr>
                <w:rFonts w:ascii="Arial" w:hAnsi="Arial" w:cs="Arial"/>
                <w:vanish/>
                <w:sz w:val="18"/>
                <w:szCs w:val="18"/>
              </w:rPr>
            </w:pPr>
            <w:r w:rsidRPr="006E065C">
              <w:rPr>
                <w:rFonts w:ascii="Arial" w:hAnsi="Arial" w:cs="Arial"/>
                <w:vanish/>
                <w:sz w:val="18"/>
                <w:szCs w:val="18"/>
              </w:rPr>
              <w:t>Navigation Arrows and Report Pages section: Added new last paragraph. Defect 209946</w:t>
            </w:r>
          </w:p>
          <w:p w14:paraId="13664166" w14:textId="77777777" w:rsidR="00DA2E99" w:rsidRPr="006E065C" w:rsidRDefault="00DA2E99" w:rsidP="00DA2E99">
            <w:pPr>
              <w:rPr>
                <w:rFonts w:ascii="Arial" w:hAnsi="Arial" w:cs="Arial"/>
                <w:vanish/>
                <w:sz w:val="18"/>
                <w:szCs w:val="18"/>
              </w:rPr>
            </w:pPr>
            <w:r w:rsidRPr="006E065C">
              <w:rPr>
                <w:rFonts w:ascii="Arial" w:hAnsi="Arial" w:cs="Arial"/>
                <w:vanish/>
                <w:sz w:val="18"/>
                <w:szCs w:val="18"/>
              </w:rPr>
              <w:t>All the following Limitations and Restrictions also added to Appendix D.</w:t>
            </w:r>
          </w:p>
          <w:p w14:paraId="54E7A51A" w14:textId="77777777" w:rsidR="00DA2E99" w:rsidRPr="006E065C" w:rsidRDefault="00DA2E99" w:rsidP="00DA2E99">
            <w:pPr>
              <w:rPr>
                <w:rFonts w:ascii="Arial" w:hAnsi="Arial" w:cs="Arial"/>
                <w:vanish/>
                <w:sz w:val="18"/>
                <w:szCs w:val="18"/>
              </w:rPr>
            </w:pPr>
            <w:r w:rsidRPr="006E065C">
              <w:rPr>
                <w:rFonts w:ascii="Arial" w:hAnsi="Arial" w:cs="Arial"/>
                <w:vanish/>
                <w:sz w:val="18"/>
                <w:szCs w:val="18"/>
              </w:rPr>
              <w:t xml:space="preserve">View Recent Orders, Recent Transfusions/Issued Units, and Transfusion Reaction History section, Limitations and Restrictions: Added bullet. Defect 214974 </w:t>
            </w:r>
          </w:p>
          <w:p w14:paraId="55B5B61C" w14:textId="77777777" w:rsidR="00DA2E99" w:rsidRPr="006E065C" w:rsidRDefault="00DA2E99" w:rsidP="00DA2E99">
            <w:pPr>
              <w:rPr>
                <w:rFonts w:ascii="Arial" w:hAnsi="Arial" w:cs="Arial"/>
                <w:vanish/>
                <w:sz w:val="18"/>
                <w:szCs w:val="18"/>
              </w:rPr>
            </w:pPr>
            <w:r w:rsidRPr="006E065C">
              <w:rPr>
                <w:rFonts w:ascii="Arial" w:hAnsi="Arial" w:cs="Arial"/>
                <w:vanish/>
                <w:sz w:val="18"/>
                <w:szCs w:val="18"/>
              </w:rPr>
              <w:t xml:space="preserve">Workload Codes section, Limitations and Restrictions: Added new third bullet. Defect 209156 </w:t>
            </w:r>
          </w:p>
          <w:p w14:paraId="37183028" w14:textId="77777777" w:rsidR="00DA2E99" w:rsidRPr="006E065C" w:rsidRDefault="00DA2E99" w:rsidP="00DA2E99">
            <w:pPr>
              <w:rPr>
                <w:rFonts w:ascii="Arial" w:hAnsi="Arial" w:cs="Arial"/>
                <w:vanish/>
                <w:sz w:val="18"/>
                <w:szCs w:val="18"/>
              </w:rPr>
            </w:pPr>
            <w:r w:rsidRPr="006E065C">
              <w:rPr>
                <w:rFonts w:ascii="Arial" w:hAnsi="Arial" w:cs="Arial"/>
                <w:vanish/>
                <w:sz w:val="18"/>
                <w:szCs w:val="18"/>
              </w:rPr>
              <w:t xml:space="preserve">Reagents: Update Inventory section, Limitations and Restrictions: Added new seventh bulled. Defect 209141 </w:t>
            </w:r>
          </w:p>
          <w:p w14:paraId="35FC3C28" w14:textId="77777777" w:rsidR="00DA2E99" w:rsidRPr="006E065C" w:rsidRDefault="00DA2E99" w:rsidP="00DA2E99">
            <w:pPr>
              <w:rPr>
                <w:rFonts w:ascii="Arial" w:hAnsi="Arial" w:cs="Arial"/>
                <w:vanish/>
                <w:sz w:val="18"/>
                <w:szCs w:val="18"/>
              </w:rPr>
            </w:pPr>
            <w:r w:rsidRPr="006E065C">
              <w:rPr>
                <w:rFonts w:ascii="Arial" w:hAnsi="Arial" w:cs="Arial"/>
                <w:vanish/>
                <w:sz w:val="18"/>
                <w:szCs w:val="18"/>
              </w:rPr>
              <w:t xml:space="preserve">Reagents section, Limitations and Restrictions: Added new eighth bullet. Defects 208863, 208890, 210063 </w:t>
            </w:r>
          </w:p>
          <w:p w14:paraId="289CAB44" w14:textId="5101E17B" w:rsidR="00DA2E99" w:rsidRPr="006E065C" w:rsidRDefault="00DA2E99" w:rsidP="00DA2E99">
            <w:pPr>
              <w:rPr>
                <w:rFonts w:ascii="Arial" w:hAnsi="Arial" w:cs="Arial"/>
                <w:vanish/>
                <w:sz w:val="18"/>
                <w:szCs w:val="18"/>
              </w:rPr>
            </w:pPr>
            <w:r w:rsidRPr="006E065C">
              <w:rPr>
                <w:rFonts w:ascii="Arial" w:hAnsi="Arial" w:cs="Arial"/>
                <w:vanish/>
                <w:sz w:val="18"/>
                <w:szCs w:val="18"/>
              </w:rPr>
              <w:t>Outgoing Shipment section, Limitations and Restrictions: Added new fourth bullet.</w:t>
            </w:r>
          </w:p>
          <w:p w14:paraId="1D63164A" w14:textId="77777777" w:rsidR="00DA2E99" w:rsidRPr="006E065C" w:rsidRDefault="00DA2E99" w:rsidP="00DA2E99">
            <w:pPr>
              <w:rPr>
                <w:rFonts w:ascii="Arial" w:hAnsi="Arial" w:cs="Arial"/>
                <w:vanish/>
                <w:sz w:val="18"/>
                <w:szCs w:val="18"/>
              </w:rPr>
            </w:pPr>
            <w:r w:rsidRPr="006E065C">
              <w:rPr>
                <w:rFonts w:ascii="Arial" w:hAnsi="Arial" w:cs="Arial"/>
                <w:vanish/>
                <w:sz w:val="18"/>
                <w:szCs w:val="18"/>
              </w:rPr>
              <w:t xml:space="preserve">Outgoing Shipment section, Limitations and Restrictions: Added new fifth bullet. Defect 942523 </w:t>
            </w:r>
          </w:p>
          <w:p w14:paraId="7D5ACC67" w14:textId="77777777" w:rsidR="00DA2E99" w:rsidRPr="006E065C" w:rsidRDefault="00DA2E99" w:rsidP="00DA2E99">
            <w:pPr>
              <w:rPr>
                <w:rFonts w:ascii="Arial" w:hAnsi="Arial" w:cs="Arial"/>
                <w:vanish/>
                <w:sz w:val="18"/>
                <w:szCs w:val="18"/>
              </w:rPr>
            </w:pPr>
            <w:r w:rsidRPr="006E065C">
              <w:rPr>
                <w:rFonts w:ascii="Arial" w:hAnsi="Arial" w:cs="Arial"/>
                <w:vanish/>
                <w:sz w:val="18"/>
                <w:szCs w:val="18"/>
              </w:rPr>
              <w:t xml:space="preserve">Unit Antigen Typing section, Limitations and Restrictions: Added new sixth bullet. Defect 209578 </w:t>
            </w:r>
          </w:p>
          <w:p w14:paraId="1F607C1D" w14:textId="77777777" w:rsidR="00DA2E99" w:rsidRPr="006E065C" w:rsidRDefault="00DA2E99" w:rsidP="00DA2E99">
            <w:pPr>
              <w:rPr>
                <w:rFonts w:ascii="Arial" w:hAnsi="Arial" w:cs="Arial"/>
                <w:vanish/>
                <w:sz w:val="18"/>
                <w:szCs w:val="18"/>
              </w:rPr>
            </w:pPr>
            <w:r w:rsidRPr="006E065C">
              <w:rPr>
                <w:rFonts w:ascii="Arial" w:hAnsi="Arial" w:cs="Arial"/>
                <w:vanish/>
                <w:sz w:val="18"/>
                <w:szCs w:val="18"/>
              </w:rPr>
              <w:t xml:space="preserve">Edit Financial Data section, Limitations and Restrictions: Added new second bullet. Defect 942523 </w:t>
            </w:r>
          </w:p>
          <w:p w14:paraId="53861F34" w14:textId="77777777" w:rsidR="00DA2E99" w:rsidRPr="006E065C" w:rsidRDefault="00DA2E99" w:rsidP="00DA2E99">
            <w:pPr>
              <w:rPr>
                <w:rFonts w:ascii="Arial" w:hAnsi="Arial" w:cs="Arial"/>
                <w:vanish/>
                <w:sz w:val="18"/>
                <w:szCs w:val="18"/>
              </w:rPr>
            </w:pPr>
            <w:r w:rsidRPr="006E065C">
              <w:rPr>
                <w:rFonts w:ascii="Arial" w:hAnsi="Arial" w:cs="Arial"/>
                <w:vanish/>
                <w:sz w:val="18"/>
                <w:szCs w:val="18"/>
              </w:rPr>
              <w:t xml:space="preserve">Discard or Quarantine section, Limitations and Restrictions: Added new third bullet. Defect 942523 </w:t>
            </w:r>
          </w:p>
          <w:p w14:paraId="5B67F058" w14:textId="77777777" w:rsidR="00DA2E99" w:rsidRPr="006E065C" w:rsidRDefault="00DA2E99" w:rsidP="00DA2E99">
            <w:pPr>
              <w:rPr>
                <w:rFonts w:ascii="Arial" w:hAnsi="Arial" w:cs="Arial"/>
                <w:vanish/>
                <w:sz w:val="18"/>
                <w:szCs w:val="18"/>
              </w:rPr>
            </w:pPr>
            <w:r w:rsidRPr="006E065C">
              <w:rPr>
                <w:rFonts w:ascii="Arial" w:hAnsi="Arial" w:cs="Arial"/>
                <w:vanish/>
                <w:sz w:val="18"/>
                <w:szCs w:val="18"/>
              </w:rPr>
              <w:t xml:space="preserve">Select Units section, Limitations and Restrictions: Added new fifth bullet. Defect 209052 </w:t>
            </w:r>
          </w:p>
          <w:p w14:paraId="3D7C53BC" w14:textId="77777777" w:rsidR="00DA2E99" w:rsidRPr="006E065C" w:rsidRDefault="00DA2E99" w:rsidP="00DA2E99">
            <w:pPr>
              <w:rPr>
                <w:rFonts w:ascii="Arial" w:hAnsi="Arial" w:cs="Arial"/>
                <w:vanish/>
                <w:sz w:val="18"/>
                <w:szCs w:val="18"/>
              </w:rPr>
            </w:pPr>
            <w:r w:rsidRPr="006E065C">
              <w:rPr>
                <w:rFonts w:ascii="Arial" w:hAnsi="Arial" w:cs="Arial"/>
                <w:vanish/>
                <w:sz w:val="18"/>
                <w:szCs w:val="18"/>
              </w:rPr>
              <w:t xml:space="preserve">Select Units section, Limitations and Restrictions: Added new sixth bullet. Defects 209338, 213537 </w:t>
            </w:r>
          </w:p>
          <w:p w14:paraId="65A51F1F" w14:textId="77777777" w:rsidR="00DA2E99" w:rsidRPr="006E065C" w:rsidRDefault="00DA2E99" w:rsidP="00DA2E99">
            <w:pPr>
              <w:rPr>
                <w:rFonts w:ascii="Arial" w:hAnsi="Arial" w:cs="Arial"/>
                <w:vanish/>
                <w:sz w:val="18"/>
                <w:szCs w:val="18"/>
              </w:rPr>
            </w:pPr>
            <w:r w:rsidRPr="006E065C">
              <w:rPr>
                <w:rFonts w:ascii="Arial" w:hAnsi="Arial" w:cs="Arial"/>
                <w:vanish/>
                <w:sz w:val="18"/>
                <w:szCs w:val="18"/>
              </w:rPr>
              <w:t xml:space="preserve">Issue Blood Components, Limitations and Restrictions: Added new eighth bulled. Defect 208730 </w:t>
            </w:r>
          </w:p>
          <w:p w14:paraId="0AA7E193" w14:textId="77777777" w:rsidR="00DA2E99" w:rsidRPr="006E065C" w:rsidRDefault="00DA2E99" w:rsidP="00DA2E99">
            <w:pPr>
              <w:rPr>
                <w:rFonts w:ascii="Arial" w:hAnsi="Arial" w:cs="Arial"/>
                <w:vanish/>
                <w:sz w:val="18"/>
                <w:szCs w:val="18"/>
              </w:rPr>
            </w:pPr>
            <w:r w:rsidRPr="006E065C">
              <w:rPr>
                <w:rFonts w:ascii="Arial" w:hAnsi="Arial" w:cs="Arial"/>
                <w:vanish/>
                <w:sz w:val="18"/>
                <w:szCs w:val="18"/>
              </w:rPr>
              <w:t xml:space="preserve">Print Unit Caution Tag &amp; Transfusion Record Form section, Limitations and Restrictions: Added new third bullet. Defect 210195 </w:t>
            </w:r>
          </w:p>
          <w:p w14:paraId="65857ACC" w14:textId="77777777" w:rsidR="00DA2E99" w:rsidRPr="006E065C" w:rsidRDefault="00DA2E99" w:rsidP="00DA2E99">
            <w:pPr>
              <w:rPr>
                <w:rFonts w:ascii="Arial" w:hAnsi="Arial" w:cs="Arial"/>
                <w:vanish/>
                <w:sz w:val="18"/>
                <w:szCs w:val="18"/>
              </w:rPr>
            </w:pPr>
            <w:r w:rsidRPr="006E065C">
              <w:rPr>
                <w:rFonts w:ascii="Arial" w:hAnsi="Arial" w:cs="Arial"/>
                <w:vanish/>
                <w:sz w:val="18"/>
                <w:szCs w:val="18"/>
              </w:rPr>
              <w:t xml:space="preserve">Patient Merge section, Limitations and Restrictions: Added new fourth bullet. Defect 210029 </w:t>
            </w:r>
          </w:p>
          <w:p w14:paraId="4CC4DF5E" w14:textId="77777777" w:rsidR="00DA2E99" w:rsidRPr="006E065C" w:rsidRDefault="00DA2E99" w:rsidP="00DA2E99">
            <w:pPr>
              <w:rPr>
                <w:rFonts w:ascii="Arial" w:hAnsi="Arial" w:cs="Arial"/>
                <w:vanish/>
                <w:sz w:val="18"/>
                <w:szCs w:val="18"/>
              </w:rPr>
            </w:pPr>
            <w:r w:rsidRPr="006E065C">
              <w:rPr>
                <w:rFonts w:ascii="Arial" w:hAnsi="Arial" w:cs="Arial"/>
                <w:vanish/>
                <w:sz w:val="18"/>
                <w:szCs w:val="18"/>
              </w:rPr>
              <w:t xml:space="preserve">Patient Testing: General Instructions section, Limitations and Restrictions: Added new fifth bullet. Defect 942523 </w:t>
            </w:r>
          </w:p>
          <w:p w14:paraId="37B9EB45" w14:textId="77777777" w:rsidR="00DA2E99" w:rsidRPr="006E065C" w:rsidRDefault="00DA2E99" w:rsidP="00DA2E99">
            <w:pPr>
              <w:rPr>
                <w:rFonts w:ascii="Arial" w:hAnsi="Arial" w:cs="Arial"/>
                <w:vanish/>
                <w:sz w:val="18"/>
                <w:szCs w:val="18"/>
              </w:rPr>
            </w:pPr>
            <w:r w:rsidRPr="006E065C">
              <w:rPr>
                <w:rFonts w:ascii="Arial" w:hAnsi="Arial" w:cs="Arial"/>
                <w:vanish/>
                <w:sz w:val="18"/>
                <w:szCs w:val="18"/>
              </w:rPr>
              <w:t xml:space="preserve">Patient Testing: Record a Patient ABO/Rh, Limitations and Restrictions: Added new third bullet. Defect 210048 </w:t>
            </w:r>
          </w:p>
          <w:p w14:paraId="728392E6" w14:textId="77777777" w:rsidR="00DA2E99" w:rsidRPr="006E065C" w:rsidRDefault="00DA2E99" w:rsidP="00DA2E99">
            <w:pPr>
              <w:rPr>
                <w:rFonts w:ascii="Arial" w:hAnsi="Arial" w:cs="Arial"/>
                <w:vanish/>
                <w:sz w:val="18"/>
                <w:szCs w:val="18"/>
              </w:rPr>
            </w:pPr>
            <w:r w:rsidRPr="006E065C">
              <w:rPr>
                <w:rFonts w:ascii="Arial" w:hAnsi="Arial" w:cs="Arial"/>
                <w:vanish/>
                <w:sz w:val="18"/>
                <w:szCs w:val="18"/>
              </w:rPr>
              <w:t xml:space="preserve">Patient Testing: Record a Patient ABO/Rh, Limitations and Restrictions: Added new fourth bullet. Defect 208974 </w:t>
            </w:r>
          </w:p>
          <w:p w14:paraId="3CA783C8" w14:textId="77777777" w:rsidR="00DA2E99" w:rsidRPr="006E065C" w:rsidRDefault="00DA2E99" w:rsidP="00DA2E99">
            <w:pPr>
              <w:rPr>
                <w:rFonts w:ascii="Arial" w:hAnsi="Arial" w:cs="Arial"/>
                <w:vanish/>
                <w:sz w:val="18"/>
                <w:szCs w:val="18"/>
              </w:rPr>
            </w:pPr>
            <w:r w:rsidRPr="006E065C">
              <w:rPr>
                <w:rFonts w:ascii="Arial" w:hAnsi="Arial" w:cs="Arial"/>
                <w:vanish/>
                <w:sz w:val="18"/>
                <w:szCs w:val="18"/>
              </w:rPr>
              <w:t xml:space="preserve">Patient Testing: Record a Direct Antiglobulin Test section, Additional Information, fourth bullet: Added new last sentence pertaining to test results no longer having to be entered, but that the cell cannot be blank. Task 881295 </w:t>
            </w:r>
          </w:p>
          <w:p w14:paraId="01775DD0" w14:textId="77777777" w:rsidR="00DA2E99" w:rsidRPr="006E065C" w:rsidRDefault="00DA2E99" w:rsidP="00DA2E99">
            <w:pPr>
              <w:pStyle w:val="TableTextBullet"/>
              <w:numPr>
                <w:ilvl w:val="0"/>
                <w:numId w:val="0"/>
              </w:numPr>
              <w:tabs>
                <w:tab w:val="left" w:pos="720"/>
              </w:tabs>
              <w:rPr>
                <w:rFonts w:cs="Arial"/>
                <w:vanish/>
                <w:szCs w:val="18"/>
              </w:rPr>
            </w:pPr>
            <w:r w:rsidRPr="006E065C">
              <w:rPr>
                <w:vanish/>
              </w:rPr>
              <w:t xml:space="preserve">Division Workload Report section, Limitations and Restriction: Added new first bullet. Defect 213101 </w:t>
            </w:r>
          </w:p>
          <w:p w14:paraId="5B5692FB" w14:textId="77777777" w:rsidR="00DA2E99" w:rsidRPr="006E065C" w:rsidRDefault="00DA2E99" w:rsidP="00DA2E99">
            <w:pPr>
              <w:pStyle w:val="TableTextBullet"/>
              <w:numPr>
                <w:ilvl w:val="0"/>
                <w:numId w:val="0"/>
              </w:numPr>
              <w:tabs>
                <w:tab w:val="left" w:pos="720"/>
              </w:tabs>
              <w:rPr>
                <w:vanish/>
                <w:sz w:val="20"/>
                <w:szCs w:val="20"/>
              </w:rPr>
            </w:pPr>
            <w:r w:rsidRPr="006E065C">
              <w:rPr>
                <w:vanish/>
              </w:rPr>
              <w:t xml:space="preserve">Exception Report section, Limitations and Restrictions: Added new last two bullets. Defects 208987 and 208927 </w:t>
            </w:r>
          </w:p>
          <w:p w14:paraId="23519DA6" w14:textId="77777777" w:rsidR="00DA2E99" w:rsidRPr="006E065C" w:rsidRDefault="00DA2E99" w:rsidP="00DA2E99">
            <w:pPr>
              <w:pStyle w:val="TableTextBullet"/>
              <w:numPr>
                <w:ilvl w:val="0"/>
                <w:numId w:val="0"/>
              </w:numPr>
              <w:tabs>
                <w:tab w:val="left" w:pos="720"/>
              </w:tabs>
              <w:rPr>
                <w:vanish/>
              </w:rPr>
            </w:pPr>
            <w:r w:rsidRPr="006E065C">
              <w:rPr>
                <w:vanish/>
              </w:rPr>
              <w:t xml:space="preserve">Order History Report section, Limitations and Restrictions: Added new second bullet. Defect 208877 </w:t>
            </w:r>
          </w:p>
          <w:p w14:paraId="0D19AEEB" w14:textId="77777777" w:rsidR="00DA2E99" w:rsidRPr="006E065C" w:rsidRDefault="00DA2E99" w:rsidP="00DA2E99">
            <w:pPr>
              <w:pStyle w:val="TableTextBullet"/>
              <w:numPr>
                <w:ilvl w:val="0"/>
                <w:numId w:val="0"/>
              </w:numPr>
              <w:tabs>
                <w:tab w:val="left" w:pos="720"/>
              </w:tabs>
              <w:rPr>
                <w:vanish/>
              </w:rPr>
            </w:pPr>
            <w:r w:rsidRPr="006E065C">
              <w:rPr>
                <w:vanish/>
              </w:rPr>
              <w:t xml:space="preserve">Prolonged Transfusion Time Report section, Limitations and Restrictions: Added new second and third bullets. Defect 209735 </w:t>
            </w:r>
          </w:p>
          <w:p w14:paraId="2D581708" w14:textId="77777777" w:rsidR="00DA2E99" w:rsidRPr="006E065C" w:rsidRDefault="00DA2E99" w:rsidP="00DA2E99">
            <w:pPr>
              <w:pStyle w:val="TableTextBullet"/>
              <w:numPr>
                <w:ilvl w:val="0"/>
                <w:numId w:val="0"/>
              </w:numPr>
              <w:tabs>
                <w:tab w:val="left" w:pos="720"/>
              </w:tabs>
              <w:rPr>
                <w:vanish/>
              </w:rPr>
            </w:pPr>
            <w:r w:rsidRPr="006E065C">
              <w:rPr>
                <w:vanish/>
              </w:rPr>
              <w:t xml:space="preserve">Prolonged Transfusion Time Report section, Limitations and Restrictions: Added new fourth bullet. Defect 209431 </w:t>
            </w:r>
          </w:p>
          <w:p w14:paraId="27786773" w14:textId="77777777" w:rsidR="00DA2E99" w:rsidRPr="006E065C" w:rsidRDefault="00DA2E99" w:rsidP="00DA2E99">
            <w:pPr>
              <w:pStyle w:val="TableTextBullet"/>
              <w:numPr>
                <w:ilvl w:val="0"/>
                <w:numId w:val="0"/>
              </w:numPr>
              <w:tabs>
                <w:tab w:val="left" w:pos="720"/>
              </w:tabs>
              <w:rPr>
                <w:vanish/>
              </w:rPr>
            </w:pPr>
            <w:r w:rsidRPr="006E065C">
              <w:rPr>
                <w:vanish/>
              </w:rPr>
              <w:t xml:space="preserve">Patient Testing Worklist and Testing Worklist Reports section: Added new third bullet. Defect 214073 </w:t>
            </w:r>
          </w:p>
          <w:p w14:paraId="51255C93" w14:textId="77777777" w:rsidR="00DA2E99" w:rsidRPr="006E065C" w:rsidRDefault="00DA2E99" w:rsidP="00DA2E99">
            <w:pPr>
              <w:pStyle w:val="TableTextBullet"/>
              <w:numPr>
                <w:ilvl w:val="0"/>
                <w:numId w:val="0"/>
              </w:numPr>
              <w:tabs>
                <w:tab w:val="left" w:pos="720"/>
              </w:tabs>
              <w:rPr>
                <w:vanish/>
              </w:rPr>
            </w:pPr>
            <w:r w:rsidRPr="006E065C">
              <w:rPr>
                <w:vanish/>
              </w:rPr>
              <w:t xml:space="preserve">Transfusion Reaction Count Report section, Limitations and Restrictions: Added new first bullet. Defect 209152 </w:t>
            </w:r>
          </w:p>
          <w:p w14:paraId="215D5D47" w14:textId="77777777" w:rsidR="00DA2E99" w:rsidRPr="006E065C" w:rsidRDefault="00DA2E99" w:rsidP="00DA2E99">
            <w:pPr>
              <w:pStyle w:val="TableTextBullet"/>
              <w:numPr>
                <w:ilvl w:val="0"/>
                <w:numId w:val="0"/>
              </w:numPr>
              <w:tabs>
                <w:tab w:val="left" w:pos="720"/>
              </w:tabs>
              <w:rPr>
                <w:vanish/>
              </w:rPr>
            </w:pPr>
            <w:r w:rsidRPr="006E065C">
              <w:rPr>
                <w:vanish/>
              </w:rPr>
              <w:t xml:space="preserve">Transfusion Requirements Report section, Limitations and Restrictions: Added new second bullet. Defect 208903 </w:t>
            </w:r>
          </w:p>
          <w:p w14:paraId="15D03986" w14:textId="77777777" w:rsidR="00DA2E99" w:rsidRPr="006E065C" w:rsidRDefault="00DA2E99" w:rsidP="00DA2E99">
            <w:pPr>
              <w:pStyle w:val="TableTextBullet"/>
              <w:numPr>
                <w:ilvl w:val="0"/>
                <w:numId w:val="0"/>
              </w:numPr>
              <w:tabs>
                <w:tab w:val="left" w:pos="720"/>
              </w:tabs>
              <w:rPr>
                <w:vanish/>
              </w:rPr>
            </w:pPr>
            <w:r w:rsidRPr="006E065C">
              <w:rPr>
                <w:vanish/>
              </w:rPr>
              <w:t xml:space="preserve">Transfusion Requirements Report section, Limitations and Restrictions: Added new third bullet. Defect 208901 </w:t>
            </w:r>
          </w:p>
          <w:p w14:paraId="4B4F73D5" w14:textId="08C8596F" w:rsidR="00DA2E99" w:rsidRPr="000D7828" w:rsidRDefault="00DA2E99" w:rsidP="00DA2E99">
            <w:pPr>
              <w:pStyle w:val="TableTextBullet"/>
              <w:numPr>
                <w:ilvl w:val="0"/>
                <w:numId w:val="0"/>
              </w:numPr>
              <w:tabs>
                <w:tab w:val="left" w:pos="720"/>
              </w:tabs>
            </w:pPr>
            <w:r w:rsidRPr="006E065C">
              <w:rPr>
                <w:vanish/>
              </w:rPr>
              <w:t>Unit History Report section, Limitations and Restrictions: Added new last bullet. Defect 212537</w:t>
            </w:r>
          </w:p>
        </w:tc>
        <w:tc>
          <w:tcPr>
            <w:tcW w:w="1098" w:type="dxa"/>
          </w:tcPr>
          <w:p w14:paraId="421B7FDB" w14:textId="77777777" w:rsidR="00AD2C30" w:rsidRDefault="00AD2C30" w:rsidP="00237FB5">
            <w:pPr>
              <w:pStyle w:val="TableText"/>
            </w:pPr>
            <w:r>
              <w:t>BBM Team</w:t>
            </w:r>
          </w:p>
        </w:tc>
      </w:tr>
      <w:tr w:rsidR="00FC0D5E" w:rsidRPr="009D5AF3" w14:paraId="683810E4" w14:textId="77777777" w:rsidTr="00237FB5">
        <w:trPr>
          <w:trHeight w:val="543"/>
        </w:trPr>
        <w:tc>
          <w:tcPr>
            <w:tcW w:w="918" w:type="dxa"/>
          </w:tcPr>
          <w:p w14:paraId="73384249" w14:textId="3FF400DF" w:rsidR="00FC0D5E" w:rsidRDefault="00CB1E6F" w:rsidP="00237FB5">
            <w:pPr>
              <w:pStyle w:val="TableText"/>
            </w:pPr>
            <w:r>
              <w:t>6</w:t>
            </w:r>
            <w:r w:rsidR="00FC0D5E">
              <w:t>/</w:t>
            </w:r>
            <w:r w:rsidR="00326905">
              <w:t>6</w:t>
            </w:r>
            <w:r w:rsidR="00FC0D5E">
              <w:t>/19</w:t>
            </w:r>
          </w:p>
        </w:tc>
        <w:tc>
          <w:tcPr>
            <w:tcW w:w="990" w:type="dxa"/>
          </w:tcPr>
          <w:p w14:paraId="5053EFD1" w14:textId="52A371A1" w:rsidR="00FC0D5E" w:rsidRDefault="00FC0D5E" w:rsidP="00237FB5">
            <w:pPr>
              <w:pStyle w:val="TableText"/>
            </w:pPr>
            <w:r>
              <w:t>2.0</w:t>
            </w:r>
          </w:p>
        </w:tc>
        <w:tc>
          <w:tcPr>
            <w:tcW w:w="6570" w:type="dxa"/>
          </w:tcPr>
          <w:p w14:paraId="0C168BC5" w14:textId="100AA8C2" w:rsidR="00A233F9" w:rsidRDefault="00A233F9" w:rsidP="00DA2E99">
            <w:pPr>
              <w:rPr>
                <w:rFonts w:ascii="Arial" w:hAnsi="Arial" w:cs="Arial"/>
                <w:sz w:val="18"/>
                <w:szCs w:val="18"/>
              </w:rPr>
            </w:pPr>
            <w:r>
              <w:rPr>
                <w:rFonts w:ascii="Arial" w:hAnsi="Arial" w:cs="Arial"/>
                <w:sz w:val="18"/>
                <w:szCs w:val="18"/>
              </w:rPr>
              <w:t>(VBECS 2.3.1.1 Rev B)</w:t>
            </w:r>
          </w:p>
          <w:p w14:paraId="56475A3C" w14:textId="0FAA1C90" w:rsidR="00FC0D5E" w:rsidRDefault="0003705A" w:rsidP="00DA2E99">
            <w:pPr>
              <w:rPr>
                <w:rFonts w:ascii="Arial" w:hAnsi="Arial" w:cs="Arial"/>
                <w:sz w:val="18"/>
                <w:szCs w:val="18"/>
              </w:rPr>
            </w:pPr>
            <w:r>
              <w:rPr>
                <w:rFonts w:ascii="Arial" w:hAnsi="Arial" w:cs="Arial"/>
                <w:sz w:val="18"/>
                <w:szCs w:val="18"/>
              </w:rPr>
              <w:t>Searching the Database section: Revised first bullet sub-bullets. Added second bullet and sub-bullets. Added Note and bullets.</w:t>
            </w:r>
            <w:r w:rsidR="00D325C4" w:rsidRPr="00957151">
              <w:rPr>
                <w:rFonts w:ascii="Arial" w:hAnsi="Arial" w:cs="Arial"/>
                <w:vanish/>
                <w:sz w:val="18"/>
                <w:szCs w:val="18"/>
              </w:rPr>
              <w:t xml:space="preserve"> (Task </w:t>
            </w:r>
            <w:r w:rsidR="00817234" w:rsidRPr="00957151">
              <w:rPr>
                <w:rFonts w:ascii="Arial" w:hAnsi="Arial" w:cs="Arial"/>
                <w:vanish/>
                <w:sz w:val="18"/>
                <w:szCs w:val="18"/>
              </w:rPr>
              <w:t>998699)</w:t>
            </w:r>
          </w:p>
          <w:p w14:paraId="3F240429" w14:textId="3524964F" w:rsidR="00326905" w:rsidRDefault="00326905" w:rsidP="00DA2E99">
            <w:pPr>
              <w:rPr>
                <w:rFonts w:ascii="Arial" w:hAnsi="Arial" w:cs="Arial"/>
                <w:sz w:val="18"/>
                <w:szCs w:val="18"/>
              </w:rPr>
            </w:pPr>
            <w:r>
              <w:rPr>
                <w:rFonts w:ascii="Arial" w:hAnsi="Arial" w:cs="Arial"/>
                <w:sz w:val="18"/>
                <w:szCs w:val="18"/>
              </w:rPr>
              <w:t>Edit Unit Information section, Step 3: Removed last three notes.</w:t>
            </w:r>
          </w:p>
        </w:tc>
        <w:tc>
          <w:tcPr>
            <w:tcW w:w="1098" w:type="dxa"/>
          </w:tcPr>
          <w:p w14:paraId="63C06D90" w14:textId="7A8FB952" w:rsidR="00FC0D5E" w:rsidRDefault="00FC0D5E" w:rsidP="00237FB5">
            <w:pPr>
              <w:pStyle w:val="TableText"/>
            </w:pPr>
            <w:r>
              <w:t>BBM Team</w:t>
            </w:r>
          </w:p>
        </w:tc>
      </w:tr>
    </w:tbl>
    <w:p w14:paraId="0B51E100" w14:textId="77777777" w:rsidR="00AD2C30" w:rsidRDefault="00AD2C30">
      <w:pPr>
        <w:rPr>
          <w:kern w:val="32"/>
          <w:sz w:val="22"/>
          <w:szCs w:val="22"/>
        </w:rPr>
      </w:pPr>
      <w:r>
        <w:rPr>
          <w:kern w:val="32"/>
        </w:rPr>
        <w:br w:type="page"/>
      </w:r>
    </w:p>
    <w:p w14:paraId="674F5F44" w14:textId="0D798E39" w:rsidR="009C0A99" w:rsidRDefault="009C0A99" w:rsidP="00F50F30">
      <w:pPr>
        <w:pStyle w:val="BodyText"/>
        <w:rPr>
          <w:snapToGrid w:val="0"/>
          <w:vanish/>
        </w:rPr>
      </w:pPr>
      <w:r>
        <w:lastRenderedPageBreak/>
        <w:t xml:space="preserve">This is the last page of </w:t>
      </w:r>
      <w:r w:rsidRPr="009C0A99">
        <w:rPr>
          <w:i/>
        </w:rPr>
        <w:t xml:space="preserve">VistA Blood Establishment Computer Software (VBECS) </w:t>
      </w:r>
      <w:r w:rsidR="002E3995">
        <w:rPr>
          <w:i/>
        </w:rPr>
        <w:t>2.3</w:t>
      </w:r>
      <w:r w:rsidR="00B03BDD">
        <w:rPr>
          <w:i/>
        </w:rPr>
        <w:t>.1</w:t>
      </w:r>
      <w:r w:rsidR="00AE6FF1">
        <w:rPr>
          <w:i/>
        </w:rPr>
        <w:t xml:space="preserve"> </w:t>
      </w:r>
      <w:r w:rsidRPr="009C0A99">
        <w:rPr>
          <w:i/>
        </w:rPr>
        <w:t>User Guide</w:t>
      </w:r>
      <w:r>
        <w:t>.</w:t>
      </w:r>
    </w:p>
    <w:p w14:paraId="6B06A704" w14:textId="6C15C6F4" w:rsidR="0006165B" w:rsidRPr="009C0A99" w:rsidRDefault="0006165B" w:rsidP="009C0A99">
      <w:pPr>
        <w:pStyle w:val="BodyText"/>
        <w:rPr>
          <w:snapToGrid w:val="0"/>
          <w:vanish/>
        </w:rPr>
      </w:pPr>
    </w:p>
    <w:sectPr w:rsidR="0006165B" w:rsidRPr="009C0A99" w:rsidSect="00326905">
      <w:type w:val="continuous"/>
      <w:pgSz w:w="12240" w:h="15840" w:code="1"/>
      <w:pgMar w:top="1440" w:right="1440" w:bottom="1440" w:left="1440"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075">
      <wne:macro wne:macroName="PROJECT.NEWMACROS.HIDE"/>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B1571D" w14:textId="77777777" w:rsidR="004261EB" w:rsidRDefault="004261EB">
      <w:r>
        <w:separator/>
      </w:r>
    </w:p>
  </w:endnote>
  <w:endnote w:type="continuationSeparator" w:id="0">
    <w:p w14:paraId="0A89132B" w14:textId="77777777" w:rsidR="004261EB" w:rsidRDefault="00426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Genev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ZWAdobeF">
    <w:panose1 w:val="00000000000000000000"/>
    <w:charset w:val="00"/>
    <w:family w:val="auto"/>
    <w:pitch w:val="variable"/>
    <w:sig w:usb0="20002A87" w:usb1="00000000" w:usb2="00000000" w:usb3="00000000" w:csb0="000001FF" w:csb1="00000000"/>
  </w:font>
  <w:font w:name="MS Shell Dlg 2">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5A606" w14:textId="77777777" w:rsidR="004261EB" w:rsidRDefault="004261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5F1C07" w14:textId="77777777" w:rsidR="004261EB" w:rsidRDefault="004261EB">
    <w:pPr>
      <w:pStyle w:val="Footer"/>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E89A4" w14:textId="77777777" w:rsidR="004261EB" w:rsidRDefault="004261EB">
    <w:pPr>
      <w:pStyle w:val="Footer"/>
      <w:tabs>
        <w:tab w:val="clear" w:pos="8640"/>
        <w:tab w:val="right" w:pos="12600"/>
      </w:tabs>
      <w:ind w:right="360"/>
      <w:rPr>
        <w:sz w:val="20"/>
      </w:rPr>
    </w:pPr>
  </w:p>
  <w:p w14:paraId="06F33F4F" w14:textId="77777777" w:rsidR="004261EB" w:rsidRDefault="004261EB">
    <w:pPr>
      <w:pStyle w:val="Footer"/>
      <w:tabs>
        <w:tab w:val="clear" w:pos="8640"/>
        <w:tab w:val="right" w:pos="9360"/>
      </w:tabs>
      <w:ind w:right="360"/>
      <w:rPr>
        <w:sz w:val="20"/>
      </w:rPr>
    </w:pPr>
  </w:p>
  <w:p w14:paraId="0778D4BE" w14:textId="6494BB94" w:rsidR="004261EB" w:rsidRDefault="004261EB" w:rsidP="00714F12">
    <w:pPr>
      <w:pStyle w:val="Footer"/>
      <w:tabs>
        <w:tab w:val="clear" w:pos="4320"/>
        <w:tab w:val="clear" w:pos="8640"/>
        <w:tab w:val="center" w:pos="5040"/>
        <w:tab w:val="right" w:pos="9360"/>
        <w:tab w:val="right" w:pos="12780"/>
        <w:tab w:val="right" w:pos="12960"/>
      </w:tabs>
      <w:ind w:right="360"/>
      <w:rPr>
        <w:sz w:val="20"/>
      </w:rPr>
    </w:pPr>
    <w:r>
      <w:rPr>
        <w:sz w:val="20"/>
      </w:rPr>
      <w:t>June 2019</w:t>
    </w:r>
    <w:r>
      <w:rPr>
        <w:sz w:val="20"/>
      </w:rPr>
      <w:tab/>
      <w:t>VistA Blood Establishment Computer Software (VBECS) Version 2.3.1</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521</w:t>
    </w:r>
    <w:r>
      <w:rPr>
        <w:sz w:val="20"/>
      </w:rPr>
      <w:fldChar w:fldCharType="end"/>
    </w:r>
    <w:r>
      <w:rPr>
        <w:sz w:val="20"/>
      </w:rPr>
      <w:tab/>
    </w:r>
  </w:p>
  <w:p w14:paraId="4186391E" w14:textId="1507B32B" w:rsidR="004261EB" w:rsidRDefault="004261EB" w:rsidP="00714F12">
    <w:pPr>
      <w:pStyle w:val="Footer"/>
      <w:tabs>
        <w:tab w:val="clear" w:pos="4320"/>
        <w:tab w:val="clear" w:pos="8640"/>
        <w:tab w:val="center" w:pos="5040"/>
        <w:tab w:val="right" w:pos="9360"/>
        <w:tab w:val="right" w:pos="12960"/>
      </w:tabs>
      <w:ind w:right="360"/>
      <w:rPr>
        <w:sz w:val="20"/>
      </w:rPr>
    </w:pPr>
    <w:r>
      <w:rPr>
        <w:sz w:val="20"/>
      </w:rPr>
      <w:tab/>
      <w:t>User Guide Version 2.0</w:t>
    </w:r>
  </w:p>
  <w:p w14:paraId="232726F4" w14:textId="55C87D39" w:rsidR="004261EB" w:rsidRDefault="004261EB" w:rsidP="00714F12">
    <w:pPr>
      <w:pStyle w:val="Footer"/>
      <w:tabs>
        <w:tab w:val="clear" w:pos="4320"/>
        <w:tab w:val="clear" w:pos="8640"/>
        <w:tab w:val="center" w:pos="6480"/>
        <w:tab w:val="right" w:pos="12960"/>
      </w:tabs>
      <w:ind w:right="360"/>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688BA" w14:textId="77777777" w:rsidR="004261EB" w:rsidRDefault="004261EB">
    <w:pPr>
      <w:pStyle w:val="Footer"/>
      <w:tabs>
        <w:tab w:val="clear" w:pos="8640"/>
        <w:tab w:val="right" w:pos="12600"/>
      </w:tabs>
      <w:ind w:right="360"/>
      <w:rPr>
        <w:sz w:val="20"/>
      </w:rPr>
    </w:pPr>
  </w:p>
  <w:p w14:paraId="00980158" w14:textId="77777777" w:rsidR="004261EB" w:rsidRDefault="004261EB">
    <w:pPr>
      <w:pStyle w:val="Footer"/>
      <w:tabs>
        <w:tab w:val="clear" w:pos="8640"/>
        <w:tab w:val="right" w:pos="9360"/>
      </w:tabs>
      <w:ind w:right="360"/>
      <w:rPr>
        <w:sz w:val="20"/>
      </w:rPr>
    </w:pPr>
  </w:p>
  <w:p w14:paraId="6278422B" w14:textId="3711A84A" w:rsidR="004261EB" w:rsidRDefault="004261EB" w:rsidP="007566FC">
    <w:pPr>
      <w:pStyle w:val="Footer"/>
      <w:tabs>
        <w:tab w:val="clear" w:pos="4320"/>
        <w:tab w:val="clear" w:pos="8640"/>
        <w:tab w:val="center" w:pos="5040"/>
        <w:tab w:val="right" w:pos="9360"/>
        <w:tab w:val="right" w:pos="12960"/>
      </w:tabs>
      <w:ind w:right="360"/>
      <w:rPr>
        <w:sz w:val="20"/>
      </w:rPr>
    </w:pPr>
    <w:r>
      <w:rPr>
        <w:sz w:val="20"/>
      </w:rPr>
      <w:t>June 2019</w:t>
    </w:r>
    <w:r>
      <w:rPr>
        <w:sz w:val="20"/>
      </w:rPr>
      <w:tab/>
      <w:t>VistA Blood Establishment Computer Software (VBECS) Version 2.3.1</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524</w:t>
    </w:r>
    <w:r>
      <w:rPr>
        <w:sz w:val="20"/>
      </w:rPr>
      <w:fldChar w:fldCharType="end"/>
    </w:r>
    <w:r>
      <w:rPr>
        <w:sz w:val="20"/>
      </w:rPr>
      <w:tab/>
    </w:r>
  </w:p>
  <w:p w14:paraId="3A8F441D" w14:textId="48DFAA55" w:rsidR="004261EB" w:rsidRDefault="004261EB" w:rsidP="007566FC">
    <w:pPr>
      <w:pStyle w:val="Footer"/>
      <w:tabs>
        <w:tab w:val="clear" w:pos="4320"/>
        <w:tab w:val="clear" w:pos="8640"/>
        <w:tab w:val="center" w:pos="5040"/>
        <w:tab w:val="right" w:pos="9360"/>
        <w:tab w:val="right" w:pos="12780"/>
      </w:tabs>
      <w:ind w:right="360"/>
      <w:rPr>
        <w:sz w:val="20"/>
      </w:rPr>
    </w:pPr>
    <w:r>
      <w:rPr>
        <w:sz w:val="20"/>
      </w:rPr>
      <w:tab/>
      <w:t>User Guide Version 2.0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88EB3" w14:textId="77777777" w:rsidR="004261EB" w:rsidRDefault="004261EB" w:rsidP="007566FC">
    <w:pPr>
      <w:pStyle w:val="Footer"/>
      <w:tabs>
        <w:tab w:val="clear" w:pos="4320"/>
        <w:tab w:val="clear" w:pos="8640"/>
        <w:tab w:val="center" w:pos="6480"/>
        <w:tab w:val="right" w:pos="12960"/>
      </w:tabs>
      <w:ind w:right="360"/>
      <w:rPr>
        <w:sz w:val="20"/>
      </w:rPr>
    </w:pPr>
  </w:p>
  <w:p w14:paraId="5E376C86" w14:textId="77777777" w:rsidR="004261EB" w:rsidRDefault="004261EB" w:rsidP="007566FC">
    <w:pPr>
      <w:pStyle w:val="Footer"/>
      <w:tabs>
        <w:tab w:val="clear" w:pos="4320"/>
        <w:tab w:val="clear" w:pos="8640"/>
        <w:tab w:val="center" w:pos="6480"/>
        <w:tab w:val="right" w:pos="12960"/>
      </w:tabs>
      <w:ind w:right="360"/>
      <w:rPr>
        <w:sz w:val="20"/>
      </w:rPr>
    </w:pPr>
  </w:p>
  <w:p w14:paraId="0F4B487E" w14:textId="2D6CD075" w:rsidR="004261EB" w:rsidRDefault="004261EB" w:rsidP="007566FC">
    <w:pPr>
      <w:pStyle w:val="Footer"/>
      <w:tabs>
        <w:tab w:val="clear" w:pos="4320"/>
        <w:tab w:val="clear" w:pos="8640"/>
        <w:tab w:val="center" w:pos="6480"/>
        <w:tab w:val="right" w:pos="12780"/>
        <w:tab w:val="right" w:pos="12960"/>
      </w:tabs>
      <w:ind w:right="360"/>
      <w:rPr>
        <w:sz w:val="20"/>
      </w:rPr>
    </w:pPr>
    <w:r>
      <w:rPr>
        <w:sz w:val="20"/>
      </w:rPr>
      <w:t>June 2019</w:t>
    </w:r>
    <w:r>
      <w:rPr>
        <w:sz w:val="20"/>
      </w:rPr>
      <w:tab/>
      <w:t>VistA Blood Establishment Computer Software (VBECS) Version 2.3.1</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526</w:t>
    </w:r>
    <w:r>
      <w:rPr>
        <w:sz w:val="20"/>
      </w:rPr>
      <w:fldChar w:fldCharType="end"/>
    </w:r>
    <w:r>
      <w:rPr>
        <w:sz w:val="20"/>
      </w:rPr>
      <w:tab/>
    </w:r>
  </w:p>
  <w:p w14:paraId="5628CE42" w14:textId="321B38AB" w:rsidR="004261EB" w:rsidRDefault="004261EB" w:rsidP="007566FC">
    <w:pPr>
      <w:pStyle w:val="Footer"/>
      <w:tabs>
        <w:tab w:val="clear" w:pos="4320"/>
        <w:tab w:val="clear" w:pos="8640"/>
        <w:tab w:val="center" w:pos="6480"/>
        <w:tab w:val="right" w:pos="12960"/>
      </w:tabs>
      <w:ind w:right="360"/>
      <w:rPr>
        <w:sz w:val="20"/>
      </w:rPr>
    </w:pPr>
    <w:r>
      <w:rPr>
        <w:sz w:val="20"/>
      </w:rPr>
      <w:tab/>
      <w:t>User Guide Version 2.0</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9494E" w14:textId="2586B744" w:rsidR="004261EB" w:rsidRDefault="004261EB" w:rsidP="00F304F2">
    <w:pPr>
      <w:pStyle w:val="Footer"/>
      <w:tabs>
        <w:tab w:val="clear" w:pos="4320"/>
        <w:tab w:val="clear" w:pos="8640"/>
        <w:tab w:val="center" w:pos="5040"/>
        <w:tab w:val="right" w:pos="9360"/>
        <w:tab w:val="right" w:pos="12960"/>
      </w:tabs>
      <w:ind w:right="360"/>
      <w:rPr>
        <w:sz w:val="20"/>
      </w:rPr>
    </w:pPr>
  </w:p>
  <w:p w14:paraId="413E0BE1" w14:textId="77777777" w:rsidR="004261EB" w:rsidRDefault="004261EB" w:rsidP="00F304F2">
    <w:pPr>
      <w:pStyle w:val="Footer"/>
      <w:tabs>
        <w:tab w:val="clear" w:pos="4320"/>
        <w:tab w:val="clear" w:pos="8640"/>
        <w:tab w:val="center" w:pos="5040"/>
        <w:tab w:val="right" w:pos="12960"/>
      </w:tabs>
      <w:ind w:right="360"/>
      <w:rPr>
        <w:sz w:val="20"/>
      </w:rPr>
    </w:pPr>
  </w:p>
  <w:p w14:paraId="045A88B7" w14:textId="6D59C958" w:rsidR="004261EB" w:rsidRDefault="004261EB" w:rsidP="000571E4">
    <w:pPr>
      <w:pStyle w:val="Footer"/>
      <w:tabs>
        <w:tab w:val="clear" w:pos="4320"/>
        <w:tab w:val="clear" w:pos="8640"/>
        <w:tab w:val="center" w:pos="5040"/>
        <w:tab w:val="right" w:pos="9360"/>
        <w:tab w:val="right" w:pos="12780"/>
        <w:tab w:val="right" w:pos="12960"/>
      </w:tabs>
      <w:ind w:right="360"/>
      <w:rPr>
        <w:sz w:val="20"/>
      </w:rPr>
    </w:pPr>
    <w:r>
      <w:rPr>
        <w:sz w:val="20"/>
      </w:rPr>
      <w:t>June 2019</w:t>
    </w:r>
    <w:r>
      <w:rPr>
        <w:sz w:val="20"/>
      </w:rPr>
      <w:tab/>
      <w:t>VistA Blood Establishment Computer Software (VBECS) Version 2.3.1</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559</w:t>
    </w:r>
    <w:r>
      <w:rPr>
        <w:sz w:val="20"/>
      </w:rPr>
      <w:fldChar w:fldCharType="end"/>
    </w:r>
    <w:r>
      <w:rPr>
        <w:sz w:val="20"/>
      </w:rPr>
      <w:tab/>
    </w:r>
  </w:p>
  <w:p w14:paraId="203B7D05" w14:textId="7922DE8D" w:rsidR="004261EB" w:rsidRDefault="004261EB" w:rsidP="00F304F2">
    <w:pPr>
      <w:pStyle w:val="Footer"/>
      <w:tabs>
        <w:tab w:val="clear" w:pos="4320"/>
        <w:tab w:val="clear" w:pos="8640"/>
        <w:tab w:val="center" w:pos="5040"/>
        <w:tab w:val="right" w:pos="9360"/>
        <w:tab w:val="right" w:pos="12960"/>
      </w:tabs>
      <w:ind w:right="360"/>
      <w:rPr>
        <w:sz w:val="20"/>
      </w:rPr>
    </w:pPr>
    <w:r>
      <w:rPr>
        <w:sz w:val="20"/>
      </w:rPr>
      <w:tab/>
      <w:t>User Guide Version 2.0</w:t>
    </w:r>
  </w:p>
  <w:p w14:paraId="2537E68F" w14:textId="77777777" w:rsidR="004261EB" w:rsidRDefault="004261EB"/>
  <w:p w14:paraId="6C94C933" w14:textId="77777777" w:rsidR="004261EB" w:rsidRDefault="004261E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00592B" w14:textId="77777777" w:rsidR="004261EB" w:rsidRDefault="004261EB">
    <w:pPr>
      <w:pStyle w:val="Footer"/>
      <w:tabs>
        <w:tab w:val="clear" w:pos="8640"/>
      </w:tabs>
      <w:ind w:right="360"/>
      <w:rPr>
        <w:sz w:val="20"/>
      </w:rPr>
    </w:pPr>
  </w:p>
  <w:p w14:paraId="5069B344" w14:textId="77777777" w:rsidR="004261EB" w:rsidRDefault="004261EB">
    <w:pPr>
      <w:pStyle w:val="Footer"/>
      <w:tabs>
        <w:tab w:val="clear" w:pos="8640"/>
      </w:tabs>
      <w:ind w:right="360"/>
      <w:rPr>
        <w:sz w:val="20"/>
      </w:rPr>
    </w:pPr>
  </w:p>
  <w:p w14:paraId="020F2015" w14:textId="257DBF72" w:rsidR="004261EB" w:rsidRDefault="004261EB">
    <w:pPr>
      <w:pStyle w:val="Footer"/>
      <w:tabs>
        <w:tab w:val="clear" w:pos="4320"/>
        <w:tab w:val="clear" w:pos="8640"/>
        <w:tab w:val="center" w:pos="4860"/>
      </w:tabs>
      <w:ind w:right="360"/>
      <w:rPr>
        <w:sz w:val="20"/>
      </w:rPr>
    </w:pPr>
    <w:r>
      <w:rPr>
        <w:sz w:val="20"/>
      </w:rPr>
      <w:t>June 2019</w:t>
    </w:r>
    <w:r>
      <w:rPr>
        <w:sz w:val="20"/>
      </w:rPr>
      <w:tab/>
      <w:t>VistA Blood Establishment Computer Software (VBECS) Version 2.3.1</w:t>
    </w:r>
  </w:p>
  <w:p w14:paraId="194E7A15" w14:textId="2CB87E97" w:rsidR="004261EB" w:rsidRDefault="004261EB">
    <w:pPr>
      <w:pStyle w:val="Footer"/>
      <w:tabs>
        <w:tab w:val="clear" w:pos="4320"/>
        <w:tab w:val="center" w:pos="4860"/>
      </w:tabs>
      <w:ind w:right="360"/>
      <w:jc w:val="center"/>
      <w:rPr>
        <w:sz w:val="20"/>
      </w:rPr>
    </w:pPr>
    <w:r>
      <w:rPr>
        <w:sz w:val="20"/>
      </w:rPr>
      <w:t>User Guide Version 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309A8" w14:textId="77777777" w:rsidR="004261EB" w:rsidRDefault="004261EB">
    <w:pPr>
      <w:pStyle w:val="Footer"/>
      <w:ind w:right="360"/>
      <w:rPr>
        <w:sz w:val="20"/>
      </w:rPr>
    </w:pPr>
    <w:r>
      <w:rPr>
        <w:sz w:val="2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DD6D8" w14:textId="77777777" w:rsidR="004261EB" w:rsidRDefault="004261EB" w:rsidP="00F7279E">
    <w:pPr>
      <w:pStyle w:val="Footer"/>
      <w:tabs>
        <w:tab w:val="clear" w:pos="8640"/>
        <w:tab w:val="right" w:pos="9360"/>
      </w:tabs>
      <w:ind w:right="360"/>
      <w:rPr>
        <w:sz w:val="20"/>
      </w:rPr>
    </w:pPr>
  </w:p>
  <w:p w14:paraId="2747E4ED" w14:textId="77777777" w:rsidR="004261EB" w:rsidRDefault="004261EB" w:rsidP="00F7279E">
    <w:pPr>
      <w:pStyle w:val="Footer"/>
      <w:tabs>
        <w:tab w:val="clear" w:pos="8640"/>
        <w:tab w:val="right" w:pos="9360"/>
      </w:tabs>
      <w:ind w:right="360"/>
      <w:rPr>
        <w:sz w:val="20"/>
      </w:rPr>
    </w:pPr>
  </w:p>
  <w:p w14:paraId="180555D9" w14:textId="1CB16479" w:rsidR="004261EB" w:rsidRDefault="004261EB" w:rsidP="00784D58">
    <w:pPr>
      <w:pStyle w:val="Footer"/>
      <w:tabs>
        <w:tab w:val="clear" w:pos="4320"/>
        <w:tab w:val="clear" w:pos="8640"/>
        <w:tab w:val="center" w:pos="5040"/>
        <w:tab w:val="right" w:pos="9360"/>
        <w:tab w:val="right" w:pos="12780"/>
        <w:tab w:val="right" w:pos="12960"/>
      </w:tabs>
      <w:ind w:right="360"/>
      <w:rPr>
        <w:sz w:val="20"/>
      </w:rPr>
    </w:pPr>
    <w:r>
      <w:rPr>
        <w:sz w:val="20"/>
      </w:rPr>
      <w:t>June 2019</w:t>
    </w:r>
    <w:r>
      <w:rPr>
        <w:sz w:val="20"/>
      </w:rPr>
      <w:tab/>
      <w:t>VistA Blood Establishment Computer Software (VBECS) Version 2.3.1</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vi</w:t>
    </w:r>
    <w:r>
      <w:rPr>
        <w:sz w:val="20"/>
      </w:rPr>
      <w:fldChar w:fldCharType="end"/>
    </w:r>
    <w:r>
      <w:rPr>
        <w:sz w:val="20"/>
      </w:rPr>
      <w:tab/>
    </w:r>
  </w:p>
  <w:p w14:paraId="1FBB1CFB" w14:textId="24408A52" w:rsidR="004261EB" w:rsidRDefault="004261EB" w:rsidP="00784D58">
    <w:pPr>
      <w:pStyle w:val="Footer"/>
      <w:tabs>
        <w:tab w:val="clear" w:pos="4320"/>
        <w:tab w:val="clear" w:pos="8640"/>
        <w:tab w:val="center" w:pos="5040"/>
        <w:tab w:val="right" w:pos="9360"/>
        <w:tab w:val="right" w:pos="12960"/>
      </w:tabs>
      <w:ind w:right="360"/>
      <w:rPr>
        <w:sz w:val="20"/>
      </w:rPr>
    </w:pPr>
    <w:r>
      <w:rPr>
        <w:sz w:val="20"/>
      </w:rPr>
      <w:tab/>
      <w:t>User Guide Version 2.0</w:t>
    </w:r>
  </w:p>
  <w:p w14:paraId="2E4E4D45" w14:textId="209F3D74" w:rsidR="004261EB" w:rsidRDefault="004261EB" w:rsidP="00784D58">
    <w:pPr>
      <w:pStyle w:val="Footer"/>
      <w:tabs>
        <w:tab w:val="clear" w:pos="4320"/>
        <w:tab w:val="clear" w:pos="8640"/>
        <w:tab w:val="center" w:pos="5040"/>
        <w:tab w:val="right" w:pos="9360"/>
      </w:tabs>
      <w:ind w:right="360"/>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B0095" w14:textId="77777777" w:rsidR="004261EB" w:rsidRDefault="004261EB" w:rsidP="00F7279E">
    <w:pPr>
      <w:pStyle w:val="Footer"/>
      <w:tabs>
        <w:tab w:val="clear" w:pos="8640"/>
        <w:tab w:val="right" w:pos="9360"/>
      </w:tabs>
      <w:ind w:right="360"/>
      <w:rPr>
        <w:sz w:val="20"/>
      </w:rPr>
    </w:pPr>
  </w:p>
  <w:p w14:paraId="09F9950B" w14:textId="3C3B0404" w:rsidR="004261EB" w:rsidRDefault="004261EB" w:rsidP="00784D58">
    <w:pPr>
      <w:pStyle w:val="Footer"/>
      <w:tabs>
        <w:tab w:val="clear" w:pos="4320"/>
        <w:tab w:val="clear" w:pos="8640"/>
        <w:tab w:val="center" w:pos="5040"/>
        <w:tab w:val="right" w:pos="9360"/>
        <w:tab w:val="right" w:pos="12780"/>
        <w:tab w:val="right" w:pos="12960"/>
      </w:tabs>
      <w:ind w:right="360"/>
      <w:rPr>
        <w:sz w:val="20"/>
      </w:rPr>
    </w:pPr>
    <w:r>
      <w:rPr>
        <w:sz w:val="20"/>
      </w:rPr>
      <w:t>June 2019</w:t>
    </w:r>
    <w:r>
      <w:rPr>
        <w:sz w:val="20"/>
      </w:rPr>
      <w:tab/>
      <w:t>VistA Blood Establishment Computer Software (VBECS) Version 2.3.1</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12</w:t>
    </w:r>
    <w:r>
      <w:rPr>
        <w:sz w:val="20"/>
      </w:rPr>
      <w:fldChar w:fldCharType="end"/>
    </w:r>
    <w:r>
      <w:rPr>
        <w:sz w:val="20"/>
      </w:rPr>
      <w:tab/>
    </w:r>
  </w:p>
  <w:p w14:paraId="46D77A79" w14:textId="5DD873D5" w:rsidR="004261EB" w:rsidRDefault="004261EB" w:rsidP="00784D58">
    <w:pPr>
      <w:pStyle w:val="Footer"/>
      <w:tabs>
        <w:tab w:val="clear" w:pos="4320"/>
        <w:tab w:val="clear" w:pos="8640"/>
        <w:tab w:val="center" w:pos="5040"/>
        <w:tab w:val="right" w:pos="9360"/>
        <w:tab w:val="right" w:pos="12960"/>
      </w:tabs>
      <w:ind w:right="360"/>
      <w:rPr>
        <w:sz w:val="20"/>
      </w:rPr>
    </w:pPr>
    <w:r>
      <w:rPr>
        <w:sz w:val="20"/>
      </w:rPr>
      <w:tab/>
      <w:t>User Guide Version 2.0</w:t>
    </w:r>
  </w:p>
  <w:p w14:paraId="5A372246" w14:textId="7E43CC17" w:rsidR="004261EB" w:rsidRDefault="004261EB" w:rsidP="00784D58">
    <w:pPr>
      <w:pStyle w:val="Footer"/>
      <w:tabs>
        <w:tab w:val="clear" w:pos="4320"/>
        <w:tab w:val="clear" w:pos="8640"/>
        <w:tab w:val="center" w:pos="5040"/>
        <w:tab w:val="right" w:pos="9360"/>
      </w:tabs>
      <w:ind w:right="360"/>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0A036" w14:textId="77777777" w:rsidR="004261EB" w:rsidRDefault="004261EB" w:rsidP="00F7279E">
    <w:pPr>
      <w:pStyle w:val="Footer"/>
      <w:tabs>
        <w:tab w:val="clear" w:pos="8640"/>
        <w:tab w:val="right" w:pos="9360"/>
      </w:tabs>
      <w:ind w:right="360"/>
      <w:rPr>
        <w:sz w:val="20"/>
      </w:rPr>
    </w:pPr>
  </w:p>
  <w:p w14:paraId="43EEE313" w14:textId="77777777" w:rsidR="004261EB" w:rsidRDefault="004261EB" w:rsidP="00F7279E">
    <w:pPr>
      <w:pStyle w:val="Footer"/>
      <w:tabs>
        <w:tab w:val="clear" w:pos="8640"/>
        <w:tab w:val="right" w:pos="9360"/>
      </w:tabs>
      <w:ind w:right="360"/>
      <w:rPr>
        <w:sz w:val="20"/>
      </w:rPr>
    </w:pPr>
  </w:p>
  <w:p w14:paraId="52691F21" w14:textId="30B416FD" w:rsidR="004261EB" w:rsidRDefault="004261EB" w:rsidP="00784D58">
    <w:pPr>
      <w:pStyle w:val="Footer"/>
      <w:tabs>
        <w:tab w:val="clear" w:pos="4320"/>
        <w:tab w:val="clear" w:pos="8640"/>
        <w:tab w:val="center" w:pos="5040"/>
        <w:tab w:val="right" w:pos="9360"/>
        <w:tab w:val="right" w:pos="12780"/>
        <w:tab w:val="right" w:pos="12960"/>
      </w:tabs>
      <w:ind w:right="360"/>
      <w:rPr>
        <w:sz w:val="20"/>
      </w:rPr>
    </w:pPr>
    <w:r>
      <w:rPr>
        <w:sz w:val="20"/>
      </w:rPr>
      <w:t>June 2019</w:t>
    </w:r>
    <w:r>
      <w:rPr>
        <w:sz w:val="20"/>
      </w:rPr>
      <w:tab/>
      <w:t>VistA Blood Establishment Computer Software (VBECS) Version 2.3.1</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420</w:t>
    </w:r>
    <w:r>
      <w:rPr>
        <w:sz w:val="20"/>
      </w:rPr>
      <w:fldChar w:fldCharType="end"/>
    </w:r>
    <w:r>
      <w:rPr>
        <w:sz w:val="20"/>
      </w:rPr>
      <w:tab/>
    </w:r>
  </w:p>
  <w:p w14:paraId="25DC21B6" w14:textId="554544A1" w:rsidR="004261EB" w:rsidRDefault="004261EB" w:rsidP="00784D58">
    <w:pPr>
      <w:pStyle w:val="Footer"/>
      <w:tabs>
        <w:tab w:val="clear" w:pos="4320"/>
        <w:tab w:val="clear" w:pos="8640"/>
        <w:tab w:val="center" w:pos="5040"/>
        <w:tab w:val="right" w:pos="9360"/>
        <w:tab w:val="right" w:pos="12960"/>
      </w:tabs>
      <w:ind w:right="360"/>
      <w:rPr>
        <w:sz w:val="20"/>
      </w:rPr>
    </w:pPr>
    <w:r>
      <w:rPr>
        <w:sz w:val="20"/>
      </w:rPr>
      <w:tab/>
      <w:t>User Guide Version 2.0</w:t>
    </w:r>
  </w:p>
  <w:p w14:paraId="29A071A8" w14:textId="7A2401E1" w:rsidR="004261EB" w:rsidRDefault="004261EB" w:rsidP="00784D58">
    <w:pPr>
      <w:pStyle w:val="Footer"/>
      <w:tabs>
        <w:tab w:val="clear" w:pos="4320"/>
        <w:tab w:val="clear" w:pos="8640"/>
        <w:tab w:val="center" w:pos="5040"/>
        <w:tab w:val="right" w:pos="9360"/>
        <w:tab w:val="right" w:pos="12960"/>
      </w:tabs>
      <w:ind w:right="360"/>
      <w:rPr>
        <w:sz w:val="20"/>
      </w:rPr>
    </w:pPr>
  </w:p>
  <w:p w14:paraId="5775986A" w14:textId="6BC3347C" w:rsidR="004261EB" w:rsidRDefault="004261EB" w:rsidP="00784D58">
    <w:pPr>
      <w:pStyle w:val="Footer"/>
      <w:tabs>
        <w:tab w:val="clear" w:pos="4320"/>
        <w:tab w:val="clear" w:pos="8640"/>
        <w:tab w:val="center" w:pos="5040"/>
        <w:tab w:val="right" w:pos="9360"/>
      </w:tabs>
      <w:ind w:right="360"/>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D6797" w14:textId="77777777" w:rsidR="004261EB" w:rsidRDefault="004261EB" w:rsidP="00140686">
    <w:pPr>
      <w:pStyle w:val="Footer"/>
      <w:tabs>
        <w:tab w:val="clear" w:pos="4320"/>
        <w:tab w:val="clear" w:pos="8640"/>
        <w:tab w:val="center" w:pos="6480"/>
        <w:tab w:val="right" w:pos="12960"/>
      </w:tabs>
      <w:ind w:right="360"/>
      <w:rPr>
        <w:sz w:val="20"/>
      </w:rPr>
    </w:pPr>
  </w:p>
  <w:p w14:paraId="12FBCB06" w14:textId="77777777" w:rsidR="004261EB" w:rsidRDefault="004261EB" w:rsidP="00140686">
    <w:pPr>
      <w:pStyle w:val="Footer"/>
      <w:tabs>
        <w:tab w:val="clear" w:pos="4320"/>
        <w:tab w:val="clear" w:pos="8640"/>
        <w:tab w:val="center" w:pos="6480"/>
        <w:tab w:val="right" w:pos="12960"/>
      </w:tabs>
      <w:ind w:right="360"/>
      <w:rPr>
        <w:sz w:val="20"/>
      </w:rPr>
    </w:pPr>
  </w:p>
  <w:p w14:paraId="60A85D60" w14:textId="1BAD6BC4" w:rsidR="004261EB" w:rsidRDefault="004261EB" w:rsidP="00140686">
    <w:pPr>
      <w:pStyle w:val="Footer"/>
      <w:tabs>
        <w:tab w:val="clear" w:pos="4320"/>
        <w:tab w:val="clear" w:pos="8640"/>
        <w:tab w:val="center" w:pos="6480"/>
        <w:tab w:val="right" w:pos="12960"/>
      </w:tabs>
      <w:ind w:right="360"/>
      <w:rPr>
        <w:sz w:val="20"/>
      </w:rPr>
    </w:pPr>
    <w:r>
      <w:rPr>
        <w:sz w:val="20"/>
      </w:rPr>
      <w:t>June 2019</w:t>
    </w:r>
    <w:r>
      <w:rPr>
        <w:sz w:val="20"/>
      </w:rPr>
      <w:tab/>
    </w:r>
    <w:r w:rsidRPr="0085679C">
      <w:rPr>
        <w:sz w:val="20"/>
        <w:szCs w:val="20"/>
      </w:rPr>
      <w:t>VistA</w:t>
    </w:r>
    <w:r>
      <w:rPr>
        <w:sz w:val="20"/>
        <w:szCs w:val="20"/>
      </w:rPr>
      <w:t xml:space="preserve"> B</w:t>
    </w:r>
    <w:r w:rsidRPr="0085679C">
      <w:rPr>
        <w:sz w:val="20"/>
        <w:szCs w:val="20"/>
      </w:rPr>
      <w:t>loo</w:t>
    </w:r>
    <w:r>
      <w:rPr>
        <w:sz w:val="20"/>
      </w:rPr>
      <w:t>d Establishment Computer Software (VBECS) Version 2.3.1</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427</w:t>
    </w:r>
    <w:r>
      <w:rPr>
        <w:sz w:val="20"/>
      </w:rPr>
      <w:fldChar w:fldCharType="end"/>
    </w:r>
  </w:p>
  <w:p w14:paraId="36130E8E" w14:textId="32F4DEEC" w:rsidR="004261EB" w:rsidRDefault="004261EB" w:rsidP="00140686">
    <w:pPr>
      <w:pStyle w:val="Footer"/>
      <w:tabs>
        <w:tab w:val="clear" w:pos="4320"/>
        <w:tab w:val="clear" w:pos="8640"/>
        <w:tab w:val="center" w:pos="6480"/>
        <w:tab w:val="right" w:pos="12960"/>
      </w:tabs>
      <w:ind w:right="360"/>
      <w:rPr>
        <w:sz w:val="20"/>
      </w:rPr>
    </w:pPr>
    <w:r>
      <w:rPr>
        <w:sz w:val="20"/>
      </w:rPr>
      <w:tab/>
      <w:t>User Guide Version 2.0</w:t>
    </w:r>
  </w:p>
  <w:p w14:paraId="14223FE5" w14:textId="77777777" w:rsidR="004261EB" w:rsidRDefault="004261EB" w:rsidP="00536F22">
    <w:pPr>
      <w:pStyle w:val="Footer"/>
      <w:tabs>
        <w:tab w:val="clear" w:pos="8640"/>
        <w:tab w:val="right" w:pos="9360"/>
      </w:tabs>
      <w:ind w:right="360"/>
      <w:rPr>
        <w:sz w:val="20"/>
      </w:rPr>
    </w:pPr>
  </w:p>
  <w:p w14:paraId="00F9F3A9" w14:textId="77777777" w:rsidR="004261EB" w:rsidRDefault="004261EB" w:rsidP="00536F22">
    <w:pPr>
      <w:pStyle w:val="Footer"/>
      <w:tabs>
        <w:tab w:val="clear" w:pos="4320"/>
        <w:tab w:val="clear" w:pos="8640"/>
        <w:tab w:val="center" w:pos="6480"/>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BDFA5" w14:textId="77777777" w:rsidR="004261EB" w:rsidRDefault="004261EB" w:rsidP="00F304F2">
    <w:pPr>
      <w:pStyle w:val="Footer"/>
      <w:tabs>
        <w:tab w:val="clear" w:pos="8640"/>
        <w:tab w:val="right" w:pos="9360"/>
      </w:tabs>
      <w:ind w:right="360"/>
      <w:rPr>
        <w:sz w:val="20"/>
      </w:rPr>
    </w:pPr>
  </w:p>
  <w:p w14:paraId="1DAF85E3" w14:textId="77777777" w:rsidR="004261EB" w:rsidRDefault="004261EB" w:rsidP="00F304F2">
    <w:pPr>
      <w:pStyle w:val="Footer"/>
      <w:tabs>
        <w:tab w:val="clear" w:pos="8640"/>
        <w:tab w:val="right" w:pos="9360"/>
      </w:tabs>
      <w:ind w:right="360"/>
      <w:rPr>
        <w:sz w:val="20"/>
      </w:rPr>
    </w:pPr>
  </w:p>
  <w:p w14:paraId="71B01573" w14:textId="7131ADAB" w:rsidR="004261EB" w:rsidRDefault="004261EB" w:rsidP="00F304F2">
    <w:pPr>
      <w:pStyle w:val="Footer"/>
      <w:tabs>
        <w:tab w:val="clear" w:pos="4320"/>
        <w:tab w:val="clear" w:pos="8640"/>
        <w:tab w:val="center" w:pos="5040"/>
        <w:tab w:val="right" w:pos="9360"/>
      </w:tabs>
      <w:ind w:right="360"/>
      <w:rPr>
        <w:sz w:val="20"/>
      </w:rPr>
    </w:pPr>
    <w:r>
      <w:rPr>
        <w:sz w:val="20"/>
      </w:rPr>
      <w:t>June 2019</w:t>
    </w:r>
    <w:r>
      <w:rPr>
        <w:sz w:val="20"/>
      </w:rPr>
      <w:tab/>
    </w:r>
    <w:r w:rsidRPr="0085679C">
      <w:rPr>
        <w:sz w:val="20"/>
        <w:szCs w:val="20"/>
      </w:rPr>
      <w:t>VistA</w:t>
    </w:r>
    <w:r>
      <w:rPr>
        <w:sz w:val="20"/>
        <w:szCs w:val="20"/>
      </w:rPr>
      <w:t xml:space="preserve"> B</w:t>
    </w:r>
    <w:r w:rsidRPr="0085679C">
      <w:rPr>
        <w:sz w:val="20"/>
        <w:szCs w:val="20"/>
      </w:rPr>
      <w:t>loo</w:t>
    </w:r>
    <w:r>
      <w:rPr>
        <w:sz w:val="20"/>
      </w:rPr>
      <w:t>d Establishment Computer Software (VBECS) Version 2.3.1</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443</w:t>
    </w:r>
    <w:r>
      <w:rPr>
        <w:sz w:val="20"/>
      </w:rPr>
      <w:fldChar w:fldCharType="end"/>
    </w:r>
  </w:p>
  <w:p w14:paraId="0B33E1A1" w14:textId="0F827FBD" w:rsidR="004261EB" w:rsidRDefault="004261EB" w:rsidP="00DA7E29">
    <w:pPr>
      <w:pStyle w:val="Footer"/>
      <w:tabs>
        <w:tab w:val="clear" w:pos="4320"/>
        <w:tab w:val="clear" w:pos="8640"/>
        <w:tab w:val="center" w:pos="5040"/>
        <w:tab w:val="right" w:pos="12960"/>
      </w:tabs>
      <w:ind w:right="360"/>
      <w:rPr>
        <w:sz w:val="20"/>
      </w:rPr>
    </w:pPr>
    <w:r>
      <w:rPr>
        <w:sz w:val="20"/>
      </w:rPr>
      <w:tab/>
      <w:t>User Guide Version 2.0</w:t>
    </w:r>
  </w:p>
  <w:p w14:paraId="606392E9" w14:textId="77777777" w:rsidR="004261EB" w:rsidRDefault="004261EB" w:rsidP="00536F22">
    <w:pPr>
      <w:pStyle w:val="Footer"/>
      <w:tabs>
        <w:tab w:val="clear" w:pos="4320"/>
        <w:tab w:val="clear" w:pos="8640"/>
        <w:tab w:val="center" w:pos="6480"/>
      </w:tabs>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77AF7" w14:textId="77777777" w:rsidR="004261EB" w:rsidRDefault="004261EB">
    <w:pPr>
      <w:pStyle w:val="Footer"/>
      <w:tabs>
        <w:tab w:val="clear" w:pos="8640"/>
        <w:tab w:val="right" w:pos="12600"/>
      </w:tabs>
      <w:ind w:right="360"/>
      <w:rPr>
        <w:sz w:val="20"/>
      </w:rPr>
    </w:pPr>
  </w:p>
  <w:p w14:paraId="66B52DB2" w14:textId="77777777" w:rsidR="004261EB" w:rsidRDefault="004261EB">
    <w:pPr>
      <w:pStyle w:val="Footer"/>
      <w:tabs>
        <w:tab w:val="clear" w:pos="8640"/>
        <w:tab w:val="right" w:pos="9360"/>
      </w:tabs>
      <w:ind w:right="360"/>
      <w:rPr>
        <w:sz w:val="20"/>
      </w:rPr>
    </w:pPr>
  </w:p>
  <w:p w14:paraId="4FA6E8F2" w14:textId="759B1B41" w:rsidR="004261EB" w:rsidRDefault="004261EB" w:rsidP="000753FE">
    <w:pPr>
      <w:pStyle w:val="Footer"/>
      <w:tabs>
        <w:tab w:val="clear" w:pos="4320"/>
        <w:tab w:val="clear" w:pos="8640"/>
        <w:tab w:val="center" w:pos="5040"/>
        <w:tab w:val="right" w:pos="9360"/>
        <w:tab w:val="right" w:pos="12960"/>
      </w:tabs>
      <w:ind w:right="360"/>
      <w:rPr>
        <w:sz w:val="20"/>
      </w:rPr>
    </w:pPr>
    <w:r>
      <w:rPr>
        <w:sz w:val="20"/>
      </w:rPr>
      <w:t>June 2019</w:t>
    </w:r>
    <w:r>
      <w:rPr>
        <w:sz w:val="20"/>
      </w:rPr>
      <w:tab/>
      <w:t>VistA Blood Establishment Computer Software (VBECS) Version 2.3.1</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519</w:t>
    </w:r>
    <w:r>
      <w:rPr>
        <w:sz w:val="20"/>
      </w:rPr>
      <w:fldChar w:fldCharType="end"/>
    </w:r>
    <w:r>
      <w:rPr>
        <w:sz w:val="20"/>
      </w:rPr>
      <w:tab/>
    </w:r>
  </w:p>
  <w:p w14:paraId="5143593D" w14:textId="2552B58F" w:rsidR="004261EB" w:rsidRDefault="004261EB" w:rsidP="000753FE">
    <w:pPr>
      <w:pStyle w:val="Footer"/>
      <w:tabs>
        <w:tab w:val="clear" w:pos="4320"/>
        <w:tab w:val="clear" w:pos="8640"/>
        <w:tab w:val="center" w:pos="5040"/>
        <w:tab w:val="right" w:pos="9360"/>
      </w:tabs>
      <w:ind w:right="360"/>
      <w:rPr>
        <w:sz w:val="20"/>
      </w:rPr>
    </w:pPr>
    <w:r>
      <w:rPr>
        <w:sz w:val="20"/>
      </w:rPr>
      <w:tab/>
      <w:t>User Guide Version 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FB2B79" w14:textId="77777777" w:rsidR="004261EB" w:rsidRDefault="004261EB">
      <w:r>
        <w:separator/>
      </w:r>
    </w:p>
  </w:footnote>
  <w:footnote w:type="continuationSeparator" w:id="0">
    <w:p w14:paraId="4E9933A3" w14:textId="77777777" w:rsidR="004261EB" w:rsidRDefault="004261EB">
      <w:r>
        <w:continuationSeparator/>
      </w:r>
    </w:p>
  </w:footnote>
  <w:footnote w:id="1">
    <w:p w14:paraId="4CEEF123" w14:textId="77777777" w:rsidR="004261EB" w:rsidRDefault="004261EB">
      <w:pPr>
        <w:pStyle w:val="FootnoteText"/>
      </w:pPr>
      <w:r>
        <w:rPr>
          <w:rStyle w:val="FootnoteReference"/>
        </w:rPr>
        <w:footnoteRef/>
      </w:r>
      <w:r>
        <w:t xml:space="preserve"> There is a slight difference in terminology b</w:t>
      </w:r>
      <w:r w:rsidRPr="00670304">
        <w:t>etween VistA and VBECS: VistA us</w:t>
      </w:r>
      <w:r>
        <w:t>es “log on” and “logon,” and VBECS uses “log in” and “login.” Therefore, both terms are used throughout this guide. “Log in” and “login” are used generically when referring to both systems at one time.</w:t>
      </w:r>
    </w:p>
  </w:footnote>
  <w:footnote w:id="2">
    <w:p w14:paraId="05A59DC4" w14:textId="77777777" w:rsidR="004261EB" w:rsidRDefault="004261EB" w:rsidP="00F462A4">
      <w:pPr>
        <w:pStyle w:val="FootnoteText"/>
      </w:pPr>
      <w:r>
        <w:rPr>
          <w:rStyle w:val="FootnoteReference"/>
        </w:rPr>
        <w:footnoteRef/>
      </w:r>
      <w:r>
        <w:t xml:space="preserve"> </w:t>
      </w:r>
      <w:r w:rsidRPr="006D284D">
        <w:t>See FAQ Proper Use of PIV Card with VBE</w:t>
      </w:r>
      <w:r>
        <w:t>CS</w:t>
      </w:r>
    </w:p>
  </w:footnote>
  <w:footnote w:id="3">
    <w:p w14:paraId="3DA217B5" w14:textId="77777777" w:rsidR="004261EB" w:rsidRDefault="004261EB">
      <w:pPr>
        <w:pStyle w:val="FootnoteText"/>
      </w:pPr>
      <w:r>
        <w:rPr>
          <w:rStyle w:val="FootnoteReference"/>
        </w:rPr>
        <w:footnoteRef/>
      </w:r>
      <w:r>
        <w:t xml:space="preserve"> Larger versions of these icons appear throughout VBECS in the corresponding option windows. They cannot be used to access options.</w:t>
      </w:r>
    </w:p>
  </w:footnote>
  <w:footnote w:id="4">
    <w:p w14:paraId="0E745ABE" w14:textId="77777777" w:rsidR="004261EB" w:rsidRDefault="004261EB" w:rsidP="00F60A24">
      <w:pPr>
        <w:rPr>
          <w:rFonts w:ascii="Arial Bold" w:hAnsi="Arial Bold"/>
        </w:rPr>
      </w:pPr>
      <w:r>
        <w:rPr>
          <w:rStyle w:val="FootnoteReference"/>
        </w:rPr>
        <w:footnoteRef/>
      </w:r>
      <w:r>
        <w:t xml:space="preserve"> </w:t>
      </w:r>
      <w:r w:rsidRPr="00F60A24">
        <w:rPr>
          <w:spacing w:val="-5"/>
          <w:sz w:val="20"/>
          <w:szCs w:val="20"/>
        </w:rPr>
        <w:t xml:space="preserve">Active: VBECS order that is not rejected, canceled or completed.  When the patient update is received and the order is ‘active’, the update is displayed </w:t>
      </w:r>
      <w:r>
        <w:rPr>
          <w:spacing w:val="-5"/>
          <w:sz w:val="20"/>
          <w:szCs w:val="20"/>
        </w:rPr>
        <w:t xml:space="preserve"> </w:t>
      </w:r>
      <w:r w:rsidRPr="00F60A24">
        <w:rPr>
          <w:spacing w:val="-5"/>
          <w:sz w:val="20"/>
          <w:szCs w:val="20"/>
        </w:rPr>
        <w:t>regardless of order cancelation until it is viewed by a VBECS user.</w:t>
      </w:r>
    </w:p>
    <w:p w14:paraId="20C9D24A" w14:textId="77777777" w:rsidR="004261EB" w:rsidRDefault="004261EB">
      <w:pPr>
        <w:pStyle w:val="FootnoteText"/>
      </w:pPr>
    </w:p>
  </w:footnote>
  <w:footnote w:id="5">
    <w:p w14:paraId="79951B40" w14:textId="77777777" w:rsidR="004261EB" w:rsidRDefault="004261EB" w:rsidP="004A6408">
      <w:pPr>
        <w:pStyle w:val="FootnoteText"/>
      </w:pPr>
      <w:r>
        <w:rPr>
          <w:rStyle w:val="FootnoteReference"/>
        </w:rPr>
        <w:footnoteRef/>
      </w:r>
      <w:r>
        <w:t xml:space="preserve"> Room Temperature/Immediate Spin</w:t>
      </w:r>
    </w:p>
  </w:footnote>
  <w:footnote w:id="6">
    <w:p w14:paraId="68435332" w14:textId="77777777" w:rsidR="004261EB" w:rsidRDefault="004261EB" w:rsidP="004A6408">
      <w:pPr>
        <w:pStyle w:val="FootnoteText"/>
      </w:pPr>
      <w:r>
        <w:rPr>
          <w:rStyle w:val="FootnoteReference"/>
        </w:rPr>
        <w:footnoteRef/>
      </w:r>
      <w:r>
        <w:t xml:space="preserve"> Anti-Human Globulin</w:t>
      </w:r>
    </w:p>
  </w:footnote>
  <w:footnote w:id="7">
    <w:p w14:paraId="79DB8332" w14:textId="77777777" w:rsidR="004261EB" w:rsidRDefault="004261EB" w:rsidP="004A6408">
      <w:pPr>
        <w:pStyle w:val="FootnoteText"/>
      </w:pPr>
      <w:r>
        <w:rPr>
          <w:rStyle w:val="FootnoteReference"/>
        </w:rPr>
        <w:footnoteRef/>
      </w:r>
      <w:r>
        <w:t xml:space="preserve"> Coated cell</w:t>
      </w:r>
    </w:p>
  </w:footnote>
  <w:footnote w:id="8">
    <w:p w14:paraId="754513CA" w14:textId="77777777" w:rsidR="004261EB" w:rsidRDefault="004261EB" w:rsidP="002369C9">
      <w:pPr>
        <w:rPr>
          <w:rFonts w:ascii="Arial Bold" w:hAnsi="Arial Bold"/>
        </w:rPr>
      </w:pPr>
      <w:r>
        <w:rPr>
          <w:rStyle w:val="FootnoteReference"/>
        </w:rPr>
        <w:footnoteRef/>
      </w:r>
      <w:r>
        <w:t xml:space="preserve"> </w:t>
      </w:r>
      <w:r w:rsidRPr="00F60A24">
        <w:rPr>
          <w:spacing w:val="-5"/>
          <w:sz w:val="20"/>
          <w:szCs w:val="20"/>
        </w:rPr>
        <w:t xml:space="preserve">Active: VBECS order that is not rejected, canceled or completed.  When the patient update is received and the order is ‘active’, the update is displayed </w:t>
      </w:r>
      <w:r>
        <w:rPr>
          <w:spacing w:val="-5"/>
          <w:sz w:val="20"/>
          <w:szCs w:val="20"/>
        </w:rPr>
        <w:t xml:space="preserve"> </w:t>
      </w:r>
      <w:r w:rsidRPr="00F60A24">
        <w:rPr>
          <w:spacing w:val="-5"/>
          <w:sz w:val="20"/>
          <w:szCs w:val="20"/>
        </w:rPr>
        <w:t>regardless of order cancelation until it is viewed by a VBECS user.</w:t>
      </w:r>
    </w:p>
    <w:p w14:paraId="76152BAF" w14:textId="77777777" w:rsidR="004261EB" w:rsidRDefault="004261EB" w:rsidP="002369C9">
      <w:pPr>
        <w:pStyle w:val="FootnoteText"/>
      </w:pPr>
    </w:p>
  </w:footnote>
  <w:footnote w:id="9">
    <w:p w14:paraId="2539C9CB" w14:textId="77777777" w:rsidR="004261EB" w:rsidRDefault="004261EB" w:rsidP="002F6D7B">
      <w:pPr>
        <w:numPr>
          <w:ilvl w:val="0"/>
          <w:numId w:val="13"/>
        </w:numPr>
        <w:tabs>
          <w:tab w:val="clear" w:pos="720"/>
        </w:tabs>
        <w:spacing w:before="100" w:beforeAutospacing="1" w:after="100" w:afterAutospacing="1"/>
        <w:ind w:left="135"/>
      </w:pPr>
      <w:r>
        <w:rPr>
          <w:rStyle w:val="FootnoteReference"/>
        </w:rPr>
        <w:footnoteRef/>
      </w:r>
      <w:r>
        <w:t xml:space="preserve"> </w:t>
      </w:r>
      <w:r w:rsidRPr="00BE2EB7">
        <w:rPr>
          <w:sz w:val="20"/>
          <w:szCs w:val="20"/>
        </w:rPr>
        <w:t xml:space="preserve">To make a copy of the active window, press </w:t>
      </w:r>
      <w:r w:rsidRPr="00BE2EB7">
        <w:rPr>
          <w:b/>
          <w:bCs/>
          <w:sz w:val="20"/>
          <w:szCs w:val="20"/>
        </w:rPr>
        <w:t>Alt+Print Screen</w:t>
      </w:r>
      <w:r w:rsidRPr="00BE2EB7">
        <w:rPr>
          <w:sz w:val="20"/>
          <w:szCs w:val="20"/>
        </w:rPr>
        <w:t xml:space="preserve">. To copy the entire screen as it appears on your monitor, press </w:t>
      </w:r>
      <w:r w:rsidRPr="00BE2EB7">
        <w:rPr>
          <w:b/>
          <w:bCs/>
          <w:sz w:val="20"/>
          <w:szCs w:val="20"/>
        </w:rPr>
        <w:t>Print Screen</w:t>
      </w:r>
      <w:r w:rsidRPr="00BE2EB7">
        <w:rPr>
          <w:sz w:val="20"/>
          <w:szCs w:val="20"/>
        </w:rPr>
        <w:t xml:space="preserve">. To paste the image into a file in an Office program, open the file you want to paste the image into, click </w:t>
      </w:r>
      <w:r w:rsidRPr="00BE2EB7">
        <w:rPr>
          <w:b/>
          <w:bCs/>
          <w:sz w:val="20"/>
          <w:szCs w:val="20"/>
        </w:rPr>
        <w:t>Edit</w:t>
      </w:r>
      <w:r w:rsidRPr="00BE2EB7">
        <w:rPr>
          <w:sz w:val="20"/>
          <w:szCs w:val="20"/>
        </w:rPr>
        <w:t xml:space="preserve">, and then click </w:t>
      </w:r>
      <w:r w:rsidRPr="00BE2EB7">
        <w:rPr>
          <w:b/>
          <w:bCs/>
          <w:sz w:val="20"/>
          <w:szCs w:val="20"/>
        </w:rPr>
        <w:t>Paste</w:t>
      </w:r>
      <w:r w:rsidRPr="00BE2EB7">
        <w:rPr>
          <w:sz w:val="20"/>
          <w:szCs w:val="20"/>
        </w:rPr>
        <w:t xml:space="preserve">. </w:t>
      </w:r>
    </w:p>
  </w:footnote>
  <w:footnote w:id="10">
    <w:p w14:paraId="34FF35E8" w14:textId="77777777" w:rsidR="004261EB" w:rsidRDefault="004261EB" w:rsidP="002E3C00">
      <w:pPr>
        <w:pStyle w:val="FootnoteText"/>
      </w:pPr>
      <w:r>
        <w:rPr>
          <w:rStyle w:val="FootnoteReference"/>
        </w:rPr>
        <w:footnoteRef/>
      </w:r>
      <w:r>
        <w:t xml:space="preserve"> Default is </w:t>
      </w:r>
      <w:r w:rsidRPr="007121BA">
        <w:t>270</w:t>
      </w:r>
      <w:r>
        <w:t xml:space="preserve"> minutes (4 hours, 30 minutes).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5CA23" w14:textId="77777777" w:rsidR="004261EB" w:rsidRDefault="004261EB">
    <w:pPr>
      <w:pStyle w:val="Header"/>
      <w:jc w:val="center"/>
      <w:rPr>
        <w:rFonts w:ascii="Arial" w:hAnsi="Arial" w:cs="Arial"/>
        <w:i/>
      </w:rPr>
    </w:pPr>
  </w:p>
  <w:p w14:paraId="226862E1" w14:textId="77777777" w:rsidR="004261EB" w:rsidRDefault="004261EB">
    <w:pPr>
      <w:pStyle w:val="Header"/>
      <w:jc w:val="center"/>
    </w:pPr>
  </w:p>
  <w:p w14:paraId="19A61421" w14:textId="77777777" w:rsidR="004261EB" w:rsidRDefault="004261EB">
    <w:pPr>
      <w:pStyle w:val="Header"/>
      <w:jc w:val="center"/>
    </w:pPr>
  </w:p>
  <w:p w14:paraId="135EE6EB" w14:textId="77777777" w:rsidR="004261EB" w:rsidRDefault="004261EB">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5C6AA" w14:textId="77777777" w:rsidR="004261EB" w:rsidRDefault="004261EB">
    <w:pPr>
      <w:pStyle w:val="Header"/>
      <w:jc w:val="center"/>
      <w:rPr>
        <w:rFonts w:ascii="Arial" w:hAnsi="Arial" w:cs="Arial"/>
        <w:i/>
      </w:rPr>
    </w:pPr>
  </w:p>
  <w:p w14:paraId="73D33D40" w14:textId="77777777" w:rsidR="004261EB" w:rsidRDefault="004261EB">
    <w:pPr>
      <w:pStyle w:val="Header"/>
      <w:jc w:val="center"/>
    </w:pPr>
  </w:p>
  <w:p w14:paraId="09E1A3C2" w14:textId="77777777" w:rsidR="004261EB" w:rsidRDefault="004261EB">
    <w:pPr>
      <w:pStyle w:val="Header"/>
      <w:jc w:val="center"/>
    </w:pPr>
  </w:p>
  <w:p w14:paraId="30540558" w14:textId="77777777" w:rsidR="004261EB" w:rsidRDefault="004261EB">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EE0D0" w14:textId="77777777" w:rsidR="004261EB" w:rsidRDefault="004261EB" w:rsidP="001971FE">
    <w:pPr>
      <w:pStyle w:val="Header"/>
      <w:jc w:val="center"/>
      <w:rPr>
        <w:rFonts w:ascii="Arial" w:hAnsi="Arial" w:cs="Arial"/>
        <w:i/>
      </w:rPr>
    </w:pPr>
  </w:p>
  <w:p w14:paraId="55C3433C" w14:textId="77777777" w:rsidR="004261EB" w:rsidRDefault="004261EB" w:rsidP="001971FE">
    <w:pPr>
      <w:pStyle w:val="Header"/>
      <w:jc w:val="center"/>
    </w:pPr>
  </w:p>
  <w:p w14:paraId="3EF72D10" w14:textId="77777777" w:rsidR="004261EB" w:rsidRDefault="004261EB">
    <w:pPr>
      <w:pStyle w:val="Header"/>
      <w:jc w:val="center"/>
    </w:pPr>
  </w:p>
  <w:p w14:paraId="2B88979B" w14:textId="77777777" w:rsidR="004261EB" w:rsidRDefault="004261EB">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6E886" w14:textId="77777777" w:rsidR="004261EB" w:rsidRDefault="004261EB" w:rsidP="001971FE">
    <w:pPr>
      <w:pStyle w:val="Header"/>
      <w:jc w:val="center"/>
      <w:rPr>
        <w:rFonts w:ascii="Arial" w:hAnsi="Arial" w:cs="Arial"/>
        <w:i/>
      </w:rPr>
    </w:pPr>
  </w:p>
  <w:p w14:paraId="5E934C06" w14:textId="77777777" w:rsidR="004261EB" w:rsidRDefault="004261EB" w:rsidP="001971FE">
    <w:pPr>
      <w:pStyle w:val="Header"/>
      <w:jc w:val="center"/>
    </w:pPr>
  </w:p>
  <w:p w14:paraId="53D85905" w14:textId="77777777" w:rsidR="004261EB" w:rsidRDefault="004261EB">
    <w:pPr>
      <w:pStyle w:val="Header"/>
      <w:jc w:val="center"/>
    </w:pPr>
  </w:p>
  <w:p w14:paraId="2DDC02AA" w14:textId="77777777" w:rsidR="004261EB" w:rsidRDefault="004261EB">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EDAAC" w14:textId="77777777" w:rsidR="004261EB" w:rsidRDefault="004261E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70CFF" w14:textId="77777777" w:rsidR="004261EB" w:rsidRDefault="00426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4613CC0"/>
    <w:multiLevelType w:val="hybridMultilevel"/>
    <w:tmpl w:val="9B14D6CC"/>
    <w:lvl w:ilvl="0" w:tplc="EB7C977E">
      <w:start w:val="1"/>
      <w:numFmt w:val="bullet"/>
      <w:pStyle w:val="GlossaryTableTextBullets"/>
      <w:lvlText w:val=""/>
      <w:lvlJc w:val="left"/>
      <w:pPr>
        <w:tabs>
          <w:tab w:val="num" w:pos="648"/>
        </w:tabs>
        <w:ind w:left="648" w:hanging="288"/>
      </w:pPr>
      <w:rPr>
        <w:rFonts w:ascii="Symbol" w:hAnsi="Symbol" w:hint="default"/>
        <w:sz w:val="18"/>
        <w:szCs w:val="18"/>
      </w:rPr>
    </w:lvl>
    <w:lvl w:ilvl="1" w:tplc="46A45A12" w:tentative="1">
      <w:start w:val="1"/>
      <w:numFmt w:val="bullet"/>
      <w:lvlText w:val="o"/>
      <w:lvlJc w:val="left"/>
      <w:pPr>
        <w:tabs>
          <w:tab w:val="num" w:pos="1800"/>
        </w:tabs>
        <w:ind w:left="1800" w:hanging="360"/>
      </w:pPr>
      <w:rPr>
        <w:rFonts w:ascii="Courier New" w:hAnsi="Courier New" w:cs="Courier New" w:hint="default"/>
      </w:rPr>
    </w:lvl>
    <w:lvl w:ilvl="2" w:tplc="E4DA0104" w:tentative="1">
      <w:start w:val="1"/>
      <w:numFmt w:val="bullet"/>
      <w:lvlText w:val=""/>
      <w:lvlJc w:val="left"/>
      <w:pPr>
        <w:tabs>
          <w:tab w:val="num" w:pos="2520"/>
        </w:tabs>
        <w:ind w:left="2520" w:hanging="360"/>
      </w:pPr>
      <w:rPr>
        <w:rFonts w:ascii="Wingdings" w:hAnsi="Wingdings" w:hint="default"/>
      </w:rPr>
    </w:lvl>
    <w:lvl w:ilvl="3" w:tplc="60B8E00C" w:tentative="1">
      <w:start w:val="1"/>
      <w:numFmt w:val="bullet"/>
      <w:lvlText w:val=""/>
      <w:lvlJc w:val="left"/>
      <w:pPr>
        <w:tabs>
          <w:tab w:val="num" w:pos="3240"/>
        </w:tabs>
        <w:ind w:left="3240" w:hanging="360"/>
      </w:pPr>
      <w:rPr>
        <w:rFonts w:ascii="Symbol" w:hAnsi="Symbol" w:hint="default"/>
      </w:rPr>
    </w:lvl>
    <w:lvl w:ilvl="4" w:tplc="CE0E6B90" w:tentative="1">
      <w:start w:val="1"/>
      <w:numFmt w:val="bullet"/>
      <w:lvlText w:val="o"/>
      <w:lvlJc w:val="left"/>
      <w:pPr>
        <w:tabs>
          <w:tab w:val="num" w:pos="3960"/>
        </w:tabs>
        <w:ind w:left="3960" w:hanging="360"/>
      </w:pPr>
      <w:rPr>
        <w:rFonts w:ascii="Courier New" w:hAnsi="Courier New" w:cs="Courier New" w:hint="default"/>
      </w:rPr>
    </w:lvl>
    <w:lvl w:ilvl="5" w:tplc="0456914E" w:tentative="1">
      <w:start w:val="1"/>
      <w:numFmt w:val="bullet"/>
      <w:lvlText w:val=""/>
      <w:lvlJc w:val="left"/>
      <w:pPr>
        <w:tabs>
          <w:tab w:val="num" w:pos="4680"/>
        </w:tabs>
        <w:ind w:left="4680" w:hanging="360"/>
      </w:pPr>
      <w:rPr>
        <w:rFonts w:ascii="Wingdings" w:hAnsi="Wingdings" w:hint="default"/>
      </w:rPr>
    </w:lvl>
    <w:lvl w:ilvl="6" w:tplc="F47E236E" w:tentative="1">
      <w:start w:val="1"/>
      <w:numFmt w:val="bullet"/>
      <w:lvlText w:val=""/>
      <w:lvlJc w:val="left"/>
      <w:pPr>
        <w:tabs>
          <w:tab w:val="num" w:pos="5400"/>
        </w:tabs>
        <w:ind w:left="5400" w:hanging="360"/>
      </w:pPr>
      <w:rPr>
        <w:rFonts w:ascii="Symbol" w:hAnsi="Symbol" w:hint="default"/>
      </w:rPr>
    </w:lvl>
    <w:lvl w:ilvl="7" w:tplc="B2946EFE" w:tentative="1">
      <w:start w:val="1"/>
      <w:numFmt w:val="bullet"/>
      <w:lvlText w:val="o"/>
      <w:lvlJc w:val="left"/>
      <w:pPr>
        <w:tabs>
          <w:tab w:val="num" w:pos="6120"/>
        </w:tabs>
        <w:ind w:left="6120" w:hanging="360"/>
      </w:pPr>
      <w:rPr>
        <w:rFonts w:ascii="Courier New" w:hAnsi="Courier New" w:cs="Courier New" w:hint="default"/>
      </w:rPr>
    </w:lvl>
    <w:lvl w:ilvl="8" w:tplc="A106DE50"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4EE5285"/>
    <w:multiLevelType w:val="hybridMultilevel"/>
    <w:tmpl w:val="216A64B4"/>
    <w:lvl w:ilvl="0" w:tplc="673E15CA">
      <w:start w:val="1"/>
      <w:numFmt w:val="bullet"/>
      <w:pStyle w:val="TableTextBullet"/>
      <w:lvlText w:val=""/>
      <w:lvlJc w:val="left"/>
      <w:pPr>
        <w:tabs>
          <w:tab w:val="num" w:pos="288"/>
        </w:tabs>
        <w:ind w:left="288" w:hanging="288"/>
      </w:pPr>
      <w:rPr>
        <w:rFonts w:ascii="Symbol" w:hAnsi="Symbol" w:hint="default"/>
        <w:sz w:val="18"/>
        <w:szCs w:val="18"/>
      </w:rPr>
    </w:lvl>
    <w:lvl w:ilvl="1" w:tplc="67C44AEA">
      <w:start w:val="1"/>
      <w:numFmt w:val="bullet"/>
      <w:lvlText w:val="o"/>
      <w:lvlJc w:val="left"/>
      <w:pPr>
        <w:tabs>
          <w:tab w:val="num" w:pos="1440"/>
        </w:tabs>
        <w:ind w:left="1440" w:hanging="360"/>
      </w:pPr>
      <w:rPr>
        <w:rFonts w:ascii="Courier New" w:hAnsi="Courier New" w:cs="Courier New" w:hint="default"/>
      </w:rPr>
    </w:lvl>
    <w:lvl w:ilvl="2" w:tplc="7EEA7A9A" w:tentative="1">
      <w:start w:val="1"/>
      <w:numFmt w:val="bullet"/>
      <w:lvlText w:val=""/>
      <w:lvlJc w:val="left"/>
      <w:pPr>
        <w:tabs>
          <w:tab w:val="num" w:pos="2160"/>
        </w:tabs>
        <w:ind w:left="2160" w:hanging="360"/>
      </w:pPr>
      <w:rPr>
        <w:rFonts w:ascii="Wingdings" w:hAnsi="Wingdings" w:hint="default"/>
      </w:rPr>
    </w:lvl>
    <w:lvl w:ilvl="3" w:tplc="F5A8D8F0" w:tentative="1">
      <w:start w:val="1"/>
      <w:numFmt w:val="bullet"/>
      <w:lvlText w:val=""/>
      <w:lvlJc w:val="left"/>
      <w:pPr>
        <w:tabs>
          <w:tab w:val="num" w:pos="2880"/>
        </w:tabs>
        <w:ind w:left="2880" w:hanging="360"/>
      </w:pPr>
      <w:rPr>
        <w:rFonts w:ascii="Symbol" w:hAnsi="Symbol" w:hint="default"/>
      </w:rPr>
    </w:lvl>
    <w:lvl w:ilvl="4" w:tplc="00E249A6" w:tentative="1">
      <w:start w:val="1"/>
      <w:numFmt w:val="bullet"/>
      <w:lvlText w:val="o"/>
      <w:lvlJc w:val="left"/>
      <w:pPr>
        <w:tabs>
          <w:tab w:val="num" w:pos="3600"/>
        </w:tabs>
        <w:ind w:left="3600" w:hanging="360"/>
      </w:pPr>
      <w:rPr>
        <w:rFonts w:ascii="Courier New" w:hAnsi="Courier New" w:cs="Courier New" w:hint="default"/>
      </w:rPr>
    </w:lvl>
    <w:lvl w:ilvl="5" w:tplc="DBFA9252" w:tentative="1">
      <w:start w:val="1"/>
      <w:numFmt w:val="bullet"/>
      <w:lvlText w:val=""/>
      <w:lvlJc w:val="left"/>
      <w:pPr>
        <w:tabs>
          <w:tab w:val="num" w:pos="4320"/>
        </w:tabs>
        <w:ind w:left="4320" w:hanging="360"/>
      </w:pPr>
      <w:rPr>
        <w:rFonts w:ascii="Wingdings" w:hAnsi="Wingdings" w:hint="default"/>
      </w:rPr>
    </w:lvl>
    <w:lvl w:ilvl="6" w:tplc="FC06345E" w:tentative="1">
      <w:start w:val="1"/>
      <w:numFmt w:val="bullet"/>
      <w:lvlText w:val=""/>
      <w:lvlJc w:val="left"/>
      <w:pPr>
        <w:tabs>
          <w:tab w:val="num" w:pos="5040"/>
        </w:tabs>
        <w:ind w:left="5040" w:hanging="360"/>
      </w:pPr>
      <w:rPr>
        <w:rFonts w:ascii="Symbol" w:hAnsi="Symbol" w:hint="default"/>
      </w:rPr>
    </w:lvl>
    <w:lvl w:ilvl="7" w:tplc="61CE7C36" w:tentative="1">
      <w:start w:val="1"/>
      <w:numFmt w:val="bullet"/>
      <w:lvlText w:val="o"/>
      <w:lvlJc w:val="left"/>
      <w:pPr>
        <w:tabs>
          <w:tab w:val="num" w:pos="5760"/>
        </w:tabs>
        <w:ind w:left="5760" w:hanging="360"/>
      </w:pPr>
      <w:rPr>
        <w:rFonts w:ascii="Courier New" w:hAnsi="Courier New" w:cs="Courier New" w:hint="default"/>
      </w:rPr>
    </w:lvl>
    <w:lvl w:ilvl="8" w:tplc="8D64A24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7843AB"/>
    <w:multiLevelType w:val="hybridMultilevel"/>
    <w:tmpl w:val="77E4C056"/>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3" w15:restartNumberingAfterBreak="0">
    <w:nsid w:val="0C217292"/>
    <w:multiLevelType w:val="hybridMultilevel"/>
    <w:tmpl w:val="AD3C43EC"/>
    <w:lvl w:ilvl="0" w:tplc="FFFFFFFF">
      <w:start w:val="1"/>
      <w:numFmt w:val="bullet"/>
      <w:lvlText w:val=""/>
      <w:lvlJc w:val="left"/>
      <w:pPr>
        <w:tabs>
          <w:tab w:val="num" w:pos="360"/>
        </w:tabs>
        <w:ind w:left="360" w:hanging="360"/>
      </w:pPr>
      <w:rPr>
        <w:rFonts w:ascii="Symbol" w:hAnsi="Symbol" w:hint="default"/>
        <w:sz w:val="18"/>
      </w:rPr>
    </w:lvl>
    <w:lvl w:ilvl="1" w:tplc="04090001">
      <w:start w:val="1"/>
      <w:numFmt w:val="bullet"/>
      <w:lvlText w:val=""/>
      <w:lvlJc w:val="left"/>
      <w:pPr>
        <w:tabs>
          <w:tab w:val="num" w:pos="1440"/>
        </w:tabs>
        <w:ind w:left="1440" w:hanging="360"/>
      </w:pPr>
      <w:rPr>
        <w:rFonts w:ascii="Symbol" w:hAnsi="Symbol" w:hint="default"/>
        <w:sz w:val="1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E736AE"/>
    <w:multiLevelType w:val="hybridMultilevel"/>
    <w:tmpl w:val="1108E58A"/>
    <w:lvl w:ilvl="0" w:tplc="0040FE08">
      <w:start w:val="1"/>
      <w:numFmt w:val="bullet"/>
      <w:lvlText w:val=""/>
      <w:lvlJc w:val="left"/>
      <w:pPr>
        <w:tabs>
          <w:tab w:val="num" w:pos="288"/>
        </w:tabs>
        <w:ind w:left="288" w:hanging="288"/>
      </w:pPr>
      <w:rPr>
        <w:rFonts w:ascii="Symbol" w:hAnsi="Symbol" w:hint="default"/>
        <w:sz w:val="18"/>
      </w:rPr>
    </w:lvl>
    <w:lvl w:ilvl="1" w:tplc="047416E6">
      <w:start w:val="1"/>
      <w:numFmt w:val="decimal"/>
      <w:lvlText w:val="%2."/>
      <w:lvlJc w:val="left"/>
      <w:pPr>
        <w:tabs>
          <w:tab w:val="num" w:pos="1440"/>
        </w:tabs>
        <w:ind w:left="1440" w:hanging="360"/>
      </w:pPr>
      <w:rPr>
        <w:rFonts w:hint="default"/>
        <w:sz w:val="18"/>
      </w:rPr>
    </w:lvl>
    <w:lvl w:ilvl="2" w:tplc="CF9E79F0" w:tentative="1">
      <w:start w:val="1"/>
      <w:numFmt w:val="bullet"/>
      <w:lvlText w:val=""/>
      <w:lvlJc w:val="left"/>
      <w:pPr>
        <w:tabs>
          <w:tab w:val="num" w:pos="2160"/>
        </w:tabs>
        <w:ind w:left="2160" w:hanging="360"/>
      </w:pPr>
      <w:rPr>
        <w:rFonts w:ascii="Wingdings" w:hAnsi="Wingdings" w:hint="default"/>
      </w:rPr>
    </w:lvl>
    <w:lvl w:ilvl="3" w:tplc="75780262" w:tentative="1">
      <w:start w:val="1"/>
      <w:numFmt w:val="bullet"/>
      <w:lvlText w:val=""/>
      <w:lvlJc w:val="left"/>
      <w:pPr>
        <w:tabs>
          <w:tab w:val="num" w:pos="2880"/>
        </w:tabs>
        <w:ind w:left="2880" w:hanging="360"/>
      </w:pPr>
      <w:rPr>
        <w:rFonts w:ascii="Symbol" w:hAnsi="Symbol" w:hint="default"/>
      </w:rPr>
    </w:lvl>
    <w:lvl w:ilvl="4" w:tplc="E49833F6" w:tentative="1">
      <w:start w:val="1"/>
      <w:numFmt w:val="bullet"/>
      <w:lvlText w:val="o"/>
      <w:lvlJc w:val="left"/>
      <w:pPr>
        <w:tabs>
          <w:tab w:val="num" w:pos="3600"/>
        </w:tabs>
        <w:ind w:left="3600" w:hanging="360"/>
      </w:pPr>
      <w:rPr>
        <w:rFonts w:ascii="Courier New" w:hAnsi="Courier New" w:cs="Courier New" w:hint="default"/>
      </w:rPr>
    </w:lvl>
    <w:lvl w:ilvl="5" w:tplc="EC54FD92" w:tentative="1">
      <w:start w:val="1"/>
      <w:numFmt w:val="bullet"/>
      <w:lvlText w:val=""/>
      <w:lvlJc w:val="left"/>
      <w:pPr>
        <w:tabs>
          <w:tab w:val="num" w:pos="4320"/>
        </w:tabs>
        <w:ind w:left="4320" w:hanging="360"/>
      </w:pPr>
      <w:rPr>
        <w:rFonts w:ascii="Wingdings" w:hAnsi="Wingdings" w:hint="default"/>
      </w:rPr>
    </w:lvl>
    <w:lvl w:ilvl="6" w:tplc="4D169686" w:tentative="1">
      <w:start w:val="1"/>
      <w:numFmt w:val="bullet"/>
      <w:lvlText w:val=""/>
      <w:lvlJc w:val="left"/>
      <w:pPr>
        <w:tabs>
          <w:tab w:val="num" w:pos="5040"/>
        </w:tabs>
        <w:ind w:left="5040" w:hanging="360"/>
      </w:pPr>
      <w:rPr>
        <w:rFonts w:ascii="Symbol" w:hAnsi="Symbol" w:hint="default"/>
      </w:rPr>
    </w:lvl>
    <w:lvl w:ilvl="7" w:tplc="22660948" w:tentative="1">
      <w:start w:val="1"/>
      <w:numFmt w:val="bullet"/>
      <w:lvlText w:val="o"/>
      <w:lvlJc w:val="left"/>
      <w:pPr>
        <w:tabs>
          <w:tab w:val="num" w:pos="5760"/>
        </w:tabs>
        <w:ind w:left="5760" w:hanging="360"/>
      </w:pPr>
      <w:rPr>
        <w:rFonts w:ascii="Courier New" w:hAnsi="Courier New" w:cs="Courier New" w:hint="default"/>
      </w:rPr>
    </w:lvl>
    <w:lvl w:ilvl="8" w:tplc="596E42B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8A29E3"/>
    <w:multiLevelType w:val="hybridMultilevel"/>
    <w:tmpl w:val="249CF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963B35"/>
    <w:multiLevelType w:val="hybridMultilevel"/>
    <w:tmpl w:val="576659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2481979"/>
    <w:multiLevelType w:val="hybridMultilevel"/>
    <w:tmpl w:val="E236B9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8C85357"/>
    <w:multiLevelType w:val="hybridMultilevel"/>
    <w:tmpl w:val="747E78C4"/>
    <w:lvl w:ilvl="0" w:tplc="8D5EE010">
      <w:start w:val="1"/>
      <w:numFmt w:val="decimal"/>
      <w:lvlText w:val="%1)"/>
      <w:lvlJc w:val="left"/>
      <w:pPr>
        <w:tabs>
          <w:tab w:val="num" w:pos="720"/>
        </w:tabs>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18E11F35"/>
    <w:multiLevelType w:val="hybridMultilevel"/>
    <w:tmpl w:val="747E78C4"/>
    <w:lvl w:ilvl="0" w:tplc="8D5EE010">
      <w:start w:val="1"/>
      <w:numFmt w:val="decimal"/>
      <w:lvlText w:val="%1)"/>
      <w:lvlJc w:val="left"/>
      <w:pPr>
        <w:tabs>
          <w:tab w:val="num" w:pos="720"/>
        </w:tabs>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19F20643"/>
    <w:multiLevelType w:val="hybridMultilevel"/>
    <w:tmpl w:val="BABA0F66"/>
    <w:lvl w:ilvl="0" w:tplc="1A126C3E">
      <w:start w:val="1"/>
      <w:numFmt w:val="bullet"/>
      <w:lvlText w:val=""/>
      <w:lvlJc w:val="left"/>
      <w:pPr>
        <w:tabs>
          <w:tab w:val="num" w:pos="720"/>
        </w:tabs>
        <w:ind w:left="720" w:hanging="360"/>
      </w:pPr>
      <w:rPr>
        <w:rFonts w:ascii="Symbol" w:hAnsi="Symbol" w:hint="default"/>
      </w:rPr>
    </w:lvl>
    <w:lvl w:ilvl="1" w:tplc="DE5E6A06" w:tentative="1">
      <w:start w:val="1"/>
      <w:numFmt w:val="bullet"/>
      <w:lvlText w:val="o"/>
      <w:lvlJc w:val="left"/>
      <w:pPr>
        <w:tabs>
          <w:tab w:val="num" w:pos="1440"/>
        </w:tabs>
        <w:ind w:left="1440" w:hanging="360"/>
      </w:pPr>
      <w:rPr>
        <w:rFonts w:ascii="Courier New" w:hAnsi="Courier New" w:hint="default"/>
      </w:rPr>
    </w:lvl>
    <w:lvl w:ilvl="2" w:tplc="DF14889C" w:tentative="1">
      <w:start w:val="1"/>
      <w:numFmt w:val="bullet"/>
      <w:lvlText w:val=""/>
      <w:lvlJc w:val="left"/>
      <w:pPr>
        <w:tabs>
          <w:tab w:val="num" w:pos="2160"/>
        </w:tabs>
        <w:ind w:left="2160" w:hanging="360"/>
      </w:pPr>
      <w:rPr>
        <w:rFonts w:ascii="Wingdings" w:hAnsi="Wingdings" w:hint="default"/>
      </w:rPr>
    </w:lvl>
    <w:lvl w:ilvl="3" w:tplc="30D6EAC2" w:tentative="1">
      <w:start w:val="1"/>
      <w:numFmt w:val="bullet"/>
      <w:lvlText w:val=""/>
      <w:lvlJc w:val="left"/>
      <w:pPr>
        <w:tabs>
          <w:tab w:val="num" w:pos="2880"/>
        </w:tabs>
        <w:ind w:left="2880" w:hanging="360"/>
      </w:pPr>
      <w:rPr>
        <w:rFonts w:ascii="Symbol" w:hAnsi="Symbol" w:hint="default"/>
      </w:rPr>
    </w:lvl>
    <w:lvl w:ilvl="4" w:tplc="AD807362" w:tentative="1">
      <w:start w:val="1"/>
      <w:numFmt w:val="bullet"/>
      <w:lvlText w:val="o"/>
      <w:lvlJc w:val="left"/>
      <w:pPr>
        <w:tabs>
          <w:tab w:val="num" w:pos="3600"/>
        </w:tabs>
        <w:ind w:left="3600" w:hanging="360"/>
      </w:pPr>
      <w:rPr>
        <w:rFonts w:ascii="Courier New" w:hAnsi="Courier New" w:hint="default"/>
      </w:rPr>
    </w:lvl>
    <w:lvl w:ilvl="5" w:tplc="DAC6667A" w:tentative="1">
      <w:start w:val="1"/>
      <w:numFmt w:val="bullet"/>
      <w:lvlText w:val=""/>
      <w:lvlJc w:val="left"/>
      <w:pPr>
        <w:tabs>
          <w:tab w:val="num" w:pos="4320"/>
        </w:tabs>
        <w:ind w:left="4320" w:hanging="360"/>
      </w:pPr>
      <w:rPr>
        <w:rFonts w:ascii="Wingdings" w:hAnsi="Wingdings" w:hint="default"/>
      </w:rPr>
    </w:lvl>
    <w:lvl w:ilvl="6" w:tplc="AE14D8DE" w:tentative="1">
      <w:start w:val="1"/>
      <w:numFmt w:val="bullet"/>
      <w:lvlText w:val=""/>
      <w:lvlJc w:val="left"/>
      <w:pPr>
        <w:tabs>
          <w:tab w:val="num" w:pos="5040"/>
        </w:tabs>
        <w:ind w:left="5040" w:hanging="360"/>
      </w:pPr>
      <w:rPr>
        <w:rFonts w:ascii="Symbol" w:hAnsi="Symbol" w:hint="default"/>
      </w:rPr>
    </w:lvl>
    <w:lvl w:ilvl="7" w:tplc="4434D03C" w:tentative="1">
      <w:start w:val="1"/>
      <w:numFmt w:val="bullet"/>
      <w:lvlText w:val="o"/>
      <w:lvlJc w:val="left"/>
      <w:pPr>
        <w:tabs>
          <w:tab w:val="num" w:pos="5760"/>
        </w:tabs>
        <w:ind w:left="5760" w:hanging="360"/>
      </w:pPr>
      <w:rPr>
        <w:rFonts w:ascii="Courier New" w:hAnsi="Courier New" w:hint="default"/>
      </w:rPr>
    </w:lvl>
    <w:lvl w:ilvl="8" w:tplc="1262C06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5A6219"/>
    <w:multiLevelType w:val="hybridMultilevel"/>
    <w:tmpl w:val="4B28CC3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F175C34"/>
    <w:multiLevelType w:val="hybridMultilevel"/>
    <w:tmpl w:val="EC50602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2BA7A1F"/>
    <w:multiLevelType w:val="hybridMultilevel"/>
    <w:tmpl w:val="5F5E2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F00273"/>
    <w:multiLevelType w:val="hybridMultilevel"/>
    <w:tmpl w:val="FCBEB21E"/>
    <w:lvl w:ilvl="0" w:tplc="8D5EE010">
      <w:start w:val="1"/>
      <w:numFmt w:val="decimal"/>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B37C58"/>
    <w:multiLevelType w:val="hybridMultilevel"/>
    <w:tmpl w:val="D95E9A92"/>
    <w:lvl w:ilvl="0" w:tplc="1D94FEC6">
      <w:start w:val="1"/>
      <w:numFmt w:val="bullet"/>
      <w:lvlText w:val=""/>
      <w:lvlJc w:val="left"/>
      <w:pPr>
        <w:tabs>
          <w:tab w:val="num" w:pos="1296"/>
        </w:tabs>
        <w:ind w:left="1296" w:hanging="288"/>
      </w:pPr>
      <w:rPr>
        <w:rFonts w:ascii="Symbol" w:hAnsi="Symbol" w:hint="default"/>
        <w:strike w:val="0"/>
        <w:dstrike w:val="0"/>
        <w:sz w:val="18"/>
      </w:rPr>
    </w:lvl>
    <w:lvl w:ilvl="1" w:tplc="FFFFFFFF">
      <w:start w:val="1"/>
      <w:numFmt w:val="bullet"/>
      <w:lvlText w:val=""/>
      <w:lvlJc w:val="left"/>
      <w:pPr>
        <w:tabs>
          <w:tab w:val="num" w:pos="2448"/>
        </w:tabs>
        <w:ind w:left="2376" w:hanging="288"/>
      </w:pPr>
      <w:rPr>
        <w:rFonts w:ascii="Symbol" w:hAnsi="Symbol" w:hint="default"/>
      </w:rPr>
    </w:lvl>
    <w:lvl w:ilvl="2" w:tplc="FFFFFFFF" w:tentative="1">
      <w:start w:val="1"/>
      <w:numFmt w:val="bullet"/>
      <w:lvlText w:val=""/>
      <w:lvlJc w:val="left"/>
      <w:pPr>
        <w:tabs>
          <w:tab w:val="num" w:pos="3168"/>
        </w:tabs>
        <w:ind w:left="3168" w:hanging="360"/>
      </w:pPr>
      <w:rPr>
        <w:rFonts w:ascii="Wingdings" w:hAnsi="Wingdings" w:hint="default"/>
      </w:rPr>
    </w:lvl>
    <w:lvl w:ilvl="3" w:tplc="FFFFFFFF" w:tentative="1">
      <w:start w:val="1"/>
      <w:numFmt w:val="bullet"/>
      <w:lvlText w:val=""/>
      <w:lvlJc w:val="left"/>
      <w:pPr>
        <w:tabs>
          <w:tab w:val="num" w:pos="3888"/>
        </w:tabs>
        <w:ind w:left="3888" w:hanging="360"/>
      </w:pPr>
      <w:rPr>
        <w:rFonts w:ascii="Symbol" w:hAnsi="Symbol" w:hint="default"/>
      </w:rPr>
    </w:lvl>
    <w:lvl w:ilvl="4" w:tplc="FFFFFFFF" w:tentative="1">
      <w:start w:val="1"/>
      <w:numFmt w:val="bullet"/>
      <w:lvlText w:val="o"/>
      <w:lvlJc w:val="left"/>
      <w:pPr>
        <w:tabs>
          <w:tab w:val="num" w:pos="4608"/>
        </w:tabs>
        <w:ind w:left="4608" w:hanging="360"/>
      </w:pPr>
      <w:rPr>
        <w:rFonts w:ascii="Courier New" w:hAnsi="Courier New" w:hint="default"/>
      </w:rPr>
    </w:lvl>
    <w:lvl w:ilvl="5" w:tplc="FFFFFFFF" w:tentative="1">
      <w:start w:val="1"/>
      <w:numFmt w:val="bullet"/>
      <w:lvlText w:val=""/>
      <w:lvlJc w:val="left"/>
      <w:pPr>
        <w:tabs>
          <w:tab w:val="num" w:pos="5328"/>
        </w:tabs>
        <w:ind w:left="5328" w:hanging="360"/>
      </w:pPr>
      <w:rPr>
        <w:rFonts w:ascii="Wingdings" w:hAnsi="Wingdings" w:hint="default"/>
      </w:rPr>
    </w:lvl>
    <w:lvl w:ilvl="6" w:tplc="FFFFFFFF" w:tentative="1">
      <w:start w:val="1"/>
      <w:numFmt w:val="bullet"/>
      <w:lvlText w:val=""/>
      <w:lvlJc w:val="left"/>
      <w:pPr>
        <w:tabs>
          <w:tab w:val="num" w:pos="6048"/>
        </w:tabs>
        <w:ind w:left="6048" w:hanging="360"/>
      </w:pPr>
      <w:rPr>
        <w:rFonts w:ascii="Symbol" w:hAnsi="Symbol" w:hint="default"/>
      </w:rPr>
    </w:lvl>
    <w:lvl w:ilvl="7" w:tplc="FFFFFFFF" w:tentative="1">
      <w:start w:val="1"/>
      <w:numFmt w:val="bullet"/>
      <w:lvlText w:val="o"/>
      <w:lvlJc w:val="left"/>
      <w:pPr>
        <w:tabs>
          <w:tab w:val="num" w:pos="6768"/>
        </w:tabs>
        <w:ind w:left="6768" w:hanging="360"/>
      </w:pPr>
      <w:rPr>
        <w:rFonts w:ascii="Courier New" w:hAnsi="Courier New" w:hint="default"/>
      </w:rPr>
    </w:lvl>
    <w:lvl w:ilvl="8" w:tplc="FFFFFFFF" w:tentative="1">
      <w:start w:val="1"/>
      <w:numFmt w:val="bullet"/>
      <w:lvlText w:val=""/>
      <w:lvlJc w:val="left"/>
      <w:pPr>
        <w:tabs>
          <w:tab w:val="num" w:pos="7488"/>
        </w:tabs>
        <w:ind w:left="7488" w:hanging="360"/>
      </w:pPr>
      <w:rPr>
        <w:rFonts w:ascii="Wingdings" w:hAnsi="Wingdings" w:hint="default"/>
      </w:rPr>
    </w:lvl>
  </w:abstractNum>
  <w:abstractNum w:abstractNumId="16" w15:restartNumberingAfterBreak="0">
    <w:nsid w:val="277D2BCD"/>
    <w:multiLevelType w:val="hybridMultilevel"/>
    <w:tmpl w:val="3E580BF8"/>
    <w:lvl w:ilvl="0" w:tplc="0966E532">
      <w:start w:val="1"/>
      <w:numFmt w:val="bullet"/>
      <w:lvlText w:val=""/>
      <w:lvlJc w:val="left"/>
      <w:pPr>
        <w:tabs>
          <w:tab w:val="num" w:pos="720"/>
        </w:tabs>
        <w:ind w:left="720" w:hanging="360"/>
      </w:pPr>
      <w:rPr>
        <w:rFonts w:ascii="Symbol" w:hAnsi="Symbol" w:hint="default"/>
        <w:color w:val="auto"/>
        <w:sz w:val="18"/>
        <w:szCs w:val="18"/>
      </w:rPr>
    </w:lvl>
    <w:lvl w:ilvl="1" w:tplc="730C1182" w:tentative="1">
      <w:start w:val="1"/>
      <w:numFmt w:val="bullet"/>
      <w:lvlText w:val="o"/>
      <w:lvlJc w:val="left"/>
      <w:pPr>
        <w:tabs>
          <w:tab w:val="num" w:pos="1440"/>
        </w:tabs>
        <w:ind w:left="1440" w:hanging="360"/>
      </w:pPr>
      <w:rPr>
        <w:rFonts w:ascii="Courier New" w:hAnsi="Courier New" w:cs="Courier New" w:hint="default"/>
      </w:rPr>
    </w:lvl>
    <w:lvl w:ilvl="2" w:tplc="2B5CB1CA" w:tentative="1">
      <w:start w:val="1"/>
      <w:numFmt w:val="bullet"/>
      <w:lvlText w:val=""/>
      <w:lvlJc w:val="left"/>
      <w:pPr>
        <w:tabs>
          <w:tab w:val="num" w:pos="2160"/>
        </w:tabs>
        <w:ind w:left="2160" w:hanging="360"/>
      </w:pPr>
      <w:rPr>
        <w:rFonts w:ascii="Wingdings" w:hAnsi="Wingdings" w:hint="default"/>
      </w:rPr>
    </w:lvl>
    <w:lvl w:ilvl="3" w:tplc="147A038C" w:tentative="1">
      <w:start w:val="1"/>
      <w:numFmt w:val="bullet"/>
      <w:lvlText w:val=""/>
      <w:lvlJc w:val="left"/>
      <w:pPr>
        <w:tabs>
          <w:tab w:val="num" w:pos="2880"/>
        </w:tabs>
        <w:ind w:left="2880" w:hanging="360"/>
      </w:pPr>
      <w:rPr>
        <w:rFonts w:ascii="Symbol" w:hAnsi="Symbol" w:hint="default"/>
      </w:rPr>
    </w:lvl>
    <w:lvl w:ilvl="4" w:tplc="5C64FECC" w:tentative="1">
      <w:start w:val="1"/>
      <w:numFmt w:val="bullet"/>
      <w:lvlText w:val="o"/>
      <w:lvlJc w:val="left"/>
      <w:pPr>
        <w:tabs>
          <w:tab w:val="num" w:pos="3600"/>
        </w:tabs>
        <w:ind w:left="3600" w:hanging="360"/>
      </w:pPr>
      <w:rPr>
        <w:rFonts w:ascii="Courier New" w:hAnsi="Courier New" w:cs="Courier New" w:hint="default"/>
      </w:rPr>
    </w:lvl>
    <w:lvl w:ilvl="5" w:tplc="885C91EC" w:tentative="1">
      <w:start w:val="1"/>
      <w:numFmt w:val="bullet"/>
      <w:lvlText w:val=""/>
      <w:lvlJc w:val="left"/>
      <w:pPr>
        <w:tabs>
          <w:tab w:val="num" w:pos="4320"/>
        </w:tabs>
        <w:ind w:left="4320" w:hanging="360"/>
      </w:pPr>
      <w:rPr>
        <w:rFonts w:ascii="Wingdings" w:hAnsi="Wingdings" w:hint="default"/>
      </w:rPr>
    </w:lvl>
    <w:lvl w:ilvl="6" w:tplc="78444308" w:tentative="1">
      <w:start w:val="1"/>
      <w:numFmt w:val="bullet"/>
      <w:lvlText w:val=""/>
      <w:lvlJc w:val="left"/>
      <w:pPr>
        <w:tabs>
          <w:tab w:val="num" w:pos="5040"/>
        </w:tabs>
        <w:ind w:left="5040" w:hanging="360"/>
      </w:pPr>
      <w:rPr>
        <w:rFonts w:ascii="Symbol" w:hAnsi="Symbol" w:hint="default"/>
      </w:rPr>
    </w:lvl>
    <w:lvl w:ilvl="7" w:tplc="D46E18BE" w:tentative="1">
      <w:start w:val="1"/>
      <w:numFmt w:val="bullet"/>
      <w:lvlText w:val="o"/>
      <w:lvlJc w:val="left"/>
      <w:pPr>
        <w:tabs>
          <w:tab w:val="num" w:pos="5760"/>
        </w:tabs>
        <w:ind w:left="5760" w:hanging="360"/>
      </w:pPr>
      <w:rPr>
        <w:rFonts w:ascii="Courier New" w:hAnsi="Courier New" w:cs="Courier New" w:hint="default"/>
      </w:rPr>
    </w:lvl>
    <w:lvl w:ilvl="8" w:tplc="8EBADF7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2462B0"/>
    <w:multiLevelType w:val="hybridMultilevel"/>
    <w:tmpl w:val="C49A0398"/>
    <w:lvl w:ilvl="0" w:tplc="FFFFFFFF">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940C9D"/>
    <w:multiLevelType w:val="hybridMultilevel"/>
    <w:tmpl w:val="26F4E356"/>
    <w:lvl w:ilvl="0" w:tplc="1D94FEC6">
      <w:start w:val="1"/>
      <w:numFmt w:val="bullet"/>
      <w:lvlText w:val=""/>
      <w:lvlJc w:val="left"/>
      <w:pPr>
        <w:tabs>
          <w:tab w:val="num" w:pos="720"/>
        </w:tabs>
        <w:ind w:left="720" w:hanging="360"/>
      </w:pPr>
      <w:rPr>
        <w:rFonts w:ascii="Symbol" w:hAnsi="Symbol" w:hint="default"/>
        <w:sz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E900B08"/>
    <w:multiLevelType w:val="hybridMultilevel"/>
    <w:tmpl w:val="6C6CFD48"/>
    <w:lvl w:ilvl="0" w:tplc="AFB6843E">
      <w:start w:val="1"/>
      <w:numFmt w:val="bullet"/>
      <w:lvlText w:val=""/>
      <w:lvlJc w:val="left"/>
      <w:pPr>
        <w:tabs>
          <w:tab w:val="num" w:pos="720"/>
        </w:tabs>
        <w:ind w:left="720" w:hanging="360"/>
      </w:pPr>
      <w:rPr>
        <w:rFonts w:ascii="Symbol" w:hAnsi="Symbol" w:hint="default"/>
      </w:rPr>
    </w:lvl>
    <w:lvl w:ilvl="1" w:tplc="CE7856EE" w:tentative="1">
      <w:start w:val="1"/>
      <w:numFmt w:val="bullet"/>
      <w:lvlText w:val="o"/>
      <w:lvlJc w:val="left"/>
      <w:pPr>
        <w:tabs>
          <w:tab w:val="num" w:pos="1440"/>
        </w:tabs>
        <w:ind w:left="1440" w:hanging="360"/>
      </w:pPr>
      <w:rPr>
        <w:rFonts w:ascii="Courier New" w:hAnsi="Courier New" w:cs="Courier New" w:hint="default"/>
      </w:rPr>
    </w:lvl>
    <w:lvl w:ilvl="2" w:tplc="75940A24" w:tentative="1">
      <w:start w:val="1"/>
      <w:numFmt w:val="bullet"/>
      <w:lvlText w:val=""/>
      <w:lvlJc w:val="left"/>
      <w:pPr>
        <w:tabs>
          <w:tab w:val="num" w:pos="2160"/>
        </w:tabs>
        <w:ind w:left="2160" w:hanging="360"/>
      </w:pPr>
      <w:rPr>
        <w:rFonts w:ascii="Wingdings" w:hAnsi="Wingdings" w:hint="default"/>
      </w:rPr>
    </w:lvl>
    <w:lvl w:ilvl="3" w:tplc="6E2896FC" w:tentative="1">
      <w:start w:val="1"/>
      <w:numFmt w:val="bullet"/>
      <w:lvlText w:val=""/>
      <w:lvlJc w:val="left"/>
      <w:pPr>
        <w:tabs>
          <w:tab w:val="num" w:pos="2880"/>
        </w:tabs>
        <w:ind w:left="2880" w:hanging="360"/>
      </w:pPr>
      <w:rPr>
        <w:rFonts w:ascii="Symbol" w:hAnsi="Symbol" w:hint="default"/>
      </w:rPr>
    </w:lvl>
    <w:lvl w:ilvl="4" w:tplc="AA56297A" w:tentative="1">
      <w:start w:val="1"/>
      <w:numFmt w:val="bullet"/>
      <w:lvlText w:val="o"/>
      <w:lvlJc w:val="left"/>
      <w:pPr>
        <w:tabs>
          <w:tab w:val="num" w:pos="3600"/>
        </w:tabs>
        <w:ind w:left="3600" w:hanging="360"/>
      </w:pPr>
      <w:rPr>
        <w:rFonts w:ascii="Courier New" w:hAnsi="Courier New" w:cs="Courier New" w:hint="default"/>
      </w:rPr>
    </w:lvl>
    <w:lvl w:ilvl="5" w:tplc="B79EB7D8" w:tentative="1">
      <w:start w:val="1"/>
      <w:numFmt w:val="bullet"/>
      <w:lvlText w:val=""/>
      <w:lvlJc w:val="left"/>
      <w:pPr>
        <w:tabs>
          <w:tab w:val="num" w:pos="4320"/>
        </w:tabs>
        <w:ind w:left="4320" w:hanging="360"/>
      </w:pPr>
      <w:rPr>
        <w:rFonts w:ascii="Wingdings" w:hAnsi="Wingdings" w:hint="default"/>
      </w:rPr>
    </w:lvl>
    <w:lvl w:ilvl="6" w:tplc="4D0E77EC" w:tentative="1">
      <w:start w:val="1"/>
      <w:numFmt w:val="bullet"/>
      <w:lvlText w:val=""/>
      <w:lvlJc w:val="left"/>
      <w:pPr>
        <w:tabs>
          <w:tab w:val="num" w:pos="5040"/>
        </w:tabs>
        <w:ind w:left="5040" w:hanging="360"/>
      </w:pPr>
      <w:rPr>
        <w:rFonts w:ascii="Symbol" w:hAnsi="Symbol" w:hint="default"/>
      </w:rPr>
    </w:lvl>
    <w:lvl w:ilvl="7" w:tplc="182A736C" w:tentative="1">
      <w:start w:val="1"/>
      <w:numFmt w:val="bullet"/>
      <w:lvlText w:val="o"/>
      <w:lvlJc w:val="left"/>
      <w:pPr>
        <w:tabs>
          <w:tab w:val="num" w:pos="5760"/>
        </w:tabs>
        <w:ind w:left="5760" w:hanging="360"/>
      </w:pPr>
      <w:rPr>
        <w:rFonts w:ascii="Courier New" w:hAnsi="Courier New" w:cs="Courier New" w:hint="default"/>
      </w:rPr>
    </w:lvl>
    <w:lvl w:ilvl="8" w:tplc="6EAAEAC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EB92D37"/>
    <w:multiLevelType w:val="hybridMultilevel"/>
    <w:tmpl w:val="B376640E"/>
    <w:lvl w:ilvl="0" w:tplc="34783E16">
      <w:start w:val="1"/>
      <w:numFmt w:val="bullet"/>
      <w:lvlText w:val=""/>
      <w:lvlJc w:val="left"/>
      <w:pPr>
        <w:tabs>
          <w:tab w:val="num" w:pos="720"/>
        </w:tabs>
        <w:ind w:left="720" w:hanging="360"/>
      </w:pPr>
      <w:rPr>
        <w:rFonts w:ascii="Symbol" w:hAnsi="Symbol" w:hint="default"/>
      </w:rPr>
    </w:lvl>
    <w:lvl w:ilvl="1" w:tplc="335CBF94" w:tentative="1">
      <w:start w:val="1"/>
      <w:numFmt w:val="bullet"/>
      <w:lvlText w:val="o"/>
      <w:lvlJc w:val="left"/>
      <w:pPr>
        <w:tabs>
          <w:tab w:val="num" w:pos="1440"/>
        </w:tabs>
        <w:ind w:left="1440" w:hanging="360"/>
      </w:pPr>
      <w:rPr>
        <w:rFonts w:ascii="Courier New" w:hAnsi="Courier New" w:cs="Courier New" w:hint="default"/>
      </w:rPr>
    </w:lvl>
    <w:lvl w:ilvl="2" w:tplc="0B529BFA" w:tentative="1">
      <w:start w:val="1"/>
      <w:numFmt w:val="bullet"/>
      <w:lvlText w:val=""/>
      <w:lvlJc w:val="left"/>
      <w:pPr>
        <w:tabs>
          <w:tab w:val="num" w:pos="2160"/>
        </w:tabs>
        <w:ind w:left="2160" w:hanging="360"/>
      </w:pPr>
      <w:rPr>
        <w:rFonts w:ascii="Wingdings" w:hAnsi="Wingdings" w:hint="default"/>
      </w:rPr>
    </w:lvl>
    <w:lvl w:ilvl="3" w:tplc="2EC0DF06" w:tentative="1">
      <w:start w:val="1"/>
      <w:numFmt w:val="bullet"/>
      <w:lvlText w:val=""/>
      <w:lvlJc w:val="left"/>
      <w:pPr>
        <w:tabs>
          <w:tab w:val="num" w:pos="2880"/>
        </w:tabs>
        <w:ind w:left="2880" w:hanging="360"/>
      </w:pPr>
      <w:rPr>
        <w:rFonts w:ascii="Symbol" w:hAnsi="Symbol" w:hint="default"/>
      </w:rPr>
    </w:lvl>
    <w:lvl w:ilvl="4" w:tplc="6406C58C" w:tentative="1">
      <w:start w:val="1"/>
      <w:numFmt w:val="bullet"/>
      <w:lvlText w:val="o"/>
      <w:lvlJc w:val="left"/>
      <w:pPr>
        <w:tabs>
          <w:tab w:val="num" w:pos="3600"/>
        </w:tabs>
        <w:ind w:left="3600" w:hanging="360"/>
      </w:pPr>
      <w:rPr>
        <w:rFonts w:ascii="Courier New" w:hAnsi="Courier New" w:cs="Courier New" w:hint="default"/>
      </w:rPr>
    </w:lvl>
    <w:lvl w:ilvl="5" w:tplc="11821C82" w:tentative="1">
      <w:start w:val="1"/>
      <w:numFmt w:val="bullet"/>
      <w:lvlText w:val=""/>
      <w:lvlJc w:val="left"/>
      <w:pPr>
        <w:tabs>
          <w:tab w:val="num" w:pos="4320"/>
        </w:tabs>
        <w:ind w:left="4320" w:hanging="360"/>
      </w:pPr>
      <w:rPr>
        <w:rFonts w:ascii="Wingdings" w:hAnsi="Wingdings" w:hint="default"/>
      </w:rPr>
    </w:lvl>
    <w:lvl w:ilvl="6" w:tplc="F0DE08D8" w:tentative="1">
      <w:start w:val="1"/>
      <w:numFmt w:val="bullet"/>
      <w:lvlText w:val=""/>
      <w:lvlJc w:val="left"/>
      <w:pPr>
        <w:tabs>
          <w:tab w:val="num" w:pos="5040"/>
        </w:tabs>
        <w:ind w:left="5040" w:hanging="360"/>
      </w:pPr>
      <w:rPr>
        <w:rFonts w:ascii="Symbol" w:hAnsi="Symbol" w:hint="default"/>
      </w:rPr>
    </w:lvl>
    <w:lvl w:ilvl="7" w:tplc="AEF476E0" w:tentative="1">
      <w:start w:val="1"/>
      <w:numFmt w:val="bullet"/>
      <w:lvlText w:val="o"/>
      <w:lvlJc w:val="left"/>
      <w:pPr>
        <w:tabs>
          <w:tab w:val="num" w:pos="5760"/>
        </w:tabs>
        <w:ind w:left="5760" w:hanging="360"/>
      </w:pPr>
      <w:rPr>
        <w:rFonts w:ascii="Courier New" w:hAnsi="Courier New" w:cs="Courier New" w:hint="default"/>
      </w:rPr>
    </w:lvl>
    <w:lvl w:ilvl="8" w:tplc="12885ED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EC44000"/>
    <w:multiLevelType w:val="hybridMultilevel"/>
    <w:tmpl w:val="4A90CF5E"/>
    <w:lvl w:ilvl="0" w:tplc="23E440DA">
      <w:start w:val="1"/>
      <w:numFmt w:val="bullet"/>
      <w:pStyle w:val="NotesTextBullet"/>
      <w:lvlText w:val=""/>
      <w:lvlJc w:val="left"/>
      <w:pPr>
        <w:tabs>
          <w:tab w:val="num" w:pos="1008"/>
        </w:tabs>
        <w:ind w:left="1008" w:hanging="288"/>
      </w:pPr>
      <w:rPr>
        <w:rFonts w:ascii="Symbol" w:hAnsi="Symbol" w:hint="default"/>
        <w:sz w:val="18"/>
      </w:rPr>
    </w:lvl>
    <w:lvl w:ilvl="1" w:tplc="7132EB9C">
      <w:start w:val="1"/>
      <w:numFmt w:val="decimal"/>
      <w:lvlText w:val="%2."/>
      <w:lvlJc w:val="left"/>
      <w:pPr>
        <w:tabs>
          <w:tab w:val="num" w:pos="1440"/>
        </w:tabs>
        <w:ind w:left="1440" w:hanging="360"/>
      </w:pPr>
      <w:rPr>
        <w:rFonts w:hint="default"/>
        <w:sz w:val="18"/>
      </w:rPr>
    </w:lvl>
    <w:lvl w:ilvl="2" w:tplc="44E0D6AA" w:tentative="1">
      <w:start w:val="1"/>
      <w:numFmt w:val="bullet"/>
      <w:lvlText w:val=""/>
      <w:lvlJc w:val="left"/>
      <w:pPr>
        <w:tabs>
          <w:tab w:val="num" w:pos="2160"/>
        </w:tabs>
        <w:ind w:left="2160" w:hanging="360"/>
      </w:pPr>
      <w:rPr>
        <w:rFonts w:ascii="Wingdings" w:hAnsi="Wingdings" w:hint="default"/>
      </w:rPr>
    </w:lvl>
    <w:lvl w:ilvl="3" w:tplc="F2DEEF18" w:tentative="1">
      <w:start w:val="1"/>
      <w:numFmt w:val="bullet"/>
      <w:lvlText w:val=""/>
      <w:lvlJc w:val="left"/>
      <w:pPr>
        <w:tabs>
          <w:tab w:val="num" w:pos="2880"/>
        </w:tabs>
        <w:ind w:left="2880" w:hanging="360"/>
      </w:pPr>
      <w:rPr>
        <w:rFonts w:ascii="Symbol" w:hAnsi="Symbol" w:hint="default"/>
      </w:rPr>
    </w:lvl>
    <w:lvl w:ilvl="4" w:tplc="F2D44DE4" w:tentative="1">
      <w:start w:val="1"/>
      <w:numFmt w:val="bullet"/>
      <w:lvlText w:val="o"/>
      <w:lvlJc w:val="left"/>
      <w:pPr>
        <w:tabs>
          <w:tab w:val="num" w:pos="3600"/>
        </w:tabs>
        <w:ind w:left="3600" w:hanging="360"/>
      </w:pPr>
      <w:rPr>
        <w:rFonts w:ascii="Courier New" w:hAnsi="Courier New" w:cs="Courier New" w:hint="default"/>
      </w:rPr>
    </w:lvl>
    <w:lvl w:ilvl="5" w:tplc="797046BA" w:tentative="1">
      <w:start w:val="1"/>
      <w:numFmt w:val="bullet"/>
      <w:lvlText w:val=""/>
      <w:lvlJc w:val="left"/>
      <w:pPr>
        <w:tabs>
          <w:tab w:val="num" w:pos="4320"/>
        </w:tabs>
        <w:ind w:left="4320" w:hanging="360"/>
      </w:pPr>
      <w:rPr>
        <w:rFonts w:ascii="Wingdings" w:hAnsi="Wingdings" w:hint="default"/>
      </w:rPr>
    </w:lvl>
    <w:lvl w:ilvl="6" w:tplc="C1A6B414" w:tentative="1">
      <w:start w:val="1"/>
      <w:numFmt w:val="bullet"/>
      <w:lvlText w:val=""/>
      <w:lvlJc w:val="left"/>
      <w:pPr>
        <w:tabs>
          <w:tab w:val="num" w:pos="5040"/>
        </w:tabs>
        <w:ind w:left="5040" w:hanging="360"/>
      </w:pPr>
      <w:rPr>
        <w:rFonts w:ascii="Symbol" w:hAnsi="Symbol" w:hint="default"/>
      </w:rPr>
    </w:lvl>
    <w:lvl w:ilvl="7" w:tplc="F16201C6" w:tentative="1">
      <w:start w:val="1"/>
      <w:numFmt w:val="bullet"/>
      <w:lvlText w:val="o"/>
      <w:lvlJc w:val="left"/>
      <w:pPr>
        <w:tabs>
          <w:tab w:val="num" w:pos="5760"/>
        </w:tabs>
        <w:ind w:left="5760" w:hanging="360"/>
      </w:pPr>
      <w:rPr>
        <w:rFonts w:ascii="Courier New" w:hAnsi="Courier New" w:cs="Courier New" w:hint="default"/>
      </w:rPr>
    </w:lvl>
    <w:lvl w:ilvl="8" w:tplc="7ECA99D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EE70E73"/>
    <w:multiLevelType w:val="hybridMultilevel"/>
    <w:tmpl w:val="092E9928"/>
    <w:lvl w:ilvl="0" w:tplc="FFFFFFFF">
      <w:start w:val="1"/>
      <w:numFmt w:val="bullet"/>
      <w:lvlText w:val=""/>
      <w:lvlJc w:val="left"/>
      <w:pPr>
        <w:tabs>
          <w:tab w:val="num" w:pos="360"/>
        </w:tabs>
        <w:ind w:left="360" w:hanging="360"/>
      </w:pPr>
      <w:rPr>
        <w:rFonts w:ascii="Symbol" w:hAnsi="Symbol" w:hint="default"/>
        <w:sz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FAB7504"/>
    <w:multiLevelType w:val="hybridMultilevel"/>
    <w:tmpl w:val="DD2ED67C"/>
    <w:lvl w:ilvl="0" w:tplc="FE1C26EE">
      <w:start w:val="1"/>
      <w:numFmt w:val="decimalZero"/>
      <w:pStyle w:val="Substep02"/>
      <w:lvlText w:val="2.%1"/>
      <w:lvlJc w:val="right"/>
      <w:pPr>
        <w:tabs>
          <w:tab w:val="num" w:pos="810"/>
        </w:tabs>
        <w:ind w:left="810" w:firstLine="0"/>
      </w:pPr>
      <w:rPr>
        <w:rFonts w:ascii="Arial" w:hAnsi="Arial" w:hint="default"/>
        <w:sz w:val="18"/>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0612B51"/>
    <w:multiLevelType w:val="hybridMultilevel"/>
    <w:tmpl w:val="FFA068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15A0E22"/>
    <w:multiLevelType w:val="hybridMultilevel"/>
    <w:tmpl w:val="9D14AB3A"/>
    <w:lvl w:ilvl="0" w:tplc="10BC471A">
      <w:start w:val="1"/>
      <w:numFmt w:val="bullet"/>
      <w:pStyle w:val="NotesTextBullet1"/>
      <w:lvlText w:val="o"/>
      <w:lvlJc w:val="left"/>
      <w:pPr>
        <w:tabs>
          <w:tab w:val="num" w:pos="1296"/>
        </w:tabs>
        <w:ind w:left="1296" w:hanging="288"/>
      </w:pPr>
      <w:rPr>
        <w:rFonts w:ascii="Courier New" w:hAnsi="Courier New" w:hint="default"/>
        <w:sz w:val="18"/>
        <w:szCs w:val="18"/>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5114E976"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8637099"/>
    <w:multiLevelType w:val="hybridMultilevel"/>
    <w:tmpl w:val="BB4E307A"/>
    <w:lvl w:ilvl="0" w:tplc="F82A131E">
      <w:start w:val="1"/>
      <w:numFmt w:val="decimalZero"/>
      <w:pStyle w:val="Substep01"/>
      <w:lvlText w:val="2.%1"/>
      <w:lvlJc w:val="right"/>
      <w:pPr>
        <w:ind w:left="1530" w:hanging="360"/>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7" w15:restartNumberingAfterBreak="0">
    <w:nsid w:val="3A6913D7"/>
    <w:multiLevelType w:val="hybridMultilevel"/>
    <w:tmpl w:val="C6183B7C"/>
    <w:lvl w:ilvl="0" w:tplc="FFFFFFFF">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FD7621F"/>
    <w:multiLevelType w:val="hybridMultilevel"/>
    <w:tmpl w:val="FFA2B75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00418C6"/>
    <w:multiLevelType w:val="hybridMultilevel"/>
    <w:tmpl w:val="2AAEA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216A8F"/>
    <w:multiLevelType w:val="hybridMultilevel"/>
    <w:tmpl w:val="8188D16A"/>
    <w:lvl w:ilvl="0" w:tplc="1D94FEC6">
      <w:start w:val="1"/>
      <w:numFmt w:val="bullet"/>
      <w:pStyle w:val="TableTextBullet1"/>
      <w:lvlText w:val="o"/>
      <w:lvlJc w:val="left"/>
      <w:pPr>
        <w:tabs>
          <w:tab w:val="num" w:pos="576"/>
        </w:tabs>
        <w:ind w:left="576" w:hanging="288"/>
      </w:pPr>
      <w:rPr>
        <w:rFonts w:ascii="Symbol" w:hAnsi="Symbol" w:hint="default"/>
        <w:sz w:val="18"/>
        <w:szCs w:val="18"/>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0EC6F8A"/>
    <w:multiLevelType w:val="hybridMultilevel"/>
    <w:tmpl w:val="8572E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EE31A7"/>
    <w:multiLevelType w:val="hybridMultilevel"/>
    <w:tmpl w:val="78F60CBA"/>
    <w:lvl w:ilvl="0" w:tplc="1D94FEC6">
      <w:start w:val="1"/>
      <w:numFmt w:val="decimal"/>
      <w:pStyle w:val="Bulletlist"/>
      <w:lvlText w:val="%1. "/>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3" w15:restartNumberingAfterBreak="0">
    <w:nsid w:val="45533453"/>
    <w:multiLevelType w:val="hybridMultilevel"/>
    <w:tmpl w:val="6D7001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34" w15:restartNumberingAfterBreak="0">
    <w:nsid w:val="46DB09A8"/>
    <w:multiLevelType w:val="hybridMultilevel"/>
    <w:tmpl w:val="5A7234A0"/>
    <w:lvl w:ilvl="0" w:tplc="8928480C">
      <w:start w:val="1"/>
      <w:numFmt w:val="decimal"/>
      <w:pStyle w:val="TableTextNumbers"/>
      <w:lvlText w:val="%1."/>
      <w:lvlJc w:val="left"/>
      <w:pPr>
        <w:tabs>
          <w:tab w:val="num" w:pos="288"/>
        </w:tabs>
        <w:ind w:left="288" w:hanging="288"/>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lowerLetter"/>
      <w:lvlText w:val="%2."/>
      <w:lvlJc w:val="left"/>
      <w:pPr>
        <w:tabs>
          <w:tab w:val="num" w:pos="1692"/>
        </w:tabs>
        <w:ind w:left="1692" w:hanging="360"/>
      </w:pPr>
    </w:lvl>
    <w:lvl w:ilvl="2" w:tplc="FFFFFFFF" w:tentative="1">
      <w:start w:val="1"/>
      <w:numFmt w:val="lowerRoman"/>
      <w:lvlText w:val="%3."/>
      <w:lvlJc w:val="right"/>
      <w:pPr>
        <w:tabs>
          <w:tab w:val="num" w:pos="2412"/>
        </w:tabs>
        <w:ind w:left="2412" w:hanging="180"/>
      </w:pPr>
    </w:lvl>
    <w:lvl w:ilvl="3" w:tplc="FFFFFFFF" w:tentative="1">
      <w:start w:val="1"/>
      <w:numFmt w:val="decimal"/>
      <w:lvlText w:val="%4."/>
      <w:lvlJc w:val="left"/>
      <w:pPr>
        <w:tabs>
          <w:tab w:val="num" w:pos="3132"/>
        </w:tabs>
        <w:ind w:left="3132" w:hanging="360"/>
      </w:pPr>
    </w:lvl>
    <w:lvl w:ilvl="4" w:tplc="FFFFFFFF" w:tentative="1">
      <w:start w:val="1"/>
      <w:numFmt w:val="lowerLetter"/>
      <w:lvlText w:val="%5."/>
      <w:lvlJc w:val="left"/>
      <w:pPr>
        <w:tabs>
          <w:tab w:val="num" w:pos="3852"/>
        </w:tabs>
        <w:ind w:left="3852" w:hanging="360"/>
      </w:pPr>
    </w:lvl>
    <w:lvl w:ilvl="5" w:tplc="FFFFFFFF" w:tentative="1">
      <w:start w:val="1"/>
      <w:numFmt w:val="lowerRoman"/>
      <w:lvlText w:val="%6."/>
      <w:lvlJc w:val="right"/>
      <w:pPr>
        <w:tabs>
          <w:tab w:val="num" w:pos="4572"/>
        </w:tabs>
        <w:ind w:left="4572" w:hanging="180"/>
      </w:pPr>
    </w:lvl>
    <w:lvl w:ilvl="6" w:tplc="FFFFFFFF" w:tentative="1">
      <w:start w:val="1"/>
      <w:numFmt w:val="decimal"/>
      <w:lvlText w:val="%7."/>
      <w:lvlJc w:val="left"/>
      <w:pPr>
        <w:tabs>
          <w:tab w:val="num" w:pos="5292"/>
        </w:tabs>
        <w:ind w:left="5292" w:hanging="360"/>
      </w:pPr>
    </w:lvl>
    <w:lvl w:ilvl="7" w:tplc="FFFFFFFF" w:tentative="1">
      <w:start w:val="1"/>
      <w:numFmt w:val="lowerLetter"/>
      <w:lvlText w:val="%8."/>
      <w:lvlJc w:val="left"/>
      <w:pPr>
        <w:tabs>
          <w:tab w:val="num" w:pos="6012"/>
        </w:tabs>
        <w:ind w:left="6012" w:hanging="360"/>
      </w:pPr>
    </w:lvl>
    <w:lvl w:ilvl="8" w:tplc="FFFFFFFF" w:tentative="1">
      <w:start w:val="1"/>
      <w:numFmt w:val="lowerRoman"/>
      <w:lvlText w:val="%9."/>
      <w:lvlJc w:val="right"/>
      <w:pPr>
        <w:tabs>
          <w:tab w:val="num" w:pos="6732"/>
        </w:tabs>
        <w:ind w:left="6732" w:hanging="180"/>
      </w:pPr>
    </w:lvl>
  </w:abstractNum>
  <w:abstractNum w:abstractNumId="35" w15:restartNumberingAfterBreak="0">
    <w:nsid w:val="47636A78"/>
    <w:multiLevelType w:val="hybridMultilevel"/>
    <w:tmpl w:val="B538D6D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48A3515D"/>
    <w:multiLevelType w:val="hybridMultilevel"/>
    <w:tmpl w:val="DA64CAD0"/>
    <w:lvl w:ilvl="0" w:tplc="1658A648">
      <w:start w:val="1"/>
      <w:numFmt w:val="bullet"/>
      <w:lvlText w:val=""/>
      <w:lvlJc w:val="left"/>
      <w:pPr>
        <w:tabs>
          <w:tab w:val="num" w:pos="1440"/>
        </w:tabs>
        <w:ind w:left="1440" w:hanging="360"/>
      </w:pPr>
      <w:rPr>
        <w:rFonts w:ascii="Symbol" w:hAnsi="Symbol" w:hint="default"/>
      </w:rPr>
    </w:lvl>
    <w:lvl w:ilvl="1" w:tplc="B49427D2" w:tentative="1">
      <w:start w:val="1"/>
      <w:numFmt w:val="bullet"/>
      <w:lvlText w:val="o"/>
      <w:lvlJc w:val="left"/>
      <w:pPr>
        <w:tabs>
          <w:tab w:val="num" w:pos="2520"/>
        </w:tabs>
        <w:ind w:left="2520" w:hanging="360"/>
      </w:pPr>
      <w:rPr>
        <w:rFonts w:ascii="Courier New" w:hAnsi="Courier New" w:hint="default"/>
      </w:rPr>
    </w:lvl>
    <w:lvl w:ilvl="2" w:tplc="FD567F5E" w:tentative="1">
      <w:start w:val="1"/>
      <w:numFmt w:val="bullet"/>
      <w:lvlText w:val=""/>
      <w:lvlJc w:val="left"/>
      <w:pPr>
        <w:tabs>
          <w:tab w:val="num" w:pos="3240"/>
        </w:tabs>
        <w:ind w:left="3240" w:hanging="360"/>
      </w:pPr>
      <w:rPr>
        <w:rFonts w:ascii="Wingdings" w:hAnsi="Wingdings" w:hint="default"/>
      </w:rPr>
    </w:lvl>
    <w:lvl w:ilvl="3" w:tplc="9EE2AF06" w:tentative="1">
      <w:start w:val="1"/>
      <w:numFmt w:val="bullet"/>
      <w:lvlText w:val=""/>
      <w:lvlJc w:val="left"/>
      <w:pPr>
        <w:tabs>
          <w:tab w:val="num" w:pos="3960"/>
        </w:tabs>
        <w:ind w:left="3960" w:hanging="360"/>
      </w:pPr>
      <w:rPr>
        <w:rFonts w:ascii="Symbol" w:hAnsi="Symbol" w:hint="default"/>
      </w:rPr>
    </w:lvl>
    <w:lvl w:ilvl="4" w:tplc="EB34BAEE" w:tentative="1">
      <w:start w:val="1"/>
      <w:numFmt w:val="bullet"/>
      <w:lvlText w:val="o"/>
      <w:lvlJc w:val="left"/>
      <w:pPr>
        <w:tabs>
          <w:tab w:val="num" w:pos="4680"/>
        </w:tabs>
        <w:ind w:left="4680" w:hanging="360"/>
      </w:pPr>
      <w:rPr>
        <w:rFonts w:ascii="Courier New" w:hAnsi="Courier New" w:hint="default"/>
      </w:rPr>
    </w:lvl>
    <w:lvl w:ilvl="5" w:tplc="F3ACA352" w:tentative="1">
      <w:start w:val="1"/>
      <w:numFmt w:val="bullet"/>
      <w:lvlText w:val=""/>
      <w:lvlJc w:val="left"/>
      <w:pPr>
        <w:tabs>
          <w:tab w:val="num" w:pos="5400"/>
        </w:tabs>
        <w:ind w:left="5400" w:hanging="360"/>
      </w:pPr>
      <w:rPr>
        <w:rFonts w:ascii="Wingdings" w:hAnsi="Wingdings" w:hint="default"/>
      </w:rPr>
    </w:lvl>
    <w:lvl w:ilvl="6" w:tplc="FCBEB38E" w:tentative="1">
      <w:start w:val="1"/>
      <w:numFmt w:val="bullet"/>
      <w:lvlText w:val=""/>
      <w:lvlJc w:val="left"/>
      <w:pPr>
        <w:tabs>
          <w:tab w:val="num" w:pos="6120"/>
        </w:tabs>
        <w:ind w:left="6120" w:hanging="360"/>
      </w:pPr>
      <w:rPr>
        <w:rFonts w:ascii="Symbol" w:hAnsi="Symbol" w:hint="default"/>
      </w:rPr>
    </w:lvl>
    <w:lvl w:ilvl="7" w:tplc="C07C0BA2" w:tentative="1">
      <w:start w:val="1"/>
      <w:numFmt w:val="bullet"/>
      <w:lvlText w:val="o"/>
      <w:lvlJc w:val="left"/>
      <w:pPr>
        <w:tabs>
          <w:tab w:val="num" w:pos="6840"/>
        </w:tabs>
        <w:ind w:left="6840" w:hanging="360"/>
      </w:pPr>
      <w:rPr>
        <w:rFonts w:ascii="Courier New" w:hAnsi="Courier New" w:hint="default"/>
      </w:rPr>
    </w:lvl>
    <w:lvl w:ilvl="8" w:tplc="B1FC9774" w:tentative="1">
      <w:start w:val="1"/>
      <w:numFmt w:val="bullet"/>
      <w:lvlText w:val=""/>
      <w:lvlJc w:val="left"/>
      <w:pPr>
        <w:tabs>
          <w:tab w:val="num" w:pos="7560"/>
        </w:tabs>
        <w:ind w:left="7560" w:hanging="360"/>
      </w:pPr>
      <w:rPr>
        <w:rFonts w:ascii="Wingdings" w:hAnsi="Wingdings" w:hint="default"/>
      </w:rPr>
    </w:lvl>
  </w:abstractNum>
  <w:abstractNum w:abstractNumId="37" w15:restartNumberingAfterBreak="0">
    <w:nsid w:val="4B844150"/>
    <w:multiLevelType w:val="hybridMultilevel"/>
    <w:tmpl w:val="988A53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BCA39FB"/>
    <w:multiLevelType w:val="multilevel"/>
    <w:tmpl w:val="675251AA"/>
    <w:lvl w:ilvl="0">
      <w:start w:val="1"/>
      <w:numFmt w:val="none"/>
      <w:lvlText w:val="Section 1."/>
      <w:lvlJc w:val="left"/>
      <w:pPr>
        <w:tabs>
          <w:tab w:val="num" w:pos="1080"/>
        </w:tabs>
        <w:ind w:left="0" w:firstLine="0"/>
      </w:pPr>
      <w:rPr>
        <w:rFonts w:hint="default"/>
      </w:rPr>
    </w:lvl>
    <w:lvl w:ilvl="1">
      <w:numFmt w:val="none"/>
      <w:isLgl/>
      <w:lvlText w:val="1"/>
      <w:lvlJc w:val="left"/>
      <w:pPr>
        <w:tabs>
          <w:tab w:val="num" w:pos="360"/>
        </w:tabs>
        <w:ind w:left="0" w:firstLine="0"/>
      </w:pPr>
      <w:rPr>
        <w:rFonts w:hint="default"/>
      </w:rPr>
    </w:lvl>
    <w:lvl w:ilvl="2">
      <w:numFmt w:val="decimal"/>
      <w:lvlText w:val="Section %3"/>
      <w:lvlJc w:val="left"/>
      <w:pPr>
        <w:tabs>
          <w:tab w:val="num" w:pos="1440"/>
        </w:tabs>
        <w:ind w:left="720" w:hanging="720"/>
      </w:pPr>
      <w:rPr>
        <w:rFonts w:hint="default"/>
      </w:rPr>
    </w:lvl>
    <w:lvl w:ilvl="3">
      <w:start w:val="1"/>
      <w:numFmt w:val="lowerRoman"/>
      <w:lvlText w:val="(%4)"/>
      <w:lvlJc w:val="right"/>
      <w:pPr>
        <w:tabs>
          <w:tab w:val="num" w:pos="864"/>
        </w:tabs>
        <w:ind w:left="864" w:hanging="144"/>
      </w:pPr>
      <w:rPr>
        <w:rFonts w:hint="default"/>
      </w:rPr>
    </w:lvl>
    <w:lvl w:ilvl="4">
      <w:start w:val="1"/>
      <w:numFmt w:val="none"/>
      <w:pStyle w:val="Heading5"/>
      <w:lvlText w:val=""/>
      <w:lvlJc w:val="left"/>
      <w:pPr>
        <w:tabs>
          <w:tab w:val="num" w:pos="360"/>
        </w:tabs>
        <w:ind w:left="0" w:firstLine="0"/>
      </w:pPr>
      <w:rPr>
        <w:rFonts w:hint="default"/>
      </w:rPr>
    </w:lvl>
    <w:lvl w:ilvl="5">
      <w:start w:val="1"/>
      <w:numFmt w:val="lowerLetter"/>
      <w:pStyle w:val="Heading6"/>
      <w:lvlText w:val="%6)"/>
      <w:lvlJc w:val="left"/>
      <w:pPr>
        <w:tabs>
          <w:tab w:val="num" w:pos="1152"/>
        </w:tabs>
        <w:ind w:left="1152" w:hanging="432"/>
      </w:pPr>
      <w:rPr>
        <w:rFonts w:hint="default"/>
      </w:rPr>
    </w:lvl>
    <w:lvl w:ilvl="6">
      <w:start w:val="1"/>
      <w:numFmt w:val="lowerRoman"/>
      <w:pStyle w:val="Heading7"/>
      <w:lvlText w:val="%7)"/>
      <w:lvlJc w:val="right"/>
      <w:pPr>
        <w:tabs>
          <w:tab w:val="num" w:pos="1296"/>
        </w:tabs>
        <w:ind w:left="1296" w:hanging="288"/>
      </w:pPr>
      <w:rPr>
        <w:rFonts w:hint="default"/>
      </w:rPr>
    </w:lvl>
    <w:lvl w:ilvl="7">
      <w:start w:val="1"/>
      <w:numFmt w:val="lowerLetter"/>
      <w:pStyle w:val="Heading8"/>
      <w:lvlText w:val="%8."/>
      <w:lvlJc w:val="left"/>
      <w:pPr>
        <w:tabs>
          <w:tab w:val="num" w:pos="1440"/>
        </w:tabs>
        <w:ind w:left="1440" w:hanging="432"/>
      </w:pPr>
      <w:rPr>
        <w:rFonts w:hint="default"/>
      </w:rPr>
    </w:lvl>
    <w:lvl w:ilvl="8">
      <w:start w:val="1"/>
      <w:numFmt w:val="lowerRoman"/>
      <w:pStyle w:val="Heading9"/>
      <w:lvlText w:val="%9."/>
      <w:lvlJc w:val="right"/>
      <w:pPr>
        <w:tabs>
          <w:tab w:val="num" w:pos="1584"/>
        </w:tabs>
        <w:ind w:left="1584" w:hanging="144"/>
      </w:pPr>
      <w:rPr>
        <w:rFonts w:hint="default"/>
      </w:rPr>
    </w:lvl>
  </w:abstractNum>
  <w:abstractNum w:abstractNumId="39" w15:restartNumberingAfterBreak="0">
    <w:nsid w:val="4C1C219C"/>
    <w:multiLevelType w:val="hybridMultilevel"/>
    <w:tmpl w:val="100AC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D1679D3"/>
    <w:multiLevelType w:val="hybridMultilevel"/>
    <w:tmpl w:val="DD12A84E"/>
    <w:lvl w:ilvl="0" w:tplc="5928C094">
      <w:start w:val="1"/>
      <w:numFmt w:val="bullet"/>
      <w:lvlText w:val=""/>
      <w:lvlJc w:val="left"/>
      <w:pPr>
        <w:tabs>
          <w:tab w:val="num" w:pos="720"/>
        </w:tabs>
        <w:ind w:left="720" w:hanging="360"/>
      </w:pPr>
      <w:rPr>
        <w:rFonts w:ascii="Symbol" w:hAnsi="Symbol" w:hint="default"/>
        <w:color w:val="auto"/>
        <w:sz w:val="18"/>
        <w:szCs w:val="18"/>
      </w:rPr>
    </w:lvl>
    <w:lvl w:ilvl="1" w:tplc="75747766" w:tentative="1">
      <w:start w:val="1"/>
      <w:numFmt w:val="bullet"/>
      <w:lvlText w:val="o"/>
      <w:lvlJc w:val="left"/>
      <w:pPr>
        <w:tabs>
          <w:tab w:val="num" w:pos="1440"/>
        </w:tabs>
        <w:ind w:left="1440" w:hanging="360"/>
      </w:pPr>
      <w:rPr>
        <w:rFonts w:ascii="Courier New" w:hAnsi="Courier New" w:cs="Courier New" w:hint="default"/>
      </w:rPr>
    </w:lvl>
    <w:lvl w:ilvl="2" w:tplc="2786A26E" w:tentative="1">
      <w:start w:val="1"/>
      <w:numFmt w:val="bullet"/>
      <w:lvlText w:val=""/>
      <w:lvlJc w:val="left"/>
      <w:pPr>
        <w:tabs>
          <w:tab w:val="num" w:pos="2160"/>
        </w:tabs>
        <w:ind w:left="2160" w:hanging="360"/>
      </w:pPr>
      <w:rPr>
        <w:rFonts w:ascii="Wingdings" w:hAnsi="Wingdings" w:hint="default"/>
      </w:rPr>
    </w:lvl>
    <w:lvl w:ilvl="3" w:tplc="BDECA0CA" w:tentative="1">
      <w:start w:val="1"/>
      <w:numFmt w:val="bullet"/>
      <w:lvlText w:val=""/>
      <w:lvlJc w:val="left"/>
      <w:pPr>
        <w:tabs>
          <w:tab w:val="num" w:pos="2880"/>
        </w:tabs>
        <w:ind w:left="2880" w:hanging="360"/>
      </w:pPr>
      <w:rPr>
        <w:rFonts w:ascii="Symbol" w:hAnsi="Symbol" w:hint="default"/>
      </w:rPr>
    </w:lvl>
    <w:lvl w:ilvl="4" w:tplc="ECF86A80" w:tentative="1">
      <w:start w:val="1"/>
      <w:numFmt w:val="bullet"/>
      <w:lvlText w:val="o"/>
      <w:lvlJc w:val="left"/>
      <w:pPr>
        <w:tabs>
          <w:tab w:val="num" w:pos="3600"/>
        </w:tabs>
        <w:ind w:left="3600" w:hanging="360"/>
      </w:pPr>
      <w:rPr>
        <w:rFonts w:ascii="Courier New" w:hAnsi="Courier New" w:cs="Courier New" w:hint="default"/>
      </w:rPr>
    </w:lvl>
    <w:lvl w:ilvl="5" w:tplc="0AACC6E2" w:tentative="1">
      <w:start w:val="1"/>
      <w:numFmt w:val="bullet"/>
      <w:lvlText w:val=""/>
      <w:lvlJc w:val="left"/>
      <w:pPr>
        <w:tabs>
          <w:tab w:val="num" w:pos="4320"/>
        </w:tabs>
        <w:ind w:left="4320" w:hanging="360"/>
      </w:pPr>
      <w:rPr>
        <w:rFonts w:ascii="Wingdings" w:hAnsi="Wingdings" w:hint="default"/>
      </w:rPr>
    </w:lvl>
    <w:lvl w:ilvl="6" w:tplc="64DA7556" w:tentative="1">
      <w:start w:val="1"/>
      <w:numFmt w:val="bullet"/>
      <w:lvlText w:val=""/>
      <w:lvlJc w:val="left"/>
      <w:pPr>
        <w:tabs>
          <w:tab w:val="num" w:pos="5040"/>
        </w:tabs>
        <w:ind w:left="5040" w:hanging="360"/>
      </w:pPr>
      <w:rPr>
        <w:rFonts w:ascii="Symbol" w:hAnsi="Symbol" w:hint="default"/>
      </w:rPr>
    </w:lvl>
    <w:lvl w:ilvl="7" w:tplc="FC7CBA9A" w:tentative="1">
      <w:start w:val="1"/>
      <w:numFmt w:val="bullet"/>
      <w:lvlText w:val="o"/>
      <w:lvlJc w:val="left"/>
      <w:pPr>
        <w:tabs>
          <w:tab w:val="num" w:pos="5760"/>
        </w:tabs>
        <w:ind w:left="5760" w:hanging="360"/>
      </w:pPr>
      <w:rPr>
        <w:rFonts w:ascii="Courier New" w:hAnsi="Courier New" w:cs="Courier New" w:hint="default"/>
      </w:rPr>
    </w:lvl>
    <w:lvl w:ilvl="8" w:tplc="492A488C"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0D37508"/>
    <w:multiLevelType w:val="hybridMultilevel"/>
    <w:tmpl w:val="36DE74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160186C"/>
    <w:multiLevelType w:val="hybridMultilevel"/>
    <w:tmpl w:val="299C9166"/>
    <w:lvl w:ilvl="0" w:tplc="04090001">
      <w:start w:val="1"/>
      <w:numFmt w:val="bullet"/>
      <w:lvlText w:val=""/>
      <w:lvlJc w:val="left"/>
      <w:pPr>
        <w:ind w:left="1496" w:hanging="360"/>
      </w:pPr>
      <w:rPr>
        <w:rFonts w:ascii="Symbol" w:hAnsi="Symbol" w:hint="default"/>
      </w:rPr>
    </w:lvl>
    <w:lvl w:ilvl="1" w:tplc="04090003">
      <w:start w:val="1"/>
      <w:numFmt w:val="bullet"/>
      <w:lvlText w:val="o"/>
      <w:lvlJc w:val="left"/>
      <w:pPr>
        <w:ind w:left="2216" w:hanging="360"/>
      </w:pPr>
      <w:rPr>
        <w:rFonts w:ascii="Courier New" w:hAnsi="Courier New" w:cs="Courier New" w:hint="default"/>
      </w:rPr>
    </w:lvl>
    <w:lvl w:ilvl="2" w:tplc="04090005">
      <w:start w:val="1"/>
      <w:numFmt w:val="bullet"/>
      <w:lvlText w:val=""/>
      <w:lvlJc w:val="left"/>
      <w:pPr>
        <w:ind w:left="2936" w:hanging="360"/>
      </w:pPr>
      <w:rPr>
        <w:rFonts w:ascii="Wingdings" w:hAnsi="Wingdings" w:hint="default"/>
      </w:rPr>
    </w:lvl>
    <w:lvl w:ilvl="3" w:tplc="04090001">
      <w:start w:val="1"/>
      <w:numFmt w:val="bullet"/>
      <w:lvlText w:val=""/>
      <w:lvlJc w:val="left"/>
      <w:pPr>
        <w:ind w:left="3656" w:hanging="360"/>
      </w:pPr>
      <w:rPr>
        <w:rFonts w:ascii="Symbol" w:hAnsi="Symbol" w:hint="default"/>
      </w:rPr>
    </w:lvl>
    <w:lvl w:ilvl="4" w:tplc="04090003">
      <w:start w:val="1"/>
      <w:numFmt w:val="bullet"/>
      <w:lvlText w:val="o"/>
      <w:lvlJc w:val="left"/>
      <w:pPr>
        <w:ind w:left="4376" w:hanging="360"/>
      </w:pPr>
      <w:rPr>
        <w:rFonts w:ascii="Courier New" w:hAnsi="Courier New" w:cs="Courier New" w:hint="default"/>
      </w:rPr>
    </w:lvl>
    <w:lvl w:ilvl="5" w:tplc="04090005">
      <w:start w:val="1"/>
      <w:numFmt w:val="bullet"/>
      <w:lvlText w:val=""/>
      <w:lvlJc w:val="left"/>
      <w:pPr>
        <w:ind w:left="5096" w:hanging="360"/>
      </w:pPr>
      <w:rPr>
        <w:rFonts w:ascii="Wingdings" w:hAnsi="Wingdings" w:hint="default"/>
      </w:rPr>
    </w:lvl>
    <w:lvl w:ilvl="6" w:tplc="04090001">
      <w:start w:val="1"/>
      <w:numFmt w:val="bullet"/>
      <w:lvlText w:val=""/>
      <w:lvlJc w:val="left"/>
      <w:pPr>
        <w:ind w:left="5816" w:hanging="360"/>
      </w:pPr>
      <w:rPr>
        <w:rFonts w:ascii="Symbol" w:hAnsi="Symbol" w:hint="default"/>
      </w:rPr>
    </w:lvl>
    <w:lvl w:ilvl="7" w:tplc="04090003">
      <w:start w:val="1"/>
      <w:numFmt w:val="bullet"/>
      <w:lvlText w:val="o"/>
      <w:lvlJc w:val="left"/>
      <w:pPr>
        <w:ind w:left="6536" w:hanging="360"/>
      </w:pPr>
      <w:rPr>
        <w:rFonts w:ascii="Courier New" w:hAnsi="Courier New" w:cs="Courier New" w:hint="default"/>
      </w:rPr>
    </w:lvl>
    <w:lvl w:ilvl="8" w:tplc="04090005">
      <w:start w:val="1"/>
      <w:numFmt w:val="bullet"/>
      <w:lvlText w:val=""/>
      <w:lvlJc w:val="left"/>
      <w:pPr>
        <w:ind w:left="7256" w:hanging="360"/>
      </w:pPr>
      <w:rPr>
        <w:rFonts w:ascii="Wingdings" w:hAnsi="Wingdings" w:hint="default"/>
      </w:rPr>
    </w:lvl>
  </w:abstractNum>
  <w:abstractNum w:abstractNumId="43" w15:restartNumberingAfterBreak="0">
    <w:nsid w:val="53720453"/>
    <w:multiLevelType w:val="hybridMultilevel"/>
    <w:tmpl w:val="4AAC0A16"/>
    <w:lvl w:ilvl="0" w:tplc="FFFFFFFF">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
      <w:lvlJc w:val="left"/>
      <w:pPr>
        <w:tabs>
          <w:tab w:val="num" w:pos="1440"/>
        </w:tabs>
        <w:ind w:left="1440" w:hanging="360"/>
      </w:pPr>
      <w:rPr>
        <w:rFonts w:ascii="Symbol" w:hAnsi="Symbol" w:hint="default"/>
        <w:color w:val="auto"/>
        <w:sz w:val="18"/>
        <w:szCs w:val="1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3965C2C"/>
    <w:multiLevelType w:val="hybridMultilevel"/>
    <w:tmpl w:val="B6883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65955FC"/>
    <w:multiLevelType w:val="hybridMultilevel"/>
    <w:tmpl w:val="D458C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07B1F08"/>
    <w:multiLevelType w:val="hybridMultilevel"/>
    <w:tmpl w:val="9CCE27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60B6796A"/>
    <w:multiLevelType w:val="hybridMultilevel"/>
    <w:tmpl w:val="A14683B4"/>
    <w:lvl w:ilvl="0" w:tplc="9D5413AE">
      <w:start w:val="1"/>
      <w:numFmt w:val="bullet"/>
      <w:pStyle w:val="ListBullet2"/>
      <w:lvlText w:val="o"/>
      <w:lvlJc w:val="left"/>
      <w:pPr>
        <w:tabs>
          <w:tab w:val="num" w:pos="648"/>
        </w:tabs>
        <w:ind w:left="648" w:firstLine="0"/>
      </w:pPr>
      <w:rPr>
        <w:rFonts w:ascii="Symbol" w:hAnsi="Symbol" w:hint="default"/>
        <w:sz w:val="18"/>
        <w:szCs w:val="18"/>
      </w:rPr>
    </w:lvl>
    <w:lvl w:ilvl="1" w:tplc="4934A276">
      <w:start w:val="1"/>
      <w:numFmt w:val="bullet"/>
      <w:lvlText w:val="o"/>
      <w:lvlJc w:val="left"/>
      <w:pPr>
        <w:tabs>
          <w:tab w:val="num" w:pos="1728"/>
        </w:tabs>
        <w:ind w:left="1728" w:hanging="360"/>
      </w:pPr>
      <w:rPr>
        <w:rFonts w:ascii="Courier New" w:hAnsi="Courier New" w:cs="Courier New" w:hint="default"/>
      </w:rPr>
    </w:lvl>
    <w:lvl w:ilvl="2" w:tplc="F4C49940" w:tentative="1">
      <w:start w:val="1"/>
      <w:numFmt w:val="bullet"/>
      <w:lvlText w:val=""/>
      <w:lvlJc w:val="left"/>
      <w:pPr>
        <w:tabs>
          <w:tab w:val="num" w:pos="2448"/>
        </w:tabs>
        <w:ind w:left="2448" w:hanging="360"/>
      </w:pPr>
      <w:rPr>
        <w:rFonts w:ascii="Wingdings" w:hAnsi="Wingdings" w:hint="default"/>
      </w:rPr>
    </w:lvl>
    <w:lvl w:ilvl="3" w:tplc="9BF0EEEE" w:tentative="1">
      <w:start w:val="1"/>
      <w:numFmt w:val="bullet"/>
      <w:lvlText w:val=""/>
      <w:lvlJc w:val="left"/>
      <w:pPr>
        <w:tabs>
          <w:tab w:val="num" w:pos="3168"/>
        </w:tabs>
        <w:ind w:left="3168" w:hanging="360"/>
      </w:pPr>
      <w:rPr>
        <w:rFonts w:ascii="Symbol" w:hAnsi="Symbol" w:hint="default"/>
      </w:rPr>
    </w:lvl>
    <w:lvl w:ilvl="4" w:tplc="DAB26242" w:tentative="1">
      <w:start w:val="1"/>
      <w:numFmt w:val="bullet"/>
      <w:lvlText w:val="o"/>
      <w:lvlJc w:val="left"/>
      <w:pPr>
        <w:tabs>
          <w:tab w:val="num" w:pos="3888"/>
        </w:tabs>
        <w:ind w:left="3888" w:hanging="360"/>
      </w:pPr>
      <w:rPr>
        <w:rFonts w:ascii="Courier New" w:hAnsi="Courier New" w:cs="Courier New" w:hint="default"/>
      </w:rPr>
    </w:lvl>
    <w:lvl w:ilvl="5" w:tplc="F6220AC8" w:tentative="1">
      <w:start w:val="1"/>
      <w:numFmt w:val="bullet"/>
      <w:lvlText w:val=""/>
      <w:lvlJc w:val="left"/>
      <w:pPr>
        <w:tabs>
          <w:tab w:val="num" w:pos="4608"/>
        </w:tabs>
        <w:ind w:left="4608" w:hanging="360"/>
      </w:pPr>
      <w:rPr>
        <w:rFonts w:ascii="Wingdings" w:hAnsi="Wingdings" w:hint="default"/>
      </w:rPr>
    </w:lvl>
    <w:lvl w:ilvl="6" w:tplc="19AC45C2" w:tentative="1">
      <w:start w:val="1"/>
      <w:numFmt w:val="bullet"/>
      <w:lvlText w:val=""/>
      <w:lvlJc w:val="left"/>
      <w:pPr>
        <w:tabs>
          <w:tab w:val="num" w:pos="5328"/>
        </w:tabs>
        <w:ind w:left="5328" w:hanging="360"/>
      </w:pPr>
      <w:rPr>
        <w:rFonts w:ascii="Symbol" w:hAnsi="Symbol" w:hint="default"/>
      </w:rPr>
    </w:lvl>
    <w:lvl w:ilvl="7" w:tplc="B78ACCBC" w:tentative="1">
      <w:start w:val="1"/>
      <w:numFmt w:val="bullet"/>
      <w:lvlText w:val="o"/>
      <w:lvlJc w:val="left"/>
      <w:pPr>
        <w:tabs>
          <w:tab w:val="num" w:pos="6048"/>
        </w:tabs>
        <w:ind w:left="6048" w:hanging="360"/>
      </w:pPr>
      <w:rPr>
        <w:rFonts w:ascii="Courier New" w:hAnsi="Courier New" w:cs="Courier New" w:hint="default"/>
      </w:rPr>
    </w:lvl>
    <w:lvl w:ilvl="8" w:tplc="BFE680F6" w:tentative="1">
      <w:start w:val="1"/>
      <w:numFmt w:val="bullet"/>
      <w:lvlText w:val=""/>
      <w:lvlJc w:val="left"/>
      <w:pPr>
        <w:tabs>
          <w:tab w:val="num" w:pos="6768"/>
        </w:tabs>
        <w:ind w:left="6768" w:hanging="360"/>
      </w:pPr>
      <w:rPr>
        <w:rFonts w:ascii="Wingdings" w:hAnsi="Wingdings" w:hint="default"/>
      </w:rPr>
    </w:lvl>
  </w:abstractNum>
  <w:abstractNum w:abstractNumId="48" w15:restartNumberingAfterBreak="0">
    <w:nsid w:val="62F059BA"/>
    <w:multiLevelType w:val="multilevel"/>
    <w:tmpl w:val="ED14D64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3F8780D"/>
    <w:multiLevelType w:val="hybridMultilevel"/>
    <w:tmpl w:val="024EB8B2"/>
    <w:lvl w:ilvl="0" w:tplc="7A4AF26A">
      <w:start w:val="1"/>
      <w:numFmt w:val="bullet"/>
      <w:pStyle w:val="ListBullet"/>
      <w:lvlText w:val=""/>
      <w:lvlJc w:val="left"/>
      <w:pPr>
        <w:tabs>
          <w:tab w:val="num" w:pos="648"/>
        </w:tabs>
        <w:ind w:left="648" w:hanging="360"/>
      </w:pPr>
      <w:rPr>
        <w:rFonts w:ascii="Symbol" w:hAnsi="Symbol" w:hint="default"/>
        <w:strike w:val="0"/>
        <w:dstrike w:val="0"/>
        <w:color w:val="auto"/>
        <w:sz w:val="22"/>
        <w:szCs w:val="22"/>
      </w:rPr>
    </w:lvl>
    <w:lvl w:ilvl="1" w:tplc="9678102E">
      <w:start w:val="1"/>
      <w:numFmt w:val="bullet"/>
      <w:lvlText w:val="o"/>
      <w:lvlJc w:val="left"/>
      <w:pPr>
        <w:tabs>
          <w:tab w:val="num" w:pos="1440"/>
        </w:tabs>
        <w:ind w:left="1440" w:hanging="360"/>
      </w:pPr>
      <w:rPr>
        <w:rFonts w:ascii="Courier New" w:hAnsi="Courier New" w:cs="Courier New" w:hint="default"/>
      </w:rPr>
    </w:lvl>
    <w:lvl w:ilvl="2" w:tplc="FE64F57C" w:tentative="1">
      <w:start w:val="1"/>
      <w:numFmt w:val="bullet"/>
      <w:lvlText w:val=""/>
      <w:lvlJc w:val="left"/>
      <w:pPr>
        <w:tabs>
          <w:tab w:val="num" w:pos="2160"/>
        </w:tabs>
        <w:ind w:left="2160" w:hanging="360"/>
      </w:pPr>
      <w:rPr>
        <w:rFonts w:ascii="Wingdings" w:hAnsi="Wingdings" w:hint="default"/>
      </w:rPr>
    </w:lvl>
    <w:lvl w:ilvl="3" w:tplc="45624D4E" w:tentative="1">
      <w:start w:val="1"/>
      <w:numFmt w:val="bullet"/>
      <w:lvlText w:val=""/>
      <w:lvlJc w:val="left"/>
      <w:pPr>
        <w:tabs>
          <w:tab w:val="num" w:pos="2880"/>
        </w:tabs>
        <w:ind w:left="2880" w:hanging="360"/>
      </w:pPr>
      <w:rPr>
        <w:rFonts w:ascii="Symbol" w:hAnsi="Symbol" w:hint="default"/>
      </w:rPr>
    </w:lvl>
    <w:lvl w:ilvl="4" w:tplc="FFA044D0" w:tentative="1">
      <w:start w:val="1"/>
      <w:numFmt w:val="bullet"/>
      <w:lvlText w:val="o"/>
      <w:lvlJc w:val="left"/>
      <w:pPr>
        <w:tabs>
          <w:tab w:val="num" w:pos="3600"/>
        </w:tabs>
        <w:ind w:left="3600" w:hanging="360"/>
      </w:pPr>
      <w:rPr>
        <w:rFonts w:ascii="Courier New" w:hAnsi="Courier New" w:cs="Courier New" w:hint="default"/>
      </w:rPr>
    </w:lvl>
    <w:lvl w:ilvl="5" w:tplc="557CF39A" w:tentative="1">
      <w:start w:val="1"/>
      <w:numFmt w:val="bullet"/>
      <w:lvlText w:val=""/>
      <w:lvlJc w:val="left"/>
      <w:pPr>
        <w:tabs>
          <w:tab w:val="num" w:pos="4320"/>
        </w:tabs>
        <w:ind w:left="4320" w:hanging="360"/>
      </w:pPr>
      <w:rPr>
        <w:rFonts w:ascii="Wingdings" w:hAnsi="Wingdings" w:hint="default"/>
      </w:rPr>
    </w:lvl>
    <w:lvl w:ilvl="6" w:tplc="1EF28D7A" w:tentative="1">
      <w:start w:val="1"/>
      <w:numFmt w:val="bullet"/>
      <w:lvlText w:val=""/>
      <w:lvlJc w:val="left"/>
      <w:pPr>
        <w:tabs>
          <w:tab w:val="num" w:pos="5040"/>
        </w:tabs>
        <w:ind w:left="5040" w:hanging="360"/>
      </w:pPr>
      <w:rPr>
        <w:rFonts w:ascii="Symbol" w:hAnsi="Symbol" w:hint="default"/>
      </w:rPr>
    </w:lvl>
    <w:lvl w:ilvl="7" w:tplc="E47C27E2" w:tentative="1">
      <w:start w:val="1"/>
      <w:numFmt w:val="bullet"/>
      <w:lvlText w:val="o"/>
      <w:lvlJc w:val="left"/>
      <w:pPr>
        <w:tabs>
          <w:tab w:val="num" w:pos="5760"/>
        </w:tabs>
        <w:ind w:left="5760" w:hanging="360"/>
      </w:pPr>
      <w:rPr>
        <w:rFonts w:ascii="Courier New" w:hAnsi="Courier New" w:cs="Courier New" w:hint="default"/>
      </w:rPr>
    </w:lvl>
    <w:lvl w:ilvl="8" w:tplc="5BA8C6BE"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3FC7FED"/>
    <w:multiLevelType w:val="hybridMultilevel"/>
    <w:tmpl w:val="05969A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65E67AC4"/>
    <w:multiLevelType w:val="hybridMultilevel"/>
    <w:tmpl w:val="0CB492B6"/>
    <w:lvl w:ilvl="0" w:tplc="FFFFFFFF">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70E4C09"/>
    <w:multiLevelType w:val="hybridMultilevel"/>
    <w:tmpl w:val="E018ADEA"/>
    <w:lvl w:ilvl="0" w:tplc="04090003">
      <w:start w:val="1"/>
      <w:numFmt w:val="bullet"/>
      <w:lvlText w:val="o"/>
      <w:lvlJc w:val="left"/>
      <w:pPr>
        <w:tabs>
          <w:tab w:val="num" w:pos="1008"/>
        </w:tabs>
        <w:ind w:left="1008" w:hanging="360"/>
      </w:pPr>
      <w:rPr>
        <w:rFonts w:ascii="Courier New" w:hAnsi="Courier New" w:cs="Courier New" w:hint="default"/>
        <w:strike w:val="0"/>
        <w:dstrike w:val="0"/>
        <w:color w:val="auto"/>
        <w:sz w:val="22"/>
        <w:szCs w:val="22"/>
      </w:rPr>
    </w:lvl>
    <w:lvl w:ilvl="1" w:tplc="29C0FDC6">
      <w:start w:val="1"/>
      <w:numFmt w:val="bullet"/>
      <w:lvlText w:val="o"/>
      <w:lvlJc w:val="left"/>
      <w:pPr>
        <w:tabs>
          <w:tab w:val="num" w:pos="1800"/>
        </w:tabs>
        <w:ind w:left="1800" w:hanging="360"/>
      </w:pPr>
      <w:rPr>
        <w:rFonts w:ascii="Courier New" w:hAnsi="Courier New" w:cs="Courier New" w:hint="default"/>
      </w:rPr>
    </w:lvl>
    <w:lvl w:ilvl="2" w:tplc="1D06B920" w:tentative="1">
      <w:start w:val="1"/>
      <w:numFmt w:val="bullet"/>
      <w:lvlText w:val=""/>
      <w:lvlJc w:val="left"/>
      <w:pPr>
        <w:tabs>
          <w:tab w:val="num" w:pos="2520"/>
        </w:tabs>
        <w:ind w:left="2520" w:hanging="360"/>
      </w:pPr>
      <w:rPr>
        <w:rFonts w:ascii="Wingdings" w:hAnsi="Wingdings" w:hint="default"/>
      </w:rPr>
    </w:lvl>
    <w:lvl w:ilvl="3" w:tplc="8ACA0C3C" w:tentative="1">
      <w:start w:val="1"/>
      <w:numFmt w:val="bullet"/>
      <w:lvlText w:val=""/>
      <w:lvlJc w:val="left"/>
      <w:pPr>
        <w:tabs>
          <w:tab w:val="num" w:pos="3240"/>
        </w:tabs>
        <w:ind w:left="3240" w:hanging="360"/>
      </w:pPr>
      <w:rPr>
        <w:rFonts w:ascii="Symbol" w:hAnsi="Symbol" w:hint="default"/>
      </w:rPr>
    </w:lvl>
    <w:lvl w:ilvl="4" w:tplc="CC428646" w:tentative="1">
      <w:start w:val="1"/>
      <w:numFmt w:val="bullet"/>
      <w:lvlText w:val="o"/>
      <w:lvlJc w:val="left"/>
      <w:pPr>
        <w:tabs>
          <w:tab w:val="num" w:pos="3960"/>
        </w:tabs>
        <w:ind w:left="3960" w:hanging="360"/>
      </w:pPr>
      <w:rPr>
        <w:rFonts w:ascii="Courier New" w:hAnsi="Courier New" w:cs="Courier New" w:hint="default"/>
      </w:rPr>
    </w:lvl>
    <w:lvl w:ilvl="5" w:tplc="A61C0152" w:tentative="1">
      <w:start w:val="1"/>
      <w:numFmt w:val="bullet"/>
      <w:lvlText w:val=""/>
      <w:lvlJc w:val="left"/>
      <w:pPr>
        <w:tabs>
          <w:tab w:val="num" w:pos="4680"/>
        </w:tabs>
        <w:ind w:left="4680" w:hanging="360"/>
      </w:pPr>
      <w:rPr>
        <w:rFonts w:ascii="Wingdings" w:hAnsi="Wingdings" w:hint="default"/>
      </w:rPr>
    </w:lvl>
    <w:lvl w:ilvl="6" w:tplc="DDDCF7E6" w:tentative="1">
      <w:start w:val="1"/>
      <w:numFmt w:val="bullet"/>
      <w:lvlText w:val=""/>
      <w:lvlJc w:val="left"/>
      <w:pPr>
        <w:tabs>
          <w:tab w:val="num" w:pos="5400"/>
        </w:tabs>
        <w:ind w:left="5400" w:hanging="360"/>
      </w:pPr>
      <w:rPr>
        <w:rFonts w:ascii="Symbol" w:hAnsi="Symbol" w:hint="default"/>
      </w:rPr>
    </w:lvl>
    <w:lvl w:ilvl="7" w:tplc="CD8E4C8A" w:tentative="1">
      <w:start w:val="1"/>
      <w:numFmt w:val="bullet"/>
      <w:lvlText w:val="o"/>
      <w:lvlJc w:val="left"/>
      <w:pPr>
        <w:tabs>
          <w:tab w:val="num" w:pos="6120"/>
        </w:tabs>
        <w:ind w:left="6120" w:hanging="360"/>
      </w:pPr>
      <w:rPr>
        <w:rFonts w:ascii="Courier New" w:hAnsi="Courier New" w:cs="Courier New" w:hint="default"/>
      </w:rPr>
    </w:lvl>
    <w:lvl w:ilvl="8" w:tplc="B61CE16E" w:tentative="1">
      <w:start w:val="1"/>
      <w:numFmt w:val="bullet"/>
      <w:lvlText w:val=""/>
      <w:lvlJc w:val="left"/>
      <w:pPr>
        <w:tabs>
          <w:tab w:val="num" w:pos="6840"/>
        </w:tabs>
        <w:ind w:left="6840" w:hanging="360"/>
      </w:pPr>
      <w:rPr>
        <w:rFonts w:ascii="Wingdings" w:hAnsi="Wingdings" w:hint="default"/>
      </w:rPr>
    </w:lvl>
  </w:abstractNum>
  <w:abstractNum w:abstractNumId="53" w15:restartNumberingAfterBreak="0">
    <w:nsid w:val="72A86BD2"/>
    <w:multiLevelType w:val="singleLevel"/>
    <w:tmpl w:val="606ED0A8"/>
    <w:lvl w:ilvl="0">
      <w:start w:val="1"/>
      <w:numFmt w:val="bullet"/>
      <w:lvlText w:val=""/>
      <w:lvlJc w:val="left"/>
      <w:pPr>
        <w:tabs>
          <w:tab w:val="num" w:pos="720"/>
        </w:tabs>
        <w:ind w:left="720" w:hanging="360"/>
      </w:pPr>
      <w:rPr>
        <w:rFonts w:ascii="Symbol" w:hAnsi="Symbol" w:hint="default"/>
        <w:sz w:val="24"/>
      </w:rPr>
    </w:lvl>
  </w:abstractNum>
  <w:abstractNum w:abstractNumId="54" w15:restartNumberingAfterBreak="0">
    <w:nsid w:val="758D651D"/>
    <w:multiLevelType w:val="hybridMultilevel"/>
    <w:tmpl w:val="C210867C"/>
    <w:lvl w:ilvl="0" w:tplc="9C84FF40">
      <w:start w:val="1"/>
      <w:numFmt w:val="bullet"/>
      <w:pStyle w:val="TableTextNumbersBullet"/>
      <w:lvlText w:val=""/>
      <w:lvlJc w:val="left"/>
      <w:pPr>
        <w:tabs>
          <w:tab w:val="num" w:pos="288"/>
        </w:tabs>
        <w:ind w:left="288" w:firstLine="0"/>
      </w:pPr>
      <w:rPr>
        <w:rFonts w:ascii="Symbol" w:hAnsi="Symbol" w:hint="default"/>
        <w:sz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1256CB54"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5D36AAB"/>
    <w:multiLevelType w:val="hybridMultilevel"/>
    <w:tmpl w:val="D87E1606"/>
    <w:lvl w:ilvl="0" w:tplc="80FEF9BA">
      <w:start w:val="1"/>
      <w:numFmt w:val="bullet"/>
      <w:lvlText w:val=""/>
      <w:lvlJc w:val="left"/>
      <w:pPr>
        <w:tabs>
          <w:tab w:val="num" w:pos="1440"/>
        </w:tabs>
        <w:ind w:left="1440" w:hanging="360"/>
      </w:pPr>
      <w:rPr>
        <w:rFonts w:ascii="Symbol" w:hAnsi="Symbol" w:hint="default"/>
      </w:rPr>
    </w:lvl>
    <w:lvl w:ilvl="1" w:tplc="E2A43398" w:tentative="1">
      <w:start w:val="1"/>
      <w:numFmt w:val="bullet"/>
      <w:lvlText w:val="o"/>
      <w:lvlJc w:val="left"/>
      <w:pPr>
        <w:tabs>
          <w:tab w:val="num" w:pos="2160"/>
        </w:tabs>
        <w:ind w:left="2160" w:hanging="360"/>
      </w:pPr>
      <w:rPr>
        <w:rFonts w:ascii="Courier New" w:hAnsi="Courier New" w:cs="Courier New" w:hint="default"/>
      </w:rPr>
    </w:lvl>
    <w:lvl w:ilvl="2" w:tplc="B2F87258" w:tentative="1">
      <w:start w:val="1"/>
      <w:numFmt w:val="bullet"/>
      <w:lvlText w:val=""/>
      <w:lvlJc w:val="left"/>
      <w:pPr>
        <w:tabs>
          <w:tab w:val="num" w:pos="2880"/>
        </w:tabs>
        <w:ind w:left="2880" w:hanging="360"/>
      </w:pPr>
      <w:rPr>
        <w:rFonts w:ascii="Wingdings" w:hAnsi="Wingdings" w:hint="default"/>
      </w:rPr>
    </w:lvl>
    <w:lvl w:ilvl="3" w:tplc="116CE0E6" w:tentative="1">
      <w:start w:val="1"/>
      <w:numFmt w:val="bullet"/>
      <w:lvlText w:val=""/>
      <w:lvlJc w:val="left"/>
      <w:pPr>
        <w:tabs>
          <w:tab w:val="num" w:pos="3600"/>
        </w:tabs>
        <w:ind w:left="3600" w:hanging="360"/>
      </w:pPr>
      <w:rPr>
        <w:rFonts w:ascii="Symbol" w:hAnsi="Symbol" w:hint="default"/>
      </w:rPr>
    </w:lvl>
    <w:lvl w:ilvl="4" w:tplc="65782802" w:tentative="1">
      <w:start w:val="1"/>
      <w:numFmt w:val="bullet"/>
      <w:lvlText w:val="o"/>
      <w:lvlJc w:val="left"/>
      <w:pPr>
        <w:tabs>
          <w:tab w:val="num" w:pos="4320"/>
        </w:tabs>
        <w:ind w:left="4320" w:hanging="360"/>
      </w:pPr>
      <w:rPr>
        <w:rFonts w:ascii="Courier New" w:hAnsi="Courier New" w:cs="Courier New" w:hint="default"/>
      </w:rPr>
    </w:lvl>
    <w:lvl w:ilvl="5" w:tplc="4D4E0C78" w:tentative="1">
      <w:start w:val="1"/>
      <w:numFmt w:val="bullet"/>
      <w:lvlText w:val=""/>
      <w:lvlJc w:val="left"/>
      <w:pPr>
        <w:tabs>
          <w:tab w:val="num" w:pos="5040"/>
        </w:tabs>
        <w:ind w:left="5040" w:hanging="360"/>
      </w:pPr>
      <w:rPr>
        <w:rFonts w:ascii="Wingdings" w:hAnsi="Wingdings" w:hint="default"/>
      </w:rPr>
    </w:lvl>
    <w:lvl w:ilvl="6" w:tplc="9F6434EE" w:tentative="1">
      <w:start w:val="1"/>
      <w:numFmt w:val="bullet"/>
      <w:lvlText w:val=""/>
      <w:lvlJc w:val="left"/>
      <w:pPr>
        <w:tabs>
          <w:tab w:val="num" w:pos="5760"/>
        </w:tabs>
        <w:ind w:left="5760" w:hanging="360"/>
      </w:pPr>
      <w:rPr>
        <w:rFonts w:ascii="Symbol" w:hAnsi="Symbol" w:hint="default"/>
      </w:rPr>
    </w:lvl>
    <w:lvl w:ilvl="7" w:tplc="F8B857D2" w:tentative="1">
      <w:start w:val="1"/>
      <w:numFmt w:val="bullet"/>
      <w:lvlText w:val="o"/>
      <w:lvlJc w:val="left"/>
      <w:pPr>
        <w:tabs>
          <w:tab w:val="num" w:pos="6480"/>
        </w:tabs>
        <w:ind w:left="6480" w:hanging="360"/>
      </w:pPr>
      <w:rPr>
        <w:rFonts w:ascii="Courier New" w:hAnsi="Courier New" w:cs="Courier New" w:hint="default"/>
      </w:rPr>
    </w:lvl>
    <w:lvl w:ilvl="8" w:tplc="8836122C" w:tentative="1">
      <w:start w:val="1"/>
      <w:numFmt w:val="bullet"/>
      <w:lvlText w:val=""/>
      <w:lvlJc w:val="left"/>
      <w:pPr>
        <w:tabs>
          <w:tab w:val="num" w:pos="7200"/>
        </w:tabs>
        <w:ind w:left="7200" w:hanging="360"/>
      </w:pPr>
      <w:rPr>
        <w:rFonts w:ascii="Wingdings" w:hAnsi="Wingdings" w:hint="default"/>
      </w:rPr>
    </w:lvl>
  </w:abstractNum>
  <w:abstractNum w:abstractNumId="56" w15:restartNumberingAfterBreak="0">
    <w:nsid w:val="7AAD1F61"/>
    <w:multiLevelType w:val="hybridMultilevel"/>
    <w:tmpl w:val="19449DFA"/>
    <w:lvl w:ilvl="0" w:tplc="FFFFFFFF">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C022B11"/>
    <w:multiLevelType w:val="hybridMultilevel"/>
    <w:tmpl w:val="B60A4BCE"/>
    <w:lvl w:ilvl="0" w:tplc="FFFFFFFF">
      <w:start w:val="2"/>
      <w:numFmt w:val="bullet"/>
      <w:lvlText w:val=""/>
      <w:lvlJc w:val="left"/>
      <w:pPr>
        <w:tabs>
          <w:tab w:val="num" w:pos="795"/>
        </w:tabs>
        <w:ind w:left="795" w:hanging="405"/>
      </w:pPr>
      <w:rPr>
        <w:rFonts w:ascii="Symbol" w:eastAsia="Times New Roman" w:hAnsi="Symbol" w:cs="Arial" w:hint="default"/>
      </w:rPr>
    </w:lvl>
    <w:lvl w:ilvl="1" w:tplc="04090001">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8" w15:restartNumberingAfterBreak="0">
    <w:nsid w:val="7ECB7E7E"/>
    <w:multiLevelType w:val="hybridMultilevel"/>
    <w:tmpl w:val="EF403034"/>
    <w:lvl w:ilvl="0" w:tplc="851AB840">
      <w:start w:val="1"/>
      <w:numFmt w:val="decimal"/>
      <w:pStyle w:val="ListNumber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4"/>
  </w:num>
  <w:num w:numId="3">
    <w:abstractNumId w:val="21"/>
  </w:num>
  <w:num w:numId="4">
    <w:abstractNumId w:val="34"/>
  </w:num>
  <w:num w:numId="5">
    <w:abstractNumId w:val="25"/>
  </w:num>
  <w:num w:numId="6">
    <w:abstractNumId w:val="30"/>
  </w:num>
  <w:num w:numId="7">
    <w:abstractNumId w:val="54"/>
  </w:num>
  <w:num w:numId="8">
    <w:abstractNumId w:val="47"/>
  </w:num>
  <w:num w:numId="9">
    <w:abstractNumId w:val="32"/>
  </w:num>
  <w:num w:numId="10">
    <w:abstractNumId w:val="18"/>
  </w:num>
  <w:num w:numId="11">
    <w:abstractNumId w:val="0"/>
  </w:num>
  <w:num w:numId="12">
    <w:abstractNumId w:val="1"/>
  </w:num>
  <w:num w:numId="13">
    <w:abstractNumId w:val="48"/>
  </w:num>
  <w:num w:numId="14">
    <w:abstractNumId w:val="35"/>
  </w:num>
  <w:num w:numId="15">
    <w:abstractNumId w:val="49"/>
  </w:num>
  <w:num w:numId="16">
    <w:abstractNumId w:val="8"/>
    <w:lvlOverride w:ilvl="0">
      <w:startOverride w:val="1"/>
    </w:lvlOverride>
  </w:num>
  <w:num w:numId="17">
    <w:abstractNumId w:val="8"/>
    <w:lvlOverride w:ilvl="0">
      <w:startOverride w:val="1"/>
    </w:lvlOverride>
  </w:num>
  <w:num w:numId="18">
    <w:abstractNumId w:val="8"/>
    <w:lvlOverride w:ilvl="0">
      <w:startOverride w:val="1"/>
    </w:lvlOverride>
  </w:num>
  <w:num w:numId="19">
    <w:abstractNumId w:val="8"/>
    <w:lvlOverride w:ilvl="0">
      <w:startOverride w:val="1"/>
    </w:lvlOverride>
  </w:num>
  <w:num w:numId="20">
    <w:abstractNumId w:val="8"/>
    <w:lvlOverride w:ilvl="0">
      <w:startOverride w:val="1"/>
    </w:lvlOverride>
  </w:num>
  <w:num w:numId="21">
    <w:abstractNumId w:val="8"/>
    <w:lvlOverride w:ilvl="0">
      <w:startOverride w:val="1"/>
    </w:lvlOverride>
  </w:num>
  <w:num w:numId="22">
    <w:abstractNumId w:val="8"/>
    <w:lvlOverride w:ilvl="0">
      <w:startOverride w:val="1"/>
    </w:lvlOverride>
  </w:num>
  <w:num w:numId="23">
    <w:abstractNumId w:val="8"/>
    <w:lvlOverride w:ilvl="0">
      <w:startOverride w:val="1"/>
    </w:lvlOverride>
  </w:num>
  <w:num w:numId="24">
    <w:abstractNumId w:val="8"/>
    <w:lvlOverride w:ilvl="0">
      <w:startOverride w:val="1"/>
    </w:lvlOverride>
  </w:num>
  <w:num w:numId="25">
    <w:abstractNumId w:val="8"/>
    <w:lvlOverride w:ilvl="0">
      <w:startOverride w:val="1"/>
    </w:lvlOverride>
  </w:num>
  <w:num w:numId="26">
    <w:abstractNumId w:val="8"/>
    <w:lvlOverride w:ilvl="0">
      <w:startOverride w:val="1"/>
    </w:lvlOverride>
  </w:num>
  <w:num w:numId="27">
    <w:abstractNumId w:val="8"/>
    <w:lvlOverride w:ilvl="0">
      <w:startOverride w:val="1"/>
    </w:lvlOverride>
  </w:num>
  <w:num w:numId="28">
    <w:abstractNumId w:val="8"/>
    <w:lvlOverride w:ilvl="0">
      <w:startOverride w:val="1"/>
    </w:lvlOverride>
  </w:num>
  <w:num w:numId="29">
    <w:abstractNumId w:val="8"/>
    <w:lvlOverride w:ilvl="0">
      <w:startOverride w:val="1"/>
    </w:lvlOverride>
  </w:num>
  <w:num w:numId="30">
    <w:abstractNumId w:val="8"/>
    <w:lvlOverride w:ilvl="0">
      <w:startOverride w:val="1"/>
    </w:lvlOverride>
  </w:num>
  <w:num w:numId="31">
    <w:abstractNumId w:val="8"/>
    <w:lvlOverride w:ilvl="0">
      <w:startOverride w:val="1"/>
    </w:lvlOverride>
  </w:num>
  <w:num w:numId="32">
    <w:abstractNumId w:val="8"/>
    <w:lvlOverride w:ilvl="0">
      <w:startOverride w:val="1"/>
    </w:lvlOverride>
  </w:num>
  <w:num w:numId="33">
    <w:abstractNumId w:val="28"/>
  </w:num>
  <w:num w:numId="34">
    <w:abstractNumId w:val="22"/>
  </w:num>
  <w:num w:numId="35">
    <w:abstractNumId w:val="3"/>
  </w:num>
  <w:num w:numId="36">
    <w:abstractNumId w:val="41"/>
  </w:num>
  <w:num w:numId="37">
    <w:abstractNumId w:val="11"/>
  </w:num>
  <w:num w:numId="38">
    <w:abstractNumId w:val="39"/>
  </w:num>
  <w:num w:numId="39">
    <w:abstractNumId w:val="13"/>
  </w:num>
  <w:num w:numId="40">
    <w:abstractNumId w:val="5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lvlOverride w:ilvl="0">
      <w:startOverride w:val="1"/>
    </w:lvlOverride>
  </w:num>
  <w:num w:numId="42">
    <w:abstractNumId w:val="34"/>
    <w:lvlOverride w:ilvl="0">
      <w:startOverride w:val="1"/>
    </w:lvlOverride>
  </w:num>
  <w:num w:numId="43">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4"/>
  </w:num>
  <w:num w:numId="45">
    <w:abstractNumId w:val="58"/>
  </w:num>
  <w:num w:numId="46">
    <w:abstractNumId w:val="58"/>
    <w:lvlOverride w:ilvl="0">
      <w:startOverride w:val="1"/>
    </w:lvlOverride>
  </w:num>
  <w:num w:numId="47">
    <w:abstractNumId w:val="42"/>
  </w:num>
  <w:num w:numId="48">
    <w:abstractNumId w:val="53"/>
  </w:num>
  <w:num w:numId="49">
    <w:abstractNumId w:val="12"/>
  </w:num>
  <w:num w:numId="50">
    <w:abstractNumId w:val="26"/>
  </w:num>
  <w:num w:numId="51">
    <w:abstractNumId w:val="2"/>
  </w:num>
  <w:num w:numId="52">
    <w:abstractNumId w:val="34"/>
    <w:lvlOverride w:ilvl="0">
      <w:startOverride w:val="1"/>
    </w:lvlOverride>
  </w:num>
  <w:num w:numId="53">
    <w:abstractNumId w:val="34"/>
    <w:lvlOverride w:ilvl="0">
      <w:startOverride w:val="1"/>
    </w:lvlOverride>
  </w:num>
  <w:num w:numId="54">
    <w:abstractNumId w:val="23"/>
  </w:num>
  <w:num w:numId="55">
    <w:abstractNumId w:val="50"/>
  </w:num>
  <w:num w:numId="56">
    <w:abstractNumId w:val="34"/>
    <w:lvlOverride w:ilvl="0">
      <w:startOverride w:val="1"/>
    </w:lvlOverride>
  </w:num>
  <w:num w:numId="57">
    <w:abstractNumId w:val="29"/>
  </w:num>
  <w:num w:numId="58">
    <w:abstractNumId w:val="19"/>
  </w:num>
  <w:num w:numId="59">
    <w:abstractNumId w:val="27"/>
  </w:num>
  <w:num w:numId="60">
    <w:abstractNumId w:val="55"/>
  </w:num>
  <w:num w:numId="61">
    <w:abstractNumId w:val="20"/>
  </w:num>
  <w:num w:numId="62">
    <w:abstractNumId w:val="46"/>
  </w:num>
  <w:num w:numId="63">
    <w:abstractNumId w:val="15"/>
  </w:num>
  <w:num w:numId="64">
    <w:abstractNumId w:val="56"/>
  </w:num>
  <w:num w:numId="65">
    <w:abstractNumId w:val="51"/>
  </w:num>
  <w:num w:numId="66">
    <w:abstractNumId w:val="43"/>
  </w:num>
  <w:num w:numId="67">
    <w:abstractNumId w:val="17"/>
  </w:num>
  <w:num w:numId="68">
    <w:abstractNumId w:val="7"/>
  </w:num>
  <w:num w:numId="69">
    <w:abstractNumId w:val="10"/>
  </w:num>
  <w:num w:numId="70">
    <w:abstractNumId w:val="16"/>
  </w:num>
  <w:num w:numId="71">
    <w:abstractNumId w:val="40"/>
  </w:num>
  <w:num w:numId="72">
    <w:abstractNumId w:val="37"/>
  </w:num>
  <w:num w:numId="73">
    <w:abstractNumId w:val="36"/>
  </w:num>
  <w:num w:numId="74">
    <w:abstractNumId w:val="6"/>
  </w:num>
  <w:num w:numId="75">
    <w:abstractNumId w:val="45"/>
  </w:num>
  <w:num w:numId="76">
    <w:abstractNumId w:val="33"/>
  </w:num>
  <w:num w:numId="77">
    <w:abstractNumId w:val="52"/>
  </w:num>
  <w:num w:numId="78">
    <w:abstractNumId w:val="14"/>
  </w:num>
  <w:num w:numId="79">
    <w:abstractNumId w:val="9"/>
  </w:num>
  <w:num w:numId="80">
    <w:abstractNumId w:val="31"/>
  </w:num>
  <w:num w:numId="81">
    <w:abstractNumId w:val="34"/>
    <w:lvlOverride w:ilvl="0">
      <w:startOverride w:val="1"/>
    </w:lvlOverride>
  </w:num>
  <w:num w:numId="82">
    <w:abstractNumId w:val="34"/>
    <w:lvlOverride w:ilvl="0">
      <w:startOverride w:val="1"/>
    </w:lvlOverride>
  </w:num>
  <w:num w:numId="83">
    <w:abstractNumId w:val="34"/>
    <w:lvlOverride w:ilvl="0">
      <w:startOverride w:val="1"/>
    </w:lvlOverride>
  </w:num>
  <w:num w:numId="84">
    <w:abstractNumId w:val="49"/>
  </w:num>
  <w:num w:numId="85">
    <w:abstractNumId w:val="49"/>
  </w:num>
  <w:num w:numId="86">
    <w:abstractNumId w:val="1"/>
  </w:num>
  <w:num w:numId="87">
    <w:abstractNumId w:val="24"/>
  </w:num>
  <w:num w:numId="88">
    <w:abstractNumId w:val="49"/>
  </w:num>
  <w:num w:numId="89">
    <w:abstractNumId w:val="47"/>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activeWritingStyle w:appName="MSWord" w:lang="en-US" w:vendorID="64" w:dllVersion="6" w:nlCheck="1" w:checkStyle="0"/>
  <w:activeWritingStyle w:appName="MSWord" w:lang="en-US" w:vendorID="64" w:dllVersion="5" w:nlCheck="1" w:checkStyle="1"/>
  <w:activeWritingStyle w:appName="MSWord" w:lang="es-ES" w:vendorID="64" w:dllVersion="6" w:nlCheck="1" w:checkStyle="1"/>
  <w:activeWritingStyle w:appName="MSWord" w:lang="fr-CA"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A"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F5"/>
    <w:rsid w:val="0000095B"/>
    <w:rsid w:val="00000A27"/>
    <w:rsid w:val="00000CF1"/>
    <w:rsid w:val="000013B4"/>
    <w:rsid w:val="000014DD"/>
    <w:rsid w:val="000016CF"/>
    <w:rsid w:val="00001996"/>
    <w:rsid w:val="00002564"/>
    <w:rsid w:val="000026FF"/>
    <w:rsid w:val="0000295A"/>
    <w:rsid w:val="00002A54"/>
    <w:rsid w:val="00002D13"/>
    <w:rsid w:val="00002DA1"/>
    <w:rsid w:val="000037E8"/>
    <w:rsid w:val="00003944"/>
    <w:rsid w:val="00003AD3"/>
    <w:rsid w:val="00003AD8"/>
    <w:rsid w:val="00003BE9"/>
    <w:rsid w:val="00004139"/>
    <w:rsid w:val="0000455C"/>
    <w:rsid w:val="00004786"/>
    <w:rsid w:val="00004A4C"/>
    <w:rsid w:val="0000544A"/>
    <w:rsid w:val="000054DE"/>
    <w:rsid w:val="00005649"/>
    <w:rsid w:val="00005C14"/>
    <w:rsid w:val="00005EFF"/>
    <w:rsid w:val="0000620B"/>
    <w:rsid w:val="00006808"/>
    <w:rsid w:val="00006D30"/>
    <w:rsid w:val="00006D86"/>
    <w:rsid w:val="000075A9"/>
    <w:rsid w:val="000075AF"/>
    <w:rsid w:val="00007986"/>
    <w:rsid w:val="00007EFF"/>
    <w:rsid w:val="00007FC3"/>
    <w:rsid w:val="00010613"/>
    <w:rsid w:val="000106E7"/>
    <w:rsid w:val="00010A5B"/>
    <w:rsid w:val="00010B77"/>
    <w:rsid w:val="00010CF8"/>
    <w:rsid w:val="00010FB0"/>
    <w:rsid w:val="00011036"/>
    <w:rsid w:val="0001199A"/>
    <w:rsid w:val="00011A43"/>
    <w:rsid w:val="00011FD2"/>
    <w:rsid w:val="00012087"/>
    <w:rsid w:val="000120C4"/>
    <w:rsid w:val="000120CE"/>
    <w:rsid w:val="0001265E"/>
    <w:rsid w:val="00013002"/>
    <w:rsid w:val="00013047"/>
    <w:rsid w:val="0001312C"/>
    <w:rsid w:val="00013932"/>
    <w:rsid w:val="000143B5"/>
    <w:rsid w:val="000144A0"/>
    <w:rsid w:val="000144FD"/>
    <w:rsid w:val="000145FB"/>
    <w:rsid w:val="000148C3"/>
    <w:rsid w:val="00014955"/>
    <w:rsid w:val="00014BE4"/>
    <w:rsid w:val="00014EFE"/>
    <w:rsid w:val="000150E9"/>
    <w:rsid w:val="0001548D"/>
    <w:rsid w:val="0001556E"/>
    <w:rsid w:val="00015581"/>
    <w:rsid w:val="00015977"/>
    <w:rsid w:val="00015AFD"/>
    <w:rsid w:val="000162F5"/>
    <w:rsid w:val="000166D4"/>
    <w:rsid w:val="0001680D"/>
    <w:rsid w:val="00016901"/>
    <w:rsid w:val="00016C78"/>
    <w:rsid w:val="000178A6"/>
    <w:rsid w:val="00017EC9"/>
    <w:rsid w:val="000200AF"/>
    <w:rsid w:val="0002020B"/>
    <w:rsid w:val="00020721"/>
    <w:rsid w:val="00020B22"/>
    <w:rsid w:val="0002125E"/>
    <w:rsid w:val="00021B72"/>
    <w:rsid w:val="00021CEB"/>
    <w:rsid w:val="00021E64"/>
    <w:rsid w:val="0002207D"/>
    <w:rsid w:val="000221BC"/>
    <w:rsid w:val="000222FC"/>
    <w:rsid w:val="0002312A"/>
    <w:rsid w:val="000234FD"/>
    <w:rsid w:val="00023520"/>
    <w:rsid w:val="00024376"/>
    <w:rsid w:val="00024989"/>
    <w:rsid w:val="00024B9F"/>
    <w:rsid w:val="00025409"/>
    <w:rsid w:val="0002560C"/>
    <w:rsid w:val="0002571B"/>
    <w:rsid w:val="00025A5C"/>
    <w:rsid w:val="00025A95"/>
    <w:rsid w:val="00025A9B"/>
    <w:rsid w:val="00025BD0"/>
    <w:rsid w:val="00025CF7"/>
    <w:rsid w:val="00026099"/>
    <w:rsid w:val="0002675E"/>
    <w:rsid w:val="00026AC5"/>
    <w:rsid w:val="00026F72"/>
    <w:rsid w:val="00026FF3"/>
    <w:rsid w:val="00027368"/>
    <w:rsid w:val="000273C3"/>
    <w:rsid w:val="00027505"/>
    <w:rsid w:val="000275FF"/>
    <w:rsid w:val="00027667"/>
    <w:rsid w:val="00027A1C"/>
    <w:rsid w:val="00027EC0"/>
    <w:rsid w:val="00027ED3"/>
    <w:rsid w:val="00027FF5"/>
    <w:rsid w:val="0003045D"/>
    <w:rsid w:val="000305DD"/>
    <w:rsid w:val="00030B84"/>
    <w:rsid w:val="00030D9B"/>
    <w:rsid w:val="00030E55"/>
    <w:rsid w:val="00031138"/>
    <w:rsid w:val="000314AF"/>
    <w:rsid w:val="0003186D"/>
    <w:rsid w:val="0003186E"/>
    <w:rsid w:val="000318FD"/>
    <w:rsid w:val="000319CE"/>
    <w:rsid w:val="00031E53"/>
    <w:rsid w:val="00032278"/>
    <w:rsid w:val="000325C4"/>
    <w:rsid w:val="00032782"/>
    <w:rsid w:val="000332A7"/>
    <w:rsid w:val="0003355D"/>
    <w:rsid w:val="00033916"/>
    <w:rsid w:val="00033B59"/>
    <w:rsid w:val="00033D17"/>
    <w:rsid w:val="00034390"/>
    <w:rsid w:val="000345A6"/>
    <w:rsid w:val="000349A0"/>
    <w:rsid w:val="00034C09"/>
    <w:rsid w:val="000350E5"/>
    <w:rsid w:val="0003580E"/>
    <w:rsid w:val="0003596C"/>
    <w:rsid w:val="00035A64"/>
    <w:rsid w:val="00035BA7"/>
    <w:rsid w:val="00035CDC"/>
    <w:rsid w:val="00035F16"/>
    <w:rsid w:val="0003608A"/>
    <w:rsid w:val="00036095"/>
    <w:rsid w:val="000360F1"/>
    <w:rsid w:val="00036285"/>
    <w:rsid w:val="000362A2"/>
    <w:rsid w:val="00036449"/>
    <w:rsid w:val="00036C25"/>
    <w:rsid w:val="0003705A"/>
    <w:rsid w:val="000371B2"/>
    <w:rsid w:val="00037976"/>
    <w:rsid w:val="00037A18"/>
    <w:rsid w:val="00037BAD"/>
    <w:rsid w:val="00037C16"/>
    <w:rsid w:val="000405AD"/>
    <w:rsid w:val="0004065B"/>
    <w:rsid w:val="00040807"/>
    <w:rsid w:val="00040832"/>
    <w:rsid w:val="000409B1"/>
    <w:rsid w:val="00040E28"/>
    <w:rsid w:val="00040E3B"/>
    <w:rsid w:val="00041C69"/>
    <w:rsid w:val="00041E00"/>
    <w:rsid w:val="00041FCF"/>
    <w:rsid w:val="0004202A"/>
    <w:rsid w:val="000428C6"/>
    <w:rsid w:val="00042A07"/>
    <w:rsid w:val="00042A36"/>
    <w:rsid w:val="00042AF9"/>
    <w:rsid w:val="00042B1F"/>
    <w:rsid w:val="0004302A"/>
    <w:rsid w:val="000430E8"/>
    <w:rsid w:val="00043785"/>
    <w:rsid w:val="00044822"/>
    <w:rsid w:val="000448EA"/>
    <w:rsid w:val="0004496F"/>
    <w:rsid w:val="00045009"/>
    <w:rsid w:val="0004514D"/>
    <w:rsid w:val="0004545F"/>
    <w:rsid w:val="00045736"/>
    <w:rsid w:val="00045762"/>
    <w:rsid w:val="00045CEA"/>
    <w:rsid w:val="00045ED7"/>
    <w:rsid w:val="00046402"/>
    <w:rsid w:val="0004660C"/>
    <w:rsid w:val="00046907"/>
    <w:rsid w:val="00046C55"/>
    <w:rsid w:val="00046D06"/>
    <w:rsid w:val="00046F4B"/>
    <w:rsid w:val="00047579"/>
    <w:rsid w:val="0004774A"/>
    <w:rsid w:val="00047C2D"/>
    <w:rsid w:val="00047C63"/>
    <w:rsid w:val="000502C3"/>
    <w:rsid w:val="000502D2"/>
    <w:rsid w:val="00050576"/>
    <w:rsid w:val="000507E1"/>
    <w:rsid w:val="000509A8"/>
    <w:rsid w:val="00050BB7"/>
    <w:rsid w:val="000513B1"/>
    <w:rsid w:val="00051554"/>
    <w:rsid w:val="000518ED"/>
    <w:rsid w:val="00051AAE"/>
    <w:rsid w:val="00051E30"/>
    <w:rsid w:val="00052726"/>
    <w:rsid w:val="00052821"/>
    <w:rsid w:val="00052BC6"/>
    <w:rsid w:val="00052C4E"/>
    <w:rsid w:val="000531FE"/>
    <w:rsid w:val="00053349"/>
    <w:rsid w:val="0005347A"/>
    <w:rsid w:val="000540F1"/>
    <w:rsid w:val="0005419D"/>
    <w:rsid w:val="000545BF"/>
    <w:rsid w:val="000546CB"/>
    <w:rsid w:val="00054FA6"/>
    <w:rsid w:val="000558FF"/>
    <w:rsid w:val="00055B6C"/>
    <w:rsid w:val="00055FD7"/>
    <w:rsid w:val="000566D6"/>
    <w:rsid w:val="000568BA"/>
    <w:rsid w:val="00056BCC"/>
    <w:rsid w:val="00056CBF"/>
    <w:rsid w:val="000571E4"/>
    <w:rsid w:val="000574B4"/>
    <w:rsid w:val="00057898"/>
    <w:rsid w:val="00057948"/>
    <w:rsid w:val="00057ADC"/>
    <w:rsid w:val="000603C6"/>
    <w:rsid w:val="000604AA"/>
    <w:rsid w:val="00060964"/>
    <w:rsid w:val="00060DE4"/>
    <w:rsid w:val="00061040"/>
    <w:rsid w:val="0006165B"/>
    <w:rsid w:val="000618E0"/>
    <w:rsid w:val="00061930"/>
    <w:rsid w:val="00061AEC"/>
    <w:rsid w:val="00061F5B"/>
    <w:rsid w:val="00061FCF"/>
    <w:rsid w:val="00062A58"/>
    <w:rsid w:val="00062D0F"/>
    <w:rsid w:val="00062E99"/>
    <w:rsid w:val="00063114"/>
    <w:rsid w:val="00063AED"/>
    <w:rsid w:val="00063D3D"/>
    <w:rsid w:val="000640BC"/>
    <w:rsid w:val="00064198"/>
    <w:rsid w:val="0006424F"/>
    <w:rsid w:val="00064269"/>
    <w:rsid w:val="0006446E"/>
    <w:rsid w:val="0006459B"/>
    <w:rsid w:val="00064B66"/>
    <w:rsid w:val="00064B9D"/>
    <w:rsid w:val="00064E16"/>
    <w:rsid w:val="00065387"/>
    <w:rsid w:val="00065638"/>
    <w:rsid w:val="00065725"/>
    <w:rsid w:val="00066305"/>
    <w:rsid w:val="000664AE"/>
    <w:rsid w:val="000668C0"/>
    <w:rsid w:val="00066B1B"/>
    <w:rsid w:val="00066BE2"/>
    <w:rsid w:val="0006709D"/>
    <w:rsid w:val="0006735F"/>
    <w:rsid w:val="000673C5"/>
    <w:rsid w:val="00067592"/>
    <w:rsid w:val="00067A9E"/>
    <w:rsid w:val="00067C65"/>
    <w:rsid w:val="000700FB"/>
    <w:rsid w:val="00070C25"/>
    <w:rsid w:val="00070C5D"/>
    <w:rsid w:val="00070CCC"/>
    <w:rsid w:val="00070D1C"/>
    <w:rsid w:val="00071143"/>
    <w:rsid w:val="000717C2"/>
    <w:rsid w:val="00071FAF"/>
    <w:rsid w:val="00072131"/>
    <w:rsid w:val="00072167"/>
    <w:rsid w:val="00072475"/>
    <w:rsid w:val="0007268D"/>
    <w:rsid w:val="00073282"/>
    <w:rsid w:val="00073695"/>
    <w:rsid w:val="00073E80"/>
    <w:rsid w:val="0007426E"/>
    <w:rsid w:val="0007472F"/>
    <w:rsid w:val="000751A2"/>
    <w:rsid w:val="000753FE"/>
    <w:rsid w:val="0007544E"/>
    <w:rsid w:val="00075AA3"/>
    <w:rsid w:val="00075CB7"/>
    <w:rsid w:val="00075D59"/>
    <w:rsid w:val="00076459"/>
    <w:rsid w:val="00076A4A"/>
    <w:rsid w:val="00077037"/>
    <w:rsid w:val="000772BA"/>
    <w:rsid w:val="0007734F"/>
    <w:rsid w:val="0007765F"/>
    <w:rsid w:val="00080078"/>
    <w:rsid w:val="000809E3"/>
    <w:rsid w:val="00080A13"/>
    <w:rsid w:val="00080BF3"/>
    <w:rsid w:val="00080E52"/>
    <w:rsid w:val="00081385"/>
    <w:rsid w:val="0008169A"/>
    <w:rsid w:val="000826CF"/>
    <w:rsid w:val="0008272B"/>
    <w:rsid w:val="00082F78"/>
    <w:rsid w:val="0008348E"/>
    <w:rsid w:val="00083924"/>
    <w:rsid w:val="00083AC1"/>
    <w:rsid w:val="00083B7D"/>
    <w:rsid w:val="00083F3A"/>
    <w:rsid w:val="000844AF"/>
    <w:rsid w:val="000848EE"/>
    <w:rsid w:val="00084DB4"/>
    <w:rsid w:val="00084E6B"/>
    <w:rsid w:val="000850E3"/>
    <w:rsid w:val="00085DCF"/>
    <w:rsid w:val="00086085"/>
    <w:rsid w:val="000860BB"/>
    <w:rsid w:val="000866EE"/>
    <w:rsid w:val="00086F22"/>
    <w:rsid w:val="00086FDE"/>
    <w:rsid w:val="000873D0"/>
    <w:rsid w:val="000876E5"/>
    <w:rsid w:val="0008774E"/>
    <w:rsid w:val="00087860"/>
    <w:rsid w:val="00087BEA"/>
    <w:rsid w:val="00087DA6"/>
    <w:rsid w:val="00087E50"/>
    <w:rsid w:val="00090795"/>
    <w:rsid w:val="00090B68"/>
    <w:rsid w:val="00090B78"/>
    <w:rsid w:val="00091096"/>
    <w:rsid w:val="00091338"/>
    <w:rsid w:val="000913E7"/>
    <w:rsid w:val="0009149D"/>
    <w:rsid w:val="00091792"/>
    <w:rsid w:val="00091DC8"/>
    <w:rsid w:val="000921F1"/>
    <w:rsid w:val="00092254"/>
    <w:rsid w:val="00092276"/>
    <w:rsid w:val="0009235F"/>
    <w:rsid w:val="000925E5"/>
    <w:rsid w:val="0009266F"/>
    <w:rsid w:val="00092A53"/>
    <w:rsid w:val="00092B96"/>
    <w:rsid w:val="00092CFE"/>
    <w:rsid w:val="00092DC9"/>
    <w:rsid w:val="00092F48"/>
    <w:rsid w:val="00093181"/>
    <w:rsid w:val="000937E4"/>
    <w:rsid w:val="0009383F"/>
    <w:rsid w:val="00093E5D"/>
    <w:rsid w:val="0009404D"/>
    <w:rsid w:val="000949C9"/>
    <w:rsid w:val="00094C7D"/>
    <w:rsid w:val="00094D34"/>
    <w:rsid w:val="00095650"/>
    <w:rsid w:val="00095AA1"/>
    <w:rsid w:val="00095BAC"/>
    <w:rsid w:val="00095C5D"/>
    <w:rsid w:val="00095CB3"/>
    <w:rsid w:val="00095D68"/>
    <w:rsid w:val="000961DF"/>
    <w:rsid w:val="0009655B"/>
    <w:rsid w:val="000969E3"/>
    <w:rsid w:val="00096D10"/>
    <w:rsid w:val="00096EDC"/>
    <w:rsid w:val="00096F7A"/>
    <w:rsid w:val="000975BF"/>
    <w:rsid w:val="000977A4"/>
    <w:rsid w:val="00097F10"/>
    <w:rsid w:val="00097FB3"/>
    <w:rsid w:val="000A04D8"/>
    <w:rsid w:val="000A04E1"/>
    <w:rsid w:val="000A06F5"/>
    <w:rsid w:val="000A0BE8"/>
    <w:rsid w:val="000A0FDE"/>
    <w:rsid w:val="000A10EE"/>
    <w:rsid w:val="000A1199"/>
    <w:rsid w:val="000A126F"/>
    <w:rsid w:val="000A12C5"/>
    <w:rsid w:val="000A15BA"/>
    <w:rsid w:val="000A1A0F"/>
    <w:rsid w:val="000A2260"/>
    <w:rsid w:val="000A23ED"/>
    <w:rsid w:val="000A273B"/>
    <w:rsid w:val="000A29E2"/>
    <w:rsid w:val="000A2E5E"/>
    <w:rsid w:val="000A2FBB"/>
    <w:rsid w:val="000A38A4"/>
    <w:rsid w:val="000A3973"/>
    <w:rsid w:val="000A3D20"/>
    <w:rsid w:val="000A3D88"/>
    <w:rsid w:val="000A4886"/>
    <w:rsid w:val="000A4948"/>
    <w:rsid w:val="000A4A97"/>
    <w:rsid w:val="000A4BAE"/>
    <w:rsid w:val="000A4CE0"/>
    <w:rsid w:val="000A5167"/>
    <w:rsid w:val="000A5281"/>
    <w:rsid w:val="000A5385"/>
    <w:rsid w:val="000A62C9"/>
    <w:rsid w:val="000A6348"/>
    <w:rsid w:val="000A6572"/>
    <w:rsid w:val="000A66AC"/>
    <w:rsid w:val="000A6837"/>
    <w:rsid w:val="000A701E"/>
    <w:rsid w:val="000A70BE"/>
    <w:rsid w:val="000A750D"/>
    <w:rsid w:val="000A7B84"/>
    <w:rsid w:val="000A7EFC"/>
    <w:rsid w:val="000B0115"/>
    <w:rsid w:val="000B0170"/>
    <w:rsid w:val="000B09C8"/>
    <w:rsid w:val="000B0A9D"/>
    <w:rsid w:val="000B0AFD"/>
    <w:rsid w:val="000B10E6"/>
    <w:rsid w:val="000B12DA"/>
    <w:rsid w:val="000B1BA7"/>
    <w:rsid w:val="000B1D08"/>
    <w:rsid w:val="000B284D"/>
    <w:rsid w:val="000B2B9F"/>
    <w:rsid w:val="000B2EB2"/>
    <w:rsid w:val="000B2F76"/>
    <w:rsid w:val="000B3B22"/>
    <w:rsid w:val="000B3C91"/>
    <w:rsid w:val="000B407A"/>
    <w:rsid w:val="000B4589"/>
    <w:rsid w:val="000B4E47"/>
    <w:rsid w:val="000B5252"/>
    <w:rsid w:val="000B56AE"/>
    <w:rsid w:val="000B5827"/>
    <w:rsid w:val="000B5A85"/>
    <w:rsid w:val="000B5EBA"/>
    <w:rsid w:val="000B63EB"/>
    <w:rsid w:val="000B674A"/>
    <w:rsid w:val="000B755C"/>
    <w:rsid w:val="000B78C2"/>
    <w:rsid w:val="000B7930"/>
    <w:rsid w:val="000B7965"/>
    <w:rsid w:val="000B79B3"/>
    <w:rsid w:val="000B7C21"/>
    <w:rsid w:val="000B7DDB"/>
    <w:rsid w:val="000C0082"/>
    <w:rsid w:val="000C010D"/>
    <w:rsid w:val="000C01A8"/>
    <w:rsid w:val="000C0600"/>
    <w:rsid w:val="000C0757"/>
    <w:rsid w:val="000C0766"/>
    <w:rsid w:val="000C156B"/>
    <w:rsid w:val="000C18F8"/>
    <w:rsid w:val="000C1C7E"/>
    <w:rsid w:val="000C1CCE"/>
    <w:rsid w:val="000C206C"/>
    <w:rsid w:val="000C22E7"/>
    <w:rsid w:val="000C2B00"/>
    <w:rsid w:val="000C2D98"/>
    <w:rsid w:val="000C342D"/>
    <w:rsid w:val="000C3495"/>
    <w:rsid w:val="000C3870"/>
    <w:rsid w:val="000C38E7"/>
    <w:rsid w:val="000C3AB4"/>
    <w:rsid w:val="000C3D5C"/>
    <w:rsid w:val="000C426C"/>
    <w:rsid w:val="000C4296"/>
    <w:rsid w:val="000C4324"/>
    <w:rsid w:val="000C4603"/>
    <w:rsid w:val="000C5084"/>
    <w:rsid w:val="000C50E9"/>
    <w:rsid w:val="000C5126"/>
    <w:rsid w:val="000C56A3"/>
    <w:rsid w:val="000C577B"/>
    <w:rsid w:val="000C57EB"/>
    <w:rsid w:val="000C5C2A"/>
    <w:rsid w:val="000C5F71"/>
    <w:rsid w:val="000C6318"/>
    <w:rsid w:val="000C647B"/>
    <w:rsid w:val="000C6A48"/>
    <w:rsid w:val="000C6CEA"/>
    <w:rsid w:val="000C6D24"/>
    <w:rsid w:val="000C6D97"/>
    <w:rsid w:val="000C7684"/>
    <w:rsid w:val="000C7999"/>
    <w:rsid w:val="000C7C69"/>
    <w:rsid w:val="000D0591"/>
    <w:rsid w:val="000D0722"/>
    <w:rsid w:val="000D08F0"/>
    <w:rsid w:val="000D091B"/>
    <w:rsid w:val="000D0CFB"/>
    <w:rsid w:val="000D14B2"/>
    <w:rsid w:val="000D169A"/>
    <w:rsid w:val="000D1D29"/>
    <w:rsid w:val="000D2373"/>
    <w:rsid w:val="000D2C2C"/>
    <w:rsid w:val="000D30B7"/>
    <w:rsid w:val="000D380C"/>
    <w:rsid w:val="000D389B"/>
    <w:rsid w:val="000D3C6E"/>
    <w:rsid w:val="000D3E2E"/>
    <w:rsid w:val="000D3FFE"/>
    <w:rsid w:val="000D4240"/>
    <w:rsid w:val="000D4810"/>
    <w:rsid w:val="000D5534"/>
    <w:rsid w:val="000D609E"/>
    <w:rsid w:val="000D669E"/>
    <w:rsid w:val="000D681E"/>
    <w:rsid w:val="000D69CE"/>
    <w:rsid w:val="000D6A15"/>
    <w:rsid w:val="000D6BFB"/>
    <w:rsid w:val="000D6CA6"/>
    <w:rsid w:val="000D6CFB"/>
    <w:rsid w:val="000D6F9F"/>
    <w:rsid w:val="000D70D6"/>
    <w:rsid w:val="000D7828"/>
    <w:rsid w:val="000D79B6"/>
    <w:rsid w:val="000D7B0F"/>
    <w:rsid w:val="000E05CB"/>
    <w:rsid w:val="000E07BD"/>
    <w:rsid w:val="000E07D2"/>
    <w:rsid w:val="000E19EE"/>
    <w:rsid w:val="000E1BFF"/>
    <w:rsid w:val="000E1D69"/>
    <w:rsid w:val="000E2446"/>
    <w:rsid w:val="000E286D"/>
    <w:rsid w:val="000E2D6A"/>
    <w:rsid w:val="000E2F87"/>
    <w:rsid w:val="000E334B"/>
    <w:rsid w:val="000E3E6B"/>
    <w:rsid w:val="000E44DC"/>
    <w:rsid w:val="000E4FC6"/>
    <w:rsid w:val="000E5481"/>
    <w:rsid w:val="000E54C1"/>
    <w:rsid w:val="000E5904"/>
    <w:rsid w:val="000E59E4"/>
    <w:rsid w:val="000E5D5B"/>
    <w:rsid w:val="000E5D74"/>
    <w:rsid w:val="000E6247"/>
    <w:rsid w:val="000E6280"/>
    <w:rsid w:val="000E64BC"/>
    <w:rsid w:val="000E6500"/>
    <w:rsid w:val="000E6B34"/>
    <w:rsid w:val="000E6B9F"/>
    <w:rsid w:val="000E6E10"/>
    <w:rsid w:val="000E6F32"/>
    <w:rsid w:val="000E7079"/>
    <w:rsid w:val="000E7610"/>
    <w:rsid w:val="000E7760"/>
    <w:rsid w:val="000E7C07"/>
    <w:rsid w:val="000E7CF5"/>
    <w:rsid w:val="000F0115"/>
    <w:rsid w:val="000F0DE8"/>
    <w:rsid w:val="000F12D4"/>
    <w:rsid w:val="000F217B"/>
    <w:rsid w:val="000F2235"/>
    <w:rsid w:val="000F2292"/>
    <w:rsid w:val="000F29F3"/>
    <w:rsid w:val="000F2E95"/>
    <w:rsid w:val="000F339C"/>
    <w:rsid w:val="000F37DC"/>
    <w:rsid w:val="000F404E"/>
    <w:rsid w:val="000F40B6"/>
    <w:rsid w:val="000F4421"/>
    <w:rsid w:val="000F4B1D"/>
    <w:rsid w:val="000F4CFE"/>
    <w:rsid w:val="000F5236"/>
    <w:rsid w:val="000F54F2"/>
    <w:rsid w:val="000F57D8"/>
    <w:rsid w:val="000F5C7E"/>
    <w:rsid w:val="000F5E1B"/>
    <w:rsid w:val="000F62D6"/>
    <w:rsid w:val="000F697A"/>
    <w:rsid w:val="000F6DC4"/>
    <w:rsid w:val="000F6EEA"/>
    <w:rsid w:val="000F7202"/>
    <w:rsid w:val="00100276"/>
    <w:rsid w:val="00100447"/>
    <w:rsid w:val="00100549"/>
    <w:rsid w:val="001005F3"/>
    <w:rsid w:val="00100655"/>
    <w:rsid w:val="00100767"/>
    <w:rsid w:val="00100949"/>
    <w:rsid w:val="00101169"/>
    <w:rsid w:val="001012DA"/>
    <w:rsid w:val="001016A5"/>
    <w:rsid w:val="0010177C"/>
    <w:rsid w:val="001017A2"/>
    <w:rsid w:val="00101C38"/>
    <w:rsid w:val="00101C69"/>
    <w:rsid w:val="00101CFA"/>
    <w:rsid w:val="00101EEF"/>
    <w:rsid w:val="00102607"/>
    <w:rsid w:val="00102700"/>
    <w:rsid w:val="0010275E"/>
    <w:rsid w:val="00102A03"/>
    <w:rsid w:val="00102E3E"/>
    <w:rsid w:val="0010333F"/>
    <w:rsid w:val="0010335E"/>
    <w:rsid w:val="00103E20"/>
    <w:rsid w:val="00104940"/>
    <w:rsid w:val="001051D0"/>
    <w:rsid w:val="00105DF5"/>
    <w:rsid w:val="00105E53"/>
    <w:rsid w:val="001061A4"/>
    <w:rsid w:val="00106476"/>
    <w:rsid w:val="00107232"/>
    <w:rsid w:val="0010751B"/>
    <w:rsid w:val="00107CEB"/>
    <w:rsid w:val="00107EFE"/>
    <w:rsid w:val="0011003A"/>
    <w:rsid w:val="00110B97"/>
    <w:rsid w:val="00111380"/>
    <w:rsid w:val="001116E3"/>
    <w:rsid w:val="00111B5F"/>
    <w:rsid w:val="00111DDA"/>
    <w:rsid w:val="001120F2"/>
    <w:rsid w:val="00112590"/>
    <w:rsid w:val="00112979"/>
    <w:rsid w:val="00112C24"/>
    <w:rsid w:val="001131F9"/>
    <w:rsid w:val="00113274"/>
    <w:rsid w:val="001132DE"/>
    <w:rsid w:val="001137FD"/>
    <w:rsid w:val="00113ABA"/>
    <w:rsid w:val="00113B6A"/>
    <w:rsid w:val="00113E2C"/>
    <w:rsid w:val="0011459B"/>
    <w:rsid w:val="001149DC"/>
    <w:rsid w:val="00114FA8"/>
    <w:rsid w:val="0011500D"/>
    <w:rsid w:val="001150D4"/>
    <w:rsid w:val="0011539C"/>
    <w:rsid w:val="0011594A"/>
    <w:rsid w:val="00115A2A"/>
    <w:rsid w:val="00116118"/>
    <w:rsid w:val="0011624B"/>
    <w:rsid w:val="00116B25"/>
    <w:rsid w:val="00117596"/>
    <w:rsid w:val="0011791A"/>
    <w:rsid w:val="00117986"/>
    <w:rsid w:val="001200B8"/>
    <w:rsid w:val="001201D3"/>
    <w:rsid w:val="00120B78"/>
    <w:rsid w:val="00120C4C"/>
    <w:rsid w:val="00120C66"/>
    <w:rsid w:val="00121110"/>
    <w:rsid w:val="00121161"/>
    <w:rsid w:val="00121179"/>
    <w:rsid w:val="0012140C"/>
    <w:rsid w:val="00121AA6"/>
    <w:rsid w:val="00121ACC"/>
    <w:rsid w:val="00121ADB"/>
    <w:rsid w:val="00121C95"/>
    <w:rsid w:val="00121EB7"/>
    <w:rsid w:val="00122108"/>
    <w:rsid w:val="001221A1"/>
    <w:rsid w:val="0012237C"/>
    <w:rsid w:val="00122549"/>
    <w:rsid w:val="001228C1"/>
    <w:rsid w:val="00122C0A"/>
    <w:rsid w:val="00122C59"/>
    <w:rsid w:val="00122EF8"/>
    <w:rsid w:val="001231A9"/>
    <w:rsid w:val="001233F2"/>
    <w:rsid w:val="0012357E"/>
    <w:rsid w:val="001235FC"/>
    <w:rsid w:val="00123629"/>
    <w:rsid w:val="00123B55"/>
    <w:rsid w:val="00123D20"/>
    <w:rsid w:val="00123ED4"/>
    <w:rsid w:val="00124A3D"/>
    <w:rsid w:val="00124B88"/>
    <w:rsid w:val="00124F98"/>
    <w:rsid w:val="001255DD"/>
    <w:rsid w:val="001257A2"/>
    <w:rsid w:val="0012630F"/>
    <w:rsid w:val="001266F5"/>
    <w:rsid w:val="00126AF8"/>
    <w:rsid w:val="001272CA"/>
    <w:rsid w:val="0012752C"/>
    <w:rsid w:val="001275DD"/>
    <w:rsid w:val="00127783"/>
    <w:rsid w:val="00131240"/>
    <w:rsid w:val="00131485"/>
    <w:rsid w:val="00131503"/>
    <w:rsid w:val="00132178"/>
    <w:rsid w:val="0013234C"/>
    <w:rsid w:val="00132576"/>
    <w:rsid w:val="00132628"/>
    <w:rsid w:val="00132A2B"/>
    <w:rsid w:val="00132A9A"/>
    <w:rsid w:val="00132F6A"/>
    <w:rsid w:val="00133B5F"/>
    <w:rsid w:val="00133C70"/>
    <w:rsid w:val="00134050"/>
    <w:rsid w:val="00134DFF"/>
    <w:rsid w:val="00135665"/>
    <w:rsid w:val="00135C07"/>
    <w:rsid w:val="00135D5B"/>
    <w:rsid w:val="00136080"/>
    <w:rsid w:val="00136649"/>
    <w:rsid w:val="0013678B"/>
    <w:rsid w:val="00136C64"/>
    <w:rsid w:val="0013758B"/>
    <w:rsid w:val="00137BAE"/>
    <w:rsid w:val="00137C68"/>
    <w:rsid w:val="001403D9"/>
    <w:rsid w:val="0014066B"/>
    <w:rsid w:val="00140686"/>
    <w:rsid w:val="00140AE8"/>
    <w:rsid w:val="00140BE5"/>
    <w:rsid w:val="00141167"/>
    <w:rsid w:val="00141237"/>
    <w:rsid w:val="0014133A"/>
    <w:rsid w:val="00141448"/>
    <w:rsid w:val="001416EA"/>
    <w:rsid w:val="00141AB2"/>
    <w:rsid w:val="00141E2B"/>
    <w:rsid w:val="00142675"/>
    <w:rsid w:val="00142837"/>
    <w:rsid w:val="00142B16"/>
    <w:rsid w:val="00142CC6"/>
    <w:rsid w:val="00142D18"/>
    <w:rsid w:val="00143160"/>
    <w:rsid w:val="0014338C"/>
    <w:rsid w:val="0014357E"/>
    <w:rsid w:val="00144335"/>
    <w:rsid w:val="00144CDF"/>
    <w:rsid w:val="00144F94"/>
    <w:rsid w:val="0014520D"/>
    <w:rsid w:val="0014560E"/>
    <w:rsid w:val="00145AD0"/>
    <w:rsid w:val="00145EEC"/>
    <w:rsid w:val="001467B6"/>
    <w:rsid w:val="00147059"/>
    <w:rsid w:val="001475F1"/>
    <w:rsid w:val="00150254"/>
    <w:rsid w:val="00150930"/>
    <w:rsid w:val="00150D5C"/>
    <w:rsid w:val="00150E0F"/>
    <w:rsid w:val="00151156"/>
    <w:rsid w:val="00151384"/>
    <w:rsid w:val="00151456"/>
    <w:rsid w:val="00151977"/>
    <w:rsid w:val="00151982"/>
    <w:rsid w:val="00151D93"/>
    <w:rsid w:val="0015205A"/>
    <w:rsid w:val="00152357"/>
    <w:rsid w:val="00152A88"/>
    <w:rsid w:val="00152B83"/>
    <w:rsid w:val="00152E7B"/>
    <w:rsid w:val="001530DF"/>
    <w:rsid w:val="001530EE"/>
    <w:rsid w:val="00153251"/>
    <w:rsid w:val="0015352F"/>
    <w:rsid w:val="001535D0"/>
    <w:rsid w:val="001536FA"/>
    <w:rsid w:val="001537A7"/>
    <w:rsid w:val="001537BB"/>
    <w:rsid w:val="001537F5"/>
    <w:rsid w:val="0015382B"/>
    <w:rsid w:val="00153A27"/>
    <w:rsid w:val="00153AA4"/>
    <w:rsid w:val="00153CC7"/>
    <w:rsid w:val="00154095"/>
    <w:rsid w:val="00154561"/>
    <w:rsid w:val="001545B8"/>
    <w:rsid w:val="00154CBC"/>
    <w:rsid w:val="00155120"/>
    <w:rsid w:val="00155471"/>
    <w:rsid w:val="001556AE"/>
    <w:rsid w:val="00155827"/>
    <w:rsid w:val="00155BBE"/>
    <w:rsid w:val="00155CB2"/>
    <w:rsid w:val="00155F6F"/>
    <w:rsid w:val="00156247"/>
    <w:rsid w:val="00156636"/>
    <w:rsid w:val="0015667D"/>
    <w:rsid w:val="00156726"/>
    <w:rsid w:val="00156AFA"/>
    <w:rsid w:val="00156D0A"/>
    <w:rsid w:val="00157C43"/>
    <w:rsid w:val="001604D4"/>
    <w:rsid w:val="00160BC7"/>
    <w:rsid w:val="00160D7B"/>
    <w:rsid w:val="00161065"/>
    <w:rsid w:val="00161069"/>
    <w:rsid w:val="001610FE"/>
    <w:rsid w:val="00161247"/>
    <w:rsid w:val="001615A5"/>
    <w:rsid w:val="0016162F"/>
    <w:rsid w:val="00162AEE"/>
    <w:rsid w:val="00162B31"/>
    <w:rsid w:val="001631DF"/>
    <w:rsid w:val="0016334F"/>
    <w:rsid w:val="00163C35"/>
    <w:rsid w:val="00164B44"/>
    <w:rsid w:val="00164C0F"/>
    <w:rsid w:val="001650CB"/>
    <w:rsid w:val="00165119"/>
    <w:rsid w:val="0016517C"/>
    <w:rsid w:val="00165C19"/>
    <w:rsid w:val="00165FF7"/>
    <w:rsid w:val="0016677C"/>
    <w:rsid w:val="00166B86"/>
    <w:rsid w:val="00166C27"/>
    <w:rsid w:val="00166ECE"/>
    <w:rsid w:val="00167101"/>
    <w:rsid w:val="001676C5"/>
    <w:rsid w:val="00167B8B"/>
    <w:rsid w:val="00167CC5"/>
    <w:rsid w:val="00170060"/>
    <w:rsid w:val="00170556"/>
    <w:rsid w:val="001705B2"/>
    <w:rsid w:val="0017088C"/>
    <w:rsid w:val="00170A14"/>
    <w:rsid w:val="00170EEF"/>
    <w:rsid w:val="001710A2"/>
    <w:rsid w:val="0017153D"/>
    <w:rsid w:val="0017175D"/>
    <w:rsid w:val="00171C51"/>
    <w:rsid w:val="00171D3D"/>
    <w:rsid w:val="001723A8"/>
    <w:rsid w:val="0017266E"/>
    <w:rsid w:val="0017270C"/>
    <w:rsid w:val="00172967"/>
    <w:rsid w:val="00172B07"/>
    <w:rsid w:val="00172C39"/>
    <w:rsid w:val="0017307E"/>
    <w:rsid w:val="001730E0"/>
    <w:rsid w:val="00173187"/>
    <w:rsid w:val="0017341A"/>
    <w:rsid w:val="001737EE"/>
    <w:rsid w:val="0017387F"/>
    <w:rsid w:val="00173A2B"/>
    <w:rsid w:val="00173BDA"/>
    <w:rsid w:val="001740D6"/>
    <w:rsid w:val="001743E6"/>
    <w:rsid w:val="00174514"/>
    <w:rsid w:val="00174A86"/>
    <w:rsid w:val="00174AE3"/>
    <w:rsid w:val="00174BD8"/>
    <w:rsid w:val="00174E42"/>
    <w:rsid w:val="00174F0E"/>
    <w:rsid w:val="0017553F"/>
    <w:rsid w:val="00175FCB"/>
    <w:rsid w:val="0017630B"/>
    <w:rsid w:val="0017641A"/>
    <w:rsid w:val="00176587"/>
    <w:rsid w:val="00176725"/>
    <w:rsid w:val="00176C67"/>
    <w:rsid w:val="00177110"/>
    <w:rsid w:val="00177419"/>
    <w:rsid w:val="00177470"/>
    <w:rsid w:val="001774BD"/>
    <w:rsid w:val="00177E10"/>
    <w:rsid w:val="00177E5C"/>
    <w:rsid w:val="001803E2"/>
    <w:rsid w:val="001809EC"/>
    <w:rsid w:val="00180DD4"/>
    <w:rsid w:val="00181ECD"/>
    <w:rsid w:val="0018209A"/>
    <w:rsid w:val="00182103"/>
    <w:rsid w:val="0018258A"/>
    <w:rsid w:val="00182B9B"/>
    <w:rsid w:val="00182C38"/>
    <w:rsid w:val="00182D07"/>
    <w:rsid w:val="00183575"/>
    <w:rsid w:val="00183964"/>
    <w:rsid w:val="00183B36"/>
    <w:rsid w:val="00183B56"/>
    <w:rsid w:val="00184325"/>
    <w:rsid w:val="00184401"/>
    <w:rsid w:val="00184A1D"/>
    <w:rsid w:val="00184ABE"/>
    <w:rsid w:val="00184EA4"/>
    <w:rsid w:val="00185119"/>
    <w:rsid w:val="00185D0C"/>
    <w:rsid w:val="00185DBB"/>
    <w:rsid w:val="0018661D"/>
    <w:rsid w:val="0018665E"/>
    <w:rsid w:val="001866C8"/>
    <w:rsid w:val="00186E73"/>
    <w:rsid w:val="00187BDC"/>
    <w:rsid w:val="00187C2A"/>
    <w:rsid w:val="001902A0"/>
    <w:rsid w:val="00190420"/>
    <w:rsid w:val="00190939"/>
    <w:rsid w:val="00190AFA"/>
    <w:rsid w:val="00190BD2"/>
    <w:rsid w:val="00190BEC"/>
    <w:rsid w:val="00190D04"/>
    <w:rsid w:val="001911CF"/>
    <w:rsid w:val="001912FC"/>
    <w:rsid w:val="00191509"/>
    <w:rsid w:val="00191560"/>
    <w:rsid w:val="00191728"/>
    <w:rsid w:val="001917A7"/>
    <w:rsid w:val="00191920"/>
    <w:rsid w:val="00191AFE"/>
    <w:rsid w:val="00191BC6"/>
    <w:rsid w:val="00191CFE"/>
    <w:rsid w:val="00191FE7"/>
    <w:rsid w:val="00192A95"/>
    <w:rsid w:val="00192E38"/>
    <w:rsid w:val="00192F17"/>
    <w:rsid w:val="0019303F"/>
    <w:rsid w:val="00193128"/>
    <w:rsid w:val="001931A6"/>
    <w:rsid w:val="001931D9"/>
    <w:rsid w:val="00193544"/>
    <w:rsid w:val="00193561"/>
    <w:rsid w:val="001941CC"/>
    <w:rsid w:val="00194509"/>
    <w:rsid w:val="001947FE"/>
    <w:rsid w:val="00194BD4"/>
    <w:rsid w:val="00194D2F"/>
    <w:rsid w:val="0019510C"/>
    <w:rsid w:val="001952FA"/>
    <w:rsid w:val="00195C16"/>
    <w:rsid w:val="00195D83"/>
    <w:rsid w:val="001970AB"/>
    <w:rsid w:val="001971FE"/>
    <w:rsid w:val="001973DB"/>
    <w:rsid w:val="00197566"/>
    <w:rsid w:val="00197E75"/>
    <w:rsid w:val="001A009A"/>
    <w:rsid w:val="001A044F"/>
    <w:rsid w:val="001A049C"/>
    <w:rsid w:val="001A05C6"/>
    <w:rsid w:val="001A07EC"/>
    <w:rsid w:val="001A0BF6"/>
    <w:rsid w:val="001A1374"/>
    <w:rsid w:val="001A1559"/>
    <w:rsid w:val="001A16B3"/>
    <w:rsid w:val="001A1C71"/>
    <w:rsid w:val="001A1D10"/>
    <w:rsid w:val="001A21EF"/>
    <w:rsid w:val="001A234F"/>
    <w:rsid w:val="001A27D6"/>
    <w:rsid w:val="001A2E7A"/>
    <w:rsid w:val="001A3140"/>
    <w:rsid w:val="001A3179"/>
    <w:rsid w:val="001A3E89"/>
    <w:rsid w:val="001A459B"/>
    <w:rsid w:val="001A49C2"/>
    <w:rsid w:val="001A4C83"/>
    <w:rsid w:val="001A505C"/>
    <w:rsid w:val="001A535D"/>
    <w:rsid w:val="001A53C8"/>
    <w:rsid w:val="001A5555"/>
    <w:rsid w:val="001A5A46"/>
    <w:rsid w:val="001A5EAA"/>
    <w:rsid w:val="001A6891"/>
    <w:rsid w:val="001A6986"/>
    <w:rsid w:val="001A6C60"/>
    <w:rsid w:val="001A72BE"/>
    <w:rsid w:val="001A7C4F"/>
    <w:rsid w:val="001A7E50"/>
    <w:rsid w:val="001B0664"/>
    <w:rsid w:val="001B08E3"/>
    <w:rsid w:val="001B0B0C"/>
    <w:rsid w:val="001B0C97"/>
    <w:rsid w:val="001B0CCD"/>
    <w:rsid w:val="001B0F97"/>
    <w:rsid w:val="001B1422"/>
    <w:rsid w:val="001B15EC"/>
    <w:rsid w:val="001B1D2F"/>
    <w:rsid w:val="001B2013"/>
    <w:rsid w:val="001B2258"/>
    <w:rsid w:val="001B2AED"/>
    <w:rsid w:val="001B2CBA"/>
    <w:rsid w:val="001B3283"/>
    <w:rsid w:val="001B3ADD"/>
    <w:rsid w:val="001B40D7"/>
    <w:rsid w:val="001B4207"/>
    <w:rsid w:val="001B4885"/>
    <w:rsid w:val="001B48FE"/>
    <w:rsid w:val="001B4B71"/>
    <w:rsid w:val="001B4DFE"/>
    <w:rsid w:val="001B51FE"/>
    <w:rsid w:val="001B52E9"/>
    <w:rsid w:val="001B5600"/>
    <w:rsid w:val="001B61AF"/>
    <w:rsid w:val="001B61D3"/>
    <w:rsid w:val="001B63FE"/>
    <w:rsid w:val="001B6D4B"/>
    <w:rsid w:val="001B6D63"/>
    <w:rsid w:val="001B7165"/>
    <w:rsid w:val="001B7883"/>
    <w:rsid w:val="001B7A70"/>
    <w:rsid w:val="001C011A"/>
    <w:rsid w:val="001C0682"/>
    <w:rsid w:val="001C07B3"/>
    <w:rsid w:val="001C08ED"/>
    <w:rsid w:val="001C0D36"/>
    <w:rsid w:val="001C0F6A"/>
    <w:rsid w:val="001C11DB"/>
    <w:rsid w:val="001C1207"/>
    <w:rsid w:val="001C13FD"/>
    <w:rsid w:val="001C156E"/>
    <w:rsid w:val="001C1693"/>
    <w:rsid w:val="001C17DF"/>
    <w:rsid w:val="001C1A57"/>
    <w:rsid w:val="001C2F8E"/>
    <w:rsid w:val="001C317F"/>
    <w:rsid w:val="001C322D"/>
    <w:rsid w:val="001C3305"/>
    <w:rsid w:val="001C3461"/>
    <w:rsid w:val="001C3823"/>
    <w:rsid w:val="001C39A0"/>
    <w:rsid w:val="001C40A4"/>
    <w:rsid w:val="001C4394"/>
    <w:rsid w:val="001C43BE"/>
    <w:rsid w:val="001C46B0"/>
    <w:rsid w:val="001C498F"/>
    <w:rsid w:val="001C50C2"/>
    <w:rsid w:val="001C59D2"/>
    <w:rsid w:val="001C5CF6"/>
    <w:rsid w:val="001C6432"/>
    <w:rsid w:val="001C651F"/>
    <w:rsid w:val="001C6B1F"/>
    <w:rsid w:val="001C6BDD"/>
    <w:rsid w:val="001C6D3A"/>
    <w:rsid w:val="001C6DF7"/>
    <w:rsid w:val="001C6E63"/>
    <w:rsid w:val="001C6FF1"/>
    <w:rsid w:val="001C73EE"/>
    <w:rsid w:val="001C7911"/>
    <w:rsid w:val="001D005F"/>
    <w:rsid w:val="001D0217"/>
    <w:rsid w:val="001D0A65"/>
    <w:rsid w:val="001D105E"/>
    <w:rsid w:val="001D107A"/>
    <w:rsid w:val="001D11AD"/>
    <w:rsid w:val="001D1301"/>
    <w:rsid w:val="001D18C3"/>
    <w:rsid w:val="001D19BF"/>
    <w:rsid w:val="001D1C33"/>
    <w:rsid w:val="001D1E93"/>
    <w:rsid w:val="001D2967"/>
    <w:rsid w:val="001D2AE3"/>
    <w:rsid w:val="001D2CDB"/>
    <w:rsid w:val="001D38DE"/>
    <w:rsid w:val="001D3AB2"/>
    <w:rsid w:val="001D3AF6"/>
    <w:rsid w:val="001D3D7A"/>
    <w:rsid w:val="001D400E"/>
    <w:rsid w:val="001D443D"/>
    <w:rsid w:val="001D485D"/>
    <w:rsid w:val="001D48EE"/>
    <w:rsid w:val="001D520F"/>
    <w:rsid w:val="001D555B"/>
    <w:rsid w:val="001D5657"/>
    <w:rsid w:val="001D5829"/>
    <w:rsid w:val="001D5D91"/>
    <w:rsid w:val="001D600E"/>
    <w:rsid w:val="001D6217"/>
    <w:rsid w:val="001D6377"/>
    <w:rsid w:val="001D6391"/>
    <w:rsid w:val="001D65B4"/>
    <w:rsid w:val="001D6DF1"/>
    <w:rsid w:val="001D706D"/>
    <w:rsid w:val="001D72C9"/>
    <w:rsid w:val="001D7BF3"/>
    <w:rsid w:val="001D7C3B"/>
    <w:rsid w:val="001E0047"/>
    <w:rsid w:val="001E0347"/>
    <w:rsid w:val="001E0858"/>
    <w:rsid w:val="001E0FBA"/>
    <w:rsid w:val="001E22C4"/>
    <w:rsid w:val="001E26D9"/>
    <w:rsid w:val="001E283B"/>
    <w:rsid w:val="001E2D42"/>
    <w:rsid w:val="001E2DC7"/>
    <w:rsid w:val="001E30A0"/>
    <w:rsid w:val="001E365B"/>
    <w:rsid w:val="001E373B"/>
    <w:rsid w:val="001E391F"/>
    <w:rsid w:val="001E396B"/>
    <w:rsid w:val="001E3E16"/>
    <w:rsid w:val="001E3F01"/>
    <w:rsid w:val="001E3F16"/>
    <w:rsid w:val="001E4018"/>
    <w:rsid w:val="001E4417"/>
    <w:rsid w:val="001E467F"/>
    <w:rsid w:val="001E4DCC"/>
    <w:rsid w:val="001E5468"/>
    <w:rsid w:val="001E56DE"/>
    <w:rsid w:val="001E59CE"/>
    <w:rsid w:val="001E5A4B"/>
    <w:rsid w:val="001E5CC3"/>
    <w:rsid w:val="001E63D9"/>
    <w:rsid w:val="001E6766"/>
    <w:rsid w:val="001E70A1"/>
    <w:rsid w:val="001E7158"/>
    <w:rsid w:val="001E71B2"/>
    <w:rsid w:val="001E721D"/>
    <w:rsid w:val="001E72A0"/>
    <w:rsid w:val="001E72D4"/>
    <w:rsid w:val="001E7428"/>
    <w:rsid w:val="001E75C5"/>
    <w:rsid w:val="001E7716"/>
    <w:rsid w:val="001E776B"/>
    <w:rsid w:val="001E7BDC"/>
    <w:rsid w:val="001E7E71"/>
    <w:rsid w:val="001F08A5"/>
    <w:rsid w:val="001F0B1B"/>
    <w:rsid w:val="001F0C1C"/>
    <w:rsid w:val="001F0C54"/>
    <w:rsid w:val="001F1013"/>
    <w:rsid w:val="001F1565"/>
    <w:rsid w:val="001F1DB9"/>
    <w:rsid w:val="001F1E91"/>
    <w:rsid w:val="001F2000"/>
    <w:rsid w:val="001F21D1"/>
    <w:rsid w:val="001F24A4"/>
    <w:rsid w:val="001F2A3E"/>
    <w:rsid w:val="001F2D31"/>
    <w:rsid w:val="001F303C"/>
    <w:rsid w:val="001F31BB"/>
    <w:rsid w:val="001F33D5"/>
    <w:rsid w:val="001F3AD5"/>
    <w:rsid w:val="001F3C29"/>
    <w:rsid w:val="001F4C96"/>
    <w:rsid w:val="001F4F33"/>
    <w:rsid w:val="001F561F"/>
    <w:rsid w:val="001F56CA"/>
    <w:rsid w:val="001F5982"/>
    <w:rsid w:val="001F59E4"/>
    <w:rsid w:val="001F6038"/>
    <w:rsid w:val="001F6288"/>
    <w:rsid w:val="001F65E7"/>
    <w:rsid w:val="001F6746"/>
    <w:rsid w:val="001F67CE"/>
    <w:rsid w:val="001F7017"/>
    <w:rsid w:val="001F716C"/>
    <w:rsid w:val="001F7479"/>
    <w:rsid w:val="001F7C24"/>
    <w:rsid w:val="00200346"/>
    <w:rsid w:val="00200425"/>
    <w:rsid w:val="002007C8"/>
    <w:rsid w:val="00200A93"/>
    <w:rsid w:val="00200B6D"/>
    <w:rsid w:val="00200CB8"/>
    <w:rsid w:val="00201A45"/>
    <w:rsid w:val="00201E35"/>
    <w:rsid w:val="00202406"/>
    <w:rsid w:val="002027D9"/>
    <w:rsid w:val="00202ACF"/>
    <w:rsid w:val="00202B10"/>
    <w:rsid w:val="00202EA9"/>
    <w:rsid w:val="00202F37"/>
    <w:rsid w:val="002032E5"/>
    <w:rsid w:val="00203597"/>
    <w:rsid w:val="002036D0"/>
    <w:rsid w:val="00203702"/>
    <w:rsid w:val="00203E11"/>
    <w:rsid w:val="00203F78"/>
    <w:rsid w:val="002041DB"/>
    <w:rsid w:val="002042B3"/>
    <w:rsid w:val="00204383"/>
    <w:rsid w:val="002044C1"/>
    <w:rsid w:val="002049B2"/>
    <w:rsid w:val="00204BFB"/>
    <w:rsid w:val="00204E17"/>
    <w:rsid w:val="0020561E"/>
    <w:rsid w:val="00205693"/>
    <w:rsid w:val="0020636F"/>
    <w:rsid w:val="00206455"/>
    <w:rsid w:val="002064C3"/>
    <w:rsid w:val="0020651B"/>
    <w:rsid w:val="00206945"/>
    <w:rsid w:val="00206A59"/>
    <w:rsid w:val="00207055"/>
    <w:rsid w:val="0020736F"/>
    <w:rsid w:val="00207521"/>
    <w:rsid w:val="0020776C"/>
    <w:rsid w:val="002077BC"/>
    <w:rsid w:val="002077C2"/>
    <w:rsid w:val="002104CB"/>
    <w:rsid w:val="00210588"/>
    <w:rsid w:val="002106D5"/>
    <w:rsid w:val="00210B19"/>
    <w:rsid w:val="00210FF2"/>
    <w:rsid w:val="00211013"/>
    <w:rsid w:val="0021145C"/>
    <w:rsid w:val="002115C7"/>
    <w:rsid w:val="002117F0"/>
    <w:rsid w:val="002118B0"/>
    <w:rsid w:val="00211DCA"/>
    <w:rsid w:val="00211DDA"/>
    <w:rsid w:val="00212116"/>
    <w:rsid w:val="002121D2"/>
    <w:rsid w:val="00212476"/>
    <w:rsid w:val="00212601"/>
    <w:rsid w:val="002126A9"/>
    <w:rsid w:val="00212C6F"/>
    <w:rsid w:val="00212FC4"/>
    <w:rsid w:val="0021365D"/>
    <w:rsid w:val="00214097"/>
    <w:rsid w:val="002148F4"/>
    <w:rsid w:val="00214959"/>
    <w:rsid w:val="00214B12"/>
    <w:rsid w:val="00215030"/>
    <w:rsid w:val="0021522A"/>
    <w:rsid w:val="0021580D"/>
    <w:rsid w:val="00215931"/>
    <w:rsid w:val="00215AC3"/>
    <w:rsid w:val="00215B6B"/>
    <w:rsid w:val="00215B87"/>
    <w:rsid w:val="00215DFC"/>
    <w:rsid w:val="00216287"/>
    <w:rsid w:val="002168B5"/>
    <w:rsid w:val="0021744C"/>
    <w:rsid w:val="002176A9"/>
    <w:rsid w:val="002200A8"/>
    <w:rsid w:val="0022026D"/>
    <w:rsid w:val="002202D4"/>
    <w:rsid w:val="00220341"/>
    <w:rsid w:val="00220380"/>
    <w:rsid w:val="00220D0D"/>
    <w:rsid w:val="00220D4C"/>
    <w:rsid w:val="00220E09"/>
    <w:rsid w:val="002211C7"/>
    <w:rsid w:val="002216F3"/>
    <w:rsid w:val="00221C70"/>
    <w:rsid w:val="00222046"/>
    <w:rsid w:val="00223208"/>
    <w:rsid w:val="00223221"/>
    <w:rsid w:val="002232A3"/>
    <w:rsid w:val="0022364B"/>
    <w:rsid w:val="00223B1E"/>
    <w:rsid w:val="00223F21"/>
    <w:rsid w:val="00223F83"/>
    <w:rsid w:val="002240DC"/>
    <w:rsid w:val="002242A0"/>
    <w:rsid w:val="0022447D"/>
    <w:rsid w:val="002244F1"/>
    <w:rsid w:val="002249B4"/>
    <w:rsid w:val="002249FA"/>
    <w:rsid w:val="00224DA1"/>
    <w:rsid w:val="00225093"/>
    <w:rsid w:val="002260EF"/>
    <w:rsid w:val="002261E8"/>
    <w:rsid w:val="00226347"/>
    <w:rsid w:val="0022648D"/>
    <w:rsid w:val="00226B6D"/>
    <w:rsid w:val="002274F1"/>
    <w:rsid w:val="002275D4"/>
    <w:rsid w:val="002276FF"/>
    <w:rsid w:val="002277BE"/>
    <w:rsid w:val="002278AB"/>
    <w:rsid w:val="0022795C"/>
    <w:rsid w:val="00230295"/>
    <w:rsid w:val="00230695"/>
    <w:rsid w:val="00230841"/>
    <w:rsid w:val="0023089C"/>
    <w:rsid w:val="0023089E"/>
    <w:rsid w:val="00231060"/>
    <w:rsid w:val="002316B0"/>
    <w:rsid w:val="002316BA"/>
    <w:rsid w:val="002317C3"/>
    <w:rsid w:val="00231909"/>
    <w:rsid w:val="00231D7D"/>
    <w:rsid w:val="00232203"/>
    <w:rsid w:val="002323FF"/>
    <w:rsid w:val="00232453"/>
    <w:rsid w:val="0023261D"/>
    <w:rsid w:val="002326F7"/>
    <w:rsid w:val="002329E3"/>
    <w:rsid w:val="00232B58"/>
    <w:rsid w:val="00232BA5"/>
    <w:rsid w:val="00232E13"/>
    <w:rsid w:val="00232E43"/>
    <w:rsid w:val="00233049"/>
    <w:rsid w:val="0023368D"/>
    <w:rsid w:val="002338BC"/>
    <w:rsid w:val="00233AE7"/>
    <w:rsid w:val="00233CBB"/>
    <w:rsid w:val="00234222"/>
    <w:rsid w:val="00234375"/>
    <w:rsid w:val="00234C98"/>
    <w:rsid w:val="00234CCA"/>
    <w:rsid w:val="00234D60"/>
    <w:rsid w:val="00234DBC"/>
    <w:rsid w:val="0023512A"/>
    <w:rsid w:val="0023533F"/>
    <w:rsid w:val="00235766"/>
    <w:rsid w:val="00236000"/>
    <w:rsid w:val="002369C9"/>
    <w:rsid w:val="00236F8C"/>
    <w:rsid w:val="002371EC"/>
    <w:rsid w:val="00237C52"/>
    <w:rsid w:val="00237CFD"/>
    <w:rsid w:val="00237FB5"/>
    <w:rsid w:val="0024008D"/>
    <w:rsid w:val="00240B1B"/>
    <w:rsid w:val="0024117A"/>
    <w:rsid w:val="002418C9"/>
    <w:rsid w:val="00241D23"/>
    <w:rsid w:val="00241E5D"/>
    <w:rsid w:val="0024222C"/>
    <w:rsid w:val="00242388"/>
    <w:rsid w:val="00242CD3"/>
    <w:rsid w:val="00242F6D"/>
    <w:rsid w:val="00243046"/>
    <w:rsid w:val="00243084"/>
    <w:rsid w:val="0024379A"/>
    <w:rsid w:val="002439BB"/>
    <w:rsid w:val="0024416B"/>
    <w:rsid w:val="002444AD"/>
    <w:rsid w:val="002445B8"/>
    <w:rsid w:val="002448F0"/>
    <w:rsid w:val="00244A5B"/>
    <w:rsid w:val="00244AD3"/>
    <w:rsid w:val="00244DDA"/>
    <w:rsid w:val="00244FCD"/>
    <w:rsid w:val="0024511B"/>
    <w:rsid w:val="00245B2C"/>
    <w:rsid w:val="00245D72"/>
    <w:rsid w:val="00246026"/>
    <w:rsid w:val="00246656"/>
    <w:rsid w:val="00246EC0"/>
    <w:rsid w:val="00246F04"/>
    <w:rsid w:val="002470B4"/>
    <w:rsid w:val="00247207"/>
    <w:rsid w:val="00247208"/>
    <w:rsid w:val="00247663"/>
    <w:rsid w:val="0024791A"/>
    <w:rsid w:val="00250434"/>
    <w:rsid w:val="002506AC"/>
    <w:rsid w:val="002506F7"/>
    <w:rsid w:val="00250936"/>
    <w:rsid w:val="00250C54"/>
    <w:rsid w:val="00250CF9"/>
    <w:rsid w:val="00250D62"/>
    <w:rsid w:val="00250E0F"/>
    <w:rsid w:val="00250F92"/>
    <w:rsid w:val="002511AB"/>
    <w:rsid w:val="00251330"/>
    <w:rsid w:val="002514CF"/>
    <w:rsid w:val="00251999"/>
    <w:rsid w:val="0025200B"/>
    <w:rsid w:val="0025233A"/>
    <w:rsid w:val="00252B99"/>
    <w:rsid w:val="00252E3E"/>
    <w:rsid w:val="00253B86"/>
    <w:rsid w:val="002546AC"/>
    <w:rsid w:val="002548EA"/>
    <w:rsid w:val="00254E7B"/>
    <w:rsid w:val="00255293"/>
    <w:rsid w:val="002556BE"/>
    <w:rsid w:val="0025598B"/>
    <w:rsid w:val="00256A0C"/>
    <w:rsid w:val="00256CC3"/>
    <w:rsid w:val="0026010A"/>
    <w:rsid w:val="0026033F"/>
    <w:rsid w:val="00260BEA"/>
    <w:rsid w:val="00260D14"/>
    <w:rsid w:val="002611BC"/>
    <w:rsid w:val="002615AD"/>
    <w:rsid w:val="00261D97"/>
    <w:rsid w:val="002622E1"/>
    <w:rsid w:val="00262311"/>
    <w:rsid w:val="002623C5"/>
    <w:rsid w:val="002623D0"/>
    <w:rsid w:val="002624D5"/>
    <w:rsid w:val="002624F4"/>
    <w:rsid w:val="00262C32"/>
    <w:rsid w:val="0026301E"/>
    <w:rsid w:val="00263A9D"/>
    <w:rsid w:val="00263B24"/>
    <w:rsid w:val="00263B38"/>
    <w:rsid w:val="00263DBD"/>
    <w:rsid w:val="00263F21"/>
    <w:rsid w:val="002644DB"/>
    <w:rsid w:val="00264588"/>
    <w:rsid w:val="00264CE8"/>
    <w:rsid w:val="00264D79"/>
    <w:rsid w:val="00264DEB"/>
    <w:rsid w:val="0026628A"/>
    <w:rsid w:val="002662A7"/>
    <w:rsid w:val="00266A37"/>
    <w:rsid w:val="00266B50"/>
    <w:rsid w:val="00266EAB"/>
    <w:rsid w:val="00267432"/>
    <w:rsid w:val="00267A85"/>
    <w:rsid w:val="00267B4C"/>
    <w:rsid w:val="00270083"/>
    <w:rsid w:val="00270245"/>
    <w:rsid w:val="00270551"/>
    <w:rsid w:val="002705FF"/>
    <w:rsid w:val="00270689"/>
    <w:rsid w:val="00270ABE"/>
    <w:rsid w:val="00270C17"/>
    <w:rsid w:val="00270D6F"/>
    <w:rsid w:val="00271275"/>
    <w:rsid w:val="002713C2"/>
    <w:rsid w:val="00272139"/>
    <w:rsid w:val="0027248B"/>
    <w:rsid w:val="002728D7"/>
    <w:rsid w:val="002729BB"/>
    <w:rsid w:val="00272A86"/>
    <w:rsid w:val="00272CC5"/>
    <w:rsid w:val="00272D65"/>
    <w:rsid w:val="00272E51"/>
    <w:rsid w:val="002732BB"/>
    <w:rsid w:val="00273602"/>
    <w:rsid w:val="0027394C"/>
    <w:rsid w:val="00273A7F"/>
    <w:rsid w:val="002743C3"/>
    <w:rsid w:val="00274486"/>
    <w:rsid w:val="00274D41"/>
    <w:rsid w:val="002750A1"/>
    <w:rsid w:val="002755DA"/>
    <w:rsid w:val="002758D9"/>
    <w:rsid w:val="002758EA"/>
    <w:rsid w:val="00275D49"/>
    <w:rsid w:val="002761E3"/>
    <w:rsid w:val="00276485"/>
    <w:rsid w:val="00276D5E"/>
    <w:rsid w:val="00276D68"/>
    <w:rsid w:val="00276D7F"/>
    <w:rsid w:val="00276DAA"/>
    <w:rsid w:val="00280310"/>
    <w:rsid w:val="00280A84"/>
    <w:rsid w:val="00280C3F"/>
    <w:rsid w:val="00280CA9"/>
    <w:rsid w:val="00280CC1"/>
    <w:rsid w:val="00280EE5"/>
    <w:rsid w:val="00281172"/>
    <w:rsid w:val="0028137A"/>
    <w:rsid w:val="002813A3"/>
    <w:rsid w:val="00281640"/>
    <w:rsid w:val="00282464"/>
    <w:rsid w:val="0028250A"/>
    <w:rsid w:val="0028263C"/>
    <w:rsid w:val="00282A20"/>
    <w:rsid w:val="0028344B"/>
    <w:rsid w:val="00283637"/>
    <w:rsid w:val="00283731"/>
    <w:rsid w:val="002838D6"/>
    <w:rsid w:val="00283A6A"/>
    <w:rsid w:val="00283DF4"/>
    <w:rsid w:val="00283EB3"/>
    <w:rsid w:val="002841B8"/>
    <w:rsid w:val="002848BD"/>
    <w:rsid w:val="00284D64"/>
    <w:rsid w:val="00284E36"/>
    <w:rsid w:val="002851C8"/>
    <w:rsid w:val="0028547D"/>
    <w:rsid w:val="00285D6A"/>
    <w:rsid w:val="00286524"/>
    <w:rsid w:val="002868D4"/>
    <w:rsid w:val="0028759D"/>
    <w:rsid w:val="002875BF"/>
    <w:rsid w:val="00287898"/>
    <w:rsid w:val="00287C4D"/>
    <w:rsid w:val="00287C58"/>
    <w:rsid w:val="002900DC"/>
    <w:rsid w:val="002904E1"/>
    <w:rsid w:val="002909A9"/>
    <w:rsid w:val="00290CD1"/>
    <w:rsid w:val="00290E11"/>
    <w:rsid w:val="00290EF8"/>
    <w:rsid w:val="0029147B"/>
    <w:rsid w:val="0029150B"/>
    <w:rsid w:val="00291592"/>
    <w:rsid w:val="002915A2"/>
    <w:rsid w:val="002915B4"/>
    <w:rsid w:val="00291798"/>
    <w:rsid w:val="00291D67"/>
    <w:rsid w:val="00291DD6"/>
    <w:rsid w:val="00291E60"/>
    <w:rsid w:val="00291F3E"/>
    <w:rsid w:val="00292A7B"/>
    <w:rsid w:val="00292B85"/>
    <w:rsid w:val="00292BA5"/>
    <w:rsid w:val="00292ED0"/>
    <w:rsid w:val="00292F47"/>
    <w:rsid w:val="002939A8"/>
    <w:rsid w:val="0029430D"/>
    <w:rsid w:val="002944DE"/>
    <w:rsid w:val="0029473B"/>
    <w:rsid w:val="00294C0F"/>
    <w:rsid w:val="00294FD3"/>
    <w:rsid w:val="002956AC"/>
    <w:rsid w:val="00295719"/>
    <w:rsid w:val="002959BC"/>
    <w:rsid w:val="00295AB3"/>
    <w:rsid w:val="00295E4F"/>
    <w:rsid w:val="00295FAE"/>
    <w:rsid w:val="00296054"/>
    <w:rsid w:val="0029663A"/>
    <w:rsid w:val="0029712B"/>
    <w:rsid w:val="002979CF"/>
    <w:rsid w:val="00297ACE"/>
    <w:rsid w:val="00297B57"/>
    <w:rsid w:val="00297B5F"/>
    <w:rsid w:val="00297C8C"/>
    <w:rsid w:val="002A03C9"/>
    <w:rsid w:val="002A09A9"/>
    <w:rsid w:val="002A0E70"/>
    <w:rsid w:val="002A0F47"/>
    <w:rsid w:val="002A11A1"/>
    <w:rsid w:val="002A137C"/>
    <w:rsid w:val="002A14F9"/>
    <w:rsid w:val="002A160A"/>
    <w:rsid w:val="002A1669"/>
    <w:rsid w:val="002A1A3A"/>
    <w:rsid w:val="002A21AE"/>
    <w:rsid w:val="002A249F"/>
    <w:rsid w:val="002A2D1C"/>
    <w:rsid w:val="002A2E1E"/>
    <w:rsid w:val="002A2FBF"/>
    <w:rsid w:val="002A30DF"/>
    <w:rsid w:val="002A3666"/>
    <w:rsid w:val="002A36EF"/>
    <w:rsid w:val="002A40BF"/>
    <w:rsid w:val="002A4159"/>
    <w:rsid w:val="002A4A77"/>
    <w:rsid w:val="002A4CB4"/>
    <w:rsid w:val="002A4F71"/>
    <w:rsid w:val="002A55D3"/>
    <w:rsid w:val="002A5604"/>
    <w:rsid w:val="002A6002"/>
    <w:rsid w:val="002A65A7"/>
    <w:rsid w:val="002A675D"/>
    <w:rsid w:val="002A68B8"/>
    <w:rsid w:val="002A6AEA"/>
    <w:rsid w:val="002A6CE1"/>
    <w:rsid w:val="002A6D29"/>
    <w:rsid w:val="002A7432"/>
    <w:rsid w:val="002A767C"/>
    <w:rsid w:val="002A770E"/>
    <w:rsid w:val="002A7EE9"/>
    <w:rsid w:val="002B04EB"/>
    <w:rsid w:val="002B0525"/>
    <w:rsid w:val="002B06B2"/>
    <w:rsid w:val="002B0ABF"/>
    <w:rsid w:val="002B0F17"/>
    <w:rsid w:val="002B0F51"/>
    <w:rsid w:val="002B1949"/>
    <w:rsid w:val="002B1D25"/>
    <w:rsid w:val="002B292C"/>
    <w:rsid w:val="002B29EA"/>
    <w:rsid w:val="002B2AFE"/>
    <w:rsid w:val="002B2BCF"/>
    <w:rsid w:val="002B2CB0"/>
    <w:rsid w:val="002B2F04"/>
    <w:rsid w:val="002B3455"/>
    <w:rsid w:val="002B3469"/>
    <w:rsid w:val="002B3604"/>
    <w:rsid w:val="002B3CB4"/>
    <w:rsid w:val="002B4501"/>
    <w:rsid w:val="002B50FE"/>
    <w:rsid w:val="002B51D0"/>
    <w:rsid w:val="002B570D"/>
    <w:rsid w:val="002B58EA"/>
    <w:rsid w:val="002B5CD5"/>
    <w:rsid w:val="002B5DD3"/>
    <w:rsid w:val="002B5E51"/>
    <w:rsid w:val="002B5F2E"/>
    <w:rsid w:val="002B5F58"/>
    <w:rsid w:val="002B64D8"/>
    <w:rsid w:val="002B6A72"/>
    <w:rsid w:val="002B6B38"/>
    <w:rsid w:val="002B7556"/>
    <w:rsid w:val="002B7882"/>
    <w:rsid w:val="002B7B95"/>
    <w:rsid w:val="002B7BBB"/>
    <w:rsid w:val="002C02CC"/>
    <w:rsid w:val="002C0647"/>
    <w:rsid w:val="002C0670"/>
    <w:rsid w:val="002C06CC"/>
    <w:rsid w:val="002C0830"/>
    <w:rsid w:val="002C0A80"/>
    <w:rsid w:val="002C0B9B"/>
    <w:rsid w:val="002C10CA"/>
    <w:rsid w:val="002C10F6"/>
    <w:rsid w:val="002C1235"/>
    <w:rsid w:val="002C15CF"/>
    <w:rsid w:val="002C166A"/>
    <w:rsid w:val="002C179C"/>
    <w:rsid w:val="002C1D13"/>
    <w:rsid w:val="002C1E45"/>
    <w:rsid w:val="002C2030"/>
    <w:rsid w:val="002C2034"/>
    <w:rsid w:val="002C213E"/>
    <w:rsid w:val="002C2290"/>
    <w:rsid w:val="002C235F"/>
    <w:rsid w:val="002C25F5"/>
    <w:rsid w:val="002C2E21"/>
    <w:rsid w:val="002C3287"/>
    <w:rsid w:val="002C3458"/>
    <w:rsid w:val="002C3607"/>
    <w:rsid w:val="002C3957"/>
    <w:rsid w:val="002C3B06"/>
    <w:rsid w:val="002C3F2F"/>
    <w:rsid w:val="002C40F2"/>
    <w:rsid w:val="002C42C3"/>
    <w:rsid w:val="002C4355"/>
    <w:rsid w:val="002C4684"/>
    <w:rsid w:val="002C48A7"/>
    <w:rsid w:val="002C4BF5"/>
    <w:rsid w:val="002C4D39"/>
    <w:rsid w:val="002C4F7C"/>
    <w:rsid w:val="002C50EA"/>
    <w:rsid w:val="002C5829"/>
    <w:rsid w:val="002C5A43"/>
    <w:rsid w:val="002C6160"/>
    <w:rsid w:val="002C6669"/>
    <w:rsid w:val="002C66BA"/>
    <w:rsid w:val="002C698D"/>
    <w:rsid w:val="002C6BD1"/>
    <w:rsid w:val="002C71AF"/>
    <w:rsid w:val="002C7462"/>
    <w:rsid w:val="002C7A21"/>
    <w:rsid w:val="002C7E73"/>
    <w:rsid w:val="002C7ECA"/>
    <w:rsid w:val="002C7ED1"/>
    <w:rsid w:val="002C7EF9"/>
    <w:rsid w:val="002D0252"/>
    <w:rsid w:val="002D126B"/>
    <w:rsid w:val="002D153F"/>
    <w:rsid w:val="002D23D2"/>
    <w:rsid w:val="002D258A"/>
    <w:rsid w:val="002D2742"/>
    <w:rsid w:val="002D2971"/>
    <w:rsid w:val="002D2A08"/>
    <w:rsid w:val="002D3100"/>
    <w:rsid w:val="002D3ACD"/>
    <w:rsid w:val="002D3BEC"/>
    <w:rsid w:val="002D4435"/>
    <w:rsid w:val="002D4794"/>
    <w:rsid w:val="002D4C4A"/>
    <w:rsid w:val="002D4F18"/>
    <w:rsid w:val="002D516C"/>
    <w:rsid w:val="002D59D6"/>
    <w:rsid w:val="002D5CBF"/>
    <w:rsid w:val="002D6306"/>
    <w:rsid w:val="002D640B"/>
    <w:rsid w:val="002D6427"/>
    <w:rsid w:val="002D6470"/>
    <w:rsid w:val="002D67BB"/>
    <w:rsid w:val="002D7202"/>
    <w:rsid w:val="002D7272"/>
    <w:rsid w:val="002D770B"/>
    <w:rsid w:val="002D7C7C"/>
    <w:rsid w:val="002D7D8C"/>
    <w:rsid w:val="002E04F5"/>
    <w:rsid w:val="002E08AA"/>
    <w:rsid w:val="002E14AC"/>
    <w:rsid w:val="002E14E2"/>
    <w:rsid w:val="002E1917"/>
    <w:rsid w:val="002E1B10"/>
    <w:rsid w:val="002E23D2"/>
    <w:rsid w:val="002E27C1"/>
    <w:rsid w:val="002E2988"/>
    <w:rsid w:val="002E2AAE"/>
    <w:rsid w:val="002E301F"/>
    <w:rsid w:val="002E3166"/>
    <w:rsid w:val="002E3308"/>
    <w:rsid w:val="002E3995"/>
    <w:rsid w:val="002E3B5D"/>
    <w:rsid w:val="002E3C00"/>
    <w:rsid w:val="002E451D"/>
    <w:rsid w:val="002E4771"/>
    <w:rsid w:val="002E5001"/>
    <w:rsid w:val="002E50AD"/>
    <w:rsid w:val="002E5248"/>
    <w:rsid w:val="002E5493"/>
    <w:rsid w:val="002E5AC8"/>
    <w:rsid w:val="002E69EB"/>
    <w:rsid w:val="002E6A12"/>
    <w:rsid w:val="002E6B82"/>
    <w:rsid w:val="002E6DDE"/>
    <w:rsid w:val="002E71AE"/>
    <w:rsid w:val="002E7C67"/>
    <w:rsid w:val="002E7EBF"/>
    <w:rsid w:val="002F026F"/>
    <w:rsid w:val="002F07F8"/>
    <w:rsid w:val="002F0C57"/>
    <w:rsid w:val="002F1289"/>
    <w:rsid w:val="002F1554"/>
    <w:rsid w:val="002F1731"/>
    <w:rsid w:val="002F1E2B"/>
    <w:rsid w:val="002F200D"/>
    <w:rsid w:val="002F2043"/>
    <w:rsid w:val="002F218F"/>
    <w:rsid w:val="002F2520"/>
    <w:rsid w:val="002F25DF"/>
    <w:rsid w:val="002F2927"/>
    <w:rsid w:val="002F2B09"/>
    <w:rsid w:val="002F2DC5"/>
    <w:rsid w:val="002F2DF7"/>
    <w:rsid w:val="002F3A14"/>
    <w:rsid w:val="002F3BCC"/>
    <w:rsid w:val="002F475B"/>
    <w:rsid w:val="002F47AC"/>
    <w:rsid w:val="002F4B61"/>
    <w:rsid w:val="002F53E0"/>
    <w:rsid w:val="002F55AF"/>
    <w:rsid w:val="002F5BFE"/>
    <w:rsid w:val="002F6113"/>
    <w:rsid w:val="002F619E"/>
    <w:rsid w:val="002F627F"/>
    <w:rsid w:val="002F629E"/>
    <w:rsid w:val="002F692D"/>
    <w:rsid w:val="002F6D2F"/>
    <w:rsid w:val="002F6D7B"/>
    <w:rsid w:val="002F7047"/>
    <w:rsid w:val="002F766E"/>
    <w:rsid w:val="002F7A52"/>
    <w:rsid w:val="002F7D16"/>
    <w:rsid w:val="002F7FF1"/>
    <w:rsid w:val="003002BD"/>
    <w:rsid w:val="003004A7"/>
    <w:rsid w:val="00300682"/>
    <w:rsid w:val="00300710"/>
    <w:rsid w:val="0030185B"/>
    <w:rsid w:val="00301F2A"/>
    <w:rsid w:val="0030208D"/>
    <w:rsid w:val="00302434"/>
    <w:rsid w:val="00303708"/>
    <w:rsid w:val="003039DA"/>
    <w:rsid w:val="0030405B"/>
    <w:rsid w:val="00304382"/>
    <w:rsid w:val="00304B73"/>
    <w:rsid w:val="00304D65"/>
    <w:rsid w:val="00304F8D"/>
    <w:rsid w:val="003052D6"/>
    <w:rsid w:val="0030530D"/>
    <w:rsid w:val="00305385"/>
    <w:rsid w:val="00305772"/>
    <w:rsid w:val="00305882"/>
    <w:rsid w:val="00305B16"/>
    <w:rsid w:val="00305C83"/>
    <w:rsid w:val="003062CE"/>
    <w:rsid w:val="00307125"/>
    <w:rsid w:val="003075DA"/>
    <w:rsid w:val="003078AD"/>
    <w:rsid w:val="00307D76"/>
    <w:rsid w:val="00310DBF"/>
    <w:rsid w:val="003111E4"/>
    <w:rsid w:val="003118F4"/>
    <w:rsid w:val="00311A54"/>
    <w:rsid w:val="0031243B"/>
    <w:rsid w:val="003128E0"/>
    <w:rsid w:val="00312A53"/>
    <w:rsid w:val="0031313E"/>
    <w:rsid w:val="003131EF"/>
    <w:rsid w:val="003133AE"/>
    <w:rsid w:val="003139BF"/>
    <w:rsid w:val="00313B5D"/>
    <w:rsid w:val="00313C6B"/>
    <w:rsid w:val="00314127"/>
    <w:rsid w:val="0031442B"/>
    <w:rsid w:val="00314470"/>
    <w:rsid w:val="00314505"/>
    <w:rsid w:val="003148A8"/>
    <w:rsid w:val="00314F62"/>
    <w:rsid w:val="0031530E"/>
    <w:rsid w:val="0031537C"/>
    <w:rsid w:val="0031555E"/>
    <w:rsid w:val="0031563C"/>
    <w:rsid w:val="00315950"/>
    <w:rsid w:val="00317A11"/>
    <w:rsid w:val="00317A8A"/>
    <w:rsid w:val="00317E41"/>
    <w:rsid w:val="00320118"/>
    <w:rsid w:val="0032011A"/>
    <w:rsid w:val="003206E9"/>
    <w:rsid w:val="00320B43"/>
    <w:rsid w:val="00320DAE"/>
    <w:rsid w:val="00321988"/>
    <w:rsid w:val="003221AE"/>
    <w:rsid w:val="003221B7"/>
    <w:rsid w:val="0032260E"/>
    <w:rsid w:val="003226D0"/>
    <w:rsid w:val="003226F1"/>
    <w:rsid w:val="00322AF0"/>
    <w:rsid w:val="00322C74"/>
    <w:rsid w:val="00323155"/>
    <w:rsid w:val="00323241"/>
    <w:rsid w:val="003234B3"/>
    <w:rsid w:val="00323744"/>
    <w:rsid w:val="00323872"/>
    <w:rsid w:val="00323F55"/>
    <w:rsid w:val="00323FCD"/>
    <w:rsid w:val="00323FD7"/>
    <w:rsid w:val="003246B1"/>
    <w:rsid w:val="003247FD"/>
    <w:rsid w:val="003248C0"/>
    <w:rsid w:val="00324E04"/>
    <w:rsid w:val="00325067"/>
    <w:rsid w:val="003254B7"/>
    <w:rsid w:val="00325943"/>
    <w:rsid w:val="00325D9E"/>
    <w:rsid w:val="003261A4"/>
    <w:rsid w:val="00326353"/>
    <w:rsid w:val="00326882"/>
    <w:rsid w:val="00326905"/>
    <w:rsid w:val="00326CD8"/>
    <w:rsid w:val="00327353"/>
    <w:rsid w:val="00327477"/>
    <w:rsid w:val="00327839"/>
    <w:rsid w:val="00327B76"/>
    <w:rsid w:val="00327BDD"/>
    <w:rsid w:val="00327C06"/>
    <w:rsid w:val="003306DB"/>
    <w:rsid w:val="00330868"/>
    <w:rsid w:val="003308A2"/>
    <w:rsid w:val="003309E7"/>
    <w:rsid w:val="00331163"/>
    <w:rsid w:val="00331BB3"/>
    <w:rsid w:val="00331C0A"/>
    <w:rsid w:val="00331E98"/>
    <w:rsid w:val="00332140"/>
    <w:rsid w:val="00332C22"/>
    <w:rsid w:val="00332E10"/>
    <w:rsid w:val="003331D6"/>
    <w:rsid w:val="00333209"/>
    <w:rsid w:val="0033390D"/>
    <w:rsid w:val="00334E5D"/>
    <w:rsid w:val="003350E0"/>
    <w:rsid w:val="003354C6"/>
    <w:rsid w:val="003354F2"/>
    <w:rsid w:val="003356B8"/>
    <w:rsid w:val="00335F1C"/>
    <w:rsid w:val="003360CC"/>
    <w:rsid w:val="00336253"/>
    <w:rsid w:val="00336F10"/>
    <w:rsid w:val="00336F17"/>
    <w:rsid w:val="00337673"/>
    <w:rsid w:val="00337961"/>
    <w:rsid w:val="00340259"/>
    <w:rsid w:val="00340676"/>
    <w:rsid w:val="00340D5B"/>
    <w:rsid w:val="00340DF3"/>
    <w:rsid w:val="00342002"/>
    <w:rsid w:val="00342230"/>
    <w:rsid w:val="003427EE"/>
    <w:rsid w:val="003429BE"/>
    <w:rsid w:val="00342C0E"/>
    <w:rsid w:val="00342DE3"/>
    <w:rsid w:val="00342FD6"/>
    <w:rsid w:val="00343275"/>
    <w:rsid w:val="00343AB5"/>
    <w:rsid w:val="00343DC4"/>
    <w:rsid w:val="00344C04"/>
    <w:rsid w:val="00344E38"/>
    <w:rsid w:val="00345053"/>
    <w:rsid w:val="0034563E"/>
    <w:rsid w:val="003458BC"/>
    <w:rsid w:val="003459BC"/>
    <w:rsid w:val="00345AA3"/>
    <w:rsid w:val="00345DE8"/>
    <w:rsid w:val="00346026"/>
    <w:rsid w:val="003468D8"/>
    <w:rsid w:val="00346B6E"/>
    <w:rsid w:val="0034736F"/>
    <w:rsid w:val="00347F10"/>
    <w:rsid w:val="00350017"/>
    <w:rsid w:val="0035003C"/>
    <w:rsid w:val="003502C9"/>
    <w:rsid w:val="00350772"/>
    <w:rsid w:val="003509D4"/>
    <w:rsid w:val="00350AFF"/>
    <w:rsid w:val="00350F40"/>
    <w:rsid w:val="003510BE"/>
    <w:rsid w:val="00351221"/>
    <w:rsid w:val="003523E4"/>
    <w:rsid w:val="00352790"/>
    <w:rsid w:val="00352C41"/>
    <w:rsid w:val="00352CE6"/>
    <w:rsid w:val="00352DC7"/>
    <w:rsid w:val="00353557"/>
    <w:rsid w:val="00353E04"/>
    <w:rsid w:val="003540DE"/>
    <w:rsid w:val="003540F5"/>
    <w:rsid w:val="0035498D"/>
    <w:rsid w:val="003549BA"/>
    <w:rsid w:val="0035653E"/>
    <w:rsid w:val="003567A3"/>
    <w:rsid w:val="003577C8"/>
    <w:rsid w:val="00357A19"/>
    <w:rsid w:val="003604F3"/>
    <w:rsid w:val="00360515"/>
    <w:rsid w:val="003605E3"/>
    <w:rsid w:val="00360927"/>
    <w:rsid w:val="00360A0A"/>
    <w:rsid w:val="00360D26"/>
    <w:rsid w:val="0036114D"/>
    <w:rsid w:val="00361237"/>
    <w:rsid w:val="0036138B"/>
    <w:rsid w:val="00361446"/>
    <w:rsid w:val="0036182E"/>
    <w:rsid w:val="00361CDE"/>
    <w:rsid w:val="00361EC2"/>
    <w:rsid w:val="0036250C"/>
    <w:rsid w:val="00362731"/>
    <w:rsid w:val="00363509"/>
    <w:rsid w:val="00363693"/>
    <w:rsid w:val="00363757"/>
    <w:rsid w:val="0036397C"/>
    <w:rsid w:val="00363C2C"/>
    <w:rsid w:val="003640CD"/>
    <w:rsid w:val="00364222"/>
    <w:rsid w:val="0036471F"/>
    <w:rsid w:val="003653C0"/>
    <w:rsid w:val="003653DB"/>
    <w:rsid w:val="003655E8"/>
    <w:rsid w:val="003658F2"/>
    <w:rsid w:val="003659FC"/>
    <w:rsid w:val="00365B90"/>
    <w:rsid w:val="00365D8A"/>
    <w:rsid w:val="00366313"/>
    <w:rsid w:val="00366433"/>
    <w:rsid w:val="00366819"/>
    <w:rsid w:val="00366922"/>
    <w:rsid w:val="00366A22"/>
    <w:rsid w:val="00366DE1"/>
    <w:rsid w:val="00367903"/>
    <w:rsid w:val="0037016B"/>
    <w:rsid w:val="00370263"/>
    <w:rsid w:val="00371243"/>
    <w:rsid w:val="003713E2"/>
    <w:rsid w:val="003715C0"/>
    <w:rsid w:val="00371670"/>
    <w:rsid w:val="00371750"/>
    <w:rsid w:val="00371B65"/>
    <w:rsid w:val="003723D4"/>
    <w:rsid w:val="00372736"/>
    <w:rsid w:val="00372AA3"/>
    <w:rsid w:val="00372F13"/>
    <w:rsid w:val="00372FC9"/>
    <w:rsid w:val="003738EE"/>
    <w:rsid w:val="00373926"/>
    <w:rsid w:val="00373A49"/>
    <w:rsid w:val="00373CB1"/>
    <w:rsid w:val="00374647"/>
    <w:rsid w:val="003747EB"/>
    <w:rsid w:val="00375257"/>
    <w:rsid w:val="003752A4"/>
    <w:rsid w:val="0037534D"/>
    <w:rsid w:val="00375678"/>
    <w:rsid w:val="003760D3"/>
    <w:rsid w:val="003767D2"/>
    <w:rsid w:val="00376944"/>
    <w:rsid w:val="003772C7"/>
    <w:rsid w:val="003773D7"/>
    <w:rsid w:val="00377878"/>
    <w:rsid w:val="00377A80"/>
    <w:rsid w:val="00377DCA"/>
    <w:rsid w:val="00377EE1"/>
    <w:rsid w:val="00380254"/>
    <w:rsid w:val="003802FB"/>
    <w:rsid w:val="00380854"/>
    <w:rsid w:val="003808B9"/>
    <w:rsid w:val="00380967"/>
    <w:rsid w:val="00380ACC"/>
    <w:rsid w:val="00380E19"/>
    <w:rsid w:val="00381224"/>
    <w:rsid w:val="0038145B"/>
    <w:rsid w:val="003814BF"/>
    <w:rsid w:val="00381733"/>
    <w:rsid w:val="00381E1B"/>
    <w:rsid w:val="00381F26"/>
    <w:rsid w:val="00382123"/>
    <w:rsid w:val="003823FE"/>
    <w:rsid w:val="0038298F"/>
    <w:rsid w:val="003829A4"/>
    <w:rsid w:val="00382DF2"/>
    <w:rsid w:val="00382EB1"/>
    <w:rsid w:val="00383289"/>
    <w:rsid w:val="003834D4"/>
    <w:rsid w:val="00383985"/>
    <w:rsid w:val="00383C83"/>
    <w:rsid w:val="00383EAC"/>
    <w:rsid w:val="0038414C"/>
    <w:rsid w:val="00384190"/>
    <w:rsid w:val="0038440D"/>
    <w:rsid w:val="0038450D"/>
    <w:rsid w:val="00384773"/>
    <w:rsid w:val="00384BB6"/>
    <w:rsid w:val="003850B6"/>
    <w:rsid w:val="00385548"/>
    <w:rsid w:val="003855BB"/>
    <w:rsid w:val="0038568C"/>
    <w:rsid w:val="0038583A"/>
    <w:rsid w:val="003861B5"/>
    <w:rsid w:val="003864A6"/>
    <w:rsid w:val="00386899"/>
    <w:rsid w:val="00386AFE"/>
    <w:rsid w:val="00387337"/>
    <w:rsid w:val="003874E8"/>
    <w:rsid w:val="003877E0"/>
    <w:rsid w:val="00387ADD"/>
    <w:rsid w:val="00387CBE"/>
    <w:rsid w:val="0039034C"/>
    <w:rsid w:val="00390982"/>
    <w:rsid w:val="00390A6F"/>
    <w:rsid w:val="00390AEF"/>
    <w:rsid w:val="00390E15"/>
    <w:rsid w:val="00390FB2"/>
    <w:rsid w:val="00391084"/>
    <w:rsid w:val="003917DD"/>
    <w:rsid w:val="003919A6"/>
    <w:rsid w:val="00391C50"/>
    <w:rsid w:val="00391CDF"/>
    <w:rsid w:val="00391F2C"/>
    <w:rsid w:val="0039274B"/>
    <w:rsid w:val="00392837"/>
    <w:rsid w:val="00392897"/>
    <w:rsid w:val="00392A54"/>
    <w:rsid w:val="00392B0E"/>
    <w:rsid w:val="00392E5C"/>
    <w:rsid w:val="003933CD"/>
    <w:rsid w:val="003937C6"/>
    <w:rsid w:val="00393FDF"/>
    <w:rsid w:val="0039408D"/>
    <w:rsid w:val="0039428E"/>
    <w:rsid w:val="003947A4"/>
    <w:rsid w:val="003947ED"/>
    <w:rsid w:val="003951A7"/>
    <w:rsid w:val="003953F4"/>
    <w:rsid w:val="003955C7"/>
    <w:rsid w:val="003957B5"/>
    <w:rsid w:val="00395AB5"/>
    <w:rsid w:val="00395ABB"/>
    <w:rsid w:val="0039610E"/>
    <w:rsid w:val="003964D7"/>
    <w:rsid w:val="00396A5D"/>
    <w:rsid w:val="00396ACB"/>
    <w:rsid w:val="00396B2B"/>
    <w:rsid w:val="00396D65"/>
    <w:rsid w:val="003970A1"/>
    <w:rsid w:val="0039792B"/>
    <w:rsid w:val="00397F00"/>
    <w:rsid w:val="003A05F7"/>
    <w:rsid w:val="003A0C34"/>
    <w:rsid w:val="003A0F91"/>
    <w:rsid w:val="003A130E"/>
    <w:rsid w:val="003A1472"/>
    <w:rsid w:val="003A1809"/>
    <w:rsid w:val="003A1D65"/>
    <w:rsid w:val="003A25D4"/>
    <w:rsid w:val="003A29B9"/>
    <w:rsid w:val="003A2D61"/>
    <w:rsid w:val="003A3116"/>
    <w:rsid w:val="003A32EE"/>
    <w:rsid w:val="003A3484"/>
    <w:rsid w:val="003A360F"/>
    <w:rsid w:val="003A39EF"/>
    <w:rsid w:val="003A40E1"/>
    <w:rsid w:val="003A447F"/>
    <w:rsid w:val="003A4489"/>
    <w:rsid w:val="003A44FF"/>
    <w:rsid w:val="003A4566"/>
    <w:rsid w:val="003A463D"/>
    <w:rsid w:val="003A485D"/>
    <w:rsid w:val="003A4D1E"/>
    <w:rsid w:val="003A514F"/>
    <w:rsid w:val="003A649B"/>
    <w:rsid w:val="003A6ADE"/>
    <w:rsid w:val="003A6D3F"/>
    <w:rsid w:val="003A6D5C"/>
    <w:rsid w:val="003A7199"/>
    <w:rsid w:val="003A742F"/>
    <w:rsid w:val="003A7501"/>
    <w:rsid w:val="003A7C77"/>
    <w:rsid w:val="003A7D91"/>
    <w:rsid w:val="003B03EA"/>
    <w:rsid w:val="003B0CE2"/>
    <w:rsid w:val="003B174C"/>
    <w:rsid w:val="003B1AEA"/>
    <w:rsid w:val="003B1EFF"/>
    <w:rsid w:val="003B2005"/>
    <w:rsid w:val="003B23F8"/>
    <w:rsid w:val="003B2553"/>
    <w:rsid w:val="003B2567"/>
    <w:rsid w:val="003B2A68"/>
    <w:rsid w:val="003B2CDC"/>
    <w:rsid w:val="003B2E74"/>
    <w:rsid w:val="003B302A"/>
    <w:rsid w:val="003B3B94"/>
    <w:rsid w:val="003B449E"/>
    <w:rsid w:val="003B45DC"/>
    <w:rsid w:val="003B475F"/>
    <w:rsid w:val="003B4820"/>
    <w:rsid w:val="003B4BF0"/>
    <w:rsid w:val="003B4C67"/>
    <w:rsid w:val="003B4E1C"/>
    <w:rsid w:val="003B4F03"/>
    <w:rsid w:val="003B4F07"/>
    <w:rsid w:val="003B501A"/>
    <w:rsid w:val="003B5560"/>
    <w:rsid w:val="003B5719"/>
    <w:rsid w:val="003B5F9B"/>
    <w:rsid w:val="003B64FF"/>
    <w:rsid w:val="003B6B93"/>
    <w:rsid w:val="003B6D5A"/>
    <w:rsid w:val="003B6DA6"/>
    <w:rsid w:val="003B6DCF"/>
    <w:rsid w:val="003B6F20"/>
    <w:rsid w:val="003B7116"/>
    <w:rsid w:val="003B72DF"/>
    <w:rsid w:val="003B75D4"/>
    <w:rsid w:val="003B7F11"/>
    <w:rsid w:val="003B7FE5"/>
    <w:rsid w:val="003C0028"/>
    <w:rsid w:val="003C0B48"/>
    <w:rsid w:val="003C1116"/>
    <w:rsid w:val="003C1391"/>
    <w:rsid w:val="003C1A05"/>
    <w:rsid w:val="003C2102"/>
    <w:rsid w:val="003C2390"/>
    <w:rsid w:val="003C244C"/>
    <w:rsid w:val="003C25CC"/>
    <w:rsid w:val="003C263E"/>
    <w:rsid w:val="003C2FA5"/>
    <w:rsid w:val="003C31EC"/>
    <w:rsid w:val="003C3262"/>
    <w:rsid w:val="003C3409"/>
    <w:rsid w:val="003C36B3"/>
    <w:rsid w:val="003C37E0"/>
    <w:rsid w:val="003C3D1E"/>
    <w:rsid w:val="003C40AF"/>
    <w:rsid w:val="003C4A11"/>
    <w:rsid w:val="003C4FA9"/>
    <w:rsid w:val="003C4FE0"/>
    <w:rsid w:val="003C5356"/>
    <w:rsid w:val="003C5D7B"/>
    <w:rsid w:val="003C6490"/>
    <w:rsid w:val="003C6BC7"/>
    <w:rsid w:val="003C6D47"/>
    <w:rsid w:val="003C6F7B"/>
    <w:rsid w:val="003C77C1"/>
    <w:rsid w:val="003D06B5"/>
    <w:rsid w:val="003D0759"/>
    <w:rsid w:val="003D0CA1"/>
    <w:rsid w:val="003D1396"/>
    <w:rsid w:val="003D1470"/>
    <w:rsid w:val="003D16EE"/>
    <w:rsid w:val="003D17C8"/>
    <w:rsid w:val="003D1CB1"/>
    <w:rsid w:val="003D2064"/>
    <w:rsid w:val="003D20FA"/>
    <w:rsid w:val="003D2805"/>
    <w:rsid w:val="003D2BAD"/>
    <w:rsid w:val="003D2EAC"/>
    <w:rsid w:val="003D2F26"/>
    <w:rsid w:val="003D3067"/>
    <w:rsid w:val="003D3211"/>
    <w:rsid w:val="003D328E"/>
    <w:rsid w:val="003D3531"/>
    <w:rsid w:val="003D36B6"/>
    <w:rsid w:val="003D36BC"/>
    <w:rsid w:val="003D39FC"/>
    <w:rsid w:val="003D3D68"/>
    <w:rsid w:val="003D40BE"/>
    <w:rsid w:val="003D4345"/>
    <w:rsid w:val="003D47B2"/>
    <w:rsid w:val="003D47D0"/>
    <w:rsid w:val="003D4843"/>
    <w:rsid w:val="003D487D"/>
    <w:rsid w:val="003D4F1C"/>
    <w:rsid w:val="003D5578"/>
    <w:rsid w:val="003D5A93"/>
    <w:rsid w:val="003D5E36"/>
    <w:rsid w:val="003D604B"/>
    <w:rsid w:val="003D61DB"/>
    <w:rsid w:val="003D69AC"/>
    <w:rsid w:val="003D6B91"/>
    <w:rsid w:val="003D719C"/>
    <w:rsid w:val="003D71A3"/>
    <w:rsid w:val="003D7296"/>
    <w:rsid w:val="003D73A0"/>
    <w:rsid w:val="003D7C1C"/>
    <w:rsid w:val="003D7CE5"/>
    <w:rsid w:val="003D7CE8"/>
    <w:rsid w:val="003D7F63"/>
    <w:rsid w:val="003E0483"/>
    <w:rsid w:val="003E0578"/>
    <w:rsid w:val="003E0915"/>
    <w:rsid w:val="003E0921"/>
    <w:rsid w:val="003E0BAF"/>
    <w:rsid w:val="003E12DE"/>
    <w:rsid w:val="003E1565"/>
    <w:rsid w:val="003E15B6"/>
    <w:rsid w:val="003E1884"/>
    <w:rsid w:val="003E18A3"/>
    <w:rsid w:val="003E1A15"/>
    <w:rsid w:val="003E1A45"/>
    <w:rsid w:val="003E1D32"/>
    <w:rsid w:val="003E28C1"/>
    <w:rsid w:val="003E28FB"/>
    <w:rsid w:val="003E292B"/>
    <w:rsid w:val="003E2E8A"/>
    <w:rsid w:val="003E31A0"/>
    <w:rsid w:val="003E3565"/>
    <w:rsid w:val="003E3D07"/>
    <w:rsid w:val="003E3E86"/>
    <w:rsid w:val="003E4324"/>
    <w:rsid w:val="003E5484"/>
    <w:rsid w:val="003E560F"/>
    <w:rsid w:val="003E5C27"/>
    <w:rsid w:val="003E5FF8"/>
    <w:rsid w:val="003E636E"/>
    <w:rsid w:val="003E698A"/>
    <w:rsid w:val="003E6DD2"/>
    <w:rsid w:val="003E754E"/>
    <w:rsid w:val="003E76A8"/>
    <w:rsid w:val="003E7781"/>
    <w:rsid w:val="003E78E3"/>
    <w:rsid w:val="003F01C6"/>
    <w:rsid w:val="003F03F0"/>
    <w:rsid w:val="003F0440"/>
    <w:rsid w:val="003F0771"/>
    <w:rsid w:val="003F0C14"/>
    <w:rsid w:val="003F0E4F"/>
    <w:rsid w:val="003F0E80"/>
    <w:rsid w:val="003F10A5"/>
    <w:rsid w:val="003F1199"/>
    <w:rsid w:val="003F11ED"/>
    <w:rsid w:val="003F1660"/>
    <w:rsid w:val="003F1CE8"/>
    <w:rsid w:val="003F1DDA"/>
    <w:rsid w:val="003F212E"/>
    <w:rsid w:val="003F2431"/>
    <w:rsid w:val="003F270D"/>
    <w:rsid w:val="003F29BE"/>
    <w:rsid w:val="003F2CA0"/>
    <w:rsid w:val="003F3122"/>
    <w:rsid w:val="003F33F3"/>
    <w:rsid w:val="003F354B"/>
    <w:rsid w:val="003F3754"/>
    <w:rsid w:val="003F3892"/>
    <w:rsid w:val="003F3A76"/>
    <w:rsid w:val="003F3AC9"/>
    <w:rsid w:val="003F3B4B"/>
    <w:rsid w:val="003F3F74"/>
    <w:rsid w:val="003F3FBD"/>
    <w:rsid w:val="003F40DD"/>
    <w:rsid w:val="003F44A2"/>
    <w:rsid w:val="003F4C26"/>
    <w:rsid w:val="003F4D9F"/>
    <w:rsid w:val="003F4F8B"/>
    <w:rsid w:val="003F57BD"/>
    <w:rsid w:val="003F57C7"/>
    <w:rsid w:val="003F59AB"/>
    <w:rsid w:val="003F5D84"/>
    <w:rsid w:val="003F629A"/>
    <w:rsid w:val="003F68AD"/>
    <w:rsid w:val="003F6E8A"/>
    <w:rsid w:val="003F7046"/>
    <w:rsid w:val="003F7207"/>
    <w:rsid w:val="003F73CA"/>
    <w:rsid w:val="003F789D"/>
    <w:rsid w:val="003F7ACD"/>
    <w:rsid w:val="003F7BEF"/>
    <w:rsid w:val="003F7F15"/>
    <w:rsid w:val="00400505"/>
    <w:rsid w:val="00400890"/>
    <w:rsid w:val="004008D5"/>
    <w:rsid w:val="00400E39"/>
    <w:rsid w:val="004013A1"/>
    <w:rsid w:val="0040176F"/>
    <w:rsid w:val="004017CC"/>
    <w:rsid w:val="00401847"/>
    <w:rsid w:val="00402784"/>
    <w:rsid w:val="00402919"/>
    <w:rsid w:val="00402D04"/>
    <w:rsid w:val="00403724"/>
    <w:rsid w:val="00403743"/>
    <w:rsid w:val="00403765"/>
    <w:rsid w:val="004038FF"/>
    <w:rsid w:val="0040397B"/>
    <w:rsid w:val="00403BE1"/>
    <w:rsid w:val="00403DE4"/>
    <w:rsid w:val="00403F3E"/>
    <w:rsid w:val="004045A9"/>
    <w:rsid w:val="00404602"/>
    <w:rsid w:val="0040465D"/>
    <w:rsid w:val="004047E3"/>
    <w:rsid w:val="00404B65"/>
    <w:rsid w:val="0040523B"/>
    <w:rsid w:val="00405A24"/>
    <w:rsid w:val="00405F19"/>
    <w:rsid w:val="00406682"/>
    <w:rsid w:val="00406B37"/>
    <w:rsid w:val="00407283"/>
    <w:rsid w:val="004073E6"/>
    <w:rsid w:val="004075C0"/>
    <w:rsid w:val="00407BAC"/>
    <w:rsid w:val="00410012"/>
    <w:rsid w:val="004102C9"/>
    <w:rsid w:val="00410757"/>
    <w:rsid w:val="004107C2"/>
    <w:rsid w:val="0041098D"/>
    <w:rsid w:val="004109CF"/>
    <w:rsid w:val="00410B0E"/>
    <w:rsid w:val="00411087"/>
    <w:rsid w:val="00411292"/>
    <w:rsid w:val="00411372"/>
    <w:rsid w:val="004120BD"/>
    <w:rsid w:val="00412219"/>
    <w:rsid w:val="004126D3"/>
    <w:rsid w:val="00412E1A"/>
    <w:rsid w:val="0041300C"/>
    <w:rsid w:val="004132D2"/>
    <w:rsid w:val="00413345"/>
    <w:rsid w:val="00413876"/>
    <w:rsid w:val="00413A92"/>
    <w:rsid w:val="00413C4F"/>
    <w:rsid w:val="00413CBC"/>
    <w:rsid w:val="00413ECA"/>
    <w:rsid w:val="00414071"/>
    <w:rsid w:val="004143F7"/>
    <w:rsid w:val="00414644"/>
    <w:rsid w:val="004146C8"/>
    <w:rsid w:val="00414A38"/>
    <w:rsid w:val="00414E65"/>
    <w:rsid w:val="004151E6"/>
    <w:rsid w:val="00415C5B"/>
    <w:rsid w:val="00415D29"/>
    <w:rsid w:val="00415DBF"/>
    <w:rsid w:val="004162BD"/>
    <w:rsid w:val="0041670F"/>
    <w:rsid w:val="00416AAE"/>
    <w:rsid w:val="00416BB3"/>
    <w:rsid w:val="00416C59"/>
    <w:rsid w:val="00416D54"/>
    <w:rsid w:val="004170C6"/>
    <w:rsid w:val="004171E1"/>
    <w:rsid w:val="00417381"/>
    <w:rsid w:val="00417531"/>
    <w:rsid w:val="00417CD5"/>
    <w:rsid w:val="00417CFD"/>
    <w:rsid w:val="00417F88"/>
    <w:rsid w:val="00417F9B"/>
    <w:rsid w:val="00420007"/>
    <w:rsid w:val="004206EE"/>
    <w:rsid w:val="004208AF"/>
    <w:rsid w:val="004210FE"/>
    <w:rsid w:val="004212C7"/>
    <w:rsid w:val="0042160F"/>
    <w:rsid w:val="004216FC"/>
    <w:rsid w:val="00421C6E"/>
    <w:rsid w:val="00422274"/>
    <w:rsid w:val="00422796"/>
    <w:rsid w:val="0042280F"/>
    <w:rsid w:val="00422830"/>
    <w:rsid w:val="0042288E"/>
    <w:rsid w:val="00422A44"/>
    <w:rsid w:val="00422E3E"/>
    <w:rsid w:val="00422E94"/>
    <w:rsid w:val="00422F39"/>
    <w:rsid w:val="004231E2"/>
    <w:rsid w:val="00423606"/>
    <w:rsid w:val="0042360C"/>
    <w:rsid w:val="00423948"/>
    <w:rsid w:val="00423966"/>
    <w:rsid w:val="00423B9B"/>
    <w:rsid w:val="00423CC1"/>
    <w:rsid w:val="0042433B"/>
    <w:rsid w:val="004248F5"/>
    <w:rsid w:val="00424B5E"/>
    <w:rsid w:val="00424DA7"/>
    <w:rsid w:val="00424EF8"/>
    <w:rsid w:val="00424F28"/>
    <w:rsid w:val="00424F4F"/>
    <w:rsid w:val="00425089"/>
    <w:rsid w:val="004254A3"/>
    <w:rsid w:val="00425845"/>
    <w:rsid w:val="00425938"/>
    <w:rsid w:val="00425A23"/>
    <w:rsid w:val="00425BC3"/>
    <w:rsid w:val="00425FC2"/>
    <w:rsid w:val="0042617D"/>
    <w:rsid w:val="004261EB"/>
    <w:rsid w:val="00426234"/>
    <w:rsid w:val="00426375"/>
    <w:rsid w:val="00426E4D"/>
    <w:rsid w:val="00427BD6"/>
    <w:rsid w:val="00427C4A"/>
    <w:rsid w:val="004304B5"/>
    <w:rsid w:val="004304E8"/>
    <w:rsid w:val="004305BC"/>
    <w:rsid w:val="00430868"/>
    <w:rsid w:val="00430883"/>
    <w:rsid w:val="004309FB"/>
    <w:rsid w:val="00430AE1"/>
    <w:rsid w:val="00430B64"/>
    <w:rsid w:val="00430EF6"/>
    <w:rsid w:val="004310DB"/>
    <w:rsid w:val="004313E4"/>
    <w:rsid w:val="00431655"/>
    <w:rsid w:val="004329D9"/>
    <w:rsid w:val="00432A30"/>
    <w:rsid w:val="00432B50"/>
    <w:rsid w:val="00432F57"/>
    <w:rsid w:val="00432FCC"/>
    <w:rsid w:val="00433406"/>
    <w:rsid w:val="0043405B"/>
    <w:rsid w:val="004342D1"/>
    <w:rsid w:val="00434312"/>
    <w:rsid w:val="00434529"/>
    <w:rsid w:val="00434D54"/>
    <w:rsid w:val="00434F15"/>
    <w:rsid w:val="00435359"/>
    <w:rsid w:val="0043543A"/>
    <w:rsid w:val="004356BF"/>
    <w:rsid w:val="00435B71"/>
    <w:rsid w:val="00435F15"/>
    <w:rsid w:val="0043608A"/>
    <w:rsid w:val="00436271"/>
    <w:rsid w:val="0043651F"/>
    <w:rsid w:val="00436668"/>
    <w:rsid w:val="0043684E"/>
    <w:rsid w:val="00436A4E"/>
    <w:rsid w:val="0043733A"/>
    <w:rsid w:val="00437C28"/>
    <w:rsid w:val="00440657"/>
    <w:rsid w:val="0044084A"/>
    <w:rsid w:val="00440A75"/>
    <w:rsid w:val="00440BE1"/>
    <w:rsid w:val="00440D46"/>
    <w:rsid w:val="00440DF9"/>
    <w:rsid w:val="00441124"/>
    <w:rsid w:val="00441150"/>
    <w:rsid w:val="00441450"/>
    <w:rsid w:val="0044172D"/>
    <w:rsid w:val="00441C53"/>
    <w:rsid w:val="00441D44"/>
    <w:rsid w:val="00441F14"/>
    <w:rsid w:val="00441F87"/>
    <w:rsid w:val="00443024"/>
    <w:rsid w:val="0044329E"/>
    <w:rsid w:val="004435A0"/>
    <w:rsid w:val="004437ED"/>
    <w:rsid w:val="00443802"/>
    <w:rsid w:val="00443BD5"/>
    <w:rsid w:val="00443C18"/>
    <w:rsid w:val="004442B3"/>
    <w:rsid w:val="004446A8"/>
    <w:rsid w:val="0044519A"/>
    <w:rsid w:val="00445298"/>
    <w:rsid w:val="00445B34"/>
    <w:rsid w:val="00445BE7"/>
    <w:rsid w:val="00445C85"/>
    <w:rsid w:val="0044609E"/>
    <w:rsid w:val="0044651B"/>
    <w:rsid w:val="004468FC"/>
    <w:rsid w:val="00446911"/>
    <w:rsid w:val="00446BC3"/>
    <w:rsid w:val="00446D96"/>
    <w:rsid w:val="00447051"/>
    <w:rsid w:val="004475C7"/>
    <w:rsid w:val="004479C5"/>
    <w:rsid w:val="004503BD"/>
    <w:rsid w:val="00450A29"/>
    <w:rsid w:val="004511F4"/>
    <w:rsid w:val="0045130F"/>
    <w:rsid w:val="00451456"/>
    <w:rsid w:val="00451526"/>
    <w:rsid w:val="0045199A"/>
    <w:rsid w:val="0045199E"/>
    <w:rsid w:val="00451DCA"/>
    <w:rsid w:val="00451E78"/>
    <w:rsid w:val="00452A6C"/>
    <w:rsid w:val="00452AD2"/>
    <w:rsid w:val="00452BA4"/>
    <w:rsid w:val="00452E06"/>
    <w:rsid w:val="0045341A"/>
    <w:rsid w:val="0045387D"/>
    <w:rsid w:val="00453B6E"/>
    <w:rsid w:val="004540A8"/>
    <w:rsid w:val="00454122"/>
    <w:rsid w:val="004545DE"/>
    <w:rsid w:val="004547A0"/>
    <w:rsid w:val="004547D5"/>
    <w:rsid w:val="00454FA9"/>
    <w:rsid w:val="0045517B"/>
    <w:rsid w:val="00455195"/>
    <w:rsid w:val="00455261"/>
    <w:rsid w:val="004555B9"/>
    <w:rsid w:val="004564CE"/>
    <w:rsid w:val="00456819"/>
    <w:rsid w:val="00456850"/>
    <w:rsid w:val="00456D10"/>
    <w:rsid w:val="00460102"/>
    <w:rsid w:val="0046013A"/>
    <w:rsid w:val="00460566"/>
    <w:rsid w:val="004607B4"/>
    <w:rsid w:val="00460918"/>
    <w:rsid w:val="00460F61"/>
    <w:rsid w:val="00461A0A"/>
    <w:rsid w:val="00461DCD"/>
    <w:rsid w:val="00462332"/>
    <w:rsid w:val="0046254C"/>
    <w:rsid w:val="00462CAD"/>
    <w:rsid w:val="00462E2C"/>
    <w:rsid w:val="00462FB1"/>
    <w:rsid w:val="00463112"/>
    <w:rsid w:val="004633AE"/>
    <w:rsid w:val="004635C9"/>
    <w:rsid w:val="0046409A"/>
    <w:rsid w:val="004641B8"/>
    <w:rsid w:val="004641E8"/>
    <w:rsid w:val="004645AA"/>
    <w:rsid w:val="00464BEC"/>
    <w:rsid w:val="00464CB2"/>
    <w:rsid w:val="00464E13"/>
    <w:rsid w:val="004654F5"/>
    <w:rsid w:val="00465D70"/>
    <w:rsid w:val="00466326"/>
    <w:rsid w:val="00466CF2"/>
    <w:rsid w:val="00466CF8"/>
    <w:rsid w:val="004673EA"/>
    <w:rsid w:val="004675B3"/>
    <w:rsid w:val="004675C2"/>
    <w:rsid w:val="00467976"/>
    <w:rsid w:val="00467C77"/>
    <w:rsid w:val="00467CDF"/>
    <w:rsid w:val="00467E7D"/>
    <w:rsid w:val="00470387"/>
    <w:rsid w:val="0047039D"/>
    <w:rsid w:val="0047066C"/>
    <w:rsid w:val="004707BA"/>
    <w:rsid w:val="004707E2"/>
    <w:rsid w:val="004709F8"/>
    <w:rsid w:val="00470C7E"/>
    <w:rsid w:val="00470DA1"/>
    <w:rsid w:val="00471BF6"/>
    <w:rsid w:val="00471C69"/>
    <w:rsid w:val="00472043"/>
    <w:rsid w:val="004723F8"/>
    <w:rsid w:val="004724C0"/>
    <w:rsid w:val="004728E4"/>
    <w:rsid w:val="00472CF9"/>
    <w:rsid w:val="004730F6"/>
    <w:rsid w:val="00473130"/>
    <w:rsid w:val="0047319C"/>
    <w:rsid w:val="004736C2"/>
    <w:rsid w:val="00473BFF"/>
    <w:rsid w:val="00473EA6"/>
    <w:rsid w:val="004740B7"/>
    <w:rsid w:val="00474116"/>
    <w:rsid w:val="00474488"/>
    <w:rsid w:val="004748D6"/>
    <w:rsid w:val="00474D59"/>
    <w:rsid w:val="0047520D"/>
    <w:rsid w:val="004758A9"/>
    <w:rsid w:val="00475D01"/>
    <w:rsid w:val="00475DFC"/>
    <w:rsid w:val="0047615C"/>
    <w:rsid w:val="0047626A"/>
    <w:rsid w:val="004764F4"/>
    <w:rsid w:val="00476B3E"/>
    <w:rsid w:val="00476D76"/>
    <w:rsid w:val="004772E5"/>
    <w:rsid w:val="00477524"/>
    <w:rsid w:val="004776BB"/>
    <w:rsid w:val="0047798B"/>
    <w:rsid w:val="004802D9"/>
    <w:rsid w:val="00480334"/>
    <w:rsid w:val="0048099F"/>
    <w:rsid w:val="00480CBD"/>
    <w:rsid w:val="00480E2C"/>
    <w:rsid w:val="00480F1E"/>
    <w:rsid w:val="00481672"/>
    <w:rsid w:val="00481912"/>
    <w:rsid w:val="004819A5"/>
    <w:rsid w:val="00482018"/>
    <w:rsid w:val="004831F9"/>
    <w:rsid w:val="0048389A"/>
    <w:rsid w:val="00483C0B"/>
    <w:rsid w:val="00483C5D"/>
    <w:rsid w:val="00483D1C"/>
    <w:rsid w:val="00483FF1"/>
    <w:rsid w:val="004840A0"/>
    <w:rsid w:val="00484306"/>
    <w:rsid w:val="0048432D"/>
    <w:rsid w:val="0048460C"/>
    <w:rsid w:val="00484BDB"/>
    <w:rsid w:val="00484E57"/>
    <w:rsid w:val="004853C7"/>
    <w:rsid w:val="00485475"/>
    <w:rsid w:val="00485495"/>
    <w:rsid w:val="004854B6"/>
    <w:rsid w:val="004854EF"/>
    <w:rsid w:val="0048564C"/>
    <w:rsid w:val="00485934"/>
    <w:rsid w:val="00485B51"/>
    <w:rsid w:val="00485B8F"/>
    <w:rsid w:val="0048604A"/>
    <w:rsid w:val="00486A41"/>
    <w:rsid w:val="00486B15"/>
    <w:rsid w:val="00486D34"/>
    <w:rsid w:val="004870C9"/>
    <w:rsid w:val="0048718E"/>
    <w:rsid w:val="004871C8"/>
    <w:rsid w:val="004874F2"/>
    <w:rsid w:val="00487AC6"/>
    <w:rsid w:val="00487EF6"/>
    <w:rsid w:val="00487FDC"/>
    <w:rsid w:val="004903EE"/>
    <w:rsid w:val="00490777"/>
    <w:rsid w:val="00490C06"/>
    <w:rsid w:val="00490CE4"/>
    <w:rsid w:val="00490EE6"/>
    <w:rsid w:val="004910BC"/>
    <w:rsid w:val="004912C8"/>
    <w:rsid w:val="004918C6"/>
    <w:rsid w:val="00491BEC"/>
    <w:rsid w:val="00491D80"/>
    <w:rsid w:val="00491E6F"/>
    <w:rsid w:val="00491ECD"/>
    <w:rsid w:val="0049229F"/>
    <w:rsid w:val="00492514"/>
    <w:rsid w:val="00492551"/>
    <w:rsid w:val="004926E0"/>
    <w:rsid w:val="0049278C"/>
    <w:rsid w:val="00492DAA"/>
    <w:rsid w:val="00492FDB"/>
    <w:rsid w:val="00493210"/>
    <w:rsid w:val="004935D1"/>
    <w:rsid w:val="00493623"/>
    <w:rsid w:val="00493CA8"/>
    <w:rsid w:val="00493CE3"/>
    <w:rsid w:val="0049417B"/>
    <w:rsid w:val="00494357"/>
    <w:rsid w:val="00494A5E"/>
    <w:rsid w:val="00494EC6"/>
    <w:rsid w:val="0049579E"/>
    <w:rsid w:val="0049582B"/>
    <w:rsid w:val="00495898"/>
    <w:rsid w:val="00495A5C"/>
    <w:rsid w:val="0049662F"/>
    <w:rsid w:val="00496B33"/>
    <w:rsid w:val="00496E08"/>
    <w:rsid w:val="0049702F"/>
    <w:rsid w:val="00497307"/>
    <w:rsid w:val="004974ED"/>
    <w:rsid w:val="00497752"/>
    <w:rsid w:val="004977B7"/>
    <w:rsid w:val="00497AE1"/>
    <w:rsid w:val="004A00CB"/>
    <w:rsid w:val="004A0192"/>
    <w:rsid w:val="004A05E8"/>
    <w:rsid w:val="004A0E3F"/>
    <w:rsid w:val="004A1342"/>
    <w:rsid w:val="004A178C"/>
    <w:rsid w:val="004A183B"/>
    <w:rsid w:val="004A1BB9"/>
    <w:rsid w:val="004A1C69"/>
    <w:rsid w:val="004A2487"/>
    <w:rsid w:val="004A2D6F"/>
    <w:rsid w:val="004A34A4"/>
    <w:rsid w:val="004A39DB"/>
    <w:rsid w:val="004A429A"/>
    <w:rsid w:val="004A42CB"/>
    <w:rsid w:val="004A497A"/>
    <w:rsid w:val="004A4E01"/>
    <w:rsid w:val="004A4EC2"/>
    <w:rsid w:val="004A4FC6"/>
    <w:rsid w:val="004A51F9"/>
    <w:rsid w:val="004A523E"/>
    <w:rsid w:val="004A5E39"/>
    <w:rsid w:val="004A5EF6"/>
    <w:rsid w:val="004A62C5"/>
    <w:rsid w:val="004A63D6"/>
    <w:rsid w:val="004A6408"/>
    <w:rsid w:val="004A6764"/>
    <w:rsid w:val="004A67D3"/>
    <w:rsid w:val="004A69AE"/>
    <w:rsid w:val="004A6E1E"/>
    <w:rsid w:val="004A7373"/>
    <w:rsid w:val="004A7A55"/>
    <w:rsid w:val="004A7FC2"/>
    <w:rsid w:val="004B00E6"/>
    <w:rsid w:val="004B042B"/>
    <w:rsid w:val="004B05D1"/>
    <w:rsid w:val="004B05DD"/>
    <w:rsid w:val="004B07C4"/>
    <w:rsid w:val="004B0D8E"/>
    <w:rsid w:val="004B1206"/>
    <w:rsid w:val="004B1F58"/>
    <w:rsid w:val="004B1FAC"/>
    <w:rsid w:val="004B200B"/>
    <w:rsid w:val="004B2579"/>
    <w:rsid w:val="004B2EE5"/>
    <w:rsid w:val="004B2F32"/>
    <w:rsid w:val="004B3110"/>
    <w:rsid w:val="004B333E"/>
    <w:rsid w:val="004B355F"/>
    <w:rsid w:val="004B3753"/>
    <w:rsid w:val="004B3CB3"/>
    <w:rsid w:val="004B47DA"/>
    <w:rsid w:val="004B490E"/>
    <w:rsid w:val="004B4CE8"/>
    <w:rsid w:val="004B4E91"/>
    <w:rsid w:val="004B54A9"/>
    <w:rsid w:val="004B54B4"/>
    <w:rsid w:val="004B557B"/>
    <w:rsid w:val="004B5608"/>
    <w:rsid w:val="004B56B6"/>
    <w:rsid w:val="004B56E3"/>
    <w:rsid w:val="004B58C5"/>
    <w:rsid w:val="004B5DCB"/>
    <w:rsid w:val="004B5E89"/>
    <w:rsid w:val="004B6116"/>
    <w:rsid w:val="004B6655"/>
    <w:rsid w:val="004B6CA9"/>
    <w:rsid w:val="004B6CC0"/>
    <w:rsid w:val="004B714E"/>
    <w:rsid w:val="004B7492"/>
    <w:rsid w:val="004B7649"/>
    <w:rsid w:val="004B7774"/>
    <w:rsid w:val="004B7CCC"/>
    <w:rsid w:val="004B7F19"/>
    <w:rsid w:val="004C00DF"/>
    <w:rsid w:val="004C0250"/>
    <w:rsid w:val="004C0655"/>
    <w:rsid w:val="004C08ED"/>
    <w:rsid w:val="004C0AFB"/>
    <w:rsid w:val="004C0FCC"/>
    <w:rsid w:val="004C1952"/>
    <w:rsid w:val="004C19CC"/>
    <w:rsid w:val="004C1CD0"/>
    <w:rsid w:val="004C1D60"/>
    <w:rsid w:val="004C1E6C"/>
    <w:rsid w:val="004C2360"/>
    <w:rsid w:val="004C2614"/>
    <w:rsid w:val="004C2A71"/>
    <w:rsid w:val="004C2B4C"/>
    <w:rsid w:val="004C2C6A"/>
    <w:rsid w:val="004C3298"/>
    <w:rsid w:val="004C35A2"/>
    <w:rsid w:val="004C35A7"/>
    <w:rsid w:val="004C470C"/>
    <w:rsid w:val="004C49BF"/>
    <w:rsid w:val="004C51AE"/>
    <w:rsid w:val="004C51CB"/>
    <w:rsid w:val="004C51FE"/>
    <w:rsid w:val="004C53EA"/>
    <w:rsid w:val="004C542E"/>
    <w:rsid w:val="004C5440"/>
    <w:rsid w:val="004C5759"/>
    <w:rsid w:val="004C5781"/>
    <w:rsid w:val="004C5B40"/>
    <w:rsid w:val="004C5C7D"/>
    <w:rsid w:val="004C5CD0"/>
    <w:rsid w:val="004C63BA"/>
    <w:rsid w:val="004C65E3"/>
    <w:rsid w:val="004C6777"/>
    <w:rsid w:val="004C67AB"/>
    <w:rsid w:val="004C67FE"/>
    <w:rsid w:val="004C6ACF"/>
    <w:rsid w:val="004C6F72"/>
    <w:rsid w:val="004C7A9B"/>
    <w:rsid w:val="004C7D98"/>
    <w:rsid w:val="004D02C0"/>
    <w:rsid w:val="004D0818"/>
    <w:rsid w:val="004D098F"/>
    <w:rsid w:val="004D0C24"/>
    <w:rsid w:val="004D1052"/>
    <w:rsid w:val="004D1B25"/>
    <w:rsid w:val="004D1D94"/>
    <w:rsid w:val="004D224B"/>
    <w:rsid w:val="004D2640"/>
    <w:rsid w:val="004D3195"/>
    <w:rsid w:val="004D3303"/>
    <w:rsid w:val="004D3348"/>
    <w:rsid w:val="004D3B33"/>
    <w:rsid w:val="004D3DC9"/>
    <w:rsid w:val="004D3F67"/>
    <w:rsid w:val="004D45B3"/>
    <w:rsid w:val="004D4C69"/>
    <w:rsid w:val="004D5297"/>
    <w:rsid w:val="004D55F4"/>
    <w:rsid w:val="004D5AC4"/>
    <w:rsid w:val="004D5FBF"/>
    <w:rsid w:val="004D656F"/>
    <w:rsid w:val="004D6F51"/>
    <w:rsid w:val="004D6FC7"/>
    <w:rsid w:val="004D735A"/>
    <w:rsid w:val="004D7585"/>
    <w:rsid w:val="004D763D"/>
    <w:rsid w:val="004D7ECB"/>
    <w:rsid w:val="004E0016"/>
    <w:rsid w:val="004E0061"/>
    <w:rsid w:val="004E0154"/>
    <w:rsid w:val="004E0817"/>
    <w:rsid w:val="004E0AFB"/>
    <w:rsid w:val="004E0B69"/>
    <w:rsid w:val="004E0E40"/>
    <w:rsid w:val="004E0FCD"/>
    <w:rsid w:val="004E10A2"/>
    <w:rsid w:val="004E1268"/>
    <w:rsid w:val="004E13DE"/>
    <w:rsid w:val="004E149E"/>
    <w:rsid w:val="004E1DF1"/>
    <w:rsid w:val="004E1E95"/>
    <w:rsid w:val="004E20BD"/>
    <w:rsid w:val="004E21D6"/>
    <w:rsid w:val="004E2729"/>
    <w:rsid w:val="004E27E6"/>
    <w:rsid w:val="004E2963"/>
    <w:rsid w:val="004E2AB6"/>
    <w:rsid w:val="004E2F2D"/>
    <w:rsid w:val="004E334C"/>
    <w:rsid w:val="004E33C4"/>
    <w:rsid w:val="004E3501"/>
    <w:rsid w:val="004E39CE"/>
    <w:rsid w:val="004E3F70"/>
    <w:rsid w:val="004E4368"/>
    <w:rsid w:val="004E454E"/>
    <w:rsid w:val="004E4882"/>
    <w:rsid w:val="004E4889"/>
    <w:rsid w:val="004E48A3"/>
    <w:rsid w:val="004E4A9E"/>
    <w:rsid w:val="004E4C50"/>
    <w:rsid w:val="004E4FC0"/>
    <w:rsid w:val="004E501B"/>
    <w:rsid w:val="004E5290"/>
    <w:rsid w:val="004E54FD"/>
    <w:rsid w:val="004E57F7"/>
    <w:rsid w:val="004E5EEE"/>
    <w:rsid w:val="004E61FE"/>
    <w:rsid w:val="004E67E9"/>
    <w:rsid w:val="004E6DAF"/>
    <w:rsid w:val="004E7582"/>
    <w:rsid w:val="004E75A5"/>
    <w:rsid w:val="004E776A"/>
    <w:rsid w:val="004E7B0C"/>
    <w:rsid w:val="004F0095"/>
    <w:rsid w:val="004F0102"/>
    <w:rsid w:val="004F0553"/>
    <w:rsid w:val="004F09C6"/>
    <w:rsid w:val="004F0F48"/>
    <w:rsid w:val="004F1322"/>
    <w:rsid w:val="004F17EB"/>
    <w:rsid w:val="004F19DB"/>
    <w:rsid w:val="004F1EFA"/>
    <w:rsid w:val="004F2549"/>
    <w:rsid w:val="004F2A5E"/>
    <w:rsid w:val="004F2A80"/>
    <w:rsid w:val="004F2D49"/>
    <w:rsid w:val="004F2FEA"/>
    <w:rsid w:val="004F3B19"/>
    <w:rsid w:val="004F3C1E"/>
    <w:rsid w:val="004F3C85"/>
    <w:rsid w:val="004F3E1E"/>
    <w:rsid w:val="004F468E"/>
    <w:rsid w:val="004F4B17"/>
    <w:rsid w:val="004F51D3"/>
    <w:rsid w:val="004F5220"/>
    <w:rsid w:val="004F54A1"/>
    <w:rsid w:val="004F556C"/>
    <w:rsid w:val="004F5578"/>
    <w:rsid w:val="004F5DF6"/>
    <w:rsid w:val="004F5F28"/>
    <w:rsid w:val="004F6AD4"/>
    <w:rsid w:val="004F6DD8"/>
    <w:rsid w:val="004F6DF9"/>
    <w:rsid w:val="004F6F55"/>
    <w:rsid w:val="004F7630"/>
    <w:rsid w:val="004F76F6"/>
    <w:rsid w:val="004F78FE"/>
    <w:rsid w:val="004F7C13"/>
    <w:rsid w:val="004F7C26"/>
    <w:rsid w:val="0050055B"/>
    <w:rsid w:val="00500872"/>
    <w:rsid w:val="00500C2F"/>
    <w:rsid w:val="00500DA5"/>
    <w:rsid w:val="0050114F"/>
    <w:rsid w:val="00501170"/>
    <w:rsid w:val="005017D8"/>
    <w:rsid w:val="00501AF4"/>
    <w:rsid w:val="0050203A"/>
    <w:rsid w:val="0050266C"/>
    <w:rsid w:val="005027B3"/>
    <w:rsid w:val="00502896"/>
    <w:rsid w:val="005028F8"/>
    <w:rsid w:val="00502986"/>
    <w:rsid w:val="00502C90"/>
    <w:rsid w:val="0050322E"/>
    <w:rsid w:val="00503461"/>
    <w:rsid w:val="00503680"/>
    <w:rsid w:val="00503D13"/>
    <w:rsid w:val="00503F5E"/>
    <w:rsid w:val="00504818"/>
    <w:rsid w:val="00504CD6"/>
    <w:rsid w:val="0050577D"/>
    <w:rsid w:val="00505CF7"/>
    <w:rsid w:val="00505EB4"/>
    <w:rsid w:val="00505F89"/>
    <w:rsid w:val="00506EE2"/>
    <w:rsid w:val="005071C8"/>
    <w:rsid w:val="0050722E"/>
    <w:rsid w:val="00507482"/>
    <w:rsid w:val="00510232"/>
    <w:rsid w:val="005104DE"/>
    <w:rsid w:val="005104F5"/>
    <w:rsid w:val="005109EB"/>
    <w:rsid w:val="00510CA3"/>
    <w:rsid w:val="00511091"/>
    <w:rsid w:val="00511118"/>
    <w:rsid w:val="0051192A"/>
    <w:rsid w:val="005122E2"/>
    <w:rsid w:val="005125FD"/>
    <w:rsid w:val="0051299B"/>
    <w:rsid w:val="005129E1"/>
    <w:rsid w:val="005129F7"/>
    <w:rsid w:val="00512A32"/>
    <w:rsid w:val="00512B62"/>
    <w:rsid w:val="005131BC"/>
    <w:rsid w:val="00513477"/>
    <w:rsid w:val="00513A28"/>
    <w:rsid w:val="00513FB0"/>
    <w:rsid w:val="005148B9"/>
    <w:rsid w:val="00514A3F"/>
    <w:rsid w:val="00514E4C"/>
    <w:rsid w:val="00514F60"/>
    <w:rsid w:val="0051565D"/>
    <w:rsid w:val="00515843"/>
    <w:rsid w:val="00516048"/>
    <w:rsid w:val="00516158"/>
    <w:rsid w:val="00516242"/>
    <w:rsid w:val="00516343"/>
    <w:rsid w:val="00516480"/>
    <w:rsid w:val="00516804"/>
    <w:rsid w:val="00516846"/>
    <w:rsid w:val="005168D9"/>
    <w:rsid w:val="00516B97"/>
    <w:rsid w:val="0051757B"/>
    <w:rsid w:val="005178BE"/>
    <w:rsid w:val="00517AC6"/>
    <w:rsid w:val="00517C55"/>
    <w:rsid w:val="005202F2"/>
    <w:rsid w:val="00520684"/>
    <w:rsid w:val="0052091A"/>
    <w:rsid w:val="00520B12"/>
    <w:rsid w:val="00520CAE"/>
    <w:rsid w:val="00520FD5"/>
    <w:rsid w:val="005215D6"/>
    <w:rsid w:val="0052183E"/>
    <w:rsid w:val="005218E2"/>
    <w:rsid w:val="00522467"/>
    <w:rsid w:val="0052263C"/>
    <w:rsid w:val="0052270D"/>
    <w:rsid w:val="00522BC8"/>
    <w:rsid w:val="00522DBA"/>
    <w:rsid w:val="00523073"/>
    <w:rsid w:val="00523956"/>
    <w:rsid w:val="00523E61"/>
    <w:rsid w:val="00523FA9"/>
    <w:rsid w:val="00524280"/>
    <w:rsid w:val="005243B6"/>
    <w:rsid w:val="005243DA"/>
    <w:rsid w:val="005246E0"/>
    <w:rsid w:val="00524D66"/>
    <w:rsid w:val="00524EDF"/>
    <w:rsid w:val="005259AC"/>
    <w:rsid w:val="00525BBD"/>
    <w:rsid w:val="00525D98"/>
    <w:rsid w:val="00525F62"/>
    <w:rsid w:val="00526331"/>
    <w:rsid w:val="0052655C"/>
    <w:rsid w:val="005267D9"/>
    <w:rsid w:val="00526D15"/>
    <w:rsid w:val="00526D93"/>
    <w:rsid w:val="00526F70"/>
    <w:rsid w:val="005270AE"/>
    <w:rsid w:val="005270B4"/>
    <w:rsid w:val="00527340"/>
    <w:rsid w:val="005274EE"/>
    <w:rsid w:val="0052794C"/>
    <w:rsid w:val="00530298"/>
    <w:rsid w:val="00530348"/>
    <w:rsid w:val="00531232"/>
    <w:rsid w:val="00531617"/>
    <w:rsid w:val="00531737"/>
    <w:rsid w:val="0053173B"/>
    <w:rsid w:val="00531E18"/>
    <w:rsid w:val="005321B0"/>
    <w:rsid w:val="00532542"/>
    <w:rsid w:val="005333AF"/>
    <w:rsid w:val="00533912"/>
    <w:rsid w:val="00533A82"/>
    <w:rsid w:val="005346F4"/>
    <w:rsid w:val="0053487B"/>
    <w:rsid w:val="005349B4"/>
    <w:rsid w:val="00534B75"/>
    <w:rsid w:val="00534BA9"/>
    <w:rsid w:val="00534C65"/>
    <w:rsid w:val="00535898"/>
    <w:rsid w:val="00536074"/>
    <w:rsid w:val="005364D9"/>
    <w:rsid w:val="00536B57"/>
    <w:rsid w:val="00536DA7"/>
    <w:rsid w:val="00536F22"/>
    <w:rsid w:val="005375AC"/>
    <w:rsid w:val="0053799A"/>
    <w:rsid w:val="0054052C"/>
    <w:rsid w:val="0054068F"/>
    <w:rsid w:val="0054099E"/>
    <w:rsid w:val="00540AE2"/>
    <w:rsid w:val="00540EB1"/>
    <w:rsid w:val="00541483"/>
    <w:rsid w:val="005418F0"/>
    <w:rsid w:val="00541DC0"/>
    <w:rsid w:val="00542729"/>
    <w:rsid w:val="00542733"/>
    <w:rsid w:val="005427E1"/>
    <w:rsid w:val="0054285E"/>
    <w:rsid w:val="00542972"/>
    <w:rsid w:val="00542C41"/>
    <w:rsid w:val="00542EA2"/>
    <w:rsid w:val="00543271"/>
    <w:rsid w:val="0054359F"/>
    <w:rsid w:val="005438DD"/>
    <w:rsid w:val="00543B0D"/>
    <w:rsid w:val="00543C20"/>
    <w:rsid w:val="00543C4A"/>
    <w:rsid w:val="00543DAF"/>
    <w:rsid w:val="00544637"/>
    <w:rsid w:val="00544B8C"/>
    <w:rsid w:val="00544CE2"/>
    <w:rsid w:val="00544EE5"/>
    <w:rsid w:val="005452C9"/>
    <w:rsid w:val="005452F7"/>
    <w:rsid w:val="00545642"/>
    <w:rsid w:val="00545664"/>
    <w:rsid w:val="005457F3"/>
    <w:rsid w:val="00545A03"/>
    <w:rsid w:val="00545FFE"/>
    <w:rsid w:val="005460E8"/>
    <w:rsid w:val="0054623C"/>
    <w:rsid w:val="00546EB6"/>
    <w:rsid w:val="00547283"/>
    <w:rsid w:val="005474D6"/>
    <w:rsid w:val="005477A8"/>
    <w:rsid w:val="00547F23"/>
    <w:rsid w:val="00547F29"/>
    <w:rsid w:val="00550123"/>
    <w:rsid w:val="00550732"/>
    <w:rsid w:val="00550959"/>
    <w:rsid w:val="00550AB5"/>
    <w:rsid w:val="00550B93"/>
    <w:rsid w:val="0055121B"/>
    <w:rsid w:val="0055131E"/>
    <w:rsid w:val="00551508"/>
    <w:rsid w:val="0055162E"/>
    <w:rsid w:val="005517DD"/>
    <w:rsid w:val="00551EF1"/>
    <w:rsid w:val="00552142"/>
    <w:rsid w:val="005523E4"/>
    <w:rsid w:val="00552811"/>
    <w:rsid w:val="00553320"/>
    <w:rsid w:val="005534A6"/>
    <w:rsid w:val="0055373D"/>
    <w:rsid w:val="0055390C"/>
    <w:rsid w:val="005539DE"/>
    <w:rsid w:val="00553AC4"/>
    <w:rsid w:val="0055440E"/>
    <w:rsid w:val="005548CE"/>
    <w:rsid w:val="005556BB"/>
    <w:rsid w:val="00555EA2"/>
    <w:rsid w:val="005562DA"/>
    <w:rsid w:val="0055679E"/>
    <w:rsid w:val="0055690F"/>
    <w:rsid w:val="00556F9B"/>
    <w:rsid w:val="00557655"/>
    <w:rsid w:val="0055788D"/>
    <w:rsid w:val="00557A54"/>
    <w:rsid w:val="00557C79"/>
    <w:rsid w:val="00560239"/>
    <w:rsid w:val="005602F1"/>
    <w:rsid w:val="00560574"/>
    <w:rsid w:val="00560BC1"/>
    <w:rsid w:val="005618E9"/>
    <w:rsid w:val="0056195D"/>
    <w:rsid w:val="00561A59"/>
    <w:rsid w:val="00561C3D"/>
    <w:rsid w:val="00561EA7"/>
    <w:rsid w:val="00562075"/>
    <w:rsid w:val="005622A6"/>
    <w:rsid w:val="005623EC"/>
    <w:rsid w:val="00562516"/>
    <w:rsid w:val="005627A6"/>
    <w:rsid w:val="00562B7F"/>
    <w:rsid w:val="00562E66"/>
    <w:rsid w:val="00562F1A"/>
    <w:rsid w:val="00563120"/>
    <w:rsid w:val="00563318"/>
    <w:rsid w:val="0056366F"/>
    <w:rsid w:val="00563B9C"/>
    <w:rsid w:val="00563F93"/>
    <w:rsid w:val="00564CD2"/>
    <w:rsid w:val="00565835"/>
    <w:rsid w:val="0056586B"/>
    <w:rsid w:val="00565951"/>
    <w:rsid w:val="00565C18"/>
    <w:rsid w:val="005662A4"/>
    <w:rsid w:val="005662AB"/>
    <w:rsid w:val="005663D0"/>
    <w:rsid w:val="00566429"/>
    <w:rsid w:val="0056674A"/>
    <w:rsid w:val="00566A3F"/>
    <w:rsid w:val="00566EC6"/>
    <w:rsid w:val="0056722D"/>
    <w:rsid w:val="00567255"/>
    <w:rsid w:val="005701DF"/>
    <w:rsid w:val="005702D2"/>
    <w:rsid w:val="005705B4"/>
    <w:rsid w:val="0057063D"/>
    <w:rsid w:val="00570AA8"/>
    <w:rsid w:val="00570EC1"/>
    <w:rsid w:val="005710A4"/>
    <w:rsid w:val="005710CE"/>
    <w:rsid w:val="00571B9E"/>
    <w:rsid w:val="00571BE3"/>
    <w:rsid w:val="00571D70"/>
    <w:rsid w:val="005720E7"/>
    <w:rsid w:val="00572225"/>
    <w:rsid w:val="0057318C"/>
    <w:rsid w:val="00573228"/>
    <w:rsid w:val="00573292"/>
    <w:rsid w:val="00573977"/>
    <w:rsid w:val="005739D0"/>
    <w:rsid w:val="00573C72"/>
    <w:rsid w:val="0057402B"/>
    <w:rsid w:val="005742CF"/>
    <w:rsid w:val="005742D3"/>
    <w:rsid w:val="00574346"/>
    <w:rsid w:val="00574388"/>
    <w:rsid w:val="005743BF"/>
    <w:rsid w:val="00574581"/>
    <w:rsid w:val="0057460D"/>
    <w:rsid w:val="00574875"/>
    <w:rsid w:val="005748EE"/>
    <w:rsid w:val="00574ED4"/>
    <w:rsid w:val="005752AE"/>
    <w:rsid w:val="0057536E"/>
    <w:rsid w:val="005753B8"/>
    <w:rsid w:val="005759DC"/>
    <w:rsid w:val="00575BE5"/>
    <w:rsid w:val="00575E6D"/>
    <w:rsid w:val="005764AC"/>
    <w:rsid w:val="005768EA"/>
    <w:rsid w:val="00576ACA"/>
    <w:rsid w:val="00576CEA"/>
    <w:rsid w:val="00576D72"/>
    <w:rsid w:val="0057713A"/>
    <w:rsid w:val="005773E9"/>
    <w:rsid w:val="00577C1F"/>
    <w:rsid w:val="00577C74"/>
    <w:rsid w:val="00577E43"/>
    <w:rsid w:val="0058040F"/>
    <w:rsid w:val="00580422"/>
    <w:rsid w:val="0058054E"/>
    <w:rsid w:val="00580934"/>
    <w:rsid w:val="00580E36"/>
    <w:rsid w:val="0058122A"/>
    <w:rsid w:val="00581448"/>
    <w:rsid w:val="00581935"/>
    <w:rsid w:val="00581FC8"/>
    <w:rsid w:val="005829AE"/>
    <w:rsid w:val="00583027"/>
    <w:rsid w:val="00583062"/>
    <w:rsid w:val="005840BC"/>
    <w:rsid w:val="0058499D"/>
    <w:rsid w:val="00584AF9"/>
    <w:rsid w:val="0058549F"/>
    <w:rsid w:val="005856E7"/>
    <w:rsid w:val="005857F1"/>
    <w:rsid w:val="005860B5"/>
    <w:rsid w:val="005862F8"/>
    <w:rsid w:val="00586388"/>
    <w:rsid w:val="00586452"/>
    <w:rsid w:val="005869C8"/>
    <w:rsid w:val="005874E9"/>
    <w:rsid w:val="00587744"/>
    <w:rsid w:val="005878B9"/>
    <w:rsid w:val="00587B27"/>
    <w:rsid w:val="00587EE2"/>
    <w:rsid w:val="00590097"/>
    <w:rsid w:val="0059018D"/>
    <w:rsid w:val="00590248"/>
    <w:rsid w:val="005908E7"/>
    <w:rsid w:val="0059092A"/>
    <w:rsid w:val="00590A7C"/>
    <w:rsid w:val="0059143B"/>
    <w:rsid w:val="00591508"/>
    <w:rsid w:val="00592134"/>
    <w:rsid w:val="005922EA"/>
    <w:rsid w:val="005926FE"/>
    <w:rsid w:val="0059278B"/>
    <w:rsid w:val="00592846"/>
    <w:rsid w:val="0059346C"/>
    <w:rsid w:val="005944FC"/>
    <w:rsid w:val="005945B6"/>
    <w:rsid w:val="00594D2E"/>
    <w:rsid w:val="00594F36"/>
    <w:rsid w:val="00594F8A"/>
    <w:rsid w:val="00595334"/>
    <w:rsid w:val="0059553A"/>
    <w:rsid w:val="005956D0"/>
    <w:rsid w:val="0059575A"/>
    <w:rsid w:val="005957FF"/>
    <w:rsid w:val="00595AFA"/>
    <w:rsid w:val="00595E4A"/>
    <w:rsid w:val="00595F71"/>
    <w:rsid w:val="00596172"/>
    <w:rsid w:val="00596706"/>
    <w:rsid w:val="0059697E"/>
    <w:rsid w:val="00596A1E"/>
    <w:rsid w:val="00596A24"/>
    <w:rsid w:val="00596A35"/>
    <w:rsid w:val="00596BEB"/>
    <w:rsid w:val="00597198"/>
    <w:rsid w:val="00597891"/>
    <w:rsid w:val="00597C3A"/>
    <w:rsid w:val="00597D83"/>
    <w:rsid w:val="00597E97"/>
    <w:rsid w:val="00597EEA"/>
    <w:rsid w:val="005A02EB"/>
    <w:rsid w:val="005A03A5"/>
    <w:rsid w:val="005A0799"/>
    <w:rsid w:val="005A09B4"/>
    <w:rsid w:val="005A0A97"/>
    <w:rsid w:val="005A0B3F"/>
    <w:rsid w:val="005A0CC5"/>
    <w:rsid w:val="005A0CF9"/>
    <w:rsid w:val="005A110F"/>
    <w:rsid w:val="005A1402"/>
    <w:rsid w:val="005A1429"/>
    <w:rsid w:val="005A15F5"/>
    <w:rsid w:val="005A1C30"/>
    <w:rsid w:val="005A1FF9"/>
    <w:rsid w:val="005A2BEE"/>
    <w:rsid w:val="005A3214"/>
    <w:rsid w:val="005A3928"/>
    <w:rsid w:val="005A423A"/>
    <w:rsid w:val="005A4768"/>
    <w:rsid w:val="005A4994"/>
    <w:rsid w:val="005A4EF4"/>
    <w:rsid w:val="005A51C9"/>
    <w:rsid w:val="005A52F3"/>
    <w:rsid w:val="005A5F5C"/>
    <w:rsid w:val="005A630C"/>
    <w:rsid w:val="005A67BF"/>
    <w:rsid w:val="005A68C1"/>
    <w:rsid w:val="005A6F50"/>
    <w:rsid w:val="005A6F7E"/>
    <w:rsid w:val="005A7048"/>
    <w:rsid w:val="005A73A7"/>
    <w:rsid w:val="005A75E0"/>
    <w:rsid w:val="005A7636"/>
    <w:rsid w:val="005A7651"/>
    <w:rsid w:val="005A769A"/>
    <w:rsid w:val="005A79F3"/>
    <w:rsid w:val="005A7EE0"/>
    <w:rsid w:val="005B025F"/>
    <w:rsid w:val="005B034A"/>
    <w:rsid w:val="005B08F5"/>
    <w:rsid w:val="005B0C52"/>
    <w:rsid w:val="005B0C5A"/>
    <w:rsid w:val="005B10BD"/>
    <w:rsid w:val="005B1DF4"/>
    <w:rsid w:val="005B1EF1"/>
    <w:rsid w:val="005B2554"/>
    <w:rsid w:val="005B265F"/>
    <w:rsid w:val="005B29A7"/>
    <w:rsid w:val="005B2BDB"/>
    <w:rsid w:val="005B2FFA"/>
    <w:rsid w:val="005B3104"/>
    <w:rsid w:val="005B3991"/>
    <w:rsid w:val="005B4041"/>
    <w:rsid w:val="005B4B2C"/>
    <w:rsid w:val="005B4E11"/>
    <w:rsid w:val="005B5C06"/>
    <w:rsid w:val="005B5E25"/>
    <w:rsid w:val="005B60F7"/>
    <w:rsid w:val="005B6A94"/>
    <w:rsid w:val="005B6E37"/>
    <w:rsid w:val="005B6E47"/>
    <w:rsid w:val="005B6F39"/>
    <w:rsid w:val="005B71C6"/>
    <w:rsid w:val="005B7897"/>
    <w:rsid w:val="005C01C3"/>
    <w:rsid w:val="005C01E3"/>
    <w:rsid w:val="005C03DD"/>
    <w:rsid w:val="005C043C"/>
    <w:rsid w:val="005C0559"/>
    <w:rsid w:val="005C076D"/>
    <w:rsid w:val="005C09DF"/>
    <w:rsid w:val="005C0A0E"/>
    <w:rsid w:val="005C1078"/>
    <w:rsid w:val="005C1490"/>
    <w:rsid w:val="005C1621"/>
    <w:rsid w:val="005C1767"/>
    <w:rsid w:val="005C1947"/>
    <w:rsid w:val="005C1D70"/>
    <w:rsid w:val="005C22EF"/>
    <w:rsid w:val="005C271B"/>
    <w:rsid w:val="005C2727"/>
    <w:rsid w:val="005C277F"/>
    <w:rsid w:val="005C28A5"/>
    <w:rsid w:val="005C2BD7"/>
    <w:rsid w:val="005C2D6C"/>
    <w:rsid w:val="005C3958"/>
    <w:rsid w:val="005C40A1"/>
    <w:rsid w:val="005C42D0"/>
    <w:rsid w:val="005C4586"/>
    <w:rsid w:val="005C4619"/>
    <w:rsid w:val="005C48D9"/>
    <w:rsid w:val="005C4CB5"/>
    <w:rsid w:val="005C5BD9"/>
    <w:rsid w:val="005C6950"/>
    <w:rsid w:val="005C696D"/>
    <w:rsid w:val="005C73EB"/>
    <w:rsid w:val="005C7504"/>
    <w:rsid w:val="005C768D"/>
    <w:rsid w:val="005C7822"/>
    <w:rsid w:val="005C7C1A"/>
    <w:rsid w:val="005C7E46"/>
    <w:rsid w:val="005C7E5F"/>
    <w:rsid w:val="005D07D7"/>
    <w:rsid w:val="005D0D2B"/>
    <w:rsid w:val="005D0D6B"/>
    <w:rsid w:val="005D0E40"/>
    <w:rsid w:val="005D0F25"/>
    <w:rsid w:val="005D1016"/>
    <w:rsid w:val="005D141F"/>
    <w:rsid w:val="005D1568"/>
    <w:rsid w:val="005D1D72"/>
    <w:rsid w:val="005D2BC2"/>
    <w:rsid w:val="005D2D3B"/>
    <w:rsid w:val="005D32B0"/>
    <w:rsid w:val="005D36D3"/>
    <w:rsid w:val="005D3F4F"/>
    <w:rsid w:val="005D400B"/>
    <w:rsid w:val="005D406B"/>
    <w:rsid w:val="005D42CA"/>
    <w:rsid w:val="005D46EC"/>
    <w:rsid w:val="005D4C0E"/>
    <w:rsid w:val="005D4CCC"/>
    <w:rsid w:val="005D4DA6"/>
    <w:rsid w:val="005D53C2"/>
    <w:rsid w:val="005D558B"/>
    <w:rsid w:val="005D61D3"/>
    <w:rsid w:val="005D6419"/>
    <w:rsid w:val="005D6BE7"/>
    <w:rsid w:val="005D6C7F"/>
    <w:rsid w:val="005D6F0D"/>
    <w:rsid w:val="005D7312"/>
    <w:rsid w:val="005D757C"/>
    <w:rsid w:val="005D7668"/>
    <w:rsid w:val="005D7E72"/>
    <w:rsid w:val="005E0061"/>
    <w:rsid w:val="005E01BC"/>
    <w:rsid w:val="005E0472"/>
    <w:rsid w:val="005E0771"/>
    <w:rsid w:val="005E0BEC"/>
    <w:rsid w:val="005E1395"/>
    <w:rsid w:val="005E16D4"/>
    <w:rsid w:val="005E1B14"/>
    <w:rsid w:val="005E1E2B"/>
    <w:rsid w:val="005E1E95"/>
    <w:rsid w:val="005E2369"/>
    <w:rsid w:val="005E262B"/>
    <w:rsid w:val="005E26A6"/>
    <w:rsid w:val="005E27C3"/>
    <w:rsid w:val="005E27E7"/>
    <w:rsid w:val="005E2F10"/>
    <w:rsid w:val="005E30B8"/>
    <w:rsid w:val="005E385B"/>
    <w:rsid w:val="005E39DA"/>
    <w:rsid w:val="005E3B7C"/>
    <w:rsid w:val="005E3EC4"/>
    <w:rsid w:val="005E40BF"/>
    <w:rsid w:val="005E4113"/>
    <w:rsid w:val="005E42EC"/>
    <w:rsid w:val="005E431D"/>
    <w:rsid w:val="005E43F0"/>
    <w:rsid w:val="005E4C78"/>
    <w:rsid w:val="005E4F34"/>
    <w:rsid w:val="005E4FB0"/>
    <w:rsid w:val="005E50DC"/>
    <w:rsid w:val="005E51A9"/>
    <w:rsid w:val="005E5594"/>
    <w:rsid w:val="005E58CF"/>
    <w:rsid w:val="005E5E9E"/>
    <w:rsid w:val="005E6088"/>
    <w:rsid w:val="005E61C9"/>
    <w:rsid w:val="005E6352"/>
    <w:rsid w:val="005E64B5"/>
    <w:rsid w:val="005E6617"/>
    <w:rsid w:val="005E6EBD"/>
    <w:rsid w:val="005E6F80"/>
    <w:rsid w:val="005E70E7"/>
    <w:rsid w:val="005E7952"/>
    <w:rsid w:val="005E7BB7"/>
    <w:rsid w:val="005F006F"/>
    <w:rsid w:val="005F07D8"/>
    <w:rsid w:val="005F0E72"/>
    <w:rsid w:val="005F1427"/>
    <w:rsid w:val="005F1F08"/>
    <w:rsid w:val="005F23AD"/>
    <w:rsid w:val="005F339F"/>
    <w:rsid w:val="005F34AE"/>
    <w:rsid w:val="005F3685"/>
    <w:rsid w:val="005F38BC"/>
    <w:rsid w:val="005F4119"/>
    <w:rsid w:val="005F446F"/>
    <w:rsid w:val="005F470C"/>
    <w:rsid w:val="005F521F"/>
    <w:rsid w:val="005F536B"/>
    <w:rsid w:val="005F5509"/>
    <w:rsid w:val="005F578B"/>
    <w:rsid w:val="005F5BAD"/>
    <w:rsid w:val="005F6016"/>
    <w:rsid w:val="005F65D6"/>
    <w:rsid w:val="005F68E7"/>
    <w:rsid w:val="005F708B"/>
    <w:rsid w:val="005F76E6"/>
    <w:rsid w:val="005F77ED"/>
    <w:rsid w:val="005F7A43"/>
    <w:rsid w:val="005F7BF5"/>
    <w:rsid w:val="005F7D8B"/>
    <w:rsid w:val="00600497"/>
    <w:rsid w:val="00600921"/>
    <w:rsid w:val="00600D06"/>
    <w:rsid w:val="00600F6F"/>
    <w:rsid w:val="006010B5"/>
    <w:rsid w:val="00601320"/>
    <w:rsid w:val="006017E2"/>
    <w:rsid w:val="00601D23"/>
    <w:rsid w:val="00601F55"/>
    <w:rsid w:val="006020B2"/>
    <w:rsid w:val="006021DF"/>
    <w:rsid w:val="006023F8"/>
    <w:rsid w:val="0060282D"/>
    <w:rsid w:val="00602A93"/>
    <w:rsid w:val="00602AD7"/>
    <w:rsid w:val="00602E53"/>
    <w:rsid w:val="00603356"/>
    <w:rsid w:val="00603676"/>
    <w:rsid w:val="00603680"/>
    <w:rsid w:val="00604046"/>
    <w:rsid w:val="00604154"/>
    <w:rsid w:val="00605241"/>
    <w:rsid w:val="00605DA8"/>
    <w:rsid w:val="00606669"/>
    <w:rsid w:val="00606853"/>
    <w:rsid w:val="006068DE"/>
    <w:rsid w:val="00606AFC"/>
    <w:rsid w:val="00606FB0"/>
    <w:rsid w:val="00607122"/>
    <w:rsid w:val="0060740E"/>
    <w:rsid w:val="00607E31"/>
    <w:rsid w:val="006105C7"/>
    <w:rsid w:val="00610798"/>
    <w:rsid w:val="006107EF"/>
    <w:rsid w:val="006109D2"/>
    <w:rsid w:val="006111EE"/>
    <w:rsid w:val="0061127F"/>
    <w:rsid w:val="00611406"/>
    <w:rsid w:val="00611855"/>
    <w:rsid w:val="006119C3"/>
    <w:rsid w:val="00611EBC"/>
    <w:rsid w:val="00611F44"/>
    <w:rsid w:val="00611F7B"/>
    <w:rsid w:val="0061237B"/>
    <w:rsid w:val="006128A6"/>
    <w:rsid w:val="006129D0"/>
    <w:rsid w:val="00612A0C"/>
    <w:rsid w:val="00613584"/>
    <w:rsid w:val="0061366C"/>
    <w:rsid w:val="00613D46"/>
    <w:rsid w:val="00613D4E"/>
    <w:rsid w:val="00613DA8"/>
    <w:rsid w:val="00613E18"/>
    <w:rsid w:val="00614535"/>
    <w:rsid w:val="00614566"/>
    <w:rsid w:val="00614DD4"/>
    <w:rsid w:val="0061512B"/>
    <w:rsid w:val="006153CE"/>
    <w:rsid w:val="00615563"/>
    <w:rsid w:val="00615747"/>
    <w:rsid w:val="00615A4E"/>
    <w:rsid w:val="00615BD6"/>
    <w:rsid w:val="00615D5F"/>
    <w:rsid w:val="00615E44"/>
    <w:rsid w:val="00616B9E"/>
    <w:rsid w:val="00616EF4"/>
    <w:rsid w:val="00616F66"/>
    <w:rsid w:val="0061702F"/>
    <w:rsid w:val="006176B8"/>
    <w:rsid w:val="006178E5"/>
    <w:rsid w:val="0062036F"/>
    <w:rsid w:val="0062092C"/>
    <w:rsid w:val="00620A0C"/>
    <w:rsid w:val="00620B40"/>
    <w:rsid w:val="006212E6"/>
    <w:rsid w:val="006219BD"/>
    <w:rsid w:val="00621E98"/>
    <w:rsid w:val="00622085"/>
    <w:rsid w:val="0062218F"/>
    <w:rsid w:val="0062220D"/>
    <w:rsid w:val="006223D2"/>
    <w:rsid w:val="00622767"/>
    <w:rsid w:val="00622918"/>
    <w:rsid w:val="006229D4"/>
    <w:rsid w:val="00622BC0"/>
    <w:rsid w:val="00622C54"/>
    <w:rsid w:val="00622FCB"/>
    <w:rsid w:val="00623738"/>
    <w:rsid w:val="00623790"/>
    <w:rsid w:val="00623965"/>
    <w:rsid w:val="00623CD2"/>
    <w:rsid w:val="00623E7F"/>
    <w:rsid w:val="00623E8F"/>
    <w:rsid w:val="0062400E"/>
    <w:rsid w:val="006240A3"/>
    <w:rsid w:val="0062436F"/>
    <w:rsid w:val="00624828"/>
    <w:rsid w:val="00624D16"/>
    <w:rsid w:val="0062532A"/>
    <w:rsid w:val="00625C47"/>
    <w:rsid w:val="00626014"/>
    <w:rsid w:val="00626AC8"/>
    <w:rsid w:val="00626C6A"/>
    <w:rsid w:val="00626EB4"/>
    <w:rsid w:val="00627114"/>
    <w:rsid w:val="006272C5"/>
    <w:rsid w:val="0062763B"/>
    <w:rsid w:val="00627B0C"/>
    <w:rsid w:val="00630012"/>
    <w:rsid w:val="0063037F"/>
    <w:rsid w:val="006304EB"/>
    <w:rsid w:val="00630535"/>
    <w:rsid w:val="0063094B"/>
    <w:rsid w:val="00631299"/>
    <w:rsid w:val="006312DC"/>
    <w:rsid w:val="00631695"/>
    <w:rsid w:val="0063194E"/>
    <w:rsid w:val="00631FAC"/>
    <w:rsid w:val="00632002"/>
    <w:rsid w:val="00632100"/>
    <w:rsid w:val="00632245"/>
    <w:rsid w:val="00632D2C"/>
    <w:rsid w:val="00632D82"/>
    <w:rsid w:val="00633420"/>
    <w:rsid w:val="006337EA"/>
    <w:rsid w:val="006340B9"/>
    <w:rsid w:val="00634210"/>
    <w:rsid w:val="00634903"/>
    <w:rsid w:val="00634A15"/>
    <w:rsid w:val="00634A84"/>
    <w:rsid w:val="00634DAB"/>
    <w:rsid w:val="00634F12"/>
    <w:rsid w:val="00634FC7"/>
    <w:rsid w:val="00634FD1"/>
    <w:rsid w:val="006356BA"/>
    <w:rsid w:val="006361BC"/>
    <w:rsid w:val="00636531"/>
    <w:rsid w:val="00636659"/>
    <w:rsid w:val="00636AB3"/>
    <w:rsid w:val="00636B4A"/>
    <w:rsid w:val="00636D3D"/>
    <w:rsid w:val="00636D5D"/>
    <w:rsid w:val="0063728A"/>
    <w:rsid w:val="00637941"/>
    <w:rsid w:val="00637E48"/>
    <w:rsid w:val="00640159"/>
    <w:rsid w:val="00640245"/>
    <w:rsid w:val="006402C7"/>
    <w:rsid w:val="006406D8"/>
    <w:rsid w:val="00640909"/>
    <w:rsid w:val="00640A26"/>
    <w:rsid w:val="006410F0"/>
    <w:rsid w:val="006414F2"/>
    <w:rsid w:val="00641529"/>
    <w:rsid w:val="0064284B"/>
    <w:rsid w:val="0064291B"/>
    <w:rsid w:val="00642C27"/>
    <w:rsid w:val="0064308B"/>
    <w:rsid w:val="006433F1"/>
    <w:rsid w:val="006439A2"/>
    <w:rsid w:val="00643C9A"/>
    <w:rsid w:val="006442F7"/>
    <w:rsid w:val="00644B37"/>
    <w:rsid w:val="006452B0"/>
    <w:rsid w:val="00645BE3"/>
    <w:rsid w:val="00645F63"/>
    <w:rsid w:val="006462CD"/>
    <w:rsid w:val="0064667E"/>
    <w:rsid w:val="00646873"/>
    <w:rsid w:val="00646B73"/>
    <w:rsid w:val="00646D98"/>
    <w:rsid w:val="00646F65"/>
    <w:rsid w:val="00647046"/>
    <w:rsid w:val="0064751E"/>
    <w:rsid w:val="006476D3"/>
    <w:rsid w:val="00647F4E"/>
    <w:rsid w:val="00647F54"/>
    <w:rsid w:val="0065062F"/>
    <w:rsid w:val="00650B52"/>
    <w:rsid w:val="00650B86"/>
    <w:rsid w:val="00650BB9"/>
    <w:rsid w:val="00650F0B"/>
    <w:rsid w:val="00650FE1"/>
    <w:rsid w:val="00651291"/>
    <w:rsid w:val="0065168F"/>
    <w:rsid w:val="00651771"/>
    <w:rsid w:val="00651874"/>
    <w:rsid w:val="0065187A"/>
    <w:rsid w:val="00651EB0"/>
    <w:rsid w:val="0065280E"/>
    <w:rsid w:val="00652842"/>
    <w:rsid w:val="0065349F"/>
    <w:rsid w:val="00653553"/>
    <w:rsid w:val="00653917"/>
    <w:rsid w:val="00653EEA"/>
    <w:rsid w:val="0065423E"/>
    <w:rsid w:val="0065457E"/>
    <w:rsid w:val="006549B7"/>
    <w:rsid w:val="00654CF2"/>
    <w:rsid w:val="00654F19"/>
    <w:rsid w:val="0065539A"/>
    <w:rsid w:val="006560ED"/>
    <w:rsid w:val="0065690E"/>
    <w:rsid w:val="0065696C"/>
    <w:rsid w:val="00656F30"/>
    <w:rsid w:val="00657069"/>
    <w:rsid w:val="006572AB"/>
    <w:rsid w:val="00657663"/>
    <w:rsid w:val="00657A5C"/>
    <w:rsid w:val="00657C98"/>
    <w:rsid w:val="006602B5"/>
    <w:rsid w:val="00660511"/>
    <w:rsid w:val="006605B8"/>
    <w:rsid w:val="006608E3"/>
    <w:rsid w:val="00660E46"/>
    <w:rsid w:val="0066150B"/>
    <w:rsid w:val="00661DF0"/>
    <w:rsid w:val="00661E8D"/>
    <w:rsid w:val="00662057"/>
    <w:rsid w:val="00662235"/>
    <w:rsid w:val="00662374"/>
    <w:rsid w:val="00662531"/>
    <w:rsid w:val="00662F2F"/>
    <w:rsid w:val="0066302A"/>
    <w:rsid w:val="00663B27"/>
    <w:rsid w:val="00664161"/>
    <w:rsid w:val="0066425F"/>
    <w:rsid w:val="00664477"/>
    <w:rsid w:val="00664C74"/>
    <w:rsid w:val="0066538D"/>
    <w:rsid w:val="00665443"/>
    <w:rsid w:val="00665554"/>
    <w:rsid w:val="00665AD9"/>
    <w:rsid w:val="00665B77"/>
    <w:rsid w:val="00665D6A"/>
    <w:rsid w:val="006663CB"/>
    <w:rsid w:val="0066648D"/>
    <w:rsid w:val="00666930"/>
    <w:rsid w:val="00666ED4"/>
    <w:rsid w:val="00667357"/>
    <w:rsid w:val="006678F5"/>
    <w:rsid w:val="00667BD5"/>
    <w:rsid w:val="00667BEE"/>
    <w:rsid w:val="00670304"/>
    <w:rsid w:val="00670529"/>
    <w:rsid w:val="006709A3"/>
    <w:rsid w:val="00670FE8"/>
    <w:rsid w:val="00671081"/>
    <w:rsid w:val="0067160B"/>
    <w:rsid w:val="00671830"/>
    <w:rsid w:val="00671ACB"/>
    <w:rsid w:val="00671B1C"/>
    <w:rsid w:val="00671BB5"/>
    <w:rsid w:val="00671E1A"/>
    <w:rsid w:val="00671EA6"/>
    <w:rsid w:val="00671F08"/>
    <w:rsid w:val="0067232F"/>
    <w:rsid w:val="00672426"/>
    <w:rsid w:val="00672710"/>
    <w:rsid w:val="00672CDE"/>
    <w:rsid w:val="00672FA8"/>
    <w:rsid w:val="006730CD"/>
    <w:rsid w:val="006733D0"/>
    <w:rsid w:val="0067377C"/>
    <w:rsid w:val="006737F1"/>
    <w:rsid w:val="006738EE"/>
    <w:rsid w:val="00673EF0"/>
    <w:rsid w:val="00674B59"/>
    <w:rsid w:val="006751FA"/>
    <w:rsid w:val="0067521A"/>
    <w:rsid w:val="00675961"/>
    <w:rsid w:val="00675FB9"/>
    <w:rsid w:val="0067601B"/>
    <w:rsid w:val="00676095"/>
    <w:rsid w:val="0067689F"/>
    <w:rsid w:val="0067711F"/>
    <w:rsid w:val="00677B86"/>
    <w:rsid w:val="0068031E"/>
    <w:rsid w:val="006805FF"/>
    <w:rsid w:val="00680669"/>
    <w:rsid w:val="00680B7F"/>
    <w:rsid w:val="00680E9A"/>
    <w:rsid w:val="00681070"/>
    <w:rsid w:val="00681D23"/>
    <w:rsid w:val="00681D37"/>
    <w:rsid w:val="00681DED"/>
    <w:rsid w:val="006822AA"/>
    <w:rsid w:val="00682345"/>
    <w:rsid w:val="0068235D"/>
    <w:rsid w:val="00682656"/>
    <w:rsid w:val="006826E5"/>
    <w:rsid w:val="006829C9"/>
    <w:rsid w:val="00682B5F"/>
    <w:rsid w:val="00682C9E"/>
    <w:rsid w:val="00682CF5"/>
    <w:rsid w:val="00682EC8"/>
    <w:rsid w:val="0068309D"/>
    <w:rsid w:val="006831BE"/>
    <w:rsid w:val="0068324F"/>
    <w:rsid w:val="006832A2"/>
    <w:rsid w:val="006832AA"/>
    <w:rsid w:val="006832BE"/>
    <w:rsid w:val="0068383A"/>
    <w:rsid w:val="00683B19"/>
    <w:rsid w:val="00683F3A"/>
    <w:rsid w:val="0068435C"/>
    <w:rsid w:val="00684625"/>
    <w:rsid w:val="00684890"/>
    <w:rsid w:val="006849F6"/>
    <w:rsid w:val="00684BB4"/>
    <w:rsid w:val="00684FB4"/>
    <w:rsid w:val="00685492"/>
    <w:rsid w:val="0068564B"/>
    <w:rsid w:val="00685A5F"/>
    <w:rsid w:val="00686785"/>
    <w:rsid w:val="00686D38"/>
    <w:rsid w:val="00686D70"/>
    <w:rsid w:val="00687101"/>
    <w:rsid w:val="00687B1C"/>
    <w:rsid w:val="00687D72"/>
    <w:rsid w:val="00690134"/>
    <w:rsid w:val="0069022E"/>
    <w:rsid w:val="006906F1"/>
    <w:rsid w:val="00690E42"/>
    <w:rsid w:val="006911FF"/>
    <w:rsid w:val="0069120A"/>
    <w:rsid w:val="00691229"/>
    <w:rsid w:val="00691342"/>
    <w:rsid w:val="00691959"/>
    <w:rsid w:val="00691DFF"/>
    <w:rsid w:val="00692353"/>
    <w:rsid w:val="006926EB"/>
    <w:rsid w:val="00692DD1"/>
    <w:rsid w:val="0069322D"/>
    <w:rsid w:val="00693288"/>
    <w:rsid w:val="0069334D"/>
    <w:rsid w:val="00693ADE"/>
    <w:rsid w:val="00693AE8"/>
    <w:rsid w:val="00693D9B"/>
    <w:rsid w:val="00693E8E"/>
    <w:rsid w:val="006941AE"/>
    <w:rsid w:val="00694B70"/>
    <w:rsid w:val="00694C76"/>
    <w:rsid w:val="00694D7D"/>
    <w:rsid w:val="00694DE8"/>
    <w:rsid w:val="0069540E"/>
    <w:rsid w:val="00695BEA"/>
    <w:rsid w:val="00695EBA"/>
    <w:rsid w:val="00696609"/>
    <w:rsid w:val="00696DE6"/>
    <w:rsid w:val="00696E9C"/>
    <w:rsid w:val="00696F28"/>
    <w:rsid w:val="00696F59"/>
    <w:rsid w:val="0069720B"/>
    <w:rsid w:val="006972E0"/>
    <w:rsid w:val="00697939"/>
    <w:rsid w:val="006A0516"/>
    <w:rsid w:val="006A0979"/>
    <w:rsid w:val="006A09D6"/>
    <w:rsid w:val="006A0A4A"/>
    <w:rsid w:val="006A0E05"/>
    <w:rsid w:val="006A0FD6"/>
    <w:rsid w:val="006A1989"/>
    <w:rsid w:val="006A1D1C"/>
    <w:rsid w:val="006A1E28"/>
    <w:rsid w:val="006A1E55"/>
    <w:rsid w:val="006A1E58"/>
    <w:rsid w:val="006A22C2"/>
    <w:rsid w:val="006A2B09"/>
    <w:rsid w:val="006A3356"/>
    <w:rsid w:val="006A3A5A"/>
    <w:rsid w:val="006A3BA4"/>
    <w:rsid w:val="006A40D8"/>
    <w:rsid w:val="006A47B1"/>
    <w:rsid w:val="006A49AE"/>
    <w:rsid w:val="006A4AFF"/>
    <w:rsid w:val="006A4DD7"/>
    <w:rsid w:val="006A5231"/>
    <w:rsid w:val="006A52B9"/>
    <w:rsid w:val="006A5562"/>
    <w:rsid w:val="006A576D"/>
    <w:rsid w:val="006A57C4"/>
    <w:rsid w:val="006A5B6D"/>
    <w:rsid w:val="006A5D0F"/>
    <w:rsid w:val="006A611A"/>
    <w:rsid w:val="006A65A5"/>
    <w:rsid w:val="006A65AB"/>
    <w:rsid w:val="006A6CFF"/>
    <w:rsid w:val="006A754F"/>
    <w:rsid w:val="006B014A"/>
    <w:rsid w:val="006B03C9"/>
    <w:rsid w:val="006B06A0"/>
    <w:rsid w:val="006B0790"/>
    <w:rsid w:val="006B08CD"/>
    <w:rsid w:val="006B09A9"/>
    <w:rsid w:val="006B0CBD"/>
    <w:rsid w:val="006B0DD4"/>
    <w:rsid w:val="006B0F81"/>
    <w:rsid w:val="006B122E"/>
    <w:rsid w:val="006B1442"/>
    <w:rsid w:val="006B174A"/>
    <w:rsid w:val="006B1C23"/>
    <w:rsid w:val="006B2037"/>
    <w:rsid w:val="006B2239"/>
    <w:rsid w:val="006B2374"/>
    <w:rsid w:val="006B270F"/>
    <w:rsid w:val="006B2F1A"/>
    <w:rsid w:val="006B3A4A"/>
    <w:rsid w:val="006B3EDF"/>
    <w:rsid w:val="006B3F9A"/>
    <w:rsid w:val="006B4284"/>
    <w:rsid w:val="006B451C"/>
    <w:rsid w:val="006B4836"/>
    <w:rsid w:val="006B4DC5"/>
    <w:rsid w:val="006B4DCB"/>
    <w:rsid w:val="006B4F71"/>
    <w:rsid w:val="006B5F50"/>
    <w:rsid w:val="006B60EF"/>
    <w:rsid w:val="006B6410"/>
    <w:rsid w:val="006B6B74"/>
    <w:rsid w:val="006B6C5C"/>
    <w:rsid w:val="006B6F60"/>
    <w:rsid w:val="006B7258"/>
    <w:rsid w:val="006B7AA9"/>
    <w:rsid w:val="006B7ADC"/>
    <w:rsid w:val="006C0002"/>
    <w:rsid w:val="006C04E6"/>
    <w:rsid w:val="006C04EE"/>
    <w:rsid w:val="006C0EC9"/>
    <w:rsid w:val="006C1277"/>
    <w:rsid w:val="006C1480"/>
    <w:rsid w:val="006C1675"/>
    <w:rsid w:val="006C187F"/>
    <w:rsid w:val="006C18E7"/>
    <w:rsid w:val="006C1F1B"/>
    <w:rsid w:val="006C279E"/>
    <w:rsid w:val="006C2E91"/>
    <w:rsid w:val="006C2ED3"/>
    <w:rsid w:val="006C322B"/>
    <w:rsid w:val="006C34C0"/>
    <w:rsid w:val="006C3C54"/>
    <w:rsid w:val="006C3D7F"/>
    <w:rsid w:val="006C3E9C"/>
    <w:rsid w:val="006C453A"/>
    <w:rsid w:val="006C4777"/>
    <w:rsid w:val="006C4B1B"/>
    <w:rsid w:val="006C52EE"/>
    <w:rsid w:val="006C558B"/>
    <w:rsid w:val="006C579D"/>
    <w:rsid w:val="006C5ACC"/>
    <w:rsid w:val="006C5C75"/>
    <w:rsid w:val="006C5E2E"/>
    <w:rsid w:val="006C5E3A"/>
    <w:rsid w:val="006C5F62"/>
    <w:rsid w:val="006C67E5"/>
    <w:rsid w:val="006C6B3A"/>
    <w:rsid w:val="006C74FF"/>
    <w:rsid w:val="006C7D2B"/>
    <w:rsid w:val="006C7F04"/>
    <w:rsid w:val="006D0362"/>
    <w:rsid w:val="006D078C"/>
    <w:rsid w:val="006D093A"/>
    <w:rsid w:val="006D09BD"/>
    <w:rsid w:val="006D0C21"/>
    <w:rsid w:val="006D0CA6"/>
    <w:rsid w:val="006D0F49"/>
    <w:rsid w:val="006D0FAC"/>
    <w:rsid w:val="006D10D2"/>
    <w:rsid w:val="006D158E"/>
    <w:rsid w:val="006D37BC"/>
    <w:rsid w:val="006D384A"/>
    <w:rsid w:val="006D38E5"/>
    <w:rsid w:val="006D3D24"/>
    <w:rsid w:val="006D3E64"/>
    <w:rsid w:val="006D40D4"/>
    <w:rsid w:val="006D4168"/>
    <w:rsid w:val="006D442F"/>
    <w:rsid w:val="006D484B"/>
    <w:rsid w:val="006D48B2"/>
    <w:rsid w:val="006D4A3C"/>
    <w:rsid w:val="006D54AE"/>
    <w:rsid w:val="006D571D"/>
    <w:rsid w:val="006D5D00"/>
    <w:rsid w:val="006D5D06"/>
    <w:rsid w:val="006D6005"/>
    <w:rsid w:val="006D628A"/>
    <w:rsid w:val="006D65F1"/>
    <w:rsid w:val="006D6752"/>
    <w:rsid w:val="006D76A4"/>
    <w:rsid w:val="006D7C53"/>
    <w:rsid w:val="006D7CA0"/>
    <w:rsid w:val="006D7FC0"/>
    <w:rsid w:val="006E00AE"/>
    <w:rsid w:val="006E021E"/>
    <w:rsid w:val="006E036F"/>
    <w:rsid w:val="006E05B3"/>
    <w:rsid w:val="006E065C"/>
    <w:rsid w:val="006E0BC0"/>
    <w:rsid w:val="006E12D3"/>
    <w:rsid w:val="006E16A5"/>
    <w:rsid w:val="006E1BB2"/>
    <w:rsid w:val="006E1C12"/>
    <w:rsid w:val="006E1CCC"/>
    <w:rsid w:val="006E2086"/>
    <w:rsid w:val="006E22F3"/>
    <w:rsid w:val="006E2623"/>
    <w:rsid w:val="006E2907"/>
    <w:rsid w:val="006E2A12"/>
    <w:rsid w:val="006E2EC6"/>
    <w:rsid w:val="006E3123"/>
    <w:rsid w:val="006E3236"/>
    <w:rsid w:val="006E36EF"/>
    <w:rsid w:val="006E4031"/>
    <w:rsid w:val="006E4408"/>
    <w:rsid w:val="006E44D8"/>
    <w:rsid w:val="006E5147"/>
    <w:rsid w:val="006E59DC"/>
    <w:rsid w:val="006E5BE1"/>
    <w:rsid w:val="006E5C1E"/>
    <w:rsid w:val="006E65B3"/>
    <w:rsid w:val="006E6F00"/>
    <w:rsid w:val="006E7172"/>
    <w:rsid w:val="006E71C0"/>
    <w:rsid w:val="006E71D9"/>
    <w:rsid w:val="006E734E"/>
    <w:rsid w:val="006E74F2"/>
    <w:rsid w:val="006E7A13"/>
    <w:rsid w:val="006E7D73"/>
    <w:rsid w:val="006E7EAC"/>
    <w:rsid w:val="006F0124"/>
    <w:rsid w:val="006F0636"/>
    <w:rsid w:val="006F0C35"/>
    <w:rsid w:val="006F0C87"/>
    <w:rsid w:val="006F1029"/>
    <w:rsid w:val="006F1241"/>
    <w:rsid w:val="006F1457"/>
    <w:rsid w:val="006F16F5"/>
    <w:rsid w:val="006F17F7"/>
    <w:rsid w:val="006F1B1A"/>
    <w:rsid w:val="006F2228"/>
    <w:rsid w:val="006F25B6"/>
    <w:rsid w:val="006F2884"/>
    <w:rsid w:val="006F2D7E"/>
    <w:rsid w:val="006F371C"/>
    <w:rsid w:val="006F3CD3"/>
    <w:rsid w:val="006F3D70"/>
    <w:rsid w:val="006F3F08"/>
    <w:rsid w:val="006F3F85"/>
    <w:rsid w:val="006F4071"/>
    <w:rsid w:val="006F4368"/>
    <w:rsid w:val="006F4516"/>
    <w:rsid w:val="006F4ADF"/>
    <w:rsid w:val="006F4AE2"/>
    <w:rsid w:val="006F4B80"/>
    <w:rsid w:val="006F5013"/>
    <w:rsid w:val="006F51AC"/>
    <w:rsid w:val="006F5AE0"/>
    <w:rsid w:val="006F6393"/>
    <w:rsid w:val="006F65DA"/>
    <w:rsid w:val="006F6D8E"/>
    <w:rsid w:val="006F7FC5"/>
    <w:rsid w:val="007004B1"/>
    <w:rsid w:val="00700BB0"/>
    <w:rsid w:val="00700CAA"/>
    <w:rsid w:val="00700CE1"/>
    <w:rsid w:val="007019DF"/>
    <w:rsid w:val="00701B90"/>
    <w:rsid w:val="00701E2A"/>
    <w:rsid w:val="0070243C"/>
    <w:rsid w:val="00702921"/>
    <w:rsid w:val="00702B01"/>
    <w:rsid w:val="00702C05"/>
    <w:rsid w:val="00703780"/>
    <w:rsid w:val="00703803"/>
    <w:rsid w:val="00703B36"/>
    <w:rsid w:val="00703FFF"/>
    <w:rsid w:val="0070432F"/>
    <w:rsid w:val="00704854"/>
    <w:rsid w:val="00704C96"/>
    <w:rsid w:val="007055F6"/>
    <w:rsid w:val="007056F9"/>
    <w:rsid w:val="00705AC7"/>
    <w:rsid w:val="00705CE7"/>
    <w:rsid w:val="00705F3D"/>
    <w:rsid w:val="00706312"/>
    <w:rsid w:val="00706360"/>
    <w:rsid w:val="007067EE"/>
    <w:rsid w:val="00706D5B"/>
    <w:rsid w:val="00706DB3"/>
    <w:rsid w:val="00707B78"/>
    <w:rsid w:val="00710318"/>
    <w:rsid w:val="00710732"/>
    <w:rsid w:val="0071094D"/>
    <w:rsid w:val="007109BA"/>
    <w:rsid w:val="00710D3A"/>
    <w:rsid w:val="00710E7E"/>
    <w:rsid w:val="0071127B"/>
    <w:rsid w:val="007113A2"/>
    <w:rsid w:val="007114A4"/>
    <w:rsid w:val="00711C37"/>
    <w:rsid w:val="00711E45"/>
    <w:rsid w:val="007122D4"/>
    <w:rsid w:val="007124A6"/>
    <w:rsid w:val="007124F8"/>
    <w:rsid w:val="0071264A"/>
    <w:rsid w:val="0071317D"/>
    <w:rsid w:val="0071381D"/>
    <w:rsid w:val="00713A26"/>
    <w:rsid w:val="00714365"/>
    <w:rsid w:val="007144AE"/>
    <w:rsid w:val="00714B30"/>
    <w:rsid w:val="00714C4E"/>
    <w:rsid w:val="00714D28"/>
    <w:rsid w:val="00714F12"/>
    <w:rsid w:val="007151EF"/>
    <w:rsid w:val="007152DF"/>
    <w:rsid w:val="0071531B"/>
    <w:rsid w:val="0071550C"/>
    <w:rsid w:val="007160AE"/>
    <w:rsid w:val="007161A8"/>
    <w:rsid w:val="007163E2"/>
    <w:rsid w:val="00716444"/>
    <w:rsid w:val="0071657D"/>
    <w:rsid w:val="0071663C"/>
    <w:rsid w:val="00716890"/>
    <w:rsid w:val="0071699C"/>
    <w:rsid w:val="00716AE6"/>
    <w:rsid w:val="00716B49"/>
    <w:rsid w:val="00716ED8"/>
    <w:rsid w:val="00716F04"/>
    <w:rsid w:val="00716FBE"/>
    <w:rsid w:val="0071712C"/>
    <w:rsid w:val="0071742A"/>
    <w:rsid w:val="0071792D"/>
    <w:rsid w:val="00717BAF"/>
    <w:rsid w:val="00717C8F"/>
    <w:rsid w:val="00720464"/>
    <w:rsid w:val="00720552"/>
    <w:rsid w:val="00720D80"/>
    <w:rsid w:val="0072124A"/>
    <w:rsid w:val="00721301"/>
    <w:rsid w:val="007217AC"/>
    <w:rsid w:val="00721A8D"/>
    <w:rsid w:val="00721A9D"/>
    <w:rsid w:val="00721D09"/>
    <w:rsid w:val="00721E57"/>
    <w:rsid w:val="00722031"/>
    <w:rsid w:val="00722837"/>
    <w:rsid w:val="007228E1"/>
    <w:rsid w:val="00722B84"/>
    <w:rsid w:val="00722DBF"/>
    <w:rsid w:val="00723261"/>
    <w:rsid w:val="007236FE"/>
    <w:rsid w:val="00723A11"/>
    <w:rsid w:val="00723A42"/>
    <w:rsid w:val="00723EC0"/>
    <w:rsid w:val="00724738"/>
    <w:rsid w:val="00724CD4"/>
    <w:rsid w:val="007250D4"/>
    <w:rsid w:val="0072553E"/>
    <w:rsid w:val="007255FB"/>
    <w:rsid w:val="00725902"/>
    <w:rsid w:val="00725947"/>
    <w:rsid w:val="00725E6E"/>
    <w:rsid w:val="00725EA9"/>
    <w:rsid w:val="0072673B"/>
    <w:rsid w:val="00726BF3"/>
    <w:rsid w:val="00726DAC"/>
    <w:rsid w:val="00726EA5"/>
    <w:rsid w:val="00726EAD"/>
    <w:rsid w:val="00727092"/>
    <w:rsid w:val="007270C3"/>
    <w:rsid w:val="007276E5"/>
    <w:rsid w:val="00727879"/>
    <w:rsid w:val="00727AC7"/>
    <w:rsid w:val="007305E4"/>
    <w:rsid w:val="00730B0B"/>
    <w:rsid w:val="00730CAA"/>
    <w:rsid w:val="00730FE6"/>
    <w:rsid w:val="007310D5"/>
    <w:rsid w:val="00731216"/>
    <w:rsid w:val="0073125C"/>
    <w:rsid w:val="007313EB"/>
    <w:rsid w:val="007315F6"/>
    <w:rsid w:val="00731BFF"/>
    <w:rsid w:val="007323AC"/>
    <w:rsid w:val="00732401"/>
    <w:rsid w:val="00732835"/>
    <w:rsid w:val="00732AEE"/>
    <w:rsid w:val="00732D3D"/>
    <w:rsid w:val="0073347F"/>
    <w:rsid w:val="0073350C"/>
    <w:rsid w:val="0073377E"/>
    <w:rsid w:val="00733A12"/>
    <w:rsid w:val="00733A22"/>
    <w:rsid w:val="00733B28"/>
    <w:rsid w:val="0073493B"/>
    <w:rsid w:val="00735422"/>
    <w:rsid w:val="00735532"/>
    <w:rsid w:val="00735C30"/>
    <w:rsid w:val="0073632E"/>
    <w:rsid w:val="00736C8D"/>
    <w:rsid w:val="007370E3"/>
    <w:rsid w:val="007375B1"/>
    <w:rsid w:val="00737AD4"/>
    <w:rsid w:val="00737DBB"/>
    <w:rsid w:val="0074084F"/>
    <w:rsid w:val="00740F64"/>
    <w:rsid w:val="00741071"/>
    <w:rsid w:val="00741357"/>
    <w:rsid w:val="007419B3"/>
    <w:rsid w:val="00741C68"/>
    <w:rsid w:val="00741E18"/>
    <w:rsid w:val="0074247E"/>
    <w:rsid w:val="007426D1"/>
    <w:rsid w:val="00742850"/>
    <w:rsid w:val="00742B82"/>
    <w:rsid w:val="00742E5F"/>
    <w:rsid w:val="00742F59"/>
    <w:rsid w:val="00744C58"/>
    <w:rsid w:val="00745630"/>
    <w:rsid w:val="00745692"/>
    <w:rsid w:val="00745FA3"/>
    <w:rsid w:val="00746317"/>
    <w:rsid w:val="00746454"/>
    <w:rsid w:val="00746496"/>
    <w:rsid w:val="00746E4C"/>
    <w:rsid w:val="00746F32"/>
    <w:rsid w:val="00747468"/>
    <w:rsid w:val="00747AD3"/>
    <w:rsid w:val="00747D92"/>
    <w:rsid w:val="0075044F"/>
    <w:rsid w:val="00750533"/>
    <w:rsid w:val="007505C4"/>
    <w:rsid w:val="00750760"/>
    <w:rsid w:val="00750861"/>
    <w:rsid w:val="007515DB"/>
    <w:rsid w:val="00751F83"/>
    <w:rsid w:val="00752960"/>
    <w:rsid w:val="00752B7A"/>
    <w:rsid w:val="007536F3"/>
    <w:rsid w:val="007539DF"/>
    <w:rsid w:val="00753E10"/>
    <w:rsid w:val="00754086"/>
    <w:rsid w:val="007540C1"/>
    <w:rsid w:val="007548B5"/>
    <w:rsid w:val="00754947"/>
    <w:rsid w:val="00754B24"/>
    <w:rsid w:val="0075507D"/>
    <w:rsid w:val="00755193"/>
    <w:rsid w:val="0075548B"/>
    <w:rsid w:val="007554C5"/>
    <w:rsid w:val="007556BD"/>
    <w:rsid w:val="007566FC"/>
    <w:rsid w:val="007567E9"/>
    <w:rsid w:val="00756D8E"/>
    <w:rsid w:val="0075704D"/>
    <w:rsid w:val="00757270"/>
    <w:rsid w:val="007575D7"/>
    <w:rsid w:val="007577E5"/>
    <w:rsid w:val="00757A26"/>
    <w:rsid w:val="00757C69"/>
    <w:rsid w:val="00760165"/>
    <w:rsid w:val="00760201"/>
    <w:rsid w:val="00760A4D"/>
    <w:rsid w:val="00760B98"/>
    <w:rsid w:val="00761165"/>
    <w:rsid w:val="00761B47"/>
    <w:rsid w:val="00761DA0"/>
    <w:rsid w:val="007621B7"/>
    <w:rsid w:val="0076230B"/>
    <w:rsid w:val="00762A84"/>
    <w:rsid w:val="00763143"/>
    <w:rsid w:val="007632DC"/>
    <w:rsid w:val="0076371D"/>
    <w:rsid w:val="00763D7F"/>
    <w:rsid w:val="00764A64"/>
    <w:rsid w:val="00764B28"/>
    <w:rsid w:val="00764C92"/>
    <w:rsid w:val="00764EF1"/>
    <w:rsid w:val="00765991"/>
    <w:rsid w:val="00765FF5"/>
    <w:rsid w:val="00766604"/>
    <w:rsid w:val="00766706"/>
    <w:rsid w:val="00766E31"/>
    <w:rsid w:val="007672FC"/>
    <w:rsid w:val="00767604"/>
    <w:rsid w:val="00767921"/>
    <w:rsid w:val="00767BC7"/>
    <w:rsid w:val="0077041C"/>
    <w:rsid w:val="00770D27"/>
    <w:rsid w:val="00770D73"/>
    <w:rsid w:val="00770FF0"/>
    <w:rsid w:val="007710C5"/>
    <w:rsid w:val="007711E6"/>
    <w:rsid w:val="0077168F"/>
    <w:rsid w:val="007716F7"/>
    <w:rsid w:val="00771C65"/>
    <w:rsid w:val="00771DBD"/>
    <w:rsid w:val="00772004"/>
    <w:rsid w:val="0077206E"/>
    <w:rsid w:val="0077216D"/>
    <w:rsid w:val="0077267A"/>
    <w:rsid w:val="0077268F"/>
    <w:rsid w:val="00772B21"/>
    <w:rsid w:val="00772B87"/>
    <w:rsid w:val="00772C9B"/>
    <w:rsid w:val="00772DD7"/>
    <w:rsid w:val="00772F06"/>
    <w:rsid w:val="0077367B"/>
    <w:rsid w:val="00773947"/>
    <w:rsid w:val="00773FF6"/>
    <w:rsid w:val="007743E5"/>
    <w:rsid w:val="00774911"/>
    <w:rsid w:val="00774A57"/>
    <w:rsid w:val="00774B1B"/>
    <w:rsid w:val="00774C40"/>
    <w:rsid w:val="00775123"/>
    <w:rsid w:val="007759D2"/>
    <w:rsid w:val="00775B6D"/>
    <w:rsid w:val="00775C2B"/>
    <w:rsid w:val="00775EFA"/>
    <w:rsid w:val="007762A7"/>
    <w:rsid w:val="00776377"/>
    <w:rsid w:val="00776535"/>
    <w:rsid w:val="00776A08"/>
    <w:rsid w:val="00776AAE"/>
    <w:rsid w:val="00776B38"/>
    <w:rsid w:val="00776D53"/>
    <w:rsid w:val="0077759F"/>
    <w:rsid w:val="00777BB5"/>
    <w:rsid w:val="00777EF9"/>
    <w:rsid w:val="0078056E"/>
    <w:rsid w:val="00780763"/>
    <w:rsid w:val="007809C3"/>
    <w:rsid w:val="00780A01"/>
    <w:rsid w:val="007810A1"/>
    <w:rsid w:val="00781113"/>
    <w:rsid w:val="00781200"/>
    <w:rsid w:val="00781303"/>
    <w:rsid w:val="007815DE"/>
    <w:rsid w:val="007819AD"/>
    <w:rsid w:val="007819B9"/>
    <w:rsid w:val="00781DAE"/>
    <w:rsid w:val="00781DD4"/>
    <w:rsid w:val="00782012"/>
    <w:rsid w:val="00782056"/>
    <w:rsid w:val="00782487"/>
    <w:rsid w:val="007826D2"/>
    <w:rsid w:val="007827C4"/>
    <w:rsid w:val="007829E4"/>
    <w:rsid w:val="00782BAB"/>
    <w:rsid w:val="0078302A"/>
    <w:rsid w:val="007832E1"/>
    <w:rsid w:val="0078339D"/>
    <w:rsid w:val="00783514"/>
    <w:rsid w:val="00783596"/>
    <w:rsid w:val="00783A3A"/>
    <w:rsid w:val="00783D44"/>
    <w:rsid w:val="00784D58"/>
    <w:rsid w:val="00784E4B"/>
    <w:rsid w:val="0078512B"/>
    <w:rsid w:val="00785616"/>
    <w:rsid w:val="00785DA1"/>
    <w:rsid w:val="00785FF1"/>
    <w:rsid w:val="00786249"/>
    <w:rsid w:val="00787BC1"/>
    <w:rsid w:val="0079067D"/>
    <w:rsid w:val="00790827"/>
    <w:rsid w:val="00790A5F"/>
    <w:rsid w:val="00790C4B"/>
    <w:rsid w:val="00790D7A"/>
    <w:rsid w:val="00790EF7"/>
    <w:rsid w:val="0079117F"/>
    <w:rsid w:val="00791497"/>
    <w:rsid w:val="00791DA3"/>
    <w:rsid w:val="00792086"/>
    <w:rsid w:val="00792C64"/>
    <w:rsid w:val="007934CF"/>
    <w:rsid w:val="0079407C"/>
    <w:rsid w:val="0079413B"/>
    <w:rsid w:val="007941BA"/>
    <w:rsid w:val="007942CB"/>
    <w:rsid w:val="00794B04"/>
    <w:rsid w:val="00794BA2"/>
    <w:rsid w:val="00794C02"/>
    <w:rsid w:val="00794E90"/>
    <w:rsid w:val="00794FD5"/>
    <w:rsid w:val="007951E4"/>
    <w:rsid w:val="00795493"/>
    <w:rsid w:val="0079582B"/>
    <w:rsid w:val="00795836"/>
    <w:rsid w:val="00795EC9"/>
    <w:rsid w:val="00796039"/>
    <w:rsid w:val="00796516"/>
    <w:rsid w:val="007965E6"/>
    <w:rsid w:val="00796883"/>
    <w:rsid w:val="00796A3A"/>
    <w:rsid w:val="0079794A"/>
    <w:rsid w:val="00797BC0"/>
    <w:rsid w:val="00797D35"/>
    <w:rsid w:val="00797E11"/>
    <w:rsid w:val="00797E60"/>
    <w:rsid w:val="007A00DE"/>
    <w:rsid w:val="007A011D"/>
    <w:rsid w:val="007A04AD"/>
    <w:rsid w:val="007A0729"/>
    <w:rsid w:val="007A0743"/>
    <w:rsid w:val="007A0867"/>
    <w:rsid w:val="007A099E"/>
    <w:rsid w:val="007A0E39"/>
    <w:rsid w:val="007A0E65"/>
    <w:rsid w:val="007A10BB"/>
    <w:rsid w:val="007A1463"/>
    <w:rsid w:val="007A18CD"/>
    <w:rsid w:val="007A1C09"/>
    <w:rsid w:val="007A20C1"/>
    <w:rsid w:val="007A20C2"/>
    <w:rsid w:val="007A247B"/>
    <w:rsid w:val="007A2CEA"/>
    <w:rsid w:val="007A2FC3"/>
    <w:rsid w:val="007A3914"/>
    <w:rsid w:val="007A3930"/>
    <w:rsid w:val="007A3D1B"/>
    <w:rsid w:val="007A3EAF"/>
    <w:rsid w:val="007A413F"/>
    <w:rsid w:val="007A44AD"/>
    <w:rsid w:val="007A44E4"/>
    <w:rsid w:val="007A4841"/>
    <w:rsid w:val="007A48D1"/>
    <w:rsid w:val="007A49E1"/>
    <w:rsid w:val="007A4C70"/>
    <w:rsid w:val="007A4F14"/>
    <w:rsid w:val="007A55DC"/>
    <w:rsid w:val="007A5917"/>
    <w:rsid w:val="007A5CE1"/>
    <w:rsid w:val="007A5DC2"/>
    <w:rsid w:val="007A6452"/>
    <w:rsid w:val="007A666A"/>
    <w:rsid w:val="007A674E"/>
    <w:rsid w:val="007A67A4"/>
    <w:rsid w:val="007A68B6"/>
    <w:rsid w:val="007A6B88"/>
    <w:rsid w:val="007A6EB0"/>
    <w:rsid w:val="007A71D3"/>
    <w:rsid w:val="007A7D97"/>
    <w:rsid w:val="007A7F88"/>
    <w:rsid w:val="007B0020"/>
    <w:rsid w:val="007B0550"/>
    <w:rsid w:val="007B07CA"/>
    <w:rsid w:val="007B08C6"/>
    <w:rsid w:val="007B0EF4"/>
    <w:rsid w:val="007B1023"/>
    <w:rsid w:val="007B1281"/>
    <w:rsid w:val="007B14DA"/>
    <w:rsid w:val="007B1B11"/>
    <w:rsid w:val="007B2424"/>
    <w:rsid w:val="007B275F"/>
    <w:rsid w:val="007B2AFE"/>
    <w:rsid w:val="007B2B68"/>
    <w:rsid w:val="007B2C73"/>
    <w:rsid w:val="007B3410"/>
    <w:rsid w:val="007B344D"/>
    <w:rsid w:val="007B3769"/>
    <w:rsid w:val="007B38A2"/>
    <w:rsid w:val="007B3972"/>
    <w:rsid w:val="007B4751"/>
    <w:rsid w:val="007B4770"/>
    <w:rsid w:val="007B47C2"/>
    <w:rsid w:val="007B4959"/>
    <w:rsid w:val="007B4A40"/>
    <w:rsid w:val="007B4C92"/>
    <w:rsid w:val="007B4D2A"/>
    <w:rsid w:val="007B52EA"/>
    <w:rsid w:val="007B546F"/>
    <w:rsid w:val="007B5474"/>
    <w:rsid w:val="007B5529"/>
    <w:rsid w:val="007B5797"/>
    <w:rsid w:val="007B5AB4"/>
    <w:rsid w:val="007B5D98"/>
    <w:rsid w:val="007B5F16"/>
    <w:rsid w:val="007B6183"/>
    <w:rsid w:val="007B6632"/>
    <w:rsid w:val="007B681E"/>
    <w:rsid w:val="007B6D4B"/>
    <w:rsid w:val="007B71AE"/>
    <w:rsid w:val="007B7967"/>
    <w:rsid w:val="007B799D"/>
    <w:rsid w:val="007B7DEC"/>
    <w:rsid w:val="007B7F36"/>
    <w:rsid w:val="007C00C8"/>
    <w:rsid w:val="007C035C"/>
    <w:rsid w:val="007C07F9"/>
    <w:rsid w:val="007C0883"/>
    <w:rsid w:val="007C0946"/>
    <w:rsid w:val="007C0A3F"/>
    <w:rsid w:val="007C0D69"/>
    <w:rsid w:val="007C119D"/>
    <w:rsid w:val="007C1329"/>
    <w:rsid w:val="007C1385"/>
    <w:rsid w:val="007C191F"/>
    <w:rsid w:val="007C1C6C"/>
    <w:rsid w:val="007C262D"/>
    <w:rsid w:val="007C2BA3"/>
    <w:rsid w:val="007C3261"/>
    <w:rsid w:val="007C336F"/>
    <w:rsid w:val="007C37E8"/>
    <w:rsid w:val="007C3851"/>
    <w:rsid w:val="007C4093"/>
    <w:rsid w:val="007C457A"/>
    <w:rsid w:val="007C4707"/>
    <w:rsid w:val="007C518F"/>
    <w:rsid w:val="007C5D69"/>
    <w:rsid w:val="007C5DEF"/>
    <w:rsid w:val="007C5F98"/>
    <w:rsid w:val="007C6377"/>
    <w:rsid w:val="007C6390"/>
    <w:rsid w:val="007C6471"/>
    <w:rsid w:val="007C6513"/>
    <w:rsid w:val="007C6538"/>
    <w:rsid w:val="007C66E4"/>
    <w:rsid w:val="007C6D84"/>
    <w:rsid w:val="007C6E0E"/>
    <w:rsid w:val="007C7B04"/>
    <w:rsid w:val="007C7B3C"/>
    <w:rsid w:val="007C7F2D"/>
    <w:rsid w:val="007C7F66"/>
    <w:rsid w:val="007D0155"/>
    <w:rsid w:val="007D0CF3"/>
    <w:rsid w:val="007D0ECC"/>
    <w:rsid w:val="007D11F6"/>
    <w:rsid w:val="007D14F9"/>
    <w:rsid w:val="007D18D8"/>
    <w:rsid w:val="007D2056"/>
    <w:rsid w:val="007D23B5"/>
    <w:rsid w:val="007D28E0"/>
    <w:rsid w:val="007D3828"/>
    <w:rsid w:val="007D3E9A"/>
    <w:rsid w:val="007D3F07"/>
    <w:rsid w:val="007D43E6"/>
    <w:rsid w:val="007D4423"/>
    <w:rsid w:val="007D4544"/>
    <w:rsid w:val="007D4886"/>
    <w:rsid w:val="007D4D78"/>
    <w:rsid w:val="007D4E77"/>
    <w:rsid w:val="007D4F6D"/>
    <w:rsid w:val="007D5130"/>
    <w:rsid w:val="007D535F"/>
    <w:rsid w:val="007D540F"/>
    <w:rsid w:val="007D57F9"/>
    <w:rsid w:val="007D5C00"/>
    <w:rsid w:val="007D5C40"/>
    <w:rsid w:val="007D5DAE"/>
    <w:rsid w:val="007D5F3E"/>
    <w:rsid w:val="007D652A"/>
    <w:rsid w:val="007D695D"/>
    <w:rsid w:val="007D6E11"/>
    <w:rsid w:val="007D7651"/>
    <w:rsid w:val="007D7738"/>
    <w:rsid w:val="007D7744"/>
    <w:rsid w:val="007D779A"/>
    <w:rsid w:val="007D7892"/>
    <w:rsid w:val="007E0010"/>
    <w:rsid w:val="007E004C"/>
    <w:rsid w:val="007E004D"/>
    <w:rsid w:val="007E0090"/>
    <w:rsid w:val="007E05D6"/>
    <w:rsid w:val="007E0908"/>
    <w:rsid w:val="007E0D77"/>
    <w:rsid w:val="007E0D91"/>
    <w:rsid w:val="007E0DEB"/>
    <w:rsid w:val="007E11BF"/>
    <w:rsid w:val="007E150C"/>
    <w:rsid w:val="007E1789"/>
    <w:rsid w:val="007E180B"/>
    <w:rsid w:val="007E1AF8"/>
    <w:rsid w:val="007E1B6B"/>
    <w:rsid w:val="007E1C53"/>
    <w:rsid w:val="007E2543"/>
    <w:rsid w:val="007E27AF"/>
    <w:rsid w:val="007E34C8"/>
    <w:rsid w:val="007E34DA"/>
    <w:rsid w:val="007E35AC"/>
    <w:rsid w:val="007E3941"/>
    <w:rsid w:val="007E3BC4"/>
    <w:rsid w:val="007E40E8"/>
    <w:rsid w:val="007E4649"/>
    <w:rsid w:val="007E4714"/>
    <w:rsid w:val="007E4F3D"/>
    <w:rsid w:val="007E500E"/>
    <w:rsid w:val="007E549A"/>
    <w:rsid w:val="007E56E1"/>
    <w:rsid w:val="007E59D0"/>
    <w:rsid w:val="007E5D37"/>
    <w:rsid w:val="007E5E6A"/>
    <w:rsid w:val="007E64EF"/>
    <w:rsid w:val="007E668B"/>
    <w:rsid w:val="007E6942"/>
    <w:rsid w:val="007E6BE0"/>
    <w:rsid w:val="007E7C08"/>
    <w:rsid w:val="007F00C5"/>
    <w:rsid w:val="007F0132"/>
    <w:rsid w:val="007F032F"/>
    <w:rsid w:val="007F04F4"/>
    <w:rsid w:val="007F054B"/>
    <w:rsid w:val="007F06CA"/>
    <w:rsid w:val="007F074A"/>
    <w:rsid w:val="007F0770"/>
    <w:rsid w:val="007F12F1"/>
    <w:rsid w:val="007F14B8"/>
    <w:rsid w:val="007F1550"/>
    <w:rsid w:val="007F1742"/>
    <w:rsid w:val="007F1B07"/>
    <w:rsid w:val="007F1DC7"/>
    <w:rsid w:val="007F1FF7"/>
    <w:rsid w:val="007F29FA"/>
    <w:rsid w:val="007F2B6A"/>
    <w:rsid w:val="007F2C58"/>
    <w:rsid w:val="007F2F11"/>
    <w:rsid w:val="007F32A0"/>
    <w:rsid w:val="007F3383"/>
    <w:rsid w:val="007F357B"/>
    <w:rsid w:val="007F37AB"/>
    <w:rsid w:val="007F3AFA"/>
    <w:rsid w:val="007F4102"/>
    <w:rsid w:val="007F427E"/>
    <w:rsid w:val="007F4644"/>
    <w:rsid w:val="007F4949"/>
    <w:rsid w:val="007F4CB3"/>
    <w:rsid w:val="007F4E51"/>
    <w:rsid w:val="007F5FAC"/>
    <w:rsid w:val="007F5FC3"/>
    <w:rsid w:val="007F6293"/>
    <w:rsid w:val="007F641C"/>
    <w:rsid w:val="007F6441"/>
    <w:rsid w:val="007F68C7"/>
    <w:rsid w:val="007F6D1A"/>
    <w:rsid w:val="007F6D8D"/>
    <w:rsid w:val="007F70AA"/>
    <w:rsid w:val="007F77E6"/>
    <w:rsid w:val="007F7AC7"/>
    <w:rsid w:val="007F7C43"/>
    <w:rsid w:val="008000E5"/>
    <w:rsid w:val="008000FB"/>
    <w:rsid w:val="00800320"/>
    <w:rsid w:val="008013A7"/>
    <w:rsid w:val="008013F1"/>
    <w:rsid w:val="0080180A"/>
    <w:rsid w:val="00801D1F"/>
    <w:rsid w:val="008026A6"/>
    <w:rsid w:val="00802A86"/>
    <w:rsid w:val="00802EB1"/>
    <w:rsid w:val="00802EE9"/>
    <w:rsid w:val="00803E72"/>
    <w:rsid w:val="0080417F"/>
    <w:rsid w:val="008047C2"/>
    <w:rsid w:val="00804C2E"/>
    <w:rsid w:val="00804DED"/>
    <w:rsid w:val="00805EFD"/>
    <w:rsid w:val="00806036"/>
    <w:rsid w:val="0080615E"/>
    <w:rsid w:val="0080651E"/>
    <w:rsid w:val="0080656D"/>
    <w:rsid w:val="00806F29"/>
    <w:rsid w:val="0080715E"/>
    <w:rsid w:val="008074CB"/>
    <w:rsid w:val="0080766D"/>
    <w:rsid w:val="00807BFB"/>
    <w:rsid w:val="00810930"/>
    <w:rsid w:val="00810934"/>
    <w:rsid w:val="0081093E"/>
    <w:rsid w:val="00810E0A"/>
    <w:rsid w:val="008110A2"/>
    <w:rsid w:val="00811354"/>
    <w:rsid w:val="008114AB"/>
    <w:rsid w:val="00811AE6"/>
    <w:rsid w:val="00811C2D"/>
    <w:rsid w:val="00811C5F"/>
    <w:rsid w:val="00812458"/>
    <w:rsid w:val="008137F4"/>
    <w:rsid w:val="00813AE2"/>
    <w:rsid w:val="00814342"/>
    <w:rsid w:val="00814EE1"/>
    <w:rsid w:val="00814F27"/>
    <w:rsid w:val="008150DF"/>
    <w:rsid w:val="00815360"/>
    <w:rsid w:val="008159B8"/>
    <w:rsid w:val="00815E4A"/>
    <w:rsid w:val="00815ED8"/>
    <w:rsid w:val="008164FC"/>
    <w:rsid w:val="008167A1"/>
    <w:rsid w:val="00816939"/>
    <w:rsid w:val="0081699D"/>
    <w:rsid w:val="00816CEB"/>
    <w:rsid w:val="00816D1E"/>
    <w:rsid w:val="00817083"/>
    <w:rsid w:val="00817234"/>
    <w:rsid w:val="0081763F"/>
    <w:rsid w:val="00817976"/>
    <w:rsid w:val="00817AB2"/>
    <w:rsid w:val="00817EC6"/>
    <w:rsid w:val="008208AE"/>
    <w:rsid w:val="00820D94"/>
    <w:rsid w:val="00820E97"/>
    <w:rsid w:val="0082101B"/>
    <w:rsid w:val="00821CAB"/>
    <w:rsid w:val="00822375"/>
    <w:rsid w:val="008230F8"/>
    <w:rsid w:val="00823261"/>
    <w:rsid w:val="00823734"/>
    <w:rsid w:val="00823797"/>
    <w:rsid w:val="00823AC0"/>
    <w:rsid w:val="008240E2"/>
    <w:rsid w:val="008240F1"/>
    <w:rsid w:val="00824338"/>
    <w:rsid w:val="00824389"/>
    <w:rsid w:val="00824505"/>
    <w:rsid w:val="008245AB"/>
    <w:rsid w:val="00824FD0"/>
    <w:rsid w:val="00825170"/>
    <w:rsid w:val="008251CD"/>
    <w:rsid w:val="00825A62"/>
    <w:rsid w:val="00826461"/>
    <w:rsid w:val="0082681C"/>
    <w:rsid w:val="00826F79"/>
    <w:rsid w:val="00827811"/>
    <w:rsid w:val="008279C2"/>
    <w:rsid w:val="00827C1C"/>
    <w:rsid w:val="00827F5A"/>
    <w:rsid w:val="008303D4"/>
    <w:rsid w:val="00830887"/>
    <w:rsid w:val="0083097C"/>
    <w:rsid w:val="00830A4C"/>
    <w:rsid w:val="00831141"/>
    <w:rsid w:val="00831235"/>
    <w:rsid w:val="0083176A"/>
    <w:rsid w:val="00831D8F"/>
    <w:rsid w:val="00831FB5"/>
    <w:rsid w:val="00832124"/>
    <w:rsid w:val="00832442"/>
    <w:rsid w:val="00832C9D"/>
    <w:rsid w:val="00832E21"/>
    <w:rsid w:val="00833047"/>
    <w:rsid w:val="0083331E"/>
    <w:rsid w:val="00833746"/>
    <w:rsid w:val="008338F6"/>
    <w:rsid w:val="00833958"/>
    <w:rsid w:val="00833BEF"/>
    <w:rsid w:val="00833E13"/>
    <w:rsid w:val="008343A9"/>
    <w:rsid w:val="0083451B"/>
    <w:rsid w:val="00834667"/>
    <w:rsid w:val="00834B1B"/>
    <w:rsid w:val="0083516B"/>
    <w:rsid w:val="008356D0"/>
    <w:rsid w:val="0083579B"/>
    <w:rsid w:val="0083592C"/>
    <w:rsid w:val="00835CE2"/>
    <w:rsid w:val="00835E85"/>
    <w:rsid w:val="0083673C"/>
    <w:rsid w:val="00836786"/>
    <w:rsid w:val="00836A99"/>
    <w:rsid w:val="00836F52"/>
    <w:rsid w:val="00837204"/>
    <w:rsid w:val="0083732D"/>
    <w:rsid w:val="0083737B"/>
    <w:rsid w:val="00837FCD"/>
    <w:rsid w:val="00840036"/>
    <w:rsid w:val="00840DB0"/>
    <w:rsid w:val="00841A4F"/>
    <w:rsid w:val="00841AF8"/>
    <w:rsid w:val="00841CCA"/>
    <w:rsid w:val="00841D96"/>
    <w:rsid w:val="00842346"/>
    <w:rsid w:val="008426BA"/>
    <w:rsid w:val="008427DB"/>
    <w:rsid w:val="008428FB"/>
    <w:rsid w:val="00843297"/>
    <w:rsid w:val="00843ABB"/>
    <w:rsid w:val="0084410F"/>
    <w:rsid w:val="008442AA"/>
    <w:rsid w:val="00844381"/>
    <w:rsid w:val="00844C3F"/>
    <w:rsid w:val="00844E41"/>
    <w:rsid w:val="0084506A"/>
    <w:rsid w:val="008450AE"/>
    <w:rsid w:val="008452BB"/>
    <w:rsid w:val="00845709"/>
    <w:rsid w:val="00845B27"/>
    <w:rsid w:val="00845D52"/>
    <w:rsid w:val="008462F6"/>
    <w:rsid w:val="00846371"/>
    <w:rsid w:val="008463D1"/>
    <w:rsid w:val="008465FA"/>
    <w:rsid w:val="0084673B"/>
    <w:rsid w:val="00846A7D"/>
    <w:rsid w:val="00846DE1"/>
    <w:rsid w:val="0084755D"/>
    <w:rsid w:val="00847748"/>
    <w:rsid w:val="00847A1C"/>
    <w:rsid w:val="00850692"/>
    <w:rsid w:val="00850DE6"/>
    <w:rsid w:val="008517DB"/>
    <w:rsid w:val="00851D5B"/>
    <w:rsid w:val="008521F4"/>
    <w:rsid w:val="008522AF"/>
    <w:rsid w:val="008525C3"/>
    <w:rsid w:val="00852952"/>
    <w:rsid w:val="00852AC1"/>
    <w:rsid w:val="00853060"/>
    <w:rsid w:val="008534C3"/>
    <w:rsid w:val="00853776"/>
    <w:rsid w:val="00853E4C"/>
    <w:rsid w:val="00853E5F"/>
    <w:rsid w:val="00854112"/>
    <w:rsid w:val="0085412D"/>
    <w:rsid w:val="008553F6"/>
    <w:rsid w:val="00855659"/>
    <w:rsid w:val="008557B6"/>
    <w:rsid w:val="00855A2D"/>
    <w:rsid w:val="00855CAD"/>
    <w:rsid w:val="00855ECD"/>
    <w:rsid w:val="008560E0"/>
    <w:rsid w:val="00856136"/>
    <w:rsid w:val="0085679C"/>
    <w:rsid w:val="00857128"/>
    <w:rsid w:val="00857363"/>
    <w:rsid w:val="00857508"/>
    <w:rsid w:val="0085788A"/>
    <w:rsid w:val="00857A1A"/>
    <w:rsid w:val="00857D5F"/>
    <w:rsid w:val="0086066C"/>
    <w:rsid w:val="00860B71"/>
    <w:rsid w:val="00860C46"/>
    <w:rsid w:val="0086100A"/>
    <w:rsid w:val="008614C5"/>
    <w:rsid w:val="0086195D"/>
    <w:rsid w:val="00861F92"/>
    <w:rsid w:val="0086218A"/>
    <w:rsid w:val="008621D6"/>
    <w:rsid w:val="00862343"/>
    <w:rsid w:val="008623CE"/>
    <w:rsid w:val="00862F95"/>
    <w:rsid w:val="00862FE6"/>
    <w:rsid w:val="008631E9"/>
    <w:rsid w:val="0086329A"/>
    <w:rsid w:val="008632FE"/>
    <w:rsid w:val="00863A70"/>
    <w:rsid w:val="00863F3E"/>
    <w:rsid w:val="00863F6D"/>
    <w:rsid w:val="0086419A"/>
    <w:rsid w:val="0086447D"/>
    <w:rsid w:val="00864906"/>
    <w:rsid w:val="00864B3A"/>
    <w:rsid w:val="00864FFA"/>
    <w:rsid w:val="0086504B"/>
    <w:rsid w:val="0086534E"/>
    <w:rsid w:val="008653BE"/>
    <w:rsid w:val="00865A02"/>
    <w:rsid w:val="0086617D"/>
    <w:rsid w:val="0086695B"/>
    <w:rsid w:val="00867146"/>
    <w:rsid w:val="00867443"/>
    <w:rsid w:val="008674D1"/>
    <w:rsid w:val="00867B83"/>
    <w:rsid w:val="00867DFC"/>
    <w:rsid w:val="0087088B"/>
    <w:rsid w:val="008712AB"/>
    <w:rsid w:val="0087152B"/>
    <w:rsid w:val="00871639"/>
    <w:rsid w:val="00871BF5"/>
    <w:rsid w:val="008723D3"/>
    <w:rsid w:val="0087272D"/>
    <w:rsid w:val="00872A1B"/>
    <w:rsid w:val="00872BB8"/>
    <w:rsid w:val="00872BFC"/>
    <w:rsid w:val="008738FB"/>
    <w:rsid w:val="00873E92"/>
    <w:rsid w:val="00873EEB"/>
    <w:rsid w:val="0087414D"/>
    <w:rsid w:val="0087443C"/>
    <w:rsid w:val="008746E5"/>
    <w:rsid w:val="00874D0E"/>
    <w:rsid w:val="0087535C"/>
    <w:rsid w:val="00875713"/>
    <w:rsid w:val="008758CB"/>
    <w:rsid w:val="0087596C"/>
    <w:rsid w:val="0087596E"/>
    <w:rsid w:val="00875D04"/>
    <w:rsid w:val="00875F0A"/>
    <w:rsid w:val="0087613F"/>
    <w:rsid w:val="008761B6"/>
    <w:rsid w:val="00876271"/>
    <w:rsid w:val="008763A7"/>
    <w:rsid w:val="008764F2"/>
    <w:rsid w:val="00876568"/>
    <w:rsid w:val="00876AF8"/>
    <w:rsid w:val="0087742E"/>
    <w:rsid w:val="008775C9"/>
    <w:rsid w:val="0087768D"/>
    <w:rsid w:val="00877F00"/>
    <w:rsid w:val="0088039E"/>
    <w:rsid w:val="008803E6"/>
    <w:rsid w:val="008807BD"/>
    <w:rsid w:val="0088097C"/>
    <w:rsid w:val="00880C72"/>
    <w:rsid w:val="00880CE3"/>
    <w:rsid w:val="00881170"/>
    <w:rsid w:val="008811BC"/>
    <w:rsid w:val="0088139E"/>
    <w:rsid w:val="00881649"/>
    <w:rsid w:val="0088177A"/>
    <w:rsid w:val="008818F2"/>
    <w:rsid w:val="0088290C"/>
    <w:rsid w:val="00882921"/>
    <w:rsid w:val="00882BA3"/>
    <w:rsid w:val="00882CF0"/>
    <w:rsid w:val="00882DB5"/>
    <w:rsid w:val="00883410"/>
    <w:rsid w:val="00883ABA"/>
    <w:rsid w:val="00883DA7"/>
    <w:rsid w:val="00883DE9"/>
    <w:rsid w:val="008847AA"/>
    <w:rsid w:val="008847B8"/>
    <w:rsid w:val="008850F8"/>
    <w:rsid w:val="008852A5"/>
    <w:rsid w:val="008856D4"/>
    <w:rsid w:val="00885F7E"/>
    <w:rsid w:val="00885FB5"/>
    <w:rsid w:val="008867E6"/>
    <w:rsid w:val="00886E52"/>
    <w:rsid w:val="00887627"/>
    <w:rsid w:val="00887694"/>
    <w:rsid w:val="00887834"/>
    <w:rsid w:val="008879B5"/>
    <w:rsid w:val="00887BC6"/>
    <w:rsid w:val="008902F4"/>
    <w:rsid w:val="0089077C"/>
    <w:rsid w:val="00890F91"/>
    <w:rsid w:val="008915A6"/>
    <w:rsid w:val="00891F94"/>
    <w:rsid w:val="00892350"/>
    <w:rsid w:val="008923B1"/>
    <w:rsid w:val="008925E8"/>
    <w:rsid w:val="008926C4"/>
    <w:rsid w:val="00892AB1"/>
    <w:rsid w:val="00892C58"/>
    <w:rsid w:val="008930BE"/>
    <w:rsid w:val="00893456"/>
    <w:rsid w:val="008938A1"/>
    <w:rsid w:val="00893E8A"/>
    <w:rsid w:val="00893F52"/>
    <w:rsid w:val="008941EC"/>
    <w:rsid w:val="008945EE"/>
    <w:rsid w:val="00894624"/>
    <w:rsid w:val="008952A8"/>
    <w:rsid w:val="008959B2"/>
    <w:rsid w:val="00896015"/>
    <w:rsid w:val="008964A9"/>
    <w:rsid w:val="00896783"/>
    <w:rsid w:val="0089681A"/>
    <w:rsid w:val="00896B41"/>
    <w:rsid w:val="00896F17"/>
    <w:rsid w:val="00897252"/>
    <w:rsid w:val="008975CC"/>
    <w:rsid w:val="00897618"/>
    <w:rsid w:val="00897BEF"/>
    <w:rsid w:val="008A1B3C"/>
    <w:rsid w:val="008A1BFD"/>
    <w:rsid w:val="008A1C39"/>
    <w:rsid w:val="008A248A"/>
    <w:rsid w:val="008A26CB"/>
    <w:rsid w:val="008A27B8"/>
    <w:rsid w:val="008A2805"/>
    <w:rsid w:val="008A28BF"/>
    <w:rsid w:val="008A2ACA"/>
    <w:rsid w:val="008A2E47"/>
    <w:rsid w:val="008A2FBC"/>
    <w:rsid w:val="008A379C"/>
    <w:rsid w:val="008A3A5A"/>
    <w:rsid w:val="008A3E67"/>
    <w:rsid w:val="008A403A"/>
    <w:rsid w:val="008A42DA"/>
    <w:rsid w:val="008A43B4"/>
    <w:rsid w:val="008A49B2"/>
    <w:rsid w:val="008A5522"/>
    <w:rsid w:val="008A65C2"/>
    <w:rsid w:val="008A6E48"/>
    <w:rsid w:val="008A6FC3"/>
    <w:rsid w:val="008A701E"/>
    <w:rsid w:val="008A734B"/>
    <w:rsid w:val="008A7706"/>
    <w:rsid w:val="008A7BDA"/>
    <w:rsid w:val="008A7F65"/>
    <w:rsid w:val="008B0210"/>
    <w:rsid w:val="008B0328"/>
    <w:rsid w:val="008B0C9A"/>
    <w:rsid w:val="008B17D9"/>
    <w:rsid w:val="008B1A1C"/>
    <w:rsid w:val="008B1D5C"/>
    <w:rsid w:val="008B1D60"/>
    <w:rsid w:val="008B1E73"/>
    <w:rsid w:val="008B207B"/>
    <w:rsid w:val="008B2510"/>
    <w:rsid w:val="008B2A87"/>
    <w:rsid w:val="008B2D49"/>
    <w:rsid w:val="008B2D7F"/>
    <w:rsid w:val="008B31CD"/>
    <w:rsid w:val="008B31EE"/>
    <w:rsid w:val="008B3624"/>
    <w:rsid w:val="008B4555"/>
    <w:rsid w:val="008B4F22"/>
    <w:rsid w:val="008B508B"/>
    <w:rsid w:val="008B5229"/>
    <w:rsid w:val="008B527F"/>
    <w:rsid w:val="008B578F"/>
    <w:rsid w:val="008B5CC4"/>
    <w:rsid w:val="008B5EEE"/>
    <w:rsid w:val="008B5F62"/>
    <w:rsid w:val="008B601B"/>
    <w:rsid w:val="008B6796"/>
    <w:rsid w:val="008B67BD"/>
    <w:rsid w:val="008B6AB9"/>
    <w:rsid w:val="008B6CFB"/>
    <w:rsid w:val="008B6D25"/>
    <w:rsid w:val="008B6EAE"/>
    <w:rsid w:val="008B6F70"/>
    <w:rsid w:val="008B70C7"/>
    <w:rsid w:val="008B7391"/>
    <w:rsid w:val="008B7427"/>
    <w:rsid w:val="008B7AF1"/>
    <w:rsid w:val="008B7F48"/>
    <w:rsid w:val="008B7FE3"/>
    <w:rsid w:val="008C12E3"/>
    <w:rsid w:val="008C169C"/>
    <w:rsid w:val="008C1BD3"/>
    <w:rsid w:val="008C1F08"/>
    <w:rsid w:val="008C1F25"/>
    <w:rsid w:val="008C249A"/>
    <w:rsid w:val="008C2886"/>
    <w:rsid w:val="008C2E0E"/>
    <w:rsid w:val="008C3117"/>
    <w:rsid w:val="008C3398"/>
    <w:rsid w:val="008C3BED"/>
    <w:rsid w:val="008C4A72"/>
    <w:rsid w:val="008C4B26"/>
    <w:rsid w:val="008C5564"/>
    <w:rsid w:val="008C5A8F"/>
    <w:rsid w:val="008C616F"/>
    <w:rsid w:val="008C6185"/>
    <w:rsid w:val="008C618B"/>
    <w:rsid w:val="008C62E1"/>
    <w:rsid w:val="008C6502"/>
    <w:rsid w:val="008C657D"/>
    <w:rsid w:val="008C66C5"/>
    <w:rsid w:val="008C69E2"/>
    <w:rsid w:val="008C6BC5"/>
    <w:rsid w:val="008C7599"/>
    <w:rsid w:val="008C75A6"/>
    <w:rsid w:val="008C77D4"/>
    <w:rsid w:val="008C7BB5"/>
    <w:rsid w:val="008C7C03"/>
    <w:rsid w:val="008C7D5C"/>
    <w:rsid w:val="008D0654"/>
    <w:rsid w:val="008D0814"/>
    <w:rsid w:val="008D0D33"/>
    <w:rsid w:val="008D0D9B"/>
    <w:rsid w:val="008D0E7B"/>
    <w:rsid w:val="008D0F28"/>
    <w:rsid w:val="008D0FEE"/>
    <w:rsid w:val="008D10F4"/>
    <w:rsid w:val="008D12CC"/>
    <w:rsid w:val="008D1324"/>
    <w:rsid w:val="008D134F"/>
    <w:rsid w:val="008D14C3"/>
    <w:rsid w:val="008D18B9"/>
    <w:rsid w:val="008D2364"/>
    <w:rsid w:val="008D25BA"/>
    <w:rsid w:val="008D26FD"/>
    <w:rsid w:val="008D2738"/>
    <w:rsid w:val="008D2779"/>
    <w:rsid w:val="008D2925"/>
    <w:rsid w:val="008D2AF6"/>
    <w:rsid w:val="008D2B2C"/>
    <w:rsid w:val="008D2E60"/>
    <w:rsid w:val="008D32F7"/>
    <w:rsid w:val="008D333F"/>
    <w:rsid w:val="008D371F"/>
    <w:rsid w:val="008D39F5"/>
    <w:rsid w:val="008D3B52"/>
    <w:rsid w:val="008D41C5"/>
    <w:rsid w:val="008D45B6"/>
    <w:rsid w:val="008D5174"/>
    <w:rsid w:val="008D51BC"/>
    <w:rsid w:val="008D574C"/>
    <w:rsid w:val="008D5ED9"/>
    <w:rsid w:val="008D5F1F"/>
    <w:rsid w:val="008D65D0"/>
    <w:rsid w:val="008D65DA"/>
    <w:rsid w:val="008D65FA"/>
    <w:rsid w:val="008D6720"/>
    <w:rsid w:val="008D6CB8"/>
    <w:rsid w:val="008D6DF2"/>
    <w:rsid w:val="008D6E9E"/>
    <w:rsid w:val="008D7438"/>
    <w:rsid w:val="008D7526"/>
    <w:rsid w:val="008E012C"/>
    <w:rsid w:val="008E02D0"/>
    <w:rsid w:val="008E07C8"/>
    <w:rsid w:val="008E08AF"/>
    <w:rsid w:val="008E0A1A"/>
    <w:rsid w:val="008E0EE4"/>
    <w:rsid w:val="008E15BE"/>
    <w:rsid w:val="008E1635"/>
    <w:rsid w:val="008E18C4"/>
    <w:rsid w:val="008E1D4F"/>
    <w:rsid w:val="008E2286"/>
    <w:rsid w:val="008E2767"/>
    <w:rsid w:val="008E2CB0"/>
    <w:rsid w:val="008E2D0A"/>
    <w:rsid w:val="008E2E30"/>
    <w:rsid w:val="008E35BF"/>
    <w:rsid w:val="008E3E1C"/>
    <w:rsid w:val="008E3EDC"/>
    <w:rsid w:val="008E3F46"/>
    <w:rsid w:val="008E3FCB"/>
    <w:rsid w:val="008E4599"/>
    <w:rsid w:val="008E45C7"/>
    <w:rsid w:val="008E48F6"/>
    <w:rsid w:val="008E5063"/>
    <w:rsid w:val="008E51D5"/>
    <w:rsid w:val="008E55B7"/>
    <w:rsid w:val="008E6099"/>
    <w:rsid w:val="008E6859"/>
    <w:rsid w:val="008E68C8"/>
    <w:rsid w:val="008E68EC"/>
    <w:rsid w:val="008E6B35"/>
    <w:rsid w:val="008E6E94"/>
    <w:rsid w:val="008E7065"/>
    <w:rsid w:val="008E79CA"/>
    <w:rsid w:val="008E79E8"/>
    <w:rsid w:val="008E7C49"/>
    <w:rsid w:val="008F0300"/>
    <w:rsid w:val="008F079B"/>
    <w:rsid w:val="008F0849"/>
    <w:rsid w:val="008F096C"/>
    <w:rsid w:val="008F0A39"/>
    <w:rsid w:val="008F0BCD"/>
    <w:rsid w:val="008F0F19"/>
    <w:rsid w:val="008F128B"/>
    <w:rsid w:val="008F12E8"/>
    <w:rsid w:val="008F16A0"/>
    <w:rsid w:val="008F1B39"/>
    <w:rsid w:val="008F1BE0"/>
    <w:rsid w:val="008F1BF3"/>
    <w:rsid w:val="008F2199"/>
    <w:rsid w:val="008F2343"/>
    <w:rsid w:val="008F2404"/>
    <w:rsid w:val="008F26C4"/>
    <w:rsid w:val="008F297C"/>
    <w:rsid w:val="008F2BFA"/>
    <w:rsid w:val="008F2DE4"/>
    <w:rsid w:val="008F2E2A"/>
    <w:rsid w:val="008F2FBA"/>
    <w:rsid w:val="008F34DC"/>
    <w:rsid w:val="008F3522"/>
    <w:rsid w:val="008F35E9"/>
    <w:rsid w:val="008F406C"/>
    <w:rsid w:val="008F4AA6"/>
    <w:rsid w:val="008F5298"/>
    <w:rsid w:val="008F5BF3"/>
    <w:rsid w:val="008F5D53"/>
    <w:rsid w:val="008F6093"/>
    <w:rsid w:val="008F6227"/>
    <w:rsid w:val="008F675A"/>
    <w:rsid w:val="008F6BF1"/>
    <w:rsid w:val="008F6D1E"/>
    <w:rsid w:val="008F6EC2"/>
    <w:rsid w:val="008F72F4"/>
    <w:rsid w:val="008F74B3"/>
    <w:rsid w:val="008F75F6"/>
    <w:rsid w:val="008F78FC"/>
    <w:rsid w:val="008F7EF9"/>
    <w:rsid w:val="00900927"/>
    <w:rsid w:val="00900A79"/>
    <w:rsid w:val="0090203E"/>
    <w:rsid w:val="00902159"/>
    <w:rsid w:val="009023E2"/>
    <w:rsid w:val="009026B6"/>
    <w:rsid w:val="00902B08"/>
    <w:rsid w:val="00902D46"/>
    <w:rsid w:val="00903CE9"/>
    <w:rsid w:val="00903FB7"/>
    <w:rsid w:val="009046B4"/>
    <w:rsid w:val="009046D3"/>
    <w:rsid w:val="009052D7"/>
    <w:rsid w:val="00905466"/>
    <w:rsid w:val="00905C47"/>
    <w:rsid w:val="00905CBA"/>
    <w:rsid w:val="0090615F"/>
    <w:rsid w:val="0090671D"/>
    <w:rsid w:val="009068D5"/>
    <w:rsid w:val="00906AE3"/>
    <w:rsid w:val="00906BF1"/>
    <w:rsid w:val="00906CCE"/>
    <w:rsid w:val="0090746A"/>
    <w:rsid w:val="009078D6"/>
    <w:rsid w:val="0090790B"/>
    <w:rsid w:val="00907CE9"/>
    <w:rsid w:val="00907EB7"/>
    <w:rsid w:val="00910117"/>
    <w:rsid w:val="00910216"/>
    <w:rsid w:val="0091034E"/>
    <w:rsid w:val="00910609"/>
    <w:rsid w:val="00910AA5"/>
    <w:rsid w:val="009110F0"/>
    <w:rsid w:val="00911772"/>
    <w:rsid w:val="0091178B"/>
    <w:rsid w:val="00911AD9"/>
    <w:rsid w:val="00911DAD"/>
    <w:rsid w:val="00911E1E"/>
    <w:rsid w:val="00911EA4"/>
    <w:rsid w:val="00911F47"/>
    <w:rsid w:val="009125FD"/>
    <w:rsid w:val="009129BC"/>
    <w:rsid w:val="00912C44"/>
    <w:rsid w:val="00912E70"/>
    <w:rsid w:val="00912F51"/>
    <w:rsid w:val="0091378E"/>
    <w:rsid w:val="0091394A"/>
    <w:rsid w:val="00913F95"/>
    <w:rsid w:val="0091416B"/>
    <w:rsid w:val="009141CF"/>
    <w:rsid w:val="009142E5"/>
    <w:rsid w:val="009144AE"/>
    <w:rsid w:val="009148E8"/>
    <w:rsid w:val="00914E35"/>
    <w:rsid w:val="009155B0"/>
    <w:rsid w:val="0091577E"/>
    <w:rsid w:val="00915AC0"/>
    <w:rsid w:val="00915BA2"/>
    <w:rsid w:val="00915BD8"/>
    <w:rsid w:val="009162DB"/>
    <w:rsid w:val="00916418"/>
    <w:rsid w:val="0091688B"/>
    <w:rsid w:val="00916D36"/>
    <w:rsid w:val="00917168"/>
    <w:rsid w:val="00917338"/>
    <w:rsid w:val="009174D5"/>
    <w:rsid w:val="00917E9F"/>
    <w:rsid w:val="00917F0B"/>
    <w:rsid w:val="00917FF2"/>
    <w:rsid w:val="00920200"/>
    <w:rsid w:val="00920237"/>
    <w:rsid w:val="0092040A"/>
    <w:rsid w:val="009204CC"/>
    <w:rsid w:val="00920628"/>
    <w:rsid w:val="0092083D"/>
    <w:rsid w:val="00920AB3"/>
    <w:rsid w:val="00920C19"/>
    <w:rsid w:val="00920D43"/>
    <w:rsid w:val="009212B0"/>
    <w:rsid w:val="00921485"/>
    <w:rsid w:val="009219F9"/>
    <w:rsid w:val="00922413"/>
    <w:rsid w:val="00922793"/>
    <w:rsid w:val="00922AD8"/>
    <w:rsid w:val="00922B68"/>
    <w:rsid w:val="00922C77"/>
    <w:rsid w:val="00922EBC"/>
    <w:rsid w:val="009230AA"/>
    <w:rsid w:val="009239B8"/>
    <w:rsid w:val="00923C23"/>
    <w:rsid w:val="00924105"/>
    <w:rsid w:val="009246B3"/>
    <w:rsid w:val="00924E7B"/>
    <w:rsid w:val="00925128"/>
    <w:rsid w:val="00925541"/>
    <w:rsid w:val="009256FE"/>
    <w:rsid w:val="0092694F"/>
    <w:rsid w:val="00927199"/>
    <w:rsid w:val="009277FD"/>
    <w:rsid w:val="00927825"/>
    <w:rsid w:val="00927973"/>
    <w:rsid w:val="00927C99"/>
    <w:rsid w:val="009303DE"/>
    <w:rsid w:val="009303F8"/>
    <w:rsid w:val="00930BC9"/>
    <w:rsid w:val="009310A7"/>
    <w:rsid w:val="00931283"/>
    <w:rsid w:val="0093195D"/>
    <w:rsid w:val="00931AD5"/>
    <w:rsid w:val="00931B15"/>
    <w:rsid w:val="00931B8D"/>
    <w:rsid w:val="00931F96"/>
    <w:rsid w:val="00932460"/>
    <w:rsid w:val="009324C7"/>
    <w:rsid w:val="0093263B"/>
    <w:rsid w:val="00932948"/>
    <w:rsid w:val="00932962"/>
    <w:rsid w:val="009329C1"/>
    <w:rsid w:val="009333B1"/>
    <w:rsid w:val="009335DA"/>
    <w:rsid w:val="0093421C"/>
    <w:rsid w:val="00934D16"/>
    <w:rsid w:val="00935E73"/>
    <w:rsid w:val="009363FF"/>
    <w:rsid w:val="0093641C"/>
    <w:rsid w:val="009368F1"/>
    <w:rsid w:val="00936BD4"/>
    <w:rsid w:val="00936CE0"/>
    <w:rsid w:val="0093725F"/>
    <w:rsid w:val="00937534"/>
    <w:rsid w:val="00937FC3"/>
    <w:rsid w:val="0094087F"/>
    <w:rsid w:val="009409EA"/>
    <w:rsid w:val="00940D48"/>
    <w:rsid w:val="00941175"/>
    <w:rsid w:val="009412D6"/>
    <w:rsid w:val="00941683"/>
    <w:rsid w:val="00941DC2"/>
    <w:rsid w:val="00942363"/>
    <w:rsid w:val="00942822"/>
    <w:rsid w:val="00942B0D"/>
    <w:rsid w:val="00942BB2"/>
    <w:rsid w:val="009434C7"/>
    <w:rsid w:val="009439F8"/>
    <w:rsid w:val="009439FB"/>
    <w:rsid w:val="00943A7A"/>
    <w:rsid w:val="00943CDD"/>
    <w:rsid w:val="009446C7"/>
    <w:rsid w:val="009446CC"/>
    <w:rsid w:val="00944F36"/>
    <w:rsid w:val="0094527A"/>
    <w:rsid w:val="00945750"/>
    <w:rsid w:val="009457C8"/>
    <w:rsid w:val="009458A9"/>
    <w:rsid w:val="00945BF5"/>
    <w:rsid w:val="009463A6"/>
    <w:rsid w:val="00946DA2"/>
    <w:rsid w:val="00947497"/>
    <w:rsid w:val="009478A5"/>
    <w:rsid w:val="00947B35"/>
    <w:rsid w:val="00947B3E"/>
    <w:rsid w:val="00947E91"/>
    <w:rsid w:val="00947FF8"/>
    <w:rsid w:val="0095049A"/>
    <w:rsid w:val="00950605"/>
    <w:rsid w:val="00950FBB"/>
    <w:rsid w:val="009512B4"/>
    <w:rsid w:val="009515D3"/>
    <w:rsid w:val="009516A4"/>
    <w:rsid w:val="00951CA8"/>
    <w:rsid w:val="0095211D"/>
    <w:rsid w:val="009521D3"/>
    <w:rsid w:val="009522A6"/>
    <w:rsid w:val="00952440"/>
    <w:rsid w:val="00952749"/>
    <w:rsid w:val="00952F27"/>
    <w:rsid w:val="009530CA"/>
    <w:rsid w:val="009532BE"/>
    <w:rsid w:val="009533C6"/>
    <w:rsid w:val="009535FF"/>
    <w:rsid w:val="00953FEE"/>
    <w:rsid w:val="009544D4"/>
    <w:rsid w:val="00954B52"/>
    <w:rsid w:val="00954C98"/>
    <w:rsid w:val="0095508A"/>
    <w:rsid w:val="00955317"/>
    <w:rsid w:val="009553DB"/>
    <w:rsid w:val="009554A6"/>
    <w:rsid w:val="0095563F"/>
    <w:rsid w:val="009556B9"/>
    <w:rsid w:val="00955C10"/>
    <w:rsid w:val="00955DA3"/>
    <w:rsid w:val="00955FA3"/>
    <w:rsid w:val="009560FB"/>
    <w:rsid w:val="00956196"/>
    <w:rsid w:val="009562EE"/>
    <w:rsid w:val="0095659A"/>
    <w:rsid w:val="009567C2"/>
    <w:rsid w:val="009567F0"/>
    <w:rsid w:val="00956BE1"/>
    <w:rsid w:val="00956E0B"/>
    <w:rsid w:val="00956F9E"/>
    <w:rsid w:val="00957008"/>
    <w:rsid w:val="00957046"/>
    <w:rsid w:val="00957095"/>
    <w:rsid w:val="00957151"/>
    <w:rsid w:val="0095742F"/>
    <w:rsid w:val="0095796B"/>
    <w:rsid w:val="00957EE4"/>
    <w:rsid w:val="00957F1C"/>
    <w:rsid w:val="0096027B"/>
    <w:rsid w:val="009602CB"/>
    <w:rsid w:val="009605EB"/>
    <w:rsid w:val="00960693"/>
    <w:rsid w:val="0096089A"/>
    <w:rsid w:val="009611C1"/>
    <w:rsid w:val="0096126C"/>
    <w:rsid w:val="00961362"/>
    <w:rsid w:val="009615B1"/>
    <w:rsid w:val="00961B21"/>
    <w:rsid w:val="00961D71"/>
    <w:rsid w:val="00961F12"/>
    <w:rsid w:val="009629A0"/>
    <w:rsid w:val="00962AB6"/>
    <w:rsid w:val="00962AB7"/>
    <w:rsid w:val="009631E6"/>
    <w:rsid w:val="00963554"/>
    <w:rsid w:val="00963650"/>
    <w:rsid w:val="00963715"/>
    <w:rsid w:val="00963A79"/>
    <w:rsid w:val="00963F12"/>
    <w:rsid w:val="009644D4"/>
    <w:rsid w:val="00964647"/>
    <w:rsid w:val="00964844"/>
    <w:rsid w:val="00964CD2"/>
    <w:rsid w:val="00964CF6"/>
    <w:rsid w:val="00964E4B"/>
    <w:rsid w:val="00965666"/>
    <w:rsid w:val="00965A17"/>
    <w:rsid w:val="00965ABC"/>
    <w:rsid w:val="00965B34"/>
    <w:rsid w:val="009660C3"/>
    <w:rsid w:val="00966310"/>
    <w:rsid w:val="00966400"/>
    <w:rsid w:val="009667A2"/>
    <w:rsid w:val="00966967"/>
    <w:rsid w:val="0096773B"/>
    <w:rsid w:val="009677B9"/>
    <w:rsid w:val="009678E8"/>
    <w:rsid w:val="0096797E"/>
    <w:rsid w:val="00967B44"/>
    <w:rsid w:val="00967CF7"/>
    <w:rsid w:val="00967E07"/>
    <w:rsid w:val="00970274"/>
    <w:rsid w:val="0097048D"/>
    <w:rsid w:val="00970581"/>
    <w:rsid w:val="00970D3B"/>
    <w:rsid w:val="00970E91"/>
    <w:rsid w:val="009710F9"/>
    <w:rsid w:val="009715FB"/>
    <w:rsid w:val="00971715"/>
    <w:rsid w:val="00971852"/>
    <w:rsid w:val="00971928"/>
    <w:rsid w:val="00971AB8"/>
    <w:rsid w:val="00971D59"/>
    <w:rsid w:val="00971ED0"/>
    <w:rsid w:val="00972041"/>
    <w:rsid w:val="0097243A"/>
    <w:rsid w:val="0097274B"/>
    <w:rsid w:val="00973023"/>
    <w:rsid w:val="0097326A"/>
    <w:rsid w:val="00973AD0"/>
    <w:rsid w:val="00973D6E"/>
    <w:rsid w:val="00973E11"/>
    <w:rsid w:val="00973F74"/>
    <w:rsid w:val="00974B9D"/>
    <w:rsid w:val="00974FEB"/>
    <w:rsid w:val="009750D1"/>
    <w:rsid w:val="00975BB0"/>
    <w:rsid w:val="00976013"/>
    <w:rsid w:val="009763FC"/>
    <w:rsid w:val="00976552"/>
    <w:rsid w:val="00976C53"/>
    <w:rsid w:val="00976FFC"/>
    <w:rsid w:val="009771E4"/>
    <w:rsid w:val="00977387"/>
    <w:rsid w:val="009801C4"/>
    <w:rsid w:val="0098047D"/>
    <w:rsid w:val="00980BAD"/>
    <w:rsid w:val="00980C38"/>
    <w:rsid w:val="00981244"/>
    <w:rsid w:val="0098139A"/>
    <w:rsid w:val="00981B25"/>
    <w:rsid w:val="00981F3F"/>
    <w:rsid w:val="00983382"/>
    <w:rsid w:val="0098344D"/>
    <w:rsid w:val="00983972"/>
    <w:rsid w:val="00985762"/>
    <w:rsid w:val="00985C6D"/>
    <w:rsid w:val="00985C7F"/>
    <w:rsid w:val="00985DA9"/>
    <w:rsid w:val="009861A9"/>
    <w:rsid w:val="009863F4"/>
    <w:rsid w:val="009868ED"/>
    <w:rsid w:val="00986CD3"/>
    <w:rsid w:val="0098709F"/>
    <w:rsid w:val="009870B1"/>
    <w:rsid w:val="00987442"/>
    <w:rsid w:val="009874B8"/>
    <w:rsid w:val="00987559"/>
    <w:rsid w:val="00987823"/>
    <w:rsid w:val="00987983"/>
    <w:rsid w:val="00990103"/>
    <w:rsid w:val="0099011A"/>
    <w:rsid w:val="00990297"/>
    <w:rsid w:val="009903AA"/>
    <w:rsid w:val="00990452"/>
    <w:rsid w:val="0099063F"/>
    <w:rsid w:val="009907C9"/>
    <w:rsid w:val="009915D1"/>
    <w:rsid w:val="0099163C"/>
    <w:rsid w:val="00991A9A"/>
    <w:rsid w:val="00991CFE"/>
    <w:rsid w:val="00992121"/>
    <w:rsid w:val="00992B64"/>
    <w:rsid w:val="00992C7D"/>
    <w:rsid w:val="00992C86"/>
    <w:rsid w:val="00992DE9"/>
    <w:rsid w:val="00992E88"/>
    <w:rsid w:val="009930F5"/>
    <w:rsid w:val="00993A74"/>
    <w:rsid w:val="0099420A"/>
    <w:rsid w:val="009942EE"/>
    <w:rsid w:val="0099483E"/>
    <w:rsid w:val="0099484F"/>
    <w:rsid w:val="00994C11"/>
    <w:rsid w:val="00994CA0"/>
    <w:rsid w:val="00994DBA"/>
    <w:rsid w:val="00994FF2"/>
    <w:rsid w:val="00995145"/>
    <w:rsid w:val="009954AF"/>
    <w:rsid w:val="009958D8"/>
    <w:rsid w:val="00995DAE"/>
    <w:rsid w:val="00995EAA"/>
    <w:rsid w:val="0099610A"/>
    <w:rsid w:val="009965B7"/>
    <w:rsid w:val="0099729D"/>
    <w:rsid w:val="0099776A"/>
    <w:rsid w:val="00997F98"/>
    <w:rsid w:val="009A0308"/>
    <w:rsid w:val="009A061C"/>
    <w:rsid w:val="009A0DEE"/>
    <w:rsid w:val="009A11C7"/>
    <w:rsid w:val="009A12DC"/>
    <w:rsid w:val="009A16E2"/>
    <w:rsid w:val="009A1817"/>
    <w:rsid w:val="009A1825"/>
    <w:rsid w:val="009A1A60"/>
    <w:rsid w:val="009A1BA7"/>
    <w:rsid w:val="009A27D3"/>
    <w:rsid w:val="009A2B4C"/>
    <w:rsid w:val="009A316C"/>
    <w:rsid w:val="009A3191"/>
    <w:rsid w:val="009A3321"/>
    <w:rsid w:val="009A3E00"/>
    <w:rsid w:val="009A3F10"/>
    <w:rsid w:val="009A4943"/>
    <w:rsid w:val="009A4A6D"/>
    <w:rsid w:val="009A4F88"/>
    <w:rsid w:val="009A5050"/>
    <w:rsid w:val="009A51A9"/>
    <w:rsid w:val="009A5D90"/>
    <w:rsid w:val="009A6575"/>
    <w:rsid w:val="009A667D"/>
    <w:rsid w:val="009A68E3"/>
    <w:rsid w:val="009A6A1E"/>
    <w:rsid w:val="009A7383"/>
    <w:rsid w:val="009A78E5"/>
    <w:rsid w:val="009A793B"/>
    <w:rsid w:val="009A7994"/>
    <w:rsid w:val="009A7DAC"/>
    <w:rsid w:val="009B0422"/>
    <w:rsid w:val="009B07A5"/>
    <w:rsid w:val="009B0C1B"/>
    <w:rsid w:val="009B0FB1"/>
    <w:rsid w:val="009B0FB2"/>
    <w:rsid w:val="009B102E"/>
    <w:rsid w:val="009B1E9C"/>
    <w:rsid w:val="009B2103"/>
    <w:rsid w:val="009B26E4"/>
    <w:rsid w:val="009B2E0B"/>
    <w:rsid w:val="009B37AA"/>
    <w:rsid w:val="009B389B"/>
    <w:rsid w:val="009B3993"/>
    <w:rsid w:val="009B3BFC"/>
    <w:rsid w:val="009B3CD1"/>
    <w:rsid w:val="009B3F24"/>
    <w:rsid w:val="009B4224"/>
    <w:rsid w:val="009B4546"/>
    <w:rsid w:val="009B4615"/>
    <w:rsid w:val="009B4927"/>
    <w:rsid w:val="009B4BF9"/>
    <w:rsid w:val="009B4D9E"/>
    <w:rsid w:val="009B5127"/>
    <w:rsid w:val="009B557A"/>
    <w:rsid w:val="009B5B80"/>
    <w:rsid w:val="009B65B1"/>
    <w:rsid w:val="009B7914"/>
    <w:rsid w:val="009B79CE"/>
    <w:rsid w:val="009B7D62"/>
    <w:rsid w:val="009C003E"/>
    <w:rsid w:val="009C023E"/>
    <w:rsid w:val="009C033B"/>
    <w:rsid w:val="009C0490"/>
    <w:rsid w:val="009C0568"/>
    <w:rsid w:val="009C0A67"/>
    <w:rsid w:val="009C0A99"/>
    <w:rsid w:val="009C0ACB"/>
    <w:rsid w:val="009C0BE9"/>
    <w:rsid w:val="009C0C39"/>
    <w:rsid w:val="009C0CDD"/>
    <w:rsid w:val="009C1360"/>
    <w:rsid w:val="009C1A31"/>
    <w:rsid w:val="009C1E5E"/>
    <w:rsid w:val="009C1EBC"/>
    <w:rsid w:val="009C25B8"/>
    <w:rsid w:val="009C289E"/>
    <w:rsid w:val="009C28F1"/>
    <w:rsid w:val="009C295C"/>
    <w:rsid w:val="009C2D6F"/>
    <w:rsid w:val="009C30D6"/>
    <w:rsid w:val="009C3193"/>
    <w:rsid w:val="009C34E7"/>
    <w:rsid w:val="009C362B"/>
    <w:rsid w:val="009C36F9"/>
    <w:rsid w:val="009C3F2B"/>
    <w:rsid w:val="009C40FA"/>
    <w:rsid w:val="009C413A"/>
    <w:rsid w:val="009C49A0"/>
    <w:rsid w:val="009C4EA7"/>
    <w:rsid w:val="009C4F04"/>
    <w:rsid w:val="009C5939"/>
    <w:rsid w:val="009C59AD"/>
    <w:rsid w:val="009C59FE"/>
    <w:rsid w:val="009C7023"/>
    <w:rsid w:val="009C7104"/>
    <w:rsid w:val="009C72EC"/>
    <w:rsid w:val="009C72FA"/>
    <w:rsid w:val="009C762F"/>
    <w:rsid w:val="009C7A5F"/>
    <w:rsid w:val="009C7B46"/>
    <w:rsid w:val="009C7B5E"/>
    <w:rsid w:val="009C7C13"/>
    <w:rsid w:val="009C7DA7"/>
    <w:rsid w:val="009C7E9A"/>
    <w:rsid w:val="009C7F4B"/>
    <w:rsid w:val="009D0008"/>
    <w:rsid w:val="009D00C1"/>
    <w:rsid w:val="009D0259"/>
    <w:rsid w:val="009D0B69"/>
    <w:rsid w:val="009D0CAA"/>
    <w:rsid w:val="009D13E4"/>
    <w:rsid w:val="009D1680"/>
    <w:rsid w:val="009D19D5"/>
    <w:rsid w:val="009D2266"/>
    <w:rsid w:val="009D2560"/>
    <w:rsid w:val="009D2990"/>
    <w:rsid w:val="009D2C1A"/>
    <w:rsid w:val="009D2C46"/>
    <w:rsid w:val="009D2CEA"/>
    <w:rsid w:val="009D3041"/>
    <w:rsid w:val="009D316D"/>
    <w:rsid w:val="009D31CD"/>
    <w:rsid w:val="009D330C"/>
    <w:rsid w:val="009D3830"/>
    <w:rsid w:val="009D390D"/>
    <w:rsid w:val="009D3972"/>
    <w:rsid w:val="009D4082"/>
    <w:rsid w:val="009D411A"/>
    <w:rsid w:val="009D44AC"/>
    <w:rsid w:val="009D459D"/>
    <w:rsid w:val="009D4700"/>
    <w:rsid w:val="009D47C1"/>
    <w:rsid w:val="009D4805"/>
    <w:rsid w:val="009D4EED"/>
    <w:rsid w:val="009D4F33"/>
    <w:rsid w:val="009D548A"/>
    <w:rsid w:val="009D57A6"/>
    <w:rsid w:val="009D59DD"/>
    <w:rsid w:val="009D5AF3"/>
    <w:rsid w:val="009D5F16"/>
    <w:rsid w:val="009D60F4"/>
    <w:rsid w:val="009D642A"/>
    <w:rsid w:val="009D66C2"/>
    <w:rsid w:val="009D6B4E"/>
    <w:rsid w:val="009D6D56"/>
    <w:rsid w:val="009D7052"/>
    <w:rsid w:val="009D7320"/>
    <w:rsid w:val="009D787A"/>
    <w:rsid w:val="009D79E4"/>
    <w:rsid w:val="009D7E1B"/>
    <w:rsid w:val="009E080B"/>
    <w:rsid w:val="009E0C3C"/>
    <w:rsid w:val="009E1728"/>
    <w:rsid w:val="009E1D3B"/>
    <w:rsid w:val="009E20D1"/>
    <w:rsid w:val="009E22E2"/>
    <w:rsid w:val="009E2D49"/>
    <w:rsid w:val="009E2EF4"/>
    <w:rsid w:val="009E307C"/>
    <w:rsid w:val="009E30CF"/>
    <w:rsid w:val="009E33ED"/>
    <w:rsid w:val="009E38FE"/>
    <w:rsid w:val="009E40D9"/>
    <w:rsid w:val="009E4D93"/>
    <w:rsid w:val="009E55BF"/>
    <w:rsid w:val="009E5BAC"/>
    <w:rsid w:val="009E6385"/>
    <w:rsid w:val="009E642E"/>
    <w:rsid w:val="009E656C"/>
    <w:rsid w:val="009E6830"/>
    <w:rsid w:val="009E6A51"/>
    <w:rsid w:val="009F036F"/>
    <w:rsid w:val="009F0813"/>
    <w:rsid w:val="009F0876"/>
    <w:rsid w:val="009F0A55"/>
    <w:rsid w:val="009F0BAF"/>
    <w:rsid w:val="009F0D10"/>
    <w:rsid w:val="009F11B0"/>
    <w:rsid w:val="009F12F3"/>
    <w:rsid w:val="009F1B54"/>
    <w:rsid w:val="009F1C96"/>
    <w:rsid w:val="009F1CF2"/>
    <w:rsid w:val="009F1FD4"/>
    <w:rsid w:val="009F22AE"/>
    <w:rsid w:val="009F22C1"/>
    <w:rsid w:val="009F2628"/>
    <w:rsid w:val="009F26EA"/>
    <w:rsid w:val="009F2865"/>
    <w:rsid w:val="009F2A03"/>
    <w:rsid w:val="009F2DE7"/>
    <w:rsid w:val="009F3403"/>
    <w:rsid w:val="009F35E5"/>
    <w:rsid w:val="009F406F"/>
    <w:rsid w:val="009F424B"/>
    <w:rsid w:val="009F431C"/>
    <w:rsid w:val="009F4352"/>
    <w:rsid w:val="009F45BF"/>
    <w:rsid w:val="009F470D"/>
    <w:rsid w:val="009F4E8F"/>
    <w:rsid w:val="009F4EF4"/>
    <w:rsid w:val="009F522D"/>
    <w:rsid w:val="009F53F3"/>
    <w:rsid w:val="009F55FD"/>
    <w:rsid w:val="009F591F"/>
    <w:rsid w:val="009F642C"/>
    <w:rsid w:val="009F64E8"/>
    <w:rsid w:val="009F6F64"/>
    <w:rsid w:val="009F7017"/>
    <w:rsid w:val="009F7BF9"/>
    <w:rsid w:val="00A001E2"/>
    <w:rsid w:val="00A0045D"/>
    <w:rsid w:val="00A00502"/>
    <w:rsid w:val="00A00904"/>
    <w:rsid w:val="00A0090C"/>
    <w:rsid w:val="00A0100F"/>
    <w:rsid w:val="00A013ED"/>
    <w:rsid w:val="00A01C30"/>
    <w:rsid w:val="00A01C54"/>
    <w:rsid w:val="00A01EA6"/>
    <w:rsid w:val="00A01EB8"/>
    <w:rsid w:val="00A02439"/>
    <w:rsid w:val="00A027B1"/>
    <w:rsid w:val="00A03201"/>
    <w:rsid w:val="00A032AC"/>
    <w:rsid w:val="00A03A28"/>
    <w:rsid w:val="00A03B5F"/>
    <w:rsid w:val="00A03C1C"/>
    <w:rsid w:val="00A03FB7"/>
    <w:rsid w:val="00A04663"/>
    <w:rsid w:val="00A04720"/>
    <w:rsid w:val="00A047A4"/>
    <w:rsid w:val="00A04B86"/>
    <w:rsid w:val="00A04F10"/>
    <w:rsid w:val="00A04F1C"/>
    <w:rsid w:val="00A052EB"/>
    <w:rsid w:val="00A05433"/>
    <w:rsid w:val="00A058F9"/>
    <w:rsid w:val="00A0623E"/>
    <w:rsid w:val="00A069CB"/>
    <w:rsid w:val="00A06C7F"/>
    <w:rsid w:val="00A06E05"/>
    <w:rsid w:val="00A06F82"/>
    <w:rsid w:val="00A07263"/>
    <w:rsid w:val="00A07F43"/>
    <w:rsid w:val="00A10483"/>
    <w:rsid w:val="00A1063F"/>
    <w:rsid w:val="00A113B2"/>
    <w:rsid w:val="00A11794"/>
    <w:rsid w:val="00A11CA3"/>
    <w:rsid w:val="00A11E4D"/>
    <w:rsid w:val="00A1211F"/>
    <w:rsid w:val="00A12407"/>
    <w:rsid w:val="00A12663"/>
    <w:rsid w:val="00A12E97"/>
    <w:rsid w:val="00A13077"/>
    <w:rsid w:val="00A134BA"/>
    <w:rsid w:val="00A134D8"/>
    <w:rsid w:val="00A137C8"/>
    <w:rsid w:val="00A138D2"/>
    <w:rsid w:val="00A13E40"/>
    <w:rsid w:val="00A14266"/>
    <w:rsid w:val="00A14B79"/>
    <w:rsid w:val="00A15240"/>
    <w:rsid w:val="00A15357"/>
    <w:rsid w:val="00A1537E"/>
    <w:rsid w:val="00A154CD"/>
    <w:rsid w:val="00A156FA"/>
    <w:rsid w:val="00A1587A"/>
    <w:rsid w:val="00A15B42"/>
    <w:rsid w:val="00A15C65"/>
    <w:rsid w:val="00A1714A"/>
    <w:rsid w:val="00A1725C"/>
    <w:rsid w:val="00A1734A"/>
    <w:rsid w:val="00A17FC6"/>
    <w:rsid w:val="00A202AF"/>
    <w:rsid w:val="00A20472"/>
    <w:rsid w:val="00A20C10"/>
    <w:rsid w:val="00A20CA7"/>
    <w:rsid w:val="00A212C9"/>
    <w:rsid w:val="00A2164C"/>
    <w:rsid w:val="00A21742"/>
    <w:rsid w:val="00A2186F"/>
    <w:rsid w:val="00A21E6F"/>
    <w:rsid w:val="00A2206D"/>
    <w:rsid w:val="00A22105"/>
    <w:rsid w:val="00A224DE"/>
    <w:rsid w:val="00A22686"/>
    <w:rsid w:val="00A22A23"/>
    <w:rsid w:val="00A23019"/>
    <w:rsid w:val="00A233F9"/>
    <w:rsid w:val="00A23B3A"/>
    <w:rsid w:val="00A23C48"/>
    <w:rsid w:val="00A23F41"/>
    <w:rsid w:val="00A23F58"/>
    <w:rsid w:val="00A24624"/>
    <w:rsid w:val="00A24AD6"/>
    <w:rsid w:val="00A24EC1"/>
    <w:rsid w:val="00A256BB"/>
    <w:rsid w:val="00A25BC9"/>
    <w:rsid w:val="00A25D30"/>
    <w:rsid w:val="00A2613A"/>
    <w:rsid w:val="00A2785C"/>
    <w:rsid w:val="00A27A51"/>
    <w:rsid w:val="00A27D5A"/>
    <w:rsid w:val="00A302F5"/>
    <w:rsid w:val="00A304AE"/>
    <w:rsid w:val="00A30CD7"/>
    <w:rsid w:val="00A30DD1"/>
    <w:rsid w:val="00A31105"/>
    <w:rsid w:val="00A3113A"/>
    <w:rsid w:val="00A3133F"/>
    <w:rsid w:val="00A31373"/>
    <w:rsid w:val="00A31869"/>
    <w:rsid w:val="00A31A8A"/>
    <w:rsid w:val="00A31E0C"/>
    <w:rsid w:val="00A32227"/>
    <w:rsid w:val="00A3235A"/>
    <w:rsid w:val="00A3263D"/>
    <w:rsid w:val="00A328F4"/>
    <w:rsid w:val="00A32CB7"/>
    <w:rsid w:val="00A33011"/>
    <w:rsid w:val="00A333E5"/>
    <w:rsid w:val="00A33841"/>
    <w:rsid w:val="00A33872"/>
    <w:rsid w:val="00A33DDA"/>
    <w:rsid w:val="00A3442C"/>
    <w:rsid w:val="00A3449E"/>
    <w:rsid w:val="00A34BEB"/>
    <w:rsid w:val="00A3557C"/>
    <w:rsid w:val="00A35742"/>
    <w:rsid w:val="00A3608B"/>
    <w:rsid w:val="00A360E3"/>
    <w:rsid w:val="00A36148"/>
    <w:rsid w:val="00A36571"/>
    <w:rsid w:val="00A36582"/>
    <w:rsid w:val="00A3661B"/>
    <w:rsid w:val="00A367A9"/>
    <w:rsid w:val="00A36884"/>
    <w:rsid w:val="00A36A29"/>
    <w:rsid w:val="00A36DF2"/>
    <w:rsid w:val="00A36E70"/>
    <w:rsid w:val="00A36F63"/>
    <w:rsid w:val="00A370B3"/>
    <w:rsid w:val="00A374BA"/>
    <w:rsid w:val="00A40202"/>
    <w:rsid w:val="00A4028C"/>
    <w:rsid w:val="00A403FD"/>
    <w:rsid w:val="00A40D01"/>
    <w:rsid w:val="00A41070"/>
    <w:rsid w:val="00A41378"/>
    <w:rsid w:val="00A415D8"/>
    <w:rsid w:val="00A41729"/>
    <w:rsid w:val="00A41AB9"/>
    <w:rsid w:val="00A41AE1"/>
    <w:rsid w:val="00A42491"/>
    <w:rsid w:val="00A425C8"/>
    <w:rsid w:val="00A42B8B"/>
    <w:rsid w:val="00A42CB6"/>
    <w:rsid w:val="00A4307D"/>
    <w:rsid w:val="00A4315F"/>
    <w:rsid w:val="00A43571"/>
    <w:rsid w:val="00A43714"/>
    <w:rsid w:val="00A43B9B"/>
    <w:rsid w:val="00A43D4B"/>
    <w:rsid w:val="00A43E29"/>
    <w:rsid w:val="00A43F15"/>
    <w:rsid w:val="00A447A2"/>
    <w:rsid w:val="00A4517B"/>
    <w:rsid w:val="00A4526B"/>
    <w:rsid w:val="00A452AD"/>
    <w:rsid w:val="00A452DC"/>
    <w:rsid w:val="00A45578"/>
    <w:rsid w:val="00A458F8"/>
    <w:rsid w:val="00A45CEB"/>
    <w:rsid w:val="00A4612E"/>
    <w:rsid w:val="00A4627C"/>
    <w:rsid w:val="00A4668B"/>
    <w:rsid w:val="00A46959"/>
    <w:rsid w:val="00A46BBA"/>
    <w:rsid w:val="00A46C74"/>
    <w:rsid w:val="00A47004"/>
    <w:rsid w:val="00A4721F"/>
    <w:rsid w:val="00A479CC"/>
    <w:rsid w:val="00A47D9A"/>
    <w:rsid w:val="00A509EE"/>
    <w:rsid w:val="00A50BB5"/>
    <w:rsid w:val="00A510F2"/>
    <w:rsid w:val="00A515D0"/>
    <w:rsid w:val="00A517D3"/>
    <w:rsid w:val="00A51B57"/>
    <w:rsid w:val="00A51EC1"/>
    <w:rsid w:val="00A51F68"/>
    <w:rsid w:val="00A5265A"/>
    <w:rsid w:val="00A52884"/>
    <w:rsid w:val="00A52BB6"/>
    <w:rsid w:val="00A5332E"/>
    <w:rsid w:val="00A537E6"/>
    <w:rsid w:val="00A541C8"/>
    <w:rsid w:val="00A542EE"/>
    <w:rsid w:val="00A544E8"/>
    <w:rsid w:val="00A549B8"/>
    <w:rsid w:val="00A54A01"/>
    <w:rsid w:val="00A54AD7"/>
    <w:rsid w:val="00A54BDD"/>
    <w:rsid w:val="00A54D47"/>
    <w:rsid w:val="00A54EE5"/>
    <w:rsid w:val="00A55189"/>
    <w:rsid w:val="00A55202"/>
    <w:rsid w:val="00A556E8"/>
    <w:rsid w:val="00A55BC7"/>
    <w:rsid w:val="00A55D3A"/>
    <w:rsid w:val="00A5602F"/>
    <w:rsid w:val="00A56386"/>
    <w:rsid w:val="00A56896"/>
    <w:rsid w:val="00A56951"/>
    <w:rsid w:val="00A569CE"/>
    <w:rsid w:val="00A56A63"/>
    <w:rsid w:val="00A56DAE"/>
    <w:rsid w:val="00A57031"/>
    <w:rsid w:val="00A570C0"/>
    <w:rsid w:val="00A576D7"/>
    <w:rsid w:val="00A57833"/>
    <w:rsid w:val="00A601D8"/>
    <w:rsid w:val="00A602D2"/>
    <w:rsid w:val="00A60522"/>
    <w:rsid w:val="00A60ABB"/>
    <w:rsid w:val="00A611B6"/>
    <w:rsid w:val="00A6148D"/>
    <w:rsid w:val="00A615EC"/>
    <w:rsid w:val="00A61C33"/>
    <w:rsid w:val="00A61E75"/>
    <w:rsid w:val="00A61FFD"/>
    <w:rsid w:val="00A62219"/>
    <w:rsid w:val="00A62307"/>
    <w:rsid w:val="00A62384"/>
    <w:rsid w:val="00A6279D"/>
    <w:rsid w:val="00A63649"/>
    <w:rsid w:val="00A6373D"/>
    <w:rsid w:val="00A6383B"/>
    <w:rsid w:val="00A64A6F"/>
    <w:rsid w:val="00A64FBF"/>
    <w:rsid w:val="00A65139"/>
    <w:rsid w:val="00A654A0"/>
    <w:rsid w:val="00A6565F"/>
    <w:rsid w:val="00A65805"/>
    <w:rsid w:val="00A65947"/>
    <w:rsid w:val="00A65C62"/>
    <w:rsid w:val="00A65EB4"/>
    <w:rsid w:val="00A66245"/>
    <w:rsid w:val="00A66441"/>
    <w:rsid w:val="00A664FA"/>
    <w:rsid w:val="00A6655A"/>
    <w:rsid w:val="00A668AC"/>
    <w:rsid w:val="00A668D1"/>
    <w:rsid w:val="00A66B66"/>
    <w:rsid w:val="00A6761F"/>
    <w:rsid w:val="00A67B18"/>
    <w:rsid w:val="00A67B62"/>
    <w:rsid w:val="00A67E6C"/>
    <w:rsid w:val="00A70533"/>
    <w:rsid w:val="00A717D3"/>
    <w:rsid w:val="00A71A4A"/>
    <w:rsid w:val="00A71C30"/>
    <w:rsid w:val="00A71D77"/>
    <w:rsid w:val="00A723D5"/>
    <w:rsid w:val="00A72402"/>
    <w:rsid w:val="00A72710"/>
    <w:rsid w:val="00A72ACA"/>
    <w:rsid w:val="00A73927"/>
    <w:rsid w:val="00A73D1E"/>
    <w:rsid w:val="00A74496"/>
    <w:rsid w:val="00A751E4"/>
    <w:rsid w:val="00A752B1"/>
    <w:rsid w:val="00A753B8"/>
    <w:rsid w:val="00A757C3"/>
    <w:rsid w:val="00A7582C"/>
    <w:rsid w:val="00A75997"/>
    <w:rsid w:val="00A76142"/>
    <w:rsid w:val="00A762BD"/>
    <w:rsid w:val="00A76428"/>
    <w:rsid w:val="00A76634"/>
    <w:rsid w:val="00A76671"/>
    <w:rsid w:val="00A7670D"/>
    <w:rsid w:val="00A76854"/>
    <w:rsid w:val="00A7700F"/>
    <w:rsid w:val="00A777D2"/>
    <w:rsid w:val="00A77C51"/>
    <w:rsid w:val="00A77C69"/>
    <w:rsid w:val="00A77D1F"/>
    <w:rsid w:val="00A80240"/>
    <w:rsid w:val="00A8093E"/>
    <w:rsid w:val="00A8096A"/>
    <w:rsid w:val="00A8101B"/>
    <w:rsid w:val="00A81342"/>
    <w:rsid w:val="00A814C4"/>
    <w:rsid w:val="00A815F7"/>
    <w:rsid w:val="00A817A2"/>
    <w:rsid w:val="00A818C7"/>
    <w:rsid w:val="00A81E34"/>
    <w:rsid w:val="00A81F1B"/>
    <w:rsid w:val="00A82452"/>
    <w:rsid w:val="00A8283D"/>
    <w:rsid w:val="00A82B7B"/>
    <w:rsid w:val="00A82D1A"/>
    <w:rsid w:val="00A82F4B"/>
    <w:rsid w:val="00A8302F"/>
    <w:rsid w:val="00A83117"/>
    <w:rsid w:val="00A83A22"/>
    <w:rsid w:val="00A83DCA"/>
    <w:rsid w:val="00A83F42"/>
    <w:rsid w:val="00A849FC"/>
    <w:rsid w:val="00A84E55"/>
    <w:rsid w:val="00A8507A"/>
    <w:rsid w:val="00A86581"/>
    <w:rsid w:val="00A86640"/>
    <w:rsid w:val="00A868BE"/>
    <w:rsid w:val="00A86D14"/>
    <w:rsid w:val="00A86E1F"/>
    <w:rsid w:val="00A87224"/>
    <w:rsid w:val="00A873D4"/>
    <w:rsid w:val="00A874CE"/>
    <w:rsid w:val="00A8756B"/>
    <w:rsid w:val="00A878E4"/>
    <w:rsid w:val="00A87A13"/>
    <w:rsid w:val="00A87DA2"/>
    <w:rsid w:val="00A87E0D"/>
    <w:rsid w:val="00A90031"/>
    <w:rsid w:val="00A90191"/>
    <w:rsid w:val="00A901D7"/>
    <w:rsid w:val="00A90257"/>
    <w:rsid w:val="00A902A8"/>
    <w:rsid w:val="00A906CD"/>
    <w:rsid w:val="00A90872"/>
    <w:rsid w:val="00A908CC"/>
    <w:rsid w:val="00A90D0A"/>
    <w:rsid w:val="00A91655"/>
    <w:rsid w:val="00A9190C"/>
    <w:rsid w:val="00A9198B"/>
    <w:rsid w:val="00A91B09"/>
    <w:rsid w:val="00A91B57"/>
    <w:rsid w:val="00A91B7F"/>
    <w:rsid w:val="00A91BAF"/>
    <w:rsid w:val="00A922BB"/>
    <w:rsid w:val="00A92813"/>
    <w:rsid w:val="00A92A24"/>
    <w:rsid w:val="00A92E75"/>
    <w:rsid w:val="00A9337E"/>
    <w:rsid w:val="00A9345E"/>
    <w:rsid w:val="00A937B3"/>
    <w:rsid w:val="00A93B85"/>
    <w:rsid w:val="00A93FEA"/>
    <w:rsid w:val="00A9420F"/>
    <w:rsid w:val="00A9458F"/>
    <w:rsid w:val="00A949F2"/>
    <w:rsid w:val="00A94A90"/>
    <w:rsid w:val="00A94E4F"/>
    <w:rsid w:val="00A95362"/>
    <w:rsid w:val="00A95965"/>
    <w:rsid w:val="00A9622F"/>
    <w:rsid w:val="00A96590"/>
    <w:rsid w:val="00A96612"/>
    <w:rsid w:val="00A96766"/>
    <w:rsid w:val="00A9688A"/>
    <w:rsid w:val="00A96E2F"/>
    <w:rsid w:val="00A97275"/>
    <w:rsid w:val="00A97628"/>
    <w:rsid w:val="00A9799D"/>
    <w:rsid w:val="00AA0019"/>
    <w:rsid w:val="00AA089C"/>
    <w:rsid w:val="00AA0BD3"/>
    <w:rsid w:val="00AA0D5B"/>
    <w:rsid w:val="00AA1115"/>
    <w:rsid w:val="00AA14D7"/>
    <w:rsid w:val="00AA155D"/>
    <w:rsid w:val="00AA1751"/>
    <w:rsid w:val="00AA19CB"/>
    <w:rsid w:val="00AA1F95"/>
    <w:rsid w:val="00AA251D"/>
    <w:rsid w:val="00AA2B2E"/>
    <w:rsid w:val="00AA2CAB"/>
    <w:rsid w:val="00AA2CBA"/>
    <w:rsid w:val="00AA2DDD"/>
    <w:rsid w:val="00AA30D4"/>
    <w:rsid w:val="00AA3193"/>
    <w:rsid w:val="00AA3667"/>
    <w:rsid w:val="00AA380C"/>
    <w:rsid w:val="00AA3950"/>
    <w:rsid w:val="00AA3964"/>
    <w:rsid w:val="00AA3DF4"/>
    <w:rsid w:val="00AA40AC"/>
    <w:rsid w:val="00AA4AB6"/>
    <w:rsid w:val="00AA5115"/>
    <w:rsid w:val="00AA511E"/>
    <w:rsid w:val="00AA54B0"/>
    <w:rsid w:val="00AA54D2"/>
    <w:rsid w:val="00AA5561"/>
    <w:rsid w:val="00AA5B2F"/>
    <w:rsid w:val="00AA5C48"/>
    <w:rsid w:val="00AA5CED"/>
    <w:rsid w:val="00AA6360"/>
    <w:rsid w:val="00AA647C"/>
    <w:rsid w:val="00AA653D"/>
    <w:rsid w:val="00AA68B2"/>
    <w:rsid w:val="00AA69EA"/>
    <w:rsid w:val="00AA6C54"/>
    <w:rsid w:val="00AA6FFB"/>
    <w:rsid w:val="00AA7152"/>
    <w:rsid w:val="00AA736C"/>
    <w:rsid w:val="00AA7470"/>
    <w:rsid w:val="00AA7825"/>
    <w:rsid w:val="00AA7A38"/>
    <w:rsid w:val="00AA7B45"/>
    <w:rsid w:val="00AA7C58"/>
    <w:rsid w:val="00AA7C63"/>
    <w:rsid w:val="00AA7F84"/>
    <w:rsid w:val="00AB00F0"/>
    <w:rsid w:val="00AB0325"/>
    <w:rsid w:val="00AB0BEB"/>
    <w:rsid w:val="00AB0C95"/>
    <w:rsid w:val="00AB0E74"/>
    <w:rsid w:val="00AB0EAC"/>
    <w:rsid w:val="00AB19A8"/>
    <w:rsid w:val="00AB1E83"/>
    <w:rsid w:val="00AB1F58"/>
    <w:rsid w:val="00AB21DA"/>
    <w:rsid w:val="00AB225C"/>
    <w:rsid w:val="00AB2467"/>
    <w:rsid w:val="00AB25A4"/>
    <w:rsid w:val="00AB28A7"/>
    <w:rsid w:val="00AB292E"/>
    <w:rsid w:val="00AB2CA4"/>
    <w:rsid w:val="00AB304C"/>
    <w:rsid w:val="00AB31E8"/>
    <w:rsid w:val="00AB3B2D"/>
    <w:rsid w:val="00AB3BA1"/>
    <w:rsid w:val="00AB3D10"/>
    <w:rsid w:val="00AB4026"/>
    <w:rsid w:val="00AB40C7"/>
    <w:rsid w:val="00AB4ABB"/>
    <w:rsid w:val="00AB4BD9"/>
    <w:rsid w:val="00AB5121"/>
    <w:rsid w:val="00AB5461"/>
    <w:rsid w:val="00AB565A"/>
    <w:rsid w:val="00AB59B8"/>
    <w:rsid w:val="00AB6515"/>
    <w:rsid w:val="00AB6531"/>
    <w:rsid w:val="00AB67A6"/>
    <w:rsid w:val="00AB6CCA"/>
    <w:rsid w:val="00AB6F2A"/>
    <w:rsid w:val="00AB6F67"/>
    <w:rsid w:val="00AB786F"/>
    <w:rsid w:val="00AC01A5"/>
    <w:rsid w:val="00AC0313"/>
    <w:rsid w:val="00AC093B"/>
    <w:rsid w:val="00AC0D1C"/>
    <w:rsid w:val="00AC12B8"/>
    <w:rsid w:val="00AC14FC"/>
    <w:rsid w:val="00AC171B"/>
    <w:rsid w:val="00AC183B"/>
    <w:rsid w:val="00AC1ACD"/>
    <w:rsid w:val="00AC2186"/>
    <w:rsid w:val="00AC2AFF"/>
    <w:rsid w:val="00AC2D9E"/>
    <w:rsid w:val="00AC36A2"/>
    <w:rsid w:val="00AC3860"/>
    <w:rsid w:val="00AC3E67"/>
    <w:rsid w:val="00AC406E"/>
    <w:rsid w:val="00AC4234"/>
    <w:rsid w:val="00AC457B"/>
    <w:rsid w:val="00AC50BB"/>
    <w:rsid w:val="00AC51A5"/>
    <w:rsid w:val="00AC52D9"/>
    <w:rsid w:val="00AC5979"/>
    <w:rsid w:val="00AC5C4C"/>
    <w:rsid w:val="00AC5D7B"/>
    <w:rsid w:val="00AC5DC7"/>
    <w:rsid w:val="00AC6742"/>
    <w:rsid w:val="00AC682A"/>
    <w:rsid w:val="00AC6BE6"/>
    <w:rsid w:val="00AC6D7D"/>
    <w:rsid w:val="00AC6F33"/>
    <w:rsid w:val="00AC6F94"/>
    <w:rsid w:val="00AC7151"/>
    <w:rsid w:val="00AC7173"/>
    <w:rsid w:val="00AC75B2"/>
    <w:rsid w:val="00AC7C16"/>
    <w:rsid w:val="00AC7D2D"/>
    <w:rsid w:val="00AC7D64"/>
    <w:rsid w:val="00AC7D83"/>
    <w:rsid w:val="00AC7E3C"/>
    <w:rsid w:val="00AD0481"/>
    <w:rsid w:val="00AD04D3"/>
    <w:rsid w:val="00AD07B3"/>
    <w:rsid w:val="00AD0810"/>
    <w:rsid w:val="00AD09BA"/>
    <w:rsid w:val="00AD0B01"/>
    <w:rsid w:val="00AD0CD3"/>
    <w:rsid w:val="00AD1081"/>
    <w:rsid w:val="00AD124E"/>
    <w:rsid w:val="00AD1949"/>
    <w:rsid w:val="00AD1A09"/>
    <w:rsid w:val="00AD1B87"/>
    <w:rsid w:val="00AD1DDD"/>
    <w:rsid w:val="00AD21B2"/>
    <w:rsid w:val="00AD29E0"/>
    <w:rsid w:val="00AD2C30"/>
    <w:rsid w:val="00AD3BBD"/>
    <w:rsid w:val="00AD4A3C"/>
    <w:rsid w:val="00AD4A89"/>
    <w:rsid w:val="00AD4E42"/>
    <w:rsid w:val="00AD5117"/>
    <w:rsid w:val="00AD53C1"/>
    <w:rsid w:val="00AD547D"/>
    <w:rsid w:val="00AD5827"/>
    <w:rsid w:val="00AD591C"/>
    <w:rsid w:val="00AD5BA9"/>
    <w:rsid w:val="00AD60CF"/>
    <w:rsid w:val="00AD6662"/>
    <w:rsid w:val="00AD6A88"/>
    <w:rsid w:val="00AD6F42"/>
    <w:rsid w:val="00AD6F61"/>
    <w:rsid w:val="00AD70BB"/>
    <w:rsid w:val="00AD73C0"/>
    <w:rsid w:val="00AD77D1"/>
    <w:rsid w:val="00AD7B8A"/>
    <w:rsid w:val="00AE02FE"/>
    <w:rsid w:val="00AE062E"/>
    <w:rsid w:val="00AE0830"/>
    <w:rsid w:val="00AE0895"/>
    <w:rsid w:val="00AE0916"/>
    <w:rsid w:val="00AE0AD3"/>
    <w:rsid w:val="00AE1227"/>
    <w:rsid w:val="00AE1751"/>
    <w:rsid w:val="00AE19A0"/>
    <w:rsid w:val="00AE22B8"/>
    <w:rsid w:val="00AE23F9"/>
    <w:rsid w:val="00AE271A"/>
    <w:rsid w:val="00AE2C2C"/>
    <w:rsid w:val="00AE2DC1"/>
    <w:rsid w:val="00AE3053"/>
    <w:rsid w:val="00AE36CC"/>
    <w:rsid w:val="00AE3748"/>
    <w:rsid w:val="00AE3B37"/>
    <w:rsid w:val="00AE3C64"/>
    <w:rsid w:val="00AE3CC7"/>
    <w:rsid w:val="00AE3F2C"/>
    <w:rsid w:val="00AE41B8"/>
    <w:rsid w:val="00AE455B"/>
    <w:rsid w:val="00AE4DB4"/>
    <w:rsid w:val="00AE4EE4"/>
    <w:rsid w:val="00AE51D7"/>
    <w:rsid w:val="00AE521B"/>
    <w:rsid w:val="00AE65B3"/>
    <w:rsid w:val="00AE68C3"/>
    <w:rsid w:val="00AE6FF1"/>
    <w:rsid w:val="00AE73C3"/>
    <w:rsid w:val="00AE76CF"/>
    <w:rsid w:val="00AF00F1"/>
    <w:rsid w:val="00AF089A"/>
    <w:rsid w:val="00AF08FF"/>
    <w:rsid w:val="00AF09D3"/>
    <w:rsid w:val="00AF0AA5"/>
    <w:rsid w:val="00AF0CAA"/>
    <w:rsid w:val="00AF0CB8"/>
    <w:rsid w:val="00AF0F0D"/>
    <w:rsid w:val="00AF0FCE"/>
    <w:rsid w:val="00AF1A26"/>
    <w:rsid w:val="00AF2382"/>
    <w:rsid w:val="00AF25A4"/>
    <w:rsid w:val="00AF274B"/>
    <w:rsid w:val="00AF2BF1"/>
    <w:rsid w:val="00AF2D0E"/>
    <w:rsid w:val="00AF37DA"/>
    <w:rsid w:val="00AF37FE"/>
    <w:rsid w:val="00AF3CA7"/>
    <w:rsid w:val="00AF43CC"/>
    <w:rsid w:val="00AF4568"/>
    <w:rsid w:val="00AF48B3"/>
    <w:rsid w:val="00AF54AC"/>
    <w:rsid w:val="00AF5504"/>
    <w:rsid w:val="00AF5893"/>
    <w:rsid w:val="00AF59E4"/>
    <w:rsid w:val="00AF5D80"/>
    <w:rsid w:val="00AF5EE3"/>
    <w:rsid w:val="00AF61AA"/>
    <w:rsid w:val="00AF6F7F"/>
    <w:rsid w:val="00AF72B8"/>
    <w:rsid w:val="00AF76D5"/>
    <w:rsid w:val="00AF7B5C"/>
    <w:rsid w:val="00AF7F40"/>
    <w:rsid w:val="00B00127"/>
    <w:rsid w:val="00B008B5"/>
    <w:rsid w:val="00B00959"/>
    <w:rsid w:val="00B00BE7"/>
    <w:rsid w:val="00B00DEF"/>
    <w:rsid w:val="00B00E73"/>
    <w:rsid w:val="00B00EFA"/>
    <w:rsid w:val="00B01176"/>
    <w:rsid w:val="00B028E4"/>
    <w:rsid w:val="00B0341E"/>
    <w:rsid w:val="00B03BDD"/>
    <w:rsid w:val="00B03E70"/>
    <w:rsid w:val="00B04E4F"/>
    <w:rsid w:val="00B04F70"/>
    <w:rsid w:val="00B05289"/>
    <w:rsid w:val="00B059A9"/>
    <w:rsid w:val="00B05B28"/>
    <w:rsid w:val="00B05CCE"/>
    <w:rsid w:val="00B05FA5"/>
    <w:rsid w:val="00B062CD"/>
    <w:rsid w:val="00B06392"/>
    <w:rsid w:val="00B066BE"/>
    <w:rsid w:val="00B06B4F"/>
    <w:rsid w:val="00B06E01"/>
    <w:rsid w:val="00B071D4"/>
    <w:rsid w:val="00B07D95"/>
    <w:rsid w:val="00B100F7"/>
    <w:rsid w:val="00B1085A"/>
    <w:rsid w:val="00B10AB7"/>
    <w:rsid w:val="00B10B13"/>
    <w:rsid w:val="00B11528"/>
    <w:rsid w:val="00B116A6"/>
    <w:rsid w:val="00B11C93"/>
    <w:rsid w:val="00B12169"/>
    <w:rsid w:val="00B12316"/>
    <w:rsid w:val="00B1272B"/>
    <w:rsid w:val="00B12B42"/>
    <w:rsid w:val="00B1359E"/>
    <w:rsid w:val="00B13684"/>
    <w:rsid w:val="00B137E4"/>
    <w:rsid w:val="00B13D1F"/>
    <w:rsid w:val="00B13E4A"/>
    <w:rsid w:val="00B1413B"/>
    <w:rsid w:val="00B146F8"/>
    <w:rsid w:val="00B14C4D"/>
    <w:rsid w:val="00B14D53"/>
    <w:rsid w:val="00B14E03"/>
    <w:rsid w:val="00B14F35"/>
    <w:rsid w:val="00B1560A"/>
    <w:rsid w:val="00B157B4"/>
    <w:rsid w:val="00B15891"/>
    <w:rsid w:val="00B15C5F"/>
    <w:rsid w:val="00B15CB1"/>
    <w:rsid w:val="00B15FBF"/>
    <w:rsid w:val="00B15FF8"/>
    <w:rsid w:val="00B16194"/>
    <w:rsid w:val="00B16403"/>
    <w:rsid w:val="00B1655A"/>
    <w:rsid w:val="00B166B3"/>
    <w:rsid w:val="00B173C6"/>
    <w:rsid w:val="00B173E0"/>
    <w:rsid w:val="00B20020"/>
    <w:rsid w:val="00B20440"/>
    <w:rsid w:val="00B20446"/>
    <w:rsid w:val="00B2061C"/>
    <w:rsid w:val="00B20646"/>
    <w:rsid w:val="00B2123B"/>
    <w:rsid w:val="00B2129A"/>
    <w:rsid w:val="00B21C4F"/>
    <w:rsid w:val="00B21CEA"/>
    <w:rsid w:val="00B21F7F"/>
    <w:rsid w:val="00B2267D"/>
    <w:rsid w:val="00B2275D"/>
    <w:rsid w:val="00B22EAF"/>
    <w:rsid w:val="00B234DF"/>
    <w:rsid w:val="00B239C9"/>
    <w:rsid w:val="00B23B06"/>
    <w:rsid w:val="00B24419"/>
    <w:rsid w:val="00B249FF"/>
    <w:rsid w:val="00B24B8C"/>
    <w:rsid w:val="00B2513B"/>
    <w:rsid w:val="00B2522C"/>
    <w:rsid w:val="00B252C0"/>
    <w:rsid w:val="00B25AD0"/>
    <w:rsid w:val="00B25CE5"/>
    <w:rsid w:val="00B25E96"/>
    <w:rsid w:val="00B25F6C"/>
    <w:rsid w:val="00B26579"/>
    <w:rsid w:val="00B26E41"/>
    <w:rsid w:val="00B27967"/>
    <w:rsid w:val="00B27B40"/>
    <w:rsid w:val="00B27B63"/>
    <w:rsid w:val="00B27FE8"/>
    <w:rsid w:val="00B30206"/>
    <w:rsid w:val="00B306AF"/>
    <w:rsid w:val="00B30800"/>
    <w:rsid w:val="00B308A7"/>
    <w:rsid w:val="00B30CE5"/>
    <w:rsid w:val="00B313F2"/>
    <w:rsid w:val="00B313F9"/>
    <w:rsid w:val="00B315BC"/>
    <w:rsid w:val="00B31C95"/>
    <w:rsid w:val="00B31CBF"/>
    <w:rsid w:val="00B31DA1"/>
    <w:rsid w:val="00B31DEA"/>
    <w:rsid w:val="00B31E5A"/>
    <w:rsid w:val="00B31FAC"/>
    <w:rsid w:val="00B320F4"/>
    <w:rsid w:val="00B3268F"/>
    <w:rsid w:val="00B32A27"/>
    <w:rsid w:val="00B32F1A"/>
    <w:rsid w:val="00B33802"/>
    <w:rsid w:val="00B3380F"/>
    <w:rsid w:val="00B33AD8"/>
    <w:rsid w:val="00B33CCA"/>
    <w:rsid w:val="00B33E9C"/>
    <w:rsid w:val="00B33FB0"/>
    <w:rsid w:val="00B3421C"/>
    <w:rsid w:val="00B34268"/>
    <w:rsid w:val="00B3440A"/>
    <w:rsid w:val="00B345E0"/>
    <w:rsid w:val="00B348B5"/>
    <w:rsid w:val="00B3507E"/>
    <w:rsid w:val="00B358AC"/>
    <w:rsid w:val="00B35A4A"/>
    <w:rsid w:val="00B3615E"/>
    <w:rsid w:val="00B363BE"/>
    <w:rsid w:val="00B369ED"/>
    <w:rsid w:val="00B36B12"/>
    <w:rsid w:val="00B3702D"/>
    <w:rsid w:val="00B37169"/>
    <w:rsid w:val="00B37335"/>
    <w:rsid w:val="00B37CE1"/>
    <w:rsid w:val="00B40499"/>
    <w:rsid w:val="00B40A66"/>
    <w:rsid w:val="00B40DB2"/>
    <w:rsid w:val="00B40DDD"/>
    <w:rsid w:val="00B413D4"/>
    <w:rsid w:val="00B4181E"/>
    <w:rsid w:val="00B41BC2"/>
    <w:rsid w:val="00B42650"/>
    <w:rsid w:val="00B42C52"/>
    <w:rsid w:val="00B43207"/>
    <w:rsid w:val="00B433DD"/>
    <w:rsid w:val="00B4342A"/>
    <w:rsid w:val="00B437AD"/>
    <w:rsid w:val="00B4381D"/>
    <w:rsid w:val="00B439DD"/>
    <w:rsid w:val="00B43E0D"/>
    <w:rsid w:val="00B441D9"/>
    <w:rsid w:val="00B44271"/>
    <w:rsid w:val="00B447A2"/>
    <w:rsid w:val="00B448CE"/>
    <w:rsid w:val="00B44A92"/>
    <w:rsid w:val="00B44B37"/>
    <w:rsid w:val="00B44EA6"/>
    <w:rsid w:val="00B452BD"/>
    <w:rsid w:val="00B4590E"/>
    <w:rsid w:val="00B45A6E"/>
    <w:rsid w:val="00B45FA2"/>
    <w:rsid w:val="00B46534"/>
    <w:rsid w:val="00B4679A"/>
    <w:rsid w:val="00B46881"/>
    <w:rsid w:val="00B46CB0"/>
    <w:rsid w:val="00B46D6D"/>
    <w:rsid w:val="00B46EEA"/>
    <w:rsid w:val="00B473F5"/>
    <w:rsid w:val="00B506F6"/>
    <w:rsid w:val="00B5070F"/>
    <w:rsid w:val="00B50BC4"/>
    <w:rsid w:val="00B51382"/>
    <w:rsid w:val="00B5143E"/>
    <w:rsid w:val="00B514B7"/>
    <w:rsid w:val="00B51535"/>
    <w:rsid w:val="00B51A86"/>
    <w:rsid w:val="00B51CFF"/>
    <w:rsid w:val="00B51FD4"/>
    <w:rsid w:val="00B52244"/>
    <w:rsid w:val="00B52267"/>
    <w:rsid w:val="00B52688"/>
    <w:rsid w:val="00B5277F"/>
    <w:rsid w:val="00B528ED"/>
    <w:rsid w:val="00B52C54"/>
    <w:rsid w:val="00B53715"/>
    <w:rsid w:val="00B540C0"/>
    <w:rsid w:val="00B547A8"/>
    <w:rsid w:val="00B54E55"/>
    <w:rsid w:val="00B54EB6"/>
    <w:rsid w:val="00B55723"/>
    <w:rsid w:val="00B5574D"/>
    <w:rsid w:val="00B55772"/>
    <w:rsid w:val="00B55CA5"/>
    <w:rsid w:val="00B55D31"/>
    <w:rsid w:val="00B55DA0"/>
    <w:rsid w:val="00B5630B"/>
    <w:rsid w:val="00B564E7"/>
    <w:rsid w:val="00B5706B"/>
    <w:rsid w:val="00B571AC"/>
    <w:rsid w:val="00B5721B"/>
    <w:rsid w:val="00B577D9"/>
    <w:rsid w:val="00B578C9"/>
    <w:rsid w:val="00B57938"/>
    <w:rsid w:val="00B5793B"/>
    <w:rsid w:val="00B57BF5"/>
    <w:rsid w:val="00B57CCA"/>
    <w:rsid w:val="00B57F42"/>
    <w:rsid w:val="00B57F4C"/>
    <w:rsid w:val="00B60089"/>
    <w:rsid w:val="00B606BA"/>
    <w:rsid w:val="00B60A67"/>
    <w:rsid w:val="00B6138E"/>
    <w:rsid w:val="00B61495"/>
    <w:rsid w:val="00B61D4E"/>
    <w:rsid w:val="00B621A0"/>
    <w:rsid w:val="00B62541"/>
    <w:rsid w:val="00B628D6"/>
    <w:rsid w:val="00B62A0A"/>
    <w:rsid w:val="00B62C7E"/>
    <w:rsid w:val="00B62E05"/>
    <w:rsid w:val="00B62EFB"/>
    <w:rsid w:val="00B63930"/>
    <w:rsid w:val="00B6397E"/>
    <w:rsid w:val="00B63D3C"/>
    <w:rsid w:val="00B63D9F"/>
    <w:rsid w:val="00B63DE9"/>
    <w:rsid w:val="00B63E26"/>
    <w:rsid w:val="00B640AC"/>
    <w:rsid w:val="00B64A43"/>
    <w:rsid w:val="00B64CEA"/>
    <w:rsid w:val="00B6504D"/>
    <w:rsid w:val="00B650FB"/>
    <w:rsid w:val="00B6515C"/>
    <w:rsid w:val="00B65627"/>
    <w:rsid w:val="00B65BA7"/>
    <w:rsid w:val="00B6611E"/>
    <w:rsid w:val="00B66535"/>
    <w:rsid w:val="00B66E55"/>
    <w:rsid w:val="00B66F77"/>
    <w:rsid w:val="00B67E8C"/>
    <w:rsid w:val="00B7005E"/>
    <w:rsid w:val="00B70069"/>
    <w:rsid w:val="00B70590"/>
    <w:rsid w:val="00B707F8"/>
    <w:rsid w:val="00B70DAA"/>
    <w:rsid w:val="00B71592"/>
    <w:rsid w:val="00B7170B"/>
    <w:rsid w:val="00B71FC4"/>
    <w:rsid w:val="00B71FE6"/>
    <w:rsid w:val="00B7202A"/>
    <w:rsid w:val="00B720AE"/>
    <w:rsid w:val="00B7221D"/>
    <w:rsid w:val="00B725CC"/>
    <w:rsid w:val="00B725ED"/>
    <w:rsid w:val="00B7268F"/>
    <w:rsid w:val="00B72A6B"/>
    <w:rsid w:val="00B72E6E"/>
    <w:rsid w:val="00B738A1"/>
    <w:rsid w:val="00B73CEF"/>
    <w:rsid w:val="00B73D6A"/>
    <w:rsid w:val="00B743A4"/>
    <w:rsid w:val="00B7440C"/>
    <w:rsid w:val="00B74547"/>
    <w:rsid w:val="00B74754"/>
    <w:rsid w:val="00B74C11"/>
    <w:rsid w:val="00B74D8D"/>
    <w:rsid w:val="00B75028"/>
    <w:rsid w:val="00B750D6"/>
    <w:rsid w:val="00B752FE"/>
    <w:rsid w:val="00B75780"/>
    <w:rsid w:val="00B75AA9"/>
    <w:rsid w:val="00B75ABB"/>
    <w:rsid w:val="00B76294"/>
    <w:rsid w:val="00B767B6"/>
    <w:rsid w:val="00B769D3"/>
    <w:rsid w:val="00B76C19"/>
    <w:rsid w:val="00B76CAA"/>
    <w:rsid w:val="00B77280"/>
    <w:rsid w:val="00B77358"/>
    <w:rsid w:val="00B77B17"/>
    <w:rsid w:val="00B77F89"/>
    <w:rsid w:val="00B80078"/>
    <w:rsid w:val="00B8081D"/>
    <w:rsid w:val="00B80B4A"/>
    <w:rsid w:val="00B80F86"/>
    <w:rsid w:val="00B81061"/>
    <w:rsid w:val="00B81464"/>
    <w:rsid w:val="00B814B4"/>
    <w:rsid w:val="00B818B2"/>
    <w:rsid w:val="00B8218D"/>
    <w:rsid w:val="00B82472"/>
    <w:rsid w:val="00B82C53"/>
    <w:rsid w:val="00B82DFE"/>
    <w:rsid w:val="00B82F36"/>
    <w:rsid w:val="00B83530"/>
    <w:rsid w:val="00B84872"/>
    <w:rsid w:val="00B84A3B"/>
    <w:rsid w:val="00B84D5D"/>
    <w:rsid w:val="00B84DA4"/>
    <w:rsid w:val="00B85085"/>
    <w:rsid w:val="00B85400"/>
    <w:rsid w:val="00B85812"/>
    <w:rsid w:val="00B85891"/>
    <w:rsid w:val="00B85B86"/>
    <w:rsid w:val="00B86586"/>
    <w:rsid w:val="00B868F1"/>
    <w:rsid w:val="00B86B92"/>
    <w:rsid w:val="00B8771E"/>
    <w:rsid w:val="00B90391"/>
    <w:rsid w:val="00B90645"/>
    <w:rsid w:val="00B90653"/>
    <w:rsid w:val="00B90A0D"/>
    <w:rsid w:val="00B90CA2"/>
    <w:rsid w:val="00B913DA"/>
    <w:rsid w:val="00B91603"/>
    <w:rsid w:val="00B917A8"/>
    <w:rsid w:val="00B9192F"/>
    <w:rsid w:val="00B91CE3"/>
    <w:rsid w:val="00B92169"/>
    <w:rsid w:val="00B921EE"/>
    <w:rsid w:val="00B92857"/>
    <w:rsid w:val="00B92ABF"/>
    <w:rsid w:val="00B93109"/>
    <w:rsid w:val="00B93273"/>
    <w:rsid w:val="00B93577"/>
    <w:rsid w:val="00B937AA"/>
    <w:rsid w:val="00B93A05"/>
    <w:rsid w:val="00B93B42"/>
    <w:rsid w:val="00B94768"/>
    <w:rsid w:val="00B948D2"/>
    <w:rsid w:val="00B94CA8"/>
    <w:rsid w:val="00B94CCD"/>
    <w:rsid w:val="00B95014"/>
    <w:rsid w:val="00B955FB"/>
    <w:rsid w:val="00B95A32"/>
    <w:rsid w:val="00B96FB6"/>
    <w:rsid w:val="00B97078"/>
    <w:rsid w:val="00B97198"/>
    <w:rsid w:val="00B97396"/>
    <w:rsid w:val="00B973E2"/>
    <w:rsid w:val="00B97587"/>
    <w:rsid w:val="00BA0222"/>
    <w:rsid w:val="00BA05F4"/>
    <w:rsid w:val="00BA0AD9"/>
    <w:rsid w:val="00BA0CA6"/>
    <w:rsid w:val="00BA0F42"/>
    <w:rsid w:val="00BA14E9"/>
    <w:rsid w:val="00BA15F6"/>
    <w:rsid w:val="00BA1811"/>
    <w:rsid w:val="00BA1AE3"/>
    <w:rsid w:val="00BA1CBC"/>
    <w:rsid w:val="00BA1FF8"/>
    <w:rsid w:val="00BA2D0A"/>
    <w:rsid w:val="00BA2FFC"/>
    <w:rsid w:val="00BA3336"/>
    <w:rsid w:val="00BA41E2"/>
    <w:rsid w:val="00BA43D4"/>
    <w:rsid w:val="00BA4C24"/>
    <w:rsid w:val="00BA4C80"/>
    <w:rsid w:val="00BA4D88"/>
    <w:rsid w:val="00BA4FB1"/>
    <w:rsid w:val="00BA595C"/>
    <w:rsid w:val="00BA5BE4"/>
    <w:rsid w:val="00BA6094"/>
    <w:rsid w:val="00BA627C"/>
    <w:rsid w:val="00BA69AD"/>
    <w:rsid w:val="00BA6C77"/>
    <w:rsid w:val="00BA7846"/>
    <w:rsid w:val="00BA7963"/>
    <w:rsid w:val="00BA7D17"/>
    <w:rsid w:val="00BA7EC0"/>
    <w:rsid w:val="00BB0316"/>
    <w:rsid w:val="00BB0C34"/>
    <w:rsid w:val="00BB0EAB"/>
    <w:rsid w:val="00BB113E"/>
    <w:rsid w:val="00BB1616"/>
    <w:rsid w:val="00BB1657"/>
    <w:rsid w:val="00BB1B50"/>
    <w:rsid w:val="00BB1D04"/>
    <w:rsid w:val="00BB1F95"/>
    <w:rsid w:val="00BB236F"/>
    <w:rsid w:val="00BB27CE"/>
    <w:rsid w:val="00BB2C4E"/>
    <w:rsid w:val="00BB304F"/>
    <w:rsid w:val="00BB3198"/>
    <w:rsid w:val="00BB39EC"/>
    <w:rsid w:val="00BB3E6D"/>
    <w:rsid w:val="00BB46CB"/>
    <w:rsid w:val="00BB4942"/>
    <w:rsid w:val="00BB49D0"/>
    <w:rsid w:val="00BB51B1"/>
    <w:rsid w:val="00BB5288"/>
    <w:rsid w:val="00BB52F5"/>
    <w:rsid w:val="00BB5AEC"/>
    <w:rsid w:val="00BB5C70"/>
    <w:rsid w:val="00BB61B3"/>
    <w:rsid w:val="00BB6868"/>
    <w:rsid w:val="00BB6AB5"/>
    <w:rsid w:val="00BB6D3D"/>
    <w:rsid w:val="00BB7719"/>
    <w:rsid w:val="00BB7B66"/>
    <w:rsid w:val="00BC05B4"/>
    <w:rsid w:val="00BC0E81"/>
    <w:rsid w:val="00BC0FC1"/>
    <w:rsid w:val="00BC1999"/>
    <w:rsid w:val="00BC1CDD"/>
    <w:rsid w:val="00BC200A"/>
    <w:rsid w:val="00BC255F"/>
    <w:rsid w:val="00BC28AE"/>
    <w:rsid w:val="00BC2C05"/>
    <w:rsid w:val="00BC3003"/>
    <w:rsid w:val="00BC3138"/>
    <w:rsid w:val="00BC3647"/>
    <w:rsid w:val="00BC3648"/>
    <w:rsid w:val="00BC3A1C"/>
    <w:rsid w:val="00BC4550"/>
    <w:rsid w:val="00BC4A37"/>
    <w:rsid w:val="00BC4AAC"/>
    <w:rsid w:val="00BC4AB6"/>
    <w:rsid w:val="00BC4B7B"/>
    <w:rsid w:val="00BC4D3D"/>
    <w:rsid w:val="00BC58B1"/>
    <w:rsid w:val="00BC58E2"/>
    <w:rsid w:val="00BC6032"/>
    <w:rsid w:val="00BC617E"/>
    <w:rsid w:val="00BC62B7"/>
    <w:rsid w:val="00BC6433"/>
    <w:rsid w:val="00BC664F"/>
    <w:rsid w:val="00BC7250"/>
    <w:rsid w:val="00BC7420"/>
    <w:rsid w:val="00BC74A8"/>
    <w:rsid w:val="00BC74C6"/>
    <w:rsid w:val="00BC7526"/>
    <w:rsid w:val="00BC797F"/>
    <w:rsid w:val="00BC7A6E"/>
    <w:rsid w:val="00BC7A99"/>
    <w:rsid w:val="00BC7F26"/>
    <w:rsid w:val="00BD090B"/>
    <w:rsid w:val="00BD0C05"/>
    <w:rsid w:val="00BD12FB"/>
    <w:rsid w:val="00BD15BD"/>
    <w:rsid w:val="00BD202E"/>
    <w:rsid w:val="00BD2134"/>
    <w:rsid w:val="00BD22C1"/>
    <w:rsid w:val="00BD2426"/>
    <w:rsid w:val="00BD3287"/>
    <w:rsid w:val="00BD4462"/>
    <w:rsid w:val="00BD44DA"/>
    <w:rsid w:val="00BD4990"/>
    <w:rsid w:val="00BD5467"/>
    <w:rsid w:val="00BD5506"/>
    <w:rsid w:val="00BD5A8A"/>
    <w:rsid w:val="00BD5D3B"/>
    <w:rsid w:val="00BD5D9D"/>
    <w:rsid w:val="00BD658A"/>
    <w:rsid w:val="00BD6594"/>
    <w:rsid w:val="00BD67C7"/>
    <w:rsid w:val="00BD69EB"/>
    <w:rsid w:val="00BD6C59"/>
    <w:rsid w:val="00BD6F6A"/>
    <w:rsid w:val="00BD7275"/>
    <w:rsid w:val="00BD738E"/>
    <w:rsid w:val="00BD76D0"/>
    <w:rsid w:val="00BD7769"/>
    <w:rsid w:val="00BD7BF7"/>
    <w:rsid w:val="00BE013F"/>
    <w:rsid w:val="00BE05CD"/>
    <w:rsid w:val="00BE0DF4"/>
    <w:rsid w:val="00BE0F31"/>
    <w:rsid w:val="00BE14D5"/>
    <w:rsid w:val="00BE18E4"/>
    <w:rsid w:val="00BE1A93"/>
    <w:rsid w:val="00BE1AC3"/>
    <w:rsid w:val="00BE2824"/>
    <w:rsid w:val="00BE2D19"/>
    <w:rsid w:val="00BE2EB7"/>
    <w:rsid w:val="00BE2EF9"/>
    <w:rsid w:val="00BE2F01"/>
    <w:rsid w:val="00BE3237"/>
    <w:rsid w:val="00BE3412"/>
    <w:rsid w:val="00BE3500"/>
    <w:rsid w:val="00BE3C21"/>
    <w:rsid w:val="00BE425A"/>
    <w:rsid w:val="00BE46B0"/>
    <w:rsid w:val="00BE4A3F"/>
    <w:rsid w:val="00BE4A91"/>
    <w:rsid w:val="00BE5264"/>
    <w:rsid w:val="00BE53DD"/>
    <w:rsid w:val="00BE554D"/>
    <w:rsid w:val="00BE5CA2"/>
    <w:rsid w:val="00BE5F7F"/>
    <w:rsid w:val="00BE60A1"/>
    <w:rsid w:val="00BE66DE"/>
    <w:rsid w:val="00BE7172"/>
    <w:rsid w:val="00BE74B9"/>
    <w:rsid w:val="00BE7839"/>
    <w:rsid w:val="00BE78D6"/>
    <w:rsid w:val="00BE7EE3"/>
    <w:rsid w:val="00BF016E"/>
    <w:rsid w:val="00BF0467"/>
    <w:rsid w:val="00BF0499"/>
    <w:rsid w:val="00BF0538"/>
    <w:rsid w:val="00BF053B"/>
    <w:rsid w:val="00BF0784"/>
    <w:rsid w:val="00BF08A0"/>
    <w:rsid w:val="00BF09AE"/>
    <w:rsid w:val="00BF09ED"/>
    <w:rsid w:val="00BF0C0F"/>
    <w:rsid w:val="00BF1242"/>
    <w:rsid w:val="00BF133F"/>
    <w:rsid w:val="00BF1993"/>
    <w:rsid w:val="00BF1B17"/>
    <w:rsid w:val="00BF20D3"/>
    <w:rsid w:val="00BF2379"/>
    <w:rsid w:val="00BF2429"/>
    <w:rsid w:val="00BF2568"/>
    <w:rsid w:val="00BF2692"/>
    <w:rsid w:val="00BF2719"/>
    <w:rsid w:val="00BF2783"/>
    <w:rsid w:val="00BF2B55"/>
    <w:rsid w:val="00BF2E41"/>
    <w:rsid w:val="00BF2E8B"/>
    <w:rsid w:val="00BF3020"/>
    <w:rsid w:val="00BF30E4"/>
    <w:rsid w:val="00BF31E9"/>
    <w:rsid w:val="00BF32E5"/>
    <w:rsid w:val="00BF4153"/>
    <w:rsid w:val="00BF41BF"/>
    <w:rsid w:val="00BF4239"/>
    <w:rsid w:val="00BF430F"/>
    <w:rsid w:val="00BF43B0"/>
    <w:rsid w:val="00BF4474"/>
    <w:rsid w:val="00BF4680"/>
    <w:rsid w:val="00BF4964"/>
    <w:rsid w:val="00BF4B65"/>
    <w:rsid w:val="00BF4EC3"/>
    <w:rsid w:val="00BF56F1"/>
    <w:rsid w:val="00BF57E6"/>
    <w:rsid w:val="00BF6145"/>
    <w:rsid w:val="00BF61AC"/>
    <w:rsid w:val="00BF677A"/>
    <w:rsid w:val="00BF6A7C"/>
    <w:rsid w:val="00BF7321"/>
    <w:rsid w:val="00BF73DF"/>
    <w:rsid w:val="00BF7676"/>
    <w:rsid w:val="00C0022B"/>
    <w:rsid w:val="00C00476"/>
    <w:rsid w:val="00C0050E"/>
    <w:rsid w:val="00C00C0D"/>
    <w:rsid w:val="00C01442"/>
    <w:rsid w:val="00C0155E"/>
    <w:rsid w:val="00C01746"/>
    <w:rsid w:val="00C0195C"/>
    <w:rsid w:val="00C01B11"/>
    <w:rsid w:val="00C01C9A"/>
    <w:rsid w:val="00C01D0A"/>
    <w:rsid w:val="00C01E45"/>
    <w:rsid w:val="00C0219F"/>
    <w:rsid w:val="00C02647"/>
    <w:rsid w:val="00C02E65"/>
    <w:rsid w:val="00C033C9"/>
    <w:rsid w:val="00C0345E"/>
    <w:rsid w:val="00C037E6"/>
    <w:rsid w:val="00C0383C"/>
    <w:rsid w:val="00C03916"/>
    <w:rsid w:val="00C03A17"/>
    <w:rsid w:val="00C04329"/>
    <w:rsid w:val="00C04389"/>
    <w:rsid w:val="00C045C1"/>
    <w:rsid w:val="00C04D07"/>
    <w:rsid w:val="00C04E79"/>
    <w:rsid w:val="00C05FB7"/>
    <w:rsid w:val="00C06111"/>
    <w:rsid w:val="00C06130"/>
    <w:rsid w:val="00C0624B"/>
    <w:rsid w:val="00C0646F"/>
    <w:rsid w:val="00C069F1"/>
    <w:rsid w:val="00C077A2"/>
    <w:rsid w:val="00C077EE"/>
    <w:rsid w:val="00C07995"/>
    <w:rsid w:val="00C07E84"/>
    <w:rsid w:val="00C10667"/>
    <w:rsid w:val="00C109DD"/>
    <w:rsid w:val="00C11291"/>
    <w:rsid w:val="00C1162B"/>
    <w:rsid w:val="00C11664"/>
    <w:rsid w:val="00C11930"/>
    <w:rsid w:val="00C1265E"/>
    <w:rsid w:val="00C12CF8"/>
    <w:rsid w:val="00C12DEC"/>
    <w:rsid w:val="00C12F8D"/>
    <w:rsid w:val="00C133B1"/>
    <w:rsid w:val="00C13840"/>
    <w:rsid w:val="00C13900"/>
    <w:rsid w:val="00C13B70"/>
    <w:rsid w:val="00C13BF4"/>
    <w:rsid w:val="00C1401A"/>
    <w:rsid w:val="00C14265"/>
    <w:rsid w:val="00C14688"/>
    <w:rsid w:val="00C14773"/>
    <w:rsid w:val="00C14A0B"/>
    <w:rsid w:val="00C15299"/>
    <w:rsid w:val="00C152FF"/>
    <w:rsid w:val="00C153F2"/>
    <w:rsid w:val="00C15633"/>
    <w:rsid w:val="00C15725"/>
    <w:rsid w:val="00C15955"/>
    <w:rsid w:val="00C15C74"/>
    <w:rsid w:val="00C1633C"/>
    <w:rsid w:val="00C1669F"/>
    <w:rsid w:val="00C166BB"/>
    <w:rsid w:val="00C16B3B"/>
    <w:rsid w:val="00C170E4"/>
    <w:rsid w:val="00C172A4"/>
    <w:rsid w:val="00C17377"/>
    <w:rsid w:val="00C17389"/>
    <w:rsid w:val="00C176D0"/>
    <w:rsid w:val="00C179C6"/>
    <w:rsid w:val="00C17A11"/>
    <w:rsid w:val="00C17F7C"/>
    <w:rsid w:val="00C212DC"/>
    <w:rsid w:val="00C21893"/>
    <w:rsid w:val="00C21BB9"/>
    <w:rsid w:val="00C2223B"/>
    <w:rsid w:val="00C22A63"/>
    <w:rsid w:val="00C230C9"/>
    <w:rsid w:val="00C233B7"/>
    <w:rsid w:val="00C2360C"/>
    <w:rsid w:val="00C239D1"/>
    <w:rsid w:val="00C23AF8"/>
    <w:rsid w:val="00C242AA"/>
    <w:rsid w:val="00C243AB"/>
    <w:rsid w:val="00C24647"/>
    <w:rsid w:val="00C249B1"/>
    <w:rsid w:val="00C24B2A"/>
    <w:rsid w:val="00C24C53"/>
    <w:rsid w:val="00C25228"/>
    <w:rsid w:val="00C25C1E"/>
    <w:rsid w:val="00C266B8"/>
    <w:rsid w:val="00C2698E"/>
    <w:rsid w:val="00C26BE6"/>
    <w:rsid w:val="00C26EE9"/>
    <w:rsid w:val="00C26FA7"/>
    <w:rsid w:val="00C2774B"/>
    <w:rsid w:val="00C30AE1"/>
    <w:rsid w:val="00C30B6F"/>
    <w:rsid w:val="00C30E99"/>
    <w:rsid w:val="00C30F9C"/>
    <w:rsid w:val="00C3145B"/>
    <w:rsid w:val="00C314B5"/>
    <w:rsid w:val="00C322C9"/>
    <w:rsid w:val="00C3266A"/>
    <w:rsid w:val="00C3293E"/>
    <w:rsid w:val="00C32FB5"/>
    <w:rsid w:val="00C330B4"/>
    <w:rsid w:val="00C335E3"/>
    <w:rsid w:val="00C33E1D"/>
    <w:rsid w:val="00C341A6"/>
    <w:rsid w:val="00C345E8"/>
    <w:rsid w:val="00C34869"/>
    <w:rsid w:val="00C34B1D"/>
    <w:rsid w:val="00C3558E"/>
    <w:rsid w:val="00C357BB"/>
    <w:rsid w:val="00C3594D"/>
    <w:rsid w:val="00C35BC8"/>
    <w:rsid w:val="00C35D84"/>
    <w:rsid w:val="00C3611D"/>
    <w:rsid w:val="00C36763"/>
    <w:rsid w:val="00C36A62"/>
    <w:rsid w:val="00C36D4F"/>
    <w:rsid w:val="00C36D9B"/>
    <w:rsid w:val="00C36F54"/>
    <w:rsid w:val="00C370A3"/>
    <w:rsid w:val="00C37282"/>
    <w:rsid w:val="00C377F3"/>
    <w:rsid w:val="00C400F4"/>
    <w:rsid w:val="00C4014D"/>
    <w:rsid w:val="00C401F7"/>
    <w:rsid w:val="00C40330"/>
    <w:rsid w:val="00C40441"/>
    <w:rsid w:val="00C40873"/>
    <w:rsid w:val="00C40D13"/>
    <w:rsid w:val="00C41A95"/>
    <w:rsid w:val="00C41C1D"/>
    <w:rsid w:val="00C41CB0"/>
    <w:rsid w:val="00C41CB8"/>
    <w:rsid w:val="00C4235F"/>
    <w:rsid w:val="00C423E9"/>
    <w:rsid w:val="00C425B6"/>
    <w:rsid w:val="00C42744"/>
    <w:rsid w:val="00C428B3"/>
    <w:rsid w:val="00C4296C"/>
    <w:rsid w:val="00C429EA"/>
    <w:rsid w:val="00C42AF4"/>
    <w:rsid w:val="00C43421"/>
    <w:rsid w:val="00C43506"/>
    <w:rsid w:val="00C43566"/>
    <w:rsid w:val="00C43733"/>
    <w:rsid w:val="00C43B9C"/>
    <w:rsid w:val="00C43E70"/>
    <w:rsid w:val="00C44000"/>
    <w:rsid w:val="00C4437D"/>
    <w:rsid w:val="00C447CB"/>
    <w:rsid w:val="00C447DA"/>
    <w:rsid w:val="00C44D44"/>
    <w:rsid w:val="00C4509A"/>
    <w:rsid w:val="00C451C9"/>
    <w:rsid w:val="00C45888"/>
    <w:rsid w:val="00C45B80"/>
    <w:rsid w:val="00C45D69"/>
    <w:rsid w:val="00C461C7"/>
    <w:rsid w:val="00C46568"/>
    <w:rsid w:val="00C46644"/>
    <w:rsid w:val="00C46850"/>
    <w:rsid w:val="00C46D06"/>
    <w:rsid w:val="00C46FA2"/>
    <w:rsid w:val="00C47144"/>
    <w:rsid w:val="00C475D0"/>
    <w:rsid w:val="00C47F9D"/>
    <w:rsid w:val="00C5000E"/>
    <w:rsid w:val="00C50703"/>
    <w:rsid w:val="00C50CD2"/>
    <w:rsid w:val="00C50F88"/>
    <w:rsid w:val="00C510BD"/>
    <w:rsid w:val="00C51C45"/>
    <w:rsid w:val="00C51DC5"/>
    <w:rsid w:val="00C51E5C"/>
    <w:rsid w:val="00C5239A"/>
    <w:rsid w:val="00C52D15"/>
    <w:rsid w:val="00C52F72"/>
    <w:rsid w:val="00C5303D"/>
    <w:rsid w:val="00C53077"/>
    <w:rsid w:val="00C53602"/>
    <w:rsid w:val="00C53FE1"/>
    <w:rsid w:val="00C54571"/>
    <w:rsid w:val="00C545DC"/>
    <w:rsid w:val="00C54677"/>
    <w:rsid w:val="00C549FA"/>
    <w:rsid w:val="00C55227"/>
    <w:rsid w:val="00C5528C"/>
    <w:rsid w:val="00C55323"/>
    <w:rsid w:val="00C55514"/>
    <w:rsid w:val="00C55908"/>
    <w:rsid w:val="00C56496"/>
    <w:rsid w:val="00C5661E"/>
    <w:rsid w:val="00C5671A"/>
    <w:rsid w:val="00C56F35"/>
    <w:rsid w:val="00C5700C"/>
    <w:rsid w:val="00C570DF"/>
    <w:rsid w:val="00C57219"/>
    <w:rsid w:val="00C57974"/>
    <w:rsid w:val="00C57DD2"/>
    <w:rsid w:val="00C57E2F"/>
    <w:rsid w:val="00C57F9C"/>
    <w:rsid w:val="00C602D5"/>
    <w:rsid w:val="00C60EBB"/>
    <w:rsid w:val="00C611B0"/>
    <w:rsid w:val="00C61968"/>
    <w:rsid w:val="00C61E60"/>
    <w:rsid w:val="00C61ED6"/>
    <w:rsid w:val="00C61F42"/>
    <w:rsid w:val="00C622F7"/>
    <w:rsid w:val="00C626C6"/>
    <w:rsid w:val="00C62792"/>
    <w:rsid w:val="00C62A2C"/>
    <w:rsid w:val="00C62A42"/>
    <w:rsid w:val="00C62C4D"/>
    <w:rsid w:val="00C62CA0"/>
    <w:rsid w:val="00C63461"/>
    <w:rsid w:val="00C63BD8"/>
    <w:rsid w:val="00C63E18"/>
    <w:rsid w:val="00C64169"/>
    <w:rsid w:val="00C64288"/>
    <w:rsid w:val="00C644E6"/>
    <w:rsid w:val="00C64C05"/>
    <w:rsid w:val="00C64E50"/>
    <w:rsid w:val="00C64FC8"/>
    <w:rsid w:val="00C662A3"/>
    <w:rsid w:val="00C663F2"/>
    <w:rsid w:val="00C66DEE"/>
    <w:rsid w:val="00C6758B"/>
    <w:rsid w:val="00C679D7"/>
    <w:rsid w:val="00C700E2"/>
    <w:rsid w:val="00C70194"/>
    <w:rsid w:val="00C70587"/>
    <w:rsid w:val="00C707CC"/>
    <w:rsid w:val="00C71106"/>
    <w:rsid w:val="00C712E7"/>
    <w:rsid w:val="00C71503"/>
    <w:rsid w:val="00C7159B"/>
    <w:rsid w:val="00C718D7"/>
    <w:rsid w:val="00C71A37"/>
    <w:rsid w:val="00C71A63"/>
    <w:rsid w:val="00C71E72"/>
    <w:rsid w:val="00C72656"/>
    <w:rsid w:val="00C72BEC"/>
    <w:rsid w:val="00C732CF"/>
    <w:rsid w:val="00C73BF5"/>
    <w:rsid w:val="00C73C48"/>
    <w:rsid w:val="00C73E0E"/>
    <w:rsid w:val="00C73F67"/>
    <w:rsid w:val="00C74185"/>
    <w:rsid w:val="00C74683"/>
    <w:rsid w:val="00C74852"/>
    <w:rsid w:val="00C749CF"/>
    <w:rsid w:val="00C74B7D"/>
    <w:rsid w:val="00C74BD5"/>
    <w:rsid w:val="00C74C82"/>
    <w:rsid w:val="00C74FED"/>
    <w:rsid w:val="00C757A0"/>
    <w:rsid w:val="00C75CEE"/>
    <w:rsid w:val="00C75D6B"/>
    <w:rsid w:val="00C75E5C"/>
    <w:rsid w:val="00C761CD"/>
    <w:rsid w:val="00C776DB"/>
    <w:rsid w:val="00C77D0D"/>
    <w:rsid w:val="00C77E47"/>
    <w:rsid w:val="00C805FB"/>
    <w:rsid w:val="00C80C8C"/>
    <w:rsid w:val="00C80DEB"/>
    <w:rsid w:val="00C80F0F"/>
    <w:rsid w:val="00C814B7"/>
    <w:rsid w:val="00C816A6"/>
    <w:rsid w:val="00C81715"/>
    <w:rsid w:val="00C81AB4"/>
    <w:rsid w:val="00C81AD0"/>
    <w:rsid w:val="00C81B34"/>
    <w:rsid w:val="00C81E8B"/>
    <w:rsid w:val="00C8229B"/>
    <w:rsid w:val="00C82313"/>
    <w:rsid w:val="00C82460"/>
    <w:rsid w:val="00C827F9"/>
    <w:rsid w:val="00C82886"/>
    <w:rsid w:val="00C828CA"/>
    <w:rsid w:val="00C82FD1"/>
    <w:rsid w:val="00C830DE"/>
    <w:rsid w:val="00C8315E"/>
    <w:rsid w:val="00C83CF0"/>
    <w:rsid w:val="00C84455"/>
    <w:rsid w:val="00C84564"/>
    <w:rsid w:val="00C8482D"/>
    <w:rsid w:val="00C84BC5"/>
    <w:rsid w:val="00C84E22"/>
    <w:rsid w:val="00C84E95"/>
    <w:rsid w:val="00C852BF"/>
    <w:rsid w:val="00C85450"/>
    <w:rsid w:val="00C85A03"/>
    <w:rsid w:val="00C85D52"/>
    <w:rsid w:val="00C8608B"/>
    <w:rsid w:val="00C86442"/>
    <w:rsid w:val="00C8670F"/>
    <w:rsid w:val="00C868B9"/>
    <w:rsid w:val="00C86AB4"/>
    <w:rsid w:val="00C8713B"/>
    <w:rsid w:val="00C873F6"/>
    <w:rsid w:val="00C877D1"/>
    <w:rsid w:val="00C900C7"/>
    <w:rsid w:val="00C90418"/>
    <w:rsid w:val="00C90466"/>
    <w:rsid w:val="00C905E4"/>
    <w:rsid w:val="00C90694"/>
    <w:rsid w:val="00C90984"/>
    <w:rsid w:val="00C909C1"/>
    <w:rsid w:val="00C90C09"/>
    <w:rsid w:val="00C90CCC"/>
    <w:rsid w:val="00C911D5"/>
    <w:rsid w:val="00C91824"/>
    <w:rsid w:val="00C91926"/>
    <w:rsid w:val="00C91E8D"/>
    <w:rsid w:val="00C921F5"/>
    <w:rsid w:val="00C92456"/>
    <w:rsid w:val="00C92722"/>
    <w:rsid w:val="00C92953"/>
    <w:rsid w:val="00C92B1A"/>
    <w:rsid w:val="00C931C4"/>
    <w:rsid w:val="00C93673"/>
    <w:rsid w:val="00C93B6B"/>
    <w:rsid w:val="00C940AF"/>
    <w:rsid w:val="00C94245"/>
    <w:rsid w:val="00C94A42"/>
    <w:rsid w:val="00C95314"/>
    <w:rsid w:val="00C95A11"/>
    <w:rsid w:val="00C95AD0"/>
    <w:rsid w:val="00C95ED8"/>
    <w:rsid w:val="00C963C1"/>
    <w:rsid w:val="00C96530"/>
    <w:rsid w:val="00C968F6"/>
    <w:rsid w:val="00C96AA2"/>
    <w:rsid w:val="00C96BF6"/>
    <w:rsid w:val="00C9718C"/>
    <w:rsid w:val="00C973F9"/>
    <w:rsid w:val="00C97617"/>
    <w:rsid w:val="00C97C16"/>
    <w:rsid w:val="00C97C28"/>
    <w:rsid w:val="00CA0045"/>
    <w:rsid w:val="00CA009F"/>
    <w:rsid w:val="00CA00AA"/>
    <w:rsid w:val="00CA0133"/>
    <w:rsid w:val="00CA0937"/>
    <w:rsid w:val="00CA0DB7"/>
    <w:rsid w:val="00CA0F98"/>
    <w:rsid w:val="00CA119C"/>
    <w:rsid w:val="00CA195A"/>
    <w:rsid w:val="00CA1AFE"/>
    <w:rsid w:val="00CA1BD2"/>
    <w:rsid w:val="00CA1F44"/>
    <w:rsid w:val="00CA1FAF"/>
    <w:rsid w:val="00CA1FF9"/>
    <w:rsid w:val="00CA2400"/>
    <w:rsid w:val="00CA248D"/>
    <w:rsid w:val="00CA2640"/>
    <w:rsid w:val="00CA301D"/>
    <w:rsid w:val="00CA30DE"/>
    <w:rsid w:val="00CA3E27"/>
    <w:rsid w:val="00CA4662"/>
    <w:rsid w:val="00CA479B"/>
    <w:rsid w:val="00CA495D"/>
    <w:rsid w:val="00CA4C08"/>
    <w:rsid w:val="00CA4C79"/>
    <w:rsid w:val="00CA4C8E"/>
    <w:rsid w:val="00CA4E29"/>
    <w:rsid w:val="00CA57D7"/>
    <w:rsid w:val="00CA65FE"/>
    <w:rsid w:val="00CA660A"/>
    <w:rsid w:val="00CA67F2"/>
    <w:rsid w:val="00CA6970"/>
    <w:rsid w:val="00CA6BEA"/>
    <w:rsid w:val="00CA6C45"/>
    <w:rsid w:val="00CA6E27"/>
    <w:rsid w:val="00CA6E2B"/>
    <w:rsid w:val="00CA79F6"/>
    <w:rsid w:val="00CA7D1E"/>
    <w:rsid w:val="00CA7E0B"/>
    <w:rsid w:val="00CA7F03"/>
    <w:rsid w:val="00CA7F67"/>
    <w:rsid w:val="00CB023F"/>
    <w:rsid w:val="00CB0319"/>
    <w:rsid w:val="00CB07D2"/>
    <w:rsid w:val="00CB0D5A"/>
    <w:rsid w:val="00CB127B"/>
    <w:rsid w:val="00CB1721"/>
    <w:rsid w:val="00CB1989"/>
    <w:rsid w:val="00CB1C51"/>
    <w:rsid w:val="00CB1D74"/>
    <w:rsid w:val="00CB1E6F"/>
    <w:rsid w:val="00CB20E3"/>
    <w:rsid w:val="00CB2427"/>
    <w:rsid w:val="00CB257C"/>
    <w:rsid w:val="00CB32C2"/>
    <w:rsid w:val="00CB3DB1"/>
    <w:rsid w:val="00CB4177"/>
    <w:rsid w:val="00CB4275"/>
    <w:rsid w:val="00CB4C8E"/>
    <w:rsid w:val="00CB4D59"/>
    <w:rsid w:val="00CB5A2D"/>
    <w:rsid w:val="00CB5B26"/>
    <w:rsid w:val="00CB5B48"/>
    <w:rsid w:val="00CB5D7E"/>
    <w:rsid w:val="00CB5E41"/>
    <w:rsid w:val="00CB6A89"/>
    <w:rsid w:val="00CB6B0C"/>
    <w:rsid w:val="00CB6DEB"/>
    <w:rsid w:val="00CB70E3"/>
    <w:rsid w:val="00CB7676"/>
    <w:rsid w:val="00CB7AD5"/>
    <w:rsid w:val="00CB7D9B"/>
    <w:rsid w:val="00CB7E7B"/>
    <w:rsid w:val="00CC006F"/>
    <w:rsid w:val="00CC01AC"/>
    <w:rsid w:val="00CC0324"/>
    <w:rsid w:val="00CC0418"/>
    <w:rsid w:val="00CC07A6"/>
    <w:rsid w:val="00CC086A"/>
    <w:rsid w:val="00CC08BC"/>
    <w:rsid w:val="00CC11B6"/>
    <w:rsid w:val="00CC140A"/>
    <w:rsid w:val="00CC16EA"/>
    <w:rsid w:val="00CC188C"/>
    <w:rsid w:val="00CC1911"/>
    <w:rsid w:val="00CC1A13"/>
    <w:rsid w:val="00CC1BC3"/>
    <w:rsid w:val="00CC1D39"/>
    <w:rsid w:val="00CC1E5B"/>
    <w:rsid w:val="00CC271E"/>
    <w:rsid w:val="00CC2F39"/>
    <w:rsid w:val="00CC3452"/>
    <w:rsid w:val="00CC3C89"/>
    <w:rsid w:val="00CC4183"/>
    <w:rsid w:val="00CC4422"/>
    <w:rsid w:val="00CC4B22"/>
    <w:rsid w:val="00CC50D7"/>
    <w:rsid w:val="00CC526E"/>
    <w:rsid w:val="00CC588F"/>
    <w:rsid w:val="00CC58D8"/>
    <w:rsid w:val="00CC5F64"/>
    <w:rsid w:val="00CC5FE9"/>
    <w:rsid w:val="00CC61DA"/>
    <w:rsid w:val="00CC6396"/>
    <w:rsid w:val="00CC6497"/>
    <w:rsid w:val="00CC6520"/>
    <w:rsid w:val="00CC6534"/>
    <w:rsid w:val="00CC6656"/>
    <w:rsid w:val="00CC6997"/>
    <w:rsid w:val="00CC69D1"/>
    <w:rsid w:val="00CC7215"/>
    <w:rsid w:val="00CC774E"/>
    <w:rsid w:val="00CC7800"/>
    <w:rsid w:val="00CC782A"/>
    <w:rsid w:val="00CC794B"/>
    <w:rsid w:val="00CC7AF7"/>
    <w:rsid w:val="00CD013C"/>
    <w:rsid w:val="00CD07D1"/>
    <w:rsid w:val="00CD0FD7"/>
    <w:rsid w:val="00CD1B8C"/>
    <w:rsid w:val="00CD25C8"/>
    <w:rsid w:val="00CD2BE3"/>
    <w:rsid w:val="00CD2EF6"/>
    <w:rsid w:val="00CD34EB"/>
    <w:rsid w:val="00CD3546"/>
    <w:rsid w:val="00CD3C64"/>
    <w:rsid w:val="00CD40A5"/>
    <w:rsid w:val="00CD423B"/>
    <w:rsid w:val="00CD49E2"/>
    <w:rsid w:val="00CD4A6F"/>
    <w:rsid w:val="00CD4DBB"/>
    <w:rsid w:val="00CD5BA1"/>
    <w:rsid w:val="00CD5D6A"/>
    <w:rsid w:val="00CD5F82"/>
    <w:rsid w:val="00CD6052"/>
    <w:rsid w:val="00CD60A2"/>
    <w:rsid w:val="00CD612D"/>
    <w:rsid w:val="00CD635A"/>
    <w:rsid w:val="00CD6B13"/>
    <w:rsid w:val="00CD6CA6"/>
    <w:rsid w:val="00CD6CF3"/>
    <w:rsid w:val="00CD6D3C"/>
    <w:rsid w:val="00CD6F06"/>
    <w:rsid w:val="00CD7212"/>
    <w:rsid w:val="00CD7224"/>
    <w:rsid w:val="00CE0474"/>
    <w:rsid w:val="00CE0A76"/>
    <w:rsid w:val="00CE0A80"/>
    <w:rsid w:val="00CE0AAB"/>
    <w:rsid w:val="00CE0EEE"/>
    <w:rsid w:val="00CE12EA"/>
    <w:rsid w:val="00CE13F4"/>
    <w:rsid w:val="00CE16C3"/>
    <w:rsid w:val="00CE1944"/>
    <w:rsid w:val="00CE1BCA"/>
    <w:rsid w:val="00CE2473"/>
    <w:rsid w:val="00CE2820"/>
    <w:rsid w:val="00CE28C0"/>
    <w:rsid w:val="00CE2A94"/>
    <w:rsid w:val="00CE2DB8"/>
    <w:rsid w:val="00CE38AA"/>
    <w:rsid w:val="00CE3961"/>
    <w:rsid w:val="00CE445B"/>
    <w:rsid w:val="00CE44A1"/>
    <w:rsid w:val="00CE47BA"/>
    <w:rsid w:val="00CE47EE"/>
    <w:rsid w:val="00CE49C9"/>
    <w:rsid w:val="00CE4B07"/>
    <w:rsid w:val="00CE4C78"/>
    <w:rsid w:val="00CE51B0"/>
    <w:rsid w:val="00CE5345"/>
    <w:rsid w:val="00CE551A"/>
    <w:rsid w:val="00CE570E"/>
    <w:rsid w:val="00CE58B6"/>
    <w:rsid w:val="00CE58C1"/>
    <w:rsid w:val="00CE5E55"/>
    <w:rsid w:val="00CE5ED2"/>
    <w:rsid w:val="00CE6574"/>
    <w:rsid w:val="00CE6B22"/>
    <w:rsid w:val="00CE6B6A"/>
    <w:rsid w:val="00CE7258"/>
    <w:rsid w:val="00CE743B"/>
    <w:rsid w:val="00CE74F2"/>
    <w:rsid w:val="00CE7BD2"/>
    <w:rsid w:val="00CF05C5"/>
    <w:rsid w:val="00CF09E3"/>
    <w:rsid w:val="00CF0BDB"/>
    <w:rsid w:val="00CF1546"/>
    <w:rsid w:val="00CF1D18"/>
    <w:rsid w:val="00CF1DBE"/>
    <w:rsid w:val="00CF1F7F"/>
    <w:rsid w:val="00CF225C"/>
    <w:rsid w:val="00CF23B1"/>
    <w:rsid w:val="00CF276B"/>
    <w:rsid w:val="00CF29CE"/>
    <w:rsid w:val="00CF29E2"/>
    <w:rsid w:val="00CF2D0E"/>
    <w:rsid w:val="00CF2E1B"/>
    <w:rsid w:val="00CF2E5F"/>
    <w:rsid w:val="00CF3044"/>
    <w:rsid w:val="00CF3293"/>
    <w:rsid w:val="00CF32F4"/>
    <w:rsid w:val="00CF3AEF"/>
    <w:rsid w:val="00CF3D0F"/>
    <w:rsid w:val="00CF3FCE"/>
    <w:rsid w:val="00CF410C"/>
    <w:rsid w:val="00CF42BF"/>
    <w:rsid w:val="00CF465A"/>
    <w:rsid w:val="00CF47D5"/>
    <w:rsid w:val="00CF4AA9"/>
    <w:rsid w:val="00CF4AB6"/>
    <w:rsid w:val="00CF52E0"/>
    <w:rsid w:val="00CF5477"/>
    <w:rsid w:val="00CF5ACD"/>
    <w:rsid w:val="00CF5E49"/>
    <w:rsid w:val="00CF5F76"/>
    <w:rsid w:val="00CF62EC"/>
    <w:rsid w:val="00CF6549"/>
    <w:rsid w:val="00CF695A"/>
    <w:rsid w:val="00CF6A19"/>
    <w:rsid w:val="00CF6C68"/>
    <w:rsid w:val="00CF6FBB"/>
    <w:rsid w:val="00CF7148"/>
    <w:rsid w:val="00CF72C6"/>
    <w:rsid w:val="00CF735D"/>
    <w:rsid w:val="00CF755A"/>
    <w:rsid w:val="00CF762A"/>
    <w:rsid w:val="00CF76AE"/>
    <w:rsid w:val="00CF7C81"/>
    <w:rsid w:val="00CF7D15"/>
    <w:rsid w:val="00D00389"/>
    <w:rsid w:val="00D00478"/>
    <w:rsid w:val="00D00CAC"/>
    <w:rsid w:val="00D00E0D"/>
    <w:rsid w:val="00D00E79"/>
    <w:rsid w:val="00D00F31"/>
    <w:rsid w:val="00D011DB"/>
    <w:rsid w:val="00D0186E"/>
    <w:rsid w:val="00D0213A"/>
    <w:rsid w:val="00D02628"/>
    <w:rsid w:val="00D0283D"/>
    <w:rsid w:val="00D02BED"/>
    <w:rsid w:val="00D033DC"/>
    <w:rsid w:val="00D037AE"/>
    <w:rsid w:val="00D037D5"/>
    <w:rsid w:val="00D039A6"/>
    <w:rsid w:val="00D03A42"/>
    <w:rsid w:val="00D03BCF"/>
    <w:rsid w:val="00D0406D"/>
    <w:rsid w:val="00D043C9"/>
    <w:rsid w:val="00D044A1"/>
    <w:rsid w:val="00D047FB"/>
    <w:rsid w:val="00D04945"/>
    <w:rsid w:val="00D0496E"/>
    <w:rsid w:val="00D04B1B"/>
    <w:rsid w:val="00D051B7"/>
    <w:rsid w:val="00D05436"/>
    <w:rsid w:val="00D0555B"/>
    <w:rsid w:val="00D055B0"/>
    <w:rsid w:val="00D059AF"/>
    <w:rsid w:val="00D05F0F"/>
    <w:rsid w:val="00D064F8"/>
    <w:rsid w:val="00D06956"/>
    <w:rsid w:val="00D06B44"/>
    <w:rsid w:val="00D06CE4"/>
    <w:rsid w:val="00D06D15"/>
    <w:rsid w:val="00D06F67"/>
    <w:rsid w:val="00D072DE"/>
    <w:rsid w:val="00D07403"/>
    <w:rsid w:val="00D074EC"/>
    <w:rsid w:val="00D075C1"/>
    <w:rsid w:val="00D07780"/>
    <w:rsid w:val="00D07AA6"/>
    <w:rsid w:val="00D07DA1"/>
    <w:rsid w:val="00D07E1B"/>
    <w:rsid w:val="00D10407"/>
    <w:rsid w:val="00D1049C"/>
    <w:rsid w:val="00D105E2"/>
    <w:rsid w:val="00D10CA6"/>
    <w:rsid w:val="00D10D4C"/>
    <w:rsid w:val="00D10EF6"/>
    <w:rsid w:val="00D1100E"/>
    <w:rsid w:val="00D11FAB"/>
    <w:rsid w:val="00D1234D"/>
    <w:rsid w:val="00D12DC6"/>
    <w:rsid w:val="00D12FCD"/>
    <w:rsid w:val="00D1343E"/>
    <w:rsid w:val="00D1367D"/>
    <w:rsid w:val="00D137CA"/>
    <w:rsid w:val="00D139BB"/>
    <w:rsid w:val="00D139EE"/>
    <w:rsid w:val="00D13B7F"/>
    <w:rsid w:val="00D13C07"/>
    <w:rsid w:val="00D1417C"/>
    <w:rsid w:val="00D141A2"/>
    <w:rsid w:val="00D14259"/>
    <w:rsid w:val="00D143F4"/>
    <w:rsid w:val="00D14444"/>
    <w:rsid w:val="00D1486F"/>
    <w:rsid w:val="00D148D7"/>
    <w:rsid w:val="00D1493E"/>
    <w:rsid w:val="00D1498F"/>
    <w:rsid w:val="00D1509A"/>
    <w:rsid w:val="00D1536D"/>
    <w:rsid w:val="00D1551A"/>
    <w:rsid w:val="00D1572E"/>
    <w:rsid w:val="00D1603E"/>
    <w:rsid w:val="00D169C0"/>
    <w:rsid w:val="00D171D2"/>
    <w:rsid w:val="00D1735B"/>
    <w:rsid w:val="00D175A0"/>
    <w:rsid w:val="00D20331"/>
    <w:rsid w:val="00D204B0"/>
    <w:rsid w:val="00D207B7"/>
    <w:rsid w:val="00D20B3E"/>
    <w:rsid w:val="00D20E3E"/>
    <w:rsid w:val="00D210F0"/>
    <w:rsid w:val="00D21A67"/>
    <w:rsid w:val="00D21A82"/>
    <w:rsid w:val="00D21BA8"/>
    <w:rsid w:val="00D21D3F"/>
    <w:rsid w:val="00D221DA"/>
    <w:rsid w:val="00D22248"/>
    <w:rsid w:val="00D2265D"/>
    <w:rsid w:val="00D23054"/>
    <w:rsid w:val="00D231F7"/>
    <w:rsid w:val="00D23470"/>
    <w:rsid w:val="00D23C29"/>
    <w:rsid w:val="00D23EF9"/>
    <w:rsid w:val="00D24746"/>
    <w:rsid w:val="00D24B68"/>
    <w:rsid w:val="00D25068"/>
    <w:rsid w:val="00D25275"/>
    <w:rsid w:val="00D25382"/>
    <w:rsid w:val="00D2565B"/>
    <w:rsid w:val="00D257A5"/>
    <w:rsid w:val="00D258CC"/>
    <w:rsid w:val="00D25A01"/>
    <w:rsid w:val="00D25AEB"/>
    <w:rsid w:val="00D25CCE"/>
    <w:rsid w:val="00D2638B"/>
    <w:rsid w:val="00D2652F"/>
    <w:rsid w:val="00D26686"/>
    <w:rsid w:val="00D268A9"/>
    <w:rsid w:val="00D26DD7"/>
    <w:rsid w:val="00D26EE8"/>
    <w:rsid w:val="00D279DE"/>
    <w:rsid w:val="00D27B59"/>
    <w:rsid w:val="00D30796"/>
    <w:rsid w:val="00D30BE6"/>
    <w:rsid w:val="00D3109A"/>
    <w:rsid w:val="00D3121D"/>
    <w:rsid w:val="00D31229"/>
    <w:rsid w:val="00D3124A"/>
    <w:rsid w:val="00D31340"/>
    <w:rsid w:val="00D31691"/>
    <w:rsid w:val="00D318BB"/>
    <w:rsid w:val="00D31A97"/>
    <w:rsid w:val="00D31AD8"/>
    <w:rsid w:val="00D31EC9"/>
    <w:rsid w:val="00D323CC"/>
    <w:rsid w:val="00D323CF"/>
    <w:rsid w:val="00D323F5"/>
    <w:rsid w:val="00D32546"/>
    <w:rsid w:val="00D325C4"/>
    <w:rsid w:val="00D3261A"/>
    <w:rsid w:val="00D3276C"/>
    <w:rsid w:val="00D32778"/>
    <w:rsid w:val="00D327A3"/>
    <w:rsid w:val="00D32A05"/>
    <w:rsid w:val="00D32DD0"/>
    <w:rsid w:val="00D3308B"/>
    <w:rsid w:val="00D330A4"/>
    <w:rsid w:val="00D330ED"/>
    <w:rsid w:val="00D3324B"/>
    <w:rsid w:val="00D33B43"/>
    <w:rsid w:val="00D33C56"/>
    <w:rsid w:val="00D33C6B"/>
    <w:rsid w:val="00D33FE0"/>
    <w:rsid w:val="00D34365"/>
    <w:rsid w:val="00D346CE"/>
    <w:rsid w:val="00D347ED"/>
    <w:rsid w:val="00D34814"/>
    <w:rsid w:val="00D34E74"/>
    <w:rsid w:val="00D34F22"/>
    <w:rsid w:val="00D35035"/>
    <w:rsid w:val="00D350BA"/>
    <w:rsid w:val="00D352FC"/>
    <w:rsid w:val="00D354F9"/>
    <w:rsid w:val="00D35B68"/>
    <w:rsid w:val="00D3672D"/>
    <w:rsid w:val="00D36CDB"/>
    <w:rsid w:val="00D36FE1"/>
    <w:rsid w:val="00D3708F"/>
    <w:rsid w:val="00D37276"/>
    <w:rsid w:val="00D37C37"/>
    <w:rsid w:val="00D37CF1"/>
    <w:rsid w:val="00D4024A"/>
    <w:rsid w:val="00D4027E"/>
    <w:rsid w:val="00D4062E"/>
    <w:rsid w:val="00D407D0"/>
    <w:rsid w:val="00D40C44"/>
    <w:rsid w:val="00D40D04"/>
    <w:rsid w:val="00D40EB2"/>
    <w:rsid w:val="00D40FAE"/>
    <w:rsid w:val="00D41170"/>
    <w:rsid w:val="00D412AF"/>
    <w:rsid w:val="00D415FB"/>
    <w:rsid w:val="00D418A4"/>
    <w:rsid w:val="00D41D7A"/>
    <w:rsid w:val="00D41F17"/>
    <w:rsid w:val="00D4220E"/>
    <w:rsid w:val="00D42994"/>
    <w:rsid w:val="00D42999"/>
    <w:rsid w:val="00D429D1"/>
    <w:rsid w:val="00D42D20"/>
    <w:rsid w:val="00D42E9C"/>
    <w:rsid w:val="00D42F05"/>
    <w:rsid w:val="00D430C4"/>
    <w:rsid w:val="00D43171"/>
    <w:rsid w:val="00D43534"/>
    <w:rsid w:val="00D43DB8"/>
    <w:rsid w:val="00D43EF7"/>
    <w:rsid w:val="00D441C9"/>
    <w:rsid w:val="00D443BD"/>
    <w:rsid w:val="00D44691"/>
    <w:rsid w:val="00D448B1"/>
    <w:rsid w:val="00D452FC"/>
    <w:rsid w:val="00D4562A"/>
    <w:rsid w:val="00D4567F"/>
    <w:rsid w:val="00D45879"/>
    <w:rsid w:val="00D45D8C"/>
    <w:rsid w:val="00D45E58"/>
    <w:rsid w:val="00D470AE"/>
    <w:rsid w:val="00D47277"/>
    <w:rsid w:val="00D47504"/>
    <w:rsid w:val="00D4760F"/>
    <w:rsid w:val="00D47674"/>
    <w:rsid w:val="00D47A5A"/>
    <w:rsid w:val="00D47D4A"/>
    <w:rsid w:val="00D47D80"/>
    <w:rsid w:val="00D50617"/>
    <w:rsid w:val="00D50784"/>
    <w:rsid w:val="00D50813"/>
    <w:rsid w:val="00D5085C"/>
    <w:rsid w:val="00D5087E"/>
    <w:rsid w:val="00D509C6"/>
    <w:rsid w:val="00D5161F"/>
    <w:rsid w:val="00D51933"/>
    <w:rsid w:val="00D51A40"/>
    <w:rsid w:val="00D51A80"/>
    <w:rsid w:val="00D51EEA"/>
    <w:rsid w:val="00D5222B"/>
    <w:rsid w:val="00D52250"/>
    <w:rsid w:val="00D524CB"/>
    <w:rsid w:val="00D52554"/>
    <w:rsid w:val="00D52783"/>
    <w:rsid w:val="00D52853"/>
    <w:rsid w:val="00D528D2"/>
    <w:rsid w:val="00D52B1C"/>
    <w:rsid w:val="00D52F09"/>
    <w:rsid w:val="00D531B9"/>
    <w:rsid w:val="00D5325D"/>
    <w:rsid w:val="00D53681"/>
    <w:rsid w:val="00D53760"/>
    <w:rsid w:val="00D53BD0"/>
    <w:rsid w:val="00D53DC3"/>
    <w:rsid w:val="00D53FD3"/>
    <w:rsid w:val="00D54264"/>
    <w:rsid w:val="00D54CFF"/>
    <w:rsid w:val="00D550CD"/>
    <w:rsid w:val="00D5538E"/>
    <w:rsid w:val="00D55805"/>
    <w:rsid w:val="00D55B9E"/>
    <w:rsid w:val="00D55D09"/>
    <w:rsid w:val="00D5657D"/>
    <w:rsid w:val="00D565C8"/>
    <w:rsid w:val="00D567C9"/>
    <w:rsid w:val="00D56A09"/>
    <w:rsid w:val="00D57E04"/>
    <w:rsid w:val="00D57F25"/>
    <w:rsid w:val="00D601EA"/>
    <w:rsid w:val="00D607F1"/>
    <w:rsid w:val="00D60BA8"/>
    <w:rsid w:val="00D611E5"/>
    <w:rsid w:val="00D612C6"/>
    <w:rsid w:val="00D61FC2"/>
    <w:rsid w:val="00D6245F"/>
    <w:rsid w:val="00D627EB"/>
    <w:rsid w:val="00D627F3"/>
    <w:rsid w:val="00D62811"/>
    <w:rsid w:val="00D6284B"/>
    <w:rsid w:val="00D62E7A"/>
    <w:rsid w:val="00D62E87"/>
    <w:rsid w:val="00D63110"/>
    <w:rsid w:val="00D63149"/>
    <w:rsid w:val="00D6383B"/>
    <w:rsid w:val="00D64989"/>
    <w:rsid w:val="00D64A23"/>
    <w:rsid w:val="00D64D63"/>
    <w:rsid w:val="00D64EFA"/>
    <w:rsid w:val="00D654A6"/>
    <w:rsid w:val="00D6556D"/>
    <w:rsid w:val="00D65592"/>
    <w:rsid w:val="00D657B7"/>
    <w:rsid w:val="00D657C3"/>
    <w:rsid w:val="00D65A81"/>
    <w:rsid w:val="00D65C6C"/>
    <w:rsid w:val="00D6657D"/>
    <w:rsid w:val="00D66AEF"/>
    <w:rsid w:val="00D671CA"/>
    <w:rsid w:val="00D67527"/>
    <w:rsid w:val="00D67AB0"/>
    <w:rsid w:val="00D67ABB"/>
    <w:rsid w:val="00D67E13"/>
    <w:rsid w:val="00D701D3"/>
    <w:rsid w:val="00D70242"/>
    <w:rsid w:val="00D702AF"/>
    <w:rsid w:val="00D70548"/>
    <w:rsid w:val="00D7085B"/>
    <w:rsid w:val="00D71C8D"/>
    <w:rsid w:val="00D71D64"/>
    <w:rsid w:val="00D71D82"/>
    <w:rsid w:val="00D723CF"/>
    <w:rsid w:val="00D72649"/>
    <w:rsid w:val="00D72664"/>
    <w:rsid w:val="00D7283A"/>
    <w:rsid w:val="00D72BC1"/>
    <w:rsid w:val="00D72D06"/>
    <w:rsid w:val="00D7329E"/>
    <w:rsid w:val="00D73AB9"/>
    <w:rsid w:val="00D73DE8"/>
    <w:rsid w:val="00D73EB3"/>
    <w:rsid w:val="00D74A79"/>
    <w:rsid w:val="00D74B71"/>
    <w:rsid w:val="00D75676"/>
    <w:rsid w:val="00D75808"/>
    <w:rsid w:val="00D75AEC"/>
    <w:rsid w:val="00D75B18"/>
    <w:rsid w:val="00D75EF6"/>
    <w:rsid w:val="00D7606A"/>
    <w:rsid w:val="00D7626B"/>
    <w:rsid w:val="00D76A13"/>
    <w:rsid w:val="00D76C2F"/>
    <w:rsid w:val="00D76C47"/>
    <w:rsid w:val="00D76D67"/>
    <w:rsid w:val="00D77008"/>
    <w:rsid w:val="00D77438"/>
    <w:rsid w:val="00D7769F"/>
    <w:rsid w:val="00D776D1"/>
    <w:rsid w:val="00D77997"/>
    <w:rsid w:val="00D77CDA"/>
    <w:rsid w:val="00D804B8"/>
    <w:rsid w:val="00D806A1"/>
    <w:rsid w:val="00D80D5F"/>
    <w:rsid w:val="00D81675"/>
    <w:rsid w:val="00D82160"/>
    <w:rsid w:val="00D82443"/>
    <w:rsid w:val="00D827B9"/>
    <w:rsid w:val="00D82D94"/>
    <w:rsid w:val="00D836A2"/>
    <w:rsid w:val="00D8375D"/>
    <w:rsid w:val="00D8384F"/>
    <w:rsid w:val="00D84237"/>
    <w:rsid w:val="00D842D7"/>
    <w:rsid w:val="00D843BF"/>
    <w:rsid w:val="00D84AB3"/>
    <w:rsid w:val="00D84B16"/>
    <w:rsid w:val="00D84EE7"/>
    <w:rsid w:val="00D8503C"/>
    <w:rsid w:val="00D8515B"/>
    <w:rsid w:val="00D852A0"/>
    <w:rsid w:val="00D852DB"/>
    <w:rsid w:val="00D85353"/>
    <w:rsid w:val="00D855DB"/>
    <w:rsid w:val="00D85C1C"/>
    <w:rsid w:val="00D86197"/>
    <w:rsid w:val="00D8628A"/>
    <w:rsid w:val="00D867BF"/>
    <w:rsid w:val="00D86843"/>
    <w:rsid w:val="00D86E4C"/>
    <w:rsid w:val="00D86E6D"/>
    <w:rsid w:val="00D876E0"/>
    <w:rsid w:val="00D87C3A"/>
    <w:rsid w:val="00D905FE"/>
    <w:rsid w:val="00D914A9"/>
    <w:rsid w:val="00D916CC"/>
    <w:rsid w:val="00D91C73"/>
    <w:rsid w:val="00D91CE5"/>
    <w:rsid w:val="00D91CEA"/>
    <w:rsid w:val="00D91D7B"/>
    <w:rsid w:val="00D9211C"/>
    <w:rsid w:val="00D923F9"/>
    <w:rsid w:val="00D92814"/>
    <w:rsid w:val="00D92AAC"/>
    <w:rsid w:val="00D92BE9"/>
    <w:rsid w:val="00D92E3C"/>
    <w:rsid w:val="00D931C3"/>
    <w:rsid w:val="00D9320F"/>
    <w:rsid w:val="00D93317"/>
    <w:rsid w:val="00D9344D"/>
    <w:rsid w:val="00D93651"/>
    <w:rsid w:val="00D938AE"/>
    <w:rsid w:val="00D93B3E"/>
    <w:rsid w:val="00D93BF3"/>
    <w:rsid w:val="00D93C17"/>
    <w:rsid w:val="00D944B1"/>
    <w:rsid w:val="00D94DA3"/>
    <w:rsid w:val="00D950D3"/>
    <w:rsid w:val="00D952D2"/>
    <w:rsid w:val="00D95552"/>
    <w:rsid w:val="00D9569F"/>
    <w:rsid w:val="00D95812"/>
    <w:rsid w:val="00D95F25"/>
    <w:rsid w:val="00D96746"/>
    <w:rsid w:val="00D96905"/>
    <w:rsid w:val="00D96C4E"/>
    <w:rsid w:val="00D97277"/>
    <w:rsid w:val="00D974D0"/>
    <w:rsid w:val="00D97A3D"/>
    <w:rsid w:val="00DA05C9"/>
    <w:rsid w:val="00DA09BD"/>
    <w:rsid w:val="00DA0A28"/>
    <w:rsid w:val="00DA12E9"/>
    <w:rsid w:val="00DA1590"/>
    <w:rsid w:val="00DA1CA7"/>
    <w:rsid w:val="00DA2271"/>
    <w:rsid w:val="00DA233E"/>
    <w:rsid w:val="00DA27C7"/>
    <w:rsid w:val="00DA2E99"/>
    <w:rsid w:val="00DA3007"/>
    <w:rsid w:val="00DA3237"/>
    <w:rsid w:val="00DA3ECA"/>
    <w:rsid w:val="00DA3EDD"/>
    <w:rsid w:val="00DA41E4"/>
    <w:rsid w:val="00DA43CD"/>
    <w:rsid w:val="00DA499D"/>
    <w:rsid w:val="00DA4DF2"/>
    <w:rsid w:val="00DA5187"/>
    <w:rsid w:val="00DA53D3"/>
    <w:rsid w:val="00DA57A5"/>
    <w:rsid w:val="00DA5ED4"/>
    <w:rsid w:val="00DA5F37"/>
    <w:rsid w:val="00DA62A4"/>
    <w:rsid w:val="00DA6312"/>
    <w:rsid w:val="00DA64B1"/>
    <w:rsid w:val="00DA6624"/>
    <w:rsid w:val="00DA6932"/>
    <w:rsid w:val="00DA6A8C"/>
    <w:rsid w:val="00DA7128"/>
    <w:rsid w:val="00DA7212"/>
    <w:rsid w:val="00DA747E"/>
    <w:rsid w:val="00DA75F5"/>
    <w:rsid w:val="00DA7A2E"/>
    <w:rsid w:val="00DA7D7F"/>
    <w:rsid w:val="00DA7DE2"/>
    <w:rsid w:val="00DA7E29"/>
    <w:rsid w:val="00DB0629"/>
    <w:rsid w:val="00DB0A6F"/>
    <w:rsid w:val="00DB1100"/>
    <w:rsid w:val="00DB12F9"/>
    <w:rsid w:val="00DB1497"/>
    <w:rsid w:val="00DB1ADD"/>
    <w:rsid w:val="00DB1C20"/>
    <w:rsid w:val="00DB1D38"/>
    <w:rsid w:val="00DB1EB3"/>
    <w:rsid w:val="00DB201F"/>
    <w:rsid w:val="00DB209C"/>
    <w:rsid w:val="00DB268C"/>
    <w:rsid w:val="00DB2C4C"/>
    <w:rsid w:val="00DB2DCD"/>
    <w:rsid w:val="00DB3377"/>
    <w:rsid w:val="00DB35FC"/>
    <w:rsid w:val="00DB3762"/>
    <w:rsid w:val="00DB3E37"/>
    <w:rsid w:val="00DB3F75"/>
    <w:rsid w:val="00DB41BA"/>
    <w:rsid w:val="00DB4890"/>
    <w:rsid w:val="00DB4AE0"/>
    <w:rsid w:val="00DB4B42"/>
    <w:rsid w:val="00DB529D"/>
    <w:rsid w:val="00DB5319"/>
    <w:rsid w:val="00DB597E"/>
    <w:rsid w:val="00DB5CF1"/>
    <w:rsid w:val="00DB5E0C"/>
    <w:rsid w:val="00DB6090"/>
    <w:rsid w:val="00DB64F1"/>
    <w:rsid w:val="00DB68D8"/>
    <w:rsid w:val="00DB6C84"/>
    <w:rsid w:val="00DB6CA0"/>
    <w:rsid w:val="00DB6CF8"/>
    <w:rsid w:val="00DB7013"/>
    <w:rsid w:val="00DB7466"/>
    <w:rsid w:val="00DB7814"/>
    <w:rsid w:val="00DB7837"/>
    <w:rsid w:val="00DB7FBC"/>
    <w:rsid w:val="00DC0467"/>
    <w:rsid w:val="00DC0882"/>
    <w:rsid w:val="00DC0EB7"/>
    <w:rsid w:val="00DC0F5E"/>
    <w:rsid w:val="00DC11D0"/>
    <w:rsid w:val="00DC1403"/>
    <w:rsid w:val="00DC1E94"/>
    <w:rsid w:val="00DC22C9"/>
    <w:rsid w:val="00DC3678"/>
    <w:rsid w:val="00DC36C4"/>
    <w:rsid w:val="00DC382A"/>
    <w:rsid w:val="00DC3A9D"/>
    <w:rsid w:val="00DC3B23"/>
    <w:rsid w:val="00DC3BBD"/>
    <w:rsid w:val="00DC402D"/>
    <w:rsid w:val="00DC40FC"/>
    <w:rsid w:val="00DC4386"/>
    <w:rsid w:val="00DC4674"/>
    <w:rsid w:val="00DC49C6"/>
    <w:rsid w:val="00DC4D3E"/>
    <w:rsid w:val="00DC53CB"/>
    <w:rsid w:val="00DC5A13"/>
    <w:rsid w:val="00DC5B95"/>
    <w:rsid w:val="00DC5F89"/>
    <w:rsid w:val="00DC6152"/>
    <w:rsid w:val="00DC622C"/>
    <w:rsid w:val="00DC622D"/>
    <w:rsid w:val="00DC63E8"/>
    <w:rsid w:val="00DC645C"/>
    <w:rsid w:val="00DC673E"/>
    <w:rsid w:val="00DC6B68"/>
    <w:rsid w:val="00DC6BEF"/>
    <w:rsid w:val="00DC6C19"/>
    <w:rsid w:val="00DC6F96"/>
    <w:rsid w:val="00DC6F9C"/>
    <w:rsid w:val="00DC70D1"/>
    <w:rsid w:val="00DC72EA"/>
    <w:rsid w:val="00DC7696"/>
    <w:rsid w:val="00DC7784"/>
    <w:rsid w:val="00DC786E"/>
    <w:rsid w:val="00DC79C9"/>
    <w:rsid w:val="00DC7C0B"/>
    <w:rsid w:val="00DD022C"/>
    <w:rsid w:val="00DD0642"/>
    <w:rsid w:val="00DD0BFD"/>
    <w:rsid w:val="00DD0D86"/>
    <w:rsid w:val="00DD0E58"/>
    <w:rsid w:val="00DD1728"/>
    <w:rsid w:val="00DD18AC"/>
    <w:rsid w:val="00DD1D7D"/>
    <w:rsid w:val="00DD2CF2"/>
    <w:rsid w:val="00DD2E4A"/>
    <w:rsid w:val="00DD355C"/>
    <w:rsid w:val="00DD3B4E"/>
    <w:rsid w:val="00DD41F5"/>
    <w:rsid w:val="00DD4232"/>
    <w:rsid w:val="00DD4445"/>
    <w:rsid w:val="00DD4AD4"/>
    <w:rsid w:val="00DD4B65"/>
    <w:rsid w:val="00DD4D19"/>
    <w:rsid w:val="00DD5208"/>
    <w:rsid w:val="00DD5226"/>
    <w:rsid w:val="00DD593E"/>
    <w:rsid w:val="00DD6197"/>
    <w:rsid w:val="00DD635C"/>
    <w:rsid w:val="00DD68ED"/>
    <w:rsid w:val="00DD69D0"/>
    <w:rsid w:val="00DD69EC"/>
    <w:rsid w:val="00DD6A31"/>
    <w:rsid w:val="00DD6A38"/>
    <w:rsid w:val="00DD6B21"/>
    <w:rsid w:val="00DD71C6"/>
    <w:rsid w:val="00DD73AD"/>
    <w:rsid w:val="00DD74E6"/>
    <w:rsid w:val="00DD755B"/>
    <w:rsid w:val="00DD75E5"/>
    <w:rsid w:val="00DD77DC"/>
    <w:rsid w:val="00DD7967"/>
    <w:rsid w:val="00DD7CAF"/>
    <w:rsid w:val="00DD7D29"/>
    <w:rsid w:val="00DE022E"/>
    <w:rsid w:val="00DE090E"/>
    <w:rsid w:val="00DE0AC4"/>
    <w:rsid w:val="00DE0F15"/>
    <w:rsid w:val="00DE10EE"/>
    <w:rsid w:val="00DE19EA"/>
    <w:rsid w:val="00DE253F"/>
    <w:rsid w:val="00DE2677"/>
    <w:rsid w:val="00DE2DE7"/>
    <w:rsid w:val="00DE3DFB"/>
    <w:rsid w:val="00DE3E37"/>
    <w:rsid w:val="00DE3FDB"/>
    <w:rsid w:val="00DE401A"/>
    <w:rsid w:val="00DE4723"/>
    <w:rsid w:val="00DE4AFC"/>
    <w:rsid w:val="00DE4B5F"/>
    <w:rsid w:val="00DE4FF7"/>
    <w:rsid w:val="00DE5376"/>
    <w:rsid w:val="00DE5A90"/>
    <w:rsid w:val="00DE5EF3"/>
    <w:rsid w:val="00DE61D9"/>
    <w:rsid w:val="00DE6289"/>
    <w:rsid w:val="00DE665F"/>
    <w:rsid w:val="00DE67AE"/>
    <w:rsid w:val="00DE6822"/>
    <w:rsid w:val="00DE6961"/>
    <w:rsid w:val="00DE69E1"/>
    <w:rsid w:val="00DE6AA7"/>
    <w:rsid w:val="00DE7667"/>
    <w:rsid w:val="00DE7899"/>
    <w:rsid w:val="00DE7B75"/>
    <w:rsid w:val="00DE7D08"/>
    <w:rsid w:val="00DF02FA"/>
    <w:rsid w:val="00DF031C"/>
    <w:rsid w:val="00DF12C8"/>
    <w:rsid w:val="00DF1B1E"/>
    <w:rsid w:val="00DF1C73"/>
    <w:rsid w:val="00DF1FB3"/>
    <w:rsid w:val="00DF2243"/>
    <w:rsid w:val="00DF2305"/>
    <w:rsid w:val="00DF2468"/>
    <w:rsid w:val="00DF2BDA"/>
    <w:rsid w:val="00DF3323"/>
    <w:rsid w:val="00DF355E"/>
    <w:rsid w:val="00DF36B1"/>
    <w:rsid w:val="00DF389C"/>
    <w:rsid w:val="00DF46B4"/>
    <w:rsid w:val="00DF4846"/>
    <w:rsid w:val="00DF542F"/>
    <w:rsid w:val="00DF5525"/>
    <w:rsid w:val="00DF5739"/>
    <w:rsid w:val="00DF58AB"/>
    <w:rsid w:val="00DF5920"/>
    <w:rsid w:val="00DF6CCC"/>
    <w:rsid w:val="00DF73EF"/>
    <w:rsid w:val="00DF74D1"/>
    <w:rsid w:val="00DF7D1A"/>
    <w:rsid w:val="00E0031B"/>
    <w:rsid w:val="00E00A07"/>
    <w:rsid w:val="00E00D0E"/>
    <w:rsid w:val="00E01A40"/>
    <w:rsid w:val="00E01AD8"/>
    <w:rsid w:val="00E01C7A"/>
    <w:rsid w:val="00E01F4B"/>
    <w:rsid w:val="00E02437"/>
    <w:rsid w:val="00E02667"/>
    <w:rsid w:val="00E032D7"/>
    <w:rsid w:val="00E03582"/>
    <w:rsid w:val="00E037D2"/>
    <w:rsid w:val="00E039E6"/>
    <w:rsid w:val="00E04423"/>
    <w:rsid w:val="00E04548"/>
    <w:rsid w:val="00E047E8"/>
    <w:rsid w:val="00E055FF"/>
    <w:rsid w:val="00E06C13"/>
    <w:rsid w:val="00E06D68"/>
    <w:rsid w:val="00E0721C"/>
    <w:rsid w:val="00E07645"/>
    <w:rsid w:val="00E079D4"/>
    <w:rsid w:val="00E10142"/>
    <w:rsid w:val="00E102F6"/>
    <w:rsid w:val="00E105E6"/>
    <w:rsid w:val="00E10815"/>
    <w:rsid w:val="00E10A42"/>
    <w:rsid w:val="00E11118"/>
    <w:rsid w:val="00E1190F"/>
    <w:rsid w:val="00E11A15"/>
    <w:rsid w:val="00E11C00"/>
    <w:rsid w:val="00E11C56"/>
    <w:rsid w:val="00E11F6C"/>
    <w:rsid w:val="00E12095"/>
    <w:rsid w:val="00E124DD"/>
    <w:rsid w:val="00E1279C"/>
    <w:rsid w:val="00E12A85"/>
    <w:rsid w:val="00E12CB9"/>
    <w:rsid w:val="00E12CD1"/>
    <w:rsid w:val="00E133A1"/>
    <w:rsid w:val="00E13587"/>
    <w:rsid w:val="00E14583"/>
    <w:rsid w:val="00E14736"/>
    <w:rsid w:val="00E150F0"/>
    <w:rsid w:val="00E15517"/>
    <w:rsid w:val="00E155EF"/>
    <w:rsid w:val="00E15889"/>
    <w:rsid w:val="00E15B34"/>
    <w:rsid w:val="00E15CC5"/>
    <w:rsid w:val="00E15CC7"/>
    <w:rsid w:val="00E1642D"/>
    <w:rsid w:val="00E1658C"/>
    <w:rsid w:val="00E170B3"/>
    <w:rsid w:val="00E1797A"/>
    <w:rsid w:val="00E20237"/>
    <w:rsid w:val="00E205DD"/>
    <w:rsid w:val="00E207EA"/>
    <w:rsid w:val="00E20BD6"/>
    <w:rsid w:val="00E20CC0"/>
    <w:rsid w:val="00E20E0E"/>
    <w:rsid w:val="00E215ED"/>
    <w:rsid w:val="00E218C7"/>
    <w:rsid w:val="00E21A6B"/>
    <w:rsid w:val="00E21DC2"/>
    <w:rsid w:val="00E21E67"/>
    <w:rsid w:val="00E21F36"/>
    <w:rsid w:val="00E22621"/>
    <w:rsid w:val="00E22860"/>
    <w:rsid w:val="00E229A9"/>
    <w:rsid w:val="00E22CE7"/>
    <w:rsid w:val="00E23074"/>
    <w:rsid w:val="00E23312"/>
    <w:rsid w:val="00E23361"/>
    <w:rsid w:val="00E23893"/>
    <w:rsid w:val="00E246C6"/>
    <w:rsid w:val="00E248ED"/>
    <w:rsid w:val="00E24CBD"/>
    <w:rsid w:val="00E24DD0"/>
    <w:rsid w:val="00E24FF2"/>
    <w:rsid w:val="00E251DB"/>
    <w:rsid w:val="00E2587F"/>
    <w:rsid w:val="00E25A26"/>
    <w:rsid w:val="00E25AC9"/>
    <w:rsid w:val="00E25C40"/>
    <w:rsid w:val="00E267A8"/>
    <w:rsid w:val="00E26FB3"/>
    <w:rsid w:val="00E274BF"/>
    <w:rsid w:val="00E27C04"/>
    <w:rsid w:val="00E27D9F"/>
    <w:rsid w:val="00E27E7A"/>
    <w:rsid w:val="00E27F2E"/>
    <w:rsid w:val="00E303B4"/>
    <w:rsid w:val="00E3059E"/>
    <w:rsid w:val="00E309DC"/>
    <w:rsid w:val="00E30BA6"/>
    <w:rsid w:val="00E30E04"/>
    <w:rsid w:val="00E316CA"/>
    <w:rsid w:val="00E319DD"/>
    <w:rsid w:val="00E31C46"/>
    <w:rsid w:val="00E31C5D"/>
    <w:rsid w:val="00E31D14"/>
    <w:rsid w:val="00E31D65"/>
    <w:rsid w:val="00E31D7C"/>
    <w:rsid w:val="00E31E25"/>
    <w:rsid w:val="00E31FC6"/>
    <w:rsid w:val="00E32A64"/>
    <w:rsid w:val="00E32B87"/>
    <w:rsid w:val="00E32CFA"/>
    <w:rsid w:val="00E32E71"/>
    <w:rsid w:val="00E332E4"/>
    <w:rsid w:val="00E33396"/>
    <w:rsid w:val="00E33504"/>
    <w:rsid w:val="00E337E6"/>
    <w:rsid w:val="00E33ACF"/>
    <w:rsid w:val="00E3402B"/>
    <w:rsid w:val="00E344DC"/>
    <w:rsid w:val="00E344FB"/>
    <w:rsid w:val="00E3453A"/>
    <w:rsid w:val="00E34CA7"/>
    <w:rsid w:val="00E34F9D"/>
    <w:rsid w:val="00E35400"/>
    <w:rsid w:val="00E35561"/>
    <w:rsid w:val="00E359FB"/>
    <w:rsid w:val="00E36335"/>
    <w:rsid w:val="00E363D5"/>
    <w:rsid w:val="00E365A8"/>
    <w:rsid w:val="00E36641"/>
    <w:rsid w:val="00E36CAB"/>
    <w:rsid w:val="00E36F43"/>
    <w:rsid w:val="00E3701B"/>
    <w:rsid w:val="00E37599"/>
    <w:rsid w:val="00E37DB9"/>
    <w:rsid w:val="00E4088B"/>
    <w:rsid w:val="00E40CA3"/>
    <w:rsid w:val="00E40CDE"/>
    <w:rsid w:val="00E40D5A"/>
    <w:rsid w:val="00E40DE4"/>
    <w:rsid w:val="00E413E2"/>
    <w:rsid w:val="00E4140F"/>
    <w:rsid w:val="00E41620"/>
    <w:rsid w:val="00E42405"/>
    <w:rsid w:val="00E42BF8"/>
    <w:rsid w:val="00E42F78"/>
    <w:rsid w:val="00E43586"/>
    <w:rsid w:val="00E435B5"/>
    <w:rsid w:val="00E435F1"/>
    <w:rsid w:val="00E43C60"/>
    <w:rsid w:val="00E43DE4"/>
    <w:rsid w:val="00E44A2A"/>
    <w:rsid w:val="00E44A83"/>
    <w:rsid w:val="00E44B03"/>
    <w:rsid w:val="00E451C2"/>
    <w:rsid w:val="00E4540D"/>
    <w:rsid w:val="00E4593F"/>
    <w:rsid w:val="00E45C48"/>
    <w:rsid w:val="00E46422"/>
    <w:rsid w:val="00E4667F"/>
    <w:rsid w:val="00E46E21"/>
    <w:rsid w:val="00E46EB0"/>
    <w:rsid w:val="00E46ECA"/>
    <w:rsid w:val="00E47147"/>
    <w:rsid w:val="00E4754E"/>
    <w:rsid w:val="00E4760A"/>
    <w:rsid w:val="00E47A23"/>
    <w:rsid w:val="00E47EDD"/>
    <w:rsid w:val="00E47F66"/>
    <w:rsid w:val="00E500A5"/>
    <w:rsid w:val="00E50119"/>
    <w:rsid w:val="00E501C5"/>
    <w:rsid w:val="00E502AA"/>
    <w:rsid w:val="00E50460"/>
    <w:rsid w:val="00E506B0"/>
    <w:rsid w:val="00E507A1"/>
    <w:rsid w:val="00E50945"/>
    <w:rsid w:val="00E50AC4"/>
    <w:rsid w:val="00E50B6B"/>
    <w:rsid w:val="00E51319"/>
    <w:rsid w:val="00E5138A"/>
    <w:rsid w:val="00E5155E"/>
    <w:rsid w:val="00E516F6"/>
    <w:rsid w:val="00E51B8B"/>
    <w:rsid w:val="00E51D8E"/>
    <w:rsid w:val="00E51FD2"/>
    <w:rsid w:val="00E52DD4"/>
    <w:rsid w:val="00E531AC"/>
    <w:rsid w:val="00E537E5"/>
    <w:rsid w:val="00E5394A"/>
    <w:rsid w:val="00E53D6C"/>
    <w:rsid w:val="00E5424A"/>
    <w:rsid w:val="00E54729"/>
    <w:rsid w:val="00E54962"/>
    <w:rsid w:val="00E549F3"/>
    <w:rsid w:val="00E54FDB"/>
    <w:rsid w:val="00E551C3"/>
    <w:rsid w:val="00E5529A"/>
    <w:rsid w:val="00E555D2"/>
    <w:rsid w:val="00E55982"/>
    <w:rsid w:val="00E55D7B"/>
    <w:rsid w:val="00E55FB0"/>
    <w:rsid w:val="00E56534"/>
    <w:rsid w:val="00E5680B"/>
    <w:rsid w:val="00E56A79"/>
    <w:rsid w:val="00E56D5C"/>
    <w:rsid w:val="00E56D86"/>
    <w:rsid w:val="00E56FC3"/>
    <w:rsid w:val="00E57109"/>
    <w:rsid w:val="00E5778C"/>
    <w:rsid w:val="00E57896"/>
    <w:rsid w:val="00E57947"/>
    <w:rsid w:val="00E57AC5"/>
    <w:rsid w:val="00E57D56"/>
    <w:rsid w:val="00E57FEA"/>
    <w:rsid w:val="00E602F7"/>
    <w:rsid w:val="00E60477"/>
    <w:rsid w:val="00E6048C"/>
    <w:rsid w:val="00E605B1"/>
    <w:rsid w:val="00E609FA"/>
    <w:rsid w:val="00E613F2"/>
    <w:rsid w:val="00E614F2"/>
    <w:rsid w:val="00E61994"/>
    <w:rsid w:val="00E61CC4"/>
    <w:rsid w:val="00E62059"/>
    <w:rsid w:val="00E627F1"/>
    <w:rsid w:val="00E62837"/>
    <w:rsid w:val="00E62B9E"/>
    <w:rsid w:val="00E62C51"/>
    <w:rsid w:val="00E635C9"/>
    <w:rsid w:val="00E63663"/>
    <w:rsid w:val="00E63726"/>
    <w:rsid w:val="00E637A2"/>
    <w:rsid w:val="00E645A6"/>
    <w:rsid w:val="00E653FE"/>
    <w:rsid w:val="00E658BB"/>
    <w:rsid w:val="00E659AB"/>
    <w:rsid w:val="00E661A1"/>
    <w:rsid w:val="00E66267"/>
    <w:rsid w:val="00E662B2"/>
    <w:rsid w:val="00E66ACD"/>
    <w:rsid w:val="00E673CF"/>
    <w:rsid w:val="00E706B1"/>
    <w:rsid w:val="00E71039"/>
    <w:rsid w:val="00E712C8"/>
    <w:rsid w:val="00E719B9"/>
    <w:rsid w:val="00E71AA5"/>
    <w:rsid w:val="00E71B91"/>
    <w:rsid w:val="00E72176"/>
    <w:rsid w:val="00E7240A"/>
    <w:rsid w:val="00E72A55"/>
    <w:rsid w:val="00E72BC8"/>
    <w:rsid w:val="00E73261"/>
    <w:rsid w:val="00E73CD7"/>
    <w:rsid w:val="00E73D6B"/>
    <w:rsid w:val="00E73D86"/>
    <w:rsid w:val="00E73DEB"/>
    <w:rsid w:val="00E73E6C"/>
    <w:rsid w:val="00E73EB1"/>
    <w:rsid w:val="00E74609"/>
    <w:rsid w:val="00E7478C"/>
    <w:rsid w:val="00E74C3A"/>
    <w:rsid w:val="00E751D9"/>
    <w:rsid w:val="00E75307"/>
    <w:rsid w:val="00E755C0"/>
    <w:rsid w:val="00E756E9"/>
    <w:rsid w:val="00E75E0A"/>
    <w:rsid w:val="00E75FAD"/>
    <w:rsid w:val="00E76315"/>
    <w:rsid w:val="00E7644F"/>
    <w:rsid w:val="00E767E6"/>
    <w:rsid w:val="00E768A3"/>
    <w:rsid w:val="00E77733"/>
    <w:rsid w:val="00E7787E"/>
    <w:rsid w:val="00E77D78"/>
    <w:rsid w:val="00E805F0"/>
    <w:rsid w:val="00E80CAD"/>
    <w:rsid w:val="00E8165D"/>
    <w:rsid w:val="00E81AA8"/>
    <w:rsid w:val="00E81B37"/>
    <w:rsid w:val="00E81D01"/>
    <w:rsid w:val="00E81DF0"/>
    <w:rsid w:val="00E8242F"/>
    <w:rsid w:val="00E82663"/>
    <w:rsid w:val="00E82BF2"/>
    <w:rsid w:val="00E82F44"/>
    <w:rsid w:val="00E831C2"/>
    <w:rsid w:val="00E8340D"/>
    <w:rsid w:val="00E8359C"/>
    <w:rsid w:val="00E83993"/>
    <w:rsid w:val="00E83D83"/>
    <w:rsid w:val="00E84514"/>
    <w:rsid w:val="00E847FD"/>
    <w:rsid w:val="00E84D85"/>
    <w:rsid w:val="00E84F5F"/>
    <w:rsid w:val="00E856B9"/>
    <w:rsid w:val="00E85768"/>
    <w:rsid w:val="00E8576E"/>
    <w:rsid w:val="00E85B7C"/>
    <w:rsid w:val="00E85CF4"/>
    <w:rsid w:val="00E860C6"/>
    <w:rsid w:val="00E8667B"/>
    <w:rsid w:val="00E86718"/>
    <w:rsid w:val="00E86766"/>
    <w:rsid w:val="00E867FD"/>
    <w:rsid w:val="00E86D2E"/>
    <w:rsid w:val="00E86F1D"/>
    <w:rsid w:val="00E87A80"/>
    <w:rsid w:val="00E87A8E"/>
    <w:rsid w:val="00E9078C"/>
    <w:rsid w:val="00E90A01"/>
    <w:rsid w:val="00E90C1E"/>
    <w:rsid w:val="00E90E3C"/>
    <w:rsid w:val="00E91492"/>
    <w:rsid w:val="00E91569"/>
    <w:rsid w:val="00E92B60"/>
    <w:rsid w:val="00E932DA"/>
    <w:rsid w:val="00E9352F"/>
    <w:rsid w:val="00E938B7"/>
    <w:rsid w:val="00E93A51"/>
    <w:rsid w:val="00E93AC0"/>
    <w:rsid w:val="00E93F17"/>
    <w:rsid w:val="00E9481A"/>
    <w:rsid w:val="00E94BC3"/>
    <w:rsid w:val="00E95395"/>
    <w:rsid w:val="00E9554D"/>
    <w:rsid w:val="00E957B1"/>
    <w:rsid w:val="00E959B5"/>
    <w:rsid w:val="00E95B9F"/>
    <w:rsid w:val="00E968FE"/>
    <w:rsid w:val="00E96A36"/>
    <w:rsid w:val="00E971D0"/>
    <w:rsid w:val="00E97883"/>
    <w:rsid w:val="00E979DB"/>
    <w:rsid w:val="00EA0428"/>
    <w:rsid w:val="00EA0B3A"/>
    <w:rsid w:val="00EA1839"/>
    <w:rsid w:val="00EA1A6F"/>
    <w:rsid w:val="00EA26C1"/>
    <w:rsid w:val="00EA2B38"/>
    <w:rsid w:val="00EA2B46"/>
    <w:rsid w:val="00EA2FA8"/>
    <w:rsid w:val="00EA31C5"/>
    <w:rsid w:val="00EA34D7"/>
    <w:rsid w:val="00EA35CD"/>
    <w:rsid w:val="00EA3B30"/>
    <w:rsid w:val="00EA3BEB"/>
    <w:rsid w:val="00EA42FC"/>
    <w:rsid w:val="00EA44F9"/>
    <w:rsid w:val="00EA450A"/>
    <w:rsid w:val="00EA47A6"/>
    <w:rsid w:val="00EA4C2C"/>
    <w:rsid w:val="00EA4FD2"/>
    <w:rsid w:val="00EA51B4"/>
    <w:rsid w:val="00EA5AA6"/>
    <w:rsid w:val="00EA5E95"/>
    <w:rsid w:val="00EA5FF4"/>
    <w:rsid w:val="00EA6744"/>
    <w:rsid w:val="00EA6850"/>
    <w:rsid w:val="00EA6F14"/>
    <w:rsid w:val="00EA7670"/>
    <w:rsid w:val="00EA7989"/>
    <w:rsid w:val="00EB00A3"/>
    <w:rsid w:val="00EB0865"/>
    <w:rsid w:val="00EB121B"/>
    <w:rsid w:val="00EB1438"/>
    <w:rsid w:val="00EB160D"/>
    <w:rsid w:val="00EB17AC"/>
    <w:rsid w:val="00EB1894"/>
    <w:rsid w:val="00EB1C18"/>
    <w:rsid w:val="00EB1C92"/>
    <w:rsid w:val="00EB1D88"/>
    <w:rsid w:val="00EB1E5A"/>
    <w:rsid w:val="00EB1E75"/>
    <w:rsid w:val="00EB2579"/>
    <w:rsid w:val="00EB26A1"/>
    <w:rsid w:val="00EB26C9"/>
    <w:rsid w:val="00EB26CD"/>
    <w:rsid w:val="00EB27C1"/>
    <w:rsid w:val="00EB2CC3"/>
    <w:rsid w:val="00EB30CB"/>
    <w:rsid w:val="00EB3107"/>
    <w:rsid w:val="00EB3B6D"/>
    <w:rsid w:val="00EB3EBF"/>
    <w:rsid w:val="00EB421B"/>
    <w:rsid w:val="00EB4235"/>
    <w:rsid w:val="00EB46F8"/>
    <w:rsid w:val="00EB4BDF"/>
    <w:rsid w:val="00EB5139"/>
    <w:rsid w:val="00EB53BF"/>
    <w:rsid w:val="00EB59D5"/>
    <w:rsid w:val="00EB5A90"/>
    <w:rsid w:val="00EB5BD0"/>
    <w:rsid w:val="00EB5D2F"/>
    <w:rsid w:val="00EB6924"/>
    <w:rsid w:val="00EB6BAC"/>
    <w:rsid w:val="00EB70AF"/>
    <w:rsid w:val="00EB7DE3"/>
    <w:rsid w:val="00EB7EC5"/>
    <w:rsid w:val="00EB7F00"/>
    <w:rsid w:val="00EB7F52"/>
    <w:rsid w:val="00EB7F66"/>
    <w:rsid w:val="00EC10DB"/>
    <w:rsid w:val="00EC113B"/>
    <w:rsid w:val="00EC1460"/>
    <w:rsid w:val="00EC1534"/>
    <w:rsid w:val="00EC1B75"/>
    <w:rsid w:val="00EC1C2B"/>
    <w:rsid w:val="00EC2271"/>
    <w:rsid w:val="00EC25E3"/>
    <w:rsid w:val="00EC2B23"/>
    <w:rsid w:val="00EC2CD2"/>
    <w:rsid w:val="00EC2E09"/>
    <w:rsid w:val="00EC3106"/>
    <w:rsid w:val="00EC3254"/>
    <w:rsid w:val="00EC34E1"/>
    <w:rsid w:val="00EC352E"/>
    <w:rsid w:val="00EC4710"/>
    <w:rsid w:val="00EC4F2C"/>
    <w:rsid w:val="00EC593F"/>
    <w:rsid w:val="00EC5AEF"/>
    <w:rsid w:val="00EC673F"/>
    <w:rsid w:val="00EC6847"/>
    <w:rsid w:val="00EC6D86"/>
    <w:rsid w:val="00EC7489"/>
    <w:rsid w:val="00EC7749"/>
    <w:rsid w:val="00EC7AE4"/>
    <w:rsid w:val="00EC7F87"/>
    <w:rsid w:val="00ED0A7A"/>
    <w:rsid w:val="00ED0E8C"/>
    <w:rsid w:val="00ED1076"/>
    <w:rsid w:val="00ED1C1B"/>
    <w:rsid w:val="00ED1FEE"/>
    <w:rsid w:val="00ED20E2"/>
    <w:rsid w:val="00ED22BD"/>
    <w:rsid w:val="00ED2629"/>
    <w:rsid w:val="00ED264B"/>
    <w:rsid w:val="00ED280E"/>
    <w:rsid w:val="00ED325E"/>
    <w:rsid w:val="00ED3496"/>
    <w:rsid w:val="00ED3C7A"/>
    <w:rsid w:val="00ED4161"/>
    <w:rsid w:val="00ED4264"/>
    <w:rsid w:val="00ED4660"/>
    <w:rsid w:val="00ED4B9C"/>
    <w:rsid w:val="00ED4D95"/>
    <w:rsid w:val="00ED5339"/>
    <w:rsid w:val="00ED5636"/>
    <w:rsid w:val="00ED5745"/>
    <w:rsid w:val="00ED59FA"/>
    <w:rsid w:val="00ED5AC5"/>
    <w:rsid w:val="00ED5B9A"/>
    <w:rsid w:val="00ED5FB6"/>
    <w:rsid w:val="00ED67B4"/>
    <w:rsid w:val="00ED6B65"/>
    <w:rsid w:val="00ED6DFC"/>
    <w:rsid w:val="00ED7401"/>
    <w:rsid w:val="00ED76AD"/>
    <w:rsid w:val="00ED7DAC"/>
    <w:rsid w:val="00EE020A"/>
    <w:rsid w:val="00EE046A"/>
    <w:rsid w:val="00EE0907"/>
    <w:rsid w:val="00EE0D73"/>
    <w:rsid w:val="00EE1017"/>
    <w:rsid w:val="00EE1033"/>
    <w:rsid w:val="00EE11ED"/>
    <w:rsid w:val="00EE1726"/>
    <w:rsid w:val="00EE1981"/>
    <w:rsid w:val="00EE1C61"/>
    <w:rsid w:val="00EE1EA0"/>
    <w:rsid w:val="00EE223F"/>
    <w:rsid w:val="00EE2299"/>
    <w:rsid w:val="00EE28CF"/>
    <w:rsid w:val="00EE2911"/>
    <w:rsid w:val="00EE352A"/>
    <w:rsid w:val="00EE3873"/>
    <w:rsid w:val="00EE38AD"/>
    <w:rsid w:val="00EE3DFF"/>
    <w:rsid w:val="00EE3F5F"/>
    <w:rsid w:val="00EE4091"/>
    <w:rsid w:val="00EE4146"/>
    <w:rsid w:val="00EE438C"/>
    <w:rsid w:val="00EE44F1"/>
    <w:rsid w:val="00EE4647"/>
    <w:rsid w:val="00EE5132"/>
    <w:rsid w:val="00EE573C"/>
    <w:rsid w:val="00EE57A3"/>
    <w:rsid w:val="00EE5809"/>
    <w:rsid w:val="00EE644B"/>
    <w:rsid w:val="00EE665E"/>
    <w:rsid w:val="00EE6BC0"/>
    <w:rsid w:val="00EE6DB5"/>
    <w:rsid w:val="00EE6F41"/>
    <w:rsid w:val="00EE7175"/>
    <w:rsid w:val="00EE76B5"/>
    <w:rsid w:val="00EE771C"/>
    <w:rsid w:val="00EE7A38"/>
    <w:rsid w:val="00EE7E79"/>
    <w:rsid w:val="00EF055A"/>
    <w:rsid w:val="00EF0A66"/>
    <w:rsid w:val="00EF0B68"/>
    <w:rsid w:val="00EF0C55"/>
    <w:rsid w:val="00EF0F79"/>
    <w:rsid w:val="00EF20F9"/>
    <w:rsid w:val="00EF230F"/>
    <w:rsid w:val="00EF233F"/>
    <w:rsid w:val="00EF39BA"/>
    <w:rsid w:val="00EF3D00"/>
    <w:rsid w:val="00EF41C4"/>
    <w:rsid w:val="00EF43FE"/>
    <w:rsid w:val="00EF47AF"/>
    <w:rsid w:val="00EF4DDE"/>
    <w:rsid w:val="00EF5693"/>
    <w:rsid w:val="00EF577C"/>
    <w:rsid w:val="00EF5885"/>
    <w:rsid w:val="00EF6001"/>
    <w:rsid w:val="00EF64BD"/>
    <w:rsid w:val="00EF68AD"/>
    <w:rsid w:val="00EF69E2"/>
    <w:rsid w:val="00EF6BBD"/>
    <w:rsid w:val="00EF6C4B"/>
    <w:rsid w:val="00EF6D41"/>
    <w:rsid w:val="00EF6F2A"/>
    <w:rsid w:val="00EF717F"/>
    <w:rsid w:val="00EF77F8"/>
    <w:rsid w:val="00EF795B"/>
    <w:rsid w:val="00EF7C8A"/>
    <w:rsid w:val="00F0003E"/>
    <w:rsid w:val="00F002ED"/>
    <w:rsid w:val="00F00594"/>
    <w:rsid w:val="00F00782"/>
    <w:rsid w:val="00F00D44"/>
    <w:rsid w:val="00F00E49"/>
    <w:rsid w:val="00F00E6D"/>
    <w:rsid w:val="00F0184E"/>
    <w:rsid w:val="00F01B32"/>
    <w:rsid w:val="00F01E9E"/>
    <w:rsid w:val="00F0285D"/>
    <w:rsid w:val="00F02B80"/>
    <w:rsid w:val="00F02F0A"/>
    <w:rsid w:val="00F037B9"/>
    <w:rsid w:val="00F04185"/>
    <w:rsid w:val="00F043CF"/>
    <w:rsid w:val="00F04725"/>
    <w:rsid w:val="00F048D5"/>
    <w:rsid w:val="00F05A1E"/>
    <w:rsid w:val="00F05A35"/>
    <w:rsid w:val="00F05B26"/>
    <w:rsid w:val="00F05C1D"/>
    <w:rsid w:val="00F05FA1"/>
    <w:rsid w:val="00F06707"/>
    <w:rsid w:val="00F067E0"/>
    <w:rsid w:val="00F06ADF"/>
    <w:rsid w:val="00F06D63"/>
    <w:rsid w:val="00F06EF0"/>
    <w:rsid w:val="00F076AF"/>
    <w:rsid w:val="00F078F4"/>
    <w:rsid w:val="00F07B1C"/>
    <w:rsid w:val="00F07C4D"/>
    <w:rsid w:val="00F07DC8"/>
    <w:rsid w:val="00F07E1D"/>
    <w:rsid w:val="00F100A6"/>
    <w:rsid w:val="00F104D3"/>
    <w:rsid w:val="00F104FA"/>
    <w:rsid w:val="00F10EB3"/>
    <w:rsid w:val="00F11052"/>
    <w:rsid w:val="00F113B9"/>
    <w:rsid w:val="00F114DE"/>
    <w:rsid w:val="00F11554"/>
    <w:rsid w:val="00F12769"/>
    <w:rsid w:val="00F1278D"/>
    <w:rsid w:val="00F12D69"/>
    <w:rsid w:val="00F130A1"/>
    <w:rsid w:val="00F135CB"/>
    <w:rsid w:val="00F13656"/>
    <w:rsid w:val="00F13AC5"/>
    <w:rsid w:val="00F13FBE"/>
    <w:rsid w:val="00F1401D"/>
    <w:rsid w:val="00F1409F"/>
    <w:rsid w:val="00F1437A"/>
    <w:rsid w:val="00F1479E"/>
    <w:rsid w:val="00F14DF3"/>
    <w:rsid w:val="00F14EA0"/>
    <w:rsid w:val="00F1519B"/>
    <w:rsid w:val="00F155B1"/>
    <w:rsid w:val="00F15743"/>
    <w:rsid w:val="00F161F6"/>
    <w:rsid w:val="00F169CC"/>
    <w:rsid w:val="00F17535"/>
    <w:rsid w:val="00F17965"/>
    <w:rsid w:val="00F17D26"/>
    <w:rsid w:val="00F17F64"/>
    <w:rsid w:val="00F200F0"/>
    <w:rsid w:val="00F208B7"/>
    <w:rsid w:val="00F20BC5"/>
    <w:rsid w:val="00F20C8C"/>
    <w:rsid w:val="00F20D51"/>
    <w:rsid w:val="00F20F71"/>
    <w:rsid w:val="00F21253"/>
    <w:rsid w:val="00F21567"/>
    <w:rsid w:val="00F21D1F"/>
    <w:rsid w:val="00F22231"/>
    <w:rsid w:val="00F22438"/>
    <w:rsid w:val="00F22645"/>
    <w:rsid w:val="00F22926"/>
    <w:rsid w:val="00F22C7B"/>
    <w:rsid w:val="00F233CC"/>
    <w:rsid w:val="00F240F4"/>
    <w:rsid w:val="00F2448A"/>
    <w:rsid w:val="00F246F3"/>
    <w:rsid w:val="00F24A8F"/>
    <w:rsid w:val="00F24DE3"/>
    <w:rsid w:val="00F24F99"/>
    <w:rsid w:val="00F25CDA"/>
    <w:rsid w:val="00F2615F"/>
    <w:rsid w:val="00F26575"/>
    <w:rsid w:val="00F26886"/>
    <w:rsid w:val="00F26AB4"/>
    <w:rsid w:val="00F26AD6"/>
    <w:rsid w:val="00F26B72"/>
    <w:rsid w:val="00F26D97"/>
    <w:rsid w:val="00F272D5"/>
    <w:rsid w:val="00F2752C"/>
    <w:rsid w:val="00F276FF"/>
    <w:rsid w:val="00F27904"/>
    <w:rsid w:val="00F27D24"/>
    <w:rsid w:val="00F3003E"/>
    <w:rsid w:val="00F3007B"/>
    <w:rsid w:val="00F3010E"/>
    <w:rsid w:val="00F30158"/>
    <w:rsid w:val="00F3040D"/>
    <w:rsid w:val="00F304F2"/>
    <w:rsid w:val="00F31454"/>
    <w:rsid w:val="00F317D8"/>
    <w:rsid w:val="00F317E7"/>
    <w:rsid w:val="00F31DE0"/>
    <w:rsid w:val="00F32133"/>
    <w:rsid w:val="00F3226E"/>
    <w:rsid w:val="00F328F5"/>
    <w:rsid w:val="00F32AB8"/>
    <w:rsid w:val="00F32DB0"/>
    <w:rsid w:val="00F32F10"/>
    <w:rsid w:val="00F331EC"/>
    <w:rsid w:val="00F33412"/>
    <w:rsid w:val="00F3392A"/>
    <w:rsid w:val="00F33FC0"/>
    <w:rsid w:val="00F345F3"/>
    <w:rsid w:val="00F347B1"/>
    <w:rsid w:val="00F34EA6"/>
    <w:rsid w:val="00F34F6F"/>
    <w:rsid w:val="00F3514B"/>
    <w:rsid w:val="00F35843"/>
    <w:rsid w:val="00F3598C"/>
    <w:rsid w:val="00F35EF5"/>
    <w:rsid w:val="00F36127"/>
    <w:rsid w:val="00F3651E"/>
    <w:rsid w:val="00F36A56"/>
    <w:rsid w:val="00F36CD8"/>
    <w:rsid w:val="00F3761C"/>
    <w:rsid w:val="00F37B2F"/>
    <w:rsid w:val="00F37D55"/>
    <w:rsid w:val="00F37DFC"/>
    <w:rsid w:val="00F4012D"/>
    <w:rsid w:val="00F4090A"/>
    <w:rsid w:val="00F40ED2"/>
    <w:rsid w:val="00F40F83"/>
    <w:rsid w:val="00F40FC0"/>
    <w:rsid w:val="00F413C7"/>
    <w:rsid w:val="00F414D6"/>
    <w:rsid w:val="00F41673"/>
    <w:rsid w:val="00F4271D"/>
    <w:rsid w:val="00F42A5B"/>
    <w:rsid w:val="00F42B59"/>
    <w:rsid w:val="00F42CBB"/>
    <w:rsid w:val="00F42E27"/>
    <w:rsid w:val="00F432B8"/>
    <w:rsid w:val="00F4349B"/>
    <w:rsid w:val="00F4373C"/>
    <w:rsid w:val="00F437F8"/>
    <w:rsid w:val="00F43DD1"/>
    <w:rsid w:val="00F44658"/>
    <w:rsid w:val="00F44BE4"/>
    <w:rsid w:val="00F45086"/>
    <w:rsid w:val="00F453CE"/>
    <w:rsid w:val="00F45B42"/>
    <w:rsid w:val="00F462A4"/>
    <w:rsid w:val="00F465E9"/>
    <w:rsid w:val="00F468B5"/>
    <w:rsid w:val="00F468F8"/>
    <w:rsid w:val="00F46B5A"/>
    <w:rsid w:val="00F47160"/>
    <w:rsid w:val="00F47488"/>
    <w:rsid w:val="00F479D4"/>
    <w:rsid w:val="00F47ABD"/>
    <w:rsid w:val="00F47B77"/>
    <w:rsid w:val="00F47CA3"/>
    <w:rsid w:val="00F47ED0"/>
    <w:rsid w:val="00F5017E"/>
    <w:rsid w:val="00F509E6"/>
    <w:rsid w:val="00F50D62"/>
    <w:rsid w:val="00F50F30"/>
    <w:rsid w:val="00F5130E"/>
    <w:rsid w:val="00F51319"/>
    <w:rsid w:val="00F51906"/>
    <w:rsid w:val="00F52014"/>
    <w:rsid w:val="00F520A3"/>
    <w:rsid w:val="00F5287E"/>
    <w:rsid w:val="00F528F3"/>
    <w:rsid w:val="00F52F54"/>
    <w:rsid w:val="00F53404"/>
    <w:rsid w:val="00F538A1"/>
    <w:rsid w:val="00F53A23"/>
    <w:rsid w:val="00F53F2A"/>
    <w:rsid w:val="00F54CD1"/>
    <w:rsid w:val="00F552C7"/>
    <w:rsid w:val="00F5540E"/>
    <w:rsid w:val="00F55505"/>
    <w:rsid w:val="00F55611"/>
    <w:rsid w:val="00F55832"/>
    <w:rsid w:val="00F558F9"/>
    <w:rsid w:val="00F5623C"/>
    <w:rsid w:val="00F569CC"/>
    <w:rsid w:val="00F56A27"/>
    <w:rsid w:val="00F56B85"/>
    <w:rsid w:val="00F56CD4"/>
    <w:rsid w:val="00F56D8C"/>
    <w:rsid w:val="00F574E0"/>
    <w:rsid w:val="00F6028D"/>
    <w:rsid w:val="00F60998"/>
    <w:rsid w:val="00F60A24"/>
    <w:rsid w:val="00F60AD6"/>
    <w:rsid w:val="00F60E07"/>
    <w:rsid w:val="00F61448"/>
    <w:rsid w:val="00F617D1"/>
    <w:rsid w:val="00F62041"/>
    <w:rsid w:val="00F622E0"/>
    <w:rsid w:val="00F6243D"/>
    <w:rsid w:val="00F62474"/>
    <w:rsid w:val="00F6256C"/>
    <w:rsid w:val="00F62735"/>
    <w:rsid w:val="00F62D64"/>
    <w:rsid w:val="00F632F2"/>
    <w:rsid w:val="00F63333"/>
    <w:rsid w:val="00F6394D"/>
    <w:rsid w:val="00F648D5"/>
    <w:rsid w:val="00F64B5C"/>
    <w:rsid w:val="00F65BDF"/>
    <w:rsid w:val="00F66AA6"/>
    <w:rsid w:val="00F6717A"/>
    <w:rsid w:val="00F676B6"/>
    <w:rsid w:val="00F70849"/>
    <w:rsid w:val="00F70D0F"/>
    <w:rsid w:val="00F71213"/>
    <w:rsid w:val="00F7149C"/>
    <w:rsid w:val="00F717BC"/>
    <w:rsid w:val="00F71BDD"/>
    <w:rsid w:val="00F71DEE"/>
    <w:rsid w:val="00F7279E"/>
    <w:rsid w:val="00F72DE4"/>
    <w:rsid w:val="00F730A9"/>
    <w:rsid w:val="00F73E1B"/>
    <w:rsid w:val="00F73F51"/>
    <w:rsid w:val="00F73F69"/>
    <w:rsid w:val="00F744C5"/>
    <w:rsid w:val="00F745DA"/>
    <w:rsid w:val="00F7488D"/>
    <w:rsid w:val="00F74A56"/>
    <w:rsid w:val="00F74DDE"/>
    <w:rsid w:val="00F75784"/>
    <w:rsid w:val="00F759ED"/>
    <w:rsid w:val="00F75AEF"/>
    <w:rsid w:val="00F75F11"/>
    <w:rsid w:val="00F765F2"/>
    <w:rsid w:val="00F76707"/>
    <w:rsid w:val="00F77032"/>
    <w:rsid w:val="00F7713C"/>
    <w:rsid w:val="00F77438"/>
    <w:rsid w:val="00F778F0"/>
    <w:rsid w:val="00F77995"/>
    <w:rsid w:val="00F77B4F"/>
    <w:rsid w:val="00F77BE6"/>
    <w:rsid w:val="00F77C01"/>
    <w:rsid w:val="00F77D38"/>
    <w:rsid w:val="00F77D81"/>
    <w:rsid w:val="00F77F81"/>
    <w:rsid w:val="00F801AC"/>
    <w:rsid w:val="00F8157F"/>
    <w:rsid w:val="00F81A78"/>
    <w:rsid w:val="00F81C9D"/>
    <w:rsid w:val="00F81D5E"/>
    <w:rsid w:val="00F81F1E"/>
    <w:rsid w:val="00F823C3"/>
    <w:rsid w:val="00F82BC3"/>
    <w:rsid w:val="00F82F41"/>
    <w:rsid w:val="00F8353F"/>
    <w:rsid w:val="00F83540"/>
    <w:rsid w:val="00F83A57"/>
    <w:rsid w:val="00F83B9E"/>
    <w:rsid w:val="00F83BC3"/>
    <w:rsid w:val="00F8403B"/>
    <w:rsid w:val="00F8408D"/>
    <w:rsid w:val="00F841C0"/>
    <w:rsid w:val="00F844EC"/>
    <w:rsid w:val="00F84DED"/>
    <w:rsid w:val="00F8539F"/>
    <w:rsid w:val="00F854CF"/>
    <w:rsid w:val="00F859D5"/>
    <w:rsid w:val="00F85A95"/>
    <w:rsid w:val="00F85F11"/>
    <w:rsid w:val="00F8605F"/>
    <w:rsid w:val="00F862E5"/>
    <w:rsid w:val="00F8698E"/>
    <w:rsid w:val="00F86A79"/>
    <w:rsid w:val="00F86DFC"/>
    <w:rsid w:val="00F86E44"/>
    <w:rsid w:val="00F86F3A"/>
    <w:rsid w:val="00F871C1"/>
    <w:rsid w:val="00F87646"/>
    <w:rsid w:val="00F876CD"/>
    <w:rsid w:val="00F87DE3"/>
    <w:rsid w:val="00F90585"/>
    <w:rsid w:val="00F9060A"/>
    <w:rsid w:val="00F90BBE"/>
    <w:rsid w:val="00F90DFB"/>
    <w:rsid w:val="00F911DD"/>
    <w:rsid w:val="00F91233"/>
    <w:rsid w:val="00F913A7"/>
    <w:rsid w:val="00F9149B"/>
    <w:rsid w:val="00F915DD"/>
    <w:rsid w:val="00F9187A"/>
    <w:rsid w:val="00F91A36"/>
    <w:rsid w:val="00F91DAB"/>
    <w:rsid w:val="00F91EB9"/>
    <w:rsid w:val="00F92484"/>
    <w:rsid w:val="00F92783"/>
    <w:rsid w:val="00F928F8"/>
    <w:rsid w:val="00F92A28"/>
    <w:rsid w:val="00F92B09"/>
    <w:rsid w:val="00F92E22"/>
    <w:rsid w:val="00F92E73"/>
    <w:rsid w:val="00F92E92"/>
    <w:rsid w:val="00F92F72"/>
    <w:rsid w:val="00F93209"/>
    <w:rsid w:val="00F93821"/>
    <w:rsid w:val="00F93836"/>
    <w:rsid w:val="00F93CA8"/>
    <w:rsid w:val="00F93F8F"/>
    <w:rsid w:val="00F9403F"/>
    <w:rsid w:val="00F94855"/>
    <w:rsid w:val="00F94F44"/>
    <w:rsid w:val="00F951EC"/>
    <w:rsid w:val="00F9533F"/>
    <w:rsid w:val="00F954FB"/>
    <w:rsid w:val="00F95664"/>
    <w:rsid w:val="00F95727"/>
    <w:rsid w:val="00F959DF"/>
    <w:rsid w:val="00F95BCA"/>
    <w:rsid w:val="00F95EB8"/>
    <w:rsid w:val="00F964B4"/>
    <w:rsid w:val="00F9668A"/>
    <w:rsid w:val="00F96DC5"/>
    <w:rsid w:val="00F97262"/>
    <w:rsid w:val="00F973B4"/>
    <w:rsid w:val="00F973D1"/>
    <w:rsid w:val="00F9743C"/>
    <w:rsid w:val="00F974A5"/>
    <w:rsid w:val="00F9765E"/>
    <w:rsid w:val="00F9785F"/>
    <w:rsid w:val="00F9795E"/>
    <w:rsid w:val="00F97B06"/>
    <w:rsid w:val="00F97FAE"/>
    <w:rsid w:val="00FA09D0"/>
    <w:rsid w:val="00FA0A29"/>
    <w:rsid w:val="00FA0A42"/>
    <w:rsid w:val="00FA0E50"/>
    <w:rsid w:val="00FA0EEB"/>
    <w:rsid w:val="00FA1175"/>
    <w:rsid w:val="00FA158F"/>
    <w:rsid w:val="00FA1A16"/>
    <w:rsid w:val="00FA200F"/>
    <w:rsid w:val="00FA205C"/>
    <w:rsid w:val="00FA2570"/>
    <w:rsid w:val="00FA2CA2"/>
    <w:rsid w:val="00FA2D4C"/>
    <w:rsid w:val="00FA311E"/>
    <w:rsid w:val="00FA32AB"/>
    <w:rsid w:val="00FA3713"/>
    <w:rsid w:val="00FA3797"/>
    <w:rsid w:val="00FA3FEA"/>
    <w:rsid w:val="00FA4685"/>
    <w:rsid w:val="00FA4CF1"/>
    <w:rsid w:val="00FA50BA"/>
    <w:rsid w:val="00FA50D0"/>
    <w:rsid w:val="00FA56CE"/>
    <w:rsid w:val="00FA5837"/>
    <w:rsid w:val="00FA5AF0"/>
    <w:rsid w:val="00FA6054"/>
    <w:rsid w:val="00FA6560"/>
    <w:rsid w:val="00FA65C4"/>
    <w:rsid w:val="00FA66E3"/>
    <w:rsid w:val="00FA6AB9"/>
    <w:rsid w:val="00FA7227"/>
    <w:rsid w:val="00FA724E"/>
    <w:rsid w:val="00FA72BD"/>
    <w:rsid w:val="00FA7E65"/>
    <w:rsid w:val="00FB0025"/>
    <w:rsid w:val="00FB024F"/>
    <w:rsid w:val="00FB0351"/>
    <w:rsid w:val="00FB04A5"/>
    <w:rsid w:val="00FB062C"/>
    <w:rsid w:val="00FB0BC4"/>
    <w:rsid w:val="00FB0D05"/>
    <w:rsid w:val="00FB121F"/>
    <w:rsid w:val="00FB13EC"/>
    <w:rsid w:val="00FB1B3C"/>
    <w:rsid w:val="00FB1C86"/>
    <w:rsid w:val="00FB1D7D"/>
    <w:rsid w:val="00FB1DC1"/>
    <w:rsid w:val="00FB2809"/>
    <w:rsid w:val="00FB2870"/>
    <w:rsid w:val="00FB2BD7"/>
    <w:rsid w:val="00FB3260"/>
    <w:rsid w:val="00FB3B3B"/>
    <w:rsid w:val="00FB3CC8"/>
    <w:rsid w:val="00FB4DCB"/>
    <w:rsid w:val="00FB4E58"/>
    <w:rsid w:val="00FB501B"/>
    <w:rsid w:val="00FB5428"/>
    <w:rsid w:val="00FB59E5"/>
    <w:rsid w:val="00FB5BBB"/>
    <w:rsid w:val="00FB5C42"/>
    <w:rsid w:val="00FB5D3A"/>
    <w:rsid w:val="00FB5E31"/>
    <w:rsid w:val="00FB63B5"/>
    <w:rsid w:val="00FB63B8"/>
    <w:rsid w:val="00FB6C46"/>
    <w:rsid w:val="00FB6E03"/>
    <w:rsid w:val="00FB7B1E"/>
    <w:rsid w:val="00FB7E5D"/>
    <w:rsid w:val="00FC0074"/>
    <w:rsid w:val="00FC0086"/>
    <w:rsid w:val="00FC0845"/>
    <w:rsid w:val="00FC0A61"/>
    <w:rsid w:val="00FC0D5E"/>
    <w:rsid w:val="00FC12DC"/>
    <w:rsid w:val="00FC156E"/>
    <w:rsid w:val="00FC17F8"/>
    <w:rsid w:val="00FC3506"/>
    <w:rsid w:val="00FC35D4"/>
    <w:rsid w:val="00FC3666"/>
    <w:rsid w:val="00FC36D7"/>
    <w:rsid w:val="00FC3A2C"/>
    <w:rsid w:val="00FC3ADF"/>
    <w:rsid w:val="00FC3B68"/>
    <w:rsid w:val="00FC4396"/>
    <w:rsid w:val="00FC497A"/>
    <w:rsid w:val="00FC4E14"/>
    <w:rsid w:val="00FC580E"/>
    <w:rsid w:val="00FC5E37"/>
    <w:rsid w:val="00FC61FD"/>
    <w:rsid w:val="00FC6604"/>
    <w:rsid w:val="00FC6E10"/>
    <w:rsid w:val="00FC6E3B"/>
    <w:rsid w:val="00FC724F"/>
    <w:rsid w:val="00FC73D1"/>
    <w:rsid w:val="00FC73FB"/>
    <w:rsid w:val="00FC74A0"/>
    <w:rsid w:val="00FC76B3"/>
    <w:rsid w:val="00FD0BB8"/>
    <w:rsid w:val="00FD0D8C"/>
    <w:rsid w:val="00FD0D9D"/>
    <w:rsid w:val="00FD0E16"/>
    <w:rsid w:val="00FD15DE"/>
    <w:rsid w:val="00FD16CD"/>
    <w:rsid w:val="00FD24BA"/>
    <w:rsid w:val="00FD27DB"/>
    <w:rsid w:val="00FD2A6F"/>
    <w:rsid w:val="00FD2E46"/>
    <w:rsid w:val="00FD2F46"/>
    <w:rsid w:val="00FD40DC"/>
    <w:rsid w:val="00FD4CE9"/>
    <w:rsid w:val="00FD6164"/>
    <w:rsid w:val="00FD697C"/>
    <w:rsid w:val="00FD6C8B"/>
    <w:rsid w:val="00FD6D00"/>
    <w:rsid w:val="00FD6D16"/>
    <w:rsid w:val="00FD711C"/>
    <w:rsid w:val="00FD73D3"/>
    <w:rsid w:val="00FD755C"/>
    <w:rsid w:val="00FD7646"/>
    <w:rsid w:val="00FD79F9"/>
    <w:rsid w:val="00FE06D3"/>
    <w:rsid w:val="00FE0782"/>
    <w:rsid w:val="00FE0A8D"/>
    <w:rsid w:val="00FE0C0C"/>
    <w:rsid w:val="00FE0CA8"/>
    <w:rsid w:val="00FE11FD"/>
    <w:rsid w:val="00FE130E"/>
    <w:rsid w:val="00FE1ABC"/>
    <w:rsid w:val="00FE1B9A"/>
    <w:rsid w:val="00FE1BEB"/>
    <w:rsid w:val="00FE1F14"/>
    <w:rsid w:val="00FE2092"/>
    <w:rsid w:val="00FE21E2"/>
    <w:rsid w:val="00FE21EA"/>
    <w:rsid w:val="00FE23D2"/>
    <w:rsid w:val="00FE2A0C"/>
    <w:rsid w:val="00FE2B42"/>
    <w:rsid w:val="00FE3062"/>
    <w:rsid w:val="00FE39F0"/>
    <w:rsid w:val="00FE3AE6"/>
    <w:rsid w:val="00FE3C1C"/>
    <w:rsid w:val="00FE3DC1"/>
    <w:rsid w:val="00FE3EC4"/>
    <w:rsid w:val="00FE3FF7"/>
    <w:rsid w:val="00FE415F"/>
    <w:rsid w:val="00FE419B"/>
    <w:rsid w:val="00FE459D"/>
    <w:rsid w:val="00FE49A2"/>
    <w:rsid w:val="00FE49C1"/>
    <w:rsid w:val="00FE4A87"/>
    <w:rsid w:val="00FE4D07"/>
    <w:rsid w:val="00FE4FD5"/>
    <w:rsid w:val="00FE4FDB"/>
    <w:rsid w:val="00FE525E"/>
    <w:rsid w:val="00FE5608"/>
    <w:rsid w:val="00FE59B9"/>
    <w:rsid w:val="00FE6398"/>
    <w:rsid w:val="00FE64A7"/>
    <w:rsid w:val="00FE6750"/>
    <w:rsid w:val="00FE67D6"/>
    <w:rsid w:val="00FE697C"/>
    <w:rsid w:val="00FE6B9A"/>
    <w:rsid w:val="00FE6C5B"/>
    <w:rsid w:val="00FE6E79"/>
    <w:rsid w:val="00FE6F61"/>
    <w:rsid w:val="00FE73F7"/>
    <w:rsid w:val="00FE7547"/>
    <w:rsid w:val="00FF00E0"/>
    <w:rsid w:val="00FF05B8"/>
    <w:rsid w:val="00FF0A49"/>
    <w:rsid w:val="00FF0A85"/>
    <w:rsid w:val="00FF10BE"/>
    <w:rsid w:val="00FF1194"/>
    <w:rsid w:val="00FF1406"/>
    <w:rsid w:val="00FF15AD"/>
    <w:rsid w:val="00FF1708"/>
    <w:rsid w:val="00FF176A"/>
    <w:rsid w:val="00FF18BD"/>
    <w:rsid w:val="00FF198A"/>
    <w:rsid w:val="00FF1A08"/>
    <w:rsid w:val="00FF1B65"/>
    <w:rsid w:val="00FF1D9A"/>
    <w:rsid w:val="00FF225E"/>
    <w:rsid w:val="00FF255C"/>
    <w:rsid w:val="00FF2A0D"/>
    <w:rsid w:val="00FF2F43"/>
    <w:rsid w:val="00FF33C3"/>
    <w:rsid w:val="00FF3EF2"/>
    <w:rsid w:val="00FF4225"/>
    <w:rsid w:val="00FF4766"/>
    <w:rsid w:val="00FF5006"/>
    <w:rsid w:val="00FF500D"/>
    <w:rsid w:val="00FF50AC"/>
    <w:rsid w:val="00FF5AF5"/>
    <w:rsid w:val="00FF5E92"/>
    <w:rsid w:val="00FF6295"/>
    <w:rsid w:val="00FF6514"/>
    <w:rsid w:val="00FF65BE"/>
    <w:rsid w:val="00FF6A0A"/>
    <w:rsid w:val="00FF7BD3"/>
    <w:rsid w:val="00FF7F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oNotEmbedSmartTags/>
  <w:decimalSymbol w:val="."/>
  <w:listSeparator w:val=","/>
  <w14:docId w14:val="7F73B9ED"/>
  <w15:docId w15:val="{083DCC6A-E474-4047-BFCF-C320A34E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4589"/>
    <w:rPr>
      <w:sz w:val="24"/>
      <w:szCs w:val="24"/>
    </w:rPr>
  </w:style>
  <w:style w:type="paragraph" w:styleId="Heading1">
    <w:name w:val="heading 1"/>
    <w:basedOn w:val="Normal"/>
    <w:next w:val="Normal"/>
    <w:link w:val="Heading1Char"/>
    <w:qFormat/>
    <w:pPr>
      <w:keepNext/>
      <w:spacing w:before="240" w:after="60"/>
      <w:outlineLvl w:val="0"/>
    </w:pPr>
    <w:rPr>
      <w:rFonts w:ascii="Arial" w:hAnsi="Arial" w:cs="Arial"/>
      <w:b/>
      <w:bCs/>
      <w:kern w:val="32"/>
      <w:sz w:val="36"/>
      <w:szCs w:val="32"/>
    </w:rPr>
  </w:style>
  <w:style w:type="paragraph" w:styleId="Heading2">
    <w:name w:val="heading 2"/>
    <w:aliases w:val="Heading for title,head 2"/>
    <w:basedOn w:val="Normal"/>
    <w:next w:val="Normal"/>
    <w:link w:val="Heading2Char"/>
    <w:qFormat/>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1"/>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pPr>
      <w:keepNext/>
      <w:spacing w:before="240" w:after="60"/>
      <w:outlineLvl w:val="3"/>
    </w:pPr>
    <w:rPr>
      <w:rFonts w:ascii="Arial" w:hAnsi="Arial"/>
      <w:b/>
      <w:sz w:val="22"/>
    </w:rPr>
  </w:style>
  <w:style w:type="paragraph" w:styleId="Heading5">
    <w:name w:val="heading 5"/>
    <w:basedOn w:val="Normal"/>
    <w:next w:val="Normal"/>
    <w:qFormat/>
    <w:pPr>
      <w:keepNext/>
      <w:numPr>
        <w:ilvl w:val="4"/>
        <w:numId w:val="1"/>
      </w:numPr>
      <w:outlineLvl w:val="4"/>
    </w:pPr>
    <w:rPr>
      <w:b/>
      <w:szCs w:val="20"/>
    </w:rPr>
  </w:style>
  <w:style w:type="paragraph" w:styleId="Heading6">
    <w:name w:val="heading 6"/>
    <w:basedOn w:val="Normal"/>
    <w:next w:val="Normal"/>
    <w:qFormat/>
    <w:pPr>
      <w:numPr>
        <w:ilvl w:val="5"/>
        <w:numId w:val="1"/>
      </w:numPr>
      <w:spacing w:before="240" w:after="60"/>
      <w:outlineLvl w:val="5"/>
    </w:pPr>
    <w:rPr>
      <w:b/>
      <w:sz w:val="22"/>
      <w:szCs w:val="20"/>
    </w:rPr>
  </w:style>
  <w:style w:type="paragraph" w:styleId="Heading7">
    <w:name w:val="heading 7"/>
    <w:basedOn w:val="Normal"/>
    <w:next w:val="Normal"/>
    <w:qFormat/>
    <w:pPr>
      <w:numPr>
        <w:ilvl w:val="6"/>
        <w:numId w:val="1"/>
      </w:numPr>
      <w:spacing w:before="240" w:after="60"/>
      <w:outlineLvl w:val="6"/>
    </w:pPr>
    <w:rPr>
      <w:szCs w:val="20"/>
    </w:rPr>
  </w:style>
  <w:style w:type="paragraph" w:styleId="Heading8">
    <w:name w:val="heading 8"/>
    <w:basedOn w:val="Normal"/>
    <w:next w:val="Normal"/>
    <w:qFormat/>
    <w:pPr>
      <w:numPr>
        <w:ilvl w:val="7"/>
        <w:numId w:val="1"/>
      </w:numPr>
      <w:spacing w:before="240" w:after="60"/>
      <w:outlineLvl w:val="7"/>
    </w:pPr>
    <w:rPr>
      <w:i/>
      <w:szCs w:val="20"/>
    </w:rPr>
  </w:style>
  <w:style w:type="paragraph" w:styleId="Heading9">
    <w:name w:val="heading 9"/>
    <w:basedOn w:val="Normal"/>
    <w:next w:val="Normal"/>
    <w:qFormat/>
    <w:pPr>
      <w:numPr>
        <w:ilvl w:val="8"/>
        <w:numId w:val="1"/>
      </w:numPr>
      <w:spacing w:before="240" w:after="60"/>
      <w:outlineLvl w:val="8"/>
    </w:pPr>
    <w:rPr>
      <w:rFonts w:ascii="Arial" w:hAnsi="Arial"/>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3C00"/>
    <w:rPr>
      <w:rFonts w:ascii="Arial" w:hAnsi="Arial" w:cs="Arial"/>
      <w:b/>
      <w:bCs/>
      <w:kern w:val="32"/>
      <w:sz w:val="36"/>
      <w:szCs w:val="32"/>
      <w:lang w:val="en-US" w:eastAsia="en-US" w:bidi="ar-SA"/>
    </w:rPr>
  </w:style>
  <w:style w:type="character" w:customStyle="1" w:styleId="Heading3Char1">
    <w:name w:val="Heading 3 Char1"/>
    <w:link w:val="Heading3"/>
    <w:rsid w:val="00C12CF8"/>
    <w:rPr>
      <w:rFonts w:ascii="Arial" w:hAnsi="Arial" w:cs="Arial"/>
      <w:b/>
      <w:bCs/>
      <w:sz w:val="26"/>
      <w:szCs w:val="26"/>
      <w:lang w:val="en-US" w:eastAsia="en-US" w:bidi="ar-SA"/>
    </w:rPr>
  </w:style>
  <w:style w:type="character" w:customStyle="1" w:styleId="Heading4Char">
    <w:name w:val="Heading 4 Char"/>
    <w:link w:val="Heading4"/>
    <w:rsid w:val="00896F17"/>
    <w:rPr>
      <w:rFonts w:ascii="Arial" w:hAnsi="Arial"/>
      <w:b/>
      <w:sz w:val="22"/>
      <w:szCs w:val="24"/>
      <w:lang w:val="en-US" w:eastAsia="en-US" w:bidi="ar-SA"/>
    </w:rPr>
  </w:style>
  <w:style w:type="character" w:customStyle="1" w:styleId="Char">
    <w:name w:val="Char"/>
    <w:semiHidden/>
    <w:rPr>
      <w:sz w:val="22"/>
      <w:lang w:val="en-US" w:eastAsia="en-US" w:bidi="ar-SA"/>
    </w:rPr>
  </w:style>
  <w:style w:type="paragraph" w:styleId="Header">
    <w:name w:val="header"/>
    <w:basedOn w:val="Normal"/>
    <w:pPr>
      <w:tabs>
        <w:tab w:val="center" w:pos="4320"/>
        <w:tab w:val="right" w:pos="8640"/>
      </w:tabs>
    </w:pPr>
  </w:style>
  <w:style w:type="paragraph" w:customStyle="1" w:styleId="TitlePage">
    <w:name w:val="TitlePage"/>
    <w:basedOn w:val="Normal"/>
    <w:rPr>
      <w:rFonts w:ascii="Arial" w:hAnsi="Arial"/>
    </w:r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TOC1">
    <w:name w:val="toc 1"/>
    <w:basedOn w:val="Normal"/>
    <w:next w:val="Normal"/>
    <w:uiPriority w:val="39"/>
    <w:pPr>
      <w:spacing w:before="120" w:after="120"/>
    </w:pPr>
    <w:rPr>
      <w:b/>
      <w:caps/>
      <w:sz w:val="22"/>
      <w:szCs w:val="22"/>
    </w:rPr>
  </w:style>
  <w:style w:type="paragraph" w:styleId="TOC2">
    <w:name w:val="toc 2"/>
    <w:basedOn w:val="Normal"/>
    <w:next w:val="Normal"/>
    <w:uiPriority w:val="39"/>
    <w:pPr>
      <w:ind w:left="245"/>
    </w:pPr>
    <w:rPr>
      <w:smallCaps/>
      <w:sz w:val="22"/>
      <w:szCs w:val="22"/>
    </w:rPr>
  </w:style>
  <w:style w:type="paragraph" w:styleId="TOC3">
    <w:name w:val="toc 3"/>
    <w:basedOn w:val="Normal"/>
    <w:next w:val="Normal"/>
    <w:uiPriority w:val="39"/>
    <w:pPr>
      <w:ind w:left="475"/>
    </w:pPr>
    <w:rPr>
      <w:sz w:val="22"/>
      <w:szCs w:val="22"/>
    </w:rPr>
  </w:style>
  <w:style w:type="paragraph" w:styleId="TOC4">
    <w:name w:val="toc 4"/>
    <w:basedOn w:val="Normal"/>
    <w:next w:val="Normal"/>
    <w:uiPriority w:val="39"/>
    <w:pPr>
      <w:ind w:left="720"/>
    </w:pPr>
    <w:rPr>
      <w:sz w:val="22"/>
    </w:r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character" w:styleId="Hyperlink">
    <w:name w:val="Hyperlink"/>
    <w:uiPriority w:val="99"/>
    <w:rPr>
      <w:color w:val="0000FF"/>
      <w:u w:val="single"/>
    </w:rPr>
  </w:style>
  <w:style w:type="paragraph" w:styleId="ListBullet">
    <w:name w:val="List Bullet"/>
    <w:basedOn w:val="Normal"/>
    <w:rsid w:val="00BB52F5"/>
    <w:pPr>
      <w:numPr>
        <w:numId w:val="15"/>
      </w:numPr>
      <w:spacing w:line="240" w:lineRule="atLeast"/>
    </w:pPr>
    <w:rPr>
      <w:spacing w:val="-5"/>
      <w:sz w:val="22"/>
      <w:szCs w:val="22"/>
    </w:rPr>
  </w:style>
  <w:style w:type="paragraph" w:customStyle="1" w:styleId="Bullhorn">
    <w:name w:val="Bullhorn"/>
    <w:basedOn w:val="TableText"/>
    <w:next w:val="TableText"/>
    <w:link w:val="BullhornChar"/>
    <w:rsid w:val="00896F17"/>
    <w:rPr>
      <w:rFonts w:ascii="Webdings" w:hAnsi="Webdings"/>
      <w:sz w:val="40"/>
    </w:rPr>
  </w:style>
  <w:style w:type="paragraph" w:customStyle="1" w:styleId="TableText">
    <w:name w:val="Table Text"/>
    <w:basedOn w:val="Normal"/>
    <w:link w:val="TableTextChar6"/>
    <w:rsid w:val="00584AF9"/>
    <w:rPr>
      <w:rFonts w:ascii="Arial" w:hAnsi="Arial"/>
      <w:sz w:val="18"/>
    </w:rPr>
  </w:style>
  <w:style w:type="character" w:customStyle="1" w:styleId="TableTextChar6">
    <w:name w:val="Table Text Char6"/>
    <w:link w:val="TableText"/>
    <w:rsid w:val="00584AF9"/>
    <w:rPr>
      <w:rFonts w:ascii="Arial" w:hAnsi="Arial"/>
      <w:sz w:val="18"/>
      <w:szCs w:val="24"/>
      <w:lang w:val="en-US" w:eastAsia="en-US" w:bidi="ar-SA"/>
    </w:rPr>
  </w:style>
  <w:style w:type="character" w:customStyle="1" w:styleId="BullhornChar">
    <w:name w:val="Bullhorn Char"/>
    <w:link w:val="Bullhorn"/>
    <w:rsid w:val="00896F17"/>
    <w:rPr>
      <w:rFonts w:ascii="Webdings" w:hAnsi="Webdings"/>
      <w:sz w:val="40"/>
      <w:szCs w:val="24"/>
      <w:lang w:val="en-US" w:eastAsia="en-US" w:bidi="ar-SA"/>
    </w:rPr>
  </w:style>
  <w:style w:type="paragraph" w:styleId="BodyText">
    <w:name w:val="Body Text"/>
    <w:basedOn w:val="Normal"/>
    <w:link w:val="BodyTextChar"/>
    <w:uiPriority w:val="99"/>
    <w:rsid w:val="00EE665E"/>
    <w:pPr>
      <w:spacing w:before="60" w:after="120"/>
    </w:pPr>
    <w:rPr>
      <w:sz w:val="22"/>
      <w:szCs w:val="22"/>
    </w:rPr>
  </w:style>
  <w:style w:type="character" w:customStyle="1" w:styleId="BodyTextChar">
    <w:name w:val="Body Text Char"/>
    <w:link w:val="BodyText"/>
    <w:uiPriority w:val="99"/>
    <w:rsid w:val="00EE665E"/>
    <w:rPr>
      <w:sz w:val="22"/>
      <w:szCs w:val="22"/>
      <w:lang w:val="en-US" w:eastAsia="en-US" w:bidi="ar-SA"/>
    </w:rPr>
  </w:style>
  <w:style w:type="table" w:styleId="TableGrid">
    <w:name w:val="Table Grid"/>
    <w:basedOn w:val="TableNormal"/>
    <w:rsid w:val="005F65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Normal"/>
    <w:autoRedefine/>
    <w:pPr>
      <w:numPr>
        <w:numId w:val="9"/>
      </w:numPr>
      <w:tabs>
        <w:tab w:val="clear" w:pos="1080"/>
        <w:tab w:val="left" w:pos="1350"/>
      </w:tabs>
      <w:ind w:left="0" w:firstLine="0"/>
    </w:pPr>
    <w:rPr>
      <w:rFonts w:ascii="Geneva" w:hAnsi="Geneva"/>
      <w:sz w:val="22"/>
      <w:szCs w:val="20"/>
    </w:rPr>
  </w:style>
  <w:style w:type="paragraph" w:customStyle="1" w:styleId="TableofContents">
    <w:name w:val="Table of Contents"/>
    <w:basedOn w:val="Heading1"/>
  </w:style>
  <w:style w:type="paragraph" w:customStyle="1" w:styleId="GlossaryTableTextBullets">
    <w:name w:val="Glossary Table Text Bullets"/>
    <w:basedOn w:val="GlossaryTableText"/>
    <w:pPr>
      <w:numPr>
        <w:numId w:val="11"/>
      </w:numPr>
    </w:pPr>
  </w:style>
  <w:style w:type="paragraph" w:customStyle="1" w:styleId="GlossaryTableText">
    <w:name w:val="Glossary Table Text"/>
    <w:basedOn w:val="TableText"/>
    <w:next w:val="TableText"/>
    <w:pPr>
      <w:spacing w:after="60"/>
    </w:pPr>
    <w:rPr>
      <w:rFonts w:eastAsia="Symbol"/>
      <w:sz w:val="20"/>
      <w:szCs w:val="20"/>
    </w:rPr>
  </w:style>
  <w:style w:type="character" w:customStyle="1" w:styleId="TableTextChar1">
    <w:name w:val="Table Text Char1"/>
    <w:rPr>
      <w:rFonts w:ascii="Arial" w:hAnsi="Arial"/>
      <w:sz w:val="18"/>
      <w:szCs w:val="24"/>
      <w:lang w:val="en-US" w:eastAsia="en-US" w:bidi="ar-SA"/>
    </w:rPr>
  </w:style>
  <w:style w:type="paragraph" w:styleId="ListBullet2">
    <w:name w:val="List Bullet 2"/>
    <w:basedOn w:val="BodyText"/>
    <w:rsid w:val="00EB1E75"/>
    <w:pPr>
      <w:numPr>
        <w:numId w:val="8"/>
      </w:numPr>
      <w:spacing w:before="0" w:after="0"/>
    </w:pPr>
  </w:style>
  <w:style w:type="character" w:customStyle="1" w:styleId="NotesTextChar5">
    <w:name w:val="Notes Text Char5"/>
    <w:rPr>
      <w:rFonts w:ascii="Arial" w:hAnsi="Arial"/>
      <w:color w:val="000000"/>
      <w:sz w:val="18"/>
      <w:szCs w:val="24"/>
      <w:lang w:val="en-US" w:eastAsia="en-US" w:bidi="ar-SA"/>
    </w:rPr>
  </w:style>
  <w:style w:type="character" w:styleId="CommentReference">
    <w:name w:val="annotation reference"/>
    <w:semiHidden/>
    <w:rPr>
      <w:sz w:val="16"/>
      <w:szCs w:val="16"/>
    </w:rPr>
  </w:style>
  <w:style w:type="paragraph" w:styleId="CommentText">
    <w:name w:val="annotation text"/>
    <w:basedOn w:val="Normal"/>
    <w:link w:val="CommentTextChar"/>
    <w:uiPriority w:val="99"/>
    <w:pPr>
      <w:tabs>
        <w:tab w:val="num" w:pos="1080"/>
      </w:tabs>
      <w:ind w:left="1080" w:hanging="360"/>
    </w:pPr>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sz w:val="16"/>
      <w:szCs w:val="16"/>
    </w:rPr>
  </w:style>
  <w:style w:type="paragraph" w:customStyle="1" w:styleId="StyleTitlePageCentered">
    <w:name w:val="Style TitlePage + Centered"/>
    <w:basedOn w:val="TitlePage"/>
    <w:pPr>
      <w:jc w:val="center"/>
    </w:pPr>
    <w:rPr>
      <w:sz w:val="44"/>
      <w:szCs w:val="44"/>
    </w:rPr>
  </w:style>
  <w:style w:type="paragraph" w:customStyle="1" w:styleId="StyleTitlePageBottom">
    <w:name w:val="StyleTitlePageBottom"/>
    <w:basedOn w:val="StyleTitlePageCentered"/>
    <w:rPr>
      <w:sz w:val="28"/>
    </w:rPr>
  </w:style>
  <w:style w:type="paragraph" w:customStyle="1" w:styleId="proclabel">
    <w:name w:val="proclabel"/>
    <w:basedOn w:val="Normal"/>
    <w:pPr>
      <w:spacing w:before="100" w:beforeAutospacing="1" w:after="100" w:afterAutospacing="1"/>
    </w:pPr>
  </w:style>
  <w:style w:type="character" w:styleId="FollowedHyperlink">
    <w:name w:val="FollowedHyperlink"/>
    <w:rPr>
      <w:color w:val="800080"/>
      <w:u w:val="single"/>
    </w:rPr>
  </w:style>
  <w:style w:type="paragraph" w:styleId="Caption">
    <w:name w:val="caption"/>
    <w:basedOn w:val="Normal"/>
    <w:next w:val="BodyText"/>
    <w:link w:val="CaptionChar1"/>
    <w:qFormat/>
    <w:rsid w:val="00453B6E"/>
    <w:pPr>
      <w:keepNext/>
      <w:spacing w:before="120" w:after="120"/>
    </w:pPr>
    <w:rPr>
      <w:b/>
      <w:sz w:val="22"/>
      <w:szCs w:val="22"/>
    </w:rPr>
  </w:style>
  <w:style w:type="character" w:customStyle="1" w:styleId="Char1">
    <w:name w:val="Char1"/>
    <w:semiHidden/>
    <w:rPr>
      <w:rFonts w:ascii="Arial" w:hAnsi="Arial" w:cs="Arial"/>
      <w:b/>
      <w:bCs/>
      <w:sz w:val="26"/>
      <w:szCs w:val="26"/>
      <w:lang w:val="en-US" w:eastAsia="en-US" w:bidi="ar-SA"/>
    </w:rPr>
  </w:style>
  <w:style w:type="paragraph" w:customStyle="1" w:styleId="TableTextBullet">
    <w:name w:val="Table Text Bullet"/>
    <w:basedOn w:val="TableText"/>
    <w:link w:val="TableTextBulletChar1"/>
    <w:rsid w:val="00B93B42"/>
    <w:pPr>
      <w:numPr>
        <w:numId w:val="12"/>
      </w:numPr>
    </w:pPr>
  </w:style>
  <w:style w:type="paragraph" w:styleId="BodyTextIndent2">
    <w:name w:val="Body Text Indent 2"/>
    <w:basedOn w:val="Normal"/>
    <w:pPr>
      <w:spacing w:after="120" w:line="480" w:lineRule="auto"/>
      <w:ind w:left="360"/>
    </w:pPr>
  </w:style>
  <w:style w:type="paragraph" w:styleId="Index1">
    <w:name w:val="index 1"/>
    <w:basedOn w:val="Normal"/>
    <w:next w:val="Normal"/>
    <w:uiPriority w:val="99"/>
    <w:semiHidden/>
    <w:rsid w:val="00E93F17"/>
    <w:pPr>
      <w:ind w:left="240" w:hanging="240"/>
    </w:pPr>
    <w:rPr>
      <w:sz w:val="18"/>
      <w:szCs w:val="18"/>
    </w:rPr>
  </w:style>
  <w:style w:type="paragraph" w:styleId="Index2">
    <w:name w:val="index 2"/>
    <w:basedOn w:val="Normal"/>
    <w:next w:val="Normal"/>
    <w:uiPriority w:val="99"/>
    <w:semiHidden/>
    <w:pPr>
      <w:ind w:left="480" w:hanging="240"/>
    </w:pPr>
    <w:rPr>
      <w:sz w:val="18"/>
      <w:szCs w:val="18"/>
    </w:rPr>
  </w:style>
  <w:style w:type="paragraph" w:styleId="Index3">
    <w:name w:val="index 3"/>
    <w:basedOn w:val="Normal"/>
    <w:next w:val="Normal"/>
    <w:autoRedefine/>
    <w:uiPriority w:val="99"/>
    <w:semiHidden/>
    <w:pPr>
      <w:ind w:left="720" w:hanging="240"/>
    </w:pPr>
    <w:rPr>
      <w:sz w:val="18"/>
      <w:szCs w:val="18"/>
    </w:rPr>
  </w:style>
  <w:style w:type="paragraph" w:styleId="Index4">
    <w:name w:val="index 4"/>
    <w:basedOn w:val="Normal"/>
    <w:next w:val="Normal"/>
    <w:autoRedefine/>
    <w:semiHidden/>
    <w:pPr>
      <w:ind w:left="960" w:hanging="240"/>
    </w:pPr>
    <w:rPr>
      <w:sz w:val="18"/>
      <w:szCs w:val="18"/>
    </w:rPr>
  </w:style>
  <w:style w:type="paragraph" w:customStyle="1" w:styleId="TableTextNumbers">
    <w:name w:val="Table Text Numbers"/>
    <w:basedOn w:val="TableText"/>
    <w:link w:val="TableTextNumbersCharChar"/>
    <w:rsid w:val="00584AF9"/>
    <w:pPr>
      <w:numPr>
        <w:numId w:val="4"/>
      </w:numPr>
    </w:pPr>
  </w:style>
  <w:style w:type="character" w:customStyle="1" w:styleId="TableTextNumbersCharChar">
    <w:name w:val="Table Text Numbers Char Char"/>
    <w:basedOn w:val="TableTextChar6"/>
    <w:link w:val="TableTextNumbers"/>
    <w:rsid w:val="00584AF9"/>
    <w:rPr>
      <w:rFonts w:ascii="Arial" w:hAnsi="Arial"/>
      <w:sz w:val="18"/>
      <w:szCs w:val="24"/>
      <w:lang w:val="en-US" w:eastAsia="en-US" w:bidi="ar-SA"/>
    </w:rPr>
  </w:style>
  <w:style w:type="character" w:customStyle="1" w:styleId="TableTextNumbersChar">
    <w:name w:val="Table Text Numbers Char"/>
    <w:rPr>
      <w:rFonts w:ascii="Arial" w:hAnsi="Arial"/>
      <w:sz w:val="18"/>
      <w:szCs w:val="24"/>
      <w:lang w:val="en-US" w:eastAsia="en-US" w:bidi="ar-SA"/>
    </w:rPr>
  </w:style>
  <w:style w:type="character" w:customStyle="1" w:styleId="Heading3Char">
    <w:name w:val="Heading 3 Char"/>
    <w:rPr>
      <w:rFonts w:ascii="Arial" w:hAnsi="Arial" w:cs="Arial"/>
      <w:b/>
      <w:bCs/>
      <w:sz w:val="26"/>
      <w:szCs w:val="26"/>
      <w:lang w:val="en-US" w:eastAsia="en-US" w:bidi="ar-SA"/>
    </w:rPr>
  </w:style>
  <w:style w:type="paragraph" w:customStyle="1" w:styleId="Caution">
    <w:name w:val="Caution"/>
    <w:basedOn w:val="Normal"/>
    <w:link w:val="CautionChar"/>
    <w:pPr>
      <w:pBdr>
        <w:top w:val="single" w:sz="4" w:space="6" w:color="auto"/>
        <w:left w:val="single" w:sz="4" w:space="4" w:color="auto"/>
        <w:bottom w:val="single" w:sz="4" w:space="6" w:color="auto"/>
        <w:right w:val="single" w:sz="4" w:space="0" w:color="auto"/>
      </w:pBdr>
      <w:spacing w:before="120" w:after="120"/>
    </w:pPr>
    <w:rPr>
      <w:i/>
      <w:iCs/>
      <w:sz w:val="22"/>
      <w:szCs w:val="20"/>
    </w:rPr>
  </w:style>
  <w:style w:type="character" w:customStyle="1" w:styleId="CautionChar">
    <w:name w:val="Caution Char"/>
    <w:link w:val="Caution"/>
    <w:rsid w:val="002E3C00"/>
    <w:rPr>
      <w:i/>
      <w:iCs/>
      <w:sz w:val="22"/>
      <w:lang w:val="en-US" w:eastAsia="en-US" w:bidi="ar-SA"/>
    </w:rPr>
  </w:style>
  <w:style w:type="paragraph" w:customStyle="1" w:styleId="TableTextBullet1">
    <w:name w:val="Table Text Bullet 1"/>
    <w:basedOn w:val="TableText"/>
    <w:pPr>
      <w:numPr>
        <w:numId w:val="6"/>
      </w:numPr>
    </w:pPr>
  </w:style>
  <w:style w:type="character" w:customStyle="1" w:styleId="CaptionChar1">
    <w:name w:val="Caption Char1"/>
    <w:link w:val="Caption"/>
    <w:rsid w:val="00453B6E"/>
    <w:rPr>
      <w:b/>
      <w:sz w:val="22"/>
      <w:szCs w:val="22"/>
      <w:lang w:val="en-US" w:eastAsia="en-US" w:bidi="ar-SA"/>
    </w:rPr>
  </w:style>
  <w:style w:type="paragraph" w:customStyle="1" w:styleId="StyleTableText9ptChar">
    <w:name w:val="Style Table Text + 9 pt Char"/>
    <w:basedOn w:val="TableText"/>
    <w:rsid w:val="00A906CD"/>
    <w:rPr>
      <w:color w:val="000000"/>
      <w:szCs w:val="18"/>
    </w:rPr>
  </w:style>
  <w:style w:type="character" w:customStyle="1" w:styleId="historydatafont1">
    <w:name w:val="historydatafont1"/>
    <w:rPr>
      <w:rFonts w:ascii="Arial" w:hAnsi="Arial" w:cs="Arial" w:hint="default"/>
      <w:color w:val="000000"/>
      <w:sz w:val="20"/>
      <w:szCs w:val="20"/>
    </w:rPr>
  </w:style>
  <w:style w:type="paragraph" w:customStyle="1" w:styleId="HeaderDocumentType">
    <w:name w:val="Header Document Type"/>
    <w:basedOn w:val="Normal"/>
    <w:pPr>
      <w:spacing w:after="120"/>
      <w:jc w:val="center"/>
    </w:pPr>
    <w:rPr>
      <w:szCs w:val="20"/>
    </w:rPr>
  </w:style>
  <w:style w:type="paragraph" w:customStyle="1" w:styleId="TableTextHeader">
    <w:name w:val="Table Text Header"/>
    <w:basedOn w:val="TableText"/>
    <w:pPr>
      <w:jc w:val="center"/>
    </w:pPr>
    <w:rPr>
      <w:b/>
      <w:color w:val="000000"/>
      <w:szCs w:val="20"/>
    </w:rPr>
  </w:style>
  <w:style w:type="paragraph" w:styleId="ListNumber">
    <w:name w:val="List Number"/>
    <w:basedOn w:val="Normal"/>
    <w:rsid w:val="006B270F"/>
    <w:rPr>
      <w:sz w:val="22"/>
      <w:szCs w:val="22"/>
    </w:rPr>
  </w:style>
  <w:style w:type="paragraph" w:styleId="ListNumber2">
    <w:name w:val="List Number 2"/>
    <w:basedOn w:val="Normal"/>
    <w:pPr>
      <w:numPr>
        <w:numId w:val="45"/>
      </w:numPr>
    </w:pPr>
    <w:rPr>
      <w:szCs w:val="20"/>
    </w:rPr>
  </w:style>
  <w:style w:type="paragraph" w:customStyle="1" w:styleId="Version">
    <w:name w:val="Version"/>
    <w:basedOn w:val="Normal"/>
    <w:next w:val="Normal"/>
    <w:pPr>
      <w:spacing w:after="480"/>
      <w:jc w:val="center"/>
    </w:pPr>
    <w:rPr>
      <w:b/>
      <w:szCs w:val="20"/>
    </w:rPr>
  </w:style>
  <w:style w:type="paragraph" w:customStyle="1" w:styleId="Part">
    <w:name w:val="Part"/>
    <w:basedOn w:val="Normal"/>
    <w:pPr>
      <w:pBdr>
        <w:top w:val="single" w:sz="4" w:space="1" w:color="auto"/>
      </w:pBdr>
      <w:ind w:left="720"/>
    </w:pPr>
    <w:rPr>
      <w:rFonts w:ascii="Symbol" w:hAnsi="Symbol"/>
      <w:b/>
      <w:color w:val="808080"/>
      <w:sz w:val="48"/>
      <w:szCs w:val="20"/>
    </w:rPr>
  </w:style>
  <w:style w:type="paragraph" w:customStyle="1" w:styleId="Style1">
    <w:name w:val="Style1"/>
    <w:basedOn w:val="Normal"/>
    <w:autoRedefine/>
    <w:rPr>
      <w:b/>
      <w:bCs/>
      <w:szCs w:val="20"/>
    </w:rPr>
  </w:style>
  <w:style w:type="paragraph" w:styleId="ListNumber3">
    <w:name w:val="List Number 3"/>
    <w:pPr>
      <w:tabs>
        <w:tab w:val="num" w:pos="1080"/>
      </w:tabs>
      <w:ind w:left="1080" w:hanging="360"/>
    </w:pPr>
    <w:rPr>
      <w:sz w:val="24"/>
    </w:rPr>
  </w:style>
  <w:style w:type="paragraph" w:customStyle="1" w:styleId="IOPTitle">
    <w:name w:val="IOP Title"/>
    <w:basedOn w:val="Normal"/>
    <w:autoRedefine/>
    <w:pPr>
      <w:jc w:val="right"/>
    </w:pPr>
    <w:rPr>
      <w:rFonts w:ascii="Symbol" w:hAnsi="Symbol"/>
      <w:b/>
      <w:sz w:val="28"/>
      <w:szCs w:val="20"/>
    </w:rPr>
  </w:style>
  <w:style w:type="paragraph" w:customStyle="1" w:styleId="Outline1">
    <w:name w:val="Outline 1"/>
    <w:basedOn w:val="Normal"/>
    <w:rPr>
      <w:szCs w:val="20"/>
    </w:rPr>
  </w:style>
  <w:style w:type="paragraph" w:customStyle="1" w:styleId="Outline3">
    <w:name w:val="Outline 3"/>
    <w:basedOn w:val="Normal"/>
    <w:rPr>
      <w:szCs w:val="20"/>
    </w:rPr>
  </w:style>
  <w:style w:type="paragraph" w:customStyle="1" w:styleId="InfoBlue">
    <w:name w:val="InfoBlue"/>
    <w:basedOn w:val="Normal"/>
    <w:next w:val="BodyText"/>
    <w:autoRedefine/>
    <w:pPr>
      <w:widowControl w:val="0"/>
      <w:spacing w:after="120" w:line="240" w:lineRule="atLeast"/>
    </w:pPr>
    <w:rPr>
      <w:i/>
      <w:color w:val="0000FF"/>
      <w:szCs w:val="20"/>
    </w:rPr>
  </w:style>
  <w:style w:type="paragraph" w:customStyle="1" w:styleId="Outline2">
    <w:name w:val="Outline 2"/>
    <w:basedOn w:val="Normal"/>
    <w:pPr>
      <w:tabs>
        <w:tab w:val="num" w:pos="720"/>
      </w:tabs>
      <w:ind w:left="720" w:hanging="360"/>
    </w:pPr>
    <w:rPr>
      <w:szCs w:val="20"/>
    </w:rPr>
  </w:style>
  <w:style w:type="paragraph" w:customStyle="1" w:styleId="Heading3Subsection">
    <w:name w:val="Heading 3 Subsection"/>
    <w:basedOn w:val="Outline1"/>
    <w:pPr>
      <w:tabs>
        <w:tab w:val="num" w:pos="720"/>
      </w:tabs>
      <w:spacing w:before="240" w:after="60"/>
      <w:ind w:left="1440" w:hanging="720"/>
    </w:pPr>
    <w:rPr>
      <w:rFonts w:ascii="Geneva" w:hAnsi="Geneva"/>
      <w:b/>
      <w:sz w:val="22"/>
    </w:rPr>
  </w:style>
  <w:style w:type="character" w:customStyle="1" w:styleId="DarleneBrill">
    <w:name w:val="Darlene Brill"/>
    <w:semiHidden/>
    <w:rPr>
      <w:rFonts w:ascii="Arial" w:hAnsi="Arial" w:cs="Arial"/>
      <w:color w:val="auto"/>
      <w:sz w:val="20"/>
      <w:szCs w:val="20"/>
    </w:rPr>
  </w:style>
  <w:style w:type="paragraph" w:customStyle="1" w:styleId="ListBulletLast">
    <w:name w:val="List Bullet Last"/>
    <w:basedOn w:val="ListBullet"/>
    <w:next w:val="BodyText"/>
    <w:pPr>
      <w:numPr>
        <w:numId w:val="0"/>
      </w:numPr>
      <w:tabs>
        <w:tab w:val="num" w:pos="1080"/>
      </w:tabs>
      <w:spacing w:after="120"/>
    </w:pPr>
  </w:style>
  <w:style w:type="paragraph" w:customStyle="1" w:styleId="NotesTextBullet">
    <w:name w:val="Notes Text Bullet"/>
    <w:basedOn w:val="TableTextBullet"/>
    <w:pPr>
      <w:numPr>
        <w:numId w:val="3"/>
      </w:numPr>
    </w:pPr>
  </w:style>
  <w:style w:type="paragraph" w:customStyle="1" w:styleId="NotesText">
    <w:name w:val="Notes Text"/>
    <w:basedOn w:val="TableText"/>
    <w:pPr>
      <w:ind w:left="720"/>
    </w:pPr>
  </w:style>
  <w:style w:type="paragraph" w:customStyle="1" w:styleId="TableTextNumbersContinued">
    <w:name w:val="Table Text Numbers Continued"/>
    <w:basedOn w:val="TableTextNumbers"/>
    <w:pPr>
      <w:numPr>
        <w:numId w:val="0"/>
      </w:numPr>
      <w:ind w:left="288"/>
    </w:pPr>
  </w:style>
  <w:style w:type="character" w:customStyle="1" w:styleId="TableTextNumbersContinuedChar1">
    <w:name w:val="Table Text Numbers Continued Char1"/>
    <w:rPr>
      <w:rFonts w:ascii="Arial" w:hAnsi="Arial"/>
      <w:sz w:val="18"/>
      <w:szCs w:val="24"/>
      <w:lang w:val="en-US" w:eastAsia="en-US" w:bidi="ar-SA"/>
    </w:rPr>
  </w:style>
  <w:style w:type="paragraph" w:customStyle="1" w:styleId="NotesTextBullet1">
    <w:name w:val="Notes Text Bullet 1"/>
    <w:basedOn w:val="TableTextBullet1"/>
    <w:pPr>
      <w:numPr>
        <w:numId w:val="5"/>
      </w:numPr>
    </w:pPr>
  </w:style>
  <w:style w:type="paragraph" w:styleId="BlockText">
    <w:name w:val="Block Text"/>
    <w:basedOn w:val="Normal"/>
    <w:pPr>
      <w:spacing w:after="120"/>
      <w:ind w:left="1440" w:right="1440"/>
    </w:pPr>
  </w:style>
  <w:style w:type="paragraph" w:customStyle="1" w:styleId="TableTextBullet2">
    <w:name w:val="Table Text Bullet 2"/>
    <w:pPr>
      <w:tabs>
        <w:tab w:val="num" w:pos="288"/>
      </w:tabs>
      <w:ind w:left="288" w:firstLine="288"/>
    </w:pPr>
    <w:rPr>
      <w:rFonts w:ascii="Arial" w:hAnsi="Arial"/>
      <w:sz w:val="18"/>
      <w:szCs w:val="18"/>
    </w:rPr>
  </w:style>
  <w:style w:type="character" w:customStyle="1" w:styleId="TableTextNumbersContinuedChar">
    <w:name w:val="Table Text Numbers Continued Char"/>
    <w:rPr>
      <w:rFonts w:ascii="Arial" w:hAnsi="Arial"/>
      <w:sz w:val="18"/>
      <w:szCs w:val="24"/>
      <w:lang w:val="en-US" w:eastAsia="en-US" w:bidi="ar-SA"/>
    </w:rPr>
  </w:style>
  <w:style w:type="paragraph" w:styleId="FootnoteText">
    <w:name w:val="footnote text"/>
    <w:basedOn w:val="Normal"/>
    <w:link w:val="FootnoteTextChar"/>
    <w:uiPriority w:val="99"/>
    <w:semiHidden/>
    <w:rPr>
      <w:sz w:val="20"/>
      <w:szCs w:val="20"/>
    </w:rPr>
  </w:style>
  <w:style w:type="character" w:styleId="FootnoteReference">
    <w:name w:val="footnote reference"/>
    <w:uiPriority w:val="99"/>
    <w:semiHidden/>
    <w:rPr>
      <w:vertAlign w:val="superscript"/>
    </w:rPr>
  </w:style>
  <w:style w:type="paragraph" w:customStyle="1" w:styleId="TableTextNumbersBullet">
    <w:name w:val="Table Text Numbers Bullet"/>
    <w:basedOn w:val="TableTextNumbersContinued"/>
    <w:pPr>
      <w:numPr>
        <w:numId w:val="7"/>
      </w:numPr>
      <w:ind w:left="576" w:hanging="288"/>
    </w:pPr>
  </w:style>
  <w:style w:type="paragraph" w:styleId="Title">
    <w:name w:val="Title"/>
    <w:basedOn w:val="Normal"/>
    <w:next w:val="Normal"/>
    <w:qFormat/>
    <w:pPr>
      <w:widowControl w:val="0"/>
      <w:jc w:val="center"/>
    </w:pPr>
    <w:rPr>
      <w:rFonts w:ascii="Arial" w:hAnsi="Arial"/>
      <w:b/>
      <w:sz w:val="36"/>
      <w:szCs w:val="20"/>
    </w:rPr>
  </w:style>
  <w:style w:type="paragraph" w:styleId="ListBullet3">
    <w:name w:val="List Bullet 3"/>
    <w:basedOn w:val="Normal"/>
    <w:pPr>
      <w:tabs>
        <w:tab w:val="num" w:pos="1080"/>
      </w:tabs>
      <w:ind w:left="1440" w:hanging="360"/>
    </w:pPr>
    <w:rPr>
      <w:sz w:val="22"/>
    </w:rPr>
  </w:style>
  <w:style w:type="character" w:customStyle="1" w:styleId="NotesTextChar4">
    <w:name w:val="Notes Text Char4"/>
    <w:rPr>
      <w:rFonts w:ascii="Arial" w:hAnsi="Arial"/>
      <w:sz w:val="18"/>
      <w:szCs w:val="24"/>
      <w:lang w:val="en-US" w:eastAsia="en-US" w:bidi="ar-SA"/>
    </w:rPr>
  </w:style>
  <w:style w:type="character" w:customStyle="1" w:styleId="TableTextChar2">
    <w:name w:val="Table Text Char2"/>
    <w:rPr>
      <w:rFonts w:ascii="Arial" w:hAnsi="Arial"/>
      <w:sz w:val="18"/>
      <w:szCs w:val="24"/>
      <w:lang w:val="en-US" w:eastAsia="en-US" w:bidi="ar-SA"/>
    </w:rPr>
  </w:style>
  <w:style w:type="character" w:customStyle="1" w:styleId="StyleTableText9ptCharChar">
    <w:name w:val="Style Table Text + 9 pt Char Char"/>
    <w:rsid w:val="007809C3"/>
    <w:rPr>
      <w:rFonts w:ascii="Arial" w:hAnsi="Arial"/>
      <w:noProof/>
      <w:color w:val="000000"/>
      <w:sz w:val="18"/>
      <w:szCs w:val="24"/>
      <w:lang w:val="en-US" w:eastAsia="en-US" w:bidi="ar-SA"/>
    </w:rPr>
  </w:style>
  <w:style w:type="character" w:customStyle="1" w:styleId="TableTextChar4">
    <w:name w:val="Table Text Char4"/>
    <w:rPr>
      <w:rFonts w:ascii="Arial" w:hAnsi="Arial"/>
      <w:sz w:val="18"/>
      <w:szCs w:val="24"/>
      <w:lang w:val="en-US" w:eastAsia="en-US" w:bidi="ar-SA"/>
    </w:rPr>
  </w:style>
  <w:style w:type="character" w:customStyle="1" w:styleId="TableTextBullet1Char">
    <w:name w:val="Table Text Bullet 1 Char"/>
    <w:rPr>
      <w:rFonts w:ascii="Arial" w:hAnsi="Arial"/>
      <w:color w:val="000000"/>
      <w:sz w:val="18"/>
      <w:szCs w:val="24"/>
      <w:lang w:val="en-US" w:eastAsia="en-US" w:bidi="ar-SA"/>
    </w:rPr>
  </w:style>
  <w:style w:type="character" w:customStyle="1" w:styleId="NotesTextBullet1Char">
    <w:name w:val="Notes Text Bullet 1 Char"/>
    <w:basedOn w:val="TableTextBullet1Char"/>
    <w:rPr>
      <w:rFonts w:ascii="Arial" w:hAnsi="Arial"/>
      <w:color w:val="000000"/>
      <w:sz w:val="18"/>
      <w:szCs w:val="24"/>
      <w:lang w:val="en-US" w:eastAsia="en-US" w:bidi="ar-SA"/>
    </w:rPr>
  </w:style>
  <w:style w:type="character" w:customStyle="1" w:styleId="ListBulletChar">
    <w:name w:val="List Bullet Char"/>
    <w:rPr>
      <w:spacing w:val="-5"/>
      <w:sz w:val="22"/>
      <w:szCs w:val="22"/>
      <w:lang w:val="en-US" w:eastAsia="en-US" w:bidi="ar-SA"/>
    </w:rPr>
  </w:style>
  <w:style w:type="paragraph" w:customStyle="1" w:styleId="Paragraph2">
    <w:name w:val="Paragraph2"/>
    <w:basedOn w:val="Normal"/>
    <w:autoRedefine/>
    <w:pPr>
      <w:spacing w:before="80"/>
    </w:pPr>
    <w:rPr>
      <w:color w:val="000000"/>
      <w:szCs w:val="20"/>
    </w:rPr>
  </w:style>
  <w:style w:type="character" w:customStyle="1" w:styleId="TableTextBulletChar">
    <w:name w:val="Table Text Bullet Char"/>
    <w:basedOn w:val="TableTextChar1"/>
    <w:rPr>
      <w:rFonts w:ascii="Arial" w:hAnsi="Arial"/>
      <w:sz w:val="18"/>
      <w:szCs w:val="24"/>
      <w:lang w:val="en-US" w:eastAsia="en-US" w:bidi="ar-SA"/>
    </w:rPr>
  </w:style>
  <w:style w:type="character" w:customStyle="1" w:styleId="TableTextNumbersChar1">
    <w:name w:val="Table Text Numbers Char1"/>
    <w:basedOn w:val="TableTextChar2"/>
    <w:rPr>
      <w:rFonts w:ascii="Arial" w:hAnsi="Arial"/>
      <w:sz w:val="18"/>
      <w:szCs w:val="24"/>
      <w:lang w:val="en-US" w:eastAsia="en-US" w:bidi="ar-SA"/>
    </w:rPr>
  </w:style>
  <w:style w:type="character" w:customStyle="1" w:styleId="Char3">
    <w:name w:val="Char3"/>
    <w:semiHidden/>
    <w:rPr>
      <w:rFonts w:ascii="Arial" w:hAnsi="Arial" w:cs="Arial"/>
      <w:b/>
      <w:bCs/>
      <w:sz w:val="26"/>
      <w:szCs w:val="26"/>
      <w:lang w:val="en-US" w:eastAsia="en-US" w:bidi="ar-SA"/>
    </w:rPr>
  </w:style>
  <w:style w:type="character" w:customStyle="1" w:styleId="TableTextChar">
    <w:name w:val="Table Text Char"/>
    <w:rPr>
      <w:rFonts w:ascii="Arial" w:hAnsi="Arial"/>
      <w:sz w:val="18"/>
      <w:szCs w:val="24"/>
      <w:lang w:val="en-US" w:eastAsia="en-US" w:bidi="ar-SA"/>
    </w:rPr>
  </w:style>
  <w:style w:type="character" w:customStyle="1" w:styleId="TableTextBulletChar2">
    <w:name w:val="Table Text Bullet Char2"/>
    <w:basedOn w:val="TableTextChar4"/>
    <w:rPr>
      <w:rFonts w:ascii="Arial" w:hAnsi="Arial"/>
      <w:sz w:val="18"/>
      <w:szCs w:val="24"/>
      <w:lang w:val="en-US" w:eastAsia="en-US" w:bidi="ar-SA"/>
    </w:rPr>
  </w:style>
  <w:style w:type="paragraph" w:customStyle="1" w:styleId="Bulletlistindented1">
    <w:name w:val="Bullet list indented1"/>
    <w:basedOn w:val="Normal"/>
    <w:autoRedefine/>
    <w:pPr>
      <w:tabs>
        <w:tab w:val="left" w:pos="1350"/>
        <w:tab w:val="num" w:pos="1440"/>
      </w:tabs>
      <w:ind w:left="1440" w:hanging="360"/>
    </w:pPr>
    <w:rPr>
      <w:rFonts w:ascii="Geneva" w:hAnsi="Geneva"/>
      <w:sz w:val="22"/>
      <w:szCs w:val="20"/>
    </w:rPr>
  </w:style>
  <w:style w:type="paragraph" w:customStyle="1" w:styleId="Tabletext0">
    <w:name w:val="Tabletext"/>
    <w:basedOn w:val="Normal"/>
    <w:pPr>
      <w:keepLines/>
      <w:widowControl w:val="0"/>
      <w:spacing w:after="120" w:line="240" w:lineRule="atLeast"/>
    </w:pPr>
    <w:rPr>
      <w:sz w:val="20"/>
      <w:szCs w:val="20"/>
    </w:rPr>
  </w:style>
  <w:style w:type="paragraph" w:styleId="NoteHeading">
    <w:name w:val="Note Heading"/>
    <w:basedOn w:val="Normal"/>
    <w:next w:val="Normal"/>
    <w:pPr>
      <w:widowControl w:val="0"/>
      <w:spacing w:line="240" w:lineRule="atLeast"/>
    </w:pPr>
    <w:rPr>
      <w:rFonts w:ascii="Arial" w:hAnsi="Arial"/>
      <w:b/>
      <w:szCs w:val="20"/>
    </w:rPr>
  </w:style>
  <w:style w:type="paragraph" w:customStyle="1" w:styleId="xl72">
    <w:name w:val="xl72"/>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color w:val="993366"/>
      <w:sz w:val="16"/>
      <w:szCs w:val="16"/>
    </w:rPr>
  </w:style>
  <w:style w:type="paragraph" w:styleId="BodyText2">
    <w:name w:val="Body Text 2"/>
    <w:basedOn w:val="Normal"/>
    <w:pPr>
      <w:jc w:val="center"/>
    </w:pPr>
    <w:rPr>
      <w:rFonts w:ascii="Arial" w:hAnsi="Arial"/>
      <w:b/>
      <w:sz w:val="20"/>
    </w:rPr>
  </w:style>
  <w:style w:type="paragraph" w:customStyle="1" w:styleId="StyleTableTextNumbersWhite1">
    <w:name w:val="Style Table Text Numbers + White1"/>
    <w:basedOn w:val="TableTextNumbers"/>
    <w:link w:val="StyleTableTextNumbersWhite1Char"/>
    <w:rsid w:val="00B93B42"/>
    <w:rPr>
      <w:vanish/>
      <w:color w:val="FFFFFF"/>
      <w:szCs w:val="18"/>
    </w:rPr>
  </w:style>
  <w:style w:type="character" w:customStyle="1" w:styleId="StyleTableTextNumbersWhite1Char">
    <w:name w:val="Style Table Text Numbers + White1 Char"/>
    <w:link w:val="StyleTableTextNumbersWhite1"/>
    <w:rsid w:val="00B93B42"/>
    <w:rPr>
      <w:rFonts w:ascii="Arial" w:hAnsi="Arial"/>
      <w:vanish/>
      <w:color w:val="FFFFFF"/>
      <w:sz w:val="18"/>
      <w:szCs w:val="18"/>
    </w:rPr>
  </w:style>
  <w:style w:type="paragraph" w:styleId="BodyText3">
    <w:name w:val="Body Text 3"/>
    <w:basedOn w:val="Normal"/>
    <w:rPr>
      <w:strike/>
      <w:color w:val="999999"/>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Symbol" w:eastAsia="Symbol" w:hAnsi="Symbol" w:cs="Symbol"/>
    </w:rPr>
  </w:style>
  <w:style w:type="paragraph" w:customStyle="1" w:styleId="xl25">
    <w:name w:val="xl25"/>
    <w:basedOn w:val="Normal"/>
    <w:pPr>
      <w:pBdr>
        <w:top w:val="single" w:sz="4" w:space="0" w:color="auto"/>
        <w:left w:val="single" w:sz="4" w:space="0" w:color="auto"/>
        <w:bottom w:val="single" w:sz="4" w:space="0" w:color="auto"/>
      </w:pBdr>
      <w:spacing w:before="100" w:beforeAutospacing="1" w:after="100" w:afterAutospacing="1"/>
    </w:pPr>
    <w:rPr>
      <w:rFonts w:ascii="Symbol" w:eastAsia="Symbol" w:hAnsi="Symbol" w:cs="Symbol"/>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b/>
      <w:bCs/>
    </w:rPr>
  </w:style>
  <w:style w:type="paragraph" w:customStyle="1" w:styleId="xl27">
    <w:name w:val="xl27"/>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Symbol" w:hAnsi="Arial" w:cs="Arial"/>
      <w:b/>
      <w:bCs/>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rPr>
  </w:style>
  <w:style w:type="paragraph" w:customStyle="1" w:styleId="xl29">
    <w:name w:val="xl29"/>
    <w:basedOn w:val="Normal"/>
    <w:pPr>
      <w:spacing w:before="100" w:beforeAutospacing="1" w:after="100" w:afterAutospacing="1"/>
      <w:jc w:val="center"/>
      <w:textAlignment w:val="center"/>
    </w:pPr>
    <w:rPr>
      <w:rFonts w:ascii="Arial" w:eastAsia="Symbol" w:hAnsi="Arial" w:cs="Arial"/>
      <w:b/>
      <w:bCs/>
    </w:rPr>
  </w:style>
  <w:style w:type="paragraph" w:customStyle="1" w:styleId="xl30">
    <w:name w:val="xl30"/>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Symbol" w:hAnsi="Arial" w:cs="Arial"/>
    </w:rPr>
  </w:style>
  <w:style w:type="paragraph" w:customStyle="1" w:styleId="xl31">
    <w:name w:val="xl31"/>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Symbol" w:eastAsia="Symbol" w:hAnsi="Symbol" w:cs="Symbol"/>
    </w:rPr>
  </w:style>
  <w:style w:type="paragraph" w:customStyle="1" w:styleId="xl32">
    <w:name w:val="xl32"/>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Symbol" w:hAnsi="Arial" w:cs="Arial"/>
      <w:b/>
      <w:bCs/>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Symbol" w:hAnsi="Arial" w:cs="Arial"/>
    </w:rPr>
  </w:style>
  <w:style w:type="paragraph" w:customStyle="1" w:styleId="xl34">
    <w:name w:val="xl34"/>
    <w:basedOn w:val="Normal"/>
    <w:pPr>
      <w:shd w:val="clear" w:color="auto" w:fill="C0C0C0"/>
      <w:spacing w:before="100" w:beforeAutospacing="1" w:after="100" w:afterAutospacing="1"/>
    </w:pPr>
    <w:rPr>
      <w:rFonts w:ascii="Symbol" w:eastAsia="Symbol" w:hAnsi="Symbol" w:cs="Symbol"/>
    </w:rPr>
  </w:style>
  <w:style w:type="paragraph" w:customStyle="1" w:styleId="xl35">
    <w:name w:val="xl35"/>
    <w:basedOn w:val="Normal"/>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pPr>
    <w:rPr>
      <w:rFonts w:ascii="Symbol" w:eastAsia="Symbol" w:hAnsi="Symbol" w:cs="Symbol"/>
    </w:rPr>
  </w:style>
  <w:style w:type="paragraph" w:customStyle="1" w:styleId="xl36">
    <w:name w:val="xl36"/>
    <w:basedOn w:val="Normal"/>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jc w:val="center"/>
      <w:textAlignment w:val="center"/>
    </w:pPr>
    <w:rPr>
      <w:rFonts w:ascii="Arial" w:eastAsia="Symbol" w:hAnsi="Arial" w:cs="Arial"/>
      <w:b/>
      <w:bCs/>
    </w:rPr>
  </w:style>
  <w:style w:type="paragraph" w:customStyle="1" w:styleId="xl37">
    <w:name w:val="xl37"/>
    <w:basedOn w:val="Normal"/>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jc w:val="center"/>
      <w:textAlignment w:val="center"/>
    </w:pPr>
    <w:rPr>
      <w:rFonts w:ascii="Arial" w:eastAsia="Symbol" w:hAnsi="Arial" w:cs="Arial"/>
    </w:rPr>
  </w:style>
  <w:style w:type="character" w:customStyle="1" w:styleId="CaptionChar">
    <w:name w:val="Caption Char"/>
    <w:rPr>
      <w:b/>
      <w:noProof w:val="0"/>
      <w:sz w:val="24"/>
      <w:szCs w:val="24"/>
      <w:lang w:val="en-US" w:eastAsia="en-US" w:bidi="ar-SA"/>
    </w:rPr>
  </w:style>
  <w:style w:type="character" w:customStyle="1" w:styleId="ListChar">
    <w:name w:val="List Char"/>
    <w:rPr>
      <w:noProof w:val="0"/>
      <w:sz w:val="24"/>
      <w:lang w:val="en-US" w:eastAsia="en-US" w:bidi="ar-SA"/>
    </w:rPr>
  </w:style>
  <w:style w:type="character" w:customStyle="1" w:styleId="TableTextChar3">
    <w:name w:val="Table Text Char3"/>
    <w:rPr>
      <w:rFonts w:ascii="Arial" w:hAnsi="Arial"/>
      <w:sz w:val="18"/>
      <w:szCs w:val="24"/>
      <w:lang w:val="en-US" w:eastAsia="en-US" w:bidi="ar-SA"/>
    </w:rPr>
  </w:style>
  <w:style w:type="paragraph" w:customStyle="1" w:styleId="ListRole">
    <w:name w:val="List Role"/>
    <w:basedOn w:val="BodyText"/>
    <w:pPr>
      <w:ind w:left="360"/>
    </w:pPr>
  </w:style>
  <w:style w:type="paragraph" w:customStyle="1" w:styleId="Roles">
    <w:name w:val="Roles"/>
    <w:basedOn w:val="BodyText"/>
    <w:link w:val="RolesChar1"/>
    <w:rsid w:val="00237C52"/>
    <w:pPr>
      <w:spacing w:before="0" w:after="0"/>
      <w:ind w:left="288"/>
    </w:pPr>
  </w:style>
  <w:style w:type="character" w:customStyle="1" w:styleId="RolesChar1">
    <w:name w:val="Roles Char1"/>
    <w:basedOn w:val="BodyTextChar"/>
    <w:link w:val="Roles"/>
    <w:rsid w:val="00237C52"/>
    <w:rPr>
      <w:sz w:val="22"/>
      <w:szCs w:val="22"/>
      <w:lang w:val="en-US" w:eastAsia="en-US" w:bidi="ar-SA"/>
    </w:rPr>
  </w:style>
  <w:style w:type="character" w:customStyle="1" w:styleId="RolesChar">
    <w:name w:val="Roles Char"/>
    <w:rPr>
      <w:sz w:val="22"/>
      <w:lang w:val="en-US" w:eastAsia="en-US" w:bidi="ar-SA"/>
    </w:rPr>
  </w:style>
  <w:style w:type="character" w:customStyle="1" w:styleId="TableTextChar5">
    <w:name w:val="Table Text Char5"/>
    <w:rPr>
      <w:rFonts w:ascii="Arial" w:hAnsi="Arial"/>
      <w:sz w:val="18"/>
      <w:szCs w:val="24"/>
      <w:lang w:val="en-US" w:eastAsia="en-US" w:bidi="ar-SA"/>
    </w:rPr>
  </w:style>
  <w:style w:type="character" w:customStyle="1" w:styleId="TableTextNumbersChar2">
    <w:name w:val="Table Text Numbers Char2"/>
    <w:basedOn w:val="TableTextChar5"/>
    <w:rPr>
      <w:rFonts w:ascii="Arial" w:hAnsi="Arial"/>
      <w:sz w:val="18"/>
      <w:szCs w:val="24"/>
      <w:lang w:val="en-US" w:eastAsia="en-US" w:bidi="ar-SA"/>
    </w:rPr>
  </w:style>
  <w:style w:type="paragraph" w:customStyle="1" w:styleId="StyleTableTextBlack">
    <w:name w:val="Style Table Text + Black"/>
    <w:basedOn w:val="TableText"/>
    <w:link w:val="StyleTableTextBlackChar"/>
    <w:rsid w:val="00584AF9"/>
    <w:rPr>
      <w:color w:val="000000"/>
    </w:rPr>
  </w:style>
  <w:style w:type="paragraph" w:customStyle="1" w:styleId="StyleTableTextNumbersWhite2">
    <w:name w:val="Style Table Text Numbers + White2"/>
    <w:basedOn w:val="TableTextNumbers"/>
    <w:link w:val="StyleTableTextNumbersWhite2Char"/>
    <w:rsid w:val="00912F51"/>
    <w:rPr>
      <w:vanish/>
      <w:color w:val="FFFFFF"/>
      <w:szCs w:val="18"/>
    </w:rPr>
  </w:style>
  <w:style w:type="character" w:customStyle="1" w:styleId="StyleTableTextNumbersWhite2Char">
    <w:name w:val="Style Table Text Numbers + White2 Char"/>
    <w:link w:val="StyleTableTextNumbersWhite2"/>
    <w:rsid w:val="00912F51"/>
    <w:rPr>
      <w:rFonts w:ascii="Arial" w:hAnsi="Arial"/>
      <w:vanish/>
      <w:color w:val="FFFFFF"/>
      <w:sz w:val="18"/>
      <w:szCs w:val="18"/>
    </w:rPr>
  </w:style>
  <w:style w:type="character" w:customStyle="1" w:styleId="StyleTableTextBlackChar">
    <w:name w:val="Style Table Text + Black Char"/>
    <w:link w:val="StyleTableTextBlack"/>
    <w:rsid w:val="00584AF9"/>
    <w:rPr>
      <w:rFonts w:ascii="Arial" w:hAnsi="Arial"/>
      <w:color w:val="000000"/>
      <w:sz w:val="18"/>
      <w:szCs w:val="24"/>
      <w:lang w:val="en-US" w:eastAsia="en-US" w:bidi="ar-SA"/>
    </w:rPr>
  </w:style>
  <w:style w:type="paragraph" w:customStyle="1" w:styleId="StyleBodyTextArial9ptBold">
    <w:name w:val="Style Body Text + Arial 9 pt Bold"/>
    <w:basedOn w:val="BodyText"/>
    <w:rsid w:val="00963F12"/>
    <w:pPr>
      <w:spacing w:before="0" w:after="0"/>
    </w:pPr>
    <w:rPr>
      <w:rFonts w:ascii="Arial" w:hAnsi="Arial"/>
      <w:b/>
      <w:bCs/>
      <w:sz w:val="18"/>
    </w:rPr>
  </w:style>
  <w:style w:type="paragraph" w:styleId="List2">
    <w:name w:val="List 2"/>
    <w:basedOn w:val="Normal"/>
    <w:rsid w:val="00FA7E65"/>
    <w:pPr>
      <w:ind w:left="720" w:hanging="360"/>
    </w:pPr>
  </w:style>
  <w:style w:type="paragraph" w:styleId="BodyTextIndent">
    <w:name w:val="Body Text Indent"/>
    <w:basedOn w:val="Normal"/>
    <w:rsid w:val="00FA7E65"/>
    <w:pPr>
      <w:spacing w:after="120"/>
      <w:ind w:left="360"/>
    </w:pPr>
  </w:style>
  <w:style w:type="paragraph" w:styleId="NormalWeb">
    <w:name w:val="Normal (Web)"/>
    <w:basedOn w:val="Normal"/>
    <w:rsid w:val="001D19BF"/>
    <w:pPr>
      <w:spacing w:before="100" w:beforeAutospacing="1" w:after="100" w:afterAutospacing="1"/>
    </w:pPr>
  </w:style>
  <w:style w:type="paragraph" w:customStyle="1" w:styleId="tabletext1">
    <w:name w:val="tabletext"/>
    <w:basedOn w:val="Normal"/>
    <w:rsid w:val="00194509"/>
    <w:rPr>
      <w:rFonts w:ascii="Arial" w:hAnsi="Arial" w:cs="Arial"/>
      <w:color w:val="000000"/>
      <w:sz w:val="18"/>
      <w:szCs w:val="18"/>
    </w:rPr>
  </w:style>
  <w:style w:type="paragraph" w:styleId="Index5">
    <w:name w:val="index 5"/>
    <w:basedOn w:val="Normal"/>
    <w:next w:val="Normal"/>
    <w:autoRedefine/>
    <w:semiHidden/>
    <w:rsid w:val="00E93F17"/>
    <w:pPr>
      <w:ind w:left="1200" w:hanging="240"/>
    </w:pPr>
    <w:rPr>
      <w:sz w:val="18"/>
      <w:szCs w:val="18"/>
    </w:rPr>
  </w:style>
  <w:style w:type="paragraph" w:styleId="Index6">
    <w:name w:val="index 6"/>
    <w:basedOn w:val="Normal"/>
    <w:next w:val="Normal"/>
    <w:autoRedefine/>
    <w:semiHidden/>
    <w:rsid w:val="00E93F17"/>
    <w:pPr>
      <w:ind w:left="1440" w:hanging="240"/>
    </w:pPr>
    <w:rPr>
      <w:sz w:val="18"/>
      <w:szCs w:val="18"/>
    </w:rPr>
  </w:style>
  <w:style w:type="paragraph" w:styleId="Index7">
    <w:name w:val="index 7"/>
    <w:basedOn w:val="Normal"/>
    <w:next w:val="Normal"/>
    <w:autoRedefine/>
    <w:semiHidden/>
    <w:rsid w:val="00E93F17"/>
    <w:pPr>
      <w:ind w:left="1680" w:hanging="240"/>
    </w:pPr>
    <w:rPr>
      <w:sz w:val="18"/>
      <w:szCs w:val="18"/>
    </w:rPr>
  </w:style>
  <w:style w:type="paragraph" w:styleId="Index8">
    <w:name w:val="index 8"/>
    <w:basedOn w:val="Normal"/>
    <w:next w:val="Normal"/>
    <w:autoRedefine/>
    <w:semiHidden/>
    <w:rsid w:val="00E93F17"/>
    <w:pPr>
      <w:ind w:left="1920" w:hanging="240"/>
    </w:pPr>
    <w:rPr>
      <w:sz w:val="18"/>
      <w:szCs w:val="18"/>
    </w:rPr>
  </w:style>
  <w:style w:type="paragraph" w:styleId="Index9">
    <w:name w:val="index 9"/>
    <w:basedOn w:val="Normal"/>
    <w:next w:val="Normal"/>
    <w:autoRedefine/>
    <w:semiHidden/>
    <w:rsid w:val="00E93F17"/>
    <w:pPr>
      <w:ind w:left="2160" w:hanging="240"/>
    </w:pPr>
    <w:rPr>
      <w:sz w:val="18"/>
      <w:szCs w:val="18"/>
    </w:rPr>
  </w:style>
  <w:style w:type="paragraph" w:styleId="IndexHeading">
    <w:name w:val="index heading"/>
    <w:basedOn w:val="Normal"/>
    <w:next w:val="Index1"/>
    <w:uiPriority w:val="99"/>
    <w:semiHidden/>
    <w:rsid w:val="00E93F17"/>
    <w:pPr>
      <w:spacing w:before="240" w:after="120"/>
      <w:jc w:val="center"/>
    </w:pPr>
    <w:rPr>
      <w:b/>
      <w:bCs/>
      <w:sz w:val="26"/>
      <w:szCs w:val="26"/>
    </w:rPr>
  </w:style>
  <w:style w:type="character" w:customStyle="1" w:styleId="VHAISHbrilld">
    <w:name w:val="VHAISHbrilld"/>
    <w:semiHidden/>
    <w:rsid w:val="00DE7D08"/>
    <w:rPr>
      <w:rFonts w:ascii="Arial" w:hAnsi="Arial" w:cs="Arial"/>
      <w:color w:val="auto"/>
      <w:sz w:val="20"/>
      <w:szCs w:val="20"/>
    </w:rPr>
  </w:style>
  <w:style w:type="character" w:customStyle="1" w:styleId="TableTextBulletChar1">
    <w:name w:val="Table Text Bullet Char1"/>
    <w:basedOn w:val="TableTextChar6"/>
    <w:link w:val="TableTextBullet"/>
    <w:rsid w:val="00CC50D7"/>
    <w:rPr>
      <w:rFonts w:ascii="Arial" w:hAnsi="Arial"/>
      <w:sz w:val="18"/>
      <w:szCs w:val="24"/>
      <w:lang w:val="en-US" w:eastAsia="en-US" w:bidi="ar-SA"/>
    </w:rPr>
  </w:style>
  <w:style w:type="character" w:customStyle="1" w:styleId="BodyTextChar1">
    <w:name w:val="Body Text Char1"/>
    <w:rsid w:val="00EE44F1"/>
    <w:rPr>
      <w:sz w:val="22"/>
      <w:szCs w:val="22"/>
      <w:lang w:val="en-US" w:eastAsia="en-US" w:bidi="ar-SA"/>
    </w:rPr>
  </w:style>
  <w:style w:type="character" w:customStyle="1" w:styleId="Heading3Char2">
    <w:name w:val="Heading 3 Char2"/>
    <w:rsid w:val="008A701E"/>
    <w:rPr>
      <w:rFonts w:ascii="Arial" w:hAnsi="Arial" w:cs="Arial"/>
      <w:b/>
      <w:bCs/>
      <w:sz w:val="26"/>
      <w:szCs w:val="26"/>
      <w:lang w:val="en-US" w:eastAsia="en-US" w:bidi="ar-SA"/>
    </w:rPr>
  </w:style>
  <w:style w:type="character" w:customStyle="1" w:styleId="CaptionChar2">
    <w:name w:val="Caption Char2"/>
    <w:rsid w:val="008A701E"/>
    <w:rPr>
      <w:b/>
      <w:sz w:val="22"/>
      <w:szCs w:val="22"/>
      <w:lang w:val="en-US" w:eastAsia="en-US" w:bidi="ar-SA"/>
    </w:rPr>
  </w:style>
  <w:style w:type="character" w:customStyle="1" w:styleId="CommentTextChar">
    <w:name w:val="Comment Text Char"/>
    <w:basedOn w:val="DefaultParagraphFont"/>
    <w:link w:val="CommentText"/>
    <w:uiPriority w:val="99"/>
    <w:rsid w:val="00E36CAB"/>
  </w:style>
  <w:style w:type="character" w:customStyle="1" w:styleId="TableTextCharChar">
    <w:name w:val="Table Text Char Char"/>
    <w:rsid w:val="00D32A05"/>
    <w:rPr>
      <w:rFonts w:ascii="Arial" w:hAnsi="Arial"/>
      <w:sz w:val="18"/>
      <w:szCs w:val="24"/>
      <w:lang w:val="en-US" w:eastAsia="en-US" w:bidi="ar-SA"/>
    </w:rPr>
  </w:style>
  <w:style w:type="paragraph" w:styleId="ListParagraph">
    <w:name w:val="List Paragraph"/>
    <w:basedOn w:val="Normal"/>
    <w:uiPriority w:val="34"/>
    <w:qFormat/>
    <w:rsid w:val="00C33E1D"/>
    <w:pPr>
      <w:spacing w:after="200" w:line="276" w:lineRule="auto"/>
      <w:ind w:left="720"/>
      <w:contextualSpacing/>
    </w:pPr>
    <w:rPr>
      <w:rFonts w:ascii="Calibri" w:eastAsia="Calibri" w:hAnsi="Calibri"/>
      <w:sz w:val="22"/>
      <w:szCs w:val="22"/>
    </w:rPr>
  </w:style>
  <w:style w:type="character" w:customStyle="1" w:styleId="FootnoteTextChar">
    <w:name w:val="Footnote Text Char"/>
    <w:basedOn w:val="DefaultParagraphFont"/>
    <w:link w:val="FootnoteText"/>
    <w:uiPriority w:val="99"/>
    <w:semiHidden/>
    <w:rsid w:val="00FC3B68"/>
  </w:style>
  <w:style w:type="character" w:customStyle="1" w:styleId="Heading2Char">
    <w:name w:val="Heading 2 Char"/>
    <w:aliases w:val="Heading for title Char,head 2 Char"/>
    <w:link w:val="Heading2"/>
    <w:rsid w:val="000F6EEA"/>
    <w:rPr>
      <w:rFonts w:ascii="Arial" w:hAnsi="Arial" w:cs="Arial"/>
      <w:b/>
      <w:bCs/>
      <w:i/>
      <w:iCs/>
      <w:sz w:val="28"/>
      <w:szCs w:val="28"/>
    </w:rPr>
  </w:style>
  <w:style w:type="paragraph" w:styleId="NoSpacing">
    <w:name w:val="No Spacing"/>
    <w:uiPriority w:val="1"/>
    <w:qFormat/>
    <w:rsid w:val="00280C3F"/>
    <w:rPr>
      <w:rFonts w:ascii="Calibri" w:eastAsia="Calibri" w:hAnsi="Calibri"/>
      <w:sz w:val="22"/>
      <w:szCs w:val="22"/>
    </w:rPr>
  </w:style>
  <w:style w:type="paragraph" w:styleId="HTMLPreformatted">
    <w:name w:val="HTML Preformatted"/>
    <w:basedOn w:val="Normal"/>
    <w:link w:val="HTMLPreformattedChar"/>
    <w:rsid w:val="00392B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sz w:val="20"/>
      <w:szCs w:val="20"/>
    </w:rPr>
  </w:style>
  <w:style w:type="character" w:customStyle="1" w:styleId="HTMLPreformattedChar">
    <w:name w:val="HTML Preformatted Char"/>
    <w:link w:val="HTMLPreformatted"/>
    <w:rsid w:val="00392B0E"/>
    <w:rPr>
      <w:rFonts w:ascii="Courier New" w:hAnsi="Courier New"/>
    </w:rPr>
  </w:style>
  <w:style w:type="paragraph" w:customStyle="1" w:styleId="Substep01">
    <w:name w:val="Substep 01"/>
    <w:basedOn w:val="TableText"/>
    <w:rsid w:val="00DB1497"/>
    <w:pPr>
      <w:numPr>
        <w:numId w:val="50"/>
      </w:numPr>
      <w:jc w:val="right"/>
    </w:pPr>
    <w:rPr>
      <w:color w:val="000000"/>
      <w:szCs w:val="20"/>
    </w:rPr>
  </w:style>
  <w:style w:type="paragraph" w:customStyle="1" w:styleId="CellBodyLeft">
    <w:name w:val="CellBodyLeft"/>
    <w:basedOn w:val="Normal"/>
    <w:rsid w:val="00DC70D1"/>
    <w:pPr>
      <w:spacing w:before="60"/>
      <w:ind w:left="72"/>
    </w:pPr>
    <w:rPr>
      <w:rFonts w:ascii="Arial" w:hAnsi="Arial"/>
      <w:color w:val="000000"/>
      <w:sz w:val="16"/>
      <w:szCs w:val="20"/>
    </w:rPr>
  </w:style>
  <w:style w:type="paragraph" w:customStyle="1" w:styleId="CellBodyCenter">
    <w:name w:val="CellBodyCenter"/>
    <w:basedOn w:val="Normal"/>
    <w:rsid w:val="00DC70D1"/>
    <w:pPr>
      <w:keepLines/>
      <w:jc w:val="center"/>
    </w:pPr>
    <w:rPr>
      <w:rFonts w:ascii="Arial" w:hAnsi="Arial"/>
      <w:color w:val="000000"/>
      <w:sz w:val="16"/>
      <w:szCs w:val="20"/>
    </w:rPr>
  </w:style>
  <w:style w:type="paragraph" w:customStyle="1" w:styleId="Substep02">
    <w:name w:val="Substep 02"/>
    <w:basedOn w:val="Substep01"/>
    <w:rsid w:val="001809EC"/>
    <w:pPr>
      <w:numPr>
        <w:numId w:val="54"/>
      </w:numPr>
    </w:pPr>
  </w:style>
  <w:style w:type="paragraph" w:styleId="PlainText">
    <w:name w:val="Plain Text"/>
    <w:basedOn w:val="Normal"/>
    <w:link w:val="PlainTextChar"/>
    <w:uiPriority w:val="99"/>
    <w:unhideWhenUsed/>
    <w:rsid w:val="00D53DC3"/>
    <w:rPr>
      <w:rFonts w:ascii="Calibri" w:eastAsia="Calibri" w:hAnsi="Calibri"/>
      <w:sz w:val="22"/>
      <w:szCs w:val="21"/>
    </w:rPr>
  </w:style>
  <w:style w:type="character" w:customStyle="1" w:styleId="PlainTextChar">
    <w:name w:val="Plain Text Char"/>
    <w:link w:val="PlainText"/>
    <w:uiPriority w:val="99"/>
    <w:rsid w:val="00D53DC3"/>
    <w:rPr>
      <w:rFonts w:ascii="Calibri" w:eastAsia="Calibri" w:hAnsi="Calibri"/>
      <w:sz w:val="22"/>
      <w:szCs w:val="21"/>
    </w:rPr>
  </w:style>
  <w:style w:type="character" w:customStyle="1" w:styleId="FooterChar">
    <w:name w:val="Footer Char"/>
    <w:link w:val="Footer"/>
    <w:rsid w:val="00B752FE"/>
    <w:rPr>
      <w:sz w:val="24"/>
      <w:szCs w:val="24"/>
    </w:rPr>
  </w:style>
  <w:style w:type="paragraph" w:customStyle="1" w:styleId="TableText2">
    <w:name w:val="TableText"/>
    <w:rsid w:val="00FE0A8D"/>
    <w:rPr>
      <w:rFonts w:ascii="Arial" w:hAnsi="Arial"/>
      <w:noProof/>
      <w:sz w:val="18"/>
    </w:rPr>
  </w:style>
  <w:style w:type="character" w:styleId="UnresolvedMention">
    <w:name w:val="Unresolved Mention"/>
    <w:basedOn w:val="DefaultParagraphFont"/>
    <w:uiPriority w:val="99"/>
    <w:semiHidden/>
    <w:unhideWhenUsed/>
    <w:rsid w:val="00CC16E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0468">
      <w:bodyDiv w:val="1"/>
      <w:marLeft w:val="0"/>
      <w:marRight w:val="0"/>
      <w:marTop w:val="0"/>
      <w:marBottom w:val="0"/>
      <w:divBdr>
        <w:top w:val="none" w:sz="0" w:space="0" w:color="auto"/>
        <w:left w:val="none" w:sz="0" w:space="0" w:color="auto"/>
        <w:bottom w:val="none" w:sz="0" w:space="0" w:color="auto"/>
        <w:right w:val="none" w:sz="0" w:space="0" w:color="auto"/>
      </w:divBdr>
    </w:div>
    <w:div w:id="31537333">
      <w:bodyDiv w:val="1"/>
      <w:marLeft w:val="0"/>
      <w:marRight w:val="0"/>
      <w:marTop w:val="0"/>
      <w:marBottom w:val="0"/>
      <w:divBdr>
        <w:top w:val="none" w:sz="0" w:space="0" w:color="auto"/>
        <w:left w:val="none" w:sz="0" w:space="0" w:color="auto"/>
        <w:bottom w:val="none" w:sz="0" w:space="0" w:color="auto"/>
        <w:right w:val="none" w:sz="0" w:space="0" w:color="auto"/>
      </w:divBdr>
    </w:div>
    <w:div w:id="100035678">
      <w:bodyDiv w:val="1"/>
      <w:marLeft w:val="0"/>
      <w:marRight w:val="0"/>
      <w:marTop w:val="0"/>
      <w:marBottom w:val="0"/>
      <w:divBdr>
        <w:top w:val="none" w:sz="0" w:space="0" w:color="auto"/>
        <w:left w:val="none" w:sz="0" w:space="0" w:color="auto"/>
        <w:bottom w:val="none" w:sz="0" w:space="0" w:color="auto"/>
        <w:right w:val="none" w:sz="0" w:space="0" w:color="auto"/>
      </w:divBdr>
    </w:div>
    <w:div w:id="157766379">
      <w:bodyDiv w:val="1"/>
      <w:marLeft w:val="0"/>
      <w:marRight w:val="0"/>
      <w:marTop w:val="0"/>
      <w:marBottom w:val="0"/>
      <w:divBdr>
        <w:top w:val="none" w:sz="0" w:space="0" w:color="auto"/>
        <w:left w:val="none" w:sz="0" w:space="0" w:color="auto"/>
        <w:bottom w:val="none" w:sz="0" w:space="0" w:color="auto"/>
        <w:right w:val="none" w:sz="0" w:space="0" w:color="auto"/>
      </w:divBdr>
    </w:div>
    <w:div w:id="161744170">
      <w:bodyDiv w:val="1"/>
      <w:marLeft w:val="0"/>
      <w:marRight w:val="0"/>
      <w:marTop w:val="0"/>
      <w:marBottom w:val="0"/>
      <w:divBdr>
        <w:top w:val="none" w:sz="0" w:space="0" w:color="auto"/>
        <w:left w:val="none" w:sz="0" w:space="0" w:color="auto"/>
        <w:bottom w:val="none" w:sz="0" w:space="0" w:color="auto"/>
        <w:right w:val="none" w:sz="0" w:space="0" w:color="auto"/>
      </w:divBdr>
    </w:div>
    <w:div w:id="270086669">
      <w:bodyDiv w:val="1"/>
      <w:marLeft w:val="0"/>
      <w:marRight w:val="0"/>
      <w:marTop w:val="0"/>
      <w:marBottom w:val="0"/>
      <w:divBdr>
        <w:top w:val="none" w:sz="0" w:space="0" w:color="auto"/>
        <w:left w:val="none" w:sz="0" w:space="0" w:color="auto"/>
        <w:bottom w:val="none" w:sz="0" w:space="0" w:color="auto"/>
        <w:right w:val="none" w:sz="0" w:space="0" w:color="auto"/>
      </w:divBdr>
    </w:div>
    <w:div w:id="345592832">
      <w:bodyDiv w:val="1"/>
      <w:marLeft w:val="0"/>
      <w:marRight w:val="0"/>
      <w:marTop w:val="0"/>
      <w:marBottom w:val="0"/>
      <w:divBdr>
        <w:top w:val="none" w:sz="0" w:space="0" w:color="auto"/>
        <w:left w:val="none" w:sz="0" w:space="0" w:color="auto"/>
        <w:bottom w:val="none" w:sz="0" w:space="0" w:color="auto"/>
        <w:right w:val="none" w:sz="0" w:space="0" w:color="auto"/>
      </w:divBdr>
    </w:div>
    <w:div w:id="418140494">
      <w:bodyDiv w:val="1"/>
      <w:marLeft w:val="0"/>
      <w:marRight w:val="0"/>
      <w:marTop w:val="0"/>
      <w:marBottom w:val="0"/>
      <w:divBdr>
        <w:top w:val="none" w:sz="0" w:space="0" w:color="auto"/>
        <w:left w:val="none" w:sz="0" w:space="0" w:color="auto"/>
        <w:bottom w:val="none" w:sz="0" w:space="0" w:color="auto"/>
        <w:right w:val="none" w:sz="0" w:space="0" w:color="auto"/>
      </w:divBdr>
    </w:div>
    <w:div w:id="435910963">
      <w:bodyDiv w:val="1"/>
      <w:marLeft w:val="0"/>
      <w:marRight w:val="0"/>
      <w:marTop w:val="0"/>
      <w:marBottom w:val="0"/>
      <w:divBdr>
        <w:top w:val="none" w:sz="0" w:space="0" w:color="auto"/>
        <w:left w:val="none" w:sz="0" w:space="0" w:color="auto"/>
        <w:bottom w:val="none" w:sz="0" w:space="0" w:color="auto"/>
        <w:right w:val="none" w:sz="0" w:space="0" w:color="auto"/>
      </w:divBdr>
    </w:div>
    <w:div w:id="452335249">
      <w:bodyDiv w:val="1"/>
      <w:marLeft w:val="0"/>
      <w:marRight w:val="0"/>
      <w:marTop w:val="0"/>
      <w:marBottom w:val="0"/>
      <w:divBdr>
        <w:top w:val="none" w:sz="0" w:space="0" w:color="auto"/>
        <w:left w:val="none" w:sz="0" w:space="0" w:color="auto"/>
        <w:bottom w:val="none" w:sz="0" w:space="0" w:color="auto"/>
        <w:right w:val="none" w:sz="0" w:space="0" w:color="auto"/>
      </w:divBdr>
    </w:div>
    <w:div w:id="470564108">
      <w:bodyDiv w:val="1"/>
      <w:marLeft w:val="0"/>
      <w:marRight w:val="0"/>
      <w:marTop w:val="0"/>
      <w:marBottom w:val="0"/>
      <w:divBdr>
        <w:top w:val="none" w:sz="0" w:space="0" w:color="auto"/>
        <w:left w:val="none" w:sz="0" w:space="0" w:color="auto"/>
        <w:bottom w:val="none" w:sz="0" w:space="0" w:color="auto"/>
        <w:right w:val="none" w:sz="0" w:space="0" w:color="auto"/>
      </w:divBdr>
    </w:div>
    <w:div w:id="532160172">
      <w:bodyDiv w:val="1"/>
      <w:marLeft w:val="0"/>
      <w:marRight w:val="0"/>
      <w:marTop w:val="0"/>
      <w:marBottom w:val="0"/>
      <w:divBdr>
        <w:top w:val="none" w:sz="0" w:space="0" w:color="auto"/>
        <w:left w:val="none" w:sz="0" w:space="0" w:color="auto"/>
        <w:bottom w:val="none" w:sz="0" w:space="0" w:color="auto"/>
        <w:right w:val="none" w:sz="0" w:space="0" w:color="auto"/>
      </w:divBdr>
    </w:div>
    <w:div w:id="600920004">
      <w:bodyDiv w:val="1"/>
      <w:marLeft w:val="0"/>
      <w:marRight w:val="0"/>
      <w:marTop w:val="0"/>
      <w:marBottom w:val="0"/>
      <w:divBdr>
        <w:top w:val="none" w:sz="0" w:space="0" w:color="auto"/>
        <w:left w:val="none" w:sz="0" w:space="0" w:color="auto"/>
        <w:bottom w:val="none" w:sz="0" w:space="0" w:color="auto"/>
        <w:right w:val="none" w:sz="0" w:space="0" w:color="auto"/>
      </w:divBdr>
    </w:div>
    <w:div w:id="641808994">
      <w:bodyDiv w:val="1"/>
      <w:marLeft w:val="0"/>
      <w:marRight w:val="0"/>
      <w:marTop w:val="0"/>
      <w:marBottom w:val="0"/>
      <w:divBdr>
        <w:top w:val="none" w:sz="0" w:space="0" w:color="auto"/>
        <w:left w:val="none" w:sz="0" w:space="0" w:color="auto"/>
        <w:bottom w:val="none" w:sz="0" w:space="0" w:color="auto"/>
        <w:right w:val="none" w:sz="0" w:space="0" w:color="auto"/>
      </w:divBdr>
    </w:div>
    <w:div w:id="743725817">
      <w:bodyDiv w:val="1"/>
      <w:marLeft w:val="0"/>
      <w:marRight w:val="0"/>
      <w:marTop w:val="0"/>
      <w:marBottom w:val="0"/>
      <w:divBdr>
        <w:top w:val="none" w:sz="0" w:space="0" w:color="auto"/>
        <w:left w:val="none" w:sz="0" w:space="0" w:color="auto"/>
        <w:bottom w:val="none" w:sz="0" w:space="0" w:color="auto"/>
        <w:right w:val="none" w:sz="0" w:space="0" w:color="auto"/>
      </w:divBdr>
      <w:divsChild>
        <w:div w:id="1759789068">
          <w:marLeft w:val="0"/>
          <w:marRight w:val="0"/>
          <w:marTop w:val="0"/>
          <w:marBottom w:val="0"/>
          <w:divBdr>
            <w:top w:val="none" w:sz="0" w:space="0" w:color="auto"/>
            <w:left w:val="none" w:sz="0" w:space="0" w:color="auto"/>
            <w:bottom w:val="none" w:sz="0" w:space="0" w:color="auto"/>
            <w:right w:val="none" w:sz="0" w:space="0" w:color="auto"/>
          </w:divBdr>
        </w:div>
      </w:divsChild>
    </w:div>
    <w:div w:id="762922628">
      <w:bodyDiv w:val="1"/>
      <w:marLeft w:val="0"/>
      <w:marRight w:val="0"/>
      <w:marTop w:val="0"/>
      <w:marBottom w:val="0"/>
      <w:divBdr>
        <w:top w:val="none" w:sz="0" w:space="0" w:color="auto"/>
        <w:left w:val="none" w:sz="0" w:space="0" w:color="auto"/>
        <w:bottom w:val="none" w:sz="0" w:space="0" w:color="auto"/>
        <w:right w:val="none" w:sz="0" w:space="0" w:color="auto"/>
      </w:divBdr>
    </w:div>
    <w:div w:id="793910605">
      <w:bodyDiv w:val="1"/>
      <w:marLeft w:val="0"/>
      <w:marRight w:val="0"/>
      <w:marTop w:val="0"/>
      <w:marBottom w:val="0"/>
      <w:divBdr>
        <w:top w:val="none" w:sz="0" w:space="0" w:color="auto"/>
        <w:left w:val="none" w:sz="0" w:space="0" w:color="auto"/>
        <w:bottom w:val="none" w:sz="0" w:space="0" w:color="auto"/>
        <w:right w:val="none" w:sz="0" w:space="0" w:color="auto"/>
      </w:divBdr>
    </w:div>
    <w:div w:id="808742579">
      <w:bodyDiv w:val="1"/>
      <w:marLeft w:val="0"/>
      <w:marRight w:val="0"/>
      <w:marTop w:val="0"/>
      <w:marBottom w:val="0"/>
      <w:divBdr>
        <w:top w:val="none" w:sz="0" w:space="0" w:color="auto"/>
        <w:left w:val="none" w:sz="0" w:space="0" w:color="auto"/>
        <w:bottom w:val="none" w:sz="0" w:space="0" w:color="auto"/>
        <w:right w:val="none" w:sz="0" w:space="0" w:color="auto"/>
      </w:divBdr>
    </w:div>
    <w:div w:id="812596459">
      <w:bodyDiv w:val="1"/>
      <w:marLeft w:val="0"/>
      <w:marRight w:val="0"/>
      <w:marTop w:val="0"/>
      <w:marBottom w:val="0"/>
      <w:divBdr>
        <w:top w:val="none" w:sz="0" w:space="0" w:color="auto"/>
        <w:left w:val="none" w:sz="0" w:space="0" w:color="auto"/>
        <w:bottom w:val="none" w:sz="0" w:space="0" w:color="auto"/>
        <w:right w:val="none" w:sz="0" w:space="0" w:color="auto"/>
      </w:divBdr>
    </w:div>
    <w:div w:id="812789749">
      <w:bodyDiv w:val="1"/>
      <w:marLeft w:val="30"/>
      <w:marRight w:val="30"/>
      <w:marTop w:val="0"/>
      <w:marBottom w:val="0"/>
      <w:divBdr>
        <w:top w:val="none" w:sz="0" w:space="0" w:color="auto"/>
        <w:left w:val="none" w:sz="0" w:space="0" w:color="auto"/>
        <w:bottom w:val="none" w:sz="0" w:space="0" w:color="auto"/>
        <w:right w:val="none" w:sz="0" w:space="0" w:color="auto"/>
      </w:divBdr>
      <w:divsChild>
        <w:div w:id="632369473">
          <w:marLeft w:val="0"/>
          <w:marRight w:val="0"/>
          <w:marTop w:val="0"/>
          <w:marBottom w:val="0"/>
          <w:divBdr>
            <w:top w:val="none" w:sz="0" w:space="0" w:color="auto"/>
            <w:left w:val="none" w:sz="0" w:space="0" w:color="auto"/>
            <w:bottom w:val="none" w:sz="0" w:space="0" w:color="auto"/>
            <w:right w:val="none" w:sz="0" w:space="0" w:color="auto"/>
          </w:divBdr>
          <w:divsChild>
            <w:div w:id="1539126824">
              <w:marLeft w:val="0"/>
              <w:marRight w:val="0"/>
              <w:marTop w:val="0"/>
              <w:marBottom w:val="0"/>
              <w:divBdr>
                <w:top w:val="none" w:sz="0" w:space="0" w:color="auto"/>
                <w:left w:val="none" w:sz="0" w:space="0" w:color="auto"/>
                <w:bottom w:val="none" w:sz="0" w:space="0" w:color="auto"/>
                <w:right w:val="none" w:sz="0" w:space="0" w:color="auto"/>
              </w:divBdr>
              <w:divsChild>
                <w:div w:id="1736971308">
                  <w:marLeft w:val="180"/>
                  <w:marRight w:val="0"/>
                  <w:marTop w:val="0"/>
                  <w:marBottom w:val="0"/>
                  <w:divBdr>
                    <w:top w:val="none" w:sz="0" w:space="0" w:color="auto"/>
                    <w:left w:val="none" w:sz="0" w:space="0" w:color="auto"/>
                    <w:bottom w:val="none" w:sz="0" w:space="0" w:color="auto"/>
                    <w:right w:val="none" w:sz="0" w:space="0" w:color="auto"/>
                  </w:divBdr>
                  <w:divsChild>
                    <w:div w:id="20246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240086">
      <w:bodyDiv w:val="1"/>
      <w:marLeft w:val="0"/>
      <w:marRight w:val="0"/>
      <w:marTop w:val="0"/>
      <w:marBottom w:val="0"/>
      <w:divBdr>
        <w:top w:val="none" w:sz="0" w:space="0" w:color="auto"/>
        <w:left w:val="none" w:sz="0" w:space="0" w:color="auto"/>
        <w:bottom w:val="none" w:sz="0" w:space="0" w:color="auto"/>
        <w:right w:val="none" w:sz="0" w:space="0" w:color="auto"/>
      </w:divBdr>
      <w:divsChild>
        <w:div w:id="1176388080">
          <w:marLeft w:val="0"/>
          <w:marRight w:val="0"/>
          <w:marTop w:val="0"/>
          <w:marBottom w:val="0"/>
          <w:divBdr>
            <w:top w:val="none" w:sz="0" w:space="0" w:color="auto"/>
            <w:left w:val="none" w:sz="0" w:space="0" w:color="auto"/>
            <w:bottom w:val="none" w:sz="0" w:space="0" w:color="auto"/>
            <w:right w:val="none" w:sz="0" w:space="0" w:color="auto"/>
          </w:divBdr>
          <w:divsChild>
            <w:div w:id="1006859337">
              <w:marLeft w:val="0"/>
              <w:marRight w:val="0"/>
              <w:marTop w:val="0"/>
              <w:marBottom w:val="0"/>
              <w:divBdr>
                <w:top w:val="none" w:sz="0" w:space="0" w:color="auto"/>
                <w:left w:val="none" w:sz="0" w:space="0" w:color="auto"/>
                <w:bottom w:val="none" w:sz="0" w:space="0" w:color="auto"/>
                <w:right w:val="none" w:sz="0" w:space="0" w:color="auto"/>
              </w:divBdr>
              <w:divsChild>
                <w:div w:id="1723211576">
                  <w:marLeft w:val="2928"/>
                  <w:marRight w:val="0"/>
                  <w:marTop w:val="720"/>
                  <w:marBottom w:val="0"/>
                  <w:divBdr>
                    <w:top w:val="none" w:sz="0" w:space="0" w:color="auto"/>
                    <w:left w:val="none" w:sz="0" w:space="0" w:color="auto"/>
                    <w:bottom w:val="none" w:sz="0" w:space="0" w:color="auto"/>
                    <w:right w:val="none" w:sz="0" w:space="0" w:color="auto"/>
                  </w:divBdr>
                  <w:divsChild>
                    <w:div w:id="98501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009825">
      <w:bodyDiv w:val="1"/>
      <w:marLeft w:val="0"/>
      <w:marRight w:val="0"/>
      <w:marTop w:val="0"/>
      <w:marBottom w:val="0"/>
      <w:divBdr>
        <w:top w:val="none" w:sz="0" w:space="0" w:color="auto"/>
        <w:left w:val="none" w:sz="0" w:space="0" w:color="auto"/>
        <w:bottom w:val="none" w:sz="0" w:space="0" w:color="auto"/>
        <w:right w:val="none" w:sz="0" w:space="0" w:color="auto"/>
      </w:divBdr>
    </w:div>
    <w:div w:id="915360084">
      <w:bodyDiv w:val="1"/>
      <w:marLeft w:val="0"/>
      <w:marRight w:val="0"/>
      <w:marTop w:val="0"/>
      <w:marBottom w:val="0"/>
      <w:divBdr>
        <w:top w:val="none" w:sz="0" w:space="0" w:color="auto"/>
        <w:left w:val="none" w:sz="0" w:space="0" w:color="auto"/>
        <w:bottom w:val="none" w:sz="0" w:space="0" w:color="auto"/>
        <w:right w:val="none" w:sz="0" w:space="0" w:color="auto"/>
      </w:divBdr>
    </w:div>
    <w:div w:id="1026836370">
      <w:bodyDiv w:val="1"/>
      <w:marLeft w:val="0"/>
      <w:marRight w:val="0"/>
      <w:marTop w:val="0"/>
      <w:marBottom w:val="0"/>
      <w:divBdr>
        <w:top w:val="none" w:sz="0" w:space="0" w:color="auto"/>
        <w:left w:val="none" w:sz="0" w:space="0" w:color="auto"/>
        <w:bottom w:val="none" w:sz="0" w:space="0" w:color="auto"/>
        <w:right w:val="none" w:sz="0" w:space="0" w:color="auto"/>
      </w:divBdr>
    </w:div>
    <w:div w:id="1038776044">
      <w:bodyDiv w:val="1"/>
      <w:marLeft w:val="0"/>
      <w:marRight w:val="0"/>
      <w:marTop w:val="0"/>
      <w:marBottom w:val="0"/>
      <w:divBdr>
        <w:top w:val="none" w:sz="0" w:space="0" w:color="auto"/>
        <w:left w:val="none" w:sz="0" w:space="0" w:color="auto"/>
        <w:bottom w:val="none" w:sz="0" w:space="0" w:color="auto"/>
        <w:right w:val="none" w:sz="0" w:space="0" w:color="auto"/>
      </w:divBdr>
    </w:div>
    <w:div w:id="1069226113">
      <w:bodyDiv w:val="1"/>
      <w:marLeft w:val="0"/>
      <w:marRight w:val="0"/>
      <w:marTop w:val="0"/>
      <w:marBottom w:val="0"/>
      <w:divBdr>
        <w:top w:val="none" w:sz="0" w:space="0" w:color="auto"/>
        <w:left w:val="none" w:sz="0" w:space="0" w:color="auto"/>
        <w:bottom w:val="none" w:sz="0" w:space="0" w:color="auto"/>
        <w:right w:val="none" w:sz="0" w:space="0" w:color="auto"/>
      </w:divBdr>
    </w:div>
    <w:div w:id="1085225097">
      <w:bodyDiv w:val="1"/>
      <w:marLeft w:val="0"/>
      <w:marRight w:val="0"/>
      <w:marTop w:val="0"/>
      <w:marBottom w:val="0"/>
      <w:divBdr>
        <w:top w:val="none" w:sz="0" w:space="0" w:color="auto"/>
        <w:left w:val="none" w:sz="0" w:space="0" w:color="auto"/>
        <w:bottom w:val="none" w:sz="0" w:space="0" w:color="auto"/>
        <w:right w:val="none" w:sz="0" w:space="0" w:color="auto"/>
      </w:divBdr>
    </w:div>
    <w:div w:id="1109079848">
      <w:bodyDiv w:val="1"/>
      <w:marLeft w:val="0"/>
      <w:marRight w:val="0"/>
      <w:marTop w:val="0"/>
      <w:marBottom w:val="0"/>
      <w:divBdr>
        <w:top w:val="none" w:sz="0" w:space="0" w:color="auto"/>
        <w:left w:val="none" w:sz="0" w:space="0" w:color="auto"/>
        <w:bottom w:val="none" w:sz="0" w:space="0" w:color="auto"/>
        <w:right w:val="none" w:sz="0" w:space="0" w:color="auto"/>
      </w:divBdr>
    </w:div>
    <w:div w:id="1123816073">
      <w:bodyDiv w:val="1"/>
      <w:marLeft w:val="0"/>
      <w:marRight w:val="0"/>
      <w:marTop w:val="0"/>
      <w:marBottom w:val="0"/>
      <w:divBdr>
        <w:top w:val="none" w:sz="0" w:space="0" w:color="auto"/>
        <w:left w:val="none" w:sz="0" w:space="0" w:color="auto"/>
        <w:bottom w:val="none" w:sz="0" w:space="0" w:color="auto"/>
        <w:right w:val="none" w:sz="0" w:space="0" w:color="auto"/>
      </w:divBdr>
    </w:div>
    <w:div w:id="1155805781">
      <w:bodyDiv w:val="1"/>
      <w:marLeft w:val="0"/>
      <w:marRight w:val="0"/>
      <w:marTop w:val="0"/>
      <w:marBottom w:val="0"/>
      <w:divBdr>
        <w:top w:val="none" w:sz="0" w:space="0" w:color="auto"/>
        <w:left w:val="none" w:sz="0" w:space="0" w:color="auto"/>
        <w:bottom w:val="none" w:sz="0" w:space="0" w:color="auto"/>
        <w:right w:val="none" w:sz="0" w:space="0" w:color="auto"/>
      </w:divBdr>
    </w:div>
    <w:div w:id="1168979066">
      <w:bodyDiv w:val="1"/>
      <w:marLeft w:val="0"/>
      <w:marRight w:val="0"/>
      <w:marTop w:val="0"/>
      <w:marBottom w:val="0"/>
      <w:divBdr>
        <w:top w:val="none" w:sz="0" w:space="0" w:color="auto"/>
        <w:left w:val="none" w:sz="0" w:space="0" w:color="auto"/>
        <w:bottom w:val="none" w:sz="0" w:space="0" w:color="auto"/>
        <w:right w:val="none" w:sz="0" w:space="0" w:color="auto"/>
      </w:divBdr>
    </w:div>
    <w:div w:id="1189104560">
      <w:bodyDiv w:val="1"/>
      <w:marLeft w:val="0"/>
      <w:marRight w:val="0"/>
      <w:marTop w:val="0"/>
      <w:marBottom w:val="0"/>
      <w:divBdr>
        <w:top w:val="none" w:sz="0" w:space="0" w:color="auto"/>
        <w:left w:val="none" w:sz="0" w:space="0" w:color="auto"/>
        <w:bottom w:val="none" w:sz="0" w:space="0" w:color="auto"/>
        <w:right w:val="none" w:sz="0" w:space="0" w:color="auto"/>
      </w:divBdr>
    </w:div>
    <w:div w:id="1195194650">
      <w:bodyDiv w:val="1"/>
      <w:marLeft w:val="0"/>
      <w:marRight w:val="0"/>
      <w:marTop w:val="0"/>
      <w:marBottom w:val="0"/>
      <w:divBdr>
        <w:top w:val="none" w:sz="0" w:space="0" w:color="auto"/>
        <w:left w:val="none" w:sz="0" w:space="0" w:color="auto"/>
        <w:bottom w:val="none" w:sz="0" w:space="0" w:color="auto"/>
        <w:right w:val="none" w:sz="0" w:space="0" w:color="auto"/>
      </w:divBdr>
    </w:div>
    <w:div w:id="1200625548">
      <w:bodyDiv w:val="1"/>
      <w:marLeft w:val="0"/>
      <w:marRight w:val="0"/>
      <w:marTop w:val="0"/>
      <w:marBottom w:val="0"/>
      <w:divBdr>
        <w:top w:val="none" w:sz="0" w:space="0" w:color="auto"/>
        <w:left w:val="none" w:sz="0" w:space="0" w:color="auto"/>
        <w:bottom w:val="none" w:sz="0" w:space="0" w:color="auto"/>
        <w:right w:val="none" w:sz="0" w:space="0" w:color="auto"/>
      </w:divBdr>
    </w:div>
    <w:div w:id="1223449721">
      <w:bodyDiv w:val="1"/>
      <w:marLeft w:val="0"/>
      <w:marRight w:val="0"/>
      <w:marTop w:val="0"/>
      <w:marBottom w:val="0"/>
      <w:divBdr>
        <w:top w:val="none" w:sz="0" w:space="0" w:color="auto"/>
        <w:left w:val="none" w:sz="0" w:space="0" w:color="auto"/>
        <w:bottom w:val="none" w:sz="0" w:space="0" w:color="auto"/>
        <w:right w:val="none" w:sz="0" w:space="0" w:color="auto"/>
      </w:divBdr>
    </w:div>
    <w:div w:id="1241870287">
      <w:bodyDiv w:val="1"/>
      <w:marLeft w:val="0"/>
      <w:marRight w:val="0"/>
      <w:marTop w:val="0"/>
      <w:marBottom w:val="0"/>
      <w:divBdr>
        <w:top w:val="none" w:sz="0" w:space="0" w:color="auto"/>
        <w:left w:val="none" w:sz="0" w:space="0" w:color="auto"/>
        <w:bottom w:val="none" w:sz="0" w:space="0" w:color="auto"/>
        <w:right w:val="none" w:sz="0" w:space="0" w:color="auto"/>
      </w:divBdr>
    </w:div>
    <w:div w:id="1283146152">
      <w:bodyDiv w:val="1"/>
      <w:marLeft w:val="0"/>
      <w:marRight w:val="0"/>
      <w:marTop w:val="0"/>
      <w:marBottom w:val="0"/>
      <w:divBdr>
        <w:top w:val="none" w:sz="0" w:space="0" w:color="auto"/>
        <w:left w:val="none" w:sz="0" w:space="0" w:color="auto"/>
        <w:bottom w:val="none" w:sz="0" w:space="0" w:color="auto"/>
        <w:right w:val="none" w:sz="0" w:space="0" w:color="auto"/>
      </w:divBdr>
    </w:div>
    <w:div w:id="1394157505">
      <w:bodyDiv w:val="1"/>
      <w:marLeft w:val="30"/>
      <w:marRight w:val="30"/>
      <w:marTop w:val="0"/>
      <w:marBottom w:val="0"/>
      <w:divBdr>
        <w:top w:val="none" w:sz="0" w:space="0" w:color="auto"/>
        <w:left w:val="none" w:sz="0" w:space="0" w:color="auto"/>
        <w:bottom w:val="none" w:sz="0" w:space="0" w:color="auto"/>
        <w:right w:val="none" w:sz="0" w:space="0" w:color="auto"/>
      </w:divBdr>
      <w:divsChild>
        <w:div w:id="829906142">
          <w:marLeft w:val="0"/>
          <w:marRight w:val="0"/>
          <w:marTop w:val="0"/>
          <w:marBottom w:val="0"/>
          <w:divBdr>
            <w:top w:val="none" w:sz="0" w:space="0" w:color="auto"/>
            <w:left w:val="none" w:sz="0" w:space="0" w:color="auto"/>
            <w:bottom w:val="none" w:sz="0" w:space="0" w:color="auto"/>
            <w:right w:val="none" w:sz="0" w:space="0" w:color="auto"/>
          </w:divBdr>
          <w:divsChild>
            <w:div w:id="2076706731">
              <w:marLeft w:val="0"/>
              <w:marRight w:val="0"/>
              <w:marTop w:val="0"/>
              <w:marBottom w:val="0"/>
              <w:divBdr>
                <w:top w:val="none" w:sz="0" w:space="0" w:color="auto"/>
                <w:left w:val="none" w:sz="0" w:space="0" w:color="auto"/>
                <w:bottom w:val="none" w:sz="0" w:space="0" w:color="auto"/>
                <w:right w:val="none" w:sz="0" w:space="0" w:color="auto"/>
              </w:divBdr>
              <w:divsChild>
                <w:div w:id="537623510">
                  <w:marLeft w:val="180"/>
                  <w:marRight w:val="0"/>
                  <w:marTop w:val="0"/>
                  <w:marBottom w:val="0"/>
                  <w:divBdr>
                    <w:top w:val="none" w:sz="0" w:space="0" w:color="auto"/>
                    <w:left w:val="none" w:sz="0" w:space="0" w:color="auto"/>
                    <w:bottom w:val="none" w:sz="0" w:space="0" w:color="auto"/>
                    <w:right w:val="none" w:sz="0" w:space="0" w:color="auto"/>
                  </w:divBdr>
                  <w:divsChild>
                    <w:div w:id="2488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730323">
      <w:bodyDiv w:val="1"/>
      <w:marLeft w:val="0"/>
      <w:marRight w:val="0"/>
      <w:marTop w:val="0"/>
      <w:marBottom w:val="0"/>
      <w:divBdr>
        <w:top w:val="none" w:sz="0" w:space="0" w:color="auto"/>
        <w:left w:val="none" w:sz="0" w:space="0" w:color="auto"/>
        <w:bottom w:val="none" w:sz="0" w:space="0" w:color="auto"/>
        <w:right w:val="none" w:sz="0" w:space="0" w:color="auto"/>
      </w:divBdr>
      <w:divsChild>
        <w:div w:id="1328365962">
          <w:marLeft w:val="0"/>
          <w:marRight w:val="0"/>
          <w:marTop w:val="0"/>
          <w:marBottom w:val="0"/>
          <w:divBdr>
            <w:top w:val="none" w:sz="0" w:space="0" w:color="auto"/>
            <w:left w:val="none" w:sz="0" w:space="0" w:color="auto"/>
            <w:bottom w:val="none" w:sz="0" w:space="0" w:color="auto"/>
            <w:right w:val="none" w:sz="0" w:space="0" w:color="auto"/>
          </w:divBdr>
          <w:divsChild>
            <w:div w:id="281306064">
              <w:marLeft w:val="0"/>
              <w:marRight w:val="0"/>
              <w:marTop w:val="0"/>
              <w:marBottom w:val="0"/>
              <w:divBdr>
                <w:top w:val="none" w:sz="0" w:space="0" w:color="auto"/>
                <w:left w:val="none" w:sz="0" w:space="0" w:color="auto"/>
                <w:bottom w:val="none" w:sz="0" w:space="0" w:color="auto"/>
                <w:right w:val="none" w:sz="0" w:space="0" w:color="auto"/>
              </w:divBdr>
              <w:divsChild>
                <w:div w:id="630088605">
                  <w:marLeft w:val="2928"/>
                  <w:marRight w:val="0"/>
                  <w:marTop w:val="720"/>
                  <w:marBottom w:val="0"/>
                  <w:divBdr>
                    <w:top w:val="none" w:sz="0" w:space="0" w:color="auto"/>
                    <w:left w:val="none" w:sz="0" w:space="0" w:color="auto"/>
                    <w:bottom w:val="none" w:sz="0" w:space="0" w:color="auto"/>
                    <w:right w:val="none" w:sz="0" w:space="0" w:color="auto"/>
                  </w:divBdr>
                  <w:divsChild>
                    <w:div w:id="85311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442920">
      <w:bodyDiv w:val="1"/>
      <w:marLeft w:val="0"/>
      <w:marRight w:val="0"/>
      <w:marTop w:val="0"/>
      <w:marBottom w:val="0"/>
      <w:divBdr>
        <w:top w:val="none" w:sz="0" w:space="0" w:color="auto"/>
        <w:left w:val="none" w:sz="0" w:space="0" w:color="auto"/>
        <w:bottom w:val="none" w:sz="0" w:space="0" w:color="auto"/>
        <w:right w:val="none" w:sz="0" w:space="0" w:color="auto"/>
      </w:divBdr>
    </w:div>
    <w:div w:id="1521969979">
      <w:bodyDiv w:val="1"/>
      <w:marLeft w:val="0"/>
      <w:marRight w:val="0"/>
      <w:marTop w:val="0"/>
      <w:marBottom w:val="0"/>
      <w:divBdr>
        <w:top w:val="none" w:sz="0" w:space="0" w:color="auto"/>
        <w:left w:val="none" w:sz="0" w:space="0" w:color="auto"/>
        <w:bottom w:val="none" w:sz="0" w:space="0" w:color="auto"/>
        <w:right w:val="none" w:sz="0" w:space="0" w:color="auto"/>
      </w:divBdr>
    </w:div>
    <w:div w:id="1546406704">
      <w:bodyDiv w:val="1"/>
      <w:marLeft w:val="0"/>
      <w:marRight w:val="0"/>
      <w:marTop w:val="0"/>
      <w:marBottom w:val="0"/>
      <w:divBdr>
        <w:top w:val="none" w:sz="0" w:space="0" w:color="auto"/>
        <w:left w:val="none" w:sz="0" w:space="0" w:color="auto"/>
        <w:bottom w:val="none" w:sz="0" w:space="0" w:color="auto"/>
        <w:right w:val="none" w:sz="0" w:space="0" w:color="auto"/>
      </w:divBdr>
    </w:div>
    <w:div w:id="1571770610">
      <w:bodyDiv w:val="1"/>
      <w:marLeft w:val="0"/>
      <w:marRight w:val="0"/>
      <w:marTop w:val="0"/>
      <w:marBottom w:val="0"/>
      <w:divBdr>
        <w:top w:val="none" w:sz="0" w:space="0" w:color="auto"/>
        <w:left w:val="none" w:sz="0" w:space="0" w:color="auto"/>
        <w:bottom w:val="none" w:sz="0" w:space="0" w:color="auto"/>
        <w:right w:val="none" w:sz="0" w:space="0" w:color="auto"/>
      </w:divBdr>
    </w:div>
    <w:div w:id="1611820335">
      <w:bodyDiv w:val="1"/>
      <w:marLeft w:val="0"/>
      <w:marRight w:val="0"/>
      <w:marTop w:val="0"/>
      <w:marBottom w:val="0"/>
      <w:divBdr>
        <w:top w:val="none" w:sz="0" w:space="0" w:color="auto"/>
        <w:left w:val="none" w:sz="0" w:space="0" w:color="auto"/>
        <w:bottom w:val="none" w:sz="0" w:space="0" w:color="auto"/>
        <w:right w:val="none" w:sz="0" w:space="0" w:color="auto"/>
      </w:divBdr>
    </w:div>
    <w:div w:id="1716008199">
      <w:bodyDiv w:val="1"/>
      <w:marLeft w:val="0"/>
      <w:marRight w:val="0"/>
      <w:marTop w:val="0"/>
      <w:marBottom w:val="0"/>
      <w:divBdr>
        <w:top w:val="none" w:sz="0" w:space="0" w:color="auto"/>
        <w:left w:val="none" w:sz="0" w:space="0" w:color="auto"/>
        <w:bottom w:val="none" w:sz="0" w:space="0" w:color="auto"/>
        <w:right w:val="none" w:sz="0" w:space="0" w:color="auto"/>
      </w:divBdr>
    </w:div>
    <w:div w:id="1722944796">
      <w:bodyDiv w:val="1"/>
      <w:marLeft w:val="0"/>
      <w:marRight w:val="0"/>
      <w:marTop w:val="0"/>
      <w:marBottom w:val="0"/>
      <w:divBdr>
        <w:top w:val="none" w:sz="0" w:space="0" w:color="auto"/>
        <w:left w:val="none" w:sz="0" w:space="0" w:color="auto"/>
        <w:bottom w:val="none" w:sz="0" w:space="0" w:color="auto"/>
        <w:right w:val="none" w:sz="0" w:space="0" w:color="auto"/>
      </w:divBdr>
    </w:div>
    <w:div w:id="1768574640">
      <w:bodyDiv w:val="1"/>
      <w:marLeft w:val="0"/>
      <w:marRight w:val="0"/>
      <w:marTop w:val="0"/>
      <w:marBottom w:val="0"/>
      <w:divBdr>
        <w:top w:val="none" w:sz="0" w:space="0" w:color="auto"/>
        <w:left w:val="none" w:sz="0" w:space="0" w:color="auto"/>
        <w:bottom w:val="none" w:sz="0" w:space="0" w:color="auto"/>
        <w:right w:val="none" w:sz="0" w:space="0" w:color="auto"/>
      </w:divBdr>
    </w:div>
    <w:div w:id="1788085837">
      <w:bodyDiv w:val="1"/>
      <w:marLeft w:val="0"/>
      <w:marRight w:val="0"/>
      <w:marTop w:val="0"/>
      <w:marBottom w:val="0"/>
      <w:divBdr>
        <w:top w:val="none" w:sz="0" w:space="0" w:color="auto"/>
        <w:left w:val="none" w:sz="0" w:space="0" w:color="auto"/>
        <w:bottom w:val="none" w:sz="0" w:space="0" w:color="auto"/>
        <w:right w:val="none" w:sz="0" w:space="0" w:color="auto"/>
      </w:divBdr>
    </w:div>
    <w:div w:id="1809011044">
      <w:bodyDiv w:val="1"/>
      <w:marLeft w:val="0"/>
      <w:marRight w:val="0"/>
      <w:marTop w:val="0"/>
      <w:marBottom w:val="0"/>
      <w:divBdr>
        <w:top w:val="none" w:sz="0" w:space="0" w:color="auto"/>
        <w:left w:val="none" w:sz="0" w:space="0" w:color="auto"/>
        <w:bottom w:val="none" w:sz="0" w:space="0" w:color="auto"/>
        <w:right w:val="none" w:sz="0" w:space="0" w:color="auto"/>
      </w:divBdr>
    </w:div>
    <w:div w:id="1829127317">
      <w:bodyDiv w:val="1"/>
      <w:marLeft w:val="0"/>
      <w:marRight w:val="0"/>
      <w:marTop w:val="0"/>
      <w:marBottom w:val="0"/>
      <w:divBdr>
        <w:top w:val="none" w:sz="0" w:space="0" w:color="auto"/>
        <w:left w:val="none" w:sz="0" w:space="0" w:color="auto"/>
        <w:bottom w:val="none" w:sz="0" w:space="0" w:color="auto"/>
        <w:right w:val="none" w:sz="0" w:space="0" w:color="auto"/>
      </w:divBdr>
    </w:div>
    <w:div w:id="1839270799">
      <w:bodyDiv w:val="1"/>
      <w:marLeft w:val="0"/>
      <w:marRight w:val="0"/>
      <w:marTop w:val="0"/>
      <w:marBottom w:val="0"/>
      <w:divBdr>
        <w:top w:val="none" w:sz="0" w:space="0" w:color="auto"/>
        <w:left w:val="none" w:sz="0" w:space="0" w:color="auto"/>
        <w:bottom w:val="none" w:sz="0" w:space="0" w:color="auto"/>
        <w:right w:val="none" w:sz="0" w:space="0" w:color="auto"/>
      </w:divBdr>
    </w:div>
    <w:div w:id="1893685321">
      <w:bodyDiv w:val="1"/>
      <w:marLeft w:val="0"/>
      <w:marRight w:val="0"/>
      <w:marTop w:val="0"/>
      <w:marBottom w:val="0"/>
      <w:divBdr>
        <w:top w:val="none" w:sz="0" w:space="0" w:color="auto"/>
        <w:left w:val="none" w:sz="0" w:space="0" w:color="auto"/>
        <w:bottom w:val="none" w:sz="0" w:space="0" w:color="auto"/>
        <w:right w:val="none" w:sz="0" w:space="0" w:color="auto"/>
      </w:divBdr>
    </w:div>
    <w:div w:id="1896892857">
      <w:bodyDiv w:val="1"/>
      <w:marLeft w:val="0"/>
      <w:marRight w:val="0"/>
      <w:marTop w:val="0"/>
      <w:marBottom w:val="0"/>
      <w:divBdr>
        <w:top w:val="none" w:sz="0" w:space="0" w:color="auto"/>
        <w:left w:val="none" w:sz="0" w:space="0" w:color="auto"/>
        <w:bottom w:val="none" w:sz="0" w:space="0" w:color="auto"/>
        <w:right w:val="none" w:sz="0" w:space="0" w:color="auto"/>
      </w:divBdr>
    </w:div>
    <w:div w:id="1932859667">
      <w:bodyDiv w:val="1"/>
      <w:marLeft w:val="0"/>
      <w:marRight w:val="0"/>
      <w:marTop w:val="0"/>
      <w:marBottom w:val="0"/>
      <w:divBdr>
        <w:top w:val="none" w:sz="0" w:space="0" w:color="auto"/>
        <w:left w:val="none" w:sz="0" w:space="0" w:color="auto"/>
        <w:bottom w:val="none" w:sz="0" w:space="0" w:color="auto"/>
        <w:right w:val="none" w:sz="0" w:space="0" w:color="auto"/>
      </w:divBdr>
    </w:div>
    <w:div w:id="1956591473">
      <w:bodyDiv w:val="1"/>
      <w:marLeft w:val="0"/>
      <w:marRight w:val="0"/>
      <w:marTop w:val="0"/>
      <w:marBottom w:val="0"/>
      <w:divBdr>
        <w:top w:val="none" w:sz="0" w:space="0" w:color="auto"/>
        <w:left w:val="none" w:sz="0" w:space="0" w:color="auto"/>
        <w:bottom w:val="none" w:sz="0" w:space="0" w:color="auto"/>
        <w:right w:val="none" w:sz="0" w:space="0" w:color="auto"/>
      </w:divBdr>
    </w:div>
    <w:div w:id="1971400745">
      <w:bodyDiv w:val="1"/>
      <w:marLeft w:val="0"/>
      <w:marRight w:val="0"/>
      <w:marTop w:val="0"/>
      <w:marBottom w:val="0"/>
      <w:divBdr>
        <w:top w:val="none" w:sz="0" w:space="0" w:color="auto"/>
        <w:left w:val="none" w:sz="0" w:space="0" w:color="auto"/>
        <w:bottom w:val="none" w:sz="0" w:space="0" w:color="auto"/>
        <w:right w:val="none" w:sz="0" w:space="0" w:color="auto"/>
      </w:divBdr>
    </w:div>
    <w:div w:id="1978336924">
      <w:bodyDiv w:val="1"/>
      <w:marLeft w:val="30"/>
      <w:marRight w:val="30"/>
      <w:marTop w:val="0"/>
      <w:marBottom w:val="0"/>
      <w:divBdr>
        <w:top w:val="none" w:sz="0" w:space="0" w:color="auto"/>
        <w:left w:val="none" w:sz="0" w:space="0" w:color="auto"/>
        <w:bottom w:val="none" w:sz="0" w:space="0" w:color="auto"/>
        <w:right w:val="none" w:sz="0" w:space="0" w:color="auto"/>
      </w:divBdr>
      <w:divsChild>
        <w:div w:id="373431204">
          <w:marLeft w:val="0"/>
          <w:marRight w:val="0"/>
          <w:marTop w:val="0"/>
          <w:marBottom w:val="0"/>
          <w:divBdr>
            <w:top w:val="none" w:sz="0" w:space="0" w:color="auto"/>
            <w:left w:val="none" w:sz="0" w:space="0" w:color="auto"/>
            <w:bottom w:val="none" w:sz="0" w:space="0" w:color="auto"/>
            <w:right w:val="none" w:sz="0" w:space="0" w:color="auto"/>
          </w:divBdr>
          <w:divsChild>
            <w:div w:id="616251807">
              <w:marLeft w:val="0"/>
              <w:marRight w:val="0"/>
              <w:marTop w:val="0"/>
              <w:marBottom w:val="0"/>
              <w:divBdr>
                <w:top w:val="none" w:sz="0" w:space="0" w:color="auto"/>
                <w:left w:val="none" w:sz="0" w:space="0" w:color="auto"/>
                <w:bottom w:val="none" w:sz="0" w:space="0" w:color="auto"/>
                <w:right w:val="none" w:sz="0" w:space="0" w:color="auto"/>
              </w:divBdr>
              <w:divsChild>
                <w:div w:id="861091678">
                  <w:marLeft w:val="180"/>
                  <w:marRight w:val="0"/>
                  <w:marTop w:val="0"/>
                  <w:marBottom w:val="0"/>
                  <w:divBdr>
                    <w:top w:val="none" w:sz="0" w:space="0" w:color="auto"/>
                    <w:left w:val="none" w:sz="0" w:space="0" w:color="auto"/>
                    <w:bottom w:val="none" w:sz="0" w:space="0" w:color="auto"/>
                    <w:right w:val="none" w:sz="0" w:space="0" w:color="auto"/>
                  </w:divBdr>
                  <w:divsChild>
                    <w:div w:id="14159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271775">
      <w:bodyDiv w:val="1"/>
      <w:marLeft w:val="0"/>
      <w:marRight w:val="0"/>
      <w:marTop w:val="0"/>
      <w:marBottom w:val="0"/>
      <w:divBdr>
        <w:top w:val="none" w:sz="0" w:space="0" w:color="auto"/>
        <w:left w:val="none" w:sz="0" w:space="0" w:color="auto"/>
        <w:bottom w:val="none" w:sz="0" w:space="0" w:color="auto"/>
        <w:right w:val="none" w:sz="0" w:space="0" w:color="auto"/>
      </w:divBdr>
    </w:div>
    <w:div w:id="2056540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_Patient_Information_Toolbar:_Transf"/><Relationship Id="rId21" Type="http://schemas.openxmlformats.org/officeDocument/2006/relationships/image" Target="media/image8.png"/><Relationship Id="rId42" Type="http://schemas.openxmlformats.org/officeDocument/2006/relationships/image" Target="media/image24.png"/><Relationship Id="rId63" Type="http://schemas.openxmlformats.org/officeDocument/2006/relationships/image" Target="cid:image003.png@01D2B822.A71E8600" TargetMode="External"/><Relationship Id="rId84" Type="http://schemas.openxmlformats.org/officeDocument/2006/relationships/image" Target="media/image59.png"/><Relationship Id="rId138" Type="http://schemas.openxmlformats.org/officeDocument/2006/relationships/image" Target="media/image95.png"/><Relationship Id="rId159" Type="http://schemas.openxmlformats.org/officeDocument/2006/relationships/image" Target="media/image116.png"/><Relationship Id="rId170" Type="http://schemas.openxmlformats.org/officeDocument/2006/relationships/header" Target="header3.xml"/><Relationship Id="rId191" Type="http://schemas.openxmlformats.org/officeDocument/2006/relationships/image" Target="media/image147.emf"/><Relationship Id="rId205" Type="http://schemas.openxmlformats.org/officeDocument/2006/relationships/image" Target="media/image159.png"/><Relationship Id="rId226" Type="http://schemas.openxmlformats.org/officeDocument/2006/relationships/image" Target="media/image179.png"/><Relationship Id="rId247" Type="http://schemas.openxmlformats.org/officeDocument/2006/relationships/image" Target="media/image193.emf"/><Relationship Id="rId107" Type="http://schemas.openxmlformats.org/officeDocument/2006/relationships/hyperlink" Target="#_Issue_Blood_Components"/><Relationship Id="rId268" Type="http://schemas.openxmlformats.org/officeDocument/2006/relationships/oleObject" Target="embeddings/oleObject16.bin"/><Relationship Id="rId11" Type="http://schemas.openxmlformats.org/officeDocument/2006/relationships/footer" Target="footer1.xml"/><Relationship Id="rId32" Type="http://schemas.openxmlformats.org/officeDocument/2006/relationships/image" Target="media/image16.png"/><Relationship Id="rId53" Type="http://schemas.openxmlformats.org/officeDocument/2006/relationships/image" Target="media/image35.png"/><Relationship Id="rId74" Type="http://schemas.openxmlformats.org/officeDocument/2006/relationships/image" Target="media/image52.emf"/><Relationship Id="rId128" Type="http://schemas.openxmlformats.org/officeDocument/2006/relationships/image" Target="media/image85.png"/><Relationship Id="rId149" Type="http://schemas.openxmlformats.org/officeDocument/2006/relationships/image" Target="media/image106.png"/><Relationship Id="rId5" Type="http://schemas.openxmlformats.org/officeDocument/2006/relationships/settings" Target="settings.xml"/><Relationship Id="rId95" Type="http://schemas.openxmlformats.org/officeDocument/2006/relationships/hyperlink" Target="#_Outgoing_Shipment"/><Relationship Id="rId160" Type="http://schemas.openxmlformats.org/officeDocument/2006/relationships/image" Target="media/image117.png"/><Relationship Id="rId181" Type="http://schemas.openxmlformats.org/officeDocument/2006/relationships/image" Target="media/image137.png"/><Relationship Id="rId216" Type="http://schemas.openxmlformats.org/officeDocument/2006/relationships/image" Target="media/image169.png"/><Relationship Id="rId237" Type="http://schemas.openxmlformats.org/officeDocument/2006/relationships/image" Target="media/image189.png"/><Relationship Id="rId258" Type="http://schemas.openxmlformats.org/officeDocument/2006/relationships/oleObject" Target="embeddings/oleObject12.bin"/><Relationship Id="rId22" Type="http://schemas.openxmlformats.org/officeDocument/2006/relationships/hyperlink" Target="http://www.foia.va.gov/FOIA_Offices.asp" TargetMode="External"/><Relationship Id="rId43" Type="http://schemas.openxmlformats.org/officeDocument/2006/relationships/image" Target="media/image25.png"/><Relationship Id="rId64" Type="http://schemas.openxmlformats.org/officeDocument/2006/relationships/image" Target="media/image44.png"/><Relationship Id="rId118" Type="http://schemas.openxmlformats.org/officeDocument/2006/relationships/image" Target="media/image75.png"/><Relationship Id="rId139" Type="http://schemas.openxmlformats.org/officeDocument/2006/relationships/image" Target="media/image96.png"/><Relationship Id="rId85" Type="http://schemas.openxmlformats.org/officeDocument/2006/relationships/hyperlink" Target="#_Enter_Daily_QC_Results"/><Relationship Id="rId150" Type="http://schemas.openxmlformats.org/officeDocument/2006/relationships/image" Target="media/image107.png"/><Relationship Id="rId171" Type="http://schemas.openxmlformats.org/officeDocument/2006/relationships/image" Target="media/image127.png"/><Relationship Id="rId192" Type="http://schemas.openxmlformats.org/officeDocument/2006/relationships/oleObject" Target="embeddings/oleObject4.bin"/><Relationship Id="rId206" Type="http://schemas.openxmlformats.org/officeDocument/2006/relationships/image" Target="media/image160.png"/><Relationship Id="rId227" Type="http://schemas.openxmlformats.org/officeDocument/2006/relationships/image" Target="media/image180.png"/><Relationship Id="rId248" Type="http://schemas.openxmlformats.org/officeDocument/2006/relationships/oleObject" Target="embeddings/oleObject8.bin"/><Relationship Id="rId269" Type="http://schemas.openxmlformats.org/officeDocument/2006/relationships/image" Target="media/image202.emf"/><Relationship Id="rId12" Type="http://schemas.openxmlformats.org/officeDocument/2006/relationships/footer" Target="footer2.xml"/><Relationship Id="rId33" Type="http://schemas.openxmlformats.org/officeDocument/2006/relationships/header" Target="header2.xml"/><Relationship Id="rId108" Type="http://schemas.openxmlformats.org/officeDocument/2006/relationships/image" Target="media/image72.png"/><Relationship Id="rId129" Type="http://schemas.openxmlformats.org/officeDocument/2006/relationships/image" Target="media/image86.png"/><Relationship Id="rId54" Type="http://schemas.openxmlformats.org/officeDocument/2006/relationships/image" Target="media/image36.png"/><Relationship Id="rId75" Type="http://schemas.openxmlformats.org/officeDocument/2006/relationships/image" Target="media/image53.emf"/><Relationship Id="rId96" Type="http://schemas.openxmlformats.org/officeDocument/2006/relationships/image" Target="media/image65.png"/><Relationship Id="rId140" Type="http://schemas.openxmlformats.org/officeDocument/2006/relationships/image" Target="media/image97.png"/><Relationship Id="rId161" Type="http://schemas.openxmlformats.org/officeDocument/2006/relationships/image" Target="media/image118.png"/><Relationship Id="rId182" Type="http://schemas.openxmlformats.org/officeDocument/2006/relationships/image" Target="media/image138.png"/><Relationship Id="rId217" Type="http://schemas.openxmlformats.org/officeDocument/2006/relationships/image" Target="media/image170.png"/><Relationship Id="rId6" Type="http://schemas.openxmlformats.org/officeDocument/2006/relationships/webSettings" Target="webSettings.xml"/><Relationship Id="rId238" Type="http://schemas.openxmlformats.org/officeDocument/2006/relationships/footer" Target="footer7.xml"/><Relationship Id="rId259" Type="http://schemas.openxmlformats.org/officeDocument/2006/relationships/footer" Target="footer10.xml"/><Relationship Id="rId23" Type="http://schemas.openxmlformats.org/officeDocument/2006/relationships/image" Target="media/image9.png"/><Relationship Id="rId119" Type="http://schemas.openxmlformats.org/officeDocument/2006/relationships/image" Target="media/image76.png"/><Relationship Id="rId270" Type="http://schemas.openxmlformats.org/officeDocument/2006/relationships/oleObject" Target="embeddings/oleObject17.bin"/><Relationship Id="rId44" Type="http://schemas.openxmlformats.org/officeDocument/2006/relationships/image" Target="media/image26.png"/><Relationship Id="rId65" Type="http://schemas.openxmlformats.org/officeDocument/2006/relationships/image" Target="cid:image001.png@01D3BCFE.4CB82D10" TargetMode="External"/><Relationship Id="rId86" Type="http://schemas.openxmlformats.org/officeDocument/2006/relationships/image" Target="media/image60.png"/><Relationship Id="rId130" Type="http://schemas.openxmlformats.org/officeDocument/2006/relationships/image" Target="media/image87.png"/><Relationship Id="rId151" Type="http://schemas.openxmlformats.org/officeDocument/2006/relationships/image" Target="media/image108.png"/><Relationship Id="rId172" Type="http://schemas.openxmlformats.org/officeDocument/2006/relationships/image" Target="media/image128.png"/><Relationship Id="rId193" Type="http://schemas.openxmlformats.org/officeDocument/2006/relationships/image" Target="media/image148.png"/><Relationship Id="rId202" Type="http://schemas.openxmlformats.org/officeDocument/2006/relationships/image" Target="media/image156.png"/><Relationship Id="rId207" Type="http://schemas.openxmlformats.org/officeDocument/2006/relationships/image" Target="media/image161.png"/><Relationship Id="rId223" Type="http://schemas.openxmlformats.org/officeDocument/2006/relationships/image" Target="media/image176.png"/><Relationship Id="rId228" Type="http://schemas.openxmlformats.org/officeDocument/2006/relationships/image" Target="media/image181.jpeg"/><Relationship Id="rId244" Type="http://schemas.openxmlformats.org/officeDocument/2006/relationships/footer" Target="footer9.xml"/><Relationship Id="rId249" Type="http://schemas.openxmlformats.org/officeDocument/2006/relationships/hyperlink" Target="https://www.va.gov/vdl/application.asp?appid=182" TargetMode="External"/><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image" Target="media/image21.png"/><Relationship Id="rId109" Type="http://schemas.openxmlformats.org/officeDocument/2006/relationships/hyperlink" Target="#_Post-Transfusion_Information"/><Relationship Id="rId260" Type="http://schemas.openxmlformats.org/officeDocument/2006/relationships/image" Target="media/image198.emf"/><Relationship Id="rId265" Type="http://schemas.openxmlformats.org/officeDocument/2006/relationships/oleObject" Target="embeddings/oleObject15.bin"/><Relationship Id="rId34"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oleObject" Target="embeddings/oleObject3.bin"/><Relationship Id="rId97" Type="http://schemas.openxmlformats.org/officeDocument/2006/relationships/hyperlink" Target="#_Accept_Orders:_Accept"/><Relationship Id="rId104" Type="http://schemas.openxmlformats.org/officeDocument/2006/relationships/image" Target="media/image70.png"/><Relationship Id="rId120" Type="http://schemas.openxmlformats.org/officeDocument/2006/relationships/image" Target="media/image77.png"/><Relationship Id="rId125" Type="http://schemas.openxmlformats.org/officeDocument/2006/relationships/image" Target="media/image82.png"/><Relationship Id="rId141" Type="http://schemas.openxmlformats.org/officeDocument/2006/relationships/image" Target="media/image98.png"/><Relationship Id="rId146" Type="http://schemas.openxmlformats.org/officeDocument/2006/relationships/image" Target="media/image103.png"/><Relationship Id="rId167" Type="http://schemas.openxmlformats.org/officeDocument/2006/relationships/image" Target="media/image124.png"/><Relationship Id="rId188" Type="http://schemas.openxmlformats.org/officeDocument/2006/relationships/image" Target="media/image144.png"/><Relationship Id="rId7" Type="http://schemas.openxmlformats.org/officeDocument/2006/relationships/footnotes" Target="footnotes.xml"/><Relationship Id="rId71" Type="http://schemas.openxmlformats.org/officeDocument/2006/relationships/oleObject" Target="embeddings/oleObject2.bin"/><Relationship Id="rId92" Type="http://schemas.openxmlformats.org/officeDocument/2006/relationships/image" Target="media/image63.png"/><Relationship Id="rId162" Type="http://schemas.openxmlformats.org/officeDocument/2006/relationships/image" Target="media/image119.png"/><Relationship Id="rId183" Type="http://schemas.openxmlformats.org/officeDocument/2006/relationships/image" Target="media/image139.png"/><Relationship Id="rId213" Type="http://schemas.openxmlformats.org/officeDocument/2006/relationships/image" Target="media/image167.png"/><Relationship Id="rId218" Type="http://schemas.openxmlformats.org/officeDocument/2006/relationships/image" Target="media/image171.png"/><Relationship Id="rId234" Type="http://schemas.openxmlformats.org/officeDocument/2006/relationships/image" Target="media/image186.png"/><Relationship Id="rId239" Type="http://schemas.openxmlformats.org/officeDocument/2006/relationships/footer" Target="footer8.xml"/><Relationship Id="rId2" Type="http://schemas.openxmlformats.org/officeDocument/2006/relationships/customXml" Target="../customXml/item1.xml"/><Relationship Id="rId29" Type="http://schemas.openxmlformats.org/officeDocument/2006/relationships/image" Target="media/image14.png"/><Relationship Id="rId250" Type="http://schemas.openxmlformats.org/officeDocument/2006/relationships/header" Target="header5.xml"/><Relationship Id="rId255" Type="http://schemas.openxmlformats.org/officeDocument/2006/relationships/image" Target="media/image196.emf"/><Relationship Id="rId271" Type="http://schemas.openxmlformats.org/officeDocument/2006/relationships/image" Target="media/image203.emf"/><Relationship Id="rId276" Type="http://schemas.openxmlformats.org/officeDocument/2006/relationships/header" Target="header6.xml"/><Relationship Id="rId24" Type="http://schemas.openxmlformats.org/officeDocument/2006/relationships/image" Target="media/image10.emf"/><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5.png"/><Relationship Id="rId87" Type="http://schemas.openxmlformats.org/officeDocument/2006/relationships/hyperlink" Target="#_Incoming_Shipment"/><Relationship Id="rId110" Type="http://schemas.openxmlformats.org/officeDocument/2006/relationships/image" Target="media/image73.png"/><Relationship Id="rId115" Type="http://schemas.openxmlformats.org/officeDocument/2006/relationships/hyperlink" Target="#_View_Special_Instructions_and Trans"/><Relationship Id="rId131" Type="http://schemas.openxmlformats.org/officeDocument/2006/relationships/image" Target="media/image88.png"/><Relationship Id="rId136" Type="http://schemas.openxmlformats.org/officeDocument/2006/relationships/image" Target="media/image93.png"/><Relationship Id="rId157" Type="http://schemas.openxmlformats.org/officeDocument/2006/relationships/image" Target="media/image114.png"/><Relationship Id="rId178" Type="http://schemas.openxmlformats.org/officeDocument/2006/relationships/image" Target="media/image134.png"/><Relationship Id="rId61" Type="http://schemas.openxmlformats.org/officeDocument/2006/relationships/image" Target="media/image42.png"/><Relationship Id="rId82" Type="http://schemas.openxmlformats.org/officeDocument/2006/relationships/image" Target="http://msdn.microsoft.com/library/en-us/dnacc/html/atg_keyboardshortcuts_10.gif" TargetMode="External"/><Relationship Id="rId152" Type="http://schemas.openxmlformats.org/officeDocument/2006/relationships/image" Target="media/image109.png"/><Relationship Id="rId173" Type="http://schemas.openxmlformats.org/officeDocument/2006/relationships/image" Target="media/image129.png"/><Relationship Id="rId194" Type="http://schemas.openxmlformats.org/officeDocument/2006/relationships/image" Target="media/image149.png"/><Relationship Id="rId199" Type="http://schemas.openxmlformats.org/officeDocument/2006/relationships/image" Target="media/image153.png"/><Relationship Id="rId203" Type="http://schemas.openxmlformats.org/officeDocument/2006/relationships/image" Target="media/image157.png"/><Relationship Id="rId208" Type="http://schemas.openxmlformats.org/officeDocument/2006/relationships/image" Target="media/image162.png"/><Relationship Id="rId229" Type="http://schemas.openxmlformats.org/officeDocument/2006/relationships/image" Target="cid:image001.jpg@01CFF8D3.98CB1E30" TargetMode="External"/><Relationship Id="rId19" Type="http://schemas.openxmlformats.org/officeDocument/2006/relationships/image" Target="media/image7.png"/><Relationship Id="rId224" Type="http://schemas.openxmlformats.org/officeDocument/2006/relationships/image" Target="media/image177.png"/><Relationship Id="rId240" Type="http://schemas.openxmlformats.org/officeDocument/2006/relationships/image" Target="media/image190.emf"/><Relationship Id="rId245" Type="http://schemas.openxmlformats.org/officeDocument/2006/relationships/image" Target="media/image192.emf"/><Relationship Id="rId261" Type="http://schemas.openxmlformats.org/officeDocument/2006/relationships/oleObject" Target="embeddings/oleObject13.bin"/><Relationship Id="rId266" Type="http://schemas.openxmlformats.org/officeDocument/2006/relationships/footer" Target="footer11.xml"/><Relationship Id="rId14" Type="http://schemas.openxmlformats.org/officeDocument/2006/relationships/image" Target="media/image2.png"/><Relationship Id="rId30" Type="http://schemas.openxmlformats.org/officeDocument/2006/relationships/footer" Target="footer5.xml"/><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4.png"/><Relationship Id="rId100" Type="http://schemas.openxmlformats.org/officeDocument/2006/relationships/image" Target="media/image67.png"/><Relationship Id="rId105" Type="http://schemas.openxmlformats.org/officeDocument/2006/relationships/hyperlink" Target="#_Select_Units_1"/><Relationship Id="rId126" Type="http://schemas.openxmlformats.org/officeDocument/2006/relationships/image" Target="media/image83.png"/><Relationship Id="rId147" Type="http://schemas.openxmlformats.org/officeDocument/2006/relationships/image" Target="media/image104.png"/><Relationship Id="rId168" Type="http://schemas.openxmlformats.org/officeDocument/2006/relationships/image" Target="media/image125.png"/><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image" Target="media/image50.png"/><Relationship Id="rId93" Type="http://schemas.openxmlformats.org/officeDocument/2006/relationships/hyperlink" Target="#_Unit_Antigen_Typing"/><Relationship Id="rId98" Type="http://schemas.openxmlformats.org/officeDocument/2006/relationships/image" Target="media/image66.png"/><Relationship Id="rId121" Type="http://schemas.openxmlformats.org/officeDocument/2006/relationships/image" Target="media/image78.png"/><Relationship Id="rId142" Type="http://schemas.openxmlformats.org/officeDocument/2006/relationships/image" Target="media/image99.png"/><Relationship Id="rId163" Type="http://schemas.openxmlformats.org/officeDocument/2006/relationships/image" Target="media/image120.png"/><Relationship Id="rId184" Type="http://schemas.openxmlformats.org/officeDocument/2006/relationships/image" Target="media/image140.png"/><Relationship Id="rId189" Type="http://schemas.openxmlformats.org/officeDocument/2006/relationships/image" Target="media/image145.png"/><Relationship Id="rId219" Type="http://schemas.openxmlformats.org/officeDocument/2006/relationships/image" Target="media/image172.png"/><Relationship Id="rId3" Type="http://schemas.openxmlformats.org/officeDocument/2006/relationships/numbering" Target="numbering.xml"/><Relationship Id="rId214" Type="http://schemas.openxmlformats.org/officeDocument/2006/relationships/image" Target="cid:image001.png@01D4D4E2.073A5DB0" TargetMode="External"/><Relationship Id="rId230" Type="http://schemas.openxmlformats.org/officeDocument/2006/relationships/image" Target="media/image182.png"/><Relationship Id="rId235" Type="http://schemas.openxmlformats.org/officeDocument/2006/relationships/image" Target="media/image187.png"/><Relationship Id="rId251" Type="http://schemas.openxmlformats.org/officeDocument/2006/relationships/image" Target="media/image194.emf"/><Relationship Id="rId256" Type="http://schemas.openxmlformats.org/officeDocument/2006/relationships/oleObject" Target="embeddings/oleObject11.bin"/><Relationship Id="rId277" Type="http://schemas.openxmlformats.org/officeDocument/2006/relationships/fontTable" Target="fontTable.xml"/><Relationship Id="rId25" Type="http://schemas.openxmlformats.org/officeDocument/2006/relationships/oleObject" Target="embeddings/oleObject1.bin"/><Relationship Id="rId46" Type="http://schemas.openxmlformats.org/officeDocument/2006/relationships/image" Target="media/image28.png"/><Relationship Id="rId67" Type="http://schemas.openxmlformats.org/officeDocument/2006/relationships/image" Target="media/image46.png"/><Relationship Id="rId116" Type="http://schemas.openxmlformats.org/officeDocument/2006/relationships/hyperlink" Target="#_Patient_Information_Toolbar:_Recent_1"/><Relationship Id="rId137" Type="http://schemas.openxmlformats.org/officeDocument/2006/relationships/image" Target="media/image94.png"/><Relationship Id="rId158" Type="http://schemas.openxmlformats.org/officeDocument/2006/relationships/image" Target="media/image115.png"/><Relationship Id="rId272" Type="http://schemas.openxmlformats.org/officeDocument/2006/relationships/oleObject" Target="embeddings/oleObject18.bin"/><Relationship Id="rId20" Type="http://schemas.openxmlformats.org/officeDocument/2006/relationships/footer" Target="footer4.xml"/><Relationship Id="rId41" Type="http://schemas.openxmlformats.org/officeDocument/2006/relationships/image" Target="media/image23.png"/><Relationship Id="rId62" Type="http://schemas.openxmlformats.org/officeDocument/2006/relationships/image" Target="media/image43.png"/><Relationship Id="rId83" Type="http://schemas.openxmlformats.org/officeDocument/2006/relationships/hyperlink" Target="#_Log_In_Reagents,_Update Inventory, "/><Relationship Id="rId88" Type="http://schemas.openxmlformats.org/officeDocument/2006/relationships/image" Target="media/image61.png"/><Relationship Id="rId111" Type="http://schemas.openxmlformats.org/officeDocument/2006/relationships/hyperlink" Target="#_Blood_Availability_UC_49"/><Relationship Id="rId132" Type="http://schemas.openxmlformats.org/officeDocument/2006/relationships/image" Target="media/image89.png"/><Relationship Id="rId153" Type="http://schemas.openxmlformats.org/officeDocument/2006/relationships/image" Target="media/image110.png"/><Relationship Id="rId174" Type="http://schemas.openxmlformats.org/officeDocument/2006/relationships/image" Target="media/image130.png"/><Relationship Id="rId179" Type="http://schemas.openxmlformats.org/officeDocument/2006/relationships/image" Target="media/image135.png"/><Relationship Id="rId195" Type="http://schemas.openxmlformats.org/officeDocument/2006/relationships/image" Target="media/image150.png"/><Relationship Id="rId209" Type="http://schemas.openxmlformats.org/officeDocument/2006/relationships/image" Target="media/image163.png"/><Relationship Id="rId190" Type="http://schemas.openxmlformats.org/officeDocument/2006/relationships/image" Target="media/image146.png"/><Relationship Id="rId204" Type="http://schemas.openxmlformats.org/officeDocument/2006/relationships/image" Target="media/image158.png"/><Relationship Id="rId220" Type="http://schemas.openxmlformats.org/officeDocument/2006/relationships/image" Target="media/image173.png"/><Relationship Id="rId225" Type="http://schemas.openxmlformats.org/officeDocument/2006/relationships/image" Target="media/image178.png"/><Relationship Id="rId241" Type="http://schemas.openxmlformats.org/officeDocument/2006/relationships/oleObject" Target="embeddings/oleObject5.bin"/><Relationship Id="rId246" Type="http://schemas.openxmlformats.org/officeDocument/2006/relationships/oleObject" Target="embeddings/oleObject7.bin"/><Relationship Id="rId267" Type="http://schemas.openxmlformats.org/officeDocument/2006/relationships/image" Target="media/image201.emf"/><Relationship Id="rId15" Type="http://schemas.openxmlformats.org/officeDocument/2006/relationships/image" Target="media/image3.png"/><Relationship Id="rId36" Type="http://schemas.openxmlformats.org/officeDocument/2006/relationships/image" Target="media/image18.png"/><Relationship Id="rId57" Type="http://schemas.openxmlformats.org/officeDocument/2006/relationships/image" Target="media/image39.jpeg"/><Relationship Id="rId106" Type="http://schemas.openxmlformats.org/officeDocument/2006/relationships/image" Target="media/image71.png"/><Relationship Id="rId127" Type="http://schemas.openxmlformats.org/officeDocument/2006/relationships/image" Target="media/image84.png"/><Relationship Id="rId262" Type="http://schemas.openxmlformats.org/officeDocument/2006/relationships/image" Target="media/image199.emf"/><Relationship Id="rId10" Type="http://schemas.openxmlformats.org/officeDocument/2006/relationships/header" Target="header1.xml"/><Relationship Id="rId31" Type="http://schemas.openxmlformats.org/officeDocument/2006/relationships/image" Target="media/image15.png"/><Relationship Id="rId52" Type="http://schemas.openxmlformats.org/officeDocument/2006/relationships/image" Target="media/image34.png"/><Relationship Id="rId73" Type="http://schemas.openxmlformats.org/officeDocument/2006/relationships/image" Target="media/image51.emf"/><Relationship Id="rId78" Type="http://schemas.openxmlformats.org/officeDocument/2006/relationships/image" Target="media/image55.png"/><Relationship Id="rId94" Type="http://schemas.openxmlformats.org/officeDocument/2006/relationships/image" Target="media/image64.png"/><Relationship Id="rId99" Type="http://schemas.openxmlformats.org/officeDocument/2006/relationships/hyperlink" Target="#_Maintain_Specimen_1"/><Relationship Id="rId101" Type="http://schemas.openxmlformats.org/officeDocument/2006/relationships/hyperlink" Target="#_Patient_Testing:_Record_1"/><Relationship Id="rId122" Type="http://schemas.openxmlformats.org/officeDocument/2006/relationships/image" Target="media/image79.png"/><Relationship Id="rId143" Type="http://schemas.openxmlformats.org/officeDocument/2006/relationships/image" Target="media/image100.png"/><Relationship Id="rId148" Type="http://schemas.openxmlformats.org/officeDocument/2006/relationships/image" Target="media/image105.png"/><Relationship Id="rId164" Type="http://schemas.openxmlformats.org/officeDocument/2006/relationships/image" Target="media/image121.png"/><Relationship Id="rId169" Type="http://schemas.openxmlformats.org/officeDocument/2006/relationships/image" Target="media/image126.png"/><Relationship Id="rId185" Type="http://schemas.openxmlformats.org/officeDocument/2006/relationships/image" Target="media/image141.png"/><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image" Target="media/image136.png"/><Relationship Id="rId210" Type="http://schemas.openxmlformats.org/officeDocument/2006/relationships/image" Target="media/image164.png"/><Relationship Id="rId215" Type="http://schemas.openxmlformats.org/officeDocument/2006/relationships/image" Target="media/image168.png"/><Relationship Id="rId236" Type="http://schemas.openxmlformats.org/officeDocument/2006/relationships/image" Target="media/image188.png"/><Relationship Id="rId257" Type="http://schemas.openxmlformats.org/officeDocument/2006/relationships/image" Target="media/image197.emf"/><Relationship Id="rId278" Type="http://schemas.openxmlformats.org/officeDocument/2006/relationships/theme" Target="theme/theme1.xml"/><Relationship Id="rId26" Type="http://schemas.openxmlformats.org/officeDocument/2006/relationships/image" Target="media/image11.jpeg"/><Relationship Id="rId231" Type="http://schemas.openxmlformats.org/officeDocument/2006/relationships/image" Target="media/image183.png"/><Relationship Id="rId252" Type="http://schemas.openxmlformats.org/officeDocument/2006/relationships/oleObject" Target="embeddings/oleObject9.bin"/><Relationship Id="rId273" Type="http://schemas.openxmlformats.org/officeDocument/2006/relationships/footer" Target="footer12.xml"/><Relationship Id="rId47" Type="http://schemas.openxmlformats.org/officeDocument/2006/relationships/image" Target="media/image29.png"/><Relationship Id="rId68" Type="http://schemas.openxmlformats.org/officeDocument/2006/relationships/image" Target="media/image47.png"/><Relationship Id="rId89" Type="http://schemas.openxmlformats.org/officeDocument/2006/relationships/hyperlink" Target="#_ABO/Rh_Confirmation"/><Relationship Id="rId112" Type="http://schemas.openxmlformats.org/officeDocument/2006/relationships/image" Target="media/image74.png"/><Relationship Id="rId133" Type="http://schemas.openxmlformats.org/officeDocument/2006/relationships/image" Target="media/image90.png"/><Relationship Id="rId154" Type="http://schemas.openxmlformats.org/officeDocument/2006/relationships/image" Target="media/image111.png"/><Relationship Id="rId175" Type="http://schemas.openxmlformats.org/officeDocument/2006/relationships/image" Target="media/image131.png"/><Relationship Id="rId196" Type="http://schemas.openxmlformats.org/officeDocument/2006/relationships/image" Target="media/image151.png"/><Relationship Id="rId200" Type="http://schemas.openxmlformats.org/officeDocument/2006/relationships/image" Target="media/image154.png"/><Relationship Id="rId16" Type="http://schemas.openxmlformats.org/officeDocument/2006/relationships/image" Target="media/image4.png"/><Relationship Id="rId221" Type="http://schemas.openxmlformats.org/officeDocument/2006/relationships/image" Target="media/image174.png"/><Relationship Id="rId242" Type="http://schemas.openxmlformats.org/officeDocument/2006/relationships/image" Target="media/image191.wmf"/><Relationship Id="rId263" Type="http://schemas.openxmlformats.org/officeDocument/2006/relationships/oleObject" Target="embeddings/oleObject14.bin"/><Relationship Id="rId37" Type="http://schemas.openxmlformats.org/officeDocument/2006/relationships/image" Target="media/image19.png"/><Relationship Id="rId58" Type="http://schemas.openxmlformats.org/officeDocument/2006/relationships/image" Target="cid:image005.jpg@01D3B6E5.93EFD210" TargetMode="External"/><Relationship Id="rId79" Type="http://schemas.openxmlformats.org/officeDocument/2006/relationships/image" Target="media/image56.png"/><Relationship Id="rId102" Type="http://schemas.openxmlformats.org/officeDocument/2006/relationships/image" Target="media/image68.png"/><Relationship Id="rId123" Type="http://schemas.openxmlformats.org/officeDocument/2006/relationships/image" Target="media/image80.png"/><Relationship Id="rId144" Type="http://schemas.openxmlformats.org/officeDocument/2006/relationships/image" Target="media/image101.png"/><Relationship Id="rId90" Type="http://schemas.openxmlformats.org/officeDocument/2006/relationships/image" Target="media/image62.png"/><Relationship Id="rId165" Type="http://schemas.openxmlformats.org/officeDocument/2006/relationships/image" Target="media/image122.png"/><Relationship Id="rId186" Type="http://schemas.openxmlformats.org/officeDocument/2006/relationships/image" Target="media/image142.png"/><Relationship Id="rId211" Type="http://schemas.openxmlformats.org/officeDocument/2006/relationships/image" Target="media/image165.png"/><Relationship Id="rId232" Type="http://schemas.openxmlformats.org/officeDocument/2006/relationships/image" Target="media/image184.png"/><Relationship Id="rId253" Type="http://schemas.openxmlformats.org/officeDocument/2006/relationships/image" Target="media/image195.emf"/><Relationship Id="rId274" Type="http://schemas.openxmlformats.org/officeDocument/2006/relationships/footer" Target="footer13.xml"/><Relationship Id="rId27" Type="http://schemas.openxmlformats.org/officeDocument/2006/relationships/image" Target="media/image12.png"/><Relationship Id="rId48" Type="http://schemas.openxmlformats.org/officeDocument/2006/relationships/image" Target="media/image30.png"/><Relationship Id="rId69" Type="http://schemas.openxmlformats.org/officeDocument/2006/relationships/image" Target="media/image48.png"/><Relationship Id="rId113" Type="http://schemas.openxmlformats.org/officeDocument/2006/relationships/hyperlink" Target="#_Medication_Profile_UC_46"/><Relationship Id="rId134" Type="http://schemas.openxmlformats.org/officeDocument/2006/relationships/image" Target="media/image91.png"/><Relationship Id="rId80" Type="http://schemas.openxmlformats.org/officeDocument/2006/relationships/image" Target="media/image57.png"/><Relationship Id="rId155" Type="http://schemas.openxmlformats.org/officeDocument/2006/relationships/image" Target="media/image112.png"/><Relationship Id="rId176" Type="http://schemas.openxmlformats.org/officeDocument/2006/relationships/image" Target="media/image132.png"/><Relationship Id="rId197" Type="http://schemas.openxmlformats.org/officeDocument/2006/relationships/image" Target="media/image152.png"/><Relationship Id="rId201" Type="http://schemas.openxmlformats.org/officeDocument/2006/relationships/image" Target="media/image155.png"/><Relationship Id="rId222" Type="http://schemas.openxmlformats.org/officeDocument/2006/relationships/image" Target="media/image175.png"/><Relationship Id="rId243" Type="http://schemas.openxmlformats.org/officeDocument/2006/relationships/oleObject" Target="embeddings/oleObject6.bin"/><Relationship Id="rId264" Type="http://schemas.openxmlformats.org/officeDocument/2006/relationships/image" Target="media/image200.emf"/><Relationship Id="rId17" Type="http://schemas.openxmlformats.org/officeDocument/2006/relationships/image" Target="media/image5.png"/><Relationship Id="rId38" Type="http://schemas.openxmlformats.org/officeDocument/2006/relationships/image" Target="media/image20.png"/><Relationship Id="rId59" Type="http://schemas.openxmlformats.org/officeDocument/2006/relationships/image" Target="media/image40.png"/><Relationship Id="rId103" Type="http://schemas.openxmlformats.org/officeDocument/2006/relationships/image" Target="media/image69.png"/><Relationship Id="rId124" Type="http://schemas.openxmlformats.org/officeDocument/2006/relationships/image" Target="media/image81.png"/><Relationship Id="rId70" Type="http://schemas.openxmlformats.org/officeDocument/2006/relationships/image" Target="media/image49.png"/><Relationship Id="rId91" Type="http://schemas.openxmlformats.org/officeDocument/2006/relationships/hyperlink" Target="#_Modify_Units"/><Relationship Id="rId145" Type="http://schemas.openxmlformats.org/officeDocument/2006/relationships/image" Target="media/image102.png"/><Relationship Id="rId166" Type="http://schemas.openxmlformats.org/officeDocument/2006/relationships/image" Target="media/image123.png"/><Relationship Id="rId187" Type="http://schemas.openxmlformats.org/officeDocument/2006/relationships/image" Target="media/image143.png"/><Relationship Id="rId1" Type="http://schemas.microsoft.com/office/2006/relationships/keyMapCustomizations" Target="customizations.xml"/><Relationship Id="rId212" Type="http://schemas.openxmlformats.org/officeDocument/2006/relationships/image" Target="media/image166.png"/><Relationship Id="rId233" Type="http://schemas.openxmlformats.org/officeDocument/2006/relationships/image" Target="media/image185.png"/><Relationship Id="rId254" Type="http://schemas.openxmlformats.org/officeDocument/2006/relationships/oleObject" Target="embeddings/oleObject10.bin"/><Relationship Id="rId28" Type="http://schemas.openxmlformats.org/officeDocument/2006/relationships/image" Target="media/image13.png"/><Relationship Id="rId49" Type="http://schemas.openxmlformats.org/officeDocument/2006/relationships/image" Target="media/image31.png"/><Relationship Id="rId114" Type="http://schemas.openxmlformats.org/officeDocument/2006/relationships/hyperlink" Target="#_Patient_Information_Toolbar:_Recent"/><Relationship Id="rId275" Type="http://schemas.openxmlformats.org/officeDocument/2006/relationships/image" Target="media/image204.png"/><Relationship Id="rId60" Type="http://schemas.openxmlformats.org/officeDocument/2006/relationships/image" Target="media/image41.jpeg"/><Relationship Id="rId81" Type="http://schemas.openxmlformats.org/officeDocument/2006/relationships/image" Target="media/image58.png"/><Relationship Id="rId135" Type="http://schemas.openxmlformats.org/officeDocument/2006/relationships/image" Target="media/image92.png"/><Relationship Id="rId156" Type="http://schemas.openxmlformats.org/officeDocument/2006/relationships/image" Target="media/image113.png"/><Relationship Id="rId177" Type="http://schemas.openxmlformats.org/officeDocument/2006/relationships/image" Target="media/image133.png"/><Relationship Id="rId198"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F4875-344D-4D28-A593-C3DE7BFE3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584</Pages>
  <Words>140913</Words>
  <Characters>742873</Characters>
  <Application>Microsoft Office Word</Application>
  <DocSecurity>0</DocSecurity>
  <Lines>27037</Lines>
  <Paragraphs>13480</Paragraphs>
  <ScaleCrop>false</ScaleCrop>
  <HeadingPairs>
    <vt:vector size="2" baseType="variant">
      <vt:variant>
        <vt:lpstr>Title</vt:lpstr>
      </vt:variant>
      <vt:variant>
        <vt:i4>1</vt:i4>
      </vt:variant>
    </vt:vector>
  </HeadingPairs>
  <TitlesOfParts>
    <vt:vector size="1" baseType="lpstr">
      <vt:lpstr>VBECS user guide</vt:lpstr>
    </vt:vector>
  </TitlesOfParts>
  <Company>Veteran Affairs</Company>
  <LinksUpToDate>false</LinksUpToDate>
  <CharactersWithSpaces>875469</CharactersWithSpaces>
  <SharedDoc>false</SharedDoc>
  <HLinks>
    <vt:vector size="1578" baseType="variant">
      <vt:variant>
        <vt:i4>4128827</vt:i4>
      </vt:variant>
      <vt:variant>
        <vt:i4>3271</vt:i4>
      </vt:variant>
      <vt:variant>
        <vt:i4>0</vt:i4>
      </vt:variant>
      <vt:variant>
        <vt:i4>5</vt:i4>
      </vt:variant>
      <vt:variant>
        <vt:lpwstr>http://vaww.oed.portal.va.gov/projects/vbecs/VBECS FAQs/Forms/AllItems.aspx</vt:lpwstr>
      </vt:variant>
      <vt:variant>
        <vt:lpwstr/>
      </vt:variant>
      <vt:variant>
        <vt:i4>5963785</vt:i4>
      </vt:variant>
      <vt:variant>
        <vt:i4>3062</vt:i4>
      </vt:variant>
      <vt:variant>
        <vt:i4>0</vt:i4>
      </vt:variant>
      <vt:variant>
        <vt:i4>5</vt:i4>
      </vt:variant>
      <vt:variant>
        <vt:lpwstr>https://www.va.gov/vdl/application.asp?appid=182</vt:lpwstr>
      </vt:variant>
      <vt:variant>
        <vt:lpwstr/>
      </vt:variant>
      <vt:variant>
        <vt:i4>7798830</vt:i4>
      </vt:variant>
      <vt:variant>
        <vt:i4>1812</vt:i4>
      </vt:variant>
      <vt:variant>
        <vt:i4>0</vt:i4>
      </vt:variant>
      <vt:variant>
        <vt:i4>5</vt:i4>
      </vt:variant>
      <vt:variant>
        <vt:lpwstr/>
      </vt:variant>
      <vt:variant>
        <vt:lpwstr>_Blood_Availability_UC_49</vt:lpwstr>
      </vt:variant>
      <vt:variant>
        <vt:i4>2097264</vt:i4>
      </vt:variant>
      <vt:variant>
        <vt:i4>1809</vt:i4>
      </vt:variant>
      <vt:variant>
        <vt:i4>0</vt:i4>
      </vt:variant>
      <vt:variant>
        <vt:i4>5</vt:i4>
      </vt:variant>
      <vt:variant>
        <vt:lpwstr/>
      </vt:variant>
      <vt:variant>
        <vt:lpwstr>_Patient_Information_Toolbar:_Transf</vt:lpwstr>
      </vt:variant>
      <vt:variant>
        <vt:i4>2031670</vt:i4>
      </vt:variant>
      <vt:variant>
        <vt:i4>1806</vt:i4>
      </vt:variant>
      <vt:variant>
        <vt:i4>0</vt:i4>
      </vt:variant>
      <vt:variant>
        <vt:i4>5</vt:i4>
      </vt:variant>
      <vt:variant>
        <vt:lpwstr/>
      </vt:variant>
      <vt:variant>
        <vt:lpwstr>_Patient_Information_Toolbar:_Recent_1</vt:lpwstr>
      </vt:variant>
      <vt:variant>
        <vt:i4>327763</vt:i4>
      </vt:variant>
      <vt:variant>
        <vt:i4>1803</vt:i4>
      </vt:variant>
      <vt:variant>
        <vt:i4>0</vt:i4>
      </vt:variant>
      <vt:variant>
        <vt:i4>5</vt:i4>
      </vt:variant>
      <vt:variant>
        <vt:lpwstr/>
      </vt:variant>
      <vt:variant>
        <vt:lpwstr>_View_Special_Instructions_and Trans</vt:lpwstr>
      </vt:variant>
      <vt:variant>
        <vt:i4>3014761</vt:i4>
      </vt:variant>
      <vt:variant>
        <vt:i4>1800</vt:i4>
      </vt:variant>
      <vt:variant>
        <vt:i4>0</vt:i4>
      </vt:variant>
      <vt:variant>
        <vt:i4>5</vt:i4>
      </vt:variant>
      <vt:variant>
        <vt:lpwstr/>
      </vt:variant>
      <vt:variant>
        <vt:lpwstr>_Patient_Information_Toolbar:_Recent</vt:lpwstr>
      </vt:variant>
      <vt:variant>
        <vt:i4>6160396</vt:i4>
      </vt:variant>
      <vt:variant>
        <vt:i4>1797</vt:i4>
      </vt:variant>
      <vt:variant>
        <vt:i4>0</vt:i4>
      </vt:variant>
      <vt:variant>
        <vt:i4>5</vt:i4>
      </vt:variant>
      <vt:variant>
        <vt:lpwstr/>
      </vt:variant>
      <vt:variant>
        <vt:lpwstr>_Medication_Profile_UC_46</vt:lpwstr>
      </vt:variant>
      <vt:variant>
        <vt:i4>7798830</vt:i4>
      </vt:variant>
      <vt:variant>
        <vt:i4>1794</vt:i4>
      </vt:variant>
      <vt:variant>
        <vt:i4>0</vt:i4>
      </vt:variant>
      <vt:variant>
        <vt:i4>5</vt:i4>
      </vt:variant>
      <vt:variant>
        <vt:lpwstr/>
      </vt:variant>
      <vt:variant>
        <vt:lpwstr>_Blood_Availability_UC_49</vt:lpwstr>
      </vt:variant>
      <vt:variant>
        <vt:i4>6291493</vt:i4>
      </vt:variant>
      <vt:variant>
        <vt:i4>1791</vt:i4>
      </vt:variant>
      <vt:variant>
        <vt:i4>0</vt:i4>
      </vt:variant>
      <vt:variant>
        <vt:i4>5</vt:i4>
      </vt:variant>
      <vt:variant>
        <vt:lpwstr/>
      </vt:variant>
      <vt:variant>
        <vt:lpwstr>_Post-Transfusion_Information</vt:lpwstr>
      </vt:variant>
      <vt:variant>
        <vt:i4>6684741</vt:i4>
      </vt:variant>
      <vt:variant>
        <vt:i4>1788</vt:i4>
      </vt:variant>
      <vt:variant>
        <vt:i4>0</vt:i4>
      </vt:variant>
      <vt:variant>
        <vt:i4>5</vt:i4>
      </vt:variant>
      <vt:variant>
        <vt:lpwstr/>
      </vt:variant>
      <vt:variant>
        <vt:lpwstr>_Issue_Blood_Components</vt:lpwstr>
      </vt:variant>
      <vt:variant>
        <vt:i4>6684740</vt:i4>
      </vt:variant>
      <vt:variant>
        <vt:i4>1785</vt:i4>
      </vt:variant>
      <vt:variant>
        <vt:i4>0</vt:i4>
      </vt:variant>
      <vt:variant>
        <vt:i4>5</vt:i4>
      </vt:variant>
      <vt:variant>
        <vt:lpwstr/>
      </vt:variant>
      <vt:variant>
        <vt:lpwstr>_Select_Units_1</vt:lpwstr>
      </vt:variant>
      <vt:variant>
        <vt:i4>1835039</vt:i4>
      </vt:variant>
      <vt:variant>
        <vt:i4>1782</vt:i4>
      </vt:variant>
      <vt:variant>
        <vt:i4>0</vt:i4>
      </vt:variant>
      <vt:variant>
        <vt:i4>5</vt:i4>
      </vt:variant>
      <vt:variant>
        <vt:lpwstr/>
      </vt:variant>
      <vt:variant>
        <vt:lpwstr>_Patient_Testing:_Record_1</vt:lpwstr>
      </vt:variant>
      <vt:variant>
        <vt:i4>6750234</vt:i4>
      </vt:variant>
      <vt:variant>
        <vt:i4>1779</vt:i4>
      </vt:variant>
      <vt:variant>
        <vt:i4>0</vt:i4>
      </vt:variant>
      <vt:variant>
        <vt:i4>5</vt:i4>
      </vt:variant>
      <vt:variant>
        <vt:lpwstr/>
      </vt:variant>
      <vt:variant>
        <vt:lpwstr>_Maintain_Specimen_1</vt:lpwstr>
      </vt:variant>
      <vt:variant>
        <vt:i4>6553628</vt:i4>
      </vt:variant>
      <vt:variant>
        <vt:i4>1776</vt:i4>
      </vt:variant>
      <vt:variant>
        <vt:i4>0</vt:i4>
      </vt:variant>
      <vt:variant>
        <vt:i4>5</vt:i4>
      </vt:variant>
      <vt:variant>
        <vt:lpwstr/>
      </vt:variant>
      <vt:variant>
        <vt:lpwstr>_Accept_Orders:_Accept</vt:lpwstr>
      </vt:variant>
      <vt:variant>
        <vt:i4>4980826</vt:i4>
      </vt:variant>
      <vt:variant>
        <vt:i4>1773</vt:i4>
      </vt:variant>
      <vt:variant>
        <vt:i4>0</vt:i4>
      </vt:variant>
      <vt:variant>
        <vt:i4>5</vt:i4>
      </vt:variant>
      <vt:variant>
        <vt:lpwstr/>
      </vt:variant>
      <vt:variant>
        <vt:lpwstr>_Outgoing_Shipment</vt:lpwstr>
      </vt:variant>
      <vt:variant>
        <vt:i4>589875</vt:i4>
      </vt:variant>
      <vt:variant>
        <vt:i4>1770</vt:i4>
      </vt:variant>
      <vt:variant>
        <vt:i4>0</vt:i4>
      </vt:variant>
      <vt:variant>
        <vt:i4>5</vt:i4>
      </vt:variant>
      <vt:variant>
        <vt:lpwstr/>
      </vt:variant>
      <vt:variant>
        <vt:lpwstr>_Unit_Antigen_Typing</vt:lpwstr>
      </vt:variant>
      <vt:variant>
        <vt:i4>2752572</vt:i4>
      </vt:variant>
      <vt:variant>
        <vt:i4>1767</vt:i4>
      </vt:variant>
      <vt:variant>
        <vt:i4>0</vt:i4>
      </vt:variant>
      <vt:variant>
        <vt:i4>5</vt:i4>
      </vt:variant>
      <vt:variant>
        <vt:lpwstr/>
      </vt:variant>
      <vt:variant>
        <vt:lpwstr>_Modify_Units</vt:lpwstr>
      </vt:variant>
      <vt:variant>
        <vt:i4>4063336</vt:i4>
      </vt:variant>
      <vt:variant>
        <vt:i4>1764</vt:i4>
      </vt:variant>
      <vt:variant>
        <vt:i4>0</vt:i4>
      </vt:variant>
      <vt:variant>
        <vt:i4>5</vt:i4>
      </vt:variant>
      <vt:variant>
        <vt:lpwstr/>
      </vt:variant>
      <vt:variant>
        <vt:lpwstr>_ABO/Rh_Confirmation</vt:lpwstr>
      </vt:variant>
      <vt:variant>
        <vt:i4>6225993</vt:i4>
      </vt:variant>
      <vt:variant>
        <vt:i4>1761</vt:i4>
      </vt:variant>
      <vt:variant>
        <vt:i4>0</vt:i4>
      </vt:variant>
      <vt:variant>
        <vt:i4>5</vt:i4>
      </vt:variant>
      <vt:variant>
        <vt:lpwstr/>
      </vt:variant>
      <vt:variant>
        <vt:lpwstr>_Incoming_Shipment</vt:lpwstr>
      </vt:variant>
      <vt:variant>
        <vt:i4>6094935</vt:i4>
      </vt:variant>
      <vt:variant>
        <vt:i4>1758</vt:i4>
      </vt:variant>
      <vt:variant>
        <vt:i4>0</vt:i4>
      </vt:variant>
      <vt:variant>
        <vt:i4>5</vt:i4>
      </vt:variant>
      <vt:variant>
        <vt:lpwstr/>
      </vt:variant>
      <vt:variant>
        <vt:lpwstr>_Enter_Daily_QC_Results</vt:lpwstr>
      </vt:variant>
      <vt:variant>
        <vt:i4>5111883</vt:i4>
      </vt:variant>
      <vt:variant>
        <vt:i4>1755</vt:i4>
      </vt:variant>
      <vt:variant>
        <vt:i4>0</vt:i4>
      </vt:variant>
      <vt:variant>
        <vt:i4>5</vt:i4>
      </vt:variant>
      <vt:variant>
        <vt:lpwstr/>
      </vt:variant>
      <vt:variant>
        <vt:lpwstr>_Log_In_Reagents,_Update Inventory, </vt:lpwstr>
      </vt:variant>
      <vt:variant>
        <vt:i4>5963785</vt:i4>
      </vt:variant>
      <vt:variant>
        <vt:i4>1563</vt:i4>
      </vt:variant>
      <vt:variant>
        <vt:i4>0</vt:i4>
      </vt:variant>
      <vt:variant>
        <vt:i4>5</vt:i4>
      </vt:variant>
      <vt:variant>
        <vt:lpwstr>https://www.va.gov/vdl/application.asp?appid=182</vt:lpwstr>
      </vt:variant>
      <vt:variant>
        <vt:lpwstr/>
      </vt:variant>
      <vt:variant>
        <vt:i4>5898259</vt:i4>
      </vt:variant>
      <vt:variant>
        <vt:i4>1560</vt:i4>
      </vt:variant>
      <vt:variant>
        <vt:i4>0</vt:i4>
      </vt:variant>
      <vt:variant>
        <vt:i4>5</vt:i4>
      </vt:variant>
      <vt:variant>
        <vt:lpwstr>http://vaww.oed.portal.va.gov/projects/vbecs/default.aspx</vt:lpwstr>
      </vt:variant>
      <vt:variant>
        <vt:lpwstr/>
      </vt:variant>
      <vt:variant>
        <vt:i4>1900592</vt:i4>
      </vt:variant>
      <vt:variant>
        <vt:i4>1392</vt:i4>
      </vt:variant>
      <vt:variant>
        <vt:i4>0</vt:i4>
      </vt:variant>
      <vt:variant>
        <vt:i4>5</vt:i4>
      </vt:variant>
      <vt:variant>
        <vt:lpwstr>http://www.foia.va.gov/FOIA_Offices.asp</vt:lpwstr>
      </vt:variant>
      <vt:variant>
        <vt:lpwstr/>
      </vt:variant>
      <vt:variant>
        <vt:i4>1441840</vt:i4>
      </vt:variant>
      <vt:variant>
        <vt:i4>1382</vt:i4>
      </vt:variant>
      <vt:variant>
        <vt:i4>0</vt:i4>
      </vt:variant>
      <vt:variant>
        <vt:i4>5</vt:i4>
      </vt:variant>
      <vt:variant>
        <vt:lpwstr/>
      </vt:variant>
      <vt:variant>
        <vt:lpwstr>_Toc510071213</vt:lpwstr>
      </vt:variant>
      <vt:variant>
        <vt:i4>1441840</vt:i4>
      </vt:variant>
      <vt:variant>
        <vt:i4>1376</vt:i4>
      </vt:variant>
      <vt:variant>
        <vt:i4>0</vt:i4>
      </vt:variant>
      <vt:variant>
        <vt:i4>5</vt:i4>
      </vt:variant>
      <vt:variant>
        <vt:lpwstr/>
      </vt:variant>
      <vt:variant>
        <vt:lpwstr>_Toc510071212</vt:lpwstr>
      </vt:variant>
      <vt:variant>
        <vt:i4>1441840</vt:i4>
      </vt:variant>
      <vt:variant>
        <vt:i4>1370</vt:i4>
      </vt:variant>
      <vt:variant>
        <vt:i4>0</vt:i4>
      </vt:variant>
      <vt:variant>
        <vt:i4>5</vt:i4>
      </vt:variant>
      <vt:variant>
        <vt:lpwstr/>
      </vt:variant>
      <vt:variant>
        <vt:lpwstr>_Toc510071211</vt:lpwstr>
      </vt:variant>
      <vt:variant>
        <vt:i4>1441840</vt:i4>
      </vt:variant>
      <vt:variant>
        <vt:i4>1364</vt:i4>
      </vt:variant>
      <vt:variant>
        <vt:i4>0</vt:i4>
      </vt:variant>
      <vt:variant>
        <vt:i4>5</vt:i4>
      </vt:variant>
      <vt:variant>
        <vt:lpwstr/>
      </vt:variant>
      <vt:variant>
        <vt:lpwstr>_Toc510071210</vt:lpwstr>
      </vt:variant>
      <vt:variant>
        <vt:i4>1507376</vt:i4>
      </vt:variant>
      <vt:variant>
        <vt:i4>1358</vt:i4>
      </vt:variant>
      <vt:variant>
        <vt:i4>0</vt:i4>
      </vt:variant>
      <vt:variant>
        <vt:i4>5</vt:i4>
      </vt:variant>
      <vt:variant>
        <vt:lpwstr/>
      </vt:variant>
      <vt:variant>
        <vt:lpwstr>_Toc510071209</vt:lpwstr>
      </vt:variant>
      <vt:variant>
        <vt:i4>1507376</vt:i4>
      </vt:variant>
      <vt:variant>
        <vt:i4>1352</vt:i4>
      </vt:variant>
      <vt:variant>
        <vt:i4>0</vt:i4>
      </vt:variant>
      <vt:variant>
        <vt:i4>5</vt:i4>
      </vt:variant>
      <vt:variant>
        <vt:lpwstr/>
      </vt:variant>
      <vt:variant>
        <vt:lpwstr>_Toc510071208</vt:lpwstr>
      </vt:variant>
      <vt:variant>
        <vt:i4>1507376</vt:i4>
      </vt:variant>
      <vt:variant>
        <vt:i4>1346</vt:i4>
      </vt:variant>
      <vt:variant>
        <vt:i4>0</vt:i4>
      </vt:variant>
      <vt:variant>
        <vt:i4>5</vt:i4>
      </vt:variant>
      <vt:variant>
        <vt:lpwstr/>
      </vt:variant>
      <vt:variant>
        <vt:lpwstr>_Toc510071207</vt:lpwstr>
      </vt:variant>
      <vt:variant>
        <vt:i4>1507376</vt:i4>
      </vt:variant>
      <vt:variant>
        <vt:i4>1340</vt:i4>
      </vt:variant>
      <vt:variant>
        <vt:i4>0</vt:i4>
      </vt:variant>
      <vt:variant>
        <vt:i4>5</vt:i4>
      </vt:variant>
      <vt:variant>
        <vt:lpwstr/>
      </vt:variant>
      <vt:variant>
        <vt:lpwstr>_Toc510071206</vt:lpwstr>
      </vt:variant>
      <vt:variant>
        <vt:i4>1507376</vt:i4>
      </vt:variant>
      <vt:variant>
        <vt:i4>1334</vt:i4>
      </vt:variant>
      <vt:variant>
        <vt:i4>0</vt:i4>
      </vt:variant>
      <vt:variant>
        <vt:i4>5</vt:i4>
      </vt:variant>
      <vt:variant>
        <vt:lpwstr/>
      </vt:variant>
      <vt:variant>
        <vt:lpwstr>_Toc510071205</vt:lpwstr>
      </vt:variant>
      <vt:variant>
        <vt:i4>1507376</vt:i4>
      </vt:variant>
      <vt:variant>
        <vt:i4>1328</vt:i4>
      </vt:variant>
      <vt:variant>
        <vt:i4>0</vt:i4>
      </vt:variant>
      <vt:variant>
        <vt:i4>5</vt:i4>
      </vt:variant>
      <vt:variant>
        <vt:lpwstr/>
      </vt:variant>
      <vt:variant>
        <vt:lpwstr>_Toc510071204</vt:lpwstr>
      </vt:variant>
      <vt:variant>
        <vt:i4>1507376</vt:i4>
      </vt:variant>
      <vt:variant>
        <vt:i4>1322</vt:i4>
      </vt:variant>
      <vt:variant>
        <vt:i4>0</vt:i4>
      </vt:variant>
      <vt:variant>
        <vt:i4>5</vt:i4>
      </vt:variant>
      <vt:variant>
        <vt:lpwstr/>
      </vt:variant>
      <vt:variant>
        <vt:lpwstr>_Toc510071203</vt:lpwstr>
      </vt:variant>
      <vt:variant>
        <vt:i4>1507376</vt:i4>
      </vt:variant>
      <vt:variant>
        <vt:i4>1316</vt:i4>
      </vt:variant>
      <vt:variant>
        <vt:i4>0</vt:i4>
      </vt:variant>
      <vt:variant>
        <vt:i4>5</vt:i4>
      </vt:variant>
      <vt:variant>
        <vt:lpwstr/>
      </vt:variant>
      <vt:variant>
        <vt:lpwstr>_Toc510071202</vt:lpwstr>
      </vt:variant>
      <vt:variant>
        <vt:i4>1507376</vt:i4>
      </vt:variant>
      <vt:variant>
        <vt:i4>1310</vt:i4>
      </vt:variant>
      <vt:variant>
        <vt:i4>0</vt:i4>
      </vt:variant>
      <vt:variant>
        <vt:i4>5</vt:i4>
      </vt:variant>
      <vt:variant>
        <vt:lpwstr/>
      </vt:variant>
      <vt:variant>
        <vt:lpwstr>_Toc510071201</vt:lpwstr>
      </vt:variant>
      <vt:variant>
        <vt:i4>1507376</vt:i4>
      </vt:variant>
      <vt:variant>
        <vt:i4>1304</vt:i4>
      </vt:variant>
      <vt:variant>
        <vt:i4>0</vt:i4>
      </vt:variant>
      <vt:variant>
        <vt:i4>5</vt:i4>
      </vt:variant>
      <vt:variant>
        <vt:lpwstr/>
      </vt:variant>
      <vt:variant>
        <vt:lpwstr>_Toc510071200</vt:lpwstr>
      </vt:variant>
      <vt:variant>
        <vt:i4>1966131</vt:i4>
      </vt:variant>
      <vt:variant>
        <vt:i4>1298</vt:i4>
      </vt:variant>
      <vt:variant>
        <vt:i4>0</vt:i4>
      </vt:variant>
      <vt:variant>
        <vt:i4>5</vt:i4>
      </vt:variant>
      <vt:variant>
        <vt:lpwstr/>
      </vt:variant>
      <vt:variant>
        <vt:lpwstr>_Toc510071199</vt:lpwstr>
      </vt:variant>
      <vt:variant>
        <vt:i4>1966131</vt:i4>
      </vt:variant>
      <vt:variant>
        <vt:i4>1292</vt:i4>
      </vt:variant>
      <vt:variant>
        <vt:i4>0</vt:i4>
      </vt:variant>
      <vt:variant>
        <vt:i4>5</vt:i4>
      </vt:variant>
      <vt:variant>
        <vt:lpwstr/>
      </vt:variant>
      <vt:variant>
        <vt:lpwstr>_Toc510071198</vt:lpwstr>
      </vt:variant>
      <vt:variant>
        <vt:i4>1966131</vt:i4>
      </vt:variant>
      <vt:variant>
        <vt:i4>1286</vt:i4>
      </vt:variant>
      <vt:variant>
        <vt:i4>0</vt:i4>
      </vt:variant>
      <vt:variant>
        <vt:i4>5</vt:i4>
      </vt:variant>
      <vt:variant>
        <vt:lpwstr/>
      </vt:variant>
      <vt:variant>
        <vt:lpwstr>_Toc510071197</vt:lpwstr>
      </vt:variant>
      <vt:variant>
        <vt:i4>1966131</vt:i4>
      </vt:variant>
      <vt:variant>
        <vt:i4>1280</vt:i4>
      </vt:variant>
      <vt:variant>
        <vt:i4>0</vt:i4>
      </vt:variant>
      <vt:variant>
        <vt:i4>5</vt:i4>
      </vt:variant>
      <vt:variant>
        <vt:lpwstr/>
      </vt:variant>
      <vt:variant>
        <vt:lpwstr>_Toc510071196</vt:lpwstr>
      </vt:variant>
      <vt:variant>
        <vt:i4>1966131</vt:i4>
      </vt:variant>
      <vt:variant>
        <vt:i4>1274</vt:i4>
      </vt:variant>
      <vt:variant>
        <vt:i4>0</vt:i4>
      </vt:variant>
      <vt:variant>
        <vt:i4>5</vt:i4>
      </vt:variant>
      <vt:variant>
        <vt:lpwstr/>
      </vt:variant>
      <vt:variant>
        <vt:lpwstr>_Toc510071195</vt:lpwstr>
      </vt:variant>
      <vt:variant>
        <vt:i4>1966131</vt:i4>
      </vt:variant>
      <vt:variant>
        <vt:i4>1268</vt:i4>
      </vt:variant>
      <vt:variant>
        <vt:i4>0</vt:i4>
      </vt:variant>
      <vt:variant>
        <vt:i4>5</vt:i4>
      </vt:variant>
      <vt:variant>
        <vt:lpwstr/>
      </vt:variant>
      <vt:variant>
        <vt:lpwstr>_Toc510071194</vt:lpwstr>
      </vt:variant>
      <vt:variant>
        <vt:i4>1966131</vt:i4>
      </vt:variant>
      <vt:variant>
        <vt:i4>1262</vt:i4>
      </vt:variant>
      <vt:variant>
        <vt:i4>0</vt:i4>
      </vt:variant>
      <vt:variant>
        <vt:i4>5</vt:i4>
      </vt:variant>
      <vt:variant>
        <vt:lpwstr/>
      </vt:variant>
      <vt:variant>
        <vt:lpwstr>_Toc510071193</vt:lpwstr>
      </vt:variant>
      <vt:variant>
        <vt:i4>1966131</vt:i4>
      </vt:variant>
      <vt:variant>
        <vt:i4>1256</vt:i4>
      </vt:variant>
      <vt:variant>
        <vt:i4>0</vt:i4>
      </vt:variant>
      <vt:variant>
        <vt:i4>5</vt:i4>
      </vt:variant>
      <vt:variant>
        <vt:lpwstr/>
      </vt:variant>
      <vt:variant>
        <vt:lpwstr>_Toc510071192</vt:lpwstr>
      </vt:variant>
      <vt:variant>
        <vt:i4>1966131</vt:i4>
      </vt:variant>
      <vt:variant>
        <vt:i4>1250</vt:i4>
      </vt:variant>
      <vt:variant>
        <vt:i4>0</vt:i4>
      </vt:variant>
      <vt:variant>
        <vt:i4>5</vt:i4>
      </vt:variant>
      <vt:variant>
        <vt:lpwstr/>
      </vt:variant>
      <vt:variant>
        <vt:lpwstr>_Toc510071191</vt:lpwstr>
      </vt:variant>
      <vt:variant>
        <vt:i4>1966131</vt:i4>
      </vt:variant>
      <vt:variant>
        <vt:i4>1244</vt:i4>
      </vt:variant>
      <vt:variant>
        <vt:i4>0</vt:i4>
      </vt:variant>
      <vt:variant>
        <vt:i4>5</vt:i4>
      </vt:variant>
      <vt:variant>
        <vt:lpwstr/>
      </vt:variant>
      <vt:variant>
        <vt:lpwstr>_Toc510071190</vt:lpwstr>
      </vt:variant>
      <vt:variant>
        <vt:i4>2031667</vt:i4>
      </vt:variant>
      <vt:variant>
        <vt:i4>1238</vt:i4>
      </vt:variant>
      <vt:variant>
        <vt:i4>0</vt:i4>
      </vt:variant>
      <vt:variant>
        <vt:i4>5</vt:i4>
      </vt:variant>
      <vt:variant>
        <vt:lpwstr/>
      </vt:variant>
      <vt:variant>
        <vt:lpwstr>_Toc510071189</vt:lpwstr>
      </vt:variant>
      <vt:variant>
        <vt:i4>2031667</vt:i4>
      </vt:variant>
      <vt:variant>
        <vt:i4>1232</vt:i4>
      </vt:variant>
      <vt:variant>
        <vt:i4>0</vt:i4>
      </vt:variant>
      <vt:variant>
        <vt:i4>5</vt:i4>
      </vt:variant>
      <vt:variant>
        <vt:lpwstr/>
      </vt:variant>
      <vt:variant>
        <vt:lpwstr>_Toc510071188</vt:lpwstr>
      </vt:variant>
      <vt:variant>
        <vt:i4>2031667</vt:i4>
      </vt:variant>
      <vt:variant>
        <vt:i4>1226</vt:i4>
      </vt:variant>
      <vt:variant>
        <vt:i4>0</vt:i4>
      </vt:variant>
      <vt:variant>
        <vt:i4>5</vt:i4>
      </vt:variant>
      <vt:variant>
        <vt:lpwstr/>
      </vt:variant>
      <vt:variant>
        <vt:lpwstr>_Toc510071187</vt:lpwstr>
      </vt:variant>
      <vt:variant>
        <vt:i4>2031667</vt:i4>
      </vt:variant>
      <vt:variant>
        <vt:i4>1220</vt:i4>
      </vt:variant>
      <vt:variant>
        <vt:i4>0</vt:i4>
      </vt:variant>
      <vt:variant>
        <vt:i4>5</vt:i4>
      </vt:variant>
      <vt:variant>
        <vt:lpwstr/>
      </vt:variant>
      <vt:variant>
        <vt:lpwstr>_Toc510071186</vt:lpwstr>
      </vt:variant>
      <vt:variant>
        <vt:i4>2031667</vt:i4>
      </vt:variant>
      <vt:variant>
        <vt:i4>1214</vt:i4>
      </vt:variant>
      <vt:variant>
        <vt:i4>0</vt:i4>
      </vt:variant>
      <vt:variant>
        <vt:i4>5</vt:i4>
      </vt:variant>
      <vt:variant>
        <vt:lpwstr/>
      </vt:variant>
      <vt:variant>
        <vt:lpwstr>_Toc510071185</vt:lpwstr>
      </vt:variant>
      <vt:variant>
        <vt:i4>2031667</vt:i4>
      </vt:variant>
      <vt:variant>
        <vt:i4>1208</vt:i4>
      </vt:variant>
      <vt:variant>
        <vt:i4>0</vt:i4>
      </vt:variant>
      <vt:variant>
        <vt:i4>5</vt:i4>
      </vt:variant>
      <vt:variant>
        <vt:lpwstr/>
      </vt:variant>
      <vt:variant>
        <vt:lpwstr>_Toc510071184</vt:lpwstr>
      </vt:variant>
      <vt:variant>
        <vt:i4>2031667</vt:i4>
      </vt:variant>
      <vt:variant>
        <vt:i4>1202</vt:i4>
      </vt:variant>
      <vt:variant>
        <vt:i4>0</vt:i4>
      </vt:variant>
      <vt:variant>
        <vt:i4>5</vt:i4>
      </vt:variant>
      <vt:variant>
        <vt:lpwstr/>
      </vt:variant>
      <vt:variant>
        <vt:lpwstr>_Toc510071183</vt:lpwstr>
      </vt:variant>
      <vt:variant>
        <vt:i4>2031667</vt:i4>
      </vt:variant>
      <vt:variant>
        <vt:i4>1196</vt:i4>
      </vt:variant>
      <vt:variant>
        <vt:i4>0</vt:i4>
      </vt:variant>
      <vt:variant>
        <vt:i4>5</vt:i4>
      </vt:variant>
      <vt:variant>
        <vt:lpwstr/>
      </vt:variant>
      <vt:variant>
        <vt:lpwstr>_Toc510071182</vt:lpwstr>
      </vt:variant>
      <vt:variant>
        <vt:i4>2031667</vt:i4>
      </vt:variant>
      <vt:variant>
        <vt:i4>1190</vt:i4>
      </vt:variant>
      <vt:variant>
        <vt:i4>0</vt:i4>
      </vt:variant>
      <vt:variant>
        <vt:i4>5</vt:i4>
      </vt:variant>
      <vt:variant>
        <vt:lpwstr/>
      </vt:variant>
      <vt:variant>
        <vt:lpwstr>_Toc510071181</vt:lpwstr>
      </vt:variant>
      <vt:variant>
        <vt:i4>2031667</vt:i4>
      </vt:variant>
      <vt:variant>
        <vt:i4>1184</vt:i4>
      </vt:variant>
      <vt:variant>
        <vt:i4>0</vt:i4>
      </vt:variant>
      <vt:variant>
        <vt:i4>5</vt:i4>
      </vt:variant>
      <vt:variant>
        <vt:lpwstr/>
      </vt:variant>
      <vt:variant>
        <vt:lpwstr>_Toc510071180</vt:lpwstr>
      </vt:variant>
      <vt:variant>
        <vt:i4>1048627</vt:i4>
      </vt:variant>
      <vt:variant>
        <vt:i4>1178</vt:i4>
      </vt:variant>
      <vt:variant>
        <vt:i4>0</vt:i4>
      </vt:variant>
      <vt:variant>
        <vt:i4>5</vt:i4>
      </vt:variant>
      <vt:variant>
        <vt:lpwstr/>
      </vt:variant>
      <vt:variant>
        <vt:lpwstr>_Toc510071179</vt:lpwstr>
      </vt:variant>
      <vt:variant>
        <vt:i4>1048627</vt:i4>
      </vt:variant>
      <vt:variant>
        <vt:i4>1172</vt:i4>
      </vt:variant>
      <vt:variant>
        <vt:i4>0</vt:i4>
      </vt:variant>
      <vt:variant>
        <vt:i4>5</vt:i4>
      </vt:variant>
      <vt:variant>
        <vt:lpwstr/>
      </vt:variant>
      <vt:variant>
        <vt:lpwstr>_Toc510071178</vt:lpwstr>
      </vt:variant>
      <vt:variant>
        <vt:i4>1048627</vt:i4>
      </vt:variant>
      <vt:variant>
        <vt:i4>1166</vt:i4>
      </vt:variant>
      <vt:variant>
        <vt:i4>0</vt:i4>
      </vt:variant>
      <vt:variant>
        <vt:i4>5</vt:i4>
      </vt:variant>
      <vt:variant>
        <vt:lpwstr/>
      </vt:variant>
      <vt:variant>
        <vt:lpwstr>_Toc510071177</vt:lpwstr>
      </vt:variant>
      <vt:variant>
        <vt:i4>1048627</vt:i4>
      </vt:variant>
      <vt:variant>
        <vt:i4>1160</vt:i4>
      </vt:variant>
      <vt:variant>
        <vt:i4>0</vt:i4>
      </vt:variant>
      <vt:variant>
        <vt:i4>5</vt:i4>
      </vt:variant>
      <vt:variant>
        <vt:lpwstr/>
      </vt:variant>
      <vt:variant>
        <vt:lpwstr>_Toc510071176</vt:lpwstr>
      </vt:variant>
      <vt:variant>
        <vt:i4>1048627</vt:i4>
      </vt:variant>
      <vt:variant>
        <vt:i4>1154</vt:i4>
      </vt:variant>
      <vt:variant>
        <vt:i4>0</vt:i4>
      </vt:variant>
      <vt:variant>
        <vt:i4>5</vt:i4>
      </vt:variant>
      <vt:variant>
        <vt:lpwstr/>
      </vt:variant>
      <vt:variant>
        <vt:lpwstr>_Toc510071175</vt:lpwstr>
      </vt:variant>
      <vt:variant>
        <vt:i4>1048627</vt:i4>
      </vt:variant>
      <vt:variant>
        <vt:i4>1148</vt:i4>
      </vt:variant>
      <vt:variant>
        <vt:i4>0</vt:i4>
      </vt:variant>
      <vt:variant>
        <vt:i4>5</vt:i4>
      </vt:variant>
      <vt:variant>
        <vt:lpwstr/>
      </vt:variant>
      <vt:variant>
        <vt:lpwstr>_Toc510071174</vt:lpwstr>
      </vt:variant>
      <vt:variant>
        <vt:i4>1048627</vt:i4>
      </vt:variant>
      <vt:variant>
        <vt:i4>1142</vt:i4>
      </vt:variant>
      <vt:variant>
        <vt:i4>0</vt:i4>
      </vt:variant>
      <vt:variant>
        <vt:i4>5</vt:i4>
      </vt:variant>
      <vt:variant>
        <vt:lpwstr/>
      </vt:variant>
      <vt:variant>
        <vt:lpwstr>_Toc510071173</vt:lpwstr>
      </vt:variant>
      <vt:variant>
        <vt:i4>1048627</vt:i4>
      </vt:variant>
      <vt:variant>
        <vt:i4>1136</vt:i4>
      </vt:variant>
      <vt:variant>
        <vt:i4>0</vt:i4>
      </vt:variant>
      <vt:variant>
        <vt:i4>5</vt:i4>
      </vt:variant>
      <vt:variant>
        <vt:lpwstr/>
      </vt:variant>
      <vt:variant>
        <vt:lpwstr>_Toc510071172</vt:lpwstr>
      </vt:variant>
      <vt:variant>
        <vt:i4>1048627</vt:i4>
      </vt:variant>
      <vt:variant>
        <vt:i4>1130</vt:i4>
      </vt:variant>
      <vt:variant>
        <vt:i4>0</vt:i4>
      </vt:variant>
      <vt:variant>
        <vt:i4>5</vt:i4>
      </vt:variant>
      <vt:variant>
        <vt:lpwstr/>
      </vt:variant>
      <vt:variant>
        <vt:lpwstr>_Toc510071171</vt:lpwstr>
      </vt:variant>
      <vt:variant>
        <vt:i4>1048627</vt:i4>
      </vt:variant>
      <vt:variant>
        <vt:i4>1124</vt:i4>
      </vt:variant>
      <vt:variant>
        <vt:i4>0</vt:i4>
      </vt:variant>
      <vt:variant>
        <vt:i4>5</vt:i4>
      </vt:variant>
      <vt:variant>
        <vt:lpwstr/>
      </vt:variant>
      <vt:variant>
        <vt:lpwstr>_Toc510071170</vt:lpwstr>
      </vt:variant>
      <vt:variant>
        <vt:i4>1114163</vt:i4>
      </vt:variant>
      <vt:variant>
        <vt:i4>1118</vt:i4>
      </vt:variant>
      <vt:variant>
        <vt:i4>0</vt:i4>
      </vt:variant>
      <vt:variant>
        <vt:i4>5</vt:i4>
      </vt:variant>
      <vt:variant>
        <vt:lpwstr/>
      </vt:variant>
      <vt:variant>
        <vt:lpwstr>_Toc510071169</vt:lpwstr>
      </vt:variant>
      <vt:variant>
        <vt:i4>1114163</vt:i4>
      </vt:variant>
      <vt:variant>
        <vt:i4>1112</vt:i4>
      </vt:variant>
      <vt:variant>
        <vt:i4>0</vt:i4>
      </vt:variant>
      <vt:variant>
        <vt:i4>5</vt:i4>
      </vt:variant>
      <vt:variant>
        <vt:lpwstr/>
      </vt:variant>
      <vt:variant>
        <vt:lpwstr>_Toc510071168</vt:lpwstr>
      </vt:variant>
      <vt:variant>
        <vt:i4>1114163</vt:i4>
      </vt:variant>
      <vt:variant>
        <vt:i4>1106</vt:i4>
      </vt:variant>
      <vt:variant>
        <vt:i4>0</vt:i4>
      </vt:variant>
      <vt:variant>
        <vt:i4>5</vt:i4>
      </vt:variant>
      <vt:variant>
        <vt:lpwstr/>
      </vt:variant>
      <vt:variant>
        <vt:lpwstr>_Toc510071167</vt:lpwstr>
      </vt:variant>
      <vt:variant>
        <vt:i4>1114163</vt:i4>
      </vt:variant>
      <vt:variant>
        <vt:i4>1100</vt:i4>
      </vt:variant>
      <vt:variant>
        <vt:i4>0</vt:i4>
      </vt:variant>
      <vt:variant>
        <vt:i4>5</vt:i4>
      </vt:variant>
      <vt:variant>
        <vt:lpwstr/>
      </vt:variant>
      <vt:variant>
        <vt:lpwstr>_Toc510071166</vt:lpwstr>
      </vt:variant>
      <vt:variant>
        <vt:i4>1114163</vt:i4>
      </vt:variant>
      <vt:variant>
        <vt:i4>1094</vt:i4>
      </vt:variant>
      <vt:variant>
        <vt:i4>0</vt:i4>
      </vt:variant>
      <vt:variant>
        <vt:i4>5</vt:i4>
      </vt:variant>
      <vt:variant>
        <vt:lpwstr/>
      </vt:variant>
      <vt:variant>
        <vt:lpwstr>_Toc510071165</vt:lpwstr>
      </vt:variant>
      <vt:variant>
        <vt:i4>1114163</vt:i4>
      </vt:variant>
      <vt:variant>
        <vt:i4>1088</vt:i4>
      </vt:variant>
      <vt:variant>
        <vt:i4>0</vt:i4>
      </vt:variant>
      <vt:variant>
        <vt:i4>5</vt:i4>
      </vt:variant>
      <vt:variant>
        <vt:lpwstr/>
      </vt:variant>
      <vt:variant>
        <vt:lpwstr>_Toc510071164</vt:lpwstr>
      </vt:variant>
      <vt:variant>
        <vt:i4>1114163</vt:i4>
      </vt:variant>
      <vt:variant>
        <vt:i4>1082</vt:i4>
      </vt:variant>
      <vt:variant>
        <vt:i4>0</vt:i4>
      </vt:variant>
      <vt:variant>
        <vt:i4>5</vt:i4>
      </vt:variant>
      <vt:variant>
        <vt:lpwstr/>
      </vt:variant>
      <vt:variant>
        <vt:lpwstr>_Toc510071163</vt:lpwstr>
      </vt:variant>
      <vt:variant>
        <vt:i4>1114163</vt:i4>
      </vt:variant>
      <vt:variant>
        <vt:i4>1076</vt:i4>
      </vt:variant>
      <vt:variant>
        <vt:i4>0</vt:i4>
      </vt:variant>
      <vt:variant>
        <vt:i4>5</vt:i4>
      </vt:variant>
      <vt:variant>
        <vt:lpwstr/>
      </vt:variant>
      <vt:variant>
        <vt:lpwstr>_Toc510071162</vt:lpwstr>
      </vt:variant>
      <vt:variant>
        <vt:i4>1114163</vt:i4>
      </vt:variant>
      <vt:variant>
        <vt:i4>1070</vt:i4>
      </vt:variant>
      <vt:variant>
        <vt:i4>0</vt:i4>
      </vt:variant>
      <vt:variant>
        <vt:i4>5</vt:i4>
      </vt:variant>
      <vt:variant>
        <vt:lpwstr/>
      </vt:variant>
      <vt:variant>
        <vt:lpwstr>_Toc510071161</vt:lpwstr>
      </vt:variant>
      <vt:variant>
        <vt:i4>1114163</vt:i4>
      </vt:variant>
      <vt:variant>
        <vt:i4>1064</vt:i4>
      </vt:variant>
      <vt:variant>
        <vt:i4>0</vt:i4>
      </vt:variant>
      <vt:variant>
        <vt:i4>5</vt:i4>
      </vt:variant>
      <vt:variant>
        <vt:lpwstr/>
      </vt:variant>
      <vt:variant>
        <vt:lpwstr>_Toc510071160</vt:lpwstr>
      </vt:variant>
      <vt:variant>
        <vt:i4>1179699</vt:i4>
      </vt:variant>
      <vt:variant>
        <vt:i4>1058</vt:i4>
      </vt:variant>
      <vt:variant>
        <vt:i4>0</vt:i4>
      </vt:variant>
      <vt:variant>
        <vt:i4>5</vt:i4>
      </vt:variant>
      <vt:variant>
        <vt:lpwstr/>
      </vt:variant>
      <vt:variant>
        <vt:lpwstr>_Toc510071159</vt:lpwstr>
      </vt:variant>
      <vt:variant>
        <vt:i4>1179699</vt:i4>
      </vt:variant>
      <vt:variant>
        <vt:i4>1052</vt:i4>
      </vt:variant>
      <vt:variant>
        <vt:i4>0</vt:i4>
      </vt:variant>
      <vt:variant>
        <vt:i4>5</vt:i4>
      </vt:variant>
      <vt:variant>
        <vt:lpwstr/>
      </vt:variant>
      <vt:variant>
        <vt:lpwstr>_Toc510071158</vt:lpwstr>
      </vt:variant>
      <vt:variant>
        <vt:i4>1179699</vt:i4>
      </vt:variant>
      <vt:variant>
        <vt:i4>1046</vt:i4>
      </vt:variant>
      <vt:variant>
        <vt:i4>0</vt:i4>
      </vt:variant>
      <vt:variant>
        <vt:i4>5</vt:i4>
      </vt:variant>
      <vt:variant>
        <vt:lpwstr/>
      </vt:variant>
      <vt:variant>
        <vt:lpwstr>_Toc510071157</vt:lpwstr>
      </vt:variant>
      <vt:variant>
        <vt:i4>1179699</vt:i4>
      </vt:variant>
      <vt:variant>
        <vt:i4>1040</vt:i4>
      </vt:variant>
      <vt:variant>
        <vt:i4>0</vt:i4>
      </vt:variant>
      <vt:variant>
        <vt:i4>5</vt:i4>
      </vt:variant>
      <vt:variant>
        <vt:lpwstr/>
      </vt:variant>
      <vt:variant>
        <vt:lpwstr>_Toc510071156</vt:lpwstr>
      </vt:variant>
      <vt:variant>
        <vt:i4>1179699</vt:i4>
      </vt:variant>
      <vt:variant>
        <vt:i4>1034</vt:i4>
      </vt:variant>
      <vt:variant>
        <vt:i4>0</vt:i4>
      </vt:variant>
      <vt:variant>
        <vt:i4>5</vt:i4>
      </vt:variant>
      <vt:variant>
        <vt:lpwstr/>
      </vt:variant>
      <vt:variant>
        <vt:lpwstr>_Toc510071155</vt:lpwstr>
      </vt:variant>
      <vt:variant>
        <vt:i4>1179699</vt:i4>
      </vt:variant>
      <vt:variant>
        <vt:i4>1028</vt:i4>
      </vt:variant>
      <vt:variant>
        <vt:i4>0</vt:i4>
      </vt:variant>
      <vt:variant>
        <vt:i4>5</vt:i4>
      </vt:variant>
      <vt:variant>
        <vt:lpwstr/>
      </vt:variant>
      <vt:variant>
        <vt:lpwstr>_Toc510071154</vt:lpwstr>
      </vt:variant>
      <vt:variant>
        <vt:i4>1179699</vt:i4>
      </vt:variant>
      <vt:variant>
        <vt:i4>1022</vt:i4>
      </vt:variant>
      <vt:variant>
        <vt:i4>0</vt:i4>
      </vt:variant>
      <vt:variant>
        <vt:i4>5</vt:i4>
      </vt:variant>
      <vt:variant>
        <vt:lpwstr/>
      </vt:variant>
      <vt:variant>
        <vt:lpwstr>_Toc510071153</vt:lpwstr>
      </vt:variant>
      <vt:variant>
        <vt:i4>1179699</vt:i4>
      </vt:variant>
      <vt:variant>
        <vt:i4>1016</vt:i4>
      </vt:variant>
      <vt:variant>
        <vt:i4>0</vt:i4>
      </vt:variant>
      <vt:variant>
        <vt:i4>5</vt:i4>
      </vt:variant>
      <vt:variant>
        <vt:lpwstr/>
      </vt:variant>
      <vt:variant>
        <vt:lpwstr>_Toc510071152</vt:lpwstr>
      </vt:variant>
      <vt:variant>
        <vt:i4>1179699</vt:i4>
      </vt:variant>
      <vt:variant>
        <vt:i4>1010</vt:i4>
      </vt:variant>
      <vt:variant>
        <vt:i4>0</vt:i4>
      </vt:variant>
      <vt:variant>
        <vt:i4>5</vt:i4>
      </vt:variant>
      <vt:variant>
        <vt:lpwstr/>
      </vt:variant>
      <vt:variant>
        <vt:lpwstr>_Toc510071151</vt:lpwstr>
      </vt:variant>
      <vt:variant>
        <vt:i4>1179699</vt:i4>
      </vt:variant>
      <vt:variant>
        <vt:i4>1004</vt:i4>
      </vt:variant>
      <vt:variant>
        <vt:i4>0</vt:i4>
      </vt:variant>
      <vt:variant>
        <vt:i4>5</vt:i4>
      </vt:variant>
      <vt:variant>
        <vt:lpwstr/>
      </vt:variant>
      <vt:variant>
        <vt:lpwstr>_Toc510071150</vt:lpwstr>
      </vt:variant>
      <vt:variant>
        <vt:i4>1245235</vt:i4>
      </vt:variant>
      <vt:variant>
        <vt:i4>998</vt:i4>
      </vt:variant>
      <vt:variant>
        <vt:i4>0</vt:i4>
      </vt:variant>
      <vt:variant>
        <vt:i4>5</vt:i4>
      </vt:variant>
      <vt:variant>
        <vt:lpwstr/>
      </vt:variant>
      <vt:variant>
        <vt:lpwstr>_Toc510071149</vt:lpwstr>
      </vt:variant>
      <vt:variant>
        <vt:i4>1245235</vt:i4>
      </vt:variant>
      <vt:variant>
        <vt:i4>992</vt:i4>
      </vt:variant>
      <vt:variant>
        <vt:i4>0</vt:i4>
      </vt:variant>
      <vt:variant>
        <vt:i4>5</vt:i4>
      </vt:variant>
      <vt:variant>
        <vt:lpwstr/>
      </vt:variant>
      <vt:variant>
        <vt:lpwstr>_Toc510071148</vt:lpwstr>
      </vt:variant>
      <vt:variant>
        <vt:i4>1245235</vt:i4>
      </vt:variant>
      <vt:variant>
        <vt:i4>986</vt:i4>
      </vt:variant>
      <vt:variant>
        <vt:i4>0</vt:i4>
      </vt:variant>
      <vt:variant>
        <vt:i4>5</vt:i4>
      </vt:variant>
      <vt:variant>
        <vt:lpwstr/>
      </vt:variant>
      <vt:variant>
        <vt:lpwstr>_Toc510071147</vt:lpwstr>
      </vt:variant>
      <vt:variant>
        <vt:i4>1245235</vt:i4>
      </vt:variant>
      <vt:variant>
        <vt:i4>980</vt:i4>
      </vt:variant>
      <vt:variant>
        <vt:i4>0</vt:i4>
      </vt:variant>
      <vt:variant>
        <vt:i4>5</vt:i4>
      </vt:variant>
      <vt:variant>
        <vt:lpwstr/>
      </vt:variant>
      <vt:variant>
        <vt:lpwstr>_Toc510071146</vt:lpwstr>
      </vt:variant>
      <vt:variant>
        <vt:i4>1245235</vt:i4>
      </vt:variant>
      <vt:variant>
        <vt:i4>974</vt:i4>
      </vt:variant>
      <vt:variant>
        <vt:i4>0</vt:i4>
      </vt:variant>
      <vt:variant>
        <vt:i4>5</vt:i4>
      </vt:variant>
      <vt:variant>
        <vt:lpwstr/>
      </vt:variant>
      <vt:variant>
        <vt:lpwstr>_Toc510071145</vt:lpwstr>
      </vt:variant>
      <vt:variant>
        <vt:i4>1245235</vt:i4>
      </vt:variant>
      <vt:variant>
        <vt:i4>968</vt:i4>
      </vt:variant>
      <vt:variant>
        <vt:i4>0</vt:i4>
      </vt:variant>
      <vt:variant>
        <vt:i4>5</vt:i4>
      </vt:variant>
      <vt:variant>
        <vt:lpwstr/>
      </vt:variant>
      <vt:variant>
        <vt:lpwstr>_Toc510071144</vt:lpwstr>
      </vt:variant>
      <vt:variant>
        <vt:i4>1245235</vt:i4>
      </vt:variant>
      <vt:variant>
        <vt:i4>962</vt:i4>
      </vt:variant>
      <vt:variant>
        <vt:i4>0</vt:i4>
      </vt:variant>
      <vt:variant>
        <vt:i4>5</vt:i4>
      </vt:variant>
      <vt:variant>
        <vt:lpwstr/>
      </vt:variant>
      <vt:variant>
        <vt:lpwstr>_Toc510071143</vt:lpwstr>
      </vt:variant>
      <vt:variant>
        <vt:i4>1245235</vt:i4>
      </vt:variant>
      <vt:variant>
        <vt:i4>956</vt:i4>
      </vt:variant>
      <vt:variant>
        <vt:i4>0</vt:i4>
      </vt:variant>
      <vt:variant>
        <vt:i4>5</vt:i4>
      </vt:variant>
      <vt:variant>
        <vt:lpwstr/>
      </vt:variant>
      <vt:variant>
        <vt:lpwstr>_Toc510071142</vt:lpwstr>
      </vt:variant>
      <vt:variant>
        <vt:i4>1245235</vt:i4>
      </vt:variant>
      <vt:variant>
        <vt:i4>950</vt:i4>
      </vt:variant>
      <vt:variant>
        <vt:i4>0</vt:i4>
      </vt:variant>
      <vt:variant>
        <vt:i4>5</vt:i4>
      </vt:variant>
      <vt:variant>
        <vt:lpwstr/>
      </vt:variant>
      <vt:variant>
        <vt:lpwstr>_Toc510071141</vt:lpwstr>
      </vt:variant>
      <vt:variant>
        <vt:i4>1245235</vt:i4>
      </vt:variant>
      <vt:variant>
        <vt:i4>944</vt:i4>
      </vt:variant>
      <vt:variant>
        <vt:i4>0</vt:i4>
      </vt:variant>
      <vt:variant>
        <vt:i4>5</vt:i4>
      </vt:variant>
      <vt:variant>
        <vt:lpwstr/>
      </vt:variant>
      <vt:variant>
        <vt:lpwstr>_Toc510071140</vt:lpwstr>
      </vt:variant>
      <vt:variant>
        <vt:i4>1310771</vt:i4>
      </vt:variant>
      <vt:variant>
        <vt:i4>938</vt:i4>
      </vt:variant>
      <vt:variant>
        <vt:i4>0</vt:i4>
      </vt:variant>
      <vt:variant>
        <vt:i4>5</vt:i4>
      </vt:variant>
      <vt:variant>
        <vt:lpwstr/>
      </vt:variant>
      <vt:variant>
        <vt:lpwstr>_Toc510071139</vt:lpwstr>
      </vt:variant>
      <vt:variant>
        <vt:i4>1310771</vt:i4>
      </vt:variant>
      <vt:variant>
        <vt:i4>932</vt:i4>
      </vt:variant>
      <vt:variant>
        <vt:i4>0</vt:i4>
      </vt:variant>
      <vt:variant>
        <vt:i4>5</vt:i4>
      </vt:variant>
      <vt:variant>
        <vt:lpwstr/>
      </vt:variant>
      <vt:variant>
        <vt:lpwstr>_Toc510071138</vt:lpwstr>
      </vt:variant>
      <vt:variant>
        <vt:i4>1310771</vt:i4>
      </vt:variant>
      <vt:variant>
        <vt:i4>926</vt:i4>
      </vt:variant>
      <vt:variant>
        <vt:i4>0</vt:i4>
      </vt:variant>
      <vt:variant>
        <vt:i4>5</vt:i4>
      </vt:variant>
      <vt:variant>
        <vt:lpwstr/>
      </vt:variant>
      <vt:variant>
        <vt:lpwstr>_Toc510071137</vt:lpwstr>
      </vt:variant>
      <vt:variant>
        <vt:i4>1310771</vt:i4>
      </vt:variant>
      <vt:variant>
        <vt:i4>920</vt:i4>
      </vt:variant>
      <vt:variant>
        <vt:i4>0</vt:i4>
      </vt:variant>
      <vt:variant>
        <vt:i4>5</vt:i4>
      </vt:variant>
      <vt:variant>
        <vt:lpwstr/>
      </vt:variant>
      <vt:variant>
        <vt:lpwstr>_Toc510071136</vt:lpwstr>
      </vt:variant>
      <vt:variant>
        <vt:i4>1310771</vt:i4>
      </vt:variant>
      <vt:variant>
        <vt:i4>914</vt:i4>
      </vt:variant>
      <vt:variant>
        <vt:i4>0</vt:i4>
      </vt:variant>
      <vt:variant>
        <vt:i4>5</vt:i4>
      </vt:variant>
      <vt:variant>
        <vt:lpwstr/>
      </vt:variant>
      <vt:variant>
        <vt:lpwstr>_Toc510071135</vt:lpwstr>
      </vt:variant>
      <vt:variant>
        <vt:i4>1310771</vt:i4>
      </vt:variant>
      <vt:variant>
        <vt:i4>908</vt:i4>
      </vt:variant>
      <vt:variant>
        <vt:i4>0</vt:i4>
      </vt:variant>
      <vt:variant>
        <vt:i4>5</vt:i4>
      </vt:variant>
      <vt:variant>
        <vt:lpwstr/>
      </vt:variant>
      <vt:variant>
        <vt:lpwstr>_Toc510071134</vt:lpwstr>
      </vt:variant>
      <vt:variant>
        <vt:i4>1310771</vt:i4>
      </vt:variant>
      <vt:variant>
        <vt:i4>902</vt:i4>
      </vt:variant>
      <vt:variant>
        <vt:i4>0</vt:i4>
      </vt:variant>
      <vt:variant>
        <vt:i4>5</vt:i4>
      </vt:variant>
      <vt:variant>
        <vt:lpwstr/>
      </vt:variant>
      <vt:variant>
        <vt:lpwstr>_Toc510071133</vt:lpwstr>
      </vt:variant>
      <vt:variant>
        <vt:i4>1310771</vt:i4>
      </vt:variant>
      <vt:variant>
        <vt:i4>896</vt:i4>
      </vt:variant>
      <vt:variant>
        <vt:i4>0</vt:i4>
      </vt:variant>
      <vt:variant>
        <vt:i4>5</vt:i4>
      </vt:variant>
      <vt:variant>
        <vt:lpwstr/>
      </vt:variant>
      <vt:variant>
        <vt:lpwstr>_Toc510071132</vt:lpwstr>
      </vt:variant>
      <vt:variant>
        <vt:i4>1310771</vt:i4>
      </vt:variant>
      <vt:variant>
        <vt:i4>890</vt:i4>
      </vt:variant>
      <vt:variant>
        <vt:i4>0</vt:i4>
      </vt:variant>
      <vt:variant>
        <vt:i4>5</vt:i4>
      </vt:variant>
      <vt:variant>
        <vt:lpwstr/>
      </vt:variant>
      <vt:variant>
        <vt:lpwstr>_Toc510071131</vt:lpwstr>
      </vt:variant>
      <vt:variant>
        <vt:i4>1310771</vt:i4>
      </vt:variant>
      <vt:variant>
        <vt:i4>884</vt:i4>
      </vt:variant>
      <vt:variant>
        <vt:i4>0</vt:i4>
      </vt:variant>
      <vt:variant>
        <vt:i4>5</vt:i4>
      </vt:variant>
      <vt:variant>
        <vt:lpwstr/>
      </vt:variant>
      <vt:variant>
        <vt:lpwstr>_Toc510071130</vt:lpwstr>
      </vt:variant>
      <vt:variant>
        <vt:i4>1376307</vt:i4>
      </vt:variant>
      <vt:variant>
        <vt:i4>878</vt:i4>
      </vt:variant>
      <vt:variant>
        <vt:i4>0</vt:i4>
      </vt:variant>
      <vt:variant>
        <vt:i4>5</vt:i4>
      </vt:variant>
      <vt:variant>
        <vt:lpwstr/>
      </vt:variant>
      <vt:variant>
        <vt:lpwstr>_Toc510071129</vt:lpwstr>
      </vt:variant>
      <vt:variant>
        <vt:i4>1376307</vt:i4>
      </vt:variant>
      <vt:variant>
        <vt:i4>872</vt:i4>
      </vt:variant>
      <vt:variant>
        <vt:i4>0</vt:i4>
      </vt:variant>
      <vt:variant>
        <vt:i4>5</vt:i4>
      </vt:variant>
      <vt:variant>
        <vt:lpwstr/>
      </vt:variant>
      <vt:variant>
        <vt:lpwstr>_Toc510071128</vt:lpwstr>
      </vt:variant>
      <vt:variant>
        <vt:i4>1376307</vt:i4>
      </vt:variant>
      <vt:variant>
        <vt:i4>866</vt:i4>
      </vt:variant>
      <vt:variant>
        <vt:i4>0</vt:i4>
      </vt:variant>
      <vt:variant>
        <vt:i4>5</vt:i4>
      </vt:variant>
      <vt:variant>
        <vt:lpwstr/>
      </vt:variant>
      <vt:variant>
        <vt:lpwstr>_Toc510071127</vt:lpwstr>
      </vt:variant>
      <vt:variant>
        <vt:i4>1376307</vt:i4>
      </vt:variant>
      <vt:variant>
        <vt:i4>860</vt:i4>
      </vt:variant>
      <vt:variant>
        <vt:i4>0</vt:i4>
      </vt:variant>
      <vt:variant>
        <vt:i4>5</vt:i4>
      </vt:variant>
      <vt:variant>
        <vt:lpwstr/>
      </vt:variant>
      <vt:variant>
        <vt:lpwstr>_Toc510071126</vt:lpwstr>
      </vt:variant>
      <vt:variant>
        <vt:i4>1376307</vt:i4>
      </vt:variant>
      <vt:variant>
        <vt:i4>854</vt:i4>
      </vt:variant>
      <vt:variant>
        <vt:i4>0</vt:i4>
      </vt:variant>
      <vt:variant>
        <vt:i4>5</vt:i4>
      </vt:variant>
      <vt:variant>
        <vt:lpwstr/>
      </vt:variant>
      <vt:variant>
        <vt:lpwstr>_Toc510071125</vt:lpwstr>
      </vt:variant>
      <vt:variant>
        <vt:i4>1376307</vt:i4>
      </vt:variant>
      <vt:variant>
        <vt:i4>848</vt:i4>
      </vt:variant>
      <vt:variant>
        <vt:i4>0</vt:i4>
      </vt:variant>
      <vt:variant>
        <vt:i4>5</vt:i4>
      </vt:variant>
      <vt:variant>
        <vt:lpwstr/>
      </vt:variant>
      <vt:variant>
        <vt:lpwstr>_Toc510071124</vt:lpwstr>
      </vt:variant>
      <vt:variant>
        <vt:i4>1376307</vt:i4>
      </vt:variant>
      <vt:variant>
        <vt:i4>842</vt:i4>
      </vt:variant>
      <vt:variant>
        <vt:i4>0</vt:i4>
      </vt:variant>
      <vt:variant>
        <vt:i4>5</vt:i4>
      </vt:variant>
      <vt:variant>
        <vt:lpwstr/>
      </vt:variant>
      <vt:variant>
        <vt:lpwstr>_Toc510071123</vt:lpwstr>
      </vt:variant>
      <vt:variant>
        <vt:i4>1376307</vt:i4>
      </vt:variant>
      <vt:variant>
        <vt:i4>836</vt:i4>
      </vt:variant>
      <vt:variant>
        <vt:i4>0</vt:i4>
      </vt:variant>
      <vt:variant>
        <vt:i4>5</vt:i4>
      </vt:variant>
      <vt:variant>
        <vt:lpwstr/>
      </vt:variant>
      <vt:variant>
        <vt:lpwstr>_Toc510071122</vt:lpwstr>
      </vt:variant>
      <vt:variant>
        <vt:i4>1376307</vt:i4>
      </vt:variant>
      <vt:variant>
        <vt:i4>830</vt:i4>
      </vt:variant>
      <vt:variant>
        <vt:i4>0</vt:i4>
      </vt:variant>
      <vt:variant>
        <vt:i4>5</vt:i4>
      </vt:variant>
      <vt:variant>
        <vt:lpwstr/>
      </vt:variant>
      <vt:variant>
        <vt:lpwstr>_Toc510071121</vt:lpwstr>
      </vt:variant>
      <vt:variant>
        <vt:i4>1376307</vt:i4>
      </vt:variant>
      <vt:variant>
        <vt:i4>824</vt:i4>
      </vt:variant>
      <vt:variant>
        <vt:i4>0</vt:i4>
      </vt:variant>
      <vt:variant>
        <vt:i4>5</vt:i4>
      </vt:variant>
      <vt:variant>
        <vt:lpwstr/>
      </vt:variant>
      <vt:variant>
        <vt:lpwstr>_Toc510071120</vt:lpwstr>
      </vt:variant>
      <vt:variant>
        <vt:i4>1441843</vt:i4>
      </vt:variant>
      <vt:variant>
        <vt:i4>818</vt:i4>
      </vt:variant>
      <vt:variant>
        <vt:i4>0</vt:i4>
      </vt:variant>
      <vt:variant>
        <vt:i4>5</vt:i4>
      </vt:variant>
      <vt:variant>
        <vt:lpwstr/>
      </vt:variant>
      <vt:variant>
        <vt:lpwstr>_Toc510071119</vt:lpwstr>
      </vt:variant>
      <vt:variant>
        <vt:i4>1441843</vt:i4>
      </vt:variant>
      <vt:variant>
        <vt:i4>812</vt:i4>
      </vt:variant>
      <vt:variant>
        <vt:i4>0</vt:i4>
      </vt:variant>
      <vt:variant>
        <vt:i4>5</vt:i4>
      </vt:variant>
      <vt:variant>
        <vt:lpwstr/>
      </vt:variant>
      <vt:variant>
        <vt:lpwstr>_Toc510071118</vt:lpwstr>
      </vt:variant>
      <vt:variant>
        <vt:i4>1441843</vt:i4>
      </vt:variant>
      <vt:variant>
        <vt:i4>806</vt:i4>
      </vt:variant>
      <vt:variant>
        <vt:i4>0</vt:i4>
      </vt:variant>
      <vt:variant>
        <vt:i4>5</vt:i4>
      </vt:variant>
      <vt:variant>
        <vt:lpwstr/>
      </vt:variant>
      <vt:variant>
        <vt:lpwstr>_Toc510071117</vt:lpwstr>
      </vt:variant>
      <vt:variant>
        <vt:i4>1441843</vt:i4>
      </vt:variant>
      <vt:variant>
        <vt:i4>800</vt:i4>
      </vt:variant>
      <vt:variant>
        <vt:i4>0</vt:i4>
      </vt:variant>
      <vt:variant>
        <vt:i4>5</vt:i4>
      </vt:variant>
      <vt:variant>
        <vt:lpwstr/>
      </vt:variant>
      <vt:variant>
        <vt:lpwstr>_Toc510071116</vt:lpwstr>
      </vt:variant>
      <vt:variant>
        <vt:i4>1441843</vt:i4>
      </vt:variant>
      <vt:variant>
        <vt:i4>794</vt:i4>
      </vt:variant>
      <vt:variant>
        <vt:i4>0</vt:i4>
      </vt:variant>
      <vt:variant>
        <vt:i4>5</vt:i4>
      </vt:variant>
      <vt:variant>
        <vt:lpwstr/>
      </vt:variant>
      <vt:variant>
        <vt:lpwstr>_Toc510071115</vt:lpwstr>
      </vt:variant>
      <vt:variant>
        <vt:i4>1441843</vt:i4>
      </vt:variant>
      <vt:variant>
        <vt:i4>788</vt:i4>
      </vt:variant>
      <vt:variant>
        <vt:i4>0</vt:i4>
      </vt:variant>
      <vt:variant>
        <vt:i4>5</vt:i4>
      </vt:variant>
      <vt:variant>
        <vt:lpwstr/>
      </vt:variant>
      <vt:variant>
        <vt:lpwstr>_Toc510071114</vt:lpwstr>
      </vt:variant>
      <vt:variant>
        <vt:i4>1441843</vt:i4>
      </vt:variant>
      <vt:variant>
        <vt:i4>782</vt:i4>
      </vt:variant>
      <vt:variant>
        <vt:i4>0</vt:i4>
      </vt:variant>
      <vt:variant>
        <vt:i4>5</vt:i4>
      </vt:variant>
      <vt:variant>
        <vt:lpwstr/>
      </vt:variant>
      <vt:variant>
        <vt:lpwstr>_Toc510071113</vt:lpwstr>
      </vt:variant>
      <vt:variant>
        <vt:i4>1441843</vt:i4>
      </vt:variant>
      <vt:variant>
        <vt:i4>776</vt:i4>
      </vt:variant>
      <vt:variant>
        <vt:i4>0</vt:i4>
      </vt:variant>
      <vt:variant>
        <vt:i4>5</vt:i4>
      </vt:variant>
      <vt:variant>
        <vt:lpwstr/>
      </vt:variant>
      <vt:variant>
        <vt:lpwstr>_Toc510071112</vt:lpwstr>
      </vt:variant>
      <vt:variant>
        <vt:i4>1441843</vt:i4>
      </vt:variant>
      <vt:variant>
        <vt:i4>770</vt:i4>
      </vt:variant>
      <vt:variant>
        <vt:i4>0</vt:i4>
      </vt:variant>
      <vt:variant>
        <vt:i4>5</vt:i4>
      </vt:variant>
      <vt:variant>
        <vt:lpwstr/>
      </vt:variant>
      <vt:variant>
        <vt:lpwstr>_Toc510071111</vt:lpwstr>
      </vt:variant>
      <vt:variant>
        <vt:i4>1441843</vt:i4>
      </vt:variant>
      <vt:variant>
        <vt:i4>764</vt:i4>
      </vt:variant>
      <vt:variant>
        <vt:i4>0</vt:i4>
      </vt:variant>
      <vt:variant>
        <vt:i4>5</vt:i4>
      </vt:variant>
      <vt:variant>
        <vt:lpwstr/>
      </vt:variant>
      <vt:variant>
        <vt:lpwstr>_Toc510071110</vt:lpwstr>
      </vt:variant>
      <vt:variant>
        <vt:i4>1507379</vt:i4>
      </vt:variant>
      <vt:variant>
        <vt:i4>758</vt:i4>
      </vt:variant>
      <vt:variant>
        <vt:i4>0</vt:i4>
      </vt:variant>
      <vt:variant>
        <vt:i4>5</vt:i4>
      </vt:variant>
      <vt:variant>
        <vt:lpwstr/>
      </vt:variant>
      <vt:variant>
        <vt:lpwstr>_Toc510071109</vt:lpwstr>
      </vt:variant>
      <vt:variant>
        <vt:i4>1507379</vt:i4>
      </vt:variant>
      <vt:variant>
        <vt:i4>752</vt:i4>
      </vt:variant>
      <vt:variant>
        <vt:i4>0</vt:i4>
      </vt:variant>
      <vt:variant>
        <vt:i4>5</vt:i4>
      </vt:variant>
      <vt:variant>
        <vt:lpwstr/>
      </vt:variant>
      <vt:variant>
        <vt:lpwstr>_Toc510071108</vt:lpwstr>
      </vt:variant>
      <vt:variant>
        <vt:i4>1507379</vt:i4>
      </vt:variant>
      <vt:variant>
        <vt:i4>746</vt:i4>
      </vt:variant>
      <vt:variant>
        <vt:i4>0</vt:i4>
      </vt:variant>
      <vt:variant>
        <vt:i4>5</vt:i4>
      </vt:variant>
      <vt:variant>
        <vt:lpwstr/>
      </vt:variant>
      <vt:variant>
        <vt:lpwstr>_Toc510071107</vt:lpwstr>
      </vt:variant>
      <vt:variant>
        <vt:i4>1507379</vt:i4>
      </vt:variant>
      <vt:variant>
        <vt:i4>740</vt:i4>
      </vt:variant>
      <vt:variant>
        <vt:i4>0</vt:i4>
      </vt:variant>
      <vt:variant>
        <vt:i4>5</vt:i4>
      </vt:variant>
      <vt:variant>
        <vt:lpwstr/>
      </vt:variant>
      <vt:variant>
        <vt:lpwstr>_Toc510071106</vt:lpwstr>
      </vt:variant>
      <vt:variant>
        <vt:i4>1507379</vt:i4>
      </vt:variant>
      <vt:variant>
        <vt:i4>734</vt:i4>
      </vt:variant>
      <vt:variant>
        <vt:i4>0</vt:i4>
      </vt:variant>
      <vt:variant>
        <vt:i4>5</vt:i4>
      </vt:variant>
      <vt:variant>
        <vt:lpwstr/>
      </vt:variant>
      <vt:variant>
        <vt:lpwstr>_Toc510071105</vt:lpwstr>
      </vt:variant>
      <vt:variant>
        <vt:i4>1507379</vt:i4>
      </vt:variant>
      <vt:variant>
        <vt:i4>728</vt:i4>
      </vt:variant>
      <vt:variant>
        <vt:i4>0</vt:i4>
      </vt:variant>
      <vt:variant>
        <vt:i4>5</vt:i4>
      </vt:variant>
      <vt:variant>
        <vt:lpwstr/>
      </vt:variant>
      <vt:variant>
        <vt:lpwstr>_Toc510071104</vt:lpwstr>
      </vt:variant>
      <vt:variant>
        <vt:i4>1507379</vt:i4>
      </vt:variant>
      <vt:variant>
        <vt:i4>722</vt:i4>
      </vt:variant>
      <vt:variant>
        <vt:i4>0</vt:i4>
      </vt:variant>
      <vt:variant>
        <vt:i4>5</vt:i4>
      </vt:variant>
      <vt:variant>
        <vt:lpwstr/>
      </vt:variant>
      <vt:variant>
        <vt:lpwstr>_Toc510071103</vt:lpwstr>
      </vt:variant>
      <vt:variant>
        <vt:i4>1507379</vt:i4>
      </vt:variant>
      <vt:variant>
        <vt:i4>716</vt:i4>
      </vt:variant>
      <vt:variant>
        <vt:i4>0</vt:i4>
      </vt:variant>
      <vt:variant>
        <vt:i4>5</vt:i4>
      </vt:variant>
      <vt:variant>
        <vt:lpwstr/>
      </vt:variant>
      <vt:variant>
        <vt:lpwstr>_Toc510071102</vt:lpwstr>
      </vt:variant>
      <vt:variant>
        <vt:i4>1507379</vt:i4>
      </vt:variant>
      <vt:variant>
        <vt:i4>710</vt:i4>
      </vt:variant>
      <vt:variant>
        <vt:i4>0</vt:i4>
      </vt:variant>
      <vt:variant>
        <vt:i4>5</vt:i4>
      </vt:variant>
      <vt:variant>
        <vt:lpwstr/>
      </vt:variant>
      <vt:variant>
        <vt:lpwstr>_Toc510071101</vt:lpwstr>
      </vt:variant>
      <vt:variant>
        <vt:i4>1507379</vt:i4>
      </vt:variant>
      <vt:variant>
        <vt:i4>704</vt:i4>
      </vt:variant>
      <vt:variant>
        <vt:i4>0</vt:i4>
      </vt:variant>
      <vt:variant>
        <vt:i4>5</vt:i4>
      </vt:variant>
      <vt:variant>
        <vt:lpwstr/>
      </vt:variant>
      <vt:variant>
        <vt:lpwstr>_Toc510071100</vt:lpwstr>
      </vt:variant>
      <vt:variant>
        <vt:i4>1966130</vt:i4>
      </vt:variant>
      <vt:variant>
        <vt:i4>698</vt:i4>
      </vt:variant>
      <vt:variant>
        <vt:i4>0</vt:i4>
      </vt:variant>
      <vt:variant>
        <vt:i4>5</vt:i4>
      </vt:variant>
      <vt:variant>
        <vt:lpwstr/>
      </vt:variant>
      <vt:variant>
        <vt:lpwstr>_Toc510071099</vt:lpwstr>
      </vt:variant>
      <vt:variant>
        <vt:i4>1966130</vt:i4>
      </vt:variant>
      <vt:variant>
        <vt:i4>692</vt:i4>
      </vt:variant>
      <vt:variant>
        <vt:i4>0</vt:i4>
      </vt:variant>
      <vt:variant>
        <vt:i4>5</vt:i4>
      </vt:variant>
      <vt:variant>
        <vt:lpwstr/>
      </vt:variant>
      <vt:variant>
        <vt:lpwstr>_Toc510071098</vt:lpwstr>
      </vt:variant>
      <vt:variant>
        <vt:i4>1966130</vt:i4>
      </vt:variant>
      <vt:variant>
        <vt:i4>686</vt:i4>
      </vt:variant>
      <vt:variant>
        <vt:i4>0</vt:i4>
      </vt:variant>
      <vt:variant>
        <vt:i4>5</vt:i4>
      </vt:variant>
      <vt:variant>
        <vt:lpwstr/>
      </vt:variant>
      <vt:variant>
        <vt:lpwstr>_Toc510071097</vt:lpwstr>
      </vt:variant>
      <vt:variant>
        <vt:i4>1966130</vt:i4>
      </vt:variant>
      <vt:variant>
        <vt:i4>680</vt:i4>
      </vt:variant>
      <vt:variant>
        <vt:i4>0</vt:i4>
      </vt:variant>
      <vt:variant>
        <vt:i4>5</vt:i4>
      </vt:variant>
      <vt:variant>
        <vt:lpwstr/>
      </vt:variant>
      <vt:variant>
        <vt:lpwstr>_Toc510071096</vt:lpwstr>
      </vt:variant>
      <vt:variant>
        <vt:i4>1966130</vt:i4>
      </vt:variant>
      <vt:variant>
        <vt:i4>674</vt:i4>
      </vt:variant>
      <vt:variant>
        <vt:i4>0</vt:i4>
      </vt:variant>
      <vt:variant>
        <vt:i4>5</vt:i4>
      </vt:variant>
      <vt:variant>
        <vt:lpwstr/>
      </vt:variant>
      <vt:variant>
        <vt:lpwstr>_Toc510071095</vt:lpwstr>
      </vt:variant>
      <vt:variant>
        <vt:i4>1966130</vt:i4>
      </vt:variant>
      <vt:variant>
        <vt:i4>668</vt:i4>
      </vt:variant>
      <vt:variant>
        <vt:i4>0</vt:i4>
      </vt:variant>
      <vt:variant>
        <vt:i4>5</vt:i4>
      </vt:variant>
      <vt:variant>
        <vt:lpwstr/>
      </vt:variant>
      <vt:variant>
        <vt:lpwstr>_Toc510071094</vt:lpwstr>
      </vt:variant>
      <vt:variant>
        <vt:i4>1966130</vt:i4>
      </vt:variant>
      <vt:variant>
        <vt:i4>662</vt:i4>
      </vt:variant>
      <vt:variant>
        <vt:i4>0</vt:i4>
      </vt:variant>
      <vt:variant>
        <vt:i4>5</vt:i4>
      </vt:variant>
      <vt:variant>
        <vt:lpwstr/>
      </vt:variant>
      <vt:variant>
        <vt:lpwstr>_Toc510071093</vt:lpwstr>
      </vt:variant>
      <vt:variant>
        <vt:i4>1966130</vt:i4>
      </vt:variant>
      <vt:variant>
        <vt:i4>656</vt:i4>
      </vt:variant>
      <vt:variant>
        <vt:i4>0</vt:i4>
      </vt:variant>
      <vt:variant>
        <vt:i4>5</vt:i4>
      </vt:variant>
      <vt:variant>
        <vt:lpwstr/>
      </vt:variant>
      <vt:variant>
        <vt:lpwstr>_Toc510071092</vt:lpwstr>
      </vt:variant>
      <vt:variant>
        <vt:i4>1966130</vt:i4>
      </vt:variant>
      <vt:variant>
        <vt:i4>650</vt:i4>
      </vt:variant>
      <vt:variant>
        <vt:i4>0</vt:i4>
      </vt:variant>
      <vt:variant>
        <vt:i4>5</vt:i4>
      </vt:variant>
      <vt:variant>
        <vt:lpwstr/>
      </vt:variant>
      <vt:variant>
        <vt:lpwstr>_Toc510071091</vt:lpwstr>
      </vt:variant>
      <vt:variant>
        <vt:i4>1966130</vt:i4>
      </vt:variant>
      <vt:variant>
        <vt:i4>644</vt:i4>
      </vt:variant>
      <vt:variant>
        <vt:i4>0</vt:i4>
      </vt:variant>
      <vt:variant>
        <vt:i4>5</vt:i4>
      </vt:variant>
      <vt:variant>
        <vt:lpwstr/>
      </vt:variant>
      <vt:variant>
        <vt:lpwstr>_Toc510071090</vt:lpwstr>
      </vt:variant>
      <vt:variant>
        <vt:i4>2031666</vt:i4>
      </vt:variant>
      <vt:variant>
        <vt:i4>638</vt:i4>
      </vt:variant>
      <vt:variant>
        <vt:i4>0</vt:i4>
      </vt:variant>
      <vt:variant>
        <vt:i4>5</vt:i4>
      </vt:variant>
      <vt:variant>
        <vt:lpwstr/>
      </vt:variant>
      <vt:variant>
        <vt:lpwstr>_Toc510071089</vt:lpwstr>
      </vt:variant>
      <vt:variant>
        <vt:i4>2031666</vt:i4>
      </vt:variant>
      <vt:variant>
        <vt:i4>632</vt:i4>
      </vt:variant>
      <vt:variant>
        <vt:i4>0</vt:i4>
      </vt:variant>
      <vt:variant>
        <vt:i4>5</vt:i4>
      </vt:variant>
      <vt:variant>
        <vt:lpwstr/>
      </vt:variant>
      <vt:variant>
        <vt:lpwstr>_Toc510071088</vt:lpwstr>
      </vt:variant>
      <vt:variant>
        <vt:i4>2031666</vt:i4>
      </vt:variant>
      <vt:variant>
        <vt:i4>626</vt:i4>
      </vt:variant>
      <vt:variant>
        <vt:i4>0</vt:i4>
      </vt:variant>
      <vt:variant>
        <vt:i4>5</vt:i4>
      </vt:variant>
      <vt:variant>
        <vt:lpwstr/>
      </vt:variant>
      <vt:variant>
        <vt:lpwstr>_Toc510071087</vt:lpwstr>
      </vt:variant>
      <vt:variant>
        <vt:i4>2031666</vt:i4>
      </vt:variant>
      <vt:variant>
        <vt:i4>620</vt:i4>
      </vt:variant>
      <vt:variant>
        <vt:i4>0</vt:i4>
      </vt:variant>
      <vt:variant>
        <vt:i4>5</vt:i4>
      </vt:variant>
      <vt:variant>
        <vt:lpwstr/>
      </vt:variant>
      <vt:variant>
        <vt:lpwstr>_Toc510071086</vt:lpwstr>
      </vt:variant>
      <vt:variant>
        <vt:i4>2031666</vt:i4>
      </vt:variant>
      <vt:variant>
        <vt:i4>614</vt:i4>
      </vt:variant>
      <vt:variant>
        <vt:i4>0</vt:i4>
      </vt:variant>
      <vt:variant>
        <vt:i4>5</vt:i4>
      </vt:variant>
      <vt:variant>
        <vt:lpwstr/>
      </vt:variant>
      <vt:variant>
        <vt:lpwstr>_Toc510071085</vt:lpwstr>
      </vt:variant>
      <vt:variant>
        <vt:i4>2031666</vt:i4>
      </vt:variant>
      <vt:variant>
        <vt:i4>608</vt:i4>
      </vt:variant>
      <vt:variant>
        <vt:i4>0</vt:i4>
      </vt:variant>
      <vt:variant>
        <vt:i4>5</vt:i4>
      </vt:variant>
      <vt:variant>
        <vt:lpwstr/>
      </vt:variant>
      <vt:variant>
        <vt:lpwstr>_Toc510071084</vt:lpwstr>
      </vt:variant>
      <vt:variant>
        <vt:i4>2031666</vt:i4>
      </vt:variant>
      <vt:variant>
        <vt:i4>602</vt:i4>
      </vt:variant>
      <vt:variant>
        <vt:i4>0</vt:i4>
      </vt:variant>
      <vt:variant>
        <vt:i4>5</vt:i4>
      </vt:variant>
      <vt:variant>
        <vt:lpwstr/>
      </vt:variant>
      <vt:variant>
        <vt:lpwstr>_Toc510071083</vt:lpwstr>
      </vt:variant>
      <vt:variant>
        <vt:i4>2031666</vt:i4>
      </vt:variant>
      <vt:variant>
        <vt:i4>596</vt:i4>
      </vt:variant>
      <vt:variant>
        <vt:i4>0</vt:i4>
      </vt:variant>
      <vt:variant>
        <vt:i4>5</vt:i4>
      </vt:variant>
      <vt:variant>
        <vt:lpwstr/>
      </vt:variant>
      <vt:variant>
        <vt:lpwstr>_Toc510071082</vt:lpwstr>
      </vt:variant>
      <vt:variant>
        <vt:i4>2031666</vt:i4>
      </vt:variant>
      <vt:variant>
        <vt:i4>590</vt:i4>
      </vt:variant>
      <vt:variant>
        <vt:i4>0</vt:i4>
      </vt:variant>
      <vt:variant>
        <vt:i4>5</vt:i4>
      </vt:variant>
      <vt:variant>
        <vt:lpwstr/>
      </vt:variant>
      <vt:variant>
        <vt:lpwstr>_Toc510071081</vt:lpwstr>
      </vt:variant>
      <vt:variant>
        <vt:i4>2031666</vt:i4>
      </vt:variant>
      <vt:variant>
        <vt:i4>584</vt:i4>
      </vt:variant>
      <vt:variant>
        <vt:i4>0</vt:i4>
      </vt:variant>
      <vt:variant>
        <vt:i4>5</vt:i4>
      </vt:variant>
      <vt:variant>
        <vt:lpwstr/>
      </vt:variant>
      <vt:variant>
        <vt:lpwstr>_Toc510071080</vt:lpwstr>
      </vt:variant>
      <vt:variant>
        <vt:i4>1048626</vt:i4>
      </vt:variant>
      <vt:variant>
        <vt:i4>578</vt:i4>
      </vt:variant>
      <vt:variant>
        <vt:i4>0</vt:i4>
      </vt:variant>
      <vt:variant>
        <vt:i4>5</vt:i4>
      </vt:variant>
      <vt:variant>
        <vt:lpwstr/>
      </vt:variant>
      <vt:variant>
        <vt:lpwstr>_Toc510071079</vt:lpwstr>
      </vt:variant>
      <vt:variant>
        <vt:i4>1048626</vt:i4>
      </vt:variant>
      <vt:variant>
        <vt:i4>572</vt:i4>
      </vt:variant>
      <vt:variant>
        <vt:i4>0</vt:i4>
      </vt:variant>
      <vt:variant>
        <vt:i4>5</vt:i4>
      </vt:variant>
      <vt:variant>
        <vt:lpwstr/>
      </vt:variant>
      <vt:variant>
        <vt:lpwstr>_Toc510071078</vt:lpwstr>
      </vt:variant>
      <vt:variant>
        <vt:i4>1048626</vt:i4>
      </vt:variant>
      <vt:variant>
        <vt:i4>566</vt:i4>
      </vt:variant>
      <vt:variant>
        <vt:i4>0</vt:i4>
      </vt:variant>
      <vt:variant>
        <vt:i4>5</vt:i4>
      </vt:variant>
      <vt:variant>
        <vt:lpwstr/>
      </vt:variant>
      <vt:variant>
        <vt:lpwstr>_Toc510071077</vt:lpwstr>
      </vt:variant>
      <vt:variant>
        <vt:i4>1048626</vt:i4>
      </vt:variant>
      <vt:variant>
        <vt:i4>560</vt:i4>
      </vt:variant>
      <vt:variant>
        <vt:i4>0</vt:i4>
      </vt:variant>
      <vt:variant>
        <vt:i4>5</vt:i4>
      </vt:variant>
      <vt:variant>
        <vt:lpwstr/>
      </vt:variant>
      <vt:variant>
        <vt:lpwstr>_Toc510071076</vt:lpwstr>
      </vt:variant>
      <vt:variant>
        <vt:i4>1048626</vt:i4>
      </vt:variant>
      <vt:variant>
        <vt:i4>554</vt:i4>
      </vt:variant>
      <vt:variant>
        <vt:i4>0</vt:i4>
      </vt:variant>
      <vt:variant>
        <vt:i4>5</vt:i4>
      </vt:variant>
      <vt:variant>
        <vt:lpwstr/>
      </vt:variant>
      <vt:variant>
        <vt:lpwstr>_Toc510071075</vt:lpwstr>
      </vt:variant>
      <vt:variant>
        <vt:i4>1048626</vt:i4>
      </vt:variant>
      <vt:variant>
        <vt:i4>548</vt:i4>
      </vt:variant>
      <vt:variant>
        <vt:i4>0</vt:i4>
      </vt:variant>
      <vt:variant>
        <vt:i4>5</vt:i4>
      </vt:variant>
      <vt:variant>
        <vt:lpwstr/>
      </vt:variant>
      <vt:variant>
        <vt:lpwstr>_Toc510071074</vt:lpwstr>
      </vt:variant>
      <vt:variant>
        <vt:i4>1048626</vt:i4>
      </vt:variant>
      <vt:variant>
        <vt:i4>542</vt:i4>
      </vt:variant>
      <vt:variant>
        <vt:i4>0</vt:i4>
      </vt:variant>
      <vt:variant>
        <vt:i4>5</vt:i4>
      </vt:variant>
      <vt:variant>
        <vt:lpwstr/>
      </vt:variant>
      <vt:variant>
        <vt:lpwstr>_Toc510071073</vt:lpwstr>
      </vt:variant>
      <vt:variant>
        <vt:i4>1048626</vt:i4>
      </vt:variant>
      <vt:variant>
        <vt:i4>536</vt:i4>
      </vt:variant>
      <vt:variant>
        <vt:i4>0</vt:i4>
      </vt:variant>
      <vt:variant>
        <vt:i4>5</vt:i4>
      </vt:variant>
      <vt:variant>
        <vt:lpwstr/>
      </vt:variant>
      <vt:variant>
        <vt:lpwstr>_Toc510071072</vt:lpwstr>
      </vt:variant>
      <vt:variant>
        <vt:i4>1048626</vt:i4>
      </vt:variant>
      <vt:variant>
        <vt:i4>530</vt:i4>
      </vt:variant>
      <vt:variant>
        <vt:i4>0</vt:i4>
      </vt:variant>
      <vt:variant>
        <vt:i4>5</vt:i4>
      </vt:variant>
      <vt:variant>
        <vt:lpwstr/>
      </vt:variant>
      <vt:variant>
        <vt:lpwstr>_Toc510071071</vt:lpwstr>
      </vt:variant>
      <vt:variant>
        <vt:i4>1048626</vt:i4>
      </vt:variant>
      <vt:variant>
        <vt:i4>524</vt:i4>
      </vt:variant>
      <vt:variant>
        <vt:i4>0</vt:i4>
      </vt:variant>
      <vt:variant>
        <vt:i4>5</vt:i4>
      </vt:variant>
      <vt:variant>
        <vt:lpwstr/>
      </vt:variant>
      <vt:variant>
        <vt:lpwstr>_Toc510071070</vt:lpwstr>
      </vt:variant>
      <vt:variant>
        <vt:i4>1114162</vt:i4>
      </vt:variant>
      <vt:variant>
        <vt:i4>518</vt:i4>
      </vt:variant>
      <vt:variant>
        <vt:i4>0</vt:i4>
      </vt:variant>
      <vt:variant>
        <vt:i4>5</vt:i4>
      </vt:variant>
      <vt:variant>
        <vt:lpwstr/>
      </vt:variant>
      <vt:variant>
        <vt:lpwstr>_Toc510071069</vt:lpwstr>
      </vt:variant>
      <vt:variant>
        <vt:i4>1114162</vt:i4>
      </vt:variant>
      <vt:variant>
        <vt:i4>512</vt:i4>
      </vt:variant>
      <vt:variant>
        <vt:i4>0</vt:i4>
      </vt:variant>
      <vt:variant>
        <vt:i4>5</vt:i4>
      </vt:variant>
      <vt:variant>
        <vt:lpwstr/>
      </vt:variant>
      <vt:variant>
        <vt:lpwstr>_Toc510071068</vt:lpwstr>
      </vt:variant>
      <vt:variant>
        <vt:i4>1114162</vt:i4>
      </vt:variant>
      <vt:variant>
        <vt:i4>506</vt:i4>
      </vt:variant>
      <vt:variant>
        <vt:i4>0</vt:i4>
      </vt:variant>
      <vt:variant>
        <vt:i4>5</vt:i4>
      </vt:variant>
      <vt:variant>
        <vt:lpwstr/>
      </vt:variant>
      <vt:variant>
        <vt:lpwstr>_Toc510071067</vt:lpwstr>
      </vt:variant>
      <vt:variant>
        <vt:i4>1114162</vt:i4>
      </vt:variant>
      <vt:variant>
        <vt:i4>500</vt:i4>
      </vt:variant>
      <vt:variant>
        <vt:i4>0</vt:i4>
      </vt:variant>
      <vt:variant>
        <vt:i4>5</vt:i4>
      </vt:variant>
      <vt:variant>
        <vt:lpwstr/>
      </vt:variant>
      <vt:variant>
        <vt:lpwstr>_Toc510071066</vt:lpwstr>
      </vt:variant>
      <vt:variant>
        <vt:i4>1114162</vt:i4>
      </vt:variant>
      <vt:variant>
        <vt:i4>494</vt:i4>
      </vt:variant>
      <vt:variant>
        <vt:i4>0</vt:i4>
      </vt:variant>
      <vt:variant>
        <vt:i4>5</vt:i4>
      </vt:variant>
      <vt:variant>
        <vt:lpwstr/>
      </vt:variant>
      <vt:variant>
        <vt:lpwstr>_Toc510071065</vt:lpwstr>
      </vt:variant>
      <vt:variant>
        <vt:i4>1114162</vt:i4>
      </vt:variant>
      <vt:variant>
        <vt:i4>488</vt:i4>
      </vt:variant>
      <vt:variant>
        <vt:i4>0</vt:i4>
      </vt:variant>
      <vt:variant>
        <vt:i4>5</vt:i4>
      </vt:variant>
      <vt:variant>
        <vt:lpwstr/>
      </vt:variant>
      <vt:variant>
        <vt:lpwstr>_Toc510071064</vt:lpwstr>
      </vt:variant>
      <vt:variant>
        <vt:i4>1114162</vt:i4>
      </vt:variant>
      <vt:variant>
        <vt:i4>482</vt:i4>
      </vt:variant>
      <vt:variant>
        <vt:i4>0</vt:i4>
      </vt:variant>
      <vt:variant>
        <vt:i4>5</vt:i4>
      </vt:variant>
      <vt:variant>
        <vt:lpwstr/>
      </vt:variant>
      <vt:variant>
        <vt:lpwstr>_Toc510071063</vt:lpwstr>
      </vt:variant>
      <vt:variant>
        <vt:i4>1114162</vt:i4>
      </vt:variant>
      <vt:variant>
        <vt:i4>476</vt:i4>
      </vt:variant>
      <vt:variant>
        <vt:i4>0</vt:i4>
      </vt:variant>
      <vt:variant>
        <vt:i4>5</vt:i4>
      </vt:variant>
      <vt:variant>
        <vt:lpwstr/>
      </vt:variant>
      <vt:variant>
        <vt:lpwstr>_Toc510071062</vt:lpwstr>
      </vt:variant>
      <vt:variant>
        <vt:i4>1114162</vt:i4>
      </vt:variant>
      <vt:variant>
        <vt:i4>470</vt:i4>
      </vt:variant>
      <vt:variant>
        <vt:i4>0</vt:i4>
      </vt:variant>
      <vt:variant>
        <vt:i4>5</vt:i4>
      </vt:variant>
      <vt:variant>
        <vt:lpwstr/>
      </vt:variant>
      <vt:variant>
        <vt:lpwstr>_Toc510071061</vt:lpwstr>
      </vt:variant>
      <vt:variant>
        <vt:i4>1114162</vt:i4>
      </vt:variant>
      <vt:variant>
        <vt:i4>464</vt:i4>
      </vt:variant>
      <vt:variant>
        <vt:i4>0</vt:i4>
      </vt:variant>
      <vt:variant>
        <vt:i4>5</vt:i4>
      </vt:variant>
      <vt:variant>
        <vt:lpwstr/>
      </vt:variant>
      <vt:variant>
        <vt:lpwstr>_Toc510071060</vt:lpwstr>
      </vt:variant>
      <vt:variant>
        <vt:i4>1179698</vt:i4>
      </vt:variant>
      <vt:variant>
        <vt:i4>458</vt:i4>
      </vt:variant>
      <vt:variant>
        <vt:i4>0</vt:i4>
      </vt:variant>
      <vt:variant>
        <vt:i4>5</vt:i4>
      </vt:variant>
      <vt:variant>
        <vt:lpwstr/>
      </vt:variant>
      <vt:variant>
        <vt:lpwstr>_Toc510071059</vt:lpwstr>
      </vt:variant>
      <vt:variant>
        <vt:i4>1179698</vt:i4>
      </vt:variant>
      <vt:variant>
        <vt:i4>452</vt:i4>
      </vt:variant>
      <vt:variant>
        <vt:i4>0</vt:i4>
      </vt:variant>
      <vt:variant>
        <vt:i4>5</vt:i4>
      </vt:variant>
      <vt:variant>
        <vt:lpwstr/>
      </vt:variant>
      <vt:variant>
        <vt:lpwstr>_Toc510071058</vt:lpwstr>
      </vt:variant>
      <vt:variant>
        <vt:i4>1179698</vt:i4>
      </vt:variant>
      <vt:variant>
        <vt:i4>446</vt:i4>
      </vt:variant>
      <vt:variant>
        <vt:i4>0</vt:i4>
      </vt:variant>
      <vt:variant>
        <vt:i4>5</vt:i4>
      </vt:variant>
      <vt:variant>
        <vt:lpwstr/>
      </vt:variant>
      <vt:variant>
        <vt:lpwstr>_Toc510071057</vt:lpwstr>
      </vt:variant>
      <vt:variant>
        <vt:i4>1179698</vt:i4>
      </vt:variant>
      <vt:variant>
        <vt:i4>440</vt:i4>
      </vt:variant>
      <vt:variant>
        <vt:i4>0</vt:i4>
      </vt:variant>
      <vt:variant>
        <vt:i4>5</vt:i4>
      </vt:variant>
      <vt:variant>
        <vt:lpwstr/>
      </vt:variant>
      <vt:variant>
        <vt:lpwstr>_Toc510071056</vt:lpwstr>
      </vt:variant>
      <vt:variant>
        <vt:i4>1179698</vt:i4>
      </vt:variant>
      <vt:variant>
        <vt:i4>434</vt:i4>
      </vt:variant>
      <vt:variant>
        <vt:i4>0</vt:i4>
      </vt:variant>
      <vt:variant>
        <vt:i4>5</vt:i4>
      </vt:variant>
      <vt:variant>
        <vt:lpwstr/>
      </vt:variant>
      <vt:variant>
        <vt:lpwstr>_Toc510071055</vt:lpwstr>
      </vt:variant>
      <vt:variant>
        <vt:i4>1179698</vt:i4>
      </vt:variant>
      <vt:variant>
        <vt:i4>428</vt:i4>
      </vt:variant>
      <vt:variant>
        <vt:i4>0</vt:i4>
      </vt:variant>
      <vt:variant>
        <vt:i4>5</vt:i4>
      </vt:variant>
      <vt:variant>
        <vt:lpwstr/>
      </vt:variant>
      <vt:variant>
        <vt:lpwstr>_Toc510071054</vt:lpwstr>
      </vt:variant>
      <vt:variant>
        <vt:i4>1179698</vt:i4>
      </vt:variant>
      <vt:variant>
        <vt:i4>422</vt:i4>
      </vt:variant>
      <vt:variant>
        <vt:i4>0</vt:i4>
      </vt:variant>
      <vt:variant>
        <vt:i4>5</vt:i4>
      </vt:variant>
      <vt:variant>
        <vt:lpwstr/>
      </vt:variant>
      <vt:variant>
        <vt:lpwstr>_Toc510071053</vt:lpwstr>
      </vt:variant>
      <vt:variant>
        <vt:i4>1179698</vt:i4>
      </vt:variant>
      <vt:variant>
        <vt:i4>416</vt:i4>
      </vt:variant>
      <vt:variant>
        <vt:i4>0</vt:i4>
      </vt:variant>
      <vt:variant>
        <vt:i4>5</vt:i4>
      </vt:variant>
      <vt:variant>
        <vt:lpwstr/>
      </vt:variant>
      <vt:variant>
        <vt:lpwstr>_Toc510071052</vt:lpwstr>
      </vt:variant>
      <vt:variant>
        <vt:i4>1179698</vt:i4>
      </vt:variant>
      <vt:variant>
        <vt:i4>410</vt:i4>
      </vt:variant>
      <vt:variant>
        <vt:i4>0</vt:i4>
      </vt:variant>
      <vt:variant>
        <vt:i4>5</vt:i4>
      </vt:variant>
      <vt:variant>
        <vt:lpwstr/>
      </vt:variant>
      <vt:variant>
        <vt:lpwstr>_Toc510071051</vt:lpwstr>
      </vt:variant>
      <vt:variant>
        <vt:i4>1179698</vt:i4>
      </vt:variant>
      <vt:variant>
        <vt:i4>404</vt:i4>
      </vt:variant>
      <vt:variant>
        <vt:i4>0</vt:i4>
      </vt:variant>
      <vt:variant>
        <vt:i4>5</vt:i4>
      </vt:variant>
      <vt:variant>
        <vt:lpwstr/>
      </vt:variant>
      <vt:variant>
        <vt:lpwstr>_Toc510071050</vt:lpwstr>
      </vt:variant>
      <vt:variant>
        <vt:i4>1245234</vt:i4>
      </vt:variant>
      <vt:variant>
        <vt:i4>398</vt:i4>
      </vt:variant>
      <vt:variant>
        <vt:i4>0</vt:i4>
      </vt:variant>
      <vt:variant>
        <vt:i4>5</vt:i4>
      </vt:variant>
      <vt:variant>
        <vt:lpwstr/>
      </vt:variant>
      <vt:variant>
        <vt:lpwstr>_Toc510071049</vt:lpwstr>
      </vt:variant>
      <vt:variant>
        <vt:i4>1245234</vt:i4>
      </vt:variant>
      <vt:variant>
        <vt:i4>392</vt:i4>
      </vt:variant>
      <vt:variant>
        <vt:i4>0</vt:i4>
      </vt:variant>
      <vt:variant>
        <vt:i4>5</vt:i4>
      </vt:variant>
      <vt:variant>
        <vt:lpwstr/>
      </vt:variant>
      <vt:variant>
        <vt:lpwstr>_Toc510071048</vt:lpwstr>
      </vt:variant>
      <vt:variant>
        <vt:i4>1245234</vt:i4>
      </vt:variant>
      <vt:variant>
        <vt:i4>386</vt:i4>
      </vt:variant>
      <vt:variant>
        <vt:i4>0</vt:i4>
      </vt:variant>
      <vt:variant>
        <vt:i4>5</vt:i4>
      </vt:variant>
      <vt:variant>
        <vt:lpwstr/>
      </vt:variant>
      <vt:variant>
        <vt:lpwstr>_Toc510071047</vt:lpwstr>
      </vt:variant>
      <vt:variant>
        <vt:i4>1245234</vt:i4>
      </vt:variant>
      <vt:variant>
        <vt:i4>380</vt:i4>
      </vt:variant>
      <vt:variant>
        <vt:i4>0</vt:i4>
      </vt:variant>
      <vt:variant>
        <vt:i4>5</vt:i4>
      </vt:variant>
      <vt:variant>
        <vt:lpwstr/>
      </vt:variant>
      <vt:variant>
        <vt:lpwstr>_Toc510071046</vt:lpwstr>
      </vt:variant>
      <vt:variant>
        <vt:i4>1245234</vt:i4>
      </vt:variant>
      <vt:variant>
        <vt:i4>374</vt:i4>
      </vt:variant>
      <vt:variant>
        <vt:i4>0</vt:i4>
      </vt:variant>
      <vt:variant>
        <vt:i4>5</vt:i4>
      </vt:variant>
      <vt:variant>
        <vt:lpwstr/>
      </vt:variant>
      <vt:variant>
        <vt:lpwstr>_Toc510071045</vt:lpwstr>
      </vt:variant>
      <vt:variant>
        <vt:i4>1245234</vt:i4>
      </vt:variant>
      <vt:variant>
        <vt:i4>368</vt:i4>
      </vt:variant>
      <vt:variant>
        <vt:i4>0</vt:i4>
      </vt:variant>
      <vt:variant>
        <vt:i4>5</vt:i4>
      </vt:variant>
      <vt:variant>
        <vt:lpwstr/>
      </vt:variant>
      <vt:variant>
        <vt:lpwstr>_Toc510071044</vt:lpwstr>
      </vt:variant>
      <vt:variant>
        <vt:i4>1245234</vt:i4>
      </vt:variant>
      <vt:variant>
        <vt:i4>362</vt:i4>
      </vt:variant>
      <vt:variant>
        <vt:i4>0</vt:i4>
      </vt:variant>
      <vt:variant>
        <vt:i4>5</vt:i4>
      </vt:variant>
      <vt:variant>
        <vt:lpwstr/>
      </vt:variant>
      <vt:variant>
        <vt:lpwstr>_Toc510071043</vt:lpwstr>
      </vt:variant>
      <vt:variant>
        <vt:i4>1245234</vt:i4>
      </vt:variant>
      <vt:variant>
        <vt:i4>356</vt:i4>
      </vt:variant>
      <vt:variant>
        <vt:i4>0</vt:i4>
      </vt:variant>
      <vt:variant>
        <vt:i4>5</vt:i4>
      </vt:variant>
      <vt:variant>
        <vt:lpwstr/>
      </vt:variant>
      <vt:variant>
        <vt:lpwstr>_Toc510071042</vt:lpwstr>
      </vt:variant>
      <vt:variant>
        <vt:i4>1245234</vt:i4>
      </vt:variant>
      <vt:variant>
        <vt:i4>350</vt:i4>
      </vt:variant>
      <vt:variant>
        <vt:i4>0</vt:i4>
      </vt:variant>
      <vt:variant>
        <vt:i4>5</vt:i4>
      </vt:variant>
      <vt:variant>
        <vt:lpwstr/>
      </vt:variant>
      <vt:variant>
        <vt:lpwstr>_Toc510071041</vt:lpwstr>
      </vt:variant>
      <vt:variant>
        <vt:i4>1245234</vt:i4>
      </vt:variant>
      <vt:variant>
        <vt:i4>344</vt:i4>
      </vt:variant>
      <vt:variant>
        <vt:i4>0</vt:i4>
      </vt:variant>
      <vt:variant>
        <vt:i4>5</vt:i4>
      </vt:variant>
      <vt:variant>
        <vt:lpwstr/>
      </vt:variant>
      <vt:variant>
        <vt:lpwstr>_Toc510071040</vt:lpwstr>
      </vt:variant>
      <vt:variant>
        <vt:i4>1310770</vt:i4>
      </vt:variant>
      <vt:variant>
        <vt:i4>338</vt:i4>
      </vt:variant>
      <vt:variant>
        <vt:i4>0</vt:i4>
      </vt:variant>
      <vt:variant>
        <vt:i4>5</vt:i4>
      </vt:variant>
      <vt:variant>
        <vt:lpwstr/>
      </vt:variant>
      <vt:variant>
        <vt:lpwstr>_Toc510071039</vt:lpwstr>
      </vt:variant>
      <vt:variant>
        <vt:i4>1310770</vt:i4>
      </vt:variant>
      <vt:variant>
        <vt:i4>332</vt:i4>
      </vt:variant>
      <vt:variant>
        <vt:i4>0</vt:i4>
      </vt:variant>
      <vt:variant>
        <vt:i4>5</vt:i4>
      </vt:variant>
      <vt:variant>
        <vt:lpwstr/>
      </vt:variant>
      <vt:variant>
        <vt:lpwstr>_Toc510071038</vt:lpwstr>
      </vt:variant>
      <vt:variant>
        <vt:i4>1310770</vt:i4>
      </vt:variant>
      <vt:variant>
        <vt:i4>326</vt:i4>
      </vt:variant>
      <vt:variant>
        <vt:i4>0</vt:i4>
      </vt:variant>
      <vt:variant>
        <vt:i4>5</vt:i4>
      </vt:variant>
      <vt:variant>
        <vt:lpwstr/>
      </vt:variant>
      <vt:variant>
        <vt:lpwstr>_Toc510071037</vt:lpwstr>
      </vt:variant>
      <vt:variant>
        <vt:i4>1310770</vt:i4>
      </vt:variant>
      <vt:variant>
        <vt:i4>320</vt:i4>
      </vt:variant>
      <vt:variant>
        <vt:i4>0</vt:i4>
      </vt:variant>
      <vt:variant>
        <vt:i4>5</vt:i4>
      </vt:variant>
      <vt:variant>
        <vt:lpwstr/>
      </vt:variant>
      <vt:variant>
        <vt:lpwstr>_Toc510071036</vt:lpwstr>
      </vt:variant>
      <vt:variant>
        <vt:i4>1310770</vt:i4>
      </vt:variant>
      <vt:variant>
        <vt:i4>314</vt:i4>
      </vt:variant>
      <vt:variant>
        <vt:i4>0</vt:i4>
      </vt:variant>
      <vt:variant>
        <vt:i4>5</vt:i4>
      </vt:variant>
      <vt:variant>
        <vt:lpwstr/>
      </vt:variant>
      <vt:variant>
        <vt:lpwstr>_Toc510071035</vt:lpwstr>
      </vt:variant>
      <vt:variant>
        <vt:i4>1310770</vt:i4>
      </vt:variant>
      <vt:variant>
        <vt:i4>308</vt:i4>
      </vt:variant>
      <vt:variant>
        <vt:i4>0</vt:i4>
      </vt:variant>
      <vt:variant>
        <vt:i4>5</vt:i4>
      </vt:variant>
      <vt:variant>
        <vt:lpwstr/>
      </vt:variant>
      <vt:variant>
        <vt:lpwstr>_Toc510071034</vt:lpwstr>
      </vt:variant>
      <vt:variant>
        <vt:i4>1310770</vt:i4>
      </vt:variant>
      <vt:variant>
        <vt:i4>302</vt:i4>
      </vt:variant>
      <vt:variant>
        <vt:i4>0</vt:i4>
      </vt:variant>
      <vt:variant>
        <vt:i4>5</vt:i4>
      </vt:variant>
      <vt:variant>
        <vt:lpwstr/>
      </vt:variant>
      <vt:variant>
        <vt:lpwstr>_Toc510071033</vt:lpwstr>
      </vt:variant>
      <vt:variant>
        <vt:i4>1310770</vt:i4>
      </vt:variant>
      <vt:variant>
        <vt:i4>296</vt:i4>
      </vt:variant>
      <vt:variant>
        <vt:i4>0</vt:i4>
      </vt:variant>
      <vt:variant>
        <vt:i4>5</vt:i4>
      </vt:variant>
      <vt:variant>
        <vt:lpwstr/>
      </vt:variant>
      <vt:variant>
        <vt:lpwstr>_Toc510071032</vt:lpwstr>
      </vt:variant>
      <vt:variant>
        <vt:i4>1310770</vt:i4>
      </vt:variant>
      <vt:variant>
        <vt:i4>290</vt:i4>
      </vt:variant>
      <vt:variant>
        <vt:i4>0</vt:i4>
      </vt:variant>
      <vt:variant>
        <vt:i4>5</vt:i4>
      </vt:variant>
      <vt:variant>
        <vt:lpwstr/>
      </vt:variant>
      <vt:variant>
        <vt:lpwstr>_Toc510071031</vt:lpwstr>
      </vt:variant>
      <vt:variant>
        <vt:i4>1310770</vt:i4>
      </vt:variant>
      <vt:variant>
        <vt:i4>284</vt:i4>
      </vt:variant>
      <vt:variant>
        <vt:i4>0</vt:i4>
      </vt:variant>
      <vt:variant>
        <vt:i4>5</vt:i4>
      </vt:variant>
      <vt:variant>
        <vt:lpwstr/>
      </vt:variant>
      <vt:variant>
        <vt:lpwstr>_Toc510071030</vt:lpwstr>
      </vt:variant>
      <vt:variant>
        <vt:i4>1376306</vt:i4>
      </vt:variant>
      <vt:variant>
        <vt:i4>278</vt:i4>
      </vt:variant>
      <vt:variant>
        <vt:i4>0</vt:i4>
      </vt:variant>
      <vt:variant>
        <vt:i4>5</vt:i4>
      </vt:variant>
      <vt:variant>
        <vt:lpwstr/>
      </vt:variant>
      <vt:variant>
        <vt:lpwstr>_Toc510071029</vt:lpwstr>
      </vt:variant>
      <vt:variant>
        <vt:i4>1376306</vt:i4>
      </vt:variant>
      <vt:variant>
        <vt:i4>272</vt:i4>
      </vt:variant>
      <vt:variant>
        <vt:i4>0</vt:i4>
      </vt:variant>
      <vt:variant>
        <vt:i4>5</vt:i4>
      </vt:variant>
      <vt:variant>
        <vt:lpwstr/>
      </vt:variant>
      <vt:variant>
        <vt:lpwstr>_Toc510071028</vt:lpwstr>
      </vt:variant>
      <vt:variant>
        <vt:i4>1376306</vt:i4>
      </vt:variant>
      <vt:variant>
        <vt:i4>266</vt:i4>
      </vt:variant>
      <vt:variant>
        <vt:i4>0</vt:i4>
      </vt:variant>
      <vt:variant>
        <vt:i4>5</vt:i4>
      </vt:variant>
      <vt:variant>
        <vt:lpwstr/>
      </vt:variant>
      <vt:variant>
        <vt:lpwstr>_Toc510071027</vt:lpwstr>
      </vt:variant>
      <vt:variant>
        <vt:i4>1376306</vt:i4>
      </vt:variant>
      <vt:variant>
        <vt:i4>260</vt:i4>
      </vt:variant>
      <vt:variant>
        <vt:i4>0</vt:i4>
      </vt:variant>
      <vt:variant>
        <vt:i4>5</vt:i4>
      </vt:variant>
      <vt:variant>
        <vt:lpwstr/>
      </vt:variant>
      <vt:variant>
        <vt:lpwstr>_Toc510071026</vt:lpwstr>
      </vt:variant>
      <vt:variant>
        <vt:i4>1376306</vt:i4>
      </vt:variant>
      <vt:variant>
        <vt:i4>254</vt:i4>
      </vt:variant>
      <vt:variant>
        <vt:i4>0</vt:i4>
      </vt:variant>
      <vt:variant>
        <vt:i4>5</vt:i4>
      </vt:variant>
      <vt:variant>
        <vt:lpwstr/>
      </vt:variant>
      <vt:variant>
        <vt:lpwstr>_Toc510071025</vt:lpwstr>
      </vt:variant>
      <vt:variant>
        <vt:i4>1376306</vt:i4>
      </vt:variant>
      <vt:variant>
        <vt:i4>248</vt:i4>
      </vt:variant>
      <vt:variant>
        <vt:i4>0</vt:i4>
      </vt:variant>
      <vt:variant>
        <vt:i4>5</vt:i4>
      </vt:variant>
      <vt:variant>
        <vt:lpwstr/>
      </vt:variant>
      <vt:variant>
        <vt:lpwstr>_Toc510071024</vt:lpwstr>
      </vt:variant>
      <vt:variant>
        <vt:i4>1376306</vt:i4>
      </vt:variant>
      <vt:variant>
        <vt:i4>242</vt:i4>
      </vt:variant>
      <vt:variant>
        <vt:i4>0</vt:i4>
      </vt:variant>
      <vt:variant>
        <vt:i4>5</vt:i4>
      </vt:variant>
      <vt:variant>
        <vt:lpwstr/>
      </vt:variant>
      <vt:variant>
        <vt:lpwstr>_Toc510071023</vt:lpwstr>
      </vt:variant>
      <vt:variant>
        <vt:i4>1376306</vt:i4>
      </vt:variant>
      <vt:variant>
        <vt:i4>236</vt:i4>
      </vt:variant>
      <vt:variant>
        <vt:i4>0</vt:i4>
      </vt:variant>
      <vt:variant>
        <vt:i4>5</vt:i4>
      </vt:variant>
      <vt:variant>
        <vt:lpwstr/>
      </vt:variant>
      <vt:variant>
        <vt:lpwstr>_Toc510071022</vt:lpwstr>
      </vt:variant>
      <vt:variant>
        <vt:i4>1376306</vt:i4>
      </vt:variant>
      <vt:variant>
        <vt:i4>230</vt:i4>
      </vt:variant>
      <vt:variant>
        <vt:i4>0</vt:i4>
      </vt:variant>
      <vt:variant>
        <vt:i4>5</vt:i4>
      </vt:variant>
      <vt:variant>
        <vt:lpwstr/>
      </vt:variant>
      <vt:variant>
        <vt:lpwstr>_Toc510071021</vt:lpwstr>
      </vt:variant>
      <vt:variant>
        <vt:i4>1376306</vt:i4>
      </vt:variant>
      <vt:variant>
        <vt:i4>224</vt:i4>
      </vt:variant>
      <vt:variant>
        <vt:i4>0</vt:i4>
      </vt:variant>
      <vt:variant>
        <vt:i4>5</vt:i4>
      </vt:variant>
      <vt:variant>
        <vt:lpwstr/>
      </vt:variant>
      <vt:variant>
        <vt:lpwstr>_Toc510071020</vt:lpwstr>
      </vt:variant>
      <vt:variant>
        <vt:i4>1441842</vt:i4>
      </vt:variant>
      <vt:variant>
        <vt:i4>218</vt:i4>
      </vt:variant>
      <vt:variant>
        <vt:i4>0</vt:i4>
      </vt:variant>
      <vt:variant>
        <vt:i4>5</vt:i4>
      </vt:variant>
      <vt:variant>
        <vt:lpwstr/>
      </vt:variant>
      <vt:variant>
        <vt:lpwstr>_Toc510071019</vt:lpwstr>
      </vt:variant>
      <vt:variant>
        <vt:i4>1441842</vt:i4>
      </vt:variant>
      <vt:variant>
        <vt:i4>212</vt:i4>
      </vt:variant>
      <vt:variant>
        <vt:i4>0</vt:i4>
      </vt:variant>
      <vt:variant>
        <vt:i4>5</vt:i4>
      </vt:variant>
      <vt:variant>
        <vt:lpwstr/>
      </vt:variant>
      <vt:variant>
        <vt:lpwstr>_Toc510071018</vt:lpwstr>
      </vt:variant>
      <vt:variant>
        <vt:i4>1441842</vt:i4>
      </vt:variant>
      <vt:variant>
        <vt:i4>206</vt:i4>
      </vt:variant>
      <vt:variant>
        <vt:i4>0</vt:i4>
      </vt:variant>
      <vt:variant>
        <vt:i4>5</vt:i4>
      </vt:variant>
      <vt:variant>
        <vt:lpwstr/>
      </vt:variant>
      <vt:variant>
        <vt:lpwstr>_Toc510071017</vt:lpwstr>
      </vt:variant>
      <vt:variant>
        <vt:i4>1441842</vt:i4>
      </vt:variant>
      <vt:variant>
        <vt:i4>200</vt:i4>
      </vt:variant>
      <vt:variant>
        <vt:i4>0</vt:i4>
      </vt:variant>
      <vt:variant>
        <vt:i4>5</vt:i4>
      </vt:variant>
      <vt:variant>
        <vt:lpwstr/>
      </vt:variant>
      <vt:variant>
        <vt:lpwstr>_Toc510071016</vt:lpwstr>
      </vt:variant>
      <vt:variant>
        <vt:i4>1441842</vt:i4>
      </vt:variant>
      <vt:variant>
        <vt:i4>194</vt:i4>
      </vt:variant>
      <vt:variant>
        <vt:i4>0</vt:i4>
      </vt:variant>
      <vt:variant>
        <vt:i4>5</vt:i4>
      </vt:variant>
      <vt:variant>
        <vt:lpwstr/>
      </vt:variant>
      <vt:variant>
        <vt:lpwstr>_Toc510071015</vt:lpwstr>
      </vt:variant>
      <vt:variant>
        <vt:i4>1441842</vt:i4>
      </vt:variant>
      <vt:variant>
        <vt:i4>188</vt:i4>
      </vt:variant>
      <vt:variant>
        <vt:i4>0</vt:i4>
      </vt:variant>
      <vt:variant>
        <vt:i4>5</vt:i4>
      </vt:variant>
      <vt:variant>
        <vt:lpwstr/>
      </vt:variant>
      <vt:variant>
        <vt:lpwstr>_Toc510071014</vt:lpwstr>
      </vt:variant>
      <vt:variant>
        <vt:i4>1441842</vt:i4>
      </vt:variant>
      <vt:variant>
        <vt:i4>182</vt:i4>
      </vt:variant>
      <vt:variant>
        <vt:i4>0</vt:i4>
      </vt:variant>
      <vt:variant>
        <vt:i4>5</vt:i4>
      </vt:variant>
      <vt:variant>
        <vt:lpwstr/>
      </vt:variant>
      <vt:variant>
        <vt:lpwstr>_Toc510071013</vt:lpwstr>
      </vt:variant>
      <vt:variant>
        <vt:i4>1441842</vt:i4>
      </vt:variant>
      <vt:variant>
        <vt:i4>176</vt:i4>
      </vt:variant>
      <vt:variant>
        <vt:i4>0</vt:i4>
      </vt:variant>
      <vt:variant>
        <vt:i4>5</vt:i4>
      </vt:variant>
      <vt:variant>
        <vt:lpwstr/>
      </vt:variant>
      <vt:variant>
        <vt:lpwstr>_Toc510071012</vt:lpwstr>
      </vt:variant>
      <vt:variant>
        <vt:i4>1441842</vt:i4>
      </vt:variant>
      <vt:variant>
        <vt:i4>170</vt:i4>
      </vt:variant>
      <vt:variant>
        <vt:i4>0</vt:i4>
      </vt:variant>
      <vt:variant>
        <vt:i4>5</vt:i4>
      </vt:variant>
      <vt:variant>
        <vt:lpwstr/>
      </vt:variant>
      <vt:variant>
        <vt:lpwstr>_Toc510071011</vt:lpwstr>
      </vt:variant>
      <vt:variant>
        <vt:i4>1441842</vt:i4>
      </vt:variant>
      <vt:variant>
        <vt:i4>164</vt:i4>
      </vt:variant>
      <vt:variant>
        <vt:i4>0</vt:i4>
      </vt:variant>
      <vt:variant>
        <vt:i4>5</vt:i4>
      </vt:variant>
      <vt:variant>
        <vt:lpwstr/>
      </vt:variant>
      <vt:variant>
        <vt:lpwstr>_Toc510071010</vt:lpwstr>
      </vt:variant>
      <vt:variant>
        <vt:i4>1507378</vt:i4>
      </vt:variant>
      <vt:variant>
        <vt:i4>158</vt:i4>
      </vt:variant>
      <vt:variant>
        <vt:i4>0</vt:i4>
      </vt:variant>
      <vt:variant>
        <vt:i4>5</vt:i4>
      </vt:variant>
      <vt:variant>
        <vt:lpwstr/>
      </vt:variant>
      <vt:variant>
        <vt:lpwstr>_Toc510071009</vt:lpwstr>
      </vt:variant>
      <vt:variant>
        <vt:i4>1507378</vt:i4>
      </vt:variant>
      <vt:variant>
        <vt:i4>152</vt:i4>
      </vt:variant>
      <vt:variant>
        <vt:i4>0</vt:i4>
      </vt:variant>
      <vt:variant>
        <vt:i4>5</vt:i4>
      </vt:variant>
      <vt:variant>
        <vt:lpwstr/>
      </vt:variant>
      <vt:variant>
        <vt:lpwstr>_Toc510071008</vt:lpwstr>
      </vt:variant>
      <vt:variant>
        <vt:i4>1507378</vt:i4>
      </vt:variant>
      <vt:variant>
        <vt:i4>146</vt:i4>
      </vt:variant>
      <vt:variant>
        <vt:i4>0</vt:i4>
      </vt:variant>
      <vt:variant>
        <vt:i4>5</vt:i4>
      </vt:variant>
      <vt:variant>
        <vt:lpwstr/>
      </vt:variant>
      <vt:variant>
        <vt:lpwstr>_Toc510071007</vt:lpwstr>
      </vt:variant>
      <vt:variant>
        <vt:i4>1507378</vt:i4>
      </vt:variant>
      <vt:variant>
        <vt:i4>140</vt:i4>
      </vt:variant>
      <vt:variant>
        <vt:i4>0</vt:i4>
      </vt:variant>
      <vt:variant>
        <vt:i4>5</vt:i4>
      </vt:variant>
      <vt:variant>
        <vt:lpwstr/>
      </vt:variant>
      <vt:variant>
        <vt:lpwstr>_Toc510071006</vt:lpwstr>
      </vt:variant>
      <vt:variant>
        <vt:i4>1507378</vt:i4>
      </vt:variant>
      <vt:variant>
        <vt:i4>134</vt:i4>
      </vt:variant>
      <vt:variant>
        <vt:i4>0</vt:i4>
      </vt:variant>
      <vt:variant>
        <vt:i4>5</vt:i4>
      </vt:variant>
      <vt:variant>
        <vt:lpwstr/>
      </vt:variant>
      <vt:variant>
        <vt:lpwstr>_Toc510071005</vt:lpwstr>
      </vt:variant>
      <vt:variant>
        <vt:i4>1507378</vt:i4>
      </vt:variant>
      <vt:variant>
        <vt:i4>128</vt:i4>
      </vt:variant>
      <vt:variant>
        <vt:i4>0</vt:i4>
      </vt:variant>
      <vt:variant>
        <vt:i4>5</vt:i4>
      </vt:variant>
      <vt:variant>
        <vt:lpwstr/>
      </vt:variant>
      <vt:variant>
        <vt:lpwstr>_Toc510071004</vt:lpwstr>
      </vt:variant>
      <vt:variant>
        <vt:i4>1507378</vt:i4>
      </vt:variant>
      <vt:variant>
        <vt:i4>122</vt:i4>
      </vt:variant>
      <vt:variant>
        <vt:i4>0</vt:i4>
      </vt:variant>
      <vt:variant>
        <vt:i4>5</vt:i4>
      </vt:variant>
      <vt:variant>
        <vt:lpwstr/>
      </vt:variant>
      <vt:variant>
        <vt:lpwstr>_Toc510071003</vt:lpwstr>
      </vt:variant>
      <vt:variant>
        <vt:i4>1507378</vt:i4>
      </vt:variant>
      <vt:variant>
        <vt:i4>116</vt:i4>
      </vt:variant>
      <vt:variant>
        <vt:i4>0</vt:i4>
      </vt:variant>
      <vt:variant>
        <vt:i4>5</vt:i4>
      </vt:variant>
      <vt:variant>
        <vt:lpwstr/>
      </vt:variant>
      <vt:variant>
        <vt:lpwstr>_Toc510071002</vt:lpwstr>
      </vt:variant>
      <vt:variant>
        <vt:i4>1507378</vt:i4>
      </vt:variant>
      <vt:variant>
        <vt:i4>110</vt:i4>
      </vt:variant>
      <vt:variant>
        <vt:i4>0</vt:i4>
      </vt:variant>
      <vt:variant>
        <vt:i4>5</vt:i4>
      </vt:variant>
      <vt:variant>
        <vt:lpwstr/>
      </vt:variant>
      <vt:variant>
        <vt:lpwstr>_Toc510071001</vt:lpwstr>
      </vt:variant>
      <vt:variant>
        <vt:i4>1507378</vt:i4>
      </vt:variant>
      <vt:variant>
        <vt:i4>104</vt:i4>
      </vt:variant>
      <vt:variant>
        <vt:i4>0</vt:i4>
      </vt:variant>
      <vt:variant>
        <vt:i4>5</vt:i4>
      </vt:variant>
      <vt:variant>
        <vt:lpwstr/>
      </vt:variant>
      <vt:variant>
        <vt:lpwstr>_Toc510071000</vt:lpwstr>
      </vt:variant>
      <vt:variant>
        <vt:i4>2031675</vt:i4>
      </vt:variant>
      <vt:variant>
        <vt:i4>98</vt:i4>
      </vt:variant>
      <vt:variant>
        <vt:i4>0</vt:i4>
      </vt:variant>
      <vt:variant>
        <vt:i4>5</vt:i4>
      </vt:variant>
      <vt:variant>
        <vt:lpwstr/>
      </vt:variant>
      <vt:variant>
        <vt:lpwstr>_Toc510070999</vt:lpwstr>
      </vt:variant>
      <vt:variant>
        <vt:i4>2031675</vt:i4>
      </vt:variant>
      <vt:variant>
        <vt:i4>92</vt:i4>
      </vt:variant>
      <vt:variant>
        <vt:i4>0</vt:i4>
      </vt:variant>
      <vt:variant>
        <vt:i4>5</vt:i4>
      </vt:variant>
      <vt:variant>
        <vt:lpwstr/>
      </vt:variant>
      <vt:variant>
        <vt:lpwstr>_Toc510070998</vt:lpwstr>
      </vt:variant>
      <vt:variant>
        <vt:i4>2031675</vt:i4>
      </vt:variant>
      <vt:variant>
        <vt:i4>86</vt:i4>
      </vt:variant>
      <vt:variant>
        <vt:i4>0</vt:i4>
      </vt:variant>
      <vt:variant>
        <vt:i4>5</vt:i4>
      </vt:variant>
      <vt:variant>
        <vt:lpwstr/>
      </vt:variant>
      <vt:variant>
        <vt:lpwstr>_Toc510070997</vt:lpwstr>
      </vt:variant>
      <vt:variant>
        <vt:i4>2031675</vt:i4>
      </vt:variant>
      <vt:variant>
        <vt:i4>80</vt:i4>
      </vt:variant>
      <vt:variant>
        <vt:i4>0</vt:i4>
      </vt:variant>
      <vt:variant>
        <vt:i4>5</vt:i4>
      </vt:variant>
      <vt:variant>
        <vt:lpwstr/>
      </vt:variant>
      <vt:variant>
        <vt:lpwstr>_Toc510070996</vt:lpwstr>
      </vt:variant>
      <vt:variant>
        <vt:i4>2031675</vt:i4>
      </vt:variant>
      <vt:variant>
        <vt:i4>74</vt:i4>
      </vt:variant>
      <vt:variant>
        <vt:i4>0</vt:i4>
      </vt:variant>
      <vt:variant>
        <vt:i4>5</vt:i4>
      </vt:variant>
      <vt:variant>
        <vt:lpwstr/>
      </vt:variant>
      <vt:variant>
        <vt:lpwstr>_Toc510070995</vt:lpwstr>
      </vt:variant>
      <vt:variant>
        <vt:i4>2031675</vt:i4>
      </vt:variant>
      <vt:variant>
        <vt:i4>68</vt:i4>
      </vt:variant>
      <vt:variant>
        <vt:i4>0</vt:i4>
      </vt:variant>
      <vt:variant>
        <vt:i4>5</vt:i4>
      </vt:variant>
      <vt:variant>
        <vt:lpwstr/>
      </vt:variant>
      <vt:variant>
        <vt:lpwstr>_Toc510070994</vt:lpwstr>
      </vt:variant>
      <vt:variant>
        <vt:i4>2031675</vt:i4>
      </vt:variant>
      <vt:variant>
        <vt:i4>62</vt:i4>
      </vt:variant>
      <vt:variant>
        <vt:i4>0</vt:i4>
      </vt:variant>
      <vt:variant>
        <vt:i4>5</vt:i4>
      </vt:variant>
      <vt:variant>
        <vt:lpwstr/>
      </vt:variant>
      <vt:variant>
        <vt:lpwstr>_Toc510070993</vt:lpwstr>
      </vt:variant>
      <vt:variant>
        <vt:i4>2031675</vt:i4>
      </vt:variant>
      <vt:variant>
        <vt:i4>56</vt:i4>
      </vt:variant>
      <vt:variant>
        <vt:i4>0</vt:i4>
      </vt:variant>
      <vt:variant>
        <vt:i4>5</vt:i4>
      </vt:variant>
      <vt:variant>
        <vt:lpwstr/>
      </vt:variant>
      <vt:variant>
        <vt:lpwstr>_Toc510070992</vt:lpwstr>
      </vt:variant>
      <vt:variant>
        <vt:i4>2031675</vt:i4>
      </vt:variant>
      <vt:variant>
        <vt:i4>50</vt:i4>
      </vt:variant>
      <vt:variant>
        <vt:i4>0</vt:i4>
      </vt:variant>
      <vt:variant>
        <vt:i4>5</vt:i4>
      </vt:variant>
      <vt:variant>
        <vt:lpwstr/>
      </vt:variant>
      <vt:variant>
        <vt:lpwstr>_Toc510070991</vt:lpwstr>
      </vt:variant>
      <vt:variant>
        <vt:i4>2031675</vt:i4>
      </vt:variant>
      <vt:variant>
        <vt:i4>44</vt:i4>
      </vt:variant>
      <vt:variant>
        <vt:i4>0</vt:i4>
      </vt:variant>
      <vt:variant>
        <vt:i4>5</vt:i4>
      </vt:variant>
      <vt:variant>
        <vt:lpwstr/>
      </vt:variant>
      <vt:variant>
        <vt:lpwstr>_Toc510070990</vt:lpwstr>
      </vt:variant>
      <vt:variant>
        <vt:i4>1966139</vt:i4>
      </vt:variant>
      <vt:variant>
        <vt:i4>38</vt:i4>
      </vt:variant>
      <vt:variant>
        <vt:i4>0</vt:i4>
      </vt:variant>
      <vt:variant>
        <vt:i4>5</vt:i4>
      </vt:variant>
      <vt:variant>
        <vt:lpwstr/>
      </vt:variant>
      <vt:variant>
        <vt:lpwstr>_Toc510070989</vt:lpwstr>
      </vt:variant>
      <vt:variant>
        <vt:i4>1966139</vt:i4>
      </vt:variant>
      <vt:variant>
        <vt:i4>32</vt:i4>
      </vt:variant>
      <vt:variant>
        <vt:i4>0</vt:i4>
      </vt:variant>
      <vt:variant>
        <vt:i4>5</vt:i4>
      </vt:variant>
      <vt:variant>
        <vt:lpwstr/>
      </vt:variant>
      <vt:variant>
        <vt:lpwstr>_Toc510070988</vt:lpwstr>
      </vt:variant>
      <vt:variant>
        <vt:i4>1966139</vt:i4>
      </vt:variant>
      <vt:variant>
        <vt:i4>26</vt:i4>
      </vt:variant>
      <vt:variant>
        <vt:i4>0</vt:i4>
      </vt:variant>
      <vt:variant>
        <vt:i4>5</vt:i4>
      </vt:variant>
      <vt:variant>
        <vt:lpwstr/>
      </vt:variant>
      <vt:variant>
        <vt:lpwstr>_Toc510070987</vt:lpwstr>
      </vt:variant>
      <vt:variant>
        <vt:i4>1966139</vt:i4>
      </vt:variant>
      <vt:variant>
        <vt:i4>20</vt:i4>
      </vt:variant>
      <vt:variant>
        <vt:i4>0</vt:i4>
      </vt:variant>
      <vt:variant>
        <vt:i4>5</vt:i4>
      </vt:variant>
      <vt:variant>
        <vt:lpwstr/>
      </vt:variant>
      <vt:variant>
        <vt:lpwstr>_Toc510070986</vt:lpwstr>
      </vt:variant>
      <vt:variant>
        <vt:i4>1966139</vt:i4>
      </vt:variant>
      <vt:variant>
        <vt:i4>14</vt:i4>
      </vt:variant>
      <vt:variant>
        <vt:i4>0</vt:i4>
      </vt:variant>
      <vt:variant>
        <vt:i4>5</vt:i4>
      </vt:variant>
      <vt:variant>
        <vt:lpwstr/>
      </vt:variant>
      <vt:variant>
        <vt:lpwstr>_Toc510070985</vt:lpwstr>
      </vt:variant>
      <vt:variant>
        <vt:i4>1966139</vt:i4>
      </vt:variant>
      <vt:variant>
        <vt:i4>8</vt:i4>
      </vt:variant>
      <vt:variant>
        <vt:i4>0</vt:i4>
      </vt:variant>
      <vt:variant>
        <vt:i4>5</vt:i4>
      </vt:variant>
      <vt:variant>
        <vt:lpwstr/>
      </vt:variant>
      <vt:variant>
        <vt:lpwstr>_Toc510070984</vt:lpwstr>
      </vt:variant>
      <vt:variant>
        <vt:i4>1966139</vt:i4>
      </vt:variant>
      <vt:variant>
        <vt:i4>2</vt:i4>
      </vt:variant>
      <vt:variant>
        <vt:i4>0</vt:i4>
      </vt:variant>
      <vt:variant>
        <vt:i4>5</vt:i4>
      </vt:variant>
      <vt:variant>
        <vt:lpwstr/>
      </vt:variant>
      <vt:variant>
        <vt:lpwstr>_Toc510070983</vt:lpwstr>
      </vt:variant>
      <vt:variant>
        <vt:i4>8061004</vt:i4>
      </vt:variant>
      <vt:variant>
        <vt:i4>92738</vt:i4>
      </vt:variant>
      <vt:variant>
        <vt:i4>1067</vt:i4>
      </vt:variant>
      <vt:variant>
        <vt:i4>1</vt:i4>
      </vt:variant>
      <vt:variant>
        <vt:lpwstr>cid:image005.jpg@01D3B6E5.93EFD210</vt:lpwstr>
      </vt:variant>
      <vt:variant>
        <vt:lpwstr/>
      </vt:variant>
      <vt:variant>
        <vt:i4>6684762</vt:i4>
      </vt:variant>
      <vt:variant>
        <vt:i4>97849</vt:i4>
      </vt:variant>
      <vt:variant>
        <vt:i4>1070</vt:i4>
      </vt:variant>
      <vt:variant>
        <vt:i4>1</vt:i4>
      </vt:variant>
      <vt:variant>
        <vt:lpwstr>cid:image002.png@01D3A02B.61C03260</vt:lpwstr>
      </vt:variant>
      <vt:variant>
        <vt:lpwstr/>
      </vt:variant>
      <vt:variant>
        <vt:i4>3342347</vt:i4>
      </vt:variant>
      <vt:variant>
        <vt:i4>108591</vt:i4>
      </vt:variant>
      <vt:variant>
        <vt:i4>1073</vt:i4>
      </vt:variant>
      <vt:variant>
        <vt:i4>1</vt:i4>
      </vt:variant>
      <vt:variant>
        <vt:lpwstr>cid:image003.png@01D2B822.A71E8600</vt:lpwstr>
      </vt:variant>
      <vt:variant>
        <vt:lpwstr/>
      </vt:variant>
      <vt:variant>
        <vt:i4>4063243</vt:i4>
      </vt:variant>
      <vt:variant>
        <vt:i4>108723</vt:i4>
      </vt:variant>
      <vt:variant>
        <vt:i4>1074</vt:i4>
      </vt:variant>
      <vt:variant>
        <vt:i4>1</vt:i4>
      </vt:variant>
      <vt:variant>
        <vt:lpwstr>cid:image001.png@01D3BCFE.4CB82D10</vt:lpwstr>
      </vt:variant>
      <vt:variant>
        <vt:lpwstr/>
      </vt:variant>
      <vt:variant>
        <vt:i4>3473453</vt:i4>
      </vt:variant>
      <vt:variant>
        <vt:i4>118697</vt:i4>
      </vt:variant>
      <vt:variant>
        <vt:i4>1097</vt:i4>
      </vt:variant>
      <vt:variant>
        <vt:i4>1</vt:i4>
      </vt:variant>
      <vt:variant>
        <vt:lpwstr>http://msdn.microsoft.com/library/en-us/dnacc/html/atg_keyboardshortcuts_10.gif</vt:lpwstr>
      </vt:variant>
      <vt:variant>
        <vt:lpwstr/>
      </vt:variant>
      <vt:variant>
        <vt:i4>3473453</vt:i4>
      </vt:variant>
      <vt:variant>
        <vt:i4>265471</vt:i4>
      </vt:variant>
      <vt:variant>
        <vt:i4>1177</vt:i4>
      </vt:variant>
      <vt:variant>
        <vt:i4>1</vt:i4>
      </vt:variant>
      <vt:variant>
        <vt:lpwstr>http://msdn.microsoft.com/library/en-us/dnacc/html/atg_keyboardshortcuts_10.gif</vt:lpwstr>
      </vt:variant>
      <vt:variant>
        <vt:lpwstr/>
      </vt:variant>
      <vt:variant>
        <vt:i4>2424896</vt:i4>
      </vt:variant>
      <vt:variant>
        <vt:i4>621855</vt:i4>
      </vt:variant>
      <vt:variant>
        <vt:i4>1275</vt:i4>
      </vt:variant>
      <vt:variant>
        <vt:i4>1</vt:i4>
      </vt:variant>
      <vt:variant>
        <vt:lpwstr>cid:image001.jpg@01CFF8D3.98CB1E30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VBECS user guide</dc:title>
  <dc:subject/>
  <dc:creator>Department of Veterans Affairs</dc:creator>
  <cp:keywords/>
  <dc:description/>
  <cp:lastModifiedBy>Department of Veterans Affairs</cp:lastModifiedBy>
  <cp:revision>8</cp:revision>
  <cp:lastPrinted>2021-09-16T13:22:00Z</cp:lastPrinted>
  <dcterms:created xsi:type="dcterms:W3CDTF">2021-09-15T21:04:00Z</dcterms:created>
  <dcterms:modified xsi:type="dcterms:W3CDTF">2021-09-16T14:05:00Z</dcterms:modified>
</cp:coreProperties>
</file>